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4AD6059" w14:textId="39DEBE2F" w:rsidR="00671C9F" w:rsidRPr="00EC0229" w:rsidRDefault="00671C9F" w:rsidP="007600EA">
      <w:pPr>
        <w:pStyle w:val="Heading1"/>
        <w:spacing w:line="276" w:lineRule="auto"/>
        <w:jc w:val="center"/>
        <w:rPr>
          <w:sz w:val="56"/>
          <w:szCs w:val="56"/>
        </w:rPr>
      </w:pPr>
      <w:bookmarkStart w:id="0" w:name="_Toc468266715"/>
      <w:r w:rsidRPr="00EC0229">
        <w:rPr>
          <w:sz w:val="56"/>
          <w:szCs w:val="56"/>
        </w:rPr>
        <w:t>‘Where there’s muck there’s brass!’</w:t>
      </w:r>
      <w:bookmarkEnd w:id="0"/>
    </w:p>
    <w:p w14:paraId="79FFBD04" w14:textId="2B4FF8CE" w:rsidR="00754E32" w:rsidRPr="00EC0229" w:rsidRDefault="00DF6F99" w:rsidP="007600EA">
      <w:pPr>
        <w:spacing w:line="276" w:lineRule="auto"/>
        <w:jc w:val="center"/>
        <w:rPr>
          <w:rFonts w:cs="Times New Roman"/>
          <w:b/>
          <w:i/>
          <w:sz w:val="44"/>
          <w:szCs w:val="44"/>
        </w:rPr>
      </w:pPr>
      <w:r w:rsidRPr="00EC0229">
        <w:rPr>
          <w:noProof/>
          <w:sz w:val="32"/>
          <w:szCs w:val="32"/>
          <w:lang w:eastAsia="en-GB"/>
        </w:rPr>
        <w:drawing>
          <wp:inline distT="0" distB="0" distL="0" distR="0" wp14:anchorId="534CC202" wp14:editId="42BB97F3">
            <wp:extent cx="1733471" cy="1747875"/>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 Y070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53350" cy="1767920"/>
                    </a:xfrm>
                    <a:prstGeom prst="rect">
                      <a:avLst/>
                    </a:prstGeom>
                  </pic:spPr>
                </pic:pic>
              </a:graphicData>
            </a:graphic>
          </wp:inline>
        </w:drawing>
      </w:r>
    </w:p>
    <w:p w14:paraId="79C1A904" w14:textId="165BF15A" w:rsidR="00671C9F" w:rsidRPr="00EC0229" w:rsidRDefault="00671C9F" w:rsidP="007600EA">
      <w:pPr>
        <w:pStyle w:val="Title"/>
        <w:spacing w:line="276" w:lineRule="auto"/>
        <w:rPr>
          <w:rStyle w:val="Heading1Char"/>
          <w:rFonts w:eastAsiaTheme="minorHAnsi" w:cstheme="minorBidi"/>
          <w:b/>
          <w:sz w:val="40"/>
          <w:szCs w:val="40"/>
        </w:rPr>
      </w:pPr>
      <w:bookmarkStart w:id="1" w:name="_Toc468266716"/>
      <w:r w:rsidRPr="00EC0229">
        <w:rPr>
          <w:rStyle w:val="Heading1Char"/>
          <w:rFonts w:eastAsiaTheme="minorHAnsi" w:cstheme="minorBidi"/>
          <w:b/>
          <w:sz w:val="40"/>
          <w:szCs w:val="40"/>
        </w:rPr>
        <w:t>Coinage</w:t>
      </w:r>
      <w:r w:rsidRPr="00EC0229">
        <w:rPr>
          <w:rStyle w:val="Heading1Char"/>
          <w:rFonts w:eastAsiaTheme="minorHAnsi" w:cstheme="minorBidi"/>
          <w:b/>
          <w:sz w:val="40"/>
          <w:szCs w:val="40"/>
        </w:rPr>
        <w:fldChar w:fldCharType="begin"/>
      </w:r>
      <w:r w:rsidRPr="00EC0229">
        <w:rPr>
          <w:rStyle w:val="Heading1Char"/>
          <w:rFonts w:eastAsiaTheme="minorHAnsi" w:cstheme="minorBidi"/>
          <w:b/>
          <w:sz w:val="40"/>
          <w:szCs w:val="40"/>
        </w:rPr>
        <w:instrText xml:space="preserve"> XE "Coinage" </w:instrText>
      </w:r>
      <w:r w:rsidRPr="00EC0229">
        <w:rPr>
          <w:rStyle w:val="Heading1Char"/>
          <w:rFonts w:eastAsiaTheme="minorHAnsi" w:cstheme="minorBidi"/>
          <w:b/>
          <w:sz w:val="40"/>
          <w:szCs w:val="40"/>
        </w:rPr>
        <w:fldChar w:fldCharType="end"/>
      </w:r>
      <w:r w:rsidRPr="00EC0229">
        <w:rPr>
          <w:rStyle w:val="Heading1Char"/>
          <w:rFonts w:eastAsiaTheme="minorHAnsi" w:cstheme="minorBidi"/>
          <w:b/>
          <w:sz w:val="40"/>
          <w:szCs w:val="40"/>
        </w:rPr>
        <w:t xml:space="preserve"> in the Northumbrian landscape</w:t>
      </w:r>
      <w:r w:rsidRPr="00EC0229">
        <w:rPr>
          <w:rStyle w:val="Heading1Char"/>
          <w:rFonts w:eastAsiaTheme="minorHAnsi" w:cstheme="minorBidi"/>
          <w:b/>
          <w:sz w:val="40"/>
          <w:szCs w:val="40"/>
        </w:rPr>
        <w:fldChar w:fldCharType="begin"/>
      </w:r>
      <w:r w:rsidRPr="00EC0229">
        <w:rPr>
          <w:rStyle w:val="Heading1Char"/>
          <w:rFonts w:eastAsiaTheme="minorHAnsi" w:cstheme="minorBidi"/>
          <w:b/>
          <w:sz w:val="40"/>
          <w:szCs w:val="40"/>
        </w:rPr>
        <w:instrText xml:space="preserve"> XE "landscape" </w:instrText>
      </w:r>
      <w:r w:rsidRPr="00EC0229">
        <w:rPr>
          <w:rStyle w:val="Heading1Char"/>
          <w:rFonts w:eastAsiaTheme="minorHAnsi" w:cstheme="minorBidi"/>
          <w:b/>
          <w:sz w:val="40"/>
          <w:szCs w:val="40"/>
        </w:rPr>
        <w:fldChar w:fldCharType="end"/>
      </w:r>
      <w:r w:rsidRPr="00EC0229">
        <w:rPr>
          <w:rStyle w:val="Heading1Char"/>
          <w:rFonts w:eastAsiaTheme="minorHAnsi" w:cstheme="minorBidi"/>
          <w:b/>
          <w:sz w:val="40"/>
          <w:szCs w:val="40"/>
        </w:rPr>
        <w:t xml:space="preserve"> and economy, </w:t>
      </w:r>
      <w:r w:rsidRPr="00EC0229">
        <w:rPr>
          <w:rStyle w:val="Heading1Char"/>
          <w:rFonts w:eastAsiaTheme="minorHAnsi" w:cstheme="minorBidi"/>
          <w:b/>
          <w:i/>
          <w:sz w:val="40"/>
          <w:szCs w:val="40"/>
        </w:rPr>
        <w:t>c.</w:t>
      </w:r>
      <w:r w:rsidRPr="00EC0229">
        <w:rPr>
          <w:rStyle w:val="Heading1Char"/>
          <w:rFonts w:eastAsiaTheme="minorHAnsi" w:cstheme="minorBidi"/>
          <w:b/>
          <w:sz w:val="40"/>
          <w:szCs w:val="40"/>
        </w:rPr>
        <w:t xml:space="preserve">575 – </w:t>
      </w:r>
      <w:r w:rsidRPr="00EC0229">
        <w:rPr>
          <w:rStyle w:val="Heading1Char"/>
          <w:rFonts w:eastAsiaTheme="minorHAnsi" w:cstheme="minorBidi"/>
          <w:b/>
          <w:i/>
          <w:sz w:val="40"/>
          <w:szCs w:val="40"/>
        </w:rPr>
        <w:t>c.</w:t>
      </w:r>
      <w:r w:rsidRPr="00EC0229">
        <w:rPr>
          <w:rStyle w:val="Heading1Char"/>
          <w:rFonts w:eastAsiaTheme="minorHAnsi" w:cstheme="minorBidi"/>
          <w:b/>
          <w:sz w:val="40"/>
          <w:szCs w:val="40"/>
        </w:rPr>
        <w:t>867</w:t>
      </w:r>
      <w:bookmarkEnd w:id="1"/>
    </w:p>
    <w:p w14:paraId="578F6261" w14:textId="32BE132F" w:rsidR="002F462A" w:rsidRPr="00EC0229" w:rsidRDefault="002F462A" w:rsidP="007600EA">
      <w:pPr>
        <w:pStyle w:val="Title"/>
        <w:spacing w:line="276" w:lineRule="auto"/>
        <w:rPr>
          <w:b w:val="0"/>
        </w:rPr>
      </w:pPr>
    </w:p>
    <w:p w14:paraId="62184C19" w14:textId="77777777" w:rsidR="002F462A" w:rsidRPr="00EC0229" w:rsidRDefault="002F462A" w:rsidP="007600EA">
      <w:pPr>
        <w:pStyle w:val="Title"/>
        <w:spacing w:line="276" w:lineRule="auto"/>
        <w:rPr>
          <w:rFonts w:asciiTheme="minorHAnsi" w:hAnsiTheme="minorHAnsi" w:cstheme="minorHAnsi"/>
          <w:b w:val="0"/>
        </w:rPr>
      </w:pPr>
      <w:r w:rsidRPr="00EC0229">
        <w:rPr>
          <w:rFonts w:asciiTheme="minorHAnsi" w:hAnsiTheme="minorHAnsi" w:cstheme="minorHAnsi"/>
          <w:b w:val="0"/>
        </w:rPr>
        <w:t>Volume One</w:t>
      </w:r>
    </w:p>
    <w:p w14:paraId="123EDCE9" w14:textId="77777777" w:rsidR="002F462A" w:rsidRPr="00EC0229" w:rsidRDefault="002F462A" w:rsidP="007600EA">
      <w:pPr>
        <w:pStyle w:val="Title"/>
        <w:spacing w:line="276" w:lineRule="auto"/>
        <w:rPr>
          <w:b w:val="0"/>
        </w:rPr>
      </w:pPr>
    </w:p>
    <w:p w14:paraId="43A3B0C7" w14:textId="3D376C34" w:rsidR="00671C9F" w:rsidRPr="00EC0229" w:rsidRDefault="00671C9F" w:rsidP="007600EA">
      <w:pPr>
        <w:pStyle w:val="Title"/>
        <w:spacing w:line="276" w:lineRule="auto"/>
        <w:rPr>
          <w:b w:val="0"/>
        </w:rPr>
      </w:pPr>
      <w:r w:rsidRPr="00EC0229">
        <w:rPr>
          <w:b w:val="0"/>
        </w:rPr>
        <w:fldChar w:fldCharType="begin"/>
      </w:r>
      <w:r w:rsidRPr="00EC0229">
        <w:rPr>
          <w:b w:val="0"/>
        </w:rPr>
        <w:instrText xml:space="preserve"> XE "economy" </w:instrText>
      </w:r>
      <w:r w:rsidRPr="00EC0229">
        <w:rPr>
          <w:b w:val="0"/>
        </w:rPr>
        <w:fldChar w:fldCharType="end"/>
      </w:r>
    </w:p>
    <w:p w14:paraId="48BC5368" w14:textId="059D482C" w:rsidR="00683846" w:rsidRPr="00EC0229" w:rsidRDefault="00683846" w:rsidP="007600EA">
      <w:pPr>
        <w:spacing w:line="276" w:lineRule="auto"/>
        <w:jc w:val="center"/>
        <w:rPr>
          <w:rFonts w:cs="Times New Roman"/>
          <w:b/>
          <w:sz w:val="40"/>
          <w:szCs w:val="40"/>
        </w:rPr>
      </w:pPr>
      <w:r w:rsidRPr="00EC0229">
        <w:rPr>
          <w:rFonts w:cs="Times New Roman"/>
          <w:b/>
          <w:sz w:val="40"/>
          <w:szCs w:val="40"/>
        </w:rPr>
        <w:t>Tony Abramson</w:t>
      </w:r>
      <w:r w:rsidR="00584C42" w:rsidRPr="00EC0229">
        <w:rPr>
          <w:rFonts w:cs="Times New Roman"/>
          <w:b/>
          <w:sz w:val="40"/>
          <w:szCs w:val="40"/>
        </w:rPr>
        <w:fldChar w:fldCharType="begin"/>
      </w:r>
      <w:r w:rsidR="00584C42" w:rsidRPr="00EC0229">
        <w:instrText xml:space="preserve"> XE </w:instrText>
      </w:r>
      <w:r w:rsidR="00584C42" w:rsidRPr="00EC0229">
        <w:rPr>
          <w:szCs w:val="24"/>
        </w:rPr>
        <w:instrText>"</w:instrText>
      </w:r>
      <w:r w:rsidR="00584C42" w:rsidRPr="00EC0229">
        <w:rPr>
          <w:rFonts w:cs="Times New Roman"/>
          <w:szCs w:val="24"/>
        </w:rPr>
        <w:instrText>Abramson</w:instrText>
      </w:r>
      <w:r w:rsidR="00584C42" w:rsidRPr="00EC0229">
        <w:rPr>
          <w:szCs w:val="24"/>
        </w:rPr>
        <w:instrText xml:space="preserve">" </w:instrText>
      </w:r>
      <w:r w:rsidR="00584C42" w:rsidRPr="00EC0229">
        <w:rPr>
          <w:rFonts w:cs="Times New Roman"/>
          <w:b/>
          <w:sz w:val="40"/>
          <w:szCs w:val="40"/>
        </w:rPr>
        <w:fldChar w:fldCharType="end"/>
      </w:r>
    </w:p>
    <w:p w14:paraId="7BD89AE3" w14:textId="4240ED2B" w:rsidR="007E423A" w:rsidRPr="00EC0229" w:rsidRDefault="007600EA" w:rsidP="007600EA">
      <w:pPr>
        <w:spacing w:line="276" w:lineRule="auto"/>
        <w:jc w:val="center"/>
        <w:rPr>
          <w:rFonts w:cs="Times New Roman"/>
          <w:b/>
          <w:sz w:val="40"/>
          <w:szCs w:val="40"/>
        </w:rPr>
      </w:pPr>
      <w:r w:rsidRPr="00EC0229">
        <w:rPr>
          <w:rFonts w:cs="Times New Roman"/>
          <w:b/>
          <w:sz w:val="40"/>
          <w:szCs w:val="40"/>
        </w:rPr>
        <w:t>©2016</w:t>
      </w:r>
    </w:p>
    <w:p w14:paraId="3FBAFC10" w14:textId="77777777" w:rsidR="002A7783" w:rsidRPr="00EC0229" w:rsidRDefault="002A7783" w:rsidP="007600EA">
      <w:pPr>
        <w:pStyle w:val="NoSpacing"/>
        <w:spacing w:line="276" w:lineRule="auto"/>
        <w:rPr>
          <w:sz w:val="32"/>
          <w:szCs w:val="32"/>
        </w:rPr>
      </w:pPr>
    </w:p>
    <w:p w14:paraId="0364C68F" w14:textId="77777777" w:rsidR="00754E32" w:rsidRPr="00EC0229" w:rsidRDefault="00754E32" w:rsidP="007600EA">
      <w:pPr>
        <w:pStyle w:val="NoSpacing"/>
        <w:spacing w:line="276" w:lineRule="auto"/>
        <w:jc w:val="center"/>
        <w:rPr>
          <w:sz w:val="32"/>
          <w:szCs w:val="32"/>
        </w:rPr>
      </w:pPr>
    </w:p>
    <w:p w14:paraId="4C222022" w14:textId="77777777" w:rsidR="002A7783" w:rsidRPr="00EC0229" w:rsidRDefault="002A7783" w:rsidP="007600EA">
      <w:pPr>
        <w:pStyle w:val="NoSpacing"/>
        <w:spacing w:line="276" w:lineRule="auto"/>
        <w:rPr>
          <w:sz w:val="32"/>
          <w:szCs w:val="32"/>
        </w:rPr>
      </w:pPr>
    </w:p>
    <w:p w14:paraId="54379D6E" w14:textId="2D8999C8" w:rsidR="002A7783" w:rsidRPr="00EC0229" w:rsidRDefault="00701F2E" w:rsidP="007600EA">
      <w:pPr>
        <w:pStyle w:val="NoSpacing"/>
        <w:spacing w:line="276" w:lineRule="auto"/>
        <w:rPr>
          <w:sz w:val="32"/>
          <w:szCs w:val="32"/>
        </w:rPr>
      </w:pPr>
      <w:r w:rsidRPr="00EC0229">
        <w:rPr>
          <w:sz w:val="32"/>
          <w:szCs w:val="32"/>
        </w:rPr>
        <w:t>Anthony Ian Joseph Abramson, BA, FCA.</w:t>
      </w:r>
    </w:p>
    <w:p w14:paraId="749F6012" w14:textId="77777777" w:rsidR="009B6190" w:rsidRPr="00EC0229" w:rsidRDefault="002A7783" w:rsidP="007600EA">
      <w:pPr>
        <w:pStyle w:val="NoSpacing"/>
        <w:spacing w:line="276" w:lineRule="auto"/>
        <w:jc w:val="left"/>
        <w:rPr>
          <w:sz w:val="32"/>
          <w:szCs w:val="32"/>
        </w:rPr>
      </w:pPr>
      <w:r w:rsidRPr="00EC0229">
        <w:rPr>
          <w:sz w:val="32"/>
          <w:szCs w:val="32"/>
        </w:rPr>
        <w:t>PhD Thesis.</w:t>
      </w:r>
    </w:p>
    <w:p w14:paraId="21358DF3" w14:textId="77777777" w:rsidR="000C3CE6" w:rsidRPr="00EC0229" w:rsidRDefault="00710A18" w:rsidP="007600EA">
      <w:pPr>
        <w:pStyle w:val="NoSpacing"/>
        <w:spacing w:line="276" w:lineRule="auto"/>
        <w:jc w:val="left"/>
        <w:rPr>
          <w:sz w:val="32"/>
          <w:szCs w:val="32"/>
        </w:rPr>
      </w:pPr>
      <w:r w:rsidRPr="00EC0229">
        <w:rPr>
          <w:sz w:val="32"/>
          <w:szCs w:val="32"/>
        </w:rPr>
        <w:t>Graduate School</w:t>
      </w:r>
      <w:r w:rsidR="000C3CE6" w:rsidRPr="00EC0229">
        <w:rPr>
          <w:sz w:val="32"/>
          <w:szCs w:val="32"/>
        </w:rPr>
        <w:t xml:space="preserve"> of Archaeology</w:t>
      </w:r>
      <w:r w:rsidR="007E423A" w:rsidRPr="00EC0229">
        <w:rPr>
          <w:sz w:val="32"/>
          <w:szCs w:val="32"/>
        </w:rPr>
        <w:t>,</w:t>
      </w:r>
    </w:p>
    <w:p w14:paraId="30F594D5" w14:textId="6D0B3CCE" w:rsidR="00F72F9E" w:rsidRPr="00EC0229" w:rsidRDefault="006316D7" w:rsidP="007600EA">
      <w:pPr>
        <w:pStyle w:val="NoSpacing"/>
        <w:spacing w:line="276" w:lineRule="auto"/>
        <w:jc w:val="left"/>
        <w:rPr>
          <w:sz w:val="32"/>
          <w:szCs w:val="32"/>
        </w:rPr>
        <w:sectPr w:rsidR="00F72F9E" w:rsidRPr="00EC0229" w:rsidSect="000B21A1">
          <w:headerReference w:type="default" r:id="rId9"/>
          <w:footerReference w:type="default" r:id="rId10"/>
          <w:pgSz w:w="11906" w:h="16838"/>
          <w:pgMar w:top="1440" w:right="1440" w:bottom="1440" w:left="1440" w:header="708" w:footer="708" w:gutter="0"/>
          <w:pgNumType w:fmt="lowerRoman"/>
          <w:cols w:space="708"/>
          <w:titlePg/>
          <w:docGrid w:linePitch="360"/>
        </w:sectPr>
      </w:pPr>
      <w:r w:rsidRPr="00EC0229">
        <w:rPr>
          <w:sz w:val="32"/>
          <w:szCs w:val="32"/>
        </w:rPr>
        <w:t>University of York</w:t>
      </w:r>
      <w:r w:rsidR="006B1593" w:rsidRPr="00EC0229">
        <w:rPr>
          <w:sz w:val="32"/>
          <w:szCs w:val="32"/>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 w:val="32"/>
          <w:szCs w:val="32"/>
        </w:rPr>
        <w:fldChar w:fldCharType="end"/>
      </w:r>
      <w:r w:rsidR="00361C8C" w:rsidRPr="00EC0229">
        <w:rPr>
          <w:sz w:val="32"/>
          <w:szCs w:val="32"/>
        </w:rPr>
        <w:br/>
        <w:t>The King’s Manor</w:t>
      </w:r>
      <w:r w:rsidR="00361C8C" w:rsidRPr="00EC0229">
        <w:rPr>
          <w:sz w:val="32"/>
          <w:szCs w:val="32"/>
        </w:rPr>
        <w:br/>
        <w:t>Exhibition Square</w:t>
      </w:r>
      <w:r w:rsidR="00FA5473">
        <w:rPr>
          <w:sz w:val="32"/>
          <w:szCs w:val="32"/>
        </w:rPr>
        <w:br/>
        <w:t>York YO1 7EP</w:t>
      </w:r>
    </w:p>
    <w:p w14:paraId="673E07B8" w14:textId="212F5202" w:rsidR="00607E03" w:rsidRPr="00EC0229" w:rsidRDefault="00607E03" w:rsidP="007600EA">
      <w:pPr>
        <w:pStyle w:val="Heading3"/>
        <w:spacing w:line="276" w:lineRule="auto"/>
      </w:pPr>
      <w:bookmarkStart w:id="2" w:name="Declaration"/>
      <w:bookmarkStart w:id="3" w:name="_Toc468266717"/>
      <w:bookmarkEnd w:id="2"/>
      <w:r w:rsidRPr="00EC0229">
        <w:lastRenderedPageBreak/>
        <w:t>Declaration</w:t>
      </w:r>
      <w:bookmarkEnd w:id="3"/>
    </w:p>
    <w:p w14:paraId="1D417A03" w14:textId="77777777" w:rsidR="00607E03" w:rsidRPr="00EC0229" w:rsidRDefault="00607E03" w:rsidP="007600EA">
      <w:pPr>
        <w:pStyle w:val="NoSpacing"/>
        <w:spacing w:line="276" w:lineRule="auto"/>
      </w:pPr>
    </w:p>
    <w:p w14:paraId="566228A7" w14:textId="42AE02D6" w:rsidR="00607E03" w:rsidRPr="00EC0229" w:rsidRDefault="00607E03" w:rsidP="00BD72AB">
      <w:pPr>
        <w:autoSpaceDE w:val="0"/>
        <w:autoSpaceDN w:val="0"/>
        <w:adjustRightInd w:val="0"/>
        <w:spacing w:after="0" w:line="360" w:lineRule="auto"/>
        <w:rPr>
          <w:rFonts w:cs="Times New Roman"/>
          <w:bCs/>
          <w:szCs w:val="24"/>
        </w:rPr>
      </w:pPr>
      <w:r w:rsidRPr="00EC0229">
        <w:rPr>
          <w:rFonts w:cs="Times New Roman"/>
          <w:bCs/>
          <w:szCs w:val="24"/>
        </w:rPr>
        <w:t xml:space="preserve">This thesis results entirely from my own work and has not been previously offered in candidature for any other degree or diploma. Material from the published or unpublished work of others, which is referred to in this thesis </w:t>
      </w:r>
      <w:r w:rsidR="00673F1F" w:rsidRPr="00EC0229">
        <w:rPr>
          <w:rFonts w:cs="Times New Roman"/>
          <w:bCs/>
          <w:szCs w:val="24"/>
        </w:rPr>
        <w:t>is credited to the author of that</w:t>
      </w:r>
      <w:r w:rsidRPr="00EC0229">
        <w:rPr>
          <w:rFonts w:cs="Times New Roman"/>
          <w:bCs/>
          <w:szCs w:val="24"/>
        </w:rPr>
        <w:t xml:space="preserve"> text.</w:t>
      </w:r>
    </w:p>
    <w:p w14:paraId="08EB7CE4" w14:textId="10E8A312" w:rsidR="00607E03" w:rsidRPr="00EC0229" w:rsidRDefault="00915C60" w:rsidP="00915C60">
      <w:pPr>
        <w:spacing w:line="276" w:lineRule="auto"/>
        <w:jc w:val="right"/>
      </w:pPr>
      <w:r w:rsidRPr="00EC0229">
        <w:rPr>
          <w:noProof/>
          <w:lang w:eastAsia="en-GB"/>
        </w:rPr>
        <w:drawing>
          <wp:inline distT="0" distB="0" distL="0" distR="0" wp14:anchorId="27ECCD47" wp14:editId="0900F5E6">
            <wp:extent cx="1794510" cy="477774"/>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ignatur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94510" cy="477774"/>
                    </a:xfrm>
                    <a:prstGeom prst="rect">
                      <a:avLst/>
                    </a:prstGeom>
                  </pic:spPr>
                </pic:pic>
              </a:graphicData>
            </a:graphic>
          </wp:inline>
        </w:drawing>
      </w:r>
      <w:r w:rsidRPr="00EC0229">
        <w:t>31</w:t>
      </w:r>
      <w:r w:rsidRPr="00EC0229">
        <w:rPr>
          <w:vertAlign w:val="superscript"/>
        </w:rPr>
        <w:t>st</w:t>
      </w:r>
      <w:r w:rsidRPr="00EC0229">
        <w:t xml:space="preserve"> March 2016</w:t>
      </w:r>
    </w:p>
    <w:p w14:paraId="73F294BC" w14:textId="77777777" w:rsidR="00607E03" w:rsidRPr="00EC0229" w:rsidRDefault="00607E03" w:rsidP="007600EA">
      <w:pPr>
        <w:spacing w:line="276" w:lineRule="auto"/>
      </w:pPr>
    </w:p>
    <w:p w14:paraId="70AEB57F" w14:textId="5A1F8C3D" w:rsidR="00192B7E" w:rsidRPr="00EC0229" w:rsidRDefault="00015AEF" w:rsidP="00BD72AB">
      <w:pPr>
        <w:pStyle w:val="Heading3"/>
        <w:rPr>
          <w:rStyle w:val="A2"/>
          <w:rFonts w:cstheme="majorBidi"/>
          <w:color w:val="auto"/>
        </w:rPr>
      </w:pPr>
      <w:bookmarkStart w:id="4" w:name="StatementofCopyright"/>
      <w:bookmarkStart w:id="5" w:name="_Toc468266718"/>
      <w:bookmarkEnd w:id="4"/>
      <w:r w:rsidRPr="00EC0229">
        <w:rPr>
          <w:rStyle w:val="A2"/>
          <w:rFonts w:cstheme="majorBidi"/>
          <w:color w:val="auto"/>
        </w:rPr>
        <w:t>Statement of C</w:t>
      </w:r>
      <w:r w:rsidR="00607E03" w:rsidRPr="00EC0229">
        <w:rPr>
          <w:rStyle w:val="A2"/>
          <w:rFonts w:cstheme="majorBidi"/>
          <w:color w:val="auto"/>
        </w:rPr>
        <w:t>opyright</w:t>
      </w:r>
      <w:bookmarkEnd w:id="5"/>
    </w:p>
    <w:p w14:paraId="04915478" w14:textId="77777777" w:rsidR="00607E03" w:rsidRPr="00EC0229" w:rsidRDefault="00607E03" w:rsidP="007600EA">
      <w:pPr>
        <w:pStyle w:val="Pa2"/>
        <w:spacing w:line="276" w:lineRule="auto"/>
        <w:jc w:val="center"/>
        <w:rPr>
          <w:rStyle w:val="A2"/>
          <w:rFonts w:ascii="Times New Roman" w:hAnsi="Times New Roman" w:cs="Times New Roman"/>
        </w:rPr>
      </w:pPr>
    </w:p>
    <w:p w14:paraId="48B2EE0B" w14:textId="11D79539" w:rsidR="00192B7E" w:rsidRPr="00EC0229" w:rsidRDefault="00503A5F" w:rsidP="007600EA">
      <w:pPr>
        <w:pStyle w:val="Pa2"/>
        <w:spacing w:line="276" w:lineRule="auto"/>
        <w:jc w:val="center"/>
        <w:rPr>
          <w:rStyle w:val="A2"/>
          <w:rFonts w:ascii="Times New Roman" w:hAnsi="Times New Roman" w:cs="Times New Roman"/>
        </w:rPr>
      </w:pPr>
      <w:r w:rsidRPr="00EC0229">
        <w:rPr>
          <w:rStyle w:val="A2"/>
          <w:rFonts w:ascii="Times New Roman" w:hAnsi="Times New Roman" w:cs="Times New Roman"/>
        </w:rPr>
        <w:t>© Tony Abramson 2016</w:t>
      </w:r>
    </w:p>
    <w:p w14:paraId="6AC46611" w14:textId="77777777" w:rsidR="002C42EB" w:rsidRPr="00EC0229" w:rsidRDefault="002C42EB" w:rsidP="007600EA">
      <w:pPr>
        <w:spacing w:line="276" w:lineRule="auto"/>
      </w:pPr>
    </w:p>
    <w:p w14:paraId="602E0FC5" w14:textId="7B1C24E2" w:rsidR="007B62C6" w:rsidRPr="00EC0229" w:rsidRDefault="003E7B3C" w:rsidP="00BD72AB">
      <w:pPr>
        <w:pStyle w:val="Pa2"/>
        <w:spacing w:line="360" w:lineRule="auto"/>
        <w:rPr>
          <w:rStyle w:val="A2"/>
          <w:rFonts w:ascii="Times New Roman" w:hAnsi="Times New Roman" w:cs="Times New Roman"/>
        </w:rPr>
      </w:pPr>
      <w:r w:rsidRPr="00EC0229">
        <w:rPr>
          <w:rStyle w:val="A2"/>
          <w:rFonts w:ascii="Times New Roman" w:hAnsi="Times New Roman" w:cs="Times New Roman"/>
        </w:rPr>
        <w:t>All rights reserved. No part of this publication may be reproduced, stored in a retrieval system or transmitted in any form or by any means, electronic, mechanical, photocopying, recording or otherwise, without the prior permission of the author or publishers.</w:t>
      </w:r>
    </w:p>
    <w:p w14:paraId="01BFFEF9" w14:textId="3DA53627" w:rsidR="00BD72AB" w:rsidRPr="00EC0229" w:rsidRDefault="00BD72AB" w:rsidP="00BD72AB"/>
    <w:p w14:paraId="061B49A5" w14:textId="525C8DCE" w:rsidR="00BD72AB" w:rsidRPr="00EC0229" w:rsidRDefault="00BD72AB" w:rsidP="00BD72AB"/>
    <w:p w14:paraId="43B8E83C" w14:textId="7F84CD46" w:rsidR="00BD72AB" w:rsidRPr="00EC0229" w:rsidRDefault="00BD72AB" w:rsidP="00BD72AB">
      <w:pPr>
        <w:pStyle w:val="Heading3"/>
        <w:spacing w:line="360" w:lineRule="auto"/>
      </w:pPr>
      <w:bookmarkStart w:id="6" w:name="_Toc468266719"/>
      <w:r w:rsidRPr="00EC0229">
        <w:t>Presentation of Material</w:t>
      </w:r>
      <w:bookmarkEnd w:id="6"/>
    </w:p>
    <w:p w14:paraId="24C3E10E" w14:textId="0ACFD431" w:rsidR="00BD72AB" w:rsidRPr="00EC0229" w:rsidRDefault="00BD72AB" w:rsidP="00BD72AB">
      <w:pPr>
        <w:spacing w:line="360" w:lineRule="auto"/>
      </w:pPr>
      <w:r w:rsidRPr="00EC0229">
        <w:t>Volume 1: hardcopy of narrative</w:t>
      </w:r>
    </w:p>
    <w:p w14:paraId="12262542" w14:textId="3CE6EF27" w:rsidR="001C1D1C" w:rsidRPr="00EC0229" w:rsidRDefault="00BD72AB" w:rsidP="00BD72AB">
      <w:pPr>
        <w:spacing w:line="360" w:lineRule="auto"/>
      </w:pPr>
      <w:r w:rsidRPr="00EC0229">
        <w:t xml:space="preserve">Volume 2: </w:t>
      </w:r>
      <w:r w:rsidR="001C1D1C" w:rsidRPr="00EC0229">
        <w:t>hardcopy of supporting graphical material (maps, graphs, tables, and plates)</w:t>
      </w:r>
    </w:p>
    <w:p w14:paraId="620C1425" w14:textId="448E8C7F" w:rsidR="00BD72AB" w:rsidRPr="00EC0229" w:rsidRDefault="00555FDE" w:rsidP="00BD72AB">
      <w:pPr>
        <w:spacing w:line="360" w:lineRule="auto"/>
      </w:pPr>
      <w:r w:rsidRPr="00EC0229">
        <w:t xml:space="preserve">Volume 3: </w:t>
      </w:r>
      <w:r w:rsidR="001C1D1C" w:rsidRPr="00EC0229">
        <w:t xml:space="preserve">Compact Disk: </w:t>
      </w:r>
      <w:r w:rsidR="00BD72AB" w:rsidRPr="00EC0229">
        <w:t xml:space="preserve">digital media – </w:t>
      </w:r>
      <w:r w:rsidR="00497AC3" w:rsidRPr="00EC0229">
        <w:t>data</w:t>
      </w:r>
      <w:r w:rsidR="005D0690" w:rsidRPr="00EC0229">
        <w:t>bases/</w:t>
      </w:r>
      <w:r w:rsidR="00497AC3" w:rsidRPr="00EC0229">
        <w:t>set</w:t>
      </w:r>
      <w:r w:rsidR="00BD72AB" w:rsidRPr="00EC0229">
        <w:t>s</w:t>
      </w:r>
      <w:r w:rsidR="001C1D1C" w:rsidRPr="00EC0229">
        <w:t xml:space="preserve"> and</w:t>
      </w:r>
      <w:r w:rsidR="00487150" w:rsidRPr="00EC0229">
        <w:t xml:space="preserve"> </w:t>
      </w:r>
      <w:r w:rsidR="00BD72AB" w:rsidRPr="00EC0229">
        <w:t>spreadsheets</w:t>
      </w:r>
      <w:r w:rsidR="001C1D1C" w:rsidRPr="00EC0229">
        <w:t>.</w:t>
      </w:r>
    </w:p>
    <w:p w14:paraId="5F50E4F0" w14:textId="77777777" w:rsidR="00FA2263" w:rsidRPr="00EC0229" w:rsidRDefault="00FA2263" w:rsidP="007600EA">
      <w:pPr>
        <w:spacing w:line="276" w:lineRule="auto"/>
      </w:pPr>
    </w:p>
    <w:p w14:paraId="5D083A5F" w14:textId="77777777" w:rsidR="00FA2263" w:rsidRPr="00EC0229" w:rsidRDefault="00FA2263" w:rsidP="007600EA">
      <w:pPr>
        <w:spacing w:line="276" w:lineRule="auto"/>
        <w:jc w:val="center"/>
        <w:rPr>
          <w:rStyle w:val="A2"/>
          <w:rFonts w:cs="Times New Roman"/>
          <w:szCs w:val="24"/>
        </w:rPr>
      </w:pPr>
    </w:p>
    <w:p w14:paraId="1FB4334B" w14:textId="77777777" w:rsidR="00FA2263" w:rsidRPr="00EC0229" w:rsidRDefault="00FA2263" w:rsidP="007600EA">
      <w:pPr>
        <w:spacing w:line="276" w:lineRule="auto"/>
        <w:jc w:val="center"/>
        <w:rPr>
          <w:rStyle w:val="A2"/>
          <w:rFonts w:cs="Times New Roman"/>
          <w:szCs w:val="24"/>
        </w:rPr>
      </w:pPr>
    </w:p>
    <w:p w14:paraId="5F20837C" w14:textId="77777777" w:rsidR="00FA2263" w:rsidRPr="00EC0229" w:rsidRDefault="00FA2263" w:rsidP="007600EA">
      <w:pPr>
        <w:spacing w:line="276" w:lineRule="auto"/>
        <w:jc w:val="center"/>
        <w:rPr>
          <w:rStyle w:val="A2"/>
          <w:rFonts w:cs="Times New Roman"/>
          <w:szCs w:val="24"/>
        </w:rPr>
      </w:pPr>
    </w:p>
    <w:p w14:paraId="7D611192" w14:textId="77777777" w:rsidR="00FA2263" w:rsidRPr="00EC0229" w:rsidRDefault="00FA2263" w:rsidP="007600EA">
      <w:pPr>
        <w:spacing w:line="276" w:lineRule="auto"/>
        <w:jc w:val="center"/>
        <w:rPr>
          <w:rStyle w:val="A2"/>
          <w:rFonts w:cs="Times New Roman"/>
          <w:szCs w:val="24"/>
        </w:rPr>
      </w:pPr>
    </w:p>
    <w:p w14:paraId="0FEC12F7" w14:textId="77777777" w:rsidR="00FA2263" w:rsidRPr="00EC0229" w:rsidRDefault="00FA2263" w:rsidP="007600EA">
      <w:pPr>
        <w:spacing w:line="276" w:lineRule="auto"/>
        <w:jc w:val="center"/>
        <w:rPr>
          <w:rStyle w:val="A2"/>
          <w:rFonts w:cs="Times New Roman"/>
          <w:szCs w:val="24"/>
        </w:rPr>
      </w:pPr>
    </w:p>
    <w:p w14:paraId="6EA04A32" w14:textId="77777777" w:rsidR="00FA2263" w:rsidRPr="00EC0229" w:rsidRDefault="00FA2263" w:rsidP="007600EA">
      <w:pPr>
        <w:spacing w:line="276" w:lineRule="auto"/>
        <w:jc w:val="center"/>
        <w:rPr>
          <w:rStyle w:val="A2"/>
          <w:rFonts w:cs="Times New Roman"/>
          <w:szCs w:val="24"/>
        </w:rPr>
      </w:pPr>
    </w:p>
    <w:p w14:paraId="164B5069" w14:textId="77777777" w:rsidR="00FA2263" w:rsidRPr="00EC0229" w:rsidRDefault="00FA2263" w:rsidP="007600EA">
      <w:pPr>
        <w:spacing w:line="276" w:lineRule="auto"/>
        <w:jc w:val="center"/>
        <w:rPr>
          <w:rStyle w:val="A2"/>
          <w:rFonts w:cs="Times New Roman"/>
          <w:szCs w:val="24"/>
        </w:rPr>
      </w:pPr>
    </w:p>
    <w:p w14:paraId="62588384" w14:textId="77777777" w:rsidR="00FA2263" w:rsidRPr="00EC0229" w:rsidRDefault="00FA2263" w:rsidP="007600EA">
      <w:pPr>
        <w:spacing w:line="276" w:lineRule="auto"/>
        <w:jc w:val="center"/>
        <w:rPr>
          <w:rStyle w:val="A2"/>
          <w:rFonts w:cs="Times New Roman"/>
          <w:szCs w:val="24"/>
        </w:rPr>
      </w:pPr>
    </w:p>
    <w:p w14:paraId="64F9514B" w14:textId="61043A92" w:rsidR="00FA2263" w:rsidRPr="00EC0229" w:rsidRDefault="00FA2263" w:rsidP="007600EA">
      <w:pPr>
        <w:spacing w:line="276" w:lineRule="auto"/>
        <w:rPr>
          <w:rStyle w:val="A2"/>
          <w:rFonts w:cs="Times New Roman"/>
          <w:szCs w:val="24"/>
        </w:rPr>
      </w:pPr>
    </w:p>
    <w:p w14:paraId="4B82CDEB" w14:textId="77777777" w:rsidR="00FA2263" w:rsidRPr="00EC0229" w:rsidRDefault="00FA2263" w:rsidP="007600EA">
      <w:pPr>
        <w:spacing w:line="276" w:lineRule="auto"/>
        <w:jc w:val="center"/>
        <w:rPr>
          <w:rStyle w:val="A2"/>
          <w:rFonts w:cs="Times New Roman"/>
          <w:szCs w:val="24"/>
        </w:rPr>
      </w:pPr>
    </w:p>
    <w:p w14:paraId="742294B2" w14:textId="77777777" w:rsidR="00FA2263" w:rsidRPr="00EC0229" w:rsidRDefault="00FA2263" w:rsidP="007600EA">
      <w:pPr>
        <w:spacing w:line="276" w:lineRule="auto"/>
        <w:jc w:val="center"/>
        <w:rPr>
          <w:rStyle w:val="A2"/>
          <w:rFonts w:cs="Times New Roman"/>
          <w:szCs w:val="24"/>
        </w:rPr>
      </w:pPr>
    </w:p>
    <w:p w14:paraId="6DAF792E" w14:textId="77777777" w:rsidR="00FA2263" w:rsidRPr="00EC0229" w:rsidRDefault="00FA2263" w:rsidP="007600EA">
      <w:pPr>
        <w:spacing w:line="276" w:lineRule="auto"/>
        <w:jc w:val="center"/>
        <w:rPr>
          <w:rStyle w:val="A2"/>
          <w:rFonts w:cs="Times New Roman"/>
          <w:szCs w:val="24"/>
        </w:rPr>
      </w:pPr>
    </w:p>
    <w:p w14:paraId="7FC8D81D" w14:textId="77777777" w:rsidR="00FA2263" w:rsidRPr="00EC0229" w:rsidRDefault="00FA2263" w:rsidP="007600EA">
      <w:pPr>
        <w:spacing w:line="276" w:lineRule="auto"/>
        <w:jc w:val="center"/>
        <w:rPr>
          <w:rStyle w:val="A2"/>
          <w:rFonts w:cs="Times New Roman"/>
          <w:szCs w:val="24"/>
        </w:rPr>
      </w:pPr>
    </w:p>
    <w:p w14:paraId="5717BADB" w14:textId="77777777" w:rsidR="00FA2263" w:rsidRPr="00EC0229" w:rsidRDefault="00FA2263" w:rsidP="007600EA">
      <w:pPr>
        <w:spacing w:line="276" w:lineRule="auto"/>
        <w:jc w:val="center"/>
        <w:rPr>
          <w:rStyle w:val="A2"/>
          <w:rFonts w:cs="Times New Roman"/>
          <w:szCs w:val="24"/>
        </w:rPr>
      </w:pPr>
    </w:p>
    <w:p w14:paraId="44685A2C" w14:textId="77777777" w:rsidR="00FA2263" w:rsidRPr="00EC0229" w:rsidRDefault="00FA2263" w:rsidP="007600EA">
      <w:pPr>
        <w:spacing w:line="276" w:lineRule="auto"/>
        <w:jc w:val="center"/>
        <w:rPr>
          <w:rStyle w:val="A2"/>
          <w:rFonts w:cs="Times New Roman"/>
          <w:szCs w:val="24"/>
        </w:rPr>
      </w:pPr>
    </w:p>
    <w:p w14:paraId="72581210" w14:textId="77777777" w:rsidR="00FA2263" w:rsidRPr="00EC0229" w:rsidRDefault="00FA2263" w:rsidP="007600EA">
      <w:pPr>
        <w:spacing w:line="276" w:lineRule="auto"/>
        <w:jc w:val="center"/>
        <w:rPr>
          <w:rStyle w:val="A2"/>
          <w:rFonts w:cs="Times New Roman"/>
          <w:szCs w:val="24"/>
        </w:rPr>
      </w:pPr>
    </w:p>
    <w:p w14:paraId="37B9E5FA" w14:textId="77777777" w:rsidR="00FA2263" w:rsidRPr="00EC0229" w:rsidRDefault="00FA2263" w:rsidP="007600EA">
      <w:pPr>
        <w:spacing w:line="276" w:lineRule="auto"/>
        <w:jc w:val="center"/>
        <w:rPr>
          <w:rStyle w:val="A2"/>
          <w:rFonts w:cs="Times New Roman"/>
          <w:szCs w:val="24"/>
        </w:rPr>
      </w:pPr>
    </w:p>
    <w:p w14:paraId="71B86C87" w14:textId="77777777" w:rsidR="00FA2263" w:rsidRPr="00EC0229" w:rsidRDefault="00FA2263" w:rsidP="007600EA">
      <w:pPr>
        <w:spacing w:line="276" w:lineRule="auto"/>
        <w:jc w:val="center"/>
        <w:rPr>
          <w:rStyle w:val="A2"/>
          <w:rFonts w:cs="Times New Roman"/>
          <w:szCs w:val="24"/>
        </w:rPr>
      </w:pPr>
    </w:p>
    <w:p w14:paraId="4B286689" w14:textId="77777777" w:rsidR="00FA2263" w:rsidRPr="00EC0229" w:rsidRDefault="00FA2263" w:rsidP="007600EA">
      <w:pPr>
        <w:spacing w:line="276" w:lineRule="auto"/>
        <w:jc w:val="center"/>
        <w:rPr>
          <w:rStyle w:val="A2"/>
          <w:rFonts w:cs="Times New Roman"/>
          <w:szCs w:val="24"/>
        </w:rPr>
      </w:pPr>
    </w:p>
    <w:p w14:paraId="67F27A65" w14:textId="77777777" w:rsidR="00FA2263" w:rsidRPr="00EC0229" w:rsidRDefault="00FA2263" w:rsidP="007600EA">
      <w:pPr>
        <w:spacing w:line="276" w:lineRule="auto"/>
        <w:jc w:val="center"/>
        <w:rPr>
          <w:rStyle w:val="A2"/>
          <w:rFonts w:cs="Times New Roman"/>
          <w:szCs w:val="24"/>
        </w:rPr>
      </w:pPr>
    </w:p>
    <w:p w14:paraId="5C4E72B8" w14:textId="77777777" w:rsidR="00FA2263" w:rsidRPr="00EC0229" w:rsidRDefault="00FA2263" w:rsidP="007600EA">
      <w:pPr>
        <w:spacing w:line="276" w:lineRule="auto"/>
        <w:jc w:val="center"/>
        <w:rPr>
          <w:rStyle w:val="A2"/>
          <w:rFonts w:cs="Times New Roman"/>
          <w:szCs w:val="24"/>
        </w:rPr>
      </w:pPr>
    </w:p>
    <w:p w14:paraId="3D6BB895" w14:textId="1CEA5631" w:rsidR="00FA2263" w:rsidRPr="00EC0229" w:rsidRDefault="00FA2263" w:rsidP="007600EA">
      <w:pPr>
        <w:spacing w:line="276" w:lineRule="auto"/>
        <w:jc w:val="center"/>
      </w:pPr>
      <w:r w:rsidRPr="00EC0229">
        <w:rPr>
          <w:rStyle w:val="A2"/>
          <w:rFonts w:cs="Times New Roman"/>
          <w:szCs w:val="24"/>
        </w:rPr>
        <w:t>Dedicated to Alex, Abbie &amp; Magnus.</w:t>
      </w:r>
    </w:p>
    <w:p w14:paraId="263C5B35" w14:textId="39F8FA91" w:rsidR="009B1886" w:rsidRPr="00EC0229" w:rsidRDefault="009B1886" w:rsidP="007600EA">
      <w:pPr>
        <w:spacing w:line="276" w:lineRule="auto"/>
        <w:rPr>
          <w:rStyle w:val="A2"/>
          <w:rFonts w:cs="Times New Roman"/>
          <w:szCs w:val="24"/>
        </w:rPr>
        <w:sectPr w:rsidR="009B1886" w:rsidRPr="00EC0229" w:rsidSect="00B813BD">
          <w:pgSz w:w="11906" w:h="16838"/>
          <w:pgMar w:top="1440" w:right="1440" w:bottom="1440" w:left="1440" w:header="708" w:footer="708" w:gutter="0"/>
          <w:pgNumType w:fmt="lowerRoman"/>
          <w:cols w:space="708"/>
          <w:titlePg/>
          <w:docGrid w:linePitch="360"/>
        </w:sectPr>
      </w:pPr>
    </w:p>
    <w:p w14:paraId="3F9A4B24" w14:textId="5213E466" w:rsidR="00721D2D" w:rsidRPr="00EC0229" w:rsidRDefault="00721D2D" w:rsidP="007600EA">
      <w:pPr>
        <w:pStyle w:val="Pa2"/>
        <w:spacing w:line="276" w:lineRule="auto"/>
        <w:rPr>
          <w:rFonts w:ascii="Times New Roman" w:hAnsi="Times New Roman" w:cs="Times New Roman"/>
          <w:color w:val="000000"/>
        </w:rPr>
      </w:pPr>
    </w:p>
    <w:p w14:paraId="1D4179B9" w14:textId="77777777" w:rsidR="009246C2" w:rsidRPr="00EC0229" w:rsidRDefault="009453D6" w:rsidP="007600EA">
      <w:pPr>
        <w:spacing w:line="276" w:lineRule="auto"/>
        <w:jc w:val="center"/>
      </w:pPr>
      <w:bookmarkStart w:id="7" w:name="Frontispiece"/>
      <w:bookmarkEnd w:id="7"/>
      <w:r w:rsidRPr="00EC0229">
        <w:rPr>
          <w:noProof/>
          <w:lang w:eastAsia="en-GB"/>
        </w:rPr>
        <w:drawing>
          <wp:inline distT="0" distB="0" distL="0" distR="0" wp14:anchorId="4BDAFAA0" wp14:editId="2ACDAE82">
            <wp:extent cx="4133088" cy="6873240"/>
            <wp:effectExtent l="0" t="0" r="127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ispiece - Spanheim.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33088" cy="6873240"/>
                    </a:xfrm>
                    <a:prstGeom prst="rect">
                      <a:avLst/>
                    </a:prstGeom>
                  </pic:spPr>
                </pic:pic>
              </a:graphicData>
            </a:graphic>
          </wp:inline>
        </w:drawing>
      </w:r>
    </w:p>
    <w:p w14:paraId="75C99988" w14:textId="77777777" w:rsidR="009B1886" w:rsidRPr="00EC0229" w:rsidRDefault="00721D2D" w:rsidP="007600EA">
      <w:pPr>
        <w:pStyle w:val="Heading3"/>
        <w:spacing w:line="276" w:lineRule="auto"/>
        <w:jc w:val="center"/>
        <w:sectPr w:rsidR="009B1886" w:rsidRPr="00EC0229" w:rsidSect="00B813BD">
          <w:pgSz w:w="11906" w:h="16838"/>
          <w:pgMar w:top="1440" w:right="1440" w:bottom="1440" w:left="1440" w:header="708" w:footer="708" w:gutter="0"/>
          <w:pgNumType w:fmt="lowerRoman"/>
          <w:cols w:space="708"/>
          <w:titlePg/>
          <w:docGrid w:linePitch="360"/>
        </w:sectPr>
      </w:pPr>
      <w:bookmarkStart w:id="8" w:name="_Toc468266720"/>
      <w:r w:rsidRPr="00EC0229">
        <w:rPr>
          <w:b w:val="0"/>
        </w:rPr>
        <w:t>Frontispiece</w:t>
      </w:r>
      <w:r w:rsidR="002A2C32" w:rsidRPr="00EC0229">
        <w:rPr>
          <w:b w:val="0"/>
        </w:rPr>
        <w:fldChar w:fldCharType="begin"/>
      </w:r>
      <w:r w:rsidR="002A2C32" w:rsidRPr="00EC0229">
        <w:rPr>
          <w:b w:val="0"/>
        </w:rPr>
        <w:instrText xml:space="preserve"> XE "Frontispiece" </w:instrText>
      </w:r>
      <w:r w:rsidR="002A2C32" w:rsidRPr="00EC0229">
        <w:rPr>
          <w:b w:val="0"/>
        </w:rPr>
        <w:fldChar w:fldCharType="end"/>
      </w:r>
      <w:r w:rsidRPr="00EC0229">
        <w:rPr>
          <w:b w:val="0"/>
        </w:rPr>
        <w:t xml:space="preserve">: </w:t>
      </w:r>
      <w:r w:rsidR="00487B30" w:rsidRPr="00EC0229">
        <w:rPr>
          <w:b w:val="0"/>
          <w:i/>
        </w:rPr>
        <w:t>Numismatum Antiquorum</w:t>
      </w:r>
      <w:r w:rsidR="00487B30" w:rsidRPr="00EC0229">
        <w:rPr>
          <w:b w:val="0"/>
        </w:rPr>
        <w:t xml:space="preserve">, </w:t>
      </w:r>
      <w:r w:rsidRPr="00EC0229">
        <w:rPr>
          <w:b w:val="0"/>
        </w:rPr>
        <w:t>Ezekial Spanheim, 1664</w:t>
      </w:r>
      <w:bookmarkEnd w:id="8"/>
    </w:p>
    <w:p w14:paraId="0D2E39F5" w14:textId="77777777" w:rsidR="0060077F" w:rsidRPr="00EC0229" w:rsidRDefault="0060077F" w:rsidP="007600EA">
      <w:pPr>
        <w:pStyle w:val="Heading1"/>
        <w:spacing w:line="276" w:lineRule="auto"/>
      </w:pPr>
      <w:bookmarkStart w:id="9" w:name="_Toc468266721"/>
      <w:r w:rsidRPr="00EC0229">
        <w:lastRenderedPageBreak/>
        <w:t>Abstract</w:t>
      </w:r>
      <w:bookmarkEnd w:id="9"/>
      <w:r w:rsidRPr="00EC0229">
        <w:fldChar w:fldCharType="begin"/>
      </w:r>
      <w:r w:rsidRPr="00EC0229">
        <w:instrText xml:space="preserve"> XE </w:instrText>
      </w:r>
      <w:r w:rsidRPr="00EC0229">
        <w:rPr>
          <w:b w:val="0"/>
          <w:sz w:val="24"/>
          <w:szCs w:val="24"/>
        </w:rPr>
        <w:instrText>"</w:instrText>
      </w:r>
      <w:r w:rsidRPr="00EC0229">
        <w:rPr>
          <w:rStyle w:val="Hyperlink"/>
          <w:b w:val="0"/>
          <w:noProof/>
          <w:sz w:val="24"/>
          <w:szCs w:val="24"/>
          <w:u w:val="none"/>
        </w:rPr>
        <w:instrText>Abstract</w:instrText>
      </w:r>
      <w:r w:rsidRPr="00EC0229">
        <w:rPr>
          <w:b w:val="0"/>
          <w:sz w:val="24"/>
          <w:szCs w:val="24"/>
        </w:rPr>
        <w:instrText>"</w:instrText>
      </w:r>
      <w:r w:rsidRPr="00EC0229">
        <w:instrText xml:space="preserve"> </w:instrText>
      </w:r>
      <w:r w:rsidRPr="00EC0229">
        <w:fldChar w:fldCharType="end"/>
      </w:r>
    </w:p>
    <w:p w14:paraId="0E120FD6" w14:textId="20D20DF2" w:rsidR="00A97699" w:rsidRPr="00EC0229" w:rsidRDefault="00A97699" w:rsidP="00A97699">
      <w:pPr>
        <w:pStyle w:val="NoSpacing"/>
        <w:spacing w:line="360" w:lineRule="auto"/>
      </w:pPr>
      <w:r w:rsidRPr="00EC0229">
        <w:t xml:space="preserve">This thesis describes the evolutionary process of </w:t>
      </w:r>
      <w:r w:rsidR="003F2041" w:rsidRPr="00EC0229">
        <w:t>monetiz</w:t>
      </w:r>
      <w:r w:rsidRPr="00EC0229">
        <w:t>ation in Northumbria. It shows how the monetary and fiscal functions of coinage grew as the face-value of coins fell.</w:t>
      </w:r>
    </w:p>
    <w:p w14:paraId="65F62CC0" w14:textId="77777777" w:rsidR="00A97699" w:rsidRPr="00EC0229" w:rsidRDefault="00A97699" w:rsidP="00A97699">
      <w:pPr>
        <w:pStyle w:val="NoSpacing"/>
        <w:spacing w:line="360" w:lineRule="auto"/>
      </w:pPr>
    </w:p>
    <w:p w14:paraId="301FC1CE" w14:textId="08F9AC30" w:rsidR="00A97699" w:rsidRPr="00EC0229" w:rsidRDefault="00A97699" w:rsidP="00A97699">
      <w:pPr>
        <w:pStyle w:val="NoSpacing"/>
        <w:spacing w:line="360" w:lineRule="auto"/>
      </w:pPr>
      <w:r w:rsidRPr="00EC0229">
        <w:t>Part One describes the numismatic and historical background to the phases of Northumbrian coinage. A new and significant interpretation of the York gold shilling is given, but analysis of sceats largely follows conventional lines. The focus is the introduction and growth of the copper-alloy styca. Research into stycas was confounded by Pirie</w:t>
      </w:r>
      <w:r w:rsidRPr="00EC0229">
        <w:fldChar w:fldCharType="begin"/>
      </w:r>
      <w:r w:rsidRPr="00EC0229">
        <w:instrText xml:space="preserve"> XE "Pirie" </w:instrText>
      </w:r>
      <w:r w:rsidRPr="00EC0229">
        <w:fldChar w:fldCharType="end"/>
      </w:r>
      <w:r w:rsidRPr="00EC0229">
        <w:t xml:space="preserve">’s taxonomy, in her otherwise commendable </w:t>
      </w:r>
      <w:r w:rsidRPr="00EC0229">
        <w:rPr>
          <w:i/>
        </w:rPr>
        <w:t>Coins of the Kingdom of Northumbria</w:t>
      </w:r>
      <w:r w:rsidRPr="00EC0229">
        <w:t>. The digitization of Pirie</w:t>
      </w:r>
      <w:r w:rsidRPr="00EC0229">
        <w:fldChar w:fldCharType="begin"/>
      </w:r>
      <w:r w:rsidRPr="00EC0229">
        <w:instrText xml:space="preserve"> XE "Pirie" </w:instrText>
      </w:r>
      <w:r w:rsidRPr="00EC0229">
        <w:fldChar w:fldCharType="end"/>
      </w:r>
      <w:r w:rsidRPr="00EC0229">
        <w:t xml:space="preserve">’s catalogue, discussed in Part Two, removes this impediment to research. The </w:t>
      </w:r>
      <w:r w:rsidR="005D0690" w:rsidRPr="00EC0229">
        <w:t>database</w:t>
      </w:r>
      <w:r w:rsidRPr="00EC0229">
        <w:t xml:space="preserve"> is augmented by information relating to </w:t>
      </w:r>
      <w:r w:rsidRPr="00EC0229">
        <w:rPr>
          <w:i/>
        </w:rPr>
        <w:t>c.</w:t>
      </w:r>
      <w:r w:rsidRPr="00EC0229">
        <w:t xml:space="preserve">8000 coins from online and informal sources. A new </w:t>
      </w:r>
      <w:r w:rsidRPr="00EC0229">
        <w:fldChar w:fldCharType="begin"/>
      </w:r>
      <w:r w:rsidRPr="00EC0229">
        <w:instrText xml:space="preserve"> XE "PAS" </w:instrText>
      </w:r>
      <w:r w:rsidRPr="00EC0229">
        <w:fldChar w:fldCharType="end"/>
      </w:r>
      <w:r w:rsidR="006C328D" w:rsidRPr="00EC0229">
        <w:t>periodization</w:t>
      </w:r>
      <w:r w:rsidRPr="00EC0229">
        <w:t xml:space="preserve"> has been created and statistical tools developed for analysing and comparing individual sites within regions.</w:t>
      </w:r>
    </w:p>
    <w:p w14:paraId="4D5ABF92" w14:textId="77777777" w:rsidR="00A97699" w:rsidRPr="00EC0229" w:rsidRDefault="00A97699" w:rsidP="00A97699">
      <w:pPr>
        <w:pStyle w:val="NoSpacing"/>
        <w:spacing w:line="360" w:lineRule="auto"/>
      </w:pPr>
    </w:p>
    <w:p w14:paraId="2D7425AC" w14:textId="5EEB2B4D" w:rsidR="00A97699" w:rsidRPr="00EC0229" w:rsidRDefault="00A97699" w:rsidP="00A97699">
      <w:pPr>
        <w:pStyle w:val="NoSpacing"/>
        <w:spacing w:line="360" w:lineRule="auto"/>
      </w:pPr>
      <w:r w:rsidRPr="00EC0229">
        <w:t xml:space="preserve">Case studies in the economically active regions of Northumbria are supported by descriptions of finds of coins in association with artefacts, assessed on a parish basis. A numerical synthesis of coin- and artefact-rich locations facilitates comparisons between regions by the creation of statistical devices including the </w:t>
      </w:r>
      <w:r w:rsidRPr="00EC0229">
        <w:rPr>
          <w:i/>
        </w:rPr>
        <w:t xml:space="preserve">coefficient of </w:t>
      </w:r>
      <w:r w:rsidR="003F2041" w:rsidRPr="00EC0229">
        <w:rPr>
          <w:i/>
        </w:rPr>
        <w:t>monetiz</w:t>
      </w:r>
      <w:r w:rsidRPr="00EC0229">
        <w:rPr>
          <w:i/>
        </w:rPr>
        <w:t>ation</w:t>
      </w:r>
      <w:r w:rsidRPr="00EC0229">
        <w:rPr>
          <w:i/>
        </w:rPr>
        <w:fldChar w:fldCharType="begin"/>
      </w:r>
      <w:r w:rsidRPr="00EC0229">
        <w:rPr>
          <w:i/>
        </w:rPr>
        <w:instrText xml:space="preserve"> XE "monetization" </w:instrText>
      </w:r>
      <w:r w:rsidRPr="00EC0229">
        <w:rPr>
          <w:i/>
        </w:rPr>
        <w:fldChar w:fldCharType="end"/>
      </w:r>
      <w:r w:rsidRPr="00EC0229">
        <w:t xml:space="preserve"> (the ratio of locations with both coins and portable artefacts to those with only the latter), measures of coin mix and comparisons finds distributions.</w:t>
      </w:r>
    </w:p>
    <w:p w14:paraId="5BD604F5" w14:textId="77777777" w:rsidR="00A97699" w:rsidRPr="00EC0229" w:rsidRDefault="00A97699" w:rsidP="00A97699">
      <w:pPr>
        <w:pStyle w:val="NoSpacing"/>
        <w:spacing w:line="360" w:lineRule="auto"/>
      </w:pPr>
    </w:p>
    <w:p w14:paraId="3C89242A" w14:textId="358E343D" w:rsidR="00A97699" w:rsidRPr="00EC0229" w:rsidRDefault="00A97699" w:rsidP="00A97699">
      <w:pPr>
        <w:pStyle w:val="NoSpacing"/>
        <w:spacing w:line="360" w:lineRule="auto"/>
      </w:pPr>
      <w:r w:rsidRPr="00EC0229">
        <w:t xml:space="preserve">The primary conclusion is that Northumbria benefitted increasingly, both monetarily and fiscally, as the face-value of coins fell. Secondary conclusions are that there is a strong episcopal presence in York exemplified by Paulinus’s emissions at the forefront of English </w:t>
      </w:r>
      <w:r w:rsidR="003F2041" w:rsidRPr="00EC0229">
        <w:t>monetiz</w:t>
      </w:r>
      <w:r w:rsidRPr="00EC0229">
        <w:t>ation; Northumbrian coin production was erratic; the Yorkshire Wolds</w:t>
      </w:r>
      <w:r w:rsidR="00A1466F" w:rsidRPr="00EC0229">
        <w:t xml:space="preserve"> were more highly </w:t>
      </w:r>
      <w:r w:rsidR="003F2041" w:rsidRPr="00EC0229">
        <w:t>monetiz</w:t>
      </w:r>
      <w:r w:rsidR="00A1466F" w:rsidRPr="00EC0229">
        <w:t>ed than</w:t>
      </w:r>
      <w:r w:rsidRPr="00EC0229">
        <w:t xml:space="preserve"> the surrounding lowlands indicating a more enterprising culture; styca hoards represent episcopal expropriations; site shifting took place in the central lowlands of Northumbria, and the status of Fishergate as a </w:t>
      </w:r>
      <w:r w:rsidRPr="00EC0229">
        <w:rPr>
          <w:i/>
        </w:rPr>
        <w:t>wic</w:t>
      </w:r>
      <w:r w:rsidRPr="00EC0229">
        <w:t xml:space="preserve"> is uncertain.</w:t>
      </w:r>
    </w:p>
    <w:p w14:paraId="743D2E14" w14:textId="77777777" w:rsidR="00A97699" w:rsidRPr="00EC0229" w:rsidRDefault="00A97699" w:rsidP="00A97699">
      <w:pPr>
        <w:pStyle w:val="NoSpacing"/>
        <w:spacing w:line="360" w:lineRule="auto"/>
      </w:pPr>
    </w:p>
    <w:p w14:paraId="6A1DB8C3" w14:textId="77777777" w:rsidR="00A97699" w:rsidRPr="00EC0229" w:rsidRDefault="00A97699" w:rsidP="00A97699">
      <w:pPr>
        <w:pStyle w:val="NoSpacing"/>
        <w:spacing w:line="360" w:lineRule="auto"/>
      </w:pPr>
      <w:r w:rsidRPr="00EC0229">
        <w:t>(296 words)</w:t>
      </w:r>
    </w:p>
    <w:p w14:paraId="26D3BDE9" w14:textId="35D06F75" w:rsidR="00A515D7" w:rsidRPr="00EC0229" w:rsidRDefault="0060077F" w:rsidP="008F547C">
      <w:pPr>
        <w:pStyle w:val="Heading1"/>
      </w:pPr>
      <w:r w:rsidRPr="00EC0229">
        <w:br w:type="page"/>
      </w:r>
      <w:bookmarkStart w:id="10" w:name="Contents"/>
      <w:bookmarkStart w:id="11" w:name="_Toc468266722"/>
      <w:bookmarkEnd w:id="10"/>
      <w:r w:rsidR="00E277BE" w:rsidRPr="00EC0229">
        <w:lastRenderedPageBreak/>
        <w:t>Contents</w:t>
      </w:r>
      <w:bookmarkEnd w:id="11"/>
      <w:r w:rsidR="00584C42" w:rsidRPr="00EC0229">
        <w:fldChar w:fldCharType="begin"/>
      </w:r>
      <w:r w:rsidR="00584C42" w:rsidRPr="00EC0229">
        <w:instrText xml:space="preserve"> XE </w:instrText>
      </w:r>
      <w:r w:rsidR="00584C42" w:rsidRPr="00EC0229">
        <w:rPr>
          <w:szCs w:val="24"/>
        </w:rPr>
        <w:instrText>"</w:instrText>
      </w:r>
      <w:r w:rsidR="00584C42" w:rsidRPr="00EC0229">
        <w:rPr>
          <w:rStyle w:val="Hyperlink"/>
          <w:b w:val="0"/>
          <w:noProof/>
          <w:szCs w:val="24"/>
          <w:u w:val="none"/>
        </w:rPr>
        <w:instrText>Contents</w:instrText>
      </w:r>
      <w:r w:rsidR="00584C42" w:rsidRPr="00EC0229">
        <w:rPr>
          <w:szCs w:val="24"/>
        </w:rPr>
        <w:instrText>"</w:instrText>
      </w:r>
      <w:r w:rsidR="00584C42" w:rsidRPr="00EC0229">
        <w:instrText xml:space="preserve"> </w:instrText>
      </w:r>
      <w:r w:rsidR="00584C42" w:rsidRPr="00EC0229">
        <w:fldChar w:fldCharType="end"/>
      </w:r>
    </w:p>
    <w:p w14:paraId="7F9C4369" w14:textId="77777777" w:rsidR="00A515D7" w:rsidRPr="00EC0229" w:rsidRDefault="00A515D7" w:rsidP="007600EA">
      <w:pPr>
        <w:pStyle w:val="NoSpacing"/>
        <w:spacing w:line="276" w:lineRule="auto"/>
        <w:rPr>
          <w:sz w:val="28"/>
          <w:szCs w:val="28"/>
        </w:rPr>
      </w:pPr>
      <w:bookmarkStart w:id="12" w:name="VOLUMEONE"/>
      <w:bookmarkEnd w:id="12"/>
      <w:r w:rsidRPr="00EC0229">
        <w:rPr>
          <w:sz w:val="28"/>
          <w:szCs w:val="28"/>
        </w:rPr>
        <w:t>VOLUME ONE: NARRATIVE</w:t>
      </w:r>
    </w:p>
    <w:p w14:paraId="06A41B3E" w14:textId="3175A36A" w:rsidR="0012026B" w:rsidRDefault="00D13FDE">
      <w:pPr>
        <w:pStyle w:val="TOC1"/>
        <w:tabs>
          <w:tab w:val="right" w:leader="dot" w:pos="9016"/>
        </w:tabs>
        <w:rPr>
          <w:rFonts w:asciiTheme="minorHAnsi" w:eastAsiaTheme="minorEastAsia" w:hAnsiTheme="minorHAnsi"/>
          <w:noProof/>
          <w:sz w:val="22"/>
          <w:lang w:eastAsia="en-GB"/>
        </w:rPr>
      </w:pPr>
      <w:r w:rsidRPr="00EC0229">
        <w:rPr>
          <w:rFonts w:cs="Times New Roman"/>
          <w:b/>
          <w:sz w:val="28"/>
          <w:szCs w:val="28"/>
        </w:rPr>
        <w:fldChar w:fldCharType="begin"/>
      </w:r>
      <w:r w:rsidRPr="00EC0229">
        <w:rPr>
          <w:rFonts w:cs="Times New Roman"/>
          <w:b/>
          <w:sz w:val="28"/>
          <w:szCs w:val="28"/>
        </w:rPr>
        <w:instrText xml:space="preserve"> TOC \o "1-4" \h \z \u </w:instrText>
      </w:r>
      <w:r w:rsidRPr="00EC0229">
        <w:rPr>
          <w:rFonts w:cs="Times New Roman"/>
          <w:b/>
          <w:sz w:val="28"/>
          <w:szCs w:val="28"/>
        </w:rPr>
        <w:fldChar w:fldCharType="separate"/>
      </w:r>
      <w:hyperlink w:anchor="_Toc468266715" w:history="1">
        <w:r w:rsidR="0012026B" w:rsidRPr="009765CA">
          <w:rPr>
            <w:rStyle w:val="Hyperlink"/>
            <w:noProof/>
          </w:rPr>
          <w:t>‘Where there’s muck there’s brass!’</w:t>
        </w:r>
        <w:r w:rsidR="0012026B">
          <w:rPr>
            <w:noProof/>
            <w:webHidden/>
          </w:rPr>
          <w:tab/>
        </w:r>
        <w:r w:rsidR="0012026B">
          <w:rPr>
            <w:noProof/>
            <w:webHidden/>
          </w:rPr>
          <w:fldChar w:fldCharType="begin"/>
        </w:r>
        <w:r w:rsidR="0012026B">
          <w:rPr>
            <w:noProof/>
            <w:webHidden/>
          </w:rPr>
          <w:instrText xml:space="preserve"> PAGEREF _Toc468266715 \h </w:instrText>
        </w:r>
        <w:r w:rsidR="0012026B">
          <w:rPr>
            <w:noProof/>
            <w:webHidden/>
          </w:rPr>
        </w:r>
        <w:r w:rsidR="0012026B">
          <w:rPr>
            <w:noProof/>
            <w:webHidden/>
          </w:rPr>
          <w:fldChar w:fldCharType="separate"/>
        </w:r>
        <w:r w:rsidR="0012026B">
          <w:rPr>
            <w:noProof/>
            <w:webHidden/>
          </w:rPr>
          <w:t>i</w:t>
        </w:r>
        <w:r w:rsidR="0012026B">
          <w:rPr>
            <w:noProof/>
            <w:webHidden/>
          </w:rPr>
          <w:fldChar w:fldCharType="end"/>
        </w:r>
      </w:hyperlink>
    </w:p>
    <w:p w14:paraId="60B5DBC2" w14:textId="2117D1D5" w:rsidR="0012026B" w:rsidRDefault="00B32C9A">
      <w:pPr>
        <w:pStyle w:val="TOC1"/>
        <w:tabs>
          <w:tab w:val="right" w:leader="dot" w:pos="9016"/>
        </w:tabs>
        <w:rPr>
          <w:rFonts w:asciiTheme="minorHAnsi" w:eastAsiaTheme="minorEastAsia" w:hAnsiTheme="minorHAnsi"/>
          <w:noProof/>
          <w:sz w:val="22"/>
          <w:lang w:eastAsia="en-GB"/>
        </w:rPr>
      </w:pPr>
      <w:hyperlink w:anchor="_Toc468266716" w:history="1">
        <w:r w:rsidR="0012026B" w:rsidRPr="009765CA">
          <w:rPr>
            <w:rStyle w:val="Hyperlink"/>
            <w:noProof/>
            <w:spacing w:val="-10"/>
            <w:kern w:val="28"/>
          </w:rPr>
          <w:t>Coinage in the Northumbrian landscape and economy, c.575 – c.867</w:t>
        </w:r>
        <w:r w:rsidR="0012026B">
          <w:rPr>
            <w:noProof/>
            <w:webHidden/>
          </w:rPr>
          <w:tab/>
        </w:r>
        <w:r w:rsidR="0012026B">
          <w:rPr>
            <w:noProof/>
            <w:webHidden/>
          </w:rPr>
          <w:fldChar w:fldCharType="begin"/>
        </w:r>
        <w:r w:rsidR="0012026B">
          <w:rPr>
            <w:noProof/>
            <w:webHidden/>
          </w:rPr>
          <w:instrText xml:space="preserve"> PAGEREF _Toc468266716 \h </w:instrText>
        </w:r>
        <w:r w:rsidR="0012026B">
          <w:rPr>
            <w:noProof/>
            <w:webHidden/>
          </w:rPr>
        </w:r>
        <w:r w:rsidR="0012026B">
          <w:rPr>
            <w:noProof/>
            <w:webHidden/>
          </w:rPr>
          <w:fldChar w:fldCharType="separate"/>
        </w:r>
        <w:r w:rsidR="0012026B">
          <w:rPr>
            <w:noProof/>
            <w:webHidden/>
          </w:rPr>
          <w:t>i</w:t>
        </w:r>
        <w:r w:rsidR="0012026B">
          <w:rPr>
            <w:noProof/>
            <w:webHidden/>
          </w:rPr>
          <w:fldChar w:fldCharType="end"/>
        </w:r>
      </w:hyperlink>
    </w:p>
    <w:p w14:paraId="3BBC9132" w14:textId="3BB62057" w:rsidR="0012026B" w:rsidRDefault="00B32C9A">
      <w:pPr>
        <w:pStyle w:val="TOC3"/>
        <w:tabs>
          <w:tab w:val="right" w:leader="dot" w:pos="9016"/>
        </w:tabs>
        <w:rPr>
          <w:rFonts w:asciiTheme="minorHAnsi" w:eastAsiaTheme="minorEastAsia" w:hAnsiTheme="minorHAnsi"/>
          <w:noProof/>
          <w:sz w:val="22"/>
          <w:lang w:eastAsia="en-GB"/>
        </w:rPr>
      </w:pPr>
      <w:hyperlink w:anchor="_Toc468266717" w:history="1">
        <w:r w:rsidR="0012026B" w:rsidRPr="009765CA">
          <w:rPr>
            <w:rStyle w:val="Hyperlink"/>
            <w:noProof/>
          </w:rPr>
          <w:t>Declaration</w:t>
        </w:r>
        <w:r w:rsidR="0012026B">
          <w:rPr>
            <w:noProof/>
            <w:webHidden/>
          </w:rPr>
          <w:tab/>
        </w:r>
        <w:r w:rsidR="0012026B">
          <w:rPr>
            <w:noProof/>
            <w:webHidden/>
          </w:rPr>
          <w:fldChar w:fldCharType="begin"/>
        </w:r>
        <w:r w:rsidR="0012026B">
          <w:rPr>
            <w:noProof/>
            <w:webHidden/>
          </w:rPr>
          <w:instrText xml:space="preserve"> PAGEREF _Toc468266717 \h </w:instrText>
        </w:r>
        <w:r w:rsidR="0012026B">
          <w:rPr>
            <w:noProof/>
            <w:webHidden/>
          </w:rPr>
        </w:r>
        <w:r w:rsidR="0012026B">
          <w:rPr>
            <w:noProof/>
            <w:webHidden/>
          </w:rPr>
          <w:fldChar w:fldCharType="separate"/>
        </w:r>
        <w:r w:rsidR="0012026B">
          <w:rPr>
            <w:noProof/>
            <w:webHidden/>
          </w:rPr>
          <w:t>ii</w:t>
        </w:r>
        <w:r w:rsidR="0012026B">
          <w:rPr>
            <w:noProof/>
            <w:webHidden/>
          </w:rPr>
          <w:fldChar w:fldCharType="end"/>
        </w:r>
      </w:hyperlink>
    </w:p>
    <w:p w14:paraId="4C1AFE56" w14:textId="56E40F86" w:rsidR="0012026B" w:rsidRDefault="00B32C9A">
      <w:pPr>
        <w:pStyle w:val="TOC3"/>
        <w:tabs>
          <w:tab w:val="right" w:leader="dot" w:pos="9016"/>
        </w:tabs>
        <w:rPr>
          <w:rFonts w:asciiTheme="minorHAnsi" w:eastAsiaTheme="minorEastAsia" w:hAnsiTheme="minorHAnsi"/>
          <w:noProof/>
          <w:sz w:val="22"/>
          <w:lang w:eastAsia="en-GB"/>
        </w:rPr>
      </w:pPr>
      <w:hyperlink w:anchor="_Toc468266718" w:history="1">
        <w:r w:rsidR="0012026B" w:rsidRPr="009765CA">
          <w:rPr>
            <w:rStyle w:val="Hyperlink"/>
            <w:noProof/>
          </w:rPr>
          <w:t>Statement of Copyright</w:t>
        </w:r>
        <w:r w:rsidR="0012026B">
          <w:rPr>
            <w:noProof/>
            <w:webHidden/>
          </w:rPr>
          <w:tab/>
        </w:r>
        <w:r w:rsidR="0012026B">
          <w:rPr>
            <w:noProof/>
            <w:webHidden/>
          </w:rPr>
          <w:fldChar w:fldCharType="begin"/>
        </w:r>
        <w:r w:rsidR="0012026B">
          <w:rPr>
            <w:noProof/>
            <w:webHidden/>
          </w:rPr>
          <w:instrText xml:space="preserve"> PAGEREF _Toc468266718 \h </w:instrText>
        </w:r>
        <w:r w:rsidR="0012026B">
          <w:rPr>
            <w:noProof/>
            <w:webHidden/>
          </w:rPr>
        </w:r>
        <w:r w:rsidR="0012026B">
          <w:rPr>
            <w:noProof/>
            <w:webHidden/>
          </w:rPr>
          <w:fldChar w:fldCharType="separate"/>
        </w:r>
        <w:r w:rsidR="0012026B">
          <w:rPr>
            <w:noProof/>
            <w:webHidden/>
          </w:rPr>
          <w:t>ii</w:t>
        </w:r>
        <w:r w:rsidR="0012026B">
          <w:rPr>
            <w:noProof/>
            <w:webHidden/>
          </w:rPr>
          <w:fldChar w:fldCharType="end"/>
        </w:r>
      </w:hyperlink>
    </w:p>
    <w:p w14:paraId="429BF48C" w14:textId="7C30E1EE" w:rsidR="0012026B" w:rsidRDefault="00B32C9A">
      <w:pPr>
        <w:pStyle w:val="TOC3"/>
        <w:tabs>
          <w:tab w:val="right" w:leader="dot" w:pos="9016"/>
        </w:tabs>
        <w:rPr>
          <w:rFonts w:asciiTheme="minorHAnsi" w:eastAsiaTheme="minorEastAsia" w:hAnsiTheme="minorHAnsi"/>
          <w:noProof/>
          <w:sz w:val="22"/>
          <w:lang w:eastAsia="en-GB"/>
        </w:rPr>
      </w:pPr>
      <w:hyperlink w:anchor="_Toc468266719" w:history="1">
        <w:r w:rsidR="0012026B" w:rsidRPr="009765CA">
          <w:rPr>
            <w:rStyle w:val="Hyperlink"/>
            <w:noProof/>
          </w:rPr>
          <w:t>Presentation of Material</w:t>
        </w:r>
        <w:r w:rsidR="0012026B">
          <w:rPr>
            <w:noProof/>
            <w:webHidden/>
          </w:rPr>
          <w:tab/>
        </w:r>
        <w:r w:rsidR="0012026B">
          <w:rPr>
            <w:noProof/>
            <w:webHidden/>
          </w:rPr>
          <w:fldChar w:fldCharType="begin"/>
        </w:r>
        <w:r w:rsidR="0012026B">
          <w:rPr>
            <w:noProof/>
            <w:webHidden/>
          </w:rPr>
          <w:instrText xml:space="preserve"> PAGEREF _Toc468266719 \h </w:instrText>
        </w:r>
        <w:r w:rsidR="0012026B">
          <w:rPr>
            <w:noProof/>
            <w:webHidden/>
          </w:rPr>
        </w:r>
        <w:r w:rsidR="0012026B">
          <w:rPr>
            <w:noProof/>
            <w:webHidden/>
          </w:rPr>
          <w:fldChar w:fldCharType="separate"/>
        </w:r>
        <w:r w:rsidR="0012026B">
          <w:rPr>
            <w:noProof/>
            <w:webHidden/>
          </w:rPr>
          <w:t>ii</w:t>
        </w:r>
        <w:r w:rsidR="0012026B">
          <w:rPr>
            <w:noProof/>
            <w:webHidden/>
          </w:rPr>
          <w:fldChar w:fldCharType="end"/>
        </w:r>
      </w:hyperlink>
    </w:p>
    <w:p w14:paraId="74016763" w14:textId="1641DF69" w:rsidR="0012026B" w:rsidRDefault="00B32C9A">
      <w:pPr>
        <w:pStyle w:val="TOC3"/>
        <w:tabs>
          <w:tab w:val="right" w:leader="dot" w:pos="9016"/>
        </w:tabs>
        <w:rPr>
          <w:rFonts w:asciiTheme="minorHAnsi" w:eastAsiaTheme="minorEastAsia" w:hAnsiTheme="minorHAnsi"/>
          <w:noProof/>
          <w:sz w:val="22"/>
          <w:lang w:eastAsia="en-GB"/>
        </w:rPr>
      </w:pPr>
      <w:hyperlink w:anchor="_Toc468266720" w:history="1">
        <w:r w:rsidR="0012026B" w:rsidRPr="009765CA">
          <w:rPr>
            <w:rStyle w:val="Hyperlink"/>
            <w:noProof/>
          </w:rPr>
          <w:t>Frontispiece: Numismatum Antiquorum, Ezekial Spanheim, 1664</w:t>
        </w:r>
        <w:r w:rsidR="0012026B">
          <w:rPr>
            <w:noProof/>
            <w:webHidden/>
          </w:rPr>
          <w:tab/>
        </w:r>
        <w:r w:rsidR="0012026B">
          <w:rPr>
            <w:noProof/>
            <w:webHidden/>
          </w:rPr>
          <w:fldChar w:fldCharType="begin"/>
        </w:r>
        <w:r w:rsidR="0012026B">
          <w:rPr>
            <w:noProof/>
            <w:webHidden/>
          </w:rPr>
          <w:instrText xml:space="preserve"> PAGEREF _Toc468266720 \h </w:instrText>
        </w:r>
        <w:r w:rsidR="0012026B">
          <w:rPr>
            <w:noProof/>
            <w:webHidden/>
          </w:rPr>
        </w:r>
        <w:r w:rsidR="0012026B">
          <w:rPr>
            <w:noProof/>
            <w:webHidden/>
          </w:rPr>
          <w:fldChar w:fldCharType="separate"/>
        </w:r>
        <w:r w:rsidR="0012026B">
          <w:rPr>
            <w:noProof/>
            <w:webHidden/>
          </w:rPr>
          <w:t>iv</w:t>
        </w:r>
        <w:r w:rsidR="0012026B">
          <w:rPr>
            <w:noProof/>
            <w:webHidden/>
          </w:rPr>
          <w:fldChar w:fldCharType="end"/>
        </w:r>
      </w:hyperlink>
    </w:p>
    <w:p w14:paraId="74E83A92" w14:textId="451628A3" w:rsidR="0012026B" w:rsidRDefault="00B32C9A">
      <w:pPr>
        <w:pStyle w:val="TOC1"/>
        <w:tabs>
          <w:tab w:val="right" w:leader="dot" w:pos="9016"/>
        </w:tabs>
        <w:rPr>
          <w:rFonts w:asciiTheme="minorHAnsi" w:eastAsiaTheme="minorEastAsia" w:hAnsiTheme="minorHAnsi"/>
          <w:noProof/>
          <w:sz w:val="22"/>
          <w:lang w:eastAsia="en-GB"/>
        </w:rPr>
      </w:pPr>
      <w:hyperlink w:anchor="_Toc468266721" w:history="1">
        <w:r w:rsidR="0012026B" w:rsidRPr="009765CA">
          <w:rPr>
            <w:rStyle w:val="Hyperlink"/>
            <w:noProof/>
          </w:rPr>
          <w:t>Abstract</w:t>
        </w:r>
        <w:r w:rsidR="0012026B">
          <w:rPr>
            <w:noProof/>
            <w:webHidden/>
          </w:rPr>
          <w:tab/>
        </w:r>
        <w:r w:rsidR="0012026B">
          <w:rPr>
            <w:noProof/>
            <w:webHidden/>
          </w:rPr>
          <w:fldChar w:fldCharType="begin"/>
        </w:r>
        <w:r w:rsidR="0012026B">
          <w:rPr>
            <w:noProof/>
            <w:webHidden/>
          </w:rPr>
          <w:instrText xml:space="preserve"> PAGEREF _Toc468266721 \h </w:instrText>
        </w:r>
        <w:r w:rsidR="0012026B">
          <w:rPr>
            <w:noProof/>
            <w:webHidden/>
          </w:rPr>
        </w:r>
        <w:r w:rsidR="0012026B">
          <w:rPr>
            <w:noProof/>
            <w:webHidden/>
          </w:rPr>
          <w:fldChar w:fldCharType="separate"/>
        </w:r>
        <w:r w:rsidR="0012026B">
          <w:rPr>
            <w:noProof/>
            <w:webHidden/>
          </w:rPr>
          <w:t>v</w:t>
        </w:r>
        <w:r w:rsidR="0012026B">
          <w:rPr>
            <w:noProof/>
            <w:webHidden/>
          </w:rPr>
          <w:fldChar w:fldCharType="end"/>
        </w:r>
      </w:hyperlink>
    </w:p>
    <w:p w14:paraId="0C1BEBC1" w14:textId="6607243C" w:rsidR="0012026B" w:rsidRDefault="00B32C9A">
      <w:pPr>
        <w:pStyle w:val="TOC1"/>
        <w:tabs>
          <w:tab w:val="right" w:leader="dot" w:pos="9016"/>
        </w:tabs>
        <w:rPr>
          <w:rFonts w:asciiTheme="minorHAnsi" w:eastAsiaTheme="minorEastAsia" w:hAnsiTheme="minorHAnsi"/>
          <w:noProof/>
          <w:sz w:val="22"/>
          <w:lang w:eastAsia="en-GB"/>
        </w:rPr>
      </w:pPr>
      <w:hyperlink w:anchor="_Toc468266722" w:history="1">
        <w:r w:rsidR="0012026B" w:rsidRPr="009765CA">
          <w:rPr>
            <w:rStyle w:val="Hyperlink"/>
            <w:noProof/>
          </w:rPr>
          <w:t>Contents</w:t>
        </w:r>
        <w:r w:rsidR="0012026B">
          <w:rPr>
            <w:noProof/>
            <w:webHidden/>
          </w:rPr>
          <w:tab/>
        </w:r>
        <w:r w:rsidR="0012026B">
          <w:rPr>
            <w:noProof/>
            <w:webHidden/>
          </w:rPr>
          <w:fldChar w:fldCharType="begin"/>
        </w:r>
        <w:r w:rsidR="0012026B">
          <w:rPr>
            <w:noProof/>
            <w:webHidden/>
          </w:rPr>
          <w:instrText xml:space="preserve"> PAGEREF _Toc468266722 \h </w:instrText>
        </w:r>
        <w:r w:rsidR="0012026B">
          <w:rPr>
            <w:noProof/>
            <w:webHidden/>
          </w:rPr>
        </w:r>
        <w:r w:rsidR="0012026B">
          <w:rPr>
            <w:noProof/>
            <w:webHidden/>
          </w:rPr>
          <w:fldChar w:fldCharType="separate"/>
        </w:r>
        <w:r w:rsidR="0012026B">
          <w:rPr>
            <w:noProof/>
            <w:webHidden/>
          </w:rPr>
          <w:t>vi</w:t>
        </w:r>
        <w:r w:rsidR="0012026B">
          <w:rPr>
            <w:noProof/>
            <w:webHidden/>
          </w:rPr>
          <w:fldChar w:fldCharType="end"/>
        </w:r>
      </w:hyperlink>
    </w:p>
    <w:p w14:paraId="262FF034" w14:textId="3D0D7DDF" w:rsidR="0012026B" w:rsidRDefault="00B32C9A">
      <w:pPr>
        <w:pStyle w:val="TOC3"/>
        <w:tabs>
          <w:tab w:val="right" w:leader="dot" w:pos="9016"/>
        </w:tabs>
        <w:rPr>
          <w:rFonts w:asciiTheme="minorHAnsi" w:eastAsiaTheme="minorEastAsia" w:hAnsiTheme="minorHAnsi"/>
          <w:noProof/>
          <w:sz w:val="22"/>
          <w:lang w:eastAsia="en-GB"/>
        </w:rPr>
      </w:pPr>
      <w:hyperlink w:anchor="_Toc468266723" w:history="1">
        <w:r w:rsidR="0012026B" w:rsidRPr="009765CA">
          <w:rPr>
            <w:rStyle w:val="Hyperlink"/>
            <w:noProof/>
          </w:rPr>
          <w:t>Of all antiquities coins are the smallest,</w:t>
        </w:r>
        <w:r w:rsidR="0012026B">
          <w:rPr>
            <w:noProof/>
            <w:webHidden/>
          </w:rPr>
          <w:tab/>
        </w:r>
        <w:r w:rsidR="0012026B">
          <w:rPr>
            <w:noProof/>
            <w:webHidden/>
          </w:rPr>
          <w:fldChar w:fldCharType="begin"/>
        </w:r>
        <w:r w:rsidR="0012026B">
          <w:rPr>
            <w:noProof/>
            <w:webHidden/>
          </w:rPr>
          <w:instrText xml:space="preserve"> PAGEREF _Toc468266723 \h </w:instrText>
        </w:r>
        <w:r w:rsidR="0012026B">
          <w:rPr>
            <w:noProof/>
            <w:webHidden/>
          </w:rPr>
        </w:r>
        <w:r w:rsidR="0012026B">
          <w:rPr>
            <w:noProof/>
            <w:webHidden/>
          </w:rPr>
          <w:fldChar w:fldCharType="separate"/>
        </w:r>
        <w:r w:rsidR="0012026B">
          <w:rPr>
            <w:noProof/>
            <w:webHidden/>
          </w:rPr>
          <w:t>14</w:t>
        </w:r>
        <w:r w:rsidR="0012026B">
          <w:rPr>
            <w:noProof/>
            <w:webHidden/>
          </w:rPr>
          <w:fldChar w:fldCharType="end"/>
        </w:r>
      </w:hyperlink>
    </w:p>
    <w:p w14:paraId="181ED15C" w14:textId="56492014" w:rsidR="0012026B" w:rsidRDefault="00B32C9A">
      <w:pPr>
        <w:pStyle w:val="TOC1"/>
        <w:tabs>
          <w:tab w:val="right" w:leader="dot" w:pos="9016"/>
        </w:tabs>
        <w:rPr>
          <w:rFonts w:asciiTheme="minorHAnsi" w:eastAsiaTheme="minorEastAsia" w:hAnsiTheme="minorHAnsi"/>
          <w:noProof/>
          <w:sz w:val="22"/>
          <w:lang w:eastAsia="en-GB"/>
        </w:rPr>
      </w:pPr>
      <w:hyperlink w:anchor="_Toc468266724" w:history="1">
        <w:r w:rsidR="0012026B" w:rsidRPr="009765CA">
          <w:rPr>
            <w:rStyle w:val="Hyperlink"/>
            <w:noProof/>
          </w:rPr>
          <w:t>Acknowledgements</w:t>
        </w:r>
        <w:r w:rsidR="0012026B">
          <w:rPr>
            <w:noProof/>
            <w:webHidden/>
          </w:rPr>
          <w:tab/>
        </w:r>
        <w:r w:rsidR="0012026B">
          <w:rPr>
            <w:noProof/>
            <w:webHidden/>
          </w:rPr>
          <w:fldChar w:fldCharType="begin"/>
        </w:r>
        <w:r w:rsidR="0012026B">
          <w:rPr>
            <w:noProof/>
            <w:webHidden/>
          </w:rPr>
          <w:instrText xml:space="preserve"> PAGEREF _Toc468266724 \h </w:instrText>
        </w:r>
        <w:r w:rsidR="0012026B">
          <w:rPr>
            <w:noProof/>
            <w:webHidden/>
          </w:rPr>
        </w:r>
        <w:r w:rsidR="0012026B">
          <w:rPr>
            <w:noProof/>
            <w:webHidden/>
          </w:rPr>
          <w:fldChar w:fldCharType="separate"/>
        </w:r>
        <w:r w:rsidR="0012026B">
          <w:rPr>
            <w:noProof/>
            <w:webHidden/>
          </w:rPr>
          <w:t>1</w:t>
        </w:r>
        <w:r w:rsidR="0012026B">
          <w:rPr>
            <w:noProof/>
            <w:webHidden/>
          </w:rPr>
          <w:fldChar w:fldCharType="end"/>
        </w:r>
      </w:hyperlink>
    </w:p>
    <w:p w14:paraId="7152816C" w14:textId="030C0682" w:rsidR="0012026B" w:rsidRDefault="00B32C9A">
      <w:pPr>
        <w:pStyle w:val="TOC1"/>
        <w:tabs>
          <w:tab w:val="right" w:leader="dot" w:pos="9016"/>
        </w:tabs>
        <w:rPr>
          <w:rFonts w:asciiTheme="minorHAnsi" w:eastAsiaTheme="minorEastAsia" w:hAnsiTheme="minorHAnsi"/>
          <w:noProof/>
          <w:sz w:val="22"/>
          <w:lang w:eastAsia="en-GB"/>
        </w:rPr>
      </w:pPr>
      <w:hyperlink w:anchor="_Toc468266725" w:history="1">
        <w:r w:rsidR="0012026B" w:rsidRPr="009765CA">
          <w:rPr>
            <w:rStyle w:val="Hyperlink"/>
            <w:noProof/>
          </w:rPr>
          <w:t>House Style</w:t>
        </w:r>
        <w:r w:rsidR="0012026B">
          <w:rPr>
            <w:noProof/>
            <w:webHidden/>
          </w:rPr>
          <w:tab/>
        </w:r>
        <w:r w:rsidR="0012026B">
          <w:rPr>
            <w:noProof/>
            <w:webHidden/>
          </w:rPr>
          <w:fldChar w:fldCharType="begin"/>
        </w:r>
        <w:r w:rsidR="0012026B">
          <w:rPr>
            <w:noProof/>
            <w:webHidden/>
          </w:rPr>
          <w:instrText xml:space="preserve"> PAGEREF _Toc468266725 \h </w:instrText>
        </w:r>
        <w:r w:rsidR="0012026B">
          <w:rPr>
            <w:noProof/>
            <w:webHidden/>
          </w:rPr>
        </w:r>
        <w:r w:rsidR="0012026B">
          <w:rPr>
            <w:noProof/>
            <w:webHidden/>
          </w:rPr>
          <w:fldChar w:fldCharType="separate"/>
        </w:r>
        <w:r w:rsidR="0012026B">
          <w:rPr>
            <w:noProof/>
            <w:webHidden/>
          </w:rPr>
          <w:t>2</w:t>
        </w:r>
        <w:r w:rsidR="0012026B">
          <w:rPr>
            <w:noProof/>
            <w:webHidden/>
          </w:rPr>
          <w:fldChar w:fldCharType="end"/>
        </w:r>
      </w:hyperlink>
    </w:p>
    <w:p w14:paraId="053C059F" w14:textId="5B37363F" w:rsidR="0012026B" w:rsidRDefault="00B32C9A">
      <w:pPr>
        <w:pStyle w:val="TOC1"/>
        <w:tabs>
          <w:tab w:val="right" w:leader="dot" w:pos="9016"/>
        </w:tabs>
        <w:rPr>
          <w:rFonts w:asciiTheme="minorHAnsi" w:eastAsiaTheme="minorEastAsia" w:hAnsiTheme="minorHAnsi"/>
          <w:noProof/>
          <w:sz w:val="22"/>
          <w:lang w:eastAsia="en-GB"/>
        </w:rPr>
      </w:pPr>
      <w:hyperlink w:anchor="_Toc468266726" w:history="1">
        <w:r w:rsidR="0012026B" w:rsidRPr="009765CA">
          <w:rPr>
            <w:rStyle w:val="Hyperlink"/>
            <w:noProof/>
          </w:rPr>
          <w:t>List of Keywords</w:t>
        </w:r>
        <w:r w:rsidR="0012026B">
          <w:rPr>
            <w:noProof/>
            <w:webHidden/>
          </w:rPr>
          <w:tab/>
        </w:r>
        <w:r w:rsidR="0012026B">
          <w:rPr>
            <w:noProof/>
            <w:webHidden/>
          </w:rPr>
          <w:fldChar w:fldCharType="begin"/>
        </w:r>
        <w:r w:rsidR="0012026B">
          <w:rPr>
            <w:noProof/>
            <w:webHidden/>
          </w:rPr>
          <w:instrText xml:space="preserve"> PAGEREF _Toc468266726 \h </w:instrText>
        </w:r>
        <w:r w:rsidR="0012026B">
          <w:rPr>
            <w:noProof/>
            <w:webHidden/>
          </w:rPr>
        </w:r>
        <w:r w:rsidR="0012026B">
          <w:rPr>
            <w:noProof/>
            <w:webHidden/>
          </w:rPr>
          <w:fldChar w:fldCharType="separate"/>
        </w:r>
        <w:r w:rsidR="0012026B">
          <w:rPr>
            <w:noProof/>
            <w:webHidden/>
          </w:rPr>
          <w:t>3</w:t>
        </w:r>
        <w:r w:rsidR="0012026B">
          <w:rPr>
            <w:noProof/>
            <w:webHidden/>
          </w:rPr>
          <w:fldChar w:fldCharType="end"/>
        </w:r>
      </w:hyperlink>
    </w:p>
    <w:p w14:paraId="6AB06220" w14:textId="56287E24" w:rsidR="0012026B" w:rsidRDefault="00B32C9A">
      <w:pPr>
        <w:pStyle w:val="TOC1"/>
        <w:tabs>
          <w:tab w:val="right" w:leader="dot" w:pos="9016"/>
        </w:tabs>
        <w:rPr>
          <w:rFonts w:asciiTheme="minorHAnsi" w:eastAsiaTheme="minorEastAsia" w:hAnsiTheme="minorHAnsi"/>
          <w:noProof/>
          <w:sz w:val="22"/>
          <w:lang w:eastAsia="en-GB"/>
        </w:rPr>
      </w:pPr>
      <w:hyperlink w:anchor="_Toc468266727" w:history="1">
        <w:r w:rsidR="0012026B" w:rsidRPr="009765CA">
          <w:rPr>
            <w:rStyle w:val="Hyperlink"/>
            <w:noProof/>
          </w:rPr>
          <w:t>List of Figures</w:t>
        </w:r>
        <w:r w:rsidR="0012026B">
          <w:rPr>
            <w:noProof/>
            <w:webHidden/>
          </w:rPr>
          <w:tab/>
        </w:r>
        <w:r w:rsidR="0012026B">
          <w:rPr>
            <w:noProof/>
            <w:webHidden/>
          </w:rPr>
          <w:fldChar w:fldCharType="begin"/>
        </w:r>
        <w:r w:rsidR="0012026B">
          <w:rPr>
            <w:noProof/>
            <w:webHidden/>
          </w:rPr>
          <w:instrText xml:space="preserve"> PAGEREF _Toc468266727 \h </w:instrText>
        </w:r>
        <w:r w:rsidR="0012026B">
          <w:rPr>
            <w:noProof/>
            <w:webHidden/>
          </w:rPr>
        </w:r>
        <w:r w:rsidR="0012026B">
          <w:rPr>
            <w:noProof/>
            <w:webHidden/>
          </w:rPr>
          <w:fldChar w:fldCharType="separate"/>
        </w:r>
        <w:r w:rsidR="0012026B">
          <w:rPr>
            <w:noProof/>
            <w:webHidden/>
          </w:rPr>
          <w:t>4</w:t>
        </w:r>
        <w:r w:rsidR="0012026B">
          <w:rPr>
            <w:noProof/>
            <w:webHidden/>
          </w:rPr>
          <w:fldChar w:fldCharType="end"/>
        </w:r>
      </w:hyperlink>
    </w:p>
    <w:p w14:paraId="0BB15CC4" w14:textId="3694B32E" w:rsidR="0012026B" w:rsidRDefault="00B32C9A">
      <w:pPr>
        <w:pStyle w:val="TOC1"/>
        <w:tabs>
          <w:tab w:val="right" w:leader="dot" w:pos="9016"/>
        </w:tabs>
        <w:rPr>
          <w:rFonts w:asciiTheme="minorHAnsi" w:eastAsiaTheme="minorEastAsia" w:hAnsiTheme="minorHAnsi"/>
          <w:noProof/>
          <w:sz w:val="22"/>
          <w:lang w:eastAsia="en-GB"/>
        </w:rPr>
      </w:pPr>
      <w:hyperlink w:anchor="_Toc468266728" w:history="1">
        <w:r w:rsidR="0012026B" w:rsidRPr="009765CA">
          <w:rPr>
            <w:rStyle w:val="Hyperlink"/>
            <w:noProof/>
          </w:rPr>
          <w:t>List of Maps</w:t>
        </w:r>
        <w:r w:rsidR="0012026B">
          <w:rPr>
            <w:noProof/>
            <w:webHidden/>
          </w:rPr>
          <w:tab/>
        </w:r>
        <w:r w:rsidR="0012026B">
          <w:rPr>
            <w:noProof/>
            <w:webHidden/>
          </w:rPr>
          <w:fldChar w:fldCharType="begin"/>
        </w:r>
        <w:r w:rsidR="0012026B">
          <w:rPr>
            <w:noProof/>
            <w:webHidden/>
          </w:rPr>
          <w:instrText xml:space="preserve"> PAGEREF _Toc468266728 \h </w:instrText>
        </w:r>
        <w:r w:rsidR="0012026B">
          <w:rPr>
            <w:noProof/>
            <w:webHidden/>
          </w:rPr>
        </w:r>
        <w:r w:rsidR="0012026B">
          <w:rPr>
            <w:noProof/>
            <w:webHidden/>
          </w:rPr>
          <w:fldChar w:fldCharType="separate"/>
        </w:r>
        <w:r w:rsidR="0012026B">
          <w:rPr>
            <w:noProof/>
            <w:webHidden/>
          </w:rPr>
          <w:t>8</w:t>
        </w:r>
        <w:r w:rsidR="0012026B">
          <w:rPr>
            <w:noProof/>
            <w:webHidden/>
          </w:rPr>
          <w:fldChar w:fldCharType="end"/>
        </w:r>
      </w:hyperlink>
    </w:p>
    <w:p w14:paraId="2E407756" w14:textId="39E8B5EB" w:rsidR="0012026B" w:rsidRDefault="00B32C9A">
      <w:pPr>
        <w:pStyle w:val="TOC1"/>
        <w:tabs>
          <w:tab w:val="right" w:leader="dot" w:pos="9016"/>
        </w:tabs>
        <w:rPr>
          <w:rFonts w:asciiTheme="minorHAnsi" w:eastAsiaTheme="minorEastAsia" w:hAnsiTheme="minorHAnsi"/>
          <w:noProof/>
          <w:sz w:val="22"/>
          <w:lang w:eastAsia="en-GB"/>
        </w:rPr>
      </w:pPr>
      <w:hyperlink w:anchor="_Toc468266729" w:history="1">
        <w:r w:rsidR="0012026B" w:rsidRPr="009765CA">
          <w:rPr>
            <w:rStyle w:val="Hyperlink"/>
            <w:noProof/>
          </w:rPr>
          <w:t>List of Tables and Spreadsheets</w:t>
        </w:r>
        <w:r w:rsidR="0012026B">
          <w:rPr>
            <w:noProof/>
            <w:webHidden/>
          </w:rPr>
          <w:tab/>
        </w:r>
        <w:r w:rsidR="0012026B">
          <w:rPr>
            <w:noProof/>
            <w:webHidden/>
          </w:rPr>
          <w:fldChar w:fldCharType="begin"/>
        </w:r>
        <w:r w:rsidR="0012026B">
          <w:rPr>
            <w:noProof/>
            <w:webHidden/>
          </w:rPr>
          <w:instrText xml:space="preserve"> PAGEREF _Toc468266729 \h </w:instrText>
        </w:r>
        <w:r w:rsidR="0012026B">
          <w:rPr>
            <w:noProof/>
            <w:webHidden/>
          </w:rPr>
        </w:r>
        <w:r w:rsidR="0012026B">
          <w:rPr>
            <w:noProof/>
            <w:webHidden/>
          </w:rPr>
          <w:fldChar w:fldCharType="separate"/>
        </w:r>
        <w:r w:rsidR="0012026B">
          <w:rPr>
            <w:noProof/>
            <w:webHidden/>
          </w:rPr>
          <w:t>9</w:t>
        </w:r>
        <w:r w:rsidR="0012026B">
          <w:rPr>
            <w:noProof/>
            <w:webHidden/>
          </w:rPr>
          <w:fldChar w:fldCharType="end"/>
        </w:r>
      </w:hyperlink>
    </w:p>
    <w:p w14:paraId="7A2EF78E" w14:textId="04FA6108" w:rsidR="0012026B" w:rsidRDefault="00B32C9A">
      <w:pPr>
        <w:pStyle w:val="TOC1"/>
        <w:tabs>
          <w:tab w:val="right" w:leader="dot" w:pos="9016"/>
        </w:tabs>
        <w:rPr>
          <w:rFonts w:asciiTheme="minorHAnsi" w:eastAsiaTheme="minorEastAsia" w:hAnsiTheme="minorHAnsi"/>
          <w:noProof/>
          <w:sz w:val="22"/>
          <w:lang w:eastAsia="en-GB"/>
        </w:rPr>
      </w:pPr>
      <w:hyperlink w:anchor="_Toc468266730" w:history="1">
        <w:r w:rsidR="0012026B" w:rsidRPr="009765CA">
          <w:rPr>
            <w:rStyle w:val="Hyperlink"/>
            <w:noProof/>
          </w:rPr>
          <w:t>List of Tables and Spreadsheets (continued)</w:t>
        </w:r>
        <w:r w:rsidR="0012026B">
          <w:rPr>
            <w:noProof/>
            <w:webHidden/>
          </w:rPr>
          <w:tab/>
        </w:r>
        <w:r w:rsidR="0012026B">
          <w:rPr>
            <w:noProof/>
            <w:webHidden/>
          </w:rPr>
          <w:fldChar w:fldCharType="begin"/>
        </w:r>
        <w:r w:rsidR="0012026B">
          <w:rPr>
            <w:noProof/>
            <w:webHidden/>
          </w:rPr>
          <w:instrText xml:space="preserve"> PAGEREF _Toc468266730 \h </w:instrText>
        </w:r>
        <w:r w:rsidR="0012026B">
          <w:rPr>
            <w:noProof/>
            <w:webHidden/>
          </w:rPr>
        </w:r>
        <w:r w:rsidR="0012026B">
          <w:rPr>
            <w:noProof/>
            <w:webHidden/>
          </w:rPr>
          <w:fldChar w:fldCharType="separate"/>
        </w:r>
        <w:r w:rsidR="0012026B">
          <w:rPr>
            <w:noProof/>
            <w:webHidden/>
          </w:rPr>
          <w:t>10</w:t>
        </w:r>
        <w:r w:rsidR="0012026B">
          <w:rPr>
            <w:noProof/>
            <w:webHidden/>
          </w:rPr>
          <w:fldChar w:fldCharType="end"/>
        </w:r>
      </w:hyperlink>
    </w:p>
    <w:p w14:paraId="76DBF034" w14:textId="702520D6" w:rsidR="0012026B" w:rsidRDefault="00B32C9A">
      <w:pPr>
        <w:pStyle w:val="TOC1"/>
        <w:tabs>
          <w:tab w:val="right" w:leader="dot" w:pos="9016"/>
        </w:tabs>
        <w:rPr>
          <w:rFonts w:asciiTheme="minorHAnsi" w:eastAsiaTheme="minorEastAsia" w:hAnsiTheme="minorHAnsi"/>
          <w:noProof/>
          <w:sz w:val="22"/>
          <w:lang w:eastAsia="en-GB"/>
        </w:rPr>
      </w:pPr>
      <w:hyperlink w:anchor="_Toc468266731" w:history="1">
        <w:r w:rsidR="0012026B" w:rsidRPr="009765CA">
          <w:rPr>
            <w:rStyle w:val="Hyperlink"/>
            <w:noProof/>
          </w:rPr>
          <w:t>List of Graphs (Volume 2)</w:t>
        </w:r>
        <w:r w:rsidR="0012026B">
          <w:rPr>
            <w:noProof/>
            <w:webHidden/>
          </w:rPr>
          <w:tab/>
        </w:r>
        <w:r w:rsidR="0012026B">
          <w:rPr>
            <w:noProof/>
            <w:webHidden/>
          </w:rPr>
          <w:fldChar w:fldCharType="begin"/>
        </w:r>
        <w:r w:rsidR="0012026B">
          <w:rPr>
            <w:noProof/>
            <w:webHidden/>
          </w:rPr>
          <w:instrText xml:space="preserve"> PAGEREF _Toc468266731 \h </w:instrText>
        </w:r>
        <w:r w:rsidR="0012026B">
          <w:rPr>
            <w:noProof/>
            <w:webHidden/>
          </w:rPr>
        </w:r>
        <w:r w:rsidR="0012026B">
          <w:rPr>
            <w:noProof/>
            <w:webHidden/>
          </w:rPr>
          <w:fldChar w:fldCharType="separate"/>
        </w:r>
        <w:r w:rsidR="0012026B">
          <w:rPr>
            <w:noProof/>
            <w:webHidden/>
          </w:rPr>
          <w:t>11</w:t>
        </w:r>
        <w:r w:rsidR="0012026B">
          <w:rPr>
            <w:noProof/>
            <w:webHidden/>
          </w:rPr>
          <w:fldChar w:fldCharType="end"/>
        </w:r>
      </w:hyperlink>
    </w:p>
    <w:p w14:paraId="6E9AF133" w14:textId="3BB8D600" w:rsidR="0012026B" w:rsidRDefault="00B32C9A">
      <w:pPr>
        <w:pStyle w:val="TOC1"/>
        <w:tabs>
          <w:tab w:val="right" w:leader="dot" w:pos="9016"/>
        </w:tabs>
        <w:rPr>
          <w:rFonts w:asciiTheme="minorHAnsi" w:eastAsiaTheme="minorEastAsia" w:hAnsiTheme="minorHAnsi"/>
          <w:noProof/>
          <w:sz w:val="22"/>
          <w:lang w:eastAsia="en-GB"/>
        </w:rPr>
      </w:pPr>
      <w:hyperlink w:anchor="_Toc468266732" w:history="1">
        <w:r w:rsidR="0012026B" w:rsidRPr="009765CA">
          <w:rPr>
            <w:rStyle w:val="Hyperlink"/>
            <w:noProof/>
          </w:rPr>
          <w:t>List of Plates (Volume 2)</w:t>
        </w:r>
        <w:r w:rsidR="0012026B">
          <w:rPr>
            <w:noProof/>
            <w:webHidden/>
          </w:rPr>
          <w:tab/>
        </w:r>
        <w:r w:rsidR="0012026B">
          <w:rPr>
            <w:noProof/>
            <w:webHidden/>
          </w:rPr>
          <w:fldChar w:fldCharType="begin"/>
        </w:r>
        <w:r w:rsidR="0012026B">
          <w:rPr>
            <w:noProof/>
            <w:webHidden/>
          </w:rPr>
          <w:instrText xml:space="preserve"> PAGEREF _Toc468266732 \h </w:instrText>
        </w:r>
        <w:r w:rsidR="0012026B">
          <w:rPr>
            <w:noProof/>
            <w:webHidden/>
          </w:rPr>
        </w:r>
        <w:r w:rsidR="0012026B">
          <w:rPr>
            <w:noProof/>
            <w:webHidden/>
          </w:rPr>
          <w:fldChar w:fldCharType="separate"/>
        </w:r>
        <w:r w:rsidR="0012026B">
          <w:rPr>
            <w:noProof/>
            <w:webHidden/>
          </w:rPr>
          <w:t>11</w:t>
        </w:r>
        <w:r w:rsidR="0012026B">
          <w:rPr>
            <w:noProof/>
            <w:webHidden/>
          </w:rPr>
          <w:fldChar w:fldCharType="end"/>
        </w:r>
      </w:hyperlink>
    </w:p>
    <w:p w14:paraId="49242A89" w14:textId="0DA8CDF6" w:rsidR="0012026B" w:rsidRDefault="00B32C9A">
      <w:pPr>
        <w:pStyle w:val="TOC1"/>
        <w:tabs>
          <w:tab w:val="right" w:leader="dot" w:pos="9016"/>
        </w:tabs>
        <w:rPr>
          <w:rFonts w:asciiTheme="minorHAnsi" w:eastAsiaTheme="minorEastAsia" w:hAnsiTheme="minorHAnsi"/>
          <w:noProof/>
          <w:sz w:val="22"/>
          <w:lang w:eastAsia="en-GB"/>
        </w:rPr>
      </w:pPr>
      <w:hyperlink w:anchor="_Toc468266733" w:history="1">
        <w:r w:rsidR="0012026B" w:rsidRPr="009765CA">
          <w:rPr>
            <w:rStyle w:val="Hyperlink"/>
            <w:noProof/>
          </w:rPr>
          <w:t>PART ONE: DESCRIPTION</w:t>
        </w:r>
        <w:r w:rsidR="0012026B">
          <w:rPr>
            <w:noProof/>
            <w:webHidden/>
          </w:rPr>
          <w:tab/>
        </w:r>
        <w:r w:rsidR="0012026B">
          <w:rPr>
            <w:noProof/>
            <w:webHidden/>
          </w:rPr>
          <w:fldChar w:fldCharType="begin"/>
        </w:r>
        <w:r w:rsidR="0012026B">
          <w:rPr>
            <w:noProof/>
            <w:webHidden/>
          </w:rPr>
          <w:instrText xml:space="preserve"> PAGEREF _Toc468266733 \h </w:instrText>
        </w:r>
        <w:r w:rsidR="0012026B">
          <w:rPr>
            <w:noProof/>
            <w:webHidden/>
          </w:rPr>
        </w:r>
        <w:r w:rsidR="0012026B">
          <w:rPr>
            <w:noProof/>
            <w:webHidden/>
          </w:rPr>
          <w:fldChar w:fldCharType="separate"/>
        </w:r>
        <w:r w:rsidR="0012026B">
          <w:rPr>
            <w:noProof/>
            <w:webHidden/>
          </w:rPr>
          <w:t>12</w:t>
        </w:r>
        <w:r w:rsidR="0012026B">
          <w:rPr>
            <w:noProof/>
            <w:webHidden/>
          </w:rPr>
          <w:fldChar w:fldCharType="end"/>
        </w:r>
      </w:hyperlink>
    </w:p>
    <w:p w14:paraId="0B80B119" w14:textId="7D7374A3" w:rsidR="0012026B" w:rsidRDefault="00B32C9A">
      <w:pPr>
        <w:pStyle w:val="TOC1"/>
        <w:tabs>
          <w:tab w:val="right" w:leader="dot" w:pos="9016"/>
        </w:tabs>
        <w:rPr>
          <w:rFonts w:asciiTheme="minorHAnsi" w:eastAsiaTheme="minorEastAsia" w:hAnsiTheme="minorHAnsi"/>
          <w:noProof/>
          <w:sz w:val="22"/>
          <w:lang w:eastAsia="en-GB"/>
        </w:rPr>
      </w:pPr>
      <w:hyperlink w:anchor="_Toc468266734" w:history="1">
        <w:r w:rsidR="0012026B" w:rsidRPr="009765CA">
          <w:rPr>
            <w:rStyle w:val="Hyperlink"/>
            <w:rFonts w:cs="Times New Roman"/>
            <w:noProof/>
          </w:rPr>
          <w:t>Chapter 1: Aims and Methodologies</w:t>
        </w:r>
        <w:r w:rsidR="0012026B">
          <w:rPr>
            <w:noProof/>
            <w:webHidden/>
          </w:rPr>
          <w:tab/>
        </w:r>
        <w:r w:rsidR="0012026B">
          <w:rPr>
            <w:noProof/>
            <w:webHidden/>
          </w:rPr>
          <w:fldChar w:fldCharType="begin"/>
        </w:r>
        <w:r w:rsidR="0012026B">
          <w:rPr>
            <w:noProof/>
            <w:webHidden/>
          </w:rPr>
          <w:instrText xml:space="preserve"> PAGEREF _Toc468266734 \h </w:instrText>
        </w:r>
        <w:r w:rsidR="0012026B">
          <w:rPr>
            <w:noProof/>
            <w:webHidden/>
          </w:rPr>
        </w:r>
        <w:r w:rsidR="0012026B">
          <w:rPr>
            <w:noProof/>
            <w:webHidden/>
          </w:rPr>
          <w:fldChar w:fldCharType="separate"/>
        </w:r>
        <w:r w:rsidR="0012026B">
          <w:rPr>
            <w:noProof/>
            <w:webHidden/>
          </w:rPr>
          <w:t>12</w:t>
        </w:r>
        <w:r w:rsidR="0012026B">
          <w:rPr>
            <w:noProof/>
            <w:webHidden/>
          </w:rPr>
          <w:fldChar w:fldCharType="end"/>
        </w:r>
      </w:hyperlink>
    </w:p>
    <w:p w14:paraId="6316D210" w14:textId="43A10F92"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35" w:history="1">
        <w:r w:rsidR="0012026B" w:rsidRPr="009765CA">
          <w:rPr>
            <w:rStyle w:val="Hyperlink"/>
            <w:noProof/>
          </w:rPr>
          <w:t>1.1</w:t>
        </w:r>
        <w:r w:rsidR="0012026B">
          <w:rPr>
            <w:rFonts w:asciiTheme="minorHAnsi" w:eastAsiaTheme="minorEastAsia" w:hAnsiTheme="minorHAnsi"/>
            <w:noProof/>
            <w:sz w:val="22"/>
            <w:lang w:eastAsia="en-GB"/>
          </w:rPr>
          <w:tab/>
        </w:r>
        <w:r w:rsidR="0012026B" w:rsidRPr="009765CA">
          <w:rPr>
            <w:rStyle w:val="Hyperlink"/>
            <w:noProof/>
          </w:rPr>
          <w:t>Aims and Objectives</w:t>
        </w:r>
        <w:r w:rsidR="0012026B">
          <w:rPr>
            <w:noProof/>
            <w:webHidden/>
          </w:rPr>
          <w:tab/>
        </w:r>
        <w:r w:rsidR="0012026B">
          <w:rPr>
            <w:noProof/>
            <w:webHidden/>
          </w:rPr>
          <w:fldChar w:fldCharType="begin"/>
        </w:r>
        <w:r w:rsidR="0012026B">
          <w:rPr>
            <w:noProof/>
            <w:webHidden/>
          </w:rPr>
          <w:instrText xml:space="preserve"> PAGEREF _Toc468266735 \h </w:instrText>
        </w:r>
        <w:r w:rsidR="0012026B">
          <w:rPr>
            <w:noProof/>
            <w:webHidden/>
          </w:rPr>
        </w:r>
        <w:r w:rsidR="0012026B">
          <w:rPr>
            <w:noProof/>
            <w:webHidden/>
          </w:rPr>
          <w:fldChar w:fldCharType="separate"/>
        </w:r>
        <w:r w:rsidR="0012026B">
          <w:rPr>
            <w:noProof/>
            <w:webHidden/>
          </w:rPr>
          <w:t>15</w:t>
        </w:r>
        <w:r w:rsidR="0012026B">
          <w:rPr>
            <w:noProof/>
            <w:webHidden/>
          </w:rPr>
          <w:fldChar w:fldCharType="end"/>
        </w:r>
      </w:hyperlink>
    </w:p>
    <w:p w14:paraId="7D85A2AD" w14:textId="2DCD670E"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36" w:history="1">
        <w:r w:rsidR="0012026B" w:rsidRPr="009765CA">
          <w:rPr>
            <w:rStyle w:val="Hyperlink"/>
            <w:noProof/>
          </w:rPr>
          <w:t>1.2</w:t>
        </w:r>
        <w:r w:rsidR="0012026B">
          <w:rPr>
            <w:rFonts w:asciiTheme="minorHAnsi" w:eastAsiaTheme="minorEastAsia" w:hAnsiTheme="minorHAnsi"/>
            <w:noProof/>
            <w:sz w:val="22"/>
            <w:lang w:eastAsia="en-GB"/>
          </w:rPr>
          <w:tab/>
        </w:r>
        <w:r w:rsidR="0012026B" w:rsidRPr="009765CA">
          <w:rPr>
            <w:rStyle w:val="Hyperlink"/>
            <w:noProof/>
          </w:rPr>
          <w:t>Structure of Thesis</w:t>
        </w:r>
        <w:r w:rsidR="0012026B">
          <w:rPr>
            <w:noProof/>
            <w:webHidden/>
          </w:rPr>
          <w:tab/>
        </w:r>
        <w:r w:rsidR="0012026B">
          <w:rPr>
            <w:noProof/>
            <w:webHidden/>
          </w:rPr>
          <w:fldChar w:fldCharType="begin"/>
        </w:r>
        <w:r w:rsidR="0012026B">
          <w:rPr>
            <w:noProof/>
            <w:webHidden/>
          </w:rPr>
          <w:instrText xml:space="preserve"> PAGEREF _Toc468266736 \h </w:instrText>
        </w:r>
        <w:r w:rsidR="0012026B">
          <w:rPr>
            <w:noProof/>
            <w:webHidden/>
          </w:rPr>
        </w:r>
        <w:r w:rsidR="0012026B">
          <w:rPr>
            <w:noProof/>
            <w:webHidden/>
          </w:rPr>
          <w:fldChar w:fldCharType="separate"/>
        </w:r>
        <w:r w:rsidR="0012026B">
          <w:rPr>
            <w:noProof/>
            <w:webHidden/>
          </w:rPr>
          <w:t>16</w:t>
        </w:r>
        <w:r w:rsidR="0012026B">
          <w:rPr>
            <w:noProof/>
            <w:webHidden/>
          </w:rPr>
          <w:fldChar w:fldCharType="end"/>
        </w:r>
      </w:hyperlink>
    </w:p>
    <w:p w14:paraId="0ABEB226" w14:textId="34D50E2A"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37" w:history="1">
        <w:r w:rsidR="0012026B" w:rsidRPr="009765CA">
          <w:rPr>
            <w:rStyle w:val="Hyperlink"/>
            <w:noProof/>
          </w:rPr>
          <w:t>1.2.1</w:t>
        </w:r>
        <w:r w:rsidR="0012026B">
          <w:rPr>
            <w:rFonts w:asciiTheme="minorHAnsi" w:eastAsiaTheme="minorEastAsia" w:hAnsiTheme="minorHAnsi"/>
            <w:noProof/>
            <w:sz w:val="22"/>
            <w:lang w:eastAsia="en-GB"/>
          </w:rPr>
          <w:tab/>
        </w:r>
        <w:r w:rsidR="0012026B" w:rsidRPr="009765CA">
          <w:rPr>
            <w:rStyle w:val="Hyperlink"/>
            <w:noProof/>
          </w:rPr>
          <w:t>Theoretical and Historical Background</w:t>
        </w:r>
        <w:r w:rsidR="0012026B">
          <w:rPr>
            <w:noProof/>
            <w:webHidden/>
          </w:rPr>
          <w:tab/>
        </w:r>
        <w:r w:rsidR="0012026B">
          <w:rPr>
            <w:noProof/>
            <w:webHidden/>
          </w:rPr>
          <w:fldChar w:fldCharType="begin"/>
        </w:r>
        <w:r w:rsidR="0012026B">
          <w:rPr>
            <w:noProof/>
            <w:webHidden/>
          </w:rPr>
          <w:instrText xml:space="preserve"> PAGEREF _Toc468266737 \h </w:instrText>
        </w:r>
        <w:r w:rsidR="0012026B">
          <w:rPr>
            <w:noProof/>
            <w:webHidden/>
          </w:rPr>
        </w:r>
        <w:r w:rsidR="0012026B">
          <w:rPr>
            <w:noProof/>
            <w:webHidden/>
          </w:rPr>
          <w:fldChar w:fldCharType="separate"/>
        </w:r>
        <w:r w:rsidR="0012026B">
          <w:rPr>
            <w:noProof/>
            <w:webHidden/>
          </w:rPr>
          <w:t>16</w:t>
        </w:r>
        <w:r w:rsidR="0012026B">
          <w:rPr>
            <w:noProof/>
            <w:webHidden/>
          </w:rPr>
          <w:fldChar w:fldCharType="end"/>
        </w:r>
      </w:hyperlink>
    </w:p>
    <w:p w14:paraId="50C5137A" w14:textId="116F124E"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38" w:history="1">
        <w:r w:rsidR="0012026B" w:rsidRPr="009765CA">
          <w:rPr>
            <w:rStyle w:val="Hyperlink"/>
            <w:noProof/>
          </w:rPr>
          <w:t>1.2.2</w:t>
        </w:r>
        <w:r w:rsidR="0012026B">
          <w:rPr>
            <w:rFonts w:asciiTheme="minorHAnsi" w:eastAsiaTheme="minorEastAsia" w:hAnsiTheme="minorHAnsi"/>
            <w:noProof/>
            <w:sz w:val="22"/>
            <w:lang w:eastAsia="en-GB"/>
          </w:rPr>
          <w:tab/>
        </w:r>
        <w:r w:rsidR="0012026B" w:rsidRPr="009765CA">
          <w:rPr>
            <w:rStyle w:val="Hyperlink"/>
            <w:noProof/>
          </w:rPr>
          <w:t>Methodologies and Analyses</w:t>
        </w:r>
        <w:r w:rsidR="0012026B">
          <w:rPr>
            <w:noProof/>
            <w:webHidden/>
          </w:rPr>
          <w:tab/>
        </w:r>
        <w:r w:rsidR="0012026B">
          <w:rPr>
            <w:noProof/>
            <w:webHidden/>
          </w:rPr>
          <w:fldChar w:fldCharType="begin"/>
        </w:r>
        <w:r w:rsidR="0012026B">
          <w:rPr>
            <w:noProof/>
            <w:webHidden/>
          </w:rPr>
          <w:instrText xml:space="preserve"> PAGEREF _Toc468266738 \h </w:instrText>
        </w:r>
        <w:r w:rsidR="0012026B">
          <w:rPr>
            <w:noProof/>
            <w:webHidden/>
          </w:rPr>
        </w:r>
        <w:r w:rsidR="0012026B">
          <w:rPr>
            <w:noProof/>
            <w:webHidden/>
          </w:rPr>
          <w:fldChar w:fldCharType="separate"/>
        </w:r>
        <w:r w:rsidR="0012026B">
          <w:rPr>
            <w:noProof/>
            <w:webHidden/>
          </w:rPr>
          <w:t>16</w:t>
        </w:r>
        <w:r w:rsidR="0012026B">
          <w:rPr>
            <w:noProof/>
            <w:webHidden/>
          </w:rPr>
          <w:fldChar w:fldCharType="end"/>
        </w:r>
      </w:hyperlink>
    </w:p>
    <w:p w14:paraId="33890796" w14:textId="401F837B" w:rsidR="0012026B" w:rsidRDefault="00B32C9A">
      <w:pPr>
        <w:pStyle w:val="TOC1"/>
        <w:tabs>
          <w:tab w:val="right" w:leader="dot" w:pos="9016"/>
        </w:tabs>
        <w:rPr>
          <w:rFonts w:asciiTheme="minorHAnsi" w:eastAsiaTheme="minorEastAsia" w:hAnsiTheme="minorHAnsi"/>
          <w:noProof/>
          <w:sz w:val="22"/>
          <w:lang w:eastAsia="en-GB"/>
        </w:rPr>
      </w:pPr>
      <w:hyperlink w:anchor="_Toc468266739" w:history="1">
        <w:r w:rsidR="0012026B" w:rsidRPr="009765CA">
          <w:rPr>
            <w:rStyle w:val="Hyperlink"/>
            <w:rFonts w:cs="Times New Roman"/>
            <w:noProof/>
          </w:rPr>
          <w:t>Chapter 2: Models of Markets and Monetization</w:t>
        </w:r>
        <w:r w:rsidR="0012026B">
          <w:rPr>
            <w:noProof/>
            <w:webHidden/>
          </w:rPr>
          <w:tab/>
        </w:r>
        <w:r w:rsidR="0012026B">
          <w:rPr>
            <w:noProof/>
            <w:webHidden/>
          </w:rPr>
          <w:fldChar w:fldCharType="begin"/>
        </w:r>
        <w:r w:rsidR="0012026B">
          <w:rPr>
            <w:noProof/>
            <w:webHidden/>
          </w:rPr>
          <w:instrText xml:space="preserve"> PAGEREF _Toc468266739 \h </w:instrText>
        </w:r>
        <w:r w:rsidR="0012026B">
          <w:rPr>
            <w:noProof/>
            <w:webHidden/>
          </w:rPr>
        </w:r>
        <w:r w:rsidR="0012026B">
          <w:rPr>
            <w:noProof/>
            <w:webHidden/>
          </w:rPr>
          <w:fldChar w:fldCharType="separate"/>
        </w:r>
        <w:r w:rsidR="0012026B">
          <w:rPr>
            <w:noProof/>
            <w:webHidden/>
          </w:rPr>
          <w:t>19</w:t>
        </w:r>
        <w:r w:rsidR="0012026B">
          <w:rPr>
            <w:noProof/>
            <w:webHidden/>
          </w:rPr>
          <w:fldChar w:fldCharType="end"/>
        </w:r>
      </w:hyperlink>
    </w:p>
    <w:p w14:paraId="2AF4DE49" w14:textId="548288C8"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0" w:history="1">
        <w:r w:rsidR="0012026B" w:rsidRPr="009765CA">
          <w:rPr>
            <w:rStyle w:val="Hyperlink"/>
            <w:noProof/>
          </w:rPr>
          <w:t>2.1.1</w:t>
        </w:r>
        <w:r w:rsidR="0012026B">
          <w:rPr>
            <w:rFonts w:asciiTheme="minorHAnsi" w:eastAsiaTheme="minorEastAsia" w:hAnsiTheme="minorHAnsi"/>
            <w:noProof/>
            <w:sz w:val="22"/>
            <w:lang w:eastAsia="en-GB"/>
          </w:rPr>
          <w:tab/>
        </w:r>
        <w:r w:rsidR="0012026B" w:rsidRPr="009765CA">
          <w:rPr>
            <w:rStyle w:val="Hyperlink"/>
            <w:noProof/>
          </w:rPr>
          <w:t>The Anthropological Perspective: Karl Polanyi (1886-1964)</w:t>
        </w:r>
        <w:r w:rsidR="0012026B">
          <w:rPr>
            <w:noProof/>
            <w:webHidden/>
          </w:rPr>
          <w:tab/>
        </w:r>
        <w:r w:rsidR="0012026B">
          <w:rPr>
            <w:noProof/>
            <w:webHidden/>
          </w:rPr>
          <w:fldChar w:fldCharType="begin"/>
        </w:r>
        <w:r w:rsidR="0012026B">
          <w:rPr>
            <w:noProof/>
            <w:webHidden/>
          </w:rPr>
          <w:instrText xml:space="preserve"> PAGEREF _Toc468266740 \h </w:instrText>
        </w:r>
        <w:r w:rsidR="0012026B">
          <w:rPr>
            <w:noProof/>
            <w:webHidden/>
          </w:rPr>
        </w:r>
        <w:r w:rsidR="0012026B">
          <w:rPr>
            <w:noProof/>
            <w:webHidden/>
          </w:rPr>
          <w:fldChar w:fldCharType="separate"/>
        </w:r>
        <w:r w:rsidR="0012026B">
          <w:rPr>
            <w:noProof/>
            <w:webHidden/>
          </w:rPr>
          <w:t>21</w:t>
        </w:r>
        <w:r w:rsidR="0012026B">
          <w:rPr>
            <w:noProof/>
            <w:webHidden/>
          </w:rPr>
          <w:fldChar w:fldCharType="end"/>
        </w:r>
      </w:hyperlink>
    </w:p>
    <w:p w14:paraId="0F00535D" w14:textId="7D94A83F"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1" w:history="1">
        <w:r w:rsidR="0012026B" w:rsidRPr="009765CA">
          <w:rPr>
            <w:rStyle w:val="Hyperlink"/>
            <w:noProof/>
          </w:rPr>
          <w:t>2.1.2</w:t>
        </w:r>
        <w:r w:rsidR="0012026B">
          <w:rPr>
            <w:rFonts w:asciiTheme="minorHAnsi" w:eastAsiaTheme="minorEastAsia" w:hAnsiTheme="minorHAnsi"/>
            <w:noProof/>
            <w:sz w:val="22"/>
            <w:lang w:eastAsia="en-GB"/>
          </w:rPr>
          <w:tab/>
        </w:r>
        <w:r w:rsidR="0012026B" w:rsidRPr="009765CA">
          <w:rPr>
            <w:rStyle w:val="Hyperlink"/>
            <w:noProof/>
          </w:rPr>
          <w:t>The Historical Perspective: the school of Henri Pirenne (1862 – 1935)</w:t>
        </w:r>
        <w:r w:rsidR="0012026B">
          <w:rPr>
            <w:noProof/>
            <w:webHidden/>
          </w:rPr>
          <w:tab/>
        </w:r>
        <w:r w:rsidR="0012026B">
          <w:rPr>
            <w:noProof/>
            <w:webHidden/>
          </w:rPr>
          <w:fldChar w:fldCharType="begin"/>
        </w:r>
        <w:r w:rsidR="0012026B">
          <w:rPr>
            <w:noProof/>
            <w:webHidden/>
          </w:rPr>
          <w:instrText xml:space="preserve"> PAGEREF _Toc468266741 \h </w:instrText>
        </w:r>
        <w:r w:rsidR="0012026B">
          <w:rPr>
            <w:noProof/>
            <w:webHidden/>
          </w:rPr>
        </w:r>
        <w:r w:rsidR="0012026B">
          <w:rPr>
            <w:noProof/>
            <w:webHidden/>
          </w:rPr>
          <w:fldChar w:fldCharType="separate"/>
        </w:r>
        <w:r w:rsidR="0012026B">
          <w:rPr>
            <w:noProof/>
            <w:webHidden/>
          </w:rPr>
          <w:t>25</w:t>
        </w:r>
        <w:r w:rsidR="0012026B">
          <w:rPr>
            <w:noProof/>
            <w:webHidden/>
          </w:rPr>
          <w:fldChar w:fldCharType="end"/>
        </w:r>
      </w:hyperlink>
    </w:p>
    <w:p w14:paraId="1A8ADD25" w14:textId="18D8C1C7"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2" w:history="1">
        <w:r w:rsidR="0012026B" w:rsidRPr="009765CA">
          <w:rPr>
            <w:rStyle w:val="Hyperlink"/>
            <w:noProof/>
          </w:rPr>
          <w:t>2.1.3</w:t>
        </w:r>
        <w:r w:rsidR="0012026B">
          <w:rPr>
            <w:rFonts w:asciiTheme="minorHAnsi" w:eastAsiaTheme="minorEastAsia" w:hAnsiTheme="minorHAnsi"/>
            <w:noProof/>
            <w:sz w:val="22"/>
            <w:lang w:eastAsia="en-GB"/>
          </w:rPr>
          <w:tab/>
        </w:r>
        <w:r w:rsidR="0012026B" w:rsidRPr="009765CA">
          <w:rPr>
            <w:rStyle w:val="Hyperlink"/>
            <w:noProof/>
          </w:rPr>
          <w:t>The Archaeological Perspective: Richard Hodges</w:t>
        </w:r>
        <w:r w:rsidR="0012026B">
          <w:rPr>
            <w:noProof/>
            <w:webHidden/>
          </w:rPr>
          <w:tab/>
        </w:r>
        <w:r w:rsidR="0012026B">
          <w:rPr>
            <w:noProof/>
            <w:webHidden/>
          </w:rPr>
          <w:fldChar w:fldCharType="begin"/>
        </w:r>
        <w:r w:rsidR="0012026B">
          <w:rPr>
            <w:noProof/>
            <w:webHidden/>
          </w:rPr>
          <w:instrText xml:space="preserve"> PAGEREF _Toc468266742 \h </w:instrText>
        </w:r>
        <w:r w:rsidR="0012026B">
          <w:rPr>
            <w:noProof/>
            <w:webHidden/>
          </w:rPr>
        </w:r>
        <w:r w:rsidR="0012026B">
          <w:rPr>
            <w:noProof/>
            <w:webHidden/>
          </w:rPr>
          <w:fldChar w:fldCharType="separate"/>
        </w:r>
        <w:r w:rsidR="0012026B">
          <w:rPr>
            <w:noProof/>
            <w:webHidden/>
          </w:rPr>
          <w:t>29</w:t>
        </w:r>
        <w:r w:rsidR="0012026B">
          <w:rPr>
            <w:noProof/>
            <w:webHidden/>
          </w:rPr>
          <w:fldChar w:fldCharType="end"/>
        </w:r>
      </w:hyperlink>
    </w:p>
    <w:p w14:paraId="5C529D6C" w14:textId="4791F269"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3" w:history="1">
        <w:r w:rsidR="0012026B" w:rsidRPr="009765CA">
          <w:rPr>
            <w:rStyle w:val="Hyperlink"/>
            <w:noProof/>
          </w:rPr>
          <w:t>2.1.4</w:t>
        </w:r>
        <w:r w:rsidR="0012026B">
          <w:rPr>
            <w:rFonts w:asciiTheme="minorHAnsi" w:eastAsiaTheme="minorEastAsia" w:hAnsiTheme="minorHAnsi"/>
            <w:noProof/>
            <w:sz w:val="22"/>
            <w:lang w:eastAsia="en-GB"/>
          </w:rPr>
          <w:tab/>
        </w:r>
        <w:r w:rsidR="0012026B" w:rsidRPr="009765CA">
          <w:rPr>
            <w:rStyle w:val="Hyperlink"/>
            <w:noProof/>
          </w:rPr>
          <w:t>Land Use: Blair’s ‘Minster Hypothesis’</w:t>
        </w:r>
        <w:r w:rsidR="0012026B">
          <w:rPr>
            <w:noProof/>
            <w:webHidden/>
          </w:rPr>
          <w:tab/>
        </w:r>
        <w:r w:rsidR="0012026B">
          <w:rPr>
            <w:noProof/>
            <w:webHidden/>
          </w:rPr>
          <w:fldChar w:fldCharType="begin"/>
        </w:r>
        <w:r w:rsidR="0012026B">
          <w:rPr>
            <w:noProof/>
            <w:webHidden/>
          </w:rPr>
          <w:instrText xml:space="preserve"> PAGEREF _Toc468266743 \h </w:instrText>
        </w:r>
        <w:r w:rsidR="0012026B">
          <w:rPr>
            <w:noProof/>
            <w:webHidden/>
          </w:rPr>
        </w:r>
        <w:r w:rsidR="0012026B">
          <w:rPr>
            <w:noProof/>
            <w:webHidden/>
          </w:rPr>
          <w:fldChar w:fldCharType="separate"/>
        </w:r>
        <w:r w:rsidR="0012026B">
          <w:rPr>
            <w:noProof/>
            <w:webHidden/>
          </w:rPr>
          <w:t>35</w:t>
        </w:r>
        <w:r w:rsidR="0012026B">
          <w:rPr>
            <w:noProof/>
            <w:webHidden/>
          </w:rPr>
          <w:fldChar w:fldCharType="end"/>
        </w:r>
      </w:hyperlink>
    </w:p>
    <w:p w14:paraId="686E0EED" w14:textId="14BC3469"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4" w:history="1">
        <w:r w:rsidR="0012026B" w:rsidRPr="009765CA">
          <w:rPr>
            <w:rStyle w:val="Hyperlink"/>
            <w:noProof/>
          </w:rPr>
          <w:t>2.1.5</w:t>
        </w:r>
        <w:r w:rsidR="0012026B">
          <w:rPr>
            <w:rFonts w:asciiTheme="minorHAnsi" w:eastAsiaTheme="minorEastAsia" w:hAnsiTheme="minorHAnsi"/>
            <w:noProof/>
            <w:sz w:val="22"/>
            <w:lang w:eastAsia="en-GB"/>
          </w:rPr>
          <w:tab/>
        </w:r>
        <w:r w:rsidR="0012026B" w:rsidRPr="009765CA">
          <w:rPr>
            <w:rStyle w:val="Hyperlink"/>
            <w:noProof/>
          </w:rPr>
          <w:t>The Economic Perspective: Glyn Davies (1919-2003)</w:t>
        </w:r>
        <w:r w:rsidR="0012026B">
          <w:rPr>
            <w:noProof/>
            <w:webHidden/>
          </w:rPr>
          <w:tab/>
        </w:r>
        <w:r w:rsidR="0012026B">
          <w:rPr>
            <w:noProof/>
            <w:webHidden/>
          </w:rPr>
          <w:fldChar w:fldCharType="begin"/>
        </w:r>
        <w:r w:rsidR="0012026B">
          <w:rPr>
            <w:noProof/>
            <w:webHidden/>
          </w:rPr>
          <w:instrText xml:space="preserve"> PAGEREF _Toc468266744 \h </w:instrText>
        </w:r>
        <w:r w:rsidR="0012026B">
          <w:rPr>
            <w:noProof/>
            <w:webHidden/>
          </w:rPr>
        </w:r>
        <w:r w:rsidR="0012026B">
          <w:rPr>
            <w:noProof/>
            <w:webHidden/>
          </w:rPr>
          <w:fldChar w:fldCharType="separate"/>
        </w:r>
        <w:r w:rsidR="0012026B">
          <w:rPr>
            <w:noProof/>
            <w:webHidden/>
          </w:rPr>
          <w:t>41</w:t>
        </w:r>
        <w:r w:rsidR="0012026B">
          <w:rPr>
            <w:noProof/>
            <w:webHidden/>
          </w:rPr>
          <w:fldChar w:fldCharType="end"/>
        </w:r>
      </w:hyperlink>
    </w:p>
    <w:p w14:paraId="613F7A01" w14:textId="25948D7F"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5" w:history="1">
        <w:r w:rsidR="0012026B" w:rsidRPr="009765CA">
          <w:rPr>
            <w:rStyle w:val="Hyperlink"/>
            <w:noProof/>
          </w:rPr>
          <w:t>2.1.6</w:t>
        </w:r>
        <w:r w:rsidR="0012026B">
          <w:rPr>
            <w:rFonts w:asciiTheme="minorHAnsi" w:eastAsiaTheme="minorEastAsia" w:hAnsiTheme="minorHAnsi"/>
            <w:noProof/>
            <w:sz w:val="22"/>
            <w:lang w:eastAsia="en-GB"/>
          </w:rPr>
          <w:tab/>
        </w:r>
        <w:r w:rsidR="0012026B" w:rsidRPr="009765CA">
          <w:rPr>
            <w:rStyle w:val="Hyperlink"/>
            <w:noProof/>
          </w:rPr>
          <w:t>The Monetary Historical Perspective: Paul Einzig (1897 – 1973)</w:t>
        </w:r>
        <w:r w:rsidR="0012026B">
          <w:rPr>
            <w:noProof/>
            <w:webHidden/>
          </w:rPr>
          <w:tab/>
        </w:r>
        <w:r w:rsidR="0012026B">
          <w:rPr>
            <w:noProof/>
            <w:webHidden/>
          </w:rPr>
          <w:fldChar w:fldCharType="begin"/>
        </w:r>
        <w:r w:rsidR="0012026B">
          <w:rPr>
            <w:noProof/>
            <w:webHidden/>
          </w:rPr>
          <w:instrText xml:space="preserve"> PAGEREF _Toc468266745 \h </w:instrText>
        </w:r>
        <w:r w:rsidR="0012026B">
          <w:rPr>
            <w:noProof/>
            <w:webHidden/>
          </w:rPr>
        </w:r>
        <w:r w:rsidR="0012026B">
          <w:rPr>
            <w:noProof/>
            <w:webHidden/>
          </w:rPr>
          <w:fldChar w:fldCharType="separate"/>
        </w:r>
        <w:r w:rsidR="0012026B">
          <w:rPr>
            <w:noProof/>
            <w:webHidden/>
          </w:rPr>
          <w:t>43</w:t>
        </w:r>
        <w:r w:rsidR="0012026B">
          <w:rPr>
            <w:noProof/>
            <w:webHidden/>
          </w:rPr>
          <w:fldChar w:fldCharType="end"/>
        </w:r>
      </w:hyperlink>
    </w:p>
    <w:p w14:paraId="5B386562" w14:textId="10E7B07D"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6" w:history="1">
        <w:r w:rsidR="0012026B" w:rsidRPr="009765CA">
          <w:rPr>
            <w:rStyle w:val="Hyperlink"/>
            <w:rFonts w:cs="Times New Roman"/>
            <w:noProof/>
          </w:rPr>
          <w:t>2.1.7</w:t>
        </w:r>
        <w:r w:rsidR="0012026B">
          <w:rPr>
            <w:rFonts w:asciiTheme="minorHAnsi" w:eastAsiaTheme="minorEastAsia" w:hAnsiTheme="minorHAnsi"/>
            <w:noProof/>
            <w:sz w:val="22"/>
            <w:lang w:eastAsia="en-GB"/>
          </w:rPr>
          <w:tab/>
        </w:r>
        <w:r w:rsidR="0012026B" w:rsidRPr="009765CA">
          <w:rPr>
            <w:rStyle w:val="Hyperlink"/>
            <w:noProof/>
          </w:rPr>
          <w:t>The Numismatic Perspective on Monetization: Michael Metcalf</w:t>
        </w:r>
        <w:r w:rsidR="0012026B">
          <w:rPr>
            <w:noProof/>
            <w:webHidden/>
          </w:rPr>
          <w:tab/>
        </w:r>
        <w:r w:rsidR="0012026B">
          <w:rPr>
            <w:noProof/>
            <w:webHidden/>
          </w:rPr>
          <w:fldChar w:fldCharType="begin"/>
        </w:r>
        <w:r w:rsidR="0012026B">
          <w:rPr>
            <w:noProof/>
            <w:webHidden/>
          </w:rPr>
          <w:instrText xml:space="preserve"> PAGEREF _Toc468266746 \h </w:instrText>
        </w:r>
        <w:r w:rsidR="0012026B">
          <w:rPr>
            <w:noProof/>
            <w:webHidden/>
          </w:rPr>
        </w:r>
        <w:r w:rsidR="0012026B">
          <w:rPr>
            <w:noProof/>
            <w:webHidden/>
          </w:rPr>
          <w:fldChar w:fldCharType="separate"/>
        </w:r>
        <w:r w:rsidR="0012026B">
          <w:rPr>
            <w:noProof/>
            <w:webHidden/>
          </w:rPr>
          <w:t>44</w:t>
        </w:r>
        <w:r w:rsidR="0012026B">
          <w:rPr>
            <w:noProof/>
            <w:webHidden/>
          </w:rPr>
          <w:fldChar w:fldCharType="end"/>
        </w:r>
      </w:hyperlink>
    </w:p>
    <w:p w14:paraId="1D964575" w14:textId="5D5833B2"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47" w:history="1">
        <w:r w:rsidR="0012026B" w:rsidRPr="009765CA">
          <w:rPr>
            <w:rStyle w:val="Hyperlink"/>
            <w:noProof/>
          </w:rPr>
          <w:t>2.2</w:t>
        </w:r>
        <w:r w:rsidR="0012026B">
          <w:rPr>
            <w:rFonts w:asciiTheme="minorHAnsi" w:eastAsiaTheme="minorEastAsia" w:hAnsiTheme="minorHAnsi"/>
            <w:noProof/>
            <w:sz w:val="22"/>
            <w:lang w:eastAsia="en-GB"/>
          </w:rPr>
          <w:tab/>
        </w:r>
        <w:r w:rsidR="0012026B" w:rsidRPr="009765CA">
          <w:rPr>
            <w:rStyle w:val="Hyperlink"/>
            <w:noProof/>
          </w:rPr>
          <w:t>Numismatics beyond Metcalf, and the Northumbria economy</w:t>
        </w:r>
        <w:r w:rsidR="0012026B">
          <w:rPr>
            <w:noProof/>
            <w:webHidden/>
          </w:rPr>
          <w:tab/>
        </w:r>
        <w:r w:rsidR="0012026B">
          <w:rPr>
            <w:noProof/>
            <w:webHidden/>
          </w:rPr>
          <w:fldChar w:fldCharType="begin"/>
        </w:r>
        <w:r w:rsidR="0012026B">
          <w:rPr>
            <w:noProof/>
            <w:webHidden/>
          </w:rPr>
          <w:instrText xml:space="preserve"> PAGEREF _Toc468266747 \h </w:instrText>
        </w:r>
        <w:r w:rsidR="0012026B">
          <w:rPr>
            <w:noProof/>
            <w:webHidden/>
          </w:rPr>
        </w:r>
        <w:r w:rsidR="0012026B">
          <w:rPr>
            <w:noProof/>
            <w:webHidden/>
          </w:rPr>
          <w:fldChar w:fldCharType="separate"/>
        </w:r>
        <w:r w:rsidR="0012026B">
          <w:rPr>
            <w:noProof/>
            <w:webHidden/>
          </w:rPr>
          <w:t>47</w:t>
        </w:r>
        <w:r w:rsidR="0012026B">
          <w:rPr>
            <w:noProof/>
            <w:webHidden/>
          </w:rPr>
          <w:fldChar w:fldCharType="end"/>
        </w:r>
      </w:hyperlink>
    </w:p>
    <w:p w14:paraId="28F35FB7" w14:textId="790D07E8"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8" w:history="1">
        <w:r w:rsidR="0012026B" w:rsidRPr="009765CA">
          <w:rPr>
            <w:rStyle w:val="Hyperlink"/>
            <w:noProof/>
          </w:rPr>
          <w:t>2.2.1</w:t>
        </w:r>
        <w:r w:rsidR="0012026B">
          <w:rPr>
            <w:rFonts w:asciiTheme="minorHAnsi" w:eastAsiaTheme="minorEastAsia" w:hAnsiTheme="minorHAnsi"/>
            <w:noProof/>
            <w:sz w:val="22"/>
            <w:lang w:eastAsia="en-GB"/>
          </w:rPr>
          <w:tab/>
        </w:r>
        <w:r w:rsidR="0012026B" w:rsidRPr="009765CA">
          <w:rPr>
            <w:rStyle w:val="Hyperlink"/>
            <w:noProof/>
          </w:rPr>
          <w:t>Numismatics</w:t>
        </w:r>
        <w:r w:rsidR="0012026B">
          <w:rPr>
            <w:noProof/>
            <w:webHidden/>
          </w:rPr>
          <w:tab/>
        </w:r>
        <w:r w:rsidR="0012026B">
          <w:rPr>
            <w:noProof/>
            <w:webHidden/>
          </w:rPr>
          <w:fldChar w:fldCharType="begin"/>
        </w:r>
        <w:r w:rsidR="0012026B">
          <w:rPr>
            <w:noProof/>
            <w:webHidden/>
          </w:rPr>
          <w:instrText xml:space="preserve"> PAGEREF _Toc468266748 \h </w:instrText>
        </w:r>
        <w:r w:rsidR="0012026B">
          <w:rPr>
            <w:noProof/>
            <w:webHidden/>
          </w:rPr>
        </w:r>
        <w:r w:rsidR="0012026B">
          <w:rPr>
            <w:noProof/>
            <w:webHidden/>
          </w:rPr>
          <w:fldChar w:fldCharType="separate"/>
        </w:r>
        <w:r w:rsidR="0012026B">
          <w:rPr>
            <w:noProof/>
            <w:webHidden/>
          </w:rPr>
          <w:t>47</w:t>
        </w:r>
        <w:r w:rsidR="0012026B">
          <w:rPr>
            <w:noProof/>
            <w:webHidden/>
          </w:rPr>
          <w:fldChar w:fldCharType="end"/>
        </w:r>
      </w:hyperlink>
    </w:p>
    <w:p w14:paraId="1BABAA87" w14:textId="5FC1DC5C"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49" w:history="1">
        <w:r w:rsidR="0012026B" w:rsidRPr="009765CA">
          <w:rPr>
            <w:rStyle w:val="Hyperlink"/>
            <w:noProof/>
          </w:rPr>
          <w:t>2.2.2</w:t>
        </w:r>
        <w:r w:rsidR="0012026B">
          <w:rPr>
            <w:rFonts w:asciiTheme="minorHAnsi" w:eastAsiaTheme="minorEastAsia" w:hAnsiTheme="minorHAnsi"/>
            <w:noProof/>
            <w:sz w:val="22"/>
            <w:lang w:eastAsia="en-GB"/>
          </w:rPr>
          <w:tab/>
        </w:r>
        <w:r w:rsidR="0012026B" w:rsidRPr="009765CA">
          <w:rPr>
            <w:rStyle w:val="Hyperlink"/>
            <w:noProof/>
          </w:rPr>
          <w:t>Northumbrian economics</w:t>
        </w:r>
        <w:r w:rsidR="0012026B">
          <w:rPr>
            <w:noProof/>
            <w:webHidden/>
          </w:rPr>
          <w:tab/>
        </w:r>
        <w:r w:rsidR="0012026B">
          <w:rPr>
            <w:noProof/>
            <w:webHidden/>
          </w:rPr>
          <w:fldChar w:fldCharType="begin"/>
        </w:r>
        <w:r w:rsidR="0012026B">
          <w:rPr>
            <w:noProof/>
            <w:webHidden/>
          </w:rPr>
          <w:instrText xml:space="preserve"> PAGEREF _Toc468266749 \h </w:instrText>
        </w:r>
        <w:r w:rsidR="0012026B">
          <w:rPr>
            <w:noProof/>
            <w:webHidden/>
          </w:rPr>
        </w:r>
        <w:r w:rsidR="0012026B">
          <w:rPr>
            <w:noProof/>
            <w:webHidden/>
          </w:rPr>
          <w:fldChar w:fldCharType="separate"/>
        </w:r>
        <w:r w:rsidR="0012026B">
          <w:rPr>
            <w:noProof/>
            <w:webHidden/>
          </w:rPr>
          <w:t>51</w:t>
        </w:r>
        <w:r w:rsidR="0012026B">
          <w:rPr>
            <w:noProof/>
            <w:webHidden/>
          </w:rPr>
          <w:fldChar w:fldCharType="end"/>
        </w:r>
      </w:hyperlink>
    </w:p>
    <w:p w14:paraId="23B9B59E" w14:textId="470DB04A"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50" w:history="1">
        <w:r w:rsidR="0012026B" w:rsidRPr="009765CA">
          <w:rPr>
            <w:rStyle w:val="Hyperlink"/>
            <w:noProof/>
          </w:rPr>
          <w:t>2.2</w:t>
        </w:r>
        <w:r w:rsidR="0012026B">
          <w:rPr>
            <w:rFonts w:asciiTheme="minorHAnsi" w:eastAsiaTheme="minorEastAsia" w:hAnsiTheme="minorHAnsi"/>
            <w:noProof/>
            <w:sz w:val="22"/>
            <w:lang w:eastAsia="en-GB"/>
          </w:rPr>
          <w:tab/>
        </w:r>
        <w:r w:rsidR="0012026B" w:rsidRPr="009765CA">
          <w:rPr>
            <w:rStyle w:val="Hyperlink"/>
            <w:noProof/>
          </w:rPr>
          <w:t>Synthesis</w:t>
        </w:r>
        <w:r w:rsidR="0012026B">
          <w:rPr>
            <w:noProof/>
            <w:webHidden/>
          </w:rPr>
          <w:tab/>
        </w:r>
        <w:r w:rsidR="0012026B">
          <w:rPr>
            <w:noProof/>
            <w:webHidden/>
          </w:rPr>
          <w:fldChar w:fldCharType="begin"/>
        </w:r>
        <w:r w:rsidR="0012026B">
          <w:rPr>
            <w:noProof/>
            <w:webHidden/>
          </w:rPr>
          <w:instrText xml:space="preserve"> PAGEREF _Toc468266750 \h </w:instrText>
        </w:r>
        <w:r w:rsidR="0012026B">
          <w:rPr>
            <w:noProof/>
            <w:webHidden/>
          </w:rPr>
        </w:r>
        <w:r w:rsidR="0012026B">
          <w:rPr>
            <w:noProof/>
            <w:webHidden/>
          </w:rPr>
          <w:fldChar w:fldCharType="separate"/>
        </w:r>
        <w:r w:rsidR="0012026B">
          <w:rPr>
            <w:noProof/>
            <w:webHidden/>
          </w:rPr>
          <w:t>58</w:t>
        </w:r>
        <w:r w:rsidR="0012026B">
          <w:rPr>
            <w:noProof/>
            <w:webHidden/>
          </w:rPr>
          <w:fldChar w:fldCharType="end"/>
        </w:r>
      </w:hyperlink>
    </w:p>
    <w:p w14:paraId="26792732" w14:textId="05264E0E" w:rsidR="0012026B" w:rsidRDefault="00B32C9A">
      <w:pPr>
        <w:pStyle w:val="TOC1"/>
        <w:tabs>
          <w:tab w:val="right" w:leader="dot" w:pos="9016"/>
        </w:tabs>
        <w:rPr>
          <w:rFonts w:asciiTheme="minorHAnsi" w:eastAsiaTheme="minorEastAsia" w:hAnsiTheme="minorHAnsi"/>
          <w:noProof/>
          <w:sz w:val="22"/>
          <w:lang w:eastAsia="en-GB"/>
        </w:rPr>
      </w:pPr>
      <w:hyperlink w:anchor="_Toc468266751" w:history="1">
        <w:r w:rsidR="0012026B" w:rsidRPr="009765CA">
          <w:rPr>
            <w:rStyle w:val="Hyperlink"/>
            <w:noProof/>
          </w:rPr>
          <w:t>Chapter 3: Monetization in Southumbria</w:t>
        </w:r>
        <w:r w:rsidR="0012026B">
          <w:rPr>
            <w:noProof/>
            <w:webHidden/>
          </w:rPr>
          <w:tab/>
        </w:r>
        <w:r w:rsidR="0012026B">
          <w:rPr>
            <w:noProof/>
            <w:webHidden/>
          </w:rPr>
          <w:fldChar w:fldCharType="begin"/>
        </w:r>
        <w:r w:rsidR="0012026B">
          <w:rPr>
            <w:noProof/>
            <w:webHidden/>
          </w:rPr>
          <w:instrText xml:space="preserve"> PAGEREF _Toc468266751 \h </w:instrText>
        </w:r>
        <w:r w:rsidR="0012026B">
          <w:rPr>
            <w:noProof/>
            <w:webHidden/>
          </w:rPr>
        </w:r>
        <w:r w:rsidR="0012026B">
          <w:rPr>
            <w:noProof/>
            <w:webHidden/>
          </w:rPr>
          <w:fldChar w:fldCharType="separate"/>
        </w:r>
        <w:r w:rsidR="0012026B">
          <w:rPr>
            <w:noProof/>
            <w:webHidden/>
          </w:rPr>
          <w:t>60</w:t>
        </w:r>
        <w:r w:rsidR="0012026B">
          <w:rPr>
            <w:noProof/>
            <w:webHidden/>
          </w:rPr>
          <w:fldChar w:fldCharType="end"/>
        </w:r>
      </w:hyperlink>
    </w:p>
    <w:p w14:paraId="10E176DE" w14:textId="0FB81461"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52" w:history="1">
        <w:r w:rsidR="0012026B" w:rsidRPr="009765CA">
          <w:rPr>
            <w:rStyle w:val="Hyperlink"/>
            <w:noProof/>
          </w:rPr>
          <w:t>3.1</w:t>
        </w:r>
        <w:r w:rsidR="0012026B">
          <w:rPr>
            <w:rFonts w:asciiTheme="minorHAnsi" w:eastAsiaTheme="minorEastAsia" w:hAnsiTheme="minorHAnsi"/>
            <w:noProof/>
            <w:sz w:val="22"/>
            <w:lang w:eastAsia="en-GB"/>
          </w:rPr>
          <w:tab/>
        </w:r>
        <w:r w:rsidR="0012026B" w:rsidRPr="009765CA">
          <w:rPr>
            <w:rStyle w:val="Hyperlink"/>
            <w:noProof/>
          </w:rPr>
          <w:t>Law</w:t>
        </w:r>
        <w:r w:rsidR="0012026B">
          <w:rPr>
            <w:noProof/>
            <w:webHidden/>
          </w:rPr>
          <w:tab/>
        </w:r>
        <w:r w:rsidR="0012026B">
          <w:rPr>
            <w:noProof/>
            <w:webHidden/>
          </w:rPr>
          <w:fldChar w:fldCharType="begin"/>
        </w:r>
        <w:r w:rsidR="0012026B">
          <w:rPr>
            <w:noProof/>
            <w:webHidden/>
          </w:rPr>
          <w:instrText xml:space="preserve"> PAGEREF _Toc468266752 \h </w:instrText>
        </w:r>
        <w:r w:rsidR="0012026B">
          <w:rPr>
            <w:noProof/>
            <w:webHidden/>
          </w:rPr>
        </w:r>
        <w:r w:rsidR="0012026B">
          <w:rPr>
            <w:noProof/>
            <w:webHidden/>
          </w:rPr>
          <w:fldChar w:fldCharType="separate"/>
        </w:r>
        <w:r w:rsidR="0012026B">
          <w:rPr>
            <w:noProof/>
            <w:webHidden/>
          </w:rPr>
          <w:t>60</w:t>
        </w:r>
        <w:r w:rsidR="0012026B">
          <w:rPr>
            <w:noProof/>
            <w:webHidden/>
          </w:rPr>
          <w:fldChar w:fldCharType="end"/>
        </w:r>
      </w:hyperlink>
    </w:p>
    <w:p w14:paraId="3499E3FD" w14:textId="78D64F1F"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53" w:history="1">
        <w:r w:rsidR="0012026B" w:rsidRPr="009765CA">
          <w:rPr>
            <w:rStyle w:val="Hyperlink"/>
            <w:noProof/>
          </w:rPr>
          <w:t>3.2</w:t>
        </w:r>
        <w:r w:rsidR="0012026B">
          <w:rPr>
            <w:rFonts w:asciiTheme="minorHAnsi" w:eastAsiaTheme="minorEastAsia" w:hAnsiTheme="minorHAnsi"/>
            <w:noProof/>
            <w:sz w:val="22"/>
            <w:lang w:eastAsia="en-GB"/>
          </w:rPr>
          <w:tab/>
        </w:r>
        <w:r w:rsidR="0012026B" w:rsidRPr="009765CA">
          <w:rPr>
            <w:rStyle w:val="Hyperlink"/>
            <w:noProof/>
          </w:rPr>
          <w:t xml:space="preserve">Southumbrian Monetary Evolution, Periods S7-9 </w:t>
        </w:r>
        <w:r w:rsidR="0012026B">
          <w:rPr>
            <w:noProof/>
            <w:webHidden/>
          </w:rPr>
          <w:tab/>
        </w:r>
        <w:r w:rsidR="0012026B">
          <w:rPr>
            <w:noProof/>
            <w:webHidden/>
          </w:rPr>
          <w:fldChar w:fldCharType="begin"/>
        </w:r>
        <w:r w:rsidR="0012026B">
          <w:rPr>
            <w:noProof/>
            <w:webHidden/>
          </w:rPr>
          <w:instrText xml:space="preserve"> PAGEREF _Toc468266753 \h </w:instrText>
        </w:r>
        <w:r w:rsidR="0012026B">
          <w:rPr>
            <w:noProof/>
            <w:webHidden/>
          </w:rPr>
        </w:r>
        <w:r w:rsidR="0012026B">
          <w:rPr>
            <w:noProof/>
            <w:webHidden/>
          </w:rPr>
          <w:fldChar w:fldCharType="separate"/>
        </w:r>
        <w:r w:rsidR="0012026B">
          <w:rPr>
            <w:noProof/>
            <w:webHidden/>
          </w:rPr>
          <w:t>66</w:t>
        </w:r>
        <w:r w:rsidR="0012026B">
          <w:rPr>
            <w:noProof/>
            <w:webHidden/>
          </w:rPr>
          <w:fldChar w:fldCharType="end"/>
        </w:r>
      </w:hyperlink>
    </w:p>
    <w:p w14:paraId="0ECC2360" w14:textId="0F8BDD34"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754" w:history="1">
        <w:r w:rsidR="0012026B" w:rsidRPr="009765CA">
          <w:rPr>
            <w:rStyle w:val="Hyperlink"/>
            <w:noProof/>
          </w:rPr>
          <w:t>3.2.1</w:t>
        </w:r>
        <w:r w:rsidR="0012026B">
          <w:rPr>
            <w:rFonts w:asciiTheme="minorHAnsi" w:eastAsiaTheme="minorEastAsia" w:hAnsiTheme="minorHAnsi"/>
            <w:noProof/>
            <w:sz w:val="22"/>
            <w:lang w:eastAsia="en-GB"/>
          </w:rPr>
          <w:tab/>
        </w:r>
        <w:r w:rsidR="0012026B" w:rsidRPr="009765CA">
          <w:rPr>
            <w:rStyle w:val="Hyperlink"/>
            <w:noProof/>
          </w:rPr>
          <w:t>Historical Background</w:t>
        </w:r>
        <w:r w:rsidR="0012026B">
          <w:rPr>
            <w:noProof/>
            <w:webHidden/>
          </w:rPr>
          <w:tab/>
        </w:r>
        <w:r w:rsidR="0012026B">
          <w:rPr>
            <w:noProof/>
            <w:webHidden/>
          </w:rPr>
          <w:fldChar w:fldCharType="begin"/>
        </w:r>
        <w:r w:rsidR="0012026B">
          <w:rPr>
            <w:noProof/>
            <w:webHidden/>
          </w:rPr>
          <w:instrText xml:space="preserve"> PAGEREF _Toc468266754 \h </w:instrText>
        </w:r>
        <w:r w:rsidR="0012026B">
          <w:rPr>
            <w:noProof/>
            <w:webHidden/>
          </w:rPr>
        </w:r>
        <w:r w:rsidR="0012026B">
          <w:rPr>
            <w:noProof/>
            <w:webHidden/>
          </w:rPr>
          <w:fldChar w:fldCharType="separate"/>
        </w:r>
        <w:r w:rsidR="0012026B">
          <w:rPr>
            <w:noProof/>
            <w:webHidden/>
          </w:rPr>
          <w:t>66</w:t>
        </w:r>
        <w:r w:rsidR="0012026B">
          <w:rPr>
            <w:noProof/>
            <w:webHidden/>
          </w:rPr>
          <w:fldChar w:fldCharType="end"/>
        </w:r>
      </w:hyperlink>
    </w:p>
    <w:p w14:paraId="4875D1C5" w14:textId="70DDD13B"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755" w:history="1">
        <w:r w:rsidR="0012026B" w:rsidRPr="009765CA">
          <w:rPr>
            <w:rStyle w:val="Hyperlink"/>
            <w:noProof/>
          </w:rPr>
          <w:t>3.2.2</w:t>
        </w:r>
        <w:r w:rsidR="0012026B">
          <w:rPr>
            <w:rFonts w:asciiTheme="minorHAnsi" w:eastAsiaTheme="minorEastAsia" w:hAnsiTheme="minorHAnsi"/>
            <w:noProof/>
            <w:sz w:val="22"/>
            <w:lang w:eastAsia="en-GB"/>
          </w:rPr>
          <w:tab/>
        </w:r>
        <w:r w:rsidR="0012026B" w:rsidRPr="009765CA">
          <w:rPr>
            <w:rStyle w:val="Hyperlink"/>
            <w:noProof/>
          </w:rPr>
          <w:t>Production</w:t>
        </w:r>
        <w:r w:rsidR="0012026B">
          <w:rPr>
            <w:noProof/>
            <w:webHidden/>
          </w:rPr>
          <w:tab/>
        </w:r>
        <w:r w:rsidR="0012026B">
          <w:rPr>
            <w:noProof/>
            <w:webHidden/>
          </w:rPr>
          <w:fldChar w:fldCharType="begin"/>
        </w:r>
        <w:r w:rsidR="0012026B">
          <w:rPr>
            <w:noProof/>
            <w:webHidden/>
          </w:rPr>
          <w:instrText xml:space="preserve"> PAGEREF _Toc468266755 \h </w:instrText>
        </w:r>
        <w:r w:rsidR="0012026B">
          <w:rPr>
            <w:noProof/>
            <w:webHidden/>
          </w:rPr>
        </w:r>
        <w:r w:rsidR="0012026B">
          <w:rPr>
            <w:noProof/>
            <w:webHidden/>
          </w:rPr>
          <w:fldChar w:fldCharType="separate"/>
        </w:r>
        <w:r w:rsidR="0012026B">
          <w:rPr>
            <w:noProof/>
            <w:webHidden/>
          </w:rPr>
          <w:t>66</w:t>
        </w:r>
        <w:r w:rsidR="0012026B">
          <w:rPr>
            <w:noProof/>
            <w:webHidden/>
          </w:rPr>
          <w:fldChar w:fldCharType="end"/>
        </w:r>
      </w:hyperlink>
    </w:p>
    <w:p w14:paraId="6AFD5FBC" w14:textId="5E46007E"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756" w:history="1">
        <w:r w:rsidR="0012026B" w:rsidRPr="009765CA">
          <w:rPr>
            <w:rStyle w:val="Hyperlink"/>
            <w:noProof/>
          </w:rPr>
          <w:t>3.2.3</w:t>
        </w:r>
        <w:r w:rsidR="0012026B">
          <w:rPr>
            <w:rFonts w:asciiTheme="minorHAnsi" w:eastAsiaTheme="minorEastAsia" w:hAnsiTheme="minorHAnsi"/>
            <w:noProof/>
            <w:sz w:val="22"/>
            <w:lang w:eastAsia="en-GB"/>
          </w:rPr>
          <w:tab/>
        </w:r>
        <w:r w:rsidR="0012026B" w:rsidRPr="009765CA">
          <w:rPr>
            <w:rStyle w:val="Hyperlink"/>
            <w:noProof/>
          </w:rPr>
          <w:t>Use</w:t>
        </w:r>
        <w:r w:rsidR="0012026B">
          <w:rPr>
            <w:noProof/>
            <w:webHidden/>
          </w:rPr>
          <w:tab/>
        </w:r>
        <w:r w:rsidR="0012026B">
          <w:rPr>
            <w:noProof/>
            <w:webHidden/>
          </w:rPr>
          <w:fldChar w:fldCharType="begin"/>
        </w:r>
        <w:r w:rsidR="0012026B">
          <w:rPr>
            <w:noProof/>
            <w:webHidden/>
          </w:rPr>
          <w:instrText xml:space="preserve"> PAGEREF _Toc468266756 \h </w:instrText>
        </w:r>
        <w:r w:rsidR="0012026B">
          <w:rPr>
            <w:noProof/>
            <w:webHidden/>
          </w:rPr>
        </w:r>
        <w:r w:rsidR="0012026B">
          <w:rPr>
            <w:noProof/>
            <w:webHidden/>
          </w:rPr>
          <w:fldChar w:fldCharType="separate"/>
        </w:r>
        <w:r w:rsidR="0012026B">
          <w:rPr>
            <w:noProof/>
            <w:webHidden/>
          </w:rPr>
          <w:t>68</w:t>
        </w:r>
        <w:r w:rsidR="0012026B">
          <w:rPr>
            <w:noProof/>
            <w:webHidden/>
          </w:rPr>
          <w:fldChar w:fldCharType="end"/>
        </w:r>
      </w:hyperlink>
    </w:p>
    <w:p w14:paraId="154EA217" w14:textId="75D0A55D"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57" w:history="1">
        <w:r w:rsidR="0012026B" w:rsidRPr="009765CA">
          <w:rPr>
            <w:rStyle w:val="Hyperlink"/>
            <w:noProof/>
          </w:rPr>
          <w:t>3.3</w:t>
        </w:r>
        <w:r w:rsidR="0012026B">
          <w:rPr>
            <w:rFonts w:asciiTheme="minorHAnsi" w:eastAsiaTheme="minorEastAsia" w:hAnsiTheme="minorHAnsi"/>
            <w:noProof/>
            <w:sz w:val="22"/>
            <w:lang w:eastAsia="en-GB"/>
          </w:rPr>
          <w:tab/>
        </w:r>
        <w:r w:rsidR="0012026B" w:rsidRPr="009765CA">
          <w:rPr>
            <w:rStyle w:val="Hyperlink"/>
            <w:noProof/>
          </w:rPr>
          <w:t>Scandia</w:t>
        </w:r>
        <w:r w:rsidR="0012026B">
          <w:rPr>
            <w:noProof/>
            <w:webHidden/>
          </w:rPr>
          <w:tab/>
        </w:r>
        <w:r w:rsidR="0012026B">
          <w:rPr>
            <w:noProof/>
            <w:webHidden/>
          </w:rPr>
          <w:fldChar w:fldCharType="begin"/>
        </w:r>
        <w:r w:rsidR="0012026B">
          <w:rPr>
            <w:noProof/>
            <w:webHidden/>
          </w:rPr>
          <w:instrText xml:space="preserve"> PAGEREF _Toc468266757 \h </w:instrText>
        </w:r>
        <w:r w:rsidR="0012026B">
          <w:rPr>
            <w:noProof/>
            <w:webHidden/>
          </w:rPr>
        </w:r>
        <w:r w:rsidR="0012026B">
          <w:rPr>
            <w:noProof/>
            <w:webHidden/>
          </w:rPr>
          <w:fldChar w:fldCharType="separate"/>
        </w:r>
        <w:r w:rsidR="0012026B">
          <w:rPr>
            <w:noProof/>
            <w:webHidden/>
          </w:rPr>
          <w:t>71</w:t>
        </w:r>
        <w:r w:rsidR="0012026B">
          <w:rPr>
            <w:noProof/>
            <w:webHidden/>
          </w:rPr>
          <w:fldChar w:fldCharType="end"/>
        </w:r>
      </w:hyperlink>
    </w:p>
    <w:p w14:paraId="04AD0A53" w14:textId="4165CC3D"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58" w:history="1">
        <w:r w:rsidR="0012026B" w:rsidRPr="009765CA">
          <w:rPr>
            <w:rStyle w:val="Hyperlink"/>
            <w:noProof/>
          </w:rPr>
          <w:t>3.3.1</w:t>
        </w:r>
        <w:r w:rsidR="0012026B">
          <w:rPr>
            <w:rFonts w:asciiTheme="minorHAnsi" w:eastAsiaTheme="minorEastAsia" w:hAnsiTheme="minorHAnsi"/>
            <w:noProof/>
            <w:sz w:val="22"/>
            <w:lang w:eastAsia="en-GB"/>
          </w:rPr>
          <w:tab/>
        </w:r>
        <w:r w:rsidR="0012026B" w:rsidRPr="009765CA">
          <w:rPr>
            <w:rStyle w:val="Hyperlink"/>
            <w:noProof/>
          </w:rPr>
          <w:t xml:space="preserve">Scandinavian monetization and Viking incursions </w:t>
        </w:r>
        <w:r w:rsidR="0012026B">
          <w:rPr>
            <w:noProof/>
            <w:webHidden/>
          </w:rPr>
          <w:tab/>
        </w:r>
        <w:r w:rsidR="0012026B">
          <w:rPr>
            <w:noProof/>
            <w:webHidden/>
          </w:rPr>
          <w:fldChar w:fldCharType="begin"/>
        </w:r>
        <w:r w:rsidR="0012026B">
          <w:rPr>
            <w:noProof/>
            <w:webHidden/>
          </w:rPr>
          <w:instrText xml:space="preserve"> PAGEREF _Toc468266758 \h </w:instrText>
        </w:r>
        <w:r w:rsidR="0012026B">
          <w:rPr>
            <w:noProof/>
            <w:webHidden/>
          </w:rPr>
        </w:r>
        <w:r w:rsidR="0012026B">
          <w:rPr>
            <w:noProof/>
            <w:webHidden/>
          </w:rPr>
          <w:fldChar w:fldCharType="separate"/>
        </w:r>
        <w:r w:rsidR="0012026B">
          <w:rPr>
            <w:noProof/>
            <w:webHidden/>
          </w:rPr>
          <w:t>71</w:t>
        </w:r>
        <w:r w:rsidR="0012026B">
          <w:rPr>
            <w:noProof/>
            <w:webHidden/>
          </w:rPr>
          <w:fldChar w:fldCharType="end"/>
        </w:r>
      </w:hyperlink>
    </w:p>
    <w:p w14:paraId="7D71CDF1" w14:textId="15D20EF6"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59" w:history="1">
        <w:r w:rsidR="0012026B" w:rsidRPr="009765CA">
          <w:rPr>
            <w:rStyle w:val="Hyperlink"/>
            <w:noProof/>
          </w:rPr>
          <w:t>3.3.2</w:t>
        </w:r>
        <w:r w:rsidR="0012026B">
          <w:rPr>
            <w:rFonts w:asciiTheme="minorHAnsi" w:eastAsiaTheme="minorEastAsia" w:hAnsiTheme="minorHAnsi"/>
            <w:noProof/>
            <w:sz w:val="22"/>
            <w:lang w:eastAsia="en-GB"/>
          </w:rPr>
          <w:tab/>
        </w:r>
        <w:r w:rsidR="0012026B" w:rsidRPr="009765CA">
          <w:rPr>
            <w:rStyle w:val="Hyperlink"/>
            <w:noProof/>
          </w:rPr>
          <w:t>Numismatic Summary</w:t>
        </w:r>
        <w:r w:rsidR="0012026B">
          <w:rPr>
            <w:noProof/>
            <w:webHidden/>
          </w:rPr>
          <w:tab/>
        </w:r>
        <w:r w:rsidR="0012026B">
          <w:rPr>
            <w:noProof/>
            <w:webHidden/>
          </w:rPr>
          <w:fldChar w:fldCharType="begin"/>
        </w:r>
        <w:r w:rsidR="0012026B">
          <w:rPr>
            <w:noProof/>
            <w:webHidden/>
          </w:rPr>
          <w:instrText xml:space="preserve"> PAGEREF _Toc468266759 \h </w:instrText>
        </w:r>
        <w:r w:rsidR="0012026B">
          <w:rPr>
            <w:noProof/>
            <w:webHidden/>
          </w:rPr>
        </w:r>
        <w:r w:rsidR="0012026B">
          <w:rPr>
            <w:noProof/>
            <w:webHidden/>
          </w:rPr>
          <w:fldChar w:fldCharType="separate"/>
        </w:r>
        <w:r w:rsidR="0012026B">
          <w:rPr>
            <w:noProof/>
            <w:webHidden/>
          </w:rPr>
          <w:t>72</w:t>
        </w:r>
        <w:r w:rsidR="0012026B">
          <w:rPr>
            <w:noProof/>
            <w:webHidden/>
          </w:rPr>
          <w:fldChar w:fldCharType="end"/>
        </w:r>
      </w:hyperlink>
    </w:p>
    <w:p w14:paraId="11F694CF" w14:textId="557F7A7D" w:rsidR="0012026B" w:rsidRDefault="00B32C9A">
      <w:pPr>
        <w:pStyle w:val="TOC1"/>
        <w:tabs>
          <w:tab w:val="right" w:leader="dot" w:pos="9016"/>
        </w:tabs>
        <w:rPr>
          <w:rFonts w:asciiTheme="minorHAnsi" w:eastAsiaTheme="minorEastAsia" w:hAnsiTheme="minorHAnsi"/>
          <w:noProof/>
          <w:sz w:val="22"/>
          <w:lang w:eastAsia="en-GB"/>
        </w:rPr>
      </w:pPr>
      <w:hyperlink w:anchor="_Toc468266760" w:history="1">
        <w:r w:rsidR="0012026B" w:rsidRPr="009765CA">
          <w:rPr>
            <w:rStyle w:val="Hyperlink"/>
            <w:rFonts w:cs="Times New Roman"/>
            <w:noProof/>
          </w:rPr>
          <w:t>Chapter 4: Hypothesis</w:t>
        </w:r>
        <w:r w:rsidR="0012026B">
          <w:rPr>
            <w:noProof/>
            <w:webHidden/>
          </w:rPr>
          <w:tab/>
        </w:r>
        <w:r w:rsidR="0012026B">
          <w:rPr>
            <w:noProof/>
            <w:webHidden/>
          </w:rPr>
          <w:fldChar w:fldCharType="begin"/>
        </w:r>
        <w:r w:rsidR="0012026B">
          <w:rPr>
            <w:noProof/>
            <w:webHidden/>
          </w:rPr>
          <w:instrText xml:space="preserve"> PAGEREF _Toc468266760 \h </w:instrText>
        </w:r>
        <w:r w:rsidR="0012026B">
          <w:rPr>
            <w:noProof/>
            <w:webHidden/>
          </w:rPr>
        </w:r>
        <w:r w:rsidR="0012026B">
          <w:rPr>
            <w:noProof/>
            <w:webHidden/>
          </w:rPr>
          <w:fldChar w:fldCharType="separate"/>
        </w:r>
        <w:r w:rsidR="0012026B">
          <w:rPr>
            <w:noProof/>
            <w:webHidden/>
          </w:rPr>
          <w:t>74</w:t>
        </w:r>
        <w:r w:rsidR="0012026B">
          <w:rPr>
            <w:noProof/>
            <w:webHidden/>
          </w:rPr>
          <w:fldChar w:fldCharType="end"/>
        </w:r>
      </w:hyperlink>
    </w:p>
    <w:p w14:paraId="3BB77F39" w14:textId="73AA509F"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61" w:history="1">
        <w:r w:rsidR="0012026B" w:rsidRPr="009765CA">
          <w:rPr>
            <w:rStyle w:val="Hyperlink"/>
            <w:noProof/>
          </w:rPr>
          <w:t>4.1</w:t>
        </w:r>
        <w:r w:rsidR="0012026B">
          <w:rPr>
            <w:rFonts w:asciiTheme="minorHAnsi" w:eastAsiaTheme="minorEastAsia" w:hAnsiTheme="minorHAnsi"/>
            <w:noProof/>
            <w:sz w:val="22"/>
            <w:lang w:eastAsia="en-GB"/>
          </w:rPr>
          <w:tab/>
        </w:r>
        <w:r w:rsidR="0012026B" w:rsidRPr="009765CA">
          <w:rPr>
            <w:rStyle w:val="Hyperlink"/>
            <w:noProof/>
          </w:rPr>
          <w:t>Definition of Terms</w:t>
        </w:r>
        <w:r w:rsidR="0012026B">
          <w:rPr>
            <w:noProof/>
            <w:webHidden/>
          </w:rPr>
          <w:tab/>
        </w:r>
        <w:r w:rsidR="0012026B">
          <w:rPr>
            <w:noProof/>
            <w:webHidden/>
          </w:rPr>
          <w:fldChar w:fldCharType="begin"/>
        </w:r>
        <w:r w:rsidR="0012026B">
          <w:rPr>
            <w:noProof/>
            <w:webHidden/>
          </w:rPr>
          <w:instrText xml:space="preserve"> PAGEREF _Toc468266761 \h </w:instrText>
        </w:r>
        <w:r w:rsidR="0012026B">
          <w:rPr>
            <w:noProof/>
            <w:webHidden/>
          </w:rPr>
        </w:r>
        <w:r w:rsidR="0012026B">
          <w:rPr>
            <w:noProof/>
            <w:webHidden/>
          </w:rPr>
          <w:fldChar w:fldCharType="separate"/>
        </w:r>
        <w:r w:rsidR="0012026B">
          <w:rPr>
            <w:noProof/>
            <w:webHidden/>
          </w:rPr>
          <w:t>74</w:t>
        </w:r>
        <w:r w:rsidR="0012026B">
          <w:rPr>
            <w:noProof/>
            <w:webHidden/>
          </w:rPr>
          <w:fldChar w:fldCharType="end"/>
        </w:r>
      </w:hyperlink>
    </w:p>
    <w:p w14:paraId="09988620" w14:textId="06F8F682"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62" w:history="1">
        <w:r w:rsidR="0012026B" w:rsidRPr="009765CA">
          <w:rPr>
            <w:rStyle w:val="Hyperlink"/>
            <w:noProof/>
          </w:rPr>
          <w:t>4.2</w:t>
        </w:r>
        <w:r w:rsidR="0012026B">
          <w:rPr>
            <w:rFonts w:asciiTheme="minorHAnsi" w:eastAsiaTheme="minorEastAsia" w:hAnsiTheme="minorHAnsi"/>
            <w:noProof/>
            <w:sz w:val="22"/>
            <w:lang w:eastAsia="en-GB"/>
          </w:rPr>
          <w:tab/>
        </w:r>
        <w:r w:rsidR="0012026B" w:rsidRPr="009765CA">
          <w:rPr>
            <w:rStyle w:val="Hyperlink"/>
            <w:noProof/>
          </w:rPr>
          <w:t>Economic Characterisation</w:t>
        </w:r>
        <w:r w:rsidR="0012026B">
          <w:rPr>
            <w:noProof/>
            <w:webHidden/>
          </w:rPr>
          <w:tab/>
        </w:r>
        <w:r w:rsidR="0012026B">
          <w:rPr>
            <w:noProof/>
            <w:webHidden/>
          </w:rPr>
          <w:fldChar w:fldCharType="begin"/>
        </w:r>
        <w:r w:rsidR="0012026B">
          <w:rPr>
            <w:noProof/>
            <w:webHidden/>
          </w:rPr>
          <w:instrText xml:space="preserve"> PAGEREF _Toc468266762 \h </w:instrText>
        </w:r>
        <w:r w:rsidR="0012026B">
          <w:rPr>
            <w:noProof/>
            <w:webHidden/>
          </w:rPr>
        </w:r>
        <w:r w:rsidR="0012026B">
          <w:rPr>
            <w:noProof/>
            <w:webHidden/>
          </w:rPr>
          <w:fldChar w:fldCharType="separate"/>
        </w:r>
        <w:r w:rsidR="0012026B">
          <w:rPr>
            <w:noProof/>
            <w:webHidden/>
          </w:rPr>
          <w:t>75</w:t>
        </w:r>
        <w:r w:rsidR="0012026B">
          <w:rPr>
            <w:noProof/>
            <w:webHidden/>
          </w:rPr>
          <w:fldChar w:fldCharType="end"/>
        </w:r>
      </w:hyperlink>
    </w:p>
    <w:p w14:paraId="3B5E39FD" w14:textId="645F28B9"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63" w:history="1">
        <w:r w:rsidR="0012026B" w:rsidRPr="009765CA">
          <w:rPr>
            <w:rStyle w:val="Hyperlink"/>
            <w:noProof/>
          </w:rPr>
          <w:t>4.3</w:t>
        </w:r>
        <w:r w:rsidR="0012026B">
          <w:rPr>
            <w:rFonts w:asciiTheme="minorHAnsi" w:eastAsiaTheme="minorEastAsia" w:hAnsiTheme="minorHAnsi"/>
            <w:noProof/>
            <w:sz w:val="22"/>
            <w:lang w:eastAsia="en-GB"/>
          </w:rPr>
          <w:tab/>
        </w:r>
        <w:r w:rsidR="0012026B" w:rsidRPr="009765CA">
          <w:rPr>
            <w:rStyle w:val="Hyperlink"/>
            <w:noProof/>
          </w:rPr>
          <w:t xml:space="preserve">Hypothesis of </w:t>
        </w:r>
        <w:r w:rsidR="0012026B" w:rsidRPr="009765CA">
          <w:rPr>
            <w:rStyle w:val="Hyperlink"/>
            <w:rFonts w:eastAsia="Times New Roman" w:cs="Times New Roman"/>
            <w:noProof/>
            <w:lang w:eastAsia="en-GB"/>
          </w:rPr>
          <w:t>Monetization</w:t>
        </w:r>
        <w:r w:rsidR="0012026B">
          <w:rPr>
            <w:noProof/>
            <w:webHidden/>
          </w:rPr>
          <w:tab/>
        </w:r>
        <w:r w:rsidR="0012026B">
          <w:rPr>
            <w:noProof/>
            <w:webHidden/>
          </w:rPr>
          <w:fldChar w:fldCharType="begin"/>
        </w:r>
        <w:r w:rsidR="0012026B">
          <w:rPr>
            <w:noProof/>
            <w:webHidden/>
          </w:rPr>
          <w:instrText xml:space="preserve"> PAGEREF _Toc468266763 \h </w:instrText>
        </w:r>
        <w:r w:rsidR="0012026B">
          <w:rPr>
            <w:noProof/>
            <w:webHidden/>
          </w:rPr>
        </w:r>
        <w:r w:rsidR="0012026B">
          <w:rPr>
            <w:noProof/>
            <w:webHidden/>
          </w:rPr>
          <w:fldChar w:fldCharType="separate"/>
        </w:r>
        <w:r w:rsidR="0012026B">
          <w:rPr>
            <w:noProof/>
            <w:webHidden/>
          </w:rPr>
          <w:t>77</w:t>
        </w:r>
        <w:r w:rsidR="0012026B">
          <w:rPr>
            <w:noProof/>
            <w:webHidden/>
          </w:rPr>
          <w:fldChar w:fldCharType="end"/>
        </w:r>
      </w:hyperlink>
    </w:p>
    <w:p w14:paraId="28E379E0" w14:textId="483B3BBB"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764" w:history="1">
        <w:r w:rsidR="0012026B" w:rsidRPr="009765CA">
          <w:rPr>
            <w:rStyle w:val="Hyperlink"/>
            <w:noProof/>
          </w:rPr>
          <w:t>4.3.1</w:t>
        </w:r>
        <w:r w:rsidR="0012026B">
          <w:rPr>
            <w:rFonts w:asciiTheme="minorHAnsi" w:eastAsiaTheme="minorEastAsia" w:hAnsiTheme="minorHAnsi"/>
            <w:noProof/>
            <w:sz w:val="22"/>
            <w:lang w:eastAsia="en-GB"/>
          </w:rPr>
          <w:tab/>
        </w:r>
        <w:r w:rsidR="0012026B" w:rsidRPr="009765CA">
          <w:rPr>
            <w:rStyle w:val="Hyperlink"/>
            <w:noProof/>
          </w:rPr>
          <w:t>Élite use of</w:t>
        </w:r>
        <w:r w:rsidR="0012026B">
          <w:rPr>
            <w:noProof/>
            <w:webHidden/>
          </w:rPr>
          <w:tab/>
        </w:r>
        <w:r w:rsidR="0012026B">
          <w:rPr>
            <w:noProof/>
            <w:webHidden/>
          </w:rPr>
          <w:fldChar w:fldCharType="begin"/>
        </w:r>
        <w:r w:rsidR="0012026B">
          <w:rPr>
            <w:noProof/>
            <w:webHidden/>
          </w:rPr>
          <w:instrText xml:space="preserve"> PAGEREF _Toc468266764 \h </w:instrText>
        </w:r>
        <w:r w:rsidR="0012026B">
          <w:rPr>
            <w:noProof/>
            <w:webHidden/>
          </w:rPr>
        </w:r>
        <w:r w:rsidR="0012026B">
          <w:rPr>
            <w:noProof/>
            <w:webHidden/>
          </w:rPr>
          <w:fldChar w:fldCharType="separate"/>
        </w:r>
        <w:r w:rsidR="0012026B">
          <w:rPr>
            <w:noProof/>
            <w:webHidden/>
          </w:rPr>
          <w:t>77</w:t>
        </w:r>
        <w:r w:rsidR="0012026B">
          <w:rPr>
            <w:noProof/>
            <w:webHidden/>
          </w:rPr>
          <w:fldChar w:fldCharType="end"/>
        </w:r>
      </w:hyperlink>
    </w:p>
    <w:p w14:paraId="39C74D7C" w14:textId="3687DCD7"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765" w:history="1">
        <w:r w:rsidR="0012026B" w:rsidRPr="009765CA">
          <w:rPr>
            <w:rStyle w:val="Hyperlink"/>
            <w:noProof/>
          </w:rPr>
          <w:t>4.3.2</w:t>
        </w:r>
        <w:r w:rsidR="0012026B">
          <w:rPr>
            <w:rFonts w:asciiTheme="minorHAnsi" w:eastAsiaTheme="minorEastAsia" w:hAnsiTheme="minorHAnsi"/>
            <w:noProof/>
            <w:sz w:val="22"/>
            <w:lang w:eastAsia="en-GB"/>
          </w:rPr>
          <w:tab/>
        </w:r>
        <w:r w:rsidR="0012026B" w:rsidRPr="009765CA">
          <w:rPr>
            <w:rStyle w:val="Hyperlink"/>
            <w:noProof/>
          </w:rPr>
          <w:t>Mercantile use of</w:t>
        </w:r>
        <w:r w:rsidR="0012026B">
          <w:rPr>
            <w:noProof/>
            <w:webHidden/>
          </w:rPr>
          <w:tab/>
        </w:r>
        <w:r w:rsidR="0012026B">
          <w:rPr>
            <w:noProof/>
            <w:webHidden/>
          </w:rPr>
          <w:fldChar w:fldCharType="begin"/>
        </w:r>
        <w:r w:rsidR="0012026B">
          <w:rPr>
            <w:noProof/>
            <w:webHidden/>
          </w:rPr>
          <w:instrText xml:space="preserve"> PAGEREF _Toc468266765 \h </w:instrText>
        </w:r>
        <w:r w:rsidR="0012026B">
          <w:rPr>
            <w:noProof/>
            <w:webHidden/>
          </w:rPr>
        </w:r>
        <w:r w:rsidR="0012026B">
          <w:rPr>
            <w:noProof/>
            <w:webHidden/>
          </w:rPr>
          <w:fldChar w:fldCharType="separate"/>
        </w:r>
        <w:r w:rsidR="0012026B">
          <w:rPr>
            <w:noProof/>
            <w:webHidden/>
          </w:rPr>
          <w:t>78</w:t>
        </w:r>
        <w:r w:rsidR="0012026B">
          <w:rPr>
            <w:noProof/>
            <w:webHidden/>
          </w:rPr>
          <w:fldChar w:fldCharType="end"/>
        </w:r>
      </w:hyperlink>
    </w:p>
    <w:p w14:paraId="2DF44FFC" w14:textId="5787CEB0"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766" w:history="1">
        <w:r w:rsidR="0012026B" w:rsidRPr="009765CA">
          <w:rPr>
            <w:rStyle w:val="Hyperlink"/>
            <w:noProof/>
          </w:rPr>
          <w:t>4.3.3</w:t>
        </w:r>
        <w:r w:rsidR="0012026B">
          <w:rPr>
            <w:rFonts w:asciiTheme="minorHAnsi" w:eastAsiaTheme="minorEastAsia" w:hAnsiTheme="minorHAnsi"/>
            <w:noProof/>
            <w:sz w:val="22"/>
            <w:lang w:eastAsia="en-GB"/>
          </w:rPr>
          <w:tab/>
        </w:r>
        <w:r w:rsidR="0012026B" w:rsidRPr="009765CA">
          <w:rPr>
            <w:rStyle w:val="Hyperlink"/>
            <w:noProof/>
          </w:rPr>
          <w:t>Domestic use of base metal:</w:t>
        </w:r>
        <w:r w:rsidR="0012026B">
          <w:rPr>
            <w:noProof/>
            <w:webHidden/>
          </w:rPr>
          <w:tab/>
        </w:r>
        <w:r w:rsidR="0012026B">
          <w:rPr>
            <w:noProof/>
            <w:webHidden/>
          </w:rPr>
          <w:fldChar w:fldCharType="begin"/>
        </w:r>
        <w:r w:rsidR="0012026B">
          <w:rPr>
            <w:noProof/>
            <w:webHidden/>
          </w:rPr>
          <w:instrText xml:space="preserve"> PAGEREF _Toc468266766 \h </w:instrText>
        </w:r>
        <w:r w:rsidR="0012026B">
          <w:rPr>
            <w:noProof/>
            <w:webHidden/>
          </w:rPr>
        </w:r>
        <w:r w:rsidR="0012026B">
          <w:rPr>
            <w:noProof/>
            <w:webHidden/>
          </w:rPr>
          <w:fldChar w:fldCharType="separate"/>
        </w:r>
        <w:r w:rsidR="0012026B">
          <w:rPr>
            <w:noProof/>
            <w:webHidden/>
          </w:rPr>
          <w:t>79</w:t>
        </w:r>
        <w:r w:rsidR="0012026B">
          <w:rPr>
            <w:noProof/>
            <w:webHidden/>
          </w:rPr>
          <w:fldChar w:fldCharType="end"/>
        </w:r>
      </w:hyperlink>
    </w:p>
    <w:p w14:paraId="10AD4A65" w14:textId="4064B42B" w:rsidR="0012026B" w:rsidRDefault="00B32C9A">
      <w:pPr>
        <w:pStyle w:val="TOC1"/>
        <w:tabs>
          <w:tab w:val="right" w:leader="dot" w:pos="9016"/>
        </w:tabs>
        <w:rPr>
          <w:rFonts w:asciiTheme="minorHAnsi" w:eastAsiaTheme="minorEastAsia" w:hAnsiTheme="minorHAnsi"/>
          <w:noProof/>
          <w:sz w:val="22"/>
          <w:lang w:eastAsia="en-GB"/>
        </w:rPr>
      </w:pPr>
      <w:hyperlink w:anchor="_Toc468266767" w:history="1">
        <w:r w:rsidR="0012026B" w:rsidRPr="009765CA">
          <w:rPr>
            <w:rStyle w:val="Hyperlink"/>
            <w:rFonts w:cs="Times New Roman"/>
            <w:noProof/>
          </w:rPr>
          <w:t xml:space="preserve">Chapter 5: </w:t>
        </w:r>
        <w:r w:rsidR="0012026B" w:rsidRPr="009765CA">
          <w:rPr>
            <w:rStyle w:val="Hyperlink"/>
            <w:noProof/>
          </w:rPr>
          <w:t>Historical Framework for Northumbrian Monetization</w:t>
        </w:r>
        <w:r w:rsidR="0012026B">
          <w:rPr>
            <w:noProof/>
            <w:webHidden/>
          </w:rPr>
          <w:tab/>
        </w:r>
        <w:r w:rsidR="0012026B">
          <w:rPr>
            <w:noProof/>
            <w:webHidden/>
          </w:rPr>
          <w:fldChar w:fldCharType="begin"/>
        </w:r>
        <w:r w:rsidR="0012026B">
          <w:rPr>
            <w:noProof/>
            <w:webHidden/>
          </w:rPr>
          <w:instrText xml:space="preserve"> PAGEREF _Toc468266767 \h </w:instrText>
        </w:r>
        <w:r w:rsidR="0012026B">
          <w:rPr>
            <w:noProof/>
            <w:webHidden/>
          </w:rPr>
        </w:r>
        <w:r w:rsidR="0012026B">
          <w:rPr>
            <w:noProof/>
            <w:webHidden/>
          </w:rPr>
          <w:fldChar w:fldCharType="separate"/>
        </w:r>
        <w:r w:rsidR="0012026B">
          <w:rPr>
            <w:noProof/>
            <w:webHidden/>
          </w:rPr>
          <w:t>83</w:t>
        </w:r>
        <w:r w:rsidR="0012026B">
          <w:rPr>
            <w:noProof/>
            <w:webHidden/>
          </w:rPr>
          <w:fldChar w:fldCharType="end"/>
        </w:r>
      </w:hyperlink>
    </w:p>
    <w:p w14:paraId="630BC1FB" w14:textId="675FC3ED"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68" w:history="1">
        <w:r w:rsidR="0012026B" w:rsidRPr="009765CA">
          <w:rPr>
            <w:rStyle w:val="Hyperlink"/>
            <w:noProof/>
          </w:rPr>
          <w:t>5.1</w:t>
        </w:r>
        <w:r w:rsidR="0012026B">
          <w:rPr>
            <w:rFonts w:asciiTheme="minorHAnsi" w:eastAsiaTheme="minorEastAsia" w:hAnsiTheme="minorHAnsi"/>
            <w:noProof/>
            <w:sz w:val="22"/>
            <w:lang w:eastAsia="en-GB"/>
          </w:rPr>
          <w:tab/>
        </w:r>
        <w:r w:rsidR="0012026B" w:rsidRPr="009765CA">
          <w:rPr>
            <w:rStyle w:val="Hyperlink"/>
            <w:noProof/>
          </w:rPr>
          <w:t>Periodization</w:t>
        </w:r>
        <w:r w:rsidR="0012026B">
          <w:rPr>
            <w:noProof/>
            <w:webHidden/>
          </w:rPr>
          <w:tab/>
        </w:r>
        <w:r w:rsidR="0012026B">
          <w:rPr>
            <w:noProof/>
            <w:webHidden/>
          </w:rPr>
          <w:fldChar w:fldCharType="begin"/>
        </w:r>
        <w:r w:rsidR="0012026B">
          <w:rPr>
            <w:noProof/>
            <w:webHidden/>
          </w:rPr>
          <w:instrText xml:space="preserve"> PAGEREF _Toc468266768 \h </w:instrText>
        </w:r>
        <w:r w:rsidR="0012026B">
          <w:rPr>
            <w:noProof/>
            <w:webHidden/>
          </w:rPr>
        </w:r>
        <w:r w:rsidR="0012026B">
          <w:rPr>
            <w:noProof/>
            <w:webHidden/>
          </w:rPr>
          <w:fldChar w:fldCharType="separate"/>
        </w:r>
        <w:r w:rsidR="0012026B">
          <w:rPr>
            <w:noProof/>
            <w:webHidden/>
          </w:rPr>
          <w:t>83</w:t>
        </w:r>
        <w:r w:rsidR="0012026B">
          <w:rPr>
            <w:noProof/>
            <w:webHidden/>
          </w:rPr>
          <w:fldChar w:fldCharType="end"/>
        </w:r>
      </w:hyperlink>
    </w:p>
    <w:p w14:paraId="551DAA5A" w14:textId="54B21B1E"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769" w:history="1">
        <w:r w:rsidR="0012026B" w:rsidRPr="009765CA">
          <w:rPr>
            <w:rStyle w:val="Hyperlink"/>
            <w:noProof/>
          </w:rPr>
          <w:t>5.2</w:t>
        </w:r>
        <w:r w:rsidR="0012026B">
          <w:rPr>
            <w:rFonts w:asciiTheme="minorHAnsi" w:eastAsiaTheme="minorEastAsia" w:hAnsiTheme="minorHAnsi"/>
            <w:noProof/>
            <w:sz w:val="22"/>
            <w:lang w:eastAsia="en-GB"/>
          </w:rPr>
          <w:tab/>
        </w:r>
        <w:r w:rsidR="0012026B" w:rsidRPr="009765CA">
          <w:rPr>
            <w:rStyle w:val="Hyperlink"/>
            <w:noProof/>
          </w:rPr>
          <w:t>Gold: Periods 1-3</w:t>
        </w:r>
        <w:r w:rsidR="0012026B">
          <w:rPr>
            <w:noProof/>
            <w:webHidden/>
          </w:rPr>
          <w:tab/>
        </w:r>
        <w:r w:rsidR="0012026B">
          <w:rPr>
            <w:noProof/>
            <w:webHidden/>
          </w:rPr>
          <w:fldChar w:fldCharType="begin"/>
        </w:r>
        <w:r w:rsidR="0012026B">
          <w:rPr>
            <w:noProof/>
            <w:webHidden/>
          </w:rPr>
          <w:instrText xml:space="preserve"> PAGEREF _Toc468266769 \h </w:instrText>
        </w:r>
        <w:r w:rsidR="0012026B">
          <w:rPr>
            <w:noProof/>
            <w:webHidden/>
          </w:rPr>
        </w:r>
        <w:r w:rsidR="0012026B">
          <w:rPr>
            <w:noProof/>
            <w:webHidden/>
          </w:rPr>
          <w:fldChar w:fldCharType="separate"/>
        </w:r>
        <w:r w:rsidR="0012026B">
          <w:rPr>
            <w:noProof/>
            <w:webHidden/>
          </w:rPr>
          <w:t>86</w:t>
        </w:r>
        <w:r w:rsidR="0012026B">
          <w:rPr>
            <w:noProof/>
            <w:webHidden/>
          </w:rPr>
          <w:fldChar w:fldCharType="end"/>
        </w:r>
      </w:hyperlink>
    </w:p>
    <w:p w14:paraId="6E1D154F" w14:textId="1F9552FC"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70" w:history="1">
        <w:r w:rsidR="0012026B" w:rsidRPr="009765CA">
          <w:rPr>
            <w:rStyle w:val="Hyperlink"/>
            <w:noProof/>
          </w:rPr>
          <w:t>5.2.1</w:t>
        </w:r>
        <w:r w:rsidR="0012026B">
          <w:rPr>
            <w:rFonts w:asciiTheme="minorHAnsi" w:eastAsiaTheme="minorEastAsia" w:hAnsiTheme="minorHAnsi"/>
            <w:noProof/>
            <w:sz w:val="22"/>
            <w:lang w:eastAsia="en-GB"/>
          </w:rPr>
          <w:tab/>
        </w:r>
        <w:r w:rsidR="0012026B" w:rsidRPr="009765CA">
          <w:rPr>
            <w:rStyle w:val="Hyperlink"/>
            <w:noProof/>
          </w:rPr>
          <w:t>Historical Background</w:t>
        </w:r>
        <w:r w:rsidR="0012026B">
          <w:rPr>
            <w:noProof/>
            <w:webHidden/>
          </w:rPr>
          <w:tab/>
        </w:r>
        <w:r w:rsidR="0012026B">
          <w:rPr>
            <w:noProof/>
            <w:webHidden/>
          </w:rPr>
          <w:fldChar w:fldCharType="begin"/>
        </w:r>
        <w:r w:rsidR="0012026B">
          <w:rPr>
            <w:noProof/>
            <w:webHidden/>
          </w:rPr>
          <w:instrText xml:space="preserve"> PAGEREF _Toc468266770 \h </w:instrText>
        </w:r>
        <w:r w:rsidR="0012026B">
          <w:rPr>
            <w:noProof/>
            <w:webHidden/>
          </w:rPr>
        </w:r>
        <w:r w:rsidR="0012026B">
          <w:rPr>
            <w:noProof/>
            <w:webHidden/>
          </w:rPr>
          <w:fldChar w:fldCharType="separate"/>
        </w:r>
        <w:r w:rsidR="0012026B">
          <w:rPr>
            <w:noProof/>
            <w:webHidden/>
          </w:rPr>
          <w:t>86</w:t>
        </w:r>
        <w:r w:rsidR="0012026B">
          <w:rPr>
            <w:noProof/>
            <w:webHidden/>
          </w:rPr>
          <w:fldChar w:fldCharType="end"/>
        </w:r>
      </w:hyperlink>
    </w:p>
    <w:p w14:paraId="6CC77700" w14:textId="3D1238C8" w:rsidR="0012026B" w:rsidRDefault="00B32C9A">
      <w:pPr>
        <w:pStyle w:val="TOC4"/>
        <w:tabs>
          <w:tab w:val="right" w:leader="dot" w:pos="9016"/>
        </w:tabs>
        <w:rPr>
          <w:rFonts w:asciiTheme="minorHAnsi" w:eastAsiaTheme="minorEastAsia" w:hAnsiTheme="minorHAnsi"/>
          <w:noProof/>
          <w:sz w:val="22"/>
          <w:lang w:eastAsia="en-GB"/>
        </w:rPr>
      </w:pPr>
      <w:hyperlink w:anchor="_Toc468266771" w:history="1">
        <w:r w:rsidR="0012026B" w:rsidRPr="009765CA">
          <w:rPr>
            <w:rStyle w:val="Hyperlink"/>
            <w:noProof/>
          </w:rPr>
          <w:t>5.2.1.1 The Migration Period</w:t>
        </w:r>
        <w:r w:rsidR="0012026B">
          <w:rPr>
            <w:noProof/>
            <w:webHidden/>
          </w:rPr>
          <w:tab/>
        </w:r>
        <w:r w:rsidR="0012026B">
          <w:rPr>
            <w:noProof/>
            <w:webHidden/>
          </w:rPr>
          <w:fldChar w:fldCharType="begin"/>
        </w:r>
        <w:r w:rsidR="0012026B">
          <w:rPr>
            <w:noProof/>
            <w:webHidden/>
          </w:rPr>
          <w:instrText xml:space="preserve"> PAGEREF _Toc468266771 \h </w:instrText>
        </w:r>
        <w:r w:rsidR="0012026B">
          <w:rPr>
            <w:noProof/>
            <w:webHidden/>
          </w:rPr>
        </w:r>
        <w:r w:rsidR="0012026B">
          <w:rPr>
            <w:noProof/>
            <w:webHidden/>
          </w:rPr>
          <w:fldChar w:fldCharType="separate"/>
        </w:r>
        <w:r w:rsidR="0012026B">
          <w:rPr>
            <w:noProof/>
            <w:webHidden/>
          </w:rPr>
          <w:t>86</w:t>
        </w:r>
        <w:r w:rsidR="0012026B">
          <w:rPr>
            <w:noProof/>
            <w:webHidden/>
          </w:rPr>
          <w:fldChar w:fldCharType="end"/>
        </w:r>
      </w:hyperlink>
    </w:p>
    <w:p w14:paraId="3B2D2C38" w14:textId="004FBA9F"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72" w:history="1">
        <w:r w:rsidR="0012026B" w:rsidRPr="009765CA">
          <w:rPr>
            <w:rStyle w:val="Hyperlink"/>
            <w:noProof/>
          </w:rPr>
          <w:t>5.2.1.2</w:t>
        </w:r>
        <w:r w:rsidR="0012026B">
          <w:rPr>
            <w:rFonts w:asciiTheme="minorHAnsi" w:eastAsiaTheme="minorEastAsia" w:hAnsiTheme="minorHAnsi"/>
            <w:noProof/>
            <w:sz w:val="22"/>
            <w:lang w:eastAsia="en-GB"/>
          </w:rPr>
          <w:tab/>
        </w:r>
        <w:r w:rsidR="0012026B" w:rsidRPr="009765CA">
          <w:rPr>
            <w:rStyle w:val="Hyperlink"/>
            <w:noProof/>
          </w:rPr>
          <w:t>The Conversion period</w:t>
        </w:r>
        <w:r w:rsidR="0012026B">
          <w:rPr>
            <w:noProof/>
            <w:webHidden/>
          </w:rPr>
          <w:tab/>
        </w:r>
        <w:r w:rsidR="0012026B">
          <w:rPr>
            <w:noProof/>
            <w:webHidden/>
          </w:rPr>
          <w:fldChar w:fldCharType="begin"/>
        </w:r>
        <w:r w:rsidR="0012026B">
          <w:rPr>
            <w:noProof/>
            <w:webHidden/>
          </w:rPr>
          <w:instrText xml:space="preserve"> PAGEREF _Toc468266772 \h </w:instrText>
        </w:r>
        <w:r w:rsidR="0012026B">
          <w:rPr>
            <w:noProof/>
            <w:webHidden/>
          </w:rPr>
        </w:r>
        <w:r w:rsidR="0012026B">
          <w:rPr>
            <w:noProof/>
            <w:webHidden/>
          </w:rPr>
          <w:fldChar w:fldCharType="separate"/>
        </w:r>
        <w:r w:rsidR="0012026B">
          <w:rPr>
            <w:noProof/>
            <w:webHidden/>
          </w:rPr>
          <w:t>87</w:t>
        </w:r>
        <w:r w:rsidR="0012026B">
          <w:rPr>
            <w:noProof/>
            <w:webHidden/>
          </w:rPr>
          <w:fldChar w:fldCharType="end"/>
        </w:r>
      </w:hyperlink>
    </w:p>
    <w:p w14:paraId="4F062581" w14:textId="0B52BF71"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73" w:history="1">
        <w:r w:rsidR="0012026B" w:rsidRPr="009765CA">
          <w:rPr>
            <w:rStyle w:val="Hyperlink"/>
            <w:noProof/>
          </w:rPr>
          <w:t>5.2.1.3</w:t>
        </w:r>
        <w:r w:rsidR="0012026B">
          <w:rPr>
            <w:rFonts w:asciiTheme="minorHAnsi" w:eastAsiaTheme="minorEastAsia" w:hAnsiTheme="minorHAnsi"/>
            <w:noProof/>
            <w:sz w:val="22"/>
            <w:lang w:eastAsia="en-GB"/>
          </w:rPr>
          <w:tab/>
        </w:r>
        <w:r w:rsidR="0012026B" w:rsidRPr="009765CA">
          <w:rPr>
            <w:rStyle w:val="Hyperlink"/>
            <w:noProof/>
          </w:rPr>
          <w:t>Kings</w:t>
        </w:r>
        <w:r w:rsidR="0012026B">
          <w:rPr>
            <w:noProof/>
            <w:webHidden/>
          </w:rPr>
          <w:tab/>
        </w:r>
        <w:r w:rsidR="0012026B">
          <w:rPr>
            <w:noProof/>
            <w:webHidden/>
          </w:rPr>
          <w:fldChar w:fldCharType="begin"/>
        </w:r>
        <w:r w:rsidR="0012026B">
          <w:rPr>
            <w:noProof/>
            <w:webHidden/>
          </w:rPr>
          <w:instrText xml:space="preserve"> PAGEREF _Toc468266773 \h </w:instrText>
        </w:r>
        <w:r w:rsidR="0012026B">
          <w:rPr>
            <w:noProof/>
            <w:webHidden/>
          </w:rPr>
        </w:r>
        <w:r w:rsidR="0012026B">
          <w:rPr>
            <w:noProof/>
            <w:webHidden/>
          </w:rPr>
          <w:fldChar w:fldCharType="separate"/>
        </w:r>
        <w:r w:rsidR="0012026B">
          <w:rPr>
            <w:noProof/>
            <w:webHidden/>
          </w:rPr>
          <w:t>87</w:t>
        </w:r>
        <w:r w:rsidR="0012026B">
          <w:rPr>
            <w:noProof/>
            <w:webHidden/>
          </w:rPr>
          <w:fldChar w:fldCharType="end"/>
        </w:r>
      </w:hyperlink>
    </w:p>
    <w:p w14:paraId="39D99271" w14:textId="4F6B078E"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74" w:history="1">
        <w:r w:rsidR="0012026B" w:rsidRPr="009765CA">
          <w:rPr>
            <w:rStyle w:val="Hyperlink"/>
            <w:noProof/>
          </w:rPr>
          <w:t>5.2.1.4</w:t>
        </w:r>
        <w:r w:rsidR="0012026B">
          <w:rPr>
            <w:rFonts w:asciiTheme="minorHAnsi" w:eastAsiaTheme="minorEastAsia" w:hAnsiTheme="minorHAnsi"/>
            <w:noProof/>
            <w:sz w:val="22"/>
            <w:lang w:eastAsia="en-GB"/>
          </w:rPr>
          <w:tab/>
        </w:r>
        <w:r w:rsidR="0012026B" w:rsidRPr="009765CA">
          <w:rPr>
            <w:rStyle w:val="Hyperlink"/>
            <w:noProof/>
          </w:rPr>
          <w:t>The Episcopacy</w:t>
        </w:r>
        <w:r w:rsidR="0012026B">
          <w:rPr>
            <w:noProof/>
            <w:webHidden/>
          </w:rPr>
          <w:tab/>
        </w:r>
        <w:r w:rsidR="0012026B">
          <w:rPr>
            <w:noProof/>
            <w:webHidden/>
          </w:rPr>
          <w:fldChar w:fldCharType="begin"/>
        </w:r>
        <w:r w:rsidR="0012026B">
          <w:rPr>
            <w:noProof/>
            <w:webHidden/>
          </w:rPr>
          <w:instrText xml:space="preserve"> PAGEREF _Toc468266774 \h </w:instrText>
        </w:r>
        <w:r w:rsidR="0012026B">
          <w:rPr>
            <w:noProof/>
            <w:webHidden/>
          </w:rPr>
        </w:r>
        <w:r w:rsidR="0012026B">
          <w:rPr>
            <w:noProof/>
            <w:webHidden/>
          </w:rPr>
          <w:fldChar w:fldCharType="separate"/>
        </w:r>
        <w:r w:rsidR="0012026B">
          <w:rPr>
            <w:noProof/>
            <w:webHidden/>
          </w:rPr>
          <w:t>89</w:t>
        </w:r>
        <w:r w:rsidR="0012026B">
          <w:rPr>
            <w:noProof/>
            <w:webHidden/>
          </w:rPr>
          <w:fldChar w:fldCharType="end"/>
        </w:r>
      </w:hyperlink>
    </w:p>
    <w:p w14:paraId="6AD3C4F3" w14:textId="4A159CEE" w:rsidR="0012026B" w:rsidRDefault="00B32C9A">
      <w:pPr>
        <w:pStyle w:val="TOC3"/>
        <w:tabs>
          <w:tab w:val="right" w:leader="dot" w:pos="9016"/>
        </w:tabs>
        <w:rPr>
          <w:rFonts w:asciiTheme="minorHAnsi" w:eastAsiaTheme="minorEastAsia" w:hAnsiTheme="minorHAnsi"/>
          <w:noProof/>
          <w:sz w:val="22"/>
          <w:lang w:eastAsia="en-GB"/>
        </w:rPr>
      </w:pPr>
      <w:hyperlink w:anchor="_Toc468266775" w:history="1">
        <w:r w:rsidR="0012026B" w:rsidRPr="009765CA">
          <w:rPr>
            <w:rStyle w:val="Hyperlink"/>
            <w:noProof/>
          </w:rPr>
          <w:t>5.2.2 Coin Production</w:t>
        </w:r>
        <w:r w:rsidR="0012026B">
          <w:rPr>
            <w:noProof/>
            <w:webHidden/>
          </w:rPr>
          <w:tab/>
        </w:r>
        <w:r w:rsidR="0012026B">
          <w:rPr>
            <w:noProof/>
            <w:webHidden/>
          </w:rPr>
          <w:fldChar w:fldCharType="begin"/>
        </w:r>
        <w:r w:rsidR="0012026B">
          <w:rPr>
            <w:noProof/>
            <w:webHidden/>
          </w:rPr>
          <w:instrText xml:space="preserve"> PAGEREF _Toc468266775 \h </w:instrText>
        </w:r>
        <w:r w:rsidR="0012026B">
          <w:rPr>
            <w:noProof/>
            <w:webHidden/>
          </w:rPr>
        </w:r>
        <w:r w:rsidR="0012026B">
          <w:rPr>
            <w:noProof/>
            <w:webHidden/>
          </w:rPr>
          <w:fldChar w:fldCharType="separate"/>
        </w:r>
        <w:r w:rsidR="0012026B">
          <w:rPr>
            <w:noProof/>
            <w:webHidden/>
          </w:rPr>
          <w:t>90</w:t>
        </w:r>
        <w:r w:rsidR="0012026B">
          <w:rPr>
            <w:noProof/>
            <w:webHidden/>
          </w:rPr>
          <w:fldChar w:fldCharType="end"/>
        </w:r>
      </w:hyperlink>
    </w:p>
    <w:p w14:paraId="59379E8E" w14:textId="6C2432F2"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76" w:history="1">
        <w:r w:rsidR="0012026B" w:rsidRPr="009765CA">
          <w:rPr>
            <w:rStyle w:val="Hyperlink"/>
            <w:noProof/>
          </w:rPr>
          <w:t>5.2.2.1</w:t>
        </w:r>
        <w:r w:rsidR="0012026B">
          <w:rPr>
            <w:rFonts w:asciiTheme="minorHAnsi" w:eastAsiaTheme="minorEastAsia" w:hAnsiTheme="minorHAnsi"/>
            <w:noProof/>
            <w:sz w:val="22"/>
            <w:lang w:eastAsia="en-GB"/>
          </w:rPr>
          <w:tab/>
        </w:r>
        <w:r w:rsidR="0012026B" w:rsidRPr="009765CA">
          <w:rPr>
            <w:rStyle w:val="Hyperlink"/>
            <w:noProof/>
          </w:rPr>
          <w:t>Period 1. The coinage of sub-Roman Britain, c.410-c.470</w:t>
        </w:r>
        <w:r w:rsidR="0012026B">
          <w:rPr>
            <w:noProof/>
            <w:webHidden/>
          </w:rPr>
          <w:tab/>
        </w:r>
        <w:r w:rsidR="0012026B">
          <w:rPr>
            <w:noProof/>
            <w:webHidden/>
          </w:rPr>
          <w:fldChar w:fldCharType="begin"/>
        </w:r>
        <w:r w:rsidR="0012026B">
          <w:rPr>
            <w:noProof/>
            <w:webHidden/>
          </w:rPr>
          <w:instrText xml:space="preserve"> PAGEREF _Toc468266776 \h </w:instrText>
        </w:r>
        <w:r w:rsidR="0012026B">
          <w:rPr>
            <w:noProof/>
            <w:webHidden/>
          </w:rPr>
        </w:r>
        <w:r w:rsidR="0012026B">
          <w:rPr>
            <w:noProof/>
            <w:webHidden/>
          </w:rPr>
          <w:fldChar w:fldCharType="separate"/>
        </w:r>
        <w:r w:rsidR="0012026B">
          <w:rPr>
            <w:noProof/>
            <w:webHidden/>
          </w:rPr>
          <w:t>90</w:t>
        </w:r>
        <w:r w:rsidR="0012026B">
          <w:rPr>
            <w:noProof/>
            <w:webHidden/>
          </w:rPr>
          <w:fldChar w:fldCharType="end"/>
        </w:r>
      </w:hyperlink>
    </w:p>
    <w:p w14:paraId="45CA863A" w14:textId="154430F4"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77" w:history="1">
        <w:r w:rsidR="0012026B" w:rsidRPr="009765CA">
          <w:rPr>
            <w:rStyle w:val="Hyperlink"/>
            <w:noProof/>
          </w:rPr>
          <w:t>5.2.2.2</w:t>
        </w:r>
        <w:r w:rsidR="0012026B">
          <w:rPr>
            <w:rFonts w:asciiTheme="minorHAnsi" w:eastAsiaTheme="minorEastAsia" w:hAnsiTheme="minorHAnsi"/>
            <w:noProof/>
            <w:sz w:val="22"/>
            <w:lang w:eastAsia="en-GB"/>
          </w:rPr>
          <w:tab/>
        </w:r>
        <w:r w:rsidR="0012026B" w:rsidRPr="009765CA">
          <w:rPr>
            <w:rStyle w:val="Hyperlink"/>
            <w:noProof/>
          </w:rPr>
          <w:t>Period 2. Post-Roman coinage, c.470 – c.587</w:t>
        </w:r>
        <w:r w:rsidR="0012026B">
          <w:rPr>
            <w:noProof/>
            <w:webHidden/>
          </w:rPr>
          <w:tab/>
        </w:r>
        <w:r w:rsidR="0012026B">
          <w:rPr>
            <w:noProof/>
            <w:webHidden/>
          </w:rPr>
          <w:fldChar w:fldCharType="begin"/>
        </w:r>
        <w:r w:rsidR="0012026B">
          <w:rPr>
            <w:noProof/>
            <w:webHidden/>
          </w:rPr>
          <w:instrText xml:space="preserve"> PAGEREF _Toc468266777 \h </w:instrText>
        </w:r>
        <w:r w:rsidR="0012026B">
          <w:rPr>
            <w:noProof/>
            <w:webHidden/>
          </w:rPr>
        </w:r>
        <w:r w:rsidR="0012026B">
          <w:rPr>
            <w:noProof/>
            <w:webHidden/>
          </w:rPr>
          <w:fldChar w:fldCharType="separate"/>
        </w:r>
        <w:r w:rsidR="0012026B">
          <w:rPr>
            <w:noProof/>
            <w:webHidden/>
          </w:rPr>
          <w:t>91</w:t>
        </w:r>
        <w:r w:rsidR="0012026B">
          <w:rPr>
            <w:noProof/>
            <w:webHidden/>
          </w:rPr>
          <w:fldChar w:fldCharType="end"/>
        </w:r>
      </w:hyperlink>
    </w:p>
    <w:p w14:paraId="058C3458" w14:textId="5CE7AF7B"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78" w:history="1">
        <w:r w:rsidR="0012026B" w:rsidRPr="009765CA">
          <w:rPr>
            <w:rStyle w:val="Hyperlink"/>
            <w:noProof/>
          </w:rPr>
          <w:t>5.2.2.3</w:t>
        </w:r>
        <w:r w:rsidR="0012026B">
          <w:rPr>
            <w:rFonts w:asciiTheme="minorHAnsi" w:eastAsiaTheme="minorEastAsia" w:hAnsiTheme="minorHAnsi"/>
            <w:noProof/>
            <w:sz w:val="22"/>
            <w:lang w:eastAsia="en-GB"/>
          </w:rPr>
          <w:tab/>
        </w:r>
        <w:r w:rsidR="0012026B" w:rsidRPr="009765CA">
          <w:rPr>
            <w:rStyle w:val="Hyperlink"/>
            <w:noProof/>
          </w:rPr>
          <w:t>Imported Continental gold: The Pseudo-Imperial Victory tremissis</w:t>
        </w:r>
        <w:r w:rsidR="0012026B">
          <w:rPr>
            <w:noProof/>
            <w:webHidden/>
          </w:rPr>
          <w:tab/>
        </w:r>
        <w:r w:rsidR="0012026B">
          <w:rPr>
            <w:noProof/>
            <w:webHidden/>
          </w:rPr>
          <w:fldChar w:fldCharType="begin"/>
        </w:r>
        <w:r w:rsidR="0012026B">
          <w:rPr>
            <w:noProof/>
            <w:webHidden/>
          </w:rPr>
          <w:instrText xml:space="preserve"> PAGEREF _Toc468266778 \h </w:instrText>
        </w:r>
        <w:r w:rsidR="0012026B">
          <w:rPr>
            <w:noProof/>
            <w:webHidden/>
          </w:rPr>
        </w:r>
        <w:r w:rsidR="0012026B">
          <w:rPr>
            <w:noProof/>
            <w:webHidden/>
          </w:rPr>
          <w:fldChar w:fldCharType="separate"/>
        </w:r>
        <w:r w:rsidR="0012026B">
          <w:rPr>
            <w:noProof/>
            <w:webHidden/>
          </w:rPr>
          <w:t>91</w:t>
        </w:r>
        <w:r w:rsidR="0012026B">
          <w:rPr>
            <w:noProof/>
            <w:webHidden/>
          </w:rPr>
          <w:fldChar w:fldCharType="end"/>
        </w:r>
      </w:hyperlink>
    </w:p>
    <w:p w14:paraId="6EC0BC34" w14:textId="03D67A50"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79" w:history="1">
        <w:r w:rsidR="0012026B" w:rsidRPr="009765CA">
          <w:rPr>
            <w:rStyle w:val="Hyperlink"/>
            <w:noProof/>
          </w:rPr>
          <w:t>5.2.2.4</w:t>
        </w:r>
        <w:r w:rsidR="0012026B">
          <w:rPr>
            <w:rFonts w:asciiTheme="minorHAnsi" w:eastAsiaTheme="minorEastAsia" w:hAnsiTheme="minorHAnsi"/>
            <w:noProof/>
            <w:sz w:val="22"/>
            <w:lang w:eastAsia="en-GB"/>
          </w:rPr>
          <w:tab/>
        </w:r>
        <w:r w:rsidR="0012026B" w:rsidRPr="009765CA">
          <w:rPr>
            <w:rStyle w:val="Hyperlink"/>
            <w:noProof/>
          </w:rPr>
          <w:t>Period 3a. Imported Merovingian gold coinage, c.587-c.670</w:t>
        </w:r>
        <w:r w:rsidR="0012026B">
          <w:rPr>
            <w:noProof/>
            <w:webHidden/>
          </w:rPr>
          <w:tab/>
        </w:r>
        <w:r w:rsidR="0012026B">
          <w:rPr>
            <w:noProof/>
            <w:webHidden/>
          </w:rPr>
          <w:fldChar w:fldCharType="begin"/>
        </w:r>
        <w:r w:rsidR="0012026B">
          <w:rPr>
            <w:noProof/>
            <w:webHidden/>
          </w:rPr>
          <w:instrText xml:space="preserve"> PAGEREF _Toc468266779 \h </w:instrText>
        </w:r>
        <w:r w:rsidR="0012026B">
          <w:rPr>
            <w:noProof/>
            <w:webHidden/>
          </w:rPr>
        </w:r>
        <w:r w:rsidR="0012026B">
          <w:rPr>
            <w:noProof/>
            <w:webHidden/>
          </w:rPr>
          <w:fldChar w:fldCharType="separate"/>
        </w:r>
        <w:r w:rsidR="0012026B">
          <w:rPr>
            <w:noProof/>
            <w:webHidden/>
          </w:rPr>
          <w:t>93</w:t>
        </w:r>
        <w:r w:rsidR="0012026B">
          <w:rPr>
            <w:noProof/>
            <w:webHidden/>
          </w:rPr>
          <w:fldChar w:fldCharType="end"/>
        </w:r>
      </w:hyperlink>
    </w:p>
    <w:p w14:paraId="7301057B" w14:textId="12B134BE"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80" w:history="1">
        <w:r w:rsidR="0012026B" w:rsidRPr="009765CA">
          <w:rPr>
            <w:rStyle w:val="Hyperlink"/>
            <w:noProof/>
          </w:rPr>
          <w:t>5.2.2.5</w:t>
        </w:r>
        <w:r w:rsidR="0012026B">
          <w:rPr>
            <w:rFonts w:asciiTheme="minorHAnsi" w:eastAsiaTheme="minorEastAsia" w:hAnsiTheme="minorHAnsi"/>
            <w:noProof/>
            <w:sz w:val="22"/>
            <w:lang w:eastAsia="en-GB"/>
          </w:rPr>
          <w:tab/>
        </w:r>
        <w:r w:rsidR="0012026B" w:rsidRPr="009765CA">
          <w:rPr>
            <w:rStyle w:val="Hyperlink"/>
            <w:noProof/>
          </w:rPr>
          <w:t>Period 3b. Early Anglo-Saxon gold coinage, c.620s-c.670s</w:t>
        </w:r>
        <w:r w:rsidR="0012026B">
          <w:rPr>
            <w:noProof/>
            <w:webHidden/>
          </w:rPr>
          <w:tab/>
        </w:r>
        <w:r w:rsidR="0012026B">
          <w:rPr>
            <w:noProof/>
            <w:webHidden/>
          </w:rPr>
          <w:fldChar w:fldCharType="begin"/>
        </w:r>
        <w:r w:rsidR="0012026B">
          <w:rPr>
            <w:noProof/>
            <w:webHidden/>
          </w:rPr>
          <w:instrText xml:space="preserve"> PAGEREF _Toc468266780 \h </w:instrText>
        </w:r>
        <w:r w:rsidR="0012026B">
          <w:rPr>
            <w:noProof/>
            <w:webHidden/>
          </w:rPr>
        </w:r>
        <w:r w:rsidR="0012026B">
          <w:rPr>
            <w:noProof/>
            <w:webHidden/>
          </w:rPr>
          <w:fldChar w:fldCharType="separate"/>
        </w:r>
        <w:r w:rsidR="0012026B">
          <w:rPr>
            <w:noProof/>
            <w:webHidden/>
          </w:rPr>
          <w:t>95</w:t>
        </w:r>
        <w:r w:rsidR="0012026B">
          <w:rPr>
            <w:noProof/>
            <w:webHidden/>
          </w:rPr>
          <w:fldChar w:fldCharType="end"/>
        </w:r>
      </w:hyperlink>
    </w:p>
    <w:p w14:paraId="093C43C9" w14:textId="0FDC02E5"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81" w:history="1">
        <w:r w:rsidR="0012026B" w:rsidRPr="009765CA">
          <w:rPr>
            <w:rStyle w:val="Hyperlink"/>
            <w:noProof/>
          </w:rPr>
          <w:t>5.2.2.6</w:t>
        </w:r>
        <w:r w:rsidR="0012026B">
          <w:rPr>
            <w:rFonts w:asciiTheme="minorHAnsi" w:eastAsiaTheme="minorEastAsia" w:hAnsiTheme="minorHAnsi"/>
            <w:noProof/>
            <w:sz w:val="22"/>
            <w:lang w:eastAsia="en-GB"/>
          </w:rPr>
          <w:tab/>
        </w:r>
        <w:r w:rsidR="0012026B" w:rsidRPr="009765CA">
          <w:rPr>
            <w:rStyle w:val="Hyperlink"/>
            <w:noProof/>
          </w:rPr>
          <w:t>Period 3c. Southumbrian pale gold shilling, c.670s</w:t>
        </w:r>
        <w:r w:rsidR="0012026B">
          <w:rPr>
            <w:noProof/>
            <w:webHidden/>
          </w:rPr>
          <w:tab/>
        </w:r>
        <w:r w:rsidR="0012026B">
          <w:rPr>
            <w:noProof/>
            <w:webHidden/>
          </w:rPr>
          <w:fldChar w:fldCharType="begin"/>
        </w:r>
        <w:r w:rsidR="0012026B">
          <w:rPr>
            <w:noProof/>
            <w:webHidden/>
          </w:rPr>
          <w:instrText xml:space="preserve"> PAGEREF _Toc468266781 \h </w:instrText>
        </w:r>
        <w:r w:rsidR="0012026B">
          <w:rPr>
            <w:noProof/>
            <w:webHidden/>
          </w:rPr>
        </w:r>
        <w:r w:rsidR="0012026B">
          <w:rPr>
            <w:noProof/>
            <w:webHidden/>
          </w:rPr>
          <w:fldChar w:fldCharType="separate"/>
        </w:r>
        <w:r w:rsidR="0012026B">
          <w:rPr>
            <w:noProof/>
            <w:webHidden/>
          </w:rPr>
          <w:t>100</w:t>
        </w:r>
        <w:r w:rsidR="0012026B">
          <w:rPr>
            <w:noProof/>
            <w:webHidden/>
          </w:rPr>
          <w:fldChar w:fldCharType="end"/>
        </w:r>
      </w:hyperlink>
    </w:p>
    <w:p w14:paraId="6801327C" w14:textId="0453BCD6" w:rsidR="0012026B" w:rsidRDefault="00B32C9A">
      <w:pPr>
        <w:pStyle w:val="TOC2"/>
        <w:tabs>
          <w:tab w:val="right" w:leader="dot" w:pos="9016"/>
        </w:tabs>
        <w:rPr>
          <w:rFonts w:asciiTheme="minorHAnsi" w:eastAsiaTheme="minorEastAsia" w:hAnsiTheme="minorHAnsi"/>
          <w:noProof/>
          <w:sz w:val="22"/>
          <w:lang w:eastAsia="en-GB"/>
        </w:rPr>
      </w:pPr>
      <w:hyperlink w:anchor="_Toc468266782" w:history="1">
        <w:r w:rsidR="0012026B" w:rsidRPr="009765CA">
          <w:rPr>
            <w:rStyle w:val="Hyperlink"/>
            <w:noProof/>
          </w:rPr>
          <w:t>5.3 Silver: Periods 4-8</w:t>
        </w:r>
        <w:r w:rsidR="0012026B">
          <w:rPr>
            <w:noProof/>
            <w:webHidden/>
          </w:rPr>
          <w:tab/>
        </w:r>
        <w:r w:rsidR="0012026B">
          <w:rPr>
            <w:noProof/>
            <w:webHidden/>
          </w:rPr>
          <w:fldChar w:fldCharType="begin"/>
        </w:r>
        <w:r w:rsidR="0012026B">
          <w:rPr>
            <w:noProof/>
            <w:webHidden/>
          </w:rPr>
          <w:instrText xml:space="preserve"> PAGEREF _Toc468266782 \h </w:instrText>
        </w:r>
        <w:r w:rsidR="0012026B">
          <w:rPr>
            <w:noProof/>
            <w:webHidden/>
          </w:rPr>
        </w:r>
        <w:r w:rsidR="0012026B">
          <w:rPr>
            <w:noProof/>
            <w:webHidden/>
          </w:rPr>
          <w:fldChar w:fldCharType="separate"/>
        </w:r>
        <w:r w:rsidR="0012026B">
          <w:rPr>
            <w:noProof/>
            <w:webHidden/>
          </w:rPr>
          <w:t>103</w:t>
        </w:r>
        <w:r w:rsidR="0012026B">
          <w:rPr>
            <w:noProof/>
            <w:webHidden/>
          </w:rPr>
          <w:fldChar w:fldCharType="end"/>
        </w:r>
      </w:hyperlink>
    </w:p>
    <w:p w14:paraId="10FAAF4B" w14:textId="5906AC56" w:rsidR="0012026B" w:rsidRDefault="00B32C9A">
      <w:pPr>
        <w:pStyle w:val="TOC3"/>
        <w:tabs>
          <w:tab w:val="right" w:leader="dot" w:pos="9016"/>
        </w:tabs>
        <w:rPr>
          <w:rFonts w:asciiTheme="minorHAnsi" w:eastAsiaTheme="minorEastAsia" w:hAnsiTheme="minorHAnsi"/>
          <w:noProof/>
          <w:sz w:val="22"/>
          <w:lang w:eastAsia="en-GB"/>
        </w:rPr>
      </w:pPr>
      <w:hyperlink w:anchor="_Toc468266783" w:history="1">
        <w:r w:rsidR="0012026B" w:rsidRPr="009765CA">
          <w:rPr>
            <w:rStyle w:val="Hyperlink"/>
            <w:noProof/>
          </w:rPr>
          <w:t>5.3.1 Historical Background: Northumbria after the Battle of Nechtansmere, 685</w:t>
        </w:r>
        <w:r w:rsidR="0012026B">
          <w:rPr>
            <w:noProof/>
            <w:webHidden/>
          </w:rPr>
          <w:tab/>
        </w:r>
        <w:r w:rsidR="0012026B">
          <w:rPr>
            <w:noProof/>
            <w:webHidden/>
          </w:rPr>
          <w:fldChar w:fldCharType="begin"/>
        </w:r>
        <w:r w:rsidR="0012026B">
          <w:rPr>
            <w:noProof/>
            <w:webHidden/>
          </w:rPr>
          <w:instrText xml:space="preserve"> PAGEREF _Toc468266783 \h </w:instrText>
        </w:r>
        <w:r w:rsidR="0012026B">
          <w:rPr>
            <w:noProof/>
            <w:webHidden/>
          </w:rPr>
        </w:r>
        <w:r w:rsidR="0012026B">
          <w:rPr>
            <w:noProof/>
            <w:webHidden/>
          </w:rPr>
          <w:fldChar w:fldCharType="separate"/>
        </w:r>
        <w:r w:rsidR="0012026B">
          <w:rPr>
            <w:noProof/>
            <w:webHidden/>
          </w:rPr>
          <w:t>103</w:t>
        </w:r>
        <w:r w:rsidR="0012026B">
          <w:rPr>
            <w:noProof/>
            <w:webHidden/>
          </w:rPr>
          <w:fldChar w:fldCharType="end"/>
        </w:r>
      </w:hyperlink>
    </w:p>
    <w:p w14:paraId="7C238777" w14:textId="6838B998"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84" w:history="1">
        <w:r w:rsidR="0012026B" w:rsidRPr="009765CA">
          <w:rPr>
            <w:rStyle w:val="Hyperlink"/>
            <w:noProof/>
          </w:rPr>
          <w:t>5.3.1.1</w:t>
        </w:r>
        <w:r w:rsidR="0012026B">
          <w:rPr>
            <w:rFonts w:asciiTheme="minorHAnsi" w:eastAsiaTheme="minorEastAsia" w:hAnsiTheme="minorHAnsi"/>
            <w:noProof/>
            <w:sz w:val="22"/>
            <w:lang w:eastAsia="en-GB"/>
          </w:rPr>
          <w:tab/>
        </w:r>
        <w:r w:rsidR="0012026B" w:rsidRPr="009765CA">
          <w:rPr>
            <w:rStyle w:val="Hyperlink"/>
            <w:noProof/>
          </w:rPr>
          <w:t>Kings</w:t>
        </w:r>
        <w:r w:rsidR="0012026B">
          <w:rPr>
            <w:noProof/>
            <w:webHidden/>
          </w:rPr>
          <w:tab/>
        </w:r>
        <w:r w:rsidR="0012026B">
          <w:rPr>
            <w:noProof/>
            <w:webHidden/>
          </w:rPr>
          <w:fldChar w:fldCharType="begin"/>
        </w:r>
        <w:r w:rsidR="0012026B">
          <w:rPr>
            <w:noProof/>
            <w:webHidden/>
          </w:rPr>
          <w:instrText xml:space="preserve"> PAGEREF _Toc468266784 \h </w:instrText>
        </w:r>
        <w:r w:rsidR="0012026B">
          <w:rPr>
            <w:noProof/>
            <w:webHidden/>
          </w:rPr>
        </w:r>
        <w:r w:rsidR="0012026B">
          <w:rPr>
            <w:noProof/>
            <w:webHidden/>
          </w:rPr>
          <w:fldChar w:fldCharType="separate"/>
        </w:r>
        <w:r w:rsidR="0012026B">
          <w:rPr>
            <w:noProof/>
            <w:webHidden/>
          </w:rPr>
          <w:t>103</w:t>
        </w:r>
        <w:r w:rsidR="0012026B">
          <w:rPr>
            <w:noProof/>
            <w:webHidden/>
          </w:rPr>
          <w:fldChar w:fldCharType="end"/>
        </w:r>
      </w:hyperlink>
    </w:p>
    <w:p w14:paraId="7A10DB69" w14:textId="2DCFB97F"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85" w:history="1">
        <w:r w:rsidR="0012026B" w:rsidRPr="009765CA">
          <w:rPr>
            <w:rStyle w:val="Hyperlink"/>
            <w:noProof/>
          </w:rPr>
          <w:t>5.3.1.2</w:t>
        </w:r>
        <w:r w:rsidR="0012026B">
          <w:rPr>
            <w:rFonts w:asciiTheme="minorHAnsi" w:eastAsiaTheme="minorEastAsia" w:hAnsiTheme="minorHAnsi"/>
            <w:noProof/>
            <w:sz w:val="22"/>
            <w:lang w:eastAsia="en-GB"/>
          </w:rPr>
          <w:tab/>
        </w:r>
        <w:r w:rsidR="0012026B" w:rsidRPr="009765CA">
          <w:rPr>
            <w:rStyle w:val="Hyperlink"/>
            <w:noProof/>
          </w:rPr>
          <w:t xml:space="preserve">The Episcopacy </w:t>
        </w:r>
        <w:r w:rsidR="0012026B">
          <w:rPr>
            <w:noProof/>
            <w:webHidden/>
          </w:rPr>
          <w:tab/>
        </w:r>
        <w:r w:rsidR="0012026B">
          <w:rPr>
            <w:noProof/>
            <w:webHidden/>
          </w:rPr>
          <w:fldChar w:fldCharType="begin"/>
        </w:r>
        <w:r w:rsidR="0012026B">
          <w:rPr>
            <w:noProof/>
            <w:webHidden/>
          </w:rPr>
          <w:instrText xml:space="preserve"> PAGEREF _Toc468266785 \h </w:instrText>
        </w:r>
        <w:r w:rsidR="0012026B">
          <w:rPr>
            <w:noProof/>
            <w:webHidden/>
          </w:rPr>
        </w:r>
        <w:r w:rsidR="0012026B">
          <w:rPr>
            <w:noProof/>
            <w:webHidden/>
          </w:rPr>
          <w:fldChar w:fldCharType="separate"/>
        </w:r>
        <w:r w:rsidR="0012026B">
          <w:rPr>
            <w:noProof/>
            <w:webHidden/>
          </w:rPr>
          <w:t>108</w:t>
        </w:r>
        <w:r w:rsidR="0012026B">
          <w:rPr>
            <w:noProof/>
            <w:webHidden/>
          </w:rPr>
          <w:fldChar w:fldCharType="end"/>
        </w:r>
      </w:hyperlink>
    </w:p>
    <w:p w14:paraId="73BE3CA8" w14:textId="0A135D85"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86" w:history="1">
        <w:r w:rsidR="0012026B" w:rsidRPr="009765CA">
          <w:rPr>
            <w:rStyle w:val="Hyperlink"/>
            <w:noProof/>
          </w:rPr>
          <w:t>5.3.2</w:t>
        </w:r>
        <w:r w:rsidR="0012026B">
          <w:rPr>
            <w:rFonts w:asciiTheme="minorHAnsi" w:eastAsiaTheme="minorEastAsia" w:hAnsiTheme="minorHAnsi"/>
            <w:noProof/>
            <w:sz w:val="22"/>
            <w:lang w:eastAsia="en-GB"/>
          </w:rPr>
          <w:tab/>
        </w:r>
        <w:r w:rsidR="0012026B" w:rsidRPr="009765CA">
          <w:rPr>
            <w:rStyle w:val="Hyperlink"/>
            <w:noProof/>
          </w:rPr>
          <w:t>Coin Production:</w:t>
        </w:r>
        <w:r w:rsidR="0012026B" w:rsidRPr="009765CA">
          <w:rPr>
            <w:rStyle w:val="Hyperlink"/>
            <w:rFonts w:eastAsia="Times New Roman"/>
            <w:noProof/>
            <w:lang w:eastAsia="en-GB"/>
          </w:rPr>
          <w:t xml:space="preserve"> Brief Introduction to Sceats</w:t>
        </w:r>
        <w:r w:rsidR="0012026B">
          <w:rPr>
            <w:noProof/>
            <w:webHidden/>
          </w:rPr>
          <w:tab/>
        </w:r>
        <w:r w:rsidR="0012026B">
          <w:rPr>
            <w:noProof/>
            <w:webHidden/>
          </w:rPr>
          <w:fldChar w:fldCharType="begin"/>
        </w:r>
        <w:r w:rsidR="0012026B">
          <w:rPr>
            <w:noProof/>
            <w:webHidden/>
          </w:rPr>
          <w:instrText xml:space="preserve"> PAGEREF _Toc468266786 \h </w:instrText>
        </w:r>
        <w:r w:rsidR="0012026B">
          <w:rPr>
            <w:noProof/>
            <w:webHidden/>
          </w:rPr>
        </w:r>
        <w:r w:rsidR="0012026B">
          <w:rPr>
            <w:noProof/>
            <w:webHidden/>
          </w:rPr>
          <w:fldChar w:fldCharType="separate"/>
        </w:r>
        <w:r w:rsidR="0012026B">
          <w:rPr>
            <w:noProof/>
            <w:webHidden/>
          </w:rPr>
          <w:t>109</w:t>
        </w:r>
        <w:r w:rsidR="0012026B">
          <w:rPr>
            <w:noProof/>
            <w:webHidden/>
          </w:rPr>
          <w:fldChar w:fldCharType="end"/>
        </w:r>
      </w:hyperlink>
    </w:p>
    <w:p w14:paraId="642A006D" w14:textId="79FF3BA1"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787" w:history="1">
        <w:r w:rsidR="0012026B" w:rsidRPr="009765CA">
          <w:rPr>
            <w:rStyle w:val="Hyperlink"/>
            <w:noProof/>
          </w:rPr>
          <w:t>5.3.3</w:t>
        </w:r>
        <w:r w:rsidR="0012026B">
          <w:rPr>
            <w:rFonts w:asciiTheme="minorHAnsi" w:eastAsiaTheme="minorEastAsia" w:hAnsiTheme="minorHAnsi"/>
            <w:noProof/>
            <w:sz w:val="22"/>
            <w:lang w:eastAsia="en-GB"/>
          </w:rPr>
          <w:tab/>
        </w:r>
        <w:r w:rsidR="0012026B" w:rsidRPr="009765CA">
          <w:rPr>
            <w:rStyle w:val="Hyperlink"/>
            <w:noProof/>
          </w:rPr>
          <w:t>Northern coinages in the eighth century</w:t>
        </w:r>
        <w:r w:rsidR="0012026B">
          <w:rPr>
            <w:noProof/>
            <w:webHidden/>
          </w:rPr>
          <w:tab/>
        </w:r>
        <w:r w:rsidR="0012026B">
          <w:rPr>
            <w:noProof/>
            <w:webHidden/>
          </w:rPr>
          <w:fldChar w:fldCharType="begin"/>
        </w:r>
        <w:r w:rsidR="0012026B">
          <w:rPr>
            <w:noProof/>
            <w:webHidden/>
          </w:rPr>
          <w:instrText xml:space="preserve"> PAGEREF _Toc468266787 \h </w:instrText>
        </w:r>
        <w:r w:rsidR="0012026B">
          <w:rPr>
            <w:noProof/>
            <w:webHidden/>
          </w:rPr>
        </w:r>
        <w:r w:rsidR="0012026B">
          <w:rPr>
            <w:noProof/>
            <w:webHidden/>
          </w:rPr>
          <w:fldChar w:fldCharType="separate"/>
        </w:r>
        <w:r w:rsidR="0012026B">
          <w:rPr>
            <w:noProof/>
            <w:webHidden/>
          </w:rPr>
          <w:t>115</w:t>
        </w:r>
        <w:r w:rsidR="0012026B">
          <w:rPr>
            <w:noProof/>
            <w:webHidden/>
          </w:rPr>
          <w:fldChar w:fldCharType="end"/>
        </w:r>
      </w:hyperlink>
    </w:p>
    <w:p w14:paraId="3A5F3821" w14:textId="3871EFD2" w:rsidR="0012026B" w:rsidRDefault="00B32C9A">
      <w:pPr>
        <w:pStyle w:val="TOC3"/>
        <w:tabs>
          <w:tab w:val="right" w:leader="dot" w:pos="9016"/>
        </w:tabs>
        <w:rPr>
          <w:rFonts w:asciiTheme="minorHAnsi" w:eastAsiaTheme="minorEastAsia" w:hAnsiTheme="minorHAnsi"/>
          <w:noProof/>
          <w:sz w:val="22"/>
          <w:lang w:eastAsia="en-GB"/>
        </w:rPr>
      </w:pPr>
      <w:hyperlink w:anchor="_Toc468266788" w:history="1">
        <w:r w:rsidR="0012026B" w:rsidRPr="009765CA">
          <w:rPr>
            <w:rStyle w:val="Hyperlink"/>
            <w:noProof/>
          </w:rPr>
          <w:t>5.3.4  Period 4: Primary sceats</w:t>
        </w:r>
        <w:r w:rsidR="0012026B">
          <w:rPr>
            <w:noProof/>
            <w:webHidden/>
          </w:rPr>
          <w:tab/>
        </w:r>
        <w:r w:rsidR="0012026B">
          <w:rPr>
            <w:noProof/>
            <w:webHidden/>
          </w:rPr>
          <w:fldChar w:fldCharType="begin"/>
        </w:r>
        <w:r w:rsidR="0012026B">
          <w:rPr>
            <w:noProof/>
            <w:webHidden/>
          </w:rPr>
          <w:instrText xml:space="preserve"> PAGEREF _Toc468266788 \h </w:instrText>
        </w:r>
        <w:r w:rsidR="0012026B">
          <w:rPr>
            <w:noProof/>
            <w:webHidden/>
          </w:rPr>
        </w:r>
        <w:r w:rsidR="0012026B">
          <w:rPr>
            <w:noProof/>
            <w:webHidden/>
          </w:rPr>
          <w:fldChar w:fldCharType="separate"/>
        </w:r>
        <w:r w:rsidR="0012026B">
          <w:rPr>
            <w:noProof/>
            <w:webHidden/>
          </w:rPr>
          <w:t>116</w:t>
        </w:r>
        <w:r w:rsidR="0012026B">
          <w:rPr>
            <w:noProof/>
            <w:webHidden/>
          </w:rPr>
          <w:fldChar w:fldCharType="end"/>
        </w:r>
      </w:hyperlink>
    </w:p>
    <w:p w14:paraId="71F91E5B" w14:textId="127F87AC"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89" w:history="1">
        <w:r w:rsidR="0012026B" w:rsidRPr="009765CA">
          <w:rPr>
            <w:rStyle w:val="Hyperlink"/>
            <w:noProof/>
          </w:rPr>
          <w:t>5.3.4.1</w:t>
        </w:r>
        <w:r w:rsidR="0012026B">
          <w:rPr>
            <w:rFonts w:asciiTheme="minorHAnsi" w:eastAsiaTheme="minorEastAsia" w:hAnsiTheme="minorHAnsi"/>
            <w:noProof/>
            <w:sz w:val="22"/>
            <w:lang w:eastAsia="en-GB"/>
          </w:rPr>
          <w:tab/>
        </w:r>
        <w:r w:rsidR="0012026B" w:rsidRPr="009765CA">
          <w:rPr>
            <w:rStyle w:val="Hyperlink"/>
            <w:noProof/>
          </w:rPr>
          <w:t>Period 4a-c. Primary silver sceats, c.670s-c.710</w:t>
        </w:r>
        <w:r w:rsidR="0012026B">
          <w:rPr>
            <w:noProof/>
            <w:webHidden/>
          </w:rPr>
          <w:tab/>
        </w:r>
        <w:r w:rsidR="0012026B">
          <w:rPr>
            <w:noProof/>
            <w:webHidden/>
          </w:rPr>
          <w:fldChar w:fldCharType="begin"/>
        </w:r>
        <w:r w:rsidR="0012026B">
          <w:rPr>
            <w:noProof/>
            <w:webHidden/>
          </w:rPr>
          <w:instrText xml:space="preserve"> PAGEREF _Toc468266789 \h </w:instrText>
        </w:r>
        <w:r w:rsidR="0012026B">
          <w:rPr>
            <w:noProof/>
            <w:webHidden/>
          </w:rPr>
        </w:r>
        <w:r w:rsidR="0012026B">
          <w:rPr>
            <w:noProof/>
            <w:webHidden/>
          </w:rPr>
          <w:fldChar w:fldCharType="separate"/>
        </w:r>
        <w:r w:rsidR="0012026B">
          <w:rPr>
            <w:noProof/>
            <w:webHidden/>
          </w:rPr>
          <w:t>116</w:t>
        </w:r>
        <w:r w:rsidR="0012026B">
          <w:rPr>
            <w:noProof/>
            <w:webHidden/>
          </w:rPr>
          <w:fldChar w:fldCharType="end"/>
        </w:r>
      </w:hyperlink>
    </w:p>
    <w:p w14:paraId="7D0E7720" w14:textId="3BAB37FC"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0" w:history="1">
        <w:r w:rsidR="0012026B" w:rsidRPr="009765CA">
          <w:rPr>
            <w:rStyle w:val="Hyperlink"/>
            <w:noProof/>
          </w:rPr>
          <w:t>5.3.4.2</w:t>
        </w:r>
        <w:r w:rsidR="0012026B">
          <w:rPr>
            <w:rFonts w:asciiTheme="minorHAnsi" w:eastAsiaTheme="minorEastAsia" w:hAnsiTheme="minorHAnsi"/>
            <w:noProof/>
            <w:sz w:val="22"/>
            <w:lang w:eastAsia="en-GB"/>
          </w:rPr>
          <w:tab/>
        </w:r>
        <w:r w:rsidR="0012026B" w:rsidRPr="009765CA">
          <w:rPr>
            <w:rStyle w:val="Hyperlink"/>
            <w:noProof/>
          </w:rPr>
          <w:t>Period 4a. Northumbrian Primary sceats, c.685-c.704</w:t>
        </w:r>
        <w:r w:rsidR="0012026B">
          <w:rPr>
            <w:noProof/>
            <w:webHidden/>
          </w:rPr>
          <w:tab/>
        </w:r>
        <w:r w:rsidR="0012026B">
          <w:rPr>
            <w:noProof/>
            <w:webHidden/>
          </w:rPr>
          <w:fldChar w:fldCharType="begin"/>
        </w:r>
        <w:r w:rsidR="0012026B">
          <w:rPr>
            <w:noProof/>
            <w:webHidden/>
          </w:rPr>
          <w:instrText xml:space="preserve"> PAGEREF _Toc468266790 \h </w:instrText>
        </w:r>
        <w:r w:rsidR="0012026B">
          <w:rPr>
            <w:noProof/>
            <w:webHidden/>
          </w:rPr>
        </w:r>
        <w:r w:rsidR="0012026B">
          <w:rPr>
            <w:noProof/>
            <w:webHidden/>
          </w:rPr>
          <w:fldChar w:fldCharType="separate"/>
        </w:r>
        <w:r w:rsidR="0012026B">
          <w:rPr>
            <w:noProof/>
            <w:webHidden/>
          </w:rPr>
          <w:t>116</w:t>
        </w:r>
        <w:r w:rsidR="0012026B">
          <w:rPr>
            <w:noProof/>
            <w:webHidden/>
          </w:rPr>
          <w:fldChar w:fldCharType="end"/>
        </w:r>
      </w:hyperlink>
    </w:p>
    <w:p w14:paraId="2EFD0063" w14:textId="42539D77"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1" w:history="1">
        <w:r w:rsidR="0012026B" w:rsidRPr="009765CA">
          <w:rPr>
            <w:rStyle w:val="Hyperlink"/>
            <w:noProof/>
          </w:rPr>
          <w:t>5.3.4.3</w:t>
        </w:r>
        <w:r w:rsidR="0012026B">
          <w:rPr>
            <w:rFonts w:asciiTheme="minorHAnsi" w:eastAsiaTheme="minorEastAsia" w:hAnsiTheme="minorHAnsi"/>
            <w:noProof/>
            <w:sz w:val="22"/>
            <w:lang w:eastAsia="en-GB"/>
          </w:rPr>
          <w:tab/>
        </w:r>
        <w:r w:rsidR="0012026B" w:rsidRPr="009765CA">
          <w:rPr>
            <w:rStyle w:val="Hyperlink"/>
            <w:noProof/>
          </w:rPr>
          <w:t>Period 4b. Imported Primary Southumbrian sceats, c.670s-c.710</w:t>
        </w:r>
        <w:r w:rsidR="0012026B">
          <w:rPr>
            <w:noProof/>
            <w:webHidden/>
          </w:rPr>
          <w:tab/>
        </w:r>
        <w:r w:rsidR="0012026B">
          <w:rPr>
            <w:noProof/>
            <w:webHidden/>
          </w:rPr>
          <w:fldChar w:fldCharType="begin"/>
        </w:r>
        <w:r w:rsidR="0012026B">
          <w:rPr>
            <w:noProof/>
            <w:webHidden/>
          </w:rPr>
          <w:instrText xml:space="preserve"> PAGEREF _Toc468266791 \h </w:instrText>
        </w:r>
        <w:r w:rsidR="0012026B">
          <w:rPr>
            <w:noProof/>
            <w:webHidden/>
          </w:rPr>
        </w:r>
        <w:r w:rsidR="0012026B">
          <w:rPr>
            <w:noProof/>
            <w:webHidden/>
          </w:rPr>
          <w:fldChar w:fldCharType="separate"/>
        </w:r>
        <w:r w:rsidR="0012026B">
          <w:rPr>
            <w:noProof/>
            <w:webHidden/>
          </w:rPr>
          <w:t>117</w:t>
        </w:r>
        <w:r w:rsidR="0012026B">
          <w:rPr>
            <w:noProof/>
            <w:webHidden/>
          </w:rPr>
          <w:fldChar w:fldCharType="end"/>
        </w:r>
      </w:hyperlink>
    </w:p>
    <w:p w14:paraId="3B048FE3" w14:textId="295418C4"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2" w:history="1">
        <w:r w:rsidR="0012026B" w:rsidRPr="009765CA">
          <w:rPr>
            <w:rStyle w:val="Hyperlink"/>
            <w:noProof/>
          </w:rPr>
          <w:t>5.3.4.4</w:t>
        </w:r>
        <w:r w:rsidR="0012026B">
          <w:rPr>
            <w:rFonts w:asciiTheme="minorHAnsi" w:eastAsiaTheme="minorEastAsia" w:hAnsiTheme="minorHAnsi"/>
            <w:noProof/>
            <w:sz w:val="22"/>
            <w:lang w:eastAsia="en-GB"/>
          </w:rPr>
          <w:tab/>
        </w:r>
        <w:r w:rsidR="0012026B" w:rsidRPr="009765CA">
          <w:rPr>
            <w:rStyle w:val="Hyperlink"/>
            <w:noProof/>
          </w:rPr>
          <w:t>Period 4c. Imported Primary Continental sceats, c.685s-c.710</w:t>
        </w:r>
        <w:r w:rsidR="0012026B">
          <w:rPr>
            <w:noProof/>
            <w:webHidden/>
          </w:rPr>
          <w:tab/>
        </w:r>
        <w:r w:rsidR="0012026B">
          <w:rPr>
            <w:noProof/>
            <w:webHidden/>
          </w:rPr>
          <w:fldChar w:fldCharType="begin"/>
        </w:r>
        <w:r w:rsidR="0012026B">
          <w:rPr>
            <w:noProof/>
            <w:webHidden/>
          </w:rPr>
          <w:instrText xml:space="preserve"> PAGEREF _Toc468266792 \h </w:instrText>
        </w:r>
        <w:r w:rsidR="0012026B">
          <w:rPr>
            <w:noProof/>
            <w:webHidden/>
          </w:rPr>
        </w:r>
        <w:r w:rsidR="0012026B">
          <w:rPr>
            <w:noProof/>
            <w:webHidden/>
          </w:rPr>
          <w:fldChar w:fldCharType="separate"/>
        </w:r>
        <w:r w:rsidR="0012026B">
          <w:rPr>
            <w:noProof/>
            <w:webHidden/>
          </w:rPr>
          <w:t>118</w:t>
        </w:r>
        <w:r w:rsidR="0012026B">
          <w:rPr>
            <w:noProof/>
            <w:webHidden/>
          </w:rPr>
          <w:fldChar w:fldCharType="end"/>
        </w:r>
      </w:hyperlink>
    </w:p>
    <w:p w14:paraId="3910BA9A" w14:textId="40441698"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3" w:history="1">
        <w:r w:rsidR="0012026B" w:rsidRPr="009765CA">
          <w:rPr>
            <w:rStyle w:val="Hyperlink"/>
            <w:noProof/>
          </w:rPr>
          <w:t>5.3.4.5</w:t>
        </w:r>
        <w:r w:rsidR="0012026B">
          <w:rPr>
            <w:rFonts w:asciiTheme="minorHAnsi" w:eastAsiaTheme="minorEastAsia" w:hAnsiTheme="minorHAnsi"/>
            <w:noProof/>
            <w:sz w:val="22"/>
            <w:lang w:eastAsia="en-GB"/>
          </w:rPr>
          <w:tab/>
        </w:r>
        <w:r w:rsidR="0012026B" w:rsidRPr="009765CA">
          <w:rPr>
            <w:rStyle w:val="Hyperlink"/>
            <w:noProof/>
          </w:rPr>
          <w:t>Period 4d. Imported Merovingian silver denier, c.670-c.710</w:t>
        </w:r>
        <w:r w:rsidR="0012026B">
          <w:rPr>
            <w:noProof/>
            <w:webHidden/>
          </w:rPr>
          <w:tab/>
        </w:r>
        <w:r w:rsidR="0012026B">
          <w:rPr>
            <w:noProof/>
            <w:webHidden/>
          </w:rPr>
          <w:fldChar w:fldCharType="begin"/>
        </w:r>
        <w:r w:rsidR="0012026B">
          <w:rPr>
            <w:noProof/>
            <w:webHidden/>
          </w:rPr>
          <w:instrText xml:space="preserve"> PAGEREF _Toc468266793 \h </w:instrText>
        </w:r>
        <w:r w:rsidR="0012026B">
          <w:rPr>
            <w:noProof/>
            <w:webHidden/>
          </w:rPr>
        </w:r>
        <w:r w:rsidR="0012026B">
          <w:rPr>
            <w:noProof/>
            <w:webHidden/>
          </w:rPr>
          <w:fldChar w:fldCharType="separate"/>
        </w:r>
        <w:r w:rsidR="0012026B">
          <w:rPr>
            <w:noProof/>
            <w:webHidden/>
          </w:rPr>
          <w:t>120</w:t>
        </w:r>
        <w:r w:rsidR="0012026B">
          <w:rPr>
            <w:noProof/>
            <w:webHidden/>
          </w:rPr>
          <w:fldChar w:fldCharType="end"/>
        </w:r>
      </w:hyperlink>
    </w:p>
    <w:p w14:paraId="51D37631" w14:textId="512E1687" w:rsidR="0012026B" w:rsidRDefault="00B32C9A">
      <w:pPr>
        <w:pStyle w:val="TOC3"/>
        <w:tabs>
          <w:tab w:val="right" w:leader="dot" w:pos="9016"/>
        </w:tabs>
        <w:rPr>
          <w:rFonts w:asciiTheme="minorHAnsi" w:eastAsiaTheme="minorEastAsia" w:hAnsiTheme="minorHAnsi"/>
          <w:noProof/>
          <w:sz w:val="22"/>
          <w:lang w:eastAsia="en-GB"/>
        </w:rPr>
      </w:pPr>
      <w:hyperlink w:anchor="_Toc468266794" w:history="1">
        <w:r w:rsidR="0012026B" w:rsidRPr="009765CA">
          <w:rPr>
            <w:rStyle w:val="Hyperlink"/>
            <w:noProof/>
          </w:rPr>
          <w:t>5.3.5 Period 5. Secondary sceats</w:t>
        </w:r>
        <w:r w:rsidR="0012026B">
          <w:rPr>
            <w:noProof/>
            <w:webHidden/>
          </w:rPr>
          <w:tab/>
        </w:r>
        <w:r w:rsidR="0012026B">
          <w:rPr>
            <w:noProof/>
            <w:webHidden/>
          </w:rPr>
          <w:fldChar w:fldCharType="begin"/>
        </w:r>
        <w:r w:rsidR="0012026B">
          <w:rPr>
            <w:noProof/>
            <w:webHidden/>
          </w:rPr>
          <w:instrText xml:space="preserve"> PAGEREF _Toc468266794 \h </w:instrText>
        </w:r>
        <w:r w:rsidR="0012026B">
          <w:rPr>
            <w:noProof/>
            <w:webHidden/>
          </w:rPr>
        </w:r>
        <w:r w:rsidR="0012026B">
          <w:rPr>
            <w:noProof/>
            <w:webHidden/>
          </w:rPr>
          <w:fldChar w:fldCharType="separate"/>
        </w:r>
        <w:r w:rsidR="0012026B">
          <w:rPr>
            <w:noProof/>
            <w:webHidden/>
          </w:rPr>
          <w:t>121</w:t>
        </w:r>
        <w:r w:rsidR="0012026B">
          <w:rPr>
            <w:noProof/>
            <w:webHidden/>
          </w:rPr>
          <w:fldChar w:fldCharType="end"/>
        </w:r>
      </w:hyperlink>
    </w:p>
    <w:p w14:paraId="386A243F" w14:textId="247D052D"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5" w:history="1">
        <w:r w:rsidR="0012026B" w:rsidRPr="009765CA">
          <w:rPr>
            <w:rStyle w:val="Hyperlink"/>
            <w:noProof/>
          </w:rPr>
          <w:t>5.3.5.1</w:t>
        </w:r>
        <w:r w:rsidR="0012026B">
          <w:rPr>
            <w:rFonts w:asciiTheme="minorHAnsi" w:eastAsiaTheme="minorEastAsia" w:hAnsiTheme="minorHAnsi"/>
            <w:noProof/>
            <w:sz w:val="22"/>
            <w:lang w:eastAsia="en-GB"/>
          </w:rPr>
          <w:tab/>
        </w:r>
        <w:r w:rsidR="0012026B" w:rsidRPr="009765CA">
          <w:rPr>
            <w:rStyle w:val="Hyperlink"/>
            <w:noProof/>
          </w:rPr>
          <w:t>Incompetent Succession, c.704 – c.737 and later</w:t>
        </w:r>
        <w:r w:rsidR="0012026B">
          <w:rPr>
            <w:noProof/>
            <w:webHidden/>
          </w:rPr>
          <w:tab/>
        </w:r>
        <w:r w:rsidR="0012026B">
          <w:rPr>
            <w:noProof/>
            <w:webHidden/>
          </w:rPr>
          <w:fldChar w:fldCharType="begin"/>
        </w:r>
        <w:r w:rsidR="0012026B">
          <w:rPr>
            <w:noProof/>
            <w:webHidden/>
          </w:rPr>
          <w:instrText xml:space="preserve"> PAGEREF _Toc468266795 \h </w:instrText>
        </w:r>
        <w:r w:rsidR="0012026B">
          <w:rPr>
            <w:noProof/>
            <w:webHidden/>
          </w:rPr>
        </w:r>
        <w:r w:rsidR="0012026B">
          <w:rPr>
            <w:noProof/>
            <w:webHidden/>
          </w:rPr>
          <w:fldChar w:fldCharType="separate"/>
        </w:r>
        <w:r w:rsidR="0012026B">
          <w:rPr>
            <w:noProof/>
            <w:webHidden/>
          </w:rPr>
          <w:t>121</w:t>
        </w:r>
        <w:r w:rsidR="0012026B">
          <w:rPr>
            <w:noProof/>
            <w:webHidden/>
          </w:rPr>
          <w:fldChar w:fldCharType="end"/>
        </w:r>
      </w:hyperlink>
    </w:p>
    <w:p w14:paraId="5AFD54AF" w14:textId="318EFCB9"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6" w:history="1">
        <w:r w:rsidR="0012026B" w:rsidRPr="009765CA">
          <w:rPr>
            <w:rStyle w:val="Hyperlink"/>
            <w:noProof/>
          </w:rPr>
          <w:t>5.3.5.2</w:t>
        </w:r>
        <w:r w:rsidR="0012026B">
          <w:rPr>
            <w:rFonts w:asciiTheme="minorHAnsi" w:eastAsiaTheme="minorEastAsia" w:hAnsiTheme="minorHAnsi"/>
            <w:noProof/>
            <w:sz w:val="22"/>
            <w:lang w:eastAsia="en-GB"/>
          </w:rPr>
          <w:tab/>
        </w:r>
        <w:r w:rsidR="0012026B" w:rsidRPr="009765CA">
          <w:rPr>
            <w:rStyle w:val="Hyperlink"/>
            <w:noProof/>
          </w:rPr>
          <w:t>Period 5a. Putative northern non-regal emissions, 704 – 737 or later</w:t>
        </w:r>
        <w:r w:rsidR="0012026B">
          <w:rPr>
            <w:noProof/>
            <w:webHidden/>
          </w:rPr>
          <w:tab/>
        </w:r>
        <w:r w:rsidR="0012026B">
          <w:rPr>
            <w:noProof/>
            <w:webHidden/>
          </w:rPr>
          <w:fldChar w:fldCharType="begin"/>
        </w:r>
        <w:r w:rsidR="0012026B">
          <w:rPr>
            <w:noProof/>
            <w:webHidden/>
          </w:rPr>
          <w:instrText xml:space="preserve"> PAGEREF _Toc468266796 \h </w:instrText>
        </w:r>
        <w:r w:rsidR="0012026B">
          <w:rPr>
            <w:noProof/>
            <w:webHidden/>
          </w:rPr>
        </w:r>
        <w:r w:rsidR="0012026B">
          <w:rPr>
            <w:noProof/>
            <w:webHidden/>
          </w:rPr>
          <w:fldChar w:fldCharType="separate"/>
        </w:r>
        <w:r w:rsidR="0012026B">
          <w:rPr>
            <w:noProof/>
            <w:webHidden/>
          </w:rPr>
          <w:t>121</w:t>
        </w:r>
        <w:r w:rsidR="0012026B">
          <w:rPr>
            <w:noProof/>
            <w:webHidden/>
          </w:rPr>
          <w:fldChar w:fldCharType="end"/>
        </w:r>
      </w:hyperlink>
    </w:p>
    <w:p w14:paraId="43A6A892" w14:textId="7EA6BCAF"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7" w:history="1">
        <w:r w:rsidR="0012026B" w:rsidRPr="009765CA">
          <w:rPr>
            <w:rStyle w:val="Hyperlink"/>
            <w:noProof/>
          </w:rPr>
          <w:t>5.3.5.3</w:t>
        </w:r>
        <w:r w:rsidR="0012026B">
          <w:rPr>
            <w:rFonts w:asciiTheme="minorHAnsi" w:eastAsiaTheme="minorEastAsia" w:hAnsiTheme="minorHAnsi"/>
            <w:noProof/>
            <w:sz w:val="22"/>
            <w:lang w:eastAsia="en-GB"/>
          </w:rPr>
          <w:tab/>
        </w:r>
        <w:r w:rsidR="0012026B" w:rsidRPr="009765CA">
          <w:rPr>
            <w:rStyle w:val="Hyperlink"/>
            <w:noProof/>
          </w:rPr>
          <w:t>Period 5b. Imported secondary Southumbrian sceats, c.710s – c.750s</w:t>
        </w:r>
        <w:r w:rsidR="0012026B">
          <w:rPr>
            <w:noProof/>
            <w:webHidden/>
          </w:rPr>
          <w:tab/>
        </w:r>
        <w:r w:rsidR="0012026B">
          <w:rPr>
            <w:noProof/>
            <w:webHidden/>
          </w:rPr>
          <w:fldChar w:fldCharType="begin"/>
        </w:r>
        <w:r w:rsidR="0012026B">
          <w:rPr>
            <w:noProof/>
            <w:webHidden/>
          </w:rPr>
          <w:instrText xml:space="preserve"> PAGEREF _Toc468266797 \h </w:instrText>
        </w:r>
        <w:r w:rsidR="0012026B">
          <w:rPr>
            <w:noProof/>
            <w:webHidden/>
          </w:rPr>
        </w:r>
        <w:r w:rsidR="0012026B">
          <w:rPr>
            <w:noProof/>
            <w:webHidden/>
          </w:rPr>
          <w:fldChar w:fldCharType="separate"/>
        </w:r>
        <w:r w:rsidR="0012026B">
          <w:rPr>
            <w:noProof/>
            <w:webHidden/>
          </w:rPr>
          <w:t>122</w:t>
        </w:r>
        <w:r w:rsidR="0012026B">
          <w:rPr>
            <w:noProof/>
            <w:webHidden/>
          </w:rPr>
          <w:fldChar w:fldCharType="end"/>
        </w:r>
      </w:hyperlink>
    </w:p>
    <w:p w14:paraId="6B9DD190" w14:textId="5C609DC3"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8" w:history="1">
        <w:r w:rsidR="0012026B" w:rsidRPr="009765CA">
          <w:rPr>
            <w:rStyle w:val="Hyperlink"/>
            <w:noProof/>
          </w:rPr>
          <w:t>5.3.5.4</w:t>
        </w:r>
        <w:r w:rsidR="0012026B">
          <w:rPr>
            <w:rFonts w:asciiTheme="minorHAnsi" w:eastAsiaTheme="minorEastAsia" w:hAnsiTheme="minorHAnsi"/>
            <w:noProof/>
            <w:sz w:val="22"/>
            <w:lang w:eastAsia="en-GB"/>
          </w:rPr>
          <w:tab/>
        </w:r>
        <w:r w:rsidR="0012026B" w:rsidRPr="009765CA">
          <w:rPr>
            <w:rStyle w:val="Hyperlink"/>
            <w:noProof/>
          </w:rPr>
          <w:t>Period 5c. Imported secondary Continental sceats, c.710s – c.750s</w:t>
        </w:r>
        <w:r w:rsidR="0012026B">
          <w:rPr>
            <w:noProof/>
            <w:webHidden/>
          </w:rPr>
          <w:tab/>
        </w:r>
        <w:r w:rsidR="0012026B">
          <w:rPr>
            <w:noProof/>
            <w:webHidden/>
          </w:rPr>
          <w:fldChar w:fldCharType="begin"/>
        </w:r>
        <w:r w:rsidR="0012026B">
          <w:rPr>
            <w:noProof/>
            <w:webHidden/>
          </w:rPr>
          <w:instrText xml:space="preserve"> PAGEREF _Toc468266798 \h </w:instrText>
        </w:r>
        <w:r w:rsidR="0012026B">
          <w:rPr>
            <w:noProof/>
            <w:webHidden/>
          </w:rPr>
        </w:r>
        <w:r w:rsidR="0012026B">
          <w:rPr>
            <w:noProof/>
            <w:webHidden/>
          </w:rPr>
          <w:fldChar w:fldCharType="separate"/>
        </w:r>
        <w:r w:rsidR="0012026B">
          <w:rPr>
            <w:noProof/>
            <w:webHidden/>
          </w:rPr>
          <w:t>123</w:t>
        </w:r>
        <w:r w:rsidR="0012026B">
          <w:rPr>
            <w:noProof/>
            <w:webHidden/>
          </w:rPr>
          <w:fldChar w:fldCharType="end"/>
        </w:r>
      </w:hyperlink>
    </w:p>
    <w:p w14:paraId="207D6A11" w14:textId="19BE3458"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799" w:history="1">
        <w:r w:rsidR="0012026B" w:rsidRPr="009765CA">
          <w:rPr>
            <w:rStyle w:val="Hyperlink"/>
            <w:noProof/>
          </w:rPr>
          <w:t>5.3.5.5</w:t>
        </w:r>
        <w:r w:rsidR="0012026B">
          <w:rPr>
            <w:rFonts w:asciiTheme="minorHAnsi" w:eastAsiaTheme="minorEastAsia" w:hAnsiTheme="minorHAnsi"/>
            <w:noProof/>
            <w:sz w:val="22"/>
            <w:lang w:eastAsia="en-GB"/>
          </w:rPr>
          <w:tab/>
        </w:r>
        <w:r w:rsidR="0012026B" w:rsidRPr="009765CA">
          <w:rPr>
            <w:rStyle w:val="Hyperlink"/>
            <w:noProof/>
          </w:rPr>
          <w:t>Period 5d. Imported Merovingian silver denier, c.710-c.750</w:t>
        </w:r>
        <w:r w:rsidR="0012026B">
          <w:rPr>
            <w:noProof/>
            <w:webHidden/>
          </w:rPr>
          <w:tab/>
        </w:r>
        <w:r w:rsidR="0012026B">
          <w:rPr>
            <w:noProof/>
            <w:webHidden/>
          </w:rPr>
          <w:fldChar w:fldCharType="begin"/>
        </w:r>
        <w:r w:rsidR="0012026B">
          <w:rPr>
            <w:noProof/>
            <w:webHidden/>
          </w:rPr>
          <w:instrText xml:space="preserve"> PAGEREF _Toc468266799 \h </w:instrText>
        </w:r>
        <w:r w:rsidR="0012026B">
          <w:rPr>
            <w:noProof/>
            <w:webHidden/>
          </w:rPr>
        </w:r>
        <w:r w:rsidR="0012026B">
          <w:rPr>
            <w:noProof/>
            <w:webHidden/>
          </w:rPr>
          <w:fldChar w:fldCharType="separate"/>
        </w:r>
        <w:r w:rsidR="0012026B">
          <w:rPr>
            <w:noProof/>
            <w:webHidden/>
          </w:rPr>
          <w:t>125</w:t>
        </w:r>
        <w:r w:rsidR="0012026B">
          <w:rPr>
            <w:noProof/>
            <w:webHidden/>
          </w:rPr>
          <w:fldChar w:fldCharType="end"/>
        </w:r>
      </w:hyperlink>
    </w:p>
    <w:p w14:paraId="065ABF42" w14:textId="6C1411B6" w:rsidR="0012026B" w:rsidRDefault="00B32C9A">
      <w:pPr>
        <w:pStyle w:val="TOC3"/>
        <w:tabs>
          <w:tab w:val="right" w:leader="dot" w:pos="9016"/>
        </w:tabs>
        <w:rPr>
          <w:rFonts w:asciiTheme="minorHAnsi" w:eastAsiaTheme="minorEastAsia" w:hAnsiTheme="minorHAnsi"/>
          <w:noProof/>
          <w:sz w:val="22"/>
          <w:lang w:eastAsia="en-GB"/>
        </w:rPr>
      </w:pPr>
      <w:hyperlink w:anchor="_Toc468266800" w:history="1">
        <w:r w:rsidR="0012026B" w:rsidRPr="009765CA">
          <w:rPr>
            <w:rStyle w:val="Hyperlink"/>
            <w:noProof/>
          </w:rPr>
          <w:t>5.3.6 Periods N6-N8: Eighth-century Northern sceats</w:t>
        </w:r>
        <w:r w:rsidR="0012026B">
          <w:rPr>
            <w:noProof/>
            <w:webHidden/>
          </w:rPr>
          <w:tab/>
        </w:r>
        <w:r w:rsidR="0012026B">
          <w:rPr>
            <w:noProof/>
            <w:webHidden/>
          </w:rPr>
          <w:fldChar w:fldCharType="begin"/>
        </w:r>
        <w:r w:rsidR="0012026B">
          <w:rPr>
            <w:noProof/>
            <w:webHidden/>
          </w:rPr>
          <w:instrText xml:space="preserve"> PAGEREF _Toc468266800 \h </w:instrText>
        </w:r>
        <w:r w:rsidR="0012026B">
          <w:rPr>
            <w:noProof/>
            <w:webHidden/>
          </w:rPr>
        </w:r>
        <w:r w:rsidR="0012026B">
          <w:rPr>
            <w:noProof/>
            <w:webHidden/>
          </w:rPr>
          <w:fldChar w:fldCharType="separate"/>
        </w:r>
        <w:r w:rsidR="0012026B">
          <w:rPr>
            <w:noProof/>
            <w:webHidden/>
          </w:rPr>
          <w:t>125</w:t>
        </w:r>
        <w:r w:rsidR="0012026B">
          <w:rPr>
            <w:noProof/>
            <w:webHidden/>
          </w:rPr>
          <w:fldChar w:fldCharType="end"/>
        </w:r>
      </w:hyperlink>
    </w:p>
    <w:p w14:paraId="6267F97A" w14:textId="2E489B6B"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01" w:history="1">
        <w:r w:rsidR="0012026B" w:rsidRPr="009765CA">
          <w:rPr>
            <w:rStyle w:val="Hyperlink"/>
            <w:noProof/>
          </w:rPr>
          <w:t>5.3.6.1</w:t>
        </w:r>
        <w:r w:rsidR="0012026B">
          <w:rPr>
            <w:rFonts w:asciiTheme="minorHAnsi" w:eastAsiaTheme="minorEastAsia" w:hAnsiTheme="minorHAnsi"/>
            <w:noProof/>
            <w:sz w:val="22"/>
            <w:lang w:eastAsia="en-GB"/>
          </w:rPr>
          <w:tab/>
        </w:r>
        <w:r w:rsidR="0012026B" w:rsidRPr="009765CA">
          <w:rPr>
            <w:rStyle w:val="Hyperlink"/>
            <w:noProof/>
          </w:rPr>
          <w:t>Period N6, 737-780s: Eadberht’s renovatio and successors, 737-780s</w:t>
        </w:r>
        <w:r w:rsidR="0012026B">
          <w:rPr>
            <w:noProof/>
            <w:webHidden/>
          </w:rPr>
          <w:tab/>
        </w:r>
        <w:r w:rsidR="0012026B">
          <w:rPr>
            <w:noProof/>
            <w:webHidden/>
          </w:rPr>
          <w:fldChar w:fldCharType="begin"/>
        </w:r>
        <w:r w:rsidR="0012026B">
          <w:rPr>
            <w:noProof/>
            <w:webHidden/>
          </w:rPr>
          <w:instrText xml:space="preserve"> PAGEREF _Toc468266801 \h </w:instrText>
        </w:r>
        <w:r w:rsidR="0012026B">
          <w:rPr>
            <w:noProof/>
            <w:webHidden/>
          </w:rPr>
        </w:r>
        <w:r w:rsidR="0012026B">
          <w:rPr>
            <w:noProof/>
            <w:webHidden/>
          </w:rPr>
          <w:fldChar w:fldCharType="separate"/>
        </w:r>
        <w:r w:rsidR="0012026B">
          <w:rPr>
            <w:noProof/>
            <w:webHidden/>
          </w:rPr>
          <w:t>125</w:t>
        </w:r>
        <w:r w:rsidR="0012026B">
          <w:rPr>
            <w:noProof/>
            <w:webHidden/>
          </w:rPr>
          <w:fldChar w:fldCharType="end"/>
        </w:r>
      </w:hyperlink>
    </w:p>
    <w:p w14:paraId="49DAA77E" w14:textId="05471A0D"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02" w:history="1">
        <w:r w:rsidR="0012026B" w:rsidRPr="009765CA">
          <w:rPr>
            <w:rStyle w:val="Hyperlink"/>
            <w:noProof/>
          </w:rPr>
          <w:t>5.3.6.2</w:t>
        </w:r>
        <w:r w:rsidR="0012026B">
          <w:rPr>
            <w:rFonts w:asciiTheme="minorHAnsi" w:eastAsiaTheme="minorEastAsia" w:hAnsiTheme="minorHAnsi"/>
            <w:noProof/>
            <w:sz w:val="22"/>
            <w:lang w:eastAsia="en-GB"/>
          </w:rPr>
          <w:tab/>
        </w:r>
        <w:r w:rsidR="0012026B" w:rsidRPr="009765CA">
          <w:rPr>
            <w:rStyle w:val="Hyperlink"/>
            <w:noProof/>
          </w:rPr>
          <w:t>Period N7, Joint issues, 737-796</w:t>
        </w:r>
        <w:r w:rsidR="0012026B">
          <w:rPr>
            <w:noProof/>
            <w:webHidden/>
          </w:rPr>
          <w:tab/>
        </w:r>
        <w:r w:rsidR="0012026B">
          <w:rPr>
            <w:noProof/>
            <w:webHidden/>
          </w:rPr>
          <w:fldChar w:fldCharType="begin"/>
        </w:r>
        <w:r w:rsidR="0012026B">
          <w:rPr>
            <w:noProof/>
            <w:webHidden/>
          </w:rPr>
          <w:instrText xml:space="preserve"> PAGEREF _Toc468266802 \h </w:instrText>
        </w:r>
        <w:r w:rsidR="0012026B">
          <w:rPr>
            <w:noProof/>
            <w:webHidden/>
          </w:rPr>
        </w:r>
        <w:r w:rsidR="0012026B">
          <w:rPr>
            <w:noProof/>
            <w:webHidden/>
          </w:rPr>
          <w:fldChar w:fldCharType="separate"/>
        </w:r>
        <w:r w:rsidR="0012026B">
          <w:rPr>
            <w:noProof/>
            <w:webHidden/>
          </w:rPr>
          <w:t>126</w:t>
        </w:r>
        <w:r w:rsidR="0012026B">
          <w:rPr>
            <w:noProof/>
            <w:webHidden/>
          </w:rPr>
          <w:fldChar w:fldCharType="end"/>
        </w:r>
      </w:hyperlink>
    </w:p>
    <w:p w14:paraId="6458755F" w14:textId="234885A1"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03" w:history="1">
        <w:r w:rsidR="0012026B" w:rsidRPr="009765CA">
          <w:rPr>
            <w:rStyle w:val="Hyperlink"/>
            <w:noProof/>
          </w:rPr>
          <w:t>5.3.6.3</w:t>
        </w:r>
        <w:r w:rsidR="0012026B">
          <w:rPr>
            <w:rFonts w:asciiTheme="minorHAnsi" w:eastAsiaTheme="minorEastAsia" w:hAnsiTheme="minorHAnsi"/>
            <w:noProof/>
            <w:sz w:val="22"/>
            <w:lang w:eastAsia="en-GB"/>
          </w:rPr>
          <w:tab/>
        </w:r>
        <w:r w:rsidR="0012026B" w:rsidRPr="009765CA">
          <w:rPr>
            <w:rStyle w:val="Hyperlink"/>
            <w:noProof/>
          </w:rPr>
          <w:t>Period N8, 780s-800s: inscriptional reverse sceats</w:t>
        </w:r>
        <w:r w:rsidR="0012026B">
          <w:rPr>
            <w:noProof/>
            <w:webHidden/>
          </w:rPr>
          <w:tab/>
        </w:r>
        <w:r w:rsidR="0012026B">
          <w:rPr>
            <w:noProof/>
            <w:webHidden/>
          </w:rPr>
          <w:fldChar w:fldCharType="begin"/>
        </w:r>
        <w:r w:rsidR="0012026B">
          <w:rPr>
            <w:noProof/>
            <w:webHidden/>
          </w:rPr>
          <w:instrText xml:space="preserve"> PAGEREF _Toc468266803 \h </w:instrText>
        </w:r>
        <w:r w:rsidR="0012026B">
          <w:rPr>
            <w:noProof/>
            <w:webHidden/>
          </w:rPr>
        </w:r>
        <w:r w:rsidR="0012026B">
          <w:rPr>
            <w:noProof/>
            <w:webHidden/>
          </w:rPr>
          <w:fldChar w:fldCharType="separate"/>
        </w:r>
        <w:r w:rsidR="0012026B">
          <w:rPr>
            <w:noProof/>
            <w:webHidden/>
          </w:rPr>
          <w:t>127</w:t>
        </w:r>
        <w:r w:rsidR="0012026B">
          <w:rPr>
            <w:noProof/>
            <w:webHidden/>
          </w:rPr>
          <w:fldChar w:fldCharType="end"/>
        </w:r>
      </w:hyperlink>
    </w:p>
    <w:p w14:paraId="309BAD3B" w14:textId="4C9473CF"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04" w:history="1">
        <w:r w:rsidR="0012026B" w:rsidRPr="009765CA">
          <w:rPr>
            <w:rStyle w:val="Hyperlink"/>
            <w:noProof/>
          </w:rPr>
          <w:t>5.3.7</w:t>
        </w:r>
        <w:r w:rsidR="0012026B">
          <w:rPr>
            <w:rFonts w:asciiTheme="minorHAnsi" w:eastAsiaTheme="minorEastAsia" w:hAnsiTheme="minorHAnsi"/>
            <w:noProof/>
            <w:sz w:val="22"/>
            <w:lang w:eastAsia="en-GB"/>
          </w:rPr>
          <w:tab/>
        </w:r>
        <w:r w:rsidR="0012026B" w:rsidRPr="009765CA">
          <w:rPr>
            <w:rStyle w:val="Hyperlink"/>
            <w:noProof/>
          </w:rPr>
          <w:t>Conclusion: evaluating the periodicity in respect of sceats</w:t>
        </w:r>
        <w:r w:rsidR="0012026B">
          <w:rPr>
            <w:noProof/>
            <w:webHidden/>
          </w:rPr>
          <w:tab/>
        </w:r>
        <w:r w:rsidR="0012026B">
          <w:rPr>
            <w:noProof/>
            <w:webHidden/>
          </w:rPr>
          <w:fldChar w:fldCharType="begin"/>
        </w:r>
        <w:r w:rsidR="0012026B">
          <w:rPr>
            <w:noProof/>
            <w:webHidden/>
          </w:rPr>
          <w:instrText xml:space="preserve"> PAGEREF _Toc468266804 \h </w:instrText>
        </w:r>
        <w:r w:rsidR="0012026B">
          <w:rPr>
            <w:noProof/>
            <w:webHidden/>
          </w:rPr>
        </w:r>
        <w:r w:rsidR="0012026B">
          <w:rPr>
            <w:noProof/>
            <w:webHidden/>
          </w:rPr>
          <w:fldChar w:fldCharType="separate"/>
        </w:r>
        <w:r w:rsidR="0012026B">
          <w:rPr>
            <w:noProof/>
            <w:webHidden/>
          </w:rPr>
          <w:t>129</w:t>
        </w:r>
        <w:r w:rsidR="0012026B">
          <w:rPr>
            <w:noProof/>
            <w:webHidden/>
          </w:rPr>
          <w:fldChar w:fldCharType="end"/>
        </w:r>
      </w:hyperlink>
    </w:p>
    <w:p w14:paraId="5F51839A" w14:textId="404BFC3B" w:rsidR="0012026B" w:rsidRDefault="00B32C9A">
      <w:pPr>
        <w:pStyle w:val="TOC2"/>
        <w:tabs>
          <w:tab w:val="right" w:leader="dot" w:pos="9016"/>
        </w:tabs>
        <w:rPr>
          <w:rFonts w:asciiTheme="minorHAnsi" w:eastAsiaTheme="minorEastAsia" w:hAnsiTheme="minorHAnsi"/>
          <w:noProof/>
          <w:sz w:val="22"/>
          <w:lang w:eastAsia="en-GB"/>
        </w:rPr>
      </w:pPr>
      <w:hyperlink w:anchor="_Toc468266805" w:history="1">
        <w:r w:rsidR="0012026B" w:rsidRPr="009765CA">
          <w:rPr>
            <w:rStyle w:val="Hyperlink"/>
            <w:noProof/>
          </w:rPr>
          <w:t>5.4 Copper-Alloy: Periods N9-10: Ninth-century Northumbria</w:t>
        </w:r>
        <w:r w:rsidR="0012026B">
          <w:rPr>
            <w:noProof/>
            <w:webHidden/>
          </w:rPr>
          <w:tab/>
        </w:r>
        <w:r w:rsidR="0012026B">
          <w:rPr>
            <w:noProof/>
            <w:webHidden/>
          </w:rPr>
          <w:fldChar w:fldCharType="begin"/>
        </w:r>
        <w:r w:rsidR="0012026B">
          <w:rPr>
            <w:noProof/>
            <w:webHidden/>
          </w:rPr>
          <w:instrText xml:space="preserve"> PAGEREF _Toc468266805 \h </w:instrText>
        </w:r>
        <w:r w:rsidR="0012026B">
          <w:rPr>
            <w:noProof/>
            <w:webHidden/>
          </w:rPr>
        </w:r>
        <w:r w:rsidR="0012026B">
          <w:rPr>
            <w:noProof/>
            <w:webHidden/>
          </w:rPr>
          <w:fldChar w:fldCharType="separate"/>
        </w:r>
        <w:r w:rsidR="0012026B">
          <w:rPr>
            <w:noProof/>
            <w:webHidden/>
          </w:rPr>
          <w:t>133</w:t>
        </w:r>
        <w:r w:rsidR="0012026B">
          <w:rPr>
            <w:noProof/>
            <w:webHidden/>
          </w:rPr>
          <w:fldChar w:fldCharType="end"/>
        </w:r>
      </w:hyperlink>
    </w:p>
    <w:p w14:paraId="55329C9C" w14:textId="3BFF935C" w:rsidR="0012026B" w:rsidRDefault="00B32C9A">
      <w:pPr>
        <w:pStyle w:val="TOC3"/>
        <w:tabs>
          <w:tab w:val="right" w:leader="dot" w:pos="9016"/>
        </w:tabs>
        <w:rPr>
          <w:rFonts w:asciiTheme="minorHAnsi" w:eastAsiaTheme="minorEastAsia" w:hAnsiTheme="minorHAnsi"/>
          <w:noProof/>
          <w:sz w:val="22"/>
          <w:lang w:eastAsia="en-GB"/>
        </w:rPr>
      </w:pPr>
      <w:hyperlink w:anchor="_Toc468266806" w:history="1">
        <w:r w:rsidR="0012026B" w:rsidRPr="009765CA">
          <w:rPr>
            <w:rStyle w:val="Hyperlink"/>
            <w:noProof/>
          </w:rPr>
          <w:t>5.4.1 Historical Background:</w:t>
        </w:r>
        <w:r w:rsidR="0012026B">
          <w:rPr>
            <w:noProof/>
            <w:webHidden/>
          </w:rPr>
          <w:tab/>
        </w:r>
        <w:r w:rsidR="0012026B">
          <w:rPr>
            <w:noProof/>
            <w:webHidden/>
          </w:rPr>
          <w:fldChar w:fldCharType="begin"/>
        </w:r>
        <w:r w:rsidR="0012026B">
          <w:rPr>
            <w:noProof/>
            <w:webHidden/>
          </w:rPr>
          <w:instrText xml:space="preserve"> PAGEREF _Toc468266806 \h </w:instrText>
        </w:r>
        <w:r w:rsidR="0012026B">
          <w:rPr>
            <w:noProof/>
            <w:webHidden/>
          </w:rPr>
        </w:r>
        <w:r w:rsidR="0012026B">
          <w:rPr>
            <w:noProof/>
            <w:webHidden/>
          </w:rPr>
          <w:fldChar w:fldCharType="separate"/>
        </w:r>
        <w:r w:rsidR="0012026B">
          <w:rPr>
            <w:noProof/>
            <w:webHidden/>
          </w:rPr>
          <w:t>133</w:t>
        </w:r>
        <w:r w:rsidR="0012026B">
          <w:rPr>
            <w:noProof/>
            <w:webHidden/>
          </w:rPr>
          <w:fldChar w:fldCharType="end"/>
        </w:r>
      </w:hyperlink>
    </w:p>
    <w:p w14:paraId="11AEFB92" w14:textId="30DBD580"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07" w:history="1">
        <w:r w:rsidR="0012026B" w:rsidRPr="009765CA">
          <w:rPr>
            <w:rStyle w:val="Hyperlink"/>
            <w:noProof/>
          </w:rPr>
          <w:t>5.4.1.1</w:t>
        </w:r>
        <w:r w:rsidR="0012026B">
          <w:rPr>
            <w:rFonts w:asciiTheme="minorHAnsi" w:eastAsiaTheme="minorEastAsia" w:hAnsiTheme="minorHAnsi"/>
            <w:noProof/>
            <w:sz w:val="22"/>
            <w:lang w:eastAsia="en-GB"/>
          </w:rPr>
          <w:tab/>
        </w:r>
        <w:r w:rsidR="0012026B" w:rsidRPr="009765CA">
          <w:rPr>
            <w:rStyle w:val="Hyperlink"/>
            <w:noProof/>
          </w:rPr>
          <w:t>Kings</w:t>
        </w:r>
        <w:r w:rsidR="0012026B">
          <w:rPr>
            <w:noProof/>
            <w:webHidden/>
          </w:rPr>
          <w:tab/>
        </w:r>
        <w:r w:rsidR="0012026B">
          <w:rPr>
            <w:noProof/>
            <w:webHidden/>
          </w:rPr>
          <w:fldChar w:fldCharType="begin"/>
        </w:r>
        <w:r w:rsidR="0012026B">
          <w:rPr>
            <w:noProof/>
            <w:webHidden/>
          </w:rPr>
          <w:instrText xml:space="preserve"> PAGEREF _Toc468266807 \h </w:instrText>
        </w:r>
        <w:r w:rsidR="0012026B">
          <w:rPr>
            <w:noProof/>
            <w:webHidden/>
          </w:rPr>
        </w:r>
        <w:r w:rsidR="0012026B">
          <w:rPr>
            <w:noProof/>
            <w:webHidden/>
          </w:rPr>
          <w:fldChar w:fldCharType="separate"/>
        </w:r>
        <w:r w:rsidR="0012026B">
          <w:rPr>
            <w:noProof/>
            <w:webHidden/>
          </w:rPr>
          <w:t>133</w:t>
        </w:r>
        <w:r w:rsidR="0012026B">
          <w:rPr>
            <w:noProof/>
            <w:webHidden/>
          </w:rPr>
          <w:fldChar w:fldCharType="end"/>
        </w:r>
      </w:hyperlink>
    </w:p>
    <w:p w14:paraId="00F5BCED" w14:textId="483F9CC0"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08" w:history="1">
        <w:r w:rsidR="0012026B" w:rsidRPr="009765CA">
          <w:rPr>
            <w:rStyle w:val="Hyperlink"/>
            <w:noProof/>
          </w:rPr>
          <w:t>5.4.1.2</w:t>
        </w:r>
        <w:r w:rsidR="0012026B">
          <w:rPr>
            <w:rFonts w:asciiTheme="minorHAnsi" w:eastAsiaTheme="minorEastAsia" w:hAnsiTheme="minorHAnsi"/>
            <w:noProof/>
            <w:sz w:val="22"/>
            <w:lang w:eastAsia="en-GB"/>
          </w:rPr>
          <w:tab/>
        </w:r>
        <w:r w:rsidR="0012026B" w:rsidRPr="009765CA">
          <w:rPr>
            <w:rStyle w:val="Hyperlink"/>
            <w:noProof/>
          </w:rPr>
          <w:t>The Episcopacy</w:t>
        </w:r>
        <w:r w:rsidR="0012026B">
          <w:rPr>
            <w:noProof/>
            <w:webHidden/>
          </w:rPr>
          <w:tab/>
        </w:r>
        <w:r w:rsidR="0012026B">
          <w:rPr>
            <w:noProof/>
            <w:webHidden/>
          </w:rPr>
          <w:fldChar w:fldCharType="begin"/>
        </w:r>
        <w:r w:rsidR="0012026B">
          <w:rPr>
            <w:noProof/>
            <w:webHidden/>
          </w:rPr>
          <w:instrText xml:space="preserve"> PAGEREF _Toc468266808 \h </w:instrText>
        </w:r>
        <w:r w:rsidR="0012026B">
          <w:rPr>
            <w:noProof/>
            <w:webHidden/>
          </w:rPr>
        </w:r>
        <w:r w:rsidR="0012026B">
          <w:rPr>
            <w:noProof/>
            <w:webHidden/>
          </w:rPr>
          <w:fldChar w:fldCharType="separate"/>
        </w:r>
        <w:r w:rsidR="0012026B">
          <w:rPr>
            <w:noProof/>
            <w:webHidden/>
          </w:rPr>
          <w:t>134</w:t>
        </w:r>
        <w:r w:rsidR="0012026B">
          <w:rPr>
            <w:noProof/>
            <w:webHidden/>
          </w:rPr>
          <w:fldChar w:fldCharType="end"/>
        </w:r>
      </w:hyperlink>
    </w:p>
    <w:p w14:paraId="6E5D7C01" w14:textId="298DAE4A" w:rsidR="0012026B" w:rsidRDefault="00B32C9A">
      <w:pPr>
        <w:pStyle w:val="TOC3"/>
        <w:tabs>
          <w:tab w:val="right" w:leader="dot" w:pos="9016"/>
        </w:tabs>
        <w:rPr>
          <w:rFonts w:asciiTheme="minorHAnsi" w:eastAsiaTheme="minorEastAsia" w:hAnsiTheme="minorHAnsi"/>
          <w:noProof/>
          <w:sz w:val="22"/>
          <w:lang w:eastAsia="en-GB"/>
        </w:rPr>
      </w:pPr>
      <w:hyperlink w:anchor="_Toc468266809" w:history="1">
        <w:r w:rsidR="0012026B" w:rsidRPr="009765CA">
          <w:rPr>
            <w:rStyle w:val="Hyperlink"/>
            <w:noProof/>
          </w:rPr>
          <w:t>5.4.2 Coin Production</w:t>
        </w:r>
        <w:r w:rsidR="0012026B">
          <w:rPr>
            <w:noProof/>
            <w:webHidden/>
          </w:rPr>
          <w:tab/>
        </w:r>
        <w:r w:rsidR="0012026B">
          <w:rPr>
            <w:noProof/>
            <w:webHidden/>
          </w:rPr>
          <w:fldChar w:fldCharType="begin"/>
        </w:r>
        <w:r w:rsidR="0012026B">
          <w:rPr>
            <w:noProof/>
            <w:webHidden/>
          </w:rPr>
          <w:instrText xml:space="preserve"> PAGEREF _Toc468266809 \h </w:instrText>
        </w:r>
        <w:r w:rsidR="0012026B">
          <w:rPr>
            <w:noProof/>
            <w:webHidden/>
          </w:rPr>
        </w:r>
        <w:r w:rsidR="0012026B">
          <w:rPr>
            <w:noProof/>
            <w:webHidden/>
          </w:rPr>
          <w:fldChar w:fldCharType="separate"/>
        </w:r>
        <w:r w:rsidR="0012026B">
          <w:rPr>
            <w:noProof/>
            <w:webHidden/>
          </w:rPr>
          <w:t>135</w:t>
        </w:r>
        <w:r w:rsidR="0012026B">
          <w:rPr>
            <w:noProof/>
            <w:webHidden/>
          </w:rPr>
          <w:fldChar w:fldCharType="end"/>
        </w:r>
      </w:hyperlink>
    </w:p>
    <w:p w14:paraId="136B1D24" w14:textId="4213458E"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10" w:history="1">
        <w:r w:rsidR="0012026B" w:rsidRPr="009765CA">
          <w:rPr>
            <w:rStyle w:val="Hyperlink"/>
            <w:noProof/>
          </w:rPr>
          <w:t>5.4.2.1</w:t>
        </w:r>
        <w:r w:rsidR="0012026B">
          <w:rPr>
            <w:rFonts w:asciiTheme="minorHAnsi" w:eastAsiaTheme="minorEastAsia" w:hAnsiTheme="minorHAnsi"/>
            <w:noProof/>
            <w:sz w:val="22"/>
            <w:lang w:eastAsia="en-GB"/>
          </w:rPr>
          <w:tab/>
        </w:r>
        <w:r w:rsidR="0012026B" w:rsidRPr="009765CA">
          <w:rPr>
            <w:rStyle w:val="Hyperlink"/>
            <w:noProof/>
          </w:rPr>
          <w:t>Northumbrian sceats or stycas? The silver-alloy emissions of Eanred</w:t>
        </w:r>
        <w:r w:rsidR="0012026B">
          <w:rPr>
            <w:noProof/>
            <w:webHidden/>
          </w:rPr>
          <w:tab/>
        </w:r>
        <w:r w:rsidR="0012026B">
          <w:rPr>
            <w:noProof/>
            <w:webHidden/>
          </w:rPr>
          <w:fldChar w:fldCharType="begin"/>
        </w:r>
        <w:r w:rsidR="0012026B">
          <w:rPr>
            <w:noProof/>
            <w:webHidden/>
          </w:rPr>
          <w:instrText xml:space="preserve"> PAGEREF _Toc468266810 \h </w:instrText>
        </w:r>
        <w:r w:rsidR="0012026B">
          <w:rPr>
            <w:noProof/>
            <w:webHidden/>
          </w:rPr>
        </w:r>
        <w:r w:rsidR="0012026B">
          <w:rPr>
            <w:noProof/>
            <w:webHidden/>
          </w:rPr>
          <w:fldChar w:fldCharType="separate"/>
        </w:r>
        <w:r w:rsidR="0012026B">
          <w:rPr>
            <w:noProof/>
            <w:webHidden/>
          </w:rPr>
          <w:t>135</w:t>
        </w:r>
        <w:r w:rsidR="0012026B">
          <w:rPr>
            <w:noProof/>
            <w:webHidden/>
          </w:rPr>
          <w:fldChar w:fldCharType="end"/>
        </w:r>
      </w:hyperlink>
    </w:p>
    <w:p w14:paraId="0F49A6F4" w14:textId="1D000792"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11" w:history="1">
        <w:r w:rsidR="0012026B" w:rsidRPr="009765CA">
          <w:rPr>
            <w:rStyle w:val="Hyperlink"/>
            <w:noProof/>
          </w:rPr>
          <w:t>5.4.2.2</w:t>
        </w:r>
        <w:r w:rsidR="0012026B">
          <w:rPr>
            <w:rFonts w:asciiTheme="minorHAnsi" w:eastAsiaTheme="minorEastAsia" w:hAnsiTheme="minorHAnsi"/>
            <w:noProof/>
            <w:sz w:val="22"/>
            <w:lang w:eastAsia="en-GB"/>
          </w:rPr>
          <w:tab/>
        </w:r>
        <w:r w:rsidR="0012026B" w:rsidRPr="009765CA">
          <w:rPr>
            <w:rStyle w:val="Hyperlink"/>
            <w:noProof/>
          </w:rPr>
          <w:t>Hoard evidence</w:t>
        </w:r>
        <w:r w:rsidR="0012026B">
          <w:rPr>
            <w:noProof/>
            <w:webHidden/>
          </w:rPr>
          <w:tab/>
        </w:r>
        <w:r w:rsidR="0012026B">
          <w:rPr>
            <w:noProof/>
            <w:webHidden/>
          </w:rPr>
          <w:fldChar w:fldCharType="begin"/>
        </w:r>
        <w:r w:rsidR="0012026B">
          <w:rPr>
            <w:noProof/>
            <w:webHidden/>
          </w:rPr>
          <w:instrText xml:space="preserve"> PAGEREF _Toc468266811 \h </w:instrText>
        </w:r>
        <w:r w:rsidR="0012026B">
          <w:rPr>
            <w:noProof/>
            <w:webHidden/>
          </w:rPr>
        </w:r>
        <w:r w:rsidR="0012026B">
          <w:rPr>
            <w:noProof/>
            <w:webHidden/>
          </w:rPr>
          <w:fldChar w:fldCharType="separate"/>
        </w:r>
        <w:r w:rsidR="0012026B">
          <w:rPr>
            <w:noProof/>
            <w:webHidden/>
          </w:rPr>
          <w:t>138</w:t>
        </w:r>
        <w:r w:rsidR="0012026B">
          <w:rPr>
            <w:noProof/>
            <w:webHidden/>
          </w:rPr>
          <w:fldChar w:fldCharType="end"/>
        </w:r>
      </w:hyperlink>
    </w:p>
    <w:p w14:paraId="17968CF3" w14:textId="68BA2634"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12" w:history="1">
        <w:r w:rsidR="0012026B" w:rsidRPr="009765CA">
          <w:rPr>
            <w:rStyle w:val="Hyperlink"/>
            <w:noProof/>
          </w:rPr>
          <w:t>5.4.2.3</w:t>
        </w:r>
        <w:r w:rsidR="0012026B">
          <w:rPr>
            <w:rFonts w:asciiTheme="minorHAnsi" w:eastAsiaTheme="minorEastAsia" w:hAnsiTheme="minorHAnsi"/>
            <w:noProof/>
            <w:sz w:val="22"/>
            <w:lang w:eastAsia="en-GB"/>
          </w:rPr>
          <w:tab/>
        </w:r>
        <w:r w:rsidR="0012026B" w:rsidRPr="009765CA">
          <w:rPr>
            <w:rStyle w:val="Hyperlink"/>
            <w:noProof/>
          </w:rPr>
          <w:t>Single Finds</w:t>
        </w:r>
        <w:r w:rsidR="0012026B">
          <w:rPr>
            <w:noProof/>
            <w:webHidden/>
          </w:rPr>
          <w:tab/>
        </w:r>
        <w:r w:rsidR="0012026B">
          <w:rPr>
            <w:noProof/>
            <w:webHidden/>
          </w:rPr>
          <w:fldChar w:fldCharType="begin"/>
        </w:r>
        <w:r w:rsidR="0012026B">
          <w:rPr>
            <w:noProof/>
            <w:webHidden/>
          </w:rPr>
          <w:instrText xml:space="preserve"> PAGEREF _Toc468266812 \h </w:instrText>
        </w:r>
        <w:r w:rsidR="0012026B">
          <w:rPr>
            <w:noProof/>
            <w:webHidden/>
          </w:rPr>
        </w:r>
        <w:r w:rsidR="0012026B">
          <w:rPr>
            <w:noProof/>
            <w:webHidden/>
          </w:rPr>
          <w:fldChar w:fldCharType="separate"/>
        </w:r>
        <w:r w:rsidR="0012026B">
          <w:rPr>
            <w:noProof/>
            <w:webHidden/>
          </w:rPr>
          <w:t>141</w:t>
        </w:r>
        <w:r w:rsidR="0012026B">
          <w:rPr>
            <w:noProof/>
            <w:webHidden/>
          </w:rPr>
          <w:fldChar w:fldCharType="end"/>
        </w:r>
      </w:hyperlink>
    </w:p>
    <w:p w14:paraId="05AA037F" w14:textId="2BC90DFC"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13" w:history="1">
        <w:r w:rsidR="0012026B" w:rsidRPr="009765CA">
          <w:rPr>
            <w:rStyle w:val="Hyperlink"/>
            <w:noProof/>
          </w:rPr>
          <w:t>5.4.2.4</w:t>
        </w:r>
        <w:r w:rsidR="0012026B">
          <w:rPr>
            <w:rFonts w:asciiTheme="minorHAnsi" w:eastAsiaTheme="minorEastAsia" w:hAnsiTheme="minorHAnsi"/>
            <w:noProof/>
            <w:sz w:val="22"/>
            <w:lang w:eastAsia="en-GB"/>
          </w:rPr>
          <w:tab/>
        </w:r>
        <w:r w:rsidR="0012026B" w:rsidRPr="009765CA">
          <w:rPr>
            <w:rStyle w:val="Hyperlink"/>
            <w:noProof/>
          </w:rPr>
          <w:t>A simpler approach</w:t>
        </w:r>
        <w:r w:rsidR="0012026B">
          <w:rPr>
            <w:noProof/>
            <w:webHidden/>
          </w:rPr>
          <w:tab/>
        </w:r>
        <w:r w:rsidR="0012026B">
          <w:rPr>
            <w:noProof/>
            <w:webHidden/>
          </w:rPr>
          <w:fldChar w:fldCharType="begin"/>
        </w:r>
        <w:r w:rsidR="0012026B">
          <w:rPr>
            <w:noProof/>
            <w:webHidden/>
          </w:rPr>
          <w:instrText xml:space="preserve"> PAGEREF _Toc468266813 \h </w:instrText>
        </w:r>
        <w:r w:rsidR="0012026B">
          <w:rPr>
            <w:noProof/>
            <w:webHidden/>
          </w:rPr>
        </w:r>
        <w:r w:rsidR="0012026B">
          <w:rPr>
            <w:noProof/>
            <w:webHidden/>
          </w:rPr>
          <w:fldChar w:fldCharType="separate"/>
        </w:r>
        <w:r w:rsidR="0012026B">
          <w:rPr>
            <w:noProof/>
            <w:webHidden/>
          </w:rPr>
          <w:t>141</w:t>
        </w:r>
        <w:r w:rsidR="0012026B">
          <w:rPr>
            <w:noProof/>
            <w:webHidden/>
          </w:rPr>
          <w:fldChar w:fldCharType="end"/>
        </w:r>
      </w:hyperlink>
    </w:p>
    <w:p w14:paraId="6654E1F9" w14:textId="0B0ECC7C"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14" w:history="1">
        <w:r w:rsidR="0012026B" w:rsidRPr="009765CA">
          <w:rPr>
            <w:rStyle w:val="Hyperlink"/>
            <w:noProof/>
          </w:rPr>
          <w:t>5.4.2.5</w:t>
        </w:r>
        <w:r w:rsidR="0012026B">
          <w:rPr>
            <w:rFonts w:asciiTheme="minorHAnsi" w:eastAsiaTheme="minorEastAsia" w:hAnsiTheme="minorHAnsi"/>
            <w:noProof/>
            <w:sz w:val="22"/>
            <w:lang w:eastAsia="en-GB"/>
          </w:rPr>
          <w:tab/>
        </w:r>
        <w:r w:rsidR="0012026B" w:rsidRPr="009765CA">
          <w:rPr>
            <w:rStyle w:val="Hyperlink"/>
            <w:noProof/>
          </w:rPr>
          <w:t>Sphere of Influence</w:t>
        </w:r>
        <w:r w:rsidR="0012026B">
          <w:rPr>
            <w:noProof/>
            <w:webHidden/>
          </w:rPr>
          <w:tab/>
        </w:r>
        <w:r w:rsidR="0012026B">
          <w:rPr>
            <w:noProof/>
            <w:webHidden/>
          </w:rPr>
          <w:fldChar w:fldCharType="begin"/>
        </w:r>
        <w:r w:rsidR="0012026B">
          <w:rPr>
            <w:noProof/>
            <w:webHidden/>
          </w:rPr>
          <w:instrText xml:space="preserve"> PAGEREF _Toc468266814 \h </w:instrText>
        </w:r>
        <w:r w:rsidR="0012026B">
          <w:rPr>
            <w:noProof/>
            <w:webHidden/>
          </w:rPr>
        </w:r>
        <w:r w:rsidR="0012026B">
          <w:rPr>
            <w:noProof/>
            <w:webHidden/>
          </w:rPr>
          <w:fldChar w:fldCharType="separate"/>
        </w:r>
        <w:r w:rsidR="0012026B">
          <w:rPr>
            <w:noProof/>
            <w:webHidden/>
          </w:rPr>
          <w:t>143</w:t>
        </w:r>
        <w:r w:rsidR="0012026B">
          <w:rPr>
            <w:noProof/>
            <w:webHidden/>
          </w:rPr>
          <w:fldChar w:fldCharType="end"/>
        </w:r>
      </w:hyperlink>
    </w:p>
    <w:p w14:paraId="616DE832" w14:textId="1321CC38" w:rsidR="0012026B" w:rsidRDefault="00B32C9A">
      <w:pPr>
        <w:pStyle w:val="TOC3"/>
        <w:tabs>
          <w:tab w:val="right" w:leader="dot" w:pos="9016"/>
        </w:tabs>
        <w:rPr>
          <w:rFonts w:asciiTheme="minorHAnsi" w:eastAsiaTheme="minorEastAsia" w:hAnsiTheme="minorHAnsi"/>
          <w:noProof/>
          <w:sz w:val="22"/>
          <w:lang w:eastAsia="en-GB"/>
        </w:rPr>
      </w:pPr>
      <w:hyperlink w:anchor="_Toc468266815" w:history="1">
        <w:r w:rsidR="0012026B" w:rsidRPr="009765CA">
          <w:rPr>
            <w:rStyle w:val="Hyperlink"/>
            <w:noProof/>
          </w:rPr>
          <w:t>5.5 The interval before Period N11, the Viking penny of York</w:t>
        </w:r>
        <w:r w:rsidR="0012026B">
          <w:rPr>
            <w:noProof/>
            <w:webHidden/>
          </w:rPr>
          <w:tab/>
        </w:r>
        <w:r w:rsidR="0012026B">
          <w:rPr>
            <w:noProof/>
            <w:webHidden/>
          </w:rPr>
          <w:fldChar w:fldCharType="begin"/>
        </w:r>
        <w:r w:rsidR="0012026B">
          <w:rPr>
            <w:noProof/>
            <w:webHidden/>
          </w:rPr>
          <w:instrText xml:space="preserve"> PAGEREF _Toc468266815 \h </w:instrText>
        </w:r>
        <w:r w:rsidR="0012026B">
          <w:rPr>
            <w:noProof/>
            <w:webHidden/>
          </w:rPr>
        </w:r>
        <w:r w:rsidR="0012026B">
          <w:rPr>
            <w:noProof/>
            <w:webHidden/>
          </w:rPr>
          <w:fldChar w:fldCharType="separate"/>
        </w:r>
        <w:r w:rsidR="0012026B">
          <w:rPr>
            <w:noProof/>
            <w:webHidden/>
          </w:rPr>
          <w:t>144</w:t>
        </w:r>
        <w:r w:rsidR="0012026B">
          <w:rPr>
            <w:noProof/>
            <w:webHidden/>
          </w:rPr>
          <w:fldChar w:fldCharType="end"/>
        </w:r>
      </w:hyperlink>
    </w:p>
    <w:p w14:paraId="50719EBB" w14:textId="214F8C91" w:rsidR="0012026B" w:rsidRDefault="00B32C9A">
      <w:pPr>
        <w:pStyle w:val="TOC1"/>
        <w:tabs>
          <w:tab w:val="right" w:leader="dot" w:pos="9016"/>
        </w:tabs>
        <w:rPr>
          <w:rFonts w:asciiTheme="minorHAnsi" w:eastAsiaTheme="minorEastAsia" w:hAnsiTheme="minorHAnsi"/>
          <w:noProof/>
          <w:sz w:val="22"/>
          <w:lang w:eastAsia="en-GB"/>
        </w:rPr>
      </w:pPr>
      <w:hyperlink w:anchor="_Toc468266816" w:history="1">
        <w:r w:rsidR="0012026B" w:rsidRPr="009765CA">
          <w:rPr>
            <w:rStyle w:val="Hyperlink"/>
            <w:rFonts w:cs="Times New Roman"/>
            <w:noProof/>
          </w:rPr>
          <w:t>PART TWO: ANALYSIS AND INTERPRETATION</w:t>
        </w:r>
        <w:r w:rsidR="0012026B">
          <w:rPr>
            <w:noProof/>
            <w:webHidden/>
          </w:rPr>
          <w:tab/>
        </w:r>
        <w:r w:rsidR="0012026B">
          <w:rPr>
            <w:noProof/>
            <w:webHidden/>
          </w:rPr>
          <w:fldChar w:fldCharType="begin"/>
        </w:r>
        <w:r w:rsidR="0012026B">
          <w:rPr>
            <w:noProof/>
            <w:webHidden/>
          </w:rPr>
          <w:instrText xml:space="preserve"> PAGEREF _Toc468266816 \h </w:instrText>
        </w:r>
        <w:r w:rsidR="0012026B">
          <w:rPr>
            <w:noProof/>
            <w:webHidden/>
          </w:rPr>
        </w:r>
        <w:r w:rsidR="0012026B">
          <w:rPr>
            <w:noProof/>
            <w:webHidden/>
          </w:rPr>
          <w:fldChar w:fldCharType="separate"/>
        </w:r>
        <w:r w:rsidR="0012026B">
          <w:rPr>
            <w:noProof/>
            <w:webHidden/>
          </w:rPr>
          <w:t>147</w:t>
        </w:r>
        <w:r w:rsidR="0012026B">
          <w:rPr>
            <w:noProof/>
            <w:webHidden/>
          </w:rPr>
          <w:fldChar w:fldCharType="end"/>
        </w:r>
      </w:hyperlink>
    </w:p>
    <w:p w14:paraId="31E33A3C" w14:textId="617782D2" w:rsidR="0012026B" w:rsidRDefault="00B32C9A">
      <w:pPr>
        <w:pStyle w:val="TOC1"/>
        <w:tabs>
          <w:tab w:val="right" w:leader="dot" w:pos="9016"/>
        </w:tabs>
        <w:rPr>
          <w:rFonts w:asciiTheme="minorHAnsi" w:eastAsiaTheme="minorEastAsia" w:hAnsiTheme="minorHAnsi"/>
          <w:noProof/>
          <w:sz w:val="22"/>
          <w:lang w:eastAsia="en-GB"/>
        </w:rPr>
      </w:pPr>
      <w:hyperlink w:anchor="_Toc468266817" w:history="1">
        <w:r w:rsidR="0012026B" w:rsidRPr="009765CA">
          <w:rPr>
            <w:rStyle w:val="Hyperlink"/>
            <w:rFonts w:cs="Times New Roman"/>
            <w:noProof/>
          </w:rPr>
          <w:t>Chapter 6: The Quantitative and Qualitative Methodologies</w:t>
        </w:r>
        <w:r w:rsidR="0012026B">
          <w:rPr>
            <w:noProof/>
            <w:webHidden/>
          </w:rPr>
          <w:tab/>
        </w:r>
        <w:r w:rsidR="0012026B">
          <w:rPr>
            <w:noProof/>
            <w:webHidden/>
          </w:rPr>
          <w:fldChar w:fldCharType="begin"/>
        </w:r>
        <w:r w:rsidR="0012026B">
          <w:rPr>
            <w:noProof/>
            <w:webHidden/>
          </w:rPr>
          <w:instrText xml:space="preserve"> PAGEREF _Toc468266817 \h </w:instrText>
        </w:r>
        <w:r w:rsidR="0012026B">
          <w:rPr>
            <w:noProof/>
            <w:webHidden/>
          </w:rPr>
        </w:r>
        <w:r w:rsidR="0012026B">
          <w:rPr>
            <w:noProof/>
            <w:webHidden/>
          </w:rPr>
          <w:fldChar w:fldCharType="separate"/>
        </w:r>
        <w:r w:rsidR="0012026B">
          <w:rPr>
            <w:noProof/>
            <w:webHidden/>
          </w:rPr>
          <w:t>149</w:t>
        </w:r>
        <w:r w:rsidR="0012026B">
          <w:rPr>
            <w:noProof/>
            <w:webHidden/>
          </w:rPr>
          <w:fldChar w:fldCharType="end"/>
        </w:r>
      </w:hyperlink>
    </w:p>
    <w:p w14:paraId="753DE284" w14:textId="28864F62"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818" w:history="1">
        <w:r w:rsidR="0012026B" w:rsidRPr="009765CA">
          <w:rPr>
            <w:rStyle w:val="Hyperlink"/>
            <w:noProof/>
          </w:rPr>
          <w:t>6.1.</w:t>
        </w:r>
        <w:r w:rsidR="0012026B">
          <w:rPr>
            <w:rFonts w:asciiTheme="minorHAnsi" w:eastAsiaTheme="minorEastAsia" w:hAnsiTheme="minorHAnsi"/>
            <w:noProof/>
            <w:sz w:val="22"/>
            <w:lang w:eastAsia="en-GB"/>
          </w:rPr>
          <w:tab/>
        </w:r>
        <w:r w:rsidR="0012026B" w:rsidRPr="009765CA">
          <w:rPr>
            <w:rStyle w:val="Hyperlink"/>
            <w:noProof/>
          </w:rPr>
          <w:t>Evidential Constraints</w:t>
        </w:r>
        <w:r w:rsidR="0012026B">
          <w:rPr>
            <w:noProof/>
            <w:webHidden/>
          </w:rPr>
          <w:tab/>
        </w:r>
        <w:r w:rsidR="0012026B">
          <w:rPr>
            <w:noProof/>
            <w:webHidden/>
          </w:rPr>
          <w:fldChar w:fldCharType="begin"/>
        </w:r>
        <w:r w:rsidR="0012026B">
          <w:rPr>
            <w:noProof/>
            <w:webHidden/>
          </w:rPr>
          <w:instrText xml:space="preserve"> PAGEREF _Toc468266818 \h </w:instrText>
        </w:r>
        <w:r w:rsidR="0012026B">
          <w:rPr>
            <w:noProof/>
            <w:webHidden/>
          </w:rPr>
        </w:r>
        <w:r w:rsidR="0012026B">
          <w:rPr>
            <w:noProof/>
            <w:webHidden/>
          </w:rPr>
          <w:fldChar w:fldCharType="separate"/>
        </w:r>
        <w:r w:rsidR="0012026B">
          <w:rPr>
            <w:noProof/>
            <w:webHidden/>
          </w:rPr>
          <w:t>149</w:t>
        </w:r>
        <w:r w:rsidR="0012026B">
          <w:rPr>
            <w:noProof/>
            <w:webHidden/>
          </w:rPr>
          <w:fldChar w:fldCharType="end"/>
        </w:r>
      </w:hyperlink>
    </w:p>
    <w:p w14:paraId="6227D02C" w14:textId="089362C9"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19" w:history="1">
        <w:r w:rsidR="0012026B" w:rsidRPr="009765CA">
          <w:rPr>
            <w:rStyle w:val="Hyperlink"/>
            <w:noProof/>
          </w:rPr>
          <w:t>6.1.1</w:t>
        </w:r>
        <w:r w:rsidR="0012026B">
          <w:rPr>
            <w:rFonts w:asciiTheme="minorHAnsi" w:eastAsiaTheme="minorEastAsia" w:hAnsiTheme="minorHAnsi"/>
            <w:noProof/>
            <w:sz w:val="22"/>
            <w:lang w:eastAsia="en-GB"/>
          </w:rPr>
          <w:tab/>
        </w:r>
        <w:r w:rsidR="0012026B" w:rsidRPr="009765CA">
          <w:rPr>
            <w:rStyle w:val="Hyperlink"/>
            <w:noProof/>
          </w:rPr>
          <w:t>Access factors</w:t>
        </w:r>
        <w:r w:rsidR="0012026B">
          <w:rPr>
            <w:noProof/>
            <w:webHidden/>
          </w:rPr>
          <w:tab/>
        </w:r>
        <w:r w:rsidR="0012026B">
          <w:rPr>
            <w:noProof/>
            <w:webHidden/>
          </w:rPr>
          <w:fldChar w:fldCharType="begin"/>
        </w:r>
        <w:r w:rsidR="0012026B">
          <w:rPr>
            <w:noProof/>
            <w:webHidden/>
          </w:rPr>
          <w:instrText xml:space="preserve"> PAGEREF _Toc468266819 \h </w:instrText>
        </w:r>
        <w:r w:rsidR="0012026B">
          <w:rPr>
            <w:noProof/>
            <w:webHidden/>
          </w:rPr>
        </w:r>
        <w:r w:rsidR="0012026B">
          <w:rPr>
            <w:noProof/>
            <w:webHidden/>
          </w:rPr>
          <w:fldChar w:fldCharType="separate"/>
        </w:r>
        <w:r w:rsidR="0012026B">
          <w:rPr>
            <w:noProof/>
            <w:webHidden/>
          </w:rPr>
          <w:t>149</w:t>
        </w:r>
        <w:r w:rsidR="0012026B">
          <w:rPr>
            <w:noProof/>
            <w:webHidden/>
          </w:rPr>
          <w:fldChar w:fldCharType="end"/>
        </w:r>
      </w:hyperlink>
    </w:p>
    <w:p w14:paraId="2C6A0951" w14:textId="7F8EEF67"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20" w:history="1">
        <w:r w:rsidR="0012026B" w:rsidRPr="009765CA">
          <w:rPr>
            <w:rStyle w:val="Hyperlink"/>
            <w:noProof/>
          </w:rPr>
          <w:t>6.1.2</w:t>
        </w:r>
        <w:r w:rsidR="0012026B">
          <w:rPr>
            <w:rFonts w:asciiTheme="minorHAnsi" w:eastAsiaTheme="minorEastAsia" w:hAnsiTheme="minorHAnsi"/>
            <w:noProof/>
            <w:sz w:val="22"/>
            <w:lang w:eastAsia="en-GB"/>
          </w:rPr>
          <w:tab/>
        </w:r>
        <w:r w:rsidR="0012026B" w:rsidRPr="009765CA">
          <w:rPr>
            <w:rStyle w:val="Hyperlink"/>
            <w:noProof/>
          </w:rPr>
          <w:t>Search patterns</w:t>
        </w:r>
        <w:r w:rsidR="0012026B">
          <w:rPr>
            <w:noProof/>
            <w:webHidden/>
          </w:rPr>
          <w:tab/>
        </w:r>
        <w:r w:rsidR="0012026B">
          <w:rPr>
            <w:noProof/>
            <w:webHidden/>
          </w:rPr>
          <w:fldChar w:fldCharType="begin"/>
        </w:r>
        <w:r w:rsidR="0012026B">
          <w:rPr>
            <w:noProof/>
            <w:webHidden/>
          </w:rPr>
          <w:instrText xml:space="preserve"> PAGEREF _Toc468266820 \h </w:instrText>
        </w:r>
        <w:r w:rsidR="0012026B">
          <w:rPr>
            <w:noProof/>
            <w:webHidden/>
          </w:rPr>
        </w:r>
        <w:r w:rsidR="0012026B">
          <w:rPr>
            <w:noProof/>
            <w:webHidden/>
          </w:rPr>
          <w:fldChar w:fldCharType="separate"/>
        </w:r>
        <w:r w:rsidR="0012026B">
          <w:rPr>
            <w:noProof/>
            <w:webHidden/>
          </w:rPr>
          <w:t>150</w:t>
        </w:r>
        <w:r w:rsidR="0012026B">
          <w:rPr>
            <w:noProof/>
            <w:webHidden/>
          </w:rPr>
          <w:fldChar w:fldCharType="end"/>
        </w:r>
      </w:hyperlink>
    </w:p>
    <w:p w14:paraId="7AF44063" w14:textId="11AAB5AD"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21" w:history="1">
        <w:r w:rsidR="0012026B" w:rsidRPr="009765CA">
          <w:rPr>
            <w:rStyle w:val="Hyperlink"/>
            <w:noProof/>
          </w:rPr>
          <w:t>6.1.3</w:t>
        </w:r>
        <w:r w:rsidR="0012026B">
          <w:rPr>
            <w:rFonts w:asciiTheme="minorHAnsi" w:eastAsiaTheme="minorEastAsia" w:hAnsiTheme="minorHAnsi"/>
            <w:noProof/>
            <w:sz w:val="22"/>
            <w:lang w:eastAsia="en-GB"/>
          </w:rPr>
          <w:tab/>
        </w:r>
        <w:r w:rsidR="0012026B" w:rsidRPr="009765CA">
          <w:rPr>
            <w:rStyle w:val="Hyperlink"/>
            <w:noProof/>
          </w:rPr>
          <w:t>Soil factors</w:t>
        </w:r>
        <w:r w:rsidR="0012026B">
          <w:rPr>
            <w:noProof/>
            <w:webHidden/>
          </w:rPr>
          <w:tab/>
        </w:r>
        <w:r w:rsidR="0012026B">
          <w:rPr>
            <w:noProof/>
            <w:webHidden/>
          </w:rPr>
          <w:fldChar w:fldCharType="begin"/>
        </w:r>
        <w:r w:rsidR="0012026B">
          <w:rPr>
            <w:noProof/>
            <w:webHidden/>
          </w:rPr>
          <w:instrText xml:space="preserve"> PAGEREF _Toc468266821 \h </w:instrText>
        </w:r>
        <w:r w:rsidR="0012026B">
          <w:rPr>
            <w:noProof/>
            <w:webHidden/>
          </w:rPr>
        </w:r>
        <w:r w:rsidR="0012026B">
          <w:rPr>
            <w:noProof/>
            <w:webHidden/>
          </w:rPr>
          <w:fldChar w:fldCharType="separate"/>
        </w:r>
        <w:r w:rsidR="0012026B">
          <w:rPr>
            <w:noProof/>
            <w:webHidden/>
          </w:rPr>
          <w:t>150</w:t>
        </w:r>
        <w:r w:rsidR="0012026B">
          <w:rPr>
            <w:noProof/>
            <w:webHidden/>
          </w:rPr>
          <w:fldChar w:fldCharType="end"/>
        </w:r>
      </w:hyperlink>
    </w:p>
    <w:p w14:paraId="07571F9D" w14:textId="08B7461D"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22" w:history="1">
        <w:r w:rsidR="0012026B" w:rsidRPr="009765CA">
          <w:rPr>
            <w:rStyle w:val="Hyperlink"/>
            <w:noProof/>
          </w:rPr>
          <w:t>6.1.4</w:t>
        </w:r>
        <w:r w:rsidR="0012026B">
          <w:rPr>
            <w:rFonts w:asciiTheme="minorHAnsi" w:eastAsiaTheme="minorEastAsia" w:hAnsiTheme="minorHAnsi"/>
            <w:noProof/>
            <w:sz w:val="22"/>
            <w:lang w:eastAsia="en-GB"/>
          </w:rPr>
          <w:tab/>
        </w:r>
        <w:r w:rsidR="0012026B" w:rsidRPr="009765CA">
          <w:rPr>
            <w:rStyle w:val="Hyperlink"/>
            <w:noProof/>
          </w:rPr>
          <w:t>Detecting factors</w:t>
        </w:r>
        <w:r w:rsidR="0012026B">
          <w:rPr>
            <w:noProof/>
            <w:webHidden/>
          </w:rPr>
          <w:tab/>
        </w:r>
        <w:r w:rsidR="0012026B">
          <w:rPr>
            <w:noProof/>
            <w:webHidden/>
          </w:rPr>
          <w:fldChar w:fldCharType="begin"/>
        </w:r>
        <w:r w:rsidR="0012026B">
          <w:rPr>
            <w:noProof/>
            <w:webHidden/>
          </w:rPr>
          <w:instrText xml:space="preserve"> PAGEREF _Toc468266822 \h </w:instrText>
        </w:r>
        <w:r w:rsidR="0012026B">
          <w:rPr>
            <w:noProof/>
            <w:webHidden/>
          </w:rPr>
        </w:r>
        <w:r w:rsidR="0012026B">
          <w:rPr>
            <w:noProof/>
            <w:webHidden/>
          </w:rPr>
          <w:fldChar w:fldCharType="separate"/>
        </w:r>
        <w:r w:rsidR="0012026B">
          <w:rPr>
            <w:noProof/>
            <w:webHidden/>
          </w:rPr>
          <w:t>150</w:t>
        </w:r>
        <w:r w:rsidR="0012026B">
          <w:rPr>
            <w:noProof/>
            <w:webHidden/>
          </w:rPr>
          <w:fldChar w:fldCharType="end"/>
        </w:r>
      </w:hyperlink>
    </w:p>
    <w:p w14:paraId="34647113" w14:textId="4F888E85"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23" w:history="1">
        <w:r w:rsidR="0012026B" w:rsidRPr="009765CA">
          <w:rPr>
            <w:rStyle w:val="Hyperlink"/>
            <w:noProof/>
          </w:rPr>
          <w:t>6.1.5</w:t>
        </w:r>
        <w:r w:rsidR="0012026B">
          <w:rPr>
            <w:rFonts w:asciiTheme="minorHAnsi" w:eastAsiaTheme="minorEastAsia" w:hAnsiTheme="minorHAnsi"/>
            <w:noProof/>
            <w:sz w:val="22"/>
            <w:lang w:eastAsia="en-GB"/>
          </w:rPr>
          <w:tab/>
        </w:r>
        <w:r w:rsidR="0012026B" w:rsidRPr="009765CA">
          <w:rPr>
            <w:rStyle w:val="Hyperlink"/>
            <w:noProof/>
          </w:rPr>
          <w:t>Post-extraction factors</w:t>
        </w:r>
        <w:r w:rsidR="0012026B">
          <w:rPr>
            <w:noProof/>
            <w:webHidden/>
          </w:rPr>
          <w:tab/>
        </w:r>
        <w:r w:rsidR="0012026B">
          <w:rPr>
            <w:noProof/>
            <w:webHidden/>
          </w:rPr>
          <w:fldChar w:fldCharType="begin"/>
        </w:r>
        <w:r w:rsidR="0012026B">
          <w:rPr>
            <w:noProof/>
            <w:webHidden/>
          </w:rPr>
          <w:instrText xml:space="preserve"> PAGEREF _Toc468266823 \h </w:instrText>
        </w:r>
        <w:r w:rsidR="0012026B">
          <w:rPr>
            <w:noProof/>
            <w:webHidden/>
          </w:rPr>
        </w:r>
        <w:r w:rsidR="0012026B">
          <w:rPr>
            <w:noProof/>
            <w:webHidden/>
          </w:rPr>
          <w:fldChar w:fldCharType="separate"/>
        </w:r>
        <w:r w:rsidR="0012026B">
          <w:rPr>
            <w:noProof/>
            <w:webHidden/>
          </w:rPr>
          <w:t>151</w:t>
        </w:r>
        <w:r w:rsidR="0012026B">
          <w:rPr>
            <w:noProof/>
            <w:webHidden/>
          </w:rPr>
          <w:fldChar w:fldCharType="end"/>
        </w:r>
      </w:hyperlink>
    </w:p>
    <w:p w14:paraId="0C52B1BC" w14:textId="187FD403"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24" w:history="1">
        <w:r w:rsidR="0012026B" w:rsidRPr="009765CA">
          <w:rPr>
            <w:rStyle w:val="Hyperlink"/>
            <w:noProof/>
          </w:rPr>
          <w:t>6.1.6</w:t>
        </w:r>
        <w:r w:rsidR="0012026B">
          <w:rPr>
            <w:rFonts w:asciiTheme="minorHAnsi" w:eastAsiaTheme="minorEastAsia" w:hAnsiTheme="minorHAnsi"/>
            <w:noProof/>
            <w:sz w:val="22"/>
            <w:lang w:eastAsia="en-GB"/>
          </w:rPr>
          <w:tab/>
        </w:r>
        <w:r w:rsidR="0012026B" w:rsidRPr="009765CA">
          <w:rPr>
            <w:rStyle w:val="Hyperlink"/>
            <w:noProof/>
          </w:rPr>
          <w:t>Legal factors</w:t>
        </w:r>
        <w:r w:rsidR="0012026B">
          <w:rPr>
            <w:noProof/>
            <w:webHidden/>
          </w:rPr>
          <w:tab/>
        </w:r>
        <w:r w:rsidR="0012026B">
          <w:rPr>
            <w:noProof/>
            <w:webHidden/>
          </w:rPr>
          <w:fldChar w:fldCharType="begin"/>
        </w:r>
        <w:r w:rsidR="0012026B">
          <w:rPr>
            <w:noProof/>
            <w:webHidden/>
          </w:rPr>
          <w:instrText xml:space="preserve"> PAGEREF _Toc468266824 \h </w:instrText>
        </w:r>
        <w:r w:rsidR="0012026B">
          <w:rPr>
            <w:noProof/>
            <w:webHidden/>
          </w:rPr>
        </w:r>
        <w:r w:rsidR="0012026B">
          <w:rPr>
            <w:noProof/>
            <w:webHidden/>
          </w:rPr>
          <w:fldChar w:fldCharType="separate"/>
        </w:r>
        <w:r w:rsidR="0012026B">
          <w:rPr>
            <w:noProof/>
            <w:webHidden/>
          </w:rPr>
          <w:t>152</w:t>
        </w:r>
        <w:r w:rsidR="0012026B">
          <w:rPr>
            <w:noProof/>
            <w:webHidden/>
          </w:rPr>
          <w:fldChar w:fldCharType="end"/>
        </w:r>
      </w:hyperlink>
    </w:p>
    <w:p w14:paraId="5B7925E1" w14:textId="074A6A45"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25" w:history="1">
        <w:r w:rsidR="0012026B" w:rsidRPr="009765CA">
          <w:rPr>
            <w:rStyle w:val="Hyperlink"/>
            <w:noProof/>
          </w:rPr>
          <w:t>6.1.7</w:t>
        </w:r>
        <w:r w:rsidR="0012026B">
          <w:rPr>
            <w:rFonts w:asciiTheme="minorHAnsi" w:eastAsiaTheme="minorEastAsia" w:hAnsiTheme="minorHAnsi"/>
            <w:noProof/>
            <w:sz w:val="22"/>
            <w:lang w:eastAsia="en-GB"/>
          </w:rPr>
          <w:tab/>
        </w:r>
        <w:r w:rsidR="0012026B" w:rsidRPr="009765CA">
          <w:rPr>
            <w:rStyle w:val="Hyperlink"/>
            <w:rFonts w:eastAsia="Times New Roman"/>
            <w:noProof/>
            <w:lang w:eastAsia="en-GB"/>
          </w:rPr>
          <w:t>Discussion</w:t>
        </w:r>
        <w:r w:rsidR="0012026B">
          <w:rPr>
            <w:noProof/>
            <w:webHidden/>
          </w:rPr>
          <w:tab/>
        </w:r>
        <w:r w:rsidR="0012026B">
          <w:rPr>
            <w:noProof/>
            <w:webHidden/>
          </w:rPr>
          <w:fldChar w:fldCharType="begin"/>
        </w:r>
        <w:r w:rsidR="0012026B">
          <w:rPr>
            <w:noProof/>
            <w:webHidden/>
          </w:rPr>
          <w:instrText xml:space="preserve"> PAGEREF _Toc468266825 \h </w:instrText>
        </w:r>
        <w:r w:rsidR="0012026B">
          <w:rPr>
            <w:noProof/>
            <w:webHidden/>
          </w:rPr>
        </w:r>
        <w:r w:rsidR="0012026B">
          <w:rPr>
            <w:noProof/>
            <w:webHidden/>
          </w:rPr>
          <w:fldChar w:fldCharType="separate"/>
        </w:r>
        <w:r w:rsidR="0012026B">
          <w:rPr>
            <w:noProof/>
            <w:webHidden/>
          </w:rPr>
          <w:t>153</w:t>
        </w:r>
        <w:r w:rsidR="0012026B">
          <w:rPr>
            <w:noProof/>
            <w:webHidden/>
          </w:rPr>
          <w:fldChar w:fldCharType="end"/>
        </w:r>
      </w:hyperlink>
    </w:p>
    <w:p w14:paraId="51AF0580" w14:textId="0E3EB89E" w:rsidR="0012026B" w:rsidRDefault="00B32C9A">
      <w:pPr>
        <w:pStyle w:val="TOC2"/>
        <w:tabs>
          <w:tab w:val="right" w:leader="dot" w:pos="9016"/>
        </w:tabs>
        <w:rPr>
          <w:rFonts w:asciiTheme="minorHAnsi" w:eastAsiaTheme="minorEastAsia" w:hAnsiTheme="minorHAnsi"/>
          <w:noProof/>
          <w:sz w:val="22"/>
          <w:lang w:eastAsia="en-GB"/>
        </w:rPr>
      </w:pPr>
      <w:hyperlink w:anchor="_Toc468266826" w:history="1">
        <w:r w:rsidR="0012026B" w:rsidRPr="009765CA">
          <w:rPr>
            <w:rStyle w:val="Hyperlink"/>
            <w:rFonts w:cs="Times New Roman"/>
            <w:noProof/>
          </w:rPr>
          <w:t>6.2  The Quantitative Methodology:</w:t>
        </w:r>
        <w:r w:rsidR="0012026B" w:rsidRPr="009765CA">
          <w:rPr>
            <w:rStyle w:val="Hyperlink"/>
            <w:noProof/>
          </w:rPr>
          <w:t xml:space="preserve"> The Numismatic Database</w:t>
        </w:r>
        <w:r w:rsidR="0012026B">
          <w:rPr>
            <w:noProof/>
            <w:webHidden/>
          </w:rPr>
          <w:tab/>
        </w:r>
        <w:r w:rsidR="0012026B">
          <w:rPr>
            <w:noProof/>
            <w:webHidden/>
          </w:rPr>
          <w:fldChar w:fldCharType="begin"/>
        </w:r>
        <w:r w:rsidR="0012026B">
          <w:rPr>
            <w:noProof/>
            <w:webHidden/>
          </w:rPr>
          <w:instrText xml:space="preserve"> PAGEREF _Toc468266826 \h </w:instrText>
        </w:r>
        <w:r w:rsidR="0012026B">
          <w:rPr>
            <w:noProof/>
            <w:webHidden/>
          </w:rPr>
        </w:r>
        <w:r w:rsidR="0012026B">
          <w:rPr>
            <w:noProof/>
            <w:webHidden/>
          </w:rPr>
          <w:fldChar w:fldCharType="separate"/>
        </w:r>
        <w:r w:rsidR="0012026B">
          <w:rPr>
            <w:noProof/>
            <w:webHidden/>
          </w:rPr>
          <w:t>155</w:t>
        </w:r>
        <w:r w:rsidR="0012026B">
          <w:rPr>
            <w:noProof/>
            <w:webHidden/>
          </w:rPr>
          <w:fldChar w:fldCharType="end"/>
        </w:r>
      </w:hyperlink>
    </w:p>
    <w:p w14:paraId="4272D465" w14:textId="11BA5739"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27" w:history="1">
        <w:r w:rsidR="0012026B" w:rsidRPr="009765CA">
          <w:rPr>
            <w:rStyle w:val="Hyperlink"/>
            <w:rFonts w:eastAsia="Times New Roman"/>
            <w:noProof/>
            <w:lang w:eastAsia="en-GB"/>
          </w:rPr>
          <w:t>6.2.1</w:t>
        </w:r>
        <w:r w:rsidR="0012026B">
          <w:rPr>
            <w:rFonts w:asciiTheme="minorHAnsi" w:eastAsiaTheme="minorEastAsia" w:hAnsiTheme="minorHAnsi"/>
            <w:noProof/>
            <w:sz w:val="22"/>
            <w:lang w:eastAsia="en-GB"/>
          </w:rPr>
          <w:tab/>
        </w:r>
        <w:r w:rsidR="0012026B" w:rsidRPr="009765CA">
          <w:rPr>
            <w:rStyle w:val="Hyperlink"/>
            <w:rFonts w:eastAsia="Times New Roman"/>
            <w:noProof/>
            <w:lang w:eastAsia="en-GB"/>
          </w:rPr>
          <w:t>Data-Sets and Summaries</w:t>
        </w:r>
        <w:r w:rsidR="0012026B">
          <w:rPr>
            <w:noProof/>
            <w:webHidden/>
          </w:rPr>
          <w:tab/>
        </w:r>
        <w:r w:rsidR="0012026B">
          <w:rPr>
            <w:noProof/>
            <w:webHidden/>
          </w:rPr>
          <w:fldChar w:fldCharType="begin"/>
        </w:r>
        <w:r w:rsidR="0012026B">
          <w:rPr>
            <w:noProof/>
            <w:webHidden/>
          </w:rPr>
          <w:instrText xml:space="preserve"> PAGEREF _Toc468266827 \h </w:instrText>
        </w:r>
        <w:r w:rsidR="0012026B">
          <w:rPr>
            <w:noProof/>
            <w:webHidden/>
          </w:rPr>
        </w:r>
        <w:r w:rsidR="0012026B">
          <w:rPr>
            <w:noProof/>
            <w:webHidden/>
          </w:rPr>
          <w:fldChar w:fldCharType="separate"/>
        </w:r>
        <w:r w:rsidR="0012026B">
          <w:rPr>
            <w:noProof/>
            <w:webHidden/>
          </w:rPr>
          <w:t>155</w:t>
        </w:r>
        <w:r w:rsidR="0012026B">
          <w:rPr>
            <w:noProof/>
            <w:webHidden/>
          </w:rPr>
          <w:fldChar w:fldCharType="end"/>
        </w:r>
      </w:hyperlink>
    </w:p>
    <w:p w14:paraId="4A4AF8D0" w14:textId="1BBD7050" w:rsidR="0012026B" w:rsidRDefault="00B32C9A">
      <w:pPr>
        <w:pStyle w:val="TOC4"/>
        <w:tabs>
          <w:tab w:val="right" w:leader="dot" w:pos="9016"/>
        </w:tabs>
        <w:rPr>
          <w:rFonts w:asciiTheme="minorHAnsi" w:eastAsiaTheme="minorEastAsia" w:hAnsiTheme="minorHAnsi"/>
          <w:noProof/>
          <w:sz w:val="22"/>
          <w:lang w:eastAsia="en-GB"/>
        </w:rPr>
      </w:pPr>
      <w:hyperlink w:anchor="_Toc468266828" w:history="1">
        <w:r w:rsidR="0012026B" w:rsidRPr="009765CA">
          <w:rPr>
            <w:rStyle w:val="Hyperlink"/>
            <w:rFonts w:eastAsia="Times New Roman" w:cs="Times New Roman"/>
            <w:noProof/>
            <w:lang w:eastAsia="en-GB"/>
          </w:rPr>
          <w:t>6.2.1.1 Database 1: Coins</w:t>
        </w:r>
        <w:r w:rsidR="0012026B">
          <w:rPr>
            <w:noProof/>
            <w:webHidden/>
          </w:rPr>
          <w:tab/>
        </w:r>
        <w:r w:rsidR="0012026B">
          <w:rPr>
            <w:noProof/>
            <w:webHidden/>
          </w:rPr>
          <w:fldChar w:fldCharType="begin"/>
        </w:r>
        <w:r w:rsidR="0012026B">
          <w:rPr>
            <w:noProof/>
            <w:webHidden/>
          </w:rPr>
          <w:instrText xml:space="preserve"> PAGEREF _Toc468266828 \h </w:instrText>
        </w:r>
        <w:r w:rsidR="0012026B">
          <w:rPr>
            <w:noProof/>
            <w:webHidden/>
          </w:rPr>
        </w:r>
        <w:r w:rsidR="0012026B">
          <w:rPr>
            <w:noProof/>
            <w:webHidden/>
          </w:rPr>
          <w:fldChar w:fldCharType="separate"/>
        </w:r>
        <w:r w:rsidR="0012026B">
          <w:rPr>
            <w:noProof/>
            <w:webHidden/>
          </w:rPr>
          <w:t>155</w:t>
        </w:r>
        <w:r w:rsidR="0012026B">
          <w:rPr>
            <w:noProof/>
            <w:webHidden/>
          </w:rPr>
          <w:fldChar w:fldCharType="end"/>
        </w:r>
      </w:hyperlink>
    </w:p>
    <w:p w14:paraId="39382066" w14:textId="5F07CAFD"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29" w:history="1">
        <w:r w:rsidR="0012026B" w:rsidRPr="009765CA">
          <w:rPr>
            <w:rStyle w:val="Hyperlink"/>
            <w:rFonts w:eastAsia="Times New Roman" w:cs="Times New Roman"/>
            <w:noProof/>
            <w:lang w:eastAsia="en-GB"/>
          </w:rPr>
          <w:t>6.2.1.2</w:t>
        </w:r>
        <w:r w:rsidR="0012026B">
          <w:rPr>
            <w:rFonts w:asciiTheme="minorHAnsi" w:eastAsiaTheme="minorEastAsia" w:hAnsiTheme="minorHAnsi"/>
            <w:noProof/>
            <w:sz w:val="22"/>
            <w:lang w:eastAsia="en-GB"/>
          </w:rPr>
          <w:tab/>
        </w:r>
        <w:r w:rsidR="0012026B" w:rsidRPr="009765CA">
          <w:rPr>
            <w:rStyle w:val="Hyperlink"/>
            <w:rFonts w:eastAsia="Times New Roman" w:cs="Times New Roman"/>
            <w:noProof/>
            <w:lang w:eastAsia="en-GB"/>
          </w:rPr>
          <w:t>Dataset 6.04: The Matrices</w:t>
        </w:r>
        <w:r w:rsidR="0012026B">
          <w:rPr>
            <w:noProof/>
            <w:webHidden/>
          </w:rPr>
          <w:tab/>
        </w:r>
        <w:r w:rsidR="0012026B">
          <w:rPr>
            <w:noProof/>
            <w:webHidden/>
          </w:rPr>
          <w:fldChar w:fldCharType="begin"/>
        </w:r>
        <w:r w:rsidR="0012026B">
          <w:rPr>
            <w:noProof/>
            <w:webHidden/>
          </w:rPr>
          <w:instrText xml:space="preserve"> PAGEREF _Toc468266829 \h </w:instrText>
        </w:r>
        <w:r w:rsidR="0012026B">
          <w:rPr>
            <w:noProof/>
            <w:webHidden/>
          </w:rPr>
        </w:r>
        <w:r w:rsidR="0012026B">
          <w:rPr>
            <w:noProof/>
            <w:webHidden/>
          </w:rPr>
          <w:fldChar w:fldCharType="separate"/>
        </w:r>
        <w:r w:rsidR="0012026B">
          <w:rPr>
            <w:noProof/>
            <w:webHidden/>
          </w:rPr>
          <w:t>156</w:t>
        </w:r>
        <w:r w:rsidR="0012026B">
          <w:rPr>
            <w:noProof/>
            <w:webHidden/>
          </w:rPr>
          <w:fldChar w:fldCharType="end"/>
        </w:r>
      </w:hyperlink>
    </w:p>
    <w:p w14:paraId="393FC4EB" w14:textId="53E1E7CA"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30" w:history="1">
        <w:r w:rsidR="0012026B" w:rsidRPr="009765CA">
          <w:rPr>
            <w:rStyle w:val="Hyperlink"/>
            <w:rFonts w:eastAsia="Times New Roman" w:cs="Times New Roman"/>
            <w:noProof/>
            <w:lang w:eastAsia="en-GB"/>
          </w:rPr>
          <w:t>6.2.1.3</w:t>
        </w:r>
        <w:r w:rsidR="0012026B">
          <w:rPr>
            <w:rFonts w:asciiTheme="minorHAnsi" w:eastAsiaTheme="minorEastAsia" w:hAnsiTheme="minorHAnsi"/>
            <w:noProof/>
            <w:sz w:val="22"/>
            <w:lang w:eastAsia="en-GB"/>
          </w:rPr>
          <w:tab/>
        </w:r>
        <w:r w:rsidR="0012026B" w:rsidRPr="009765CA">
          <w:rPr>
            <w:rStyle w:val="Hyperlink"/>
            <w:rFonts w:eastAsia="Times New Roman" w:cs="Times New Roman"/>
            <w:noProof/>
            <w:lang w:eastAsia="en-GB"/>
          </w:rPr>
          <w:t>Dataset 6.05: Hoard Material</w:t>
        </w:r>
        <w:r w:rsidR="0012026B">
          <w:rPr>
            <w:noProof/>
            <w:webHidden/>
          </w:rPr>
          <w:tab/>
        </w:r>
        <w:r w:rsidR="0012026B">
          <w:rPr>
            <w:noProof/>
            <w:webHidden/>
          </w:rPr>
          <w:fldChar w:fldCharType="begin"/>
        </w:r>
        <w:r w:rsidR="0012026B">
          <w:rPr>
            <w:noProof/>
            <w:webHidden/>
          </w:rPr>
          <w:instrText xml:space="preserve"> PAGEREF _Toc468266830 \h </w:instrText>
        </w:r>
        <w:r w:rsidR="0012026B">
          <w:rPr>
            <w:noProof/>
            <w:webHidden/>
          </w:rPr>
        </w:r>
        <w:r w:rsidR="0012026B">
          <w:rPr>
            <w:noProof/>
            <w:webHidden/>
          </w:rPr>
          <w:fldChar w:fldCharType="separate"/>
        </w:r>
        <w:r w:rsidR="0012026B">
          <w:rPr>
            <w:noProof/>
            <w:webHidden/>
          </w:rPr>
          <w:t>157</w:t>
        </w:r>
        <w:r w:rsidR="0012026B">
          <w:rPr>
            <w:noProof/>
            <w:webHidden/>
          </w:rPr>
          <w:fldChar w:fldCharType="end"/>
        </w:r>
      </w:hyperlink>
    </w:p>
    <w:p w14:paraId="5E72395F" w14:textId="73FA99F9"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831" w:history="1">
        <w:r w:rsidR="0012026B" w:rsidRPr="009765CA">
          <w:rPr>
            <w:rStyle w:val="Hyperlink"/>
            <w:rFonts w:eastAsia="Times New Roman"/>
            <w:noProof/>
            <w:lang w:eastAsia="en-GB"/>
          </w:rPr>
          <w:t>6.2.1.4</w:t>
        </w:r>
        <w:r w:rsidR="0012026B">
          <w:rPr>
            <w:rFonts w:asciiTheme="minorHAnsi" w:eastAsiaTheme="minorEastAsia" w:hAnsiTheme="minorHAnsi"/>
            <w:noProof/>
            <w:sz w:val="22"/>
            <w:lang w:eastAsia="en-GB"/>
          </w:rPr>
          <w:tab/>
        </w:r>
        <w:r w:rsidR="0012026B" w:rsidRPr="009765CA">
          <w:rPr>
            <w:rStyle w:val="Hyperlink"/>
            <w:rFonts w:eastAsia="Times New Roman"/>
            <w:noProof/>
            <w:lang w:eastAsia="en-GB"/>
          </w:rPr>
          <w:t>Hoards and single finds</w:t>
        </w:r>
        <w:r w:rsidR="0012026B">
          <w:rPr>
            <w:noProof/>
            <w:webHidden/>
          </w:rPr>
          <w:tab/>
        </w:r>
        <w:r w:rsidR="0012026B">
          <w:rPr>
            <w:noProof/>
            <w:webHidden/>
          </w:rPr>
          <w:fldChar w:fldCharType="begin"/>
        </w:r>
        <w:r w:rsidR="0012026B">
          <w:rPr>
            <w:noProof/>
            <w:webHidden/>
          </w:rPr>
          <w:instrText xml:space="preserve"> PAGEREF _Toc468266831 \h </w:instrText>
        </w:r>
        <w:r w:rsidR="0012026B">
          <w:rPr>
            <w:noProof/>
            <w:webHidden/>
          </w:rPr>
        </w:r>
        <w:r w:rsidR="0012026B">
          <w:rPr>
            <w:noProof/>
            <w:webHidden/>
          </w:rPr>
          <w:fldChar w:fldCharType="separate"/>
        </w:r>
        <w:r w:rsidR="0012026B">
          <w:rPr>
            <w:noProof/>
            <w:webHidden/>
          </w:rPr>
          <w:t>157</w:t>
        </w:r>
        <w:r w:rsidR="0012026B">
          <w:rPr>
            <w:noProof/>
            <w:webHidden/>
          </w:rPr>
          <w:fldChar w:fldCharType="end"/>
        </w:r>
      </w:hyperlink>
    </w:p>
    <w:p w14:paraId="5F0FCEB9" w14:textId="6FB5156A"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32" w:history="1">
        <w:r w:rsidR="0012026B" w:rsidRPr="009765CA">
          <w:rPr>
            <w:rStyle w:val="Hyperlink"/>
            <w:noProof/>
          </w:rPr>
          <w:t>6.2.2</w:t>
        </w:r>
        <w:r w:rsidR="0012026B">
          <w:rPr>
            <w:rFonts w:asciiTheme="minorHAnsi" w:eastAsiaTheme="minorEastAsia" w:hAnsiTheme="minorHAnsi"/>
            <w:noProof/>
            <w:sz w:val="22"/>
            <w:lang w:eastAsia="en-GB"/>
          </w:rPr>
          <w:tab/>
        </w:r>
        <w:r w:rsidR="0012026B" w:rsidRPr="009765CA">
          <w:rPr>
            <w:rStyle w:val="Hyperlink"/>
            <w:noProof/>
          </w:rPr>
          <w:t>Conventional Numismatic Production Metrics</w:t>
        </w:r>
        <w:r w:rsidR="0012026B">
          <w:rPr>
            <w:noProof/>
            <w:webHidden/>
          </w:rPr>
          <w:tab/>
        </w:r>
        <w:r w:rsidR="0012026B">
          <w:rPr>
            <w:noProof/>
            <w:webHidden/>
          </w:rPr>
          <w:fldChar w:fldCharType="begin"/>
        </w:r>
        <w:r w:rsidR="0012026B">
          <w:rPr>
            <w:noProof/>
            <w:webHidden/>
          </w:rPr>
          <w:instrText xml:space="preserve"> PAGEREF _Toc468266832 \h </w:instrText>
        </w:r>
        <w:r w:rsidR="0012026B">
          <w:rPr>
            <w:noProof/>
            <w:webHidden/>
          </w:rPr>
        </w:r>
        <w:r w:rsidR="0012026B">
          <w:rPr>
            <w:noProof/>
            <w:webHidden/>
          </w:rPr>
          <w:fldChar w:fldCharType="separate"/>
        </w:r>
        <w:r w:rsidR="0012026B">
          <w:rPr>
            <w:noProof/>
            <w:webHidden/>
          </w:rPr>
          <w:t>159</w:t>
        </w:r>
        <w:r w:rsidR="0012026B">
          <w:rPr>
            <w:noProof/>
            <w:webHidden/>
          </w:rPr>
          <w:fldChar w:fldCharType="end"/>
        </w:r>
      </w:hyperlink>
    </w:p>
    <w:p w14:paraId="7C7A678B" w14:textId="2BB74BA1"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33" w:history="1">
        <w:r w:rsidR="0012026B" w:rsidRPr="009765CA">
          <w:rPr>
            <w:rStyle w:val="Hyperlink"/>
            <w:noProof/>
          </w:rPr>
          <w:t>6.2.3</w:t>
        </w:r>
        <w:r w:rsidR="0012026B">
          <w:rPr>
            <w:rFonts w:asciiTheme="minorHAnsi" w:eastAsiaTheme="minorEastAsia" w:hAnsiTheme="minorHAnsi"/>
            <w:noProof/>
            <w:sz w:val="22"/>
            <w:lang w:eastAsia="en-GB"/>
          </w:rPr>
          <w:tab/>
        </w:r>
        <w:r w:rsidR="0012026B" w:rsidRPr="009765CA">
          <w:rPr>
            <w:rStyle w:val="Hyperlink"/>
            <w:noProof/>
          </w:rPr>
          <w:t>Distribution Analysis</w:t>
        </w:r>
        <w:r w:rsidR="0012026B">
          <w:rPr>
            <w:noProof/>
            <w:webHidden/>
          </w:rPr>
          <w:tab/>
        </w:r>
        <w:r w:rsidR="0012026B">
          <w:rPr>
            <w:noProof/>
            <w:webHidden/>
          </w:rPr>
          <w:fldChar w:fldCharType="begin"/>
        </w:r>
        <w:r w:rsidR="0012026B">
          <w:rPr>
            <w:noProof/>
            <w:webHidden/>
          </w:rPr>
          <w:instrText xml:space="preserve"> PAGEREF _Toc468266833 \h </w:instrText>
        </w:r>
        <w:r w:rsidR="0012026B">
          <w:rPr>
            <w:noProof/>
            <w:webHidden/>
          </w:rPr>
        </w:r>
        <w:r w:rsidR="0012026B">
          <w:rPr>
            <w:noProof/>
            <w:webHidden/>
          </w:rPr>
          <w:fldChar w:fldCharType="separate"/>
        </w:r>
        <w:r w:rsidR="0012026B">
          <w:rPr>
            <w:noProof/>
            <w:webHidden/>
          </w:rPr>
          <w:t>159</w:t>
        </w:r>
        <w:r w:rsidR="0012026B">
          <w:rPr>
            <w:noProof/>
            <w:webHidden/>
          </w:rPr>
          <w:fldChar w:fldCharType="end"/>
        </w:r>
      </w:hyperlink>
    </w:p>
    <w:p w14:paraId="7EE3459D" w14:textId="787A6D25"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834" w:history="1">
        <w:r w:rsidR="0012026B" w:rsidRPr="009765CA">
          <w:rPr>
            <w:rStyle w:val="Hyperlink"/>
            <w:rFonts w:cs="Times New Roman"/>
            <w:noProof/>
          </w:rPr>
          <w:t>6.3</w:t>
        </w:r>
        <w:r w:rsidR="0012026B">
          <w:rPr>
            <w:rFonts w:asciiTheme="minorHAnsi" w:eastAsiaTheme="minorEastAsia" w:hAnsiTheme="minorHAnsi"/>
            <w:noProof/>
            <w:sz w:val="22"/>
            <w:lang w:eastAsia="en-GB"/>
          </w:rPr>
          <w:tab/>
        </w:r>
        <w:r w:rsidR="0012026B" w:rsidRPr="009765CA">
          <w:rPr>
            <w:rStyle w:val="Hyperlink"/>
            <w:rFonts w:cs="Times New Roman"/>
            <w:noProof/>
          </w:rPr>
          <w:t>The Qualitative Methodology:</w:t>
        </w:r>
        <w:r w:rsidR="0012026B" w:rsidRPr="009765CA">
          <w:rPr>
            <w:rStyle w:val="Hyperlink"/>
            <w:noProof/>
          </w:rPr>
          <w:t xml:space="preserve"> The Artefactual Database</w:t>
        </w:r>
        <w:r w:rsidR="0012026B">
          <w:rPr>
            <w:noProof/>
            <w:webHidden/>
          </w:rPr>
          <w:tab/>
        </w:r>
        <w:r w:rsidR="0012026B">
          <w:rPr>
            <w:noProof/>
            <w:webHidden/>
          </w:rPr>
          <w:fldChar w:fldCharType="begin"/>
        </w:r>
        <w:r w:rsidR="0012026B">
          <w:rPr>
            <w:noProof/>
            <w:webHidden/>
          </w:rPr>
          <w:instrText xml:space="preserve"> PAGEREF _Toc468266834 \h </w:instrText>
        </w:r>
        <w:r w:rsidR="0012026B">
          <w:rPr>
            <w:noProof/>
            <w:webHidden/>
          </w:rPr>
        </w:r>
        <w:r w:rsidR="0012026B">
          <w:rPr>
            <w:noProof/>
            <w:webHidden/>
          </w:rPr>
          <w:fldChar w:fldCharType="separate"/>
        </w:r>
        <w:r w:rsidR="0012026B">
          <w:rPr>
            <w:noProof/>
            <w:webHidden/>
          </w:rPr>
          <w:t>160</w:t>
        </w:r>
        <w:r w:rsidR="0012026B">
          <w:rPr>
            <w:noProof/>
            <w:webHidden/>
          </w:rPr>
          <w:fldChar w:fldCharType="end"/>
        </w:r>
      </w:hyperlink>
    </w:p>
    <w:p w14:paraId="6FF29DA1" w14:textId="5D80AD27" w:rsidR="0012026B" w:rsidRDefault="00B32C9A">
      <w:pPr>
        <w:pStyle w:val="TOC1"/>
        <w:tabs>
          <w:tab w:val="right" w:leader="dot" w:pos="9016"/>
        </w:tabs>
        <w:rPr>
          <w:rFonts w:asciiTheme="minorHAnsi" w:eastAsiaTheme="minorEastAsia" w:hAnsiTheme="minorHAnsi"/>
          <w:noProof/>
          <w:sz w:val="22"/>
          <w:lang w:eastAsia="en-GB"/>
        </w:rPr>
      </w:pPr>
      <w:hyperlink w:anchor="_Toc468266835" w:history="1">
        <w:r w:rsidR="0012026B" w:rsidRPr="009765CA">
          <w:rPr>
            <w:rStyle w:val="Hyperlink"/>
            <w:rFonts w:cs="Times New Roman"/>
            <w:noProof/>
          </w:rPr>
          <w:t>Chapter 7: Data Analysis</w:t>
        </w:r>
        <w:r w:rsidR="0012026B">
          <w:rPr>
            <w:noProof/>
            <w:webHidden/>
          </w:rPr>
          <w:tab/>
        </w:r>
        <w:r w:rsidR="0012026B">
          <w:rPr>
            <w:noProof/>
            <w:webHidden/>
          </w:rPr>
          <w:fldChar w:fldCharType="begin"/>
        </w:r>
        <w:r w:rsidR="0012026B">
          <w:rPr>
            <w:noProof/>
            <w:webHidden/>
          </w:rPr>
          <w:instrText xml:space="preserve"> PAGEREF _Toc468266835 \h </w:instrText>
        </w:r>
        <w:r w:rsidR="0012026B">
          <w:rPr>
            <w:noProof/>
            <w:webHidden/>
          </w:rPr>
        </w:r>
        <w:r w:rsidR="0012026B">
          <w:rPr>
            <w:noProof/>
            <w:webHidden/>
          </w:rPr>
          <w:fldChar w:fldCharType="separate"/>
        </w:r>
        <w:r w:rsidR="0012026B">
          <w:rPr>
            <w:noProof/>
            <w:webHidden/>
          </w:rPr>
          <w:t>163</w:t>
        </w:r>
        <w:r w:rsidR="0012026B">
          <w:rPr>
            <w:noProof/>
            <w:webHidden/>
          </w:rPr>
          <w:fldChar w:fldCharType="end"/>
        </w:r>
      </w:hyperlink>
    </w:p>
    <w:p w14:paraId="49962498" w14:textId="4354D3A5"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836" w:history="1">
        <w:r w:rsidR="0012026B" w:rsidRPr="009765CA">
          <w:rPr>
            <w:rStyle w:val="Hyperlink"/>
            <w:noProof/>
          </w:rPr>
          <w:t>7.1</w:t>
        </w:r>
        <w:r w:rsidR="0012026B">
          <w:rPr>
            <w:rFonts w:asciiTheme="minorHAnsi" w:eastAsiaTheme="minorEastAsia" w:hAnsiTheme="minorHAnsi"/>
            <w:noProof/>
            <w:sz w:val="22"/>
            <w:lang w:eastAsia="en-GB"/>
          </w:rPr>
          <w:tab/>
        </w:r>
        <w:r w:rsidR="0012026B" w:rsidRPr="009765CA">
          <w:rPr>
            <w:rStyle w:val="Hyperlink"/>
            <w:noProof/>
          </w:rPr>
          <w:t>Quantitative Analysis</w:t>
        </w:r>
        <w:r w:rsidR="0012026B">
          <w:rPr>
            <w:noProof/>
            <w:webHidden/>
          </w:rPr>
          <w:tab/>
        </w:r>
        <w:r w:rsidR="0012026B">
          <w:rPr>
            <w:noProof/>
            <w:webHidden/>
          </w:rPr>
          <w:fldChar w:fldCharType="begin"/>
        </w:r>
        <w:r w:rsidR="0012026B">
          <w:rPr>
            <w:noProof/>
            <w:webHidden/>
          </w:rPr>
          <w:instrText xml:space="preserve"> PAGEREF _Toc468266836 \h </w:instrText>
        </w:r>
        <w:r w:rsidR="0012026B">
          <w:rPr>
            <w:noProof/>
            <w:webHidden/>
          </w:rPr>
        </w:r>
        <w:r w:rsidR="0012026B">
          <w:rPr>
            <w:noProof/>
            <w:webHidden/>
          </w:rPr>
          <w:fldChar w:fldCharType="separate"/>
        </w:r>
        <w:r w:rsidR="0012026B">
          <w:rPr>
            <w:noProof/>
            <w:webHidden/>
          </w:rPr>
          <w:t>163</w:t>
        </w:r>
        <w:r w:rsidR="0012026B">
          <w:rPr>
            <w:noProof/>
            <w:webHidden/>
          </w:rPr>
          <w:fldChar w:fldCharType="end"/>
        </w:r>
      </w:hyperlink>
    </w:p>
    <w:p w14:paraId="2006C5D8" w14:textId="4C0B21B4"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37" w:history="1">
        <w:r w:rsidR="0012026B" w:rsidRPr="009765CA">
          <w:rPr>
            <w:rStyle w:val="Hyperlink"/>
            <w:noProof/>
          </w:rPr>
          <w:t>7.1.1</w:t>
        </w:r>
        <w:r w:rsidR="0012026B">
          <w:rPr>
            <w:rFonts w:asciiTheme="minorHAnsi" w:eastAsiaTheme="minorEastAsia" w:hAnsiTheme="minorHAnsi"/>
            <w:noProof/>
            <w:sz w:val="22"/>
            <w:lang w:eastAsia="en-GB"/>
          </w:rPr>
          <w:tab/>
        </w:r>
        <w:r w:rsidR="0012026B" w:rsidRPr="009765CA">
          <w:rPr>
            <w:rStyle w:val="Hyperlink"/>
            <w:noProof/>
          </w:rPr>
          <w:t>Analytical Tools</w:t>
        </w:r>
        <w:r w:rsidR="0012026B">
          <w:rPr>
            <w:noProof/>
            <w:webHidden/>
          </w:rPr>
          <w:tab/>
        </w:r>
        <w:r w:rsidR="0012026B">
          <w:rPr>
            <w:noProof/>
            <w:webHidden/>
          </w:rPr>
          <w:fldChar w:fldCharType="begin"/>
        </w:r>
        <w:r w:rsidR="0012026B">
          <w:rPr>
            <w:noProof/>
            <w:webHidden/>
          </w:rPr>
          <w:instrText xml:space="preserve"> PAGEREF _Toc468266837 \h </w:instrText>
        </w:r>
        <w:r w:rsidR="0012026B">
          <w:rPr>
            <w:noProof/>
            <w:webHidden/>
          </w:rPr>
        </w:r>
        <w:r w:rsidR="0012026B">
          <w:rPr>
            <w:noProof/>
            <w:webHidden/>
          </w:rPr>
          <w:fldChar w:fldCharType="separate"/>
        </w:r>
        <w:r w:rsidR="0012026B">
          <w:rPr>
            <w:noProof/>
            <w:webHidden/>
          </w:rPr>
          <w:t>163</w:t>
        </w:r>
        <w:r w:rsidR="0012026B">
          <w:rPr>
            <w:noProof/>
            <w:webHidden/>
          </w:rPr>
          <w:fldChar w:fldCharType="end"/>
        </w:r>
      </w:hyperlink>
    </w:p>
    <w:p w14:paraId="3EE0B527" w14:textId="436B2C0F"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38" w:history="1">
        <w:r w:rsidR="0012026B" w:rsidRPr="009765CA">
          <w:rPr>
            <w:rStyle w:val="Hyperlink"/>
            <w:noProof/>
          </w:rPr>
          <w:t>7.1.2</w:t>
        </w:r>
        <w:r w:rsidR="0012026B">
          <w:rPr>
            <w:rFonts w:asciiTheme="minorHAnsi" w:eastAsiaTheme="minorEastAsia" w:hAnsiTheme="minorHAnsi"/>
            <w:noProof/>
            <w:sz w:val="22"/>
            <w:lang w:eastAsia="en-GB"/>
          </w:rPr>
          <w:tab/>
        </w:r>
        <w:r w:rsidR="0012026B" w:rsidRPr="009765CA">
          <w:rPr>
            <w:rStyle w:val="Hyperlink"/>
            <w:noProof/>
          </w:rPr>
          <w:t>The Normal Distribution of Coins</w:t>
        </w:r>
        <w:r w:rsidR="0012026B">
          <w:rPr>
            <w:noProof/>
            <w:webHidden/>
          </w:rPr>
          <w:tab/>
        </w:r>
        <w:r w:rsidR="0012026B">
          <w:rPr>
            <w:noProof/>
            <w:webHidden/>
          </w:rPr>
          <w:fldChar w:fldCharType="begin"/>
        </w:r>
        <w:r w:rsidR="0012026B">
          <w:rPr>
            <w:noProof/>
            <w:webHidden/>
          </w:rPr>
          <w:instrText xml:space="preserve"> PAGEREF _Toc468266838 \h </w:instrText>
        </w:r>
        <w:r w:rsidR="0012026B">
          <w:rPr>
            <w:noProof/>
            <w:webHidden/>
          </w:rPr>
        </w:r>
        <w:r w:rsidR="0012026B">
          <w:rPr>
            <w:noProof/>
            <w:webHidden/>
          </w:rPr>
          <w:fldChar w:fldCharType="separate"/>
        </w:r>
        <w:r w:rsidR="0012026B">
          <w:rPr>
            <w:noProof/>
            <w:webHidden/>
          </w:rPr>
          <w:t>163</w:t>
        </w:r>
        <w:r w:rsidR="0012026B">
          <w:rPr>
            <w:noProof/>
            <w:webHidden/>
          </w:rPr>
          <w:fldChar w:fldCharType="end"/>
        </w:r>
      </w:hyperlink>
    </w:p>
    <w:p w14:paraId="4D927029" w14:textId="12841F73"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39" w:history="1">
        <w:r w:rsidR="0012026B" w:rsidRPr="009765CA">
          <w:rPr>
            <w:rStyle w:val="Hyperlink"/>
            <w:noProof/>
          </w:rPr>
          <w:t>7.1.3</w:t>
        </w:r>
        <w:r w:rsidR="0012026B">
          <w:rPr>
            <w:rFonts w:asciiTheme="minorHAnsi" w:eastAsiaTheme="minorEastAsia" w:hAnsiTheme="minorHAnsi"/>
            <w:noProof/>
            <w:sz w:val="22"/>
            <w:lang w:eastAsia="en-GB"/>
          </w:rPr>
          <w:tab/>
        </w:r>
        <w:r w:rsidR="0012026B" w:rsidRPr="009765CA">
          <w:rPr>
            <w:rStyle w:val="Hyperlink"/>
            <w:noProof/>
          </w:rPr>
          <w:t>Roman Finds Distribution</w:t>
        </w:r>
        <w:r w:rsidR="0012026B">
          <w:rPr>
            <w:noProof/>
            <w:webHidden/>
          </w:rPr>
          <w:tab/>
        </w:r>
        <w:r w:rsidR="0012026B">
          <w:rPr>
            <w:noProof/>
            <w:webHidden/>
          </w:rPr>
          <w:fldChar w:fldCharType="begin"/>
        </w:r>
        <w:r w:rsidR="0012026B">
          <w:rPr>
            <w:noProof/>
            <w:webHidden/>
          </w:rPr>
          <w:instrText xml:space="preserve"> PAGEREF _Toc468266839 \h </w:instrText>
        </w:r>
        <w:r w:rsidR="0012026B">
          <w:rPr>
            <w:noProof/>
            <w:webHidden/>
          </w:rPr>
        </w:r>
        <w:r w:rsidR="0012026B">
          <w:rPr>
            <w:noProof/>
            <w:webHidden/>
          </w:rPr>
          <w:fldChar w:fldCharType="separate"/>
        </w:r>
        <w:r w:rsidR="0012026B">
          <w:rPr>
            <w:noProof/>
            <w:webHidden/>
          </w:rPr>
          <w:t>164</w:t>
        </w:r>
        <w:r w:rsidR="0012026B">
          <w:rPr>
            <w:noProof/>
            <w:webHidden/>
          </w:rPr>
          <w:fldChar w:fldCharType="end"/>
        </w:r>
      </w:hyperlink>
    </w:p>
    <w:p w14:paraId="05E5AA51" w14:textId="33E70B8B"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840" w:history="1">
        <w:r w:rsidR="0012026B" w:rsidRPr="009765CA">
          <w:rPr>
            <w:rStyle w:val="Hyperlink"/>
            <w:noProof/>
          </w:rPr>
          <w:t>7.2</w:t>
        </w:r>
        <w:r w:rsidR="0012026B">
          <w:rPr>
            <w:rFonts w:asciiTheme="minorHAnsi" w:eastAsiaTheme="minorEastAsia" w:hAnsiTheme="minorHAnsi"/>
            <w:noProof/>
            <w:sz w:val="22"/>
            <w:lang w:eastAsia="en-GB"/>
          </w:rPr>
          <w:tab/>
        </w:r>
        <w:r w:rsidR="0012026B" w:rsidRPr="009765CA">
          <w:rPr>
            <w:rStyle w:val="Hyperlink"/>
            <w:noProof/>
          </w:rPr>
          <w:t>Qualitative Analysis</w:t>
        </w:r>
        <w:r w:rsidR="0012026B">
          <w:rPr>
            <w:noProof/>
            <w:webHidden/>
          </w:rPr>
          <w:tab/>
        </w:r>
        <w:r w:rsidR="0012026B">
          <w:rPr>
            <w:noProof/>
            <w:webHidden/>
          </w:rPr>
          <w:fldChar w:fldCharType="begin"/>
        </w:r>
        <w:r w:rsidR="0012026B">
          <w:rPr>
            <w:noProof/>
            <w:webHidden/>
          </w:rPr>
          <w:instrText xml:space="preserve"> PAGEREF _Toc468266840 \h </w:instrText>
        </w:r>
        <w:r w:rsidR="0012026B">
          <w:rPr>
            <w:noProof/>
            <w:webHidden/>
          </w:rPr>
        </w:r>
        <w:r w:rsidR="0012026B">
          <w:rPr>
            <w:noProof/>
            <w:webHidden/>
          </w:rPr>
          <w:fldChar w:fldCharType="separate"/>
        </w:r>
        <w:r w:rsidR="0012026B">
          <w:rPr>
            <w:noProof/>
            <w:webHidden/>
          </w:rPr>
          <w:t>166</w:t>
        </w:r>
        <w:r w:rsidR="0012026B">
          <w:rPr>
            <w:noProof/>
            <w:webHidden/>
          </w:rPr>
          <w:fldChar w:fldCharType="end"/>
        </w:r>
      </w:hyperlink>
    </w:p>
    <w:p w14:paraId="56C39B99" w14:textId="70949596"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41" w:history="1">
        <w:r w:rsidR="0012026B" w:rsidRPr="009765CA">
          <w:rPr>
            <w:rStyle w:val="Hyperlink"/>
            <w:noProof/>
          </w:rPr>
          <w:t>7.2.1</w:t>
        </w:r>
        <w:r w:rsidR="0012026B">
          <w:rPr>
            <w:rFonts w:asciiTheme="minorHAnsi" w:eastAsiaTheme="minorEastAsia" w:hAnsiTheme="minorHAnsi"/>
            <w:noProof/>
            <w:sz w:val="22"/>
            <w:lang w:eastAsia="en-GB"/>
          </w:rPr>
          <w:tab/>
        </w:r>
        <w:r w:rsidR="0012026B" w:rsidRPr="009765CA">
          <w:rPr>
            <w:rStyle w:val="Hyperlink"/>
            <w:noProof/>
          </w:rPr>
          <w:t>Coefficient of Monetization (CoM)</w:t>
        </w:r>
        <w:r w:rsidR="0012026B">
          <w:rPr>
            <w:noProof/>
            <w:webHidden/>
          </w:rPr>
          <w:tab/>
        </w:r>
        <w:r w:rsidR="0012026B">
          <w:rPr>
            <w:noProof/>
            <w:webHidden/>
          </w:rPr>
          <w:fldChar w:fldCharType="begin"/>
        </w:r>
        <w:r w:rsidR="0012026B">
          <w:rPr>
            <w:noProof/>
            <w:webHidden/>
          </w:rPr>
          <w:instrText xml:space="preserve"> PAGEREF _Toc468266841 \h </w:instrText>
        </w:r>
        <w:r w:rsidR="0012026B">
          <w:rPr>
            <w:noProof/>
            <w:webHidden/>
          </w:rPr>
        </w:r>
        <w:r w:rsidR="0012026B">
          <w:rPr>
            <w:noProof/>
            <w:webHidden/>
          </w:rPr>
          <w:fldChar w:fldCharType="separate"/>
        </w:r>
        <w:r w:rsidR="0012026B">
          <w:rPr>
            <w:noProof/>
            <w:webHidden/>
          </w:rPr>
          <w:t>166</w:t>
        </w:r>
        <w:r w:rsidR="0012026B">
          <w:rPr>
            <w:noProof/>
            <w:webHidden/>
          </w:rPr>
          <w:fldChar w:fldCharType="end"/>
        </w:r>
      </w:hyperlink>
    </w:p>
    <w:p w14:paraId="293522F0" w14:textId="259D26E3"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842" w:history="1">
        <w:r w:rsidR="0012026B" w:rsidRPr="009765CA">
          <w:rPr>
            <w:rStyle w:val="Hyperlink"/>
            <w:noProof/>
          </w:rPr>
          <w:t>7.2.1</w:t>
        </w:r>
        <w:r w:rsidR="0012026B">
          <w:rPr>
            <w:rFonts w:asciiTheme="minorHAnsi" w:eastAsiaTheme="minorEastAsia" w:hAnsiTheme="minorHAnsi"/>
            <w:noProof/>
            <w:sz w:val="22"/>
            <w:lang w:eastAsia="en-GB"/>
          </w:rPr>
          <w:tab/>
        </w:r>
        <w:r w:rsidR="0012026B" w:rsidRPr="009765CA">
          <w:rPr>
            <w:rStyle w:val="Hyperlink"/>
            <w:noProof/>
          </w:rPr>
          <w:t>Additional Analytical Tools</w:t>
        </w:r>
        <w:r w:rsidR="0012026B">
          <w:rPr>
            <w:noProof/>
            <w:webHidden/>
          </w:rPr>
          <w:tab/>
        </w:r>
        <w:r w:rsidR="0012026B">
          <w:rPr>
            <w:noProof/>
            <w:webHidden/>
          </w:rPr>
          <w:fldChar w:fldCharType="begin"/>
        </w:r>
        <w:r w:rsidR="0012026B">
          <w:rPr>
            <w:noProof/>
            <w:webHidden/>
          </w:rPr>
          <w:instrText xml:space="preserve"> PAGEREF _Toc468266842 \h </w:instrText>
        </w:r>
        <w:r w:rsidR="0012026B">
          <w:rPr>
            <w:noProof/>
            <w:webHidden/>
          </w:rPr>
        </w:r>
        <w:r w:rsidR="0012026B">
          <w:rPr>
            <w:noProof/>
            <w:webHidden/>
          </w:rPr>
          <w:fldChar w:fldCharType="separate"/>
        </w:r>
        <w:r w:rsidR="0012026B">
          <w:rPr>
            <w:noProof/>
            <w:webHidden/>
          </w:rPr>
          <w:t>167</w:t>
        </w:r>
        <w:r w:rsidR="0012026B">
          <w:rPr>
            <w:noProof/>
            <w:webHidden/>
          </w:rPr>
          <w:fldChar w:fldCharType="end"/>
        </w:r>
      </w:hyperlink>
    </w:p>
    <w:p w14:paraId="768A094E" w14:textId="6406D96C"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843" w:history="1">
        <w:r w:rsidR="0012026B" w:rsidRPr="009765CA">
          <w:rPr>
            <w:rStyle w:val="Hyperlink"/>
            <w:noProof/>
          </w:rPr>
          <w:t>7.3</w:t>
        </w:r>
        <w:r w:rsidR="0012026B">
          <w:rPr>
            <w:rFonts w:asciiTheme="minorHAnsi" w:eastAsiaTheme="minorEastAsia" w:hAnsiTheme="minorHAnsi"/>
            <w:noProof/>
            <w:sz w:val="22"/>
            <w:lang w:eastAsia="en-GB"/>
          </w:rPr>
          <w:tab/>
        </w:r>
        <w:r w:rsidR="0012026B" w:rsidRPr="009765CA">
          <w:rPr>
            <w:rStyle w:val="Hyperlink"/>
            <w:rFonts w:cs="Times New Roman"/>
            <w:noProof/>
          </w:rPr>
          <w:t>C</w:t>
        </w:r>
        <w:r w:rsidR="0012026B" w:rsidRPr="009765CA">
          <w:rPr>
            <w:rStyle w:val="Hyperlink"/>
            <w:noProof/>
          </w:rPr>
          <w:t>ase Studies</w:t>
        </w:r>
        <w:r w:rsidR="0012026B">
          <w:rPr>
            <w:noProof/>
            <w:webHidden/>
          </w:rPr>
          <w:tab/>
        </w:r>
        <w:r w:rsidR="0012026B">
          <w:rPr>
            <w:noProof/>
            <w:webHidden/>
          </w:rPr>
          <w:fldChar w:fldCharType="begin"/>
        </w:r>
        <w:r w:rsidR="0012026B">
          <w:rPr>
            <w:noProof/>
            <w:webHidden/>
          </w:rPr>
          <w:instrText xml:space="preserve"> PAGEREF _Toc468266843 \h </w:instrText>
        </w:r>
        <w:r w:rsidR="0012026B">
          <w:rPr>
            <w:noProof/>
            <w:webHidden/>
          </w:rPr>
        </w:r>
        <w:r w:rsidR="0012026B">
          <w:rPr>
            <w:noProof/>
            <w:webHidden/>
          </w:rPr>
          <w:fldChar w:fldCharType="separate"/>
        </w:r>
        <w:r w:rsidR="0012026B">
          <w:rPr>
            <w:noProof/>
            <w:webHidden/>
          </w:rPr>
          <w:t>169</w:t>
        </w:r>
        <w:r w:rsidR="0012026B">
          <w:rPr>
            <w:noProof/>
            <w:webHidden/>
          </w:rPr>
          <w:fldChar w:fldCharType="end"/>
        </w:r>
      </w:hyperlink>
    </w:p>
    <w:p w14:paraId="2893F76A" w14:textId="3431DC34"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844" w:history="1">
        <w:r w:rsidR="0012026B" w:rsidRPr="009765CA">
          <w:rPr>
            <w:rStyle w:val="Hyperlink"/>
            <w:noProof/>
          </w:rPr>
          <w:t>7.3.1</w:t>
        </w:r>
        <w:r w:rsidR="0012026B">
          <w:rPr>
            <w:rFonts w:asciiTheme="minorHAnsi" w:eastAsiaTheme="minorEastAsia" w:hAnsiTheme="minorHAnsi"/>
            <w:noProof/>
            <w:sz w:val="22"/>
            <w:lang w:eastAsia="en-GB"/>
          </w:rPr>
          <w:tab/>
        </w:r>
        <w:r w:rsidR="0012026B" w:rsidRPr="009765CA">
          <w:rPr>
            <w:rStyle w:val="Hyperlink"/>
            <w:noProof/>
          </w:rPr>
          <w:t>Temporal Analysis</w:t>
        </w:r>
        <w:r w:rsidR="0012026B">
          <w:rPr>
            <w:noProof/>
            <w:webHidden/>
          </w:rPr>
          <w:tab/>
        </w:r>
        <w:r w:rsidR="0012026B">
          <w:rPr>
            <w:noProof/>
            <w:webHidden/>
          </w:rPr>
          <w:fldChar w:fldCharType="begin"/>
        </w:r>
        <w:r w:rsidR="0012026B">
          <w:rPr>
            <w:noProof/>
            <w:webHidden/>
          </w:rPr>
          <w:instrText xml:space="preserve"> PAGEREF _Toc468266844 \h </w:instrText>
        </w:r>
        <w:r w:rsidR="0012026B">
          <w:rPr>
            <w:noProof/>
            <w:webHidden/>
          </w:rPr>
        </w:r>
        <w:r w:rsidR="0012026B">
          <w:rPr>
            <w:noProof/>
            <w:webHidden/>
          </w:rPr>
          <w:fldChar w:fldCharType="separate"/>
        </w:r>
        <w:r w:rsidR="0012026B">
          <w:rPr>
            <w:noProof/>
            <w:webHidden/>
          </w:rPr>
          <w:t>169</w:t>
        </w:r>
        <w:r w:rsidR="0012026B">
          <w:rPr>
            <w:noProof/>
            <w:webHidden/>
          </w:rPr>
          <w:fldChar w:fldCharType="end"/>
        </w:r>
      </w:hyperlink>
    </w:p>
    <w:p w14:paraId="4F875D92" w14:textId="5D957FFF"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845" w:history="1">
        <w:r w:rsidR="0012026B" w:rsidRPr="009765CA">
          <w:rPr>
            <w:rStyle w:val="Hyperlink"/>
            <w:noProof/>
          </w:rPr>
          <w:t>7.3.2</w:t>
        </w:r>
        <w:r w:rsidR="0012026B">
          <w:rPr>
            <w:rFonts w:asciiTheme="minorHAnsi" w:eastAsiaTheme="minorEastAsia" w:hAnsiTheme="minorHAnsi"/>
            <w:noProof/>
            <w:sz w:val="22"/>
            <w:lang w:eastAsia="en-GB"/>
          </w:rPr>
          <w:tab/>
        </w:r>
        <w:r w:rsidR="0012026B" w:rsidRPr="009765CA">
          <w:rPr>
            <w:rStyle w:val="Hyperlink"/>
            <w:noProof/>
          </w:rPr>
          <w:t xml:space="preserve">Geographic </w:t>
        </w:r>
        <w:r w:rsidR="0012026B" w:rsidRPr="009765CA">
          <w:rPr>
            <w:rStyle w:val="Hyperlink"/>
            <w:rFonts w:cs="Times New Roman"/>
            <w:noProof/>
          </w:rPr>
          <w:t>Analysis</w:t>
        </w:r>
        <w:r w:rsidR="0012026B">
          <w:rPr>
            <w:noProof/>
            <w:webHidden/>
          </w:rPr>
          <w:tab/>
        </w:r>
        <w:r w:rsidR="0012026B">
          <w:rPr>
            <w:noProof/>
            <w:webHidden/>
          </w:rPr>
          <w:fldChar w:fldCharType="begin"/>
        </w:r>
        <w:r w:rsidR="0012026B">
          <w:rPr>
            <w:noProof/>
            <w:webHidden/>
          </w:rPr>
          <w:instrText xml:space="preserve"> PAGEREF _Toc468266845 \h </w:instrText>
        </w:r>
        <w:r w:rsidR="0012026B">
          <w:rPr>
            <w:noProof/>
            <w:webHidden/>
          </w:rPr>
        </w:r>
        <w:r w:rsidR="0012026B">
          <w:rPr>
            <w:noProof/>
            <w:webHidden/>
          </w:rPr>
          <w:fldChar w:fldCharType="separate"/>
        </w:r>
        <w:r w:rsidR="0012026B">
          <w:rPr>
            <w:noProof/>
            <w:webHidden/>
          </w:rPr>
          <w:t>172</w:t>
        </w:r>
        <w:r w:rsidR="0012026B">
          <w:rPr>
            <w:noProof/>
            <w:webHidden/>
          </w:rPr>
          <w:fldChar w:fldCharType="end"/>
        </w:r>
      </w:hyperlink>
    </w:p>
    <w:p w14:paraId="171D8F7F" w14:textId="5082B592" w:rsidR="0012026B" w:rsidRDefault="00B32C9A">
      <w:pPr>
        <w:pStyle w:val="TOC4"/>
        <w:tabs>
          <w:tab w:val="left" w:pos="1540"/>
          <w:tab w:val="right" w:leader="dot" w:pos="9016"/>
        </w:tabs>
        <w:rPr>
          <w:rFonts w:asciiTheme="minorHAnsi" w:eastAsiaTheme="minorEastAsia" w:hAnsiTheme="minorHAnsi"/>
          <w:noProof/>
          <w:sz w:val="22"/>
          <w:lang w:eastAsia="en-GB"/>
        </w:rPr>
      </w:pPr>
      <w:hyperlink w:anchor="_Toc468266846" w:history="1">
        <w:r w:rsidR="0012026B" w:rsidRPr="009765CA">
          <w:rPr>
            <w:rStyle w:val="Hyperlink"/>
            <w:noProof/>
          </w:rPr>
          <w:t>7.3.3</w:t>
        </w:r>
        <w:r w:rsidR="0012026B">
          <w:rPr>
            <w:rFonts w:asciiTheme="minorHAnsi" w:eastAsiaTheme="minorEastAsia" w:hAnsiTheme="minorHAnsi"/>
            <w:noProof/>
            <w:sz w:val="22"/>
            <w:lang w:eastAsia="en-GB"/>
          </w:rPr>
          <w:tab/>
        </w:r>
        <w:r w:rsidR="0012026B" w:rsidRPr="009765CA">
          <w:rPr>
            <w:rStyle w:val="Hyperlink"/>
            <w:noProof/>
          </w:rPr>
          <w:t>Source Analysis</w:t>
        </w:r>
        <w:r w:rsidR="0012026B">
          <w:rPr>
            <w:noProof/>
            <w:webHidden/>
          </w:rPr>
          <w:tab/>
        </w:r>
        <w:r w:rsidR="0012026B">
          <w:rPr>
            <w:noProof/>
            <w:webHidden/>
          </w:rPr>
          <w:fldChar w:fldCharType="begin"/>
        </w:r>
        <w:r w:rsidR="0012026B">
          <w:rPr>
            <w:noProof/>
            <w:webHidden/>
          </w:rPr>
          <w:instrText xml:space="preserve"> PAGEREF _Toc468266846 \h </w:instrText>
        </w:r>
        <w:r w:rsidR="0012026B">
          <w:rPr>
            <w:noProof/>
            <w:webHidden/>
          </w:rPr>
        </w:r>
        <w:r w:rsidR="0012026B">
          <w:rPr>
            <w:noProof/>
            <w:webHidden/>
          </w:rPr>
          <w:fldChar w:fldCharType="separate"/>
        </w:r>
        <w:r w:rsidR="0012026B">
          <w:rPr>
            <w:noProof/>
            <w:webHidden/>
          </w:rPr>
          <w:t>174</w:t>
        </w:r>
        <w:r w:rsidR="0012026B">
          <w:rPr>
            <w:noProof/>
            <w:webHidden/>
          </w:rPr>
          <w:fldChar w:fldCharType="end"/>
        </w:r>
      </w:hyperlink>
    </w:p>
    <w:p w14:paraId="6416AC5D" w14:textId="0BB7F02B" w:rsidR="0012026B" w:rsidRDefault="00B32C9A">
      <w:pPr>
        <w:pStyle w:val="TOC1"/>
        <w:tabs>
          <w:tab w:val="right" w:leader="dot" w:pos="9016"/>
        </w:tabs>
        <w:rPr>
          <w:rFonts w:asciiTheme="minorHAnsi" w:eastAsiaTheme="minorEastAsia" w:hAnsiTheme="minorHAnsi"/>
          <w:noProof/>
          <w:sz w:val="22"/>
          <w:lang w:eastAsia="en-GB"/>
        </w:rPr>
      </w:pPr>
      <w:hyperlink w:anchor="_Toc468266847" w:history="1">
        <w:r w:rsidR="0012026B" w:rsidRPr="009765CA">
          <w:rPr>
            <w:rStyle w:val="Hyperlink"/>
            <w:rFonts w:cs="Times New Roman"/>
            <w:noProof/>
          </w:rPr>
          <w:t>Chapter 8: Case Studies</w:t>
        </w:r>
        <w:r w:rsidR="0012026B">
          <w:rPr>
            <w:noProof/>
            <w:webHidden/>
          </w:rPr>
          <w:tab/>
        </w:r>
        <w:r w:rsidR="0012026B">
          <w:rPr>
            <w:noProof/>
            <w:webHidden/>
          </w:rPr>
          <w:fldChar w:fldCharType="begin"/>
        </w:r>
        <w:r w:rsidR="0012026B">
          <w:rPr>
            <w:noProof/>
            <w:webHidden/>
          </w:rPr>
          <w:instrText xml:space="preserve"> PAGEREF _Toc468266847 \h </w:instrText>
        </w:r>
        <w:r w:rsidR="0012026B">
          <w:rPr>
            <w:noProof/>
            <w:webHidden/>
          </w:rPr>
        </w:r>
        <w:r w:rsidR="0012026B">
          <w:rPr>
            <w:noProof/>
            <w:webHidden/>
          </w:rPr>
          <w:fldChar w:fldCharType="separate"/>
        </w:r>
        <w:r w:rsidR="0012026B">
          <w:rPr>
            <w:noProof/>
            <w:webHidden/>
          </w:rPr>
          <w:t>176</w:t>
        </w:r>
        <w:r w:rsidR="0012026B">
          <w:rPr>
            <w:noProof/>
            <w:webHidden/>
          </w:rPr>
          <w:fldChar w:fldCharType="end"/>
        </w:r>
      </w:hyperlink>
    </w:p>
    <w:p w14:paraId="54DF5296" w14:textId="656871A7"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848" w:history="1">
        <w:r w:rsidR="0012026B" w:rsidRPr="009765CA">
          <w:rPr>
            <w:rStyle w:val="Hyperlink"/>
            <w:noProof/>
          </w:rPr>
          <w:t>8.1</w:t>
        </w:r>
        <w:r w:rsidR="0012026B">
          <w:rPr>
            <w:rFonts w:asciiTheme="minorHAnsi" w:eastAsiaTheme="minorEastAsia" w:hAnsiTheme="minorHAnsi"/>
            <w:noProof/>
            <w:sz w:val="22"/>
            <w:lang w:eastAsia="en-GB"/>
          </w:rPr>
          <w:tab/>
        </w:r>
        <w:r w:rsidR="0012026B" w:rsidRPr="009765CA">
          <w:rPr>
            <w:rStyle w:val="Hyperlink"/>
            <w:noProof/>
          </w:rPr>
          <w:t>Geomorphology</w:t>
        </w:r>
        <w:r w:rsidR="0012026B">
          <w:rPr>
            <w:noProof/>
            <w:webHidden/>
          </w:rPr>
          <w:tab/>
        </w:r>
        <w:r w:rsidR="0012026B">
          <w:rPr>
            <w:noProof/>
            <w:webHidden/>
          </w:rPr>
          <w:fldChar w:fldCharType="begin"/>
        </w:r>
        <w:r w:rsidR="0012026B">
          <w:rPr>
            <w:noProof/>
            <w:webHidden/>
          </w:rPr>
          <w:instrText xml:space="preserve"> PAGEREF _Toc468266848 \h </w:instrText>
        </w:r>
        <w:r w:rsidR="0012026B">
          <w:rPr>
            <w:noProof/>
            <w:webHidden/>
          </w:rPr>
        </w:r>
        <w:r w:rsidR="0012026B">
          <w:rPr>
            <w:noProof/>
            <w:webHidden/>
          </w:rPr>
          <w:fldChar w:fldCharType="separate"/>
        </w:r>
        <w:r w:rsidR="0012026B">
          <w:rPr>
            <w:noProof/>
            <w:webHidden/>
          </w:rPr>
          <w:t>176</w:t>
        </w:r>
        <w:r w:rsidR="0012026B">
          <w:rPr>
            <w:noProof/>
            <w:webHidden/>
          </w:rPr>
          <w:fldChar w:fldCharType="end"/>
        </w:r>
      </w:hyperlink>
    </w:p>
    <w:p w14:paraId="1670266D" w14:textId="590A4BF0"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849" w:history="1">
        <w:r w:rsidR="0012026B" w:rsidRPr="009765CA">
          <w:rPr>
            <w:rStyle w:val="Hyperlink"/>
            <w:rFonts w:cs="Times New Roman"/>
            <w:noProof/>
          </w:rPr>
          <w:t>8.2</w:t>
        </w:r>
        <w:r w:rsidR="0012026B">
          <w:rPr>
            <w:rFonts w:asciiTheme="minorHAnsi" w:eastAsiaTheme="minorEastAsia" w:hAnsiTheme="minorHAnsi"/>
            <w:noProof/>
            <w:sz w:val="22"/>
            <w:lang w:eastAsia="en-GB"/>
          </w:rPr>
          <w:tab/>
        </w:r>
        <w:r w:rsidR="0012026B" w:rsidRPr="009765CA">
          <w:rPr>
            <w:rStyle w:val="Hyperlink"/>
            <w:rFonts w:cs="Times New Roman"/>
            <w:noProof/>
          </w:rPr>
          <w:t>Comparative</w:t>
        </w:r>
        <w:r w:rsidR="0012026B" w:rsidRPr="009765CA">
          <w:rPr>
            <w:rStyle w:val="Hyperlink"/>
            <w:noProof/>
          </w:rPr>
          <w:t xml:space="preserve"> Case Studies</w:t>
        </w:r>
        <w:r w:rsidR="0012026B">
          <w:rPr>
            <w:noProof/>
            <w:webHidden/>
          </w:rPr>
          <w:tab/>
        </w:r>
        <w:r w:rsidR="0012026B">
          <w:rPr>
            <w:noProof/>
            <w:webHidden/>
          </w:rPr>
          <w:fldChar w:fldCharType="begin"/>
        </w:r>
        <w:r w:rsidR="0012026B">
          <w:rPr>
            <w:noProof/>
            <w:webHidden/>
          </w:rPr>
          <w:instrText xml:space="preserve"> PAGEREF _Toc468266849 \h </w:instrText>
        </w:r>
        <w:r w:rsidR="0012026B">
          <w:rPr>
            <w:noProof/>
            <w:webHidden/>
          </w:rPr>
        </w:r>
        <w:r w:rsidR="0012026B">
          <w:rPr>
            <w:noProof/>
            <w:webHidden/>
          </w:rPr>
          <w:fldChar w:fldCharType="separate"/>
        </w:r>
        <w:r w:rsidR="0012026B">
          <w:rPr>
            <w:noProof/>
            <w:webHidden/>
          </w:rPr>
          <w:t>178</w:t>
        </w:r>
        <w:r w:rsidR="0012026B">
          <w:rPr>
            <w:noProof/>
            <w:webHidden/>
          </w:rPr>
          <w:fldChar w:fldCharType="end"/>
        </w:r>
      </w:hyperlink>
    </w:p>
    <w:p w14:paraId="677EE695" w14:textId="0A3CB2E6" w:rsidR="0012026B" w:rsidRDefault="00B32C9A">
      <w:pPr>
        <w:pStyle w:val="TOC2"/>
        <w:tabs>
          <w:tab w:val="left" w:pos="1100"/>
          <w:tab w:val="right" w:leader="dot" w:pos="9016"/>
        </w:tabs>
        <w:rPr>
          <w:rFonts w:asciiTheme="minorHAnsi" w:eastAsiaTheme="minorEastAsia" w:hAnsiTheme="minorHAnsi"/>
          <w:noProof/>
          <w:sz w:val="22"/>
          <w:lang w:eastAsia="en-GB"/>
        </w:rPr>
      </w:pPr>
      <w:hyperlink w:anchor="_Toc468266850" w:history="1">
        <w:r w:rsidR="0012026B" w:rsidRPr="009765CA">
          <w:rPr>
            <w:rStyle w:val="Hyperlink"/>
            <w:noProof/>
          </w:rPr>
          <w:t>8.2.1</w:t>
        </w:r>
        <w:r w:rsidR="0012026B">
          <w:rPr>
            <w:rFonts w:asciiTheme="minorHAnsi" w:eastAsiaTheme="minorEastAsia" w:hAnsiTheme="minorHAnsi"/>
            <w:noProof/>
            <w:sz w:val="22"/>
            <w:lang w:eastAsia="en-GB"/>
          </w:rPr>
          <w:tab/>
        </w:r>
        <w:r w:rsidR="0012026B" w:rsidRPr="009765CA">
          <w:rPr>
            <w:rStyle w:val="Hyperlink"/>
            <w:noProof/>
          </w:rPr>
          <w:t>York and its environs</w:t>
        </w:r>
        <w:r w:rsidR="0012026B">
          <w:rPr>
            <w:noProof/>
            <w:webHidden/>
          </w:rPr>
          <w:tab/>
        </w:r>
        <w:r w:rsidR="0012026B">
          <w:rPr>
            <w:noProof/>
            <w:webHidden/>
          </w:rPr>
          <w:fldChar w:fldCharType="begin"/>
        </w:r>
        <w:r w:rsidR="0012026B">
          <w:rPr>
            <w:noProof/>
            <w:webHidden/>
          </w:rPr>
          <w:instrText xml:space="preserve"> PAGEREF _Toc468266850 \h </w:instrText>
        </w:r>
        <w:r w:rsidR="0012026B">
          <w:rPr>
            <w:noProof/>
            <w:webHidden/>
          </w:rPr>
        </w:r>
        <w:r w:rsidR="0012026B">
          <w:rPr>
            <w:noProof/>
            <w:webHidden/>
          </w:rPr>
          <w:fldChar w:fldCharType="separate"/>
        </w:r>
        <w:r w:rsidR="0012026B">
          <w:rPr>
            <w:noProof/>
            <w:webHidden/>
          </w:rPr>
          <w:t>180</w:t>
        </w:r>
        <w:r w:rsidR="0012026B">
          <w:rPr>
            <w:noProof/>
            <w:webHidden/>
          </w:rPr>
          <w:fldChar w:fldCharType="end"/>
        </w:r>
      </w:hyperlink>
    </w:p>
    <w:p w14:paraId="0A60CACF" w14:textId="511BF8D4"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51" w:history="1">
        <w:r w:rsidR="0012026B" w:rsidRPr="009765CA">
          <w:rPr>
            <w:rStyle w:val="Hyperlink"/>
            <w:noProof/>
          </w:rPr>
          <w:t>8.2.1.1</w:t>
        </w:r>
        <w:r w:rsidR="0012026B">
          <w:rPr>
            <w:rFonts w:asciiTheme="minorHAnsi" w:eastAsiaTheme="minorEastAsia" w:hAnsiTheme="minorHAnsi"/>
            <w:noProof/>
            <w:sz w:val="22"/>
            <w:lang w:eastAsia="en-GB"/>
          </w:rPr>
          <w:tab/>
        </w:r>
        <w:r w:rsidR="0012026B" w:rsidRPr="009765CA">
          <w:rPr>
            <w:rStyle w:val="Hyperlink"/>
            <w:noProof/>
          </w:rPr>
          <w:t>Archaeology: The Anglian Period</w:t>
        </w:r>
        <w:r w:rsidR="0012026B">
          <w:rPr>
            <w:noProof/>
            <w:webHidden/>
          </w:rPr>
          <w:tab/>
        </w:r>
        <w:r w:rsidR="0012026B">
          <w:rPr>
            <w:noProof/>
            <w:webHidden/>
          </w:rPr>
          <w:fldChar w:fldCharType="begin"/>
        </w:r>
        <w:r w:rsidR="0012026B">
          <w:rPr>
            <w:noProof/>
            <w:webHidden/>
          </w:rPr>
          <w:instrText xml:space="preserve"> PAGEREF _Toc468266851 \h </w:instrText>
        </w:r>
        <w:r w:rsidR="0012026B">
          <w:rPr>
            <w:noProof/>
            <w:webHidden/>
          </w:rPr>
        </w:r>
        <w:r w:rsidR="0012026B">
          <w:rPr>
            <w:noProof/>
            <w:webHidden/>
          </w:rPr>
          <w:fldChar w:fldCharType="separate"/>
        </w:r>
        <w:r w:rsidR="0012026B">
          <w:rPr>
            <w:noProof/>
            <w:webHidden/>
          </w:rPr>
          <w:t>180</w:t>
        </w:r>
        <w:r w:rsidR="0012026B">
          <w:rPr>
            <w:noProof/>
            <w:webHidden/>
          </w:rPr>
          <w:fldChar w:fldCharType="end"/>
        </w:r>
      </w:hyperlink>
    </w:p>
    <w:p w14:paraId="3E511129" w14:textId="6EAB02C7" w:rsidR="0012026B" w:rsidRDefault="00B32C9A">
      <w:pPr>
        <w:pStyle w:val="TOC4"/>
        <w:tabs>
          <w:tab w:val="right" w:leader="dot" w:pos="9016"/>
        </w:tabs>
        <w:rPr>
          <w:rFonts w:asciiTheme="minorHAnsi" w:eastAsiaTheme="minorEastAsia" w:hAnsiTheme="minorHAnsi"/>
          <w:noProof/>
          <w:sz w:val="22"/>
          <w:lang w:eastAsia="en-GB"/>
        </w:rPr>
      </w:pPr>
      <w:hyperlink w:anchor="_Toc468266852" w:history="1">
        <w:r w:rsidR="0012026B" w:rsidRPr="009765CA">
          <w:rPr>
            <w:rStyle w:val="Hyperlink"/>
            <w:noProof/>
          </w:rPr>
          <w:t>York Minster</w:t>
        </w:r>
        <w:r w:rsidR="0012026B">
          <w:rPr>
            <w:noProof/>
            <w:webHidden/>
          </w:rPr>
          <w:tab/>
        </w:r>
        <w:r w:rsidR="0012026B">
          <w:rPr>
            <w:noProof/>
            <w:webHidden/>
          </w:rPr>
          <w:fldChar w:fldCharType="begin"/>
        </w:r>
        <w:r w:rsidR="0012026B">
          <w:rPr>
            <w:noProof/>
            <w:webHidden/>
          </w:rPr>
          <w:instrText xml:space="preserve"> PAGEREF _Toc468266852 \h </w:instrText>
        </w:r>
        <w:r w:rsidR="0012026B">
          <w:rPr>
            <w:noProof/>
            <w:webHidden/>
          </w:rPr>
        </w:r>
        <w:r w:rsidR="0012026B">
          <w:rPr>
            <w:noProof/>
            <w:webHidden/>
          </w:rPr>
          <w:fldChar w:fldCharType="separate"/>
        </w:r>
        <w:r w:rsidR="0012026B">
          <w:rPr>
            <w:noProof/>
            <w:webHidden/>
          </w:rPr>
          <w:t>181</w:t>
        </w:r>
        <w:r w:rsidR="0012026B">
          <w:rPr>
            <w:noProof/>
            <w:webHidden/>
          </w:rPr>
          <w:fldChar w:fldCharType="end"/>
        </w:r>
      </w:hyperlink>
    </w:p>
    <w:p w14:paraId="470C20F2" w14:textId="71B63B5B" w:rsidR="0012026B" w:rsidRDefault="00B32C9A">
      <w:pPr>
        <w:pStyle w:val="TOC4"/>
        <w:tabs>
          <w:tab w:val="right" w:leader="dot" w:pos="9016"/>
        </w:tabs>
        <w:rPr>
          <w:rFonts w:asciiTheme="minorHAnsi" w:eastAsiaTheme="minorEastAsia" w:hAnsiTheme="minorHAnsi"/>
          <w:noProof/>
          <w:sz w:val="22"/>
          <w:lang w:eastAsia="en-GB"/>
        </w:rPr>
      </w:pPr>
      <w:hyperlink w:anchor="_Toc468266853" w:history="1">
        <w:r w:rsidR="0012026B" w:rsidRPr="009765CA">
          <w:rPr>
            <w:rStyle w:val="Hyperlink"/>
            <w:noProof/>
          </w:rPr>
          <w:t>The Anglian Settlement at Fishergate</w:t>
        </w:r>
        <w:r w:rsidR="0012026B">
          <w:rPr>
            <w:noProof/>
            <w:webHidden/>
          </w:rPr>
          <w:tab/>
        </w:r>
        <w:r w:rsidR="0012026B">
          <w:rPr>
            <w:noProof/>
            <w:webHidden/>
          </w:rPr>
          <w:fldChar w:fldCharType="begin"/>
        </w:r>
        <w:r w:rsidR="0012026B">
          <w:rPr>
            <w:noProof/>
            <w:webHidden/>
          </w:rPr>
          <w:instrText xml:space="preserve"> PAGEREF _Toc468266853 \h </w:instrText>
        </w:r>
        <w:r w:rsidR="0012026B">
          <w:rPr>
            <w:noProof/>
            <w:webHidden/>
          </w:rPr>
        </w:r>
        <w:r w:rsidR="0012026B">
          <w:rPr>
            <w:noProof/>
            <w:webHidden/>
          </w:rPr>
          <w:fldChar w:fldCharType="separate"/>
        </w:r>
        <w:r w:rsidR="0012026B">
          <w:rPr>
            <w:noProof/>
            <w:webHidden/>
          </w:rPr>
          <w:t>186</w:t>
        </w:r>
        <w:r w:rsidR="0012026B">
          <w:rPr>
            <w:noProof/>
            <w:webHidden/>
          </w:rPr>
          <w:fldChar w:fldCharType="end"/>
        </w:r>
      </w:hyperlink>
    </w:p>
    <w:p w14:paraId="3758AF98" w14:textId="1E4C55DE" w:rsidR="0012026B" w:rsidRDefault="00B32C9A">
      <w:pPr>
        <w:pStyle w:val="TOC4"/>
        <w:tabs>
          <w:tab w:val="right" w:leader="dot" w:pos="9016"/>
        </w:tabs>
        <w:rPr>
          <w:rFonts w:asciiTheme="minorHAnsi" w:eastAsiaTheme="minorEastAsia" w:hAnsiTheme="minorHAnsi"/>
          <w:noProof/>
          <w:sz w:val="22"/>
          <w:lang w:eastAsia="en-GB"/>
        </w:rPr>
      </w:pPr>
      <w:hyperlink w:anchor="_Toc468266854" w:history="1">
        <w:r w:rsidR="0012026B" w:rsidRPr="009765CA">
          <w:rPr>
            <w:rStyle w:val="Hyperlink"/>
            <w:noProof/>
          </w:rPr>
          <w:t xml:space="preserve">Dixon Lane and George Street </w:t>
        </w:r>
        <w:r w:rsidR="0012026B">
          <w:rPr>
            <w:noProof/>
            <w:webHidden/>
          </w:rPr>
          <w:tab/>
        </w:r>
        <w:r w:rsidR="0012026B">
          <w:rPr>
            <w:noProof/>
            <w:webHidden/>
          </w:rPr>
          <w:fldChar w:fldCharType="begin"/>
        </w:r>
        <w:r w:rsidR="0012026B">
          <w:rPr>
            <w:noProof/>
            <w:webHidden/>
          </w:rPr>
          <w:instrText xml:space="preserve"> PAGEREF _Toc468266854 \h </w:instrText>
        </w:r>
        <w:r w:rsidR="0012026B">
          <w:rPr>
            <w:noProof/>
            <w:webHidden/>
          </w:rPr>
        </w:r>
        <w:r w:rsidR="0012026B">
          <w:rPr>
            <w:noProof/>
            <w:webHidden/>
          </w:rPr>
          <w:fldChar w:fldCharType="separate"/>
        </w:r>
        <w:r w:rsidR="0012026B">
          <w:rPr>
            <w:noProof/>
            <w:webHidden/>
          </w:rPr>
          <w:t>189</w:t>
        </w:r>
        <w:r w:rsidR="0012026B">
          <w:rPr>
            <w:noProof/>
            <w:webHidden/>
          </w:rPr>
          <w:fldChar w:fldCharType="end"/>
        </w:r>
      </w:hyperlink>
    </w:p>
    <w:p w14:paraId="60551F3A" w14:textId="68388BAF"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55" w:history="1">
        <w:r w:rsidR="0012026B" w:rsidRPr="009765CA">
          <w:rPr>
            <w:rStyle w:val="Hyperlink"/>
            <w:noProof/>
          </w:rPr>
          <w:t>8.2.1.2</w:t>
        </w:r>
        <w:r w:rsidR="0012026B">
          <w:rPr>
            <w:rFonts w:asciiTheme="minorHAnsi" w:eastAsiaTheme="minorEastAsia" w:hAnsiTheme="minorHAnsi"/>
            <w:noProof/>
            <w:sz w:val="22"/>
            <w:lang w:eastAsia="en-GB"/>
          </w:rPr>
          <w:tab/>
        </w:r>
        <w:r w:rsidR="0012026B" w:rsidRPr="009765CA">
          <w:rPr>
            <w:rStyle w:val="Hyperlink"/>
            <w:noProof/>
          </w:rPr>
          <w:t>Coinage</w:t>
        </w:r>
        <w:r w:rsidR="0012026B">
          <w:rPr>
            <w:noProof/>
            <w:webHidden/>
          </w:rPr>
          <w:tab/>
        </w:r>
        <w:r w:rsidR="0012026B">
          <w:rPr>
            <w:noProof/>
            <w:webHidden/>
          </w:rPr>
          <w:fldChar w:fldCharType="begin"/>
        </w:r>
        <w:r w:rsidR="0012026B">
          <w:rPr>
            <w:noProof/>
            <w:webHidden/>
          </w:rPr>
          <w:instrText xml:space="preserve"> PAGEREF _Toc468266855 \h </w:instrText>
        </w:r>
        <w:r w:rsidR="0012026B">
          <w:rPr>
            <w:noProof/>
            <w:webHidden/>
          </w:rPr>
        </w:r>
        <w:r w:rsidR="0012026B">
          <w:rPr>
            <w:noProof/>
            <w:webHidden/>
          </w:rPr>
          <w:fldChar w:fldCharType="separate"/>
        </w:r>
        <w:r w:rsidR="0012026B">
          <w:rPr>
            <w:noProof/>
            <w:webHidden/>
          </w:rPr>
          <w:t>193</w:t>
        </w:r>
        <w:r w:rsidR="0012026B">
          <w:rPr>
            <w:noProof/>
            <w:webHidden/>
          </w:rPr>
          <w:fldChar w:fldCharType="end"/>
        </w:r>
      </w:hyperlink>
    </w:p>
    <w:p w14:paraId="3C9BD913" w14:textId="331E104D" w:rsidR="0012026B" w:rsidRDefault="00B32C9A">
      <w:pPr>
        <w:pStyle w:val="TOC4"/>
        <w:tabs>
          <w:tab w:val="right" w:leader="dot" w:pos="9016"/>
        </w:tabs>
        <w:rPr>
          <w:rFonts w:asciiTheme="minorHAnsi" w:eastAsiaTheme="minorEastAsia" w:hAnsiTheme="minorHAnsi"/>
          <w:noProof/>
          <w:sz w:val="22"/>
          <w:lang w:eastAsia="en-GB"/>
        </w:rPr>
      </w:pPr>
      <w:hyperlink w:anchor="_Toc468266856" w:history="1">
        <w:r w:rsidR="0012026B" w:rsidRPr="009765CA">
          <w:rPr>
            <w:rStyle w:val="Hyperlink"/>
            <w:noProof/>
          </w:rPr>
          <w:t>York Minster</w:t>
        </w:r>
        <w:r w:rsidR="0012026B">
          <w:rPr>
            <w:noProof/>
            <w:webHidden/>
          </w:rPr>
          <w:tab/>
        </w:r>
        <w:r w:rsidR="0012026B">
          <w:rPr>
            <w:noProof/>
            <w:webHidden/>
          </w:rPr>
          <w:fldChar w:fldCharType="begin"/>
        </w:r>
        <w:r w:rsidR="0012026B">
          <w:rPr>
            <w:noProof/>
            <w:webHidden/>
          </w:rPr>
          <w:instrText xml:space="preserve"> PAGEREF _Toc468266856 \h </w:instrText>
        </w:r>
        <w:r w:rsidR="0012026B">
          <w:rPr>
            <w:noProof/>
            <w:webHidden/>
          </w:rPr>
        </w:r>
        <w:r w:rsidR="0012026B">
          <w:rPr>
            <w:noProof/>
            <w:webHidden/>
          </w:rPr>
          <w:fldChar w:fldCharType="separate"/>
        </w:r>
        <w:r w:rsidR="0012026B">
          <w:rPr>
            <w:noProof/>
            <w:webHidden/>
          </w:rPr>
          <w:t>193</w:t>
        </w:r>
        <w:r w:rsidR="0012026B">
          <w:rPr>
            <w:noProof/>
            <w:webHidden/>
          </w:rPr>
          <w:fldChar w:fldCharType="end"/>
        </w:r>
      </w:hyperlink>
    </w:p>
    <w:p w14:paraId="41E3820C" w14:textId="51E9E8A4" w:rsidR="0012026B" w:rsidRDefault="00B32C9A">
      <w:pPr>
        <w:pStyle w:val="TOC4"/>
        <w:tabs>
          <w:tab w:val="right" w:leader="dot" w:pos="9016"/>
        </w:tabs>
        <w:rPr>
          <w:rFonts w:asciiTheme="minorHAnsi" w:eastAsiaTheme="minorEastAsia" w:hAnsiTheme="minorHAnsi"/>
          <w:noProof/>
          <w:sz w:val="22"/>
          <w:lang w:eastAsia="en-GB"/>
        </w:rPr>
      </w:pPr>
      <w:hyperlink w:anchor="_Toc468266857" w:history="1">
        <w:r w:rsidR="0012026B" w:rsidRPr="009765CA">
          <w:rPr>
            <w:rStyle w:val="Hyperlink"/>
            <w:noProof/>
          </w:rPr>
          <w:t>Fishergate</w:t>
        </w:r>
        <w:r w:rsidR="0012026B">
          <w:rPr>
            <w:noProof/>
            <w:webHidden/>
          </w:rPr>
          <w:tab/>
        </w:r>
        <w:r w:rsidR="0012026B">
          <w:rPr>
            <w:noProof/>
            <w:webHidden/>
          </w:rPr>
          <w:fldChar w:fldCharType="begin"/>
        </w:r>
        <w:r w:rsidR="0012026B">
          <w:rPr>
            <w:noProof/>
            <w:webHidden/>
          </w:rPr>
          <w:instrText xml:space="preserve"> PAGEREF _Toc468266857 \h </w:instrText>
        </w:r>
        <w:r w:rsidR="0012026B">
          <w:rPr>
            <w:noProof/>
            <w:webHidden/>
          </w:rPr>
        </w:r>
        <w:r w:rsidR="0012026B">
          <w:rPr>
            <w:noProof/>
            <w:webHidden/>
          </w:rPr>
          <w:fldChar w:fldCharType="separate"/>
        </w:r>
        <w:r w:rsidR="0012026B">
          <w:rPr>
            <w:noProof/>
            <w:webHidden/>
          </w:rPr>
          <w:t>194</w:t>
        </w:r>
        <w:r w:rsidR="0012026B">
          <w:rPr>
            <w:noProof/>
            <w:webHidden/>
          </w:rPr>
          <w:fldChar w:fldCharType="end"/>
        </w:r>
      </w:hyperlink>
    </w:p>
    <w:p w14:paraId="5000DF86" w14:textId="4A7A73A5" w:rsidR="0012026B" w:rsidRDefault="00B32C9A">
      <w:pPr>
        <w:pStyle w:val="TOC4"/>
        <w:tabs>
          <w:tab w:val="right" w:leader="dot" w:pos="9016"/>
        </w:tabs>
        <w:rPr>
          <w:rFonts w:asciiTheme="minorHAnsi" w:eastAsiaTheme="minorEastAsia" w:hAnsiTheme="minorHAnsi"/>
          <w:noProof/>
          <w:sz w:val="22"/>
          <w:lang w:eastAsia="en-GB"/>
        </w:rPr>
      </w:pPr>
      <w:hyperlink w:anchor="_Toc468266858" w:history="1">
        <w:r w:rsidR="0012026B" w:rsidRPr="009765CA">
          <w:rPr>
            <w:rStyle w:val="Hyperlink"/>
            <w:noProof/>
          </w:rPr>
          <w:t>Inner York</w:t>
        </w:r>
        <w:r w:rsidR="0012026B">
          <w:rPr>
            <w:noProof/>
            <w:webHidden/>
          </w:rPr>
          <w:tab/>
        </w:r>
        <w:r w:rsidR="0012026B">
          <w:rPr>
            <w:noProof/>
            <w:webHidden/>
          </w:rPr>
          <w:fldChar w:fldCharType="begin"/>
        </w:r>
        <w:r w:rsidR="0012026B">
          <w:rPr>
            <w:noProof/>
            <w:webHidden/>
          </w:rPr>
          <w:instrText xml:space="preserve"> PAGEREF _Toc468266858 \h </w:instrText>
        </w:r>
        <w:r w:rsidR="0012026B">
          <w:rPr>
            <w:noProof/>
            <w:webHidden/>
          </w:rPr>
        </w:r>
        <w:r w:rsidR="0012026B">
          <w:rPr>
            <w:noProof/>
            <w:webHidden/>
          </w:rPr>
          <w:fldChar w:fldCharType="separate"/>
        </w:r>
        <w:r w:rsidR="0012026B">
          <w:rPr>
            <w:noProof/>
            <w:webHidden/>
          </w:rPr>
          <w:t>204</w:t>
        </w:r>
        <w:r w:rsidR="0012026B">
          <w:rPr>
            <w:noProof/>
            <w:webHidden/>
          </w:rPr>
          <w:fldChar w:fldCharType="end"/>
        </w:r>
      </w:hyperlink>
    </w:p>
    <w:p w14:paraId="4C8BF75D" w14:textId="6AE53DF5" w:rsidR="0012026B" w:rsidRDefault="00B32C9A">
      <w:pPr>
        <w:pStyle w:val="TOC4"/>
        <w:tabs>
          <w:tab w:val="right" w:leader="dot" w:pos="9016"/>
        </w:tabs>
        <w:rPr>
          <w:rFonts w:asciiTheme="minorHAnsi" w:eastAsiaTheme="minorEastAsia" w:hAnsiTheme="minorHAnsi"/>
          <w:noProof/>
          <w:sz w:val="22"/>
          <w:lang w:eastAsia="en-GB"/>
        </w:rPr>
      </w:pPr>
      <w:hyperlink w:anchor="_Toc468266859" w:history="1">
        <w:r w:rsidR="0012026B" w:rsidRPr="009765CA">
          <w:rPr>
            <w:rStyle w:val="Hyperlink"/>
            <w:noProof/>
          </w:rPr>
          <w:t>Outer York</w:t>
        </w:r>
        <w:r w:rsidR="0012026B">
          <w:rPr>
            <w:noProof/>
            <w:webHidden/>
          </w:rPr>
          <w:tab/>
        </w:r>
        <w:r w:rsidR="0012026B">
          <w:rPr>
            <w:noProof/>
            <w:webHidden/>
          </w:rPr>
          <w:fldChar w:fldCharType="begin"/>
        </w:r>
        <w:r w:rsidR="0012026B">
          <w:rPr>
            <w:noProof/>
            <w:webHidden/>
          </w:rPr>
          <w:instrText xml:space="preserve"> PAGEREF _Toc468266859 \h </w:instrText>
        </w:r>
        <w:r w:rsidR="0012026B">
          <w:rPr>
            <w:noProof/>
            <w:webHidden/>
          </w:rPr>
        </w:r>
        <w:r w:rsidR="0012026B">
          <w:rPr>
            <w:noProof/>
            <w:webHidden/>
          </w:rPr>
          <w:fldChar w:fldCharType="separate"/>
        </w:r>
        <w:r w:rsidR="0012026B">
          <w:rPr>
            <w:noProof/>
            <w:webHidden/>
          </w:rPr>
          <w:t>206</w:t>
        </w:r>
        <w:r w:rsidR="0012026B">
          <w:rPr>
            <w:noProof/>
            <w:webHidden/>
          </w:rPr>
          <w:fldChar w:fldCharType="end"/>
        </w:r>
      </w:hyperlink>
    </w:p>
    <w:p w14:paraId="309D82E7" w14:textId="56B12569"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60" w:history="1">
        <w:r w:rsidR="0012026B" w:rsidRPr="009765CA">
          <w:rPr>
            <w:rStyle w:val="Hyperlink"/>
            <w:noProof/>
          </w:rPr>
          <w:t>8.2.1.3</w:t>
        </w:r>
        <w:r w:rsidR="0012026B">
          <w:rPr>
            <w:rFonts w:asciiTheme="minorHAnsi" w:eastAsiaTheme="minorEastAsia" w:hAnsiTheme="minorHAnsi"/>
            <w:noProof/>
            <w:sz w:val="22"/>
            <w:lang w:eastAsia="en-GB"/>
          </w:rPr>
          <w:tab/>
        </w:r>
        <w:r w:rsidR="0012026B" w:rsidRPr="009765CA">
          <w:rPr>
            <w:rStyle w:val="Hyperlink"/>
            <w:noProof/>
          </w:rPr>
          <w:t>Artefact Dataset</w:t>
        </w:r>
        <w:r w:rsidR="0012026B">
          <w:rPr>
            <w:noProof/>
            <w:webHidden/>
          </w:rPr>
          <w:tab/>
        </w:r>
        <w:r w:rsidR="0012026B">
          <w:rPr>
            <w:noProof/>
            <w:webHidden/>
          </w:rPr>
          <w:fldChar w:fldCharType="begin"/>
        </w:r>
        <w:r w:rsidR="0012026B">
          <w:rPr>
            <w:noProof/>
            <w:webHidden/>
          </w:rPr>
          <w:instrText xml:space="preserve"> PAGEREF _Toc468266860 \h </w:instrText>
        </w:r>
        <w:r w:rsidR="0012026B">
          <w:rPr>
            <w:noProof/>
            <w:webHidden/>
          </w:rPr>
        </w:r>
        <w:r w:rsidR="0012026B">
          <w:rPr>
            <w:noProof/>
            <w:webHidden/>
          </w:rPr>
          <w:fldChar w:fldCharType="separate"/>
        </w:r>
        <w:r w:rsidR="0012026B">
          <w:rPr>
            <w:noProof/>
            <w:webHidden/>
          </w:rPr>
          <w:t>207</w:t>
        </w:r>
        <w:r w:rsidR="0012026B">
          <w:rPr>
            <w:noProof/>
            <w:webHidden/>
          </w:rPr>
          <w:fldChar w:fldCharType="end"/>
        </w:r>
      </w:hyperlink>
    </w:p>
    <w:p w14:paraId="25B3A2C6" w14:textId="27A1A002"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61" w:history="1">
        <w:r w:rsidR="0012026B" w:rsidRPr="009765CA">
          <w:rPr>
            <w:rStyle w:val="Hyperlink"/>
            <w:noProof/>
          </w:rPr>
          <w:t>8.2.1.4</w:t>
        </w:r>
        <w:r w:rsidR="0012026B">
          <w:rPr>
            <w:rFonts w:asciiTheme="minorHAnsi" w:eastAsiaTheme="minorEastAsia" w:hAnsiTheme="minorHAnsi"/>
            <w:noProof/>
            <w:sz w:val="22"/>
            <w:lang w:eastAsia="en-GB"/>
          </w:rPr>
          <w:tab/>
        </w:r>
        <w:r w:rsidR="0012026B" w:rsidRPr="009765CA">
          <w:rPr>
            <w:rStyle w:val="Hyperlink"/>
            <w:noProof/>
          </w:rPr>
          <w:t>Conclusion</w:t>
        </w:r>
        <w:r w:rsidR="0012026B">
          <w:rPr>
            <w:noProof/>
            <w:webHidden/>
          </w:rPr>
          <w:tab/>
        </w:r>
        <w:r w:rsidR="0012026B">
          <w:rPr>
            <w:noProof/>
            <w:webHidden/>
          </w:rPr>
          <w:fldChar w:fldCharType="begin"/>
        </w:r>
        <w:r w:rsidR="0012026B">
          <w:rPr>
            <w:noProof/>
            <w:webHidden/>
          </w:rPr>
          <w:instrText xml:space="preserve"> PAGEREF _Toc468266861 \h </w:instrText>
        </w:r>
        <w:r w:rsidR="0012026B">
          <w:rPr>
            <w:noProof/>
            <w:webHidden/>
          </w:rPr>
        </w:r>
        <w:r w:rsidR="0012026B">
          <w:rPr>
            <w:noProof/>
            <w:webHidden/>
          </w:rPr>
          <w:fldChar w:fldCharType="separate"/>
        </w:r>
        <w:r w:rsidR="0012026B">
          <w:rPr>
            <w:noProof/>
            <w:webHidden/>
          </w:rPr>
          <w:t>208</w:t>
        </w:r>
        <w:r w:rsidR="0012026B">
          <w:rPr>
            <w:noProof/>
            <w:webHidden/>
          </w:rPr>
          <w:fldChar w:fldCharType="end"/>
        </w:r>
      </w:hyperlink>
    </w:p>
    <w:p w14:paraId="77784B03" w14:textId="1EFD24EC" w:rsidR="0012026B" w:rsidRDefault="00B32C9A">
      <w:pPr>
        <w:pStyle w:val="TOC2"/>
        <w:tabs>
          <w:tab w:val="left" w:pos="1100"/>
          <w:tab w:val="right" w:leader="dot" w:pos="9016"/>
        </w:tabs>
        <w:rPr>
          <w:rFonts w:asciiTheme="minorHAnsi" w:eastAsiaTheme="minorEastAsia" w:hAnsiTheme="minorHAnsi"/>
          <w:noProof/>
          <w:sz w:val="22"/>
          <w:lang w:eastAsia="en-GB"/>
        </w:rPr>
      </w:pPr>
      <w:hyperlink w:anchor="_Toc468266862" w:history="1">
        <w:r w:rsidR="0012026B" w:rsidRPr="009765CA">
          <w:rPr>
            <w:rStyle w:val="Hyperlink"/>
            <w:noProof/>
          </w:rPr>
          <w:t>8.2.2</w:t>
        </w:r>
        <w:r w:rsidR="0012026B">
          <w:rPr>
            <w:rFonts w:asciiTheme="minorHAnsi" w:eastAsiaTheme="minorEastAsia" w:hAnsiTheme="minorHAnsi"/>
            <w:noProof/>
            <w:sz w:val="22"/>
            <w:lang w:eastAsia="en-GB"/>
          </w:rPr>
          <w:tab/>
        </w:r>
        <w:r w:rsidR="0012026B" w:rsidRPr="009765CA">
          <w:rPr>
            <w:rStyle w:val="Hyperlink"/>
            <w:noProof/>
          </w:rPr>
          <w:t>The Central Lowlands</w:t>
        </w:r>
        <w:r w:rsidR="0012026B">
          <w:rPr>
            <w:noProof/>
            <w:webHidden/>
          </w:rPr>
          <w:tab/>
        </w:r>
        <w:r w:rsidR="0012026B">
          <w:rPr>
            <w:noProof/>
            <w:webHidden/>
          </w:rPr>
          <w:fldChar w:fldCharType="begin"/>
        </w:r>
        <w:r w:rsidR="0012026B">
          <w:rPr>
            <w:noProof/>
            <w:webHidden/>
          </w:rPr>
          <w:instrText xml:space="preserve"> PAGEREF _Toc468266862 \h </w:instrText>
        </w:r>
        <w:r w:rsidR="0012026B">
          <w:rPr>
            <w:noProof/>
            <w:webHidden/>
          </w:rPr>
        </w:r>
        <w:r w:rsidR="0012026B">
          <w:rPr>
            <w:noProof/>
            <w:webHidden/>
          </w:rPr>
          <w:fldChar w:fldCharType="separate"/>
        </w:r>
        <w:r w:rsidR="0012026B">
          <w:rPr>
            <w:noProof/>
            <w:webHidden/>
          </w:rPr>
          <w:t>212</w:t>
        </w:r>
        <w:r w:rsidR="0012026B">
          <w:rPr>
            <w:noProof/>
            <w:webHidden/>
          </w:rPr>
          <w:fldChar w:fldCharType="end"/>
        </w:r>
      </w:hyperlink>
    </w:p>
    <w:p w14:paraId="5CE29E0F" w14:textId="2C98ECD8" w:rsidR="0012026B" w:rsidRDefault="00B32C9A">
      <w:pPr>
        <w:pStyle w:val="TOC3"/>
        <w:tabs>
          <w:tab w:val="right" w:leader="dot" w:pos="9016"/>
        </w:tabs>
        <w:rPr>
          <w:rFonts w:asciiTheme="minorHAnsi" w:eastAsiaTheme="minorEastAsia" w:hAnsiTheme="minorHAnsi"/>
          <w:noProof/>
          <w:sz w:val="22"/>
          <w:lang w:eastAsia="en-GB"/>
        </w:rPr>
      </w:pPr>
      <w:hyperlink w:anchor="_Toc468266863" w:history="1">
        <w:r w:rsidR="0012026B" w:rsidRPr="009765CA">
          <w:rPr>
            <w:rStyle w:val="Hyperlink"/>
            <w:noProof/>
          </w:rPr>
          <w:t>8.2.2.1 Site studies</w:t>
        </w:r>
        <w:r w:rsidR="0012026B">
          <w:rPr>
            <w:noProof/>
            <w:webHidden/>
          </w:rPr>
          <w:tab/>
        </w:r>
        <w:r w:rsidR="0012026B">
          <w:rPr>
            <w:noProof/>
            <w:webHidden/>
          </w:rPr>
          <w:fldChar w:fldCharType="begin"/>
        </w:r>
        <w:r w:rsidR="0012026B">
          <w:rPr>
            <w:noProof/>
            <w:webHidden/>
          </w:rPr>
          <w:instrText xml:space="preserve"> PAGEREF _Toc468266863 \h </w:instrText>
        </w:r>
        <w:r w:rsidR="0012026B">
          <w:rPr>
            <w:noProof/>
            <w:webHidden/>
          </w:rPr>
        </w:r>
        <w:r w:rsidR="0012026B">
          <w:rPr>
            <w:noProof/>
            <w:webHidden/>
          </w:rPr>
          <w:fldChar w:fldCharType="separate"/>
        </w:r>
        <w:r w:rsidR="0012026B">
          <w:rPr>
            <w:noProof/>
            <w:webHidden/>
          </w:rPr>
          <w:t>213</w:t>
        </w:r>
        <w:r w:rsidR="0012026B">
          <w:rPr>
            <w:noProof/>
            <w:webHidden/>
          </w:rPr>
          <w:fldChar w:fldCharType="end"/>
        </w:r>
      </w:hyperlink>
    </w:p>
    <w:p w14:paraId="7CD69BE8" w14:textId="7FB640D1" w:rsidR="0012026B" w:rsidRDefault="00B32C9A">
      <w:pPr>
        <w:pStyle w:val="TOC3"/>
        <w:tabs>
          <w:tab w:val="right" w:leader="dot" w:pos="9016"/>
        </w:tabs>
        <w:rPr>
          <w:rFonts w:asciiTheme="minorHAnsi" w:eastAsiaTheme="minorEastAsia" w:hAnsiTheme="minorHAnsi"/>
          <w:noProof/>
          <w:sz w:val="22"/>
          <w:lang w:eastAsia="en-GB"/>
        </w:rPr>
      </w:pPr>
      <w:hyperlink w:anchor="_Toc468266864" w:history="1">
        <w:r w:rsidR="0012026B" w:rsidRPr="009765CA">
          <w:rPr>
            <w:rStyle w:val="Hyperlink"/>
            <w:noProof/>
          </w:rPr>
          <w:t xml:space="preserve">Ryther </w:t>
        </w:r>
        <w:r w:rsidR="0012026B" w:rsidRPr="009765CA">
          <w:rPr>
            <w:rStyle w:val="Hyperlink"/>
            <w:noProof/>
            <w:lang w:val="en"/>
          </w:rPr>
          <w:t>cum Ossendyke</w:t>
        </w:r>
        <w:r w:rsidR="0012026B">
          <w:rPr>
            <w:noProof/>
            <w:webHidden/>
          </w:rPr>
          <w:tab/>
        </w:r>
        <w:r w:rsidR="0012026B">
          <w:rPr>
            <w:noProof/>
            <w:webHidden/>
          </w:rPr>
          <w:fldChar w:fldCharType="begin"/>
        </w:r>
        <w:r w:rsidR="0012026B">
          <w:rPr>
            <w:noProof/>
            <w:webHidden/>
          </w:rPr>
          <w:instrText xml:space="preserve"> PAGEREF _Toc468266864 \h </w:instrText>
        </w:r>
        <w:r w:rsidR="0012026B">
          <w:rPr>
            <w:noProof/>
            <w:webHidden/>
          </w:rPr>
        </w:r>
        <w:r w:rsidR="0012026B">
          <w:rPr>
            <w:noProof/>
            <w:webHidden/>
          </w:rPr>
          <w:fldChar w:fldCharType="separate"/>
        </w:r>
        <w:r w:rsidR="0012026B">
          <w:rPr>
            <w:noProof/>
            <w:webHidden/>
          </w:rPr>
          <w:t>213</w:t>
        </w:r>
        <w:r w:rsidR="0012026B">
          <w:rPr>
            <w:noProof/>
            <w:webHidden/>
          </w:rPr>
          <w:fldChar w:fldCharType="end"/>
        </w:r>
      </w:hyperlink>
    </w:p>
    <w:p w14:paraId="50281A27" w14:textId="77FA977B" w:rsidR="0012026B" w:rsidRDefault="00B32C9A">
      <w:pPr>
        <w:pStyle w:val="TOC3"/>
        <w:tabs>
          <w:tab w:val="right" w:leader="dot" w:pos="9016"/>
        </w:tabs>
        <w:rPr>
          <w:rFonts w:asciiTheme="minorHAnsi" w:eastAsiaTheme="minorEastAsia" w:hAnsiTheme="minorHAnsi"/>
          <w:noProof/>
          <w:sz w:val="22"/>
          <w:lang w:eastAsia="en-GB"/>
        </w:rPr>
      </w:pPr>
      <w:hyperlink w:anchor="_Toc468266865" w:history="1">
        <w:r w:rsidR="0012026B" w:rsidRPr="009765CA">
          <w:rPr>
            <w:rStyle w:val="Hyperlink"/>
            <w:noProof/>
          </w:rPr>
          <w:t>Spofforth</w:t>
        </w:r>
        <w:r w:rsidR="0012026B">
          <w:rPr>
            <w:noProof/>
            <w:webHidden/>
          </w:rPr>
          <w:tab/>
        </w:r>
        <w:r w:rsidR="0012026B">
          <w:rPr>
            <w:noProof/>
            <w:webHidden/>
          </w:rPr>
          <w:fldChar w:fldCharType="begin"/>
        </w:r>
        <w:r w:rsidR="0012026B">
          <w:rPr>
            <w:noProof/>
            <w:webHidden/>
          </w:rPr>
          <w:instrText xml:space="preserve"> PAGEREF _Toc468266865 \h </w:instrText>
        </w:r>
        <w:r w:rsidR="0012026B">
          <w:rPr>
            <w:noProof/>
            <w:webHidden/>
          </w:rPr>
        </w:r>
        <w:r w:rsidR="0012026B">
          <w:rPr>
            <w:noProof/>
            <w:webHidden/>
          </w:rPr>
          <w:fldChar w:fldCharType="separate"/>
        </w:r>
        <w:r w:rsidR="0012026B">
          <w:rPr>
            <w:noProof/>
            <w:webHidden/>
          </w:rPr>
          <w:t>213</w:t>
        </w:r>
        <w:r w:rsidR="0012026B">
          <w:rPr>
            <w:noProof/>
            <w:webHidden/>
          </w:rPr>
          <w:fldChar w:fldCharType="end"/>
        </w:r>
      </w:hyperlink>
    </w:p>
    <w:p w14:paraId="2D802236" w14:textId="28DAE512" w:rsidR="0012026B" w:rsidRDefault="00B32C9A">
      <w:pPr>
        <w:pStyle w:val="TOC3"/>
        <w:tabs>
          <w:tab w:val="right" w:leader="dot" w:pos="9016"/>
        </w:tabs>
        <w:rPr>
          <w:rFonts w:asciiTheme="minorHAnsi" w:eastAsiaTheme="minorEastAsia" w:hAnsiTheme="minorHAnsi"/>
          <w:noProof/>
          <w:sz w:val="22"/>
          <w:lang w:eastAsia="en-GB"/>
        </w:rPr>
      </w:pPr>
      <w:hyperlink w:anchor="_Toc468266866" w:history="1">
        <w:r w:rsidR="0012026B" w:rsidRPr="009765CA">
          <w:rPr>
            <w:rStyle w:val="Hyperlink"/>
            <w:noProof/>
          </w:rPr>
          <w:t>Ripon</w:t>
        </w:r>
        <w:r w:rsidR="0012026B">
          <w:rPr>
            <w:noProof/>
            <w:webHidden/>
          </w:rPr>
          <w:tab/>
        </w:r>
        <w:r w:rsidR="0012026B">
          <w:rPr>
            <w:noProof/>
            <w:webHidden/>
          </w:rPr>
          <w:fldChar w:fldCharType="begin"/>
        </w:r>
        <w:r w:rsidR="0012026B">
          <w:rPr>
            <w:noProof/>
            <w:webHidden/>
          </w:rPr>
          <w:instrText xml:space="preserve"> PAGEREF _Toc468266866 \h </w:instrText>
        </w:r>
        <w:r w:rsidR="0012026B">
          <w:rPr>
            <w:noProof/>
            <w:webHidden/>
          </w:rPr>
        </w:r>
        <w:r w:rsidR="0012026B">
          <w:rPr>
            <w:noProof/>
            <w:webHidden/>
          </w:rPr>
          <w:fldChar w:fldCharType="separate"/>
        </w:r>
        <w:r w:rsidR="0012026B">
          <w:rPr>
            <w:noProof/>
            <w:webHidden/>
          </w:rPr>
          <w:t>214</w:t>
        </w:r>
        <w:r w:rsidR="0012026B">
          <w:rPr>
            <w:noProof/>
            <w:webHidden/>
          </w:rPr>
          <w:fldChar w:fldCharType="end"/>
        </w:r>
      </w:hyperlink>
    </w:p>
    <w:p w14:paraId="27AD3581" w14:textId="4FB83DEE" w:rsidR="0012026B" w:rsidRDefault="00B32C9A">
      <w:pPr>
        <w:pStyle w:val="TOC3"/>
        <w:tabs>
          <w:tab w:val="right" w:leader="dot" w:pos="9016"/>
        </w:tabs>
        <w:rPr>
          <w:rFonts w:asciiTheme="minorHAnsi" w:eastAsiaTheme="minorEastAsia" w:hAnsiTheme="minorHAnsi"/>
          <w:noProof/>
          <w:sz w:val="22"/>
          <w:lang w:eastAsia="en-GB"/>
        </w:rPr>
      </w:pPr>
      <w:hyperlink w:anchor="_Toc468266867" w:history="1">
        <w:r w:rsidR="0012026B" w:rsidRPr="009765CA">
          <w:rPr>
            <w:rStyle w:val="Hyperlink"/>
            <w:noProof/>
          </w:rPr>
          <w:t>Sheriff Hutton</w:t>
        </w:r>
        <w:r w:rsidR="0012026B">
          <w:rPr>
            <w:noProof/>
            <w:webHidden/>
          </w:rPr>
          <w:tab/>
        </w:r>
        <w:r w:rsidR="0012026B">
          <w:rPr>
            <w:noProof/>
            <w:webHidden/>
          </w:rPr>
          <w:fldChar w:fldCharType="begin"/>
        </w:r>
        <w:r w:rsidR="0012026B">
          <w:rPr>
            <w:noProof/>
            <w:webHidden/>
          </w:rPr>
          <w:instrText xml:space="preserve"> PAGEREF _Toc468266867 \h </w:instrText>
        </w:r>
        <w:r w:rsidR="0012026B">
          <w:rPr>
            <w:noProof/>
            <w:webHidden/>
          </w:rPr>
        </w:r>
        <w:r w:rsidR="0012026B">
          <w:rPr>
            <w:noProof/>
            <w:webHidden/>
          </w:rPr>
          <w:fldChar w:fldCharType="separate"/>
        </w:r>
        <w:r w:rsidR="0012026B">
          <w:rPr>
            <w:noProof/>
            <w:webHidden/>
          </w:rPr>
          <w:t>215</w:t>
        </w:r>
        <w:r w:rsidR="0012026B">
          <w:rPr>
            <w:noProof/>
            <w:webHidden/>
          </w:rPr>
          <w:fldChar w:fldCharType="end"/>
        </w:r>
      </w:hyperlink>
    </w:p>
    <w:p w14:paraId="3AEA5F12" w14:textId="53E636BC" w:rsidR="0012026B" w:rsidRDefault="00B32C9A">
      <w:pPr>
        <w:pStyle w:val="TOC3"/>
        <w:tabs>
          <w:tab w:val="right" w:leader="dot" w:pos="9016"/>
        </w:tabs>
        <w:rPr>
          <w:rFonts w:asciiTheme="minorHAnsi" w:eastAsiaTheme="minorEastAsia" w:hAnsiTheme="minorHAnsi"/>
          <w:noProof/>
          <w:sz w:val="22"/>
          <w:lang w:eastAsia="en-GB"/>
        </w:rPr>
      </w:pPr>
      <w:hyperlink w:anchor="_Toc468266868" w:history="1">
        <w:r w:rsidR="0012026B" w:rsidRPr="009765CA">
          <w:rPr>
            <w:rStyle w:val="Hyperlink"/>
            <w:noProof/>
          </w:rPr>
          <w:t>Upper Poppleton</w:t>
        </w:r>
        <w:r w:rsidR="0012026B">
          <w:rPr>
            <w:noProof/>
            <w:webHidden/>
          </w:rPr>
          <w:tab/>
        </w:r>
        <w:r w:rsidR="0012026B">
          <w:rPr>
            <w:noProof/>
            <w:webHidden/>
          </w:rPr>
          <w:fldChar w:fldCharType="begin"/>
        </w:r>
        <w:r w:rsidR="0012026B">
          <w:rPr>
            <w:noProof/>
            <w:webHidden/>
          </w:rPr>
          <w:instrText xml:space="preserve"> PAGEREF _Toc468266868 \h </w:instrText>
        </w:r>
        <w:r w:rsidR="0012026B">
          <w:rPr>
            <w:noProof/>
            <w:webHidden/>
          </w:rPr>
        </w:r>
        <w:r w:rsidR="0012026B">
          <w:rPr>
            <w:noProof/>
            <w:webHidden/>
          </w:rPr>
          <w:fldChar w:fldCharType="separate"/>
        </w:r>
        <w:r w:rsidR="0012026B">
          <w:rPr>
            <w:noProof/>
            <w:webHidden/>
          </w:rPr>
          <w:t>216</w:t>
        </w:r>
        <w:r w:rsidR="0012026B">
          <w:rPr>
            <w:noProof/>
            <w:webHidden/>
          </w:rPr>
          <w:fldChar w:fldCharType="end"/>
        </w:r>
      </w:hyperlink>
    </w:p>
    <w:p w14:paraId="4C4DFAC6" w14:textId="0BAAAA10" w:rsidR="0012026B" w:rsidRDefault="00B32C9A">
      <w:pPr>
        <w:pStyle w:val="TOC3"/>
        <w:tabs>
          <w:tab w:val="right" w:leader="dot" w:pos="9016"/>
        </w:tabs>
        <w:rPr>
          <w:rFonts w:asciiTheme="minorHAnsi" w:eastAsiaTheme="minorEastAsia" w:hAnsiTheme="minorHAnsi"/>
          <w:noProof/>
          <w:sz w:val="22"/>
          <w:lang w:eastAsia="en-GB"/>
        </w:rPr>
      </w:pPr>
      <w:hyperlink w:anchor="_Toc468266869" w:history="1">
        <w:r w:rsidR="0012026B" w:rsidRPr="009765CA">
          <w:rPr>
            <w:rStyle w:val="Hyperlink"/>
            <w:noProof/>
          </w:rPr>
          <w:t>Bolton Percy</w:t>
        </w:r>
        <w:r w:rsidR="0012026B">
          <w:rPr>
            <w:noProof/>
            <w:webHidden/>
          </w:rPr>
          <w:tab/>
        </w:r>
        <w:r w:rsidR="0012026B">
          <w:rPr>
            <w:noProof/>
            <w:webHidden/>
          </w:rPr>
          <w:fldChar w:fldCharType="begin"/>
        </w:r>
        <w:r w:rsidR="0012026B">
          <w:rPr>
            <w:noProof/>
            <w:webHidden/>
          </w:rPr>
          <w:instrText xml:space="preserve"> PAGEREF _Toc468266869 \h </w:instrText>
        </w:r>
        <w:r w:rsidR="0012026B">
          <w:rPr>
            <w:noProof/>
            <w:webHidden/>
          </w:rPr>
        </w:r>
        <w:r w:rsidR="0012026B">
          <w:rPr>
            <w:noProof/>
            <w:webHidden/>
          </w:rPr>
          <w:fldChar w:fldCharType="separate"/>
        </w:r>
        <w:r w:rsidR="0012026B">
          <w:rPr>
            <w:noProof/>
            <w:webHidden/>
          </w:rPr>
          <w:t>216</w:t>
        </w:r>
        <w:r w:rsidR="0012026B">
          <w:rPr>
            <w:noProof/>
            <w:webHidden/>
          </w:rPr>
          <w:fldChar w:fldCharType="end"/>
        </w:r>
      </w:hyperlink>
    </w:p>
    <w:p w14:paraId="669A5179" w14:textId="4EA1D3D0" w:rsidR="0012026B" w:rsidRDefault="00B32C9A">
      <w:pPr>
        <w:pStyle w:val="TOC3"/>
        <w:tabs>
          <w:tab w:val="right" w:leader="dot" w:pos="9016"/>
        </w:tabs>
        <w:rPr>
          <w:rFonts w:asciiTheme="minorHAnsi" w:eastAsiaTheme="minorEastAsia" w:hAnsiTheme="minorHAnsi"/>
          <w:noProof/>
          <w:sz w:val="22"/>
          <w:lang w:eastAsia="en-GB"/>
        </w:rPr>
      </w:pPr>
      <w:hyperlink w:anchor="_Toc468266870" w:history="1">
        <w:r w:rsidR="0012026B" w:rsidRPr="009765CA">
          <w:rPr>
            <w:rStyle w:val="Hyperlink"/>
            <w:noProof/>
          </w:rPr>
          <w:t>Middleham</w:t>
        </w:r>
        <w:r w:rsidR="0012026B">
          <w:rPr>
            <w:noProof/>
            <w:webHidden/>
          </w:rPr>
          <w:tab/>
        </w:r>
        <w:r w:rsidR="0012026B">
          <w:rPr>
            <w:noProof/>
            <w:webHidden/>
          </w:rPr>
          <w:fldChar w:fldCharType="begin"/>
        </w:r>
        <w:r w:rsidR="0012026B">
          <w:rPr>
            <w:noProof/>
            <w:webHidden/>
          </w:rPr>
          <w:instrText xml:space="preserve"> PAGEREF _Toc468266870 \h </w:instrText>
        </w:r>
        <w:r w:rsidR="0012026B">
          <w:rPr>
            <w:noProof/>
            <w:webHidden/>
          </w:rPr>
        </w:r>
        <w:r w:rsidR="0012026B">
          <w:rPr>
            <w:noProof/>
            <w:webHidden/>
          </w:rPr>
          <w:fldChar w:fldCharType="separate"/>
        </w:r>
        <w:r w:rsidR="0012026B">
          <w:rPr>
            <w:noProof/>
            <w:webHidden/>
          </w:rPr>
          <w:t>217</w:t>
        </w:r>
        <w:r w:rsidR="0012026B">
          <w:rPr>
            <w:noProof/>
            <w:webHidden/>
          </w:rPr>
          <w:fldChar w:fldCharType="end"/>
        </w:r>
      </w:hyperlink>
    </w:p>
    <w:p w14:paraId="49347D1A" w14:textId="5D01DE92"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71" w:history="1">
        <w:r w:rsidR="0012026B" w:rsidRPr="009765CA">
          <w:rPr>
            <w:rStyle w:val="Hyperlink"/>
            <w:noProof/>
          </w:rPr>
          <w:t>8.2.2.2.</w:t>
        </w:r>
        <w:r w:rsidR="0012026B">
          <w:rPr>
            <w:rFonts w:asciiTheme="minorHAnsi" w:eastAsiaTheme="minorEastAsia" w:hAnsiTheme="minorHAnsi"/>
            <w:noProof/>
            <w:sz w:val="22"/>
            <w:lang w:eastAsia="en-GB"/>
          </w:rPr>
          <w:tab/>
        </w:r>
        <w:r w:rsidR="0012026B" w:rsidRPr="009765CA">
          <w:rPr>
            <w:rStyle w:val="Hyperlink"/>
            <w:noProof/>
          </w:rPr>
          <w:t>Comparison to Normal Distribution</w:t>
        </w:r>
        <w:r w:rsidR="0012026B">
          <w:rPr>
            <w:noProof/>
            <w:webHidden/>
          </w:rPr>
          <w:tab/>
        </w:r>
        <w:r w:rsidR="0012026B">
          <w:rPr>
            <w:noProof/>
            <w:webHidden/>
          </w:rPr>
          <w:fldChar w:fldCharType="begin"/>
        </w:r>
        <w:r w:rsidR="0012026B">
          <w:rPr>
            <w:noProof/>
            <w:webHidden/>
          </w:rPr>
          <w:instrText xml:space="preserve"> PAGEREF _Toc468266871 \h </w:instrText>
        </w:r>
        <w:r w:rsidR="0012026B">
          <w:rPr>
            <w:noProof/>
            <w:webHidden/>
          </w:rPr>
        </w:r>
        <w:r w:rsidR="0012026B">
          <w:rPr>
            <w:noProof/>
            <w:webHidden/>
          </w:rPr>
          <w:fldChar w:fldCharType="separate"/>
        </w:r>
        <w:r w:rsidR="0012026B">
          <w:rPr>
            <w:noProof/>
            <w:webHidden/>
          </w:rPr>
          <w:t>217</w:t>
        </w:r>
        <w:r w:rsidR="0012026B">
          <w:rPr>
            <w:noProof/>
            <w:webHidden/>
          </w:rPr>
          <w:fldChar w:fldCharType="end"/>
        </w:r>
      </w:hyperlink>
    </w:p>
    <w:p w14:paraId="7DB028BB" w14:textId="6871B987"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72" w:history="1">
        <w:r w:rsidR="0012026B" w:rsidRPr="009765CA">
          <w:rPr>
            <w:rStyle w:val="Hyperlink"/>
            <w:noProof/>
          </w:rPr>
          <w:t>8.2.2.3.</w:t>
        </w:r>
        <w:r w:rsidR="0012026B">
          <w:rPr>
            <w:rFonts w:asciiTheme="minorHAnsi" w:eastAsiaTheme="minorEastAsia" w:hAnsiTheme="minorHAnsi"/>
            <w:noProof/>
            <w:sz w:val="22"/>
            <w:lang w:eastAsia="en-GB"/>
          </w:rPr>
          <w:tab/>
        </w:r>
        <w:r w:rsidR="0012026B" w:rsidRPr="009765CA">
          <w:rPr>
            <w:rStyle w:val="Hyperlink"/>
            <w:noProof/>
          </w:rPr>
          <w:t>Comparison to Roman Finds</w:t>
        </w:r>
        <w:r w:rsidR="0012026B">
          <w:rPr>
            <w:noProof/>
            <w:webHidden/>
          </w:rPr>
          <w:tab/>
        </w:r>
        <w:r w:rsidR="0012026B">
          <w:rPr>
            <w:noProof/>
            <w:webHidden/>
          </w:rPr>
          <w:fldChar w:fldCharType="begin"/>
        </w:r>
        <w:r w:rsidR="0012026B">
          <w:rPr>
            <w:noProof/>
            <w:webHidden/>
          </w:rPr>
          <w:instrText xml:space="preserve"> PAGEREF _Toc468266872 \h </w:instrText>
        </w:r>
        <w:r w:rsidR="0012026B">
          <w:rPr>
            <w:noProof/>
            <w:webHidden/>
          </w:rPr>
        </w:r>
        <w:r w:rsidR="0012026B">
          <w:rPr>
            <w:noProof/>
            <w:webHidden/>
          </w:rPr>
          <w:fldChar w:fldCharType="separate"/>
        </w:r>
        <w:r w:rsidR="0012026B">
          <w:rPr>
            <w:noProof/>
            <w:webHidden/>
          </w:rPr>
          <w:t>218</w:t>
        </w:r>
        <w:r w:rsidR="0012026B">
          <w:rPr>
            <w:noProof/>
            <w:webHidden/>
          </w:rPr>
          <w:fldChar w:fldCharType="end"/>
        </w:r>
      </w:hyperlink>
    </w:p>
    <w:p w14:paraId="6A17896A" w14:textId="2B04841E"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73" w:history="1">
        <w:r w:rsidR="0012026B" w:rsidRPr="009765CA">
          <w:rPr>
            <w:rStyle w:val="Hyperlink"/>
            <w:noProof/>
          </w:rPr>
          <w:t>8.2.2.4.</w:t>
        </w:r>
        <w:r w:rsidR="0012026B">
          <w:rPr>
            <w:rFonts w:asciiTheme="minorHAnsi" w:eastAsiaTheme="minorEastAsia" w:hAnsiTheme="minorHAnsi"/>
            <w:noProof/>
            <w:sz w:val="22"/>
            <w:lang w:eastAsia="en-GB"/>
          </w:rPr>
          <w:tab/>
        </w:r>
        <w:r w:rsidR="0012026B" w:rsidRPr="009765CA">
          <w:rPr>
            <w:rStyle w:val="Hyperlink"/>
            <w:noProof/>
          </w:rPr>
          <w:t>The Artefactual Dataset</w:t>
        </w:r>
        <w:r w:rsidR="0012026B">
          <w:rPr>
            <w:noProof/>
            <w:webHidden/>
          </w:rPr>
          <w:tab/>
        </w:r>
        <w:r w:rsidR="0012026B">
          <w:rPr>
            <w:noProof/>
            <w:webHidden/>
          </w:rPr>
          <w:fldChar w:fldCharType="begin"/>
        </w:r>
        <w:r w:rsidR="0012026B">
          <w:rPr>
            <w:noProof/>
            <w:webHidden/>
          </w:rPr>
          <w:instrText xml:space="preserve"> PAGEREF _Toc468266873 \h </w:instrText>
        </w:r>
        <w:r w:rsidR="0012026B">
          <w:rPr>
            <w:noProof/>
            <w:webHidden/>
          </w:rPr>
        </w:r>
        <w:r w:rsidR="0012026B">
          <w:rPr>
            <w:noProof/>
            <w:webHidden/>
          </w:rPr>
          <w:fldChar w:fldCharType="separate"/>
        </w:r>
        <w:r w:rsidR="0012026B">
          <w:rPr>
            <w:noProof/>
            <w:webHidden/>
          </w:rPr>
          <w:t>218</w:t>
        </w:r>
        <w:r w:rsidR="0012026B">
          <w:rPr>
            <w:noProof/>
            <w:webHidden/>
          </w:rPr>
          <w:fldChar w:fldCharType="end"/>
        </w:r>
      </w:hyperlink>
    </w:p>
    <w:p w14:paraId="23FF8E89" w14:textId="6681E2AB"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74" w:history="1">
        <w:r w:rsidR="0012026B" w:rsidRPr="009765CA">
          <w:rPr>
            <w:rStyle w:val="Hyperlink"/>
            <w:noProof/>
          </w:rPr>
          <w:t>8.2.2.5.</w:t>
        </w:r>
        <w:r w:rsidR="0012026B">
          <w:rPr>
            <w:rFonts w:asciiTheme="minorHAnsi" w:eastAsiaTheme="minorEastAsia" w:hAnsiTheme="minorHAnsi"/>
            <w:noProof/>
            <w:sz w:val="22"/>
            <w:lang w:eastAsia="en-GB"/>
          </w:rPr>
          <w:tab/>
        </w:r>
        <w:r w:rsidR="0012026B" w:rsidRPr="009765CA">
          <w:rPr>
            <w:rStyle w:val="Hyperlink"/>
            <w:noProof/>
          </w:rPr>
          <w:t>Conclusion</w:t>
        </w:r>
        <w:r w:rsidR="0012026B">
          <w:rPr>
            <w:noProof/>
            <w:webHidden/>
          </w:rPr>
          <w:tab/>
        </w:r>
        <w:r w:rsidR="0012026B">
          <w:rPr>
            <w:noProof/>
            <w:webHidden/>
          </w:rPr>
          <w:fldChar w:fldCharType="begin"/>
        </w:r>
        <w:r w:rsidR="0012026B">
          <w:rPr>
            <w:noProof/>
            <w:webHidden/>
          </w:rPr>
          <w:instrText xml:space="preserve"> PAGEREF _Toc468266874 \h </w:instrText>
        </w:r>
        <w:r w:rsidR="0012026B">
          <w:rPr>
            <w:noProof/>
            <w:webHidden/>
          </w:rPr>
        </w:r>
        <w:r w:rsidR="0012026B">
          <w:rPr>
            <w:noProof/>
            <w:webHidden/>
          </w:rPr>
          <w:fldChar w:fldCharType="separate"/>
        </w:r>
        <w:r w:rsidR="0012026B">
          <w:rPr>
            <w:noProof/>
            <w:webHidden/>
          </w:rPr>
          <w:t>220</w:t>
        </w:r>
        <w:r w:rsidR="0012026B">
          <w:rPr>
            <w:noProof/>
            <w:webHidden/>
          </w:rPr>
          <w:fldChar w:fldCharType="end"/>
        </w:r>
      </w:hyperlink>
    </w:p>
    <w:p w14:paraId="1E0BEE3F" w14:textId="6A579777" w:rsidR="0012026B" w:rsidRDefault="00B32C9A">
      <w:pPr>
        <w:pStyle w:val="TOC2"/>
        <w:tabs>
          <w:tab w:val="left" w:pos="1100"/>
          <w:tab w:val="right" w:leader="dot" w:pos="9016"/>
        </w:tabs>
        <w:rPr>
          <w:rFonts w:asciiTheme="minorHAnsi" w:eastAsiaTheme="minorEastAsia" w:hAnsiTheme="minorHAnsi"/>
          <w:noProof/>
          <w:sz w:val="22"/>
          <w:lang w:eastAsia="en-GB"/>
        </w:rPr>
      </w:pPr>
      <w:hyperlink w:anchor="_Toc468266875" w:history="1">
        <w:r w:rsidR="0012026B" w:rsidRPr="009765CA">
          <w:rPr>
            <w:rStyle w:val="Hyperlink"/>
            <w:noProof/>
          </w:rPr>
          <w:t>8.2.3.</w:t>
        </w:r>
        <w:r w:rsidR="0012026B">
          <w:rPr>
            <w:rFonts w:asciiTheme="minorHAnsi" w:eastAsiaTheme="minorEastAsia" w:hAnsiTheme="minorHAnsi"/>
            <w:noProof/>
            <w:sz w:val="22"/>
            <w:lang w:eastAsia="en-GB"/>
          </w:rPr>
          <w:tab/>
        </w:r>
        <w:r w:rsidR="0012026B" w:rsidRPr="009765CA">
          <w:rPr>
            <w:rStyle w:val="Hyperlink"/>
            <w:noProof/>
          </w:rPr>
          <w:t>The Yorkshire Wolds</w:t>
        </w:r>
        <w:r w:rsidR="0012026B">
          <w:rPr>
            <w:noProof/>
            <w:webHidden/>
          </w:rPr>
          <w:tab/>
        </w:r>
        <w:r w:rsidR="0012026B">
          <w:rPr>
            <w:noProof/>
            <w:webHidden/>
          </w:rPr>
          <w:fldChar w:fldCharType="begin"/>
        </w:r>
        <w:r w:rsidR="0012026B">
          <w:rPr>
            <w:noProof/>
            <w:webHidden/>
          </w:rPr>
          <w:instrText xml:space="preserve"> PAGEREF _Toc468266875 \h </w:instrText>
        </w:r>
        <w:r w:rsidR="0012026B">
          <w:rPr>
            <w:noProof/>
            <w:webHidden/>
          </w:rPr>
        </w:r>
        <w:r w:rsidR="0012026B">
          <w:rPr>
            <w:noProof/>
            <w:webHidden/>
          </w:rPr>
          <w:fldChar w:fldCharType="separate"/>
        </w:r>
        <w:r w:rsidR="0012026B">
          <w:rPr>
            <w:noProof/>
            <w:webHidden/>
          </w:rPr>
          <w:t>222</w:t>
        </w:r>
        <w:r w:rsidR="0012026B">
          <w:rPr>
            <w:noProof/>
            <w:webHidden/>
          </w:rPr>
          <w:fldChar w:fldCharType="end"/>
        </w:r>
      </w:hyperlink>
    </w:p>
    <w:p w14:paraId="4ABF9D82" w14:textId="1FBF6F03"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76" w:history="1">
        <w:r w:rsidR="0012026B" w:rsidRPr="009765CA">
          <w:rPr>
            <w:rStyle w:val="Hyperlink"/>
            <w:noProof/>
          </w:rPr>
          <w:t>8.2.3.1</w:t>
        </w:r>
        <w:r w:rsidR="0012026B">
          <w:rPr>
            <w:rFonts w:asciiTheme="minorHAnsi" w:eastAsiaTheme="minorEastAsia" w:hAnsiTheme="minorHAnsi"/>
            <w:noProof/>
            <w:sz w:val="22"/>
            <w:lang w:eastAsia="en-GB"/>
          </w:rPr>
          <w:tab/>
        </w:r>
        <w:r w:rsidR="0012026B" w:rsidRPr="009765CA">
          <w:rPr>
            <w:rStyle w:val="Hyperlink"/>
            <w:noProof/>
          </w:rPr>
          <w:t>Wolds west – Site Studies</w:t>
        </w:r>
        <w:r w:rsidR="0012026B">
          <w:rPr>
            <w:noProof/>
            <w:webHidden/>
          </w:rPr>
          <w:tab/>
        </w:r>
        <w:r w:rsidR="0012026B">
          <w:rPr>
            <w:noProof/>
            <w:webHidden/>
          </w:rPr>
          <w:fldChar w:fldCharType="begin"/>
        </w:r>
        <w:r w:rsidR="0012026B">
          <w:rPr>
            <w:noProof/>
            <w:webHidden/>
          </w:rPr>
          <w:instrText xml:space="preserve"> PAGEREF _Toc468266876 \h </w:instrText>
        </w:r>
        <w:r w:rsidR="0012026B">
          <w:rPr>
            <w:noProof/>
            <w:webHidden/>
          </w:rPr>
        </w:r>
        <w:r w:rsidR="0012026B">
          <w:rPr>
            <w:noProof/>
            <w:webHidden/>
          </w:rPr>
          <w:fldChar w:fldCharType="separate"/>
        </w:r>
        <w:r w:rsidR="0012026B">
          <w:rPr>
            <w:noProof/>
            <w:webHidden/>
          </w:rPr>
          <w:t>223</w:t>
        </w:r>
        <w:r w:rsidR="0012026B">
          <w:rPr>
            <w:noProof/>
            <w:webHidden/>
          </w:rPr>
          <w:fldChar w:fldCharType="end"/>
        </w:r>
      </w:hyperlink>
    </w:p>
    <w:p w14:paraId="340A6E07" w14:textId="0C18CAAB" w:rsidR="0012026B" w:rsidRDefault="00B32C9A">
      <w:pPr>
        <w:pStyle w:val="TOC4"/>
        <w:tabs>
          <w:tab w:val="right" w:leader="dot" w:pos="9016"/>
        </w:tabs>
        <w:rPr>
          <w:rFonts w:asciiTheme="minorHAnsi" w:eastAsiaTheme="minorEastAsia" w:hAnsiTheme="minorHAnsi"/>
          <w:noProof/>
          <w:sz w:val="22"/>
          <w:lang w:eastAsia="en-GB"/>
        </w:rPr>
      </w:pPr>
      <w:hyperlink w:anchor="_Toc468266877" w:history="1">
        <w:r w:rsidR="0012026B" w:rsidRPr="009765CA">
          <w:rPr>
            <w:rStyle w:val="Hyperlink"/>
            <w:noProof/>
          </w:rPr>
          <w:t xml:space="preserve">South Newbald </w:t>
        </w:r>
        <w:r w:rsidR="0012026B">
          <w:rPr>
            <w:noProof/>
            <w:webHidden/>
          </w:rPr>
          <w:tab/>
        </w:r>
        <w:r w:rsidR="0012026B">
          <w:rPr>
            <w:noProof/>
            <w:webHidden/>
          </w:rPr>
          <w:fldChar w:fldCharType="begin"/>
        </w:r>
        <w:r w:rsidR="0012026B">
          <w:rPr>
            <w:noProof/>
            <w:webHidden/>
          </w:rPr>
          <w:instrText xml:space="preserve"> PAGEREF _Toc468266877 \h </w:instrText>
        </w:r>
        <w:r w:rsidR="0012026B">
          <w:rPr>
            <w:noProof/>
            <w:webHidden/>
          </w:rPr>
        </w:r>
        <w:r w:rsidR="0012026B">
          <w:rPr>
            <w:noProof/>
            <w:webHidden/>
          </w:rPr>
          <w:fldChar w:fldCharType="separate"/>
        </w:r>
        <w:r w:rsidR="0012026B">
          <w:rPr>
            <w:noProof/>
            <w:webHidden/>
          </w:rPr>
          <w:t>223</w:t>
        </w:r>
        <w:r w:rsidR="0012026B">
          <w:rPr>
            <w:noProof/>
            <w:webHidden/>
          </w:rPr>
          <w:fldChar w:fldCharType="end"/>
        </w:r>
      </w:hyperlink>
    </w:p>
    <w:p w14:paraId="0F2BC84E" w14:textId="58F647FE" w:rsidR="0012026B" w:rsidRDefault="00B32C9A">
      <w:pPr>
        <w:pStyle w:val="TOC4"/>
        <w:tabs>
          <w:tab w:val="right" w:leader="dot" w:pos="9016"/>
        </w:tabs>
        <w:rPr>
          <w:rFonts w:asciiTheme="minorHAnsi" w:eastAsiaTheme="minorEastAsia" w:hAnsiTheme="minorHAnsi"/>
          <w:noProof/>
          <w:sz w:val="22"/>
          <w:lang w:eastAsia="en-GB"/>
        </w:rPr>
      </w:pPr>
      <w:hyperlink w:anchor="_Toc468266878" w:history="1">
        <w:r w:rsidR="0012026B" w:rsidRPr="009765CA">
          <w:rPr>
            <w:rStyle w:val="Hyperlink"/>
            <w:noProof/>
          </w:rPr>
          <w:t>Hayton</w:t>
        </w:r>
        <w:r w:rsidR="0012026B">
          <w:rPr>
            <w:noProof/>
            <w:webHidden/>
          </w:rPr>
          <w:tab/>
        </w:r>
        <w:r w:rsidR="0012026B">
          <w:rPr>
            <w:noProof/>
            <w:webHidden/>
          </w:rPr>
          <w:fldChar w:fldCharType="begin"/>
        </w:r>
        <w:r w:rsidR="0012026B">
          <w:rPr>
            <w:noProof/>
            <w:webHidden/>
          </w:rPr>
          <w:instrText xml:space="preserve"> PAGEREF _Toc468266878 \h </w:instrText>
        </w:r>
        <w:r w:rsidR="0012026B">
          <w:rPr>
            <w:noProof/>
            <w:webHidden/>
          </w:rPr>
        </w:r>
        <w:r w:rsidR="0012026B">
          <w:rPr>
            <w:noProof/>
            <w:webHidden/>
          </w:rPr>
          <w:fldChar w:fldCharType="separate"/>
        </w:r>
        <w:r w:rsidR="0012026B">
          <w:rPr>
            <w:noProof/>
            <w:webHidden/>
          </w:rPr>
          <w:t>226</w:t>
        </w:r>
        <w:r w:rsidR="0012026B">
          <w:rPr>
            <w:noProof/>
            <w:webHidden/>
          </w:rPr>
          <w:fldChar w:fldCharType="end"/>
        </w:r>
      </w:hyperlink>
    </w:p>
    <w:p w14:paraId="1DB00FEF" w14:textId="720723D8" w:rsidR="0012026B" w:rsidRDefault="00B32C9A">
      <w:pPr>
        <w:pStyle w:val="TOC4"/>
        <w:tabs>
          <w:tab w:val="right" w:leader="dot" w:pos="9016"/>
        </w:tabs>
        <w:rPr>
          <w:rFonts w:asciiTheme="minorHAnsi" w:eastAsiaTheme="minorEastAsia" w:hAnsiTheme="minorHAnsi"/>
          <w:noProof/>
          <w:sz w:val="22"/>
          <w:lang w:eastAsia="en-GB"/>
        </w:rPr>
      </w:pPr>
      <w:hyperlink w:anchor="_Toc468266879" w:history="1">
        <w:r w:rsidR="0012026B" w:rsidRPr="009765CA">
          <w:rPr>
            <w:rStyle w:val="Hyperlink"/>
            <w:noProof/>
          </w:rPr>
          <w:t>Buttercrambe with Bossall</w:t>
        </w:r>
        <w:r w:rsidR="0012026B">
          <w:rPr>
            <w:noProof/>
            <w:webHidden/>
          </w:rPr>
          <w:tab/>
        </w:r>
        <w:r w:rsidR="0012026B">
          <w:rPr>
            <w:noProof/>
            <w:webHidden/>
          </w:rPr>
          <w:fldChar w:fldCharType="begin"/>
        </w:r>
        <w:r w:rsidR="0012026B">
          <w:rPr>
            <w:noProof/>
            <w:webHidden/>
          </w:rPr>
          <w:instrText xml:space="preserve"> PAGEREF _Toc468266879 \h </w:instrText>
        </w:r>
        <w:r w:rsidR="0012026B">
          <w:rPr>
            <w:noProof/>
            <w:webHidden/>
          </w:rPr>
        </w:r>
        <w:r w:rsidR="0012026B">
          <w:rPr>
            <w:noProof/>
            <w:webHidden/>
          </w:rPr>
          <w:fldChar w:fldCharType="separate"/>
        </w:r>
        <w:r w:rsidR="0012026B">
          <w:rPr>
            <w:noProof/>
            <w:webHidden/>
          </w:rPr>
          <w:t>227</w:t>
        </w:r>
        <w:r w:rsidR="0012026B">
          <w:rPr>
            <w:noProof/>
            <w:webHidden/>
          </w:rPr>
          <w:fldChar w:fldCharType="end"/>
        </w:r>
      </w:hyperlink>
    </w:p>
    <w:p w14:paraId="06601520" w14:textId="20C25F41" w:rsidR="0012026B" w:rsidRDefault="00B32C9A">
      <w:pPr>
        <w:pStyle w:val="TOC4"/>
        <w:tabs>
          <w:tab w:val="right" w:leader="dot" w:pos="9016"/>
        </w:tabs>
        <w:rPr>
          <w:rFonts w:asciiTheme="minorHAnsi" w:eastAsiaTheme="minorEastAsia" w:hAnsiTheme="minorHAnsi"/>
          <w:noProof/>
          <w:sz w:val="22"/>
          <w:lang w:eastAsia="en-GB"/>
        </w:rPr>
      </w:pPr>
      <w:hyperlink w:anchor="_Toc468266880" w:history="1">
        <w:r w:rsidR="005F1EAF" w:rsidRPr="005F1EAF">
          <w:rPr>
            <w:rStyle w:val="Hyperlink"/>
            <w:rFonts w:eastAsia="Times New Roman"/>
            <w:noProof/>
            <w:lang w:eastAsia="en-GB"/>
          </w:rPr>
          <w:t>‘Site C’</w:t>
        </w:r>
        <w:r w:rsidR="0012026B">
          <w:rPr>
            <w:noProof/>
            <w:webHidden/>
          </w:rPr>
          <w:tab/>
        </w:r>
        <w:r w:rsidR="0012026B">
          <w:rPr>
            <w:noProof/>
            <w:webHidden/>
          </w:rPr>
          <w:fldChar w:fldCharType="begin"/>
        </w:r>
        <w:r w:rsidR="0012026B">
          <w:rPr>
            <w:noProof/>
            <w:webHidden/>
          </w:rPr>
          <w:instrText xml:space="preserve"> PAGEREF _Toc468266880 \h </w:instrText>
        </w:r>
        <w:r w:rsidR="0012026B">
          <w:rPr>
            <w:noProof/>
            <w:webHidden/>
          </w:rPr>
        </w:r>
        <w:r w:rsidR="0012026B">
          <w:rPr>
            <w:noProof/>
            <w:webHidden/>
          </w:rPr>
          <w:fldChar w:fldCharType="separate"/>
        </w:r>
        <w:r w:rsidR="0012026B">
          <w:rPr>
            <w:noProof/>
            <w:webHidden/>
          </w:rPr>
          <w:t>228</w:t>
        </w:r>
        <w:r w:rsidR="0012026B">
          <w:rPr>
            <w:noProof/>
            <w:webHidden/>
          </w:rPr>
          <w:fldChar w:fldCharType="end"/>
        </w:r>
      </w:hyperlink>
    </w:p>
    <w:p w14:paraId="2F17232D" w14:textId="08404A98" w:rsidR="0012026B" w:rsidRDefault="00B32C9A">
      <w:pPr>
        <w:pStyle w:val="TOC4"/>
        <w:tabs>
          <w:tab w:val="right" w:leader="dot" w:pos="9016"/>
        </w:tabs>
        <w:rPr>
          <w:rFonts w:asciiTheme="minorHAnsi" w:eastAsiaTheme="minorEastAsia" w:hAnsiTheme="minorHAnsi"/>
          <w:noProof/>
          <w:sz w:val="22"/>
          <w:lang w:eastAsia="en-GB"/>
        </w:rPr>
      </w:pPr>
      <w:hyperlink w:anchor="_Toc468266881" w:history="1">
        <w:r w:rsidR="0012026B" w:rsidRPr="009765CA">
          <w:rPr>
            <w:rStyle w:val="Hyperlink"/>
            <w:noProof/>
          </w:rPr>
          <w:t>Pocklington</w:t>
        </w:r>
        <w:r w:rsidR="0012026B">
          <w:rPr>
            <w:noProof/>
            <w:webHidden/>
          </w:rPr>
          <w:tab/>
        </w:r>
        <w:r w:rsidR="0012026B">
          <w:rPr>
            <w:noProof/>
            <w:webHidden/>
          </w:rPr>
          <w:fldChar w:fldCharType="begin"/>
        </w:r>
        <w:r w:rsidR="0012026B">
          <w:rPr>
            <w:noProof/>
            <w:webHidden/>
          </w:rPr>
          <w:instrText xml:space="preserve"> PAGEREF _Toc468266881 \h </w:instrText>
        </w:r>
        <w:r w:rsidR="0012026B">
          <w:rPr>
            <w:noProof/>
            <w:webHidden/>
          </w:rPr>
        </w:r>
        <w:r w:rsidR="0012026B">
          <w:rPr>
            <w:noProof/>
            <w:webHidden/>
          </w:rPr>
          <w:fldChar w:fldCharType="separate"/>
        </w:r>
        <w:r w:rsidR="0012026B">
          <w:rPr>
            <w:noProof/>
            <w:webHidden/>
          </w:rPr>
          <w:t>229</w:t>
        </w:r>
        <w:r w:rsidR="0012026B">
          <w:rPr>
            <w:noProof/>
            <w:webHidden/>
          </w:rPr>
          <w:fldChar w:fldCharType="end"/>
        </w:r>
      </w:hyperlink>
    </w:p>
    <w:p w14:paraId="25AD31D1" w14:textId="108728D9" w:rsidR="0012026B" w:rsidRDefault="00B32C9A">
      <w:pPr>
        <w:pStyle w:val="TOC4"/>
        <w:tabs>
          <w:tab w:val="right" w:leader="dot" w:pos="9016"/>
        </w:tabs>
        <w:rPr>
          <w:rFonts w:asciiTheme="minorHAnsi" w:eastAsiaTheme="minorEastAsia" w:hAnsiTheme="minorHAnsi"/>
          <w:noProof/>
          <w:sz w:val="22"/>
          <w:lang w:eastAsia="en-GB"/>
        </w:rPr>
      </w:pPr>
      <w:hyperlink w:anchor="_Toc468266882" w:history="1">
        <w:r w:rsidR="0012026B" w:rsidRPr="009765CA">
          <w:rPr>
            <w:rStyle w:val="Hyperlink"/>
            <w:noProof/>
          </w:rPr>
          <w:t>Barmby Moor</w:t>
        </w:r>
        <w:r w:rsidR="0012026B">
          <w:rPr>
            <w:noProof/>
            <w:webHidden/>
          </w:rPr>
          <w:tab/>
        </w:r>
        <w:r w:rsidR="0012026B">
          <w:rPr>
            <w:noProof/>
            <w:webHidden/>
          </w:rPr>
          <w:fldChar w:fldCharType="begin"/>
        </w:r>
        <w:r w:rsidR="0012026B">
          <w:rPr>
            <w:noProof/>
            <w:webHidden/>
          </w:rPr>
          <w:instrText xml:space="preserve"> PAGEREF _Toc468266882 \h </w:instrText>
        </w:r>
        <w:r w:rsidR="0012026B">
          <w:rPr>
            <w:noProof/>
            <w:webHidden/>
          </w:rPr>
        </w:r>
        <w:r w:rsidR="0012026B">
          <w:rPr>
            <w:noProof/>
            <w:webHidden/>
          </w:rPr>
          <w:fldChar w:fldCharType="separate"/>
        </w:r>
        <w:r w:rsidR="0012026B">
          <w:rPr>
            <w:noProof/>
            <w:webHidden/>
          </w:rPr>
          <w:t>230</w:t>
        </w:r>
        <w:r w:rsidR="0012026B">
          <w:rPr>
            <w:noProof/>
            <w:webHidden/>
          </w:rPr>
          <w:fldChar w:fldCharType="end"/>
        </w:r>
      </w:hyperlink>
    </w:p>
    <w:p w14:paraId="005CE8CF" w14:textId="574648CD" w:rsidR="0012026B" w:rsidRDefault="00B32C9A">
      <w:pPr>
        <w:pStyle w:val="TOC4"/>
        <w:tabs>
          <w:tab w:val="right" w:leader="dot" w:pos="9016"/>
        </w:tabs>
        <w:rPr>
          <w:rFonts w:asciiTheme="minorHAnsi" w:eastAsiaTheme="minorEastAsia" w:hAnsiTheme="minorHAnsi"/>
          <w:noProof/>
          <w:sz w:val="22"/>
          <w:lang w:eastAsia="en-GB"/>
        </w:rPr>
      </w:pPr>
      <w:hyperlink w:anchor="_Toc468266883" w:history="1">
        <w:r w:rsidR="0012026B" w:rsidRPr="009765CA">
          <w:rPr>
            <w:rStyle w:val="Hyperlink"/>
            <w:noProof/>
          </w:rPr>
          <w:t>Yapham</w:t>
        </w:r>
        <w:r w:rsidR="0012026B">
          <w:rPr>
            <w:noProof/>
            <w:webHidden/>
          </w:rPr>
          <w:tab/>
        </w:r>
        <w:r w:rsidR="0012026B">
          <w:rPr>
            <w:noProof/>
            <w:webHidden/>
          </w:rPr>
          <w:fldChar w:fldCharType="begin"/>
        </w:r>
        <w:r w:rsidR="0012026B">
          <w:rPr>
            <w:noProof/>
            <w:webHidden/>
          </w:rPr>
          <w:instrText xml:space="preserve"> PAGEREF _Toc468266883 \h </w:instrText>
        </w:r>
        <w:r w:rsidR="0012026B">
          <w:rPr>
            <w:noProof/>
            <w:webHidden/>
          </w:rPr>
        </w:r>
        <w:r w:rsidR="0012026B">
          <w:rPr>
            <w:noProof/>
            <w:webHidden/>
          </w:rPr>
          <w:fldChar w:fldCharType="separate"/>
        </w:r>
        <w:r w:rsidR="0012026B">
          <w:rPr>
            <w:noProof/>
            <w:webHidden/>
          </w:rPr>
          <w:t>231</w:t>
        </w:r>
        <w:r w:rsidR="0012026B">
          <w:rPr>
            <w:noProof/>
            <w:webHidden/>
          </w:rPr>
          <w:fldChar w:fldCharType="end"/>
        </w:r>
      </w:hyperlink>
    </w:p>
    <w:p w14:paraId="075C046D" w14:textId="6631FCB5" w:rsidR="0012026B" w:rsidRDefault="00B32C9A">
      <w:pPr>
        <w:pStyle w:val="TOC4"/>
        <w:tabs>
          <w:tab w:val="right" w:leader="dot" w:pos="9016"/>
        </w:tabs>
        <w:rPr>
          <w:rFonts w:asciiTheme="minorHAnsi" w:eastAsiaTheme="minorEastAsia" w:hAnsiTheme="minorHAnsi"/>
          <w:noProof/>
          <w:sz w:val="22"/>
          <w:lang w:eastAsia="en-GB"/>
        </w:rPr>
      </w:pPr>
      <w:hyperlink w:anchor="_Toc468266884" w:history="1">
        <w:r w:rsidR="0012026B" w:rsidRPr="009765CA">
          <w:rPr>
            <w:rStyle w:val="Hyperlink"/>
            <w:noProof/>
          </w:rPr>
          <w:t>North Cave</w:t>
        </w:r>
        <w:r w:rsidR="0012026B">
          <w:rPr>
            <w:noProof/>
            <w:webHidden/>
          </w:rPr>
          <w:tab/>
        </w:r>
        <w:r w:rsidR="0012026B">
          <w:rPr>
            <w:noProof/>
            <w:webHidden/>
          </w:rPr>
          <w:fldChar w:fldCharType="begin"/>
        </w:r>
        <w:r w:rsidR="0012026B">
          <w:rPr>
            <w:noProof/>
            <w:webHidden/>
          </w:rPr>
          <w:instrText xml:space="preserve"> PAGEREF _Toc468266884 \h </w:instrText>
        </w:r>
        <w:r w:rsidR="0012026B">
          <w:rPr>
            <w:noProof/>
            <w:webHidden/>
          </w:rPr>
        </w:r>
        <w:r w:rsidR="0012026B">
          <w:rPr>
            <w:noProof/>
            <w:webHidden/>
          </w:rPr>
          <w:fldChar w:fldCharType="separate"/>
        </w:r>
        <w:r w:rsidR="0012026B">
          <w:rPr>
            <w:noProof/>
            <w:webHidden/>
          </w:rPr>
          <w:t>232</w:t>
        </w:r>
        <w:r w:rsidR="0012026B">
          <w:rPr>
            <w:noProof/>
            <w:webHidden/>
          </w:rPr>
          <w:fldChar w:fldCharType="end"/>
        </w:r>
      </w:hyperlink>
    </w:p>
    <w:p w14:paraId="7022780D" w14:textId="6E736C5C" w:rsidR="0012026B" w:rsidRDefault="00B32C9A">
      <w:pPr>
        <w:pStyle w:val="TOC4"/>
        <w:tabs>
          <w:tab w:val="right" w:leader="dot" w:pos="9016"/>
        </w:tabs>
        <w:rPr>
          <w:rFonts w:asciiTheme="minorHAnsi" w:eastAsiaTheme="minorEastAsia" w:hAnsiTheme="minorHAnsi"/>
          <w:noProof/>
          <w:sz w:val="22"/>
          <w:lang w:eastAsia="en-GB"/>
        </w:rPr>
      </w:pPr>
      <w:hyperlink w:anchor="_Toc468266885" w:history="1">
        <w:r w:rsidR="0012026B" w:rsidRPr="009765CA">
          <w:rPr>
            <w:rStyle w:val="Hyperlink"/>
            <w:noProof/>
          </w:rPr>
          <w:t>Small Finds</w:t>
        </w:r>
        <w:r w:rsidR="0012026B">
          <w:rPr>
            <w:noProof/>
            <w:webHidden/>
          </w:rPr>
          <w:tab/>
        </w:r>
        <w:r w:rsidR="0012026B">
          <w:rPr>
            <w:noProof/>
            <w:webHidden/>
          </w:rPr>
          <w:fldChar w:fldCharType="begin"/>
        </w:r>
        <w:r w:rsidR="0012026B">
          <w:rPr>
            <w:noProof/>
            <w:webHidden/>
          </w:rPr>
          <w:instrText xml:space="preserve"> PAGEREF _Toc468266885 \h </w:instrText>
        </w:r>
        <w:r w:rsidR="0012026B">
          <w:rPr>
            <w:noProof/>
            <w:webHidden/>
          </w:rPr>
        </w:r>
        <w:r w:rsidR="0012026B">
          <w:rPr>
            <w:noProof/>
            <w:webHidden/>
          </w:rPr>
          <w:fldChar w:fldCharType="separate"/>
        </w:r>
        <w:r w:rsidR="0012026B">
          <w:rPr>
            <w:noProof/>
            <w:webHidden/>
          </w:rPr>
          <w:t>232</w:t>
        </w:r>
        <w:r w:rsidR="0012026B">
          <w:rPr>
            <w:noProof/>
            <w:webHidden/>
          </w:rPr>
          <w:fldChar w:fldCharType="end"/>
        </w:r>
      </w:hyperlink>
    </w:p>
    <w:p w14:paraId="75648A9D" w14:textId="37BDFF3B" w:rsidR="0012026B" w:rsidRDefault="00B32C9A">
      <w:pPr>
        <w:pStyle w:val="TOC4"/>
        <w:tabs>
          <w:tab w:val="right" w:leader="dot" w:pos="9016"/>
        </w:tabs>
        <w:rPr>
          <w:rFonts w:asciiTheme="minorHAnsi" w:eastAsiaTheme="minorEastAsia" w:hAnsiTheme="minorHAnsi"/>
          <w:noProof/>
          <w:sz w:val="22"/>
          <w:lang w:eastAsia="en-GB"/>
        </w:rPr>
      </w:pPr>
      <w:hyperlink w:anchor="_Toc468266886" w:history="1">
        <w:r w:rsidR="0012026B" w:rsidRPr="009765CA">
          <w:rPr>
            <w:rStyle w:val="Hyperlink"/>
            <w:noProof/>
          </w:rPr>
          <w:t>Flixborough</w:t>
        </w:r>
        <w:r w:rsidR="0012026B">
          <w:rPr>
            <w:noProof/>
            <w:webHidden/>
          </w:rPr>
          <w:tab/>
        </w:r>
        <w:r w:rsidR="0012026B">
          <w:rPr>
            <w:noProof/>
            <w:webHidden/>
          </w:rPr>
          <w:fldChar w:fldCharType="begin"/>
        </w:r>
        <w:r w:rsidR="0012026B">
          <w:rPr>
            <w:noProof/>
            <w:webHidden/>
          </w:rPr>
          <w:instrText xml:space="preserve"> PAGEREF _Toc468266886 \h </w:instrText>
        </w:r>
        <w:r w:rsidR="0012026B">
          <w:rPr>
            <w:noProof/>
            <w:webHidden/>
          </w:rPr>
        </w:r>
        <w:r w:rsidR="0012026B">
          <w:rPr>
            <w:noProof/>
            <w:webHidden/>
          </w:rPr>
          <w:fldChar w:fldCharType="separate"/>
        </w:r>
        <w:r w:rsidR="0012026B">
          <w:rPr>
            <w:noProof/>
            <w:webHidden/>
          </w:rPr>
          <w:t>233</w:t>
        </w:r>
        <w:r w:rsidR="0012026B">
          <w:rPr>
            <w:noProof/>
            <w:webHidden/>
          </w:rPr>
          <w:fldChar w:fldCharType="end"/>
        </w:r>
      </w:hyperlink>
    </w:p>
    <w:p w14:paraId="2D269C5A" w14:textId="033D8E6D" w:rsidR="0012026B" w:rsidRDefault="00B32C9A">
      <w:pPr>
        <w:pStyle w:val="TOC3"/>
        <w:tabs>
          <w:tab w:val="right" w:leader="dot" w:pos="9016"/>
        </w:tabs>
        <w:rPr>
          <w:rFonts w:asciiTheme="minorHAnsi" w:eastAsiaTheme="minorEastAsia" w:hAnsiTheme="minorHAnsi"/>
          <w:noProof/>
          <w:sz w:val="22"/>
          <w:lang w:eastAsia="en-GB"/>
        </w:rPr>
      </w:pPr>
      <w:hyperlink w:anchor="_Toc468266887" w:history="1">
        <w:r w:rsidR="0012026B" w:rsidRPr="009765CA">
          <w:rPr>
            <w:rStyle w:val="Hyperlink"/>
            <w:noProof/>
          </w:rPr>
          <w:t>Numismatic Summary – Wolds west</w:t>
        </w:r>
        <w:r w:rsidR="0012026B">
          <w:rPr>
            <w:noProof/>
            <w:webHidden/>
          </w:rPr>
          <w:tab/>
        </w:r>
        <w:r w:rsidR="0012026B">
          <w:rPr>
            <w:noProof/>
            <w:webHidden/>
          </w:rPr>
          <w:fldChar w:fldCharType="begin"/>
        </w:r>
        <w:r w:rsidR="0012026B">
          <w:rPr>
            <w:noProof/>
            <w:webHidden/>
          </w:rPr>
          <w:instrText xml:space="preserve"> PAGEREF _Toc468266887 \h </w:instrText>
        </w:r>
        <w:r w:rsidR="0012026B">
          <w:rPr>
            <w:noProof/>
            <w:webHidden/>
          </w:rPr>
        </w:r>
        <w:r w:rsidR="0012026B">
          <w:rPr>
            <w:noProof/>
            <w:webHidden/>
          </w:rPr>
          <w:fldChar w:fldCharType="separate"/>
        </w:r>
        <w:r w:rsidR="0012026B">
          <w:rPr>
            <w:noProof/>
            <w:webHidden/>
          </w:rPr>
          <w:t>235</w:t>
        </w:r>
        <w:r w:rsidR="0012026B">
          <w:rPr>
            <w:noProof/>
            <w:webHidden/>
          </w:rPr>
          <w:fldChar w:fldCharType="end"/>
        </w:r>
      </w:hyperlink>
    </w:p>
    <w:p w14:paraId="3D48F127" w14:textId="5178E649" w:rsidR="0012026B" w:rsidRDefault="00B32C9A">
      <w:pPr>
        <w:pStyle w:val="TOC3"/>
        <w:tabs>
          <w:tab w:val="right" w:leader="dot" w:pos="9016"/>
        </w:tabs>
        <w:rPr>
          <w:rFonts w:asciiTheme="minorHAnsi" w:eastAsiaTheme="minorEastAsia" w:hAnsiTheme="minorHAnsi"/>
          <w:noProof/>
          <w:sz w:val="22"/>
          <w:lang w:eastAsia="en-GB"/>
        </w:rPr>
      </w:pPr>
      <w:hyperlink w:anchor="_Toc468266888" w:history="1">
        <w:r w:rsidR="0012026B" w:rsidRPr="009765CA">
          <w:rPr>
            <w:rStyle w:val="Hyperlink"/>
            <w:noProof/>
          </w:rPr>
          <w:t>The Artefactual Dataset – Wolds west</w:t>
        </w:r>
        <w:r w:rsidR="0012026B">
          <w:rPr>
            <w:noProof/>
            <w:webHidden/>
          </w:rPr>
          <w:tab/>
        </w:r>
        <w:r w:rsidR="0012026B">
          <w:rPr>
            <w:noProof/>
            <w:webHidden/>
          </w:rPr>
          <w:fldChar w:fldCharType="begin"/>
        </w:r>
        <w:r w:rsidR="0012026B">
          <w:rPr>
            <w:noProof/>
            <w:webHidden/>
          </w:rPr>
          <w:instrText xml:space="preserve"> PAGEREF _Toc468266888 \h </w:instrText>
        </w:r>
        <w:r w:rsidR="0012026B">
          <w:rPr>
            <w:noProof/>
            <w:webHidden/>
          </w:rPr>
        </w:r>
        <w:r w:rsidR="0012026B">
          <w:rPr>
            <w:noProof/>
            <w:webHidden/>
          </w:rPr>
          <w:fldChar w:fldCharType="separate"/>
        </w:r>
        <w:r w:rsidR="0012026B">
          <w:rPr>
            <w:noProof/>
            <w:webHidden/>
          </w:rPr>
          <w:t>236</w:t>
        </w:r>
        <w:r w:rsidR="0012026B">
          <w:rPr>
            <w:noProof/>
            <w:webHidden/>
          </w:rPr>
          <w:fldChar w:fldCharType="end"/>
        </w:r>
      </w:hyperlink>
    </w:p>
    <w:p w14:paraId="32583172" w14:textId="71FFA66A"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889" w:history="1">
        <w:r w:rsidR="0012026B" w:rsidRPr="009765CA">
          <w:rPr>
            <w:rStyle w:val="Hyperlink"/>
            <w:noProof/>
          </w:rPr>
          <w:t>8.2.3.2</w:t>
        </w:r>
        <w:r w:rsidR="0012026B">
          <w:rPr>
            <w:rFonts w:asciiTheme="minorHAnsi" w:eastAsiaTheme="minorEastAsia" w:hAnsiTheme="minorHAnsi"/>
            <w:noProof/>
            <w:sz w:val="22"/>
            <w:lang w:eastAsia="en-GB"/>
          </w:rPr>
          <w:tab/>
        </w:r>
        <w:r w:rsidR="0012026B" w:rsidRPr="009765CA">
          <w:rPr>
            <w:rStyle w:val="Hyperlink"/>
            <w:noProof/>
          </w:rPr>
          <w:t>Wolds central – Site Studies</w:t>
        </w:r>
        <w:r w:rsidR="0012026B">
          <w:rPr>
            <w:noProof/>
            <w:webHidden/>
          </w:rPr>
          <w:tab/>
        </w:r>
        <w:r w:rsidR="0012026B">
          <w:rPr>
            <w:noProof/>
            <w:webHidden/>
          </w:rPr>
          <w:fldChar w:fldCharType="begin"/>
        </w:r>
        <w:r w:rsidR="0012026B">
          <w:rPr>
            <w:noProof/>
            <w:webHidden/>
          </w:rPr>
          <w:instrText xml:space="preserve"> PAGEREF _Toc468266889 \h </w:instrText>
        </w:r>
        <w:r w:rsidR="0012026B">
          <w:rPr>
            <w:noProof/>
            <w:webHidden/>
          </w:rPr>
        </w:r>
        <w:r w:rsidR="0012026B">
          <w:rPr>
            <w:noProof/>
            <w:webHidden/>
          </w:rPr>
          <w:fldChar w:fldCharType="separate"/>
        </w:r>
        <w:r w:rsidR="0012026B">
          <w:rPr>
            <w:noProof/>
            <w:webHidden/>
          </w:rPr>
          <w:t>237</w:t>
        </w:r>
        <w:r w:rsidR="0012026B">
          <w:rPr>
            <w:noProof/>
            <w:webHidden/>
          </w:rPr>
          <w:fldChar w:fldCharType="end"/>
        </w:r>
      </w:hyperlink>
    </w:p>
    <w:p w14:paraId="7C6DB8CE" w14:textId="33D5AD27" w:rsidR="0012026B" w:rsidRDefault="00B32C9A">
      <w:pPr>
        <w:pStyle w:val="TOC4"/>
        <w:tabs>
          <w:tab w:val="right" w:leader="dot" w:pos="9016"/>
        </w:tabs>
        <w:rPr>
          <w:rFonts w:asciiTheme="minorHAnsi" w:eastAsiaTheme="minorEastAsia" w:hAnsiTheme="minorHAnsi"/>
          <w:noProof/>
          <w:sz w:val="22"/>
          <w:lang w:eastAsia="en-GB"/>
        </w:rPr>
      </w:pPr>
      <w:hyperlink w:anchor="_Toc468266890" w:history="1">
        <w:r w:rsidR="0012026B" w:rsidRPr="009765CA">
          <w:rPr>
            <w:rStyle w:val="Hyperlink"/>
            <w:noProof/>
          </w:rPr>
          <w:t xml:space="preserve">Sledmere </w:t>
        </w:r>
        <w:r w:rsidR="0012026B">
          <w:rPr>
            <w:noProof/>
            <w:webHidden/>
          </w:rPr>
          <w:tab/>
        </w:r>
        <w:r w:rsidR="0012026B">
          <w:rPr>
            <w:noProof/>
            <w:webHidden/>
          </w:rPr>
          <w:fldChar w:fldCharType="begin"/>
        </w:r>
        <w:r w:rsidR="0012026B">
          <w:rPr>
            <w:noProof/>
            <w:webHidden/>
          </w:rPr>
          <w:instrText xml:space="preserve"> PAGEREF _Toc468266890 \h </w:instrText>
        </w:r>
        <w:r w:rsidR="0012026B">
          <w:rPr>
            <w:noProof/>
            <w:webHidden/>
          </w:rPr>
        </w:r>
        <w:r w:rsidR="0012026B">
          <w:rPr>
            <w:noProof/>
            <w:webHidden/>
          </w:rPr>
          <w:fldChar w:fldCharType="separate"/>
        </w:r>
        <w:r w:rsidR="0012026B">
          <w:rPr>
            <w:noProof/>
            <w:webHidden/>
          </w:rPr>
          <w:t>237</w:t>
        </w:r>
        <w:r w:rsidR="0012026B">
          <w:rPr>
            <w:noProof/>
            <w:webHidden/>
          </w:rPr>
          <w:fldChar w:fldCharType="end"/>
        </w:r>
      </w:hyperlink>
    </w:p>
    <w:p w14:paraId="1857A13D" w14:textId="0BFB6B7B" w:rsidR="0012026B" w:rsidRDefault="00B32C9A">
      <w:pPr>
        <w:pStyle w:val="TOC4"/>
        <w:tabs>
          <w:tab w:val="right" w:leader="dot" w:pos="9016"/>
        </w:tabs>
        <w:rPr>
          <w:rFonts w:asciiTheme="minorHAnsi" w:eastAsiaTheme="minorEastAsia" w:hAnsiTheme="minorHAnsi"/>
          <w:noProof/>
          <w:sz w:val="22"/>
          <w:lang w:eastAsia="en-GB"/>
        </w:rPr>
      </w:pPr>
      <w:hyperlink w:anchor="_Toc468266891" w:history="1">
        <w:r w:rsidR="0012026B" w:rsidRPr="009765CA">
          <w:rPr>
            <w:rStyle w:val="Hyperlink"/>
            <w:rFonts w:eastAsia="Times New Roman"/>
            <w:noProof/>
            <w:lang w:eastAsia="en-GB"/>
          </w:rPr>
          <w:t>Cottam</w:t>
        </w:r>
        <w:r w:rsidR="0012026B">
          <w:rPr>
            <w:noProof/>
            <w:webHidden/>
          </w:rPr>
          <w:tab/>
        </w:r>
        <w:r w:rsidR="0012026B">
          <w:rPr>
            <w:noProof/>
            <w:webHidden/>
          </w:rPr>
          <w:fldChar w:fldCharType="begin"/>
        </w:r>
        <w:r w:rsidR="0012026B">
          <w:rPr>
            <w:noProof/>
            <w:webHidden/>
          </w:rPr>
          <w:instrText xml:space="preserve"> PAGEREF _Toc468266891 \h </w:instrText>
        </w:r>
        <w:r w:rsidR="0012026B">
          <w:rPr>
            <w:noProof/>
            <w:webHidden/>
          </w:rPr>
        </w:r>
        <w:r w:rsidR="0012026B">
          <w:rPr>
            <w:noProof/>
            <w:webHidden/>
          </w:rPr>
          <w:fldChar w:fldCharType="separate"/>
        </w:r>
        <w:r w:rsidR="0012026B">
          <w:rPr>
            <w:noProof/>
            <w:webHidden/>
          </w:rPr>
          <w:t>240</w:t>
        </w:r>
        <w:r w:rsidR="0012026B">
          <w:rPr>
            <w:noProof/>
            <w:webHidden/>
          </w:rPr>
          <w:fldChar w:fldCharType="end"/>
        </w:r>
      </w:hyperlink>
    </w:p>
    <w:p w14:paraId="74D151F0" w14:textId="151BA448" w:rsidR="0012026B" w:rsidRDefault="00B32C9A">
      <w:pPr>
        <w:pStyle w:val="TOC4"/>
        <w:tabs>
          <w:tab w:val="right" w:leader="dot" w:pos="9016"/>
        </w:tabs>
        <w:rPr>
          <w:rFonts w:asciiTheme="minorHAnsi" w:eastAsiaTheme="minorEastAsia" w:hAnsiTheme="minorHAnsi"/>
          <w:noProof/>
          <w:sz w:val="22"/>
          <w:lang w:eastAsia="en-GB"/>
        </w:rPr>
      </w:pPr>
      <w:hyperlink w:anchor="_Toc468266892" w:history="1">
        <w:r w:rsidR="0012026B" w:rsidRPr="009765CA">
          <w:rPr>
            <w:rStyle w:val="Hyperlink"/>
            <w:noProof/>
          </w:rPr>
          <w:t xml:space="preserve">Cowlam </w:t>
        </w:r>
        <w:r w:rsidR="0012026B">
          <w:rPr>
            <w:noProof/>
            <w:webHidden/>
          </w:rPr>
          <w:tab/>
        </w:r>
        <w:r w:rsidR="0012026B">
          <w:rPr>
            <w:noProof/>
            <w:webHidden/>
          </w:rPr>
          <w:fldChar w:fldCharType="begin"/>
        </w:r>
        <w:r w:rsidR="0012026B">
          <w:rPr>
            <w:noProof/>
            <w:webHidden/>
          </w:rPr>
          <w:instrText xml:space="preserve"> PAGEREF _Toc468266892 \h </w:instrText>
        </w:r>
        <w:r w:rsidR="0012026B">
          <w:rPr>
            <w:noProof/>
            <w:webHidden/>
          </w:rPr>
        </w:r>
        <w:r w:rsidR="0012026B">
          <w:rPr>
            <w:noProof/>
            <w:webHidden/>
          </w:rPr>
          <w:fldChar w:fldCharType="separate"/>
        </w:r>
        <w:r w:rsidR="0012026B">
          <w:rPr>
            <w:noProof/>
            <w:webHidden/>
          </w:rPr>
          <w:t>241</w:t>
        </w:r>
        <w:r w:rsidR="0012026B">
          <w:rPr>
            <w:noProof/>
            <w:webHidden/>
          </w:rPr>
          <w:fldChar w:fldCharType="end"/>
        </w:r>
      </w:hyperlink>
    </w:p>
    <w:p w14:paraId="1D41478B" w14:textId="5DA922C4" w:rsidR="0012026B" w:rsidRDefault="00B32C9A">
      <w:pPr>
        <w:pStyle w:val="TOC4"/>
        <w:tabs>
          <w:tab w:val="right" w:leader="dot" w:pos="9016"/>
        </w:tabs>
        <w:rPr>
          <w:rFonts w:asciiTheme="minorHAnsi" w:eastAsiaTheme="minorEastAsia" w:hAnsiTheme="minorHAnsi"/>
          <w:noProof/>
          <w:sz w:val="22"/>
          <w:lang w:eastAsia="en-GB"/>
        </w:rPr>
      </w:pPr>
      <w:hyperlink w:anchor="_Toc468266893" w:history="1">
        <w:r w:rsidR="0012026B" w:rsidRPr="009765CA">
          <w:rPr>
            <w:rStyle w:val="Hyperlink"/>
            <w:noProof/>
          </w:rPr>
          <w:t>Burdale</w:t>
        </w:r>
        <w:r w:rsidR="0012026B">
          <w:rPr>
            <w:noProof/>
            <w:webHidden/>
          </w:rPr>
          <w:tab/>
        </w:r>
        <w:r w:rsidR="0012026B">
          <w:rPr>
            <w:noProof/>
            <w:webHidden/>
          </w:rPr>
          <w:fldChar w:fldCharType="begin"/>
        </w:r>
        <w:r w:rsidR="0012026B">
          <w:rPr>
            <w:noProof/>
            <w:webHidden/>
          </w:rPr>
          <w:instrText xml:space="preserve"> PAGEREF _Toc468266893 \h </w:instrText>
        </w:r>
        <w:r w:rsidR="0012026B">
          <w:rPr>
            <w:noProof/>
            <w:webHidden/>
          </w:rPr>
        </w:r>
        <w:r w:rsidR="0012026B">
          <w:rPr>
            <w:noProof/>
            <w:webHidden/>
          </w:rPr>
          <w:fldChar w:fldCharType="separate"/>
        </w:r>
        <w:r w:rsidR="0012026B">
          <w:rPr>
            <w:noProof/>
            <w:webHidden/>
          </w:rPr>
          <w:t>242</w:t>
        </w:r>
        <w:r w:rsidR="0012026B">
          <w:rPr>
            <w:noProof/>
            <w:webHidden/>
          </w:rPr>
          <w:fldChar w:fldCharType="end"/>
        </w:r>
      </w:hyperlink>
    </w:p>
    <w:p w14:paraId="6C6273F0" w14:textId="09019822" w:rsidR="0012026B" w:rsidRDefault="00B32C9A">
      <w:pPr>
        <w:pStyle w:val="TOC4"/>
        <w:tabs>
          <w:tab w:val="right" w:leader="dot" w:pos="9016"/>
        </w:tabs>
        <w:rPr>
          <w:rFonts w:asciiTheme="minorHAnsi" w:eastAsiaTheme="minorEastAsia" w:hAnsiTheme="minorHAnsi"/>
          <w:noProof/>
          <w:sz w:val="22"/>
          <w:lang w:eastAsia="en-GB"/>
        </w:rPr>
      </w:pPr>
      <w:hyperlink w:anchor="_Toc468266894" w:history="1">
        <w:r w:rsidR="0012026B" w:rsidRPr="009765CA">
          <w:rPr>
            <w:rStyle w:val="Hyperlink"/>
            <w:rFonts w:eastAsia="Times New Roman"/>
            <w:noProof/>
            <w:lang w:eastAsia="en-GB"/>
          </w:rPr>
          <w:t>Driffield</w:t>
        </w:r>
        <w:r w:rsidR="0012026B">
          <w:rPr>
            <w:noProof/>
            <w:webHidden/>
          </w:rPr>
          <w:tab/>
        </w:r>
        <w:r w:rsidR="0012026B">
          <w:rPr>
            <w:noProof/>
            <w:webHidden/>
          </w:rPr>
          <w:fldChar w:fldCharType="begin"/>
        </w:r>
        <w:r w:rsidR="0012026B">
          <w:rPr>
            <w:noProof/>
            <w:webHidden/>
          </w:rPr>
          <w:instrText xml:space="preserve"> PAGEREF _Toc468266894 \h </w:instrText>
        </w:r>
        <w:r w:rsidR="0012026B">
          <w:rPr>
            <w:noProof/>
            <w:webHidden/>
          </w:rPr>
        </w:r>
        <w:r w:rsidR="0012026B">
          <w:rPr>
            <w:noProof/>
            <w:webHidden/>
          </w:rPr>
          <w:fldChar w:fldCharType="separate"/>
        </w:r>
        <w:r w:rsidR="0012026B">
          <w:rPr>
            <w:noProof/>
            <w:webHidden/>
          </w:rPr>
          <w:t>243</w:t>
        </w:r>
        <w:r w:rsidR="0012026B">
          <w:rPr>
            <w:noProof/>
            <w:webHidden/>
          </w:rPr>
          <w:fldChar w:fldCharType="end"/>
        </w:r>
      </w:hyperlink>
    </w:p>
    <w:p w14:paraId="1806B33A" w14:textId="63385A4C" w:rsidR="0012026B" w:rsidRDefault="00B32C9A">
      <w:pPr>
        <w:pStyle w:val="TOC4"/>
        <w:tabs>
          <w:tab w:val="right" w:leader="dot" w:pos="9016"/>
        </w:tabs>
        <w:rPr>
          <w:rFonts w:asciiTheme="minorHAnsi" w:eastAsiaTheme="minorEastAsia" w:hAnsiTheme="minorHAnsi"/>
          <w:noProof/>
          <w:sz w:val="22"/>
          <w:lang w:eastAsia="en-GB"/>
        </w:rPr>
      </w:pPr>
      <w:hyperlink w:anchor="_Toc468266895" w:history="1">
        <w:r w:rsidR="0012026B" w:rsidRPr="009765CA">
          <w:rPr>
            <w:rStyle w:val="Hyperlink"/>
            <w:noProof/>
          </w:rPr>
          <w:t>Wharram Percy</w:t>
        </w:r>
        <w:r w:rsidR="0012026B">
          <w:rPr>
            <w:noProof/>
            <w:webHidden/>
          </w:rPr>
          <w:tab/>
        </w:r>
        <w:r w:rsidR="0012026B">
          <w:rPr>
            <w:noProof/>
            <w:webHidden/>
          </w:rPr>
          <w:fldChar w:fldCharType="begin"/>
        </w:r>
        <w:r w:rsidR="0012026B">
          <w:rPr>
            <w:noProof/>
            <w:webHidden/>
          </w:rPr>
          <w:instrText xml:space="preserve"> PAGEREF _Toc468266895 \h </w:instrText>
        </w:r>
        <w:r w:rsidR="0012026B">
          <w:rPr>
            <w:noProof/>
            <w:webHidden/>
          </w:rPr>
        </w:r>
        <w:r w:rsidR="0012026B">
          <w:rPr>
            <w:noProof/>
            <w:webHidden/>
          </w:rPr>
          <w:fldChar w:fldCharType="separate"/>
        </w:r>
        <w:r w:rsidR="0012026B">
          <w:rPr>
            <w:noProof/>
            <w:webHidden/>
          </w:rPr>
          <w:t>247</w:t>
        </w:r>
        <w:r w:rsidR="0012026B">
          <w:rPr>
            <w:noProof/>
            <w:webHidden/>
          </w:rPr>
          <w:fldChar w:fldCharType="end"/>
        </w:r>
      </w:hyperlink>
    </w:p>
    <w:p w14:paraId="5416876B" w14:textId="271E5621" w:rsidR="0012026B" w:rsidRDefault="00B32C9A">
      <w:pPr>
        <w:pStyle w:val="TOC4"/>
        <w:tabs>
          <w:tab w:val="right" w:leader="dot" w:pos="9016"/>
        </w:tabs>
        <w:rPr>
          <w:rFonts w:asciiTheme="minorHAnsi" w:eastAsiaTheme="minorEastAsia" w:hAnsiTheme="minorHAnsi"/>
          <w:noProof/>
          <w:sz w:val="22"/>
          <w:lang w:eastAsia="en-GB"/>
        </w:rPr>
      </w:pPr>
      <w:hyperlink w:anchor="_Toc468266896" w:history="1">
        <w:r w:rsidR="0012026B" w:rsidRPr="009765CA">
          <w:rPr>
            <w:rStyle w:val="Hyperlink"/>
            <w:noProof/>
          </w:rPr>
          <w:t>Garton-on-the-Wolds</w:t>
        </w:r>
        <w:r w:rsidR="0012026B">
          <w:rPr>
            <w:noProof/>
            <w:webHidden/>
          </w:rPr>
          <w:tab/>
        </w:r>
        <w:r w:rsidR="0012026B">
          <w:rPr>
            <w:noProof/>
            <w:webHidden/>
          </w:rPr>
          <w:fldChar w:fldCharType="begin"/>
        </w:r>
        <w:r w:rsidR="0012026B">
          <w:rPr>
            <w:noProof/>
            <w:webHidden/>
          </w:rPr>
          <w:instrText xml:space="preserve"> PAGEREF _Toc468266896 \h </w:instrText>
        </w:r>
        <w:r w:rsidR="0012026B">
          <w:rPr>
            <w:noProof/>
            <w:webHidden/>
          </w:rPr>
        </w:r>
        <w:r w:rsidR="0012026B">
          <w:rPr>
            <w:noProof/>
            <w:webHidden/>
          </w:rPr>
          <w:fldChar w:fldCharType="separate"/>
        </w:r>
        <w:r w:rsidR="0012026B">
          <w:rPr>
            <w:noProof/>
            <w:webHidden/>
          </w:rPr>
          <w:t>249</w:t>
        </w:r>
        <w:r w:rsidR="0012026B">
          <w:rPr>
            <w:noProof/>
            <w:webHidden/>
          </w:rPr>
          <w:fldChar w:fldCharType="end"/>
        </w:r>
      </w:hyperlink>
    </w:p>
    <w:p w14:paraId="7F55FB6B" w14:textId="497CC7ED" w:rsidR="0012026B" w:rsidRDefault="00B32C9A">
      <w:pPr>
        <w:pStyle w:val="TOC4"/>
        <w:tabs>
          <w:tab w:val="right" w:leader="dot" w:pos="9016"/>
        </w:tabs>
        <w:rPr>
          <w:rFonts w:asciiTheme="minorHAnsi" w:eastAsiaTheme="minorEastAsia" w:hAnsiTheme="minorHAnsi"/>
          <w:noProof/>
          <w:sz w:val="22"/>
          <w:lang w:eastAsia="en-GB"/>
        </w:rPr>
      </w:pPr>
      <w:hyperlink w:anchor="_Toc468266897" w:history="1">
        <w:r w:rsidR="0012026B" w:rsidRPr="009765CA">
          <w:rPr>
            <w:rStyle w:val="Hyperlink"/>
            <w:rFonts w:eastAsia="Times New Roman"/>
            <w:noProof/>
            <w:lang w:eastAsia="en-GB"/>
          </w:rPr>
          <w:t>Wetwang</w:t>
        </w:r>
        <w:r w:rsidR="0012026B">
          <w:rPr>
            <w:noProof/>
            <w:webHidden/>
          </w:rPr>
          <w:tab/>
        </w:r>
        <w:r w:rsidR="0012026B">
          <w:rPr>
            <w:noProof/>
            <w:webHidden/>
          </w:rPr>
          <w:fldChar w:fldCharType="begin"/>
        </w:r>
        <w:r w:rsidR="0012026B">
          <w:rPr>
            <w:noProof/>
            <w:webHidden/>
          </w:rPr>
          <w:instrText xml:space="preserve"> PAGEREF _Toc468266897 \h </w:instrText>
        </w:r>
        <w:r w:rsidR="0012026B">
          <w:rPr>
            <w:noProof/>
            <w:webHidden/>
          </w:rPr>
        </w:r>
        <w:r w:rsidR="0012026B">
          <w:rPr>
            <w:noProof/>
            <w:webHidden/>
          </w:rPr>
          <w:fldChar w:fldCharType="separate"/>
        </w:r>
        <w:r w:rsidR="0012026B">
          <w:rPr>
            <w:noProof/>
            <w:webHidden/>
          </w:rPr>
          <w:t>251</w:t>
        </w:r>
        <w:r w:rsidR="0012026B">
          <w:rPr>
            <w:noProof/>
            <w:webHidden/>
          </w:rPr>
          <w:fldChar w:fldCharType="end"/>
        </w:r>
      </w:hyperlink>
    </w:p>
    <w:p w14:paraId="209B3920" w14:textId="1C9F28E2" w:rsidR="0012026B" w:rsidRDefault="00B32C9A">
      <w:pPr>
        <w:pStyle w:val="TOC4"/>
        <w:tabs>
          <w:tab w:val="right" w:leader="dot" w:pos="9016"/>
        </w:tabs>
        <w:rPr>
          <w:rFonts w:asciiTheme="minorHAnsi" w:eastAsiaTheme="minorEastAsia" w:hAnsiTheme="minorHAnsi"/>
          <w:noProof/>
          <w:sz w:val="22"/>
          <w:lang w:eastAsia="en-GB"/>
        </w:rPr>
      </w:pPr>
      <w:hyperlink w:anchor="_Toc468266898" w:history="1">
        <w:r w:rsidR="0012026B" w:rsidRPr="009765CA">
          <w:rPr>
            <w:rStyle w:val="Hyperlink"/>
            <w:noProof/>
          </w:rPr>
          <w:t>Small Sites</w:t>
        </w:r>
        <w:r w:rsidR="0012026B">
          <w:rPr>
            <w:noProof/>
            <w:webHidden/>
          </w:rPr>
          <w:tab/>
        </w:r>
        <w:r w:rsidR="0012026B">
          <w:rPr>
            <w:noProof/>
            <w:webHidden/>
          </w:rPr>
          <w:fldChar w:fldCharType="begin"/>
        </w:r>
        <w:r w:rsidR="0012026B">
          <w:rPr>
            <w:noProof/>
            <w:webHidden/>
          </w:rPr>
          <w:instrText xml:space="preserve"> PAGEREF _Toc468266898 \h </w:instrText>
        </w:r>
        <w:r w:rsidR="0012026B">
          <w:rPr>
            <w:noProof/>
            <w:webHidden/>
          </w:rPr>
        </w:r>
        <w:r w:rsidR="0012026B">
          <w:rPr>
            <w:noProof/>
            <w:webHidden/>
          </w:rPr>
          <w:fldChar w:fldCharType="separate"/>
        </w:r>
        <w:r w:rsidR="0012026B">
          <w:rPr>
            <w:noProof/>
            <w:webHidden/>
          </w:rPr>
          <w:t>251</w:t>
        </w:r>
        <w:r w:rsidR="0012026B">
          <w:rPr>
            <w:noProof/>
            <w:webHidden/>
          </w:rPr>
          <w:fldChar w:fldCharType="end"/>
        </w:r>
      </w:hyperlink>
    </w:p>
    <w:p w14:paraId="7DEB40D6" w14:textId="63452375" w:rsidR="0012026B" w:rsidRDefault="00B32C9A">
      <w:pPr>
        <w:pStyle w:val="TOC3"/>
        <w:tabs>
          <w:tab w:val="right" w:leader="dot" w:pos="9016"/>
        </w:tabs>
        <w:rPr>
          <w:rFonts w:asciiTheme="minorHAnsi" w:eastAsiaTheme="minorEastAsia" w:hAnsiTheme="minorHAnsi"/>
          <w:noProof/>
          <w:sz w:val="22"/>
          <w:lang w:eastAsia="en-GB"/>
        </w:rPr>
      </w:pPr>
      <w:hyperlink w:anchor="_Toc468266899" w:history="1">
        <w:r w:rsidR="0012026B" w:rsidRPr="009765CA">
          <w:rPr>
            <w:rStyle w:val="Hyperlink"/>
            <w:noProof/>
          </w:rPr>
          <w:t>Numismatic Summary - Wolds central</w:t>
        </w:r>
        <w:r w:rsidR="0012026B">
          <w:rPr>
            <w:noProof/>
            <w:webHidden/>
          </w:rPr>
          <w:tab/>
        </w:r>
        <w:r w:rsidR="0012026B">
          <w:rPr>
            <w:noProof/>
            <w:webHidden/>
          </w:rPr>
          <w:fldChar w:fldCharType="begin"/>
        </w:r>
        <w:r w:rsidR="0012026B">
          <w:rPr>
            <w:noProof/>
            <w:webHidden/>
          </w:rPr>
          <w:instrText xml:space="preserve"> PAGEREF _Toc468266899 \h </w:instrText>
        </w:r>
        <w:r w:rsidR="0012026B">
          <w:rPr>
            <w:noProof/>
            <w:webHidden/>
          </w:rPr>
        </w:r>
        <w:r w:rsidR="0012026B">
          <w:rPr>
            <w:noProof/>
            <w:webHidden/>
          </w:rPr>
          <w:fldChar w:fldCharType="separate"/>
        </w:r>
        <w:r w:rsidR="0012026B">
          <w:rPr>
            <w:noProof/>
            <w:webHidden/>
          </w:rPr>
          <w:t>252</w:t>
        </w:r>
        <w:r w:rsidR="0012026B">
          <w:rPr>
            <w:noProof/>
            <w:webHidden/>
          </w:rPr>
          <w:fldChar w:fldCharType="end"/>
        </w:r>
      </w:hyperlink>
    </w:p>
    <w:p w14:paraId="45234522" w14:textId="32C5A3BC" w:rsidR="0012026B" w:rsidRDefault="00B32C9A">
      <w:pPr>
        <w:pStyle w:val="TOC3"/>
        <w:tabs>
          <w:tab w:val="right" w:leader="dot" w:pos="9016"/>
        </w:tabs>
        <w:rPr>
          <w:rFonts w:asciiTheme="minorHAnsi" w:eastAsiaTheme="minorEastAsia" w:hAnsiTheme="minorHAnsi"/>
          <w:noProof/>
          <w:sz w:val="22"/>
          <w:lang w:eastAsia="en-GB"/>
        </w:rPr>
      </w:pPr>
      <w:hyperlink w:anchor="_Toc468266900" w:history="1">
        <w:r w:rsidR="0012026B" w:rsidRPr="009765CA">
          <w:rPr>
            <w:rStyle w:val="Hyperlink"/>
            <w:noProof/>
          </w:rPr>
          <w:t>The Artefactual Dataset - Wolds central</w:t>
        </w:r>
        <w:r w:rsidR="0012026B">
          <w:rPr>
            <w:noProof/>
            <w:webHidden/>
          </w:rPr>
          <w:tab/>
        </w:r>
        <w:r w:rsidR="0012026B">
          <w:rPr>
            <w:noProof/>
            <w:webHidden/>
          </w:rPr>
          <w:fldChar w:fldCharType="begin"/>
        </w:r>
        <w:r w:rsidR="0012026B">
          <w:rPr>
            <w:noProof/>
            <w:webHidden/>
          </w:rPr>
          <w:instrText xml:space="preserve"> PAGEREF _Toc468266900 \h </w:instrText>
        </w:r>
        <w:r w:rsidR="0012026B">
          <w:rPr>
            <w:noProof/>
            <w:webHidden/>
          </w:rPr>
        </w:r>
        <w:r w:rsidR="0012026B">
          <w:rPr>
            <w:noProof/>
            <w:webHidden/>
          </w:rPr>
          <w:fldChar w:fldCharType="separate"/>
        </w:r>
        <w:r w:rsidR="0012026B">
          <w:rPr>
            <w:noProof/>
            <w:webHidden/>
          </w:rPr>
          <w:t>252</w:t>
        </w:r>
        <w:r w:rsidR="0012026B">
          <w:rPr>
            <w:noProof/>
            <w:webHidden/>
          </w:rPr>
          <w:fldChar w:fldCharType="end"/>
        </w:r>
      </w:hyperlink>
    </w:p>
    <w:p w14:paraId="751FF8B3" w14:textId="7DEC50D3"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01" w:history="1">
        <w:r w:rsidR="0012026B" w:rsidRPr="009765CA">
          <w:rPr>
            <w:rStyle w:val="Hyperlink"/>
            <w:noProof/>
          </w:rPr>
          <w:t>8.2.3.3</w:t>
        </w:r>
        <w:r w:rsidR="0012026B">
          <w:rPr>
            <w:rFonts w:asciiTheme="minorHAnsi" w:eastAsiaTheme="minorEastAsia" w:hAnsiTheme="minorHAnsi"/>
            <w:noProof/>
            <w:sz w:val="22"/>
            <w:lang w:eastAsia="en-GB"/>
          </w:rPr>
          <w:tab/>
        </w:r>
        <w:r w:rsidR="0012026B" w:rsidRPr="009765CA">
          <w:rPr>
            <w:rStyle w:val="Hyperlink"/>
            <w:noProof/>
          </w:rPr>
          <w:t>Wolds east – Site Studies</w:t>
        </w:r>
        <w:r w:rsidR="0012026B">
          <w:rPr>
            <w:noProof/>
            <w:webHidden/>
          </w:rPr>
          <w:tab/>
        </w:r>
        <w:r w:rsidR="0012026B">
          <w:rPr>
            <w:noProof/>
            <w:webHidden/>
          </w:rPr>
          <w:fldChar w:fldCharType="begin"/>
        </w:r>
        <w:r w:rsidR="0012026B">
          <w:rPr>
            <w:noProof/>
            <w:webHidden/>
          </w:rPr>
          <w:instrText xml:space="preserve"> PAGEREF _Toc468266901 \h </w:instrText>
        </w:r>
        <w:r w:rsidR="0012026B">
          <w:rPr>
            <w:noProof/>
            <w:webHidden/>
          </w:rPr>
        </w:r>
        <w:r w:rsidR="0012026B">
          <w:rPr>
            <w:noProof/>
            <w:webHidden/>
          </w:rPr>
          <w:fldChar w:fldCharType="separate"/>
        </w:r>
        <w:r w:rsidR="0012026B">
          <w:rPr>
            <w:noProof/>
            <w:webHidden/>
          </w:rPr>
          <w:t>253</w:t>
        </w:r>
        <w:r w:rsidR="0012026B">
          <w:rPr>
            <w:noProof/>
            <w:webHidden/>
          </w:rPr>
          <w:fldChar w:fldCharType="end"/>
        </w:r>
      </w:hyperlink>
    </w:p>
    <w:p w14:paraId="6694D294" w14:textId="53BE339C" w:rsidR="0012026B" w:rsidRDefault="00B32C9A">
      <w:pPr>
        <w:pStyle w:val="TOC4"/>
        <w:tabs>
          <w:tab w:val="right" w:leader="dot" w:pos="9016"/>
        </w:tabs>
        <w:rPr>
          <w:rFonts w:asciiTheme="minorHAnsi" w:eastAsiaTheme="minorEastAsia" w:hAnsiTheme="minorHAnsi"/>
          <w:noProof/>
          <w:sz w:val="22"/>
          <w:lang w:eastAsia="en-GB"/>
        </w:rPr>
      </w:pPr>
      <w:hyperlink w:anchor="_Toc468266902" w:history="1">
        <w:r w:rsidR="0012026B" w:rsidRPr="009765CA">
          <w:rPr>
            <w:rStyle w:val="Hyperlink"/>
            <w:noProof/>
          </w:rPr>
          <w:t>Kilham</w:t>
        </w:r>
        <w:r w:rsidR="0012026B">
          <w:rPr>
            <w:noProof/>
            <w:webHidden/>
          </w:rPr>
          <w:tab/>
        </w:r>
        <w:r w:rsidR="0012026B">
          <w:rPr>
            <w:noProof/>
            <w:webHidden/>
          </w:rPr>
          <w:fldChar w:fldCharType="begin"/>
        </w:r>
        <w:r w:rsidR="0012026B">
          <w:rPr>
            <w:noProof/>
            <w:webHidden/>
          </w:rPr>
          <w:instrText xml:space="preserve"> PAGEREF _Toc468266902 \h </w:instrText>
        </w:r>
        <w:r w:rsidR="0012026B">
          <w:rPr>
            <w:noProof/>
            <w:webHidden/>
          </w:rPr>
        </w:r>
        <w:r w:rsidR="0012026B">
          <w:rPr>
            <w:noProof/>
            <w:webHidden/>
          </w:rPr>
          <w:fldChar w:fldCharType="separate"/>
        </w:r>
        <w:r w:rsidR="0012026B">
          <w:rPr>
            <w:noProof/>
            <w:webHidden/>
          </w:rPr>
          <w:t>253</w:t>
        </w:r>
        <w:r w:rsidR="0012026B">
          <w:rPr>
            <w:noProof/>
            <w:webHidden/>
          </w:rPr>
          <w:fldChar w:fldCharType="end"/>
        </w:r>
      </w:hyperlink>
    </w:p>
    <w:p w14:paraId="765F52CD" w14:textId="13AD9277" w:rsidR="0012026B" w:rsidRDefault="00B32C9A">
      <w:pPr>
        <w:pStyle w:val="TOC4"/>
        <w:tabs>
          <w:tab w:val="right" w:leader="dot" w:pos="9016"/>
        </w:tabs>
        <w:rPr>
          <w:rFonts w:asciiTheme="minorHAnsi" w:eastAsiaTheme="minorEastAsia" w:hAnsiTheme="minorHAnsi"/>
          <w:noProof/>
          <w:sz w:val="22"/>
          <w:lang w:eastAsia="en-GB"/>
        </w:rPr>
      </w:pPr>
      <w:hyperlink w:anchor="_Toc468266903" w:history="1">
        <w:r w:rsidR="0012026B" w:rsidRPr="009765CA">
          <w:rPr>
            <w:rStyle w:val="Hyperlink"/>
            <w:noProof/>
          </w:rPr>
          <w:t>Thwing (Paddock Hill)</w:t>
        </w:r>
        <w:r w:rsidR="0012026B">
          <w:rPr>
            <w:noProof/>
            <w:webHidden/>
          </w:rPr>
          <w:tab/>
        </w:r>
        <w:r w:rsidR="0012026B">
          <w:rPr>
            <w:noProof/>
            <w:webHidden/>
          </w:rPr>
          <w:fldChar w:fldCharType="begin"/>
        </w:r>
        <w:r w:rsidR="0012026B">
          <w:rPr>
            <w:noProof/>
            <w:webHidden/>
          </w:rPr>
          <w:instrText xml:space="preserve"> PAGEREF _Toc468266903 \h </w:instrText>
        </w:r>
        <w:r w:rsidR="0012026B">
          <w:rPr>
            <w:noProof/>
            <w:webHidden/>
          </w:rPr>
        </w:r>
        <w:r w:rsidR="0012026B">
          <w:rPr>
            <w:noProof/>
            <w:webHidden/>
          </w:rPr>
          <w:fldChar w:fldCharType="separate"/>
        </w:r>
        <w:r w:rsidR="0012026B">
          <w:rPr>
            <w:noProof/>
            <w:webHidden/>
          </w:rPr>
          <w:t>255</w:t>
        </w:r>
        <w:r w:rsidR="0012026B">
          <w:rPr>
            <w:noProof/>
            <w:webHidden/>
          </w:rPr>
          <w:fldChar w:fldCharType="end"/>
        </w:r>
      </w:hyperlink>
    </w:p>
    <w:p w14:paraId="41F876E9" w14:textId="16C26DF9" w:rsidR="0012026B" w:rsidRDefault="00B32C9A">
      <w:pPr>
        <w:pStyle w:val="TOC4"/>
        <w:tabs>
          <w:tab w:val="right" w:leader="dot" w:pos="9016"/>
        </w:tabs>
        <w:rPr>
          <w:rFonts w:asciiTheme="minorHAnsi" w:eastAsiaTheme="minorEastAsia" w:hAnsiTheme="minorHAnsi"/>
          <w:noProof/>
          <w:sz w:val="22"/>
          <w:lang w:eastAsia="en-GB"/>
        </w:rPr>
      </w:pPr>
      <w:hyperlink w:anchor="_Toc468266904" w:history="1">
        <w:r w:rsidR="0012026B" w:rsidRPr="009765CA">
          <w:rPr>
            <w:rStyle w:val="Hyperlink"/>
            <w:noProof/>
          </w:rPr>
          <w:t>Burton Fleming</w:t>
        </w:r>
        <w:r w:rsidR="0012026B">
          <w:rPr>
            <w:noProof/>
            <w:webHidden/>
          </w:rPr>
          <w:tab/>
        </w:r>
        <w:r w:rsidR="0012026B">
          <w:rPr>
            <w:noProof/>
            <w:webHidden/>
          </w:rPr>
          <w:fldChar w:fldCharType="begin"/>
        </w:r>
        <w:r w:rsidR="0012026B">
          <w:rPr>
            <w:noProof/>
            <w:webHidden/>
          </w:rPr>
          <w:instrText xml:space="preserve"> PAGEREF _Toc468266904 \h </w:instrText>
        </w:r>
        <w:r w:rsidR="0012026B">
          <w:rPr>
            <w:noProof/>
            <w:webHidden/>
          </w:rPr>
        </w:r>
        <w:r w:rsidR="0012026B">
          <w:rPr>
            <w:noProof/>
            <w:webHidden/>
          </w:rPr>
          <w:fldChar w:fldCharType="separate"/>
        </w:r>
        <w:r w:rsidR="0012026B">
          <w:rPr>
            <w:noProof/>
            <w:webHidden/>
          </w:rPr>
          <w:t>257</w:t>
        </w:r>
        <w:r w:rsidR="0012026B">
          <w:rPr>
            <w:noProof/>
            <w:webHidden/>
          </w:rPr>
          <w:fldChar w:fldCharType="end"/>
        </w:r>
      </w:hyperlink>
    </w:p>
    <w:p w14:paraId="73F6ACF8" w14:textId="14F7AC3F" w:rsidR="0012026B" w:rsidRDefault="00B32C9A">
      <w:pPr>
        <w:pStyle w:val="TOC4"/>
        <w:tabs>
          <w:tab w:val="right" w:leader="dot" w:pos="9016"/>
        </w:tabs>
        <w:rPr>
          <w:rFonts w:asciiTheme="minorHAnsi" w:eastAsiaTheme="minorEastAsia" w:hAnsiTheme="minorHAnsi"/>
          <w:noProof/>
          <w:sz w:val="22"/>
          <w:lang w:eastAsia="en-GB"/>
        </w:rPr>
      </w:pPr>
      <w:hyperlink w:anchor="_Toc468266905" w:history="1">
        <w:r w:rsidR="0012026B" w:rsidRPr="009765CA">
          <w:rPr>
            <w:rStyle w:val="Hyperlink"/>
            <w:noProof/>
          </w:rPr>
          <w:t>Rudston</w:t>
        </w:r>
        <w:r w:rsidR="0012026B">
          <w:rPr>
            <w:noProof/>
            <w:webHidden/>
          </w:rPr>
          <w:tab/>
        </w:r>
        <w:r w:rsidR="0012026B">
          <w:rPr>
            <w:noProof/>
            <w:webHidden/>
          </w:rPr>
          <w:fldChar w:fldCharType="begin"/>
        </w:r>
        <w:r w:rsidR="0012026B">
          <w:rPr>
            <w:noProof/>
            <w:webHidden/>
          </w:rPr>
          <w:instrText xml:space="preserve"> PAGEREF _Toc468266905 \h </w:instrText>
        </w:r>
        <w:r w:rsidR="0012026B">
          <w:rPr>
            <w:noProof/>
            <w:webHidden/>
          </w:rPr>
        </w:r>
        <w:r w:rsidR="0012026B">
          <w:rPr>
            <w:noProof/>
            <w:webHidden/>
          </w:rPr>
          <w:fldChar w:fldCharType="separate"/>
        </w:r>
        <w:r w:rsidR="0012026B">
          <w:rPr>
            <w:noProof/>
            <w:webHidden/>
          </w:rPr>
          <w:t>257</w:t>
        </w:r>
        <w:r w:rsidR="0012026B">
          <w:rPr>
            <w:noProof/>
            <w:webHidden/>
          </w:rPr>
          <w:fldChar w:fldCharType="end"/>
        </w:r>
      </w:hyperlink>
    </w:p>
    <w:p w14:paraId="5956AE9D" w14:textId="26646A70" w:rsidR="0012026B" w:rsidRDefault="00B32C9A">
      <w:pPr>
        <w:pStyle w:val="TOC4"/>
        <w:tabs>
          <w:tab w:val="right" w:leader="dot" w:pos="9016"/>
        </w:tabs>
        <w:rPr>
          <w:rFonts w:asciiTheme="minorHAnsi" w:eastAsiaTheme="minorEastAsia" w:hAnsiTheme="minorHAnsi"/>
          <w:noProof/>
          <w:sz w:val="22"/>
          <w:lang w:eastAsia="en-GB"/>
        </w:rPr>
      </w:pPr>
      <w:hyperlink w:anchor="_Toc468266906" w:history="1">
        <w:r w:rsidR="0012026B" w:rsidRPr="009765CA">
          <w:rPr>
            <w:rStyle w:val="Hyperlink"/>
            <w:noProof/>
          </w:rPr>
          <w:t>Boynton</w:t>
        </w:r>
        <w:r w:rsidR="0012026B">
          <w:rPr>
            <w:noProof/>
            <w:webHidden/>
          </w:rPr>
          <w:tab/>
        </w:r>
        <w:r w:rsidR="0012026B">
          <w:rPr>
            <w:noProof/>
            <w:webHidden/>
          </w:rPr>
          <w:fldChar w:fldCharType="begin"/>
        </w:r>
        <w:r w:rsidR="0012026B">
          <w:rPr>
            <w:noProof/>
            <w:webHidden/>
          </w:rPr>
          <w:instrText xml:space="preserve"> PAGEREF _Toc468266906 \h </w:instrText>
        </w:r>
        <w:r w:rsidR="0012026B">
          <w:rPr>
            <w:noProof/>
            <w:webHidden/>
          </w:rPr>
        </w:r>
        <w:r w:rsidR="0012026B">
          <w:rPr>
            <w:noProof/>
            <w:webHidden/>
          </w:rPr>
          <w:fldChar w:fldCharType="separate"/>
        </w:r>
        <w:r w:rsidR="0012026B">
          <w:rPr>
            <w:noProof/>
            <w:webHidden/>
          </w:rPr>
          <w:t>258</w:t>
        </w:r>
        <w:r w:rsidR="0012026B">
          <w:rPr>
            <w:noProof/>
            <w:webHidden/>
          </w:rPr>
          <w:fldChar w:fldCharType="end"/>
        </w:r>
      </w:hyperlink>
    </w:p>
    <w:p w14:paraId="6D759513" w14:textId="787C073C" w:rsidR="0012026B" w:rsidRDefault="00B32C9A">
      <w:pPr>
        <w:pStyle w:val="TOC3"/>
        <w:tabs>
          <w:tab w:val="right" w:leader="dot" w:pos="9016"/>
        </w:tabs>
        <w:rPr>
          <w:rFonts w:asciiTheme="minorHAnsi" w:eastAsiaTheme="minorEastAsia" w:hAnsiTheme="minorHAnsi"/>
          <w:noProof/>
          <w:sz w:val="22"/>
          <w:lang w:eastAsia="en-GB"/>
        </w:rPr>
      </w:pPr>
      <w:hyperlink w:anchor="_Toc468266907" w:history="1">
        <w:r w:rsidR="0012026B" w:rsidRPr="009765CA">
          <w:rPr>
            <w:rStyle w:val="Hyperlink"/>
            <w:noProof/>
          </w:rPr>
          <w:t>Grave Goods and Small hoards – Wolds east</w:t>
        </w:r>
        <w:r w:rsidR="0012026B">
          <w:rPr>
            <w:noProof/>
            <w:webHidden/>
          </w:rPr>
          <w:tab/>
        </w:r>
        <w:r w:rsidR="0012026B">
          <w:rPr>
            <w:noProof/>
            <w:webHidden/>
          </w:rPr>
          <w:fldChar w:fldCharType="begin"/>
        </w:r>
        <w:r w:rsidR="0012026B">
          <w:rPr>
            <w:noProof/>
            <w:webHidden/>
          </w:rPr>
          <w:instrText xml:space="preserve"> PAGEREF _Toc468266907 \h </w:instrText>
        </w:r>
        <w:r w:rsidR="0012026B">
          <w:rPr>
            <w:noProof/>
            <w:webHidden/>
          </w:rPr>
        </w:r>
        <w:r w:rsidR="0012026B">
          <w:rPr>
            <w:noProof/>
            <w:webHidden/>
          </w:rPr>
          <w:fldChar w:fldCharType="separate"/>
        </w:r>
        <w:r w:rsidR="0012026B">
          <w:rPr>
            <w:noProof/>
            <w:webHidden/>
          </w:rPr>
          <w:t>259</w:t>
        </w:r>
        <w:r w:rsidR="0012026B">
          <w:rPr>
            <w:noProof/>
            <w:webHidden/>
          </w:rPr>
          <w:fldChar w:fldCharType="end"/>
        </w:r>
      </w:hyperlink>
    </w:p>
    <w:p w14:paraId="52E4E426" w14:textId="4AEB35AF" w:rsidR="0012026B" w:rsidRDefault="00B32C9A">
      <w:pPr>
        <w:pStyle w:val="TOC3"/>
        <w:tabs>
          <w:tab w:val="right" w:leader="dot" w:pos="9016"/>
        </w:tabs>
        <w:rPr>
          <w:rFonts w:asciiTheme="minorHAnsi" w:eastAsiaTheme="minorEastAsia" w:hAnsiTheme="minorHAnsi"/>
          <w:noProof/>
          <w:sz w:val="22"/>
          <w:lang w:eastAsia="en-GB"/>
        </w:rPr>
      </w:pPr>
      <w:hyperlink w:anchor="_Toc468266908" w:history="1">
        <w:r w:rsidR="0012026B" w:rsidRPr="009765CA">
          <w:rPr>
            <w:rStyle w:val="Hyperlink"/>
            <w:noProof/>
          </w:rPr>
          <w:t>Numismatic Summary – Wolds east</w:t>
        </w:r>
        <w:r w:rsidR="0012026B">
          <w:rPr>
            <w:noProof/>
            <w:webHidden/>
          </w:rPr>
          <w:tab/>
        </w:r>
        <w:r w:rsidR="0012026B">
          <w:rPr>
            <w:noProof/>
            <w:webHidden/>
          </w:rPr>
          <w:fldChar w:fldCharType="begin"/>
        </w:r>
        <w:r w:rsidR="0012026B">
          <w:rPr>
            <w:noProof/>
            <w:webHidden/>
          </w:rPr>
          <w:instrText xml:space="preserve"> PAGEREF _Toc468266908 \h </w:instrText>
        </w:r>
        <w:r w:rsidR="0012026B">
          <w:rPr>
            <w:noProof/>
            <w:webHidden/>
          </w:rPr>
        </w:r>
        <w:r w:rsidR="0012026B">
          <w:rPr>
            <w:noProof/>
            <w:webHidden/>
          </w:rPr>
          <w:fldChar w:fldCharType="separate"/>
        </w:r>
        <w:r w:rsidR="0012026B">
          <w:rPr>
            <w:noProof/>
            <w:webHidden/>
          </w:rPr>
          <w:t>259</w:t>
        </w:r>
        <w:r w:rsidR="0012026B">
          <w:rPr>
            <w:noProof/>
            <w:webHidden/>
          </w:rPr>
          <w:fldChar w:fldCharType="end"/>
        </w:r>
      </w:hyperlink>
    </w:p>
    <w:p w14:paraId="32117586" w14:textId="650BFF65" w:rsidR="0012026B" w:rsidRDefault="00B32C9A">
      <w:pPr>
        <w:pStyle w:val="TOC3"/>
        <w:tabs>
          <w:tab w:val="right" w:leader="dot" w:pos="9016"/>
        </w:tabs>
        <w:rPr>
          <w:rFonts w:asciiTheme="minorHAnsi" w:eastAsiaTheme="minorEastAsia" w:hAnsiTheme="minorHAnsi"/>
          <w:noProof/>
          <w:sz w:val="22"/>
          <w:lang w:eastAsia="en-GB"/>
        </w:rPr>
      </w:pPr>
      <w:hyperlink w:anchor="_Toc468266909" w:history="1">
        <w:r w:rsidR="0012026B" w:rsidRPr="009765CA">
          <w:rPr>
            <w:rStyle w:val="Hyperlink"/>
            <w:noProof/>
          </w:rPr>
          <w:t>The Artefactual Dataset - Wolds east</w:t>
        </w:r>
        <w:r w:rsidR="0012026B">
          <w:rPr>
            <w:noProof/>
            <w:webHidden/>
          </w:rPr>
          <w:tab/>
        </w:r>
        <w:r w:rsidR="0012026B">
          <w:rPr>
            <w:noProof/>
            <w:webHidden/>
          </w:rPr>
          <w:fldChar w:fldCharType="begin"/>
        </w:r>
        <w:r w:rsidR="0012026B">
          <w:rPr>
            <w:noProof/>
            <w:webHidden/>
          </w:rPr>
          <w:instrText xml:space="preserve"> PAGEREF _Toc468266909 \h </w:instrText>
        </w:r>
        <w:r w:rsidR="0012026B">
          <w:rPr>
            <w:noProof/>
            <w:webHidden/>
          </w:rPr>
        </w:r>
        <w:r w:rsidR="0012026B">
          <w:rPr>
            <w:noProof/>
            <w:webHidden/>
          </w:rPr>
          <w:fldChar w:fldCharType="separate"/>
        </w:r>
        <w:r w:rsidR="0012026B">
          <w:rPr>
            <w:noProof/>
            <w:webHidden/>
          </w:rPr>
          <w:t>260</w:t>
        </w:r>
        <w:r w:rsidR="0012026B">
          <w:rPr>
            <w:noProof/>
            <w:webHidden/>
          </w:rPr>
          <w:fldChar w:fldCharType="end"/>
        </w:r>
      </w:hyperlink>
    </w:p>
    <w:p w14:paraId="62D668D9" w14:textId="21256620"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10" w:history="1">
        <w:r w:rsidR="0012026B" w:rsidRPr="009765CA">
          <w:rPr>
            <w:rStyle w:val="Hyperlink"/>
            <w:noProof/>
          </w:rPr>
          <w:t>8.2.3.4.</w:t>
        </w:r>
        <w:r w:rsidR="0012026B">
          <w:rPr>
            <w:rFonts w:asciiTheme="minorHAnsi" w:eastAsiaTheme="minorEastAsia" w:hAnsiTheme="minorHAnsi"/>
            <w:noProof/>
            <w:sz w:val="22"/>
            <w:lang w:eastAsia="en-GB"/>
          </w:rPr>
          <w:tab/>
        </w:r>
        <w:r w:rsidR="0012026B" w:rsidRPr="009765CA">
          <w:rPr>
            <w:rStyle w:val="Hyperlink"/>
            <w:noProof/>
          </w:rPr>
          <w:t>Comparison to Normal Distribution – Wolds</w:t>
        </w:r>
        <w:r w:rsidR="0012026B">
          <w:rPr>
            <w:noProof/>
            <w:webHidden/>
          </w:rPr>
          <w:tab/>
        </w:r>
        <w:r w:rsidR="0012026B">
          <w:rPr>
            <w:noProof/>
            <w:webHidden/>
          </w:rPr>
          <w:fldChar w:fldCharType="begin"/>
        </w:r>
        <w:r w:rsidR="0012026B">
          <w:rPr>
            <w:noProof/>
            <w:webHidden/>
          </w:rPr>
          <w:instrText xml:space="preserve"> PAGEREF _Toc468266910 \h </w:instrText>
        </w:r>
        <w:r w:rsidR="0012026B">
          <w:rPr>
            <w:noProof/>
            <w:webHidden/>
          </w:rPr>
        </w:r>
        <w:r w:rsidR="0012026B">
          <w:rPr>
            <w:noProof/>
            <w:webHidden/>
          </w:rPr>
          <w:fldChar w:fldCharType="separate"/>
        </w:r>
        <w:r w:rsidR="0012026B">
          <w:rPr>
            <w:noProof/>
            <w:webHidden/>
          </w:rPr>
          <w:t>260</w:t>
        </w:r>
        <w:r w:rsidR="0012026B">
          <w:rPr>
            <w:noProof/>
            <w:webHidden/>
          </w:rPr>
          <w:fldChar w:fldCharType="end"/>
        </w:r>
      </w:hyperlink>
    </w:p>
    <w:p w14:paraId="56813E7F" w14:textId="75947D86"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11" w:history="1">
        <w:r w:rsidR="0012026B" w:rsidRPr="009765CA">
          <w:rPr>
            <w:rStyle w:val="Hyperlink"/>
            <w:noProof/>
          </w:rPr>
          <w:t>8.2.3.5.</w:t>
        </w:r>
        <w:r w:rsidR="0012026B">
          <w:rPr>
            <w:rFonts w:asciiTheme="minorHAnsi" w:eastAsiaTheme="minorEastAsia" w:hAnsiTheme="minorHAnsi"/>
            <w:noProof/>
            <w:sz w:val="22"/>
            <w:lang w:eastAsia="en-GB"/>
          </w:rPr>
          <w:tab/>
        </w:r>
        <w:r w:rsidR="0012026B" w:rsidRPr="009765CA">
          <w:rPr>
            <w:rStyle w:val="Hyperlink"/>
            <w:noProof/>
          </w:rPr>
          <w:t>Comparison to Roman Finds</w:t>
        </w:r>
        <w:r w:rsidR="0012026B">
          <w:rPr>
            <w:noProof/>
            <w:webHidden/>
          </w:rPr>
          <w:tab/>
        </w:r>
        <w:r w:rsidR="0012026B">
          <w:rPr>
            <w:noProof/>
            <w:webHidden/>
          </w:rPr>
          <w:fldChar w:fldCharType="begin"/>
        </w:r>
        <w:r w:rsidR="0012026B">
          <w:rPr>
            <w:noProof/>
            <w:webHidden/>
          </w:rPr>
          <w:instrText xml:space="preserve"> PAGEREF _Toc468266911 \h </w:instrText>
        </w:r>
        <w:r w:rsidR="0012026B">
          <w:rPr>
            <w:noProof/>
            <w:webHidden/>
          </w:rPr>
        </w:r>
        <w:r w:rsidR="0012026B">
          <w:rPr>
            <w:noProof/>
            <w:webHidden/>
          </w:rPr>
          <w:fldChar w:fldCharType="separate"/>
        </w:r>
        <w:r w:rsidR="0012026B">
          <w:rPr>
            <w:noProof/>
            <w:webHidden/>
          </w:rPr>
          <w:t>260</w:t>
        </w:r>
        <w:r w:rsidR="0012026B">
          <w:rPr>
            <w:noProof/>
            <w:webHidden/>
          </w:rPr>
          <w:fldChar w:fldCharType="end"/>
        </w:r>
      </w:hyperlink>
    </w:p>
    <w:p w14:paraId="37477D08" w14:textId="19F603E8"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12" w:history="1">
        <w:r w:rsidR="0012026B" w:rsidRPr="009765CA">
          <w:rPr>
            <w:rStyle w:val="Hyperlink"/>
            <w:noProof/>
          </w:rPr>
          <w:t>8.2.3.6.</w:t>
        </w:r>
        <w:r w:rsidR="0012026B">
          <w:rPr>
            <w:rFonts w:asciiTheme="minorHAnsi" w:eastAsiaTheme="minorEastAsia" w:hAnsiTheme="minorHAnsi"/>
            <w:noProof/>
            <w:sz w:val="22"/>
            <w:lang w:eastAsia="en-GB"/>
          </w:rPr>
          <w:tab/>
        </w:r>
        <w:r w:rsidR="0012026B" w:rsidRPr="009765CA">
          <w:rPr>
            <w:rStyle w:val="Hyperlink"/>
            <w:noProof/>
          </w:rPr>
          <w:t>The Artefactual Dataset - Wolds</w:t>
        </w:r>
        <w:r w:rsidR="0012026B">
          <w:rPr>
            <w:noProof/>
            <w:webHidden/>
          </w:rPr>
          <w:tab/>
        </w:r>
        <w:r w:rsidR="0012026B">
          <w:rPr>
            <w:noProof/>
            <w:webHidden/>
          </w:rPr>
          <w:fldChar w:fldCharType="begin"/>
        </w:r>
        <w:r w:rsidR="0012026B">
          <w:rPr>
            <w:noProof/>
            <w:webHidden/>
          </w:rPr>
          <w:instrText xml:space="preserve"> PAGEREF _Toc468266912 \h </w:instrText>
        </w:r>
        <w:r w:rsidR="0012026B">
          <w:rPr>
            <w:noProof/>
            <w:webHidden/>
          </w:rPr>
        </w:r>
        <w:r w:rsidR="0012026B">
          <w:rPr>
            <w:noProof/>
            <w:webHidden/>
          </w:rPr>
          <w:fldChar w:fldCharType="separate"/>
        </w:r>
        <w:r w:rsidR="0012026B">
          <w:rPr>
            <w:noProof/>
            <w:webHidden/>
          </w:rPr>
          <w:t>261</w:t>
        </w:r>
        <w:r w:rsidR="0012026B">
          <w:rPr>
            <w:noProof/>
            <w:webHidden/>
          </w:rPr>
          <w:fldChar w:fldCharType="end"/>
        </w:r>
      </w:hyperlink>
    </w:p>
    <w:p w14:paraId="4C946F27" w14:textId="6EBFB3FD"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13" w:history="1">
        <w:r w:rsidR="0012026B" w:rsidRPr="009765CA">
          <w:rPr>
            <w:rStyle w:val="Hyperlink"/>
            <w:noProof/>
          </w:rPr>
          <w:t>8.2.3.7.</w:t>
        </w:r>
        <w:r w:rsidR="0012026B">
          <w:rPr>
            <w:rFonts w:asciiTheme="minorHAnsi" w:eastAsiaTheme="minorEastAsia" w:hAnsiTheme="minorHAnsi"/>
            <w:noProof/>
            <w:sz w:val="22"/>
            <w:lang w:eastAsia="en-GB"/>
          </w:rPr>
          <w:tab/>
        </w:r>
        <w:r w:rsidR="0012026B" w:rsidRPr="009765CA">
          <w:rPr>
            <w:rStyle w:val="Hyperlink"/>
            <w:noProof/>
          </w:rPr>
          <w:t>Conclusion</w:t>
        </w:r>
        <w:r w:rsidR="0012026B">
          <w:rPr>
            <w:noProof/>
            <w:webHidden/>
          </w:rPr>
          <w:tab/>
        </w:r>
        <w:r w:rsidR="0012026B">
          <w:rPr>
            <w:noProof/>
            <w:webHidden/>
          </w:rPr>
          <w:fldChar w:fldCharType="begin"/>
        </w:r>
        <w:r w:rsidR="0012026B">
          <w:rPr>
            <w:noProof/>
            <w:webHidden/>
          </w:rPr>
          <w:instrText xml:space="preserve"> PAGEREF _Toc468266913 \h </w:instrText>
        </w:r>
        <w:r w:rsidR="0012026B">
          <w:rPr>
            <w:noProof/>
            <w:webHidden/>
          </w:rPr>
        </w:r>
        <w:r w:rsidR="0012026B">
          <w:rPr>
            <w:noProof/>
            <w:webHidden/>
          </w:rPr>
          <w:fldChar w:fldCharType="separate"/>
        </w:r>
        <w:r w:rsidR="0012026B">
          <w:rPr>
            <w:noProof/>
            <w:webHidden/>
          </w:rPr>
          <w:t>262</w:t>
        </w:r>
        <w:r w:rsidR="0012026B">
          <w:rPr>
            <w:noProof/>
            <w:webHidden/>
          </w:rPr>
          <w:fldChar w:fldCharType="end"/>
        </w:r>
      </w:hyperlink>
    </w:p>
    <w:p w14:paraId="7578FD70" w14:textId="428810A5" w:rsidR="0012026B" w:rsidRDefault="00B32C9A">
      <w:pPr>
        <w:pStyle w:val="TOC2"/>
        <w:tabs>
          <w:tab w:val="left" w:pos="1100"/>
          <w:tab w:val="right" w:leader="dot" w:pos="9016"/>
        </w:tabs>
        <w:rPr>
          <w:rFonts w:asciiTheme="minorHAnsi" w:eastAsiaTheme="minorEastAsia" w:hAnsiTheme="minorHAnsi"/>
          <w:noProof/>
          <w:sz w:val="22"/>
          <w:lang w:eastAsia="en-GB"/>
        </w:rPr>
      </w:pPr>
      <w:hyperlink w:anchor="_Toc468266914" w:history="1">
        <w:r w:rsidR="0012026B" w:rsidRPr="009765CA">
          <w:rPr>
            <w:rStyle w:val="Hyperlink"/>
            <w:noProof/>
          </w:rPr>
          <w:t>8.2.4</w:t>
        </w:r>
        <w:r w:rsidR="0012026B">
          <w:rPr>
            <w:rFonts w:asciiTheme="minorHAnsi" w:eastAsiaTheme="minorEastAsia" w:hAnsiTheme="minorHAnsi"/>
            <w:noProof/>
            <w:sz w:val="22"/>
            <w:lang w:eastAsia="en-GB"/>
          </w:rPr>
          <w:tab/>
        </w:r>
        <w:r w:rsidR="0012026B" w:rsidRPr="009765CA">
          <w:rPr>
            <w:rStyle w:val="Hyperlink"/>
            <w:noProof/>
          </w:rPr>
          <w:t>Beverley</w:t>
        </w:r>
        <w:r w:rsidR="0012026B">
          <w:rPr>
            <w:noProof/>
            <w:webHidden/>
          </w:rPr>
          <w:tab/>
        </w:r>
        <w:r w:rsidR="0012026B">
          <w:rPr>
            <w:noProof/>
            <w:webHidden/>
          </w:rPr>
          <w:fldChar w:fldCharType="begin"/>
        </w:r>
        <w:r w:rsidR="0012026B">
          <w:rPr>
            <w:noProof/>
            <w:webHidden/>
          </w:rPr>
          <w:instrText xml:space="preserve"> PAGEREF _Toc468266914 \h </w:instrText>
        </w:r>
        <w:r w:rsidR="0012026B">
          <w:rPr>
            <w:noProof/>
            <w:webHidden/>
          </w:rPr>
        </w:r>
        <w:r w:rsidR="0012026B">
          <w:rPr>
            <w:noProof/>
            <w:webHidden/>
          </w:rPr>
          <w:fldChar w:fldCharType="separate"/>
        </w:r>
        <w:r w:rsidR="0012026B">
          <w:rPr>
            <w:noProof/>
            <w:webHidden/>
          </w:rPr>
          <w:t>262</w:t>
        </w:r>
        <w:r w:rsidR="0012026B">
          <w:rPr>
            <w:noProof/>
            <w:webHidden/>
          </w:rPr>
          <w:fldChar w:fldCharType="end"/>
        </w:r>
      </w:hyperlink>
    </w:p>
    <w:p w14:paraId="3D9F9C76" w14:textId="77F425F0" w:rsidR="0012026B" w:rsidRDefault="00B32C9A">
      <w:pPr>
        <w:pStyle w:val="TOC2"/>
        <w:tabs>
          <w:tab w:val="left" w:pos="1100"/>
          <w:tab w:val="right" w:leader="dot" w:pos="9016"/>
        </w:tabs>
        <w:rPr>
          <w:rFonts w:asciiTheme="minorHAnsi" w:eastAsiaTheme="minorEastAsia" w:hAnsiTheme="minorHAnsi"/>
          <w:noProof/>
          <w:sz w:val="22"/>
          <w:lang w:eastAsia="en-GB"/>
        </w:rPr>
      </w:pPr>
      <w:hyperlink w:anchor="_Toc468266915" w:history="1">
        <w:r w:rsidR="0012026B" w:rsidRPr="009765CA">
          <w:rPr>
            <w:rStyle w:val="Hyperlink"/>
            <w:noProof/>
          </w:rPr>
          <w:t>8.2.5</w:t>
        </w:r>
        <w:r w:rsidR="0012026B">
          <w:rPr>
            <w:rFonts w:asciiTheme="minorHAnsi" w:eastAsiaTheme="minorEastAsia" w:hAnsiTheme="minorHAnsi"/>
            <w:noProof/>
            <w:sz w:val="22"/>
            <w:lang w:eastAsia="en-GB"/>
          </w:rPr>
          <w:tab/>
        </w:r>
        <w:r w:rsidR="0012026B" w:rsidRPr="009765CA">
          <w:rPr>
            <w:rStyle w:val="Hyperlink"/>
            <w:noProof/>
          </w:rPr>
          <w:t>Holderness - East Yorkshire coastal plateau</w:t>
        </w:r>
        <w:r w:rsidR="0012026B">
          <w:rPr>
            <w:noProof/>
            <w:webHidden/>
          </w:rPr>
          <w:tab/>
        </w:r>
        <w:r w:rsidR="0012026B">
          <w:rPr>
            <w:noProof/>
            <w:webHidden/>
          </w:rPr>
          <w:fldChar w:fldCharType="begin"/>
        </w:r>
        <w:r w:rsidR="0012026B">
          <w:rPr>
            <w:noProof/>
            <w:webHidden/>
          </w:rPr>
          <w:instrText xml:space="preserve"> PAGEREF _Toc468266915 \h </w:instrText>
        </w:r>
        <w:r w:rsidR="0012026B">
          <w:rPr>
            <w:noProof/>
            <w:webHidden/>
          </w:rPr>
        </w:r>
        <w:r w:rsidR="0012026B">
          <w:rPr>
            <w:noProof/>
            <w:webHidden/>
          </w:rPr>
          <w:fldChar w:fldCharType="separate"/>
        </w:r>
        <w:r w:rsidR="0012026B">
          <w:rPr>
            <w:noProof/>
            <w:webHidden/>
          </w:rPr>
          <w:t>263</w:t>
        </w:r>
        <w:r w:rsidR="0012026B">
          <w:rPr>
            <w:noProof/>
            <w:webHidden/>
          </w:rPr>
          <w:fldChar w:fldCharType="end"/>
        </w:r>
      </w:hyperlink>
    </w:p>
    <w:p w14:paraId="2F422E90" w14:textId="3D1649A9"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16" w:history="1">
        <w:r w:rsidR="0012026B" w:rsidRPr="009765CA">
          <w:rPr>
            <w:rStyle w:val="Hyperlink"/>
            <w:noProof/>
          </w:rPr>
          <w:t>8.2.5.1</w:t>
        </w:r>
        <w:r w:rsidR="0012026B">
          <w:rPr>
            <w:rFonts w:asciiTheme="minorHAnsi" w:eastAsiaTheme="minorEastAsia" w:hAnsiTheme="minorHAnsi"/>
            <w:noProof/>
            <w:sz w:val="22"/>
            <w:lang w:eastAsia="en-GB"/>
          </w:rPr>
          <w:tab/>
        </w:r>
        <w:r w:rsidR="0012026B" w:rsidRPr="009765CA">
          <w:rPr>
            <w:rStyle w:val="Hyperlink"/>
            <w:noProof/>
          </w:rPr>
          <w:t>Comparisons to Norm and Roman Finds</w:t>
        </w:r>
        <w:r w:rsidR="0012026B">
          <w:rPr>
            <w:noProof/>
            <w:webHidden/>
          </w:rPr>
          <w:tab/>
        </w:r>
        <w:r w:rsidR="0012026B">
          <w:rPr>
            <w:noProof/>
            <w:webHidden/>
          </w:rPr>
          <w:fldChar w:fldCharType="begin"/>
        </w:r>
        <w:r w:rsidR="0012026B">
          <w:rPr>
            <w:noProof/>
            <w:webHidden/>
          </w:rPr>
          <w:instrText xml:space="preserve"> PAGEREF _Toc468266916 \h </w:instrText>
        </w:r>
        <w:r w:rsidR="0012026B">
          <w:rPr>
            <w:noProof/>
            <w:webHidden/>
          </w:rPr>
        </w:r>
        <w:r w:rsidR="0012026B">
          <w:rPr>
            <w:noProof/>
            <w:webHidden/>
          </w:rPr>
          <w:fldChar w:fldCharType="separate"/>
        </w:r>
        <w:r w:rsidR="0012026B">
          <w:rPr>
            <w:noProof/>
            <w:webHidden/>
          </w:rPr>
          <w:t>264</w:t>
        </w:r>
        <w:r w:rsidR="0012026B">
          <w:rPr>
            <w:noProof/>
            <w:webHidden/>
          </w:rPr>
          <w:fldChar w:fldCharType="end"/>
        </w:r>
      </w:hyperlink>
    </w:p>
    <w:p w14:paraId="19012008" w14:textId="6628924A"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17" w:history="1">
        <w:r w:rsidR="0012026B" w:rsidRPr="009765CA">
          <w:rPr>
            <w:rStyle w:val="Hyperlink"/>
            <w:noProof/>
          </w:rPr>
          <w:t xml:space="preserve">8.2.5.2 </w:t>
        </w:r>
        <w:r w:rsidR="0012026B">
          <w:rPr>
            <w:rFonts w:asciiTheme="minorHAnsi" w:eastAsiaTheme="minorEastAsia" w:hAnsiTheme="minorHAnsi"/>
            <w:noProof/>
            <w:sz w:val="22"/>
            <w:lang w:eastAsia="en-GB"/>
          </w:rPr>
          <w:tab/>
        </w:r>
        <w:r w:rsidR="0012026B" w:rsidRPr="009765CA">
          <w:rPr>
            <w:rStyle w:val="Hyperlink"/>
            <w:noProof/>
          </w:rPr>
          <w:t>The Artefactual Dataset</w:t>
        </w:r>
        <w:r w:rsidR="0012026B">
          <w:rPr>
            <w:noProof/>
            <w:webHidden/>
          </w:rPr>
          <w:tab/>
        </w:r>
        <w:r w:rsidR="0012026B">
          <w:rPr>
            <w:noProof/>
            <w:webHidden/>
          </w:rPr>
          <w:fldChar w:fldCharType="begin"/>
        </w:r>
        <w:r w:rsidR="0012026B">
          <w:rPr>
            <w:noProof/>
            <w:webHidden/>
          </w:rPr>
          <w:instrText xml:space="preserve"> PAGEREF _Toc468266917 \h </w:instrText>
        </w:r>
        <w:r w:rsidR="0012026B">
          <w:rPr>
            <w:noProof/>
            <w:webHidden/>
          </w:rPr>
        </w:r>
        <w:r w:rsidR="0012026B">
          <w:rPr>
            <w:noProof/>
            <w:webHidden/>
          </w:rPr>
          <w:fldChar w:fldCharType="separate"/>
        </w:r>
        <w:r w:rsidR="0012026B">
          <w:rPr>
            <w:noProof/>
            <w:webHidden/>
          </w:rPr>
          <w:t>265</w:t>
        </w:r>
        <w:r w:rsidR="0012026B">
          <w:rPr>
            <w:noProof/>
            <w:webHidden/>
          </w:rPr>
          <w:fldChar w:fldCharType="end"/>
        </w:r>
      </w:hyperlink>
    </w:p>
    <w:p w14:paraId="5B36A4F4" w14:textId="7415746E"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18" w:history="1">
        <w:r w:rsidR="0012026B" w:rsidRPr="009765CA">
          <w:rPr>
            <w:rStyle w:val="Hyperlink"/>
            <w:noProof/>
          </w:rPr>
          <w:t>8.2.5.3</w:t>
        </w:r>
        <w:r w:rsidR="0012026B">
          <w:rPr>
            <w:rFonts w:asciiTheme="minorHAnsi" w:eastAsiaTheme="minorEastAsia" w:hAnsiTheme="minorHAnsi"/>
            <w:noProof/>
            <w:sz w:val="22"/>
            <w:lang w:eastAsia="en-GB"/>
          </w:rPr>
          <w:tab/>
        </w:r>
        <w:r w:rsidR="0012026B" w:rsidRPr="009765CA">
          <w:rPr>
            <w:rStyle w:val="Hyperlink"/>
            <w:noProof/>
          </w:rPr>
          <w:t>Conclusion</w:t>
        </w:r>
        <w:r w:rsidR="0012026B">
          <w:rPr>
            <w:noProof/>
            <w:webHidden/>
          </w:rPr>
          <w:tab/>
        </w:r>
        <w:r w:rsidR="0012026B">
          <w:rPr>
            <w:noProof/>
            <w:webHidden/>
          </w:rPr>
          <w:fldChar w:fldCharType="begin"/>
        </w:r>
        <w:r w:rsidR="0012026B">
          <w:rPr>
            <w:noProof/>
            <w:webHidden/>
          </w:rPr>
          <w:instrText xml:space="preserve"> PAGEREF _Toc468266918 \h </w:instrText>
        </w:r>
        <w:r w:rsidR="0012026B">
          <w:rPr>
            <w:noProof/>
            <w:webHidden/>
          </w:rPr>
        </w:r>
        <w:r w:rsidR="0012026B">
          <w:rPr>
            <w:noProof/>
            <w:webHidden/>
          </w:rPr>
          <w:fldChar w:fldCharType="separate"/>
        </w:r>
        <w:r w:rsidR="0012026B">
          <w:rPr>
            <w:noProof/>
            <w:webHidden/>
          </w:rPr>
          <w:t>266</w:t>
        </w:r>
        <w:r w:rsidR="0012026B">
          <w:rPr>
            <w:noProof/>
            <w:webHidden/>
          </w:rPr>
          <w:fldChar w:fldCharType="end"/>
        </w:r>
      </w:hyperlink>
    </w:p>
    <w:p w14:paraId="5A62FA82" w14:textId="001950AE" w:rsidR="0012026B" w:rsidRDefault="00B32C9A">
      <w:pPr>
        <w:pStyle w:val="TOC2"/>
        <w:tabs>
          <w:tab w:val="left" w:pos="1100"/>
          <w:tab w:val="right" w:leader="dot" w:pos="9016"/>
        </w:tabs>
        <w:rPr>
          <w:rFonts w:asciiTheme="minorHAnsi" w:eastAsiaTheme="minorEastAsia" w:hAnsiTheme="minorHAnsi"/>
          <w:noProof/>
          <w:sz w:val="22"/>
          <w:lang w:eastAsia="en-GB"/>
        </w:rPr>
      </w:pPr>
      <w:hyperlink w:anchor="_Toc468266919" w:history="1">
        <w:r w:rsidR="0012026B" w:rsidRPr="009765CA">
          <w:rPr>
            <w:rStyle w:val="Hyperlink"/>
            <w:noProof/>
          </w:rPr>
          <w:t>8.2.6</w:t>
        </w:r>
        <w:r w:rsidR="0012026B">
          <w:rPr>
            <w:rFonts w:asciiTheme="minorHAnsi" w:eastAsiaTheme="minorEastAsia" w:hAnsiTheme="minorHAnsi"/>
            <w:noProof/>
            <w:sz w:val="22"/>
            <w:lang w:eastAsia="en-GB"/>
          </w:rPr>
          <w:tab/>
        </w:r>
        <w:r w:rsidR="0012026B" w:rsidRPr="009765CA">
          <w:rPr>
            <w:rStyle w:val="Hyperlink"/>
            <w:noProof/>
          </w:rPr>
          <w:t>The Vale of Pickering</w:t>
        </w:r>
        <w:r w:rsidR="0012026B">
          <w:rPr>
            <w:noProof/>
            <w:webHidden/>
          </w:rPr>
          <w:tab/>
        </w:r>
        <w:r w:rsidR="0012026B">
          <w:rPr>
            <w:noProof/>
            <w:webHidden/>
          </w:rPr>
          <w:fldChar w:fldCharType="begin"/>
        </w:r>
        <w:r w:rsidR="0012026B">
          <w:rPr>
            <w:noProof/>
            <w:webHidden/>
          </w:rPr>
          <w:instrText xml:space="preserve"> PAGEREF _Toc468266919 \h </w:instrText>
        </w:r>
        <w:r w:rsidR="0012026B">
          <w:rPr>
            <w:noProof/>
            <w:webHidden/>
          </w:rPr>
        </w:r>
        <w:r w:rsidR="0012026B">
          <w:rPr>
            <w:noProof/>
            <w:webHidden/>
          </w:rPr>
          <w:fldChar w:fldCharType="separate"/>
        </w:r>
        <w:r w:rsidR="0012026B">
          <w:rPr>
            <w:noProof/>
            <w:webHidden/>
          </w:rPr>
          <w:t>267</w:t>
        </w:r>
        <w:r w:rsidR="0012026B">
          <w:rPr>
            <w:noProof/>
            <w:webHidden/>
          </w:rPr>
          <w:fldChar w:fldCharType="end"/>
        </w:r>
      </w:hyperlink>
    </w:p>
    <w:p w14:paraId="22312D36" w14:textId="19BBD065"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20" w:history="1">
        <w:r w:rsidR="0012026B" w:rsidRPr="009765CA">
          <w:rPr>
            <w:rStyle w:val="Hyperlink"/>
            <w:noProof/>
          </w:rPr>
          <w:t>8.2.6.1</w:t>
        </w:r>
        <w:r w:rsidR="0012026B">
          <w:rPr>
            <w:rFonts w:asciiTheme="minorHAnsi" w:eastAsiaTheme="minorEastAsia" w:hAnsiTheme="minorHAnsi"/>
            <w:noProof/>
            <w:sz w:val="22"/>
            <w:lang w:eastAsia="en-GB"/>
          </w:rPr>
          <w:tab/>
        </w:r>
        <w:r w:rsidR="0012026B" w:rsidRPr="009765CA">
          <w:rPr>
            <w:rStyle w:val="Hyperlink"/>
            <w:noProof/>
          </w:rPr>
          <w:t>South track (A64)</w:t>
        </w:r>
        <w:r w:rsidR="0012026B">
          <w:rPr>
            <w:noProof/>
            <w:webHidden/>
          </w:rPr>
          <w:tab/>
        </w:r>
        <w:r w:rsidR="0012026B">
          <w:rPr>
            <w:noProof/>
            <w:webHidden/>
          </w:rPr>
          <w:fldChar w:fldCharType="begin"/>
        </w:r>
        <w:r w:rsidR="0012026B">
          <w:rPr>
            <w:noProof/>
            <w:webHidden/>
          </w:rPr>
          <w:instrText xml:space="preserve"> PAGEREF _Toc468266920 \h </w:instrText>
        </w:r>
        <w:r w:rsidR="0012026B">
          <w:rPr>
            <w:noProof/>
            <w:webHidden/>
          </w:rPr>
        </w:r>
        <w:r w:rsidR="0012026B">
          <w:rPr>
            <w:noProof/>
            <w:webHidden/>
          </w:rPr>
          <w:fldChar w:fldCharType="separate"/>
        </w:r>
        <w:r w:rsidR="0012026B">
          <w:rPr>
            <w:noProof/>
            <w:webHidden/>
          </w:rPr>
          <w:t>268</w:t>
        </w:r>
        <w:r w:rsidR="0012026B">
          <w:rPr>
            <w:noProof/>
            <w:webHidden/>
          </w:rPr>
          <w:fldChar w:fldCharType="end"/>
        </w:r>
      </w:hyperlink>
    </w:p>
    <w:p w14:paraId="53A03E3E" w14:textId="211D499B" w:rsidR="0012026B" w:rsidRDefault="00B32C9A">
      <w:pPr>
        <w:pStyle w:val="TOC4"/>
        <w:tabs>
          <w:tab w:val="right" w:leader="dot" w:pos="9016"/>
        </w:tabs>
        <w:rPr>
          <w:rFonts w:asciiTheme="minorHAnsi" w:eastAsiaTheme="minorEastAsia" w:hAnsiTheme="minorHAnsi"/>
          <w:noProof/>
          <w:sz w:val="22"/>
          <w:lang w:eastAsia="en-GB"/>
        </w:rPr>
      </w:pPr>
      <w:hyperlink w:anchor="_Toc468266921" w:history="1">
        <w:r w:rsidR="0012026B" w:rsidRPr="009765CA">
          <w:rPr>
            <w:rStyle w:val="Hyperlink"/>
            <w:noProof/>
          </w:rPr>
          <w:t>Malton</w:t>
        </w:r>
        <w:r w:rsidR="0012026B">
          <w:rPr>
            <w:noProof/>
            <w:webHidden/>
          </w:rPr>
          <w:tab/>
        </w:r>
        <w:r w:rsidR="0012026B">
          <w:rPr>
            <w:noProof/>
            <w:webHidden/>
          </w:rPr>
          <w:fldChar w:fldCharType="begin"/>
        </w:r>
        <w:r w:rsidR="0012026B">
          <w:rPr>
            <w:noProof/>
            <w:webHidden/>
          </w:rPr>
          <w:instrText xml:space="preserve"> PAGEREF _Toc468266921 \h </w:instrText>
        </w:r>
        <w:r w:rsidR="0012026B">
          <w:rPr>
            <w:noProof/>
            <w:webHidden/>
          </w:rPr>
        </w:r>
        <w:r w:rsidR="0012026B">
          <w:rPr>
            <w:noProof/>
            <w:webHidden/>
          </w:rPr>
          <w:fldChar w:fldCharType="separate"/>
        </w:r>
        <w:r w:rsidR="0012026B">
          <w:rPr>
            <w:noProof/>
            <w:webHidden/>
          </w:rPr>
          <w:t>268</w:t>
        </w:r>
        <w:r w:rsidR="0012026B">
          <w:rPr>
            <w:noProof/>
            <w:webHidden/>
          </w:rPr>
          <w:fldChar w:fldCharType="end"/>
        </w:r>
      </w:hyperlink>
    </w:p>
    <w:p w14:paraId="4580B141" w14:textId="1807DDB4" w:rsidR="0012026B" w:rsidRDefault="00B32C9A">
      <w:pPr>
        <w:pStyle w:val="TOC4"/>
        <w:tabs>
          <w:tab w:val="right" w:leader="dot" w:pos="9016"/>
        </w:tabs>
        <w:rPr>
          <w:rFonts w:asciiTheme="minorHAnsi" w:eastAsiaTheme="minorEastAsia" w:hAnsiTheme="minorHAnsi"/>
          <w:noProof/>
          <w:sz w:val="22"/>
          <w:lang w:eastAsia="en-GB"/>
        </w:rPr>
      </w:pPr>
      <w:hyperlink w:anchor="_Toc468266922" w:history="1">
        <w:r w:rsidR="0012026B" w:rsidRPr="009765CA">
          <w:rPr>
            <w:rStyle w:val="Hyperlink"/>
            <w:noProof/>
          </w:rPr>
          <w:t>Rillington</w:t>
        </w:r>
        <w:r w:rsidR="0012026B">
          <w:rPr>
            <w:noProof/>
            <w:webHidden/>
          </w:rPr>
          <w:tab/>
        </w:r>
        <w:r w:rsidR="0012026B">
          <w:rPr>
            <w:noProof/>
            <w:webHidden/>
          </w:rPr>
          <w:fldChar w:fldCharType="begin"/>
        </w:r>
        <w:r w:rsidR="0012026B">
          <w:rPr>
            <w:noProof/>
            <w:webHidden/>
          </w:rPr>
          <w:instrText xml:space="preserve"> PAGEREF _Toc468266922 \h </w:instrText>
        </w:r>
        <w:r w:rsidR="0012026B">
          <w:rPr>
            <w:noProof/>
            <w:webHidden/>
          </w:rPr>
        </w:r>
        <w:r w:rsidR="0012026B">
          <w:rPr>
            <w:noProof/>
            <w:webHidden/>
          </w:rPr>
          <w:fldChar w:fldCharType="separate"/>
        </w:r>
        <w:r w:rsidR="0012026B">
          <w:rPr>
            <w:noProof/>
            <w:webHidden/>
          </w:rPr>
          <w:t>269</w:t>
        </w:r>
        <w:r w:rsidR="0012026B">
          <w:rPr>
            <w:noProof/>
            <w:webHidden/>
          </w:rPr>
          <w:fldChar w:fldCharType="end"/>
        </w:r>
      </w:hyperlink>
    </w:p>
    <w:p w14:paraId="751CF78E" w14:textId="5C640B03" w:rsidR="0012026B" w:rsidRDefault="00B32C9A">
      <w:pPr>
        <w:pStyle w:val="TOC4"/>
        <w:tabs>
          <w:tab w:val="right" w:leader="dot" w:pos="9016"/>
        </w:tabs>
        <w:rPr>
          <w:rFonts w:asciiTheme="minorHAnsi" w:eastAsiaTheme="minorEastAsia" w:hAnsiTheme="minorHAnsi"/>
          <w:noProof/>
          <w:sz w:val="22"/>
          <w:lang w:eastAsia="en-GB"/>
        </w:rPr>
      </w:pPr>
      <w:hyperlink w:anchor="_Toc468266923" w:history="1">
        <w:r w:rsidR="0012026B" w:rsidRPr="009765CA">
          <w:rPr>
            <w:rStyle w:val="Hyperlink"/>
            <w:noProof/>
          </w:rPr>
          <w:t>West Heslerton</w:t>
        </w:r>
        <w:r w:rsidR="0012026B">
          <w:rPr>
            <w:noProof/>
            <w:webHidden/>
          </w:rPr>
          <w:tab/>
        </w:r>
        <w:r w:rsidR="0012026B">
          <w:rPr>
            <w:noProof/>
            <w:webHidden/>
          </w:rPr>
          <w:fldChar w:fldCharType="begin"/>
        </w:r>
        <w:r w:rsidR="0012026B">
          <w:rPr>
            <w:noProof/>
            <w:webHidden/>
          </w:rPr>
          <w:instrText xml:space="preserve"> PAGEREF _Toc468266923 \h </w:instrText>
        </w:r>
        <w:r w:rsidR="0012026B">
          <w:rPr>
            <w:noProof/>
            <w:webHidden/>
          </w:rPr>
        </w:r>
        <w:r w:rsidR="0012026B">
          <w:rPr>
            <w:noProof/>
            <w:webHidden/>
          </w:rPr>
          <w:fldChar w:fldCharType="separate"/>
        </w:r>
        <w:r w:rsidR="0012026B">
          <w:rPr>
            <w:noProof/>
            <w:webHidden/>
          </w:rPr>
          <w:t>270</w:t>
        </w:r>
        <w:r w:rsidR="0012026B">
          <w:rPr>
            <w:noProof/>
            <w:webHidden/>
          </w:rPr>
          <w:fldChar w:fldCharType="end"/>
        </w:r>
      </w:hyperlink>
    </w:p>
    <w:p w14:paraId="735206D5" w14:textId="6C579CD3" w:rsidR="0012026B" w:rsidRDefault="00B32C9A">
      <w:pPr>
        <w:pStyle w:val="TOC4"/>
        <w:tabs>
          <w:tab w:val="right" w:leader="dot" w:pos="9016"/>
        </w:tabs>
        <w:rPr>
          <w:rFonts w:asciiTheme="minorHAnsi" w:eastAsiaTheme="minorEastAsia" w:hAnsiTheme="minorHAnsi"/>
          <w:noProof/>
          <w:sz w:val="22"/>
          <w:lang w:eastAsia="en-GB"/>
        </w:rPr>
      </w:pPr>
      <w:hyperlink w:anchor="_Toc468266924" w:history="1">
        <w:r w:rsidR="0012026B" w:rsidRPr="009765CA">
          <w:rPr>
            <w:rStyle w:val="Hyperlink"/>
            <w:noProof/>
          </w:rPr>
          <w:t>Sherburn</w:t>
        </w:r>
        <w:r w:rsidR="0012026B">
          <w:rPr>
            <w:noProof/>
            <w:webHidden/>
          </w:rPr>
          <w:tab/>
        </w:r>
        <w:r w:rsidR="0012026B">
          <w:rPr>
            <w:noProof/>
            <w:webHidden/>
          </w:rPr>
          <w:fldChar w:fldCharType="begin"/>
        </w:r>
        <w:r w:rsidR="0012026B">
          <w:rPr>
            <w:noProof/>
            <w:webHidden/>
          </w:rPr>
          <w:instrText xml:space="preserve"> PAGEREF _Toc468266924 \h </w:instrText>
        </w:r>
        <w:r w:rsidR="0012026B">
          <w:rPr>
            <w:noProof/>
            <w:webHidden/>
          </w:rPr>
        </w:r>
        <w:r w:rsidR="0012026B">
          <w:rPr>
            <w:noProof/>
            <w:webHidden/>
          </w:rPr>
          <w:fldChar w:fldCharType="separate"/>
        </w:r>
        <w:r w:rsidR="0012026B">
          <w:rPr>
            <w:noProof/>
            <w:webHidden/>
          </w:rPr>
          <w:t>272</w:t>
        </w:r>
        <w:r w:rsidR="0012026B">
          <w:rPr>
            <w:noProof/>
            <w:webHidden/>
          </w:rPr>
          <w:fldChar w:fldCharType="end"/>
        </w:r>
      </w:hyperlink>
    </w:p>
    <w:p w14:paraId="2CDD0A26" w14:textId="2BFD22FE" w:rsidR="0012026B" w:rsidRDefault="00B32C9A">
      <w:pPr>
        <w:pStyle w:val="TOC4"/>
        <w:tabs>
          <w:tab w:val="right" w:leader="dot" w:pos="9016"/>
        </w:tabs>
        <w:rPr>
          <w:rFonts w:asciiTheme="minorHAnsi" w:eastAsiaTheme="minorEastAsia" w:hAnsiTheme="minorHAnsi"/>
          <w:noProof/>
          <w:sz w:val="22"/>
          <w:lang w:eastAsia="en-GB"/>
        </w:rPr>
      </w:pPr>
      <w:hyperlink w:anchor="_Toc468266925" w:history="1">
        <w:r w:rsidR="0012026B" w:rsidRPr="009765CA">
          <w:rPr>
            <w:rStyle w:val="Hyperlink"/>
            <w:noProof/>
          </w:rPr>
          <w:t>Binnington</w:t>
        </w:r>
        <w:r w:rsidR="0012026B">
          <w:rPr>
            <w:noProof/>
            <w:webHidden/>
          </w:rPr>
          <w:tab/>
        </w:r>
        <w:r w:rsidR="0012026B">
          <w:rPr>
            <w:noProof/>
            <w:webHidden/>
          </w:rPr>
          <w:fldChar w:fldCharType="begin"/>
        </w:r>
        <w:r w:rsidR="0012026B">
          <w:rPr>
            <w:noProof/>
            <w:webHidden/>
          </w:rPr>
          <w:instrText xml:space="preserve"> PAGEREF _Toc468266925 \h </w:instrText>
        </w:r>
        <w:r w:rsidR="0012026B">
          <w:rPr>
            <w:noProof/>
            <w:webHidden/>
          </w:rPr>
        </w:r>
        <w:r w:rsidR="0012026B">
          <w:rPr>
            <w:noProof/>
            <w:webHidden/>
          </w:rPr>
          <w:fldChar w:fldCharType="separate"/>
        </w:r>
        <w:r w:rsidR="0012026B">
          <w:rPr>
            <w:noProof/>
            <w:webHidden/>
          </w:rPr>
          <w:t>272</w:t>
        </w:r>
        <w:r w:rsidR="0012026B">
          <w:rPr>
            <w:noProof/>
            <w:webHidden/>
          </w:rPr>
          <w:fldChar w:fldCharType="end"/>
        </w:r>
      </w:hyperlink>
    </w:p>
    <w:p w14:paraId="36DB1585" w14:textId="39797011" w:rsidR="0012026B" w:rsidRDefault="00B32C9A">
      <w:pPr>
        <w:pStyle w:val="TOC4"/>
        <w:tabs>
          <w:tab w:val="right" w:leader="dot" w:pos="9016"/>
        </w:tabs>
        <w:rPr>
          <w:rFonts w:asciiTheme="minorHAnsi" w:eastAsiaTheme="minorEastAsia" w:hAnsiTheme="minorHAnsi"/>
          <w:noProof/>
          <w:sz w:val="22"/>
          <w:lang w:eastAsia="en-GB"/>
        </w:rPr>
      </w:pPr>
      <w:hyperlink w:anchor="_Toc468266926" w:history="1">
        <w:r w:rsidR="0012026B" w:rsidRPr="009765CA">
          <w:rPr>
            <w:rStyle w:val="Hyperlink"/>
            <w:noProof/>
          </w:rPr>
          <w:t>Staxton</w:t>
        </w:r>
        <w:r w:rsidR="0012026B">
          <w:rPr>
            <w:noProof/>
            <w:webHidden/>
          </w:rPr>
          <w:tab/>
        </w:r>
        <w:r w:rsidR="0012026B">
          <w:rPr>
            <w:noProof/>
            <w:webHidden/>
          </w:rPr>
          <w:fldChar w:fldCharType="begin"/>
        </w:r>
        <w:r w:rsidR="0012026B">
          <w:rPr>
            <w:noProof/>
            <w:webHidden/>
          </w:rPr>
          <w:instrText xml:space="preserve"> PAGEREF _Toc468266926 \h </w:instrText>
        </w:r>
        <w:r w:rsidR="0012026B">
          <w:rPr>
            <w:noProof/>
            <w:webHidden/>
          </w:rPr>
        </w:r>
        <w:r w:rsidR="0012026B">
          <w:rPr>
            <w:noProof/>
            <w:webHidden/>
          </w:rPr>
          <w:fldChar w:fldCharType="separate"/>
        </w:r>
        <w:r w:rsidR="0012026B">
          <w:rPr>
            <w:noProof/>
            <w:webHidden/>
          </w:rPr>
          <w:t>273</w:t>
        </w:r>
        <w:r w:rsidR="0012026B">
          <w:rPr>
            <w:noProof/>
            <w:webHidden/>
          </w:rPr>
          <w:fldChar w:fldCharType="end"/>
        </w:r>
      </w:hyperlink>
    </w:p>
    <w:p w14:paraId="0DD54E42" w14:textId="1A3233A2" w:rsidR="0012026B" w:rsidRDefault="00B32C9A">
      <w:pPr>
        <w:pStyle w:val="TOC3"/>
        <w:tabs>
          <w:tab w:val="right" w:leader="dot" w:pos="9016"/>
        </w:tabs>
        <w:rPr>
          <w:rFonts w:asciiTheme="minorHAnsi" w:eastAsiaTheme="minorEastAsia" w:hAnsiTheme="minorHAnsi"/>
          <w:noProof/>
          <w:sz w:val="22"/>
          <w:lang w:eastAsia="en-GB"/>
        </w:rPr>
      </w:pPr>
      <w:hyperlink w:anchor="_Toc468266927" w:history="1">
        <w:r w:rsidR="0012026B" w:rsidRPr="009765CA">
          <w:rPr>
            <w:rStyle w:val="Hyperlink"/>
            <w:noProof/>
          </w:rPr>
          <w:t>South Track - Conclusion</w:t>
        </w:r>
        <w:r w:rsidR="0012026B">
          <w:rPr>
            <w:noProof/>
            <w:webHidden/>
          </w:rPr>
          <w:tab/>
        </w:r>
        <w:r w:rsidR="0012026B">
          <w:rPr>
            <w:noProof/>
            <w:webHidden/>
          </w:rPr>
          <w:fldChar w:fldCharType="begin"/>
        </w:r>
        <w:r w:rsidR="0012026B">
          <w:rPr>
            <w:noProof/>
            <w:webHidden/>
          </w:rPr>
          <w:instrText xml:space="preserve"> PAGEREF _Toc468266927 \h </w:instrText>
        </w:r>
        <w:r w:rsidR="0012026B">
          <w:rPr>
            <w:noProof/>
            <w:webHidden/>
          </w:rPr>
        </w:r>
        <w:r w:rsidR="0012026B">
          <w:rPr>
            <w:noProof/>
            <w:webHidden/>
          </w:rPr>
          <w:fldChar w:fldCharType="separate"/>
        </w:r>
        <w:r w:rsidR="0012026B">
          <w:rPr>
            <w:noProof/>
            <w:webHidden/>
          </w:rPr>
          <w:t>273</w:t>
        </w:r>
        <w:r w:rsidR="0012026B">
          <w:rPr>
            <w:noProof/>
            <w:webHidden/>
          </w:rPr>
          <w:fldChar w:fldCharType="end"/>
        </w:r>
      </w:hyperlink>
    </w:p>
    <w:p w14:paraId="4B2803A1" w14:textId="6EDF87E4"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28" w:history="1">
        <w:r w:rsidR="0012026B" w:rsidRPr="009765CA">
          <w:rPr>
            <w:rStyle w:val="Hyperlink"/>
            <w:noProof/>
          </w:rPr>
          <w:t>8.2.6.2</w:t>
        </w:r>
        <w:r w:rsidR="0012026B">
          <w:rPr>
            <w:rFonts w:asciiTheme="minorHAnsi" w:eastAsiaTheme="minorEastAsia" w:hAnsiTheme="minorHAnsi"/>
            <w:noProof/>
            <w:sz w:val="22"/>
            <w:lang w:eastAsia="en-GB"/>
          </w:rPr>
          <w:tab/>
        </w:r>
        <w:r w:rsidR="0012026B" w:rsidRPr="009765CA">
          <w:rPr>
            <w:rStyle w:val="Hyperlink"/>
            <w:noProof/>
          </w:rPr>
          <w:t>North track (A170)</w:t>
        </w:r>
        <w:r w:rsidR="0012026B">
          <w:rPr>
            <w:noProof/>
            <w:webHidden/>
          </w:rPr>
          <w:tab/>
        </w:r>
        <w:r w:rsidR="0012026B">
          <w:rPr>
            <w:noProof/>
            <w:webHidden/>
          </w:rPr>
          <w:fldChar w:fldCharType="begin"/>
        </w:r>
        <w:r w:rsidR="0012026B">
          <w:rPr>
            <w:noProof/>
            <w:webHidden/>
          </w:rPr>
          <w:instrText xml:space="preserve"> PAGEREF _Toc468266928 \h </w:instrText>
        </w:r>
        <w:r w:rsidR="0012026B">
          <w:rPr>
            <w:noProof/>
            <w:webHidden/>
          </w:rPr>
        </w:r>
        <w:r w:rsidR="0012026B">
          <w:rPr>
            <w:noProof/>
            <w:webHidden/>
          </w:rPr>
          <w:fldChar w:fldCharType="separate"/>
        </w:r>
        <w:r w:rsidR="0012026B">
          <w:rPr>
            <w:noProof/>
            <w:webHidden/>
          </w:rPr>
          <w:t>273</w:t>
        </w:r>
        <w:r w:rsidR="0012026B">
          <w:rPr>
            <w:noProof/>
            <w:webHidden/>
          </w:rPr>
          <w:fldChar w:fldCharType="end"/>
        </w:r>
      </w:hyperlink>
    </w:p>
    <w:p w14:paraId="59202688" w14:textId="42F61999"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29" w:history="1">
        <w:r w:rsidR="0012026B" w:rsidRPr="009765CA">
          <w:rPr>
            <w:rStyle w:val="Hyperlink"/>
            <w:noProof/>
          </w:rPr>
          <w:t>8.2.6.3</w:t>
        </w:r>
        <w:r w:rsidR="0012026B">
          <w:rPr>
            <w:rFonts w:asciiTheme="minorHAnsi" w:eastAsiaTheme="minorEastAsia" w:hAnsiTheme="minorHAnsi"/>
            <w:noProof/>
            <w:sz w:val="22"/>
            <w:lang w:eastAsia="en-GB"/>
          </w:rPr>
          <w:tab/>
        </w:r>
        <w:r w:rsidR="0012026B" w:rsidRPr="009765CA">
          <w:rPr>
            <w:rStyle w:val="Hyperlink"/>
            <w:noProof/>
          </w:rPr>
          <w:t>Comparison to Normal Distribution</w:t>
        </w:r>
        <w:r w:rsidR="0012026B">
          <w:rPr>
            <w:noProof/>
            <w:webHidden/>
          </w:rPr>
          <w:tab/>
        </w:r>
        <w:r w:rsidR="0012026B">
          <w:rPr>
            <w:noProof/>
            <w:webHidden/>
          </w:rPr>
          <w:fldChar w:fldCharType="begin"/>
        </w:r>
        <w:r w:rsidR="0012026B">
          <w:rPr>
            <w:noProof/>
            <w:webHidden/>
          </w:rPr>
          <w:instrText xml:space="preserve"> PAGEREF _Toc468266929 \h </w:instrText>
        </w:r>
        <w:r w:rsidR="0012026B">
          <w:rPr>
            <w:noProof/>
            <w:webHidden/>
          </w:rPr>
        </w:r>
        <w:r w:rsidR="0012026B">
          <w:rPr>
            <w:noProof/>
            <w:webHidden/>
          </w:rPr>
          <w:fldChar w:fldCharType="separate"/>
        </w:r>
        <w:r w:rsidR="0012026B">
          <w:rPr>
            <w:noProof/>
            <w:webHidden/>
          </w:rPr>
          <w:t>275</w:t>
        </w:r>
        <w:r w:rsidR="0012026B">
          <w:rPr>
            <w:noProof/>
            <w:webHidden/>
          </w:rPr>
          <w:fldChar w:fldCharType="end"/>
        </w:r>
      </w:hyperlink>
    </w:p>
    <w:p w14:paraId="41731097" w14:textId="4494CFBF"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30" w:history="1">
        <w:r w:rsidR="0012026B" w:rsidRPr="009765CA">
          <w:rPr>
            <w:rStyle w:val="Hyperlink"/>
            <w:noProof/>
          </w:rPr>
          <w:t>8.2.6.4</w:t>
        </w:r>
        <w:r w:rsidR="0012026B">
          <w:rPr>
            <w:rFonts w:asciiTheme="minorHAnsi" w:eastAsiaTheme="minorEastAsia" w:hAnsiTheme="minorHAnsi"/>
            <w:noProof/>
            <w:sz w:val="22"/>
            <w:lang w:eastAsia="en-GB"/>
          </w:rPr>
          <w:tab/>
        </w:r>
        <w:r w:rsidR="0012026B" w:rsidRPr="009765CA">
          <w:rPr>
            <w:rStyle w:val="Hyperlink"/>
            <w:noProof/>
          </w:rPr>
          <w:t>Comparison to Roman Finds</w:t>
        </w:r>
        <w:r w:rsidR="0012026B">
          <w:rPr>
            <w:noProof/>
            <w:webHidden/>
          </w:rPr>
          <w:tab/>
        </w:r>
        <w:r w:rsidR="0012026B">
          <w:rPr>
            <w:noProof/>
            <w:webHidden/>
          </w:rPr>
          <w:fldChar w:fldCharType="begin"/>
        </w:r>
        <w:r w:rsidR="0012026B">
          <w:rPr>
            <w:noProof/>
            <w:webHidden/>
          </w:rPr>
          <w:instrText xml:space="preserve"> PAGEREF _Toc468266930 \h </w:instrText>
        </w:r>
        <w:r w:rsidR="0012026B">
          <w:rPr>
            <w:noProof/>
            <w:webHidden/>
          </w:rPr>
        </w:r>
        <w:r w:rsidR="0012026B">
          <w:rPr>
            <w:noProof/>
            <w:webHidden/>
          </w:rPr>
          <w:fldChar w:fldCharType="separate"/>
        </w:r>
        <w:r w:rsidR="0012026B">
          <w:rPr>
            <w:noProof/>
            <w:webHidden/>
          </w:rPr>
          <w:t>275</w:t>
        </w:r>
        <w:r w:rsidR="0012026B">
          <w:rPr>
            <w:noProof/>
            <w:webHidden/>
          </w:rPr>
          <w:fldChar w:fldCharType="end"/>
        </w:r>
      </w:hyperlink>
    </w:p>
    <w:p w14:paraId="76503AE2" w14:textId="2A2CAD3D"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31" w:history="1">
        <w:r w:rsidR="0012026B" w:rsidRPr="009765CA">
          <w:rPr>
            <w:rStyle w:val="Hyperlink"/>
            <w:noProof/>
          </w:rPr>
          <w:t>8.2.6.5</w:t>
        </w:r>
        <w:r w:rsidR="0012026B">
          <w:rPr>
            <w:rFonts w:asciiTheme="minorHAnsi" w:eastAsiaTheme="minorEastAsia" w:hAnsiTheme="minorHAnsi"/>
            <w:noProof/>
            <w:sz w:val="22"/>
            <w:lang w:eastAsia="en-GB"/>
          </w:rPr>
          <w:tab/>
        </w:r>
        <w:r w:rsidR="0012026B" w:rsidRPr="009765CA">
          <w:rPr>
            <w:rStyle w:val="Hyperlink"/>
            <w:noProof/>
          </w:rPr>
          <w:t>The Artefactual Dataset</w:t>
        </w:r>
        <w:r w:rsidR="0012026B">
          <w:rPr>
            <w:noProof/>
            <w:webHidden/>
          </w:rPr>
          <w:tab/>
        </w:r>
        <w:r w:rsidR="0012026B">
          <w:rPr>
            <w:noProof/>
            <w:webHidden/>
          </w:rPr>
          <w:fldChar w:fldCharType="begin"/>
        </w:r>
        <w:r w:rsidR="0012026B">
          <w:rPr>
            <w:noProof/>
            <w:webHidden/>
          </w:rPr>
          <w:instrText xml:space="preserve"> PAGEREF _Toc468266931 \h </w:instrText>
        </w:r>
        <w:r w:rsidR="0012026B">
          <w:rPr>
            <w:noProof/>
            <w:webHidden/>
          </w:rPr>
        </w:r>
        <w:r w:rsidR="0012026B">
          <w:rPr>
            <w:noProof/>
            <w:webHidden/>
          </w:rPr>
          <w:fldChar w:fldCharType="separate"/>
        </w:r>
        <w:r w:rsidR="0012026B">
          <w:rPr>
            <w:noProof/>
            <w:webHidden/>
          </w:rPr>
          <w:t>276</w:t>
        </w:r>
        <w:r w:rsidR="0012026B">
          <w:rPr>
            <w:noProof/>
            <w:webHidden/>
          </w:rPr>
          <w:fldChar w:fldCharType="end"/>
        </w:r>
      </w:hyperlink>
    </w:p>
    <w:p w14:paraId="7EEFDB9F" w14:textId="7CF408D0"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32" w:history="1">
        <w:r w:rsidR="0012026B" w:rsidRPr="009765CA">
          <w:rPr>
            <w:rStyle w:val="Hyperlink"/>
            <w:noProof/>
          </w:rPr>
          <w:t>8.2.6.6</w:t>
        </w:r>
        <w:r w:rsidR="0012026B">
          <w:rPr>
            <w:rFonts w:asciiTheme="minorHAnsi" w:eastAsiaTheme="minorEastAsia" w:hAnsiTheme="minorHAnsi"/>
            <w:noProof/>
            <w:sz w:val="22"/>
            <w:lang w:eastAsia="en-GB"/>
          </w:rPr>
          <w:tab/>
        </w:r>
        <w:r w:rsidR="0012026B" w:rsidRPr="009765CA">
          <w:rPr>
            <w:rStyle w:val="Hyperlink"/>
            <w:noProof/>
          </w:rPr>
          <w:t>Conclusion</w:t>
        </w:r>
        <w:r w:rsidR="0012026B">
          <w:rPr>
            <w:noProof/>
            <w:webHidden/>
          </w:rPr>
          <w:tab/>
        </w:r>
        <w:r w:rsidR="0012026B">
          <w:rPr>
            <w:noProof/>
            <w:webHidden/>
          </w:rPr>
          <w:fldChar w:fldCharType="begin"/>
        </w:r>
        <w:r w:rsidR="0012026B">
          <w:rPr>
            <w:noProof/>
            <w:webHidden/>
          </w:rPr>
          <w:instrText xml:space="preserve"> PAGEREF _Toc468266932 \h </w:instrText>
        </w:r>
        <w:r w:rsidR="0012026B">
          <w:rPr>
            <w:noProof/>
            <w:webHidden/>
          </w:rPr>
        </w:r>
        <w:r w:rsidR="0012026B">
          <w:rPr>
            <w:noProof/>
            <w:webHidden/>
          </w:rPr>
          <w:fldChar w:fldCharType="separate"/>
        </w:r>
        <w:r w:rsidR="0012026B">
          <w:rPr>
            <w:noProof/>
            <w:webHidden/>
          </w:rPr>
          <w:t>277</w:t>
        </w:r>
        <w:r w:rsidR="0012026B">
          <w:rPr>
            <w:noProof/>
            <w:webHidden/>
          </w:rPr>
          <w:fldChar w:fldCharType="end"/>
        </w:r>
      </w:hyperlink>
    </w:p>
    <w:p w14:paraId="52C955C7" w14:textId="4175B0CD" w:rsidR="0012026B" w:rsidRDefault="00B32C9A">
      <w:pPr>
        <w:pStyle w:val="TOC2"/>
        <w:tabs>
          <w:tab w:val="left" w:pos="1100"/>
          <w:tab w:val="right" w:leader="dot" w:pos="9016"/>
        </w:tabs>
        <w:rPr>
          <w:rFonts w:asciiTheme="minorHAnsi" w:eastAsiaTheme="minorEastAsia" w:hAnsiTheme="minorHAnsi"/>
          <w:noProof/>
          <w:sz w:val="22"/>
          <w:lang w:eastAsia="en-GB"/>
        </w:rPr>
      </w:pPr>
      <w:hyperlink w:anchor="_Toc468266933" w:history="1">
        <w:r w:rsidR="0012026B" w:rsidRPr="009765CA">
          <w:rPr>
            <w:rStyle w:val="Hyperlink"/>
            <w:noProof/>
          </w:rPr>
          <w:t>8.2.7</w:t>
        </w:r>
        <w:r w:rsidR="0012026B">
          <w:rPr>
            <w:rFonts w:asciiTheme="minorHAnsi" w:eastAsiaTheme="minorEastAsia" w:hAnsiTheme="minorHAnsi"/>
            <w:noProof/>
            <w:sz w:val="22"/>
            <w:lang w:eastAsia="en-GB"/>
          </w:rPr>
          <w:tab/>
        </w:r>
        <w:r w:rsidR="0012026B" w:rsidRPr="009765CA">
          <w:rPr>
            <w:rStyle w:val="Hyperlink"/>
            <w:noProof/>
          </w:rPr>
          <w:t>Bernicia and the North</w:t>
        </w:r>
        <w:r w:rsidR="0012026B">
          <w:rPr>
            <w:noProof/>
            <w:webHidden/>
          </w:rPr>
          <w:tab/>
        </w:r>
        <w:r w:rsidR="0012026B">
          <w:rPr>
            <w:noProof/>
            <w:webHidden/>
          </w:rPr>
          <w:fldChar w:fldCharType="begin"/>
        </w:r>
        <w:r w:rsidR="0012026B">
          <w:rPr>
            <w:noProof/>
            <w:webHidden/>
          </w:rPr>
          <w:instrText xml:space="preserve"> PAGEREF _Toc468266933 \h </w:instrText>
        </w:r>
        <w:r w:rsidR="0012026B">
          <w:rPr>
            <w:noProof/>
            <w:webHidden/>
          </w:rPr>
        </w:r>
        <w:r w:rsidR="0012026B">
          <w:rPr>
            <w:noProof/>
            <w:webHidden/>
          </w:rPr>
          <w:fldChar w:fldCharType="separate"/>
        </w:r>
        <w:r w:rsidR="0012026B">
          <w:rPr>
            <w:noProof/>
            <w:webHidden/>
          </w:rPr>
          <w:t>278</w:t>
        </w:r>
        <w:r w:rsidR="0012026B">
          <w:rPr>
            <w:noProof/>
            <w:webHidden/>
          </w:rPr>
          <w:fldChar w:fldCharType="end"/>
        </w:r>
      </w:hyperlink>
    </w:p>
    <w:p w14:paraId="10EC863E" w14:textId="52A7DEC3"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34" w:history="1">
        <w:r w:rsidR="0012026B" w:rsidRPr="009765CA">
          <w:rPr>
            <w:rStyle w:val="Hyperlink"/>
            <w:noProof/>
          </w:rPr>
          <w:t>8.2.7.1</w:t>
        </w:r>
        <w:r w:rsidR="0012026B">
          <w:rPr>
            <w:rFonts w:asciiTheme="minorHAnsi" w:eastAsiaTheme="minorEastAsia" w:hAnsiTheme="minorHAnsi"/>
            <w:noProof/>
            <w:sz w:val="22"/>
            <w:lang w:eastAsia="en-GB"/>
          </w:rPr>
          <w:tab/>
        </w:r>
        <w:r w:rsidR="0012026B" w:rsidRPr="009765CA">
          <w:rPr>
            <w:rStyle w:val="Hyperlink"/>
            <w:noProof/>
          </w:rPr>
          <w:t>Vicii Regius - Regal Sites</w:t>
        </w:r>
        <w:r w:rsidR="0012026B">
          <w:rPr>
            <w:noProof/>
            <w:webHidden/>
          </w:rPr>
          <w:tab/>
        </w:r>
        <w:r w:rsidR="0012026B">
          <w:rPr>
            <w:noProof/>
            <w:webHidden/>
          </w:rPr>
          <w:fldChar w:fldCharType="begin"/>
        </w:r>
        <w:r w:rsidR="0012026B">
          <w:rPr>
            <w:noProof/>
            <w:webHidden/>
          </w:rPr>
          <w:instrText xml:space="preserve"> PAGEREF _Toc468266934 \h </w:instrText>
        </w:r>
        <w:r w:rsidR="0012026B">
          <w:rPr>
            <w:noProof/>
            <w:webHidden/>
          </w:rPr>
        </w:r>
        <w:r w:rsidR="0012026B">
          <w:rPr>
            <w:noProof/>
            <w:webHidden/>
          </w:rPr>
          <w:fldChar w:fldCharType="separate"/>
        </w:r>
        <w:r w:rsidR="0012026B">
          <w:rPr>
            <w:noProof/>
            <w:webHidden/>
          </w:rPr>
          <w:t>278</w:t>
        </w:r>
        <w:r w:rsidR="0012026B">
          <w:rPr>
            <w:noProof/>
            <w:webHidden/>
          </w:rPr>
          <w:fldChar w:fldCharType="end"/>
        </w:r>
      </w:hyperlink>
    </w:p>
    <w:p w14:paraId="5CE6AEEC" w14:textId="589F989F" w:rsidR="0012026B" w:rsidRDefault="00B32C9A">
      <w:pPr>
        <w:pStyle w:val="TOC4"/>
        <w:tabs>
          <w:tab w:val="right" w:leader="dot" w:pos="9016"/>
        </w:tabs>
        <w:rPr>
          <w:rFonts w:asciiTheme="minorHAnsi" w:eastAsiaTheme="minorEastAsia" w:hAnsiTheme="minorHAnsi"/>
          <w:noProof/>
          <w:sz w:val="22"/>
          <w:lang w:eastAsia="en-GB"/>
        </w:rPr>
      </w:pPr>
      <w:hyperlink w:anchor="_Toc468266935" w:history="1">
        <w:r w:rsidR="0012026B" w:rsidRPr="009765CA">
          <w:rPr>
            <w:rStyle w:val="Hyperlink"/>
            <w:noProof/>
          </w:rPr>
          <w:t>Yeavering</w:t>
        </w:r>
        <w:r w:rsidR="0012026B">
          <w:rPr>
            <w:noProof/>
            <w:webHidden/>
          </w:rPr>
          <w:tab/>
        </w:r>
        <w:r w:rsidR="0012026B">
          <w:rPr>
            <w:noProof/>
            <w:webHidden/>
          </w:rPr>
          <w:fldChar w:fldCharType="begin"/>
        </w:r>
        <w:r w:rsidR="0012026B">
          <w:rPr>
            <w:noProof/>
            <w:webHidden/>
          </w:rPr>
          <w:instrText xml:space="preserve"> PAGEREF _Toc468266935 \h </w:instrText>
        </w:r>
        <w:r w:rsidR="0012026B">
          <w:rPr>
            <w:noProof/>
            <w:webHidden/>
          </w:rPr>
        </w:r>
        <w:r w:rsidR="0012026B">
          <w:rPr>
            <w:noProof/>
            <w:webHidden/>
          </w:rPr>
          <w:fldChar w:fldCharType="separate"/>
        </w:r>
        <w:r w:rsidR="0012026B">
          <w:rPr>
            <w:noProof/>
            <w:webHidden/>
          </w:rPr>
          <w:t>278</w:t>
        </w:r>
        <w:r w:rsidR="0012026B">
          <w:rPr>
            <w:noProof/>
            <w:webHidden/>
          </w:rPr>
          <w:fldChar w:fldCharType="end"/>
        </w:r>
      </w:hyperlink>
    </w:p>
    <w:p w14:paraId="18D168A1" w14:textId="4B1B1225" w:rsidR="0012026B" w:rsidRDefault="00B32C9A">
      <w:pPr>
        <w:pStyle w:val="TOC4"/>
        <w:tabs>
          <w:tab w:val="right" w:leader="dot" w:pos="9016"/>
        </w:tabs>
        <w:rPr>
          <w:rFonts w:asciiTheme="minorHAnsi" w:eastAsiaTheme="minorEastAsia" w:hAnsiTheme="minorHAnsi"/>
          <w:noProof/>
          <w:sz w:val="22"/>
          <w:lang w:eastAsia="en-GB"/>
        </w:rPr>
      </w:pPr>
      <w:hyperlink w:anchor="_Toc468266936" w:history="1">
        <w:r w:rsidR="0012026B" w:rsidRPr="009765CA">
          <w:rPr>
            <w:rStyle w:val="Hyperlink"/>
            <w:noProof/>
          </w:rPr>
          <w:t>Bamburgh</w:t>
        </w:r>
        <w:r w:rsidR="0012026B">
          <w:rPr>
            <w:noProof/>
            <w:webHidden/>
          </w:rPr>
          <w:tab/>
        </w:r>
        <w:r w:rsidR="0012026B">
          <w:rPr>
            <w:noProof/>
            <w:webHidden/>
          </w:rPr>
          <w:fldChar w:fldCharType="begin"/>
        </w:r>
        <w:r w:rsidR="0012026B">
          <w:rPr>
            <w:noProof/>
            <w:webHidden/>
          </w:rPr>
          <w:instrText xml:space="preserve"> PAGEREF _Toc468266936 \h </w:instrText>
        </w:r>
        <w:r w:rsidR="0012026B">
          <w:rPr>
            <w:noProof/>
            <w:webHidden/>
          </w:rPr>
        </w:r>
        <w:r w:rsidR="0012026B">
          <w:rPr>
            <w:noProof/>
            <w:webHidden/>
          </w:rPr>
          <w:fldChar w:fldCharType="separate"/>
        </w:r>
        <w:r w:rsidR="0012026B">
          <w:rPr>
            <w:noProof/>
            <w:webHidden/>
          </w:rPr>
          <w:t>280</w:t>
        </w:r>
        <w:r w:rsidR="0012026B">
          <w:rPr>
            <w:noProof/>
            <w:webHidden/>
          </w:rPr>
          <w:fldChar w:fldCharType="end"/>
        </w:r>
      </w:hyperlink>
    </w:p>
    <w:p w14:paraId="34A7BA9C" w14:textId="1829D990" w:rsidR="0012026B" w:rsidRDefault="00B32C9A">
      <w:pPr>
        <w:pStyle w:val="TOC3"/>
        <w:tabs>
          <w:tab w:val="right" w:leader="dot" w:pos="9016"/>
        </w:tabs>
        <w:rPr>
          <w:rFonts w:asciiTheme="minorHAnsi" w:eastAsiaTheme="minorEastAsia" w:hAnsiTheme="minorHAnsi"/>
          <w:noProof/>
          <w:sz w:val="22"/>
          <w:lang w:eastAsia="en-GB"/>
        </w:rPr>
      </w:pPr>
      <w:hyperlink w:anchor="_Toc468266937" w:history="1">
        <w:r w:rsidR="0012026B" w:rsidRPr="009765CA">
          <w:rPr>
            <w:rStyle w:val="Hyperlink"/>
            <w:noProof/>
          </w:rPr>
          <w:t>Conclusion</w:t>
        </w:r>
        <w:r w:rsidR="0012026B">
          <w:rPr>
            <w:noProof/>
            <w:webHidden/>
          </w:rPr>
          <w:tab/>
        </w:r>
        <w:r w:rsidR="0012026B">
          <w:rPr>
            <w:noProof/>
            <w:webHidden/>
          </w:rPr>
          <w:fldChar w:fldCharType="begin"/>
        </w:r>
        <w:r w:rsidR="0012026B">
          <w:rPr>
            <w:noProof/>
            <w:webHidden/>
          </w:rPr>
          <w:instrText xml:space="preserve"> PAGEREF _Toc468266937 \h </w:instrText>
        </w:r>
        <w:r w:rsidR="0012026B">
          <w:rPr>
            <w:noProof/>
            <w:webHidden/>
          </w:rPr>
        </w:r>
        <w:r w:rsidR="0012026B">
          <w:rPr>
            <w:noProof/>
            <w:webHidden/>
          </w:rPr>
          <w:fldChar w:fldCharType="separate"/>
        </w:r>
        <w:r w:rsidR="0012026B">
          <w:rPr>
            <w:noProof/>
            <w:webHidden/>
          </w:rPr>
          <w:t>282</w:t>
        </w:r>
        <w:r w:rsidR="0012026B">
          <w:rPr>
            <w:noProof/>
            <w:webHidden/>
          </w:rPr>
          <w:fldChar w:fldCharType="end"/>
        </w:r>
      </w:hyperlink>
    </w:p>
    <w:p w14:paraId="21AECF83" w14:textId="37970E21" w:rsidR="0012026B" w:rsidRDefault="00B32C9A">
      <w:pPr>
        <w:pStyle w:val="TOC4"/>
        <w:tabs>
          <w:tab w:val="right" w:leader="dot" w:pos="9016"/>
        </w:tabs>
        <w:rPr>
          <w:rFonts w:asciiTheme="minorHAnsi" w:eastAsiaTheme="minorEastAsia" w:hAnsiTheme="minorHAnsi"/>
          <w:noProof/>
          <w:sz w:val="22"/>
          <w:lang w:eastAsia="en-GB"/>
        </w:rPr>
      </w:pPr>
      <w:hyperlink w:anchor="_Toc468266938" w:history="1">
        <w:r w:rsidR="0012026B" w:rsidRPr="009765CA">
          <w:rPr>
            <w:rStyle w:val="Hyperlink"/>
            <w:noProof/>
          </w:rPr>
          <w:t>Street House Cemetery</w:t>
        </w:r>
        <w:r w:rsidR="0012026B">
          <w:rPr>
            <w:noProof/>
            <w:webHidden/>
          </w:rPr>
          <w:tab/>
        </w:r>
        <w:r w:rsidR="0012026B">
          <w:rPr>
            <w:noProof/>
            <w:webHidden/>
          </w:rPr>
          <w:fldChar w:fldCharType="begin"/>
        </w:r>
        <w:r w:rsidR="0012026B">
          <w:rPr>
            <w:noProof/>
            <w:webHidden/>
          </w:rPr>
          <w:instrText xml:space="preserve"> PAGEREF _Toc468266938 \h </w:instrText>
        </w:r>
        <w:r w:rsidR="0012026B">
          <w:rPr>
            <w:noProof/>
            <w:webHidden/>
          </w:rPr>
        </w:r>
        <w:r w:rsidR="0012026B">
          <w:rPr>
            <w:noProof/>
            <w:webHidden/>
          </w:rPr>
          <w:fldChar w:fldCharType="separate"/>
        </w:r>
        <w:r w:rsidR="0012026B">
          <w:rPr>
            <w:noProof/>
            <w:webHidden/>
          </w:rPr>
          <w:t>282</w:t>
        </w:r>
        <w:r w:rsidR="0012026B">
          <w:rPr>
            <w:noProof/>
            <w:webHidden/>
          </w:rPr>
          <w:fldChar w:fldCharType="end"/>
        </w:r>
      </w:hyperlink>
    </w:p>
    <w:p w14:paraId="4A5B8A17" w14:textId="229D515A"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39" w:history="1">
        <w:r w:rsidR="0012026B" w:rsidRPr="009765CA">
          <w:rPr>
            <w:rStyle w:val="Hyperlink"/>
            <w:noProof/>
          </w:rPr>
          <w:t>8.2.7.2</w:t>
        </w:r>
        <w:r w:rsidR="0012026B">
          <w:rPr>
            <w:rFonts w:asciiTheme="minorHAnsi" w:eastAsiaTheme="minorEastAsia" w:hAnsiTheme="minorHAnsi"/>
            <w:noProof/>
            <w:sz w:val="22"/>
            <w:lang w:eastAsia="en-GB"/>
          </w:rPr>
          <w:tab/>
        </w:r>
        <w:r w:rsidR="0012026B" w:rsidRPr="009765CA">
          <w:rPr>
            <w:rStyle w:val="Hyperlink"/>
            <w:noProof/>
          </w:rPr>
          <w:t>Ecclesiastical</w:t>
        </w:r>
        <w:r w:rsidR="0012026B" w:rsidRPr="009765CA">
          <w:rPr>
            <w:rStyle w:val="Hyperlink"/>
            <w:rFonts w:cs="Times New Roman"/>
            <w:noProof/>
          </w:rPr>
          <w:t xml:space="preserve"> Sites</w:t>
        </w:r>
        <w:r w:rsidR="0012026B">
          <w:rPr>
            <w:noProof/>
            <w:webHidden/>
          </w:rPr>
          <w:tab/>
        </w:r>
        <w:r w:rsidR="0012026B">
          <w:rPr>
            <w:noProof/>
            <w:webHidden/>
          </w:rPr>
          <w:fldChar w:fldCharType="begin"/>
        </w:r>
        <w:r w:rsidR="0012026B">
          <w:rPr>
            <w:noProof/>
            <w:webHidden/>
          </w:rPr>
          <w:instrText xml:space="preserve"> PAGEREF _Toc468266939 \h </w:instrText>
        </w:r>
        <w:r w:rsidR="0012026B">
          <w:rPr>
            <w:noProof/>
            <w:webHidden/>
          </w:rPr>
        </w:r>
        <w:r w:rsidR="0012026B">
          <w:rPr>
            <w:noProof/>
            <w:webHidden/>
          </w:rPr>
          <w:fldChar w:fldCharType="separate"/>
        </w:r>
        <w:r w:rsidR="0012026B">
          <w:rPr>
            <w:noProof/>
            <w:webHidden/>
          </w:rPr>
          <w:t>283</w:t>
        </w:r>
        <w:r w:rsidR="0012026B">
          <w:rPr>
            <w:noProof/>
            <w:webHidden/>
          </w:rPr>
          <w:fldChar w:fldCharType="end"/>
        </w:r>
      </w:hyperlink>
    </w:p>
    <w:p w14:paraId="34CD625B" w14:textId="7FF7D33A" w:rsidR="0012026B" w:rsidRDefault="00B32C9A">
      <w:pPr>
        <w:pStyle w:val="TOC4"/>
        <w:tabs>
          <w:tab w:val="right" w:leader="dot" w:pos="9016"/>
        </w:tabs>
        <w:rPr>
          <w:rFonts w:asciiTheme="minorHAnsi" w:eastAsiaTheme="minorEastAsia" w:hAnsiTheme="minorHAnsi"/>
          <w:noProof/>
          <w:sz w:val="22"/>
          <w:lang w:eastAsia="en-GB"/>
        </w:rPr>
      </w:pPr>
      <w:hyperlink w:anchor="_Toc468266940" w:history="1">
        <w:r w:rsidR="0012026B" w:rsidRPr="009765CA">
          <w:rPr>
            <w:rStyle w:val="Hyperlink"/>
            <w:noProof/>
          </w:rPr>
          <w:t>Whithorn</w:t>
        </w:r>
        <w:r w:rsidR="0012026B">
          <w:rPr>
            <w:noProof/>
            <w:webHidden/>
          </w:rPr>
          <w:tab/>
        </w:r>
        <w:r w:rsidR="0012026B">
          <w:rPr>
            <w:noProof/>
            <w:webHidden/>
          </w:rPr>
          <w:fldChar w:fldCharType="begin"/>
        </w:r>
        <w:r w:rsidR="0012026B">
          <w:rPr>
            <w:noProof/>
            <w:webHidden/>
          </w:rPr>
          <w:instrText xml:space="preserve"> PAGEREF _Toc468266940 \h </w:instrText>
        </w:r>
        <w:r w:rsidR="0012026B">
          <w:rPr>
            <w:noProof/>
            <w:webHidden/>
          </w:rPr>
        </w:r>
        <w:r w:rsidR="0012026B">
          <w:rPr>
            <w:noProof/>
            <w:webHidden/>
          </w:rPr>
          <w:fldChar w:fldCharType="separate"/>
        </w:r>
        <w:r w:rsidR="0012026B">
          <w:rPr>
            <w:noProof/>
            <w:webHidden/>
          </w:rPr>
          <w:t>283</w:t>
        </w:r>
        <w:r w:rsidR="0012026B">
          <w:rPr>
            <w:noProof/>
            <w:webHidden/>
          </w:rPr>
          <w:fldChar w:fldCharType="end"/>
        </w:r>
      </w:hyperlink>
    </w:p>
    <w:p w14:paraId="46431A45" w14:textId="47DB2E8F" w:rsidR="0012026B" w:rsidRDefault="00B32C9A">
      <w:pPr>
        <w:pStyle w:val="TOC4"/>
        <w:tabs>
          <w:tab w:val="right" w:leader="dot" w:pos="9016"/>
        </w:tabs>
        <w:rPr>
          <w:rFonts w:asciiTheme="minorHAnsi" w:eastAsiaTheme="minorEastAsia" w:hAnsiTheme="minorHAnsi"/>
          <w:noProof/>
          <w:sz w:val="22"/>
          <w:lang w:eastAsia="en-GB"/>
        </w:rPr>
      </w:pPr>
      <w:hyperlink w:anchor="_Toc468266941" w:history="1">
        <w:r w:rsidR="0012026B" w:rsidRPr="009765CA">
          <w:rPr>
            <w:rStyle w:val="Hyperlink"/>
            <w:noProof/>
          </w:rPr>
          <w:t>Whitby</w:t>
        </w:r>
        <w:r w:rsidR="0012026B">
          <w:rPr>
            <w:noProof/>
            <w:webHidden/>
          </w:rPr>
          <w:tab/>
        </w:r>
        <w:r w:rsidR="0012026B">
          <w:rPr>
            <w:noProof/>
            <w:webHidden/>
          </w:rPr>
          <w:fldChar w:fldCharType="begin"/>
        </w:r>
        <w:r w:rsidR="0012026B">
          <w:rPr>
            <w:noProof/>
            <w:webHidden/>
          </w:rPr>
          <w:instrText xml:space="preserve"> PAGEREF _Toc468266941 \h </w:instrText>
        </w:r>
        <w:r w:rsidR="0012026B">
          <w:rPr>
            <w:noProof/>
            <w:webHidden/>
          </w:rPr>
        </w:r>
        <w:r w:rsidR="0012026B">
          <w:rPr>
            <w:noProof/>
            <w:webHidden/>
          </w:rPr>
          <w:fldChar w:fldCharType="separate"/>
        </w:r>
        <w:r w:rsidR="0012026B">
          <w:rPr>
            <w:noProof/>
            <w:webHidden/>
          </w:rPr>
          <w:t>291</w:t>
        </w:r>
        <w:r w:rsidR="0012026B">
          <w:rPr>
            <w:noProof/>
            <w:webHidden/>
          </w:rPr>
          <w:fldChar w:fldCharType="end"/>
        </w:r>
      </w:hyperlink>
    </w:p>
    <w:p w14:paraId="1753A169" w14:textId="2EB8D78E" w:rsidR="0012026B" w:rsidRDefault="00B32C9A">
      <w:pPr>
        <w:pStyle w:val="TOC4"/>
        <w:tabs>
          <w:tab w:val="right" w:leader="dot" w:pos="9016"/>
        </w:tabs>
        <w:rPr>
          <w:rFonts w:asciiTheme="minorHAnsi" w:eastAsiaTheme="minorEastAsia" w:hAnsiTheme="minorHAnsi"/>
          <w:noProof/>
          <w:sz w:val="22"/>
          <w:lang w:eastAsia="en-GB"/>
        </w:rPr>
      </w:pPr>
      <w:hyperlink w:anchor="_Toc468266942" w:history="1">
        <w:r w:rsidR="0012026B" w:rsidRPr="009765CA">
          <w:rPr>
            <w:rStyle w:val="Hyperlink"/>
            <w:noProof/>
          </w:rPr>
          <w:t>Lindisfarne</w:t>
        </w:r>
        <w:r w:rsidR="0012026B">
          <w:rPr>
            <w:noProof/>
            <w:webHidden/>
          </w:rPr>
          <w:tab/>
        </w:r>
        <w:r w:rsidR="0012026B">
          <w:rPr>
            <w:noProof/>
            <w:webHidden/>
          </w:rPr>
          <w:fldChar w:fldCharType="begin"/>
        </w:r>
        <w:r w:rsidR="0012026B">
          <w:rPr>
            <w:noProof/>
            <w:webHidden/>
          </w:rPr>
          <w:instrText xml:space="preserve"> PAGEREF _Toc468266942 \h </w:instrText>
        </w:r>
        <w:r w:rsidR="0012026B">
          <w:rPr>
            <w:noProof/>
            <w:webHidden/>
          </w:rPr>
        </w:r>
        <w:r w:rsidR="0012026B">
          <w:rPr>
            <w:noProof/>
            <w:webHidden/>
          </w:rPr>
          <w:fldChar w:fldCharType="separate"/>
        </w:r>
        <w:r w:rsidR="0012026B">
          <w:rPr>
            <w:noProof/>
            <w:webHidden/>
          </w:rPr>
          <w:t>294</w:t>
        </w:r>
        <w:r w:rsidR="0012026B">
          <w:rPr>
            <w:noProof/>
            <w:webHidden/>
          </w:rPr>
          <w:fldChar w:fldCharType="end"/>
        </w:r>
      </w:hyperlink>
    </w:p>
    <w:p w14:paraId="7E63F289" w14:textId="2C55C3FB"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43" w:history="1">
        <w:r w:rsidR="0012026B" w:rsidRPr="009765CA">
          <w:rPr>
            <w:rStyle w:val="Hyperlink"/>
            <w:noProof/>
          </w:rPr>
          <w:t>8.2.7.3</w:t>
        </w:r>
        <w:r w:rsidR="0012026B">
          <w:rPr>
            <w:rFonts w:asciiTheme="minorHAnsi" w:eastAsiaTheme="minorEastAsia" w:hAnsiTheme="minorHAnsi"/>
            <w:noProof/>
            <w:sz w:val="22"/>
            <w:lang w:eastAsia="en-GB"/>
          </w:rPr>
          <w:tab/>
        </w:r>
        <w:r w:rsidR="0012026B" w:rsidRPr="009765CA">
          <w:rPr>
            <w:rStyle w:val="Hyperlink"/>
            <w:noProof/>
          </w:rPr>
          <w:t>Comparison to Normal Distribution</w:t>
        </w:r>
        <w:r w:rsidR="0012026B">
          <w:rPr>
            <w:noProof/>
            <w:webHidden/>
          </w:rPr>
          <w:tab/>
        </w:r>
        <w:r w:rsidR="0012026B">
          <w:rPr>
            <w:noProof/>
            <w:webHidden/>
          </w:rPr>
          <w:fldChar w:fldCharType="begin"/>
        </w:r>
        <w:r w:rsidR="0012026B">
          <w:rPr>
            <w:noProof/>
            <w:webHidden/>
          </w:rPr>
          <w:instrText xml:space="preserve"> PAGEREF _Toc468266943 \h </w:instrText>
        </w:r>
        <w:r w:rsidR="0012026B">
          <w:rPr>
            <w:noProof/>
            <w:webHidden/>
          </w:rPr>
        </w:r>
        <w:r w:rsidR="0012026B">
          <w:rPr>
            <w:noProof/>
            <w:webHidden/>
          </w:rPr>
          <w:fldChar w:fldCharType="separate"/>
        </w:r>
        <w:r w:rsidR="0012026B">
          <w:rPr>
            <w:noProof/>
            <w:webHidden/>
          </w:rPr>
          <w:t>295</w:t>
        </w:r>
        <w:r w:rsidR="0012026B">
          <w:rPr>
            <w:noProof/>
            <w:webHidden/>
          </w:rPr>
          <w:fldChar w:fldCharType="end"/>
        </w:r>
      </w:hyperlink>
    </w:p>
    <w:p w14:paraId="5B5C7737" w14:textId="722E7C31"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44" w:history="1">
        <w:r w:rsidR="0012026B" w:rsidRPr="009765CA">
          <w:rPr>
            <w:rStyle w:val="Hyperlink"/>
            <w:noProof/>
          </w:rPr>
          <w:t>8.2.7.4</w:t>
        </w:r>
        <w:r w:rsidR="0012026B">
          <w:rPr>
            <w:rFonts w:asciiTheme="minorHAnsi" w:eastAsiaTheme="minorEastAsia" w:hAnsiTheme="minorHAnsi"/>
            <w:noProof/>
            <w:sz w:val="22"/>
            <w:lang w:eastAsia="en-GB"/>
          </w:rPr>
          <w:tab/>
        </w:r>
        <w:r w:rsidR="0012026B" w:rsidRPr="009765CA">
          <w:rPr>
            <w:rStyle w:val="Hyperlink"/>
            <w:noProof/>
          </w:rPr>
          <w:t>Comparison to Roman Finds</w:t>
        </w:r>
        <w:r w:rsidR="0012026B">
          <w:rPr>
            <w:noProof/>
            <w:webHidden/>
          </w:rPr>
          <w:tab/>
        </w:r>
        <w:r w:rsidR="0012026B">
          <w:rPr>
            <w:noProof/>
            <w:webHidden/>
          </w:rPr>
          <w:fldChar w:fldCharType="begin"/>
        </w:r>
        <w:r w:rsidR="0012026B">
          <w:rPr>
            <w:noProof/>
            <w:webHidden/>
          </w:rPr>
          <w:instrText xml:space="preserve"> PAGEREF _Toc468266944 \h </w:instrText>
        </w:r>
        <w:r w:rsidR="0012026B">
          <w:rPr>
            <w:noProof/>
            <w:webHidden/>
          </w:rPr>
        </w:r>
        <w:r w:rsidR="0012026B">
          <w:rPr>
            <w:noProof/>
            <w:webHidden/>
          </w:rPr>
          <w:fldChar w:fldCharType="separate"/>
        </w:r>
        <w:r w:rsidR="0012026B">
          <w:rPr>
            <w:noProof/>
            <w:webHidden/>
          </w:rPr>
          <w:t>296</w:t>
        </w:r>
        <w:r w:rsidR="0012026B">
          <w:rPr>
            <w:noProof/>
            <w:webHidden/>
          </w:rPr>
          <w:fldChar w:fldCharType="end"/>
        </w:r>
      </w:hyperlink>
    </w:p>
    <w:p w14:paraId="05566628" w14:textId="0A125D5C"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45" w:history="1">
        <w:r w:rsidR="0012026B" w:rsidRPr="009765CA">
          <w:rPr>
            <w:rStyle w:val="Hyperlink"/>
            <w:noProof/>
          </w:rPr>
          <w:t>8.2.7.5</w:t>
        </w:r>
        <w:r w:rsidR="0012026B">
          <w:rPr>
            <w:rFonts w:asciiTheme="minorHAnsi" w:eastAsiaTheme="minorEastAsia" w:hAnsiTheme="minorHAnsi"/>
            <w:noProof/>
            <w:sz w:val="22"/>
            <w:lang w:eastAsia="en-GB"/>
          </w:rPr>
          <w:tab/>
        </w:r>
        <w:r w:rsidR="0012026B" w:rsidRPr="009765CA">
          <w:rPr>
            <w:rStyle w:val="Hyperlink"/>
            <w:noProof/>
          </w:rPr>
          <w:t>The Artefactual Dataset</w:t>
        </w:r>
        <w:r w:rsidR="0012026B">
          <w:rPr>
            <w:noProof/>
            <w:webHidden/>
          </w:rPr>
          <w:tab/>
        </w:r>
        <w:r w:rsidR="0012026B">
          <w:rPr>
            <w:noProof/>
            <w:webHidden/>
          </w:rPr>
          <w:fldChar w:fldCharType="begin"/>
        </w:r>
        <w:r w:rsidR="0012026B">
          <w:rPr>
            <w:noProof/>
            <w:webHidden/>
          </w:rPr>
          <w:instrText xml:space="preserve"> PAGEREF _Toc468266945 \h </w:instrText>
        </w:r>
        <w:r w:rsidR="0012026B">
          <w:rPr>
            <w:noProof/>
            <w:webHidden/>
          </w:rPr>
        </w:r>
        <w:r w:rsidR="0012026B">
          <w:rPr>
            <w:noProof/>
            <w:webHidden/>
          </w:rPr>
          <w:fldChar w:fldCharType="separate"/>
        </w:r>
        <w:r w:rsidR="0012026B">
          <w:rPr>
            <w:noProof/>
            <w:webHidden/>
          </w:rPr>
          <w:t>296</w:t>
        </w:r>
        <w:r w:rsidR="0012026B">
          <w:rPr>
            <w:noProof/>
            <w:webHidden/>
          </w:rPr>
          <w:fldChar w:fldCharType="end"/>
        </w:r>
      </w:hyperlink>
    </w:p>
    <w:p w14:paraId="5E99B298" w14:textId="0A20E17F" w:rsidR="0012026B" w:rsidRDefault="00B32C9A">
      <w:pPr>
        <w:pStyle w:val="TOC3"/>
        <w:tabs>
          <w:tab w:val="left" w:pos="1540"/>
          <w:tab w:val="right" w:leader="dot" w:pos="9016"/>
        </w:tabs>
        <w:rPr>
          <w:rFonts w:asciiTheme="minorHAnsi" w:eastAsiaTheme="minorEastAsia" w:hAnsiTheme="minorHAnsi"/>
          <w:noProof/>
          <w:sz w:val="22"/>
          <w:lang w:eastAsia="en-GB"/>
        </w:rPr>
      </w:pPr>
      <w:hyperlink w:anchor="_Toc468266946" w:history="1">
        <w:r w:rsidR="0012026B" w:rsidRPr="009765CA">
          <w:rPr>
            <w:rStyle w:val="Hyperlink"/>
            <w:noProof/>
          </w:rPr>
          <w:t>8.2.7.6</w:t>
        </w:r>
        <w:r w:rsidR="0012026B">
          <w:rPr>
            <w:rFonts w:asciiTheme="minorHAnsi" w:eastAsiaTheme="minorEastAsia" w:hAnsiTheme="minorHAnsi"/>
            <w:noProof/>
            <w:sz w:val="22"/>
            <w:lang w:eastAsia="en-GB"/>
          </w:rPr>
          <w:tab/>
        </w:r>
        <w:r w:rsidR="0012026B" w:rsidRPr="009765CA">
          <w:rPr>
            <w:rStyle w:val="Hyperlink"/>
            <w:noProof/>
          </w:rPr>
          <w:t>Conclusion</w:t>
        </w:r>
        <w:r w:rsidR="0012026B">
          <w:rPr>
            <w:noProof/>
            <w:webHidden/>
          </w:rPr>
          <w:tab/>
        </w:r>
        <w:r w:rsidR="0012026B">
          <w:rPr>
            <w:noProof/>
            <w:webHidden/>
          </w:rPr>
          <w:fldChar w:fldCharType="begin"/>
        </w:r>
        <w:r w:rsidR="0012026B">
          <w:rPr>
            <w:noProof/>
            <w:webHidden/>
          </w:rPr>
          <w:instrText xml:space="preserve"> PAGEREF _Toc468266946 \h </w:instrText>
        </w:r>
        <w:r w:rsidR="0012026B">
          <w:rPr>
            <w:noProof/>
            <w:webHidden/>
          </w:rPr>
        </w:r>
        <w:r w:rsidR="0012026B">
          <w:rPr>
            <w:noProof/>
            <w:webHidden/>
          </w:rPr>
          <w:fldChar w:fldCharType="separate"/>
        </w:r>
        <w:r w:rsidR="0012026B">
          <w:rPr>
            <w:noProof/>
            <w:webHidden/>
          </w:rPr>
          <w:t>297</w:t>
        </w:r>
        <w:r w:rsidR="0012026B">
          <w:rPr>
            <w:noProof/>
            <w:webHidden/>
          </w:rPr>
          <w:fldChar w:fldCharType="end"/>
        </w:r>
      </w:hyperlink>
    </w:p>
    <w:p w14:paraId="4965558C" w14:textId="30E96193" w:rsidR="0012026B" w:rsidRDefault="00B32C9A">
      <w:pPr>
        <w:pStyle w:val="TOC1"/>
        <w:tabs>
          <w:tab w:val="right" w:leader="dot" w:pos="9016"/>
        </w:tabs>
        <w:rPr>
          <w:rFonts w:asciiTheme="minorHAnsi" w:eastAsiaTheme="minorEastAsia" w:hAnsiTheme="minorHAnsi"/>
          <w:noProof/>
          <w:sz w:val="22"/>
          <w:lang w:eastAsia="en-GB"/>
        </w:rPr>
      </w:pPr>
      <w:hyperlink w:anchor="_Toc468266947" w:history="1">
        <w:r w:rsidR="0012026B" w:rsidRPr="009765CA">
          <w:rPr>
            <w:rStyle w:val="Hyperlink"/>
            <w:rFonts w:cs="Times New Roman"/>
            <w:noProof/>
          </w:rPr>
          <w:t>PART THREE: FINDINGS AND CONCLUSIONS</w:t>
        </w:r>
        <w:r w:rsidR="0012026B">
          <w:rPr>
            <w:noProof/>
            <w:webHidden/>
          </w:rPr>
          <w:tab/>
        </w:r>
        <w:r w:rsidR="0012026B">
          <w:rPr>
            <w:noProof/>
            <w:webHidden/>
          </w:rPr>
          <w:fldChar w:fldCharType="begin"/>
        </w:r>
        <w:r w:rsidR="0012026B">
          <w:rPr>
            <w:noProof/>
            <w:webHidden/>
          </w:rPr>
          <w:instrText xml:space="preserve"> PAGEREF _Toc468266947 \h </w:instrText>
        </w:r>
        <w:r w:rsidR="0012026B">
          <w:rPr>
            <w:noProof/>
            <w:webHidden/>
          </w:rPr>
        </w:r>
        <w:r w:rsidR="0012026B">
          <w:rPr>
            <w:noProof/>
            <w:webHidden/>
          </w:rPr>
          <w:fldChar w:fldCharType="separate"/>
        </w:r>
        <w:r w:rsidR="0012026B">
          <w:rPr>
            <w:noProof/>
            <w:webHidden/>
          </w:rPr>
          <w:t>298</w:t>
        </w:r>
        <w:r w:rsidR="0012026B">
          <w:rPr>
            <w:noProof/>
            <w:webHidden/>
          </w:rPr>
          <w:fldChar w:fldCharType="end"/>
        </w:r>
      </w:hyperlink>
    </w:p>
    <w:p w14:paraId="4F8FBE04" w14:textId="2DD94914" w:rsidR="0012026B" w:rsidRDefault="00B32C9A">
      <w:pPr>
        <w:pStyle w:val="TOC1"/>
        <w:tabs>
          <w:tab w:val="right" w:leader="dot" w:pos="9016"/>
        </w:tabs>
        <w:rPr>
          <w:rFonts w:asciiTheme="minorHAnsi" w:eastAsiaTheme="minorEastAsia" w:hAnsiTheme="minorHAnsi"/>
          <w:noProof/>
          <w:sz w:val="22"/>
          <w:lang w:eastAsia="en-GB"/>
        </w:rPr>
      </w:pPr>
      <w:hyperlink w:anchor="_Toc468266948" w:history="1">
        <w:r w:rsidR="0012026B" w:rsidRPr="009765CA">
          <w:rPr>
            <w:rStyle w:val="Hyperlink"/>
            <w:rFonts w:cs="Times New Roman"/>
            <w:noProof/>
          </w:rPr>
          <w:t>Chapter 9: Numismatic Findings and General Conclusions</w:t>
        </w:r>
        <w:r w:rsidR="0012026B">
          <w:rPr>
            <w:noProof/>
            <w:webHidden/>
          </w:rPr>
          <w:tab/>
        </w:r>
        <w:r w:rsidR="0012026B">
          <w:rPr>
            <w:noProof/>
            <w:webHidden/>
          </w:rPr>
          <w:fldChar w:fldCharType="begin"/>
        </w:r>
        <w:r w:rsidR="0012026B">
          <w:rPr>
            <w:noProof/>
            <w:webHidden/>
          </w:rPr>
          <w:instrText xml:space="preserve"> PAGEREF _Toc468266948 \h </w:instrText>
        </w:r>
        <w:r w:rsidR="0012026B">
          <w:rPr>
            <w:noProof/>
            <w:webHidden/>
          </w:rPr>
        </w:r>
        <w:r w:rsidR="0012026B">
          <w:rPr>
            <w:noProof/>
            <w:webHidden/>
          </w:rPr>
          <w:fldChar w:fldCharType="separate"/>
        </w:r>
        <w:r w:rsidR="0012026B">
          <w:rPr>
            <w:noProof/>
            <w:webHidden/>
          </w:rPr>
          <w:t>298</w:t>
        </w:r>
        <w:r w:rsidR="0012026B">
          <w:rPr>
            <w:noProof/>
            <w:webHidden/>
          </w:rPr>
          <w:fldChar w:fldCharType="end"/>
        </w:r>
      </w:hyperlink>
    </w:p>
    <w:p w14:paraId="58797758" w14:textId="2FF50A3B"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949" w:history="1">
        <w:r w:rsidR="0012026B" w:rsidRPr="009765CA">
          <w:rPr>
            <w:rStyle w:val="Hyperlink"/>
            <w:noProof/>
          </w:rPr>
          <w:t>9.1</w:t>
        </w:r>
        <w:r w:rsidR="0012026B">
          <w:rPr>
            <w:rFonts w:asciiTheme="minorHAnsi" w:eastAsiaTheme="minorEastAsia" w:hAnsiTheme="minorHAnsi"/>
            <w:noProof/>
            <w:sz w:val="22"/>
            <w:lang w:eastAsia="en-GB"/>
          </w:rPr>
          <w:tab/>
        </w:r>
        <w:r w:rsidR="0012026B" w:rsidRPr="009765CA">
          <w:rPr>
            <w:rStyle w:val="Hyperlink"/>
            <w:noProof/>
          </w:rPr>
          <w:t>Numismatic Findings</w:t>
        </w:r>
        <w:r w:rsidR="0012026B">
          <w:rPr>
            <w:noProof/>
            <w:webHidden/>
          </w:rPr>
          <w:tab/>
        </w:r>
        <w:r w:rsidR="0012026B">
          <w:rPr>
            <w:noProof/>
            <w:webHidden/>
          </w:rPr>
          <w:fldChar w:fldCharType="begin"/>
        </w:r>
        <w:r w:rsidR="0012026B">
          <w:rPr>
            <w:noProof/>
            <w:webHidden/>
          </w:rPr>
          <w:instrText xml:space="preserve"> PAGEREF _Toc468266949 \h </w:instrText>
        </w:r>
        <w:r w:rsidR="0012026B">
          <w:rPr>
            <w:noProof/>
            <w:webHidden/>
          </w:rPr>
        </w:r>
        <w:r w:rsidR="0012026B">
          <w:rPr>
            <w:noProof/>
            <w:webHidden/>
          </w:rPr>
          <w:fldChar w:fldCharType="separate"/>
        </w:r>
        <w:r w:rsidR="0012026B">
          <w:rPr>
            <w:noProof/>
            <w:webHidden/>
          </w:rPr>
          <w:t>298</w:t>
        </w:r>
        <w:r w:rsidR="0012026B">
          <w:rPr>
            <w:noProof/>
            <w:webHidden/>
          </w:rPr>
          <w:fldChar w:fldCharType="end"/>
        </w:r>
      </w:hyperlink>
    </w:p>
    <w:p w14:paraId="46E44748" w14:textId="7119DD0E"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950" w:history="1">
        <w:r w:rsidR="0012026B" w:rsidRPr="009765CA">
          <w:rPr>
            <w:rStyle w:val="Hyperlink"/>
            <w:noProof/>
          </w:rPr>
          <w:t>9.1.1</w:t>
        </w:r>
        <w:r w:rsidR="0012026B">
          <w:rPr>
            <w:rFonts w:asciiTheme="minorHAnsi" w:eastAsiaTheme="minorEastAsia" w:hAnsiTheme="minorHAnsi"/>
            <w:noProof/>
            <w:sz w:val="22"/>
            <w:lang w:eastAsia="en-GB"/>
          </w:rPr>
          <w:tab/>
        </w:r>
        <w:r w:rsidR="0012026B" w:rsidRPr="009765CA">
          <w:rPr>
            <w:rStyle w:val="Hyperlink"/>
            <w:noProof/>
          </w:rPr>
          <w:t>Production</w:t>
        </w:r>
        <w:r w:rsidR="0012026B">
          <w:rPr>
            <w:noProof/>
            <w:webHidden/>
          </w:rPr>
          <w:tab/>
        </w:r>
        <w:r w:rsidR="0012026B">
          <w:rPr>
            <w:noProof/>
            <w:webHidden/>
          </w:rPr>
          <w:fldChar w:fldCharType="begin"/>
        </w:r>
        <w:r w:rsidR="0012026B">
          <w:rPr>
            <w:noProof/>
            <w:webHidden/>
          </w:rPr>
          <w:instrText xml:space="preserve"> PAGEREF _Toc468266950 \h </w:instrText>
        </w:r>
        <w:r w:rsidR="0012026B">
          <w:rPr>
            <w:noProof/>
            <w:webHidden/>
          </w:rPr>
        </w:r>
        <w:r w:rsidR="0012026B">
          <w:rPr>
            <w:noProof/>
            <w:webHidden/>
          </w:rPr>
          <w:fldChar w:fldCharType="separate"/>
        </w:r>
        <w:r w:rsidR="0012026B">
          <w:rPr>
            <w:noProof/>
            <w:webHidden/>
          </w:rPr>
          <w:t>299</w:t>
        </w:r>
        <w:r w:rsidR="0012026B">
          <w:rPr>
            <w:noProof/>
            <w:webHidden/>
          </w:rPr>
          <w:fldChar w:fldCharType="end"/>
        </w:r>
      </w:hyperlink>
    </w:p>
    <w:p w14:paraId="3E8F669B" w14:textId="23758638"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1" w:history="1">
        <w:r w:rsidR="0012026B" w:rsidRPr="009765CA">
          <w:rPr>
            <w:rStyle w:val="Hyperlink"/>
            <w:noProof/>
          </w:rPr>
          <w:t>9.1.1.1</w:t>
        </w:r>
        <w:r w:rsidR="0012026B">
          <w:rPr>
            <w:rFonts w:asciiTheme="minorHAnsi" w:eastAsiaTheme="minorEastAsia" w:hAnsiTheme="minorHAnsi"/>
            <w:noProof/>
            <w:sz w:val="22"/>
            <w:lang w:eastAsia="en-GB"/>
          </w:rPr>
          <w:tab/>
        </w:r>
        <w:r w:rsidR="0012026B" w:rsidRPr="009765CA">
          <w:rPr>
            <w:rStyle w:val="Hyperlink"/>
            <w:noProof/>
          </w:rPr>
          <w:t>The normal distribution, stycas</w:t>
        </w:r>
        <w:r w:rsidR="0012026B">
          <w:rPr>
            <w:noProof/>
            <w:webHidden/>
          </w:rPr>
          <w:tab/>
        </w:r>
        <w:r w:rsidR="0012026B">
          <w:rPr>
            <w:noProof/>
            <w:webHidden/>
          </w:rPr>
          <w:fldChar w:fldCharType="begin"/>
        </w:r>
        <w:r w:rsidR="0012026B">
          <w:rPr>
            <w:noProof/>
            <w:webHidden/>
          </w:rPr>
          <w:instrText xml:space="preserve"> PAGEREF _Toc468266951 \h </w:instrText>
        </w:r>
        <w:r w:rsidR="0012026B">
          <w:rPr>
            <w:noProof/>
            <w:webHidden/>
          </w:rPr>
        </w:r>
        <w:r w:rsidR="0012026B">
          <w:rPr>
            <w:noProof/>
            <w:webHidden/>
          </w:rPr>
          <w:fldChar w:fldCharType="separate"/>
        </w:r>
        <w:r w:rsidR="0012026B">
          <w:rPr>
            <w:noProof/>
            <w:webHidden/>
          </w:rPr>
          <w:t>300</w:t>
        </w:r>
        <w:r w:rsidR="0012026B">
          <w:rPr>
            <w:noProof/>
            <w:webHidden/>
          </w:rPr>
          <w:fldChar w:fldCharType="end"/>
        </w:r>
      </w:hyperlink>
    </w:p>
    <w:p w14:paraId="1E600CCC" w14:textId="2D011DEB"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2" w:history="1">
        <w:r w:rsidR="0012026B" w:rsidRPr="009765CA">
          <w:rPr>
            <w:rStyle w:val="Hyperlink"/>
            <w:noProof/>
          </w:rPr>
          <w:t>9.1.1.2</w:t>
        </w:r>
        <w:r w:rsidR="0012026B">
          <w:rPr>
            <w:rFonts w:asciiTheme="minorHAnsi" w:eastAsiaTheme="minorEastAsia" w:hAnsiTheme="minorHAnsi"/>
            <w:noProof/>
            <w:sz w:val="22"/>
            <w:lang w:eastAsia="en-GB"/>
          </w:rPr>
          <w:tab/>
        </w:r>
        <w:r w:rsidR="0012026B" w:rsidRPr="009765CA">
          <w:rPr>
            <w:rStyle w:val="Hyperlink"/>
            <w:noProof/>
          </w:rPr>
          <w:t>Average weights, stycas</w:t>
        </w:r>
        <w:r w:rsidR="0012026B">
          <w:rPr>
            <w:noProof/>
            <w:webHidden/>
          </w:rPr>
          <w:tab/>
        </w:r>
        <w:r w:rsidR="0012026B">
          <w:rPr>
            <w:noProof/>
            <w:webHidden/>
          </w:rPr>
          <w:fldChar w:fldCharType="begin"/>
        </w:r>
        <w:r w:rsidR="0012026B">
          <w:rPr>
            <w:noProof/>
            <w:webHidden/>
          </w:rPr>
          <w:instrText xml:space="preserve"> PAGEREF _Toc468266952 \h </w:instrText>
        </w:r>
        <w:r w:rsidR="0012026B">
          <w:rPr>
            <w:noProof/>
            <w:webHidden/>
          </w:rPr>
        </w:r>
        <w:r w:rsidR="0012026B">
          <w:rPr>
            <w:noProof/>
            <w:webHidden/>
          </w:rPr>
          <w:fldChar w:fldCharType="separate"/>
        </w:r>
        <w:r w:rsidR="0012026B">
          <w:rPr>
            <w:noProof/>
            <w:webHidden/>
          </w:rPr>
          <w:t>300</w:t>
        </w:r>
        <w:r w:rsidR="0012026B">
          <w:rPr>
            <w:noProof/>
            <w:webHidden/>
          </w:rPr>
          <w:fldChar w:fldCharType="end"/>
        </w:r>
      </w:hyperlink>
    </w:p>
    <w:p w14:paraId="65D7A255" w14:textId="6338E265"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3" w:history="1">
        <w:r w:rsidR="0012026B" w:rsidRPr="009765CA">
          <w:rPr>
            <w:rStyle w:val="Hyperlink"/>
            <w:noProof/>
          </w:rPr>
          <w:t>9.1.1.3</w:t>
        </w:r>
        <w:r w:rsidR="0012026B">
          <w:rPr>
            <w:rFonts w:asciiTheme="minorHAnsi" w:eastAsiaTheme="minorEastAsia" w:hAnsiTheme="minorHAnsi"/>
            <w:noProof/>
            <w:sz w:val="22"/>
            <w:lang w:eastAsia="en-GB"/>
          </w:rPr>
          <w:tab/>
        </w:r>
        <w:r w:rsidR="0012026B" w:rsidRPr="009765CA">
          <w:rPr>
            <w:rStyle w:val="Hyperlink"/>
            <w:noProof/>
          </w:rPr>
          <w:t>Metal analysis: stycas CKN</w:t>
        </w:r>
        <w:r w:rsidR="0012026B">
          <w:rPr>
            <w:noProof/>
            <w:webHidden/>
          </w:rPr>
          <w:tab/>
        </w:r>
        <w:r w:rsidR="0012026B">
          <w:rPr>
            <w:noProof/>
            <w:webHidden/>
          </w:rPr>
          <w:fldChar w:fldCharType="begin"/>
        </w:r>
        <w:r w:rsidR="0012026B">
          <w:rPr>
            <w:noProof/>
            <w:webHidden/>
          </w:rPr>
          <w:instrText xml:space="preserve"> PAGEREF _Toc468266953 \h </w:instrText>
        </w:r>
        <w:r w:rsidR="0012026B">
          <w:rPr>
            <w:noProof/>
            <w:webHidden/>
          </w:rPr>
        </w:r>
        <w:r w:rsidR="0012026B">
          <w:rPr>
            <w:noProof/>
            <w:webHidden/>
          </w:rPr>
          <w:fldChar w:fldCharType="separate"/>
        </w:r>
        <w:r w:rsidR="0012026B">
          <w:rPr>
            <w:noProof/>
            <w:webHidden/>
          </w:rPr>
          <w:t>301</w:t>
        </w:r>
        <w:r w:rsidR="0012026B">
          <w:rPr>
            <w:noProof/>
            <w:webHidden/>
          </w:rPr>
          <w:fldChar w:fldCharType="end"/>
        </w:r>
      </w:hyperlink>
    </w:p>
    <w:p w14:paraId="1C7B87E0" w14:textId="04C4D726"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4" w:history="1">
        <w:r w:rsidR="0012026B" w:rsidRPr="009765CA">
          <w:rPr>
            <w:rStyle w:val="Hyperlink"/>
            <w:noProof/>
          </w:rPr>
          <w:t>9.1.1.4</w:t>
        </w:r>
        <w:r w:rsidR="0012026B">
          <w:rPr>
            <w:rFonts w:asciiTheme="minorHAnsi" w:eastAsiaTheme="minorEastAsia" w:hAnsiTheme="minorHAnsi"/>
            <w:noProof/>
            <w:sz w:val="22"/>
            <w:lang w:eastAsia="en-GB"/>
          </w:rPr>
          <w:tab/>
        </w:r>
        <w:r w:rsidR="0012026B" w:rsidRPr="009765CA">
          <w:rPr>
            <w:rStyle w:val="Hyperlink"/>
            <w:noProof/>
          </w:rPr>
          <w:t>Die Links</w:t>
        </w:r>
        <w:r w:rsidR="0012026B">
          <w:rPr>
            <w:noProof/>
            <w:webHidden/>
          </w:rPr>
          <w:tab/>
        </w:r>
        <w:r w:rsidR="0012026B">
          <w:rPr>
            <w:noProof/>
            <w:webHidden/>
          </w:rPr>
          <w:fldChar w:fldCharType="begin"/>
        </w:r>
        <w:r w:rsidR="0012026B">
          <w:rPr>
            <w:noProof/>
            <w:webHidden/>
          </w:rPr>
          <w:instrText xml:space="preserve"> PAGEREF _Toc468266954 \h </w:instrText>
        </w:r>
        <w:r w:rsidR="0012026B">
          <w:rPr>
            <w:noProof/>
            <w:webHidden/>
          </w:rPr>
        </w:r>
        <w:r w:rsidR="0012026B">
          <w:rPr>
            <w:noProof/>
            <w:webHidden/>
          </w:rPr>
          <w:fldChar w:fldCharType="separate"/>
        </w:r>
        <w:r w:rsidR="0012026B">
          <w:rPr>
            <w:noProof/>
            <w:webHidden/>
          </w:rPr>
          <w:t>301</w:t>
        </w:r>
        <w:r w:rsidR="0012026B">
          <w:rPr>
            <w:noProof/>
            <w:webHidden/>
          </w:rPr>
          <w:fldChar w:fldCharType="end"/>
        </w:r>
      </w:hyperlink>
    </w:p>
    <w:p w14:paraId="4A184C8E" w14:textId="1DA54FA5"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5" w:history="1">
        <w:r w:rsidR="0012026B" w:rsidRPr="009765CA">
          <w:rPr>
            <w:rStyle w:val="Hyperlink"/>
            <w:noProof/>
          </w:rPr>
          <w:t>9.1.1.5</w:t>
        </w:r>
        <w:r w:rsidR="0012026B">
          <w:rPr>
            <w:rFonts w:asciiTheme="minorHAnsi" w:eastAsiaTheme="minorEastAsia" w:hAnsiTheme="minorHAnsi"/>
            <w:noProof/>
            <w:sz w:val="22"/>
            <w:lang w:eastAsia="en-GB"/>
          </w:rPr>
          <w:tab/>
        </w:r>
        <w:r w:rsidR="0012026B" w:rsidRPr="009765CA">
          <w:rPr>
            <w:rStyle w:val="Hyperlink"/>
            <w:noProof/>
          </w:rPr>
          <w:t>Die Axes</w:t>
        </w:r>
        <w:r w:rsidR="0012026B">
          <w:rPr>
            <w:noProof/>
            <w:webHidden/>
          </w:rPr>
          <w:tab/>
        </w:r>
        <w:r w:rsidR="0012026B">
          <w:rPr>
            <w:noProof/>
            <w:webHidden/>
          </w:rPr>
          <w:fldChar w:fldCharType="begin"/>
        </w:r>
        <w:r w:rsidR="0012026B">
          <w:rPr>
            <w:noProof/>
            <w:webHidden/>
          </w:rPr>
          <w:instrText xml:space="preserve"> PAGEREF _Toc468266955 \h </w:instrText>
        </w:r>
        <w:r w:rsidR="0012026B">
          <w:rPr>
            <w:noProof/>
            <w:webHidden/>
          </w:rPr>
        </w:r>
        <w:r w:rsidR="0012026B">
          <w:rPr>
            <w:noProof/>
            <w:webHidden/>
          </w:rPr>
          <w:fldChar w:fldCharType="separate"/>
        </w:r>
        <w:r w:rsidR="0012026B">
          <w:rPr>
            <w:noProof/>
            <w:webHidden/>
          </w:rPr>
          <w:t>302</w:t>
        </w:r>
        <w:r w:rsidR="0012026B">
          <w:rPr>
            <w:noProof/>
            <w:webHidden/>
          </w:rPr>
          <w:fldChar w:fldCharType="end"/>
        </w:r>
      </w:hyperlink>
    </w:p>
    <w:p w14:paraId="213DB58F" w14:textId="0AD0C795"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6" w:history="1">
        <w:r w:rsidR="0012026B" w:rsidRPr="009765CA">
          <w:rPr>
            <w:rStyle w:val="Hyperlink"/>
            <w:noProof/>
          </w:rPr>
          <w:t>9.1.1.7</w:t>
        </w:r>
        <w:r w:rsidR="0012026B">
          <w:rPr>
            <w:rFonts w:asciiTheme="minorHAnsi" w:eastAsiaTheme="minorEastAsia" w:hAnsiTheme="minorHAnsi"/>
            <w:noProof/>
            <w:sz w:val="22"/>
            <w:lang w:eastAsia="en-GB"/>
          </w:rPr>
          <w:tab/>
        </w:r>
        <w:r w:rsidR="0012026B" w:rsidRPr="009765CA">
          <w:rPr>
            <w:rStyle w:val="Hyperlink"/>
            <w:rFonts w:cs="Times New Roman"/>
            <w:noProof/>
          </w:rPr>
          <w:t>Motifs</w:t>
        </w:r>
        <w:r w:rsidR="0012026B">
          <w:rPr>
            <w:noProof/>
            <w:webHidden/>
          </w:rPr>
          <w:tab/>
        </w:r>
        <w:r w:rsidR="0012026B">
          <w:rPr>
            <w:noProof/>
            <w:webHidden/>
          </w:rPr>
          <w:fldChar w:fldCharType="begin"/>
        </w:r>
        <w:r w:rsidR="0012026B">
          <w:rPr>
            <w:noProof/>
            <w:webHidden/>
          </w:rPr>
          <w:instrText xml:space="preserve"> PAGEREF _Toc468266956 \h </w:instrText>
        </w:r>
        <w:r w:rsidR="0012026B">
          <w:rPr>
            <w:noProof/>
            <w:webHidden/>
          </w:rPr>
        </w:r>
        <w:r w:rsidR="0012026B">
          <w:rPr>
            <w:noProof/>
            <w:webHidden/>
          </w:rPr>
          <w:fldChar w:fldCharType="separate"/>
        </w:r>
        <w:r w:rsidR="0012026B">
          <w:rPr>
            <w:noProof/>
            <w:webHidden/>
          </w:rPr>
          <w:t>302</w:t>
        </w:r>
        <w:r w:rsidR="0012026B">
          <w:rPr>
            <w:noProof/>
            <w:webHidden/>
          </w:rPr>
          <w:fldChar w:fldCharType="end"/>
        </w:r>
      </w:hyperlink>
    </w:p>
    <w:p w14:paraId="576AFDD9" w14:textId="5C1EDBEC"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957" w:history="1">
        <w:r w:rsidR="0012026B" w:rsidRPr="009765CA">
          <w:rPr>
            <w:rStyle w:val="Hyperlink"/>
            <w:noProof/>
          </w:rPr>
          <w:t>9.1.2</w:t>
        </w:r>
        <w:r w:rsidR="0012026B">
          <w:rPr>
            <w:rFonts w:asciiTheme="minorHAnsi" w:eastAsiaTheme="minorEastAsia" w:hAnsiTheme="minorHAnsi"/>
            <w:noProof/>
            <w:sz w:val="22"/>
            <w:lang w:eastAsia="en-GB"/>
          </w:rPr>
          <w:tab/>
        </w:r>
        <w:r w:rsidR="0012026B" w:rsidRPr="009765CA">
          <w:rPr>
            <w:rStyle w:val="Hyperlink"/>
            <w:noProof/>
          </w:rPr>
          <w:t>Coin Use</w:t>
        </w:r>
        <w:r w:rsidR="0012026B">
          <w:rPr>
            <w:noProof/>
            <w:webHidden/>
          </w:rPr>
          <w:tab/>
        </w:r>
        <w:r w:rsidR="0012026B">
          <w:rPr>
            <w:noProof/>
            <w:webHidden/>
          </w:rPr>
          <w:fldChar w:fldCharType="begin"/>
        </w:r>
        <w:r w:rsidR="0012026B">
          <w:rPr>
            <w:noProof/>
            <w:webHidden/>
          </w:rPr>
          <w:instrText xml:space="preserve"> PAGEREF _Toc468266957 \h </w:instrText>
        </w:r>
        <w:r w:rsidR="0012026B">
          <w:rPr>
            <w:noProof/>
            <w:webHidden/>
          </w:rPr>
        </w:r>
        <w:r w:rsidR="0012026B">
          <w:rPr>
            <w:noProof/>
            <w:webHidden/>
          </w:rPr>
          <w:fldChar w:fldCharType="separate"/>
        </w:r>
        <w:r w:rsidR="0012026B">
          <w:rPr>
            <w:noProof/>
            <w:webHidden/>
          </w:rPr>
          <w:t>303</w:t>
        </w:r>
        <w:r w:rsidR="0012026B">
          <w:rPr>
            <w:noProof/>
            <w:webHidden/>
          </w:rPr>
          <w:fldChar w:fldCharType="end"/>
        </w:r>
      </w:hyperlink>
    </w:p>
    <w:p w14:paraId="3E9951F0" w14:textId="7900DEFB"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8" w:history="1">
        <w:r w:rsidR="0012026B" w:rsidRPr="009765CA">
          <w:rPr>
            <w:rStyle w:val="Hyperlink"/>
            <w:noProof/>
          </w:rPr>
          <w:t>9.1.2.1</w:t>
        </w:r>
        <w:r w:rsidR="0012026B">
          <w:rPr>
            <w:rFonts w:asciiTheme="minorHAnsi" w:eastAsiaTheme="minorEastAsia" w:hAnsiTheme="minorHAnsi"/>
            <w:noProof/>
            <w:sz w:val="22"/>
            <w:lang w:eastAsia="en-GB"/>
          </w:rPr>
          <w:tab/>
        </w:r>
        <w:r w:rsidR="0012026B" w:rsidRPr="009765CA">
          <w:rPr>
            <w:rStyle w:val="Hyperlink"/>
            <w:noProof/>
          </w:rPr>
          <w:t>Gold</w:t>
        </w:r>
        <w:r w:rsidR="0012026B">
          <w:rPr>
            <w:noProof/>
            <w:webHidden/>
          </w:rPr>
          <w:tab/>
        </w:r>
        <w:r w:rsidR="0012026B">
          <w:rPr>
            <w:noProof/>
            <w:webHidden/>
          </w:rPr>
          <w:fldChar w:fldCharType="begin"/>
        </w:r>
        <w:r w:rsidR="0012026B">
          <w:rPr>
            <w:noProof/>
            <w:webHidden/>
          </w:rPr>
          <w:instrText xml:space="preserve"> PAGEREF _Toc468266958 \h </w:instrText>
        </w:r>
        <w:r w:rsidR="0012026B">
          <w:rPr>
            <w:noProof/>
            <w:webHidden/>
          </w:rPr>
        </w:r>
        <w:r w:rsidR="0012026B">
          <w:rPr>
            <w:noProof/>
            <w:webHidden/>
          </w:rPr>
          <w:fldChar w:fldCharType="separate"/>
        </w:r>
        <w:r w:rsidR="0012026B">
          <w:rPr>
            <w:noProof/>
            <w:webHidden/>
          </w:rPr>
          <w:t>303</w:t>
        </w:r>
        <w:r w:rsidR="0012026B">
          <w:rPr>
            <w:noProof/>
            <w:webHidden/>
          </w:rPr>
          <w:fldChar w:fldCharType="end"/>
        </w:r>
      </w:hyperlink>
    </w:p>
    <w:p w14:paraId="1AE93171" w14:textId="61A776BC"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59" w:history="1">
        <w:r w:rsidR="0012026B" w:rsidRPr="009765CA">
          <w:rPr>
            <w:rStyle w:val="Hyperlink"/>
            <w:noProof/>
          </w:rPr>
          <w:t>9.1.2.2</w:t>
        </w:r>
        <w:r w:rsidR="0012026B">
          <w:rPr>
            <w:rFonts w:asciiTheme="minorHAnsi" w:eastAsiaTheme="minorEastAsia" w:hAnsiTheme="minorHAnsi"/>
            <w:noProof/>
            <w:sz w:val="22"/>
            <w:lang w:eastAsia="en-GB"/>
          </w:rPr>
          <w:tab/>
        </w:r>
        <w:r w:rsidR="0012026B" w:rsidRPr="009765CA">
          <w:rPr>
            <w:rStyle w:val="Hyperlink"/>
            <w:noProof/>
          </w:rPr>
          <w:t>Silver</w:t>
        </w:r>
        <w:r w:rsidR="0012026B">
          <w:rPr>
            <w:noProof/>
            <w:webHidden/>
          </w:rPr>
          <w:tab/>
        </w:r>
        <w:r w:rsidR="0012026B">
          <w:rPr>
            <w:noProof/>
            <w:webHidden/>
          </w:rPr>
          <w:fldChar w:fldCharType="begin"/>
        </w:r>
        <w:r w:rsidR="0012026B">
          <w:rPr>
            <w:noProof/>
            <w:webHidden/>
          </w:rPr>
          <w:instrText xml:space="preserve"> PAGEREF _Toc468266959 \h </w:instrText>
        </w:r>
        <w:r w:rsidR="0012026B">
          <w:rPr>
            <w:noProof/>
            <w:webHidden/>
          </w:rPr>
        </w:r>
        <w:r w:rsidR="0012026B">
          <w:rPr>
            <w:noProof/>
            <w:webHidden/>
          </w:rPr>
          <w:fldChar w:fldCharType="separate"/>
        </w:r>
        <w:r w:rsidR="0012026B">
          <w:rPr>
            <w:noProof/>
            <w:webHidden/>
          </w:rPr>
          <w:t>305</w:t>
        </w:r>
        <w:r w:rsidR="0012026B">
          <w:rPr>
            <w:noProof/>
            <w:webHidden/>
          </w:rPr>
          <w:fldChar w:fldCharType="end"/>
        </w:r>
      </w:hyperlink>
    </w:p>
    <w:p w14:paraId="7F1A79F0" w14:textId="486D55A9"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60" w:history="1">
        <w:r w:rsidR="0012026B" w:rsidRPr="009765CA">
          <w:rPr>
            <w:rStyle w:val="Hyperlink"/>
            <w:noProof/>
          </w:rPr>
          <w:t>9.1.2.3</w:t>
        </w:r>
        <w:r w:rsidR="0012026B">
          <w:rPr>
            <w:rFonts w:asciiTheme="minorHAnsi" w:eastAsiaTheme="minorEastAsia" w:hAnsiTheme="minorHAnsi"/>
            <w:noProof/>
            <w:sz w:val="22"/>
            <w:lang w:eastAsia="en-GB"/>
          </w:rPr>
          <w:tab/>
        </w:r>
        <w:r w:rsidR="0012026B" w:rsidRPr="009765CA">
          <w:rPr>
            <w:rStyle w:val="Hyperlink"/>
            <w:noProof/>
          </w:rPr>
          <w:t>Copper-Alloy</w:t>
        </w:r>
        <w:r w:rsidR="0012026B">
          <w:rPr>
            <w:noProof/>
            <w:webHidden/>
          </w:rPr>
          <w:tab/>
        </w:r>
        <w:r w:rsidR="0012026B">
          <w:rPr>
            <w:noProof/>
            <w:webHidden/>
          </w:rPr>
          <w:fldChar w:fldCharType="begin"/>
        </w:r>
        <w:r w:rsidR="0012026B">
          <w:rPr>
            <w:noProof/>
            <w:webHidden/>
          </w:rPr>
          <w:instrText xml:space="preserve"> PAGEREF _Toc468266960 \h </w:instrText>
        </w:r>
        <w:r w:rsidR="0012026B">
          <w:rPr>
            <w:noProof/>
            <w:webHidden/>
          </w:rPr>
        </w:r>
        <w:r w:rsidR="0012026B">
          <w:rPr>
            <w:noProof/>
            <w:webHidden/>
          </w:rPr>
          <w:fldChar w:fldCharType="separate"/>
        </w:r>
        <w:r w:rsidR="0012026B">
          <w:rPr>
            <w:noProof/>
            <w:webHidden/>
          </w:rPr>
          <w:t>306</w:t>
        </w:r>
        <w:r w:rsidR="0012026B">
          <w:rPr>
            <w:noProof/>
            <w:webHidden/>
          </w:rPr>
          <w:fldChar w:fldCharType="end"/>
        </w:r>
      </w:hyperlink>
    </w:p>
    <w:p w14:paraId="35C4EDBD" w14:textId="08650675"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961" w:history="1">
        <w:r w:rsidR="0012026B" w:rsidRPr="009765CA">
          <w:rPr>
            <w:rStyle w:val="Hyperlink"/>
            <w:noProof/>
          </w:rPr>
          <w:t>9.1.3</w:t>
        </w:r>
        <w:r w:rsidR="0012026B">
          <w:rPr>
            <w:rFonts w:asciiTheme="minorHAnsi" w:eastAsiaTheme="minorEastAsia" w:hAnsiTheme="minorHAnsi"/>
            <w:noProof/>
            <w:sz w:val="22"/>
            <w:lang w:eastAsia="en-GB"/>
          </w:rPr>
          <w:tab/>
        </w:r>
        <w:r w:rsidR="0012026B" w:rsidRPr="009765CA">
          <w:rPr>
            <w:rStyle w:val="Hyperlink"/>
            <w:noProof/>
          </w:rPr>
          <w:t>Lesser numismatic findings</w:t>
        </w:r>
        <w:r w:rsidR="0012026B">
          <w:rPr>
            <w:noProof/>
            <w:webHidden/>
          </w:rPr>
          <w:tab/>
        </w:r>
        <w:r w:rsidR="0012026B">
          <w:rPr>
            <w:noProof/>
            <w:webHidden/>
          </w:rPr>
          <w:fldChar w:fldCharType="begin"/>
        </w:r>
        <w:r w:rsidR="0012026B">
          <w:rPr>
            <w:noProof/>
            <w:webHidden/>
          </w:rPr>
          <w:instrText xml:space="preserve"> PAGEREF _Toc468266961 \h </w:instrText>
        </w:r>
        <w:r w:rsidR="0012026B">
          <w:rPr>
            <w:noProof/>
            <w:webHidden/>
          </w:rPr>
        </w:r>
        <w:r w:rsidR="0012026B">
          <w:rPr>
            <w:noProof/>
            <w:webHidden/>
          </w:rPr>
          <w:fldChar w:fldCharType="separate"/>
        </w:r>
        <w:r w:rsidR="0012026B">
          <w:rPr>
            <w:noProof/>
            <w:webHidden/>
          </w:rPr>
          <w:t>308</w:t>
        </w:r>
        <w:r w:rsidR="0012026B">
          <w:rPr>
            <w:noProof/>
            <w:webHidden/>
          </w:rPr>
          <w:fldChar w:fldCharType="end"/>
        </w:r>
      </w:hyperlink>
    </w:p>
    <w:p w14:paraId="5EE147BF" w14:textId="3EEF64ED" w:rsidR="0012026B" w:rsidRDefault="00B32C9A">
      <w:pPr>
        <w:pStyle w:val="TOC2"/>
        <w:tabs>
          <w:tab w:val="left" w:pos="880"/>
          <w:tab w:val="right" w:leader="dot" w:pos="9016"/>
        </w:tabs>
        <w:rPr>
          <w:rFonts w:asciiTheme="minorHAnsi" w:eastAsiaTheme="minorEastAsia" w:hAnsiTheme="minorHAnsi"/>
          <w:noProof/>
          <w:sz w:val="22"/>
          <w:lang w:eastAsia="en-GB"/>
        </w:rPr>
      </w:pPr>
      <w:hyperlink w:anchor="_Toc468266962" w:history="1">
        <w:r w:rsidR="0012026B" w:rsidRPr="009765CA">
          <w:rPr>
            <w:rStyle w:val="Hyperlink"/>
            <w:noProof/>
          </w:rPr>
          <w:t>9.2</w:t>
        </w:r>
        <w:r w:rsidR="0012026B">
          <w:rPr>
            <w:rFonts w:asciiTheme="minorHAnsi" w:eastAsiaTheme="minorEastAsia" w:hAnsiTheme="minorHAnsi"/>
            <w:noProof/>
            <w:sz w:val="22"/>
            <w:lang w:eastAsia="en-GB"/>
          </w:rPr>
          <w:tab/>
        </w:r>
        <w:r w:rsidR="0012026B" w:rsidRPr="009765CA">
          <w:rPr>
            <w:rStyle w:val="Hyperlink"/>
            <w:noProof/>
          </w:rPr>
          <w:t>General Conclusions</w:t>
        </w:r>
        <w:r w:rsidR="0012026B">
          <w:rPr>
            <w:noProof/>
            <w:webHidden/>
          </w:rPr>
          <w:tab/>
        </w:r>
        <w:r w:rsidR="0012026B">
          <w:rPr>
            <w:noProof/>
            <w:webHidden/>
          </w:rPr>
          <w:fldChar w:fldCharType="begin"/>
        </w:r>
        <w:r w:rsidR="0012026B">
          <w:rPr>
            <w:noProof/>
            <w:webHidden/>
          </w:rPr>
          <w:instrText xml:space="preserve"> PAGEREF _Toc468266962 \h </w:instrText>
        </w:r>
        <w:r w:rsidR="0012026B">
          <w:rPr>
            <w:noProof/>
            <w:webHidden/>
          </w:rPr>
        </w:r>
        <w:r w:rsidR="0012026B">
          <w:rPr>
            <w:noProof/>
            <w:webHidden/>
          </w:rPr>
          <w:fldChar w:fldCharType="separate"/>
        </w:r>
        <w:r w:rsidR="0012026B">
          <w:rPr>
            <w:noProof/>
            <w:webHidden/>
          </w:rPr>
          <w:t>310</w:t>
        </w:r>
        <w:r w:rsidR="0012026B">
          <w:rPr>
            <w:noProof/>
            <w:webHidden/>
          </w:rPr>
          <w:fldChar w:fldCharType="end"/>
        </w:r>
      </w:hyperlink>
    </w:p>
    <w:p w14:paraId="038A4D4C" w14:textId="49786088"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963" w:history="1">
        <w:r w:rsidR="0012026B" w:rsidRPr="009765CA">
          <w:rPr>
            <w:rStyle w:val="Hyperlink"/>
            <w:noProof/>
          </w:rPr>
          <w:t>9.2.1</w:t>
        </w:r>
        <w:r w:rsidR="0012026B">
          <w:rPr>
            <w:rFonts w:asciiTheme="minorHAnsi" w:eastAsiaTheme="minorEastAsia" w:hAnsiTheme="minorHAnsi"/>
            <w:noProof/>
            <w:sz w:val="22"/>
            <w:lang w:eastAsia="en-GB"/>
          </w:rPr>
          <w:tab/>
        </w:r>
        <w:r w:rsidR="0012026B" w:rsidRPr="009765CA">
          <w:rPr>
            <w:rStyle w:val="Hyperlink"/>
            <w:noProof/>
          </w:rPr>
          <w:t>Monetization</w:t>
        </w:r>
        <w:r w:rsidR="0012026B">
          <w:rPr>
            <w:noProof/>
            <w:webHidden/>
          </w:rPr>
          <w:tab/>
        </w:r>
        <w:r w:rsidR="0012026B">
          <w:rPr>
            <w:noProof/>
            <w:webHidden/>
          </w:rPr>
          <w:fldChar w:fldCharType="begin"/>
        </w:r>
        <w:r w:rsidR="0012026B">
          <w:rPr>
            <w:noProof/>
            <w:webHidden/>
          </w:rPr>
          <w:instrText xml:space="preserve"> PAGEREF _Toc468266963 \h </w:instrText>
        </w:r>
        <w:r w:rsidR="0012026B">
          <w:rPr>
            <w:noProof/>
            <w:webHidden/>
          </w:rPr>
        </w:r>
        <w:r w:rsidR="0012026B">
          <w:rPr>
            <w:noProof/>
            <w:webHidden/>
          </w:rPr>
          <w:fldChar w:fldCharType="separate"/>
        </w:r>
        <w:r w:rsidR="0012026B">
          <w:rPr>
            <w:noProof/>
            <w:webHidden/>
          </w:rPr>
          <w:t>310</w:t>
        </w:r>
        <w:r w:rsidR="0012026B">
          <w:rPr>
            <w:noProof/>
            <w:webHidden/>
          </w:rPr>
          <w:fldChar w:fldCharType="end"/>
        </w:r>
      </w:hyperlink>
    </w:p>
    <w:p w14:paraId="6BC40717" w14:textId="5CEDE961"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64" w:history="1">
        <w:r w:rsidR="0012026B" w:rsidRPr="009765CA">
          <w:rPr>
            <w:rStyle w:val="Hyperlink"/>
            <w:noProof/>
          </w:rPr>
          <w:t>9.2.1.1</w:t>
        </w:r>
        <w:r w:rsidR="0012026B">
          <w:rPr>
            <w:rFonts w:asciiTheme="minorHAnsi" w:eastAsiaTheme="minorEastAsia" w:hAnsiTheme="minorHAnsi"/>
            <w:noProof/>
            <w:sz w:val="22"/>
            <w:lang w:eastAsia="en-GB"/>
          </w:rPr>
          <w:tab/>
        </w:r>
        <w:r w:rsidR="0012026B" w:rsidRPr="009765CA">
          <w:rPr>
            <w:rStyle w:val="Hyperlink"/>
            <w:noProof/>
          </w:rPr>
          <w:t>Evolution</w:t>
        </w:r>
        <w:r w:rsidR="0012026B">
          <w:rPr>
            <w:noProof/>
            <w:webHidden/>
          </w:rPr>
          <w:tab/>
        </w:r>
        <w:r w:rsidR="0012026B">
          <w:rPr>
            <w:noProof/>
            <w:webHidden/>
          </w:rPr>
          <w:fldChar w:fldCharType="begin"/>
        </w:r>
        <w:r w:rsidR="0012026B">
          <w:rPr>
            <w:noProof/>
            <w:webHidden/>
          </w:rPr>
          <w:instrText xml:space="preserve"> PAGEREF _Toc468266964 \h </w:instrText>
        </w:r>
        <w:r w:rsidR="0012026B">
          <w:rPr>
            <w:noProof/>
            <w:webHidden/>
          </w:rPr>
        </w:r>
        <w:r w:rsidR="0012026B">
          <w:rPr>
            <w:noProof/>
            <w:webHidden/>
          </w:rPr>
          <w:fldChar w:fldCharType="separate"/>
        </w:r>
        <w:r w:rsidR="0012026B">
          <w:rPr>
            <w:noProof/>
            <w:webHidden/>
          </w:rPr>
          <w:t>311</w:t>
        </w:r>
        <w:r w:rsidR="0012026B">
          <w:rPr>
            <w:noProof/>
            <w:webHidden/>
          </w:rPr>
          <w:fldChar w:fldCharType="end"/>
        </w:r>
      </w:hyperlink>
    </w:p>
    <w:p w14:paraId="5A50FD2F" w14:textId="6D63E78D"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65" w:history="1">
        <w:r w:rsidR="0012026B" w:rsidRPr="009765CA">
          <w:rPr>
            <w:rStyle w:val="Hyperlink"/>
            <w:noProof/>
          </w:rPr>
          <w:t>9.2.1.2</w:t>
        </w:r>
        <w:r w:rsidR="0012026B">
          <w:rPr>
            <w:rFonts w:asciiTheme="minorHAnsi" w:eastAsiaTheme="minorEastAsia" w:hAnsiTheme="minorHAnsi"/>
            <w:noProof/>
            <w:sz w:val="22"/>
            <w:lang w:eastAsia="en-GB"/>
          </w:rPr>
          <w:tab/>
        </w:r>
        <w:r w:rsidR="0012026B" w:rsidRPr="009765CA">
          <w:rPr>
            <w:rStyle w:val="Hyperlink"/>
            <w:noProof/>
          </w:rPr>
          <w:t>Power</w:t>
        </w:r>
        <w:r w:rsidR="0012026B">
          <w:rPr>
            <w:noProof/>
            <w:webHidden/>
          </w:rPr>
          <w:tab/>
        </w:r>
        <w:r w:rsidR="0012026B">
          <w:rPr>
            <w:noProof/>
            <w:webHidden/>
          </w:rPr>
          <w:fldChar w:fldCharType="begin"/>
        </w:r>
        <w:r w:rsidR="0012026B">
          <w:rPr>
            <w:noProof/>
            <w:webHidden/>
          </w:rPr>
          <w:instrText xml:space="preserve"> PAGEREF _Toc468266965 \h </w:instrText>
        </w:r>
        <w:r w:rsidR="0012026B">
          <w:rPr>
            <w:noProof/>
            <w:webHidden/>
          </w:rPr>
        </w:r>
        <w:r w:rsidR="0012026B">
          <w:rPr>
            <w:noProof/>
            <w:webHidden/>
          </w:rPr>
          <w:fldChar w:fldCharType="separate"/>
        </w:r>
        <w:r w:rsidR="0012026B">
          <w:rPr>
            <w:noProof/>
            <w:webHidden/>
          </w:rPr>
          <w:t>313</w:t>
        </w:r>
        <w:r w:rsidR="0012026B">
          <w:rPr>
            <w:noProof/>
            <w:webHidden/>
          </w:rPr>
          <w:fldChar w:fldCharType="end"/>
        </w:r>
      </w:hyperlink>
    </w:p>
    <w:p w14:paraId="700DC96A" w14:textId="2E9A5BFF"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66" w:history="1">
        <w:r w:rsidR="0012026B" w:rsidRPr="009765CA">
          <w:rPr>
            <w:rStyle w:val="Hyperlink"/>
            <w:noProof/>
          </w:rPr>
          <w:t>9.2.1.3</w:t>
        </w:r>
        <w:r w:rsidR="0012026B">
          <w:rPr>
            <w:rFonts w:asciiTheme="minorHAnsi" w:eastAsiaTheme="minorEastAsia" w:hAnsiTheme="minorHAnsi"/>
            <w:noProof/>
            <w:sz w:val="22"/>
            <w:lang w:eastAsia="en-GB"/>
          </w:rPr>
          <w:tab/>
        </w:r>
        <w:r w:rsidR="0012026B" w:rsidRPr="009765CA">
          <w:rPr>
            <w:rStyle w:val="Hyperlink"/>
            <w:noProof/>
          </w:rPr>
          <w:t>Regional Differences</w:t>
        </w:r>
        <w:r w:rsidR="0012026B">
          <w:rPr>
            <w:noProof/>
            <w:webHidden/>
          </w:rPr>
          <w:tab/>
        </w:r>
        <w:r w:rsidR="0012026B">
          <w:rPr>
            <w:noProof/>
            <w:webHidden/>
          </w:rPr>
          <w:fldChar w:fldCharType="begin"/>
        </w:r>
        <w:r w:rsidR="0012026B">
          <w:rPr>
            <w:noProof/>
            <w:webHidden/>
          </w:rPr>
          <w:instrText xml:space="preserve"> PAGEREF _Toc468266966 \h </w:instrText>
        </w:r>
        <w:r w:rsidR="0012026B">
          <w:rPr>
            <w:noProof/>
            <w:webHidden/>
          </w:rPr>
        </w:r>
        <w:r w:rsidR="0012026B">
          <w:rPr>
            <w:noProof/>
            <w:webHidden/>
          </w:rPr>
          <w:fldChar w:fldCharType="separate"/>
        </w:r>
        <w:r w:rsidR="0012026B">
          <w:rPr>
            <w:noProof/>
            <w:webHidden/>
          </w:rPr>
          <w:t>315</w:t>
        </w:r>
        <w:r w:rsidR="0012026B">
          <w:rPr>
            <w:noProof/>
            <w:webHidden/>
          </w:rPr>
          <w:fldChar w:fldCharType="end"/>
        </w:r>
      </w:hyperlink>
    </w:p>
    <w:p w14:paraId="5BF4E370" w14:textId="2DCFD941"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67" w:history="1">
        <w:r w:rsidR="0012026B" w:rsidRPr="009765CA">
          <w:rPr>
            <w:rStyle w:val="Hyperlink"/>
            <w:noProof/>
          </w:rPr>
          <w:t>9.2.1.4</w:t>
        </w:r>
        <w:r w:rsidR="0012026B">
          <w:rPr>
            <w:rFonts w:asciiTheme="minorHAnsi" w:eastAsiaTheme="minorEastAsia" w:hAnsiTheme="minorHAnsi"/>
            <w:noProof/>
            <w:sz w:val="22"/>
            <w:lang w:eastAsia="en-GB"/>
          </w:rPr>
          <w:tab/>
        </w:r>
        <w:r w:rsidR="0012026B" w:rsidRPr="009765CA">
          <w:rPr>
            <w:rStyle w:val="Hyperlink"/>
            <w:noProof/>
          </w:rPr>
          <w:t>Expropriation</w:t>
        </w:r>
        <w:r w:rsidR="0012026B">
          <w:rPr>
            <w:noProof/>
            <w:webHidden/>
          </w:rPr>
          <w:tab/>
        </w:r>
        <w:r w:rsidR="0012026B">
          <w:rPr>
            <w:noProof/>
            <w:webHidden/>
          </w:rPr>
          <w:fldChar w:fldCharType="begin"/>
        </w:r>
        <w:r w:rsidR="0012026B">
          <w:rPr>
            <w:noProof/>
            <w:webHidden/>
          </w:rPr>
          <w:instrText xml:space="preserve"> PAGEREF _Toc468266967 \h </w:instrText>
        </w:r>
        <w:r w:rsidR="0012026B">
          <w:rPr>
            <w:noProof/>
            <w:webHidden/>
          </w:rPr>
        </w:r>
        <w:r w:rsidR="0012026B">
          <w:rPr>
            <w:noProof/>
            <w:webHidden/>
          </w:rPr>
          <w:fldChar w:fldCharType="separate"/>
        </w:r>
        <w:r w:rsidR="0012026B">
          <w:rPr>
            <w:noProof/>
            <w:webHidden/>
          </w:rPr>
          <w:t>318</w:t>
        </w:r>
        <w:r w:rsidR="0012026B">
          <w:rPr>
            <w:noProof/>
            <w:webHidden/>
          </w:rPr>
          <w:fldChar w:fldCharType="end"/>
        </w:r>
      </w:hyperlink>
    </w:p>
    <w:p w14:paraId="5CC62A4F" w14:textId="5467D5AD" w:rsidR="0012026B" w:rsidRDefault="00B32C9A">
      <w:pPr>
        <w:pStyle w:val="TOC4"/>
        <w:tabs>
          <w:tab w:val="left" w:pos="1760"/>
          <w:tab w:val="right" w:leader="dot" w:pos="9016"/>
        </w:tabs>
        <w:rPr>
          <w:rFonts w:asciiTheme="minorHAnsi" w:eastAsiaTheme="minorEastAsia" w:hAnsiTheme="minorHAnsi"/>
          <w:noProof/>
          <w:sz w:val="22"/>
          <w:lang w:eastAsia="en-GB"/>
        </w:rPr>
      </w:pPr>
      <w:hyperlink w:anchor="_Toc468266968" w:history="1">
        <w:r w:rsidR="0012026B" w:rsidRPr="009765CA">
          <w:rPr>
            <w:rStyle w:val="Hyperlink"/>
            <w:noProof/>
          </w:rPr>
          <w:t>9.2.1.5</w:t>
        </w:r>
        <w:r w:rsidR="0012026B">
          <w:rPr>
            <w:rFonts w:asciiTheme="minorHAnsi" w:eastAsiaTheme="minorEastAsia" w:hAnsiTheme="minorHAnsi"/>
            <w:noProof/>
            <w:sz w:val="22"/>
            <w:lang w:eastAsia="en-GB"/>
          </w:rPr>
          <w:tab/>
        </w:r>
        <w:r w:rsidR="0012026B" w:rsidRPr="009765CA">
          <w:rPr>
            <w:rStyle w:val="Hyperlink"/>
            <w:noProof/>
          </w:rPr>
          <w:t>Settlement Patterns</w:t>
        </w:r>
        <w:r w:rsidR="0012026B">
          <w:rPr>
            <w:noProof/>
            <w:webHidden/>
          </w:rPr>
          <w:tab/>
        </w:r>
        <w:r w:rsidR="0012026B">
          <w:rPr>
            <w:noProof/>
            <w:webHidden/>
          </w:rPr>
          <w:fldChar w:fldCharType="begin"/>
        </w:r>
        <w:r w:rsidR="0012026B">
          <w:rPr>
            <w:noProof/>
            <w:webHidden/>
          </w:rPr>
          <w:instrText xml:space="preserve"> PAGEREF _Toc468266968 \h </w:instrText>
        </w:r>
        <w:r w:rsidR="0012026B">
          <w:rPr>
            <w:noProof/>
            <w:webHidden/>
          </w:rPr>
        </w:r>
        <w:r w:rsidR="0012026B">
          <w:rPr>
            <w:noProof/>
            <w:webHidden/>
          </w:rPr>
          <w:fldChar w:fldCharType="separate"/>
        </w:r>
        <w:r w:rsidR="0012026B">
          <w:rPr>
            <w:noProof/>
            <w:webHidden/>
          </w:rPr>
          <w:t>320</w:t>
        </w:r>
        <w:r w:rsidR="0012026B">
          <w:rPr>
            <w:noProof/>
            <w:webHidden/>
          </w:rPr>
          <w:fldChar w:fldCharType="end"/>
        </w:r>
      </w:hyperlink>
    </w:p>
    <w:p w14:paraId="395204BF" w14:textId="183548A4" w:rsidR="0012026B" w:rsidRDefault="00B32C9A">
      <w:pPr>
        <w:pStyle w:val="TOC3"/>
        <w:tabs>
          <w:tab w:val="left" w:pos="1320"/>
          <w:tab w:val="right" w:leader="dot" w:pos="9016"/>
        </w:tabs>
        <w:rPr>
          <w:rFonts w:asciiTheme="minorHAnsi" w:eastAsiaTheme="minorEastAsia" w:hAnsiTheme="minorHAnsi"/>
          <w:noProof/>
          <w:sz w:val="22"/>
          <w:lang w:eastAsia="en-GB"/>
        </w:rPr>
      </w:pPr>
      <w:hyperlink w:anchor="_Toc468266969" w:history="1">
        <w:r w:rsidR="0012026B" w:rsidRPr="009765CA">
          <w:rPr>
            <w:rStyle w:val="Hyperlink"/>
            <w:noProof/>
          </w:rPr>
          <w:t>9.2.2</w:t>
        </w:r>
        <w:r w:rsidR="0012026B">
          <w:rPr>
            <w:rFonts w:asciiTheme="minorHAnsi" w:eastAsiaTheme="minorEastAsia" w:hAnsiTheme="minorHAnsi"/>
            <w:noProof/>
            <w:sz w:val="22"/>
            <w:lang w:eastAsia="en-GB"/>
          </w:rPr>
          <w:tab/>
        </w:r>
        <w:r w:rsidR="0012026B" w:rsidRPr="009765CA">
          <w:rPr>
            <w:rStyle w:val="Hyperlink"/>
            <w:noProof/>
          </w:rPr>
          <w:t>Future research directions</w:t>
        </w:r>
        <w:r w:rsidR="0012026B">
          <w:rPr>
            <w:noProof/>
            <w:webHidden/>
          </w:rPr>
          <w:tab/>
        </w:r>
        <w:r w:rsidR="0012026B">
          <w:rPr>
            <w:noProof/>
            <w:webHidden/>
          </w:rPr>
          <w:fldChar w:fldCharType="begin"/>
        </w:r>
        <w:r w:rsidR="0012026B">
          <w:rPr>
            <w:noProof/>
            <w:webHidden/>
          </w:rPr>
          <w:instrText xml:space="preserve"> PAGEREF _Toc468266969 \h </w:instrText>
        </w:r>
        <w:r w:rsidR="0012026B">
          <w:rPr>
            <w:noProof/>
            <w:webHidden/>
          </w:rPr>
        </w:r>
        <w:r w:rsidR="0012026B">
          <w:rPr>
            <w:noProof/>
            <w:webHidden/>
          </w:rPr>
          <w:fldChar w:fldCharType="separate"/>
        </w:r>
        <w:r w:rsidR="0012026B">
          <w:rPr>
            <w:noProof/>
            <w:webHidden/>
          </w:rPr>
          <w:t>323</w:t>
        </w:r>
        <w:r w:rsidR="0012026B">
          <w:rPr>
            <w:noProof/>
            <w:webHidden/>
          </w:rPr>
          <w:fldChar w:fldCharType="end"/>
        </w:r>
      </w:hyperlink>
    </w:p>
    <w:p w14:paraId="1A8CEA62" w14:textId="4116D436" w:rsidR="0012026B" w:rsidRDefault="00B32C9A">
      <w:pPr>
        <w:pStyle w:val="TOC1"/>
        <w:tabs>
          <w:tab w:val="right" w:leader="dot" w:pos="9016"/>
        </w:tabs>
        <w:rPr>
          <w:rFonts w:asciiTheme="minorHAnsi" w:eastAsiaTheme="minorEastAsia" w:hAnsiTheme="minorHAnsi"/>
          <w:noProof/>
          <w:sz w:val="22"/>
          <w:lang w:eastAsia="en-GB"/>
        </w:rPr>
      </w:pPr>
      <w:hyperlink w:anchor="_Toc468266970" w:history="1">
        <w:r w:rsidR="0012026B" w:rsidRPr="009765CA">
          <w:rPr>
            <w:rStyle w:val="Hyperlink"/>
            <w:noProof/>
          </w:rPr>
          <w:t>Abbreviations</w:t>
        </w:r>
        <w:r w:rsidR="0012026B">
          <w:rPr>
            <w:noProof/>
            <w:webHidden/>
          </w:rPr>
          <w:tab/>
        </w:r>
        <w:r w:rsidR="0012026B">
          <w:rPr>
            <w:noProof/>
            <w:webHidden/>
          </w:rPr>
          <w:fldChar w:fldCharType="begin"/>
        </w:r>
        <w:r w:rsidR="0012026B">
          <w:rPr>
            <w:noProof/>
            <w:webHidden/>
          </w:rPr>
          <w:instrText xml:space="preserve"> PAGEREF _Toc468266970 \h </w:instrText>
        </w:r>
        <w:r w:rsidR="0012026B">
          <w:rPr>
            <w:noProof/>
            <w:webHidden/>
          </w:rPr>
        </w:r>
        <w:r w:rsidR="0012026B">
          <w:rPr>
            <w:noProof/>
            <w:webHidden/>
          </w:rPr>
          <w:fldChar w:fldCharType="separate"/>
        </w:r>
        <w:r w:rsidR="0012026B">
          <w:rPr>
            <w:noProof/>
            <w:webHidden/>
          </w:rPr>
          <w:t>324</w:t>
        </w:r>
        <w:r w:rsidR="0012026B">
          <w:rPr>
            <w:noProof/>
            <w:webHidden/>
          </w:rPr>
          <w:fldChar w:fldCharType="end"/>
        </w:r>
      </w:hyperlink>
    </w:p>
    <w:p w14:paraId="2B0860A8" w14:textId="46B28F17" w:rsidR="0012026B" w:rsidRDefault="00B32C9A">
      <w:pPr>
        <w:pStyle w:val="TOC1"/>
        <w:tabs>
          <w:tab w:val="right" w:leader="dot" w:pos="9016"/>
        </w:tabs>
        <w:rPr>
          <w:rFonts w:asciiTheme="minorHAnsi" w:eastAsiaTheme="minorEastAsia" w:hAnsiTheme="minorHAnsi"/>
          <w:noProof/>
          <w:sz w:val="22"/>
          <w:lang w:eastAsia="en-GB"/>
        </w:rPr>
      </w:pPr>
      <w:hyperlink w:anchor="_Toc468266971" w:history="1">
        <w:r w:rsidR="0012026B" w:rsidRPr="009765CA">
          <w:rPr>
            <w:rStyle w:val="Hyperlink"/>
            <w:noProof/>
          </w:rPr>
          <w:t>References</w:t>
        </w:r>
        <w:r w:rsidR="0012026B">
          <w:rPr>
            <w:noProof/>
            <w:webHidden/>
          </w:rPr>
          <w:tab/>
        </w:r>
        <w:r w:rsidR="0012026B">
          <w:rPr>
            <w:noProof/>
            <w:webHidden/>
          </w:rPr>
          <w:fldChar w:fldCharType="begin"/>
        </w:r>
        <w:r w:rsidR="0012026B">
          <w:rPr>
            <w:noProof/>
            <w:webHidden/>
          </w:rPr>
          <w:instrText xml:space="preserve"> PAGEREF _Toc468266971 \h </w:instrText>
        </w:r>
        <w:r w:rsidR="0012026B">
          <w:rPr>
            <w:noProof/>
            <w:webHidden/>
          </w:rPr>
        </w:r>
        <w:r w:rsidR="0012026B">
          <w:rPr>
            <w:noProof/>
            <w:webHidden/>
          </w:rPr>
          <w:fldChar w:fldCharType="separate"/>
        </w:r>
        <w:r w:rsidR="0012026B">
          <w:rPr>
            <w:noProof/>
            <w:webHidden/>
          </w:rPr>
          <w:t>328</w:t>
        </w:r>
        <w:r w:rsidR="0012026B">
          <w:rPr>
            <w:noProof/>
            <w:webHidden/>
          </w:rPr>
          <w:fldChar w:fldCharType="end"/>
        </w:r>
      </w:hyperlink>
    </w:p>
    <w:p w14:paraId="7B70E990" w14:textId="7D4397BA" w:rsidR="0012026B" w:rsidRDefault="00B32C9A">
      <w:pPr>
        <w:pStyle w:val="TOC1"/>
        <w:tabs>
          <w:tab w:val="right" w:leader="dot" w:pos="9016"/>
        </w:tabs>
        <w:rPr>
          <w:rFonts w:asciiTheme="minorHAnsi" w:eastAsiaTheme="minorEastAsia" w:hAnsiTheme="minorHAnsi"/>
          <w:noProof/>
          <w:sz w:val="22"/>
          <w:lang w:eastAsia="en-GB"/>
        </w:rPr>
      </w:pPr>
      <w:hyperlink w:anchor="_Toc468266972" w:history="1">
        <w:r w:rsidR="0012026B" w:rsidRPr="009765CA">
          <w:rPr>
            <w:rStyle w:val="Hyperlink"/>
            <w:noProof/>
          </w:rPr>
          <w:t>Websites</w:t>
        </w:r>
        <w:r w:rsidR="0012026B">
          <w:rPr>
            <w:noProof/>
            <w:webHidden/>
          </w:rPr>
          <w:tab/>
        </w:r>
        <w:r w:rsidR="0012026B">
          <w:rPr>
            <w:noProof/>
            <w:webHidden/>
          </w:rPr>
          <w:fldChar w:fldCharType="begin"/>
        </w:r>
        <w:r w:rsidR="0012026B">
          <w:rPr>
            <w:noProof/>
            <w:webHidden/>
          </w:rPr>
          <w:instrText xml:space="preserve"> PAGEREF _Toc468266972 \h </w:instrText>
        </w:r>
        <w:r w:rsidR="0012026B">
          <w:rPr>
            <w:noProof/>
            <w:webHidden/>
          </w:rPr>
        </w:r>
        <w:r w:rsidR="0012026B">
          <w:rPr>
            <w:noProof/>
            <w:webHidden/>
          </w:rPr>
          <w:fldChar w:fldCharType="separate"/>
        </w:r>
        <w:r w:rsidR="0012026B">
          <w:rPr>
            <w:noProof/>
            <w:webHidden/>
          </w:rPr>
          <w:t>345</w:t>
        </w:r>
        <w:r w:rsidR="0012026B">
          <w:rPr>
            <w:noProof/>
            <w:webHidden/>
          </w:rPr>
          <w:fldChar w:fldCharType="end"/>
        </w:r>
      </w:hyperlink>
    </w:p>
    <w:p w14:paraId="78FFA3E5" w14:textId="1FFEA246" w:rsidR="0059250D" w:rsidRDefault="00D13FDE" w:rsidP="0059250D">
      <w:pPr>
        <w:spacing w:line="276" w:lineRule="auto"/>
        <w:rPr>
          <w:rFonts w:cs="Times New Roman"/>
          <w:b/>
          <w:sz w:val="28"/>
          <w:szCs w:val="28"/>
        </w:rPr>
      </w:pPr>
      <w:r w:rsidRPr="00EC0229">
        <w:rPr>
          <w:rFonts w:cs="Times New Roman"/>
          <w:b/>
          <w:sz w:val="28"/>
          <w:szCs w:val="28"/>
        </w:rPr>
        <w:fldChar w:fldCharType="end"/>
      </w:r>
    </w:p>
    <w:p w14:paraId="09F38093" w14:textId="77777777" w:rsidR="0059250D" w:rsidRDefault="0059250D">
      <w:pPr>
        <w:spacing w:line="259" w:lineRule="auto"/>
        <w:jc w:val="left"/>
        <w:rPr>
          <w:rFonts w:cs="Times New Roman"/>
          <w:b/>
          <w:sz w:val="28"/>
          <w:szCs w:val="28"/>
        </w:rPr>
      </w:pPr>
      <w:r>
        <w:rPr>
          <w:rFonts w:cs="Times New Roman"/>
          <w:b/>
          <w:sz w:val="28"/>
          <w:szCs w:val="28"/>
        </w:rPr>
        <w:br w:type="page"/>
      </w:r>
    </w:p>
    <w:p w14:paraId="51158ED0" w14:textId="77777777" w:rsidR="00DA3B84" w:rsidRPr="00EC0229" w:rsidRDefault="00DA3B84" w:rsidP="0059250D">
      <w:pPr>
        <w:spacing w:line="276" w:lineRule="auto"/>
        <w:rPr>
          <w:rFonts w:cs="Times New Roman"/>
          <w:b/>
          <w:sz w:val="28"/>
          <w:szCs w:val="28"/>
        </w:rPr>
      </w:pPr>
    </w:p>
    <w:p w14:paraId="35DD9DE3" w14:textId="77777777" w:rsidR="00DA3B84" w:rsidRPr="00EC0229" w:rsidRDefault="00DA3B84" w:rsidP="007600EA">
      <w:pPr>
        <w:spacing w:line="276" w:lineRule="auto"/>
        <w:rPr>
          <w:rFonts w:cs="Times New Roman"/>
          <w:b/>
          <w:sz w:val="28"/>
          <w:szCs w:val="28"/>
        </w:rPr>
      </w:pPr>
    </w:p>
    <w:p w14:paraId="2C1A3E42" w14:textId="77777777" w:rsidR="009A2058" w:rsidRPr="00EC0229" w:rsidRDefault="009A2058" w:rsidP="007600EA">
      <w:pPr>
        <w:spacing w:line="276" w:lineRule="auto"/>
        <w:rPr>
          <w:rFonts w:cs="Times New Roman"/>
          <w:b/>
          <w:sz w:val="28"/>
          <w:szCs w:val="28"/>
        </w:rPr>
        <w:sectPr w:rsidR="009A2058" w:rsidRPr="00EC0229" w:rsidSect="00B813BD">
          <w:pgSz w:w="11906" w:h="16838"/>
          <w:pgMar w:top="1440" w:right="1440" w:bottom="1440" w:left="1440" w:header="708" w:footer="708" w:gutter="0"/>
          <w:pgNumType w:fmt="lowerRoman"/>
          <w:cols w:space="708"/>
          <w:docGrid w:linePitch="360"/>
        </w:sectPr>
      </w:pPr>
    </w:p>
    <w:p w14:paraId="357610BA" w14:textId="167FE4B3" w:rsidR="00A515D7" w:rsidRPr="00EC0229" w:rsidRDefault="00A515D7" w:rsidP="007600EA">
      <w:pPr>
        <w:pStyle w:val="Heading3"/>
        <w:spacing w:line="276" w:lineRule="auto"/>
        <w:jc w:val="center"/>
        <w:rPr>
          <w:rStyle w:val="HTMLCite"/>
          <w:b w:val="0"/>
        </w:rPr>
      </w:pPr>
      <w:bookmarkStart w:id="13" w:name="Openingquotationabdextract"/>
      <w:bookmarkStart w:id="14" w:name="_Toc468266723"/>
      <w:bookmarkEnd w:id="13"/>
      <w:r w:rsidRPr="00EC0229">
        <w:rPr>
          <w:rStyle w:val="HTMLCite"/>
          <w:b w:val="0"/>
        </w:rPr>
        <w:t>Of all antiquities coins are the smallest,</w:t>
      </w:r>
      <w:bookmarkEnd w:id="14"/>
    </w:p>
    <w:p w14:paraId="0D6C8E6F" w14:textId="02750F71" w:rsidR="00A515D7" w:rsidRPr="00EC0229" w:rsidRDefault="004434F1" w:rsidP="007600EA">
      <w:pPr>
        <w:pStyle w:val="NoSpacing"/>
        <w:spacing w:line="276" w:lineRule="auto"/>
        <w:jc w:val="center"/>
        <w:rPr>
          <w:rStyle w:val="HTMLCite"/>
        </w:rPr>
      </w:pPr>
      <w:r w:rsidRPr="00EC0229">
        <w:rPr>
          <w:rStyle w:val="HTMLCite"/>
        </w:rPr>
        <w:t>Y</w:t>
      </w:r>
      <w:r w:rsidR="00A515D7" w:rsidRPr="00EC0229">
        <w:rPr>
          <w:rStyle w:val="HTMLCite"/>
        </w:rPr>
        <w:t>et, as a class, the most authoritative in record,</w:t>
      </w:r>
    </w:p>
    <w:p w14:paraId="18A0EA27" w14:textId="654BB4F5" w:rsidR="00A515D7" w:rsidRPr="00EC0229" w:rsidRDefault="004434F1" w:rsidP="007600EA">
      <w:pPr>
        <w:pStyle w:val="NoSpacing"/>
        <w:spacing w:line="276" w:lineRule="auto"/>
        <w:jc w:val="center"/>
        <w:rPr>
          <w:rStyle w:val="HTMLCite"/>
        </w:rPr>
      </w:pPr>
      <w:r w:rsidRPr="00EC0229">
        <w:rPr>
          <w:rStyle w:val="HTMLCite"/>
        </w:rPr>
        <w:t>A</w:t>
      </w:r>
      <w:r w:rsidR="00A515D7" w:rsidRPr="00EC0229">
        <w:rPr>
          <w:rStyle w:val="HTMLCite"/>
        </w:rPr>
        <w:t xml:space="preserve">nd the widest in range. </w:t>
      </w:r>
    </w:p>
    <w:p w14:paraId="7043ABFD" w14:textId="77777777" w:rsidR="00A515D7" w:rsidRPr="00EC0229" w:rsidRDefault="00A515D7" w:rsidP="007600EA">
      <w:pPr>
        <w:pStyle w:val="NoSpacing"/>
        <w:spacing w:line="276" w:lineRule="auto"/>
        <w:jc w:val="center"/>
        <w:rPr>
          <w:rStyle w:val="HTMLCite"/>
        </w:rPr>
      </w:pPr>
      <w:r w:rsidRPr="00EC0229">
        <w:rPr>
          <w:rStyle w:val="HTMLCite"/>
        </w:rPr>
        <w:t xml:space="preserve">No history is so unbroken as that which they tell; </w:t>
      </w:r>
    </w:p>
    <w:p w14:paraId="6F29F03C" w14:textId="135B0C2F" w:rsidR="00A515D7" w:rsidRPr="00EC0229" w:rsidRDefault="004434F1" w:rsidP="007600EA">
      <w:pPr>
        <w:pStyle w:val="NoSpacing"/>
        <w:spacing w:line="276" w:lineRule="auto"/>
        <w:jc w:val="center"/>
        <w:rPr>
          <w:rStyle w:val="HTMLCite"/>
        </w:rPr>
      </w:pPr>
      <w:r w:rsidRPr="00EC0229">
        <w:rPr>
          <w:rStyle w:val="HTMLCite"/>
        </w:rPr>
        <w:t>N</w:t>
      </w:r>
      <w:r w:rsidR="00A515D7" w:rsidRPr="00EC0229">
        <w:rPr>
          <w:rStyle w:val="HTMLCite"/>
        </w:rPr>
        <w:t xml:space="preserve">o geography so complete; </w:t>
      </w:r>
    </w:p>
    <w:p w14:paraId="36F21A38" w14:textId="3CAC9279" w:rsidR="00A515D7" w:rsidRPr="00EC0229" w:rsidRDefault="004434F1" w:rsidP="007600EA">
      <w:pPr>
        <w:pStyle w:val="NoSpacing"/>
        <w:spacing w:line="276" w:lineRule="auto"/>
        <w:jc w:val="center"/>
        <w:rPr>
          <w:rStyle w:val="HTMLCite"/>
        </w:rPr>
      </w:pPr>
      <w:r w:rsidRPr="00EC0229">
        <w:rPr>
          <w:rStyle w:val="HTMLCite"/>
        </w:rPr>
        <w:t>N</w:t>
      </w:r>
      <w:r w:rsidR="00A515D7" w:rsidRPr="00EC0229">
        <w:rPr>
          <w:rStyle w:val="HTMLCite"/>
        </w:rPr>
        <w:t xml:space="preserve">o art so continuous in sequence, nor so broad in extent; </w:t>
      </w:r>
    </w:p>
    <w:p w14:paraId="00E4A9E5" w14:textId="09810311" w:rsidR="00A515D7" w:rsidRPr="00EC0229" w:rsidRDefault="004434F1" w:rsidP="007600EA">
      <w:pPr>
        <w:pStyle w:val="NoSpacing"/>
        <w:spacing w:line="276" w:lineRule="auto"/>
        <w:jc w:val="center"/>
        <w:rPr>
          <w:rStyle w:val="HTMLCite"/>
        </w:rPr>
      </w:pPr>
      <w:r w:rsidRPr="00EC0229">
        <w:rPr>
          <w:rStyle w:val="HTMLCite"/>
        </w:rPr>
        <w:t>N</w:t>
      </w:r>
      <w:r w:rsidR="00A515D7" w:rsidRPr="00EC0229">
        <w:rPr>
          <w:rStyle w:val="HTMLCite"/>
        </w:rPr>
        <w:t xml:space="preserve">o mythology so ample and so various. </w:t>
      </w:r>
    </w:p>
    <w:p w14:paraId="5F56579C" w14:textId="77777777" w:rsidR="00A515D7" w:rsidRPr="00EC0229" w:rsidRDefault="00A515D7" w:rsidP="007600EA">
      <w:pPr>
        <w:pStyle w:val="NoSpacing"/>
        <w:spacing w:line="276" w:lineRule="auto"/>
        <w:jc w:val="center"/>
        <w:rPr>
          <w:rStyle w:val="HTMLCite"/>
        </w:rPr>
      </w:pPr>
      <w:r w:rsidRPr="00EC0229">
        <w:rPr>
          <w:rStyle w:val="HTMLCite"/>
        </w:rPr>
        <w:t xml:space="preserve">Unknown kings and lost towns, </w:t>
      </w:r>
    </w:p>
    <w:p w14:paraId="0E6BD5F7" w14:textId="271BA45E" w:rsidR="00A515D7" w:rsidRPr="00EC0229" w:rsidRDefault="004434F1" w:rsidP="007600EA">
      <w:pPr>
        <w:pStyle w:val="NoSpacing"/>
        <w:spacing w:line="276" w:lineRule="auto"/>
        <w:jc w:val="center"/>
        <w:rPr>
          <w:rStyle w:val="HTMLCite"/>
        </w:rPr>
      </w:pPr>
      <w:r w:rsidRPr="00EC0229">
        <w:rPr>
          <w:rStyle w:val="HTMLCite"/>
        </w:rPr>
        <w:t>F</w:t>
      </w:r>
      <w:r w:rsidR="00A515D7" w:rsidRPr="00EC0229">
        <w:rPr>
          <w:rStyle w:val="HTMLCite"/>
        </w:rPr>
        <w:t xml:space="preserve">orgotten divinities and new schools of art </w:t>
      </w:r>
    </w:p>
    <w:p w14:paraId="59FC1EF3" w14:textId="66D0F10B" w:rsidR="00A515D7" w:rsidRPr="00EC0229" w:rsidRDefault="004434F1" w:rsidP="007600EA">
      <w:pPr>
        <w:pStyle w:val="NoSpacing"/>
        <w:spacing w:line="276" w:lineRule="auto"/>
        <w:jc w:val="center"/>
        <w:rPr>
          <w:rStyle w:val="HTMLCite"/>
        </w:rPr>
      </w:pPr>
      <w:r w:rsidRPr="00EC0229">
        <w:rPr>
          <w:rStyle w:val="HTMLCite"/>
        </w:rPr>
        <w:t>H</w:t>
      </w:r>
      <w:r w:rsidR="00A515D7" w:rsidRPr="00EC0229">
        <w:rPr>
          <w:rStyle w:val="HTMLCite"/>
        </w:rPr>
        <w:t xml:space="preserve">ave here their authentic record. </w:t>
      </w:r>
    </w:p>
    <w:p w14:paraId="383C2F4A" w14:textId="77777777" w:rsidR="00A515D7" w:rsidRPr="00EC0229" w:rsidRDefault="00A515D7" w:rsidP="007600EA">
      <w:pPr>
        <w:pStyle w:val="NoSpacing"/>
        <w:spacing w:line="276" w:lineRule="auto"/>
        <w:jc w:val="center"/>
        <w:rPr>
          <w:rStyle w:val="HTMLCite"/>
        </w:rPr>
      </w:pPr>
      <w:r w:rsidRPr="00EC0229">
        <w:rPr>
          <w:rStyle w:val="HTMLCite"/>
        </w:rPr>
        <w:t xml:space="preserve">Individual character is illustrated </w:t>
      </w:r>
    </w:p>
    <w:p w14:paraId="77EEE9A5" w14:textId="664A259A" w:rsidR="00A515D7" w:rsidRPr="00EC0229" w:rsidRDefault="004434F1" w:rsidP="007600EA">
      <w:pPr>
        <w:pStyle w:val="NoSpacing"/>
        <w:spacing w:line="276" w:lineRule="auto"/>
        <w:jc w:val="center"/>
      </w:pPr>
      <w:r w:rsidRPr="00EC0229">
        <w:rPr>
          <w:rStyle w:val="HTMLCite"/>
        </w:rPr>
        <w:t>A</w:t>
      </w:r>
      <w:r w:rsidR="00A515D7" w:rsidRPr="00EC0229">
        <w:rPr>
          <w:rStyle w:val="HTMLCite"/>
        </w:rPr>
        <w:t>nd the tendencies of races defined.</w:t>
      </w:r>
    </w:p>
    <w:p w14:paraId="23864EE3" w14:textId="77777777" w:rsidR="00A515D7" w:rsidRPr="00EC0229" w:rsidRDefault="00A515D7" w:rsidP="007600EA">
      <w:pPr>
        <w:pStyle w:val="NoSpacing"/>
        <w:spacing w:line="276" w:lineRule="auto"/>
        <w:jc w:val="right"/>
        <w:rPr>
          <w:sz w:val="20"/>
          <w:szCs w:val="20"/>
        </w:rPr>
      </w:pPr>
    </w:p>
    <w:p w14:paraId="728D1C53" w14:textId="77777777" w:rsidR="00A515D7" w:rsidRPr="00EC0229" w:rsidRDefault="00A515D7" w:rsidP="007600EA">
      <w:pPr>
        <w:pStyle w:val="NoSpacing"/>
        <w:spacing w:line="276" w:lineRule="auto"/>
        <w:jc w:val="right"/>
        <w:rPr>
          <w:sz w:val="20"/>
          <w:szCs w:val="20"/>
        </w:rPr>
      </w:pPr>
      <w:r w:rsidRPr="00EC0229">
        <w:rPr>
          <w:sz w:val="20"/>
          <w:szCs w:val="20"/>
        </w:rPr>
        <w:t xml:space="preserve">Reginald Stuart Poole, </w:t>
      </w:r>
    </w:p>
    <w:p w14:paraId="2A848F65" w14:textId="77777777" w:rsidR="00A515D7" w:rsidRPr="00EC0229" w:rsidRDefault="00A515D7" w:rsidP="007600EA">
      <w:pPr>
        <w:pStyle w:val="NoSpacing"/>
        <w:spacing w:line="276" w:lineRule="auto"/>
        <w:jc w:val="right"/>
        <w:rPr>
          <w:sz w:val="20"/>
          <w:szCs w:val="20"/>
        </w:rPr>
      </w:pPr>
      <w:r w:rsidRPr="00EC0229">
        <w:rPr>
          <w:sz w:val="20"/>
          <w:szCs w:val="20"/>
        </w:rPr>
        <w:t xml:space="preserve">Curator of Coins and Medals, British Museum, </w:t>
      </w:r>
    </w:p>
    <w:p w14:paraId="0868C062" w14:textId="77777777" w:rsidR="00194693" w:rsidRPr="00EC0229" w:rsidRDefault="00A515D7" w:rsidP="007600EA">
      <w:pPr>
        <w:pStyle w:val="NoSpacing"/>
        <w:spacing w:line="276" w:lineRule="auto"/>
        <w:jc w:val="right"/>
        <w:rPr>
          <w:sz w:val="20"/>
          <w:szCs w:val="20"/>
        </w:rPr>
      </w:pPr>
      <w:r w:rsidRPr="00EC0229">
        <w:rPr>
          <w:sz w:val="20"/>
          <w:szCs w:val="20"/>
        </w:rPr>
        <w:t xml:space="preserve">‘On the Study of Coins’, </w:t>
      </w:r>
      <w:r w:rsidRPr="00EC0229">
        <w:rPr>
          <w:i/>
          <w:sz w:val="20"/>
          <w:szCs w:val="20"/>
        </w:rPr>
        <w:t>Antiquity</w:t>
      </w:r>
      <w:r w:rsidRPr="00EC0229">
        <w:rPr>
          <w:sz w:val="20"/>
          <w:szCs w:val="20"/>
        </w:rPr>
        <w:t xml:space="preserve"> 9 (1884, 7-10).</w:t>
      </w:r>
    </w:p>
    <w:p w14:paraId="2D1A6761" w14:textId="433588C6" w:rsidR="00194693" w:rsidRPr="00EC0229" w:rsidRDefault="00194693" w:rsidP="007600EA">
      <w:pPr>
        <w:pStyle w:val="NoSpacing"/>
        <w:spacing w:line="276" w:lineRule="auto"/>
        <w:jc w:val="center"/>
        <w:rPr>
          <w:sz w:val="20"/>
          <w:szCs w:val="20"/>
        </w:rPr>
      </w:pPr>
    </w:p>
    <w:p w14:paraId="77CCF6E8" w14:textId="327C247F" w:rsidR="00194693" w:rsidRPr="00EC0229" w:rsidRDefault="00194693" w:rsidP="007600EA">
      <w:pPr>
        <w:pStyle w:val="NoSpacing"/>
        <w:spacing w:line="276" w:lineRule="auto"/>
        <w:jc w:val="center"/>
        <w:rPr>
          <w:sz w:val="20"/>
          <w:szCs w:val="20"/>
        </w:rPr>
      </w:pPr>
    </w:p>
    <w:p w14:paraId="5F90E6C4" w14:textId="6E4E6185" w:rsidR="00E40ADB" w:rsidRPr="00EC0229" w:rsidRDefault="00E40ADB" w:rsidP="007600EA">
      <w:pPr>
        <w:pStyle w:val="NoSpacing"/>
        <w:spacing w:line="276" w:lineRule="auto"/>
        <w:jc w:val="center"/>
        <w:rPr>
          <w:sz w:val="20"/>
          <w:szCs w:val="20"/>
        </w:rPr>
      </w:pPr>
    </w:p>
    <w:p w14:paraId="50002DB1" w14:textId="77777777" w:rsidR="00E40ADB" w:rsidRPr="00EC0229" w:rsidRDefault="00E40ADB" w:rsidP="007600EA">
      <w:pPr>
        <w:pStyle w:val="NoSpacing"/>
        <w:spacing w:line="276" w:lineRule="auto"/>
        <w:jc w:val="center"/>
        <w:rPr>
          <w:sz w:val="20"/>
          <w:szCs w:val="20"/>
        </w:rPr>
      </w:pPr>
    </w:p>
    <w:p w14:paraId="1E1352B3" w14:textId="26B08298" w:rsidR="00194693" w:rsidRPr="00EC0229" w:rsidRDefault="00194693" w:rsidP="007600EA">
      <w:pPr>
        <w:pStyle w:val="NoSpacing"/>
        <w:spacing w:line="276" w:lineRule="auto"/>
        <w:jc w:val="center"/>
        <w:rPr>
          <w:sz w:val="20"/>
          <w:szCs w:val="20"/>
        </w:rPr>
      </w:pPr>
    </w:p>
    <w:p w14:paraId="5C8EB764" w14:textId="22ABE0C3" w:rsidR="00194693" w:rsidRPr="00EC0229" w:rsidRDefault="00194693" w:rsidP="007600EA">
      <w:pPr>
        <w:pStyle w:val="NoSpacing"/>
        <w:spacing w:line="276" w:lineRule="auto"/>
        <w:jc w:val="center"/>
        <w:rPr>
          <w:sz w:val="20"/>
          <w:szCs w:val="20"/>
        </w:rPr>
      </w:pPr>
      <w:r w:rsidRPr="00EC0229">
        <w:rPr>
          <w:rFonts w:cs="Times New Roman"/>
          <w:b/>
          <w:noProof/>
          <w:szCs w:val="24"/>
          <w:lang w:eastAsia="en-GB"/>
        </w:rPr>
        <w:drawing>
          <wp:inline distT="0" distB="0" distL="0" distR="0" wp14:anchorId="36DA6B1D" wp14:editId="744BFBF1">
            <wp:extent cx="3337560" cy="2932176"/>
            <wp:effectExtent l="0" t="0" r="0"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Chronicum-Preciosu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37560" cy="2932176"/>
                    </a:xfrm>
                    <a:prstGeom prst="rect">
                      <a:avLst/>
                    </a:prstGeom>
                  </pic:spPr>
                </pic:pic>
              </a:graphicData>
            </a:graphic>
          </wp:inline>
        </w:drawing>
      </w:r>
    </w:p>
    <w:p w14:paraId="2967BB4E" w14:textId="77777777" w:rsidR="00194693" w:rsidRPr="00EC0229" w:rsidRDefault="00194693" w:rsidP="007600EA">
      <w:pPr>
        <w:pStyle w:val="NoSpacing"/>
        <w:spacing w:line="276" w:lineRule="auto"/>
        <w:jc w:val="center"/>
        <w:rPr>
          <w:sz w:val="20"/>
          <w:szCs w:val="20"/>
        </w:rPr>
      </w:pPr>
    </w:p>
    <w:p w14:paraId="4258CA54" w14:textId="3F8827A2" w:rsidR="00791D6D" w:rsidRPr="00EC0229" w:rsidRDefault="00194693" w:rsidP="007600EA">
      <w:pPr>
        <w:pStyle w:val="NoSpacing"/>
        <w:spacing w:line="276" w:lineRule="auto"/>
        <w:jc w:val="right"/>
        <w:rPr>
          <w:rFonts w:cs="Times New Roman"/>
          <w:sz w:val="20"/>
          <w:szCs w:val="20"/>
        </w:rPr>
      </w:pPr>
      <w:bookmarkStart w:id="15" w:name="Acknowledgements"/>
      <w:bookmarkEnd w:id="15"/>
      <w:r w:rsidRPr="00EC0229">
        <w:rPr>
          <w:rFonts w:cs="Times New Roman"/>
          <w:i/>
          <w:sz w:val="20"/>
          <w:szCs w:val="20"/>
        </w:rPr>
        <w:t>Chronicum Preciosum</w:t>
      </w:r>
      <w:r w:rsidR="00791D6D" w:rsidRPr="00EC0229">
        <w:rPr>
          <w:rFonts w:cs="Times New Roman"/>
          <w:i/>
          <w:sz w:val="20"/>
          <w:szCs w:val="20"/>
        </w:rPr>
        <w:t>,</w:t>
      </w:r>
      <w:r w:rsidRPr="00EC0229">
        <w:rPr>
          <w:rFonts w:cs="Times New Roman"/>
          <w:sz w:val="20"/>
          <w:szCs w:val="20"/>
        </w:rPr>
        <w:t xml:space="preserve"> </w:t>
      </w:r>
    </w:p>
    <w:p w14:paraId="70C4D8FB" w14:textId="0ACFC17D" w:rsidR="00791D6D" w:rsidRPr="00EC0229" w:rsidRDefault="00194693" w:rsidP="007600EA">
      <w:pPr>
        <w:pStyle w:val="NoSpacing"/>
        <w:spacing w:line="276" w:lineRule="auto"/>
        <w:jc w:val="right"/>
        <w:rPr>
          <w:rFonts w:cs="Times New Roman"/>
          <w:sz w:val="20"/>
          <w:szCs w:val="20"/>
        </w:rPr>
      </w:pPr>
      <w:r w:rsidRPr="00EC0229">
        <w:rPr>
          <w:rFonts w:cs="Times New Roman"/>
          <w:i/>
          <w:sz w:val="20"/>
          <w:szCs w:val="20"/>
        </w:rPr>
        <w:t>or an Account of English Gold and Silver Money</w:t>
      </w:r>
      <w:r w:rsidR="00791D6D" w:rsidRPr="00EC0229">
        <w:rPr>
          <w:rFonts w:cs="Times New Roman"/>
          <w:i/>
          <w:sz w:val="20"/>
          <w:szCs w:val="20"/>
        </w:rPr>
        <w:t>,</w:t>
      </w:r>
      <w:r w:rsidRPr="00EC0229">
        <w:rPr>
          <w:rFonts w:cs="Times New Roman"/>
          <w:sz w:val="20"/>
          <w:szCs w:val="20"/>
        </w:rPr>
        <w:t xml:space="preserve"> </w:t>
      </w:r>
    </w:p>
    <w:p w14:paraId="235F2B63" w14:textId="6DC9C62F" w:rsidR="00194693" w:rsidRPr="00EC0229" w:rsidRDefault="00791D6D" w:rsidP="007600EA">
      <w:pPr>
        <w:pStyle w:val="NoSpacing"/>
        <w:spacing w:line="276" w:lineRule="auto"/>
        <w:jc w:val="right"/>
        <w:rPr>
          <w:rFonts w:cs="Times New Roman"/>
          <w:sz w:val="20"/>
          <w:szCs w:val="20"/>
        </w:rPr>
      </w:pPr>
      <w:r w:rsidRPr="00EC0229">
        <w:rPr>
          <w:rFonts w:cs="Times New Roman"/>
          <w:sz w:val="20"/>
          <w:szCs w:val="20"/>
        </w:rPr>
        <w:t xml:space="preserve">Bishop Fleetwood, </w:t>
      </w:r>
      <w:r w:rsidR="00194693" w:rsidRPr="00EC0229">
        <w:rPr>
          <w:rFonts w:cs="Times New Roman"/>
          <w:sz w:val="20"/>
          <w:szCs w:val="20"/>
        </w:rPr>
        <w:t>(1745, Preface).</w:t>
      </w:r>
    </w:p>
    <w:p w14:paraId="1798CD78" w14:textId="77777777" w:rsidR="008F547C" w:rsidRPr="00EC0229" w:rsidRDefault="008F547C">
      <w:pPr>
        <w:spacing w:line="259" w:lineRule="auto"/>
        <w:jc w:val="left"/>
        <w:rPr>
          <w:rFonts w:cs="Times New Roman"/>
          <w:szCs w:val="24"/>
        </w:rPr>
      </w:pPr>
      <w:r w:rsidRPr="00EC0229">
        <w:rPr>
          <w:rFonts w:cs="Times New Roman"/>
          <w:szCs w:val="24"/>
        </w:rPr>
        <w:br w:type="page"/>
      </w:r>
    </w:p>
    <w:p w14:paraId="09E70215" w14:textId="4CAC18E2" w:rsidR="00A515D7" w:rsidRPr="00EC0229" w:rsidRDefault="00A515D7" w:rsidP="007600EA">
      <w:pPr>
        <w:pStyle w:val="Heading1"/>
        <w:spacing w:line="276" w:lineRule="auto"/>
      </w:pPr>
      <w:bookmarkStart w:id="16" w:name="_Toc468266724"/>
      <w:r w:rsidRPr="00EC0229">
        <w:lastRenderedPageBreak/>
        <w:t>Acknowledgements</w:t>
      </w:r>
      <w:bookmarkEnd w:id="16"/>
      <w:r w:rsidR="00584C42" w:rsidRPr="00EC0229">
        <w:fldChar w:fldCharType="begin"/>
      </w:r>
      <w:r w:rsidR="00584C42" w:rsidRPr="00EC0229">
        <w:instrText xml:space="preserve"> XE </w:instrText>
      </w:r>
      <w:r w:rsidR="00584C42" w:rsidRPr="00EC0229">
        <w:rPr>
          <w:b w:val="0"/>
          <w:sz w:val="24"/>
          <w:szCs w:val="24"/>
        </w:rPr>
        <w:instrText>"</w:instrText>
      </w:r>
      <w:r w:rsidR="00584C42" w:rsidRPr="00EC0229">
        <w:rPr>
          <w:rStyle w:val="Hyperlink"/>
          <w:b w:val="0"/>
          <w:noProof/>
          <w:sz w:val="24"/>
          <w:szCs w:val="24"/>
          <w:u w:val="none"/>
        </w:rPr>
        <w:instrText>Acknowledgements</w:instrText>
      </w:r>
      <w:r w:rsidR="00584C42" w:rsidRPr="00EC0229">
        <w:rPr>
          <w:b w:val="0"/>
          <w:sz w:val="24"/>
          <w:szCs w:val="24"/>
        </w:rPr>
        <w:instrText xml:space="preserve">" </w:instrText>
      </w:r>
      <w:r w:rsidR="00584C42" w:rsidRPr="00EC0229">
        <w:fldChar w:fldCharType="end"/>
      </w:r>
    </w:p>
    <w:p w14:paraId="7E47A78E" w14:textId="77777777" w:rsidR="00A515D7" w:rsidRPr="00B4149E" w:rsidRDefault="00A515D7" w:rsidP="007600EA">
      <w:pPr>
        <w:spacing w:line="276" w:lineRule="auto"/>
        <w:rPr>
          <w:rFonts w:cs="Times New Roman"/>
          <w:sz w:val="23"/>
          <w:szCs w:val="23"/>
        </w:rPr>
      </w:pPr>
      <w:r w:rsidRPr="00B4149E">
        <w:rPr>
          <w:rFonts w:cs="Times New Roman"/>
          <w:sz w:val="23"/>
          <w:szCs w:val="23"/>
        </w:rPr>
        <w:t xml:space="preserve">I am grateful for the assistance of the following, without whose support this thesis would not have been possible: </w:t>
      </w:r>
    </w:p>
    <w:p w14:paraId="1DF4012D" w14:textId="13A050D9" w:rsidR="00A515D7" w:rsidRPr="00B4149E" w:rsidRDefault="00A515D7" w:rsidP="007600EA">
      <w:pPr>
        <w:spacing w:line="276" w:lineRule="auto"/>
        <w:rPr>
          <w:rFonts w:cs="Times New Roman"/>
          <w:sz w:val="23"/>
          <w:szCs w:val="23"/>
        </w:rPr>
      </w:pPr>
      <w:r w:rsidRPr="00B4149E">
        <w:rPr>
          <w:rFonts w:cs="Times New Roman"/>
          <w:sz w:val="23"/>
          <w:szCs w:val="23"/>
        </w:rPr>
        <w:t>Bernard Abramson</w:t>
      </w:r>
      <w:r w:rsidR="00584C42" w:rsidRPr="00B4149E">
        <w:rPr>
          <w:rFonts w:cs="Times New Roman"/>
          <w:sz w:val="23"/>
          <w:szCs w:val="23"/>
        </w:rPr>
        <w:fldChar w:fldCharType="begin"/>
      </w:r>
      <w:r w:rsidR="00584C42" w:rsidRPr="00B4149E">
        <w:rPr>
          <w:sz w:val="23"/>
          <w:szCs w:val="23"/>
        </w:rPr>
        <w:instrText xml:space="preserve"> XE "</w:instrText>
      </w:r>
      <w:r w:rsidR="00584C42" w:rsidRPr="00B4149E">
        <w:rPr>
          <w:rFonts w:cs="Times New Roman"/>
          <w:b/>
          <w:sz w:val="23"/>
          <w:szCs w:val="23"/>
        </w:rPr>
        <w:instrText>Abramson</w:instrText>
      </w:r>
      <w:r w:rsidR="00584C42" w:rsidRPr="00B4149E">
        <w:rPr>
          <w:sz w:val="23"/>
          <w:szCs w:val="23"/>
        </w:rPr>
        <w:instrText xml:space="preserve">" </w:instrText>
      </w:r>
      <w:r w:rsidR="00584C42" w:rsidRPr="00B4149E">
        <w:rPr>
          <w:rFonts w:cs="Times New Roman"/>
          <w:sz w:val="23"/>
          <w:szCs w:val="23"/>
        </w:rPr>
        <w:fldChar w:fldCharType="end"/>
      </w:r>
      <w:r w:rsidRPr="00B4149E">
        <w:rPr>
          <w:rFonts w:cs="Times New Roman"/>
          <w:sz w:val="23"/>
          <w:szCs w:val="23"/>
        </w:rPr>
        <w:t xml:space="preserve"> for data manipulation.</w:t>
      </w:r>
    </w:p>
    <w:p w14:paraId="34DDE84D" w14:textId="1B769E0D" w:rsidR="00A515D7" w:rsidRPr="00B4149E" w:rsidRDefault="00A515D7" w:rsidP="007600EA">
      <w:pPr>
        <w:spacing w:line="276" w:lineRule="auto"/>
        <w:rPr>
          <w:rFonts w:cs="Times New Roman"/>
          <w:sz w:val="23"/>
          <w:szCs w:val="23"/>
        </w:rPr>
      </w:pPr>
      <w:r w:rsidRPr="00B4149E">
        <w:rPr>
          <w:rFonts w:cs="Times New Roman"/>
          <w:sz w:val="23"/>
          <w:szCs w:val="23"/>
        </w:rPr>
        <w:t>Ben Abramson</w:t>
      </w:r>
      <w:r w:rsidR="00584C42" w:rsidRPr="00B4149E">
        <w:rPr>
          <w:rFonts w:cs="Times New Roman"/>
          <w:sz w:val="23"/>
          <w:szCs w:val="23"/>
        </w:rPr>
        <w:fldChar w:fldCharType="begin"/>
      </w:r>
      <w:r w:rsidR="00584C42" w:rsidRPr="00B4149E">
        <w:rPr>
          <w:sz w:val="23"/>
          <w:szCs w:val="23"/>
        </w:rPr>
        <w:instrText xml:space="preserve"> XE "</w:instrText>
      </w:r>
      <w:r w:rsidR="00584C42" w:rsidRPr="00B4149E">
        <w:rPr>
          <w:rFonts w:cs="Times New Roman"/>
          <w:b/>
          <w:sz w:val="23"/>
          <w:szCs w:val="23"/>
        </w:rPr>
        <w:instrText>Abramson</w:instrText>
      </w:r>
      <w:r w:rsidR="00584C42" w:rsidRPr="00B4149E">
        <w:rPr>
          <w:sz w:val="23"/>
          <w:szCs w:val="23"/>
        </w:rPr>
        <w:instrText xml:space="preserve">" </w:instrText>
      </w:r>
      <w:r w:rsidR="00584C42" w:rsidRPr="00B4149E">
        <w:rPr>
          <w:rFonts w:cs="Times New Roman"/>
          <w:sz w:val="23"/>
          <w:szCs w:val="23"/>
        </w:rPr>
        <w:fldChar w:fldCharType="end"/>
      </w:r>
      <w:r w:rsidRPr="00B4149E">
        <w:rPr>
          <w:rFonts w:cs="Times New Roman"/>
          <w:sz w:val="23"/>
          <w:szCs w:val="23"/>
        </w:rPr>
        <w:t xml:space="preserve"> for IT support.</w:t>
      </w:r>
    </w:p>
    <w:p w14:paraId="0E75BC6B" w14:textId="436ECB8A" w:rsidR="00234EA4" w:rsidRPr="00B4149E" w:rsidRDefault="00234EA4" w:rsidP="007600EA">
      <w:pPr>
        <w:spacing w:line="276" w:lineRule="auto"/>
        <w:rPr>
          <w:rFonts w:cs="Times New Roman"/>
          <w:sz w:val="23"/>
          <w:szCs w:val="23"/>
        </w:rPr>
      </w:pPr>
      <w:r w:rsidRPr="00B4149E">
        <w:rPr>
          <w:rFonts w:cs="Times New Roman"/>
          <w:sz w:val="23"/>
          <w:szCs w:val="23"/>
        </w:rPr>
        <w:t>Jane Abramson for proof-reading the entire manuscript.</w:t>
      </w:r>
    </w:p>
    <w:p w14:paraId="1A062E47" w14:textId="77777777" w:rsidR="00194693" w:rsidRPr="00B4149E" w:rsidRDefault="00194693" w:rsidP="007600EA">
      <w:pPr>
        <w:spacing w:line="276" w:lineRule="auto"/>
        <w:rPr>
          <w:rFonts w:cs="Times New Roman"/>
          <w:sz w:val="23"/>
          <w:szCs w:val="23"/>
        </w:rPr>
      </w:pPr>
      <w:r w:rsidRPr="00B4149E">
        <w:rPr>
          <w:rFonts w:cs="Times New Roman"/>
          <w:sz w:val="23"/>
          <w:szCs w:val="23"/>
        </w:rPr>
        <w:t>Dorothy Bonser for giving me her late husband’s archive of detector finds.</w:t>
      </w:r>
    </w:p>
    <w:p w14:paraId="7D9F5A5D" w14:textId="77777777" w:rsidR="00A515D7" w:rsidRPr="00B4149E" w:rsidRDefault="00A515D7" w:rsidP="007600EA">
      <w:pPr>
        <w:spacing w:line="276" w:lineRule="auto"/>
        <w:rPr>
          <w:rFonts w:cs="Times New Roman"/>
          <w:sz w:val="23"/>
          <w:szCs w:val="23"/>
        </w:rPr>
      </w:pPr>
      <w:r w:rsidRPr="00B4149E">
        <w:rPr>
          <w:rFonts w:cs="Times New Roman"/>
          <w:sz w:val="23"/>
          <w:szCs w:val="23"/>
        </w:rPr>
        <w:t>James Booth for advising on the integrity of the numismatic discourse.</w:t>
      </w:r>
    </w:p>
    <w:p w14:paraId="787763EB" w14:textId="06E3189E" w:rsidR="008F28E7" w:rsidRPr="00B4149E" w:rsidRDefault="008F28E7" w:rsidP="007600EA">
      <w:pPr>
        <w:spacing w:line="276" w:lineRule="auto"/>
        <w:rPr>
          <w:rFonts w:cs="Times New Roman"/>
          <w:sz w:val="23"/>
          <w:szCs w:val="23"/>
        </w:rPr>
      </w:pPr>
      <w:r w:rsidRPr="00B4149E">
        <w:rPr>
          <w:rFonts w:cs="Times New Roman"/>
          <w:sz w:val="23"/>
          <w:szCs w:val="23"/>
        </w:rPr>
        <w:t>Ron Bude for unpublished data on his analysis of the sceats of Eadberht and Ecgberht</w:t>
      </w:r>
    </w:p>
    <w:p w14:paraId="655AA2A9" w14:textId="39CFEB01" w:rsidR="00A515D7" w:rsidRPr="00B4149E" w:rsidRDefault="00A515D7" w:rsidP="007600EA">
      <w:pPr>
        <w:spacing w:line="276" w:lineRule="auto"/>
        <w:rPr>
          <w:rFonts w:cs="Times New Roman"/>
          <w:sz w:val="23"/>
          <w:szCs w:val="23"/>
        </w:rPr>
      </w:pPr>
      <w:r w:rsidRPr="00B4149E">
        <w:rPr>
          <w:rFonts w:cs="Times New Roman"/>
          <w:sz w:val="23"/>
          <w:szCs w:val="23"/>
        </w:rPr>
        <w:t>David Haldenby for advice on artefactual finds from Cottam</w:t>
      </w:r>
      <w:r w:rsidR="006B1593" w:rsidRPr="00B4149E">
        <w:rPr>
          <w:rFonts w:cs="Times New Roman"/>
          <w:sz w:val="23"/>
          <w:szCs w:val="23"/>
        </w:rPr>
        <w:fldChar w:fldCharType="begin"/>
      </w:r>
      <w:r w:rsidR="006B1593" w:rsidRPr="00B4149E">
        <w:rPr>
          <w:sz w:val="23"/>
          <w:szCs w:val="23"/>
        </w:rPr>
        <w:instrText xml:space="preserve"> XE "</w:instrText>
      </w:r>
      <w:r w:rsidR="006B1593" w:rsidRPr="00B4149E">
        <w:rPr>
          <w:rStyle w:val="Hyperlink"/>
          <w:rFonts w:eastAsia="Times New Roman"/>
          <w:noProof/>
          <w:sz w:val="23"/>
          <w:szCs w:val="23"/>
          <w:u w:val="none"/>
          <w:lang w:eastAsia="en-GB"/>
        </w:rPr>
        <w:instrText>Cottam</w:instrText>
      </w:r>
      <w:r w:rsidR="006B1593" w:rsidRPr="00B4149E">
        <w:rPr>
          <w:sz w:val="23"/>
          <w:szCs w:val="23"/>
        </w:rPr>
        <w:instrText xml:space="preserve">" </w:instrText>
      </w:r>
      <w:r w:rsidR="006B1593" w:rsidRPr="00B4149E">
        <w:rPr>
          <w:rFonts w:cs="Times New Roman"/>
          <w:sz w:val="23"/>
          <w:szCs w:val="23"/>
        </w:rPr>
        <w:fldChar w:fldCharType="end"/>
      </w:r>
      <w:r w:rsidRPr="00B4149E">
        <w:rPr>
          <w:rFonts w:cs="Times New Roman"/>
          <w:sz w:val="23"/>
          <w:szCs w:val="23"/>
        </w:rPr>
        <w:t xml:space="preserve"> and Cowlam</w:t>
      </w:r>
      <w:r w:rsidR="006B1593" w:rsidRPr="00B4149E">
        <w:rPr>
          <w:rFonts w:cs="Times New Roman"/>
          <w:sz w:val="23"/>
          <w:szCs w:val="23"/>
        </w:rPr>
        <w:fldChar w:fldCharType="begin"/>
      </w:r>
      <w:r w:rsidR="006B1593" w:rsidRPr="00B4149E">
        <w:rPr>
          <w:sz w:val="23"/>
          <w:szCs w:val="23"/>
        </w:rPr>
        <w:instrText xml:space="preserve"> XE "</w:instrText>
      </w:r>
      <w:r w:rsidR="006B1593" w:rsidRPr="00B4149E">
        <w:rPr>
          <w:rStyle w:val="Hyperlink"/>
          <w:noProof/>
          <w:sz w:val="23"/>
          <w:szCs w:val="23"/>
          <w:u w:val="none"/>
        </w:rPr>
        <w:instrText>Cowlam</w:instrText>
      </w:r>
      <w:r w:rsidR="006B1593" w:rsidRPr="00B4149E">
        <w:rPr>
          <w:sz w:val="23"/>
          <w:szCs w:val="23"/>
        </w:rPr>
        <w:instrText xml:space="preserve">" </w:instrText>
      </w:r>
      <w:r w:rsidR="006B1593" w:rsidRPr="00B4149E">
        <w:rPr>
          <w:rFonts w:cs="Times New Roman"/>
          <w:sz w:val="23"/>
          <w:szCs w:val="23"/>
        </w:rPr>
        <w:fldChar w:fldCharType="end"/>
      </w:r>
      <w:r w:rsidRPr="00B4149E">
        <w:rPr>
          <w:rFonts w:cs="Times New Roman"/>
          <w:sz w:val="23"/>
          <w:szCs w:val="23"/>
        </w:rPr>
        <w:t>.</w:t>
      </w:r>
    </w:p>
    <w:p w14:paraId="611F176B" w14:textId="77777777" w:rsidR="00A515D7" w:rsidRPr="00B4149E" w:rsidRDefault="00A515D7" w:rsidP="007600EA">
      <w:pPr>
        <w:spacing w:line="276" w:lineRule="auto"/>
        <w:rPr>
          <w:rFonts w:cs="Times New Roman"/>
          <w:sz w:val="23"/>
          <w:szCs w:val="23"/>
        </w:rPr>
      </w:pPr>
      <w:r w:rsidRPr="00B4149E">
        <w:rPr>
          <w:rFonts w:cs="Times New Roman"/>
          <w:sz w:val="23"/>
          <w:szCs w:val="23"/>
        </w:rPr>
        <w:t>Alan Morton for support and guidance on his DMAP software.</w:t>
      </w:r>
    </w:p>
    <w:p w14:paraId="00D23E8A" w14:textId="5AB29089" w:rsidR="00A515D7" w:rsidRPr="00B4149E" w:rsidRDefault="00A515D7" w:rsidP="007600EA">
      <w:pPr>
        <w:spacing w:line="276" w:lineRule="auto"/>
        <w:rPr>
          <w:rFonts w:cs="Times New Roman"/>
          <w:sz w:val="23"/>
          <w:szCs w:val="23"/>
        </w:rPr>
      </w:pPr>
      <w:r w:rsidRPr="00B4149E">
        <w:rPr>
          <w:rFonts w:cs="Times New Roman"/>
          <w:sz w:val="23"/>
          <w:szCs w:val="23"/>
        </w:rPr>
        <w:t>Mary Garrison for providing a medieval historical perspective to the study and for collaborating with a new interpretation of the York</w:t>
      </w:r>
      <w:r w:rsidR="006B1593" w:rsidRPr="00B4149E">
        <w:rPr>
          <w:rFonts w:cs="Times New Roman"/>
          <w:sz w:val="23"/>
          <w:szCs w:val="23"/>
        </w:rPr>
        <w:fldChar w:fldCharType="begin"/>
      </w:r>
      <w:r w:rsidR="006B1593" w:rsidRPr="00B4149E">
        <w:rPr>
          <w:sz w:val="23"/>
          <w:szCs w:val="23"/>
        </w:rPr>
        <w:instrText xml:space="preserve"> XE "</w:instrText>
      </w:r>
      <w:r w:rsidR="006B1593" w:rsidRPr="00B4149E">
        <w:rPr>
          <w:rStyle w:val="Hyperlink"/>
          <w:noProof/>
          <w:sz w:val="23"/>
          <w:szCs w:val="23"/>
          <w:u w:val="none"/>
        </w:rPr>
        <w:instrText>York</w:instrText>
      </w:r>
      <w:r w:rsidR="006B1593" w:rsidRPr="00B4149E">
        <w:rPr>
          <w:sz w:val="23"/>
          <w:szCs w:val="23"/>
        </w:rPr>
        <w:instrText xml:space="preserve">" </w:instrText>
      </w:r>
      <w:r w:rsidR="006B1593" w:rsidRPr="00B4149E">
        <w:rPr>
          <w:rFonts w:cs="Times New Roman"/>
          <w:sz w:val="23"/>
          <w:szCs w:val="23"/>
        </w:rPr>
        <w:fldChar w:fldCharType="end"/>
      </w:r>
      <w:r w:rsidRPr="00B4149E">
        <w:rPr>
          <w:rFonts w:cs="Times New Roman"/>
          <w:sz w:val="23"/>
          <w:szCs w:val="23"/>
        </w:rPr>
        <w:t xml:space="preserve"> Gold</w:t>
      </w:r>
      <w:r w:rsidR="00F204A1" w:rsidRPr="00B4149E">
        <w:rPr>
          <w:rFonts w:cs="Times New Roman"/>
          <w:sz w:val="23"/>
          <w:szCs w:val="23"/>
        </w:rPr>
        <w:fldChar w:fldCharType="begin"/>
      </w:r>
      <w:r w:rsidR="00F204A1" w:rsidRPr="00B4149E">
        <w:rPr>
          <w:sz w:val="23"/>
          <w:szCs w:val="23"/>
        </w:rPr>
        <w:instrText xml:space="preserve"> XE "</w:instrText>
      </w:r>
      <w:r w:rsidR="00F204A1" w:rsidRPr="00B4149E">
        <w:rPr>
          <w:rStyle w:val="Hyperlink"/>
          <w:rFonts w:cs="Times New Roman"/>
          <w:noProof/>
          <w:sz w:val="23"/>
          <w:szCs w:val="23"/>
          <w:u w:val="none"/>
        </w:rPr>
        <w:instrText>Gold</w:instrText>
      </w:r>
      <w:r w:rsidR="00F204A1" w:rsidRPr="00B4149E">
        <w:rPr>
          <w:sz w:val="23"/>
          <w:szCs w:val="23"/>
        </w:rPr>
        <w:instrText xml:space="preserve">" </w:instrText>
      </w:r>
      <w:r w:rsidR="00F204A1" w:rsidRPr="00B4149E">
        <w:rPr>
          <w:rFonts w:cs="Times New Roman"/>
          <w:sz w:val="23"/>
          <w:szCs w:val="23"/>
        </w:rPr>
        <w:fldChar w:fldCharType="end"/>
      </w:r>
      <w:r w:rsidRPr="00B4149E">
        <w:rPr>
          <w:rFonts w:cs="Times New Roman"/>
          <w:sz w:val="23"/>
          <w:szCs w:val="23"/>
        </w:rPr>
        <w:t xml:space="preserve"> Shilling.</w:t>
      </w:r>
    </w:p>
    <w:p w14:paraId="1CB5DF5E" w14:textId="77777777" w:rsidR="00A515D7" w:rsidRPr="00B4149E" w:rsidRDefault="00A515D7" w:rsidP="007600EA">
      <w:pPr>
        <w:spacing w:line="276" w:lineRule="auto"/>
        <w:rPr>
          <w:rFonts w:cs="Times New Roman"/>
          <w:sz w:val="23"/>
          <w:szCs w:val="23"/>
        </w:rPr>
      </w:pPr>
      <w:r w:rsidRPr="00B4149E">
        <w:rPr>
          <w:rFonts w:cs="Times New Roman"/>
          <w:sz w:val="23"/>
          <w:szCs w:val="23"/>
        </w:rPr>
        <w:t>Richard Kelleher and Alison Leonard for ArcGIS tuition.</w:t>
      </w:r>
    </w:p>
    <w:p w14:paraId="0846EB93" w14:textId="7BA37707" w:rsidR="00A515D7" w:rsidRPr="00B4149E" w:rsidRDefault="00A515D7" w:rsidP="007600EA">
      <w:pPr>
        <w:spacing w:line="276" w:lineRule="auto"/>
        <w:rPr>
          <w:rFonts w:cs="Times New Roman"/>
          <w:sz w:val="23"/>
          <w:szCs w:val="23"/>
        </w:rPr>
      </w:pPr>
      <w:r w:rsidRPr="00B4149E">
        <w:rPr>
          <w:rFonts w:cs="Times New Roman"/>
          <w:sz w:val="23"/>
          <w:szCs w:val="23"/>
        </w:rPr>
        <w:t>Michael Metcalf</w:t>
      </w:r>
      <w:r w:rsidR="00F204A1" w:rsidRPr="00B4149E">
        <w:rPr>
          <w:rFonts w:cs="Times New Roman"/>
          <w:sz w:val="23"/>
          <w:szCs w:val="23"/>
        </w:rPr>
        <w:fldChar w:fldCharType="begin"/>
      </w:r>
      <w:r w:rsidR="00F204A1" w:rsidRPr="00B4149E">
        <w:rPr>
          <w:sz w:val="23"/>
          <w:szCs w:val="23"/>
        </w:rPr>
        <w:instrText xml:space="preserve"> XE "</w:instrText>
      </w:r>
      <w:r w:rsidR="00F204A1" w:rsidRPr="00B4149E">
        <w:rPr>
          <w:rStyle w:val="Hyperlink"/>
          <w:noProof/>
          <w:sz w:val="23"/>
          <w:szCs w:val="23"/>
          <w:u w:val="none"/>
        </w:rPr>
        <w:instrText>Metcalf</w:instrText>
      </w:r>
      <w:r w:rsidR="00F204A1" w:rsidRPr="00B4149E">
        <w:rPr>
          <w:sz w:val="23"/>
          <w:szCs w:val="23"/>
        </w:rPr>
        <w:instrText xml:space="preserve">" </w:instrText>
      </w:r>
      <w:r w:rsidR="00F204A1" w:rsidRPr="00B4149E">
        <w:rPr>
          <w:rFonts w:cs="Times New Roman"/>
          <w:sz w:val="23"/>
          <w:szCs w:val="23"/>
        </w:rPr>
        <w:fldChar w:fldCharType="end"/>
      </w:r>
      <w:r w:rsidR="004333BD" w:rsidRPr="00B4149E">
        <w:rPr>
          <w:rFonts w:cs="Times New Roman"/>
          <w:sz w:val="23"/>
          <w:szCs w:val="23"/>
        </w:rPr>
        <w:t xml:space="preserve"> and</w:t>
      </w:r>
      <w:r w:rsidRPr="00B4149E">
        <w:rPr>
          <w:rFonts w:cs="Times New Roman"/>
          <w:sz w:val="23"/>
          <w:szCs w:val="23"/>
        </w:rPr>
        <w:t xml:space="preserve"> Rory Naismith</w:t>
      </w:r>
      <w:r w:rsidR="008960AE" w:rsidRPr="00B4149E">
        <w:rPr>
          <w:rFonts w:cs="Times New Roman"/>
          <w:sz w:val="23"/>
          <w:szCs w:val="23"/>
        </w:rPr>
        <w:fldChar w:fldCharType="begin"/>
      </w:r>
      <w:r w:rsidR="008960AE" w:rsidRPr="00B4149E">
        <w:rPr>
          <w:sz w:val="23"/>
          <w:szCs w:val="23"/>
        </w:rPr>
        <w:instrText xml:space="preserve"> XE "</w:instrText>
      </w:r>
      <w:r w:rsidR="008960AE" w:rsidRPr="00B4149E">
        <w:rPr>
          <w:rFonts w:cs="Times New Roman"/>
          <w:sz w:val="23"/>
          <w:szCs w:val="23"/>
        </w:rPr>
        <w:instrText>Naismith</w:instrText>
      </w:r>
      <w:r w:rsidR="008960AE" w:rsidRPr="00B4149E">
        <w:rPr>
          <w:sz w:val="23"/>
          <w:szCs w:val="23"/>
        </w:rPr>
        <w:instrText xml:space="preserve">" </w:instrText>
      </w:r>
      <w:r w:rsidR="008960AE" w:rsidRPr="00B4149E">
        <w:rPr>
          <w:rFonts w:cs="Times New Roman"/>
          <w:sz w:val="23"/>
          <w:szCs w:val="23"/>
        </w:rPr>
        <w:fldChar w:fldCharType="end"/>
      </w:r>
      <w:r w:rsidR="004333BD" w:rsidRPr="00B4149E">
        <w:rPr>
          <w:rFonts w:cs="Times New Roman"/>
          <w:sz w:val="23"/>
          <w:szCs w:val="23"/>
        </w:rPr>
        <w:t xml:space="preserve"> </w:t>
      </w:r>
      <w:r w:rsidRPr="00B4149E">
        <w:rPr>
          <w:rFonts w:cs="Times New Roman"/>
          <w:sz w:val="23"/>
          <w:szCs w:val="23"/>
        </w:rPr>
        <w:t xml:space="preserve">for their guidance on the narrative. </w:t>
      </w:r>
    </w:p>
    <w:p w14:paraId="23C81DE4" w14:textId="77777777" w:rsidR="00A515D7" w:rsidRPr="00B4149E" w:rsidRDefault="00A515D7" w:rsidP="007600EA">
      <w:pPr>
        <w:spacing w:line="276" w:lineRule="auto"/>
        <w:rPr>
          <w:rFonts w:cs="Times New Roman"/>
          <w:sz w:val="23"/>
          <w:szCs w:val="23"/>
        </w:rPr>
      </w:pPr>
      <w:r w:rsidRPr="00B4149E">
        <w:rPr>
          <w:rFonts w:cs="Times New Roman"/>
          <w:sz w:val="23"/>
          <w:szCs w:val="23"/>
        </w:rPr>
        <w:t>My Thesis Advisory Panel, Julian Richards, Andy Woods and Steve Roskams, without whose guidance this project would not have been possible.</w:t>
      </w:r>
    </w:p>
    <w:p w14:paraId="4F2F677E" w14:textId="117F9805" w:rsidR="00A515D7" w:rsidRPr="00B4149E" w:rsidRDefault="00A515D7" w:rsidP="007600EA">
      <w:pPr>
        <w:spacing w:line="276" w:lineRule="auto"/>
        <w:rPr>
          <w:rFonts w:cs="Times New Roman"/>
          <w:sz w:val="23"/>
          <w:szCs w:val="23"/>
        </w:rPr>
      </w:pPr>
      <w:r w:rsidRPr="00B4149E">
        <w:rPr>
          <w:rFonts w:cs="Times New Roman"/>
          <w:sz w:val="23"/>
          <w:szCs w:val="23"/>
        </w:rPr>
        <w:t>The late Liz Pirie</w:t>
      </w:r>
      <w:r w:rsidR="00716433" w:rsidRPr="00B4149E">
        <w:rPr>
          <w:rFonts w:cs="Times New Roman"/>
          <w:sz w:val="23"/>
          <w:szCs w:val="23"/>
        </w:rPr>
        <w:fldChar w:fldCharType="begin"/>
      </w:r>
      <w:r w:rsidR="00716433" w:rsidRPr="00B4149E">
        <w:rPr>
          <w:sz w:val="23"/>
          <w:szCs w:val="23"/>
        </w:rPr>
        <w:instrText xml:space="preserve"> XE "Pirie" </w:instrText>
      </w:r>
      <w:r w:rsidR="00716433" w:rsidRPr="00B4149E">
        <w:rPr>
          <w:rFonts w:cs="Times New Roman"/>
          <w:sz w:val="23"/>
          <w:szCs w:val="23"/>
        </w:rPr>
        <w:fldChar w:fldCharType="end"/>
      </w:r>
      <w:r w:rsidRPr="00B4149E">
        <w:rPr>
          <w:rFonts w:cs="Times New Roman"/>
          <w:sz w:val="23"/>
          <w:szCs w:val="23"/>
        </w:rPr>
        <w:t xml:space="preserve"> for her remarkable dedication to compiling the corpus of stycas in her </w:t>
      </w:r>
      <w:r w:rsidRPr="00B4149E">
        <w:rPr>
          <w:rFonts w:cs="Times New Roman"/>
          <w:i/>
          <w:sz w:val="23"/>
          <w:szCs w:val="23"/>
        </w:rPr>
        <w:t>C</w:t>
      </w:r>
      <w:r w:rsidR="00194693" w:rsidRPr="00B4149E">
        <w:rPr>
          <w:rFonts w:cs="Times New Roman"/>
          <w:i/>
          <w:sz w:val="23"/>
          <w:szCs w:val="23"/>
        </w:rPr>
        <w:t xml:space="preserve">oins of the </w:t>
      </w:r>
      <w:r w:rsidRPr="00B4149E">
        <w:rPr>
          <w:rFonts w:cs="Times New Roman"/>
          <w:i/>
          <w:sz w:val="23"/>
          <w:szCs w:val="23"/>
        </w:rPr>
        <w:t>K</w:t>
      </w:r>
      <w:r w:rsidR="00194693" w:rsidRPr="00B4149E">
        <w:rPr>
          <w:rFonts w:cs="Times New Roman"/>
          <w:i/>
          <w:sz w:val="23"/>
          <w:szCs w:val="23"/>
        </w:rPr>
        <w:t xml:space="preserve">ingdom of </w:t>
      </w:r>
      <w:r w:rsidRPr="00B4149E">
        <w:rPr>
          <w:rFonts w:cs="Times New Roman"/>
          <w:i/>
          <w:sz w:val="23"/>
          <w:szCs w:val="23"/>
        </w:rPr>
        <w:t>N</w:t>
      </w:r>
      <w:r w:rsidR="00194693" w:rsidRPr="00B4149E">
        <w:rPr>
          <w:rFonts w:cs="Times New Roman"/>
          <w:i/>
          <w:sz w:val="23"/>
          <w:szCs w:val="23"/>
        </w:rPr>
        <w:t>orthumbria</w:t>
      </w:r>
      <w:r w:rsidR="008960AE" w:rsidRPr="00B4149E">
        <w:rPr>
          <w:rFonts w:cs="Times New Roman"/>
          <w:i/>
          <w:sz w:val="23"/>
          <w:szCs w:val="23"/>
        </w:rPr>
        <w:fldChar w:fldCharType="begin"/>
      </w:r>
      <w:r w:rsidR="008960AE" w:rsidRPr="00B4149E">
        <w:rPr>
          <w:sz w:val="23"/>
          <w:szCs w:val="23"/>
        </w:rPr>
        <w:instrText xml:space="preserve"> XE "CKN" </w:instrText>
      </w:r>
      <w:r w:rsidR="008960AE" w:rsidRPr="00B4149E">
        <w:rPr>
          <w:rFonts w:cs="Times New Roman"/>
          <w:i/>
          <w:sz w:val="23"/>
          <w:szCs w:val="23"/>
        </w:rPr>
        <w:fldChar w:fldCharType="end"/>
      </w:r>
      <w:r w:rsidRPr="00B4149E">
        <w:rPr>
          <w:rFonts w:cs="Times New Roman"/>
          <w:i/>
          <w:sz w:val="23"/>
          <w:szCs w:val="23"/>
        </w:rPr>
        <w:t>.</w:t>
      </w:r>
      <w:r w:rsidRPr="00B4149E">
        <w:rPr>
          <w:rFonts w:cs="Times New Roman"/>
          <w:sz w:val="23"/>
          <w:szCs w:val="23"/>
        </w:rPr>
        <w:t xml:space="preserve"> Moreover, without access to her prodigious archives on stycas, which were so nearly discarded had I not intervened, this work would have been considerably impoverished. Feisty and obdurate she may have been, as well as misguided in her classification, but, hopefully I have resurrected Michael Metcalf</w:t>
      </w:r>
      <w:r w:rsidR="00F204A1" w:rsidRPr="00B4149E">
        <w:rPr>
          <w:rFonts w:cs="Times New Roman"/>
          <w:sz w:val="23"/>
          <w:szCs w:val="23"/>
        </w:rPr>
        <w:fldChar w:fldCharType="begin"/>
      </w:r>
      <w:r w:rsidR="00F204A1" w:rsidRPr="00B4149E">
        <w:rPr>
          <w:sz w:val="23"/>
          <w:szCs w:val="23"/>
        </w:rPr>
        <w:instrText xml:space="preserve"> XE "</w:instrText>
      </w:r>
      <w:r w:rsidR="00F204A1" w:rsidRPr="00B4149E">
        <w:rPr>
          <w:rStyle w:val="Hyperlink"/>
          <w:noProof/>
          <w:sz w:val="23"/>
          <w:szCs w:val="23"/>
          <w:u w:val="none"/>
        </w:rPr>
        <w:instrText>Metcalf</w:instrText>
      </w:r>
      <w:r w:rsidR="00F204A1" w:rsidRPr="00B4149E">
        <w:rPr>
          <w:sz w:val="23"/>
          <w:szCs w:val="23"/>
        </w:rPr>
        <w:instrText xml:space="preserve">" </w:instrText>
      </w:r>
      <w:r w:rsidR="00F204A1" w:rsidRPr="00B4149E">
        <w:rPr>
          <w:rFonts w:cs="Times New Roman"/>
          <w:sz w:val="23"/>
          <w:szCs w:val="23"/>
        </w:rPr>
        <w:fldChar w:fldCharType="end"/>
      </w:r>
      <w:r w:rsidRPr="00B4149E">
        <w:rPr>
          <w:rFonts w:cs="Times New Roman"/>
          <w:sz w:val="23"/>
          <w:szCs w:val="23"/>
        </w:rPr>
        <w:t>’s hope that her work, ultimately, would be ground-breaking. I also thank YNS for funding the recovery of part of her archive from The National Museum of Scotland.</w:t>
      </w:r>
      <w:r w:rsidR="00194693" w:rsidRPr="00B4149E">
        <w:rPr>
          <w:rFonts w:cs="Times New Roman"/>
          <w:sz w:val="23"/>
          <w:szCs w:val="23"/>
        </w:rPr>
        <w:t xml:space="preserve"> Thanks also to Allen Martin for giving me the remainder of the Pirie archive.</w:t>
      </w:r>
    </w:p>
    <w:p w14:paraId="4182BE03" w14:textId="77777777" w:rsidR="00E801F6" w:rsidRPr="00B4149E" w:rsidRDefault="00E801F6" w:rsidP="00E801F6">
      <w:pPr>
        <w:spacing w:line="276" w:lineRule="auto"/>
        <w:rPr>
          <w:rFonts w:cs="Times New Roman"/>
          <w:sz w:val="23"/>
          <w:szCs w:val="23"/>
        </w:rPr>
      </w:pPr>
      <w:r w:rsidRPr="00B4149E">
        <w:rPr>
          <w:rFonts w:cs="Times New Roman"/>
          <w:sz w:val="23"/>
          <w:szCs w:val="23"/>
        </w:rPr>
        <w:t>Sarah Wightman</w:t>
      </w:r>
      <w:r w:rsidRPr="00B4149E">
        <w:rPr>
          <w:rFonts w:cs="Times New Roman"/>
          <w:sz w:val="23"/>
          <w:szCs w:val="23"/>
        </w:rPr>
        <w:fldChar w:fldCharType="begin"/>
      </w:r>
      <w:r w:rsidRPr="00B4149E">
        <w:rPr>
          <w:sz w:val="23"/>
          <w:szCs w:val="23"/>
        </w:rPr>
        <w:instrText xml:space="preserve"> XE "</w:instrText>
      </w:r>
      <w:r w:rsidRPr="00B4149E">
        <w:rPr>
          <w:rFonts w:cs="Times New Roman"/>
          <w:b/>
          <w:sz w:val="23"/>
          <w:szCs w:val="23"/>
        </w:rPr>
        <w:instrText>Abramson</w:instrText>
      </w:r>
      <w:r w:rsidRPr="00B4149E">
        <w:rPr>
          <w:sz w:val="23"/>
          <w:szCs w:val="23"/>
        </w:rPr>
        <w:instrText xml:space="preserve">" </w:instrText>
      </w:r>
      <w:r w:rsidRPr="00B4149E">
        <w:rPr>
          <w:rFonts w:cs="Times New Roman"/>
          <w:sz w:val="23"/>
          <w:szCs w:val="23"/>
        </w:rPr>
        <w:fldChar w:fldCharType="end"/>
      </w:r>
      <w:r w:rsidRPr="00B4149E">
        <w:rPr>
          <w:rFonts w:cs="Times New Roman"/>
          <w:sz w:val="23"/>
          <w:szCs w:val="23"/>
        </w:rPr>
        <w:t xml:space="preserve"> for assistance with format editing.</w:t>
      </w:r>
    </w:p>
    <w:p w14:paraId="68A21CAF" w14:textId="443CC185" w:rsidR="00A515D7" w:rsidRPr="00B4149E" w:rsidRDefault="00A515D7" w:rsidP="007600EA">
      <w:pPr>
        <w:spacing w:line="276" w:lineRule="auto"/>
        <w:rPr>
          <w:rFonts w:cs="Times New Roman"/>
          <w:sz w:val="23"/>
          <w:szCs w:val="23"/>
        </w:rPr>
      </w:pPr>
      <w:r w:rsidRPr="00B4149E">
        <w:rPr>
          <w:rFonts w:cs="Times New Roman"/>
          <w:sz w:val="23"/>
          <w:szCs w:val="23"/>
        </w:rPr>
        <w:t>Paul and Bente Withers of Galata Press Limited for retrieving and releasing Liz Pirie</w:t>
      </w:r>
      <w:r w:rsidR="00716433" w:rsidRPr="00B4149E">
        <w:rPr>
          <w:rFonts w:cs="Times New Roman"/>
          <w:sz w:val="23"/>
          <w:szCs w:val="23"/>
        </w:rPr>
        <w:fldChar w:fldCharType="begin"/>
      </w:r>
      <w:r w:rsidR="00716433" w:rsidRPr="00B4149E">
        <w:rPr>
          <w:sz w:val="23"/>
          <w:szCs w:val="23"/>
        </w:rPr>
        <w:instrText xml:space="preserve"> XE "Pirie" </w:instrText>
      </w:r>
      <w:r w:rsidR="00716433" w:rsidRPr="00B4149E">
        <w:rPr>
          <w:rFonts w:cs="Times New Roman"/>
          <w:sz w:val="23"/>
          <w:szCs w:val="23"/>
        </w:rPr>
        <w:fldChar w:fldCharType="end"/>
      </w:r>
      <w:r w:rsidRPr="00B4149E">
        <w:rPr>
          <w:rFonts w:cs="Times New Roman"/>
          <w:sz w:val="23"/>
          <w:szCs w:val="23"/>
        </w:rPr>
        <w:t>’s corpus</w:t>
      </w:r>
      <w:r w:rsidR="00B4149E" w:rsidRPr="00B4149E">
        <w:rPr>
          <w:rFonts w:cs="Times New Roman"/>
          <w:sz w:val="23"/>
          <w:szCs w:val="23"/>
        </w:rPr>
        <w:t xml:space="preserve"> </w:t>
      </w:r>
      <w:r w:rsidR="00B4149E" w:rsidRPr="00B4149E">
        <w:rPr>
          <w:rFonts w:cs="Times New Roman"/>
          <w:i/>
          <w:sz w:val="23"/>
          <w:szCs w:val="23"/>
        </w:rPr>
        <w:t>gratis</w:t>
      </w:r>
      <w:r w:rsidRPr="00B4149E">
        <w:rPr>
          <w:rFonts w:cs="Times New Roman"/>
          <w:sz w:val="23"/>
          <w:szCs w:val="23"/>
        </w:rPr>
        <w:t>.</w:t>
      </w:r>
    </w:p>
    <w:p w14:paraId="2E3347E2" w14:textId="7438E137" w:rsidR="00A515D7" w:rsidRPr="00B4149E" w:rsidRDefault="00A515D7" w:rsidP="007600EA">
      <w:pPr>
        <w:spacing w:line="276" w:lineRule="auto"/>
        <w:rPr>
          <w:rFonts w:cs="Times New Roman"/>
          <w:sz w:val="23"/>
          <w:szCs w:val="23"/>
        </w:rPr>
      </w:pPr>
      <w:r w:rsidRPr="00B4149E">
        <w:rPr>
          <w:rFonts w:cs="Times New Roman"/>
          <w:sz w:val="23"/>
          <w:szCs w:val="23"/>
        </w:rPr>
        <w:t>Andy Woods for many helpful</w:t>
      </w:r>
      <w:r w:rsidR="003B64D2" w:rsidRPr="00B4149E">
        <w:rPr>
          <w:rFonts w:cs="Times New Roman"/>
          <w:sz w:val="23"/>
          <w:szCs w:val="23"/>
        </w:rPr>
        <w:t xml:space="preserve"> suggestions such as </w:t>
      </w:r>
      <w:r w:rsidR="006C328D" w:rsidRPr="00B4149E">
        <w:rPr>
          <w:rFonts w:cs="Times New Roman"/>
          <w:sz w:val="23"/>
          <w:szCs w:val="23"/>
        </w:rPr>
        <w:t>periodiz</w:t>
      </w:r>
      <w:r w:rsidRPr="00B4149E">
        <w:rPr>
          <w:rFonts w:cs="Times New Roman"/>
          <w:sz w:val="23"/>
          <w:szCs w:val="23"/>
        </w:rPr>
        <w:t>ation of the Anglian</w:t>
      </w:r>
      <w:r w:rsidR="00D142DC" w:rsidRPr="00B4149E">
        <w:rPr>
          <w:rFonts w:cs="Times New Roman"/>
          <w:sz w:val="23"/>
          <w:szCs w:val="23"/>
        </w:rPr>
        <w:fldChar w:fldCharType="begin"/>
      </w:r>
      <w:r w:rsidR="00D142DC" w:rsidRPr="00B4149E">
        <w:rPr>
          <w:sz w:val="23"/>
          <w:szCs w:val="23"/>
        </w:rPr>
        <w:instrText xml:space="preserve"> XE "Anglian" </w:instrText>
      </w:r>
      <w:r w:rsidR="00D142DC" w:rsidRPr="00B4149E">
        <w:rPr>
          <w:rFonts w:cs="Times New Roman"/>
          <w:sz w:val="23"/>
          <w:szCs w:val="23"/>
        </w:rPr>
        <w:fldChar w:fldCharType="end"/>
      </w:r>
      <w:r w:rsidRPr="00B4149E">
        <w:rPr>
          <w:rFonts w:cs="Times New Roman"/>
          <w:sz w:val="23"/>
          <w:szCs w:val="23"/>
        </w:rPr>
        <w:t xml:space="preserve"> coinage of Northumbria</w:t>
      </w:r>
      <w:r w:rsidR="00584C42" w:rsidRPr="00B4149E">
        <w:rPr>
          <w:rFonts w:cs="Times New Roman"/>
          <w:sz w:val="23"/>
          <w:szCs w:val="23"/>
        </w:rPr>
        <w:fldChar w:fldCharType="begin"/>
      </w:r>
      <w:r w:rsidR="00584C42" w:rsidRPr="00B4149E">
        <w:rPr>
          <w:sz w:val="23"/>
          <w:szCs w:val="23"/>
        </w:rPr>
        <w:instrText xml:space="preserve"> XE "</w:instrText>
      </w:r>
      <w:r w:rsidR="00584C42" w:rsidRPr="00B4149E">
        <w:rPr>
          <w:rFonts w:cs="Times New Roman"/>
          <w:color w:val="000000" w:themeColor="text1"/>
          <w:sz w:val="23"/>
          <w:szCs w:val="23"/>
        </w:rPr>
        <w:instrText>Northumbria</w:instrText>
      </w:r>
      <w:r w:rsidR="00584C42" w:rsidRPr="00B4149E">
        <w:rPr>
          <w:sz w:val="23"/>
          <w:szCs w:val="23"/>
        </w:rPr>
        <w:instrText xml:space="preserve">" </w:instrText>
      </w:r>
      <w:r w:rsidR="00584C42" w:rsidRPr="00B4149E">
        <w:rPr>
          <w:rFonts w:cs="Times New Roman"/>
          <w:sz w:val="23"/>
          <w:szCs w:val="23"/>
        </w:rPr>
        <w:fldChar w:fldCharType="end"/>
      </w:r>
      <w:r w:rsidRPr="00B4149E">
        <w:rPr>
          <w:rFonts w:cs="Times New Roman"/>
          <w:sz w:val="23"/>
          <w:szCs w:val="23"/>
        </w:rPr>
        <w:t xml:space="preserve">. </w:t>
      </w:r>
    </w:p>
    <w:p w14:paraId="778D4923" w14:textId="77777777" w:rsidR="00E801F6" w:rsidRPr="00B4149E" w:rsidRDefault="00E801F6" w:rsidP="007600EA">
      <w:pPr>
        <w:spacing w:line="276" w:lineRule="auto"/>
        <w:rPr>
          <w:rFonts w:cs="Times New Roman"/>
          <w:sz w:val="23"/>
          <w:szCs w:val="23"/>
        </w:rPr>
      </w:pPr>
      <w:r w:rsidRPr="00B4149E">
        <w:rPr>
          <w:rFonts w:cs="Times New Roman"/>
          <w:sz w:val="23"/>
          <w:szCs w:val="23"/>
        </w:rPr>
        <w:t>The many detectorists who have volunteered information and generously provided images.</w:t>
      </w:r>
    </w:p>
    <w:p w14:paraId="010D56C0" w14:textId="67CA0060" w:rsidR="00A515D7" w:rsidRPr="00EC0229" w:rsidRDefault="00E801F6" w:rsidP="007600EA">
      <w:pPr>
        <w:spacing w:line="276" w:lineRule="auto"/>
        <w:rPr>
          <w:rFonts w:cs="Times New Roman"/>
          <w:szCs w:val="24"/>
        </w:rPr>
      </w:pPr>
      <w:r w:rsidRPr="00B4149E">
        <w:rPr>
          <w:rFonts w:cs="Times New Roman"/>
          <w:sz w:val="23"/>
          <w:szCs w:val="23"/>
        </w:rPr>
        <w:t>And last</w:t>
      </w:r>
      <w:r w:rsidR="00F11BD0" w:rsidRPr="00B4149E">
        <w:rPr>
          <w:rFonts w:cs="Times New Roman"/>
          <w:sz w:val="23"/>
          <w:szCs w:val="23"/>
        </w:rPr>
        <w:t>,</w:t>
      </w:r>
      <w:r w:rsidRPr="00B4149E">
        <w:rPr>
          <w:rFonts w:cs="Times New Roman"/>
          <w:sz w:val="23"/>
          <w:szCs w:val="23"/>
        </w:rPr>
        <w:t xml:space="preserve"> but </w:t>
      </w:r>
      <w:r w:rsidR="00F11BD0" w:rsidRPr="00B4149E">
        <w:rPr>
          <w:rFonts w:cs="Times New Roman"/>
          <w:sz w:val="23"/>
          <w:szCs w:val="23"/>
        </w:rPr>
        <w:t xml:space="preserve">very </w:t>
      </w:r>
      <w:r w:rsidRPr="00B4149E">
        <w:rPr>
          <w:rFonts w:cs="Times New Roman"/>
          <w:sz w:val="23"/>
          <w:szCs w:val="23"/>
        </w:rPr>
        <w:t>far from</w:t>
      </w:r>
      <w:r w:rsidR="00A515D7" w:rsidRPr="00B4149E">
        <w:rPr>
          <w:rFonts w:cs="Times New Roman"/>
          <w:sz w:val="23"/>
          <w:szCs w:val="23"/>
        </w:rPr>
        <w:t xml:space="preserve"> least, </w:t>
      </w:r>
      <w:r w:rsidRPr="00B4149E">
        <w:rPr>
          <w:rFonts w:cs="Times New Roman"/>
          <w:sz w:val="23"/>
          <w:szCs w:val="23"/>
        </w:rPr>
        <w:t xml:space="preserve">all those </w:t>
      </w:r>
      <w:r w:rsidR="00182D1C" w:rsidRPr="00B4149E">
        <w:rPr>
          <w:rFonts w:cs="Times New Roman"/>
          <w:sz w:val="23"/>
          <w:szCs w:val="23"/>
        </w:rPr>
        <w:t>who applauded</w:t>
      </w:r>
      <w:r w:rsidRPr="00B4149E">
        <w:rPr>
          <w:rFonts w:cs="Times New Roman"/>
          <w:sz w:val="23"/>
          <w:szCs w:val="23"/>
        </w:rPr>
        <w:t xml:space="preserve"> the </w:t>
      </w:r>
      <w:r w:rsidRPr="00B4149E">
        <w:rPr>
          <w:rFonts w:cs="Times New Roman"/>
          <w:i/>
          <w:sz w:val="23"/>
          <w:szCs w:val="23"/>
        </w:rPr>
        <w:t>Man in the Arena</w:t>
      </w:r>
      <w:r w:rsidRPr="00B4149E">
        <w:rPr>
          <w:rFonts w:cs="Times New Roman"/>
          <w:sz w:val="23"/>
          <w:szCs w:val="23"/>
        </w:rPr>
        <w:t xml:space="preserve">: Jane, Sarah, Ben, Mark, Gillian, Bernard, Barbara, James Booth, Mary Garrison, Owen and Sheila Hartley, Joyce Hill, </w:t>
      </w:r>
      <w:r w:rsidR="00182D1C" w:rsidRPr="00B4149E">
        <w:rPr>
          <w:rFonts w:cs="Times New Roman"/>
          <w:sz w:val="23"/>
          <w:szCs w:val="23"/>
        </w:rPr>
        <w:t xml:space="preserve">Michael Metcalf, </w:t>
      </w:r>
      <w:r w:rsidRPr="00B4149E">
        <w:rPr>
          <w:rFonts w:cs="Times New Roman"/>
          <w:sz w:val="23"/>
          <w:szCs w:val="23"/>
        </w:rPr>
        <w:t xml:space="preserve">Richard Morris, </w:t>
      </w:r>
      <w:r w:rsidR="00B4149E" w:rsidRPr="00B4149E">
        <w:rPr>
          <w:rFonts w:cs="Times New Roman"/>
          <w:sz w:val="23"/>
          <w:szCs w:val="23"/>
        </w:rPr>
        <w:t xml:space="preserve">Julian Richards, </w:t>
      </w:r>
      <w:r w:rsidRPr="00B4149E">
        <w:rPr>
          <w:rFonts w:cs="Times New Roman"/>
          <w:sz w:val="23"/>
          <w:szCs w:val="23"/>
        </w:rPr>
        <w:t>Gareth Wil</w:t>
      </w:r>
      <w:r w:rsidR="00B4149E" w:rsidRPr="00B4149E">
        <w:rPr>
          <w:rFonts w:cs="Times New Roman"/>
          <w:sz w:val="23"/>
          <w:szCs w:val="23"/>
        </w:rPr>
        <w:t>liams and many others.</w:t>
      </w:r>
      <w:r w:rsidR="00A515D7" w:rsidRPr="00EC0229">
        <w:rPr>
          <w:rFonts w:cs="Times New Roman"/>
          <w:szCs w:val="24"/>
        </w:rPr>
        <w:br w:type="page"/>
      </w:r>
    </w:p>
    <w:p w14:paraId="7F709ECE" w14:textId="1CA7FAEF" w:rsidR="00A515D7" w:rsidRPr="00EC0229" w:rsidRDefault="00A515D7" w:rsidP="007600EA">
      <w:pPr>
        <w:pStyle w:val="Heading1"/>
        <w:spacing w:line="276" w:lineRule="auto"/>
      </w:pPr>
      <w:bookmarkStart w:id="17" w:name="Abstract"/>
      <w:bookmarkStart w:id="18" w:name="housestyle"/>
      <w:bookmarkStart w:id="19" w:name="_House_Style"/>
      <w:bookmarkStart w:id="20" w:name="_Ref465159131"/>
      <w:bookmarkStart w:id="21" w:name="_Toc468266725"/>
      <w:bookmarkEnd w:id="17"/>
      <w:bookmarkEnd w:id="18"/>
      <w:bookmarkEnd w:id="19"/>
      <w:r w:rsidRPr="00EC0229">
        <w:lastRenderedPageBreak/>
        <w:t>House Style</w:t>
      </w:r>
      <w:bookmarkEnd w:id="20"/>
      <w:bookmarkEnd w:id="21"/>
      <w:r w:rsidR="00584C42" w:rsidRPr="00EC0229">
        <w:fldChar w:fldCharType="begin"/>
      </w:r>
      <w:r w:rsidR="00584C42" w:rsidRPr="00EC0229">
        <w:instrText xml:space="preserve"> XE </w:instrText>
      </w:r>
      <w:r w:rsidR="00584C42" w:rsidRPr="00EC0229">
        <w:rPr>
          <w:b w:val="0"/>
          <w:sz w:val="24"/>
          <w:szCs w:val="24"/>
        </w:rPr>
        <w:instrText>"</w:instrText>
      </w:r>
      <w:r w:rsidR="00584C42" w:rsidRPr="00EC0229">
        <w:rPr>
          <w:rStyle w:val="Hyperlink"/>
          <w:b w:val="0"/>
          <w:noProof/>
          <w:sz w:val="24"/>
          <w:szCs w:val="24"/>
          <w:u w:val="none"/>
        </w:rPr>
        <w:instrText>House Style</w:instrText>
      </w:r>
      <w:r w:rsidR="00584C42" w:rsidRPr="00EC0229">
        <w:rPr>
          <w:b w:val="0"/>
          <w:sz w:val="24"/>
          <w:szCs w:val="24"/>
        </w:rPr>
        <w:instrText xml:space="preserve">" </w:instrText>
      </w:r>
      <w:r w:rsidR="00584C42" w:rsidRPr="00EC0229">
        <w:fldChar w:fldCharType="end"/>
      </w:r>
    </w:p>
    <w:p w14:paraId="0FD4A8DE" w14:textId="6B772681" w:rsidR="00A515D7" w:rsidRPr="00EC0229" w:rsidRDefault="00A515D7" w:rsidP="007600EA">
      <w:pPr>
        <w:spacing w:line="276" w:lineRule="auto"/>
        <w:rPr>
          <w:rFonts w:cs="Times New Roman"/>
          <w:szCs w:val="24"/>
        </w:rPr>
      </w:pPr>
      <w:r w:rsidRPr="00EC0229">
        <w:rPr>
          <w:rFonts w:cs="Times New Roman"/>
          <w:szCs w:val="24"/>
        </w:rPr>
        <w:t xml:space="preserve">The format follows </w:t>
      </w:r>
      <w:r w:rsidR="00522C37" w:rsidRPr="00EC0229">
        <w:rPr>
          <w:rFonts w:cs="Times New Roman"/>
          <w:szCs w:val="24"/>
        </w:rPr>
        <w:t xml:space="preserve">University of York regulations and, for numismatic conventions, the </w:t>
      </w:r>
      <w:r w:rsidRPr="00EC0229">
        <w:rPr>
          <w:rFonts w:cs="Times New Roman"/>
          <w:szCs w:val="24"/>
        </w:rPr>
        <w:t xml:space="preserve">British Numismatic </w:t>
      </w:r>
      <w:r w:rsidR="00522C37" w:rsidRPr="00EC0229">
        <w:rPr>
          <w:rFonts w:cs="Times New Roman"/>
          <w:szCs w:val="24"/>
        </w:rPr>
        <w:t xml:space="preserve">Journal </w:t>
      </w:r>
      <w:r w:rsidRPr="00EC0229">
        <w:rPr>
          <w:rFonts w:cs="Times New Roman"/>
          <w:szCs w:val="24"/>
        </w:rPr>
        <w:t xml:space="preserve">Guidance Notes available at </w:t>
      </w:r>
      <w:hyperlink r:id="rId14" w:history="1">
        <w:r w:rsidRPr="00EC0229">
          <w:rPr>
            <w:rStyle w:val="Hyperlink"/>
            <w:rFonts w:cs="Times New Roman"/>
            <w:szCs w:val="24"/>
            <w:u w:val="none"/>
          </w:rPr>
          <w:t>http://www.britnumsoc.org/publications/bnj.shtml</w:t>
        </w:r>
      </w:hyperlink>
      <w:r w:rsidR="00F64D23" w:rsidRPr="00EC0229">
        <w:rPr>
          <w:rStyle w:val="Hyperlink"/>
          <w:rFonts w:cs="Times New Roman"/>
          <w:color w:val="000000" w:themeColor="text1"/>
          <w:szCs w:val="24"/>
          <w:u w:val="none"/>
        </w:rPr>
        <w:t>.</w:t>
      </w:r>
      <w:r w:rsidRPr="00EC0229">
        <w:rPr>
          <w:rFonts w:cs="Times New Roman"/>
          <w:szCs w:val="24"/>
        </w:rPr>
        <w:t xml:space="preserve"> </w:t>
      </w:r>
      <w:r w:rsidRPr="00EC0229">
        <w:t>Please note the following:</w:t>
      </w:r>
    </w:p>
    <w:p w14:paraId="6C5F09F0" w14:textId="0B2611A6" w:rsidR="00A515D7" w:rsidRPr="00EC0229" w:rsidRDefault="00604CE1" w:rsidP="007600EA">
      <w:pPr>
        <w:pStyle w:val="ListParagraph"/>
        <w:numPr>
          <w:ilvl w:val="0"/>
          <w:numId w:val="1"/>
        </w:numPr>
        <w:spacing w:line="276" w:lineRule="auto"/>
        <w:rPr>
          <w:rFonts w:cs="Times New Roman"/>
          <w:szCs w:val="24"/>
        </w:rPr>
      </w:pPr>
      <w:r w:rsidRPr="00EC0229">
        <w:rPr>
          <w:rFonts w:cs="Times New Roman"/>
          <w:szCs w:val="24"/>
        </w:rPr>
        <w:t>S</w:t>
      </w:r>
      <w:r w:rsidR="00A515D7" w:rsidRPr="00EC0229">
        <w:rPr>
          <w:rFonts w:cs="Times New Roman"/>
          <w:szCs w:val="24"/>
        </w:rPr>
        <w:t>cale: images are not reproduced to scale.</w:t>
      </w:r>
    </w:p>
    <w:p w14:paraId="150D2C5C" w14:textId="77777777" w:rsidR="00A515D7" w:rsidRPr="00EC0229" w:rsidRDefault="00A515D7" w:rsidP="007600EA">
      <w:pPr>
        <w:pStyle w:val="ListParagraph"/>
        <w:numPr>
          <w:ilvl w:val="0"/>
          <w:numId w:val="1"/>
        </w:numPr>
        <w:spacing w:line="276" w:lineRule="auto"/>
        <w:rPr>
          <w:szCs w:val="24"/>
        </w:rPr>
      </w:pPr>
      <w:r w:rsidRPr="00EC0229">
        <w:rPr>
          <w:rFonts w:cs="Times New Roman"/>
          <w:szCs w:val="24"/>
        </w:rPr>
        <w:t>Source of images: all coin images are from the author’s collection, housed at the Fitzwilliam Museum, Cambridge, unless indicated.</w:t>
      </w:r>
    </w:p>
    <w:p w14:paraId="356B75C0" w14:textId="13E3A3EA" w:rsidR="00A515D7" w:rsidRPr="00EC0229" w:rsidRDefault="00A515D7" w:rsidP="007600EA">
      <w:pPr>
        <w:pStyle w:val="ListParagraph"/>
        <w:numPr>
          <w:ilvl w:val="0"/>
          <w:numId w:val="1"/>
        </w:numPr>
        <w:spacing w:line="276" w:lineRule="auto"/>
        <w:rPr>
          <w:rFonts w:cs="Times New Roman"/>
          <w:szCs w:val="24"/>
        </w:rPr>
      </w:pPr>
      <w:r w:rsidRPr="00EC0229">
        <w:rPr>
          <w:rFonts w:cs="Times New Roman"/>
          <w:szCs w:val="24"/>
        </w:rPr>
        <w:t>Numbers below one hundred are in text format not numeric</w:t>
      </w:r>
      <w:r w:rsidR="002A2776" w:rsidRPr="00EC0229">
        <w:rPr>
          <w:rFonts w:cs="Times New Roman"/>
          <w:szCs w:val="24"/>
        </w:rPr>
        <w:t>, unless page refere</w:t>
      </w:r>
      <w:r w:rsidR="008D43EA" w:rsidRPr="00EC0229">
        <w:rPr>
          <w:rFonts w:cs="Times New Roman"/>
          <w:szCs w:val="24"/>
        </w:rPr>
        <w:t>nces, e.g. (15) or p</w:t>
      </w:r>
      <w:r w:rsidR="004E43C4" w:rsidRPr="00EC0229">
        <w:rPr>
          <w:rFonts w:cs="Times New Roman"/>
          <w:szCs w:val="24"/>
        </w:rPr>
        <w:t>eriod reference</w:t>
      </w:r>
      <w:r w:rsidR="008D43EA" w:rsidRPr="00EC0229">
        <w:rPr>
          <w:rFonts w:cs="Times New Roman"/>
          <w:szCs w:val="24"/>
        </w:rPr>
        <w:t>s,</w:t>
      </w:r>
      <w:r w:rsidR="004E43C4" w:rsidRPr="00EC0229">
        <w:rPr>
          <w:rFonts w:cs="Times New Roman"/>
          <w:szCs w:val="24"/>
        </w:rPr>
        <w:t xml:space="preserve"> e.g. [N9].</w:t>
      </w:r>
    </w:p>
    <w:p w14:paraId="769126A8" w14:textId="77777777" w:rsidR="00A515D7" w:rsidRPr="00EC0229" w:rsidRDefault="00A515D7" w:rsidP="007600EA">
      <w:pPr>
        <w:pStyle w:val="ListParagraph"/>
        <w:numPr>
          <w:ilvl w:val="0"/>
          <w:numId w:val="1"/>
        </w:numPr>
        <w:spacing w:line="276" w:lineRule="auto"/>
        <w:rPr>
          <w:rFonts w:cs="Times New Roman"/>
          <w:szCs w:val="24"/>
        </w:rPr>
      </w:pPr>
      <w:r w:rsidRPr="00EC0229">
        <w:rPr>
          <w:rFonts w:cs="Times New Roman"/>
          <w:szCs w:val="24"/>
        </w:rPr>
        <w:t>In this study references to artefacts exclude coins.</w:t>
      </w:r>
    </w:p>
    <w:p w14:paraId="3984E80D" w14:textId="2AEA3E96" w:rsidR="00A515D7" w:rsidRPr="00EC0229" w:rsidRDefault="00A515D7" w:rsidP="007600EA">
      <w:pPr>
        <w:pStyle w:val="ListParagraph"/>
        <w:numPr>
          <w:ilvl w:val="0"/>
          <w:numId w:val="1"/>
        </w:numPr>
        <w:spacing w:line="276" w:lineRule="auto"/>
        <w:rPr>
          <w:rFonts w:cs="Times New Roman"/>
          <w:szCs w:val="24"/>
        </w:rPr>
      </w:pPr>
      <w:r w:rsidRPr="00EC0229">
        <w:rPr>
          <w:rFonts w:cs="Times New Roman"/>
          <w:szCs w:val="24"/>
        </w:rPr>
        <w:t xml:space="preserve">Secular dating, </w:t>
      </w:r>
      <w:r w:rsidRPr="00EC0229">
        <w:rPr>
          <w:rFonts w:cs="Times New Roman"/>
          <w:sz w:val="20"/>
          <w:szCs w:val="20"/>
        </w:rPr>
        <w:t>BCE</w:t>
      </w:r>
      <w:r w:rsidRPr="00EC0229">
        <w:rPr>
          <w:rFonts w:cs="Times New Roman"/>
          <w:szCs w:val="24"/>
        </w:rPr>
        <w:t xml:space="preserve"> and </w:t>
      </w:r>
      <w:r w:rsidRPr="00EC0229">
        <w:rPr>
          <w:rFonts w:cs="Times New Roman"/>
          <w:sz w:val="20"/>
          <w:szCs w:val="20"/>
        </w:rPr>
        <w:t>CE</w:t>
      </w:r>
      <w:r w:rsidRPr="00EC0229">
        <w:rPr>
          <w:rFonts w:cs="Times New Roman"/>
          <w:szCs w:val="24"/>
        </w:rPr>
        <w:t xml:space="preserve"> (Before Common Era and Common Era), is widely preferred in academic circles over </w:t>
      </w:r>
      <w:r w:rsidRPr="00EC0229">
        <w:rPr>
          <w:rFonts w:cs="Times New Roman"/>
          <w:sz w:val="20"/>
          <w:szCs w:val="20"/>
        </w:rPr>
        <w:t>BC</w:t>
      </w:r>
      <w:r w:rsidRPr="00EC0229">
        <w:rPr>
          <w:rFonts w:cs="Times New Roman"/>
          <w:szCs w:val="24"/>
        </w:rPr>
        <w:t xml:space="preserve"> and </w:t>
      </w:r>
      <w:r w:rsidRPr="00EC0229">
        <w:rPr>
          <w:rFonts w:cs="Times New Roman"/>
          <w:sz w:val="20"/>
          <w:szCs w:val="20"/>
        </w:rPr>
        <w:t>AD</w:t>
      </w:r>
      <w:r w:rsidRPr="00EC0229">
        <w:rPr>
          <w:rFonts w:cs="Times New Roman"/>
          <w:szCs w:val="24"/>
        </w:rPr>
        <w:t xml:space="preserve">. Herein I use only </w:t>
      </w:r>
      <w:r w:rsidRPr="00EC0229">
        <w:rPr>
          <w:rFonts w:cs="Times New Roman"/>
          <w:sz w:val="20"/>
          <w:szCs w:val="20"/>
        </w:rPr>
        <w:t>BCE</w:t>
      </w:r>
      <w:r w:rsidRPr="00EC0229">
        <w:rPr>
          <w:rFonts w:cs="Times New Roman"/>
          <w:szCs w:val="24"/>
        </w:rPr>
        <w:t>.</w:t>
      </w:r>
    </w:p>
    <w:p w14:paraId="776FDD40" w14:textId="0D453290" w:rsidR="00F64D23" w:rsidRPr="00EC0229" w:rsidRDefault="00F64D23" w:rsidP="007600EA">
      <w:pPr>
        <w:pStyle w:val="ListParagraph"/>
        <w:numPr>
          <w:ilvl w:val="0"/>
          <w:numId w:val="1"/>
        </w:numPr>
        <w:spacing w:line="276" w:lineRule="auto"/>
        <w:rPr>
          <w:rFonts w:cs="Times New Roman"/>
          <w:szCs w:val="24"/>
        </w:rPr>
      </w:pPr>
      <w:r w:rsidRPr="00EC0229">
        <w:rPr>
          <w:rFonts w:cs="Times New Roman"/>
          <w:szCs w:val="24"/>
        </w:rPr>
        <w:t>Dating conventions vary</w:t>
      </w:r>
      <w:r w:rsidR="00520AF7" w:rsidRPr="00EC0229">
        <w:rPr>
          <w:rFonts w:cs="Times New Roman"/>
          <w:szCs w:val="24"/>
        </w:rPr>
        <w:t xml:space="preserve"> considerably</w:t>
      </w:r>
      <w:r w:rsidRPr="00EC0229">
        <w:rPr>
          <w:rFonts w:cs="Times New Roman"/>
          <w:szCs w:val="24"/>
        </w:rPr>
        <w:t>. In this thesis</w:t>
      </w:r>
      <w:r w:rsidR="00520AF7" w:rsidRPr="00EC0229">
        <w:rPr>
          <w:rFonts w:cs="Times New Roman"/>
          <w:szCs w:val="24"/>
        </w:rPr>
        <w:t>,</w:t>
      </w:r>
      <w:r w:rsidRPr="00EC0229">
        <w:rPr>
          <w:rFonts w:cs="Times New Roman"/>
          <w:szCs w:val="24"/>
        </w:rPr>
        <w:t xml:space="preserve"> n</w:t>
      </w:r>
      <w:r w:rsidR="00520AF7" w:rsidRPr="00EC0229">
        <w:rPr>
          <w:rFonts w:cs="Times New Roman"/>
          <w:szCs w:val="24"/>
        </w:rPr>
        <w:t>umismatic periods are used as they clearly relate</w:t>
      </w:r>
      <w:r w:rsidRPr="00EC0229">
        <w:rPr>
          <w:rFonts w:cs="Times New Roman"/>
          <w:szCs w:val="24"/>
        </w:rPr>
        <w:t xml:space="preserve"> to </w:t>
      </w:r>
      <w:r w:rsidR="00520AF7" w:rsidRPr="00EC0229">
        <w:rPr>
          <w:rFonts w:cs="Times New Roman"/>
          <w:szCs w:val="24"/>
        </w:rPr>
        <w:t>specific</w:t>
      </w:r>
      <w:r w:rsidRPr="00EC0229">
        <w:rPr>
          <w:rFonts w:cs="Times New Roman"/>
          <w:szCs w:val="24"/>
        </w:rPr>
        <w:t xml:space="preserve"> </w:t>
      </w:r>
      <w:r w:rsidR="00520AF7" w:rsidRPr="00EC0229">
        <w:rPr>
          <w:rFonts w:cs="Times New Roman"/>
          <w:szCs w:val="24"/>
        </w:rPr>
        <w:t>events:</w:t>
      </w:r>
    </w:p>
    <w:tbl>
      <w:tblPr>
        <w:tblW w:w="10624" w:type="dxa"/>
        <w:tblInd w:w="-490" w:type="dxa"/>
        <w:tblCellMar>
          <w:left w:w="0" w:type="dxa"/>
          <w:right w:w="0" w:type="dxa"/>
        </w:tblCellMar>
        <w:tblLook w:val="04A0" w:firstRow="1" w:lastRow="0" w:firstColumn="1" w:lastColumn="0" w:noHBand="0" w:noVBand="1"/>
      </w:tblPr>
      <w:tblGrid>
        <w:gridCol w:w="2209"/>
        <w:gridCol w:w="2689"/>
        <w:gridCol w:w="1379"/>
        <w:gridCol w:w="4347"/>
      </w:tblGrid>
      <w:tr w:rsidR="00F7734E" w:rsidRPr="00EC0229" w14:paraId="19EBDDB9" w14:textId="77777777" w:rsidTr="00F7734E">
        <w:trPr>
          <w:trHeight w:val="109"/>
        </w:trPr>
        <w:tc>
          <w:tcPr>
            <w:tcW w:w="22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3D9B598" w14:textId="77777777" w:rsidR="00591AD9" w:rsidRPr="00EC0229" w:rsidRDefault="00591AD9" w:rsidP="007600EA">
            <w:pPr>
              <w:spacing w:before="100" w:beforeAutospacing="1" w:after="100" w:afterAutospacing="1" w:line="276" w:lineRule="auto"/>
              <w:jc w:val="left"/>
              <w:rPr>
                <w:rFonts w:eastAsia="Times New Roman" w:cs="Times New Roman"/>
                <w:sz w:val="20"/>
                <w:szCs w:val="20"/>
                <w:lang w:eastAsia="en-GB"/>
              </w:rPr>
            </w:pPr>
            <w:r w:rsidRPr="00EC0229">
              <w:rPr>
                <w:rFonts w:eastAsia="Times New Roman" w:cs="Times New Roman"/>
                <w:b/>
                <w:bCs/>
                <w:sz w:val="20"/>
                <w:szCs w:val="20"/>
                <w:lang w:eastAsia="en-GB"/>
              </w:rPr>
              <w:t>Period</w:t>
            </w:r>
          </w:p>
        </w:tc>
        <w:tc>
          <w:tcPr>
            <w:tcW w:w="268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2184D74" w14:textId="77777777"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b/>
                <w:bCs/>
                <w:sz w:val="20"/>
                <w:szCs w:val="20"/>
                <w:lang w:eastAsia="en-GB"/>
              </w:rPr>
              <w:t>Archaeological/Historical</w:t>
            </w:r>
          </w:p>
        </w:tc>
        <w:tc>
          <w:tcPr>
            <w:tcW w:w="1379" w:type="dxa"/>
            <w:tcBorders>
              <w:top w:val="single" w:sz="8" w:space="0" w:color="auto"/>
              <w:left w:val="nil"/>
              <w:bottom w:val="single" w:sz="8" w:space="0" w:color="auto"/>
              <w:right w:val="nil"/>
            </w:tcBorders>
          </w:tcPr>
          <w:p w14:paraId="4A1DC9BE" w14:textId="47EB92AC" w:rsidR="00591AD9" w:rsidRPr="00EC0229" w:rsidRDefault="00F7734E" w:rsidP="007600EA">
            <w:pPr>
              <w:spacing w:before="100" w:beforeAutospacing="1" w:after="100" w:afterAutospacing="1" w:line="276" w:lineRule="auto"/>
              <w:jc w:val="right"/>
              <w:rPr>
                <w:rFonts w:eastAsia="Times New Roman" w:cs="Times New Roman"/>
                <w:b/>
                <w:bCs/>
                <w:sz w:val="20"/>
                <w:szCs w:val="20"/>
                <w:lang w:eastAsia="en-GB"/>
              </w:rPr>
            </w:pPr>
            <w:r w:rsidRPr="00EC0229">
              <w:rPr>
                <w:rFonts w:eastAsia="Times New Roman" w:cs="Times New Roman"/>
                <w:b/>
                <w:bCs/>
                <w:i/>
                <w:sz w:val="20"/>
                <w:szCs w:val="20"/>
                <w:lang w:eastAsia="en-GB"/>
              </w:rPr>
              <w:t>VASLE</w:t>
            </w:r>
          </w:p>
        </w:tc>
        <w:tc>
          <w:tcPr>
            <w:tcW w:w="434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9602EB0" w14:textId="71D66CEE"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b/>
                <w:bCs/>
                <w:sz w:val="20"/>
                <w:szCs w:val="20"/>
                <w:lang w:eastAsia="en-GB"/>
              </w:rPr>
              <w:t>Numismatics</w:t>
            </w:r>
          </w:p>
        </w:tc>
      </w:tr>
      <w:tr w:rsidR="00F7734E" w:rsidRPr="00EC0229" w14:paraId="78DC17C8" w14:textId="77777777" w:rsidTr="00F7734E">
        <w:trPr>
          <w:trHeight w:val="355"/>
        </w:trPr>
        <w:tc>
          <w:tcPr>
            <w:tcW w:w="22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50702C" w14:textId="77777777" w:rsidR="00591AD9" w:rsidRPr="00EC0229" w:rsidRDefault="00591AD9" w:rsidP="00604CE1">
            <w:pPr>
              <w:pStyle w:val="NoSpacing"/>
              <w:rPr>
                <w:rFonts w:eastAsia="Times New Roman"/>
                <w:sz w:val="20"/>
                <w:szCs w:val="20"/>
                <w:lang w:eastAsia="en-GB"/>
              </w:rPr>
            </w:pPr>
            <w:r w:rsidRPr="00EC0229">
              <w:rPr>
                <w:rFonts w:eastAsia="Times New Roman"/>
                <w:sz w:val="20"/>
                <w:szCs w:val="20"/>
                <w:lang w:eastAsia="en-GB"/>
              </w:rPr>
              <w:t xml:space="preserve">Early Anglo-Saxon </w:t>
            </w:r>
          </w:p>
          <w:p w14:paraId="08A5B623" w14:textId="40981452" w:rsidR="00591AD9" w:rsidRPr="00EC0229" w:rsidRDefault="00591AD9" w:rsidP="00604CE1">
            <w:pPr>
              <w:pStyle w:val="NoSpacing"/>
              <w:rPr>
                <w:rFonts w:eastAsia="Times New Roman"/>
                <w:sz w:val="20"/>
                <w:szCs w:val="20"/>
                <w:lang w:eastAsia="en-GB"/>
              </w:rPr>
            </w:pPr>
            <w:r w:rsidRPr="00EC0229">
              <w:rPr>
                <w:rFonts w:eastAsia="Times New Roman"/>
                <w:sz w:val="20"/>
                <w:szCs w:val="20"/>
                <w:lang w:eastAsia="en-GB"/>
              </w:rPr>
              <w:t>(or archaically Pagan Anglo-Saxon)</w:t>
            </w:r>
          </w:p>
        </w:tc>
        <w:tc>
          <w:tcPr>
            <w:tcW w:w="2689" w:type="dxa"/>
            <w:tcBorders>
              <w:top w:val="nil"/>
              <w:left w:val="nil"/>
              <w:bottom w:val="single" w:sz="8" w:space="0" w:color="auto"/>
              <w:right w:val="single" w:sz="8" w:space="0" w:color="auto"/>
            </w:tcBorders>
            <w:tcMar>
              <w:top w:w="0" w:type="dxa"/>
              <w:left w:w="108" w:type="dxa"/>
              <w:bottom w:w="0" w:type="dxa"/>
              <w:right w:w="108" w:type="dxa"/>
            </w:tcMar>
            <w:hideMark/>
          </w:tcPr>
          <w:p w14:paraId="58490B78" w14:textId="45A08BBE"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i/>
                <w:iCs/>
                <w:sz w:val="20"/>
                <w:szCs w:val="20"/>
                <w:lang w:eastAsia="en-GB"/>
              </w:rPr>
              <w:t>c.</w:t>
            </w:r>
            <w:r w:rsidRPr="00EC0229">
              <w:rPr>
                <w:rFonts w:eastAsia="Times New Roman" w:cs="Times New Roman"/>
                <w:sz w:val="20"/>
                <w:szCs w:val="20"/>
                <w:lang w:eastAsia="en-GB"/>
              </w:rPr>
              <w:t>400</w:t>
            </w:r>
            <w:r w:rsidR="00AB6635">
              <w:rPr>
                <w:rFonts w:eastAsia="Times New Roman" w:cs="Times New Roman"/>
                <w:sz w:val="20"/>
                <w:szCs w:val="20"/>
                <w:lang w:eastAsia="en-GB"/>
              </w:rPr>
              <w:t>-</w:t>
            </w:r>
            <w:r w:rsidRPr="00EC0229">
              <w:rPr>
                <w:rFonts w:eastAsia="Times New Roman" w:cs="Times New Roman"/>
                <w:i/>
                <w:iCs/>
                <w:sz w:val="20"/>
                <w:szCs w:val="20"/>
                <w:lang w:eastAsia="en-GB"/>
              </w:rPr>
              <w:t>c.</w:t>
            </w:r>
            <w:r w:rsidRPr="00EC0229">
              <w:rPr>
                <w:rFonts w:eastAsia="Times New Roman" w:cs="Times New Roman"/>
                <w:sz w:val="20"/>
                <w:szCs w:val="20"/>
                <w:lang w:eastAsia="en-GB"/>
              </w:rPr>
              <w:t xml:space="preserve">650 </w:t>
            </w:r>
          </w:p>
          <w:p w14:paraId="0549E1A0" w14:textId="77777777"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sz w:val="20"/>
                <w:szCs w:val="20"/>
                <w:lang w:eastAsia="en-GB"/>
              </w:rPr>
              <w:t> </w:t>
            </w:r>
          </w:p>
        </w:tc>
        <w:tc>
          <w:tcPr>
            <w:tcW w:w="1379" w:type="dxa"/>
            <w:tcBorders>
              <w:top w:val="nil"/>
              <w:left w:val="nil"/>
              <w:bottom w:val="single" w:sz="8" w:space="0" w:color="auto"/>
              <w:right w:val="nil"/>
            </w:tcBorders>
          </w:tcPr>
          <w:p w14:paraId="127442DD" w14:textId="76BC1E72" w:rsidR="00591AD9" w:rsidRPr="00EC0229" w:rsidRDefault="00F7734E" w:rsidP="00F7734E">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iCs/>
                <w:sz w:val="20"/>
                <w:szCs w:val="20"/>
                <w:lang w:eastAsia="en-GB"/>
              </w:rPr>
              <w:t xml:space="preserve">              </w:t>
            </w:r>
            <w:r w:rsidR="00AB6635">
              <w:rPr>
                <w:rFonts w:eastAsia="Times New Roman" w:cs="Times New Roman"/>
                <w:iCs/>
                <w:sz w:val="20"/>
                <w:szCs w:val="20"/>
                <w:lang w:eastAsia="en-GB"/>
              </w:rPr>
              <w:t>-</w:t>
            </w:r>
            <w:r w:rsidRPr="00EC0229">
              <w:rPr>
                <w:rFonts w:eastAsia="Times New Roman" w:cs="Times New Roman"/>
                <w:i/>
                <w:iCs/>
                <w:sz w:val="20"/>
                <w:szCs w:val="20"/>
                <w:lang w:eastAsia="en-GB"/>
              </w:rPr>
              <w:t>c</w:t>
            </w:r>
            <w:r w:rsidRPr="00EC0229">
              <w:rPr>
                <w:rFonts w:eastAsia="Times New Roman" w:cs="Times New Roman"/>
                <w:iCs/>
                <w:sz w:val="20"/>
                <w:szCs w:val="20"/>
                <w:lang w:eastAsia="en-GB"/>
              </w:rPr>
              <w:t>.450</w:t>
            </w:r>
          </w:p>
        </w:tc>
        <w:tc>
          <w:tcPr>
            <w:tcW w:w="4347" w:type="dxa"/>
            <w:tcBorders>
              <w:top w:val="nil"/>
              <w:left w:val="nil"/>
              <w:bottom w:val="single" w:sz="8" w:space="0" w:color="auto"/>
              <w:right w:val="single" w:sz="8" w:space="0" w:color="auto"/>
            </w:tcBorders>
            <w:tcMar>
              <w:top w:w="0" w:type="dxa"/>
              <w:left w:w="108" w:type="dxa"/>
              <w:bottom w:w="0" w:type="dxa"/>
              <w:right w:w="108" w:type="dxa"/>
            </w:tcMar>
            <w:hideMark/>
          </w:tcPr>
          <w:p w14:paraId="7E61613B" w14:textId="689F7E83"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i/>
                <w:iCs/>
                <w:sz w:val="20"/>
                <w:szCs w:val="20"/>
                <w:lang w:eastAsia="en-GB"/>
              </w:rPr>
              <w:t>c.</w:t>
            </w:r>
            <w:r w:rsidRPr="00EC0229">
              <w:rPr>
                <w:rFonts w:eastAsia="Times New Roman" w:cs="Times New Roman"/>
                <w:sz w:val="20"/>
                <w:szCs w:val="20"/>
                <w:lang w:eastAsia="en-GB"/>
              </w:rPr>
              <w:t>575</w:t>
            </w:r>
            <w:r w:rsidR="00AB6635">
              <w:rPr>
                <w:rFonts w:eastAsia="Times New Roman" w:cs="Times New Roman"/>
                <w:sz w:val="20"/>
                <w:szCs w:val="20"/>
                <w:lang w:eastAsia="en-GB"/>
              </w:rPr>
              <w:t>-</w:t>
            </w:r>
            <w:r w:rsidRPr="00EC0229">
              <w:rPr>
                <w:rFonts w:eastAsia="Times New Roman" w:cs="Times New Roman"/>
                <w:i/>
                <w:iCs/>
                <w:sz w:val="20"/>
                <w:szCs w:val="20"/>
                <w:lang w:eastAsia="en-GB"/>
              </w:rPr>
              <w:t>c.</w:t>
            </w:r>
            <w:r w:rsidRPr="00EC0229">
              <w:rPr>
                <w:rFonts w:eastAsia="Times New Roman" w:cs="Times New Roman"/>
                <w:sz w:val="20"/>
                <w:szCs w:val="20"/>
                <w:lang w:eastAsia="en-GB"/>
              </w:rPr>
              <w:t>750 (transition to broad penny) plus Northumbria to 867</w:t>
            </w:r>
          </w:p>
        </w:tc>
      </w:tr>
      <w:tr w:rsidR="00F7734E" w:rsidRPr="00EC0229" w14:paraId="34C0E58D" w14:textId="77777777" w:rsidTr="00F7734E">
        <w:trPr>
          <w:trHeight w:val="220"/>
        </w:trPr>
        <w:tc>
          <w:tcPr>
            <w:tcW w:w="22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45637C" w14:textId="77777777" w:rsidR="00591AD9" w:rsidRPr="00EC0229" w:rsidRDefault="00591AD9" w:rsidP="00604CE1">
            <w:pPr>
              <w:pStyle w:val="NoSpacing"/>
              <w:rPr>
                <w:sz w:val="20"/>
                <w:szCs w:val="20"/>
              </w:rPr>
            </w:pPr>
            <w:r w:rsidRPr="00EC0229">
              <w:rPr>
                <w:sz w:val="20"/>
                <w:szCs w:val="20"/>
              </w:rPr>
              <w:t xml:space="preserve">Middle Saxon </w:t>
            </w:r>
          </w:p>
          <w:p w14:paraId="2E893D88" w14:textId="09F50174" w:rsidR="00591AD9" w:rsidRPr="00EC0229" w:rsidRDefault="00591AD9" w:rsidP="00604CE1">
            <w:pPr>
              <w:pStyle w:val="NoSpacing"/>
              <w:rPr>
                <w:rFonts w:eastAsia="Times New Roman"/>
                <w:sz w:val="20"/>
                <w:szCs w:val="20"/>
                <w:lang w:eastAsia="en-GB"/>
              </w:rPr>
            </w:pPr>
            <w:r w:rsidRPr="00EC0229">
              <w:rPr>
                <w:sz w:val="20"/>
                <w:szCs w:val="20"/>
              </w:rPr>
              <w:t>(Yorkshire ‘Anglian’)</w:t>
            </w:r>
          </w:p>
        </w:tc>
        <w:tc>
          <w:tcPr>
            <w:tcW w:w="2689" w:type="dxa"/>
            <w:tcBorders>
              <w:top w:val="nil"/>
              <w:left w:val="nil"/>
              <w:bottom w:val="single" w:sz="8" w:space="0" w:color="auto"/>
              <w:right w:val="single" w:sz="8" w:space="0" w:color="auto"/>
            </w:tcBorders>
            <w:tcMar>
              <w:top w:w="0" w:type="dxa"/>
              <w:left w:w="108" w:type="dxa"/>
              <w:bottom w:w="0" w:type="dxa"/>
              <w:right w:w="108" w:type="dxa"/>
            </w:tcMar>
            <w:hideMark/>
          </w:tcPr>
          <w:p w14:paraId="620A5735" w14:textId="1B7AB399" w:rsidR="00591AD9" w:rsidRPr="00EC0229" w:rsidRDefault="00591AD9" w:rsidP="00604CE1">
            <w:pPr>
              <w:pStyle w:val="NoSpacing"/>
              <w:jc w:val="right"/>
              <w:rPr>
                <w:rFonts w:eastAsia="Times New Roman"/>
                <w:sz w:val="20"/>
                <w:szCs w:val="20"/>
                <w:lang w:eastAsia="en-GB"/>
              </w:rPr>
            </w:pPr>
            <w:r w:rsidRPr="00EC0229">
              <w:rPr>
                <w:rFonts w:eastAsia="Times New Roman"/>
                <w:i/>
                <w:iCs/>
                <w:sz w:val="20"/>
                <w:szCs w:val="20"/>
                <w:lang w:eastAsia="en-GB"/>
              </w:rPr>
              <w:t>c</w:t>
            </w:r>
            <w:r w:rsidRPr="00EC0229">
              <w:rPr>
                <w:rFonts w:eastAsia="Times New Roman"/>
                <w:sz w:val="20"/>
                <w:szCs w:val="20"/>
                <w:lang w:eastAsia="en-GB"/>
              </w:rPr>
              <w:t xml:space="preserve">.650 – </w:t>
            </w:r>
            <w:r w:rsidRPr="00EC0229">
              <w:rPr>
                <w:rFonts w:eastAsia="Times New Roman"/>
                <w:i/>
                <w:iCs/>
                <w:sz w:val="20"/>
                <w:szCs w:val="20"/>
                <w:lang w:eastAsia="en-GB"/>
              </w:rPr>
              <w:t>c</w:t>
            </w:r>
            <w:r w:rsidRPr="00EC0229">
              <w:rPr>
                <w:rFonts w:eastAsia="Times New Roman"/>
                <w:sz w:val="20"/>
                <w:szCs w:val="20"/>
                <w:lang w:eastAsia="en-GB"/>
              </w:rPr>
              <w:t>.800</w:t>
            </w:r>
          </w:p>
          <w:p w14:paraId="41C06D10" w14:textId="77777777" w:rsidR="00591AD9" w:rsidRPr="00EC0229" w:rsidRDefault="00591AD9" w:rsidP="00604CE1">
            <w:pPr>
              <w:pStyle w:val="NoSpacing"/>
              <w:jc w:val="right"/>
              <w:rPr>
                <w:rFonts w:eastAsia="Times New Roman"/>
                <w:sz w:val="20"/>
                <w:szCs w:val="20"/>
                <w:lang w:eastAsia="en-GB"/>
              </w:rPr>
            </w:pPr>
            <w:r w:rsidRPr="00EC0229">
              <w:rPr>
                <w:rFonts w:eastAsia="Times New Roman"/>
                <w:sz w:val="20"/>
                <w:szCs w:val="20"/>
                <w:lang w:eastAsia="en-GB"/>
              </w:rPr>
              <w:t> </w:t>
            </w:r>
          </w:p>
        </w:tc>
        <w:tc>
          <w:tcPr>
            <w:tcW w:w="1379" w:type="dxa"/>
            <w:tcBorders>
              <w:top w:val="nil"/>
              <w:left w:val="nil"/>
              <w:bottom w:val="single" w:sz="8" w:space="0" w:color="auto"/>
              <w:right w:val="nil"/>
            </w:tcBorders>
          </w:tcPr>
          <w:p w14:paraId="2166F5FC" w14:textId="4ADD92ED" w:rsidR="00F7734E" w:rsidRPr="00EC0229" w:rsidRDefault="00F7734E" w:rsidP="00F7734E">
            <w:pPr>
              <w:pStyle w:val="NoSpacing"/>
              <w:jc w:val="right"/>
              <w:rPr>
                <w:rFonts w:eastAsia="Times New Roman"/>
                <w:sz w:val="20"/>
                <w:szCs w:val="20"/>
                <w:lang w:eastAsia="en-GB"/>
              </w:rPr>
            </w:pPr>
            <w:r w:rsidRPr="00EC0229">
              <w:rPr>
                <w:rFonts w:eastAsia="Times New Roman"/>
                <w:i/>
                <w:iCs/>
                <w:sz w:val="20"/>
                <w:szCs w:val="20"/>
                <w:lang w:eastAsia="en-GB"/>
              </w:rPr>
              <w:t>c</w:t>
            </w:r>
            <w:r w:rsidRPr="00EC0229">
              <w:rPr>
                <w:rFonts w:eastAsia="Times New Roman"/>
                <w:sz w:val="20"/>
                <w:szCs w:val="20"/>
                <w:lang w:eastAsia="en-GB"/>
              </w:rPr>
              <w:t xml:space="preserve">.450 – </w:t>
            </w:r>
            <w:r w:rsidRPr="00EC0229">
              <w:rPr>
                <w:rFonts w:eastAsia="Times New Roman"/>
                <w:i/>
                <w:iCs/>
                <w:sz w:val="20"/>
                <w:szCs w:val="20"/>
                <w:lang w:eastAsia="en-GB"/>
              </w:rPr>
              <w:t>c</w:t>
            </w:r>
            <w:r w:rsidRPr="00EC0229">
              <w:rPr>
                <w:rFonts w:eastAsia="Times New Roman"/>
                <w:sz w:val="20"/>
                <w:szCs w:val="20"/>
                <w:lang w:eastAsia="en-GB"/>
              </w:rPr>
              <w:t>.850</w:t>
            </w:r>
          </w:p>
          <w:p w14:paraId="49939942" w14:textId="77777777" w:rsidR="00591AD9" w:rsidRPr="00EC0229" w:rsidRDefault="00591AD9" w:rsidP="00604CE1">
            <w:pPr>
              <w:pStyle w:val="NoSpacing"/>
              <w:jc w:val="right"/>
              <w:rPr>
                <w:rFonts w:eastAsia="Times New Roman"/>
                <w:iCs/>
                <w:sz w:val="20"/>
                <w:szCs w:val="20"/>
                <w:lang w:eastAsia="en-GB"/>
              </w:rPr>
            </w:pPr>
          </w:p>
        </w:tc>
        <w:tc>
          <w:tcPr>
            <w:tcW w:w="4347" w:type="dxa"/>
            <w:tcBorders>
              <w:top w:val="nil"/>
              <w:left w:val="nil"/>
              <w:bottom w:val="single" w:sz="8" w:space="0" w:color="auto"/>
              <w:right w:val="single" w:sz="8" w:space="0" w:color="auto"/>
            </w:tcBorders>
            <w:tcMar>
              <w:top w:w="0" w:type="dxa"/>
              <w:left w:w="108" w:type="dxa"/>
              <w:bottom w:w="0" w:type="dxa"/>
              <w:right w:w="108" w:type="dxa"/>
            </w:tcMar>
            <w:hideMark/>
          </w:tcPr>
          <w:p w14:paraId="0E24CC5E" w14:textId="304B088B" w:rsidR="00591AD9" w:rsidRPr="00EC0229" w:rsidRDefault="00591AD9" w:rsidP="00604CE1">
            <w:pPr>
              <w:pStyle w:val="NoSpacing"/>
              <w:jc w:val="right"/>
              <w:rPr>
                <w:rFonts w:eastAsia="Times New Roman"/>
                <w:sz w:val="20"/>
                <w:szCs w:val="20"/>
                <w:lang w:eastAsia="en-GB"/>
              </w:rPr>
            </w:pPr>
            <w:r w:rsidRPr="00EC0229">
              <w:rPr>
                <w:rFonts w:eastAsia="Times New Roman"/>
                <w:i/>
                <w:iCs/>
                <w:sz w:val="20"/>
                <w:szCs w:val="20"/>
                <w:lang w:eastAsia="en-GB"/>
              </w:rPr>
              <w:t>c.</w:t>
            </w:r>
            <w:r w:rsidRPr="00EC0229">
              <w:rPr>
                <w:rFonts w:eastAsia="Times New Roman"/>
                <w:sz w:val="20"/>
                <w:szCs w:val="20"/>
                <w:lang w:eastAsia="en-GB"/>
              </w:rPr>
              <w:t>750 – 973 (reform of Eadgar)</w:t>
            </w:r>
          </w:p>
        </w:tc>
      </w:tr>
      <w:tr w:rsidR="00F7734E" w:rsidRPr="00EC0229" w14:paraId="46EBC739" w14:textId="77777777" w:rsidTr="00F7734E">
        <w:trPr>
          <w:trHeight w:val="248"/>
        </w:trPr>
        <w:tc>
          <w:tcPr>
            <w:tcW w:w="22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E1C560" w14:textId="77777777" w:rsidR="00591AD9" w:rsidRPr="00EC0229" w:rsidRDefault="00591AD9" w:rsidP="007600EA">
            <w:pPr>
              <w:pStyle w:val="NoSpacing"/>
              <w:spacing w:line="276" w:lineRule="auto"/>
              <w:jc w:val="left"/>
              <w:rPr>
                <w:rFonts w:eastAsia="Times New Roman"/>
                <w:sz w:val="20"/>
                <w:szCs w:val="20"/>
                <w:lang w:eastAsia="en-GB"/>
              </w:rPr>
            </w:pPr>
            <w:r w:rsidRPr="00EC0229">
              <w:rPr>
                <w:rFonts w:eastAsia="Times New Roman"/>
                <w:sz w:val="20"/>
                <w:szCs w:val="20"/>
                <w:lang w:eastAsia="en-GB"/>
              </w:rPr>
              <w:t xml:space="preserve">Late Saxon </w:t>
            </w:r>
          </w:p>
          <w:p w14:paraId="67331CED" w14:textId="3F0FBD66" w:rsidR="00591AD9" w:rsidRPr="00EC0229" w:rsidRDefault="00591AD9" w:rsidP="007600EA">
            <w:pPr>
              <w:pStyle w:val="NoSpacing"/>
              <w:spacing w:line="276" w:lineRule="auto"/>
              <w:jc w:val="left"/>
              <w:rPr>
                <w:rFonts w:eastAsia="Times New Roman"/>
                <w:sz w:val="20"/>
                <w:szCs w:val="20"/>
                <w:lang w:eastAsia="en-GB"/>
              </w:rPr>
            </w:pPr>
            <w:r w:rsidRPr="00EC0229">
              <w:rPr>
                <w:rFonts w:eastAsia="Times New Roman"/>
                <w:sz w:val="20"/>
                <w:szCs w:val="20"/>
                <w:lang w:eastAsia="en-GB"/>
              </w:rPr>
              <w:t>(Yorkshire ‘Anglo-Scandinavian’)</w:t>
            </w:r>
          </w:p>
        </w:tc>
        <w:tc>
          <w:tcPr>
            <w:tcW w:w="2689" w:type="dxa"/>
            <w:tcBorders>
              <w:top w:val="nil"/>
              <w:left w:val="nil"/>
              <w:bottom w:val="single" w:sz="8" w:space="0" w:color="auto"/>
              <w:right w:val="single" w:sz="8" w:space="0" w:color="auto"/>
            </w:tcBorders>
            <w:tcMar>
              <w:top w:w="0" w:type="dxa"/>
              <w:left w:w="108" w:type="dxa"/>
              <w:bottom w:w="0" w:type="dxa"/>
              <w:right w:w="108" w:type="dxa"/>
            </w:tcMar>
            <w:hideMark/>
          </w:tcPr>
          <w:p w14:paraId="2EE98D9C" w14:textId="2B733716"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i/>
                <w:iCs/>
                <w:sz w:val="20"/>
                <w:szCs w:val="20"/>
                <w:lang w:eastAsia="en-GB"/>
              </w:rPr>
              <w:t>c</w:t>
            </w:r>
            <w:r w:rsidRPr="00EC0229">
              <w:rPr>
                <w:rFonts w:eastAsia="Times New Roman" w:cs="Times New Roman"/>
                <w:sz w:val="20"/>
                <w:szCs w:val="20"/>
                <w:lang w:eastAsia="en-GB"/>
              </w:rPr>
              <w:t>.800</w:t>
            </w:r>
            <w:r w:rsidR="00AB6635">
              <w:rPr>
                <w:rFonts w:eastAsia="Times New Roman" w:cs="Times New Roman"/>
                <w:sz w:val="20"/>
                <w:szCs w:val="20"/>
                <w:lang w:eastAsia="en-GB"/>
              </w:rPr>
              <w:t>-</w:t>
            </w:r>
            <w:r w:rsidRPr="00EC0229">
              <w:rPr>
                <w:rFonts w:eastAsia="Times New Roman" w:cs="Times New Roman"/>
                <w:sz w:val="20"/>
                <w:szCs w:val="20"/>
                <w:lang w:eastAsia="en-GB"/>
              </w:rPr>
              <w:t xml:space="preserve">1066 </w:t>
            </w:r>
          </w:p>
          <w:p w14:paraId="50EA6786" w14:textId="77777777"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sz w:val="20"/>
                <w:szCs w:val="20"/>
                <w:lang w:eastAsia="en-GB"/>
              </w:rPr>
              <w:t> </w:t>
            </w:r>
          </w:p>
        </w:tc>
        <w:tc>
          <w:tcPr>
            <w:tcW w:w="1379" w:type="dxa"/>
            <w:tcBorders>
              <w:top w:val="nil"/>
              <w:left w:val="nil"/>
              <w:bottom w:val="single" w:sz="8" w:space="0" w:color="auto"/>
              <w:right w:val="nil"/>
            </w:tcBorders>
          </w:tcPr>
          <w:p w14:paraId="73F07841" w14:textId="12D4B227" w:rsidR="00F7734E" w:rsidRPr="00EC0229" w:rsidRDefault="00F7734E" w:rsidP="00F7734E">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i/>
                <w:iCs/>
                <w:sz w:val="20"/>
                <w:szCs w:val="20"/>
                <w:lang w:eastAsia="en-GB"/>
              </w:rPr>
              <w:t>c</w:t>
            </w:r>
            <w:r w:rsidRPr="00EC0229">
              <w:rPr>
                <w:rFonts w:eastAsia="Times New Roman" w:cs="Times New Roman"/>
                <w:sz w:val="20"/>
                <w:szCs w:val="20"/>
                <w:lang w:eastAsia="en-GB"/>
              </w:rPr>
              <w:t>.850</w:t>
            </w:r>
            <w:r w:rsidR="00AB6635">
              <w:rPr>
                <w:rFonts w:eastAsia="Times New Roman" w:cs="Times New Roman"/>
                <w:sz w:val="20"/>
                <w:szCs w:val="20"/>
                <w:lang w:eastAsia="en-GB"/>
              </w:rPr>
              <w:t>-</w:t>
            </w:r>
            <w:r w:rsidRPr="00EC0229">
              <w:rPr>
                <w:rFonts w:eastAsia="Times New Roman" w:cs="Times New Roman"/>
                <w:sz w:val="20"/>
                <w:szCs w:val="20"/>
                <w:lang w:eastAsia="en-GB"/>
              </w:rPr>
              <w:t xml:space="preserve">1066 </w:t>
            </w:r>
          </w:p>
          <w:p w14:paraId="35973622" w14:textId="77777777"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p>
        </w:tc>
        <w:tc>
          <w:tcPr>
            <w:tcW w:w="4347" w:type="dxa"/>
            <w:tcBorders>
              <w:top w:val="nil"/>
              <w:left w:val="nil"/>
              <w:bottom w:val="single" w:sz="8" w:space="0" w:color="auto"/>
              <w:right w:val="single" w:sz="8" w:space="0" w:color="auto"/>
            </w:tcBorders>
            <w:tcMar>
              <w:top w:w="0" w:type="dxa"/>
              <w:left w:w="108" w:type="dxa"/>
              <w:bottom w:w="0" w:type="dxa"/>
              <w:right w:w="108" w:type="dxa"/>
            </w:tcMar>
            <w:hideMark/>
          </w:tcPr>
          <w:p w14:paraId="4B924EF4" w14:textId="7D7FCF9D" w:rsidR="00591AD9" w:rsidRPr="00EC0229" w:rsidRDefault="00591AD9" w:rsidP="007600EA">
            <w:pPr>
              <w:spacing w:before="100" w:beforeAutospacing="1" w:after="100" w:afterAutospacing="1" w:line="276" w:lineRule="auto"/>
              <w:jc w:val="right"/>
              <w:rPr>
                <w:rFonts w:eastAsia="Times New Roman" w:cs="Times New Roman"/>
                <w:sz w:val="20"/>
                <w:szCs w:val="20"/>
                <w:lang w:eastAsia="en-GB"/>
              </w:rPr>
            </w:pPr>
            <w:r w:rsidRPr="00EC0229">
              <w:rPr>
                <w:rFonts w:eastAsia="Times New Roman" w:cs="Times New Roman"/>
                <w:sz w:val="20"/>
                <w:szCs w:val="20"/>
                <w:lang w:eastAsia="en-GB"/>
              </w:rPr>
              <w:t>973</w:t>
            </w:r>
            <w:r w:rsidR="00AB6635">
              <w:rPr>
                <w:rFonts w:eastAsia="Times New Roman" w:cs="Times New Roman"/>
                <w:sz w:val="20"/>
                <w:szCs w:val="20"/>
                <w:lang w:eastAsia="en-GB"/>
              </w:rPr>
              <w:t>-</w:t>
            </w:r>
            <w:r w:rsidRPr="00EC0229">
              <w:rPr>
                <w:rFonts w:eastAsia="Times New Roman" w:cs="Times New Roman"/>
                <w:sz w:val="20"/>
                <w:szCs w:val="20"/>
                <w:lang w:eastAsia="en-GB"/>
              </w:rPr>
              <w:t>1066</w:t>
            </w:r>
          </w:p>
        </w:tc>
      </w:tr>
    </w:tbl>
    <w:p w14:paraId="48DDBE42" w14:textId="71AD46A4" w:rsidR="00F64D23" w:rsidRPr="00EC0229" w:rsidRDefault="00A515D7" w:rsidP="00604CE1">
      <w:pPr>
        <w:pStyle w:val="ListParagraph"/>
        <w:numPr>
          <w:ilvl w:val="0"/>
          <w:numId w:val="1"/>
        </w:numPr>
        <w:spacing w:line="276" w:lineRule="auto"/>
        <w:rPr>
          <w:szCs w:val="24"/>
        </w:rPr>
      </w:pPr>
      <w:r w:rsidRPr="00EC0229">
        <w:rPr>
          <w:rFonts w:cs="Times New Roman"/>
          <w:color w:val="000000" w:themeColor="text1"/>
          <w:szCs w:val="24"/>
        </w:rPr>
        <w:t>Although the term ‘early penny</w:t>
      </w:r>
      <w:r w:rsidR="00D142DC" w:rsidRPr="00EC0229">
        <w:rPr>
          <w:rFonts w:cs="Times New Roman"/>
          <w:color w:val="000000" w:themeColor="text1"/>
          <w:szCs w:val="24"/>
        </w:rPr>
        <w:fldChar w:fldCharType="begin"/>
      </w:r>
      <w:r w:rsidR="00D142DC" w:rsidRPr="00EC0229">
        <w:instrText xml:space="preserve"> XE "penny" </w:instrText>
      </w:r>
      <w:r w:rsidR="00D142DC" w:rsidRPr="00EC0229">
        <w:rPr>
          <w:rFonts w:cs="Times New Roman"/>
          <w:color w:val="000000" w:themeColor="text1"/>
          <w:szCs w:val="24"/>
        </w:rPr>
        <w:fldChar w:fldCharType="end"/>
      </w:r>
      <w:r w:rsidRPr="00EC0229">
        <w:rPr>
          <w:rFonts w:cs="Times New Roman"/>
          <w:color w:val="000000" w:themeColor="text1"/>
          <w:szCs w:val="24"/>
        </w:rPr>
        <w:t>’, favoured by Blackburn and Naismith</w:t>
      </w:r>
      <w:r w:rsidR="008960AE" w:rsidRPr="00EC0229">
        <w:rPr>
          <w:rFonts w:cs="Times New Roman"/>
          <w:color w:val="000000" w:themeColor="text1"/>
          <w:szCs w:val="24"/>
        </w:rPr>
        <w:fldChar w:fldCharType="begin"/>
      </w:r>
      <w:r w:rsidR="008960AE" w:rsidRPr="00EC0229">
        <w:instrText xml:space="preserve"> XE "</w:instrText>
      </w:r>
      <w:r w:rsidR="008960AE" w:rsidRPr="00EC0229">
        <w:rPr>
          <w:rFonts w:cs="Times New Roman"/>
          <w:szCs w:val="24"/>
        </w:rPr>
        <w:instrText>Naismith</w:instrText>
      </w:r>
      <w:r w:rsidR="008960AE" w:rsidRPr="00EC0229">
        <w:instrText xml:space="preserve">" </w:instrText>
      </w:r>
      <w:r w:rsidR="008960AE" w:rsidRPr="00EC0229">
        <w:rPr>
          <w:rFonts w:cs="Times New Roman"/>
          <w:color w:val="000000" w:themeColor="text1"/>
          <w:szCs w:val="24"/>
        </w:rPr>
        <w:fldChar w:fldCharType="end"/>
      </w:r>
      <w:r w:rsidRPr="00EC0229">
        <w:rPr>
          <w:rFonts w:cs="Times New Roman"/>
          <w:color w:val="000000" w:themeColor="text1"/>
          <w:szCs w:val="24"/>
        </w:rPr>
        <w:t xml:space="preserve">, avoids linguistic difficulties, </w:t>
      </w:r>
      <w:r w:rsidRPr="00EC0229">
        <w:rPr>
          <w:rFonts w:cs="Times New Roman"/>
          <w:i/>
          <w:color w:val="000000" w:themeColor="text1"/>
          <w:szCs w:val="24"/>
        </w:rPr>
        <w:t xml:space="preserve">sceat, sceatt </w:t>
      </w:r>
      <w:r w:rsidRPr="00EC0229">
        <w:rPr>
          <w:rFonts w:cs="Times New Roman"/>
          <w:color w:val="000000" w:themeColor="text1"/>
          <w:szCs w:val="24"/>
        </w:rPr>
        <w:t xml:space="preserve">and </w:t>
      </w:r>
      <w:r w:rsidRPr="00EC0229">
        <w:rPr>
          <w:rFonts w:cs="Times New Roman"/>
          <w:i/>
          <w:color w:val="000000" w:themeColor="text1"/>
          <w:szCs w:val="24"/>
        </w:rPr>
        <w:t>sceatta</w:t>
      </w:r>
      <w:r w:rsidR="00D142DC" w:rsidRPr="00EC0229">
        <w:rPr>
          <w:rFonts w:cs="Times New Roman"/>
          <w:i/>
          <w:color w:val="000000" w:themeColor="text1"/>
          <w:szCs w:val="24"/>
        </w:rPr>
        <w:fldChar w:fldCharType="begin"/>
      </w:r>
      <w:r w:rsidR="00D142DC" w:rsidRPr="00EC0229">
        <w:instrText xml:space="preserve"> XE "sceatta" </w:instrText>
      </w:r>
      <w:r w:rsidR="00D142DC" w:rsidRPr="00EC0229">
        <w:rPr>
          <w:rFonts w:cs="Times New Roman"/>
          <w:i/>
          <w:color w:val="000000" w:themeColor="text1"/>
          <w:szCs w:val="24"/>
        </w:rPr>
        <w:fldChar w:fldCharType="end"/>
      </w:r>
      <w:r w:rsidRPr="00EC0229">
        <w:rPr>
          <w:rFonts w:cs="Times New Roman"/>
          <w:i/>
          <w:color w:val="000000" w:themeColor="text1"/>
          <w:szCs w:val="24"/>
        </w:rPr>
        <w:t xml:space="preserve"> </w:t>
      </w:r>
      <w:r w:rsidRPr="00EC0229">
        <w:rPr>
          <w:rFonts w:cs="Times New Roman"/>
          <w:color w:val="000000" w:themeColor="text1"/>
          <w:szCs w:val="24"/>
        </w:rPr>
        <w:t>are now, for better or worse, embedded in the language and literature, and I have been as guilty as any in their misuse.</w:t>
      </w:r>
      <w:r w:rsidR="008C4DCC" w:rsidRPr="00EC0229">
        <w:rPr>
          <w:rStyle w:val="FootnoteReference"/>
          <w:rFonts w:cs="Times New Roman"/>
          <w:color w:val="000000" w:themeColor="text1"/>
          <w:szCs w:val="24"/>
        </w:rPr>
        <w:footnoteReference w:id="1"/>
      </w:r>
      <w:r w:rsidRPr="00EC0229">
        <w:rPr>
          <w:rFonts w:cs="Times New Roman"/>
          <w:color w:val="000000" w:themeColor="text1"/>
          <w:szCs w:val="24"/>
        </w:rPr>
        <w:t xml:space="preserve"> My practice is to use </w:t>
      </w:r>
      <w:r w:rsidRPr="00EC0229">
        <w:rPr>
          <w:rFonts w:cs="Times New Roman"/>
          <w:i/>
          <w:color w:val="000000" w:themeColor="text1"/>
          <w:szCs w:val="24"/>
        </w:rPr>
        <w:t>sceat</w:t>
      </w:r>
      <w:r w:rsidRPr="00EC0229">
        <w:rPr>
          <w:rFonts w:cs="Times New Roman"/>
          <w:color w:val="000000" w:themeColor="text1"/>
          <w:szCs w:val="24"/>
        </w:rPr>
        <w:t xml:space="preserve"> for the singular, either </w:t>
      </w:r>
      <w:r w:rsidRPr="00EC0229">
        <w:rPr>
          <w:rFonts w:cs="Times New Roman"/>
          <w:i/>
          <w:color w:val="000000" w:themeColor="text1"/>
          <w:szCs w:val="24"/>
        </w:rPr>
        <w:t>sceats</w:t>
      </w:r>
      <w:r w:rsidRPr="00EC0229">
        <w:rPr>
          <w:rFonts w:cs="Times New Roman"/>
          <w:color w:val="000000" w:themeColor="text1"/>
          <w:szCs w:val="24"/>
        </w:rPr>
        <w:t xml:space="preserve"> or </w:t>
      </w:r>
      <w:r w:rsidRPr="00EC0229">
        <w:rPr>
          <w:rFonts w:cs="Times New Roman"/>
          <w:i/>
          <w:color w:val="000000" w:themeColor="text1"/>
          <w:szCs w:val="24"/>
        </w:rPr>
        <w:t>sceattas</w:t>
      </w:r>
      <w:r w:rsidRPr="00EC0229">
        <w:rPr>
          <w:rFonts w:cs="Times New Roman"/>
          <w:color w:val="000000" w:themeColor="text1"/>
          <w:szCs w:val="24"/>
        </w:rPr>
        <w:t xml:space="preserve"> for the plural and </w:t>
      </w:r>
      <w:r w:rsidRPr="00EC0229">
        <w:rPr>
          <w:rFonts w:cs="Times New Roman"/>
          <w:i/>
          <w:color w:val="000000" w:themeColor="text1"/>
          <w:szCs w:val="24"/>
        </w:rPr>
        <w:t>sceatta</w:t>
      </w:r>
      <w:r w:rsidRPr="00EC0229">
        <w:rPr>
          <w:rFonts w:cs="Times New Roman"/>
          <w:color w:val="000000" w:themeColor="text1"/>
          <w:szCs w:val="24"/>
        </w:rPr>
        <w:t xml:space="preserve"> as an adjective</w:t>
      </w:r>
      <w:r w:rsidR="00B01507" w:rsidRPr="00EC0229">
        <w:rPr>
          <w:rFonts w:cs="Times New Roman"/>
          <w:color w:val="000000" w:themeColor="text1"/>
          <w:szCs w:val="24"/>
        </w:rPr>
        <w:t xml:space="preserve"> (</w:t>
      </w:r>
      <w:r w:rsidR="00B01507" w:rsidRPr="00EC0229">
        <w:rPr>
          <w:rFonts w:cs="Times New Roman"/>
          <w:color w:val="000000" w:themeColor="text1"/>
          <w:szCs w:val="24"/>
        </w:rPr>
        <w:fldChar w:fldCharType="begin"/>
      </w:r>
      <w:r w:rsidR="00B01507" w:rsidRPr="00EC0229">
        <w:rPr>
          <w:rFonts w:cs="Times New Roman"/>
          <w:color w:val="000000" w:themeColor="text1"/>
          <w:szCs w:val="24"/>
        </w:rPr>
        <w:instrText xml:space="preserve"> PAGEREF Terminology \h </w:instrText>
      </w:r>
      <w:r w:rsidR="00B01507" w:rsidRPr="00EC0229">
        <w:rPr>
          <w:rFonts w:cs="Times New Roman"/>
          <w:color w:val="000000" w:themeColor="text1"/>
          <w:szCs w:val="24"/>
        </w:rPr>
      </w:r>
      <w:r w:rsidR="00B01507" w:rsidRPr="00EC0229">
        <w:rPr>
          <w:rFonts w:cs="Times New Roman"/>
          <w:color w:val="000000" w:themeColor="text1"/>
          <w:szCs w:val="24"/>
        </w:rPr>
        <w:fldChar w:fldCharType="separate"/>
      </w:r>
      <w:r w:rsidR="0012026B">
        <w:rPr>
          <w:rFonts w:cs="Times New Roman"/>
          <w:noProof/>
          <w:color w:val="000000" w:themeColor="text1"/>
          <w:szCs w:val="24"/>
        </w:rPr>
        <w:t>137</w:t>
      </w:r>
      <w:r w:rsidR="00B01507" w:rsidRPr="00EC0229">
        <w:rPr>
          <w:rFonts w:cs="Times New Roman"/>
          <w:color w:val="000000" w:themeColor="text1"/>
          <w:szCs w:val="24"/>
        </w:rPr>
        <w:fldChar w:fldCharType="end"/>
      </w:r>
      <w:r w:rsidR="00B01507" w:rsidRPr="00EC0229">
        <w:rPr>
          <w:rFonts w:cs="Times New Roman"/>
          <w:color w:val="000000" w:themeColor="text1"/>
          <w:szCs w:val="24"/>
        </w:rPr>
        <w:t>)</w:t>
      </w:r>
      <w:r w:rsidRPr="00EC0229">
        <w:rPr>
          <w:rFonts w:cs="Times New Roman"/>
          <w:color w:val="000000" w:themeColor="text1"/>
          <w:szCs w:val="24"/>
        </w:rPr>
        <w:t xml:space="preserve">. </w:t>
      </w:r>
    </w:p>
    <w:p w14:paraId="395C23E9" w14:textId="0B65243F" w:rsidR="007B6967" w:rsidRPr="00EC0229" w:rsidRDefault="007B6967" w:rsidP="00604CE1">
      <w:pPr>
        <w:pStyle w:val="ListParagraph"/>
        <w:numPr>
          <w:ilvl w:val="0"/>
          <w:numId w:val="1"/>
        </w:numPr>
        <w:spacing w:line="276" w:lineRule="auto"/>
        <w:rPr>
          <w:szCs w:val="24"/>
        </w:rPr>
      </w:pPr>
      <w:r w:rsidRPr="00EC0229">
        <w:rPr>
          <w:bCs/>
        </w:rPr>
        <w:t>Oxford English Dictionary spelling</w:t>
      </w:r>
      <w:r w:rsidR="00BC7603" w:rsidRPr="00EC0229">
        <w:rPr>
          <w:bCs/>
        </w:rPr>
        <w:t xml:space="preserve"> prefers </w:t>
      </w:r>
      <w:r w:rsidRPr="00EC0229">
        <w:rPr>
          <w:bCs/>
        </w:rPr>
        <w:t>‘iz’</w:t>
      </w:r>
      <w:r w:rsidR="00BC7603" w:rsidRPr="00EC0229">
        <w:rPr>
          <w:bCs/>
        </w:rPr>
        <w:t xml:space="preserve"> to ‘is’, and is used here other than for third party text.</w:t>
      </w:r>
    </w:p>
    <w:p w14:paraId="3AC71FA7" w14:textId="39D103BD" w:rsidR="00A515D7" w:rsidRPr="00EC0229" w:rsidRDefault="00F64D23" w:rsidP="00604CE1">
      <w:pPr>
        <w:pStyle w:val="ListParagraph"/>
        <w:numPr>
          <w:ilvl w:val="0"/>
          <w:numId w:val="1"/>
        </w:numPr>
        <w:spacing w:line="276" w:lineRule="auto"/>
        <w:rPr>
          <w:szCs w:val="24"/>
        </w:rPr>
      </w:pPr>
      <w:r w:rsidRPr="00EC0229">
        <w:rPr>
          <w:rFonts w:cs="Times New Roman"/>
          <w:szCs w:val="24"/>
        </w:rPr>
        <w:t>Cross-referenced page numbers are parenthesised e.g. (123) and periods e.g. [4a].</w:t>
      </w:r>
    </w:p>
    <w:p w14:paraId="2289473F" w14:textId="55FFAF90" w:rsidR="00646060" w:rsidRPr="00EC0229" w:rsidRDefault="00646060" w:rsidP="00604CE1">
      <w:pPr>
        <w:pStyle w:val="ListParagraph"/>
        <w:numPr>
          <w:ilvl w:val="0"/>
          <w:numId w:val="1"/>
        </w:numPr>
        <w:spacing w:line="276" w:lineRule="auto"/>
        <w:rPr>
          <w:szCs w:val="24"/>
        </w:rPr>
      </w:pPr>
      <w:r w:rsidRPr="00EC0229">
        <w:rPr>
          <w:rFonts w:cs="Times New Roman"/>
          <w:szCs w:val="24"/>
        </w:rPr>
        <w:t>References are formatted as follows:</w:t>
      </w:r>
    </w:p>
    <w:p w14:paraId="34130637" w14:textId="77777777" w:rsidR="00646060" w:rsidRPr="00EC0229" w:rsidRDefault="00646060" w:rsidP="00646060">
      <w:pPr>
        <w:spacing w:after="0"/>
        <w:ind w:left="1701"/>
        <w:jc w:val="left"/>
        <w:rPr>
          <w:rFonts w:eastAsia="Times New Roman" w:cs="Times New Roman"/>
          <w:szCs w:val="24"/>
          <w:lang w:eastAsia="en-GB"/>
        </w:rPr>
      </w:pPr>
      <w:r w:rsidRPr="00EC0229">
        <w:rPr>
          <w:rFonts w:eastAsia="Times New Roman" w:cs="Times New Roman"/>
          <w:szCs w:val="24"/>
          <w:lang w:eastAsia="en-GB"/>
        </w:rPr>
        <w:t>Monograph:</w:t>
      </w:r>
    </w:p>
    <w:p w14:paraId="58E23901" w14:textId="46EF428A" w:rsidR="00646060" w:rsidRPr="00EC0229" w:rsidRDefault="00646060" w:rsidP="00646060">
      <w:pPr>
        <w:spacing w:after="0"/>
        <w:ind w:left="1701"/>
        <w:jc w:val="left"/>
        <w:rPr>
          <w:rFonts w:eastAsia="Times New Roman" w:cs="Times New Roman"/>
          <w:szCs w:val="24"/>
          <w:lang w:eastAsia="en-GB"/>
        </w:rPr>
      </w:pPr>
      <w:r w:rsidRPr="00EC0229">
        <w:rPr>
          <w:rFonts w:eastAsia="Times New Roman" w:cs="Times New Roman"/>
          <w:szCs w:val="24"/>
          <w:lang w:eastAsia="en-GB"/>
        </w:rPr>
        <w:t>Author Surname, First/Middle Initial(s)., (ed.), Year (# ed</w:t>
      </w:r>
      <w:r w:rsidR="00CA62E2" w:rsidRPr="00EC0229">
        <w:rPr>
          <w:rFonts w:eastAsia="Times New Roman" w:cs="Times New Roman"/>
          <w:szCs w:val="24"/>
          <w:lang w:eastAsia="en-GB"/>
        </w:rPr>
        <w:t>itio</w:t>
      </w:r>
      <w:r w:rsidRPr="00EC0229">
        <w:rPr>
          <w:rFonts w:eastAsia="Times New Roman" w:cs="Times New Roman"/>
          <w:szCs w:val="24"/>
          <w:lang w:eastAsia="en-GB"/>
        </w:rPr>
        <w:t>n), </w:t>
      </w:r>
      <w:r w:rsidRPr="00EC0229">
        <w:rPr>
          <w:rFonts w:eastAsia="Times New Roman" w:cs="Times New Roman"/>
          <w:i/>
          <w:iCs/>
          <w:szCs w:val="24"/>
          <w:lang w:eastAsia="en-GB"/>
        </w:rPr>
        <w:t>Book Title</w:t>
      </w:r>
      <w:r w:rsidRPr="00EC0229">
        <w:rPr>
          <w:rFonts w:eastAsia="Times New Roman" w:cs="Times New Roman"/>
          <w:szCs w:val="24"/>
          <w:lang w:eastAsia="en-GB"/>
        </w:rPr>
        <w:t>, trans. by Name, # vol</w:t>
      </w:r>
      <w:r w:rsidR="00CA62E2" w:rsidRPr="00EC0229">
        <w:rPr>
          <w:rFonts w:eastAsia="Times New Roman" w:cs="Times New Roman"/>
          <w:szCs w:val="24"/>
          <w:lang w:eastAsia="en-GB"/>
        </w:rPr>
        <w:t>ume</w:t>
      </w:r>
      <w:r w:rsidRPr="00EC0229">
        <w:rPr>
          <w:rFonts w:eastAsia="Times New Roman" w:cs="Times New Roman"/>
          <w:szCs w:val="24"/>
          <w:lang w:eastAsia="en-GB"/>
        </w:rPr>
        <w:t> (P</w:t>
      </w:r>
      <w:r w:rsidR="00CA62E2" w:rsidRPr="00EC0229">
        <w:rPr>
          <w:rFonts w:eastAsia="Times New Roman" w:cs="Times New Roman"/>
          <w:szCs w:val="24"/>
          <w:lang w:eastAsia="en-GB"/>
        </w:rPr>
        <w:t>ublication Place or Publisher</w:t>
      </w:r>
      <w:r w:rsidRPr="00EC0229">
        <w:rPr>
          <w:rFonts w:eastAsia="Times New Roman" w:cs="Times New Roman"/>
          <w:szCs w:val="24"/>
          <w:lang w:eastAsia="en-GB"/>
        </w:rPr>
        <w:t>).</w:t>
      </w:r>
    </w:p>
    <w:p w14:paraId="79B1D113" w14:textId="77777777" w:rsidR="00646060" w:rsidRPr="00EC0229" w:rsidRDefault="00646060" w:rsidP="00646060">
      <w:pPr>
        <w:spacing w:after="0"/>
        <w:ind w:left="1701"/>
        <w:jc w:val="left"/>
        <w:rPr>
          <w:rFonts w:eastAsia="Times New Roman" w:cs="Times New Roman"/>
          <w:szCs w:val="24"/>
          <w:lang w:eastAsia="en-GB"/>
        </w:rPr>
      </w:pPr>
    </w:p>
    <w:p w14:paraId="35AEAD74" w14:textId="77777777" w:rsidR="00646060" w:rsidRPr="00EC0229" w:rsidRDefault="00646060" w:rsidP="00646060">
      <w:pPr>
        <w:spacing w:after="0"/>
        <w:ind w:left="1701"/>
        <w:jc w:val="left"/>
        <w:rPr>
          <w:rFonts w:eastAsia="Times New Roman" w:cs="Times New Roman"/>
          <w:szCs w:val="24"/>
          <w:lang w:eastAsia="en-GB"/>
        </w:rPr>
      </w:pPr>
      <w:r w:rsidRPr="00EC0229">
        <w:rPr>
          <w:rFonts w:eastAsia="Times New Roman" w:cs="Times New Roman"/>
          <w:szCs w:val="24"/>
          <w:lang w:eastAsia="en-GB"/>
        </w:rPr>
        <w:t>Chapter in collected volume:</w:t>
      </w:r>
    </w:p>
    <w:p w14:paraId="0941162F" w14:textId="77777777" w:rsidR="00646060" w:rsidRPr="00EC0229" w:rsidRDefault="00646060" w:rsidP="00646060">
      <w:pPr>
        <w:spacing w:after="0"/>
        <w:ind w:left="1701"/>
        <w:jc w:val="left"/>
        <w:rPr>
          <w:rFonts w:eastAsia="Times New Roman" w:cs="Times New Roman"/>
          <w:szCs w:val="24"/>
          <w:lang w:eastAsia="en-GB"/>
        </w:rPr>
      </w:pPr>
      <w:r w:rsidRPr="00EC0229">
        <w:rPr>
          <w:rFonts w:eastAsia="Times New Roman" w:cs="Times New Roman"/>
          <w:szCs w:val="24"/>
          <w:lang w:eastAsia="en-GB"/>
        </w:rPr>
        <w:t>Author Surname, First/Middle Initial(s)., Year, ‘Chapter Title’, in Editor Surname(s) (ed.), </w:t>
      </w:r>
      <w:r w:rsidRPr="00EC0229">
        <w:rPr>
          <w:rFonts w:eastAsia="Times New Roman" w:cs="Times New Roman"/>
          <w:i/>
          <w:iCs/>
          <w:szCs w:val="24"/>
          <w:lang w:eastAsia="en-GB"/>
        </w:rPr>
        <w:t>Volume Title</w:t>
      </w:r>
      <w:r w:rsidRPr="00EC0229">
        <w:rPr>
          <w:rFonts w:eastAsia="Times New Roman" w:cs="Times New Roman"/>
          <w:szCs w:val="24"/>
          <w:lang w:eastAsia="en-GB"/>
        </w:rPr>
        <w:t>, pp. ##–##.</w:t>
      </w:r>
    </w:p>
    <w:p w14:paraId="20FCB0CA" w14:textId="77777777" w:rsidR="00646060" w:rsidRPr="00EC0229" w:rsidRDefault="00646060" w:rsidP="00646060">
      <w:pPr>
        <w:spacing w:after="0"/>
        <w:ind w:left="1701"/>
        <w:jc w:val="left"/>
        <w:rPr>
          <w:rFonts w:eastAsia="Times New Roman" w:cs="Times New Roman"/>
          <w:szCs w:val="24"/>
          <w:lang w:eastAsia="en-GB"/>
        </w:rPr>
      </w:pPr>
    </w:p>
    <w:p w14:paraId="1916F334" w14:textId="77777777" w:rsidR="00646060" w:rsidRPr="00EC0229" w:rsidRDefault="00646060" w:rsidP="00646060">
      <w:pPr>
        <w:spacing w:after="0"/>
        <w:ind w:left="1701"/>
        <w:jc w:val="left"/>
        <w:rPr>
          <w:rFonts w:eastAsia="Times New Roman" w:cs="Times New Roman"/>
          <w:szCs w:val="24"/>
          <w:lang w:eastAsia="en-GB"/>
        </w:rPr>
      </w:pPr>
      <w:r w:rsidRPr="00EC0229">
        <w:rPr>
          <w:rFonts w:eastAsia="Times New Roman" w:cs="Times New Roman"/>
          <w:szCs w:val="24"/>
          <w:lang w:eastAsia="en-GB"/>
        </w:rPr>
        <w:t>Journal article:</w:t>
      </w:r>
    </w:p>
    <w:p w14:paraId="207CBFC0" w14:textId="77777777" w:rsidR="00646060" w:rsidRPr="00EC0229" w:rsidRDefault="00646060" w:rsidP="00646060">
      <w:pPr>
        <w:spacing w:after="0"/>
        <w:ind w:left="1701"/>
        <w:jc w:val="left"/>
        <w:rPr>
          <w:rFonts w:eastAsia="Times New Roman" w:cs="Times New Roman"/>
          <w:szCs w:val="24"/>
          <w:lang w:eastAsia="en-GB"/>
        </w:rPr>
      </w:pPr>
      <w:r w:rsidRPr="00EC0229">
        <w:rPr>
          <w:rFonts w:eastAsia="Times New Roman" w:cs="Times New Roman"/>
          <w:szCs w:val="24"/>
          <w:lang w:eastAsia="en-GB"/>
        </w:rPr>
        <w:t>Author Surname, First/Middle Initial(s)., Year, ‘Article Title’, </w:t>
      </w:r>
      <w:r w:rsidRPr="00EC0229">
        <w:rPr>
          <w:rFonts w:eastAsia="Times New Roman" w:cs="Times New Roman"/>
          <w:i/>
          <w:iCs/>
          <w:szCs w:val="24"/>
          <w:lang w:eastAsia="en-GB"/>
        </w:rPr>
        <w:t>Journal Title</w:t>
      </w:r>
      <w:r w:rsidRPr="00EC0229">
        <w:rPr>
          <w:rFonts w:eastAsia="Times New Roman" w:cs="Times New Roman"/>
          <w:szCs w:val="24"/>
          <w:lang w:eastAsia="en-GB"/>
        </w:rPr>
        <w:t> Volume Number/Issue, ##–##.</w:t>
      </w:r>
    </w:p>
    <w:p w14:paraId="1EEF806D" w14:textId="044EB3D6" w:rsidR="00A515D7" w:rsidRPr="00EC0229" w:rsidRDefault="00A515D7" w:rsidP="00604CE1">
      <w:pPr>
        <w:pStyle w:val="ListParagraph"/>
        <w:numPr>
          <w:ilvl w:val="0"/>
          <w:numId w:val="1"/>
        </w:numPr>
        <w:spacing w:line="276" w:lineRule="auto"/>
        <w:rPr>
          <w:rFonts w:eastAsia="Times New Roman" w:cs="Times New Roman"/>
          <w:color w:val="000000" w:themeColor="text1"/>
          <w:szCs w:val="24"/>
          <w:lang w:eastAsia="en-GB"/>
        </w:rPr>
      </w:pPr>
      <w:r w:rsidRPr="00EC0229">
        <w:rPr>
          <w:rFonts w:eastAsia="Times New Roman" w:cs="Times New Roman"/>
          <w:szCs w:val="24"/>
          <w:lang w:eastAsia="en-GB"/>
        </w:rPr>
        <w:lastRenderedPageBreak/>
        <w:t xml:space="preserve">Excel </w:t>
      </w:r>
      <w:r w:rsidR="00F64D23" w:rsidRPr="00EC0229">
        <w:rPr>
          <w:rFonts w:cs="Times New Roman"/>
          <w:szCs w:val="24"/>
        </w:rPr>
        <w:t>CORREL function</w:t>
      </w:r>
      <w:r w:rsidR="00F64D23" w:rsidRPr="00EC0229">
        <w:rPr>
          <w:rFonts w:eastAsia="Times New Roman" w:cs="Times New Roman"/>
          <w:szCs w:val="24"/>
          <w:lang w:eastAsia="en-GB"/>
        </w:rPr>
        <w:t xml:space="preserve"> </w:t>
      </w:r>
      <w:r w:rsidRPr="00EC0229">
        <w:rPr>
          <w:rFonts w:eastAsia="Times New Roman" w:cs="Times New Roman"/>
          <w:szCs w:val="24"/>
          <w:lang w:eastAsia="en-GB"/>
        </w:rPr>
        <w:t xml:space="preserve">uses the Pearson Product-Moment Correlation Coefficient which is a statistical measurement of the correlation (linear association) between two sets of values, </w:t>
      </w:r>
      <w:r w:rsidRPr="00EC0229">
        <w:rPr>
          <w:rFonts w:eastAsia="Times New Roman" w:cs="Times New Roman"/>
          <w:i/>
          <w:iCs/>
          <w:szCs w:val="24"/>
          <w:lang w:eastAsia="en-GB"/>
        </w:rPr>
        <w:t>x</w:t>
      </w:r>
      <w:r w:rsidRPr="00EC0229">
        <w:rPr>
          <w:rFonts w:eastAsia="Times New Roman" w:cs="Times New Roman"/>
          <w:szCs w:val="24"/>
          <w:lang w:eastAsia="en-GB"/>
        </w:rPr>
        <w:t xml:space="preserve"> and </w:t>
      </w:r>
      <w:r w:rsidRPr="00EC0229">
        <w:rPr>
          <w:rFonts w:eastAsia="Times New Roman" w:cs="Times New Roman"/>
          <w:i/>
          <w:iCs/>
          <w:szCs w:val="24"/>
          <w:lang w:eastAsia="en-GB"/>
        </w:rPr>
        <w:t>y</w:t>
      </w:r>
      <w:r w:rsidRPr="00EC0229">
        <w:rPr>
          <w:rFonts w:eastAsia="Times New Roman" w:cs="Times New Roman"/>
          <w:szCs w:val="24"/>
          <w:lang w:eastAsia="en-GB"/>
        </w:rPr>
        <w:t xml:space="preserve">, given by the formula: </w:t>
      </w:r>
    </w:p>
    <w:p w14:paraId="651E8ADF" w14:textId="77777777" w:rsidR="00A515D7" w:rsidRPr="00EC0229" w:rsidRDefault="00A515D7" w:rsidP="007600EA">
      <w:pPr>
        <w:pStyle w:val="NoSpacing"/>
        <w:spacing w:line="276" w:lineRule="auto"/>
        <w:ind w:left="1418"/>
        <w:jc w:val="center"/>
        <w:rPr>
          <w:rFonts w:eastAsia="Times New Roman" w:cs="Times New Roman"/>
          <w:szCs w:val="24"/>
          <w:lang w:eastAsia="en-GB"/>
        </w:rPr>
      </w:pPr>
      <w:r w:rsidRPr="00EC0229">
        <w:rPr>
          <w:rFonts w:cs="Times New Roman"/>
          <w:noProof/>
          <w:szCs w:val="24"/>
          <w:lang w:eastAsia="en-GB"/>
        </w:rPr>
        <w:drawing>
          <wp:inline distT="0" distB="0" distL="0" distR="0" wp14:anchorId="12057F62" wp14:editId="77F49968">
            <wp:extent cx="1470660" cy="404285"/>
            <wp:effectExtent l="0" t="0" r="0" b="0"/>
            <wp:docPr id="4" name="Picture 4" descr="Pearson Product-Moment Correlation Coefficien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arson Product-Moment Correlation Coefficient Funct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0666" cy="409785"/>
                    </a:xfrm>
                    <a:prstGeom prst="rect">
                      <a:avLst/>
                    </a:prstGeom>
                    <a:noFill/>
                    <a:ln>
                      <a:noFill/>
                    </a:ln>
                  </pic:spPr>
                </pic:pic>
              </a:graphicData>
            </a:graphic>
          </wp:inline>
        </w:drawing>
      </w:r>
    </w:p>
    <w:p w14:paraId="6741851E" w14:textId="77777777" w:rsidR="00F4133A" w:rsidRPr="00EC0229" w:rsidRDefault="009D7C75" w:rsidP="007600EA">
      <w:pPr>
        <w:pStyle w:val="NoSpacing"/>
        <w:spacing w:line="276" w:lineRule="auto"/>
        <w:ind w:left="1170"/>
        <w:jc w:val="center"/>
        <w:rPr>
          <w:rFonts w:eastAsia="Times New Roman" w:cs="Times New Roman"/>
          <w:szCs w:val="24"/>
          <w:lang w:eastAsia="en-GB"/>
        </w:rPr>
      </w:pPr>
      <w:r w:rsidRPr="00EC0229">
        <w:rPr>
          <w:rFonts w:eastAsia="Times New Roman" w:cs="Times New Roman"/>
          <w:szCs w:val="24"/>
          <w:lang w:eastAsia="en-GB"/>
        </w:rPr>
        <w:t>W</w:t>
      </w:r>
      <w:r w:rsidR="00A515D7" w:rsidRPr="00EC0229">
        <w:rPr>
          <w:rFonts w:eastAsia="Times New Roman" w:cs="Times New Roman"/>
          <w:szCs w:val="24"/>
          <w:lang w:eastAsia="en-GB"/>
        </w:rPr>
        <w:t>here</w:t>
      </w:r>
      <w:r w:rsidRPr="00EC0229">
        <w:rPr>
          <w:rFonts w:eastAsia="Times New Roman" w:cs="Times New Roman"/>
          <w:szCs w:val="24"/>
          <w:lang w:eastAsia="en-GB"/>
        </w:rPr>
        <w:t>,</w:t>
      </w:r>
      <w:r w:rsidR="00A515D7" w:rsidRPr="00EC0229">
        <w:rPr>
          <w:rFonts w:eastAsia="Times New Roman" w:cs="Times New Roman"/>
          <w:szCs w:val="24"/>
          <w:lang w:eastAsia="en-GB"/>
        </w:rPr>
        <w:t xml:space="preserve"> </w:t>
      </w:r>
      <w:r w:rsidR="00A515D7" w:rsidRPr="00EC0229">
        <w:rPr>
          <w:rFonts w:eastAsia="Times New Roman" w:cs="Times New Roman"/>
          <w:i/>
          <w:iCs/>
          <w:szCs w:val="24"/>
          <w:lang w:eastAsia="en-GB"/>
        </w:rPr>
        <w:t>x</w:t>
      </w:r>
      <w:r w:rsidR="00A515D7" w:rsidRPr="00EC0229">
        <w:rPr>
          <w:rFonts w:eastAsia="Times New Roman" w:cs="Times New Roman"/>
          <w:szCs w:val="24"/>
          <w:lang w:eastAsia="en-GB"/>
        </w:rPr>
        <w:t xml:space="preserve"> and </w:t>
      </w:r>
      <w:r w:rsidR="00A515D7" w:rsidRPr="00EC0229">
        <w:rPr>
          <w:rFonts w:eastAsia="Times New Roman" w:cs="Times New Roman"/>
          <w:i/>
          <w:iCs/>
          <w:szCs w:val="24"/>
          <w:lang w:eastAsia="en-GB"/>
        </w:rPr>
        <w:t>y</w:t>
      </w:r>
      <w:r w:rsidR="00A515D7" w:rsidRPr="00EC0229">
        <w:rPr>
          <w:rFonts w:eastAsia="Times New Roman" w:cs="Times New Roman"/>
          <w:szCs w:val="24"/>
          <w:lang w:eastAsia="en-GB"/>
        </w:rPr>
        <w:t xml:space="preserve"> are the sample means of the two arrays of values. </w:t>
      </w:r>
    </w:p>
    <w:p w14:paraId="63AAFBD3" w14:textId="77777777" w:rsidR="00F4133A" w:rsidRPr="00EC0229" w:rsidRDefault="00F4133A" w:rsidP="007600EA">
      <w:pPr>
        <w:pStyle w:val="NoSpacing"/>
        <w:spacing w:line="276" w:lineRule="auto"/>
        <w:ind w:left="1080"/>
        <w:rPr>
          <w:rFonts w:eastAsia="Times New Roman" w:cs="Times New Roman"/>
          <w:sz w:val="8"/>
          <w:szCs w:val="8"/>
          <w:lang w:eastAsia="en-GB"/>
        </w:rPr>
      </w:pPr>
    </w:p>
    <w:p w14:paraId="5FC26C78" w14:textId="476AB4E8" w:rsidR="00A515D7" w:rsidRPr="00EC0229" w:rsidRDefault="00A515D7" w:rsidP="007600EA">
      <w:pPr>
        <w:pStyle w:val="NoSpacing"/>
        <w:spacing w:line="276" w:lineRule="auto"/>
        <w:ind w:left="1080"/>
        <w:rPr>
          <w:rFonts w:eastAsia="Times New Roman" w:cs="Times New Roman"/>
          <w:szCs w:val="24"/>
          <w:lang w:eastAsia="en-GB"/>
        </w:rPr>
      </w:pPr>
      <w:r w:rsidRPr="00EC0229">
        <w:rPr>
          <w:rFonts w:eastAsia="Times New Roman" w:cs="Times New Roman"/>
          <w:szCs w:val="24"/>
          <w:lang w:eastAsia="en-GB"/>
        </w:rPr>
        <w:t xml:space="preserve">If the value of </w:t>
      </w:r>
      <w:r w:rsidRPr="00EC0229">
        <w:rPr>
          <w:rFonts w:eastAsia="Times New Roman" w:cs="Times New Roman"/>
          <w:i/>
          <w:iCs/>
          <w:szCs w:val="24"/>
          <w:lang w:eastAsia="en-GB"/>
        </w:rPr>
        <w:t>r</w:t>
      </w:r>
      <w:r w:rsidRPr="00EC0229">
        <w:rPr>
          <w:rFonts w:eastAsia="Times New Roman" w:cs="Times New Roman"/>
          <w:szCs w:val="24"/>
          <w:lang w:eastAsia="en-GB"/>
        </w:rPr>
        <w:t xml:space="preserve"> is close to +1</w:t>
      </w:r>
      <w:r w:rsidR="00C465A4" w:rsidRPr="00EC0229">
        <w:rPr>
          <w:rFonts w:eastAsia="Times New Roman" w:cs="Times New Roman"/>
          <w:szCs w:val="24"/>
          <w:lang w:eastAsia="en-GB"/>
        </w:rPr>
        <w:t xml:space="preserve"> (or 100%)</w:t>
      </w:r>
      <w:r w:rsidRPr="00EC0229">
        <w:rPr>
          <w:rFonts w:eastAsia="Times New Roman" w:cs="Times New Roman"/>
          <w:szCs w:val="24"/>
          <w:lang w:eastAsia="en-GB"/>
        </w:rPr>
        <w:t xml:space="preserve">, this indicates a strong positive correlation, and if </w:t>
      </w:r>
      <w:r w:rsidRPr="00EC0229">
        <w:rPr>
          <w:rFonts w:eastAsia="Times New Roman" w:cs="Times New Roman"/>
          <w:i/>
          <w:iCs/>
          <w:szCs w:val="24"/>
          <w:lang w:eastAsia="en-GB"/>
        </w:rPr>
        <w:t>r</w:t>
      </w:r>
      <w:r w:rsidRPr="00EC0229">
        <w:rPr>
          <w:rFonts w:eastAsia="Times New Roman" w:cs="Times New Roman"/>
          <w:szCs w:val="24"/>
          <w:lang w:eastAsia="en-GB"/>
        </w:rPr>
        <w:t xml:space="preserve"> is close to -1, this indicates a strong negative correlation.</w:t>
      </w:r>
    </w:p>
    <w:p w14:paraId="40C8212B" w14:textId="391406C0" w:rsidR="00A515D7" w:rsidRPr="00EC0229" w:rsidRDefault="00A515D7" w:rsidP="007600EA">
      <w:pPr>
        <w:pStyle w:val="NoSpacing"/>
        <w:spacing w:line="276" w:lineRule="auto"/>
        <w:ind w:left="1080"/>
        <w:rPr>
          <w:rStyle w:val="Hyperlink"/>
          <w:rFonts w:cs="Times New Roman"/>
          <w:szCs w:val="24"/>
          <w:u w:val="none"/>
        </w:rPr>
      </w:pPr>
      <w:r w:rsidRPr="00EC0229">
        <w:rPr>
          <w:rFonts w:cs="Times New Roman"/>
          <w:szCs w:val="24"/>
        </w:rPr>
        <w:t xml:space="preserve">Source: </w:t>
      </w:r>
      <w:hyperlink r:id="rId16" w:history="1">
        <w:r w:rsidRPr="00EC0229">
          <w:rPr>
            <w:rStyle w:val="Hyperlink"/>
            <w:rFonts w:cs="Times New Roman"/>
            <w:szCs w:val="24"/>
            <w:u w:val="none"/>
          </w:rPr>
          <w:t>http://www.excelfunctions.net/Excel-Correl-Function.html</w:t>
        </w:r>
      </w:hyperlink>
    </w:p>
    <w:p w14:paraId="0D8BFC53" w14:textId="4E5BC0DC" w:rsidR="00646060" w:rsidRPr="00EC0229" w:rsidRDefault="00646060" w:rsidP="007600EA">
      <w:pPr>
        <w:pStyle w:val="NoSpacing"/>
        <w:spacing w:line="276" w:lineRule="auto"/>
        <w:ind w:left="1080"/>
        <w:rPr>
          <w:rStyle w:val="Hyperlink"/>
          <w:rFonts w:cs="Times New Roman"/>
          <w:szCs w:val="24"/>
          <w:u w:val="none"/>
        </w:rPr>
      </w:pPr>
    </w:p>
    <w:p w14:paraId="43708062" w14:textId="4DF9F702" w:rsidR="00646060" w:rsidRPr="00EC0229" w:rsidRDefault="00646060" w:rsidP="007600EA">
      <w:pPr>
        <w:pStyle w:val="NoSpacing"/>
        <w:spacing w:line="276" w:lineRule="auto"/>
        <w:ind w:left="1080"/>
        <w:rPr>
          <w:rStyle w:val="Hyperlink"/>
          <w:rFonts w:cs="Times New Roman"/>
          <w:szCs w:val="24"/>
          <w:u w:val="none"/>
        </w:rPr>
      </w:pPr>
    </w:p>
    <w:p w14:paraId="76A27298" w14:textId="45B60AA4" w:rsidR="00B765B9" w:rsidRPr="00EC0229" w:rsidRDefault="00BC0B7E" w:rsidP="00B765B9">
      <w:pPr>
        <w:pStyle w:val="Heading1"/>
        <w:spacing w:line="276" w:lineRule="auto"/>
      </w:pPr>
      <w:bookmarkStart w:id="22" w:name="Keywords"/>
      <w:bookmarkStart w:id="23" w:name="_Toc468266726"/>
      <w:bookmarkEnd w:id="22"/>
      <w:r w:rsidRPr="00EC0229">
        <w:t xml:space="preserve">List of </w:t>
      </w:r>
      <w:r w:rsidR="00B765B9" w:rsidRPr="00EC0229">
        <w:t>Keywords</w:t>
      </w:r>
      <w:bookmarkEnd w:id="23"/>
      <w:r w:rsidR="00B765B9" w:rsidRPr="00EC0229">
        <w:fldChar w:fldCharType="begin"/>
      </w:r>
      <w:r w:rsidR="00B765B9" w:rsidRPr="00EC0229">
        <w:instrText xml:space="preserve"> XE </w:instrText>
      </w:r>
      <w:r w:rsidR="00B765B9" w:rsidRPr="00EC0229">
        <w:rPr>
          <w:b w:val="0"/>
          <w:sz w:val="24"/>
          <w:szCs w:val="24"/>
        </w:rPr>
        <w:instrText>"</w:instrText>
      </w:r>
      <w:r w:rsidR="00B765B9" w:rsidRPr="00EC0229">
        <w:rPr>
          <w:rStyle w:val="Hyperlink"/>
          <w:b w:val="0"/>
          <w:noProof/>
          <w:sz w:val="24"/>
          <w:szCs w:val="24"/>
          <w:u w:val="none"/>
        </w:rPr>
        <w:instrText>Keywords</w:instrText>
      </w:r>
      <w:r w:rsidR="00B765B9" w:rsidRPr="00EC0229">
        <w:rPr>
          <w:b w:val="0"/>
          <w:sz w:val="24"/>
          <w:szCs w:val="24"/>
        </w:rPr>
        <w:instrText>"</w:instrText>
      </w:r>
      <w:r w:rsidR="00B765B9" w:rsidRPr="00EC0229">
        <w:instrText xml:space="preserve"> </w:instrText>
      </w:r>
      <w:r w:rsidR="00B765B9" w:rsidRPr="00EC0229">
        <w:fldChar w:fldCharType="end"/>
      </w:r>
    </w:p>
    <w:p w14:paraId="511320F0" w14:textId="70973494" w:rsidR="00B765B9" w:rsidRPr="00EC0229" w:rsidRDefault="00B765B9" w:rsidP="00B765B9">
      <w:pPr>
        <w:pStyle w:val="NoSpacing"/>
        <w:spacing w:line="276" w:lineRule="auto"/>
        <w:rPr>
          <w:szCs w:val="24"/>
        </w:rPr>
      </w:pPr>
      <w:r w:rsidRPr="00EC0229">
        <w:rPr>
          <w:szCs w:val="24"/>
        </w:rPr>
        <w:t>Anglo-Saxon</w:t>
      </w:r>
      <w:r w:rsidRPr="00EC0229">
        <w:rPr>
          <w:szCs w:val="24"/>
        </w:rPr>
        <w:fldChar w:fldCharType="begin"/>
      </w:r>
      <w:r w:rsidRPr="00EC0229">
        <w:rPr>
          <w:szCs w:val="24"/>
        </w:rPr>
        <w:instrText xml:space="preserve"> XE "</w:instrText>
      </w:r>
      <w:r w:rsidRPr="00EC0229">
        <w:rPr>
          <w:rStyle w:val="Hyperlink"/>
          <w:noProof/>
          <w:szCs w:val="24"/>
          <w:u w:val="none"/>
        </w:rPr>
        <w:instrText>Anglo-Saxon</w:instrText>
      </w:r>
      <w:r w:rsidRPr="00EC0229">
        <w:rPr>
          <w:szCs w:val="24"/>
        </w:rPr>
        <w:instrText xml:space="preserve">" </w:instrText>
      </w:r>
      <w:r w:rsidRPr="00EC0229">
        <w:rPr>
          <w:szCs w:val="24"/>
        </w:rPr>
        <w:fldChar w:fldCharType="end"/>
      </w:r>
      <w:r w:rsidRPr="00EC0229">
        <w:rPr>
          <w:szCs w:val="24"/>
        </w:rPr>
        <w:t>, Early Medieval,</w:t>
      </w:r>
      <w:r w:rsidRPr="00EC0229">
        <w:rPr>
          <w:szCs w:val="24"/>
        </w:rPr>
        <w:fldChar w:fldCharType="begin"/>
      </w:r>
      <w:r w:rsidRPr="00EC0229">
        <w:rPr>
          <w:szCs w:val="24"/>
        </w:rPr>
        <w:instrText xml:space="preserve"> XE "Early Medieval" </w:instrText>
      </w:r>
      <w:r w:rsidRPr="00EC0229">
        <w:rPr>
          <w:szCs w:val="24"/>
        </w:rPr>
        <w:fldChar w:fldCharType="end"/>
      </w:r>
      <w:r w:rsidRPr="00EC0229">
        <w:rPr>
          <w:szCs w:val="24"/>
        </w:rPr>
        <w:t xml:space="preserve"> Northumbria,</w:t>
      </w:r>
      <w:r w:rsidRPr="00EC0229">
        <w:rPr>
          <w:szCs w:val="24"/>
        </w:rPr>
        <w:fldChar w:fldCharType="begin"/>
      </w:r>
      <w:r w:rsidRPr="00EC0229">
        <w:rPr>
          <w:szCs w:val="24"/>
        </w:rPr>
        <w:instrText xml:space="preserve"> XE "</w:instrText>
      </w:r>
      <w:r w:rsidRPr="00EC0229">
        <w:rPr>
          <w:rFonts w:cs="Times New Roman"/>
          <w:b/>
          <w:color w:val="000000" w:themeColor="text1"/>
          <w:szCs w:val="24"/>
        </w:rPr>
        <w:instrText>Northumbria</w:instrText>
      </w:r>
      <w:r w:rsidRPr="00EC0229">
        <w:rPr>
          <w:szCs w:val="24"/>
        </w:rPr>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XE "fiat" </w:instrText>
      </w:r>
      <w:r w:rsidRPr="00EC0229">
        <w:rPr>
          <w:szCs w:val="24"/>
        </w:rPr>
        <w:fldChar w:fldCharType="end"/>
      </w:r>
      <w:r w:rsidRPr="00EC0229">
        <w:rPr>
          <w:szCs w:val="24"/>
        </w:rPr>
        <w:t>gold</w:t>
      </w:r>
      <w:r w:rsidRPr="00EC0229">
        <w:rPr>
          <w:szCs w:val="24"/>
        </w:rPr>
        <w:fldChar w:fldCharType="begin"/>
      </w:r>
      <w:r w:rsidRPr="00EC0229">
        <w:rPr>
          <w:szCs w:val="24"/>
        </w:rPr>
        <w:instrText xml:space="preserve"> XE "</w:instrText>
      </w:r>
      <w:r w:rsidRPr="00EC0229">
        <w:rPr>
          <w:rFonts w:eastAsia="Times New Roman" w:cs="Times New Roman"/>
          <w:szCs w:val="24"/>
          <w:lang w:eastAsia="en-GB"/>
        </w:rPr>
        <w:instrText>gold</w:instrText>
      </w:r>
      <w:r w:rsidRPr="00EC0229">
        <w:rPr>
          <w:szCs w:val="24"/>
        </w:rPr>
        <w:instrText xml:space="preserve">" </w:instrText>
      </w:r>
      <w:r w:rsidRPr="00EC0229">
        <w:rPr>
          <w:szCs w:val="24"/>
        </w:rPr>
        <w:fldChar w:fldCharType="end"/>
      </w:r>
      <w:r w:rsidRPr="00EC0229">
        <w:rPr>
          <w:szCs w:val="24"/>
        </w:rPr>
        <w:t xml:space="preserve"> shilling, landscape</w:t>
      </w:r>
      <w:r w:rsidRPr="00EC0229">
        <w:rPr>
          <w:szCs w:val="24"/>
        </w:rPr>
        <w:fldChar w:fldCharType="begin"/>
      </w:r>
      <w:r w:rsidRPr="00EC0229">
        <w:rPr>
          <w:szCs w:val="24"/>
        </w:rPr>
        <w:instrText xml:space="preserve"> XE "</w:instrText>
      </w:r>
      <w:r w:rsidRPr="00EC0229">
        <w:rPr>
          <w:rFonts w:cs="Times New Roman"/>
          <w:b/>
          <w:color w:val="000000" w:themeColor="text1"/>
          <w:szCs w:val="24"/>
        </w:rPr>
        <w:instrText>landscape</w:instrText>
      </w:r>
      <w:r w:rsidRPr="00EC0229">
        <w:rPr>
          <w:szCs w:val="24"/>
        </w:rPr>
        <w:instrText xml:space="preserve">" </w:instrText>
      </w:r>
      <w:r w:rsidRPr="00EC0229">
        <w:rPr>
          <w:szCs w:val="24"/>
        </w:rPr>
        <w:fldChar w:fldCharType="end"/>
      </w:r>
      <w:r w:rsidRPr="00EC0229">
        <w:rPr>
          <w:szCs w:val="24"/>
        </w:rPr>
        <w:t xml:space="preserve">, </w:t>
      </w:r>
      <w:r w:rsidR="003F2041" w:rsidRPr="00EC0229">
        <w:rPr>
          <w:szCs w:val="24"/>
        </w:rPr>
        <w:t>monetiz</w:t>
      </w:r>
      <w:r w:rsidRPr="00EC0229">
        <w:rPr>
          <w:szCs w:val="24"/>
        </w:rPr>
        <w:t>ation</w:t>
      </w:r>
      <w:r w:rsidRPr="00EC0229">
        <w:rPr>
          <w:szCs w:val="24"/>
        </w:rPr>
        <w:fldChar w:fldCharType="begin"/>
      </w:r>
      <w:r w:rsidRPr="00EC0229">
        <w:rPr>
          <w:szCs w:val="24"/>
        </w:rPr>
        <w:instrText xml:space="preserve"> XE "monetization" </w:instrText>
      </w:r>
      <w:r w:rsidRPr="00EC0229">
        <w:rPr>
          <w:szCs w:val="24"/>
        </w:rPr>
        <w:fldChar w:fldCharType="end"/>
      </w:r>
      <w:r w:rsidRPr="00EC0229">
        <w:rPr>
          <w:szCs w:val="24"/>
        </w:rPr>
        <w:t>, penny</w:t>
      </w:r>
      <w:r w:rsidRPr="00EC0229">
        <w:rPr>
          <w:szCs w:val="24"/>
        </w:rPr>
        <w:fldChar w:fldCharType="begin"/>
      </w:r>
      <w:r w:rsidRPr="00EC0229">
        <w:rPr>
          <w:szCs w:val="24"/>
        </w:rPr>
        <w:instrText xml:space="preserve"> XE "penny" </w:instrText>
      </w:r>
      <w:r w:rsidRPr="00EC0229">
        <w:rPr>
          <w:szCs w:val="24"/>
        </w:rPr>
        <w:fldChar w:fldCharType="end"/>
      </w:r>
      <w:r w:rsidRPr="00EC0229">
        <w:rPr>
          <w:szCs w:val="24"/>
        </w:rPr>
        <w:t xml:space="preserve">, </w:t>
      </w:r>
      <w:r w:rsidR="006C328D" w:rsidRPr="00EC0229">
        <w:rPr>
          <w:szCs w:val="24"/>
        </w:rPr>
        <w:t>periodiz</w:t>
      </w:r>
      <w:r w:rsidRPr="00EC0229">
        <w:rPr>
          <w:szCs w:val="24"/>
        </w:rPr>
        <w:t>ation, sceat, sceatta</w:t>
      </w:r>
      <w:r w:rsidRPr="00EC0229">
        <w:rPr>
          <w:szCs w:val="24"/>
        </w:rPr>
        <w:fldChar w:fldCharType="begin"/>
      </w:r>
      <w:r w:rsidRPr="00EC0229">
        <w:rPr>
          <w:szCs w:val="24"/>
        </w:rPr>
        <w:instrText xml:space="preserve"> XE "sceatta" </w:instrText>
      </w:r>
      <w:r w:rsidRPr="00EC0229">
        <w:rPr>
          <w:szCs w:val="24"/>
        </w:rPr>
        <w:fldChar w:fldCharType="end"/>
      </w:r>
      <w:r w:rsidRPr="00EC0229">
        <w:rPr>
          <w:szCs w:val="24"/>
        </w:rPr>
        <w:t>, styca,</w:t>
      </w:r>
      <w:r w:rsidRPr="00EC0229">
        <w:rPr>
          <w:szCs w:val="24"/>
        </w:rPr>
        <w:fldChar w:fldCharType="begin"/>
      </w:r>
      <w:r w:rsidRPr="00EC0229">
        <w:rPr>
          <w:szCs w:val="24"/>
        </w:rPr>
        <w:instrText xml:space="preserve"> XE "styca" </w:instrText>
      </w:r>
      <w:r w:rsidRPr="00EC0229">
        <w:rPr>
          <w:szCs w:val="24"/>
        </w:rPr>
        <w:fldChar w:fldCharType="end"/>
      </w:r>
      <w:r w:rsidRPr="00EC0229">
        <w:rPr>
          <w:szCs w:val="24"/>
        </w:rPr>
        <w:t xml:space="preserve"> thrymsa</w:t>
      </w:r>
      <w:r w:rsidRPr="00EC0229">
        <w:rPr>
          <w:szCs w:val="24"/>
        </w:rPr>
        <w:fldChar w:fldCharType="begin"/>
      </w:r>
      <w:r w:rsidRPr="00EC0229">
        <w:rPr>
          <w:szCs w:val="24"/>
        </w:rPr>
        <w:instrText xml:space="preserve"> XE "thrymsa" </w:instrText>
      </w:r>
      <w:r w:rsidRPr="00EC0229">
        <w:rPr>
          <w:szCs w:val="24"/>
        </w:rPr>
        <w:fldChar w:fldCharType="end"/>
      </w:r>
      <w:r w:rsidRPr="00EC0229">
        <w:rPr>
          <w:szCs w:val="24"/>
        </w:rPr>
        <w:t>, wic</w:t>
      </w:r>
      <w:r w:rsidRPr="00EC0229">
        <w:rPr>
          <w:szCs w:val="24"/>
        </w:rPr>
        <w:fldChar w:fldCharType="begin"/>
      </w:r>
      <w:r w:rsidRPr="00EC0229">
        <w:rPr>
          <w:szCs w:val="24"/>
        </w:rPr>
        <w:instrText xml:space="preserve"> XE "wic" </w:instrText>
      </w:r>
      <w:r w:rsidRPr="00EC0229">
        <w:rPr>
          <w:szCs w:val="24"/>
        </w:rPr>
        <w:fldChar w:fldCharType="end"/>
      </w:r>
      <w:r w:rsidRPr="00EC0229">
        <w:rPr>
          <w:szCs w:val="24"/>
        </w:rPr>
        <w:t>.</w:t>
      </w:r>
      <w:bookmarkStart w:id="24" w:name="Abbreviations"/>
      <w:bookmarkEnd w:id="24"/>
    </w:p>
    <w:p w14:paraId="7C184E60" w14:textId="7737B9B5" w:rsidR="00A515D7" w:rsidRPr="00EC0229" w:rsidRDefault="00A515D7" w:rsidP="007600EA">
      <w:pPr>
        <w:spacing w:line="276" w:lineRule="auto"/>
      </w:pPr>
      <w:r w:rsidRPr="00EC0229">
        <w:br w:type="page"/>
      </w:r>
    </w:p>
    <w:p w14:paraId="273DEE8A" w14:textId="48D653AB" w:rsidR="00742DC2" w:rsidRPr="00EC0229" w:rsidRDefault="00BC0B7E" w:rsidP="007600EA">
      <w:pPr>
        <w:pStyle w:val="Heading1"/>
        <w:spacing w:line="276" w:lineRule="auto"/>
      </w:pPr>
      <w:bookmarkStart w:id="25" w:name="VOLUMETWO"/>
      <w:bookmarkStart w:id="26" w:name="Figures"/>
      <w:bookmarkStart w:id="27" w:name="_Toc468266727"/>
      <w:bookmarkEnd w:id="25"/>
      <w:bookmarkEnd w:id="26"/>
      <w:r w:rsidRPr="00EC0229">
        <w:lastRenderedPageBreak/>
        <w:t xml:space="preserve">List of </w:t>
      </w:r>
      <w:r w:rsidR="00742DC2" w:rsidRPr="00EC0229">
        <w:t>Figures</w:t>
      </w:r>
      <w:bookmarkEnd w:id="27"/>
      <w:r w:rsidR="00584C42" w:rsidRPr="00EC0229">
        <w:fldChar w:fldCharType="begin"/>
      </w:r>
      <w:r w:rsidR="00584C42" w:rsidRPr="00EC0229">
        <w:instrText xml:space="preserve"> XE "</w:instrText>
      </w:r>
      <w:r w:rsidR="00584C42" w:rsidRPr="00EC0229">
        <w:rPr>
          <w:rStyle w:val="Hyperlink"/>
          <w:noProof/>
          <w:u w:val="none"/>
        </w:rPr>
        <w:instrText>Figures</w:instrText>
      </w:r>
      <w:r w:rsidR="00584C42" w:rsidRPr="00EC0229">
        <w:instrText xml:space="preserve">" </w:instrText>
      </w:r>
      <w:r w:rsidR="00584C42" w:rsidRPr="00EC0229">
        <w:fldChar w:fldCharType="end"/>
      </w:r>
    </w:p>
    <w:p w14:paraId="509D5CB3" w14:textId="60E4DA8C" w:rsidR="0012026B" w:rsidRDefault="00434FE5">
      <w:pPr>
        <w:pStyle w:val="TableofFigures"/>
        <w:tabs>
          <w:tab w:val="right" w:leader="dot" w:pos="9016"/>
        </w:tabs>
        <w:rPr>
          <w:rFonts w:asciiTheme="minorHAnsi" w:eastAsiaTheme="minorEastAsia" w:hAnsiTheme="minorHAnsi"/>
          <w:noProof/>
          <w:sz w:val="22"/>
          <w:lang w:eastAsia="en-GB"/>
        </w:rPr>
      </w:pPr>
      <w:r w:rsidRPr="00EC0229">
        <w:rPr>
          <w:i/>
        </w:rPr>
        <w:fldChar w:fldCharType="begin"/>
      </w:r>
      <w:r w:rsidRPr="00EC0229">
        <w:rPr>
          <w:i/>
        </w:rPr>
        <w:instrText xml:space="preserve"> TOC \h \z \c "Figure" </w:instrText>
      </w:r>
      <w:r w:rsidRPr="00EC0229">
        <w:rPr>
          <w:i/>
        </w:rPr>
        <w:fldChar w:fldCharType="separate"/>
      </w:r>
      <w:hyperlink w:anchor="_Toc468266973" w:history="1">
        <w:r w:rsidR="0012026B" w:rsidRPr="0056582D">
          <w:rPr>
            <w:rStyle w:val="Hyperlink"/>
            <w:noProof/>
          </w:rPr>
          <w:t>Figure 1: The pseudo-Imperial tremisses and its imitations</w:t>
        </w:r>
        <w:r w:rsidR="0012026B">
          <w:rPr>
            <w:noProof/>
            <w:webHidden/>
          </w:rPr>
          <w:tab/>
        </w:r>
        <w:r w:rsidR="0012026B">
          <w:rPr>
            <w:noProof/>
            <w:webHidden/>
          </w:rPr>
          <w:fldChar w:fldCharType="begin"/>
        </w:r>
        <w:r w:rsidR="0012026B">
          <w:rPr>
            <w:noProof/>
            <w:webHidden/>
          </w:rPr>
          <w:instrText xml:space="preserve"> PAGEREF _Toc468266973 \h </w:instrText>
        </w:r>
        <w:r w:rsidR="0012026B">
          <w:rPr>
            <w:noProof/>
            <w:webHidden/>
          </w:rPr>
        </w:r>
        <w:r w:rsidR="0012026B">
          <w:rPr>
            <w:noProof/>
            <w:webHidden/>
          </w:rPr>
          <w:fldChar w:fldCharType="separate"/>
        </w:r>
        <w:r w:rsidR="0012026B">
          <w:rPr>
            <w:noProof/>
            <w:webHidden/>
          </w:rPr>
          <w:t>26</w:t>
        </w:r>
        <w:r w:rsidR="0012026B">
          <w:rPr>
            <w:noProof/>
            <w:webHidden/>
          </w:rPr>
          <w:fldChar w:fldCharType="end"/>
        </w:r>
      </w:hyperlink>
    </w:p>
    <w:p w14:paraId="3FFA1C17" w14:textId="1C71AC2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74" w:history="1">
        <w:r w:rsidR="0012026B" w:rsidRPr="0056582D">
          <w:rPr>
            <w:rStyle w:val="Hyperlink"/>
            <w:noProof/>
          </w:rPr>
          <w:t>Figure 2</w:t>
        </w:r>
        <w:r w:rsidR="0012026B" w:rsidRPr="0056582D">
          <w:rPr>
            <w:rStyle w:val="Hyperlink"/>
            <w:rFonts w:cs="Times New Roman"/>
            <w:noProof/>
          </w:rPr>
          <w:t>: Sculpture: Dewsbury and Otley</w:t>
        </w:r>
        <w:r w:rsidR="0012026B">
          <w:rPr>
            <w:noProof/>
            <w:webHidden/>
          </w:rPr>
          <w:tab/>
        </w:r>
        <w:r w:rsidR="0012026B">
          <w:rPr>
            <w:noProof/>
            <w:webHidden/>
          </w:rPr>
          <w:fldChar w:fldCharType="begin"/>
        </w:r>
        <w:r w:rsidR="0012026B">
          <w:rPr>
            <w:noProof/>
            <w:webHidden/>
          </w:rPr>
          <w:instrText xml:space="preserve"> PAGEREF _Toc468266974 \h </w:instrText>
        </w:r>
        <w:r w:rsidR="0012026B">
          <w:rPr>
            <w:noProof/>
            <w:webHidden/>
          </w:rPr>
        </w:r>
        <w:r w:rsidR="0012026B">
          <w:rPr>
            <w:noProof/>
            <w:webHidden/>
          </w:rPr>
          <w:fldChar w:fldCharType="separate"/>
        </w:r>
        <w:r w:rsidR="0012026B">
          <w:rPr>
            <w:noProof/>
            <w:webHidden/>
          </w:rPr>
          <w:t>39</w:t>
        </w:r>
        <w:r w:rsidR="0012026B">
          <w:rPr>
            <w:noProof/>
            <w:webHidden/>
          </w:rPr>
          <w:fldChar w:fldCharType="end"/>
        </w:r>
      </w:hyperlink>
    </w:p>
    <w:p w14:paraId="791468C2" w14:textId="0F429C4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75" w:history="1">
        <w:r w:rsidR="0012026B" w:rsidRPr="0056582D">
          <w:rPr>
            <w:rStyle w:val="Hyperlink"/>
            <w:noProof/>
          </w:rPr>
          <w:t>Figure 3: The stone plaque at Aberlemno</w:t>
        </w:r>
        <w:r w:rsidR="0012026B">
          <w:rPr>
            <w:noProof/>
            <w:webHidden/>
          </w:rPr>
          <w:tab/>
        </w:r>
        <w:r w:rsidR="0012026B">
          <w:rPr>
            <w:noProof/>
            <w:webHidden/>
          </w:rPr>
          <w:fldChar w:fldCharType="begin"/>
        </w:r>
        <w:r w:rsidR="0012026B">
          <w:rPr>
            <w:noProof/>
            <w:webHidden/>
          </w:rPr>
          <w:instrText xml:space="preserve"> PAGEREF _Toc468266975 \h </w:instrText>
        </w:r>
        <w:r w:rsidR="0012026B">
          <w:rPr>
            <w:noProof/>
            <w:webHidden/>
          </w:rPr>
        </w:r>
        <w:r w:rsidR="0012026B">
          <w:rPr>
            <w:noProof/>
            <w:webHidden/>
          </w:rPr>
          <w:fldChar w:fldCharType="separate"/>
        </w:r>
        <w:r w:rsidR="0012026B">
          <w:rPr>
            <w:noProof/>
            <w:webHidden/>
          </w:rPr>
          <w:t>89</w:t>
        </w:r>
        <w:r w:rsidR="0012026B">
          <w:rPr>
            <w:noProof/>
            <w:webHidden/>
          </w:rPr>
          <w:fldChar w:fldCharType="end"/>
        </w:r>
      </w:hyperlink>
    </w:p>
    <w:p w14:paraId="1F03C27B" w14:textId="2535484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76" w:history="1">
        <w:r w:rsidR="0012026B" w:rsidRPr="0056582D">
          <w:rPr>
            <w:rStyle w:val="Hyperlink"/>
            <w:noProof/>
          </w:rPr>
          <w:t>Figure 4: Clipped siliquae, Cattal hoard</w:t>
        </w:r>
        <w:r w:rsidR="0012026B">
          <w:rPr>
            <w:noProof/>
            <w:webHidden/>
          </w:rPr>
          <w:tab/>
        </w:r>
        <w:r w:rsidR="0012026B">
          <w:rPr>
            <w:noProof/>
            <w:webHidden/>
          </w:rPr>
          <w:fldChar w:fldCharType="begin"/>
        </w:r>
        <w:r w:rsidR="0012026B">
          <w:rPr>
            <w:noProof/>
            <w:webHidden/>
          </w:rPr>
          <w:instrText xml:space="preserve"> PAGEREF _Toc468266976 \h </w:instrText>
        </w:r>
        <w:r w:rsidR="0012026B">
          <w:rPr>
            <w:noProof/>
            <w:webHidden/>
          </w:rPr>
        </w:r>
        <w:r w:rsidR="0012026B">
          <w:rPr>
            <w:noProof/>
            <w:webHidden/>
          </w:rPr>
          <w:fldChar w:fldCharType="separate"/>
        </w:r>
        <w:r w:rsidR="0012026B">
          <w:rPr>
            <w:noProof/>
            <w:webHidden/>
          </w:rPr>
          <w:t>91</w:t>
        </w:r>
        <w:r w:rsidR="0012026B">
          <w:rPr>
            <w:noProof/>
            <w:webHidden/>
          </w:rPr>
          <w:fldChar w:fldCharType="end"/>
        </w:r>
      </w:hyperlink>
    </w:p>
    <w:p w14:paraId="6E48A0A7" w14:textId="08B4500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77" w:history="1">
        <w:r w:rsidR="0012026B" w:rsidRPr="0056582D">
          <w:rPr>
            <w:rStyle w:val="Hyperlink"/>
            <w:noProof/>
          </w:rPr>
          <w:t>Figure 5: Merovingian pseudo-imperial Victory tremissis, found Kent.</w:t>
        </w:r>
        <w:r w:rsidR="0012026B">
          <w:rPr>
            <w:noProof/>
            <w:webHidden/>
          </w:rPr>
          <w:tab/>
        </w:r>
        <w:r w:rsidR="0012026B">
          <w:rPr>
            <w:noProof/>
            <w:webHidden/>
          </w:rPr>
          <w:fldChar w:fldCharType="begin"/>
        </w:r>
        <w:r w:rsidR="0012026B">
          <w:rPr>
            <w:noProof/>
            <w:webHidden/>
          </w:rPr>
          <w:instrText xml:space="preserve"> PAGEREF _Toc468266977 \h </w:instrText>
        </w:r>
        <w:r w:rsidR="0012026B">
          <w:rPr>
            <w:noProof/>
            <w:webHidden/>
          </w:rPr>
        </w:r>
        <w:r w:rsidR="0012026B">
          <w:rPr>
            <w:noProof/>
            <w:webHidden/>
          </w:rPr>
          <w:fldChar w:fldCharType="separate"/>
        </w:r>
        <w:r w:rsidR="0012026B">
          <w:rPr>
            <w:noProof/>
            <w:webHidden/>
          </w:rPr>
          <w:t>92</w:t>
        </w:r>
        <w:r w:rsidR="0012026B">
          <w:rPr>
            <w:noProof/>
            <w:webHidden/>
          </w:rPr>
          <w:fldChar w:fldCharType="end"/>
        </w:r>
      </w:hyperlink>
    </w:p>
    <w:p w14:paraId="73481ACE" w14:textId="467AC06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78" w:history="1">
        <w:r w:rsidR="0012026B" w:rsidRPr="0056582D">
          <w:rPr>
            <w:rStyle w:val="Hyperlink"/>
            <w:noProof/>
          </w:rPr>
          <w:t>Figure 6: Romanitas: Burgundian tremissis, probably Lyon, imitating Justinian.</w:t>
        </w:r>
        <w:r w:rsidR="0012026B">
          <w:rPr>
            <w:noProof/>
            <w:webHidden/>
          </w:rPr>
          <w:tab/>
        </w:r>
        <w:r w:rsidR="0012026B">
          <w:rPr>
            <w:noProof/>
            <w:webHidden/>
          </w:rPr>
          <w:fldChar w:fldCharType="begin"/>
        </w:r>
        <w:r w:rsidR="0012026B">
          <w:rPr>
            <w:noProof/>
            <w:webHidden/>
          </w:rPr>
          <w:instrText xml:space="preserve"> PAGEREF _Toc468266978 \h </w:instrText>
        </w:r>
        <w:r w:rsidR="0012026B">
          <w:rPr>
            <w:noProof/>
            <w:webHidden/>
          </w:rPr>
        </w:r>
        <w:r w:rsidR="0012026B">
          <w:rPr>
            <w:noProof/>
            <w:webHidden/>
          </w:rPr>
          <w:fldChar w:fldCharType="separate"/>
        </w:r>
        <w:r w:rsidR="0012026B">
          <w:rPr>
            <w:noProof/>
            <w:webHidden/>
          </w:rPr>
          <w:t>92</w:t>
        </w:r>
        <w:r w:rsidR="0012026B">
          <w:rPr>
            <w:noProof/>
            <w:webHidden/>
          </w:rPr>
          <w:fldChar w:fldCharType="end"/>
        </w:r>
      </w:hyperlink>
    </w:p>
    <w:p w14:paraId="30393FA8" w14:textId="24A0D8A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79" w:history="1">
        <w:r w:rsidR="0012026B" w:rsidRPr="0056582D">
          <w:rPr>
            <w:rStyle w:val="Hyperlink"/>
            <w:noProof/>
          </w:rPr>
          <w:t>Figure 7: Coin-jewellery: Lombards, gold tremissis.</w:t>
        </w:r>
        <w:r w:rsidR="0012026B">
          <w:rPr>
            <w:noProof/>
            <w:webHidden/>
          </w:rPr>
          <w:tab/>
        </w:r>
        <w:r w:rsidR="0012026B">
          <w:rPr>
            <w:noProof/>
            <w:webHidden/>
          </w:rPr>
          <w:fldChar w:fldCharType="begin"/>
        </w:r>
        <w:r w:rsidR="0012026B">
          <w:rPr>
            <w:noProof/>
            <w:webHidden/>
          </w:rPr>
          <w:instrText xml:space="preserve"> PAGEREF _Toc468266979 \h </w:instrText>
        </w:r>
        <w:r w:rsidR="0012026B">
          <w:rPr>
            <w:noProof/>
            <w:webHidden/>
          </w:rPr>
        </w:r>
        <w:r w:rsidR="0012026B">
          <w:rPr>
            <w:noProof/>
            <w:webHidden/>
          </w:rPr>
          <w:fldChar w:fldCharType="separate"/>
        </w:r>
        <w:r w:rsidR="0012026B">
          <w:rPr>
            <w:noProof/>
            <w:webHidden/>
          </w:rPr>
          <w:t>93</w:t>
        </w:r>
        <w:r w:rsidR="0012026B">
          <w:rPr>
            <w:noProof/>
            <w:webHidden/>
          </w:rPr>
          <w:fldChar w:fldCharType="end"/>
        </w:r>
      </w:hyperlink>
    </w:p>
    <w:p w14:paraId="1F4BDC63" w14:textId="763BB78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0" w:history="1">
        <w:r w:rsidR="0012026B" w:rsidRPr="0056582D">
          <w:rPr>
            <w:rStyle w:val="Hyperlink"/>
            <w:noProof/>
          </w:rPr>
          <w:t>Figure 8</w:t>
        </w:r>
        <w:r w:rsidR="0012026B" w:rsidRPr="0056582D">
          <w:rPr>
            <w:rStyle w:val="Hyperlink"/>
            <w:rFonts w:cs="Times New Roman"/>
            <w:noProof/>
          </w:rPr>
          <w:t>: Merovingian national Series, tremisses</w:t>
        </w:r>
        <w:r w:rsidR="0012026B">
          <w:rPr>
            <w:noProof/>
            <w:webHidden/>
          </w:rPr>
          <w:tab/>
        </w:r>
        <w:r w:rsidR="0012026B">
          <w:rPr>
            <w:noProof/>
            <w:webHidden/>
          </w:rPr>
          <w:fldChar w:fldCharType="begin"/>
        </w:r>
        <w:r w:rsidR="0012026B">
          <w:rPr>
            <w:noProof/>
            <w:webHidden/>
          </w:rPr>
          <w:instrText xml:space="preserve"> PAGEREF _Toc468266980 \h </w:instrText>
        </w:r>
        <w:r w:rsidR="0012026B">
          <w:rPr>
            <w:noProof/>
            <w:webHidden/>
          </w:rPr>
        </w:r>
        <w:r w:rsidR="0012026B">
          <w:rPr>
            <w:noProof/>
            <w:webHidden/>
          </w:rPr>
          <w:fldChar w:fldCharType="separate"/>
        </w:r>
        <w:r w:rsidR="0012026B">
          <w:rPr>
            <w:noProof/>
            <w:webHidden/>
          </w:rPr>
          <w:t>93</w:t>
        </w:r>
        <w:r w:rsidR="0012026B">
          <w:rPr>
            <w:noProof/>
            <w:webHidden/>
          </w:rPr>
          <w:fldChar w:fldCharType="end"/>
        </w:r>
      </w:hyperlink>
    </w:p>
    <w:p w14:paraId="3C5278F6" w14:textId="749A433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1" w:history="1">
        <w:r w:rsidR="0012026B" w:rsidRPr="0056582D">
          <w:rPr>
            <w:rStyle w:val="Hyperlink"/>
            <w:noProof/>
          </w:rPr>
          <w:t>Figure 9: Gold tremissis, named mint/moneyer type</w:t>
        </w:r>
        <w:r w:rsidR="0012026B">
          <w:rPr>
            <w:noProof/>
            <w:webHidden/>
          </w:rPr>
          <w:tab/>
        </w:r>
        <w:r w:rsidR="0012026B">
          <w:rPr>
            <w:noProof/>
            <w:webHidden/>
          </w:rPr>
          <w:fldChar w:fldCharType="begin"/>
        </w:r>
        <w:r w:rsidR="0012026B">
          <w:rPr>
            <w:noProof/>
            <w:webHidden/>
          </w:rPr>
          <w:instrText xml:space="preserve"> PAGEREF _Toc468266981 \h </w:instrText>
        </w:r>
        <w:r w:rsidR="0012026B">
          <w:rPr>
            <w:noProof/>
            <w:webHidden/>
          </w:rPr>
        </w:r>
        <w:r w:rsidR="0012026B">
          <w:rPr>
            <w:noProof/>
            <w:webHidden/>
          </w:rPr>
          <w:fldChar w:fldCharType="separate"/>
        </w:r>
        <w:r w:rsidR="0012026B">
          <w:rPr>
            <w:noProof/>
            <w:webHidden/>
          </w:rPr>
          <w:t>94</w:t>
        </w:r>
        <w:r w:rsidR="0012026B">
          <w:rPr>
            <w:noProof/>
            <w:webHidden/>
          </w:rPr>
          <w:fldChar w:fldCharType="end"/>
        </w:r>
      </w:hyperlink>
    </w:p>
    <w:p w14:paraId="42F75BA5" w14:textId="0209355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2" w:history="1">
        <w:r w:rsidR="0012026B" w:rsidRPr="0056582D">
          <w:rPr>
            <w:rStyle w:val="Hyperlink"/>
            <w:noProof/>
          </w:rPr>
          <w:t>Figure 10: Crondall type thrymsas in native style</w:t>
        </w:r>
        <w:r w:rsidR="0012026B">
          <w:rPr>
            <w:noProof/>
            <w:webHidden/>
          </w:rPr>
          <w:tab/>
        </w:r>
        <w:r w:rsidR="0012026B">
          <w:rPr>
            <w:noProof/>
            <w:webHidden/>
          </w:rPr>
          <w:fldChar w:fldCharType="begin"/>
        </w:r>
        <w:r w:rsidR="0012026B">
          <w:rPr>
            <w:noProof/>
            <w:webHidden/>
          </w:rPr>
          <w:instrText xml:space="preserve"> PAGEREF _Toc468266982 \h </w:instrText>
        </w:r>
        <w:r w:rsidR="0012026B">
          <w:rPr>
            <w:noProof/>
            <w:webHidden/>
          </w:rPr>
        </w:r>
        <w:r w:rsidR="0012026B">
          <w:rPr>
            <w:noProof/>
            <w:webHidden/>
          </w:rPr>
          <w:fldChar w:fldCharType="separate"/>
        </w:r>
        <w:r w:rsidR="0012026B">
          <w:rPr>
            <w:noProof/>
            <w:webHidden/>
          </w:rPr>
          <w:t>95</w:t>
        </w:r>
        <w:r w:rsidR="0012026B">
          <w:rPr>
            <w:noProof/>
            <w:webHidden/>
          </w:rPr>
          <w:fldChar w:fldCharType="end"/>
        </w:r>
      </w:hyperlink>
    </w:p>
    <w:p w14:paraId="2683A076" w14:textId="0B87CA2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3" w:history="1">
        <w:r w:rsidR="0012026B" w:rsidRPr="0056582D">
          <w:rPr>
            <w:rStyle w:val="Hyperlink"/>
            <w:noProof/>
          </w:rPr>
          <w:t>Figure 11:</w:t>
        </w:r>
        <w:r w:rsidR="0012026B" w:rsidRPr="0056582D">
          <w:rPr>
            <w:rStyle w:val="Hyperlink"/>
            <w:rFonts w:cs="Times New Roman"/>
            <w:noProof/>
          </w:rPr>
          <w:t xml:space="preserve"> York shilling, variety C</w:t>
        </w:r>
        <w:r w:rsidR="0012026B">
          <w:rPr>
            <w:noProof/>
            <w:webHidden/>
          </w:rPr>
          <w:tab/>
        </w:r>
        <w:r w:rsidR="0012026B">
          <w:rPr>
            <w:noProof/>
            <w:webHidden/>
          </w:rPr>
          <w:fldChar w:fldCharType="begin"/>
        </w:r>
        <w:r w:rsidR="0012026B">
          <w:rPr>
            <w:noProof/>
            <w:webHidden/>
          </w:rPr>
          <w:instrText xml:space="preserve"> PAGEREF _Toc468266983 \h </w:instrText>
        </w:r>
        <w:r w:rsidR="0012026B">
          <w:rPr>
            <w:noProof/>
            <w:webHidden/>
          </w:rPr>
        </w:r>
        <w:r w:rsidR="0012026B">
          <w:rPr>
            <w:noProof/>
            <w:webHidden/>
          </w:rPr>
          <w:fldChar w:fldCharType="separate"/>
        </w:r>
        <w:r w:rsidR="0012026B">
          <w:rPr>
            <w:noProof/>
            <w:webHidden/>
          </w:rPr>
          <w:t>99</w:t>
        </w:r>
        <w:r w:rsidR="0012026B">
          <w:rPr>
            <w:noProof/>
            <w:webHidden/>
          </w:rPr>
          <w:fldChar w:fldCharType="end"/>
        </w:r>
      </w:hyperlink>
    </w:p>
    <w:p w14:paraId="22AF8857" w14:textId="453C177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4" w:history="1">
        <w:r w:rsidR="0012026B" w:rsidRPr="0056582D">
          <w:rPr>
            <w:rStyle w:val="Hyperlink"/>
            <w:noProof/>
          </w:rPr>
          <w:t>Figure 12</w:t>
        </w:r>
        <w:r w:rsidR="0012026B" w:rsidRPr="0056582D">
          <w:rPr>
            <w:rStyle w:val="Hyperlink"/>
            <w:rFonts w:cs="Times New Roman"/>
            <w:noProof/>
          </w:rPr>
          <w:t>: Wigmund solidus</w:t>
        </w:r>
        <w:r w:rsidR="0012026B">
          <w:rPr>
            <w:noProof/>
            <w:webHidden/>
          </w:rPr>
          <w:tab/>
        </w:r>
        <w:r w:rsidR="0012026B">
          <w:rPr>
            <w:noProof/>
            <w:webHidden/>
          </w:rPr>
          <w:fldChar w:fldCharType="begin"/>
        </w:r>
        <w:r w:rsidR="0012026B">
          <w:rPr>
            <w:noProof/>
            <w:webHidden/>
          </w:rPr>
          <w:instrText xml:space="preserve"> PAGEREF _Toc468266984 \h </w:instrText>
        </w:r>
        <w:r w:rsidR="0012026B">
          <w:rPr>
            <w:noProof/>
            <w:webHidden/>
          </w:rPr>
        </w:r>
        <w:r w:rsidR="0012026B">
          <w:rPr>
            <w:noProof/>
            <w:webHidden/>
          </w:rPr>
          <w:fldChar w:fldCharType="separate"/>
        </w:r>
        <w:r w:rsidR="0012026B">
          <w:rPr>
            <w:noProof/>
            <w:webHidden/>
          </w:rPr>
          <w:t>100</w:t>
        </w:r>
        <w:r w:rsidR="0012026B">
          <w:rPr>
            <w:noProof/>
            <w:webHidden/>
          </w:rPr>
          <w:fldChar w:fldCharType="end"/>
        </w:r>
      </w:hyperlink>
    </w:p>
    <w:p w14:paraId="430E314B" w14:textId="7EBD787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5" w:history="1">
        <w:r w:rsidR="0012026B" w:rsidRPr="0056582D">
          <w:rPr>
            <w:rStyle w:val="Hyperlink"/>
            <w:noProof/>
          </w:rPr>
          <w:t>Figure 13</w:t>
        </w:r>
        <w:r w:rsidR="0012026B" w:rsidRPr="0056582D">
          <w:rPr>
            <w:rStyle w:val="Hyperlink"/>
            <w:rFonts w:cs="Times New Roman"/>
            <w:noProof/>
          </w:rPr>
          <w:t>: Declining</w:t>
        </w:r>
        <w:r w:rsidR="0012026B" w:rsidRPr="0056582D">
          <w:rPr>
            <w:rStyle w:val="Hyperlink"/>
            <w:noProof/>
          </w:rPr>
          <w:t xml:space="preserve"> </w:t>
        </w:r>
        <w:r w:rsidR="0012026B" w:rsidRPr="0056582D">
          <w:rPr>
            <w:rStyle w:val="Hyperlink"/>
            <w:rFonts w:cs="Times New Roman"/>
            <w:noProof/>
          </w:rPr>
          <w:t xml:space="preserve">gold content in </w:t>
        </w:r>
        <w:r w:rsidR="0012026B" w:rsidRPr="0056582D">
          <w:rPr>
            <w:rStyle w:val="Hyperlink"/>
            <w:noProof/>
          </w:rPr>
          <w:t>Post-Crondall thrymsas</w:t>
        </w:r>
        <w:r w:rsidR="0012026B">
          <w:rPr>
            <w:noProof/>
            <w:webHidden/>
          </w:rPr>
          <w:tab/>
        </w:r>
        <w:r w:rsidR="0012026B">
          <w:rPr>
            <w:noProof/>
            <w:webHidden/>
          </w:rPr>
          <w:fldChar w:fldCharType="begin"/>
        </w:r>
        <w:r w:rsidR="0012026B">
          <w:rPr>
            <w:noProof/>
            <w:webHidden/>
          </w:rPr>
          <w:instrText xml:space="preserve"> PAGEREF _Toc468266985 \h </w:instrText>
        </w:r>
        <w:r w:rsidR="0012026B">
          <w:rPr>
            <w:noProof/>
            <w:webHidden/>
          </w:rPr>
        </w:r>
        <w:r w:rsidR="0012026B">
          <w:rPr>
            <w:noProof/>
            <w:webHidden/>
          </w:rPr>
          <w:fldChar w:fldCharType="separate"/>
        </w:r>
        <w:r w:rsidR="0012026B">
          <w:rPr>
            <w:noProof/>
            <w:webHidden/>
          </w:rPr>
          <w:t>101</w:t>
        </w:r>
        <w:r w:rsidR="0012026B">
          <w:rPr>
            <w:noProof/>
            <w:webHidden/>
          </w:rPr>
          <w:fldChar w:fldCharType="end"/>
        </w:r>
      </w:hyperlink>
    </w:p>
    <w:p w14:paraId="1285F339" w14:textId="754818C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6" w:history="1">
        <w:r w:rsidR="0012026B" w:rsidRPr="0056582D">
          <w:rPr>
            <w:rStyle w:val="Hyperlink"/>
            <w:noProof/>
          </w:rPr>
          <w:t>Figure 14: Unique Southumbrian gold shilling c.650-75, c.20% gold, found Bulmer Beck</w:t>
        </w:r>
        <w:r w:rsidR="0012026B">
          <w:rPr>
            <w:noProof/>
            <w:webHidden/>
          </w:rPr>
          <w:tab/>
        </w:r>
        <w:r w:rsidR="0012026B">
          <w:rPr>
            <w:noProof/>
            <w:webHidden/>
          </w:rPr>
          <w:fldChar w:fldCharType="begin"/>
        </w:r>
        <w:r w:rsidR="0012026B">
          <w:rPr>
            <w:noProof/>
            <w:webHidden/>
          </w:rPr>
          <w:instrText xml:space="preserve"> PAGEREF _Toc468266986 \h </w:instrText>
        </w:r>
        <w:r w:rsidR="0012026B">
          <w:rPr>
            <w:noProof/>
            <w:webHidden/>
          </w:rPr>
        </w:r>
        <w:r w:rsidR="0012026B">
          <w:rPr>
            <w:noProof/>
            <w:webHidden/>
          </w:rPr>
          <w:fldChar w:fldCharType="separate"/>
        </w:r>
        <w:r w:rsidR="0012026B">
          <w:rPr>
            <w:noProof/>
            <w:webHidden/>
          </w:rPr>
          <w:t>101</w:t>
        </w:r>
        <w:r w:rsidR="0012026B">
          <w:rPr>
            <w:noProof/>
            <w:webHidden/>
          </w:rPr>
          <w:fldChar w:fldCharType="end"/>
        </w:r>
      </w:hyperlink>
    </w:p>
    <w:p w14:paraId="37D0978B" w14:textId="5FC0BD4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7" w:history="1">
        <w:r w:rsidR="0012026B" w:rsidRPr="0056582D">
          <w:rPr>
            <w:rStyle w:val="Hyperlink"/>
            <w:noProof/>
          </w:rPr>
          <w:t>Figure 15: Pale gold thrymsas: L. runic Pada.</w:t>
        </w:r>
        <w:r w:rsidR="0012026B">
          <w:rPr>
            <w:noProof/>
            <w:webHidden/>
          </w:rPr>
          <w:tab/>
        </w:r>
        <w:r w:rsidR="0012026B">
          <w:rPr>
            <w:noProof/>
            <w:webHidden/>
          </w:rPr>
          <w:fldChar w:fldCharType="begin"/>
        </w:r>
        <w:r w:rsidR="0012026B">
          <w:rPr>
            <w:noProof/>
            <w:webHidden/>
          </w:rPr>
          <w:instrText xml:space="preserve"> PAGEREF _Toc468266987 \h </w:instrText>
        </w:r>
        <w:r w:rsidR="0012026B">
          <w:rPr>
            <w:noProof/>
            <w:webHidden/>
          </w:rPr>
        </w:r>
        <w:r w:rsidR="0012026B">
          <w:rPr>
            <w:noProof/>
            <w:webHidden/>
          </w:rPr>
          <w:fldChar w:fldCharType="separate"/>
        </w:r>
        <w:r w:rsidR="0012026B">
          <w:rPr>
            <w:noProof/>
            <w:webHidden/>
          </w:rPr>
          <w:t>101</w:t>
        </w:r>
        <w:r w:rsidR="0012026B">
          <w:rPr>
            <w:noProof/>
            <w:webHidden/>
          </w:rPr>
          <w:fldChar w:fldCharType="end"/>
        </w:r>
      </w:hyperlink>
    </w:p>
    <w:p w14:paraId="58526E0F" w14:textId="52FCD72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8" w:history="1">
        <w:r w:rsidR="0012026B" w:rsidRPr="0056582D">
          <w:rPr>
            <w:rStyle w:val="Hyperlink"/>
            <w:noProof/>
          </w:rPr>
          <w:t>Figure 16: Vanimundus, found NW Norfolk</w:t>
        </w:r>
        <w:r w:rsidR="0012026B">
          <w:rPr>
            <w:noProof/>
            <w:webHidden/>
          </w:rPr>
          <w:tab/>
        </w:r>
        <w:r w:rsidR="0012026B">
          <w:rPr>
            <w:noProof/>
            <w:webHidden/>
          </w:rPr>
          <w:fldChar w:fldCharType="begin"/>
        </w:r>
        <w:r w:rsidR="0012026B">
          <w:rPr>
            <w:noProof/>
            <w:webHidden/>
          </w:rPr>
          <w:instrText xml:space="preserve"> PAGEREF _Toc468266988 \h </w:instrText>
        </w:r>
        <w:r w:rsidR="0012026B">
          <w:rPr>
            <w:noProof/>
            <w:webHidden/>
          </w:rPr>
        </w:r>
        <w:r w:rsidR="0012026B">
          <w:rPr>
            <w:noProof/>
            <w:webHidden/>
          </w:rPr>
          <w:fldChar w:fldCharType="separate"/>
        </w:r>
        <w:r w:rsidR="0012026B">
          <w:rPr>
            <w:noProof/>
            <w:webHidden/>
          </w:rPr>
          <w:t>102</w:t>
        </w:r>
        <w:r w:rsidR="0012026B">
          <w:rPr>
            <w:noProof/>
            <w:webHidden/>
          </w:rPr>
          <w:fldChar w:fldCharType="end"/>
        </w:r>
      </w:hyperlink>
    </w:p>
    <w:p w14:paraId="6D5528FC" w14:textId="68F3BA9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89" w:history="1">
        <w:r w:rsidR="0012026B" w:rsidRPr="0056582D">
          <w:rPr>
            <w:rStyle w:val="Hyperlink"/>
            <w:noProof/>
          </w:rPr>
          <w:t>Figure 17: St. Cuthbert’s pectoral cross</w:t>
        </w:r>
        <w:r w:rsidR="0012026B">
          <w:rPr>
            <w:noProof/>
            <w:webHidden/>
          </w:rPr>
          <w:tab/>
        </w:r>
        <w:r w:rsidR="0012026B">
          <w:rPr>
            <w:noProof/>
            <w:webHidden/>
          </w:rPr>
          <w:fldChar w:fldCharType="begin"/>
        </w:r>
        <w:r w:rsidR="0012026B">
          <w:rPr>
            <w:noProof/>
            <w:webHidden/>
          </w:rPr>
          <w:instrText xml:space="preserve"> PAGEREF _Toc468266989 \h </w:instrText>
        </w:r>
        <w:r w:rsidR="0012026B">
          <w:rPr>
            <w:noProof/>
            <w:webHidden/>
          </w:rPr>
        </w:r>
        <w:r w:rsidR="0012026B">
          <w:rPr>
            <w:noProof/>
            <w:webHidden/>
          </w:rPr>
          <w:fldChar w:fldCharType="separate"/>
        </w:r>
        <w:r w:rsidR="0012026B">
          <w:rPr>
            <w:noProof/>
            <w:webHidden/>
          </w:rPr>
          <w:t>104</w:t>
        </w:r>
        <w:r w:rsidR="0012026B">
          <w:rPr>
            <w:noProof/>
            <w:webHidden/>
          </w:rPr>
          <w:fldChar w:fldCharType="end"/>
        </w:r>
      </w:hyperlink>
    </w:p>
    <w:p w14:paraId="77124F31" w14:textId="44B0F05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0" w:history="1">
        <w:r w:rsidR="0012026B" w:rsidRPr="0056582D">
          <w:rPr>
            <w:rStyle w:val="Hyperlink"/>
            <w:noProof/>
          </w:rPr>
          <w:t>Figure 18: Evidence of Northumbrian missionaries in Frisia</w:t>
        </w:r>
        <w:r w:rsidR="0012026B">
          <w:rPr>
            <w:noProof/>
            <w:webHidden/>
          </w:rPr>
          <w:tab/>
        </w:r>
        <w:r w:rsidR="0012026B">
          <w:rPr>
            <w:noProof/>
            <w:webHidden/>
          </w:rPr>
          <w:fldChar w:fldCharType="begin"/>
        </w:r>
        <w:r w:rsidR="0012026B">
          <w:rPr>
            <w:noProof/>
            <w:webHidden/>
          </w:rPr>
          <w:instrText xml:space="preserve"> PAGEREF _Toc468266990 \h </w:instrText>
        </w:r>
        <w:r w:rsidR="0012026B">
          <w:rPr>
            <w:noProof/>
            <w:webHidden/>
          </w:rPr>
        </w:r>
        <w:r w:rsidR="0012026B">
          <w:rPr>
            <w:noProof/>
            <w:webHidden/>
          </w:rPr>
          <w:fldChar w:fldCharType="separate"/>
        </w:r>
        <w:r w:rsidR="0012026B">
          <w:rPr>
            <w:noProof/>
            <w:webHidden/>
          </w:rPr>
          <w:t>105</w:t>
        </w:r>
        <w:r w:rsidR="0012026B">
          <w:rPr>
            <w:noProof/>
            <w:webHidden/>
          </w:rPr>
          <w:fldChar w:fldCharType="end"/>
        </w:r>
      </w:hyperlink>
    </w:p>
    <w:p w14:paraId="1475108D" w14:textId="744C09A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1" w:history="1">
        <w:r w:rsidR="0012026B" w:rsidRPr="0056582D">
          <w:rPr>
            <w:rStyle w:val="Hyperlink"/>
            <w:noProof/>
          </w:rPr>
          <w:t>Figure 19: Romanitas in secondary phase sceatta portraiture of Series K and T</w:t>
        </w:r>
        <w:r w:rsidR="0012026B">
          <w:rPr>
            <w:noProof/>
            <w:webHidden/>
          </w:rPr>
          <w:tab/>
        </w:r>
        <w:r w:rsidR="0012026B">
          <w:rPr>
            <w:noProof/>
            <w:webHidden/>
          </w:rPr>
          <w:fldChar w:fldCharType="begin"/>
        </w:r>
        <w:r w:rsidR="0012026B">
          <w:rPr>
            <w:noProof/>
            <w:webHidden/>
          </w:rPr>
          <w:instrText xml:space="preserve"> PAGEREF _Toc468266991 \h </w:instrText>
        </w:r>
        <w:r w:rsidR="0012026B">
          <w:rPr>
            <w:noProof/>
            <w:webHidden/>
          </w:rPr>
        </w:r>
        <w:r w:rsidR="0012026B">
          <w:rPr>
            <w:noProof/>
            <w:webHidden/>
          </w:rPr>
          <w:fldChar w:fldCharType="separate"/>
        </w:r>
        <w:r w:rsidR="0012026B">
          <w:rPr>
            <w:noProof/>
            <w:webHidden/>
          </w:rPr>
          <w:t>110</w:t>
        </w:r>
        <w:r w:rsidR="0012026B">
          <w:rPr>
            <w:noProof/>
            <w:webHidden/>
          </w:rPr>
          <w:fldChar w:fldCharType="end"/>
        </w:r>
      </w:hyperlink>
    </w:p>
    <w:p w14:paraId="6A08AD8A" w14:textId="332C7D5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2" w:history="1">
        <w:r w:rsidR="0012026B" w:rsidRPr="0056582D">
          <w:rPr>
            <w:rStyle w:val="Hyperlink"/>
            <w:noProof/>
          </w:rPr>
          <w:t>Figure 20: Rare Series J variant: the defeat of evil in two acts.</w:t>
        </w:r>
        <w:r w:rsidR="0012026B">
          <w:rPr>
            <w:noProof/>
            <w:webHidden/>
          </w:rPr>
          <w:tab/>
        </w:r>
        <w:r w:rsidR="0012026B">
          <w:rPr>
            <w:noProof/>
            <w:webHidden/>
          </w:rPr>
          <w:fldChar w:fldCharType="begin"/>
        </w:r>
        <w:r w:rsidR="0012026B">
          <w:rPr>
            <w:noProof/>
            <w:webHidden/>
          </w:rPr>
          <w:instrText xml:space="preserve"> PAGEREF _Toc468266992 \h </w:instrText>
        </w:r>
        <w:r w:rsidR="0012026B">
          <w:rPr>
            <w:noProof/>
            <w:webHidden/>
          </w:rPr>
        </w:r>
        <w:r w:rsidR="0012026B">
          <w:rPr>
            <w:noProof/>
            <w:webHidden/>
          </w:rPr>
          <w:fldChar w:fldCharType="separate"/>
        </w:r>
        <w:r w:rsidR="0012026B">
          <w:rPr>
            <w:noProof/>
            <w:webHidden/>
          </w:rPr>
          <w:t>111</w:t>
        </w:r>
        <w:r w:rsidR="0012026B">
          <w:rPr>
            <w:noProof/>
            <w:webHidden/>
          </w:rPr>
          <w:fldChar w:fldCharType="end"/>
        </w:r>
      </w:hyperlink>
    </w:p>
    <w:p w14:paraId="69F66970" w14:textId="71B716C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3" w:history="1">
        <w:r w:rsidR="0012026B" w:rsidRPr="0056582D">
          <w:rPr>
            <w:rStyle w:val="Hyperlink"/>
            <w:noProof/>
          </w:rPr>
          <w:t>Figure 21: Rare Series J variant: the defeat of evil in three acts.</w:t>
        </w:r>
        <w:r w:rsidR="0012026B">
          <w:rPr>
            <w:noProof/>
            <w:webHidden/>
          </w:rPr>
          <w:tab/>
        </w:r>
        <w:r w:rsidR="0012026B">
          <w:rPr>
            <w:noProof/>
            <w:webHidden/>
          </w:rPr>
          <w:fldChar w:fldCharType="begin"/>
        </w:r>
        <w:r w:rsidR="0012026B">
          <w:rPr>
            <w:noProof/>
            <w:webHidden/>
          </w:rPr>
          <w:instrText xml:space="preserve"> PAGEREF _Toc468266993 \h </w:instrText>
        </w:r>
        <w:r w:rsidR="0012026B">
          <w:rPr>
            <w:noProof/>
            <w:webHidden/>
          </w:rPr>
        </w:r>
        <w:r w:rsidR="0012026B">
          <w:rPr>
            <w:noProof/>
            <w:webHidden/>
          </w:rPr>
          <w:fldChar w:fldCharType="separate"/>
        </w:r>
        <w:r w:rsidR="0012026B">
          <w:rPr>
            <w:noProof/>
            <w:webHidden/>
          </w:rPr>
          <w:t>111</w:t>
        </w:r>
        <w:r w:rsidR="0012026B">
          <w:rPr>
            <w:noProof/>
            <w:webHidden/>
          </w:rPr>
          <w:fldChar w:fldCharType="end"/>
        </w:r>
      </w:hyperlink>
    </w:p>
    <w:p w14:paraId="2D37D384" w14:textId="3CF5B2A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4" w:history="1">
        <w:r w:rsidR="0012026B" w:rsidRPr="0056582D">
          <w:rPr>
            <w:rStyle w:val="Hyperlink"/>
            <w:noProof/>
          </w:rPr>
          <w:t>Figure 22: Series QII: the defeat of evil in two acts (SL group 64)</w:t>
        </w:r>
        <w:r w:rsidR="0012026B">
          <w:rPr>
            <w:noProof/>
            <w:webHidden/>
          </w:rPr>
          <w:tab/>
        </w:r>
        <w:r w:rsidR="0012026B">
          <w:rPr>
            <w:noProof/>
            <w:webHidden/>
          </w:rPr>
          <w:fldChar w:fldCharType="begin"/>
        </w:r>
        <w:r w:rsidR="0012026B">
          <w:rPr>
            <w:noProof/>
            <w:webHidden/>
          </w:rPr>
          <w:instrText xml:space="preserve"> PAGEREF _Toc468266994 \h </w:instrText>
        </w:r>
        <w:r w:rsidR="0012026B">
          <w:rPr>
            <w:noProof/>
            <w:webHidden/>
          </w:rPr>
        </w:r>
        <w:r w:rsidR="0012026B">
          <w:rPr>
            <w:noProof/>
            <w:webHidden/>
          </w:rPr>
          <w:fldChar w:fldCharType="separate"/>
        </w:r>
        <w:r w:rsidR="0012026B">
          <w:rPr>
            <w:noProof/>
            <w:webHidden/>
          </w:rPr>
          <w:t>111</w:t>
        </w:r>
        <w:r w:rsidR="0012026B">
          <w:rPr>
            <w:noProof/>
            <w:webHidden/>
          </w:rPr>
          <w:fldChar w:fldCharType="end"/>
        </w:r>
      </w:hyperlink>
    </w:p>
    <w:p w14:paraId="51BA4306" w14:textId="062824B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5" w:history="1">
        <w:r w:rsidR="0012026B" w:rsidRPr="0056582D">
          <w:rPr>
            <w:rStyle w:val="Hyperlink"/>
            <w:noProof/>
          </w:rPr>
          <w:t>Figure 23: Series B: syncretic imagery - apotropaic Uroboros.</w:t>
        </w:r>
        <w:r w:rsidR="0012026B">
          <w:rPr>
            <w:noProof/>
            <w:webHidden/>
          </w:rPr>
          <w:tab/>
        </w:r>
        <w:r w:rsidR="0012026B">
          <w:rPr>
            <w:noProof/>
            <w:webHidden/>
          </w:rPr>
          <w:fldChar w:fldCharType="begin"/>
        </w:r>
        <w:r w:rsidR="0012026B">
          <w:rPr>
            <w:noProof/>
            <w:webHidden/>
          </w:rPr>
          <w:instrText xml:space="preserve"> PAGEREF _Toc468266995 \h </w:instrText>
        </w:r>
        <w:r w:rsidR="0012026B">
          <w:rPr>
            <w:noProof/>
            <w:webHidden/>
          </w:rPr>
        </w:r>
        <w:r w:rsidR="0012026B">
          <w:rPr>
            <w:noProof/>
            <w:webHidden/>
          </w:rPr>
          <w:fldChar w:fldCharType="separate"/>
        </w:r>
        <w:r w:rsidR="0012026B">
          <w:rPr>
            <w:noProof/>
            <w:webHidden/>
          </w:rPr>
          <w:t>111</w:t>
        </w:r>
        <w:r w:rsidR="0012026B">
          <w:rPr>
            <w:noProof/>
            <w:webHidden/>
          </w:rPr>
          <w:fldChar w:fldCharType="end"/>
        </w:r>
      </w:hyperlink>
    </w:p>
    <w:p w14:paraId="71AA0F60" w14:textId="4C7485C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6" w:history="1">
        <w:r w:rsidR="0012026B" w:rsidRPr="0056582D">
          <w:rPr>
            <w:rStyle w:val="Hyperlink"/>
            <w:noProof/>
          </w:rPr>
          <w:t>Figure 24: Series E (left) &amp; D (right): intentional anonymity</w:t>
        </w:r>
        <w:r w:rsidR="0012026B">
          <w:rPr>
            <w:noProof/>
            <w:webHidden/>
          </w:rPr>
          <w:tab/>
        </w:r>
        <w:r w:rsidR="0012026B">
          <w:rPr>
            <w:noProof/>
            <w:webHidden/>
          </w:rPr>
          <w:fldChar w:fldCharType="begin"/>
        </w:r>
        <w:r w:rsidR="0012026B">
          <w:rPr>
            <w:noProof/>
            <w:webHidden/>
          </w:rPr>
          <w:instrText xml:space="preserve"> PAGEREF _Toc468266996 \h </w:instrText>
        </w:r>
        <w:r w:rsidR="0012026B">
          <w:rPr>
            <w:noProof/>
            <w:webHidden/>
          </w:rPr>
        </w:r>
        <w:r w:rsidR="0012026B">
          <w:rPr>
            <w:noProof/>
            <w:webHidden/>
          </w:rPr>
          <w:fldChar w:fldCharType="separate"/>
        </w:r>
        <w:r w:rsidR="0012026B">
          <w:rPr>
            <w:noProof/>
            <w:webHidden/>
          </w:rPr>
          <w:t>111</w:t>
        </w:r>
        <w:r w:rsidR="0012026B">
          <w:rPr>
            <w:noProof/>
            <w:webHidden/>
          </w:rPr>
          <w:fldChar w:fldCharType="end"/>
        </w:r>
      </w:hyperlink>
    </w:p>
    <w:p w14:paraId="241CB9AE" w14:textId="05AB4E9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7" w:history="1">
        <w:r w:rsidR="0012026B" w:rsidRPr="0056582D">
          <w:rPr>
            <w:rStyle w:val="Hyperlink"/>
            <w:noProof/>
          </w:rPr>
          <w:t>Figure 25: Progression through Series A</w:t>
        </w:r>
        <w:r w:rsidR="0012026B">
          <w:rPr>
            <w:noProof/>
            <w:webHidden/>
          </w:rPr>
          <w:tab/>
        </w:r>
        <w:r w:rsidR="0012026B">
          <w:rPr>
            <w:noProof/>
            <w:webHidden/>
          </w:rPr>
          <w:fldChar w:fldCharType="begin"/>
        </w:r>
        <w:r w:rsidR="0012026B">
          <w:rPr>
            <w:noProof/>
            <w:webHidden/>
          </w:rPr>
          <w:instrText xml:space="preserve"> PAGEREF _Toc468266997 \h </w:instrText>
        </w:r>
        <w:r w:rsidR="0012026B">
          <w:rPr>
            <w:noProof/>
            <w:webHidden/>
          </w:rPr>
        </w:r>
        <w:r w:rsidR="0012026B">
          <w:rPr>
            <w:noProof/>
            <w:webHidden/>
          </w:rPr>
          <w:fldChar w:fldCharType="separate"/>
        </w:r>
        <w:r w:rsidR="0012026B">
          <w:rPr>
            <w:noProof/>
            <w:webHidden/>
          </w:rPr>
          <w:t>112</w:t>
        </w:r>
        <w:r w:rsidR="0012026B">
          <w:rPr>
            <w:noProof/>
            <w:webHidden/>
          </w:rPr>
          <w:fldChar w:fldCharType="end"/>
        </w:r>
      </w:hyperlink>
    </w:p>
    <w:p w14:paraId="7D0C1FF3" w14:textId="55F3DD4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8" w:history="1">
        <w:r w:rsidR="0012026B" w:rsidRPr="0056582D">
          <w:rPr>
            <w:rStyle w:val="Hyperlink"/>
            <w:noProof/>
          </w:rPr>
          <w:t>Figure 26: Deterioration in late Series R</w:t>
        </w:r>
        <w:r w:rsidR="0012026B">
          <w:rPr>
            <w:noProof/>
            <w:webHidden/>
          </w:rPr>
          <w:tab/>
        </w:r>
        <w:r w:rsidR="0012026B">
          <w:rPr>
            <w:noProof/>
            <w:webHidden/>
          </w:rPr>
          <w:fldChar w:fldCharType="begin"/>
        </w:r>
        <w:r w:rsidR="0012026B">
          <w:rPr>
            <w:noProof/>
            <w:webHidden/>
          </w:rPr>
          <w:instrText xml:space="preserve"> PAGEREF _Toc468266998 \h </w:instrText>
        </w:r>
        <w:r w:rsidR="0012026B">
          <w:rPr>
            <w:noProof/>
            <w:webHidden/>
          </w:rPr>
        </w:r>
        <w:r w:rsidR="0012026B">
          <w:rPr>
            <w:noProof/>
            <w:webHidden/>
          </w:rPr>
          <w:fldChar w:fldCharType="separate"/>
        </w:r>
        <w:r w:rsidR="0012026B">
          <w:rPr>
            <w:noProof/>
            <w:webHidden/>
          </w:rPr>
          <w:t>112</w:t>
        </w:r>
        <w:r w:rsidR="0012026B">
          <w:rPr>
            <w:noProof/>
            <w:webHidden/>
          </w:rPr>
          <w:fldChar w:fldCharType="end"/>
        </w:r>
      </w:hyperlink>
    </w:p>
    <w:p w14:paraId="5532A204" w14:textId="3DEDBCD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6999" w:history="1">
        <w:r w:rsidR="0012026B" w:rsidRPr="0056582D">
          <w:rPr>
            <w:rStyle w:val="Hyperlink"/>
            <w:noProof/>
          </w:rPr>
          <w:t>Figure 27: Metrological variations in circulating coinage, Series E and U.</w:t>
        </w:r>
        <w:r w:rsidR="0012026B">
          <w:rPr>
            <w:noProof/>
            <w:webHidden/>
          </w:rPr>
          <w:tab/>
        </w:r>
        <w:r w:rsidR="0012026B">
          <w:rPr>
            <w:noProof/>
            <w:webHidden/>
          </w:rPr>
          <w:fldChar w:fldCharType="begin"/>
        </w:r>
        <w:r w:rsidR="0012026B">
          <w:rPr>
            <w:noProof/>
            <w:webHidden/>
          </w:rPr>
          <w:instrText xml:space="preserve"> PAGEREF _Toc468266999 \h </w:instrText>
        </w:r>
        <w:r w:rsidR="0012026B">
          <w:rPr>
            <w:noProof/>
            <w:webHidden/>
          </w:rPr>
        </w:r>
        <w:r w:rsidR="0012026B">
          <w:rPr>
            <w:noProof/>
            <w:webHidden/>
          </w:rPr>
          <w:fldChar w:fldCharType="separate"/>
        </w:r>
        <w:r w:rsidR="0012026B">
          <w:rPr>
            <w:noProof/>
            <w:webHidden/>
          </w:rPr>
          <w:t>113</w:t>
        </w:r>
        <w:r w:rsidR="0012026B">
          <w:rPr>
            <w:noProof/>
            <w:webHidden/>
          </w:rPr>
          <w:fldChar w:fldCharType="end"/>
        </w:r>
      </w:hyperlink>
    </w:p>
    <w:p w14:paraId="127E4D4C" w14:textId="03D3526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0" w:history="1">
        <w:r w:rsidR="0012026B" w:rsidRPr="0056582D">
          <w:rPr>
            <w:rStyle w:val="Hyperlink"/>
            <w:noProof/>
          </w:rPr>
          <w:t>Figure 28: Denier of Melle</w:t>
        </w:r>
        <w:r w:rsidR="0012026B">
          <w:rPr>
            <w:noProof/>
            <w:webHidden/>
          </w:rPr>
          <w:tab/>
        </w:r>
        <w:r w:rsidR="0012026B">
          <w:rPr>
            <w:noProof/>
            <w:webHidden/>
          </w:rPr>
          <w:fldChar w:fldCharType="begin"/>
        </w:r>
        <w:r w:rsidR="0012026B">
          <w:rPr>
            <w:noProof/>
            <w:webHidden/>
          </w:rPr>
          <w:instrText xml:space="preserve"> PAGEREF _Toc468267000 \h </w:instrText>
        </w:r>
        <w:r w:rsidR="0012026B">
          <w:rPr>
            <w:noProof/>
            <w:webHidden/>
          </w:rPr>
        </w:r>
        <w:r w:rsidR="0012026B">
          <w:rPr>
            <w:noProof/>
            <w:webHidden/>
          </w:rPr>
          <w:fldChar w:fldCharType="separate"/>
        </w:r>
        <w:r w:rsidR="0012026B">
          <w:rPr>
            <w:noProof/>
            <w:webHidden/>
          </w:rPr>
          <w:t>114</w:t>
        </w:r>
        <w:r w:rsidR="0012026B">
          <w:rPr>
            <w:noProof/>
            <w:webHidden/>
          </w:rPr>
          <w:fldChar w:fldCharType="end"/>
        </w:r>
      </w:hyperlink>
    </w:p>
    <w:p w14:paraId="126807EC" w14:textId="005A145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1" w:history="1">
        <w:r w:rsidR="0012026B" w:rsidRPr="0056582D">
          <w:rPr>
            <w:rStyle w:val="Hyperlink"/>
            <w:noProof/>
          </w:rPr>
          <w:t>Figure 29: Sceatta reverses compared.</w:t>
        </w:r>
        <w:r w:rsidR="0012026B">
          <w:rPr>
            <w:noProof/>
            <w:webHidden/>
          </w:rPr>
          <w:tab/>
        </w:r>
        <w:r w:rsidR="0012026B">
          <w:rPr>
            <w:noProof/>
            <w:webHidden/>
          </w:rPr>
          <w:fldChar w:fldCharType="begin"/>
        </w:r>
        <w:r w:rsidR="0012026B">
          <w:rPr>
            <w:noProof/>
            <w:webHidden/>
          </w:rPr>
          <w:instrText xml:space="preserve"> PAGEREF _Toc468267001 \h </w:instrText>
        </w:r>
        <w:r w:rsidR="0012026B">
          <w:rPr>
            <w:noProof/>
            <w:webHidden/>
          </w:rPr>
        </w:r>
        <w:r w:rsidR="0012026B">
          <w:rPr>
            <w:noProof/>
            <w:webHidden/>
          </w:rPr>
          <w:fldChar w:fldCharType="separate"/>
        </w:r>
        <w:r w:rsidR="0012026B">
          <w:rPr>
            <w:noProof/>
            <w:webHidden/>
          </w:rPr>
          <w:t>115</w:t>
        </w:r>
        <w:r w:rsidR="0012026B">
          <w:rPr>
            <w:noProof/>
            <w:webHidden/>
          </w:rPr>
          <w:fldChar w:fldCharType="end"/>
        </w:r>
      </w:hyperlink>
    </w:p>
    <w:p w14:paraId="3C049BC3" w14:textId="58899AF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2" w:history="1">
        <w:r w:rsidR="0012026B" w:rsidRPr="0056582D">
          <w:rPr>
            <w:rStyle w:val="Hyperlink"/>
            <w:noProof/>
          </w:rPr>
          <w:t>Figure 30</w:t>
        </w:r>
        <w:r w:rsidR="0012026B" w:rsidRPr="0056582D">
          <w:rPr>
            <w:rStyle w:val="Hyperlink"/>
            <w:rFonts w:cs="Times New Roman"/>
            <w:noProof/>
          </w:rPr>
          <w:t>: Aldfrith sceat, found Kilham, East Yorkshire (SL69)</w:t>
        </w:r>
        <w:r w:rsidR="0012026B">
          <w:rPr>
            <w:noProof/>
            <w:webHidden/>
          </w:rPr>
          <w:tab/>
        </w:r>
        <w:r w:rsidR="0012026B">
          <w:rPr>
            <w:noProof/>
            <w:webHidden/>
          </w:rPr>
          <w:fldChar w:fldCharType="begin"/>
        </w:r>
        <w:r w:rsidR="0012026B">
          <w:rPr>
            <w:noProof/>
            <w:webHidden/>
          </w:rPr>
          <w:instrText xml:space="preserve"> PAGEREF _Toc468267002 \h </w:instrText>
        </w:r>
        <w:r w:rsidR="0012026B">
          <w:rPr>
            <w:noProof/>
            <w:webHidden/>
          </w:rPr>
        </w:r>
        <w:r w:rsidR="0012026B">
          <w:rPr>
            <w:noProof/>
            <w:webHidden/>
          </w:rPr>
          <w:fldChar w:fldCharType="separate"/>
        </w:r>
        <w:r w:rsidR="0012026B">
          <w:rPr>
            <w:noProof/>
            <w:webHidden/>
          </w:rPr>
          <w:t>117</w:t>
        </w:r>
        <w:r w:rsidR="0012026B">
          <w:rPr>
            <w:noProof/>
            <w:webHidden/>
          </w:rPr>
          <w:fldChar w:fldCharType="end"/>
        </w:r>
      </w:hyperlink>
    </w:p>
    <w:p w14:paraId="17D85611" w14:textId="419FEB7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3" w:history="1">
        <w:r w:rsidR="0012026B" w:rsidRPr="0056582D">
          <w:rPr>
            <w:rStyle w:val="Hyperlink"/>
            <w:noProof/>
          </w:rPr>
          <w:t>Figure 31: ‘Maltese cross’ variety found Norfolk, north-west Norfolk.</w:t>
        </w:r>
        <w:r w:rsidR="0012026B">
          <w:rPr>
            <w:noProof/>
            <w:webHidden/>
          </w:rPr>
          <w:tab/>
        </w:r>
        <w:r w:rsidR="0012026B">
          <w:rPr>
            <w:noProof/>
            <w:webHidden/>
          </w:rPr>
          <w:fldChar w:fldCharType="begin"/>
        </w:r>
        <w:r w:rsidR="0012026B">
          <w:rPr>
            <w:noProof/>
            <w:webHidden/>
          </w:rPr>
          <w:instrText xml:space="preserve"> PAGEREF _Toc468267003 \h </w:instrText>
        </w:r>
        <w:r w:rsidR="0012026B">
          <w:rPr>
            <w:noProof/>
            <w:webHidden/>
          </w:rPr>
        </w:r>
        <w:r w:rsidR="0012026B">
          <w:rPr>
            <w:noProof/>
            <w:webHidden/>
          </w:rPr>
          <w:fldChar w:fldCharType="separate"/>
        </w:r>
        <w:r w:rsidR="0012026B">
          <w:rPr>
            <w:noProof/>
            <w:webHidden/>
          </w:rPr>
          <w:t>117</w:t>
        </w:r>
        <w:r w:rsidR="0012026B">
          <w:rPr>
            <w:noProof/>
            <w:webHidden/>
          </w:rPr>
          <w:fldChar w:fldCharType="end"/>
        </w:r>
      </w:hyperlink>
    </w:p>
    <w:p w14:paraId="616A95ED" w14:textId="4DF5D886"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4" w:history="1">
        <w:r w:rsidR="0012026B" w:rsidRPr="0056582D">
          <w:rPr>
            <w:rStyle w:val="Hyperlink"/>
            <w:noProof/>
          </w:rPr>
          <w:t>Figure 32: L: Series A (SL3). R: ‘Valdoberhtus’</w:t>
        </w:r>
        <w:r w:rsidR="0012026B">
          <w:rPr>
            <w:noProof/>
            <w:webHidden/>
          </w:rPr>
          <w:tab/>
        </w:r>
        <w:r w:rsidR="0012026B">
          <w:rPr>
            <w:noProof/>
            <w:webHidden/>
          </w:rPr>
          <w:fldChar w:fldCharType="begin"/>
        </w:r>
        <w:r w:rsidR="0012026B">
          <w:rPr>
            <w:noProof/>
            <w:webHidden/>
          </w:rPr>
          <w:instrText xml:space="preserve"> PAGEREF _Toc468267004 \h </w:instrText>
        </w:r>
        <w:r w:rsidR="0012026B">
          <w:rPr>
            <w:noProof/>
            <w:webHidden/>
          </w:rPr>
        </w:r>
        <w:r w:rsidR="0012026B">
          <w:rPr>
            <w:noProof/>
            <w:webHidden/>
          </w:rPr>
          <w:fldChar w:fldCharType="separate"/>
        </w:r>
        <w:r w:rsidR="0012026B">
          <w:rPr>
            <w:noProof/>
            <w:webHidden/>
          </w:rPr>
          <w:t>117</w:t>
        </w:r>
        <w:r w:rsidR="0012026B">
          <w:rPr>
            <w:noProof/>
            <w:webHidden/>
          </w:rPr>
          <w:fldChar w:fldCharType="end"/>
        </w:r>
      </w:hyperlink>
    </w:p>
    <w:p w14:paraId="51069770" w14:textId="39CFAE2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5" w:history="1">
        <w:r w:rsidR="0012026B" w:rsidRPr="0056582D">
          <w:rPr>
            <w:rStyle w:val="Hyperlink"/>
            <w:noProof/>
          </w:rPr>
          <w:t>Figure 33: L: Runic Series CZ, found ‘Yorkshire’, (SL5). R: ‘Saroaldo’.</w:t>
        </w:r>
        <w:r w:rsidR="0012026B">
          <w:rPr>
            <w:noProof/>
            <w:webHidden/>
          </w:rPr>
          <w:tab/>
        </w:r>
        <w:r w:rsidR="0012026B">
          <w:rPr>
            <w:noProof/>
            <w:webHidden/>
          </w:rPr>
          <w:fldChar w:fldCharType="begin"/>
        </w:r>
        <w:r w:rsidR="0012026B">
          <w:rPr>
            <w:noProof/>
            <w:webHidden/>
          </w:rPr>
          <w:instrText xml:space="preserve"> PAGEREF _Toc468267005 \h </w:instrText>
        </w:r>
        <w:r w:rsidR="0012026B">
          <w:rPr>
            <w:noProof/>
            <w:webHidden/>
          </w:rPr>
        </w:r>
        <w:r w:rsidR="0012026B">
          <w:rPr>
            <w:noProof/>
            <w:webHidden/>
          </w:rPr>
          <w:fldChar w:fldCharType="separate"/>
        </w:r>
        <w:r w:rsidR="0012026B">
          <w:rPr>
            <w:noProof/>
            <w:webHidden/>
          </w:rPr>
          <w:t>118</w:t>
        </w:r>
        <w:r w:rsidR="0012026B">
          <w:rPr>
            <w:noProof/>
            <w:webHidden/>
          </w:rPr>
          <w:fldChar w:fldCharType="end"/>
        </w:r>
      </w:hyperlink>
    </w:p>
    <w:p w14:paraId="04EC8493" w14:textId="3B0592F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6" w:history="1">
        <w:r w:rsidR="0012026B" w:rsidRPr="0056582D">
          <w:rPr>
            <w:rStyle w:val="Hyperlink"/>
            <w:noProof/>
          </w:rPr>
          <w:t>Figure 34: Sceats of primary Frisian Series D</w:t>
        </w:r>
        <w:r w:rsidR="0012026B">
          <w:rPr>
            <w:noProof/>
            <w:webHidden/>
          </w:rPr>
          <w:tab/>
        </w:r>
        <w:r w:rsidR="0012026B">
          <w:rPr>
            <w:noProof/>
            <w:webHidden/>
          </w:rPr>
          <w:fldChar w:fldCharType="begin"/>
        </w:r>
        <w:r w:rsidR="0012026B">
          <w:rPr>
            <w:noProof/>
            <w:webHidden/>
          </w:rPr>
          <w:instrText xml:space="preserve"> PAGEREF _Toc468267006 \h </w:instrText>
        </w:r>
        <w:r w:rsidR="0012026B">
          <w:rPr>
            <w:noProof/>
            <w:webHidden/>
          </w:rPr>
        </w:r>
        <w:r w:rsidR="0012026B">
          <w:rPr>
            <w:noProof/>
            <w:webHidden/>
          </w:rPr>
          <w:fldChar w:fldCharType="separate"/>
        </w:r>
        <w:r w:rsidR="0012026B">
          <w:rPr>
            <w:noProof/>
            <w:webHidden/>
          </w:rPr>
          <w:t>118</w:t>
        </w:r>
        <w:r w:rsidR="0012026B">
          <w:rPr>
            <w:noProof/>
            <w:webHidden/>
          </w:rPr>
          <w:fldChar w:fldCharType="end"/>
        </w:r>
      </w:hyperlink>
    </w:p>
    <w:p w14:paraId="00A6A990" w14:textId="2C22714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7" w:history="1">
        <w:r w:rsidR="0012026B" w:rsidRPr="0056582D">
          <w:rPr>
            <w:rStyle w:val="Hyperlink"/>
            <w:noProof/>
          </w:rPr>
          <w:t>Figure 35: Sceats of the four primary Series E varieties (SL87-90)</w:t>
        </w:r>
        <w:r w:rsidR="0012026B">
          <w:rPr>
            <w:noProof/>
            <w:webHidden/>
          </w:rPr>
          <w:tab/>
        </w:r>
        <w:r w:rsidR="0012026B">
          <w:rPr>
            <w:noProof/>
            <w:webHidden/>
          </w:rPr>
          <w:fldChar w:fldCharType="begin"/>
        </w:r>
        <w:r w:rsidR="0012026B">
          <w:rPr>
            <w:noProof/>
            <w:webHidden/>
          </w:rPr>
          <w:instrText xml:space="preserve"> PAGEREF _Toc468267007 \h </w:instrText>
        </w:r>
        <w:r w:rsidR="0012026B">
          <w:rPr>
            <w:noProof/>
            <w:webHidden/>
          </w:rPr>
        </w:r>
        <w:r w:rsidR="0012026B">
          <w:rPr>
            <w:noProof/>
            <w:webHidden/>
          </w:rPr>
          <w:fldChar w:fldCharType="separate"/>
        </w:r>
        <w:r w:rsidR="0012026B">
          <w:rPr>
            <w:noProof/>
            <w:webHidden/>
          </w:rPr>
          <w:t>118</w:t>
        </w:r>
        <w:r w:rsidR="0012026B">
          <w:rPr>
            <w:noProof/>
            <w:webHidden/>
          </w:rPr>
          <w:fldChar w:fldCharType="end"/>
        </w:r>
      </w:hyperlink>
    </w:p>
    <w:p w14:paraId="14C3A898" w14:textId="1B8D528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8" w:history="1">
        <w:r w:rsidR="0012026B" w:rsidRPr="0056582D">
          <w:rPr>
            <w:rStyle w:val="Hyperlink"/>
            <w:noProof/>
          </w:rPr>
          <w:t>Figure 36: Merovingian silver deniers of the named mint/moneyer type:</w:t>
        </w:r>
        <w:r w:rsidR="0012026B">
          <w:rPr>
            <w:noProof/>
            <w:webHidden/>
          </w:rPr>
          <w:tab/>
        </w:r>
        <w:r w:rsidR="0012026B">
          <w:rPr>
            <w:noProof/>
            <w:webHidden/>
          </w:rPr>
          <w:fldChar w:fldCharType="begin"/>
        </w:r>
        <w:r w:rsidR="0012026B">
          <w:rPr>
            <w:noProof/>
            <w:webHidden/>
          </w:rPr>
          <w:instrText xml:space="preserve"> PAGEREF _Toc468267008 \h </w:instrText>
        </w:r>
        <w:r w:rsidR="0012026B">
          <w:rPr>
            <w:noProof/>
            <w:webHidden/>
          </w:rPr>
        </w:r>
        <w:r w:rsidR="0012026B">
          <w:rPr>
            <w:noProof/>
            <w:webHidden/>
          </w:rPr>
          <w:fldChar w:fldCharType="separate"/>
        </w:r>
        <w:r w:rsidR="0012026B">
          <w:rPr>
            <w:noProof/>
            <w:webHidden/>
          </w:rPr>
          <w:t>121</w:t>
        </w:r>
        <w:r w:rsidR="0012026B">
          <w:rPr>
            <w:noProof/>
            <w:webHidden/>
          </w:rPr>
          <w:fldChar w:fldCharType="end"/>
        </w:r>
      </w:hyperlink>
    </w:p>
    <w:p w14:paraId="31279A4D" w14:textId="4E1B862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09" w:history="1">
        <w:r w:rsidR="0012026B" w:rsidRPr="0056582D">
          <w:rPr>
            <w:rStyle w:val="Hyperlink"/>
            <w:noProof/>
          </w:rPr>
          <w:t>Figure 37: Mint-monogrammed deniers</w:t>
        </w:r>
        <w:r w:rsidR="0012026B">
          <w:rPr>
            <w:noProof/>
            <w:webHidden/>
          </w:rPr>
          <w:tab/>
        </w:r>
        <w:r w:rsidR="0012026B">
          <w:rPr>
            <w:noProof/>
            <w:webHidden/>
          </w:rPr>
          <w:fldChar w:fldCharType="begin"/>
        </w:r>
        <w:r w:rsidR="0012026B">
          <w:rPr>
            <w:noProof/>
            <w:webHidden/>
          </w:rPr>
          <w:instrText xml:space="preserve"> PAGEREF _Toc468267009 \h </w:instrText>
        </w:r>
        <w:r w:rsidR="0012026B">
          <w:rPr>
            <w:noProof/>
            <w:webHidden/>
          </w:rPr>
        </w:r>
        <w:r w:rsidR="0012026B">
          <w:rPr>
            <w:noProof/>
            <w:webHidden/>
          </w:rPr>
          <w:fldChar w:fldCharType="separate"/>
        </w:r>
        <w:r w:rsidR="0012026B">
          <w:rPr>
            <w:noProof/>
            <w:webHidden/>
          </w:rPr>
          <w:t>121</w:t>
        </w:r>
        <w:r w:rsidR="0012026B">
          <w:rPr>
            <w:noProof/>
            <w:webHidden/>
          </w:rPr>
          <w:fldChar w:fldCharType="end"/>
        </w:r>
      </w:hyperlink>
    </w:p>
    <w:p w14:paraId="57573B19" w14:textId="61E3783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0" w:history="1">
        <w:r w:rsidR="0012026B" w:rsidRPr="0056582D">
          <w:rPr>
            <w:rStyle w:val="Hyperlink"/>
            <w:noProof/>
          </w:rPr>
          <w:t>Figure 38: Typical of Northumbrian finds dating to c.710 – c.725, Series J</w:t>
        </w:r>
        <w:r w:rsidR="0012026B">
          <w:rPr>
            <w:noProof/>
            <w:webHidden/>
          </w:rPr>
          <w:tab/>
        </w:r>
        <w:r w:rsidR="0012026B">
          <w:rPr>
            <w:noProof/>
            <w:webHidden/>
          </w:rPr>
          <w:fldChar w:fldCharType="begin"/>
        </w:r>
        <w:r w:rsidR="0012026B">
          <w:rPr>
            <w:noProof/>
            <w:webHidden/>
          </w:rPr>
          <w:instrText xml:space="preserve"> PAGEREF _Toc468267010 \h </w:instrText>
        </w:r>
        <w:r w:rsidR="0012026B">
          <w:rPr>
            <w:noProof/>
            <w:webHidden/>
          </w:rPr>
        </w:r>
        <w:r w:rsidR="0012026B">
          <w:rPr>
            <w:noProof/>
            <w:webHidden/>
          </w:rPr>
          <w:fldChar w:fldCharType="separate"/>
        </w:r>
        <w:r w:rsidR="0012026B">
          <w:rPr>
            <w:noProof/>
            <w:webHidden/>
          </w:rPr>
          <w:t>122</w:t>
        </w:r>
        <w:r w:rsidR="0012026B">
          <w:rPr>
            <w:noProof/>
            <w:webHidden/>
          </w:rPr>
          <w:fldChar w:fldCharType="end"/>
        </w:r>
      </w:hyperlink>
    </w:p>
    <w:p w14:paraId="48831C57" w14:textId="6B96E8D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1" w:history="1">
        <w:r w:rsidR="0012026B" w:rsidRPr="0056582D">
          <w:rPr>
            <w:rStyle w:val="Hyperlink"/>
            <w:noProof/>
          </w:rPr>
          <w:t>Figure 39: The rare ‘fledgling’ sceat with its possible allusion to Cuthbert.</w:t>
        </w:r>
        <w:r w:rsidR="0012026B">
          <w:rPr>
            <w:noProof/>
            <w:webHidden/>
          </w:rPr>
          <w:tab/>
        </w:r>
        <w:r w:rsidR="0012026B">
          <w:rPr>
            <w:noProof/>
            <w:webHidden/>
          </w:rPr>
          <w:fldChar w:fldCharType="begin"/>
        </w:r>
        <w:r w:rsidR="0012026B">
          <w:rPr>
            <w:noProof/>
            <w:webHidden/>
          </w:rPr>
          <w:instrText xml:space="preserve"> PAGEREF _Toc468267011 \h </w:instrText>
        </w:r>
        <w:r w:rsidR="0012026B">
          <w:rPr>
            <w:noProof/>
            <w:webHidden/>
          </w:rPr>
        </w:r>
        <w:r w:rsidR="0012026B">
          <w:rPr>
            <w:noProof/>
            <w:webHidden/>
          </w:rPr>
          <w:fldChar w:fldCharType="separate"/>
        </w:r>
        <w:r w:rsidR="0012026B">
          <w:rPr>
            <w:noProof/>
            <w:webHidden/>
          </w:rPr>
          <w:t>122</w:t>
        </w:r>
        <w:r w:rsidR="0012026B">
          <w:rPr>
            <w:noProof/>
            <w:webHidden/>
          </w:rPr>
          <w:fldChar w:fldCharType="end"/>
        </w:r>
      </w:hyperlink>
    </w:p>
    <w:p w14:paraId="68E30720" w14:textId="4EB95B5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2" w:history="1">
        <w:r w:rsidR="0012026B" w:rsidRPr="0056582D">
          <w:rPr>
            <w:rStyle w:val="Hyperlink"/>
            <w:noProof/>
          </w:rPr>
          <w:t>Figure 40: L: Series U, Thames Valley, c.710 – c.735. R: Series O, c.720 – c.735</w:t>
        </w:r>
        <w:r w:rsidR="0012026B">
          <w:rPr>
            <w:noProof/>
            <w:webHidden/>
          </w:rPr>
          <w:tab/>
        </w:r>
        <w:r w:rsidR="0012026B">
          <w:rPr>
            <w:noProof/>
            <w:webHidden/>
          </w:rPr>
          <w:fldChar w:fldCharType="begin"/>
        </w:r>
        <w:r w:rsidR="0012026B">
          <w:rPr>
            <w:noProof/>
            <w:webHidden/>
          </w:rPr>
          <w:instrText xml:space="preserve"> PAGEREF _Toc468267012 \h </w:instrText>
        </w:r>
        <w:r w:rsidR="0012026B">
          <w:rPr>
            <w:noProof/>
            <w:webHidden/>
          </w:rPr>
        </w:r>
        <w:r w:rsidR="0012026B">
          <w:rPr>
            <w:noProof/>
            <w:webHidden/>
          </w:rPr>
          <w:fldChar w:fldCharType="separate"/>
        </w:r>
        <w:r w:rsidR="0012026B">
          <w:rPr>
            <w:noProof/>
            <w:webHidden/>
          </w:rPr>
          <w:t>123</w:t>
        </w:r>
        <w:r w:rsidR="0012026B">
          <w:rPr>
            <w:noProof/>
            <w:webHidden/>
          </w:rPr>
          <w:fldChar w:fldCharType="end"/>
        </w:r>
      </w:hyperlink>
    </w:p>
    <w:p w14:paraId="68954870" w14:textId="1A7DBAC2"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3" w:history="1">
        <w:r w:rsidR="0012026B" w:rsidRPr="0056582D">
          <w:rPr>
            <w:rStyle w:val="Hyperlink"/>
            <w:noProof/>
          </w:rPr>
          <w:t>Figure 41: Exotic species</w:t>
        </w:r>
        <w:r w:rsidR="0012026B">
          <w:rPr>
            <w:noProof/>
            <w:webHidden/>
          </w:rPr>
          <w:tab/>
        </w:r>
        <w:r w:rsidR="0012026B">
          <w:rPr>
            <w:noProof/>
            <w:webHidden/>
          </w:rPr>
          <w:fldChar w:fldCharType="begin"/>
        </w:r>
        <w:r w:rsidR="0012026B">
          <w:rPr>
            <w:noProof/>
            <w:webHidden/>
          </w:rPr>
          <w:instrText xml:space="preserve"> PAGEREF _Toc468267013 \h </w:instrText>
        </w:r>
        <w:r w:rsidR="0012026B">
          <w:rPr>
            <w:noProof/>
            <w:webHidden/>
          </w:rPr>
        </w:r>
        <w:r w:rsidR="0012026B">
          <w:rPr>
            <w:noProof/>
            <w:webHidden/>
          </w:rPr>
          <w:fldChar w:fldCharType="separate"/>
        </w:r>
        <w:r w:rsidR="0012026B">
          <w:rPr>
            <w:noProof/>
            <w:webHidden/>
          </w:rPr>
          <w:t>123</w:t>
        </w:r>
        <w:r w:rsidR="0012026B">
          <w:rPr>
            <w:noProof/>
            <w:webHidden/>
          </w:rPr>
          <w:fldChar w:fldCharType="end"/>
        </w:r>
      </w:hyperlink>
    </w:p>
    <w:p w14:paraId="4208ED85" w14:textId="6470519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4" w:history="1">
        <w:r w:rsidR="0012026B" w:rsidRPr="0056582D">
          <w:rPr>
            <w:rStyle w:val="Hyperlink"/>
            <w:noProof/>
          </w:rPr>
          <w:t>Figure 42</w:t>
        </w:r>
        <w:r w:rsidR="0012026B" w:rsidRPr="0056582D">
          <w:rPr>
            <w:rStyle w:val="Hyperlink"/>
            <w:rFonts w:cs="Times New Roman"/>
            <w:noProof/>
          </w:rPr>
          <w:t>: Secondary Series E (SL95-7) finds from Driffield</w:t>
        </w:r>
        <w:r w:rsidR="0012026B">
          <w:rPr>
            <w:noProof/>
            <w:webHidden/>
          </w:rPr>
          <w:tab/>
        </w:r>
        <w:r w:rsidR="0012026B">
          <w:rPr>
            <w:noProof/>
            <w:webHidden/>
          </w:rPr>
          <w:fldChar w:fldCharType="begin"/>
        </w:r>
        <w:r w:rsidR="0012026B">
          <w:rPr>
            <w:noProof/>
            <w:webHidden/>
          </w:rPr>
          <w:instrText xml:space="preserve"> PAGEREF _Toc468267014 \h </w:instrText>
        </w:r>
        <w:r w:rsidR="0012026B">
          <w:rPr>
            <w:noProof/>
            <w:webHidden/>
          </w:rPr>
        </w:r>
        <w:r w:rsidR="0012026B">
          <w:rPr>
            <w:noProof/>
            <w:webHidden/>
          </w:rPr>
          <w:fldChar w:fldCharType="separate"/>
        </w:r>
        <w:r w:rsidR="0012026B">
          <w:rPr>
            <w:noProof/>
            <w:webHidden/>
          </w:rPr>
          <w:t>123</w:t>
        </w:r>
        <w:r w:rsidR="0012026B">
          <w:rPr>
            <w:noProof/>
            <w:webHidden/>
          </w:rPr>
          <w:fldChar w:fldCharType="end"/>
        </w:r>
      </w:hyperlink>
    </w:p>
    <w:p w14:paraId="6B8CD251" w14:textId="4FE9B1A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5" w:history="1">
        <w:r w:rsidR="0012026B" w:rsidRPr="0056582D">
          <w:rPr>
            <w:rStyle w:val="Hyperlink"/>
            <w:noProof/>
          </w:rPr>
          <w:t>Figure 43: Secondary Series E (SL95-7)</w:t>
        </w:r>
        <w:r w:rsidR="0012026B">
          <w:rPr>
            <w:noProof/>
            <w:webHidden/>
          </w:rPr>
          <w:tab/>
        </w:r>
        <w:r w:rsidR="0012026B">
          <w:rPr>
            <w:noProof/>
            <w:webHidden/>
          </w:rPr>
          <w:fldChar w:fldCharType="begin"/>
        </w:r>
        <w:r w:rsidR="0012026B">
          <w:rPr>
            <w:noProof/>
            <w:webHidden/>
          </w:rPr>
          <w:instrText xml:space="preserve"> PAGEREF _Toc468267015 \h </w:instrText>
        </w:r>
        <w:r w:rsidR="0012026B">
          <w:rPr>
            <w:noProof/>
            <w:webHidden/>
          </w:rPr>
        </w:r>
        <w:r w:rsidR="0012026B">
          <w:rPr>
            <w:noProof/>
            <w:webHidden/>
          </w:rPr>
          <w:fldChar w:fldCharType="separate"/>
        </w:r>
        <w:r w:rsidR="0012026B">
          <w:rPr>
            <w:noProof/>
            <w:webHidden/>
          </w:rPr>
          <w:t>123</w:t>
        </w:r>
        <w:r w:rsidR="0012026B">
          <w:rPr>
            <w:noProof/>
            <w:webHidden/>
          </w:rPr>
          <w:fldChar w:fldCharType="end"/>
        </w:r>
      </w:hyperlink>
    </w:p>
    <w:p w14:paraId="146D66D0" w14:textId="569BAE8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6" w:history="1">
        <w:r w:rsidR="0012026B" w:rsidRPr="0056582D">
          <w:rPr>
            <w:rStyle w:val="Hyperlink"/>
            <w:noProof/>
          </w:rPr>
          <w:t>Figure 44</w:t>
        </w:r>
        <w:r w:rsidR="0012026B" w:rsidRPr="0056582D">
          <w:rPr>
            <w:rStyle w:val="Hyperlink"/>
            <w:rFonts w:cs="Times New Roman"/>
            <w:noProof/>
          </w:rPr>
          <w:t xml:space="preserve">: Series G: left, with rotated reverse, Kilham, right, Fimber </w:t>
        </w:r>
        <w:r w:rsidR="0012026B" w:rsidRPr="0056582D">
          <w:rPr>
            <w:rStyle w:val="Hyperlink"/>
            <w:noProof/>
          </w:rPr>
          <w:t>(SL21)</w:t>
        </w:r>
        <w:r w:rsidR="0012026B">
          <w:rPr>
            <w:noProof/>
            <w:webHidden/>
          </w:rPr>
          <w:tab/>
        </w:r>
        <w:r w:rsidR="0012026B">
          <w:rPr>
            <w:noProof/>
            <w:webHidden/>
          </w:rPr>
          <w:fldChar w:fldCharType="begin"/>
        </w:r>
        <w:r w:rsidR="0012026B">
          <w:rPr>
            <w:noProof/>
            <w:webHidden/>
          </w:rPr>
          <w:instrText xml:space="preserve"> PAGEREF _Toc468267016 \h </w:instrText>
        </w:r>
        <w:r w:rsidR="0012026B">
          <w:rPr>
            <w:noProof/>
            <w:webHidden/>
          </w:rPr>
        </w:r>
        <w:r w:rsidR="0012026B">
          <w:rPr>
            <w:noProof/>
            <w:webHidden/>
          </w:rPr>
          <w:fldChar w:fldCharType="separate"/>
        </w:r>
        <w:r w:rsidR="0012026B">
          <w:rPr>
            <w:noProof/>
            <w:webHidden/>
          </w:rPr>
          <w:t>124</w:t>
        </w:r>
        <w:r w:rsidR="0012026B">
          <w:rPr>
            <w:noProof/>
            <w:webHidden/>
          </w:rPr>
          <w:fldChar w:fldCharType="end"/>
        </w:r>
      </w:hyperlink>
    </w:p>
    <w:p w14:paraId="440DF6EE" w14:textId="6391CDF2"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7" w:history="1">
        <w:r w:rsidR="0012026B" w:rsidRPr="0056582D">
          <w:rPr>
            <w:rStyle w:val="Hyperlink"/>
            <w:noProof/>
          </w:rPr>
          <w:t>Figure 45: Eclectic Continental sceats of the ‘Interlace’ type</w:t>
        </w:r>
        <w:r w:rsidR="0012026B">
          <w:rPr>
            <w:noProof/>
            <w:webHidden/>
          </w:rPr>
          <w:tab/>
        </w:r>
        <w:r w:rsidR="0012026B">
          <w:rPr>
            <w:noProof/>
            <w:webHidden/>
          </w:rPr>
          <w:fldChar w:fldCharType="begin"/>
        </w:r>
        <w:r w:rsidR="0012026B">
          <w:rPr>
            <w:noProof/>
            <w:webHidden/>
          </w:rPr>
          <w:instrText xml:space="preserve"> PAGEREF _Toc468267017 \h </w:instrText>
        </w:r>
        <w:r w:rsidR="0012026B">
          <w:rPr>
            <w:noProof/>
            <w:webHidden/>
          </w:rPr>
        </w:r>
        <w:r w:rsidR="0012026B">
          <w:rPr>
            <w:noProof/>
            <w:webHidden/>
          </w:rPr>
          <w:fldChar w:fldCharType="separate"/>
        </w:r>
        <w:r w:rsidR="0012026B">
          <w:rPr>
            <w:noProof/>
            <w:webHidden/>
          </w:rPr>
          <w:t>124</w:t>
        </w:r>
        <w:r w:rsidR="0012026B">
          <w:rPr>
            <w:noProof/>
            <w:webHidden/>
          </w:rPr>
          <w:fldChar w:fldCharType="end"/>
        </w:r>
      </w:hyperlink>
    </w:p>
    <w:p w14:paraId="66C6D93B" w14:textId="4F35D95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8" w:history="1">
        <w:r w:rsidR="0012026B" w:rsidRPr="0056582D">
          <w:rPr>
            <w:rStyle w:val="Hyperlink"/>
            <w:noProof/>
          </w:rPr>
          <w:t>Figure 46: A selection of sceats of Eadberht.</w:t>
        </w:r>
        <w:r w:rsidR="0012026B">
          <w:rPr>
            <w:noProof/>
            <w:webHidden/>
          </w:rPr>
          <w:tab/>
        </w:r>
        <w:r w:rsidR="0012026B">
          <w:rPr>
            <w:noProof/>
            <w:webHidden/>
          </w:rPr>
          <w:fldChar w:fldCharType="begin"/>
        </w:r>
        <w:r w:rsidR="0012026B">
          <w:rPr>
            <w:noProof/>
            <w:webHidden/>
          </w:rPr>
          <w:instrText xml:space="preserve"> PAGEREF _Toc468267018 \h </w:instrText>
        </w:r>
        <w:r w:rsidR="0012026B">
          <w:rPr>
            <w:noProof/>
            <w:webHidden/>
          </w:rPr>
        </w:r>
        <w:r w:rsidR="0012026B">
          <w:rPr>
            <w:noProof/>
            <w:webHidden/>
          </w:rPr>
          <w:fldChar w:fldCharType="separate"/>
        </w:r>
        <w:r w:rsidR="0012026B">
          <w:rPr>
            <w:noProof/>
            <w:webHidden/>
          </w:rPr>
          <w:t>125</w:t>
        </w:r>
        <w:r w:rsidR="0012026B">
          <w:rPr>
            <w:noProof/>
            <w:webHidden/>
          </w:rPr>
          <w:fldChar w:fldCharType="end"/>
        </w:r>
      </w:hyperlink>
    </w:p>
    <w:p w14:paraId="7588A54A" w14:textId="2558038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19" w:history="1">
        <w:r w:rsidR="0012026B" w:rsidRPr="0056582D">
          <w:rPr>
            <w:rStyle w:val="Hyperlink"/>
            <w:noProof/>
          </w:rPr>
          <w:t>Figure 47: Scarcer, fantastic animal, types</w:t>
        </w:r>
        <w:r w:rsidR="0012026B">
          <w:rPr>
            <w:noProof/>
            <w:webHidden/>
          </w:rPr>
          <w:tab/>
        </w:r>
        <w:r w:rsidR="0012026B">
          <w:rPr>
            <w:noProof/>
            <w:webHidden/>
          </w:rPr>
          <w:fldChar w:fldCharType="begin"/>
        </w:r>
        <w:r w:rsidR="0012026B">
          <w:rPr>
            <w:noProof/>
            <w:webHidden/>
          </w:rPr>
          <w:instrText xml:space="preserve"> PAGEREF _Toc468267019 \h </w:instrText>
        </w:r>
        <w:r w:rsidR="0012026B">
          <w:rPr>
            <w:noProof/>
            <w:webHidden/>
          </w:rPr>
        </w:r>
        <w:r w:rsidR="0012026B">
          <w:rPr>
            <w:noProof/>
            <w:webHidden/>
          </w:rPr>
          <w:fldChar w:fldCharType="separate"/>
        </w:r>
        <w:r w:rsidR="0012026B">
          <w:rPr>
            <w:noProof/>
            <w:webHidden/>
          </w:rPr>
          <w:t>126</w:t>
        </w:r>
        <w:r w:rsidR="0012026B">
          <w:rPr>
            <w:noProof/>
            <w:webHidden/>
          </w:rPr>
          <w:fldChar w:fldCharType="end"/>
        </w:r>
      </w:hyperlink>
    </w:p>
    <w:p w14:paraId="163A0790" w14:textId="56C21FA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0" w:history="1">
        <w:r w:rsidR="0012026B" w:rsidRPr="0056582D">
          <w:rPr>
            <w:rStyle w:val="Hyperlink"/>
            <w:noProof/>
          </w:rPr>
          <w:t>Figure 48: Eadberht: Booth class G</w:t>
        </w:r>
        <w:r w:rsidR="0012026B">
          <w:rPr>
            <w:noProof/>
            <w:webHidden/>
          </w:rPr>
          <w:tab/>
        </w:r>
        <w:r w:rsidR="0012026B">
          <w:rPr>
            <w:noProof/>
            <w:webHidden/>
          </w:rPr>
          <w:fldChar w:fldCharType="begin"/>
        </w:r>
        <w:r w:rsidR="0012026B">
          <w:rPr>
            <w:noProof/>
            <w:webHidden/>
          </w:rPr>
          <w:instrText xml:space="preserve"> PAGEREF _Toc468267020 \h </w:instrText>
        </w:r>
        <w:r w:rsidR="0012026B">
          <w:rPr>
            <w:noProof/>
            <w:webHidden/>
          </w:rPr>
        </w:r>
        <w:r w:rsidR="0012026B">
          <w:rPr>
            <w:noProof/>
            <w:webHidden/>
          </w:rPr>
          <w:fldChar w:fldCharType="separate"/>
        </w:r>
        <w:r w:rsidR="0012026B">
          <w:rPr>
            <w:noProof/>
            <w:webHidden/>
          </w:rPr>
          <w:t>126</w:t>
        </w:r>
        <w:r w:rsidR="0012026B">
          <w:rPr>
            <w:noProof/>
            <w:webHidden/>
          </w:rPr>
          <w:fldChar w:fldCharType="end"/>
        </w:r>
      </w:hyperlink>
    </w:p>
    <w:p w14:paraId="4B40E692" w14:textId="324C8AB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1" w:history="1">
        <w:r w:rsidR="0012026B" w:rsidRPr="0056582D">
          <w:rPr>
            <w:rStyle w:val="Hyperlink"/>
            <w:noProof/>
          </w:rPr>
          <w:t>Figure 49: Eadberht and Ecgberht joint issue sceat (SL74). Findspot unknown.</w:t>
        </w:r>
        <w:r w:rsidR="0012026B">
          <w:rPr>
            <w:noProof/>
            <w:webHidden/>
          </w:rPr>
          <w:tab/>
        </w:r>
        <w:r w:rsidR="0012026B">
          <w:rPr>
            <w:noProof/>
            <w:webHidden/>
          </w:rPr>
          <w:fldChar w:fldCharType="begin"/>
        </w:r>
        <w:r w:rsidR="0012026B">
          <w:rPr>
            <w:noProof/>
            <w:webHidden/>
          </w:rPr>
          <w:instrText xml:space="preserve"> PAGEREF _Toc468267021 \h </w:instrText>
        </w:r>
        <w:r w:rsidR="0012026B">
          <w:rPr>
            <w:noProof/>
            <w:webHidden/>
          </w:rPr>
        </w:r>
        <w:r w:rsidR="0012026B">
          <w:rPr>
            <w:noProof/>
            <w:webHidden/>
          </w:rPr>
          <w:fldChar w:fldCharType="separate"/>
        </w:r>
        <w:r w:rsidR="0012026B">
          <w:rPr>
            <w:noProof/>
            <w:webHidden/>
          </w:rPr>
          <w:t>127</w:t>
        </w:r>
        <w:r w:rsidR="0012026B">
          <w:rPr>
            <w:noProof/>
            <w:webHidden/>
          </w:rPr>
          <w:fldChar w:fldCharType="end"/>
        </w:r>
      </w:hyperlink>
    </w:p>
    <w:p w14:paraId="13DA3EEA" w14:textId="5F96E4C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2" w:history="1">
        <w:r w:rsidR="0012026B" w:rsidRPr="0056582D">
          <w:rPr>
            <w:rStyle w:val="Hyperlink"/>
            <w:noProof/>
          </w:rPr>
          <w:t>Figure 50: Ælfwald I</w:t>
        </w:r>
        <w:r w:rsidR="0012026B">
          <w:rPr>
            <w:noProof/>
            <w:webHidden/>
          </w:rPr>
          <w:tab/>
        </w:r>
        <w:r w:rsidR="0012026B">
          <w:rPr>
            <w:noProof/>
            <w:webHidden/>
          </w:rPr>
          <w:fldChar w:fldCharType="begin"/>
        </w:r>
        <w:r w:rsidR="0012026B">
          <w:rPr>
            <w:noProof/>
            <w:webHidden/>
          </w:rPr>
          <w:instrText xml:space="preserve"> PAGEREF _Toc468267022 \h </w:instrText>
        </w:r>
        <w:r w:rsidR="0012026B">
          <w:rPr>
            <w:noProof/>
            <w:webHidden/>
          </w:rPr>
        </w:r>
        <w:r w:rsidR="0012026B">
          <w:rPr>
            <w:noProof/>
            <w:webHidden/>
          </w:rPr>
          <w:fldChar w:fldCharType="separate"/>
        </w:r>
        <w:r w:rsidR="0012026B">
          <w:rPr>
            <w:noProof/>
            <w:webHidden/>
          </w:rPr>
          <w:t>128</w:t>
        </w:r>
        <w:r w:rsidR="0012026B">
          <w:rPr>
            <w:noProof/>
            <w:webHidden/>
          </w:rPr>
          <w:fldChar w:fldCharType="end"/>
        </w:r>
      </w:hyperlink>
    </w:p>
    <w:p w14:paraId="36AC629D" w14:textId="7B74624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3" w:history="1">
        <w:r w:rsidR="0012026B" w:rsidRPr="0056582D">
          <w:rPr>
            <w:rStyle w:val="Hyperlink"/>
            <w:noProof/>
          </w:rPr>
          <w:t>Figure 51: The named moneyer types of Æthelred I (second reign) (SL80-85)</w:t>
        </w:r>
        <w:r w:rsidR="0012026B">
          <w:rPr>
            <w:noProof/>
            <w:webHidden/>
          </w:rPr>
          <w:tab/>
        </w:r>
        <w:r w:rsidR="0012026B">
          <w:rPr>
            <w:noProof/>
            <w:webHidden/>
          </w:rPr>
          <w:fldChar w:fldCharType="begin"/>
        </w:r>
        <w:r w:rsidR="0012026B">
          <w:rPr>
            <w:noProof/>
            <w:webHidden/>
          </w:rPr>
          <w:instrText xml:space="preserve"> PAGEREF _Toc468267023 \h </w:instrText>
        </w:r>
        <w:r w:rsidR="0012026B">
          <w:rPr>
            <w:noProof/>
            <w:webHidden/>
          </w:rPr>
        </w:r>
        <w:r w:rsidR="0012026B">
          <w:rPr>
            <w:noProof/>
            <w:webHidden/>
          </w:rPr>
          <w:fldChar w:fldCharType="separate"/>
        </w:r>
        <w:r w:rsidR="0012026B">
          <w:rPr>
            <w:noProof/>
            <w:webHidden/>
          </w:rPr>
          <w:t>128</w:t>
        </w:r>
        <w:r w:rsidR="0012026B">
          <w:rPr>
            <w:noProof/>
            <w:webHidden/>
          </w:rPr>
          <w:fldChar w:fldCharType="end"/>
        </w:r>
      </w:hyperlink>
    </w:p>
    <w:p w14:paraId="0E4FDF14" w14:textId="7CDEF42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4" w:history="1">
        <w:r w:rsidR="0012026B" w:rsidRPr="0056582D">
          <w:rPr>
            <w:rStyle w:val="Hyperlink"/>
            <w:noProof/>
          </w:rPr>
          <w:t>Figure 52: The named moneyer types of Eardwulf by Cuthheard (SL86-10)</w:t>
        </w:r>
        <w:r w:rsidR="0012026B">
          <w:rPr>
            <w:noProof/>
            <w:webHidden/>
          </w:rPr>
          <w:tab/>
        </w:r>
        <w:r w:rsidR="0012026B">
          <w:rPr>
            <w:noProof/>
            <w:webHidden/>
          </w:rPr>
          <w:fldChar w:fldCharType="begin"/>
        </w:r>
        <w:r w:rsidR="0012026B">
          <w:rPr>
            <w:noProof/>
            <w:webHidden/>
          </w:rPr>
          <w:instrText xml:space="preserve"> PAGEREF _Toc468267024 \h </w:instrText>
        </w:r>
        <w:r w:rsidR="0012026B">
          <w:rPr>
            <w:noProof/>
            <w:webHidden/>
          </w:rPr>
        </w:r>
        <w:r w:rsidR="0012026B">
          <w:rPr>
            <w:noProof/>
            <w:webHidden/>
          </w:rPr>
          <w:fldChar w:fldCharType="separate"/>
        </w:r>
        <w:r w:rsidR="0012026B">
          <w:rPr>
            <w:noProof/>
            <w:webHidden/>
          </w:rPr>
          <w:t>129</w:t>
        </w:r>
        <w:r w:rsidR="0012026B">
          <w:rPr>
            <w:noProof/>
            <w:webHidden/>
          </w:rPr>
          <w:fldChar w:fldCharType="end"/>
        </w:r>
      </w:hyperlink>
    </w:p>
    <w:p w14:paraId="292DC507" w14:textId="268B044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5" w:history="1">
        <w:r w:rsidR="0012026B" w:rsidRPr="0056582D">
          <w:rPr>
            <w:rStyle w:val="Hyperlink"/>
            <w:noProof/>
          </w:rPr>
          <w:t>Figure 53: Inscriptional issues of Ælfwald I by Cuthgils (SL79-20).</w:t>
        </w:r>
        <w:r w:rsidR="0012026B">
          <w:rPr>
            <w:noProof/>
            <w:webHidden/>
          </w:rPr>
          <w:tab/>
        </w:r>
        <w:r w:rsidR="0012026B">
          <w:rPr>
            <w:noProof/>
            <w:webHidden/>
          </w:rPr>
          <w:fldChar w:fldCharType="begin"/>
        </w:r>
        <w:r w:rsidR="0012026B">
          <w:rPr>
            <w:noProof/>
            <w:webHidden/>
          </w:rPr>
          <w:instrText xml:space="preserve"> PAGEREF _Toc468267025 \h </w:instrText>
        </w:r>
        <w:r w:rsidR="0012026B">
          <w:rPr>
            <w:noProof/>
            <w:webHidden/>
          </w:rPr>
        </w:r>
        <w:r w:rsidR="0012026B">
          <w:rPr>
            <w:noProof/>
            <w:webHidden/>
          </w:rPr>
          <w:fldChar w:fldCharType="separate"/>
        </w:r>
        <w:r w:rsidR="0012026B">
          <w:rPr>
            <w:noProof/>
            <w:webHidden/>
          </w:rPr>
          <w:t>129</w:t>
        </w:r>
        <w:r w:rsidR="0012026B">
          <w:rPr>
            <w:noProof/>
            <w:webHidden/>
          </w:rPr>
          <w:fldChar w:fldCharType="end"/>
        </w:r>
      </w:hyperlink>
    </w:p>
    <w:p w14:paraId="5BEC7150" w14:textId="484D1CD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6" w:history="1">
        <w:r w:rsidR="0012026B" w:rsidRPr="0056582D">
          <w:rPr>
            <w:rStyle w:val="Hyperlink"/>
            <w:noProof/>
          </w:rPr>
          <w:t>Figure 54: The only styca with portrayal</w:t>
        </w:r>
        <w:r w:rsidR="0012026B">
          <w:rPr>
            <w:noProof/>
            <w:webHidden/>
          </w:rPr>
          <w:tab/>
        </w:r>
        <w:r w:rsidR="0012026B">
          <w:rPr>
            <w:noProof/>
            <w:webHidden/>
          </w:rPr>
          <w:fldChar w:fldCharType="begin"/>
        </w:r>
        <w:r w:rsidR="0012026B">
          <w:rPr>
            <w:noProof/>
            <w:webHidden/>
          </w:rPr>
          <w:instrText xml:space="preserve"> PAGEREF _Toc468267026 \h </w:instrText>
        </w:r>
        <w:r w:rsidR="0012026B">
          <w:rPr>
            <w:noProof/>
            <w:webHidden/>
          </w:rPr>
        </w:r>
        <w:r w:rsidR="0012026B">
          <w:rPr>
            <w:noProof/>
            <w:webHidden/>
          </w:rPr>
          <w:fldChar w:fldCharType="separate"/>
        </w:r>
        <w:r w:rsidR="0012026B">
          <w:rPr>
            <w:noProof/>
            <w:webHidden/>
          </w:rPr>
          <w:t>137</w:t>
        </w:r>
        <w:r w:rsidR="0012026B">
          <w:rPr>
            <w:noProof/>
            <w:webHidden/>
          </w:rPr>
          <w:fldChar w:fldCharType="end"/>
        </w:r>
      </w:hyperlink>
    </w:p>
    <w:p w14:paraId="18C3E6C0" w14:textId="1D94487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7" w:history="1">
        <w:r w:rsidR="0012026B" w:rsidRPr="0056582D">
          <w:rPr>
            <w:rStyle w:val="Hyperlink"/>
            <w:noProof/>
          </w:rPr>
          <w:t>Figure 55: (L) Eanred’s initial silver-alloy sceatta coinage: Eadwine for Eanred.</w:t>
        </w:r>
        <w:r w:rsidR="0012026B">
          <w:rPr>
            <w:noProof/>
            <w:webHidden/>
          </w:rPr>
          <w:tab/>
        </w:r>
        <w:r w:rsidR="0012026B">
          <w:rPr>
            <w:noProof/>
            <w:webHidden/>
          </w:rPr>
          <w:fldChar w:fldCharType="begin"/>
        </w:r>
        <w:r w:rsidR="0012026B">
          <w:rPr>
            <w:noProof/>
            <w:webHidden/>
          </w:rPr>
          <w:instrText xml:space="preserve"> PAGEREF _Toc468267027 \h </w:instrText>
        </w:r>
        <w:r w:rsidR="0012026B">
          <w:rPr>
            <w:noProof/>
            <w:webHidden/>
          </w:rPr>
        </w:r>
        <w:r w:rsidR="0012026B">
          <w:rPr>
            <w:noProof/>
            <w:webHidden/>
          </w:rPr>
          <w:fldChar w:fldCharType="separate"/>
        </w:r>
        <w:r w:rsidR="0012026B">
          <w:rPr>
            <w:noProof/>
            <w:webHidden/>
          </w:rPr>
          <w:t>138</w:t>
        </w:r>
        <w:r w:rsidR="0012026B">
          <w:rPr>
            <w:noProof/>
            <w:webHidden/>
          </w:rPr>
          <w:fldChar w:fldCharType="end"/>
        </w:r>
      </w:hyperlink>
    </w:p>
    <w:p w14:paraId="2E7821AD" w14:textId="18B68388"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8" w:history="1">
        <w:r w:rsidR="0012026B" w:rsidRPr="0056582D">
          <w:rPr>
            <w:rStyle w:val="Hyperlink"/>
            <w:noProof/>
          </w:rPr>
          <w:t xml:space="preserve">Figure 56: (R) the subsequent base issues: Wendelberht for </w:t>
        </w:r>
        <w:r w:rsidR="0012026B" w:rsidRPr="0056582D">
          <w:rPr>
            <w:rStyle w:val="Hyperlink"/>
            <w:rFonts w:cs="Times New Roman"/>
            <w:noProof/>
          </w:rPr>
          <w:t>Æ</w:t>
        </w:r>
        <w:r w:rsidR="0012026B" w:rsidRPr="0056582D">
          <w:rPr>
            <w:rStyle w:val="Hyperlink"/>
            <w:noProof/>
          </w:rPr>
          <w:t>thelred II (found Driffield).</w:t>
        </w:r>
        <w:r w:rsidR="0012026B">
          <w:rPr>
            <w:noProof/>
            <w:webHidden/>
          </w:rPr>
          <w:tab/>
        </w:r>
        <w:r w:rsidR="0012026B">
          <w:rPr>
            <w:noProof/>
            <w:webHidden/>
          </w:rPr>
          <w:fldChar w:fldCharType="begin"/>
        </w:r>
        <w:r w:rsidR="0012026B">
          <w:rPr>
            <w:noProof/>
            <w:webHidden/>
          </w:rPr>
          <w:instrText xml:space="preserve"> PAGEREF _Toc468267028 \h </w:instrText>
        </w:r>
        <w:r w:rsidR="0012026B">
          <w:rPr>
            <w:noProof/>
            <w:webHidden/>
          </w:rPr>
        </w:r>
        <w:r w:rsidR="0012026B">
          <w:rPr>
            <w:noProof/>
            <w:webHidden/>
          </w:rPr>
          <w:fldChar w:fldCharType="separate"/>
        </w:r>
        <w:r w:rsidR="0012026B">
          <w:rPr>
            <w:noProof/>
            <w:webHidden/>
          </w:rPr>
          <w:t>138</w:t>
        </w:r>
        <w:r w:rsidR="0012026B">
          <w:rPr>
            <w:noProof/>
            <w:webHidden/>
          </w:rPr>
          <w:fldChar w:fldCharType="end"/>
        </w:r>
      </w:hyperlink>
    </w:p>
    <w:p w14:paraId="51B0C017" w14:textId="640E53E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29" w:history="1">
        <w:r w:rsidR="0012026B" w:rsidRPr="0056582D">
          <w:rPr>
            <w:rStyle w:val="Hyperlink"/>
            <w:noProof/>
          </w:rPr>
          <w:t>Figure 57: The Hexham bucket (Pirie archive)</w:t>
        </w:r>
        <w:r w:rsidR="0012026B">
          <w:rPr>
            <w:noProof/>
            <w:webHidden/>
          </w:rPr>
          <w:tab/>
        </w:r>
        <w:r w:rsidR="0012026B">
          <w:rPr>
            <w:noProof/>
            <w:webHidden/>
          </w:rPr>
          <w:fldChar w:fldCharType="begin"/>
        </w:r>
        <w:r w:rsidR="0012026B">
          <w:rPr>
            <w:noProof/>
            <w:webHidden/>
          </w:rPr>
          <w:instrText xml:space="preserve"> PAGEREF _Toc468267029 \h </w:instrText>
        </w:r>
        <w:r w:rsidR="0012026B">
          <w:rPr>
            <w:noProof/>
            <w:webHidden/>
          </w:rPr>
        </w:r>
        <w:r w:rsidR="0012026B">
          <w:rPr>
            <w:noProof/>
            <w:webHidden/>
          </w:rPr>
          <w:fldChar w:fldCharType="separate"/>
        </w:r>
        <w:r w:rsidR="0012026B">
          <w:rPr>
            <w:noProof/>
            <w:webHidden/>
          </w:rPr>
          <w:t>139</w:t>
        </w:r>
        <w:r w:rsidR="0012026B">
          <w:rPr>
            <w:noProof/>
            <w:webHidden/>
          </w:rPr>
          <w:fldChar w:fldCharType="end"/>
        </w:r>
      </w:hyperlink>
    </w:p>
    <w:p w14:paraId="04C60ED2" w14:textId="619D517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0" w:history="1">
        <w:r w:rsidR="0012026B" w:rsidRPr="0056582D">
          <w:rPr>
            <w:rStyle w:val="Hyperlink"/>
            <w:noProof/>
          </w:rPr>
          <w:t>Figure 58: ‘Three hundred and sixty coins…</w:t>
        </w:r>
        <w:r w:rsidR="0012026B">
          <w:rPr>
            <w:noProof/>
            <w:webHidden/>
          </w:rPr>
          <w:tab/>
        </w:r>
        <w:r w:rsidR="0012026B">
          <w:rPr>
            <w:noProof/>
            <w:webHidden/>
          </w:rPr>
          <w:fldChar w:fldCharType="begin"/>
        </w:r>
        <w:r w:rsidR="0012026B">
          <w:rPr>
            <w:noProof/>
            <w:webHidden/>
          </w:rPr>
          <w:instrText xml:space="preserve"> PAGEREF _Toc468267030 \h </w:instrText>
        </w:r>
        <w:r w:rsidR="0012026B">
          <w:rPr>
            <w:noProof/>
            <w:webHidden/>
          </w:rPr>
        </w:r>
        <w:r w:rsidR="0012026B">
          <w:rPr>
            <w:noProof/>
            <w:webHidden/>
          </w:rPr>
          <w:fldChar w:fldCharType="separate"/>
        </w:r>
        <w:r w:rsidR="0012026B">
          <w:rPr>
            <w:noProof/>
            <w:webHidden/>
          </w:rPr>
          <w:t>140</w:t>
        </w:r>
        <w:r w:rsidR="0012026B">
          <w:rPr>
            <w:noProof/>
            <w:webHidden/>
          </w:rPr>
          <w:fldChar w:fldCharType="end"/>
        </w:r>
      </w:hyperlink>
    </w:p>
    <w:p w14:paraId="3D33474F" w14:textId="2D5A163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1" w:history="1">
        <w:r w:rsidR="0012026B" w:rsidRPr="0056582D">
          <w:rPr>
            <w:rStyle w:val="Hyperlink"/>
            <w:noProof/>
          </w:rPr>
          <w:t>Figure 59: Silver penny of Eanred from the Trewhiddle hoard.</w:t>
        </w:r>
        <w:r w:rsidR="0012026B">
          <w:rPr>
            <w:noProof/>
            <w:webHidden/>
          </w:rPr>
          <w:tab/>
        </w:r>
        <w:r w:rsidR="0012026B">
          <w:rPr>
            <w:noProof/>
            <w:webHidden/>
          </w:rPr>
          <w:fldChar w:fldCharType="begin"/>
        </w:r>
        <w:r w:rsidR="0012026B">
          <w:rPr>
            <w:noProof/>
            <w:webHidden/>
          </w:rPr>
          <w:instrText xml:space="preserve"> PAGEREF _Toc468267031 \h </w:instrText>
        </w:r>
        <w:r w:rsidR="0012026B">
          <w:rPr>
            <w:noProof/>
            <w:webHidden/>
          </w:rPr>
        </w:r>
        <w:r w:rsidR="0012026B">
          <w:rPr>
            <w:noProof/>
            <w:webHidden/>
          </w:rPr>
          <w:fldChar w:fldCharType="separate"/>
        </w:r>
        <w:r w:rsidR="0012026B">
          <w:rPr>
            <w:noProof/>
            <w:webHidden/>
          </w:rPr>
          <w:t>142</w:t>
        </w:r>
        <w:r w:rsidR="0012026B">
          <w:rPr>
            <w:noProof/>
            <w:webHidden/>
          </w:rPr>
          <w:fldChar w:fldCharType="end"/>
        </w:r>
      </w:hyperlink>
    </w:p>
    <w:p w14:paraId="7343844D" w14:textId="5026639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2" w:history="1">
        <w:r w:rsidR="0012026B" w:rsidRPr="0056582D">
          <w:rPr>
            <w:rStyle w:val="Hyperlink"/>
            <w:noProof/>
          </w:rPr>
          <w:t>Figure 60: A Northumbrian sceat of Series Y, Eadberht, Booth class B</w:t>
        </w:r>
        <w:r w:rsidR="0012026B">
          <w:rPr>
            <w:noProof/>
            <w:webHidden/>
          </w:rPr>
          <w:tab/>
        </w:r>
        <w:r w:rsidR="0012026B">
          <w:rPr>
            <w:noProof/>
            <w:webHidden/>
          </w:rPr>
          <w:fldChar w:fldCharType="begin"/>
        </w:r>
        <w:r w:rsidR="0012026B">
          <w:rPr>
            <w:noProof/>
            <w:webHidden/>
          </w:rPr>
          <w:instrText xml:space="preserve"> PAGEREF _Toc468267032 \h </w:instrText>
        </w:r>
        <w:r w:rsidR="0012026B">
          <w:rPr>
            <w:noProof/>
            <w:webHidden/>
          </w:rPr>
        </w:r>
        <w:r w:rsidR="0012026B">
          <w:rPr>
            <w:noProof/>
            <w:webHidden/>
          </w:rPr>
          <w:fldChar w:fldCharType="separate"/>
        </w:r>
        <w:r w:rsidR="0012026B">
          <w:rPr>
            <w:noProof/>
            <w:webHidden/>
          </w:rPr>
          <w:t>144</w:t>
        </w:r>
        <w:r w:rsidR="0012026B">
          <w:rPr>
            <w:noProof/>
            <w:webHidden/>
          </w:rPr>
          <w:fldChar w:fldCharType="end"/>
        </w:r>
      </w:hyperlink>
    </w:p>
    <w:p w14:paraId="00377FAE" w14:textId="618D60E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3" w:history="1">
        <w:r w:rsidR="0012026B" w:rsidRPr="0056582D">
          <w:rPr>
            <w:rStyle w:val="Hyperlink"/>
            <w:noProof/>
          </w:rPr>
          <w:t>Figure 61: Data Sources – Datasets</w:t>
        </w:r>
        <w:r w:rsidR="0012026B">
          <w:rPr>
            <w:noProof/>
            <w:webHidden/>
          </w:rPr>
          <w:tab/>
        </w:r>
        <w:r w:rsidR="0012026B">
          <w:rPr>
            <w:noProof/>
            <w:webHidden/>
          </w:rPr>
          <w:fldChar w:fldCharType="begin"/>
        </w:r>
        <w:r w:rsidR="0012026B">
          <w:rPr>
            <w:noProof/>
            <w:webHidden/>
          </w:rPr>
          <w:instrText xml:space="preserve"> PAGEREF _Toc468267033 \h </w:instrText>
        </w:r>
        <w:r w:rsidR="0012026B">
          <w:rPr>
            <w:noProof/>
            <w:webHidden/>
          </w:rPr>
        </w:r>
        <w:r w:rsidR="0012026B">
          <w:rPr>
            <w:noProof/>
            <w:webHidden/>
          </w:rPr>
          <w:fldChar w:fldCharType="separate"/>
        </w:r>
        <w:r w:rsidR="0012026B">
          <w:rPr>
            <w:noProof/>
            <w:webHidden/>
          </w:rPr>
          <w:t>161</w:t>
        </w:r>
        <w:r w:rsidR="0012026B">
          <w:rPr>
            <w:noProof/>
            <w:webHidden/>
          </w:rPr>
          <w:fldChar w:fldCharType="end"/>
        </w:r>
      </w:hyperlink>
    </w:p>
    <w:p w14:paraId="6C29D381" w14:textId="7C8B9A0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4" w:history="1">
        <w:r w:rsidR="0012026B" w:rsidRPr="0056582D">
          <w:rPr>
            <w:rStyle w:val="Hyperlink"/>
            <w:noProof/>
          </w:rPr>
          <w:t>Figure 62: Venn diagram of the number of locations producing artefact, coins and both.</w:t>
        </w:r>
        <w:r w:rsidR="0012026B">
          <w:rPr>
            <w:noProof/>
            <w:webHidden/>
          </w:rPr>
          <w:tab/>
        </w:r>
        <w:r w:rsidR="0012026B">
          <w:rPr>
            <w:noProof/>
            <w:webHidden/>
          </w:rPr>
          <w:fldChar w:fldCharType="begin"/>
        </w:r>
        <w:r w:rsidR="0012026B">
          <w:rPr>
            <w:noProof/>
            <w:webHidden/>
          </w:rPr>
          <w:instrText xml:space="preserve"> PAGEREF _Toc468267034 \h </w:instrText>
        </w:r>
        <w:r w:rsidR="0012026B">
          <w:rPr>
            <w:noProof/>
            <w:webHidden/>
          </w:rPr>
        </w:r>
        <w:r w:rsidR="0012026B">
          <w:rPr>
            <w:noProof/>
            <w:webHidden/>
          </w:rPr>
          <w:fldChar w:fldCharType="separate"/>
        </w:r>
        <w:r w:rsidR="0012026B">
          <w:rPr>
            <w:noProof/>
            <w:webHidden/>
          </w:rPr>
          <w:t>166</w:t>
        </w:r>
        <w:r w:rsidR="0012026B">
          <w:rPr>
            <w:noProof/>
            <w:webHidden/>
          </w:rPr>
          <w:fldChar w:fldCharType="end"/>
        </w:r>
      </w:hyperlink>
    </w:p>
    <w:p w14:paraId="1BA3FCE5" w14:textId="2BBEE9F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5" w:history="1">
        <w:r w:rsidR="0012026B" w:rsidRPr="0056582D">
          <w:rPr>
            <w:rStyle w:val="Hyperlink"/>
            <w:noProof/>
          </w:rPr>
          <w:t>Figure 63: Headstone of Archbishop Wulfhere, 849/50-900</w:t>
        </w:r>
        <w:r w:rsidR="0012026B">
          <w:rPr>
            <w:noProof/>
            <w:webHidden/>
          </w:rPr>
          <w:tab/>
        </w:r>
        <w:r w:rsidR="0012026B">
          <w:rPr>
            <w:noProof/>
            <w:webHidden/>
          </w:rPr>
          <w:fldChar w:fldCharType="begin"/>
        </w:r>
        <w:r w:rsidR="0012026B">
          <w:rPr>
            <w:noProof/>
            <w:webHidden/>
          </w:rPr>
          <w:instrText xml:space="preserve"> PAGEREF _Toc468267035 \h </w:instrText>
        </w:r>
        <w:r w:rsidR="0012026B">
          <w:rPr>
            <w:noProof/>
            <w:webHidden/>
          </w:rPr>
        </w:r>
        <w:r w:rsidR="0012026B">
          <w:rPr>
            <w:noProof/>
            <w:webHidden/>
          </w:rPr>
          <w:fldChar w:fldCharType="separate"/>
        </w:r>
        <w:r w:rsidR="0012026B">
          <w:rPr>
            <w:noProof/>
            <w:webHidden/>
          </w:rPr>
          <w:t>183</w:t>
        </w:r>
        <w:r w:rsidR="0012026B">
          <w:rPr>
            <w:noProof/>
            <w:webHidden/>
          </w:rPr>
          <w:fldChar w:fldCharType="end"/>
        </w:r>
      </w:hyperlink>
    </w:p>
    <w:p w14:paraId="7D2996CF" w14:textId="60BB309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6" w:history="1">
        <w:r w:rsidR="0012026B" w:rsidRPr="0056582D">
          <w:rPr>
            <w:rStyle w:val="Hyperlink"/>
            <w:noProof/>
          </w:rPr>
          <w:t>Figure 64: Solidus of Arichis II (758-87), Beneventum, c.774, found Alnwick.</w:t>
        </w:r>
        <w:r w:rsidR="0012026B">
          <w:rPr>
            <w:noProof/>
            <w:webHidden/>
          </w:rPr>
          <w:tab/>
        </w:r>
        <w:r w:rsidR="0012026B">
          <w:rPr>
            <w:noProof/>
            <w:webHidden/>
          </w:rPr>
          <w:fldChar w:fldCharType="begin"/>
        </w:r>
        <w:r w:rsidR="0012026B">
          <w:rPr>
            <w:noProof/>
            <w:webHidden/>
          </w:rPr>
          <w:instrText xml:space="preserve"> PAGEREF _Toc468267036 \h </w:instrText>
        </w:r>
        <w:r w:rsidR="0012026B">
          <w:rPr>
            <w:noProof/>
            <w:webHidden/>
          </w:rPr>
        </w:r>
        <w:r w:rsidR="0012026B">
          <w:rPr>
            <w:noProof/>
            <w:webHidden/>
          </w:rPr>
          <w:fldChar w:fldCharType="separate"/>
        </w:r>
        <w:r w:rsidR="0012026B">
          <w:rPr>
            <w:noProof/>
            <w:webHidden/>
          </w:rPr>
          <w:t>186</w:t>
        </w:r>
        <w:r w:rsidR="0012026B">
          <w:rPr>
            <w:noProof/>
            <w:webHidden/>
          </w:rPr>
          <w:fldChar w:fldCharType="end"/>
        </w:r>
      </w:hyperlink>
    </w:p>
    <w:p w14:paraId="3F8B7730" w14:textId="121DD8F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7" w:history="1">
        <w:r w:rsidR="0012026B" w:rsidRPr="0056582D">
          <w:rPr>
            <w:rStyle w:val="Hyperlink"/>
            <w:noProof/>
          </w:rPr>
          <w:t>Figure 65</w:t>
        </w:r>
        <w:r w:rsidR="0012026B" w:rsidRPr="0056582D">
          <w:rPr>
            <w:rStyle w:val="Hyperlink"/>
            <w:noProof/>
            <w:lang w:eastAsia="en-GB"/>
          </w:rPr>
          <w:t>: The Fishergate Ring cf facing bust on Series Z sceat.</w:t>
        </w:r>
        <w:r w:rsidR="0012026B">
          <w:rPr>
            <w:noProof/>
            <w:webHidden/>
          </w:rPr>
          <w:tab/>
        </w:r>
        <w:r w:rsidR="0012026B">
          <w:rPr>
            <w:noProof/>
            <w:webHidden/>
          </w:rPr>
          <w:fldChar w:fldCharType="begin"/>
        </w:r>
        <w:r w:rsidR="0012026B">
          <w:rPr>
            <w:noProof/>
            <w:webHidden/>
          </w:rPr>
          <w:instrText xml:space="preserve"> PAGEREF _Toc468267037 \h </w:instrText>
        </w:r>
        <w:r w:rsidR="0012026B">
          <w:rPr>
            <w:noProof/>
            <w:webHidden/>
          </w:rPr>
        </w:r>
        <w:r w:rsidR="0012026B">
          <w:rPr>
            <w:noProof/>
            <w:webHidden/>
          </w:rPr>
          <w:fldChar w:fldCharType="separate"/>
        </w:r>
        <w:r w:rsidR="0012026B">
          <w:rPr>
            <w:noProof/>
            <w:webHidden/>
          </w:rPr>
          <w:t>187</w:t>
        </w:r>
        <w:r w:rsidR="0012026B">
          <w:rPr>
            <w:noProof/>
            <w:webHidden/>
          </w:rPr>
          <w:fldChar w:fldCharType="end"/>
        </w:r>
      </w:hyperlink>
    </w:p>
    <w:p w14:paraId="64684D2B" w14:textId="62834B2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8" w:history="1">
        <w:r w:rsidR="0012026B" w:rsidRPr="0056582D">
          <w:rPr>
            <w:rStyle w:val="Hyperlink"/>
            <w:noProof/>
          </w:rPr>
          <w:t>Figure 66</w:t>
        </w:r>
        <w:r w:rsidR="0012026B" w:rsidRPr="0056582D">
          <w:rPr>
            <w:rStyle w:val="Hyperlink"/>
            <w:noProof/>
            <w:lang w:eastAsia="en-GB"/>
          </w:rPr>
          <w:t>: Bone knife handle fragment, 36.5mm</w:t>
        </w:r>
        <w:r w:rsidR="0012026B">
          <w:rPr>
            <w:noProof/>
            <w:webHidden/>
          </w:rPr>
          <w:tab/>
        </w:r>
        <w:r w:rsidR="0012026B">
          <w:rPr>
            <w:noProof/>
            <w:webHidden/>
          </w:rPr>
          <w:fldChar w:fldCharType="begin"/>
        </w:r>
        <w:r w:rsidR="0012026B">
          <w:rPr>
            <w:noProof/>
            <w:webHidden/>
          </w:rPr>
          <w:instrText xml:space="preserve"> PAGEREF _Toc468267038 \h </w:instrText>
        </w:r>
        <w:r w:rsidR="0012026B">
          <w:rPr>
            <w:noProof/>
            <w:webHidden/>
          </w:rPr>
        </w:r>
        <w:r w:rsidR="0012026B">
          <w:rPr>
            <w:noProof/>
            <w:webHidden/>
          </w:rPr>
          <w:fldChar w:fldCharType="separate"/>
        </w:r>
        <w:r w:rsidR="0012026B">
          <w:rPr>
            <w:noProof/>
            <w:webHidden/>
          </w:rPr>
          <w:t>187</w:t>
        </w:r>
        <w:r w:rsidR="0012026B">
          <w:rPr>
            <w:noProof/>
            <w:webHidden/>
          </w:rPr>
          <w:fldChar w:fldCharType="end"/>
        </w:r>
      </w:hyperlink>
    </w:p>
    <w:p w14:paraId="10655792" w14:textId="71EC2F3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39" w:history="1">
        <w:r w:rsidR="0012026B" w:rsidRPr="0056582D">
          <w:rPr>
            <w:rStyle w:val="Hyperlink"/>
            <w:noProof/>
          </w:rPr>
          <w:t>Figure 67: The Heworth Urn</w:t>
        </w:r>
        <w:r w:rsidR="0012026B">
          <w:rPr>
            <w:noProof/>
            <w:webHidden/>
          </w:rPr>
          <w:tab/>
        </w:r>
        <w:r w:rsidR="0012026B">
          <w:rPr>
            <w:noProof/>
            <w:webHidden/>
          </w:rPr>
          <w:fldChar w:fldCharType="begin"/>
        </w:r>
        <w:r w:rsidR="0012026B">
          <w:rPr>
            <w:noProof/>
            <w:webHidden/>
          </w:rPr>
          <w:instrText xml:space="preserve"> PAGEREF _Toc468267039 \h </w:instrText>
        </w:r>
        <w:r w:rsidR="0012026B">
          <w:rPr>
            <w:noProof/>
            <w:webHidden/>
          </w:rPr>
        </w:r>
        <w:r w:rsidR="0012026B">
          <w:rPr>
            <w:noProof/>
            <w:webHidden/>
          </w:rPr>
          <w:fldChar w:fldCharType="separate"/>
        </w:r>
        <w:r w:rsidR="0012026B">
          <w:rPr>
            <w:noProof/>
            <w:webHidden/>
          </w:rPr>
          <w:t>191</w:t>
        </w:r>
        <w:r w:rsidR="0012026B">
          <w:rPr>
            <w:noProof/>
            <w:webHidden/>
          </w:rPr>
          <w:fldChar w:fldCharType="end"/>
        </w:r>
      </w:hyperlink>
    </w:p>
    <w:p w14:paraId="1ADD3390" w14:textId="30C6812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0" w:history="1">
        <w:r w:rsidR="0012026B" w:rsidRPr="0056582D">
          <w:rPr>
            <w:rStyle w:val="Hyperlink"/>
            <w:noProof/>
          </w:rPr>
          <w:t>Figure 68: The Ormside bowl found in 1823 near a Viking</w:t>
        </w:r>
        <w:r w:rsidR="0012026B">
          <w:rPr>
            <w:noProof/>
            <w:webHidden/>
          </w:rPr>
          <w:tab/>
        </w:r>
        <w:r w:rsidR="0012026B">
          <w:rPr>
            <w:noProof/>
            <w:webHidden/>
          </w:rPr>
          <w:fldChar w:fldCharType="begin"/>
        </w:r>
        <w:r w:rsidR="0012026B">
          <w:rPr>
            <w:noProof/>
            <w:webHidden/>
          </w:rPr>
          <w:instrText xml:space="preserve"> PAGEREF _Toc468267040 \h </w:instrText>
        </w:r>
        <w:r w:rsidR="0012026B">
          <w:rPr>
            <w:noProof/>
            <w:webHidden/>
          </w:rPr>
        </w:r>
        <w:r w:rsidR="0012026B">
          <w:rPr>
            <w:noProof/>
            <w:webHidden/>
          </w:rPr>
          <w:fldChar w:fldCharType="separate"/>
        </w:r>
        <w:r w:rsidR="0012026B">
          <w:rPr>
            <w:noProof/>
            <w:webHidden/>
          </w:rPr>
          <w:t>191</w:t>
        </w:r>
        <w:r w:rsidR="0012026B">
          <w:rPr>
            <w:noProof/>
            <w:webHidden/>
          </w:rPr>
          <w:fldChar w:fldCharType="end"/>
        </w:r>
      </w:hyperlink>
    </w:p>
    <w:p w14:paraId="330FE5A4" w14:textId="774205C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1" w:history="1">
        <w:r w:rsidR="0012026B" w:rsidRPr="0056582D">
          <w:rPr>
            <w:rStyle w:val="Hyperlink"/>
            <w:noProof/>
          </w:rPr>
          <w:t>Figure 69: C5th-6</w:t>
        </w:r>
        <w:r w:rsidR="0012026B" w:rsidRPr="0056582D">
          <w:rPr>
            <w:rStyle w:val="Hyperlink"/>
            <w:noProof/>
            <w:vertAlign w:val="superscript"/>
          </w:rPr>
          <w:t>th</w:t>
        </w:r>
        <w:r w:rsidR="0012026B" w:rsidRPr="0056582D">
          <w:rPr>
            <w:rStyle w:val="Hyperlink"/>
            <w:noProof/>
          </w:rPr>
          <w:t xml:space="preserve"> glass bowl, The Mount</w:t>
        </w:r>
        <w:r w:rsidR="0012026B">
          <w:rPr>
            <w:noProof/>
            <w:webHidden/>
          </w:rPr>
          <w:tab/>
        </w:r>
        <w:r w:rsidR="0012026B">
          <w:rPr>
            <w:noProof/>
            <w:webHidden/>
          </w:rPr>
          <w:fldChar w:fldCharType="begin"/>
        </w:r>
        <w:r w:rsidR="0012026B">
          <w:rPr>
            <w:noProof/>
            <w:webHidden/>
          </w:rPr>
          <w:instrText xml:space="preserve"> PAGEREF _Toc468267041 \h </w:instrText>
        </w:r>
        <w:r w:rsidR="0012026B">
          <w:rPr>
            <w:noProof/>
            <w:webHidden/>
          </w:rPr>
        </w:r>
        <w:r w:rsidR="0012026B">
          <w:rPr>
            <w:noProof/>
            <w:webHidden/>
          </w:rPr>
          <w:fldChar w:fldCharType="separate"/>
        </w:r>
        <w:r w:rsidR="0012026B">
          <w:rPr>
            <w:noProof/>
            <w:webHidden/>
          </w:rPr>
          <w:t>191</w:t>
        </w:r>
        <w:r w:rsidR="0012026B">
          <w:rPr>
            <w:noProof/>
            <w:webHidden/>
          </w:rPr>
          <w:fldChar w:fldCharType="end"/>
        </w:r>
      </w:hyperlink>
    </w:p>
    <w:p w14:paraId="03E9A59D" w14:textId="72E6A1B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2" w:history="1">
        <w:r w:rsidR="0012026B" w:rsidRPr="0056582D">
          <w:rPr>
            <w:rStyle w:val="Hyperlink"/>
            <w:noProof/>
          </w:rPr>
          <w:t>Figure 70</w:t>
        </w:r>
        <w:r w:rsidR="0012026B" w:rsidRPr="0056582D">
          <w:rPr>
            <w:rStyle w:val="Hyperlink"/>
            <w:rFonts w:cs="Times New Roman"/>
            <w:noProof/>
          </w:rPr>
          <w:t>: Fishergate specimens, sceats:</w:t>
        </w:r>
        <w:r w:rsidR="0012026B">
          <w:rPr>
            <w:noProof/>
            <w:webHidden/>
          </w:rPr>
          <w:tab/>
        </w:r>
        <w:r w:rsidR="0012026B">
          <w:rPr>
            <w:noProof/>
            <w:webHidden/>
          </w:rPr>
          <w:fldChar w:fldCharType="begin"/>
        </w:r>
        <w:r w:rsidR="0012026B">
          <w:rPr>
            <w:noProof/>
            <w:webHidden/>
          </w:rPr>
          <w:instrText xml:space="preserve"> PAGEREF _Toc468267042 \h </w:instrText>
        </w:r>
        <w:r w:rsidR="0012026B">
          <w:rPr>
            <w:noProof/>
            <w:webHidden/>
          </w:rPr>
        </w:r>
        <w:r w:rsidR="0012026B">
          <w:rPr>
            <w:noProof/>
            <w:webHidden/>
          </w:rPr>
          <w:fldChar w:fldCharType="separate"/>
        </w:r>
        <w:r w:rsidR="0012026B">
          <w:rPr>
            <w:noProof/>
            <w:webHidden/>
          </w:rPr>
          <w:t>195</w:t>
        </w:r>
        <w:r w:rsidR="0012026B">
          <w:rPr>
            <w:noProof/>
            <w:webHidden/>
          </w:rPr>
          <w:fldChar w:fldCharType="end"/>
        </w:r>
      </w:hyperlink>
    </w:p>
    <w:p w14:paraId="35833421" w14:textId="721E550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3" w:history="1">
        <w:r w:rsidR="0012026B" w:rsidRPr="0056582D">
          <w:rPr>
            <w:rStyle w:val="Hyperlink"/>
            <w:noProof/>
          </w:rPr>
          <w:t>Figure 71</w:t>
        </w:r>
        <w:r w:rsidR="0012026B" w:rsidRPr="0056582D">
          <w:rPr>
            <w:rStyle w:val="Hyperlink"/>
            <w:rFonts w:cs="Times New Roman"/>
            <w:noProof/>
          </w:rPr>
          <w:t>: Exotic species from Fishergate</w:t>
        </w:r>
        <w:r w:rsidR="0012026B">
          <w:rPr>
            <w:noProof/>
            <w:webHidden/>
          </w:rPr>
          <w:tab/>
        </w:r>
        <w:r w:rsidR="0012026B">
          <w:rPr>
            <w:noProof/>
            <w:webHidden/>
          </w:rPr>
          <w:fldChar w:fldCharType="begin"/>
        </w:r>
        <w:r w:rsidR="0012026B">
          <w:rPr>
            <w:noProof/>
            <w:webHidden/>
          </w:rPr>
          <w:instrText xml:space="preserve"> PAGEREF _Toc468267043 \h </w:instrText>
        </w:r>
        <w:r w:rsidR="0012026B">
          <w:rPr>
            <w:noProof/>
            <w:webHidden/>
          </w:rPr>
        </w:r>
        <w:r w:rsidR="0012026B">
          <w:rPr>
            <w:noProof/>
            <w:webHidden/>
          </w:rPr>
          <w:fldChar w:fldCharType="separate"/>
        </w:r>
        <w:r w:rsidR="0012026B">
          <w:rPr>
            <w:noProof/>
            <w:webHidden/>
          </w:rPr>
          <w:t>195</w:t>
        </w:r>
        <w:r w:rsidR="0012026B">
          <w:rPr>
            <w:noProof/>
            <w:webHidden/>
          </w:rPr>
          <w:fldChar w:fldCharType="end"/>
        </w:r>
      </w:hyperlink>
    </w:p>
    <w:p w14:paraId="0573A365" w14:textId="7E14954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4" w:history="1">
        <w:r w:rsidR="0012026B" w:rsidRPr="0056582D">
          <w:rPr>
            <w:rStyle w:val="Hyperlink"/>
            <w:noProof/>
          </w:rPr>
          <w:t>Figure 72</w:t>
        </w:r>
        <w:r w:rsidR="0012026B" w:rsidRPr="0056582D">
          <w:rPr>
            <w:rStyle w:val="Hyperlink"/>
            <w:rFonts w:cs="Times New Roman"/>
            <w:noProof/>
          </w:rPr>
          <w:t>: Fishergate specimens, Series Y sceats:</w:t>
        </w:r>
        <w:r w:rsidR="0012026B">
          <w:rPr>
            <w:noProof/>
            <w:webHidden/>
          </w:rPr>
          <w:tab/>
        </w:r>
        <w:r w:rsidR="0012026B">
          <w:rPr>
            <w:noProof/>
            <w:webHidden/>
          </w:rPr>
          <w:fldChar w:fldCharType="begin"/>
        </w:r>
        <w:r w:rsidR="0012026B">
          <w:rPr>
            <w:noProof/>
            <w:webHidden/>
          </w:rPr>
          <w:instrText xml:space="preserve"> PAGEREF _Toc468267044 \h </w:instrText>
        </w:r>
        <w:r w:rsidR="0012026B">
          <w:rPr>
            <w:noProof/>
            <w:webHidden/>
          </w:rPr>
        </w:r>
        <w:r w:rsidR="0012026B">
          <w:rPr>
            <w:noProof/>
            <w:webHidden/>
          </w:rPr>
          <w:fldChar w:fldCharType="separate"/>
        </w:r>
        <w:r w:rsidR="0012026B">
          <w:rPr>
            <w:noProof/>
            <w:webHidden/>
          </w:rPr>
          <w:t>196</w:t>
        </w:r>
        <w:r w:rsidR="0012026B">
          <w:rPr>
            <w:noProof/>
            <w:webHidden/>
          </w:rPr>
          <w:fldChar w:fldCharType="end"/>
        </w:r>
      </w:hyperlink>
    </w:p>
    <w:p w14:paraId="404FFF28" w14:textId="4B58C12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5" w:history="1">
        <w:r w:rsidR="0012026B" w:rsidRPr="0056582D">
          <w:rPr>
            <w:rStyle w:val="Hyperlink"/>
            <w:noProof/>
          </w:rPr>
          <w:t>Figure 73</w:t>
        </w:r>
        <w:r w:rsidR="0012026B" w:rsidRPr="0056582D">
          <w:rPr>
            <w:rStyle w:val="Hyperlink"/>
            <w:rFonts w:eastAsia="Times New Roman" w:cs="Times New Roman"/>
            <w:noProof/>
            <w:lang w:eastAsia="en-GB"/>
          </w:rPr>
          <w:t>: Fishergate stycas</w:t>
        </w:r>
        <w:r w:rsidR="0012026B">
          <w:rPr>
            <w:noProof/>
            <w:webHidden/>
          </w:rPr>
          <w:tab/>
        </w:r>
        <w:r w:rsidR="0012026B">
          <w:rPr>
            <w:noProof/>
            <w:webHidden/>
          </w:rPr>
          <w:fldChar w:fldCharType="begin"/>
        </w:r>
        <w:r w:rsidR="0012026B">
          <w:rPr>
            <w:noProof/>
            <w:webHidden/>
          </w:rPr>
          <w:instrText xml:space="preserve"> PAGEREF _Toc468267045 \h </w:instrText>
        </w:r>
        <w:r w:rsidR="0012026B">
          <w:rPr>
            <w:noProof/>
            <w:webHidden/>
          </w:rPr>
        </w:r>
        <w:r w:rsidR="0012026B">
          <w:rPr>
            <w:noProof/>
            <w:webHidden/>
          </w:rPr>
          <w:fldChar w:fldCharType="separate"/>
        </w:r>
        <w:r w:rsidR="0012026B">
          <w:rPr>
            <w:noProof/>
            <w:webHidden/>
          </w:rPr>
          <w:t>196</w:t>
        </w:r>
        <w:r w:rsidR="0012026B">
          <w:rPr>
            <w:noProof/>
            <w:webHidden/>
          </w:rPr>
          <w:fldChar w:fldCharType="end"/>
        </w:r>
      </w:hyperlink>
    </w:p>
    <w:p w14:paraId="57FC747A" w14:textId="4E1A1FA2"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6" w:history="1">
        <w:r w:rsidR="0012026B" w:rsidRPr="0056582D">
          <w:rPr>
            <w:rStyle w:val="Hyperlink"/>
            <w:noProof/>
          </w:rPr>
          <w:t>Figure 74</w:t>
        </w:r>
        <w:r w:rsidR="0012026B" w:rsidRPr="0056582D">
          <w:rPr>
            <w:rStyle w:val="Hyperlink"/>
            <w:rFonts w:eastAsia="Times New Roman" w:cs="Times New Roman"/>
            <w:noProof/>
            <w:lang w:eastAsia="en-GB"/>
          </w:rPr>
          <w:t>: Fishergate penny:</w:t>
        </w:r>
        <w:r w:rsidR="0012026B">
          <w:rPr>
            <w:noProof/>
            <w:webHidden/>
          </w:rPr>
          <w:tab/>
        </w:r>
        <w:r w:rsidR="0012026B">
          <w:rPr>
            <w:noProof/>
            <w:webHidden/>
          </w:rPr>
          <w:fldChar w:fldCharType="begin"/>
        </w:r>
        <w:r w:rsidR="0012026B">
          <w:rPr>
            <w:noProof/>
            <w:webHidden/>
          </w:rPr>
          <w:instrText xml:space="preserve"> PAGEREF _Toc468267046 \h </w:instrText>
        </w:r>
        <w:r w:rsidR="0012026B">
          <w:rPr>
            <w:noProof/>
            <w:webHidden/>
          </w:rPr>
        </w:r>
        <w:r w:rsidR="0012026B">
          <w:rPr>
            <w:noProof/>
            <w:webHidden/>
          </w:rPr>
          <w:fldChar w:fldCharType="separate"/>
        </w:r>
        <w:r w:rsidR="0012026B">
          <w:rPr>
            <w:noProof/>
            <w:webHidden/>
          </w:rPr>
          <w:t>197</w:t>
        </w:r>
        <w:r w:rsidR="0012026B">
          <w:rPr>
            <w:noProof/>
            <w:webHidden/>
          </w:rPr>
          <w:fldChar w:fldCharType="end"/>
        </w:r>
      </w:hyperlink>
    </w:p>
    <w:p w14:paraId="0B0D4916" w14:textId="0E67E1B8"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7" w:history="1">
        <w:r w:rsidR="0012026B" w:rsidRPr="0056582D">
          <w:rPr>
            <w:rStyle w:val="Hyperlink"/>
            <w:noProof/>
          </w:rPr>
          <w:t>Figure 75</w:t>
        </w:r>
        <w:r w:rsidR="0012026B" w:rsidRPr="0056582D">
          <w:rPr>
            <w:rStyle w:val="Hyperlink"/>
            <w:rFonts w:eastAsia="Times New Roman" w:cs="Times New Roman"/>
            <w:noProof/>
            <w:lang w:eastAsia="en-GB"/>
          </w:rPr>
          <w:t>: The three main types of Series H:</w:t>
        </w:r>
        <w:r w:rsidR="0012026B">
          <w:rPr>
            <w:noProof/>
            <w:webHidden/>
          </w:rPr>
          <w:tab/>
        </w:r>
        <w:r w:rsidR="0012026B">
          <w:rPr>
            <w:noProof/>
            <w:webHidden/>
          </w:rPr>
          <w:fldChar w:fldCharType="begin"/>
        </w:r>
        <w:r w:rsidR="0012026B">
          <w:rPr>
            <w:noProof/>
            <w:webHidden/>
          </w:rPr>
          <w:instrText xml:space="preserve"> PAGEREF _Toc468267047 \h </w:instrText>
        </w:r>
        <w:r w:rsidR="0012026B">
          <w:rPr>
            <w:noProof/>
            <w:webHidden/>
          </w:rPr>
        </w:r>
        <w:r w:rsidR="0012026B">
          <w:rPr>
            <w:noProof/>
            <w:webHidden/>
          </w:rPr>
          <w:fldChar w:fldCharType="separate"/>
        </w:r>
        <w:r w:rsidR="0012026B">
          <w:rPr>
            <w:noProof/>
            <w:webHidden/>
          </w:rPr>
          <w:t>201</w:t>
        </w:r>
        <w:r w:rsidR="0012026B">
          <w:rPr>
            <w:noProof/>
            <w:webHidden/>
          </w:rPr>
          <w:fldChar w:fldCharType="end"/>
        </w:r>
      </w:hyperlink>
    </w:p>
    <w:p w14:paraId="17B97F87" w14:textId="04F6181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8" w:history="1">
        <w:r w:rsidR="0012026B" w:rsidRPr="0056582D">
          <w:rPr>
            <w:rStyle w:val="Hyperlink"/>
            <w:noProof/>
          </w:rPr>
          <w:t>Figure 76: York gold shillings associated with Parliament Street landscaping before 1846</w:t>
        </w:r>
        <w:r w:rsidR="0012026B">
          <w:rPr>
            <w:noProof/>
            <w:webHidden/>
          </w:rPr>
          <w:tab/>
        </w:r>
        <w:r w:rsidR="0012026B">
          <w:rPr>
            <w:noProof/>
            <w:webHidden/>
          </w:rPr>
          <w:fldChar w:fldCharType="begin"/>
        </w:r>
        <w:r w:rsidR="0012026B">
          <w:rPr>
            <w:noProof/>
            <w:webHidden/>
          </w:rPr>
          <w:instrText xml:space="preserve"> PAGEREF _Toc468267048 \h </w:instrText>
        </w:r>
        <w:r w:rsidR="0012026B">
          <w:rPr>
            <w:noProof/>
            <w:webHidden/>
          </w:rPr>
        </w:r>
        <w:r w:rsidR="0012026B">
          <w:rPr>
            <w:noProof/>
            <w:webHidden/>
          </w:rPr>
          <w:fldChar w:fldCharType="separate"/>
        </w:r>
        <w:r w:rsidR="0012026B">
          <w:rPr>
            <w:noProof/>
            <w:webHidden/>
          </w:rPr>
          <w:t>205</w:t>
        </w:r>
        <w:r w:rsidR="0012026B">
          <w:rPr>
            <w:noProof/>
            <w:webHidden/>
          </w:rPr>
          <w:fldChar w:fldCharType="end"/>
        </w:r>
      </w:hyperlink>
    </w:p>
    <w:p w14:paraId="425E09CD" w14:textId="088730C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49" w:history="1">
        <w:r w:rsidR="0012026B" w:rsidRPr="0056582D">
          <w:rPr>
            <w:rStyle w:val="Hyperlink"/>
            <w:noProof/>
          </w:rPr>
          <w:t>Figure 77: Dunnington: variety A York gold shilling</w:t>
        </w:r>
        <w:r w:rsidR="0012026B">
          <w:rPr>
            <w:noProof/>
            <w:webHidden/>
          </w:rPr>
          <w:tab/>
        </w:r>
        <w:r w:rsidR="0012026B">
          <w:rPr>
            <w:noProof/>
            <w:webHidden/>
          </w:rPr>
          <w:fldChar w:fldCharType="begin"/>
        </w:r>
        <w:r w:rsidR="0012026B">
          <w:rPr>
            <w:noProof/>
            <w:webHidden/>
          </w:rPr>
          <w:instrText xml:space="preserve"> PAGEREF _Toc468267049 \h </w:instrText>
        </w:r>
        <w:r w:rsidR="0012026B">
          <w:rPr>
            <w:noProof/>
            <w:webHidden/>
          </w:rPr>
        </w:r>
        <w:r w:rsidR="0012026B">
          <w:rPr>
            <w:noProof/>
            <w:webHidden/>
          </w:rPr>
          <w:fldChar w:fldCharType="separate"/>
        </w:r>
        <w:r w:rsidR="0012026B">
          <w:rPr>
            <w:noProof/>
            <w:webHidden/>
          </w:rPr>
          <w:t>206</w:t>
        </w:r>
        <w:r w:rsidR="0012026B">
          <w:rPr>
            <w:noProof/>
            <w:webHidden/>
          </w:rPr>
          <w:fldChar w:fldCharType="end"/>
        </w:r>
      </w:hyperlink>
    </w:p>
    <w:p w14:paraId="2CAADA4F" w14:textId="427789C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0" w:history="1">
        <w:r w:rsidR="0012026B" w:rsidRPr="0056582D">
          <w:rPr>
            <w:rStyle w:val="Hyperlink"/>
            <w:noProof/>
          </w:rPr>
          <w:t>Figure 78: York gold shilling, var. found by Stuart Hodgson, near York.</w:t>
        </w:r>
        <w:r w:rsidR="0012026B">
          <w:rPr>
            <w:noProof/>
            <w:webHidden/>
          </w:rPr>
          <w:tab/>
        </w:r>
        <w:r w:rsidR="0012026B">
          <w:rPr>
            <w:noProof/>
            <w:webHidden/>
          </w:rPr>
          <w:fldChar w:fldCharType="begin"/>
        </w:r>
        <w:r w:rsidR="0012026B">
          <w:rPr>
            <w:noProof/>
            <w:webHidden/>
          </w:rPr>
          <w:instrText xml:space="preserve"> PAGEREF _Toc468267050 \h </w:instrText>
        </w:r>
        <w:r w:rsidR="0012026B">
          <w:rPr>
            <w:noProof/>
            <w:webHidden/>
          </w:rPr>
        </w:r>
        <w:r w:rsidR="0012026B">
          <w:rPr>
            <w:noProof/>
            <w:webHidden/>
          </w:rPr>
          <w:fldChar w:fldCharType="separate"/>
        </w:r>
        <w:r w:rsidR="0012026B">
          <w:rPr>
            <w:noProof/>
            <w:webHidden/>
          </w:rPr>
          <w:t>207</w:t>
        </w:r>
        <w:r w:rsidR="0012026B">
          <w:rPr>
            <w:noProof/>
            <w:webHidden/>
          </w:rPr>
          <w:fldChar w:fldCharType="end"/>
        </w:r>
      </w:hyperlink>
    </w:p>
    <w:p w14:paraId="3185E490" w14:textId="6677467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1" w:history="1">
        <w:r w:rsidR="0012026B" w:rsidRPr="0056582D">
          <w:rPr>
            <w:rStyle w:val="Hyperlink"/>
            <w:noProof/>
          </w:rPr>
          <w:t>Figure 79: Coppergate helmet c.750-75</w:t>
        </w:r>
        <w:r w:rsidR="0012026B">
          <w:rPr>
            <w:noProof/>
            <w:webHidden/>
          </w:rPr>
          <w:tab/>
        </w:r>
        <w:r w:rsidR="0012026B">
          <w:rPr>
            <w:noProof/>
            <w:webHidden/>
          </w:rPr>
          <w:fldChar w:fldCharType="begin"/>
        </w:r>
        <w:r w:rsidR="0012026B">
          <w:rPr>
            <w:noProof/>
            <w:webHidden/>
          </w:rPr>
          <w:instrText xml:space="preserve"> PAGEREF _Toc468267051 \h </w:instrText>
        </w:r>
        <w:r w:rsidR="0012026B">
          <w:rPr>
            <w:noProof/>
            <w:webHidden/>
          </w:rPr>
        </w:r>
        <w:r w:rsidR="0012026B">
          <w:rPr>
            <w:noProof/>
            <w:webHidden/>
          </w:rPr>
          <w:fldChar w:fldCharType="separate"/>
        </w:r>
        <w:r w:rsidR="0012026B">
          <w:rPr>
            <w:noProof/>
            <w:webHidden/>
          </w:rPr>
          <w:t>210</w:t>
        </w:r>
        <w:r w:rsidR="0012026B">
          <w:rPr>
            <w:noProof/>
            <w:webHidden/>
          </w:rPr>
          <w:fldChar w:fldCharType="end"/>
        </w:r>
      </w:hyperlink>
    </w:p>
    <w:p w14:paraId="789E364F" w14:textId="1B2BF34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2" w:history="1">
        <w:r w:rsidR="0012026B" w:rsidRPr="0056582D">
          <w:rPr>
            <w:rStyle w:val="Hyperlink"/>
            <w:noProof/>
          </w:rPr>
          <w:t>Figure 80: Lotherton: Series Q1H</w:t>
        </w:r>
        <w:r w:rsidR="0012026B">
          <w:rPr>
            <w:noProof/>
            <w:webHidden/>
          </w:rPr>
          <w:tab/>
        </w:r>
        <w:r w:rsidR="0012026B">
          <w:rPr>
            <w:noProof/>
            <w:webHidden/>
          </w:rPr>
          <w:fldChar w:fldCharType="begin"/>
        </w:r>
        <w:r w:rsidR="0012026B">
          <w:rPr>
            <w:noProof/>
            <w:webHidden/>
          </w:rPr>
          <w:instrText xml:space="preserve"> PAGEREF _Toc468267052 \h </w:instrText>
        </w:r>
        <w:r w:rsidR="0012026B">
          <w:rPr>
            <w:noProof/>
            <w:webHidden/>
          </w:rPr>
        </w:r>
        <w:r w:rsidR="0012026B">
          <w:rPr>
            <w:noProof/>
            <w:webHidden/>
          </w:rPr>
          <w:fldChar w:fldCharType="separate"/>
        </w:r>
        <w:r w:rsidR="0012026B">
          <w:rPr>
            <w:noProof/>
            <w:webHidden/>
          </w:rPr>
          <w:t>212</w:t>
        </w:r>
        <w:r w:rsidR="0012026B">
          <w:rPr>
            <w:noProof/>
            <w:webHidden/>
          </w:rPr>
          <w:fldChar w:fldCharType="end"/>
        </w:r>
      </w:hyperlink>
    </w:p>
    <w:p w14:paraId="68967845" w14:textId="4381CE1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3" w:history="1">
        <w:r w:rsidR="0012026B" w:rsidRPr="0056582D">
          <w:rPr>
            <w:rStyle w:val="Hyperlink"/>
            <w:noProof/>
          </w:rPr>
          <w:t>Figure 81: Spofforth: new variety D of York gold shilling</w:t>
        </w:r>
        <w:r w:rsidR="0012026B">
          <w:rPr>
            <w:noProof/>
            <w:webHidden/>
          </w:rPr>
          <w:tab/>
        </w:r>
        <w:r w:rsidR="0012026B">
          <w:rPr>
            <w:noProof/>
            <w:webHidden/>
          </w:rPr>
          <w:fldChar w:fldCharType="begin"/>
        </w:r>
        <w:r w:rsidR="0012026B">
          <w:rPr>
            <w:noProof/>
            <w:webHidden/>
          </w:rPr>
          <w:instrText xml:space="preserve"> PAGEREF _Toc468267053 \h </w:instrText>
        </w:r>
        <w:r w:rsidR="0012026B">
          <w:rPr>
            <w:noProof/>
            <w:webHidden/>
          </w:rPr>
        </w:r>
        <w:r w:rsidR="0012026B">
          <w:rPr>
            <w:noProof/>
            <w:webHidden/>
          </w:rPr>
          <w:fldChar w:fldCharType="separate"/>
        </w:r>
        <w:r w:rsidR="0012026B">
          <w:rPr>
            <w:noProof/>
            <w:webHidden/>
          </w:rPr>
          <w:t>213</w:t>
        </w:r>
        <w:r w:rsidR="0012026B">
          <w:rPr>
            <w:noProof/>
            <w:webHidden/>
          </w:rPr>
          <w:fldChar w:fldCharType="end"/>
        </w:r>
      </w:hyperlink>
    </w:p>
    <w:p w14:paraId="6F90EDC4" w14:textId="7470820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4" w:history="1">
        <w:r w:rsidR="0012026B" w:rsidRPr="0056582D">
          <w:rPr>
            <w:rStyle w:val="Hyperlink"/>
            <w:noProof/>
          </w:rPr>
          <w:t>Figure 82: Spofforth: second known variety D of York gold shilling</w:t>
        </w:r>
        <w:r w:rsidR="0012026B">
          <w:rPr>
            <w:noProof/>
            <w:webHidden/>
          </w:rPr>
          <w:tab/>
        </w:r>
        <w:r w:rsidR="0012026B">
          <w:rPr>
            <w:noProof/>
            <w:webHidden/>
          </w:rPr>
          <w:fldChar w:fldCharType="begin"/>
        </w:r>
        <w:r w:rsidR="0012026B">
          <w:rPr>
            <w:noProof/>
            <w:webHidden/>
          </w:rPr>
          <w:instrText xml:space="preserve"> PAGEREF _Toc468267054 \h </w:instrText>
        </w:r>
        <w:r w:rsidR="0012026B">
          <w:rPr>
            <w:noProof/>
            <w:webHidden/>
          </w:rPr>
        </w:r>
        <w:r w:rsidR="0012026B">
          <w:rPr>
            <w:noProof/>
            <w:webHidden/>
          </w:rPr>
          <w:fldChar w:fldCharType="separate"/>
        </w:r>
        <w:r w:rsidR="0012026B">
          <w:rPr>
            <w:noProof/>
            <w:webHidden/>
          </w:rPr>
          <w:t>213</w:t>
        </w:r>
        <w:r w:rsidR="0012026B">
          <w:rPr>
            <w:noProof/>
            <w:webHidden/>
          </w:rPr>
          <w:fldChar w:fldCharType="end"/>
        </w:r>
      </w:hyperlink>
    </w:p>
    <w:p w14:paraId="25FE7E54" w14:textId="140997B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5" w:history="1">
        <w:r w:rsidR="0012026B" w:rsidRPr="0056582D">
          <w:rPr>
            <w:rStyle w:val="Hyperlink"/>
            <w:noProof/>
          </w:rPr>
          <w:t>Figure 83: Hexagram sceat, found Tadcaster.</w:t>
        </w:r>
        <w:r w:rsidR="0012026B">
          <w:rPr>
            <w:noProof/>
            <w:webHidden/>
          </w:rPr>
          <w:tab/>
        </w:r>
        <w:r w:rsidR="0012026B">
          <w:rPr>
            <w:noProof/>
            <w:webHidden/>
          </w:rPr>
          <w:fldChar w:fldCharType="begin"/>
        </w:r>
        <w:r w:rsidR="0012026B">
          <w:rPr>
            <w:noProof/>
            <w:webHidden/>
          </w:rPr>
          <w:instrText xml:space="preserve"> PAGEREF _Toc468267055 \h </w:instrText>
        </w:r>
        <w:r w:rsidR="0012026B">
          <w:rPr>
            <w:noProof/>
            <w:webHidden/>
          </w:rPr>
        </w:r>
        <w:r w:rsidR="0012026B">
          <w:rPr>
            <w:noProof/>
            <w:webHidden/>
          </w:rPr>
          <w:fldChar w:fldCharType="separate"/>
        </w:r>
        <w:r w:rsidR="0012026B">
          <w:rPr>
            <w:noProof/>
            <w:webHidden/>
          </w:rPr>
          <w:t>214</w:t>
        </w:r>
        <w:r w:rsidR="0012026B">
          <w:rPr>
            <w:noProof/>
            <w:webHidden/>
          </w:rPr>
          <w:fldChar w:fldCharType="end"/>
        </w:r>
      </w:hyperlink>
    </w:p>
    <w:p w14:paraId="2F411563" w14:textId="70BE1656"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6" w:history="1">
        <w:r w:rsidR="0012026B" w:rsidRPr="0056582D">
          <w:rPr>
            <w:rStyle w:val="Hyperlink"/>
            <w:noProof/>
          </w:rPr>
          <w:t>Figure 84: Ripon: Beonna lead trial piece</w:t>
        </w:r>
        <w:r w:rsidR="0012026B">
          <w:rPr>
            <w:noProof/>
            <w:webHidden/>
          </w:rPr>
          <w:tab/>
        </w:r>
        <w:r w:rsidR="0012026B">
          <w:rPr>
            <w:noProof/>
            <w:webHidden/>
          </w:rPr>
          <w:fldChar w:fldCharType="begin"/>
        </w:r>
        <w:r w:rsidR="0012026B">
          <w:rPr>
            <w:noProof/>
            <w:webHidden/>
          </w:rPr>
          <w:instrText xml:space="preserve"> PAGEREF _Toc468267056 \h </w:instrText>
        </w:r>
        <w:r w:rsidR="0012026B">
          <w:rPr>
            <w:noProof/>
            <w:webHidden/>
          </w:rPr>
        </w:r>
        <w:r w:rsidR="0012026B">
          <w:rPr>
            <w:noProof/>
            <w:webHidden/>
          </w:rPr>
          <w:fldChar w:fldCharType="separate"/>
        </w:r>
        <w:r w:rsidR="0012026B">
          <w:rPr>
            <w:noProof/>
            <w:webHidden/>
          </w:rPr>
          <w:t>215</w:t>
        </w:r>
        <w:r w:rsidR="0012026B">
          <w:rPr>
            <w:noProof/>
            <w:webHidden/>
          </w:rPr>
          <w:fldChar w:fldCharType="end"/>
        </w:r>
      </w:hyperlink>
    </w:p>
    <w:p w14:paraId="6EDE4BA2" w14:textId="739499F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7" w:history="1">
        <w:r w:rsidR="0012026B" w:rsidRPr="0056582D">
          <w:rPr>
            <w:rStyle w:val="Hyperlink"/>
            <w:noProof/>
          </w:rPr>
          <w:t>Figure 85: Interlace decoration, hanging bowl base,</w:t>
        </w:r>
        <w:r w:rsidR="0012026B">
          <w:rPr>
            <w:noProof/>
            <w:webHidden/>
          </w:rPr>
          <w:tab/>
        </w:r>
        <w:r w:rsidR="0012026B">
          <w:rPr>
            <w:noProof/>
            <w:webHidden/>
          </w:rPr>
          <w:fldChar w:fldCharType="begin"/>
        </w:r>
        <w:r w:rsidR="0012026B">
          <w:rPr>
            <w:noProof/>
            <w:webHidden/>
          </w:rPr>
          <w:instrText xml:space="preserve"> PAGEREF _Toc468267057 \h </w:instrText>
        </w:r>
        <w:r w:rsidR="0012026B">
          <w:rPr>
            <w:noProof/>
            <w:webHidden/>
          </w:rPr>
        </w:r>
        <w:r w:rsidR="0012026B">
          <w:rPr>
            <w:noProof/>
            <w:webHidden/>
          </w:rPr>
          <w:fldChar w:fldCharType="separate"/>
        </w:r>
        <w:r w:rsidR="0012026B">
          <w:rPr>
            <w:noProof/>
            <w:webHidden/>
          </w:rPr>
          <w:t>215</w:t>
        </w:r>
        <w:r w:rsidR="0012026B">
          <w:rPr>
            <w:noProof/>
            <w:webHidden/>
          </w:rPr>
          <w:fldChar w:fldCharType="end"/>
        </w:r>
      </w:hyperlink>
    </w:p>
    <w:p w14:paraId="6108696E" w14:textId="6D18536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8" w:history="1">
        <w:r w:rsidR="0012026B" w:rsidRPr="0056582D">
          <w:rPr>
            <w:rStyle w:val="Hyperlink"/>
            <w:noProof/>
          </w:rPr>
          <w:t>Figure 86: Sherriff Hutton, Series E, variety G, one of three known</w:t>
        </w:r>
        <w:r w:rsidR="0012026B">
          <w:rPr>
            <w:noProof/>
            <w:webHidden/>
          </w:rPr>
          <w:tab/>
        </w:r>
        <w:r w:rsidR="0012026B">
          <w:rPr>
            <w:noProof/>
            <w:webHidden/>
          </w:rPr>
          <w:fldChar w:fldCharType="begin"/>
        </w:r>
        <w:r w:rsidR="0012026B">
          <w:rPr>
            <w:noProof/>
            <w:webHidden/>
          </w:rPr>
          <w:instrText xml:space="preserve"> PAGEREF _Toc468267058 \h </w:instrText>
        </w:r>
        <w:r w:rsidR="0012026B">
          <w:rPr>
            <w:noProof/>
            <w:webHidden/>
          </w:rPr>
        </w:r>
        <w:r w:rsidR="0012026B">
          <w:rPr>
            <w:noProof/>
            <w:webHidden/>
          </w:rPr>
          <w:fldChar w:fldCharType="separate"/>
        </w:r>
        <w:r w:rsidR="0012026B">
          <w:rPr>
            <w:noProof/>
            <w:webHidden/>
          </w:rPr>
          <w:t>216</w:t>
        </w:r>
        <w:r w:rsidR="0012026B">
          <w:rPr>
            <w:noProof/>
            <w:webHidden/>
          </w:rPr>
          <w:fldChar w:fldCharType="end"/>
        </w:r>
      </w:hyperlink>
    </w:p>
    <w:p w14:paraId="1AC18A3D" w14:textId="356A731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59" w:history="1">
        <w:r w:rsidR="0012026B" w:rsidRPr="0056582D">
          <w:rPr>
            <w:rStyle w:val="Hyperlink"/>
            <w:noProof/>
          </w:rPr>
          <w:t>Figure 87: Annulet type</w:t>
        </w:r>
        <w:r w:rsidR="0012026B">
          <w:rPr>
            <w:noProof/>
            <w:webHidden/>
          </w:rPr>
          <w:tab/>
        </w:r>
        <w:r w:rsidR="0012026B">
          <w:rPr>
            <w:noProof/>
            <w:webHidden/>
          </w:rPr>
          <w:fldChar w:fldCharType="begin"/>
        </w:r>
        <w:r w:rsidR="0012026B">
          <w:rPr>
            <w:noProof/>
            <w:webHidden/>
          </w:rPr>
          <w:instrText xml:space="preserve"> PAGEREF _Toc468267059 \h </w:instrText>
        </w:r>
        <w:r w:rsidR="0012026B">
          <w:rPr>
            <w:noProof/>
            <w:webHidden/>
          </w:rPr>
        </w:r>
        <w:r w:rsidR="0012026B">
          <w:rPr>
            <w:noProof/>
            <w:webHidden/>
          </w:rPr>
          <w:fldChar w:fldCharType="separate"/>
        </w:r>
        <w:r w:rsidR="0012026B">
          <w:rPr>
            <w:noProof/>
            <w:webHidden/>
          </w:rPr>
          <w:t>216</w:t>
        </w:r>
        <w:r w:rsidR="0012026B">
          <w:rPr>
            <w:noProof/>
            <w:webHidden/>
          </w:rPr>
          <w:fldChar w:fldCharType="end"/>
        </w:r>
      </w:hyperlink>
    </w:p>
    <w:p w14:paraId="0DE10182" w14:textId="646E8DC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0" w:history="1">
        <w:r w:rsidR="0012026B" w:rsidRPr="0056582D">
          <w:rPr>
            <w:rStyle w:val="Hyperlink"/>
            <w:noProof/>
          </w:rPr>
          <w:t xml:space="preserve">Figure 88: Upper Poppleton: Primary Series E, Series O and </w:t>
        </w:r>
        <w:r w:rsidR="0012026B" w:rsidRPr="0056582D">
          <w:rPr>
            <w:rStyle w:val="Hyperlink"/>
            <w:rFonts w:cs="Times New Roman"/>
            <w:noProof/>
          </w:rPr>
          <w:t>Æ</w:t>
        </w:r>
        <w:r w:rsidR="0012026B" w:rsidRPr="0056582D">
          <w:rPr>
            <w:rStyle w:val="Hyperlink"/>
            <w:noProof/>
          </w:rPr>
          <w:t>lfwald sceat</w:t>
        </w:r>
        <w:r w:rsidR="0012026B">
          <w:rPr>
            <w:noProof/>
            <w:webHidden/>
          </w:rPr>
          <w:tab/>
        </w:r>
        <w:r w:rsidR="0012026B">
          <w:rPr>
            <w:noProof/>
            <w:webHidden/>
          </w:rPr>
          <w:fldChar w:fldCharType="begin"/>
        </w:r>
        <w:r w:rsidR="0012026B">
          <w:rPr>
            <w:noProof/>
            <w:webHidden/>
          </w:rPr>
          <w:instrText xml:space="preserve"> PAGEREF _Toc468267060 \h </w:instrText>
        </w:r>
        <w:r w:rsidR="0012026B">
          <w:rPr>
            <w:noProof/>
            <w:webHidden/>
          </w:rPr>
        </w:r>
        <w:r w:rsidR="0012026B">
          <w:rPr>
            <w:noProof/>
            <w:webHidden/>
          </w:rPr>
          <w:fldChar w:fldCharType="separate"/>
        </w:r>
        <w:r w:rsidR="0012026B">
          <w:rPr>
            <w:noProof/>
            <w:webHidden/>
          </w:rPr>
          <w:t>216</w:t>
        </w:r>
        <w:r w:rsidR="0012026B">
          <w:rPr>
            <w:noProof/>
            <w:webHidden/>
          </w:rPr>
          <w:fldChar w:fldCharType="end"/>
        </w:r>
      </w:hyperlink>
    </w:p>
    <w:p w14:paraId="0C038650" w14:textId="60949FF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1" w:history="1">
        <w:r w:rsidR="0012026B" w:rsidRPr="0056582D">
          <w:rPr>
            <w:rStyle w:val="Hyperlink"/>
            <w:noProof/>
          </w:rPr>
          <w:t>Figure 89: Bolton Percy: Series F</w:t>
        </w:r>
        <w:r w:rsidR="0012026B">
          <w:rPr>
            <w:noProof/>
            <w:webHidden/>
          </w:rPr>
          <w:tab/>
        </w:r>
        <w:r w:rsidR="0012026B">
          <w:rPr>
            <w:noProof/>
            <w:webHidden/>
          </w:rPr>
          <w:fldChar w:fldCharType="begin"/>
        </w:r>
        <w:r w:rsidR="0012026B">
          <w:rPr>
            <w:noProof/>
            <w:webHidden/>
          </w:rPr>
          <w:instrText xml:space="preserve"> PAGEREF _Toc468267061 \h </w:instrText>
        </w:r>
        <w:r w:rsidR="0012026B">
          <w:rPr>
            <w:noProof/>
            <w:webHidden/>
          </w:rPr>
        </w:r>
        <w:r w:rsidR="0012026B">
          <w:rPr>
            <w:noProof/>
            <w:webHidden/>
          </w:rPr>
          <w:fldChar w:fldCharType="separate"/>
        </w:r>
        <w:r w:rsidR="0012026B">
          <w:rPr>
            <w:noProof/>
            <w:webHidden/>
          </w:rPr>
          <w:t>217</w:t>
        </w:r>
        <w:r w:rsidR="0012026B">
          <w:rPr>
            <w:noProof/>
            <w:webHidden/>
          </w:rPr>
          <w:fldChar w:fldCharType="end"/>
        </w:r>
      </w:hyperlink>
    </w:p>
    <w:p w14:paraId="7E44535F" w14:textId="638C3532"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2" w:history="1">
        <w:r w:rsidR="0012026B" w:rsidRPr="0056582D">
          <w:rPr>
            <w:rStyle w:val="Hyperlink"/>
            <w:noProof/>
          </w:rPr>
          <w:t>Figure 90: Middleham: York gold shilling</w:t>
        </w:r>
        <w:r w:rsidR="0012026B">
          <w:rPr>
            <w:noProof/>
            <w:webHidden/>
          </w:rPr>
          <w:tab/>
        </w:r>
        <w:r w:rsidR="0012026B">
          <w:rPr>
            <w:noProof/>
            <w:webHidden/>
          </w:rPr>
          <w:fldChar w:fldCharType="begin"/>
        </w:r>
        <w:r w:rsidR="0012026B">
          <w:rPr>
            <w:noProof/>
            <w:webHidden/>
          </w:rPr>
          <w:instrText xml:space="preserve"> PAGEREF _Toc468267062 \h </w:instrText>
        </w:r>
        <w:r w:rsidR="0012026B">
          <w:rPr>
            <w:noProof/>
            <w:webHidden/>
          </w:rPr>
        </w:r>
        <w:r w:rsidR="0012026B">
          <w:rPr>
            <w:noProof/>
            <w:webHidden/>
          </w:rPr>
          <w:fldChar w:fldCharType="separate"/>
        </w:r>
        <w:r w:rsidR="0012026B">
          <w:rPr>
            <w:noProof/>
            <w:webHidden/>
          </w:rPr>
          <w:t>217</w:t>
        </w:r>
        <w:r w:rsidR="0012026B">
          <w:rPr>
            <w:noProof/>
            <w:webHidden/>
          </w:rPr>
          <w:fldChar w:fldCharType="end"/>
        </w:r>
      </w:hyperlink>
    </w:p>
    <w:p w14:paraId="1E3F5914" w14:textId="260262F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3" w:history="1">
        <w:r w:rsidR="0012026B" w:rsidRPr="0056582D">
          <w:rPr>
            <w:rStyle w:val="Hyperlink"/>
            <w:noProof/>
          </w:rPr>
          <w:t>Figure 91: S</w:t>
        </w:r>
        <w:r w:rsidR="0012026B" w:rsidRPr="0056582D">
          <w:rPr>
            <w:rStyle w:val="Hyperlink"/>
            <w:noProof/>
            <w:lang w:eastAsia="en-GB"/>
          </w:rPr>
          <w:t>word pommel with filigree and rope-twist</w:t>
        </w:r>
        <w:r w:rsidR="0012026B">
          <w:rPr>
            <w:noProof/>
            <w:webHidden/>
          </w:rPr>
          <w:tab/>
        </w:r>
        <w:r w:rsidR="0012026B">
          <w:rPr>
            <w:noProof/>
            <w:webHidden/>
          </w:rPr>
          <w:fldChar w:fldCharType="begin"/>
        </w:r>
        <w:r w:rsidR="0012026B">
          <w:rPr>
            <w:noProof/>
            <w:webHidden/>
          </w:rPr>
          <w:instrText xml:space="preserve"> PAGEREF _Toc468267063 \h </w:instrText>
        </w:r>
        <w:r w:rsidR="0012026B">
          <w:rPr>
            <w:noProof/>
            <w:webHidden/>
          </w:rPr>
        </w:r>
        <w:r w:rsidR="0012026B">
          <w:rPr>
            <w:noProof/>
            <w:webHidden/>
          </w:rPr>
          <w:fldChar w:fldCharType="separate"/>
        </w:r>
        <w:r w:rsidR="0012026B">
          <w:rPr>
            <w:noProof/>
            <w:webHidden/>
          </w:rPr>
          <w:t>217</w:t>
        </w:r>
        <w:r w:rsidR="0012026B">
          <w:rPr>
            <w:noProof/>
            <w:webHidden/>
          </w:rPr>
          <w:fldChar w:fldCharType="end"/>
        </w:r>
      </w:hyperlink>
    </w:p>
    <w:p w14:paraId="7F490797" w14:textId="52564FE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4" w:history="1">
        <w:r w:rsidR="0012026B" w:rsidRPr="0056582D">
          <w:rPr>
            <w:rStyle w:val="Hyperlink"/>
            <w:noProof/>
          </w:rPr>
          <w:t>Figure 92: Escrick ring found by Michael Greenhorn, 2009</w:t>
        </w:r>
        <w:r w:rsidR="0012026B">
          <w:rPr>
            <w:noProof/>
            <w:webHidden/>
          </w:rPr>
          <w:tab/>
        </w:r>
        <w:r w:rsidR="0012026B">
          <w:rPr>
            <w:noProof/>
            <w:webHidden/>
          </w:rPr>
          <w:fldChar w:fldCharType="begin"/>
        </w:r>
        <w:r w:rsidR="0012026B">
          <w:rPr>
            <w:noProof/>
            <w:webHidden/>
          </w:rPr>
          <w:instrText xml:space="preserve"> PAGEREF _Toc468267064 \h </w:instrText>
        </w:r>
        <w:r w:rsidR="0012026B">
          <w:rPr>
            <w:noProof/>
            <w:webHidden/>
          </w:rPr>
        </w:r>
        <w:r w:rsidR="0012026B">
          <w:rPr>
            <w:noProof/>
            <w:webHidden/>
          </w:rPr>
          <w:fldChar w:fldCharType="separate"/>
        </w:r>
        <w:r w:rsidR="0012026B">
          <w:rPr>
            <w:noProof/>
            <w:webHidden/>
          </w:rPr>
          <w:t>219</w:t>
        </w:r>
        <w:r w:rsidR="0012026B">
          <w:rPr>
            <w:noProof/>
            <w:webHidden/>
          </w:rPr>
          <w:fldChar w:fldCharType="end"/>
        </w:r>
      </w:hyperlink>
    </w:p>
    <w:p w14:paraId="2FB515F5" w14:textId="0980288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5" w:history="1">
        <w:r w:rsidR="0012026B" w:rsidRPr="0056582D">
          <w:rPr>
            <w:rStyle w:val="Hyperlink"/>
            <w:noProof/>
          </w:rPr>
          <w:t>Figure 93: Two views of the ‘Leeds’ ring hoard, c.700-1100, found Aberford</w:t>
        </w:r>
        <w:r w:rsidR="0012026B">
          <w:rPr>
            <w:noProof/>
            <w:webHidden/>
          </w:rPr>
          <w:tab/>
        </w:r>
        <w:r w:rsidR="0012026B">
          <w:rPr>
            <w:noProof/>
            <w:webHidden/>
          </w:rPr>
          <w:fldChar w:fldCharType="begin"/>
        </w:r>
        <w:r w:rsidR="0012026B">
          <w:rPr>
            <w:noProof/>
            <w:webHidden/>
          </w:rPr>
          <w:instrText xml:space="preserve"> PAGEREF _Toc468267065 \h </w:instrText>
        </w:r>
        <w:r w:rsidR="0012026B">
          <w:rPr>
            <w:noProof/>
            <w:webHidden/>
          </w:rPr>
        </w:r>
        <w:r w:rsidR="0012026B">
          <w:rPr>
            <w:noProof/>
            <w:webHidden/>
          </w:rPr>
          <w:fldChar w:fldCharType="separate"/>
        </w:r>
        <w:r w:rsidR="0012026B">
          <w:rPr>
            <w:noProof/>
            <w:webHidden/>
          </w:rPr>
          <w:t>219</w:t>
        </w:r>
        <w:r w:rsidR="0012026B">
          <w:rPr>
            <w:noProof/>
            <w:webHidden/>
          </w:rPr>
          <w:fldChar w:fldCharType="end"/>
        </w:r>
      </w:hyperlink>
    </w:p>
    <w:p w14:paraId="51181345" w14:textId="7E3BC63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6" w:history="1">
        <w:r w:rsidR="0012026B" w:rsidRPr="0056582D">
          <w:rPr>
            <w:rStyle w:val="Hyperlink"/>
            <w:noProof/>
          </w:rPr>
          <w:t>Figure 94: Some sceatta finds from South Newbald</w:t>
        </w:r>
        <w:r w:rsidR="0012026B">
          <w:rPr>
            <w:noProof/>
            <w:webHidden/>
          </w:rPr>
          <w:tab/>
        </w:r>
        <w:r w:rsidR="0012026B">
          <w:rPr>
            <w:noProof/>
            <w:webHidden/>
          </w:rPr>
          <w:fldChar w:fldCharType="begin"/>
        </w:r>
        <w:r w:rsidR="0012026B">
          <w:rPr>
            <w:noProof/>
            <w:webHidden/>
          </w:rPr>
          <w:instrText xml:space="preserve"> PAGEREF _Toc468267066 \h </w:instrText>
        </w:r>
        <w:r w:rsidR="0012026B">
          <w:rPr>
            <w:noProof/>
            <w:webHidden/>
          </w:rPr>
        </w:r>
        <w:r w:rsidR="0012026B">
          <w:rPr>
            <w:noProof/>
            <w:webHidden/>
          </w:rPr>
          <w:fldChar w:fldCharType="separate"/>
        </w:r>
        <w:r w:rsidR="0012026B">
          <w:rPr>
            <w:noProof/>
            <w:webHidden/>
          </w:rPr>
          <w:t>225</w:t>
        </w:r>
        <w:r w:rsidR="0012026B">
          <w:rPr>
            <w:noProof/>
            <w:webHidden/>
          </w:rPr>
          <w:fldChar w:fldCharType="end"/>
        </w:r>
      </w:hyperlink>
    </w:p>
    <w:p w14:paraId="23A831E8" w14:textId="7CB95D8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7" w:history="1">
        <w:r w:rsidR="0012026B" w:rsidRPr="0056582D">
          <w:rPr>
            <w:rStyle w:val="Hyperlink"/>
            <w:noProof/>
          </w:rPr>
          <w:t>Figure 95: Eardwulf by Cuthheard</w:t>
        </w:r>
        <w:r w:rsidR="0012026B">
          <w:rPr>
            <w:noProof/>
            <w:webHidden/>
          </w:rPr>
          <w:tab/>
        </w:r>
        <w:r w:rsidR="0012026B">
          <w:rPr>
            <w:noProof/>
            <w:webHidden/>
          </w:rPr>
          <w:fldChar w:fldCharType="begin"/>
        </w:r>
        <w:r w:rsidR="0012026B">
          <w:rPr>
            <w:noProof/>
            <w:webHidden/>
          </w:rPr>
          <w:instrText xml:space="preserve"> PAGEREF _Toc468267067 \h </w:instrText>
        </w:r>
        <w:r w:rsidR="0012026B">
          <w:rPr>
            <w:noProof/>
            <w:webHidden/>
          </w:rPr>
        </w:r>
        <w:r w:rsidR="0012026B">
          <w:rPr>
            <w:noProof/>
            <w:webHidden/>
          </w:rPr>
          <w:fldChar w:fldCharType="separate"/>
        </w:r>
        <w:r w:rsidR="0012026B">
          <w:rPr>
            <w:noProof/>
            <w:webHidden/>
          </w:rPr>
          <w:t>226</w:t>
        </w:r>
        <w:r w:rsidR="0012026B">
          <w:rPr>
            <w:noProof/>
            <w:webHidden/>
          </w:rPr>
          <w:fldChar w:fldCharType="end"/>
        </w:r>
      </w:hyperlink>
    </w:p>
    <w:p w14:paraId="068F6415" w14:textId="48C660C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8" w:history="1">
        <w:r w:rsidR="0012026B" w:rsidRPr="0056582D">
          <w:rPr>
            <w:rStyle w:val="Hyperlink"/>
            <w:noProof/>
          </w:rPr>
          <w:t>Figure 96: Hayton: radiate bust obverse with decorative serpent reverse.</w:t>
        </w:r>
        <w:r w:rsidR="0012026B">
          <w:rPr>
            <w:noProof/>
            <w:webHidden/>
          </w:rPr>
          <w:tab/>
        </w:r>
        <w:r w:rsidR="0012026B">
          <w:rPr>
            <w:noProof/>
            <w:webHidden/>
          </w:rPr>
          <w:fldChar w:fldCharType="begin"/>
        </w:r>
        <w:r w:rsidR="0012026B">
          <w:rPr>
            <w:noProof/>
            <w:webHidden/>
          </w:rPr>
          <w:instrText xml:space="preserve"> PAGEREF _Toc468267068 \h </w:instrText>
        </w:r>
        <w:r w:rsidR="0012026B">
          <w:rPr>
            <w:noProof/>
            <w:webHidden/>
          </w:rPr>
        </w:r>
        <w:r w:rsidR="0012026B">
          <w:rPr>
            <w:noProof/>
            <w:webHidden/>
          </w:rPr>
          <w:fldChar w:fldCharType="separate"/>
        </w:r>
        <w:r w:rsidR="0012026B">
          <w:rPr>
            <w:noProof/>
            <w:webHidden/>
          </w:rPr>
          <w:t>226</w:t>
        </w:r>
        <w:r w:rsidR="0012026B">
          <w:rPr>
            <w:noProof/>
            <w:webHidden/>
          </w:rPr>
          <w:fldChar w:fldCharType="end"/>
        </w:r>
      </w:hyperlink>
    </w:p>
    <w:p w14:paraId="45FF2217" w14:textId="0863494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69" w:history="1">
        <w:r w:rsidR="0012026B" w:rsidRPr="0056582D">
          <w:rPr>
            <w:rStyle w:val="Hyperlink"/>
            <w:noProof/>
          </w:rPr>
          <w:t>Figure 97: Hayton, Merovingian denier of Martinus or Mariae, N. France</w:t>
        </w:r>
        <w:r w:rsidR="0012026B">
          <w:rPr>
            <w:noProof/>
            <w:webHidden/>
          </w:rPr>
          <w:tab/>
        </w:r>
        <w:r w:rsidR="0012026B">
          <w:rPr>
            <w:noProof/>
            <w:webHidden/>
          </w:rPr>
          <w:fldChar w:fldCharType="begin"/>
        </w:r>
        <w:r w:rsidR="0012026B">
          <w:rPr>
            <w:noProof/>
            <w:webHidden/>
          </w:rPr>
          <w:instrText xml:space="preserve"> PAGEREF _Toc468267069 \h </w:instrText>
        </w:r>
        <w:r w:rsidR="0012026B">
          <w:rPr>
            <w:noProof/>
            <w:webHidden/>
          </w:rPr>
        </w:r>
        <w:r w:rsidR="0012026B">
          <w:rPr>
            <w:noProof/>
            <w:webHidden/>
          </w:rPr>
          <w:fldChar w:fldCharType="separate"/>
        </w:r>
        <w:r w:rsidR="0012026B">
          <w:rPr>
            <w:noProof/>
            <w:webHidden/>
          </w:rPr>
          <w:t>227</w:t>
        </w:r>
        <w:r w:rsidR="0012026B">
          <w:rPr>
            <w:noProof/>
            <w:webHidden/>
          </w:rPr>
          <w:fldChar w:fldCharType="end"/>
        </w:r>
      </w:hyperlink>
    </w:p>
    <w:p w14:paraId="67CBA97D" w14:textId="545ADE2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0" w:history="1">
        <w:r w:rsidR="0012026B" w:rsidRPr="0056582D">
          <w:rPr>
            <w:rStyle w:val="Hyperlink"/>
            <w:noProof/>
          </w:rPr>
          <w:t>Figure 98: Buttercrambe with Bossall, hoard.</w:t>
        </w:r>
        <w:r w:rsidR="0012026B">
          <w:rPr>
            <w:noProof/>
            <w:webHidden/>
          </w:rPr>
          <w:tab/>
        </w:r>
        <w:r w:rsidR="0012026B">
          <w:rPr>
            <w:noProof/>
            <w:webHidden/>
          </w:rPr>
          <w:fldChar w:fldCharType="begin"/>
        </w:r>
        <w:r w:rsidR="0012026B">
          <w:rPr>
            <w:noProof/>
            <w:webHidden/>
          </w:rPr>
          <w:instrText xml:space="preserve"> PAGEREF _Toc468267070 \h </w:instrText>
        </w:r>
        <w:r w:rsidR="0012026B">
          <w:rPr>
            <w:noProof/>
            <w:webHidden/>
          </w:rPr>
        </w:r>
        <w:r w:rsidR="0012026B">
          <w:rPr>
            <w:noProof/>
            <w:webHidden/>
          </w:rPr>
          <w:fldChar w:fldCharType="separate"/>
        </w:r>
        <w:r w:rsidR="0012026B">
          <w:rPr>
            <w:noProof/>
            <w:webHidden/>
          </w:rPr>
          <w:t>227</w:t>
        </w:r>
        <w:r w:rsidR="0012026B">
          <w:rPr>
            <w:noProof/>
            <w:webHidden/>
          </w:rPr>
          <w:fldChar w:fldCharType="end"/>
        </w:r>
      </w:hyperlink>
    </w:p>
    <w:p w14:paraId="0B321826" w14:textId="6E1B342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1" w:history="1">
        <w:r w:rsidR="0012026B" w:rsidRPr="0056582D">
          <w:rPr>
            <w:rStyle w:val="Hyperlink"/>
            <w:noProof/>
          </w:rPr>
          <w:t xml:space="preserve">Figure 99: </w:t>
        </w:r>
        <w:r w:rsidR="005F1EAF">
          <w:rPr>
            <w:rStyle w:val="Hyperlink"/>
            <w:noProof/>
          </w:rPr>
          <w:t>‘Site C’</w:t>
        </w:r>
        <w:r w:rsidR="0012026B" w:rsidRPr="0056582D">
          <w:rPr>
            <w:rStyle w:val="Hyperlink"/>
            <w:noProof/>
          </w:rPr>
          <w:t>:</w:t>
        </w:r>
        <w:r w:rsidR="0012026B">
          <w:rPr>
            <w:noProof/>
            <w:webHidden/>
          </w:rPr>
          <w:tab/>
        </w:r>
        <w:r w:rsidR="0012026B">
          <w:rPr>
            <w:noProof/>
            <w:webHidden/>
          </w:rPr>
          <w:fldChar w:fldCharType="begin"/>
        </w:r>
        <w:r w:rsidR="0012026B">
          <w:rPr>
            <w:noProof/>
            <w:webHidden/>
          </w:rPr>
          <w:instrText xml:space="preserve"> PAGEREF _Toc468267071 \h </w:instrText>
        </w:r>
        <w:r w:rsidR="0012026B">
          <w:rPr>
            <w:noProof/>
            <w:webHidden/>
          </w:rPr>
        </w:r>
        <w:r w:rsidR="0012026B">
          <w:rPr>
            <w:noProof/>
            <w:webHidden/>
          </w:rPr>
          <w:fldChar w:fldCharType="separate"/>
        </w:r>
        <w:r w:rsidR="0012026B">
          <w:rPr>
            <w:noProof/>
            <w:webHidden/>
          </w:rPr>
          <w:t>228</w:t>
        </w:r>
        <w:r w:rsidR="0012026B">
          <w:rPr>
            <w:noProof/>
            <w:webHidden/>
          </w:rPr>
          <w:fldChar w:fldCharType="end"/>
        </w:r>
      </w:hyperlink>
    </w:p>
    <w:p w14:paraId="1BD52753" w14:textId="400B002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2" w:history="1">
        <w:r w:rsidR="0012026B" w:rsidRPr="0056582D">
          <w:rPr>
            <w:rStyle w:val="Hyperlink"/>
            <w:noProof/>
          </w:rPr>
          <w:t xml:space="preserve">Figure 100: </w:t>
        </w:r>
        <w:r w:rsidR="005F1EAF" w:rsidRPr="005F1EAF">
          <w:rPr>
            <w:rStyle w:val="Hyperlink"/>
            <w:noProof/>
          </w:rPr>
          <w:t>‘Site C’</w:t>
        </w:r>
        <w:r w:rsidR="0012026B" w:rsidRPr="0056582D">
          <w:rPr>
            <w:rStyle w:val="Hyperlink"/>
            <w:noProof/>
          </w:rPr>
          <w:t>: an early Anglian gold and garnet cloisonné trapezoidal panel</w:t>
        </w:r>
        <w:r w:rsidR="0012026B">
          <w:rPr>
            <w:noProof/>
            <w:webHidden/>
          </w:rPr>
          <w:tab/>
        </w:r>
        <w:r w:rsidR="0012026B">
          <w:rPr>
            <w:noProof/>
            <w:webHidden/>
          </w:rPr>
          <w:fldChar w:fldCharType="begin"/>
        </w:r>
        <w:r w:rsidR="0012026B">
          <w:rPr>
            <w:noProof/>
            <w:webHidden/>
          </w:rPr>
          <w:instrText xml:space="preserve"> PAGEREF _Toc468267072 \h </w:instrText>
        </w:r>
        <w:r w:rsidR="0012026B">
          <w:rPr>
            <w:noProof/>
            <w:webHidden/>
          </w:rPr>
        </w:r>
        <w:r w:rsidR="0012026B">
          <w:rPr>
            <w:noProof/>
            <w:webHidden/>
          </w:rPr>
          <w:fldChar w:fldCharType="separate"/>
        </w:r>
        <w:r w:rsidR="0012026B">
          <w:rPr>
            <w:noProof/>
            <w:webHidden/>
          </w:rPr>
          <w:t>228</w:t>
        </w:r>
        <w:r w:rsidR="0012026B">
          <w:rPr>
            <w:noProof/>
            <w:webHidden/>
          </w:rPr>
          <w:fldChar w:fldCharType="end"/>
        </w:r>
      </w:hyperlink>
    </w:p>
    <w:p w14:paraId="5B52537F" w14:textId="6230C05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3" w:history="1">
        <w:r w:rsidR="0012026B" w:rsidRPr="0056582D">
          <w:rPr>
            <w:rStyle w:val="Hyperlink"/>
            <w:noProof/>
          </w:rPr>
          <w:t>Figure 101: Raven penny of Anlaf Guthfrithsson, Hiberno-Norse king of York, 939-41</w:t>
        </w:r>
        <w:r w:rsidR="0012026B">
          <w:rPr>
            <w:noProof/>
            <w:webHidden/>
          </w:rPr>
          <w:tab/>
        </w:r>
        <w:r w:rsidR="0012026B">
          <w:rPr>
            <w:noProof/>
            <w:webHidden/>
          </w:rPr>
          <w:fldChar w:fldCharType="begin"/>
        </w:r>
        <w:r w:rsidR="0012026B">
          <w:rPr>
            <w:noProof/>
            <w:webHidden/>
          </w:rPr>
          <w:instrText xml:space="preserve"> PAGEREF _Toc468267073 \h </w:instrText>
        </w:r>
        <w:r w:rsidR="0012026B">
          <w:rPr>
            <w:noProof/>
            <w:webHidden/>
          </w:rPr>
        </w:r>
        <w:r w:rsidR="0012026B">
          <w:rPr>
            <w:noProof/>
            <w:webHidden/>
          </w:rPr>
          <w:fldChar w:fldCharType="separate"/>
        </w:r>
        <w:r w:rsidR="0012026B">
          <w:rPr>
            <w:noProof/>
            <w:webHidden/>
          </w:rPr>
          <w:t>229</w:t>
        </w:r>
        <w:r w:rsidR="0012026B">
          <w:rPr>
            <w:noProof/>
            <w:webHidden/>
          </w:rPr>
          <w:fldChar w:fldCharType="end"/>
        </w:r>
      </w:hyperlink>
    </w:p>
    <w:p w14:paraId="005A1FC2" w14:textId="65E16CC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4" w:history="1">
        <w:r w:rsidR="0012026B" w:rsidRPr="0056582D">
          <w:rPr>
            <w:rStyle w:val="Hyperlink"/>
            <w:noProof/>
          </w:rPr>
          <w:t xml:space="preserve">Figure 102: Exotic species from </w:t>
        </w:r>
        <w:r w:rsidR="005F1EAF" w:rsidRPr="005F1EAF">
          <w:rPr>
            <w:rStyle w:val="Hyperlink"/>
            <w:noProof/>
          </w:rPr>
          <w:t>‘Site C’</w:t>
        </w:r>
        <w:r w:rsidR="0012026B" w:rsidRPr="0056582D">
          <w:rPr>
            <w:rStyle w:val="Hyperlink"/>
            <w:noProof/>
          </w:rPr>
          <w:t>: L: W/N mule. R: Serpent type</w:t>
        </w:r>
        <w:r w:rsidR="0012026B">
          <w:rPr>
            <w:noProof/>
            <w:webHidden/>
          </w:rPr>
          <w:tab/>
        </w:r>
        <w:r w:rsidR="0012026B">
          <w:rPr>
            <w:noProof/>
            <w:webHidden/>
          </w:rPr>
          <w:fldChar w:fldCharType="begin"/>
        </w:r>
        <w:r w:rsidR="0012026B">
          <w:rPr>
            <w:noProof/>
            <w:webHidden/>
          </w:rPr>
          <w:instrText xml:space="preserve"> PAGEREF _Toc468267074 \h </w:instrText>
        </w:r>
        <w:r w:rsidR="0012026B">
          <w:rPr>
            <w:noProof/>
            <w:webHidden/>
          </w:rPr>
        </w:r>
        <w:r w:rsidR="0012026B">
          <w:rPr>
            <w:noProof/>
            <w:webHidden/>
          </w:rPr>
          <w:fldChar w:fldCharType="separate"/>
        </w:r>
        <w:r w:rsidR="0012026B">
          <w:rPr>
            <w:noProof/>
            <w:webHidden/>
          </w:rPr>
          <w:t>229</w:t>
        </w:r>
        <w:r w:rsidR="0012026B">
          <w:rPr>
            <w:noProof/>
            <w:webHidden/>
          </w:rPr>
          <w:fldChar w:fldCharType="end"/>
        </w:r>
      </w:hyperlink>
    </w:p>
    <w:p w14:paraId="1C81092E" w14:textId="43FB2756"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5" w:history="1">
        <w:r w:rsidR="0012026B" w:rsidRPr="0056582D">
          <w:rPr>
            <w:rStyle w:val="Hyperlink"/>
            <w:noProof/>
          </w:rPr>
          <w:t>Figure 103: Pocklington: AR variety</w:t>
        </w:r>
        <w:r w:rsidR="0012026B">
          <w:rPr>
            <w:noProof/>
            <w:webHidden/>
          </w:rPr>
          <w:tab/>
        </w:r>
        <w:r w:rsidR="0012026B">
          <w:rPr>
            <w:noProof/>
            <w:webHidden/>
          </w:rPr>
          <w:fldChar w:fldCharType="begin"/>
        </w:r>
        <w:r w:rsidR="0012026B">
          <w:rPr>
            <w:noProof/>
            <w:webHidden/>
          </w:rPr>
          <w:instrText xml:space="preserve"> PAGEREF _Toc468267075 \h </w:instrText>
        </w:r>
        <w:r w:rsidR="0012026B">
          <w:rPr>
            <w:noProof/>
            <w:webHidden/>
          </w:rPr>
        </w:r>
        <w:r w:rsidR="0012026B">
          <w:rPr>
            <w:noProof/>
            <w:webHidden/>
          </w:rPr>
          <w:fldChar w:fldCharType="separate"/>
        </w:r>
        <w:r w:rsidR="0012026B">
          <w:rPr>
            <w:noProof/>
            <w:webHidden/>
          </w:rPr>
          <w:t>230</w:t>
        </w:r>
        <w:r w:rsidR="0012026B">
          <w:rPr>
            <w:noProof/>
            <w:webHidden/>
          </w:rPr>
          <w:fldChar w:fldCharType="end"/>
        </w:r>
      </w:hyperlink>
    </w:p>
    <w:p w14:paraId="1D49E9EE" w14:textId="47A9A14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6" w:history="1">
        <w:r w:rsidR="0012026B" w:rsidRPr="0056582D">
          <w:rPr>
            <w:rStyle w:val="Hyperlink"/>
            <w:noProof/>
          </w:rPr>
          <w:t>Figure 104: Pocklington: Primary Continental and East Anglian sceats</w:t>
        </w:r>
        <w:r w:rsidR="0012026B">
          <w:rPr>
            <w:noProof/>
            <w:webHidden/>
          </w:rPr>
          <w:tab/>
        </w:r>
        <w:r w:rsidR="0012026B">
          <w:rPr>
            <w:noProof/>
            <w:webHidden/>
          </w:rPr>
          <w:fldChar w:fldCharType="begin"/>
        </w:r>
        <w:r w:rsidR="0012026B">
          <w:rPr>
            <w:noProof/>
            <w:webHidden/>
          </w:rPr>
          <w:instrText xml:space="preserve"> PAGEREF _Toc468267076 \h </w:instrText>
        </w:r>
        <w:r w:rsidR="0012026B">
          <w:rPr>
            <w:noProof/>
            <w:webHidden/>
          </w:rPr>
        </w:r>
        <w:r w:rsidR="0012026B">
          <w:rPr>
            <w:noProof/>
            <w:webHidden/>
          </w:rPr>
          <w:fldChar w:fldCharType="separate"/>
        </w:r>
        <w:r w:rsidR="0012026B">
          <w:rPr>
            <w:noProof/>
            <w:webHidden/>
          </w:rPr>
          <w:t>230</w:t>
        </w:r>
        <w:r w:rsidR="0012026B">
          <w:rPr>
            <w:noProof/>
            <w:webHidden/>
          </w:rPr>
          <w:fldChar w:fldCharType="end"/>
        </w:r>
      </w:hyperlink>
    </w:p>
    <w:p w14:paraId="37A00483" w14:textId="47CF3E92"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7" w:history="1">
        <w:r w:rsidR="0012026B" w:rsidRPr="0056582D">
          <w:rPr>
            <w:rStyle w:val="Hyperlink"/>
            <w:noProof/>
          </w:rPr>
          <w:t>Figure 105: Pocklington: Unique mule of Series K and J</w:t>
        </w:r>
        <w:r w:rsidR="0012026B">
          <w:rPr>
            <w:noProof/>
            <w:webHidden/>
          </w:rPr>
          <w:tab/>
        </w:r>
        <w:r w:rsidR="0012026B">
          <w:rPr>
            <w:noProof/>
            <w:webHidden/>
          </w:rPr>
          <w:fldChar w:fldCharType="begin"/>
        </w:r>
        <w:r w:rsidR="0012026B">
          <w:rPr>
            <w:noProof/>
            <w:webHidden/>
          </w:rPr>
          <w:instrText xml:space="preserve"> PAGEREF _Toc468267077 \h </w:instrText>
        </w:r>
        <w:r w:rsidR="0012026B">
          <w:rPr>
            <w:noProof/>
            <w:webHidden/>
          </w:rPr>
        </w:r>
        <w:r w:rsidR="0012026B">
          <w:rPr>
            <w:noProof/>
            <w:webHidden/>
          </w:rPr>
          <w:fldChar w:fldCharType="separate"/>
        </w:r>
        <w:r w:rsidR="0012026B">
          <w:rPr>
            <w:noProof/>
            <w:webHidden/>
          </w:rPr>
          <w:t>230</w:t>
        </w:r>
        <w:r w:rsidR="0012026B">
          <w:rPr>
            <w:noProof/>
            <w:webHidden/>
          </w:rPr>
          <w:fldChar w:fldCharType="end"/>
        </w:r>
      </w:hyperlink>
    </w:p>
    <w:p w14:paraId="10D9E026" w14:textId="7D741E8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8" w:history="1">
        <w:r w:rsidR="0012026B" w:rsidRPr="0056582D">
          <w:rPr>
            <w:rStyle w:val="Hyperlink"/>
            <w:noProof/>
          </w:rPr>
          <w:t>Figure 106: Barmby Moor: York gold shilling</w:t>
        </w:r>
        <w:r w:rsidR="0012026B">
          <w:rPr>
            <w:noProof/>
            <w:webHidden/>
          </w:rPr>
          <w:tab/>
        </w:r>
        <w:r w:rsidR="0012026B">
          <w:rPr>
            <w:noProof/>
            <w:webHidden/>
          </w:rPr>
          <w:fldChar w:fldCharType="begin"/>
        </w:r>
        <w:r w:rsidR="0012026B">
          <w:rPr>
            <w:noProof/>
            <w:webHidden/>
          </w:rPr>
          <w:instrText xml:space="preserve"> PAGEREF _Toc468267078 \h </w:instrText>
        </w:r>
        <w:r w:rsidR="0012026B">
          <w:rPr>
            <w:noProof/>
            <w:webHidden/>
          </w:rPr>
        </w:r>
        <w:r w:rsidR="0012026B">
          <w:rPr>
            <w:noProof/>
            <w:webHidden/>
          </w:rPr>
          <w:fldChar w:fldCharType="separate"/>
        </w:r>
        <w:r w:rsidR="0012026B">
          <w:rPr>
            <w:noProof/>
            <w:webHidden/>
          </w:rPr>
          <w:t>231</w:t>
        </w:r>
        <w:r w:rsidR="0012026B">
          <w:rPr>
            <w:noProof/>
            <w:webHidden/>
          </w:rPr>
          <w:fldChar w:fldCharType="end"/>
        </w:r>
      </w:hyperlink>
    </w:p>
    <w:p w14:paraId="1178BB05" w14:textId="258F4F7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79" w:history="1">
        <w:r w:rsidR="0012026B" w:rsidRPr="0056582D">
          <w:rPr>
            <w:rStyle w:val="Hyperlink"/>
            <w:noProof/>
          </w:rPr>
          <w:t>Figure 107: Yapham: copy of an imitative Victory type tremisses</w:t>
        </w:r>
        <w:r w:rsidR="0012026B">
          <w:rPr>
            <w:noProof/>
            <w:webHidden/>
          </w:rPr>
          <w:tab/>
        </w:r>
        <w:r w:rsidR="0012026B">
          <w:rPr>
            <w:noProof/>
            <w:webHidden/>
          </w:rPr>
          <w:fldChar w:fldCharType="begin"/>
        </w:r>
        <w:r w:rsidR="0012026B">
          <w:rPr>
            <w:noProof/>
            <w:webHidden/>
          </w:rPr>
          <w:instrText xml:space="preserve"> PAGEREF _Toc468267079 \h </w:instrText>
        </w:r>
        <w:r w:rsidR="0012026B">
          <w:rPr>
            <w:noProof/>
            <w:webHidden/>
          </w:rPr>
        </w:r>
        <w:r w:rsidR="0012026B">
          <w:rPr>
            <w:noProof/>
            <w:webHidden/>
          </w:rPr>
          <w:fldChar w:fldCharType="separate"/>
        </w:r>
        <w:r w:rsidR="0012026B">
          <w:rPr>
            <w:noProof/>
            <w:webHidden/>
          </w:rPr>
          <w:t>231</w:t>
        </w:r>
        <w:r w:rsidR="0012026B">
          <w:rPr>
            <w:noProof/>
            <w:webHidden/>
          </w:rPr>
          <w:fldChar w:fldCharType="end"/>
        </w:r>
      </w:hyperlink>
    </w:p>
    <w:p w14:paraId="5FAB5E8B" w14:textId="7D28801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0" w:history="1">
        <w:r w:rsidR="0012026B" w:rsidRPr="0056582D">
          <w:rPr>
            <w:rStyle w:val="Hyperlink"/>
            <w:noProof/>
          </w:rPr>
          <w:t>Figure 108: North Cave find: Possibly Frankish tremissis.</w:t>
        </w:r>
        <w:r w:rsidR="0012026B">
          <w:rPr>
            <w:noProof/>
            <w:webHidden/>
          </w:rPr>
          <w:tab/>
        </w:r>
        <w:r w:rsidR="0012026B">
          <w:rPr>
            <w:noProof/>
            <w:webHidden/>
          </w:rPr>
          <w:fldChar w:fldCharType="begin"/>
        </w:r>
        <w:r w:rsidR="0012026B">
          <w:rPr>
            <w:noProof/>
            <w:webHidden/>
          </w:rPr>
          <w:instrText xml:space="preserve"> PAGEREF _Toc468267080 \h </w:instrText>
        </w:r>
        <w:r w:rsidR="0012026B">
          <w:rPr>
            <w:noProof/>
            <w:webHidden/>
          </w:rPr>
        </w:r>
        <w:r w:rsidR="0012026B">
          <w:rPr>
            <w:noProof/>
            <w:webHidden/>
          </w:rPr>
          <w:fldChar w:fldCharType="separate"/>
        </w:r>
        <w:r w:rsidR="0012026B">
          <w:rPr>
            <w:noProof/>
            <w:webHidden/>
          </w:rPr>
          <w:t>232</w:t>
        </w:r>
        <w:r w:rsidR="0012026B">
          <w:rPr>
            <w:noProof/>
            <w:webHidden/>
          </w:rPr>
          <w:fldChar w:fldCharType="end"/>
        </w:r>
      </w:hyperlink>
    </w:p>
    <w:p w14:paraId="4C56EF62" w14:textId="666FBDF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1" w:history="1">
        <w:r w:rsidR="0012026B" w:rsidRPr="0056582D">
          <w:rPr>
            <w:rStyle w:val="Hyperlink"/>
            <w:noProof/>
          </w:rPr>
          <w:t>Figure 109: North Ferriby sceats</w:t>
        </w:r>
        <w:r w:rsidR="0012026B">
          <w:rPr>
            <w:noProof/>
            <w:webHidden/>
          </w:rPr>
          <w:tab/>
        </w:r>
        <w:r w:rsidR="0012026B">
          <w:rPr>
            <w:noProof/>
            <w:webHidden/>
          </w:rPr>
          <w:fldChar w:fldCharType="begin"/>
        </w:r>
        <w:r w:rsidR="0012026B">
          <w:rPr>
            <w:noProof/>
            <w:webHidden/>
          </w:rPr>
          <w:instrText xml:space="preserve"> PAGEREF _Toc468267081 \h </w:instrText>
        </w:r>
        <w:r w:rsidR="0012026B">
          <w:rPr>
            <w:noProof/>
            <w:webHidden/>
          </w:rPr>
        </w:r>
        <w:r w:rsidR="0012026B">
          <w:rPr>
            <w:noProof/>
            <w:webHidden/>
          </w:rPr>
          <w:fldChar w:fldCharType="separate"/>
        </w:r>
        <w:r w:rsidR="0012026B">
          <w:rPr>
            <w:noProof/>
            <w:webHidden/>
          </w:rPr>
          <w:t>232</w:t>
        </w:r>
        <w:r w:rsidR="0012026B">
          <w:rPr>
            <w:noProof/>
            <w:webHidden/>
          </w:rPr>
          <w:fldChar w:fldCharType="end"/>
        </w:r>
      </w:hyperlink>
    </w:p>
    <w:p w14:paraId="3E2A6A3A" w14:textId="6D6212C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2" w:history="1">
        <w:r w:rsidR="0012026B" w:rsidRPr="0056582D">
          <w:rPr>
            <w:rStyle w:val="Hyperlink"/>
            <w:noProof/>
          </w:rPr>
          <w:t>Figure 110: Named-moneyer Northumbrian sceats of Æthelred I from Sledmere</w:t>
        </w:r>
        <w:r w:rsidR="0012026B">
          <w:rPr>
            <w:noProof/>
            <w:webHidden/>
          </w:rPr>
          <w:tab/>
        </w:r>
        <w:r w:rsidR="0012026B">
          <w:rPr>
            <w:noProof/>
            <w:webHidden/>
          </w:rPr>
          <w:fldChar w:fldCharType="begin"/>
        </w:r>
        <w:r w:rsidR="0012026B">
          <w:rPr>
            <w:noProof/>
            <w:webHidden/>
          </w:rPr>
          <w:instrText xml:space="preserve"> PAGEREF _Toc468267082 \h </w:instrText>
        </w:r>
        <w:r w:rsidR="0012026B">
          <w:rPr>
            <w:noProof/>
            <w:webHidden/>
          </w:rPr>
        </w:r>
        <w:r w:rsidR="0012026B">
          <w:rPr>
            <w:noProof/>
            <w:webHidden/>
          </w:rPr>
          <w:fldChar w:fldCharType="separate"/>
        </w:r>
        <w:r w:rsidR="0012026B">
          <w:rPr>
            <w:noProof/>
            <w:webHidden/>
          </w:rPr>
          <w:t>237</w:t>
        </w:r>
        <w:r w:rsidR="0012026B">
          <w:rPr>
            <w:noProof/>
            <w:webHidden/>
          </w:rPr>
          <w:fldChar w:fldCharType="end"/>
        </w:r>
      </w:hyperlink>
    </w:p>
    <w:p w14:paraId="7C3A14EC" w14:textId="69CA436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3" w:history="1">
        <w:r w:rsidR="0012026B" w:rsidRPr="0056582D">
          <w:rPr>
            <w:rStyle w:val="Hyperlink"/>
            <w:noProof/>
          </w:rPr>
          <w:t>Figure 111: Worn Merovingian denier from Sledmere</w:t>
        </w:r>
        <w:r w:rsidR="0012026B">
          <w:rPr>
            <w:noProof/>
            <w:webHidden/>
          </w:rPr>
          <w:tab/>
        </w:r>
        <w:r w:rsidR="0012026B">
          <w:rPr>
            <w:noProof/>
            <w:webHidden/>
          </w:rPr>
          <w:fldChar w:fldCharType="begin"/>
        </w:r>
        <w:r w:rsidR="0012026B">
          <w:rPr>
            <w:noProof/>
            <w:webHidden/>
          </w:rPr>
          <w:instrText xml:space="preserve"> PAGEREF _Toc468267083 \h </w:instrText>
        </w:r>
        <w:r w:rsidR="0012026B">
          <w:rPr>
            <w:noProof/>
            <w:webHidden/>
          </w:rPr>
        </w:r>
        <w:r w:rsidR="0012026B">
          <w:rPr>
            <w:noProof/>
            <w:webHidden/>
          </w:rPr>
          <w:fldChar w:fldCharType="separate"/>
        </w:r>
        <w:r w:rsidR="0012026B">
          <w:rPr>
            <w:noProof/>
            <w:webHidden/>
          </w:rPr>
          <w:t>238</w:t>
        </w:r>
        <w:r w:rsidR="0012026B">
          <w:rPr>
            <w:noProof/>
            <w:webHidden/>
          </w:rPr>
          <w:fldChar w:fldCharType="end"/>
        </w:r>
      </w:hyperlink>
    </w:p>
    <w:p w14:paraId="5B41AA7A" w14:textId="65DB8346"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4" w:history="1">
        <w:r w:rsidR="0012026B" w:rsidRPr="0056582D">
          <w:rPr>
            <w:rStyle w:val="Hyperlink"/>
            <w:noProof/>
          </w:rPr>
          <w:t>Figure 112: Exotic species from Sledmere</w:t>
        </w:r>
        <w:r w:rsidR="0012026B">
          <w:rPr>
            <w:noProof/>
            <w:webHidden/>
          </w:rPr>
          <w:tab/>
        </w:r>
        <w:r w:rsidR="0012026B">
          <w:rPr>
            <w:noProof/>
            <w:webHidden/>
          </w:rPr>
          <w:fldChar w:fldCharType="begin"/>
        </w:r>
        <w:r w:rsidR="0012026B">
          <w:rPr>
            <w:noProof/>
            <w:webHidden/>
          </w:rPr>
          <w:instrText xml:space="preserve"> PAGEREF _Toc468267084 \h </w:instrText>
        </w:r>
        <w:r w:rsidR="0012026B">
          <w:rPr>
            <w:noProof/>
            <w:webHidden/>
          </w:rPr>
        </w:r>
        <w:r w:rsidR="0012026B">
          <w:rPr>
            <w:noProof/>
            <w:webHidden/>
          </w:rPr>
          <w:fldChar w:fldCharType="separate"/>
        </w:r>
        <w:r w:rsidR="0012026B">
          <w:rPr>
            <w:noProof/>
            <w:webHidden/>
          </w:rPr>
          <w:t>238</w:t>
        </w:r>
        <w:r w:rsidR="0012026B">
          <w:rPr>
            <w:noProof/>
            <w:webHidden/>
          </w:rPr>
          <w:fldChar w:fldCharType="end"/>
        </w:r>
      </w:hyperlink>
    </w:p>
    <w:p w14:paraId="0135F732" w14:textId="6827E2C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5" w:history="1">
        <w:r w:rsidR="0012026B" w:rsidRPr="0056582D">
          <w:rPr>
            <w:rStyle w:val="Hyperlink"/>
            <w:noProof/>
          </w:rPr>
          <w:t>Figure 113: Sledmere, East Anglian Series Q, type 98, (SL63-90)</w:t>
        </w:r>
        <w:r w:rsidR="0012026B">
          <w:rPr>
            <w:noProof/>
            <w:webHidden/>
          </w:rPr>
          <w:tab/>
        </w:r>
        <w:r w:rsidR="0012026B">
          <w:rPr>
            <w:noProof/>
            <w:webHidden/>
          </w:rPr>
          <w:fldChar w:fldCharType="begin"/>
        </w:r>
        <w:r w:rsidR="0012026B">
          <w:rPr>
            <w:noProof/>
            <w:webHidden/>
          </w:rPr>
          <w:instrText xml:space="preserve"> PAGEREF _Toc468267085 \h </w:instrText>
        </w:r>
        <w:r w:rsidR="0012026B">
          <w:rPr>
            <w:noProof/>
            <w:webHidden/>
          </w:rPr>
        </w:r>
        <w:r w:rsidR="0012026B">
          <w:rPr>
            <w:noProof/>
            <w:webHidden/>
          </w:rPr>
          <w:fldChar w:fldCharType="separate"/>
        </w:r>
        <w:r w:rsidR="0012026B">
          <w:rPr>
            <w:noProof/>
            <w:webHidden/>
          </w:rPr>
          <w:t>239</w:t>
        </w:r>
        <w:r w:rsidR="0012026B">
          <w:rPr>
            <w:noProof/>
            <w:webHidden/>
          </w:rPr>
          <w:fldChar w:fldCharType="end"/>
        </w:r>
      </w:hyperlink>
    </w:p>
    <w:p w14:paraId="0E58E9B9" w14:textId="4583288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6" w:history="1">
        <w:r w:rsidR="0012026B" w:rsidRPr="0056582D">
          <w:rPr>
            <w:rStyle w:val="Hyperlink"/>
            <w:noProof/>
          </w:rPr>
          <w:t>Figure 114: Stycas from Sledmere</w:t>
        </w:r>
        <w:r w:rsidR="0012026B">
          <w:rPr>
            <w:noProof/>
            <w:webHidden/>
          </w:rPr>
          <w:tab/>
        </w:r>
        <w:r w:rsidR="0012026B">
          <w:rPr>
            <w:noProof/>
            <w:webHidden/>
          </w:rPr>
          <w:fldChar w:fldCharType="begin"/>
        </w:r>
        <w:r w:rsidR="0012026B">
          <w:rPr>
            <w:noProof/>
            <w:webHidden/>
          </w:rPr>
          <w:instrText xml:space="preserve"> PAGEREF _Toc468267086 \h </w:instrText>
        </w:r>
        <w:r w:rsidR="0012026B">
          <w:rPr>
            <w:noProof/>
            <w:webHidden/>
          </w:rPr>
        </w:r>
        <w:r w:rsidR="0012026B">
          <w:rPr>
            <w:noProof/>
            <w:webHidden/>
          </w:rPr>
          <w:fldChar w:fldCharType="separate"/>
        </w:r>
        <w:r w:rsidR="0012026B">
          <w:rPr>
            <w:noProof/>
            <w:webHidden/>
          </w:rPr>
          <w:t>239</w:t>
        </w:r>
        <w:r w:rsidR="0012026B">
          <w:rPr>
            <w:noProof/>
            <w:webHidden/>
          </w:rPr>
          <w:fldChar w:fldCharType="end"/>
        </w:r>
      </w:hyperlink>
    </w:p>
    <w:p w14:paraId="040B064D" w14:textId="5F4F7C6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7" w:history="1">
        <w:r w:rsidR="0012026B" w:rsidRPr="0056582D">
          <w:rPr>
            <w:rStyle w:val="Hyperlink"/>
            <w:noProof/>
          </w:rPr>
          <w:t>Figure 115: Cottam: extremely rare sceat of Eadberht</w:t>
        </w:r>
        <w:r w:rsidR="0012026B">
          <w:rPr>
            <w:noProof/>
            <w:webHidden/>
          </w:rPr>
          <w:tab/>
        </w:r>
        <w:r w:rsidR="0012026B">
          <w:rPr>
            <w:noProof/>
            <w:webHidden/>
          </w:rPr>
          <w:fldChar w:fldCharType="begin"/>
        </w:r>
        <w:r w:rsidR="0012026B">
          <w:rPr>
            <w:noProof/>
            <w:webHidden/>
          </w:rPr>
          <w:instrText xml:space="preserve"> PAGEREF _Toc468267087 \h </w:instrText>
        </w:r>
        <w:r w:rsidR="0012026B">
          <w:rPr>
            <w:noProof/>
            <w:webHidden/>
          </w:rPr>
        </w:r>
        <w:r w:rsidR="0012026B">
          <w:rPr>
            <w:noProof/>
            <w:webHidden/>
          </w:rPr>
          <w:fldChar w:fldCharType="separate"/>
        </w:r>
        <w:r w:rsidR="0012026B">
          <w:rPr>
            <w:noProof/>
            <w:webHidden/>
          </w:rPr>
          <w:t>240</w:t>
        </w:r>
        <w:r w:rsidR="0012026B">
          <w:rPr>
            <w:noProof/>
            <w:webHidden/>
          </w:rPr>
          <w:fldChar w:fldCharType="end"/>
        </w:r>
      </w:hyperlink>
    </w:p>
    <w:p w14:paraId="35FD5768" w14:textId="3319BCC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8" w:history="1">
        <w:r w:rsidR="0012026B" w:rsidRPr="0056582D">
          <w:rPr>
            <w:rStyle w:val="Hyperlink"/>
            <w:noProof/>
          </w:rPr>
          <w:t>Figure 116: Cottam: L: silver-alloy coin of Eanred R: styca of Æthelred II, 2nd reign</w:t>
        </w:r>
        <w:r w:rsidR="0012026B">
          <w:rPr>
            <w:noProof/>
            <w:webHidden/>
          </w:rPr>
          <w:tab/>
        </w:r>
        <w:r w:rsidR="0012026B">
          <w:rPr>
            <w:noProof/>
            <w:webHidden/>
          </w:rPr>
          <w:fldChar w:fldCharType="begin"/>
        </w:r>
        <w:r w:rsidR="0012026B">
          <w:rPr>
            <w:noProof/>
            <w:webHidden/>
          </w:rPr>
          <w:instrText xml:space="preserve"> PAGEREF _Toc468267088 \h </w:instrText>
        </w:r>
        <w:r w:rsidR="0012026B">
          <w:rPr>
            <w:noProof/>
            <w:webHidden/>
          </w:rPr>
        </w:r>
        <w:r w:rsidR="0012026B">
          <w:rPr>
            <w:noProof/>
            <w:webHidden/>
          </w:rPr>
          <w:fldChar w:fldCharType="separate"/>
        </w:r>
        <w:r w:rsidR="0012026B">
          <w:rPr>
            <w:noProof/>
            <w:webHidden/>
          </w:rPr>
          <w:t>240</w:t>
        </w:r>
        <w:r w:rsidR="0012026B">
          <w:rPr>
            <w:noProof/>
            <w:webHidden/>
          </w:rPr>
          <w:fldChar w:fldCharType="end"/>
        </w:r>
      </w:hyperlink>
    </w:p>
    <w:p w14:paraId="530EFF0B" w14:textId="5CE062A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89" w:history="1">
        <w:r w:rsidR="0012026B" w:rsidRPr="0056582D">
          <w:rPr>
            <w:rStyle w:val="Hyperlink"/>
            <w:noProof/>
          </w:rPr>
          <w:t>Figure 117: A penny of Æthelberht of Wessex (860-5), by the moneyer Wulfheard</w:t>
        </w:r>
        <w:r w:rsidR="0012026B">
          <w:rPr>
            <w:noProof/>
            <w:webHidden/>
          </w:rPr>
          <w:tab/>
        </w:r>
        <w:r w:rsidR="0012026B">
          <w:rPr>
            <w:noProof/>
            <w:webHidden/>
          </w:rPr>
          <w:fldChar w:fldCharType="begin"/>
        </w:r>
        <w:r w:rsidR="0012026B">
          <w:rPr>
            <w:noProof/>
            <w:webHidden/>
          </w:rPr>
          <w:instrText xml:space="preserve"> PAGEREF _Toc468267089 \h </w:instrText>
        </w:r>
        <w:r w:rsidR="0012026B">
          <w:rPr>
            <w:noProof/>
            <w:webHidden/>
          </w:rPr>
        </w:r>
        <w:r w:rsidR="0012026B">
          <w:rPr>
            <w:noProof/>
            <w:webHidden/>
          </w:rPr>
          <w:fldChar w:fldCharType="separate"/>
        </w:r>
        <w:r w:rsidR="0012026B">
          <w:rPr>
            <w:noProof/>
            <w:webHidden/>
          </w:rPr>
          <w:t>241</w:t>
        </w:r>
        <w:r w:rsidR="0012026B">
          <w:rPr>
            <w:noProof/>
            <w:webHidden/>
          </w:rPr>
          <w:fldChar w:fldCharType="end"/>
        </w:r>
      </w:hyperlink>
    </w:p>
    <w:p w14:paraId="015B2B75" w14:textId="0AEA869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0" w:history="1">
        <w:r w:rsidR="0012026B" w:rsidRPr="0056582D">
          <w:rPr>
            <w:rStyle w:val="Hyperlink"/>
            <w:noProof/>
          </w:rPr>
          <w:t>Figure 118: Cowlam: L: Series Q</w:t>
        </w:r>
        <w:r w:rsidR="0012026B">
          <w:rPr>
            <w:noProof/>
            <w:webHidden/>
          </w:rPr>
          <w:tab/>
        </w:r>
        <w:r w:rsidR="0012026B">
          <w:rPr>
            <w:noProof/>
            <w:webHidden/>
          </w:rPr>
          <w:fldChar w:fldCharType="begin"/>
        </w:r>
        <w:r w:rsidR="0012026B">
          <w:rPr>
            <w:noProof/>
            <w:webHidden/>
          </w:rPr>
          <w:instrText xml:space="preserve"> PAGEREF _Toc468267090 \h </w:instrText>
        </w:r>
        <w:r w:rsidR="0012026B">
          <w:rPr>
            <w:noProof/>
            <w:webHidden/>
          </w:rPr>
        </w:r>
        <w:r w:rsidR="0012026B">
          <w:rPr>
            <w:noProof/>
            <w:webHidden/>
          </w:rPr>
          <w:fldChar w:fldCharType="separate"/>
        </w:r>
        <w:r w:rsidR="0012026B">
          <w:rPr>
            <w:noProof/>
            <w:webHidden/>
          </w:rPr>
          <w:t>241</w:t>
        </w:r>
        <w:r w:rsidR="0012026B">
          <w:rPr>
            <w:noProof/>
            <w:webHidden/>
          </w:rPr>
          <w:fldChar w:fldCharType="end"/>
        </w:r>
      </w:hyperlink>
    </w:p>
    <w:p w14:paraId="219ECE8B" w14:textId="6A98F6A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1" w:history="1">
        <w:r w:rsidR="0012026B" w:rsidRPr="0056582D">
          <w:rPr>
            <w:rStyle w:val="Hyperlink"/>
            <w:noProof/>
          </w:rPr>
          <w:t>Figure 119: Burdale: Primary Continental sceats, Series D, 2c and Stepped Cross</w:t>
        </w:r>
        <w:r w:rsidR="0012026B">
          <w:rPr>
            <w:noProof/>
            <w:webHidden/>
          </w:rPr>
          <w:tab/>
        </w:r>
        <w:r w:rsidR="0012026B">
          <w:rPr>
            <w:noProof/>
            <w:webHidden/>
          </w:rPr>
          <w:fldChar w:fldCharType="begin"/>
        </w:r>
        <w:r w:rsidR="0012026B">
          <w:rPr>
            <w:noProof/>
            <w:webHidden/>
          </w:rPr>
          <w:instrText xml:space="preserve"> PAGEREF _Toc468267091 \h </w:instrText>
        </w:r>
        <w:r w:rsidR="0012026B">
          <w:rPr>
            <w:noProof/>
            <w:webHidden/>
          </w:rPr>
        </w:r>
        <w:r w:rsidR="0012026B">
          <w:rPr>
            <w:noProof/>
            <w:webHidden/>
          </w:rPr>
          <w:fldChar w:fldCharType="separate"/>
        </w:r>
        <w:r w:rsidR="0012026B">
          <w:rPr>
            <w:noProof/>
            <w:webHidden/>
          </w:rPr>
          <w:t>243</w:t>
        </w:r>
        <w:r w:rsidR="0012026B">
          <w:rPr>
            <w:noProof/>
            <w:webHidden/>
          </w:rPr>
          <w:fldChar w:fldCharType="end"/>
        </w:r>
      </w:hyperlink>
    </w:p>
    <w:p w14:paraId="64667653" w14:textId="4F023782"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2" w:history="1">
        <w:r w:rsidR="0012026B" w:rsidRPr="0056582D">
          <w:rPr>
            <w:rStyle w:val="Hyperlink"/>
            <w:noProof/>
          </w:rPr>
          <w:t>Figure 120: Burdale: Anglian bone comb</w:t>
        </w:r>
        <w:r w:rsidR="0012026B">
          <w:rPr>
            <w:noProof/>
            <w:webHidden/>
          </w:rPr>
          <w:tab/>
        </w:r>
        <w:r w:rsidR="0012026B">
          <w:rPr>
            <w:noProof/>
            <w:webHidden/>
          </w:rPr>
          <w:fldChar w:fldCharType="begin"/>
        </w:r>
        <w:r w:rsidR="0012026B">
          <w:rPr>
            <w:noProof/>
            <w:webHidden/>
          </w:rPr>
          <w:instrText xml:space="preserve"> PAGEREF _Toc468267092 \h </w:instrText>
        </w:r>
        <w:r w:rsidR="0012026B">
          <w:rPr>
            <w:noProof/>
            <w:webHidden/>
          </w:rPr>
        </w:r>
        <w:r w:rsidR="0012026B">
          <w:rPr>
            <w:noProof/>
            <w:webHidden/>
          </w:rPr>
          <w:fldChar w:fldCharType="separate"/>
        </w:r>
        <w:r w:rsidR="0012026B">
          <w:rPr>
            <w:noProof/>
            <w:webHidden/>
          </w:rPr>
          <w:t>243</w:t>
        </w:r>
        <w:r w:rsidR="0012026B">
          <w:rPr>
            <w:noProof/>
            <w:webHidden/>
          </w:rPr>
          <w:fldChar w:fldCharType="end"/>
        </w:r>
      </w:hyperlink>
    </w:p>
    <w:p w14:paraId="49D62C99" w14:textId="452C47C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3" w:history="1">
        <w:r w:rsidR="0012026B" w:rsidRPr="0056582D">
          <w:rPr>
            <w:rStyle w:val="Hyperlink"/>
            <w:noProof/>
          </w:rPr>
          <w:t>Figure 121: Sceat of Aldfrith, found Driffield</w:t>
        </w:r>
        <w:r w:rsidR="0012026B">
          <w:rPr>
            <w:noProof/>
            <w:webHidden/>
          </w:rPr>
          <w:tab/>
        </w:r>
        <w:r w:rsidR="0012026B">
          <w:rPr>
            <w:noProof/>
            <w:webHidden/>
          </w:rPr>
          <w:fldChar w:fldCharType="begin"/>
        </w:r>
        <w:r w:rsidR="0012026B">
          <w:rPr>
            <w:noProof/>
            <w:webHidden/>
          </w:rPr>
          <w:instrText xml:space="preserve"> PAGEREF _Toc468267093 \h </w:instrText>
        </w:r>
        <w:r w:rsidR="0012026B">
          <w:rPr>
            <w:noProof/>
            <w:webHidden/>
          </w:rPr>
        </w:r>
        <w:r w:rsidR="0012026B">
          <w:rPr>
            <w:noProof/>
            <w:webHidden/>
          </w:rPr>
          <w:fldChar w:fldCharType="separate"/>
        </w:r>
        <w:r w:rsidR="0012026B">
          <w:rPr>
            <w:noProof/>
            <w:webHidden/>
          </w:rPr>
          <w:t>244</w:t>
        </w:r>
        <w:r w:rsidR="0012026B">
          <w:rPr>
            <w:noProof/>
            <w:webHidden/>
          </w:rPr>
          <w:fldChar w:fldCharType="end"/>
        </w:r>
      </w:hyperlink>
    </w:p>
    <w:p w14:paraId="3879D508" w14:textId="765FD24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4" w:history="1">
        <w:r w:rsidR="0012026B" w:rsidRPr="0056582D">
          <w:rPr>
            <w:rStyle w:val="Hyperlink"/>
            <w:noProof/>
          </w:rPr>
          <w:t>Figure 122: ‘Driffield’, Series J, type 85</w:t>
        </w:r>
        <w:r w:rsidR="0012026B">
          <w:rPr>
            <w:noProof/>
            <w:webHidden/>
          </w:rPr>
          <w:tab/>
        </w:r>
        <w:r w:rsidR="0012026B">
          <w:rPr>
            <w:noProof/>
            <w:webHidden/>
          </w:rPr>
          <w:fldChar w:fldCharType="begin"/>
        </w:r>
        <w:r w:rsidR="0012026B">
          <w:rPr>
            <w:noProof/>
            <w:webHidden/>
          </w:rPr>
          <w:instrText xml:space="preserve"> PAGEREF _Toc468267094 \h </w:instrText>
        </w:r>
        <w:r w:rsidR="0012026B">
          <w:rPr>
            <w:noProof/>
            <w:webHidden/>
          </w:rPr>
        </w:r>
        <w:r w:rsidR="0012026B">
          <w:rPr>
            <w:noProof/>
            <w:webHidden/>
          </w:rPr>
          <w:fldChar w:fldCharType="separate"/>
        </w:r>
        <w:r w:rsidR="0012026B">
          <w:rPr>
            <w:noProof/>
            <w:webHidden/>
          </w:rPr>
          <w:t>244</w:t>
        </w:r>
        <w:r w:rsidR="0012026B">
          <w:rPr>
            <w:noProof/>
            <w:webHidden/>
          </w:rPr>
          <w:fldChar w:fldCharType="end"/>
        </w:r>
      </w:hyperlink>
    </w:p>
    <w:p w14:paraId="34EE5984" w14:textId="7C6E985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5" w:history="1">
        <w:r w:rsidR="0012026B" w:rsidRPr="0056582D">
          <w:rPr>
            <w:rStyle w:val="Hyperlink"/>
            <w:noProof/>
          </w:rPr>
          <w:t>Figure 123: Driffield: Series Z (SL 102-20)</w:t>
        </w:r>
        <w:r w:rsidR="0012026B">
          <w:rPr>
            <w:noProof/>
            <w:webHidden/>
          </w:rPr>
          <w:tab/>
        </w:r>
        <w:r w:rsidR="0012026B">
          <w:rPr>
            <w:noProof/>
            <w:webHidden/>
          </w:rPr>
          <w:fldChar w:fldCharType="begin"/>
        </w:r>
        <w:r w:rsidR="0012026B">
          <w:rPr>
            <w:noProof/>
            <w:webHidden/>
          </w:rPr>
          <w:instrText xml:space="preserve"> PAGEREF _Toc468267095 \h </w:instrText>
        </w:r>
        <w:r w:rsidR="0012026B">
          <w:rPr>
            <w:noProof/>
            <w:webHidden/>
          </w:rPr>
        </w:r>
        <w:r w:rsidR="0012026B">
          <w:rPr>
            <w:noProof/>
            <w:webHidden/>
          </w:rPr>
          <w:fldChar w:fldCharType="separate"/>
        </w:r>
        <w:r w:rsidR="0012026B">
          <w:rPr>
            <w:noProof/>
            <w:webHidden/>
          </w:rPr>
          <w:t>245</w:t>
        </w:r>
        <w:r w:rsidR="0012026B">
          <w:rPr>
            <w:noProof/>
            <w:webHidden/>
          </w:rPr>
          <w:fldChar w:fldCharType="end"/>
        </w:r>
      </w:hyperlink>
    </w:p>
    <w:p w14:paraId="36ECECFA" w14:textId="3BA6EE5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6" w:history="1">
        <w:r w:rsidR="0012026B" w:rsidRPr="0056582D">
          <w:rPr>
            <w:rStyle w:val="Hyperlink"/>
            <w:noProof/>
          </w:rPr>
          <w:t>Figure 124: Series U, found Driffield</w:t>
        </w:r>
        <w:r w:rsidR="0012026B">
          <w:rPr>
            <w:noProof/>
            <w:webHidden/>
          </w:rPr>
          <w:tab/>
        </w:r>
        <w:r w:rsidR="0012026B">
          <w:rPr>
            <w:noProof/>
            <w:webHidden/>
          </w:rPr>
          <w:fldChar w:fldCharType="begin"/>
        </w:r>
        <w:r w:rsidR="0012026B">
          <w:rPr>
            <w:noProof/>
            <w:webHidden/>
          </w:rPr>
          <w:instrText xml:space="preserve"> PAGEREF _Toc468267096 \h </w:instrText>
        </w:r>
        <w:r w:rsidR="0012026B">
          <w:rPr>
            <w:noProof/>
            <w:webHidden/>
          </w:rPr>
        </w:r>
        <w:r w:rsidR="0012026B">
          <w:rPr>
            <w:noProof/>
            <w:webHidden/>
          </w:rPr>
          <w:fldChar w:fldCharType="separate"/>
        </w:r>
        <w:r w:rsidR="0012026B">
          <w:rPr>
            <w:noProof/>
            <w:webHidden/>
          </w:rPr>
          <w:t>245</w:t>
        </w:r>
        <w:r w:rsidR="0012026B">
          <w:rPr>
            <w:noProof/>
            <w:webHidden/>
          </w:rPr>
          <w:fldChar w:fldCharType="end"/>
        </w:r>
      </w:hyperlink>
    </w:p>
    <w:p w14:paraId="3A4C0C5C" w14:textId="2DCC32B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7" w:history="1">
        <w:r w:rsidR="0012026B" w:rsidRPr="0056582D">
          <w:rPr>
            <w:rStyle w:val="Hyperlink"/>
            <w:noProof/>
          </w:rPr>
          <w:t>Figure 125: Two sceats of comparable designs to the above bracteates:</w:t>
        </w:r>
        <w:r w:rsidR="0012026B">
          <w:rPr>
            <w:noProof/>
            <w:webHidden/>
          </w:rPr>
          <w:tab/>
        </w:r>
        <w:r w:rsidR="0012026B">
          <w:rPr>
            <w:noProof/>
            <w:webHidden/>
          </w:rPr>
          <w:fldChar w:fldCharType="begin"/>
        </w:r>
        <w:r w:rsidR="0012026B">
          <w:rPr>
            <w:noProof/>
            <w:webHidden/>
          </w:rPr>
          <w:instrText xml:space="preserve"> PAGEREF _Toc468267097 \h </w:instrText>
        </w:r>
        <w:r w:rsidR="0012026B">
          <w:rPr>
            <w:noProof/>
            <w:webHidden/>
          </w:rPr>
        </w:r>
        <w:r w:rsidR="0012026B">
          <w:rPr>
            <w:noProof/>
            <w:webHidden/>
          </w:rPr>
          <w:fldChar w:fldCharType="separate"/>
        </w:r>
        <w:r w:rsidR="0012026B">
          <w:rPr>
            <w:noProof/>
            <w:webHidden/>
          </w:rPr>
          <w:t>245</w:t>
        </w:r>
        <w:r w:rsidR="0012026B">
          <w:rPr>
            <w:noProof/>
            <w:webHidden/>
          </w:rPr>
          <w:fldChar w:fldCharType="end"/>
        </w:r>
      </w:hyperlink>
    </w:p>
    <w:p w14:paraId="12830196" w14:textId="1C5AFD9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8" w:history="1">
        <w:r w:rsidR="0012026B" w:rsidRPr="0056582D">
          <w:rPr>
            <w:rStyle w:val="Hyperlink"/>
            <w:noProof/>
          </w:rPr>
          <w:t>Figure 126: Some rare finds attributed to Driffield:</w:t>
        </w:r>
        <w:r w:rsidR="0012026B">
          <w:rPr>
            <w:noProof/>
            <w:webHidden/>
          </w:rPr>
          <w:tab/>
        </w:r>
        <w:r w:rsidR="0012026B">
          <w:rPr>
            <w:noProof/>
            <w:webHidden/>
          </w:rPr>
          <w:fldChar w:fldCharType="begin"/>
        </w:r>
        <w:r w:rsidR="0012026B">
          <w:rPr>
            <w:noProof/>
            <w:webHidden/>
          </w:rPr>
          <w:instrText xml:space="preserve"> PAGEREF _Toc468267098 \h </w:instrText>
        </w:r>
        <w:r w:rsidR="0012026B">
          <w:rPr>
            <w:noProof/>
            <w:webHidden/>
          </w:rPr>
        </w:r>
        <w:r w:rsidR="0012026B">
          <w:rPr>
            <w:noProof/>
            <w:webHidden/>
          </w:rPr>
          <w:fldChar w:fldCharType="separate"/>
        </w:r>
        <w:r w:rsidR="0012026B">
          <w:rPr>
            <w:noProof/>
            <w:webHidden/>
          </w:rPr>
          <w:t>246</w:t>
        </w:r>
        <w:r w:rsidR="0012026B">
          <w:rPr>
            <w:noProof/>
            <w:webHidden/>
          </w:rPr>
          <w:fldChar w:fldCharType="end"/>
        </w:r>
      </w:hyperlink>
    </w:p>
    <w:p w14:paraId="46E09B01" w14:textId="4895E59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099" w:history="1">
        <w:r w:rsidR="0012026B" w:rsidRPr="0056582D">
          <w:rPr>
            <w:rStyle w:val="Hyperlink"/>
            <w:noProof/>
          </w:rPr>
          <w:t>Figure 127: Styca of Æthelred II by Vendelberht, found Driffield</w:t>
        </w:r>
        <w:r w:rsidR="0012026B">
          <w:rPr>
            <w:noProof/>
            <w:webHidden/>
          </w:rPr>
          <w:tab/>
        </w:r>
        <w:r w:rsidR="0012026B">
          <w:rPr>
            <w:noProof/>
            <w:webHidden/>
          </w:rPr>
          <w:fldChar w:fldCharType="begin"/>
        </w:r>
        <w:r w:rsidR="0012026B">
          <w:rPr>
            <w:noProof/>
            <w:webHidden/>
          </w:rPr>
          <w:instrText xml:space="preserve"> PAGEREF _Toc468267099 \h </w:instrText>
        </w:r>
        <w:r w:rsidR="0012026B">
          <w:rPr>
            <w:noProof/>
            <w:webHidden/>
          </w:rPr>
        </w:r>
        <w:r w:rsidR="0012026B">
          <w:rPr>
            <w:noProof/>
            <w:webHidden/>
          </w:rPr>
          <w:fldChar w:fldCharType="separate"/>
        </w:r>
        <w:r w:rsidR="0012026B">
          <w:rPr>
            <w:noProof/>
            <w:webHidden/>
          </w:rPr>
          <w:t>246</w:t>
        </w:r>
        <w:r w:rsidR="0012026B">
          <w:rPr>
            <w:noProof/>
            <w:webHidden/>
          </w:rPr>
          <w:fldChar w:fldCharType="end"/>
        </w:r>
      </w:hyperlink>
    </w:p>
    <w:p w14:paraId="31A74217" w14:textId="77B0782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0" w:history="1">
        <w:r w:rsidR="0012026B" w:rsidRPr="0056582D">
          <w:rPr>
            <w:rStyle w:val="Hyperlink"/>
            <w:noProof/>
          </w:rPr>
          <w:t>Figure 128: Merovingian tremisses from Wharram Percy</w:t>
        </w:r>
        <w:r w:rsidR="0012026B">
          <w:rPr>
            <w:noProof/>
            <w:webHidden/>
          </w:rPr>
          <w:tab/>
        </w:r>
        <w:r w:rsidR="0012026B">
          <w:rPr>
            <w:noProof/>
            <w:webHidden/>
          </w:rPr>
          <w:fldChar w:fldCharType="begin"/>
        </w:r>
        <w:r w:rsidR="0012026B">
          <w:rPr>
            <w:noProof/>
            <w:webHidden/>
          </w:rPr>
          <w:instrText xml:space="preserve"> PAGEREF _Toc468267100 \h </w:instrText>
        </w:r>
        <w:r w:rsidR="0012026B">
          <w:rPr>
            <w:noProof/>
            <w:webHidden/>
          </w:rPr>
        </w:r>
        <w:r w:rsidR="0012026B">
          <w:rPr>
            <w:noProof/>
            <w:webHidden/>
          </w:rPr>
          <w:fldChar w:fldCharType="separate"/>
        </w:r>
        <w:r w:rsidR="0012026B">
          <w:rPr>
            <w:noProof/>
            <w:webHidden/>
          </w:rPr>
          <w:t>248</w:t>
        </w:r>
        <w:r w:rsidR="0012026B">
          <w:rPr>
            <w:noProof/>
            <w:webHidden/>
          </w:rPr>
          <w:fldChar w:fldCharType="end"/>
        </w:r>
      </w:hyperlink>
    </w:p>
    <w:p w14:paraId="789F4631" w14:textId="28BB36C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1" w:history="1">
        <w:r w:rsidR="0012026B" w:rsidRPr="0056582D">
          <w:rPr>
            <w:rStyle w:val="Hyperlink"/>
            <w:noProof/>
          </w:rPr>
          <w:t>Figure 129: Wharram Percy Grubenhäuser finds: Eadberht sceat</w:t>
        </w:r>
        <w:r w:rsidR="0012026B">
          <w:rPr>
            <w:noProof/>
            <w:webHidden/>
          </w:rPr>
          <w:tab/>
        </w:r>
        <w:r w:rsidR="0012026B">
          <w:rPr>
            <w:noProof/>
            <w:webHidden/>
          </w:rPr>
          <w:fldChar w:fldCharType="begin"/>
        </w:r>
        <w:r w:rsidR="0012026B">
          <w:rPr>
            <w:noProof/>
            <w:webHidden/>
          </w:rPr>
          <w:instrText xml:space="preserve"> PAGEREF _Toc468267101 \h </w:instrText>
        </w:r>
        <w:r w:rsidR="0012026B">
          <w:rPr>
            <w:noProof/>
            <w:webHidden/>
          </w:rPr>
        </w:r>
        <w:r w:rsidR="0012026B">
          <w:rPr>
            <w:noProof/>
            <w:webHidden/>
          </w:rPr>
          <w:fldChar w:fldCharType="separate"/>
        </w:r>
        <w:r w:rsidR="0012026B">
          <w:rPr>
            <w:noProof/>
            <w:webHidden/>
          </w:rPr>
          <w:t>248</w:t>
        </w:r>
        <w:r w:rsidR="0012026B">
          <w:rPr>
            <w:noProof/>
            <w:webHidden/>
          </w:rPr>
          <w:fldChar w:fldCharType="end"/>
        </w:r>
      </w:hyperlink>
    </w:p>
    <w:p w14:paraId="1154BDD7" w14:textId="23BD926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2" w:history="1">
        <w:r w:rsidR="0012026B" w:rsidRPr="0056582D">
          <w:rPr>
            <w:rStyle w:val="Hyperlink"/>
            <w:noProof/>
          </w:rPr>
          <w:t>Figure 130: Garton-on-the-Wolds, Green Lane Crossing, pendant grave find</w:t>
        </w:r>
        <w:r w:rsidR="0012026B">
          <w:rPr>
            <w:noProof/>
            <w:webHidden/>
          </w:rPr>
          <w:tab/>
        </w:r>
        <w:r w:rsidR="0012026B">
          <w:rPr>
            <w:noProof/>
            <w:webHidden/>
          </w:rPr>
          <w:fldChar w:fldCharType="begin"/>
        </w:r>
        <w:r w:rsidR="0012026B">
          <w:rPr>
            <w:noProof/>
            <w:webHidden/>
          </w:rPr>
          <w:instrText xml:space="preserve"> PAGEREF _Toc468267102 \h </w:instrText>
        </w:r>
        <w:r w:rsidR="0012026B">
          <w:rPr>
            <w:noProof/>
            <w:webHidden/>
          </w:rPr>
        </w:r>
        <w:r w:rsidR="0012026B">
          <w:rPr>
            <w:noProof/>
            <w:webHidden/>
          </w:rPr>
          <w:fldChar w:fldCharType="separate"/>
        </w:r>
        <w:r w:rsidR="0012026B">
          <w:rPr>
            <w:noProof/>
            <w:webHidden/>
          </w:rPr>
          <w:t>249</w:t>
        </w:r>
        <w:r w:rsidR="0012026B">
          <w:rPr>
            <w:noProof/>
            <w:webHidden/>
          </w:rPr>
          <w:fldChar w:fldCharType="end"/>
        </w:r>
      </w:hyperlink>
    </w:p>
    <w:p w14:paraId="7B039447" w14:textId="0949D4A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3" w:history="1">
        <w:r w:rsidR="0012026B" w:rsidRPr="0056582D">
          <w:rPr>
            <w:rStyle w:val="Hyperlink"/>
            <w:noProof/>
          </w:rPr>
          <w:t>Figure 131: Rigold: Garton–on-the-Wolds grave find</w:t>
        </w:r>
        <w:r w:rsidR="0012026B">
          <w:rPr>
            <w:noProof/>
            <w:webHidden/>
          </w:rPr>
          <w:tab/>
        </w:r>
        <w:r w:rsidR="0012026B">
          <w:rPr>
            <w:noProof/>
            <w:webHidden/>
          </w:rPr>
          <w:fldChar w:fldCharType="begin"/>
        </w:r>
        <w:r w:rsidR="0012026B">
          <w:rPr>
            <w:noProof/>
            <w:webHidden/>
          </w:rPr>
          <w:instrText xml:space="preserve"> PAGEREF _Toc468267103 \h </w:instrText>
        </w:r>
        <w:r w:rsidR="0012026B">
          <w:rPr>
            <w:noProof/>
            <w:webHidden/>
          </w:rPr>
        </w:r>
        <w:r w:rsidR="0012026B">
          <w:rPr>
            <w:noProof/>
            <w:webHidden/>
          </w:rPr>
          <w:fldChar w:fldCharType="separate"/>
        </w:r>
        <w:r w:rsidR="0012026B">
          <w:rPr>
            <w:noProof/>
            <w:webHidden/>
          </w:rPr>
          <w:t>250</w:t>
        </w:r>
        <w:r w:rsidR="0012026B">
          <w:rPr>
            <w:noProof/>
            <w:webHidden/>
          </w:rPr>
          <w:fldChar w:fldCharType="end"/>
        </w:r>
      </w:hyperlink>
    </w:p>
    <w:p w14:paraId="535C6A51" w14:textId="7F874B8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4" w:history="1">
        <w:r w:rsidR="0012026B" w:rsidRPr="0056582D">
          <w:rPr>
            <w:rStyle w:val="Hyperlink"/>
            <w:noProof/>
          </w:rPr>
          <w:t>Figure 132: Garton-on-the-Wolds: some exotic species</w:t>
        </w:r>
        <w:r w:rsidR="0012026B">
          <w:rPr>
            <w:noProof/>
            <w:webHidden/>
          </w:rPr>
          <w:tab/>
        </w:r>
        <w:r w:rsidR="0012026B">
          <w:rPr>
            <w:noProof/>
            <w:webHidden/>
          </w:rPr>
          <w:fldChar w:fldCharType="begin"/>
        </w:r>
        <w:r w:rsidR="0012026B">
          <w:rPr>
            <w:noProof/>
            <w:webHidden/>
          </w:rPr>
          <w:instrText xml:space="preserve"> PAGEREF _Toc468267104 \h </w:instrText>
        </w:r>
        <w:r w:rsidR="0012026B">
          <w:rPr>
            <w:noProof/>
            <w:webHidden/>
          </w:rPr>
        </w:r>
        <w:r w:rsidR="0012026B">
          <w:rPr>
            <w:noProof/>
            <w:webHidden/>
          </w:rPr>
          <w:fldChar w:fldCharType="separate"/>
        </w:r>
        <w:r w:rsidR="0012026B">
          <w:rPr>
            <w:noProof/>
            <w:webHidden/>
          </w:rPr>
          <w:t>250</w:t>
        </w:r>
        <w:r w:rsidR="0012026B">
          <w:rPr>
            <w:noProof/>
            <w:webHidden/>
          </w:rPr>
          <w:fldChar w:fldCharType="end"/>
        </w:r>
      </w:hyperlink>
    </w:p>
    <w:p w14:paraId="1B678F74" w14:textId="4C79C3C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5" w:history="1">
        <w:r w:rsidR="0012026B" w:rsidRPr="0056582D">
          <w:rPr>
            <w:rStyle w:val="Hyperlink"/>
            <w:noProof/>
          </w:rPr>
          <w:t>Figure 133: Series Q-related sceat</w:t>
        </w:r>
        <w:r w:rsidR="0012026B">
          <w:rPr>
            <w:noProof/>
            <w:webHidden/>
          </w:rPr>
          <w:tab/>
        </w:r>
        <w:r w:rsidR="0012026B">
          <w:rPr>
            <w:noProof/>
            <w:webHidden/>
          </w:rPr>
          <w:fldChar w:fldCharType="begin"/>
        </w:r>
        <w:r w:rsidR="0012026B">
          <w:rPr>
            <w:noProof/>
            <w:webHidden/>
          </w:rPr>
          <w:instrText xml:space="preserve"> PAGEREF _Toc468267105 \h </w:instrText>
        </w:r>
        <w:r w:rsidR="0012026B">
          <w:rPr>
            <w:noProof/>
            <w:webHidden/>
          </w:rPr>
        </w:r>
        <w:r w:rsidR="0012026B">
          <w:rPr>
            <w:noProof/>
            <w:webHidden/>
          </w:rPr>
          <w:fldChar w:fldCharType="separate"/>
        </w:r>
        <w:r w:rsidR="0012026B">
          <w:rPr>
            <w:noProof/>
            <w:webHidden/>
          </w:rPr>
          <w:t>251</w:t>
        </w:r>
        <w:r w:rsidR="0012026B">
          <w:rPr>
            <w:noProof/>
            <w:webHidden/>
          </w:rPr>
          <w:fldChar w:fldCharType="end"/>
        </w:r>
      </w:hyperlink>
    </w:p>
    <w:p w14:paraId="6EF70970" w14:textId="663FDDA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6" w:history="1">
        <w:r w:rsidR="0012026B" w:rsidRPr="0056582D">
          <w:rPr>
            <w:rStyle w:val="Hyperlink"/>
            <w:noProof/>
          </w:rPr>
          <w:t>Figure 134: Some scarce sceats attributed to Wetwang</w:t>
        </w:r>
        <w:r w:rsidR="0012026B">
          <w:rPr>
            <w:noProof/>
            <w:webHidden/>
          </w:rPr>
          <w:tab/>
        </w:r>
        <w:r w:rsidR="0012026B">
          <w:rPr>
            <w:noProof/>
            <w:webHidden/>
          </w:rPr>
          <w:fldChar w:fldCharType="begin"/>
        </w:r>
        <w:r w:rsidR="0012026B">
          <w:rPr>
            <w:noProof/>
            <w:webHidden/>
          </w:rPr>
          <w:instrText xml:space="preserve"> PAGEREF _Toc468267106 \h </w:instrText>
        </w:r>
        <w:r w:rsidR="0012026B">
          <w:rPr>
            <w:noProof/>
            <w:webHidden/>
          </w:rPr>
        </w:r>
        <w:r w:rsidR="0012026B">
          <w:rPr>
            <w:noProof/>
            <w:webHidden/>
          </w:rPr>
          <w:fldChar w:fldCharType="separate"/>
        </w:r>
        <w:r w:rsidR="0012026B">
          <w:rPr>
            <w:noProof/>
            <w:webHidden/>
          </w:rPr>
          <w:t>251</w:t>
        </w:r>
        <w:r w:rsidR="0012026B">
          <w:rPr>
            <w:noProof/>
            <w:webHidden/>
          </w:rPr>
          <w:fldChar w:fldCharType="end"/>
        </w:r>
      </w:hyperlink>
    </w:p>
    <w:p w14:paraId="163205A7" w14:textId="170FA48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7" w:history="1">
        <w:r w:rsidR="0012026B" w:rsidRPr="0056582D">
          <w:rPr>
            <w:rStyle w:val="Hyperlink"/>
            <w:noProof/>
          </w:rPr>
          <w:t>Figure 135: Butterwick</w:t>
        </w:r>
        <w:r w:rsidR="0012026B">
          <w:rPr>
            <w:noProof/>
            <w:webHidden/>
          </w:rPr>
          <w:tab/>
        </w:r>
        <w:r w:rsidR="0012026B">
          <w:rPr>
            <w:noProof/>
            <w:webHidden/>
          </w:rPr>
          <w:fldChar w:fldCharType="begin"/>
        </w:r>
        <w:r w:rsidR="0012026B">
          <w:rPr>
            <w:noProof/>
            <w:webHidden/>
          </w:rPr>
          <w:instrText xml:space="preserve"> PAGEREF _Toc468267107 \h </w:instrText>
        </w:r>
        <w:r w:rsidR="0012026B">
          <w:rPr>
            <w:noProof/>
            <w:webHidden/>
          </w:rPr>
        </w:r>
        <w:r w:rsidR="0012026B">
          <w:rPr>
            <w:noProof/>
            <w:webHidden/>
          </w:rPr>
          <w:fldChar w:fldCharType="separate"/>
        </w:r>
        <w:r w:rsidR="0012026B">
          <w:rPr>
            <w:noProof/>
            <w:webHidden/>
          </w:rPr>
          <w:t>251</w:t>
        </w:r>
        <w:r w:rsidR="0012026B">
          <w:rPr>
            <w:noProof/>
            <w:webHidden/>
          </w:rPr>
          <w:fldChar w:fldCharType="end"/>
        </w:r>
      </w:hyperlink>
    </w:p>
    <w:p w14:paraId="180F83CE" w14:textId="7CE2913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8" w:history="1">
        <w:r w:rsidR="0012026B" w:rsidRPr="0056582D">
          <w:rPr>
            <w:rStyle w:val="Hyperlink"/>
            <w:noProof/>
          </w:rPr>
          <w:t>Figure 136: Sceat of Aldfrith, found Kilham</w:t>
        </w:r>
        <w:r w:rsidR="0012026B">
          <w:rPr>
            <w:noProof/>
            <w:webHidden/>
          </w:rPr>
          <w:tab/>
        </w:r>
        <w:r w:rsidR="0012026B">
          <w:rPr>
            <w:noProof/>
            <w:webHidden/>
          </w:rPr>
          <w:fldChar w:fldCharType="begin"/>
        </w:r>
        <w:r w:rsidR="0012026B">
          <w:rPr>
            <w:noProof/>
            <w:webHidden/>
          </w:rPr>
          <w:instrText xml:space="preserve"> PAGEREF _Toc468267108 \h </w:instrText>
        </w:r>
        <w:r w:rsidR="0012026B">
          <w:rPr>
            <w:noProof/>
            <w:webHidden/>
          </w:rPr>
        </w:r>
        <w:r w:rsidR="0012026B">
          <w:rPr>
            <w:noProof/>
            <w:webHidden/>
          </w:rPr>
          <w:fldChar w:fldCharType="separate"/>
        </w:r>
        <w:r w:rsidR="0012026B">
          <w:rPr>
            <w:noProof/>
            <w:webHidden/>
          </w:rPr>
          <w:t>253</w:t>
        </w:r>
        <w:r w:rsidR="0012026B">
          <w:rPr>
            <w:noProof/>
            <w:webHidden/>
          </w:rPr>
          <w:fldChar w:fldCharType="end"/>
        </w:r>
      </w:hyperlink>
    </w:p>
    <w:p w14:paraId="264028CA" w14:textId="0773062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09" w:history="1">
        <w:r w:rsidR="0012026B" w:rsidRPr="0056582D">
          <w:rPr>
            <w:rStyle w:val="Hyperlink"/>
            <w:noProof/>
          </w:rPr>
          <w:t>Figure 137: Æthelwald Moll with Æthelred, found Kilham</w:t>
        </w:r>
        <w:r w:rsidR="0012026B">
          <w:rPr>
            <w:noProof/>
            <w:webHidden/>
          </w:rPr>
          <w:tab/>
        </w:r>
        <w:r w:rsidR="0012026B">
          <w:rPr>
            <w:noProof/>
            <w:webHidden/>
          </w:rPr>
          <w:fldChar w:fldCharType="begin"/>
        </w:r>
        <w:r w:rsidR="0012026B">
          <w:rPr>
            <w:noProof/>
            <w:webHidden/>
          </w:rPr>
          <w:instrText xml:space="preserve"> PAGEREF _Toc468267109 \h </w:instrText>
        </w:r>
        <w:r w:rsidR="0012026B">
          <w:rPr>
            <w:noProof/>
            <w:webHidden/>
          </w:rPr>
        </w:r>
        <w:r w:rsidR="0012026B">
          <w:rPr>
            <w:noProof/>
            <w:webHidden/>
          </w:rPr>
          <w:fldChar w:fldCharType="separate"/>
        </w:r>
        <w:r w:rsidR="0012026B">
          <w:rPr>
            <w:noProof/>
            <w:webHidden/>
          </w:rPr>
          <w:t>254</w:t>
        </w:r>
        <w:r w:rsidR="0012026B">
          <w:rPr>
            <w:noProof/>
            <w:webHidden/>
          </w:rPr>
          <w:fldChar w:fldCharType="end"/>
        </w:r>
      </w:hyperlink>
    </w:p>
    <w:p w14:paraId="066994A5" w14:textId="625B1E29"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0" w:history="1">
        <w:r w:rsidR="0012026B" w:rsidRPr="0056582D">
          <w:rPr>
            <w:rStyle w:val="Hyperlink"/>
            <w:noProof/>
          </w:rPr>
          <w:t>Figure 138: Two early Anglo-Saxon artefacts from Kilham</w:t>
        </w:r>
        <w:r w:rsidR="0012026B">
          <w:rPr>
            <w:noProof/>
            <w:webHidden/>
          </w:rPr>
          <w:tab/>
        </w:r>
        <w:r w:rsidR="0012026B">
          <w:rPr>
            <w:noProof/>
            <w:webHidden/>
          </w:rPr>
          <w:fldChar w:fldCharType="begin"/>
        </w:r>
        <w:r w:rsidR="0012026B">
          <w:rPr>
            <w:noProof/>
            <w:webHidden/>
          </w:rPr>
          <w:instrText xml:space="preserve"> PAGEREF _Toc468267110 \h </w:instrText>
        </w:r>
        <w:r w:rsidR="0012026B">
          <w:rPr>
            <w:noProof/>
            <w:webHidden/>
          </w:rPr>
        </w:r>
        <w:r w:rsidR="0012026B">
          <w:rPr>
            <w:noProof/>
            <w:webHidden/>
          </w:rPr>
          <w:fldChar w:fldCharType="separate"/>
        </w:r>
        <w:r w:rsidR="0012026B">
          <w:rPr>
            <w:noProof/>
            <w:webHidden/>
          </w:rPr>
          <w:t>255</w:t>
        </w:r>
        <w:r w:rsidR="0012026B">
          <w:rPr>
            <w:noProof/>
            <w:webHidden/>
          </w:rPr>
          <w:fldChar w:fldCharType="end"/>
        </w:r>
      </w:hyperlink>
    </w:p>
    <w:p w14:paraId="1B782774" w14:textId="478FCD5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1" w:history="1">
        <w:r w:rsidR="0012026B" w:rsidRPr="0056582D">
          <w:rPr>
            <w:rStyle w:val="Hyperlink"/>
            <w:noProof/>
          </w:rPr>
          <w:t>Figure 139: Sceat of Eardwulf with a ligate initial in the moneyer’s name on the reverse.</w:t>
        </w:r>
        <w:r w:rsidR="0012026B">
          <w:rPr>
            <w:noProof/>
            <w:webHidden/>
          </w:rPr>
          <w:tab/>
        </w:r>
        <w:r w:rsidR="0012026B">
          <w:rPr>
            <w:noProof/>
            <w:webHidden/>
          </w:rPr>
          <w:fldChar w:fldCharType="begin"/>
        </w:r>
        <w:r w:rsidR="0012026B">
          <w:rPr>
            <w:noProof/>
            <w:webHidden/>
          </w:rPr>
          <w:instrText xml:space="preserve"> PAGEREF _Toc468267111 \h </w:instrText>
        </w:r>
        <w:r w:rsidR="0012026B">
          <w:rPr>
            <w:noProof/>
            <w:webHidden/>
          </w:rPr>
        </w:r>
        <w:r w:rsidR="0012026B">
          <w:rPr>
            <w:noProof/>
            <w:webHidden/>
          </w:rPr>
          <w:fldChar w:fldCharType="separate"/>
        </w:r>
        <w:r w:rsidR="0012026B">
          <w:rPr>
            <w:noProof/>
            <w:webHidden/>
          </w:rPr>
          <w:t>256</w:t>
        </w:r>
        <w:r w:rsidR="0012026B">
          <w:rPr>
            <w:noProof/>
            <w:webHidden/>
          </w:rPr>
          <w:fldChar w:fldCharType="end"/>
        </w:r>
      </w:hyperlink>
    </w:p>
    <w:p w14:paraId="6B8E58BE" w14:textId="1A1B6D0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2" w:history="1">
        <w:r w:rsidR="0012026B" w:rsidRPr="0056582D">
          <w:rPr>
            <w:rStyle w:val="Hyperlink"/>
            <w:noProof/>
          </w:rPr>
          <w:t>Figure 140: First known sceat of Eardwulf</w:t>
        </w:r>
        <w:r w:rsidR="0012026B">
          <w:rPr>
            <w:noProof/>
            <w:webHidden/>
          </w:rPr>
          <w:tab/>
        </w:r>
        <w:r w:rsidR="0012026B">
          <w:rPr>
            <w:noProof/>
            <w:webHidden/>
          </w:rPr>
          <w:fldChar w:fldCharType="begin"/>
        </w:r>
        <w:r w:rsidR="0012026B">
          <w:rPr>
            <w:noProof/>
            <w:webHidden/>
          </w:rPr>
          <w:instrText xml:space="preserve"> PAGEREF _Toc468267112 \h </w:instrText>
        </w:r>
        <w:r w:rsidR="0012026B">
          <w:rPr>
            <w:noProof/>
            <w:webHidden/>
          </w:rPr>
        </w:r>
        <w:r w:rsidR="0012026B">
          <w:rPr>
            <w:noProof/>
            <w:webHidden/>
          </w:rPr>
          <w:fldChar w:fldCharType="separate"/>
        </w:r>
        <w:r w:rsidR="0012026B">
          <w:rPr>
            <w:noProof/>
            <w:webHidden/>
          </w:rPr>
          <w:t>257</w:t>
        </w:r>
        <w:r w:rsidR="0012026B">
          <w:rPr>
            <w:noProof/>
            <w:webHidden/>
          </w:rPr>
          <w:fldChar w:fldCharType="end"/>
        </w:r>
      </w:hyperlink>
    </w:p>
    <w:p w14:paraId="4EEF556D" w14:textId="2FFA3B0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3" w:history="1">
        <w:r w:rsidR="0012026B" w:rsidRPr="0056582D">
          <w:rPr>
            <w:rStyle w:val="Hyperlink"/>
            <w:noProof/>
          </w:rPr>
          <w:t>Figure 141: Rudston: L: Merovingian denier of Lyon, R: interlaced cross type sceat</w:t>
        </w:r>
        <w:r w:rsidR="0012026B">
          <w:rPr>
            <w:noProof/>
            <w:webHidden/>
          </w:rPr>
          <w:tab/>
        </w:r>
        <w:r w:rsidR="0012026B">
          <w:rPr>
            <w:noProof/>
            <w:webHidden/>
          </w:rPr>
          <w:fldChar w:fldCharType="begin"/>
        </w:r>
        <w:r w:rsidR="0012026B">
          <w:rPr>
            <w:noProof/>
            <w:webHidden/>
          </w:rPr>
          <w:instrText xml:space="preserve"> PAGEREF _Toc468267113 \h </w:instrText>
        </w:r>
        <w:r w:rsidR="0012026B">
          <w:rPr>
            <w:noProof/>
            <w:webHidden/>
          </w:rPr>
        </w:r>
        <w:r w:rsidR="0012026B">
          <w:rPr>
            <w:noProof/>
            <w:webHidden/>
          </w:rPr>
          <w:fldChar w:fldCharType="separate"/>
        </w:r>
        <w:r w:rsidR="0012026B">
          <w:rPr>
            <w:noProof/>
            <w:webHidden/>
          </w:rPr>
          <w:t>258</w:t>
        </w:r>
        <w:r w:rsidR="0012026B">
          <w:rPr>
            <w:noProof/>
            <w:webHidden/>
          </w:rPr>
          <w:fldChar w:fldCharType="end"/>
        </w:r>
      </w:hyperlink>
    </w:p>
    <w:p w14:paraId="4EAD1FB9" w14:textId="61D0EBA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4" w:history="1">
        <w:r w:rsidR="0012026B" w:rsidRPr="0056582D">
          <w:rPr>
            <w:rStyle w:val="Hyperlink"/>
            <w:noProof/>
          </w:rPr>
          <w:t>Figure 142: Silver-alloy coin of Eanred by Wilheah</w:t>
        </w:r>
        <w:r w:rsidR="0012026B">
          <w:rPr>
            <w:noProof/>
            <w:webHidden/>
          </w:rPr>
          <w:tab/>
        </w:r>
        <w:r w:rsidR="0012026B">
          <w:rPr>
            <w:noProof/>
            <w:webHidden/>
          </w:rPr>
          <w:fldChar w:fldCharType="begin"/>
        </w:r>
        <w:r w:rsidR="0012026B">
          <w:rPr>
            <w:noProof/>
            <w:webHidden/>
          </w:rPr>
          <w:instrText xml:space="preserve"> PAGEREF _Toc468267114 \h </w:instrText>
        </w:r>
        <w:r w:rsidR="0012026B">
          <w:rPr>
            <w:noProof/>
            <w:webHidden/>
          </w:rPr>
        </w:r>
        <w:r w:rsidR="0012026B">
          <w:rPr>
            <w:noProof/>
            <w:webHidden/>
          </w:rPr>
          <w:fldChar w:fldCharType="separate"/>
        </w:r>
        <w:r w:rsidR="0012026B">
          <w:rPr>
            <w:noProof/>
            <w:webHidden/>
          </w:rPr>
          <w:t>258</w:t>
        </w:r>
        <w:r w:rsidR="0012026B">
          <w:rPr>
            <w:noProof/>
            <w:webHidden/>
          </w:rPr>
          <w:fldChar w:fldCharType="end"/>
        </w:r>
      </w:hyperlink>
    </w:p>
    <w:p w14:paraId="62A6CFFA" w14:textId="7A2279F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5" w:history="1">
        <w:r w:rsidR="0012026B" w:rsidRPr="0056582D">
          <w:rPr>
            <w:rStyle w:val="Hyperlink"/>
            <w:noProof/>
          </w:rPr>
          <w:t>Figure 143: Boynton: sceats of Series N, O and ‘Wodan’</w:t>
        </w:r>
        <w:r w:rsidR="0012026B">
          <w:rPr>
            <w:noProof/>
            <w:webHidden/>
          </w:rPr>
          <w:tab/>
        </w:r>
        <w:r w:rsidR="0012026B">
          <w:rPr>
            <w:noProof/>
            <w:webHidden/>
          </w:rPr>
          <w:fldChar w:fldCharType="begin"/>
        </w:r>
        <w:r w:rsidR="0012026B">
          <w:rPr>
            <w:noProof/>
            <w:webHidden/>
          </w:rPr>
          <w:instrText xml:space="preserve"> PAGEREF _Toc468267115 \h </w:instrText>
        </w:r>
        <w:r w:rsidR="0012026B">
          <w:rPr>
            <w:noProof/>
            <w:webHidden/>
          </w:rPr>
        </w:r>
        <w:r w:rsidR="0012026B">
          <w:rPr>
            <w:noProof/>
            <w:webHidden/>
          </w:rPr>
          <w:fldChar w:fldCharType="separate"/>
        </w:r>
        <w:r w:rsidR="0012026B">
          <w:rPr>
            <w:noProof/>
            <w:webHidden/>
          </w:rPr>
          <w:t>258</w:t>
        </w:r>
        <w:r w:rsidR="0012026B">
          <w:rPr>
            <w:noProof/>
            <w:webHidden/>
          </w:rPr>
          <w:fldChar w:fldCharType="end"/>
        </w:r>
      </w:hyperlink>
    </w:p>
    <w:p w14:paraId="34858682" w14:textId="2C0E9CF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6" w:history="1">
        <w:r w:rsidR="0012026B" w:rsidRPr="0056582D">
          <w:rPr>
            <w:rStyle w:val="Hyperlink"/>
            <w:noProof/>
          </w:rPr>
          <w:t>Figure 144: L: Silver-alloy coin of Eanred. R: base styca of Æthelred II.</w:t>
        </w:r>
        <w:r w:rsidR="0012026B">
          <w:rPr>
            <w:noProof/>
            <w:webHidden/>
          </w:rPr>
          <w:tab/>
        </w:r>
        <w:r w:rsidR="0012026B">
          <w:rPr>
            <w:noProof/>
            <w:webHidden/>
          </w:rPr>
          <w:fldChar w:fldCharType="begin"/>
        </w:r>
        <w:r w:rsidR="0012026B">
          <w:rPr>
            <w:noProof/>
            <w:webHidden/>
          </w:rPr>
          <w:instrText xml:space="preserve"> PAGEREF _Toc468267116 \h </w:instrText>
        </w:r>
        <w:r w:rsidR="0012026B">
          <w:rPr>
            <w:noProof/>
            <w:webHidden/>
          </w:rPr>
        </w:r>
        <w:r w:rsidR="0012026B">
          <w:rPr>
            <w:noProof/>
            <w:webHidden/>
          </w:rPr>
          <w:fldChar w:fldCharType="separate"/>
        </w:r>
        <w:r w:rsidR="0012026B">
          <w:rPr>
            <w:noProof/>
            <w:webHidden/>
          </w:rPr>
          <w:t>258</w:t>
        </w:r>
        <w:r w:rsidR="0012026B">
          <w:rPr>
            <w:noProof/>
            <w:webHidden/>
          </w:rPr>
          <w:fldChar w:fldCharType="end"/>
        </w:r>
      </w:hyperlink>
    </w:p>
    <w:p w14:paraId="0185F728" w14:textId="785BFCB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7" w:history="1">
        <w:r w:rsidR="0012026B" w:rsidRPr="0056582D">
          <w:rPr>
            <w:rStyle w:val="Hyperlink"/>
            <w:noProof/>
          </w:rPr>
          <w:t>Figure 145: C-bracteate, Near Bridlington, typically associated with élite sites</w:t>
        </w:r>
        <w:r w:rsidR="0012026B">
          <w:rPr>
            <w:noProof/>
            <w:webHidden/>
          </w:rPr>
          <w:tab/>
        </w:r>
        <w:r w:rsidR="0012026B">
          <w:rPr>
            <w:noProof/>
            <w:webHidden/>
          </w:rPr>
          <w:fldChar w:fldCharType="begin"/>
        </w:r>
        <w:r w:rsidR="0012026B">
          <w:rPr>
            <w:noProof/>
            <w:webHidden/>
          </w:rPr>
          <w:instrText xml:space="preserve"> PAGEREF _Toc468267117 \h </w:instrText>
        </w:r>
        <w:r w:rsidR="0012026B">
          <w:rPr>
            <w:noProof/>
            <w:webHidden/>
          </w:rPr>
        </w:r>
        <w:r w:rsidR="0012026B">
          <w:rPr>
            <w:noProof/>
            <w:webHidden/>
          </w:rPr>
          <w:fldChar w:fldCharType="separate"/>
        </w:r>
        <w:r w:rsidR="0012026B">
          <w:rPr>
            <w:noProof/>
            <w:webHidden/>
          </w:rPr>
          <w:t>259</w:t>
        </w:r>
        <w:r w:rsidR="0012026B">
          <w:rPr>
            <w:noProof/>
            <w:webHidden/>
          </w:rPr>
          <w:fldChar w:fldCharType="end"/>
        </w:r>
      </w:hyperlink>
    </w:p>
    <w:p w14:paraId="0B67696A" w14:textId="51DCBED2"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8" w:history="1">
        <w:r w:rsidR="0012026B" w:rsidRPr="0056582D">
          <w:rPr>
            <w:rStyle w:val="Hyperlink"/>
            <w:noProof/>
          </w:rPr>
          <w:t>Figure 146: Wolf &amp; Twins sceat, found near. Bridlington</w:t>
        </w:r>
        <w:r w:rsidR="0012026B">
          <w:rPr>
            <w:noProof/>
            <w:webHidden/>
          </w:rPr>
          <w:tab/>
        </w:r>
        <w:r w:rsidR="0012026B">
          <w:rPr>
            <w:noProof/>
            <w:webHidden/>
          </w:rPr>
          <w:fldChar w:fldCharType="begin"/>
        </w:r>
        <w:r w:rsidR="0012026B">
          <w:rPr>
            <w:noProof/>
            <w:webHidden/>
          </w:rPr>
          <w:instrText xml:space="preserve"> PAGEREF _Toc468267118 \h </w:instrText>
        </w:r>
        <w:r w:rsidR="0012026B">
          <w:rPr>
            <w:noProof/>
            <w:webHidden/>
          </w:rPr>
        </w:r>
        <w:r w:rsidR="0012026B">
          <w:rPr>
            <w:noProof/>
            <w:webHidden/>
          </w:rPr>
          <w:fldChar w:fldCharType="separate"/>
        </w:r>
        <w:r w:rsidR="0012026B">
          <w:rPr>
            <w:noProof/>
            <w:webHidden/>
          </w:rPr>
          <w:t>259</w:t>
        </w:r>
        <w:r w:rsidR="0012026B">
          <w:rPr>
            <w:noProof/>
            <w:webHidden/>
          </w:rPr>
          <w:fldChar w:fldCharType="end"/>
        </w:r>
      </w:hyperlink>
    </w:p>
    <w:p w14:paraId="1943BD9C" w14:textId="5969579C"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19" w:history="1">
        <w:r w:rsidR="0012026B" w:rsidRPr="0056582D">
          <w:rPr>
            <w:rStyle w:val="Hyperlink"/>
            <w:noProof/>
          </w:rPr>
          <w:t>Figure 147: Beverley: sceat of Æthelwald Moll with Ecgberht</w:t>
        </w:r>
        <w:r w:rsidR="0012026B">
          <w:rPr>
            <w:noProof/>
            <w:webHidden/>
          </w:rPr>
          <w:tab/>
        </w:r>
        <w:r w:rsidR="0012026B">
          <w:rPr>
            <w:noProof/>
            <w:webHidden/>
          </w:rPr>
          <w:fldChar w:fldCharType="begin"/>
        </w:r>
        <w:r w:rsidR="0012026B">
          <w:rPr>
            <w:noProof/>
            <w:webHidden/>
          </w:rPr>
          <w:instrText xml:space="preserve"> PAGEREF _Toc468267119 \h </w:instrText>
        </w:r>
        <w:r w:rsidR="0012026B">
          <w:rPr>
            <w:noProof/>
            <w:webHidden/>
          </w:rPr>
        </w:r>
        <w:r w:rsidR="0012026B">
          <w:rPr>
            <w:noProof/>
            <w:webHidden/>
          </w:rPr>
          <w:fldChar w:fldCharType="separate"/>
        </w:r>
        <w:r w:rsidR="0012026B">
          <w:rPr>
            <w:noProof/>
            <w:webHidden/>
          </w:rPr>
          <w:t>263</w:t>
        </w:r>
        <w:r w:rsidR="0012026B">
          <w:rPr>
            <w:noProof/>
            <w:webHidden/>
          </w:rPr>
          <w:fldChar w:fldCharType="end"/>
        </w:r>
      </w:hyperlink>
    </w:p>
    <w:p w14:paraId="56CDCE31" w14:textId="35CCE896"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0" w:history="1">
        <w:r w:rsidR="0012026B" w:rsidRPr="0056582D">
          <w:rPr>
            <w:rStyle w:val="Hyperlink"/>
            <w:noProof/>
          </w:rPr>
          <w:t>Figure 148: Flinton: York gold shilling</w:t>
        </w:r>
        <w:r w:rsidR="0012026B">
          <w:rPr>
            <w:noProof/>
            <w:webHidden/>
          </w:rPr>
          <w:tab/>
        </w:r>
        <w:r w:rsidR="0012026B">
          <w:rPr>
            <w:noProof/>
            <w:webHidden/>
          </w:rPr>
          <w:fldChar w:fldCharType="begin"/>
        </w:r>
        <w:r w:rsidR="0012026B">
          <w:rPr>
            <w:noProof/>
            <w:webHidden/>
          </w:rPr>
          <w:instrText xml:space="preserve"> PAGEREF _Toc468267120 \h </w:instrText>
        </w:r>
        <w:r w:rsidR="0012026B">
          <w:rPr>
            <w:noProof/>
            <w:webHidden/>
          </w:rPr>
        </w:r>
        <w:r w:rsidR="0012026B">
          <w:rPr>
            <w:noProof/>
            <w:webHidden/>
          </w:rPr>
          <w:fldChar w:fldCharType="separate"/>
        </w:r>
        <w:r w:rsidR="0012026B">
          <w:rPr>
            <w:noProof/>
            <w:webHidden/>
          </w:rPr>
          <w:t>264</w:t>
        </w:r>
        <w:r w:rsidR="0012026B">
          <w:rPr>
            <w:noProof/>
            <w:webHidden/>
          </w:rPr>
          <w:fldChar w:fldCharType="end"/>
        </w:r>
      </w:hyperlink>
    </w:p>
    <w:p w14:paraId="306C1F0E" w14:textId="67E2632A"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1" w:history="1">
        <w:r w:rsidR="0012026B" w:rsidRPr="0056582D">
          <w:rPr>
            <w:rStyle w:val="Hyperlink"/>
            <w:noProof/>
          </w:rPr>
          <w:t>Figure 149: Leconfield: sceat of Æthelred I by Ceolbald</w:t>
        </w:r>
        <w:r w:rsidR="0012026B">
          <w:rPr>
            <w:noProof/>
            <w:webHidden/>
          </w:rPr>
          <w:tab/>
        </w:r>
        <w:r w:rsidR="0012026B">
          <w:rPr>
            <w:noProof/>
            <w:webHidden/>
          </w:rPr>
          <w:fldChar w:fldCharType="begin"/>
        </w:r>
        <w:r w:rsidR="0012026B">
          <w:rPr>
            <w:noProof/>
            <w:webHidden/>
          </w:rPr>
          <w:instrText xml:space="preserve"> PAGEREF _Toc468267121 \h </w:instrText>
        </w:r>
        <w:r w:rsidR="0012026B">
          <w:rPr>
            <w:noProof/>
            <w:webHidden/>
          </w:rPr>
        </w:r>
        <w:r w:rsidR="0012026B">
          <w:rPr>
            <w:noProof/>
            <w:webHidden/>
          </w:rPr>
          <w:fldChar w:fldCharType="separate"/>
        </w:r>
        <w:r w:rsidR="0012026B">
          <w:rPr>
            <w:noProof/>
            <w:webHidden/>
          </w:rPr>
          <w:t>264</w:t>
        </w:r>
        <w:r w:rsidR="0012026B">
          <w:rPr>
            <w:noProof/>
            <w:webHidden/>
          </w:rPr>
          <w:fldChar w:fldCharType="end"/>
        </w:r>
      </w:hyperlink>
    </w:p>
    <w:p w14:paraId="3EF037CC" w14:textId="442FA3C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2" w:history="1">
        <w:r w:rsidR="0012026B" w:rsidRPr="0056582D">
          <w:rPr>
            <w:rStyle w:val="Hyperlink"/>
            <w:noProof/>
          </w:rPr>
          <w:t>Figure 150: Malton finds of Merovingian tremisses</w:t>
        </w:r>
        <w:r w:rsidR="0012026B">
          <w:rPr>
            <w:noProof/>
            <w:webHidden/>
          </w:rPr>
          <w:tab/>
        </w:r>
        <w:r w:rsidR="0012026B">
          <w:rPr>
            <w:noProof/>
            <w:webHidden/>
          </w:rPr>
          <w:fldChar w:fldCharType="begin"/>
        </w:r>
        <w:r w:rsidR="0012026B">
          <w:rPr>
            <w:noProof/>
            <w:webHidden/>
          </w:rPr>
          <w:instrText xml:space="preserve"> PAGEREF _Toc468267122 \h </w:instrText>
        </w:r>
        <w:r w:rsidR="0012026B">
          <w:rPr>
            <w:noProof/>
            <w:webHidden/>
          </w:rPr>
        </w:r>
        <w:r w:rsidR="0012026B">
          <w:rPr>
            <w:noProof/>
            <w:webHidden/>
          </w:rPr>
          <w:fldChar w:fldCharType="separate"/>
        </w:r>
        <w:r w:rsidR="0012026B">
          <w:rPr>
            <w:noProof/>
            <w:webHidden/>
          </w:rPr>
          <w:t>268</w:t>
        </w:r>
        <w:r w:rsidR="0012026B">
          <w:rPr>
            <w:noProof/>
            <w:webHidden/>
          </w:rPr>
          <w:fldChar w:fldCharType="end"/>
        </w:r>
      </w:hyperlink>
    </w:p>
    <w:p w14:paraId="2099738A" w14:textId="69476C0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3" w:history="1">
        <w:r w:rsidR="0012026B" w:rsidRPr="0056582D">
          <w:rPr>
            <w:rStyle w:val="Hyperlink"/>
            <w:noProof/>
          </w:rPr>
          <w:t>Figure 151: Malton find: Abbasid, Caliph al-Mutawakkil or al Mustai'in, 854-64</w:t>
        </w:r>
        <w:r w:rsidR="0012026B">
          <w:rPr>
            <w:noProof/>
            <w:webHidden/>
          </w:rPr>
          <w:tab/>
        </w:r>
        <w:r w:rsidR="0012026B">
          <w:rPr>
            <w:noProof/>
            <w:webHidden/>
          </w:rPr>
          <w:fldChar w:fldCharType="begin"/>
        </w:r>
        <w:r w:rsidR="0012026B">
          <w:rPr>
            <w:noProof/>
            <w:webHidden/>
          </w:rPr>
          <w:instrText xml:space="preserve"> PAGEREF _Toc468267123 \h </w:instrText>
        </w:r>
        <w:r w:rsidR="0012026B">
          <w:rPr>
            <w:noProof/>
            <w:webHidden/>
          </w:rPr>
        </w:r>
        <w:r w:rsidR="0012026B">
          <w:rPr>
            <w:noProof/>
            <w:webHidden/>
          </w:rPr>
          <w:fldChar w:fldCharType="separate"/>
        </w:r>
        <w:r w:rsidR="0012026B">
          <w:rPr>
            <w:noProof/>
            <w:webHidden/>
          </w:rPr>
          <w:t>269</w:t>
        </w:r>
        <w:r w:rsidR="0012026B">
          <w:rPr>
            <w:noProof/>
            <w:webHidden/>
          </w:rPr>
          <w:fldChar w:fldCharType="end"/>
        </w:r>
      </w:hyperlink>
    </w:p>
    <w:p w14:paraId="39F23439" w14:textId="74A9A85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4" w:history="1">
        <w:r w:rsidR="0012026B" w:rsidRPr="0056582D">
          <w:rPr>
            <w:rStyle w:val="Hyperlink"/>
            <w:noProof/>
          </w:rPr>
          <w:t>Figure 152: Rillington: rare ‘</w:t>
        </w:r>
        <w:r w:rsidR="0012026B" w:rsidRPr="0056582D">
          <w:rPr>
            <w:rStyle w:val="Hyperlink"/>
            <w:rFonts w:ascii="COINS010" w:hAnsi="COINS010"/>
            <w:noProof/>
          </w:rPr>
          <w:t xml:space="preserve"> </w:t>
        </w:r>
        <w:r w:rsidR="0012026B" w:rsidRPr="0056582D">
          <w:rPr>
            <w:rStyle w:val="Hyperlink"/>
            <w:noProof/>
          </w:rPr>
          <w:t>’ variety of Eadberht sceat</w:t>
        </w:r>
        <w:r w:rsidR="0012026B">
          <w:rPr>
            <w:noProof/>
            <w:webHidden/>
          </w:rPr>
          <w:tab/>
        </w:r>
        <w:r w:rsidR="0012026B">
          <w:rPr>
            <w:noProof/>
            <w:webHidden/>
          </w:rPr>
          <w:fldChar w:fldCharType="begin"/>
        </w:r>
        <w:r w:rsidR="0012026B">
          <w:rPr>
            <w:noProof/>
            <w:webHidden/>
          </w:rPr>
          <w:instrText xml:space="preserve"> PAGEREF _Toc468267124 \h </w:instrText>
        </w:r>
        <w:r w:rsidR="0012026B">
          <w:rPr>
            <w:noProof/>
            <w:webHidden/>
          </w:rPr>
        </w:r>
        <w:r w:rsidR="0012026B">
          <w:rPr>
            <w:noProof/>
            <w:webHidden/>
          </w:rPr>
          <w:fldChar w:fldCharType="separate"/>
        </w:r>
        <w:r w:rsidR="0012026B">
          <w:rPr>
            <w:noProof/>
            <w:webHidden/>
          </w:rPr>
          <w:t>269</w:t>
        </w:r>
        <w:r w:rsidR="0012026B">
          <w:rPr>
            <w:noProof/>
            <w:webHidden/>
          </w:rPr>
          <w:fldChar w:fldCharType="end"/>
        </w:r>
      </w:hyperlink>
    </w:p>
    <w:p w14:paraId="1BCA464D" w14:textId="4B4731E0"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5" w:history="1">
        <w:r w:rsidR="0012026B" w:rsidRPr="0056582D">
          <w:rPr>
            <w:rStyle w:val="Hyperlink"/>
            <w:noProof/>
          </w:rPr>
          <w:t>Figure 153: Pale-gold shilling of Pada, runic reverse, found Sherburn</w:t>
        </w:r>
        <w:r w:rsidR="0012026B">
          <w:rPr>
            <w:noProof/>
            <w:webHidden/>
          </w:rPr>
          <w:tab/>
        </w:r>
        <w:r w:rsidR="0012026B">
          <w:rPr>
            <w:noProof/>
            <w:webHidden/>
          </w:rPr>
          <w:fldChar w:fldCharType="begin"/>
        </w:r>
        <w:r w:rsidR="0012026B">
          <w:rPr>
            <w:noProof/>
            <w:webHidden/>
          </w:rPr>
          <w:instrText xml:space="preserve"> PAGEREF _Toc468267125 \h </w:instrText>
        </w:r>
        <w:r w:rsidR="0012026B">
          <w:rPr>
            <w:noProof/>
            <w:webHidden/>
          </w:rPr>
        </w:r>
        <w:r w:rsidR="0012026B">
          <w:rPr>
            <w:noProof/>
            <w:webHidden/>
          </w:rPr>
          <w:fldChar w:fldCharType="separate"/>
        </w:r>
        <w:r w:rsidR="0012026B">
          <w:rPr>
            <w:noProof/>
            <w:webHidden/>
          </w:rPr>
          <w:t>272</w:t>
        </w:r>
        <w:r w:rsidR="0012026B">
          <w:rPr>
            <w:noProof/>
            <w:webHidden/>
          </w:rPr>
          <w:fldChar w:fldCharType="end"/>
        </w:r>
      </w:hyperlink>
    </w:p>
    <w:p w14:paraId="39F7B869" w14:textId="4BFC505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6" w:history="1">
        <w:r w:rsidR="0012026B" w:rsidRPr="0056582D">
          <w:rPr>
            <w:rStyle w:val="Hyperlink"/>
            <w:noProof/>
          </w:rPr>
          <w:t>Figure 154: Kirkbymoorside: iconic ‘shrine issue’ sceat of Æthelred I</w:t>
        </w:r>
        <w:r w:rsidR="0012026B">
          <w:rPr>
            <w:noProof/>
            <w:webHidden/>
          </w:rPr>
          <w:tab/>
        </w:r>
        <w:r w:rsidR="0012026B">
          <w:rPr>
            <w:noProof/>
            <w:webHidden/>
          </w:rPr>
          <w:fldChar w:fldCharType="begin"/>
        </w:r>
        <w:r w:rsidR="0012026B">
          <w:rPr>
            <w:noProof/>
            <w:webHidden/>
          </w:rPr>
          <w:instrText xml:space="preserve"> PAGEREF _Toc468267126 \h </w:instrText>
        </w:r>
        <w:r w:rsidR="0012026B">
          <w:rPr>
            <w:noProof/>
            <w:webHidden/>
          </w:rPr>
        </w:r>
        <w:r w:rsidR="0012026B">
          <w:rPr>
            <w:noProof/>
            <w:webHidden/>
          </w:rPr>
          <w:fldChar w:fldCharType="separate"/>
        </w:r>
        <w:r w:rsidR="0012026B">
          <w:rPr>
            <w:noProof/>
            <w:webHidden/>
          </w:rPr>
          <w:t>274</w:t>
        </w:r>
        <w:r w:rsidR="0012026B">
          <w:rPr>
            <w:noProof/>
            <w:webHidden/>
          </w:rPr>
          <w:fldChar w:fldCharType="end"/>
        </w:r>
      </w:hyperlink>
    </w:p>
    <w:p w14:paraId="6F6A7613" w14:textId="28FD4A9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7" w:history="1">
        <w:r w:rsidR="0012026B" w:rsidRPr="0056582D">
          <w:rPr>
            <w:rStyle w:val="Hyperlink"/>
            <w:noProof/>
          </w:rPr>
          <w:t>Figure 155: Seamer: rare ‘two-crozier’ joint issue sceat</w:t>
        </w:r>
        <w:r w:rsidR="0012026B">
          <w:rPr>
            <w:noProof/>
            <w:webHidden/>
          </w:rPr>
          <w:tab/>
        </w:r>
        <w:r w:rsidR="0012026B">
          <w:rPr>
            <w:noProof/>
            <w:webHidden/>
          </w:rPr>
          <w:fldChar w:fldCharType="begin"/>
        </w:r>
        <w:r w:rsidR="0012026B">
          <w:rPr>
            <w:noProof/>
            <w:webHidden/>
          </w:rPr>
          <w:instrText xml:space="preserve"> PAGEREF _Toc468267127 \h </w:instrText>
        </w:r>
        <w:r w:rsidR="0012026B">
          <w:rPr>
            <w:noProof/>
            <w:webHidden/>
          </w:rPr>
        </w:r>
        <w:r w:rsidR="0012026B">
          <w:rPr>
            <w:noProof/>
            <w:webHidden/>
          </w:rPr>
          <w:fldChar w:fldCharType="separate"/>
        </w:r>
        <w:r w:rsidR="0012026B">
          <w:rPr>
            <w:noProof/>
            <w:webHidden/>
          </w:rPr>
          <w:t>274</w:t>
        </w:r>
        <w:r w:rsidR="0012026B">
          <w:rPr>
            <w:noProof/>
            <w:webHidden/>
          </w:rPr>
          <w:fldChar w:fldCharType="end"/>
        </w:r>
      </w:hyperlink>
    </w:p>
    <w:p w14:paraId="6240A040" w14:textId="768E9DE1"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8" w:history="1">
        <w:r w:rsidR="0012026B" w:rsidRPr="0056582D">
          <w:rPr>
            <w:rStyle w:val="Hyperlink"/>
            <w:noProof/>
          </w:rPr>
          <w:t>Figure 156: L: Yeavering’s only coin find: gold washed imitation on copper core.</w:t>
        </w:r>
        <w:r w:rsidR="0012026B">
          <w:rPr>
            <w:noProof/>
            <w:webHidden/>
          </w:rPr>
          <w:tab/>
        </w:r>
        <w:r w:rsidR="0012026B">
          <w:rPr>
            <w:noProof/>
            <w:webHidden/>
          </w:rPr>
          <w:fldChar w:fldCharType="begin"/>
        </w:r>
        <w:r w:rsidR="0012026B">
          <w:rPr>
            <w:noProof/>
            <w:webHidden/>
          </w:rPr>
          <w:instrText xml:space="preserve"> PAGEREF _Toc468267128 \h </w:instrText>
        </w:r>
        <w:r w:rsidR="0012026B">
          <w:rPr>
            <w:noProof/>
            <w:webHidden/>
          </w:rPr>
        </w:r>
        <w:r w:rsidR="0012026B">
          <w:rPr>
            <w:noProof/>
            <w:webHidden/>
          </w:rPr>
          <w:fldChar w:fldCharType="separate"/>
        </w:r>
        <w:r w:rsidR="0012026B">
          <w:rPr>
            <w:noProof/>
            <w:webHidden/>
          </w:rPr>
          <w:t>279</w:t>
        </w:r>
        <w:r w:rsidR="0012026B">
          <w:rPr>
            <w:noProof/>
            <w:webHidden/>
          </w:rPr>
          <w:fldChar w:fldCharType="end"/>
        </w:r>
      </w:hyperlink>
    </w:p>
    <w:p w14:paraId="6450A013" w14:textId="0097BF0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29" w:history="1">
        <w:r w:rsidR="0012026B" w:rsidRPr="0056582D">
          <w:rPr>
            <w:rStyle w:val="Hyperlink"/>
            <w:noProof/>
          </w:rPr>
          <w:t>Figure 157: For comparison only: Tremisses of Huy</w:t>
        </w:r>
        <w:r w:rsidR="0012026B">
          <w:rPr>
            <w:noProof/>
            <w:webHidden/>
          </w:rPr>
          <w:tab/>
        </w:r>
        <w:r w:rsidR="0012026B">
          <w:rPr>
            <w:noProof/>
            <w:webHidden/>
          </w:rPr>
          <w:fldChar w:fldCharType="begin"/>
        </w:r>
        <w:r w:rsidR="0012026B">
          <w:rPr>
            <w:noProof/>
            <w:webHidden/>
          </w:rPr>
          <w:instrText xml:space="preserve"> PAGEREF _Toc468267129 \h </w:instrText>
        </w:r>
        <w:r w:rsidR="0012026B">
          <w:rPr>
            <w:noProof/>
            <w:webHidden/>
          </w:rPr>
        </w:r>
        <w:r w:rsidR="0012026B">
          <w:rPr>
            <w:noProof/>
            <w:webHidden/>
          </w:rPr>
          <w:fldChar w:fldCharType="separate"/>
        </w:r>
        <w:r w:rsidR="0012026B">
          <w:rPr>
            <w:noProof/>
            <w:webHidden/>
          </w:rPr>
          <w:t>279</w:t>
        </w:r>
        <w:r w:rsidR="0012026B">
          <w:rPr>
            <w:noProof/>
            <w:webHidden/>
          </w:rPr>
          <w:fldChar w:fldCharType="end"/>
        </w:r>
      </w:hyperlink>
    </w:p>
    <w:p w14:paraId="0419D72B" w14:textId="7F4F6A4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0" w:history="1">
        <w:r w:rsidR="0012026B" w:rsidRPr="0056582D">
          <w:rPr>
            <w:rStyle w:val="Hyperlink"/>
            <w:noProof/>
          </w:rPr>
          <w:t>Figure 158: Bamburgh: silver-alloy coin of Eanred by Wulfheard</w:t>
        </w:r>
        <w:r w:rsidR="0012026B">
          <w:rPr>
            <w:noProof/>
            <w:webHidden/>
          </w:rPr>
          <w:tab/>
        </w:r>
        <w:r w:rsidR="0012026B">
          <w:rPr>
            <w:noProof/>
            <w:webHidden/>
          </w:rPr>
          <w:fldChar w:fldCharType="begin"/>
        </w:r>
        <w:r w:rsidR="0012026B">
          <w:rPr>
            <w:noProof/>
            <w:webHidden/>
          </w:rPr>
          <w:instrText xml:space="preserve"> PAGEREF _Toc468267130 \h </w:instrText>
        </w:r>
        <w:r w:rsidR="0012026B">
          <w:rPr>
            <w:noProof/>
            <w:webHidden/>
          </w:rPr>
        </w:r>
        <w:r w:rsidR="0012026B">
          <w:rPr>
            <w:noProof/>
            <w:webHidden/>
          </w:rPr>
          <w:fldChar w:fldCharType="separate"/>
        </w:r>
        <w:r w:rsidR="0012026B">
          <w:rPr>
            <w:noProof/>
            <w:webHidden/>
          </w:rPr>
          <w:t>281</w:t>
        </w:r>
        <w:r w:rsidR="0012026B">
          <w:rPr>
            <w:noProof/>
            <w:webHidden/>
          </w:rPr>
          <w:fldChar w:fldCharType="end"/>
        </w:r>
      </w:hyperlink>
    </w:p>
    <w:p w14:paraId="6E602D10" w14:textId="185AD57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1" w:history="1">
        <w:r w:rsidR="0012026B" w:rsidRPr="0056582D">
          <w:rPr>
            <w:rStyle w:val="Hyperlink"/>
            <w:noProof/>
          </w:rPr>
          <w:t>Figure 159</w:t>
        </w:r>
        <w:r w:rsidR="0012026B" w:rsidRPr="0056582D">
          <w:rPr>
            <w:rStyle w:val="Hyperlink"/>
            <w:rFonts w:cs="Times New Roman"/>
            <w:noProof/>
          </w:rPr>
          <w:t>: Street House: pendant grave finds</w:t>
        </w:r>
        <w:r w:rsidR="0012026B">
          <w:rPr>
            <w:noProof/>
            <w:webHidden/>
          </w:rPr>
          <w:tab/>
        </w:r>
        <w:r w:rsidR="0012026B">
          <w:rPr>
            <w:noProof/>
            <w:webHidden/>
          </w:rPr>
          <w:fldChar w:fldCharType="begin"/>
        </w:r>
        <w:r w:rsidR="0012026B">
          <w:rPr>
            <w:noProof/>
            <w:webHidden/>
          </w:rPr>
          <w:instrText xml:space="preserve"> PAGEREF _Toc468267131 \h </w:instrText>
        </w:r>
        <w:r w:rsidR="0012026B">
          <w:rPr>
            <w:noProof/>
            <w:webHidden/>
          </w:rPr>
        </w:r>
        <w:r w:rsidR="0012026B">
          <w:rPr>
            <w:noProof/>
            <w:webHidden/>
          </w:rPr>
          <w:fldChar w:fldCharType="separate"/>
        </w:r>
        <w:r w:rsidR="0012026B">
          <w:rPr>
            <w:noProof/>
            <w:webHidden/>
          </w:rPr>
          <w:t>282</w:t>
        </w:r>
        <w:r w:rsidR="0012026B">
          <w:rPr>
            <w:noProof/>
            <w:webHidden/>
          </w:rPr>
          <w:fldChar w:fldCharType="end"/>
        </w:r>
      </w:hyperlink>
    </w:p>
    <w:p w14:paraId="7AADB199" w14:textId="7B56F986"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2" w:history="1">
        <w:r w:rsidR="0012026B" w:rsidRPr="0056582D">
          <w:rPr>
            <w:rStyle w:val="Hyperlink"/>
            <w:noProof/>
          </w:rPr>
          <w:t>Figure 160: Burton-in-Kendal: Dronrijp tremissis</w:t>
        </w:r>
        <w:r w:rsidR="0012026B">
          <w:rPr>
            <w:noProof/>
            <w:webHidden/>
          </w:rPr>
          <w:tab/>
        </w:r>
        <w:r w:rsidR="0012026B">
          <w:rPr>
            <w:noProof/>
            <w:webHidden/>
          </w:rPr>
          <w:fldChar w:fldCharType="begin"/>
        </w:r>
        <w:r w:rsidR="0012026B">
          <w:rPr>
            <w:noProof/>
            <w:webHidden/>
          </w:rPr>
          <w:instrText xml:space="preserve"> PAGEREF _Toc468267132 \h </w:instrText>
        </w:r>
        <w:r w:rsidR="0012026B">
          <w:rPr>
            <w:noProof/>
            <w:webHidden/>
          </w:rPr>
        </w:r>
        <w:r w:rsidR="0012026B">
          <w:rPr>
            <w:noProof/>
            <w:webHidden/>
          </w:rPr>
          <w:fldChar w:fldCharType="separate"/>
        </w:r>
        <w:r w:rsidR="0012026B">
          <w:rPr>
            <w:noProof/>
            <w:webHidden/>
          </w:rPr>
          <w:t>283</w:t>
        </w:r>
        <w:r w:rsidR="0012026B">
          <w:rPr>
            <w:noProof/>
            <w:webHidden/>
          </w:rPr>
          <w:fldChar w:fldCharType="end"/>
        </w:r>
      </w:hyperlink>
    </w:p>
    <w:p w14:paraId="74834545" w14:textId="65089E1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3" w:history="1">
        <w:r w:rsidR="0012026B" w:rsidRPr="0056582D">
          <w:rPr>
            <w:rStyle w:val="Hyperlink"/>
            <w:noProof/>
          </w:rPr>
          <w:t>Figure 161: L: Carvings from Eggerness Peninsula</w:t>
        </w:r>
        <w:r w:rsidR="0012026B">
          <w:rPr>
            <w:noProof/>
            <w:webHidden/>
          </w:rPr>
          <w:tab/>
        </w:r>
        <w:r w:rsidR="0012026B">
          <w:rPr>
            <w:noProof/>
            <w:webHidden/>
          </w:rPr>
          <w:fldChar w:fldCharType="begin"/>
        </w:r>
        <w:r w:rsidR="0012026B">
          <w:rPr>
            <w:noProof/>
            <w:webHidden/>
          </w:rPr>
          <w:instrText xml:space="preserve"> PAGEREF _Toc468267133 \h </w:instrText>
        </w:r>
        <w:r w:rsidR="0012026B">
          <w:rPr>
            <w:noProof/>
            <w:webHidden/>
          </w:rPr>
        </w:r>
        <w:r w:rsidR="0012026B">
          <w:rPr>
            <w:noProof/>
            <w:webHidden/>
          </w:rPr>
          <w:fldChar w:fldCharType="separate"/>
        </w:r>
        <w:r w:rsidR="0012026B">
          <w:rPr>
            <w:noProof/>
            <w:webHidden/>
          </w:rPr>
          <w:t>285</w:t>
        </w:r>
        <w:r w:rsidR="0012026B">
          <w:rPr>
            <w:noProof/>
            <w:webHidden/>
          </w:rPr>
          <w:fldChar w:fldCharType="end"/>
        </w:r>
      </w:hyperlink>
    </w:p>
    <w:p w14:paraId="6B0570A9" w14:textId="0C968258"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4" w:history="1">
        <w:r w:rsidR="0012026B" w:rsidRPr="0056582D">
          <w:rPr>
            <w:rStyle w:val="Hyperlink"/>
            <w:noProof/>
          </w:rPr>
          <w:t>Figure 162</w:t>
        </w:r>
        <w:r w:rsidR="0012026B" w:rsidRPr="0056582D">
          <w:rPr>
            <w:rStyle w:val="Hyperlink"/>
            <w:rFonts w:eastAsia="Times New Roman" w:cs="Times New Roman"/>
            <w:noProof/>
            <w:lang w:eastAsia="en-GB"/>
          </w:rPr>
          <w:t xml:space="preserve">: Whithorn, </w:t>
        </w:r>
        <w:r w:rsidR="0012026B" w:rsidRPr="0056582D">
          <w:rPr>
            <w:rStyle w:val="Hyperlink"/>
            <w:noProof/>
          </w:rPr>
          <w:t>sceats. L: Series J, 85. R: Eadberht with Ecgberht, 737-58.</w:t>
        </w:r>
        <w:r w:rsidR="0012026B">
          <w:rPr>
            <w:noProof/>
            <w:webHidden/>
          </w:rPr>
          <w:tab/>
        </w:r>
        <w:r w:rsidR="0012026B">
          <w:rPr>
            <w:noProof/>
            <w:webHidden/>
          </w:rPr>
          <w:fldChar w:fldCharType="begin"/>
        </w:r>
        <w:r w:rsidR="0012026B">
          <w:rPr>
            <w:noProof/>
            <w:webHidden/>
          </w:rPr>
          <w:instrText xml:space="preserve"> PAGEREF _Toc468267134 \h </w:instrText>
        </w:r>
        <w:r w:rsidR="0012026B">
          <w:rPr>
            <w:noProof/>
            <w:webHidden/>
          </w:rPr>
        </w:r>
        <w:r w:rsidR="0012026B">
          <w:rPr>
            <w:noProof/>
            <w:webHidden/>
          </w:rPr>
          <w:fldChar w:fldCharType="separate"/>
        </w:r>
        <w:r w:rsidR="0012026B">
          <w:rPr>
            <w:noProof/>
            <w:webHidden/>
          </w:rPr>
          <w:t>286</w:t>
        </w:r>
        <w:r w:rsidR="0012026B">
          <w:rPr>
            <w:noProof/>
            <w:webHidden/>
          </w:rPr>
          <w:fldChar w:fldCharType="end"/>
        </w:r>
      </w:hyperlink>
    </w:p>
    <w:p w14:paraId="4ABFE254" w14:textId="286D2B0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5" w:history="1">
        <w:r w:rsidR="0012026B" w:rsidRPr="0056582D">
          <w:rPr>
            <w:rStyle w:val="Hyperlink"/>
            <w:noProof/>
          </w:rPr>
          <w:t>Figure 163: Unique varieties from Carlisle</w:t>
        </w:r>
        <w:r w:rsidR="0012026B">
          <w:rPr>
            <w:noProof/>
            <w:webHidden/>
          </w:rPr>
          <w:tab/>
        </w:r>
        <w:r w:rsidR="0012026B">
          <w:rPr>
            <w:noProof/>
            <w:webHidden/>
          </w:rPr>
          <w:fldChar w:fldCharType="begin"/>
        </w:r>
        <w:r w:rsidR="0012026B">
          <w:rPr>
            <w:noProof/>
            <w:webHidden/>
          </w:rPr>
          <w:instrText xml:space="preserve"> PAGEREF _Toc468267135 \h </w:instrText>
        </w:r>
        <w:r w:rsidR="0012026B">
          <w:rPr>
            <w:noProof/>
            <w:webHidden/>
          </w:rPr>
        </w:r>
        <w:r w:rsidR="0012026B">
          <w:rPr>
            <w:noProof/>
            <w:webHidden/>
          </w:rPr>
          <w:fldChar w:fldCharType="separate"/>
        </w:r>
        <w:r w:rsidR="0012026B">
          <w:rPr>
            <w:noProof/>
            <w:webHidden/>
          </w:rPr>
          <w:t>287</w:t>
        </w:r>
        <w:r w:rsidR="0012026B">
          <w:rPr>
            <w:noProof/>
            <w:webHidden/>
          </w:rPr>
          <w:fldChar w:fldCharType="end"/>
        </w:r>
      </w:hyperlink>
    </w:p>
    <w:p w14:paraId="3E5A8FC0" w14:textId="7AA3A84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6" w:history="1">
        <w:r w:rsidR="0012026B" w:rsidRPr="0056582D">
          <w:rPr>
            <w:rStyle w:val="Hyperlink"/>
            <w:noProof/>
          </w:rPr>
          <w:t>Figure 164: Carlisle: Sceat of East Anglian Series Q1G</w:t>
        </w:r>
        <w:r w:rsidR="0012026B">
          <w:rPr>
            <w:noProof/>
            <w:webHidden/>
          </w:rPr>
          <w:tab/>
        </w:r>
        <w:r w:rsidR="0012026B">
          <w:rPr>
            <w:noProof/>
            <w:webHidden/>
          </w:rPr>
          <w:fldChar w:fldCharType="begin"/>
        </w:r>
        <w:r w:rsidR="0012026B">
          <w:rPr>
            <w:noProof/>
            <w:webHidden/>
          </w:rPr>
          <w:instrText xml:space="preserve"> PAGEREF _Toc468267136 \h </w:instrText>
        </w:r>
        <w:r w:rsidR="0012026B">
          <w:rPr>
            <w:noProof/>
            <w:webHidden/>
          </w:rPr>
        </w:r>
        <w:r w:rsidR="0012026B">
          <w:rPr>
            <w:noProof/>
            <w:webHidden/>
          </w:rPr>
          <w:fldChar w:fldCharType="separate"/>
        </w:r>
        <w:r w:rsidR="0012026B">
          <w:rPr>
            <w:noProof/>
            <w:webHidden/>
          </w:rPr>
          <w:t>288</w:t>
        </w:r>
        <w:r w:rsidR="0012026B">
          <w:rPr>
            <w:noProof/>
            <w:webHidden/>
          </w:rPr>
          <w:fldChar w:fldCharType="end"/>
        </w:r>
      </w:hyperlink>
    </w:p>
    <w:p w14:paraId="33498D6C" w14:textId="077BFF1D"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7" w:history="1">
        <w:r w:rsidR="0012026B" w:rsidRPr="0056582D">
          <w:rPr>
            <w:rStyle w:val="Hyperlink"/>
            <w:noProof/>
          </w:rPr>
          <w:t>Figure 165: Merovingian denier, Hoddom,</w:t>
        </w:r>
        <w:r w:rsidR="0012026B">
          <w:rPr>
            <w:noProof/>
            <w:webHidden/>
          </w:rPr>
          <w:tab/>
        </w:r>
        <w:r w:rsidR="0012026B">
          <w:rPr>
            <w:noProof/>
            <w:webHidden/>
          </w:rPr>
          <w:fldChar w:fldCharType="begin"/>
        </w:r>
        <w:r w:rsidR="0012026B">
          <w:rPr>
            <w:noProof/>
            <w:webHidden/>
          </w:rPr>
          <w:instrText xml:space="preserve"> PAGEREF _Toc468267137 \h </w:instrText>
        </w:r>
        <w:r w:rsidR="0012026B">
          <w:rPr>
            <w:noProof/>
            <w:webHidden/>
          </w:rPr>
        </w:r>
        <w:r w:rsidR="0012026B">
          <w:rPr>
            <w:noProof/>
            <w:webHidden/>
          </w:rPr>
          <w:fldChar w:fldCharType="separate"/>
        </w:r>
        <w:r w:rsidR="0012026B">
          <w:rPr>
            <w:noProof/>
            <w:webHidden/>
          </w:rPr>
          <w:t>289</w:t>
        </w:r>
        <w:r w:rsidR="0012026B">
          <w:rPr>
            <w:noProof/>
            <w:webHidden/>
          </w:rPr>
          <w:fldChar w:fldCharType="end"/>
        </w:r>
      </w:hyperlink>
    </w:p>
    <w:p w14:paraId="27C32574" w14:textId="2DB68EC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8" w:history="1">
        <w:r w:rsidR="0012026B" w:rsidRPr="0056582D">
          <w:rPr>
            <w:rStyle w:val="Hyperlink"/>
            <w:noProof/>
          </w:rPr>
          <w:t>Figure 166: A possibly unique Celtic cross sceat bearing an apt imprimatur for St. Hild.</w:t>
        </w:r>
        <w:r w:rsidR="0012026B">
          <w:rPr>
            <w:noProof/>
            <w:webHidden/>
          </w:rPr>
          <w:tab/>
        </w:r>
        <w:r w:rsidR="0012026B">
          <w:rPr>
            <w:noProof/>
            <w:webHidden/>
          </w:rPr>
          <w:fldChar w:fldCharType="begin"/>
        </w:r>
        <w:r w:rsidR="0012026B">
          <w:rPr>
            <w:noProof/>
            <w:webHidden/>
          </w:rPr>
          <w:instrText xml:space="preserve"> PAGEREF _Toc468267138 \h </w:instrText>
        </w:r>
        <w:r w:rsidR="0012026B">
          <w:rPr>
            <w:noProof/>
            <w:webHidden/>
          </w:rPr>
        </w:r>
        <w:r w:rsidR="0012026B">
          <w:rPr>
            <w:noProof/>
            <w:webHidden/>
          </w:rPr>
          <w:fldChar w:fldCharType="separate"/>
        </w:r>
        <w:r w:rsidR="0012026B">
          <w:rPr>
            <w:noProof/>
            <w:webHidden/>
          </w:rPr>
          <w:t>293</w:t>
        </w:r>
        <w:r w:rsidR="0012026B">
          <w:rPr>
            <w:noProof/>
            <w:webHidden/>
          </w:rPr>
          <w:fldChar w:fldCharType="end"/>
        </w:r>
      </w:hyperlink>
    </w:p>
    <w:p w14:paraId="048095FB" w14:textId="7E4052BF"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39" w:history="1">
        <w:r w:rsidR="0012026B" w:rsidRPr="0056582D">
          <w:rPr>
            <w:rStyle w:val="Hyperlink"/>
            <w:noProof/>
          </w:rPr>
          <w:t>Figure 167: Reverses of EMC 1977.0097, 1977.0099 and 1977.0100</w:t>
        </w:r>
        <w:r w:rsidR="0012026B">
          <w:rPr>
            <w:noProof/>
            <w:webHidden/>
          </w:rPr>
          <w:tab/>
        </w:r>
        <w:r w:rsidR="0012026B">
          <w:rPr>
            <w:noProof/>
            <w:webHidden/>
          </w:rPr>
          <w:fldChar w:fldCharType="begin"/>
        </w:r>
        <w:r w:rsidR="0012026B">
          <w:rPr>
            <w:noProof/>
            <w:webHidden/>
          </w:rPr>
          <w:instrText xml:space="preserve"> PAGEREF _Toc468267139 \h </w:instrText>
        </w:r>
        <w:r w:rsidR="0012026B">
          <w:rPr>
            <w:noProof/>
            <w:webHidden/>
          </w:rPr>
        </w:r>
        <w:r w:rsidR="0012026B">
          <w:rPr>
            <w:noProof/>
            <w:webHidden/>
          </w:rPr>
          <w:fldChar w:fldCharType="separate"/>
        </w:r>
        <w:r w:rsidR="0012026B">
          <w:rPr>
            <w:noProof/>
            <w:webHidden/>
          </w:rPr>
          <w:t>293</w:t>
        </w:r>
        <w:r w:rsidR="0012026B">
          <w:rPr>
            <w:noProof/>
            <w:webHidden/>
          </w:rPr>
          <w:fldChar w:fldCharType="end"/>
        </w:r>
      </w:hyperlink>
    </w:p>
    <w:p w14:paraId="5406728F" w14:textId="73A05827"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40" w:history="1">
        <w:r w:rsidR="0012026B" w:rsidRPr="0056582D">
          <w:rPr>
            <w:rStyle w:val="Hyperlink"/>
            <w:noProof/>
          </w:rPr>
          <w:t>Figure 168: Comb with runic inscription</w:t>
        </w:r>
        <w:r w:rsidR="0012026B">
          <w:rPr>
            <w:noProof/>
            <w:webHidden/>
          </w:rPr>
          <w:tab/>
        </w:r>
        <w:r w:rsidR="0012026B">
          <w:rPr>
            <w:noProof/>
            <w:webHidden/>
          </w:rPr>
          <w:fldChar w:fldCharType="begin"/>
        </w:r>
        <w:r w:rsidR="0012026B">
          <w:rPr>
            <w:noProof/>
            <w:webHidden/>
          </w:rPr>
          <w:instrText xml:space="preserve"> PAGEREF _Toc468267140 \h </w:instrText>
        </w:r>
        <w:r w:rsidR="0012026B">
          <w:rPr>
            <w:noProof/>
            <w:webHidden/>
          </w:rPr>
        </w:r>
        <w:r w:rsidR="0012026B">
          <w:rPr>
            <w:noProof/>
            <w:webHidden/>
          </w:rPr>
          <w:fldChar w:fldCharType="separate"/>
        </w:r>
        <w:r w:rsidR="0012026B">
          <w:rPr>
            <w:noProof/>
            <w:webHidden/>
          </w:rPr>
          <w:t>294</w:t>
        </w:r>
        <w:r w:rsidR="0012026B">
          <w:rPr>
            <w:noProof/>
            <w:webHidden/>
          </w:rPr>
          <w:fldChar w:fldCharType="end"/>
        </w:r>
      </w:hyperlink>
    </w:p>
    <w:p w14:paraId="1665B084" w14:textId="15C166A3"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41" w:history="1">
        <w:r w:rsidR="0012026B" w:rsidRPr="0056582D">
          <w:rPr>
            <w:rStyle w:val="Hyperlink"/>
            <w:noProof/>
          </w:rPr>
          <w:t>Figure 169: The Lindisfarne Stone</w:t>
        </w:r>
        <w:r w:rsidR="0012026B">
          <w:rPr>
            <w:noProof/>
            <w:webHidden/>
          </w:rPr>
          <w:tab/>
        </w:r>
        <w:r w:rsidR="0012026B">
          <w:rPr>
            <w:noProof/>
            <w:webHidden/>
          </w:rPr>
          <w:fldChar w:fldCharType="begin"/>
        </w:r>
        <w:r w:rsidR="0012026B">
          <w:rPr>
            <w:noProof/>
            <w:webHidden/>
          </w:rPr>
          <w:instrText xml:space="preserve"> PAGEREF _Toc468267141 \h </w:instrText>
        </w:r>
        <w:r w:rsidR="0012026B">
          <w:rPr>
            <w:noProof/>
            <w:webHidden/>
          </w:rPr>
        </w:r>
        <w:r w:rsidR="0012026B">
          <w:rPr>
            <w:noProof/>
            <w:webHidden/>
          </w:rPr>
          <w:fldChar w:fldCharType="separate"/>
        </w:r>
        <w:r w:rsidR="0012026B">
          <w:rPr>
            <w:noProof/>
            <w:webHidden/>
          </w:rPr>
          <w:t>294</w:t>
        </w:r>
        <w:r w:rsidR="0012026B">
          <w:rPr>
            <w:noProof/>
            <w:webHidden/>
          </w:rPr>
          <w:fldChar w:fldCharType="end"/>
        </w:r>
      </w:hyperlink>
    </w:p>
    <w:p w14:paraId="56318641" w14:textId="37923F85"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42" w:history="1">
        <w:r w:rsidR="0012026B" w:rsidRPr="0056582D">
          <w:rPr>
            <w:rStyle w:val="Hyperlink"/>
            <w:noProof/>
          </w:rPr>
          <w:t>Figure 170: C7</w:t>
        </w:r>
        <w:r w:rsidR="0012026B" w:rsidRPr="0056582D">
          <w:rPr>
            <w:rStyle w:val="Hyperlink"/>
            <w:noProof/>
            <w:vertAlign w:val="superscript"/>
          </w:rPr>
          <w:t xml:space="preserve">th </w:t>
        </w:r>
        <w:r w:rsidR="0012026B" w:rsidRPr="0056582D">
          <w:rPr>
            <w:rStyle w:val="Hyperlink"/>
            <w:noProof/>
          </w:rPr>
          <w:t>Gold pendant, found Street House Anglo-Saxon cemetery, Redcar</w:t>
        </w:r>
        <w:r w:rsidR="0012026B">
          <w:rPr>
            <w:noProof/>
            <w:webHidden/>
          </w:rPr>
          <w:tab/>
        </w:r>
        <w:r w:rsidR="0012026B">
          <w:rPr>
            <w:noProof/>
            <w:webHidden/>
          </w:rPr>
          <w:fldChar w:fldCharType="begin"/>
        </w:r>
        <w:r w:rsidR="0012026B">
          <w:rPr>
            <w:noProof/>
            <w:webHidden/>
          </w:rPr>
          <w:instrText xml:space="preserve"> PAGEREF _Toc468267142 \h </w:instrText>
        </w:r>
        <w:r w:rsidR="0012026B">
          <w:rPr>
            <w:noProof/>
            <w:webHidden/>
          </w:rPr>
        </w:r>
        <w:r w:rsidR="0012026B">
          <w:rPr>
            <w:noProof/>
            <w:webHidden/>
          </w:rPr>
          <w:fldChar w:fldCharType="separate"/>
        </w:r>
        <w:r w:rsidR="0012026B">
          <w:rPr>
            <w:noProof/>
            <w:webHidden/>
          </w:rPr>
          <w:t>296</w:t>
        </w:r>
        <w:r w:rsidR="0012026B">
          <w:rPr>
            <w:noProof/>
            <w:webHidden/>
          </w:rPr>
          <w:fldChar w:fldCharType="end"/>
        </w:r>
      </w:hyperlink>
    </w:p>
    <w:p w14:paraId="44F83E56" w14:textId="22078CEB"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43" w:history="1">
        <w:r w:rsidR="0012026B" w:rsidRPr="0056582D">
          <w:rPr>
            <w:rStyle w:val="Hyperlink"/>
            <w:noProof/>
          </w:rPr>
          <w:t>Figure 171: Imitative solidus of Louis the Pious</w:t>
        </w:r>
        <w:r w:rsidR="0012026B">
          <w:rPr>
            <w:noProof/>
            <w:webHidden/>
          </w:rPr>
          <w:tab/>
        </w:r>
        <w:r w:rsidR="0012026B">
          <w:rPr>
            <w:noProof/>
            <w:webHidden/>
          </w:rPr>
          <w:fldChar w:fldCharType="begin"/>
        </w:r>
        <w:r w:rsidR="0012026B">
          <w:rPr>
            <w:noProof/>
            <w:webHidden/>
          </w:rPr>
          <w:instrText xml:space="preserve"> PAGEREF _Toc468267143 \h </w:instrText>
        </w:r>
        <w:r w:rsidR="0012026B">
          <w:rPr>
            <w:noProof/>
            <w:webHidden/>
          </w:rPr>
        </w:r>
        <w:r w:rsidR="0012026B">
          <w:rPr>
            <w:noProof/>
            <w:webHidden/>
          </w:rPr>
          <w:fldChar w:fldCharType="separate"/>
        </w:r>
        <w:r w:rsidR="0012026B">
          <w:rPr>
            <w:noProof/>
            <w:webHidden/>
          </w:rPr>
          <w:t>304</w:t>
        </w:r>
        <w:r w:rsidR="0012026B">
          <w:rPr>
            <w:noProof/>
            <w:webHidden/>
          </w:rPr>
          <w:fldChar w:fldCharType="end"/>
        </w:r>
      </w:hyperlink>
    </w:p>
    <w:p w14:paraId="027C311A" w14:textId="65FE7BB4"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44" w:history="1">
        <w:r w:rsidR="0012026B" w:rsidRPr="0056582D">
          <w:rPr>
            <w:rStyle w:val="Hyperlink"/>
            <w:noProof/>
          </w:rPr>
          <w:t>Figure 172: English/Frisian copy of a gold solidus of Louis the Pious (814-840).</w:t>
        </w:r>
        <w:r w:rsidR="0012026B">
          <w:rPr>
            <w:noProof/>
            <w:webHidden/>
          </w:rPr>
          <w:tab/>
        </w:r>
        <w:r w:rsidR="0012026B">
          <w:rPr>
            <w:noProof/>
            <w:webHidden/>
          </w:rPr>
          <w:fldChar w:fldCharType="begin"/>
        </w:r>
        <w:r w:rsidR="0012026B">
          <w:rPr>
            <w:noProof/>
            <w:webHidden/>
          </w:rPr>
          <w:instrText xml:space="preserve"> PAGEREF _Toc468267144 \h </w:instrText>
        </w:r>
        <w:r w:rsidR="0012026B">
          <w:rPr>
            <w:noProof/>
            <w:webHidden/>
          </w:rPr>
        </w:r>
        <w:r w:rsidR="0012026B">
          <w:rPr>
            <w:noProof/>
            <w:webHidden/>
          </w:rPr>
          <w:fldChar w:fldCharType="separate"/>
        </w:r>
        <w:r w:rsidR="0012026B">
          <w:rPr>
            <w:noProof/>
            <w:webHidden/>
          </w:rPr>
          <w:t>304</w:t>
        </w:r>
        <w:r w:rsidR="0012026B">
          <w:rPr>
            <w:noProof/>
            <w:webHidden/>
          </w:rPr>
          <w:fldChar w:fldCharType="end"/>
        </w:r>
      </w:hyperlink>
    </w:p>
    <w:p w14:paraId="71746D56" w14:textId="052409CE" w:rsidR="0012026B" w:rsidRDefault="00B32C9A">
      <w:pPr>
        <w:pStyle w:val="TableofFigures"/>
        <w:tabs>
          <w:tab w:val="right" w:leader="dot" w:pos="9016"/>
        </w:tabs>
        <w:rPr>
          <w:rFonts w:asciiTheme="minorHAnsi" w:eastAsiaTheme="minorEastAsia" w:hAnsiTheme="minorHAnsi"/>
          <w:noProof/>
          <w:sz w:val="22"/>
          <w:lang w:eastAsia="en-GB"/>
        </w:rPr>
      </w:pPr>
      <w:hyperlink w:anchor="_Toc468267145" w:history="1">
        <w:r w:rsidR="0012026B" w:rsidRPr="0056582D">
          <w:rPr>
            <w:rStyle w:val="Hyperlink"/>
            <w:noProof/>
          </w:rPr>
          <w:t>Figure 173: Offa’s gold mancus, Chick, 2010, type 1a 55.</w:t>
        </w:r>
        <w:r w:rsidR="0012026B">
          <w:rPr>
            <w:noProof/>
            <w:webHidden/>
          </w:rPr>
          <w:tab/>
        </w:r>
        <w:r w:rsidR="0012026B">
          <w:rPr>
            <w:noProof/>
            <w:webHidden/>
          </w:rPr>
          <w:fldChar w:fldCharType="begin"/>
        </w:r>
        <w:r w:rsidR="0012026B">
          <w:rPr>
            <w:noProof/>
            <w:webHidden/>
          </w:rPr>
          <w:instrText xml:space="preserve"> PAGEREF _Toc468267145 \h </w:instrText>
        </w:r>
        <w:r w:rsidR="0012026B">
          <w:rPr>
            <w:noProof/>
            <w:webHidden/>
          </w:rPr>
        </w:r>
        <w:r w:rsidR="0012026B">
          <w:rPr>
            <w:noProof/>
            <w:webHidden/>
          </w:rPr>
          <w:fldChar w:fldCharType="separate"/>
        </w:r>
        <w:r w:rsidR="0012026B">
          <w:rPr>
            <w:noProof/>
            <w:webHidden/>
          </w:rPr>
          <w:t>304</w:t>
        </w:r>
        <w:r w:rsidR="0012026B">
          <w:rPr>
            <w:noProof/>
            <w:webHidden/>
          </w:rPr>
          <w:fldChar w:fldCharType="end"/>
        </w:r>
      </w:hyperlink>
    </w:p>
    <w:p w14:paraId="67696543" w14:textId="3C883671" w:rsidR="00E53110" w:rsidRPr="0059250D" w:rsidRDefault="00434FE5" w:rsidP="0059250D">
      <w:pPr>
        <w:pStyle w:val="NoSpacing"/>
        <w:spacing w:line="276" w:lineRule="auto"/>
      </w:pPr>
      <w:r w:rsidRPr="00EC0229">
        <w:rPr>
          <w:i/>
        </w:rPr>
        <w:fldChar w:fldCharType="end"/>
      </w:r>
      <w:r w:rsidR="00E53110" w:rsidRPr="00EC0229">
        <w:br w:type="page"/>
      </w:r>
    </w:p>
    <w:p w14:paraId="15A9539D" w14:textId="77777777" w:rsidR="00513D2F" w:rsidRPr="00EC0229" w:rsidRDefault="00513D2F" w:rsidP="00513D2F">
      <w:pPr>
        <w:pStyle w:val="NoSpacing"/>
        <w:spacing w:line="276" w:lineRule="auto"/>
        <w:rPr>
          <w:sz w:val="28"/>
          <w:szCs w:val="28"/>
        </w:rPr>
      </w:pPr>
      <w:bookmarkStart w:id="28" w:name="Tables"/>
      <w:bookmarkEnd w:id="28"/>
      <w:r w:rsidRPr="00EC0229">
        <w:rPr>
          <w:sz w:val="28"/>
          <w:szCs w:val="28"/>
        </w:rPr>
        <w:lastRenderedPageBreak/>
        <w:t>VOLUME TWO: SUPPORTING DATA</w:t>
      </w:r>
    </w:p>
    <w:p w14:paraId="1BF9706D" w14:textId="63E50B47" w:rsidR="00513D2F" w:rsidRPr="00EC0229" w:rsidRDefault="00BC0B7E" w:rsidP="00513D2F">
      <w:pPr>
        <w:pStyle w:val="Heading1"/>
        <w:spacing w:line="276" w:lineRule="auto"/>
        <w:rPr>
          <w:sz w:val="28"/>
          <w:szCs w:val="28"/>
        </w:rPr>
      </w:pPr>
      <w:bookmarkStart w:id="29" w:name="Maps"/>
      <w:bookmarkStart w:id="30" w:name="_Toc468266728"/>
      <w:bookmarkEnd w:id="29"/>
      <w:r w:rsidRPr="00EC0229">
        <w:t xml:space="preserve">List of </w:t>
      </w:r>
      <w:r w:rsidR="00513D2F" w:rsidRPr="00EC0229">
        <w:t>Maps</w:t>
      </w:r>
      <w:bookmarkEnd w:id="30"/>
      <w:r w:rsidR="00513D2F" w:rsidRPr="00EC0229">
        <w:rPr>
          <w:sz w:val="28"/>
          <w:szCs w:val="28"/>
        </w:rPr>
        <w:t xml:space="preserve"> </w:t>
      </w:r>
      <w:r w:rsidR="00513D2F" w:rsidRPr="00EC0229">
        <w:rPr>
          <w:sz w:val="28"/>
          <w:szCs w:val="28"/>
        </w:rPr>
        <w:fldChar w:fldCharType="begin"/>
      </w:r>
      <w:r w:rsidR="00513D2F" w:rsidRPr="00EC0229">
        <w:rPr>
          <w:sz w:val="28"/>
          <w:szCs w:val="28"/>
        </w:rPr>
        <w:instrText xml:space="preserve"> XE "</w:instrText>
      </w:r>
      <w:r w:rsidR="00513D2F" w:rsidRPr="00EC0229">
        <w:rPr>
          <w:rStyle w:val="Hyperlink"/>
          <w:noProof/>
          <w:sz w:val="28"/>
          <w:szCs w:val="28"/>
          <w:u w:val="none"/>
        </w:rPr>
        <w:instrText>Mapping</w:instrText>
      </w:r>
      <w:r w:rsidR="00513D2F" w:rsidRPr="00EC0229">
        <w:rPr>
          <w:sz w:val="28"/>
          <w:szCs w:val="28"/>
        </w:rPr>
        <w:instrText xml:space="preserve">" </w:instrText>
      </w:r>
      <w:r w:rsidR="00513D2F" w:rsidRPr="00EC0229">
        <w:rPr>
          <w:sz w:val="28"/>
          <w:szCs w:val="28"/>
        </w:rPr>
        <w:fldChar w:fldCharType="end"/>
      </w:r>
    </w:p>
    <w:p w14:paraId="7E828CB8"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1.01: English wics</w:t>
      </w:r>
    </w:p>
    <w:p w14:paraId="715D7304"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2.01: C4-5th sites</w:t>
      </w:r>
    </w:p>
    <w:p w14:paraId="29124A2E"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2.02: C5-7th sites</w:t>
      </w:r>
    </w:p>
    <w:p w14:paraId="3DB48594"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2.03: Monastic affinities</w:t>
      </w:r>
    </w:p>
    <w:p w14:paraId="51754173"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2.04: Early medieval religious houses</w:t>
      </w:r>
    </w:p>
    <w:p w14:paraId="1A5CCBF2"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2.05: Polity map</w:t>
      </w:r>
    </w:p>
    <w:p w14:paraId="7508BD5B"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2.06: Stycas</w:t>
      </w:r>
    </w:p>
    <w:p w14:paraId="6B553FF8"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2.07: Natural Resources</w:t>
      </w:r>
    </w:p>
    <w:p w14:paraId="40840D4C"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5.01: York Gold Shilling - with type &amp; location</w:t>
      </w:r>
    </w:p>
    <w:p w14:paraId="24FEEE5C"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5.02: Findspots of sceats</w:t>
      </w:r>
    </w:p>
    <w:p w14:paraId="630AF96A"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5.03: Merovingian deniers</w:t>
      </w:r>
    </w:p>
    <w:p w14:paraId="370F47FA"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5.04: Bude Main Man findspots Dec 2014</w:t>
      </w:r>
    </w:p>
    <w:p w14:paraId="60490DF2"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5.05: Stycas in Schleswig-Holstein</w:t>
      </w:r>
    </w:p>
    <w:p w14:paraId="6DA8EBBB"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6.01: Roman coin finds</w:t>
      </w:r>
    </w:p>
    <w:p w14:paraId="04685794"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6.02: Artefact findspots in PAS</w:t>
      </w:r>
    </w:p>
    <w:p w14:paraId="31F478F2"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7.01: Artefacts and Coins</w:t>
      </w:r>
    </w:p>
    <w:p w14:paraId="0AD0ADE4"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7.02: Gold in Northumbria</w:t>
      </w:r>
    </w:p>
    <w:p w14:paraId="02ABAC5E"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7.03: Northumbrian sceats</w:t>
      </w:r>
    </w:p>
    <w:p w14:paraId="0F004FE5"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7.04: Southumbrian sceats</w:t>
      </w:r>
    </w:p>
    <w:p w14:paraId="1A05AB16"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7.05: Eadberht [Bude]</w:t>
      </w:r>
    </w:p>
    <w:p w14:paraId="66811985"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7.06: Coin findspots in database</w:t>
      </w:r>
    </w:p>
    <w:p w14:paraId="01BCFBCE"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8.01: Geology i</w:t>
      </w:r>
    </w:p>
    <w:p w14:paraId="4A14C44F"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 xml:space="preserve">Map 8.02: Geology ii </w:t>
      </w:r>
    </w:p>
    <w:p w14:paraId="19BBE691"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8.03: Soil</w:t>
      </w:r>
    </w:p>
    <w:p w14:paraId="58890751"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8.04: Topography</w:t>
      </w:r>
    </w:p>
    <w:p w14:paraId="1BEA8293"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8.05: Rivers</w:t>
      </w:r>
    </w:p>
    <w:p w14:paraId="0E9FF435"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8.06: Physical geography</w:t>
      </w:r>
    </w:p>
    <w:p w14:paraId="29684E93"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8.07: Wetlands - soil – Central Lowlands</w:t>
      </w:r>
    </w:p>
    <w:p w14:paraId="219B3585"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8.08: Lost Villages- North and East Yorkshire</w:t>
      </w:r>
    </w:p>
    <w:p w14:paraId="5A60FA2B"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8.09: York Minster</w:t>
      </w:r>
    </w:p>
    <w:p w14:paraId="556A2F11"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8.10: Inner York sites</w:t>
      </w:r>
    </w:p>
    <w:p w14:paraId="659C8B25"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8.11: Wolds west, central and east</w:t>
      </w:r>
    </w:p>
    <w:p w14:paraId="419300D4"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8.12: Near Hayton productive site</w:t>
      </w:r>
    </w:p>
    <w:p w14:paraId="3F939E8E"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8.13: Cottam A&amp;B crop marks</w:t>
      </w:r>
    </w:p>
    <w:p w14:paraId="1D3689C0"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8.14: Styli near Driffield</w:t>
      </w:r>
    </w:p>
    <w:p w14:paraId="504F4E42"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8.15: Wharram Percy Beresford 1990, 63</w:t>
      </w:r>
    </w:p>
    <w:p w14:paraId="0D7A2D12"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8.16: Wharram Percy Beresford 1990, 54</w:t>
      </w:r>
    </w:p>
    <w:p w14:paraId="231FBF04"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8.17: Roman Finds Density by Parish</w:t>
      </w:r>
    </w:p>
    <w:p w14:paraId="13EFCE21"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8.18: Wetlands - finds – Humber</w:t>
      </w:r>
    </w:p>
    <w:p w14:paraId="71C37B03"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8.19: Elongated parishes – Vale of Pickering</w:t>
      </w:r>
    </w:p>
    <w:p w14:paraId="735316AD"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8.20: Early medieval religious houses</w:t>
      </w:r>
    </w:p>
    <w:p w14:paraId="5599DCF6"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8.21: West Heslerton ladder settlement</w:t>
      </w:r>
    </w:p>
    <w:p w14:paraId="0ABEBBC9"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8.22: Early medieval Northumbria</w:t>
      </w:r>
    </w:p>
    <w:p w14:paraId="5236CF82"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8.23: Street House Cemetery</w:t>
      </w:r>
    </w:p>
    <w:p w14:paraId="1BC37EA1"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8.24: Whithorn finds</w:t>
      </w:r>
    </w:p>
    <w:p w14:paraId="35DD9625"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8.25: Monumentality in the West</w:t>
      </w:r>
    </w:p>
    <w:p w14:paraId="10D5D100" w14:textId="77777777" w:rsidR="008F50E3" w:rsidRPr="008F50E3" w:rsidRDefault="008F50E3" w:rsidP="00305A76">
      <w:pPr>
        <w:spacing w:after="0"/>
        <w:jc w:val="left"/>
        <w:rPr>
          <w:rFonts w:eastAsia="Times New Roman" w:cs="Times New Roman"/>
          <w:color w:val="000000"/>
          <w:szCs w:val="24"/>
          <w:lang w:eastAsia="en-GB"/>
        </w:rPr>
      </w:pPr>
      <w:r w:rsidRPr="008F50E3">
        <w:rPr>
          <w:rFonts w:eastAsia="Times New Roman" w:cs="Times New Roman"/>
          <w:color w:val="000000"/>
          <w:szCs w:val="24"/>
          <w:lang w:eastAsia="en-GB"/>
        </w:rPr>
        <w:t>Map 8.26: NE Britain C6-7</w:t>
      </w:r>
    </w:p>
    <w:p w14:paraId="594CDFBE" w14:textId="192DCD87" w:rsidR="00BF24A0" w:rsidRPr="00EC0229" w:rsidRDefault="00BC0B7E" w:rsidP="007600EA">
      <w:pPr>
        <w:pStyle w:val="Heading1"/>
        <w:spacing w:line="276" w:lineRule="auto"/>
      </w:pPr>
      <w:bookmarkStart w:id="31" w:name="_Toc468266729"/>
      <w:r w:rsidRPr="00EC0229">
        <w:lastRenderedPageBreak/>
        <w:t xml:space="preserve">List of </w:t>
      </w:r>
      <w:r w:rsidR="00AF79E7" w:rsidRPr="00EC0229">
        <w:t>Tables</w:t>
      </w:r>
      <w:r w:rsidRPr="00EC0229">
        <w:t xml:space="preserve"> and Spreadsheets</w:t>
      </w:r>
      <w:bookmarkEnd w:id="31"/>
    </w:p>
    <w:p w14:paraId="313FF591" w14:textId="77777777" w:rsidR="00810052" w:rsidRDefault="00810052" w:rsidP="00810052">
      <w:pPr>
        <w:pStyle w:val="NoSpacing"/>
        <w:spacing w:line="276" w:lineRule="auto"/>
      </w:pPr>
      <w:r>
        <w:rPr>
          <w:szCs w:val="24"/>
        </w:rPr>
        <w:t xml:space="preserve">PDFs are in hardcopy on Volume 2, and digitally, with the databases/datasets, on Volume 3 as </w:t>
      </w:r>
      <w:r w:rsidRPr="00697276">
        <w:rPr>
          <w:szCs w:val="24"/>
        </w:rPr>
        <w:t>Microsoft Excel</w:t>
      </w:r>
      <m:oMath>
        <m:r>
          <m:rPr>
            <m:nor/>
          </m:rPr>
          <w:rPr>
            <w:rFonts w:ascii="Cambria Math" w:hAnsi="Cambria Math"/>
            <w:szCs w:val="24"/>
            <w:vertAlign w:val="superscript"/>
          </w:rPr>
          <m:t>®</m:t>
        </m:r>
      </m:oMath>
      <w:r w:rsidRPr="00697276">
        <w:rPr>
          <w:szCs w:val="24"/>
          <w:vertAlign w:val="superscript"/>
        </w:rPr>
        <w:t xml:space="preserve"> </w:t>
      </w:r>
      <w:r w:rsidRPr="00697276">
        <w:rPr>
          <w:szCs w:val="24"/>
        </w:rPr>
        <w:t>Worksheet</w:t>
      </w:r>
      <w:r>
        <w:rPr>
          <w:szCs w:val="24"/>
        </w:rPr>
        <w:t>s.</w:t>
      </w:r>
    </w:p>
    <w:p w14:paraId="372DA90B" w14:textId="77777777" w:rsidR="00B813BD" w:rsidRPr="00EC0229" w:rsidRDefault="00B813BD" w:rsidP="007600EA">
      <w:pPr>
        <w:pStyle w:val="NoSpacing"/>
        <w:spacing w:line="276" w:lineRule="auto"/>
      </w:pPr>
    </w:p>
    <w:p w14:paraId="2189C8A2" w14:textId="031608F9" w:rsidR="001C278D" w:rsidRPr="003007E4" w:rsidRDefault="001C278D" w:rsidP="00305A76">
      <w:pPr>
        <w:tabs>
          <w:tab w:val="left" w:pos="710"/>
          <w:tab w:val="left" w:pos="1668"/>
          <w:tab w:val="left" w:pos="7054"/>
          <w:tab w:val="left" w:pos="8472"/>
        </w:tabs>
        <w:spacing w:after="0"/>
        <w:ind w:left="-459" w:right="-188"/>
        <w:rPr>
          <w:rFonts w:eastAsia="Times New Roman" w:cs="Times New Roman"/>
          <w:b/>
          <w:bCs/>
          <w:color w:val="000000"/>
          <w:sz w:val="22"/>
          <w:u w:val="single"/>
          <w:lang w:eastAsia="en-GB"/>
        </w:rPr>
      </w:pPr>
      <w:r w:rsidRPr="003007E4">
        <w:rPr>
          <w:rFonts w:eastAsia="Times New Roman" w:cs="Times New Roman"/>
          <w:b/>
          <w:bCs/>
          <w:color w:val="000000"/>
          <w:sz w:val="22"/>
          <w:u w:val="single"/>
          <w:lang w:eastAsia="en-GB"/>
        </w:rPr>
        <w:t>Style</w:t>
      </w:r>
      <w:r w:rsidRPr="007B6E9D">
        <w:rPr>
          <w:rFonts w:eastAsia="Times New Roman" w:cs="Times New Roman"/>
          <w:b/>
          <w:bCs/>
          <w:color w:val="000000"/>
          <w:sz w:val="22"/>
          <w:lang w:eastAsia="en-GB"/>
        </w:rPr>
        <w:tab/>
      </w:r>
      <w:r w:rsidRPr="003007E4">
        <w:rPr>
          <w:rFonts w:eastAsia="Times New Roman" w:cs="Times New Roman"/>
          <w:b/>
          <w:bCs/>
          <w:color w:val="000000"/>
          <w:sz w:val="22"/>
          <w:u w:val="single"/>
          <w:lang w:eastAsia="en-GB"/>
        </w:rPr>
        <w:t>Ref</w:t>
      </w:r>
      <w:r w:rsidRPr="007B6E9D">
        <w:rPr>
          <w:rFonts w:eastAsia="Times New Roman" w:cs="Times New Roman"/>
          <w:b/>
          <w:bCs/>
          <w:color w:val="000000"/>
          <w:sz w:val="22"/>
          <w:lang w:eastAsia="en-GB"/>
        </w:rPr>
        <w:tab/>
      </w:r>
      <w:r w:rsidRPr="003007E4">
        <w:rPr>
          <w:rFonts w:eastAsia="Times New Roman" w:cs="Times New Roman"/>
          <w:b/>
          <w:bCs/>
          <w:color w:val="000000"/>
          <w:sz w:val="22"/>
          <w:u w:val="single"/>
          <w:lang w:eastAsia="en-GB"/>
        </w:rPr>
        <w:t>Description</w:t>
      </w:r>
      <w:r w:rsidRPr="007B6E9D">
        <w:rPr>
          <w:rFonts w:eastAsia="Times New Roman" w:cs="Times New Roman"/>
          <w:b/>
          <w:bCs/>
          <w:color w:val="000000"/>
          <w:sz w:val="22"/>
          <w:lang w:eastAsia="en-GB"/>
        </w:rPr>
        <w:tab/>
      </w:r>
      <w:r w:rsidRPr="003007E4">
        <w:rPr>
          <w:rFonts w:eastAsia="Times New Roman" w:cs="Times New Roman"/>
          <w:b/>
          <w:bCs/>
          <w:color w:val="000000"/>
          <w:sz w:val="22"/>
          <w:u w:val="single"/>
          <w:lang w:eastAsia="en-GB"/>
        </w:rPr>
        <w:t>Format</w:t>
      </w:r>
      <w:r w:rsidR="00641932">
        <w:rPr>
          <w:rFonts w:eastAsia="Times New Roman" w:cs="Times New Roman"/>
          <w:b/>
          <w:bCs/>
          <w:color w:val="000000"/>
          <w:sz w:val="22"/>
          <w:lang w:eastAsia="en-GB"/>
        </w:rPr>
        <w:t xml:space="preserve">        </w:t>
      </w:r>
      <w:r w:rsidRPr="003007E4">
        <w:rPr>
          <w:rFonts w:eastAsia="Times New Roman" w:cs="Times New Roman"/>
          <w:b/>
          <w:bCs/>
          <w:color w:val="000000"/>
          <w:sz w:val="22"/>
          <w:u w:val="single"/>
          <w:lang w:eastAsia="en-GB"/>
        </w:rPr>
        <w:t>Vol</w:t>
      </w:r>
    </w:p>
    <w:p w14:paraId="3DE2A121"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Database</w:t>
      </w:r>
      <w:r w:rsidRPr="00641932">
        <w:rPr>
          <w:rFonts w:eastAsia="Times New Roman" w:cs="Times New Roman"/>
          <w:color w:val="000000"/>
          <w:sz w:val="21"/>
          <w:szCs w:val="21"/>
          <w:lang w:eastAsia="en-GB"/>
        </w:rPr>
        <w:tab/>
        <w:t xml:space="preserve">     1</w:t>
      </w:r>
      <w:r w:rsidRPr="00641932">
        <w:rPr>
          <w:rFonts w:eastAsia="Times New Roman" w:cs="Times New Roman"/>
          <w:color w:val="000000"/>
          <w:sz w:val="21"/>
          <w:szCs w:val="21"/>
          <w:lang w:eastAsia="en-GB"/>
        </w:rPr>
        <w:tab/>
        <w:t>Coins</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3A4C4442"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Database</w:t>
      </w:r>
      <w:r w:rsidRPr="00641932">
        <w:rPr>
          <w:rFonts w:eastAsia="Times New Roman" w:cs="Times New Roman"/>
          <w:color w:val="000000"/>
          <w:sz w:val="21"/>
          <w:szCs w:val="21"/>
          <w:lang w:eastAsia="en-GB"/>
        </w:rPr>
        <w:tab/>
        <w:t xml:space="preserve">     2</w:t>
      </w:r>
      <w:r w:rsidRPr="00641932">
        <w:rPr>
          <w:rFonts w:eastAsia="Times New Roman" w:cs="Times New Roman"/>
          <w:color w:val="000000"/>
          <w:sz w:val="21"/>
          <w:szCs w:val="21"/>
          <w:lang w:eastAsia="en-GB"/>
        </w:rPr>
        <w:tab/>
        <w:t>Artefacts</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1AE36694"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3.01</w:t>
      </w:r>
      <w:r w:rsidRPr="00641932">
        <w:rPr>
          <w:rFonts w:eastAsia="Times New Roman" w:cs="Times New Roman"/>
          <w:color w:val="000000"/>
          <w:sz w:val="21"/>
          <w:szCs w:val="21"/>
          <w:lang w:eastAsia="en-GB"/>
        </w:rPr>
        <w:tab/>
        <w:t xml:space="preserve">Early Anglo-Saxon Law       </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0E30400"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4.01</w:t>
      </w:r>
      <w:r w:rsidRPr="00641932">
        <w:rPr>
          <w:rFonts w:eastAsia="Times New Roman" w:cs="Times New Roman"/>
          <w:color w:val="000000"/>
          <w:sz w:val="21"/>
          <w:szCs w:val="21"/>
          <w:lang w:eastAsia="en-GB"/>
        </w:rPr>
        <w:tab/>
        <w:t>Period 9 - Group A - Moneyers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01D2B5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4.02</w:t>
      </w:r>
      <w:r w:rsidRPr="00641932">
        <w:rPr>
          <w:rFonts w:eastAsia="Times New Roman" w:cs="Times New Roman"/>
          <w:color w:val="000000"/>
          <w:sz w:val="21"/>
          <w:szCs w:val="21"/>
          <w:lang w:eastAsia="en-GB"/>
        </w:rPr>
        <w:tab/>
        <w:t>Minting activity and inactivity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3A15BE4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5.01-3</w:t>
      </w:r>
      <w:r w:rsidRPr="00641932">
        <w:rPr>
          <w:rFonts w:eastAsia="Times New Roman" w:cs="Times New Roman"/>
          <w:color w:val="000000"/>
          <w:sz w:val="21"/>
          <w:szCs w:val="21"/>
          <w:lang w:eastAsia="en-GB"/>
        </w:rPr>
        <w:tab/>
        <w:t>Site Finds by Period</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6F311FFA"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5.02</w:t>
      </w:r>
      <w:r w:rsidRPr="00641932">
        <w:rPr>
          <w:rFonts w:eastAsia="Times New Roman" w:cs="Times New Roman"/>
          <w:color w:val="000000"/>
          <w:sz w:val="21"/>
          <w:szCs w:val="21"/>
          <w:lang w:eastAsia="en-GB"/>
        </w:rPr>
        <w:tab/>
        <w:t>Site Finds by Period - Correlations to Normal Distribution</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AA49B87"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5.03</w:t>
      </w:r>
      <w:r w:rsidRPr="00641932">
        <w:rPr>
          <w:rFonts w:eastAsia="Times New Roman" w:cs="Times New Roman"/>
          <w:color w:val="000000"/>
          <w:sz w:val="21"/>
          <w:szCs w:val="21"/>
          <w:lang w:eastAsia="en-GB"/>
        </w:rPr>
        <w:tab/>
        <w:t>Site Finds by Period - Chronological Analysis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7EF5E7D"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5.04</w:t>
      </w:r>
      <w:r w:rsidRPr="00641932">
        <w:rPr>
          <w:rFonts w:eastAsia="Times New Roman" w:cs="Times New Roman"/>
          <w:color w:val="000000"/>
          <w:sz w:val="21"/>
          <w:szCs w:val="21"/>
          <w:lang w:eastAsia="en-GB"/>
        </w:rPr>
        <w:tab/>
        <w:t>Periodic Table</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508B016"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5.05</w:t>
      </w:r>
      <w:r w:rsidRPr="00641932">
        <w:rPr>
          <w:rFonts w:eastAsia="Times New Roman" w:cs="Times New Roman"/>
          <w:color w:val="000000"/>
          <w:sz w:val="21"/>
          <w:szCs w:val="21"/>
          <w:lang w:eastAsia="en-GB"/>
        </w:rPr>
        <w:tab/>
        <w:t>Northumbrian Kings of the Conversion Period</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9580B31"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5.06</w:t>
      </w:r>
      <w:r w:rsidRPr="00641932">
        <w:rPr>
          <w:rFonts w:eastAsia="Times New Roman" w:cs="Times New Roman"/>
          <w:color w:val="000000"/>
          <w:sz w:val="21"/>
          <w:szCs w:val="21"/>
          <w:lang w:eastAsia="en-GB"/>
        </w:rPr>
        <w:tab/>
        <w:t>Kings and Archbishops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1B2306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5.07</w:t>
      </w:r>
      <w:r w:rsidRPr="00641932">
        <w:rPr>
          <w:rFonts w:eastAsia="Times New Roman" w:cs="Times New Roman"/>
          <w:color w:val="000000"/>
          <w:sz w:val="21"/>
          <w:szCs w:val="21"/>
          <w:lang w:eastAsia="en-GB"/>
        </w:rPr>
        <w:tab/>
        <w:t>Imported gold coinage, a-c</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BF835A3"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5.08</w:t>
      </w:r>
      <w:r w:rsidRPr="00641932">
        <w:rPr>
          <w:rFonts w:eastAsia="Times New Roman" w:cs="Times New Roman"/>
          <w:color w:val="000000"/>
          <w:sz w:val="21"/>
          <w:szCs w:val="21"/>
          <w:lang w:eastAsia="en-GB"/>
        </w:rPr>
        <w:tab/>
        <w:t>Imported to Northumbria</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C2E93F9"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5.09</w:t>
      </w:r>
      <w:r w:rsidRPr="00641932">
        <w:rPr>
          <w:rFonts w:eastAsia="Times New Roman" w:cs="Times New Roman"/>
          <w:color w:val="000000"/>
          <w:sz w:val="21"/>
          <w:szCs w:val="21"/>
          <w:lang w:eastAsia="en-GB"/>
        </w:rPr>
        <w:tab/>
        <w:t>Corpus of gold shillings of the York group</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1EF5E31"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5.10</w:t>
      </w:r>
      <w:r w:rsidRPr="00641932">
        <w:rPr>
          <w:rFonts w:eastAsia="Times New Roman" w:cs="Times New Roman"/>
          <w:color w:val="000000"/>
          <w:sz w:val="21"/>
          <w:szCs w:val="21"/>
          <w:lang w:eastAsia="en-GB"/>
        </w:rPr>
        <w:tab/>
        <w:t>Frequency of varieties of York gold shilling</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6FD7A7C"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5.11</w:t>
      </w:r>
      <w:r w:rsidRPr="00641932">
        <w:rPr>
          <w:rFonts w:eastAsia="Times New Roman" w:cs="Times New Roman"/>
          <w:color w:val="000000"/>
          <w:sz w:val="21"/>
          <w:szCs w:val="21"/>
          <w:lang w:eastAsia="en-GB"/>
        </w:rPr>
        <w:tab/>
        <w:t>Comparison of die ratios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550A41D"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5.12</w:t>
      </w:r>
      <w:r w:rsidRPr="00641932">
        <w:rPr>
          <w:rFonts w:eastAsia="Times New Roman" w:cs="Times New Roman"/>
          <w:color w:val="000000"/>
          <w:sz w:val="21"/>
          <w:szCs w:val="21"/>
          <w:lang w:eastAsia="en-GB"/>
        </w:rPr>
        <w:tab/>
        <w:t>Metallurgical analysis of York gold shillings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1B4C7CC"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5.13</w:t>
      </w:r>
      <w:r w:rsidRPr="00641932">
        <w:rPr>
          <w:rFonts w:eastAsia="Times New Roman" w:cs="Times New Roman"/>
          <w:color w:val="000000"/>
          <w:sz w:val="21"/>
          <w:szCs w:val="21"/>
          <w:lang w:eastAsia="en-GB"/>
        </w:rPr>
        <w:tab/>
        <w:t>Quentovic - putative Étaples hoard</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F61C017"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5.14</w:t>
      </w:r>
      <w:r w:rsidRPr="00641932">
        <w:rPr>
          <w:rFonts w:eastAsia="Times New Roman" w:cs="Times New Roman"/>
          <w:color w:val="000000"/>
          <w:sz w:val="21"/>
          <w:szCs w:val="21"/>
          <w:lang w:eastAsia="en-GB"/>
        </w:rPr>
        <w:tab/>
        <w:t>Period 9-10c - Issuers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4130A2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5.15</w:t>
      </w:r>
      <w:r w:rsidRPr="00641932">
        <w:rPr>
          <w:rFonts w:eastAsia="Times New Roman" w:cs="Times New Roman"/>
          <w:color w:val="000000"/>
          <w:sz w:val="21"/>
          <w:szCs w:val="21"/>
          <w:lang w:eastAsia="en-GB"/>
        </w:rPr>
        <w:tab/>
        <w:t>Major hoard summary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97A0F5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5.16</w:t>
      </w:r>
      <w:r w:rsidRPr="00641932">
        <w:rPr>
          <w:rFonts w:eastAsia="Times New Roman" w:cs="Times New Roman"/>
          <w:color w:val="000000"/>
          <w:sz w:val="21"/>
          <w:szCs w:val="21"/>
          <w:lang w:eastAsia="en-GB"/>
        </w:rPr>
        <w:tab/>
        <w:t>Pirie - styca finds west coast</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AAADF2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5.17</w:t>
      </w:r>
      <w:r w:rsidRPr="00641932">
        <w:rPr>
          <w:rFonts w:eastAsia="Times New Roman" w:cs="Times New Roman"/>
          <w:color w:val="000000"/>
          <w:sz w:val="21"/>
          <w:szCs w:val="21"/>
          <w:lang w:eastAsia="en-GB"/>
        </w:rPr>
        <w:tab/>
        <w:t>Pirie's archives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83FF2FA"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6.01</w:t>
      </w:r>
      <w:r w:rsidRPr="00641932">
        <w:rPr>
          <w:rFonts w:eastAsia="Times New Roman" w:cs="Times New Roman"/>
          <w:color w:val="000000"/>
          <w:sz w:val="21"/>
          <w:szCs w:val="21"/>
          <w:lang w:eastAsia="en-GB"/>
        </w:rPr>
        <w:tab/>
        <w:t>Database sources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8591499"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6.02</w:t>
      </w:r>
      <w:r w:rsidRPr="00641932">
        <w:rPr>
          <w:rFonts w:eastAsia="Times New Roman" w:cs="Times New Roman"/>
          <w:color w:val="000000"/>
          <w:sz w:val="21"/>
          <w:szCs w:val="21"/>
          <w:lang w:eastAsia="en-GB"/>
        </w:rPr>
        <w:tab/>
        <w:t>Database 1 column headings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C77F8C4"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6.03</w:t>
      </w:r>
      <w:r w:rsidRPr="00641932">
        <w:rPr>
          <w:rFonts w:eastAsia="Times New Roman" w:cs="Times New Roman"/>
          <w:color w:val="000000"/>
          <w:sz w:val="21"/>
          <w:szCs w:val="21"/>
          <w:lang w:eastAsia="en-GB"/>
        </w:rPr>
        <w:tab/>
        <w:t>Findspot index &amp; numerical analysis</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118F401D"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6.04</w:t>
      </w:r>
      <w:r w:rsidRPr="00641932">
        <w:rPr>
          <w:rFonts w:eastAsia="Times New Roman" w:cs="Times New Roman"/>
          <w:color w:val="000000"/>
          <w:sz w:val="21"/>
          <w:szCs w:val="21"/>
          <w:lang w:eastAsia="en-GB"/>
        </w:rPr>
        <w:tab/>
        <w:t>Matrices and Summary</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3F9B41E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6.05</w:t>
      </w:r>
      <w:r w:rsidRPr="00641932">
        <w:rPr>
          <w:rFonts w:eastAsia="Times New Roman" w:cs="Times New Roman"/>
          <w:color w:val="000000"/>
          <w:sz w:val="21"/>
          <w:szCs w:val="21"/>
          <w:lang w:eastAsia="en-GB"/>
        </w:rPr>
        <w:tab/>
        <w:t>Hoard Material</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423BD239"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6.06</w:t>
      </w:r>
      <w:r w:rsidRPr="00641932">
        <w:rPr>
          <w:rFonts w:eastAsia="Times New Roman" w:cs="Times New Roman"/>
          <w:color w:val="000000"/>
          <w:sz w:val="21"/>
          <w:szCs w:val="21"/>
          <w:lang w:eastAsia="en-GB"/>
        </w:rPr>
        <w:tab/>
        <w:t>Early medieval Yorkshire – artefacts – detail</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0BFC9AFE"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6.07</w:t>
      </w:r>
      <w:r w:rsidRPr="00641932">
        <w:rPr>
          <w:rFonts w:eastAsia="Times New Roman" w:cs="Times New Roman"/>
          <w:color w:val="000000"/>
          <w:sz w:val="21"/>
          <w:szCs w:val="21"/>
          <w:lang w:eastAsia="en-GB"/>
        </w:rPr>
        <w:tab/>
        <w:t>Artefacts - Functional Categories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4D2C44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6.08</w:t>
      </w:r>
      <w:r w:rsidRPr="00641932">
        <w:rPr>
          <w:rFonts w:eastAsia="Times New Roman" w:cs="Times New Roman"/>
          <w:color w:val="000000"/>
          <w:sz w:val="21"/>
          <w:szCs w:val="21"/>
          <w:lang w:eastAsia="en-GB"/>
        </w:rPr>
        <w:tab/>
        <w:t>Early medieval Yorkshire – artefacts – summary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4C0FF5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6.09</w:t>
      </w:r>
      <w:r w:rsidRPr="00641932">
        <w:rPr>
          <w:rFonts w:eastAsia="Times New Roman" w:cs="Times New Roman"/>
          <w:color w:val="000000"/>
          <w:sz w:val="21"/>
          <w:szCs w:val="21"/>
          <w:lang w:eastAsia="en-GB"/>
        </w:rPr>
        <w:tab/>
        <w:t>Artefact types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B103F6B" w14:textId="0CEA3BF5" w:rsidR="001C278D" w:rsidRPr="00641932" w:rsidRDefault="00BB1D7B"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001C278D" w:rsidRPr="00641932">
        <w:rPr>
          <w:rFonts w:eastAsia="Times New Roman" w:cs="Times New Roman"/>
          <w:color w:val="000000"/>
          <w:sz w:val="21"/>
          <w:szCs w:val="21"/>
          <w:lang w:eastAsia="en-GB"/>
        </w:rPr>
        <w:tab/>
        <w:t>6.10</w:t>
      </w:r>
      <w:r w:rsidR="001C278D" w:rsidRPr="00641932">
        <w:rPr>
          <w:rFonts w:eastAsia="Times New Roman" w:cs="Times New Roman"/>
          <w:color w:val="000000"/>
          <w:sz w:val="21"/>
          <w:szCs w:val="21"/>
          <w:lang w:eastAsia="en-GB"/>
        </w:rPr>
        <w:tab/>
      </w:r>
      <w:r w:rsidR="00EB0386" w:rsidRPr="00EB0386">
        <w:rPr>
          <w:rFonts w:eastAsia="Times New Roman" w:cs="Times New Roman"/>
          <w:color w:val="000000"/>
          <w:sz w:val="21"/>
          <w:szCs w:val="21"/>
          <w:lang w:eastAsia="en-GB"/>
        </w:rPr>
        <w:t xml:space="preserve">VASLE Dataset - artefacts - </w:t>
      </w:r>
      <w:proofErr w:type="spellStart"/>
      <w:r w:rsidR="00EB0386" w:rsidRPr="00EB0386">
        <w:rPr>
          <w:rFonts w:eastAsia="Times New Roman" w:cs="Times New Roman"/>
          <w:color w:val="000000"/>
          <w:sz w:val="21"/>
          <w:szCs w:val="21"/>
          <w:lang w:eastAsia="en-GB"/>
        </w:rPr>
        <w:t>excl</w:t>
      </w:r>
      <w:proofErr w:type="spellEnd"/>
      <w:r w:rsidR="00EB0386" w:rsidRPr="00EB0386">
        <w:rPr>
          <w:rFonts w:eastAsia="Times New Roman" w:cs="Times New Roman"/>
          <w:color w:val="000000"/>
          <w:sz w:val="21"/>
          <w:szCs w:val="21"/>
          <w:lang w:eastAsia="en-GB"/>
        </w:rPr>
        <w:t xml:space="preserve"> Late Saxon</w:t>
      </w:r>
      <w:r w:rsidR="001C278D" w:rsidRPr="00641932">
        <w:rPr>
          <w:rFonts w:eastAsia="Times New Roman" w:cs="Times New Roman"/>
          <w:color w:val="000000"/>
          <w:sz w:val="21"/>
          <w:szCs w:val="21"/>
          <w:lang w:eastAsia="en-GB"/>
        </w:rPr>
        <w:tab/>
      </w:r>
      <w:r w:rsidRPr="00641932">
        <w:rPr>
          <w:rFonts w:eastAsia="Times New Roman" w:cs="Times New Roman"/>
          <w:color w:val="000000"/>
          <w:sz w:val="21"/>
          <w:szCs w:val="21"/>
          <w:lang w:eastAsia="en-GB"/>
        </w:rPr>
        <w:t>Excel®</w:t>
      </w:r>
      <w:r w:rsidRPr="00641932">
        <w:rPr>
          <w:rFonts w:eastAsia="Times New Roman" w:cs="Times New Roman"/>
          <w:color w:val="000000"/>
          <w:sz w:val="21"/>
          <w:szCs w:val="21"/>
          <w:lang w:eastAsia="en-GB"/>
        </w:rPr>
        <w:tab/>
        <w:t>3</w:t>
      </w:r>
    </w:p>
    <w:p w14:paraId="095D8FB1"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7.01</w:t>
      </w:r>
      <w:r w:rsidRPr="00641932">
        <w:rPr>
          <w:rFonts w:eastAsia="Times New Roman" w:cs="Times New Roman"/>
          <w:color w:val="000000"/>
          <w:sz w:val="21"/>
          <w:szCs w:val="21"/>
          <w:lang w:eastAsia="en-GB"/>
        </w:rPr>
        <w:tab/>
        <w:t>Roman finds comparison - detail</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655E2608" w14:textId="439F89B0" w:rsidR="001C278D" w:rsidRPr="00641932" w:rsidRDefault="00810052"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Pr>
          <w:rFonts w:eastAsia="Times New Roman" w:cs="Times New Roman"/>
          <w:color w:val="000000"/>
          <w:sz w:val="21"/>
          <w:szCs w:val="21"/>
          <w:lang w:eastAsia="en-GB"/>
        </w:rPr>
        <w:t>Table</w:t>
      </w:r>
      <w:r w:rsidR="001C278D" w:rsidRPr="00641932">
        <w:rPr>
          <w:rFonts w:eastAsia="Times New Roman" w:cs="Times New Roman"/>
          <w:color w:val="000000"/>
          <w:sz w:val="21"/>
          <w:szCs w:val="21"/>
          <w:lang w:eastAsia="en-GB"/>
        </w:rPr>
        <w:tab/>
        <w:t>7.01</w:t>
      </w:r>
      <w:r w:rsidR="001C278D" w:rsidRPr="00641932">
        <w:rPr>
          <w:rFonts w:eastAsia="Times New Roman" w:cs="Times New Roman"/>
          <w:color w:val="000000"/>
          <w:sz w:val="21"/>
          <w:szCs w:val="21"/>
          <w:lang w:eastAsia="en-GB"/>
        </w:rPr>
        <w:tab/>
        <w:t>Rom</w:t>
      </w:r>
      <w:r>
        <w:rPr>
          <w:rFonts w:eastAsia="Times New Roman" w:cs="Times New Roman"/>
          <w:color w:val="000000"/>
          <w:sz w:val="21"/>
          <w:szCs w:val="21"/>
          <w:lang w:eastAsia="en-GB"/>
        </w:rPr>
        <w:t>an finds comparison - abstract</w:t>
      </w:r>
      <w:r>
        <w:rPr>
          <w:rFonts w:eastAsia="Times New Roman" w:cs="Times New Roman"/>
          <w:color w:val="000000"/>
          <w:sz w:val="21"/>
          <w:szCs w:val="21"/>
          <w:lang w:eastAsia="en-GB"/>
        </w:rPr>
        <w:tab/>
      </w:r>
      <w:r w:rsidR="001C278D" w:rsidRPr="00641932">
        <w:rPr>
          <w:rFonts w:eastAsia="Times New Roman" w:cs="Times New Roman"/>
          <w:color w:val="000000"/>
          <w:sz w:val="21"/>
          <w:szCs w:val="21"/>
          <w:lang w:eastAsia="en-GB"/>
        </w:rPr>
        <w:t xml:space="preserve">PDF </w:t>
      </w:r>
      <w:r w:rsidR="00641932">
        <w:rPr>
          <w:rFonts w:eastAsia="Times New Roman" w:cs="Times New Roman"/>
          <w:color w:val="000000"/>
          <w:sz w:val="21"/>
          <w:szCs w:val="21"/>
          <w:lang w:eastAsia="en-GB"/>
        </w:rPr>
        <w:t xml:space="preserve"> </w:t>
      </w:r>
      <w:r>
        <w:rPr>
          <w:rFonts w:eastAsia="Times New Roman" w:cs="Times New Roman"/>
          <w:color w:val="000000"/>
          <w:sz w:val="21"/>
          <w:szCs w:val="21"/>
          <w:lang w:eastAsia="en-GB"/>
        </w:rPr>
        <w:tab/>
      </w:r>
      <w:r w:rsidR="001C278D" w:rsidRPr="00641932">
        <w:rPr>
          <w:rFonts w:eastAsia="Times New Roman" w:cs="Times New Roman"/>
          <w:color w:val="000000"/>
          <w:sz w:val="21"/>
          <w:szCs w:val="21"/>
          <w:lang w:eastAsia="en-GB"/>
        </w:rPr>
        <w:t>2</w:t>
      </w:r>
    </w:p>
    <w:p w14:paraId="67E5EB9A"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7.02</w:t>
      </w:r>
      <w:r w:rsidRPr="00641932">
        <w:rPr>
          <w:rFonts w:eastAsia="Times New Roman" w:cs="Times New Roman"/>
          <w:color w:val="000000"/>
          <w:sz w:val="21"/>
          <w:szCs w:val="21"/>
          <w:lang w:eastAsia="en-GB"/>
        </w:rPr>
        <w:tab/>
        <w:t>Roman finds comparison - summary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A8C65F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7.03</w:t>
      </w:r>
      <w:r w:rsidRPr="00641932">
        <w:rPr>
          <w:rFonts w:eastAsia="Times New Roman" w:cs="Times New Roman"/>
          <w:color w:val="000000"/>
          <w:sz w:val="21"/>
          <w:szCs w:val="21"/>
          <w:lang w:eastAsia="en-GB"/>
        </w:rPr>
        <w:tab/>
        <w:t xml:space="preserve">Early Medieval extract from PAS  </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730613C"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7.04</w:t>
      </w:r>
      <w:r w:rsidRPr="00641932">
        <w:rPr>
          <w:rFonts w:eastAsia="Times New Roman" w:cs="Times New Roman"/>
          <w:color w:val="000000"/>
          <w:sz w:val="21"/>
          <w:szCs w:val="21"/>
          <w:lang w:eastAsia="en-GB"/>
        </w:rPr>
        <w:tab/>
        <w:t>Artefacts - summary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60F371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7.05</w:t>
      </w:r>
      <w:r w:rsidRPr="00641932">
        <w:rPr>
          <w:rFonts w:eastAsia="Times New Roman" w:cs="Times New Roman"/>
          <w:color w:val="000000"/>
          <w:sz w:val="21"/>
          <w:szCs w:val="21"/>
          <w:lang w:eastAsia="en-GB"/>
        </w:rPr>
        <w:tab/>
        <w:t>Density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0C1C77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7.06</w:t>
      </w:r>
      <w:r w:rsidRPr="00641932">
        <w:rPr>
          <w:rFonts w:eastAsia="Times New Roman" w:cs="Times New Roman"/>
          <w:color w:val="000000"/>
          <w:sz w:val="21"/>
          <w:szCs w:val="21"/>
          <w:lang w:eastAsia="en-GB"/>
        </w:rPr>
        <w:tab/>
        <w:t>Coin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50E3D6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7.07</w:t>
      </w:r>
      <w:r w:rsidRPr="00641932">
        <w:rPr>
          <w:rFonts w:eastAsia="Times New Roman" w:cs="Times New Roman"/>
          <w:color w:val="000000"/>
          <w:sz w:val="21"/>
          <w:szCs w:val="21"/>
          <w:lang w:eastAsia="en-GB"/>
        </w:rPr>
        <w:tab/>
        <w:t>Coin age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E5781F3"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7.08</w:t>
      </w:r>
      <w:r w:rsidRPr="00641932">
        <w:rPr>
          <w:rFonts w:eastAsia="Times New Roman" w:cs="Times New Roman"/>
          <w:color w:val="000000"/>
          <w:sz w:val="21"/>
          <w:szCs w:val="21"/>
          <w:lang w:eastAsia="en-GB"/>
        </w:rPr>
        <w:tab/>
        <w:t>Stability - coins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E210AB6"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7.09</w:t>
      </w:r>
      <w:r w:rsidRPr="00641932">
        <w:rPr>
          <w:rFonts w:eastAsia="Times New Roman" w:cs="Times New Roman"/>
          <w:color w:val="000000"/>
          <w:sz w:val="21"/>
          <w:szCs w:val="21"/>
          <w:lang w:eastAsia="en-GB"/>
        </w:rPr>
        <w:tab/>
        <w:t>Stability - sites with coins and artefacts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4A4D43D" w14:textId="4655C58F"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In text</w:t>
      </w:r>
      <w:r w:rsidRPr="00641932">
        <w:rPr>
          <w:rFonts w:eastAsia="Times New Roman" w:cs="Times New Roman"/>
          <w:color w:val="000000"/>
          <w:sz w:val="21"/>
          <w:szCs w:val="21"/>
          <w:lang w:eastAsia="en-GB"/>
        </w:rPr>
        <w:tab/>
        <w:t>7.10</w:t>
      </w:r>
      <w:r w:rsidRPr="00641932">
        <w:rPr>
          <w:rFonts w:eastAsia="Times New Roman" w:cs="Times New Roman"/>
          <w:color w:val="000000"/>
          <w:sz w:val="21"/>
          <w:szCs w:val="21"/>
          <w:lang w:eastAsia="en-GB"/>
        </w:rPr>
        <w:tab/>
        <w:t>Table of Tables</w:t>
      </w:r>
      <w:r w:rsidRPr="00641932">
        <w:rPr>
          <w:rFonts w:eastAsia="Times New Roman" w:cs="Times New Roman"/>
          <w:color w:val="000000"/>
          <w:sz w:val="21"/>
          <w:szCs w:val="21"/>
          <w:lang w:eastAsia="en-GB"/>
        </w:rPr>
        <w:tab/>
        <w:t xml:space="preserve">table &amp; PDF </w:t>
      </w:r>
      <w:r w:rsidR="00641932">
        <w:rPr>
          <w:rFonts w:eastAsia="Times New Roman" w:cs="Times New Roman"/>
          <w:color w:val="000000"/>
          <w:sz w:val="21"/>
          <w:szCs w:val="21"/>
          <w:lang w:eastAsia="en-GB"/>
        </w:rPr>
        <w:t xml:space="preserve"> </w:t>
      </w:r>
      <w:r w:rsidRPr="00641932">
        <w:rPr>
          <w:rFonts w:eastAsia="Times New Roman" w:cs="Times New Roman"/>
          <w:color w:val="000000"/>
          <w:sz w:val="21"/>
          <w:szCs w:val="21"/>
          <w:lang w:eastAsia="en-GB"/>
        </w:rPr>
        <w:t>1&amp;2</w:t>
      </w:r>
    </w:p>
    <w:p w14:paraId="226F061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7.11</w:t>
      </w:r>
      <w:r w:rsidRPr="00641932">
        <w:rPr>
          <w:rFonts w:eastAsia="Times New Roman" w:cs="Times New Roman"/>
          <w:color w:val="000000"/>
          <w:sz w:val="21"/>
          <w:szCs w:val="21"/>
          <w:lang w:eastAsia="en-GB"/>
        </w:rPr>
        <w:tab/>
        <w:t>Sceatta frequencies and productivity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84AA490"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7.12</w:t>
      </w:r>
      <w:r w:rsidRPr="00641932">
        <w:rPr>
          <w:rFonts w:eastAsia="Times New Roman" w:cs="Times New Roman"/>
          <w:color w:val="000000"/>
          <w:sz w:val="21"/>
          <w:szCs w:val="21"/>
          <w:lang w:eastAsia="en-GB"/>
        </w:rPr>
        <w:tab/>
        <w:t>Analysis of Hexham hoard</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297DEDD"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7.13</w:t>
      </w:r>
      <w:r w:rsidRPr="00641932">
        <w:rPr>
          <w:rFonts w:eastAsia="Times New Roman" w:cs="Times New Roman"/>
          <w:color w:val="000000"/>
          <w:sz w:val="21"/>
          <w:szCs w:val="21"/>
          <w:lang w:eastAsia="en-GB"/>
        </w:rPr>
        <w:tab/>
        <w:t>Styca frequencies and productivity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74D80C1"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7.14</w:t>
      </w:r>
      <w:r w:rsidRPr="00641932">
        <w:rPr>
          <w:rFonts w:eastAsia="Times New Roman" w:cs="Times New Roman"/>
          <w:color w:val="000000"/>
          <w:sz w:val="21"/>
          <w:szCs w:val="21"/>
          <w:lang w:eastAsia="en-GB"/>
        </w:rPr>
        <w:tab/>
        <w:t>Styca analysis - issuers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35135FF" w14:textId="1DB9EB00"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7.15</w:t>
      </w:r>
      <w:r w:rsidRPr="00641932">
        <w:rPr>
          <w:rFonts w:eastAsia="Times New Roman" w:cs="Times New Roman"/>
          <w:color w:val="000000"/>
          <w:sz w:val="21"/>
          <w:szCs w:val="21"/>
          <w:lang w:eastAsia="en-GB"/>
        </w:rPr>
        <w:tab/>
        <w:t xml:space="preserve">Styca analysis </w:t>
      </w:r>
      <w:r w:rsidR="00177CDD">
        <w:rPr>
          <w:rFonts w:eastAsia="Times New Roman" w:cs="Times New Roman"/>
          <w:color w:val="000000"/>
          <w:sz w:val="21"/>
          <w:szCs w:val="21"/>
          <w:lang w:eastAsia="en-GB"/>
        </w:rPr>
        <w:t>–</w:t>
      </w:r>
      <w:r w:rsidRPr="00641932">
        <w:rPr>
          <w:rFonts w:eastAsia="Times New Roman" w:cs="Times New Roman"/>
          <w:color w:val="000000"/>
          <w:sz w:val="21"/>
          <w:szCs w:val="21"/>
          <w:lang w:eastAsia="en-GB"/>
        </w:rPr>
        <w:t xml:space="preserve"> moneyers</w:t>
      </w:r>
      <w:r w:rsidR="00177CDD">
        <w:rPr>
          <w:rFonts w:eastAsia="Times New Roman" w:cs="Times New Roman"/>
          <w:color w:val="000000"/>
          <w:sz w:val="21"/>
          <w:szCs w:val="21"/>
          <w:lang w:eastAsia="en-GB"/>
        </w:rPr>
        <w:t xml:space="preserve"> (alphabetical and by volume)</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D9145DD" w14:textId="5889B8A7" w:rsidR="001C278D" w:rsidRPr="00641932" w:rsidRDefault="002E789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Pr>
          <w:rFonts w:eastAsia="Times New Roman" w:cs="Times New Roman"/>
          <w:color w:val="000000"/>
          <w:sz w:val="21"/>
          <w:szCs w:val="21"/>
          <w:lang w:eastAsia="en-GB"/>
        </w:rPr>
        <w:t>Table</w:t>
      </w:r>
      <w:r>
        <w:rPr>
          <w:rFonts w:eastAsia="Times New Roman" w:cs="Times New Roman"/>
          <w:color w:val="000000"/>
          <w:sz w:val="21"/>
          <w:szCs w:val="21"/>
          <w:lang w:eastAsia="en-GB"/>
        </w:rPr>
        <w:tab/>
        <w:t>7.16</w:t>
      </w:r>
      <w:r>
        <w:rPr>
          <w:rFonts w:eastAsia="Times New Roman" w:cs="Times New Roman"/>
          <w:color w:val="000000"/>
          <w:sz w:val="21"/>
          <w:szCs w:val="21"/>
          <w:lang w:eastAsia="en-GB"/>
        </w:rPr>
        <w:tab/>
        <w:t>Site finds ranked</w:t>
      </w:r>
      <w:r w:rsidR="001C278D" w:rsidRPr="00641932">
        <w:rPr>
          <w:rFonts w:eastAsia="Times New Roman" w:cs="Times New Roman"/>
          <w:color w:val="000000"/>
          <w:sz w:val="21"/>
          <w:szCs w:val="21"/>
          <w:lang w:eastAsia="en-GB"/>
        </w:rPr>
        <w:t xml:space="preserve"> </w:t>
      </w:r>
      <w:r w:rsidR="00857183">
        <w:rPr>
          <w:rFonts w:eastAsia="Times New Roman" w:cs="Times New Roman"/>
          <w:color w:val="000000"/>
          <w:sz w:val="21"/>
          <w:szCs w:val="21"/>
          <w:lang w:eastAsia="en-GB"/>
        </w:rPr>
        <w:t xml:space="preserve">by </w:t>
      </w:r>
      <w:r w:rsidR="001C278D" w:rsidRPr="00641932">
        <w:rPr>
          <w:rFonts w:eastAsia="Times New Roman" w:cs="Times New Roman"/>
          <w:color w:val="000000"/>
          <w:sz w:val="21"/>
          <w:szCs w:val="21"/>
          <w:lang w:eastAsia="en-GB"/>
        </w:rPr>
        <w:t>chronology</w:t>
      </w:r>
      <w:r w:rsidR="001C278D" w:rsidRPr="00641932">
        <w:rPr>
          <w:rFonts w:eastAsia="Times New Roman" w:cs="Times New Roman"/>
          <w:color w:val="000000"/>
          <w:sz w:val="21"/>
          <w:szCs w:val="21"/>
          <w:lang w:eastAsia="en-GB"/>
        </w:rPr>
        <w:tab/>
        <w:t>PDF</w:t>
      </w:r>
      <w:r w:rsidR="001C278D" w:rsidRPr="00641932">
        <w:rPr>
          <w:rFonts w:eastAsia="Times New Roman" w:cs="Times New Roman"/>
          <w:color w:val="000000"/>
          <w:sz w:val="21"/>
          <w:szCs w:val="21"/>
          <w:lang w:eastAsia="en-GB"/>
        </w:rPr>
        <w:tab/>
        <w:t>2</w:t>
      </w:r>
    </w:p>
    <w:p w14:paraId="3931FB0A"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7.17</w:t>
      </w:r>
      <w:r w:rsidRPr="00641932">
        <w:rPr>
          <w:rFonts w:eastAsia="Times New Roman" w:cs="Times New Roman"/>
          <w:color w:val="000000"/>
          <w:sz w:val="21"/>
          <w:szCs w:val="21"/>
          <w:lang w:eastAsia="en-GB"/>
        </w:rPr>
        <w:tab/>
        <w:t>Site finds by source</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4D787A9C"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7.18</w:t>
      </w:r>
      <w:r w:rsidRPr="00641932">
        <w:rPr>
          <w:rFonts w:eastAsia="Times New Roman" w:cs="Times New Roman"/>
          <w:color w:val="000000"/>
          <w:sz w:val="21"/>
          <w:szCs w:val="21"/>
          <w:lang w:eastAsia="en-GB"/>
        </w:rPr>
        <w:tab/>
        <w:t>Site finds by source</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D3C823E" w14:textId="42669B2E" w:rsidR="000348AE" w:rsidRPr="000348AE" w:rsidRDefault="000348AE" w:rsidP="000348AE">
      <w:pPr>
        <w:pStyle w:val="Heading1"/>
        <w:spacing w:line="276" w:lineRule="auto"/>
      </w:pPr>
      <w:bookmarkStart w:id="32" w:name="_Toc468266730"/>
      <w:r w:rsidRPr="000348AE">
        <w:lastRenderedPageBreak/>
        <w:t>List of Tables and Spreadsheets (continued)</w:t>
      </w:r>
      <w:bookmarkEnd w:id="32"/>
    </w:p>
    <w:p w14:paraId="2204938E"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7.19</w:t>
      </w:r>
      <w:r w:rsidRPr="00641932">
        <w:rPr>
          <w:rFonts w:eastAsia="Times New Roman" w:cs="Times New Roman"/>
          <w:color w:val="000000"/>
          <w:sz w:val="21"/>
          <w:szCs w:val="21"/>
          <w:lang w:eastAsia="en-GB"/>
        </w:rPr>
        <w:tab/>
        <w:t>Non-local finds by site</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49D831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8.01</w:t>
      </w:r>
      <w:r w:rsidRPr="00641932">
        <w:rPr>
          <w:rFonts w:eastAsia="Times New Roman" w:cs="Times New Roman"/>
          <w:color w:val="000000"/>
          <w:sz w:val="21"/>
          <w:szCs w:val="21"/>
          <w:lang w:eastAsia="en-GB"/>
        </w:rPr>
        <w:tab/>
        <w:t>Single finds from identified sites inner York</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9BB7874"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8.02</w:t>
      </w:r>
      <w:r w:rsidRPr="00641932">
        <w:rPr>
          <w:rFonts w:eastAsia="Times New Roman" w:cs="Times New Roman"/>
          <w:color w:val="000000"/>
          <w:sz w:val="21"/>
          <w:szCs w:val="21"/>
          <w:lang w:eastAsia="en-GB"/>
        </w:rPr>
        <w:tab/>
        <w:t>Fishergate catalogue</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3808C53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8.03</w:t>
      </w:r>
      <w:r w:rsidRPr="00641932">
        <w:rPr>
          <w:rFonts w:eastAsia="Times New Roman" w:cs="Times New Roman"/>
          <w:color w:val="000000"/>
          <w:sz w:val="21"/>
          <w:szCs w:val="21"/>
          <w:lang w:eastAsia="en-GB"/>
        </w:rPr>
        <w:tab/>
        <w:t>Periodic analysis of Fishergate styca finds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382CF5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8.04</w:t>
      </w:r>
      <w:r w:rsidRPr="00641932">
        <w:rPr>
          <w:rFonts w:eastAsia="Times New Roman" w:cs="Times New Roman"/>
          <w:color w:val="000000"/>
          <w:sz w:val="21"/>
          <w:szCs w:val="21"/>
          <w:lang w:eastAsia="en-GB"/>
        </w:rPr>
        <w:tab/>
        <w:t>Fishergate actual Vs expected</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C58CF7E"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8.05</w:t>
      </w:r>
      <w:r w:rsidRPr="00641932">
        <w:rPr>
          <w:rFonts w:eastAsia="Times New Roman" w:cs="Times New Roman"/>
          <w:color w:val="000000"/>
          <w:sz w:val="21"/>
          <w:szCs w:val="21"/>
          <w:lang w:eastAsia="en-GB"/>
        </w:rPr>
        <w:tab/>
        <w:t>Sceat and styca finds at selected wics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61CBF8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8.06</w:t>
      </w:r>
      <w:r w:rsidRPr="00641932">
        <w:rPr>
          <w:rFonts w:eastAsia="Times New Roman" w:cs="Times New Roman"/>
          <w:color w:val="000000"/>
          <w:sz w:val="21"/>
          <w:szCs w:val="21"/>
          <w:lang w:eastAsia="en-GB"/>
        </w:rPr>
        <w:tab/>
        <w:t>Fishergate comparisons by sceatta variety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7ED9FEC"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8.07</w:t>
      </w:r>
      <w:r w:rsidRPr="00641932">
        <w:rPr>
          <w:rFonts w:eastAsia="Times New Roman" w:cs="Times New Roman"/>
          <w:color w:val="000000"/>
          <w:sz w:val="21"/>
          <w:szCs w:val="21"/>
          <w:lang w:eastAsia="en-GB"/>
        </w:rPr>
        <w:tab/>
        <w:t>Single finds from identified sites outer York</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21D0BCE"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8.08</w:t>
      </w:r>
      <w:r w:rsidRPr="00641932">
        <w:rPr>
          <w:rFonts w:eastAsia="Times New Roman" w:cs="Times New Roman"/>
          <w:color w:val="000000"/>
          <w:sz w:val="21"/>
          <w:szCs w:val="21"/>
          <w:lang w:eastAsia="en-GB"/>
        </w:rPr>
        <w:tab/>
        <w:t>Fishergate - artefacts - functional categories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3F5ACD54"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8.09</w:t>
      </w:r>
      <w:r w:rsidRPr="00641932">
        <w:rPr>
          <w:rFonts w:eastAsia="Times New Roman" w:cs="Times New Roman"/>
          <w:color w:val="000000"/>
          <w:sz w:val="21"/>
          <w:szCs w:val="21"/>
          <w:lang w:eastAsia="en-GB"/>
        </w:rPr>
        <w:tab/>
        <w:t>Central Lowlands - artefacts - summary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983F426"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8.10</w:t>
      </w:r>
      <w:r w:rsidRPr="00641932">
        <w:rPr>
          <w:rFonts w:eastAsia="Times New Roman" w:cs="Times New Roman"/>
          <w:color w:val="000000"/>
          <w:sz w:val="21"/>
          <w:szCs w:val="21"/>
          <w:lang w:eastAsia="en-GB"/>
        </w:rPr>
        <w:tab/>
        <w:t>Central Lowlands - artefacts - functional categories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63A071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8.11</w:t>
      </w:r>
      <w:r w:rsidRPr="00641932">
        <w:rPr>
          <w:rFonts w:eastAsia="Times New Roman" w:cs="Times New Roman"/>
          <w:color w:val="000000"/>
          <w:sz w:val="21"/>
          <w:szCs w:val="21"/>
          <w:lang w:eastAsia="en-GB"/>
        </w:rPr>
        <w:tab/>
        <w:t>Central Lowlands - selected dress accessories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B2F849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8.12</w:t>
      </w:r>
      <w:r w:rsidRPr="00641932">
        <w:rPr>
          <w:rFonts w:eastAsia="Times New Roman" w:cs="Times New Roman"/>
          <w:color w:val="000000"/>
          <w:sz w:val="21"/>
          <w:szCs w:val="21"/>
          <w:lang w:eastAsia="en-GB"/>
        </w:rPr>
        <w:tab/>
        <w:t>Central Lowlands - artefacts - detailed types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8FDFFA6"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8.13</w:t>
      </w:r>
      <w:r w:rsidRPr="00641932">
        <w:rPr>
          <w:rFonts w:eastAsia="Times New Roman" w:cs="Times New Roman"/>
          <w:color w:val="000000"/>
          <w:sz w:val="21"/>
          <w:szCs w:val="21"/>
          <w:lang w:eastAsia="en-GB"/>
        </w:rPr>
        <w:tab/>
        <w:t>Central Lowlands - coin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3457400"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8.14</w:t>
      </w:r>
      <w:r w:rsidRPr="00641932">
        <w:rPr>
          <w:rFonts w:eastAsia="Times New Roman" w:cs="Times New Roman"/>
          <w:color w:val="000000"/>
          <w:sz w:val="21"/>
          <w:szCs w:val="21"/>
          <w:lang w:eastAsia="en-GB"/>
        </w:rPr>
        <w:tab/>
        <w:t>Central Lowlands - coin age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3A7FDEA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8.15</w:t>
      </w:r>
      <w:r w:rsidRPr="00641932">
        <w:rPr>
          <w:rFonts w:eastAsia="Times New Roman" w:cs="Times New Roman"/>
          <w:color w:val="000000"/>
          <w:sz w:val="21"/>
          <w:szCs w:val="21"/>
          <w:lang w:eastAsia="en-GB"/>
        </w:rPr>
        <w:tab/>
        <w:t>Central Lowlands - site finds by issuer</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568E2893"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8.16</w:t>
      </w:r>
      <w:r w:rsidRPr="00641932">
        <w:rPr>
          <w:rFonts w:eastAsia="Times New Roman" w:cs="Times New Roman"/>
          <w:color w:val="000000"/>
          <w:sz w:val="21"/>
          <w:szCs w:val="21"/>
          <w:lang w:eastAsia="en-GB"/>
        </w:rPr>
        <w:tab/>
        <w:t>Yorkshire Wolds - site finds by issuer</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26B7832B" w14:textId="65B5C0C0"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w:t>
      </w:r>
      <w:r w:rsidR="0059404D">
        <w:rPr>
          <w:rFonts w:eastAsia="Times New Roman" w:cs="Times New Roman"/>
          <w:color w:val="000000"/>
          <w:sz w:val="21"/>
          <w:szCs w:val="21"/>
          <w:lang w:eastAsia="en-GB"/>
        </w:rPr>
        <w:t>7</w:t>
      </w:r>
      <w:r w:rsidR="0059404D">
        <w:rPr>
          <w:rFonts w:eastAsia="Times New Roman" w:cs="Times New Roman"/>
          <w:color w:val="000000"/>
          <w:sz w:val="21"/>
          <w:szCs w:val="21"/>
          <w:lang w:eastAsia="en-GB"/>
        </w:rPr>
        <w:tab/>
        <w:t>Small Finds – Wolds west</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92FD472"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8.18</w:t>
      </w:r>
      <w:r w:rsidRPr="00641932">
        <w:rPr>
          <w:rFonts w:eastAsia="Times New Roman" w:cs="Times New Roman"/>
          <w:color w:val="000000"/>
          <w:sz w:val="21"/>
          <w:szCs w:val="21"/>
          <w:lang w:eastAsia="en-GB"/>
        </w:rPr>
        <w:tab/>
        <w:t>Yorkshire Wolds - artefacts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AF612B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8.19</w:t>
      </w:r>
      <w:r w:rsidRPr="00641932">
        <w:rPr>
          <w:rFonts w:eastAsia="Times New Roman" w:cs="Times New Roman"/>
          <w:color w:val="000000"/>
          <w:sz w:val="21"/>
          <w:szCs w:val="21"/>
          <w:lang w:eastAsia="en-GB"/>
        </w:rPr>
        <w:tab/>
        <w:t>Yorkshire Wolds - functional categories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D391FF7"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8.20</w:t>
      </w:r>
      <w:r w:rsidRPr="00641932">
        <w:rPr>
          <w:rFonts w:eastAsia="Times New Roman" w:cs="Times New Roman"/>
          <w:color w:val="000000"/>
          <w:sz w:val="21"/>
          <w:szCs w:val="21"/>
          <w:lang w:eastAsia="en-GB"/>
        </w:rPr>
        <w:tab/>
        <w:t>Yorkshire Wolds - selected dress accessories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38C4224"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8.21</w:t>
      </w:r>
      <w:r w:rsidRPr="00641932">
        <w:rPr>
          <w:rFonts w:eastAsia="Times New Roman" w:cs="Times New Roman"/>
          <w:color w:val="000000"/>
          <w:sz w:val="21"/>
          <w:szCs w:val="21"/>
          <w:lang w:eastAsia="en-GB"/>
        </w:rPr>
        <w:tab/>
        <w:t>Yorkshire Wolds - detailed artefact types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6D218DA"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8.22</w:t>
      </w:r>
      <w:r w:rsidRPr="00641932">
        <w:rPr>
          <w:rFonts w:eastAsia="Times New Roman" w:cs="Times New Roman"/>
          <w:color w:val="000000"/>
          <w:sz w:val="21"/>
          <w:szCs w:val="21"/>
          <w:lang w:eastAsia="en-GB"/>
        </w:rPr>
        <w:tab/>
        <w:t>Yorkshire Wolds - coin metal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510186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8.23</w:t>
      </w:r>
      <w:r w:rsidRPr="00641932">
        <w:rPr>
          <w:rFonts w:eastAsia="Times New Roman" w:cs="Times New Roman"/>
          <w:color w:val="000000"/>
          <w:sz w:val="21"/>
          <w:szCs w:val="21"/>
          <w:lang w:eastAsia="en-GB"/>
        </w:rPr>
        <w:tab/>
        <w:t>Yorkshire Wolds - coin age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584B32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8.24</w:t>
      </w:r>
      <w:r w:rsidRPr="00641932">
        <w:rPr>
          <w:rFonts w:eastAsia="Times New Roman" w:cs="Times New Roman"/>
          <w:color w:val="000000"/>
          <w:sz w:val="21"/>
          <w:szCs w:val="21"/>
          <w:lang w:eastAsia="en-GB"/>
        </w:rPr>
        <w:tab/>
        <w:t>South Newbald</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EDAD969"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8.25</w:t>
      </w:r>
      <w:r w:rsidRPr="00641932">
        <w:rPr>
          <w:rFonts w:eastAsia="Times New Roman" w:cs="Times New Roman"/>
          <w:color w:val="000000"/>
          <w:sz w:val="21"/>
          <w:szCs w:val="21"/>
          <w:lang w:eastAsia="en-GB"/>
        </w:rPr>
        <w:tab/>
        <w:t>Near Hayton 'productive site'</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CD3419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8.26</w:t>
      </w:r>
      <w:r w:rsidRPr="00641932">
        <w:rPr>
          <w:rFonts w:eastAsia="Times New Roman" w:cs="Times New Roman"/>
          <w:color w:val="000000"/>
          <w:sz w:val="21"/>
          <w:szCs w:val="21"/>
          <w:lang w:eastAsia="en-GB"/>
        </w:rPr>
        <w:tab/>
        <w:t>Religious and minster sites - site finds by issuer</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5F895E9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8.27</w:t>
      </w:r>
      <w:r w:rsidRPr="00641932">
        <w:rPr>
          <w:rFonts w:eastAsia="Times New Roman" w:cs="Times New Roman"/>
          <w:color w:val="000000"/>
          <w:sz w:val="21"/>
          <w:szCs w:val="21"/>
          <w:lang w:eastAsia="en-GB"/>
        </w:rPr>
        <w:tab/>
        <w:t>Beverley, Holderness and other peripheral sites – artefacts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33FF4517"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8.28</w:t>
      </w:r>
      <w:r w:rsidRPr="00641932">
        <w:rPr>
          <w:rFonts w:eastAsia="Times New Roman" w:cs="Times New Roman"/>
          <w:color w:val="000000"/>
          <w:sz w:val="21"/>
          <w:szCs w:val="21"/>
          <w:lang w:eastAsia="en-GB"/>
        </w:rPr>
        <w:tab/>
        <w:t>Beverley etc. - functional categories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30A429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8.29</w:t>
      </w:r>
      <w:r w:rsidRPr="00641932">
        <w:rPr>
          <w:rFonts w:eastAsia="Times New Roman" w:cs="Times New Roman"/>
          <w:color w:val="000000"/>
          <w:sz w:val="21"/>
          <w:szCs w:val="21"/>
          <w:lang w:eastAsia="en-GB"/>
        </w:rPr>
        <w:tab/>
        <w:t>Beverley etc. - selected dress accessories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1BA9A6C0"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8.30</w:t>
      </w:r>
      <w:r w:rsidRPr="00641932">
        <w:rPr>
          <w:rFonts w:eastAsia="Times New Roman" w:cs="Times New Roman"/>
          <w:color w:val="000000"/>
          <w:sz w:val="21"/>
          <w:szCs w:val="21"/>
          <w:lang w:eastAsia="en-GB"/>
        </w:rPr>
        <w:tab/>
        <w:t>Beverley etc. - detailed artefact types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66ECBF2"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8.31</w:t>
      </w:r>
      <w:r w:rsidRPr="00641932">
        <w:rPr>
          <w:rFonts w:eastAsia="Times New Roman" w:cs="Times New Roman"/>
          <w:color w:val="000000"/>
          <w:sz w:val="21"/>
          <w:szCs w:val="21"/>
          <w:lang w:eastAsia="en-GB"/>
        </w:rPr>
        <w:tab/>
        <w:t>Beverley etc. - coin metal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7392E59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8.32</w:t>
      </w:r>
      <w:r w:rsidRPr="00641932">
        <w:rPr>
          <w:rFonts w:eastAsia="Times New Roman" w:cs="Times New Roman"/>
          <w:color w:val="000000"/>
          <w:sz w:val="21"/>
          <w:szCs w:val="21"/>
          <w:lang w:eastAsia="en-GB"/>
        </w:rPr>
        <w:tab/>
        <w:t>Beverley etc. - coin age mix on artefact sites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57EDA86"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8.33</w:t>
      </w:r>
      <w:r w:rsidRPr="00641932">
        <w:rPr>
          <w:rFonts w:eastAsia="Times New Roman" w:cs="Times New Roman"/>
          <w:color w:val="000000"/>
          <w:sz w:val="21"/>
          <w:szCs w:val="21"/>
          <w:lang w:eastAsia="en-GB"/>
        </w:rPr>
        <w:tab/>
        <w:t>Vale of Pickering - site finds by issuer</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4E922C82" w14:textId="2F806536" w:rsidR="001C278D" w:rsidRPr="00641932" w:rsidRDefault="00810052"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001C278D" w:rsidRPr="00641932">
        <w:rPr>
          <w:rFonts w:eastAsia="Times New Roman" w:cs="Times New Roman"/>
          <w:color w:val="000000"/>
          <w:sz w:val="21"/>
          <w:szCs w:val="21"/>
          <w:lang w:eastAsia="en-GB"/>
        </w:rPr>
        <w:tab/>
        <w:t>8.34</w:t>
      </w:r>
      <w:r w:rsidR="001C278D" w:rsidRPr="00641932">
        <w:rPr>
          <w:rFonts w:eastAsia="Times New Roman" w:cs="Times New Roman"/>
          <w:color w:val="000000"/>
          <w:sz w:val="21"/>
          <w:szCs w:val="21"/>
          <w:lang w:eastAsia="en-GB"/>
        </w:rPr>
        <w:tab/>
        <w:t>Analysis of Roman finds in the Vale of Pickering</w:t>
      </w:r>
      <w:r w:rsidR="001C278D" w:rsidRPr="00641932">
        <w:rPr>
          <w:rFonts w:eastAsia="Times New Roman" w:cs="Times New Roman"/>
          <w:color w:val="000000"/>
          <w:sz w:val="21"/>
          <w:szCs w:val="21"/>
          <w:lang w:eastAsia="en-GB"/>
        </w:rPr>
        <w:tab/>
      </w:r>
      <w:r w:rsidRPr="00622E67">
        <w:rPr>
          <w:rFonts w:eastAsia="Times New Roman" w:cs="Times New Roman"/>
          <w:color w:val="000000"/>
          <w:sz w:val="21"/>
          <w:szCs w:val="21"/>
          <w:lang w:eastAsia="en-GB"/>
        </w:rPr>
        <w:t>PDF</w:t>
      </w:r>
      <w:r w:rsidRPr="00622E67">
        <w:rPr>
          <w:rFonts w:eastAsia="Times New Roman" w:cs="Times New Roman"/>
          <w:color w:val="000000"/>
          <w:sz w:val="21"/>
          <w:szCs w:val="21"/>
          <w:lang w:eastAsia="en-GB"/>
        </w:rPr>
        <w:tab/>
        <w:t>2</w:t>
      </w:r>
    </w:p>
    <w:p w14:paraId="58C24B4B"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8.35</w:t>
      </w:r>
      <w:r w:rsidRPr="00641932">
        <w:rPr>
          <w:rFonts w:eastAsia="Times New Roman" w:cs="Times New Roman"/>
          <w:color w:val="000000"/>
          <w:sz w:val="21"/>
          <w:szCs w:val="21"/>
          <w:lang w:eastAsia="en-GB"/>
        </w:rPr>
        <w:tab/>
        <w:t>Vale of Pickering - artefacts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30CF74C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8.36</w:t>
      </w:r>
      <w:r w:rsidRPr="00641932">
        <w:rPr>
          <w:rFonts w:eastAsia="Times New Roman" w:cs="Times New Roman"/>
          <w:color w:val="000000"/>
          <w:sz w:val="21"/>
          <w:szCs w:val="21"/>
          <w:lang w:eastAsia="en-GB"/>
        </w:rPr>
        <w:tab/>
        <w:t>Vale of Pickering - functional categories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1C0E6A5"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8.37</w:t>
      </w:r>
      <w:r w:rsidRPr="00641932">
        <w:rPr>
          <w:rFonts w:eastAsia="Times New Roman" w:cs="Times New Roman"/>
          <w:color w:val="000000"/>
          <w:sz w:val="21"/>
          <w:szCs w:val="21"/>
          <w:lang w:eastAsia="en-GB"/>
        </w:rPr>
        <w:tab/>
        <w:t>Vale of Pickering - selected dress accessories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05CF953"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8.38</w:t>
      </w:r>
      <w:r w:rsidRPr="00641932">
        <w:rPr>
          <w:rFonts w:eastAsia="Times New Roman" w:cs="Times New Roman"/>
          <w:color w:val="000000"/>
          <w:sz w:val="21"/>
          <w:szCs w:val="21"/>
          <w:lang w:eastAsia="en-GB"/>
        </w:rPr>
        <w:tab/>
        <w:t>Vale of Pickering - detailed artefact types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09D58D2B" w14:textId="332FF8E2" w:rsidR="001C278D" w:rsidRPr="00641932" w:rsidRDefault="00810052"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001C278D" w:rsidRPr="00641932">
        <w:rPr>
          <w:rFonts w:eastAsia="Times New Roman" w:cs="Times New Roman"/>
          <w:color w:val="000000"/>
          <w:sz w:val="21"/>
          <w:szCs w:val="21"/>
          <w:lang w:eastAsia="en-GB"/>
        </w:rPr>
        <w:tab/>
        <w:t>8.39</w:t>
      </w:r>
      <w:r w:rsidR="001C278D" w:rsidRPr="00641932">
        <w:rPr>
          <w:rFonts w:eastAsia="Times New Roman" w:cs="Times New Roman"/>
          <w:color w:val="000000"/>
          <w:sz w:val="21"/>
          <w:szCs w:val="21"/>
          <w:lang w:eastAsia="en-GB"/>
        </w:rPr>
        <w:tab/>
        <w:t>Vale of Pickering - coin metal mix on artefact sites</w:t>
      </w:r>
      <w:r w:rsidR="001C278D" w:rsidRPr="00641932">
        <w:rPr>
          <w:rFonts w:eastAsia="Times New Roman" w:cs="Times New Roman"/>
          <w:color w:val="000000"/>
          <w:sz w:val="21"/>
          <w:szCs w:val="21"/>
          <w:lang w:eastAsia="en-GB"/>
        </w:rPr>
        <w:tab/>
      </w:r>
      <w:r w:rsidRPr="00641932">
        <w:rPr>
          <w:rFonts w:eastAsia="Times New Roman" w:cs="Times New Roman"/>
          <w:color w:val="000000"/>
          <w:sz w:val="21"/>
          <w:szCs w:val="21"/>
          <w:lang w:eastAsia="en-GB"/>
        </w:rPr>
        <w:t>PDF</w:t>
      </w:r>
      <w:r w:rsidRPr="00641932">
        <w:rPr>
          <w:rFonts w:eastAsia="Times New Roman" w:cs="Times New Roman"/>
          <w:color w:val="000000"/>
          <w:sz w:val="21"/>
          <w:szCs w:val="21"/>
          <w:lang w:eastAsia="en-GB"/>
        </w:rPr>
        <w:tab/>
        <w:t>2</w:t>
      </w:r>
    </w:p>
    <w:p w14:paraId="60955DF2" w14:textId="062CF17A" w:rsidR="001C278D" w:rsidRPr="00641932" w:rsidRDefault="00810052"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001C278D" w:rsidRPr="00641932">
        <w:rPr>
          <w:rFonts w:eastAsia="Times New Roman" w:cs="Times New Roman"/>
          <w:color w:val="000000"/>
          <w:sz w:val="21"/>
          <w:szCs w:val="21"/>
          <w:lang w:eastAsia="en-GB"/>
        </w:rPr>
        <w:tab/>
        <w:t>8.40</w:t>
      </w:r>
      <w:r w:rsidR="001C278D" w:rsidRPr="00641932">
        <w:rPr>
          <w:rFonts w:eastAsia="Times New Roman" w:cs="Times New Roman"/>
          <w:color w:val="000000"/>
          <w:sz w:val="21"/>
          <w:szCs w:val="21"/>
          <w:lang w:eastAsia="en-GB"/>
        </w:rPr>
        <w:tab/>
        <w:t>Vale of Pickering - coin age mix on artefact sites</w:t>
      </w:r>
      <w:r w:rsidR="001C278D" w:rsidRPr="00641932">
        <w:rPr>
          <w:rFonts w:eastAsia="Times New Roman" w:cs="Times New Roman"/>
          <w:color w:val="000000"/>
          <w:sz w:val="21"/>
          <w:szCs w:val="21"/>
          <w:lang w:eastAsia="en-GB"/>
        </w:rPr>
        <w:tab/>
      </w:r>
      <w:r w:rsidRPr="00641932">
        <w:rPr>
          <w:rFonts w:eastAsia="Times New Roman" w:cs="Times New Roman"/>
          <w:color w:val="000000"/>
          <w:sz w:val="21"/>
          <w:szCs w:val="21"/>
          <w:lang w:eastAsia="en-GB"/>
        </w:rPr>
        <w:t>PDF</w:t>
      </w:r>
      <w:r w:rsidRPr="00641932">
        <w:rPr>
          <w:rFonts w:eastAsia="Times New Roman" w:cs="Times New Roman"/>
          <w:color w:val="000000"/>
          <w:sz w:val="21"/>
          <w:szCs w:val="21"/>
          <w:lang w:eastAsia="en-GB"/>
        </w:rPr>
        <w:tab/>
        <w:t>2</w:t>
      </w:r>
    </w:p>
    <w:p w14:paraId="5D420563"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8.41</w:t>
      </w:r>
      <w:r w:rsidRPr="00641932">
        <w:rPr>
          <w:rFonts w:eastAsia="Times New Roman" w:cs="Times New Roman"/>
          <w:color w:val="000000"/>
          <w:sz w:val="21"/>
          <w:szCs w:val="21"/>
          <w:lang w:eastAsia="en-GB"/>
        </w:rPr>
        <w:tab/>
        <w:t>Bamburgh</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35340B52" w14:textId="116055B9" w:rsidR="00810052" w:rsidRDefault="00810052"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001C278D" w:rsidRPr="00641932">
        <w:rPr>
          <w:rFonts w:eastAsia="Times New Roman" w:cs="Times New Roman"/>
          <w:color w:val="000000"/>
          <w:sz w:val="21"/>
          <w:szCs w:val="21"/>
          <w:lang w:eastAsia="en-GB"/>
        </w:rPr>
        <w:tab/>
        <w:t>8.42</w:t>
      </w:r>
      <w:r w:rsidR="001C278D" w:rsidRPr="00641932">
        <w:rPr>
          <w:rFonts w:eastAsia="Times New Roman" w:cs="Times New Roman"/>
          <w:color w:val="000000"/>
          <w:sz w:val="21"/>
          <w:szCs w:val="21"/>
          <w:lang w:eastAsia="en-GB"/>
        </w:rPr>
        <w:tab/>
        <w:t>Whitby</w:t>
      </w:r>
      <w:r w:rsidR="001C278D" w:rsidRPr="00641932">
        <w:rPr>
          <w:rFonts w:eastAsia="Times New Roman" w:cs="Times New Roman"/>
          <w:color w:val="000000"/>
          <w:sz w:val="21"/>
          <w:szCs w:val="21"/>
          <w:lang w:eastAsia="en-GB"/>
        </w:rPr>
        <w:tab/>
      </w:r>
      <w:r w:rsidRPr="00641932">
        <w:rPr>
          <w:rFonts w:eastAsia="Times New Roman" w:cs="Times New Roman"/>
          <w:color w:val="000000"/>
          <w:sz w:val="21"/>
          <w:szCs w:val="21"/>
          <w:lang w:eastAsia="en-GB"/>
        </w:rPr>
        <w:t>PDF</w:t>
      </w:r>
      <w:r w:rsidRPr="00641932">
        <w:rPr>
          <w:rFonts w:eastAsia="Times New Roman" w:cs="Times New Roman"/>
          <w:color w:val="000000"/>
          <w:sz w:val="21"/>
          <w:szCs w:val="21"/>
          <w:lang w:eastAsia="en-GB"/>
        </w:rPr>
        <w:tab/>
        <w:t>2</w:t>
      </w:r>
    </w:p>
    <w:p w14:paraId="45A38381" w14:textId="4C3C0260"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8.43</w:t>
      </w:r>
      <w:r w:rsidRPr="00641932">
        <w:rPr>
          <w:rFonts w:eastAsia="Times New Roman" w:cs="Times New Roman"/>
          <w:color w:val="000000"/>
          <w:sz w:val="21"/>
          <w:szCs w:val="21"/>
          <w:lang w:eastAsia="en-GB"/>
        </w:rPr>
        <w:tab/>
        <w:t>Bude's analysis of Eadberht's dies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CF8B691"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8.44</w:t>
      </w:r>
      <w:r w:rsidRPr="00641932">
        <w:rPr>
          <w:rFonts w:eastAsia="Times New Roman" w:cs="Times New Roman"/>
          <w:color w:val="000000"/>
          <w:sz w:val="21"/>
          <w:szCs w:val="21"/>
          <w:lang w:eastAsia="en-GB"/>
        </w:rPr>
        <w:tab/>
        <w:t>Ipswich - site finds by variety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C80B62F"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8.45</w:t>
      </w:r>
      <w:r w:rsidRPr="00641932">
        <w:rPr>
          <w:rFonts w:eastAsia="Times New Roman" w:cs="Times New Roman"/>
          <w:color w:val="000000"/>
          <w:sz w:val="21"/>
          <w:szCs w:val="21"/>
          <w:lang w:eastAsia="en-GB"/>
        </w:rPr>
        <w:tab/>
        <w:t>Lundenwic - site finds by variety</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0DA1D4A"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9.01</w:t>
      </w:r>
      <w:r w:rsidRPr="00641932">
        <w:rPr>
          <w:rFonts w:eastAsia="Times New Roman" w:cs="Times New Roman"/>
          <w:color w:val="000000"/>
          <w:sz w:val="21"/>
          <w:szCs w:val="21"/>
          <w:lang w:eastAsia="en-GB"/>
        </w:rPr>
        <w:tab/>
        <w:t>Styca weight analysis</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5AA26F28"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Dataset</w:t>
      </w:r>
      <w:r w:rsidRPr="00641932">
        <w:rPr>
          <w:rFonts w:eastAsia="Times New Roman" w:cs="Times New Roman"/>
          <w:color w:val="000000"/>
          <w:sz w:val="21"/>
          <w:szCs w:val="21"/>
          <w:lang w:eastAsia="en-GB"/>
        </w:rPr>
        <w:tab/>
        <w:t>9.02</w:t>
      </w:r>
      <w:r w:rsidRPr="00641932">
        <w:rPr>
          <w:rFonts w:eastAsia="Times New Roman" w:cs="Times New Roman"/>
          <w:color w:val="000000"/>
          <w:sz w:val="21"/>
          <w:szCs w:val="21"/>
          <w:lang w:eastAsia="en-GB"/>
        </w:rPr>
        <w:tab/>
        <w:t>Styca Composition CKN</w:t>
      </w:r>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248F321E"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9.03</w:t>
      </w:r>
      <w:r w:rsidRPr="00641932">
        <w:rPr>
          <w:rFonts w:eastAsia="Times New Roman" w:cs="Times New Roman"/>
          <w:color w:val="000000"/>
          <w:sz w:val="21"/>
          <w:szCs w:val="21"/>
          <w:lang w:eastAsia="en-GB"/>
        </w:rPr>
        <w:tab/>
        <w:t>Styca weight analysis - Abramson</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2482618C"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9.04</w:t>
      </w:r>
      <w:r w:rsidRPr="00641932">
        <w:rPr>
          <w:rFonts w:eastAsia="Times New Roman" w:cs="Times New Roman"/>
          <w:color w:val="000000"/>
          <w:sz w:val="21"/>
          <w:szCs w:val="21"/>
          <w:lang w:eastAsia="en-GB"/>
        </w:rPr>
        <w:tab/>
        <w:t>Sceat and Styca weights analysis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38E4F7A0"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9.05</w:t>
      </w:r>
      <w:r w:rsidRPr="00641932">
        <w:rPr>
          <w:rFonts w:eastAsia="Times New Roman" w:cs="Times New Roman"/>
          <w:color w:val="000000"/>
          <w:sz w:val="21"/>
          <w:szCs w:val="21"/>
          <w:lang w:eastAsia="en-GB"/>
        </w:rPr>
        <w:tab/>
        <w:t>Styca die axes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42FC7EB4"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9.06</w:t>
      </w:r>
      <w:r w:rsidRPr="00641932">
        <w:rPr>
          <w:rFonts w:eastAsia="Times New Roman" w:cs="Times New Roman"/>
          <w:color w:val="000000"/>
          <w:sz w:val="21"/>
          <w:szCs w:val="21"/>
          <w:lang w:eastAsia="en-GB"/>
        </w:rPr>
        <w:tab/>
        <w:t>Styca motif analysis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B95A777"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9.07</w:t>
      </w:r>
      <w:r w:rsidRPr="00641932">
        <w:rPr>
          <w:rFonts w:eastAsia="Times New Roman" w:cs="Times New Roman"/>
          <w:color w:val="000000"/>
          <w:sz w:val="21"/>
          <w:szCs w:val="21"/>
          <w:lang w:eastAsia="en-GB"/>
        </w:rPr>
        <w:tab/>
        <w:t>Findspot index &amp; numerical analysis</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67466588" w14:textId="6746F2F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9.08</w:t>
      </w:r>
      <w:r w:rsidRPr="00641932">
        <w:rPr>
          <w:rFonts w:eastAsia="Times New Roman" w:cs="Times New Roman"/>
          <w:color w:val="000000"/>
          <w:sz w:val="21"/>
          <w:szCs w:val="21"/>
          <w:lang w:eastAsia="en-GB"/>
        </w:rPr>
        <w:tab/>
      </w:r>
      <w:r w:rsidR="006E16F2" w:rsidRPr="00395B35">
        <w:rPr>
          <w:rFonts w:eastAsia="Times New Roman" w:cs="Times New Roman"/>
          <w:color w:val="000000"/>
          <w:sz w:val="21"/>
          <w:szCs w:val="21"/>
          <w:lang w:eastAsia="en-GB"/>
        </w:rPr>
        <w:t>Coins, pins and strap ends</w:t>
      </w:r>
      <w:r w:rsidR="006E16F2" w:rsidRPr="00641932">
        <w:rPr>
          <w:rFonts w:eastAsia="Times New Roman" w:cs="Times New Roman"/>
          <w:color w:val="000000"/>
          <w:sz w:val="21"/>
          <w:szCs w:val="21"/>
          <w:lang w:eastAsia="en-GB"/>
        </w:rPr>
        <w:t xml:space="preserve"> </w:t>
      </w:r>
      <w:r w:rsidR="006E16F2">
        <w:rPr>
          <w:rFonts w:eastAsia="Times New Roman" w:cs="Times New Roman"/>
          <w:color w:val="000000"/>
          <w:sz w:val="21"/>
          <w:szCs w:val="21"/>
          <w:lang w:eastAsia="en-GB"/>
        </w:rPr>
        <w:tab/>
      </w:r>
      <w:r w:rsidRPr="00641932">
        <w:rPr>
          <w:rFonts w:eastAsia="Times New Roman" w:cs="Times New Roman"/>
          <w:color w:val="000000"/>
          <w:sz w:val="21"/>
          <w:szCs w:val="21"/>
          <w:lang w:eastAsia="en-GB"/>
        </w:rPr>
        <w:t>PDF</w:t>
      </w:r>
      <w:r w:rsidRPr="00641932">
        <w:rPr>
          <w:rFonts w:eastAsia="Times New Roman" w:cs="Times New Roman"/>
          <w:color w:val="000000"/>
          <w:sz w:val="21"/>
          <w:szCs w:val="21"/>
          <w:lang w:eastAsia="en-GB"/>
        </w:rPr>
        <w:tab/>
        <w:t>2</w:t>
      </w:r>
    </w:p>
    <w:p w14:paraId="12B2026D"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Table</w:t>
      </w:r>
      <w:r w:rsidRPr="00641932">
        <w:rPr>
          <w:rFonts w:eastAsia="Times New Roman" w:cs="Times New Roman"/>
          <w:color w:val="000000"/>
          <w:sz w:val="21"/>
          <w:szCs w:val="21"/>
          <w:lang w:eastAsia="en-GB"/>
        </w:rPr>
        <w:tab/>
        <w:t>9.09</w:t>
      </w:r>
      <w:r w:rsidRPr="00641932">
        <w:rPr>
          <w:rFonts w:eastAsia="Times New Roman" w:cs="Times New Roman"/>
          <w:color w:val="000000"/>
          <w:sz w:val="21"/>
          <w:szCs w:val="21"/>
          <w:lang w:eastAsia="en-GB"/>
        </w:rPr>
        <w:tab/>
        <w:t>Stycas of Wulfhere</w:t>
      </w:r>
      <w:r w:rsidRPr="00641932">
        <w:rPr>
          <w:rFonts w:eastAsia="Times New Roman" w:cs="Times New Roman"/>
          <w:color w:val="000000"/>
          <w:sz w:val="21"/>
          <w:szCs w:val="21"/>
          <w:lang w:eastAsia="en-GB"/>
        </w:rPr>
        <w:tab/>
        <w:t>PDF</w:t>
      </w:r>
      <w:r w:rsidRPr="00641932">
        <w:rPr>
          <w:rFonts w:eastAsia="Times New Roman" w:cs="Times New Roman"/>
          <w:color w:val="000000"/>
          <w:sz w:val="21"/>
          <w:szCs w:val="21"/>
          <w:lang w:eastAsia="en-GB"/>
        </w:rPr>
        <w:tab/>
        <w:t>2</w:t>
      </w:r>
    </w:p>
    <w:p w14:paraId="5213D847" w14:textId="77777777" w:rsidR="001C278D" w:rsidRPr="00641932" w:rsidRDefault="001C278D" w:rsidP="00305A76">
      <w:pPr>
        <w:tabs>
          <w:tab w:val="left" w:pos="710"/>
          <w:tab w:val="left" w:pos="1668"/>
          <w:tab w:val="left" w:pos="7054"/>
          <w:tab w:val="left" w:pos="8472"/>
        </w:tabs>
        <w:spacing w:after="0"/>
        <w:ind w:left="-459" w:right="-188"/>
        <w:rPr>
          <w:rFonts w:eastAsia="Times New Roman" w:cs="Times New Roman"/>
          <w:color w:val="000000"/>
          <w:sz w:val="21"/>
          <w:szCs w:val="21"/>
          <w:lang w:eastAsia="en-GB"/>
        </w:rPr>
      </w:pPr>
      <w:r w:rsidRPr="00641932">
        <w:rPr>
          <w:rFonts w:eastAsia="Times New Roman" w:cs="Times New Roman"/>
          <w:color w:val="000000"/>
          <w:sz w:val="21"/>
          <w:szCs w:val="21"/>
          <w:lang w:eastAsia="en-GB"/>
        </w:rPr>
        <w:t>Worksheet</w:t>
      </w:r>
      <w:r w:rsidRPr="00641932">
        <w:rPr>
          <w:rFonts w:eastAsia="Times New Roman" w:cs="Times New Roman"/>
          <w:color w:val="000000"/>
          <w:sz w:val="21"/>
          <w:szCs w:val="21"/>
          <w:lang w:eastAsia="en-GB"/>
        </w:rPr>
        <w:tab/>
        <w:t>9.10</w:t>
      </w:r>
      <w:r w:rsidRPr="00641932">
        <w:rPr>
          <w:rFonts w:eastAsia="Times New Roman" w:cs="Times New Roman"/>
          <w:color w:val="000000"/>
          <w:sz w:val="21"/>
          <w:szCs w:val="21"/>
          <w:lang w:eastAsia="en-GB"/>
        </w:rPr>
        <w:tab/>
        <w:t xml:space="preserve">Relative values: </w:t>
      </w:r>
      <w:proofErr w:type="spellStart"/>
      <w:r w:rsidRPr="00641932">
        <w:rPr>
          <w:rFonts w:eastAsia="Times New Roman" w:cs="Times New Roman"/>
          <w:color w:val="000000"/>
          <w:sz w:val="21"/>
          <w:szCs w:val="21"/>
          <w:lang w:eastAsia="en-GB"/>
        </w:rPr>
        <w:t>Cu:Ar</w:t>
      </w:r>
      <w:proofErr w:type="spellEnd"/>
      <w:r w:rsidRPr="00641932">
        <w:rPr>
          <w:rFonts w:eastAsia="Times New Roman" w:cs="Times New Roman"/>
          <w:color w:val="000000"/>
          <w:sz w:val="21"/>
          <w:szCs w:val="21"/>
          <w:lang w:eastAsia="en-GB"/>
        </w:rPr>
        <w:tab/>
        <w:t>Excel®</w:t>
      </w:r>
      <w:r w:rsidRPr="00641932">
        <w:rPr>
          <w:rFonts w:eastAsia="Times New Roman" w:cs="Times New Roman"/>
          <w:color w:val="000000"/>
          <w:sz w:val="21"/>
          <w:szCs w:val="21"/>
          <w:lang w:eastAsia="en-GB"/>
        </w:rPr>
        <w:tab/>
        <w:t>3</w:t>
      </w:r>
    </w:p>
    <w:p w14:paraId="353EFBB7" w14:textId="77777777" w:rsidR="00426197" w:rsidRPr="00EC0229" w:rsidRDefault="00426197" w:rsidP="007600EA">
      <w:pPr>
        <w:pStyle w:val="NoSpacing"/>
        <w:spacing w:line="276" w:lineRule="auto"/>
        <w:rPr>
          <w:szCs w:val="24"/>
        </w:rPr>
      </w:pPr>
    </w:p>
    <w:p w14:paraId="4497D777" w14:textId="77777777" w:rsidR="00D744D3" w:rsidRPr="00EC0229" w:rsidRDefault="00D744D3" w:rsidP="007600EA">
      <w:pPr>
        <w:pStyle w:val="NoSpacing"/>
        <w:spacing w:line="276" w:lineRule="auto"/>
        <w:ind w:left="1418"/>
      </w:pPr>
    </w:p>
    <w:p w14:paraId="31A8107D" w14:textId="638D06AF" w:rsidR="00AF79E7" w:rsidRPr="00EC0229" w:rsidRDefault="00BC0B7E" w:rsidP="00EF7EC2">
      <w:pPr>
        <w:pStyle w:val="Heading1"/>
        <w:spacing w:line="276" w:lineRule="auto"/>
      </w:pPr>
      <w:bookmarkStart w:id="33" w:name="Graphs"/>
      <w:bookmarkStart w:id="34" w:name="_Toc468266731"/>
      <w:bookmarkEnd w:id="33"/>
      <w:r w:rsidRPr="00EC0229">
        <w:t xml:space="preserve">List of </w:t>
      </w:r>
      <w:r w:rsidR="00AF79E7" w:rsidRPr="00EC0229">
        <w:t>Graphs</w:t>
      </w:r>
      <w:r w:rsidR="00426197" w:rsidRPr="00EC0229">
        <w:t xml:space="preserve"> (Volume 2)</w:t>
      </w:r>
      <w:bookmarkEnd w:id="34"/>
    </w:p>
    <w:p w14:paraId="22621B68" w14:textId="37554A75" w:rsidR="00EF7EC2" w:rsidRDefault="00EF7EC2" w:rsidP="00EF7EC2">
      <w:pPr>
        <w:pStyle w:val="NoSpacing"/>
        <w:spacing w:line="276" w:lineRule="auto"/>
      </w:pPr>
      <w:r w:rsidRPr="00EF7EC2">
        <w:t>Graph 3.01</w:t>
      </w:r>
      <w:r>
        <w:t>:</w:t>
      </w:r>
      <w:r>
        <w:tab/>
      </w:r>
      <w:r w:rsidRPr="00EF7EC2">
        <w:t>Annualised ninth-century coin finds</w:t>
      </w:r>
    </w:p>
    <w:p w14:paraId="5179E8FA" w14:textId="28B5B553" w:rsidR="00EF7EC2" w:rsidRDefault="00EF7EC2" w:rsidP="00EF7EC2">
      <w:pPr>
        <w:pStyle w:val="NoSpacing"/>
        <w:spacing w:line="276" w:lineRule="auto"/>
      </w:pPr>
      <w:r>
        <w:t>Graph 6.01:</w:t>
      </w:r>
      <w:r>
        <w:tab/>
        <w:t xml:space="preserve">Hoards and single finds </w:t>
      </w:r>
    </w:p>
    <w:p w14:paraId="06064E02" w14:textId="44D5EC69" w:rsidR="005F02DD" w:rsidRPr="00EF7EC2" w:rsidRDefault="00EF129A" w:rsidP="00EF7EC2">
      <w:pPr>
        <w:pStyle w:val="NoSpacing"/>
        <w:spacing w:line="276" w:lineRule="auto"/>
        <w:rPr>
          <w:rFonts w:ascii="Calibri" w:hAnsi="Calibri" w:cs="Calibri"/>
          <w:sz w:val="20"/>
          <w:szCs w:val="20"/>
        </w:rPr>
      </w:pPr>
      <w:r>
        <w:t>Graph 7.01</w:t>
      </w:r>
      <w:r w:rsidR="008350A1">
        <w:t>:</w:t>
      </w:r>
      <w:r w:rsidR="00EF7EC2">
        <w:tab/>
      </w:r>
      <w:r w:rsidR="005F02DD">
        <w:t>Dataset</w:t>
      </w:r>
      <w:r w:rsidR="005F02DD" w:rsidRPr="00686299">
        <w:t xml:space="preserve"> selections A-F</w:t>
      </w:r>
    </w:p>
    <w:p w14:paraId="705E35BF" w14:textId="0623328E" w:rsidR="005F02DD" w:rsidRDefault="00EF129A" w:rsidP="00EF7EC2">
      <w:pPr>
        <w:pStyle w:val="NoSpacing"/>
        <w:spacing w:line="276" w:lineRule="auto"/>
      </w:pPr>
      <w:r>
        <w:t>Graph 7.02-7.12</w:t>
      </w:r>
      <w:r w:rsidR="008350A1">
        <w:t>:</w:t>
      </w:r>
      <w:r w:rsidR="005F02DD" w:rsidRPr="00AD3EB0">
        <w:t xml:space="preserve"> </w:t>
      </w:r>
      <w:r w:rsidR="005F02DD">
        <w:t>Site finds by period, regionally</w:t>
      </w:r>
      <w:r>
        <w:t>,</w:t>
      </w:r>
      <w:r w:rsidR="005F02DD">
        <w:t xml:space="preserve"> by weighted average of peak activity: </w:t>
      </w:r>
    </w:p>
    <w:p w14:paraId="6940D81F" w14:textId="1C927C8C" w:rsidR="005F02DD" w:rsidRDefault="00EF129A" w:rsidP="00EF7EC2">
      <w:pPr>
        <w:pStyle w:val="NoSpacing"/>
        <w:spacing w:line="276" w:lineRule="auto"/>
        <w:ind w:firstLine="720"/>
      </w:pPr>
      <w:r>
        <w:t>Graph 7.0</w:t>
      </w:r>
      <w:r w:rsidR="00E14AEB">
        <w:t>2</w:t>
      </w:r>
      <w:r w:rsidR="008350A1">
        <w:t>:</w:t>
      </w:r>
      <w:r w:rsidR="005F02DD">
        <w:tab/>
      </w:r>
      <w:r w:rsidR="005F02DD" w:rsidRPr="004434F1">
        <w:t>York</w:t>
      </w:r>
      <w:r w:rsidR="005F02DD">
        <w:t xml:space="preserve"> &amp; its environs</w:t>
      </w:r>
      <w:r w:rsidR="005F02DD" w:rsidRPr="004434F1">
        <w:fldChar w:fldCharType="begin"/>
      </w:r>
      <w:r w:rsidR="005F02DD">
        <w:instrText xml:space="preserve"> XE "</w:instrText>
      </w:r>
      <w:r w:rsidR="005F02DD" w:rsidRPr="004434F1">
        <w:rPr>
          <w:noProof/>
        </w:rPr>
        <w:instrText>York</w:instrText>
      </w:r>
      <w:r w:rsidR="005F02DD">
        <w:instrText xml:space="preserve">" </w:instrText>
      </w:r>
      <w:r w:rsidR="005F02DD" w:rsidRPr="004434F1">
        <w:fldChar w:fldCharType="end"/>
      </w:r>
    </w:p>
    <w:p w14:paraId="77B0014A" w14:textId="42F2FCD2" w:rsidR="005F02DD" w:rsidRDefault="00EF129A" w:rsidP="00EF7EC2">
      <w:pPr>
        <w:pStyle w:val="NoSpacing"/>
        <w:spacing w:line="276" w:lineRule="auto"/>
        <w:ind w:firstLine="720"/>
      </w:pPr>
      <w:r>
        <w:t>Graph 7.03</w:t>
      </w:r>
      <w:r w:rsidR="008350A1">
        <w:t>:</w:t>
      </w:r>
      <w:r w:rsidR="005F02DD">
        <w:t xml:space="preserve"> </w:t>
      </w:r>
      <w:r w:rsidR="005F02DD">
        <w:tab/>
        <w:t xml:space="preserve">The Yorkshire </w:t>
      </w:r>
      <w:r w:rsidR="005F02DD" w:rsidRPr="004434F1">
        <w:t>Wolds</w:t>
      </w:r>
      <w:r w:rsidR="005F02DD" w:rsidRPr="004434F1">
        <w:fldChar w:fldCharType="begin"/>
      </w:r>
      <w:r w:rsidR="005F02DD">
        <w:instrText xml:space="preserve"> XE "</w:instrText>
      </w:r>
      <w:r w:rsidR="005F02DD" w:rsidRPr="004434F1">
        <w:rPr>
          <w:rFonts w:cs="Times New Roman"/>
          <w:noProof/>
        </w:rPr>
        <w:instrText>Wolds</w:instrText>
      </w:r>
      <w:r w:rsidR="005F02DD">
        <w:instrText xml:space="preserve">" </w:instrText>
      </w:r>
      <w:r w:rsidR="005F02DD" w:rsidRPr="004434F1">
        <w:fldChar w:fldCharType="end"/>
      </w:r>
      <w:r>
        <w:t>, west</w:t>
      </w:r>
    </w:p>
    <w:p w14:paraId="362E6088" w14:textId="485EF937" w:rsidR="005F02DD" w:rsidRDefault="00EF129A" w:rsidP="00EF7EC2">
      <w:pPr>
        <w:pStyle w:val="NoSpacing"/>
        <w:spacing w:line="276" w:lineRule="auto"/>
        <w:ind w:firstLine="720"/>
      </w:pPr>
      <w:r>
        <w:t>Graph 7.04</w:t>
      </w:r>
      <w:r w:rsidR="008350A1">
        <w:t>:</w:t>
      </w:r>
      <w:r w:rsidR="005F02DD">
        <w:tab/>
        <w:t>The Yorkshire</w:t>
      </w:r>
      <w:r>
        <w:t xml:space="preserve"> Wolds, central</w:t>
      </w:r>
    </w:p>
    <w:p w14:paraId="700AE4F1" w14:textId="29F0A302" w:rsidR="00EF129A" w:rsidRDefault="00EF129A" w:rsidP="00EF7EC2">
      <w:pPr>
        <w:pStyle w:val="NoSpacing"/>
        <w:spacing w:line="276" w:lineRule="auto"/>
        <w:ind w:firstLine="720"/>
      </w:pPr>
      <w:r>
        <w:t>Graph 7.05:</w:t>
      </w:r>
      <w:r>
        <w:tab/>
        <w:t>The Yorkshire Wolds, east</w:t>
      </w:r>
    </w:p>
    <w:p w14:paraId="2C3A0392" w14:textId="3F257605" w:rsidR="005F02DD" w:rsidRPr="004434F1" w:rsidRDefault="00EF129A" w:rsidP="00EF7EC2">
      <w:pPr>
        <w:pStyle w:val="NoSpacing"/>
        <w:spacing w:line="276" w:lineRule="auto"/>
        <w:ind w:firstLine="720"/>
      </w:pPr>
      <w:r>
        <w:t>Graph 7.06</w:t>
      </w:r>
      <w:r w:rsidR="008350A1">
        <w:t>:</w:t>
      </w:r>
      <w:r w:rsidR="005F02DD">
        <w:t xml:space="preserve"> </w:t>
      </w:r>
      <w:r w:rsidR="005F02DD">
        <w:tab/>
        <w:t xml:space="preserve">The </w:t>
      </w:r>
      <w:r w:rsidR="005F02DD" w:rsidRPr="004434F1">
        <w:t>Vale of Pickering</w:t>
      </w:r>
      <w:r w:rsidR="005F02DD" w:rsidRPr="004434F1">
        <w:fldChar w:fldCharType="begin"/>
      </w:r>
      <w:r w:rsidR="005F02DD">
        <w:instrText xml:space="preserve"> XE "</w:instrText>
      </w:r>
      <w:r w:rsidR="005F02DD" w:rsidRPr="004434F1">
        <w:rPr>
          <w:rFonts w:cs="Times New Roman"/>
          <w:noProof/>
        </w:rPr>
        <w:instrText>Vale of Pickering</w:instrText>
      </w:r>
      <w:r w:rsidR="005F02DD">
        <w:instrText xml:space="preserve">" </w:instrText>
      </w:r>
      <w:r w:rsidR="005F02DD" w:rsidRPr="004434F1">
        <w:fldChar w:fldCharType="end"/>
      </w:r>
    </w:p>
    <w:p w14:paraId="48A7BA6D" w14:textId="20247FD5" w:rsidR="005F02DD" w:rsidRDefault="00EF129A" w:rsidP="00EF7EC2">
      <w:pPr>
        <w:pStyle w:val="NoSpacing"/>
        <w:spacing w:line="276" w:lineRule="auto"/>
        <w:ind w:firstLine="720"/>
      </w:pPr>
      <w:r>
        <w:t>Graph 7.07</w:t>
      </w:r>
      <w:r w:rsidR="008350A1">
        <w:t>:</w:t>
      </w:r>
      <w:r w:rsidR="005F02DD">
        <w:t xml:space="preserve"> </w:t>
      </w:r>
      <w:r w:rsidR="005F02DD">
        <w:tab/>
      </w:r>
      <w:r w:rsidR="005F02DD" w:rsidRPr="004434F1">
        <w:t>Deira</w:t>
      </w:r>
    </w:p>
    <w:p w14:paraId="65A7BEE3" w14:textId="2DA748AD" w:rsidR="005F02DD" w:rsidRDefault="00EF129A" w:rsidP="00EF7EC2">
      <w:pPr>
        <w:pStyle w:val="NoSpacing"/>
        <w:spacing w:line="276" w:lineRule="auto"/>
        <w:ind w:firstLine="720"/>
      </w:pPr>
      <w:r>
        <w:t>Graph 7.08</w:t>
      </w:r>
      <w:r w:rsidR="008350A1">
        <w:t>:</w:t>
      </w:r>
      <w:r w:rsidR="005F02DD">
        <w:t xml:space="preserve"> </w:t>
      </w:r>
      <w:r w:rsidR="005F02DD">
        <w:tab/>
      </w:r>
      <w:r w:rsidR="005F02DD" w:rsidRPr="004434F1">
        <w:t>Bernicia</w:t>
      </w:r>
      <w:r w:rsidR="005F02DD" w:rsidRPr="004434F1">
        <w:fldChar w:fldCharType="begin"/>
      </w:r>
      <w:r w:rsidR="005F02DD">
        <w:instrText xml:space="preserve"> XE "</w:instrText>
      </w:r>
      <w:r w:rsidR="005F02DD" w:rsidRPr="004434F1">
        <w:rPr>
          <w:rFonts w:cs="Times New Roman"/>
          <w:noProof/>
        </w:rPr>
        <w:instrText>Bernicia</w:instrText>
      </w:r>
      <w:r w:rsidR="005F02DD">
        <w:instrText xml:space="preserve">" </w:instrText>
      </w:r>
      <w:r w:rsidR="005F02DD" w:rsidRPr="004434F1">
        <w:fldChar w:fldCharType="end"/>
      </w:r>
      <w:r>
        <w:t xml:space="preserve"> i</w:t>
      </w:r>
    </w:p>
    <w:p w14:paraId="6F52FBC1" w14:textId="36707D46" w:rsidR="005F02DD" w:rsidRDefault="00EF129A" w:rsidP="00EF7EC2">
      <w:pPr>
        <w:pStyle w:val="NoSpacing"/>
        <w:spacing w:line="276" w:lineRule="auto"/>
        <w:ind w:firstLine="720"/>
      </w:pPr>
      <w:r>
        <w:t>Graph 7.09</w:t>
      </w:r>
      <w:r w:rsidR="008350A1">
        <w:t>:</w:t>
      </w:r>
      <w:r w:rsidR="005F02DD">
        <w:t xml:space="preserve"> </w:t>
      </w:r>
      <w:r w:rsidR="005F02DD">
        <w:tab/>
      </w:r>
      <w:r w:rsidRPr="004434F1">
        <w:t>Bernicia</w:t>
      </w:r>
      <w:r w:rsidRPr="004434F1">
        <w:fldChar w:fldCharType="begin"/>
      </w:r>
      <w:r>
        <w:instrText xml:space="preserve"> XE "</w:instrText>
      </w:r>
      <w:r w:rsidRPr="004434F1">
        <w:rPr>
          <w:rFonts w:cs="Times New Roman"/>
          <w:noProof/>
        </w:rPr>
        <w:instrText>Bernicia</w:instrText>
      </w:r>
      <w:r>
        <w:instrText xml:space="preserve">" </w:instrText>
      </w:r>
      <w:r w:rsidRPr="004434F1">
        <w:fldChar w:fldCharType="end"/>
      </w:r>
      <w:r>
        <w:t xml:space="preserve"> ii</w:t>
      </w:r>
    </w:p>
    <w:p w14:paraId="73FE87F5" w14:textId="3AA49084" w:rsidR="00EF129A" w:rsidRDefault="00EF129A" w:rsidP="00EF7EC2">
      <w:pPr>
        <w:pStyle w:val="NoSpacing"/>
        <w:spacing w:line="276" w:lineRule="auto"/>
        <w:ind w:firstLine="720"/>
      </w:pPr>
      <w:r>
        <w:t>Graph 7.1</w:t>
      </w:r>
      <w:r w:rsidR="007F5EE4">
        <w:t>0</w:t>
      </w:r>
      <w:r w:rsidRPr="00EF129A">
        <w:t xml:space="preserve"> </w:t>
      </w:r>
      <w:r>
        <w:tab/>
      </w:r>
      <w:r w:rsidRPr="004434F1">
        <w:t>Southumbria</w:t>
      </w:r>
      <w:r>
        <w:t xml:space="preserve"> i</w:t>
      </w:r>
    </w:p>
    <w:p w14:paraId="758F5031" w14:textId="407C035C" w:rsidR="00EF129A" w:rsidRDefault="007F5EE4" w:rsidP="00EF7EC2">
      <w:pPr>
        <w:pStyle w:val="NoSpacing"/>
        <w:spacing w:line="276" w:lineRule="auto"/>
        <w:ind w:firstLine="720"/>
      </w:pPr>
      <w:r>
        <w:t>Graph 7.11</w:t>
      </w:r>
      <w:r w:rsidR="00EF129A" w:rsidRPr="00EF129A">
        <w:t xml:space="preserve"> </w:t>
      </w:r>
      <w:r w:rsidR="00EF129A">
        <w:tab/>
      </w:r>
      <w:r w:rsidR="00EF129A" w:rsidRPr="004434F1">
        <w:t>Southumbria</w:t>
      </w:r>
      <w:r w:rsidR="00EF129A">
        <w:t xml:space="preserve"> ii</w:t>
      </w:r>
      <w:r w:rsidR="00EF129A" w:rsidRPr="004434F1">
        <w:fldChar w:fldCharType="begin"/>
      </w:r>
      <w:r w:rsidR="00EF129A">
        <w:instrText xml:space="preserve"> XE "</w:instrText>
      </w:r>
      <w:r w:rsidR="00EF129A" w:rsidRPr="004434F1">
        <w:rPr>
          <w:noProof/>
        </w:rPr>
        <w:instrText>Southumbria</w:instrText>
      </w:r>
      <w:r w:rsidR="00EF129A">
        <w:instrText xml:space="preserve">" </w:instrText>
      </w:r>
      <w:r w:rsidR="00EF129A" w:rsidRPr="004434F1">
        <w:fldChar w:fldCharType="end"/>
      </w:r>
    </w:p>
    <w:p w14:paraId="77371A76" w14:textId="2758AF2C" w:rsidR="00EF129A" w:rsidRDefault="00EF129A" w:rsidP="00EF7EC2">
      <w:pPr>
        <w:pStyle w:val="NoSpacing"/>
        <w:spacing w:line="276" w:lineRule="auto"/>
        <w:ind w:firstLine="720"/>
      </w:pPr>
      <w:r>
        <w:t>Graph 7.12</w:t>
      </w:r>
      <w:r w:rsidRPr="00EF129A">
        <w:t xml:space="preserve"> </w:t>
      </w:r>
      <w:r>
        <w:tab/>
        <w:t xml:space="preserve">The </w:t>
      </w:r>
      <w:r w:rsidRPr="004434F1">
        <w:t>Continental</w:t>
      </w:r>
    </w:p>
    <w:p w14:paraId="5D910D87" w14:textId="23A65921" w:rsidR="005F02DD" w:rsidRPr="008B4873" w:rsidRDefault="005F02DD" w:rsidP="00EF7EC2">
      <w:pPr>
        <w:pStyle w:val="NoSpacing"/>
        <w:spacing w:line="276" w:lineRule="auto"/>
      </w:pPr>
      <w:r>
        <w:t>Graph 8.01</w:t>
      </w:r>
      <w:r w:rsidR="008350A1">
        <w:t>:</w:t>
      </w:r>
      <w:r>
        <w:tab/>
        <w:t xml:space="preserve"> </w:t>
      </w:r>
      <w:r w:rsidRPr="008B4873">
        <w:t>Fishergate</w:t>
      </w:r>
      <w:r>
        <w:fldChar w:fldCharType="begin"/>
      </w:r>
      <w:r>
        <w:instrText xml:space="preserve"> XE "</w:instrText>
      </w:r>
      <w:r w:rsidRPr="004D76A0">
        <w:rPr>
          <w:rStyle w:val="Hyperlink"/>
          <w:noProof/>
        </w:rPr>
        <w:instrText>Fishergate</w:instrText>
      </w:r>
      <w:r>
        <w:instrText xml:space="preserve">" </w:instrText>
      </w:r>
      <w:r>
        <w:fldChar w:fldCharType="end"/>
      </w:r>
    </w:p>
    <w:p w14:paraId="20C0DBF9" w14:textId="52CE4AAF" w:rsidR="005F02DD" w:rsidRPr="008B4873" w:rsidRDefault="008350A1" w:rsidP="00EF7EC2">
      <w:pPr>
        <w:pStyle w:val="NoSpacing"/>
        <w:spacing w:line="276" w:lineRule="auto"/>
      </w:pPr>
      <w:r>
        <w:t>Graph 8.02a-c:</w:t>
      </w:r>
      <w:r w:rsidR="005F02DD">
        <w:t xml:space="preserve"> </w:t>
      </w:r>
      <w:r w:rsidR="005F02DD" w:rsidRPr="008B4873">
        <w:t xml:space="preserve">Blackburn </w:t>
      </w:r>
      <w:r w:rsidR="005F02DD">
        <w:t>(</w:t>
      </w:r>
      <w:r w:rsidR="005F02DD" w:rsidRPr="008B4873">
        <w:t>2011</w:t>
      </w:r>
      <w:r w:rsidR="005F02DD">
        <w:t>)</w:t>
      </w:r>
      <w:r w:rsidR="005F02DD" w:rsidRPr="008B4873">
        <w:t xml:space="preserve"> </w:t>
      </w:r>
      <w:r w:rsidR="005F02DD">
        <w:t xml:space="preserve">a) </w:t>
      </w:r>
      <w:r w:rsidR="005F02DD" w:rsidRPr="008B4873">
        <w:t>Hamwic</w:t>
      </w:r>
      <w:r w:rsidR="005F02DD">
        <w:t xml:space="preserve">, b) </w:t>
      </w:r>
      <w:r w:rsidR="005F02DD" w:rsidRPr="008B4873">
        <w:t>Lincoln</w:t>
      </w:r>
      <w:r w:rsidR="005F02DD">
        <w:t xml:space="preserve">, c) </w:t>
      </w:r>
      <w:r w:rsidR="005F02DD" w:rsidRPr="008B4873">
        <w:t>London</w:t>
      </w:r>
    </w:p>
    <w:p w14:paraId="21C39076" w14:textId="0F7991B1" w:rsidR="005F02DD" w:rsidRPr="008B4873" w:rsidRDefault="005F02DD" w:rsidP="00EF7EC2">
      <w:pPr>
        <w:pStyle w:val="NoSpacing"/>
        <w:spacing w:line="276" w:lineRule="auto"/>
      </w:pPr>
      <w:r>
        <w:t>Graph 8.03</w:t>
      </w:r>
      <w:r w:rsidR="008350A1">
        <w:t>:</w:t>
      </w:r>
      <w:r>
        <w:t xml:space="preserve"> </w:t>
      </w:r>
      <w:r>
        <w:tab/>
        <w:t xml:space="preserve"> Hayton with additional informal data</w:t>
      </w:r>
    </w:p>
    <w:p w14:paraId="08A93418" w14:textId="77777777" w:rsidR="00CA095D" w:rsidRPr="008B4873" w:rsidRDefault="00CA095D" w:rsidP="00CA095D">
      <w:pPr>
        <w:pStyle w:val="NoSpacing"/>
        <w:spacing w:line="276" w:lineRule="auto"/>
      </w:pPr>
      <w:r>
        <w:t>Graph 9.01:</w:t>
      </w:r>
      <w:r>
        <w:tab/>
        <w:t xml:space="preserve"> </w:t>
      </w:r>
      <w:r w:rsidRPr="004419C7">
        <w:t>Findspot index &amp; numerical analysis</w:t>
      </w:r>
      <w:r w:rsidRPr="00A41419">
        <w:t xml:space="preserve"> </w:t>
      </w:r>
      <w:r>
        <w:t xml:space="preserve">(See </w:t>
      </w:r>
      <w:r w:rsidRPr="00A41419">
        <w:rPr>
          <w:i/>
        </w:rPr>
        <w:t>Table 9.07</w:t>
      </w:r>
      <w:r w:rsidRPr="00A41419">
        <w:t>)</w:t>
      </w:r>
    </w:p>
    <w:p w14:paraId="4BCE1CD8" w14:textId="77777777" w:rsidR="00AF79E7" w:rsidRPr="00EC0229" w:rsidRDefault="00AF79E7" w:rsidP="00CA095D">
      <w:pPr>
        <w:pStyle w:val="NoSpacing"/>
        <w:spacing w:line="276" w:lineRule="auto"/>
      </w:pPr>
    </w:p>
    <w:p w14:paraId="3D355A7E" w14:textId="5D60C150" w:rsidR="00AF79E7" w:rsidRPr="00EC0229" w:rsidRDefault="00BC0B7E" w:rsidP="00EF7EC2">
      <w:pPr>
        <w:pStyle w:val="Heading1"/>
        <w:spacing w:line="276" w:lineRule="auto"/>
      </w:pPr>
      <w:bookmarkStart w:id="35" w:name="Plates"/>
      <w:bookmarkStart w:id="36" w:name="_Toc468266732"/>
      <w:bookmarkEnd w:id="35"/>
      <w:r w:rsidRPr="00EC0229">
        <w:t xml:space="preserve">List of </w:t>
      </w:r>
      <w:r w:rsidR="00AF79E7" w:rsidRPr="00EC0229">
        <w:t>Plates</w:t>
      </w:r>
      <w:r w:rsidR="00426197" w:rsidRPr="00EC0229">
        <w:t xml:space="preserve"> (Volume 2)</w:t>
      </w:r>
      <w:bookmarkEnd w:id="36"/>
    </w:p>
    <w:p w14:paraId="1AF24CD3" w14:textId="5850AB22" w:rsidR="005F02DD" w:rsidRDefault="005F02DD" w:rsidP="00EF7EC2">
      <w:pPr>
        <w:pStyle w:val="NoSpacing"/>
        <w:spacing w:line="276" w:lineRule="auto"/>
      </w:pPr>
      <w:r>
        <w:t>Plate</w:t>
      </w:r>
      <w:r>
        <w:tab/>
      </w:r>
      <w:r>
        <w:rPr>
          <w:color w:val="000000" w:themeColor="text1"/>
        </w:rPr>
        <w:t>1</w:t>
      </w:r>
      <w:r w:rsidR="008350A1">
        <w:rPr>
          <w:color w:val="000000" w:themeColor="text1"/>
        </w:rPr>
        <w:t>:</w:t>
      </w:r>
      <w:r>
        <w:tab/>
        <w:t xml:space="preserve">York Gold Shilling </w:t>
      </w:r>
    </w:p>
    <w:p w14:paraId="5C79E7FC" w14:textId="18CF511E" w:rsidR="005F02DD" w:rsidRDefault="005F02DD" w:rsidP="00EF7EC2">
      <w:pPr>
        <w:pStyle w:val="NoSpacing"/>
        <w:spacing w:line="276" w:lineRule="auto"/>
      </w:pPr>
      <w:r>
        <w:t>Plate</w:t>
      </w:r>
      <w:r>
        <w:tab/>
      </w:r>
      <w:r>
        <w:rPr>
          <w:color w:val="000000" w:themeColor="text1"/>
        </w:rPr>
        <w:t>2</w:t>
      </w:r>
      <w:r w:rsidR="008350A1">
        <w:rPr>
          <w:color w:val="000000" w:themeColor="text1"/>
        </w:rPr>
        <w:t>:</w:t>
      </w:r>
      <w:r>
        <w:tab/>
        <w:t>Paulinus shilling</w:t>
      </w:r>
    </w:p>
    <w:p w14:paraId="4BC58444" w14:textId="244E6753" w:rsidR="005F02DD" w:rsidRDefault="005F02DD" w:rsidP="00EF7EC2">
      <w:pPr>
        <w:pStyle w:val="NoSpacing"/>
        <w:spacing w:line="276" w:lineRule="auto"/>
      </w:pPr>
      <w:r>
        <w:t>Plate</w:t>
      </w:r>
      <w:r>
        <w:tab/>
      </w:r>
      <w:r>
        <w:rPr>
          <w:color w:val="000000" w:themeColor="text1"/>
        </w:rPr>
        <w:t>3</w:t>
      </w:r>
      <w:r w:rsidR="008350A1">
        <w:rPr>
          <w:color w:val="000000" w:themeColor="text1"/>
        </w:rPr>
        <w:t>:</w:t>
      </w:r>
      <w:r>
        <w:tab/>
        <w:t>General Introduction to English Sceats</w:t>
      </w:r>
    </w:p>
    <w:p w14:paraId="736FF6BF" w14:textId="01F612E8" w:rsidR="005F02DD" w:rsidRDefault="005F02DD" w:rsidP="00EF7EC2">
      <w:pPr>
        <w:pStyle w:val="NoSpacing"/>
        <w:spacing w:line="276" w:lineRule="auto"/>
      </w:pPr>
      <w:r>
        <w:t>Plate</w:t>
      </w:r>
      <w:r>
        <w:tab/>
      </w:r>
      <w:r>
        <w:rPr>
          <w:color w:val="000000" w:themeColor="text1"/>
        </w:rPr>
        <w:t>4</w:t>
      </w:r>
      <w:r w:rsidR="008350A1">
        <w:rPr>
          <w:color w:val="000000" w:themeColor="text1"/>
        </w:rPr>
        <w:t>:</w:t>
      </w:r>
      <w:r>
        <w:tab/>
        <w:t>Evaluating Periodicity</w:t>
      </w:r>
    </w:p>
    <w:p w14:paraId="2959F99F" w14:textId="5DB3C91C" w:rsidR="005F02DD" w:rsidRDefault="005F02DD" w:rsidP="00EF7EC2">
      <w:pPr>
        <w:pStyle w:val="NoSpacing"/>
        <w:spacing w:line="276" w:lineRule="auto"/>
      </w:pPr>
      <w:r>
        <w:t>Plate</w:t>
      </w:r>
      <w:r>
        <w:tab/>
      </w:r>
      <w:r>
        <w:rPr>
          <w:color w:val="000000" w:themeColor="text1"/>
        </w:rPr>
        <w:t>5</w:t>
      </w:r>
      <w:r w:rsidR="008350A1">
        <w:rPr>
          <w:color w:val="000000" w:themeColor="text1"/>
        </w:rPr>
        <w:t>:</w:t>
      </w:r>
      <w:r>
        <w:tab/>
        <w:t xml:space="preserve">Fishergate sceats - </w:t>
      </w:r>
      <w:proofErr w:type="spellStart"/>
      <w:r>
        <w:t>YATi</w:t>
      </w:r>
      <w:proofErr w:type="spellEnd"/>
    </w:p>
    <w:p w14:paraId="7BCA0287" w14:textId="5A0C44CB" w:rsidR="005F02DD" w:rsidRDefault="005F02DD" w:rsidP="00EF7EC2">
      <w:pPr>
        <w:pStyle w:val="NoSpacing"/>
        <w:spacing w:line="276" w:lineRule="auto"/>
      </w:pPr>
      <w:r>
        <w:t>Plate</w:t>
      </w:r>
      <w:r>
        <w:tab/>
      </w:r>
      <w:r>
        <w:rPr>
          <w:color w:val="000000" w:themeColor="text1"/>
        </w:rPr>
        <w:t>6</w:t>
      </w:r>
      <w:r w:rsidR="008350A1">
        <w:rPr>
          <w:color w:val="000000" w:themeColor="text1"/>
        </w:rPr>
        <w:t>:</w:t>
      </w:r>
      <w:r>
        <w:tab/>
        <w:t xml:space="preserve">Fishergate sceats - </w:t>
      </w:r>
      <w:proofErr w:type="spellStart"/>
      <w:r>
        <w:t>YATii</w:t>
      </w:r>
      <w:proofErr w:type="spellEnd"/>
    </w:p>
    <w:p w14:paraId="0FCFF6F9" w14:textId="59097982" w:rsidR="005F02DD" w:rsidRDefault="005F02DD" w:rsidP="00EF7EC2">
      <w:pPr>
        <w:pStyle w:val="NoSpacing"/>
        <w:spacing w:line="276" w:lineRule="auto"/>
      </w:pPr>
      <w:r>
        <w:t>Plate</w:t>
      </w:r>
      <w:r>
        <w:tab/>
      </w:r>
      <w:r>
        <w:rPr>
          <w:color w:val="000000" w:themeColor="text1"/>
        </w:rPr>
        <w:t>7</w:t>
      </w:r>
      <w:r w:rsidR="008350A1">
        <w:rPr>
          <w:color w:val="000000" w:themeColor="text1"/>
        </w:rPr>
        <w:t>:</w:t>
      </w:r>
      <w:r>
        <w:tab/>
        <w:t>Fishergate stycas - YAT</w:t>
      </w:r>
    </w:p>
    <w:p w14:paraId="384260BC" w14:textId="3A3B4776" w:rsidR="005F02DD" w:rsidRDefault="005F02DD" w:rsidP="00EF7EC2">
      <w:pPr>
        <w:pStyle w:val="NoSpacing"/>
        <w:spacing w:line="276" w:lineRule="auto"/>
      </w:pPr>
      <w:r>
        <w:t>Plate</w:t>
      </w:r>
      <w:r>
        <w:tab/>
      </w:r>
      <w:r>
        <w:rPr>
          <w:color w:val="000000" w:themeColor="text1"/>
        </w:rPr>
        <w:t>8</w:t>
      </w:r>
      <w:r w:rsidR="008350A1">
        <w:rPr>
          <w:color w:val="000000" w:themeColor="text1"/>
        </w:rPr>
        <w:t>:</w:t>
      </w:r>
      <w:r>
        <w:tab/>
        <w:t>Fishergate pennies - YAT</w:t>
      </w:r>
    </w:p>
    <w:p w14:paraId="6585E190" w14:textId="5EEF81A3" w:rsidR="005F02DD" w:rsidRDefault="005F02DD" w:rsidP="00EF7EC2">
      <w:pPr>
        <w:pStyle w:val="NoSpacing"/>
        <w:spacing w:line="276" w:lineRule="auto"/>
      </w:pPr>
      <w:r>
        <w:t>Plate</w:t>
      </w:r>
      <w:r>
        <w:tab/>
      </w:r>
      <w:r>
        <w:rPr>
          <w:color w:val="000000" w:themeColor="text1"/>
        </w:rPr>
        <w:t>9</w:t>
      </w:r>
      <w:r w:rsidR="008350A1">
        <w:rPr>
          <w:color w:val="000000" w:themeColor="text1"/>
        </w:rPr>
        <w:t>:</w:t>
      </w:r>
      <w:r>
        <w:tab/>
        <w:t>Fishergate coins – APC</w:t>
      </w:r>
    </w:p>
    <w:p w14:paraId="5C2B4646" w14:textId="05DDB395" w:rsidR="005F02DD" w:rsidRDefault="005F02DD" w:rsidP="00EF7EC2">
      <w:pPr>
        <w:pStyle w:val="NoSpacing"/>
        <w:spacing w:line="276" w:lineRule="auto"/>
      </w:pPr>
      <w:r>
        <w:t>Plate</w:t>
      </w:r>
      <w:r w:rsidR="008350A1">
        <w:t xml:space="preserve">  </w:t>
      </w:r>
      <w:r>
        <w:rPr>
          <w:color w:val="000000" w:themeColor="text1"/>
        </w:rPr>
        <w:t>10</w:t>
      </w:r>
      <w:r w:rsidR="008350A1">
        <w:rPr>
          <w:color w:val="000000" w:themeColor="text1"/>
        </w:rPr>
        <w:t>:</w:t>
      </w:r>
      <w:r>
        <w:tab/>
        <w:t>Near Hayton productive site, i</w:t>
      </w:r>
    </w:p>
    <w:p w14:paraId="0333DA07" w14:textId="2D20FDDE" w:rsidR="005F02DD" w:rsidRDefault="008350A1" w:rsidP="00EF7EC2">
      <w:pPr>
        <w:pStyle w:val="NoSpacing"/>
        <w:spacing w:line="276" w:lineRule="auto"/>
      </w:pPr>
      <w:r>
        <w:t xml:space="preserve">Plate  </w:t>
      </w:r>
      <w:r w:rsidR="005F02DD">
        <w:rPr>
          <w:color w:val="000000" w:themeColor="text1"/>
        </w:rPr>
        <w:t>11</w:t>
      </w:r>
      <w:r>
        <w:rPr>
          <w:color w:val="000000" w:themeColor="text1"/>
        </w:rPr>
        <w:t>:</w:t>
      </w:r>
      <w:r w:rsidR="005F02DD">
        <w:tab/>
        <w:t>Near Hayton productive site, ii</w:t>
      </w:r>
    </w:p>
    <w:p w14:paraId="6A0E4A43" w14:textId="22F08573" w:rsidR="005F02DD" w:rsidRDefault="008350A1" w:rsidP="00EF7EC2">
      <w:pPr>
        <w:pStyle w:val="NoSpacing"/>
        <w:spacing w:line="276" w:lineRule="auto"/>
      </w:pPr>
      <w:r>
        <w:t xml:space="preserve">Plate  </w:t>
      </w:r>
      <w:r w:rsidR="005F02DD">
        <w:t>12</w:t>
      </w:r>
      <w:r>
        <w:t>:</w:t>
      </w:r>
      <w:r w:rsidR="005F02DD">
        <w:tab/>
        <w:t xml:space="preserve">Sceatta finds from </w:t>
      </w:r>
      <w:r w:rsidR="005F1EAF" w:rsidRPr="005F1EAF">
        <w:t>‘Site C’</w:t>
      </w:r>
    </w:p>
    <w:p w14:paraId="6518AAB4" w14:textId="77777777" w:rsidR="005F02DD" w:rsidRDefault="005F02DD" w:rsidP="00EF7EC2">
      <w:pPr>
        <w:spacing w:line="276" w:lineRule="auto"/>
        <w:jc w:val="left"/>
      </w:pPr>
      <w:r>
        <w:br w:type="page"/>
      </w:r>
    </w:p>
    <w:p w14:paraId="06F4ABB4" w14:textId="77777777" w:rsidR="00FA5473" w:rsidRDefault="00FA5473" w:rsidP="007600EA">
      <w:pPr>
        <w:pStyle w:val="Heading1"/>
        <w:spacing w:line="360" w:lineRule="auto"/>
        <w:sectPr w:rsidR="00FA5473" w:rsidSect="00FA5473">
          <w:headerReference w:type="even" r:id="rId17"/>
          <w:headerReference w:type="default" r:id="rId18"/>
          <w:footerReference w:type="even" r:id="rId19"/>
          <w:footerReference w:type="default" r:id="rId20"/>
          <w:headerReference w:type="first" r:id="rId21"/>
          <w:footerReference w:type="first" r:id="rId22"/>
          <w:type w:val="continuous"/>
          <w:pgSz w:w="11906" w:h="16838"/>
          <w:pgMar w:top="1440" w:right="1440" w:bottom="1440" w:left="1440" w:header="708" w:footer="708" w:gutter="0"/>
          <w:pgNumType w:fmt="lowerRoman"/>
          <w:cols w:space="708"/>
          <w:titlePg/>
          <w:docGrid w:linePitch="360"/>
        </w:sectPr>
      </w:pPr>
      <w:bookmarkStart w:id="37" w:name="Databases"/>
      <w:bookmarkStart w:id="38" w:name="DigitalData"/>
      <w:bookmarkStart w:id="39" w:name="WordCloud"/>
      <w:bookmarkStart w:id="40" w:name="PARTONE"/>
      <w:bookmarkStart w:id="41" w:name="_Toc468266733"/>
      <w:bookmarkEnd w:id="37"/>
      <w:bookmarkEnd w:id="38"/>
      <w:bookmarkEnd w:id="39"/>
      <w:bookmarkEnd w:id="40"/>
    </w:p>
    <w:p w14:paraId="16BC8BD2" w14:textId="1D19EF0E" w:rsidR="0064702B" w:rsidRPr="00EC0229" w:rsidRDefault="0064702B" w:rsidP="007600EA">
      <w:pPr>
        <w:pStyle w:val="Heading1"/>
        <w:spacing w:line="360" w:lineRule="auto"/>
      </w:pPr>
      <w:r w:rsidRPr="00EC0229">
        <w:lastRenderedPageBreak/>
        <w:t>PART ONE: DESCRIPTION</w:t>
      </w:r>
      <w:bookmarkEnd w:id="41"/>
    </w:p>
    <w:p w14:paraId="5A4CB1E2" w14:textId="0D2423FC" w:rsidR="00DE58F5" w:rsidRPr="00EC0229" w:rsidRDefault="00DE58F5" w:rsidP="007600EA">
      <w:pPr>
        <w:pStyle w:val="Heading1"/>
        <w:spacing w:line="360" w:lineRule="auto"/>
        <w:rPr>
          <w:rFonts w:cs="Times New Roman"/>
        </w:rPr>
      </w:pPr>
      <w:bookmarkStart w:id="42" w:name="Chapter1"/>
      <w:bookmarkStart w:id="43" w:name="_Toc468266734"/>
      <w:bookmarkStart w:id="44" w:name="Models"/>
      <w:bookmarkEnd w:id="42"/>
      <w:r w:rsidRPr="00EC0229">
        <w:rPr>
          <w:rFonts w:cs="Times New Roman"/>
        </w:rPr>
        <w:t>Chapter 1</w:t>
      </w:r>
      <w:r w:rsidR="009E35E5" w:rsidRPr="00EC0229">
        <w:rPr>
          <w:rFonts w:cs="Times New Roman"/>
        </w:rPr>
        <w:t>:</w:t>
      </w:r>
      <w:r w:rsidRPr="00EC0229">
        <w:rPr>
          <w:rFonts w:cs="Times New Roman"/>
        </w:rPr>
        <w:t xml:space="preserve"> </w:t>
      </w:r>
      <w:r w:rsidR="00E92AA0" w:rsidRPr="00EC0229">
        <w:rPr>
          <w:rFonts w:cs="Times New Roman"/>
        </w:rPr>
        <w:t>Aims</w:t>
      </w:r>
      <w:r w:rsidR="00F204A1" w:rsidRPr="00EC0229">
        <w:rPr>
          <w:rFonts w:cs="Times New Roman"/>
        </w:rPr>
        <w:fldChar w:fldCharType="begin"/>
      </w:r>
      <w:r w:rsidR="00F204A1" w:rsidRPr="00EC0229">
        <w:instrText xml:space="preserve"> XE "</w:instrText>
      </w:r>
      <w:r w:rsidR="00F204A1" w:rsidRPr="00EC0229">
        <w:rPr>
          <w:rStyle w:val="Hyperlink"/>
          <w:rFonts w:cs="Times New Roman"/>
          <w:noProof/>
          <w:u w:val="none"/>
        </w:rPr>
        <w:instrText>Objectives</w:instrText>
      </w:r>
      <w:r w:rsidR="00F204A1" w:rsidRPr="00EC0229">
        <w:instrText xml:space="preserve">" </w:instrText>
      </w:r>
      <w:r w:rsidR="00F204A1" w:rsidRPr="00EC0229">
        <w:rPr>
          <w:rFonts w:cs="Times New Roman"/>
        </w:rPr>
        <w:fldChar w:fldCharType="end"/>
      </w:r>
      <w:r w:rsidR="00FF2772" w:rsidRPr="00EC0229">
        <w:rPr>
          <w:rFonts w:cs="Times New Roman"/>
        </w:rPr>
        <w:t xml:space="preserve"> and Method</w:t>
      </w:r>
      <w:r w:rsidR="00432CBD" w:rsidRPr="00EC0229">
        <w:rPr>
          <w:rFonts w:cs="Times New Roman"/>
        </w:rPr>
        <w:t>ologies</w:t>
      </w:r>
      <w:bookmarkEnd w:id="43"/>
    </w:p>
    <w:p w14:paraId="4B510697" w14:textId="77777777" w:rsidR="00DE58F5" w:rsidRPr="00EC0229" w:rsidRDefault="00DE58F5" w:rsidP="007600EA">
      <w:pPr>
        <w:pStyle w:val="NoSpacing"/>
        <w:spacing w:line="360" w:lineRule="auto"/>
        <w:jc w:val="right"/>
        <w:rPr>
          <w:sz w:val="20"/>
          <w:szCs w:val="20"/>
        </w:rPr>
      </w:pPr>
      <w:r w:rsidRPr="00EC0229">
        <w:rPr>
          <w:sz w:val="20"/>
          <w:szCs w:val="20"/>
        </w:rPr>
        <w:t>‘In the coming decades, greater emphasis will probably be placed on the wider economic and social implications to be drawn from the use of coinage. To contribute to these debates further work should be done on interpreting the pattern of single-finds, comparing them with other artefact distributions and historical data.’</w:t>
      </w:r>
    </w:p>
    <w:p w14:paraId="7E76A060" w14:textId="77777777" w:rsidR="00DE58F5" w:rsidRPr="00EC0229" w:rsidRDefault="00DE58F5" w:rsidP="007600EA">
      <w:pPr>
        <w:pStyle w:val="NoSpacing"/>
        <w:spacing w:line="360" w:lineRule="auto"/>
        <w:jc w:val="right"/>
        <w:rPr>
          <w:sz w:val="20"/>
          <w:szCs w:val="20"/>
        </w:rPr>
      </w:pPr>
      <w:r w:rsidRPr="00EC0229">
        <w:rPr>
          <w:sz w:val="20"/>
          <w:szCs w:val="20"/>
        </w:rPr>
        <w:t xml:space="preserve">Mark </w:t>
      </w:r>
      <w:r w:rsidR="00170ADA" w:rsidRPr="00EC0229">
        <w:rPr>
          <w:sz w:val="20"/>
          <w:szCs w:val="20"/>
        </w:rPr>
        <w:t>Blackburn (2011,</w:t>
      </w:r>
      <w:r w:rsidRPr="00EC0229">
        <w:rPr>
          <w:sz w:val="20"/>
          <w:szCs w:val="20"/>
        </w:rPr>
        <w:t xml:space="preserve"> 596</w:t>
      </w:r>
      <w:r w:rsidR="00170ADA" w:rsidRPr="00EC0229">
        <w:rPr>
          <w:sz w:val="20"/>
          <w:szCs w:val="20"/>
        </w:rPr>
        <w:t>)</w:t>
      </w:r>
      <w:r w:rsidRPr="00EC0229">
        <w:rPr>
          <w:sz w:val="20"/>
          <w:szCs w:val="20"/>
        </w:rPr>
        <w:t xml:space="preserve">. </w:t>
      </w:r>
    </w:p>
    <w:p w14:paraId="27F374B1" w14:textId="77777777" w:rsidR="00DE58F5" w:rsidRPr="00EC0229" w:rsidRDefault="00DE58F5" w:rsidP="007600EA">
      <w:pPr>
        <w:pStyle w:val="NoSpacing"/>
        <w:spacing w:line="360" w:lineRule="auto"/>
      </w:pPr>
    </w:p>
    <w:p w14:paraId="41D080D8" w14:textId="361A5BD1" w:rsidR="00DE58F5" w:rsidRPr="00EC0229" w:rsidRDefault="00DE58F5" w:rsidP="007600EA">
      <w:pPr>
        <w:pStyle w:val="NoSpacing"/>
        <w:spacing w:line="360" w:lineRule="auto"/>
      </w:pPr>
      <w:r w:rsidRPr="00EC0229">
        <w:t xml:space="preserve">The period </w:t>
      </w:r>
      <w:r w:rsidRPr="00EC0229">
        <w:rPr>
          <w:i/>
        </w:rPr>
        <w:t>c</w:t>
      </w:r>
      <w:r w:rsidR="00EF6BF3" w:rsidRPr="00EC0229">
        <w:t>.575</w:t>
      </w:r>
      <w:r w:rsidR="00AB6635">
        <w:t>-</w:t>
      </w:r>
      <w:r w:rsidR="00EF6BF3" w:rsidRPr="00EC0229">
        <w:rPr>
          <w:i/>
        </w:rPr>
        <w:t>c</w:t>
      </w:r>
      <w:r w:rsidR="00EF6BF3" w:rsidRPr="00EC0229">
        <w:t>.8</w:t>
      </w:r>
      <w:r w:rsidR="005A616A" w:rsidRPr="00EC0229">
        <w:t>67</w:t>
      </w:r>
      <w:r w:rsidRPr="00EC0229">
        <w:t xml:space="preserve"> saw several major changes: in governance and religion, in rural settlement</w:t>
      </w:r>
      <w:r w:rsidR="00D142DC" w:rsidRPr="00EC0229">
        <w:fldChar w:fldCharType="begin"/>
      </w:r>
      <w:r w:rsidR="00D142DC" w:rsidRPr="00EC0229">
        <w:instrText xml:space="preserve"> XE "settlement" </w:instrText>
      </w:r>
      <w:r w:rsidR="00D142DC" w:rsidRPr="00EC0229">
        <w:fldChar w:fldCharType="end"/>
      </w:r>
      <w:r w:rsidRPr="00EC0229">
        <w:t xml:space="preserve"> patterns, the emergence of urban communities and of an economy</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fldChar w:fldCharType="end"/>
      </w:r>
      <w:r w:rsidRPr="00EC0229">
        <w:t xml:space="preserve"> which demonstrates evolving </w:t>
      </w:r>
      <w:r w:rsidR="008D5A53" w:rsidRPr="00EC0229">
        <w:t xml:space="preserve">domestic and Continental trade </w:t>
      </w:r>
      <w:r w:rsidRPr="00EC0229">
        <w:t xml:space="preserve">linkages. The development of coinage is </w:t>
      </w:r>
      <w:r w:rsidR="0030224D" w:rsidRPr="00EC0229">
        <w:t xml:space="preserve">an integral </w:t>
      </w:r>
      <w:r w:rsidRPr="00EC0229">
        <w:t>part of these processes and coin recover</w:t>
      </w:r>
      <w:r w:rsidR="008D5A53" w:rsidRPr="00EC0229">
        <w:t>y can be used to ascertain the</w:t>
      </w:r>
      <w:r w:rsidRPr="00EC0229">
        <w:t xml:space="preserve"> territorial extent and volume</w:t>
      </w:r>
      <w:r w:rsidR="008D5A53" w:rsidRPr="00EC0229">
        <w:t xml:space="preserve"> of coin use</w:t>
      </w:r>
      <w:r w:rsidRPr="00EC0229">
        <w:t>. However, to date too little attention has been paid to the distinctive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silver and especially base coinage of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 in the seventh to ninth centuries, its unique characteristics and its place within the broader contemporary economic and social context.</w:t>
      </w:r>
    </w:p>
    <w:p w14:paraId="76EBB070" w14:textId="77777777" w:rsidR="00DE58F5" w:rsidRPr="00EC0229" w:rsidRDefault="00DE58F5" w:rsidP="00CE7932">
      <w:pPr>
        <w:pStyle w:val="NoSpacing"/>
      </w:pPr>
    </w:p>
    <w:p w14:paraId="50DD5A76" w14:textId="0E5989E9" w:rsidR="009950BA" w:rsidRPr="00EC0229" w:rsidRDefault="009950BA" w:rsidP="007600EA">
      <w:pPr>
        <w:spacing w:line="360" w:lineRule="auto"/>
        <w:rPr>
          <w:rFonts w:cs="Times New Roman"/>
          <w:szCs w:val="24"/>
        </w:rPr>
      </w:pPr>
      <w:r w:rsidRPr="00EC0229">
        <w:rPr>
          <w:rFonts w:cs="Times New Roman"/>
          <w:szCs w:val="24"/>
        </w:rPr>
        <w:t xml:space="preserve">The </w:t>
      </w:r>
      <w:r w:rsidR="005056F1" w:rsidRPr="00EC0229">
        <w:rPr>
          <w:rFonts w:cs="Times New Roman"/>
          <w:szCs w:val="24"/>
        </w:rPr>
        <w:t xml:space="preserve">Northumbrian </w:t>
      </w:r>
      <w:r w:rsidRPr="00EC0229">
        <w:rPr>
          <w:rFonts w:cs="Times New Roman"/>
          <w:szCs w:val="24"/>
        </w:rPr>
        <w:t>landscape</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landscape</w:instrText>
      </w:r>
      <w:r w:rsidR="00584C42" w:rsidRPr="00EC0229">
        <w:instrText xml:space="preserve">" </w:instrText>
      </w:r>
      <w:r w:rsidR="00584C42" w:rsidRPr="00EC0229">
        <w:rPr>
          <w:rFonts w:cs="Times New Roman"/>
          <w:szCs w:val="24"/>
        </w:rPr>
        <w:fldChar w:fldCharType="end"/>
      </w:r>
      <w:r w:rsidRPr="00EC0229">
        <w:rPr>
          <w:rFonts w:cs="Times New Roman"/>
          <w:szCs w:val="24"/>
        </w:rPr>
        <w:t xml:space="preserve"> exhibits a patchwork of settlements with complex linkages to interconnected exchange networks ranging from kin-based subsistence communities to towns featuring hinterlands, production, labour specialisation</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specialisation</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and long-distance trade</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long-distance trade</w:instrText>
      </w:r>
      <w:r w:rsidR="008960AE" w:rsidRPr="00EC0229">
        <w:instrText xml:space="preserve">" </w:instrText>
      </w:r>
      <w:r w:rsidR="008960AE" w:rsidRPr="00EC0229">
        <w:rPr>
          <w:rFonts w:cs="Times New Roman"/>
          <w:szCs w:val="24"/>
        </w:rPr>
        <w:fldChar w:fldCharType="end"/>
      </w:r>
      <w:r w:rsidRPr="00EC0229">
        <w:rPr>
          <w:rFonts w:cs="Times New Roman"/>
          <w:szCs w:val="24"/>
        </w:rPr>
        <w:t>. Settlements were formed under varying topological, agricultural, economic and social circumstances, the impact of which are conventionally assessed by reference to functional spheres of influence – legal, administrative, economic, fiscal, cultural, religious and defence.</w:t>
      </w:r>
      <w:r w:rsidR="00A27B23" w:rsidRPr="00EC0229">
        <w:rPr>
          <w:rStyle w:val="FootnoteReference"/>
          <w:rFonts w:cs="Times New Roman"/>
          <w:szCs w:val="24"/>
        </w:rPr>
        <w:footnoteReference w:id="2"/>
      </w:r>
      <w:r w:rsidRPr="00EC0229">
        <w:rPr>
          <w:rFonts w:cs="Times New Roman"/>
          <w:szCs w:val="24"/>
        </w:rPr>
        <w:t xml:space="preserve"> Tribute, links between separated estate holdings, patronage, obligation and tradition have previously been seen as the determining factors in transforming settlement</w:t>
      </w:r>
      <w:r w:rsidR="00D142DC" w:rsidRPr="00EC0229">
        <w:rPr>
          <w:rFonts w:cs="Times New Roman"/>
          <w:szCs w:val="24"/>
        </w:rPr>
        <w:fldChar w:fldCharType="begin"/>
      </w:r>
      <w:r w:rsidR="00D142DC" w:rsidRPr="00EC0229">
        <w:instrText xml:space="preserve"> XE "settlement" </w:instrText>
      </w:r>
      <w:r w:rsidR="00D142DC" w:rsidRPr="00EC0229">
        <w:rPr>
          <w:rFonts w:cs="Times New Roman"/>
          <w:szCs w:val="24"/>
        </w:rPr>
        <w:fldChar w:fldCharType="end"/>
      </w:r>
      <w:r w:rsidRPr="00EC0229">
        <w:rPr>
          <w:rFonts w:cs="Times New Roman"/>
          <w:szCs w:val="24"/>
        </w:rPr>
        <w:t xml:space="preserve"> patterns</w:t>
      </w:r>
      <w:r w:rsidR="00EC3EA0" w:rsidRPr="00EC0229">
        <w:rPr>
          <w:rFonts w:cs="Times New Roman"/>
          <w:szCs w:val="24"/>
        </w:rPr>
        <w:t>.</w:t>
      </w:r>
      <w:r w:rsidRPr="00EC0229">
        <w:rPr>
          <w:rStyle w:val="FootnoteReference"/>
          <w:rFonts w:cs="Times New Roman"/>
          <w:szCs w:val="24"/>
        </w:rPr>
        <w:footnoteReference w:id="3"/>
      </w:r>
    </w:p>
    <w:p w14:paraId="4ADCADF3" w14:textId="6B6C96DE" w:rsidR="00DE58F5" w:rsidRPr="00EC0229" w:rsidRDefault="0030224D" w:rsidP="007600EA">
      <w:pPr>
        <w:spacing w:line="360" w:lineRule="auto"/>
        <w:rPr>
          <w:rFonts w:cs="Times New Roman"/>
          <w:szCs w:val="24"/>
        </w:rPr>
      </w:pPr>
      <w:r w:rsidRPr="00EC0229">
        <w:rPr>
          <w:rFonts w:cs="Times New Roman"/>
          <w:szCs w:val="24"/>
        </w:rPr>
        <w:t>Naylor</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Naylor</w:instrText>
      </w:r>
      <w:r w:rsidR="008960AE" w:rsidRPr="00EC0229">
        <w:instrText xml:space="preserve">" </w:instrText>
      </w:r>
      <w:r w:rsidR="008960AE" w:rsidRPr="00EC0229">
        <w:rPr>
          <w:rFonts w:cs="Times New Roman"/>
          <w:szCs w:val="24"/>
        </w:rPr>
        <w:fldChar w:fldCharType="end"/>
      </w:r>
      <w:r w:rsidR="00DE58F5" w:rsidRPr="00EC0229">
        <w:rPr>
          <w:rFonts w:cs="Times New Roman"/>
          <w:szCs w:val="24"/>
        </w:rPr>
        <w:t xml:space="preserve"> and </w:t>
      </w:r>
      <w:r w:rsidRPr="00EC0229">
        <w:rPr>
          <w:rFonts w:cs="Times New Roman"/>
          <w:szCs w:val="24"/>
        </w:rPr>
        <w:t>Naismith</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Naismith</w:instrText>
      </w:r>
      <w:r w:rsidR="008960AE" w:rsidRPr="00EC0229">
        <w:instrText xml:space="preserve">" </w:instrText>
      </w:r>
      <w:r w:rsidR="008960AE" w:rsidRPr="00EC0229">
        <w:rPr>
          <w:rFonts w:cs="Times New Roman"/>
          <w:szCs w:val="24"/>
        </w:rPr>
        <w:fldChar w:fldCharType="end"/>
      </w:r>
      <w:r w:rsidR="00DE58F5" w:rsidRPr="00EC0229">
        <w:rPr>
          <w:rFonts w:cs="Times New Roman"/>
          <w:szCs w:val="24"/>
        </w:rPr>
        <w:t xml:space="preserve"> have made significant contributions to recent scholarship. Naismith stated that ‘historian</w:t>
      </w:r>
      <w:r w:rsidR="00802AB1" w:rsidRPr="00EC0229">
        <w:rPr>
          <w:rFonts w:cs="Times New Roman"/>
          <w:szCs w:val="24"/>
        </w:rPr>
        <w:t>s</w:t>
      </w:r>
      <w:r w:rsidR="00DE58F5" w:rsidRPr="00EC0229">
        <w:rPr>
          <w:rFonts w:cs="Times New Roman"/>
          <w:szCs w:val="24"/>
        </w:rPr>
        <w:t xml:space="preserve"> and archaeologists…tended to approach coinage from one of two perspectives: that of trade, exchange and the activity of the economy</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rFonts w:cs="Times New Roman"/>
          <w:szCs w:val="24"/>
        </w:rPr>
        <w:fldChar w:fldCharType="end"/>
      </w:r>
      <w:r w:rsidR="00DE58F5" w:rsidRPr="00EC0229">
        <w:rPr>
          <w:rFonts w:cs="Times New Roman"/>
          <w:szCs w:val="24"/>
        </w:rPr>
        <w:t>; or that of government and administration.’</w:t>
      </w:r>
      <w:r w:rsidR="00F723BB" w:rsidRPr="00EC0229">
        <w:rPr>
          <w:rStyle w:val="FootnoteReference"/>
          <w:rFonts w:cs="Times New Roman"/>
          <w:szCs w:val="24"/>
        </w:rPr>
        <w:footnoteReference w:id="4"/>
      </w:r>
      <w:r w:rsidR="005F71BE" w:rsidRPr="00EC0229">
        <w:rPr>
          <w:rFonts w:cs="Times New Roman"/>
          <w:szCs w:val="24"/>
        </w:rPr>
        <w:t xml:space="preserve"> Naismith’s work focused</w:t>
      </w:r>
      <w:r w:rsidR="00DE58F5" w:rsidRPr="00EC0229">
        <w:rPr>
          <w:rFonts w:cs="Times New Roman"/>
          <w:szCs w:val="24"/>
        </w:rPr>
        <w:t xml:space="preserve"> on southern England, excluding Northumbria</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szCs w:val="24"/>
        </w:rPr>
        <w:fldChar w:fldCharType="end"/>
      </w:r>
      <w:r w:rsidR="00DE58F5" w:rsidRPr="00EC0229">
        <w:rPr>
          <w:rFonts w:cs="Times New Roman"/>
          <w:szCs w:val="24"/>
        </w:rPr>
        <w:t xml:space="preserve">. There is scope to consider the northern material in a similar manner, especially as regards the </w:t>
      </w:r>
      <w:r w:rsidR="00DE58F5" w:rsidRPr="00EC0229">
        <w:rPr>
          <w:rFonts w:cs="Times New Roman"/>
          <w:szCs w:val="24"/>
        </w:rPr>
        <w:lastRenderedPageBreak/>
        <w:t>balance of power in the north as Northumbrian</w:t>
      </w:r>
      <w:r w:rsidR="00DE58F5" w:rsidRPr="00EC0229">
        <w:rPr>
          <w:rFonts w:cs="Times New Roman"/>
          <w:i/>
          <w:szCs w:val="24"/>
        </w:rPr>
        <w:t xml:space="preserve"> sceats</w:t>
      </w:r>
      <w:r w:rsidR="00DE58F5" w:rsidRPr="00EC0229">
        <w:rPr>
          <w:rStyle w:val="FootnoteReference"/>
          <w:rFonts w:cs="Times New Roman"/>
          <w:szCs w:val="24"/>
        </w:rPr>
        <w:footnoteReference w:id="5"/>
      </w:r>
      <w:r w:rsidR="00DE58F5" w:rsidRPr="00EC0229">
        <w:rPr>
          <w:rFonts w:cs="Times New Roman"/>
          <w:i/>
          <w:szCs w:val="24"/>
        </w:rPr>
        <w:t xml:space="preserve"> </w:t>
      </w:r>
      <w:r w:rsidR="00DE58F5" w:rsidRPr="00EC0229">
        <w:rPr>
          <w:rFonts w:cs="Times New Roman"/>
          <w:szCs w:val="24"/>
        </w:rPr>
        <w:t xml:space="preserve">and </w:t>
      </w:r>
      <w:r w:rsidR="00DE58F5" w:rsidRPr="00EC0229">
        <w:rPr>
          <w:rFonts w:cs="Times New Roman"/>
          <w:i/>
          <w:szCs w:val="24"/>
        </w:rPr>
        <w:t>stycas</w:t>
      </w:r>
      <w:r w:rsidR="00DE58F5" w:rsidRPr="00EC0229">
        <w:rPr>
          <w:rStyle w:val="FootnoteReference"/>
          <w:rFonts w:cs="Times New Roman"/>
          <w:szCs w:val="24"/>
        </w:rPr>
        <w:footnoteReference w:id="6"/>
      </w:r>
      <w:r w:rsidR="00EF6BF3" w:rsidRPr="00EC0229">
        <w:rPr>
          <w:rFonts w:cs="Times New Roman"/>
          <w:szCs w:val="24"/>
        </w:rPr>
        <w:t xml:space="preserve"> name kings and archbishops </w:t>
      </w:r>
      <w:r w:rsidR="007D20CA" w:rsidRPr="00EC0229">
        <w:rPr>
          <w:rFonts w:cs="Times New Roman"/>
          <w:szCs w:val="24"/>
        </w:rPr>
        <w:t>whilst sceats</w:t>
      </w:r>
      <w:r w:rsidR="00DE58F5" w:rsidRPr="00EC0229">
        <w:rPr>
          <w:rFonts w:cs="Times New Roman"/>
          <w:szCs w:val="24"/>
        </w:rPr>
        <w:t xml:space="preserve"> elsewhere are predominantly anonymous.</w:t>
      </w:r>
    </w:p>
    <w:p w14:paraId="139887BA" w14:textId="2259C11F" w:rsidR="00DE58F5" w:rsidRPr="00EC0229" w:rsidRDefault="00DE58F5" w:rsidP="007600EA">
      <w:pPr>
        <w:spacing w:line="360" w:lineRule="auto"/>
        <w:rPr>
          <w:rFonts w:cs="Times New Roman"/>
          <w:szCs w:val="24"/>
        </w:rPr>
      </w:pPr>
      <w:r w:rsidRPr="00EC0229">
        <w:rPr>
          <w:rFonts w:cs="Times New Roman"/>
          <w:szCs w:val="24"/>
        </w:rPr>
        <w:t>The most recent contribution to our understanding of Northumbrian coinage in the landscape</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landscape</w:instrText>
      </w:r>
      <w:r w:rsidR="00584C42" w:rsidRPr="00EC0229">
        <w:instrText xml:space="preserve">" </w:instrText>
      </w:r>
      <w:r w:rsidR="00584C42" w:rsidRPr="00EC0229">
        <w:rPr>
          <w:rFonts w:cs="Times New Roman"/>
          <w:szCs w:val="24"/>
        </w:rPr>
        <w:fldChar w:fldCharType="end"/>
      </w:r>
      <w:r w:rsidRPr="00EC0229">
        <w:rPr>
          <w:rFonts w:cs="Times New Roman"/>
          <w:szCs w:val="24"/>
        </w:rPr>
        <w:t xml:space="preserve"> is contai</w:t>
      </w:r>
      <w:r w:rsidR="00F723BB" w:rsidRPr="00EC0229">
        <w:rPr>
          <w:rFonts w:cs="Times New Roman"/>
          <w:szCs w:val="24"/>
        </w:rPr>
        <w:t xml:space="preserve">ned in the work of </w:t>
      </w:r>
      <w:r w:rsidR="0030224D" w:rsidRPr="00EC0229">
        <w:rPr>
          <w:rFonts w:cs="Times New Roman"/>
          <w:szCs w:val="24"/>
        </w:rPr>
        <w:t>Naylor</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Naylor</w:instrText>
      </w:r>
      <w:r w:rsidR="008960AE" w:rsidRPr="00EC0229">
        <w:instrText xml:space="preserve">" </w:instrText>
      </w:r>
      <w:r w:rsidR="008960AE" w:rsidRPr="00EC0229">
        <w:rPr>
          <w:rFonts w:cs="Times New Roman"/>
          <w:szCs w:val="24"/>
        </w:rPr>
        <w:fldChar w:fldCharType="end"/>
      </w:r>
      <w:r w:rsidRPr="00EC0229">
        <w:rPr>
          <w:rFonts w:cs="Times New Roman"/>
          <w:szCs w:val="24"/>
        </w:rPr>
        <w:t>.</w:t>
      </w:r>
      <w:r w:rsidR="00F723BB" w:rsidRPr="00EC0229">
        <w:rPr>
          <w:rStyle w:val="FootnoteReference"/>
          <w:rFonts w:cs="Times New Roman"/>
          <w:szCs w:val="24"/>
        </w:rPr>
        <w:footnoteReference w:id="7"/>
      </w:r>
      <w:r w:rsidRPr="00EC0229">
        <w:rPr>
          <w:rFonts w:cs="Times New Roman"/>
          <w:szCs w:val="24"/>
        </w:rPr>
        <w:t xml:space="preserve"> His 2002 thesis concluded that overall, the a</w:t>
      </w:r>
      <w:r w:rsidR="008138F4" w:rsidRPr="00EC0229">
        <w:rPr>
          <w:rFonts w:cs="Times New Roman"/>
          <w:szCs w:val="24"/>
        </w:rPr>
        <w:t>rchaeological</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rPr>
          <w:rFonts w:cs="Times New Roman"/>
          <w:szCs w:val="24"/>
        </w:rPr>
        <w:fldChar w:fldCharType="end"/>
      </w:r>
      <w:r w:rsidR="008138F4" w:rsidRPr="00EC0229">
        <w:rPr>
          <w:rFonts w:cs="Times New Roman"/>
          <w:szCs w:val="24"/>
        </w:rPr>
        <w:t xml:space="preserve"> evidence indicated</w:t>
      </w:r>
      <w:r w:rsidRPr="00EC0229">
        <w:rPr>
          <w:rFonts w:cs="Times New Roman"/>
          <w:szCs w:val="24"/>
        </w:rPr>
        <w:t xml:space="preserve"> that the economic system in Y</w:t>
      </w:r>
      <w:r w:rsidR="002B1833" w:rsidRPr="00EC0229">
        <w:rPr>
          <w:rFonts w:cs="Times New Roman"/>
          <w:szCs w:val="24"/>
        </w:rPr>
        <w:t>orkshire may have been complex ‘</w:t>
      </w:r>
      <w:r w:rsidRPr="00EC0229">
        <w:rPr>
          <w:rFonts w:cs="Times New Roman"/>
          <w:szCs w:val="24"/>
        </w:rPr>
        <w:t>with a number of sites involved in direct long-distance and/or regional trading’.</w:t>
      </w:r>
      <w:r w:rsidR="00C27700" w:rsidRPr="00EC0229">
        <w:rPr>
          <w:rStyle w:val="FootnoteReference"/>
          <w:rFonts w:cs="Times New Roman"/>
          <w:szCs w:val="24"/>
        </w:rPr>
        <w:footnoteReference w:id="8"/>
      </w:r>
      <w:r w:rsidRPr="00EC0229">
        <w:rPr>
          <w:rFonts w:cs="Times New Roman"/>
          <w:szCs w:val="24"/>
        </w:rPr>
        <w:t xml:space="preserve"> He interpreted the numismatically rich sites </w:t>
      </w:r>
      <w:r w:rsidRPr="00EC0229">
        <w:rPr>
          <w:rFonts w:cs="Times New Roman"/>
          <w:i/>
          <w:iCs/>
          <w:szCs w:val="24"/>
        </w:rPr>
        <w:t>c.</w:t>
      </w:r>
      <w:r w:rsidRPr="00EC0229">
        <w:rPr>
          <w:rFonts w:cs="Times New Roman"/>
          <w:iCs/>
          <w:szCs w:val="24"/>
        </w:rPr>
        <w:t>5</w:t>
      </w:r>
      <w:r w:rsidR="00AB6635">
        <w:rPr>
          <w:rFonts w:cs="Times New Roman"/>
          <w:iCs/>
          <w:szCs w:val="24"/>
        </w:rPr>
        <w:t>-</w:t>
      </w:r>
      <w:r w:rsidRPr="00EC0229">
        <w:rPr>
          <w:rFonts w:cs="Times New Roman"/>
          <w:i/>
          <w:iCs/>
          <w:szCs w:val="24"/>
        </w:rPr>
        <w:t>c.</w:t>
      </w:r>
      <w:r w:rsidR="002B1833" w:rsidRPr="00EC0229">
        <w:rPr>
          <w:rFonts w:cs="Times New Roman"/>
          <w:szCs w:val="24"/>
        </w:rPr>
        <w:t>15 km from the coast ‘</w:t>
      </w:r>
      <w:r w:rsidRPr="00EC0229">
        <w:rPr>
          <w:rFonts w:cs="Times New Roman"/>
          <w:szCs w:val="24"/>
        </w:rPr>
        <w:t>as representing centres where long-distance and local/regional networks of trade were integrated to aid the export of surplus</w:t>
      </w:r>
      <w:r w:rsidR="008960AE" w:rsidRPr="00EC0229">
        <w:rPr>
          <w:rFonts w:cs="Times New Roman"/>
          <w:szCs w:val="24"/>
        </w:rPr>
        <w:fldChar w:fldCharType="begin"/>
      </w:r>
      <w:r w:rsidR="008960AE" w:rsidRPr="00EC0229">
        <w:instrText xml:space="preserve"> XE "surplus" </w:instrText>
      </w:r>
      <w:r w:rsidR="008960AE" w:rsidRPr="00EC0229">
        <w:rPr>
          <w:rFonts w:cs="Times New Roman"/>
          <w:szCs w:val="24"/>
        </w:rPr>
        <w:fldChar w:fldCharType="end"/>
      </w:r>
      <w:r w:rsidRPr="00EC0229">
        <w:rPr>
          <w:rFonts w:cs="Times New Roman"/>
          <w:szCs w:val="24"/>
        </w:rPr>
        <w:t xml:space="preserve"> materials’.</w:t>
      </w:r>
      <w:r w:rsidR="00C27700" w:rsidRPr="00EC0229">
        <w:rPr>
          <w:rStyle w:val="FootnoteReference"/>
          <w:rFonts w:cs="Times New Roman"/>
          <w:szCs w:val="24"/>
        </w:rPr>
        <w:footnoteReference w:id="9"/>
      </w:r>
      <w:r w:rsidRPr="00EC0229">
        <w:rPr>
          <w:rFonts w:cs="Times New Roman"/>
          <w:szCs w:val="24"/>
        </w:rPr>
        <w:t xml:space="preserve"> His 2007 paper sets a precedent for the methodology used here, extracting correlations and comparisons from a </w:t>
      </w:r>
      <w:r w:rsidR="006C328D" w:rsidRPr="00EC0229">
        <w:rPr>
          <w:rFonts w:cs="Times New Roman"/>
          <w:szCs w:val="24"/>
        </w:rPr>
        <w:t>periodiz</w:t>
      </w:r>
      <w:r w:rsidR="005056F1" w:rsidRPr="00EC0229">
        <w:rPr>
          <w:rFonts w:cs="Times New Roman"/>
          <w:szCs w:val="24"/>
        </w:rPr>
        <w:t>ation of site finds.</w:t>
      </w:r>
      <w:r w:rsidRPr="00EC0229">
        <w:rPr>
          <w:rFonts w:cs="Times New Roman"/>
          <w:szCs w:val="24"/>
        </w:rPr>
        <w:t xml:space="preserve"> </w:t>
      </w:r>
      <w:r w:rsidR="005056F1" w:rsidRPr="00EC0229">
        <w:rPr>
          <w:rFonts w:cs="Times New Roman"/>
          <w:szCs w:val="24"/>
        </w:rPr>
        <w:t xml:space="preserve">This thesis is now able to present a more </w:t>
      </w:r>
      <w:r w:rsidRPr="00EC0229">
        <w:rPr>
          <w:rFonts w:cs="Times New Roman"/>
          <w:szCs w:val="24"/>
        </w:rPr>
        <w:t xml:space="preserve">granular analysis of a substantially larger </w:t>
      </w:r>
      <w:r w:rsidR="005D0690" w:rsidRPr="00EC0229">
        <w:rPr>
          <w:rFonts w:cs="Times New Roman"/>
          <w:szCs w:val="24"/>
        </w:rPr>
        <w:t>database</w:t>
      </w:r>
      <w:r w:rsidRPr="00EC0229">
        <w:rPr>
          <w:rFonts w:cs="Times New Roman"/>
          <w:szCs w:val="24"/>
        </w:rPr>
        <w:t>.</w:t>
      </w:r>
    </w:p>
    <w:p w14:paraId="5FABE772" w14:textId="4EC4EFFF" w:rsidR="00960181" w:rsidRPr="00EC0229" w:rsidRDefault="00DE58F5" w:rsidP="007600EA">
      <w:pPr>
        <w:spacing w:line="360" w:lineRule="auto"/>
        <w:rPr>
          <w:rFonts w:cs="Times New Roman"/>
          <w:szCs w:val="24"/>
        </w:rPr>
      </w:pPr>
      <w:r w:rsidRPr="00EC0229">
        <w:rPr>
          <w:rFonts w:cs="Times New Roman"/>
          <w:szCs w:val="24"/>
        </w:rPr>
        <w:t>Exploitation requires a</w:t>
      </w:r>
      <w:r w:rsidR="00D531D9" w:rsidRPr="00EC0229">
        <w:rPr>
          <w:rFonts w:cs="Times New Roman"/>
          <w:szCs w:val="24"/>
        </w:rPr>
        <w:t>n</w:t>
      </w:r>
      <w:r w:rsidRPr="00EC0229">
        <w:rPr>
          <w:rFonts w:cs="Times New Roman"/>
          <w:szCs w:val="24"/>
        </w:rPr>
        <w:t xml:space="preserve"> </w:t>
      </w:r>
      <w:r w:rsidR="00D531D9" w:rsidRPr="00EC0229">
        <w:rPr>
          <w:rFonts w:cs="Times New Roman"/>
          <w:szCs w:val="24"/>
        </w:rPr>
        <w:t xml:space="preserve">economic </w:t>
      </w:r>
      <w:r w:rsidRPr="00EC0229">
        <w:rPr>
          <w:rFonts w:cs="Times New Roman"/>
          <w:szCs w:val="24"/>
        </w:rPr>
        <w:t>surplus</w:t>
      </w:r>
      <w:r w:rsidR="008960AE" w:rsidRPr="00EC0229">
        <w:rPr>
          <w:rFonts w:cs="Times New Roman"/>
          <w:szCs w:val="24"/>
        </w:rPr>
        <w:fldChar w:fldCharType="begin"/>
      </w:r>
      <w:r w:rsidR="008960AE" w:rsidRPr="00EC0229">
        <w:instrText xml:space="preserve"> XE "surplus" </w:instrText>
      </w:r>
      <w:r w:rsidR="008960AE" w:rsidRPr="00EC0229">
        <w:rPr>
          <w:rFonts w:cs="Times New Roman"/>
          <w:szCs w:val="24"/>
        </w:rPr>
        <w:fldChar w:fldCharType="end"/>
      </w:r>
      <w:r w:rsidRPr="00EC0229">
        <w:rPr>
          <w:rFonts w:cs="Times New Roman"/>
          <w:szCs w:val="24"/>
        </w:rPr>
        <w:t xml:space="preserve"> and this is the key to understanding how such settlement</w:t>
      </w:r>
      <w:r w:rsidR="00D142DC" w:rsidRPr="00EC0229">
        <w:rPr>
          <w:rFonts w:cs="Times New Roman"/>
          <w:szCs w:val="24"/>
        </w:rPr>
        <w:fldChar w:fldCharType="begin"/>
      </w:r>
      <w:r w:rsidR="00D142DC" w:rsidRPr="00EC0229">
        <w:instrText xml:space="preserve"> XE "settlement" </w:instrText>
      </w:r>
      <w:r w:rsidR="00D142DC" w:rsidRPr="00EC0229">
        <w:rPr>
          <w:rFonts w:cs="Times New Roman"/>
          <w:szCs w:val="24"/>
        </w:rPr>
        <w:fldChar w:fldCharType="end"/>
      </w:r>
      <w:r w:rsidRPr="00EC0229">
        <w:rPr>
          <w:rFonts w:cs="Times New Roman"/>
          <w:szCs w:val="24"/>
        </w:rPr>
        <w:t xml:space="preserve"> hierarchies developed.  Surplus can remain at the domestic level, be gifted, donated or used for votive</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votive</w:instrText>
      </w:r>
      <w:r w:rsidR="008960AE" w:rsidRPr="00EC0229">
        <w:instrText xml:space="preserve">" </w:instrText>
      </w:r>
      <w:r w:rsidR="008960AE" w:rsidRPr="00EC0229">
        <w:rPr>
          <w:rFonts w:cs="Times New Roman"/>
          <w:szCs w:val="24"/>
        </w:rPr>
        <w:fldChar w:fldCharType="end"/>
      </w:r>
      <w:r w:rsidRPr="00EC0229">
        <w:rPr>
          <w:rFonts w:cs="Times New Roman"/>
          <w:szCs w:val="24"/>
        </w:rPr>
        <w:t>, funerary or compensation purposes, be consumed by tribute in labour, goods or services, be extracted by tax and rent or be exchanged for other consumables or ‘capital’ goods. All of this can be accomplished in markets which do not have the benefit of a medium of exchange</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medium of exchange</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as was the case in England in the period now narrowed to </w:t>
      </w:r>
      <w:r w:rsidRPr="00EC0229">
        <w:rPr>
          <w:rFonts w:cs="Times New Roman"/>
          <w:i/>
          <w:szCs w:val="24"/>
        </w:rPr>
        <w:t>c.</w:t>
      </w:r>
      <w:r w:rsidRPr="00EC0229">
        <w:rPr>
          <w:rFonts w:cs="Times New Roman"/>
          <w:szCs w:val="24"/>
        </w:rPr>
        <w:t>470</w:t>
      </w:r>
      <w:r w:rsidR="00FB595A" w:rsidRPr="00EC0229">
        <w:rPr>
          <w:rStyle w:val="FootnoteReference"/>
          <w:rFonts w:cs="Times New Roman"/>
          <w:szCs w:val="24"/>
        </w:rPr>
        <w:footnoteReference w:id="10"/>
      </w:r>
      <w:r w:rsidRPr="00EC0229">
        <w:rPr>
          <w:rFonts w:cs="Times New Roman"/>
          <w:szCs w:val="24"/>
        </w:rPr>
        <w:t>-</w:t>
      </w:r>
      <w:r w:rsidRPr="00EC0229">
        <w:rPr>
          <w:rFonts w:cs="Times New Roman"/>
          <w:i/>
          <w:szCs w:val="24"/>
        </w:rPr>
        <w:t>c</w:t>
      </w:r>
      <w:r w:rsidRPr="00EC0229">
        <w:rPr>
          <w:rFonts w:cs="Times New Roman"/>
          <w:szCs w:val="24"/>
        </w:rPr>
        <w:t>.570</w:t>
      </w:r>
      <w:r w:rsidR="005B1C5F" w:rsidRPr="00EC0229">
        <w:rPr>
          <w:rFonts w:cs="Times New Roman"/>
          <w:szCs w:val="24"/>
        </w:rPr>
        <w:t>, when no medium is archaeologically visible</w:t>
      </w:r>
      <w:r w:rsidR="005056F1" w:rsidRPr="00EC0229">
        <w:rPr>
          <w:rFonts w:cs="Times New Roman"/>
          <w:szCs w:val="24"/>
        </w:rPr>
        <w:t xml:space="preserve">; </w:t>
      </w:r>
      <w:r w:rsidR="005056F1" w:rsidRPr="00EC0229">
        <w:t>which does not exclude commodity money (</w:t>
      </w:r>
      <w:r w:rsidR="005056F1" w:rsidRPr="00EC0229">
        <w:fldChar w:fldCharType="begin"/>
      </w:r>
      <w:r w:rsidR="005056F1" w:rsidRPr="00EC0229">
        <w:instrText xml:space="preserve"> PAGEREF commoditymoney \h </w:instrText>
      </w:r>
      <w:r w:rsidR="005056F1" w:rsidRPr="00EC0229">
        <w:fldChar w:fldCharType="separate"/>
      </w:r>
      <w:r w:rsidR="0012026B">
        <w:rPr>
          <w:noProof/>
        </w:rPr>
        <w:t>43</w:t>
      </w:r>
      <w:r w:rsidR="005056F1" w:rsidRPr="00EC0229">
        <w:fldChar w:fldCharType="end"/>
      </w:r>
      <w:r w:rsidR="005056F1" w:rsidRPr="00EC0229">
        <w:t>)</w:t>
      </w:r>
      <w:r w:rsidR="005056F1" w:rsidRPr="00EC0229">
        <w:fldChar w:fldCharType="begin"/>
      </w:r>
      <w:r w:rsidR="005056F1" w:rsidRPr="00EC0229">
        <w:instrText xml:space="preserve"> XE "</w:instrText>
      </w:r>
      <w:r w:rsidR="005056F1" w:rsidRPr="00EC0229">
        <w:rPr>
          <w:rFonts w:cs="Times New Roman"/>
          <w:szCs w:val="24"/>
        </w:rPr>
        <w:instrText>commodity money</w:instrText>
      </w:r>
      <w:r w:rsidR="005056F1" w:rsidRPr="00EC0229">
        <w:instrText xml:space="preserve">" </w:instrText>
      </w:r>
      <w:r w:rsidR="005056F1" w:rsidRPr="00EC0229">
        <w:fldChar w:fldCharType="end"/>
      </w:r>
      <w:r w:rsidRPr="00EC0229">
        <w:rPr>
          <w:rFonts w:cs="Times New Roman"/>
          <w:szCs w:val="24"/>
        </w:rPr>
        <w:t>.</w:t>
      </w:r>
      <w:r w:rsidR="005056F1" w:rsidRPr="00EC0229">
        <w:rPr>
          <w:rFonts w:cs="Times New Roman"/>
          <w:szCs w:val="24"/>
        </w:rPr>
        <w:t xml:space="preserve"> </w:t>
      </w:r>
      <w:r w:rsidRPr="00EC0229">
        <w:rPr>
          <w:rFonts w:cs="Times New Roman"/>
          <w:szCs w:val="24"/>
        </w:rPr>
        <w:t>However, the presence of coinage facilitates exchange chiefly as a medium but also as an accounting mechanism and store of wealth.</w:t>
      </w:r>
    </w:p>
    <w:p w14:paraId="36FC792B" w14:textId="67D56502" w:rsidR="00DE58F5" w:rsidRPr="00EC0229" w:rsidRDefault="00DE58F5" w:rsidP="007600EA">
      <w:pPr>
        <w:pStyle w:val="NoSpacing"/>
        <w:spacing w:line="360" w:lineRule="auto"/>
        <w:rPr>
          <w:szCs w:val="24"/>
        </w:rPr>
      </w:pPr>
      <w:r w:rsidRPr="00EC0229">
        <w:rPr>
          <w:szCs w:val="24"/>
        </w:rPr>
        <w:t xml:space="preserve">The environmental and human factors which may have influenced </w:t>
      </w:r>
      <w:r w:rsidR="006205FB" w:rsidRPr="00EC0229">
        <w:rPr>
          <w:szCs w:val="24"/>
        </w:rPr>
        <w:t xml:space="preserve">economic </w:t>
      </w:r>
      <w:r w:rsidRPr="00EC0229">
        <w:rPr>
          <w:szCs w:val="24"/>
        </w:rPr>
        <w:t>activity are explained in addressing the core question: To what extent was Northumbria</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szCs w:val="24"/>
        </w:rPr>
        <w:fldChar w:fldCharType="end"/>
      </w:r>
      <w:r w:rsidRPr="00EC0229">
        <w:rPr>
          <w:szCs w:val="24"/>
        </w:rPr>
        <w:t xml:space="preserve"> </w:t>
      </w:r>
      <w:r w:rsidR="003F2041" w:rsidRPr="00EC0229">
        <w:rPr>
          <w:szCs w:val="24"/>
        </w:rPr>
        <w:t>monetiz</w:t>
      </w:r>
      <w:r w:rsidRPr="00EC0229">
        <w:rPr>
          <w:szCs w:val="24"/>
        </w:rPr>
        <w:t xml:space="preserve">ed? </w:t>
      </w:r>
      <w:r w:rsidR="002B1833" w:rsidRPr="00EC0229">
        <w:rPr>
          <w:szCs w:val="24"/>
        </w:rPr>
        <w:t xml:space="preserve">Before proceeding some definition of terms and scope is necessary. </w:t>
      </w:r>
      <w:r w:rsidRPr="00EC0229">
        <w:rPr>
          <w:szCs w:val="24"/>
        </w:rPr>
        <w:t>Northumbria is essentially the territory remaining after the defeat of Ecgfrith at Nechtansmere</w:t>
      </w:r>
      <w:r w:rsidR="00F204A1" w:rsidRPr="00EC0229">
        <w:rPr>
          <w:szCs w:val="24"/>
        </w:rPr>
        <w:fldChar w:fldCharType="begin"/>
      </w:r>
      <w:r w:rsidR="00F204A1" w:rsidRPr="00EC0229">
        <w:instrText xml:space="preserve"> XE "</w:instrText>
      </w:r>
      <w:r w:rsidR="00F204A1" w:rsidRPr="00EC0229">
        <w:rPr>
          <w:rStyle w:val="Hyperlink"/>
          <w:noProof/>
          <w:u w:val="none"/>
        </w:rPr>
        <w:instrText>Nechtansmere</w:instrText>
      </w:r>
      <w:r w:rsidR="00F204A1" w:rsidRPr="00EC0229">
        <w:instrText xml:space="preserve">" </w:instrText>
      </w:r>
      <w:r w:rsidR="00F204A1" w:rsidRPr="00EC0229">
        <w:rPr>
          <w:szCs w:val="24"/>
        </w:rPr>
        <w:fldChar w:fldCharType="end"/>
      </w:r>
      <w:r w:rsidRPr="00EC0229">
        <w:rPr>
          <w:szCs w:val="24"/>
        </w:rPr>
        <w:t xml:space="preserve"> in 685, after which Aldfrith</w:t>
      </w:r>
      <w:r w:rsidR="00D142DC" w:rsidRPr="00EC0229">
        <w:rPr>
          <w:szCs w:val="24"/>
        </w:rPr>
        <w:fldChar w:fldCharType="begin"/>
      </w:r>
      <w:r w:rsidR="00D142DC" w:rsidRPr="00EC0229">
        <w:instrText xml:space="preserve"> XE "Aldfrith" </w:instrText>
      </w:r>
      <w:r w:rsidR="00D142DC" w:rsidRPr="00EC0229">
        <w:rPr>
          <w:szCs w:val="24"/>
        </w:rPr>
        <w:fldChar w:fldCharType="end"/>
      </w:r>
      <w:r w:rsidRPr="00EC0229">
        <w:rPr>
          <w:szCs w:val="24"/>
        </w:rPr>
        <w:t xml:space="preserve"> brought stability - and silver coinage - to the realm</w:t>
      </w:r>
      <w:r w:rsidR="0081252A" w:rsidRPr="00EC0229">
        <w:rPr>
          <w:szCs w:val="24"/>
        </w:rPr>
        <w:t>.</w:t>
      </w:r>
      <w:r w:rsidR="005056F1" w:rsidRPr="00EC0229">
        <w:rPr>
          <w:szCs w:val="24"/>
        </w:rPr>
        <w:t xml:space="preserve"> </w:t>
      </w:r>
      <w:r w:rsidR="005056F1" w:rsidRPr="00EC0229">
        <w:t>The study also considers the earlier gold</w:t>
      </w:r>
      <w:r w:rsidR="005056F1" w:rsidRPr="00EC0229">
        <w:fldChar w:fldCharType="begin"/>
      </w:r>
      <w:r w:rsidR="005056F1" w:rsidRPr="00EC0229">
        <w:instrText xml:space="preserve"> XE "</w:instrText>
      </w:r>
      <w:r w:rsidR="005056F1" w:rsidRPr="00EC0229">
        <w:rPr>
          <w:rFonts w:eastAsia="Times New Roman" w:cs="Times New Roman"/>
          <w:szCs w:val="24"/>
          <w:lang w:eastAsia="en-GB"/>
        </w:rPr>
        <w:instrText>gold</w:instrText>
      </w:r>
      <w:r w:rsidR="005056F1" w:rsidRPr="00EC0229">
        <w:instrText xml:space="preserve">" </w:instrText>
      </w:r>
      <w:r w:rsidR="005056F1" w:rsidRPr="00EC0229">
        <w:fldChar w:fldCharType="end"/>
      </w:r>
      <w:r w:rsidR="005056F1" w:rsidRPr="00EC0229">
        <w:t xml:space="preserve"> shillings of York</w:t>
      </w:r>
      <w:r w:rsidR="005056F1" w:rsidRPr="00EC0229">
        <w:fldChar w:fldCharType="begin"/>
      </w:r>
      <w:r w:rsidR="005056F1" w:rsidRPr="00EC0229">
        <w:instrText xml:space="preserve"> XE "</w:instrText>
      </w:r>
      <w:r w:rsidR="005056F1" w:rsidRPr="00EC0229">
        <w:rPr>
          <w:rStyle w:val="Hyperlink"/>
          <w:noProof/>
          <w:u w:val="none"/>
        </w:rPr>
        <w:instrText>York</w:instrText>
      </w:r>
      <w:r w:rsidR="005056F1" w:rsidRPr="00EC0229">
        <w:instrText xml:space="preserve">" </w:instrText>
      </w:r>
      <w:r w:rsidR="005056F1" w:rsidRPr="00EC0229">
        <w:fldChar w:fldCharType="end"/>
      </w:r>
      <w:r w:rsidR="005056F1" w:rsidRPr="00EC0229">
        <w:t xml:space="preserve"> and Northumbrian coins found elsewhere.</w:t>
      </w:r>
      <w:r w:rsidRPr="00EC0229">
        <w:rPr>
          <w:szCs w:val="24"/>
        </w:rPr>
        <w:t xml:space="preserve"> </w:t>
      </w:r>
      <w:r w:rsidR="003F2041" w:rsidRPr="00EC0229">
        <w:rPr>
          <w:szCs w:val="24"/>
        </w:rPr>
        <w:t>Monetiz</w:t>
      </w:r>
      <w:r w:rsidRPr="00EC0229">
        <w:rPr>
          <w:szCs w:val="24"/>
        </w:rPr>
        <w:t>ation</w:t>
      </w:r>
      <w:r w:rsidR="00F204A1" w:rsidRPr="00EC0229">
        <w:rPr>
          <w:szCs w:val="24"/>
        </w:rPr>
        <w:fldChar w:fldCharType="begin"/>
      </w:r>
      <w:r w:rsidR="00F204A1" w:rsidRPr="00EC0229">
        <w:instrText xml:space="preserve"> XE "</w:instrText>
      </w:r>
      <w:r w:rsidR="00F204A1" w:rsidRPr="00EC0229">
        <w:rPr>
          <w:rStyle w:val="Hyperlink"/>
          <w:rFonts w:cs="Times New Roman"/>
          <w:noProof/>
          <w:u w:val="none"/>
        </w:rPr>
        <w:instrText>Monetization</w:instrText>
      </w:r>
      <w:r w:rsidR="00F204A1" w:rsidRPr="00EC0229">
        <w:instrText xml:space="preserve">" </w:instrText>
      </w:r>
      <w:r w:rsidR="00F204A1" w:rsidRPr="00EC0229">
        <w:rPr>
          <w:szCs w:val="24"/>
        </w:rPr>
        <w:fldChar w:fldCharType="end"/>
      </w:r>
      <w:r w:rsidRPr="00EC0229">
        <w:rPr>
          <w:szCs w:val="24"/>
        </w:rPr>
        <w:t xml:space="preserve"> </w:t>
      </w:r>
      <w:r w:rsidR="006A6336" w:rsidRPr="00EC0229">
        <w:rPr>
          <w:szCs w:val="24"/>
        </w:rPr>
        <w:t xml:space="preserve">in the narrow, </w:t>
      </w:r>
      <w:r w:rsidR="006A6336" w:rsidRPr="00EC0229">
        <w:rPr>
          <w:szCs w:val="24"/>
        </w:rPr>
        <w:lastRenderedPageBreak/>
        <w:t>practical sense used in this study</w:t>
      </w:r>
      <w:r w:rsidR="009D2A5B" w:rsidRPr="00EC0229">
        <w:rPr>
          <w:szCs w:val="24"/>
        </w:rPr>
        <w:t xml:space="preserve"> refers to the </w:t>
      </w:r>
      <w:r w:rsidR="009D2A5B" w:rsidRPr="00EC0229">
        <w:rPr>
          <w:i/>
          <w:szCs w:val="24"/>
        </w:rPr>
        <w:t>re-introduction</w:t>
      </w:r>
      <w:r w:rsidR="009D2A5B" w:rsidRPr="00EC0229">
        <w:rPr>
          <w:szCs w:val="24"/>
        </w:rPr>
        <w:t xml:space="preserve"> of coinage.</w:t>
      </w:r>
      <w:r w:rsidR="006A6336" w:rsidRPr="00EC0229">
        <w:rPr>
          <w:rStyle w:val="FootnoteReference"/>
          <w:szCs w:val="24"/>
        </w:rPr>
        <w:footnoteReference w:id="11"/>
      </w:r>
      <w:r w:rsidR="006A6336" w:rsidRPr="00EC0229">
        <w:rPr>
          <w:szCs w:val="24"/>
        </w:rPr>
        <w:t xml:space="preserve"> </w:t>
      </w:r>
      <w:r w:rsidR="009D2A5B" w:rsidRPr="00EC0229">
        <w:rPr>
          <w:szCs w:val="24"/>
        </w:rPr>
        <w:t xml:space="preserve">At the simplest level, this </w:t>
      </w:r>
      <w:r w:rsidRPr="00EC0229">
        <w:rPr>
          <w:szCs w:val="24"/>
        </w:rPr>
        <w:t xml:space="preserve">occurs when coins are used to settle regular daily transactions – the purchase of dietary staples and other </w:t>
      </w:r>
      <w:r w:rsidR="00F06E7D" w:rsidRPr="00EC0229">
        <w:rPr>
          <w:szCs w:val="24"/>
        </w:rPr>
        <w:t>necessities</w:t>
      </w:r>
      <w:r w:rsidR="006A6336" w:rsidRPr="00EC0229">
        <w:rPr>
          <w:szCs w:val="24"/>
        </w:rPr>
        <w:t xml:space="preserve">. </w:t>
      </w:r>
      <w:r w:rsidR="003F2041" w:rsidRPr="00EC0229">
        <w:rPr>
          <w:szCs w:val="24"/>
        </w:rPr>
        <w:t>Monetiz</w:t>
      </w:r>
      <w:r w:rsidR="006A6336" w:rsidRPr="00EC0229">
        <w:rPr>
          <w:szCs w:val="24"/>
        </w:rPr>
        <w:t>ation</w:t>
      </w:r>
      <w:r w:rsidRPr="00EC0229">
        <w:rPr>
          <w:szCs w:val="24"/>
        </w:rPr>
        <w:t xml:space="preserve"> </w:t>
      </w:r>
      <w:r w:rsidR="00A04484" w:rsidRPr="00EC0229">
        <w:rPr>
          <w:szCs w:val="24"/>
        </w:rPr>
        <w:t xml:space="preserve">is </w:t>
      </w:r>
      <w:r w:rsidR="009D2A5B" w:rsidRPr="00EC0229">
        <w:rPr>
          <w:szCs w:val="24"/>
        </w:rPr>
        <w:t xml:space="preserve">here </w:t>
      </w:r>
      <w:r w:rsidR="004504D2">
        <w:rPr>
          <w:szCs w:val="24"/>
        </w:rPr>
        <w:t>characterize</w:t>
      </w:r>
      <w:r w:rsidRPr="00EC0229">
        <w:rPr>
          <w:szCs w:val="24"/>
        </w:rPr>
        <w:t xml:space="preserve">d by </w:t>
      </w:r>
      <w:r w:rsidR="00A04484" w:rsidRPr="00EC0229">
        <w:rPr>
          <w:szCs w:val="24"/>
        </w:rPr>
        <w:t xml:space="preserve">the proximity of finds of </w:t>
      </w:r>
      <w:r w:rsidR="00EA1774" w:rsidRPr="00EC0229">
        <w:rPr>
          <w:szCs w:val="24"/>
        </w:rPr>
        <w:t>coins and</w:t>
      </w:r>
      <w:r w:rsidRPr="00EC0229">
        <w:rPr>
          <w:szCs w:val="24"/>
        </w:rPr>
        <w:t xml:space="preserve"> portable artefacts</w:t>
      </w:r>
      <w:r w:rsidR="00A04484" w:rsidRPr="00EC0229">
        <w:rPr>
          <w:szCs w:val="24"/>
        </w:rPr>
        <w:t>, demonstrating</w:t>
      </w:r>
      <w:r w:rsidRPr="00EC0229">
        <w:rPr>
          <w:szCs w:val="24"/>
        </w:rPr>
        <w:t xml:space="preserve"> that the use of coin</w:t>
      </w:r>
      <w:r w:rsidR="00A04484" w:rsidRPr="00EC0229">
        <w:rPr>
          <w:szCs w:val="24"/>
        </w:rPr>
        <w:t xml:space="preserve"> as a medium of exchange</w:t>
      </w:r>
      <w:r w:rsidRPr="00EC0229">
        <w:rPr>
          <w:szCs w:val="24"/>
        </w:rPr>
        <w:t xml:space="preserve">, even when there is only one denomination, has </w:t>
      </w:r>
      <w:r w:rsidR="0046542C" w:rsidRPr="00EC0229">
        <w:rPr>
          <w:szCs w:val="24"/>
        </w:rPr>
        <w:t xml:space="preserve">permeated </w:t>
      </w:r>
      <w:r w:rsidRPr="00EC0229">
        <w:rPr>
          <w:szCs w:val="24"/>
        </w:rPr>
        <w:t>through</w:t>
      </w:r>
      <w:r w:rsidR="0046542C" w:rsidRPr="00EC0229">
        <w:rPr>
          <w:szCs w:val="24"/>
        </w:rPr>
        <w:t>out</w:t>
      </w:r>
      <w:r w:rsidRPr="00EC0229">
        <w:rPr>
          <w:szCs w:val="24"/>
        </w:rPr>
        <w:t xml:space="preserve"> society</w:t>
      </w:r>
      <w:r w:rsidR="003D6434" w:rsidRPr="00EC0229">
        <w:rPr>
          <w:szCs w:val="24"/>
        </w:rPr>
        <w:t>,</w:t>
      </w:r>
      <w:r w:rsidRPr="00EC0229">
        <w:rPr>
          <w:szCs w:val="24"/>
        </w:rPr>
        <w:t xml:space="preserve"> rather than </w:t>
      </w:r>
      <w:r w:rsidR="003D6434" w:rsidRPr="00EC0229">
        <w:rPr>
          <w:szCs w:val="24"/>
        </w:rPr>
        <w:t xml:space="preserve">fulfilling </w:t>
      </w:r>
      <w:r w:rsidRPr="00EC0229">
        <w:rPr>
          <w:szCs w:val="24"/>
        </w:rPr>
        <w:t xml:space="preserve">the </w:t>
      </w:r>
      <w:r w:rsidR="0046542C" w:rsidRPr="00EC0229">
        <w:rPr>
          <w:szCs w:val="24"/>
        </w:rPr>
        <w:t>needs</w:t>
      </w:r>
      <w:r w:rsidRPr="00EC0229">
        <w:rPr>
          <w:szCs w:val="24"/>
        </w:rPr>
        <w:t xml:space="preserve"> of </w:t>
      </w:r>
      <w:r w:rsidR="003D6434" w:rsidRPr="00EC0229">
        <w:rPr>
          <w:szCs w:val="24"/>
        </w:rPr>
        <w:t xml:space="preserve">just </w:t>
      </w:r>
      <w:r w:rsidRPr="00EC0229">
        <w:rPr>
          <w:szCs w:val="24"/>
        </w:rPr>
        <w:t>the social</w:t>
      </w:r>
      <w:r w:rsidR="003D6434" w:rsidRPr="00EC0229">
        <w:rPr>
          <w:szCs w:val="24"/>
        </w:rPr>
        <w:t>, mercantile</w:t>
      </w:r>
      <w:r w:rsidRPr="00EC0229">
        <w:rPr>
          <w:szCs w:val="24"/>
        </w:rPr>
        <w:t xml:space="preserve"> or religious élite</w:t>
      </w:r>
      <w:r w:rsidR="008960AE" w:rsidRPr="00EC0229">
        <w:rPr>
          <w:szCs w:val="24"/>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szCs w:val="24"/>
        </w:rPr>
        <w:fldChar w:fldCharType="end"/>
      </w:r>
      <w:r w:rsidR="003D6434" w:rsidRPr="00EC0229">
        <w:rPr>
          <w:szCs w:val="24"/>
        </w:rPr>
        <w:t>.</w:t>
      </w:r>
    </w:p>
    <w:p w14:paraId="0EC13F1D" w14:textId="77777777" w:rsidR="00DE58F5" w:rsidRPr="00EC0229" w:rsidRDefault="00DE58F5" w:rsidP="007600EA">
      <w:pPr>
        <w:pStyle w:val="NoSpacing"/>
        <w:spacing w:line="360" w:lineRule="auto"/>
      </w:pPr>
    </w:p>
    <w:p w14:paraId="269F02DE" w14:textId="3C9B58FB" w:rsidR="00DE58F5" w:rsidRPr="00EC0229" w:rsidRDefault="00DE58F5" w:rsidP="007600EA">
      <w:pPr>
        <w:pStyle w:val="NoSpacing"/>
        <w:spacing w:line="360" w:lineRule="auto"/>
        <w:rPr>
          <w:szCs w:val="24"/>
        </w:rPr>
      </w:pPr>
      <w:r w:rsidRPr="00EC0229">
        <w:rPr>
          <w:szCs w:val="24"/>
        </w:rPr>
        <w:t xml:space="preserve">Assemblages of diagnostic material </w:t>
      </w:r>
      <w:r w:rsidR="006F5A5F" w:rsidRPr="00EC0229">
        <w:rPr>
          <w:szCs w:val="24"/>
        </w:rPr>
        <w:t xml:space="preserve">contain </w:t>
      </w:r>
      <w:r w:rsidRPr="00EC0229">
        <w:rPr>
          <w:szCs w:val="24"/>
        </w:rPr>
        <w:t xml:space="preserve">coins, metallic artefacts including </w:t>
      </w:r>
      <w:r w:rsidRPr="00EC0229">
        <w:t>copper-alloy dress accessories</w:t>
      </w:r>
      <w:r w:rsidR="008960AE" w:rsidRPr="00EC0229">
        <w:fldChar w:fldCharType="begin"/>
      </w:r>
      <w:r w:rsidR="008960AE" w:rsidRPr="00EC0229">
        <w:instrText xml:space="preserve"> XE "dress accessories" </w:instrText>
      </w:r>
      <w:r w:rsidR="008960AE" w:rsidRPr="00EC0229">
        <w:fldChar w:fldCharType="end"/>
      </w:r>
      <w:r w:rsidRPr="00EC0229">
        <w:t>,</w:t>
      </w:r>
      <w:r w:rsidRPr="00EC0229">
        <w:rPr>
          <w:szCs w:val="24"/>
        </w:rPr>
        <w:t xml:space="preserve"> ceramics</w:t>
      </w:r>
      <w:r w:rsidR="008960AE" w:rsidRPr="00EC0229">
        <w:rPr>
          <w:szCs w:val="24"/>
        </w:rPr>
        <w:fldChar w:fldCharType="begin"/>
      </w:r>
      <w:r w:rsidR="008960AE" w:rsidRPr="00EC0229">
        <w:instrText xml:space="preserve"> XE "</w:instrText>
      </w:r>
      <w:r w:rsidR="008960AE" w:rsidRPr="00EC0229">
        <w:rPr>
          <w:szCs w:val="24"/>
        </w:rPr>
        <w:instrText>ceramics</w:instrText>
      </w:r>
      <w:r w:rsidR="008960AE" w:rsidRPr="00EC0229">
        <w:instrText xml:space="preserve">" </w:instrText>
      </w:r>
      <w:r w:rsidR="008960AE" w:rsidRPr="00EC0229">
        <w:rPr>
          <w:szCs w:val="24"/>
        </w:rPr>
        <w:fldChar w:fldCharType="end"/>
      </w:r>
      <w:r w:rsidRPr="00EC0229">
        <w:rPr>
          <w:szCs w:val="24"/>
        </w:rPr>
        <w:t>, building materials, stonework and biological remains. In a network of settlements, different distributions of such artefacts require explanation and the use of coins for exchange, rather than other purposes, must be established. Northumbria</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szCs w:val="24"/>
        </w:rPr>
        <w:fldChar w:fldCharType="end"/>
      </w:r>
      <w:r w:rsidRPr="00EC0229">
        <w:rPr>
          <w:szCs w:val="24"/>
        </w:rPr>
        <w:t xml:space="preserve"> may be a special case in view of its distinctive coinage and particularly the phased evoluti</w:t>
      </w:r>
      <w:r w:rsidR="002B1833" w:rsidRPr="00EC0229">
        <w:rPr>
          <w:szCs w:val="24"/>
        </w:rPr>
        <w:t xml:space="preserve">on of </w:t>
      </w:r>
      <w:r w:rsidR="005056F1" w:rsidRPr="00EC0229">
        <w:rPr>
          <w:szCs w:val="24"/>
        </w:rPr>
        <w:t>its</w:t>
      </w:r>
      <w:r w:rsidR="002B1833" w:rsidRPr="00EC0229">
        <w:rPr>
          <w:szCs w:val="24"/>
        </w:rPr>
        <w:t xml:space="preserve"> silver coinage into the</w:t>
      </w:r>
      <w:r w:rsidRPr="00EC0229">
        <w:rPr>
          <w:szCs w:val="24"/>
        </w:rPr>
        <w:t xml:space="preserve"> unique base-metal styca</w:t>
      </w:r>
      <w:r w:rsidR="002B1833" w:rsidRPr="00EC0229">
        <w:rPr>
          <w:szCs w:val="24"/>
        </w:rPr>
        <w:t xml:space="preserve"> currency</w:t>
      </w:r>
      <w:r w:rsidRPr="00EC0229">
        <w:rPr>
          <w:szCs w:val="24"/>
        </w:rPr>
        <w:t>.</w:t>
      </w:r>
    </w:p>
    <w:p w14:paraId="3D3DD57E" w14:textId="77777777" w:rsidR="00DE58F5" w:rsidRPr="00EC0229" w:rsidRDefault="00DE58F5" w:rsidP="007600EA">
      <w:pPr>
        <w:pStyle w:val="NoSpacing"/>
        <w:spacing w:line="360" w:lineRule="auto"/>
        <w:rPr>
          <w:szCs w:val="24"/>
        </w:rPr>
      </w:pPr>
    </w:p>
    <w:p w14:paraId="08340A42" w14:textId="4F0B94C1" w:rsidR="00DE58F5" w:rsidRPr="00EC0229" w:rsidRDefault="005253D0" w:rsidP="007600EA">
      <w:pPr>
        <w:pStyle w:val="NoSpacing"/>
        <w:spacing w:line="360" w:lineRule="auto"/>
        <w:rPr>
          <w:szCs w:val="24"/>
        </w:rPr>
      </w:pPr>
      <w:r w:rsidRPr="00EC0229">
        <w:rPr>
          <w:szCs w:val="24"/>
        </w:rPr>
        <w:t>P</w:t>
      </w:r>
      <w:r w:rsidR="00DE58F5" w:rsidRPr="00EC0229">
        <w:rPr>
          <w:szCs w:val="24"/>
        </w:rPr>
        <w:t xml:space="preserve">articular emphasis </w:t>
      </w:r>
      <w:r w:rsidRPr="00EC0229">
        <w:rPr>
          <w:szCs w:val="24"/>
        </w:rPr>
        <w:t xml:space="preserve">is placed </w:t>
      </w:r>
      <w:r w:rsidR="00DE58F5" w:rsidRPr="00EC0229">
        <w:rPr>
          <w:szCs w:val="24"/>
        </w:rPr>
        <w:t>on the styca coinage which is represented by a wealth of both hoard and single-find material.</w:t>
      </w:r>
      <w:r w:rsidR="00DE58F5" w:rsidRPr="00EC0229">
        <w:rPr>
          <w:rStyle w:val="FootnoteReference"/>
          <w:szCs w:val="24"/>
        </w:rPr>
        <w:footnoteReference w:id="12"/>
      </w:r>
      <w:r w:rsidR="00DE58F5" w:rsidRPr="00EC0229">
        <w:rPr>
          <w:szCs w:val="24"/>
        </w:rPr>
        <w:t xml:space="preserve"> However, possibly due to its generally unprepossessing appearance, </w:t>
      </w:r>
      <w:r w:rsidR="001062A0" w:rsidRPr="00EC0229">
        <w:rPr>
          <w:szCs w:val="24"/>
        </w:rPr>
        <w:t>this coin</w:t>
      </w:r>
      <w:r w:rsidR="00DE58F5" w:rsidRPr="00EC0229">
        <w:rPr>
          <w:szCs w:val="24"/>
        </w:rPr>
        <w:t xml:space="preserve"> has not always been fully appreciated as an economic driver</w:t>
      </w:r>
      <w:r w:rsidR="00E8479F" w:rsidRPr="00EC0229">
        <w:rPr>
          <w:szCs w:val="24"/>
        </w:rPr>
        <w:t>.</w:t>
      </w:r>
      <w:r w:rsidR="00DE58F5" w:rsidRPr="00EC0229">
        <w:rPr>
          <w:rStyle w:val="FootnoteReference"/>
          <w:szCs w:val="24"/>
        </w:rPr>
        <w:footnoteReference w:id="13"/>
      </w:r>
      <w:r w:rsidR="00DE58F5" w:rsidRPr="00EC0229">
        <w:rPr>
          <w:szCs w:val="24"/>
        </w:rPr>
        <w:t xml:space="preserve"> </w:t>
      </w:r>
      <w:r w:rsidR="00E8479F" w:rsidRPr="00EC0229">
        <w:rPr>
          <w:szCs w:val="24"/>
        </w:rPr>
        <w:t xml:space="preserve">As the sole denomination it would have been used for </w:t>
      </w:r>
      <w:r w:rsidR="008A7366" w:rsidRPr="00EC0229">
        <w:rPr>
          <w:szCs w:val="24"/>
        </w:rPr>
        <w:t xml:space="preserve">transactions of different frequencies – routine </w:t>
      </w:r>
      <w:r w:rsidR="00E8479F" w:rsidRPr="00EC0229">
        <w:rPr>
          <w:szCs w:val="24"/>
        </w:rPr>
        <w:t>daily transactions</w:t>
      </w:r>
      <w:r w:rsidR="008A7366" w:rsidRPr="00EC0229">
        <w:rPr>
          <w:szCs w:val="24"/>
        </w:rPr>
        <w:t>,</w:t>
      </w:r>
      <w:r w:rsidR="00E8479F" w:rsidRPr="00EC0229">
        <w:rPr>
          <w:szCs w:val="24"/>
        </w:rPr>
        <w:t xml:space="preserve"> the </w:t>
      </w:r>
      <w:r w:rsidR="008A7366" w:rsidRPr="00EC0229">
        <w:rPr>
          <w:szCs w:val="24"/>
        </w:rPr>
        <w:t xml:space="preserve">regular </w:t>
      </w:r>
      <w:r w:rsidR="00E8479F" w:rsidRPr="00EC0229">
        <w:rPr>
          <w:szCs w:val="24"/>
        </w:rPr>
        <w:t xml:space="preserve">payment of dues, and for more substantial </w:t>
      </w:r>
      <w:r w:rsidR="008A7366" w:rsidRPr="00EC0229">
        <w:rPr>
          <w:szCs w:val="24"/>
        </w:rPr>
        <w:t xml:space="preserve">occasional </w:t>
      </w:r>
      <w:r w:rsidR="00E8479F" w:rsidRPr="00EC0229">
        <w:rPr>
          <w:szCs w:val="24"/>
        </w:rPr>
        <w:t xml:space="preserve">transactions such as </w:t>
      </w:r>
      <w:r w:rsidR="00DE58F5" w:rsidRPr="00EC0229">
        <w:rPr>
          <w:szCs w:val="24"/>
        </w:rPr>
        <w:t>tribute payments</w:t>
      </w:r>
      <w:r w:rsidR="00E8479F" w:rsidRPr="00EC0229">
        <w:rPr>
          <w:szCs w:val="24"/>
        </w:rPr>
        <w:t xml:space="preserve"> and</w:t>
      </w:r>
      <w:r w:rsidR="00DE58F5" w:rsidRPr="00EC0229">
        <w:rPr>
          <w:szCs w:val="24"/>
        </w:rPr>
        <w:t xml:space="preserve"> the transfer of estates and people to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00DE58F5" w:rsidRPr="00EC0229">
        <w:rPr>
          <w:szCs w:val="24"/>
        </w:rPr>
        <w:t xml:space="preserve"> establishments as ‘bookland</w:t>
      </w:r>
      <w:r w:rsidR="008960AE" w:rsidRPr="00EC0229">
        <w:rPr>
          <w:szCs w:val="24"/>
        </w:rPr>
        <w:fldChar w:fldCharType="begin"/>
      </w:r>
      <w:r w:rsidR="008960AE" w:rsidRPr="00EC0229">
        <w:instrText xml:space="preserve"> XE "</w:instrText>
      </w:r>
      <w:r w:rsidR="008960AE" w:rsidRPr="00EC0229">
        <w:rPr>
          <w:szCs w:val="24"/>
        </w:rPr>
        <w:instrText>bookland</w:instrText>
      </w:r>
      <w:r w:rsidR="008960AE" w:rsidRPr="00EC0229">
        <w:instrText xml:space="preserve">" </w:instrText>
      </w:r>
      <w:r w:rsidR="008960AE" w:rsidRPr="00EC0229">
        <w:rPr>
          <w:szCs w:val="24"/>
        </w:rPr>
        <w:fldChar w:fldCharType="end"/>
      </w:r>
      <w:r w:rsidR="00DE58F5" w:rsidRPr="00EC0229">
        <w:rPr>
          <w:szCs w:val="24"/>
        </w:rPr>
        <w:t>’</w:t>
      </w:r>
      <w:r w:rsidR="00E8479F" w:rsidRPr="00EC0229">
        <w:rPr>
          <w:szCs w:val="24"/>
        </w:rPr>
        <w:t>.</w:t>
      </w:r>
      <w:r w:rsidR="00DE58F5" w:rsidRPr="00EC0229">
        <w:rPr>
          <w:rStyle w:val="FootnoteReference"/>
          <w:szCs w:val="24"/>
        </w:rPr>
        <w:footnoteReference w:id="14"/>
      </w:r>
      <w:r w:rsidR="00E8479F" w:rsidRPr="00EC0229">
        <w:rPr>
          <w:szCs w:val="24"/>
        </w:rPr>
        <w:t xml:space="preserve"> Both e</w:t>
      </w:r>
      <w:r w:rsidR="00DE58F5" w:rsidRPr="00EC0229">
        <w:rPr>
          <w:szCs w:val="24"/>
        </w:rPr>
        <w:t xml:space="preserve">conomic </w:t>
      </w:r>
      <w:r w:rsidR="00E8479F" w:rsidRPr="00EC0229">
        <w:rPr>
          <w:szCs w:val="24"/>
        </w:rPr>
        <w:t xml:space="preserve">and political </w:t>
      </w:r>
      <w:r w:rsidR="00DE58F5" w:rsidRPr="00EC0229">
        <w:rPr>
          <w:szCs w:val="24"/>
        </w:rPr>
        <w:t>factors</w:t>
      </w:r>
      <w:r w:rsidR="006178F2" w:rsidRPr="00EC0229">
        <w:rPr>
          <w:szCs w:val="24"/>
        </w:rPr>
        <w:t xml:space="preserve">, such as </w:t>
      </w:r>
      <w:r w:rsidR="00E8479F" w:rsidRPr="00EC0229">
        <w:rPr>
          <w:szCs w:val="24"/>
        </w:rPr>
        <w:t>internecine rivalry</w:t>
      </w:r>
      <w:r w:rsidR="00F94307" w:rsidRPr="00EC0229">
        <w:rPr>
          <w:szCs w:val="24"/>
        </w:rPr>
        <w:t>,</w:t>
      </w:r>
      <w:r w:rsidR="00E8479F" w:rsidRPr="00EC0229">
        <w:rPr>
          <w:szCs w:val="24"/>
        </w:rPr>
        <w:t xml:space="preserve"> </w:t>
      </w:r>
      <w:r w:rsidR="00DE58F5" w:rsidRPr="00EC0229">
        <w:rPr>
          <w:szCs w:val="24"/>
        </w:rPr>
        <w:t>are explored as possible contributors</w:t>
      </w:r>
      <w:r w:rsidR="008138F4" w:rsidRPr="00EC0229">
        <w:rPr>
          <w:szCs w:val="24"/>
        </w:rPr>
        <w:t>,</w:t>
      </w:r>
      <w:r w:rsidR="00DE58F5" w:rsidRPr="00EC0229">
        <w:rPr>
          <w:szCs w:val="24"/>
        </w:rPr>
        <w:t xml:space="preserve"> not only to driving down the intrinsic value of the sole denomination</w:t>
      </w:r>
      <w:r w:rsidR="008960AE" w:rsidRPr="00EC0229">
        <w:rPr>
          <w:szCs w:val="24"/>
        </w:rPr>
        <w:fldChar w:fldCharType="begin"/>
      </w:r>
      <w:r w:rsidR="008960AE" w:rsidRPr="00EC0229">
        <w:instrText xml:space="preserve"> XE "</w:instrText>
      </w:r>
      <w:r w:rsidR="008960AE" w:rsidRPr="00EC0229">
        <w:rPr>
          <w:szCs w:val="24"/>
        </w:rPr>
        <w:instrText>sole denomination</w:instrText>
      </w:r>
      <w:r w:rsidR="008960AE" w:rsidRPr="00EC0229">
        <w:instrText xml:space="preserve">" </w:instrText>
      </w:r>
      <w:r w:rsidR="008960AE" w:rsidRPr="00EC0229">
        <w:rPr>
          <w:szCs w:val="24"/>
        </w:rPr>
        <w:fldChar w:fldCharType="end"/>
      </w:r>
      <w:r w:rsidR="00DE58F5" w:rsidRPr="00EC0229">
        <w:rPr>
          <w:szCs w:val="24"/>
        </w:rPr>
        <w:t xml:space="preserve"> to a more generally useful level</w:t>
      </w:r>
      <w:r w:rsidR="007A7781" w:rsidRPr="00EC0229">
        <w:rPr>
          <w:szCs w:val="24"/>
        </w:rPr>
        <w:t>,</w:t>
      </w:r>
      <w:r w:rsidR="00DE58F5" w:rsidRPr="00EC0229">
        <w:rPr>
          <w:szCs w:val="24"/>
        </w:rPr>
        <w:t xml:space="preserve"> </w:t>
      </w:r>
      <w:r w:rsidR="00666F2D" w:rsidRPr="00EC0229">
        <w:rPr>
          <w:szCs w:val="24"/>
        </w:rPr>
        <w:t xml:space="preserve">but also to </w:t>
      </w:r>
      <w:r w:rsidR="00DE58F5" w:rsidRPr="00EC0229">
        <w:rPr>
          <w:szCs w:val="24"/>
        </w:rPr>
        <w:t>erratic coin production in the north.</w:t>
      </w:r>
    </w:p>
    <w:p w14:paraId="4F7A4464" w14:textId="77777777" w:rsidR="00DE58F5" w:rsidRPr="00EC0229" w:rsidRDefault="00DE58F5" w:rsidP="007600EA">
      <w:pPr>
        <w:pStyle w:val="NoSpacing"/>
        <w:spacing w:line="360" w:lineRule="auto"/>
        <w:rPr>
          <w:szCs w:val="24"/>
        </w:rPr>
      </w:pPr>
    </w:p>
    <w:p w14:paraId="01F66379" w14:textId="08EB70F5" w:rsidR="00E17897" w:rsidRDefault="00E17897" w:rsidP="007600EA">
      <w:pPr>
        <w:pStyle w:val="NoSpacing"/>
        <w:spacing w:line="360" w:lineRule="auto"/>
      </w:pPr>
    </w:p>
    <w:p w14:paraId="4B592126" w14:textId="77777777" w:rsidR="00EC0229" w:rsidRPr="00EC0229" w:rsidRDefault="00EC0229" w:rsidP="007600EA">
      <w:pPr>
        <w:pStyle w:val="NoSpacing"/>
        <w:spacing w:line="360" w:lineRule="auto"/>
      </w:pPr>
    </w:p>
    <w:p w14:paraId="60BDD9CD" w14:textId="61F376C7" w:rsidR="0007797D" w:rsidRPr="00EC0229" w:rsidRDefault="008367C7" w:rsidP="0007797D">
      <w:pPr>
        <w:pStyle w:val="Heading2"/>
      </w:pPr>
      <w:bookmarkStart w:id="45" w:name="Aim"/>
      <w:bookmarkStart w:id="46" w:name="_Toc468266735"/>
      <w:bookmarkEnd w:id="45"/>
      <w:r>
        <w:lastRenderedPageBreak/>
        <w:t>1.1</w:t>
      </w:r>
      <w:r w:rsidR="00624DF5">
        <w:tab/>
      </w:r>
      <w:r w:rsidR="0007797D" w:rsidRPr="00EC0229">
        <w:t>Aims and Objectives</w:t>
      </w:r>
      <w:bookmarkEnd w:id="46"/>
    </w:p>
    <w:p w14:paraId="6452CF6E" w14:textId="1870E817" w:rsidR="00FF2772" w:rsidRPr="00EC0229" w:rsidRDefault="009950BA" w:rsidP="007600EA">
      <w:pPr>
        <w:spacing w:line="360" w:lineRule="auto"/>
        <w:rPr>
          <w:rFonts w:cs="Times New Roman"/>
          <w:szCs w:val="24"/>
        </w:rPr>
      </w:pPr>
      <w:r w:rsidRPr="00EC0229">
        <w:rPr>
          <w:szCs w:val="24"/>
        </w:rPr>
        <w:t xml:space="preserve">The </w:t>
      </w:r>
      <w:r w:rsidR="00814D21" w:rsidRPr="00EC0229">
        <w:rPr>
          <w:szCs w:val="24"/>
        </w:rPr>
        <w:t xml:space="preserve">primary </w:t>
      </w:r>
      <w:r w:rsidRPr="00EC0229">
        <w:rPr>
          <w:szCs w:val="24"/>
        </w:rPr>
        <w:t>aim</w:t>
      </w:r>
      <w:r w:rsidR="001062A0" w:rsidRPr="00EC0229">
        <w:rPr>
          <w:szCs w:val="24"/>
        </w:rPr>
        <w:t xml:space="preserve"> </w:t>
      </w:r>
      <w:r w:rsidR="00814D21" w:rsidRPr="00EC0229">
        <w:rPr>
          <w:szCs w:val="24"/>
        </w:rPr>
        <w:t xml:space="preserve">of this thesis </w:t>
      </w:r>
      <w:r w:rsidR="001062A0" w:rsidRPr="00EC0229">
        <w:rPr>
          <w:szCs w:val="24"/>
        </w:rPr>
        <w:t>is to</w:t>
      </w:r>
      <w:r w:rsidR="00FF2772" w:rsidRPr="00EC0229">
        <w:rPr>
          <w:szCs w:val="24"/>
        </w:rPr>
        <w:t xml:space="preserve"> assess, in the context of other artefacts, </w:t>
      </w:r>
      <w:r w:rsidR="001062A0" w:rsidRPr="00EC0229">
        <w:rPr>
          <w:szCs w:val="24"/>
        </w:rPr>
        <w:t xml:space="preserve">the extent and nature of </w:t>
      </w:r>
      <w:r w:rsidR="003F2041" w:rsidRPr="00EC0229">
        <w:rPr>
          <w:szCs w:val="24"/>
        </w:rPr>
        <w:t>monetiz</w:t>
      </w:r>
      <w:r w:rsidR="001062A0" w:rsidRPr="00EC0229">
        <w:rPr>
          <w:szCs w:val="24"/>
        </w:rPr>
        <w:t>ation</w:t>
      </w:r>
      <w:r w:rsidR="008960AE" w:rsidRPr="00EC0229">
        <w:rPr>
          <w:szCs w:val="24"/>
        </w:rPr>
        <w:fldChar w:fldCharType="begin"/>
      </w:r>
      <w:r w:rsidR="008960AE" w:rsidRPr="00EC0229">
        <w:instrText xml:space="preserve"> XE "monetization" </w:instrText>
      </w:r>
      <w:r w:rsidR="008960AE" w:rsidRPr="00EC0229">
        <w:rPr>
          <w:szCs w:val="24"/>
        </w:rPr>
        <w:fldChar w:fldCharType="end"/>
      </w:r>
      <w:r w:rsidR="001062A0" w:rsidRPr="00EC0229">
        <w:rPr>
          <w:szCs w:val="24"/>
        </w:rPr>
        <w:t xml:space="preserve"> </w:t>
      </w:r>
      <w:r w:rsidR="00FF2772" w:rsidRPr="00EC0229">
        <w:rPr>
          <w:szCs w:val="24"/>
        </w:rPr>
        <w:t>during the seventh to ninth centuries</w:t>
      </w:r>
      <w:r w:rsidR="00814D21" w:rsidRPr="00EC0229">
        <w:rPr>
          <w:szCs w:val="24"/>
        </w:rPr>
        <w:t xml:space="preserve">, when </w:t>
      </w:r>
      <w:r w:rsidR="001062A0" w:rsidRPr="00EC0229">
        <w:rPr>
          <w:szCs w:val="24"/>
        </w:rPr>
        <w:t>coin</w:t>
      </w:r>
      <w:r w:rsidR="00814D21" w:rsidRPr="00EC0229">
        <w:rPr>
          <w:szCs w:val="24"/>
        </w:rPr>
        <w:t xml:space="preserve"> use varied spatially, temporally and by </w:t>
      </w:r>
      <w:r w:rsidR="00FF2772" w:rsidRPr="00EC0229">
        <w:rPr>
          <w:szCs w:val="24"/>
        </w:rPr>
        <w:t>transaction</w:t>
      </w:r>
      <w:r w:rsidR="00814D21" w:rsidRPr="00EC0229">
        <w:rPr>
          <w:szCs w:val="24"/>
        </w:rPr>
        <w:t>al type</w:t>
      </w:r>
      <w:r w:rsidR="00FF2772" w:rsidRPr="00EC0229">
        <w:rPr>
          <w:szCs w:val="24"/>
        </w:rPr>
        <w:t>.</w:t>
      </w:r>
      <w:r w:rsidR="001062A0" w:rsidRPr="00EC0229">
        <w:rPr>
          <w:szCs w:val="24"/>
        </w:rPr>
        <w:t xml:space="preserve"> </w:t>
      </w:r>
      <w:r w:rsidR="003F2041" w:rsidRPr="00EC0229">
        <w:rPr>
          <w:szCs w:val="24"/>
        </w:rPr>
        <w:t>Monetiz</w:t>
      </w:r>
      <w:r w:rsidR="009674FF" w:rsidRPr="00EC0229">
        <w:rPr>
          <w:szCs w:val="24"/>
        </w:rPr>
        <w:t xml:space="preserve">ation provides </w:t>
      </w:r>
      <w:r w:rsidR="007D1856" w:rsidRPr="00EC0229">
        <w:rPr>
          <w:i/>
          <w:szCs w:val="24"/>
        </w:rPr>
        <w:t>prime faci</w:t>
      </w:r>
      <w:r w:rsidR="00C253AB" w:rsidRPr="00EC0229">
        <w:rPr>
          <w:i/>
          <w:szCs w:val="24"/>
        </w:rPr>
        <w:t>e</w:t>
      </w:r>
      <w:r w:rsidR="007D1856" w:rsidRPr="00EC0229">
        <w:rPr>
          <w:i/>
          <w:szCs w:val="24"/>
        </w:rPr>
        <w:t xml:space="preserve"> </w:t>
      </w:r>
      <w:r w:rsidR="009674FF" w:rsidRPr="00EC0229">
        <w:rPr>
          <w:szCs w:val="24"/>
        </w:rPr>
        <w:t>evidence of recovery, economically</w:t>
      </w:r>
      <w:r w:rsidR="007D1856" w:rsidRPr="00EC0229">
        <w:rPr>
          <w:szCs w:val="24"/>
        </w:rPr>
        <w:t>, technically</w:t>
      </w:r>
      <w:r w:rsidR="009674FF" w:rsidRPr="00EC0229">
        <w:rPr>
          <w:szCs w:val="24"/>
        </w:rPr>
        <w:t xml:space="preserve"> and intellectually, after the dislocation of the Roman withdrawal.</w:t>
      </w:r>
    </w:p>
    <w:p w14:paraId="3C91A031" w14:textId="1391CE22" w:rsidR="00842EF3" w:rsidRPr="00EC0229" w:rsidRDefault="00063AE1" w:rsidP="00842EF3">
      <w:pPr>
        <w:spacing w:line="360" w:lineRule="auto"/>
      </w:pPr>
      <w:bookmarkStart w:id="47" w:name="Supplementaries"/>
      <w:bookmarkEnd w:id="47"/>
      <w:r w:rsidRPr="00EC0229">
        <w:t>Given the extent to which recent finds and new interpretations improve understanding of early Anglian</w:t>
      </w:r>
      <w:r w:rsidR="00D142DC" w:rsidRPr="00EC0229">
        <w:fldChar w:fldCharType="begin"/>
      </w:r>
      <w:r w:rsidR="00D142DC" w:rsidRPr="00EC0229">
        <w:instrText xml:space="preserve"> XE "Anglian" </w:instrText>
      </w:r>
      <w:r w:rsidR="00D142DC" w:rsidRPr="00EC0229">
        <w:fldChar w:fldCharType="end"/>
      </w:r>
      <w:r w:rsidRPr="00EC0229">
        <w:t xml:space="preserve">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 </w:t>
      </w:r>
      <w:r w:rsidR="00BF6095">
        <w:rPr>
          <w:szCs w:val="24"/>
        </w:rPr>
        <w:t>several</w:t>
      </w:r>
      <w:r w:rsidRPr="00EC0229">
        <w:rPr>
          <w:szCs w:val="24"/>
        </w:rPr>
        <w:t xml:space="preserve"> </w:t>
      </w:r>
      <w:r w:rsidR="00B8177F" w:rsidRPr="00EC0229">
        <w:rPr>
          <w:szCs w:val="24"/>
        </w:rPr>
        <w:t>objectives,</w:t>
      </w:r>
      <w:r w:rsidRPr="00EC0229">
        <w:rPr>
          <w:szCs w:val="24"/>
        </w:rPr>
        <w:t xml:space="preserve"> </w:t>
      </w:r>
      <w:r w:rsidR="00B8177F" w:rsidRPr="00EC0229">
        <w:rPr>
          <w:szCs w:val="24"/>
        </w:rPr>
        <w:t xml:space="preserve">are pursued in support of the primary aim. </w:t>
      </w:r>
      <w:r w:rsidR="00842EF3" w:rsidRPr="00EC0229">
        <w:t xml:space="preserve">These constitute pre-requisites to </w:t>
      </w:r>
      <w:r w:rsidR="003F2041" w:rsidRPr="00EC0229">
        <w:t>monetiz</w:t>
      </w:r>
      <w:r w:rsidR="00842EF3" w:rsidRPr="00EC0229">
        <w:t xml:space="preserve">ation in that an economic and political infrastructure is needed </w:t>
      </w:r>
      <w:r w:rsidR="00BF6095">
        <w:t>to</w:t>
      </w:r>
      <w:r w:rsidR="00842EF3" w:rsidRPr="00EC0229">
        <w:t xml:space="preserve"> provide a stable platform for a viable and appropriate medium of exchange. Sufficient and necessary conditions include a clear hierarchy with authority vested in responsible officials whose roles in administering the monetary and fiscal functions of state are clear and effective. Moreover, the public must have confidence in both the organisation and the coinage for it to operate efficiently. </w:t>
      </w:r>
    </w:p>
    <w:p w14:paraId="39BB4BF2" w14:textId="77777777" w:rsidR="00842EF3" w:rsidRPr="00EC0229" w:rsidRDefault="00842EF3" w:rsidP="00842EF3">
      <w:pPr>
        <w:spacing w:line="360" w:lineRule="auto"/>
      </w:pPr>
      <w:r w:rsidRPr="00EC0229">
        <w:t xml:space="preserve">Distributional factors and trading advantages may cause divergent degrees of penetration in different areas. Political instability and exogenous influences may disrupt steady production. </w:t>
      </w:r>
    </w:p>
    <w:p w14:paraId="4F5F90CE" w14:textId="1F74E22B" w:rsidR="00063AE1" w:rsidRPr="00EC0229" w:rsidRDefault="00063AE1" w:rsidP="007600EA">
      <w:pPr>
        <w:spacing w:line="360" w:lineRule="auto"/>
        <w:rPr>
          <w:szCs w:val="24"/>
        </w:rPr>
      </w:pPr>
      <w:r w:rsidRPr="00EC0229">
        <w:rPr>
          <w:szCs w:val="24"/>
        </w:rPr>
        <w:t xml:space="preserve">These </w:t>
      </w:r>
      <w:r w:rsidR="00842EF3" w:rsidRPr="00EC0229">
        <w:rPr>
          <w:szCs w:val="24"/>
        </w:rPr>
        <w:t xml:space="preserve">objectives </w:t>
      </w:r>
      <w:r w:rsidRPr="00EC0229">
        <w:rPr>
          <w:szCs w:val="24"/>
        </w:rPr>
        <w:t>include:</w:t>
      </w:r>
    </w:p>
    <w:p w14:paraId="34665F27" w14:textId="23F5783C" w:rsidR="00D21A51" w:rsidRPr="00EC0229" w:rsidRDefault="00D21A51" w:rsidP="00387063">
      <w:pPr>
        <w:pStyle w:val="NoSpacing"/>
        <w:numPr>
          <w:ilvl w:val="0"/>
          <w:numId w:val="9"/>
        </w:numPr>
        <w:spacing w:line="360" w:lineRule="auto"/>
      </w:pPr>
      <w:bookmarkStart w:id="48" w:name="Evolution"/>
      <w:bookmarkEnd w:id="48"/>
      <w:r w:rsidRPr="00EC0229">
        <w:t>Evolution</w:t>
      </w:r>
      <w:r w:rsidR="00DA11E2" w:rsidRPr="00EC0229">
        <w:t>:</w:t>
      </w:r>
    </w:p>
    <w:p w14:paraId="1B1BD094" w14:textId="011E249C" w:rsidR="00F011B5" w:rsidRPr="00EC0229" w:rsidRDefault="00050533" w:rsidP="007600EA">
      <w:pPr>
        <w:pStyle w:val="NoSpacing"/>
        <w:spacing w:line="360" w:lineRule="auto"/>
        <w:ind w:left="1080"/>
      </w:pPr>
      <w:r w:rsidRPr="00EC0229">
        <w:t>To establish whether the evolution of the</w:t>
      </w:r>
      <w:r w:rsidR="00F011B5" w:rsidRPr="00EC0229">
        <w:t xml:space="preserve"> Northumbrian coinage</w:t>
      </w:r>
      <w:r w:rsidRPr="00EC0229">
        <w:t xml:space="preserve"> is</w:t>
      </w:r>
      <w:r w:rsidR="00F011B5" w:rsidRPr="00EC0229">
        <w:t xml:space="preserve"> steady </w:t>
      </w:r>
      <w:r w:rsidR="00B8177F" w:rsidRPr="00EC0229">
        <w:t>or erratic</w:t>
      </w:r>
      <w:r w:rsidRPr="00EC0229">
        <w:t xml:space="preserve"> and assess </w:t>
      </w:r>
      <w:r w:rsidR="00B8177F" w:rsidRPr="00EC0229">
        <w:t xml:space="preserve">the </w:t>
      </w:r>
      <w:r w:rsidR="00F011B5" w:rsidRPr="00EC0229">
        <w:t xml:space="preserve">relationship between the </w:t>
      </w:r>
      <w:r w:rsidR="00965F66" w:rsidRPr="00EC0229">
        <w:t xml:space="preserve">advancement </w:t>
      </w:r>
      <w:r w:rsidR="00F011B5" w:rsidRPr="00EC0229">
        <w:t>of Northumbrian coinage and pol</w:t>
      </w:r>
      <w:r w:rsidRPr="00EC0229">
        <w:t>itical and economic developments.</w:t>
      </w:r>
    </w:p>
    <w:p w14:paraId="4E7FD9A7" w14:textId="5D42BCF7" w:rsidR="00D21A51" w:rsidRPr="00EC0229" w:rsidRDefault="00D21A51" w:rsidP="00387063">
      <w:pPr>
        <w:pStyle w:val="NoSpacing"/>
        <w:numPr>
          <w:ilvl w:val="0"/>
          <w:numId w:val="9"/>
        </w:numPr>
        <w:spacing w:line="360" w:lineRule="auto"/>
      </w:pPr>
      <w:bookmarkStart w:id="49" w:name="Power"/>
      <w:bookmarkEnd w:id="49"/>
      <w:r w:rsidRPr="00EC0229">
        <w:t>Power</w:t>
      </w:r>
      <w:r w:rsidR="00DA11E2" w:rsidRPr="00EC0229">
        <w:t>:</w:t>
      </w:r>
    </w:p>
    <w:p w14:paraId="151D8D6B" w14:textId="5929C458" w:rsidR="00F011B5" w:rsidRPr="00EC0229" w:rsidRDefault="006247E2" w:rsidP="007600EA">
      <w:pPr>
        <w:pStyle w:val="NoSpacing"/>
        <w:spacing w:line="360" w:lineRule="auto"/>
        <w:ind w:left="1080"/>
      </w:pPr>
      <w:r w:rsidRPr="00EC0229">
        <w:t>To describe how</w:t>
      </w:r>
      <w:r w:rsidR="00F011B5" w:rsidRPr="00EC0229">
        <w:t xml:space="preserve"> Northumbrian </w:t>
      </w:r>
      <w:r w:rsidR="00637603" w:rsidRPr="00EC0229">
        <w:t>coinage</w:t>
      </w:r>
      <w:r w:rsidR="00F011B5" w:rsidRPr="00EC0229">
        <w:t xml:space="preserve"> </w:t>
      </w:r>
      <w:r w:rsidRPr="00EC0229">
        <w:t>reflects</w:t>
      </w:r>
      <w:r w:rsidR="00F011B5" w:rsidRPr="00EC0229">
        <w:t xml:space="preserve"> the </w:t>
      </w:r>
      <w:r w:rsidR="007A7781" w:rsidRPr="00EC0229">
        <w:t xml:space="preserve">exercise and </w:t>
      </w:r>
      <w:r w:rsidR="00F011B5" w:rsidRPr="00EC0229">
        <w:t>balance</w:t>
      </w:r>
      <w:r w:rsidRPr="00EC0229">
        <w:t xml:space="preserve"> of power</w:t>
      </w:r>
      <w:r w:rsidR="007A7781" w:rsidRPr="00EC0229">
        <w:t>, specifically between church and state</w:t>
      </w:r>
      <w:r w:rsidRPr="00EC0229">
        <w:t>.</w:t>
      </w:r>
    </w:p>
    <w:p w14:paraId="2DEBEC8F" w14:textId="4CBBBE18" w:rsidR="00D21A51" w:rsidRPr="00EC0229" w:rsidRDefault="00D21A51" w:rsidP="00387063">
      <w:pPr>
        <w:pStyle w:val="NoSpacing"/>
        <w:numPr>
          <w:ilvl w:val="0"/>
          <w:numId w:val="9"/>
        </w:numPr>
        <w:spacing w:line="360" w:lineRule="auto"/>
      </w:pPr>
      <w:bookmarkStart w:id="50" w:name="Expropriation"/>
      <w:bookmarkStart w:id="51" w:name="RegionalDifferences"/>
      <w:bookmarkEnd w:id="50"/>
      <w:bookmarkEnd w:id="51"/>
      <w:r w:rsidRPr="00EC0229">
        <w:t>Regional Differences</w:t>
      </w:r>
      <w:r w:rsidR="00DA11E2" w:rsidRPr="00EC0229">
        <w:t>:</w:t>
      </w:r>
    </w:p>
    <w:p w14:paraId="513AC371" w14:textId="021BBC7A" w:rsidR="00F011B5" w:rsidRPr="00EC0229" w:rsidRDefault="006247E2" w:rsidP="007600EA">
      <w:pPr>
        <w:pStyle w:val="NoSpacing"/>
        <w:spacing w:line="360" w:lineRule="auto"/>
        <w:ind w:left="1080"/>
      </w:pPr>
      <w:r w:rsidRPr="00EC0229">
        <w:t xml:space="preserve">To expose </w:t>
      </w:r>
      <w:r w:rsidR="00F011B5" w:rsidRPr="00EC0229">
        <w:t>significant r</w:t>
      </w:r>
      <w:r w:rsidRPr="00EC0229">
        <w:t>egional differences, and metro-centricity, in coin use.</w:t>
      </w:r>
    </w:p>
    <w:p w14:paraId="14F56635" w14:textId="77777777" w:rsidR="00C2748E" w:rsidRPr="00EC0229" w:rsidRDefault="00C2748E" w:rsidP="00387063">
      <w:pPr>
        <w:pStyle w:val="NoSpacing"/>
        <w:numPr>
          <w:ilvl w:val="0"/>
          <w:numId w:val="9"/>
        </w:numPr>
        <w:spacing w:line="360" w:lineRule="auto"/>
      </w:pPr>
      <w:bookmarkStart w:id="52" w:name="SettlementPatterns"/>
      <w:bookmarkEnd w:id="52"/>
      <w:r w:rsidRPr="00EC0229">
        <w:t>Expropriation:</w:t>
      </w:r>
    </w:p>
    <w:p w14:paraId="255EC337" w14:textId="049D4C02" w:rsidR="00C2748E" w:rsidRPr="00EC0229" w:rsidRDefault="006247E2" w:rsidP="00C2748E">
      <w:pPr>
        <w:pStyle w:val="NoSpacing"/>
        <w:spacing w:line="360" w:lineRule="auto"/>
        <w:ind w:left="1080"/>
      </w:pPr>
      <w:r w:rsidRPr="00EC0229">
        <w:t>To demonstrate the role of coinage in</w:t>
      </w:r>
      <w:r w:rsidR="00C2748E" w:rsidRPr="00EC0229">
        <w:t xml:space="preserve"> surplus</w:t>
      </w:r>
      <w:r w:rsidR="00C2748E" w:rsidRPr="00EC0229">
        <w:fldChar w:fldCharType="begin"/>
      </w:r>
      <w:r w:rsidR="00C2748E" w:rsidRPr="00EC0229">
        <w:instrText xml:space="preserve"> XE "surplus" </w:instrText>
      </w:r>
      <w:r w:rsidR="00C2748E" w:rsidRPr="00EC0229">
        <w:fldChar w:fldCharType="end"/>
      </w:r>
      <w:r w:rsidR="00C2748E" w:rsidRPr="00EC0229">
        <w:t xml:space="preserve"> e</w:t>
      </w:r>
      <w:r w:rsidRPr="00EC0229">
        <w:t>xpropriation by the authorities.</w:t>
      </w:r>
    </w:p>
    <w:p w14:paraId="4458DADF" w14:textId="5E3AA170" w:rsidR="00D21A51" w:rsidRPr="00EC0229" w:rsidRDefault="00D21A51" w:rsidP="00387063">
      <w:pPr>
        <w:pStyle w:val="NoSpacing"/>
        <w:numPr>
          <w:ilvl w:val="0"/>
          <w:numId w:val="9"/>
        </w:numPr>
        <w:spacing w:line="360" w:lineRule="auto"/>
      </w:pPr>
      <w:r w:rsidRPr="00EC0229">
        <w:t>Settlement</w:t>
      </w:r>
      <w:r w:rsidRPr="00EC0229">
        <w:fldChar w:fldCharType="begin"/>
      </w:r>
      <w:r w:rsidRPr="00EC0229">
        <w:instrText xml:space="preserve"> XE "settlement" </w:instrText>
      </w:r>
      <w:r w:rsidRPr="00EC0229">
        <w:fldChar w:fldCharType="end"/>
      </w:r>
      <w:r w:rsidRPr="00EC0229">
        <w:t xml:space="preserve"> Patterns</w:t>
      </w:r>
      <w:r w:rsidR="00637603" w:rsidRPr="00EC0229">
        <w:t>:</w:t>
      </w:r>
    </w:p>
    <w:p w14:paraId="606E0EBD" w14:textId="7C703431" w:rsidR="00530FE8" w:rsidRPr="00EC0229" w:rsidRDefault="006247E2" w:rsidP="007600EA">
      <w:pPr>
        <w:pStyle w:val="NoSpacing"/>
        <w:spacing w:line="360" w:lineRule="auto"/>
        <w:ind w:left="1080"/>
      </w:pPr>
      <w:r w:rsidRPr="00EC0229">
        <w:t xml:space="preserve">To show how the varying </w:t>
      </w:r>
      <w:r w:rsidR="00F011B5" w:rsidRPr="00EC0229">
        <w:t>mix of</w:t>
      </w:r>
      <w:r w:rsidRPr="00EC0229">
        <w:t xml:space="preserve"> coins indicates different</w:t>
      </w:r>
      <w:r w:rsidR="00F011B5" w:rsidRPr="00EC0229">
        <w:t xml:space="preserve"> trading </w:t>
      </w:r>
      <w:r w:rsidRPr="00EC0229">
        <w:t xml:space="preserve">and settlement </w:t>
      </w:r>
      <w:r w:rsidR="00F011B5" w:rsidRPr="00EC0229">
        <w:t>patterns</w:t>
      </w:r>
      <w:r w:rsidRPr="00EC0229">
        <w:t xml:space="preserve"> and networks.</w:t>
      </w:r>
    </w:p>
    <w:p w14:paraId="26E1C9E5" w14:textId="37CCDDF4" w:rsidR="00432CBD" w:rsidRPr="00EC0229" w:rsidRDefault="00432CBD" w:rsidP="00432CBD">
      <w:bookmarkStart w:id="53" w:name="Methodologies"/>
    </w:p>
    <w:p w14:paraId="590C39F7" w14:textId="77777777" w:rsidR="009E33EE" w:rsidRPr="00EC0229" w:rsidRDefault="009E33EE" w:rsidP="00432CBD"/>
    <w:bookmarkEnd w:id="53"/>
    <w:p w14:paraId="4FC6535B" w14:textId="77777777" w:rsidR="00842EF3" w:rsidRPr="00EC0229" w:rsidRDefault="00842EF3" w:rsidP="006019D8"/>
    <w:p w14:paraId="0BCD9E6B" w14:textId="17C4049A" w:rsidR="00FD1E38" w:rsidRPr="00EC0229" w:rsidRDefault="008367C7" w:rsidP="00FD1E38">
      <w:pPr>
        <w:pStyle w:val="Heading2"/>
      </w:pPr>
      <w:bookmarkStart w:id="54" w:name="_Toc468266736"/>
      <w:r>
        <w:t>1.2</w:t>
      </w:r>
      <w:r w:rsidR="00624DF5">
        <w:tab/>
      </w:r>
      <w:r w:rsidR="006019D8" w:rsidRPr="00EC0229">
        <w:t>S</w:t>
      </w:r>
      <w:r w:rsidR="00FD1E38" w:rsidRPr="00EC0229">
        <w:t>tructure of Thesis</w:t>
      </w:r>
      <w:bookmarkEnd w:id="54"/>
    </w:p>
    <w:p w14:paraId="130AF512" w14:textId="792478C1" w:rsidR="005B6048" w:rsidRPr="00EC0229" w:rsidRDefault="008367C7" w:rsidP="00624DF5">
      <w:pPr>
        <w:pStyle w:val="Heading3"/>
        <w:ind w:firstLine="720"/>
      </w:pPr>
      <w:bookmarkStart w:id="55" w:name="_Toc468266737"/>
      <w:r>
        <w:t>1.2.1</w:t>
      </w:r>
      <w:r w:rsidR="00624DF5">
        <w:tab/>
      </w:r>
      <w:r w:rsidR="005B6048" w:rsidRPr="00EC0229">
        <w:t>Theoretical and Historical Background</w:t>
      </w:r>
      <w:bookmarkEnd w:id="55"/>
    </w:p>
    <w:p w14:paraId="558FB6AB" w14:textId="0BE9FAA5" w:rsidR="00FD1E38" w:rsidRPr="00EC0229" w:rsidRDefault="006019D8" w:rsidP="00FD1E38">
      <w:pPr>
        <w:spacing w:line="360" w:lineRule="auto"/>
      </w:pPr>
      <w:r w:rsidRPr="00EC0229">
        <w:t xml:space="preserve">Part One </w:t>
      </w:r>
      <w:r w:rsidR="00B62AB0" w:rsidRPr="00EC0229">
        <w:t xml:space="preserve">describes the context of the numismatic and artefactual evidence. </w:t>
      </w:r>
      <w:r w:rsidR="00FD1E38" w:rsidRPr="00EC0229">
        <w:t xml:space="preserve">In the absence of a theory of </w:t>
      </w:r>
      <w:r w:rsidR="003F2041" w:rsidRPr="00EC0229">
        <w:t>monetiz</w:t>
      </w:r>
      <w:r w:rsidR="00FD1E38" w:rsidRPr="00EC0229">
        <w:t xml:space="preserve">ation beyond the classical and archaic Oriental spheres, </w:t>
      </w:r>
      <w:r w:rsidR="00923167">
        <w:t>Chapter</w:t>
      </w:r>
      <w:r w:rsidR="00FD1E38" w:rsidRPr="00EC0229">
        <w:t xml:space="preserve"> 2 discusses relevant references, including those to market models, from various rel</w:t>
      </w:r>
      <w:r w:rsidR="005056F1" w:rsidRPr="00EC0229">
        <w:t xml:space="preserve">ated disciplines. Furthermore, previous work </w:t>
      </w:r>
      <w:r w:rsidR="00FD1E38" w:rsidRPr="00EC0229">
        <w:t xml:space="preserve">based on analysis of artefactual data from PAS </w:t>
      </w:r>
      <w:r w:rsidR="005056F1" w:rsidRPr="00EC0229">
        <w:t>is considered</w:t>
      </w:r>
      <w:r w:rsidR="00FD1E38" w:rsidRPr="00EC0229">
        <w:t xml:space="preserve">. </w:t>
      </w:r>
      <w:r w:rsidR="005A1822" w:rsidRPr="00EC0229">
        <w:t xml:space="preserve">Chapter 3 briefly describes the evolution of </w:t>
      </w:r>
      <w:r w:rsidR="003F2041" w:rsidRPr="00EC0229">
        <w:t>monetiz</w:t>
      </w:r>
      <w:r w:rsidR="005A1822" w:rsidRPr="00EC0229">
        <w:t xml:space="preserve">ation in comparable neighbouring polities. </w:t>
      </w:r>
      <w:r w:rsidR="00FD1E38" w:rsidRPr="00EC0229">
        <w:t>This leads into a definition of terms and econom</w:t>
      </w:r>
      <w:r w:rsidR="005A1822" w:rsidRPr="00EC0229">
        <w:t xml:space="preserve">ic </w:t>
      </w:r>
      <w:r w:rsidR="00BC0BC9" w:rsidRPr="00EC0229">
        <w:t>characteris</w:t>
      </w:r>
      <w:r w:rsidR="005A1822" w:rsidRPr="00EC0229">
        <w:t xml:space="preserve">ation in </w:t>
      </w:r>
      <w:r w:rsidR="00923167">
        <w:t>Chapter</w:t>
      </w:r>
      <w:r w:rsidR="005A1822" w:rsidRPr="00EC0229">
        <w:t xml:space="preserve"> 4</w:t>
      </w:r>
      <w:r w:rsidR="00FD1E38" w:rsidRPr="00EC0229">
        <w:t xml:space="preserve">, which proposes </w:t>
      </w:r>
      <w:r w:rsidR="005A1822" w:rsidRPr="00EC0229">
        <w:t xml:space="preserve">a hypothesis of </w:t>
      </w:r>
      <w:r w:rsidR="003F2041" w:rsidRPr="00EC0229">
        <w:t>monetiz</w:t>
      </w:r>
      <w:r w:rsidR="005A1822" w:rsidRPr="00EC0229">
        <w:t>ation.</w:t>
      </w:r>
      <w:r w:rsidR="00FD1E38" w:rsidRPr="00EC0229">
        <w:t xml:space="preserve"> Part One of the thesis is completed by the presentation of a numismatic </w:t>
      </w:r>
      <w:r w:rsidR="006C328D" w:rsidRPr="00EC0229">
        <w:t>periodiz</w:t>
      </w:r>
      <w:r w:rsidR="00FD1E38" w:rsidRPr="00EC0229">
        <w:t xml:space="preserve">ation, based on the historical background, in </w:t>
      </w:r>
      <w:r w:rsidR="00923167">
        <w:t>Chapter</w:t>
      </w:r>
      <w:r w:rsidR="00FD1E38" w:rsidRPr="00EC0229">
        <w:t xml:space="preserve"> 5.</w:t>
      </w:r>
    </w:p>
    <w:p w14:paraId="47C47847" w14:textId="1E8D05FB" w:rsidR="005B6048" w:rsidRPr="00EC0229" w:rsidRDefault="008367C7" w:rsidP="00624DF5">
      <w:pPr>
        <w:pStyle w:val="Heading3"/>
        <w:ind w:firstLine="720"/>
      </w:pPr>
      <w:bookmarkStart w:id="56" w:name="_Toc468266738"/>
      <w:r>
        <w:t>1.2.2</w:t>
      </w:r>
      <w:r w:rsidR="00624DF5">
        <w:tab/>
      </w:r>
      <w:r w:rsidR="005B6048" w:rsidRPr="00EC0229">
        <w:t>Methodologies and Analyses</w:t>
      </w:r>
      <w:bookmarkEnd w:id="56"/>
    </w:p>
    <w:p w14:paraId="197A0B94" w14:textId="49962E3B" w:rsidR="00FD1E38" w:rsidRPr="00EC0229" w:rsidRDefault="00B62AB0" w:rsidP="00FD1E38">
      <w:pPr>
        <w:spacing w:line="360" w:lineRule="auto"/>
      </w:pPr>
      <w:r w:rsidRPr="00EC0229">
        <w:t xml:space="preserve">Part Two introduces the data describing how it has been assembled, then proceeds to analyse this in the context of the landscape and economy. </w:t>
      </w:r>
      <w:r w:rsidR="00923167">
        <w:t>Chapter</w:t>
      </w:r>
      <w:r w:rsidR="005A1822" w:rsidRPr="00EC0229">
        <w:t xml:space="preserve"> 6 commences with a discussion of the various constraints on the integrity of the evidence before introducing t</w:t>
      </w:r>
      <w:r w:rsidR="00100F75" w:rsidRPr="00EC0229">
        <w:t>he methodol</w:t>
      </w:r>
      <w:r w:rsidR="005A1822" w:rsidRPr="00EC0229">
        <w:t>ogical framework. The</w:t>
      </w:r>
      <w:r w:rsidR="00FD1E38" w:rsidRPr="00EC0229">
        <w:t xml:space="preserve"> </w:t>
      </w:r>
      <w:r w:rsidR="00100F75" w:rsidRPr="00EC0229">
        <w:t>r</w:t>
      </w:r>
      <w:r w:rsidR="00AA51C3" w:rsidRPr="00EC0229">
        <w:t xml:space="preserve">esults of the quantitative data analysis </w:t>
      </w:r>
      <w:r w:rsidR="00D01233" w:rsidRPr="00EC0229">
        <w:t xml:space="preserve">are given </w:t>
      </w:r>
      <w:r w:rsidR="00AA51C3" w:rsidRPr="00EC0229">
        <w:t xml:space="preserve">in </w:t>
      </w:r>
      <w:r w:rsidR="00923167">
        <w:t>Chapter</w:t>
      </w:r>
      <w:r w:rsidR="00AA51C3" w:rsidRPr="00EC0229">
        <w:t xml:space="preserve"> 7 and of the qualitative data analysis in </w:t>
      </w:r>
      <w:r w:rsidR="00923167">
        <w:t>Chapter</w:t>
      </w:r>
      <w:r w:rsidR="00AA51C3" w:rsidRPr="00EC0229">
        <w:t xml:space="preserve"> 8, where </w:t>
      </w:r>
      <w:r w:rsidR="00BF6095">
        <w:t>several</w:t>
      </w:r>
      <w:r w:rsidR="00100F75" w:rsidRPr="00EC0229">
        <w:t xml:space="preserve"> analytic tools</w:t>
      </w:r>
      <w:r w:rsidR="00AA51C3" w:rsidRPr="00EC0229">
        <w:t xml:space="preserve"> are</w:t>
      </w:r>
      <w:r w:rsidRPr="00EC0229">
        <w:t xml:space="preserve"> applied by site, within a regional structure, in light of the objectives set above.</w:t>
      </w:r>
    </w:p>
    <w:p w14:paraId="4DD7A480" w14:textId="02DAEC53" w:rsidR="005B6048" w:rsidRPr="00EC0229" w:rsidRDefault="005B6048" w:rsidP="005B6048">
      <w:pPr>
        <w:pStyle w:val="NoSpacing"/>
        <w:spacing w:line="360" w:lineRule="auto"/>
      </w:pPr>
      <w:r w:rsidRPr="00EC0229">
        <w:t>In the practical, second part of this study, quantitative</w:t>
      </w:r>
      <w:r w:rsidRPr="00EC0229">
        <w:fldChar w:fldCharType="begin"/>
      </w:r>
      <w:r w:rsidRPr="00EC0229">
        <w:instrText xml:space="preserve"> XE "</w:instrText>
      </w:r>
      <w:r w:rsidRPr="00EC0229">
        <w:rPr>
          <w:rStyle w:val="Hyperlink"/>
          <w:rFonts w:cs="Times New Roman"/>
          <w:noProof/>
          <w:u w:val="none"/>
        </w:rPr>
        <w:instrText>quantitative</w:instrText>
      </w:r>
      <w:r w:rsidRPr="00EC0229">
        <w:instrText xml:space="preserve">" </w:instrText>
      </w:r>
      <w:r w:rsidRPr="00EC0229">
        <w:fldChar w:fldCharType="end"/>
      </w:r>
      <w:r w:rsidRPr="00EC0229">
        <w:t xml:space="preserve"> and qualitative</w:t>
      </w:r>
      <w:r w:rsidRPr="00EC0229">
        <w:fldChar w:fldCharType="begin"/>
      </w:r>
      <w:r w:rsidRPr="00EC0229">
        <w:instrText xml:space="preserve"> XE "</w:instrText>
      </w:r>
      <w:r w:rsidRPr="00EC0229">
        <w:rPr>
          <w:rStyle w:val="Hyperlink"/>
          <w:rFonts w:cs="Times New Roman"/>
          <w:noProof/>
          <w:u w:val="none"/>
        </w:rPr>
        <w:instrText>qualitative</w:instrText>
      </w:r>
      <w:r w:rsidRPr="00EC0229">
        <w:instrText xml:space="preserve">" </w:instrText>
      </w:r>
      <w:r w:rsidRPr="00EC0229">
        <w:fldChar w:fldCharType="end"/>
      </w:r>
      <w:r w:rsidRPr="00EC0229">
        <w:t xml:space="preserve"> analytical tools are developed and deployed. The quantitative methodology is to assemble a </w:t>
      </w:r>
      <w:r w:rsidR="00497AC3" w:rsidRPr="00EC0229">
        <w:t>dataset</w:t>
      </w:r>
      <w:r w:rsidRPr="00EC0229">
        <w:t xml:space="preserve"> compiled from existing archaeological</w:t>
      </w:r>
      <w:r w:rsidRPr="00EC0229">
        <w:fldChar w:fldCharType="begin"/>
      </w:r>
      <w:r w:rsidRPr="00EC0229">
        <w:instrText xml:space="preserve"> XE "</w:instrText>
      </w:r>
      <w:r w:rsidRPr="00EC0229">
        <w:rPr>
          <w:rFonts w:eastAsia="Times New Roman" w:cs="Times New Roman"/>
          <w:szCs w:val="24"/>
          <w:lang w:eastAsia="en-GB"/>
        </w:rPr>
        <w:instrText>archaeological</w:instrText>
      </w:r>
      <w:r w:rsidRPr="00EC0229">
        <w:instrText xml:space="preserve">" </w:instrText>
      </w:r>
      <w:r w:rsidRPr="00EC0229">
        <w:fldChar w:fldCharType="end"/>
      </w:r>
      <w:r w:rsidRPr="00EC0229">
        <w:t xml:space="preserve"> records primarily of coins and secondarily, artefacts and to facilitate interrogation.</w:t>
      </w:r>
      <w:r w:rsidRPr="00EC0229">
        <w:rPr>
          <w:rStyle w:val="FootnoteReference"/>
        </w:rPr>
        <w:footnoteReference w:id="15"/>
      </w:r>
      <w:r w:rsidRPr="00EC0229">
        <w:t xml:space="preserve"> Sources include Pirie</w:t>
      </w:r>
      <w:r w:rsidRPr="00EC0229">
        <w:fldChar w:fldCharType="begin"/>
      </w:r>
      <w:r w:rsidRPr="00EC0229">
        <w:instrText xml:space="preserve"> XE "Pirie" </w:instrText>
      </w:r>
      <w:r w:rsidRPr="00EC0229">
        <w:fldChar w:fldCharType="end"/>
      </w:r>
      <w:r w:rsidRPr="00EC0229">
        <w:t xml:space="preserve">’s </w:t>
      </w:r>
      <w:r w:rsidRPr="00EC0229">
        <w:rPr>
          <w:i/>
        </w:rPr>
        <w:t>Coins</w:t>
      </w:r>
      <w:r w:rsidRPr="00EC0229">
        <w:rPr>
          <w:i/>
        </w:rPr>
        <w:fldChar w:fldCharType="begin"/>
      </w:r>
      <w:r w:rsidRPr="00EC0229">
        <w:instrText xml:space="preserve"> XE "</w:instrText>
      </w:r>
      <w:r w:rsidRPr="00EC0229">
        <w:rPr>
          <w:rFonts w:cs="Times New Roman"/>
          <w:b/>
          <w:color w:val="000000" w:themeColor="text1"/>
          <w:sz w:val="56"/>
          <w:szCs w:val="56"/>
        </w:rPr>
        <w:instrText>Coinage</w:instrText>
      </w:r>
      <w:r w:rsidRPr="00EC0229">
        <w:instrText xml:space="preserve">" </w:instrText>
      </w:r>
      <w:r w:rsidRPr="00EC0229">
        <w:rPr>
          <w:i/>
        </w:rPr>
        <w:fldChar w:fldCharType="end"/>
      </w:r>
      <w:r w:rsidRPr="00EC0229">
        <w:rPr>
          <w:i/>
        </w:rPr>
        <w:t xml:space="preserve"> of the Kingdom of Northumbria</w:t>
      </w:r>
      <w:r w:rsidRPr="00EC0229">
        <w:rPr>
          <w:i/>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i/>
        </w:rPr>
        <w:fldChar w:fldCharType="end"/>
      </w:r>
      <w:r w:rsidRPr="00EC0229">
        <w:t xml:space="preserve"> (</w:t>
      </w:r>
      <w:r w:rsidRPr="00EC0229">
        <w:rPr>
          <w:i/>
        </w:rPr>
        <w:t>CKN</w:t>
      </w:r>
      <w:r w:rsidRPr="00EC0229">
        <w:fldChar w:fldCharType="begin"/>
      </w:r>
      <w:r w:rsidRPr="00EC0229">
        <w:instrText xml:space="preserve"> XE "CKN" </w:instrText>
      </w:r>
      <w:r w:rsidRPr="00EC0229">
        <w:fldChar w:fldCharType="end"/>
      </w:r>
      <w:r w:rsidRPr="00EC0229">
        <w:t>),</w:t>
      </w:r>
      <w:r w:rsidRPr="00EC0229">
        <w:rPr>
          <w:rStyle w:val="FootnoteReference"/>
          <w:szCs w:val="24"/>
        </w:rPr>
        <w:footnoteReference w:id="16"/>
      </w:r>
      <w:r w:rsidRPr="00EC0229">
        <w:t xml:space="preserve"> the </w:t>
      </w:r>
      <w:r w:rsidRPr="00EC0229">
        <w:rPr>
          <w:i/>
        </w:rPr>
        <w:t>Corpus of Early Medieval</w:t>
      </w:r>
      <w:r w:rsidRPr="00EC0229">
        <w:rPr>
          <w:i/>
        </w:rPr>
        <w:fldChar w:fldCharType="begin"/>
      </w:r>
      <w:r w:rsidRPr="00EC0229">
        <w:rPr>
          <w:i/>
        </w:rPr>
        <w:instrText xml:space="preserve"> XE "Early Medieval" </w:instrText>
      </w:r>
      <w:r w:rsidRPr="00EC0229">
        <w:rPr>
          <w:i/>
        </w:rPr>
        <w:fldChar w:fldCharType="end"/>
      </w:r>
      <w:r w:rsidRPr="00EC0229">
        <w:rPr>
          <w:i/>
        </w:rPr>
        <w:t xml:space="preserve"> Coin Finds</w:t>
      </w:r>
      <w:r w:rsidRPr="00EC0229">
        <w:t xml:space="preserve"> (EMC</w:t>
      </w:r>
      <w:r w:rsidRPr="00EC0229">
        <w:fldChar w:fldCharType="begin"/>
      </w:r>
      <w:r w:rsidRPr="00EC0229">
        <w:instrText xml:space="preserve"> XE "EMC" </w:instrText>
      </w:r>
      <w:r w:rsidRPr="00EC0229">
        <w:fldChar w:fldCharType="end"/>
      </w:r>
      <w:r w:rsidRPr="00EC0229">
        <w:t xml:space="preserve">) and </w:t>
      </w:r>
      <w:r w:rsidRPr="00EC0229">
        <w:rPr>
          <w:i/>
        </w:rPr>
        <w:t>Sylloges of the Coins of the British Isles</w:t>
      </w:r>
      <w:r w:rsidRPr="00EC0229">
        <w:t xml:space="preserve"> (SCBI</w:t>
      </w:r>
      <w:r w:rsidRPr="00EC0229">
        <w:fldChar w:fldCharType="begin"/>
      </w:r>
      <w:r w:rsidRPr="00EC0229">
        <w:instrText xml:space="preserve"> XE "SCBI" </w:instrText>
      </w:r>
      <w:r w:rsidRPr="00EC0229">
        <w:fldChar w:fldCharType="end"/>
      </w:r>
      <w:r w:rsidRPr="00EC0229">
        <w:t>), the Portable Antiquities Scheme (PAS</w:t>
      </w:r>
      <w:r w:rsidRPr="00EC0229">
        <w:fldChar w:fldCharType="begin"/>
      </w:r>
      <w:r w:rsidRPr="00EC0229">
        <w:instrText xml:space="preserve"> XE "PAS" </w:instrText>
      </w:r>
      <w:r w:rsidRPr="00EC0229">
        <w:fldChar w:fldCharType="end"/>
      </w:r>
      <w:r w:rsidRPr="00EC0229">
        <w:t xml:space="preserve">), the </w:t>
      </w:r>
      <w:r w:rsidRPr="00EC0229">
        <w:rPr>
          <w:i/>
        </w:rPr>
        <w:t>Viking</w:t>
      </w:r>
      <w:r w:rsidRPr="00EC0229">
        <w:rPr>
          <w:i/>
        </w:rPr>
        <w:fldChar w:fldCharType="begin"/>
      </w:r>
      <w:r w:rsidRPr="00EC0229">
        <w:rPr>
          <w:i/>
        </w:rPr>
        <w:instrText xml:space="preserve"> XE "</w:instrText>
      </w:r>
      <w:r w:rsidRPr="00EC0229">
        <w:rPr>
          <w:rStyle w:val="Hyperlink"/>
          <w:i/>
          <w:noProof/>
          <w:u w:val="none"/>
        </w:rPr>
        <w:instrText>Viking</w:instrText>
      </w:r>
      <w:r w:rsidRPr="00EC0229">
        <w:rPr>
          <w:i/>
        </w:rPr>
        <w:instrText xml:space="preserve">" </w:instrText>
      </w:r>
      <w:r w:rsidRPr="00EC0229">
        <w:rPr>
          <w:i/>
        </w:rPr>
        <w:fldChar w:fldCharType="end"/>
      </w:r>
      <w:r w:rsidRPr="00EC0229">
        <w:rPr>
          <w:i/>
        </w:rPr>
        <w:t xml:space="preserve"> and 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Landscape and Economy Project</w:t>
      </w:r>
      <w:r w:rsidRPr="00EC0229">
        <w:t xml:space="preserve"> (</w:t>
      </w:r>
      <w:r w:rsidRPr="00EC0229">
        <w:rPr>
          <w:i/>
        </w:rPr>
        <w:t>VASLE</w:t>
      </w:r>
      <w:r w:rsidRPr="00EC0229">
        <w:fldChar w:fldCharType="begin"/>
      </w:r>
      <w:r w:rsidRPr="00EC0229">
        <w:instrText xml:space="preserve"> XE "VASLE" </w:instrText>
      </w:r>
      <w:r w:rsidRPr="00EC0229">
        <w:fldChar w:fldCharType="end"/>
      </w:r>
      <w:r w:rsidRPr="00EC0229">
        <w:t>) and informal,</w:t>
      </w:r>
      <w:r w:rsidRPr="00EC0229">
        <w:rPr>
          <w:rStyle w:val="FootnoteReference"/>
          <w:szCs w:val="24"/>
        </w:rPr>
        <w:footnoteReference w:id="17"/>
      </w:r>
      <w:r w:rsidRPr="00EC0229">
        <w:t xml:space="preserve"> as well as antiquarian sources. This approach includes assessment of material that may have eluded formal recording. Mapping</w:t>
      </w:r>
      <w:r w:rsidRPr="00EC0229">
        <w:fldChar w:fldCharType="begin"/>
      </w:r>
      <w:r w:rsidRPr="00EC0229">
        <w:instrText xml:space="preserve"> XE "</w:instrText>
      </w:r>
      <w:r w:rsidRPr="00EC0229">
        <w:rPr>
          <w:rStyle w:val="Hyperlink"/>
          <w:noProof/>
          <w:u w:val="none"/>
        </w:rPr>
        <w:instrText>Mapping</w:instrText>
      </w:r>
      <w:r w:rsidRPr="00EC0229">
        <w:instrText xml:space="preserve">" </w:instrText>
      </w:r>
      <w:r w:rsidRPr="00EC0229">
        <w:fldChar w:fldCharType="end"/>
      </w:r>
      <w:r w:rsidRPr="00EC0229">
        <w:t xml:space="preserve"> is used to reveal spatial and temporal patterns in the development and use of coinage, subject to detecting bias. Significantly, </w:t>
      </w:r>
      <w:r w:rsidRPr="00EC0229">
        <w:rPr>
          <w:i/>
        </w:rPr>
        <w:t>CKN</w:t>
      </w:r>
      <w:r w:rsidRPr="00EC0229">
        <w:t xml:space="preserve"> has been digitized by the candidate, which is the major achievement of the work presented here (see </w:t>
      </w:r>
      <w:r w:rsidRPr="00EC0229">
        <w:fldChar w:fldCharType="begin"/>
      </w:r>
      <w:r w:rsidRPr="00EC0229">
        <w:instrText xml:space="preserve"> PAGEREF _Ref463871071 \h </w:instrText>
      </w:r>
      <w:r w:rsidRPr="00EC0229">
        <w:fldChar w:fldCharType="separate"/>
      </w:r>
      <w:r w:rsidR="0012026B">
        <w:rPr>
          <w:noProof/>
        </w:rPr>
        <w:t>141</w:t>
      </w:r>
      <w:r w:rsidRPr="00EC0229">
        <w:fldChar w:fldCharType="end"/>
      </w:r>
      <w:r w:rsidRPr="00EC0229">
        <w:t xml:space="preserve"> and </w:t>
      </w:r>
      <w:r w:rsidRPr="00EC0229">
        <w:fldChar w:fldCharType="begin"/>
      </w:r>
      <w:r w:rsidRPr="00EC0229">
        <w:instrText xml:space="preserve"> PAGEREF _Ref463871208 \h </w:instrText>
      </w:r>
      <w:r w:rsidRPr="00EC0229">
        <w:fldChar w:fldCharType="separate"/>
      </w:r>
      <w:r w:rsidR="0012026B">
        <w:rPr>
          <w:noProof/>
        </w:rPr>
        <w:t>149</w:t>
      </w:r>
      <w:r w:rsidRPr="00EC0229">
        <w:fldChar w:fldCharType="end"/>
      </w:r>
      <w:r w:rsidRPr="00EC0229">
        <w:t xml:space="preserve">). It is collated with the other sources into a comprehensive </w:t>
      </w:r>
      <w:r w:rsidR="005D0690" w:rsidRPr="00EC0229">
        <w:t>database</w:t>
      </w:r>
      <w:r w:rsidRPr="00EC0229">
        <w:t>, providing a versatile tool, easily searched and sorted, for interrogation and investigation.</w:t>
      </w:r>
    </w:p>
    <w:p w14:paraId="64CE90A6" w14:textId="77777777" w:rsidR="005B6048" w:rsidRPr="00EC0229" w:rsidRDefault="005B6048" w:rsidP="005B6048">
      <w:pPr>
        <w:pStyle w:val="NoSpacing"/>
        <w:spacing w:line="360" w:lineRule="auto"/>
      </w:pPr>
    </w:p>
    <w:p w14:paraId="63901B73" w14:textId="0AE08F63" w:rsidR="005B6048" w:rsidRPr="00EC0229" w:rsidRDefault="005B6048" w:rsidP="005B6048">
      <w:pPr>
        <w:pStyle w:val="NoSpacing"/>
        <w:spacing w:line="360" w:lineRule="auto"/>
      </w:pPr>
      <w:r w:rsidRPr="00EC0229">
        <w:t xml:space="preserve">A numismatic-based </w:t>
      </w:r>
      <w:r w:rsidR="006C328D" w:rsidRPr="00EC0229">
        <w:t>periodiz</w:t>
      </w:r>
      <w:r w:rsidRPr="00EC0229">
        <w:t>ation is applied to the evolution of the coinage. Finds at coin-rich sites have been collated according to the periods defined so that this age-profile gives a fresh perspective on site comparisons.</w:t>
      </w:r>
    </w:p>
    <w:p w14:paraId="2A7A013E" w14:textId="77777777" w:rsidR="005B6048" w:rsidRPr="00EC0229" w:rsidRDefault="005B6048" w:rsidP="005B6048">
      <w:pPr>
        <w:pStyle w:val="NoSpacing"/>
        <w:spacing w:line="360" w:lineRule="auto"/>
      </w:pPr>
    </w:p>
    <w:p w14:paraId="258E61AB" w14:textId="54D65828" w:rsidR="005B6048" w:rsidRPr="00EC0229" w:rsidRDefault="005B6048" w:rsidP="005B6048">
      <w:pPr>
        <w:pStyle w:val="NoSpacing"/>
        <w:spacing w:line="360" w:lineRule="auto"/>
      </w:pPr>
      <w:r w:rsidRPr="00EC0229">
        <w:t>The qualitative</w:t>
      </w:r>
      <w:r w:rsidRPr="00EC0229">
        <w:fldChar w:fldCharType="begin"/>
      </w:r>
      <w:r w:rsidRPr="00EC0229">
        <w:instrText xml:space="preserve"> XE "</w:instrText>
      </w:r>
      <w:r w:rsidRPr="00EC0229">
        <w:rPr>
          <w:rStyle w:val="Hyperlink"/>
          <w:rFonts w:cs="Times New Roman"/>
          <w:noProof/>
          <w:u w:val="none"/>
        </w:rPr>
        <w:instrText>qualitative</w:instrText>
      </w:r>
      <w:r w:rsidRPr="00EC0229">
        <w:instrText xml:space="preserve">" </w:instrText>
      </w:r>
      <w:r w:rsidRPr="00EC0229">
        <w:fldChar w:fldCharType="end"/>
      </w:r>
      <w:r w:rsidRPr="00EC0229">
        <w:t xml:space="preserve"> analysis involves the comparison of numismatic and artefactual finds at coin-rich sites and </w:t>
      </w:r>
      <w:r w:rsidRPr="00EC0229">
        <w:rPr>
          <w:i/>
        </w:rPr>
        <w:t>wics</w:t>
      </w:r>
      <w:r w:rsidRPr="00EC0229">
        <w:rPr>
          <w:rFonts w:cs="Times New Roman"/>
          <w:color w:val="000000" w:themeColor="text1"/>
          <w:szCs w:val="24"/>
        </w:rPr>
        <w:t xml:space="preserve"> within Northumbria</w:t>
      </w:r>
      <w:r w:rsidRPr="00EC0229">
        <w:t xml:space="preserve">. Evidence of the ready availability of coinage, whether or not local, in proximity to other artefacts, is taken as indicative of economically active sites where a degree of </w:t>
      </w:r>
      <w:r w:rsidR="003F2041" w:rsidRPr="00EC0229">
        <w:t>monetiz</w:t>
      </w:r>
      <w:r w:rsidRPr="00EC0229">
        <w:t>ation has occurred. Sites are grouped regionally facilitating comparisons between regions.</w:t>
      </w:r>
    </w:p>
    <w:p w14:paraId="6245B529" w14:textId="77777777" w:rsidR="005B6048" w:rsidRPr="00EC0229" w:rsidRDefault="005B6048" w:rsidP="005B6048">
      <w:pPr>
        <w:pStyle w:val="NoSpacing"/>
        <w:spacing w:line="360" w:lineRule="auto"/>
      </w:pPr>
    </w:p>
    <w:p w14:paraId="2743D025" w14:textId="15C4E5DE" w:rsidR="005B6048" w:rsidRPr="00EC0229" w:rsidRDefault="005B6048" w:rsidP="005B6048">
      <w:pPr>
        <w:pStyle w:val="NoSpacing"/>
        <w:spacing w:line="360" w:lineRule="auto"/>
        <w:rPr>
          <w:szCs w:val="24"/>
        </w:rPr>
      </w:pPr>
      <w:r w:rsidRPr="00EC0229">
        <w:rPr>
          <w:szCs w:val="24"/>
        </w:rPr>
        <w:t xml:space="preserve">Differences, whether of type, period or volume between selected sites are identified. The corpus of material is arranged by location and date, and interrogated to establish if the presence of coinage is associated with </w:t>
      </w:r>
      <w:r w:rsidR="00CA62E2" w:rsidRPr="00EC0229">
        <w:rPr>
          <w:szCs w:val="24"/>
        </w:rPr>
        <w:t xml:space="preserve">particular </w:t>
      </w:r>
      <w:r w:rsidRPr="00EC0229">
        <w:rPr>
          <w:szCs w:val="24"/>
        </w:rPr>
        <w:t xml:space="preserve">types of other artefacts. The result is a fuller understanding of </w:t>
      </w:r>
      <w:r w:rsidR="003F2041" w:rsidRPr="00EC0229">
        <w:rPr>
          <w:szCs w:val="24"/>
        </w:rPr>
        <w:t>monetiz</w:t>
      </w:r>
      <w:r w:rsidRPr="00EC0229">
        <w:rPr>
          <w:szCs w:val="24"/>
        </w:rPr>
        <w:t>ation</w:t>
      </w:r>
      <w:r w:rsidRPr="00EC0229">
        <w:rPr>
          <w:szCs w:val="24"/>
        </w:rPr>
        <w:fldChar w:fldCharType="begin"/>
      </w:r>
      <w:r w:rsidRPr="00EC0229">
        <w:instrText xml:space="preserve"> XE "monetization" </w:instrText>
      </w:r>
      <w:r w:rsidRPr="00EC0229">
        <w:rPr>
          <w:szCs w:val="24"/>
        </w:rPr>
        <w:fldChar w:fldCharType="end"/>
      </w:r>
      <w:r w:rsidRPr="00EC0229">
        <w:rPr>
          <w:szCs w:val="24"/>
        </w:rPr>
        <w:t xml:space="preserve"> in early medieval Northumbria</w:t>
      </w:r>
      <w:r w:rsidRPr="00EC0229">
        <w:rPr>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szCs w:val="24"/>
        </w:rPr>
        <w:fldChar w:fldCharType="end"/>
      </w:r>
      <w:r w:rsidRPr="00EC0229">
        <w:rPr>
          <w:szCs w:val="24"/>
        </w:rPr>
        <w:t>, and the place of gold</w:t>
      </w:r>
      <w:r w:rsidRPr="00EC0229">
        <w:rPr>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szCs w:val="24"/>
        </w:rPr>
        <w:fldChar w:fldCharType="end"/>
      </w:r>
      <w:r w:rsidRPr="00EC0229">
        <w:rPr>
          <w:szCs w:val="24"/>
        </w:rPr>
        <w:t>, silver and base-metal coinage in the contemporary social landscape</w:t>
      </w:r>
      <w:r w:rsidRPr="00EC0229">
        <w:rPr>
          <w:szCs w:val="24"/>
        </w:rPr>
        <w:fldChar w:fldCharType="begin"/>
      </w:r>
      <w:r w:rsidRPr="00EC0229">
        <w:instrText xml:space="preserve"> XE "</w:instrText>
      </w:r>
      <w:r w:rsidRPr="00EC0229">
        <w:rPr>
          <w:rFonts w:cs="Times New Roman"/>
          <w:b/>
          <w:color w:val="000000" w:themeColor="text1"/>
          <w:sz w:val="56"/>
          <w:szCs w:val="56"/>
        </w:rPr>
        <w:instrText>landscape</w:instrText>
      </w:r>
      <w:r w:rsidRPr="00EC0229">
        <w:instrText xml:space="preserve">" </w:instrText>
      </w:r>
      <w:r w:rsidRPr="00EC0229">
        <w:rPr>
          <w:szCs w:val="24"/>
        </w:rPr>
        <w:fldChar w:fldCharType="end"/>
      </w:r>
      <w:r w:rsidRPr="00EC0229">
        <w:rPr>
          <w:szCs w:val="24"/>
        </w:rPr>
        <w:t>. Coinage</w:t>
      </w:r>
      <w:r w:rsidRPr="00EC0229">
        <w:rPr>
          <w:szCs w:val="24"/>
        </w:rPr>
        <w:fldChar w:fldCharType="begin"/>
      </w:r>
      <w:r w:rsidRPr="00EC0229">
        <w:instrText xml:space="preserve"> XE "</w:instrText>
      </w:r>
      <w:r w:rsidRPr="00EC0229">
        <w:rPr>
          <w:rFonts w:cs="Times New Roman"/>
          <w:b/>
          <w:color w:val="000000" w:themeColor="text1"/>
          <w:sz w:val="56"/>
          <w:szCs w:val="56"/>
        </w:rPr>
        <w:instrText>Coinage</w:instrText>
      </w:r>
      <w:r w:rsidRPr="00EC0229">
        <w:instrText xml:space="preserve">" </w:instrText>
      </w:r>
      <w:r w:rsidRPr="00EC0229">
        <w:rPr>
          <w:szCs w:val="24"/>
        </w:rPr>
        <w:fldChar w:fldCharType="end"/>
      </w:r>
      <w:r w:rsidRPr="00EC0229">
        <w:rPr>
          <w:szCs w:val="24"/>
        </w:rPr>
        <w:t xml:space="preserve"> contributes to key debates in early Anglo-Saxon</w:t>
      </w:r>
      <w:r w:rsidRPr="00EC0229">
        <w:rPr>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Cs w:val="24"/>
        </w:rPr>
        <w:fldChar w:fldCharType="end"/>
      </w:r>
      <w:r w:rsidRPr="00EC0229">
        <w:rPr>
          <w:szCs w:val="24"/>
        </w:rPr>
        <w:t xml:space="preserve"> history: the development of towns and emporia</w:t>
      </w:r>
      <w:r w:rsidRPr="00EC0229">
        <w:rPr>
          <w:szCs w:val="24"/>
        </w:rPr>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rPr>
          <w:szCs w:val="24"/>
        </w:rPr>
        <w:fldChar w:fldCharType="end"/>
      </w:r>
      <w:r w:rsidRPr="00EC0229">
        <w:rPr>
          <w:szCs w:val="24"/>
        </w:rPr>
        <w:t>; the r</w:t>
      </w:r>
      <w:r w:rsidRPr="00EC0229">
        <w:rPr>
          <w:rFonts w:cs="Times New Roman"/>
          <w:szCs w:val="24"/>
        </w:rPr>
        <w:t>ô</w:t>
      </w:r>
      <w:r w:rsidRPr="00EC0229">
        <w:rPr>
          <w:szCs w:val="24"/>
        </w:rPr>
        <w:t>le of ‘productive’ sites; the ‘minster debate’ and the rôle of the church</w:t>
      </w:r>
      <w:r w:rsidRPr="00EC0229">
        <w:rPr>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szCs w:val="24"/>
        </w:rPr>
        <w:fldChar w:fldCharType="end"/>
      </w:r>
      <w:r w:rsidRPr="00EC0229">
        <w:rPr>
          <w:szCs w:val="24"/>
        </w:rPr>
        <w:t>.</w:t>
      </w:r>
    </w:p>
    <w:p w14:paraId="6F94E4A5" w14:textId="77777777" w:rsidR="005B6048" w:rsidRPr="00EC0229" w:rsidRDefault="005B6048" w:rsidP="005B6048">
      <w:pPr>
        <w:spacing w:after="0" w:line="360" w:lineRule="auto"/>
        <w:rPr>
          <w:rFonts w:cs="Times New Roman"/>
          <w:color w:val="000000" w:themeColor="text1"/>
          <w:szCs w:val="24"/>
        </w:rPr>
      </w:pPr>
    </w:p>
    <w:p w14:paraId="3E14798A" w14:textId="1F6742E0" w:rsidR="005B6048" w:rsidRPr="00EC0229" w:rsidRDefault="005B6048" w:rsidP="005B6048">
      <w:pPr>
        <w:spacing w:after="0" w:line="360" w:lineRule="auto"/>
        <w:rPr>
          <w:rFonts w:cs="Times New Roman"/>
          <w:color w:val="000000" w:themeColor="text1"/>
          <w:szCs w:val="24"/>
        </w:rPr>
      </w:pPr>
      <w:r w:rsidRPr="00EC0229">
        <w:rPr>
          <w:rFonts w:cs="Times New Roman"/>
          <w:color w:val="000000" w:themeColor="text1"/>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There are significant, well-researched </w:t>
      </w:r>
      <w:r w:rsidRPr="00EC0229">
        <w:rPr>
          <w:rFonts w:cs="Times New Roman"/>
          <w:i/>
          <w:color w:val="000000" w:themeColor="text1"/>
          <w:szCs w:val="24"/>
        </w:rPr>
        <w:t>wics</w:t>
      </w:r>
      <w:r w:rsidRPr="00EC0229">
        <w:rPr>
          <w:rFonts w:cs="Times New Roman"/>
          <w:color w:val="000000" w:themeColor="text1"/>
          <w:szCs w:val="24"/>
        </w:rPr>
        <w:t xml:space="preserve"> in </w:t>
      </w:r>
      <w:r w:rsidR="00572E51" w:rsidRPr="00EC0229">
        <w:rPr>
          <w:rFonts w:cs="Times New Roman"/>
          <w:color w:val="000000" w:themeColor="text1"/>
          <w:szCs w:val="24"/>
        </w:rPr>
        <w:t>Southumbria</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Southumbria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which provide comparative templates for evaluating </w:t>
      </w:r>
      <w:r w:rsidR="003F2041" w:rsidRPr="00EC0229">
        <w:rPr>
          <w:rFonts w:cs="Times New Roman"/>
          <w:color w:val="000000" w:themeColor="text1"/>
          <w:szCs w:val="24"/>
        </w:rPr>
        <w:t>monetiz</w:t>
      </w:r>
      <w:r w:rsidRPr="00EC0229">
        <w:rPr>
          <w:rFonts w:cs="Times New Roman"/>
          <w:color w:val="000000" w:themeColor="text1"/>
          <w:szCs w:val="24"/>
        </w:rPr>
        <w:t>ation</w:t>
      </w:r>
      <w:r w:rsidRPr="00EC0229">
        <w:rPr>
          <w:rFonts w:cs="Times New Roman"/>
          <w:color w:val="000000" w:themeColor="text1"/>
          <w:szCs w:val="24"/>
        </w:rPr>
        <w:fldChar w:fldCharType="begin"/>
      </w:r>
      <w:r w:rsidRPr="00EC0229">
        <w:instrText xml:space="preserve"> XE "monetization" </w:instrText>
      </w:r>
      <w:r w:rsidRPr="00EC0229">
        <w:rPr>
          <w:rFonts w:cs="Times New Roman"/>
          <w:color w:val="000000" w:themeColor="text1"/>
          <w:szCs w:val="24"/>
        </w:rPr>
        <w:fldChar w:fldCharType="end"/>
      </w:r>
      <w:r w:rsidRPr="00EC0229">
        <w:rPr>
          <w:rFonts w:cs="Times New Roman"/>
          <w:color w:val="000000" w:themeColor="text1"/>
          <w:szCs w:val="24"/>
        </w:rPr>
        <w:t xml:space="preserve"> in the north, </w:t>
      </w:r>
      <w:r w:rsidRPr="00EC0229">
        <w:rPr>
          <w:rFonts w:cs="Times New Roman"/>
          <w:i/>
          <w:szCs w:val="24"/>
        </w:rPr>
        <w:t>Map</w:t>
      </w:r>
      <w:r w:rsidRPr="00EC0229">
        <w:rPr>
          <w:rFonts w:cs="Times New Roman"/>
          <w:i/>
          <w:szCs w:val="24"/>
        </w:rPr>
        <w:fldChar w:fldCharType="begin"/>
      </w:r>
      <w:r w:rsidRPr="00EC0229">
        <w:instrText xml:space="preserve"> XE "</w:instrText>
      </w:r>
      <w:r w:rsidRPr="00EC0229">
        <w:rPr>
          <w:noProof/>
        </w:rPr>
        <w:instrText>Map</w:instrText>
      </w:r>
      <w:r w:rsidRPr="00EC0229">
        <w:instrText xml:space="preserve">" </w:instrText>
      </w:r>
      <w:r w:rsidRPr="00EC0229">
        <w:rPr>
          <w:rFonts w:cs="Times New Roman"/>
          <w:i/>
          <w:szCs w:val="24"/>
        </w:rPr>
        <w:fldChar w:fldCharType="end"/>
      </w:r>
      <w:r w:rsidRPr="00EC0229">
        <w:rPr>
          <w:rFonts w:cs="Times New Roman"/>
          <w:i/>
          <w:szCs w:val="24"/>
        </w:rPr>
        <w:t xml:space="preserve"> </w:t>
      </w:r>
      <w:r w:rsidR="004048E5" w:rsidRPr="00EC0229">
        <w:rPr>
          <w:rFonts w:cs="Times New Roman"/>
          <w:i/>
          <w:szCs w:val="24"/>
        </w:rPr>
        <w:t>1.0</w:t>
      </w:r>
      <w:r w:rsidRPr="00EC0229">
        <w:rPr>
          <w:rFonts w:cs="Times New Roman"/>
          <w:i/>
          <w:szCs w:val="24"/>
        </w:rPr>
        <w:t>1</w:t>
      </w:r>
      <w:r w:rsidRPr="00EC0229">
        <w:rPr>
          <w:rFonts w:cs="Times New Roman"/>
          <w:color w:val="000000" w:themeColor="text1"/>
          <w:szCs w:val="24"/>
        </w:rPr>
        <w:t>.</w:t>
      </w:r>
      <w:r w:rsidRPr="00EC0229">
        <w:rPr>
          <w:rStyle w:val="FootnoteReference"/>
          <w:rFonts w:cs="Times New Roman"/>
          <w:color w:val="000000" w:themeColor="text1"/>
          <w:szCs w:val="24"/>
        </w:rPr>
        <w:footnoteReference w:id="18"/>
      </w:r>
      <w:r w:rsidRPr="00EC0229">
        <w:rPr>
          <w:rFonts w:cs="Times New Roman"/>
          <w:color w:val="000000" w:themeColor="text1"/>
          <w:szCs w:val="24"/>
        </w:rPr>
        <w:t xml:space="preserve"> These include </w:t>
      </w:r>
      <w:r w:rsidRPr="00EC0229">
        <w:rPr>
          <w:rFonts w:cs="Times New Roman"/>
          <w:i/>
          <w:szCs w:val="24"/>
        </w:rPr>
        <w:t>Hamwic</w:t>
      </w:r>
      <w:r w:rsidRPr="00EC0229">
        <w:rPr>
          <w:rFonts w:cs="Times New Roman"/>
          <w:i/>
          <w:szCs w:val="24"/>
        </w:rPr>
        <w:fldChar w:fldCharType="begin"/>
      </w:r>
      <w:r w:rsidRPr="00EC0229">
        <w:instrText xml:space="preserve"> XE "</w:instrText>
      </w:r>
      <w:r w:rsidRPr="00EC0229">
        <w:rPr>
          <w:rFonts w:eastAsia="Times New Roman"/>
          <w:noProof/>
          <w:lang w:eastAsia="en-GB"/>
        </w:rPr>
        <w:instrText>Hamwic</w:instrText>
      </w:r>
      <w:r w:rsidRPr="00EC0229">
        <w:instrText xml:space="preserve">" </w:instrText>
      </w:r>
      <w:r w:rsidRPr="00EC0229">
        <w:rPr>
          <w:rFonts w:cs="Times New Roman"/>
          <w:i/>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Hamwic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200</w:t>
      </w:r>
      <w:r w:rsidRPr="00EC0229">
        <w:rPr>
          <w:rFonts w:cs="Times New Roman"/>
          <w:color w:val="000000" w:themeColor="text1"/>
          <w:szCs w:val="24"/>
        </w:rPr>
        <w:fldChar w:fldCharType="end"/>
      </w:r>
      <w:r w:rsidRPr="00EC0229">
        <w:rPr>
          <w:rFonts w:cs="Times New Roman"/>
          <w:color w:val="000000" w:themeColor="text1"/>
          <w:szCs w:val="24"/>
        </w:rPr>
        <w:t>) which is considered in detail. Finds at Rendlesham, Heckington, Royston and Sledmere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are tabulated as exemplars, </w:t>
      </w:r>
      <w:r w:rsidRPr="00EC0229">
        <w:rPr>
          <w:rFonts w:cs="Times New Roman"/>
          <w:i/>
          <w:szCs w:val="24"/>
        </w:rPr>
        <w:t>Table</w:t>
      </w:r>
      <w:r w:rsidRPr="00EC0229">
        <w:rPr>
          <w:rFonts w:cs="Times New Roman"/>
          <w:i/>
          <w:szCs w:val="24"/>
        </w:rPr>
        <w:fldChar w:fldCharType="begin"/>
      </w:r>
      <w:r w:rsidRPr="00EC0229">
        <w:instrText xml:space="preserve"> XE "</w:instrText>
      </w:r>
      <w:r w:rsidRPr="00EC0229">
        <w:rPr>
          <w:noProof/>
        </w:rPr>
        <w:instrText>Table</w:instrText>
      </w:r>
      <w:r w:rsidRPr="00EC0229">
        <w:instrText xml:space="preserve">" </w:instrText>
      </w:r>
      <w:r w:rsidRPr="00EC0229">
        <w:rPr>
          <w:rFonts w:cs="Times New Roman"/>
          <w:i/>
          <w:szCs w:val="24"/>
        </w:rPr>
        <w:fldChar w:fldCharType="end"/>
      </w:r>
      <w:r w:rsidR="00E6452D" w:rsidRPr="00EC0229">
        <w:rPr>
          <w:rFonts w:cs="Times New Roman"/>
          <w:i/>
          <w:szCs w:val="24"/>
        </w:rPr>
        <w:t xml:space="preserve"> 8.0</w:t>
      </w:r>
      <w:r w:rsidRPr="00EC0229">
        <w:rPr>
          <w:rFonts w:cs="Times New Roman"/>
          <w:i/>
          <w:szCs w:val="24"/>
        </w:rPr>
        <w:t>5</w:t>
      </w:r>
      <w:r w:rsidRPr="00EC0229">
        <w:rPr>
          <w:rFonts w:cs="Times New Roman"/>
          <w:color w:val="000000" w:themeColor="text1"/>
          <w:szCs w:val="24"/>
        </w:rPr>
        <w:t xml:space="preserve">, </w:t>
      </w:r>
      <w:r w:rsidRPr="00EC0229">
        <w:rPr>
          <w:rFonts w:cs="Times New Roman"/>
          <w:i/>
          <w:color w:val="000000" w:themeColor="text1"/>
          <w:szCs w:val="24"/>
        </w:rPr>
        <w:t>Gipeswic</w:t>
      </w:r>
      <w:r w:rsidRPr="00EC0229">
        <w:rPr>
          <w:rFonts w:cs="Times New Roman"/>
          <w:i/>
          <w:color w:val="000000" w:themeColor="text1"/>
          <w:szCs w:val="24"/>
        </w:rPr>
        <w:fldChar w:fldCharType="begin"/>
      </w:r>
      <w:r w:rsidRPr="00EC0229">
        <w:instrText xml:space="preserve"> XE "</w:instrText>
      </w:r>
      <w:r w:rsidRPr="00EC0229">
        <w:rPr>
          <w:rFonts w:cs="Times New Roman"/>
          <w:i/>
          <w:color w:val="000000" w:themeColor="text1"/>
          <w:szCs w:val="24"/>
        </w:rPr>
        <w:instrText>Gipeswic</w:instrText>
      </w:r>
      <w:r w:rsidRPr="00EC0229">
        <w:instrText xml:space="preserve">" </w:instrText>
      </w:r>
      <w:r w:rsidRPr="00EC0229">
        <w:rPr>
          <w:rFonts w:cs="Times New Roman"/>
          <w:i/>
          <w:color w:val="000000" w:themeColor="text1"/>
          <w:szCs w:val="24"/>
        </w:rPr>
        <w:fldChar w:fldCharType="end"/>
      </w:r>
      <w:r w:rsidRPr="00EC0229">
        <w:rPr>
          <w:rFonts w:cs="Times New Roman"/>
          <w:color w:val="000000" w:themeColor="text1"/>
          <w:szCs w:val="24"/>
        </w:rPr>
        <w:t xml:space="preserve"> at </w:t>
      </w:r>
      <w:r w:rsidRPr="00EC0229">
        <w:rPr>
          <w:rFonts w:cs="Times New Roman"/>
          <w:i/>
          <w:szCs w:val="24"/>
        </w:rPr>
        <w:t>Table 8</w:t>
      </w:r>
      <w:r w:rsidR="00DF3824" w:rsidRPr="00EC0229">
        <w:rPr>
          <w:rFonts w:cs="Times New Roman"/>
          <w:i/>
          <w:szCs w:val="24"/>
        </w:rPr>
        <w:t>.44</w:t>
      </w:r>
      <w:r w:rsidRPr="00EC0229">
        <w:rPr>
          <w:rFonts w:cs="Times New Roman"/>
          <w:color w:val="000000" w:themeColor="text1"/>
          <w:szCs w:val="24"/>
        </w:rPr>
        <w:t xml:space="preserve"> and </w:t>
      </w:r>
      <w:r w:rsidRPr="00EC0229">
        <w:rPr>
          <w:rFonts w:cs="Times New Roman"/>
          <w:i/>
          <w:color w:val="000000" w:themeColor="text1"/>
          <w:szCs w:val="24"/>
        </w:rPr>
        <w:t>Lundenwic</w:t>
      </w:r>
      <w:r w:rsidRPr="00EC0229">
        <w:rPr>
          <w:rFonts w:cs="Times New Roman"/>
          <w:i/>
          <w:color w:val="000000" w:themeColor="text1"/>
          <w:szCs w:val="24"/>
        </w:rPr>
        <w:fldChar w:fldCharType="begin"/>
      </w:r>
      <w:r w:rsidRPr="00EC0229">
        <w:instrText xml:space="preserve"> XE "</w:instrText>
      </w:r>
      <w:r w:rsidRPr="00EC0229">
        <w:rPr>
          <w:rFonts w:cs="Times New Roman"/>
          <w:i/>
          <w:color w:val="000000" w:themeColor="text1"/>
          <w:szCs w:val="24"/>
        </w:rPr>
        <w:instrText>Lundenwic</w:instrText>
      </w:r>
      <w:r w:rsidRPr="00EC0229">
        <w:instrText xml:space="preserve">" </w:instrText>
      </w:r>
      <w:r w:rsidRPr="00EC0229">
        <w:rPr>
          <w:rFonts w:cs="Times New Roman"/>
          <w:i/>
          <w:color w:val="000000" w:themeColor="text1"/>
          <w:szCs w:val="24"/>
        </w:rPr>
        <w:fldChar w:fldCharType="end"/>
      </w:r>
      <w:r w:rsidRPr="00EC0229">
        <w:rPr>
          <w:rFonts w:cs="Times New Roman"/>
          <w:color w:val="000000" w:themeColor="text1"/>
          <w:szCs w:val="24"/>
        </w:rPr>
        <w:t xml:space="preserve"> at </w:t>
      </w:r>
      <w:r w:rsidRPr="00EC0229">
        <w:rPr>
          <w:rFonts w:cs="Times New Roman"/>
          <w:i/>
          <w:szCs w:val="24"/>
        </w:rPr>
        <w:t xml:space="preserve">Table </w:t>
      </w:r>
      <w:r w:rsidRPr="00EC0229">
        <w:rPr>
          <w:rStyle w:val="Hyperlink"/>
          <w:rFonts w:cs="Times New Roman"/>
          <w:i/>
          <w:color w:val="000000" w:themeColor="text1"/>
          <w:szCs w:val="24"/>
          <w:u w:val="none"/>
        </w:rPr>
        <w:t>8</w:t>
      </w:r>
      <w:r w:rsidR="00DF3824" w:rsidRPr="00EC0229">
        <w:rPr>
          <w:rStyle w:val="Hyperlink"/>
          <w:rFonts w:cs="Times New Roman"/>
          <w:i/>
          <w:color w:val="000000" w:themeColor="text1"/>
          <w:szCs w:val="24"/>
          <w:u w:val="none"/>
        </w:rPr>
        <w:t>.45</w:t>
      </w:r>
      <w:r w:rsidRPr="00EC0229">
        <w:rPr>
          <w:rFonts w:cs="Times New Roman"/>
          <w:color w:val="000000" w:themeColor="text1"/>
          <w:szCs w:val="24"/>
        </w:rPr>
        <w:t>. Again, credit</w:t>
      </w:r>
      <w:r w:rsidRPr="00EC0229">
        <w:rPr>
          <w:rFonts w:cs="Times New Roman"/>
          <w:color w:val="000000" w:themeColor="text1"/>
          <w:szCs w:val="24"/>
        </w:rPr>
        <w:fldChar w:fldCharType="begin"/>
      </w:r>
      <w:r w:rsidRPr="00EC0229">
        <w:instrText xml:space="preserve"> XE "credit" </w:instrText>
      </w:r>
      <w:r w:rsidRPr="00EC0229">
        <w:rPr>
          <w:rFonts w:cs="Times New Roman"/>
          <w:color w:val="000000" w:themeColor="text1"/>
          <w:szCs w:val="24"/>
        </w:rPr>
        <w:fldChar w:fldCharType="end"/>
      </w:r>
      <w:r w:rsidRPr="00EC0229">
        <w:rPr>
          <w:rFonts w:cs="Times New Roman"/>
          <w:color w:val="000000" w:themeColor="text1"/>
          <w:szCs w:val="24"/>
        </w:rPr>
        <w:t xml:space="preserve"> is due to Pirie</w:t>
      </w:r>
      <w:r w:rsidRPr="00EC0229">
        <w:rPr>
          <w:rFonts w:cs="Times New Roman"/>
          <w:color w:val="000000" w:themeColor="text1"/>
          <w:szCs w:val="24"/>
        </w:rPr>
        <w:fldChar w:fldCharType="begin"/>
      </w:r>
      <w:r w:rsidRPr="00EC0229">
        <w:instrText xml:space="preserve"> XE "Pirie" </w:instrText>
      </w:r>
      <w:r w:rsidRPr="00EC0229">
        <w:rPr>
          <w:rFonts w:cs="Times New Roman"/>
          <w:color w:val="000000" w:themeColor="text1"/>
          <w:szCs w:val="24"/>
        </w:rPr>
        <w:fldChar w:fldCharType="end"/>
      </w:r>
      <w:r w:rsidRPr="00EC0229">
        <w:rPr>
          <w:rFonts w:cs="Times New Roman"/>
          <w:color w:val="000000" w:themeColor="text1"/>
          <w:szCs w:val="24"/>
        </w:rPr>
        <w:t xml:space="preserve"> for compiling an archive of site reports.</w:t>
      </w:r>
      <w:r w:rsidRPr="00EC0229">
        <w:rPr>
          <w:rStyle w:val="FootnoteReference"/>
          <w:rFonts w:cs="Times New Roman"/>
          <w:color w:val="000000" w:themeColor="text1"/>
          <w:szCs w:val="24"/>
        </w:rPr>
        <w:footnoteReference w:id="19"/>
      </w:r>
    </w:p>
    <w:p w14:paraId="328776AE" w14:textId="77777777" w:rsidR="005B6048" w:rsidRPr="00EC0229" w:rsidRDefault="005B6048" w:rsidP="005B6048">
      <w:pPr>
        <w:spacing w:after="0" w:line="360" w:lineRule="auto"/>
        <w:rPr>
          <w:rFonts w:cs="Times New Roman"/>
          <w:color w:val="000000" w:themeColor="text1"/>
          <w:szCs w:val="24"/>
        </w:rPr>
      </w:pPr>
    </w:p>
    <w:p w14:paraId="1D51C1FB" w14:textId="7ABBA48C" w:rsidR="005B6048" w:rsidRPr="00EC0229" w:rsidRDefault="005B6048" w:rsidP="005B6048">
      <w:pPr>
        <w:spacing w:after="0" w:line="360" w:lineRule="auto"/>
        <w:rPr>
          <w:rFonts w:cs="Times New Roman"/>
          <w:color w:val="000000" w:themeColor="text1"/>
          <w:szCs w:val="24"/>
        </w:rPr>
      </w:pPr>
      <w:bookmarkStart w:id="57" w:name="expedientindicator"/>
      <w:bookmarkEnd w:id="57"/>
      <w:r w:rsidRPr="00EC0229">
        <w:rPr>
          <w:rFonts w:cs="Times New Roman"/>
          <w:color w:val="000000" w:themeColor="text1"/>
          <w:szCs w:val="24"/>
        </w:rPr>
        <w:t xml:space="preserve">These methodologies are combined to produce tabulations and maps of artefactual and numismatic findspots. </w:t>
      </w:r>
      <w:bookmarkStart w:id="58" w:name="Anexpedientindicator"/>
      <w:r w:rsidRPr="00EC0229">
        <w:rPr>
          <w:rFonts w:cs="Times New Roman"/>
          <w:color w:val="000000" w:themeColor="text1"/>
          <w:szCs w:val="24"/>
        </w:rPr>
        <w:t>An expedient indicator</w:t>
      </w:r>
      <w:bookmarkEnd w:id="58"/>
      <w:r w:rsidRPr="00EC0229">
        <w:rPr>
          <w:rFonts w:cs="Times New Roman"/>
          <w:color w:val="000000" w:themeColor="text1"/>
          <w:szCs w:val="24"/>
        </w:rPr>
        <w:t xml:space="preserve">, the </w:t>
      </w:r>
      <w:bookmarkStart w:id="59" w:name="coefficient"/>
      <w:r w:rsidRPr="00EC0229">
        <w:rPr>
          <w:rFonts w:cs="Times New Roman"/>
          <w:i/>
          <w:color w:val="000000" w:themeColor="text1"/>
          <w:szCs w:val="24"/>
        </w:rPr>
        <w:t xml:space="preserve">coefficient of </w:t>
      </w:r>
      <w:r w:rsidR="003F2041" w:rsidRPr="00EC0229">
        <w:rPr>
          <w:rFonts w:cs="Times New Roman"/>
          <w:i/>
          <w:color w:val="000000" w:themeColor="text1"/>
          <w:szCs w:val="24"/>
        </w:rPr>
        <w:t>monetiz</w:t>
      </w:r>
      <w:r w:rsidRPr="00EC0229">
        <w:rPr>
          <w:rFonts w:cs="Times New Roman"/>
          <w:i/>
          <w:color w:val="000000" w:themeColor="text1"/>
          <w:szCs w:val="24"/>
        </w:rPr>
        <w:t>ation</w:t>
      </w:r>
      <w:bookmarkEnd w:id="59"/>
      <w:r w:rsidRPr="00EC0229">
        <w:rPr>
          <w:rFonts w:cs="Times New Roman"/>
          <w:i/>
          <w:color w:val="000000" w:themeColor="text1"/>
          <w:szCs w:val="24"/>
        </w:rPr>
        <w:fldChar w:fldCharType="begin"/>
      </w:r>
      <w:r w:rsidRPr="00EC0229">
        <w:instrText xml:space="preserve"> XE "monetization" </w:instrText>
      </w:r>
      <w:r w:rsidRPr="00EC0229">
        <w:rPr>
          <w:rFonts w:cs="Times New Roman"/>
          <w:i/>
          <w:color w:val="000000" w:themeColor="text1"/>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CoefficientofMonetization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166</w:t>
      </w:r>
      <w:r w:rsidRPr="00EC0229">
        <w:rPr>
          <w:rFonts w:cs="Times New Roman"/>
          <w:color w:val="000000" w:themeColor="text1"/>
          <w:szCs w:val="24"/>
        </w:rPr>
        <w:fldChar w:fldCharType="end"/>
      </w:r>
      <w:r w:rsidRPr="00EC0229">
        <w:rPr>
          <w:rFonts w:cs="Times New Roman"/>
          <w:color w:val="000000" w:themeColor="text1"/>
          <w:szCs w:val="24"/>
        </w:rPr>
        <w:t xml:space="preserve">) is the ratio of the number of locations with both artefacts and coins to those with just artefacts. While this is a pragmatic measure, its use as a comparative tool is justified in </w:t>
      </w:r>
      <w:r w:rsidR="00923167">
        <w:rPr>
          <w:rFonts w:cs="Times New Roman"/>
          <w:szCs w:val="24"/>
        </w:rPr>
        <w:t>chapter</w:t>
      </w:r>
      <w:r w:rsidR="00D01233" w:rsidRPr="00EC0229">
        <w:rPr>
          <w:rFonts w:cs="Times New Roman"/>
          <w:szCs w:val="24"/>
        </w:rPr>
        <w:t xml:space="preserve"> 7.</w:t>
      </w:r>
    </w:p>
    <w:p w14:paraId="7EB06F5F" w14:textId="77777777" w:rsidR="005B6048" w:rsidRPr="00EC0229" w:rsidRDefault="005B6048" w:rsidP="005B6048">
      <w:pPr>
        <w:pStyle w:val="NoSpacing"/>
        <w:spacing w:line="360" w:lineRule="auto"/>
      </w:pPr>
    </w:p>
    <w:p w14:paraId="57EC8AD3" w14:textId="34CFD34A" w:rsidR="005A616A" w:rsidRPr="00EC0229" w:rsidRDefault="00AA51C3" w:rsidP="007600EA">
      <w:pPr>
        <w:pStyle w:val="NoSpacing"/>
        <w:spacing w:line="360" w:lineRule="auto"/>
      </w:pPr>
      <w:r w:rsidRPr="00EC0229">
        <w:lastRenderedPageBreak/>
        <w:t>Chapter 9</w:t>
      </w:r>
      <w:r w:rsidR="005B6048" w:rsidRPr="00EC0229">
        <w:t xml:space="preserve"> expounds the numismatic findings at page </w:t>
      </w:r>
      <w:r w:rsidR="005B6048" w:rsidRPr="00EC0229">
        <w:fldChar w:fldCharType="begin"/>
      </w:r>
      <w:r w:rsidR="005B6048" w:rsidRPr="00EC0229">
        <w:instrText xml:space="preserve"> PAGEREF _Ref463949349 \h </w:instrText>
      </w:r>
      <w:r w:rsidR="005B6048" w:rsidRPr="00EC0229">
        <w:fldChar w:fldCharType="separate"/>
      </w:r>
      <w:r w:rsidR="0012026B">
        <w:rPr>
          <w:noProof/>
        </w:rPr>
        <w:t>298</w:t>
      </w:r>
      <w:r w:rsidR="005B6048" w:rsidRPr="00EC0229">
        <w:fldChar w:fldCharType="end"/>
      </w:r>
      <w:r w:rsidR="005B6048" w:rsidRPr="00EC0229">
        <w:t xml:space="preserve"> and general conclusions at page </w:t>
      </w:r>
      <w:r w:rsidR="005B6048" w:rsidRPr="00EC0229">
        <w:fldChar w:fldCharType="begin"/>
      </w:r>
      <w:r w:rsidR="005B6048" w:rsidRPr="00EC0229">
        <w:instrText xml:space="preserve"> PAGEREF Conclusions \h </w:instrText>
      </w:r>
      <w:r w:rsidR="005B6048" w:rsidRPr="00EC0229">
        <w:fldChar w:fldCharType="separate"/>
      </w:r>
      <w:r w:rsidR="0012026B">
        <w:rPr>
          <w:noProof/>
        </w:rPr>
        <w:t>310</w:t>
      </w:r>
      <w:r w:rsidR="005B6048" w:rsidRPr="00EC0229">
        <w:fldChar w:fldCharType="end"/>
      </w:r>
      <w:r w:rsidR="005B6048" w:rsidRPr="00EC0229">
        <w:t xml:space="preserve">. Future research is suggested at page </w:t>
      </w:r>
      <w:r w:rsidR="005B6048" w:rsidRPr="00EC0229">
        <w:fldChar w:fldCharType="begin"/>
      </w:r>
      <w:r w:rsidR="005B6048" w:rsidRPr="00EC0229">
        <w:instrText xml:space="preserve"> PAGEREF _Ref463949409 \h </w:instrText>
      </w:r>
      <w:r w:rsidR="005B6048" w:rsidRPr="00EC0229">
        <w:fldChar w:fldCharType="separate"/>
      </w:r>
      <w:r w:rsidR="0012026B">
        <w:rPr>
          <w:noProof/>
        </w:rPr>
        <w:t>323</w:t>
      </w:r>
      <w:r w:rsidR="005B6048" w:rsidRPr="00EC0229">
        <w:fldChar w:fldCharType="end"/>
      </w:r>
      <w:r w:rsidR="005B6048" w:rsidRPr="00EC0229">
        <w:t>.</w:t>
      </w:r>
      <w:r w:rsidR="005A616A" w:rsidRPr="00EC0229">
        <w:rPr>
          <w:szCs w:val="24"/>
        </w:rPr>
        <w:br w:type="page"/>
      </w:r>
    </w:p>
    <w:p w14:paraId="52C9DB40" w14:textId="55838331" w:rsidR="003F22F2" w:rsidRPr="00EC0229" w:rsidRDefault="003F22F2" w:rsidP="003F22F2">
      <w:pPr>
        <w:pStyle w:val="Heading1"/>
        <w:spacing w:line="360" w:lineRule="auto"/>
        <w:rPr>
          <w:rFonts w:cs="Times New Roman"/>
        </w:rPr>
      </w:pPr>
      <w:bookmarkStart w:id="60" w:name="Chapter2"/>
      <w:bookmarkStart w:id="61" w:name="_Toc464823810"/>
      <w:bookmarkStart w:id="62" w:name="_Toc468266739"/>
      <w:bookmarkEnd w:id="44"/>
      <w:bookmarkEnd w:id="60"/>
      <w:r w:rsidRPr="00EC0229">
        <w:rPr>
          <w:rFonts w:cs="Times New Roman"/>
        </w:rPr>
        <w:lastRenderedPageBreak/>
        <w:t>Chapter 2: Models</w:t>
      </w:r>
      <w:r w:rsidRPr="00EC0229">
        <w:rPr>
          <w:rFonts w:cs="Times New Roman"/>
        </w:rPr>
        <w:fldChar w:fldCharType="begin"/>
      </w:r>
      <w:r w:rsidRPr="00EC0229">
        <w:instrText xml:space="preserve"> XE "</w:instrText>
      </w:r>
      <w:r w:rsidRPr="00EC0229">
        <w:rPr>
          <w:rStyle w:val="Hyperlink"/>
          <w:rFonts w:cs="Times New Roman"/>
          <w:noProof/>
          <w:u w:val="none"/>
        </w:rPr>
        <w:instrText>Models</w:instrText>
      </w:r>
      <w:r w:rsidRPr="00EC0229">
        <w:instrText xml:space="preserve">" </w:instrText>
      </w:r>
      <w:r w:rsidRPr="00EC0229">
        <w:rPr>
          <w:rFonts w:cs="Times New Roman"/>
        </w:rPr>
        <w:fldChar w:fldCharType="end"/>
      </w:r>
      <w:r w:rsidRPr="00EC0229">
        <w:rPr>
          <w:rFonts w:cs="Times New Roman"/>
        </w:rPr>
        <w:t xml:space="preserve"> of Markets</w:t>
      </w:r>
      <w:r w:rsidRPr="00EC0229">
        <w:rPr>
          <w:rFonts w:cs="Times New Roman"/>
        </w:rPr>
        <w:fldChar w:fldCharType="begin"/>
      </w:r>
      <w:r w:rsidRPr="00EC0229">
        <w:instrText xml:space="preserve"> XE "</w:instrText>
      </w:r>
      <w:r w:rsidRPr="00EC0229">
        <w:rPr>
          <w:rStyle w:val="Hyperlink"/>
          <w:rFonts w:cs="Times New Roman"/>
          <w:noProof/>
          <w:u w:val="none"/>
        </w:rPr>
        <w:instrText>Markets</w:instrText>
      </w:r>
      <w:r w:rsidRPr="00EC0229">
        <w:instrText xml:space="preserve">" </w:instrText>
      </w:r>
      <w:r w:rsidRPr="00EC0229">
        <w:rPr>
          <w:rFonts w:cs="Times New Roman"/>
        </w:rPr>
        <w:fldChar w:fldCharType="end"/>
      </w:r>
      <w:r w:rsidRPr="00EC0229">
        <w:rPr>
          <w:rFonts w:cs="Times New Roman"/>
        </w:rPr>
        <w:t xml:space="preserve"> and </w:t>
      </w:r>
      <w:r w:rsidR="003F2041" w:rsidRPr="00EC0229">
        <w:rPr>
          <w:rFonts w:cs="Times New Roman"/>
        </w:rPr>
        <w:t>Monetiz</w:t>
      </w:r>
      <w:r w:rsidRPr="00EC0229">
        <w:rPr>
          <w:rFonts w:cs="Times New Roman"/>
        </w:rPr>
        <w:t>ation</w:t>
      </w:r>
      <w:bookmarkEnd w:id="61"/>
      <w:bookmarkEnd w:id="62"/>
    </w:p>
    <w:p w14:paraId="24ECFA19" w14:textId="77777777" w:rsidR="003F22F2" w:rsidRPr="00EC0229" w:rsidRDefault="003F22F2" w:rsidP="003F22F2">
      <w:pPr>
        <w:pStyle w:val="NoSpacing"/>
        <w:spacing w:line="360" w:lineRule="auto"/>
        <w:jc w:val="right"/>
        <w:rPr>
          <w:sz w:val="18"/>
          <w:szCs w:val="18"/>
        </w:rPr>
      </w:pPr>
      <w:r w:rsidRPr="00EC0229">
        <w:rPr>
          <w:sz w:val="18"/>
          <w:szCs w:val="18"/>
        </w:rPr>
        <w:t>‘it is quite wrong to consider the various functions of money to be separated…a position quickly reached by primitive man if not yet by all economists and anthropologists…’</w:t>
      </w:r>
    </w:p>
    <w:p w14:paraId="32434E60" w14:textId="77777777" w:rsidR="003F22F2" w:rsidRPr="00EC0229" w:rsidRDefault="003F22F2" w:rsidP="003F22F2">
      <w:pPr>
        <w:pStyle w:val="NoSpacing"/>
        <w:spacing w:line="360" w:lineRule="auto"/>
        <w:jc w:val="right"/>
        <w:rPr>
          <w:rFonts w:cs="Times New Roman"/>
          <w:sz w:val="20"/>
          <w:szCs w:val="20"/>
        </w:rPr>
      </w:pPr>
      <w:r w:rsidRPr="00EC0229">
        <w:rPr>
          <w:sz w:val="20"/>
          <w:szCs w:val="20"/>
        </w:rPr>
        <w:t>Glyn Davies</w:t>
      </w:r>
      <w:r w:rsidRPr="00EC0229">
        <w:rPr>
          <w:sz w:val="20"/>
          <w:szCs w:val="20"/>
        </w:rPr>
        <w:fldChar w:fldCharType="begin"/>
      </w:r>
      <w:r w:rsidRPr="00EC0229">
        <w:instrText xml:space="preserve"> XE "</w:instrText>
      </w:r>
      <w:r w:rsidRPr="00EC0229">
        <w:rPr>
          <w:rStyle w:val="Hyperlink"/>
          <w:noProof/>
          <w:u w:val="none"/>
        </w:rPr>
        <w:instrText>Davies</w:instrText>
      </w:r>
      <w:r w:rsidRPr="00EC0229">
        <w:instrText xml:space="preserve">" </w:instrText>
      </w:r>
      <w:r w:rsidRPr="00EC0229">
        <w:rPr>
          <w:sz w:val="20"/>
          <w:szCs w:val="20"/>
        </w:rPr>
        <w:fldChar w:fldCharType="end"/>
      </w:r>
      <w:r w:rsidRPr="00EC0229">
        <w:rPr>
          <w:sz w:val="20"/>
          <w:szCs w:val="20"/>
        </w:rPr>
        <w:t xml:space="preserve"> (1994, 41).</w:t>
      </w:r>
    </w:p>
    <w:p w14:paraId="5B2282AE" w14:textId="1DD35423" w:rsidR="003F22F2" w:rsidRPr="00EC0229" w:rsidRDefault="003F22F2" w:rsidP="003F22F2">
      <w:pPr>
        <w:spacing w:line="360" w:lineRule="auto"/>
        <w:rPr>
          <w:rFonts w:cs="Times New Roman"/>
          <w:szCs w:val="24"/>
        </w:rPr>
      </w:pPr>
      <w:bookmarkStart w:id="63" w:name="_Ref464046341"/>
      <w:r w:rsidRPr="00EC0229">
        <w:t xml:space="preserve">This chapter provides a synopsis of prevailing thinking on the evolution of markets and money in its various forms. It discusses the economic and numismatic foundations for an understanding of </w:t>
      </w:r>
      <w:r w:rsidR="003F2041" w:rsidRPr="00EC0229">
        <w:t>monetiz</w:t>
      </w:r>
      <w:r w:rsidRPr="00EC0229">
        <w:t xml:space="preserve">ation on which the practical work of the thesis is built. As a discipline, </w:t>
      </w:r>
      <w:r w:rsidR="003F2041" w:rsidRPr="00EC0229">
        <w:t>monetiz</w:t>
      </w:r>
      <w:r w:rsidRPr="00EC0229">
        <w:t xml:space="preserve">ation is a relatively unexplored branch of numismatics with strong links to economics. It has barely been touched upon previously as regards Anglo-Saxon Northumbria. The first part of the chapter introduces the key thinkers who have influenced the debates about markets and </w:t>
      </w:r>
      <w:r w:rsidR="003F2041" w:rsidRPr="00EC0229">
        <w:t>monetiz</w:t>
      </w:r>
      <w:r w:rsidRPr="00EC0229">
        <w:t xml:space="preserve">ation and in the second half of the chapter the previous literature on the development of coinage in Northumbria, and the Northumbrian economy, is introduced and discussed. </w:t>
      </w:r>
    </w:p>
    <w:p w14:paraId="55FC23D4" w14:textId="09CD3766" w:rsidR="003F22F2" w:rsidRPr="00EC0229" w:rsidRDefault="00BF6095" w:rsidP="003F22F2">
      <w:pPr>
        <w:spacing w:line="360" w:lineRule="auto"/>
        <w:rPr>
          <w:rFonts w:cs="Times New Roman"/>
          <w:szCs w:val="24"/>
        </w:rPr>
      </w:pPr>
      <w:r>
        <w:rPr>
          <w:rFonts w:cs="Times New Roman"/>
          <w:szCs w:val="24"/>
        </w:rPr>
        <w:t>To</w:t>
      </w:r>
      <w:r w:rsidR="003F22F2" w:rsidRPr="00EC0229">
        <w:rPr>
          <w:rFonts w:cs="Times New Roman"/>
          <w:szCs w:val="24"/>
        </w:rPr>
        <w:t xml:space="preserve"> describe the process of </w:t>
      </w:r>
      <w:r w:rsidR="003F2041" w:rsidRPr="00EC0229">
        <w:rPr>
          <w:rFonts w:cs="Times New Roman"/>
          <w:szCs w:val="24"/>
        </w:rPr>
        <w:t>monetiz</w:t>
      </w:r>
      <w:r w:rsidR="003F22F2" w:rsidRPr="00EC0229">
        <w:rPr>
          <w:rFonts w:cs="Times New Roman"/>
          <w:szCs w:val="24"/>
        </w:rPr>
        <w:t>ation</w:t>
      </w:r>
      <w:r w:rsidR="003F22F2" w:rsidRPr="00EC0229">
        <w:rPr>
          <w:rFonts w:cs="Times New Roman"/>
          <w:szCs w:val="24"/>
        </w:rPr>
        <w:fldChar w:fldCharType="begin"/>
      </w:r>
      <w:r w:rsidR="003F22F2" w:rsidRPr="00EC0229">
        <w:instrText xml:space="preserve"> XE "monetization" </w:instrText>
      </w:r>
      <w:r w:rsidR="003F22F2" w:rsidRPr="00EC0229">
        <w:rPr>
          <w:rFonts w:cs="Times New Roman"/>
          <w:szCs w:val="24"/>
        </w:rPr>
        <w:fldChar w:fldCharType="end"/>
      </w:r>
      <w:r w:rsidR="003F22F2" w:rsidRPr="00EC0229">
        <w:rPr>
          <w:rFonts w:cs="Times New Roman"/>
          <w:szCs w:val="24"/>
        </w:rPr>
        <w:t xml:space="preserve">, an understanding of socio-economic behaviour is required. The first half of this chapter progresses from a broad discussion of formalism and substantivism to a more focused description of </w:t>
      </w:r>
      <w:r w:rsidR="003F2041" w:rsidRPr="00EC0229">
        <w:rPr>
          <w:rFonts w:cs="Times New Roman"/>
          <w:szCs w:val="24"/>
        </w:rPr>
        <w:t>monetiz</w:t>
      </w:r>
      <w:r w:rsidR="003F22F2" w:rsidRPr="00EC0229">
        <w:rPr>
          <w:rFonts w:cs="Times New Roman"/>
          <w:szCs w:val="24"/>
        </w:rPr>
        <w:t>ation. Pertinent theoretical anthropological</w:t>
      </w:r>
      <w:r w:rsidR="003F22F2" w:rsidRPr="00EC0229">
        <w:rPr>
          <w:rFonts w:cs="Times New Roman"/>
          <w:szCs w:val="24"/>
        </w:rPr>
        <w:fldChar w:fldCharType="begin"/>
      </w:r>
      <w:r w:rsidR="003F22F2" w:rsidRPr="00EC0229">
        <w:instrText xml:space="preserve"> XE "</w:instrText>
      </w:r>
      <w:r w:rsidR="003F22F2" w:rsidRPr="00EC0229">
        <w:rPr>
          <w:rFonts w:cs="Times New Roman"/>
          <w:szCs w:val="24"/>
        </w:rPr>
        <w:instrText>anthropological</w:instrText>
      </w:r>
      <w:r w:rsidR="003F22F2" w:rsidRPr="00EC0229">
        <w:instrText xml:space="preserve">" </w:instrText>
      </w:r>
      <w:r w:rsidR="003F22F2" w:rsidRPr="00EC0229">
        <w:rPr>
          <w:rFonts w:cs="Times New Roman"/>
          <w:szCs w:val="24"/>
        </w:rPr>
        <w:fldChar w:fldCharType="end"/>
      </w:r>
      <w:r w:rsidR="003F22F2" w:rsidRPr="00EC0229">
        <w:rPr>
          <w:rFonts w:cs="Times New Roman"/>
          <w:szCs w:val="24"/>
        </w:rPr>
        <w:t>, historical, archaeological</w:t>
      </w:r>
      <w:r w:rsidR="003F22F2" w:rsidRPr="00EC0229">
        <w:rPr>
          <w:rFonts w:cs="Times New Roman"/>
          <w:szCs w:val="24"/>
        </w:rPr>
        <w:fldChar w:fldCharType="begin"/>
      </w:r>
      <w:r w:rsidR="003F22F2" w:rsidRPr="00EC0229">
        <w:instrText xml:space="preserve"> XE "</w:instrText>
      </w:r>
      <w:r w:rsidR="003F22F2" w:rsidRPr="00EC0229">
        <w:rPr>
          <w:rFonts w:eastAsia="Times New Roman" w:cs="Times New Roman"/>
          <w:szCs w:val="24"/>
          <w:lang w:eastAsia="en-GB"/>
        </w:rPr>
        <w:instrText>archaeological</w:instrText>
      </w:r>
      <w:r w:rsidR="003F22F2" w:rsidRPr="00EC0229">
        <w:instrText xml:space="preserve">" </w:instrText>
      </w:r>
      <w:r w:rsidR="003F22F2" w:rsidRPr="00EC0229">
        <w:rPr>
          <w:rFonts w:cs="Times New Roman"/>
          <w:szCs w:val="24"/>
        </w:rPr>
        <w:fldChar w:fldCharType="end"/>
      </w:r>
      <w:r w:rsidR="003F22F2" w:rsidRPr="00EC0229">
        <w:rPr>
          <w:rFonts w:cs="Times New Roman"/>
          <w:szCs w:val="24"/>
        </w:rPr>
        <w:t>, economic, monetary historical, and numismatic models are summarized.  The focus of the first section is on markets and the principal contributors in this field, working from the general to the specific: Polanyi</w:t>
      </w:r>
      <w:r w:rsidR="003F22F2" w:rsidRPr="00EC0229">
        <w:rPr>
          <w:rFonts w:cs="Times New Roman"/>
          <w:szCs w:val="24"/>
        </w:rPr>
        <w:fldChar w:fldCharType="begin"/>
      </w:r>
      <w:r w:rsidR="003F22F2" w:rsidRPr="00EC0229">
        <w:instrText xml:space="preserve"> XE "</w:instrText>
      </w:r>
      <w:r w:rsidR="003F22F2" w:rsidRPr="00EC0229">
        <w:rPr>
          <w:rStyle w:val="Hyperlink"/>
          <w:noProof/>
          <w:u w:val="none"/>
        </w:rPr>
        <w:instrText>Polanyi</w:instrText>
      </w:r>
      <w:r w:rsidR="003F22F2" w:rsidRPr="00EC0229">
        <w:instrText xml:space="preserve">" </w:instrText>
      </w:r>
      <w:r w:rsidR="003F22F2" w:rsidRPr="00EC0229">
        <w:rPr>
          <w:rFonts w:cs="Times New Roman"/>
          <w:szCs w:val="24"/>
        </w:rPr>
        <w:fldChar w:fldCharType="end"/>
      </w:r>
      <w:r w:rsidR="003F22F2" w:rsidRPr="00EC0229">
        <w:rPr>
          <w:rFonts w:cs="Times New Roman"/>
          <w:szCs w:val="24"/>
        </w:rPr>
        <w:t>, Pirenne,</w:t>
      </w:r>
      <w:r w:rsidR="003F22F2" w:rsidRPr="00EC0229">
        <w:rPr>
          <w:rFonts w:cs="Times New Roman"/>
          <w:szCs w:val="24"/>
        </w:rPr>
        <w:fldChar w:fldCharType="begin"/>
      </w:r>
      <w:r w:rsidR="003F22F2" w:rsidRPr="00EC0229">
        <w:instrText xml:space="preserve"> XE "</w:instrText>
      </w:r>
      <w:r w:rsidR="003F22F2" w:rsidRPr="00EC0229">
        <w:rPr>
          <w:rStyle w:val="Hyperlink"/>
          <w:noProof/>
          <w:u w:val="none"/>
        </w:rPr>
        <w:instrText>Pirenne</w:instrText>
      </w:r>
      <w:r w:rsidR="003F22F2" w:rsidRPr="00EC0229">
        <w:instrText xml:space="preserve">" </w:instrText>
      </w:r>
      <w:r w:rsidR="003F22F2" w:rsidRPr="00EC0229">
        <w:rPr>
          <w:rFonts w:cs="Times New Roman"/>
          <w:szCs w:val="24"/>
        </w:rPr>
        <w:fldChar w:fldCharType="end"/>
      </w:r>
      <w:r w:rsidR="003F22F2" w:rsidRPr="00EC0229">
        <w:rPr>
          <w:rFonts w:cs="Times New Roman"/>
          <w:szCs w:val="24"/>
        </w:rPr>
        <w:t xml:space="preserve"> and Hodges</w:t>
      </w:r>
      <w:r w:rsidR="003F22F2" w:rsidRPr="00EC0229">
        <w:rPr>
          <w:rFonts w:cs="Times New Roman"/>
          <w:szCs w:val="24"/>
        </w:rPr>
        <w:fldChar w:fldCharType="begin"/>
      </w:r>
      <w:r w:rsidR="003F22F2" w:rsidRPr="00EC0229">
        <w:instrText xml:space="preserve"> XE "</w:instrText>
      </w:r>
      <w:r w:rsidR="003F22F2" w:rsidRPr="00EC0229">
        <w:rPr>
          <w:rStyle w:val="Hyperlink"/>
          <w:noProof/>
          <w:u w:val="none"/>
        </w:rPr>
        <w:instrText>Hodges</w:instrText>
      </w:r>
      <w:r w:rsidR="003F22F2" w:rsidRPr="00EC0229">
        <w:instrText xml:space="preserve">" </w:instrText>
      </w:r>
      <w:r w:rsidR="003F22F2" w:rsidRPr="00EC0229">
        <w:rPr>
          <w:rFonts w:cs="Times New Roman"/>
          <w:szCs w:val="24"/>
        </w:rPr>
        <w:fldChar w:fldCharType="end"/>
      </w:r>
      <w:r w:rsidR="003F22F2" w:rsidRPr="00EC0229">
        <w:rPr>
          <w:rFonts w:cs="Times New Roman"/>
          <w:szCs w:val="24"/>
        </w:rPr>
        <w:t xml:space="preserve">, and it ends with a discussion of Blair’s ‘minster hypothesis’. Polanyi’s economic anthropology explored the structure of exchange mechanisms and his specific concepts of ports-of-trade and the use of commodity money are relevant to any study of </w:t>
      </w:r>
      <w:r w:rsidR="003F2041" w:rsidRPr="00EC0229">
        <w:rPr>
          <w:rFonts w:cs="Times New Roman"/>
          <w:szCs w:val="24"/>
        </w:rPr>
        <w:t>monetiz</w:t>
      </w:r>
      <w:r w:rsidR="003F22F2" w:rsidRPr="00EC0229">
        <w:rPr>
          <w:rFonts w:cs="Times New Roman"/>
          <w:szCs w:val="24"/>
        </w:rPr>
        <w:t>ation. Pirenne’s thinking has focussed attention on how major developments in the Mediterranean, in the seventh to ninth centuries, have been causal in economic change. Hodges</w:t>
      </w:r>
      <w:r w:rsidR="00BD1447" w:rsidRPr="00EC0229">
        <w:rPr>
          <w:rFonts w:cs="Times New Roman"/>
          <w:szCs w:val="24"/>
        </w:rPr>
        <w:t>’</w:t>
      </w:r>
      <w:r w:rsidR="003F22F2" w:rsidRPr="00EC0229">
        <w:rPr>
          <w:rFonts w:cs="Times New Roman"/>
          <w:szCs w:val="24"/>
        </w:rPr>
        <w:t xml:space="preserve"> work has helped place archaeological finds in an economic framework, specifically as regards the evolution of markets. The aspect of Blair’s ‘minster hypothesis’ relevant to this study, concentrated on the economic significance of religious houses.</w:t>
      </w:r>
    </w:p>
    <w:p w14:paraId="44F754F5" w14:textId="51C98233" w:rsidR="003F22F2" w:rsidRPr="00EC0229" w:rsidRDefault="003F22F2" w:rsidP="003F22F2">
      <w:pPr>
        <w:spacing w:line="360" w:lineRule="auto"/>
        <w:rPr>
          <w:rFonts w:cs="Times New Roman"/>
          <w:szCs w:val="24"/>
        </w:rPr>
      </w:pPr>
      <w:r w:rsidRPr="00EC0229">
        <w:rPr>
          <w:rFonts w:cs="Times New Roman"/>
          <w:szCs w:val="24"/>
        </w:rPr>
        <w:t xml:space="preserve">The focus then shifts to </w:t>
      </w:r>
      <w:r w:rsidR="003F2041" w:rsidRPr="00EC0229">
        <w:rPr>
          <w:rFonts w:cs="Times New Roman"/>
          <w:szCs w:val="24"/>
        </w:rPr>
        <w:t>monetiz</w:t>
      </w:r>
      <w:r w:rsidRPr="00EC0229">
        <w:rPr>
          <w:rFonts w:cs="Times New Roman"/>
          <w:szCs w:val="24"/>
        </w:rPr>
        <w:t>ation itself and describes the work of Davies</w:t>
      </w:r>
      <w:r w:rsidRPr="00EC0229">
        <w:rPr>
          <w:rFonts w:cs="Times New Roman"/>
          <w:szCs w:val="24"/>
        </w:rPr>
        <w:fldChar w:fldCharType="begin"/>
      </w:r>
      <w:r w:rsidRPr="00EC0229">
        <w:instrText xml:space="preserve"> XE "</w:instrText>
      </w:r>
      <w:r w:rsidRPr="00EC0229">
        <w:rPr>
          <w:rStyle w:val="Hyperlink"/>
          <w:noProof/>
          <w:u w:val="none"/>
        </w:rPr>
        <w:instrText>Davies</w:instrText>
      </w:r>
      <w:r w:rsidRPr="00EC0229">
        <w:instrText xml:space="preserve">" </w:instrText>
      </w:r>
      <w:r w:rsidRPr="00EC0229">
        <w:rPr>
          <w:rFonts w:cs="Times New Roman"/>
          <w:szCs w:val="24"/>
        </w:rPr>
        <w:fldChar w:fldCharType="end"/>
      </w:r>
      <w:r w:rsidRPr="00EC0229">
        <w:rPr>
          <w:rFonts w:cs="Times New Roman"/>
          <w:szCs w:val="24"/>
        </w:rPr>
        <w:t xml:space="preserve"> and Einzig</w:t>
      </w:r>
      <w:r w:rsidRPr="00EC0229">
        <w:rPr>
          <w:rFonts w:cs="Times New Roman"/>
          <w:szCs w:val="24"/>
        </w:rPr>
        <w:fldChar w:fldCharType="begin"/>
      </w:r>
      <w:r w:rsidRPr="00EC0229">
        <w:instrText xml:space="preserve"> XE "</w:instrText>
      </w:r>
      <w:r w:rsidRPr="00EC0229">
        <w:rPr>
          <w:rStyle w:val="Hyperlink"/>
          <w:noProof/>
          <w:u w:val="none"/>
        </w:rPr>
        <w:instrText>Einzig</w:instrText>
      </w:r>
      <w:r w:rsidRPr="00EC0229">
        <w:instrText xml:space="preserve">" </w:instrText>
      </w:r>
      <w:r w:rsidRPr="00EC0229">
        <w:rPr>
          <w:rFonts w:cs="Times New Roman"/>
          <w:szCs w:val="24"/>
        </w:rPr>
        <w:fldChar w:fldCharType="end"/>
      </w:r>
      <w:r w:rsidRPr="00EC0229">
        <w:rPr>
          <w:rFonts w:cs="Times New Roman"/>
          <w:szCs w:val="24"/>
        </w:rPr>
        <w:t xml:space="preserve"> which provides a definitional framework. Useful methodologies have been developed by Metcalf</w:t>
      </w:r>
      <w:r w:rsidRPr="00EC0229">
        <w:rPr>
          <w:rFonts w:cs="Times New Roman"/>
          <w:szCs w:val="24"/>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rFonts w:cs="Times New Roman"/>
          <w:szCs w:val="24"/>
        </w:rPr>
        <w:fldChar w:fldCharType="end"/>
      </w:r>
      <w:r w:rsidRPr="00EC0229">
        <w:rPr>
          <w:rFonts w:cs="Times New Roman"/>
          <w:szCs w:val="24"/>
        </w:rPr>
        <w:t>. Indeed, it was he who championed recognition of the economic significance of early Anglo-Saxon</w:t>
      </w:r>
      <w:r w:rsidRPr="00EC0229">
        <w:rPr>
          <w:rFonts w:cs="Times New Roman"/>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szCs w:val="24"/>
        </w:rPr>
        <w:fldChar w:fldCharType="end"/>
      </w:r>
      <w:r w:rsidRPr="00EC0229">
        <w:rPr>
          <w:rFonts w:cs="Times New Roman"/>
          <w:szCs w:val="24"/>
        </w:rPr>
        <w:t xml:space="preserve"> coinage, having substantially advanced our understanding of the coinage and its use.</w:t>
      </w:r>
      <w:r w:rsidRPr="00EC0229">
        <w:rPr>
          <w:rStyle w:val="FootnoteReference"/>
          <w:rFonts w:cs="Times New Roman"/>
          <w:szCs w:val="24"/>
        </w:rPr>
        <w:footnoteReference w:id="20"/>
      </w:r>
    </w:p>
    <w:p w14:paraId="5F8305C8" w14:textId="1E06B3E2" w:rsidR="003F22F2" w:rsidRPr="00EC0229" w:rsidRDefault="003F22F2" w:rsidP="003F22F2">
      <w:pPr>
        <w:spacing w:line="360" w:lineRule="auto"/>
        <w:rPr>
          <w:rFonts w:cs="Times New Roman"/>
          <w:szCs w:val="24"/>
        </w:rPr>
      </w:pPr>
      <w:r w:rsidRPr="00EC0229">
        <w:rPr>
          <w:rFonts w:cs="Times New Roman"/>
          <w:szCs w:val="24"/>
        </w:rPr>
        <w:lastRenderedPageBreak/>
        <w:t xml:space="preserve">The second half of the chapter describes and assesses previous work on Northumbria, specifically its coinage. This covers the work of Blackburn, Booth, Metcalf, Naylor, Pirie and Williams on numismatics. </w:t>
      </w:r>
      <w:r w:rsidR="00BD1447" w:rsidRPr="00EC0229">
        <w:rPr>
          <w:rFonts w:cs="Times New Roman"/>
          <w:szCs w:val="24"/>
        </w:rPr>
        <w:t xml:space="preserve">Methodological approaches taken by previous researchers using numismatic and PAS data are then described. </w:t>
      </w:r>
      <w:r w:rsidRPr="00EC0229">
        <w:rPr>
          <w:rFonts w:cs="Times New Roman"/>
          <w:szCs w:val="24"/>
        </w:rPr>
        <w:t xml:space="preserve">The chapter concludes with a synthesis of the main propositions </w:t>
      </w:r>
      <w:r w:rsidR="00BD1447" w:rsidRPr="00EC0229">
        <w:rPr>
          <w:rFonts w:cs="Times New Roman"/>
          <w:szCs w:val="24"/>
        </w:rPr>
        <w:t>presented</w:t>
      </w:r>
      <w:r w:rsidRPr="00EC0229">
        <w:rPr>
          <w:rFonts w:cs="Times New Roman"/>
          <w:szCs w:val="24"/>
        </w:rPr>
        <w:t>.</w:t>
      </w:r>
    </w:p>
    <w:p w14:paraId="2E8B60C7" w14:textId="77777777" w:rsidR="00D311C4" w:rsidRDefault="00D311C4">
      <w:pPr>
        <w:spacing w:line="259" w:lineRule="auto"/>
        <w:jc w:val="left"/>
        <w:rPr>
          <w:rFonts w:eastAsiaTheme="majorEastAsia" w:cstheme="majorBidi"/>
          <w:b/>
          <w:szCs w:val="24"/>
        </w:rPr>
      </w:pPr>
      <w:bookmarkStart w:id="64" w:name="Anthropological"/>
      <w:bookmarkStart w:id="65" w:name="_Toc464823811"/>
      <w:bookmarkEnd w:id="63"/>
      <w:bookmarkEnd w:id="64"/>
      <w:r>
        <w:br w:type="page"/>
      </w:r>
    </w:p>
    <w:p w14:paraId="4081AE23" w14:textId="353D069C" w:rsidR="003F22F2" w:rsidRPr="006353B5" w:rsidRDefault="00225C7F" w:rsidP="00EC0229">
      <w:pPr>
        <w:pStyle w:val="Heading3"/>
        <w:rPr>
          <w:sz w:val="28"/>
          <w:szCs w:val="28"/>
        </w:rPr>
      </w:pPr>
      <w:bookmarkStart w:id="66" w:name="_Toc468266740"/>
      <w:r>
        <w:lastRenderedPageBreak/>
        <w:t>2</w:t>
      </w:r>
      <w:r w:rsidR="008367C7">
        <w:t>.1.1</w:t>
      </w:r>
      <w:r w:rsidR="00624DF5">
        <w:tab/>
      </w:r>
      <w:r w:rsidR="003F22F2" w:rsidRPr="006353B5">
        <w:t>The Anthropological Perspective: Karl Polanyi</w:t>
      </w:r>
      <w:r w:rsidR="003F22F2" w:rsidRPr="006353B5">
        <w:fldChar w:fldCharType="begin"/>
      </w:r>
      <w:r w:rsidR="003F22F2" w:rsidRPr="006353B5">
        <w:instrText xml:space="preserve"> XE "</w:instrText>
      </w:r>
      <w:r w:rsidR="003F22F2" w:rsidRPr="006353B5">
        <w:rPr>
          <w:rStyle w:val="Hyperlink"/>
          <w:color w:val="auto"/>
          <w:u w:val="none"/>
        </w:rPr>
        <w:instrText>Polanyi</w:instrText>
      </w:r>
      <w:r w:rsidR="003F22F2" w:rsidRPr="006353B5">
        <w:instrText xml:space="preserve">" </w:instrText>
      </w:r>
      <w:r w:rsidR="003F22F2" w:rsidRPr="006353B5">
        <w:fldChar w:fldCharType="end"/>
      </w:r>
      <w:r w:rsidR="003F22F2" w:rsidRPr="006353B5">
        <w:t xml:space="preserve"> (1886-1964)</w:t>
      </w:r>
      <w:r w:rsidR="003F22F2" w:rsidRPr="006353B5">
        <w:rPr>
          <w:rStyle w:val="FootnoteReference"/>
          <w:b w:val="0"/>
        </w:rPr>
        <w:footnoteReference w:id="21"/>
      </w:r>
      <w:bookmarkEnd w:id="65"/>
      <w:bookmarkEnd w:id="66"/>
    </w:p>
    <w:p w14:paraId="4A023E72" w14:textId="77777777" w:rsidR="003F22F2" w:rsidRPr="00EC0229" w:rsidRDefault="003F22F2" w:rsidP="003F22F2">
      <w:pPr>
        <w:pStyle w:val="NoSpacing"/>
        <w:spacing w:line="360" w:lineRule="auto"/>
        <w:jc w:val="right"/>
        <w:rPr>
          <w:sz w:val="20"/>
          <w:szCs w:val="20"/>
        </w:rPr>
      </w:pPr>
      <w:r w:rsidRPr="00EC0229">
        <w:rPr>
          <w:sz w:val="20"/>
          <w:szCs w:val="20"/>
        </w:rPr>
        <w:t>‘The path of anthropological</w:t>
      </w:r>
      <w:r w:rsidRPr="00EC0229">
        <w:rPr>
          <w:sz w:val="20"/>
          <w:szCs w:val="20"/>
        </w:rPr>
        <w:fldChar w:fldCharType="begin"/>
      </w:r>
      <w:r w:rsidRPr="00EC0229">
        <w:rPr>
          <w:sz w:val="20"/>
          <w:szCs w:val="20"/>
        </w:rPr>
        <w:instrText xml:space="preserve"> XE "</w:instrText>
      </w:r>
      <w:r w:rsidRPr="00EC0229">
        <w:rPr>
          <w:rFonts w:cs="Times New Roman"/>
          <w:sz w:val="20"/>
          <w:szCs w:val="20"/>
        </w:rPr>
        <w:instrText>anthropological</w:instrText>
      </w:r>
      <w:r w:rsidRPr="00EC0229">
        <w:rPr>
          <w:sz w:val="20"/>
          <w:szCs w:val="20"/>
        </w:rPr>
        <w:instrText xml:space="preserve">" </w:instrText>
      </w:r>
      <w:r w:rsidRPr="00EC0229">
        <w:rPr>
          <w:sz w:val="20"/>
          <w:szCs w:val="20"/>
        </w:rPr>
        <w:fldChar w:fldCharType="end"/>
      </w:r>
      <w:r w:rsidRPr="00EC0229">
        <w:rPr>
          <w:sz w:val="20"/>
          <w:szCs w:val="20"/>
        </w:rPr>
        <w:t xml:space="preserve"> progress is now strewn with terminological corpses, </w:t>
      </w:r>
    </w:p>
    <w:p w14:paraId="53226B10" w14:textId="77777777" w:rsidR="003F22F2" w:rsidRPr="00EC0229" w:rsidRDefault="003F22F2" w:rsidP="003F22F2">
      <w:pPr>
        <w:pStyle w:val="NoSpacing"/>
        <w:spacing w:line="360" w:lineRule="auto"/>
        <w:jc w:val="right"/>
        <w:rPr>
          <w:sz w:val="20"/>
          <w:szCs w:val="20"/>
        </w:rPr>
      </w:pPr>
      <w:r w:rsidRPr="00EC0229">
        <w:rPr>
          <w:sz w:val="20"/>
          <w:szCs w:val="20"/>
        </w:rPr>
        <w:t>the ghosts of most of which are better avoided.’</w:t>
      </w:r>
    </w:p>
    <w:p w14:paraId="6A7221DF" w14:textId="77777777" w:rsidR="003F22F2" w:rsidRPr="00EC0229" w:rsidRDefault="003F22F2" w:rsidP="003F22F2">
      <w:pPr>
        <w:pStyle w:val="NoSpacing"/>
        <w:spacing w:line="360" w:lineRule="auto"/>
        <w:jc w:val="right"/>
        <w:rPr>
          <w:rFonts w:cs="Times New Roman"/>
          <w:sz w:val="20"/>
          <w:szCs w:val="20"/>
        </w:rPr>
      </w:pPr>
      <w:r w:rsidRPr="00EC0229">
        <w:rPr>
          <w:rFonts w:cs="Times New Roman"/>
          <w:sz w:val="20"/>
          <w:szCs w:val="20"/>
        </w:rPr>
        <w:t>Marshall Sahlins (1972, 92).</w:t>
      </w:r>
    </w:p>
    <w:p w14:paraId="378A58C8" w14:textId="77777777" w:rsidR="003F22F2" w:rsidRPr="00EC0229" w:rsidRDefault="003F22F2" w:rsidP="003F22F2">
      <w:pPr>
        <w:spacing w:line="360" w:lineRule="auto"/>
        <w:rPr>
          <w:rFonts w:cs="Times New Roman"/>
          <w:szCs w:val="24"/>
        </w:rPr>
      </w:pPr>
      <w:r w:rsidRPr="00EC0229">
        <w:rPr>
          <w:rFonts w:cs="Times New Roman"/>
          <w:szCs w:val="24"/>
        </w:rPr>
        <w:t>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Fonts w:cs="Times New Roman"/>
          <w:szCs w:val="24"/>
        </w:rPr>
        <w:t xml:space="preserve"> developed two meanings of the term ‘economic’ separating the mechanisms for allocating scarce resources from how humans make their living from natural resources to best satisfy physiological and psychological needs.</w:t>
      </w:r>
      <w:r w:rsidRPr="00EC0229">
        <w:rPr>
          <w:rStyle w:val="FootnoteReference"/>
          <w:rFonts w:cs="Times New Roman"/>
          <w:szCs w:val="24"/>
        </w:rPr>
        <w:footnoteReference w:id="22"/>
      </w:r>
      <w:r w:rsidRPr="00EC0229">
        <w:rPr>
          <w:rFonts w:cs="Times New Roman"/>
          <w:szCs w:val="24"/>
        </w:rPr>
        <w:t xml:space="preserve"> The neo-classical approach to economics assumes perfect knowledge, mobility, rationality, self-interest and the maximisation of ‘utility’. These concepts facilitate analysis but are open to challenge as, at best, normative rather than positive,</w:t>
      </w:r>
      <w:r w:rsidRPr="00EC0229">
        <w:rPr>
          <w:rStyle w:val="FootnoteReference"/>
          <w:rFonts w:cs="Times New Roman"/>
          <w:szCs w:val="24"/>
        </w:rPr>
        <w:footnoteReference w:id="23"/>
      </w:r>
      <w:r w:rsidRPr="00EC0229">
        <w:rPr>
          <w:rFonts w:cs="Times New Roman"/>
          <w:szCs w:val="24"/>
        </w:rPr>
        <w:t xml:space="preserve"> and at worst, necessarily extreme. Anthropologists and archaeologists refer to this as formalism</w:t>
      </w:r>
      <w:r w:rsidRPr="00EC0229">
        <w:rPr>
          <w:rFonts w:cs="Times New Roman"/>
          <w:szCs w:val="24"/>
        </w:rPr>
        <w:fldChar w:fldCharType="begin"/>
      </w:r>
      <w:r w:rsidRPr="00EC0229">
        <w:instrText xml:space="preserve"> XE "</w:instrText>
      </w:r>
      <w:r w:rsidRPr="00EC0229">
        <w:rPr>
          <w:rFonts w:cs="Times New Roman"/>
          <w:szCs w:val="24"/>
        </w:rPr>
        <w:instrText>formalism</w:instrText>
      </w:r>
      <w:r w:rsidRPr="00EC0229">
        <w:instrText xml:space="preserve">"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24"/>
      </w:r>
    </w:p>
    <w:p w14:paraId="517CB24B" w14:textId="77777777" w:rsidR="003F22F2" w:rsidRPr="00EC0229" w:rsidRDefault="003F22F2" w:rsidP="003F22F2">
      <w:pPr>
        <w:spacing w:line="360" w:lineRule="auto"/>
        <w:rPr>
          <w:rFonts w:cs="Times New Roman"/>
          <w:szCs w:val="24"/>
        </w:rPr>
      </w:pPr>
      <w:r w:rsidRPr="00EC0229">
        <w:rPr>
          <w:rFonts w:cs="Times New Roman"/>
          <w:szCs w:val="24"/>
        </w:rPr>
        <w:t>An alternative, substantivism</w:t>
      </w:r>
      <w:r w:rsidRPr="00EC0229">
        <w:rPr>
          <w:rFonts w:cs="Times New Roman"/>
          <w:szCs w:val="24"/>
        </w:rPr>
        <w:fldChar w:fldCharType="begin"/>
      </w:r>
      <w:r w:rsidRPr="00EC0229">
        <w:instrText xml:space="preserve"> XE "</w:instrText>
      </w:r>
      <w:r w:rsidRPr="00EC0229">
        <w:rPr>
          <w:rFonts w:cs="Times New Roman"/>
          <w:szCs w:val="24"/>
        </w:rPr>
        <w:instrText>substantivism</w:instrText>
      </w:r>
      <w:r w:rsidRPr="00EC0229">
        <w:instrText xml:space="preserve">" </w:instrText>
      </w:r>
      <w:r w:rsidRPr="00EC0229">
        <w:rPr>
          <w:rFonts w:cs="Times New Roman"/>
          <w:szCs w:val="24"/>
        </w:rPr>
        <w:fldChar w:fldCharType="end"/>
      </w:r>
      <w:r w:rsidRPr="00EC0229">
        <w:rPr>
          <w:rFonts w:cs="Times New Roman"/>
          <w:szCs w:val="24"/>
        </w:rPr>
        <w:t>, though complementary in certain circumstances, was proposed by 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25"/>
      </w:r>
      <w:r w:rsidRPr="00EC0229">
        <w:rPr>
          <w:rFonts w:cs="Times New Roman"/>
          <w:szCs w:val="24"/>
        </w:rPr>
        <w:t xml:space="preserve"> This does not rely on rationality and scarcity but relates to human interaction in social and natural environments. His are general propositions, not universal; they accommodate the wide spectrum, divergences and inefficiencies, of human preferences and constraints, and the vagaries of nature. Polanyi’s substantivism viewed economics as indivisible from ‘culture’. He defined ‘disembedded’</w:t>
      </w:r>
      <w:r w:rsidRPr="00EC0229">
        <w:rPr>
          <w:rFonts w:cs="Times New Roman"/>
          <w:szCs w:val="24"/>
        </w:rPr>
        <w:fldChar w:fldCharType="begin"/>
      </w:r>
      <w:r w:rsidRPr="00EC0229">
        <w:instrText xml:space="preserve"> XE "</w:instrText>
      </w:r>
      <w:r w:rsidRPr="00EC0229">
        <w:rPr>
          <w:rFonts w:cs="Times New Roman"/>
          <w:szCs w:val="24"/>
        </w:rPr>
        <w:instrText>disembedded</w:instrText>
      </w:r>
      <w:r w:rsidRPr="00EC0229">
        <w:instrText xml:space="preserve">" </w:instrText>
      </w:r>
      <w:r w:rsidRPr="00EC0229">
        <w:rPr>
          <w:rFonts w:cs="Times New Roman"/>
          <w:szCs w:val="24"/>
        </w:rPr>
        <w:fldChar w:fldCharType="end"/>
      </w:r>
      <w:r w:rsidRPr="00EC0229">
        <w:rPr>
          <w:rFonts w:cs="Times New Roman"/>
          <w:szCs w:val="24"/>
        </w:rPr>
        <w:t xml:space="preserve"> markets where economic activity had become detached from the social context.</w:t>
      </w:r>
      <w:r w:rsidRPr="00EC0229">
        <w:rPr>
          <w:rStyle w:val="FootnoteReference"/>
          <w:rFonts w:cs="Times New Roman"/>
          <w:szCs w:val="24"/>
        </w:rPr>
        <w:footnoteReference w:id="26"/>
      </w:r>
      <w:r w:rsidRPr="00EC0229">
        <w:rPr>
          <w:rFonts w:cs="Times New Roman"/>
          <w:szCs w:val="24"/>
        </w:rPr>
        <w:t xml:space="preserve"> He foresaw the dystopia this can create, when economic or political decisions are implemented irrespective of social consequences.</w:t>
      </w:r>
      <w:r w:rsidRPr="00EC0229">
        <w:rPr>
          <w:rStyle w:val="FootnoteReference"/>
          <w:rFonts w:cs="Times New Roman"/>
          <w:szCs w:val="24"/>
        </w:rPr>
        <w:footnoteReference w:id="27"/>
      </w:r>
    </w:p>
    <w:p w14:paraId="37D0C595" w14:textId="77777777" w:rsidR="003F22F2" w:rsidRPr="00EC0229" w:rsidRDefault="003F22F2" w:rsidP="003F22F2">
      <w:pPr>
        <w:spacing w:line="360" w:lineRule="auto"/>
        <w:rPr>
          <w:rFonts w:cs="Times New Roman"/>
          <w:szCs w:val="24"/>
        </w:rPr>
      </w:pPr>
      <w:r w:rsidRPr="00EC0229">
        <w:rPr>
          <w:rFonts w:cs="Times New Roman"/>
          <w:szCs w:val="24"/>
        </w:rPr>
        <w:t>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Fonts w:cs="Times New Roman"/>
          <w:szCs w:val="24"/>
        </w:rPr>
        <w:t xml:space="preserve"> described three mechanisms which combine to enable economic activity in society through its institutions (i.e. conventions) – multiple individual exchanges constituting a market, symmetrical reciprocal behaviour in a community and redistribution from a centrally administered accumulation.</w:t>
      </w:r>
      <w:r w:rsidRPr="00EC0229">
        <w:rPr>
          <w:rStyle w:val="FootnoteReference"/>
          <w:rFonts w:cs="Times New Roman"/>
          <w:szCs w:val="24"/>
        </w:rPr>
        <w:footnoteReference w:id="28"/>
      </w:r>
      <w:r w:rsidRPr="00EC0229">
        <w:rPr>
          <w:rFonts w:cs="Times New Roman"/>
          <w:szCs w:val="24"/>
        </w:rPr>
        <w:t xml:space="preserve"> There are evolutionary, transformative, aspects to each of these mechanisms such that they are dynamic not static. Polanyi allowed for philanthropy and altruism on the one hand, and conflict and competition on the other. The formalists, in asserting the ubiquity of the quest for gain, condemn this as romantic, relativist ideology.</w:t>
      </w:r>
      <w:r w:rsidRPr="00EC0229">
        <w:rPr>
          <w:rStyle w:val="FootnoteReference"/>
          <w:rFonts w:cs="Times New Roman"/>
          <w:szCs w:val="24"/>
        </w:rPr>
        <w:footnoteReference w:id="29"/>
      </w:r>
      <w:r w:rsidRPr="00EC0229">
        <w:rPr>
          <w:rFonts w:cs="Times New Roman"/>
          <w:szCs w:val="24"/>
        </w:rPr>
        <w:t xml:space="preserve"> </w:t>
      </w:r>
    </w:p>
    <w:p w14:paraId="5F38B2E7" w14:textId="77777777" w:rsidR="003F22F2" w:rsidRPr="00EC0229" w:rsidRDefault="003F22F2" w:rsidP="003F22F2">
      <w:pPr>
        <w:pStyle w:val="NoSpacing"/>
        <w:spacing w:line="360" w:lineRule="auto"/>
        <w:rPr>
          <w:rFonts w:cs="Times New Roman"/>
          <w:szCs w:val="24"/>
        </w:rPr>
      </w:pPr>
      <w:bookmarkStart w:id="67" w:name="Skre"/>
      <w:r w:rsidRPr="00EC0229">
        <w:rPr>
          <w:rFonts w:cs="Times New Roman"/>
          <w:szCs w:val="24"/>
        </w:rPr>
        <w:lastRenderedPageBreak/>
        <w:t>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Fonts w:cs="Times New Roman"/>
          <w:szCs w:val="24"/>
        </w:rPr>
        <w:t xml:space="preserve"> is generally considered to have had a significant impact on the development of economic anthropology, and conceptual aspects of it are relevant to the present study, despite the different context in which it was conceived. However, the vital step from the individual to the social is not obvious in Polanyi. In terms of atomistic behaviour, he believed in personal accountability in a social framework; he thought that religion diminished man’s sense of responsibility but, on the other hand, it was an essential social construct.</w:t>
      </w:r>
      <w:r w:rsidRPr="00EC0229">
        <w:rPr>
          <w:rStyle w:val="FootnoteReference"/>
          <w:rFonts w:cs="Times New Roman"/>
          <w:szCs w:val="24"/>
        </w:rPr>
        <w:footnoteReference w:id="30"/>
      </w:r>
      <w:r w:rsidRPr="00EC0229">
        <w:rPr>
          <w:rFonts w:cs="Times New Roman"/>
          <w:szCs w:val="24"/>
        </w:rPr>
        <w:t xml:space="preserve"> However, discrimination between embedded economies of pre-industrial societies and dis-embedded industrial economies cannot be sustained.</w:t>
      </w:r>
      <w:r w:rsidRPr="00EC0229">
        <w:rPr>
          <w:rStyle w:val="FootnoteReference"/>
          <w:rFonts w:cs="Times New Roman"/>
          <w:szCs w:val="24"/>
        </w:rPr>
        <w:footnoteReference w:id="31"/>
      </w:r>
      <w:r w:rsidRPr="00EC0229">
        <w:rPr>
          <w:rFonts w:cs="Times New Roman"/>
          <w:szCs w:val="24"/>
        </w:rPr>
        <w:t xml:space="preserve"> </w:t>
      </w:r>
    </w:p>
    <w:p w14:paraId="1D343697" w14:textId="77777777" w:rsidR="003F22F2" w:rsidRPr="00EC0229" w:rsidRDefault="003F22F2" w:rsidP="003F22F2">
      <w:pPr>
        <w:pStyle w:val="NoSpacing"/>
        <w:spacing w:line="360" w:lineRule="auto"/>
      </w:pPr>
    </w:p>
    <w:p w14:paraId="771EFD31" w14:textId="3174962F" w:rsidR="003F22F2" w:rsidRPr="00EC0229" w:rsidRDefault="003F22F2" w:rsidP="003F22F2">
      <w:pPr>
        <w:pStyle w:val="NoSpacing"/>
        <w:spacing w:line="360" w:lineRule="auto"/>
        <w:rPr>
          <w:rFonts w:cs="Times New Roman"/>
          <w:szCs w:val="24"/>
        </w:rPr>
      </w:pPr>
      <w:r w:rsidRPr="00EC0229">
        <w:t xml:space="preserve">In comparing </w:t>
      </w:r>
      <w:r w:rsidRPr="00EC0229">
        <w:rPr>
          <w:i/>
        </w:rPr>
        <w:t>Same</w:t>
      </w:r>
      <w:r w:rsidRPr="00EC0229">
        <w:rPr>
          <w:rStyle w:val="FootnoteReference"/>
        </w:rPr>
        <w:footnoteReference w:id="32"/>
      </w:r>
      <w:r w:rsidRPr="00EC0229">
        <w:t xml:space="preserve"> with </w:t>
      </w:r>
      <w:r w:rsidRPr="00EC0229">
        <w:rPr>
          <w:i/>
        </w:rPr>
        <w:t>Other</w:t>
      </w:r>
      <w:r w:rsidRPr="00EC0229">
        <w:t>,</w:t>
      </w:r>
      <w:r w:rsidRPr="00EC0229">
        <w:rPr>
          <w:rStyle w:val="FootnoteReference"/>
        </w:rPr>
        <w:footnoteReference w:id="33"/>
      </w:r>
      <w:r w:rsidRPr="00EC0229">
        <w:t xml:space="preserve"> Moreland</w:t>
      </w:r>
      <w:r w:rsidRPr="00EC0229">
        <w:rPr>
          <w:rStyle w:val="FootnoteReference"/>
        </w:rPr>
        <w:footnoteReference w:id="34"/>
      </w:r>
      <w:r w:rsidRPr="00EC0229">
        <w:t xml:space="preserve">concludes there is no binary separation between gift and commodity economies. </w:t>
      </w:r>
      <w:r w:rsidRPr="00EC0229">
        <w:rPr>
          <w:rFonts w:cs="Times New Roman"/>
          <w:szCs w:val="24"/>
        </w:rPr>
        <w:t>Skre</w:t>
      </w:r>
      <w:bookmarkEnd w:id="67"/>
      <w:r w:rsidRPr="00EC0229">
        <w:rPr>
          <w:rFonts w:cs="Times New Roman"/>
          <w:szCs w:val="24"/>
        </w:rPr>
        <w:fldChar w:fldCharType="begin"/>
      </w:r>
      <w:r w:rsidRPr="00EC0229">
        <w:instrText xml:space="preserve"> XE "Skre" </w:instrText>
      </w:r>
      <w:r w:rsidRPr="00EC0229">
        <w:rPr>
          <w:rFonts w:cs="Times New Roman"/>
          <w:szCs w:val="24"/>
        </w:rPr>
        <w:fldChar w:fldCharType="end"/>
      </w:r>
      <w:r w:rsidRPr="00EC0229">
        <w:rPr>
          <w:rFonts w:cs="Times New Roman"/>
          <w:szCs w:val="24"/>
        </w:rPr>
        <w:t xml:space="preserve"> was succinct on these issues: ‘…in every society, prehistoric as well as medieval and modern, the pure market (where every transaction is dictated </w:t>
      </w:r>
      <w:r w:rsidRPr="00EC0229">
        <w:rPr>
          <w:rFonts w:cs="Times New Roman"/>
          <w:i/>
          <w:szCs w:val="24"/>
        </w:rPr>
        <w:t>only</w:t>
      </w:r>
      <w:r w:rsidRPr="00EC0229">
        <w:rPr>
          <w:rFonts w:cs="Times New Roman"/>
          <w:szCs w:val="24"/>
        </w:rPr>
        <w:t xml:space="preserve"> by an economic rationality) never existed and does not even do so today, any more than gift exchange</w:t>
      </w:r>
      <w:r w:rsidRPr="00EC0229">
        <w:rPr>
          <w:rFonts w:cs="Times New Roman"/>
          <w:szCs w:val="24"/>
        </w:rPr>
        <w:fldChar w:fldCharType="begin"/>
      </w:r>
      <w:r w:rsidRPr="00EC0229">
        <w:instrText xml:space="preserve"> XE "gift exchange" </w:instrText>
      </w:r>
      <w:r w:rsidRPr="00EC0229">
        <w:rPr>
          <w:rFonts w:cs="Times New Roman"/>
          <w:szCs w:val="24"/>
        </w:rPr>
        <w:fldChar w:fldCharType="end"/>
      </w:r>
      <w:r w:rsidRPr="00EC0229">
        <w:rPr>
          <w:rFonts w:cs="Times New Roman"/>
          <w:szCs w:val="24"/>
        </w:rPr>
        <w:t xml:space="preserve"> free of economic consideration.’</w:t>
      </w:r>
      <w:r w:rsidRPr="00EC0229">
        <w:rPr>
          <w:rStyle w:val="FootnoteReference"/>
          <w:rFonts w:cs="Times New Roman"/>
          <w:szCs w:val="24"/>
        </w:rPr>
        <w:footnoteReference w:id="35"/>
      </w:r>
      <w:r w:rsidRPr="00EC0229">
        <w:rPr>
          <w:rFonts w:cs="Times New Roman"/>
          <w:szCs w:val="24"/>
        </w:rPr>
        <w:t xml:space="preserve"> He commended avoidance of simplistic descriptions and use of terms ‘that reveal variations and </w:t>
      </w:r>
      <w:r w:rsidR="004504D2">
        <w:rPr>
          <w:rFonts w:cs="Times New Roman"/>
          <w:szCs w:val="24"/>
        </w:rPr>
        <w:t>characterize</w:t>
      </w:r>
      <w:r w:rsidRPr="00EC0229">
        <w:rPr>
          <w:rFonts w:cs="Times New Roman"/>
          <w:szCs w:val="24"/>
        </w:rPr>
        <w:t xml:space="preserve"> complexity in past economies, as well as the manner in which they are interwoven with the rest of society.’</w:t>
      </w:r>
      <w:r w:rsidRPr="00EC0229">
        <w:rPr>
          <w:rStyle w:val="FootnoteReference"/>
          <w:rFonts w:cs="Times New Roman"/>
          <w:szCs w:val="24"/>
        </w:rPr>
        <w:footnoteReference w:id="36"/>
      </w:r>
      <w:r w:rsidRPr="00EC0229">
        <w:rPr>
          <w:rFonts w:cs="Times New Roman"/>
          <w:szCs w:val="24"/>
        </w:rPr>
        <w:t xml:space="preserve"> Naismith argued that the choice between substantivist and formalist is not binary either between or within societies.</w:t>
      </w:r>
      <w:r w:rsidRPr="00EC0229">
        <w:rPr>
          <w:rStyle w:val="FootnoteReference"/>
          <w:rFonts w:cs="Times New Roman"/>
          <w:szCs w:val="24"/>
        </w:rPr>
        <w:footnoteReference w:id="37"/>
      </w:r>
      <w:r w:rsidRPr="00EC0229">
        <w:rPr>
          <w:rFonts w:cs="Times New Roman"/>
          <w:szCs w:val="24"/>
        </w:rPr>
        <w:t xml:space="preserve"> </w:t>
      </w:r>
    </w:p>
    <w:p w14:paraId="7AE445CC" w14:textId="77777777" w:rsidR="003F22F2" w:rsidRPr="00EC0229" w:rsidRDefault="003F22F2" w:rsidP="003F22F2">
      <w:pPr>
        <w:pStyle w:val="NoSpacing"/>
      </w:pPr>
    </w:p>
    <w:p w14:paraId="22568CD6" w14:textId="77777777" w:rsidR="003F22F2" w:rsidRPr="00EC0229" w:rsidRDefault="003F22F2" w:rsidP="003F22F2">
      <w:pPr>
        <w:pStyle w:val="NoSpacing"/>
        <w:spacing w:line="360" w:lineRule="auto"/>
        <w:rPr>
          <w:rFonts w:cs="Times New Roman"/>
          <w:szCs w:val="24"/>
        </w:rPr>
      </w:pPr>
      <w:r w:rsidRPr="00EC0229">
        <w:rPr>
          <w:rFonts w:cs="Times New Roman"/>
          <w:szCs w:val="24"/>
        </w:rPr>
        <w:t>These approaches may be synthesized to reconcile substantivism</w:t>
      </w:r>
      <w:r w:rsidRPr="00EC0229">
        <w:rPr>
          <w:rFonts w:cs="Times New Roman"/>
          <w:szCs w:val="24"/>
        </w:rPr>
        <w:fldChar w:fldCharType="begin"/>
      </w:r>
      <w:r w:rsidRPr="00EC0229">
        <w:instrText xml:space="preserve"> XE "</w:instrText>
      </w:r>
      <w:r w:rsidRPr="00EC0229">
        <w:rPr>
          <w:rFonts w:cs="Times New Roman"/>
          <w:szCs w:val="24"/>
        </w:rPr>
        <w:instrText>substantivism</w:instrText>
      </w:r>
      <w:r w:rsidRPr="00EC0229">
        <w:instrText xml:space="preserve">" </w:instrText>
      </w:r>
      <w:r w:rsidRPr="00EC0229">
        <w:rPr>
          <w:rFonts w:cs="Times New Roman"/>
          <w:szCs w:val="24"/>
        </w:rPr>
        <w:fldChar w:fldCharType="end"/>
      </w:r>
      <w:r w:rsidRPr="00EC0229">
        <w:rPr>
          <w:rFonts w:cs="Times New Roman"/>
          <w:szCs w:val="24"/>
        </w:rPr>
        <w:t xml:space="preserve"> in societies at an early stage of economic development, possibly making use of commodity money</w:t>
      </w:r>
      <w:r w:rsidRPr="00EC0229">
        <w:rPr>
          <w:rFonts w:cs="Times New Roman"/>
          <w:szCs w:val="24"/>
        </w:rPr>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rPr>
          <w:rFonts w:cs="Times New Roman"/>
          <w:szCs w:val="24"/>
        </w:rPr>
        <w:fldChar w:fldCharType="end"/>
      </w:r>
      <w:r w:rsidRPr="00EC0229">
        <w:rPr>
          <w:rFonts w:cs="Times New Roman"/>
          <w:szCs w:val="24"/>
        </w:rPr>
        <w:t>, with a more formalist approach for societies generating surplus</w:t>
      </w:r>
      <w:r w:rsidRPr="00EC0229">
        <w:rPr>
          <w:rFonts w:cs="Times New Roman"/>
          <w:szCs w:val="24"/>
        </w:rPr>
        <w:fldChar w:fldCharType="begin"/>
      </w:r>
      <w:r w:rsidRPr="00EC0229">
        <w:instrText xml:space="preserve"> XE "surplus" </w:instrText>
      </w:r>
      <w:r w:rsidRPr="00EC0229">
        <w:rPr>
          <w:rFonts w:cs="Times New Roman"/>
          <w:szCs w:val="24"/>
        </w:rPr>
        <w:fldChar w:fldCharType="end"/>
      </w:r>
      <w:r w:rsidRPr="00EC0229">
        <w:rPr>
          <w:rFonts w:cs="Times New Roman"/>
          <w:szCs w:val="24"/>
        </w:rPr>
        <w:t xml:space="preserve"> resources to support specialisation</w:t>
      </w:r>
      <w:r w:rsidRPr="00EC0229">
        <w:rPr>
          <w:rFonts w:cs="Times New Roman"/>
          <w:szCs w:val="24"/>
        </w:rPr>
        <w:fldChar w:fldCharType="begin"/>
      </w:r>
      <w:r w:rsidRPr="00EC0229">
        <w:instrText xml:space="preserve"> XE "</w:instrText>
      </w:r>
      <w:r w:rsidRPr="00EC0229">
        <w:rPr>
          <w:rFonts w:cs="Times New Roman"/>
          <w:szCs w:val="24"/>
        </w:rPr>
        <w:instrText>specialisation</w:instrText>
      </w:r>
      <w:r w:rsidRPr="00EC0229">
        <w:instrText xml:space="preserve">" </w:instrText>
      </w:r>
      <w:r w:rsidRPr="00EC0229">
        <w:rPr>
          <w:rFonts w:cs="Times New Roman"/>
          <w:szCs w:val="24"/>
        </w:rPr>
        <w:fldChar w:fldCharType="end"/>
      </w:r>
      <w:r w:rsidRPr="00EC0229">
        <w:rPr>
          <w:rFonts w:cs="Times New Roman"/>
          <w:szCs w:val="24"/>
        </w:rPr>
        <w:t xml:space="preserve"> in circumstances where complex transactions require a medium of exchange</w:t>
      </w:r>
      <w:r w:rsidRPr="00EC0229">
        <w:rPr>
          <w:rFonts w:cs="Times New Roman"/>
          <w:szCs w:val="24"/>
        </w:rPr>
        <w:fldChar w:fldCharType="begin"/>
      </w:r>
      <w:r w:rsidRPr="00EC0229">
        <w:instrText xml:space="preserve"> XE "</w:instrText>
      </w:r>
      <w:r w:rsidRPr="00EC0229">
        <w:rPr>
          <w:rFonts w:cs="Times New Roman"/>
          <w:szCs w:val="24"/>
        </w:rPr>
        <w:instrText>medium of exchange</w:instrText>
      </w:r>
      <w:r w:rsidRPr="00EC0229">
        <w:instrText xml:space="preserve">" </w:instrText>
      </w:r>
      <w:r w:rsidRPr="00EC0229">
        <w:rPr>
          <w:rFonts w:cs="Times New Roman"/>
          <w:szCs w:val="24"/>
        </w:rPr>
        <w:fldChar w:fldCharType="end"/>
      </w:r>
      <w:r w:rsidRPr="00EC0229">
        <w:rPr>
          <w:rFonts w:cs="Times New Roman"/>
          <w:szCs w:val="24"/>
        </w:rPr>
        <w:t>, unit of account and store of value.</w:t>
      </w:r>
    </w:p>
    <w:p w14:paraId="6D65AC9B" w14:textId="77777777" w:rsidR="003F22F2" w:rsidRPr="00EC0229" w:rsidRDefault="003F22F2" w:rsidP="003F22F2">
      <w:pPr>
        <w:pStyle w:val="NoSpacing"/>
      </w:pPr>
    </w:p>
    <w:p w14:paraId="709B9F5B" w14:textId="69153F0E" w:rsidR="003F22F2" w:rsidRPr="00EC0229" w:rsidRDefault="003F22F2" w:rsidP="003F22F2">
      <w:pPr>
        <w:spacing w:line="360" w:lineRule="auto"/>
        <w:rPr>
          <w:rFonts w:cs="Times New Roman"/>
          <w:szCs w:val="24"/>
        </w:rPr>
      </w:pPr>
      <w:r w:rsidRPr="00EC0229">
        <w:rPr>
          <w:rFonts w:cs="Times New Roman"/>
          <w:szCs w:val="24"/>
        </w:rPr>
        <w:t>Even when succinctly restated by Stiglitz</w:t>
      </w:r>
      <w:r w:rsidRPr="00EC0229">
        <w:rPr>
          <w:rStyle w:val="FootnoteReference"/>
          <w:rFonts w:cs="Times New Roman"/>
          <w:szCs w:val="24"/>
        </w:rPr>
        <w:footnoteReference w:id="38"/>
      </w:r>
      <w:r w:rsidRPr="00EC0229">
        <w:rPr>
          <w:rFonts w:cs="Times New Roman"/>
          <w:szCs w:val="24"/>
        </w:rPr>
        <w:t xml:space="preserve"> and Dale</w:t>
      </w:r>
      <w:r w:rsidRPr="00EC0229">
        <w:rPr>
          <w:rStyle w:val="FootnoteReference"/>
          <w:rFonts w:cs="Times New Roman"/>
          <w:szCs w:val="24"/>
        </w:rPr>
        <w:footnoteReference w:id="39"/>
      </w:r>
      <w:r w:rsidRPr="00EC0229">
        <w:rPr>
          <w:rFonts w:cs="Times New Roman"/>
          <w:szCs w:val="24"/>
        </w:rPr>
        <w:t xml:space="preserve"> in twenty-first century terms, what relevance has any part of Polanyian analysis to Anglian</w:t>
      </w:r>
      <w:r w:rsidRPr="00EC0229">
        <w:rPr>
          <w:rFonts w:cs="Times New Roman"/>
          <w:szCs w:val="24"/>
        </w:rPr>
        <w:fldChar w:fldCharType="begin"/>
      </w:r>
      <w:r w:rsidRPr="00EC0229">
        <w:instrText xml:space="preserve"> XE "Anglian" </w:instrText>
      </w:r>
      <w:r w:rsidRPr="00EC0229">
        <w:rPr>
          <w:rFonts w:cs="Times New Roman"/>
          <w:szCs w:val="24"/>
        </w:rPr>
        <w:fldChar w:fldCharType="end"/>
      </w:r>
      <w:r w:rsidRPr="00EC0229">
        <w:rPr>
          <w:rFonts w:cs="Times New Roman"/>
          <w:szCs w:val="24"/>
        </w:rPr>
        <w:t xml:space="preserve"> Northumbria</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szCs w:val="24"/>
        </w:rPr>
        <w:fldChar w:fldCharType="end"/>
      </w:r>
      <w:r w:rsidRPr="00EC0229">
        <w:rPr>
          <w:rFonts w:cs="Times New Roman"/>
          <w:szCs w:val="24"/>
        </w:rPr>
        <w:t xml:space="preserve"> dominated by church</w:t>
      </w:r>
      <w:r w:rsidRPr="00EC0229">
        <w:rPr>
          <w:rFonts w:cs="Times New Roman"/>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rFonts w:cs="Times New Roman"/>
          <w:szCs w:val="24"/>
        </w:rPr>
        <w:fldChar w:fldCharType="end"/>
      </w:r>
      <w:r w:rsidRPr="00EC0229">
        <w:rPr>
          <w:rFonts w:cs="Times New Roman"/>
          <w:szCs w:val="24"/>
        </w:rPr>
        <w:t xml:space="preserve"> and kingship? Two concepts borrowed from 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Fonts w:cs="Times New Roman"/>
          <w:szCs w:val="24"/>
        </w:rPr>
        <w:t xml:space="preserve"> are perhaps relevant here</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szCs w:val="24"/>
        </w:rPr>
        <w:fldChar w:fldCharType="end"/>
      </w:r>
      <w:r w:rsidRPr="00EC0229">
        <w:rPr>
          <w:rFonts w:cs="Times New Roman"/>
          <w:szCs w:val="24"/>
        </w:rPr>
        <w:t xml:space="preserve">. First, the ‘ports of </w:t>
      </w:r>
      <w:r w:rsidRPr="00EC0229">
        <w:rPr>
          <w:rFonts w:cs="Times New Roman"/>
          <w:szCs w:val="24"/>
        </w:rPr>
        <w:lastRenderedPageBreak/>
        <w:t>trade’</w:t>
      </w:r>
      <w:r w:rsidRPr="00EC0229">
        <w:rPr>
          <w:rFonts w:cs="Times New Roman"/>
          <w:szCs w:val="24"/>
        </w:rPr>
        <w:fldChar w:fldCharType="begin"/>
      </w:r>
      <w:r w:rsidRPr="00EC0229">
        <w:instrText xml:space="preserve"> XE "</w:instrText>
      </w:r>
      <w:r w:rsidRPr="00EC0229">
        <w:rPr>
          <w:rFonts w:cs="Times New Roman"/>
          <w:szCs w:val="24"/>
        </w:rPr>
        <w:instrText>ports of trade</w:instrText>
      </w:r>
      <w:r w:rsidRPr="00EC0229">
        <w:instrText xml:space="preserve">" </w:instrText>
      </w:r>
      <w:r w:rsidRPr="00EC0229">
        <w:rPr>
          <w:rFonts w:cs="Times New Roman"/>
          <w:szCs w:val="24"/>
        </w:rPr>
        <w:fldChar w:fldCharType="end"/>
      </w:r>
      <w:r w:rsidRPr="00EC0229">
        <w:rPr>
          <w:rFonts w:cs="Times New Roman"/>
          <w:szCs w:val="24"/>
        </w:rPr>
        <w:t xml:space="preserve"> concept can be </w:t>
      </w:r>
      <w:r w:rsidR="00103FB3">
        <w:rPr>
          <w:rFonts w:cs="Times New Roman"/>
          <w:szCs w:val="24"/>
        </w:rPr>
        <w:t>summarize</w:t>
      </w:r>
      <w:r w:rsidRPr="00EC0229">
        <w:rPr>
          <w:rFonts w:cs="Times New Roman"/>
          <w:szCs w:val="24"/>
        </w:rPr>
        <w:t>d as ‘sites at which travelling merchants and other traders would gather, for which political authorities – whether monastery, city or empire – guaranteed the security of business, organised a judicial system, and provided facilities of anchorage, debarkation and storage.’</w:t>
      </w:r>
      <w:r w:rsidRPr="00EC0229">
        <w:rPr>
          <w:rStyle w:val="FootnoteReference"/>
          <w:rFonts w:cs="Times New Roman"/>
          <w:szCs w:val="24"/>
        </w:rPr>
        <w:footnoteReference w:id="40"/>
      </w:r>
      <w:r w:rsidRPr="00EC0229">
        <w:rPr>
          <w:rFonts w:cs="Times New Roman"/>
          <w:szCs w:val="24"/>
        </w:rPr>
        <w:t xml:space="preserve"> This is the now familiar discussion of </w:t>
      </w:r>
      <w:r w:rsidRPr="00EC0229">
        <w:rPr>
          <w:rFonts w:cs="Times New Roman"/>
          <w:i/>
          <w:szCs w:val="24"/>
        </w:rPr>
        <w:t>wics</w:t>
      </w:r>
      <w:r w:rsidRPr="00EC0229">
        <w:rPr>
          <w:rFonts w:cs="Times New Roman"/>
          <w:szCs w:val="24"/>
        </w:rPr>
        <w:t xml:space="preserve">, </w:t>
      </w:r>
      <w:r w:rsidRPr="00EC0229">
        <w:rPr>
          <w:rFonts w:cs="Times New Roman"/>
          <w:i/>
          <w:szCs w:val="24"/>
        </w:rPr>
        <w:t>emporia</w:t>
      </w:r>
      <w:r w:rsidRPr="00EC0229">
        <w:rPr>
          <w:rFonts w:cs="Times New Roman"/>
          <w:i/>
          <w:szCs w:val="24"/>
        </w:rPr>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rPr>
          <w:rFonts w:cs="Times New Roman"/>
          <w:i/>
          <w:szCs w:val="24"/>
        </w:rPr>
        <w:fldChar w:fldCharType="end"/>
      </w:r>
      <w:r w:rsidRPr="00EC0229">
        <w:rPr>
          <w:rFonts w:cs="Times New Roman"/>
          <w:szCs w:val="24"/>
        </w:rPr>
        <w:t xml:space="preserve"> and, more recently, minster sites, which will be explored further in respect of Northumbria.</w:t>
      </w:r>
      <w:r w:rsidRPr="00EC0229">
        <w:rPr>
          <w:rStyle w:val="FootnoteReference"/>
          <w:rFonts w:cs="Times New Roman"/>
          <w:szCs w:val="24"/>
        </w:rPr>
        <w:footnoteReference w:id="41"/>
      </w:r>
    </w:p>
    <w:p w14:paraId="1D3D5960" w14:textId="2E072D68" w:rsidR="003F22F2" w:rsidRPr="00EC0229" w:rsidRDefault="003F22F2" w:rsidP="003F22F2">
      <w:pPr>
        <w:spacing w:line="360" w:lineRule="auto"/>
        <w:rPr>
          <w:rFonts w:cs="Times New Roman"/>
          <w:szCs w:val="24"/>
        </w:rPr>
      </w:pPr>
      <w:r w:rsidRPr="00EC0229">
        <w:rPr>
          <w:rFonts w:cs="Times New Roman"/>
          <w:szCs w:val="24"/>
        </w:rPr>
        <w:t>Second, his distinction between general- and special-purpose money</w:t>
      </w:r>
      <w:r w:rsidRPr="00EC0229">
        <w:rPr>
          <w:rFonts w:cs="Times New Roman"/>
          <w:szCs w:val="24"/>
        </w:rPr>
        <w:fldChar w:fldCharType="begin"/>
      </w:r>
      <w:r w:rsidRPr="00EC0229">
        <w:instrText xml:space="preserve"> XE "</w:instrText>
      </w:r>
      <w:r w:rsidRPr="00EC0229">
        <w:rPr>
          <w:rFonts w:cs="Times New Roman"/>
          <w:szCs w:val="24"/>
        </w:rPr>
        <w:instrText>special-purpose money</w:instrText>
      </w:r>
      <w:r w:rsidRPr="00EC0229">
        <w:instrText xml:space="preserve">" </w:instrText>
      </w:r>
      <w:r w:rsidRPr="00EC0229">
        <w:rPr>
          <w:rFonts w:cs="Times New Roman"/>
          <w:szCs w:val="24"/>
        </w:rPr>
        <w:fldChar w:fldCharType="end"/>
      </w:r>
      <w:r w:rsidRPr="00EC0229">
        <w:rPr>
          <w:rFonts w:cs="Times New Roman"/>
          <w:szCs w:val="24"/>
        </w:rPr>
        <w:t>, relating respectively to subsistence commodities</w:t>
      </w:r>
      <w:r w:rsidRPr="00EC0229">
        <w:rPr>
          <w:rFonts w:cs="Times New Roman"/>
          <w:szCs w:val="24"/>
        </w:rPr>
        <w:fldChar w:fldCharType="begin"/>
      </w:r>
      <w:r w:rsidRPr="00EC0229">
        <w:instrText xml:space="preserve"> XE "</w:instrText>
      </w:r>
      <w:r w:rsidRPr="00EC0229">
        <w:rPr>
          <w:rFonts w:cs="Times New Roman"/>
          <w:szCs w:val="24"/>
        </w:rPr>
        <w:instrText>commodities</w:instrText>
      </w:r>
      <w:r w:rsidRPr="00EC0229">
        <w:instrText xml:space="preserve">" </w:instrText>
      </w:r>
      <w:r w:rsidRPr="00EC0229">
        <w:rPr>
          <w:rFonts w:cs="Times New Roman"/>
          <w:szCs w:val="24"/>
        </w:rPr>
        <w:fldChar w:fldCharType="end"/>
      </w:r>
      <w:r w:rsidRPr="00EC0229">
        <w:rPr>
          <w:rFonts w:cs="Times New Roman"/>
          <w:szCs w:val="24"/>
        </w:rPr>
        <w:t xml:space="preserve"> and luxury objects, resonates in the gold</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szCs w:val="24"/>
        </w:rPr>
        <w:fldChar w:fldCharType="end"/>
      </w:r>
      <w:r w:rsidRPr="00EC0229">
        <w:rPr>
          <w:rFonts w:cs="Times New Roman"/>
          <w:szCs w:val="24"/>
        </w:rPr>
        <w:t>-silver-brass progression of Northumbrian coinage as its societal penetration increased.</w:t>
      </w:r>
      <w:r w:rsidRPr="00EC0229">
        <w:rPr>
          <w:rStyle w:val="FootnoteReference"/>
          <w:rFonts w:cs="Times New Roman"/>
          <w:szCs w:val="24"/>
        </w:rPr>
        <w:footnoteReference w:id="42"/>
      </w:r>
      <w:r w:rsidRPr="00EC0229">
        <w:rPr>
          <w:rFonts w:cs="Times New Roman"/>
          <w:szCs w:val="24"/>
        </w:rPr>
        <w:t xml:space="preserve"> However, 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Fonts w:cs="Times New Roman"/>
          <w:szCs w:val="24"/>
        </w:rPr>
        <w:t xml:space="preserve"> managed to cause confusion on several fronts. He argued that long-distance trade</w:t>
      </w:r>
      <w:r w:rsidRPr="00EC0229">
        <w:rPr>
          <w:rFonts w:cs="Times New Roman"/>
          <w:szCs w:val="24"/>
        </w:rPr>
        <w:fldChar w:fldCharType="begin"/>
      </w:r>
      <w:r w:rsidRPr="00EC0229">
        <w:instrText xml:space="preserve"> XE "</w:instrText>
      </w:r>
      <w:r w:rsidRPr="00EC0229">
        <w:rPr>
          <w:rFonts w:cs="Times New Roman"/>
          <w:szCs w:val="24"/>
        </w:rPr>
        <w:instrText>long-distance trade</w:instrText>
      </w:r>
      <w:r w:rsidRPr="00EC0229">
        <w:instrText xml:space="preserve">" </w:instrText>
      </w:r>
      <w:r w:rsidRPr="00EC0229">
        <w:rPr>
          <w:rFonts w:cs="Times New Roman"/>
          <w:szCs w:val="24"/>
        </w:rPr>
        <w:fldChar w:fldCharType="end"/>
      </w:r>
      <w:r w:rsidRPr="00EC0229">
        <w:rPr>
          <w:rFonts w:cs="Times New Roman"/>
          <w:szCs w:val="24"/>
        </w:rPr>
        <w:t xml:space="preserve"> came before the propensity to barter</w:t>
      </w:r>
      <w:r w:rsidRPr="00EC0229">
        <w:rPr>
          <w:rFonts w:cs="Times New Roman"/>
          <w:szCs w:val="24"/>
        </w:rPr>
        <w:fldChar w:fldCharType="begin"/>
      </w:r>
      <w:r w:rsidRPr="00EC0229">
        <w:instrText xml:space="preserve"> XE "</w:instrText>
      </w:r>
      <w:r w:rsidRPr="00EC0229">
        <w:rPr>
          <w:rFonts w:cs="Times New Roman"/>
          <w:szCs w:val="24"/>
        </w:rPr>
        <w:instrText>barter</w:instrText>
      </w:r>
      <w:r w:rsidRPr="00EC0229">
        <w:instrText xml:space="preserve">" </w:instrText>
      </w:r>
      <w:r w:rsidRPr="00EC0229">
        <w:rPr>
          <w:rFonts w:cs="Times New Roman"/>
          <w:szCs w:val="24"/>
        </w:rPr>
        <w:fldChar w:fldCharType="end"/>
      </w:r>
      <w:r w:rsidRPr="00EC0229">
        <w:rPr>
          <w:rFonts w:cs="Times New Roman"/>
          <w:szCs w:val="24"/>
        </w:rPr>
        <w:t>, so reversing the orthodox thinking,</w:t>
      </w:r>
      <w:r w:rsidRPr="00EC0229">
        <w:rPr>
          <w:rStyle w:val="FootnoteReference"/>
          <w:rFonts w:cs="Times New Roman"/>
          <w:szCs w:val="24"/>
        </w:rPr>
        <w:footnoteReference w:id="43"/>
      </w:r>
      <w:r w:rsidRPr="00EC0229">
        <w:rPr>
          <w:rFonts w:cs="Times New Roman"/>
          <w:szCs w:val="24"/>
        </w:rPr>
        <w:t xml:space="preserve"> when</w:t>
      </w:r>
      <w:r w:rsidR="00D10B7E">
        <w:rPr>
          <w:rFonts w:cs="Times New Roman"/>
          <w:szCs w:val="24"/>
        </w:rPr>
        <w:t xml:space="preserve"> </w:t>
      </w:r>
      <w:r w:rsidRPr="00EC0229">
        <w:rPr>
          <w:rFonts w:cs="Times New Roman"/>
          <w:szCs w:val="24"/>
        </w:rPr>
        <w:t xml:space="preserve">neither is right as it is an irresolvable, ‘chicken and egg’ symbiosis, catalysed by the propinquity of willing buyer and willing seller, which is a prerequisite of the bargain. Logically, it is the trader who sets out speculatively (at least in the first instance and probably continually) to extend his reach, as regards both destination and produce. Polanyi also distinguished inexactly between token </w:t>
      </w:r>
      <w:r w:rsidRPr="00EC0229">
        <w:rPr>
          <w:rFonts w:cs="Times New Roman"/>
          <w:szCs w:val="24"/>
        </w:rPr>
        <w:fldChar w:fldCharType="begin"/>
      </w:r>
      <w:r w:rsidRPr="00EC0229">
        <w:instrText xml:space="preserve"> XE "</w:instrText>
      </w:r>
      <w:r w:rsidRPr="00EC0229">
        <w:rPr>
          <w:rFonts w:cs="Times New Roman"/>
          <w:szCs w:val="24"/>
        </w:rPr>
        <w:instrText>token</w:instrText>
      </w:r>
      <w:r w:rsidRPr="00EC0229">
        <w:instrText xml:space="preserve">" </w:instrText>
      </w:r>
      <w:r w:rsidRPr="00EC0229">
        <w:rPr>
          <w:rFonts w:cs="Times New Roman"/>
          <w:szCs w:val="24"/>
        </w:rPr>
        <w:fldChar w:fldCharType="end"/>
      </w:r>
      <w:r w:rsidRPr="00EC0229">
        <w:rPr>
          <w:rFonts w:cs="Times New Roman"/>
          <w:szCs w:val="24"/>
        </w:rPr>
        <w:t>and commodity money</w:t>
      </w:r>
      <w:r w:rsidRPr="00EC0229">
        <w:rPr>
          <w:rFonts w:cs="Times New Roman"/>
          <w:szCs w:val="24"/>
        </w:rPr>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rPr>
          <w:rFonts w:cs="Times New Roman"/>
          <w:szCs w:val="24"/>
        </w:rPr>
        <w:fldChar w:fldCharType="end"/>
      </w:r>
      <w:r w:rsidRPr="00EC0229">
        <w:rPr>
          <w:rFonts w:cs="Times New Roman"/>
          <w:szCs w:val="24"/>
        </w:rPr>
        <w:t xml:space="preserve"> respectively for settlement</w:t>
      </w:r>
      <w:r w:rsidRPr="00EC0229">
        <w:rPr>
          <w:rFonts w:cs="Times New Roman"/>
          <w:szCs w:val="24"/>
        </w:rPr>
        <w:fldChar w:fldCharType="begin"/>
      </w:r>
      <w:r w:rsidRPr="00EC0229">
        <w:instrText xml:space="preserve"> XE "settlement" </w:instrText>
      </w:r>
      <w:r w:rsidRPr="00EC0229">
        <w:rPr>
          <w:rFonts w:cs="Times New Roman"/>
          <w:szCs w:val="24"/>
        </w:rPr>
        <w:fldChar w:fldCharType="end"/>
      </w:r>
      <w:r w:rsidRPr="00EC0229">
        <w:rPr>
          <w:rFonts w:cs="Times New Roman"/>
          <w:szCs w:val="24"/>
        </w:rPr>
        <w:t xml:space="preserve"> in domestic and foreign trade.</w:t>
      </w:r>
      <w:r w:rsidRPr="00EC0229">
        <w:rPr>
          <w:rStyle w:val="FootnoteReference"/>
          <w:rFonts w:cs="Times New Roman"/>
          <w:szCs w:val="24"/>
        </w:rPr>
        <w:footnoteReference w:id="44"/>
      </w:r>
      <w:r w:rsidRPr="00EC0229">
        <w:rPr>
          <w:rFonts w:cs="Times New Roman"/>
          <w:szCs w:val="24"/>
        </w:rPr>
        <w:t xml:space="preserve">  His meaning seems to be that domestic currencies may be </w:t>
      </w:r>
      <w:r w:rsidRPr="00EC0229">
        <w:rPr>
          <w:rFonts w:cs="Times New Roman"/>
          <w:i/>
          <w:szCs w:val="24"/>
        </w:rPr>
        <w:t>fiat</w:t>
      </w:r>
      <w:r w:rsidRPr="00EC0229">
        <w:rPr>
          <w:rFonts w:cs="Times New Roman"/>
          <w:i/>
          <w:szCs w:val="24"/>
        </w:rPr>
        <w:fldChar w:fldCharType="begin"/>
      </w:r>
      <w:r w:rsidRPr="00EC0229">
        <w:instrText xml:space="preserve"> XE "fiat" </w:instrText>
      </w:r>
      <w:r w:rsidRPr="00EC0229">
        <w:rPr>
          <w:rFonts w:cs="Times New Roman"/>
          <w:i/>
          <w:szCs w:val="24"/>
        </w:rPr>
        <w:fldChar w:fldCharType="end"/>
      </w:r>
      <w:r w:rsidRPr="00EC0229">
        <w:rPr>
          <w:rFonts w:cs="Times New Roman"/>
          <w:szCs w:val="24"/>
        </w:rPr>
        <w:t xml:space="preserve"> if they carry the guarantee of the issuer, and where this guarantee does not extend beyond the boundaries of the issuer’s authority, as is largely the case with Northumbrian stycas,</w:t>
      </w:r>
      <w:r w:rsidRPr="00EC0229">
        <w:rPr>
          <w:rStyle w:val="FootnoteReference"/>
          <w:rFonts w:cs="Times New Roman"/>
          <w:szCs w:val="24"/>
        </w:rPr>
        <w:footnoteReference w:id="45"/>
      </w:r>
      <w:r w:rsidRPr="00EC0229">
        <w:rPr>
          <w:rFonts w:cs="Times New Roman"/>
          <w:szCs w:val="24"/>
        </w:rPr>
        <w:t xml:space="preserve"> payment must be in kind, that is, in (non-perishable) commodities. He added opacity by discussing whether money</w:t>
      </w:r>
      <w:r w:rsidRPr="00EC0229">
        <w:rPr>
          <w:rFonts w:cs="Times New Roman"/>
          <w:szCs w:val="24"/>
        </w:rPr>
        <w:fldChar w:fldCharType="begin"/>
      </w:r>
      <w:r w:rsidRPr="00EC0229">
        <w:instrText xml:space="preserve"> XE "money" </w:instrText>
      </w:r>
      <w:r w:rsidRPr="00EC0229">
        <w:rPr>
          <w:rFonts w:cs="Times New Roman"/>
          <w:szCs w:val="24"/>
        </w:rPr>
        <w:fldChar w:fldCharType="end"/>
      </w:r>
      <w:r w:rsidRPr="00EC0229">
        <w:rPr>
          <w:rFonts w:cs="Times New Roman"/>
          <w:szCs w:val="24"/>
        </w:rPr>
        <w:t xml:space="preserve"> is a commodity.</w:t>
      </w:r>
      <w:r w:rsidRPr="00EC0229">
        <w:rPr>
          <w:rStyle w:val="FootnoteReference"/>
          <w:rFonts w:cs="Times New Roman"/>
          <w:szCs w:val="24"/>
        </w:rPr>
        <w:footnoteReference w:id="46"/>
      </w:r>
      <w:r w:rsidRPr="00EC0229">
        <w:rPr>
          <w:rFonts w:cs="Times New Roman"/>
          <w:szCs w:val="24"/>
        </w:rPr>
        <w:t xml:space="preserve"> Moreover, he contended that the four main functions of money</w:t>
      </w:r>
      <w:r w:rsidRPr="00EC0229">
        <w:rPr>
          <w:rFonts w:cs="Times New Roman"/>
          <w:szCs w:val="24"/>
        </w:rPr>
        <w:fldChar w:fldCharType="begin"/>
      </w:r>
      <w:r w:rsidRPr="00EC0229">
        <w:instrText xml:space="preserve"> XE "functions of money" </w:instrText>
      </w:r>
      <w:r w:rsidRPr="00EC0229">
        <w:rPr>
          <w:rFonts w:cs="Times New Roman"/>
          <w:szCs w:val="24"/>
        </w:rPr>
        <w:fldChar w:fldCharType="end"/>
      </w:r>
      <w:r w:rsidRPr="00EC0229">
        <w:rPr>
          <w:rFonts w:cs="Times New Roman"/>
          <w:szCs w:val="24"/>
        </w:rPr>
        <w:t xml:space="preserve"> (exchange, standard, store and payment) can only be achieved by a national monopoly currency,</w:t>
      </w:r>
      <w:r w:rsidRPr="00EC0229">
        <w:rPr>
          <w:rStyle w:val="FootnoteReference"/>
          <w:rFonts w:cs="Times New Roman"/>
          <w:szCs w:val="24"/>
        </w:rPr>
        <w:footnoteReference w:id="47"/>
      </w:r>
      <w:r w:rsidRPr="00EC0229">
        <w:rPr>
          <w:rFonts w:cs="Times New Roman"/>
          <w:szCs w:val="24"/>
        </w:rPr>
        <w:t xml:space="preserve"> although the definition of ‘national’ here is circular.</w:t>
      </w:r>
    </w:p>
    <w:p w14:paraId="559A8054" w14:textId="5B33F65E" w:rsidR="003F22F2" w:rsidRPr="00EC0229" w:rsidRDefault="003F22F2" w:rsidP="003F22F2">
      <w:pPr>
        <w:spacing w:line="360" w:lineRule="auto"/>
        <w:rPr>
          <w:rFonts w:cs="Times New Roman"/>
          <w:szCs w:val="24"/>
        </w:rPr>
      </w:pPr>
      <w:r w:rsidRPr="00EC0229">
        <w:rPr>
          <w:rFonts w:cs="Times New Roman"/>
          <w:szCs w:val="24"/>
        </w:rPr>
        <w:lastRenderedPageBreak/>
        <w:t>However, his theoretical contribution, particularly substantivism</w:t>
      </w:r>
      <w:r w:rsidRPr="00EC0229">
        <w:rPr>
          <w:rFonts w:cs="Times New Roman"/>
          <w:szCs w:val="24"/>
        </w:rPr>
        <w:fldChar w:fldCharType="begin"/>
      </w:r>
      <w:r w:rsidRPr="00EC0229">
        <w:instrText xml:space="preserve"> XE "</w:instrText>
      </w:r>
      <w:r w:rsidRPr="00EC0229">
        <w:rPr>
          <w:rFonts w:cs="Times New Roman"/>
          <w:szCs w:val="24"/>
        </w:rPr>
        <w:instrText>substantivism</w:instrText>
      </w:r>
      <w:r w:rsidRPr="00EC0229">
        <w:instrText xml:space="preserve">" </w:instrText>
      </w:r>
      <w:r w:rsidRPr="00EC0229">
        <w:rPr>
          <w:rFonts w:cs="Times New Roman"/>
          <w:szCs w:val="24"/>
        </w:rPr>
        <w:fldChar w:fldCharType="end"/>
      </w:r>
      <w:r w:rsidRPr="00EC0229">
        <w:rPr>
          <w:rFonts w:cs="Times New Roman"/>
          <w:szCs w:val="24"/>
        </w:rPr>
        <w:t xml:space="preserve">, strengthens the tools available for analysing the process of </w:t>
      </w:r>
      <w:r w:rsidR="003F2041" w:rsidRPr="00EC0229">
        <w:rPr>
          <w:rFonts w:cs="Times New Roman"/>
          <w:szCs w:val="24"/>
        </w:rPr>
        <w:t>monetiz</w:t>
      </w:r>
      <w:r w:rsidRPr="00EC0229">
        <w:rPr>
          <w:rFonts w:cs="Times New Roman"/>
          <w:szCs w:val="24"/>
        </w:rPr>
        <w:t>ation</w:t>
      </w:r>
      <w:r w:rsidRPr="00EC0229">
        <w:rPr>
          <w:rFonts w:cs="Times New Roman"/>
          <w:szCs w:val="24"/>
        </w:rPr>
        <w:fldChar w:fldCharType="begin"/>
      </w:r>
      <w:r w:rsidRPr="00EC0229">
        <w:instrText xml:space="preserve"> XE "monetization" </w:instrText>
      </w:r>
      <w:r w:rsidRPr="00EC0229">
        <w:rPr>
          <w:rFonts w:cs="Times New Roman"/>
          <w:szCs w:val="24"/>
        </w:rPr>
        <w:fldChar w:fldCharType="end"/>
      </w:r>
      <w:r w:rsidRPr="00EC0229">
        <w:rPr>
          <w:rFonts w:cs="Times New Roman"/>
          <w:szCs w:val="24"/>
        </w:rPr>
        <w:t>. The most significant criticism of 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Style w:val="FootnoteReference"/>
          <w:rFonts w:cs="Times New Roman"/>
          <w:szCs w:val="24"/>
        </w:rPr>
        <w:footnoteReference w:id="48"/>
      </w:r>
      <w:r w:rsidRPr="00EC0229">
        <w:rPr>
          <w:rFonts w:cs="Times New Roman"/>
          <w:szCs w:val="24"/>
        </w:rPr>
        <w:t xml:space="preserve"> is his reliance on broad generalisations resulting particularly in an overstatement of the prevalence of reciprocity</w:t>
      </w:r>
      <w:r w:rsidRPr="00EC0229">
        <w:rPr>
          <w:rFonts w:cs="Times New Roman"/>
          <w:szCs w:val="24"/>
        </w:rPr>
        <w:fldChar w:fldCharType="begin"/>
      </w:r>
      <w:r w:rsidRPr="00EC0229">
        <w:instrText xml:space="preserve"> XE "</w:instrText>
      </w:r>
      <w:r w:rsidRPr="00EC0229">
        <w:rPr>
          <w:rFonts w:cs="Times New Roman"/>
          <w:szCs w:val="24"/>
        </w:rPr>
        <w:instrText>reciprocity</w:instrText>
      </w:r>
      <w:r w:rsidRPr="00EC0229">
        <w:instrText xml:space="preserve">" </w:instrText>
      </w:r>
      <w:r w:rsidRPr="00EC0229">
        <w:rPr>
          <w:rFonts w:cs="Times New Roman"/>
          <w:szCs w:val="24"/>
        </w:rPr>
        <w:fldChar w:fldCharType="end"/>
      </w:r>
      <w:r w:rsidRPr="00EC0229">
        <w:rPr>
          <w:rFonts w:cs="Times New Roman"/>
          <w:szCs w:val="24"/>
        </w:rPr>
        <w:t xml:space="preserve"> and redistribution, which together with market exchange, constitute his ‘forms of integration’ in primitive societies.</w:t>
      </w:r>
      <w:r w:rsidRPr="00EC0229">
        <w:rPr>
          <w:rStyle w:val="FootnoteReference"/>
          <w:rFonts w:cs="Times New Roman"/>
          <w:szCs w:val="24"/>
        </w:rPr>
        <w:footnoteReference w:id="49"/>
      </w:r>
      <w:r w:rsidRPr="00EC0229">
        <w:rPr>
          <w:rFonts w:cs="Times New Roman"/>
          <w:szCs w:val="24"/>
        </w:rPr>
        <w:t xml:space="preserve"> This is exacerbated by his failure to recognise fully the importance of friction (competition, conflict, power and exploitation) in creating dynamism and risk-taking – as is evident in Anglian</w:t>
      </w:r>
      <w:r w:rsidRPr="00EC0229">
        <w:rPr>
          <w:rFonts w:cs="Times New Roman"/>
          <w:szCs w:val="24"/>
        </w:rPr>
        <w:fldChar w:fldCharType="begin"/>
      </w:r>
      <w:r w:rsidRPr="00EC0229">
        <w:instrText xml:space="preserve"> XE "Anglian" </w:instrText>
      </w:r>
      <w:r w:rsidRPr="00EC0229">
        <w:rPr>
          <w:rFonts w:cs="Times New Roman"/>
          <w:szCs w:val="24"/>
        </w:rPr>
        <w:fldChar w:fldCharType="end"/>
      </w:r>
      <w:r w:rsidRPr="00EC0229">
        <w:rPr>
          <w:rFonts w:cs="Times New Roman"/>
          <w:szCs w:val="24"/>
        </w:rPr>
        <w:t xml:space="preserve"> Northumbrian</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szCs w:val="24"/>
        </w:rPr>
        <w:fldChar w:fldCharType="end"/>
      </w:r>
      <w:r w:rsidRPr="00EC0229">
        <w:rPr>
          <w:rFonts w:cs="Times New Roman"/>
          <w:szCs w:val="24"/>
        </w:rPr>
        <w:t xml:space="preserve"> kingship. Ultimately, other than some aspects of substantivism, Polanyian analysis is more relevant to capitalism</w:t>
      </w:r>
      <w:r w:rsidRPr="00EC0229">
        <w:rPr>
          <w:rFonts w:cs="Times New Roman"/>
          <w:szCs w:val="24"/>
        </w:rPr>
        <w:fldChar w:fldCharType="begin"/>
      </w:r>
      <w:r w:rsidRPr="00EC0229">
        <w:instrText xml:space="preserve"> XE "</w:instrText>
      </w:r>
      <w:r w:rsidRPr="00EC0229">
        <w:rPr>
          <w:rFonts w:cs="Times New Roman"/>
          <w:szCs w:val="24"/>
        </w:rPr>
        <w:instrText>capitalism</w:instrText>
      </w:r>
      <w:r w:rsidRPr="00EC0229">
        <w:instrText xml:space="preserve">" </w:instrText>
      </w:r>
      <w:r w:rsidRPr="00EC0229">
        <w:rPr>
          <w:rFonts w:cs="Times New Roman"/>
          <w:szCs w:val="24"/>
        </w:rPr>
        <w:fldChar w:fldCharType="end"/>
      </w:r>
      <w:r w:rsidRPr="00EC0229">
        <w:rPr>
          <w:rFonts w:cs="Times New Roman"/>
          <w:szCs w:val="24"/>
        </w:rPr>
        <w:t>, particularly globalization,</w:t>
      </w:r>
      <w:r w:rsidRPr="00EC0229">
        <w:rPr>
          <w:rStyle w:val="FootnoteReference"/>
          <w:rFonts w:cs="Times New Roman"/>
          <w:szCs w:val="24"/>
        </w:rPr>
        <w:t xml:space="preserve"> </w:t>
      </w:r>
      <w:bookmarkStart w:id="68" w:name="_Ref430099776"/>
      <w:r w:rsidRPr="00EC0229">
        <w:rPr>
          <w:rStyle w:val="FootnoteReference"/>
          <w:rFonts w:cs="Times New Roman"/>
          <w:szCs w:val="24"/>
        </w:rPr>
        <w:footnoteReference w:id="50"/>
      </w:r>
      <w:bookmarkEnd w:id="68"/>
      <w:r w:rsidRPr="00EC0229">
        <w:rPr>
          <w:rFonts w:cs="Times New Roman"/>
          <w:szCs w:val="24"/>
        </w:rPr>
        <w:t xml:space="preserve"> than the distant past.</w:t>
      </w:r>
      <w:r w:rsidRPr="00EC0229">
        <w:rPr>
          <w:rStyle w:val="FootnoteReference"/>
          <w:rFonts w:cs="Times New Roman"/>
          <w:szCs w:val="24"/>
        </w:rPr>
        <w:t xml:space="preserve"> </w:t>
      </w:r>
    </w:p>
    <w:p w14:paraId="233A0928" w14:textId="595A70C9" w:rsidR="003F22F2" w:rsidRPr="00EC0229" w:rsidRDefault="003F22F2" w:rsidP="003F22F2">
      <w:pPr>
        <w:spacing w:line="360" w:lineRule="auto"/>
        <w:rPr>
          <w:rFonts w:cs="Times New Roman"/>
          <w:szCs w:val="24"/>
        </w:rPr>
      </w:pPr>
      <w:r w:rsidRPr="00EC0229">
        <w:rPr>
          <w:rFonts w:cs="Times New Roman"/>
          <w:szCs w:val="24"/>
        </w:rPr>
        <w:t>Given the post-Roman</w:t>
      </w:r>
      <w:r w:rsidRPr="00EC0229">
        <w:rPr>
          <w:rFonts w:cs="Times New Roman"/>
          <w:szCs w:val="24"/>
        </w:rPr>
        <w:fldChar w:fldCharType="begin"/>
      </w:r>
      <w:r w:rsidRPr="00EC0229">
        <w:instrText xml:space="preserve"> XE "Roman" </w:instrText>
      </w:r>
      <w:r w:rsidRPr="00EC0229">
        <w:rPr>
          <w:rFonts w:cs="Times New Roman"/>
          <w:szCs w:val="24"/>
        </w:rPr>
        <w:fldChar w:fldCharType="end"/>
      </w:r>
      <w:r w:rsidRPr="00EC0229">
        <w:rPr>
          <w:rFonts w:cs="Times New Roman"/>
          <w:szCs w:val="24"/>
        </w:rPr>
        <w:t xml:space="preserve"> economic collapse, Sahlins’ views on the sub-optimal domestic mode of production may be helpful.</w:t>
      </w:r>
      <w:r w:rsidRPr="00EC0229">
        <w:rPr>
          <w:rStyle w:val="FootnoteReference"/>
          <w:rFonts w:cs="Times New Roman"/>
          <w:szCs w:val="24"/>
        </w:rPr>
        <w:footnoteReference w:id="51"/>
      </w:r>
      <w:r w:rsidRPr="00EC0229">
        <w:rPr>
          <w:rFonts w:cs="Times New Roman"/>
          <w:szCs w:val="24"/>
        </w:rPr>
        <w:t xml:space="preserve"> He distinguished primitive (i.e. hunter-gatherer) kinships</w:t>
      </w:r>
      <w:r w:rsidRPr="00EC0229">
        <w:rPr>
          <w:rStyle w:val="FootnoteReference"/>
          <w:rFonts w:cs="Times New Roman"/>
          <w:szCs w:val="24"/>
        </w:rPr>
        <w:footnoteReference w:id="52"/>
      </w:r>
      <w:r w:rsidRPr="00EC0229">
        <w:rPr>
          <w:rFonts w:cs="Times New Roman"/>
          <w:szCs w:val="24"/>
        </w:rPr>
        <w:t xml:space="preserve"> from trading communities as the former produce for their own use, not for exchange.</w:t>
      </w:r>
      <w:r w:rsidRPr="00EC0229">
        <w:rPr>
          <w:rStyle w:val="FootnoteReference"/>
          <w:rFonts w:cs="Times New Roman"/>
          <w:szCs w:val="24"/>
        </w:rPr>
        <w:footnoteReference w:id="53"/>
      </w:r>
      <w:r w:rsidRPr="00EC0229">
        <w:rPr>
          <w:rFonts w:cs="Times New Roman"/>
          <w:szCs w:val="24"/>
        </w:rPr>
        <w:t xml:space="preserve"> This absence of surplus</w:t>
      </w:r>
      <w:r w:rsidRPr="00EC0229">
        <w:rPr>
          <w:rFonts w:cs="Times New Roman"/>
          <w:szCs w:val="24"/>
        </w:rPr>
        <w:fldChar w:fldCharType="begin"/>
      </w:r>
      <w:r w:rsidRPr="00EC0229">
        <w:instrText xml:space="preserve"> XE "surplus" </w:instrText>
      </w:r>
      <w:r w:rsidRPr="00EC0229">
        <w:rPr>
          <w:rFonts w:cs="Times New Roman"/>
          <w:szCs w:val="24"/>
        </w:rPr>
        <w:fldChar w:fldCharType="end"/>
      </w:r>
      <w:r w:rsidRPr="00EC0229">
        <w:rPr>
          <w:rFonts w:cs="Times New Roman"/>
          <w:szCs w:val="24"/>
        </w:rPr>
        <w:t xml:space="preserve"> is a risk to the community.</w:t>
      </w:r>
      <w:r w:rsidRPr="00EC0229">
        <w:rPr>
          <w:rStyle w:val="FootnoteReference"/>
          <w:rFonts w:cs="Times New Roman"/>
          <w:szCs w:val="24"/>
        </w:rPr>
        <w:footnoteReference w:id="54"/>
      </w:r>
      <w:r w:rsidRPr="00EC0229">
        <w:rPr>
          <w:rFonts w:cs="Times New Roman"/>
          <w:szCs w:val="24"/>
        </w:rPr>
        <w:t xml:space="preserve"> </w:t>
      </w:r>
      <w:r w:rsidR="00D10B7E">
        <w:rPr>
          <w:rFonts w:cs="Times New Roman"/>
          <w:szCs w:val="24"/>
        </w:rPr>
        <w:t>W</w:t>
      </w:r>
      <w:r w:rsidRPr="00EC0229">
        <w:rPr>
          <w:rFonts w:cs="Times New Roman"/>
          <w:szCs w:val="24"/>
        </w:rPr>
        <w:t>hat demarcates the peasant from the primitive is the presence of a resource strategy – the small step to temporal planning</w:t>
      </w:r>
      <w:r w:rsidRPr="00EC0229">
        <w:rPr>
          <w:rStyle w:val="FootnoteReference"/>
          <w:rFonts w:cs="Times New Roman"/>
          <w:szCs w:val="24"/>
        </w:rPr>
        <w:footnoteReference w:id="55"/>
      </w:r>
      <w:r w:rsidRPr="00EC0229">
        <w:rPr>
          <w:rFonts w:cs="Times New Roman"/>
          <w:szCs w:val="24"/>
        </w:rPr>
        <w:t xml:space="preserve"> and then to economic surplus.</w:t>
      </w:r>
    </w:p>
    <w:p w14:paraId="047E19ED" w14:textId="1ECC3101" w:rsidR="003F22F2" w:rsidRPr="00EC0229" w:rsidRDefault="003F22F2" w:rsidP="003F22F2">
      <w:pPr>
        <w:autoSpaceDE w:val="0"/>
        <w:autoSpaceDN w:val="0"/>
        <w:adjustRightInd w:val="0"/>
        <w:spacing w:after="0" w:line="360" w:lineRule="auto"/>
        <w:rPr>
          <w:rFonts w:cs="Times New Roman"/>
          <w:szCs w:val="24"/>
        </w:rPr>
      </w:pPr>
      <w:r w:rsidRPr="00EC0229">
        <w:rPr>
          <w:rFonts w:cs="Times New Roman"/>
          <w:szCs w:val="24"/>
        </w:rPr>
        <w:t>Having identified what remains relevant in Polanyi</w:t>
      </w:r>
      <w:r w:rsidRPr="00EC0229">
        <w:rPr>
          <w:rFonts w:cs="Times New Roman"/>
          <w:szCs w:val="24"/>
        </w:rPr>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rPr>
          <w:rFonts w:cs="Times New Roman"/>
          <w:szCs w:val="24"/>
        </w:rPr>
        <w:fldChar w:fldCharType="end"/>
      </w:r>
      <w:r w:rsidRPr="00EC0229">
        <w:rPr>
          <w:rFonts w:cs="Times New Roman"/>
          <w:szCs w:val="24"/>
        </w:rPr>
        <w:t xml:space="preserve">’s analysis, his tools will be applied in creating a hypothesis of </w:t>
      </w:r>
      <w:r w:rsidR="003F2041" w:rsidRPr="00EC0229">
        <w:rPr>
          <w:rFonts w:cs="Times New Roman"/>
          <w:szCs w:val="24"/>
        </w:rPr>
        <w:t>monetiz</w:t>
      </w:r>
      <w:r w:rsidRPr="00EC0229">
        <w:rPr>
          <w:rFonts w:cs="Times New Roman"/>
          <w:szCs w:val="24"/>
        </w:rPr>
        <w:t>ation</w:t>
      </w:r>
      <w:r w:rsidRPr="00EC0229">
        <w:rPr>
          <w:rFonts w:cs="Times New Roman"/>
          <w:szCs w:val="24"/>
        </w:rPr>
        <w:fldChar w:fldCharType="begin"/>
      </w:r>
      <w:r w:rsidRPr="00EC0229">
        <w:instrText xml:space="preserve"> XE "</w:instrText>
      </w:r>
      <w:r w:rsidRPr="00EC0229">
        <w:rPr>
          <w:rFonts w:cs="Times New Roman"/>
          <w:szCs w:val="24"/>
        </w:rPr>
        <w:instrText>hypothesis of monetization</w:instrText>
      </w:r>
      <w:r w:rsidRPr="00EC0229">
        <w:instrText xml:space="preserve">" </w:instrText>
      </w:r>
      <w:r w:rsidRPr="00EC0229">
        <w:rPr>
          <w:rFonts w:cs="Times New Roman"/>
          <w:szCs w:val="24"/>
        </w:rPr>
        <w:fldChar w:fldCharType="end"/>
      </w:r>
      <w:r w:rsidRPr="00EC0229">
        <w:rPr>
          <w:rFonts w:cs="Times New Roman"/>
          <w:szCs w:val="24"/>
        </w:rPr>
        <w:t xml:space="preserve"> in Northumbria (</w:t>
      </w:r>
      <w:r w:rsidRPr="00EC0229">
        <w:rPr>
          <w:rFonts w:cs="Times New Roman"/>
          <w:szCs w:val="24"/>
        </w:rPr>
        <w:fldChar w:fldCharType="begin"/>
      </w:r>
      <w:r w:rsidRPr="00EC0229">
        <w:rPr>
          <w:rFonts w:cs="Times New Roman"/>
          <w:szCs w:val="24"/>
        </w:rPr>
        <w:instrText xml:space="preserve"> PAGEREF hypothesis \h </w:instrText>
      </w:r>
      <w:r w:rsidRPr="00EC0229">
        <w:rPr>
          <w:rFonts w:cs="Times New Roman"/>
          <w:szCs w:val="24"/>
        </w:rPr>
      </w:r>
      <w:r w:rsidRPr="00EC0229">
        <w:rPr>
          <w:rFonts w:cs="Times New Roman"/>
          <w:szCs w:val="24"/>
        </w:rPr>
        <w:fldChar w:fldCharType="separate"/>
      </w:r>
      <w:r w:rsidR="0012026B">
        <w:rPr>
          <w:rFonts w:cs="Times New Roman"/>
          <w:noProof/>
          <w:szCs w:val="24"/>
        </w:rPr>
        <w:t>77</w:t>
      </w:r>
      <w:r w:rsidRPr="00EC0229">
        <w:rPr>
          <w:rFonts w:cs="Times New Roman"/>
          <w:szCs w:val="24"/>
        </w:rPr>
        <w:fldChar w:fldCharType="end"/>
      </w:r>
      <w:r w:rsidRPr="00EC0229">
        <w:rPr>
          <w:rFonts w:cs="Times New Roman"/>
          <w:szCs w:val="24"/>
        </w:rPr>
        <w:t xml:space="preserve">). The relevance of his conceptual framework is discussed at page </w:t>
      </w:r>
      <w:r w:rsidRPr="00EC0229">
        <w:rPr>
          <w:rFonts w:cs="Times New Roman"/>
          <w:szCs w:val="24"/>
        </w:rPr>
        <w:fldChar w:fldCharType="begin"/>
      </w:r>
      <w:r w:rsidRPr="00EC0229">
        <w:rPr>
          <w:rFonts w:cs="Times New Roman"/>
          <w:szCs w:val="24"/>
        </w:rPr>
        <w:instrText xml:space="preserve"> PAGEREF ConclusionsExpropriation \h </w:instrText>
      </w:r>
      <w:r w:rsidRPr="00EC0229">
        <w:rPr>
          <w:rFonts w:cs="Times New Roman"/>
          <w:szCs w:val="24"/>
        </w:rPr>
      </w:r>
      <w:r w:rsidRPr="00EC0229">
        <w:rPr>
          <w:rFonts w:cs="Times New Roman"/>
          <w:szCs w:val="24"/>
        </w:rPr>
        <w:fldChar w:fldCharType="separate"/>
      </w:r>
      <w:r w:rsidR="0012026B">
        <w:rPr>
          <w:rFonts w:cs="Times New Roman"/>
          <w:noProof/>
          <w:szCs w:val="24"/>
        </w:rPr>
        <w:t>315</w:t>
      </w:r>
      <w:r w:rsidRPr="00EC0229">
        <w:rPr>
          <w:rFonts w:cs="Times New Roman"/>
          <w:szCs w:val="24"/>
        </w:rPr>
        <w:fldChar w:fldCharType="end"/>
      </w:r>
      <w:r w:rsidRPr="00EC0229">
        <w:rPr>
          <w:rFonts w:cs="Times New Roman"/>
          <w:szCs w:val="24"/>
        </w:rPr>
        <w:t>.</w:t>
      </w:r>
      <w:r w:rsidRPr="00EC0229">
        <w:rPr>
          <w:rFonts w:cs="Times New Roman"/>
          <w:szCs w:val="24"/>
        </w:rPr>
        <w:fldChar w:fldCharType="begin"/>
      </w:r>
      <w:r w:rsidRPr="00EC0229">
        <w:rPr>
          <w:rFonts w:cs="Times New Roman"/>
          <w:szCs w:val="24"/>
        </w:rPr>
        <w:instrText xml:space="preserve"> REF ConclusionsExpropriation \h </w:instrText>
      </w:r>
      <w:r w:rsidRPr="00EC0229">
        <w:rPr>
          <w:rFonts w:cs="Times New Roman"/>
          <w:szCs w:val="24"/>
        </w:rPr>
      </w:r>
      <w:r w:rsidRPr="00EC0229">
        <w:rPr>
          <w:rFonts w:cs="Times New Roman"/>
          <w:szCs w:val="24"/>
        </w:rPr>
        <w:fldChar w:fldCharType="end"/>
      </w:r>
      <w:r w:rsidRPr="00EC0229">
        <w:rPr>
          <w:rFonts w:cs="Times New Roman"/>
          <w:szCs w:val="24"/>
        </w:rPr>
        <w:fldChar w:fldCharType="begin"/>
      </w:r>
      <w:r w:rsidRPr="00EC0229">
        <w:rPr>
          <w:rFonts w:cs="Times New Roman"/>
          <w:szCs w:val="24"/>
        </w:rPr>
        <w:instrText xml:space="preserve"> REF ConclusionsExpropriation \h </w:instrText>
      </w:r>
      <w:r w:rsidRPr="00EC0229">
        <w:rPr>
          <w:rFonts w:cs="Times New Roman"/>
          <w:szCs w:val="24"/>
        </w:rPr>
      </w:r>
      <w:r w:rsidRPr="00EC0229">
        <w:rPr>
          <w:rFonts w:cs="Times New Roman"/>
          <w:szCs w:val="24"/>
        </w:rPr>
        <w:fldChar w:fldCharType="end"/>
      </w:r>
    </w:p>
    <w:p w14:paraId="74B55D21" w14:textId="05114FF9" w:rsidR="003F22F2" w:rsidRDefault="003F22F2" w:rsidP="003F22F2">
      <w:pPr>
        <w:rPr>
          <w:rStyle w:val="Heading2Char"/>
          <w:b w:val="0"/>
          <w:szCs w:val="24"/>
        </w:rPr>
      </w:pPr>
      <w:bookmarkStart w:id="69" w:name="Historical"/>
      <w:bookmarkEnd w:id="69"/>
    </w:p>
    <w:p w14:paraId="0435A5B4" w14:textId="77777777" w:rsidR="006353B5" w:rsidRPr="00EC0229" w:rsidRDefault="006353B5" w:rsidP="003F22F2">
      <w:pPr>
        <w:rPr>
          <w:rStyle w:val="Heading2Char"/>
          <w:b w:val="0"/>
          <w:szCs w:val="24"/>
        </w:rPr>
      </w:pPr>
    </w:p>
    <w:p w14:paraId="06962AA5" w14:textId="77777777" w:rsidR="00D311C4" w:rsidRDefault="00D311C4">
      <w:pPr>
        <w:spacing w:line="259" w:lineRule="auto"/>
        <w:jc w:val="left"/>
        <w:rPr>
          <w:rFonts w:eastAsiaTheme="majorEastAsia" w:cstheme="majorBidi"/>
          <w:b/>
          <w:szCs w:val="24"/>
        </w:rPr>
      </w:pPr>
      <w:bookmarkStart w:id="70" w:name="_Toc464823812"/>
      <w:r>
        <w:br w:type="page"/>
      </w:r>
    </w:p>
    <w:p w14:paraId="6CC2B87E" w14:textId="135C006B" w:rsidR="003F22F2" w:rsidRPr="006353B5" w:rsidRDefault="00225C7F" w:rsidP="00EC0229">
      <w:pPr>
        <w:pStyle w:val="Heading3"/>
        <w:rPr>
          <w:b w:val="0"/>
        </w:rPr>
      </w:pPr>
      <w:bookmarkStart w:id="71" w:name="_Toc468266741"/>
      <w:r>
        <w:lastRenderedPageBreak/>
        <w:t>2</w:t>
      </w:r>
      <w:r w:rsidR="008367C7">
        <w:t>.1.2</w:t>
      </w:r>
      <w:r w:rsidR="00624DF5">
        <w:tab/>
      </w:r>
      <w:r w:rsidR="003F22F2" w:rsidRPr="006353B5">
        <w:rPr>
          <w:rStyle w:val="Heading2Char"/>
          <w:b/>
          <w:sz w:val="24"/>
          <w:szCs w:val="24"/>
        </w:rPr>
        <w:t>The Historical Perspective: the school of Henri Pirenne</w:t>
      </w:r>
      <w:r w:rsidR="003F22F2" w:rsidRPr="006353B5">
        <w:rPr>
          <w:rStyle w:val="Heading2Char"/>
          <w:b/>
          <w:sz w:val="24"/>
          <w:szCs w:val="24"/>
        </w:rPr>
        <w:fldChar w:fldCharType="begin"/>
      </w:r>
      <w:r w:rsidR="003F22F2" w:rsidRPr="006353B5">
        <w:rPr>
          <w:b w:val="0"/>
        </w:rPr>
        <w:instrText xml:space="preserve"> XE "</w:instrText>
      </w:r>
      <w:r w:rsidR="003F22F2" w:rsidRPr="006353B5">
        <w:rPr>
          <w:rStyle w:val="Hyperlink"/>
          <w:b w:val="0"/>
          <w:color w:val="auto"/>
          <w:u w:val="none"/>
        </w:rPr>
        <w:instrText>Pirenne</w:instrText>
      </w:r>
      <w:r w:rsidR="003F22F2" w:rsidRPr="006353B5">
        <w:rPr>
          <w:b w:val="0"/>
        </w:rPr>
        <w:instrText xml:space="preserve">" </w:instrText>
      </w:r>
      <w:r w:rsidR="003F22F2" w:rsidRPr="006353B5">
        <w:rPr>
          <w:rStyle w:val="Heading2Char"/>
          <w:b/>
          <w:sz w:val="24"/>
          <w:szCs w:val="24"/>
        </w:rPr>
        <w:fldChar w:fldCharType="end"/>
      </w:r>
      <w:r w:rsidR="003F22F2" w:rsidRPr="006353B5">
        <w:rPr>
          <w:rStyle w:val="Heading2Char"/>
          <w:b/>
          <w:sz w:val="24"/>
          <w:szCs w:val="24"/>
        </w:rPr>
        <w:t xml:space="preserve"> (1862 – 1935)</w:t>
      </w:r>
      <w:bookmarkEnd w:id="70"/>
      <w:bookmarkEnd w:id="71"/>
    </w:p>
    <w:p w14:paraId="052C9D35" w14:textId="77777777" w:rsidR="003F22F2" w:rsidRPr="00EC0229" w:rsidRDefault="003F22F2" w:rsidP="003F22F2">
      <w:pPr>
        <w:pStyle w:val="NoSpacing"/>
        <w:spacing w:line="360" w:lineRule="auto"/>
        <w:jc w:val="right"/>
        <w:rPr>
          <w:rFonts w:cs="Times New Roman"/>
          <w:sz w:val="19"/>
          <w:szCs w:val="19"/>
        </w:rPr>
      </w:pPr>
      <w:r w:rsidRPr="00EC0229">
        <w:rPr>
          <w:rFonts w:cs="Times New Roman"/>
          <w:sz w:val="19"/>
          <w:szCs w:val="19"/>
        </w:rPr>
        <w:t>‘…this has been emphasised lately, with some exaggerations, in the suggestive posthumous book of Henri Pirenne.</w:t>
      </w:r>
      <w:r w:rsidRPr="00EC0229">
        <w:rPr>
          <w:rFonts w:cs="Times New Roman"/>
          <w:sz w:val="19"/>
          <w:szCs w:val="19"/>
        </w:rPr>
        <w:fldChar w:fldCharType="begin"/>
      </w:r>
      <w:r w:rsidRPr="00EC0229">
        <w:rPr>
          <w:sz w:val="19"/>
          <w:szCs w:val="19"/>
        </w:rPr>
        <w:instrText xml:space="preserve"> XE "</w:instrText>
      </w:r>
      <w:r w:rsidRPr="00EC0229">
        <w:rPr>
          <w:rStyle w:val="Hyperlink"/>
          <w:noProof/>
          <w:sz w:val="19"/>
          <w:szCs w:val="19"/>
          <w:u w:val="none"/>
        </w:rPr>
        <w:instrText>Pirenne</w:instrText>
      </w:r>
      <w:r w:rsidRPr="00EC0229">
        <w:rPr>
          <w:sz w:val="19"/>
          <w:szCs w:val="19"/>
        </w:rPr>
        <w:instrText xml:space="preserve">" </w:instrText>
      </w:r>
      <w:r w:rsidRPr="00EC0229">
        <w:rPr>
          <w:rFonts w:cs="Times New Roman"/>
          <w:sz w:val="19"/>
          <w:szCs w:val="19"/>
        </w:rPr>
        <w:fldChar w:fldCharType="end"/>
      </w:r>
      <w:r w:rsidRPr="00EC0229">
        <w:rPr>
          <w:rFonts w:cs="Times New Roman"/>
          <w:sz w:val="19"/>
          <w:szCs w:val="19"/>
        </w:rPr>
        <w:t>’</w:t>
      </w:r>
    </w:p>
    <w:p w14:paraId="1B97AF3B" w14:textId="77777777" w:rsidR="003F22F2" w:rsidRPr="00EC0229" w:rsidRDefault="003F22F2" w:rsidP="003F22F2">
      <w:pPr>
        <w:pStyle w:val="NoSpacing"/>
        <w:spacing w:line="360" w:lineRule="auto"/>
        <w:jc w:val="right"/>
        <w:rPr>
          <w:rFonts w:cs="Times New Roman"/>
          <w:color w:val="000000" w:themeColor="text1"/>
          <w:sz w:val="20"/>
          <w:szCs w:val="20"/>
        </w:rPr>
      </w:pPr>
      <w:r w:rsidRPr="00EC0229">
        <w:rPr>
          <w:rFonts w:cs="Times New Roman"/>
          <w:sz w:val="20"/>
          <w:szCs w:val="20"/>
        </w:rPr>
        <w:t>Wilhelm Levison (1946, 3).</w:t>
      </w:r>
    </w:p>
    <w:p w14:paraId="252A2E05" w14:textId="77777777"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According to Pirenne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the tribes invading the Western Roman</w:t>
      </w:r>
      <w:r w:rsidRPr="00EC0229">
        <w:rPr>
          <w:rFonts w:cs="Times New Roman"/>
          <w:color w:val="000000" w:themeColor="text1"/>
          <w:szCs w:val="24"/>
        </w:rPr>
        <w:fldChar w:fldCharType="begin"/>
      </w:r>
      <w:r w:rsidRPr="00EC0229">
        <w:instrText xml:space="preserve"> XE "Roman" </w:instrText>
      </w:r>
      <w:r w:rsidRPr="00EC0229">
        <w:rPr>
          <w:rFonts w:cs="Times New Roman"/>
          <w:color w:val="000000" w:themeColor="text1"/>
          <w:szCs w:val="24"/>
        </w:rPr>
        <w:fldChar w:fldCharType="end"/>
      </w:r>
      <w:r w:rsidRPr="00EC0229">
        <w:rPr>
          <w:rFonts w:cs="Times New Roman"/>
          <w:color w:val="000000" w:themeColor="text1"/>
          <w:szCs w:val="24"/>
        </w:rPr>
        <w:t xml:space="preserve"> Empire maintained the Roman institutions: ‘All the features of the old economic life were there: the preponderance of Oriental navigation, the importation of Oriental produce, the organization of the ports, of the </w:t>
      </w:r>
      <w:r w:rsidRPr="00EC0229">
        <w:rPr>
          <w:rFonts w:cs="Times New Roman"/>
          <w:i/>
          <w:color w:val="000000" w:themeColor="text1"/>
          <w:szCs w:val="24"/>
        </w:rPr>
        <w:t>tonlieu</w:t>
      </w:r>
      <w:r w:rsidRPr="00EC0229">
        <w:rPr>
          <w:rFonts w:cs="Times New Roman"/>
          <w:i/>
          <w:color w:val="000000" w:themeColor="text1"/>
          <w:szCs w:val="24"/>
        </w:rPr>
        <w:fldChar w:fldCharType="begin"/>
      </w:r>
      <w:r w:rsidRPr="00EC0229">
        <w:instrText xml:space="preserve"> XE "</w:instrText>
      </w:r>
      <w:r w:rsidRPr="00EC0229">
        <w:rPr>
          <w:rFonts w:cs="Times New Roman"/>
          <w:i/>
          <w:color w:val="000000" w:themeColor="text1"/>
          <w:szCs w:val="24"/>
        </w:rPr>
        <w:instrText>tonlieu</w:instrText>
      </w:r>
      <w:r w:rsidRPr="00EC0229">
        <w:instrText xml:space="preserve">" </w:instrText>
      </w:r>
      <w:r w:rsidRPr="00EC0229">
        <w:rPr>
          <w:rFonts w:cs="Times New Roman"/>
          <w:i/>
          <w:color w:val="000000" w:themeColor="text1"/>
          <w:szCs w:val="24"/>
        </w:rPr>
        <w:fldChar w:fldCharType="end"/>
      </w:r>
      <w:r w:rsidRPr="00EC0229">
        <w:rPr>
          <w:rStyle w:val="FootnoteReference"/>
          <w:rFonts w:cs="Times New Roman"/>
          <w:color w:val="000000" w:themeColor="text1"/>
          <w:szCs w:val="24"/>
        </w:rPr>
        <w:footnoteReference w:id="56"/>
      </w:r>
      <w:r w:rsidRPr="00EC0229">
        <w:rPr>
          <w:rFonts w:cs="Times New Roman"/>
          <w:color w:val="000000" w:themeColor="text1"/>
          <w:szCs w:val="24"/>
        </w:rPr>
        <w:t xml:space="preserve"> and the imposts, the circulation and the minting of money</w:t>
      </w:r>
      <w:r w:rsidRPr="00EC0229">
        <w:rPr>
          <w:rFonts w:cs="Times New Roman"/>
          <w:color w:val="000000" w:themeColor="text1"/>
          <w:szCs w:val="24"/>
        </w:rPr>
        <w:fldChar w:fldCharType="begin"/>
      </w:r>
      <w:r w:rsidRPr="00EC0229">
        <w:instrText xml:space="preserve"> XE "money" </w:instrText>
      </w:r>
      <w:r w:rsidRPr="00EC0229">
        <w:rPr>
          <w:rFonts w:cs="Times New Roman"/>
          <w:color w:val="000000" w:themeColor="text1"/>
          <w:szCs w:val="24"/>
        </w:rPr>
        <w:fldChar w:fldCharType="end"/>
      </w:r>
      <w:r w:rsidRPr="00EC0229">
        <w:rPr>
          <w:rFonts w:cs="Times New Roman"/>
          <w:color w:val="000000" w:themeColor="text1"/>
          <w:szCs w:val="24"/>
        </w:rPr>
        <w:t>, the lending of money at interest, the absence of small markets, and the persistence of a constant commercial activity in the cities, where there were merchants by profession.’</w:t>
      </w:r>
      <w:r w:rsidRPr="00EC0229">
        <w:rPr>
          <w:rStyle w:val="FootnoteReference"/>
          <w:rFonts w:cs="Times New Roman"/>
          <w:color w:val="000000" w:themeColor="text1"/>
          <w:szCs w:val="24"/>
        </w:rPr>
        <w:footnoteReference w:id="57"/>
      </w:r>
      <w:r w:rsidRPr="00EC0229">
        <w:rPr>
          <w:rFonts w:cs="Times New Roman"/>
          <w:color w:val="000000" w:themeColor="text1"/>
          <w:szCs w:val="24"/>
        </w:rPr>
        <w:t xml:space="preserve">  This continued until disrupted by the Islamic invasion of the Mediterranean. </w:t>
      </w:r>
      <w:bookmarkStart w:id="72" w:name="TransSaharangold"/>
      <w:bookmarkEnd w:id="72"/>
      <w:r w:rsidRPr="00EC0229">
        <w:rPr>
          <w:rFonts w:cs="Times New Roman"/>
          <w:color w:val="000000" w:themeColor="text1"/>
          <w:szCs w:val="24"/>
        </w:rPr>
        <w:t>Europe was then deprived of trans-Saharan gold</w:t>
      </w:r>
      <w:r w:rsidRPr="00EC0229">
        <w:rPr>
          <w:rFonts w:cs="Times New Roman"/>
          <w:color w:val="000000" w:themeColor="text1"/>
          <w:szCs w:val="24"/>
        </w:rPr>
        <w:fldChar w:fldCharType="begin"/>
      </w:r>
      <w:r w:rsidRPr="00EC0229">
        <w:instrText xml:space="preserve"> XE "</w:instrText>
      </w:r>
      <w:r w:rsidRPr="00EC0229">
        <w:rPr>
          <w:rFonts w:cs="Times New Roman"/>
          <w:color w:val="000000" w:themeColor="text1"/>
          <w:szCs w:val="24"/>
        </w:rPr>
        <w:instrText>Trans-Saharan 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supplies and its coinage was transferred to a silver standard.</w:t>
      </w:r>
      <w:r w:rsidRPr="00EC0229">
        <w:rPr>
          <w:rStyle w:val="FootnoteReference"/>
          <w:rFonts w:cs="Times New Roman"/>
          <w:color w:val="000000" w:themeColor="text1"/>
          <w:szCs w:val="24"/>
        </w:rPr>
        <w:footnoteReference w:id="58"/>
      </w:r>
      <w:r w:rsidRPr="00EC0229">
        <w:rPr>
          <w:rFonts w:cs="Times New Roman"/>
          <w:color w:val="000000" w:themeColor="text1"/>
          <w:szCs w:val="24"/>
        </w:rPr>
        <w:t xml:space="preserve"> Pirenne believed that the instrument of change after Charlemagne</w:t>
      </w:r>
      <w:r w:rsidRPr="00EC0229">
        <w:rPr>
          <w:rFonts w:cs="Times New Roman"/>
          <w:color w:val="000000" w:themeColor="text1"/>
          <w:szCs w:val="24"/>
        </w:rPr>
        <w:fldChar w:fldCharType="begin"/>
      </w:r>
      <w:r w:rsidRPr="00EC0229">
        <w:instrText xml:space="preserve"> XE "</w:instrText>
      </w:r>
      <w:r w:rsidRPr="00EC0229">
        <w:rPr>
          <w:rFonts w:cs="Times New Roman"/>
          <w:color w:val="000000" w:themeColor="text1"/>
          <w:szCs w:val="24"/>
        </w:rPr>
        <w:instrText>Charlemagne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’s expansionist rule was the Viking</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incursions which ultimately resulted in a more urban society.</w:t>
      </w:r>
      <w:r w:rsidRPr="00EC0229">
        <w:rPr>
          <w:rStyle w:val="FootnoteReference"/>
          <w:rFonts w:cs="Times New Roman"/>
          <w:color w:val="000000" w:themeColor="text1"/>
          <w:szCs w:val="24"/>
        </w:rPr>
        <w:footnoteReference w:id="59"/>
      </w:r>
    </w:p>
    <w:p w14:paraId="5E344983" w14:textId="77777777" w:rsidR="003F22F2" w:rsidRPr="00EC0229" w:rsidRDefault="003F22F2" w:rsidP="003F22F2">
      <w:pPr>
        <w:pStyle w:val="NoSpacing"/>
        <w:spacing w:line="360" w:lineRule="auto"/>
        <w:rPr>
          <w:rFonts w:cs="Times New Roman"/>
          <w:color w:val="000000" w:themeColor="text1"/>
          <w:szCs w:val="24"/>
        </w:rPr>
      </w:pPr>
    </w:p>
    <w:p w14:paraId="16F4FC50" w14:textId="54CC94EE"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Pirenne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can be criticised for too broad an approach resulting in an inadequate account of complex regional differences. </w:t>
      </w:r>
      <w:r w:rsidRPr="00EC0229">
        <w:t>Grierson emphasised the non-monetary use of coin – for fines, tribute, and gifts.</w:t>
      </w:r>
      <w:r w:rsidRPr="00EC0229">
        <w:rPr>
          <w:rStyle w:val="FootnoteReference"/>
        </w:rPr>
        <w:footnoteReference w:id="60"/>
      </w:r>
      <w:r w:rsidRPr="00EC0229">
        <w:t xml:space="preserve"> Grierson here supported Pirenne’s view of a dismal post-Islamic period with a dearth of coinage and trade. However, the wealth of metal-detecting</w:t>
      </w:r>
      <w:r w:rsidRPr="00EC0229">
        <w:fldChar w:fldCharType="begin"/>
      </w:r>
      <w:r w:rsidRPr="00EC0229">
        <w:instrText xml:space="preserve"> XE "metal-detecting" </w:instrText>
      </w:r>
      <w:r w:rsidRPr="00EC0229">
        <w:fldChar w:fldCharType="end"/>
      </w:r>
      <w:r w:rsidRPr="00EC0229">
        <w:t xml:space="preserve"> finds and archaeology in the main trading settlements demonstrates the vibrancy of this era. </w:t>
      </w:r>
      <w:r w:rsidRPr="00EC0229">
        <w:rPr>
          <w:rFonts w:cs="Times New Roman"/>
          <w:color w:val="000000" w:themeColor="text1"/>
          <w:szCs w:val="24"/>
        </w:rPr>
        <w:t>Spufford’s account of diminishing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use in Europe is described at page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Spufford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94</w:t>
      </w:r>
      <w:r w:rsidRPr="00EC0229">
        <w:rPr>
          <w:rFonts w:cs="Times New Roman"/>
          <w:color w:val="000000" w:themeColor="text1"/>
          <w:szCs w:val="24"/>
        </w:rPr>
        <w:fldChar w:fldCharType="end"/>
      </w:r>
      <w:r w:rsidRPr="00EC0229">
        <w:rPr>
          <w:rFonts w:cs="Times New Roman"/>
          <w:color w:val="000000" w:themeColor="text1"/>
          <w:szCs w:val="24"/>
        </w:rPr>
        <w:t>,</w:t>
      </w:r>
      <w:r w:rsidRPr="00EC0229">
        <w:rPr>
          <w:rStyle w:val="FootnoteReference"/>
          <w:rFonts w:cs="Times New Roman"/>
          <w:color w:val="000000" w:themeColor="text1"/>
          <w:szCs w:val="24"/>
        </w:rPr>
        <w:footnoteReference w:id="61"/>
      </w:r>
      <w:r w:rsidRPr="00EC0229">
        <w:rPr>
          <w:rFonts w:cs="Times New Roman"/>
          <w:color w:val="000000" w:themeColor="text1"/>
          <w:szCs w:val="24"/>
        </w:rPr>
        <w:t xml:space="preserve"> but absence of any mention of Pirenne by Spufford is indicative that the discussion had moved on.</w:t>
      </w:r>
      <w:r w:rsidRPr="00EC0229">
        <w:rPr>
          <w:rStyle w:val="FootnoteReference"/>
          <w:rFonts w:cs="Times New Roman"/>
          <w:color w:val="000000" w:themeColor="text1"/>
          <w:szCs w:val="24"/>
        </w:rPr>
        <w:footnoteReference w:id="62"/>
      </w:r>
      <w:r w:rsidRPr="00EC0229">
        <w:rPr>
          <w:rFonts w:cs="Times New Roman"/>
          <w:color w:val="000000" w:themeColor="text1"/>
          <w:szCs w:val="24"/>
        </w:rPr>
        <w:t xml:space="preserve"> Naismith</w:t>
      </w:r>
      <w:r w:rsidRPr="00EC0229">
        <w:rPr>
          <w:rFonts w:cs="Times New Roman"/>
          <w:color w:val="000000" w:themeColor="text1"/>
          <w:szCs w:val="24"/>
        </w:rPr>
        <w:fldChar w:fldCharType="begin"/>
      </w:r>
      <w:r w:rsidRPr="00EC0229">
        <w:instrText xml:space="preserve"> XE "</w:instrText>
      </w:r>
      <w:r w:rsidRPr="00EC0229">
        <w:rPr>
          <w:rFonts w:cs="Times New Roman"/>
          <w:szCs w:val="24"/>
        </w:rPr>
        <w:instrText>Naismith</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described the variety of forms of giving,</w:t>
      </w:r>
      <w:r w:rsidRPr="00EC0229">
        <w:rPr>
          <w:rStyle w:val="FootnoteReference"/>
          <w:rFonts w:cs="Times New Roman"/>
          <w:color w:val="000000" w:themeColor="text1"/>
          <w:szCs w:val="24"/>
        </w:rPr>
        <w:footnoteReference w:id="63"/>
      </w:r>
      <w:r w:rsidRPr="00EC0229">
        <w:rPr>
          <w:rFonts w:cs="Times New Roman"/>
          <w:color w:val="000000" w:themeColor="text1"/>
          <w:szCs w:val="24"/>
        </w:rPr>
        <w:t xml:space="preserve"> and having analysed payments in Anglo-Saxon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charters dated before </w:t>
      </w:r>
      <w:r w:rsidRPr="00EC0229">
        <w:rPr>
          <w:rFonts w:cs="Times New Roman"/>
          <w:i/>
          <w:color w:val="000000" w:themeColor="text1"/>
          <w:szCs w:val="24"/>
        </w:rPr>
        <w:t>c.</w:t>
      </w:r>
      <w:r w:rsidRPr="00EC0229">
        <w:rPr>
          <w:rFonts w:cs="Times New Roman"/>
          <w:color w:val="000000" w:themeColor="text1"/>
          <w:szCs w:val="24"/>
        </w:rPr>
        <w:t>900, noted the prevalence of precious metal, particularly gold, and gifts as means of payment for land. Pennies ‘were primarily a currency for more mundane purposes concentrated below the elite.’</w:t>
      </w:r>
      <w:r w:rsidRPr="00EC0229">
        <w:rPr>
          <w:rStyle w:val="FootnoteReference"/>
          <w:rFonts w:cs="Times New Roman"/>
          <w:color w:val="000000" w:themeColor="text1"/>
          <w:szCs w:val="24"/>
        </w:rPr>
        <w:footnoteReference w:id="64"/>
      </w:r>
      <w:r w:rsidRPr="00EC0229">
        <w:rPr>
          <w:rFonts w:cs="Times New Roman"/>
          <w:color w:val="000000" w:themeColor="text1"/>
          <w:szCs w:val="24"/>
        </w:rPr>
        <w:t xml:space="preserve"> In view of the substantial volume of coinage in the early Anglo-Saxon </w:t>
      </w:r>
      <w:r w:rsidRPr="00EC0229">
        <w:rPr>
          <w:rFonts w:cs="Times New Roman"/>
          <w:color w:val="000000" w:themeColor="text1"/>
          <w:szCs w:val="24"/>
        </w:rPr>
        <w:lastRenderedPageBreak/>
        <w:t>period, Naismith diminished the rôle of gift-giving by the élite</w:t>
      </w:r>
      <w:r w:rsidRPr="00EC0229">
        <w:rPr>
          <w:rFonts w:cs="Times New Roman"/>
          <w:color w:val="000000" w:themeColor="text1"/>
          <w:szCs w:val="24"/>
        </w:rPr>
        <w:fldChar w:fldCharType="begin"/>
      </w:r>
      <w:r w:rsidRPr="00EC0229">
        <w:instrText xml:space="preserve"> XE "</w:instrText>
      </w:r>
      <w:r w:rsidRPr="00EC0229">
        <w:rPr>
          <w:szCs w:val="24"/>
        </w:rPr>
        <w:instrText>élite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advocated a more flexible approach recognising the versatile nature of currency.</w:t>
      </w:r>
      <w:r w:rsidRPr="00EC0229">
        <w:rPr>
          <w:rStyle w:val="FootnoteReference"/>
          <w:rFonts w:cs="Times New Roman"/>
          <w:color w:val="000000" w:themeColor="text1"/>
          <w:szCs w:val="24"/>
        </w:rPr>
        <w:footnoteReference w:id="65"/>
      </w:r>
    </w:p>
    <w:p w14:paraId="4F8034BF" w14:textId="77777777" w:rsidR="003F22F2" w:rsidRPr="00EC0229" w:rsidRDefault="003F22F2" w:rsidP="003F22F2">
      <w:pPr>
        <w:pStyle w:val="NoSpacing"/>
        <w:spacing w:line="360" w:lineRule="auto"/>
        <w:rPr>
          <w:rFonts w:cs="Times New Roman"/>
          <w:color w:val="000000" w:themeColor="text1"/>
          <w:szCs w:val="24"/>
        </w:rPr>
      </w:pPr>
    </w:p>
    <w:p w14:paraId="04745942" w14:textId="77777777"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Scott’s 2012 resurrection of Pirenne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’s thesis is not merely a significant revision that deserves attention, it effectively refutes criticism of Pirenne, specifically by Hodges</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Waterhouse, but is, above all, a searing, yet compelling, indictment of Islam.</w:t>
      </w:r>
      <w:r w:rsidRPr="00EC0229">
        <w:rPr>
          <w:rStyle w:val="FootnoteReference"/>
          <w:rFonts w:cs="Times New Roman"/>
          <w:color w:val="000000" w:themeColor="text1"/>
          <w:szCs w:val="24"/>
        </w:rPr>
        <w:footnoteReference w:id="66"/>
      </w:r>
    </w:p>
    <w:p w14:paraId="7E90F298" w14:textId="77777777" w:rsidR="003F22F2" w:rsidRPr="00EC0229" w:rsidRDefault="003F22F2" w:rsidP="003F22F2">
      <w:pPr>
        <w:pStyle w:val="NoSpacing"/>
        <w:spacing w:line="360" w:lineRule="auto"/>
        <w:rPr>
          <w:rFonts w:cs="Times New Roman"/>
          <w:color w:val="000000" w:themeColor="text1"/>
          <w:szCs w:val="24"/>
        </w:rPr>
      </w:pPr>
    </w:p>
    <w:p w14:paraId="19B7A536" w14:textId="78D77427" w:rsidR="003F22F2" w:rsidRPr="00EC0229" w:rsidRDefault="003F22F2" w:rsidP="003F22F2">
      <w:pPr>
        <w:pStyle w:val="NoSpacing"/>
        <w:spacing w:line="360" w:lineRule="auto"/>
        <w:rPr>
          <w:rFonts w:cs="Times New Roman"/>
          <w:color w:val="FF0000"/>
          <w:szCs w:val="24"/>
        </w:rPr>
      </w:pPr>
      <w:r w:rsidRPr="00EC0229">
        <w:rPr>
          <w:rFonts w:cs="Times New Roman"/>
          <w:color w:val="000000" w:themeColor="text1"/>
          <w:szCs w:val="24"/>
        </w:rPr>
        <w:t>Scott gave evidence of architectural and intellectual activity to demonstrate that far from the ‘Barbarian’ invasion of the Western Empire having a catastrophic effect, it was virtually seamless (</w:t>
      </w:r>
      <w:r w:rsidRPr="00EC0229">
        <w:rPr>
          <w:rFonts w:cs="Times New Roman"/>
          <w:color w:val="000000" w:themeColor="text1"/>
          <w:szCs w:val="24"/>
        </w:rPr>
        <w:fldChar w:fldCharType="begin"/>
      </w:r>
      <w:r w:rsidRPr="00EC0229">
        <w:rPr>
          <w:rFonts w:cs="Times New Roman"/>
          <w:color w:val="000000" w:themeColor="text1"/>
          <w:szCs w:val="24"/>
        </w:rPr>
        <w:instrText xml:space="preserve"> REF _Ref430245884 \h  \* MERGEFORMAT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sidRPr="0012026B">
        <w:rPr>
          <w:i/>
          <w:color w:val="000000" w:themeColor="text1"/>
          <w:szCs w:val="24"/>
        </w:rPr>
        <w:t>Figure</w:t>
      </w:r>
      <w:r w:rsidR="0012026B" w:rsidRPr="0012026B">
        <w:rPr>
          <w:color w:val="000000" w:themeColor="text1"/>
          <w:sz w:val="20"/>
          <w:szCs w:val="20"/>
        </w:rPr>
        <w:t xml:space="preserve"> </w:t>
      </w:r>
      <w:r w:rsidR="0012026B" w:rsidRPr="0012026B">
        <w:rPr>
          <w:noProof/>
          <w:color w:val="000000" w:themeColor="text1"/>
          <w:szCs w:val="24"/>
        </w:rPr>
        <w:t>1</w:t>
      </w:r>
      <w:r w:rsidRPr="00EC0229">
        <w:rPr>
          <w:rFonts w:cs="Times New Roman"/>
          <w:color w:val="000000" w:themeColor="text1"/>
          <w:szCs w:val="24"/>
        </w:rPr>
        <w:fldChar w:fldCharType="end"/>
      </w:r>
      <w:r w:rsidRPr="00EC0229">
        <w:rPr>
          <w:rFonts w:cs="Times New Roman"/>
          <w:color w:val="000000" w:themeColor="text1"/>
          <w:szCs w:val="24"/>
        </w:rPr>
        <w:t>).</w:t>
      </w:r>
      <w:r w:rsidRPr="00EC0229">
        <w:rPr>
          <w:rStyle w:val="FootnoteReference"/>
          <w:rFonts w:cs="Times New Roman"/>
          <w:color w:val="000000" w:themeColor="text1"/>
          <w:szCs w:val="24"/>
        </w:rPr>
        <w:footnoteReference w:id="67"/>
      </w:r>
      <w:r w:rsidRPr="00EC0229">
        <w:rPr>
          <w:rFonts w:cs="Times New Roman"/>
          <w:color w:val="000000" w:themeColor="text1"/>
          <w:szCs w:val="24"/>
        </w:rPr>
        <w:t xml:space="preserve"> The Gothic hordes were only too keen to be assimilated into Roman</w:t>
      </w:r>
      <w:r w:rsidRPr="00EC0229">
        <w:rPr>
          <w:rFonts w:cs="Times New Roman"/>
          <w:color w:val="000000" w:themeColor="text1"/>
          <w:szCs w:val="24"/>
        </w:rPr>
        <w:fldChar w:fldCharType="begin"/>
      </w:r>
      <w:r w:rsidRPr="00EC0229">
        <w:instrText xml:space="preserve"> XE "Roman" </w:instrText>
      </w:r>
      <w:r w:rsidRPr="00EC0229">
        <w:rPr>
          <w:rFonts w:cs="Times New Roman"/>
          <w:color w:val="000000" w:themeColor="text1"/>
          <w:szCs w:val="24"/>
        </w:rPr>
        <w:fldChar w:fldCharType="end"/>
      </w:r>
      <w:r w:rsidRPr="00EC0229">
        <w:rPr>
          <w:rFonts w:cs="Times New Roman"/>
          <w:color w:val="000000" w:themeColor="text1"/>
          <w:szCs w:val="24"/>
        </w:rPr>
        <w:t xml:space="preserve"> ways.</w:t>
      </w:r>
      <w:r w:rsidRPr="00EC0229">
        <w:rPr>
          <w:rFonts w:cs="Times New Roman"/>
          <w:color w:val="FF0000"/>
          <w:szCs w:val="24"/>
        </w:rPr>
        <w:t xml:space="preserve"> </w:t>
      </w:r>
    </w:p>
    <w:p w14:paraId="69CA2A7E" w14:textId="77777777" w:rsidR="003F22F2" w:rsidRPr="00EC0229" w:rsidRDefault="003F22F2" w:rsidP="003F22F2">
      <w:pPr>
        <w:tabs>
          <w:tab w:val="left" w:pos="3330"/>
          <w:tab w:val="left" w:pos="6259"/>
        </w:tabs>
        <w:spacing w:before="120" w:after="200" w:line="360" w:lineRule="auto"/>
        <w:ind w:left="216"/>
        <w:jc w:val="left"/>
        <w:rPr>
          <w:rFonts w:eastAsia="Times New Roman" w:cs="Times New Roman"/>
          <w:sz w:val="28"/>
          <w:szCs w:val="28"/>
        </w:rPr>
      </w:pPr>
      <w:r w:rsidRPr="00EC0229">
        <w:rPr>
          <w:rFonts w:eastAsia="Times New Roman" w:cs="Times New Roman"/>
          <w:b/>
          <w:noProof/>
          <w:sz w:val="28"/>
          <w:szCs w:val="28"/>
          <w:lang w:eastAsia="en-GB"/>
        </w:rPr>
        <w:drawing>
          <wp:inline distT="0" distB="0" distL="0" distR="0" wp14:anchorId="78E640AC" wp14:editId="344C0976">
            <wp:extent cx="1472182" cy="1314450"/>
            <wp:effectExtent l="0" t="0" r="0" b="0"/>
            <wp:docPr id="3" name="Picture 3" descr="C:\Users\James\Pictures\0 COINS\0 ANCIENT COINS\02 ROMAN COINS 2013\10x ROMAN GOLD DUPLICATE PHOTOS FROM TRAYS 8-10\273 Anastasius (491-518) AV trem Const. 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Pictures\0 COINS\0 ANCIENT COINS\02 ROMAN COINS 2013\10x ROMAN GOLD DUPLICATE PHOTOS FROM TRAYS 8-10\273 Anastasius (491-518) AV trem Const. D.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83260" cy="1324341"/>
                    </a:xfrm>
                    <a:prstGeom prst="rect">
                      <a:avLst/>
                    </a:prstGeom>
                    <a:noFill/>
                    <a:ln>
                      <a:noFill/>
                    </a:ln>
                  </pic:spPr>
                </pic:pic>
              </a:graphicData>
            </a:graphic>
          </wp:inline>
        </w:drawing>
      </w:r>
      <w:r w:rsidRPr="00EC0229">
        <w:rPr>
          <w:rFonts w:eastAsia="Times New Roman" w:cs="Times New Roman"/>
          <w:sz w:val="28"/>
          <w:szCs w:val="28"/>
        </w:rPr>
        <w:tab/>
      </w:r>
      <w:r w:rsidRPr="00EC0229">
        <w:rPr>
          <w:rFonts w:eastAsia="Times New Roman" w:cs="Times New Roman"/>
          <w:b/>
          <w:noProof/>
          <w:sz w:val="28"/>
          <w:szCs w:val="28"/>
          <w:lang w:eastAsia="en-GB"/>
        </w:rPr>
        <w:drawing>
          <wp:inline distT="0" distB="0" distL="0" distR="0" wp14:anchorId="6413BAD3" wp14:editId="63F30B04">
            <wp:extent cx="1428979" cy="1343025"/>
            <wp:effectExtent l="0" t="0" r="0" b="0"/>
            <wp:docPr id="6" name="Picture 6" descr="C:\Users\James\Pictures\0 COINS\0 ANCIENT COINS\02 ROMAN COINS 2013\10 VALENTINIAN II - THEODORIC (35)\274 Ostr. Theodoric (493-526) AV trem. Rome. Kent 11 var., BMC V pl. VII, 1-2 var. Goodacre 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Pictures\0 COINS\0 ANCIENT COINS\02 ROMAN COINS 2013\10 VALENTINIAN II - THEODORIC (35)\274 Ostr. Theodoric (493-526) AV trem. Rome. Kent 11 var., BMC V pl. VII, 1-2 var. Goodacre 198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979" cy="1343025"/>
                    </a:xfrm>
                    <a:prstGeom prst="rect">
                      <a:avLst/>
                    </a:prstGeom>
                    <a:noFill/>
                    <a:ln>
                      <a:noFill/>
                    </a:ln>
                  </pic:spPr>
                </pic:pic>
              </a:graphicData>
            </a:graphic>
          </wp:inline>
        </w:drawing>
      </w:r>
      <w:r w:rsidRPr="00EC0229">
        <w:rPr>
          <w:rFonts w:eastAsia="Times New Roman" w:cs="Times New Roman"/>
          <w:sz w:val="28"/>
          <w:szCs w:val="28"/>
        </w:rPr>
        <w:tab/>
      </w:r>
      <w:r w:rsidRPr="00EC0229">
        <w:rPr>
          <w:rFonts w:eastAsia="Times New Roman" w:cs="Times New Roman"/>
          <w:b/>
          <w:noProof/>
          <w:sz w:val="28"/>
          <w:szCs w:val="28"/>
          <w:lang w:eastAsia="en-GB"/>
        </w:rPr>
        <w:drawing>
          <wp:inline distT="0" distB="0" distL="0" distR="0" wp14:anchorId="7DFA7489" wp14:editId="0C55B50B">
            <wp:extent cx="1466379" cy="1323975"/>
            <wp:effectExtent l="0" t="0" r="635" b="0"/>
            <wp:docPr id="14" name="Picture 14" descr="C:\Users\James\Pictures\0 COINS\0 ANCIENT COINS\02 ROMAN COINS 2013\10 VALENTINIAN II - THEODORIC (35)\275 Italian or Merovingian. AV trem. 6thC; looped DN MAVGG….TI…Λ…V; Victory adv. r. fd Drif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es\Pictures\0 COINS\0 ANCIENT COINS\02 ROMAN COINS 2013\10 VALENTINIAN II - THEODORIC (35)\275 Italian or Merovingian. AV trem. 6thC; looped DN MAVGG….TI…Λ…V; Victory adv. r. fd Driffiel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71513" cy="1328610"/>
                    </a:xfrm>
                    <a:prstGeom prst="rect">
                      <a:avLst/>
                    </a:prstGeom>
                    <a:noFill/>
                    <a:ln>
                      <a:noFill/>
                    </a:ln>
                  </pic:spPr>
                </pic:pic>
              </a:graphicData>
            </a:graphic>
          </wp:inline>
        </w:drawing>
      </w:r>
    </w:p>
    <w:p w14:paraId="0BCD01A9" w14:textId="77777777" w:rsidR="003F22F2" w:rsidRPr="00EC0229" w:rsidRDefault="003F22F2" w:rsidP="003F22F2">
      <w:pPr>
        <w:spacing w:after="200" w:line="360" w:lineRule="auto"/>
        <w:jc w:val="center"/>
        <w:rPr>
          <w:rFonts w:eastAsia="Times New Roman" w:cs="Times New Roman"/>
        </w:rPr>
      </w:pPr>
      <w:r w:rsidRPr="00EC0229">
        <w:rPr>
          <w:rFonts w:eastAsia="Times New Roman" w:cs="Times New Roman"/>
          <w:b/>
          <w:noProof/>
          <w:lang w:eastAsia="en-GB"/>
        </w:rPr>
        <w:drawing>
          <wp:inline distT="0" distB="0" distL="0" distR="0" wp14:anchorId="4F0F117B" wp14:editId="101E7527">
            <wp:extent cx="1457325" cy="1329675"/>
            <wp:effectExtent l="0" t="0" r="0" b="4445"/>
            <wp:docPr id="5" name="Picture 5" descr="C:\Users\James\Pictures\0 COINS\0 ANCIENT COINS\02 ROMAN COINS 2013\10x ROMAN GOLD DUPLICATE PHOTOS FROM TRAYS 8-10\273r Anastasius (491-518) AV trem Const. 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Pictures\0 COINS\0 ANCIENT COINS\02 ROMAN COINS 2013\10x ROMAN GOLD DUPLICATE PHOTOS FROM TRAYS 8-10\273r Anastasius (491-518) AV trem Const. D.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57325" cy="1329675"/>
                    </a:xfrm>
                    <a:prstGeom prst="rect">
                      <a:avLst/>
                    </a:prstGeom>
                    <a:noFill/>
                    <a:ln>
                      <a:noFill/>
                    </a:ln>
                  </pic:spPr>
                </pic:pic>
              </a:graphicData>
            </a:graphic>
          </wp:inline>
        </w:drawing>
      </w:r>
      <w:r w:rsidRPr="00EC0229">
        <w:rPr>
          <w:rFonts w:eastAsia="Times New Roman" w:cs="Times New Roman"/>
        </w:rPr>
        <w:tab/>
      </w:r>
      <w:r w:rsidRPr="00EC0229">
        <w:rPr>
          <w:rFonts w:eastAsia="Times New Roman" w:cs="Times New Roman"/>
          <w:b/>
          <w:noProof/>
          <w:lang w:eastAsia="en-GB"/>
        </w:rPr>
        <w:drawing>
          <wp:inline distT="0" distB="0" distL="0" distR="0" wp14:anchorId="7B8107FF" wp14:editId="201CAFA2">
            <wp:extent cx="1424639" cy="1333500"/>
            <wp:effectExtent l="0" t="0" r="4445" b="0"/>
            <wp:docPr id="9" name="Picture 9" descr="C:\Users\James\Pictures\0 COINS\0 ANCIENT COINS\02 ROMAN COINS 2013\10 VALENTINIAN II - THEODORIC (35)\274xr Ostr. Theodoric (493-526) AV trem. Rome; VICTORIA AVGVSTORVM, star r., in ex. CON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Pictures\0 COINS\0 ANCIENT COINS\02 ROMAN COINS 2013\10 VALENTINIAN II - THEODORIC (35)\274xr Ostr. Theodoric (493-526) AV trem. Rome; VICTORIA AVGVSTORVM, star r., in ex. CONO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28427" cy="1337046"/>
                    </a:xfrm>
                    <a:prstGeom prst="rect">
                      <a:avLst/>
                    </a:prstGeom>
                    <a:noFill/>
                    <a:ln>
                      <a:noFill/>
                    </a:ln>
                  </pic:spPr>
                </pic:pic>
              </a:graphicData>
            </a:graphic>
          </wp:inline>
        </w:drawing>
      </w:r>
      <w:r w:rsidRPr="00EC0229">
        <w:rPr>
          <w:rFonts w:eastAsia="Times New Roman" w:cs="Times New Roman"/>
        </w:rPr>
        <w:tab/>
      </w:r>
      <w:r w:rsidRPr="00EC0229">
        <w:rPr>
          <w:rFonts w:eastAsia="Times New Roman" w:cs="Times New Roman"/>
          <w:b/>
          <w:noProof/>
          <w:lang w:eastAsia="en-GB"/>
        </w:rPr>
        <w:drawing>
          <wp:inline distT="0" distB="0" distL="0" distR="0" wp14:anchorId="078AA635" wp14:editId="6D16F640">
            <wp:extent cx="1491140" cy="1310852"/>
            <wp:effectExtent l="0" t="0" r="0" b="3810"/>
            <wp:docPr id="13" name="Picture 13" descr="C:\Users\James\Pictures\0 COINS\0 ANCIENT COINS\02 ROMAN COINS 2013\10 VALENTINIAN II - THEODORIC (35)\275r Italian or Merovingian. AV trem. 6thC; looped VICTOPIΛ ΛVGUITORVN (N reversed). fd Driffield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es\Pictures\0 COINS\0 ANCIENT COINS\02 ROMAN COINS 2013\10 VALENTINIAN II - THEODORIC (35)\275r Italian or Merovingian. AV trem. 6thC; looped VICTOPIΛ ΛVGUITORVN (N reversed). fd Driffield 20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02832" cy="1321130"/>
                    </a:xfrm>
                    <a:prstGeom prst="rect">
                      <a:avLst/>
                    </a:prstGeom>
                    <a:noFill/>
                    <a:ln>
                      <a:noFill/>
                    </a:ln>
                  </pic:spPr>
                </pic:pic>
              </a:graphicData>
            </a:graphic>
          </wp:inline>
        </w:drawing>
      </w:r>
    </w:p>
    <w:p w14:paraId="7D01EC3C" w14:textId="75A812A0" w:rsidR="003F22F2" w:rsidRPr="00161418" w:rsidRDefault="003F22F2" w:rsidP="00161418">
      <w:pPr>
        <w:pStyle w:val="NoSpacing"/>
        <w:rPr>
          <w:sz w:val="20"/>
          <w:szCs w:val="20"/>
        </w:rPr>
      </w:pPr>
      <w:r w:rsidRPr="00EC0229">
        <w:rPr>
          <w:rFonts w:eastAsia="Times New Roman"/>
          <w:sz w:val="20"/>
          <w:szCs w:val="20"/>
        </w:rPr>
        <w:t>Left: Anastasius (491-518) gold</w:t>
      </w:r>
      <w:r w:rsidRPr="00EC0229">
        <w:rPr>
          <w:rFonts w:eastAsia="Times New Roman"/>
          <w:sz w:val="20"/>
          <w:szCs w:val="20"/>
        </w:rPr>
        <w:fldChar w:fldCharType="begin"/>
      </w:r>
      <w:r w:rsidRPr="00EC0229">
        <w:rPr>
          <w:sz w:val="20"/>
          <w:szCs w:val="20"/>
        </w:rPr>
        <w:instrText xml:space="preserve"> XE "</w:instrText>
      </w:r>
      <w:r w:rsidRPr="00EC0229">
        <w:rPr>
          <w:rFonts w:eastAsia="Times New Roman"/>
          <w:sz w:val="20"/>
          <w:szCs w:val="20"/>
          <w:lang w:eastAsia="en-GB"/>
        </w:rPr>
        <w:instrText>gold</w:instrText>
      </w:r>
      <w:r w:rsidRPr="00EC0229">
        <w:rPr>
          <w:sz w:val="20"/>
          <w:szCs w:val="20"/>
        </w:rPr>
        <w:instrText xml:space="preserve">" </w:instrText>
      </w:r>
      <w:r w:rsidRPr="00EC0229">
        <w:rPr>
          <w:rFonts w:eastAsia="Times New Roman"/>
          <w:sz w:val="20"/>
          <w:szCs w:val="20"/>
        </w:rPr>
        <w:fldChar w:fldCharType="end"/>
      </w:r>
      <w:r w:rsidRPr="00EC0229">
        <w:rPr>
          <w:rFonts w:eastAsia="Times New Roman"/>
          <w:sz w:val="20"/>
          <w:szCs w:val="20"/>
        </w:rPr>
        <w:t xml:space="preserve">  tremissis</w:t>
      </w:r>
      <w:r w:rsidRPr="00EC0229">
        <w:rPr>
          <w:rFonts w:eastAsia="Times New Roman"/>
          <w:sz w:val="20"/>
          <w:szCs w:val="20"/>
        </w:rPr>
        <w:fldChar w:fldCharType="begin"/>
      </w:r>
      <w:r w:rsidRPr="00EC0229">
        <w:rPr>
          <w:sz w:val="20"/>
          <w:szCs w:val="20"/>
        </w:rPr>
        <w:instrText xml:space="preserve"> XE "</w:instrText>
      </w:r>
      <w:r w:rsidRPr="00EC0229">
        <w:rPr>
          <w:rFonts w:eastAsia="Times New Roman"/>
          <w:sz w:val="20"/>
          <w:szCs w:val="20"/>
        </w:rPr>
        <w:instrText>tremissis</w:instrText>
      </w:r>
      <w:r w:rsidRPr="00EC0229">
        <w:rPr>
          <w:sz w:val="20"/>
          <w:szCs w:val="20"/>
        </w:rPr>
        <w:instrText xml:space="preserve">" </w:instrText>
      </w:r>
      <w:r w:rsidRPr="00EC0229">
        <w:rPr>
          <w:rFonts w:eastAsia="Times New Roman"/>
          <w:sz w:val="20"/>
          <w:szCs w:val="20"/>
        </w:rPr>
        <w:fldChar w:fldCharType="end"/>
      </w:r>
      <w:r w:rsidRPr="00EC0229">
        <w:rPr>
          <w:rFonts w:eastAsia="Times New Roman"/>
          <w:sz w:val="20"/>
          <w:szCs w:val="20"/>
        </w:rPr>
        <w:t>, Constantinople. Sear 8</w:t>
      </w:r>
      <w:r w:rsidR="00161418">
        <w:rPr>
          <w:rFonts w:eastAsia="Times New Roman"/>
          <w:sz w:val="20"/>
          <w:szCs w:val="20"/>
        </w:rPr>
        <w:t xml:space="preserve">. </w:t>
      </w:r>
      <w:r w:rsidR="00161418" w:rsidRPr="00161418">
        <w:rPr>
          <w:sz w:val="20"/>
          <w:szCs w:val="20"/>
        </w:rPr>
        <w:t>(</w:t>
      </w:r>
      <w:r w:rsidR="00161418">
        <w:rPr>
          <w:sz w:val="20"/>
          <w:szCs w:val="20"/>
        </w:rPr>
        <w:t>C</w:t>
      </w:r>
      <w:r w:rsidR="00161418" w:rsidRPr="00161418">
        <w:rPr>
          <w:sz w:val="20"/>
          <w:szCs w:val="20"/>
        </w:rPr>
        <w:t>ourtesy James Booth)</w:t>
      </w:r>
      <w:r w:rsidR="00161418">
        <w:rPr>
          <w:sz w:val="20"/>
          <w:szCs w:val="20"/>
        </w:rPr>
        <w:t>.</w:t>
      </w:r>
      <w:r w:rsidR="00161418" w:rsidRPr="00161418">
        <w:rPr>
          <w:rStyle w:val="FootnoteReference"/>
          <w:sz w:val="20"/>
          <w:szCs w:val="20"/>
        </w:rPr>
        <w:footnoteReference w:id="68"/>
      </w:r>
    </w:p>
    <w:p w14:paraId="57AFE80A" w14:textId="5AAFD668" w:rsidR="003F22F2" w:rsidRPr="00EC0229" w:rsidRDefault="003F22F2" w:rsidP="00161418">
      <w:pPr>
        <w:pStyle w:val="NoSpacing"/>
        <w:spacing w:line="360" w:lineRule="auto"/>
        <w:rPr>
          <w:rFonts w:eastAsia="Times New Roman"/>
          <w:sz w:val="20"/>
          <w:szCs w:val="20"/>
        </w:rPr>
      </w:pPr>
      <w:r w:rsidRPr="00EC0229">
        <w:rPr>
          <w:rFonts w:eastAsia="Times New Roman"/>
          <w:sz w:val="20"/>
          <w:szCs w:val="20"/>
        </w:rPr>
        <w:t>Centre: Theoderic, King of the Ostrogoths (493-526), gold</w:t>
      </w:r>
      <w:r w:rsidRPr="00EC0229">
        <w:rPr>
          <w:rFonts w:eastAsia="Times New Roman"/>
          <w:sz w:val="20"/>
          <w:szCs w:val="20"/>
        </w:rPr>
        <w:fldChar w:fldCharType="begin"/>
      </w:r>
      <w:r w:rsidRPr="00EC0229">
        <w:rPr>
          <w:sz w:val="20"/>
          <w:szCs w:val="20"/>
        </w:rPr>
        <w:instrText xml:space="preserve"> XE "</w:instrText>
      </w:r>
      <w:r w:rsidRPr="00EC0229">
        <w:rPr>
          <w:rFonts w:eastAsia="Times New Roman"/>
          <w:sz w:val="20"/>
          <w:szCs w:val="20"/>
          <w:lang w:eastAsia="en-GB"/>
        </w:rPr>
        <w:instrText>gold</w:instrText>
      </w:r>
      <w:r w:rsidRPr="00EC0229">
        <w:rPr>
          <w:sz w:val="20"/>
          <w:szCs w:val="20"/>
        </w:rPr>
        <w:instrText xml:space="preserve">" </w:instrText>
      </w:r>
      <w:r w:rsidRPr="00EC0229">
        <w:rPr>
          <w:rFonts w:eastAsia="Times New Roman"/>
          <w:sz w:val="20"/>
          <w:szCs w:val="20"/>
        </w:rPr>
        <w:fldChar w:fldCharType="end"/>
      </w:r>
      <w:r w:rsidRPr="00EC0229">
        <w:rPr>
          <w:rFonts w:eastAsia="Times New Roman"/>
          <w:sz w:val="20"/>
          <w:szCs w:val="20"/>
        </w:rPr>
        <w:t xml:space="preserve">  tremissis</w:t>
      </w:r>
      <w:r w:rsidRPr="00EC0229">
        <w:rPr>
          <w:rFonts w:eastAsia="Times New Roman"/>
          <w:sz w:val="20"/>
          <w:szCs w:val="20"/>
        </w:rPr>
        <w:fldChar w:fldCharType="begin"/>
      </w:r>
      <w:r w:rsidRPr="00EC0229">
        <w:rPr>
          <w:sz w:val="20"/>
          <w:szCs w:val="20"/>
        </w:rPr>
        <w:instrText xml:space="preserve"> XE "</w:instrText>
      </w:r>
      <w:r w:rsidRPr="00EC0229">
        <w:rPr>
          <w:rFonts w:eastAsia="Times New Roman"/>
          <w:sz w:val="20"/>
          <w:szCs w:val="20"/>
        </w:rPr>
        <w:instrText>tremissis</w:instrText>
      </w:r>
      <w:r w:rsidRPr="00EC0229">
        <w:rPr>
          <w:sz w:val="20"/>
          <w:szCs w:val="20"/>
        </w:rPr>
        <w:instrText xml:space="preserve">" </w:instrText>
      </w:r>
      <w:r w:rsidRPr="00EC0229">
        <w:rPr>
          <w:rFonts w:eastAsia="Times New Roman"/>
          <w:sz w:val="20"/>
          <w:szCs w:val="20"/>
        </w:rPr>
        <w:fldChar w:fldCharType="end"/>
      </w:r>
      <w:r w:rsidRPr="00EC0229">
        <w:rPr>
          <w:rFonts w:eastAsia="Times New Roman"/>
          <w:sz w:val="20"/>
          <w:szCs w:val="20"/>
        </w:rPr>
        <w:t xml:space="preserve"> in the name of Anastasius, Rome. </w:t>
      </w:r>
      <w:r w:rsidRPr="00EC0229">
        <w:rPr>
          <w:rFonts w:eastAsia="Times New Roman"/>
          <w:i/>
          <w:sz w:val="20"/>
          <w:szCs w:val="20"/>
        </w:rPr>
        <w:t xml:space="preserve">MEC </w:t>
      </w:r>
      <w:r w:rsidRPr="00EC0229">
        <w:rPr>
          <w:rFonts w:eastAsia="Times New Roman"/>
          <w:sz w:val="20"/>
          <w:szCs w:val="20"/>
        </w:rPr>
        <w:t>114-15. Ex Goodacre, 1986</w:t>
      </w:r>
      <w:r w:rsidR="00161418">
        <w:rPr>
          <w:rFonts w:eastAsia="Times New Roman"/>
          <w:sz w:val="20"/>
          <w:szCs w:val="20"/>
        </w:rPr>
        <w:t xml:space="preserve">. </w:t>
      </w:r>
      <w:r w:rsidR="00161418" w:rsidRPr="00161418">
        <w:rPr>
          <w:sz w:val="20"/>
          <w:szCs w:val="20"/>
        </w:rPr>
        <w:t>(</w:t>
      </w:r>
      <w:r w:rsidR="00161418">
        <w:rPr>
          <w:sz w:val="20"/>
          <w:szCs w:val="20"/>
        </w:rPr>
        <w:t>C</w:t>
      </w:r>
      <w:r w:rsidR="00161418" w:rsidRPr="00161418">
        <w:rPr>
          <w:sz w:val="20"/>
          <w:szCs w:val="20"/>
        </w:rPr>
        <w:t>ourtesy James Booth)</w:t>
      </w:r>
      <w:r w:rsidR="00161418">
        <w:rPr>
          <w:sz w:val="20"/>
          <w:szCs w:val="20"/>
        </w:rPr>
        <w:t>.</w:t>
      </w:r>
    </w:p>
    <w:p w14:paraId="597409D2" w14:textId="3EF45A0D" w:rsidR="003F22F2" w:rsidRDefault="003F22F2" w:rsidP="00161418">
      <w:pPr>
        <w:pStyle w:val="NoSpacing"/>
        <w:spacing w:line="360" w:lineRule="auto"/>
        <w:rPr>
          <w:rFonts w:eastAsia="Times New Roman"/>
          <w:sz w:val="20"/>
          <w:szCs w:val="20"/>
        </w:rPr>
      </w:pPr>
      <w:r w:rsidRPr="00EC0229">
        <w:rPr>
          <w:rFonts w:eastAsia="Times New Roman"/>
          <w:sz w:val="20"/>
          <w:szCs w:val="20"/>
        </w:rPr>
        <w:t>Right: Lombards: gold</w:t>
      </w:r>
      <w:r w:rsidRPr="00EC0229">
        <w:rPr>
          <w:rFonts w:eastAsia="Times New Roman"/>
          <w:sz w:val="20"/>
          <w:szCs w:val="20"/>
        </w:rPr>
        <w:fldChar w:fldCharType="begin"/>
      </w:r>
      <w:r w:rsidRPr="00EC0229">
        <w:rPr>
          <w:sz w:val="20"/>
          <w:szCs w:val="20"/>
        </w:rPr>
        <w:instrText xml:space="preserve"> XE "</w:instrText>
      </w:r>
      <w:r w:rsidRPr="00EC0229">
        <w:rPr>
          <w:rFonts w:eastAsia="Times New Roman"/>
          <w:sz w:val="20"/>
          <w:szCs w:val="20"/>
          <w:lang w:eastAsia="en-GB"/>
        </w:rPr>
        <w:instrText>gold</w:instrText>
      </w:r>
      <w:r w:rsidRPr="00EC0229">
        <w:rPr>
          <w:sz w:val="20"/>
          <w:szCs w:val="20"/>
        </w:rPr>
        <w:instrText xml:space="preserve">" </w:instrText>
      </w:r>
      <w:r w:rsidRPr="00EC0229">
        <w:rPr>
          <w:rFonts w:eastAsia="Times New Roman"/>
          <w:sz w:val="20"/>
          <w:szCs w:val="20"/>
        </w:rPr>
        <w:fldChar w:fldCharType="end"/>
      </w:r>
      <w:r w:rsidRPr="00EC0229">
        <w:rPr>
          <w:rFonts w:eastAsia="Times New Roman"/>
          <w:sz w:val="20"/>
          <w:szCs w:val="20"/>
        </w:rPr>
        <w:t xml:space="preserve"> tremissis</w:t>
      </w:r>
      <w:r w:rsidRPr="00EC0229">
        <w:rPr>
          <w:rFonts w:eastAsia="Times New Roman"/>
          <w:sz w:val="20"/>
          <w:szCs w:val="20"/>
        </w:rPr>
        <w:fldChar w:fldCharType="begin"/>
      </w:r>
      <w:r w:rsidRPr="00EC0229">
        <w:rPr>
          <w:sz w:val="20"/>
          <w:szCs w:val="20"/>
        </w:rPr>
        <w:instrText xml:space="preserve"> XE "</w:instrText>
      </w:r>
      <w:r w:rsidRPr="00EC0229">
        <w:rPr>
          <w:rFonts w:eastAsia="Times New Roman"/>
          <w:sz w:val="20"/>
          <w:szCs w:val="20"/>
        </w:rPr>
        <w:instrText>tremissis</w:instrText>
      </w:r>
      <w:r w:rsidRPr="00EC0229">
        <w:rPr>
          <w:sz w:val="20"/>
          <w:szCs w:val="20"/>
        </w:rPr>
        <w:instrText xml:space="preserve">" </w:instrText>
      </w:r>
      <w:r w:rsidRPr="00EC0229">
        <w:rPr>
          <w:rFonts w:eastAsia="Times New Roman"/>
          <w:sz w:val="20"/>
          <w:szCs w:val="20"/>
        </w:rPr>
        <w:fldChar w:fldCharType="end"/>
      </w:r>
      <w:r w:rsidRPr="00EC0229">
        <w:rPr>
          <w:rFonts w:eastAsia="Times New Roman"/>
          <w:sz w:val="20"/>
          <w:szCs w:val="20"/>
        </w:rPr>
        <w:t xml:space="preserve">, in the name of </w:t>
      </w:r>
      <w:r w:rsidR="006353B5">
        <w:rPr>
          <w:rFonts w:eastAsia="Times New Roman"/>
          <w:sz w:val="20"/>
          <w:szCs w:val="20"/>
        </w:rPr>
        <w:t>Maurice Tiberius (582-602);</w:t>
      </w:r>
      <w:r w:rsidR="00161418">
        <w:rPr>
          <w:rFonts w:eastAsia="Times New Roman"/>
          <w:sz w:val="20"/>
          <w:szCs w:val="20"/>
        </w:rPr>
        <w:t xml:space="preserve"> </w:t>
      </w:r>
      <w:r w:rsidRPr="00EC0229">
        <w:rPr>
          <w:rFonts w:eastAsia="Times New Roman"/>
          <w:sz w:val="20"/>
          <w:szCs w:val="20"/>
        </w:rPr>
        <w:t xml:space="preserve">perhaps Milan or Pavia. </w:t>
      </w:r>
      <w:r w:rsidRPr="00EC0229">
        <w:rPr>
          <w:rFonts w:eastAsia="Times New Roman"/>
          <w:i/>
          <w:sz w:val="20"/>
          <w:szCs w:val="20"/>
        </w:rPr>
        <w:t xml:space="preserve">MEC </w:t>
      </w:r>
      <w:r w:rsidRPr="00EC0229">
        <w:rPr>
          <w:rFonts w:eastAsia="Times New Roman"/>
          <w:sz w:val="20"/>
          <w:szCs w:val="20"/>
        </w:rPr>
        <w:t>301-4. Found near Driffield</w:t>
      </w:r>
      <w:r w:rsidRPr="00EC0229">
        <w:rPr>
          <w:rStyle w:val="FootnoteReference"/>
          <w:rFonts w:eastAsia="Times New Roman" w:cs="Times New Roman"/>
          <w:sz w:val="20"/>
          <w:szCs w:val="20"/>
        </w:rPr>
        <w:footnoteReference w:id="69"/>
      </w:r>
    </w:p>
    <w:p w14:paraId="30423ADE" w14:textId="16E80DFE" w:rsidR="00161418" w:rsidRDefault="003F22F2" w:rsidP="003F22F2">
      <w:pPr>
        <w:spacing w:line="360" w:lineRule="auto"/>
        <w:jc w:val="center"/>
        <w:rPr>
          <w:sz w:val="20"/>
          <w:szCs w:val="20"/>
        </w:rPr>
      </w:pPr>
      <w:bookmarkStart w:id="73" w:name="_Ref430245884"/>
      <w:bookmarkStart w:id="74" w:name="_Toc468266973"/>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1</w:t>
      </w:r>
      <w:r w:rsidRPr="00EC0229">
        <w:rPr>
          <w:i/>
          <w:sz w:val="20"/>
          <w:szCs w:val="20"/>
        </w:rPr>
        <w:fldChar w:fldCharType="end"/>
      </w:r>
      <w:bookmarkEnd w:id="73"/>
      <w:r w:rsidRPr="00EC0229">
        <w:rPr>
          <w:sz w:val="20"/>
          <w:szCs w:val="20"/>
        </w:rPr>
        <w:t>: The pseudo-Imperial tremisses and its imitations</w:t>
      </w:r>
      <w:bookmarkEnd w:id="74"/>
      <w:r w:rsidRPr="00EC0229">
        <w:rPr>
          <w:sz w:val="20"/>
          <w:szCs w:val="20"/>
        </w:rPr>
        <w:t xml:space="preserve"> </w:t>
      </w:r>
    </w:p>
    <w:p w14:paraId="2D1A5306" w14:textId="77777777" w:rsidR="003F22F2" w:rsidRPr="00EC0229" w:rsidRDefault="003F22F2" w:rsidP="003F22F2">
      <w:pPr>
        <w:pStyle w:val="NoSpacing"/>
        <w:spacing w:line="360" w:lineRule="auto"/>
      </w:pPr>
    </w:p>
    <w:p w14:paraId="65EFCCF1" w14:textId="77777777" w:rsidR="003F22F2" w:rsidRPr="00EC0229" w:rsidRDefault="003F22F2" w:rsidP="003F22F2">
      <w:pPr>
        <w:pStyle w:val="NoSpacing"/>
        <w:spacing w:line="360" w:lineRule="auto"/>
        <w:rPr>
          <w:rFonts w:cs="Times New Roman"/>
          <w:szCs w:val="24"/>
        </w:rPr>
      </w:pPr>
      <w:r w:rsidRPr="00EC0229">
        <w:rPr>
          <w:rFonts w:cs="Times New Roman"/>
          <w:szCs w:val="24"/>
        </w:rPr>
        <w:lastRenderedPageBreak/>
        <w:t>According to Pirenne</w:t>
      </w:r>
      <w:r w:rsidRPr="00EC0229">
        <w:rPr>
          <w:rFonts w:cs="Times New Roman"/>
          <w:szCs w:val="24"/>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rFonts w:cs="Times New Roman"/>
          <w:szCs w:val="24"/>
        </w:rPr>
        <w:fldChar w:fldCharType="end"/>
      </w:r>
      <w:r w:rsidRPr="00EC0229">
        <w:rPr>
          <w:rFonts w:cs="Times New Roman"/>
          <w:szCs w:val="24"/>
        </w:rPr>
        <w:t>, in the late sixth and early seventh centuries: ‘the Ostrogoths, Visigoths, Vandals and Burgundi were governed in the Roman</w:t>
      </w:r>
      <w:r w:rsidRPr="00EC0229">
        <w:rPr>
          <w:rFonts w:cs="Times New Roman"/>
          <w:szCs w:val="24"/>
        </w:rPr>
        <w:fldChar w:fldCharType="begin"/>
      </w:r>
      <w:r w:rsidRPr="00EC0229">
        <w:instrText xml:space="preserve"> XE "Roman" </w:instrText>
      </w:r>
      <w:r w:rsidRPr="00EC0229">
        <w:rPr>
          <w:rFonts w:cs="Times New Roman"/>
          <w:szCs w:val="24"/>
        </w:rPr>
        <w:fldChar w:fldCharType="end"/>
      </w:r>
      <w:r w:rsidRPr="00EC0229">
        <w:rPr>
          <w:rFonts w:cs="Times New Roman"/>
          <w:szCs w:val="24"/>
        </w:rPr>
        <w:t xml:space="preserve"> manner. There was hardly a trace, or none at all, of “Germanic principles.” Under the new kings the old system of government survived, though doubtless in an imperfect form. There was only one novelty: service in the army was gratuitous, thanks to the distribution of land. The State was relieved of the terrible war budget which had formerly crushed the people.’</w:t>
      </w:r>
      <w:r w:rsidRPr="00EC0229">
        <w:rPr>
          <w:rStyle w:val="FootnoteReference"/>
          <w:rFonts w:cs="Times New Roman"/>
          <w:szCs w:val="24"/>
        </w:rPr>
        <w:footnoteReference w:id="70"/>
      </w:r>
      <w:r w:rsidRPr="00EC0229">
        <w:rPr>
          <w:rFonts w:cs="Times New Roman"/>
          <w:szCs w:val="24"/>
        </w:rPr>
        <w:t xml:space="preserve"> Tenure, taxation, trade and the organisation of the great estates were unchanged,</w:t>
      </w:r>
      <w:r w:rsidRPr="00EC0229">
        <w:rPr>
          <w:rStyle w:val="FootnoteReference"/>
          <w:rFonts w:cs="Times New Roman"/>
          <w:szCs w:val="24"/>
        </w:rPr>
        <w:footnoteReference w:id="71"/>
      </w:r>
      <w:r w:rsidRPr="00EC0229">
        <w:rPr>
          <w:rFonts w:cs="Times New Roman"/>
          <w:szCs w:val="24"/>
        </w:rPr>
        <w:t xml:space="preserve"> though the Franks regarded themselves as immune from land tax, which is no longer referred to by the seventh century.</w:t>
      </w:r>
      <w:r w:rsidRPr="00EC0229">
        <w:rPr>
          <w:rStyle w:val="FootnoteReference"/>
          <w:rFonts w:cs="Times New Roman"/>
          <w:szCs w:val="24"/>
        </w:rPr>
        <w:footnoteReference w:id="72"/>
      </w:r>
      <w:r w:rsidRPr="00EC0229">
        <w:rPr>
          <w:rFonts w:cs="Times New Roman"/>
          <w:szCs w:val="24"/>
        </w:rPr>
        <w:t xml:space="preserve"> ‘Language, religion, institutions and art were entirely, or almost entirely, devoid of Germanism.’</w:t>
      </w:r>
      <w:r w:rsidRPr="00EC0229">
        <w:rPr>
          <w:rStyle w:val="FootnoteReference"/>
          <w:rFonts w:cs="Times New Roman"/>
          <w:szCs w:val="24"/>
        </w:rPr>
        <w:footnoteReference w:id="73"/>
      </w:r>
      <w:r w:rsidRPr="00EC0229">
        <w:rPr>
          <w:rFonts w:cs="Times New Roman"/>
          <w:szCs w:val="24"/>
        </w:rPr>
        <w:t xml:space="preserve"> Even the Merovingians shared aspects of </w:t>
      </w:r>
      <w:r w:rsidRPr="00EC0229">
        <w:rPr>
          <w:rFonts w:cs="Times New Roman"/>
          <w:i/>
          <w:szCs w:val="24"/>
        </w:rPr>
        <w:t>Romanitas</w:t>
      </w:r>
      <w:r w:rsidRPr="00EC0229">
        <w:rPr>
          <w:rFonts w:cs="Times New Roman"/>
          <w:i/>
          <w:szCs w:val="24"/>
        </w:rPr>
        <w:fldChar w:fldCharType="begin"/>
      </w:r>
      <w:r w:rsidRPr="00EC0229">
        <w:instrText xml:space="preserve"> XE "</w:instrText>
      </w:r>
      <w:r w:rsidRPr="00EC0229">
        <w:rPr>
          <w:i/>
        </w:rPr>
        <w:instrText>Romanitas</w:instrText>
      </w:r>
      <w:r w:rsidRPr="00EC0229">
        <w:instrText xml:space="preserve">" </w:instrText>
      </w:r>
      <w:r w:rsidRPr="00EC0229">
        <w:rPr>
          <w:rFonts w:cs="Times New Roman"/>
          <w:i/>
          <w:szCs w:val="24"/>
        </w:rPr>
        <w:fldChar w:fldCharType="end"/>
      </w:r>
      <w:r w:rsidRPr="00EC0229">
        <w:rPr>
          <w:rFonts w:cs="Times New Roman"/>
          <w:szCs w:val="24"/>
        </w:rPr>
        <w:t>: they were absolutist, secular and exercised fiscal governance.</w:t>
      </w:r>
      <w:r w:rsidRPr="00EC0229">
        <w:rPr>
          <w:rStyle w:val="FootnoteReference"/>
          <w:rFonts w:cs="Times New Roman"/>
          <w:szCs w:val="24"/>
        </w:rPr>
        <w:footnoteReference w:id="74"/>
      </w:r>
      <w:r w:rsidRPr="00EC0229">
        <w:rPr>
          <w:rFonts w:cs="Times New Roman"/>
          <w:szCs w:val="24"/>
        </w:rPr>
        <w:t xml:space="preserve"> </w:t>
      </w:r>
    </w:p>
    <w:p w14:paraId="3B96297F" w14:textId="77777777" w:rsidR="003F22F2" w:rsidRPr="00EC0229" w:rsidRDefault="003F22F2" w:rsidP="003F22F2">
      <w:pPr>
        <w:pStyle w:val="NoSpacing"/>
        <w:spacing w:line="360" w:lineRule="auto"/>
        <w:rPr>
          <w:rFonts w:cs="Times New Roman"/>
          <w:szCs w:val="24"/>
        </w:rPr>
      </w:pPr>
    </w:p>
    <w:p w14:paraId="0AC2AEDA" w14:textId="6C5176FD"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The decay, albeit erratic, in the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content of the Anglo-Saxon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coinage through the mid-seventh century,</w:t>
      </w:r>
      <w:r w:rsidRPr="00EC0229">
        <w:rPr>
          <w:rStyle w:val="FootnoteReference"/>
          <w:rFonts w:cs="Times New Roman"/>
          <w:color w:val="000000" w:themeColor="text1"/>
          <w:szCs w:val="24"/>
        </w:rPr>
        <w:footnoteReference w:id="75"/>
      </w:r>
      <w:r w:rsidRPr="00EC0229">
        <w:rPr>
          <w:rFonts w:cs="Times New Roman"/>
          <w:color w:val="000000" w:themeColor="text1"/>
          <w:szCs w:val="24"/>
        </w:rPr>
        <w:t xml:space="preserve"> is less likely the outcome of any domestic intention to extend </w:t>
      </w:r>
      <w:r w:rsidR="003F2041" w:rsidRPr="00EC0229">
        <w:rPr>
          <w:rFonts w:cs="Times New Roman"/>
          <w:color w:val="000000" w:themeColor="text1"/>
          <w:szCs w:val="24"/>
        </w:rPr>
        <w:t>monetiz</w:t>
      </w:r>
      <w:r w:rsidRPr="00EC0229">
        <w:rPr>
          <w:rFonts w:cs="Times New Roman"/>
          <w:color w:val="000000" w:themeColor="text1"/>
          <w:szCs w:val="24"/>
        </w:rPr>
        <w:t>ation</w:t>
      </w:r>
      <w:r w:rsidRPr="00EC0229">
        <w:rPr>
          <w:rFonts w:cs="Times New Roman"/>
          <w:color w:val="000000" w:themeColor="text1"/>
          <w:szCs w:val="24"/>
        </w:rPr>
        <w:fldChar w:fldCharType="begin"/>
      </w:r>
      <w:r w:rsidRPr="00EC0229">
        <w:instrText xml:space="preserve"> XE "monetization" </w:instrText>
      </w:r>
      <w:r w:rsidRPr="00EC0229">
        <w:rPr>
          <w:rFonts w:cs="Times New Roman"/>
          <w:color w:val="000000" w:themeColor="text1"/>
          <w:szCs w:val="24"/>
        </w:rPr>
        <w:fldChar w:fldCharType="end"/>
      </w:r>
      <w:r w:rsidRPr="00EC0229">
        <w:rPr>
          <w:rFonts w:cs="Times New Roman"/>
          <w:color w:val="000000" w:themeColor="text1"/>
          <w:szCs w:val="24"/>
        </w:rPr>
        <w:t xml:space="preserve"> than the consequence of distant geo-political events adversely affecting the flow of gold from its sources in North Africa, through the Mediterranean.</w:t>
      </w:r>
      <w:r w:rsidRPr="00EC0229">
        <w:rPr>
          <w:rStyle w:val="FootnoteReference"/>
          <w:rFonts w:cs="Times New Roman"/>
          <w:color w:val="000000" w:themeColor="text1"/>
          <w:szCs w:val="24"/>
        </w:rPr>
        <w:footnoteReference w:id="76"/>
      </w:r>
    </w:p>
    <w:p w14:paraId="69BAA022" w14:textId="77777777" w:rsidR="003F22F2" w:rsidRPr="00EC0229" w:rsidRDefault="003F22F2" w:rsidP="003F22F2">
      <w:pPr>
        <w:pStyle w:val="NoSpacing"/>
        <w:spacing w:line="360" w:lineRule="auto"/>
        <w:rPr>
          <w:rFonts w:cs="Times New Roman"/>
          <w:color w:val="000000" w:themeColor="text1"/>
          <w:szCs w:val="24"/>
        </w:rPr>
      </w:pPr>
    </w:p>
    <w:p w14:paraId="379E285F" w14:textId="77777777"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While Pirenne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ascribed the Islamic fervour to theology and psychology rather than military superiority,</w:t>
      </w:r>
      <w:r w:rsidRPr="00EC0229">
        <w:rPr>
          <w:rStyle w:val="FootnoteReference"/>
          <w:rFonts w:cs="Times New Roman"/>
          <w:color w:val="000000" w:themeColor="text1"/>
          <w:szCs w:val="24"/>
        </w:rPr>
        <w:footnoteReference w:id="77"/>
      </w:r>
      <w:r w:rsidRPr="00EC0229">
        <w:rPr>
          <w:rFonts w:cs="Times New Roman"/>
          <w:color w:val="000000" w:themeColor="text1"/>
          <w:szCs w:val="24"/>
        </w:rPr>
        <w:t xml:space="preserve"> Scott showed no reticence in criticising the immutable ideology of the Qur’an.</w:t>
      </w:r>
      <w:r w:rsidRPr="00EC0229">
        <w:rPr>
          <w:rStyle w:val="FootnoteReference"/>
          <w:rFonts w:cs="Times New Roman"/>
          <w:color w:val="000000" w:themeColor="text1"/>
          <w:szCs w:val="24"/>
        </w:rPr>
        <w:footnoteReference w:id="78"/>
      </w:r>
      <w:r w:rsidRPr="00EC0229">
        <w:rPr>
          <w:rFonts w:cs="Times New Roman"/>
          <w:color w:val="000000" w:themeColor="text1"/>
          <w:szCs w:val="24"/>
        </w:rPr>
        <w:t xml:space="preserve"> </w:t>
      </w:r>
    </w:p>
    <w:p w14:paraId="497F8D31" w14:textId="77777777"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Marauding fanatics were unremitting in their zeal. The flow of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from trans-Saharan sources to Europe ceased entirely as control of the Mediterranean was lost (though Germanic and Roman</w:t>
      </w:r>
      <w:r w:rsidRPr="00EC0229">
        <w:rPr>
          <w:rFonts w:cs="Times New Roman"/>
          <w:color w:val="000000" w:themeColor="text1"/>
          <w:szCs w:val="24"/>
        </w:rPr>
        <w:fldChar w:fldCharType="begin"/>
      </w:r>
      <w:r w:rsidRPr="00EC0229">
        <w:instrText xml:space="preserve"> XE "Roman" </w:instrText>
      </w:r>
      <w:r w:rsidRPr="00EC0229">
        <w:rPr>
          <w:rFonts w:cs="Times New Roman"/>
          <w:color w:val="000000" w:themeColor="text1"/>
          <w:szCs w:val="24"/>
        </w:rPr>
        <w:fldChar w:fldCharType="end"/>
      </w:r>
      <w:r w:rsidRPr="00EC0229">
        <w:rPr>
          <w:rFonts w:cs="Times New Roman"/>
          <w:color w:val="000000" w:themeColor="text1"/>
          <w:szCs w:val="24"/>
        </w:rPr>
        <w:t xml:space="preserve"> treasuries were well stocked).</w:t>
      </w:r>
      <w:r w:rsidRPr="00EC0229">
        <w:rPr>
          <w:rStyle w:val="FootnoteReference"/>
          <w:rFonts w:cs="Times New Roman"/>
          <w:color w:val="000000" w:themeColor="text1"/>
          <w:szCs w:val="24"/>
        </w:rPr>
        <w:footnoteReference w:id="79"/>
      </w:r>
    </w:p>
    <w:p w14:paraId="3D5871FC" w14:textId="77777777" w:rsidR="003F22F2" w:rsidRPr="00EC0229" w:rsidRDefault="003F22F2" w:rsidP="003F22F2">
      <w:pPr>
        <w:pStyle w:val="NoSpacing"/>
        <w:spacing w:line="360" w:lineRule="auto"/>
        <w:rPr>
          <w:rFonts w:cs="Times New Roman"/>
          <w:color w:val="000000" w:themeColor="text1"/>
          <w:szCs w:val="24"/>
        </w:rPr>
      </w:pPr>
    </w:p>
    <w:p w14:paraId="05199A94" w14:textId="77777777"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Pirenne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noted the absence of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professional merchants from Merovingian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Francia</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Francia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these and the absence of loans, define an economic recession. Jews ‘constituted the only economic </w:t>
      </w:r>
      <w:r w:rsidRPr="00EC0229">
        <w:rPr>
          <w:rFonts w:cs="Times New Roman"/>
          <w:color w:val="000000" w:themeColor="text1"/>
          <w:szCs w:val="24"/>
        </w:rPr>
        <w:lastRenderedPageBreak/>
        <w:t>link which survived between Islam and Christendom, or, one may say, between East and West.’</w:t>
      </w:r>
      <w:r w:rsidRPr="00EC0229">
        <w:rPr>
          <w:rStyle w:val="FootnoteReference"/>
          <w:rFonts w:cs="Times New Roman"/>
          <w:color w:val="000000" w:themeColor="text1"/>
          <w:szCs w:val="24"/>
        </w:rPr>
        <w:footnoteReference w:id="80"/>
      </w:r>
    </w:p>
    <w:p w14:paraId="424BE4ED" w14:textId="77777777" w:rsidR="003F22F2" w:rsidRPr="00EC0229" w:rsidRDefault="003F22F2" w:rsidP="003F22F2">
      <w:pPr>
        <w:pStyle w:val="NoSpacing"/>
        <w:spacing w:line="360" w:lineRule="auto"/>
        <w:rPr>
          <w:rFonts w:cs="Times New Roman"/>
          <w:color w:val="000000" w:themeColor="text1"/>
          <w:szCs w:val="24"/>
        </w:rPr>
      </w:pPr>
    </w:p>
    <w:p w14:paraId="749A24AC" w14:textId="77777777" w:rsidR="003F22F2" w:rsidRPr="00EC0229" w:rsidRDefault="003F22F2" w:rsidP="003F22F2">
      <w:pPr>
        <w:pStyle w:val="NoSpacing"/>
        <w:spacing w:line="360" w:lineRule="auto"/>
        <w:rPr>
          <w:rFonts w:cs="Times New Roman"/>
          <w:szCs w:val="24"/>
        </w:rPr>
      </w:pPr>
      <w:r w:rsidRPr="00EC0229">
        <w:rPr>
          <w:rFonts w:cs="Times New Roman"/>
          <w:szCs w:val="24"/>
        </w:rPr>
        <w:t>The twin pincer movements of the Vikings and Muslims around the Mediterranean shared a common purpose. Muslims had an insatiable demand for white-skinned eunuchs and concubines. The slave trade was the key component in international commercial activity, the extent of which can be assessed by, for example, the enormous hoards of Islamic dirhams deposited in Gotland by the Rus.</w:t>
      </w:r>
      <w:r w:rsidRPr="00EC0229">
        <w:rPr>
          <w:rStyle w:val="FootnoteReference"/>
          <w:rFonts w:cs="Times New Roman"/>
          <w:szCs w:val="24"/>
        </w:rPr>
        <w:footnoteReference w:id="81"/>
      </w:r>
      <w:r w:rsidRPr="00EC0229">
        <w:rPr>
          <w:rFonts w:cs="Times New Roman"/>
          <w:szCs w:val="24"/>
        </w:rPr>
        <w:t xml:space="preserve"> </w:t>
      </w:r>
    </w:p>
    <w:p w14:paraId="587DCCC0" w14:textId="77777777" w:rsidR="003F22F2" w:rsidRPr="00EC0229" w:rsidRDefault="003F22F2" w:rsidP="003F22F2">
      <w:pPr>
        <w:pStyle w:val="NoSpacing"/>
        <w:spacing w:line="360" w:lineRule="auto"/>
        <w:rPr>
          <w:rFonts w:cs="Times New Roman"/>
          <w:szCs w:val="24"/>
        </w:rPr>
      </w:pPr>
    </w:p>
    <w:p w14:paraId="6D24BBBD" w14:textId="77777777" w:rsidR="003F22F2" w:rsidRPr="00EC0229" w:rsidRDefault="003F22F2" w:rsidP="003F22F2">
      <w:pPr>
        <w:pStyle w:val="NoSpacing"/>
        <w:spacing w:line="360" w:lineRule="auto"/>
        <w:rPr>
          <w:rFonts w:cs="Times New Roman"/>
          <w:szCs w:val="24"/>
        </w:rPr>
      </w:pPr>
      <w:r w:rsidRPr="00EC0229">
        <w:rPr>
          <w:rFonts w:cs="Times New Roman"/>
          <w:szCs w:val="24"/>
        </w:rPr>
        <w:t>Does Scott’s polemic teach us anything about Anglo-Saxon</w:t>
      </w:r>
      <w:r w:rsidRPr="00EC0229">
        <w:rPr>
          <w:rFonts w:cs="Times New Roman"/>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szCs w:val="24"/>
        </w:rPr>
        <w:fldChar w:fldCharType="end"/>
      </w:r>
      <w:r w:rsidRPr="00EC0229">
        <w:rPr>
          <w:rFonts w:cs="Times New Roman"/>
          <w:szCs w:val="24"/>
        </w:rPr>
        <w:t xml:space="preserve"> England, Northumbria</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szCs w:val="24"/>
        </w:rPr>
        <w:fldChar w:fldCharType="end"/>
      </w:r>
      <w:r w:rsidRPr="00EC0229">
        <w:rPr>
          <w:rFonts w:cs="Times New Roman"/>
          <w:szCs w:val="24"/>
        </w:rPr>
        <w:t xml:space="preserve"> and coinage? Around the time that the trans-Saharan gold</w:t>
      </w:r>
      <w:r w:rsidRPr="00EC0229">
        <w:rPr>
          <w:rFonts w:cs="Times New Roman"/>
          <w:szCs w:val="24"/>
        </w:rPr>
        <w:fldChar w:fldCharType="begin"/>
      </w:r>
      <w:r w:rsidRPr="00EC0229">
        <w:instrText xml:space="preserve"> XE "</w:instrText>
      </w:r>
      <w:r w:rsidRPr="00EC0229">
        <w:rPr>
          <w:rFonts w:cs="Times New Roman"/>
          <w:color w:val="000000" w:themeColor="text1"/>
          <w:szCs w:val="24"/>
        </w:rPr>
        <w:instrText>Trans-Saharan gold</w:instrText>
      </w:r>
      <w:r w:rsidRPr="00EC0229">
        <w:instrText xml:space="preserve">" </w:instrText>
      </w:r>
      <w:r w:rsidRPr="00EC0229">
        <w:rPr>
          <w:rFonts w:cs="Times New Roman"/>
          <w:szCs w:val="24"/>
        </w:rPr>
        <w:fldChar w:fldCharType="end"/>
      </w:r>
      <w:r w:rsidRPr="00EC0229">
        <w:rPr>
          <w:rFonts w:cs="Times New Roman"/>
          <w:szCs w:val="24"/>
        </w:rPr>
        <w:t xml:space="preserve"> route to Europe was blockaded, the imported tremisses were replaced by native gold</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szCs w:val="24"/>
        </w:rPr>
        <w:fldChar w:fldCharType="end"/>
      </w:r>
      <w:r w:rsidRPr="00EC0229">
        <w:rPr>
          <w:rFonts w:cs="Times New Roman"/>
          <w:szCs w:val="24"/>
        </w:rPr>
        <w:t xml:space="preserve"> shillings. With diminishing gold stocks in the West, the alloy deteriorated to as little as 4% around 675.</w:t>
      </w:r>
      <w:bookmarkStart w:id="75" w:name="_Ref464049286"/>
      <w:r w:rsidRPr="00EC0229">
        <w:rPr>
          <w:rStyle w:val="FootnoteReference"/>
          <w:rFonts w:cs="Times New Roman"/>
          <w:szCs w:val="24"/>
        </w:rPr>
        <w:footnoteReference w:id="82"/>
      </w:r>
      <w:bookmarkEnd w:id="75"/>
      <w:r w:rsidRPr="00EC0229">
        <w:rPr>
          <w:rFonts w:cs="Times New Roman"/>
          <w:szCs w:val="24"/>
        </w:rPr>
        <w:t xml:space="preserve"> Within ten years, a silver standard was adopted and there is a consequent, substantial, enlargement of the volume of coin in circulation as silver was mined and available within Europe. Slaves were a major export in this specie flow, in which the Vikings colluded in satisfying Islamic appetites;</w:t>
      </w:r>
      <w:r w:rsidRPr="00EC0229">
        <w:rPr>
          <w:rStyle w:val="FootnoteReference"/>
          <w:rFonts w:cs="Times New Roman"/>
          <w:szCs w:val="24"/>
        </w:rPr>
        <w:footnoteReference w:id="83"/>
      </w:r>
      <w:r w:rsidRPr="00EC0229">
        <w:rPr>
          <w:rFonts w:cs="Times New Roman"/>
          <w:szCs w:val="24"/>
        </w:rPr>
        <w:t xml:space="preserve"> The ripples washing onto the Northumbrian shore were not merely qualitative</w:t>
      </w:r>
      <w:r w:rsidRPr="00EC0229">
        <w:rPr>
          <w:rFonts w:cs="Times New Roman"/>
          <w:szCs w:val="24"/>
        </w:rPr>
        <w:fldChar w:fldCharType="begin"/>
      </w:r>
      <w:r w:rsidRPr="00EC0229">
        <w:instrText xml:space="preserve"> XE "</w:instrText>
      </w:r>
      <w:r w:rsidRPr="00EC0229">
        <w:rPr>
          <w:rStyle w:val="Hyperlink"/>
          <w:rFonts w:cs="Times New Roman"/>
          <w:noProof/>
          <w:u w:val="none"/>
        </w:rPr>
        <w:instrText>qualitative</w:instrText>
      </w:r>
      <w:r w:rsidRPr="00EC0229">
        <w:instrText xml:space="preserve">" </w:instrText>
      </w:r>
      <w:r w:rsidRPr="00EC0229">
        <w:rPr>
          <w:rFonts w:cs="Times New Roman"/>
          <w:szCs w:val="24"/>
        </w:rPr>
        <w:fldChar w:fldCharType="end"/>
      </w:r>
      <w:r w:rsidRPr="00EC0229">
        <w:rPr>
          <w:rFonts w:cs="Times New Roman"/>
          <w:szCs w:val="24"/>
        </w:rPr>
        <w:t xml:space="preserve"> and quantitative</w:t>
      </w:r>
      <w:r w:rsidRPr="00EC0229">
        <w:rPr>
          <w:rFonts w:cs="Times New Roman"/>
          <w:szCs w:val="24"/>
        </w:rPr>
        <w:fldChar w:fldCharType="begin"/>
      </w:r>
      <w:r w:rsidRPr="00EC0229">
        <w:instrText xml:space="preserve"> XE "</w:instrText>
      </w:r>
      <w:r w:rsidRPr="00EC0229">
        <w:rPr>
          <w:rStyle w:val="Hyperlink"/>
          <w:rFonts w:cs="Times New Roman"/>
          <w:noProof/>
          <w:u w:val="none"/>
        </w:rPr>
        <w:instrText>quantitative</w:instrText>
      </w:r>
      <w:r w:rsidRPr="00EC0229">
        <w:instrText xml:space="preserve">" </w:instrText>
      </w:r>
      <w:r w:rsidRPr="00EC0229">
        <w:rPr>
          <w:rFonts w:cs="Times New Roman"/>
          <w:szCs w:val="24"/>
        </w:rPr>
        <w:fldChar w:fldCharType="end"/>
      </w:r>
      <w:r w:rsidRPr="00EC0229">
        <w:rPr>
          <w:rFonts w:cs="Times New Roman"/>
          <w:szCs w:val="24"/>
        </w:rPr>
        <w:t>; in the 780s, Northumbrian sceats abandoned portrayal, though a more positive explanation may be that the new inscriptional type moved responsibility for the integrity of the coinage to the named moneyer.</w:t>
      </w:r>
      <w:r w:rsidRPr="00EC0229">
        <w:rPr>
          <w:rStyle w:val="FootnoteReference"/>
          <w:rFonts w:cs="Times New Roman"/>
          <w:szCs w:val="24"/>
        </w:rPr>
        <w:footnoteReference w:id="84"/>
      </w:r>
    </w:p>
    <w:p w14:paraId="35432145" w14:textId="77777777" w:rsidR="003F22F2" w:rsidRPr="00EC0229" w:rsidRDefault="003F22F2" w:rsidP="003F22F2">
      <w:pPr>
        <w:autoSpaceDE w:val="0"/>
        <w:autoSpaceDN w:val="0"/>
        <w:adjustRightInd w:val="0"/>
        <w:spacing w:after="0" w:line="360" w:lineRule="auto"/>
        <w:rPr>
          <w:rFonts w:cs="Times New Roman"/>
          <w:szCs w:val="24"/>
        </w:rPr>
      </w:pPr>
    </w:p>
    <w:p w14:paraId="6B602536" w14:textId="28A00A77" w:rsidR="003F22F2" w:rsidRPr="006353B5" w:rsidRDefault="003F22F2" w:rsidP="000E1004">
      <w:pPr>
        <w:pStyle w:val="Heading3"/>
        <w:numPr>
          <w:ilvl w:val="2"/>
          <w:numId w:val="17"/>
        </w:numPr>
        <w:ind w:left="567" w:hanging="567"/>
        <w:rPr>
          <w:b w:val="0"/>
        </w:rPr>
      </w:pPr>
      <w:bookmarkStart w:id="76" w:name="Archaeological"/>
      <w:bookmarkStart w:id="77" w:name="_Toc464823813"/>
      <w:bookmarkStart w:id="78" w:name="_Toc468266742"/>
      <w:bookmarkEnd w:id="76"/>
      <w:r w:rsidRPr="006353B5">
        <w:rPr>
          <w:rStyle w:val="Heading2Char"/>
          <w:b/>
          <w:sz w:val="24"/>
          <w:szCs w:val="24"/>
        </w:rPr>
        <w:lastRenderedPageBreak/>
        <w:t>The Archaeological Perspective: Richard Hodges</w:t>
      </w:r>
      <w:bookmarkEnd w:id="77"/>
      <w:bookmarkEnd w:id="78"/>
      <w:r w:rsidRPr="006353B5">
        <w:rPr>
          <w:rStyle w:val="Heading2Char"/>
          <w:b/>
          <w:sz w:val="24"/>
          <w:szCs w:val="24"/>
        </w:rPr>
        <w:fldChar w:fldCharType="begin"/>
      </w:r>
      <w:r w:rsidRPr="006353B5">
        <w:rPr>
          <w:b w:val="0"/>
        </w:rPr>
        <w:instrText xml:space="preserve"> XE "</w:instrText>
      </w:r>
      <w:r w:rsidRPr="006353B5">
        <w:rPr>
          <w:rStyle w:val="Hyperlink"/>
          <w:b w:val="0"/>
          <w:color w:val="auto"/>
          <w:u w:val="none"/>
        </w:rPr>
        <w:instrText>Hodges</w:instrText>
      </w:r>
      <w:r w:rsidRPr="006353B5">
        <w:rPr>
          <w:b w:val="0"/>
        </w:rPr>
        <w:instrText xml:space="preserve">" </w:instrText>
      </w:r>
      <w:r w:rsidRPr="006353B5">
        <w:rPr>
          <w:rStyle w:val="Heading2Char"/>
          <w:b/>
          <w:sz w:val="24"/>
          <w:szCs w:val="24"/>
        </w:rPr>
        <w:fldChar w:fldCharType="end"/>
      </w:r>
      <w:r w:rsidRPr="006353B5">
        <w:rPr>
          <w:b w:val="0"/>
        </w:rPr>
        <w:t xml:space="preserve"> </w:t>
      </w:r>
    </w:p>
    <w:p w14:paraId="62807DF4" w14:textId="77777777" w:rsidR="003F22F2" w:rsidRPr="00EC0229" w:rsidRDefault="003F22F2" w:rsidP="003F22F2">
      <w:pPr>
        <w:pStyle w:val="NoSpacing"/>
        <w:spacing w:line="360" w:lineRule="auto"/>
        <w:ind w:left="786"/>
        <w:jc w:val="right"/>
        <w:rPr>
          <w:rFonts w:cs="Times New Roman"/>
          <w:sz w:val="18"/>
          <w:szCs w:val="18"/>
        </w:rPr>
      </w:pPr>
      <w:r w:rsidRPr="00EC0229">
        <w:rPr>
          <w:rFonts w:cs="Times New Roman"/>
          <w:sz w:val="17"/>
          <w:szCs w:val="17"/>
        </w:rPr>
        <w:t>‘Imagining the past is the business of the historian and historical novelist, but sometimes the past springs more readily to life at the sight of something small and ephemeral with nothing – no other minds – standing between you and it</w:t>
      </w:r>
      <w:r w:rsidRPr="00EC0229">
        <w:rPr>
          <w:rFonts w:cs="Times New Roman"/>
          <w:sz w:val="18"/>
          <w:szCs w:val="18"/>
        </w:rPr>
        <w:t xml:space="preserve">.’ </w:t>
      </w:r>
    </w:p>
    <w:p w14:paraId="766CE4DC" w14:textId="77777777" w:rsidR="003F22F2" w:rsidRPr="00EC0229" w:rsidRDefault="003F22F2" w:rsidP="003F22F2">
      <w:pPr>
        <w:pStyle w:val="NoSpacing"/>
        <w:spacing w:line="360" w:lineRule="auto"/>
        <w:ind w:left="786"/>
        <w:jc w:val="right"/>
        <w:rPr>
          <w:rFonts w:cs="Times New Roman"/>
          <w:sz w:val="16"/>
          <w:szCs w:val="16"/>
        </w:rPr>
      </w:pPr>
      <w:r w:rsidRPr="00EC0229">
        <w:rPr>
          <w:rFonts w:cs="Times New Roman"/>
          <w:sz w:val="16"/>
          <w:szCs w:val="16"/>
        </w:rPr>
        <w:t>Ian Jack, The Guardian, 5</w:t>
      </w:r>
      <w:r w:rsidRPr="00EC0229">
        <w:rPr>
          <w:rFonts w:cs="Times New Roman"/>
          <w:sz w:val="16"/>
          <w:szCs w:val="16"/>
          <w:vertAlign w:val="superscript"/>
        </w:rPr>
        <w:t>th</w:t>
      </w:r>
      <w:r w:rsidRPr="00EC0229">
        <w:rPr>
          <w:rFonts w:cs="Times New Roman"/>
          <w:sz w:val="16"/>
          <w:szCs w:val="16"/>
        </w:rPr>
        <w:t xml:space="preserve"> April 2014.</w:t>
      </w:r>
    </w:p>
    <w:p w14:paraId="4A94C95A" w14:textId="77777777"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In the same year as he co-published a rebuttal of the work of Pirenne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w:t>
      </w:r>
      <w:r w:rsidRPr="00EC0229">
        <w:rPr>
          <w:rStyle w:val="FootnoteReference"/>
          <w:rFonts w:cs="Times New Roman"/>
          <w:color w:val="000000" w:themeColor="text1"/>
          <w:szCs w:val="24"/>
        </w:rPr>
        <w:footnoteReference w:id="85"/>
      </w:r>
      <w:r w:rsidRPr="00EC0229">
        <w:rPr>
          <w:rFonts w:cs="Times New Roman"/>
          <w:color w:val="000000" w:themeColor="text1"/>
          <w:szCs w:val="24"/>
        </w:rPr>
        <w:t xml:space="preserve"> Hodges</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postulated a trade and exchange model involving three types of settlement</w:t>
      </w:r>
      <w:r w:rsidRPr="00EC0229">
        <w:rPr>
          <w:rFonts w:cs="Times New Roman"/>
          <w:color w:val="000000" w:themeColor="text1"/>
          <w:szCs w:val="24"/>
        </w:rPr>
        <w:fldChar w:fldCharType="begin"/>
      </w:r>
      <w:r w:rsidRPr="00EC0229">
        <w:instrText xml:space="preserve"> XE "settlement" </w:instrText>
      </w:r>
      <w:r w:rsidRPr="00EC0229">
        <w:rPr>
          <w:rFonts w:cs="Times New Roman"/>
          <w:color w:val="000000" w:themeColor="text1"/>
          <w:szCs w:val="24"/>
        </w:rPr>
        <w:fldChar w:fldCharType="end"/>
      </w:r>
      <w:r w:rsidRPr="00EC0229">
        <w:rPr>
          <w:rFonts w:cs="Times New Roman"/>
          <w:color w:val="000000" w:themeColor="text1"/>
          <w:szCs w:val="24"/>
        </w:rPr>
        <w:t>. Type A comprises temporary, gateway, boundary communities, usually at coastal ‘beaching-places’, hosting a seasonal, small-scale fair for the exchange, with foreign traders, of prestige goods as part of a regional exchange system.</w:t>
      </w:r>
      <w:r w:rsidRPr="00EC0229">
        <w:rPr>
          <w:rStyle w:val="FootnoteReference"/>
          <w:rFonts w:cs="Times New Roman"/>
          <w:color w:val="000000" w:themeColor="text1"/>
          <w:szCs w:val="24"/>
        </w:rPr>
        <w:footnoteReference w:id="86"/>
      </w:r>
      <w:r w:rsidRPr="00EC0229">
        <w:rPr>
          <w:rFonts w:cs="Times New Roman"/>
          <w:color w:val="000000" w:themeColor="text1"/>
          <w:szCs w:val="24"/>
        </w:rPr>
        <w:t xml:space="preserve"> Type B is a permanent urban community with native artisans and alien traders engaged in long-distance travel. These may co-exist.</w:t>
      </w:r>
      <w:r w:rsidRPr="00EC0229">
        <w:rPr>
          <w:rStyle w:val="FootnoteReference"/>
          <w:rFonts w:cs="Times New Roman"/>
          <w:color w:val="000000" w:themeColor="text1"/>
          <w:szCs w:val="24"/>
        </w:rPr>
        <w:footnoteReference w:id="87"/>
      </w:r>
      <w:r w:rsidRPr="00EC0229">
        <w:rPr>
          <w:rFonts w:cs="Times New Roman"/>
          <w:color w:val="000000" w:themeColor="text1"/>
          <w:szCs w:val="24"/>
        </w:rPr>
        <w:t xml:space="preserve"> Type C exhibits greater diversification, production and regional governance.</w:t>
      </w:r>
      <w:r w:rsidRPr="00EC0229">
        <w:rPr>
          <w:rStyle w:val="FootnoteReference"/>
          <w:rFonts w:cs="Times New Roman"/>
          <w:color w:val="000000" w:themeColor="text1"/>
          <w:szCs w:val="24"/>
        </w:rPr>
        <w:footnoteReference w:id="88"/>
      </w:r>
      <w:r w:rsidRPr="00EC0229">
        <w:rPr>
          <w:rFonts w:cs="Times New Roman"/>
          <w:color w:val="000000" w:themeColor="text1"/>
          <w:szCs w:val="24"/>
        </w:rPr>
        <w:t xml:space="preserve"> Hodges described primary entrepôts</w:t>
      </w:r>
      <w:r w:rsidRPr="00EC0229">
        <w:rPr>
          <w:rFonts w:cs="Times New Roman"/>
          <w:color w:val="000000" w:themeColor="text1"/>
          <w:szCs w:val="24"/>
        </w:rPr>
        <w:fldChar w:fldCharType="begin"/>
      </w:r>
      <w:r w:rsidRPr="00EC0229">
        <w:instrText xml:space="preserve"> XE "</w:instrText>
      </w:r>
      <w:r w:rsidRPr="00EC0229">
        <w:rPr>
          <w:rFonts w:cs="Times New Roman"/>
          <w:color w:val="000000" w:themeColor="text1"/>
          <w:szCs w:val="24"/>
        </w:rPr>
        <w:instrText>entrepȏts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for gathering sellers, or their produce, for shipment to emporia</w:t>
      </w:r>
      <w:r w:rsidRPr="00EC0229">
        <w:rPr>
          <w:rFonts w:cs="Times New Roman"/>
          <w:color w:val="000000" w:themeColor="text1"/>
          <w:szCs w:val="24"/>
        </w:rPr>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Loveluck and Tys (2006) challenge Hodges’ model for its failure to recognise what is now known as the North Sea trading zone with its common sceatta</w:t>
      </w:r>
      <w:r w:rsidRPr="00EC0229">
        <w:rPr>
          <w:rFonts w:cs="Times New Roman"/>
          <w:color w:val="000000" w:themeColor="text1"/>
          <w:szCs w:val="24"/>
        </w:rPr>
        <w:fldChar w:fldCharType="begin"/>
      </w:r>
      <w:r w:rsidRPr="00EC0229">
        <w:instrText xml:space="preserve"> XE "sceatta" </w:instrText>
      </w:r>
      <w:r w:rsidRPr="00EC0229">
        <w:rPr>
          <w:rFonts w:cs="Times New Roman"/>
          <w:color w:val="000000" w:themeColor="text1"/>
          <w:szCs w:val="24"/>
        </w:rPr>
        <w:fldChar w:fldCharType="end"/>
      </w:r>
      <w:r w:rsidRPr="00EC0229">
        <w:rPr>
          <w:rFonts w:cs="Times New Roman"/>
          <w:color w:val="000000" w:themeColor="text1"/>
          <w:szCs w:val="24"/>
        </w:rPr>
        <w:t xml:space="preserve"> currency.</w:t>
      </w:r>
    </w:p>
    <w:p w14:paraId="48FD5E3B" w14:textId="77777777" w:rsidR="003F22F2" w:rsidRPr="00EC0229" w:rsidRDefault="003F22F2" w:rsidP="003F22F2">
      <w:pPr>
        <w:pStyle w:val="NoSpacing"/>
        <w:spacing w:line="360" w:lineRule="auto"/>
        <w:rPr>
          <w:rFonts w:cs="Times New Roman"/>
          <w:color w:val="FF0000"/>
          <w:szCs w:val="24"/>
        </w:rPr>
      </w:pPr>
    </w:p>
    <w:p w14:paraId="3B14E3C9" w14:textId="2E129A5B" w:rsidR="003F22F2" w:rsidRPr="00EC0229" w:rsidRDefault="003F22F2" w:rsidP="003F22F2">
      <w:pPr>
        <w:pStyle w:val="NoSpacing"/>
        <w:spacing w:line="360" w:lineRule="auto"/>
        <w:rPr>
          <w:rFonts w:cs="Times New Roman"/>
          <w:szCs w:val="24"/>
        </w:rPr>
      </w:pPr>
      <w:r w:rsidRPr="00EC0229">
        <w:rPr>
          <w:rFonts w:cs="Times New Roman"/>
          <w:szCs w:val="24"/>
        </w:rPr>
        <w:t>Hodges</w:t>
      </w:r>
      <w:r w:rsidRPr="00EC0229">
        <w:rPr>
          <w:rFonts w:cs="Times New Roman"/>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szCs w:val="24"/>
        </w:rPr>
        <w:fldChar w:fldCharType="end"/>
      </w:r>
      <w:r w:rsidRPr="00EC0229">
        <w:rPr>
          <w:rFonts w:cs="Times New Roman"/>
          <w:szCs w:val="24"/>
        </w:rPr>
        <w:t xml:space="preserve"> asked: ‘</w:t>
      </w:r>
      <w:r w:rsidRPr="00EC0229">
        <w:rPr>
          <w:rFonts w:cs="Times New Roman"/>
          <w:i/>
          <w:szCs w:val="24"/>
        </w:rPr>
        <w:t>How</w:t>
      </w:r>
      <w:r w:rsidRPr="00EC0229">
        <w:rPr>
          <w:rFonts w:cs="Times New Roman"/>
          <w:szCs w:val="24"/>
        </w:rPr>
        <w:t xml:space="preserve">…did the Danish kings of Jorvik </w:t>
      </w:r>
      <w:r w:rsidRPr="00EC0229">
        <w:rPr>
          <w:rFonts w:cs="Times New Roman"/>
          <w:i/>
          <w:szCs w:val="24"/>
        </w:rPr>
        <w:t>suddenly</w:t>
      </w:r>
      <w:r w:rsidRPr="00EC0229">
        <w:rPr>
          <w:rFonts w:cs="Times New Roman"/>
          <w:szCs w:val="24"/>
        </w:rPr>
        <w:t xml:space="preserve"> find the silver to replace the </w:t>
      </w:r>
      <w:r w:rsidRPr="00EC0229">
        <w:rPr>
          <w:rFonts w:cs="Times New Roman"/>
          <w:i/>
          <w:szCs w:val="24"/>
        </w:rPr>
        <w:t>devalued</w:t>
      </w:r>
      <w:r w:rsidRPr="00EC0229">
        <w:rPr>
          <w:rFonts w:cs="Times New Roman"/>
          <w:szCs w:val="24"/>
        </w:rPr>
        <w:t xml:space="preserve"> Northumbrian currency with a silver-rich coinage meeting international standards?’</w:t>
      </w:r>
      <w:r w:rsidRPr="00EC0229">
        <w:rPr>
          <w:rStyle w:val="FootnoteReference"/>
          <w:rFonts w:cs="Times New Roman"/>
          <w:szCs w:val="24"/>
        </w:rPr>
        <w:footnoteReference w:id="89"/>
      </w:r>
      <w:r w:rsidRPr="00EC0229">
        <w:rPr>
          <w:rFonts w:cs="Times New Roman"/>
          <w:szCs w:val="24"/>
        </w:rPr>
        <w:t xml:space="preserve"> This line of enquiry seems spurious for </w:t>
      </w:r>
      <w:r w:rsidR="00BF6095">
        <w:rPr>
          <w:rFonts w:cs="Times New Roman"/>
          <w:szCs w:val="24"/>
        </w:rPr>
        <w:t>several</w:t>
      </w:r>
      <w:r w:rsidRPr="00EC0229">
        <w:rPr>
          <w:rFonts w:cs="Times New Roman"/>
          <w:szCs w:val="24"/>
        </w:rPr>
        <w:t xml:space="preserve"> reasons. It was 894 before silver pennies were issued in York</w:t>
      </w:r>
      <w:r w:rsidRPr="00EC0229">
        <w:rPr>
          <w:rFonts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rPr>
        <w:fldChar w:fldCharType="end"/>
      </w:r>
      <w:r w:rsidRPr="00EC0229">
        <w:rPr>
          <w:rFonts w:cs="Times New Roman"/>
          <w:szCs w:val="24"/>
        </w:rPr>
        <w:t xml:space="preserve">, a lapse of twenty-seven years since the last emission of stycas, so it would seem more appropriate to investigate the delay. The possibilities arising include using stycas, </w:t>
      </w:r>
      <w:r w:rsidR="00572E51" w:rsidRPr="00EC0229">
        <w:rPr>
          <w:rFonts w:cs="Times New Roman"/>
          <w:szCs w:val="24"/>
        </w:rPr>
        <w:t>Southumbria</w:t>
      </w:r>
      <w:r w:rsidRPr="00EC0229">
        <w:rPr>
          <w:rFonts w:cs="Times New Roman"/>
          <w:szCs w:val="24"/>
        </w:rPr>
        <w:t>n broad pennies, barter</w:t>
      </w:r>
      <w:r w:rsidRPr="00EC0229">
        <w:rPr>
          <w:rFonts w:cs="Times New Roman"/>
          <w:szCs w:val="24"/>
        </w:rPr>
        <w:fldChar w:fldCharType="begin"/>
      </w:r>
      <w:r w:rsidRPr="00EC0229">
        <w:instrText xml:space="preserve"> XE "</w:instrText>
      </w:r>
      <w:r w:rsidRPr="00EC0229">
        <w:rPr>
          <w:rFonts w:cs="Times New Roman"/>
          <w:szCs w:val="24"/>
        </w:rPr>
        <w:instrText>barter</w:instrText>
      </w:r>
      <w:r w:rsidRPr="00EC0229">
        <w:instrText xml:space="preserve">" </w:instrText>
      </w:r>
      <w:r w:rsidRPr="00EC0229">
        <w:rPr>
          <w:rFonts w:cs="Times New Roman"/>
          <w:szCs w:val="24"/>
        </w:rPr>
        <w:fldChar w:fldCharType="end"/>
      </w:r>
      <w:r w:rsidRPr="00EC0229">
        <w:rPr>
          <w:rFonts w:cs="Times New Roman"/>
          <w:szCs w:val="24"/>
        </w:rPr>
        <w:t>, commodity money</w:t>
      </w:r>
      <w:r w:rsidRPr="00EC0229">
        <w:rPr>
          <w:rFonts w:cs="Times New Roman"/>
          <w:szCs w:val="24"/>
        </w:rPr>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rPr>
          <w:rFonts w:cs="Times New Roman"/>
          <w:szCs w:val="24"/>
        </w:rPr>
        <w:fldChar w:fldCharType="end"/>
      </w:r>
      <w:r w:rsidRPr="00EC0229">
        <w:rPr>
          <w:rFonts w:cs="Times New Roman"/>
          <w:szCs w:val="24"/>
        </w:rPr>
        <w:t>, bullion</w:t>
      </w:r>
      <w:r w:rsidRPr="00EC0229">
        <w:rPr>
          <w:rFonts w:cs="Times New Roman"/>
          <w:szCs w:val="24"/>
        </w:rPr>
        <w:fldChar w:fldCharType="begin"/>
      </w:r>
      <w:r w:rsidRPr="00EC0229">
        <w:instrText xml:space="preserve"> XE "</w:instrText>
      </w:r>
      <w:r w:rsidRPr="00EC0229">
        <w:rPr>
          <w:rFonts w:cs="Times New Roman"/>
          <w:szCs w:val="24"/>
        </w:rPr>
        <w:instrText>bullion</w:instrText>
      </w:r>
      <w:r w:rsidRPr="00EC0229">
        <w:instrText xml:space="preserve">" </w:instrText>
      </w:r>
      <w:r w:rsidRPr="00EC0229">
        <w:rPr>
          <w:rFonts w:cs="Times New Roman"/>
          <w:szCs w:val="24"/>
        </w:rPr>
        <w:fldChar w:fldCharType="end"/>
      </w:r>
      <w:r w:rsidRPr="00EC0229">
        <w:rPr>
          <w:rFonts w:cs="Times New Roman"/>
          <w:szCs w:val="24"/>
        </w:rPr>
        <w:t xml:space="preserve"> and plunder. Hodges persisted in the now discredited belief that stycas were a devalued currency. This is to misunderstand the ‘paradigm shift’, to use a favoured Hodgian expression, from the sceat to the comparative convenience of the styca. More perplexing, though, is why he posed this question at all.  The Vikings held such an abundance of hack-silver that they seem to have mislaid it with abandon.</w:t>
      </w:r>
      <w:r w:rsidRPr="00EC0229">
        <w:rPr>
          <w:rStyle w:val="FootnoteReference"/>
          <w:rFonts w:cs="Times New Roman"/>
          <w:szCs w:val="24"/>
        </w:rPr>
        <w:footnoteReference w:id="90"/>
      </w:r>
    </w:p>
    <w:p w14:paraId="2B737481" w14:textId="77777777" w:rsidR="003F22F2" w:rsidRPr="00EC0229" w:rsidRDefault="003F22F2" w:rsidP="003F22F2">
      <w:pPr>
        <w:pStyle w:val="NoSpacing"/>
        <w:spacing w:line="360" w:lineRule="auto"/>
        <w:rPr>
          <w:rFonts w:cs="Times New Roman"/>
          <w:szCs w:val="24"/>
        </w:rPr>
      </w:pPr>
    </w:p>
    <w:p w14:paraId="07495494" w14:textId="77777777" w:rsidR="003F22F2" w:rsidRPr="00EC0229" w:rsidRDefault="003F22F2" w:rsidP="003F22F2">
      <w:pPr>
        <w:pStyle w:val="NoSpacing"/>
        <w:spacing w:line="360" w:lineRule="auto"/>
        <w:rPr>
          <w:rFonts w:cs="Times New Roman"/>
          <w:szCs w:val="24"/>
        </w:rPr>
      </w:pPr>
      <w:r w:rsidRPr="00EC0229">
        <w:rPr>
          <w:rFonts w:cs="Times New Roman"/>
          <w:szCs w:val="24"/>
        </w:rPr>
        <w:t>Hodges</w:t>
      </w:r>
      <w:r w:rsidRPr="00EC0229">
        <w:rPr>
          <w:rFonts w:cs="Times New Roman"/>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szCs w:val="24"/>
        </w:rPr>
        <w:fldChar w:fldCharType="end"/>
      </w:r>
      <w:r w:rsidRPr="00EC0229">
        <w:rPr>
          <w:rFonts w:cs="Times New Roman"/>
          <w:szCs w:val="24"/>
        </w:rPr>
        <w:t xml:space="preserve"> favoured the spatial patterns described by Smith</w:t>
      </w:r>
      <w:r w:rsidRPr="00EC0229">
        <w:rPr>
          <w:rStyle w:val="FootnoteReference"/>
          <w:rFonts w:cs="Times New Roman"/>
          <w:szCs w:val="24"/>
        </w:rPr>
        <w:footnoteReference w:id="91"/>
      </w:r>
      <w:r w:rsidRPr="00EC0229">
        <w:rPr>
          <w:rFonts w:cs="Times New Roman"/>
          <w:szCs w:val="24"/>
        </w:rPr>
        <w:t xml:space="preserve"> ranging from simple networks and bounded exchange systems to solar, dendritic</w:t>
      </w:r>
      <w:r w:rsidRPr="00EC0229">
        <w:rPr>
          <w:rFonts w:cs="Times New Roman"/>
          <w:szCs w:val="24"/>
        </w:rPr>
        <w:fldChar w:fldCharType="begin"/>
      </w:r>
      <w:r w:rsidRPr="00EC0229">
        <w:instrText xml:space="preserve"> XE "</w:instrText>
      </w:r>
      <w:r w:rsidRPr="00EC0229">
        <w:rPr>
          <w:rFonts w:cs="Times New Roman"/>
          <w:szCs w:val="24"/>
        </w:rPr>
        <w:instrText>dendritic</w:instrText>
      </w:r>
      <w:r w:rsidRPr="00EC0229">
        <w:instrText xml:space="preserve">" </w:instrText>
      </w:r>
      <w:r w:rsidRPr="00EC0229">
        <w:rPr>
          <w:rFonts w:cs="Times New Roman"/>
          <w:szCs w:val="24"/>
        </w:rPr>
        <w:fldChar w:fldCharType="end"/>
      </w:r>
      <w:r w:rsidRPr="00EC0229">
        <w:rPr>
          <w:rStyle w:val="FootnoteReference"/>
          <w:rFonts w:cs="Times New Roman"/>
          <w:szCs w:val="24"/>
        </w:rPr>
        <w:footnoteReference w:id="92"/>
      </w:r>
      <w:r w:rsidRPr="00EC0229">
        <w:rPr>
          <w:rFonts w:cs="Times New Roman"/>
          <w:szCs w:val="24"/>
        </w:rPr>
        <w:t xml:space="preserve"> and interlocking ‘central-places’</w:t>
      </w:r>
      <w:r w:rsidRPr="00EC0229">
        <w:rPr>
          <w:rFonts w:cs="Times New Roman"/>
          <w:szCs w:val="24"/>
        </w:rPr>
        <w:fldChar w:fldCharType="begin"/>
      </w:r>
      <w:r w:rsidRPr="00EC0229">
        <w:instrText xml:space="preserve"> XE "</w:instrText>
      </w:r>
      <w:r w:rsidRPr="00EC0229">
        <w:rPr>
          <w:rFonts w:cs="Times New Roman"/>
          <w:szCs w:val="24"/>
        </w:rPr>
        <w:instrText>central-places</w:instrText>
      </w:r>
      <w:r w:rsidRPr="00EC0229">
        <w:instrText xml:space="preserve">" </w:instrText>
      </w:r>
      <w:r w:rsidRPr="00EC0229">
        <w:rPr>
          <w:rFonts w:cs="Times New Roman"/>
          <w:szCs w:val="24"/>
        </w:rPr>
        <w:fldChar w:fldCharType="end"/>
      </w:r>
      <w:r w:rsidRPr="00EC0229">
        <w:rPr>
          <w:rFonts w:cs="Times New Roman"/>
          <w:szCs w:val="24"/>
        </w:rPr>
        <w:t xml:space="preserve"> but, again, the </w:t>
      </w:r>
      <w:r w:rsidRPr="00EC0229">
        <w:rPr>
          <w:rFonts w:cs="Times New Roman"/>
          <w:szCs w:val="24"/>
        </w:rPr>
        <w:lastRenderedPageBreak/>
        <w:t>dissonance between general theory and specific application should discourage over-extending hypotheses. As a concession to this, in attempting to define the nodal points</w:t>
      </w:r>
      <w:r w:rsidRPr="00EC0229">
        <w:rPr>
          <w:rFonts w:cs="Times New Roman"/>
          <w:szCs w:val="24"/>
        </w:rPr>
        <w:fldChar w:fldCharType="begin"/>
      </w:r>
      <w:r w:rsidRPr="00EC0229">
        <w:instrText xml:space="preserve"> XE "</w:instrText>
      </w:r>
      <w:r w:rsidRPr="00EC0229">
        <w:rPr>
          <w:rFonts w:cs="Times New Roman"/>
          <w:szCs w:val="24"/>
        </w:rPr>
        <w:instrText>nodal points</w:instrText>
      </w:r>
      <w:r w:rsidRPr="00EC0229">
        <w:instrText xml:space="preserve">" </w:instrText>
      </w:r>
      <w:r w:rsidRPr="00EC0229">
        <w:rPr>
          <w:rFonts w:cs="Times New Roman"/>
          <w:szCs w:val="24"/>
        </w:rPr>
        <w:fldChar w:fldCharType="end"/>
      </w:r>
      <w:r w:rsidRPr="00EC0229">
        <w:rPr>
          <w:rFonts w:cs="Times New Roman"/>
          <w:szCs w:val="24"/>
        </w:rPr>
        <w:t xml:space="preserve"> of Smith’s networks, Hodges discussed nucleated settlements, ports-of-call</w:t>
      </w:r>
      <w:r w:rsidRPr="00EC0229">
        <w:rPr>
          <w:rFonts w:cs="Times New Roman"/>
          <w:szCs w:val="24"/>
        </w:rPr>
        <w:fldChar w:fldCharType="begin"/>
      </w:r>
      <w:r w:rsidRPr="00EC0229">
        <w:instrText xml:space="preserve"> XE "</w:instrText>
      </w:r>
      <w:r w:rsidRPr="00EC0229">
        <w:rPr>
          <w:rFonts w:cs="Times New Roman"/>
          <w:szCs w:val="24"/>
        </w:rPr>
        <w:instrText>ports-of-call</w:instrText>
      </w:r>
      <w:r w:rsidRPr="00EC0229">
        <w:instrText xml:space="preserve">" </w:instrText>
      </w:r>
      <w:r w:rsidRPr="00EC0229">
        <w:rPr>
          <w:rFonts w:cs="Times New Roman"/>
          <w:szCs w:val="24"/>
        </w:rPr>
        <w:fldChar w:fldCharType="end"/>
      </w:r>
      <w:r w:rsidRPr="00EC0229">
        <w:rPr>
          <w:rFonts w:cs="Times New Roman"/>
          <w:szCs w:val="24"/>
        </w:rPr>
        <w:t>, urban complexes and market-places in terms of ‘bundles of criteria’, offering a selection of broad yardsticks.</w:t>
      </w:r>
      <w:r w:rsidRPr="00EC0229">
        <w:rPr>
          <w:rStyle w:val="FootnoteReference"/>
          <w:rFonts w:cs="Times New Roman"/>
          <w:szCs w:val="24"/>
        </w:rPr>
        <w:footnoteReference w:id="93"/>
      </w:r>
      <w:r w:rsidRPr="00EC0229">
        <w:rPr>
          <w:rFonts w:cs="Times New Roman"/>
          <w:szCs w:val="24"/>
        </w:rPr>
        <w:t xml:space="preserve">  </w:t>
      </w:r>
    </w:p>
    <w:p w14:paraId="233E71D5" w14:textId="77777777" w:rsidR="003F22F2" w:rsidRPr="00EC0229" w:rsidRDefault="003F22F2" w:rsidP="003F22F2">
      <w:pPr>
        <w:pStyle w:val="NoSpacing"/>
        <w:spacing w:line="360" w:lineRule="auto"/>
        <w:rPr>
          <w:rFonts w:cs="Times New Roman"/>
          <w:szCs w:val="24"/>
        </w:rPr>
      </w:pPr>
    </w:p>
    <w:p w14:paraId="2DA1B778" w14:textId="77777777" w:rsidR="003F22F2" w:rsidRPr="00EC0229" w:rsidRDefault="003F22F2" w:rsidP="003F22F2">
      <w:pPr>
        <w:pStyle w:val="NoSpacing"/>
        <w:spacing w:line="360" w:lineRule="auto"/>
        <w:rPr>
          <w:rFonts w:cs="Times New Roman"/>
          <w:color w:val="FF0000"/>
          <w:szCs w:val="24"/>
        </w:rPr>
      </w:pPr>
      <w:r w:rsidRPr="00EC0229">
        <w:rPr>
          <w:rFonts w:cs="Times New Roman"/>
          <w:szCs w:val="24"/>
        </w:rPr>
        <w:t xml:space="preserve">In his </w:t>
      </w:r>
      <w:r w:rsidRPr="00EC0229">
        <w:rPr>
          <w:rFonts w:cs="Times New Roman"/>
          <w:i/>
          <w:szCs w:val="24"/>
        </w:rPr>
        <w:t>Primitive and Peasant Markets</w:t>
      </w:r>
      <w:r w:rsidRPr="00EC0229">
        <w:rPr>
          <w:rFonts w:cs="Times New Roman"/>
          <w:i/>
          <w:szCs w:val="24"/>
        </w:rPr>
        <w:fldChar w:fldCharType="begin"/>
      </w:r>
      <w:r w:rsidRPr="00EC0229">
        <w:instrText xml:space="preserve"> XE "</w:instrText>
      </w:r>
      <w:r w:rsidRPr="00EC0229">
        <w:rPr>
          <w:rStyle w:val="Hyperlink"/>
          <w:rFonts w:cs="Times New Roman"/>
          <w:noProof/>
          <w:u w:val="none"/>
        </w:rPr>
        <w:instrText>Markets</w:instrText>
      </w:r>
      <w:r w:rsidRPr="00EC0229">
        <w:instrText xml:space="preserve">" </w:instrText>
      </w:r>
      <w:r w:rsidRPr="00EC0229">
        <w:rPr>
          <w:rFonts w:cs="Times New Roman"/>
          <w:i/>
          <w:szCs w:val="24"/>
        </w:rPr>
        <w:fldChar w:fldCharType="end"/>
      </w:r>
      <w:r w:rsidRPr="00EC0229">
        <w:rPr>
          <w:rFonts w:cs="Times New Roman"/>
          <w:szCs w:val="24"/>
        </w:rPr>
        <w:t>, Hodges</w:t>
      </w:r>
      <w:r w:rsidRPr="00EC0229">
        <w:rPr>
          <w:rFonts w:cs="Times New Roman"/>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szCs w:val="24"/>
        </w:rPr>
        <w:fldChar w:fldCharType="end"/>
      </w:r>
      <w:r w:rsidRPr="00EC0229">
        <w:rPr>
          <w:rFonts w:cs="Times New Roman"/>
          <w:szCs w:val="24"/>
        </w:rPr>
        <w:t xml:space="preserve"> deduced that ‘the concept of marketing at its most primitive was selectively introduced to English kings about 600</w:t>
      </w:r>
      <w:r w:rsidRPr="00EC0229">
        <w:rPr>
          <w:rFonts w:cs="Times New Roman"/>
          <w:sz w:val="20"/>
          <w:szCs w:val="20"/>
        </w:rPr>
        <w:t>AD</w:t>
      </w:r>
      <w:r w:rsidRPr="00EC0229">
        <w:rPr>
          <w:rFonts w:cs="Times New Roman"/>
          <w:szCs w:val="24"/>
        </w:rPr>
        <w:t>. Dendritic central-place markets functioned first as gateway communities for administering the distribution of prestige goods, before becoming monopolistic centres for controlled regional/territorial production. Drawing upon Carolingian</w:t>
      </w:r>
      <w:r w:rsidRPr="00EC0229">
        <w:rPr>
          <w:rFonts w:cs="Times New Roman"/>
          <w:szCs w:val="24"/>
        </w:rPr>
        <w:fldChar w:fldCharType="begin"/>
      </w:r>
      <w:r w:rsidRPr="00EC0229">
        <w:instrText xml:space="preserve"> XE "</w:instrText>
      </w:r>
      <w:r w:rsidRPr="00EC0229">
        <w:rPr>
          <w:rFonts w:cs="Times New Roman"/>
          <w:szCs w:val="24"/>
        </w:rPr>
        <w:instrText>Carolingian</w:instrText>
      </w:r>
      <w:r w:rsidRPr="00EC0229">
        <w:instrText xml:space="preserve">" </w:instrText>
      </w:r>
      <w:r w:rsidRPr="00EC0229">
        <w:rPr>
          <w:rFonts w:cs="Times New Roman"/>
          <w:szCs w:val="24"/>
        </w:rPr>
        <w:fldChar w:fldCharType="end"/>
      </w:r>
      <w:r w:rsidRPr="00EC0229">
        <w:rPr>
          <w:rFonts w:cs="Times New Roman"/>
          <w:szCs w:val="24"/>
        </w:rPr>
        <w:t xml:space="preserve"> technology and economic experience the pre-conditions for a commercial take-off pre-date the Viking</w:t>
      </w:r>
      <w:r w:rsidRPr="00EC0229">
        <w:rPr>
          <w:rFonts w:cs="Times New Roman"/>
          <w:szCs w:val="24"/>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rFonts w:cs="Times New Roman"/>
          <w:szCs w:val="24"/>
        </w:rPr>
        <w:fldChar w:fldCharType="end"/>
      </w:r>
      <w:r w:rsidRPr="00EC0229">
        <w:rPr>
          <w:rFonts w:cs="Times New Roman"/>
          <w:szCs w:val="24"/>
        </w:rPr>
        <w:t xml:space="preserve"> assault.’</w:t>
      </w:r>
      <w:r w:rsidRPr="00EC0229">
        <w:rPr>
          <w:rStyle w:val="FootnoteReference"/>
          <w:rFonts w:cs="Times New Roman"/>
          <w:szCs w:val="24"/>
        </w:rPr>
        <w:footnoteReference w:id="94"/>
      </w:r>
    </w:p>
    <w:p w14:paraId="30084E30" w14:textId="77777777" w:rsidR="003F22F2" w:rsidRPr="00EC0229" w:rsidRDefault="003F22F2" w:rsidP="003F22F2">
      <w:pPr>
        <w:pStyle w:val="NoSpacing"/>
        <w:spacing w:line="360" w:lineRule="auto"/>
        <w:rPr>
          <w:rFonts w:cs="Times New Roman"/>
          <w:szCs w:val="24"/>
        </w:rPr>
      </w:pPr>
    </w:p>
    <w:p w14:paraId="49AC47E0" w14:textId="5378E036" w:rsidR="003F22F2" w:rsidRPr="00EC0229" w:rsidRDefault="003F22F2" w:rsidP="003F22F2">
      <w:pPr>
        <w:pStyle w:val="NoSpacing"/>
        <w:spacing w:line="360" w:lineRule="auto"/>
        <w:rPr>
          <w:rFonts w:cs="Times New Roman"/>
          <w:szCs w:val="24"/>
        </w:rPr>
      </w:pPr>
      <w:r w:rsidRPr="00EC0229">
        <w:rPr>
          <w:rFonts w:cs="Times New Roman"/>
          <w:szCs w:val="24"/>
        </w:rPr>
        <w:t>Hodges</w:t>
      </w:r>
      <w:r w:rsidRPr="00EC0229">
        <w:rPr>
          <w:rFonts w:cs="Times New Roman"/>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szCs w:val="24"/>
        </w:rPr>
        <w:fldChar w:fldCharType="end"/>
      </w:r>
      <w:r w:rsidRPr="00EC0229">
        <w:rPr>
          <w:rFonts w:cs="Times New Roman"/>
          <w:szCs w:val="24"/>
        </w:rPr>
        <w:t>, despite acknowledging Hart’s warning that anthropological</w:t>
      </w:r>
      <w:r w:rsidRPr="00EC0229">
        <w:rPr>
          <w:rFonts w:cs="Times New Roman"/>
          <w:szCs w:val="24"/>
        </w:rPr>
        <w:fldChar w:fldCharType="begin"/>
      </w:r>
      <w:r w:rsidRPr="00EC0229">
        <w:instrText xml:space="preserve"> XE "</w:instrText>
      </w:r>
      <w:r w:rsidRPr="00EC0229">
        <w:rPr>
          <w:rFonts w:cs="Times New Roman"/>
          <w:szCs w:val="24"/>
        </w:rPr>
        <w:instrText>anthropological</w:instrText>
      </w:r>
      <w:r w:rsidRPr="00EC0229">
        <w:instrText xml:space="preserve">" </w:instrText>
      </w:r>
      <w:r w:rsidRPr="00EC0229">
        <w:rPr>
          <w:rFonts w:cs="Times New Roman"/>
          <w:szCs w:val="24"/>
        </w:rPr>
        <w:fldChar w:fldCharType="end"/>
      </w:r>
      <w:r w:rsidRPr="00EC0229">
        <w:rPr>
          <w:rFonts w:cs="Times New Roman"/>
          <w:szCs w:val="24"/>
        </w:rPr>
        <w:t xml:space="preserve"> definitions may seem ‘mindbogglingly…reductionist’,</w:t>
      </w:r>
      <w:r w:rsidRPr="00EC0229">
        <w:rPr>
          <w:rStyle w:val="FootnoteReference"/>
          <w:rFonts w:cs="Times New Roman"/>
          <w:szCs w:val="24"/>
        </w:rPr>
        <w:footnoteReference w:id="95"/>
      </w:r>
      <w:r w:rsidRPr="00EC0229">
        <w:rPr>
          <w:rFonts w:cs="Times New Roman"/>
          <w:szCs w:val="24"/>
        </w:rPr>
        <w:t xml:space="preserve"> shared the compulsion of economic anthropologists to devise ever more complicated models.</w:t>
      </w:r>
      <w:r w:rsidRPr="00EC0229">
        <w:rPr>
          <w:rStyle w:val="FootnoteReference"/>
          <w:rFonts w:cs="Times New Roman"/>
          <w:szCs w:val="24"/>
        </w:rPr>
        <w:footnoteReference w:id="96"/>
      </w:r>
      <w:r w:rsidRPr="00EC0229">
        <w:rPr>
          <w:rFonts w:cs="Times New Roman"/>
          <w:szCs w:val="24"/>
        </w:rPr>
        <w:t xml:space="preserve"> What they are trying to describe is not intrinsically difficult, it is simply that our view, of a dynamic and varying situation, is obscured. An example of this tendency is given by Hodges and Cherry (1983) in their application of </w:t>
      </w:r>
      <w:r w:rsidRPr="00EC0229">
        <w:rPr>
          <w:rFonts w:cs="Times New Roman"/>
          <w:i/>
          <w:szCs w:val="24"/>
        </w:rPr>
        <w:t>General Systems Theory</w:t>
      </w:r>
      <w:r w:rsidRPr="00EC0229">
        <w:rPr>
          <w:rFonts w:cs="Times New Roman"/>
          <w:szCs w:val="24"/>
        </w:rPr>
        <w:t>.</w:t>
      </w:r>
      <w:r w:rsidRPr="00EC0229">
        <w:rPr>
          <w:rStyle w:val="FootnoteReference"/>
          <w:rFonts w:cs="Times New Roman"/>
          <w:szCs w:val="24"/>
        </w:rPr>
        <w:footnoteReference w:id="97"/>
      </w:r>
      <w:r w:rsidRPr="00EC0229">
        <w:rPr>
          <w:rFonts w:cs="Times New Roman"/>
          <w:szCs w:val="24"/>
        </w:rPr>
        <w:t xml:space="preserve"> They set out six cost-induced ‘expectations’ of coin production: the following will increase with political complexity: i) total volume of coinage, ii) the size of individual coin issues, iii) unit variation within the coinage, iv) metric standardization of issues, v) coin propaganda and vi) the number of mints. Even though they then discuss primary and secondary sceats,</w:t>
      </w:r>
      <w:r w:rsidRPr="00EC0229">
        <w:rPr>
          <w:rStyle w:val="FootnoteReference"/>
          <w:rFonts w:cs="Times New Roman"/>
          <w:szCs w:val="24"/>
        </w:rPr>
        <w:footnoteReference w:id="98"/>
      </w:r>
      <w:r w:rsidRPr="00EC0229">
        <w:rPr>
          <w:rFonts w:cs="Times New Roman"/>
          <w:szCs w:val="24"/>
        </w:rPr>
        <w:t xml:space="preserve"> they fail to register that each of these expectations is disappointed, particularly in the No</w:t>
      </w:r>
      <w:r w:rsidR="00562ED5">
        <w:rPr>
          <w:rFonts w:cs="Times New Roman"/>
          <w:szCs w:val="24"/>
        </w:rPr>
        <w:t>rthumbrian series</w:t>
      </w:r>
      <w:r w:rsidRPr="00EC0229">
        <w:rPr>
          <w:rFonts w:cs="Times New Roman"/>
          <w:szCs w:val="24"/>
        </w:rPr>
        <w:t>. Essentially, the early medieval period is one of gradual, if fraught, consolidation of the Anglo-Saxon</w:t>
      </w:r>
      <w:r w:rsidRPr="00EC0229">
        <w:rPr>
          <w:rFonts w:cs="Times New Roman"/>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szCs w:val="24"/>
        </w:rPr>
        <w:fldChar w:fldCharType="end"/>
      </w:r>
      <w:r w:rsidRPr="00EC0229">
        <w:rPr>
          <w:rFonts w:cs="Times New Roman"/>
          <w:szCs w:val="24"/>
        </w:rPr>
        <w:t xml:space="preserve"> monarchy, accompanied by a reduction in coin types, until singularity is approached in both. Moreover, in their time, sceats were more abundant than the broad pennies until medieval times. If Hodges and Cherry associated political complexity with the passage of time, there is a </w:t>
      </w:r>
      <w:r w:rsidRPr="00EC0229">
        <w:rPr>
          <w:rFonts w:cs="Times New Roman"/>
          <w:i/>
          <w:szCs w:val="24"/>
        </w:rPr>
        <w:t>simplification</w:t>
      </w:r>
      <w:r w:rsidRPr="00EC0229">
        <w:rPr>
          <w:rFonts w:cs="Times New Roman"/>
          <w:szCs w:val="24"/>
        </w:rPr>
        <w:t xml:space="preserve"> of the political structure as the internecine feuding of sub-kingdoms becomes less prevalent (though, no doubt the political structure became more </w:t>
      </w:r>
      <w:r w:rsidRPr="00EC0229">
        <w:rPr>
          <w:rFonts w:cs="Times New Roman"/>
          <w:szCs w:val="24"/>
        </w:rPr>
        <w:lastRenderedPageBreak/>
        <w:t xml:space="preserve">sophisticated with consolidation). In any event, in contradiction to what they claim, it may be concluded that all of the above measures </w:t>
      </w:r>
      <w:r w:rsidRPr="00EC0229">
        <w:rPr>
          <w:rFonts w:cs="Times New Roman"/>
          <w:i/>
          <w:szCs w:val="24"/>
        </w:rPr>
        <w:t>decreased</w:t>
      </w:r>
      <w:r w:rsidRPr="00EC0229">
        <w:rPr>
          <w:rFonts w:cs="Times New Roman"/>
          <w:szCs w:val="24"/>
        </w:rPr>
        <w:t xml:space="preserve"> in the transition from sceat to penny</w:t>
      </w:r>
      <w:r w:rsidRPr="00EC0229">
        <w:rPr>
          <w:rFonts w:cs="Times New Roman"/>
          <w:szCs w:val="24"/>
        </w:rPr>
        <w:fldChar w:fldCharType="begin"/>
      </w:r>
      <w:r w:rsidRPr="00EC0229">
        <w:instrText xml:space="preserve"> XE "penny"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99"/>
      </w:r>
    </w:p>
    <w:p w14:paraId="714E3E4E" w14:textId="77777777" w:rsidR="003F22F2" w:rsidRPr="00EC0229" w:rsidRDefault="003F22F2" w:rsidP="003F22F2">
      <w:pPr>
        <w:pStyle w:val="NoSpacing"/>
        <w:spacing w:line="360" w:lineRule="auto"/>
        <w:rPr>
          <w:rFonts w:cs="Times New Roman"/>
          <w:szCs w:val="24"/>
        </w:rPr>
      </w:pPr>
    </w:p>
    <w:p w14:paraId="61B91FAF" w14:textId="77777777" w:rsidR="003F22F2" w:rsidRPr="00EC0229" w:rsidRDefault="003F22F2" w:rsidP="003F22F2">
      <w:pPr>
        <w:pStyle w:val="NoSpacing"/>
        <w:spacing w:line="360" w:lineRule="auto"/>
        <w:rPr>
          <w:rFonts w:eastAsia="Times New Roman" w:cs="Times New Roman"/>
          <w:iCs/>
          <w:color w:val="FF0000"/>
          <w:szCs w:val="24"/>
          <w:lang w:eastAsia="en-GB"/>
        </w:rPr>
      </w:pPr>
      <w:r w:rsidRPr="00EC0229">
        <w:rPr>
          <w:rFonts w:cs="Times New Roman"/>
          <w:szCs w:val="24"/>
        </w:rPr>
        <w:t>Skre</w:t>
      </w:r>
      <w:r w:rsidRPr="00EC0229">
        <w:rPr>
          <w:rFonts w:cs="Times New Roman"/>
          <w:szCs w:val="24"/>
        </w:rPr>
        <w:fldChar w:fldCharType="begin"/>
      </w:r>
      <w:r w:rsidRPr="00EC0229">
        <w:instrText xml:space="preserve"> XE "Skre" </w:instrText>
      </w:r>
      <w:r w:rsidRPr="00EC0229">
        <w:rPr>
          <w:rFonts w:cs="Times New Roman"/>
          <w:szCs w:val="24"/>
        </w:rPr>
        <w:fldChar w:fldCharType="end"/>
      </w:r>
      <w:r w:rsidRPr="00EC0229">
        <w:rPr>
          <w:rFonts w:cs="Times New Roman"/>
          <w:szCs w:val="24"/>
        </w:rPr>
        <w:t xml:space="preserve"> attempted to cut through anthropological</w:t>
      </w:r>
      <w:r w:rsidRPr="00EC0229">
        <w:rPr>
          <w:rFonts w:cs="Times New Roman"/>
          <w:szCs w:val="24"/>
        </w:rPr>
        <w:fldChar w:fldCharType="begin"/>
      </w:r>
      <w:r w:rsidRPr="00EC0229">
        <w:instrText xml:space="preserve"> XE "</w:instrText>
      </w:r>
      <w:r w:rsidRPr="00EC0229">
        <w:rPr>
          <w:rFonts w:cs="Times New Roman"/>
          <w:szCs w:val="24"/>
        </w:rPr>
        <w:instrText>anthropological</w:instrText>
      </w:r>
      <w:r w:rsidRPr="00EC0229">
        <w:instrText xml:space="preserve">" </w:instrText>
      </w:r>
      <w:r w:rsidRPr="00EC0229">
        <w:rPr>
          <w:rFonts w:cs="Times New Roman"/>
          <w:szCs w:val="24"/>
        </w:rPr>
        <w:fldChar w:fldCharType="end"/>
      </w:r>
      <w:r w:rsidRPr="00EC0229">
        <w:rPr>
          <w:rFonts w:cs="Times New Roman"/>
          <w:szCs w:val="24"/>
        </w:rPr>
        <w:t xml:space="preserve"> conjecture: ‘The connections between society, cultural social norms and economy</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rPr>
          <w:rFonts w:cs="Times New Roman"/>
          <w:szCs w:val="24"/>
        </w:rPr>
        <w:fldChar w:fldCharType="end"/>
      </w:r>
      <w:r w:rsidRPr="00EC0229">
        <w:rPr>
          <w:rFonts w:cs="Times New Roman"/>
          <w:szCs w:val="24"/>
        </w:rPr>
        <w:t xml:space="preserve"> are so complex that the absolute linkages between specific combinations of the basic conditions cannot be postulated. Each individual economic history has to be examined empirically.’</w:t>
      </w:r>
      <w:r w:rsidRPr="00EC0229">
        <w:rPr>
          <w:rStyle w:val="FootnoteReference"/>
          <w:rFonts w:cs="Times New Roman"/>
          <w:szCs w:val="24"/>
        </w:rPr>
        <w:footnoteReference w:id="100"/>
      </w:r>
      <w:r w:rsidRPr="00EC0229">
        <w:rPr>
          <w:rFonts w:cs="Times New Roman"/>
          <w:szCs w:val="24"/>
        </w:rPr>
        <w:t xml:space="preserve"> Despite this, he attempted to fit Scandinavian settlements into the Hodgian system, proposing a refinement of the smaller scale locations by assessing i) sites as seasonal or permanent, ii) trade as intra- or inter-regional or long-distance, and iii) location in relation to political entities. These led him to add local and central-place markets to the model, where aristocratic power is less evident in the socio-political structure of the former, which are seasonal and intra-regional, while the latter engage in long-distance trade</w:t>
      </w:r>
      <w:r w:rsidRPr="00EC0229">
        <w:rPr>
          <w:rFonts w:cs="Times New Roman"/>
          <w:szCs w:val="24"/>
        </w:rPr>
        <w:fldChar w:fldCharType="begin"/>
      </w:r>
      <w:r w:rsidRPr="00EC0229">
        <w:instrText xml:space="preserve"> XE "</w:instrText>
      </w:r>
      <w:r w:rsidRPr="00EC0229">
        <w:rPr>
          <w:rFonts w:cs="Times New Roman"/>
          <w:szCs w:val="24"/>
        </w:rPr>
        <w:instrText>long-distance trade</w:instrText>
      </w:r>
      <w:r w:rsidRPr="00EC0229">
        <w:instrText xml:space="preserve">"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101"/>
      </w:r>
      <w:r w:rsidRPr="00EC0229">
        <w:rPr>
          <w:rFonts w:cs="Times New Roman"/>
          <w:szCs w:val="24"/>
        </w:rPr>
        <w:t xml:space="preserve"> In critiquing Hodge’s substantivist view of royal power, Skre concluded: ‘A general perspective suggests that production and trade grow out of natural conditions, social relationships, cultural norms and an economic agency – all of which lay well beyond the range of control of the earliest kings.’</w:t>
      </w:r>
      <w:r w:rsidRPr="00EC0229">
        <w:rPr>
          <w:rStyle w:val="FootnoteReference"/>
          <w:rFonts w:cs="Times New Roman"/>
          <w:szCs w:val="24"/>
        </w:rPr>
        <w:footnoteReference w:id="102"/>
      </w:r>
      <w:r w:rsidRPr="00EC0229">
        <w:rPr>
          <w:rFonts w:cs="Times New Roman"/>
          <w:szCs w:val="24"/>
        </w:rPr>
        <w:t xml:space="preserve"> A distinguishing feature of the nodal markets and towns is that craftwork used imported raw materials, whereas local and central-place markets used what was to hand. However, Skre’s revised model does not necessarily fit the Northumbrian situation where the power at the centre appears episcopal, and the kings, peripatetic. </w:t>
      </w:r>
      <w:r w:rsidRPr="00EC0229">
        <w:rPr>
          <w:rFonts w:eastAsia="Times New Roman" w:cs="Times New Roman"/>
          <w:iCs/>
          <w:szCs w:val="24"/>
          <w:lang w:eastAsia="en-GB"/>
        </w:rPr>
        <w:t>Is the Northumbrian pattern more metro-centric than Scandinavia</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Scandinavia</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p>
    <w:p w14:paraId="16016567" w14:textId="77777777" w:rsidR="003F22F2" w:rsidRPr="00EC0229" w:rsidRDefault="003F22F2" w:rsidP="003F22F2">
      <w:pPr>
        <w:pStyle w:val="NoSpacing"/>
        <w:spacing w:line="360" w:lineRule="auto"/>
        <w:rPr>
          <w:rFonts w:cs="Times New Roman"/>
          <w:color w:val="000000" w:themeColor="text1"/>
          <w:szCs w:val="24"/>
        </w:rPr>
      </w:pPr>
    </w:p>
    <w:p w14:paraId="4E9BD850" w14:textId="34B228E5" w:rsidR="003F22F2" w:rsidRPr="00EC0229" w:rsidRDefault="003F22F2" w:rsidP="003F22F2">
      <w:pPr>
        <w:pStyle w:val="NoSpacing"/>
        <w:spacing w:line="360" w:lineRule="auto"/>
        <w:rPr>
          <w:rFonts w:cs="Times New Roman"/>
          <w:color w:val="000000" w:themeColor="text1"/>
          <w:szCs w:val="24"/>
        </w:rPr>
      </w:pPr>
      <w:r w:rsidRPr="00EC0229">
        <w:rPr>
          <w:rFonts w:cs="Times New Roman"/>
          <w:color w:val="000000" w:themeColor="text1"/>
          <w:szCs w:val="24"/>
        </w:rPr>
        <w:t xml:space="preserve">In </w:t>
      </w:r>
      <w:r w:rsidRPr="00EC0229">
        <w:rPr>
          <w:i/>
        </w:rPr>
        <w:t>SiEMC</w:t>
      </w:r>
      <w:r w:rsidR="006A0520" w:rsidRPr="00EC0229">
        <w:rPr>
          <w:i/>
        </w:rPr>
        <w:t xml:space="preserve"> </w:t>
      </w:r>
      <w:r w:rsidRPr="00EC0229">
        <w:rPr>
          <w:i/>
        </w:rPr>
        <w:fldChar w:fldCharType="begin"/>
      </w:r>
      <w:r w:rsidRPr="00EC0229">
        <w:rPr>
          <w:i/>
        </w:rPr>
        <w:instrText xml:space="preserve"> XE "</w:instrText>
      </w:r>
      <w:r w:rsidRPr="00EC0229">
        <w:rPr>
          <w:rFonts w:cs="Times New Roman"/>
          <w:b/>
          <w:i/>
          <w:sz w:val="40"/>
          <w:szCs w:val="40"/>
        </w:rPr>
        <w:instrText>Abramson</w:instrText>
      </w:r>
      <w:r w:rsidRPr="00EC0229">
        <w:rPr>
          <w:i/>
        </w:rPr>
        <w:instrText xml:space="preserve">" </w:instrText>
      </w:r>
      <w:r w:rsidRPr="00EC0229">
        <w:rPr>
          <w:i/>
        </w:rPr>
        <w:fldChar w:fldCharType="end"/>
      </w:r>
      <w:r w:rsidRPr="00EC0229">
        <w:t>1</w:t>
      </w:r>
      <w:r w:rsidRPr="00EC0229">
        <w:rPr>
          <w:rFonts w:cs="Times New Roman"/>
          <w:color w:val="000000" w:themeColor="text1"/>
          <w:szCs w:val="24"/>
        </w:rPr>
        <w:t>, Hodges</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wrote: ‘Gerald Dunning planted the seed of long-distance trade</w:t>
      </w:r>
      <w:r w:rsidRPr="00EC0229">
        <w:rPr>
          <w:rFonts w:cs="Times New Roman"/>
          <w:color w:val="000000" w:themeColor="text1"/>
          <w:szCs w:val="24"/>
        </w:rPr>
        <w:fldChar w:fldCharType="begin"/>
      </w:r>
      <w:r w:rsidRPr="00EC0229">
        <w:instrText xml:space="preserve"> XE "</w:instrText>
      </w:r>
      <w:r w:rsidRPr="00EC0229">
        <w:rPr>
          <w:rFonts w:cs="Times New Roman"/>
          <w:szCs w:val="24"/>
        </w:rPr>
        <w:instrText>long-distance trade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in the form of imported ceramics</w:t>
      </w:r>
      <w:r w:rsidRPr="00EC0229">
        <w:rPr>
          <w:rFonts w:cs="Times New Roman"/>
          <w:color w:val="000000" w:themeColor="text1"/>
          <w:szCs w:val="24"/>
        </w:rPr>
        <w:fldChar w:fldCharType="begin"/>
      </w:r>
      <w:r w:rsidRPr="00EC0229">
        <w:instrText xml:space="preserve"> XE "</w:instrText>
      </w:r>
      <w:r w:rsidRPr="00EC0229">
        <w:rPr>
          <w:szCs w:val="24"/>
        </w:rPr>
        <w:instrText>ceramics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as the key to understanding Middle-Saxon England…with long-distance trade being the stimulus to culture process.’</w:t>
      </w:r>
      <w:r w:rsidRPr="00EC0229">
        <w:rPr>
          <w:rStyle w:val="FootnoteReference"/>
          <w:rFonts w:cs="Times New Roman"/>
          <w:color w:val="000000" w:themeColor="text1"/>
          <w:szCs w:val="24"/>
        </w:rPr>
        <w:t xml:space="preserve"> </w:t>
      </w:r>
      <w:r w:rsidRPr="00EC0229">
        <w:rPr>
          <w:rStyle w:val="FootnoteReference"/>
          <w:rFonts w:cs="Times New Roman"/>
          <w:color w:val="000000" w:themeColor="text1"/>
          <w:szCs w:val="24"/>
        </w:rPr>
        <w:footnoteReference w:id="103"/>
      </w:r>
      <w:r w:rsidRPr="00EC0229">
        <w:rPr>
          <w:rFonts w:cs="Times New Roman"/>
          <w:color w:val="000000" w:themeColor="text1"/>
          <w:szCs w:val="24"/>
        </w:rPr>
        <w:t xml:space="preserve">  In this article, Hodges </w:t>
      </w:r>
      <w:r w:rsidR="004504D2">
        <w:rPr>
          <w:rFonts w:cs="Times New Roman"/>
          <w:color w:val="000000" w:themeColor="text1"/>
          <w:szCs w:val="24"/>
        </w:rPr>
        <w:t>characterize</w:t>
      </w:r>
      <w:r w:rsidRPr="00EC0229">
        <w:rPr>
          <w:rFonts w:cs="Times New Roman"/>
          <w:color w:val="000000" w:themeColor="text1"/>
          <w:szCs w:val="24"/>
        </w:rPr>
        <w:t>d the new emporia</w:t>
      </w:r>
      <w:r w:rsidRPr="00EC0229">
        <w:rPr>
          <w:rFonts w:cs="Times New Roman"/>
          <w:color w:val="000000" w:themeColor="text1"/>
          <w:szCs w:val="24"/>
        </w:rPr>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as large, planned sites located beyond Roman</w:t>
      </w:r>
      <w:r w:rsidRPr="00EC0229">
        <w:rPr>
          <w:rFonts w:cs="Times New Roman"/>
          <w:color w:val="000000" w:themeColor="text1"/>
          <w:szCs w:val="24"/>
        </w:rPr>
        <w:fldChar w:fldCharType="begin"/>
      </w:r>
      <w:r w:rsidRPr="00EC0229">
        <w:instrText xml:space="preserve"> XE "Roman" </w:instrText>
      </w:r>
      <w:r w:rsidRPr="00EC0229">
        <w:rPr>
          <w:rFonts w:cs="Times New Roman"/>
          <w:color w:val="000000" w:themeColor="text1"/>
          <w:szCs w:val="24"/>
        </w:rPr>
        <w:fldChar w:fldCharType="end"/>
      </w:r>
      <w:r w:rsidRPr="00EC0229">
        <w:rPr>
          <w:rFonts w:cs="Times New Roman"/>
          <w:color w:val="000000" w:themeColor="text1"/>
          <w:szCs w:val="24"/>
        </w:rPr>
        <w:t xml:space="preserve"> ruins, with no ecclesiastical presence, yielding rich finds of sceats and imported pottery. These ‘non-places’</w:t>
      </w:r>
      <w:r w:rsidRPr="00EC0229">
        <w:rPr>
          <w:rStyle w:val="FootnoteReference"/>
          <w:rFonts w:cs="Times New Roman"/>
          <w:color w:val="000000" w:themeColor="text1"/>
          <w:szCs w:val="24"/>
        </w:rPr>
        <w:footnoteReference w:id="104"/>
      </w:r>
      <w:r w:rsidRPr="00EC0229">
        <w:rPr>
          <w:rFonts w:cs="Times New Roman"/>
          <w:color w:val="000000" w:themeColor="text1"/>
          <w:szCs w:val="24"/>
        </w:rPr>
        <w:t xml:space="preserve"> are not mentioned in the historic record, Hodges suggested, because regal and ecclesiastical authorities </w:t>
      </w:r>
      <w:r w:rsidRPr="00EC0229">
        <w:rPr>
          <w:rFonts w:cs="Times New Roman"/>
          <w:color w:val="000000" w:themeColor="text1"/>
          <w:szCs w:val="24"/>
        </w:rPr>
        <w:lastRenderedPageBreak/>
        <w:t>may have had a contempt for trade. For example, in York</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i/>
          <w:color w:val="000000" w:themeColor="text1"/>
          <w:szCs w:val="24"/>
        </w:rPr>
        <w:t>Eoforwic</w:t>
      </w:r>
      <w:r w:rsidRPr="00EC0229">
        <w:rPr>
          <w:rStyle w:val="FootnoteReference"/>
          <w:rFonts w:cs="Times New Roman"/>
          <w:color w:val="000000" w:themeColor="text1"/>
          <w:szCs w:val="24"/>
        </w:rPr>
        <w:footnoteReference w:id="105"/>
      </w:r>
      <w:r w:rsidRPr="00EC0229">
        <w:rPr>
          <w:rFonts w:cs="Times New Roman"/>
          <w:color w:val="000000" w:themeColor="text1"/>
          <w:szCs w:val="24"/>
        </w:rPr>
        <w:t xml:space="preserve"> was well away from the Roman remains but was already in decline before the </w:t>
      </w:r>
      <w:r w:rsidRPr="00EC0229">
        <w:rPr>
          <w:rFonts w:cs="Times New Roman"/>
          <w:i/>
          <w:color w:val="000000" w:themeColor="text1"/>
          <w:szCs w:val="24"/>
        </w:rPr>
        <w:t>micel here</w:t>
      </w:r>
      <w:r w:rsidRPr="00EC0229">
        <w:rPr>
          <w:rFonts w:cs="Times New Roman"/>
          <w:i/>
          <w:color w:val="000000" w:themeColor="text1"/>
          <w:szCs w:val="24"/>
        </w:rPr>
        <w:fldChar w:fldCharType="begin"/>
      </w:r>
      <w:r w:rsidRPr="00EC0229">
        <w:instrText xml:space="preserve"> XE "</w:instrText>
      </w:r>
      <w:r w:rsidRPr="00EC0229">
        <w:rPr>
          <w:rFonts w:cs="Times New Roman"/>
          <w:i/>
          <w:color w:val="000000" w:themeColor="text1"/>
          <w:szCs w:val="24"/>
        </w:rPr>
        <w:instrText>micel here</w:instrText>
      </w:r>
      <w:r w:rsidRPr="00EC0229">
        <w:instrText xml:space="preserve">" </w:instrText>
      </w:r>
      <w:r w:rsidRPr="00EC0229">
        <w:rPr>
          <w:rFonts w:cs="Times New Roman"/>
          <w:i/>
          <w:color w:val="000000" w:themeColor="text1"/>
          <w:szCs w:val="24"/>
        </w:rPr>
        <w:fldChar w:fldCharType="end"/>
      </w:r>
      <w:r w:rsidRPr="00EC0229">
        <w:rPr>
          <w:rFonts w:cs="Times New Roman"/>
          <w:color w:val="000000" w:themeColor="text1"/>
          <w:szCs w:val="24"/>
        </w:rPr>
        <w:t xml:space="preserve"> arrived. </w:t>
      </w:r>
    </w:p>
    <w:p w14:paraId="4BC6623C" w14:textId="77777777" w:rsidR="003F22F2" w:rsidRPr="00EC0229" w:rsidRDefault="003F22F2" w:rsidP="003F22F2">
      <w:pPr>
        <w:pStyle w:val="NoSpacing"/>
        <w:spacing w:line="360" w:lineRule="auto"/>
        <w:rPr>
          <w:rFonts w:cs="Times New Roman"/>
          <w:color w:val="000000" w:themeColor="text1"/>
          <w:szCs w:val="24"/>
        </w:rPr>
      </w:pPr>
    </w:p>
    <w:p w14:paraId="14B3643A" w14:textId="3EEF1271" w:rsidR="003F22F2" w:rsidRPr="00EC0229" w:rsidRDefault="003F22F2" w:rsidP="003F22F2">
      <w:pPr>
        <w:pStyle w:val="NoSpacing"/>
        <w:spacing w:line="360" w:lineRule="auto"/>
        <w:rPr>
          <w:rFonts w:cs="Times New Roman"/>
          <w:szCs w:val="24"/>
        </w:rPr>
      </w:pPr>
      <w:r w:rsidRPr="00EC0229">
        <w:rPr>
          <w:rFonts w:cs="Times New Roman"/>
          <w:szCs w:val="24"/>
        </w:rPr>
        <w:t xml:space="preserve">The surge in metal-detected finds since the first publication of </w:t>
      </w:r>
      <w:r w:rsidRPr="00EC0229">
        <w:rPr>
          <w:rFonts w:cs="Times New Roman"/>
          <w:i/>
          <w:szCs w:val="24"/>
        </w:rPr>
        <w:t>Dark Age Economics</w:t>
      </w:r>
      <w:r w:rsidRPr="00EC0229">
        <w:rPr>
          <w:rFonts w:cs="Times New Roman"/>
          <w:szCs w:val="24"/>
        </w:rPr>
        <w:t>, indicating, for example, that the volume of sceats in circulation must be measured in millions,</w:t>
      </w:r>
      <w:r w:rsidRPr="00EC0229">
        <w:rPr>
          <w:rStyle w:val="FootnoteReference"/>
          <w:rFonts w:cs="Times New Roman"/>
          <w:szCs w:val="24"/>
        </w:rPr>
        <w:footnoteReference w:id="106"/>
      </w:r>
      <w:r w:rsidRPr="00EC0229">
        <w:rPr>
          <w:rFonts w:cs="Times New Roman"/>
          <w:szCs w:val="24"/>
        </w:rPr>
        <w:t xml:space="preserve"> led Hodges</w:t>
      </w:r>
      <w:r w:rsidRPr="00EC0229">
        <w:rPr>
          <w:rFonts w:cs="Times New Roman"/>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szCs w:val="24"/>
        </w:rPr>
        <w:fldChar w:fldCharType="end"/>
      </w:r>
      <w:r w:rsidRPr="00EC0229">
        <w:rPr>
          <w:rFonts w:cs="Times New Roman"/>
          <w:szCs w:val="24"/>
        </w:rPr>
        <w:t xml:space="preserve"> to a revision of this standard work. He viewed the intervening debate to have focussed too much on the élite</w:t>
      </w:r>
      <w:r w:rsidRPr="00EC0229">
        <w:rPr>
          <w:rFonts w:cs="Times New Roman"/>
          <w:szCs w:val="24"/>
        </w:rPr>
        <w:fldChar w:fldCharType="begin"/>
      </w:r>
      <w:r w:rsidRPr="00EC0229">
        <w:instrText xml:space="preserve"> XE "</w:instrText>
      </w:r>
      <w:r w:rsidRPr="00EC0229">
        <w:rPr>
          <w:szCs w:val="24"/>
        </w:rPr>
        <w:instrText>élite</w:instrText>
      </w:r>
      <w:r w:rsidRPr="00EC0229">
        <w:instrText xml:space="preserve">" </w:instrText>
      </w:r>
      <w:r w:rsidRPr="00EC0229">
        <w:rPr>
          <w:rFonts w:cs="Times New Roman"/>
          <w:szCs w:val="24"/>
        </w:rPr>
        <w:fldChar w:fldCharType="end"/>
      </w:r>
      <w:r w:rsidRPr="00EC0229">
        <w:rPr>
          <w:rFonts w:cs="Times New Roman"/>
          <w:szCs w:val="24"/>
        </w:rPr>
        <w:t>, neglecting the household as the core component. The transition from gift exchange</w:t>
      </w:r>
      <w:r w:rsidRPr="00EC0229">
        <w:rPr>
          <w:rFonts w:cs="Times New Roman"/>
          <w:szCs w:val="24"/>
        </w:rPr>
        <w:fldChar w:fldCharType="begin"/>
      </w:r>
      <w:r w:rsidRPr="00EC0229">
        <w:instrText xml:space="preserve"> XE "gift exchange" </w:instrText>
      </w:r>
      <w:r w:rsidRPr="00EC0229">
        <w:rPr>
          <w:rFonts w:cs="Times New Roman"/>
          <w:szCs w:val="24"/>
        </w:rPr>
        <w:fldChar w:fldCharType="end"/>
      </w:r>
      <w:r w:rsidRPr="00EC0229">
        <w:rPr>
          <w:rFonts w:cs="Times New Roman"/>
          <w:szCs w:val="24"/>
        </w:rPr>
        <w:t xml:space="preserve"> to money</w:t>
      </w:r>
      <w:r w:rsidRPr="00EC0229">
        <w:rPr>
          <w:rFonts w:cs="Times New Roman"/>
          <w:szCs w:val="24"/>
        </w:rPr>
        <w:fldChar w:fldCharType="begin"/>
      </w:r>
      <w:r w:rsidRPr="00EC0229">
        <w:instrText xml:space="preserve"> XE "money" </w:instrText>
      </w:r>
      <w:r w:rsidRPr="00EC0229">
        <w:rPr>
          <w:rFonts w:cs="Times New Roman"/>
          <w:szCs w:val="24"/>
        </w:rPr>
        <w:fldChar w:fldCharType="end"/>
      </w:r>
      <w:r w:rsidRPr="00EC0229">
        <w:rPr>
          <w:rFonts w:cs="Times New Roman"/>
          <w:szCs w:val="24"/>
        </w:rPr>
        <w:t xml:space="preserve"> is accompanied by a crystallization of fixed and moveable property rights. Hodges, in common with most anthropologists, failed to recognise that gift exchange and reciprocity</w:t>
      </w:r>
      <w:r w:rsidRPr="00EC0229">
        <w:rPr>
          <w:rFonts w:cs="Times New Roman"/>
          <w:szCs w:val="24"/>
        </w:rPr>
        <w:fldChar w:fldCharType="begin"/>
      </w:r>
      <w:r w:rsidRPr="00EC0229">
        <w:instrText xml:space="preserve"> XE "</w:instrText>
      </w:r>
      <w:r w:rsidRPr="00EC0229">
        <w:rPr>
          <w:rFonts w:cs="Times New Roman"/>
          <w:szCs w:val="24"/>
        </w:rPr>
        <w:instrText>reciprocity</w:instrText>
      </w:r>
      <w:r w:rsidRPr="00EC0229">
        <w:instrText xml:space="preserve">" </w:instrText>
      </w:r>
      <w:r w:rsidRPr="00EC0229">
        <w:rPr>
          <w:rFonts w:cs="Times New Roman"/>
          <w:szCs w:val="24"/>
        </w:rPr>
        <w:fldChar w:fldCharType="end"/>
      </w:r>
      <w:r w:rsidRPr="00EC0229">
        <w:rPr>
          <w:rFonts w:cs="Times New Roman"/>
          <w:szCs w:val="24"/>
        </w:rPr>
        <w:t xml:space="preserve"> are social not economic constructs.</w:t>
      </w:r>
    </w:p>
    <w:p w14:paraId="4118C309" w14:textId="77777777" w:rsidR="003F22F2" w:rsidRPr="00EC0229" w:rsidRDefault="003F22F2" w:rsidP="003F22F2">
      <w:pPr>
        <w:pStyle w:val="NoSpacing"/>
        <w:spacing w:line="360" w:lineRule="auto"/>
        <w:rPr>
          <w:rFonts w:cs="Times New Roman"/>
          <w:szCs w:val="24"/>
        </w:rPr>
      </w:pPr>
    </w:p>
    <w:p w14:paraId="6DFF126C" w14:textId="77777777" w:rsidR="003F22F2" w:rsidRPr="00EC0229" w:rsidRDefault="003F22F2" w:rsidP="003F22F2">
      <w:pPr>
        <w:pStyle w:val="NoSpacing"/>
        <w:spacing w:line="360" w:lineRule="auto"/>
      </w:pPr>
      <w:bookmarkStart w:id="79" w:name="tributarymode"/>
      <w:bookmarkEnd w:id="79"/>
      <w:r w:rsidRPr="00EC0229">
        <w:t>Hodges</w:t>
      </w:r>
      <w:r w:rsidRPr="00EC0229">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fldChar w:fldCharType="end"/>
      </w:r>
      <w:r w:rsidRPr="00EC0229">
        <w:t xml:space="preserve"> noted an intensification of Frankish agriculture from the late sixth century with numerous storage pits showing the extent of cereal production.</w:t>
      </w:r>
      <w:r w:rsidRPr="00EC0229">
        <w:rPr>
          <w:rStyle w:val="FootnoteReference"/>
        </w:rPr>
        <w:footnoteReference w:id="107"/>
      </w:r>
      <w:r w:rsidRPr="00EC0229">
        <w:t xml:space="preserve"> At this time, rotational field usage is evident. These changes were accompanied by an increase in material culture, specifically ceramics</w:t>
      </w:r>
      <w:r w:rsidRPr="00EC0229">
        <w:fldChar w:fldCharType="begin"/>
      </w:r>
      <w:r w:rsidRPr="00EC0229">
        <w:instrText xml:space="preserve"> XE "</w:instrText>
      </w:r>
      <w:r w:rsidRPr="00EC0229">
        <w:rPr>
          <w:szCs w:val="24"/>
        </w:rPr>
        <w:instrText>ceramics</w:instrText>
      </w:r>
      <w:r w:rsidRPr="00EC0229">
        <w:instrText xml:space="preserve">" </w:instrText>
      </w:r>
      <w:r w:rsidRPr="00EC0229">
        <w:fldChar w:fldCharType="end"/>
      </w:r>
      <w:r w:rsidRPr="00EC0229">
        <w:t>. England saw migration from small farmsteads to new villages with fenced enclosures and field boundaries demonstrating the increased awareness of property.</w:t>
      </w:r>
      <w:r w:rsidRPr="00EC0229">
        <w:rPr>
          <w:rStyle w:val="FootnoteReference"/>
        </w:rPr>
        <w:footnoteReference w:id="108"/>
      </w:r>
      <w:r w:rsidRPr="00EC0229">
        <w:t xml:space="preserve"> There is a shift of emphasis from pastoralism to stock farming, which would have required an increase in salt production and transportation. Infields were more intensively farmed and the marginal outfield only used in times of need. Clearly, these changes are part of a systemic progression, demonstrating a degree of planning, driven by the desire to increase tribute but also constituting an agrarian revolution. The material culture is most evident at monastic sites and minsters,</w:t>
      </w:r>
      <w:r w:rsidRPr="00EC0229">
        <w:rPr>
          <w:rStyle w:val="FootnoteReference"/>
        </w:rPr>
        <w:footnoteReference w:id="109"/>
      </w:r>
      <w:r w:rsidRPr="00EC0229">
        <w:t xml:space="preserve"> whereas evidence of peasant culture, other than increased numbers of storage pits, is more likely to have biodegraded.</w:t>
      </w:r>
      <w:r w:rsidRPr="00EC0229">
        <w:rPr>
          <w:rStyle w:val="FootnoteReference"/>
        </w:rPr>
        <w:footnoteReference w:id="110"/>
      </w:r>
    </w:p>
    <w:p w14:paraId="6D72B77C" w14:textId="77777777" w:rsidR="003F22F2" w:rsidRPr="00EC0229" w:rsidRDefault="003F22F2" w:rsidP="003F22F2">
      <w:pPr>
        <w:pStyle w:val="NoSpacing"/>
        <w:spacing w:line="360" w:lineRule="auto"/>
      </w:pPr>
    </w:p>
    <w:p w14:paraId="64F612CB" w14:textId="3DE43784" w:rsidR="003F22F2" w:rsidRPr="00EC0229" w:rsidRDefault="003F22F2" w:rsidP="003F22F2">
      <w:pPr>
        <w:pStyle w:val="NoSpacing"/>
        <w:spacing w:line="360" w:lineRule="auto"/>
        <w:rPr>
          <w:rFonts w:cs="Times New Roman"/>
          <w:szCs w:val="24"/>
        </w:rPr>
      </w:pPr>
      <w:r w:rsidRPr="00EC0229">
        <w:rPr>
          <w:rFonts w:cs="Times New Roman"/>
          <w:szCs w:val="24"/>
        </w:rPr>
        <w:t>As a Marxist</w:t>
      </w:r>
      <w:r w:rsidRPr="00EC0229">
        <w:rPr>
          <w:rFonts w:cs="Times New Roman"/>
          <w:szCs w:val="24"/>
        </w:rPr>
        <w:fldChar w:fldCharType="begin"/>
      </w:r>
      <w:r w:rsidRPr="00EC0229">
        <w:instrText xml:space="preserve"> XE "</w:instrText>
      </w:r>
      <w:r w:rsidRPr="00EC0229">
        <w:rPr>
          <w:rFonts w:cs="Times New Roman"/>
          <w:szCs w:val="24"/>
        </w:rPr>
        <w:instrText>Marxist</w:instrText>
      </w:r>
      <w:r w:rsidRPr="00EC0229">
        <w:instrText xml:space="preserve">" </w:instrText>
      </w:r>
      <w:r w:rsidRPr="00EC0229">
        <w:rPr>
          <w:rFonts w:cs="Times New Roman"/>
          <w:szCs w:val="24"/>
        </w:rPr>
        <w:fldChar w:fldCharType="end"/>
      </w:r>
      <w:r w:rsidRPr="00EC0229">
        <w:rPr>
          <w:rFonts w:cs="Times New Roman"/>
          <w:szCs w:val="24"/>
        </w:rPr>
        <w:t xml:space="preserve"> alternative to the trading model, Wickham proposed an agrarian model whereby the élite</w:t>
      </w:r>
      <w:r w:rsidRPr="00EC0229">
        <w:rPr>
          <w:rFonts w:cs="Times New Roman"/>
          <w:szCs w:val="24"/>
        </w:rPr>
        <w:fldChar w:fldCharType="begin"/>
      </w:r>
      <w:r w:rsidRPr="00EC0229">
        <w:instrText xml:space="preserve"> XE "</w:instrText>
      </w:r>
      <w:r w:rsidRPr="00EC0229">
        <w:rPr>
          <w:szCs w:val="24"/>
        </w:rPr>
        <w:instrText>élite</w:instrText>
      </w:r>
      <w:r w:rsidRPr="00EC0229">
        <w:instrText xml:space="preserve">" </w:instrText>
      </w:r>
      <w:r w:rsidRPr="00EC0229">
        <w:rPr>
          <w:rFonts w:cs="Times New Roman"/>
          <w:szCs w:val="24"/>
        </w:rPr>
        <w:fldChar w:fldCharType="end"/>
      </w:r>
      <w:r w:rsidRPr="00EC0229">
        <w:rPr>
          <w:rFonts w:cs="Times New Roman"/>
          <w:szCs w:val="24"/>
        </w:rPr>
        <w:t xml:space="preserve"> were sustained by rents not taxes.</w:t>
      </w:r>
      <w:r w:rsidRPr="00EC0229">
        <w:rPr>
          <w:rStyle w:val="FootnoteReference"/>
          <w:rFonts w:cs="Times New Roman"/>
          <w:szCs w:val="24"/>
        </w:rPr>
        <w:footnoteReference w:id="111"/>
      </w:r>
      <w:r w:rsidRPr="00EC0229">
        <w:rPr>
          <w:rFonts w:cs="Times New Roman"/>
          <w:szCs w:val="24"/>
        </w:rPr>
        <w:t xml:space="preserve"> The latter form of surplus</w:t>
      </w:r>
      <w:r w:rsidRPr="00EC0229">
        <w:rPr>
          <w:rFonts w:cs="Times New Roman"/>
          <w:szCs w:val="24"/>
        </w:rPr>
        <w:fldChar w:fldCharType="begin"/>
      </w:r>
      <w:r w:rsidRPr="00EC0229">
        <w:instrText xml:space="preserve"> XE "surplus" </w:instrText>
      </w:r>
      <w:r w:rsidRPr="00EC0229">
        <w:rPr>
          <w:rFonts w:cs="Times New Roman"/>
          <w:szCs w:val="24"/>
        </w:rPr>
        <w:fldChar w:fldCharType="end"/>
      </w:r>
      <w:r w:rsidRPr="00EC0229">
        <w:rPr>
          <w:rFonts w:cs="Times New Roman"/>
          <w:szCs w:val="24"/>
        </w:rPr>
        <w:t xml:space="preserve"> extraction is termed the tributary mode of production and the former, the ‘feudal’ mode.</w:t>
      </w:r>
      <w:r w:rsidRPr="00EC0229">
        <w:rPr>
          <w:rStyle w:val="FootnoteReference"/>
          <w:rFonts w:cs="Times New Roman"/>
          <w:szCs w:val="24"/>
        </w:rPr>
        <w:footnoteReference w:id="112"/>
      </w:r>
      <w:r w:rsidRPr="00EC0229">
        <w:rPr>
          <w:rFonts w:cs="Times New Roman"/>
          <w:szCs w:val="24"/>
        </w:rPr>
        <w:t xml:space="preserve"> This marked the transfer from Roman</w:t>
      </w:r>
      <w:r w:rsidRPr="00EC0229">
        <w:rPr>
          <w:rFonts w:cs="Times New Roman"/>
          <w:szCs w:val="24"/>
        </w:rPr>
        <w:fldChar w:fldCharType="begin"/>
      </w:r>
      <w:r w:rsidRPr="00EC0229">
        <w:instrText xml:space="preserve"> XE "Roman" </w:instrText>
      </w:r>
      <w:r w:rsidRPr="00EC0229">
        <w:rPr>
          <w:rFonts w:cs="Times New Roman"/>
          <w:szCs w:val="24"/>
        </w:rPr>
        <w:fldChar w:fldCharType="end"/>
      </w:r>
      <w:r w:rsidRPr="00EC0229">
        <w:rPr>
          <w:rFonts w:cs="Times New Roman"/>
          <w:szCs w:val="24"/>
        </w:rPr>
        <w:t xml:space="preserve"> fiscal demands </w:t>
      </w:r>
      <w:r w:rsidR="00BF6095">
        <w:rPr>
          <w:rFonts w:cs="Times New Roman"/>
          <w:szCs w:val="24"/>
        </w:rPr>
        <w:t>to</w:t>
      </w:r>
      <w:r w:rsidRPr="00EC0229">
        <w:rPr>
          <w:rFonts w:cs="Times New Roman"/>
          <w:szCs w:val="24"/>
        </w:rPr>
        <w:t xml:space="preserve"> sustain the army, to Germanic land use. Charters from this time </w:t>
      </w:r>
      <w:r w:rsidRPr="00EC0229">
        <w:rPr>
          <w:rFonts w:cs="Times New Roman"/>
          <w:szCs w:val="24"/>
        </w:rPr>
        <w:lastRenderedPageBreak/>
        <w:t xml:space="preserve">onwards, such as the </w:t>
      </w:r>
      <w:r w:rsidRPr="00EC0229">
        <w:rPr>
          <w:rFonts w:cs="Times New Roman"/>
          <w:i/>
          <w:szCs w:val="24"/>
        </w:rPr>
        <w:t>Tribal Hidage</w:t>
      </w:r>
      <w:r w:rsidRPr="00EC0229">
        <w:rPr>
          <w:rFonts w:cs="Times New Roman"/>
          <w:i/>
          <w:szCs w:val="24"/>
        </w:rPr>
        <w:fldChar w:fldCharType="begin"/>
      </w:r>
      <w:r w:rsidRPr="00EC0229">
        <w:instrText xml:space="preserve"> XE "</w:instrText>
      </w:r>
      <w:r w:rsidRPr="00EC0229">
        <w:rPr>
          <w:rFonts w:cs="Times New Roman"/>
          <w:i/>
          <w:szCs w:val="24"/>
        </w:rPr>
        <w:instrText>Tribal Hidage</w:instrText>
      </w:r>
      <w:r w:rsidRPr="00EC0229">
        <w:instrText xml:space="preserve">" </w:instrText>
      </w:r>
      <w:r w:rsidRPr="00EC0229">
        <w:rPr>
          <w:rFonts w:cs="Times New Roman"/>
          <w:i/>
          <w:szCs w:val="24"/>
        </w:rPr>
        <w:fldChar w:fldCharType="end"/>
      </w:r>
      <w:r w:rsidRPr="00EC0229">
        <w:rPr>
          <w:rFonts w:cs="Times New Roman"/>
          <w:szCs w:val="24"/>
        </w:rPr>
        <w:t>,</w:t>
      </w:r>
      <w:r w:rsidRPr="00EC0229">
        <w:rPr>
          <w:rStyle w:val="FootnoteReference"/>
          <w:rFonts w:cs="Times New Roman"/>
          <w:szCs w:val="24"/>
        </w:rPr>
        <w:footnoteReference w:id="113"/>
      </w:r>
      <w:r w:rsidRPr="00EC0229">
        <w:rPr>
          <w:rFonts w:cs="Times New Roman"/>
          <w:szCs w:val="24"/>
        </w:rPr>
        <w:t xml:space="preserve"> were likely to make assessments in land. Military service was a further form of tribute essential to the survival of the sub-kingdom. Tension arose within the tributary mode as landlords were taxed by the state in the form of the food-render</w:t>
      </w:r>
      <w:r w:rsidRPr="00EC0229">
        <w:rPr>
          <w:rFonts w:cs="Times New Roman"/>
          <w:szCs w:val="24"/>
        </w:rPr>
        <w:fldChar w:fldCharType="begin"/>
      </w:r>
      <w:r w:rsidRPr="00EC0229">
        <w:instrText xml:space="preserve"> XE "</w:instrText>
      </w:r>
      <w:r w:rsidRPr="00EC0229">
        <w:rPr>
          <w:rFonts w:cs="Times New Roman"/>
          <w:szCs w:val="24"/>
        </w:rPr>
        <w:instrText>render</w:instrText>
      </w:r>
      <w:r w:rsidRPr="00EC0229">
        <w:instrText xml:space="preserve">" </w:instrText>
      </w:r>
      <w:r w:rsidRPr="00EC0229">
        <w:rPr>
          <w:rFonts w:cs="Times New Roman"/>
          <w:szCs w:val="24"/>
        </w:rPr>
        <w:fldChar w:fldCharType="end"/>
      </w:r>
      <w:r w:rsidRPr="00EC0229">
        <w:rPr>
          <w:rFonts w:cs="Times New Roman"/>
          <w:szCs w:val="24"/>
        </w:rPr>
        <w:t xml:space="preserve"> or </w:t>
      </w:r>
      <w:r w:rsidRPr="00EC0229">
        <w:rPr>
          <w:rFonts w:cs="Times New Roman"/>
          <w:i/>
          <w:szCs w:val="24"/>
        </w:rPr>
        <w:t>feorm</w:t>
      </w:r>
      <w:r w:rsidRPr="00EC0229">
        <w:rPr>
          <w:rFonts w:cs="Times New Roman"/>
          <w:szCs w:val="24"/>
        </w:rPr>
        <w:t>.</w:t>
      </w:r>
      <w:r w:rsidRPr="00EC0229">
        <w:rPr>
          <w:rStyle w:val="FootnoteReference"/>
          <w:rFonts w:cs="Times New Roman"/>
          <w:szCs w:val="24"/>
        </w:rPr>
        <w:footnoteReference w:id="114"/>
      </w:r>
      <w:r w:rsidRPr="00EC0229">
        <w:rPr>
          <w:rFonts w:cs="Times New Roman"/>
          <w:szCs w:val="24"/>
        </w:rPr>
        <w:t xml:space="preserve"> Alienation of </w:t>
      </w:r>
      <w:r w:rsidRPr="00EC0229">
        <w:rPr>
          <w:rFonts w:cs="Times New Roman"/>
          <w:i/>
          <w:szCs w:val="24"/>
        </w:rPr>
        <w:t>bookland</w:t>
      </w:r>
      <w:r w:rsidRPr="00EC0229">
        <w:rPr>
          <w:rFonts w:cs="Times New Roman"/>
          <w:i/>
          <w:szCs w:val="24"/>
        </w:rPr>
        <w:fldChar w:fldCharType="begin"/>
      </w:r>
      <w:r w:rsidRPr="00EC0229">
        <w:instrText xml:space="preserve"> XE "</w:instrText>
      </w:r>
      <w:r w:rsidRPr="00EC0229">
        <w:rPr>
          <w:szCs w:val="24"/>
        </w:rPr>
        <w:instrText>bookland</w:instrText>
      </w:r>
      <w:r w:rsidRPr="00EC0229">
        <w:instrText xml:space="preserve">" </w:instrText>
      </w:r>
      <w:r w:rsidRPr="00EC0229">
        <w:rPr>
          <w:rFonts w:cs="Times New Roman"/>
          <w:i/>
          <w:szCs w:val="24"/>
        </w:rPr>
        <w:fldChar w:fldCharType="end"/>
      </w:r>
      <w:r w:rsidRPr="00EC0229">
        <w:rPr>
          <w:rFonts w:cs="Times New Roman"/>
          <w:szCs w:val="24"/>
        </w:rPr>
        <w:t xml:space="preserve"> alleviated the tension but transferred the economic initiative to rentiers.</w:t>
      </w:r>
      <w:r w:rsidRPr="00EC0229">
        <w:rPr>
          <w:rStyle w:val="FootnoteReference"/>
          <w:rFonts w:cs="Times New Roman"/>
          <w:szCs w:val="24"/>
        </w:rPr>
        <w:footnoteReference w:id="115"/>
      </w:r>
      <w:r w:rsidRPr="00EC0229">
        <w:rPr>
          <w:rFonts w:cs="Times New Roman"/>
          <w:szCs w:val="24"/>
        </w:rPr>
        <w:t xml:space="preserve"> </w:t>
      </w:r>
    </w:p>
    <w:p w14:paraId="4F3BF499" w14:textId="77777777" w:rsidR="003F22F2" w:rsidRPr="00EC0229" w:rsidRDefault="003F22F2" w:rsidP="003F22F2">
      <w:pPr>
        <w:pStyle w:val="NoSpacing"/>
        <w:spacing w:line="360" w:lineRule="auto"/>
        <w:rPr>
          <w:rFonts w:cs="Times New Roman"/>
          <w:szCs w:val="24"/>
        </w:rPr>
      </w:pPr>
    </w:p>
    <w:p w14:paraId="4A237F47" w14:textId="1EE3E94A" w:rsidR="003F22F2" w:rsidRPr="00EC0229" w:rsidRDefault="003F22F2" w:rsidP="003F22F2">
      <w:pPr>
        <w:pStyle w:val="NoSpacing"/>
        <w:spacing w:line="360" w:lineRule="auto"/>
        <w:rPr>
          <w:rFonts w:cs="Times New Roman"/>
          <w:szCs w:val="24"/>
        </w:rPr>
      </w:pPr>
      <w:r w:rsidRPr="00EC0229">
        <w:rPr>
          <w:rFonts w:cs="Times New Roman"/>
          <w:szCs w:val="24"/>
        </w:rPr>
        <w:t xml:space="preserve">In pursuing the </w:t>
      </w:r>
      <w:bookmarkStart w:id="80" w:name="Marxist"/>
      <w:r w:rsidRPr="00EC0229">
        <w:rPr>
          <w:rFonts w:cs="Times New Roman"/>
          <w:szCs w:val="24"/>
        </w:rPr>
        <w:t>Marxist</w:t>
      </w:r>
      <w:bookmarkEnd w:id="80"/>
      <w:r w:rsidRPr="00EC0229">
        <w:rPr>
          <w:rFonts w:cs="Times New Roman"/>
          <w:szCs w:val="24"/>
        </w:rPr>
        <w:fldChar w:fldCharType="begin"/>
      </w:r>
      <w:r w:rsidRPr="00EC0229">
        <w:instrText xml:space="preserve"> XE "</w:instrText>
      </w:r>
      <w:r w:rsidRPr="00EC0229">
        <w:rPr>
          <w:rFonts w:cs="Times New Roman"/>
          <w:szCs w:val="24"/>
        </w:rPr>
        <w:instrText>Marxist</w:instrText>
      </w:r>
      <w:r w:rsidRPr="00EC0229">
        <w:instrText xml:space="preserve">" </w:instrText>
      </w:r>
      <w:r w:rsidRPr="00EC0229">
        <w:rPr>
          <w:rFonts w:cs="Times New Roman"/>
          <w:szCs w:val="24"/>
        </w:rPr>
        <w:fldChar w:fldCharType="end"/>
      </w:r>
      <w:r w:rsidRPr="00EC0229">
        <w:rPr>
          <w:rFonts w:cs="Times New Roman"/>
          <w:szCs w:val="24"/>
        </w:rPr>
        <w:t xml:space="preserve"> cause, Saunders correctly signifies the alienation of </w:t>
      </w:r>
      <w:r w:rsidRPr="00EC0229">
        <w:rPr>
          <w:rFonts w:cs="Times New Roman"/>
          <w:i/>
          <w:szCs w:val="24"/>
        </w:rPr>
        <w:t>bookland</w:t>
      </w:r>
      <w:r w:rsidRPr="00EC0229">
        <w:rPr>
          <w:rFonts w:cs="Times New Roman"/>
          <w:i/>
          <w:szCs w:val="24"/>
        </w:rPr>
        <w:fldChar w:fldCharType="begin"/>
      </w:r>
      <w:r w:rsidRPr="00EC0229">
        <w:instrText xml:space="preserve"> XE "</w:instrText>
      </w:r>
      <w:r w:rsidRPr="00EC0229">
        <w:rPr>
          <w:szCs w:val="24"/>
        </w:rPr>
        <w:instrText>bookland</w:instrText>
      </w:r>
      <w:r w:rsidRPr="00EC0229">
        <w:instrText xml:space="preserve">" </w:instrText>
      </w:r>
      <w:r w:rsidRPr="00EC0229">
        <w:rPr>
          <w:rFonts w:cs="Times New Roman"/>
          <w:i/>
          <w:szCs w:val="24"/>
        </w:rPr>
        <w:fldChar w:fldCharType="end"/>
      </w:r>
      <w:r w:rsidRPr="00EC0229">
        <w:rPr>
          <w:rFonts w:cs="Times New Roman"/>
          <w:szCs w:val="24"/>
        </w:rPr>
        <w:t>, but his accusation that ‘Hodges</w:t>
      </w:r>
      <w:r w:rsidRPr="00EC0229">
        <w:rPr>
          <w:rFonts w:cs="Times New Roman"/>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szCs w:val="24"/>
        </w:rPr>
        <w:fldChar w:fldCharType="end"/>
      </w:r>
      <w:r w:rsidRPr="00EC0229">
        <w:rPr>
          <w:rFonts w:cs="Times New Roman"/>
          <w:szCs w:val="24"/>
        </w:rPr>
        <w:t xml:space="preserve"> has fetishized the sphere of circulation’ fails;</w:t>
      </w:r>
      <w:r w:rsidRPr="00EC0229">
        <w:rPr>
          <w:rStyle w:val="FootnoteReference"/>
          <w:rFonts w:cs="Times New Roman"/>
          <w:szCs w:val="24"/>
        </w:rPr>
        <w:footnoteReference w:id="116"/>
      </w:r>
      <w:r w:rsidRPr="00EC0229">
        <w:rPr>
          <w:rFonts w:cs="Times New Roman"/>
          <w:szCs w:val="24"/>
        </w:rPr>
        <w:t xml:space="preserve"> it is Saunders who has ‘fetishized’ the rôle of gift exchange</w:t>
      </w:r>
      <w:r w:rsidRPr="00EC0229">
        <w:rPr>
          <w:rFonts w:cs="Times New Roman"/>
          <w:szCs w:val="24"/>
        </w:rPr>
        <w:fldChar w:fldCharType="begin"/>
      </w:r>
      <w:r w:rsidRPr="00EC0229">
        <w:instrText xml:space="preserve"> XE "gift exchange" </w:instrText>
      </w:r>
      <w:r w:rsidRPr="00EC0229">
        <w:rPr>
          <w:rFonts w:cs="Times New Roman"/>
          <w:szCs w:val="24"/>
        </w:rPr>
        <w:fldChar w:fldCharType="end"/>
      </w:r>
      <w:r w:rsidRPr="00EC0229">
        <w:rPr>
          <w:rFonts w:cs="Times New Roman"/>
          <w:szCs w:val="24"/>
        </w:rPr>
        <w:t>. Saunders regarded kingly gift-giving, recompense for tribute, as controlled through emporia</w:t>
      </w:r>
      <w:r w:rsidRPr="00EC0229">
        <w:rPr>
          <w:rFonts w:cs="Times New Roman"/>
          <w:szCs w:val="24"/>
        </w:rPr>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rPr>
          <w:rFonts w:cs="Times New Roman"/>
          <w:szCs w:val="24"/>
        </w:rPr>
        <w:fldChar w:fldCharType="end"/>
      </w:r>
      <w:r w:rsidRPr="00EC0229">
        <w:rPr>
          <w:rFonts w:cs="Times New Roman"/>
          <w:szCs w:val="24"/>
        </w:rPr>
        <w:t xml:space="preserve"> to the extent that he concluded, incongruously, ‘Emporia, therefore, cannot be conceived as a dynamic force in Anglo-Saxon</w:t>
      </w:r>
      <w:r w:rsidRPr="00EC0229">
        <w:rPr>
          <w:rFonts w:cs="Times New Roman"/>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szCs w:val="24"/>
        </w:rPr>
        <w:fldChar w:fldCharType="end"/>
      </w:r>
      <w:r w:rsidRPr="00EC0229">
        <w:rPr>
          <w:rFonts w:cs="Times New Roman"/>
          <w:szCs w:val="24"/>
        </w:rPr>
        <w:t xml:space="preserve"> society’,</w:t>
      </w:r>
      <w:r w:rsidRPr="00EC0229">
        <w:rPr>
          <w:rStyle w:val="FootnoteReference"/>
          <w:rFonts w:cs="Times New Roman"/>
          <w:szCs w:val="24"/>
        </w:rPr>
        <w:footnoteReference w:id="117"/>
      </w:r>
      <w:r w:rsidRPr="00EC0229">
        <w:rPr>
          <w:rFonts w:cs="Times New Roman"/>
          <w:szCs w:val="24"/>
        </w:rPr>
        <w:t xml:space="preserve">  as though gifting were the only expense item in the regal budget. This perspective is unsustainable and contradictory. Admittedly, </w:t>
      </w:r>
      <w:r w:rsidRPr="00EC0229">
        <w:rPr>
          <w:rFonts w:cs="Times New Roman"/>
          <w:i/>
          <w:szCs w:val="24"/>
        </w:rPr>
        <w:t>wics</w:t>
      </w:r>
      <w:r w:rsidRPr="00EC0229">
        <w:rPr>
          <w:rFonts w:cs="Times New Roman"/>
          <w:szCs w:val="24"/>
        </w:rPr>
        <w:t xml:space="preserve"> may have been divorced from the hinterland</w:t>
      </w:r>
      <w:r w:rsidRPr="00EC0229">
        <w:rPr>
          <w:rFonts w:cs="Times New Roman"/>
          <w:szCs w:val="24"/>
        </w:rPr>
        <w:fldChar w:fldCharType="begin"/>
      </w:r>
      <w:r w:rsidRPr="00EC0229">
        <w:instrText xml:space="preserve"> XE "</w:instrText>
      </w:r>
      <w:r w:rsidRPr="00EC0229">
        <w:rPr>
          <w:rFonts w:cs="Times New Roman"/>
          <w:szCs w:val="24"/>
        </w:rPr>
        <w:instrText>hinterland</w:instrText>
      </w:r>
      <w:r w:rsidRPr="00EC0229">
        <w:instrText xml:space="preserve">" </w:instrText>
      </w:r>
      <w:r w:rsidRPr="00EC0229">
        <w:rPr>
          <w:rFonts w:cs="Times New Roman"/>
          <w:szCs w:val="24"/>
        </w:rPr>
        <w:fldChar w:fldCharType="end"/>
      </w:r>
      <w:r w:rsidRPr="00EC0229">
        <w:rPr>
          <w:rFonts w:cs="Times New Roman"/>
          <w:szCs w:val="24"/>
        </w:rPr>
        <w:t xml:space="preserve"> as indicated by the narrow uniformity of animal bone remains (at Fishergate</w:t>
      </w:r>
      <w:r w:rsidRPr="00EC0229">
        <w:rPr>
          <w:rFonts w:cs="Times New Roman"/>
          <w:szCs w:val="24"/>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cs="Times New Roman"/>
          <w:szCs w:val="24"/>
        </w:rPr>
        <w:fldChar w:fldCharType="end"/>
      </w:r>
      <w:r w:rsidRPr="00EC0229">
        <w:rPr>
          <w:rFonts w:cs="Times New Roman"/>
          <w:szCs w:val="24"/>
        </w:rPr>
        <w:t xml:space="preserve"> and </w:t>
      </w:r>
      <w:r w:rsidRPr="00EC0229">
        <w:rPr>
          <w:rFonts w:cs="Times New Roman"/>
          <w:i/>
          <w:szCs w:val="24"/>
        </w:rPr>
        <w:t>Hamwic</w:t>
      </w:r>
      <w:r w:rsidRPr="00EC0229">
        <w:rPr>
          <w:rFonts w:cs="Times New Roman"/>
          <w:i/>
          <w:szCs w:val="24"/>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rFonts w:cs="Times New Roman"/>
          <w:i/>
          <w:szCs w:val="24"/>
        </w:rPr>
        <w:fldChar w:fldCharType="end"/>
      </w:r>
      <w:r w:rsidRPr="00EC0229">
        <w:rPr>
          <w:rFonts w:cs="Times New Roman"/>
          <w:szCs w:val="24"/>
        </w:rPr>
        <w:t>)</w:t>
      </w:r>
      <w:r w:rsidRPr="00EC0229">
        <w:rPr>
          <w:rStyle w:val="FootnoteReference"/>
          <w:rFonts w:cs="Times New Roman"/>
          <w:szCs w:val="24"/>
        </w:rPr>
        <w:footnoteReference w:id="118"/>
      </w:r>
      <w:r w:rsidRPr="00EC0229">
        <w:rPr>
          <w:rFonts w:cs="Times New Roman"/>
          <w:szCs w:val="24"/>
        </w:rPr>
        <w:t xml:space="preserve"> but as the landed wealth of the aristocracy</w:t>
      </w:r>
      <w:r w:rsidRPr="00EC0229">
        <w:rPr>
          <w:rFonts w:cs="Times New Roman"/>
          <w:szCs w:val="24"/>
        </w:rPr>
        <w:fldChar w:fldCharType="begin"/>
      </w:r>
      <w:r w:rsidRPr="00EC0229">
        <w:instrText xml:space="preserve"> XE "</w:instrText>
      </w:r>
      <w:r w:rsidRPr="00EC0229">
        <w:rPr>
          <w:rFonts w:cs="Times New Roman"/>
          <w:szCs w:val="24"/>
        </w:rPr>
        <w:instrText>aristocracy</w:instrText>
      </w:r>
      <w:r w:rsidRPr="00EC0229">
        <w:instrText xml:space="preserve">" </w:instrText>
      </w:r>
      <w:r w:rsidRPr="00EC0229">
        <w:rPr>
          <w:rFonts w:cs="Times New Roman"/>
          <w:szCs w:val="24"/>
        </w:rPr>
        <w:fldChar w:fldCharType="end"/>
      </w:r>
      <w:r w:rsidRPr="00EC0229">
        <w:rPr>
          <w:rFonts w:cs="Times New Roman"/>
          <w:szCs w:val="24"/>
        </w:rPr>
        <w:t xml:space="preserve"> grew, gift-giving diminished which in Saunders view caused the emporia to decline.</w:t>
      </w:r>
      <w:r w:rsidRPr="00EC0229">
        <w:rPr>
          <w:rStyle w:val="FootnoteReference"/>
          <w:rFonts w:cs="Times New Roman"/>
          <w:szCs w:val="24"/>
        </w:rPr>
        <w:footnoteReference w:id="119"/>
      </w:r>
      <w:r w:rsidRPr="00EC0229">
        <w:rPr>
          <w:rFonts w:cs="Times New Roman"/>
          <w:szCs w:val="24"/>
        </w:rPr>
        <w:t xml:space="preserve"> </w:t>
      </w:r>
    </w:p>
    <w:p w14:paraId="4ED69DA2" w14:textId="77777777" w:rsidR="003F22F2" w:rsidRPr="00EC0229" w:rsidRDefault="003F22F2" w:rsidP="003F22F2">
      <w:pPr>
        <w:pStyle w:val="NoSpacing"/>
        <w:spacing w:line="360" w:lineRule="auto"/>
        <w:rPr>
          <w:rFonts w:cs="Times New Roman"/>
          <w:szCs w:val="24"/>
        </w:rPr>
      </w:pPr>
    </w:p>
    <w:p w14:paraId="1A6A3DB3" w14:textId="77777777" w:rsidR="003F22F2" w:rsidRPr="00EC0229" w:rsidRDefault="003F22F2" w:rsidP="003F22F2">
      <w:pPr>
        <w:pStyle w:val="NoSpacing"/>
        <w:spacing w:line="360" w:lineRule="auto"/>
      </w:pPr>
      <w:r w:rsidRPr="00EC0229">
        <w:t>Verhulst</w:t>
      </w:r>
      <w:r w:rsidRPr="00EC0229">
        <w:rPr>
          <w:rFonts w:cs="Times New Roman"/>
          <w:szCs w:val="24"/>
        </w:rPr>
        <w:t xml:space="preserve"> criticised Wickham’s proposal in view of the bipartite nature of great estates: one part, the demesne, was worked for the benefit of the lord by the tenants who had holdings on the other part.</w:t>
      </w:r>
      <w:r w:rsidRPr="00EC0229">
        <w:rPr>
          <w:rStyle w:val="FootnoteReference"/>
          <w:rFonts w:cs="Times New Roman"/>
          <w:szCs w:val="24"/>
        </w:rPr>
        <w:footnoteReference w:id="120"/>
      </w:r>
      <w:r w:rsidRPr="00EC0229">
        <w:rPr>
          <w:rFonts w:cs="Times New Roman"/>
          <w:szCs w:val="24"/>
        </w:rPr>
        <w:t xml:space="preserve"> Wood also criticised the Wickham model for neglecting the rôle of the church</w:t>
      </w:r>
      <w:r w:rsidRPr="00EC0229">
        <w:rPr>
          <w:rFonts w:cs="Times New Roman"/>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121"/>
      </w:r>
      <w:r w:rsidRPr="00EC0229">
        <w:rPr>
          <w:rFonts w:cs="Times New Roman"/>
          <w:szCs w:val="24"/>
        </w:rPr>
        <w:t xml:space="preserve"> This, and what Moreland pointed out as the incongruous separation of production and distribution models,</w:t>
      </w:r>
      <w:r w:rsidRPr="00EC0229">
        <w:rPr>
          <w:rStyle w:val="FootnoteReference"/>
          <w:rFonts w:cs="Times New Roman"/>
          <w:szCs w:val="24"/>
        </w:rPr>
        <w:footnoteReference w:id="122"/>
      </w:r>
      <w:r w:rsidRPr="00EC0229">
        <w:rPr>
          <w:rFonts w:cs="Times New Roman"/>
          <w:szCs w:val="24"/>
        </w:rPr>
        <w:t xml:space="preserve"> may be what prompted Hodges</w:t>
      </w:r>
      <w:r w:rsidRPr="00EC0229">
        <w:rPr>
          <w:rFonts w:cs="Times New Roman"/>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rFonts w:cs="Times New Roman"/>
          <w:szCs w:val="24"/>
        </w:rPr>
        <w:fldChar w:fldCharType="end"/>
      </w:r>
      <w:r w:rsidRPr="00EC0229">
        <w:rPr>
          <w:rFonts w:cs="Times New Roman"/>
          <w:szCs w:val="24"/>
        </w:rPr>
        <w:t xml:space="preserve"> to offer a further model – the ritual economy</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rPr>
          <w:rFonts w:cs="Times New Roman"/>
          <w:szCs w:val="24"/>
        </w:rPr>
        <w:fldChar w:fldCharType="end"/>
      </w:r>
      <w:r w:rsidRPr="00EC0229">
        <w:rPr>
          <w:rFonts w:cs="Times New Roman"/>
          <w:szCs w:val="24"/>
        </w:rPr>
        <w:t xml:space="preserve"> - a major component of which is ‘materialisation’ meaning the physical manifestation of ideas, specifically religious ideas.</w:t>
      </w:r>
      <w:r w:rsidRPr="00EC0229">
        <w:rPr>
          <w:rStyle w:val="FootnoteReference"/>
          <w:rFonts w:cs="Times New Roman"/>
          <w:szCs w:val="24"/>
        </w:rPr>
        <w:footnoteReference w:id="123"/>
      </w:r>
      <w:r w:rsidRPr="00EC0229">
        <w:rPr>
          <w:rFonts w:cs="Times New Roman"/>
          <w:szCs w:val="24"/>
        </w:rPr>
        <w:t xml:space="preserve"> He noted that inalienability is a characteristic of the gift </w:t>
      </w:r>
      <w:r w:rsidRPr="00EC0229">
        <w:rPr>
          <w:rFonts w:cs="Times New Roman"/>
          <w:szCs w:val="24"/>
        </w:rPr>
        <w:lastRenderedPageBreak/>
        <w:t>which distinguished it from commodity money</w:t>
      </w:r>
      <w:r w:rsidRPr="00EC0229">
        <w:rPr>
          <w:rFonts w:cs="Times New Roman"/>
          <w:szCs w:val="24"/>
        </w:rPr>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rPr>
          <w:rFonts w:cs="Times New Roman"/>
          <w:szCs w:val="24"/>
        </w:rPr>
        <w:fldChar w:fldCharType="end"/>
      </w:r>
      <w:r w:rsidRPr="00EC0229">
        <w:rPr>
          <w:rFonts w:cs="Times New Roman"/>
          <w:szCs w:val="24"/>
        </w:rPr>
        <w:t>. Not only did the Church gain very substantial economic power through receiving gifts of land but it exerted profound influence over a rude peasantry willing to surrender its economic surplus</w:t>
      </w:r>
      <w:r w:rsidRPr="00EC0229">
        <w:rPr>
          <w:rFonts w:cs="Times New Roman"/>
          <w:szCs w:val="24"/>
        </w:rPr>
        <w:fldChar w:fldCharType="begin"/>
      </w:r>
      <w:r w:rsidRPr="00EC0229">
        <w:instrText xml:space="preserve"> XE "surplus" </w:instrText>
      </w:r>
      <w:r w:rsidRPr="00EC0229">
        <w:rPr>
          <w:rFonts w:cs="Times New Roman"/>
          <w:szCs w:val="24"/>
        </w:rPr>
        <w:fldChar w:fldCharType="end"/>
      </w:r>
      <w:r w:rsidRPr="00EC0229">
        <w:rPr>
          <w:rFonts w:cs="Times New Roman"/>
          <w:szCs w:val="24"/>
        </w:rPr>
        <w:t xml:space="preserve"> for psychological security. There was less of an exchange of real for virtual in the taxed peasantry’s expectation of protection from the state. </w:t>
      </w:r>
      <w:r w:rsidRPr="00EC0229">
        <w:t>Hodge’s ritual economy is also referred to as the ‘shrine franchise’ whereby gift-giving bought salvation.</w:t>
      </w:r>
      <w:r w:rsidRPr="00EC0229">
        <w:rPr>
          <w:rStyle w:val="FootnoteReference"/>
        </w:rPr>
        <w:footnoteReference w:id="124"/>
      </w:r>
      <w:r w:rsidRPr="00EC0229">
        <w:t xml:space="preserve"> This brought enormous wealth to the Church. As Hodges stated: this ‘involved the mobilisation of resources on a massive scale, and simultaneously it stimulated a sudden and important spike in the procurement of materials [iron, stone, </w:t>
      </w:r>
      <w:r w:rsidRPr="00EC0229">
        <w:rPr>
          <w:i/>
        </w:rPr>
        <w:t>spolia</w:t>
      </w:r>
      <w:r w:rsidRPr="00EC0229">
        <w:rPr>
          <w:i/>
        </w:rPr>
        <w:fldChar w:fldCharType="begin"/>
      </w:r>
      <w:r w:rsidRPr="00EC0229">
        <w:instrText xml:space="preserve"> XE "</w:instrText>
      </w:r>
      <w:r w:rsidRPr="00EC0229">
        <w:rPr>
          <w:i/>
        </w:rPr>
        <w:instrText>spolia</w:instrText>
      </w:r>
      <w:r w:rsidRPr="00EC0229">
        <w:instrText xml:space="preserve">" </w:instrText>
      </w:r>
      <w:r w:rsidRPr="00EC0229">
        <w:rPr>
          <w:i/>
        </w:rPr>
        <w:fldChar w:fldCharType="end"/>
      </w:r>
      <w:r w:rsidRPr="00EC0229">
        <w:t>,</w:t>
      </w:r>
      <w:r w:rsidRPr="00EC0229">
        <w:rPr>
          <w:rStyle w:val="FootnoteReference"/>
        </w:rPr>
        <w:footnoteReference w:id="125"/>
      </w:r>
      <w:r w:rsidRPr="00EC0229">
        <w:t xml:space="preserve"> etc.] to supply the ritual rhetoric of the </w:t>
      </w:r>
      <w:r w:rsidRPr="00EC0229">
        <w:rPr>
          <w:i/>
        </w:rPr>
        <w:t>renovatio</w:t>
      </w:r>
      <w:r w:rsidRPr="00EC0229">
        <w:rPr>
          <w:i/>
        </w:rPr>
        <w:fldChar w:fldCharType="begin"/>
      </w:r>
      <w:r w:rsidRPr="00EC0229">
        <w:instrText xml:space="preserve"> XE "</w:instrText>
      </w:r>
      <w:r w:rsidRPr="00EC0229">
        <w:rPr>
          <w:rStyle w:val="Hyperlink"/>
          <w:i/>
          <w:noProof/>
          <w:u w:val="none"/>
        </w:rPr>
        <w:instrText>renovatio</w:instrText>
      </w:r>
      <w:r w:rsidRPr="00EC0229">
        <w:instrText xml:space="preserve">" </w:instrText>
      </w:r>
      <w:r w:rsidRPr="00EC0229">
        <w:rPr>
          <w:i/>
        </w:rPr>
        <w:fldChar w:fldCharType="end"/>
      </w:r>
      <w:r w:rsidRPr="00EC0229">
        <w:t>.’ He described an accompanying materialisation of artistic and material culture corresponding to that under Aldfrith</w:t>
      </w:r>
      <w:r w:rsidRPr="00EC0229">
        <w:fldChar w:fldCharType="begin"/>
      </w:r>
      <w:r w:rsidRPr="00EC0229">
        <w:instrText xml:space="preserve"> XE "Aldfrith" </w:instrText>
      </w:r>
      <w:r w:rsidRPr="00EC0229">
        <w:fldChar w:fldCharType="end"/>
      </w:r>
      <w:r w:rsidRPr="00EC0229">
        <w:t xml:space="preserve"> a century earlier.  </w:t>
      </w:r>
    </w:p>
    <w:p w14:paraId="78CDBA71" w14:textId="77777777" w:rsidR="003F22F2" w:rsidRPr="00EC0229" w:rsidRDefault="003F22F2" w:rsidP="003F22F2">
      <w:pPr>
        <w:pStyle w:val="NoSpacing"/>
        <w:spacing w:line="360" w:lineRule="auto"/>
      </w:pPr>
    </w:p>
    <w:p w14:paraId="077666A8" w14:textId="77777777" w:rsidR="003F22F2" w:rsidRPr="00EC0229" w:rsidRDefault="003F22F2" w:rsidP="003F22F2">
      <w:pPr>
        <w:pStyle w:val="NoSpacing"/>
        <w:spacing w:line="360" w:lineRule="auto"/>
      </w:pPr>
      <w:r w:rsidRPr="00EC0229">
        <w:t>The clergy were the architects of urbanisation. The later eighth and ninth centuries, the Carolingian</w:t>
      </w:r>
      <w:r w:rsidRPr="00EC0229">
        <w:fldChar w:fldCharType="begin"/>
      </w:r>
      <w:r w:rsidRPr="00EC0229">
        <w:instrText xml:space="preserve"> XE "</w:instrText>
      </w:r>
      <w:r w:rsidRPr="00EC0229">
        <w:rPr>
          <w:rFonts w:cs="Times New Roman"/>
          <w:szCs w:val="24"/>
        </w:rPr>
        <w:instrText>Carolingian</w:instrText>
      </w:r>
      <w:r w:rsidRPr="00EC0229">
        <w:instrText xml:space="preserve">" </w:instrText>
      </w:r>
      <w:r w:rsidRPr="00EC0229">
        <w:fldChar w:fldCharType="end"/>
      </w:r>
      <w:r w:rsidRPr="00EC0229">
        <w:t xml:space="preserve"> </w:t>
      </w:r>
      <w:r w:rsidRPr="00EC0229">
        <w:rPr>
          <w:i/>
        </w:rPr>
        <w:t>renaissance</w:t>
      </w:r>
      <w:r w:rsidRPr="00EC0229">
        <w:t>, saw the arrival of monastic cities. By this time, monks were barred from manual labour. The rôle of monasteries became administrative - managing productive lands and policing the acts of kings.</w:t>
      </w:r>
    </w:p>
    <w:p w14:paraId="644CFA32" w14:textId="77777777" w:rsidR="003F22F2" w:rsidRPr="00EC0229" w:rsidRDefault="003F22F2" w:rsidP="003F22F2">
      <w:pPr>
        <w:pStyle w:val="NoSpacing"/>
        <w:spacing w:line="360" w:lineRule="auto"/>
      </w:pPr>
    </w:p>
    <w:p w14:paraId="41521FD3" w14:textId="77777777" w:rsidR="00D311C4" w:rsidRDefault="00D311C4">
      <w:pPr>
        <w:spacing w:line="259" w:lineRule="auto"/>
        <w:jc w:val="left"/>
        <w:rPr>
          <w:rFonts w:eastAsiaTheme="majorEastAsia" w:cstheme="majorBidi"/>
          <w:b/>
          <w:szCs w:val="24"/>
        </w:rPr>
      </w:pPr>
      <w:bookmarkStart w:id="81" w:name="_Ref464047083"/>
      <w:bookmarkStart w:id="82" w:name="_Ref464054569"/>
      <w:bookmarkStart w:id="83" w:name="_Toc464823814"/>
      <w:r>
        <w:br w:type="page"/>
      </w:r>
    </w:p>
    <w:p w14:paraId="78272EB8" w14:textId="34649CA9" w:rsidR="003F22F2" w:rsidRPr="006353B5" w:rsidRDefault="003F22F2" w:rsidP="000E1004">
      <w:pPr>
        <w:pStyle w:val="Heading3"/>
        <w:numPr>
          <w:ilvl w:val="2"/>
          <w:numId w:val="17"/>
        </w:numPr>
        <w:ind w:left="709" w:hanging="709"/>
      </w:pPr>
      <w:bookmarkStart w:id="84" w:name="_Toc468266743"/>
      <w:r w:rsidRPr="006353B5">
        <w:lastRenderedPageBreak/>
        <w:t xml:space="preserve">Land Use: </w:t>
      </w:r>
      <w:bookmarkStart w:id="85" w:name="MinsterHypothesis"/>
      <w:bookmarkEnd w:id="85"/>
      <w:r w:rsidRPr="006353B5">
        <w:t>Blair’s ‘Minster Hypothesis’</w:t>
      </w:r>
      <w:bookmarkEnd w:id="81"/>
      <w:bookmarkEnd w:id="82"/>
      <w:bookmarkEnd w:id="83"/>
      <w:bookmarkEnd w:id="84"/>
      <w:r w:rsidRPr="006353B5">
        <w:fldChar w:fldCharType="begin"/>
      </w:r>
      <w:r w:rsidRPr="006353B5">
        <w:instrText xml:space="preserve"> XE "</w:instrText>
      </w:r>
      <w:r w:rsidRPr="006353B5">
        <w:rPr>
          <w:rStyle w:val="Hyperlink"/>
          <w:noProof/>
          <w:u w:val="none"/>
        </w:rPr>
        <w:instrText>Land Use</w:instrText>
      </w:r>
      <w:r w:rsidRPr="006353B5">
        <w:instrText xml:space="preserve">" </w:instrText>
      </w:r>
      <w:r w:rsidRPr="006353B5">
        <w:fldChar w:fldCharType="end"/>
      </w:r>
    </w:p>
    <w:p w14:paraId="123851E4" w14:textId="77777777" w:rsidR="003F22F2" w:rsidRPr="00EC0229" w:rsidRDefault="003F22F2" w:rsidP="003F22F2">
      <w:pPr>
        <w:pStyle w:val="NoSpacing"/>
        <w:spacing w:line="360" w:lineRule="auto"/>
        <w:jc w:val="right"/>
        <w:rPr>
          <w:sz w:val="20"/>
          <w:szCs w:val="20"/>
        </w:rPr>
      </w:pPr>
      <w:r w:rsidRPr="00EC0229">
        <w:rPr>
          <w:sz w:val="20"/>
          <w:szCs w:val="20"/>
        </w:rPr>
        <w:t xml:space="preserve">‘by the negligence and foolish donations of preceding kings, </w:t>
      </w:r>
    </w:p>
    <w:p w14:paraId="15AA53D9" w14:textId="77777777" w:rsidR="003F22F2" w:rsidRPr="00EC0229" w:rsidRDefault="003F22F2" w:rsidP="003F22F2">
      <w:pPr>
        <w:pStyle w:val="NoSpacing"/>
        <w:spacing w:line="360" w:lineRule="auto"/>
        <w:jc w:val="right"/>
        <w:rPr>
          <w:sz w:val="20"/>
          <w:szCs w:val="20"/>
        </w:rPr>
      </w:pPr>
      <w:r w:rsidRPr="00EC0229">
        <w:rPr>
          <w:sz w:val="20"/>
          <w:szCs w:val="20"/>
        </w:rPr>
        <w:t xml:space="preserve">it is not easy to find a vacant place where a new episcopal see may be erected.’ </w:t>
      </w:r>
    </w:p>
    <w:p w14:paraId="425F7244" w14:textId="77777777" w:rsidR="003F22F2" w:rsidRPr="00EC0229" w:rsidRDefault="003F22F2" w:rsidP="003F22F2">
      <w:pPr>
        <w:pStyle w:val="NoSpacing"/>
        <w:spacing w:line="360" w:lineRule="auto"/>
        <w:jc w:val="right"/>
        <w:rPr>
          <w:sz w:val="20"/>
          <w:szCs w:val="20"/>
        </w:rPr>
      </w:pPr>
      <w:r w:rsidRPr="00EC0229">
        <w:rPr>
          <w:bCs/>
          <w:sz w:val="20"/>
          <w:szCs w:val="20"/>
        </w:rPr>
        <w:t>Bede</w:t>
      </w:r>
      <w:r w:rsidRPr="00EC0229">
        <w:rPr>
          <w:bCs/>
          <w:sz w:val="20"/>
          <w:szCs w:val="20"/>
        </w:rPr>
        <w:fldChar w:fldCharType="begin"/>
      </w:r>
      <w:r w:rsidRPr="00EC0229">
        <w:instrText xml:space="preserve"> XE "</w:instrText>
      </w:r>
      <w:r w:rsidRPr="00EC0229">
        <w:rPr>
          <w:bCs/>
          <w:sz w:val="20"/>
          <w:szCs w:val="20"/>
        </w:rPr>
        <w:instrText>Bede</w:instrText>
      </w:r>
      <w:r w:rsidRPr="00EC0229">
        <w:instrText xml:space="preserve">" </w:instrText>
      </w:r>
      <w:r w:rsidRPr="00EC0229">
        <w:rPr>
          <w:bCs/>
          <w:sz w:val="20"/>
          <w:szCs w:val="20"/>
        </w:rPr>
        <w:fldChar w:fldCharType="end"/>
      </w:r>
      <w:r w:rsidRPr="00EC0229">
        <w:rPr>
          <w:bCs/>
          <w:sz w:val="20"/>
          <w:szCs w:val="20"/>
        </w:rPr>
        <w:t>’s letter to Ecgberht</w:t>
      </w:r>
      <w:r w:rsidRPr="00EC0229">
        <w:rPr>
          <w:bCs/>
          <w:sz w:val="20"/>
          <w:szCs w:val="20"/>
        </w:rPr>
        <w:fldChar w:fldCharType="begin"/>
      </w:r>
      <w:r w:rsidRPr="00EC0229">
        <w:instrText xml:space="preserve"> XE "Ecgberht" </w:instrText>
      </w:r>
      <w:r w:rsidRPr="00EC0229">
        <w:rPr>
          <w:bCs/>
          <w:sz w:val="20"/>
          <w:szCs w:val="20"/>
        </w:rPr>
        <w:fldChar w:fldCharType="end"/>
      </w:r>
      <w:r w:rsidRPr="00EC0229">
        <w:rPr>
          <w:sz w:val="20"/>
          <w:szCs w:val="20"/>
        </w:rPr>
        <w:t>, 734, §9.</w:t>
      </w:r>
    </w:p>
    <w:p w14:paraId="62AF6AA6" w14:textId="135408B8" w:rsidR="003F22F2" w:rsidRPr="00EC0229" w:rsidRDefault="003F22F2" w:rsidP="003F22F2">
      <w:pPr>
        <w:pStyle w:val="NoSpacing"/>
        <w:spacing w:line="360" w:lineRule="auto"/>
      </w:pPr>
      <w:r w:rsidRPr="00EC0229">
        <w:t>Landownership is crucial to power relations in the medieval period. Some of the early written laws necessitated a reeve collecting produce to render</w:t>
      </w:r>
      <w:r w:rsidRPr="00EC0229">
        <w:fldChar w:fldCharType="begin"/>
      </w:r>
      <w:r w:rsidRPr="00EC0229">
        <w:instrText xml:space="preserve"> XE "</w:instrText>
      </w:r>
      <w:r w:rsidRPr="00EC0229">
        <w:rPr>
          <w:rFonts w:cs="Times New Roman"/>
          <w:szCs w:val="24"/>
        </w:rPr>
        <w:instrText>render</w:instrText>
      </w:r>
      <w:r w:rsidRPr="00EC0229">
        <w:instrText xml:space="preserve">" </w:instrText>
      </w:r>
      <w:r w:rsidRPr="00EC0229">
        <w:fldChar w:fldCharType="end"/>
      </w:r>
      <w:r w:rsidRPr="00EC0229">
        <w:t xml:space="preserve"> to the king.</w:t>
      </w:r>
      <w:r w:rsidRPr="00EC0229">
        <w:rPr>
          <w:rStyle w:val="FootnoteReference"/>
        </w:rPr>
        <w:footnoteReference w:id="126"/>
      </w:r>
      <w:r w:rsidRPr="00EC0229">
        <w:t xml:space="preserve">  He and his entourage would need to be peripatetic to benefit from this, until </w:t>
      </w:r>
      <w:r w:rsidR="003F2041" w:rsidRPr="00EC0229">
        <w:t>monetiz</w:t>
      </w:r>
      <w:r w:rsidRPr="00EC0229">
        <w:t>ation</w:t>
      </w:r>
      <w:r w:rsidRPr="00EC0229">
        <w:fldChar w:fldCharType="begin"/>
      </w:r>
      <w:r w:rsidRPr="00EC0229">
        <w:instrText xml:space="preserve"> XE "monetization" </w:instrText>
      </w:r>
      <w:r w:rsidRPr="00EC0229">
        <w:fldChar w:fldCharType="end"/>
      </w:r>
      <w:r w:rsidRPr="00EC0229">
        <w:t xml:space="preserve"> facilitated greater efficiency. </w:t>
      </w:r>
    </w:p>
    <w:p w14:paraId="7E9B5B3C" w14:textId="77777777" w:rsidR="003F22F2" w:rsidRPr="00EC0229" w:rsidRDefault="003F22F2" w:rsidP="003F22F2">
      <w:pPr>
        <w:pStyle w:val="NoSpacing"/>
        <w:spacing w:line="360" w:lineRule="auto"/>
      </w:pPr>
    </w:p>
    <w:p w14:paraId="29081372" w14:textId="77777777" w:rsidR="003F22F2" w:rsidRPr="00EC0229" w:rsidRDefault="003F22F2" w:rsidP="003F22F2">
      <w:pPr>
        <w:pStyle w:val="NoSpacing"/>
        <w:spacing w:line="360" w:lineRule="auto"/>
      </w:pPr>
      <w:r w:rsidRPr="00EC0229">
        <w:t>As trading centres became established in the seventh and eighth centuries, there was symbiosis between the king offering protection and patronage, and the render</w:t>
      </w:r>
      <w:r w:rsidRPr="00EC0229">
        <w:fldChar w:fldCharType="begin"/>
      </w:r>
      <w:r w:rsidRPr="00EC0229">
        <w:instrText xml:space="preserve"> XE "</w:instrText>
      </w:r>
      <w:r w:rsidRPr="00EC0229">
        <w:rPr>
          <w:rFonts w:cs="Times New Roman"/>
          <w:szCs w:val="24"/>
        </w:rPr>
        <w:instrText>render</w:instrText>
      </w:r>
      <w:r w:rsidRPr="00EC0229">
        <w:instrText xml:space="preserve">" </w:instrText>
      </w:r>
      <w:r w:rsidRPr="00EC0229">
        <w:fldChar w:fldCharType="end"/>
      </w:r>
      <w:r w:rsidRPr="00EC0229">
        <w:t xml:space="preserve"> of tolls generated from trade. Reeves were responsible for administering these tolls and the royal estates or </w:t>
      </w:r>
      <w:r w:rsidRPr="00EC0229">
        <w:rPr>
          <w:i/>
        </w:rPr>
        <w:t>villae</w:t>
      </w:r>
      <w:r w:rsidRPr="00EC0229">
        <w:t>.</w:t>
      </w:r>
    </w:p>
    <w:p w14:paraId="35DEBFA0" w14:textId="77777777" w:rsidR="003F22F2" w:rsidRPr="00EC0229" w:rsidRDefault="003F22F2" w:rsidP="003F22F2">
      <w:pPr>
        <w:pStyle w:val="NoSpacing"/>
        <w:spacing w:line="360" w:lineRule="auto"/>
      </w:pPr>
    </w:p>
    <w:p w14:paraId="3D6A3458" w14:textId="52CBDDAC" w:rsidR="003F22F2" w:rsidRPr="00EC0229" w:rsidRDefault="003F22F2" w:rsidP="003F22F2">
      <w:pPr>
        <w:spacing w:line="360" w:lineRule="auto"/>
        <w:rPr>
          <w:rFonts w:cs="Times New Roman"/>
          <w:color w:val="000000" w:themeColor="text1"/>
          <w:szCs w:val="24"/>
        </w:rPr>
      </w:pPr>
      <w:r w:rsidRPr="00EC0229">
        <w:rPr>
          <w:rFonts w:cs="Times New Roman"/>
          <w:color w:val="000000" w:themeColor="text1"/>
          <w:szCs w:val="24"/>
        </w:rPr>
        <w:t>In early Anglo-Saxon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Northumbria</w:t>
      </w:r>
      <w:r w:rsidRPr="00EC0229">
        <w:rPr>
          <w:rFonts w:cs="Times New Roman"/>
          <w:color w:val="000000" w:themeColor="text1"/>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pre-existing British strongholds, at Bamburgh</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Bamburgh</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Carlisle, Catterick, Driffield</w:t>
      </w:r>
      <w:r w:rsidRPr="00EC0229">
        <w:rPr>
          <w:rFonts w:cs="Times New Roman"/>
          <w:color w:val="000000" w:themeColor="text1"/>
          <w:szCs w:val="24"/>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Yeavering</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Yeavering</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York</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remained the focal points of continued economic, administrative, royal and religious activity. At Lindisfarne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Bamburgh, Catterick and Easby, religious communities distanced themselves from the centre sufficiently to retain monastic detachment,</w:t>
      </w:r>
      <w:r w:rsidRPr="00EC0229">
        <w:rPr>
          <w:rStyle w:val="FootnoteReference"/>
          <w:rFonts w:cs="Times New Roman"/>
          <w:color w:val="000000" w:themeColor="text1"/>
          <w:szCs w:val="24"/>
        </w:rPr>
        <w:footnoteReference w:id="127"/>
      </w:r>
      <w:r w:rsidRPr="00EC0229">
        <w:rPr>
          <w:rFonts w:cs="Times New Roman"/>
          <w:color w:val="000000" w:themeColor="text1"/>
          <w:szCs w:val="24"/>
        </w:rPr>
        <w:t xml:space="preserve"> </w:t>
      </w:r>
      <w:r w:rsidRPr="00EC0229">
        <w:rPr>
          <w:rFonts w:cs="Times New Roman"/>
          <w:i/>
          <w:color w:val="000000" w:themeColor="text1"/>
          <w:szCs w:val="24"/>
        </w:rPr>
        <w:t xml:space="preserve">Maps </w:t>
      </w:r>
      <w:r w:rsidR="00855733" w:rsidRPr="00EC0229">
        <w:rPr>
          <w:rFonts w:cs="Times New Roman"/>
          <w:i/>
          <w:color w:val="000000" w:themeColor="text1"/>
          <w:szCs w:val="24"/>
        </w:rPr>
        <w:t>2.01-2.02</w:t>
      </w:r>
      <w:r w:rsidRPr="00EC0229">
        <w:rPr>
          <w:rFonts w:cs="Times New Roman"/>
          <w:color w:val="000000" w:themeColor="text1"/>
          <w:szCs w:val="24"/>
        </w:rPr>
        <w:t>. However, in the period under study a new institution, the minster, stimulated economic activity.</w:t>
      </w:r>
    </w:p>
    <w:p w14:paraId="2E66D7EE" w14:textId="77777777" w:rsidR="003F22F2" w:rsidRPr="00EC0229" w:rsidRDefault="003F22F2" w:rsidP="003F22F2">
      <w:pPr>
        <w:pStyle w:val="NoSpacing"/>
      </w:pPr>
    </w:p>
    <w:p w14:paraId="3A7695A3" w14:textId="41923FE0" w:rsidR="003F22F2" w:rsidRPr="00EC0229" w:rsidRDefault="003F22F2" w:rsidP="003F22F2">
      <w:pPr>
        <w:pStyle w:val="NoSpacing"/>
        <w:spacing w:line="360" w:lineRule="auto"/>
      </w:pPr>
      <w:r w:rsidRPr="00EC0229">
        <w:t>Monasteries are enclosed, contemplative communities following a defined regimen, whereas Blair</w:t>
      </w:r>
      <w:r w:rsidRPr="00EC0229">
        <w:fldChar w:fldCharType="begin"/>
      </w:r>
      <w:r w:rsidRPr="00EC0229">
        <w:instrText xml:space="preserve"> XE "Blair" </w:instrText>
      </w:r>
      <w:r w:rsidRPr="00EC0229">
        <w:fldChar w:fldCharType="end"/>
      </w:r>
      <w:r w:rsidRPr="00EC0229">
        <w:t>, in his seminal work on this subject, defined ‘</w:t>
      </w:r>
      <w:bookmarkStart w:id="86" w:name="minsters"/>
      <w:r w:rsidRPr="00EC0229">
        <w:t>minsters</w:t>
      </w:r>
      <w:bookmarkEnd w:id="86"/>
      <w:r w:rsidRPr="00EC0229">
        <w:t>’ in terms of hierarchical communities of religious devotees engaged with the economic and pastoral life of their parish.</w:t>
      </w:r>
      <w:r w:rsidRPr="00EC0229">
        <w:rPr>
          <w:rStyle w:val="FootnoteReference"/>
          <w:color w:val="000000" w:themeColor="text1"/>
          <w:szCs w:val="24"/>
        </w:rPr>
        <w:footnoteReference w:id="128"/>
      </w:r>
      <w:r w:rsidRPr="00EC0229">
        <w:t xml:space="preserve"> However, he disavowed a ‘minster model’ of pastoral care as inflexible, though the ‘central and enduring importance of minsters in local religious life’ remains.</w:t>
      </w:r>
      <w:r w:rsidRPr="00EC0229">
        <w:rPr>
          <w:rStyle w:val="FootnoteReference"/>
          <w:color w:val="000000" w:themeColor="text1"/>
          <w:szCs w:val="24"/>
        </w:rPr>
        <w:footnoteReference w:id="129"/>
      </w:r>
      <w:r w:rsidRPr="00EC0229">
        <w:t xml:space="preserve"> He dismissed the view that the British and Roman</w:t>
      </w:r>
      <w:r w:rsidRPr="00EC0229">
        <w:fldChar w:fldCharType="begin"/>
      </w:r>
      <w:r w:rsidRPr="00EC0229">
        <w:instrText xml:space="preserve"> XE "Roman" </w:instrText>
      </w:r>
      <w:r w:rsidRPr="00EC0229">
        <w:fldChar w:fldCharType="end"/>
      </w:r>
      <w:r w:rsidRPr="00EC0229">
        <w:t xml:space="preserve"> Christian traditions were in stark contrast: ‘In the melting-pot of early insular culture, influences from many sources re-combined and a wide range of alternatives was on offer.’</w:t>
      </w:r>
      <w:r w:rsidRPr="00EC0229">
        <w:rPr>
          <w:rStyle w:val="FootnoteReference"/>
        </w:rPr>
        <w:footnoteReference w:id="130"/>
      </w:r>
      <w:r w:rsidRPr="00EC0229">
        <w:t xml:space="preserve"> The diversity of sceatta</w:t>
      </w:r>
      <w:r w:rsidRPr="00EC0229">
        <w:fldChar w:fldCharType="begin"/>
      </w:r>
      <w:r w:rsidRPr="00EC0229">
        <w:instrText xml:space="preserve"> XE "sceatta" </w:instrText>
      </w:r>
      <w:r w:rsidRPr="00EC0229">
        <w:fldChar w:fldCharType="end"/>
      </w:r>
      <w:r w:rsidRPr="00EC0229">
        <w:t xml:space="preserve"> iconography</w:t>
      </w:r>
      <w:r w:rsidRPr="00EC0229">
        <w:fldChar w:fldCharType="begin"/>
      </w:r>
      <w:r w:rsidRPr="00EC0229">
        <w:instrText xml:space="preserve"> XE "iconography" </w:instrText>
      </w:r>
      <w:r w:rsidRPr="00EC0229">
        <w:fldChar w:fldCharType="end"/>
      </w:r>
      <w:r w:rsidRPr="00EC0229">
        <w:t xml:space="preserve"> confirms this. The ‘minster debate’ of the 1990s attempted to reconcile the introspection necessitated by monastic life with the pastoral care demanded of minsters.</w:t>
      </w:r>
      <w:r w:rsidRPr="00EC0229">
        <w:rPr>
          <w:rStyle w:val="FootnoteReference"/>
        </w:rPr>
        <w:footnoteReference w:id="131"/>
      </w:r>
      <w:r w:rsidRPr="00EC0229">
        <w:t xml:space="preserve"> </w:t>
      </w:r>
      <w:r w:rsidRPr="00EC0229">
        <w:rPr>
          <w:color w:val="000000" w:themeColor="text1"/>
          <w:szCs w:val="24"/>
        </w:rPr>
        <w:t xml:space="preserve">Morris warned against regarding all minsters as of </w:t>
      </w:r>
      <w:r w:rsidRPr="00EC0229">
        <w:rPr>
          <w:color w:val="000000" w:themeColor="text1"/>
          <w:szCs w:val="24"/>
        </w:rPr>
        <w:lastRenderedPageBreak/>
        <w:t>uniform foundation when there was ‘a dissimilarity in their origins which makes it hard to conceive of them as products of any coherent campaign,’</w:t>
      </w:r>
      <w:r w:rsidRPr="00EC0229">
        <w:rPr>
          <w:rStyle w:val="FootnoteReference"/>
          <w:color w:val="000000" w:themeColor="text1"/>
          <w:szCs w:val="24"/>
        </w:rPr>
        <w:footnoteReference w:id="132"/>
      </w:r>
      <w:r w:rsidRPr="00EC0229">
        <w:rPr>
          <w:color w:val="000000" w:themeColor="text1"/>
          <w:szCs w:val="24"/>
        </w:rPr>
        <w:t xml:space="preserve"> </w:t>
      </w:r>
      <w:r w:rsidRPr="00EC0229">
        <w:rPr>
          <w:i/>
          <w:color w:val="000000" w:themeColor="text1"/>
          <w:szCs w:val="24"/>
        </w:rPr>
        <w:t xml:space="preserve">Maps </w:t>
      </w:r>
      <w:r w:rsidR="00855733" w:rsidRPr="00EC0229">
        <w:rPr>
          <w:i/>
          <w:color w:val="000000" w:themeColor="text1"/>
          <w:szCs w:val="24"/>
        </w:rPr>
        <w:t>2.03-2.05</w:t>
      </w:r>
      <w:r w:rsidRPr="00EC0229">
        <w:rPr>
          <w:color w:val="000000" w:themeColor="text1"/>
          <w:szCs w:val="24"/>
        </w:rPr>
        <w:t>.</w:t>
      </w:r>
      <w:r w:rsidRPr="00EC0229">
        <w:rPr>
          <w:rStyle w:val="FootnoteReference"/>
          <w:color w:val="000000" w:themeColor="text1"/>
          <w:szCs w:val="24"/>
        </w:rPr>
        <w:footnoteReference w:id="133"/>
      </w:r>
    </w:p>
    <w:p w14:paraId="72574F53" w14:textId="77777777" w:rsidR="003F22F2" w:rsidRPr="00EC0229" w:rsidRDefault="003F22F2" w:rsidP="003F22F2">
      <w:pPr>
        <w:pStyle w:val="NoSpacing"/>
        <w:spacing w:line="360" w:lineRule="auto"/>
      </w:pPr>
    </w:p>
    <w:p w14:paraId="1A8B1D70" w14:textId="77777777" w:rsidR="003F22F2" w:rsidRPr="00EC0229" w:rsidRDefault="003F22F2" w:rsidP="003F22F2">
      <w:pPr>
        <w:spacing w:line="360" w:lineRule="auto"/>
        <w:rPr>
          <w:rFonts w:cs="Times New Roman"/>
          <w:color w:val="000000" w:themeColor="text1"/>
          <w:szCs w:val="24"/>
        </w:rPr>
      </w:pPr>
      <w:r w:rsidRPr="00EC0229">
        <w:rPr>
          <w:rFonts w:cs="Times New Roman"/>
          <w:color w:val="000000" w:themeColor="text1"/>
          <w:szCs w:val="24"/>
        </w:rPr>
        <w:t>Blair</w:t>
      </w:r>
      <w:r w:rsidRPr="00EC0229">
        <w:rPr>
          <w:rFonts w:cs="Times New Roman"/>
          <w:color w:val="000000" w:themeColor="text1"/>
          <w:szCs w:val="24"/>
        </w:rPr>
        <w:fldChar w:fldCharType="begin"/>
      </w:r>
      <w:r w:rsidRPr="00EC0229">
        <w:instrText xml:space="preserve"> XE "Blair" </w:instrText>
      </w:r>
      <w:r w:rsidRPr="00EC0229">
        <w:rPr>
          <w:rFonts w:cs="Times New Roman"/>
          <w:color w:val="000000" w:themeColor="text1"/>
          <w:szCs w:val="24"/>
        </w:rPr>
        <w:fldChar w:fldCharType="end"/>
      </w:r>
      <w:r w:rsidRPr="00EC0229">
        <w:rPr>
          <w:rFonts w:cs="Times New Roman"/>
          <w:color w:val="000000" w:themeColor="text1"/>
          <w:szCs w:val="24"/>
        </w:rPr>
        <w:t xml:space="preserve"> viewed religious communities as an economic catalyst.</w:t>
      </w:r>
      <w:r w:rsidRPr="00EC0229">
        <w:rPr>
          <w:rStyle w:val="FootnoteReference"/>
          <w:rFonts w:cs="Times New Roman"/>
          <w:color w:val="000000" w:themeColor="text1"/>
          <w:szCs w:val="24"/>
        </w:rPr>
        <w:footnoteReference w:id="134"/>
      </w:r>
      <w:r w:rsidRPr="00EC0229">
        <w:rPr>
          <w:rFonts w:cs="Times New Roman"/>
          <w:color w:val="000000" w:themeColor="text1"/>
          <w:szCs w:val="24"/>
        </w:rPr>
        <w:t xml:space="preserve"> Minsters differed from monasteries in terms of tenure; they could be adopted and endowed privately by aristocrats and monarchs.</w:t>
      </w:r>
      <w:r w:rsidRPr="00EC0229">
        <w:rPr>
          <w:rStyle w:val="FootnoteReference"/>
          <w:rFonts w:cs="Times New Roman"/>
          <w:color w:val="000000" w:themeColor="text1"/>
          <w:szCs w:val="24"/>
        </w:rPr>
        <w:footnoteReference w:id="135"/>
      </w:r>
      <w:r w:rsidRPr="00EC0229">
        <w:rPr>
          <w:rFonts w:cs="Times New Roman"/>
          <w:color w:val="000000" w:themeColor="text1"/>
          <w:szCs w:val="24"/>
        </w:rPr>
        <w:t xml:space="preserve"> Conversion spread downward in society at a rate that may have been inhibited only by the gradual political crystallization of the Anglo-Saxon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sub-kingdoms.</w:t>
      </w:r>
      <w:r w:rsidRPr="00EC0229">
        <w:rPr>
          <w:rStyle w:val="FootnoteReference"/>
          <w:rFonts w:cs="Times New Roman"/>
          <w:color w:val="000000" w:themeColor="text1"/>
          <w:szCs w:val="24"/>
        </w:rPr>
        <w:footnoteReference w:id="136"/>
      </w:r>
      <w:r w:rsidRPr="00EC0229">
        <w:rPr>
          <w:rFonts w:cs="Times New Roman"/>
          <w:color w:val="000000" w:themeColor="text1"/>
          <w:szCs w:val="24"/>
        </w:rPr>
        <w:t xml:space="preserve"> </w:t>
      </w:r>
    </w:p>
    <w:p w14:paraId="65F515F2" w14:textId="0D16BBD1" w:rsidR="003F22F2" w:rsidRPr="00EC0229" w:rsidRDefault="003F22F2" w:rsidP="003F22F2">
      <w:pPr>
        <w:spacing w:line="360" w:lineRule="auto"/>
        <w:rPr>
          <w:rFonts w:cs="Times New Roman"/>
          <w:color w:val="000000" w:themeColor="text1"/>
          <w:szCs w:val="24"/>
        </w:rPr>
      </w:pPr>
      <w:r w:rsidRPr="00EC0229">
        <w:rPr>
          <w:rFonts w:cs="Times New Roman"/>
          <w:color w:val="000000" w:themeColor="text1"/>
          <w:szCs w:val="24"/>
        </w:rPr>
        <w:t>Morris regarded liminality as significant in the life and location of parish churches, illustrating this with the moor-side positions of the Ryedale ‘constellation’ of religious houses including Lastingham,</w:t>
      </w:r>
      <w:r w:rsidRPr="00EC0229">
        <w:rPr>
          <w:rStyle w:val="FootnoteReference"/>
          <w:rFonts w:cs="Times New Roman"/>
          <w:color w:val="000000" w:themeColor="text1"/>
          <w:szCs w:val="24"/>
        </w:rPr>
        <w:footnoteReference w:id="137"/>
      </w:r>
      <w:r w:rsidRPr="00EC0229">
        <w:rPr>
          <w:rFonts w:cs="Times New Roman"/>
          <w:color w:val="000000" w:themeColor="text1"/>
          <w:szCs w:val="24"/>
        </w:rPr>
        <w:t xml:space="preserve"> Kirkdale and Middleton. Taken with Old Malton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Malton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Kirkby Misperton, Appleton-le-Moors, Hovingham, Stonegrave. Gilling East, Crayke and Coxwold,</w:t>
      </w:r>
      <w:r w:rsidRPr="00EC0229">
        <w:rPr>
          <w:rStyle w:val="FootnoteReference"/>
          <w:rFonts w:cs="Times New Roman"/>
          <w:color w:val="000000" w:themeColor="text1"/>
          <w:szCs w:val="24"/>
        </w:rPr>
        <w:footnoteReference w:id="138"/>
      </w:r>
      <w:r w:rsidRPr="00EC0229">
        <w:rPr>
          <w:rFonts w:cs="Times New Roman"/>
          <w:color w:val="000000" w:themeColor="text1"/>
          <w:szCs w:val="24"/>
        </w:rPr>
        <w:t xml:space="preserve"> these fit the model of ‘clusters and dependencies’ articulated by Foot,</w:t>
      </w:r>
      <w:r w:rsidRPr="00EC0229">
        <w:rPr>
          <w:rStyle w:val="FootnoteReference"/>
          <w:rFonts w:cs="Times New Roman"/>
          <w:color w:val="000000" w:themeColor="text1"/>
          <w:szCs w:val="24"/>
        </w:rPr>
        <w:footnoteReference w:id="139"/>
      </w:r>
      <w:r w:rsidRPr="00EC0229">
        <w:rPr>
          <w:rFonts w:cs="Times New Roman"/>
          <w:color w:val="000000" w:themeColor="text1"/>
          <w:szCs w:val="24"/>
        </w:rPr>
        <w:t xml:space="preserve"> </w:t>
      </w:r>
      <w:r w:rsidRPr="00EC0229">
        <w:rPr>
          <w:rFonts w:cs="Times New Roman"/>
          <w:i/>
          <w:szCs w:val="24"/>
        </w:rPr>
        <w:t>Map</w:t>
      </w:r>
      <w:r w:rsidRPr="00EC0229">
        <w:rPr>
          <w:rFonts w:cs="Times New Roman"/>
          <w:i/>
          <w:szCs w:val="24"/>
        </w:rPr>
        <w:fldChar w:fldCharType="begin"/>
      </w:r>
      <w:r w:rsidRPr="00EC0229">
        <w:instrText xml:space="preserve"> XE "</w:instrText>
      </w:r>
      <w:r w:rsidRPr="00EC0229">
        <w:rPr>
          <w:noProof/>
        </w:rPr>
        <w:instrText>Map</w:instrText>
      </w:r>
      <w:r w:rsidRPr="00EC0229">
        <w:instrText xml:space="preserve">" </w:instrText>
      </w:r>
      <w:r w:rsidRPr="00EC0229">
        <w:rPr>
          <w:rFonts w:cs="Times New Roman"/>
          <w:i/>
          <w:szCs w:val="24"/>
        </w:rPr>
        <w:fldChar w:fldCharType="end"/>
      </w:r>
      <w:r w:rsidRPr="00EC0229">
        <w:rPr>
          <w:rFonts w:cs="Times New Roman"/>
          <w:i/>
          <w:szCs w:val="24"/>
        </w:rPr>
        <w:t xml:space="preserve"> 2</w:t>
      </w:r>
      <w:r w:rsidR="004048E5" w:rsidRPr="00EC0229">
        <w:rPr>
          <w:rFonts w:cs="Times New Roman"/>
          <w:i/>
          <w:szCs w:val="24"/>
        </w:rPr>
        <w:t>.04</w:t>
      </w:r>
      <w:r w:rsidRPr="00EC0229">
        <w:rPr>
          <w:rFonts w:cs="Times New Roman"/>
          <w:color w:val="000000" w:themeColor="text1"/>
          <w:szCs w:val="24"/>
        </w:rPr>
        <w:t>, who also commented: ‘Minsters occupied a liminal space between the society of the secular aristocracy</w:t>
      </w:r>
      <w:r w:rsidRPr="00EC0229">
        <w:rPr>
          <w:rFonts w:cs="Times New Roman"/>
          <w:color w:val="000000" w:themeColor="text1"/>
          <w:szCs w:val="24"/>
        </w:rPr>
        <w:fldChar w:fldCharType="begin"/>
      </w:r>
      <w:r w:rsidRPr="00EC0229">
        <w:instrText xml:space="preserve"> XE "</w:instrText>
      </w:r>
      <w:r w:rsidRPr="00EC0229">
        <w:rPr>
          <w:rFonts w:cs="Times New Roman"/>
          <w:szCs w:val="24"/>
        </w:rPr>
        <w:instrText>aristocracy</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from which most of their professed members were drawn and the ecclesiastical society of the Christian church</w:t>
      </w:r>
      <w:r w:rsidRPr="00EC0229">
        <w:rPr>
          <w:rFonts w:cs="Times New Roman"/>
          <w:color w:val="000000" w:themeColor="text1"/>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w:t>
      </w:r>
      <w:r w:rsidRPr="00EC0229">
        <w:rPr>
          <w:rStyle w:val="FootnoteReference"/>
          <w:rFonts w:cs="Times New Roman"/>
          <w:color w:val="000000" w:themeColor="text1"/>
          <w:szCs w:val="24"/>
        </w:rPr>
        <w:footnoteReference w:id="140"/>
      </w:r>
    </w:p>
    <w:p w14:paraId="0657D0F7" w14:textId="77777777" w:rsidR="003F22F2" w:rsidRPr="00EC0229" w:rsidRDefault="003F22F2" w:rsidP="003F22F2">
      <w:pPr>
        <w:spacing w:line="360" w:lineRule="auto"/>
        <w:rPr>
          <w:rFonts w:cs="Times New Roman"/>
          <w:color w:val="000000" w:themeColor="text1"/>
          <w:szCs w:val="24"/>
        </w:rPr>
      </w:pPr>
      <w:r w:rsidRPr="00EC0229">
        <w:rPr>
          <w:rFonts w:cs="Times New Roman"/>
          <w:color w:val="000000" w:themeColor="text1"/>
          <w:szCs w:val="24"/>
        </w:rPr>
        <w:t xml:space="preserve">From </w:t>
      </w:r>
      <w:r w:rsidRPr="00EC0229">
        <w:rPr>
          <w:rFonts w:cs="Times New Roman"/>
          <w:i/>
          <w:color w:val="000000" w:themeColor="text1"/>
          <w:szCs w:val="24"/>
        </w:rPr>
        <w:t>c.</w:t>
      </w:r>
      <w:r w:rsidRPr="00EC0229">
        <w:rPr>
          <w:rFonts w:cs="Times New Roman"/>
          <w:color w:val="000000" w:themeColor="text1"/>
          <w:szCs w:val="24"/>
        </w:rPr>
        <w:t>650 ‘royal patronage fuelled a monastic boom’,</w:t>
      </w:r>
      <w:r w:rsidRPr="00EC0229">
        <w:rPr>
          <w:rStyle w:val="FootnoteReference"/>
          <w:rFonts w:cs="Times New Roman"/>
          <w:color w:val="000000" w:themeColor="text1"/>
          <w:szCs w:val="24"/>
        </w:rPr>
        <w:footnoteReference w:id="141"/>
      </w:r>
      <w:r w:rsidRPr="00EC0229">
        <w:rPr>
          <w:rFonts w:cs="Times New Roman"/>
          <w:color w:val="000000" w:themeColor="text1"/>
          <w:szCs w:val="24"/>
        </w:rPr>
        <w:t xml:space="preserve"> but, other than in Kent, there was a paucity of small local churches unlike in Ireland or Gaul. It was more likely the impact of the arrival of Theodore of Tarsus in Canterbury in 669, his Neapolitan dean Hadrian, together with the second generation of, now native-born, bishops, Chad, Wine and Wilfrid</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Wilfrid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rather than the Synod of Whitby</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Whitby</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or the devastating plague of the same year, that facilitated this boom.</w:t>
      </w:r>
      <w:r w:rsidRPr="00EC0229">
        <w:rPr>
          <w:rStyle w:val="FootnoteReference"/>
          <w:rFonts w:cs="Times New Roman"/>
          <w:color w:val="000000" w:themeColor="text1"/>
          <w:szCs w:val="24"/>
        </w:rPr>
        <w:footnoteReference w:id="142"/>
      </w:r>
      <w:r w:rsidRPr="00EC0229">
        <w:rPr>
          <w:rFonts w:cs="Times New Roman"/>
          <w:color w:val="000000" w:themeColor="text1"/>
          <w:szCs w:val="24"/>
        </w:rPr>
        <w:t xml:space="preserve"> Minsters were now sited in more congenial locations as the austerity of the early conversion phase gave way to Theodore’s more institutional management and those seeking liminality now evangelized on the Continent.</w:t>
      </w:r>
      <w:r w:rsidRPr="00EC0229">
        <w:rPr>
          <w:rStyle w:val="FootnoteReference"/>
          <w:rFonts w:cs="Times New Roman"/>
          <w:color w:val="000000" w:themeColor="text1"/>
          <w:szCs w:val="24"/>
        </w:rPr>
        <w:footnoteReference w:id="143"/>
      </w:r>
    </w:p>
    <w:p w14:paraId="71F8445B" w14:textId="39534B89" w:rsidR="003F22F2" w:rsidRPr="00EC0229" w:rsidRDefault="003F22F2" w:rsidP="003F22F2">
      <w:pPr>
        <w:spacing w:line="360" w:lineRule="auto"/>
        <w:rPr>
          <w:rFonts w:cs="Times New Roman"/>
          <w:color w:val="000000" w:themeColor="text1"/>
          <w:szCs w:val="24"/>
        </w:rPr>
      </w:pPr>
      <w:r w:rsidRPr="00EC0229">
        <w:rPr>
          <w:rFonts w:cs="Times New Roman"/>
          <w:color w:val="000000" w:themeColor="text1"/>
          <w:szCs w:val="24"/>
        </w:rPr>
        <w:t>Blair</w:t>
      </w:r>
      <w:r w:rsidRPr="00EC0229">
        <w:rPr>
          <w:rFonts w:cs="Times New Roman"/>
          <w:color w:val="000000" w:themeColor="text1"/>
          <w:szCs w:val="24"/>
        </w:rPr>
        <w:fldChar w:fldCharType="begin"/>
      </w:r>
      <w:r w:rsidRPr="00EC0229">
        <w:instrText xml:space="preserve"> XE "Blair" </w:instrText>
      </w:r>
      <w:r w:rsidRPr="00EC0229">
        <w:rPr>
          <w:rFonts w:cs="Times New Roman"/>
          <w:color w:val="000000" w:themeColor="text1"/>
          <w:szCs w:val="24"/>
        </w:rPr>
        <w:fldChar w:fldCharType="end"/>
      </w:r>
      <w:r w:rsidRPr="00EC0229">
        <w:rPr>
          <w:rFonts w:cs="Times New Roman"/>
          <w:color w:val="000000" w:themeColor="text1"/>
          <w:szCs w:val="24"/>
        </w:rPr>
        <w:t xml:space="preserve"> associated this surge with economic activity in north-west Europe: ‘a mass currency in silver…emerged during </w:t>
      </w:r>
      <w:r w:rsidRPr="00EC0229">
        <w:rPr>
          <w:rFonts w:cs="Times New Roman"/>
          <w:i/>
          <w:color w:val="000000" w:themeColor="text1"/>
          <w:szCs w:val="24"/>
        </w:rPr>
        <w:t>c.</w:t>
      </w:r>
      <w:r w:rsidRPr="00EC0229">
        <w:rPr>
          <w:rFonts w:cs="Times New Roman"/>
          <w:color w:val="000000" w:themeColor="text1"/>
          <w:szCs w:val="24"/>
        </w:rPr>
        <w:t xml:space="preserve">670-690. But again, the fact that the monastic culture blossomed so </w:t>
      </w:r>
      <w:r w:rsidRPr="00EC0229">
        <w:rPr>
          <w:rFonts w:cs="Times New Roman"/>
          <w:color w:val="000000" w:themeColor="text1"/>
          <w:szCs w:val="24"/>
        </w:rPr>
        <w:lastRenderedPageBreak/>
        <w:t>spectacular in Bernicia</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Bernicia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with a thoroughly old-fashioned wealth-base and essentially no coinage, suggests that the financial and cultural stimulus of the new economy</w:t>
      </w:r>
      <w:r w:rsidRPr="00EC0229">
        <w:rPr>
          <w:rFonts w:cs="Times New Roman"/>
          <w:color w:val="000000" w:themeColor="text1"/>
          <w:szCs w:val="24"/>
        </w:rPr>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does not explain the phenomenon on its own.’ He also noted: ‘Although Northumbria</w:t>
      </w:r>
      <w:r w:rsidRPr="00EC0229">
        <w:rPr>
          <w:rFonts w:cs="Times New Roman"/>
          <w:color w:val="000000" w:themeColor="text1"/>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had a fine silver coinage from the 730s, the distribution of single finds suggests that coins did not circulate north or west of Whitby</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Whitby</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during the sceatta</w:t>
      </w:r>
      <w:r w:rsidRPr="00EC0229">
        <w:rPr>
          <w:rFonts w:cs="Times New Roman"/>
          <w:color w:val="000000" w:themeColor="text1"/>
          <w:szCs w:val="24"/>
        </w:rPr>
        <w:fldChar w:fldCharType="begin"/>
      </w:r>
      <w:r w:rsidRPr="00EC0229">
        <w:instrText xml:space="preserve"> XE "sceatta" </w:instrText>
      </w:r>
      <w:r w:rsidRPr="00EC0229">
        <w:rPr>
          <w:rFonts w:cs="Times New Roman"/>
          <w:color w:val="000000" w:themeColor="text1"/>
          <w:szCs w:val="24"/>
        </w:rPr>
        <w:fldChar w:fldCharType="end"/>
      </w:r>
      <w:r w:rsidRPr="00EC0229">
        <w:rPr>
          <w:rFonts w:cs="Times New Roman"/>
          <w:color w:val="000000" w:themeColor="text1"/>
          <w:szCs w:val="24"/>
        </w:rPr>
        <w:t xml:space="preserve"> era.’</w:t>
      </w:r>
      <w:r w:rsidRPr="00EC0229">
        <w:rPr>
          <w:rStyle w:val="FootnoteReference"/>
          <w:rFonts w:cs="Times New Roman"/>
          <w:color w:val="000000" w:themeColor="text1"/>
          <w:szCs w:val="24"/>
        </w:rPr>
        <w:footnoteReference w:id="144"/>
      </w:r>
      <w:r w:rsidRPr="00EC0229">
        <w:rPr>
          <w:rFonts w:cs="Times New Roman"/>
          <w:color w:val="000000" w:themeColor="text1"/>
          <w:szCs w:val="24"/>
        </w:rPr>
        <w:t xml:space="preserve"> Despite inexplicably overlooking Aldfrith</w:t>
      </w:r>
      <w:r w:rsidRPr="00EC0229">
        <w:rPr>
          <w:rFonts w:cs="Times New Roman"/>
          <w:color w:val="000000" w:themeColor="text1"/>
          <w:szCs w:val="24"/>
        </w:rPr>
        <w:fldChar w:fldCharType="begin"/>
      </w:r>
      <w:r w:rsidRPr="00EC0229">
        <w:instrText xml:space="preserve"> XE "Aldfrith" </w:instrText>
      </w:r>
      <w:r w:rsidRPr="00EC0229">
        <w:rPr>
          <w:rFonts w:cs="Times New Roman"/>
          <w:color w:val="000000" w:themeColor="text1"/>
          <w:szCs w:val="24"/>
        </w:rPr>
        <w:fldChar w:fldCharType="end"/>
      </w:r>
      <w:r w:rsidRPr="00EC0229">
        <w:rPr>
          <w:rFonts w:cs="Times New Roman"/>
          <w:color w:val="000000" w:themeColor="text1"/>
          <w:szCs w:val="24"/>
        </w:rPr>
        <w:t>’s sceats [4a</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Period 4a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and the imported coinage before Eadberht</w:t>
      </w:r>
      <w:r w:rsidRPr="00EC0229">
        <w:rPr>
          <w:rFonts w:cs="Times New Roman"/>
          <w:color w:val="000000" w:themeColor="text1"/>
          <w:szCs w:val="24"/>
        </w:rPr>
        <w:fldChar w:fldCharType="begin"/>
      </w:r>
      <w:r w:rsidRPr="00EC0229">
        <w:instrText xml:space="preserve"> XE "Eadberht" </w:instrText>
      </w:r>
      <w:r w:rsidRPr="00EC0229">
        <w:rPr>
          <w:rFonts w:cs="Times New Roman"/>
          <w:color w:val="000000" w:themeColor="text1"/>
          <w:szCs w:val="24"/>
        </w:rPr>
        <w:fldChar w:fldCharType="end"/>
      </w:r>
      <w:r w:rsidRPr="00EC0229">
        <w:rPr>
          <w:rFonts w:cs="Times New Roman"/>
          <w:color w:val="000000" w:themeColor="text1"/>
          <w:szCs w:val="24"/>
        </w:rPr>
        <w:t xml:space="preserve">’s reign [4b-5d], and sceatta finds in the north-west (e.g. Whithorn,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Whithorn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283</w:t>
      </w:r>
      <w:r w:rsidRPr="00EC0229">
        <w:rPr>
          <w:rFonts w:cs="Times New Roman"/>
          <w:color w:val="000000" w:themeColor="text1"/>
          <w:szCs w:val="24"/>
        </w:rPr>
        <w:fldChar w:fldCharType="end"/>
      </w:r>
      <w:r w:rsidRPr="00EC0229">
        <w:rPr>
          <w:rFonts w:cs="Times New Roman"/>
          <w:color w:val="000000" w:themeColor="text1"/>
          <w:szCs w:val="24"/>
        </w:rPr>
        <w:t>), Blair’s conclusion stands: monarchs wished to demonstrate that they had thrown off all vestiges of paganism; they sought havens for their royal ladies, such as Ælfflæd of Whitby, in ‘double houses’; monasticism offered novel means of deploying land. There is historic evidence of substantial land-grants in the last thirty years of the seventh century, following the Northumbrian precedents of Oswy in 654/5 and Alhfrith to Wilfrid</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Wilfrid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i/>
          <w:color w:val="000000" w:themeColor="text1"/>
          <w:szCs w:val="24"/>
        </w:rPr>
        <w:t>c.</w:t>
      </w:r>
      <w:r w:rsidRPr="00EC0229">
        <w:rPr>
          <w:rFonts w:cs="Times New Roman"/>
          <w:color w:val="000000" w:themeColor="text1"/>
          <w:szCs w:val="24"/>
        </w:rPr>
        <w:t>660,</w:t>
      </w:r>
      <w:r w:rsidRPr="00EC0229">
        <w:rPr>
          <w:rStyle w:val="FootnoteReference"/>
          <w:rFonts w:cs="Times New Roman"/>
          <w:color w:val="000000" w:themeColor="text1"/>
          <w:szCs w:val="24"/>
        </w:rPr>
        <w:footnoteReference w:id="145"/>
      </w:r>
      <w:r w:rsidRPr="00EC0229">
        <w:rPr>
          <w:rFonts w:cs="Times New Roman"/>
          <w:color w:val="000000" w:themeColor="text1"/>
          <w:szCs w:val="24"/>
        </w:rPr>
        <w:t xml:space="preserve"> who was uninhibited in transforming Ripon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Ripon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from a monastic community to a secular minster.</w:t>
      </w:r>
      <w:r w:rsidRPr="00EC0229">
        <w:rPr>
          <w:rStyle w:val="FootnoteReference"/>
          <w:rFonts w:cs="Times New Roman"/>
          <w:color w:val="000000" w:themeColor="text1"/>
          <w:szCs w:val="24"/>
        </w:rPr>
        <w:footnoteReference w:id="146"/>
      </w:r>
    </w:p>
    <w:p w14:paraId="5C6352D7" w14:textId="77777777" w:rsidR="003F22F2" w:rsidRPr="00EC0229" w:rsidRDefault="003F22F2" w:rsidP="003F22F2">
      <w:pPr>
        <w:spacing w:line="360" w:lineRule="auto"/>
        <w:rPr>
          <w:rFonts w:cs="Times New Roman"/>
          <w:color w:val="000000" w:themeColor="text1"/>
          <w:szCs w:val="24"/>
        </w:rPr>
      </w:pPr>
      <w:r w:rsidRPr="00EC0229">
        <w:rPr>
          <w:rFonts w:cs="Times New Roman"/>
          <w:color w:val="000000" w:themeColor="text1"/>
          <w:szCs w:val="24"/>
        </w:rPr>
        <w:t>Northumbria</w:t>
      </w:r>
      <w:r w:rsidRPr="00EC0229">
        <w:rPr>
          <w:rFonts w:cs="Times New Roman"/>
          <w:color w:val="000000" w:themeColor="text1"/>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remained at the heart of developments, ‘in the marchlands of the confrontation’.</w:t>
      </w:r>
      <w:r w:rsidRPr="00EC0229">
        <w:rPr>
          <w:rStyle w:val="FootnoteReference"/>
          <w:rFonts w:cs="Times New Roman"/>
          <w:color w:val="000000" w:themeColor="text1"/>
          <w:szCs w:val="24"/>
        </w:rPr>
        <w:footnoteReference w:id="147"/>
      </w:r>
      <w:r w:rsidRPr="00EC0229">
        <w:rPr>
          <w:rFonts w:cs="Times New Roman"/>
          <w:color w:val="000000" w:themeColor="text1"/>
          <w:szCs w:val="24"/>
        </w:rPr>
        <w:t xml:space="preserve"> Bede</w:t>
      </w:r>
      <w:r w:rsidRPr="00EC0229">
        <w:rPr>
          <w:rFonts w:cs="Times New Roman"/>
          <w:color w:val="000000" w:themeColor="text1"/>
          <w:szCs w:val="24"/>
        </w:rPr>
        <w:fldChar w:fldCharType="begin"/>
      </w:r>
      <w:r w:rsidRPr="00EC0229">
        <w:instrText xml:space="preserve"> XE "</w:instrText>
      </w:r>
      <w:r w:rsidRPr="00EC0229">
        <w:rPr>
          <w:bCs/>
          <w:sz w:val="20"/>
          <w:szCs w:val="20"/>
        </w:rPr>
        <w:instrText>Bede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’s own houses of Monkwearmouth and Jarrow, founded by Benedict Biscop, aided by Coelfrith, in 674 and 680/1, respectively, had the material support of king Ecgfrith.</w:t>
      </w:r>
      <w:r w:rsidRPr="00EC0229">
        <w:rPr>
          <w:rStyle w:val="FootnoteReference"/>
          <w:rFonts w:cs="Times New Roman"/>
          <w:color w:val="000000" w:themeColor="text1"/>
          <w:szCs w:val="24"/>
        </w:rPr>
        <w:footnoteReference w:id="148"/>
      </w:r>
      <w:r w:rsidRPr="00EC0229">
        <w:rPr>
          <w:rFonts w:cs="Times New Roman"/>
          <w:color w:val="000000" w:themeColor="text1"/>
          <w:szCs w:val="24"/>
        </w:rPr>
        <w:t xml:space="preserve"> Royal and ecclesiastical interests converged temporarily, but early in the eighth century Bede perceived that founders’ motivations had been corrupted.</w:t>
      </w:r>
      <w:r w:rsidRPr="00EC0229">
        <w:rPr>
          <w:rStyle w:val="FootnoteReference"/>
          <w:rFonts w:cs="Times New Roman"/>
          <w:color w:val="000000" w:themeColor="text1"/>
          <w:szCs w:val="24"/>
        </w:rPr>
        <w:footnoteReference w:id="149"/>
      </w:r>
      <w:r w:rsidRPr="00EC0229">
        <w:rPr>
          <w:rFonts w:cs="Times New Roman"/>
          <w:color w:val="000000" w:themeColor="text1"/>
          <w:szCs w:val="24"/>
        </w:rPr>
        <w:t xml:space="preserve"> The land-grants bestowed inalienable food-rents on minsters controlled by their sponsors, an incestuous fiscal mechanism, which, however, facilitated the artistic and scholastic triumphs of the greater minsters. </w:t>
      </w:r>
    </w:p>
    <w:p w14:paraId="696DDEA4" w14:textId="77777777" w:rsidR="003F22F2" w:rsidRPr="00EC0229" w:rsidRDefault="003F22F2" w:rsidP="003F22F2">
      <w:pPr>
        <w:spacing w:line="360" w:lineRule="auto"/>
        <w:rPr>
          <w:rFonts w:cs="Times New Roman"/>
          <w:color w:val="000000" w:themeColor="text1"/>
          <w:szCs w:val="24"/>
        </w:rPr>
      </w:pPr>
      <w:bookmarkStart w:id="87" w:name="Bedeletter"/>
      <w:bookmarkEnd w:id="87"/>
      <w:r w:rsidRPr="00EC0229">
        <w:rPr>
          <w:rFonts w:cs="Times New Roman"/>
          <w:color w:val="000000" w:themeColor="text1"/>
          <w:szCs w:val="24"/>
        </w:rPr>
        <w:t>At the end of the seventh century, as the English Church grew rich and produced masterpieces of literature and architecture, what Bede</w:t>
      </w:r>
      <w:r w:rsidRPr="00EC0229">
        <w:rPr>
          <w:rFonts w:cs="Times New Roman"/>
          <w:color w:val="000000" w:themeColor="text1"/>
          <w:szCs w:val="24"/>
        </w:rPr>
        <w:fldChar w:fldCharType="begin"/>
      </w:r>
      <w:r w:rsidRPr="00EC0229">
        <w:instrText xml:space="preserve"> XE "</w:instrText>
      </w:r>
      <w:r w:rsidRPr="00EC0229">
        <w:rPr>
          <w:bCs/>
          <w:sz w:val="20"/>
          <w:szCs w:val="20"/>
        </w:rPr>
        <w:instrText>Bede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regarded as a corrosive form of land-tenure – </w:t>
      </w:r>
      <w:r w:rsidRPr="00EC0229">
        <w:rPr>
          <w:rFonts w:cs="Times New Roman"/>
          <w:i/>
          <w:color w:val="000000" w:themeColor="text1"/>
          <w:szCs w:val="24"/>
        </w:rPr>
        <w:t>bookland</w:t>
      </w:r>
      <w:r w:rsidRPr="00EC0229">
        <w:rPr>
          <w:rFonts w:cs="Times New Roman"/>
          <w:i/>
          <w:color w:val="000000" w:themeColor="text1"/>
          <w:szCs w:val="24"/>
        </w:rPr>
        <w:fldChar w:fldCharType="begin"/>
      </w:r>
      <w:r w:rsidRPr="00EC0229">
        <w:instrText xml:space="preserve"> XE "</w:instrText>
      </w:r>
      <w:r w:rsidRPr="00EC0229">
        <w:rPr>
          <w:szCs w:val="24"/>
        </w:rPr>
        <w:instrText>bookland</w:instrText>
      </w:r>
      <w:r w:rsidRPr="00EC0229">
        <w:instrText xml:space="preserve">" </w:instrText>
      </w:r>
      <w:r w:rsidRPr="00EC0229">
        <w:rPr>
          <w:rFonts w:cs="Times New Roman"/>
          <w:i/>
          <w:color w:val="000000" w:themeColor="text1"/>
          <w:szCs w:val="24"/>
        </w:rPr>
        <w:fldChar w:fldCharType="end"/>
      </w:r>
      <w:r w:rsidRPr="00EC0229">
        <w:rPr>
          <w:rFonts w:cs="Times New Roman"/>
          <w:color w:val="000000" w:themeColor="text1"/>
          <w:szCs w:val="24"/>
        </w:rPr>
        <w:t>, which freed the founder from religious and secular duties - was embraced by the lower aristocracy</w:t>
      </w:r>
      <w:r w:rsidRPr="00EC0229">
        <w:rPr>
          <w:rFonts w:cs="Times New Roman"/>
          <w:color w:val="000000" w:themeColor="text1"/>
          <w:szCs w:val="24"/>
        </w:rPr>
        <w:fldChar w:fldCharType="begin"/>
      </w:r>
      <w:r w:rsidRPr="00EC0229">
        <w:instrText xml:space="preserve"> XE "</w:instrText>
      </w:r>
      <w:r w:rsidRPr="00EC0229">
        <w:rPr>
          <w:rFonts w:cs="Times New Roman"/>
          <w:szCs w:val="24"/>
        </w:rPr>
        <w:instrText>aristocracy</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smaller minsters proliferated, there being at least two hundred by the end of the eighth century.</w:t>
      </w:r>
      <w:r w:rsidRPr="00EC0229">
        <w:rPr>
          <w:rStyle w:val="FootnoteReference"/>
          <w:rFonts w:cs="Times New Roman"/>
          <w:color w:val="000000" w:themeColor="text1"/>
          <w:szCs w:val="24"/>
        </w:rPr>
        <w:footnoteReference w:id="150"/>
      </w:r>
      <w:r w:rsidRPr="00EC0229">
        <w:rPr>
          <w:rFonts w:cs="Times New Roman"/>
          <w:color w:val="000000" w:themeColor="text1"/>
          <w:szCs w:val="24"/>
        </w:rPr>
        <w:t xml:space="preserve"> Shortly before his death in 734, Bede fulminated about the subversion of the monastic culture in his famous letter to Ecgberht</w:t>
      </w:r>
      <w:r w:rsidRPr="00EC0229">
        <w:rPr>
          <w:rFonts w:cs="Times New Roman"/>
          <w:color w:val="000000" w:themeColor="text1"/>
          <w:szCs w:val="24"/>
        </w:rPr>
        <w:fldChar w:fldCharType="begin"/>
      </w:r>
      <w:r w:rsidRPr="00EC0229">
        <w:instrText xml:space="preserve"> XE "Ecgberht" </w:instrText>
      </w:r>
      <w:r w:rsidRPr="00EC0229">
        <w:rPr>
          <w:rFonts w:cs="Times New Roman"/>
          <w:color w:val="000000" w:themeColor="text1"/>
          <w:szCs w:val="24"/>
        </w:rPr>
        <w:fldChar w:fldCharType="end"/>
      </w:r>
      <w:r w:rsidRPr="00EC0229">
        <w:rPr>
          <w:rFonts w:cs="Times New Roman"/>
          <w:color w:val="000000" w:themeColor="text1"/>
          <w:szCs w:val="24"/>
        </w:rPr>
        <w:t xml:space="preserve">, and no doubt this applied equally to </w:t>
      </w:r>
      <w:r w:rsidRPr="00EC0229">
        <w:rPr>
          <w:rFonts w:cs="Times New Roman"/>
          <w:color w:val="000000" w:themeColor="text1"/>
          <w:szCs w:val="24"/>
        </w:rPr>
        <w:lastRenderedPageBreak/>
        <w:t>the other kingdoms.</w:t>
      </w:r>
      <w:r w:rsidRPr="00EC0229">
        <w:rPr>
          <w:rStyle w:val="FootnoteReference"/>
          <w:rFonts w:cs="Times New Roman"/>
          <w:color w:val="000000" w:themeColor="text1"/>
          <w:szCs w:val="24"/>
        </w:rPr>
        <w:footnoteReference w:id="151"/>
      </w:r>
      <w:r w:rsidRPr="00EC0229">
        <w:rPr>
          <w:rFonts w:cs="Times New Roman"/>
          <w:color w:val="000000" w:themeColor="text1"/>
          <w:szCs w:val="24"/>
        </w:rPr>
        <w:t xml:space="preserve"> Bede’s ire is reserved not for fiscal manipulation but for the failure of the family minsters to meet his standards of observance and their compromised integrity having accepted patronage.</w:t>
      </w:r>
      <w:r w:rsidRPr="00EC0229">
        <w:rPr>
          <w:rStyle w:val="FootnoteReference"/>
          <w:rFonts w:cs="Times New Roman"/>
          <w:color w:val="000000" w:themeColor="text1"/>
          <w:szCs w:val="24"/>
        </w:rPr>
        <w:footnoteReference w:id="152"/>
      </w:r>
      <w:r w:rsidRPr="00EC0229">
        <w:rPr>
          <w:rFonts w:cs="Times New Roman"/>
          <w:color w:val="000000" w:themeColor="text1"/>
          <w:szCs w:val="24"/>
        </w:rPr>
        <w:t xml:space="preserve"> After all, he had tolerated thirty years of Aldfrith</w:t>
      </w:r>
      <w:r w:rsidRPr="00EC0229">
        <w:rPr>
          <w:rFonts w:cs="Times New Roman"/>
          <w:color w:val="000000" w:themeColor="text1"/>
          <w:szCs w:val="24"/>
        </w:rPr>
        <w:fldChar w:fldCharType="begin"/>
      </w:r>
      <w:r w:rsidRPr="00EC0229">
        <w:instrText xml:space="preserve"> XE "Aldfrith" </w:instrText>
      </w:r>
      <w:r w:rsidRPr="00EC0229">
        <w:rPr>
          <w:rFonts w:cs="Times New Roman"/>
          <w:color w:val="000000" w:themeColor="text1"/>
          <w:szCs w:val="24"/>
        </w:rPr>
        <w:fldChar w:fldCharType="end"/>
      </w:r>
      <w:r w:rsidRPr="00EC0229">
        <w:rPr>
          <w:rFonts w:cs="Times New Roman"/>
          <w:color w:val="000000" w:themeColor="text1"/>
          <w:szCs w:val="24"/>
        </w:rPr>
        <w:t>’s dissolute and incompetent successors. However, despite Bede’s narrow perspective and sweeping condemnation, this transfer of capital assets was economically dynamic. It injected previously dormant wealth into the economy</w:t>
      </w:r>
      <w:r w:rsidRPr="00EC0229">
        <w:rPr>
          <w:rFonts w:cs="Times New Roman"/>
          <w:color w:val="000000" w:themeColor="text1"/>
          <w:szCs w:val="24"/>
        </w:rPr>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which, dispersed widely both geographically and socially, was the springboard for a ‘take-off into sustained growth’.</w:t>
      </w:r>
      <w:r w:rsidRPr="00EC0229">
        <w:rPr>
          <w:rStyle w:val="FootnoteReference"/>
          <w:rFonts w:cs="Times New Roman"/>
          <w:color w:val="000000" w:themeColor="text1"/>
          <w:szCs w:val="24"/>
        </w:rPr>
        <w:footnoteReference w:id="153"/>
      </w:r>
      <w:r w:rsidRPr="00EC0229">
        <w:rPr>
          <w:rFonts w:cs="Times New Roman"/>
          <w:color w:val="000000" w:themeColor="text1"/>
          <w:szCs w:val="24"/>
        </w:rPr>
        <w:t xml:space="preserve"> While Bede complained that land that may have supported young warriors had been eliminated, diverting their energy into alternative employment may have been productive.</w:t>
      </w:r>
      <w:r w:rsidRPr="00EC0229">
        <w:rPr>
          <w:rStyle w:val="FootnoteReference"/>
          <w:rFonts w:cs="Times New Roman"/>
          <w:color w:val="000000" w:themeColor="text1"/>
          <w:szCs w:val="24"/>
        </w:rPr>
        <w:footnoteReference w:id="154"/>
      </w:r>
      <w:r w:rsidRPr="00EC0229">
        <w:rPr>
          <w:rFonts w:cs="Times New Roman"/>
          <w:color w:val="000000" w:themeColor="text1"/>
          <w:szCs w:val="24"/>
        </w:rPr>
        <w:t xml:space="preserve"> Many of Bede’s proposed reforms were, in fact, eventually implemented in the </w:t>
      </w:r>
      <w:r w:rsidRPr="00EC0229">
        <w:rPr>
          <w:rFonts w:cs="Times New Roman"/>
          <w:i/>
          <w:color w:val="000000" w:themeColor="text1"/>
          <w:szCs w:val="24"/>
        </w:rPr>
        <w:t>Clofesho</w:t>
      </w:r>
      <w:r w:rsidRPr="00EC0229">
        <w:rPr>
          <w:rFonts w:cs="Times New Roman"/>
          <w:color w:val="000000" w:themeColor="text1"/>
          <w:szCs w:val="24"/>
        </w:rPr>
        <w:t xml:space="preserve"> canons of 747, including extending the authority of bishops over private minsters.</w:t>
      </w:r>
      <w:r w:rsidRPr="00EC0229">
        <w:rPr>
          <w:rStyle w:val="FootnoteReference"/>
          <w:rFonts w:cs="Times New Roman"/>
          <w:color w:val="000000" w:themeColor="text1"/>
          <w:szCs w:val="24"/>
        </w:rPr>
        <w:footnoteReference w:id="155"/>
      </w:r>
      <w:r w:rsidRPr="00EC0229">
        <w:rPr>
          <w:rFonts w:cs="Times New Roman"/>
          <w:color w:val="000000" w:themeColor="text1"/>
          <w:szCs w:val="24"/>
        </w:rPr>
        <w:t xml:space="preserve"> </w:t>
      </w:r>
    </w:p>
    <w:p w14:paraId="37031FEE" w14:textId="77777777" w:rsidR="003F22F2" w:rsidRPr="00EC0229" w:rsidRDefault="003F22F2" w:rsidP="003F22F2">
      <w:pPr>
        <w:spacing w:line="360" w:lineRule="auto"/>
        <w:rPr>
          <w:rFonts w:cs="Times New Roman"/>
          <w:color w:val="FF0000"/>
          <w:szCs w:val="24"/>
        </w:rPr>
      </w:pPr>
      <w:r w:rsidRPr="00EC0229">
        <w:rPr>
          <w:rFonts w:cs="Times New Roman"/>
          <w:color w:val="000000" w:themeColor="text1"/>
          <w:szCs w:val="24"/>
        </w:rPr>
        <w:t>Blair</w:t>
      </w:r>
      <w:r w:rsidRPr="00EC0229">
        <w:rPr>
          <w:rFonts w:cs="Times New Roman"/>
          <w:color w:val="000000" w:themeColor="text1"/>
          <w:szCs w:val="24"/>
        </w:rPr>
        <w:fldChar w:fldCharType="begin"/>
      </w:r>
      <w:r w:rsidRPr="00EC0229">
        <w:instrText xml:space="preserve"> XE "Blair" </w:instrText>
      </w:r>
      <w:r w:rsidRPr="00EC0229">
        <w:rPr>
          <w:rFonts w:cs="Times New Roman"/>
          <w:color w:val="000000" w:themeColor="text1"/>
          <w:szCs w:val="24"/>
        </w:rPr>
        <w:fldChar w:fldCharType="end"/>
      </w:r>
      <w:r w:rsidRPr="00EC0229">
        <w:rPr>
          <w:rFonts w:cs="Times New Roman"/>
          <w:color w:val="000000" w:themeColor="text1"/>
          <w:szCs w:val="24"/>
        </w:rPr>
        <w:t xml:space="preserve"> associated the flowering of the minsters with the era of the sceatta</w:t>
      </w:r>
      <w:r w:rsidRPr="00EC0229">
        <w:rPr>
          <w:rFonts w:cs="Times New Roman"/>
          <w:color w:val="000000" w:themeColor="text1"/>
          <w:szCs w:val="24"/>
        </w:rPr>
        <w:fldChar w:fldCharType="begin"/>
      </w:r>
      <w:r w:rsidRPr="00EC0229">
        <w:instrText xml:space="preserve"> XE "sceatta" </w:instrText>
      </w:r>
      <w:r w:rsidRPr="00EC0229">
        <w:rPr>
          <w:rFonts w:cs="Times New Roman"/>
          <w:color w:val="000000" w:themeColor="text1"/>
          <w:szCs w:val="24"/>
        </w:rPr>
        <w:fldChar w:fldCharType="end"/>
      </w:r>
      <w:r w:rsidRPr="00EC0229">
        <w:rPr>
          <w:rFonts w:cs="Times New Roman"/>
          <w:color w:val="000000" w:themeColor="text1"/>
          <w:szCs w:val="24"/>
        </w:rPr>
        <w:t xml:space="preserve"> coinage. Though other forms of wealth were not extinguished with the demise of the southern sceat, there is a prolonged recession in the third quarter of the century. However, the more successful minsters were economically, the more they were treated as financial pawns. While this ‘largely hidden transition’ caused their decline in the ninth century, they survived as religious centres.</w:t>
      </w:r>
      <w:r w:rsidRPr="00EC0229">
        <w:rPr>
          <w:rStyle w:val="FootnoteReference"/>
          <w:rFonts w:cs="Times New Roman"/>
          <w:color w:val="000000" w:themeColor="text1"/>
          <w:szCs w:val="24"/>
        </w:rPr>
        <w:footnoteReference w:id="156"/>
      </w:r>
      <w:r w:rsidRPr="00EC0229">
        <w:rPr>
          <w:rFonts w:cs="Times New Roman"/>
          <w:color w:val="000000" w:themeColor="text1"/>
          <w:szCs w:val="24"/>
        </w:rPr>
        <w:t xml:space="preserve"> </w:t>
      </w:r>
    </w:p>
    <w:p w14:paraId="0DECCBF3" w14:textId="3773695F" w:rsidR="003F22F2" w:rsidRPr="00EC0229" w:rsidRDefault="003F22F2" w:rsidP="003F22F2">
      <w:pPr>
        <w:spacing w:line="360" w:lineRule="auto"/>
        <w:rPr>
          <w:rFonts w:cs="Times New Roman"/>
          <w:szCs w:val="24"/>
        </w:rPr>
      </w:pPr>
      <w:r w:rsidRPr="00EC0229">
        <w:rPr>
          <w:rFonts w:cs="Times New Roman"/>
          <w:color w:val="000000" w:themeColor="text1"/>
          <w:szCs w:val="24"/>
        </w:rPr>
        <w:t xml:space="preserve">The basic unit of territorial organisation seems to have been a ‘province’ or </w:t>
      </w:r>
      <w:r w:rsidRPr="00EC0229">
        <w:rPr>
          <w:rFonts w:cs="Times New Roman"/>
          <w:i/>
          <w:color w:val="000000" w:themeColor="text1"/>
          <w:szCs w:val="24"/>
        </w:rPr>
        <w:t>regione</w:t>
      </w:r>
      <w:r w:rsidRPr="00EC0229">
        <w:rPr>
          <w:rFonts w:cs="Times New Roman"/>
          <w:color w:val="000000" w:themeColor="text1"/>
          <w:szCs w:val="24"/>
        </w:rPr>
        <w:t>, comparable to the hundred, which was measured in hides responsible for generating food-renders to the king. These territorial divisions may have been suitable for the minsters to dispense pastoral care.</w:t>
      </w:r>
      <w:r w:rsidRPr="00EC0229">
        <w:rPr>
          <w:rStyle w:val="FootnoteReference"/>
          <w:rFonts w:cs="Times New Roman"/>
          <w:color w:val="000000" w:themeColor="text1"/>
          <w:szCs w:val="24"/>
        </w:rPr>
        <w:footnoteReference w:id="157"/>
      </w:r>
      <w:r w:rsidRPr="00EC0229">
        <w:rPr>
          <w:rFonts w:cs="Times New Roman"/>
          <w:color w:val="000000" w:themeColor="text1"/>
          <w:szCs w:val="24"/>
        </w:rPr>
        <w:t xml:space="preserve"> This provided a link between royal and aristocratic land management and ecclesiastical pastoral care, as evidence by the widespread collection of </w:t>
      </w:r>
      <w:r w:rsidRPr="00EC0229">
        <w:rPr>
          <w:rFonts w:cs="Times New Roman"/>
          <w:i/>
          <w:color w:val="000000" w:themeColor="text1"/>
          <w:szCs w:val="24"/>
        </w:rPr>
        <w:t>churchscot</w:t>
      </w:r>
      <w:r w:rsidRPr="00EC0229">
        <w:rPr>
          <w:rFonts w:cs="Times New Roman"/>
          <w:color w:val="000000" w:themeColor="text1"/>
          <w:szCs w:val="24"/>
        </w:rPr>
        <w:t>.</w:t>
      </w:r>
      <w:r w:rsidRPr="00EC0229">
        <w:rPr>
          <w:rFonts w:cs="Times New Roman"/>
          <w:color w:val="000000" w:themeColor="text1"/>
          <w:szCs w:val="24"/>
        </w:rPr>
        <w:fldChar w:fldCharType="begin"/>
      </w:r>
      <w:r w:rsidRPr="00EC0229">
        <w:instrText xml:space="preserve"> XE "</w:instrText>
      </w:r>
      <w:r w:rsidRPr="00EC0229">
        <w:rPr>
          <w:rFonts w:cs="Times New Roman"/>
          <w:i/>
          <w:color w:val="000000" w:themeColor="text1"/>
          <w:szCs w:val="24"/>
        </w:rPr>
        <w:instrText>churchscot</w:instrText>
      </w:r>
      <w:r w:rsidRPr="00EC0229">
        <w:instrText xml:space="preserve">" </w:instrText>
      </w:r>
      <w:r w:rsidRPr="00EC0229">
        <w:rPr>
          <w:rFonts w:cs="Times New Roman"/>
          <w:color w:val="000000" w:themeColor="text1"/>
          <w:szCs w:val="24"/>
        </w:rPr>
        <w:fldChar w:fldCharType="end"/>
      </w:r>
      <w:r w:rsidRPr="00EC0229">
        <w:rPr>
          <w:rStyle w:val="FootnoteReference"/>
          <w:rFonts w:cs="Times New Roman"/>
          <w:color w:val="000000" w:themeColor="text1"/>
          <w:szCs w:val="24"/>
        </w:rPr>
        <w:footnoteReference w:id="158"/>
      </w:r>
      <w:r w:rsidRPr="00EC0229">
        <w:rPr>
          <w:rFonts w:cs="Times New Roman"/>
          <w:color w:val="000000" w:themeColor="text1"/>
          <w:szCs w:val="24"/>
        </w:rPr>
        <w:t xml:space="preserve"> Blair</w:t>
      </w:r>
      <w:r w:rsidRPr="00EC0229">
        <w:rPr>
          <w:rFonts w:cs="Times New Roman"/>
          <w:color w:val="000000" w:themeColor="text1"/>
          <w:szCs w:val="24"/>
        </w:rPr>
        <w:fldChar w:fldCharType="begin"/>
      </w:r>
      <w:r w:rsidRPr="00EC0229">
        <w:instrText xml:space="preserve"> XE "Blair" </w:instrText>
      </w:r>
      <w:r w:rsidRPr="00EC0229">
        <w:rPr>
          <w:rFonts w:cs="Times New Roman"/>
          <w:color w:val="000000" w:themeColor="text1"/>
          <w:szCs w:val="24"/>
        </w:rPr>
        <w:fldChar w:fldCharType="end"/>
      </w:r>
      <w:r w:rsidRPr="00EC0229">
        <w:rPr>
          <w:rFonts w:cs="Times New Roman"/>
          <w:color w:val="000000" w:themeColor="text1"/>
          <w:szCs w:val="24"/>
        </w:rPr>
        <w:t xml:space="preserve"> based his conceptual framework on this: ‘it must have been as easy to know who owed churchscot to which minster as to know who owed food-rent to the royal vill.’</w:t>
      </w:r>
      <w:r w:rsidRPr="00EC0229">
        <w:rPr>
          <w:rStyle w:val="FootnoteReference"/>
          <w:rFonts w:cs="Times New Roman"/>
          <w:color w:val="000000" w:themeColor="text1"/>
          <w:szCs w:val="24"/>
        </w:rPr>
        <w:footnoteReference w:id="159"/>
      </w:r>
      <w:r w:rsidRPr="00EC0229">
        <w:rPr>
          <w:rFonts w:cs="Times New Roman"/>
          <w:color w:val="000000" w:themeColor="text1"/>
          <w:szCs w:val="24"/>
        </w:rPr>
        <w:t xml:space="preserve"> These were reciprocal arrangements whereby the former gave security and the latter ‘sacramental ministrations, preaching and pastoral care.’ Itinerant kings and their retinues travelled within </w:t>
      </w:r>
      <w:r w:rsidRPr="00EC0229">
        <w:rPr>
          <w:rFonts w:cs="Times New Roman"/>
          <w:color w:val="000000" w:themeColor="text1"/>
          <w:szCs w:val="24"/>
        </w:rPr>
        <w:lastRenderedPageBreak/>
        <w:t>manageable bounds to consume the food-rent.</w:t>
      </w:r>
      <w:r w:rsidRPr="00EC0229">
        <w:rPr>
          <w:rStyle w:val="FootnoteReference"/>
          <w:rFonts w:cs="Times New Roman"/>
          <w:color w:val="000000" w:themeColor="text1"/>
          <w:szCs w:val="24"/>
        </w:rPr>
        <w:footnoteReference w:id="160"/>
      </w:r>
      <w:r w:rsidRPr="00EC0229">
        <w:rPr>
          <w:rFonts w:cs="Times New Roman"/>
          <w:color w:val="000000" w:themeColor="text1"/>
          <w:szCs w:val="24"/>
        </w:rPr>
        <w:t xml:space="preserve"> On the ground, it was local priests who gave solidity to this arrangement and perhaps this is consecrated in the stonework at Otley,</w:t>
      </w:r>
      <w:r w:rsidRPr="00EC0229">
        <w:rPr>
          <w:rStyle w:val="FootnoteReference"/>
          <w:rFonts w:cs="Times New Roman"/>
          <w:color w:val="000000" w:themeColor="text1"/>
          <w:szCs w:val="24"/>
        </w:rPr>
        <w:footnoteReference w:id="161"/>
      </w:r>
      <w:r w:rsidRPr="00EC0229">
        <w:rPr>
          <w:rFonts w:cs="Times New Roman"/>
          <w:color w:val="000000" w:themeColor="text1"/>
          <w:szCs w:val="24"/>
        </w:rPr>
        <w:t xml:space="preserve"> Hovingham,</w:t>
      </w:r>
      <w:r w:rsidRPr="00EC0229">
        <w:rPr>
          <w:rStyle w:val="FootnoteReference"/>
          <w:rFonts w:cs="Times New Roman"/>
          <w:color w:val="000000" w:themeColor="text1"/>
          <w:szCs w:val="24"/>
        </w:rPr>
        <w:footnoteReference w:id="162"/>
      </w:r>
      <w:r w:rsidRPr="00EC0229">
        <w:rPr>
          <w:rFonts w:cs="Times New Roman"/>
          <w:color w:val="000000" w:themeColor="text1"/>
          <w:szCs w:val="24"/>
        </w:rPr>
        <w:t xml:space="preserve"> Northallerton, Aldborough and Dewsbury (</w:t>
      </w:r>
      <w:r w:rsidRPr="00EC0229">
        <w:rPr>
          <w:rFonts w:cs="Times New Roman"/>
          <w:color w:val="000000" w:themeColor="text1"/>
          <w:szCs w:val="24"/>
        </w:rPr>
        <w:fldChar w:fldCharType="begin"/>
      </w:r>
      <w:r w:rsidRPr="00EC0229">
        <w:rPr>
          <w:rFonts w:cs="Times New Roman"/>
          <w:color w:val="000000" w:themeColor="text1"/>
          <w:szCs w:val="24"/>
        </w:rPr>
        <w:instrText xml:space="preserve"> REF _Ref430245885 \h  \* MERGEFORMAT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sidRPr="0012026B">
        <w:rPr>
          <w:i/>
          <w:color w:val="000000" w:themeColor="text1"/>
          <w:szCs w:val="24"/>
        </w:rPr>
        <w:t xml:space="preserve">Figure </w:t>
      </w:r>
      <w:r w:rsidR="0012026B" w:rsidRPr="0012026B">
        <w:rPr>
          <w:i/>
          <w:noProof/>
          <w:color w:val="000000" w:themeColor="text1"/>
          <w:szCs w:val="24"/>
        </w:rPr>
        <w:t>2</w:t>
      </w:r>
      <w:r w:rsidRPr="00EC0229">
        <w:rPr>
          <w:rFonts w:cs="Times New Roman"/>
          <w:color w:val="000000" w:themeColor="text1"/>
          <w:szCs w:val="24"/>
        </w:rPr>
        <w:fldChar w:fldCharType="end"/>
      </w:r>
      <w:r w:rsidRPr="00EC0229">
        <w:rPr>
          <w:rFonts w:cs="Times New Roman"/>
          <w:color w:val="000000" w:themeColor="text1"/>
          <w:szCs w:val="24"/>
        </w:rPr>
        <w:t>).</w:t>
      </w:r>
      <w:r w:rsidRPr="00EC0229">
        <w:rPr>
          <w:rStyle w:val="FootnoteReference"/>
          <w:rFonts w:cs="Times New Roman"/>
          <w:color w:val="000000" w:themeColor="text1"/>
          <w:szCs w:val="24"/>
        </w:rPr>
        <w:footnoteReference w:id="163"/>
      </w:r>
      <w:r w:rsidRPr="00EC0229">
        <w:rPr>
          <w:rFonts w:cs="Times New Roman"/>
          <w:color w:val="000000" w:themeColor="text1"/>
          <w:szCs w:val="24"/>
        </w:rPr>
        <w:t xml:space="preserve"> </w:t>
      </w:r>
      <w:r w:rsidRPr="00EC0229">
        <w:rPr>
          <w:rFonts w:cs="Times New Roman"/>
          <w:szCs w:val="24"/>
        </w:rPr>
        <w:t>Sceats were a malleable source of propaganda for them, but were intentionally far from unambiguous iconographically.</w:t>
      </w:r>
    </w:p>
    <w:p w14:paraId="5058DEA0" w14:textId="77777777" w:rsidR="003F22F2" w:rsidRPr="00EC0229" w:rsidRDefault="003F22F2" w:rsidP="003F22F2">
      <w:pPr>
        <w:pStyle w:val="NoSpacing"/>
        <w:spacing w:line="360" w:lineRule="auto"/>
        <w:jc w:val="center"/>
        <w:rPr>
          <w:rFonts w:cs="Times New Roman"/>
          <w:szCs w:val="24"/>
        </w:rPr>
      </w:pPr>
      <w:r w:rsidRPr="00EC0229">
        <w:rPr>
          <w:rFonts w:cs="Times New Roman"/>
          <w:noProof/>
          <w:szCs w:val="24"/>
          <w:lang w:eastAsia="en-GB"/>
        </w:rPr>
        <w:drawing>
          <wp:inline distT="0" distB="0" distL="0" distR="0" wp14:anchorId="24F1DB87" wp14:editId="6D7FA1A2">
            <wp:extent cx="1800032" cy="16212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wsbury 01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0032" cy="1621262"/>
                    </a:xfrm>
                    <a:prstGeom prst="rect">
                      <a:avLst/>
                    </a:prstGeom>
                  </pic:spPr>
                </pic:pic>
              </a:graphicData>
            </a:graphic>
          </wp:inline>
        </w:drawing>
      </w:r>
      <w:r w:rsidRPr="00EC0229">
        <w:rPr>
          <w:rFonts w:cs="Times New Roman"/>
          <w:szCs w:val="24"/>
        </w:rPr>
        <w:tab/>
      </w:r>
      <w:r w:rsidRPr="00EC0229">
        <w:rPr>
          <w:rFonts w:cs="Times New Roman"/>
          <w:szCs w:val="24"/>
        </w:rPr>
        <w:tab/>
      </w:r>
      <w:r w:rsidRPr="00EC0229">
        <w:rPr>
          <w:rFonts w:cs="Times New Roman"/>
          <w:noProof/>
          <w:szCs w:val="24"/>
          <w:lang w:eastAsia="en-GB"/>
        </w:rPr>
        <w:drawing>
          <wp:inline distT="0" distB="0" distL="0" distR="0" wp14:anchorId="5468AAA7" wp14:editId="4E67AA99">
            <wp:extent cx="3438932" cy="122351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ley Parish Church.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37386" cy="1258542"/>
                    </a:xfrm>
                    <a:prstGeom prst="rect">
                      <a:avLst/>
                    </a:prstGeom>
                  </pic:spPr>
                </pic:pic>
              </a:graphicData>
            </a:graphic>
          </wp:inline>
        </w:drawing>
      </w:r>
    </w:p>
    <w:p w14:paraId="7C61868C" w14:textId="06FD9958" w:rsidR="003F22F2" w:rsidRPr="00EC0229" w:rsidRDefault="003F22F2" w:rsidP="003F22F2">
      <w:pPr>
        <w:spacing w:line="360" w:lineRule="auto"/>
        <w:jc w:val="center"/>
        <w:rPr>
          <w:rFonts w:cs="Times New Roman"/>
          <w:i/>
          <w:sz w:val="20"/>
          <w:szCs w:val="20"/>
        </w:rPr>
      </w:pPr>
      <w:bookmarkStart w:id="88" w:name="_Ref430245885"/>
      <w:bookmarkStart w:id="89" w:name="_Toc468266974"/>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2</w:t>
      </w:r>
      <w:r w:rsidRPr="00EC0229">
        <w:rPr>
          <w:i/>
          <w:sz w:val="20"/>
          <w:szCs w:val="20"/>
        </w:rPr>
        <w:fldChar w:fldCharType="end"/>
      </w:r>
      <w:bookmarkEnd w:id="88"/>
      <w:r w:rsidRPr="00EC0229">
        <w:rPr>
          <w:rFonts w:cs="Times New Roman"/>
          <w:sz w:val="20"/>
          <w:szCs w:val="20"/>
        </w:rPr>
        <w:t>: Sculpture: Dewsbury and Otley</w:t>
      </w:r>
      <w:bookmarkEnd w:id="89"/>
    </w:p>
    <w:p w14:paraId="4473B4AD" w14:textId="77777777" w:rsidR="003F22F2" w:rsidRPr="00EC0229" w:rsidRDefault="003F22F2" w:rsidP="003F22F2">
      <w:pPr>
        <w:pStyle w:val="NoSpacing"/>
        <w:spacing w:line="360" w:lineRule="auto"/>
      </w:pPr>
    </w:p>
    <w:p w14:paraId="25E72897" w14:textId="63F6176D" w:rsidR="003F22F2" w:rsidRPr="00EC0229" w:rsidRDefault="003F22F2" w:rsidP="003F22F2">
      <w:pPr>
        <w:spacing w:line="360" w:lineRule="auto"/>
        <w:rPr>
          <w:rFonts w:cs="Times New Roman"/>
          <w:szCs w:val="24"/>
        </w:rPr>
      </w:pPr>
      <w:r w:rsidRPr="00EC0229">
        <w:rPr>
          <w:rFonts w:cs="Times New Roman"/>
          <w:color w:val="000000" w:themeColor="text1"/>
          <w:szCs w:val="24"/>
        </w:rPr>
        <w:t>The presence of a mother-parish would have given structure to the governance and care of these provinces</w:t>
      </w:r>
      <w:r w:rsidRPr="00EC0229">
        <w:rPr>
          <w:rStyle w:val="FootnoteReference"/>
          <w:rFonts w:cs="Times New Roman"/>
          <w:color w:val="000000" w:themeColor="text1"/>
          <w:szCs w:val="24"/>
        </w:rPr>
        <w:footnoteReference w:id="164"/>
      </w:r>
      <w:r w:rsidRPr="00EC0229">
        <w:rPr>
          <w:rFonts w:cs="Times New Roman"/>
          <w:color w:val="000000" w:themeColor="text1"/>
          <w:szCs w:val="24"/>
        </w:rPr>
        <w:t xml:space="preserve"> and one would expect this to be reflected in the material culture. The significant accumulation of styli at Flixborough</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Flixborough</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sited below a limestone escarpment overlooking the Trent, suggests a minster.</w:t>
      </w:r>
      <w:r w:rsidRPr="00EC0229">
        <w:rPr>
          <w:rStyle w:val="FootnoteReference"/>
          <w:rFonts w:cs="Times New Roman"/>
          <w:color w:val="000000" w:themeColor="text1"/>
          <w:szCs w:val="24"/>
        </w:rPr>
        <w:footnoteReference w:id="165"/>
      </w:r>
      <w:r w:rsidRPr="00EC0229">
        <w:rPr>
          <w:rFonts w:cs="Times New Roman"/>
          <w:color w:val="000000" w:themeColor="text1"/>
          <w:szCs w:val="24"/>
        </w:rPr>
        <w:t xml:space="preserve"> Each may have propagated satellite communities,</w:t>
      </w:r>
      <w:r w:rsidRPr="00EC0229">
        <w:rPr>
          <w:rStyle w:val="FootnoteReference"/>
          <w:rFonts w:cs="Times New Roman"/>
          <w:color w:val="000000" w:themeColor="text1"/>
          <w:szCs w:val="24"/>
        </w:rPr>
        <w:footnoteReference w:id="166"/>
      </w:r>
      <w:r w:rsidRPr="00EC0229">
        <w:rPr>
          <w:rFonts w:cs="Times New Roman"/>
          <w:color w:val="000000" w:themeColor="text1"/>
          <w:szCs w:val="24"/>
        </w:rPr>
        <w:t xml:space="preserve"> many of which remain unearthed, probably of the nature of the ritual-based networks in Hodge’s revised model. In siting minsters, consideration was given to sacral,</w:t>
      </w:r>
      <w:r w:rsidRPr="00EC0229">
        <w:rPr>
          <w:rStyle w:val="FootnoteReference"/>
          <w:rFonts w:cs="Times New Roman"/>
          <w:color w:val="000000" w:themeColor="text1"/>
          <w:szCs w:val="24"/>
        </w:rPr>
        <w:footnoteReference w:id="167"/>
      </w:r>
      <w:r w:rsidRPr="00EC0229">
        <w:rPr>
          <w:rFonts w:cs="Times New Roman"/>
          <w:color w:val="000000" w:themeColor="text1"/>
          <w:szCs w:val="24"/>
        </w:rPr>
        <w:t xml:space="preserve">  topographical and economic considerations, as Blair</w:t>
      </w:r>
      <w:r w:rsidRPr="00EC0229">
        <w:rPr>
          <w:rFonts w:cs="Times New Roman"/>
          <w:color w:val="000000" w:themeColor="text1"/>
          <w:szCs w:val="24"/>
        </w:rPr>
        <w:fldChar w:fldCharType="begin"/>
      </w:r>
      <w:r w:rsidRPr="00EC0229">
        <w:instrText xml:space="preserve"> XE "Blair" </w:instrText>
      </w:r>
      <w:r w:rsidRPr="00EC0229">
        <w:rPr>
          <w:rFonts w:cs="Times New Roman"/>
          <w:color w:val="000000" w:themeColor="text1"/>
          <w:szCs w:val="24"/>
        </w:rPr>
        <w:fldChar w:fldCharType="end"/>
      </w:r>
      <w:r w:rsidRPr="00EC0229">
        <w:rPr>
          <w:rFonts w:cs="Times New Roman"/>
          <w:color w:val="000000" w:themeColor="text1"/>
          <w:szCs w:val="24"/>
        </w:rPr>
        <w:t xml:space="preserve"> stated: ‘as many minsters grew into centres of economic exchange, and eventually into proto-towns, their topographical advantages would prove decisive.’</w:t>
      </w:r>
      <w:r w:rsidRPr="00EC0229">
        <w:rPr>
          <w:rStyle w:val="FootnoteReference"/>
          <w:rFonts w:cs="Times New Roman"/>
          <w:color w:val="000000" w:themeColor="text1"/>
          <w:szCs w:val="24"/>
        </w:rPr>
        <w:footnoteReference w:id="168"/>
      </w:r>
      <w:r w:rsidRPr="00EC0229">
        <w:rPr>
          <w:rFonts w:cs="Times New Roman"/>
          <w:color w:val="000000" w:themeColor="text1"/>
          <w:szCs w:val="24"/>
        </w:rPr>
        <w:t xml:space="preserve"> Clearly, the renders to minsters involved travel of the producer not the consumer as with peripatetic kings on their food-circuits. Indeed, </w:t>
      </w:r>
      <w:r w:rsidRPr="00EC0229">
        <w:rPr>
          <w:rFonts w:cs="Times New Roman"/>
          <w:szCs w:val="24"/>
        </w:rPr>
        <w:t>an increased level of estate management</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estate management</w:instrText>
      </w:r>
      <w:r w:rsidRPr="00EC0229">
        <w:instrText xml:space="preserve">" </w:instrText>
      </w:r>
      <w:r w:rsidRPr="00EC0229">
        <w:rPr>
          <w:rFonts w:cs="Times New Roman"/>
          <w:szCs w:val="24"/>
        </w:rPr>
        <w:fldChar w:fldCharType="end"/>
      </w:r>
      <w:r w:rsidRPr="00EC0229">
        <w:rPr>
          <w:rFonts w:cs="Times New Roman"/>
          <w:szCs w:val="24"/>
        </w:rPr>
        <w:t xml:space="preserve"> was necessary </w:t>
      </w:r>
      <w:r w:rsidR="00BF6095">
        <w:rPr>
          <w:rFonts w:cs="Times New Roman"/>
          <w:szCs w:val="24"/>
        </w:rPr>
        <w:t>to</w:t>
      </w:r>
      <w:r w:rsidRPr="00EC0229">
        <w:rPr>
          <w:rFonts w:cs="Times New Roman"/>
          <w:szCs w:val="24"/>
        </w:rPr>
        <w:t xml:space="preserve"> sustain the conspicuous if not rapacious, consumption</w:t>
      </w:r>
      <w:r w:rsidRPr="00EC0229">
        <w:rPr>
          <w:rStyle w:val="FootnoteReference"/>
          <w:rFonts w:cs="Times New Roman"/>
          <w:szCs w:val="24"/>
        </w:rPr>
        <w:footnoteReference w:id="169"/>
      </w:r>
      <w:r w:rsidRPr="00EC0229">
        <w:rPr>
          <w:rFonts w:cs="Times New Roman"/>
          <w:szCs w:val="24"/>
        </w:rPr>
        <w:t xml:space="preserve"> of minsters.</w:t>
      </w:r>
      <w:r w:rsidRPr="00EC0229">
        <w:rPr>
          <w:rStyle w:val="FootnoteReference"/>
          <w:rFonts w:cs="Times New Roman"/>
          <w:szCs w:val="24"/>
        </w:rPr>
        <w:footnoteReference w:id="170"/>
      </w:r>
      <w:r w:rsidRPr="00EC0229">
        <w:rPr>
          <w:rFonts w:cs="Times New Roman"/>
          <w:szCs w:val="24"/>
        </w:rPr>
        <w:t xml:space="preserve"> The centrality of this institution, with its diversely resourced hinterland</w:t>
      </w:r>
      <w:r w:rsidRPr="00EC0229">
        <w:rPr>
          <w:rFonts w:cs="Times New Roman"/>
          <w:szCs w:val="24"/>
        </w:rPr>
        <w:fldChar w:fldCharType="begin"/>
      </w:r>
      <w:r w:rsidRPr="00EC0229">
        <w:instrText xml:space="preserve"> XE "</w:instrText>
      </w:r>
      <w:r w:rsidRPr="00EC0229">
        <w:rPr>
          <w:rFonts w:cs="Times New Roman"/>
          <w:szCs w:val="24"/>
        </w:rPr>
        <w:instrText>hinterland</w:instrText>
      </w:r>
      <w:r w:rsidRPr="00EC0229">
        <w:instrText xml:space="preserve">" </w:instrText>
      </w:r>
      <w:r w:rsidRPr="00EC0229">
        <w:rPr>
          <w:rFonts w:cs="Times New Roman"/>
          <w:szCs w:val="24"/>
        </w:rPr>
        <w:fldChar w:fldCharType="end"/>
      </w:r>
      <w:r w:rsidRPr="00EC0229">
        <w:rPr>
          <w:rFonts w:cs="Times New Roman"/>
          <w:szCs w:val="24"/>
        </w:rPr>
        <w:t xml:space="preserve">, encouraged a dynamic economic escalation </w:t>
      </w:r>
      <w:r w:rsidRPr="00EC0229">
        <w:rPr>
          <w:rFonts w:cs="Times New Roman"/>
          <w:szCs w:val="24"/>
        </w:rPr>
        <w:lastRenderedPageBreak/>
        <w:t>where technology could be exploited to produce surplus</w:t>
      </w:r>
      <w:r w:rsidRPr="00EC0229">
        <w:rPr>
          <w:rFonts w:cs="Times New Roman"/>
          <w:szCs w:val="24"/>
        </w:rPr>
        <w:fldChar w:fldCharType="begin"/>
      </w:r>
      <w:r w:rsidRPr="00EC0229">
        <w:instrText xml:space="preserve"> XE "surplus"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171"/>
      </w:r>
      <w:r w:rsidRPr="00EC0229">
        <w:rPr>
          <w:rFonts w:cs="Times New Roman"/>
          <w:szCs w:val="24"/>
        </w:rPr>
        <w:t xml:space="preserve"> By 716, Monkwearmouth and Jarrow had nearly 600 ‘brethren’, a significant workforce,</w:t>
      </w:r>
      <w:r w:rsidRPr="00EC0229">
        <w:rPr>
          <w:rStyle w:val="FootnoteReference"/>
          <w:rFonts w:cs="Times New Roman"/>
          <w:szCs w:val="24"/>
        </w:rPr>
        <w:footnoteReference w:id="172"/>
      </w:r>
      <w:r w:rsidRPr="00EC0229">
        <w:rPr>
          <w:rFonts w:cs="Times New Roman"/>
          <w:szCs w:val="24"/>
        </w:rPr>
        <w:t xml:space="preserve"> which, supplemented by specialization and more intensive agrarian and industrial production, signifies an economic arrangement, which, if replicated throughout the landscape</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landscape</w:instrText>
      </w:r>
      <w:r w:rsidRPr="00EC0229">
        <w:instrText xml:space="preserve">" </w:instrText>
      </w:r>
      <w:r w:rsidRPr="00EC0229">
        <w:rPr>
          <w:rFonts w:cs="Times New Roman"/>
          <w:szCs w:val="24"/>
        </w:rPr>
        <w:fldChar w:fldCharType="end"/>
      </w:r>
      <w:r w:rsidRPr="00EC0229">
        <w:rPr>
          <w:rFonts w:cs="Times New Roman"/>
          <w:szCs w:val="24"/>
        </w:rPr>
        <w:t>, was arguably well beyond the capability of a travelling king to manage.</w:t>
      </w:r>
    </w:p>
    <w:p w14:paraId="300CF73B" w14:textId="77777777" w:rsidR="003F22F2" w:rsidRPr="00EC0229" w:rsidRDefault="003F22F2" w:rsidP="003F22F2">
      <w:pPr>
        <w:spacing w:line="360" w:lineRule="auto"/>
        <w:rPr>
          <w:rFonts w:cs="Times New Roman"/>
          <w:szCs w:val="24"/>
        </w:rPr>
      </w:pPr>
      <w:r w:rsidRPr="00EC0229">
        <w:rPr>
          <w:rFonts w:cs="Times New Roman"/>
          <w:szCs w:val="24"/>
        </w:rPr>
        <w:t>Coin finds at minster sites indicate the wealth generated. Aesthetically pleasing artefacts (including Series</w:t>
      </w:r>
      <w:r w:rsidRPr="00EC0229">
        <w:rPr>
          <w:rFonts w:cs="Times New Roman"/>
          <w:szCs w:val="24"/>
        </w:rPr>
        <w:fldChar w:fldCharType="begin"/>
      </w:r>
      <w:r w:rsidRPr="00EC0229">
        <w:instrText xml:space="preserve"> XE "Series" </w:instrText>
      </w:r>
      <w:r w:rsidRPr="00EC0229">
        <w:rPr>
          <w:rFonts w:cs="Times New Roman"/>
          <w:szCs w:val="24"/>
        </w:rPr>
        <w:fldChar w:fldCharType="end"/>
      </w:r>
      <w:r w:rsidRPr="00EC0229">
        <w:rPr>
          <w:rFonts w:cs="Times New Roman"/>
          <w:szCs w:val="24"/>
        </w:rPr>
        <w:t xml:space="preserve"> Q</w:t>
      </w:r>
      <w:r w:rsidRPr="00EC0229">
        <w:rPr>
          <w:rFonts w:cs="Times New Roman"/>
          <w:szCs w:val="24"/>
        </w:rPr>
        <w:fldChar w:fldCharType="begin"/>
      </w:r>
      <w:r w:rsidRPr="00EC0229">
        <w:instrText xml:space="preserve"> XE "Series Q" </w:instrText>
      </w:r>
      <w:r w:rsidRPr="00EC0229">
        <w:rPr>
          <w:rFonts w:cs="Times New Roman"/>
          <w:szCs w:val="24"/>
        </w:rPr>
        <w:fldChar w:fldCharType="end"/>
      </w:r>
      <w:r w:rsidRPr="00EC0229">
        <w:rPr>
          <w:rFonts w:cs="Times New Roman"/>
          <w:szCs w:val="24"/>
        </w:rPr>
        <w:t xml:space="preserve"> sceats, probably the product of an East Anglian</w:t>
      </w:r>
      <w:r w:rsidRPr="00EC0229">
        <w:rPr>
          <w:rFonts w:cs="Times New Roman"/>
          <w:szCs w:val="24"/>
        </w:rPr>
        <w:fldChar w:fldCharType="begin"/>
      </w:r>
      <w:r w:rsidRPr="00EC0229">
        <w:instrText xml:space="preserve"> XE "Anglian" </w:instrText>
      </w:r>
      <w:r w:rsidRPr="00EC0229">
        <w:rPr>
          <w:rFonts w:cs="Times New Roman"/>
          <w:szCs w:val="24"/>
        </w:rPr>
        <w:fldChar w:fldCharType="end"/>
      </w:r>
      <w:r w:rsidRPr="00EC0229">
        <w:rPr>
          <w:rFonts w:cs="Times New Roman"/>
          <w:szCs w:val="24"/>
        </w:rPr>
        <w:t xml:space="preserve"> minster),</w:t>
      </w:r>
      <w:r w:rsidRPr="00EC0229">
        <w:rPr>
          <w:rStyle w:val="FootnoteReference"/>
          <w:rFonts w:cs="Times New Roman"/>
          <w:szCs w:val="24"/>
        </w:rPr>
        <w:footnoteReference w:id="173"/>
      </w:r>
      <w:r w:rsidRPr="00EC0229">
        <w:rPr>
          <w:rFonts w:cs="Times New Roman"/>
          <w:szCs w:val="24"/>
        </w:rPr>
        <w:t xml:space="preserve"> show that the wealth was crafted into luxuries. ‘Pottery, small finds, and especially coins indicate catchment zones on different scales: rather as late medieval England had hierarchies of markets, so the bigger sites may constitute a layer between the long-range trade of the emporia</w:t>
      </w:r>
      <w:r w:rsidRPr="00EC0229">
        <w:rPr>
          <w:rFonts w:cs="Times New Roman"/>
          <w:szCs w:val="24"/>
        </w:rPr>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rPr>
          <w:rFonts w:cs="Times New Roman"/>
          <w:szCs w:val="24"/>
        </w:rPr>
        <w:fldChar w:fldCharType="end"/>
      </w:r>
      <w:r w:rsidRPr="00EC0229">
        <w:rPr>
          <w:rFonts w:cs="Times New Roman"/>
          <w:szCs w:val="24"/>
        </w:rPr>
        <w:t xml:space="preserve"> and the inter-regional and local trade of the lesser ones.’</w:t>
      </w:r>
      <w:r w:rsidRPr="00EC0229">
        <w:rPr>
          <w:rStyle w:val="FootnoteReference"/>
          <w:rFonts w:cs="Times New Roman"/>
          <w:szCs w:val="24"/>
        </w:rPr>
        <w:footnoteReference w:id="174"/>
      </w:r>
    </w:p>
    <w:p w14:paraId="7C756C1F" w14:textId="77777777" w:rsidR="003F22F2" w:rsidRPr="00EC0229" w:rsidRDefault="003F22F2" w:rsidP="003F22F2">
      <w:pPr>
        <w:spacing w:line="360" w:lineRule="auto"/>
      </w:pPr>
      <w:r w:rsidRPr="00EC0229">
        <w:t>Offering sanctuary and refuge conceivably jeopardised the internal sanctity of minsters. Economic activity inevitably exacerbated this, initiating conflicts at various levels, but this is an unavoidable symptom of urbanisation and it is the commercial not religious aspects of early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life which are of concern in this study. Indeed, the secular and sacral – the checks and balances of royal and ecclesiastical spheres of influence - responded to both the dynastic friction and countervailing stability evident in Northumbria</w:t>
      </w:r>
      <w:r w:rsidRPr="00EC0229">
        <w:fldChar w:fldCharType="begin"/>
      </w:r>
      <w:r w:rsidRPr="00EC0229">
        <w:instrText xml:space="preserve"> XE "</w:instrText>
      </w:r>
      <w:r w:rsidRPr="00EC0229">
        <w:rPr>
          <w:b/>
          <w:color w:val="000000" w:themeColor="text1"/>
          <w:sz w:val="56"/>
          <w:szCs w:val="56"/>
        </w:rPr>
        <w:instrText>Northumbria</w:instrText>
      </w:r>
      <w:r w:rsidRPr="00EC0229">
        <w:instrText xml:space="preserve">" </w:instrText>
      </w:r>
      <w:r w:rsidRPr="00EC0229">
        <w:fldChar w:fldCharType="end"/>
      </w:r>
      <w:r w:rsidRPr="00EC0229">
        <w:t xml:space="preserve">’s political dynamic. </w:t>
      </w:r>
    </w:p>
    <w:p w14:paraId="3FC1CB5C" w14:textId="77777777" w:rsidR="003F22F2" w:rsidRPr="00EC0229" w:rsidRDefault="003F22F2" w:rsidP="003F22F2">
      <w:pPr>
        <w:pStyle w:val="NoSpacing"/>
        <w:spacing w:line="360" w:lineRule="auto"/>
      </w:pPr>
    </w:p>
    <w:p w14:paraId="08A36A0F" w14:textId="5D7EAB72" w:rsidR="003F22F2" w:rsidRPr="00EC0229" w:rsidRDefault="003F22F2" w:rsidP="003F22F2">
      <w:pPr>
        <w:pStyle w:val="NoSpacing"/>
        <w:spacing w:line="360" w:lineRule="auto"/>
      </w:pPr>
      <w:r w:rsidRPr="00EC0229">
        <w:t xml:space="preserve">To </w:t>
      </w:r>
      <w:r w:rsidR="00103FB3">
        <w:t>summarize</w:t>
      </w:r>
      <w:r w:rsidRPr="00EC0229">
        <w:t xml:space="preserve">, specific aspects of the disciplines of anthropology, history and archaeology can be drawn upon to explain the development of markets. These provide a broad framework, wherein particular studies and hypotheses lead towards a consideration of </w:t>
      </w:r>
      <w:r w:rsidR="003F2041" w:rsidRPr="00EC0229">
        <w:t>monetiz</w:t>
      </w:r>
      <w:r w:rsidRPr="00EC0229">
        <w:t>ation in sixth- to ninth-century Northumbria.    The major contributions to refining the fundamental principles, attributes and characteristics of the evolution of different forms of money, how and why transitions took place to more sophisticated and versatile forms, and why reversions occurred, will now be assessed. These include Davies on the evolution of money and coinage, Einzig on terms of reference and Metcalf’s application of distributional analysis to identifying the sources of ninth-century coinage in England.</w:t>
      </w:r>
    </w:p>
    <w:p w14:paraId="00286891" w14:textId="77777777" w:rsidR="003F22F2" w:rsidRPr="00EC0229" w:rsidRDefault="003F22F2" w:rsidP="003F22F2">
      <w:pPr>
        <w:pStyle w:val="NoSpacing"/>
        <w:spacing w:line="360" w:lineRule="auto"/>
      </w:pPr>
    </w:p>
    <w:p w14:paraId="27898D45" w14:textId="77777777" w:rsidR="00D311C4" w:rsidRDefault="00D311C4">
      <w:pPr>
        <w:spacing w:line="259" w:lineRule="auto"/>
        <w:jc w:val="left"/>
        <w:rPr>
          <w:rStyle w:val="Heading2Char"/>
          <w:rFonts w:eastAsiaTheme="majorEastAsia" w:cstheme="majorBidi"/>
          <w:sz w:val="24"/>
          <w:szCs w:val="24"/>
        </w:rPr>
      </w:pPr>
      <w:bookmarkStart w:id="90" w:name="Economic"/>
      <w:bookmarkStart w:id="91" w:name="_Toc464823815"/>
      <w:bookmarkEnd w:id="90"/>
      <w:r>
        <w:rPr>
          <w:rStyle w:val="Heading2Char"/>
          <w:b w:val="0"/>
          <w:sz w:val="24"/>
          <w:szCs w:val="24"/>
        </w:rPr>
        <w:br w:type="page"/>
      </w:r>
    </w:p>
    <w:p w14:paraId="29402F1C" w14:textId="302571C0" w:rsidR="003F22F2" w:rsidRPr="006353B5" w:rsidRDefault="003F22F2" w:rsidP="008367C7">
      <w:pPr>
        <w:pStyle w:val="Heading3"/>
        <w:numPr>
          <w:ilvl w:val="2"/>
          <w:numId w:val="17"/>
        </w:numPr>
        <w:ind w:left="709"/>
        <w:rPr>
          <w:b w:val="0"/>
        </w:rPr>
      </w:pPr>
      <w:bookmarkStart w:id="92" w:name="_Toc468266744"/>
      <w:r w:rsidRPr="006353B5">
        <w:rPr>
          <w:rStyle w:val="Heading2Char"/>
          <w:b/>
          <w:sz w:val="24"/>
          <w:szCs w:val="24"/>
        </w:rPr>
        <w:lastRenderedPageBreak/>
        <w:t>The Economic Perspective: Glyn Davies</w:t>
      </w:r>
      <w:r w:rsidRPr="006353B5">
        <w:rPr>
          <w:rStyle w:val="Heading2Char"/>
          <w:b/>
          <w:sz w:val="24"/>
          <w:szCs w:val="24"/>
        </w:rPr>
        <w:fldChar w:fldCharType="begin"/>
      </w:r>
      <w:r w:rsidRPr="006353B5">
        <w:rPr>
          <w:rStyle w:val="Heading2Char"/>
          <w:b/>
          <w:sz w:val="24"/>
          <w:szCs w:val="24"/>
        </w:rPr>
        <w:instrText xml:space="preserve"> XE "Davies" </w:instrText>
      </w:r>
      <w:r w:rsidRPr="006353B5">
        <w:rPr>
          <w:rStyle w:val="Heading2Char"/>
          <w:b/>
          <w:sz w:val="24"/>
          <w:szCs w:val="24"/>
        </w:rPr>
        <w:fldChar w:fldCharType="end"/>
      </w:r>
      <w:r w:rsidRPr="006353B5">
        <w:rPr>
          <w:rStyle w:val="Heading2Char"/>
          <w:b/>
          <w:sz w:val="24"/>
          <w:szCs w:val="24"/>
        </w:rPr>
        <w:t xml:space="preserve"> (1919-2003)</w:t>
      </w:r>
      <w:bookmarkEnd w:id="91"/>
      <w:bookmarkEnd w:id="92"/>
    </w:p>
    <w:p w14:paraId="1E5C1400" w14:textId="3F317DD5" w:rsidR="003F22F2" w:rsidRPr="00EC0229" w:rsidRDefault="003F22F2" w:rsidP="003F22F2">
      <w:pPr>
        <w:pStyle w:val="NoSpacing"/>
        <w:spacing w:line="360" w:lineRule="auto"/>
      </w:pPr>
      <w:r w:rsidRPr="00EC0229">
        <w:t>The evolution of money</w:t>
      </w:r>
      <w:r w:rsidRPr="00EC0229">
        <w:fldChar w:fldCharType="begin"/>
      </w:r>
      <w:r w:rsidRPr="00EC0229">
        <w:instrText xml:space="preserve"> XE "money" </w:instrText>
      </w:r>
      <w:r w:rsidRPr="00EC0229">
        <w:fldChar w:fldCharType="end"/>
      </w:r>
      <w:r w:rsidRPr="00EC0229">
        <w:t xml:space="preserve"> and coinage has been a minority interest among economists, let alone historians. There are several stages of development to consider – the use and forms of barter</w:t>
      </w:r>
      <w:r w:rsidRPr="00EC0229">
        <w:fldChar w:fldCharType="begin"/>
      </w:r>
      <w:r w:rsidRPr="00EC0229">
        <w:instrText xml:space="preserve"> XE "</w:instrText>
      </w:r>
      <w:r w:rsidRPr="00EC0229">
        <w:rPr>
          <w:rFonts w:cs="Times New Roman"/>
          <w:szCs w:val="24"/>
        </w:rPr>
        <w:instrText>barter</w:instrText>
      </w:r>
      <w:r w:rsidRPr="00EC0229">
        <w:instrText xml:space="preserve">" </w:instrText>
      </w:r>
      <w:r w:rsidRPr="00EC0229">
        <w:fldChar w:fldCharType="end"/>
      </w:r>
      <w:r w:rsidRPr="00EC0229">
        <w:t xml:space="preserve"> and commodity money</w:t>
      </w:r>
      <w:r w:rsidRPr="00EC0229">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fldChar w:fldCharType="end"/>
      </w:r>
      <w:r w:rsidRPr="00EC0229">
        <w:t xml:space="preserve"> in early exchange,</w:t>
      </w:r>
      <w:r w:rsidRPr="00EC0229">
        <w:rPr>
          <w:rStyle w:val="FootnoteReference"/>
        </w:rPr>
        <w:footnoteReference w:id="175"/>
      </w:r>
      <w:r w:rsidRPr="00EC0229">
        <w:t xml:space="preserve"> the emergence and purposes of primitive currencies,</w:t>
      </w:r>
      <w:r w:rsidRPr="00EC0229">
        <w:rPr>
          <w:rStyle w:val="FootnoteReference"/>
        </w:rPr>
        <w:footnoteReference w:id="176"/>
      </w:r>
      <w:r w:rsidRPr="00EC0229">
        <w:t xml:space="preserve"> representational currencies, the growth of banking in ancient civilisations and the transmission of all these advances. These stages need not be sequential; there will be significant overlap. However, </w:t>
      </w:r>
      <w:r w:rsidR="00F06E7D">
        <w:t>save a</w:t>
      </w:r>
      <w:r w:rsidRPr="00EC0229">
        <w:t xml:space="preserve"> summary, it is necessary to limit the scope to what may be relevant to the </w:t>
      </w:r>
      <w:r w:rsidRPr="00EC0229">
        <w:rPr>
          <w:i/>
        </w:rPr>
        <w:t xml:space="preserve">re-emergence </w:t>
      </w:r>
      <w:r w:rsidRPr="00EC0229">
        <w:t>of coinage in Anglian</w:t>
      </w:r>
      <w:r w:rsidRPr="00EC0229">
        <w:fldChar w:fldCharType="begin"/>
      </w:r>
      <w:r w:rsidRPr="00EC0229">
        <w:instrText xml:space="preserve"> XE "Anglian" </w:instrText>
      </w:r>
      <w:r w:rsidRPr="00EC0229">
        <w:fldChar w:fldCharType="end"/>
      </w:r>
      <w:r w:rsidRPr="00EC0229">
        <w:t xml:space="preserve"> Northumbria</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t xml:space="preserve">. </w:t>
      </w:r>
    </w:p>
    <w:p w14:paraId="4D780929" w14:textId="77777777" w:rsidR="003F22F2" w:rsidRPr="00EC0229" w:rsidRDefault="003F22F2" w:rsidP="003F22F2">
      <w:pPr>
        <w:pStyle w:val="NoSpacing"/>
        <w:spacing w:line="360" w:lineRule="auto"/>
      </w:pPr>
    </w:p>
    <w:p w14:paraId="11043679" w14:textId="375B955A" w:rsidR="003F22F2" w:rsidRPr="00EC0229" w:rsidRDefault="003F22F2" w:rsidP="003F22F2">
      <w:pPr>
        <w:pStyle w:val="NoSpacing"/>
        <w:spacing w:line="360" w:lineRule="auto"/>
      </w:pPr>
      <w:r w:rsidRPr="00EC0229">
        <w:t>What is opaque in Polanyi</w:t>
      </w:r>
      <w:r w:rsidRPr="00EC0229">
        <w:fldChar w:fldCharType="begin"/>
      </w:r>
      <w:r w:rsidRPr="00EC0229">
        <w:instrText xml:space="preserve"> XE "</w:instrText>
      </w:r>
      <w:r w:rsidRPr="00EC0229">
        <w:rPr>
          <w:rStyle w:val="Hyperlink"/>
          <w:noProof/>
          <w:u w:val="none"/>
        </w:rPr>
        <w:instrText>Polanyi</w:instrText>
      </w:r>
      <w:r w:rsidRPr="00EC0229">
        <w:instrText xml:space="preserve">" </w:instrText>
      </w:r>
      <w:r w:rsidRPr="00EC0229">
        <w:fldChar w:fldCharType="end"/>
      </w:r>
      <w:r w:rsidRPr="00EC0229">
        <w:t xml:space="preserve"> is pellucid in Davies</w:t>
      </w:r>
      <w:r w:rsidRPr="00EC0229">
        <w:fldChar w:fldCharType="begin"/>
      </w:r>
      <w:r w:rsidRPr="00EC0229">
        <w:instrText xml:space="preserve"> XE "</w:instrText>
      </w:r>
      <w:r w:rsidRPr="00EC0229">
        <w:rPr>
          <w:rStyle w:val="Hyperlink"/>
          <w:noProof/>
          <w:u w:val="none"/>
        </w:rPr>
        <w:instrText>Davies</w:instrText>
      </w:r>
      <w:r w:rsidRPr="00EC0229">
        <w:instrText xml:space="preserve">" </w:instrText>
      </w:r>
      <w:r w:rsidRPr="00EC0229">
        <w:fldChar w:fldCharType="end"/>
      </w:r>
      <w:r w:rsidRPr="00EC0229">
        <w:t>. The obscure becomes obvious - possibly because Davies is better anchored in factual evidence. Davies lists ten micro- and macro-economic functions of money</w:t>
      </w:r>
      <w:r w:rsidRPr="00EC0229">
        <w:fldChar w:fldCharType="begin"/>
      </w:r>
      <w:r w:rsidRPr="00EC0229">
        <w:instrText xml:space="preserve"> XE "functions of money" </w:instrText>
      </w:r>
      <w:r w:rsidRPr="00EC0229">
        <w:fldChar w:fldCharType="end"/>
      </w:r>
      <w:r w:rsidRPr="00EC0229">
        <w:rPr>
          <w:rStyle w:val="FootnoteReference"/>
        </w:rPr>
        <w:footnoteReference w:id="177"/>
      </w:r>
      <w:r w:rsidRPr="00EC0229">
        <w:t xml:space="preserve"> (though the list omits some subjective aspects such as propaganda, iconography</w:t>
      </w:r>
      <w:r w:rsidRPr="00EC0229">
        <w:fldChar w:fldCharType="begin"/>
      </w:r>
      <w:r w:rsidRPr="00EC0229">
        <w:instrText xml:space="preserve"> XE "iconography" </w:instrText>
      </w:r>
      <w:r w:rsidRPr="00EC0229">
        <w:fldChar w:fldCharType="end"/>
      </w:r>
      <w:r w:rsidRPr="00EC0229">
        <w:t xml:space="preserve"> and </w:t>
      </w:r>
      <w:r w:rsidRPr="00EC0229">
        <w:rPr>
          <w:i/>
        </w:rPr>
        <w:t>remembering</w:t>
      </w:r>
      <w:r w:rsidRPr="00EC0229">
        <w:rPr>
          <w:rStyle w:val="FootnoteReference"/>
        </w:rPr>
        <w:footnoteReference w:id="178"/>
      </w:r>
      <w:r w:rsidRPr="00EC0229">
        <w:t>) concluding that ‘money</w:t>
      </w:r>
      <w:r w:rsidRPr="00EC0229">
        <w:fldChar w:fldCharType="begin"/>
      </w:r>
      <w:r w:rsidRPr="00EC0229">
        <w:instrText xml:space="preserve"> XE "money" </w:instrText>
      </w:r>
      <w:r w:rsidRPr="00EC0229">
        <w:fldChar w:fldCharType="end"/>
      </w:r>
      <w:r w:rsidRPr="00EC0229">
        <w:t xml:space="preserve"> is eminently fungible’.</w:t>
      </w:r>
      <w:r w:rsidRPr="00EC0229">
        <w:rPr>
          <w:rStyle w:val="FootnoteReference"/>
        </w:rPr>
        <w:footnoteReference w:id="179"/>
      </w:r>
      <w:r w:rsidRPr="00EC0229">
        <w:t xml:space="preserve"> Jevons </w:t>
      </w:r>
      <w:r w:rsidR="004504D2">
        <w:t>characterize</w:t>
      </w:r>
      <w:r w:rsidRPr="00EC0229">
        <w:t>d money as essentially having cognizability, utility, portability, divisibility, indestructability, stability of value and homogeneity.</w:t>
      </w:r>
      <w:r w:rsidRPr="00EC0229">
        <w:rPr>
          <w:rStyle w:val="FootnoteReference"/>
        </w:rPr>
        <w:footnoteReference w:id="180"/>
      </w:r>
      <w:r w:rsidRPr="00EC0229">
        <w:rPr>
          <w:vertAlign w:val="superscript"/>
        </w:rPr>
        <w:t xml:space="preserve"> </w:t>
      </w:r>
      <w:r w:rsidRPr="00EC0229">
        <w:t xml:space="preserve">Beyond this </w:t>
      </w:r>
      <w:r w:rsidR="00BC0BC9" w:rsidRPr="00EC0229">
        <w:t>characteris</w:t>
      </w:r>
      <w:r w:rsidRPr="00EC0229">
        <w:t xml:space="preserve">ation, Davies’ </w:t>
      </w:r>
      <w:r w:rsidRPr="00EC0229">
        <w:rPr>
          <w:rFonts w:cs="Times New Roman"/>
          <w:szCs w:val="24"/>
        </w:rPr>
        <w:t xml:space="preserve">definition is: </w:t>
      </w:r>
      <w:r w:rsidRPr="00EC0229">
        <w:rPr>
          <w:rFonts w:cs="Times New Roman"/>
          <w:i/>
          <w:szCs w:val="24"/>
        </w:rPr>
        <w:t>money is anything that is widely used for making payments and for accounting for debts and credits.</w:t>
      </w:r>
      <w:r w:rsidRPr="00EC0229">
        <w:rPr>
          <w:rFonts w:cs="Times New Roman"/>
          <w:szCs w:val="24"/>
        </w:rPr>
        <w:t xml:space="preserve"> This is here simplified to: </w:t>
      </w:r>
      <w:bookmarkStart w:id="93" w:name="money"/>
      <w:bookmarkEnd w:id="93"/>
      <w:r w:rsidRPr="00EC0229">
        <w:t xml:space="preserve">that which is accepted in resolution of indebtedness. </w:t>
      </w:r>
      <w:r w:rsidRPr="00EC0229">
        <w:rPr>
          <w:i/>
        </w:rPr>
        <w:t>Resolution</w:t>
      </w:r>
      <w:r w:rsidRPr="00EC0229">
        <w:t xml:space="preserve"> is preferred, due to its legalistic connotations, over </w:t>
      </w:r>
      <w:r w:rsidRPr="00EC0229">
        <w:rPr>
          <w:i/>
        </w:rPr>
        <w:t>redemption</w:t>
      </w:r>
      <w:r w:rsidRPr="00EC0229">
        <w:t xml:space="preserve">, even though the religious loading of this word appeals in view of the ecclesiastical iconography and source of many coins of the period and the significance of spiritual redemption. </w:t>
      </w:r>
    </w:p>
    <w:p w14:paraId="69AA8BDB" w14:textId="77777777" w:rsidR="003F22F2" w:rsidRPr="00EC0229" w:rsidRDefault="003F22F2" w:rsidP="003F22F2">
      <w:pPr>
        <w:pStyle w:val="NoSpacing"/>
        <w:spacing w:line="360" w:lineRule="auto"/>
      </w:pPr>
    </w:p>
    <w:p w14:paraId="4EC450D6" w14:textId="164C3C20" w:rsidR="003F22F2" w:rsidRPr="00EC0229" w:rsidRDefault="003F22F2" w:rsidP="003F22F2">
      <w:pPr>
        <w:pStyle w:val="NoSpacing"/>
        <w:spacing w:line="360" w:lineRule="auto"/>
      </w:pPr>
      <w:r w:rsidRPr="00EC0229">
        <w:lastRenderedPageBreak/>
        <w:t>Relevant in this context is Bede</w:t>
      </w:r>
      <w:r w:rsidRPr="00EC0229">
        <w:fldChar w:fldCharType="begin"/>
      </w:r>
      <w:r w:rsidRPr="00EC0229">
        <w:instrText xml:space="preserve"> XE "</w:instrText>
      </w:r>
      <w:r w:rsidRPr="00EC0229">
        <w:rPr>
          <w:bCs/>
          <w:sz w:val="20"/>
          <w:szCs w:val="20"/>
        </w:rPr>
        <w:instrText>Bede</w:instrText>
      </w:r>
      <w:r w:rsidRPr="00EC0229">
        <w:instrText xml:space="preserve">" </w:instrText>
      </w:r>
      <w:r w:rsidRPr="00EC0229">
        <w:fldChar w:fldCharType="end"/>
      </w:r>
      <w:r w:rsidRPr="00EC0229">
        <w:t>’s commendation of Aidan: ‘he distributed gifts of money</w:t>
      </w:r>
      <w:r w:rsidRPr="00EC0229">
        <w:fldChar w:fldCharType="begin"/>
      </w:r>
      <w:r w:rsidRPr="00EC0229">
        <w:instrText xml:space="preserve"> XE "money" </w:instrText>
      </w:r>
      <w:r w:rsidRPr="00EC0229">
        <w:fldChar w:fldCharType="end"/>
      </w:r>
      <w:r w:rsidRPr="00EC0229">
        <w:t xml:space="preserve"> (</w:t>
      </w:r>
      <w:r w:rsidRPr="00EC0229">
        <w:rPr>
          <w:i/>
        </w:rPr>
        <w:t>pecuniarum</w:t>
      </w:r>
      <w:r w:rsidRPr="00EC0229">
        <w:rPr>
          <w:i/>
        </w:rPr>
        <w:fldChar w:fldCharType="begin"/>
      </w:r>
      <w:r w:rsidRPr="00EC0229">
        <w:instrText xml:space="preserve"> XE "</w:instrText>
      </w:r>
      <w:r w:rsidRPr="00EC0229">
        <w:rPr>
          <w:i/>
        </w:rPr>
        <w:instrText>pecuniarum</w:instrText>
      </w:r>
      <w:r w:rsidRPr="00EC0229">
        <w:instrText xml:space="preserve">" </w:instrText>
      </w:r>
      <w:r w:rsidRPr="00EC0229">
        <w:rPr>
          <w:i/>
        </w:rPr>
        <w:fldChar w:fldCharType="end"/>
      </w:r>
      <w:r w:rsidRPr="00EC0229">
        <w:t>) which he received from the rich, either, as we have said, for the use of the poor or for the redemption (</w:t>
      </w:r>
      <w:r w:rsidRPr="00EC0229">
        <w:rPr>
          <w:i/>
        </w:rPr>
        <w:t>redemptionem</w:t>
      </w:r>
      <w:r w:rsidRPr="00EC0229">
        <w:t>) of those who had been unjustly sold into slavery,’</w:t>
      </w:r>
      <w:r w:rsidRPr="00EC0229">
        <w:rPr>
          <w:rStyle w:val="FootnoteReference"/>
        </w:rPr>
        <w:footnoteReference w:id="181"/>
      </w:r>
      <w:r w:rsidRPr="00EC0229">
        <w:t xml:space="preserve"> though as Aidan died in 651, the precise form of </w:t>
      </w:r>
      <w:r w:rsidRPr="00EC0229">
        <w:rPr>
          <w:i/>
        </w:rPr>
        <w:t>pecuniarum</w:t>
      </w:r>
      <w:r w:rsidRPr="00EC0229">
        <w:t xml:space="preserve"> is uncertain as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coin may be an inappropriate medium for these purposes. Bede’s use of ‘money’ seems anachronistic; the correct translation is </w:t>
      </w:r>
      <w:r w:rsidRPr="00EC0229">
        <w:rPr>
          <w:i/>
        </w:rPr>
        <w:t>wealth</w:t>
      </w:r>
      <w:r w:rsidRPr="00EC0229">
        <w:t xml:space="preserve"> as shown in his example of the alms donation by Aidan of a horse gifted him by King Oswin,</w:t>
      </w:r>
      <w:r w:rsidRPr="00EC0229">
        <w:rPr>
          <w:rStyle w:val="FootnoteReference"/>
        </w:rPr>
        <w:footnoteReference w:id="182"/>
      </w:r>
      <w:r w:rsidR="00F06E7D">
        <w:t xml:space="preserve"> and</w:t>
      </w:r>
      <w:r w:rsidRPr="00EC0229">
        <w:t xml:space="preserve"> in Bede’s description of the frugality of Colmán and his predecessors (664): ‘They had no money but only cattle: if they received money from the rich they gave it to the poor’.</w:t>
      </w:r>
      <w:r w:rsidRPr="00EC0229">
        <w:rPr>
          <w:rStyle w:val="FootnoteReference"/>
        </w:rPr>
        <w:footnoteReference w:id="183"/>
      </w:r>
      <w:r w:rsidRPr="00EC0229">
        <w:t xml:space="preserve"> </w:t>
      </w:r>
    </w:p>
    <w:p w14:paraId="5C5DFA62" w14:textId="77777777" w:rsidR="003F22F2" w:rsidRPr="00EC0229" w:rsidRDefault="003F22F2" w:rsidP="003F22F2">
      <w:pPr>
        <w:pStyle w:val="NoSpacing"/>
        <w:spacing w:line="360" w:lineRule="auto"/>
      </w:pPr>
    </w:p>
    <w:p w14:paraId="1C5B56DF" w14:textId="77777777" w:rsidR="003F22F2" w:rsidRPr="00EC0229" w:rsidRDefault="003F22F2" w:rsidP="003F22F2">
      <w:pPr>
        <w:pStyle w:val="NoSpacing"/>
        <w:spacing w:line="360" w:lineRule="auto"/>
      </w:pPr>
      <w:r w:rsidRPr="00EC0229">
        <w:t>In introducing his discussion of barter</w:t>
      </w:r>
      <w:r w:rsidRPr="00EC0229">
        <w:fldChar w:fldCharType="begin"/>
      </w:r>
      <w:r w:rsidRPr="00EC0229">
        <w:instrText xml:space="preserve"> XE "</w:instrText>
      </w:r>
      <w:r w:rsidRPr="00EC0229">
        <w:rPr>
          <w:rFonts w:cs="Times New Roman"/>
          <w:szCs w:val="24"/>
        </w:rPr>
        <w:instrText>barter</w:instrText>
      </w:r>
      <w:r w:rsidRPr="00EC0229">
        <w:instrText xml:space="preserve">" </w:instrText>
      </w:r>
      <w:r w:rsidRPr="00EC0229">
        <w:fldChar w:fldCharType="end"/>
      </w:r>
      <w:r w:rsidRPr="00EC0229">
        <w:t>, Davies</w:t>
      </w:r>
      <w:r w:rsidRPr="00EC0229">
        <w:fldChar w:fldCharType="begin"/>
      </w:r>
      <w:r w:rsidRPr="00EC0229">
        <w:instrText xml:space="preserve"> XE "</w:instrText>
      </w:r>
      <w:r w:rsidRPr="00EC0229">
        <w:rPr>
          <w:rStyle w:val="Hyperlink"/>
          <w:noProof/>
          <w:u w:val="none"/>
        </w:rPr>
        <w:instrText>Davies</w:instrText>
      </w:r>
      <w:r w:rsidRPr="00EC0229">
        <w:instrText xml:space="preserve">" </w:instrText>
      </w:r>
      <w:r w:rsidRPr="00EC0229">
        <w:fldChar w:fldCharType="end"/>
      </w:r>
      <w:r w:rsidRPr="00EC0229">
        <w:t xml:space="preserve"> suggested that ‘we know more about barter’s complementary co-existence with money</w:t>
      </w:r>
      <w:r w:rsidRPr="00EC0229">
        <w:fldChar w:fldCharType="begin"/>
      </w:r>
      <w:r w:rsidRPr="00EC0229">
        <w:instrText xml:space="preserve"> XE "money" </w:instrText>
      </w:r>
      <w:r w:rsidRPr="00EC0229">
        <w:fldChar w:fldCharType="end"/>
      </w:r>
      <w:r w:rsidRPr="00EC0229">
        <w:t xml:space="preserve"> than we do about barter in those long, dark, moneyless ages of prehistory’,</w:t>
      </w:r>
      <w:r w:rsidRPr="00EC0229">
        <w:rPr>
          <w:rStyle w:val="FootnoteReference"/>
        </w:rPr>
        <w:t xml:space="preserve"> </w:t>
      </w:r>
      <w:r w:rsidRPr="00EC0229">
        <w:rPr>
          <w:rStyle w:val="FootnoteReference"/>
        </w:rPr>
        <w:footnoteReference w:id="184"/>
      </w:r>
      <w:r w:rsidRPr="00EC0229">
        <w:t xml:space="preserve"> and, as a result, the disadvantages of barter are exaggerated by such as Jevons.</w:t>
      </w:r>
      <w:r w:rsidRPr="00EC0229">
        <w:rPr>
          <w:rStyle w:val="FootnoteReference"/>
        </w:rPr>
        <w:footnoteReference w:id="185"/>
      </w:r>
      <w:r w:rsidRPr="00EC0229">
        <w:t xml:space="preserve"> The vast array of primitive monies is illustrated in Quiggin (1949) and described in Einzig</w:t>
      </w:r>
      <w:r w:rsidRPr="00EC0229">
        <w:fldChar w:fldCharType="begin"/>
      </w:r>
      <w:r w:rsidRPr="00EC0229">
        <w:instrText xml:space="preserve"> XE "</w:instrText>
      </w:r>
      <w:r w:rsidRPr="00EC0229">
        <w:rPr>
          <w:rStyle w:val="Hyperlink"/>
          <w:noProof/>
          <w:u w:val="none"/>
        </w:rPr>
        <w:instrText>Einzig</w:instrText>
      </w:r>
      <w:r w:rsidRPr="00EC0229">
        <w:instrText xml:space="preserve">" </w:instrText>
      </w:r>
      <w:r w:rsidRPr="00EC0229">
        <w:fldChar w:fldCharType="end"/>
      </w:r>
      <w:r w:rsidRPr="00EC0229">
        <w:t>. Einzig attributed the overstatement of the inconvenience of barter to a failure to realise that in a small community, with a limited range of produce, expectations are constrained.</w:t>
      </w:r>
      <w:r w:rsidRPr="00EC0229">
        <w:rPr>
          <w:rStyle w:val="FootnoteReference"/>
        </w:rPr>
        <w:footnoteReference w:id="186"/>
      </w:r>
      <w:r w:rsidRPr="00EC0229">
        <w:t xml:space="preserve"> Primitive currency</w:t>
      </w:r>
      <w:r w:rsidRPr="00EC0229">
        <w:fldChar w:fldCharType="begin"/>
      </w:r>
      <w:r w:rsidRPr="00EC0229">
        <w:instrText xml:space="preserve"> XE "Primitive currency" </w:instrText>
      </w:r>
      <w:r w:rsidRPr="00EC0229">
        <w:fldChar w:fldCharType="end"/>
      </w:r>
      <w:r w:rsidRPr="00EC0229">
        <w:t xml:space="preserve"> marked an evolutionary step from barter to an intermediary artefact, conventionally held in such social esteem as to hold the trust of both sides in a prestige transaction. Typical of such human and social transactions would be those involving a bride or slave, compensation for injury or death, protection, conspicuous ornamentation or ritual ceremony. </w:t>
      </w:r>
    </w:p>
    <w:p w14:paraId="7720779C" w14:textId="77777777" w:rsidR="003F22F2" w:rsidRPr="00EC0229" w:rsidRDefault="003F22F2" w:rsidP="003F22F2">
      <w:pPr>
        <w:pStyle w:val="NoSpacing"/>
        <w:spacing w:line="360" w:lineRule="auto"/>
      </w:pPr>
    </w:p>
    <w:p w14:paraId="33998A44" w14:textId="0E7698A2" w:rsidR="003F22F2" w:rsidRPr="00EC0229" w:rsidRDefault="003F22F2" w:rsidP="003F22F2">
      <w:pPr>
        <w:pStyle w:val="NoSpacing"/>
        <w:spacing w:line="360" w:lineRule="auto"/>
      </w:pPr>
      <w:r w:rsidRPr="00EC0229">
        <w:t>There were no discernible primitive monies in England between the final Roman</w:t>
      </w:r>
      <w:r w:rsidRPr="00EC0229">
        <w:fldChar w:fldCharType="begin"/>
      </w:r>
      <w:r w:rsidRPr="00EC0229">
        <w:instrText xml:space="preserve"> XE "Roman" </w:instrText>
      </w:r>
      <w:r w:rsidRPr="00EC0229">
        <w:fldChar w:fldCharType="end"/>
      </w:r>
      <w:r w:rsidRPr="00EC0229">
        <w:t xml:space="preserve"> and early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coinages.</w:t>
      </w:r>
      <w:r w:rsidRPr="00EC0229">
        <w:rPr>
          <w:rStyle w:val="FootnoteReference"/>
          <w:sz w:val="22"/>
        </w:rPr>
        <w:footnoteReference w:id="187"/>
      </w:r>
      <w:r w:rsidRPr="00EC0229">
        <w:t xml:space="preserve"> From the repertoire of economic tools, this leaves barter</w:t>
      </w:r>
      <w:r w:rsidRPr="00EC0229">
        <w:fldChar w:fldCharType="begin"/>
      </w:r>
      <w:r w:rsidRPr="00EC0229">
        <w:instrText xml:space="preserve"> XE "</w:instrText>
      </w:r>
      <w:r w:rsidRPr="00EC0229">
        <w:rPr>
          <w:rFonts w:cs="Times New Roman"/>
          <w:szCs w:val="24"/>
        </w:rPr>
        <w:instrText>barter</w:instrText>
      </w:r>
      <w:r w:rsidRPr="00EC0229">
        <w:instrText xml:space="preserve">" </w:instrText>
      </w:r>
      <w:r w:rsidRPr="00EC0229">
        <w:fldChar w:fldCharType="end"/>
      </w:r>
      <w:r w:rsidRPr="00EC0229">
        <w:t xml:space="preserve"> and commodity money</w:t>
      </w:r>
      <w:r w:rsidRPr="00EC0229">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fldChar w:fldCharType="end"/>
      </w:r>
      <w:r w:rsidRPr="00EC0229">
        <w:t xml:space="preserve"> as mechanisms to catalyse English exchange, at least during the period </w:t>
      </w:r>
      <w:r w:rsidR="002132F1">
        <w:rPr>
          <w:i/>
        </w:rPr>
        <w:t>c.</w:t>
      </w:r>
      <w:r w:rsidRPr="00EC0229">
        <w:t xml:space="preserve">470 – </w:t>
      </w:r>
      <w:r w:rsidR="002132F1">
        <w:rPr>
          <w:i/>
        </w:rPr>
        <w:t>c.</w:t>
      </w:r>
      <w:r w:rsidRPr="00EC0229">
        <w:t>570, if not a further sixty years on each side.</w:t>
      </w:r>
    </w:p>
    <w:p w14:paraId="245A3071" w14:textId="77777777" w:rsidR="003F22F2" w:rsidRPr="00EC0229" w:rsidRDefault="003F22F2" w:rsidP="003F22F2">
      <w:pPr>
        <w:pStyle w:val="NoSpacing"/>
        <w:spacing w:line="360" w:lineRule="auto"/>
      </w:pPr>
    </w:p>
    <w:p w14:paraId="33011B72" w14:textId="4EBBFBD0" w:rsidR="003F22F2" w:rsidRPr="006353B5" w:rsidRDefault="003F22F2" w:rsidP="008367C7">
      <w:pPr>
        <w:pStyle w:val="Heading3"/>
        <w:numPr>
          <w:ilvl w:val="2"/>
          <w:numId w:val="17"/>
        </w:numPr>
        <w:ind w:left="851" w:hanging="873"/>
        <w:rPr>
          <w:b w:val="0"/>
        </w:rPr>
      </w:pPr>
      <w:bookmarkStart w:id="94" w:name="MonetaryHistorical"/>
      <w:bookmarkStart w:id="95" w:name="_Toc464823816"/>
      <w:bookmarkStart w:id="96" w:name="_Toc468266745"/>
      <w:bookmarkEnd w:id="94"/>
      <w:r w:rsidRPr="006353B5">
        <w:rPr>
          <w:rStyle w:val="Heading2Char"/>
          <w:b/>
          <w:sz w:val="24"/>
          <w:szCs w:val="24"/>
        </w:rPr>
        <w:lastRenderedPageBreak/>
        <w:t>The Monetary Historical Perspective: Paul Einzig</w:t>
      </w:r>
      <w:r w:rsidRPr="006353B5">
        <w:rPr>
          <w:rStyle w:val="Heading2Char"/>
          <w:b/>
          <w:sz w:val="24"/>
          <w:szCs w:val="24"/>
        </w:rPr>
        <w:fldChar w:fldCharType="begin"/>
      </w:r>
      <w:r w:rsidRPr="006353B5">
        <w:rPr>
          <w:rStyle w:val="Heading2Char"/>
          <w:b/>
          <w:sz w:val="24"/>
          <w:szCs w:val="24"/>
        </w:rPr>
        <w:instrText xml:space="preserve"> XE "Einzig" </w:instrText>
      </w:r>
      <w:r w:rsidRPr="006353B5">
        <w:rPr>
          <w:rStyle w:val="Heading2Char"/>
          <w:b/>
          <w:sz w:val="24"/>
          <w:szCs w:val="24"/>
        </w:rPr>
        <w:fldChar w:fldCharType="end"/>
      </w:r>
      <w:r w:rsidRPr="006353B5">
        <w:rPr>
          <w:rStyle w:val="Heading2Char"/>
          <w:b/>
          <w:sz w:val="24"/>
          <w:szCs w:val="24"/>
        </w:rPr>
        <w:t xml:space="preserve"> (1897 – 1973)</w:t>
      </w:r>
      <w:bookmarkEnd w:id="95"/>
      <w:bookmarkEnd w:id="96"/>
    </w:p>
    <w:p w14:paraId="4C86A753" w14:textId="77777777" w:rsidR="003F22F2" w:rsidRPr="00EC0229" w:rsidRDefault="003F22F2" w:rsidP="003F22F2">
      <w:pPr>
        <w:pStyle w:val="ListParagraph"/>
        <w:autoSpaceDE w:val="0"/>
        <w:autoSpaceDN w:val="0"/>
        <w:adjustRightInd w:val="0"/>
        <w:spacing w:after="0" w:line="360" w:lineRule="auto"/>
        <w:ind w:left="786"/>
        <w:jc w:val="right"/>
        <w:rPr>
          <w:rFonts w:cs="Times New Roman"/>
          <w:iCs/>
          <w:sz w:val="17"/>
          <w:szCs w:val="17"/>
        </w:rPr>
      </w:pPr>
      <w:r w:rsidRPr="00EC0229">
        <w:rPr>
          <w:rFonts w:cs="Times New Roman"/>
          <w:iCs/>
          <w:sz w:val="17"/>
          <w:szCs w:val="17"/>
        </w:rPr>
        <w:t>‘… barter</w:t>
      </w:r>
      <w:r w:rsidRPr="00EC0229">
        <w:rPr>
          <w:rFonts w:cs="Times New Roman"/>
          <w:iCs/>
          <w:sz w:val="17"/>
          <w:szCs w:val="17"/>
        </w:rPr>
        <w:fldChar w:fldCharType="begin"/>
      </w:r>
      <w:r w:rsidRPr="00EC0229">
        <w:rPr>
          <w:sz w:val="17"/>
          <w:szCs w:val="17"/>
        </w:rPr>
        <w:instrText xml:space="preserve"> XE "</w:instrText>
      </w:r>
      <w:r w:rsidRPr="00EC0229">
        <w:rPr>
          <w:rFonts w:cs="Times New Roman"/>
          <w:sz w:val="17"/>
          <w:szCs w:val="17"/>
        </w:rPr>
        <w:instrText>barter</w:instrText>
      </w:r>
      <w:r w:rsidRPr="00EC0229">
        <w:rPr>
          <w:sz w:val="17"/>
          <w:szCs w:val="17"/>
        </w:rPr>
        <w:instrText xml:space="preserve">" </w:instrText>
      </w:r>
      <w:r w:rsidRPr="00EC0229">
        <w:rPr>
          <w:rFonts w:cs="Times New Roman"/>
          <w:iCs/>
          <w:sz w:val="17"/>
          <w:szCs w:val="17"/>
        </w:rPr>
        <w:fldChar w:fldCharType="end"/>
      </w:r>
      <w:r w:rsidRPr="00EC0229">
        <w:rPr>
          <w:rFonts w:cs="Times New Roman"/>
          <w:iCs/>
          <w:sz w:val="17"/>
          <w:szCs w:val="17"/>
        </w:rPr>
        <w:t xml:space="preserve"> introduced the use of money</w:t>
      </w:r>
      <w:r w:rsidRPr="00EC0229">
        <w:rPr>
          <w:rFonts w:cs="Times New Roman"/>
          <w:iCs/>
          <w:sz w:val="17"/>
          <w:szCs w:val="17"/>
        </w:rPr>
        <w:fldChar w:fldCharType="begin"/>
      </w:r>
      <w:r w:rsidRPr="00EC0229">
        <w:rPr>
          <w:sz w:val="17"/>
          <w:szCs w:val="17"/>
        </w:rPr>
        <w:instrText xml:space="preserve"> XE "money" </w:instrText>
      </w:r>
      <w:r w:rsidRPr="00EC0229">
        <w:rPr>
          <w:rFonts w:cs="Times New Roman"/>
          <w:iCs/>
          <w:sz w:val="17"/>
          <w:szCs w:val="17"/>
        </w:rPr>
        <w:fldChar w:fldCharType="end"/>
      </w:r>
      <w:r w:rsidRPr="00EC0229">
        <w:rPr>
          <w:rFonts w:cs="Times New Roman"/>
          <w:iCs/>
          <w:sz w:val="17"/>
          <w:szCs w:val="17"/>
        </w:rPr>
        <w:t xml:space="preserve"> … for a convenient place from whence to import what you wanted or to export what you had a surplus</w:t>
      </w:r>
      <w:r w:rsidRPr="00EC0229">
        <w:rPr>
          <w:rFonts w:cs="Times New Roman"/>
          <w:iCs/>
          <w:sz w:val="17"/>
          <w:szCs w:val="17"/>
        </w:rPr>
        <w:fldChar w:fldCharType="begin"/>
      </w:r>
      <w:r w:rsidRPr="00EC0229">
        <w:rPr>
          <w:sz w:val="17"/>
          <w:szCs w:val="17"/>
        </w:rPr>
        <w:instrText xml:space="preserve"> XE "surplus" </w:instrText>
      </w:r>
      <w:r w:rsidRPr="00EC0229">
        <w:rPr>
          <w:rFonts w:cs="Times New Roman"/>
          <w:iCs/>
          <w:sz w:val="17"/>
          <w:szCs w:val="17"/>
        </w:rPr>
        <w:fldChar w:fldCharType="end"/>
      </w:r>
      <w:r w:rsidRPr="00EC0229">
        <w:rPr>
          <w:rFonts w:cs="Times New Roman"/>
          <w:iCs/>
          <w:sz w:val="17"/>
          <w:szCs w:val="17"/>
        </w:rPr>
        <w:t xml:space="preserve"> of being often at a distance, money necessarily made its way into commerce …’</w:t>
      </w:r>
    </w:p>
    <w:p w14:paraId="64CDFCDB" w14:textId="77777777" w:rsidR="003F22F2" w:rsidRPr="00EC0229" w:rsidRDefault="003F22F2" w:rsidP="003F22F2">
      <w:pPr>
        <w:pStyle w:val="ListParagraph"/>
        <w:autoSpaceDE w:val="0"/>
        <w:autoSpaceDN w:val="0"/>
        <w:adjustRightInd w:val="0"/>
        <w:spacing w:after="0" w:line="360" w:lineRule="auto"/>
        <w:ind w:left="786"/>
        <w:jc w:val="right"/>
        <w:rPr>
          <w:rFonts w:cs="Times New Roman"/>
          <w:sz w:val="20"/>
          <w:szCs w:val="20"/>
        </w:rPr>
      </w:pPr>
      <w:r w:rsidRPr="00EC0229">
        <w:rPr>
          <w:rFonts w:cs="Times New Roman"/>
          <w:sz w:val="20"/>
          <w:szCs w:val="20"/>
        </w:rPr>
        <w:t xml:space="preserve">Aristotle, </w:t>
      </w:r>
      <w:r w:rsidRPr="00EC0229">
        <w:rPr>
          <w:rFonts w:cs="Times New Roman"/>
          <w:i/>
          <w:iCs/>
          <w:sz w:val="20"/>
          <w:szCs w:val="20"/>
        </w:rPr>
        <w:t>Politics</w:t>
      </w:r>
      <w:r w:rsidRPr="00EC0229">
        <w:rPr>
          <w:rStyle w:val="FootnoteReference"/>
          <w:rFonts w:cs="Times New Roman"/>
          <w:iCs/>
          <w:sz w:val="20"/>
          <w:szCs w:val="20"/>
        </w:rPr>
        <w:footnoteReference w:id="188"/>
      </w:r>
    </w:p>
    <w:p w14:paraId="4D6A585E" w14:textId="77777777" w:rsidR="003F22F2" w:rsidRPr="00EC0229" w:rsidRDefault="003F22F2" w:rsidP="003F22F2">
      <w:pPr>
        <w:pStyle w:val="NoSpacing"/>
        <w:spacing w:line="360" w:lineRule="auto"/>
        <w:rPr>
          <w:rStyle w:val="BookTitle"/>
        </w:rPr>
      </w:pPr>
      <w:r w:rsidRPr="00EC0229">
        <w:t>Einzig</w:t>
      </w:r>
      <w:r w:rsidRPr="00EC0229">
        <w:fldChar w:fldCharType="begin"/>
      </w:r>
      <w:r w:rsidRPr="00EC0229">
        <w:instrText xml:space="preserve"> XE "</w:instrText>
      </w:r>
      <w:r w:rsidRPr="00EC0229">
        <w:rPr>
          <w:rStyle w:val="Hyperlink"/>
          <w:noProof/>
          <w:u w:val="none"/>
        </w:rPr>
        <w:instrText>Einzig</w:instrText>
      </w:r>
      <w:r w:rsidRPr="00EC0229">
        <w:instrText xml:space="preserve">" </w:instrText>
      </w:r>
      <w:r w:rsidRPr="00EC0229">
        <w:fldChar w:fldCharType="end"/>
      </w:r>
      <w:r w:rsidRPr="00EC0229">
        <w:t xml:space="preserve"> defined </w:t>
      </w:r>
      <w:bookmarkStart w:id="97" w:name="primitivemoney"/>
      <w:bookmarkEnd w:id="97"/>
      <w:r w:rsidRPr="00EC0229">
        <w:t>primitive money</w:t>
      </w:r>
      <w:r w:rsidRPr="00EC0229">
        <w:fldChar w:fldCharType="begin"/>
      </w:r>
      <w:r w:rsidRPr="00EC0229">
        <w:instrText xml:space="preserve"> XE "money" </w:instrText>
      </w:r>
      <w:r w:rsidRPr="00EC0229">
        <w:fldChar w:fldCharType="end"/>
      </w:r>
      <w:r w:rsidRPr="00EC0229">
        <w:t xml:space="preserve"> in a sufficiently elastic way as to accommodate the remarkable variety of such monies, their circumstances and uses: ‘a unit or an object conforming to a reasonable degree to some standard of uniformity, which is employed for reckoning or for making a large proportion of payments customary in the community concerned, and which is accepted in payment with the intention of employing it for making payments.’</w:t>
      </w:r>
      <w:r w:rsidRPr="00EC0229">
        <w:rPr>
          <w:rStyle w:val="FootnoteReference"/>
        </w:rPr>
        <w:footnoteReference w:id="189"/>
      </w:r>
      <w:r w:rsidRPr="00EC0229">
        <w:t xml:space="preserve"> </w:t>
      </w:r>
    </w:p>
    <w:p w14:paraId="03CCDCD4" w14:textId="77777777" w:rsidR="003F22F2" w:rsidRPr="00EC0229" w:rsidRDefault="003F22F2" w:rsidP="003F22F2">
      <w:pPr>
        <w:pStyle w:val="NoSpacing"/>
        <w:spacing w:line="360" w:lineRule="auto"/>
      </w:pPr>
    </w:p>
    <w:p w14:paraId="654059D9" w14:textId="1990C944" w:rsidR="003F22F2" w:rsidRPr="00EC0229" w:rsidRDefault="003F22F2" w:rsidP="003F22F2">
      <w:pPr>
        <w:pStyle w:val="NoSpacing"/>
        <w:spacing w:line="360" w:lineRule="auto"/>
      </w:pPr>
      <w:r w:rsidRPr="00EC0229">
        <w:t xml:space="preserve">He argued that many communities chose their staple product as their currency. His analysis would have benefited from a differentiation between </w:t>
      </w:r>
      <w:r w:rsidRPr="00EC0229">
        <w:rPr>
          <w:i/>
        </w:rPr>
        <w:t>commodity</w:t>
      </w:r>
      <w:r w:rsidRPr="00EC0229">
        <w:t xml:space="preserve"> and </w:t>
      </w:r>
      <w:r w:rsidRPr="00EC0229">
        <w:rPr>
          <w:i/>
        </w:rPr>
        <w:t>primitive</w:t>
      </w:r>
      <w:r w:rsidRPr="00EC0229">
        <w:t xml:space="preserve"> monies. In current parlance, the former is regarded as a local staple product and extracting this subset from the broader definition of primitive money</w:t>
      </w:r>
      <w:r w:rsidRPr="00EC0229">
        <w:fldChar w:fldCharType="begin"/>
      </w:r>
      <w:r w:rsidRPr="00EC0229">
        <w:instrText xml:space="preserve"> XE "money" </w:instrText>
      </w:r>
      <w:r w:rsidRPr="00EC0229">
        <w:fldChar w:fldCharType="end"/>
      </w:r>
      <w:r w:rsidRPr="00EC0229">
        <w:t xml:space="preserve"> clarifies both concepts. He gave a tolerable definition of </w:t>
      </w:r>
      <w:bookmarkStart w:id="98" w:name="commoditymoney"/>
      <w:r w:rsidRPr="00EC0229">
        <w:t>commodity money</w:t>
      </w:r>
      <w:bookmarkEnd w:id="98"/>
      <w:r w:rsidRPr="00EC0229">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fldChar w:fldCharType="end"/>
      </w:r>
      <w:r w:rsidRPr="00EC0229">
        <w:t>:</w:t>
      </w:r>
      <w:r w:rsidRPr="00EC0229">
        <w:rPr>
          <w:rStyle w:val="FootnoteReference"/>
        </w:rPr>
        <w:t xml:space="preserve"> </w:t>
      </w:r>
      <w:r w:rsidRPr="00EC0229">
        <w:t>‘It seems probable that when the growing diversity of goods and services and the advancing division of labour made the use of a medium of exchange</w:t>
      </w:r>
      <w:r w:rsidRPr="00EC0229">
        <w:fldChar w:fldCharType="begin"/>
      </w:r>
      <w:r w:rsidRPr="00EC0229">
        <w:instrText xml:space="preserve"> XE "</w:instrText>
      </w:r>
      <w:r w:rsidRPr="00EC0229">
        <w:rPr>
          <w:rFonts w:cs="Times New Roman"/>
          <w:szCs w:val="24"/>
        </w:rPr>
        <w:instrText>medium of exchange</w:instrText>
      </w:r>
      <w:r w:rsidRPr="00EC0229">
        <w:instrText xml:space="preserve">" </w:instrText>
      </w:r>
      <w:r w:rsidRPr="00EC0229">
        <w:fldChar w:fldCharType="end"/>
      </w:r>
      <w:r w:rsidRPr="00EC0229">
        <w:t xml:space="preserve"> increasingly necessary, the object chosen as an intermediary was very often not a favourite medium of barter</w:t>
      </w:r>
      <w:r w:rsidRPr="00EC0229">
        <w:fldChar w:fldCharType="begin"/>
      </w:r>
      <w:r w:rsidRPr="00EC0229">
        <w:instrText xml:space="preserve"> XE "</w:instrText>
      </w:r>
      <w:r w:rsidRPr="00EC0229">
        <w:rPr>
          <w:rFonts w:cs="Times New Roman"/>
          <w:szCs w:val="24"/>
        </w:rPr>
        <w:instrText>barter</w:instrText>
      </w:r>
      <w:r w:rsidRPr="00EC0229">
        <w:instrText xml:space="preserve">" </w:instrText>
      </w:r>
      <w:r w:rsidRPr="00EC0229">
        <w:fldChar w:fldCharType="end"/>
      </w:r>
      <w:r w:rsidRPr="00EC0229">
        <w:t xml:space="preserve"> but the ready-made medium of payment which was already widely used in the community for non-monetary purposes.’</w:t>
      </w:r>
      <w:r w:rsidRPr="00EC0229">
        <w:rPr>
          <w:rStyle w:val="FootnoteReference"/>
        </w:rPr>
        <w:footnoteReference w:id="190"/>
      </w:r>
      <w:r w:rsidRPr="00EC0229">
        <w:t xml:space="preserve"> Skre</w:t>
      </w:r>
      <w:r w:rsidRPr="00EC0229">
        <w:fldChar w:fldCharType="begin"/>
      </w:r>
      <w:r w:rsidRPr="00EC0229">
        <w:instrText xml:space="preserve"> XE "Skre" </w:instrText>
      </w:r>
      <w:r w:rsidRPr="00EC0229">
        <w:fldChar w:fldCharType="end"/>
      </w:r>
      <w:r w:rsidRPr="00EC0229">
        <w:t xml:space="preserve"> </w:t>
      </w:r>
      <w:r w:rsidR="004504D2">
        <w:t>characterize</w:t>
      </w:r>
      <w:r w:rsidRPr="00EC0229">
        <w:t>d a society most suited to use commodity money as consisting of households self-sufficient in essentials with a surplus</w:t>
      </w:r>
      <w:r w:rsidRPr="00EC0229">
        <w:fldChar w:fldCharType="begin"/>
      </w:r>
      <w:r w:rsidRPr="00EC0229">
        <w:instrText xml:space="preserve"> XE "surplus" </w:instrText>
      </w:r>
      <w:r w:rsidRPr="00EC0229">
        <w:fldChar w:fldCharType="end"/>
      </w:r>
      <w:r w:rsidRPr="00EC0229">
        <w:t xml:space="preserve"> of storable necessities and the ability to exchange subsistence produce with others in times of need; an occasional demand for specialist tools and materials; and an absence of long distance traders.</w:t>
      </w:r>
      <w:r w:rsidRPr="00EC0229">
        <w:rPr>
          <w:rStyle w:val="FootnoteReference"/>
        </w:rPr>
        <w:footnoteReference w:id="191"/>
      </w:r>
      <w:r w:rsidRPr="00EC0229">
        <w:t xml:space="preserve"> Commodity money is very likely to have played an important rôle in the post-Roman</w:t>
      </w:r>
      <w:r w:rsidRPr="00EC0229">
        <w:fldChar w:fldCharType="begin"/>
      </w:r>
      <w:r w:rsidRPr="00EC0229">
        <w:instrText xml:space="preserve"> XE "Roman" </w:instrText>
      </w:r>
      <w:r w:rsidRPr="00EC0229">
        <w:fldChar w:fldCharType="end"/>
      </w:r>
      <w:r w:rsidRPr="00EC0229">
        <w:t xml:space="preserve"> and early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periods. Money became more sophisticated with the need to minimise search and transactions costs.</w:t>
      </w:r>
      <w:r w:rsidRPr="00EC0229">
        <w:rPr>
          <w:rStyle w:val="FootnoteReference"/>
        </w:rPr>
        <w:footnoteReference w:id="192"/>
      </w:r>
    </w:p>
    <w:p w14:paraId="70C3D9CF" w14:textId="77777777" w:rsidR="003F22F2" w:rsidRPr="00EC0229" w:rsidRDefault="003F22F2" w:rsidP="003F22F2">
      <w:pPr>
        <w:pStyle w:val="NoSpacing"/>
        <w:spacing w:line="360" w:lineRule="auto"/>
      </w:pPr>
    </w:p>
    <w:p w14:paraId="2487BD55" w14:textId="77777777" w:rsidR="003F22F2" w:rsidRPr="00EC0229" w:rsidRDefault="003F22F2" w:rsidP="003F22F2">
      <w:pPr>
        <w:pStyle w:val="NoSpacing"/>
        <w:spacing w:line="360" w:lineRule="auto"/>
      </w:pPr>
      <w:r w:rsidRPr="00EC0229">
        <w:t>Einzig</w:t>
      </w:r>
      <w:r w:rsidRPr="00EC0229">
        <w:fldChar w:fldCharType="begin"/>
      </w:r>
      <w:r w:rsidRPr="00EC0229">
        <w:instrText xml:space="preserve"> XE "</w:instrText>
      </w:r>
      <w:r w:rsidRPr="00EC0229">
        <w:rPr>
          <w:rStyle w:val="Hyperlink"/>
          <w:noProof/>
          <w:u w:val="none"/>
        </w:rPr>
        <w:instrText>Einzig</w:instrText>
      </w:r>
      <w:r w:rsidRPr="00EC0229">
        <w:instrText xml:space="preserve">" </w:instrText>
      </w:r>
      <w:r w:rsidRPr="00EC0229">
        <w:fldChar w:fldCharType="end"/>
      </w:r>
      <w:r w:rsidRPr="00EC0229">
        <w:t xml:space="preserve"> recognised some social functions of money</w:t>
      </w:r>
      <w:r w:rsidRPr="00EC0229">
        <w:fldChar w:fldCharType="begin"/>
      </w:r>
      <w:r w:rsidRPr="00EC0229">
        <w:instrText xml:space="preserve"> XE "functions of money" </w:instrText>
      </w:r>
      <w:r w:rsidRPr="00EC0229">
        <w:fldChar w:fldCharType="end"/>
      </w:r>
      <w:r w:rsidRPr="00EC0229">
        <w:t xml:space="preserve"> not previously raised – ornamentation, ceremonial, religious, matrimonial, and political by which he means judicial. His social theory of money</w:t>
      </w:r>
      <w:r w:rsidRPr="00EC0229">
        <w:fldChar w:fldCharType="begin"/>
      </w:r>
      <w:r w:rsidRPr="00EC0229">
        <w:instrText xml:space="preserve"> XE "money" </w:instrText>
      </w:r>
      <w:r w:rsidRPr="00EC0229">
        <w:fldChar w:fldCharType="end"/>
      </w:r>
      <w:r w:rsidRPr="00EC0229">
        <w:t xml:space="preserve"> places him in the substantivist camp.</w:t>
      </w:r>
      <w:r w:rsidRPr="00EC0229">
        <w:rPr>
          <w:rStyle w:val="FootnoteReference"/>
        </w:rPr>
        <w:footnoteReference w:id="193"/>
      </w:r>
    </w:p>
    <w:p w14:paraId="06772559" w14:textId="77777777" w:rsidR="003F22F2" w:rsidRPr="00EC0229" w:rsidRDefault="003F22F2" w:rsidP="003F22F2">
      <w:pPr>
        <w:pStyle w:val="NoSpacing"/>
        <w:spacing w:line="360" w:lineRule="auto"/>
      </w:pPr>
    </w:p>
    <w:p w14:paraId="23E0750A" w14:textId="76E6998E" w:rsidR="003F22F2" w:rsidRPr="006353B5" w:rsidRDefault="003F22F2" w:rsidP="008367C7">
      <w:pPr>
        <w:pStyle w:val="Heading3"/>
        <w:numPr>
          <w:ilvl w:val="2"/>
          <w:numId w:val="17"/>
        </w:numPr>
        <w:ind w:left="709" w:hanging="709"/>
        <w:rPr>
          <w:rFonts w:eastAsiaTheme="minorHAnsi" w:cs="Times New Roman"/>
          <w:b w:val="0"/>
        </w:rPr>
      </w:pPr>
      <w:bookmarkStart w:id="99" w:name="numismatic"/>
      <w:bookmarkStart w:id="100" w:name="_Toc464823817"/>
      <w:bookmarkStart w:id="101" w:name="_Toc468266746"/>
      <w:bookmarkEnd w:id="99"/>
      <w:r w:rsidRPr="006353B5">
        <w:lastRenderedPageBreak/>
        <w:t xml:space="preserve">The Numismatic Perspective on </w:t>
      </w:r>
      <w:r w:rsidR="003F2041" w:rsidRPr="006353B5">
        <w:t>Monetiz</w:t>
      </w:r>
      <w:r w:rsidRPr="006353B5">
        <w:t>ation</w:t>
      </w:r>
      <w:r w:rsidRPr="006353B5">
        <w:fldChar w:fldCharType="begin"/>
      </w:r>
      <w:r w:rsidRPr="006353B5">
        <w:instrText xml:space="preserve"> XE "monetization" </w:instrText>
      </w:r>
      <w:r w:rsidRPr="006353B5">
        <w:fldChar w:fldCharType="end"/>
      </w:r>
      <w:r w:rsidRPr="006353B5">
        <w:t>: Michael Metcalf</w:t>
      </w:r>
      <w:bookmarkEnd w:id="100"/>
      <w:bookmarkEnd w:id="101"/>
      <w:r w:rsidRPr="006353B5">
        <w:rPr>
          <w:rFonts w:eastAsiaTheme="minorHAnsi" w:cs="Times New Roman"/>
          <w:b w:val="0"/>
        </w:rPr>
        <w:fldChar w:fldCharType="begin"/>
      </w:r>
      <w:r w:rsidRPr="006353B5">
        <w:rPr>
          <w:rFonts w:eastAsiaTheme="minorHAnsi" w:cs="Times New Roman"/>
          <w:b w:val="0"/>
        </w:rPr>
        <w:instrText xml:space="preserve"> XE "Metcalf" </w:instrText>
      </w:r>
      <w:r w:rsidRPr="006353B5">
        <w:rPr>
          <w:rFonts w:eastAsiaTheme="minorHAnsi" w:cs="Times New Roman"/>
          <w:b w:val="0"/>
        </w:rPr>
        <w:fldChar w:fldCharType="end"/>
      </w:r>
    </w:p>
    <w:p w14:paraId="74F6D2D4" w14:textId="2B66A50B" w:rsidR="003F22F2" w:rsidRPr="00EC0229" w:rsidRDefault="003F22F2" w:rsidP="003F22F2">
      <w:pPr>
        <w:pStyle w:val="NoSpacing"/>
        <w:spacing w:line="360" w:lineRule="auto"/>
      </w:pPr>
      <w:r w:rsidRPr="00EC0229">
        <w:rPr>
          <w:rFonts w:cs="Times New Roman"/>
          <w:szCs w:val="24"/>
        </w:rPr>
        <w:t xml:space="preserve">Metcalf, former Keeper of the Heberden Room at the Ashmolean Museum, Oxford, is a leading authority on </w:t>
      </w:r>
      <w:r w:rsidRPr="00EC0229">
        <w:rPr>
          <w:rStyle w:val="st"/>
        </w:rPr>
        <w:t xml:space="preserve">sigillography and </w:t>
      </w:r>
      <w:r w:rsidRPr="00EC0229">
        <w:rPr>
          <w:rFonts w:cs="Times New Roman"/>
          <w:szCs w:val="24"/>
        </w:rPr>
        <w:t>early Anglo-Saxon coinage as well as other aspects of numismatics</w:t>
      </w:r>
      <w:r w:rsidR="006237D7" w:rsidRPr="00EC0229">
        <w:rPr>
          <w:rFonts w:cs="Times New Roman"/>
          <w:szCs w:val="24"/>
        </w:rPr>
        <w:t>.</w:t>
      </w:r>
      <w:r w:rsidRPr="00EC0229">
        <w:rPr>
          <w:rFonts w:cs="Times New Roman"/>
          <w:szCs w:val="24"/>
        </w:rPr>
        <w:t xml:space="preserve"> His seminal ‘</w:t>
      </w:r>
      <w:r w:rsidRPr="00EC0229">
        <w:t>Thrymsas and Sceattas in the Ashmolean Museum’</w:t>
      </w:r>
      <w:r w:rsidRPr="00EC0229">
        <w:rPr>
          <w:rStyle w:val="FootnoteReference"/>
        </w:rPr>
        <w:footnoteReference w:id="194"/>
      </w:r>
      <w:r w:rsidRPr="00EC0229">
        <w:t xml:space="preserve"> gave a profound insight into the evolution of different types and their geographical distribution.</w:t>
      </w:r>
    </w:p>
    <w:p w14:paraId="3C02F2D2" w14:textId="77777777" w:rsidR="003F22F2" w:rsidRPr="00EC0229" w:rsidRDefault="003F22F2" w:rsidP="003F22F2">
      <w:pPr>
        <w:pStyle w:val="NoSpacing"/>
        <w:spacing w:line="360" w:lineRule="auto"/>
      </w:pPr>
    </w:p>
    <w:p w14:paraId="582A3A07" w14:textId="66C56D83" w:rsidR="003F22F2" w:rsidRPr="00EC0229" w:rsidRDefault="003F22F2" w:rsidP="003F22F2">
      <w:pPr>
        <w:pStyle w:val="NoSpacing"/>
        <w:spacing w:line="360" w:lineRule="auto"/>
        <w:rPr>
          <w:color w:val="000000" w:themeColor="text1"/>
        </w:rPr>
      </w:pPr>
      <w:r w:rsidRPr="00EC0229">
        <w:t xml:space="preserve">In connection with ninth-century </w:t>
      </w:r>
      <w:r w:rsidR="003F2041" w:rsidRPr="00EC0229">
        <w:t>monetiz</w:t>
      </w:r>
      <w:r w:rsidRPr="00EC0229">
        <w:t>ation</w:t>
      </w:r>
      <w:r w:rsidRPr="00EC0229">
        <w:fldChar w:fldCharType="begin"/>
      </w:r>
      <w:r w:rsidRPr="00EC0229">
        <w:instrText xml:space="preserve"> XE "monetization" </w:instrText>
      </w:r>
      <w:r w:rsidRPr="00EC0229">
        <w:fldChar w:fldCharType="end"/>
      </w:r>
      <w:r w:rsidRPr="00EC0229">
        <w:t>,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in noting the lack of documentary evidence, warned that this ‘has been a matter of historical controversy for the last thirty years and continues to be so…Archaeological evidence of inter-regional transfers of goods does not lend itself very well to quantification and has tended to focus attention on high-status objects.’</w:t>
      </w:r>
      <w:r w:rsidRPr="00EC0229">
        <w:rPr>
          <w:rStyle w:val="FootnoteReference"/>
          <w:color w:val="000000" w:themeColor="text1"/>
        </w:rPr>
        <w:footnoteReference w:id="195"/>
      </w:r>
      <w:r w:rsidRPr="00EC0229">
        <w:rPr>
          <w:color w:val="000000" w:themeColor="text1"/>
        </w:rPr>
        <w:t xml:space="preserve"> </w:t>
      </w:r>
    </w:p>
    <w:p w14:paraId="67011347" w14:textId="77777777" w:rsidR="003F22F2" w:rsidRPr="00EC0229" w:rsidRDefault="003F22F2" w:rsidP="003F22F2">
      <w:pPr>
        <w:pStyle w:val="NoSpacing"/>
        <w:spacing w:line="360" w:lineRule="auto"/>
        <w:rPr>
          <w:color w:val="000000" w:themeColor="text1"/>
        </w:rPr>
      </w:pPr>
    </w:p>
    <w:p w14:paraId="2F4D8AD9" w14:textId="77777777" w:rsidR="003F22F2" w:rsidRPr="00EC0229" w:rsidRDefault="003F22F2" w:rsidP="003F22F2">
      <w:pPr>
        <w:pStyle w:val="NoSpacing"/>
        <w:spacing w:line="360" w:lineRule="auto"/>
        <w:rPr>
          <w:color w:val="000000" w:themeColor="text1"/>
        </w:rPr>
      </w:pPr>
      <w:r w:rsidRPr="00EC0229">
        <w:rPr>
          <w:color w:val="000000" w:themeColor="text1"/>
        </w:rPr>
        <w:t>Metcalf</w:t>
      </w:r>
      <w:r w:rsidRPr="00EC0229">
        <w:rPr>
          <w:color w:val="000000" w:themeColor="text1"/>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color w:val="000000" w:themeColor="text1"/>
        </w:rPr>
        <w:fldChar w:fldCharType="end"/>
      </w:r>
      <w:r w:rsidRPr="00EC0229">
        <w:rPr>
          <w:color w:val="000000" w:themeColor="text1"/>
        </w:rPr>
        <w:t xml:space="preserve"> cautioned that the paucity of historical evidence sets the bar high for numismatic arguments which have to be ‘not just possible but inescapable. This is what gives the debate its special flavour’, each step must be rigorous without incoherence or ambiguities and with a sufficiency of material to be statistically valid.</w:t>
      </w:r>
      <w:r w:rsidRPr="00EC0229">
        <w:rPr>
          <w:rStyle w:val="FootnoteReference"/>
          <w:color w:val="000000" w:themeColor="text1"/>
        </w:rPr>
        <w:t xml:space="preserve"> </w:t>
      </w:r>
      <w:r w:rsidRPr="00EC0229">
        <w:rPr>
          <w:rStyle w:val="FootnoteReference"/>
          <w:color w:val="000000" w:themeColor="text1"/>
        </w:rPr>
        <w:footnoteReference w:id="196"/>
      </w:r>
    </w:p>
    <w:p w14:paraId="4CD46A91" w14:textId="77777777" w:rsidR="003F22F2" w:rsidRPr="00EC0229" w:rsidRDefault="003F22F2" w:rsidP="003F22F2">
      <w:pPr>
        <w:pStyle w:val="NoSpacing"/>
        <w:spacing w:line="360" w:lineRule="auto"/>
      </w:pPr>
    </w:p>
    <w:p w14:paraId="0C091E50" w14:textId="724E2737" w:rsidR="003F22F2" w:rsidRPr="00EC0229" w:rsidRDefault="003F22F2" w:rsidP="003F22F2">
      <w:pPr>
        <w:pStyle w:val="NoSpacing"/>
        <w:spacing w:line="360" w:lineRule="auto"/>
      </w:pPr>
      <w:r w:rsidRPr="00EC0229">
        <w:t xml:space="preserve">In the </w:t>
      </w:r>
      <w:r w:rsidRPr="00EC0229">
        <w:rPr>
          <w:i/>
        </w:rPr>
        <w:t>Epilogue</w:t>
      </w:r>
      <w:r w:rsidRPr="00EC0229">
        <w:t xml:space="preserve"> to </w:t>
      </w:r>
      <w:r w:rsidRPr="00EC0229">
        <w:rPr>
          <w:i/>
        </w:rPr>
        <w:t>BAR</w:t>
      </w:r>
      <w:r w:rsidR="00E25889" w:rsidRPr="00EC0229">
        <w:rPr>
          <w:i/>
        </w:rPr>
        <w:t xml:space="preserve"> </w:t>
      </w:r>
      <w:r w:rsidRPr="00EC0229">
        <w:t>180,</w:t>
      </w:r>
      <w:r w:rsidRPr="00EC0229">
        <w:rPr>
          <w:rStyle w:val="FootnoteReference"/>
        </w:rPr>
        <w:footnoteReference w:id="197"/>
      </w:r>
      <w:r w:rsidRPr="00EC0229">
        <w:t xml:space="preserve"> Brooks highlighted the significance of the volume of production of stycas, warning of the risk of extrapolating from die numbers. He contrasted the known high survival rate with a more cautious view of the scale and function of stycas: ‘unless archaeologists can demonstrate that this distinctive brass coinage did provide a great fillip to the Northumbrian economy</w:t>
      </w:r>
      <w:r w:rsidRPr="00EC0229">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fldChar w:fldCharType="end"/>
      </w:r>
      <w:r w:rsidRPr="00EC0229">
        <w:t>’ the minimalist view that the coins merely served the aristocracy</w:t>
      </w:r>
      <w:r w:rsidRPr="00EC0229">
        <w:fldChar w:fldCharType="begin"/>
      </w:r>
      <w:r w:rsidRPr="00EC0229">
        <w:instrText xml:space="preserve"> XE "</w:instrText>
      </w:r>
      <w:r w:rsidRPr="00EC0229">
        <w:rPr>
          <w:rFonts w:cs="Times New Roman"/>
          <w:szCs w:val="24"/>
        </w:rPr>
        <w:instrText>aristocracy</w:instrText>
      </w:r>
      <w:r w:rsidRPr="00EC0229">
        <w:instrText xml:space="preserve">" </w:instrText>
      </w:r>
      <w:r w:rsidRPr="00EC0229">
        <w:fldChar w:fldCharType="end"/>
      </w:r>
      <w:r w:rsidRPr="00EC0229">
        <w:t xml:space="preserve"> must be considered. He concluded that the ‘great leap forward’ only came with the silver penny</w:t>
      </w:r>
      <w:r w:rsidRPr="00EC0229">
        <w:fldChar w:fldCharType="begin"/>
      </w:r>
      <w:r w:rsidRPr="00EC0229">
        <w:instrText xml:space="preserve"> XE "penny" </w:instrText>
      </w:r>
      <w:r w:rsidRPr="00EC0229">
        <w:fldChar w:fldCharType="end"/>
      </w:r>
      <w:r w:rsidRPr="00EC0229">
        <w:t xml:space="preserve"> issued by the Vikings of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w:t>
      </w:r>
      <w:r w:rsidRPr="00EC0229">
        <w:rPr>
          <w:rStyle w:val="FootnoteReference"/>
        </w:rPr>
        <w:footnoteReference w:id="198"/>
      </w:r>
    </w:p>
    <w:p w14:paraId="54DC8A2D" w14:textId="77777777" w:rsidR="003F22F2" w:rsidRPr="00EC0229" w:rsidRDefault="003F22F2" w:rsidP="003F22F2">
      <w:pPr>
        <w:pStyle w:val="NoSpacing"/>
        <w:spacing w:line="360" w:lineRule="auto"/>
      </w:pPr>
    </w:p>
    <w:p w14:paraId="2BADB325" w14:textId="2D5BBC90" w:rsidR="003F22F2" w:rsidRPr="00EC0229" w:rsidRDefault="003F22F2" w:rsidP="003F22F2">
      <w:pPr>
        <w:pStyle w:val="NoSpacing"/>
        <w:spacing w:line="360" w:lineRule="auto"/>
      </w:pPr>
      <w:r w:rsidRPr="00EC0229">
        <w:t>In response,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 despite describing Brooks’ scepticism as ‘invincible’, set out to demonstrate as ‘inescapable’, independent of arguments on volume, that the pervasive topography of finds, devoid of any obvious pattern of privileged use ‘is strong prima facie evidence of widespread </w:t>
      </w:r>
      <w:r w:rsidR="00A84D10" w:rsidRPr="00EC0229">
        <w:t>monetis</w:t>
      </w:r>
      <w:r w:rsidRPr="00EC0229">
        <w:t>ation</w:t>
      </w:r>
      <w:r w:rsidRPr="00EC0229">
        <w:fldChar w:fldCharType="begin"/>
      </w:r>
      <w:r w:rsidRPr="00EC0229">
        <w:instrText xml:space="preserve"> XE "monetization" </w:instrText>
      </w:r>
      <w:r w:rsidRPr="00EC0229">
        <w:fldChar w:fldCharType="end"/>
      </w:r>
      <w:r w:rsidRPr="00EC0229">
        <w:t xml:space="preserve"> at ordinary social levels’. Clearly, for this view to prevail, ‘randomness is all’.</w:t>
      </w:r>
      <w:r w:rsidRPr="00EC0229">
        <w:rPr>
          <w:rStyle w:val="FootnoteReference"/>
        </w:rPr>
        <w:t xml:space="preserve"> </w:t>
      </w:r>
      <w:r w:rsidRPr="00EC0229">
        <w:rPr>
          <w:rStyle w:val="FootnoteReference"/>
        </w:rPr>
        <w:footnoteReference w:id="199"/>
      </w:r>
    </w:p>
    <w:p w14:paraId="3FA64AD7" w14:textId="61360C3F" w:rsidR="003F22F2" w:rsidRPr="00EC0229" w:rsidRDefault="003F22F2" w:rsidP="003F22F2">
      <w:pPr>
        <w:pStyle w:val="NoSpacing"/>
        <w:spacing w:line="360" w:lineRule="auto"/>
      </w:pPr>
      <w:r w:rsidRPr="00EC0229">
        <w:lastRenderedPageBreak/>
        <w:t>The 450 single finds included in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’s sample are </w:t>
      </w:r>
      <w:r w:rsidR="006C328D" w:rsidRPr="00EC0229">
        <w:t>periodiz</w:t>
      </w:r>
      <w:r w:rsidR="00B45021">
        <w:t xml:space="preserve">ed graphically, </w:t>
      </w:r>
      <w:r w:rsidR="00B45021" w:rsidRPr="00B45021">
        <w:rPr>
          <w:i/>
        </w:rPr>
        <w:t>Graph 3.01</w:t>
      </w:r>
      <w:r w:rsidRPr="00EC0229">
        <w:t>.</w:t>
      </w:r>
      <w:r w:rsidRPr="00EC0229">
        <w:rPr>
          <w:rStyle w:val="FootnoteReference"/>
        </w:rPr>
        <w:t xml:space="preserve"> </w:t>
      </w:r>
      <w:r w:rsidRPr="00EC0229">
        <w:t>Only a handful are from north of the Humber. The longevity of circulation is compensated for, in this representation, by the transfer of a third of the finds to the next period.</w:t>
      </w:r>
      <w:r w:rsidRPr="00EC0229">
        <w:rPr>
          <w:rStyle w:val="FootnoteReference"/>
        </w:rPr>
        <w:t xml:space="preserve"> </w:t>
      </w:r>
      <w:r w:rsidRPr="00EC0229">
        <w:rPr>
          <w:rStyle w:val="FootnoteReference"/>
        </w:rPr>
        <w:footnoteReference w:id="200"/>
      </w:r>
      <w:r w:rsidRPr="00EC0229">
        <w:t xml:space="preserve"> This is a crucial assumption, for it is both the date and durability of the coin that are diagnostic. Durability may be determined by condition but this is not a sure guide when coins have been deposited in chemically active soil.</w:t>
      </w:r>
    </w:p>
    <w:p w14:paraId="6991EB7A" w14:textId="634AF9A9" w:rsidR="003F22F2" w:rsidRPr="00EC0229" w:rsidRDefault="003F22F2" w:rsidP="003F22F2">
      <w:pPr>
        <w:pStyle w:val="NoSpacing"/>
        <w:spacing w:line="360" w:lineRule="auto"/>
        <w:jc w:val="center"/>
      </w:pPr>
    </w:p>
    <w:p w14:paraId="6062A86A" w14:textId="77777777" w:rsidR="003F22F2" w:rsidRPr="00EC0229" w:rsidRDefault="003F22F2" w:rsidP="003F22F2">
      <w:pPr>
        <w:pStyle w:val="NoSpacing"/>
        <w:spacing w:line="360" w:lineRule="auto"/>
      </w:pPr>
      <w:r w:rsidRPr="00EC0229">
        <w:t>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 regarded the downward trend throughout the ninth century as contrary to expectations in the light of increasing Viking</w:t>
      </w:r>
      <w:r w:rsidRPr="00EC0229">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fldChar w:fldCharType="end"/>
      </w:r>
      <w:r w:rsidRPr="00EC0229">
        <w:t xml:space="preserve"> incursions. While single losses, as opposed to hoards, signify the number of transactions (i.e. opportunities for loss) more than the volume of circulation, a more sudden monetary retreat in the face of the threat may be anticipated, but the picture is one of steady, long-term deterioration.</w:t>
      </w:r>
      <w:r w:rsidRPr="00EC0229">
        <w:rPr>
          <w:rStyle w:val="FootnoteReference"/>
        </w:rPr>
        <w:footnoteReference w:id="201"/>
      </w:r>
      <w:r w:rsidRPr="00EC0229">
        <w:t xml:space="preserve"> Metcalf analysed this on a geographical basis to find that it is the mints south of the Thames that are in decline, suggesting a reaction to the growing Viking assaults. This decline did not significantly affect Mercia. That this trend represents a loss of confidence with a likely compensating increase in commodity exchange and informal credit</w:t>
      </w:r>
      <w:r w:rsidRPr="00EC0229">
        <w:fldChar w:fldCharType="begin"/>
      </w:r>
      <w:r w:rsidRPr="00EC0229">
        <w:instrText xml:space="preserve"> XE "credit" </w:instrText>
      </w:r>
      <w:r w:rsidRPr="00EC0229">
        <w:fldChar w:fldCharType="end"/>
      </w:r>
      <w:r w:rsidRPr="00EC0229">
        <w:t>, is beyond conclusive proof. Metcalf’s regression analysis of mints and polities indicated not only that there was a broad mix of coins generally, but also that Canterbury (the dominant mint in the first half of the ninth century), Rochester and London were far more involved in long-distance trade</w:t>
      </w:r>
      <w:r w:rsidRPr="00EC0229">
        <w:fldChar w:fldCharType="begin"/>
      </w:r>
      <w:r w:rsidRPr="00EC0229">
        <w:instrText xml:space="preserve"> XE "</w:instrText>
      </w:r>
      <w:r w:rsidRPr="00EC0229">
        <w:rPr>
          <w:rFonts w:cs="Times New Roman"/>
          <w:szCs w:val="24"/>
        </w:rPr>
        <w:instrText>long-distance trade</w:instrText>
      </w:r>
      <w:r w:rsidRPr="00EC0229">
        <w:instrText xml:space="preserve">" </w:instrText>
      </w:r>
      <w:r w:rsidRPr="00EC0229">
        <w:fldChar w:fldCharType="end"/>
      </w:r>
      <w:r w:rsidRPr="00EC0229">
        <w:t xml:space="preserve"> than those mints in East Anglia or Wessex, which served a more local function.</w:t>
      </w:r>
      <w:r w:rsidRPr="00EC0229">
        <w:rPr>
          <w:rStyle w:val="FootnoteReference"/>
        </w:rPr>
        <w:footnoteReference w:id="202"/>
      </w:r>
      <w:r w:rsidRPr="00EC0229">
        <w:t xml:space="preserve"> These mints were not royal power bases but ports of convenience where incoming currency could be recycled.</w:t>
      </w:r>
      <w:r w:rsidRPr="00EC0229">
        <w:rPr>
          <w:rStyle w:val="FootnoteReference"/>
        </w:rPr>
        <w:footnoteReference w:id="203"/>
      </w:r>
    </w:p>
    <w:p w14:paraId="43E3C492" w14:textId="77777777" w:rsidR="003F22F2" w:rsidRPr="00EC0229" w:rsidRDefault="003F22F2" w:rsidP="003F22F2">
      <w:pPr>
        <w:pStyle w:val="NoSpacing"/>
        <w:spacing w:line="360" w:lineRule="auto"/>
      </w:pPr>
    </w:p>
    <w:p w14:paraId="13F8FB9E" w14:textId="0FE46B86" w:rsidR="003F22F2" w:rsidRPr="00EC0229" w:rsidRDefault="001C3348" w:rsidP="003F22F2">
      <w:pPr>
        <w:pStyle w:val="NoSpacing"/>
        <w:spacing w:line="360" w:lineRule="auto"/>
      </w:pPr>
      <w:r w:rsidRPr="00EC0229">
        <w:t>Two special cases we</w:t>
      </w:r>
      <w:r w:rsidR="003F22F2" w:rsidRPr="00EC0229">
        <w:t>re considered. The first is that of Carolingian</w:t>
      </w:r>
      <w:r w:rsidR="003F22F2" w:rsidRPr="00EC0229">
        <w:fldChar w:fldCharType="begin"/>
      </w:r>
      <w:r w:rsidR="003F22F2" w:rsidRPr="00EC0229">
        <w:instrText xml:space="preserve"> XE "</w:instrText>
      </w:r>
      <w:r w:rsidR="003F22F2" w:rsidRPr="00EC0229">
        <w:rPr>
          <w:rFonts w:cs="Times New Roman"/>
          <w:szCs w:val="24"/>
        </w:rPr>
        <w:instrText>Carolingian</w:instrText>
      </w:r>
      <w:r w:rsidR="003F22F2" w:rsidRPr="00EC0229">
        <w:instrText xml:space="preserve">" </w:instrText>
      </w:r>
      <w:r w:rsidR="003F22F2" w:rsidRPr="00EC0229">
        <w:fldChar w:fldCharType="end"/>
      </w:r>
      <w:r w:rsidR="003F22F2" w:rsidRPr="00EC0229">
        <w:t xml:space="preserve"> finds, where, for example, finds at York</w:t>
      </w:r>
      <w:r w:rsidR="003F22F2" w:rsidRPr="00EC0229">
        <w:fldChar w:fldCharType="begin"/>
      </w:r>
      <w:r w:rsidR="003F22F2" w:rsidRPr="00EC0229">
        <w:instrText xml:space="preserve"> XE "</w:instrText>
      </w:r>
      <w:r w:rsidR="003F22F2" w:rsidRPr="00EC0229">
        <w:rPr>
          <w:rStyle w:val="Hyperlink"/>
          <w:noProof/>
          <w:u w:val="none"/>
        </w:rPr>
        <w:instrText>York</w:instrText>
      </w:r>
      <w:r w:rsidR="003F22F2" w:rsidRPr="00EC0229">
        <w:instrText xml:space="preserve">" </w:instrText>
      </w:r>
      <w:r w:rsidR="003F22F2" w:rsidRPr="00EC0229">
        <w:fldChar w:fldCharType="end"/>
      </w:r>
      <w:r w:rsidR="003F22F2" w:rsidRPr="00EC0229">
        <w:t xml:space="preserve"> fall into the ‘window of opportunity’ prior to Viking</w:t>
      </w:r>
      <w:r w:rsidR="003F22F2" w:rsidRPr="00EC0229">
        <w:fldChar w:fldCharType="begin"/>
      </w:r>
      <w:r w:rsidR="003F22F2" w:rsidRPr="00EC0229">
        <w:instrText xml:space="preserve"> XE "</w:instrText>
      </w:r>
      <w:r w:rsidR="003F22F2" w:rsidRPr="00EC0229">
        <w:rPr>
          <w:rStyle w:val="Hyperlink"/>
          <w:noProof/>
          <w:u w:val="none"/>
        </w:rPr>
        <w:instrText>Viking</w:instrText>
      </w:r>
      <w:r w:rsidR="003F22F2" w:rsidRPr="00EC0229">
        <w:instrText xml:space="preserve">" </w:instrText>
      </w:r>
      <w:r w:rsidR="003F22F2" w:rsidRPr="00EC0229">
        <w:fldChar w:fldCharType="end"/>
      </w:r>
      <w:r w:rsidR="003F22F2" w:rsidRPr="00EC0229">
        <w:t xml:space="preserve"> emissions of pennies. The second case is that of stycas found south of the Humber-Mersey line, where the widespread distribution – coastal, estuarine, riverine and inland – is well beyond areas of immediate Northumbrian influence such as the Irish Sea coast and south Yorkshire/north Lincolnshire and confirms the dissemination in my </w:t>
      </w:r>
      <w:r w:rsidR="00497AC3" w:rsidRPr="00EC0229">
        <w:t>dataset</w:t>
      </w:r>
      <w:r w:rsidR="003F22F2" w:rsidRPr="00EC0229">
        <w:t xml:space="preserve"> described below (</w:t>
      </w:r>
      <w:r w:rsidR="003F22F2" w:rsidRPr="00EC0229">
        <w:fldChar w:fldCharType="begin"/>
      </w:r>
      <w:r w:rsidR="003F22F2" w:rsidRPr="00EC0229">
        <w:instrText xml:space="preserve"> PAGEREF Chapter6 \h </w:instrText>
      </w:r>
      <w:r w:rsidR="003F22F2" w:rsidRPr="00EC0229">
        <w:fldChar w:fldCharType="separate"/>
      </w:r>
      <w:r w:rsidR="0012026B">
        <w:rPr>
          <w:noProof/>
        </w:rPr>
        <w:t>149</w:t>
      </w:r>
      <w:r w:rsidR="003F22F2" w:rsidRPr="00EC0229">
        <w:fldChar w:fldCharType="end"/>
      </w:r>
      <w:r w:rsidR="003F22F2" w:rsidRPr="00EC0229">
        <w:t xml:space="preserve">), </w:t>
      </w:r>
      <w:r w:rsidR="003F22F2" w:rsidRPr="00EC0229">
        <w:rPr>
          <w:i/>
        </w:rPr>
        <w:t>Map</w:t>
      </w:r>
      <w:r w:rsidR="003F22F2" w:rsidRPr="00EC0229">
        <w:rPr>
          <w:i/>
        </w:rPr>
        <w:fldChar w:fldCharType="begin"/>
      </w:r>
      <w:r w:rsidR="003F22F2" w:rsidRPr="00EC0229">
        <w:instrText xml:space="preserve"> XE "</w:instrText>
      </w:r>
      <w:r w:rsidR="003F22F2" w:rsidRPr="00EC0229">
        <w:rPr>
          <w:noProof/>
        </w:rPr>
        <w:instrText>Map</w:instrText>
      </w:r>
      <w:r w:rsidR="003F22F2" w:rsidRPr="00EC0229">
        <w:instrText xml:space="preserve">" </w:instrText>
      </w:r>
      <w:r w:rsidR="003F22F2" w:rsidRPr="00EC0229">
        <w:rPr>
          <w:i/>
        </w:rPr>
        <w:fldChar w:fldCharType="end"/>
      </w:r>
      <w:r w:rsidR="003F22F2" w:rsidRPr="00EC0229">
        <w:rPr>
          <w:i/>
        </w:rPr>
        <w:t xml:space="preserve"> 2</w:t>
      </w:r>
      <w:r w:rsidR="004048E5" w:rsidRPr="00EC0229">
        <w:rPr>
          <w:i/>
        </w:rPr>
        <w:t>.06</w:t>
      </w:r>
      <w:r w:rsidR="003F22F2" w:rsidRPr="00EC0229">
        <w:rPr>
          <w:color w:val="000000" w:themeColor="text1"/>
        </w:rPr>
        <w:t xml:space="preserve">. </w:t>
      </w:r>
    </w:p>
    <w:p w14:paraId="51D9A96D" w14:textId="77777777" w:rsidR="003F22F2" w:rsidRPr="00EC0229" w:rsidRDefault="003F22F2" w:rsidP="003F22F2">
      <w:pPr>
        <w:pStyle w:val="NoSpacing"/>
        <w:spacing w:line="360" w:lineRule="auto"/>
      </w:pPr>
    </w:p>
    <w:p w14:paraId="264589F3" w14:textId="481F3660" w:rsidR="003F22F2" w:rsidRPr="00EC0229" w:rsidRDefault="003F22F2" w:rsidP="003F22F2">
      <w:pPr>
        <w:pStyle w:val="NoSpacing"/>
        <w:spacing w:line="360" w:lineRule="auto"/>
      </w:pPr>
      <w:r w:rsidRPr="00EC0229">
        <w:lastRenderedPageBreak/>
        <w:t xml:space="preserve">Without relying on die productivity, </w:t>
      </w:r>
      <w:r w:rsidR="001C3348" w:rsidRPr="00EC0229">
        <w:t xml:space="preserve">in response to Brooks’ scepticism, </w:t>
      </w:r>
      <w:r w:rsidRPr="00EC0229">
        <w:t>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 made persuasive arguments in favour of widespread ninth-century </w:t>
      </w:r>
      <w:r w:rsidR="003F2041" w:rsidRPr="00EC0229">
        <w:t>monetiz</w:t>
      </w:r>
      <w:r w:rsidRPr="00EC0229">
        <w:t>ation</w:t>
      </w:r>
      <w:r w:rsidRPr="00EC0229">
        <w:fldChar w:fldCharType="begin"/>
      </w:r>
      <w:r w:rsidRPr="00EC0229">
        <w:instrText xml:space="preserve"> XE "monetization" </w:instrText>
      </w:r>
      <w:r w:rsidRPr="00EC0229">
        <w:fldChar w:fldCharType="end"/>
      </w:r>
      <w:r w:rsidRPr="00EC0229">
        <w:t>, not restricted to a privileged élite</w:t>
      </w:r>
      <w:r w:rsidRPr="00EC0229">
        <w:fldChar w:fldCharType="begin"/>
      </w:r>
      <w:r w:rsidRPr="00EC0229">
        <w:instrText xml:space="preserve"> XE "</w:instrText>
      </w:r>
      <w:r w:rsidRPr="00EC0229">
        <w:rPr>
          <w:szCs w:val="24"/>
        </w:rPr>
        <w:instrText>élite</w:instrText>
      </w:r>
      <w:r w:rsidRPr="00EC0229">
        <w:instrText xml:space="preserve">" </w:instrText>
      </w:r>
      <w:r w:rsidRPr="00EC0229">
        <w:fldChar w:fldCharType="end"/>
      </w:r>
      <w:r w:rsidRPr="00EC0229">
        <w:t>, even if the west of England is typically under-represented.</w:t>
      </w:r>
      <w:r w:rsidRPr="00EC0229">
        <w:rPr>
          <w:rStyle w:val="FootnoteReference"/>
        </w:rPr>
        <w:footnoteReference w:id="204"/>
      </w:r>
    </w:p>
    <w:p w14:paraId="54C9F077" w14:textId="77777777" w:rsidR="003F22F2" w:rsidRPr="00EC0229" w:rsidRDefault="003F22F2" w:rsidP="003F22F2">
      <w:pPr>
        <w:pStyle w:val="NoSpacing"/>
        <w:spacing w:line="360" w:lineRule="auto"/>
      </w:pPr>
    </w:p>
    <w:p w14:paraId="621AE01E" w14:textId="5EA988F7" w:rsidR="003F22F2" w:rsidRPr="00EC0229" w:rsidRDefault="003F22F2" w:rsidP="003F22F2">
      <w:pPr>
        <w:pStyle w:val="NoSpacing"/>
        <w:spacing w:line="360" w:lineRule="auto"/>
      </w:pPr>
      <w:r w:rsidRPr="00EC0229">
        <w:t>The well-argued assumptions on the sources of different sceatta</w:t>
      </w:r>
      <w:r w:rsidRPr="00EC0229">
        <w:fldChar w:fldCharType="begin"/>
      </w:r>
      <w:r w:rsidRPr="00EC0229">
        <w:instrText xml:space="preserve"> XE "sceatta" </w:instrText>
      </w:r>
      <w:r w:rsidRPr="00EC0229">
        <w:fldChar w:fldCharType="end"/>
      </w:r>
      <w:r w:rsidRPr="00EC0229">
        <w:t xml:space="preserve"> varieties, expounded by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006237D7" w:rsidRPr="00EC0229">
        <w:t xml:space="preserve"> provides</w:t>
      </w:r>
      <w:r w:rsidRPr="00EC0229">
        <w:t xml:space="preserve"> the foundation</w:t>
      </w:r>
      <w:r w:rsidR="006237D7" w:rsidRPr="00EC0229">
        <w:t>s</w:t>
      </w:r>
      <w:r w:rsidRPr="00EC0229">
        <w:t xml:space="preserve"> for site interpretation according to the mix of varieties present.</w:t>
      </w:r>
      <w:r w:rsidRPr="00EC0229">
        <w:rPr>
          <w:rStyle w:val="FootnoteReference"/>
        </w:rPr>
        <w:footnoteReference w:id="205"/>
      </w:r>
      <w:r w:rsidRPr="00EC0229">
        <w:t xml:space="preserve"> While an element </w:t>
      </w:r>
      <w:r w:rsidR="006237D7" w:rsidRPr="00EC0229">
        <w:t>of this Metcalfian analysis</w:t>
      </w:r>
      <w:r w:rsidRPr="00EC0229">
        <w:t xml:space="preserve"> remain</w:t>
      </w:r>
      <w:r w:rsidR="006237D7" w:rsidRPr="00EC0229">
        <w:t>s</w:t>
      </w:r>
      <w:r w:rsidRPr="00EC0229">
        <w:t xml:space="preserve"> speculative, it is employed extensively in the case studies</w:t>
      </w:r>
      <w:r w:rsidRPr="00EC0229">
        <w:fldChar w:fldCharType="begin"/>
      </w:r>
      <w:r w:rsidRPr="00EC0229">
        <w:instrText xml:space="preserve"> XE "</w:instrText>
      </w:r>
      <w:r w:rsidRPr="00EC0229">
        <w:rPr>
          <w:rStyle w:val="Hyperlink"/>
          <w:rFonts w:cs="Times New Roman"/>
          <w:noProof/>
          <w:u w:val="none"/>
        </w:rPr>
        <w:instrText>case studies</w:instrText>
      </w:r>
      <w:r w:rsidRPr="00EC0229">
        <w:instrText xml:space="preserve">" </w:instrText>
      </w:r>
      <w:r w:rsidRPr="00EC0229">
        <w:fldChar w:fldCharType="end"/>
      </w:r>
      <w:r w:rsidRPr="00EC0229">
        <w:t xml:space="preserve"> in the second part of this thesis.</w:t>
      </w:r>
    </w:p>
    <w:p w14:paraId="3C14C567" w14:textId="77777777" w:rsidR="003F22F2" w:rsidRPr="00EC0229" w:rsidRDefault="003F22F2" w:rsidP="003F22F2">
      <w:pPr>
        <w:pStyle w:val="NoSpacing"/>
        <w:rPr>
          <w:rFonts w:eastAsia="Times New Roman"/>
          <w:lang w:eastAsia="en-GB"/>
        </w:rPr>
      </w:pPr>
    </w:p>
    <w:p w14:paraId="13011C8D" w14:textId="77777777" w:rsidR="00D311C4" w:rsidRDefault="00D311C4">
      <w:pPr>
        <w:spacing w:line="259" w:lineRule="auto"/>
        <w:jc w:val="left"/>
        <w:rPr>
          <w:b/>
          <w:sz w:val="28"/>
          <w:szCs w:val="26"/>
        </w:rPr>
      </w:pPr>
      <w:r>
        <w:br w:type="page"/>
      </w:r>
    </w:p>
    <w:p w14:paraId="6BEF7ED2" w14:textId="02A870EE" w:rsidR="006237D7" w:rsidRPr="008E6548" w:rsidRDefault="00225C7F" w:rsidP="006237D7">
      <w:pPr>
        <w:pStyle w:val="Heading2"/>
      </w:pPr>
      <w:bookmarkStart w:id="102" w:name="_Toc468266747"/>
      <w:r>
        <w:lastRenderedPageBreak/>
        <w:t>2</w:t>
      </w:r>
      <w:r w:rsidR="00624DF5">
        <w:t>.2</w:t>
      </w:r>
      <w:r w:rsidR="00624DF5">
        <w:tab/>
      </w:r>
      <w:r w:rsidR="006237D7" w:rsidRPr="008E6548">
        <w:t>Numismatics beyond Metcalf, and the Northumbria economy</w:t>
      </w:r>
      <w:bookmarkEnd w:id="102"/>
    </w:p>
    <w:p w14:paraId="20FC09CB" w14:textId="6D262893" w:rsidR="003F22F2" w:rsidRPr="00EC0229" w:rsidRDefault="003F22F2" w:rsidP="003F22F2">
      <w:pPr>
        <w:spacing w:line="360" w:lineRule="auto"/>
      </w:pPr>
      <w:r w:rsidRPr="00EC0229">
        <w:t>While the work of Metcalf is key to the present study, it is important to place it in the context of numismatic and artefactual studies of sixth- to ninth-century England, if not the North Sea trading area, in general and Northumbria in particular.</w:t>
      </w:r>
    </w:p>
    <w:p w14:paraId="00107190" w14:textId="7DB304A1" w:rsidR="003F22F2" w:rsidRPr="00EC0229" w:rsidRDefault="00225C7F" w:rsidP="003F22F2">
      <w:pPr>
        <w:pStyle w:val="Heading3"/>
        <w:rPr>
          <w:b w:val="0"/>
        </w:rPr>
      </w:pPr>
      <w:bookmarkStart w:id="103" w:name="_Toc464823819"/>
      <w:bookmarkStart w:id="104" w:name="_Toc468266748"/>
      <w:r>
        <w:t>2</w:t>
      </w:r>
      <w:r w:rsidR="000E1004">
        <w:t>.2.1</w:t>
      </w:r>
      <w:r w:rsidR="00624DF5">
        <w:tab/>
      </w:r>
      <w:r w:rsidR="003F22F2" w:rsidRPr="008E6548">
        <w:t>Numismatics</w:t>
      </w:r>
      <w:bookmarkEnd w:id="103"/>
      <w:bookmarkEnd w:id="104"/>
    </w:p>
    <w:p w14:paraId="11E1595D" w14:textId="68296506" w:rsidR="003F22F2" w:rsidRPr="00EC0229" w:rsidRDefault="003F22F2" w:rsidP="003F22F2">
      <w:pPr>
        <w:autoSpaceDE w:val="0"/>
        <w:autoSpaceDN w:val="0"/>
        <w:adjustRightInd w:val="0"/>
        <w:spacing w:after="0" w:line="360" w:lineRule="auto"/>
        <w:rPr>
          <w:rFonts w:cs="Times New Roman"/>
          <w:color w:val="000000"/>
          <w:sz w:val="22"/>
        </w:rPr>
      </w:pPr>
      <w:r w:rsidRPr="00EC0229">
        <w:t xml:space="preserve">The numismatic contributions are considered first, starting with generalist works then progressing chronologically. </w:t>
      </w:r>
      <w:r w:rsidRPr="00EC0229">
        <w:rPr>
          <w:i/>
        </w:rPr>
        <w:t>Festschrifts</w:t>
      </w:r>
      <w:r w:rsidRPr="00EC0229">
        <w:t xml:space="preserve"> (</w:t>
      </w:r>
      <w:r w:rsidRPr="00EC0229">
        <w:rPr>
          <w:i/>
        </w:rPr>
        <w:t>C&amp;H</w:t>
      </w:r>
      <w:r w:rsidRPr="00EC0229">
        <w:t xml:space="preserve">, </w:t>
      </w:r>
      <w:r w:rsidRPr="00EC0229">
        <w:rPr>
          <w:i/>
        </w:rPr>
        <w:t xml:space="preserve">EMMH) </w:t>
      </w:r>
      <w:r w:rsidRPr="00EC0229">
        <w:t xml:space="preserve">and occasional symposia have </w:t>
      </w:r>
      <w:r w:rsidRPr="00EC0229">
        <w:rPr>
          <w:szCs w:val="24"/>
        </w:rPr>
        <w:t xml:space="preserve">encapsulated current research. Notable are </w:t>
      </w:r>
      <w:r w:rsidRPr="00EC0229">
        <w:rPr>
          <w:i/>
          <w:szCs w:val="24"/>
        </w:rPr>
        <w:t>BAR</w:t>
      </w:r>
      <w:r w:rsidR="00E25889" w:rsidRPr="00EC0229">
        <w:rPr>
          <w:i/>
          <w:szCs w:val="24"/>
        </w:rPr>
        <w:t xml:space="preserve"> </w:t>
      </w:r>
      <w:r w:rsidRPr="00EC0229">
        <w:rPr>
          <w:szCs w:val="24"/>
        </w:rPr>
        <w:t>128 (1984) and 180 (1987)</w:t>
      </w:r>
      <w:r w:rsidRPr="00EC0229">
        <w:rPr>
          <w:rStyle w:val="FootnoteReference"/>
          <w:szCs w:val="24"/>
        </w:rPr>
        <w:footnoteReference w:id="206"/>
      </w:r>
      <w:r w:rsidRPr="00EC0229">
        <w:rPr>
          <w:szCs w:val="24"/>
        </w:rPr>
        <w:t xml:space="preserve"> as well as Abramson’s biennial </w:t>
      </w:r>
      <w:r w:rsidRPr="00EC0229">
        <w:rPr>
          <w:rFonts w:cs="Times New Roman"/>
          <w:bCs/>
          <w:i/>
          <w:color w:val="000000"/>
          <w:szCs w:val="24"/>
        </w:rPr>
        <w:t>International Symposium in Early Medieval Coinage</w:t>
      </w:r>
      <w:r w:rsidRPr="00EC0229">
        <w:rPr>
          <w:rFonts w:cs="Times New Roman"/>
          <w:bCs/>
          <w:color w:val="000000"/>
          <w:szCs w:val="24"/>
        </w:rPr>
        <w:t xml:space="preserve"> (2006-16, </w:t>
      </w:r>
      <w:r w:rsidRPr="00EC0229">
        <w:rPr>
          <w:rFonts w:cs="Times New Roman"/>
          <w:bCs/>
          <w:i/>
          <w:color w:val="000000"/>
          <w:szCs w:val="24"/>
        </w:rPr>
        <w:t>SiEMC</w:t>
      </w:r>
      <w:r w:rsidR="006A0520" w:rsidRPr="00EC0229">
        <w:rPr>
          <w:rFonts w:cs="Times New Roman"/>
          <w:bCs/>
          <w:i/>
          <w:color w:val="000000"/>
          <w:szCs w:val="24"/>
        </w:rPr>
        <w:t xml:space="preserve"> </w:t>
      </w:r>
      <w:r w:rsidRPr="00EC0229">
        <w:rPr>
          <w:rFonts w:cs="Times New Roman"/>
          <w:bCs/>
          <w:color w:val="000000"/>
          <w:szCs w:val="24"/>
        </w:rPr>
        <w:t>1-3). Lyon’s forthcoming</w:t>
      </w:r>
      <w:r w:rsidRPr="00EC0229">
        <w:rPr>
          <w:rFonts w:cs="Times New Roman"/>
          <w:bCs/>
          <w:i/>
          <w:color w:val="000000"/>
          <w:szCs w:val="24"/>
        </w:rPr>
        <w:t xml:space="preserve"> SCBI</w:t>
      </w:r>
      <w:r w:rsidRPr="00EC0229">
        <w:rPr>
          <w:rFonts w:cs="Times New Roman"/>
          <w:bCs/>
          <w:color w:val="000000"/>
          <w:szCs w:val="24"/>
        </w:rPr>
        <w:t xml:space="preserve"> 68 </w:t>
      </w:r>
      <w:r w:rsidR="00103FB3">
        <w:rPr>
          <w:rFonts w:cs="Times New Roman"/>
          <w:bCs/>
          <w:color w:val="000000"/>
          <w:szCs w:val="24"/>
        </w:rPr>
        <w:t>summarize</w:t>
      </w:r>
      <w:r w:rsidRPr="00EC0229">
        <w:rPr>
          <w:rFonts w:cs="Times New Roman"/>
          <w:bCs/>
          <w:color w:val="000000"/>
          <w:szCs w:val="24"/>
        </w:rPr>
        <w:t>s current scholarship</w:t>
      </w:r>
      <w:r w:rsidR="00781E2C" w:rsidRPr="00EC0229">
        <w:rPr>
          <w:rFonts w:cs="Times New Roman"/>
          <w:bCs/>
          <w:color w:val="000000"/>
          <w:szCs w:val="24"/>
        </w:rPr>
        <w:t xml:space="preserve"> on stycas</w:t>
      </w:r>
      <w:r w:rsidRPr="00EC0229">
        <w:rPr>
          <w:rFonts w:cs="Times New Roman"/>
          <w:bCs/>
          <w:color w:val="000000"/>
          <w:szCs w:val="24"/>
        </w:rPr>
        <w:t>.</w:t>
      </w:r>
    </w:p>
    <w:p w14:paraId="0D2DF32C" w14:textId="77777777" w:rsidR="003F22F2" w:rsidRPr="00EC0229" w:rsidRDefault="003F22F2" w:rsidP="003F22F2"/>
    <w:p w14:paraId="36D68A76" w14:textId="3996E0AE" w:rsidR="003F22F2" w:rsidRPr="00EC0229" w:rsidRDefault="003F22F2" w:rsidP="003F22F2">
      <w:pPr>
        <w:spacing w:line="360" w:lineRule="auto"/>
      </w:pPr>
      <w:r w:rsidRPr="00EC0229">
        <w:t xml:space="preserve">Naismith’s revision of </w:t>
      </w:r>
      <w:r w:rsidRPr="00EC0229">
        <w:rPr>
          <w:i/>
        </w:rPr>
        <w:t>MEC</w:t>
      </w:r>
      <w:r w:rsidRPr="00EC0229">
        <w:t xml:space="preserve"> (forthcoming) gives an excellent summation of the landmarks in numismatic literature</w:t>
      </w:r>
      <w:r w:rsidR="001C3348" w:rsidRPr="00EC0229">
        <w:t>.</w:t>
      </w:r>
      <w:r w:rsidR="001C3348" w:rsidRPr="00EC0229">
        <w:rPr>
          <w:rStyle w:val="FootnoteReference"/>
        </w:rPr>
        <w:footnoteReference w:id="207"/>
      </w:r>
      <w:r w:rsidR="001C3348" w:rsidRPr="00EC0229">
        <w:t xml:space="preserve"> </w:t>
      </w:r>
      <w:r w:rsidRPr="00EC0229">
        <w:t xml:space="preserve">Blackburn and Metcalf have been prolific, notably the latter’s </w:t>
      </w:r>
      <w:r w:rsidRPr="00EC0229">
        <w:rPr>
          <w:i/>
        </w:rPr>
        <w:t>T&amp;S</w:t>
      </w:r>
      <w:r w:rsidRPr="00EC0229">
        <w:t xml:space="preserve"> (1993) which updated the corpus very substantially. Gannon (2003) shone a bright light on the Conversion Period iconography. </w:t>
      </w:r>
    </w:p>
    <w:p w14:paraId="5F8AB058" w14:textId="754C8B29" w:rsidR="003F22F2" w:rsidRPr="00EC0229" w:rsidRDefault="003F22F2" w:rsidP="003F22F2">
      <w:pPr>
        <w:spacing w:line="360" w:lineRule="auto"/>
      </w:pPr>
      <w:r w:rsidRPr="00EC0229">
        <w:t xml:space="preserve">For the seventh-century gold, Sutherland (1948) is </w:t>
      </w:r>
      <w:r w:rsidR="00F06E7D">
        <w:t>the point of embarkation. Abdy and</w:t>
      </w:r>
      <w:r w:rsidRPr="00EC0229">
        <w:t xml:space="preserve"> Williams (2006) catalogued </w:t>
      </w:r>
      <w:r w:rsidR="00FD05A0" w:rsidRPr="00EC0229">
        <w:t>most</w:t>
      </w:r>
      <w:r w:rsidRPr="00EC0229">
        <w:t xml:space="preserve"> gold finds but was not illustrated. On the gold shilling of York, Abramson &amp; Garrison (forthcoming) will supersede Naylor &amp; Allen (2014).</w:t>
      </w:r>
    </w:p>
    <w:p w14:paraId="669C01AC" w14:textId="07BFF7F4" w:rsidR="003F22F2" w:rsidRPr="00EC0229" w:rsidRDefault="003F22F2" w:rsidP="003F22F2">
      <w:pPr>
        <w:spacing w:line="360" w:lineRule="auto"/>
      </w:pPr>
      <w:r w:rsidRPr="00EC0229">
        <w:t>The relative proliferation of finds</w:t>
      </w:r>
      <w:r w:rsidR="006237D7" w:rsidRPr="00EC0229">
        <w:t xml:space="preserve"> during the metal-detecting era</w:t>
      </w:r>
      <w:r w:rsidRPr="00EC0229">
        <w:t xml:space="preserve"> render earlier literature on sceats of limited value. Essentially, modern scholarship commenced with Rigold’s classification (1977), a paradigm of brevity. Metcalf, Blackburn and Gannon have been notable contributors and Abramson has provided accessible identification guides</w:t>
      </w:r>
      <w:r w:rsidR="002B6028" w:rsidRPr="00EC0229">
        <w:t xml:space="preserve"> and discussion fora</w:t>
      </w:r>
      <w:r w:rsidRPr="00EC0229">
        <w:t>.</w:t>
      </w:r>
    </w:p>
    <w:p w14:paraId="09F91E4C" w14:textId="36ABDB68" w:rsidR="003F22F2" w:rsidRPr="00EC0229" w:rsidRDefault="003F22F2" w:rsidP="003F22F2">
      <w:pPr>
        <w:spacing w:line="360" w:lineRule="auto"/>
      </w:pPr>
      <w:r w:rsidRPr="00EC0229">
        <w:t xml:space="preserve">Op den Velde’s </w:t>
      </w:r>
      <w:r w:rsidR="002876E5" w:rsidRPr="00EC0229">
        <w:t>collaborations with Metcalf are</w:t>
      </w:r>
      <w:r w:rsidRPr="00EC0229">
        <w:t xml:space="preserve"> a major source for Low Countries’ coinage, Coupland is eloquent on Merovingian and Carolingian material, and </w:t>
      </w:r>
      <w:r w:rsidRPr="00EC0229">
        <w:rPr>
          <w:i/>
        </w:rPr>
        <w:t>SEVA</w:t>
      </w:r>
      <w:r w:rsidRPr="00EC0229">
        <w:t xml:space="preserve"> </w:t>
      </w:r>
      <w:r w:rsidR="00BB2024" w:rsidRPr="00EC0229">
        <w:t>(</w:t>
      </w:r>
      <w:r w:rsidR="00BB2024" w:rsidRPr="00EC0229">
        <w:rPr>
          <w:i/>
        </w:rPr>
        <w:t>Silver</w:t>
      </w:r>
      <w:r w:rsidR="00BB2024" w:rsidRPr="00EC0229">
        <w:rPr>
          <w:i/>
        </w:rPr>
        <w:fldChar w:fldCharType="begin"/>
      </w:r>
      <w:r w:rsidR="00BB2024" w:rsidRPr="00EC0229">
        <w:rPr>
          <w:i/>
        </w:rPr>
        <w:instrText xml:space="preserve"> XE "</w:instrText>
      </w:r>
      <w:r w:rsidR="00BB2024" w:rsidRPr="00EC0229">
        <w:rPr>
          <w:rStyle w:val="Hyperlink"/>
          <w:rFonts w:cs="Times New Roman"/>
          <w:i/>
          <w:noProof/>
          <w:u w:val="none"/>
        </w:rPr>
        <w:instrText>Silver</w:instrText>
      </w:r>
      <w:r w:rsidR="00BB2024" w:rsidRPr="00EC0229">
        <w:rPr>
          <w:i/>
        </w:rPr>
        <w:instrText xml:space="preserve">" </w:instrText>
      </w:r>
      <w:r w:rsidR="00BB2024" w:rsidRPr="00EC0229">
        <w:rPr>
          <w:i/>
        </w:rPr>
        <w:fldChar w:fldCharType="end"/>
      </w:r>
      <w:r w:rsidR="00BB2024" w:rsidRPr="00EC0229">
        <w:rPr>
          <w:i/>
        </w:rPr>
        <w:t xml:space="preserve"> Economy in the Viking</w:t>
      </w:r>
      <w:r w:rsidR="00BB2024" w:rsidRPr="00EC0229">
        <w:rPr>
          <w:i/>
        </w:rPr>
        <w:fldChar w:fldCharType="begin"/>
      </w:r>
      <w:r w:rsidR="00BB2024" w:rsidRPr="00EC0229">
        <w:rPr>
          <w:i/>
        </w:rPr>
        <w:instrText xml:space="preserve"> XE "</w:instrText>
      </w:r>
      <w:r w:rsidR="00BB2024" w:rsidRPr="00EC0229">
        <w:rPr>
          <w:rStyle w:val="Hyperlink"/>
          <w:i/>
          <w:noProof/>
          <w:u w:val="none"/>
        </w:rPr>
        <w:instrText>Viking</w:instrText>
      </w:r>
      <w:r w:rsidR="00BB2024" w:rsidRPr="00EC0229">
        <w:rPr>
          <w:i/>
        </w:rPr>
        <w:instrText xml:space="preserve">" </w:instrText>
      </w:r>
      <w:r w:rsidR="00BB2024" w:rsidRPr="00EC0229">
        <w:rPr>
          <w:i/>
        </w:rPr>
        <w:fldChar w:fldCharType="end"/>
      </w:r>
      <w:r w:rsidR="00BB2024" w:rsidRPr="00EC0229">
        <w:rPr>
          <w:i/>
        </w:rPr>
        <w:t xml:space="preserve"> Age</w:t>
      </w:r>
      <w:r w:rsidR="00BB2024" w:rsidRPr="00EC0229">
        <w:t xml:space="preserve">) </w:t>
      </w:r>
      <w:r w:rsidRPr="00EC0229">
        <w:t xml:space="preserve">and </w:t>
      </w:r>
      <w:r w:rsidRPr="00EC0229">
        <w:rPr>
          <w:i/>
        </w:rPr>
        <w:t>SEMSS</w:t>
      </w:r>
      <w:r w:rsidRPr="00EC0229">
        <w:t xml:space="preserve"> </w:t>
      </w:r>
      <w:r w:rsidR="00BB2024" w:rsidRPr="00EC0229">
        <w:t>(</w:t>
      </w:r>
      <w:r w:rsidR="00BB2024" w:rsidRPr="00EC0229">
        <w:rPr>
          <w:i/>
        </w:rPr>
        <w:t>Silver</w:t>
      </w:r>
      <w:r w:rsidR="00BB2024" w:rsidRPr="00EC0229">
        <w:rPr>
          <w:i/>
        </w:rPr>
        <w:fldChar w:fldCharType="begin"/>
      </w:r>
      <w:r w:rsidR="00BB2024" w:rsidRPr="00EC0229">
        <w:instrText xml:space="preserve"> XE "</w:instrText>
      </w:r>
      <w:r w:rsidR="00BB2024" w:rsidRPr="00EC0229">
        <w:rPr>
          <w:rStyle w:val="Hyperlink"/>
          <w:rFonts w:cs="Times New Roman"/>
          <w:noProof/>
          <w:u w:val="none"/>
        </w:rPr>
        <w:instrText>Silver</w:instrText>
      </w:r>
      <w:r w:rsidR="00BB2024" w:rsidRPr="00EC0229">
        <w:instrText xml:space="preserve">" </w:instrText>
      </w:r>
      <w:r w:rsidR="00BB2024" w:rsidRPr="00EC0229">
        <w:rPr>
          <w:i/>
        </w:rPr>
        <w:fldChar w:fldCharType="end"/>
      </w:r>
      <w:r w:rsidR="00BB2024" w:rsidRPr="00EC0229">
        <w:rPr>
          <w:i/>
        </w:rPr>
        <w:t xml:space="preserve"> Economies, Monetisation and Society in Scandinavia,</w:t>
      </w:r>
      <w:r w:rsidR="00BB2024" w:rsidRPr="00EC0229">
        <w:rPr>
          <w:i/>
        </w:rPr>
        <w:fldChar w:fldCharType="begin"/>
      </w:r>
      <w:r w:rsidR="00BB2024" w:rsidRPr="00EC0229">
        <w:instrText xml:space="preserve"> XE "</w:instrText>
      </w:r>
      <w:r w:rsidR="00BB2024" w:rsidRPr="00EC0229">
        <w:rPr>
          <w:rStyle w:val="Hyperlink"/>
          <w:noProof/>
          <w:u w:val="none"/>
        </w:rPr>
        <w:instrText>Scandinavia</w:instrText>
      </w:r>
      <w:r w:rsidR="00BB2024" w:rsidRPr="00EC0229">
        <w:instrText xml:space="preserve">" </w:instrText>
      </w:r>
      <w:r w:rsidR="00BB2024" w:rsidRPr="00EC0229">
        <w:rPr>
          <w:i/>
        </w:rPr>
        <w:fldChar w:fldCharType="end"/>
      </w:r>
      <w:r w:rsidR="00BB2024" w:rsidRPr="00EC0229">
        <w:rPr>
          <w:i/>
        </w:rPr>
        <w:t xml:space="preserve"> </w:t>
      </w:r>
      <w:r w:rsidR="00BB2024" w:rsidRPr="00EC0229">
        <w:rPr>
          <w:i/>
          <w:iCs/>
          <w:smallCaps/>
          <w:szCs w:val="24"/>
        </w:rPr>
        <w:t>ad</w:t>
      </w:r>
      <w:r w:rsidR="00BB2024" w:rsidRPr="00EC0229">
        <w:rPr>
          <w:i/>
        </w:rPr>
        <w:t xml:space="preserve"> 800–1000</w:t>
      </w:r>
      <w:r w:rsidR="00BB2024" w:rsidRPr="00EC0229">
        <w:t xml:space="preserve"> ) </w:t>
      </w:r>
      <w:r w:rsidRPr="00EC0229">
        <w:t xml:space="preserve">provide copious information on Scandinavian development. Naismith’s work on </w:t>
      </w:r>
      <w:r w:rsidR="00572E51" w:rsidRPr="00EC0229">
        <w:t>Southumbria</w:t>
      </w:r>
      <w:r w:rsidRPr="00EC0229">
        <w:t>n numismatics (2011 and 2012) is significant.</w:t>
      </w:r>
    </w:p>
    <w:p w14:paraId="350BF1EC" w14:textId="279D22C9" w:rsidR="003F22F2" w:rsidRPr="00EC0229" w:rsidRDefault="003F22F2" w:rsidP="003F22F2">
      <w:pPr>
        <w:spacing w:line="360" w:lineRule="auto"/>
      </w:pPr>
      <w:r w:rsidRPr="00EC0229">
        <w:t>In discussing the source of the more common elements in Series</w:t>
      </w:r>
      <w:r w:rsidRPr="00EC0229">
        <w:fldChar w:fldCharType="begin"/>
      </w:r>
      <w:r w:rsidRPr="00EC0229">
        <w:instrText xml:space="preserve"> XE "Series" </w:instrText>
      </w:r>
      <w:r w:rsidRPr="00EC0229">
        <w:fldChar w:fldCharType="end"/>
      </w:r>
      <w:r w:rsidRPr="00EC0229">
        <w:t xml:space="preserve"> J (types 36, 37 and 85, </w:t>
      </w:r>
      <w:r w:rsidRPr="00EC0229">
        <w:rPr>
          <w:i/>
        </w:rPr>
        <w:t>SL</w:t>
      </w:r>
      <w:r w:rsidRPr="00EC0229">
        <w:t xml:space="preserve">18-20, </w:t>
      </w:r>
      <w:r w:rsidRPr="00EC0229">
        <w:rPr>
          <w:i/>
          <w:szCs w:val="24"/>
        </w:rPr>
        <w:fldChar w:fldCharType="begin"/>
      </w:r>
      <w:r w:rsidRPr="00EC0229">
        <w:rPr>
          <w:i/>
          <w:szCs w:val="24"/>
        </w:rPr>
        <w:instrText xml:space="preserve"> REF _Ref430246213 \h  \* MERGEFORMAT </w:instrText>
      </w:r>
      <w:r w:rsidRPr="00EC0229">
        <w:rPr>
          <w:i/>
          <w:szCs w:val="24"/>
        </w:rPr>
      </w:r>
      <w:r w:rsidRPr="00EC0229">
        <w:rPr>
          <w:i/>
          <w:szCs w:val="24"/>
        </w:rPr>
        <w:fldChar w:fldCharType="separate"/>
      </w:r>
      <w:r w:rsidR="0012026B" w:rsidRPr="0012026B">
        <w:rPr>
          <w:i/>
          <w:szCs w:val="24"/>
        </w:rPr>
        <w:t>Figure</w:t>
      </w:r>
      <w:r w:rsidR="0012026B" w:rsidRPr="00EC0229">
        <w:rPr>
          <w:sz w:val="20"/>
          <w:szCs w:val="20"/>
        </w:rPr>
        <w:t xml:space="preserve"> </w:t>
      </w:r>
      <w:r w:rsidR="0012026B" w:rsidRPr="0012026B">
        <w:rPr>
          <w:noProof/>
          <w:szCs w:val="24"/>
        </w:rPr>
        <w:t>38</w:t>
      </w:r>
      <w:r w:rsidRPr="00EC0229">
        <w:fldChar w:fldCharType="end"/>
      </w:r>
      <w:r w:rsidRPr="00EC0229">
        <w:t>),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 stated: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is the home of Series J, which has had a history of </w:t>
      </w:r>
      <w:r w:rsidRPr="00EC0229">
        <w:lastRenderedPageBreak/>
        <w:t>misinterpretation’,</w:t>
      </w:r>
      <w:r w:rsidRPr="00EC0229">
        <w:rPr>
          <w:rStyle w:val="FootnoteReference"/>
        </w:rPr>
        <w:footnoteReference w:id="208"/>
      </w:r>
      <w:r w:rsidR="002876E5" w:rsidRPr="00EC0229">
        <w:t xml:space="preserve"> though Booth wa</w:t>
      </w:r>
      <w:r w:rsidRPr="00EC0229">
        <w:t>s more sceptical,</w:t>
      </w:r>
      <w:r w:rsidRPr="00EC0229">
        <w:rPr>
          <w:rStyle w:val="FootnoteReference"/>
        </w:rPr>
        <w:footnoteReference w:id="209"/>
      </w:r>
      <w:r w:rsidR="002876E5" w:rsidRPr="00EC0229">
        <w:t xml:space="preserve"> as wa</w:t>
      </w:r>
      <w:r w:rsidRPr="00EC0229">
        <w:t>s Archibald.</w:t>
      </w:r>
      <w:r w:rsidRPr="00EC0229">
        <w:rPr>
          <w:rStyle w:val="FootnoteReference"/>
        </w:rPr>
        <w:footnoteReference w:id="210"/>
      </w:r>
      <w:r w:rsidRPr="00EC0229">
        <w:t xml:space="preserve"> </w:t>
      </w:r>
      <w:r w:rsidRPr="00EC0229">
        <w:rPr>
          <w:rStyle w:val="Hyperlink"/>
          <w:color w:val="000000" w:themeColor="text1"/>
          <w:szCs w:val="24"/>
          <w:u w:val="none"/>
        </w:rPr>
        <w:t>Naylor</w:t>
      </w:r>
      <w:r w:rsidRPr="00EC0229">
        <w:rPr>
          <w:rStyle w:val="Hyperlink"/>
          <w:color w:val="000000" w:themeColor="text1"/>
          <w:szCs w:val="24"/>
          <w:u w:val="none"/>
        </w:rPr>
        <w:fldChar w:fldCharType="begin"/>
      </w:r>
      <w:r w:rsidRPr="00EC0229">
        <w:instrText xml:space="preserve"> XE "</w:instrText>
      </w:r>
      <w:r w:rsidRPr="00EC0229">
        <w:rPr>
          <w:rFonts w:cs="Times New Roman"/>
          <w:szCs w:val="24"/>
        </w:rPr>
        <w:instrText>Naylor</w:instrText>
      </w:r>
      <w:r w:rsidRPr="00EC0229">
        <w:instrText xml:space="preserve">" </w:instrText>
      </w:r>
      <w:r w:rsidRPr="00EC0229">
        <w:rPr>
          <w:rStyle w:val="Hyperlink"/>
          <w:color w:val="000000" w:themeColor="text1"/>
          <w:szCs w:val="24"/>
          <w:u w:val="none"/>
        </w:rPr>
        <w:fldChar w:fldCharType="end"/>
      </w:r>
      <w:r w:rsidRPr="00EC0229">
        <w:rPr>
          <w:rStyle w:val="Hyperlink"/>
          <w:color w:val="000000" w:themeColor="text1"/>
          <w:szCs w:val="24"/>
          <w:u w:val="none"/>
        </w:rPr>
        <w:t xml:space="preserve"> </w:t>
      </w:r>
      <w:bookmarkStart w:id="105" w:name="_Ref464810506"/>
      <w:r w:rsidRPr="00EC0229">
        <w:rPr>
          <w:rStyle w:val="FootnoteReference"/>
        </w:rPr>
        <w:footnoteReference w:id="211"/>
      </w:r>
      <w:bookmarkEnd w:id="105"/>
      <w:r w:rsidRPr="00EC0229">
        <w:t xml:space="preserve"> </w:t>
      </w:r>
      <w:r w:rsidRPr="00EC0229">
        <w:rPr>
          <w:rStyle w:val="Hyperlink"/>
          <w:color w:val="000000" w:themeColor="text1"/>
          <w:szCs w:val="24"/>
          <w:u w:val="none"/>
        </w:rPr>
        <w:t>promoted Lindsey as the source</w:t>
      </w:r>
      <w:r w:rsidRPr="00EC0229">
        <w:rPr>
          <w:szCs w:val="24"/>
        </w:rPr>
        <w:t>, but Metcalf refuted this.</w:t>
      </w:r>
      <w:r w:rsidRPr="00EC0229">
        <w:rPr>
          <w:rStyle w:val="FootnoteReference"/>
          <w:szCs w:val="24"/>
        </w:rPr>
        <w:footnoteReference w:id="212"/>
      </w:r>
      <w:r w:rsidRPr="00EC0229">
        <w:rPr>
          <w:szCs w:val="24"/>
        </w:rPr>
        <w:t xml:space="preserve"> </w:t>
      </w:r>
      <w:r w:rsidRPr="00EC0229">
        <w:t>Naylor</w:t>
      </w:r>
      <w:r w:rsidRPr="00EC0229">
        <w:fldChar w:fldCharType="begin"/>
      </w:r>
      <w:r w:rsidRPr="00EC0229">
        <w:instrText xml:space="preserve"> XE "</w:instrText>
      </w:r>
      <w:r w:rsidRPr="00EC0229">
        <w:rPr>
          <w:rFonts w:cs="Times New Roman"/>
          <w:szCs w:val="24"/>
        </w:rPr>
        <w:instrText>Naylor</w:instrText>
      </w:r>
      <w:r w:rsidRPr="00EC0229">
        <w:instrText xml:space="preserve">" </w:instrText>
      </w:r>
      <w:r w:rsidRPr="00EC0229">
        <w:fldChar w:fldCharType="end"/>
      </w:r>
      <w:r w:rsidRPr="00EC0229">
        <w:t xml:space="preserve"> used regression analyses to favour northern or central Lincolnshire, arguing that Mercian interests in exporting commodities, notably salt and wool, would have been aided by local minting, but noted that Lindsey had no </w:t>
      </w:r>
      <w:r w:rsidRPr="00EC0229">
        <w:rPr>
          <w:i/>
        </w:rPr>
        <w:t>wic</w:t>
      </w:r>
      <w:r w:rsidRPr="00EC0229">
        <w:t>.</w:t>
      </w:r>
      <w:r w:rsidR="00FD68D0" w:rsidRPr="00EC0229">
        <w:rPr>
          <w:rStyle w:val="FootnoteReference"/>
        </w:rPr>
        <w:footnoteReference w:id="213"/>
      </w:r>
      <w:r w:rsidRPr="00EC0229">
        <w:t xml:space="preserve"> However, the source(s) of the main varieties of Series J remain unresolved (see page </w:t>
      </w:r>
      <w:r w:rsidRPr="00EC0229">
        <w:fldChar w:fldCharType="begin"/>
      </w:r>
      <w:r w:rsidRPr="00EC0229">
        <w:instrText xml:space="preserve"> PAGEREF Period5a \h </w:instrText>
      </w:r>
      <w:r w:rsidRPr="00EC0229">
        <w:fldChar w:fldCharType="separate"/>
      </w:r>
      <w:r w:rsidR="0012026B">
        <w:rPr>
          <w:noProof/>
        </w:rPr>
        <w:t>121</w:t>
      </w:r>
      <w:r w:rsidRPr="00EC0229">
        <w:fldChar w:fldCharType="end"/>
      </w:r>
      <w:r w:rsidR="002876E5" w:rsidRPr="00EC0229">
        <w:t>) and the likelihood that they</w:t>
      </w:r>
      <w:r w:rsidR="00684484" w:rsidRPr="00EC0229">
        <w:t xml:space="preserve"> di</w:t>
      </w:r>
      <w:r w:rsidR="002876E5" w:rsidRPr="00EC0229">
        <w:t>ffer in</w:t>
      </w:r>
      <w:r w:rsidR="00684484" w:rsidRPr="00EC0229">
        <w:t xml:space="preserve"> </w:t>
      </w:r>
      <w:r w:rsidR="002876E5" w:rsidRPr="00EC0229">
        <w:t>origin</w:t>
      </w:r>
      <w:r w:rsidR="00684484" w:rsidRPr="00EC0229">
        <w:t xml:space="preserve"> should be considered. </w:t>
      </w:r>
      <w:r w:rsidRPr="00EC0229">
        <w:t xml:space="preserve"> Metcalf (1993, 344) speculated that the </w:t>
      </w:r>
      <w:r w:rsidR="00684484" w:rsidRPr="00EC0229">
        <w:t xml:space="preserve">facing heads (type 37), emulating the </w:t>
      </w:r>
      <w:r w:rsidRPr="00EC0229">
        <w:t>denier</w:t>
      </w:r>
      <w:r w:rsidRPr="00EC0229">
        <w:fldChar w:fldCharType="begin"/>
      </w:r>
      <w:r w:rsidRPr="00EC0229">
        <w:instrText xml:space="preserve"> XE "</w:instrText>
      </w:r>
      <w:r w:rsidRPr="00EC0229">
        <w:rPr>
          <w:rFonts w:cs="Times New Roman"/>
          <w:szCs w:val="24"/>
        </w:rPr>
        <w:instrText>denier</w:instrText>
      </w:r>
      <w:r w:rsidRPr="00EC0229">
        <w:instrText xml:space="preserve">" </w:instrText>
      </w:r>
      <w:r w:rsidRPr="00EC0229">
        <w:fldChar w:fldCharType="end"/>
      </w:r>
      <w:r w:rsidRPr="00EC0229">
        <w:t xml:space="preserve"> of Reims</w:t>
      </w:r>
      <w:r w:rsidR="00684484" w:rsidRPr="00EC0229">
        <w:t>,</w:t>
      </w:r>
      <w:r w:rsidRPr="00EC0229">
        <w:rPr>
          <w:rStyle w:val="FootnoteReference"/>
        </w:rPr>
        <w:footnoteReference w:id="214"/>
      </w:r>
      <w:r w:rsidRPr="00EC0229">
        <w:t xml:space="preserve"> represented King Coenred and John of Beverley. One of the Fishergate</w:t>
      </w:r>
      <w:r w:rsidRPr="00EC0229">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fldChar w:fldCharType="end"/>
      </w:r>
      <w:r w:rsidRPr="00EC0229">
        <w:t xml:space="preserve"> Series J finds is a previously unrecorded/unremarked variety (now </w:t>
      </w:r>
      <w:r w:rsidRPr="00EC0229">
        <w:rPr>
          <w:i/>
        </w:rPr>
        <w:t>SL18</w:t>
      </w:r>
      <w:r w:rsidRPr="00EC0229">
        <w:t>-25</w:t>
      </w:r>
      <w:r w:rsidR="00684484" w:rsidRPr="00EC0229">
        <w:t>, type 85</w:t>
      </w:r>
      <w:r w:rsidRPr="00EC0229">
        <w:t xml:space="preserve">). These </w:t>
      </w:r>
      <w:r w:rsidR="00684484" w:rsidRPr="00EC0229">
        <w:t>types</w:t>
      </w:r>
      <w:r w:rsidRPr="00EC0229">
        <w:t xml:space="preserve"> may favour a source north of the Humber</w:t>
      </w:r>
      <w:r w:rsidR="00684484" w:rsidRPr="00EC0229">
        <w:t>, while</w:t>
      </w:r>
      <w:r w:rsidRPr="00EC0229">
        <w:t xml:space="preserve"> a pristine specimen of type 36, with a 7/8</w:t>
      </w:r>
      <w:r w:rsidRPr="00EC0229">
        <w:rPr>
          <w:vertAlign w:val="superscript"/>
        </w:rPr>
        <w:t xml:space="preserve">ths </w:t>
      </w:r>
      <w:r w:rsidRPr="00EC0229">
        <w:t xml:space="preserve">profile, plausibly the prototype, </w:t>
      </w:r>
      <w:r w:rsidR="00684484" w:rsidRPr="00EC0229">
        <w:t xml:space="preserve">was </w:t>
      </w:r>
      <w:r w:rsidRPr="00EC0229">
        <w:t>found at Castle Donington, Leicestershire.</w:t>
      </w:r>
      <w:r w:rsidR="00684484" w:rsidRPr="00EC0229">
        <w:t xml:space="preserve"> </w:t>
      </w:r>
    </w:p>
    <w:p w14:paraId="264CB9EF" w14:textId="77777777" w:rsidR="003F22F2" w:rsidRPr="00EC0229" w:rsidRDefault="003F22F2" w:rsidP="003F22F2">
      <w:pPr>
        <w:pStyle w:val="NoSpacing"/>
        <w:spacing w:line="360" w:lineRule="auto"/>
      </w:pPr>
      <w:r w:rsidRPr="00EC0229">
        <w:t xml:space="preserve">As regards Northumbrian stycas, while Adamson’s illustrations of 944 Hexham stycas remains helpful, Lyon (1955-7) initiated recent analysis. </w:t>
      </w:r>
      <w:r w:rsidRPr="00EC0229">
        <w:rPr>
          <w:iCs/>
        </w:rPr>
        <w:t>He mapped out the chronological foundations of the coinage, after studying the accumulation in the Yorkshire Museum particularly in respect of the Hexham</w:t>
      </w:r>
      <w:r w:rsidRPr="00EC0229">
        <w:rPr>
          <w:iCs/>
        </w:rPr>
        <w:fldChar w:fldCharType="begin"/>
      </w:r>
      <w:r w:rsidRPr="00EC0229">
        <w:instrText xml:space="preserve"> XE "Hexham" </w:instrText>
      </w:r>
      <w:r w:rsidRPr="00EC0229">
        <w:rPr>
          <w:iCs/>
        </w:rPr>
        <w:fldChar w:fldCharType="end"/>
      </w:r>
      <w:r w:rsidRPr="00EC0229">
        <w:rPr>
          <w:iCs/>
        </w:rPr>
        <w:t xml:space="preserve"> hoard in comparison to the St. Leonard’s Place and Bolton</w:t>
      </w:r>
      <w:r w:rsidRPr="00EC0229">
        <w:rPr>
          <w:iCs/>
        </w:rPr>
        <w:fldChar w:fldCharType="begin"/>
      </w:r>
      <w:r w:rsidRPr="00EC0229">
        <w:instrText xml:space="preserve"> XE "</w:instrText>
      </w:r>
      <w:r w:rsidRPr="00EC0229">
        <w:rPr>
          <w:rStyle w:val="Hyperlink"/>
          <w:rFonts w:eastAsia="Times New Roman"/>
          <w:noProof/>
          <w:u w:val="none"/>
          <w:lang w:eastAsia="en-GB"/>
        </w:rPr>
        <w:instrText>Bolton</w:instrText>
      </w:r>
      <w:r w:rsidRPr="00EC0229">
        <w:instrText xml:space="preserve">" </w:instrText>
      </w:r>
      <w:r w:rsidRPr="00EC0229">
        <w:rPr>
          <w:iCs/>
        </w:rPr>
        <w:fldChar w:fldCharType="end"/>
      </w:r>
      <w:r w:rsidRPr="00EC0229">
        <w:rPr>
          <w:iCs/>
        </w:rPr>
        <w:t xml:space="preserve"> Percy</w:t>
      </w:r>
      <w:r w:rsidRPr="00EC0229">
        <w:rPr>
          <w:iCs/>
        </w:rPr>
        <w:fldChar w:fldCharType="begin"/>
      </w:r>
      <w:r w:rsidRPr="00EC0229">
        <w:instrText xml:space="preserve"> XE "</w:instrText>
      </w:r>
      <w:r w:rsidRPr="00EC0229">
        <w:rPr>
          <w:rStyle w:val="Hyperlink"/>
          <w:noProof/>
          <w:u w:val="none"/>
        </w:rPr>
        <w:instrText>Bolton Percy</w:instrText>
      </w:r>
      <w:r w:rsidRPr="00EC0229">
        <w:instrText xml:space="preserve">" </w:instrText>
      </w:r>
      <w:r w:rsidRPr="00EC0229">
        <w:rPr>
          <w:iCs/>
        </w:rPr>
        <w:fldChar w:fldCharType="end"/>
      </w:r>
      <w:r w:rsidRPr="00EC0229">
        <w:rPr>
          <w:iCs/>
        </w:rPr>
        <w:t xml:space="preserve"> (1846) hoards. Die links enabled him to establish the members of Eanred</w:t>
      </w:r>
      <w:r w:rsidRPr="00EC0229">
        <w:rPr>
          <w:iCs/>
        </w:rPr>
        <w:fldChar w:fldCharType="begin"/>
      </w:r>
      <w:r w:rsidRPr="00EC0229">
        <w:instrText xml:space="preserve"> XE "Eanred" </w:instrText>
      </w:r>
      <w:r w:rsidRPr="00EC0229">
        <w:rPr>
          <w:iCs/>
        </w:rPr>
        <w:fldChar w:fldCharType="end"/>
      </w:r>
      <w:r w:rsidRPr="00EC0229">
        <w:rPr>
          <w:iCs/>
        </w:rPr>
        <w:t>’s ‘Group A</w:t>
      </w:r>
      <w:r w:rsidRPr="00EC0229">
        <w:rPr>
          <w:iCs/>
        </w:rPr>
        <w:fldChar w:fldCharType="begin"/>
      </w:r>
      <w:r w:rsidRPr="00EC0229">
        <w:instrText xml:space="preserve"> XE "Group A" </w:instrText>
      </w:r>
      <w:r w:rsidRPr="00EC0229">
        <w:rPr>
          <w:iCs/>
        </w:rPr>
        <w:fldChar w:fldCharType="end"/>
      </w:r>
      <w:r w:rsidRPr="00EC0229">
        <w:rPr>
          <w:iCs/>
        </w:rPr>
        <w:t>’/[N9] moneyers</w:t>
      </w:r>
      <w:r w:rsidRPr="00EC0229">
        <w:rPr>
          <w:iCs/>
        </w:rPr>
        <w:fldChar w:fldCharType="begin"/>
      </w:r>
      <w:r w:rsidRPr="00EC0229">
        <w:instrText xml:space="preserve"> XE "</w:instrText>
      </w:r>
      <w:r w:rsidRPr="00EC0229">
        <w:rPr>
          <w:rFonts w:cs="Times New Roman"/>
        </w:rPr>
        <w:instrText>Period N9</w:instrText>
      </w:r>
      <w:r w:rsidRPr="00EC0229">
        <w:instrText xml:space="preserve">" </w:instrText>
      </w:r>
      <w:r w:rsidRPr="00EC0229">
        <w:rPr>
          <w:iCs/>
        </w:rPr>
        <w:fldChar w:fldCharType="end"/>
      </w:r>
      <w:r w:rsidRPr="00EC0229">
        <w:rPr>
          <w:iCs/>
        </w:rPr>
        <w:t xml:space="preserve"> and to show that only these and the coins of Eanbald</w:t>
      </w:r>
      <w:r w:rsidRPr="00EC0229">
        <w:rPr>
          <w:iCs/>
        </w:rPr>
        <w:fldChar w:fldCharType="begin"/>
      </w:r>
      <w:r w:rsidRPr="00EC0229">
        <w:instrText xml:space="preserve"> XE "Eanbald" </w:instrText>
      </w:r>
      <w:r w:rsidRPr="00EC0229">
        <w:rPr>
          <w:iCs/>
        </w:rPr>
        <w:fldChar w:fldCharType="end"/>
      </w:r>
      <w:r w:rsidRPr="00EC0229">
        <w:rPr>
          <w:iCs/>
        </w:rPr>
        <w:t xml:space="preserve"> II date to before 837, when Wigmund</w:t>
      </w:r>
      <w:r w:rsidRPr="00EC0229">
        <w:rPr>
          <w:iCs/>
        </w:rPr>
        <w:fldChar w:fldCharType="begin"/>
      </w:r>
      <w:r w:rsidRPr="00EC0229">
        <w:instrText xml:space="preserve"> XE "Wigmund" </w:instrText>
      </w:r>
      <w:r w:rsidRPr="00EC0229">
        <w:rPr>
          <w:iCs/>
        </w:rPr>
        <w:fldChar w:fldCharType="end"/>
      </w:r>
      <w:r w:rsidRPr="00EC0229">
        <w:rPr>
          <w:iCs/>
        </w:rPr>
        <w:t xml:space="preserve"> succeeded Wulfsige. Lyon identified Eardwulf as the dominant moneyer of </w:t>
      </w:r>
      <w:r w:rsidRPr="00EC0229">
        <w:rPr>
          <w:rFonts w:cs="Times New Roman"/>
          <w:iCs/>
        </w:rPr>
        <w:t>Æ</w:t>
      </w:r>
      <w:r w:rsidRPr="00EC0229">
        <w:rPr>
          <w:iCs/>
        </w:rPr>
        <w:t>thelred</w:t>
      </w:r>
      <w:r w:rsidRPr="00EC0229">
        <w:rPr>
          <w:iCs/>
        </w:rPr>
        <w:fldChar w:fldCharType="begin"/>
      </w:r>
      <w:r w:rsidRPr="00EC0229">
        <w:instrText xml:space="preserve"> XE "</w:instrText>
      </w:r>
      <w:r w:rsidRPr="00EC0229">
        <w:rPr>
          <w:rFonts w:cs="Times New Roman"/>
        </w:rPr>
        <w:instrText>Æ</w:instrText>
      </w:r>
      <w:r w:rsidRPr="00EC0229">
        <w:instrText xml:space="preserve">thelred" </w:instrText>
      </w:r>
      <w:r w:rsidRPr="00EC0229">
        <w:rPr>
          <w:iCs/>
        </w:rPr>
        <w:fldChar w:fldCharType="end"/>
      </w:r>
      <w:r w:rsidRPr="00EC0229">
        <w:rPr>
          <w:iCs/>
        </w:rPr>
        <w:t xml:space="preserve"> II’s restoration,</w:t>
      </w:r>
      <w:r w:rsidRPr="00EC0229">
        <w:rPr>
          <w:rStyle w:val="FootnoteReference"/>
          <w:iCs/>
        </w:rPr>
        <w:footnoteReference w:id="215"/>
      </w:r>
      <w:r w:rsidRPr="00EC0229">
        <w:rPr>
          <w:iCs/>
        </w:rPr>
        <w:t xml:space="preserve"> suggested that Osberht</w:t>
      </w:r>
      <w:r w:rsidRPr="00EC0229">
        <w:rPr>
          <w:iCs/>
        </w:rPr>
        <w:fldChar w:fldCharType="begin"/>
      </w:r>
      <w:r w:rsidRPr="00EC0229">
        <w:instrText xml:space="preserve"> XE "Osberht" </w:instrText>
      </w:r>
      <w:r w:rsidRPr="00EC0229">
        <w:rPr>
          <w:iCs/>
        </w:rPr>
        <w:fldChar w:fldCharType="end"/>
      </w:r>
      <w:r w:rsidRPr="00EC0229">
        <w:rPr>
          <w:iCs/>
        </w:rPr>
        <w:t>’s output was limited in duration early in the reign and observed that the emissions of Wulfhere</w:t>
      </w:r>
      <w:r w:rsidRPr="00EC0229">
        <w:rPr>
          <w:iCs/>
        </w:rPr>
        <w:fldChar w:fldCharType="begin"/>
      </w:r>
      <w:r w:rsidRPr="00EC0229">
        <w:instrText xml:space="preserve"> XE "Wulfhere" </w:instrText>
      </w:r>
      <w:r w:rsidRPr="00EC0229">
        <w:rPr>
          <w:iCs/>
        </w:rPr>
        <w:fldChar w:fldCharType="end"/>
      </w:r>
      <w:r w:rsidRPr="00EC0229">
        <w:rPr>
          <w:iCs/>
        </w:rPr>
        <w:t xml:space="preserve"> (succeeded 854) by his sole moneyer Wulfred, in style and execution were neater than Osberht’s and closer to </w:t>
      </w:r>
      <w:r w:rsidRPr="00EC0229">
        <w:rPr>
          <w:rFonts w:cs="Times New Roman"/>
          <w:iCs/>
        </w:rPr>
        <w:t>Æ</w:t>
      </w:r>
      <w:r w:rsidRPr="00EC0229">
        <w:rPr>
          <w:iCs/>
        </w:rPr>
        <w:t>thelred II’s.</w:t>
      </w:r>
      <w:r w:rsidRPr="00EC0229">
        <w:rPr>
          <w:rStyle w:val="FootnoteReference"/>
          <w:iCs/>
        </w:rPr>
        <w:footnoteReference w:id="216"/>
      </w:r>
      <w:r w:rsidRPr="00EC0229">
        <w:rPr>
          <w:iCs/>
        </w:rPr>
        <w:t xml:space="preserve"> He favoured a date not before 830 for the appearance of silver-alloy</w:t>
      </w:r>
      <w:r w:rsidRPr="00EC0229">
        <w:rPr>
          <w:iCs/>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iCs/>
        </w:rPr>
        <w:fldChar w:fldCharType="end"/>
      </w:r>
      <w:r w:rsidRPr="00EC0229">
        <w:rPr>
          <w:iCs/>
        </w:rPr>
        <w:t xml:space="preserve"> coins and only a short interval after the death of Eanbald II before the base emissions were produced on a large scale in the last two or three years of Eanred’s reign. The 829 submission at Dore is here regarded as separating Eanred’s emissions. </w:t>
      </w:r>
    </w:p>
    <w:p w14:paraId="6885DF70" w14:textId="77777777" w:rsidR="003F22F2" w:rsidRPr="00EC0229" w:rsidRDefault="003F22F2" w:rsidP="003F22F2">
      <w:pPr>
        <w:pStyle w:val="NoSpacing"/>
        <w:spacing w:line="360" w:lineRule="auto"/>
        <w:rPr>
          <w:iCs/>
        </w:rPr>
      </w:pPr>
    </w:p>
    <w:p w14:paraId="72D9AED1" w14:textId="77777777" w:rsidR="003F22F2" w:rsidRPr="00EC0229" w:rsidRDefault="003F22F2" w:rsidP="003F22F2">
      <w:pPr>
        <w:pStyle w:val="NoSpacing"/>
        <w:spacing w:line="360" w:lineRule="auto"/>
        <w:rPr>
          <w:iCs/>
        </w:rPr>
      </w:pPr>
      <w:r w:rsidRPr="00EC0229">
        <w:rPr>
          <w:iCs/>
        </w:rPr>
        <w:lastRenderedPageBreak/>
        <w:t xml:space="preserve">Lyon also suggested, on stylistic grounds, that engravers worked, on both obverse and reverse dies, for several moneyers – an important demarcation of functions, as in most narratives there is a presumption that the </w:t>
      </w:r>
      <w:r w:rsidRPr="00EC0229">
        <w:rPr>
          <w:i/>
          <w:iCs/>
        </w:rPr>
        <w:t xml:space="preserve">monetarius </w:t>
      </w:r>
      <w:r w:rsidRPr="00EC0229">
        <w:rPr>
          <w:iCs/>
        </w:rPr>
        <w:t xml:space="preserve">financed, engraved and struck the coins whereas these rôles would have been separate and hierarchical. Sceats of different moneyers for </w:t>
      </w:r>
      <w:r w:rsidRPr="00EC0229">
        <w:rPr>
          <w:rFonts w:cs="Times New Roman"/>
          <w:iCs/>
        </w:rPr>
        <w:t>Æ</w:t>
      </w:r>
      <w:r w:rsidRPr="00EC0229">
        <w:rPr>
          <w:iCs/>
        </w:rPr>
        <w:t>thelred</w:t>
      </w:r>
      <w:r w:rsidRPr="00EC0229">
        <w:rPr>
          <w:iCs/>
        </w:rPr>
        <w:fldChar w:fldCharType="begin"/>
      </w:r>
      <w:r w:rsidRPr="00EC0229">
        <w:instrText xml:space="preserve"> XE "</w:instrText>
      </w:r>
      <w:r w:rsidRPr="00EC0229">
        <w:rPr>
          <w:rFonts w:cs="Times New Roman"/>
        </w:rPr>
        <w:instrText>Æ</w:instrText>
      </w:r>
      <w:r w:rsidRPr="00EC0229">
        <w:instrText xml:space="preserve">thelred" </w:instrText>
      </w:r>
      <w:r w:rsidRPr="00EC0229">
        <w:rPr>
          <w:iCs/>
        </w:rPr>
        <w:fldChar w:fldCharType="end"/>
      </w:r>
      <w:r w:rsidRPr="00EC0229">
        <w:rPr>
          <w:iCs/>
        </w:rPr>
        <w:t xml:space="preserve"> I may well have been engraved by the same hand and this practice seems to have continued into later periods.</w:t>
      </w:r>
    </w:p>
    <w:p w14:paraId="24146DAE" w14:textId="77777777" w:rsidR="003F22F2" w:rsidRPr="00EC0229" w:rsidRDefault="003F22F2" w:rsidP="003F22F2">
      <w:pPr>
        <w:pStyle w:val="NoSpacing"/>
        <w:spacing w:line="360" w:lineRule="auto"/>
      </w:pPr>
    </w:p>
    <w:p w14:paraId="615FC5EA" w14:textId="6A8AA4A5" w:rsidR="00964931" w:rsidRPr="00EC0229" w:rsidRDefault="003F22F2" w:rsidP="003F22F2">
      <w:pPr>
        <w:pStyle w:val="NoSpacing"/>
        <w:spacing w:line="360" w:lineRule="auto"/>
      </w:pPr>
      <w:r w:rsidRPr="00EC0229">
        <w:t xml:space="preserve">Pirie was prolific in exploring a complex field, but the flawed taxonomy of her </w:t>
      </w:r>
      <w:r w:rsidRPr="00EC0229">
        <w:rPr>
          <w:i/>
        </w:rPr>
        <w:t xml:space="preserve">magnum opus </w:t>
      </w:r>
      <w:r w:rsidRPr="00EC0229">
        <w:t>(</w:t>
      </w:r>
      <w:r w:rsidRPr="00EC0229">
        <w:rPr>
          <w:i/>
        </w:rPr>
        <w:t>CKN,</w:t>
      </w:r>
      <w:r w:rsidRPr="00EC0229">
        <w:t xml:space="preserve"> 1997) left a difficult legacy. Pagan’s review of </w:t>
      </w:r>
      <w:r w:rsidRPr="00EC0229">
        <w:rPr>
          <w:i/>
        </w:rPr>
        <w:t>CKN</w:t>
      </w:r>
      <w:r w:rsidRPr="00EC0229">
        <w:t xml:space="preserve"> engaged with Pirie’s eccentricity.</w:t>
      </w:r>
      <w:r w:rsidRPr="00EC0229">
        <w:rPr>
          <w:rStyle w:val="FootnoteReference"/>
        </w:rPr>
        <w:footnoteReference w:id="217"/>
      </w:r>
      <w:r w:rsidRPr="00EC0229">
        <w:t xml:space="preserve"> Pirie</w:t>
      </w:r>
      <w:r w:rsidRPr="00EC0229">
        <w:fldChar w:fldCharType="begin"/>
      </w:r>
      <w:r w:rsidRPr="00EC0229">
        <w:instrText xml:space="preserve"> XE "Pirie" </w:instrText>
      </w:r>
      <w:r w:rsidRPr="00EC0229">
        <w:fldChar w:fldCharType="end"/>
      </w:r>
      <w:r w:rsidRPr="00EC0229">
        <w:t xml:space="preserve"> committed herself to building an unparalleled corpus of stycas</w:t>
      </w:r>
      <w:r w:rsidR="00CE2559" w:rsidRPr="00EC0229">
        <w:t xml:space="preserve"> but her classification was subject to a lively debate.</w:t>
      </w:r>
      <w:r w:rsidR="00CE2559" w:rsidRPr="00EC0229">
        <w:rPr>
          <w:rStyle w:val="FootnoteReference"/>
          <w:lang w:val="en-US"/>
        </w:rPr>
        <w:footnoteReference w:id="218"/>
      </w:r>
      <w:r w:rsidRPr="00EC0229">
        <w:t xml:space="preserve"> </w:t>
      </w:r>
      <w:r w:rsidR="00CE2559" w:rsidRPr="00EC0229">
        <w:t>While it was clear that close attention to Northumbrian orthography was necessary,</w:t>
      </w:r>
      <w:r w:rsidRPr="00EC0229">
        <w:t xml:space="preserve"> </w:t>
      </w:r>
      <w:r w:rsidR="00CE2559" w:rsidRPr="00EC0229">
        <w:t>her undue</w:t>
      </w:r>
      <w:r w:rsidRPr="00EC0229">
        <w:t xml:space="preserve"> emphasis on epigraphy and central motifs created a keenly contested </w:t>
      </w:r>
      <w:r w:rsidR="00CE2559" w:rsidRPr="00EC0229">
        <w:t>arrangement</w:t>
      </w:r>
      <w:r w:rsidRPr="00EC0229">
        <w:t xml:space="preserve"> based on her ‘phases and groups’ which Pirie w</w:t>
      </w:r>
      <w:r w:rsidR="00964931" w:rsidRPr="00EC0229">
        <w:t>as adamant should be published but she denied herself Sylloge endorsement</w:t>
      </w:r>
      <w:r w:rsidR="00D613AE" w:rsidRPr="00EC0229">
        <w:t>,</w:t>
      </w:r>
      <w:r w:rsidR="009F61C3" w:rsidRPr="00EC0229">
        <w:t xml:space="preserve"> despite Metcalf’s plea that ‘t</w:t>
      </w:r>
      <w:r w:rsidR="00964931" w:rsidRPr="00EC0229">
        <w:t>his is purely a didactic problem’.</w:t>
      </w:r>
    </w:p>
    <w:p w14:paraId="79A759DE" w14:textId="231B26DE" w:rsidR="00964931" w:rsidRPr="00EC0229" w:rsidRDefault="00964931" w:rsidP="00964931">
      <w:pPr>
        <w:pStyle w:val="NoSpacing"/>
        <w:spacing w:line="360" w:lineRule="auto"/>
      </w:pPr>
    </w:p>
    <w:p w14:paraId="04A65E6D" w14:textId="07CB8EC5" w:rsidR="00964931" w:rsidRPr="00EC0229" w:rsidRDefault="00964931" w:rsidP="00964931">
      <w:pPr>
        <w:spacing w:line="360" w:lineRule="auto"/>
      </w:pPr>
      <w:r w:rsidRPr="00EC0229">
        <w:t xml:space="preserve">In early June 1987, Metcalf again wrote to Pirie regretting her decision to withdraw the Sylloge volume on the basis that she would prefer the work to be unpublished rather than appear in an emasculated form. He made an articulate, reasoned </w:t>
      </w:r>
      <w:r w:rsidR="002B7D7E" w:rsidRPr="00EC0229">
        <w:t xml:space="preserve">if frank </w:t>
      </w:r>
      <w:r w:rsidRPr="00EC0229">
        <w:t>argument</w:t>
      </w:r>
      <w:r w:rsidR="002B7D7E" w:rsidRPr="00EC0229">
        <w:t>, referring</w:t>
      </w:r>
      <w:r w:rsidRPr="00EC0229">
        <w:t xml:space="preserve"> to her denial of the separation between Æthelred II’s first and second reign moneyers</w:t>
      </w:r>
      <w:r w:rsidRPr="00EC0229">
        <w:rPr>
          <w:rStyle w:val="FootnoteReference"/>
        </w:rPr>
        <w:footnoteReference w:id="219"/>
      </w:r>
      <w:r w:rsidR="009C59C9" w:rsidRPr="00EC0229">
        <w:t xml:space="preserve"> and</w:t>
      </w:r>
      <w:r w:rsidRPr="00EC0229">
        <w:t xml:space="preserve"> the lack of evidence for </w:t>
      </w:r>
      <w:r w:rsidRPr="00EC0229">
        <w:rPr>
          <w:i/>
          <w:iCs/>
        </w:rPr>
        <w:t>ateliers</w:t>
      </w:r>
      <w:r w:rsidRPr="00EC0229">
        <w:t xml:space="preserve"> other than York. </w:t>
      </w:r>
      <w:r w:rsidR="009C59C9" w:rsidRPr="00EC0229">
        <w:t xml:space="preserve">He argued </w:t>
      </w:r>
      <w:r w:rsidR="00D613AE" w:rsidRPr="00EC0229">
        <w:t xml:space="preserve">that </w:t>
      </w:r>
      <w:r w:rsidR="009C59C9" w:rsidRPr="00EC0229">
        <w:t xml:space="preserve">she had failed to separate </w:t>
      </w:r>
      <w:r w:rsidRPr="00EC0229">
        <w:t xml:space="preserve">die-cutting from die-use. </w:t>
      </w:r>
      <w:r w:rsidR="009C59C9" w:rsidRPr="00EC0229">
        <w:t>He did try to find a way to accommodate her unconventional name forms: they ‘</w:t>
      </w:r>
      <w:r w:rsidRPr="00EC0229">
        <w:t>need be no hindrance to the reader grasping any arguments that you have to make</w:t>
      </w:r>
      <w:r w:rsidR="009C59C9" w:rsidRPr="00EC0229">
        <w:t>.’ Metcalf diplomatically balanced</w:t>
      </w:r>
      <w:r w:rsidRPr="00EC0229">
        <w:t xml:space="preserve"> harsh cr</w:t>
      </w:r>
      <w:r w:rsidR="009C59C9" w:rsidRPr="00EC0229">
        <w:t>iticism with justified praise: ‘</w:t>
      </w:r>
      <w:r w:rsidRPr="00EC0229">
        <w:t xml:space="preserve">You have invested an enormous amount of skill and devotion and effort into the Yorkshire stycas, and the results of your numbering and illustrating the dies, and presenting the die-chains, will be to make the styca </w:t>
      </w:r>
      <w:r w:rsidRPr="00EC0229">
        <w:lastRenderedPageBreak/>
        <w:t xml:space="preserve">series one of the show-pieces of medieval numismatics, with </w:t>
      </w:r>
      <w:bookmarkStart w:id="106" w:name="enormouspotential"/>
      <w:r w:rsidRPr="00EC0229">
        <w:t xml:space="preserve">enormous potential </w:t>
      </w:r>
      <w:bookmarkEnd w:id="106"/>
      <w:r w:rsidRPr="00EC0229">
        <w:t>for future research. That’s why it is a public as well as private tragedy if yo</w:t>
      </w:r>
      <w:r w:rsidR="009C59C9" w:rsidRPr="00EC0229">
        <w:t>u perversely throw it all away.’</w:t>
      </w:r>
    </w:p>
    <w:p w14:paraId="3EC07976" w14:textId="1EDDC745" w:rsidR="003F22F2" w:rsidRPr="00EC0229" w:rsidRDefault="009C59C9" w:rsidP="003F22F2">
      <w:pPr>
        <w:pStyle w:val="NoSpacing"/>
        <w:spacing w:line="360" w:lineRule="auto"/>
      </w:pPr>
      <w:r w:rsidRPr="00EC0229">
        <w:t>Pirie appeared to have compromised temporarily but, by May 1990, in a joint letter Metcalf and Blackburn felt obliged to exp</w:t>
      </w:r>
      <w:r w:rsidR="00D613AE" w:rsidRPr="00EC0229">
        <w:t>ress concerns that the Sylloge wa</w:t>
      </w:r>
      <w:r w:rsidRPr="00EC0229">
        <w:t>s not the proper forum for a ‘radical new arrangement’.</w:t>
      </w:r>
      <w:r w:rsidR="00460F21" w:rsidRPr="00EC0229">
        <w:rPr>
          <w:rStyle w:val="FootnoteReference"/>
        </w:rPr>
        <w:footnoteReference w:id="220"/>
      </w:r>
      <w:r w:rsidRPr="00EC0229">
        <w:t xml:space="preserve"> They </w:t>
      </w:r>
      <w:r w:rsidR="009E5C95" w:rsidRPr="00EC0229">
        <w:t>defined</w:t>
      </w:r>
      <w:r w:rsidRPr="00EC0229">
        <w:t xml:space="preserve"> the conventional orthography</w:t>
      </w:r>
      <w:r w:rsidR="009E5C95" w:rsidRPr="00EC0229">
        <w:t xml:space="preserve"> in detail,</w:t>
      </w:r>
      <w:r w:rsidRPr="00EC0229">
        <w:rPr>
          <w:lang w:val="en-US"/>
        </w:rPr>
        <w:t xml:space="preserve"> </w:t>
      </w:r>
      <w:r w:rsidR="009E5C95" w:rsidRPr="00EC0229">
        <w:rPr>
          <w:lang w:val="en-US"/>
        </w:rPr>
        <w:t>but</w:t>
      </w:r>
      <w:r w:rsidRPr="00EC0229">
        <w:rPr>
          <w:lang w:val="en-US"/>
        </w:rPr>
        <w:t xml:space="preserve"> this proved counterproductive.</w:t>
      </w:r>
      <w:r w:rsidRPr="00EC0229">
        <w:rPr>
          <w:rStyle w:val="FootnoteReference"/>
          <w:lang w:val="en-US"/>
        </w:rPr>
        <w:footnoteReference w:id="221"/>
      </w:r>
      <w:r w:rsidR="003C7FF0" w:rsidRPr="00EC0229">
        <w:rPr>
          <w:lang w:val="en-US"/>
        </w:rPr>
        <w:t xml:space="preserve"> </w:t>
      </w:r>
      <w:r w:rsidR="009E5C95" w:rsidRPr="00EC0229">
        <w:rPr>
          <w:lang w:val="en-US"/>
        </w:rPr>
        <w:t>N</w:t>
      </w:r>
      <w:r w:rsidR="00D613AE" w:rsidRPr="00EC0229">
        <w:rPr>
          <w:lang w:val="en-US"/>
        </w:rPr>
        <w:t>o Sylloge was produced,</w:t>
      </w:r>
      <w:r w:rsidR="003F22F2" w:rsidRPr="00EC0229">
        <w:rPr>
          <w:lang w:val="en-US"/>
        </w:rPr>
        <w:t xml:space="preserve"> in view of the justifiably hostile stance of the Sylloge Committee, </w:t>
      </w:r>
      <w:r w:rsidR="009E5C95" w:rsidRPr="00EC0229">
        <w:rPr>
          <w:lang w:val="en-US"/>
        </w:rPr>
        <w:t xml:space="preserve">but </w:t>
      </w:r>
      <w:r w:rsidR="003F22F2" w:rsidRPr="00EC0229">
        <w:rPr>
          <w:i/>
          <w:lang w:val="en-US"/>
        </w:rPr>
        <w:t>CKN</w:t>
      </w:r>
      <w:r w:rsidR="003F22F2" w:rsidRPr="00EC0229">
        <w:rPr>
          <w:i/>
          <w:lang w:val="en-US"/>
        </w:rPr>
        <w:fldChar w:fldCharType="begin"/>
      </w:r>
      <w:r w:rsidR="003F22F2" w:rsidRPr="00EC0229">
        <w:instrText xml:space="preserve"> XE "CKN" </w:instrText>
      </w:r>
      <w:r w:rsidR="003F22F2" w:rsidRPr="00EC0229">
        <w:rPr>
          <w:i/>
          <w:lang w:val="en-US"/>
        </w:rPr>
        <w:fldChar w:fldCharType="end"/>
      </w:r>
      <w:r w:rsidR="003F22F2" w:rsidRPr="00EC0229">
        <w:rPr>
          <w:lang w:val="en-US"/>
        </w:rPr>
        <w:t xml:space="preserve"> was published privately in</w:t>
      </w:r>
      <w:r w:rsidR="003F22F2" w:rsidRPr="00EC0229">
        <w:t xml:space="preserve"> 1996</w:t>
      </w:r>
      <w:r w:rsidR="003F22F2" w:rsidRPr="00EC0229">
        <w:rPr>
          <w:iCs/>
        </w:rPr>
        <w:t>.</w:t>
      </w:r>
      <w:r w:rsidR="003F22F2" w:rsidRPr="00EC0229">
        <w:rPr>
          <w:rStyle w:val="FootnoteReference"/>
          <w:iCs/>
        </w:rPr>
        <w:footnoteReference w:id="222"/>
      </w:r>
      <w:r w:rsidR="003F22F2" w:rsidRPr="00EC0229">
        <w:rPr>
          <w:iCs/>
        </w:rPr>
        <w:t xml:space="preserve"> </w:t>
      </w:r>
    </w:p>
    <w:p w14:paraId="1A477842" w14:textId="77777777" w:rsidR="009F1496" w:rsidRPr="00EC0229" w:rsidRDefault="009F1496" w:rsidP="003F22F2">
      <w:pPr>
        <w:pStyle w:val="NoSpacing"/>
        <w:spacing w:line="360" w:lineRule="auto"/>
      </w:pPr>
    </w:p>
    <w:p w14:paraId="2472E874" w14:textId="08B487F4" w:rsidR="003F22F2" w:rsidRPr="00EC0229" w:rsidRDefault="003F22F2" w:rsidP="003F22F2">
      <w:pPr>
        <w:pStyle w:val="NoSpacing"/>
        <w:spacing w:line="360" w:lineRule="auto"/>
      </w:pPr>
      <w:r w:rsidRPr="00EC0229">
        <w:t>Pirie</w:t>
      </w:r>
      <w:r w:rsidRPr="00EC0229">
        <w:fldChar w:fldCharType="begin"/>
      </w:r>
      <w:r w:rsidRPr="00EC0229">
        <w:instrText xml:space="preserve"> XE "Pirie" </w:instrText>
      </w:r>
      <w:r w:rsidRPr="00EC0229">
        <w:fldChar w:fldCharType="end"/>
      </w:r>
      <w:r w:rsidRPr="00EC0229">
        <w:t xml:space="preserve"> chose to distinguish between Northumbrian sceats and stycas </w:t>
      </w:r>
      <w:r w:rsidR="00FD05A0" w:rsidRPr="00EC0229">
        <w:t>based on</w:t>
      </w:r>
      <w:r w:rsidRPr="00EC0229">
        <w:t xml:space="preserve"> design rather than metal content. She regarded the inscriptional sceats as a departure in the 780s, such that the named moneyer sceats of </w:t>
      </w:r>
      <w:r w:rsidRPr="00EC0229">
        <w:rPr>
          <w:rFonts w:cs="Times New Roman"/>
        </w:rPr>
        <w:t>Æ</w:t>
      </w:r>
      <w:r w:rsidRPr="00EC0229">
        <w:t>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 are catalogued as stycas despite there being no perceptible change in metallurgy – and even though the controversy over whether this was an innovation of </w:t>
      </w:r>
      <w:r w:rsidRPr="00EC0229">
        <w:rPr>
          <w:rFonts w:cs="Times New Roman"/>
        </w:rPr>
        <w:t>Æ</w:t>
      </w:r>
      <w:r w:rsidRPr="00EC0229">
        <w:t>lfwald</w:t>
      </w:r>
      <w:r w:rsidRPr="00EC0229">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fldChar w:fldCharType="end"/>
      </w:r>
      <w:r w:rsidRPr="00EC0229">
        <w:t xml:space="preserve"> I or </w:t>
      </w:r>
      <w:r w:rsidRPr="00EC0229">
        <w:rPr>
          <w:rFonts w:cs="Times New Roman"/>
        </w:rPr>
        <w:t>Æ</w:t>
      </w:r>
      <w:r w:rsidRPr="00EC0229">
        <w:t>thelred I remained – and remains - unresolved. Her Phase I covered both inscriptional sceats and Eanred</w:t>
      </w:r>
      <w:r w:rsidRPr="00EC0229">
        <w:fldChar w:fldCharType="begin"/>
      </w:r>
      <w:r w:rsidRPr="00EC0229">
        <w:instrText xml:space="preserve"> XE "Eanred" </w:instrText>
      </w:r>
      <w:r w:rsidRPr="00EC0229">
        <w:fldChar w:fldCharType="end"/>
      </w:r>
      <w:r w:rsidRPr="00EC0229">
        <w:t>’s silver-alloy</w:t>
      </w:r>
      <w:r w:rsidRPr="00EC0229">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fldChar w:fldCharType="end"/>
      </w:r>
      <w:r w:rsidRPr="00EC0229">
        <w:t xml:space="preserve"> issues, here divided into Periods N8 and N9 (see page</w:t>
      </w:r>
      <w:r w:rsidR="00D613AE" w:rsidRPr="00EC0229">
        <w:t xml:space="preserve"> </w:t>
      </w:r>
      <w:r w:rsidR="00D613AE" w:rsidRPr="00EC0229">
        <w:fldChar w:fldCharType="begin"/>
      </w:r>
      <w:r w:rsidR="00D613AE" w:rsidRPr="00EC0229">
        <w:instrText xml:space="preserve"> REF PeriodN8 \h </w:instrText>
      </w:r>
      <w:r w:rsidR="00D613AE" w:rsidRPr="00EC0229">
        <w:fldChar w:fldCharType="end"/>
      </w:r>
      <w:r w:rsidR="00D613AE" w:rsidRPr="00EC0229">
        <w:fldChar w:fldCharType="begin"/>
      </w:r>
      <w:r w:rsidR="00D613AE" w:rsidRPr="00EC0229">
        <w:instrText xml:space="preserve"> REF PeriodN8 \h </w:instrText>
      </w:r>
      <w:r w:rsidR="00D613AE" w:rsidRPr="00EC0229">
        <w:fldChar w:fldCharType="end"/>
      </w:r>
      <w:r w:rsidR="00D613AE" w:rsidRPr="00EC0229">
        <w:fldChar w:fldCharType="begin"/>
      </w:r>
      <w:r w:rsidR="00D613AE" w:rsidRPr="00EC0229">
        <w:instrText xml:space="preserve"> PAGEREF PeriodN8 \h </w:instrText>
      </w:r>
      <w:r w:rsidR="00D613AE" w:rsidRPr="00EC0229">
        <w:fldChar w:fldCharType="separate"/>
      </w:r>
      <w:r w:rsidR="0012026B">
        <w:rPr>
          <w:noProof/>
        </w:rPr>
        <w:t>127</w:t>
      </w:r>
      <w:r w:rsidR="00D613AE" w:rsidRPr="00EC0229">
        <w:fldChar w:fldCharType="end"/>
      </w:r>
      <w:r w:rsidRPr="00EC0229">
        <w:t xml:space="preserve">). </w:t>
      </w:r>
      <w:r w:rsidRPr="00EC0229">
        <w:rPr>
          <w:rFonts w:cs="Times New Roman"/>
        </w:rPr>
        <w:t>Lyon suggested that the move to base metal is due to Mercian ascendancy inhibiting supplies of Welsh silver.</w:t>
      </w:r>
      <w:r w:rsidRPr="00EC0229">
        <w:rPr>
          <w:rStyle w:val="FootnoteReference"/>
          <w:rFonts w:cs="Times New Roman"/>
        </w:rPr>
        <w:footnoteReference w:id="223"/>
      </w:r>
      <w:r w:rsidRPr="00EC0229">
        <w:rPr>
          <w:rFonts w:cs="Times New Roman"/>
        </w:rPr>
        <w:t xml:space="preserve"> </w:t>
      </w:r>
      <w:r w:rsidRPr="00EC0229">
        <w:t>Might submission to King Ecgberht</w:t>
      </w:r>
      <w:r w:rsidRPr="00EC0229">
        <w:fldChar w:fldCharType="begin"/>
      </w:r>
      <w:r w:rsidRPr="00EC0229">
        <w:instrText xml:space="preserve"> XE "Ecgberht" </w:instrText>
      </w:r>
      <w:r w:rsidRPr="00EC0229">
        <w:fldChar w:fldCharType="end"/>
      </w:r>
      <w:r w:rsidRPr="00EC0229">
        <w:t xml:space="preserve"> of Wessex at Dore in 829 have caused not just a loss of prestige but also of silver supply? This event conceivably divides Periods N9 and N10a (see page</w:t>
      </w:r>
      <w:r w:rsidR="00D613AE" w:rsidRPr="00EC0229">
        <w:t xml:space="preserve"> </w:t>
      </w:r>
      <w:r w:rsidR="00D613AE" w:rsidRPr="00EC0229">
        <w:fldChar w:fldCharType="begin"/>
      </w:r>
      <w:r w:rsidR="00D613AE" w:rsidRPr="00EC0229">
        <w:instrText xml:space="preserve"> PAGEREF PeriodN9 \h </w:instrText>
      </w:r>
      <w:r w:rsidR="00D613AE" w:rsidRPr="00EC0229">
        <w:fldChar w:fldCharType="separate"/>
      </w:r>
      <w:r w:rsidR="0012026B">
        <w:rPr>
          <w:noProof/>
        </w:rPr>
        <w:t>135</w:t>
      </w:r>
      <w:r w:rsidR="00D613AE" w:rsidRPr="00EC0229">
        <w:fldChar w:fldCharType="end"/>
      </w:r>
      <w:r w:rsidRPr="00EC0229">
        <w:t>).</w:t>
      </w:r>
    </w:p>
    <w:p w14:paraId="674C5FDD" w14:textId="77777777" w:rsidR="003F22F2" w:rsidRPr="00EC0229" w:rsidRDefault="003F22F2" w:rsidP="003F22F2">
      <w:pPr>
        <w:pStyle w:val="NoSpacing"/>
        <w:spacing w:line="360" w:lineRule="auto"/>
      </w:pPr>
    </w:p>
    <w:p w14:paraId="6ABF1EED" w14:textId="5FE9D43F" w:rsidR="00B35ED4" w:rsidRPr="00EC0229" w:rsidRDefault="00B35ED4" w:rsidP="00B35ED4">
      <w:pPr>
        <w:pStyle w:val="NoSpacing"/>
        <w:spacing w:line="360" w:lineRule="auto"/>
      </w:pPr>
      <w:r w:rsidRPr="00EC0229">
        <w:t xml:space="preserve">Furthermore, </w:t>
      </w:r>
      <w:r w:rsidR="009F1496" w:rsidRPr="00EC0229">
        <w:t>Pirie</w:t>
      </w:r>
      <w:r w:rsidR="009F1496" w:rsidRPr="00EC0229">
        <w:fldChar w:fldCharType="begin"/>
      </w:r>
      <w:r w:rsidR="009F1496" w:rsidRPr="00EC0229">
        <w:instrText xml:space="preserve"> XE "Pirie" </w:instrText>
      </w:r>
      <w:r w:rsidR="009F1496" w:rsidRPr="00EC0229">
        <w:fldChar w:fldCharType="end"/>
      </w:r>
      <w:r w:rsidR="009F1496" w:rsidRPr="00EC0229">
        <w:t xml:space="preserve"> had overstated the significance of apparent die links in the later, chaotic period of styca manufacture, when, as Booth pointed out, the </w:t>
      </w:r>
      <w:r w:rsidR="00FD05A0" w:rsidRPr="00EC0229">
        <w:t>proximity</w:t>
      </w:r>
      <w:r w:rsidR="009F1496" w:rsidRPr="00EC0229">
        <w:t xml:space="preserve"> of die-cutters ‘seems to offer the only plausible explanation for the promiscuous sharing of dies which is such a prominent feature of the coinage’.</w:t>
      </w:r>
      <w:r w:rsidR="009F1496" w:rsidRPr="00EC0229">
        <w:rPr>
          <w:rStyle w:val="FootnoteReference"/>
        </w:rPr>
        <w:footnoteReference w:id="224"/>
      </w:r>
      <w:r w:rsidR="009F1496" w:rsidRPr="00EC0229">
        <w:t xml:space="preserve"> One cannot assume that non-current dies are retired – they are heavily and randomly re-used.</w:t>
      </w:r>
      <w:r w:rsidRPr="00EC0229">
        <w:t xml:space="preserve"> </w:t>
      </w:r>
    </w:p>
    <w:p w14:paraId="4E28488E" w14:textId="77777777" w:rsidR="00B35ED4" w:rsidRPr="00EC0229" w:rsidRDefault="00B35ED4" w:rsidP="00B35ED4">
      <w:pPr>
        <w:pStyle w:val="NoSpacing"/>
        <w:spacing w:line="360" w:lineRule="auto"/>
      </w:pPr>
    </w:p>
    <w:p w14:paraId="0C5C465F" w14:textId="4272EE2F" w:rsidR="00B35ED4" w:rsidRPr="00EC0229" w:rsidRDefault="00B35ED4" w:rsidP="00B35ED4">
      <w:pPr>
        <w:pStyle w:val="NoSpacing"/>
        <w:spacing w:line="360" w:lineRule="auto"/>
      </w:pPr>
      <w:r w:rsidRPr="00EC0229">
        <w:rPr>
          <w:iCs/>
        </w:rPr>
        <w:t>While Pirie’s corpus is invaluable, what she added to Lyon’s exposition was confusion.</w:t>
      </w:r>
    </w:p>
    <w:p w14:paraId="3C3CEFE6" w14:textId="30CEC052" w:rsidR="009F1496" w:rsidRPr="00EC0229" w:rsidRDefault="009F1496" w:rsidP="009F1496">
      <w:pPr>
        <w:pStyle w:val="NoSpacing"/>
        <w:spacing w:line="360" w:lineRule="auto"/>
      </w:pPr>
    </w:p>
    <w:p w14:paraId="3E932CE7" w14:textId="77777777" w:rsidR="009F1496" w:rsidRPr="00EC0229" w:rsidRDefault="009F1496" w:rsidP="009F1496">
      <w:pPr>
        <w:pStyle w:val="NoSpacing"/>
        <w:spacing w:line="360" w:lineRule="auto"/>
      </w:pPr>
    </w:p>
    <w:p w14:paraId="2D0A1CA6" w14:textId="77777777" w:rsidR="003F22F2" w:rsidRPr="00EC0229" w:rsidRDefault="003F22F2" w:rsidP="003F22F2">
      <w:pPr>
        <w:pStyle w:val="NoSpacing"/>
      </w:pPr>
    </w:p>
    <w:p w14:paraId="717F3EC6" w14:textId="5C5840C7" w:rsidR="006237D7" w:rsidRPr="00EC0229" w:rsidRDefault="00225C7F" w:rsidP="006237D7">
      <w:pPr>
        <w:pStyle w:val="Heading3"/>
        <w:rPr>
          <w:b w:val="0"/>
        </w:rPr>
      </w:pPr>
      <w:bookmarkStart w:id="107" w:name="_Toc468266749"/>
      <w:r>
        <w:lastRenderedPageBreak/>
        <w:t>2</w:t>
      </w:r>
      <w:r w:rsidR="00624DF5">
        <w:t>.2.2</w:t>
      </w:r>
      <w:r w:rsidR="00624DF5">
        <w:tab/>
      </w:r>
      <w:r w:rsidR="006237D7" w:rsidRPr="008E6548">
        <w:t>Northumbrian</w:t>
      </w:r>
      <w:r w:rsidR="006237D7" w:rsidRPr="00EC0229">
        <w:rPr>
          <w:b w:val="0"/>
        </w:rPr>
        <w:t xml:space="preserve"> </w:t>
      </w:r>
      <w:r w:rsidR="006237D7" w:rsidRPr="008E6548">
        <w:t>economics</w:t>
      </w:r>
      <w:bookmarkEnd w:id="107"/>
      <w:r w:rsidR="006237D7" w:rsidRPr="00EC0229">
        <w:rPr>
          <w:b w:val="0"/>
        </w:rPr>
        <w:t xml:space="preserve"> </w:t>
      </w:r>
    </w:p>
    <w:p w14:paraId="48F36BA1" w14:textId="75B4CDD9" w:rsidR="003F22F2" w:rsidRPr="00EC0229" w:rsidRDefault="003F22F2" w:rsidP="003F22F2">
      <w:pPr>
        <w:spacing w:line="360" w:lineRule="auto"/>
      </w:pPr>
      <w:r w:rsidRPr="00EC0229">
        <w:t>Modern scholarship with a substantial emphasis on the post-Roman economic transformation</w:t>
      </w:r>
      <w:r w:rsidR="00A85E68" w:rsidRPr="00EC0229">
        <w:t xml:space="preserve"> of Northumbria includes Hunter-</w:t>
      </w:r>
      <w:r w:rsidRPr="00EC0229">
        <w:t>Blair (1956), Marsden (1992), Cramp (1995), Higham (1993, 1999), Hansen &amp; Wickham (2000), Manby, Moorhouse &amp; Ottaway (2003) Rollason (2003), Smith (2006), Wormald (2006), Pryor (2010, 209-34), Woodman (2012), and Higham &amp; Ryan (2013, 20-178). Hyer &amp; Owen-Crocker (2011) and Banham &amp; Faith (2014) focussing respectively on material culture and agriculture, are practical economic studies but relate substantially to later periods.</w:t>
      </w:r>
      <w:r w:rsidRPr="00EC0229">
        <w:rPr>
          <w:rStyle w:val="FootnoteReference"/>
        </w:rPr>
        <w:footnoteReference w:id="225"/>
      </w:r>
      <w:r w:rsidRPr="00EC0229">
        <w:t xml:space="preserve"> </w:t>
      </w:r>
    </w:p>
    <w:p w14:paraId="3D74E983" w14:textId="60EDFC08" w:rsidR="003F22F2" w:rsidRPr="00EC0229" w:rsidRDefault="003F22F2" w:rsidP="002D31FD">
      <w:pPr>
        <w:spacing w:line="360" w:lineRule="auto"/>
        <w:rPr>
          <w:rFonts w:asciiTheme="minorHAnsi" w:hAnsiTheme="minorHAnsi" w:cstheme="minorHAnsi"/>
          <w:szCs w:val="24"/>
        </w:rPr>
      </w:pPr>
      <w:r w:rsidRPr="00EC0229">
        <w:t>Though the evidence for demographic and economic change in the post-Roman era remains slender, the century-long numismatic discontinuity after Patching (</w:t>
      </w:r>
      <w:r w:rsidR="00D63DF6" w:rsidRPr="00EC0229">
        <w:fldChar w:fldCharType="begin"/>
      </w:r>
      <w:r w:rsidR="00D63DF6" w:rsidRPr="00EC0229">
        <w:instrText xml:space="preserve"> PAGEREF Patching \h </w:instrText>
      </w:r>
      <w:r w:rsidR="00D63DF6" w:rsidRPr="00EC0229">
        <w:fldChar w:fldCharType="separate"/>
      </w:r>
      <w:r w:rsidR="0012026B">
        <w:rPr>
          <w:noProof/>
        </w:rPr>
        <w:t>91</w:t>
      </w:r>
      <w:r w:rsidR="00D63DF6" w:rsidRPr="00EC0229">
        <w:fldChar w:fldCharType="end"/>
      </w:r>
      <w:r w:rsidRPr="00EC0229">
        <w:t>) is indicative of a declining need for a ready medium. Retrenchment probably implies agricultural withdrawal to the most fecund land and produce. Loveluck</w:t>
      </w:r>
      <w:bookmarkStart w:id="108" w:name="_Ref437446112"/>
      <w:r w:rsidRPr="00EC0229">
        <w:t xml:space="preserve"> endorsed the theory of a catastrophic event in the mid-530’s,</w:t>
      </w:r>
      <w:r w:rsidRPr="00EC0229">
        <w:rPr>
          <w:rStyle w:val="FootnoteReference"/>
        </w:rPr>
        <w:t xml:space="preserve"> </w:t>
      </w:r>
      <w:bookmarkStart w:id="109" w:name="_Ref467662154"/>
      <w:r w:rsidRPr="00EC0229">
        <w:rPr>
          <w:rStyle w:val="FootnoteReference"/>
        </w:rPr>
        <w:footnoteReference w:id="226"/>
      </w:r>
      <w:bookmarkEnd w:id="109"/>
      <w:r w:rsidRPr="00EC0229">
        <w:t xml:space="preserve">  which had a generational impact</w:t>
      </w:r>
      <w:bookmarkEnd w:id="108"/>
      <w:r w:rsidRPr="00EC0229">
        <w:t>; societal change was inevitable.</w:t>
      </w:r>
      <w:r w:rsidRPr="00EC0229">
        <w:rPr>
          <w:rStyle w:val="FootnoteReference"/>
        </w:rPr>
        <w:t xml:space="preserve"> </w:t>
      </w:r>
      <w:r w:rsidRPr="00EC0229">
        <w:rPr>
          <w:rStyle w:val="FootnoteReference"/>
        </w:rPr>
        <w:footnoteReference w:id="227"/>
      </w:r>
      <w:r w:rsidRPr="00EC0229">
        <w:t xml:space="preserve"> This may have facilitated the territorial expansionism of the Idings (</w:t>
      </w:r>
      <w:r w:rsidRPr="00EC0229">
        <w:fldChar w:fldCharType="begin"/>
      </w:r>
      <w:r w:rsidRPr="00EC0229">
        <w:instrText xml:space="preserve"> PAGEREF Idings \h </w:instrText>
      </w:r>
      <w:r w:rsidRPr="00EC0229">
        <w:fldChar w:fldCharType="separate"/>
      </w:r>
      <w:r w:rsidR="0012026B">
        <w:rPr>
          <w:noProof/>
        </w:rPr>
        <w:t>86</w:t>
      </w:r>
      <w:r w:rsidRPr="00EC0229">
        <w:fldChar w:fldCharType="end"/>
      </w:r>
      <w:r w:rsidRPr="00EC0229">
        <w:t>), replacement of gift exchange by élite coinage (</w:t>
      </w:r>
      <w:r w:rsidRPr="00EC0229">
        <w:fldChar w:fldCharType="begin"/>
      </w:r>
      <w:r w:rsidRPr="00EC0229">
        <w:instrText xml:space="preserve"> PAGEREF giftexchange \h </w:instrText>
      </w:r>
      <w:r w:rsidRPr="00EC0229">
        <w:fldChar w:fldCharType="separate"/>
      </w:r>
      <w:r w:rsidR="0012026B">
        <w:rPr>
          <w:noProof/>
        </w:rPr>
        <w:t>58</w:t>
      </w:r>
      <w:r w:rsidRPr="00EC0229">
        <w:fldChar w:fldCharType="end"/>
      </w:r>
      <w:r w:rsidRPr="00EC0229">
        <w:t>) and receptivity towards conversion (</w:t>
      </w:r>
      <w:r w:rsidRPr="00EC0229">
        <w:fldChar w:fldCharType="begin"/>
      </w:r>
      <w:r w:rsidRPr="00EC0229">
        <w:instrText xml:space="preserve"> PAGEREF Conversionperiod \h </w:instrText>
      </w:r>
      <w:r w:rsidRPr="00EC0229">
        <w:fldChar w:fldCharType="separate"/>
      </w:r>
      <w:r w:rsidR="0012026B">
        <w:rPr>
          <w:noProof/>
        </w:rPr>
        <w:t>87</w:t>
      </w:r>
      <w:r w:rsidRPr="00EC0229">
        <w:fldChar w:fldCharType="end"/>
      </w:r>
      <w:r w:rsidRPr="00EC0229">
        <w:t>). What has previously been referred to as ‘multiple estates’ (</w:t>
      </w:r>
      <w:r w:rsidRPr="00EC0229">
        <w:fldChar w:fldCharType="begin"/>
      </w:r>
      <w:r w:rsidRPr="00EC0229">
        <w:instrText xml:space="preserve"> PAGEREF MinsterHypothesis \h </w:instrText>
      </w:r>
      <w:r w:rsidRPr="00EC0229">
        <w:fldChar w:fldCharType="separate"/>
      </w:r>
      <w:r w:rsidR="0012026B">
        <w:rPr>
          <w:noProof/>
        </w:rPr>
        <w:t>35</w:t>
      </w:r>
      <w:r w:rsidRPr="00EC0229">
        <w:fldChar w:fldCharType="end"/>
      </w:r>
      <w:r w:rsidRPr="00EC0229">
        <w:t xml:space="preserve">), seen by Blair as </w:t>
      </w:r>
      <w:r w:rsidRPr="00EC0229">
        <w:rPr>
          <w:i/>
        </w:rPr>
        <w:t>regiones</w:t>
      </w:r>
      <w:r w:rsidRPr="00EC0229">
        <w:t>, the basic unit of resource collection,</w:t>
      </w:r>
      <w:r w:rsidRPr="00EC0229">
        <w:rPr>
          <w:rStyle w:val="FootnoteReference"/>
        </w:rPr>
        <w:footnoteReference w:id="228"/>
      </w:r>
      <w:r w:rsidRPr="00EC0229">
        <w:t xml:space="preserve"> could be episcopal as much as regal. That, from the ninth century, these formed the basis of a pervasive, reciprocal, arrangement between nobles, clergy and peasantry - </w:t>
      </w:r>
      <w:bookmarkStart w:id="110" w:name="feudalism"/>
      <w:bookmarkEnd w:id="110"/>
      <w:r w:rsidRPr="00EC0229">
        <w:t>‘feudalism’</w:t>
      </w:r>
      <w:r w:rsidRPr="00EC0229">
        <w:rPr>
          <w:rStyle w:val="FootnoteReference"/>
        </w:rPr>
        <w:footnoteReference w:id="229"/>
      </w:r>
      <w:r w:rsidRPr="00EC0229">
        <w:t xml:space="preserve"> - is now regarded as an anachronistic construct.</w:t>
      </w:r>
      <w:r w:rsidRPr="00EC0229">
        <w:rPr>
          <w:rStyle w:val="FootnoteReference"/>
        </w:rPr>
        <w:footnoteReference w:id="230"/>
      </w:r>
      <w:r w:rsidRPr="00EC0229">
        <w:t xml:space="preserve"> </w:t>
      </w:r>
    </w:p>
    <w:p w14:paraId="2B112427" w14:textId="1CCFBEE5" w:rsidR="00746F75" w:rsidRPr="00EC0229" w:rsidRDefault="00874954" w:rsidP="002D31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eastAsia="Times New Roman" w:hAnsiTheme="minorHAnsi" w:cstheme="minorHAnsi"/>
          <w:color w:val="FF0000"/>
          <w:szCs w:val="24"/>
          <w:lang w:eastAsia="en-GB"/>
        </w:rPr>
      </w:pPr>
      <w:r w:rsidRPr="00EC0229">
        <w:rPr>
          <w:rFonts w:asciiTheme="minorHAnsi" w:hAnsiTheme="minorHAnsi" w:cstheme="minorHAnsi"/>
          <w:szCs w:val="24"/>
        </w:rPr>
        <w:t>One of t</w:t>
      </w:r>
      <w:r w:rsidR="00AB5166" w:rsidRPr="00EC0229">
        <w:rPr>
          <w:rFonts w:asciiTheme="minorHAnsi" w:hAnsiTheme="minorHAnsi" w:cstheme="minorHAnsi"/>
          <w:szCs w:val="24"/>
        </w:rPr>
        <w:t>he major developments in the 198</w:t>
      </w:r>
      <w:r w:rsidRPr="00EC0229">
        <w:rPr>
          <w:rFonts w:asciiTheme="minorHAnsi" w:hAnsiTheme="minorHAnsi" w:cstheme="minorHAnsi"/>
          <w:szCs w:val="24"/>
        </w:rPr>
        <w:t>0s</w:t>
      </w:r>
      <w:r w:rsidR="00883591" w:rsidRPr="00EC0229">
        <w:rPr>
          <w:rFonts w:asciiTheme="minorHAnsi" w:hAnsiTheme="minorHAnsi" w:cstheme="minorHAnsi"/>
          <w:szCs w:val="24"/>
        </w:rPr>
        <w:t>,</w:t>
      </w:r>
      <w:r w:rsidRPr="00EC0229">
        <w:rPr>
          <w:rFonts w:asciiTheme="minorHAnsi" w:hAnsiTheme="minorHAnsi" w:cstheme="minorHAnsi"/>
          <w:szCs w:val="24"/>
        </w:rPr>
        <w:t xml:space="preserve"> </w:t>
      </w:r>
      <w:r w:rsidR="00883591" w:rsidRPr="00EC0229">
        <w:t xml:space="preserve">which led to new thinking about Northumbrian economics, </w:t>
      </w:r>
      <w:r w:rsidRPr="00EC0229">
        <w:rPr>
          <w:rFonts w:asciiTheme="minorHAnsi" w:hAnsiTheme="minorHAnsi" w:cstheme="minorHAnsi"/>
          <w:szCs w:val="24"/>
        </w:rPr>
        <w:t>was the identification of so-called ‘</w:t>
      </w:r>
      <w:bookmarkStart w:id="111" w:name="productivesites"/>
      <w:r w:rsidRPr="00EC0229">
        <w:rPr>
          <w:rFonts w:asciiTheme="minorHAnsi" w:hAnsiTheme="minorHAnsi" w:cstheme="minorHAnsi"/>
          <w:szCs w:val="24"/>
        </w:rPr>
        <w:t>productive sites’</w:t>
      </w:r>
      <w:bookmarkEnd w:id="111"/>
      <w:r w:rsidR="00746F75" w:rsidRPr="00EC0229">
        <w:rPr>
          <w:rFonts w:asciiTheme="minorHAnsi" w:hAnsiTheme="minorHAnsi" w:cstheme="minorHAnsi"/>
          <w:szCs w:val="24"/>
        </w:rPr>
        <w:t>,</w:t>
      </w:r>
      <w:r w:rsidR="00AB5166" w:rsidRPr="00EC0229">
        <w:rPr>
          <w:rFonts w:asciiTheme="minorHAnsi" w:hAnsiTheme="minorHAnsi" w:cstheme="minorHAnsi"/>
          <w:szCs w:val="24"/>
        </w:rPr>
        <w:t xml:space="preserve"> a term favoured by numismatists</w:t>
      </w:r>
      <w:r w:rsidR="00746F75" w:rsidRPr="00EC0229">
        <w:rPr>
          <w:rFonts w:asciiTheme="minorHAnsi" w:hAnsiTheme="minorHAnsi" w:cstheme="minorHAnsi"/>
          <w:szCs w:val="24"/>
        </w:rPr>
        <w:t>, where metal detector users</w:t>
      </w:r>
      <w:r w:rsidR="00A95270" w:rsidRPr="00EC0229">
        <w:rPr>
          <w:rFonts w:asciiTheme="minorHAnsi" w:hAnsiTheme="minorHAnsi" w:cstheme="minorHAnsi"/>
          <w:szCs w:val="24"/>
        </w:rPr>
        <w:t xml:space="preserve"> had</w:t>
      </w:r>
      <w:r w:rsidR="00746F75" w:rsidRPr="00EC0229">
        <w:rPr>
          <w:rFonts w:asciiTheme="minorHAnsi" w:hAnsiTheme="minorHAnsi" w:cstheme="minorHAnsi"/>
          <w:szCs w:val="24"/>
        </w:rPr>
        <w:t xml:space="preserve"> found significant numbers of artefacts and coins</w:t>
      </w:r>
      <w:r w:rsidR="00A95270" w:rsidRPr="00EC0229">
        <w:rPr>
          <w:rFonts w:asciiTheme="minorHAnsi" w:hAnsiTheme="minorHAnsi" w:cstheme="minorHAnsi"/>
          <w:szCs w:val="24"/>
        </w:rPr>
        <w:t>, on otherwise unrecognised sites</w:t>
      </w:r>
      <w:r w:rsidR="00746F75" w:rsidRPr="00EC0229">
        <w:rPr>
          <w:rFonts w:asciiTheme="minorHAnsi" w:hAnsiTheme="minorHAnsi" w:cstheme="minorHAnsi"/>
          <w:szCs w:val="24"/>
        </w:rPr>
        <w:t xml:space="preserve">. </w:t>
      </w:r>
      <w:r w:rsidR="007E05A9" w:rsidRPr="00EC0229">
        <w:rPr>
          <w:rFonts w:asciiTheme="minorHAnsi" w:hAnsiTheme="minorHAnsi" w:cstheme="minorHAnsi"/>
          <w:szCs w:val="24"/>
        </w:rPr>
        <w:t>The first paper to be published by a metal detectorist</w:t>
      </w:r>
      <w:r w:rsidR="00354BA3" w:rsidRPr="00EC0229">
        <w:rPr>
          <w:rFonts w:asciiTheme="minorHAnsi" w:hAnsiTheme="minorHAnsi" w:cstheme="minorHAnsi"/>
          <w:szCs w:val="24"/>
        </w:rPr>
        <w:t>, Haldenby,</w:t>
      </w:r>
      <w:r w:rsidR="007E05A9" w:rsidRPr="00EC0229">
        <w:rPr>
          <w:rFonts w:asciiTheme="minorHAnsi" w:hAnsiTheme="minorHAnsi" w:cstheme="minorHAnsi"/>
          <w:szCs w:val="24"/>
        </w:rPr>
        <w:t xml:space="preserve"> relate</w:t>
      </w:r>
      <w:r w:rsidR="00354BA3" w:rsidRPr="00EC0229">
        <w:rPr>
          <w:rFonts w:asciiTheme="minorHAnsi" w:hAnsiTheme="minorHAnsi" w:cstheme="minorHAnsi"/>
          <w:szCs w:val="24"/>
        </w:rPr>
        <w:t>d</w:t>
      </w:r>
      <w:r w:rsidR="007E05A9" w:rsidRPr="00EC0229">
        <w:rPr>
          <w:rFonts w:asciiTheme="minorHAnsi" w:hAnsiTheme="minorHAnsi" w:cstheme="minorHAnsi"/>
          <w:szCs w:val="24"/>
        </w:rPr>
        <w:t xml:space="preserve"> to Cottam.</w:t>
      </w:r>
      <w:r w:rsidR="007E05A9" w:rsidRPr="00EC0229">
        <w:rPr>
          <w:rStyle w:val="FootnoteReference"/>
          <w:rFonts w:asciiTheme="minorHAnsi" w:hAnsiTheme="minorHAnsi" w:cstheme="minorHAnsi"/>
          <w:szCs w:val="24"/>
        </w:rPr>
        <w:footnoteReference w:id="231"/>
      </w:r>
      <w:r w:rsidR="007E05A9" w:rsidRPr="00EC0229">
        <w:rPr>
          <w:rFonts w:asciiTheme="minorHAnsi" w:hAnsiTheme="minorHAnsi" w:cstheme="minorHAnsi"/>
          <w:szCs w:val="24"/>
        </w:rPr>
        <w:t xml:space="preserve"> This assiduous detectorist then published further papers</w:t>
      </w:r>
      <w:r w:rsidR="002D31FD" w:rsidRPr="00EC0229">
        <w:rPr>
          <w:rFonts w:asciiTheme="minorHAnsi" w:hAnsiTheme="minorHAnsi" w:cstheme="minorHAnsi"/>
          <w:szCs w:val="24"/>
        </w:rPr>
        <w:t xml:space="preserve"> in association with </w:t>
      </w:r>
      <w:r w:rsidR="00A50686" w:rsidRPr="00EC0229">
        <w:rPr>
          <w:rFonts w:asciiTheme="minorHAnsi" w:hAnsiTheme="minorHAnsi" w:cstheme="minorHAnsi"/>
          <w:szCs w:val="24"/>
        </w:rPr>
        <w:t>Richards</w:t>
      </w:r>
      <w:r w:rsidR="002F3A61" w:rsidRPr="00EC0229">
        <w:rPr>
          <w:rFonts w:asciiTheme="minorHAnsi" w:hAnsiTheme="minorHAnsi" w:cstheme="minorHAnsi"/>
          <w:szCs w:val="24"/>
        </w:rPr>
        <w:t>, which extended to Cowlam and environs</w:t>
      </w:r>
      <w:r w:rsidR="002D31FD" w:rsidRPr="00EC0229">
        <w:rPr>
          <w:rFonts w:asciiTheme="minorHAnsi" w:hAnsiTheme="minorHAnsi" w:cstheme="minorHAnsi"/>
          <w:szCs w:val="24"/>
        </w:rPr>
        <w:t>.</w:t>
      </w:r>
      <w:r w:rsidR="002D31FD" w:rsidRPr="00EC0229">
        <w:rPr>
          <w:rStyle w:val="FootnoteReference"/>
          <w:rFonts w:asciiTheme="minorHAnsi" w:hAnsiTheme="minorHAnsi" w:cstheme="minorHAnsi"/>
          <w:szCs w:val="24"/>
        </w:rPr>
        <w:footnoteReference w:id="232"/>
      </w:r>
      <w:r w:rsidR="00354BA3" w:rsidRPr="00EC0229">
        <w:rPr>
          <w:rFonts w:asciiTheme="minorHAnsi" w:hAnsiTheme="minorHAnsi" w:cstheme="minorHAnsi"/>
          <w:szCs w:val="24"/>
        </w:rPr>
        <w:t xml:space="preserve"> This series of publications</w:t>
      </w:r>
      <w:r w:rsidR="00BE71A6" w:rsidRPr="00EC0229">
        <w:rPr>
          <w:rStyle w:val="FootnoteReference"/>
          <w:rFonts w:asciiTheme="minorHAnsi" w:hAnsiTheme="minorHAnsi" w:cstheme="minorHAnsi"/>
          <w:szCs w:val="24"/>
        </w:rPr>
        <w:footnoteReference w:id="233"/>
      </w:r>
      <w:r w:rsidR="00354BA3" w:rsidRPr="00EC0229">
        <w:rPr>
          <w:rFonts w:asciiTheme="minorHAnsi" w:hAnsiTheme="minorHAnsi" w:cstheme="minorHAnsi"/>
          <w:szCs w:val="24"/>
        </w:rPr>
        <w:t xml:space="preserve"> revealed an evolving understanding of interrelationships between widespread and dispersed settlements, </w:t>
      </w:r>
      <w:r w:rsidR="00DE085A" w:rsidRPr="00EC0229">
        <w:rPr>
          <w:rFonts w:asciiTheme="minorHAnsi" w:hAnsiTheme="minorHAnsi" w:cstheme="minorHAnsi"/>
          <w:szCs w:val="24"/>
        </w:rPr>
        <w:t xml:space="preserve">being </w:t>
      </w:r>
      <w:r w:rsidR="00354BA3" w:rsidRPr="00EC0229">
        <w:rPr>
          <w:rFonts w:asciiTheme="minorHAnsi" w:hAnsiTheme="minorHAnsi" w:cstheme="minorHAnsi"/>
          <w:szCs w:val="24"/>
        </w:rPr>
        <w:t>dependencies of a single estate</w:t>
      </w:r>
      <w:r w:rsidR="00504808" w:rsidRPr="00EC0229">
        <w:rPr>
          <w:rFonts w:asciiTheme="minorHAnsi" w:hAnsiTheme="minorHAnsi" w:cstheme="minorHAnsi"/>
          <w:szCs w:val="24"/>
        </w:rPr>
        <w:t>,</w:t>
      </w:r>
      <w:r w:rsidR="00354BA3" w:rsidRPr="00EC0229">
        <w:rPr>
          <w:rFonts w:asciiTheme="minorHAnsi" w:hAnsiTheme="minorHAnsi" w:cstheme="minorHAnsi"/>
          <w:szCs w:val="24"/>
        </w:rPr>
        <w:t xml:space="preserve"> and the progression from </w:t>
      </w:r>
      <w:r w:rsidR="00354BA3" w:rsidRPr="00EC0229">
        <w:rPr>
          <w:rFonts w:asciiTheme="minorHAnsi" w:hAnsiTheme="minorHAnsi" w:cstheme="minorHAnsi"/>
          <w:szCs w:val="24"/>
        </w:rPr>
        <w:lastRenderedPageBreak/>
        <w:t>Anglo-Saxon to Anglo-Scandinavian</w:t>
      </w:r>
      <w:r w:rsidR="00504808" w:rsidRPr="00EC0229">
        <w:rPr>
          <w:rFonts w:asciiTheme="minorHAnsi" w:hAnsiTheme="minorHAnsi" w:cstheme="minorHAnsi"/>
          <w:szCs w:val="24"/>
        </w:rPr>
        <w:t xml:space="preserve"> culture</w:t>
      </w:r>
      <w:r w:rsidR="00354BA3" w:rsidRPr="00EC0229">
        <w:rPr>
          <w:rFonts w:asciiTheme="minorHAnsi" w:hAnsiTheme="minorHAnsi" w:cstheme="minorHAnsi"/>
          <w:szCs w:val="24"/>
        </w:rPr>
        <w:t xml:space="preserve">. </w:t>
      </w:r>
      <w:r w:rsidR="002F3A61" w:rsidRPr="00EC0229">
        <w:rPr>
          <w:rFonts w:asciiTheme="minorHAnsi" w:hAnsiTheme="minorHAnsi" w:cstheme="minorHAnsi"/>
          <w:szCs w:val="24"/>
        </w:rPr>
        <w:t>Richards (2013) concluded that the Wolds, used for upland grazing, were depopulated and that by middle Anglo-Saxon times Butterwick-type enclosure</w:t>
      </w:r>
      <w:r w:rsidR="00276BC8" w:rsidRPr="00EC0229">
        <w:rPr>
          <w:rFonts w:asciiTheme="minorHAnsi" w:hAnsiTheme="minorHAnsi" w:cstheme="minorHAnsi"/>
          <w:szCs w:val="24"/>
        </w:rPr>
        <w:t>s</w:t>
      </w:r>
      <w:r w:rsidR="002F3A61" w:rsidRPr="00EC0229">
        <w:rPr>
          <w:rFonts w:asciiTheme="minorHAnsi" w:hAnsiTheme="minorHAnsi" w:cstheme="minorHAnsi"/>
          <w:szCs w:val="24"/>
        </w:rPr>
        <w:t xml:space="preserve"> were established for economic, craft and administrative purposes. </w:t>
      </w:r>
      <w:r w:rsidR="00A50686" w:rsidRPr="00EC0229">
        <w:rPr>
          <w:rFonts w:asciiTheme="minorHAnsi" w:hAnsiTheme="minorHAnsi" w:cstheme="minorHAnsi"/>
          <w:szCs w:val="24"/>
        </w:rPr>
        <w:t>Local m</w:t>
      </w:r>
      <w:r w:rsidR="002F3A61" w:rsidRPr="00EC0229">
        <w:rPr>
          <w:rFonts w:asciiTheme="minorHAnsi" w:hAnsiTheme="minorHAnsi" w:cstheme="minorHAnsi"/>
          <w:szCs w:val="24"/>
        </w:rPr>
        <w:t xml:space="preserve">arkets, </w:t>
      </w:r>
      <w:r w:rsidR="00A50686" w:rsidRPr="00EC0229">
        <w:rPr>
          <w:rFonts w:asciiTheme="minorHAnsi" w:hAnsiTheme="minorHAnsi" w:cstheme="minorHAnsi"/>
          <w:szCs w:val="24"/>
        </w:rPr>
        <w:t xml:space="preserve">being </w:t>
      </w:r>
      <w:r w:rsidR="002F3A61" w:rsidRPr="00EC0229">
        <w:rPr>
          <w:rFonts w:asciiTheme="minorHAnsi" w:hAnsiTheme="minorHAnsi" w:cstheme="minorHAnsi"/>
          <w:szCs w:val="24"/>
        </w:rPr>
        <w:t>dependencies of lowland estates, acquired specialisms in resource provision, but became nucleated villages in the disruption of Scandinavian settlement.</w:t>
      </w:r>
    </w:p>
    <w:p w14:paraId="76386AC6" w14:textId="77777777" w:rsidR="00746F75" w:rsidRPr="00EC0229" w:rsidRDefault="00746F75" w:rsidP="009716AB">
      <w:pPr>
        <w:pStyle w:val="NoSpacing"/>
      </w:pPr>
    </w:p>
    <w:p w14:paraId="7C7A5933" w14:textId="7EC92C73" w:rsidR="00874954" w:rsidRPr="00EC0229" w:rsidRDefault="00BF6095" w:rsidP="00874954">
      <w:pPr>
        <w:pStyle w:val="NoSpacing"/>
        <w:spacing w:line="360" w:lineRule="auto"/>
        <w:rPr>
          <w:rFonts w:cs="Times New Roman"/>
        </w:rPr>
      </w:pPr>
      <w:r>
        <w:rPr>
          <w:rFonts w:cs="Times New Roman"/>
        </w:rPr>
        <w:t>Several</w:t>
      </w:r>
      <w:r w:rsidR="00E23A27" w:rsidRPr="00EC0229">
        <w:rPr>
          <w:rFonts w:cs="Times New Roman"/>
        </w:rPr>
        <w:t xml:space="preserve"> conferences a</w:t>
      </w:r>
      <w:r w:rsidR="00746F75" w:rsidRPr="00EC0229">
        <w:rPr>
          <w:rFonts w:cs="Times New Roman"/>
        </w:rPr>
        <w:t>ddressed ‘productive sites’, emporia and markets</w:t>
      </w:r>
      <w:r w:rsidR="00E23A27" w:rsidRPr="00EC0229">
        <w:rPr>
          <w:rFonts w:cs="Times New Roman"/>
        </w:rPr>
        <w:t xml:space="preserve">. </w:t>
      </w:r>
      <w:r w:rsidR="00AB5166" w:rsidRPr="00EC0229">
        <w:rPr>
          <w:rFonts w:cs="Times New Roman"/>
        </w:rPr>
        <w:t xml:space="preserve">Blackburn and Metcalf organised an Oxford symposium (1989, unpublished) to ensure that numismatic and archaeological approaches were systematic. </w:t>
      </w:r>
      <w:r w:rsidR="00E23A27" w:rsidRPr="00EC0229">
        <w:rPr>
          <w:rFonts w:cs="Times New Roman"/>
        </w:rPr>
        <w:t>A conference held in York, in September 1991, considered the nature of emporia.</w:t>
      </w:r>
      <w:r w:rsidR="00E23A27" w:rsidRPr="00EC0229">
        <w:rPr>
          <w:rStyle w:val="FootnoteReference"/>
          <w:rFonts w:cs="Times New Roman"/>
        </w:rPr>
        <w:footnoteReference w:id="234"/>
      </w:r>
      <w:r w:rsidR="00E23A27" w:rsidRPr="00EC0229">
        <w:rPr>
          <w:rFonts w:cs="Times New Roman"/>
        </w:rPr>
        <w:t xml:space="preserve"> </w:t>
      </w:r>
      <w:r w:rsidR="00AB5166" w:rsidRPr="00EC0229">
        <w:rPr>
          <w:rFonts w:cs="Times New Roman"/>
        </w:rPr>
        <w:t>Papers from the Oxford conference of 2000</w:t>
      </w:r>
      <w:r w:rsidR="00AB5166" w:rsidRPr="00EC0229">
        <w:rPr>
          <w:rStyle w:val="FootnoteReference"/>
          <w:rFonts w:cs="Times New Roman"/>
        </w:rPr>
        <w:footnoteReference w:id="235"/>
      </w:r>
      <w:r w:rsidR="00AB5166" w:rsidRPr="00EC0229">
        <w:rPr>
          <w:rFonts w:cs="Times New Roman"/>
        </w:rPr>
        <w:t xml:space="preserve"> were published in </w:t>
      </w:r>
      <w:r w:rsidR="00264C31" w:rsidRPr="00EC0229">
        <w:rPr>
          <w:rFonts w:cs="Times New Roman"/>
          <w:i/>
        </w:rPr>
        <w:t>P&amp;U</w:t>
      </w:r>
      <w:r w:rsidR="00264C31" w:rsidRPr="00EC0229">
        <w:rPr>
          <w:rFonts w:cs="Times New Roman"/>
        </w:rPr>
        <w:t xml:space="preserve"> (</w:t>
      </w:r>
      <w:r w:rsidR="008776AB" w:rsidRPr="00EC0229">
        <w:rPr>
          <w:rFonts w:cs="Times New Roman"/>
        </w:rPr>
        <w:t>Pestell and Ulmschneider</w:t>
      </w:r>
      <w:r w:rsidR="00264C31" w:rsidRPr="00EC0229">
        <w:rPr>
          <w:rFonts w:cs="Times New Roman"/>
        </w:rPr>
        <w:t xml:space="preserve">, </w:t>
      </w:r>
      <w:r w:rsidR="008776AB" w:rsidRPr="00EC0229">
        <w:rPr>
          <w:rFonts w:cs="Times New Roman"/>
        </w:rPr>
        <w:t>2003)</w:t>
      </w:r>
      <w:r w:rsidR="00186FF4" w:rsidRPr="00EC0229">
        <w:rPr>
          <w:rFonts w:cs="Times New Roman"/>
        </w:rPr>
        <w:t xml:space="preserve"> and focussed on the treatment of </w:t>
      </w:r>
      <w:r w:rsidR="00267335" w:rsidRPr="00EC0229">
        <w:rPr>
          <w:rFonts w:cs="Times New Roman"/>
        </w:rPr>
        <w:t xml:space="preserve">the </w:t>
      </w:r>
      <w:r w:rsidR="00186FF4" w:rsidRPr="00EC0229">
        <w:rPr>
          <w:rFonts w:cs="Times New Roman"/>
        </w:rPr>
        <w:t>accumulating evidence from ‘smaller, less well-documented trading places’</w:t>
      </w:r>
      <w:r w:rsidR="00186FF4" w:rsidRPr="00EC0229">
        <w:rPr>
          <w:rStyle w:val="FootnoteReference"/>
          <w:rFonts w:cs="Times New Roman"/>
        </w:rPr>
        <w:footnoteReference w:id="236"/>
      </w:r>
      <w:r w:rsidR="00267335" w:rsidRPr="00EC0229">
        <w:rPr>
          <w:rFonts w:cs="Times New Roman"/>
        </w:rPr>
        <w:t xml:space="preserve"> some of which had attributes of permanence – ‘central places, acting as foci not simply for trade and exchange, but production, consumption…administration and justice.’</w:t>
      </w:r>
      <w:r w:rsidR="00267335" w:rsidRPr="00EC0229">
        <w:rPr>
          <w:rStyle w:val="FootnoteReference"/>
          <w:rFonts w:cs="Times New Roman"/>
        </w:rPr>
        <w:footnoteReference w:id="237"/>
      </w:r>
      <w:r w:rsidR="00267335" w:rsidRPr="00EC0229">
        <w:rPr>
          <w:rFonts w:cs="Times New Roman"/>
        </w:rPr>
        <w:t xml:space="preserve"> </w:t>
      </w:r>
      <w:r w:rsidR="00CF4A76" w:rsidRPr="00EC0229">
        <w:rPr>
          <w:rFonts w:cs="Times New Roman"/>
        </w:rPr>
        <w:t>Blackburn compared the age profile of coin losses to the norm</w:t>
      </w:r>
      <w:r w:rsidR="00CF4A76" w:rsidRPr="00EC0229">
        <w:rPr>
          <w:rStyle w:val="FootnoteReference"/>
          <w:rFonts w:cs="Times New Roman"/>
        </w:rPr>
        <w:footnoteReference w:id="238"/>
      </w:r>
      <w:r w:rsidR="00CF4A76" w:rsidRPr="00EC0229">
        <w:rPr>
          <w:rFonts w:cs="Times New Roman"/>
        </w:rPr>
        <w:t xml:space="preserve"> and Metcalf used regression analysis to identify distribution patterns.</w:t>
      </w:r>
      <w:r w:rsidR="00CF4A76" w:rsidRPr="00EC0229">
        <w:rPr>
          <w:rStyle w:val="FootnoteReference"/>
          <w:rFonts w:cs="Times New Roman"/>
        </w:rPr>
        <w:footnoteReference w:id="239"/>
      </w:r>
      <w:r w:rsidR="00CF4A76" w:rsidRPr="00EC0229">
        <w:rPr>
          <w:rFonts w:cs="Times New Roman"/>
        </w:rPr>
        <w:t xml:space="preserve"> </w:t>
      </w:r>
      <w:r w:rsidR="00267335" w:rsidRPr="00EC0229">
        <w:rPr>
          <w:rFonts w:cs="Times New Roman"/>
        </w:rPr>
        <w:t>Th</w:t>
      </w:r>
      <w:r w:rsidR="00CF4A76" w:rsidRPr="00EC0229">
        <w:rPr>
          <w:rFonts w:cs="Times New Roman"/>
        </w:rPr>
        <w:t xml:space="preserve">e nature of ‘productive sites’ </w:t>
      </w:r>
      <w:r w:rsidR="00267335" w:rsidRPr="00EC0229">
        <w:rPr>
          <w:rFonts w:cs="Times New Roman"/>
        </w:rPr>
        <w:t>was tempered by Richards’ view that the</w:t>
      </w:r>
      <w:r w:rsidR="00351578" w:rsidRPr="00EC0229">
        <w:rPr>
          <w:rFonts w:cs="Times New Roman"/>
        </w:rPr>
        <w:t>y were not special - the</w:t>
      </w:r>
      <w:r w:rsidR="00267335" w:rsidRPr="00EC0229">
        <w:rPr>
          <w:rFonts w:cs="Times New Roman"/>
        </w:rPr>
        <w:t xml:space="preserve"> ‘productive’ aspect </w:t>
      </w:r>
      <w:r w:rsidR="00CA0022" w:rsidRPr="00EC0229">
        <w:rPr>
          <w:rFonts w:cs="Times New Roman"/>
        </w:rPr>
        <w:t>was predicated by</w:t>
      </w:r>
      <w:r w:rsidR="00267335" w:rsidRPr="00EC0229">
        <w:rPr>
          <w:rFonts w:cs="Times New Roman"/>
        </w:rPr>
        <w:t xml:space="preserve"> detecting activity</w:t>
      </w:r>
      <w:r w:rsidR="00CF4A76" w:rsidRPr="00EC0229">
        <w:rPr>
          <w:rFonts w:cs="Times New Roman"/>
        </w:rPr>
        <w:t xml:space="preserve">, rather than </w:t>
      </w:r>
      <w:r w:rsidR="009931B4" w:rsidRPr="00EC0229">
        <w:rPr>
          <w:rFonts w:cs="Times New Roman"/>
        </w:rPr>
        <w:t xml:space="preserve">similar </w:t>
      </w:r>
      <w:r w:rsidR="00CF4A76" w:rsidRPr="00EC0229">
        <w:rPr>
          <w:rFonts w:cs="Times New Roman"/>
        </w:rPr>
        <w:t xml:space="preserve">economic </w:t>
      </w:r>
      <w:r w:rsidR="009931B4" w:rsidRPr="00EC0229">
        <w:rPr>
          <w:rFonts w:cs="Times New Roman"/>
        </w:rPr>
        <w:t>function</w:t>
      </w:r>
      <w:r w:rsidR="00CA0022" w:rsidRPr="00EC0229">
        <w:rPr>
          <w:rFonts w:cs="Times New Roman"/>
        </w:rPr>
        <w:t>.</w:t>
      </w:r>
      <w:r w:rsidR="00751C62" w:rsidRPr="00EC0229">
        <w:rPr>
          <w:rFonts w:cs="Times New Roman"/>
        </w:rPr>
        <w:t xml:space="preserve"> </w:t>
      </w:r>
      <w:r w:rsidR="000F49D8" w:rsidRPr="00EC0229">
        <w:rPr>
          <w:rFonts w:cs="Times New Roman"/>
        </w:rPr>
        <w:t xml:space="preserve">In comparing Wharram Percy and Cottam, he found the density of finds to be variable, with no reason to view them as markets or central places. </w:t>
      </w:r>
      <w:r w:rsidR="00CF4A76" w:rsidRPr="00EC0229">
        <w:rPr>
          <w:rFonts w:cs="Times New Roman"/>
        </w:rPr>
        <w:t>Such sites were part of a continuum</w:t>
      </w:r>
      <w:r w:rsidR="000F49D8" w:rsidRPr="00EC0229">
        <w:rPr>
          <w:rFonts w:cs="Times New Roman"/>
        </w:rPr>
        <w:t>, and were better ‘seen in the context of the evolution of the Anglo-Saxon kingdoms, the development of lordship and a tributary economy.’</w:t>
      </w:r>
      <w:r w:rsidR="00CF4A76" w:rsidRPr="00EC0229">
        <w:rPr>
          <w:rStyle w:val="FootnoteReference"/>
          <w:rFonts w:cs="Times New Roman"/>
        </w:rPr>
        <w:footnoteReference w:id="240"/>
      </w:r>
    </w:p>
    <w:p w14:paraId="09EDD524" w14:textId="77777777" w:rsidR="00CF4A76" w:rsidRPr="00EC0229" w:rsidRDefault="00CF4A76" w:rsidP="00CF4A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color w:val="FF0000"/>
          <w:szCs w:val="24"/>
          <w:lang w:eastAsia="en-GB"/>
        </w:rPr>
      </w:pPr>
    </w:p>
    <w:p w14:paraId="76A40C30" w14:textId="0755646B" w:rsidR="00F2425D" w:rsidRPr="00EC0229" w:rsidRDefault="00F2425D" w:rsidP="00874954">
      <w:pPr>
        <w:pStyle w:val="NoSpacing"/>
        <w:spacing w:line="360" w:lineRule="auto"/>
        <w:rPr>
          <w:rFonts w:cs="Times New Roman"/>
        </w:rPr>
      </w:pPr>
      <w:r w:rsidRPr="00EC0229">
        <w:rPr>
          <w:rFonts w:cs="Times New Roman"/>
        </w:rPr>
        <w:t>Richards</w:t>
      </w:r>
      <w:r w:rsidR="00CF4A76" w:rsidRPr="00EC0229">
        <w:rPr>
          <w:rFonts w:cs="Times New Roman"/>
        </w:rPr>
        <w:t xml:space="preserve"> (2000)</w:t>
      </w:r>
      <w:r w:rsidRPr="00EC0229">
        <w:rPr>
          <w:rFonts w:cs="Times New Roman"/>
        </w:rPr>
        <w:t xml:space="preserve"> demonstrated the use of traditional and emerging archaeological techniques in </w:t>
      </w:r>
      <w:r w:rsidR="000F49D8" w:rsidRPr="00EC0229">
        <w:rPr>
          <w:rFonts w:cs="Times New Roman"/>
        </w:rPr>
        <w:t xml:space="preserve">again </w:t>
      </w:r>
      <w:r w:rsidRPr="00EC0229">
        <w:rPr>
          <w:rFonts w:cs="Times New Roman"/>
        </w:rPr>
        <w:t xml:space="preserve">comparing Wharram Percy and Cottam, the former revealed by </w:t>
      </w:r>
      <w:r w:rsidR="00710EC0" w:rsidRPr="00EC0229">
        <w:rPr>
          <w:rFonts w:cs="Times New Roman"/>
        </w:rPr>
        <w:t xml:space="preserve">Beresford’s attention to </w:t>
      </w:r>
      <w:r w:rsidR="00710EC0" w:rsidRPr="00EC0229">
        <w:rPr>
          <w:rFonts w:cs="Times New Roman"/>
          <w:i/>
        </w:rPr>
        <w:t>DMV</w:t>
      </w:r>
      <w:r w:rsidR="00710EC0" w:rsidRPr="00EC0229">
        <w:rPr>
          <w:rFonts w:cs="Times New Roman"/>
        </w:rPr>
        <w:t>s</w:t>
      </w:r>
      <w:r w:rsidRPr="00EC0229">
        <w:rPr>
          <w:rFonts w:cs="Times New Roman"/>
        </w:rPr>
        <w:t xml:space="preserve"> and </w:t>
      </w:r>
      <w:r w:rsidR="00710EC0" w:rsidRPr="00EC0229">
        <w:rPr>
          <w:rFonts w:cs="Times New Roman"/>
        </w:rPr>
        <w:t xml:space="preserve">the latter identified </w:t>
      </w:r>
      <w:r w:rsidR="009931B4" w:rsidRPr="00EC0229">
        <w:rPr>
          <w:rFonts w:cs="Times New Roman"/>
        </w:rPr>
        <w:t>by sub-rectangular (‘Butterwick-</w:t>
      </w:r>
      <w:r w:rsidR="00746F75" w:rsidRPr="00EC0229">
        <w:rPr>
          <w:rFonts w:cs="Times New Roman"/>
        </w:rPr>
        <w:t>type</w:t>
      </w:r>
      <w:r w:rsidR="009931B4" w:rsidRPr="00EC0229">
        <w:rPr>
          <w:rFonts w:cs="Times New Roman"/>
        </w:rPr>
        <w:t>’</w:t>
      </w:r>
      <w:r w:rsidR="00710EC0" w:rsidRPr="00EC0229">
        <w:rPr>
          <w:rFonts w:cs="Times New Roman"/>
        </w:rPr>
        <w:t>) cropmark enclosures associated with metal-detected finds.</w:t>
      </w:r>
      <w:r w:rsidR="00CF4A76" w:rsidRPr="00EC0229">
        <w:rPr>
          <w:rStyle w:val="FootnoteReference"/>
          <w:rFonts w:cs="Times New Roman"/>
        </w:rPr>
        <w:footnoteReference w:id="241"/>
      </w:r>
      <w:r w:rsidR="00710EC0" w:rsidRPr="00EC0229">
        <w:rPr>
          <w:rFonts w:cs="Times New Roman"/>
        </w:rPr>
        <w:t xml:space="preserve"> He concluded</w:t>
      </w:r>
      <w:r w:rsidRPr="00EC0229">
        <w:rPr>
          <w:rFonts w:cs="Times New Roman"/>
        </w:rPr>
        <w:t xml:space="preserve"> that ‘sites are not so much invisible as hitherto unrecognised.</w:t>
      </w:r>
      <w:r w:rsidR="00710EC0" w:rsidRPr="00EC0229">
        <w:rPr>
          <w:rFonts w:cs="Times New Roman"/>
        </w:rPr>
        <w:t>’</w:t>
      </w:r>
      <w:r w:rsidR="00710EC0" w:rsidRPr="00EC0229">
        <w:rPr>
          <w:rStyle w:val="FootnoteReference"/>
          <w:rFonts w:cs="Times New Roman"/>
        </w:rPr>
        <w:footnoteReference w:id="242"/>
      </w:r>
      <w:r w:rsidR="009931B4" w:rsidRPr="00EC0229">
        <w:rPr>
          <w:rFonts w:cs="Times New Roman"/>
        </w:rPr>
        <w:t xml:space="preserve"> Leahy (2000)</w:t>
      </w:r>
      <w:r w:rsidR="00710EC0" w:rsidRPr="00EC0229">
        <w:rPr>
          <w:rFonts w:cs="Times New Roman"/>
        </w:rPr>
        <w:t xml:space="preserve"> focussed on the rich assemblage of metal-detected </w:t>
      </w:r>
      <w:r w:rsidR="00710EC0" w:rsidRPr="00EC0229">
        <w:rPr>
          <w:rFonts w:cs="Times New Roman"/>
        </w:rPr>
        <w:lastRenderedPageBreak/>
        <w:t>finds from South Newbald which he contrasted with other local sites to provide an age profile of activity.</w:t>
      </w:r>
      <w:r w:rsidR="0069725F" w:rsidRPr="00EC0229">
        <w:rPr>
          <w:rFonts w:cs="Times New Roman"/>
        </w:rPr>
        <w:t xml:space="preserve"> The characteristics of the South Newbald, such as the location, abundant coinage and lack of domestic material, led </w:t>
      </w:r>
      <w:r w:rsidR="009931B4" w:rsidRPr="00EC0229">
        <w:rPr>
          <w:rFonts w:cs="Times New Roman"/>
        </w:rPr>
        <w:t>him</w:t>
      </w:r>
      <w:r w:rsidR="0069725F" w:rsidRPr="00EC0229">
        <w:rPr>
          <w:rFonts w:cs="Times New Roman"/>
        </w:rPr>
        <w:t xml:space="preserve"> to speculate that the site was a fair or market, although a minster could have been present. He warned against ‘a single, simple, identification.’</w:t>
      </w:r>
      <w:r w:rsidR="0069725F" w:rsidRPr="00EC0229">
        <w:rPr>
          <w:rStyle w:val="FootnoteReference"/>
          <w:rFonts w:cs="Times New Roman"/>
        </w:rPr>
        <w:footnoteReference w:id="243"/>
      </w:r>
    </w:p>
    <w:p w14:paraId="283AE27D" w14:textId="77777777" w:rsidR="00874954" w:rsidRPr="00EC0229" w:rsidRDefault="00874954" w:rsidP="009452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eastAsia="Times New Roman" w:hAnsiTheme="minorHAnsi" w:cstheme="minorHAnsi"/>
          <w:color w:val="FF0000"/>
          <w:szCs w:val="24"/>
          <w:lang w:eastAsia="en-GB"/>
        </w:rPr>
      </w:pPr>
    </w:p>
    <w:p w14:paraId="628514B6" w14:textId="60681631" w:rsidR="00874954" w:rsidRPr="00EC0229" w:rsidRDefault="009452F4" w:rsidP="009452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eastAsia="Times New Roman" w:hAnsiTheme="minorHAnsi" w:cstheme="minorHAnsi"/>
          <w:color w:val="000000" w:themeColor="text1"/>
          <w:szCs w:val="24"/>
          <w:lang w:eastAsia="en-GB"/>
        </w:rPr>
      </w:pPr>
      <w:r w:rsidRPr="00EC0229">
        <w:rPr>
          <w:rFonts w:asciiTheme="minorHAnsi" w:eastAsia="Times New Roman" w:hAnsiTheme="minorHAnsi" w:cstheme="minorHAnsi"/>
          <w:color w:val="000000" w:themeColor="text1"/>
          <w:szCs w:val="24"/>
          <w:lang w:eastAsia="en-GB"/>
        </w:rPr>
        <w:t>Ulmschneider (</w:t>
      </w:r>
      <w:r w:rsidR="00874954" w:rsidRPr="00EC0229">
        <w:rPr>
          <w:rFonts w:asciiTheme="minorHAnsi" w:eastAsia="Times New Roman" w:hAnsiTheme="minorHAnsi" w:cstheme="minorHAnsi"/>
          <w:color w:val="000000" w:themeColor="text1"/>
          <w:szCs w:val="24"/>
          <w:lang w:eastAsia="en-GB"/>
        </w:rPr>
        <w:t>2000</w:t>
      </w:r>
      <w:r w:rsidRPr="00EC0229">
        <w:rPr>
          <w:rFonts w:asciiTheme="minorHAnsi" w:eastAsia="Times New Roman" w:hAnsiTheme="minorHAnsi" w:cstheme="minorHAnsi"/>
          <w:color w:val="000000" w:themeColor="text1"/>
          <w:szCs w:val="24"/>
          <w:lang w:eastAsia="en-GB"/>
        </w:rPr>
        <w:t>)</w:t>
      </w:r>
      <w:r w:rsidR="00872508" w:rsidRPr="00EC0229">
        <w:rPr>
          <w:rFonts w:asciiTheme="minorHAnsi" w:eastAsia="Times New Roman" w:hAnsiTheme="minorHAnsi" w:cstheme="minorHAnsi"/>
          <w:color w:val="000000" w:themeColor="text1"/>
          <w:szCs w:val="24"/>
          <w:lang w:eastAsia="en-GB"/>
        </w:rPr>
        <w:t>, comparing Lincolnshire and Hampshire,</w:t>
      </w:r>
      <w:r w:rsidRPr="00EC0229">
        <w:rPr>
          <w:rFonts w:asciiTheme="minorHAnsi" w:eastAsia="Times New Roman" w:hAnsiTheme="minorHAnsi" w:cstheme="minorHAnsi"/>
          <w:color w:val="000000" w:themeColor="text1"/>
          <w:szCs w:val="24"/>
          <w:lang w:eastAsia="en-GB"/>
        </w:rPr>
        <w:t xml:space="preserve"> was the first full-length study of the early medieval period to have been based on metal detector finds but does not draw on PAS data.</w:t>
      </w:r>
      <w:r w:rsidR="007927DD" w:rsidRPr="00EC0229">
        <w:rPr>
          <w:rFonts w:asciiTheme="minorHAnsi" w:eastAsia="Times New Roman" w:hAnsiTheme="minorHAnsi" w:cstheme="minorHAnsi"/>
          <w:color w:val="000000" w:themeColor="text1"/>
          <w:szCs w:val="24"/>
          <w:lang w:eastAsia="en-GB"/>
        </w:rPr>
        <w:t xml:space="preserve"> In attempting to establish the economic centrality of minsters, she avoided a deterministic approach by assessing two different areas</w:t>
      </w:r>
      <w:r w:rsidR="00414E16" w:rsidRPr="00EC0229">
        <w:rPr>
          <w:rFonts w:asciiTheme="minorHAnsi" w:eastAsia="Times New Roman" w:hAnsiTheme="minorHAnsi" w:cstheme="minorHAnsi"/>
          <w:color w:val="000000" w:themeColor="text1"/>
          <w:szCs w:val="24"/>
          <w:lang w:eastAsia="en-GB"/>
        </w:rPr>
        <w:t>, archaeologically and topographically,</w:t>
      </w:r>
      <w:r w:rsidR="007927DD" w:rsidRPr="00EC0229">
        <w:rPr>
          <w:rFonts w:asciiTheme="minorHAnsi" w:eastAsia="Times New Roman" w:hAnsiTheme="minorHAnsi" w:cstheme="minorHAnsi"/>
          <w:color w:val="000000" w:themeColor="text1"/>
          <w:szCs w:val="24"/>
          <w:lang w:eastAsia="en-GB"/>
        </w:rPr>
        <w:t xml:space="preserve"> using an early commencement date. She used topographical analysis to minimise findspot </w:t>
      </w:r>
      <w:r w:rsidR="008A2B14" w:rsidRPr="00EC0229">
        <w:rPr>
          <w:rFonts w:asciiTheme="minorHAnsi" w:eastAsia="Times New Roman" w:hAnsiTheme="minorHAnsi" w:cstheme="minorHAnsi"/>
          <w:color w:val="000000" w:themeColor="text1"/>
          <w:szCs w:val="24"/>
          <w:lang w:eastAsia="en-GB"/>
        </w:rPr>
        <w:t>imprecision</w:t>
      </w:r>
      <w:r w:rsidR="00414E16" w:rsidRPr="00EC0229">
        <w:rPr>
          <w:rFonts w:asciiTheme="minorHAnsi" w:eastAsia="Times New Roman" w:hAnsiTheme="minorHAnsi" w:cstheme="minorHAnsi"/>
          <w:color w:val="000000" w:themeColor="text1"/>
          <w:szCs w:val="24"/>
          <w:lang w:eastAsia="en-GB"/>
        </w:rPr>
        <w:t xml:space="preserve"> and to survey ‘the strategic positioning of sites within the landscape’</w:t>
      </w:r>
      <w:r w:rsidR="007927DD" w:rsidRPr="00EC0229">
        <w:rPr>
          <w:rFonts w:asciiTheme="minorHAnsi" w:eastAsia="Times New Roman" w:hAnsiTheme="minorHAnsi" w:cstheme="minorHAnsi"/>
          <w:color w:val="000000" w:themeColor="text1"/>
          <w:szCs w:val="24"/>
          <w:lang w:eastAsia="en-GB"/>
        </w:rPr>
        <w:t>.</w:t>
      </w:r>
      <w:r w:rsidR="007927DD" w:rsidRPr="00EC0229">
        <w:rPr>
          <w:rStyle w:val="FootnoteReference"/>
          <w:rFonts w:asciiTheme="minorHAnsi" w:eastAsia="Times New Roman" w:hAnsiTheme="minorHAnsi" w:cstheme="minorHAnsi"/>
          <w:color w:val="000000" w:themeColor="text1"/>
          <w:szCs w:val="24"/>
          <w:lang w:eastAsia="en-GB"/>
        </w:rPr>
        <w:t xml:space="preserve"> </w:t>
      </w:r>
      <w:r w:rsidR="007927DD" w:rsidRPr="00EC0229">
        <w:rPr>
          <w:rStyle w:val="FootnoteReference"/>
          <w:rFonts w:asciiTheme="minorHAnsi" w:eastAsia="Times New Roman" w:hAnsiTheme="minorHAnsi" w:cstheme="minorHAnsi"/>
          <w:color w:val="000000" w:themeColor="text1"/>
          <w:szCs w:val="24"/>
          <w:lang w:eastAsia="en-GB"/>
        </w:rPr>
        <w:footnoteReference w:id="244"/>
      </w:r>
      <w:r w:rsidR="00771025" w:rsidRPr="00EC0229">
        <w:rPr>
          <w:rFonts w:asciiTheme="minorHAnsi" w:eastAsia="Times New Roman" w:hAnsiTheme="minorHAnsi" w:cstheme="minorHAnsi"/>
          <w:color w:val="000000" w:themeColor="text1"/>
          <w:szCs w:val="24"/>
          <w:lang w:eastAsia="en-GB"/>
        </w:rPr>
        <w:t xml:space="preserve"> She concluded that findspot inaccuracy is unlikely to distort the overall distribution pattern,</w:t>
      </w:r>
      <w:r w:rsidR="00F60B61" w:rsidRPr="00EC0229">
        <w:rPr>
          <w:rFonts w:asciiTheme="minorHAnsi" w:eastAsia="Times New Roman" w:hAnsiTheme="minorHAnsi" w:cstheme="minorHAnsi"/>
          <w:color w:val="000000" w:themeColor="text1"/>
          <w:szCs w:val="24"/>
          <w:lang w:eastAsia="en-GB"/>
        </w:rPr>
        <w:t xml:space="preserve"> that there is differential </w:t>
      </w:r>
      <w:r w:rsidR="00313982" w:rsidRPr="00EC0229">
        <w:rPr>
          <w:rFonts w:asciiTheme="minorHAnsi" w:eastAsia="Times New Roman" w:hAnsiTheme="minorHAnsi" w:cstheme="minorHAnsi"/>
          <w:color w:val="000000" w:themeColor="text1"/>
          <w:szCs w:val="24"/>
          <w:lang w:eastAsia="en-GB"/>
        </w:rPr>
        <w:t>wealth distribution and</w:t>
      </w:r>
      <w:r w:rsidR="00F60B61" w:rsidRPr="00EC0229">
        <w:rPr>
          <w:rFonts w:asciiTheme="minorHAnsi" w:eastAsia="Times New Roman" w:hAnsiTheme="minorHAnsi" w:cstheme="minorHAnsi"/>
          <w:color w:val="000000" w:themeColor="text1"/>
          <w:szCs w:val="24"/>
          <w:lang w:eastAsia="en-GB"/>
        </w:rPr>
        <w:t xml:space="preserve"> t</w:t>
      </w:r>
      <w:r w:rsidR="00276BC8" w:rsidRPr="00EC0229">
        <w:rPr>
          <w:rFonts w:asciiTheme="minorHAnsi" w:eastAsia="Times New Roman" w:hAnsiTheme="minorHAnsi" w:cstheme="minorHAnsi"/>
          <w:color w:val="000000" w:themeColor="text1"/>
          <w:szCs w:val="24"/>
          <w:lang w:eastAsia="en-GB"/>
        </w:rPr>
        <w:t>hat ‘productive sites’ are not</w:t>
      </w:r>
      <w:r w:rsidR="00F60B61" w:rsidRPr="00EC0229">
        <w:rPr>
          <w:rFonts w:asciiTheme="minorHAnsi" w:eastAsia="Times New Roman" w:hAnsiTheme="minorHAnsi" w:cstheme="minorHAnsi"/>
          <w:color w:val="000000" w:themeColor="text1"/>
          <w:szCs w:val="24"/>
          <w:lang w:eastAsia="en-GB"/>
        </w:rPr>
        <w:t xml:space="preserve"> just </w:t>
      </w:r>
      <w:r w:rsidR="00276BC8" w:rsidRPr="00EC0229">
        <w:rPr>
          <w:rFonts w:asciiTheme="minorHAnsi" w:eastAsia="Times New Roman" w:hAnsiTheme="minorHAnsi" w:cstheme="minorHAnsi"/>
          <w:color w:val="000000" w:themeColor="text1"/>
          <w:szCs w:val="24"/>
          <w:lang w:eastAsia="en-GB"/>
        </w:rPr>
        <w:t xml:space="preserve">a </w:t>
      </w:r>
      <w:r w:rsidR="00F60B61" w:rsidRPr="00EC0229">
        <w:rPr>
          <w:rFonts w:asciiTheme="minorHAnsi" w:eastAsia="Times New Roman" w:hAnsiTheme="minorHAnsi" w:cstheme="minorHAnsi"/>
          <w:color w:val="000000" w:themeColor="text1"/>
          <w:szCs w:val="24"/>
          <w:lang w:eastAsia="en-GB"/>
        </w:rPr>
        <w:t>northern phenomenon</w:t>
      </w:r>
      <w:r w:rsidR="00313982" w:rsidRPr="00EC0229">
        <w:rPr>
          <w:rFonts w:asciiTheme="minorHAnsi" w:eastAsia="Times New Roman" w:hAnsiTheme="minorHAnsi" w:cstheme="minorHAnsi"/>
          <w:color w:val="000000" w:themeColor="text1"/>
          <w:szCs w:val="24"/>
          <w:lang w:eastAsia="en-GB"/>
        </w:rPr>
        <w:t>.</w:t>
      </w:r>
      <w:r w:rsidR="00F60B61" w:rsidRPr="00EC0229">
        <w:rPr>
          <w:rStyle w:val="FootnoteReference"/>
          <w:rFonts w:asciiTheme="minorHAnsi" w:eastAsia="Times New Roman" w:hAnsiTheme="minorHAnsi" w:cstheme="minorHAnsi"/>
          <w:color w:val="000000" w:themeColor="text1"/>
          <w:szCs w:val="24"/>
          <w:lang w:eastAsia="en-GB"/>
        </w:rPr>
        <w:footnoteReference w:id="245"/>
      </w:r>
      <w:r w:rsidR="00313982" w:rsidRPr="00EC0229">
        <w:rPr>
          <w:rFonts w:asciiTheme="minorHAnsi" w:eastAsia="Times New Roman" w:hAnsiTheme="minorHAnsi" w:cstheme="minorHAnsi"/>
          <w:color w:val="000000" w:themeColor="text1"/>
          <w:szCs w:val="24"/>
          <w:lang w:eastAsia="en-GB"/>
        </w:rPr>
        <w:t xml:space="preserve"> She differenced ‘productive sites’ from </w:t>
      </w:r>
      <w:r w:rsidR="00313982" w:rsidRPr="00EC0229">
        <w:rPr>
          <w:rFonts w:asciiTheme="minorHAnsi" w:eastAsia="Times New Roman" w:hAnsiTheme="minorHAnsi" w:cstheme="minorHAnsi"/>
          <w:i/>
          <w:color w:val="000000" w:themeColor="text1"/>
          <w:szCs w:val="24"/>
          <w:lang w:eastAsia="en-GB"/>
        </w:rPr>
        <w:t>wics</w:t>
      </w:r>
      <w:r w:rsidR="00313982" w:rsidRPr="00EC0229">
        <w:rPr>
          <w:rFonts w:asciiTheme="minorHAnsi" w:eastAsia="Times New Roman" w:hAnsiTheme="minorHAnsi" w:cstheme="minorHAnsi"/>
          <w:color w:val="000000" w:themeColor="text1"/>
          <w:szCs w:val="24"/>
          <w:lang w:eastAsia="en-GB"/>
        </w:rPr>
        <w:t xml:space="preserve"> chiefly in the inland location and strong inter-regional and local trading links of the former, which exploit their hinterland to create wealth through the use of skilled labour with ‘the presence of a strong ecclesiastical element’.</w:t>
      </w:r>
      <w:r w:rsidR="00012A0F" w:rsidRPr="00EC0229">
        <w:rPr>
          <w:rFonts w:asciiTheme="minorHAnsi" w:eastAsia="Times New Roman" w:hAnsiTheme="minorHAnsi" w:cstheme="minorHAnsi"/>
          <w:color w:val="000000" w:themeColor="text1"/>
          <w:szCs w:val="24"/>
          <w:lang w:eastAsia="en-GB"/>
        </w:rPr>
        <w:t xml:space="preserve"> The church acquired, perhaps in return for spiritual support for kings, large, well-resourced, estates and provided regular meeting places, giving impetus to a resurgent economy.</w:t>
      </w:r>
      <w:r w:rsidR="00313982" w:rsidRPr="00EC0229">
        <w:rPr>
          <w:rStyle w:val="FootnoteReference"/>
          <w:rFonts w:asciiTheme="minorHAnsi" w:eastAsia="Times New Roman" w:hAnsiTheme="minorHAnsi" w:cstheme="minorHAnsi"/>
          <w:color w:val="000000" w:themeColor="text1"/>
          <w:szCs w:val="24"/>
          <w:lang w:eastAsia="en-GB"/>
        </w:rPr>
        <w:footnoteReference w:id="246"/>
      </w:r>
      <w:r w:rsidR="00012A0F" w:rsidRPr="00EC0229">
        <w:rPr>
          <w:rFonts w:asciiTheme="minorHAnsi" w:eastAsia="Times New Roman" w:hAnsiTheme="minorHAnsi" w:cstheme="minorHAnsi"/>
          <w:color w:val="000000" w:themeColor="text1"/>
          <w:szCs w:val="24"/>
          <w:lang w:eastAsia="en-GB"/>
        </w:rPr>
        <w:t xml:space="preserve"> She regarded ‘a disparity in sources, recovery and recording’ as explaining perceived differences between the two areas of study, the greatest difference being the absence of a </w:t>
      </w:r>
      <w:r w:rsidR="00012A0F" w:rsidRPr="00EC0229">
        <w:rPr>
          <w:rFonts w:asciiTheme="minorHAnsi" w:eastAsia="Times New Roman" w:hAnsiTheme="minorHAnsi" w:cstheme="minorHAnsi"/>
          <w:i/>
          <w:color w:val="000000" w:themeColor="text1"/>
          <w:szCs w:val="24"/>
          <w:lang w:eastAsia="en-GB"/>
        </w:rPr>
        <w:t>wic</w:t>
      </w:r>
      <w:r w:rsidR="00012A0F" w:rsidRPr="00EC0229">
        <w:rPr>
          <w:rFonts w:asciiTheme="minorHAnsi" w:eastAsia="Times New Roman" w:hAnsiTheme="minorHAnsi" w:cstheme="minorHAnsi"/>
          <w:color w:val="000000" w:themeColor="text1"/>
          <w:szCs w:val="24"/>
          <w:lang w:eastAsia="en-GB"/>
        </w:rPr>
        <w:t xml:space="preserve"> in Lincolnshire.</w:t>
      </w:r>
      <w:r w:rsidR="00012A0F" w:rsidRPr="00EC0229">
        <w:rPr>
          <w:rStyle w:val="FootnoteReference"/>
          <w:rFonts w:asciiTheme="minorHAnsi" w:eastAsia="Times New Roman" w:hAnsiTheme="minorHAnsi" w:cstheme="minorHAnsi"/>
          <w:color w:val="000000" w:themeColor="text1"/>
          <w:szCs w:val="24"/>
          <w:lang w:eastAsia="en-GB"/>
        </w:rPr>
        <w:footnoteReference w:id="247"/>
      </w:r>
    </w:p>
    <w:p w14:paraId="26786562" w14:textId="77777777" w:rsidR="00874954" w:rsidRPr="00EC0229" w:rsidRDefault="00874954" w:rsidP="003D1C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color w:val="FF0000"/>
          <w:szCs w:val="24"/>
          <w:lang w:eastAsia="en-GB"/>
        </w:rPr>
      </w:pPr>
    </w:p>
    <w:p w14:paraId="040BC124" w14:textId="31881315" w:rsidR="00874954" w:rsidRPr="00EC0229" w:rsidRDefault="008776AB" w:rsidP="00874954">
      <w:pPr>
        <w:pStyle w:val="NoSpacing"/>
        <w:spacing w:line="360" w:lineRule="auto"/>
        <w:rPr>
          <w:rFonts w:cs="Times New Roman"/>
        </w:rPr>
      </w:pPr>
      <w:r w:rsidRPr="00EC0229">
        <w:rPr>
          <w:rFonts w:cs="Times New Roman"/>
        </w:rPr>
        <w:t>Detecting led to a major expansion of the artefactual record</w:t>
      </w:r>
      <w:r w:rsidR="00455453" w:rsidRPr="00EC0229">
        <w:rPr>
          <w:rFonts w:cs="Times New Roman"/>
        </w:rPr>
        <w:t xml:space="preserve">, </w:t>
      </w:r>
      <w:r w:rsidR="00455453" w:rsidRPr="00EC0229">
        <w:rPr>
          <w:rFonts w:cs="Times New Roman"/>
          <w:i/>
        </w:rPr>
        <w:t>via</w:t>
      </w:r>
      <w:r w:rsidR="00455453" w:rsidRPr="00EC0229">
        <w:rPr>
          <w:rFonts w:cs="Times New Roman"/>
        </w:rPr>
        <w:t xml:space="preserve"> PAS. </w:t>
      </w:r>
      <w:r w:rsidR="00874954" w:rsidRPr="00EC0229">
        <w:rPr>
          <w:rFonts w:cs="Times New Roman"/>
        </w:rPr>
        <w:t xml:space="preserve">One of the first studies to attempt to make use of this new evidence for Northumbria was undertaken by Naylor (2004) based on his 2002 PhD research. Naylor </w:t>
      </w:r>
      <w:r w:rsidR="00874954" w:rsidRPr="00EC0229">
        <w:t xml:space="preserve">overlaid finds of coins, pottery, stoneware and metalwork in two study areas of middle Saxon England – Yorkshire (Area 1) and Kent (Area 2) – to assess and compare rural involvement in trade and the relative influence of royalty and the church therein. For the coinage, Naylor set out a </w:t>
      </w:r>
      <w:r w:rsidR="006C328D" w:rsidRPr="00EC0229">
        <w:t>periodiz</w:t>
      </w:r>
      <w:r w:rsidR="00874954" w:rsidRPr="00EC0229">
        <w:t>ation</w:t>
      </w:r>
      <w:r w:rsidR="00874954" w:rsidRPr="00EC0229">
        <w:rPr>
          <w:rStyle w:val="FootnoteReference"/>
          <w:rFonts w:cs="Times New Roman"/>
        </w:rPr>
        <w:footnoteReference w:id="248"/>
      </w:r>
      <w:r w:rsidR="00874954" w:rsidRPr="00EC0229">
        <w:t xml:space="preserve"> to facilitate comparisons to regional norms. For Yorkshire, he deduced from the coin loss pattern, especially for eastern Yorkshire after the mid-eighth century, that all settlements were within fifteen kilometres of </w:t>
      </w:r>
      <w:r w:rsidR="00874954" w:rsidRPr="00EC0229">
        <w:lastRenderedPageBreak/>
        <w:t>sites identified as markets, and that these networks were integrated. Stone finds indicated widespread movements but pottery was less diagnostic. Long-distance trade was also apparent from coin loss but Naylor discerned ‘an attempt to restrict much of the monetised trade in the Vale of York/Humber estuary to Fishergate and then to the productive sites across Area 1.’</w:t>
      </w:r>
      <w:r w:rsidR="00874954" w:rsidRPr="00EC0229">
        <w:rPr>
          <w:rStyle w:val="FootnoteReference"/>
          <w:rFonts w:cs="Times New Roman"/>
        </w:rPr>
        <w:footnoteReference w:id="249"/>
      </w:r>
      <w:r w:rsidR="00874954" w:rsidRPr="00EC0229">
        <w:t xml:space="preserve"> His general conclusions were that evidence for attributing ‘productive sites’ to minsters was ‘flimsy’,</w:t>
      </w:r>
      <w:r w:rsidR="00874954" w:rsidRPr="00EC0229">
        <w:rPr>
          <w:rStyle w:val="FootnoteReference"/>
          <w:rFonts w:cs="Times New Roman"/>
        </w:rPr>
        <w:footnoteReference w:id="250"/>
      </w:r>
      <w:r w:rsidR="00874954" w:rsidRPr="00EC0229">
        <w:t xml:space="preserve"> and that royal involvement focussed on extraction of tolls, mainly levied on ‘bulk, utilitarian items and raw materials’ more than luxuries. Markets were sited to optimise royal revenues.</w:t>
      </w:r>
      <w:r w:rsidR="00874954" w:rsidRPr="00EC0229">
        <w:rPr>
          <w:rStyle w:val="FootnoteReference"/>
          <w:rFonts w:cs="Times New Roman"/>
        </w:rPr>
        <w:t xml:space="preserve"> </w:t>
      </w:r>
      <w:r w:rsidR="00874954" w:rsidRPr="00EC0229">
        <w:rPr>
          <w:rStyle w:val="FootnoteReference"/>
          <w:rFonts w:cs="Times New Roman"/>
        </w:rPr>
        <w:footnoteReference w:id="251"/>
      </w:r>
    </w:p>
    <w:p w14:paraId="51FD3B2C" w14:textId="77777777" w:rsidR="00874954" w:rsidRPr="00EC0229" w:rsidRDefault="00874954" w:rsidP="00874954">
      <w:pPr>
        <w:pStyle w:val="NoSpacing"/>
        <w:spacing w:line="360" w:lineRule="auto"/>
        <w:rPr>
          <w:rFonts w:cs="Times New Roman"/>
        </w:rPr>
      </w:pPr>
    </w:p>
    <w:p w14:paraId="7AD3F08E" w14:textId="77777777" w:rsidR="00874954" w:rsidRPr="00EC0229" w:rsidRDefault="00874954" w:rsidP="00874954">
      <w:pPr>
        <w:spacing w:line="360" w:lineRule="auto"/>
        <w:rPr>
          <w:rFonts w:cs="Times New Roman"/>
        </w:rPr>
      </w:pPr>
      <w:r w:rsidRPr="00EC0229">
        <w:rPr>
          <w:rFonts w:cs="Times New Roman"/>
        </w:rPr>
        <w:t>Naylor’s study of Deira (2007) followed Blackburn (2003) in discerning trends in patterns of coin loss. Naylor selected sites with ten or more coin finds and compared these to a regional mean as suggested by Reece (1987). Naylor identified increasing volume of coinage, if cyclical, with some sites showing long-term activity. He regarded the sceat as signifying long-distance trade, but with redirection of activity, under royal influence, to the internal economy, and a reduction in trading activity in the second half of the eighth century, sceat production declined leading to the styca as a cash currency.</w:t>
      </w:r>
    </w:p>
    <w:p w14:paraId="2FC0752B" w14:textId="61500337" w:rsidR="00874954" w:rsidRPr="00EC0229" w:rsidRDefault="00874954" w:rsidP="00FC2AB2">
      <w:pPr>
        <w:spacing w:line="360" w:lineRule="auto"/>
        <w:rPr>
          <w:rFonts w:cs="Times New Roman"/>
        </w:rPr>
      </w:pPr>
      <w:r w:rsidRPr="00EC0229">
        <w:rPr>
          <w:rFonts w:cs="Times New Roman"/>
        </w:rPr>
        <w:t xml:space="preserve">Naylor (2012) revisited the origins of English emporia, in the light of recent data on portable antiquities, emphasising the importance of coastal zones. The southern emporia seem to have arisen from undistinguished origins in the early eighth century, as </w:t>
      </w:r>
      <w:r w:rsidR="00E93554" w:rsidRPr="00EC0229">
        <w:rPr>
          <w:rFonts w:cs="Times New Roman"/>
        </w:rPr>
        <w:t xml:space="preserve">shown </w:t>
      </w:r>
      <w:r w:rsidRPr="00EC0229">
        <w:rPr>
          <w:rFonts w:cs="Times New Roman"/>
        </w:rPr>
        <w:t xml:space="preserve">by significant growth in the coin assemblage. Activity in York, and its Ouse-Humber traffic, saw an apparent decline, evident from the fewer finds of secondary issues compared to primary sceats, in contrast with a significant increase in the Yorkshire Wolds. Naylor suggested curtailment was due to growing Mercian power. He concluded that </w:t>
      </w:r>
      <w:r w:rsidR="003F2041" w:rsidRPr="00EC0229">
        <w:rPr>
          <w:rFonts w:cs="Times New Roman"/>
        </w:rPr>
        <w:t>monetiz</w:t>
      </w:r>
      <w:r w:rsidRPr="00EC0229">
        <w:rPr>
          <w:rFonts w:cs="Times New Roman"/>
        </w:rPr>
        <w:t>ation is not homogenous through time or between locations and that the association of emporia and royal power may have been overstated.</w:t>
      </w:r>
    </w:p>
    <w:p w14:paraId="20C0290B" w14:textId="64B889A1" w:rsidR="00FC2AB2" w:rsidRDefault="00FC2AB2" w:rsidP="00FC2AB2">
      <w:pPr>
        <w:autoSpaceDE w:val="0"/>
        <w:autoSpaceDN w:val="0"/>
        <w:adjustRightInd w:val="0"/>
        <w:spacing w:after="0" w:line="360" w:lineRule="auto"/>
        <w:rPr>
          <w:rFonts w:asciiTheme="minorHAnsi" w:hAnsiTheme="minorHAnsi" w:cstheme="minorHAnsi"/>
          <w:szCs w:val="24"/>
        </w:rPr>
      </w:pPr>
      <w:r>
        <w:rPr>
          <w:szCs w:val="24"/>
        </w:rPr>
        <w:t>Scull and Naylor (2016)</w:t>
      </w:r>
      <w:r>
        <w:rPr>
          <w:rStyle w:val="FootnoteReference"/>
          <w:szCs w:val="24"/>
        </w:rPr>
        <w:footnoteReference w:id="252"/>
      </w:r>
      <w:r>
        <w:rPr>
          <w:szCs w:val="24"/>
        </w:rPr>
        <w:t xml:space="preserve"> demonstrated that Primary sceats as grave goods in</w:t>
      </w:r>
      <w:r w:rsidRPr="00FC2AB2">
        <w:rPr>
          <w:rFonts w:asciiTheme="minorHAnsi" w:hAnsiTheme="minorHAnsi" w:cstheme="minorHAnsi"/>
          <w:szCs w:val="24"/>
        </w:rPr>
        <w:t xml:space="preserve"> </w:t>
      </w:r>
      <w:r>
        <w:rPr>
          <w:rFonts w:asciiTheme="minorHAnsi" w:hAnsiTheme="minorHAnsi" w:cstheme="minorHAnsi"/>
          <w:szCs w:val="24"/>
        </w:rPr>
        <w:t xml:space="preserve">coastal </w:t>
      </w:r>
      <w:r w:rsidRPr="00FC2AB2">
        <w:rPr>
          <w:rFonts w:asciiTheme="minorHAnsi" w:hAnsiTheme="minorHAnsi" w:cstheme="minorHAnsi"/>
          <w:szCs w:val="24"/>
        </w:rPr>
        <w:t>southern and eastern England</w:t>
      </w:r>
      <w:r>
        <w:rPr>
          <w:rFonts w:asciiTheme="minorHAnsi" w:hAnsiTheme="minorHAnsi" w:cstheme="minorHAnsi"/>
          <w:szCs w:val="24"/>
        </w:rPr>
        <w:t xml:space="preserve"> indicated greater monetization, though whether this is tributary or commercial cannot be determined. It is clear that the transition from gold took place a decade or two prior to the numismatic convention.</w:t>
      </w:r>
    </w:p>
    <w:p w14:paraId="764568B5" w14:textId="77777777" w:rsidR="00FC2AB2" w:rsidRPr="00FC2AB2" w:rsidRDefault="00FC2AB2" w:rsidP="00FC2AB2">
      <w:pPr>
        <w:autoSpaceDE w:val="0"/>
        <w:autoSpaceDN w:val="0"/>
        <w:adjustRightInd w:val="0"/>
        <w:spacing w:after="0" w:line="360" w:lineRule="auto"/>
        <w:jc w:val="left"/>
        <w:rPr>
          <w:rFonts w:asciiTheme="minorHAnsi" w:hAnsiTheme="minorHAnsi" w:cstheme="minorHAnsi"/>
          <w:szCs w:val="24"/>
        </w:rPr>
      </w:pPr>
    </w:p>
    <w:p w14:paraId="564A0DF8" w14:textId="54F6A7B7" w:rsidR="0066180A" w:rsidRPr="00EC0229" w:rsidRDefault="0066180A" w:rsidP="00FC2AB2">
      <w:pPr>
        <w:pStyle w:val="NoSpacing"/>
        <w:spacing w:line="360" w:lineRule="auto"/>
        <w:rPr>
          <w:szCs w:val="24"/>
        </w:rPr>
      </w:pPr>
      <w:r w:rsidRPr="00EC0229">
        <w:rPr>
          <w:szCs w:val="24"/>
        </w:rPr>
        <w:lastRenderedPageBreak/>
        <w:t xml:space="preserve">Smith (2006) </w:t>
      </w:r>
      <w:r w:rsidR="003C0865" w:rsidRPr="00EC0229">
        <w:rPr>
          <w:rFonts w:cs="Times New Roman"/>
          <w:szCs w:val="24"/>
        </w:rPr>
        <w:t xml:space="preserve">also made use of metal-detected data but </w:t>
      </w:r>
      <w:r w:rsidRPr="00EC0229">
        <w:rPr>
          <w:szCs w:val="24"/>
        </w:rPr>
        <w:t>assessed Deiran economic history under the conventional headings of production, distribution and consumption. Various types of subsistence and specialist production are evident: thrown pottery at Whitby</w:t>
      </w:r>
      <w:r w:rsidRPr="00EC0229">
        <w:rPr>
          <w:szCs w:val="24"/>
        </w:rPr>
        <w:fldChar w:fldCharType="begin"/>
      </w:r>
      <w:r w:rsidRPr="00EC0229">
        <w:instrText xml:space="preserve"> XE "</w:instrText>
      </w:r>
      <w:r w:rsidRPr="00EC0229">
        <w:rPr>
          <w:noProof/>
        </w:rPr>
        <w:instrText>Whitby</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Whitby \h </w:instrText>
      </w:r>
      <w:r w:rsidRPr="00EC0229">
        <w:rPr>
          <w:szCs w:val="24"/>
        </w:rPr>
      </w:r>
      <w:r w:rsidRPr="00EC0229">
        <w:rPr>
          <w:szCs w:val="24"/>
        </w:rPr>
        <w:fldChar w:fldCharType="separate"/>
      </w:r>
      <w:r w:rsidR="0012026B">
        <w:rPr>
          <w:noProof/>
          <w:szCs w:val="24"/>
        </w:rPr>
        <w:t>291</w:t>
      </w:r>
      <w:r w:rsidRPr="00EC0229">
        <w:rPr>
          <w:szCs w:val="24"/>
        </w:rPr>
        <w:fldChar w:fldCharType="end"/>
      </w:r>
      <w:r w:rsidRPr="00EC0229">
        <w:rPr>
          <w:szCs w:val="24"/>
        </w:rPr>
        <w:t>) and Otley; widespread textile manufacture with numerous spindle-whorls and loom-weights</w:t>
      </w:r>
      <w:r w:rsidRPr="00EC0229">
        <w:rPr>
          <w:szCs w:val="24"/>
        </w:rPr>
        <w:fldChar w:fldCharType="begin"/>
      </w:r>
      <w:r w:rsidRPr="00EC0229">
        <w:instrText xml:space="preserve"> XE "</w:instrText>
      </w:r>
      <w:r w:rsidRPr="00EC0229">
        <w:rPr>
          <w:rStyle w:val="Hyperlink"/>
          <w:noProof/>
          <w:u w:val="none"/>
        </w:rPr>
        <w:instrText>weights</w:instrText>
      </w:r>
      <w:r w:rsidRPr="00EC0229">
        <w:instrText xml:space="preserve">" </w:instrText>
      </w:r>
      <w:r w:rsidRPr="00EC0229">
        <w:rPr>
          <w:szCs w:val="24"/>
        </w:rPr>
        <w:fldChar w:fldCharType="end"/>
      </w:r>
      <w:r w:rsidRPr="00EC0229">
        <w:rPr>
          <w:szCs w:val="24"/>
        </w:rPr>
        <w:t xml:space="preserve"> as evidence; smithing at Fishergate</w:t>
      </w:r>
      <w:r w:rsidRPr="00EC0229">
        <w:rPr>
          <w:szCs w:val="24"/>
        </w:rPr>
        <w:fldChar w:fldCharType="begin"/>
      </w:r>
      <w:r w:rsidRPr="00EC0229">
        <w:instrText xml:space="preserve"> XE "</w:instrText>
      </w:r>
      <w:r w:rsidRPr="00EC0229">
        <w:rPr>
          <w:noProof/>
        </w:rPr>
        <w:instrText>Fishergate</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Fishergate \h </w:instrText>
      </w:r>
      <w:r w:rsidRPr="00EC0229">
        <w:rPr>
          <w:szCs w:val="24"/>
        </w:rPr>
      </w:r>
      <w:r w:rsidRPr="00EC0229">
        <w:rPr>
          <w:szCs w:val="24"/>
        </w:rPr>
        <w:fldChar w:fldCharType="separate"/>
      </w:r>
      <w:r w:rsidR="0012026B">
        <w:rPr>
          <w:noProof/>
          <w:szCs w:val="24"/>
        </w:rPr>
        <w:t>186</w:t>
      </w:r>
      <w:r w:rsidRPr="00EC0229">
        <w:rPr>
          <w:szCs w:val="24"/>
        </w:rPr>
        <w:fldChar w:fldCharType="end"/>
      </w:r>
      <w:r w:rsidRPr="00EC0229">
        <w:rPr>
          <w:szCs w:val="24"/>
        </w:rPr>
        <w:t>) and Wharram Percy</w:t>
      </w:r>
      <w:r w:rsidRPr="00EC0229">
        <w:rPr>
          <w:szCs w:val="24"/>
        </w:rPr>
        <w:fldChar w:fldCharType="begin"/>
      </w:r>
      <w:r w:rsidRPr="00EC0229">
        <w:instrText xml:space="preserve"> XE "</w:instrText>
      </w:r>
      <w:r w:rsidRPr="00EC0229">
        <w:rPr>
          <w:noProof/>
        </w:rPr>
        <w:instrText>Wharram Percy</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WharramPercy \h </w:instrText>
      </w:r>
      <w:r w:rsidRPr="00EC0229">
        <w:rPr>
          <w:szCs w:val="24"/>
        </w:rPr>
      </w:r>
      <w:r w:rsidRPr="00EC0229">
        <w:rPr>
          <w:szCs w:val="24"/>
        </w:rPr>
        <w:fldChar w:fldCharType="separate"/>
      </w:r>
      <w:r w:rsidR="0012026B">
        <w:rPr>
          <w:noProof/>
          <w:szCs w:val="24"/>
        </w:rPr>
        <w:t>237</w:t>
      </w:r>
      <w:r w:rsidRPr="00EC0229">
        <w:rPr>
          <w:szCs w:val="24"/>
        </w:rPr>
        <w:fldChar w:fldCharType="end"/>
      </w:r>
      <w:r w:rsidRPr="00EC0229">
        <w:rPr>
          <w:szCs w:val="24"/>
        </w:rPr>
        <w:t>) from both ore and scrap.</w:t>
      </w:r>
      <w:r w:rsidRPr="00EC0229">
        <w:rPr>
          <w:rStyle w:val="FootnoteReference"/>
          <w:szCs w:val="24"/>
        </w:rPr>
        <w:footnoteReference w:id="253"/>
      </w:r>
      <w:r w:rsidRPr="00EC0229">
        <w:rPr>
          <w:szCs w:val="24"/>
        </w:rPr>
        <w:t xml:space="preserve"> Working in copper-alloy is regarded as a specialism of Wharram Percy, linked to supply of material for styca production: ‘The rarity of working copper-alloy in Anglo-Saxon</w:t>
      </w:r>
      <w:r w:rsidRPr="00EC0229">
        <w:rPr>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Cs w:val="24"/>
        </w:rPr>
        <w:fldChar w:fldCharType="end"/>
      </w:r>
      <w:r w:rsidRPr="00EC0229">
        <w:rPr>
          <w:szCs w:val="24"/>
        </w:rPr>
        <w:t xml:space="preserve"> England means that their presence at Wharram is particularly significant.’</w:t>
      </w:r>
      <w:r w:rsidRPr="00EC0229">
        <w:rPr>
          <w:rStyle w:val="FootnoteReference"/>
          <w:szCs w:val="24"/>
        </w:rPr>
        <w:footnoteReference w:id="254"/>
      </w:r>
      <w:r w:rsidRPr="00EC0229">
        <w:rPr>
          <w:szCs w:val="24"/>
        </w:rPr>
        <w:t xml:space="preserve"> Smith also made some useful observations about the use of glass. All Deiran sites with glass-working also have evidence of metalworking.</w:t>
      </w:r>
      <w:r w:rsidRPr="00EC0229">
        <w:rPr>
          <w:rStyle w:val="FootnoteReference"/>
          <w:szCs w:val="24"/>
        </w:rPr>
        <w:footnoteReference w:id="255"/>
      </w:r>
      <w:r w:rsidRPr="00EC0229">
        <w:rPr>
          <w:szCs w:val="24"/>
        </w:rPr>
        <w:t xml:space="preserve"> For example, decorative glass rods are found at Kirkdale in association with metalworking, suggesting production of decorative mounts and enamelling.</w:t>
      </w:r>
      <w:r w:rsidRPr="00EC0229">
        <w:rPr>
          <w:rStyle w:val="FootnoteReference"/>
          <w:szCs w:val="24"/>
        </w:rPr>
        <w:footnoteReference w:id="256"/>
      </w:r>
      <w:r w:rsidRPr="00EC0229">
        <w:rPr>
          <w:szCs w:val="24"/>
        </w:rPr>
        <w:t xml:space="preserve"> Chemical analysis shows that virtually all glass is recycled Roman</w:t>
      </w:r>
      <w:r w:rsidRPr="00EC0229">
        <w:rPr>
          <w:szCs w:val="24"/>
        </w:rPr>
        <w:fldChar w:fldCharType="begin"/>
      </w:r>
      <w:r w:rsidRPr="00EC0229">
        <w:instrText xml:space="preserve"> XE "Roman" </w:instrText>
      </w:r>
      <w:r w:rsidRPr="00EC0229">
        <w:rPr>
          <w:szCs w:val="24"/>
        </w:rPr>
        <w:fldChar w:fldCharType="end"/>
      </w:r>
      <w:r w:rsidRPr="00EC0229">
        <w:rPr>
          <w:szCs w:val="24"/>
        </w:rPr>
        <w:t xml:space="preserve"> glass and Smith suggested that there may be an analogy for copper-alloy and iron.</w:t>
      </w:r>
      <w:r w:rsidRPr="00EC0229">
        <w:rPr>
          <w:rStyle w:val="FootnoteReference"/>
          <w:szCs w:val="24"/>
        </w:rPr>
        <w:footnoteReference w:id="257"/>
      </w:r>
      <w:r w:rsidRPr="00EC0229">
        <w:rPr>
          <w:szCs w:val="24"/>
        </w:rPr>
        <w:t xml:space="preserve">  </w:t>
      </w:r>
      <w:r w:rsidRPr="00EC0229">
        <w:t>Haldenby &amp; Richards (2010) mention n</w:t>
      </w:r>
      <w:r w:rsidRPr="00EC0229">
        <w:rPr>
          <w:szCs w:val="24"/>
        </w:rPr>
        <w:t>on-ferrous metals at Cottam</w:t>
      </w:r>
      <w:r w:rsidRPr="00EC0229">
        <w:rPr>
          <w:szCs w:val="24"/>
        </w:rPr>
        <w:fldChar w:fldCharType="begin"/>
      </w:r>
      <w:r w:rsidRPr="00EC0229">
        <w:instrText xml:space="preserve"> XE "</w:instrText>
      </w:r>
      <w:r w:rsidRPr="00EC0229">
        <w:rPr>
          <w:rFonts w:eastAsia="Times New Roman"/>
          <w:noProof/>
          <w:lang w:eastAsia="en-GB"/>
        </w:rPr>
        <w:instrText>Cottam</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Cottam \h </w:instrText>
      </w:r>
      <w:r w:rsidRPr="00EC0229">
        <w:rPr>
          <w:szCs w:val="24"/>
        </w:rPr>
      </w:r>
      <w:r w:rsidRPr="00EC0229">
        <w:rPr>
          <w:szCs w:val="24"/>
        </w:rPr>
        <w:fldChar w:fldCharType="separate"/>
      </w:r>
      <w:r w:rsidR="0012026B">
        <w:rPr>
          <w:noProof/>
          <w:szCs w:val="24"/>
        </w:rPr>
        <w:t>240</w:t>
      </w:r>
      <w:r w:rsidRPr="00EC0229">
        <w:rPr>
          <w:szCs w:val="24"/>
        </w:rPr>
        <w:fldChar w:fldCharType="end"/>
      </w:r>
      <w:r w:rsidRPr="00EC0229">
        <w:rPr>
          <w:szCs w:val="24"/>
        </w:rPr>
        <w:t>).</w:t>
      </w:r>
      <w:r w:rsidRPr="00EC0229">
        <w:rPr>
          <w:rStyle w:val="FootnoteReference"/>
          <w:szCs w:val="24"/>
        </w:rPr>
        <w:footnoteReference w:id="258"/>
      </w:r>
      <w:r w:rsidRPr="00EC0229">
        <w:rPr>
          <w:szCs w:val="24"/>
        </w:rPr>
        <w:t xml:space="preserve"> Loveluck mentioned iron-smelting at Elmswell near Driffield</w:t>
      </w:r>
      <w:r w:rsidRPr="00EC0229">
        <w:rPr>
          <w:szCs w:val="24"/>
        </w:rPr>
        <w:fldChar w:fldCharType="begin"/>
      </w:r>
      <w:r w:rsidRPr="00EC0229">
        <w:instrText xml:space="preserve"> XE "</w:instrText>
      </w:r>
      <w:r w:rsidRPr="00EC0229">
        <w:rPr>
          <w:rFonts w:eastAsia="Times New Roman"/>
          <w:noProof/>
          <w:lang w:eastAsia="en-GB"/>
        </w:rPr>
        <w:instrText>Driffield</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Driffield \h </w:instrText>
      </w:r>
      <w:r w:rsidRPr="00EC0229">
        <w:rPr>
          <w:szCs w:val="24"/>
        </w:rPr>
      </w:r>
      <w:r w:rsidRPr="00EC0229">
        <w:rPr>
          <w:szCs w:val="24"/>
        </w:rPr>
        <w:fldChar w:fldCharType="separate"/>
      </w:r>
      <w:r w:rsidR="0012026B">
        <w:rPr>
          <w:noProof/>
          <w:szCs w:val="24"/>
        </w:rPr>
        <w:t>251</w:t>
      </w:r>
      <w:r w:rsidRPr="00EC0229">
        <w:rPr>
          <w:szCs w:val="24"/>
        </w:rPr>
        <w:fldChar w:fldCharType="end"/>
      </w:r>
      <w:r w:rsidRPr="00EC0229">
        <w:rPr>
          <w:szCs w:val="24"/>
        </w:rPr>
        <w:t>) suggesting that the wealth generated by this financed coin production.</w:t>
      </w:r>
      <w:r w:rsidRPr="00EC0229">
        <w:rPr>
          <w:rStyle w:val="FootnoteReference"/>
          <w:szCs w:val="24"/>
        </w:rPr>
        <w:footnoteReference w:id="259"/>
      </w:r>
      <w:r w:rsidRPr="00EC0229">
        <w:rPr>
          <w:szCs w:val="24"/>
        </w:rPr>
        <w:t xml:space="preserve"> Craft production included metal-working at Beverley</w:t>
      </w:r>
      <w:r w:rsidRPr="00EC0229">
        <w:rPr>
          <w:szCs w:val="24"/>
        </w:rPr>
        <w:fldChar w:fldCharType="begin"/>
      </w:r>
      <w:r w:rsidRPr="00EC0229">
        <w:instrText xml:space="preserve"> XE "</w:instrText>
      </w:r>
      <w:r w:rsidRPr="00EC0229">
        <w:rPr>
          <w:noProof/>
        </w:rPr>
        <w:instrText>Beverley</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Beverley \h </w:instrText>
      </w:r>
      <w:r w:rsidRPr="00EC0229">
        <w:rPr>
          <w:szCs w:val="24"/>
        </w:rPr>
      </w:r>
      <w:r w:rsidRPr="00EC0229">
        <w:rPr>
          <w:szCs w:val="24"/>
        </w:rPr>
        <w:fldChar w:fldCharType="separate"/>
      </w:r>
      <w:r w:rsidR="0012026B">
        <w:rPr>
          <w:noProof/>
          <w:szCs w:val="24"/>
        </w:rPr>
        <w:t>262</w:t>
      </w:r>
      <w:r w:rsidRPr="00EC0229">
        <w:rPr>
          <w:szCs w:val="24"/>
        </w:rPr>
        <w:fldChar w:fldCharType="end"/>
      </w:r>
      <w:r w:rsidRPr="00EC0229">
        <w:rPr>
          <w:szCs w:val="24"/>
        </w:rPr>
        <w:t>) Fishergate and Wharram Percy as well as widespread use of antler, fur and leather.</w:t>
      </w:r>
    </w:p>
    <w:p w14:paraId="6F12EC43" w14:textId="77777777" w:rsidR="007A3CCD" w:rsidRPr="00EC0229" w:rsidRDefault="007A3CCD" w:rsidP="00AC5027">
      <w:pPr>
        <w:pStyle w:val="NoSpacing"/>
        <w:spacing w:line="360" w:lineRule="auto"/>
      </w:pPr>
    </w:p>
    <w:p w14:paraId="492F2141" w14:textId="526BF70B" w:rsidR="003F22F2" w:rsidRPr="00EC0229" w:rsidRDefault="003F22F2" w:rsidP="003F22F2">
      <w:pPr>
        <w:spacing w:line="360" w:lineRule="auto"/>
      </w:pPr>
      <w:r w:rsidRPr="00EC0229">
        <w:t xml:space="preserve">An invaluable database, </w:t>
      </w:r>
      <w:r w:rsidRPr="00EC0229">
        <w:rPr>
          <w:i/>
        </w:rPr>
        <w:t>VASLE</w:t>
      </w:r>
      <w:r w:rsidRPr="00EC0229">
        <w:t>, was created by Richards, Naylor</w:t>
      </w:r>
      <w:r w:rsidRPr="00EC0229">
        <w:fldChar w:fldCharType="begin"/>
      </w:r>
      <w:r w:rsidRPr="00EC0229">
        <w:instrText xml:space="preserve"> XE "</w:instrText>
      </w:r>
      <w:r w:rsidRPr="00EC0229">
        <w:rPr>
          <w:rFonts w:cs="Times New Roman"/>
          <w:szCs w:val="24"/>
        </w:rPr>
        <w:instrText>Naylor</w:instrText>
      </w:r>
      <w:r w:rsidRPr="00EC0229">
        <w:instrText xml:space="preserve">" </w:instrText>
      </w:r>
      <w:r w:rsidRPr="00EC0229">
        <w:fldChar w:fldCharType="end"/>
      </w:r>
      <w:r w:rsidRPr="00EC0229">
        <w:t xml:space="preserve"> and Holas-Clark (2008) based on two data-streams: a national dataset of finds dated from </w:t>
      </w:r>
      <w:r w:rsidRPr="00EC0229">
        <w:rPr>
          <w:i/>
        </w:rPr>
        <w:t>c.</w:t>
      </w:r>
      <w:r w:rsidRPr="00EC0229">
        <w:t xml:space="preserve">700 to 1050; and a sites dataset of finds from over sixty-five 'productive sites', including data from HER (Historic Environment Records) and excavation reports. Extensive data cleansing was required to standardise, or indeed introduce, classification and address generic dating issues. The sites dataset was purged of non-metallic items and those of insecure or early date. The data was </w:t>
      </w:r>
      <w:r w:rsidR="006C328D" w:rsidRPr="00EC0229">
        <w:t>periodiz</w:t>
      </w:r>
      <w:r w:rsidRPr="00EC0229">
        <w:t xml:space="preserve">ed and allocated by parish. For the purposes of the present study, </w:t>
      </w:r>
      <w:r w:rsidR="00E93554" w:rsidRPr="00EC0229">
        <w:rPr>
          <w:i/>
        </w:rPr>
        <w:t>VASLE</w:t>
      </w:r>
      <w:r w:rsidR="00E93554" w:rsidRPr="00EC0229">
        <w:t xml:space="preserve"> </w:t>
      </w:r>
      <w:r w:rsidR="006237D7" w:rsidRPr="00EC0229">
        <w:t xml:space="preserve">coinage data has not been used as it is superseded by the </w:t>
      </w:r>
      <w:r w:rsidR="00497AC3" w:rsidRPr="00EC0229">
        <w:t>dataset</w:t>
      </w:r>
      <w:r w:rsidR="006237D7" w:rsidRPr="00EC0229">
        <w:t xml:space="preserve"> created in this study.</w:t>
      </w:r>
    </w:p>
    <w:p w14:paraId="301B8C36" w14:textId="77777777" w:rsidR="003F22F2" w:rsidRPr="00EC0229" w:rsidRDefault="003F22F2" w:rsidP="003F22F2">
      <w:pPr>
        <w:pStyle w:val="NoSpacing"/>
      </w:pPr>
    </w:p>
    <w:p w14:paraId="5C46D961" w14:textId="6C9C53F1" w:rsidR="003F22F2" w:rsidRPr="00EC0229" w:rsidRDefault="00E93554" w:rsidP="000242A2">
      <w:pPr>
        <w:spacing w:line="360" w:lineRule="auto"/>
      </w:pPr>
      <w:bookmarkStart w:id="112" w:name="Naylor2006"/>
      <w:bookmarkEnd w:id="112"/>
      <w:r w:rsidRPr="00EC0229">
        <w:rPr>
          <w:i/>
        </w:rPr>
        <w:t>VASLE</w:t>
      </w:r>
      <w:r w:rsidRPr="00EC0229">
        <w:t xml:space="preserve"> </w:t>
      </w:r>
      <w:r w:rsidR="0066180A" w:rsidRPr="00EC0229">
        <w:t xml:space="preserve">was one of the first studies to make research use of the PAS database. </w:t>
      </w:r>
      <w:r w:rsidR="003F22F2" w:rsidRPr="00EC0229">
        <w:t xml:space="preserve">There is a growing body of work using PAS data to evaluate landscape archaeology, settlement and </w:t>
      </w:r>
      <w:r w:rsidR="003F22F2" w:rsidRPr="00EC0229">
        <w:lastRenderedPageBreak/>
        <w:t xml:space="preserve">economic development. While these may be of different periods and regions to the present study, their methodologies and identification of biases are relevant. </w:t>
      </w:r>
    </w:p>
    <w:p w14:paraId="57008B8F" w14:textId="77777777" w:rsidR="00AC5027" w:rsidRPr="00EC0229" w:rsidRDefault="00AC5027" w:rsidP="00AC5027">
      <w:pPr>
        <w:pStyle w:val="NoSpacing"/>
      </w:pPr>
    </w:p>
    <w:p w14:paraId="1BDE15C0" w14:textId="77777777" w:rsidR="003C0865" w:rsidRPr="00EC0229" w:rsidRDefault="003C0865" w:rsidP="003C0865">
      <w:pPr>
        <w:pStyle w:val="NoSpacing"/>
        <w:spacing w:line="360" w:lineRule="auto"/>
      </w:pPr>
      <w:r w:rsidRPr="00EC0229">
        <w:t>Chester-Kadwell (2009) studied the juxtaposition of Norfolk’s cemeteries and settlements between early fifth and seventh centuries supplementing historic and archaeological sources with metal-detector finds. She discerned a landscape of occupation, full and varied with long-term settlement but concluded that unreliable recording ‘produces an unhelpful chronological imprecision and may mask significant diversity, complexity and change.’</w:t>
      </w:r>
      <w:r w:rsidRPr="00EC0229">
        <w:rPr>
          <w:rStyle w:val="FootnoteReference"/>
        </w:rPr>
        <w:footnoteReference w:id="260"/>
      </w:r>
    </w:p>
    <w:p w14:paraId="7EB70FEB" w14:textId="77777777" w:rsidR="003C0865" w:rsidRPr="00EC0229" w:rsidRDefault="003C0865" w:rsidP="003F22F2">
      <w:pPr>
        <w:autoSpaceDE w:val="0"/>
        <w:autoSpaceDN w:val="0"/>
        <w:adjustRightInd w:val="0"/>
        <w:spacing w:after="0" w:line="360" w:lineRule="auto"/>
        <w:rPr>
          <w:rFonts w:cs="Times New Roman"/>
          <w:szCs w:val="24"/>
        </w:rPr>
      </w:pPr>
    </w:p>
    <w:p w14:paraId="5B39DF85" w14:textId="47F028A1" w:rsidR="003F22F2" w:rsidRPr="00EC0229" w:rsidRDefault="003F22F2" w:rsidP="003F22F2">
      <w:pPr>
        <w:autoSpaceDE w:val="0"/>
        <w:autoSpaceDN w:val="0"/>
        <w:adjustRightInd w:val="0"/>
        <w:spacing w:after="0" w:line="360" w:lineRule="auto"/>
        <w:rPr>
          <w:rFonts w:cs="Times New Roman"/>
          <w:szCs w:val="24"/>
        </w:rPr>
      </w:pPr>
      <w:r w:rsidRPr="00EC0229">
        <w:rPr>
          <w:rFonts w:cs="Times New Roman"/>
          <w:szCs w:val="24"/>
        </w:rPr>
        <w:t xml:space="preserve">Brindle (2014) illustrated the use of PAS data, beyond typological analyses, to study Romano-British ‘landscapes’, </w:t>
      </w:r>
      <w:r w:rsidRPr="00EC0229">
        <w:rPr>
          <w:rFonts w:cs="Times New Roman"/>
          <w:bCs/>
          <w:szCs w:val="24"/>
        </w:rPr>
        <w:t xml:space="preserve">site </w:t>
      </w:r>
      <w:r w:rsidR="00BC0BC9" w:rsidRPr="00EC0229">
        <w:rPr>
          <w:rFonts w:cs="Times New Roman"/>
          <w:bCs/>
          <w:szCs w:val="24"/>
        </w:rPr>
        <w:t>characteris</w:t>
      </w:r>
      <w:r w:rsidRPr="00EC0229">
        <w:rPr>
          <w:rFonts w:cs="Times New Roman"/>
          <w:bCs/>
          <w:szCs w:val="24"/>
        </w:rPr>
        <w:t>ation and chronology for five regions each focussing on two localized studies. His</w:t>
      </w:r>
      <w:r w:rsidRPr="00EC0229">
        <w:rPr>
          <w:rFonts w:cs="Times New Roman"/>
          <w:szCs w:val="24"/>
        </w:rPr>
        <w:t xml:space="preserve"> macro-analysis gave an overview of the potential to </w:t>
      </w:r>
      <w:r w:rsidR="004504D2">
        <w:rPr>
          <w:rFonts w:cs="Times New Roman"/>
          <w:szCs w:val="24"/>
        </w:rPr>
        <w:t>characterize</w:t>
      </w:r>
      <w:r w:rsidRPr="00EC0229">
        <w:rPr>
          <w:rFonts w:cs="Times New Roman"/>
          <w:szCs w:val="24"/>
        </w:rPr>
        <w:t xml:space="preserve"> the region from the data. The micro-analyses evaluated the data’s use for landscape characterisation and site chronology.</w:t>
      </w:r>
      <w:r w:rsidRPr="00EC0229">
        <w:rPr>
          <w:rStyle w:val="FootnoteReference"/>
          <w:rFonts w:cs="Times New Roman"/>
          <w:szCs w:val="24"/>
        </w:rPr>
        <w:footnoteReference w:id="261"/>
      </w:r>
      <w:r w:rsidRPr="00EC0229">
        <w:rPr>
          <w:rFonts w:cs="Times New Roman"/>
          <w:szCs w:val="24"/>
        </w:rPr>
        <w:t xml:space="preserve"> </w:t>
      </w:r>
      <w:r w:rsidRPr="00EC0229">
        <w:rPr>
          <w:rFonts w:cs="Times New Roman"/>
          <w:bCs/>
          <w:szCs w:val="24"/>
        </w:rPr>
        <w:t xml:space="preserve">His wider conclusion was that a strength </w:t>
      </w:r>
      <w:r w:rsidRPr="00EC0229">
        <w:rPr>
          <w:rFonts w:cs="Times New Roman"/>
          <w:szCs w:val="24"/>
        </w:rPr>
        <w:t>of PAS data is the width of distribution of finds enabling identification of new sites and aiding interpretation of settlement patterns, especially where previous work was limited.</w:t>
      </w:r>
      <w:r w:rsidRPr="00EC0229">
        <w:rPr>
          <w:rStyle w:val="FootnoteReference"/>
          <w:rFonts w:cs="Times New Roman"/>
          <w:szCs w:val="24"/>
        </w:rPr>
        <w:footnoteReference w:id="262"/>
      </w:r>
    </w:p>
    <w:p w14:paraId="5640D39F" w14:textId="77777777" w:rsidR="003F22F2" w:rsidRPr="00EC0229" w:rsidRDefault="003F22F2" w:rsidP="003F22F2">
      <w:pPr>
        <w:autoSpaceDE w:val="0"/>
        <w:autoSpaceDN w:val="0"/>
        <w:adjustRightInd w:val="0"/>
        <w:spacing w:after="0"/>
        <w:rPr>
          <w:rFonts w:cs="Times New Roman"/>
          <w:szCs w:val="24"/>
        </w:rPr>
      </w:pPr>
    </w:p>
    <w:p w14:paraId="10036098" w14:textId="181A26E7" w:rsidR="003F22F2" w:rsidRPr="00EC0229" w:rsidRDefault="003F22F2" w:rsidP="003F22F2">
      <w:pPr>
        <w:autoSpaceDE w:val="0"/>
        <w:autoSpaceDN w:val="0"/>
        <w:adjustRightInd w:val="0"/>
        <w:spacing w:after="0" w:line="360" w:lineRule="auto"/>
        <w:rPr>
          <w:rFonts w:cs="Times New Roman"/>
          <w:szCs w:val="24"/>
        </w:rPr>
      </w:pPr>
      <w:r w:rsidRPr="00EC0229">
        <w:rPr>
          <w:rFonts w:cs="Times New Roman"/>
          <w:szCs w:val="24"/>
        </w:rPr>
        <w:t xml:space="preserve">Leonard (2015) used PAS and other data to assess four clusters of parishes from Lincolnshire, Norfolk, and Leicestershire. She concluded that Scandinavian influence and absorption can be </w:t>
      </w:r>
      <w:r w:rsidR="004504D2">
        <w:rPr>
          <w:rFonts w:cs="Times New Roman"/>
          <w:szCs w:val="24"/>
        </w:rPr>
        <w:t>characterize</w:t>
      </w:r>
      <w:r w:rsidRPr="00EC0229">
        <w:rPr>
          <w:rFonts w:cs="Times New Roman"/>
          <w:szCs w:val="24"/>
        </w:rPr>
        <w:t>d and identified: ‘the most important part of the process of assimilation and acculturation — what ensured the ‘continuity’ of so many places — was the transfer of local knowledge about the land.’</w:t>
      </w:r>
      <w:r w:rsidRPr="00EC0229">
        <w:rPr>
          <w:rStyle w:val="FootnoteReference"/>
          <w:rFonts w:cs="Times New Roman"/>
          <w:szCs w:val="24"/>
        </w:rPr>
        <w:footnoteReference w:id="263"/>
      </w:r>
      <w:r w:rsidRPr="00EC0229">
        <w:rPr>
          <w:rFonts w:cs="Times New Roman"/>
          <w:szCs w:val="24"/>
        </w:rPr>
        <w:t xml:space="preserve"> As regards methodology, she concluded that PAS data was valuable in identifying rural communities suitable for further research.</w:t>
      </w:r>
    </w:p>
    <w:p w14:paraId="6C9D54EC" w14:textId="0B2955B5" w:rsidR="003F22F2" w:rsidRPr="00EC0229" w:rsidRDefault="003F22F2" w:rsidP="003F22F2">
      <w:pPr>
        <w:autoSpaceDE w:val="0"/>
        <w:autoSpaceDN w:val="0"/>
        <w:adjustRightInd w:val="0"/>
        <w:spacing w:after="0" w:line="360" w:lineRule="auto"/>
        <w:rPr>
          <w:rFonts w:cs="Times New Roman"/>
          <w:szCs w:val="24"/>
        </w:rPr>
      </w:pPr>
    </w:p>
    <w:p w14:paraId="4BC9C011" w14:textId="3F63C0E9" w:rsidR="00714E33" w:rsidRPr="00EC0229" w:rsidRDefault="00CC2380" w:rsidP="003F22F2">
      <w:pPr>
        <w:autoSpaceDE w:val="0"/>
        <w:autoSpaceDN w:val="0"/>
        <w:adjustRightInd w:val="0"/>
        <w:spacing w:after="0" w:line="360" w:lineRule="auto"/>
        <w:rPr>
          <w:rFonts w:cs="Times New Roman"/>
          <w:szCs w:val="24"/>
        </w:rPr>
      </w:pPr>
      <w:r w:rsidRPr="00EC0229">
        <w:rPr>
          <w:rFonts w:cs="Times New Roman"/>
          <w:szCs w:val="24"/>
        </w:rPr>
        <w:t>Daubney (2016</w:t>
      </w:r>
      <w:r w:rsidR="00714E33" w:rsidRPr="00EC0229">
        <w:rPr>
          <w:rFonts w:cs="Times New Roman"/>
          <w:szCs w:val="24"/>
        </w:rPr>
        <w:t xml:space="preserve">) </w:t>
      </w:r>
      <w:r w:rsidR="000C263E" w:rsidRPr="00EC0229">
        <w:rPr>
          <w:rFonts w:cs="Times New Roman"/>
          <w:szCs w:val="24"/>
        </w:rPr>
        <w:t>developed a ‘pragmatic and flexible methodology’</w:t>
      </w:r>
      <w:r w:rsidR="000C263E" w:rsidRPr="00EC0229">
        <w:rPr>
          <w:rStyle w:val="FootnoteReference"/>
          <w:rFonts w:cs="Times New Roman"/>
          <w:szCs w:val="24"/>
        </w:rPr>
        <w:footnoteReference w:id="264"/>
      </w:r>
      <w:r w:rsidR="000C263E" w:rsidRPr="00EC0229">
        <w:rPr>
          <w:rFonts w:cs="Times New Roman"/>
          <w:szCs w:val="24"/>
        </w:rPr>
        <w:t xml:space="preserve"> using</w:t>
      </w:r>
      <w:r w:rsidR="00714E33" w:rsidRPr="00EC0229">
        <w:rPr>
          <w:rFonts w:cs="Times New Roman"/>
          <w:szCs w:val="24"/>
        </w:rPr>
        <w:t xml:space="preserve"> data from PAS and HER (Historic Environment Record) to assess multi-period assemblages (‘plough-zone palimpsests’)</w:t>
      </w:r>
      <w:r w:rsidR="000C263E" w:rsidRPr="00EC0229">
        <w:rPr>
          <w:rFonts w:cs="Times New Roman"/>
          <w:szCs w:val="24"/>
        </w:rPr>
        <w:t xml:space="preserve">. He divided Lincolnshire </w:t>
      </w:r>
      <w:r w:rsidR="009E7131" w:rsidRPr="00EC0229">
        <w:rPr>
          <w:rFonts w:cs="Times New Roman"/>
          <w:szCs w:val="24"/>
        </w:rPr>
        <w:t xml:space="preserve">by </w:t>
      </w:r>
      <w:r w:rsidR="000C263E" w:rsidRPr="00EC0229">
        <w:rPr>
          <w:rFonts w:cs="Times New Roman"/>
          <w:szCs w:val="24"/>
        </w:rPr>
        <w:t xml:space="preserve">landscape </w:t>
      </w:r>
      <w:r w:rsidR="009E7131" w:rsidRPr="00EC0229">
        <w:rPr>
          <w:rFonts w:cs="Times New Roman"/>
          <w:szCs w:val="24"/>
        </w:rPr>
        <w:t xml:space="preserve">characteristics </w:t>
      </w:r>
      <w:r w:rsidR="000C263E" w:rsidRPr="00EC0229">
        <w:rPr>
          <w:rFonts w:cs="Times New Roman"/>
          <w:szCs w:val="24"/>
        </w:rPr>
        <w:t>and identified ‘persistent places’ by use of GIS mapping.</w:t>
      </w:r>
      <w:r w:rsidR="00874954" w:rsidRPr="00EC0229">
        <w:rPr>
          <w:rStyle w:val="FootnoteReference"/>
          <w:rFonts w:cs="Times New Roman"/>
          <w:szCs w:val="24"/>
        </w:rPr>
        <w:footnoteReference w:id="265"/>
      </w:r>
      <w:r w:rsidR="000C263E" w:rsidRPr="00EC0229">
        <w:rPr>
          <w:rFonts w:cs="Times New Roman"/>
          <w:szCs w:val="24"/>
        </w:rPr>
        <w:t xml:space="preserve"> </w:t>
      </w:r>
      <w:r w:rsidR="001E4233" w:rsidRPr="00EC0229">
        <w:rPr>
          <w:rFonts w:cs="Times New Roman"/>
          <w:szCs w:val="24"/>
        </w:rPr>
        <w:t>On a smaller scale</w:t>
      </w:r>
      <w:r w:rsidR="009E7131" w:rsidRPr="00EC0229">
        <w:rPr>
          <w:rFonts w:cs="Times New Roman"/>
          <w:szCs w:val="24"/>
        </w:rPr>
        <w:t>,</w:t>
      </w:r>
      <w:r w:rsidR="001E4233" w:rsidRPr="00EC0229">
        <w:rPr>
          <w:rFonts w:cs="Times New Roman"/>
          <w:szCs w:val="24"/>
        </w:rPr>
        <w:t xml:space="preserve"> h</w:t>
      </w:r>
      <w:r w:rsidR="000C263E" w:rsidRPr="00EC0229">
        <w:rPr>
          <w:rFonts w:cs="Times New Roman"/>
          <w:szCs w:val="24"/>
        </w:rPr>
        <w:t xml:space="preserve">is case studies of Garwick and Little </w:t>
      </w:r>
      <w:r w:rsidR="000C263E" w:rsidRPr="00EC0229">
        <w:rPr>
          <w:rFonts w:cs="Times New Roman"/>
          <w:szCs w:val="24"/>
        </w:rPr>
        <w:lastRenderedPageBreak/>
        <w:t>Carlto</w:t>
      </w:r>
      <w:r w:rsidR="001E4233" w:rsidRPr="00EC0229">
        <w:rPr>
          <w:rFonts w:cs="Times New Roman"/>
          <w:szCs w:val="24"/>
        </w:rPr>
        <w:t>n place</w:t>
      </w:r>
      <w:r w:rsidR="009E7131" w:rsidRPr="00EC0229">
        <w:rPr>
          <w:rFonts w:cs="Times New Roman"/>
          <w:szCs w:val="24"/>
        </w:rPr>
        <w:t>d</w:t>
      </w:r>
      <w:r w:rsidR="001E4233" w:rsidRPr="00EC0229">
        <w:rPr>
          <w:rFonts w:cs="Times New Roman"/>
          <w:szCs w:val="24"/>
        </w:rPr>
        <w:t xml:space="preserve"> the wealth of numismatic evidence into the archaeological setting.</w:t>
      </w:r>
      <w:r w:rsidR="009E7131" w:rsidRPr="00EC0229">
        <w:rPr>
          <w:rStyle w:val="FootnoteReference"/>
          <w:rFonts w:cs="Times New Roman"/>
          <w:szCs w:val="24"/>
        </w:rPr>
        <w:footnoteReference w:id="266"/>
      </w:r>
      <w:r w:rsidR="001E4233" w:rsidRPr="00EC0229">
        <w:rPr>
          <w:rFonts w:cs="Times New Roman"/>
          <w:szCs w:val="24"/>
        </w:rPr>
        <w:t xml:space="preserve"> He demonstrated that PAS data can be used to enhance the historical record</w:t>
      </w:r>
      <w:r w:rsidR="009E7131" w:rsidRPr="00EC0229">
        <w:rPr>
          <w:rFonts w:cs="Times New Roman"/>
          <w:szCs w:val="24"/>
        </w:rPr>
        <w:t>.</w:t>
      </w:r>
    </w:p>
    <w:p w14:paraId="1DD2D2F8" w14:textId="77777777" w:rsidR="00714E33" w:rsidRPr="00EC0229" w:rsidRDefault="00714E33" w:rsidP="003F22F2">
      <w:pPr>
        <w:autoSpaceDE w:val="0"/>
        <w:autoSpaceDN w:val="0"/>
        <w:adjustRightInd w:val="0"/>
        <w:spacing w:after="0" w:line="360" w:lineRule="auto"/>
        <w:rPr>
          <w:rFonts w:cs="Times New Roman"/>
          <w:szCs w:val="24"/>
        </w:rPr>
      </w:pPr>
    </w:p>
    <w:p w14:paraId="6ACFDA4B" w14:textId="325B4ACC" w:rsidR="003F22F2" w:rsidRPr="00EC0229" w:rsidRDefault="003F22F2" w:rsidP="003F22F2">
      <w:pPr>
        <w:autoSpaceDE w:val="0"/>
        <w:autoSpaceDN w:val="0"/>
        <w:adjustRightInd w:val="0"/>
        <w:spacing w:after="0" w:line="360" w:lineRule="auto"/>
        <w:rPr>
          <w:rFonts w:cs="Times New Roman"/>
          <w:color w:val="000000" w:themeColor="text1"/>
          <w:szCs w:val="24"/>
        </w:rPr>
      </w:pPr>
      <w:r w:rsidRPr="00EC0229">
        <w:rPr>
          <w:rFonts w:cs="Times New Roman"/>
          <w:szCs w:val="24"/>
        </w:rPr>
        <w:t xml:space="preserve">The above works discussed the biases present in the PAS data, </w:t>
      </w:r>
      <w:r w:rsidR="00BB2024" w:rsidRPr="00EC0229">
        <w:rPr>
          <w:rFonts w:cs="Times New Roman"/>
          <w:szCs w:val="24"/>
        </w:rPr>
        <w:t xml:space="preserve">after </w:t>
      </w:r>
      <w:r w:rsidRPr="00EC0229">
        <w:rPr>
          <w:rFonts w:cs="Times New Roman"/>
          <w:color w:val="000000" w:themeColor="text1"/>
          <w:szCs w:val="24"/>
        </w:rPr>
        <w:t xml:space="preserve">Robbins </w:t>
      </w:r>
      <w:r w:rsidRPr="00EC0229">
        <w:rPr>
          <w:rFonts w:cs="Times New Roman"/>
          <w:color w:val="000000" w:themeColor="text1"/>
          <w:szCs w:val="24"/>
          <w:lang w:eastAsia="en-GB"/>
        </w:rPr>
        <w:t>(2012)</w:t>
      </w:r>
      <w:r w:rsidRPr="00EC0229">
        <w:rPr>
          <w:rFonts w:cs="Times New Roman"/>
          <w:color w:val="000000" w:themeColor="text1"/>
          <w:szCs w:val="24"/>
        </w:rPr>
        <w:t xml:space="preserve">. She noted seven ‘stages’ </w:t>
      </w:r>
      <w:r w:rsidRPr="00EC0229">
        <w:rPr>
          <w:rFonts w:cs="Times New Roman"/>
          <w:color w:val="000000" w:themeColor="text1"/>
          <w:szCs w:val="24"/>
          <w:lang w:eastAsia="en-GB"/>
        </w:rPr>
        <w:t>of</w:t>
      </w:r>
      <w:r w:rsidRPr="00EC0229">
        <w:rPr>
          <w:rFonts w:cs="Times New Roman"/>
          <w:color w:val="000000" w:themeColor="text1"/>
          <w:szCs w:val="24"/>
        </w:rPr>
        <w:t xml:space="preserve"> sampling bias in PAS</w:t>
      </w:r>
      <w:r w:rsidRPr="00EC0229">
        <w:rPr>
          <w:rFonts w:cs="Times New Roman"/>
          <w:color w:val="000000" w:themeColor="text1"/>
          <w:szCs w:val="24"/>
        </w:rPr>
        <w:fldChar w:fldCharType="begin"/>
      </w:r>
      <w:r w:rsidRPr="00EC0229">
        <w:rPr>
          <w:rFonts w:cs="Times New Roman"/>
        </w:rPr>
        <w:instrText xml:space="preserve"> XE "PAS" </w:instrText>
      </w:r>
      <w:r w:rsidRPr="00EC0229">
        <w:rPr>
          <w:rFonts w:cs="Times New Roman"/>
          <w:color w:val="000000" w:themeColor="text1"/>
          <w:szCs w:val="24"/>
        </w:rPr>
        <w:fldChar w:fldCharType="end"/>
      </w:r>
      <w:r w:rsidRPr="00EC0229">
        <w:rPr>
          <w:rFonts w:cs="Times New Roman"/>
          <w:color w:val="000000" w:themeColor="text1"/>
          <w:szCs w:val="24"/>
        </w:rPr>
        <w:t xml:space="preserve"> data: ‘burial/loss, preservation, survival, exposure, recovery, reporting, and recording’ and how these are influenced by choices made throughout this process. She concluded that granting of permissions, site targeting, site proximity, group searching and FLO availability are the major influences on the completeness and accuracy of recording.</w:t>
      </w:r>
      <w:r w:rsidRPr="00EC0229">
        <w:rPr>
          <w:rStyle w:val="FootnoteReference"/>
          <w:rFonts w:cs="Times New Roman"/>
          <w:color w:val="000000" w:themeColor="text1"/>
          <w:szCs w:val="24"/>
        </w:rPr>
        <w:footnoteReference w:id="267"/>
      </w:r>
    </w:p>
    <w:p w14:paraId="42F65320" w14:textId="77777777" w:rsidR="003F22F2" w:rsidRPr="00EC0229" w:rsidRDefault="003F22F2" w:rsidP="003F22F2">
      <w:pPr>
        <w:autoSpaceDE w:val="0"/>
        <w:autoSpaceDN w:val="0"/>
        <w:adjustRightInd w:val="0"/>
        <w:spacing w:after="0" w:line="360" w:lineRule="auto"/>
        <w:rPr>
          <w:rFonts w:cs="Times New Roman"/>
          <w:color w:val="000000" w:themeColor="text1"/>
          <w:szCs w:val="24"/>
        </w:rPr>
      </w:pPr>
    </w:p>
    <w:p w14:paraId="7EDFD168" w14:textId="3B18847E" w:rsidR="003F22F2" w:rsidRPr="00EC0229" w:rsidRDefault="003F22F2" w:rsidP="003F22F2">
      <w:pPr>
        <w:autoSpaceDE w:val="0"/>
        <w:autoSpaceDN w:val="0"/>
        <w:adjustRightInd w:val="0"/>
        <w:spacing w:after="0" w:line="360" w:lineRule="auto"/>
        <w:rPr>
          <w:rFonts w:cs="Times New Roman"/>
          <w:color w:val="000000" w:themeColor="text1"/>
          <w:szCs w:val="24"/>
        </w:rPr>
      </w:pPr>
      <w:r w:rsidRPr="00EC0229">
        <w:rPr>
          <w:rFonts w:cs="Times New Roman"/>
          <w:color w:val="000000" w:themeColor="text1"/>
          <w:szCs w:val="24"/>
        </w:rPr>
        <w:t xml:space="preserve">Bevan </w:t>
      </w:r>
      <w:r w:rsidR="003C0865" w:rsidRPr="00EC0229">
        <w:rPr>
          <w:rFonts w:cs="Times New Roman"/>
          <w:color w:val="000000" w:themeColor="text1"/>
          <w:szCs w:val="24"/>
        </w:rPr>
        <w:t>(2012) took</w:t>
      </w:r>
      <w:r w:rsidRPr="00EC0229">
        <w:rPr>
          <w:rFonts w:cs="Times New Roman"/>
          <w:color w:val="000000" w:themeColor="text1"/>
          <w:szCs w:val="24"/>
        </w:rPr>
        <w:t xml:space="preserve"> this a step further in describing how to minimise bias in ensuring that ‘</w:t>
      </w:r>
      <w:r w:rsidRPr="00EC0229">
        <w:rPr>
          <w:rFonts w:cs="Times New Roman"/>
          <w:iCs/>
          <w:szCs w:val="24"/>
        </w:rPr>
        <w:t>Finds distributions’ are not ‘artefacts of modern recovery rather than patterns of their own day</w:t>
      </w:r>
      <w:r w:rsidRPr="00EC0229">
        <w:rPr>
          <w:rFonts w:cs="Times New Roman"/>
          <w:i/>
          <w:iCs/>
          <w:szCs w:val="24"/>
        </w:rPr>
        <w:t>.’</w:t>
      </w:r>
      <w:r w:rsidRPr="00EC0229">
        <w:rPr>
          <w:rStyle w:val="FootnoteReference"/>
          <w:rFonts w:cs="Times New Roman"/>
          <w:iCs/>
          <w:szCs w:val="24"/>
        </w:rPr>
        <w:footnoteReference w:id="268"/>
      </w:r>
      <w:r w:rsidRPr="00EC0229">
        <w:rPr>
          <w:rFonts w:cs="Times New Roman"/>
          <w:iCs/>
          <w:szCs w:val="24"/>
        </w:rPr>
        <w:t xml:space="preserve"> He assessed the PAS, EMC and CCI (Celtic Coin Index) databases. For the former, he mapped PAS finds distribution against cultural, administrative and environmental factors to demonstrate how these correlate positively or negatively, but concluded: ‘</w:t>
      </w:r>
      <w:r w:rsidRPr="00EC0229">
        <w:rPr>
          <w:rFonts w:cs="Times New Roman"/>
          <w:szCs w:val="24"/>
        </w:rPr>
        <w:t>For now, it seems best to remain agnostic about exact causes’.</w:t>
      </w:r>
      <w:r w:rsidRPr="00EC0229">
        <w:rPr>
          <w:rStyle w:val="FootnoteReference"/>
          <w:rFonts w:cs="Times New Roman"/>
          <w:szCs w:val="24"/>
        </w:rPr>
        <w:footnoteReference w:id="269"/>
      </w:r>
      <w:r w:rsidRPr="00EC0229">
        <w:rPr>
          <w:rFonts w:cs="Times New Roman"/>
          <w:szCs w:val="24"/>
        </w:rPr>
        <w:t xml:space="preserve"> He confirmed that</w:t>
      </w:r>
      <w:r w:rsidR="005B469A" w:rsidRPr="00EC0229">
        <w:rPr>
          <w:rFonts w:cs="Times New Roman"/>
          <w:szCs w:val="24"/>
        </w:rPr>
        <w:t xml:space="preserve"> EMC finds distribution reflected</w:t>
      </w:r>
      <w:r w:rsidRPr="00EC0229">
        <w:rPr>
          <w:rFonts w:cs="Times New Roman"/>
          <w:szCs w:val="24"/>
        </w:rPr>
        <w:t xml:space="preserve"> both demographic</w:t>
      </w:r>
      <w:r w:rsidRPr="00EC0229">
        <w:rPr>
          <w:rStyle w:val="FootnoteReference"/>
          <w:rFonts w:cs="Times New Roman"/>
          <w:szCs w:val="24"/>
        </w:rPr>
        <w:footnoteReference w:id="270"/>
      </w:r>
      <w:r w:rsidRPr="00EC0229">
        <w:rPr>
          <w:rFonts w:cs="Times New Roman"/>
          <w:szCs w:val="24"/>
        </w:rPr>
        <w:t xml:space="preserve"> and economic factors, the latter in the skewed eastern distribution of medieval coins. As regards Iron Age coinage, Bevan used ‘relative risk’ mapping to compare the distributions of Dobunnic gold and silver coinage to demonstrate that silver coins were exchanged in routine transactions within the tribal economy</w:t>
      </w:r>
      <w:r w:rsidR="005B469A" w:rsidRPr="00EC0229">
        <w:rPr>
          <w:rFonts w:cs="Times New Roman"/>
          <w:szCs w:val="24"/>
        </w:rPr>
        <w:t>,</w:t>
      </w:r>
      <w:r w:rsidRPr="00EC0229">
        <w:rPr>
          <w:rFonts w:cs="Times New Roman"/>
          <w:szCs w:val="24"/>
        </w:rPr>
        <w:t xml:space="preserve"> while gold was more liminal, possibly suggesting usages such as paying mercenaries and tribute to neighbouring tribes and securing loyalty in boundary zones. He commended ‘careful attention to archaeological context’ combined with such ‘broader perspectives’.</w:t>
      </w:r>
      <w:r w:rsidRPr="00EC0229">
        <w:rPr>
          <w:rStyle w:val="FootnoteReference"/>
          <w:rFonts w:cs="Times New Roman"/>
          <w:szCs w:val="24"/>
        </w:rPr>
        <w:footnoteReference w:id="271"/>
      </w:r>
    </w:p>
    <w:p w14:paraId="6B717A5D" w14:textId="77777777" w:rsidR="003F22F2" w:rsidRPr="00EC0229" w:rsidRDefault="003F22F2" w:rsidP="003F22F2">
      <w:pPr>
        <w:autoSpaceDE w:val="0"/>
        <w:autoSpaceDN w:val="0"/>
        <w:adjustRightInd w:val="0"/>
        <w:spacing w:after="0" w:line="360" w:lineRule="auto"/>
        <w:rPr>
          <w:rFonts w:asciiTheme="minorHAnsi" w:hAnsiTheme="minorHAnsi" w:cstheme="minorHAnsi"/>
          <w:szCs w:val="24"/>
        </w:rPr>
      </w:pPr>
    </w:p>
    <w:p w14:paraId="7DA60251" w14:textId="77777777" w:rsidR="00D311C4" w:rsidRDefault="00D311C4">
      <w:pPr>
        <w:spacing w:line="259" w:lineRule="auto"/>
        <w:jc w:val="left"/>
        <w:rPr>
          <w:b/>
          <w:sz w:val="28"/>
          <w:szCs w:val="26"/>
        </w:rPr>
      </w:pPr>
      <w:bookmarkStart w:id="113" w:name="_Ref464046308"/>
      <w:bookmarkStart w:id="114" w:name="_Ref464047239"/>
      <w:bookmarkStart w:id="115" w:name="_Toc464823821"/>
      <w:r>
        <w:br w:type="page"/>
      </w:r>
    </w:p>
    <w:p w14:paraId="00DC68BE" w14:textId="68B96444" w:rsidR="003F22F2" w:rsidRPr="00EC0229" w:rsidRDefault="003F22F2" w:rsidP="000E1004">
      <w:pPr>
        <w:pStyle w:val="Heading2"/>
        <w:numPr>
          <w:ilvl w:val="1"/>
          <w:numId w:val="17"/>
        </w:numPr>
        <w:ind w:left="426" w:hanging="426"/>
        <w:rPr>
          <w:b w:val="0"/>
        </w:rPr>
      </w:pPr>
      <w:bookmarkStart w:id="116" w:name="_Toc468266750"/>
      <w:r w:rsidRPr="008E6548">
        <w:lastRenderedPageBreak/>
        <w:t>Synthesis</w:t>
      </w:r>
      <w:bookmarkEnd w:id="113"/>
      <w:bookmarkEnd w:id="114"/>
      <w:bookmarkEnd w:id="115"/>
      <w:bookmarkEnd w:id="116"/>
    </w:p>
    <w:p w14:paraId="22AAFC12" w14:textId="34379872" w:rsidR="003F22F2" w:rsidRPr="00EC0229" w:rsidRDefault="003F22F2" w:rsidP="003F22F2">
      <w:pPr>
        <w:pStyle w:val="NoSpacing"/>
        <w:spacing w:line="360" w:lineRule="auto"/>
        <w:rPr>
          <w:rFonts w:eastAsia="Times New Roman" w:cs="Times New Roman"/>
          <w:color w:val="000000" w:themeColor="text1"/>
          <w:szCs w:val="24"/>
          <w:lang w:eastAsia="en-GB"/>
        </w:rPr>
      </w:pPr>
      <w:r w:rsidRPr="00EC0229">
        <w:t>The main formative propositions drawn from the first part of this chapter include Hodges</w:t>
      </w:r>
      <w:r w:rsidRPr="00EC0229">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fldChar w:fldCharType="end"/>
      </w:r>
      <w:r w:rsidRPr="00EC0229">
        <w:t>’ ritual model</w:t>
      </w:r>
      <w:r w:rsidRPr="00EC0229">
        <w:rPr>
          <w:szCs w:val="24"/>
        </w:rPr>
        <w:t xml:space="preserve"> with temporal and spatial continuity of settlement</w:t>
      </w:r>
      <w:r w:rsidRPr="00EC0229">
        <w:rPr>
          <w:szCs w:val="24"/>
        </w:rPr>
        <w:fldChar w:fldCharType="begin"/>
      </w:r>
      <w:r w:rsidRPr="00EC0229">
        <w:instrText xml:space="preserve"> XE "settlement" </w:instrText>
      </w:r>
      <w:r w:rsidRPr="00EC0229">
        <w:rPr>
          <w:szCs w:val="24"/>
        </w:rPr>
        <w:fldChar w:fldCharType="end"/>
      </w:r>
      <w:r w:rsidRPr="00EC0229">
        <w:t xml:space="preserve"> and</w:t>
      </w:r>
      <w:r w:rsidRPr="00EC0229">
        <w:rPr>
          <w:szCs w:val="24"/>
        </w:rPr>
        <w:t xml:space="preserve"> Skre</w:t>
      </w:r>
      <w:r w:rsidRPr="00EC0229">
        <w:rPr>
          <w:szCs w:val="24"/>
        </w:rPr>
        <w:fldChar w:fldCharType="begin"/>
      </w:r>
      <w:r w:rsidRPr="00EC0229">
        <w:instrText xml:space="preserve"> XE "Skre" </w:instrText>
      </w:r>
      <w:r w:rsidRPr="00EC0229">
        <w:rPr>
          <w:szCs w:val="24"/>
        </w:rPr>
        <w:fldChar w:fldCharType="end"/>
      </w:r>
      <w:r w:rsidRPr="00EC0229">
        <w:rPr>
          <w:szCs w:val="24"/>
        </w:rPr>
        <w:t>’s post-substantivism. To this can be added Blair</w:t>
      </w:r>
      <w:r w:rsidRPr="00EC0229">
        <w:rPr>
          <w:szCs w:val="24"/>
        </w:rPr>
        <w:fldChar w:fldCharType="begin"/>
      </w:r>
      <w:r w:rsidRPr="00EC0229">
        <w:instrText xml:space="preserve"> XE "Blair" </w:instrText>
      </w:r>
      <w:r w:rsidRPr="00EC0229">
        <w:rPr>
          <w:szCs w:val="24"/>
        </w:rPr>
        <w:fldChar w:fldCharType="end"/>
      </w:r>
      <w:r w:rsidRPr="00EC0229">
        <w:rPr>
          <w:szCs w:val="24"/>
        </w:rPr>
        <w:t>’s promotion of minsters as economic drivers. These rest, literally, on more solid ground than the earlier debates concerning substantivism and formalism</w:t>
      </w:r>
      <w:r w:rsidRPr="00EC0229">
        <w:rPr>
          <w:szCs w:val="24"/>
        </w:rPr>
        <w:fldChar w:fldCharType="begin"/>
      </w:r>
      <w:r w:rsidRPr="00EC0229">
        <w:instrText xml:space="preserve"> XE "</w:instrText>
      </w:r>
      <w:r w:rsidRPr="00EC0229">
        <w:rPr>
          <w:rFonts w:cs="Times New Roman"/>
          <w:szCs w:val="24"/>
        </w:rPr>
        <w:instrText>formalism</w:instrText>
      </w:r>
      <w:r w:rsidRPr="00EC0229">
        <w:instrText xml:space="preserve">" </w:instrText>
      </w:r>
      <w:r w:rsidRPr="00EC0229">
        <w:rPr>
          <w:szCs w:val="24"/>
        </w:rPr>
        <w:fldChar w:fldCharType="end"/>
      </w:r>
      <w:r w:rsidRPr="00EC0229">
        <w:rPr>
          <w:szCs w:val="24"/>
        </w:rPr>
        <w:t>, embeddedness and Mediterranean power struggles.</w:t>
      </w:r>
      <w:r w:rsidRPr="00EC0229">
        <w:rPr>
          <w:color w:val="000000" w:themeColor="text1"/>
          <w:szCs w:val="24"/>
        </w:rPr>
        <w:t xml:space="preserve"> The </w:t>
      </w:r>
      <w:r w:rsidRPr="00EC0229">
        <w:rPr>
          <w:rFonts w:eastAsia="Times New Roman" w:cs="Times New Roman"/>
          <w:color w:val="000000" w:themeColor="text1"/>
          <w:szCs w:val="24"/>
          <w:lang w:eastAsia="en-GB"/>
        </w:rPr>
        <w:t xml:space="preserve">formation of primitive and peasant markets </w:t>
      </w:r>
      <w:r w:rsidR="00FD05A0" w:rsidRPr="00EC0229">
        <w:rPr>
          <w:rFonts w:eastAsia="Times New Roman" w:cs="Times New Roman"/>
          <w:color w:val="000000" w:themeColor="text1"/>
          <w:szCs w:val="24"/>
          <w:lang w:eastAsia="en-GB"/>
        </w:rPr>
        <w:t>is</w:t>
      </w:r>
      <w:r w:rsidRPr="00EC0229">
        <w:rPr>
          <w:rFonts w:eastAsia="Times New Roman" w:cs="Times New Roman"/>
          <w:color w:val="000000" w:themeColor="text1"/>
          <w:szCs w:val="24"/>
          <w:lang w:eastAsia="en-GB"/>
        </w:rPr>
        <w:t xml:space="preserve"> not of direct relevance as this is a study of the </w:t>
      </w:r>
      <w:r w:rsidRPr="00EC0229">
        <w:rPr>
          <w:rFonts w:eastAsia="Times New Roman" w:cs="Times New Roman"/>
          <w:i/>
          <w:color w:val="000000" w:themeColor="text1"/>
          <w:szCs w:val="24"/>
          <w:lang w:eastAsia="en-GB"/>
        </w:rPr>
        <w:t>re-</w:t>
      </w:r>
      <w:r w:rsidRPr="00EC0229">
        <w:rPr>
          <w:rFonts w:eastAsia="Times New Roman" w:cs="Times New Roman"/>
          <w:color w:val="000000" w:themeColor="text1"/>
          <w:szCs w:val="24"/>
          <w:lang w:eastAsia="en-GB"/>
        </w:rPr>
        <w:t>commencement of coinage in an area previously</w:t>
      </w:r>
      <w:r w:rsidRPr="00EC0229">
        <w:rPr>
          <w:rFonts w:eastAsia="Times New Roman" w:cs="Times New Roman"/>
          <w:szCs w:val="24"/>
          <w:lang w:eastAsia="en-GB"/>
        </w:rPr>
        <w:t xml:space="preserve"> fully </w:t>
      </w:r>
      <w:r w:rsidR="003F2041" w:rsidRPr="00EC0229">
        <w:rPr>
          <w:rFonts w:eastAsia="Times New Roman" w:cs="Times New Roman"/>
          <w:color w:val="000000" w:themeColor="text1"/>
          <w:szCs w:val="24"/>
          <w:lang w:eastAsia="en-GB"/>
        </w:rPr>
        <w:t>monetiz</w:t>
      </w:r>
      <w:r w:rsidRPr="00EC0229">
        <w:rPr>
          <w:rFonts w:eastAsia="Times New Roman" w:cs="Times New Roman"/>
          <w:color w:val="000000" w:themeColor="text1"/>
          <w:szCs w:val="24"/>
          <w:lang w:eastAsia="en-GB"/>
        </w:rPr>
        <w:t>ed by the Romans.</w:t>
      </w:r>
      <w:r w:rsidRPr="00EC0229">
        <w:rPr>
          <w:rStyle w:val="FootnoteReference"/>
          <w:rFonts w:eastAsia="Times New Roman" w:cs="Times New Roman"/>
          <w:color w:val="000000" w:themeColor="text1"/>
          <w:szCs w:val="24"/>
          <w:lang w:eastAsia="en-GB"/>
        </w:rPr>
        <w:footnoteReference w:id="272"/>
      </w:r>
      <w:r w:rsidRPr="00EC0229">
        <w:rPr>
          <w:rFonts w:eastAsia="Times New Roman" w:cs="Times New Roman"/>
          <w:color w:val="000000" w:themeColor="text1"/>
          <w:szCs w:val="24"/>
          <w:lang w:eastAsia="en-GB"/>
        </w:rPr>
        <w:t xml:space="preserve"> </w:t>
      </w:r>
    </w:p>
    <w:p w14:paraId="1494F71D" w14:textId="77777777" w:rsidR="003F22F2" w:rsidRPr="00EC0229" w:rsidRDefault="003F22F2" w:rsidP="003F22F2">
      <w:pPr>
        <w:pStyle w:val="NoSpacing"/>
        <w:spacing w:line="360" w:lineRule="auto"/>
        <w:rPr>
          <w:rFonts w:eastAsia="Times New Roman" w:cs="Times New Roman"/>
          <w:color w:val="FF0000"/>
          <w:szCs w:val="24"/>
          <w:lang w:eastAsia="en-GB"/>
        </w:rPr>
      </w:pPr>
    </w:p>
    <w:p w14:paraId="31D8D7D5" w14:textId="04466C60" w:rsidR="003F22F2" w:rsidRPr="00EC0229" w:rsidRDefault="003F22F2" w:rsidP="003F22F2">
      <w:pPr>
        <w:pStyle w:val="NoSpacing"/>
        <w:spacing w:line="360" w:lineRule="auto"/>
        <w:rPr>
          <w:rFonts w:eastAsia="Times New Roman" w:cs="Times New Roman"/>
          <w:color w:val="FF0000"/>
          <w:szCs w:val="24"/>
          <w:lang w:eastAsia="en-GB"/>
        </w:rPr>
      </w:pPr>
      <w:r w:rsidRPr="00EC0229">
        <w:rPr>
          <w:szCs w:val="24"/>
        </w:rPr>
        <w:t>Indeed, what remains of relevance to Northumbria</w:t>
      </w:r>
      <w:r w:rsidRPr="00EC0229">
        <w:rPr>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szCs w:val="24"/>
        </w:rPr>
        <w:fldChar w:fldCharType="end"/>
      </w:r>
      <w:r w:rsidRPr="00EC0229">
        <w:rPr>
          <w:szCs w:val="24"/>
        </w:rPr>
        <w:t xml:space="preserve"> from th</w:t>
      </w:r>
      <w:r w:rsidR="00154471" w:rsidRPr="00EC0229">
        <w:rPr>
          <w:szCs w:val="24"/>
        </w:rPr>
        <w:t>is high-</w:t>
      </w:r>
      <w:r w:rsidRPr="00EC0229">
        <w:rPr>
          <w:szCs w:val="24"/>
        </w:rPr>
        <w:t xml:space="preserve">level theorising? ‘Top-down’ models cannot cater adequately for the subtleties of local circumstances; the picture is inevitably more complex than can be condensed into a unified theory; </w:t>
      </w:r>
      <w:r w:rsidRPr="00EC0229">
        <w:rPr>
          <w:rFonts w:eastAsia="Times New Roman" w:cs="Times New Roman"/>
          <w:color w:val="000000" w:themeColor="text1"/>
          <w:szCs w:val="24"/>
          <w:lang w:eastAsia="en-GB"/>
        </w:rPr>
        <w:t>there is no binary choice between substantivism</w:t>
      </w:r>
      <w:r w:rsidRPr="00EC0229">
        <w:rPr>
          <w:rFonts w:eastAsia="Times New Roman" w:cs="Times New Roman"/>
          <w:color w:val="000000" w:themeColor="text1"/>
          <w:szCs w:val="24"/>
          <w:lang w:eastAsia="en-GB"/>
        </w:rPr>
        <w:fldChar w:fldCharType="begin"/>
      </w:r>
      <w:r w:rsidRPr="00EC0229">
        <w:instrText xml:space="preserve"> XE "</w:instrText>
      </w:r>
      <w:r w:rsidRPr="00EC0229">
        <w:rPr>
          <w:rFonts w:cs="Times New Roman"/>
          <w:szCs w:val="24"/>
        </w:rPr>
        <w:instrText>substantivism</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and anachronistic formalism</w:t>
      </w:r>
      <w:r w:rsidRPr="00EC0229">
        <w:rPr>
          <w:rFonts w:eastAsia="Times New Roman" w:cs="Times New Roman"/>
          <w:color w:val="000000" w:themeColor="text1"/>
          <w:szCs w:val="24"/>
          <w:lang w:eastAsia="en-GB"/>
        </w:rPr>
        <w:fldChar w:fldCharType="begin"/>
      </w:r>
      <w:r w:rsidRPr="00EC0229">
        <w:instrText xml:space="preserve"> XE "</w:instrText>
      </w:r>
      <w:r w:rsidRPr="00EC0229">
        <w:rPr>
          <w:rFonts w:cs="Times New Roman"/>
          <w:szCs w:val="24"/>
        </w:rPr>
        <w:instrText>formalism</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w:t>
      </w:r>
    </w:p>
    <w:p w14:paraId="66DCE2BA" w14:textId="77777777" w:rsidR="003F22F2" w:rsidRPr="00EC0229" w:rsidRDefault="003F22F2" w:rsidP="003F22F2">
      <w:pPr>
        <w:pStyle w:val="NoSpacing"/>
        <w:spacing w:line="360" w:lineRule="auto"/>
        <w:rPr>
          <w:szCs w:val="24"/>
        </w:rPr>
      </w:pPr>
    </w:p>
    <w:p w14:paraId="42F2E1AF" w14:textId="77777777" w:rsidR="003F22F2" w:rsidRPr="00EC0229" w:rsidRDefault="003F22F2" w:rsidP="003F22F2">
      <w:pPr>
        <w:pStyle w:val="NoSpacing"/>
        <w:spacing w:line="360" w:lineRule="auto"/>
      </w:pPr>
      <w:bookmarkStart w:id="117" w:name="dendritic"/>
      <w:bookmarkEnd w:id="117"/>
      <w:r w:rsidRPr="00EC0229">
        <w:t xml:space="preserve">To recapitulate the first part of the chapter, </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t>use of the remaining stock of Roman</w:t>
      </w:r>
      <w:r w:rsidRPr="00EC0229">
        <w:fldChar w:fldCharType="begin"/>
      </w:r>
      <w:r w:rsidRPr="00EC0229">
        <w:instrText xml:space="preserve"> XE "Roman" </w:instrText>
      </w:r>
      <w:r w:rsidRPr="00EC0229">
        <w:fldChar w:fldCharType="end"/>
      </w:r>
      <w:r w:rsidRPr="00EC0229">
        <w:t xml:space="preserve"> coinage declined as barter</w:t>
      </w:r>
      <w:r w:rsidRPr="00EC0229">
        <w:fldChar w:fldCharType="begin"/>
      </w:r>
      <w:r w:rsidRPr="00EC0229">
        <w:instrText xml:space="preserve"> XE "</w:instrText>
      </w:r>
      <w:r w:rsidRPr="00EC0229">
        <w:rPr>
          <w:rFonts w:cs="Times New Roman"/>
          <w:szCs w:val="24"/>
        </w:rPr>
        <w:instrText>barter</w:instrText>
      </w:r>
      <w:r w:rsidRPr="00EC0229">
        <w:instrText xml:space="preserve">" </w:instrText>
      </w:r>
      <w:r w:rsidRPr="00EC0229">
        <w:fldChar w:fldCharType="end"/>
      </w:r>
      <w:r w:rsidRPr="00EC0229">
        <w:t xml:space="preserve"> became prevalent, especially rurally. Before the end of the fifth century, coinage was absent and transactions were settled in barter with deficiencies remedied by informal credit</w:t>
      </w:r>
      <w:r w:rsidRPr="00EC0229">
        <w:fldChar w:fldCharType="begin"/>
      </w:r>
      <w:r w:rsidRPr="00EC0229">
        <w:instrText xml:space="preserve"> XE "credit" </w:instrText>
      </w:r>
      <w:r w:rsidRPr="00EC0229">
        <w:fldChar w:fldCharType="end"/>
      </w:r>
      <w:r w:rsidRPr="00EC0229">
        <w:t>.  The élite</w:t>
      </w:r>
      <w:r w:rsidRPr="00EC0229">
        <w:fldChar w:fldCharType="begin"/>
      </w:r>
      <w:r w:rsidRPr="00EC0229">
        <w:instrText xml:space="preserve"> XE "</w:instrText>
      </w:r>
      <w:r w:rsidRPr="00EC0229">
        <w:rPr>
          <w:szCs w:val="24"/>
        </w:rPr>
        <w:instrText>élite</w:instrText>
      </w:r>
      <w:r w:rsidRPr="00EC0229">
        <w:instrText xml:space="preserve">" </w:instrText>
      </w:r>
      <w:r w:rsidRPr="00EC0229">
        <w:fldChar w:fldCharType="end"/>
      </w:r>
      <w:r w:rsidRPr="00EC0229">
        <w:t xml:space="preserve"> may have participated in </w:t>
      </w:r>
      <w:bookmarkStart w:id="118" w:name="giftexchange"/>
      <w:bookmarkEnd w:id="118"/>
      <w:r w:rsidRPr="00EC0229">
        <w:t>gift exchange</w:t>
      </w:r>
      <w:r w:rsidRPr="00EC0229">
        <w:fldChar w:fldCharType="begin"/>
      </w:r>
      <w:r w:rsidRPr="00EC0229">
        <w:instrText xml:space="preserve"> XE "gift exchange" </w:instrText>
      </w:r>
      <w:r w:rsidRPr="00EC0229">
        <w:fldChar w:fldCharType="end"/>
      </w:r>
      <w:r w:rsidRPr="00EC0229">
        <w:t xml:space="preserve"> but this involved social obligation not economic advancement. Reciprocity, the currency of co-operation, probably played a key rôle in sustaining travellers but the obligation was as much communal as personal. Such social obligation would have diminished as coinage increasingly led to economic activities being treated as priced transactions. That prices replaced values is not to be underestimated in terms of social relationships.</w:t>
      </w:r>
    </w:p>
    <w:p w14:paraId="7AC8CC24" w14:textId="77777777" w:rsidR="003F22F2" w:rsidRPr="00EC0229" w:rsidRDefault="003F22F2" w:rsidP="003F22F2">
      <w:pPr>
        <w:pStyle w:val="NoSpacing"/>
        <w:spacing w:line="360" w:lineRule="auto"/>
      </w:pPr>
    </w:p>
    <w:p w14:paraId="0F36F19A" w14:textId="310FEB47" w:rsidR="00151F80" w:rsidRDefault="003F22F2" w:rsidP="003F22F2">
      <w:pPr>
        <w:pStyle w:val="NoSpacing"/>
        <w:spacing w:line="360" w:lineRule="auto"/>
      </w:pPr>
      <w:r w:rsidRPr="00EC0229">
        <w:t xml:space="preserve">The second part of the chapter not only describes the literature on which this study builds but also briefly </w:t>
      </w:r>
      <w:r w:rsidR="00103FB3">
        <w:t>summarize</w:t>
      </w:r>
      <w:r w:rsidRPr="00EC0229">
        <w:t xml:space="preserve">s recent studies based on PAS data, showing that it can be deployed effectively, beyond type analyses, in </w:t>
      </w:r>
      <w:r w:rsidR="00BC0BC9" w:rsidRPr="00EC0229">
        <w:t>characteris</w:t>
      </w:r>
      <w:r w:rsidRPr="00EC0229">
        <w:t xml:space="preserve">ing sites and identifying change over time. Moreover, clusters of sites can be grouped regionally to give meaningful interpretations despite the biases in the data. </w:t>
      </w:r>
    </w:p>
    <w:p w14:paraId="060E87AC" w14:textId="77777777" w:rsidR="00151F80" w:rsidRDefault="00151F80" w:rsidP="003F22F2">
      <w:pPr>
        <w:pStyle w:val="NoSpacing"/>
        <w:spacing w:line="360" w:lineRule="auto"/>
      </w:pPr>
    </w:p>
    <w:p w14:paraId="044C6B8E" w14:textId="2ADADCD7" w:rsidR="003F22F2" w:rsidRPr="00EC0229" w:rsidRDefault="00151F80" w:rsidP="003F22F2">
      <w:pPr>
        <w:pStyle w:val="NoSpacing"/>
        <w:spacing w:line="360" w:lineRule="auto"/>
      </w:pPr>
      <w:r w:rsidRPr="00EC0229">
        <w:t xml:space="preserve">This validates the methodology of </w:t>
      </w:r>
      <w:r>
        <w:t xml:space="preserve">the current study, which builds on previous studies </w:t>
      </w:r>
      <w:r w:rsidR="00527757">
        <w:t xml:space="preserve">chiefly </w:t>
      </w:r>
      <w:r>
        <w:t xml:space="preserve">by interrogating two largely underutilised datasets – CKN and VASLE. It parallels and </w:t>
      </w:r>
      <w:r>
        <w:lastRenderedPageBreak/>
        <w:t xml:space="preserve">strengthens existing scholarship by </w:t>
      </w:r>
      <w:r w:rsidR="003F22F2" w:rsidRPr="00EC0229">
        <w:t>eva</w:t>
      </w:r>
      <w:r>
        <w:t>luating</w:t>
      </w:r>
      <w:r w:rsidR="003F22F2" w:rsidRPr="00EC0229">
        <w:t xml:space="preserve"> </w:t>
      </w:r>
      <w:r>
        <w:t xml:space="preserve">these </w:t>
      </w:r>
      <w:r w:rsidR="007F39B9" w:rsidRPr="00EC0229">
        <w:t xml:space="preserve">datasets </w:t>
      </w:r>
      <w:r w:rsidR="003F22F2" w:rsidRPr="00EC0229">
        <w:t xml:space="preserve">of coins and portable artefacts by parish, grouped regionally, </w:t>
      </w:r>
      <w:r w:rsidR="007F39B9" w:rsidRPr="00EC0229">
        <w:t xml:space="preserve">in a chronological framework, </w:t>
      </w:r>
      <w:r w:rsidR="003F22F2" w:rsidRPr="00EC0229">
        <w:t>while acknowledging limitations.</w:t>
      </w:r>
      <w:r w:rsidR="00527757">
        <w:t xml:space="preserve"> The propinquity of a medium of and artefacts for exchange demonstrate monetization </w:t>
      </w:r>
      <w:r w:rsidR="00C62981">
        <w:t>within and between settlements.</w:t>
      </w:r>
    </w:p>
    <w:p w14:paraId="02C6DE69" w14:textId="77777777" w:rsidR="003F22F2" w:rsidRPr="00EC0229" w:rsidRDefault="003F22F2" w:rsidP="003F22F2">
      <w:pPr>
        <w:pStyle w:val="NoSpacing"/>
        <w:spacing w:line="360" w:lineRule="auto"/>
      </w:pPr>
    </w:p>
    <w:p w14:paraId="224F21FC" w14:textId="2ADD7AEC" w:rsidR="003F22F2" w:rsidRPr="00EC0229" w:rsidRDefault="003F22F2" w:rsidP="003F22F2">
      <w:pPr>
        <w:pStyle w:val="NoSpacing"/>
        <w:spacing w:line="360" w:lineRule="auto"/>
        <w:rPr>
          <w:b/>
        </w:rPr>
      </w:pPr>
      <w:r w:rsidRPr="00EC0229">
        <w:t xml:space="preserve">The following chapter proposes hypotheses relating to the </w:t>
      </w:r>
      <w:r w:rsidR="003F2041" w:rsidRPr="00EC0229">
        <w:t>monetiz</w:t>
      </w:r>
      <w:r w:rsidRPr="00EC0229">
        <w:t>ation</w:t>
      </w:r>
      <w:r w:rsidRPr="00EC0229">
        <w:fldChar w:fldCharType="begin"/>
      </w:r>
      <w:r w:rsidRPr="00EC0229">
        <w:instrText xml:space="preserve"> XE "monetization" </w:instrText>
      </w:r>
      <w:r w:rsidRPr="00EC0229">
        <w:fldChar w:fldCharType="end"/>
      </w:r>
      <w:r w:rsidRPr="00EC0229">
        <w:t xml:space="preserve"> of post-Roman</w:t>
      </w:r>
      <w:r w:rsidRPr="00EC0229">
        <w:fldChar w:fldCharType="begin"/>
      </w:r>
      <w:r w:rsidRPr="00EC0229">
        <w:instrText xml:space="preserve"> XE "Roman" </w:instrText>
      </w:r>
      <w:r w:rsidRPr="00EC0229">
        <w:fldChar w:fldCharType="end"/>
      </w:r>
      <w:r w:rsidRPr="00EC0229">
        <w:t xml:space="preserve"> Northumbria</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t>, and defines key terms (</w:t>
      </w:r>
      <w:r w:rsidRPr="00EC0229">
        <w:fldChar w:fldCharType="begin"/>
      </w:r>
      <w:r w:rsidRPr="00EC0229">
        <w:instrText xml:space="preserve"> PAGEREF Definition \h </w:instrText>
      </w:r>
      <w:r w:rsidRPr="00EC0229">
        <w:fldChar w:fldCharType="separate"/>
      </w:r>
      <w:r w:rsidR="0012026B">
        <w:rPr>
          <w:noProof/>
        </w:rPr>
        <w:t>74</w:t>
      </w:r>
      <w:r w:rsidRPr="00EC0229">
        <w:fldChar w:fldCharType="end"/>
      </w:r>
      <w:r w:rsidRPr="00EC0229">
        <w:t>). The above review of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’s work on the ninth century and earlier, and selected aspects of Skre</w:t>
      </w:r>
      <w:r w:rsidRPr="00EC0229">
        <w:fldChar w:fldCharType="begin"/>
      </w:r>
      <w:r w:rsidRPr="00EC0229">
        <w:instrText xml:space="preserve"> XE "Skre" </w:instrText>
      </w:r>
      <w:r w:rsidRPr="00EC0229">
        <w:fldChar w:fldCharType="end"/>
      </w:r>
      <w:r w:rsidRPr="00EC0229">
        <w:t>’s refinement of Hodges</w:t>
      </w:r>
      <w:r w:rsidRPr="00EC0229">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fldChar w:fldCharType="end"/>
      </w:r>
      <w:r w:rsidRPr="00EC0229">
        <w:t xml:space="preserve">’ model, prompts </w:t>
      </w:r>
      <w:r w:rsidR="00BF6095">
        <w:t>several</w:t>
      </w:r>
      <w:r w:rsidRPr="00EC0229">
        <w:t xml:space="preserve"> questions relating to land use and monetary penetration in Northumbria: d</w:t>
      </w:r>
      <w:r w:rsidRPr="00EC0229">
        <w:rPr>
          <w:szCs w:val="24"/>
        </w:rPr>
        <w:t xml:space="preserve">oes </w:t>
      </w:r>
      <w:r w:rsidRPr="00EC0229">
        <w:rPr>
          <w:rFonts w:eastAsia="Times New Roman" w:cs="Times New Roman"/>
          <w:iCs/>
          <w:szCs w:val="24"/>
          <w:lang w:eastAsia="en-GB"/>
        </w:rPr>
        <w:t xml:space="preserve">the numismatic evidence validate </w:t>
      </w:r>
      <w:r w:rsidRPr="00EC0229">
        <w:rPr>
          <w:szCs w:val="24"/>
        </w:rPr>
        <w:t>Hodges</w:t>
      </w:r>
      <w:r w:rsidRPr="00EC0229">
        <w:rPr>
          <w:szCs w:val="24"/>
        </w:rPr>
        <w:fldChar w:fldCharType="begin"/>
      </w:r>
      <w:r w:rsidRPr="00EC0229">
        <w:instrText xml:space="preserve"> XE "</w:instrText>
      </w:r>
      <w:r w:rsidRPr="00EC0229">
        <w:rPr>
          <w:rStyle w:val="Hyperlink"/>
          <w:noProof/>
          <w:u w:val="none"/>
        </w:rPr>
        <w:instrText>Hodges</w:instrText>
      </w:r>
      <w:r w:rsidRPr="00EC0229">
        <w:instrText xml:space="preserve">" </w:instrText>
      </w:r>
      <w:r w:rsidRPr="00EC0229">
        <w:rPr>
          <w:szCs w:val="24"/>
        </w:rPr>
        <w:fldChar w:fldCharType="end"/>
      </w:r>
      <w:r w:rsidRPr="00EC0229">
        <w:rPr>
          <w:szCs w:val="24"/>
        </w:rPr>
        <w:t>’ model</w:t>
      </w:r>
      <w:r w:rsidRPr="00EC0229">
        <w:rPr>
          <w:rFonts w:eastAsia="Times New Roman" w:cs="Times New Roman"/>
          <w:iCs/>
          <w:szCs w:val="24"/>
          <w:lang w:eastAsia="en-GB"/>
        </w:rPr>
        <w:t xml:space="preserve"> of the dendritic</w:t>
      </w:r>
      <w:r w:rsidRPr="00EC0229">
        <w:rPr>
          <w:rFonts w:eastAsia="Times New Roman" w:cs="Times New Roman"/>
          <w:iCs/>
          <w:szCs w:val="24"/>
          <w:lang w:eastAsia="en-GB"/>
        </w:rPr>
        <w:fldChar w:fldCharType="begin"/>
      </w:r>
      <w:r w:rsidRPr="00EC0229">
        <w:instrText xml:space="preserve"> XE "</w:instrText>
      </w:r>
      <w:r w:rsidRPr="00EC0229">
        <w:rPr>
          <w:rFonts w:cs="Times New Roman"/>
          <w:szCs w:val="24"/>
        </w:rPr>
        <w:instrText>dendritic</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system of nodes and hubs; is the Northumbrian pattern more metro-centric than </w:t>
      </w:r>
      <w:r w:rsidR="00572E51" w:rsidRPr="00EC0229">
        <w:rPr>
          <w:rFonts w:eastAsia="Times New Roman" w:cs="Times New Roman"/>
          <w:iCs/>
          <w:szCs w:val="24"/>
          <w:lang w:eastAsia="en-GB"/>
        </w:rPr>
        <w:t>Southumbria</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Southumbria</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szCs w:val="24"/>
        </w:rPr>
        <w:footnoteReference w:id="273"/>
      </w:r>
      <w:r w:rsidRPr="00EC0229">
        <w:rPr>
          <w:rFonts w:eastAsia="Times New Roman" w:cs="Times New Roman"/>
          <w:iCs/>
          <w:szCs w:val="24"/>
          <w:lang w:eastAsia="en-GB"/>
        </w:rPr>
        <w:t xml:space="preserve"> T</w:t>
      </w:r>
      <w:r w:rsidRPr="00EC0229">
        <w:t xml:space="preserve">he </w:t>
      </w:r>
      <w:r w:rsidR="003F2041" w:rsidRPr="00EC0229">
        <w:t>monetiz</w:t>
      </w:r>
      <w:r w:rsidRPr="00EC0229">
        <w:t>ation of neig</w:t>
      </w:r>
      <w:r w:rsidR="00276BC8" w:rsidRPr="00EC0229">
        <w:t xml:space="preserve">hbouring polities, </w:t>
      </w:r>
      <w:r w:rsidR="00572E51" w:rsidRPr="00EC0229">
        <w:t>Southumbria</w:t>
      </w:r>
      <w:r w:rsidRPr="00EC0229">
        <w:fldChar w:fldCharType="begin"/>
      </w:r>
      <w:r w:rsidRPr="00EC0229">
        <w:instrText xml:space="preserve"> XE "</w:instrText>
      </w:r>
      <w:r w:rsidRPr="00EC0229">
        <w:rPr>
          <w:rFonts w:cs="Times New Roman"/>
          <w:noProof/>
        </w:rPr>
        <w:instrText>Francia</w:instrText>
      </w:r>
      <w:r w:rsidRPr="00EC0229">
        <w:instrText xml:space="preserve">" </w:instrText>
      </w:r>
      <w:r w:rsidRPr="00EC0229">
        <w:fldChar w:fldCharType="end"/>
      </w:r>
      <w:r w:rsidRPr="00EC0229">
        <w:t xml:space="preserve"> and</w:t>
      </w:r>
      <w:r w:rsidR="00154471" w:rsidRPr="00EC0229">
        <w:t>, briefly,</w:t>
      </w:r>
      <w:r w:rsidRPr="00EC0229">
        <w:t xml:space="preserve"> Scandia,</w:t>
      </w:r>
      <w:r w:rsidRPr="00EC0229">
        <w:fldChar w:fldCharType="begin"/>
      </w:r>
      <w:r w:rsidRPr="00EC0229">
        <w:instrText xml:space="preserve"> XE "</w:instrText>
      </w:r>
      <w:r w:rsidRPr="00EC0229">
        <w:rPr>
          <w:rFonts w:cs="Times New Roman"/>
          <w:noProof/>
        </w:rPr>
        <w:instrText>Scandia</w:instrText>
      </w:r>
      <w:r w:rsidRPr="00EC0229">
        <w:instrText xml:space="preserve">" </w:instrText>
      </w:r>
      <w:r w:rsidRPr="00EC0229">
        <w:fldChar w:fldCharType="end"/>
      </w:r>
      <w:r w:rsidRPr="00EC0229">
        <w:t xml:space="preserve"> will also be explored (</w:t>
      </w:r>
      <w:r w:rsidRPr="00EC0229">
        <w:fldChar w:fldCharType="begin"/>
      </w:r>
      <w:r w:rsidRPr="00EC0229">
        <w:instrText xml:space="preserve"> PAGEREF Chapter4 \h </w:instrText>
      </w:r>
      <w:r w:rsidRPr="00EC0229">
        <w:fldChar w:fldCharType="separate"/>
      </w:r>
      <w:r w:rsidR="0012026B">
        <w:rPr>
          <w:noProof/>
        </w:rPr>
        <w:t>83</w:t>
      </w:r>
      <w:r w:rsidRPr="00EC0229">
        <w:fldChar w:fldCharType="end"/>
      </w:r>
      <w:r w:rsidRPr="00EC0229">
        <w:t xml:space="preserve">). </w:t>
      </w:r>
      <w:r w:rsidRPr="00EC0229">
        <w:rPr>
          <w:szCs w:val="24"/>
        </w:rPr>
        <w:t xml:space="preserve">Once research findings from </w:t>
      </w:r>
      <w:r w:rsidR="00497AC3" w:rsidRPr="00EC0229">
        <w:rPr>
          <w:szCs w:val="24"/>
        </w:rPr>
        <w:t>dataset</w:t>
      </w:r>
      <w:r w:rsidRPr="00EC0229">
        <w:rPr>
          <w:szCs w:val="24"/>
        </w:rPr>
        <w:t xml:space="preserve"> analyses and case studies</w:t>
      </w:r>
      <w:r w:rsidRPr="00EC0229">
        <w:rPr>
          <w:szCs w:val="24"/>
        </w:rPr>
        <w:fldChar w:fldCharType="begin"/>
      </w:r>
      <w:r w:rsidRPr="00EC0229">
        <w:instrText xml:space="preserve"> XE "</w:instrText>
      </w:r>
      <w:r w:rsidRPr="00EC0229">
        <w:rPr>
          <w:rStyle w:val="Hyperlink"/>
          <w:rFonts w:cs="Times New Roman"/>
          <w:noProof/>
          <w:u w:val="none"/>
        </w:rPr>
        <w:instrText>case studies</w:instrText>
      </w:r>
      <w:r w:rsidRPr="00EC0229">
        <w:instrText xml:space="preserve">" </w:instrText>
      </w:r>
      <w:r w:rsidRPr="00EC0229">
        <w:rPr>
          <w:szCs w:val="24"/>
        </w:rPr>
        <w:fldChar w:fldCharType="end"/>
      </w:r>
      <w:r w:rsidRPr="00EC0229">
        <w:rPr>
          <w:szCs w:val="24"/>
        </w:rPr>
        <w:t xml:space="preserve"> have been evaluated, the core temporal and spatial </w:t>
      </w:r>
      <w:r w:rsidR="00BC0BC9" w:rsidRPr="00EC0229">
        <w:rPr>
          <w:szCs w:val="24"/>
        </w:rPr>
        <w:t>characteris</w:t>
      </w:r>
      <w:r w:rsidRPr="00EC0229">
        <w:rPr>
          <w:szCs w:val="24"/>
        </w:rPr>
        <w:t xml:space="preserve">ation of Northumbrian </w:t>
      </w:r>
      <w:r w:rsidR="003F2041" w:rsidRPr="00EC0229">
        <w:rPr>
          <w:szCs w:val="24"/>
        </w:rPr>
        <w:t>monetiz</w:t>
      </w:r>
      <w:r w:rsidRPr="00EC0229">
        <w:rPr>
          <w:szCs w:val="24"/>
        </w:rPr>
        <w:t>ation</w:t>
      </w:r>
      <w:r w:rsidRPr="00EC0229">
        <w:rPr>
          <w:szCs w:val="24"/>
        </w:rPr>
        <w:fldChar w:fldCharType="begin"/>
      </w:r>
      <w:r w:rsidRPr="00EC0229">
        <w:instrText xml:space="preserve"> XE "monetization" </w:instrText>
      </w:r>
      <w:r w:rsidRPr="00EC0229">
        <w:rPr>
          <w:szCs w:val="24"/>
        </w:rPr>
        <w:fldChar w:fldCharType="end"/>
      </w:r>
      <w:r w:rsidRPr="00EC0229">
        <w:rPr>
          <w:szCs w:val="24"/>
        </w:rPr>
        <w:t xml:space="preserve"> is addressed – how northern </w:t>
      </w:r>
      <w:r w:rsidR="003F2041" w:rsidRPr="00EC0229">
        <w:rPr>
          <w:szCs w:val="24"/>
        </w:rPr>
        <w:t>monetiz</w:t>
      </w:r>
      <w:r w:rsidRPr="00EC0229">
        <w:rPr>
          <w:szCs w:val="24"/>
        </w:rPr>
        <w:t xml:space="preserve">ation is phased through time and between regions. </w:t>
      </w:r>
    </w:p>
    <w:p w14:paraId="50D79119" w14:textId="77777777" w:rsidR="003F22F2" w:rsidRPr="00EC0229" w:rsidRDefault="003F22F2" w:rsidP="003F22F2"/>
    <w:p w14:paraId="4C4377AE" w14:textId="77777777" w:rsidR="007775E2" w:rsidRPr="00EC0229" w:rsidRDefault="007775E2">
      <w:pPr>
        <w:spacing w:line="259" w:lineRule="auto"/>
        <w:jc w:val="left"/>
        <w:rPr>
          <w:rFonts w:eastAsiaTheme="majorEastAsia" w:cs="Times New Roman"/>
          <w:b/>
          <w:sz w:val="32"/>
          <w:szCs w:val="32"/>
        </w:rPr>
      </w:pPr>
      <w:bookmarkStart w:id="119" w:name="Chapter3"/>
      <w:bookmarkEnd w:id="119"/>
      <w:r w:rsidRPr="00EC0229">
        <w:rPr>
          <w:rFonts w:cs="Times New Roman"/>
        </w:rPr>
        <w:br w:type="page"/>
      </w:r>
    </w:p>
    <w:p w14:paraId="5EC8DEF7" w14:textId="2903BE05" w:rsidR="007775E2" w:rsidRPr="00EC0229" w:rsidRDefault="003A3DAB" w:rsidP="007775E2">
      <w:pPr>
        <w:pStyle w:val="Heading1"/>
        <w:spacing w:line="360" w:lineRule="auto"/>
      </w:pPr>
      <w:bookmarkStart w:id="120" w:name="_Toc468266751"/>
      <w:r w:rsidRPr="00EC0229">
        <w:lastRenderedPageBreak/>
        <w:t>Chapter 3</w:t>
      </w:r>
      <w:r w:rsidR="007775E2" w:rsidRPr="00EC0229">
        <w:t xml:space="preserve">: </w:t>
      </w:r>
      <w:r w:rsidR="003F2041" w:rsidRPr="00EC0229">
        <w:t>Monetiz</w:t>
      </w:r>
      <w:r w:rsidR="007775E2" w:rsidRPr="00EC0229">
        <w:t>ation in Southumbria</w:t>
      </w:r>
      <w:bookmarkEnd w:id="120"/>
    </w:p>
    <w:p w14:paraId="5B1E8BF6" w14:textId="77777777" w:rsidR="007775E2" w:rsidRPr="00EC0229" w:rsidRDefault="007775E2" w:rsidP="007775E2">
      <w:pPr>
        <w:pStyle w:val="NoSpacing"/>
        <w:jc w:val="right"/>
        <w:rPr>
          <w:sz w:val="20"/>
          <w:szCs w:val="20"/>
        </w:rPr>
      </w:pPr>
      <w:r w:rsidRPr="00EC0229">
        <w:rPr>
          <w:sz w:val="20"/>
          <w:szCs w:val="20"/>
        </w:rPr>
        <w:t xml:space="preserve">‘History doesn't repeat itself, but it does rhyme.’ </w:t>
      </w:r>
    </w:p>
    <w:p w14:paraId="3DEC3B3A" w14:textId="77777777" w:rsidR="007775E2" w:rsidRPr="00EC0229" w:rsidRDefault="007775E2" w:rsidP="007775E2">
      <w:pPr>
        <w:pStyle w:val="NoSpacing"/>
        <w:jc w:val="right"/>
        <w:rPr>
          <w:sz w:val="20"/>
          <w:szCs w:val="20"/>
        </w:rPr>
      </w:pPr>
      <w:r w:rsidRPr="00EC0229">
        <w:rPr>
          <w:sz w:val="20"/>
          <w:szCs w:val="20"/>
        </w:rPr>
        <w:t>attributed to Mark Twain.</w:t>
      </w:r>
    </w:p>
    <w:p w14:paraId="2AA8F843" w14:textId="52FBB2C4" w:rsidR="007775E2" w:rsidRPr="00EC0229" w:rsidRDefault="00572E51" w:rsidP="007775E2">
      <w:pPr>
        <w:autoSpaceDE w:val="0"/>
        <w:autoSpaceDN w:val="0"/>
        <w:adjustRightInd w:val="0"/>
        <w:spacing w:after="0" w:line="360" w:lineRule="auto"/>
        <w:rPr>
          <w:rFonts w:cs="Times New Roman"/>
          <w:szCs w:val="24"/>
        </w:rPr>
      </w:pPr>
      <w:r w:rsidRPr="00EC0229">
        <w:rPr>
          <w:rFonts w:cs="Times New Roman"/>
          <w:szCs w:val="24"/>
        </w:rPr>
        <w:t xml:space="preserve">A different perspective on monetisation in Northumbria may be gained by a review of the evolution of coinage in neighbouring Southumbria. Frankish coinage is not considered as there was no comparable lapse in production after the end of the Roman Empire, but the use of the sceat in Jutland </w:t>
      </w:r>
      <w:r w:rsidR="007775E2" w:rsidRPr="00EC0229">
        <w:rPr>
          <w:rFonts w:cs="Times New Roman"/>
          <w:szCs w:val="24"/>
        </w:rPr>
        <w:t>(</w:t>
      </w:r>
      <w:r w:rsidR="007775E2" w:rsidRPr="00EC0229">
        <w:rPr>
          <w:rFonts w:cs="Times New Roman"/>
          <w:szCs w:val="24"/>
        </w:rPr>
        <w:fldChar w:fldCharType="begin"/>
      </w:r>
      <w:r w:rsidR="007775E2" w:rsidRPr="00EC0229">
        <w:rPr>
          <w:rFonts w:cs="Times New Roman"/>
          <w:szCs w:val="24"/>
        </w:rPr>
        <w:instrText xml:space="preserve"> PAGEREF Scandinavianmonetization \h </w:instrText>
      </w:r>
      <w:r w:rsidR="007775E2" w:rsidRPr="00EC0229">
        <w:rPr>
          <w:rFonts w:cs="Times New Roman"/>
          <w:szCs w:val="24"/>
        </w:rPr>
      </w:r>
      <w:r w:rsidR="007775E2" w:rsidRPr="00EC0229">
        <w:rPr>
          <w:rFonts w:cs="Times New Roman"/>
          <w:szCs w:val="24"/>
        </w:rPr>
        <w:fldChar w:fldCharType="separate"/>
      </w:r>
      <w:r w:rsidR="0012026B">
        <w:rPr>
          <w:rFonts w:cs="Times New Roman"/>
          <w:noProof/>
          <w:szCs w:val="24"/>
        </w:rPr>
        <w:t>71</w:t>
      </w:r>
      <w:r w:rsidR="007775E2" w:rsidRPr="00EC0229">
        <w:rPr>
          <w:rFonts w:cs="Times New Roman"/>
          <w:szCs w:val="24"/>
        </w:rPr>
        <w:fldChar w:fldCharType="end"/>
      </w:r>
      <w:r w:rsidRPr="00EC0229">
        <w:rPr>
          <w:rFonts w:cs="Times New Roman"/>
          <w:szCs w:val="24"/>
        </w:rPr>
        <w:t>) can be</w:t>
      </w:r>
      <w:r w:rsidR="007775E2" w:rsidRPr="00EC0229">
        <w:rPr>
          <w:rFonts w:cs="Times New Roman"/>
          <w:szCs w:val="24"/>
        </w:rPr>
        <w:t xml:space="preserve"> contrasted with Northumbria, though the </w:t>
      </w:r>
      <w:r w:rsidR="003F2041" w:rsidRPr="00EC0229">
        <w:rPr>
          <w:rFonts w:cs="Times New Roman"/>
          <w:szCs w:val="24"/>
        </w:rPr>
        <w:t>monetiz</w:t>
      </w:r>
      <w:r w:rsidR="007775E2" w:rsidRPr="00EC0229">
        <w:rPr>
          <w:rFonts w:cs="Times New Roman"/>
          <w:szCs w:val="24"/>
        </w:rPr>
        <w:t>ation of the remainder of Scandinavia from the tenth century is outside the scope of this study.</w:t>
      </w:r>
      <w:r w:rsidR="00170060" w:rsidRPr="00EC0229">
        <w:rPr>
          <w:rStyle w:val="FootnoteReference"/>
          <w:rFonts w:cs="Times New Roman"/>
        </w:rPr>
        <w:t xml:space="preserve"> </w:t>
      </w:r>
      <w:r w:rsidR="00170060" w:rsidRPr="00EC0229">
        <w:rPr>
          <w:rStyle w:val="FootnoteReference"/>
          <w:rFonts w:cs="Times New Roman"/>
        </w:rPr>
        <w:footnoteReference w:id="274"/>
      </w:r>
    </w:p>
    <w:p w14:paraId="2F48F42A" w14:textId="77777777" w:rsidR="007775E2" w:rsidRPr="00EC0229" w:rsidRDefault="007775E2" w:rsidP="007775E2">
      <w:pPr>
        <w:pStyle w:val="NoSpacing"/>
        <w:spacing w:line="360" w:lineRule="auto"/>
      </w:pPr>
    </w:p>
    <w:p w14:paraId="1CCBB039" w14:textId="1042C340" w:rsidR="007775E2" w:rsidRPr="00EC0229" w:rsidRDefault="007775E2" w:rsidP="007775E2">
      <w:pPr>
        <w:pStyle w:val="NoSpacing"/>
        <w:spacing w:line="360" w:lineRule="auto"/>
      </w:pPr>
      <w:r w:rsidRPr="00EC0229">
        <w:rPr>
          <w:rFonts w:asciiTheme="minorHAnsi" w:hAnsiTheme="minorHAnsi" w:cstheme="minorHAnsi"/>
          <w:szCs w:val="24"/>
        </w:rPr>
        <w:t xml:space="preserve">This chapter starts with a description the development of money in the south of England - first from the documentary evidence of early law </w:t>
      </w:r>
      <w:r w:rsidR="00572E51" w:rsidRPr="00EC0229">
        <w:rPr>
          <w:rFonts w:asciiTheme="minorHAnsi" w:hAnsiTheme="minorHAnsi" w:cstheme="minorHAnsi"/>
          <w:szCs w:val="24"/>
        </w:rPr>
        <w:t xml:space="preserve">with its use of monetary values, </w:t>
      </w:r>
      <w:r w:rsidRPr="00EC0229">
        <w:t>and then from the coins themselves.</w:t>
      </w:r>
    </w:p>
    <w:p w14:paraId="4D3440B1" w14:textId="77777777" w:rsidR="007775E2" w:rsidRPr="00EC0229" w:rsidRDefault="007775E2" w:rsidP="007775E2">
      <w:pPr>
        <w:pStyle w:val="NoSpacing"/>
      </w:pPr>
    </w:p>
    <w:p w14:paraId="68A292CD" w14:textId="12216DD7" w:rsidR="007775E2" w:rsidRPr="00EC0229" w:rsidRDefault="00624DF5" w:rsidP="007775E2">
      <w:pPr>
        <w:pStyle w:val="Heading2"/>
      </w:pPr>
      <w:bookmarkStart w:id="121" w:name="PeriodsS79"/>
      <w:bookmarkStart w:id="122" w:name="Southumbrian"/>
      <w:bookmarkStart w:id="123" w:name="_Ref464054528"/>
      <w:bookmarkStart w:id="124" w:name="_Toc468266752"/>
      <w:bookmarkStart w:id="125" w:name="Law"/>
      <w:bookmarkEnd w:id="121"/>
      <w:bookmarkEnd w:id="122"/>
      <w:r>
        <w:t>3.1</w:t>
      </w:r>
      <w:r>
        <w:tab/>
      </w:r>
      <w:r w:rsidR="007775E2" w:rsidRPr="00EC0229">
        <w:t>Law</w:t>
      </w:r>
      <w:bookmarkEnd w:id="123"/>
      <w:bookmarkEnd w:id="124"/>
    </w:p>
    <w:bookmarkEnd w:id="125"/>
    <w:p w14:paraId="3FE6ADC5" w14:textId="77777777" w:rsidR="007775E2" w:rsidRPr="00EC0229" w:rsidRDefault="007775E2" w:rsidP="007775E2">
      <w:pPr>
        <w:pStyle w:val="NoSpacing"/>
        <w:spacing w:line="360" w:lineRule="auto"/>
        <w:rPr>
          <w:rFonts w:cs="Times New Roman"/>
          <w:szCs w:val="24"/>
        </w:rPr>
      </w:pPr>
      <w:r w:rsidRPr="00EC0229">
        <w:rPr>
          <w:rFonts w:cs="Times New Roman"/>
          <w:szCs w:val="24"/>
        </w:rPr>
        <w:t>A survey of early English customary and formal legal remedies for abuse and resource exploitation, and the control of the emerging social framework, illustrates the emphasis and direction of early codifications of law and its symbiotic relationship with money</w:t>
      </w:r>
      <w:r w:rsidRPr="00EC0229">
        <w:rPr>
          <w:rFonts w:cs="Times New Roman"/>
          <w:szCs w:val="24"/>
        </w:rPr>
        <w:fldChar w:fldCharType="begin"/>
      </w:r>
      <w:r w:rsidRPr="00EC0229">
        <w:instrText xml:space="preserve"> XE "money" </w:instrText>
      </w:r>
      <w:r w:rsidRPr="00EC0229">
        <w:rPr>
          <w:rFonts w:cs="Times New Roman"/>
          <w:szCs w:val="24"/>
        </w:rPr>
        <w:fldChar w:fldCharType="end"/>
      </w:r>
      <w:r w:rsidRPr="00EC0229">
        <w:rPr>
          <w:rFonts w:cs="Times New Roman"/>
          <w:szCs w:val="24"/>
        </w:rPr>
        <w:t>. Not only do laws increasingly reflect commercial activity but penalties are progressively denominated in money rather than commodity money, mirroring the evolution of coinage and its growing penetration into daily activity.</w:t>
      </w:r>
    </w:p>
    <w:p w14:paraId="0FA53C9B" w14:textId="77777777" w:rsidR="007775E2" w:rsidRPr="00EC0229" w:rsidRDefault="007775E2" w:rsidP="007775E2">
      <w:pPr>
        <w:pStyle w:val="NoSpacing"/>
        <w:spacing w:line="360" w:lineRule="auto"/>
        <w:rPr>
          <w:rFonts w:cs="Times New Roman"/>
          <w:szCs w:val="24"/>
        </w:rPr>
      </w:pPr>
    </w:p>
    <w:p w14:paraId="5112B836" w14:textId="35BA1214" w:rsidR="007775E2" w:rsidRPr="00EC0229" w:rsidRDefault="007775E2" w:rsidP="007775E2">
      <w:pPr>
        <w:pStyle w:val="NoSpacing"/>
        <w:spacing w:line="360" w:lineRule="auto"/>
        <w:rPr>
          <w:szCs w:val="24"/>
        </w:rPr>
      </w:pPr>
      <w:r w:rsidRPr="00EC0229">
        <w:rPr>
          <w:szCs w:val="24"/>
        </w:rPr>
        <w:t>The earliest surviving Anglo-Saxon</w:t>
      </w:r>
      <w:r w:rsidRPr="00EC0229">
        <w:rPr>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Cs w:val="24"/>
        </w:rPr>
        <w:fldChar w:fldCharType="end"/>
      </w:r>
      <w:r w:rsidRPr="00EC0229">
        <w:rPr>
          <w:szCs w:val="24"/>
        </w:rPr>
        <w:t xml:space="preserve"> law codes are the Kentish codes of </w:t>
      </w:r>
      <w:r w:rsidRPr="00EC0229">
        <w:rPr>
          <w:rFonts w:cs="Times New Roman"/>
          <w:szCs w:val="24"/>
        </w:rPr>
        <w:t>Æ</w:t>
      </w:r>
      <w:r w:rsidRPr="00EC0229">
        <w:rPr>
          <w:szCs w:val="24"/>
        </w:rPr>
        <w:t xml:space="preserve">thelberht (ninety laws, 602-3), Hlothere and Eadric (sixteen laws, </w:t>
      </w:r>
      <w:r w:rsidR="002132F1">
        <w:rPr>
          <w:szCs w:val="24"/>
        </w:rPr>
        <w:t>c.</w:t>
      </w:r>
      <w:r w:rsidRPr="00EC0229">
        <w:rPr>
          <w:szCs w:val="24"/>
        </w:rPr>
        <w:t xml:space="preserve">685), and Wihtred (twenty-eight laws, </w:t>
      </w:r>
      <w:r w:rsidR="002132F1">
        <w:rPr>
          <w:szCs w:val="24"/>
        </w:rPr>
        <w:t>c.</w:t>
      </w:r>
      <w:r w:rsidRPr="00EC0229">
        <w:rPr>
          <w:szCs w:val="24"/>
        </w:rPr>
        <w:t xml:space="preserve">695). Ine of Wessex (688-726) also codified seventy-six laws early in his reign, probably by 695, (see </w:t>
      </w:r>
      <w:r w:rsidRPr="00EC0229">
        <w:rPr>
          <w:i/>
        </w:rPr>
        <w:t xml:space="preserve">Table </w:t>
      </w:r>
      <w:r w:rsidR="00637D67" w:rsidRPr="00EC0229">
        <w:rPr>
          <w:i/>
        </w:rPr>
        <w:t>3.01</w:t>
      </w:r>
      <w:r w:rsidRPr="00EC0229">
        <w:t>)</w:t>
      </w:r>
      <w:r w:rsidRPr="00EC0229">
        <w:rPr>
          <w:szCs w:val="24"/>
        </w:rPr>
        <w:t>.</w:t>
      </w:r>
      <w:r w:rsidRPr="00EC0229">
        <w:rPr>
          <w:rStyle w:val="FootnoteReference"/>
          <w:szCs w:val="24"/>
        </w:rPr>
        <w:footnoteReference w:id="275"/>
      </w:r>
      <w:r w:rsidRPr="00EC0229">
        <w:rPr>
          <w:szCs w:val="24"/>
        </w:rPr>
        <w:t xml:space="preserve"> </w:t>
      </w:r>
    </w:p>
    <w:p w14:paraId="5631C868" w14:textId="77777777" w:rsidR="007775E2" w:rsidRPr="00EC0229" w:rsidRDefault="007775E2" w:rsidP="007775E2">
      <w:pPr>
        <w:pStyle w:val="NoSpacing"/>
        <w:spacing w:line="360" w:lineRule="auto"/>
        <w:rPr>
          <w:rFonts w:cs="Times New Roman"/>
          <w:b/>
          <w:color w:val="FF0000"/>
          <w:szCs w:val="24"/>
        </w:rPr>
      </w:pPr>
    </w:p>
    <w:p w14:paraId="4EE220FC" w14:textId="4F907510" w:rsidR="007775E2" w:rsidRPr="00EC0229" w:rsidRDefault="007775E2" w:rsidP="007775E2">
      <w:pPr>
        <w:pStyle w:val="NoSpacing"/>
        <w:spacing w:line="360" w:lineRule="auto"/>
      </w:pPr>
      <w:r w:rsidRPr="00EC0229">
        <w:rPr>
          <w:rFonts w:cs="Times New Roman"/>
          <w:szCs w:val="24"/>
        </w:rPr>
        <w:t>In practical terms, i</w:t>
      </w:r>
      <w:r w:rsidRPr="00EC0229">
        <w:rPr>
          <w:szCs w:val="24"/>
        </w:rPr>
        <w:t xml:space="preserve">t is evident from </w:t>
      </w:r>
      <w:r w:rsidRPr="00EC0229">
        <w:rPr>
          <w:rFonts w:cs="Times New Roman"/>
          <w:szCs w:val="24"/>
        </w:rPr>
        <w:t>Æ</w:t>
      </w:r>
      <w:r w:rsidRPr="00EC0229">
        <w:rPr>
          <w:szCs w:val="24"/>
        </w:rPr>
        <w:t xml:space="preserve">thelberht §54, 55, 70 and 72, </w:t>
      </w:r>
      <w:r w:rsidRPr="00EC0229">
        <w:rPr>
          <w:i/>
          <w:szCs w:val="24"/>
        </w:rPr>
        <w:t xml:space="preserve">Table </w:t>
      </w:r>
      <w:r w:rsidR="00637D67" w:rsidRPr="00EC0229">
        <w:rPr>
          <w:i/>
          <w:szCs w:val="24"/>
        </w:rPr>
        <w:t>3.01</w:t>
      </w:r>
      <w:r w:rsidRPr="00EC0229">
        <w:rPr>
          <w:szCs w:val="24"/>
        </w:rPr>
        <w:t>,</w:t>
      </w:r>
      <w:r w:rsidRPr="00EC0229">
        <w:rPr>
          <w:rStyle w:val="FootnoteReference"/>
          <w:szCs w:val="24"/>
        </w:rPr>
        <w:footnoteReference w:id="276"/>
      </w:r>
      <w:r w:rsidRPr="00EC0229">
        <w:rPr>
          <w:szCs w:val="24"/>
        </w:rPr>
        <w:t xml:space="preserve"> that a shilling consisted of twenty sceats. The revival of the term ‘sceatt’ by antiquarians is anachronistic as it was applied to a denomination whose name is unknown (</w:t>
      </w:r>
      <w:r w:rsidRPr="00EC0229">
        <w:rPr>
          <w:noProof/>
          <w:szCs w:val="24"/>
        </w:rPr>
        <w:fldChar w:fldCharType="begin"/>
      </w:r>
      <w:r w:rsidRPr="00EC0229">
        <w:rPr>
          <w:szCs w:val="24"/>
        </w:rPr>
        <w:instrText xml:space="preserve"> PAGEREF sceat1 \h </w:instrText>
      </w:r>
      <w:r w:rsidRPr="00EC0229">
        <w:rPr>
          <w:noProof/>
          <w:szCs w:val="24"/>
        </w:rPr>
      </w:r>
      <w:r w:rsidRPr="00EC0229">
        <w:rPr>
          <w:noProof/>
          <w:szCs w:val="24"/>
        </w:rPr>
        <w:fldChar w:fldCharType="separate"/>
      </w:r>
      <w:r w:rsidR="0012026B">
        <w:rPr>
          <w:noProof/>
          <w:szCs w:val="24"/>
        </w:rPr>
        <w:t>64</w:t>
      </w:r>
      <w:r w:rsidRPr="00EC0229">
        <w:rPr>
          <w:noProof/>
          <w:szCs w:val="24"/>
        </w:rPr>
        <w:fldChar w:fldCharType="end"/>
      </w:r>
      <w:r w:rsidRPr="00EC0229">
        <w:rPr>
          <w:szCs w:val="24"/>
        </w:rPr>
        <w:t xml:space="preserve">, </w:t>
      </w:r>
      <w:r w:rsidRPr="00EC0229">
        <w:rPr>
          <w:noProof/>
          <w:szCs w:val="24"/>
        </w:rPr>
        <w:fldChar w:fldCharType="begin"/>
      </w:r>
      <w:r w:rsidRPr="00EC0229">
        <w:rPr>
          <w:szCs w:val="24"/>
        </w:rPr>
        <w:instrText xml:space="preserve"> PAGEREF sceat2 \h </w:instrText>
      </w:r>
      <w:r w:rsidRPr="00EC0229">
        <w:rPr>
          <w:noProof/>
          <w:szCs w:val="24"/>
        </w:rPr>
      </w:r>
      <w:r w:rsidRPr="00EC0229">
        <w:rPr>
          <w:noProof/>
          <w:szCs w:val="24"/>
        </w:rPr>
        <w:fldChar w:fldCharType="separate"/>
      </w:r>
      <w:r w:rsidR="0012026B">
        <w:rPr>
          <w:noProof/>
          <w:szCs w:val="24"/>
        </w:rPr>
        <w:t>137</w:t>
      </w:r>
      <w:r w:rsidRPr="00EC0229">
        <w:rPr>
          <w:noProof/>
          <w:szCs w:val="24"/>
        </w:rPr>
        <w:fldChar w:fldCharType="end"/>
      </w:r>
      <w:r w:rsidRPr="00EC0229">
        <w:rPr>
          <w:szCs w:val="24"/>
        </w:rPr>
        <w:t xml:space="preserve">) but was not current until </w:t>
      </w:r>
      <w:r w:rsidRPr="00EC0229">
        <w:rPr>
          <w:szCs w:val="24"/>
        </w:rPr>
        <w:lastRenderedPageBreak/>
        <w:t xml:space="preserve">more than half a century after </w:t>
      </w:r>
      <w:r w:rsidRPr="00EC0229">
        <w:rPr>
          <w:rFonts w:cs="Times New Roman"/>
          <w:szCs w:val="24"/>
        </w:rPr>
        <w:t>Æ</w:t>
      </w:r>
      <w:r w:rsidRPr="00EC0229">
        <w:rPr>
          <w:szCs w:val="24"/>
        </w:rPr>
        <w:t>thelberht’s death.</w:t>
      </w:r>
      <w:r w:rsidRPr="00EC0229">
        <w:rPr>
          <w:rStyle w:val="FootnoteReference"/>
          <w:szCs w:val="24"/>
        </w:rPr>
        <w:footnoteReference w:id="277"/>
      </w:r>
      <w:r w:rsidRPr="00EC0229">
        <w:rPr>
          <w:rFonts w:cs="Times New Roman"/>
          <w:szCs w:val="24"/>
        </w:rPr>
        <w:t xml:space="preserve"> </w:t>
      </w:r>
      <w:r w:rsidRPr="00EC0229">
        <w:t xml:space="preserve">In Ine’s laws, there were increasing numbers of rules governing trading practices and mobility, e.g. </w:t>
      </w:r>
      <w:r w:rsidRPr="00EC0229">
        <w:rPr>
          <w:szCs w:val="24"/>
        </w:rPr>
        <w:t>§</w:t>
      </w:r>
      <w:r w:rsidRPr="00EC0229">
        <w:t>25.</w:t>
      </w:r>
      <w:r w:rsidRPr="00EC0229">
        <w:rPr>
          <w:i/>
        </w:rPr>
        <w:t xml:space="preserve"> </w:t>
      </w:r>
      <w:r w:rsidRPr="00EC0229">
        <w:t xml:space="preserve">If the trader was found to be in possession of stolen property, he would pay the unusual fine of thirty-six shillings. The intention seems to be to discourage trade outside towns, for instance, </w:t>
      </w:r>
      <w:r w:rsidRPr="00EC0229">
        <w:rPr>
          <w:szCs w:val="24"/>
        </w:rPr>
        <w:t>§</w:t>
      </w:r>
      <w:r w:rsidRPr="00EC0229">
        <w:t xml:space="preserve">39 restricted movement between districts without permission. Protection and appraisal of agriculture, livestock and woodland is governed by Ine </w:t>
      </w:r>
      <w:r w:rsidRPr="00EC0229">
        <w:rPr>
          <w:szCs w:val="24"/>
        </w:rPr>
        <w:t>§</w:t>
      </w:r>
      <w:r w:rsidRPr="00EC0229">
        <w:t xml:space="preserve">40, 42-4, 46, 49 and 55-60, wherein, for example, </w:t>
      </w:r>
      <w:r w:rsidRPr="00EC0229">
        <w:rPr>
          <w:szCs w:val="24"/>
        </w:rPr>
        <w:t>§</w:t>
      </w:r>
      <w:r w:rsidRPr="00EC0229">
        <w:t>55 and 58 give specific valuations</w:t>
      </w:r>
      <w:r w:rsidRPr="00EC0229">
        <w:rPr>
          <w:i/>
        </w:rPr>
        <w:t>.</w:t>
      </w:r>
      <w:r w:rsidRPr="00EC0229">
        <w:rPr>
          <w:rStyle w:val="FootnoteReference"/>
        </w:rPr>
        <w:footnoteReference w:id="278"/>
      </w:r>
      <w:r w:rsidRPr="00EC0229">
        <w:rPr>
          <w:i/>
        </w:rPr>
        <w:t xml:space="preserve"> </w:t>
      </w:r>
      <w:r w:rsidRPr="00EC0229">
        <w:t xml:space="preserve">Here, and in Ine </w:t>
      </w:r>
      <w:r w:rsidRPr="00EC0229">
        <w:rPr>
          <w:szCs w:val="24"/>
        </w:rPr>
        <w:t>§</w:t>
      </w:r>
      <w:r w:rsidRPr="00EC0229">
        <w:t xml:space="preserve">59 and 69, unusually, value is denominated in </w:t>
      </w:r>
      <w:r w:rsidRPr="00EC0229">
        <w:rPr>
          <w:i/>
        </w:rPr>
        <w:t>p</w:t>
      </w:r>
      <w:r w:rsidRPr="00EC0229">
        <w:rPr>
          <w:rFonts w:cs="Times New Roman"/>
          <w:i/>
        </w:rPr>
        <w:t>æ</w:t>
      </w:r>
      <w:r w:rsidRPr="00EC0229">
        <w:rPr>
          <w:i/>
        </w:rPr>
        <w:t>ninga</w:t>
      </w:r>
      <w:r w:rsidRPr="00EC0229">
        <w:t>.</w:t>
      </w:r>
    </w:p>
    <w:p w14:paraId="54185044" w14:textId="77777777" w:rsidR="007775E2" w:rsidRPr="00EC0229" w:rsidRDefault="007775E2" w:rsidP="007775E2">
      <w:pPr>
        <w:pStyle w:val="NoSpacing"/>
        <w:spacing w:line="360" w:lineRule="auto"/>
      </w:pPr>
    </w:p>
    <w:p w14:paraId="43CC300C" w14:textId="17ABCA31" w:rsidR="007775E2" w:rsidRPr="00EC0229" w:rsidRDefault="007775E2" w:rsidP="007775E2">
      <w:pPr>
        <w:pStyle w:val="NoSpacing"/>
        <w:spacing w:line="360" w:lineRule="auto"/>
      </w:pPr>
      <w:r w:rsidRPr="00EC0229">
        <w:t xml:space="preserve">Having briefly described </w:t>
      </w:r>
      <w:r w:rsidR="00572E51" w:rsidRPr="00EC0229">
        <w:t>references to money in Southumbria</w:t>
      </w:r>
      <w:r w:rsidRPr="00EC0229">
        <w:t>n law, some interpretation with reference to the power, structure of the codes, monetary penalties and nomenclature is informative.</w:t>
      </w:r>
    </w:p>
    <w:p w14:paraId="0B5C130E" w14:textId="77777777" w:rsidR="007775E2" w:rsidRPr="00EC0229" w:rsidRDefault="007775E2" w:rsidP="007775E2">
      <w:pPr>
        <w:pStyle w:val="NoSpacing"/>
        <w:spacing w:line="360" w:lineRule="auto"/>
      </w:pPr>
    </w:p>
    <w:p w14:paraId="6653B9A1" w14:textId="77777777" w:rsidR="007775E2" w:rsidRPr="00EC0229" w:rsidRDefault="007775E2" w:rsidP="007775E2">
      <w:pPr>
        <w:pStyle w:val="NoSpacing"/>
        <w:spacing w:line="360" w:lineRule="auto"/>
      </w:pPr>
      <w:r w:rsidRPr="00EC0229">
        <w:rPr>
          <w:rFonts w:cs="Times New Roman"/>
          <w:szCs w:val="24"/>
        </w:rPr>
        <w:t xml:space="preserve">The comparative </w:t>
      </w:r>
      <w:r w:rsidRPr="00EC0229">
        <w:rPr>
          <w:rFonts w:cs="Times New Roman"/>
          <w:i/>
          <w:szCs w:val="24"/>
        </w:rPr>
        <w:t>gyldes</w:t>
      </w:r>
      <w:r w:rsidRPr="00EC0229">
        <w:rPr>
          <w:rFonts w:cs="Times New Roman"/>
          <w:szCs w:val="24"/>
        </w:rPr>
        <w:t xml:space="preserve"> due to monarchs and the episcopacy in Æ</w:t>
      </w:r>
      <w:r w:rsidRPr="00EC0229">
        <w:rPr>
          <w:szCs w:val="24"/>
        </w:rPr>
        <w:t>thelberht’s</w:t>
      </w:r>
      <w:r w:rsidRPr="00EC0229">
        <w:rPr>
          <w:rFonts w:cs="Times New Roman"/>
          <w:szCs w:val="24"/>
        </w:rPr>
        <w:t xml:space="preserve"> code demonstrates a balance of power in favour of the latter. </w:t>
      </w:r>
      <w:r w:rsidRPr="00EC0229">
        <w:t>Wihtred’s decrees were vested with the authority of the Church – in return for granting the Church immunity from taxation (</w:t>
      </w:r>
      <w:r w:rsidRPr="00EC0229">
        <w:rPr>
          <w:szCs w:val="24"/>
        </w:rPr>
        <w:t>§</w:t>
      </w:r>
      <w:r w:rsidRPr="00EC0229">
        <w:t>1). By this time the Church and monarch appear to be of more comparable authority and Alfredian law strengthened the monarch’s relative power.</w:t>
      </w:r>
      <w:r w:rsidRPr="00EC0229">
        <w:rPr>
          <w:rStyle w:val="FootnoteReference"/>
        </w:rPr>
        <w:footnoteReference w:id="279"/>
      </w:r>
      <w:r w:rsidRPr="00EC0229">
        <w:t xml:space="preserve"> </w:t>
      </w:r>
    </w:p>
    <w:p w14:paraId="35054283" w14:textId="77777777" w:rsidR="007775E2" w:rsidRPr="00EC0229" w:rsidRDefault="007775E2" w:rsidP="007775E2">
      <w:pPr>
        <w:pStyle w:val="NoSpacing"/>
        <w:spacing w:line="360" w:lineRule="auto"/>
      </w:pPr>
    </w:p>
    <w:p w14:paraId="25D55A15" w14:textId="77777777" w:rsidR="007775E2" w:rsidRPr="00EC0229" w:rsidRDefault="007775E2" w:rsidP="007775E2">
      <w:pPr>
        <w:pStyle w:val="NoSpacing"/>
        <w:spacing w:line="360" w:lineRule="auto"/>
        <w:rPr>
          <w:rFonts w:cs="Times New Roman"/>
          <w:szCs w:val="24"/>
        </w:rPr>
      </w:pPr>
      <w:r w:rsidRPr="00EC0229">
        <w:rPr>
          <w:rFonts w:cs="Times New Roman"/>
          <w:szCs w:val="24"/>
        </w:rPr>
        <w:t>Æ</w:t>
      </w:r>
      <w:r w:rsidRPr="00EC0229">
        <w:rPr>
          <w:szCs w:val="24"/>
        </w:rPr>
        <w:t>thelberht’s</w:t>
      </w:r>
      <w:r w:rsidRPr="00EC0229">
        <w:rPr>
          <w:rFonts w:cs="Times New Roman"/>
          <w:szCs w:val="24"/>
        </w:rPr>
        <w:t xml:space="preserve"> code does not approach a cohesive, let alone comprehensive set of principles and penalties. Roebuck argued that it is misleading to call them codes as that implies they were systematic: ‘they are a heterogeneous collection of edicts.’</w:t>
      </w:r>
      <w:r w:rsidRPr="00EC0229">
        <w:rPr>
          <w:rStyle w:val="FootnoteReference"/>
          <w:rFonts w:cs="Times New Roman"/>
          <w:szCs w:val="24"/>
        </w:rPr>
        <w:footnoteReference w:id="280"/>
      </w:r>
      <w:r w:rsidRPr="00EC0229">
        <w:rPr>
          <w:rFonts w:cs="Times New Roman"/>
          <w:szCs w:val="24"/>
        </w:rPr>
        <w:t xml:space="preserve"> However, certain themes can be identified</w:t>
      </w:r>
      <w:r w:rsidRPr="00EC0229">
        <w:rPr>
          <w:rStyle w:val="FootnoteReference"/>
          <w:rFonts w:cs="Times New Roman"/>
          <w:szCs w:val="24"/>
        </w:rPr>
        <w:footnoteReference w:id="281"/>
      </w:r>
      <w:r w:rsidRPr="00EC0229">
        <w:rPr>
          <w:rFonts w:cs="Times New Roman"/>
          <w:szCs w:val="24"/>
        </w:rPr>
        <w:t xml:space="preserve"> and one may assume that these were based on social occurrence and commercial experience.</w:t>
      </w:r>
    </w:p>
    <w:p w14:paraId="04ED9DD7" w14:textId="77777777" w:rsidR="007775E2" w:rsidRPr="00EC0229" w:rsidRDefault="007775E2" w:rsidP="007775E2">
      <w:pPr>
        <w:pStyle w:val="NoSpacing"/>
        <w:spacing w:line="360" w:lineRule="auto"/>
        <w:rPr>
          <w:rFonts w:cs="Times New Roman"/>
          <w:szCs w:val="24"/>
        </w:rPr>
      </w:pPr>
    </w:p>
    <w:p w14:paraId="2ACCFC27" w14:textId="77777777" w:rsidR="007775E2" w:rsidRPr="00EC0229" w:rsidRDefault="007775E2" w:rsidP="007775E2">
      <w:pPr>
        <w:pStyle w:val="NoSpacing"/>
        <w:spacing w:line="360" w:lineRule="auto"/>
        <w:rPr>
          <w:szCs w:val="24"/>
        </w:rPr>
      </w:pPr>
      <w:r w:rsidRPr="00EC0229">
        <w:rPr>
          <w:rFonts w:cs="Times New Roman"/>
          <w:szCs w:val="24"/>
        </w:rPr>
        <w:t>The monarch was peripatetic, constantly on the move to collect renders,</w:t>
      </w:r>
      <w:r w:rsidRPr="00EC0229">
        <w:rPr>
          <w:rStyle w:val="FootnoteReference"/>
          <w:rFonts w:cs="Times New Roman"/>
          <w:szCs w:val="24"/>
        </w:rPr>
        <w:footnoteReference w:id="282"/>
      </w:r>
      <w:r w:rsidRPr="00EC0229">
        <w:rPr>
          <w:rFonts w:cs="Times New Roman"/>
          <w:szCs w:val="24"/>
        </w:rPr>
        <w:t xml:space="preserve"> assert authority and dispense justice in which l</w:t>
      </w:r>
      <w:r w:rsidRPr="00EC0229">
        <w:rPr>
          <w:szCs w:val="24"/>
        </w:rPr>
        <w:t xml:space="preserve">egislation on violence against the person and property predominate. </w:t>
      </w:r>
      <w:r w:rsidRPr="00EC0229">
        <w:rPr>
          <w:szCs w:val="24"/>
        </w:rPr>
        <w:lastRenderedPageBreak/>
        <w:t xml:space="preserve">Other than the many rules concerning homicide, </w:t>
      </w:r>
      <w:r w:rsidRPr="00EC0229">
        <w:rPr>
          <w:rFonts w:cs="Times New Roman"/>
          <w:szCs w:val="24"/>
        </w:rPr>
        <w:t>Æ</w:t>
      </w:r>
      <w:r w:rsidRPr="00EC0229">
        <w:rPr>
          <w:szCs w:val="24"/>
        </w:rPr>
        <w:t>thelberht’s</w:t>
      </w:r>
      <w:r w:rsidRPr="00EC0229">
        <w:rPr>
          <w:rFonts w:cs="Times New Roman"/>
          <w:szCs w:val="24"/>
        </w:rPr>
        <w:t xml:space="preserve"> </w:t>
      </w:r>
      <w:r w:rsidRPr="00EC0229">
        <w:rPr>
          <w:szCs w:val="24"/>
        </w:rPr>
        <w:t>laws (</w:t>
      </w:r>
      <w:r w:rsidRPr="00EC0229">
        <w:rPr>
          <w:i/>
          <w:szCs w:val="24"/>
        </w:rPr>
        <w:t>dooms</w:t>
      </w:r>
      <w:r w:rsidRPr="00EC0229">
        <w:rPr>
          <w:szCs w:val="24"/>
        </w:rPr>
        <w:t xml:space="preserve">) §33-76 relate to very specific injuries. </w:t>
      </w:r>
      <w:r w:rsidRPr="00EC0229">
        <w:rPr>
          <w:rFonts w:cs="Times New Roman"/>
          <w:szCs w:val="24"/>
        </w:rPr>
        <w:t>Policing and enforcing such minutiæ, may have been impossible, indicating that this was as much a code of behaviour, and a record of specific incidents, as a juridical scheme.</w:t>
      </w:r>
      <w:r w:rsidRPr="00EC0229">
        <w:rPr>
          <w:szCs w:val="24"/>
        </w:rPr>
        <w:t xml:space="preserve"> The </w:t>
      </w:r>
      <w:r w:rsidRPr="00EC0229">
        <w:rPr>
          <w:i/>
          <w:szCs w:val="24"/>
        </w:rPr>
        <w:t>dooms</w:t>
      </w:r>
      <w:r w:rsidRPr="00EC0229">
        <w:rPr>
          <w:szCs w:val="24"/>
        </w:rPr>
        <w:t xml:space="preserve"> preserve </w:t>
      </w:r>
      <w:r w:rsidRPr="00EC0229">
        <w:rPr>
          <w:rFonts w:cs="Times New Roman"/>
          <w:szCs w:val="24"/>
        </w:rPr>
        <w:t>honour,</w:t>
      </w:r>
      <w:r w:rsidRPr="00EC0229">
        <w:rPr>
          <w:rStyle w:val="FootnoteReference"/>
          <w:rFonts w:cs="Times New Roman"/>
          <w:szCs w:val="24"/>
        </w:rPr>
        <w:footnoteReference w:id="283"/>
      </w:r>
      <w:r w:rsidRPr="00EC0229">
        <w:rPr>
          <w:rFonts w:cs="Times New Roman"/>
          <w:szCs w:val="24"/>
        </w:rPr>
        <w:t xml:space="preserve"> social stratification and other </w:t>
      </w:r>
      <w:r w:rsidRPr="00EC0229">
        <w:t>social conventions, such as slavery.</w:t>
      </w:r>
    </w:p>
    <w:p w14:paraId="14F21CBE" w14:textId="77777777" w:rsidR="007775E2" w:rsidRPr="00EC0229" w:rsidRDefault="007775E2" w:rsidP="007775E2">
      <w:pPr>
        <w:pStyle w:val="NoSpacing"/>
        <w:spacing w:line="360" w:lineRule="auto"/>
        <w:rPr>
          <w:szCs w:val="24"/>
        </w:rPr>
      </w:pPr>
    </w:p>
    <w:p w14:paraId="27455DD2" w14:textId="583B1CD9" w:rsidR="007775E2" w:rsidRPr="00EC0229" w:rsidRDefault="007775E2" w:rsidP="007775E2">
      <w:pPr>
        <w:pStyle w:val="NoSpacing"/>
        <w:spacing w:line="360" w:lineRule="auto"/>
        <w:rPr>
          <w:szCs w:val="24"/>
        </w:rPr>
      </w:pPr>
      <w:r w:rsidRPr="00EC0229">
        <w:rPr>
          <w:szCs w:val="24"/>
        </w:rPr>
        <w:t>The specificity of judgments imply that the foundations of English legislation were in case law from the beginning. Certainly, these codes are in the Germanic tradition and ‘they stand boldly at the watershed between orality and literacy’.</w:t>
      </w:r>
      <w:r w:rsidRPr="00EC0229">
        <w:rPr>
          <w:rStyle w:val="FootnoteReference"/>
          <w:szCs w:val="24"/>
        </w:rPr>
        <w:footnoteReference w:id="284"/>
      </w:r>
      <w:r w:rsidRPr="00EC0229">
        <w:rPr>
          <w:szCs w:val="24"/>
        </w:rPr>
        <w:t xml:space="preserve"> </w:t>
      </w:r>
      <w:r w:rsidR="00572E51" w:rsidRPr="00EC0229">
        <w:rPr>
          <w:szCs w:val="24"/>
        </w:rPr>
        <w:t xml:space="preserve">Although the codes are from the southern kingdoms it is reasonable </w:t>
      </w:r>
      <w:r w:rsidRPr="00EC0229">
        <w:rPr>
          <w:szCs w:val="24"/>
        </w:rPr>
        <w:t>to assume that northern England followed similar legal constructs and practices.</w:t>
      </w:r>
      <w:r w:rsidRPr="00EC0229">
        <w:rPr>
          <w:rStyle w:val="FootnoteReference"/>
          <w:szCs w:val="24"/>
        </w:rPr>
        <w:footnoteReference w:id="285"/>
      </w:r>
    </w:p>
    <w:p w14:paraId="2B2D0EFE" w14:textId="77777777" w:rsidR="007775E2" w:rsidRPr="00EC0229" w:rsidRDefault="007775E2" w:rsidP="007775E2">
      <w:pPr>
        <w:pStyle w:val="NoSpacing"/>
        <w:spacing w:line="360" w:lineRule="auto"/>
        <w:ind w:left="1080"/>
        <w:rPr>
          <w:szCs w:val="24"/>
        </w:rPr>
      </w:pPr>
    </w:p>
    <w:p w14:paraId="7AA4E79C" w14:textId="77777777" w:rsidR="007775E2" w:rsidRPr="00EC0229" w:rsidRDefault="007775E2" w:rsidP="007775E2">
      <w:pPr>
        <w:pStyle w:val="NoSpacing"/>
        <w:spacing w:line="360" w:lineRule="auto"/>
      </w:pPr>
      <w:r w:rsidRPr="00EC0229">
        <w:t>The codes of Hlothere (670-85) and Eadric (685-6) extended existing law, again demonstrating the process of building legislation on case law, but now with more emphasis on process and responsibility,</w:t>
      </w:r>
      <w:r w:rsidRPr="00EC0229">
        <w:rPr>
          <w:rStyle w:val="FootnoteReference"/>
        </w:rPr>
        <w:footnoteReference w:id="286"/>
      </w:r>
      <w:r w:rsidRPr="00EC0229">
        <w:t xml:space="preserve"> mediation and arbitration.</w:t>
      </w:r>
      <w:r w:rsidRPr="00EC0229">
        <w:rPr>
          <w:rStyle w:val="FootnoteReference"/>
        </w:rPr>
        <w:footnoteReference w:id="287"/>
      </w:r>
      <w:r w:rsidRPr="00EC0229">
        <w:t xml:space="preserve"> There is an escalation of compensation with (what we would now regard as) civil offences attracting the penalties previously reserved for criminal charges. These inflated penalties seem disproportionate to the meagre volume of coin then in restricted circulation.</w:t>
      </w:r>
      <w:r w:rsidRPr="00EC0229">
        <w:rPr>
          <w:rStyle w:val="FootnoteReference"/>
        </w:rPr>
        <w:footnoteReference w:id="288"/>
      </w:r>
    </w:p>
    <w:p w14:paraId="23563480" w14:textId="77777777" w:rsidR="007775E2" w:rsidRPr="00EC0229" w:rsidRDefault="007775E2" w:rsidP="007775E2">
      <w:pPr>
        <w:pStyle w:val="NoSpacing"/>
        <w:spacing w:line="360" w:lineRule="auto"/>
      </w:pPr>
    </w:p>
    <w:p w14:paraId="6508619A" w14:textId="17C28207" w:rsidR="007775E2" w:rsidRPr="00EC0229" w:rsidRDefault="007775E2" w:rsidP="007775E2">
      <w:pPr>
        <w:pStyle w:val="NoSpacing"/>
        <w:spacing w:line="360" w:lineRule="auto"/>
      </w:pPr>
      <w:bookmarkStart w:id="126" w:name="Wihtred"/>
      <w:bookmarkEnd w:id="126"/>
      <w:r w:rsidRPr="00EC0229">
        <w:t>Again, the overriding impression of Ine’s laws,</w:t>
      </w:r>
      <w:r w:rsidRPr="00EC0229">
        <w:rPr>
          <w:rStyle w:val="FootnoteReference"/>
        </w:rPr>
        <w:footnoteReference w:id="289"/>
      </w:r>
      <w:r w:rsidRPr="00EC0229">
        <w:t xml:space="preserve"> are that they were, in fact, specific judgments, which had been recorded as case law. The circumstances described are not common occurrences to be policed but rulings handed down by the king presiding over his court when presented with a particular prosecution. This impression is reinforced by the random, unstructured, nature of the legislation. There is little pretence at systematic organisation or prioritisation; law not built on principle must be </w:t>
      </w:r>
      <w:r w:rsidR="004504D2">
        <w:t>characterize</w:t>
      </w:r>
      <w:r w:rsidRPr="00EC0229">
        <w:t>d as weak.</w:t>
      </w:r>
    </w:p>
    <w:p w14:paraId="0D9535A7" w14:textId="77777777" w:rsidR="007775E2" w:rsidRPr="00EC0229" w:rsidRDefault="007775E2" w:rsidP="007775E2">
      <w:pPr>
        <w:pStyle w:val="NoSpacing"/>
        <w:spacing w:line="360" w:lineRule="auto"/>
      </w:pPr>
    </w:p>
    <w:p w14:paraId="3037FFF1" w14:textId="2FF30397" w:rsidR="007775E2" w:rsidRPr="00EC0229" w:rsidRDefault="007775E2" w:rsidP="007775E2">
      <w:pPr>
        <w:pStyle w:val="NoSpacing"/>
        <w:spacing w:line="360" w:lineRule="auto"/>
      </w:pPr>
      <w:r w:rsidRPr="00EC0229">
        <w:lastRenderedPageBreak/>
        <w:t xml:space="preserve">However, there is more evaluation of certain activities and obligations other than </w:t>
      </w:r>
      <w:r w:rsidRPr="00EC0229">
        <w:rPr>
          <w:i/>
        </w:rPr>
        <w:t>wergeld</w:t>
      </w:r>
      <w:r w:rsidRPr="00EC0229">
        <w:t>. This contrasts with the seemingly more structured Salic law</w:t>
      </w:r>
      <w:r w:rsidRPr="00EC0229">
        <w:fldChar w:fldCharType="begin"/>
      </w:r>
      <w:r w:rsidRPr="00EC0229">
        <w:instrText xml:space="preserve"> XE "</w:instrText>
      </w:r>
      <w:r w:rsidRPr="00EC0229">
        <w:rPr>
          <w:rStyle w:val="Hyperlink"/>
          <w:noProof/>
          <w:u w:val="none"/>
        </w:rPr>
        <w:instrText>Law</w:instrText>
      </w:r>
      <w:r w:rsidRPr="00EC0229">
        <w:instrText xml:space="preserve">" </w:instrText>
      </w:r>
      <w:r w:rsidRPr="00EC0229">
        <w:fldChar w:fldCharType="end"/>
      </w:r>
      <w:r w:rsidRPr="00EC0229">
        <w:t>,</w:t>
      </w:r>
      <w:r w:rsidRPr="00EC0229">
        <w:rPr>
          <w:rStyle w:val="FootnoteReference"/>
        </w:rPr>
        <w:footnoteReference w:id="290"/>
      </w:r>
      <w:r w:rsidRPr="00EC0229">
        <w:t xml:space="preserve"> initiated by Clovis I (</w:t>
      </w:r>
      <w:r w:rsidR="002132F1">
        <w:rPr>
          <w:i/>
        </w:rPr>
        <w:t>c.</w:t>
      </w:r>
      <w:r w:rsidRPr="00EC0229">
        <w:t>466–511), with its emphasis on inheritance. Sawyer argues that as Clovis’s successors claimed hegemony over part of southern Britain for most of the sixth century, there are similarities between Frankish and Kentish laws.</w:t>
      </w:r>
      <w:r w:rsidRPr="00EC0229">
        <w:rPr>
          <w:rStyle w:val="FootnoteReference"/>
        </w:rPr>
        <w:footnoteReference w:id="291"/>
      </w:r>
    </w:p>
    <w:p w14:paraId="6F6283D5" w14:textId="77777777" w:rsidR="007775E2" w:rsidRPr="00EC0229" w:rsidRDefault="007775E2" w:rsidP="007775E2">
      <w:pPr>
        <w:pStyle w:val="NoSpacing"/>
        <w:spacing w:line="360" w:lineRule="auto"/>
      </w:pPr>
    </w:p>
    <w:p w14:paraId="316886EE" w14:textId="77777777" w:rsidR="007775E2" w:rsidRPr="00EC0229" w:rsidRDefault="007775E2" w:rsidP="007775E2">
      <w:pPr>
        <w:pStyle w:val="NoSpacing"/>
        <w:spacing w:line="360" w:lineRule="auto"/>
        <w:rPr>
          <w:rFonts w:cs="Times New Roman"/>
          <w:szCs w:val="24"/>
        </w:rPr>
      </w:pPr>
      <w:r w:rsidRPr="00EC0229">
        <w:rPr>
          <w:szCs w:val="24"/>
        </w:rPr>
        <w:t>Contemporary Merovingian</w:t>
      </w:r>
      <w:r w:rsidRPr="00EC0229">
        <w:rPr>
          <w:szCs w:val="24"/>
        </w:rPr>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rPr>
          <w:szCs w:val="24"/>
        </w:rPr>
        <w:fldChar w:fldCharType="end"/>
      </w:r>
      <w:r w:rsidRPr="00EC0229">
        <w:rPr>
          <w:szCs w:val="24"/>
        </w:rPr>
        <w:t xml:space="preserve"> gold</w:t>
      </w:r>
      <w:r w:rsidRPr="00EC0229">
        <w:rPr>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szCs w:val="24"/>
        </w:rPr>
        <w:fldChar w:fldCharType="end"/>
      </w:r>
      <w:r w:rsidRPr="00EC0229">
        <w:rPr>
          <w:szCs w:val="24"/>
        </w:rPr>
        <w:t xml:space="preserve"> solidi and tremisses were an élite</w:t>
      </w:r>
      <w:r w:rsidRPr="00EC0229">
        <w:rPr>
          <w:szCs w:val="24"/>
        </w:rPr>
        <w:fldChar w:fldCharType="begin"/>
      </w:r>
      <w:r w:rsidRPr="00EC0229">
        <w:instrText xml:space="preserve"> XE "</w:instrText>
      </w:r>
      <w:r w:rsidRPr="00EC0229">
        <w:rPr>
          <w:szCs w:val="24"/>
        </w:rPr>
        <w:instrText>élite</w:instrText>
      </w:r>
      <w:r w:rsidRPr="00EC0229">
        <w:instrText xml:space="preserve">" </w:instrText>
      </w:r>
      <w:r w:rsidRPr="00EC0229">
        <w:rPr>
          <w:szCs w:val="24"/>
        </w:rPr>
        <w:fldChar w:fldCharType="end"/>
      </w:r>
      <w:r w:rsidRPr="00EC0229">
        <w:rPr>
          <w:szCs w:val="24"/>
        </w:rPr>
        <w:t xml:space="preserve"> currency not present in England in great numbers, so one may surmise that there was a mechanism in practice for converting penalties to commodity money</w:t>
      </w:r>
      <w:r w:rsidRPr="00EC0229">
        <w:rPr>
          <w:szCs w:val="24"/>
        </w:rPr>
        <w:fldChar w:fldCharType="begin"/>
      </w:r>
      <w:r w:rsidRPr="00EC0229">
        <w:instrText xml:space="preserve"> XE "</w:instrText>
      </w:r>
      <w:r w:rsidRPr="00EC0229">
        <w:rPr>
          <w:rFonts w:cs="Times New Roman"/>
          <w:szCs w:val="24"/>
        </w:rPr>
        <w:instrText>commodity money</w:instrText>
      </w:r>
      <w:r w:rsidRPr="00EC0229">
        <w:instrText xml:space="preserve">" </w:instrText>
      </w:r>
      <w:r w:rsidRPr="00EC0229">
        <w:rPr>
          <w:szCs w:val="24"/>
        </w:rPr>
        <w:fldChar w:fldCharType="end"/>
      </w:r>
      <w:r w:rsidRPr="00EC0229">
        <w:rPr>
          <w:szCs w:val="24"/>
        </w:rPr>
        <w:t>.</w:t>
      </w:r>
      <w:r w:rsidRPr="00EC0229">
        <w:rPr>
          <w:rStyle w:val="FootnoteReference"/>
          <w:szCs w:val="24"/>
        </w:rPr>
        <w:footnoteReference w:id="292"/>
      </w:r>
      <w:r w:rsidRPr="00EC0229">
        <w:rPr>
          <w:szCs w:val="24"/>
        </w:rPr>
        <w:t xml:space="preserve"> According to Hines ‘a comparison of the coin evidence we have from the fifth- to seventh-centuries in England with that for collections of small pieces of gold and silver bullion</w:t>
      </w:r>
      <w:r w:rsidRPr="00EC0229">
        <w:rPr>
          <w:szCs w:val="24"/>
        </w:rPr>
        <w:fldChar w:fldCharType="begin"/>
      </w:r>
      <w:r w:rsidRPr="00EC0229">
        <w:instrText xml:space="preserve"> XE "</w:instrText>
      </w:r>
      <w:r w:rsidRPr="00EC0229">
        <w:rPr>
          <w:rFonts w:cs="Times New Roman"/>
          <w:szCs w:val="24"/>
        </w:rPr>
        <w:instrText>bullion</w:instrText>
      </w:r>
      <w:r w:rsidRPr="00EC0229">
        <w:instrText xml:space="preserve">" </w:instrText>
      </w:r>
      <w:r w:rsidRPr="00EC0229">
        <w:rPr>
          <w:szCs w:val="24"/>
        </w:rPr>
        <w:fldChar w:fldCharType="end"/>
      </w:r>
      <w:r w:rsidRPr="00EC0229">
        <w:rPr>
          <w:szCs w:val="24"/>
        </w:rPr>
        <w:t xml:space="preserve"> argues firmly against a widespread and large-scale use of hack-silver and -gold currency in this period.’</w:t>
      </w:r>
      <w:r w:rsidRPr="00EC0229">
        <w:rPr>
          <w:rStyle w:val="FootnoteReference"/>
          <w:szCs w:val="24"/>
        </w:rPr>
        <w:footnoteReference w:id="293"/>
      </w:r>
      <w:r w:rsidRPr="00EC0229">
        <w:rPr>
          <w:szCs w:val="24"/>
        </w:rPr>
        <w:t xml:space="preserve"> Hines proceeds to state that finds of weights</w:t>
      </w:r>
      <w:r w:rsidRPr="00EC0229">
        <w:rPr>
          <w:szCs w:val="24"/>
        </w:rPr>
        <w:fldChar w:fldCharType="begin"/>
      </w:r>
      <w:r w:rsidRPr="00EC0229">
        <w:instrText xml:space="preserve"> XE "</w:instrText>
      </w:r>
      <w:r w:rsidRPr="00EC0229">
        <w:rPr>
          <w:rStyle w:val="Hyperlink"/>
          <w:noProof/>
          <w:u w:val="none"/>
        </w:rPr>
        <w:instrText>weights</w:instrText>
      </w:r>
      <w:r w:rsidRPr="00EC0229">
        <w:instrText xml:space="preserve">" </w:instrText>
      </w:r>
      <w:r w:rsidRPr="00EC0229">
        <w:rPr>
          <w:szCs w:val="24"/>
        </w:rPr>
        <w:fldChar w:fldCharType="end"/>
      </w:r>
      <w:r w:rsidRPr="00EC0229">
        <w:rPr>
          <w:szCs w:val="24"/>
        </w:rPr>
        <w:t>, scales, pans and touchstones are evidence of weighing small quantities of metal. However, these equally could be for testing the weight of coins in circulation as suggested by</w:t>
      </w:r>
      <w:r w:rsidRPr="00EC0229">
        <w:rPr>
          <w:color w:val="FF0000"/>
          <w:szCs w:val="24"/>
        </w:rPr>
        <w:t xml:space="preserve"> </w:t>
      </w:r>
      <w:r w:rsidRPr="00EC0229">
        <w:rPr>
          <w:szCs w:val="24"/>
        </w:rPr>
        <w:t>Scull’s investigation of grave finds of weights of this period (including Barton-on-Humber) showing that they cluster at two points 1.30-1.33g and 1.50-1.58g. The former equate to tremisses.</w:t>
      </w:r>
      <w:bookmarkStart w:id="127" w:name="_Ref443892427"/>
      <w:r w:rsidRPr="00EC0229">
        <w:rPr>
          <w:rStyle w:val="FootnoteReference"/>
          <w:szCs w:val="24"/>
        </w:rPr>
        <w:footnoteReference w:id="294"/>
      </w:r>
      <w:bookmarkEnd w:id="127"/>
      <w:r w:rsidRPr="00EC0229">
        <w:rPr>
          <w:szCs w:val="24"/>
        </w:rPr>
        <w:t xml:space="preserve"> Equating the shilling to the tremisses leaves the sceat as a unit of account. However, this equivalence is not undisputed.</w:t>
      </w:r>
      <w:r w:rsidRPr="00EC0229">
        <w:rPr>
          <w:rStyle w:val="FootnoteReference"/>
          <w:szCs w:val="24"/>
        </w:rPr>
        <w:footnoteReference w:id="295"/>
      </w:r>
    </w:p>
    <w:p w14:paraId="120D1861" w14:textId="77777777" w:rsidR="007775E2" w:rsidRPr="00EC0229" w:rsidRDefault="007775E2" w:rsidP="007775E2">
      <w:pPr>
        <w:pStyle w:val="NoSpacing"/>
        <w:spacing w:line="360" w:lineRule="auto"/>
      </w:pPr>
      <w:bookmarkStart w:id="128" w:name="Mull"/>
      <w:bookmarkEnd w:id="128"/>
    </w:p>
    <w:p w14:paraId="1B6CF265" w14:textId="77777777" w:rsidR="007775E2" w:rsidRPr="00EC0229" w:rsidRDefault="007775E2" w:rsidP="007775E2">
      <w:pPr>
        <w:pStyle w:val="NoSpacing"/>
        <w:spacing w:line="360" w:lineRule="auto"/>
      </w:pPr>
      <w:r w:rsidRPr="00EC0229">
        <w:t xml:space="preserve">Note the </w:t>
      </w:r>
      <w:r w:rsidRPr="00EC0229">
        <w:rPr>
          <w:i/>
        </w:rPr>
        <w:t xml:space="preserve">wergeld </w:t>
      </w:r>
      <w:r w:rsidRPr="00EC0229">
        <w:t>of thirty thousand coins paid by King Wihtred of Kent in 694 to King Ine of Wessex in compensation for the death of Mul, the brother of Ine's predecessor Cædwalla, who had been killed during a Kentish rebellion in 687. It is implausible that, in 694, these were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shillings; perhaps they were silver sceats</w:t>
      </w:r>
      <w:r w:rsidRPr="00EC0229">
        <w:rPr>
          <w:sz w:val="20"/>
        </w:rPr>
        <w:t>.</w:t>
      </w:r>
      <w:r w:rsidRPr="00EC0229">
        <w:rPr>
          <w:rStyle w:val="FootnoteReference"/>
        </w:rPr>
        <w:footnoteReference w:id="296"/>
      </w:r>
      <w:r w:rsidRPr="00EC0229">
        <w:rPr>
          <w:sz w:val="20"/>
        </w:rPr>
        <w:t xml:space="preserve"> </w:t>
      </w:r>
      <w:r w:rsidRPr="00EC0229">
        <w:t>Hamwic</w:t>
      </w:r>
      <w:r w:rsidRPr="00EC0229">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fldChar w:fldCharType="end"/>
      </w:r>
      <w:r w:rsidRPr="00EC0229">
        <w:t xml:space="preserve"> was an active trading centre in Ine’s day controlling the local sceat of Series</w:t>
      </w:r>
      <w:r w:rsidRPr="00EC0229">
        <w:fldChar w:fldCharType="begin"/>
      </w:r>
      <w:r w:rsidRPr="00EC0229">
        <w:instrText xml:space="preserve"> XE "Series" </w:instrText>
      </w:r>
      <w:r w:rsidRPr="00EC0229">
        <w:fldChar w:fldCharType="end"/>
      </w:r>
      <w:r w:rsidRPr="00EC0229">
        <w:t xml:space="preserve"> H, for which there are numerous dies, though it stretches credulity, despite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’s estimate of production</w:t>
      </w:r>
      <w:r w:rsidRPr="00EC0229">
        <w:rPr>
          <w:rStyle w:val="FootnoteReference"/>
        </w:rPr>
        <w:footnoteReference w:id="297"/>
      </w:r>
      <w:r w:rsidRPr="00EC0229">
        <w:t xml:space="preserve"> that such a sum was in coin.</w:t>
      </w:r>
    </w:p>
    <w:p w14:paraId="3D9BC629" w14:textId="77777777" w:rsidR="007775E2" w:rsidRPr="00EC0229" w:rsidRDefault="007775E2" w:rsidP="007775E2">
      <w:pPr>
        <w:pStyle w:val="NoSpacing"/>
        <w:spacing w:line="360" w:lineRule="auto"/>
      </w:pPr>
    </w:p>
    <w:p w14:paraId="1C0DF8F3" w14:textId="77777777" w:rsidR="007775E2" w:rsidRPr="00EC0229" w:rsidRDefault="007775E2" w:rsidP="007775E2">
      <w:pPr>
        <w:pStyle w:val="NoSpacing"/>
        <w:spacing w:line="360" w:lineRule="auto"/>
      </w:pPr>
      <w:r w:rsidRPr="00EC0229">
        <w:lastRenderedPageBreak/>
        <w:t xml:space="preserve">Inhibitions on trade (e.g. Ine </w:t>
      </w:r>
      <w:r w:rsidRPr="00EC0229">
        <w:rPr>
          <w:szCs w:val="24"/>
        </w:rPr>
        <w:t>§</w:t>
      </w:r>
      <w:r w:rsidRPr="00EC0229">
        <w:t>39) may have facilitated the management of estates, resulting, for example, in the veneer of finds in the Central Lowlands</w:t>
      </w:r>
      <w:r w:rsidRPr="00EC0229">
        <w:fldChar w:fldCharType="begin"/>
      </w:r>
      <w:r w:rsidRPr="00EC0229">
        <w:instrText xml:space="preserve"> XE "Central Lowlands" </w:instrText>
      </w:r>
      <w:r w:rsidRPr="00EC0229">
        <w:fldChar w:fldCharType="end"/>
      </w:r>
      <w:r w:rsidRPr="00EC0229">
        <w:t>, implying metro-centricity.</w:t>
      </w:r>
    </w:p>
    <w:p w14:paraId="5F1444E3" w14:textId="77777777" w:rsidR="007775E2" w:rsidRPr="00EC0229" w:rsidRDefault="007775E2" w:rsidP="007775E2">
      <w:pPr>
        <w:pStyle w:val="NoSpacing"/>
        <w:spacing w:line="360" w:lineRule="auto"/>
      </w:pPr>
    </w:p>
    <w:p w14:paraId="27A3A4AA" w14:textId="77777777" w:rsidR="007775E2" w:rsidRPr="00EC0229" w:rsidRDefault="007775E2" w:rsidP="007775E2">
      <w:pPr>
        <w:pStyle w:val="NoSpacing"/>
        <w:spacing w:line="360" w:lineRule="auto"/>
      </w:pPr>
      <w:bookmarkStart w:id="129" w:name="Kentishshilling"/>
      <w:bookmarkEnd w:id="129"/>
      <w:r w:rsidRPr="00EC0229">
        <w:t xml:space="preserve">In the case of Ine </w:t>
      </w:r>
      <w:r w:rsidRPr="00EC0229">
        <w:rPr>
          <w:szCs w:val="24"/>
        </w:rPr>
        <w:t>§</w:t>
      </w:r>
      <w:r w:rsidRPr="00EC0229">
        <w:t xml:space="preserve">19 above, the apparently very substantial </w:t>
      </w:r>
      <w:r w:rsidRPr="00EC0229">
        <w:rPr>
          <w:i/>
        </w:rPr>
        <w:t>wergeld</w:t>
      </w:r>
      <w:r w:rsidRPr="00EC0229">
        <w:t>, 1,200 shillings, being four times the Kentish penalty, demands explanation. Either the Kentish shilling is worth four Wessex shillings (the conventional view), or, with the elapse of time, the penalty has increased as the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content of the circulating medium has declined.</w:t>
      </w:r>
      <w:r w:rsidRPr="00EC0229">
        <w:rPr>
          <w:rStyle w:val="FootnoteReference"/>
        </w:rPr>
        <w:footnoteReference w:id="298"/>
      </w:r>
      <w:r w:rsidRPr="00EC0229">
        <w:t xml:space="preserve"> We know this deterioration occurred, though it was not linear.</w:t>
      </w:r>
    </w:p>
    <w:p w14:paraId="4BF0CC53" w14:textId="77777777" w:rsidR="007775E2" w:rsidRPr="00EC0229" w:rsidRDefault="007775E2" w:rsidP="007775E2">
      <w:pPr>
        <w:pStyle w:val="NoSpacing"/>
        <w:spacing w:line="360" w:lineRule="auto"/>
      </w:pPr>
    </w:p>
    <w:p w14:paraId="6FDB5953" w14:textId="1EF8BFC5" w:rsidR="007775E2" w:rsidRPr="00EC0229" w:rsidRDefault="007775E2" w:rsidP="007775E2">
      <w:pPr>
        <w:pStyle w:val="NoSpacing"/>
        <w:spacing w:line="360" w:lineRule="auto"/>
      </w:pPr>
      <w:bookmarkStart w:id="130" w:name="sceat1"/>
      <w:bookmarkEnd w:id="130"/>
      <w:r w:rsidRPr="00EC0229">
        <w:t>The use of the term sceatta</w:t>
      </w:r>
      <w:r w:rsidRPr="00EC0229">
        <w:fldChar w:fldCharType="begin"/>
      </w:r>
      <w:r w:rsidRPr="00EC0229">
        <w:instrText xml:space="preserve"> XE "sceatta" </w:instrText>
      </w:r>
      <w:r w:rsidRPr="00EC0229">
        <w:fldChar w:fldCharType="end"/>
      </w:r>
      <w:r w:rsidRPr="00EC0229">
        <w:t xml:space="preserve">, </w:t>
      </w:r>
      <w:r w:rsidRPr="00EC0229">
        <w:rPr>
          <w:rFonts w:cs="Times New Roman"/>
        </w:rPr>
        <w:t xml:space="preserve">meaning dues, is </w:t>
      </w:r>
      <w:r w:rsidRPr="00EC0229">
        <w:t xml:space="preserve">incorporated in </w:t>
      </w:r>
      <w:r w:rsidRPr="00EC0229">
        <w:rPr>
          <w:i/>
        </w:rPr>
        <w:t>Ciricsceatta</w:t>
      </w:r>
      <w:r w:rsidRPr="00EC0229">
        <w:t xml:space="preserve">, for example in Ine </w:t>
      </w:r>
      <w:r w:rsidRPr="00EC0229">
        <w:rPr>
          <w:szCs w:val="24"/>
        </w:rPr>
        <w:t>§</w:t>
      </w:r>
      <w:r w:rsidRPr="00EC0229">
        <w:t>4. The etymology of ‘sceat’ and its derivatives is explained in considerable detail by Hines.</w:t>
      </w:r>
      <w:r w:rsidRPr="00EC0229">
        <w:rPr>
          <w:rStyle w:val="FootnoteReference"/>
        </w:rPr>
        <w:footnoteReference w:id="299"/>
      </w:r>
      <w:r w:rsidRPr="00EC0229">
        <w:t xml:space="preserve"> Naismith</w:t>
      </w:r>
      <w:r w:rsidRPr="00EC0229">
        <w:fldChar w:fldCharType="begin"/>
      </w:r>
      <w:r w:rsidRPr="00EC0229">
        <w:instrText xml:space="preserve"> XE "</w:instrText>
      </w:r>
      <w:r w:rsidRPr="00EC0229">
        <w:rPr>
          <w:rFonts w:cs="Times New Roman"/>
          <w:szCs w:val="24"/>
        </w:rPr>
        <w:instrText>Naismith</w:instrText>
      </w:r>
      <w:r w:rsidRPr="00EC0229">
        <w:instrText xml:space="preserve">" </w:instrText>
      </w:r>
      <w:r w:rsidRPr="00EC0229">
        <w:fldChar w:fldCharType="end"/>
      </w:r>
      <w:r w:rsidRPr="00EC0229">
        <w:t xml:space="preserve"> refers to I </w:t>
      </w:r>
      <w:r w:rsidRPr="00EC0229">
        <w:rPr>
          <w:rFonts w:cs="Times New Roman"/>
        </w:rPr>
        <w:t>Æ</w:t>
      </w:r>
      <w:r w:rsidRPr="00EC0229">
        <w:t>thelr</w:t>
      </w:r>
      <w:r w:rsidRPr="00EC0229">
        <w:rPr>
          <w:rFonts w:cs="Times New Roman"/>
        </w:rPr>
        <w:t>æ</w:t>
      </w:r>
      <w:r w:rsidRPr="00EC0229">
        <w:t>d (978–1013 and 1014–1016), c. 3,</w:t>
      </w:r>
      <w:r w:rsidRPr="00EC0229">
        <w:rPr>
          <w:rStyle w:val="FootnoteReference"/>
        </w:rPr>
        <w:footnoteReference w:id="300"/>
      </w:r>
      <w:r w:rsidRPr="00EC0229">
        <w:t xml:space="preserve"> which regulates exchanges by barter</w:t>
      </w:r>
      <w:r w:rsidRPr="00EC0229">
        <w:fldChar w:fldCharType="begin"/>
      </w:r>
      <w:r w:rsidRPr="00EC0229">
        <w:instrText xml:space="preserve"> XE "</w:instrText>
      </w:r>
      <w:r w:rsidRPr="00EC0229">
        <w:rPr>
          <w:rFonts w:cs="Times New Roman"/>
          <w:szCs w:val="24"/>
        </w:rPr>
        <w:instrText>barter</w:instrText>
      </w:r>
      <w:r w:rsidRPr="00EC0229">
        <w:instrText xml:space="preserve">" </w:instrText>
      </w:r>
      <w:r w:rsidRPr="00EC0229">
        <w:fldChar w:fldCharType="end"/>
      </w:r>
      <w:r w:rsidRPr="00EC0229">
        <w:t xml:space="preserve">. This confirmation of the continued use of non-monetary exchange, can certainly be applied retrospectively. There are numerous examples of non-monetary penalties in Ine’s laws: </w:t>
      </w:r>
      <w:r w:rsidRPr="00EC0229">
        <w:rPr>
          <w:szCs w:val="24"/>
        </w:rPr>
        <w:t xml:space="preserve">§14, 19, 37, 49, 59, 60, and particularly 70 which </w:t>
      </w:r>
      <w:r w:rsidRPr="00EC0229">
        <w:t xml:space="preserve">specifies the payment for every ten hides, to be paid as </w:t>
      </w:r>
      <w:bookmarkStart w:id="131" w:name="foodrent"/>
      <w:r w:rsidRPr="00EC0229">
        <w:t>food rent</w:t>
      </w:r>
      <w:bookmarkEnd w:id="131"/>
      <w:r w:rsidRPr="00EC0229">
        <w:t xml:space="preserve">, on the death of one of the lord’s men, </w:t>
      </w:r>
      <w:r w:rsidRPr="00EC0229">
        <w:rPr>
          <w:i/>
        </w:rPr>
        <w:t xml:space="preserve">Table </w:t>
      </w:r>
      <w:r w:rsidR="00637D67" w:rsidRPr="00EC0229">
        <w:rPr>
          <w:i/>
        </w:rPr>
        <w:t>3.01</w:t>
      </w:r>
      <w:r w:rsidRPr="00EC0229">
        <w:rPr>
          <w:szCs w:val="24"/>
        </w:rPr>
        <w:t>.</w:t>
      </w:r>
      <w:r w:rsidRPr="00EC0229">
        <w:t xml:space="preserve"> Not only does this encapsulate the tributary mode of surplus</w:t>
      </w:r>
      <w:r w:rsidRPr="00EC0229">
        <w:fldChar w:fldCharType="begin"/>
      </w:r>
      <w:r w:rsidRPr="00EC0229">
        <w:instrText xml:space="preserve"> XE "surplus" </w:instrText>
      </w:r>
      <w:r w:rsidRPr="00EC0229">
        <w:fldChar w:fldCharType="end"/>
      </w:r>
      <w:r w:rsidRPr="00EC0229">
        <w:t xml:space="preserve"> extraction (</w:t>
      </w:r>
      <w:r w:rsidRPr="00EC0229">
        <w:fldChar w:fldCharType="begin"/>
      </w:r>
      <w:r w:rsidRPr="00EC0229">
        <w:instrText xml:space="preserve"> PAGEREF tributarymode \h </w:instrText>
      </w:r>
      <w:r w:rsidRPr="00EC0229">
        <w:fldChar w:fldCharType="separate"/>
      </w:r>
      <w:r w:rsidR="0012026B">
        <w:rPr>
          <w:noProof/>
        </w:rPr>
        <w:t>32</w:t>
      </w:r>
      <w:r w:rsidRPr="00EC0229">
        <w:fldChar w:fldCharType="end"/>
      </w:r>
      <w:r w:rsidRPr="00EC0229">
        <w:t>) but it provides a window on the rich variety of produce commonly available.</w:t>
      </w:r>
    </w:p>
    <w:p w14:paraId="4CFEC8CD" w14:textId="77777777" w:rsidR="007775E2" w:rsidRPr="00EC0229" w:rsidRDefault="007775E2" w:rsidP="007775E2">
      <w:pPr>
        <w:autoSpaceDE w:val="0"/>
        <w:autoSpaceDN w:val="0"/>
        <w:adjustRightInd w:val="0"/>
        <w:spacing w:after="0" w:line="360" w:lineRule="auto"/>
        <w:rPr>
          <w:rStyle w:val="Hyperlink"/>
          <w:rFonts w:cs="Times New Roman"/>
          <w:color w:val="auto"/>
          <w:szCs w:val="24"/>
          <w:u w:val="none"/>
        </w:rPr>
      </w:pPr>
    </w:p>
    <w:p w14:paraId="656A3FDB" w14:textId="6A35FAEE" w:rsidR="007775E2" w:rsidRPr="00EC0229" w:rsidRDefault="007775E2" w:rsidP="007775E2">
      <w:pPr>
        <w:autoSpaceDE w:val="0"/>
        <w:autoSpaceDN w:val="0"/>
        <w:adjustRightInd w:val="0"/>
        <w:spacing w:after="0" w:line="360" w:lineRule="auto"/>
        <w:rPr>
          <w:rStyle w:val="Hyperlink"/>
          <w:rFonts w:cs="Times New Roman"/>
          <w:color w:val="auto"/>
          <w:szCs w:val="24"/>
          <w:u w:val="none"/>
        </w:rPr>
      </w:pPr>
      <w:r w:rsidRPr="00EC0229">
        <w:rPr>
          <w:rStyle w:val="Hyperlink"/>
          <w:rFonts w:cs="Times New Roman"/>
          <w:color w:val="auto"/>
          <w:szCs w:val="24"/>
          <w:u w:val="none"/>
        </w:rPr>
        <w:t>Numismatically, ignoring nomenclature, we are presented with three problems. First, the gold</w:t>
      </w:r>
      <w:r w:rsidRPr="00EC0229">
        <w:rPr>
          <w:rStyle w:val="Hyperlink"/>
          <w:rFonts w:cs="Times New Roman"/>
          <w:color w:val="auto"/>
          <w:szCs w:val="24"/>
          <w:u w:val="none"/>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Style w:val="Hyperlink"/>
          <w:rFonts w:cs="Times New Roman"/>
          <w:color w:val="auto"/>
          <w:szCs w:val="24"/>
          <w:u w:val="none"/>
        </w:rPr>
        <w:fldChar w:fldCharType="end"/>
      </w:r>
      <w:r w:rsidRPr="00EC0229">
        <w:rPr>
          <w:rStyle w:val="Hyperlink"/>
          <w:rFonts w:cs="Times New Roman"/>
          <w:color w:val="auto"/>
          <w:szCs w:val="24"/>
          <w:u w:val="none"/>
        </w:rPr>
        <w:t xml:space="preserve"> and silver coinages did not overlap, there was a gradual transition from the former to the latter, such that penalties in terms of two denominations are paradoxical. Second, the circulation of gold, probably expanded during the seventh century - as the gold content declined the penetration beyond the wealthy élite</w:t>
      </w:r>
      <w:r w:rsidRPr="00EC0229">
        <w:rPr>
          <w:rStyle w:val="Hyperlink"/>
          <w:rFonts w:cs="Times New Roman"/>
          <w:color w:val="auto"/>
          <w:szCs w:val="24"/>
          <w:u w:val="none"/>
        </w:rPr>
        <w:fldChar w:fldCharType="begin"/>
      </w:r>
      <w:r w:rsidRPr="00EC0229">
        <w:instrText xml:space="preserve"> XE "</w:instrText>
      </w:r>
      <w:r w:rsidRPr="00EC0229">
        <w:rPr>
          <w:szCs w:val="24"/>
        </w:rPr>
        <w:instrText>élite</w:instrText>
      </w:r>
      <w:r w:rsidRPr="00EC0229">
        <w:instrText xml:space="preserve">" </w:instrText>
      </w:r>
      <w:r w:rsidRPr="00EC0229">
        <w:rPr>
          <w:rStyle w:val="Hyperlink"/>
          <w:rFonts w:cs="Times New Roman"/>
          <w:color w:val="auto"/>
          <w:szCs w:val="24"/>
          <w:u w:val="none"/>
        </w:rPr>
        <w:fldChar w:fldCharType="end"/>
      </w:r>
      <w:r w:rsidRPr="00EC0229">
        <w:rPr>
          <w:rStyle w:val="Hyperlink"/>
          <w:rFonts w:cs="Times New Roman"/>
          <w:color w:val="auto"/>
          <w:szCs w:val="24"/>
          <w:u w:val="none"/>
        </w:rPr>
        <w:t xml:space="preserve"> may have grown – but these penalties extend well beyond the social élite. Third, the volume of recovered gold, especially relating to </w:t>
      </w:r>
      <w:r w:rsidRPr="00EC0229">
        <w:rPr>
          <w:rFonts w:cs="Times New Roman"/>
          <w:szCs w:val="24"/>
        </w:rPr>
        <w:t>Æ</w:t>
      </w:r>
      <w:r w:rsidRPr="00EC0229">
        <w:rPr>
          <w:rStyle w:val="Hyperlink"/>
          <w:rFonts w:cs="Times New Roman"/>
          <w:color w:val="auto"/>
          <w:szCs w:val="24"/>
          <w:u w:val="none"/>
        </w:rPr>
        <w:t>thelbert’s reign is relatively minute – there is less than a handful of ‘man-worths’</w:t>
      </w:r>
      <w:r w:rsidRPr="00EC0229">
        <w:rPr>
          <w:rStyle w:val="FootnoteReference"/>
          <w:rFonts w:cs="Times New Roman"/>
          <w:szCs w:val="24"/>
        </w:rPr>
        <w:footnoteReference w:id="301"/>
      </w:r>
      <w:r w:rsidRPr="00EC0229">
        <w:rPr>
          <w:rStyle w:val="Hyperlink"/>
          <w:rFonts w:cs="Times New Roman"/>
          <w:color w:val="auto"/>
          <w:szCs w:val="24"/>
          <w:u w:val="none"/>
        </w:rPr>
        <w:t xml:space="preserve"> for the entire seventh century with only the Crondall</w:t>
      </w:r>
      <w:r w:rsidR="00213315">
        <w:rPr>
          <w:rStyle w:val="Hyperlink"/>
          <w:rFonts w:cs="Times New Roman"/>
          <w:color w:val="auto"/>
          <w:szCs w:val="24"/>
          <w:u w:val="none"/>
        </w:rPr>
        <w:t xml:space="preserve"> (Hampshire)</w:t>
      </w:r>
      <w:r w:rsidRPr="00EC0229">
        <w:rPr>
          <w:rStyle w:val="Hyperlink"/>
          <w:rFonts w:cs="Times New Roman"/>
          <w:color w:val="auto"/>
          <w:szCs w:val="24"/>
          <w:u w:val="none"/>
        </w:rPr>
        <w:t xml:space="preserve"> hoard approximating to this size.</w:t>
      </w:r>
      <w:r w:rsidRPr="00EC0229">
        <w:rPr>
          <w:rStyle w:val="FootnoteReference"/>
          <w:rFonts w:cs="Times New Roman"/>
          <w:szCs w:val="24"/>
        </w:rPr>
        <w:footnoteReference w:id="302"/>
      </w:r>
      <w:r w:rsidRPr="00EC0229">
        <w:rPr>
          <w:rStyle w:val="Hyperlink"/>
          <w:rFonts w:cs="Times New Roman"/>
          <w:color w:val="auto"/>
          <w:szCs w:val="24"/>
          <w:u w:val="none"/>
        </w:rPr>
        <w:t xml:space="preserve"> We must assume that </w:t>
      </w:r>
      <w:r w:rsidR="00FD05A0">
        <w:rPr>
          <w:rStyle w:val="Hyperlink"/>
          <w:rFonts w:cs="Times New Roman"/>
          <w:color w:val="auto"/>
          <w:szCs w:val="24"/>
          <w:u w:val="none"/>
        </w:rPr>
        <w:lastRenderedPageBreak/>
        <w:t>most</w:t>
      </w:r>
      <w:r w:rsidRPr="00EC0229">
        <w:rPr>
          <w:rStyle w:val="Hyperlink"/>
          <w:rFonts w:cs="Times New Roman"/>
          <w:color w:val="auto"/>
          <w:szCs w:val="24"/>
          <w:u w:val="none"/>
        </w:rPr>
        <w:t xml:space="preserve"> gold was recycled. However, the recovered volume of sceats does bear a better proportionality to the scale of fines enacted. Perhaps these penalties should not be taken too literally but as equivalences.</w:t>
      </w:r>
      <w:r w:rsidRPr="00EC0229">
        <w:rPr>
          <w:rStyle w:val="FootnoteReference"/>
          <w:rFonts w:cs="Times New Roman"/>
          <w:szCs w:val="24"/>
        </w:rPr>
        <w:footnoteReference w:id="303"/>
      </w:r>
    </w:p>
    <w:p w14:paraId="3820972A" w14:textId="77777777" w:rsidR="007775E2" w:rsidRPr="00EC0229" w:rsidRDefault="007775E2" w:rsidP="007775E2">
      <w:pPr>
        <w:pStyle w:val="NoSpacing"/>
        <w:rPr>
          <w:rStyle w:val="Hyperlink"/>
          <w:rFonts w:cs="Times New Roman"/>
          <w:color w:val="auto"/>
          <w:szCs w:val="24"/>
          <w:u w:val="none"/>
        </w:rPr>
      </w:pPr>
    </w:p>
    <w:p w14:paraId="55540198" w14:textId="1316D0D2" w:rsidR="007775E2" w:rsidRPr="00EC0229" w:rsidRDefault="007775E2" w:rsidP="007775E2">
      <w:pPr>
        <w:autoSpaceDE w:val="0"/>
        <w:autoSpaceDN w:val="0"/>
        <w:adjustRightInd w:val="0"/>
        <w:spacing w:after="0" w:line="360" w:lineRule="auto"/>
        <w:rPr>
          <w:rStyle w:val="Hyperlink"/>
          <w:rFonts w:cs="Times New Roman"/>
          <w:color w:val="auto"/>
          <w:szCs w:val="24"/>
          <w:u w:val="none"/>
        </w:rPr>
      </w:pPr>
      <w:r w:rsidRPr="00EC0229">
        <w:rPr>
          <w:rStyle w:val="Hyperlink"/>
          <w:rFonts w:cs="Times New Roman"/>
          <w:color w:val="auto"/>
          <w:szCs w:val="24"/>
          <w:u w:val="none"/>
        </w:rPr>
        <w:t>Having considered the documentary evidence of early</w:t>
      </w:r>
      <w:r w:rsidR="00FA1A83" w:rsidRPr="00EC0229">
        <w:rPr>
          <w:rStyle w:val="Hyperlink"/>
          <w:rFonts w:cs="Times New Roman"/>
          <w:color w:val="auto"/>
          <w:szCs w:val="24"/>
          <w:u w:val="none"/>
        </w:rPr>
        <w:t>,</w:t>
      </w:r>
      <w:r w:rsidRPr="00EC0229">
        <w:rPr>
          <w:rStyle w:val="Hyperlink"/>
          <w:rFonts w:cs="Times New Roman"/>
          <w:color w:val="auto"/>
          <w:szCs w:val="24"/>
          <w:u w:val="none"/>
        </w:rPr>
        <w:t xml:space="preserve"> </w:t>
      </w:r>
      <w:r w:rsidR="00FA1A83" w:rsidRPr="00EC0229">
        <w:rPr>
          <w:rStyle w:val="Hyperlink"/>
          <w:rFonts w:cs="Times New Roman"/>
          <w:color w:val="auto"/>
          <w:szCs w:val="24"/>
          <w:u w:val="none"/>
        </w:rPr>
        <w:t xml:space="preserve">southern, </w:t>
      </w:r>
      <w:r w:rsidRPr="00EC0229">
        <w:rPr>
          <w:rStyle w:val="Hyperlink"/>
          <w:rFonts w:cs="Times New Roman"/>
          <w:color w:val="auto"/>
          <w:szCs w:val="24"/>
          <w:u w:val="none"/>
        </w:rPr>
        <w:t xml:space="preserve">law, the production and use of </w:t>
      </w:r>
      <w:r w:rsidR="00572E51" w:rsidRPr="00EC0229">
        <w:rPr>
          <w:rStyle w:val="Hyperlink"/>
          <w:rFonts w:cs="Times New Roman"/>
          <w:color w:val="auto"/>
          <w:szCs w:val="24"/>
          <w:u w:val="none"/>
        </w:rPr>
        <w:t>Southumbria</w:t>
      </w:r>
      <w:r w:rsidRPr="00EC0229">
        <w:rPr>
          <w:rStyle w:val="Hyperlink"/>
          <w:rFonts w:cs="Times New Roman"/>
          <w:color w:val="auto"/>
          <w:szCs w:val="24"/>
          <w:u w:val="none"/>
        </w:rPr>
        <w:t>n coinage can now be set in context.</w:t>
      </w:r>
    </w:p>
    <w:p w14:paraId="12CE0E2C" w14:textId="77777777" w:rsidR="007775E2" w:rsidRPr="00EC0229" w:rsidRDefault="007775E2" w:rsidP="007775E2">
      <w:pPr>
        <w:autoSpaceDE w:val="0"/>
        <w:autoSpaceDN w:val="0"/>
        <w:adjustRightInd w:val="0"/>
        <w:spacing w:after="0" w:line="360" w:lineRule="auto"/>
        <w:rPr>
          <w:rStyle w:val="Hyperlink"/>
          <w:rFonts w:cs="Times New Roman"/>
          <w:color w:val="auto"/>
          <w:szCs w:val="24"/>
          <w:u w:val="none"/>
        </w:rPr>
      </w:pPr>
    </w:p>
    <w:p w14:paraId="2553E7FA" w14:textId="77777777" w:rsidR="00D311C4" w:rsidRDefault="00D311C4">
      <w:pPr>
        <w:spacing w:line="259" w:lineRule="auto"/>
        <w:jc w:val="left"/>
        <w:rPr>
          <w:b/>
          <w:sz w:val="28"/>
          <w:szCs w:val="26"/>
        </w:rPr>
      </w:pPr>
      <w:r>
        <w:br w:type="page"/>
      </w:r>
    </w:p>
    <w:p w14:paraId="06025B52" w14:textId="7573F2C2" w:rsidR="007775E2" w:rsidRPr="00EC0229" w:rsidRDefault="00624DF5" w:rsidP="007775E2">
      <w:pPr>
        <w:pStyle w:val="Heading2"/>
        <w:spacing w:line="360" w:lineRule="auto"/>
        <w:rPr>
          <w:b w:val="0"/>
          <w:sz w:val="24"/>
          <w:szCs w:val="24"/>
        </w:rPr>
      </w:pPr>
      <w:bookmarkStart w:id="132" w:name="_Toc468266753"/>
      <w:r>
        <w:lastRenderedPageBreak/>
        <w:t>3.2</w:t>
      </w:r>
      <w:r>
        <w:tab/>
      </w:r>
      <w:r w:rsidR="007775E2" w:rsidRPr="00EC0229">
        <w:t>Southumbrian Monetary Evolution</w:t>
      </w:r>
      <w:r w:rsidR="007775E2" w:rsidRPr="00EC0229">
        <w:fldChar w:fldCharType="begin"/>
      </w:r>
      <w:r w:rsidR="007775E2" w:rsidRPr="00EC0229">
        <w:instrText xml:space="preserve"> XE "</w:instrText>
      </w:r>
      <w:r w:rsidR="007775E2" w:rsidRPr="00EC0229">
        <w:rPr>
          <w:rStyle w:val="Hyperlink"/>
          <w:noProof/>
          <w:u w:val="none"/>
        </w:rPr>
        <w:instrText>Evolution</w:instrText>
      </w:r>
      <w:r w:rsidR="007775E2" w:rsidRPr="00EC0229">
        <w:instrText xml:space="preserve">" </w:instrText>
      </w:r>
      <w:r w:rsidR="007775E2" w:rsidRPr="00EC0229">
        <w:fldChar w:fldCharType="end"/>
      </w:r>
      <w:r w:rsidR="007775E2" w:rsidRPr="00EC0229">
        <w:t>, Periods S7-9</w:t>
      </w:r>
      <w:r w:rsidR="007775E2" w:rsidRPr="00EC0229">
        <w:rPr>
          <w:b w:val="0"/>
          <w:sz w:val="24"/>
          <w:szCs w:val="24"/>
        </w:rPr>
        <w:t xml:space="preserve"> </w:t>
      </w:r>
      <w:r w:rsidR="007775E2" w:rsidRPr="00EC0229">
        <w:rPr>
          <w:rStyle w:val="FootnoteReference"/>
          <w:b w:val="0"/>
          <w:sz w:val="24"/>
          <w:szCs w:val="24"/>
        </w:rPr>
        <w:footnoteReference w:id="304"/>
      </w:r>
      <w:bookmarkEnd w:id="132"/>
    </w:p>
    <w:p w14:paraId="23760825" w14:textId="6E672F2B" w:rsidR="007775E2" w:rsidRPr="00EC0229" w:rsidRDefault="007775E2" w:rsidP="007775E2">
      <w:pPr>
        <w:spacing w:line="360" w:lineRule="auto"/>
      </w:pPr>
      <w:r w:rsidRPr="00EC0229">
        <w:t xml:space="preserve">In the period of study, when polity boundaries were fluid, the evolution of northern and southern English coinage were asynchronous. The York gold shilling had greater longevity and better organisation than its southern counterparts, </w:t>
      </w:r>
      <w:r w:rsidR="000E0C70" w:rsidRPr="00EC0229">
        <w:t xml:space="preserve">with the possible exception of </w:t>
      </w:r>
      <w:r w:rsidRPr="00EC0229">
        <w:t>Eadbald’s coinage, but the southern primary sceatta phase is earlier and longer, if less literate. The secondary sceatta phases overlap for less than two decades, parting company with the introduction of the southern broad penny. The uniquely Northumbrian styca compounds the separation. However, a comparison of north and south, at these points of departure, is relevant.</w:t>
      </w:r>
    </w:p>
    <w:p w14:paraId="2DD602E4" w14:textId="77777777" w:rsidR="000E0C70" w:rsidRPr="00EC0229" w:rsidRDefault="000E0C70" w:rsidP="000E0C70">
      <w:pPr>
        <w:pStyle w:val="NoSpacing"/>
      </w:pPr>
    </w:p>
    <w:p w14:paraId="0223457E" w14:textId="195FEF8F" w:rsidR="007775E2" w:rsidRPr="008E6548" w:rsidRDefault="00624DF5" w:rsidP="007775E2">
      <w:pPr>
        <w:pStyle w:val="Heading4"/>
        <w:spacing w:line="360" w:lineRule="auto"/>
        <w:rPr>
          <w:b/>
        </w:rPr>
      </w:pPr>
      <w:bookmarkStart w:id="133" w:name="_Toc468266754"/>
      <w:r>
        <w:rPr>
          <w:b/>
        </w:rPr>
        <w:t>3.2.1</w:t>
      </w:r>
      <w:r>
        <w:rPr>
          <w:b/>
        </w:rPr>
        <w:tab/>
      </w:r>
      <w:r w:rsidR="007775E2" w:rsidRPr="008E6548">
        <w:rPr>
          <w:b/>
        </w:rPr>
        <w:t>Historical Background</w:t>
      </w:r>
      <w:bookmarkEnd w:id="133"/>
    </w:p>
    <w:p w14:paraId="1E2DA248" w14:textId="0B78F23E" w:rsidR="007775E2" w:rsidRPr="00EC0229" w:rsidRDefault="007775E2" w:rsidP="007775E2">
      <w:pPr>
        <w:pStyle w:val="NoSpacing"/>
        <w:spacing w:line="360" w:lineRule="auto"/>
      </w:pPr>
      <w:r w:rsidRPr="00EC0229">
        <w:t xml:space="preserve">The historical background of </w:t>
      </w:r>
      <w:r w:rsidR="00572E51" w:rsidRPr="00EC0229">
        <w:t>Southumbria</w:t>
      </w:r>
      <w:r w:rsidRPr="00EC0229">
        <w:t xml:space="preserve"> has been thoroughly discussed in the numismatic literature, including Blackburn (1986). North (1994). Blackburn &amp; Dumville (1998). </w:t>
      </w:r>
      <w:r w:rsidRPr="00EC0229">
        <w:rPr>
          <w:i/>
        </w:rPr>
        <w:t>C&amp;H</w:t>
      </w:r>
      <w:r w:rsidRPr="00EC0229">
        <w:t xml:space="preserve"> (2006). Naismith (2010, 2011 and 2012). </w:t>
      </w:r>
      <w:r w:rsidRPr="00EC0229">
        <w:rPr>
          <w:i/>
        </w:rPr>
        <w:t>EMMH</w:t>
      </w:r>
      <w:r w:rsidRPr="00EC0229">
        <w:t xml:space="preserve"> (2014). </w:t>
      </w:r>
      <w:r w:rsidRPr="00EC0229">
        <w:rPr>
          <w:i/>
        </w:rPr>
        <w:t>MEC</w:t>
      </w:r>
      <w:r w:rsidRPr="00EC0229">
        <w:t xml:space="preserve"> (Naismith revision, forthcoming), and so will not be repeated here.</w:t>
      </w:r>
    </w:p>
    <w:p w14:paraId="57B75DC7" w14:textId="77777777" w:rsidR="007775E2" w:rsidRPr="00EC0229" w:rsidRDefault="007775E2" w:rsidP="007775E2">
      <w:pPr>
        <w:pStyle w:val="NoSpacing"/>
        <w:spacing w:line="360" w:lineRule="auto"/>
      </w:pPr>
    </w:p>
    <w:p w14:paraId="30957FEC" w14:textId="1A5455E9" w:rsidR="007775E2" w:rsidRPr="00EC0229" w:rsidRDefault="00624DF5" w:rsidP="007775E2">
      <w:pPr>
        <w:pStyle w:val="Heading4"/>
        <w:spacing w:line="360" w:lineRule="auto"/>
      </w:pPr>
      <w:bookmarkStart w:id="134" w:name="_Toc468266755"/>
      <w:r>
        <w:rPr>
          <w:b/>
        </w:rPr>
        <w:t>3.2.2</w:t>
      </w:r>
      <w:r>
        <w:rPr>
          <w:b/>
        </w:rPr>
        <w:tab/>
      </w:r>
      <w:r w:rsidR="007775E2" w:rsidRPr="008E6548">
        <w:rPr>
          <w:b/>
        </w:rPr>
        <w:t>Production</w:t>
      </w:r>
      <w:bookmarkEnd w:id="134"/>
    </w:p>
    <w:p w14:paraId="72595866" w14:textId="686C5223" w:rsidR="007775E2" w:rsidRPr="00EC0229" w:rsidRDefault="007775E2" w:rsidP="007775E2">
      <w:pPr>
        <w:pStyle w:val="NoSpacing"/>
        <w:spacing w:line="360" w:lineRule="auto"/>
      </w:pPr>
      <w:r w:rsidRPr="00EC0229">
        <w:t>The process of the early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re-introduction of coinage in the seventh century, initially emulating Merovingian</w:t>
      </w:r>
      <w:r w:rsidRPr="00EC0229">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fldChar w:fldCharType="end"/>
      </w:r>
      <w:r w:rsidRPr="00EC0229">
        <w:t xml:space="preserve"> types, shows control in the north is stronger in the gold (</w:t>
      </w:r>
      <w:r w:rsidRPr="00EC0229">
        <w:fldChar w:fldCharType="begin"/>
      </w:r>
      <w:r w:rsidRPr="00EC0229">
        <w:instrText xml:space="preserve"> PAGEREF Period3b \h </w:instrText>
      </w:r>
      <w:r w:rsidRPr="00EC0229">
        <w:fldChar w:fldCharType="separate"/>
      </w:r>
      <w:r w:rsidR="0012026B">
        <w:rPr>
          <w:noProof/>
        </w:rPr>
        <w:t>95</w:t>
      </w:r>
      <w:r w:rsidRPr="00EC0229">
        <w:fldChar w:fldCharType="end"/>
      </w:r>
      <w:r w:rsidRPr="00EC0229">
        <w:t xml:space="preserve">, </w:t>
      </w:r>
      <w:r w:rsidRPr="00EC0229">
        <w:fldChar w:fldCharType="begin"/>
      </w:r>
      <w:r w:rsidRPr="00EC0229">
        <w:instrText xml:space="preserve"> PAGEREF goldshillingofYork \h </w:instrText>
      </w:r>
      <w:r w:rsidRPr="00EC0229">
        <w:fldChar w:fldCharType="separate"/>
      </w:r>
      <w:r w:rsidR="0012026B">
        <w:rPr>
          <w:noProof/>
        </w:rPr>
        <w:t>96</w:t>
      </w:r>
      <w:r w:rsidRPr="00EC0229">
        <w:fldChar w:fldCharType="end"/>
      </w:r>
      <w:r w:rsidRPr="00EC0229">
        <w:t>) and primary sceatta</w:t>
      </w:r>
      <w:r w:rsidRPr="00EC0229">
        <w:fldChar w:fldCharType="begin"/>
      </w:r>
      <w:r w:rsidRPr="00EC0229">
        <w:instrText xml:space="preserve"> XE "sceatta" </w:instrText>
      </w:r>
      <w:r w:rsidRPr="00EC0229">
        <w:fldChar w:fldCharType="end"/>
      </w:r>
      <w:r w:rsidRPr="00EC0229">
        <w:t xml:space="preserve"> (</w:t>
      </w:r>
      <w:r w:rsidRPr="00EC0229">
        <w:fldChar w:fldCharType="begin"/>
      </w:r>
      <w:r w:rsidRPr="00EC0229">
        <w:instrText xml:space="preserve"> REF Period4a \h  \* MERGEFORMAT </w:instrText>
      </w:r>
      <w:r w:rsidRPr="00EC0229">
        <w:fldChar w:fldCharType="end"/>
      </w:r>
      <w:r w:rsidRPr="00EC0229">
        <w:fldChar w:fldCharType="begin"/>
      </w:r>
      <w:r w:rsidRPr="00EC0229">
        <w:instrText xml:space="preserve"> REF Period4a \h  \* MERGEFORMAT </w:instrText>
      </w:r>
      <w:r w:rsidRPr="00EC0229">
        <w:fldChar w:fldCharType="end"/>
      </w:r>
      <w:r w:rsidRPr="00EC0229">
        <w:fldChar w:fldCharType="begin"/>
      </w:r>
      <w:r w:rsidRPr="00EC0229">
        <w:instrText xml:space="preserve"> PAGEREF Period4a \h </w:instrText>
      </w:r>
      <w:r w:rsidRPr="00EC0229">
        <w:fldChar w:fldCharType="separate"/>
      </w:r>
      <w:r w:rsidR="0012026B">
        <w:rPr>
          <w:noProof/>
        </w:rPr>
        <w:t>116</w:t>
      </w:r>
      <w:r w:rsidRPr="00EC0229">
        <w:fldChar w:fldCharType="end"/>
      </w:r>
      <w:r w:rsidRPr="00EC0229">
        <w:t xml:space="preserve">) coinages. The main southern </w:t>
      </w:r>
      <w:r w:rsidRPr="00EC0229">
        <w:rPr>
          <w:i/>
        </w:rPr>
        <w:t>wics</w:t>
      </w:r>
      <w:r w:rsidRPr="00EC0229">
        <w:t xml:space="preserve"> account for the more substantial trading varieties – for example, Series</w:t>
      </w:r>
      <w:r w:rsidRPr="00EC0229">
        <w:fldChar w:fldCharType="begin"/>
      </w:r>
      <w:r w:rsidRPr="00EC0229">
        <w:instrText xml:space="preserve"> XE "Series" </w:instrText>
      </w:r>
      <w:r w:rsidRPr="00EC0229">
        <w:fldChar w:fldCharType="end"/>
      </w:r>
      <w:r w:rsidRPr="00EC0229">
        <w:t xml:space="preserve"> R, Ipswich, H, Hamwic</w:t>
      </w:r>
      <w:r w:rsidRPr="00EC0229">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fldChar w:fldCharType="end"/>
      </w:r>
      <w:r w:rsidRPr="00EC0229">
        <w:t xml:space="preserve"> – but other than identifying the ‘official issues’, which were themselves heavily imitated, the organisation of the huge variety of smaller, often eclectic, emissions remains uncertain. What is clear, is that during the last ten years of the </w:t>
      </w:r>
      <w:r w:rsidR="00572E51" w:rsidRPr="00EC0229">
        <w:t>Southumbria</w:t>
      </w:r>
      <w:r w:rsidRPr="00EC0229">
        <w:t>n sceats, in the 740s, there was a significant debasement.</w:t>
      </w:r>
      <w:bookmarkStart w:id="135" w:name="_Ref433613998"/>
      <w:r w:rsidRPr="00EC0229">
        <w:rPr>
          <w:rStyle w:val="FootnoteReference"/>
        </w:rPr>
        <w:footnoteReference w:id="305"/>
      </w:r>
      <w:bookmarkEnd w:id="135"/>
      <w:r w:rsidRPr="00EC0229">
        <w:t xml:space="preserve"> Economic activity could have gradually declined </w:t>
      </w:r>
      <w:r w:rsidR="00FD05A0">
        <w:t>due to</w:t>
      </w:r>
      <w:r w:rsidRPr="00EC0229">
        <w:t xml:space="preserve"> Merovingian</w:t>
      </w:r>
      <w:r w:rsidRPr="00EC0229">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fldChar w:fldCharType="end"/>
      </w:r>
      <w:r w:rsidRPr="00EC0229">
        <w:t xml:space="preserve"> control of the Frisian </w:t>
      </w:r>
      <w:r w:rsidRPr="00EC0229">
        <w:rPr>
          <w:i/>
        </w:rPr>
        <w:t>emporia</w:t>
      </w:r>
      <w:r w:rsidRPr="00EC0229">
        <w:t>.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 reminds us that ‘the purchasing power of silver in eighth-century England was more like that of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today…Probably, the monetary sector of the economy</w:t>
      </w:r>
      <w:r w:rsidRPr="00EC0229">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fldChar w:fldCharType="end"/>
      </w:r>
      <w:r w:rsidRPr="00EC0229">
        <w:t xml:space="preserve"> did not reach so far down into low-value transactions.’ </w:t>
      </w:r>
      <w:r w:rsidRPr="00EC0229">
        <w:rPr>
          <w:rStyle w:val="FootnoteReference"/>
        </w:rPr>
        <w:footnoteReference w:id="306"/>
      </w:r>
      <w:r w:rsidRPr="00EC0229">
        <w:t xml:space="preserve"> </w:t>
      </w:r>
    </w:p>
    <w:p w14:paraId="68A12ED3" w14:textId="77777777" w:rsidR="007775E2" w:rsidRPr="00EC0229" w:rsidRDefault="007775E2" w:rsidP="007775E2">
      <w:pPr>
        <w:pStyle w:val="NoSpacing"/>
        <w:spacing w:line="360" w:lineRule="auto"/>
      </w:pPr>
    </w:p>
    <w:p w14:paraId="0A8E328B" w14:textId="44D54802" w:rsidR="007775E2" w:rsidRPr="00EC0229" w:rsidRDefault="007775E2" w:rsidP="007775E2">
      <w:pPr>
        <w:pStyle w:val="NoSpacing"/>
        <w:spacing w:line="360" w:lineRule="auto"/>
      </w:pPr>
      <w:r w:rsidRPr="00EC0229">
        <w:t>Naismith</w:t>
      </w:r>
      <w:r w:rsidRPr="00EC0229">
        <w:fldChar w:fldCharType="begin"/>
      </w:r>
      <w:r w:rsidRPr="00EC0229">
        <w:instrText xml:space="preserve"> XE "</w:instrText>
      </w:r>
      <w:r w:rsidRPr="00EC0229">
        <w:rPr>
          <w:rFonts w:cs="Times New Roman"/>
          <w:szCs w:val="24"/>
        </w:rPr>
        <w:instrText>Naismith</w:instrText>
      </w:r>
      <w:r w:rsidRPr="00EC0229">
        <w:instrText xml:space="preserve">" </w:instrText>
      </w:r>
      <w:r w:rsidRPr="00EC0229">
        <w:fldChar w:fldCharType="end"/>
      </w:r>
      <w:r w:rsidRPr="00EC0229">
        <w:t>’s perceptive analysis of the coinage of the southern English kingdoms covering the period, 757-865,</w:t>
      </w:r>
      <w:r w:rsidRPr="00EC0229">
        <w:rPr>
          <w:rStyle w:val="FootnoteReference"/>
        </w:rPr>
        <w:t xml:space="preserve"> </w:t>
      </w:r>
      <w:r w:rsidRPr="00EC0229">
        <w:t>when the northern and southern coinages diverged, is informative.</w:t>
      </w:r>
      <w:r w:rsidRPr="00EC0229">
        <w:rPr>
          <w:rStyle w:val="FootnoteReference"/>
        </w:rPr>
        <w:t xml:space="preserve"> </w:t>
      </w:r>
      <w:bookmarkStart w:id="136" w:name="_Ref467662247"/>
      <w:r w:rsidRPr="00EC0229">
        <w:rPr>
          <w:rStyle w:val="FootnoteReference"/>
        </w:rPr>
        <w:footnoteReference w:id="307"/>
      </w:r>
      <w:bookmarkEnd w:id="136"/>
      <w:r w:rsidRPr="00EC0229">
        <w:t xml:space="preserve"> Its </w:t>
      </w:r>
      <w:r w:rsidRPr="00EC0229">
        <w:lastRenderedPageBreak/>
        <w:t>relevance here is constrained not so much because</w:t>
      </w:r>
      <w:r w:rsidRPr="00EC0229">
        <w:rPr>
          <w:rFonts w:cs="Times New Roman"/>
          <w:szCs w:val="24"/>
        </w:rPr>
        <w:t xml:space="preserve"> Northumbrian designs converged into a single type at least a century before </w:t>
      </w:r>
      <w:r w:rsidR="00572E51" w:rsidRPr="00EC0229">
        <w:rPr>
          <w:rFonts w:cs="Times New Roman"/>
          <w:szCs w:val="24"/>
        </w:rPr>
        <w:t>Southumbria</w:t>
      </w:r>
      <w:r w:rsidRPr="00EC0229">
        <w:rPr>
          <w:rFonts w:cs="Times New Roman"/>
          <w:szCs w:val="24"/>
        </w:rPr>
        <w:t>n uniformity</w:t>
      </w:r>
      <w:r w:rsidRPr="00EC0229">
        <w:rPr>
          <w:rStyle w:val="FootnoteReference"/>
          <w:rFonts w:cs="Times New Roman"/>
          <w:szCs w:val="24"/>
        </w:rPr>
        <w:footnoteReference w:id="308"/>
      </w:r>
      <w:r w:rsidRPr="00EC0229">
        <w:rPr>
          <w:rFonts w:cs="Times New Roman"/>
          <w:szCs w:val="24"/>
        </w:rPr>
        <w:t xml:space="preserve"> nor because the south was more fissiparous, but more because it was the unique, high-volume, low-denomination, styca that catalysed northern </w:t>
      </w:r>
      <w:r w:rsidR="003F2041" w:rsidRPr="00EC0229">
        <w:rPr>
          <w:rFonts w:cs="Times New Roman"/>
          <w:szCs w:val="24"/>
        </w:rPr>
        <w:t>monetiz</w:t>
      </w:r>
      <w:r w:rsidRPr="00EC0229">
        <w:rPr>
          <w:rFonts w:cs="Times New Roman"/>
          <w:szCs w:val="24"/>
        </w:rPr>
        <w:t>ation (</w:t>
      </w:r>
      <w:r w:rsidRPr="00EC0229">
        <w:rPr>
          <w:rFonts w:cs="Times New Roman"/>
          <w:szCs w:val="24"/>
        </w:rPr>
        <w:fldChar w:fldCharType="begin"/>
      </w:r>
      <w:r w:rsidRPr="00EC0229">
        <w:rPr>
          <w:rFonts w:cs="Times New Roman"/>
          <w:szCs w:val="24"/>
        </w:rPr>
        <w:instrText xml:space="preserve"> PAGEREF PeriodsN910 \h </w:instrText>
      </w:r>
      <w:r w:rsidRPr="00EC0229">
        <w:rPr>
          <w:rFonts w:cs="Times New Roman"/>
          <w:szCs w:val="24"/>
        </w:rPr>
      </w:r>
      <w:r w:rsidRPr="00EC0229">
        <w:rPr>
          <w:rFonts w:cs="Times New Roman"/>
          <w:szCs w:val="24"/>
        </w:rPr>
        <w:fldChar w:fldCharType="separate"/>
      </w:r>
      <w:r w:rsidR="0012026B">
        <w:rPr>
          <w:rFonts w:cs="Times New Roman"/>
          <w:noProof/>
          <w:szCs w:val="24"/>
        </w:rPr>
        <w:t>132</w:t>
      </w:r>
      <w:r w:rsidRPr="00EC0229">
        <w:rPr>
          <w:rFonts w:cs="Times New Roman"/>
          <w:szCs w:val="24"/>
        </w:rPr>
        <w:fldChar w:fldCharType="end"/>
      </w:r>
      <w:r w:rsidRPr="00EC0229">
        <w:rPr>
          <w:rFonts w:cs="Times New Roman"/>
          <w:szCs w:val="24"/>
        </w:rPr>
        <w:t>).</w:t>
      </w:r>
    </w:p>
    <w:p w14:paraId="0C35A277" w14:textId="77777777" w:rsidR="007775E2" w:rsidRPr="00EC0229" w:rsidRDefault="007775E2" w:rsidP="007775E2">
      <w:pPr>
        <w:pStyle w:val="NoSpacing"/>
        <w:spacing w:line="360" w:lineRule="auto"/>
      </w:pPr>
    </w:p>
    <w:p w14:paraId="00A669E7" w14:textId="77777777" w:rsidR="007775E2" w:rsidRPr="00EC0229" w:rsidRDefault="007775E2" w:rsidP="007775E2">
      <w:pPr>
        <w:pStyle w:val="NoSpacing"/>
        <w:spacing w:line="360" w:lineRule="auto"/>
      </w:pPr>
      <w:r w:rsidRPr="00EC0229">
        <w:t>There seems to have been a delay between Offa</w:t>
      </w:r>
      <w:r w:rsidRPr="00EC0229">
        <w:fldChar w:fldCharType="begin"/>
      </w:r>
      <w:r w:rsidRPr="00EC0229">
        <w:instrText xml:space="preserve"> XE "</w:instrText>
      </w:r>
      <w:r w:rsidRPr="00EC0229">
        <w:rPr>
          <w:rFonts w:cs="Times New Roman"/>
        </w:rPr>
        <w:instrText>Offa</w:instrText>
      </w:r>
      <w:r w:rsidRPr="00EC0229">
        <w:instrText xml:space="preserve">" </w:instrText>
      </w:r>
      <w:r w:rsidRPr="00EC0229">
        <w:fldChar w:fldCharType="end"/>
      </w:r>
      <w:r w:rsidRPr="00EC0229">
        <w:t>’s early reformed coinage,</w:t>
      </w:r>
      <w:r w:rsidRPr="00EC0229">
        <w:rPr>
          <w:rStyle w:val="FootnoteReference"/>
        </w:rPr>
        <w:footnoteReference w:id="309"/>
      </w:r>
      <w:r w:rsidRPr="00EC0229">
        <w:t xml:space="preserve"> whose output ‘remained trifling’,</w:t>
      </w:r>
      <w:r w:rsidRPr="00EC0229">
        <w:rPr>
          <w:rStyle w:val="FootnoteReference"/>
        </w:rPr>
        <w:footnoteReference w:id="310"/>
      </w:r>
      <w:r w:rsidRPr="00EC0229">
        <w:t xml:space="preserve"> and the introduction of the main volume of the light coinage, which probably lasted from around 782 to its replacement by the heavy coinage from 792.</w:t>
      </w:r>
      <w:r w:rsidRPr="00EC0229">
        <w:rPr>
          <w:rStyle w:val="FootnoteReference"/>
        </w:rPr>
        <w:footnoteReference w:id="311"/>
      </w:r>
      <w:r w:rsidRPr="00EC0229">
        <w:t xml:space="preserve"> Coins were minted in East Anglia,</w:t>
      </w:r>
      <w:r w:rsidRPr="00EC0229">
        <w:rPr>
          <w:rStyle w:val="FootnoteReference"/>
        </w:rPr>
        <w:footnoteReference w:id="312"/>
      </w:r>
      <w:r w:rsidRPr="00EC0229">
        <w:t xml:space="preserve"> London and Canterbury, which issued both royal and episcopal coins as well as Kentish coins for ten years after Offa lost the battle of Otford in 776. The heavy coinage in the last four years of Offa’s reign sets a southern precedent for both metrology</w:t>
      </w:r>
      <w:r w:rsidRPr="00EC0229">
        <w:fldChar w:fldCharType="begin"/>
      </w:r>
      <w:r w:rsidRPr="00EC0229">
        <w:instrText xml:space="preserve"> XE "metrology" </w:instrText>
      </w:r>
      <w:r w:rsidRPr="00EC0229">
        <w:fldChar w:fldCharType="end"/>
      </w:r>
      <w:r w:rsidRPr="00EC0229">
        <w:t xml:space="preserve"> and use of the three-line reverse.</w:t>
      </w:r>
      <w:r w:rsidRPr="00EC0229">
        <w:rPr>
          <w:rStyle w:val="FootnoteReference"/>
        </w:rPr>
        <w:footnoteReference w:id="313"/>
      </w:r>
    </w:p>
    <w:p w14:paraId="0B397F04" w14:textId="77777777" w:rsidR="007775E2" w:rsidRPr="00EC0229" w:rsidRDefault="007775E2" w:rsidP="007775E2">
      <w:pPr>
        <w:pStyle w:val="NoSpacing"/>
        <w:spacing w:line="360" w:lineRule="auto"/>
      </w:pPr>
    </w:p>
    <w:p w14:paraId="37CA637E" w14:textId="77777777" w:rsidR="007775E2" w:rsidRPr="00EC0229" w:rsidRDefault="007775E2" w:rsidP="007775E2">
      <w:pPr>
        <w:pStyle w:val="NoSpacing"/>
        <w:spacing w:line="360" w:lineRule="auto"/>
        <w:rPr>
          <w:rFonts w:cs="Times New Roman"/>
          <w:szCs w:val="24"/>
        </w:rPr>
      </w:pPr>
      <w:bookmarkStart w:id="137" w:name="pointofdeparture"/>
      <w:bookmarkEnd w:id="137"/>
      <w:r w:rsidRPr="00EC0229">
        <w:t>In comparison, the northern sceatta</w:t>
      </w:r>
      <w:r w:rsidRPr="00EC0229">
        <w:fldChar w:fldCharType="begin"/>
      </w:r>
      <w:r w:rsidRPr="00EC0229">
        <w:instrText xml:space="preserve"> XE "sceatta" </w:instrText>
      </w:r>
      <w:r w:rsidRPr="00EC0229">
        <w:fldChar w:fldCharType="end"/>
      </w:r>
      <w:r w:rsidRPr="00EC0229">
        <w:t xml:space="preserve"> coinage continued with its minimal and conservative iconography</w:t>
      </w:r>
      <w:r w:rsidRPr="00EC0229">
        <w:fldChar w:fldCharType="begin"/>
      </w:r>
      <w:r w:rsidRPr="00EC0229">
        <w:instrText xml:space="preserve"> XE "iconography" </w:instrText>
      </w:r>
      <w:r w:rsidRPr="00EC0229">
        <w:fldChar w:fldCharType="end"/>
      </w:r>
      <w:r w:rsidRPr="00EC0229">
        <w:t>; there is no sense of further convergence of its symbolic, administrative and economic rôles; these were already convergent. As with the southern coinage ‘Stability was surely the primary message.’</w:t>
      </w:r>
      <w:r w:rsidRPr="00EC0229">
        <w:rPr>
          <w:rStyle w:val="FootnoteReference"/>
        </w:rPr>
        <w:footnoteReference w:id="314"/>
      </w:r>
      <w:r w:rsidRPr="00EC0229">
        <w:t xml:space="preserve"> The joint regal/episcopal issues of the north commence before those of the Archbishops of Canterbury, Jaenberht and </w:t>
      </w:r>
      <w:r w:rsidRPr="00EC0229">
        <w:rPr>
          <w:rFonts w:cs="Times New Roman"/>
        </w:rPr>
        <w:t>Æ</w:t>
      </w:r>
      <w:r w:rsidRPr="00EC0229">
        <w:t>thelheard, and their Mercian overlords, Offa</w:t>
      </w:r>
      <w:r w:rsidRPr="00EC0229">
        <w:fldChar w:fldCharType="begin"/>
      </w:r>
      <w:r w:rsidRPr="00EC0229">
        <w:instrText xml:space="preserve"> XE "</w:instrText>
      </w:r>
      <w:r w:rsidRPr="00EC0229">
        <w:rPr>
          <w:rFonts w:cs="Times New Roman"/>
        </w:rPr>
        <w:instrText>Offa</w:instrText>
      </w:r>
      <w:r w:rsidRPr="00EC0229">
        <w:instrText xml:space="preserve">" </w:instrText>
      </w:r>
      <w:r w:rsidRPr="00EC0229">
        <w:fldChar w:fldCharType="end"/>
      </w:r>
      <w:r w:rsidRPr="00EC0229">
        <w:t xml:space="preserve"> and Coenwulf.</w:t>
      </w:r>
      <w:r w:rsidRPr="00EC0229">
        <w:rPr>
          <w:rStyle w:val="FootnoteReference"/>
        </w:rPr>
        <w:footnoteReference w:id="315"/>
      </w:r>
      <w:r w:rsidRPr="00EC0229">
        <w:t xml:space="preserve"> When the moneyers’ names do appear in the north from </w:t>
      </w:r>
      <w:r w:rsidRPr="00EC0229">
        <w:rPr>
          <w:rFonts w:cs="Times New Roman"/>
        </w:rPr>
        <w:t>Æ</w:t>
      </w:r>
      <w:r w:rsidRPr="00EC0229">
        <w:t>lfwald</w:t>
      </w:r>
      <w:r w:rsidRPr="00EC0229">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fldChar w:fldCharType="end"/>
      </w:r>
      <w:r w:rsidRPr="00EC0229">
        <w:t xml:space="preserve"> I onwards (admittedly a couple of decades after moneyers have become responsible for the integrity of the coinage in the south)</w:t>
      </w:r>
      <w:r w:rsidRPr="00EC0229">
        <w:rPr>
          <w:rStyle w:val="FootnoteReference"/>
        </w:rPr>
        <w:footnoteReference w:id="316"/>
      </w:r>
      <w:r w:rsidRPr="00EC0229">
        <w:t xml:space="preserve"> they are not known to have any influence beyond the operation of the mint. Clearly, the Northumbrian monarchs did not exploit, for their own purposes, symbolism in their coinage – there is no portraiture</w:t>
      </w:r>
      <w:bookmarkStart w:id="138" w:name="_Ref432685170"/>
      <w:r w:rsidRPr="00EC0229">
        <w:rPr>
          <w:rStyle w:val="FootnoteReference"/>
        </w:rPr>
        <w:footnoteReference w:id="317"/>
      </w:r>
      <w:bookmarkEnd w:id="138"/>
      <w:r w:rsidRPr="00EC0229">
        <w:t xml:space="preserve"> – though the cult of the cross is as ubiquitous in the north as the south.</w:t>
      </w:r>
      <w:r w:rsidRPr="00EC0229">
        <w:rPr>
          <w:rStyle w:val="FootnoteReference"/>
        </w:rPr>
        <w:footnoteReference w:id="318"/>
      </w:r>
      <w:r w:rsidRPr="00EC0229">
        <w:t xml:space="preserve"> There is no evidence that the northern monarchs </w:t>
      </w:r>
      <w:r w:rsidRPr="00EC0229">
        <w:lastRenderedPageBreak/>
        <w:t xml:space="preserve">profited overtly from production of sceats. </w:t>
      </w:r>
      <w:r w:rsidRPr="00EC0229">
        <w:rPr>
          <w:rFonts w:cs="Times New Roman"/>
          <w:szCs w:val="24"/>
        </w:rPr>
        <w:t>In the thirty years between Eadberht</w:t>
      </w:r>
      <w:r w:rsidRPr="00EC0229">
        <w:rPr>
          <w:rFonts w:cs="Times New Roman"/>
          <w:szCs w:val="24"/>
        </w:rPr>
        <w:fldChar w:fldCharType="begin"/>
      </w:r>
      <w:r w:rsidRPr="00EC0229">
        <w:instrText xml:space="preserve"> XE "Eadberht" </w:instrText>
      </w:r>
      <w:r w:rsidRPr="00EC0229">
        <w:rPr>
          <w:rFonts w:cs="Times New Roman"/>
          <w:szCs w:val="24"/>
        </w:rPr>
        <w:fldChar w:fldCharType="end"/>
      </w:r>
      <w:r w:rsidRPr="00EC0229">
        <w:rPr>
          <w:rFonts w:cs="Times New Roman"/>
          <w:szCs w:val="24"/>
        </w:rPr>
        <w:t>’s death in 758 and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I’s named-moneyer coinage, both northern and southern coinages show signs of distress.</w:t>
      </w:r>
      <w:r w:rsidRPr="00EC0229">
        <w:rPr>
          <w:rStyle w:val="FootnoteReference"/>
          <w:rFonts w:cs="Times New Roman"/>
          <w:szCs w:val="24"/>
        </w:rPr>
        <w:footnoteReference w:id="319"/>
      </w:r>
      <w:r w:rsidRPr="00EC0229">
        <w:t xml:space="preserve"> There was no profit from minting to be had in the lean years after Lindisfarne</w:t>
      </w:r>
      <w:r w:rsidRPr="00EC0229">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fldChar w:fldCharType="end"/>
      </w:r>
      <w:r w:rsidRPr="00EC0229">
        <w:t xml:space="preserve"> and one struggles to imagine that the manufacture of stycas was a lucrative source of revenue.</w:t>
      </w:r>
      <w:r w:rsidRPr="00EC0229">
        <w:rPr>
          <w:rStyle w:val="FootnoteReference"/>
        </w:rPr>
        <w:footnoteReference w:id="320"/>
      </w:r>
      <w:r w:rsidRPr="00EC0229">
        <w:rPr>
          <w:vertAlign w:val="superscript"/>
        </w:rPr>
        <w:t xml:space="preserve">, </w:t>
      </w:r>
      <w:r w:rsidRPr="00EC0229">
        <w:rPr>
          <w:rStyle w:val="FootnoteReference"/>
        </w:rPr>
        <w:footnoteReference w:id="321"/>
      </w:r>
    </w:p>
    <w:p w14:paraId="6A57B01A" w14:textId="77777777" w:rsidR="007775E2" w:rsidRPr="00EC0229" w:rsidRDefault="007775E2" w:rsidP="007775E2">
      <w:pPr>
        <w:pStyle w:val="NoSpacing"/>
        <w:spacing w:line="360" w:lineRule="auto"/>
      </w:pPr>
    </w:p>
    <w:p w14:paraId="410BB701" w14:textId="1E8DDA22" w:rsidR="007775E2" w:rsidRPr="00EC0229" w:rsidRDefault="00624DF5" w:rsidP="007775E2">
      <w:pPr>
        <w:pStyle w:val="Heading4"/>
        <w:spacing w:line="360" w:lineRule="auto"/>
      </w:pPr>
      <w:bookmarkStart w:id="139" w:name="_Toc468266756"/>
      <w:r>
        <w:rPr>
          <w:b/>
        </w:rPr>
        <w:t>3.2.3</w:t>
      </w:r>
      <w:r>
        <w:rPr>
          <w:b/>
        </w:rPr>
        <w:tab/>
      </w:r>
      <w:r w:rsidR="007775E2" w:rsidRPr="008E6548">
        <w:rPr>
          <w:b/>
        </w:rPr>
        <w:t>Use</w:t>
      </w:r>
      <w:bookmarkEnd w:id="139"/>
    </w:p>
    <w:p w14:paraId="797867DE" w14:textId="5F9DB753" w:rsidR="007775E2" w:rsidRPr="00EC0229" w:rsidRDefault="007775E2" w:rsidP="007775E2">
      <w:pPr>
        <w:pStyle w:val="NoSpacing"/>
        <w:spacing w:line="360" w:lineRule="auto"/>
      </w:pPr>
      <w:r w:rsidRPr="00EC0229">
        <w:t>Judging by the continuing scarcity of southern gold shillings, this was an élite coinage, though volumes increased and became better organised with the reduction of gold content (</w:t>
      </w:r>
      <w:r w:rsidRPr="00EC0229">
        <w:fldChar w:fldCharType="begin"/>
      </w:r>
      <w:r w:rsidRPr="00EC0229">
        <w:instrText xml:space="preserve"> PAGEREF Period3b \h </w:instrText>
      </w:r>
      <w:r w:rsidRPr="00EC0229">
        <w:fldChar w:fldCharType="separate"/>
      </w:r>
      <w:r w:rsidR="0012026B">
        <w:rPr>
          <w:noProof/>
        </w:rPr>
        <w:t>95</w:t>
      </w:r>
      <w:r w:rsidRPr="00EC0229">
        <w:fldChar w:fldCharType="end"/>
      </w:r>
      <w:r w:rsidRPr="00EC0229">
        <w:t xml:space="preserve">, </w:t>
      </w:r>
      <w:r w:rsidRPr="00EC0229">
        <w:fldChar w:fldCharType="begin"/>
      </w:r>
      <w:r w:rsidRPr="00EC0229">
        <w:instrText xml:space="preserve"> PAGEREF Period3c \h </w:instrText>
      </w:r>
      <w:r w:rsidRPr="00EC0229">
        <w:fldChar w:fldCharType="separate"/>
      </w:r>
      <w:r w:rsidR="0012026B">
        <w:rPr>
          <w:noProof/>
        </w:rPr>
        <w:t>100</w:t>
      </w:r>
      <w:r w:rsidRPr="00EC0229">
        <w:fldChar w:fldCharType="end"/>
      </w:r>
      <w:r w:rsidRPr="00EC0229">
        <w:t>).</w:t>
      </w:r>
      <w:r w:rsidRPr="00EC0229">
        <w:rPr>
          <w:rStyle w:val="FootnoteReference"/>
        </w:rPr>
        <w:footnoteReference w:id="322"/>
      </w:r>
      <w:r w:rsidRPr="00EC0229">
        <w:t xml:space="preserve"> Prolific sites, such as Rendlesham and Coddenham, show that usage focussed on major commercial or administrative locations, though single losses are thinly but widely spread.</w:t>
      </w:r>
      <w:r w:rsidR="001406EF">
        <w:t xml:space="preserve"> </w:t>
      </w:r>
      <w:r w:rsidR="001406EF" w:rsidRPr="00A07A08">
        <w:rPr>
          <w:i/>
        </w:rPr>
        <w:t>Graphs 7.</w:t>
      </w:r>
      <w:r w:rsidR="001406EF">
        <w:rPr>
          <w:i/>
        </w:rPr>
        <w:t>10</w:t>
      </w:r>
      <w:r w:rsidR="001406EF" w:rsidRPr="00A07A08">
        <w:rPr>
          <w:i/>
        </w:rPr>
        <w:t xml:space="preserve"> </w:t>
      </w:r>
      <w:r w:rsidR="001406EF">
        <w:t xml:space="preserve">illustrate the chronological dispersal of finds at the main sites with the wics skewed to early usage and only Flixborough, as would be expected, showing styca finds. </w:t>
      </w:r>
    </w:p>
    <w:p w14:paraId="1B35ACEE" w14:textId="77777777" w:rsidR="007775E2" w:rsidRPr="00EC0229" w:rsidRDefault="007775E2" w:rsidP="007775E2">
      <w:pPr>
        <w:pStyle w:val="NoSpacing"/>
        <w:spacing w:line="360" w:lineRule="auto"/>
      </w:pPr>
    </w:p>
    <w:p w14:paraId="7537F4E8" w14:textId="77777777" w:rsidR="007775E2" w:rsidRPr="00EC0229" w:rsidRDefault="007775E2" w:rsidP="007775E2">
      <w:pPr>
        <w:pStyle w:val="NoSpacing"/>
        <w:spacing w:line="360" w:lineRule="auto"/>
      </w:pPr>
      <w:bookmarkStart w:id="140" w:name="PrimaryE"/>
      <w:bookmarkEnd w:id="140"/>
      <w:r w:rsidRPr="00EC0229">
        <w:t>The proportion of Frisian sceats (such as the Series</w:t>
      </w:r>
      <w:r w:rsidRPr="00EC0229">
        <w:fldChar w:fldCharType="begin"/>
      </w:r>
      <w:r w:rsidRPr="00EC0229">
        <w:instrText xml:space="preserve"> XE "Series" </w:instrText>
      </w:r>
      <w:r w:rsidRPr="00EC0229">
        <w:fldChar w:fldCharType="end"/>
      </w:r>
      <w:r w:rsidRPr="00EC0229">
        <w:t xml:space="preserve"> E</w:t>
      </w:r>
      <w:r w:rsidRPr="00EC0229">
        <w:fldChar w:fldCharType="begin"/>
      </w:r>
      <w:r w:rsidRPr="00EC0229">
        <w:instrText xml:space="preserve"> XE "Series E" </w:instrText>
      </w:r>
      <w:r w:rsidRPr="00EC0229">
        <w:fldChar w:fldCharType="end"/>
      </w:r>
      <w:r w:rsidRPr="00EC0229">
        <w:t xml:space="preserve"> Kloster-Barthe types) circulating in England falls from around a fifth of the total volume in the Primary phase,</w:t>
      </w:r>
      <w:r w:rsidRPr="00EC0229">
        <w:rPr>
          <w:rStyle w:val="FootnoteReference"/>
        </w:rPr>
        <w:footnoteReference w:id="323"/>
      </w:r>
      <w:r w:rsidRPr="00EC0229">
        <w:t xml:space="preserve"> which indicates a healthy balance of payments surplus</w:t>
      </w:r>
      <w:r w:rsidRPr="00EC0229">
        <w:fldChar w:fldCharType="begin"/>
      </w:r>
      <w:r w:rsidRPr="00EC0229">
        <w:instrText xml:space="preserve"> XE "surplus" </w:instrText>
      </w:r>
      <w:r w:rsidRPr="00EC0229">
        <w:fldChar w:fldCharType="end"/>
      </w:r>
      <w:r w:rsidRPr="00EC0229">
        <w:t xml:space="preserve"> mainly generated by exported wool, until around 740, when there is a paucity of secondary Frisian emissions (the Series E Franeker types).</w:t>
      </w:r>
      <w:r w:rsidRPr="00EC0229">
        <w:rPr>
          <w:rStyle w:val="FootnoteReference"/>
        </w:rPr>
        <w:footnoteReference w:id="324"/>
      </w:r>
      <w:r w:rsidRPr="00EC0229">
        <w:t xml:space="preserve"> This implies either a drastic reduction in trade or more effective recycling. The latter is more probable in Northumbria</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t xml:space="preserve"> and East Anglia where inscriptions on the reformed coinages of Eadberht</w:t>
      </w:r>
      <w:r w:rsidRPr="00EC0229">
        <w:fldChar w:fldCharType="begin"/>
      </w:r>
      <w:r w:rsidRPr="00EC0229">
        <w:instrText xml:space="preserve"> XE "Eadberht" </w:instrText>
      </w:r>
      <w:r w:rsidRPr="00EC0229">
        <w:fldChar w:fldCharType="end"/>
      </w:r>
      <w:r w:rsidRPr="00EC0229">
        <w:t xml:space="preserve"> and Beonna</w:t>
      </w:r>
      <w:r w:rsidRPr="00EC0229">
        <w:fldChar w:fldCharType="begin"/>
      </w:r>
      <w:r w:rsidRPr="00EC0229">
        <w:instrText xml:space="preserve"> XE "</w:instrText>
      </w:r>
      <w:r w:rsidRPr="00EC0229">
        <w:rPr>
          <w:rFonts w:cs="Times New Roman"/>
        </w:rPr>
        <w:instrText>Beonna</w:instrText>
      </w:r>
      <w:r w:rsidRPr="00EC0229">
        <w:instrText xml:space="preserve">" </w:instrText>
      </w:r>
      <w:r w:rsidRPr="00EC0229">
        <w:fldChar w:fldCharType="end"/>
      </w:r>
      <w:r w:rsidRPr="00EC0229">
        <w:t xml:space="preserve">, respectively, indicate regal monetary control and the number of finds implies buoyant trade. </w:t>
      </w:r>
    </w:p>
    <w:p w14:paraId="7EBB6F4C" w14:textId="77777777" w:rsidR="007775E2" w:rsidRPr="00EC0229" w:rsidRDefault="007775E2" w:rsidP="007775E2">
      <w:pPr>
        <w:pStyle w:val="NoSpacing"/>
        <w:spacing w:line="360" w:lineRule="auto"/>
      </w:pPr>
    </w:p>
    <w:p w14:paraId="77A9C319" w14:textId="5AF7CD84" w:rsidR="007775E2" w:rsidRPr="00EC0229" w:rsidRDefault="007775E2" w:rsidP="007775E2">
      <w:pPr>
        <w:pStyle w:val="NoSpacing"/>
        <w:spacing w:line="360" w:lineRule="auto"/>
        <w:rPr>
          <w:rFonts w:eastAsia="Times New Roman" w:cs="Times New Roman"/>
          <w:szCs w:val="24"/>
          <w:lang w:eastAsia="en-GB"/>
        </w:rPr>
      </w:pPr>
      <w:r w:rsidRPr="00EC0229">
        <w:rPr>
          <w:rFonts w:eastAsia="Times New Roman" w:cs="Times New Roman"/>
          <w:szCs w:val="24"/>
          <w:lang w:eastAsia="en-GB"/>
        </w:rPr>
        <w:t>Blackburn demonstrated comparable patterns of peak coin use in the first half of the eighth century with a steep and prolong</w:t>
      </w:r>
      <w:r w:rsidR="001406EF">
        <w:rPr>
          <w:rFonts w:eastAsia="Times New Roman" w:cs="Times New Roman"/>
          <w:szCs w:val="24"/>
          <w:lang w:eastAsia="en-GB"/>
        </w:rPr>
        <w:t>ed decline for the broad penny</w:t>
      </w:r>
      <w:r w:rsidRPr="00EC0229">
        <w:rPr>
          <w:rFonts w:eastAsia="Times New Roman" w:cs="Times New Roman"/>
          <w:szCs w:val="24"/>
          <w:lang w:eastAsia="en-GB"/>
        </w:rPr>
        <w:t xml:space="preserve">, at Hamwic (129 coins, </w:t>
      </w:r>
      <w:r w:rsidRPr="00EC0229">
        <w:rPr>
          <w:rFonts w:eastAsia="Times New Roman" w:cs="Times New Roman"/>
          <w:i/>
          <w:szCs w:val="24"/>
          <w:lang w:eastAsia="en-GB"/>
        </w:rPr>
        <w:t>Graph</w:t>
      </w:r>
      <w:r w:rsidR="00AA49FB" w:rsidRPr="00EC0229">
        <w:rPr>
          <w:rFonts w:eastAsia="Times New Roman" w:cs="Times New Roman"/>
          <w:szCs w:val="24"/>
          <w:lang w:eastAsia="en-GB"/>
        </w:rPr>
        <w:t xml:space="preserve"> </w:t>
      </w:r>
      <w:r w:rsidR="001406EF">
        <w:rPr>
          <w:rFonts w:eastAsia="Times New Roman" w:cs="Times New Roman"/>
          <w:i/>
          <w:szCs w:val="24"/>
          <w:lang w:eastAsia="en-GB"/>
        </w:rPr>
        <w:t>7.10 no 4.</w:t>
      </w:r>
      <w:r w:rsidRPr="00EC0229">
        <w:rPr>
          <w:rFonts w:eastAsia="Times New Roman" w:cs="Times New Roman"/>
          <w:szCs w:val="24"/>
          <w:lang w:eastAsia="en-GB"/>
        </w:rPr>
        <w:t>), Tilbury (146), Royston (near, 95), Bawsey (124), South Lincolnshire (Heckington/Garwick, 141) and Hollingbourne (39).</w:t>
      </w:r>
      <w:r w:rsidRPr="00EC0229">
        <w:rPr>
          <w:rStyle w:val="FootnoteReference"/>
          <w:rFonts w:eastAsia="Times New Roman" w:cs="Times New Roman"/>
          <w:szCs w:val="24"/>
          <w:lang w:eastAsia="en-GB"/>
        </w:rPr>
        <w:footnoteReference w:id="325"/>
      </w:r>
      <w:r w:rsidRPr="00EC0229">
        <w:rPr>
          <w:rFonts w:eastAsia="Times New Roman" w:cs="Times New Roman"/>
          <w:szCs w:val="24"/>
          <w:lang w:eastAsia="en-GB"/>
        </w:rPr>
        <w:t xml:space="preserve"> He associated this pattern, and the </w:t>
      </w:r>
      <w:r w:rsidRPr="00EC0229">
        <w:rPr>
          <w:rFonts w:eastAsia="Times New Roman" w:cs="Times New Roman"/>
          <w:szCs w:val="24"/>
          <w:lang w:eastAsia="en-GB"/>
        </w:rPr>
        <w:lastRenderedPageBreak/>
        <w:t>deterioration of the sceatta alloy in the second quarter of the eighth century, to variations in Continental silver supplies.</w:t>
      </w:r>
      <w:r w:rsidRPr="00EC0229">
        <w:rPr>
          <w:rStyle w:val="FootnoteReference"/>
          <w:rFonts w:eastAsia="Times New Roman" w:cs="Times New Roman"/>
          <w:szCs w:val="24"/>
          <w:lang w:eastAsia="en-GB"/>
        </w:rPr>
        <w:footnoteReference w:id="326"/>
      </w:r>
    </w:p>
    <w:p w14:paraId="46AE861A" w14:textId="77777777" w:rsidR="007775E2" w:rsidRPr="00EC0229" w:rsidRDefault="007775E2" w:rsidP="007775E2">
      <w:pPr>
        <w:pStyle w:val="NoSpacing"/>
        <w:spacing w:line="360" w:lineRule="auto"/>
        <w:rPr>
          <w:rFonts w:eastAsia="Times New Roman" w:cs="Times New Roman"/>
          <w:szCs w:val="24"/>
          <w:lang w:eastAsia="en-GB"/>
        </w:rPr>
      </w:pPr>
    </w:p>
    <w:p w14:paraId="305B5C34" w14:textId="6A382567" w:rsidR="007775E2" w:rsidRPr="00EC0229" w:rsidRDefault="007775E2" w:rsidP="007775E2">
      <w:pPr>
        <w:pStyle w:val="NoSpacing"/>
        <w:spacing w:line="360" w:lineRule="auto"/>
      </w:pPr>
      <w:r w:rsidRPr="00EC0229">
        <w:t>Tight monetary control may be responsible for the near absence of Offa</w:t>
      </w:r>
      <w:r w:rsidRPr="00EC0229">
        <w:fldChar w:fldCharType="begin"/>
      </w:r>
      <w:r w:rsidRPr="00EC0229">
        <w:instrText xml:space="preserve"> XE "</w:instrText>
      </w:r>
      <w:r w:rsidRPr="00EC0229">
        <w:rPr>
          <w:rFonts w:cs="Times New Roman"/>
        </w:rPr>
        <w:instrText>Offa</w:instrText>
      </w:r>
      <w:r w:rsidRPr="00EC0229">
        <w:instrText xml:space="preserve">" </w:instrText>
      </w:r>
      <w:r w:rsidRPr="00EC0229">
        <w:fldChar w:fldCharType="end"/>
      </w:r>
      <w:r w:rsidRPr="00EC0229">
        <w:t>’s coinage from Northumbria, other than the Aiskew, North Yorkshire, hoard including fifteen pennies of Offa and his contemporaries.</w:t>
      </w:r>
      <w:r w:rsidRPr="00EC0229">
        <w:rPr>
          <w:rStyle w:val="FootnoteReference"/>
        </w:rPr>
        <w:footnoteReference w:id="327"/>
      </w:r>
      <w:r w:rsidRPr="00EC0229">
        <w:t xml:space="preserve"> In contrast, in </w:t>
      </w:r>
      <w:r w:rsidR="00572E51" w:rsidRPr="00EC0229">
        <w:t>Southumbria</w:t>
      </w:r>
      <w:r w:rsidRPr="00EC0229">
        <w:t>, secondary sceats are heavily intermingled as were the subsequent broad pennies,</w:t>
      </w:r>
      <w:r w:rsidRPr="00EC0229">
        <w:rPr>
          <w:rStyle w:val="FootnoteReference"/>
        </w:rPr>
        <w:footnoteReference w:id="328"/>
      </w:r>
      <w:r w:rsidRPr="00EC0229">
        <w:t xml:space="preserve"> constrained only slightly by political boundaries.</w:t>
      </w:r>
      <w:r w:rsidRPr="00EC0229">
        <w:rPr>
          <w:rStyle w:val="FootnoteReference"/>
        </w:rPr>
        <w:footnoteReference w:id="329"/>
      </w:r>
      <w:r w:rsidRPr="00EC0229">
        <w:t xml:space="preserve"> Whereas numerous locations could have acted as sceatta</w:t>
      </w:r>
      <w:r w:rsidRPr="00EC0229">
        <w:fldChar w:fldCharType="begin"/>
      </w:r>
      <w:r w:rsidRPr="00EC0229">
        <w:instrText xml:space="preserve"> XE "sceatta" </w:instrText>
      </w:r>
      <w:r w:rsidRPr="00EC0229">
        <w:fldChar w:fldCharType="end"/>
      </w:r>
      <w:r w:rsidRPr="00EC0229">
        <w:t xml:space="preserve"> mints (or were possibly temporary bases for peripatetic moneyers), after the mid-eighth century, mints (both regal and ecclesiastical) were consolidated in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Ipswich, London, Canterbury, Rochester and Southampton/Winchester.</w:t>
      </w:r>
      <w:r w:rsidRPr="00EC0229">
        <w:rPr>
          <w:rStyle w:val="FootnoteReference"/>
        </w:rPr>
        <w:footnoteReference w:id="330"/>
      </w:r>
    </w:p>
    <w:p w14:paraId="3BECF8AE" w14:textId="77777777" w:rsidR="007775E2" w:rsidRPr="00EC0229" w:rsidRDefault="007775E2" w:rsidP="007775E2">
      <w:pPr>
        <w:pStyle w:val="NoSpacing"/>
        <w:spacing w:line="360" w:lineRule="auto"/>
      </w:pPr>
    </w:p>
    <w:p w14:paraId="0D0CF11F" w14:textId="1CFDB79D" w:rsidR="007775E2" w:rsidRPr="00EC0229" w:rsidRDefault="007775E2" w:rsidP="007775E2">
      <w:pPr>
        <w:pStyle w:val="NoSpacing"/>
        <w:spacing w:line="360" w:lineRule="auto"/>
      </w:pPr>
      <w:r w:rsidRPr="00EC0229">
        <w:t xml:space="preserve">The link between the demise of the </w:t>
      </w:r>
      <w:r w:rsidR="00572E51" w:rsidRPr="00EC0229">
        <w:t>Southumbria</w:t>
      </w:r>
      <w:r w:rsidRPr="00EC0229">
        <w:t>n sceatta</w:t>
      </w:r>
      <w:r w:rsidRPr="00EC0229">
        <w:fldChar w:fldCharType="begin"/>
      </w:r>
      <w:r w:rsidRPr="00EC0229">
        <w:instrText xml:space="preserve"> XE "sceatta" </w:instrText>
      </w:r>
      <w:r w:rsidRPr="00EC0229">
        <w:fldChar w:fldCharType="end"/>
      </w:r>
      <w:r w:rsidRPr="00EC0229">
        <w:t xml:space="preserve"> coinage and the introduction of Offa</w:t>
      </w:r>
      <w:r w:rsidRPr="00EC0229">
        <w:fldChar w:fldCharType="begin"/>
      </w:r>
      <w:r w:rsidRPr="00EC0229">
        <w:instrText xml:space="preserve"> XE "</w:instrText>
      </w:r>
      <w:r w:rsidRPr="00EC0229">
        <w:rPr>
          <w:rFonts w:cs="Times New Roman"/>
        </w:rPr>
        <w:instrText>Offa</w:instrText>
      </w:r>
      <w:r w:rsidRPr="00EC0229">
        <w:instrText xml:space="preserve">" </w:instrText>
      </w:r>
      <w:r w:rsidRPr="00EC0229">
        <w:fldChar w:fldCharType="end"/>
      </w:r>
      <w:r w:rsidRPr="00EC0229">
        <w:t>’s broad penny</w:t>
      </w:r>
      <w:r w:rsidRPr="00EC0229">
        <w:fldChar w:fldCharType="begin"/>
      </w:r>
      <w:r w:rsidRPr="00EC0229">
        <w:instrText xml:space="preserve"> XE "penny" </w:instrText>
      </w:r>
      <w:r w:rsidRPr="00EC0229">
        <w:fldChar w:fldCharType="end"/>
      </w:r>
      <w:r w:rsidRPr="00EC0229">
        <w:t xml:space="preserve"> may be provided by the Middle Harling hoard of proto-pennies of Beonna</w:t>
      </w:r>
      <w:r w:rsidRPr="00EC0229">
        <w:fldChar w:fldCharType="begin"/>
      </w:r>
      <w:r w:rsidRPr="00EC0229">
        <w:instrText xml:space="preserve"> XE "</w:instrText>
      </w:r>
      <w:r w:rsidRPr="00EC0229">
        <w:rPr>
          <w:rFonts w:cs="Times New Roman"/>
        </w:rPr>
        <w:instrText>Beonna</w:instrText>
      </w:r>
      <w:r w:rsidRPr="00EC0229">
        <w:instrText xml:space="preserve">" </w:instrText>
      </w:r>
      <w:r w:rsidRPr="00EC0229">
        <w:fldChar w:fldCharType="end"/>
      </w:r>
      <w:r w:rsidRPr="00EC0229">
        <w:t xml:space="preserve"> of East Anglia (749-760), which also contained some late sceats.</w:t>
      </w:r>
      <w:r w:rsidRPr="00EC0229">
        <w:rPr>
          <w:rStyle w:val="FootnoteReference"/>
        </w:rPr>
        <w:footnoteReference w:id="331"/>
      </w:r>
      <w:r w:rsidRPr="00EC0229">
        <w:t xml:space="preserve"> Archibald argued that Beonna’s small module coins date from towards the end of his reign, which seems to indicate a rich vein of minting in otherwise distressed circumstances. Together the English emissions from now on ‘establish a tradition of explicit royal patronage that survives to this day.’</w:t>
      </w:r>
      <w:r w:rsidRPr="00EC0229">
        <w:rPr>
          <w:rStyle w:val="FootnoteReference"/>
        </w:rPr>
        <w:footnoteReference w:id="332"/>
      </w:r>
    </w:p>
    <w:p w14:paraId="448AF7CC" w14:textId="77777777" w:rsidR="007775E2" w:rsidRPr="00EC0229" w:rsidRDefault="007775E2" w:rsidP="007775E2">
      <w:pPr>
        <w:pStyle w:val="NoSpacing"/>
        <w:spacing w:line="360" w:lineRule="auto"/>
      </w:pPr>
    </w:p>
    <w:p w14:paraId="2251162B" w14:textId="629844EE" w:rsidR="007775E2" w:rsidRPr="00EC0229" w:rsidRDefault="007775E2" w:rsidP="007775E2">
      <w:pPr>
        <w:pStyle w:val="NoSpacing"/>
        <w:spacing w:line="360" w:lineRule="auto"/>
      </w:pPr>
      <w:r w:rsidRPr="00EC0229">
        <w:t>Whereas, in England, Merovingian</w:t>
      </w:r>
      <w:r w:rsidRPr="00EC0229">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fldChar w:fldCharType="end"/>
      </w:r>
      <w:r w:rsidRPr="00EC0229">
        <w:t xml:space="preserve"> coin finds are scarce, widely scattered and from a broad variety of mints, Carolingian</w:t>
      </w:r>
      <w:r w:rsidRPr="00EC0229">
        <w:fldChar w:fldCharType="begin"/>
      </w:r>
      <w:r w:rsidRPr="00EC0229">
        <w:instrText xml:space="preserve"> XE "</w:instrText>
      </w:r>
      <w:r w:rsidRPr="00EC0229">
        <w:rPr>
          <w:rFonts w:cs="Times New Roman"/>
          <w:szCs w:val="24"/>
        </w:rPr>
        <w:instrText>Carolingian</w:instrText>
      </w:r>
      <w:r w:rsidRPr="00EC0229">
        <w:instrText xml:space="preserve">" </w:instrText>
      </w:r>
      <w:r w:rsidRPr="00EC0229">
        <w:fldChar w:fldCharType="end"/>
      </w:r>
      <w:r w:rsidRPr="00EC0229">
        <w:t xml:space="preserve"> coins are very rare.</w:t>
      </w:r>
      <w:r w:rsidRPr="00EC0229">
        <w:rPr>
          <w:rStyle w:val="FootnoteReference"/>
        </w:rPr>
        <w:footnoteReference w:id="333"/>
      </w:r>
      <w:r w:rsidRPr="00EC0229">
        <w:t xml:space="preserve"> Similarly, English coins are rare in Carolingian Francia</w:t>
      </w:r>
      <w:r w:rsidRPr="00EC0229">
        <w:fldChar w:fldCharType="begin"/>
      </w:r>
      <w:r w:rsidRPr="00EC0229">
        <w:instrText xml:space="preserve"> XE "</w:instrText>
      </w:r>
      <w:r w:rsidRPr="00EC0229">
        <w:rPr>
          <w:rStyle w:val="Hyperlink"/>
          <w:rFonts w:cs="Times New Roman"/>
          <w:noProof/>
          <w:u w:val="none"/>
        </w:rPr>
        <w:instrText>Francia</w:instrText>
      </w:r>
      <w:r w:rsidRPr="00EC0229">
        <w:instrText xml:space="preserve">" </w:instrText>
      </w:r>
      <w:r w:rsidRPr="00EC0229">
        <w:fldChar w:fldCharType="end"/>
      </w:r>
      <w:r w:rsidRPr="00EC0229">
        <w:t>, showing a limited level of cross-channel trade during what appears to be a recession,</w:t>
      </w:r>
      <w:r w:rsidRPr="00EC0229">
        <w:rPr>
          <w:rStyle w:val="FootnoteReference"/>
        </w:rPr>
        <w:footnoteReference w:id="334"/>
      </w:r>
      <w:r w:rsidRPr="00EC0229">
        <w:rPr>
          <w:rStyle w:val="FootnoteReference"/>
        </w:rPr>
        <w:t xml:space="preserve"> </w:t>
      </w:r>
      <w:r w:rsidRPr="00EC0229">
        <w:t xml:space="preserve">from </w:t>
      </w:r>
      <w:r w:rsidR="002132F1">
        <w:rPr>
          <w:i/>
        </w:rPr>
        <w:t>c.</w:t>
      </w:r>
      <w:r w:rsidRPr="00EC0229">
        <w:t xml:space="preserve">750 to </w:t>
      </w:r>
      <w:r w:rsidR="002132F1">
        <w:rPr>
          <w:i/>
        </w:rPr>
        <w:t>c.</w:t>
      </w:r>
      <w:r w:rsidRPr="00EC0229">
        <w:t>782, if not to the end of Offa</w:t>
      </w:r>
      <w:r w:rsidRPr="00EC0229">
        <w:fldChar w:fldCharType="begin"/>
      </w:r>
      <w:r w:rsidRPr="00EC0229">
        <w:instrText xml:space="preserve"> XE "</w:instrText>
      </w:r>
      <w:r w:rsidRPr="00EC0229">
        <w:rPr>
          <w:rFonts w:cs="Times New Roman"/>
        </w:rPr>
        <w:instrText>Offa</w:instrText>
      </w:r>
      <w:r w:rsidRPr="00EC0229">
        <w:instrText xml:space="preserve">" </w:instrText>
      </w:r>
      <w:r w:rsidRPr="00EC0229">
        <w:fldChar w:fldCharType="end"/>
      </w:r>
      <w:r w:rsidRPr="00EC0229">
        <w:t>’s reign.</w:t>
      </w:r>
      <w:r w:rsidRPr="00EC0229">
        <w:rPr>
          <w:rStyle w:val="FootnoteReference"/>
        </w:rPr>
        <w:footnoteReference w:id="335"/>
      </w:r>
      <w:r w:rsidRPr="00EC0229">
        <w:t xml:space="preserve"> Presumably, foreign coins were rapidly recycled.</w:t>
      </w:r>
    </w:p>
    <w:p w14:paraId="1BCC26EC" w14:textId="77777777" w:rsidR="007775E2" w:rsidRPr="00EC0229" w:rsidRDefault="007775E2" w:rsidP="007775E2">
      <w:pPr>
        <w:pStyle w:val="NoSpacing"/>
        <w:spacing w:line="360" w:lineRule="auto"/>
      </w:pPr>
    </w:p>
    <w:p w14:paraId="01FDE12A" w14:textId="4118C15F" w:rsidR="007775E2" w:rsidRPr="00EC0229" w:rsidRDefault="007775E2" w:rsidP="007775E2">
      <w:pPr>
        <w:pStyle w:val="NoSpacing"/>
        <w:spacing w:line="360" w:lineRule="auto"/>
      </w:pPr>
      <w:r w:rsidRPr="00EC0229">
        <w:rPr>
          <w:rFonts w:cs="Times New Roman"/>
          <w:szCs w:val="24"/>
        </w:rPr>
        <w:t>There is little to be gained by further investigation of the southern coinages after Offa</w:t>
      </w:r>
      <w:r w:rsidRPr="00EC0229">
        <w:rPr>
          <w:rFonts w:cs="Times New Roman"/>
          <w:szCs w:val="24"/>
        </w:rPr>
        <w:fldChar w:fldCharType="begin"/>
      </w:r>
      <w:r w:rsidRPr="00EC0229">
        <w:instrText xml:space="preserve"> XE "</w:instrText>
      </w:r>
      <w:r w:rsidRPr="00EC0229">
        <w:rPr>
          <w:rFonts w:cs="Times New Roman"/>
        </w:rPr>
        <w:instrText>Offa</w:instrText>
      </w:r>
      <w:r w:rsidRPr="00EC0229">
        <w:instrText xml:space="preserve">" </w:instrText>
      </w:r>
      <w:r w:rsidRPr="00EC0229">
        <w:rPr>
          <w:rFonts w:cs="Times New Roman"/>
          <w:szCs w:val="24"/>
        </w:rPr>
        <w:fldChar w:fldCharType="end"/>
      </w:r>
      <w:r w:rsidRPr="00EC0229">
        <w:rPr>
          <w:rFonts w:cs="Times New Roman"/>
          <w:szCs w:val="24"/>
        </w:rPr>
        <w:t xml:space="preserve"> because a second point of departure - the introduction of the styca - renders comparison unproductive, though the question of interchangeability of southern penny</w:t>
      </w:r>
      <w:r w:rsidRPr="00EC0229">
        <w:rPr>
          <w:rFonts w:cs="Times New Roman"/>
          <w:szCs w:val="24"/>
        </w:rPr>
        <w:fldChar w:fldCharType="begin"/>
      </w:r>
      <w:r w:rsidRPr="00EC0229">
        <w:instrText xml:space="preserve"> XE "penny" </w:instrText>
      </w:r>
      <w:r w:rsidRPr="00EC0229">
        <w:rPr>
          <w:rFonts w:cs="Times New Roman"/>
          <w:szCs w:val="24"/>
        </w:rPr>
        <w:fldChar w:fldCharType="end"/>
      </w:r>
      <w:r w:rsidRPr="00EC0229">
        <w:rPr>
          <w:rFonts w:cs="Times New Roman"/>
          <w:szCs w:val="24"/>
        </w:rPr>
        <w:t xml:space="preserve"> and northern styca remains (</w:t>
      </w:r>
      <w:r w:rsidRPr="00EC0229">
        <w:rPr>
          <w:rFonts w:cs="Times New Roman"/>
          <w:szCs w:val="24"/>
        </w:rPr>
        <w:fldChar w:fldCharType="begin"/>
      </w:r>
      <w:r w:rsidRPr="00EC0229">
        <w:rPr>
          <w:rFonts w:cs="Times New Roman"/>
          <w:szCs w:val="24"/>
        </w:rPr>
        <w:instrText xml:space="preserve"> REF exchangerate \h  \* MERGEFORMAT </w:instrText>
      </w:r>
      <w:r w:rsidRPr="00EC0229">
        <w:rPr>
          <w:rFonts w:cs="Times New Roman"/>
          <w:szCs w:val="24"/>
        </w:rPr>
      </w:r>
      <w:r w:rsidRPr="00EC0229">
        <w:rPr>
          <w:rFonts w:cs="Times New Roman"/>
          <w:szCs w:val="24"/>
        </w:rPr>
        <w:fldChar w:fldCharType="end"/>
      </w:r>
      <w:r w:rsidRPr="00EC0229">
        <w:rPr>
          <w:rFonts w:cs="Times New Roman"/>
          <w:szCs w:val="24"/>
        </w:rPr>
        <w:fldChar w:fldCharType="begin"/>
      </w:r>
      <w:r w:rsidRPr="00EC0229">
        <w:rPr>
          <w:rFonts w:cs="Times New Roman"/>
          <w:szCs w:val="24"/>
        </w:rPr>
        <w:instrText xml:space="preserve"> PAGEREF sceat1 \h </w:instrText>
      </w:r>
      <w:r w:rsidRPr="00EC0229">
        <w:rPr>
          <w:rFonts w:cs="Times New Roman"/>
          <w:szCs w:val="24"/>
        </w:rPr>
      </w:r>
      <w:r w:rsidRPr="00EC0229">
        <w:rPr>
          <w:rFonts w:cs="Times New Roman"/>
          <w:szCs w:val="24"/>
        </w:rPr>
        <w:fldChar w:fldCharType="separate"/>
      </w:r>
      <w:r w:rsidR="0012026B">
        <w:rPr>
          <w:rFonts w:cs="Times New Roman"/>
          <w:noProof/>
          <w:szCs w:val="24"/>
        </w:rPr>
        <w:t>64</w:t>
      </w:r>
      <w:r w:rsidRPr="00EC0229">
        <w:rPr>
          <w:rFonts w:cs="Times New Roman"/>
          <w:szCs w:val="24"/>
        </w:rPr>
        <w:fldChar w:fldCharType="end"/>
      </w:r>
      <w:r w:rsidRPr="00EC0229">
        <w:rPr>
          <w:rFonts w:cs="Times New Roman"/>
          <w:szCs w:val="24"/>
        </w:rPr>
        <w:t>).</w:t>
      </w:r>
    </w:p>
    <w:p w14:paraId="03B3A8EE" w14:textId="77777777" w:rsidR="007775E2" w:rsidRPr="00EC0229" w:rsidRDefault="007775E2" w:rsidP="007775E2">
      <w:pPr>
        <w:pStyle w:val="NoSpacing"/>
        <w:spacing w:line="360" w:lineRule="auto"/>
      </w:pPr>
    </w:p>
    <w:p w14:paraId="1E646D6F" w14:textId="789C800C" w:rsidR="007775E2" w:rsidRPr="00EC0229" w:rsidRDefault="007775E2" w:rsidP="007775E2">
      <w:pPr>
        <w:pStyle w:val="NoSpacing"/>
        <w:spacing w:line="360" w:lineRule="auto"/>
      </w:pPr>
      <w:r w:rsidRPr="00EC0229">
        <w:t xml:space="preserve">Further insight into the process of </w:t>
      </w:r>
      <w:r w:rsidR="003F2041" w:rsidRPr="00EC0229">
        <w:t>monetiz</w:t>
      </w:r>
      <w:r w:rsidRPr="00EC0229">
        <w:t>ation</w:t>
      </w:r>
      <w:r w:rsidRPr="00EC0229">
        <w:fldChar w:fldCharType="begin"/>
      </w:r>
      <w:r w:rsidRPr="00EC0229">
        <w:instrText xml:space="preserve"> XE "monetization" </w:instrText>
      </w:r>
      <w:r w:rsidRPr="00EC0229">
        <w:fldChar w:fldCharType="end"/>
      </w:r>
      <w:r w:rsidRPr="00EC0229">
        <w:t xml:space="preserve"> may be gained by study of the process on the near Continent, in those countries </w:t>
      </w:r>
      <w:r w:rsidR="000E0C70" w:rsidRPr="00EC0229">
        <w:t xml:space="preserve">not </w:t>
      </w:r>
      <w:r w:rsidR="003F2041" w:rsidRPr="00EC0229">
        <w:t>monetiz</w:t>
      </w:r>
      <w:r w:rsidR="000E0C70" w:rsidRPr="00EC0229">
        <w:t xml:space="preserve">ed from Roman times but </w:t>
      </w:r>
      <w:r w:rsidRPr="00EC0229">
        <w:t>which may be regarded as participating in the North Sea trading zone.</w:t>
      </w:r>
    </w:p>
    <w:p w14:paraId="0DC703EC" w14:textId="77777777" w:rsidR="007775E2" w:rsidRPr="00EC0229" w:rsidRDefault="007775E2" w:rsidP="007775E2">
      <w:pPr>
        <w:spacing w:line="360" w:lineRule="auto"/>
      </w:pPr>
    </w:p>
    <w:p w14:paraId="1C8BE8BC" w14:textId="77777777" w:rsidR="00D311C4" w:rsidRDefault="00D311C4">
      <w:pPr>
        <w:spacing w:line="259" w:lineRule="auto"/>
        <w:jc w:val="left"/>
        <w:rPr>
          <w:b/>
          <w:sz w:val="28"/>
          <w:szCs w:val="26"/>
        </w:rPr>
      </w:pPr>
      <w:bookmarkStart w:id="141" w:name="Chapter10"/>
      <w:bookmarkEnd w:id="141"/>
      <w:r>
        <w:br w:type="page"/>
      </w:r>
    </w:p>
    <w:p w14:paraId="26EE3FB4" w14:textId="61628B6E" w:rsidR="007775E2" w:rsidRPr="00EC0229" w:rsidRDefault="00624DF5" w:rsidP="007775E2">
      <w:pPr>
        <w:pStyle w:val="Heading2"/>
        <w:spacing w:line="360" w:lineRule="auto"/>
      </w:pPr>
      <w:bookmarkStart w:id="142" w:name="_Toc468266757"/>
      <w:r>
        <w:lastRenderedPageBreak/>
        <w:t>3.3</w:t>
      </w:r>
      <w:r>
        <w:tab/>
      </w:r>
      <w:r w:rsidR="007775E2" w:rsidRPr="00EC0229">
        <w:t>Scandia</w:t>
      </w:r>
      <w:bookmarkEnd w:id="142"/>
      <w:r w:rsidR="007775E2" w:rsidRPr="00EC0229">
        <w:fldChar w:fldCharType="begin"/>
      </w:r>
      <w:r w:rsidR="007775E2" w:rsidRPr="00EC0229">
        <w:instrText xml:space="preserve"> XE "</w:instrText>
      </w:r>
      <w:r w:rsidR="007775E2" w:rsidRPr="00EC0229">
        <w:rPr>
          <w:rStyle w:val="Hyperlink"/>
          <w:rFonts w:cs="Times New Roman"/>
          <w:noProof/>
          <w:u w:val="none"/>
        </w:rPr>
        <w:instrText>Scandia</w:instrText>
      </w:r>
      <w:r w:rsidR="007775E2" w:rsidRPr="00EC0229">
        <w:instrText xml:space="preserve">" </w:instrText>
      </w:r>
      <w:r w:rsidR="007775E2" w:rsidRPr="00EC0229">
        <w:fldChar w:fldCharType="end"/>
      </w:r>
      <w:r w:rsidR="007775E2" w:rsidRPr="00EC0229">
        <w:t xml:space="preserve"> </w:t>
      </w:r>
    </w:p>
    <w:p w14:paraId="1D0E98BF" w14:textId="77777777" w:rsidR="007775E2" w:rsidRPr="00EC0229" w:rsidRDefault="007775E2" w:rsidP="007775E2">
      <w:pPr>
        <w:pStyle w:val="NoSpacing"/>
        <w:spacing w:line="360" w:lineRule="auto"/>
        <w:ind w:left="1080"/>
        <w:jc w:val="right"/>
        <w:rPr>
          <w:sz w:val="20"/>
          <w:szCs w:val="20"/>
        </w:rPr>
      </w:pPr>
      <w:r w:rsidRPr="00EC0229">
        <w:rPr>
          <w:sz w:val="20"/>
          <w:szCs w:val="20"/>
        </w:rPr>
        <w:t>‘But the spectacle presented by this Anglo-Saxon</w:t>
      </w:r>
      <w:r w:rsidRPr="00EC0229">
        <w:rPr>
          <w:sz w:val="20"/>
          <w:szCs w:val="20"/>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 w:val="20"/>
          <w:szCs w:val="20"/>
        </w:rPr>
        <w:fldChar w:fldCharType="end"/>
      </w:r>
      <w:r w:rsidRPr="00EC0229">
        <w:rPr>
          <w:sz w:val="20"/>
          <w:szCs w:val="20"/>
        </w:rPr>
        <w:t xml:space="preserve"> Britain was unique. </w:t>
      </w:r>
    </w:p>
    <w:p w14:paraId="5406A9FF" w14:textId="77777777" w:rsidR="007775E2" w:rsidRPr="00EC0229" w:rsidRDefault="007775E2" w:rsidP="007775E2">
      <w:pPr>
        <w:pStyle w:val="NoSpacing"/>
        <w:spacing w:line="360" w:lineRule="auto"/>
        <w:ind w:left="1080"/>
        <w:jc w:val="right"/>
        <w:rPr>
          <w:sz w:val="20"/>
          <w:szCs w:val="20"/>
        </w:rPr>
      </w:pPr>
      <w:r w:rsidRPr="00EC0229">
        <w:rPr>
          <w:sz w:val="20"/>
          <w:szCs w:val="20"/>
        </w:rPr>
        <w:t>We should seek in vain for anything like it on the Continent.’</w:t>
      </w:r>
    </w:p>
    <w:p w14:paraId="1EB46C39" w14:textId="77777777" w:rsidR="007775E2" w:rsidRPr="00EC0229" w:rsidRDefault="007775E2" w:rsidP="007775E2">
      <w:pPr>
        <w:pStyle w:val="NoSpacing"/>
        <w:spacing w:line="360" w:lineRule="auto"/>
        <w:ind w:left="1080"/>
        <w:jc w:val="right"/>
        <w:rPr>
          <w:sz w:val="20"/>
          <w:szCs w:val="20"/>
        </w:rPr>
      </w:pPr>
      <w:r w:rsidRPr="00EC0229">
        <w:rPr>
          <w:sz w:val="20"/>
          <w:szCs w:val="20"/>
        </w:rPr>
        <w:t>Henri Pirenne</w:t>
      </w:r>
      <w:r w:rsidRPr="00EC0229">
        <w:rPr>
          <w:sz w:val="20"/>
          <w:szCs w:val="20"/>
        </w:rPr>
        <w:fldChar w:fldCharType="begin"/>
      </w:r>
      <w:r w:rsidRPr="00EC0229">
        <w:instrText xml:space="preserve"> XE "</w:instrText>
      </w:r>
      <w:r w:rsidRPr="00EC0229">
        <w:rPr>
          <w:rStyle w:val="Hyperlink"/>
          <w:noProof/>
          <w:u w:val="none"/>
        </w:rPr>
        <w:instrText>Pirenne</w:instrText>
      </w:r>
      <w:r w:rsidRPr="00EC0229">
        <w:instrText xml:space="preserve">" </w:instrText>
      </w:r>
      <w:r w:rsidRPr="00EC0229">
        <w:rPr>
          <w:sz w:val="20"/>
          <w:szCs w:val="20"/>
        </w:rPr>
        <w:fldChar w:fldCharType="end"/>
      </w:r>
      <w:r w:rsidRPr="00EC0229">
        <w:rPr>
          <w:sz w:val="20"/>
          <w:szCs w:val="20"/>
        </w:rPr>
        <w:t xml:space="preserve"> (2001, 141).</w:t>
      </w:r>
    </w:p>
    <w:p w14:paraId="0AA89AEE" w14:textId="5D1E9E7A" w:rsidR="007775E2" w:rsidRPr="00EC0229" w:rsidRDefault="007775E2" w:rsidP="007775E2">
      <w:pPr>
        <w:pStyle w:val="NoSpacing"/>
        <w:spacing w:line="360" w:lineRule="auto"/>
        <w:rPr>
          <w:szCs w:val="24"/>
        </w:rPr>
      </w:pPr>
      <w:r w:rsidRPr="00EC0229">
        <w:rPr>
          <w:szCs w:val="24"/>
        </w:rPr>
        <w:t xml:space="preserve">The above review of </w:t>
      </w:r>
      <w:r w:rsidR="00572E51" w:rsidRPr="00EC0229">
        <w:rPr>
          <w:szCs w:val="24"/>
        </w:rPr>
        <w:t>Southumbria</w:t>
      </w:r>
      <w:r w:rsidRPr="00EC0229">
        <w:rPr>
          <w:szCs w:val="24"/>
        </w:rPr>
        <w:t xml:space="preserve">n </w:t>
      </w:r>
      <w:r w:rsidR="003F2041" w:rsidRPr="00EC0229">
        <w:rPr>
          <w:szCs w:val="24"/>
        </w:rPr>
        <w:t>monetiz</w:t>
      </w:r>
      <w:r w:rsidRPr="00EC0229">
        <w:rPr>
          <w:szCs w:val="24"/>
        </w:rPr>
        <w:t>ation (</w:t>
      </w:r>
      <w:r w:rsidRPr="00EC0229">
        <w:rPr>
          <w:szCs w:val="24"/>
        </w:rPr>
        <w:fldChar w:fldCharType="begin"/>
      </w:r>
      <w:r w:rsidRPr="00EC0229">
        <w:rPr>
          <w:szCs w:val="24"/>
        </w:rPr>
        <w:instrText xml:space="preserve"> PAGEREF Southumbrian \h </w:instrText>
      </w:r>
      <w:r w:rsidRPr="00EC0229">
        <w:rPr>
          <w:szCs w:val="24"/>
        </w:rPr>
      </w:r>
      <w:r w:rsidRPr="00EC0229">
        <w:rPr>
          <w:szCs w:val="24"/>
        </w:rPr>
        <w:fldChar w:fldCharType="separate"/>
      </w:r>
      <w:r w:rsidR="0012026B">
        <w:rPr>
          <w:noProof/>
          <w:szCs w:val="24"/>
        </w:rPr>
        <w:t>60</w:t>
      </w:r>
      <w:r w:rsidRPr="00EC0229">
        <w:rPr>
          <w:szCs w:val="24"/>
        </w:rPr>
        <w:fldChar w:fldCharType="end"/>
      </w:r>
      <w:r w:rsidRPr="00EC0229">
        <w:rPr>
          <w:szCs w:val="24"/>
        </w:rPr>
        <w:t xml:space="preserve">), gives some insight to the process </w:t>
      </w:r>
      <w:r w:rsidRPr="00EC0229">
        <w:rPr>
          <w:szCs w:val="24"/>
        </w:rPr>
        <w:fldChar w:fldCharType="begin"/>
      </w:r>
      <w:r w:rsidRPr="00EC0229">
        <w:instrText xml:space="preserve"> XE "monetization" </w:instrText>
      </w:r>
      <w:r w:rsidRPr="00EC0229">
        <w:rPr>
          <w:szCs w:val="24"/>
        </w:rPr>
        <w:fldChar w:fldCharType="end"/>
      </w:r>
      <w:r w:rsidRPr="00EC0229">
        <w:rPr>
          <w:szCs w:val="24"/>
        </w:rPr>
        <w:t>in England. While trading partners in Francia</w:t>
      </w:r>
      <w:r w:rsidRPr="00EC0229">
        <w:rPr>
          <w:szCs w:val="24"/>
        </w:rPr>
        <w:fldChar w:fldCharType="begin"/>
      </w:r>
      <w:r w:rsidRPr="00EC0229">
        <w:instrText xml:space="preserve"> XE "</w:instrText>
      </w:r>
      <w:r w:rsidRPr="00EC0229">
        <w:rPr>
          <w:rFonts w:cs="Times New Roman"/>
          <w:noProof/>
        </w:rPr>
        <w:instrText>Francia</w:instrText>
      </w:r>
      <w:r w:rsidRPr="00EC0229">
        <w:instrText xml:space="preserve">" </w:instrText>
      </w:r>
      <w:r w:rsidRPr="00EC0229">
        <w:rPr>
          <w:szCs w:val="24"/>
        </w:rPr>
        <w:fldChar w:fldCharType="end"/>
      </w:r>
      <w:r w:rsidRPr="00EC0229">
        <w:rPr>
          <w:szCs w:val="24"/>
        </w:rPr>
        <w:t xml:space="preserve"> and Scandia</w:t>
      </w:r>
      <w:r w:rsidRPr="00EC0229">
        <w:rPr>
          <w:szCs w:val="24"/>
        </w:rPr>
        <w:fldChar w:fldCharType="begin"/>
      </w:r>
      <w:r w:rsidRPr="00EC0229">
        <w:instrText xml:space="preserve"> XE "</w:instrText>
      </w:r>
      <w:r w:rsidRPr="00EC0229">
        <w:rPr>
          <w:rFonts w:cs="Times New Roman"/>
          <w:noProof/>
        </w:rPr>
        <w:instrText>Scandia</w:instrText>
      </w:r>
      <w:r w:rsidRPr="00EC0229">
        <w:instrText xml:space="preserve">" </w:instrText>
      </w:r>
      <w:r w:rsidRPr="00EC0229">
        <w:rPr>
          <w:szCs w:val="24"/>
        </w:rPr>
        <w:fldChar w:fldCharType="end"/>
      </w:r>
      <w:r w:rsidRPr="00EC0229">
        <w:rPr>
          <w:szCs w:val="24"/>
        </w:rPr>
        <w:t xml:space="preserve"> were both influential, the former remained </w:t>
      </w:r>
      <w:r w:rsidR="003F2041" w:rsidRPr="00EC0229">
        <w:rPr>
          <w:szCs w:val="24"/>
        </w:rPr>
        <w:t>monetiz</w:t>
      </w:r>
      <w:r w:rsidRPr="00EC0229">
        <w:rPr>
          <w:szCs w:val="24"/>
        </w:rPr>
        <w:t xml:space="preserve">ed throughout the period under review; a contrast between the latter and Northumbria may be instructive. </w:t>
      </w:r>
    </w:p>
    <w:p w14:paraId="014C563C" w14:textId="77777777" w:rsidR="007775E2" w:rsidRPr="00EC0229" w:rsidRDefault="007775E2" w:rsidP="007775E2">
      <w:bookmarkStart w:id="143" w:name="Scandinavianmonetization"/>
      <w:bookmarkEnd w:id="143"/>
    </w:p>
    <w:p w14:paraId="6894F0FE" w14:textId="4D940A97" w:rsidR="007775E2" w:rsidRPr="00EC0229" w:rsidRDefault="00624DF5" w:rsidP="007775E2">
      <w:pPr>
        <w:pStyle w:val="Heading3"/>
        <w:spacing w:line="360" w:lineRule="auto"/>
      </w:pPr>
      <w:bookmarkStart w:id="144" w:name="_Toc468266758"/>
      <w:r>
        <w:t>3.3.1</w:t>
      </w:r>
      <w:r>
        <w:tab/>
      </w:r>
      <w:r w:rsidR="007775E2" w:rsidRPr="00EC0229">
        <w:t xml:space="preserve">Scandinavian </w:t>
      </w:r>
      <w:r w:rsidR="003F2041" w:rsidRPr="00EC0229">
        <w:t>monetiz</w:t>
      </w:r>
      <w:r w:rsidR="007775E2" w:rsidRPr="00EC0229">
        <w:t>ation and Viking</w:t>
      </w:r>
      <w:r w:rsidR="007775E2" w:rsidRPr="00EC0229">
        <w:fldChar w:fldCharType="begin"/>
      </w:r>
      <w:r w:rsidR="007775E2" w:rsidRPr="00EC0229">
        <w:instrText xml:space="preserve"> XE "</w:instrText>
      </w:r>
      <w:r w:rsidR="007775E2" w:rsidRPr="00EC0229">
        <w:rPr>
          <w:rStyle w:val="Hyperlink"/>
          <w:noProof/>
          <w:u w:val="none"/>
        </w:rPr>
        <w:instrText>Viking</w:instrText>
      </w:r>
      <w:r w:rsidR="007775E2" w:rsidRPr="00EC0229">
        <w:instrText xml:space="preserve">" </w:instrText>
      </w:r>
      <w:r w:rsidR="007775E2" w:rsidRPr="00EC0229">
        <w:fldChar w:fldCharType="end"/>
      </w:r>
      <w:r w:rsidR="007775E2" w:rsidRPr="00EC0229">
        <w:t xml:space="preserve"> incursions </w:t>
      </w:r>
      <w:r w:rsidR="007775E2" w:rsidRPr="00EC0229">
        <w:rPr>
          <w:rStyle w:val="FootnoteReference"/>
          <w:b w:val="0"/>
        </w:rPr>
        <w:footnoteReference w:id="336"/>
      </w:r>
      <w:bookmarkEnd w:id="144"/>
      <w:r w:rsidR="007775E2" w:rsidRPr="00EC0229">
        <w:fldChar w:fldCharType="begin"/>
      </w:r>
      <w:r w:rsidR="007775E2" w:rsidRPr="00EC0229">
        <w:instrText xml:space="preserve"> XE "monetization" </w:instrText>
      </w:r>
      <w:r w:rsidR="007775E2" w:rsidRPr="00EC0229">
        <w:fldChar w:fldCharType="end"/>
      </w:r>
    </w:p>
    <w:p w14:paraId="34EE3F21" w14:textId="77777777" w:rsidR="007775E2" w:rsidRPr="00EC0229" w:rsidRDefault="007775E2" w:rsidP="007775E2">
      <w:pPr>
        <w:pStyle w:val="NoSpacing"/>
        <w:spacing w:line="360" w:lineRule="auto"/>
        <w:jc w:val="right"/>
        <w:rPr>
          <w:sz w:val="20"/>
          <w:szCs w:val="20"/>
        </w:rPr>
      </w:pPr>
      <w:r w:rsidRPr="00EC0229">
        <w:rPr>
          <w:i/>
          <w:sz w:val="20"/>
          <w:szCs w:val="20"/>
        </w:rPr>
        <w:t xml:space="preserve"> </w:t>
      </w:r>
      <w:r w:rsidRPr="00EC0229">
        <w:rPr>
          <w:sz w:val="20"/>
          <w:szCs w:val="20"/>
        </w:rPr>
        <w:t>‘The question of monetisation is, of course, one that forces sweeping generalisations about a topic that is, indeed, of a very heterogeneous character.’</w:t>
      </w:r>
    </w:p>
    <w:p w14:paraId="32F8A7C9" w14:textId="77777777" w:rsidR="007775E2" w:rsidRPr="00EC0229" w:rsidRDefault="007775E2" w:rsidP="007775E2">
      <w:pPr>
        <w:pStyle w:val="NoSpacing"/>
        <w:spacing w:line="360" w:lineRule="auto"/>
        <w:jc w:val="right"/>
        <w:rPr>
          <w:sz w:val="20"/>
          <w:szCs w:val="20"/>
        </w:rPr>
      </w:pPr>
      <w:r w:rsidRPr="00EC0229">
        <w:rPr>
          <w:sz w:val="20"/>
          <w:szCs w:val="20"/>
        </w:rPr>
        <w:t xml:space="preserve"> Svein Gullbekk,</w:t>
      </w:r>
      <w:r w:rsidRPr="00EC0229">
        <w:rPr>
          <w:i/>
          <w:sz w:val="20"/>
          <w:szCs w:val="20"/>
        </w:rPr>
        <w:t xml:space="preserve"> </w:t>
      </w:r>
      <w:r w:rsidRPr="00EC0229">
        <w:rPr>
          <w:sz w:val="20"/>
          <w:szCs w:val="20"/>
        </w:rPr>
        <w:t>Monetisation in Medieval Scandinavia</w:t>
      </w:r>
      <w:r w:rsidRPr="00EC0229">
        <w:rPr>
          <w:sz w:val="20"/>
          <w:szCs w:val="20"/>
        </w:rPr>
        <w:fldChar w:fldCharType="begin"/>
      </w:r>
      <w:r w:rsidRPr="00EC0229">
        <w:instrText xml:space="preserve"> XE "</w:instrText>
      </w:r>
      <w:r w:rsidRPr="00EC0229">
        <w:rPr>
          <w:rStyle w:val="Hyperlink"/>
          <w:noProof/>
          <w:u w:val="none"/>
        </w:rPr>
        <w:instrText>Scandinavia</w:instrText>
      </w:r>
      <w:r w:rsidRPr="00EC0229">
        <w:instrText xml:space="preserve">" </w:instrText>
      </w:r>
      <w:r w:rsidRPr="00EC0229">
        <w:rPr>
          <w:sz w:val="20"/>
          <w:szCs w:val="20"/>
        </w:rPr>
        <w:fldChar w:fldCharType="end"/>
      </w:r>
      <w:r w:rsidRPr="00EC0229">
        <w:rPr>
          <w:rStyle w:val="FootnoteReference"/>
          <w:sz w:val="20"/>
        </w:rPr>
        <w:footnoteReference w:id="337"/>
      </w:r>
    </w:p>
    <w:p w14:paraId="398FFAD1" w14:textId="468533BA" w:rsidR="00572E51" w:rsidRPr="00EC0229" w:rsidRDefault="00572E51" w:rsidP="007775E2">
      <w:pPr>
        <w:pStyle w:val="NoSpacing"/>
        <w:spacing w:line="360" w:lineRule="auto"/>
      </w:pPr>
      <w:r w:rsidRPr="00EC0229">
        <w:t xml:space="preserve">From the eighth century, southern Scandinavia is </w:t>
      </w:r>
      <w:r w:rsidR="004504D2">
        <w:t>characterize</w:t>
      </w:r>
      <w:r w:rsidRPr="00EC0229">
        <w:t xml:space="preserve">d by the development of </w:t>
      </w:r>
      <w:r w:rsidR="00BF6095">
        <w:t>several</w:t>
      </w:r>
      <w:r w:rsidRPr="00EC0229">
        <w:t xml:space="preserve"> trading and manufacturing centres, equiv</w:t>
      </w:r>
      <w:r w:rsidR="00BF6095">
        <w:t>alent to the Southumbrian wics.</w:t>
      </w:r>
      <w:r w:rsidRPr="00EC0229">
        <w:t xml:space="preserve"> Ribe is discussed below as sceats are present here but not at other sites such as Hedeby or Birka.</w:t>
      </w:r>
    </w:p>
    <w:p w14:paraId="33FD45DB" w14:textId="77777777" w:rsidR="00572E51" w:rsidRPr="00EC0229" w:rsidRDefault="00572E51" w:rsidP="007775E2">
      <w:pPr>
        <w:pStyle w:val="NoSpacing"/>
        <w:spacing w:line="360" w:lineRule="auto"/>
      </w:pPr>
    </w:p>
    <w:p w14:paraId="0A79739C" w14:textId="0B438D4A" w:rsidR="007775E2" w:rsidRPr="00EC0229" w:rsidRDefault="007775E2" w:rsidP="007775E2">
      <w:pPr>
        <w:pStyle w:val="NoSpacing"/>
        <w:spacing w:line="360" w:lineRule="auto"/>
        <w:rPr>
          <w:szCs w:val="24"/>
        </w:rPr>
      </w:pPr>
      <w:r w:rsidRPr="00EC0229">
        <w:rPr>
          <w:szCs w:val="24"/>
        </w:rPr>
        <w:t>Ribe is among the seven eighth/ninth-century nodal points</w:t>
      </w:r>
      <w:r w:rsidRPr="00EC0229">
        <w:rPr>
          <w:szCs w:val="24"/>
        </w:rPr>
        <w:fldChar w:fldCharType="begin"/>
      </w:r>
      <w:r w:rsidRPr="00EC0229">
        <w:instrText xml:space="preserve"> XE "</w:instrText>
      </w:r>
      <w:r w:rsidRPr="00EC0229">
        <w:rPr>
          <w:rFonts w:cs="Times New Roman"/>
          <w:szCs w:val="24"/>
        </w:rPr>
        <w:instrText>nodal points</w:instrText>
      </w:r>
      <w:r w:rsidRPr="00EC0229">
        <w:instrText xml:space="preserve">" </w:instrText>
      </w:r>
      <w:r w:rsidRPr="00EC0229">
        <w:rPr>
          <w:szCs w:val="24"/>
        </w:rPr>
        <w:fldChar w:fldCharType="end"/>
      </w:r>
      <w:r w:rsidRPr="00EC0229">
        <w:rPr>
          <w:szCs w:val="24"/>
        </w:rPr>
        <w:t xml:space="preserve"> identified by Sindb</w:t>
      </w:r>
      <w:r w:rsidRPr="00EC0229">
        <w:rPr>
          <w:rFonts w:cs="Times New Roman"/>
          <w:szCs w:val="24"/>
        </w:rPr>
        <w:t>æ</w:t>
      </w:r>
      <w:r w:rsidRPr="00EC0229">
        <w:rPr>
          <w:szCs w:val="24"/>
        </w:rPr>
        <w:t>k for having a long-distance, material culture including glass and ceramic sherds, beads, Badorf- and Tating-ware, and fragments of Mayen-basalt quernstones in common with the other nodal points he identified.</w:t>
      </w:r>
      <w:r w:rsidRPr="00EC0229">
        <w:rPr>
          <w:rStyle w:val="FootnoteReference"/>
          <w:szCs w:val="24"/>
        </w:rPr>
        <w:footnoteReference w:id="338"/>
      </w:r>
      <w:r w:rsidRPr="00EC0229">
        <w:rPr>
          <w:szCs w:val="24"/>
        </w:rPr>
        <w:t xml:space="preserve"> </w:t>
      </w:r>
    </w:p>
    <w:p w14:paraId="7054D2AE" w14:textId="77777777" w:rsidR="007775E2" w:rsidRPr="00EC0229" w:rsidRDefault="007775E2" w:rsidP="007775E2">
      <w:pPr>
        <w:pStyle w:val="NoSpacing"/>
        <w:spacing w:line="360" w:lineRule="auto"/>
      </w:pPr>
    </w:p>
    <w:p w14:paraId="01234118" w14:textId="77777777" w:rsidR="007775E2" w:rsidRPr="00EC0229" w:rsidRDefault="007775E2" w:rsidP="007775E2">
      <w:pPr>
        <w:pStyle w:val="NoSpacing"/>
        <w:spacing w:line="360" w:lineRule="auto"/>
        <w:rPr>
          <w:szCs w:val="24"/>
        </w:rPr>
      </w:pPr>
      <w:r w:rsidRPr="00EC0229">
        <w:rPr>
          <w:szCs w:val="24"/>
        </w:rPr>
        <w:t>Importation by regular travellers distinguishes these sites from local markets. ‘The conceptualisation of spatial, social or economic relations as a network, continuously being formed by a heterogeneous assemblage of actors, offers a more organic approach to prehistoric trade and its location than the previous perspectives that assigned agency in advance to external force or internal social process.’</w:t>
      </w:r>
      <w:r w:rsidRPr="00EC0229">
        <w:rPr>
          <w:rStyle w:val="FootnoteReference"/>
          <w:szCs w:val="24"/>
        </w:rPr>
        <w:footnoteReference w:id="339"/>
      </w:r>
      <w:r w:rsidRPr="00EC0229">
        <w:rPr>
          <w:szCs w:val="24"/>
        </w:rPr>
        <w:t xml:space="preserve"> Later, royal supervision led to fortification, mints and seats of administration (</w:t>
      </w:r>
      <w:r w:rsidRPr="00EC0229">
        <w:rPr>
          <w:i/>
          <w:szCs w:val="24"/>
        </w:rPr>
        <w:t>cf</w:t>
      </w:r>
      <w:r w:rsidRPr="00EC0229">
        <w:rPr>
          <w:szCs w:val="24"/>
        </w:rPr>
        <w:t xml:space="preserve"> the English burhs).</w:t>
      </w:r>
      <w:r w:rsidRPr="00EC0229">
        <w:rPr>
          <w:rStyle w:val="FootnoteReference"/>
          <w:szCs w:val="24"/>
        </w:rPr>
        <w:footnoteReference w:id="340"/>
      </w:r>
      <w:r w:rsidRPr="00EC0229">
        <w:rPr>
          <w:szCs w:val="24"/>
        </w:rPr>
        <w:t xml:space="preserve"> Secure nodal points</w:t>
      </w:r>
      <w:r w:rsidRPr="00EC0229">
        <w:rPr>
          <w:szCs w:val="24"/>
        </w:rPr>
        <w:fldChar w:fldCharType="begin"/>
      </w:r>
      <w:r w:rsidRPr="00EC0229">
        <w:instrText xml:space="preserve"> XE "</w:instrText>
      </w:r>
      <w:r w:rsidRPr="00EC0229">
        <w:rPr>
          <w:rFonts w:cs="Times New Roman"/>
          <w:szCs w:val="24"/>
        </w:rPr>
        <w:instrText>nodal points</w:instrText>
      </w:r>
      <w:r w:rsidRPr="00EC0229">
        <w:instrText xml:space="preserve">" </w:instrText>
      </w:r>
      <w:r w:rsidRPr="00EC0229">
        <w:rPr>
          <w:szCs w:val="24"/>
        </w:rPr>
        <w:fldChar w:fldCharType="end"/>
      </w:r>
      <w:r w:rsidRPr="00EC0229">
        <w:rPr>
          <w:szCs w:val="24"/>
        </w:rPr>
        <w:t>, ‘of an incipient urban character’</w:t>
      </w:r>
      <w:r w:rsidRPr="00EC0229">
        <w:rPr>
          <w:rStyle w:val="FootnoteReference"/>
          <w:szCs w:val="24"/>
        </w:rPr>
        <w:footnoteReference w:id="341"/>
      </w:r>
      <w:r w:rsidRPr="00EC0229">
        <w:rPr>
          <w:szCs w:val="24"/>
        </w:rPr>
        <w:t xml:space="preserve"> occur where topography requires trans-shipment and storage – here long-distance traders could meet.</w:t>
      </w:r>
    </w:p>
    <w:p w14:paraId="4084EE24" w14:textId="77777777" w:rsidR="007775E2" w:rsidRPr="00EC0229" w:rsidRDefault="007775E2" w:rsidP="007775E2">
      <w:pPr>
        <w:pStyle w:val="NoSpacing"/>
        <w:spacing w:line="360" w:lineRule="auto"/>
        <w:rPr>
          <w:szCs w:val="24"/>
        </w:rPr>
      </w:pPr>
    </w:p>
    <w:p w14:paraId="46B0AC4D" w14:textId="20D52571" w:rsidR="007775E2" w:rsidRPr="008E6548" w:rsidRDefault="005F38D6" w:rsidP="005F38D6">
      <w:pPr>
        <w:pStyle w:val="Heading3"/>
      </w:pPr>
      <w:bookmarkStart w:id="145" w:name="_Toc468266759"/>
      <w:r>
        <w:t>3.3.2</w:t>
      </w:r>
      <w:r>
        <w:tab/>
      </w:r>
      <w:r w:rsidR="007775E2" w:rsidRPr="008E6548">
        <w:t>Numismatic Summary</w:t>
      </w:r>
      <w:bookmarkEnd w:id="145"/>
    </w:p>
    <w:p w14:paraId="02CEE762" w14:textId="6270E78F" w:rsidR="007775E2" w:rsidRPr="00EC0229" w:rsidRDefault="007775E2" w:rsidP="007775E2">
      <w:pPr>
        <w:spacing w:line="360" w:lineRule="auto"/>
        <w:rPr>
          <w:rFonts w:cs="Times New Roman"/>
          <w:szCs w:val="24"/>
        </w:rPr>
      </w:pPr>
      <w:r w:rsidRPr="00EC0229">
        <w:rPr>
          <w:rFonts w:cs="Times New Roman"/>
          <w:szCs w:val="24"/>
        </w:rPr>
        <w:t>The recent numismatic work on the Ribe site is largely that of Feveile.</w:t>
      </w:r>
      <w:r w:rsidR="00225A54">
        <w:rPr>
          <w:rStyle w:val="FootnoteReference"/>
          <w:rFonts w:cs="Times New Roman"/>
          <w:szCs w:val="24"/>
        </w:rPr>
        <w:footnoteReference w:id="342"/>
      </w:r>
      <w:r w:rsidRPr="00EC0229">
        <w:rPr>
          <w:rFonts w:cs="Times New Roman"/>
          <w:szCs w:val="24"/>
        </w:rPr>
        <w:t xml:space="preserve"> The exceptional dendrochronology and artefact-rich stratification has significance well beyond this site. The attribution of Series</w:t>
      </w:r>
      <w:r w:rsidRPr="00EC0229">
        <w:rPr>
          <w:rFonts w:cs="Times New Roman"/>
          <w:szCs w:val="24"/>
        </w:rPr>
        <w:fldChar w:fldCharType="begin"/>
      </w:r>
      <w:r w:rsidRPr="00EC0229">
        <w:instrText xml:space="preserve"> XE "Series" </w:instrText>
      </w:r>
      <w:r w:rsidRPr="00EC0229">
        <w:rPr>
          <w:rFonts w:cs="Times New Roman"/>
          <w:szCs w:val="24"/>
        </w:rPr>
        <w:fldChar w:fldCharType="end"/>
      </w:r>
      <w:r w:rsidRPr="00EC0229">
        <w:rPr>
          <w:rFonts w:cs="Times New Roman"/>
          <w:szCs w:val="24"/>
        </w:rPr>
        <w:t xml:space="preserve"> X,</w:t>
      </w:r>
      <w:r w:rsidRPr="00EC0229">
        <w:rPr>
          <w:rFonts w:cs="Times New Roman"/>
          <w:szCs w:val="24"/>
        </w:rPr>
        <w:fldChar w:fldCharType="begin"/>
      </w:r>
      <w:r w:rsidRPr="00EC0229">
        <w:instrText xml:space="preserve"> XE "</w:instrText>
      </w:r>
      <w:r w:rsidRPr="00EC0229">
        <w:rPr>
          <w:szCs w:val="24"/>
        </w:rPr>
        <w:instrText>Series X</w:instrText>
      </w:r>
      <w:r w:rsidRPr="00EC0229">
        <w:instrText xml:space="preserve">" </w:instrText>
      </w:r>
      <w:r w:rsidRPr="00EC0229">
        <w:rPr>
          <w:rFonts w:cs="Times New Roman"/>
          <w:szCs w:val="24"/>
        </w:rPr>
        <w:fldChar w:fldCharType="end"/>
      </w:r>
      <w:r w:rsidRPr="00EC0229">
        <w:rPr>
          <w:rFonts w:cs="Times New Roman"/>
          <w:szCs w:val="24"/>
        </w:rPr>
        <w:fldChar w:fldCharType="begin"/>
      </w:r>
      <w:r w:rsidRPr="00EC0229">
        <w:instrText xml:space="preserve"> XE "sceatta" </w:instrText>
      </w:r>
      <w:r w:rsidRPr="00EC0229">
        <w:rPr>
          <w:rFonts w:cs="Times New Roman"/>
          <w:szCs w:val="24"/>
        </w:rPr>
        <w:fldChar w:fldCharType="end"/>
      </w:r>
      <w:r w:rsidRPr="00EC0229">
        <w:rPr>
          <w:rFonts w:cs="Times New Roman"/>
          <w:szCs w:val="24"/>
        </w:rPr>
        <w:t xml:space="preserve"> known, perhaps inaccurately,</w:t>
      </w:r>
      <w:r w:rsidRPr="00EC0229">
        <w:rPr>
          <w:rStyle w:val="FootnoteReference"/>
          <w:rFonts w:cs="Times New Roman"/>
          <w:szCs w:val="24"/>
        </w:rPr>
        <w:t xml:space="preserve"> </w:t>
      </w:r>
      <w:r w:rsidRPr="00EC0229">
        <w:rPr>
          <w:rStyle w:val="FootnoteReference"/>
          <w:rFonts w:cs="Times New Roman"/>
          <w:szCs w:val="24"/>
        </w:rPr>
        <w:footnoteReference w:id="343"/>
      </w:r>
      <w:r w:rsidRPr="00EC0229">
        <w:rPr>
          <w:rFonts w:cs="Times New Roman"/>
          <w:szCs w:val="24"/>
        </w:rPr>
        <w:t xml:space="preserve">  as the ‘Wodan/monster type’, to Ribe, is incontrovertible.</w:t>
      </w:r>
      <w:r w:rsidRPr="00EC0229">
        <w:rPr>
          <w:rStyle w:val="FootnoteReference"/>
          <w:rFonts w:cs="Times New Roman"/>
          <w:szCs w:val="24"/>
        </w:rPr>
        <w:footnoteReference w:id="344"/>
      </w:r>
      <w:r w:rsidRPr="00EC0229">
        <w:rPr>
          <w:rFonts w:cs="Times New Roman"/>
          <w:szCs w:val="24"/>
        </w:rPr>
        <w:t xml:space="preserve"> </w:t>
      </w:r>
    </w:p>
    <w:p w14:paraId="568F532C" w14:textId="11484495" w:rsidR="007775E2" w:rsidRPr="00EC0229" w:rsidRDefault="007775E2" w:rsidP="007775E2">
      <w:pPr>
        <w:spacing w:line="360" w:lineRule="auto"/>
        <w:rPr>
          <w:rFonts w:cs="Times New Roman"/>
          <w:szCs w:val="24"/>
        </w:rPr>
      </w:pPr>
      <w:r w:rsidRPr="00EC0229">
        <w:rPr>
          <w:rFonts w:cs="Times New Roman"/>
          <w:szCs w:val="24"/>
        </w:rPr>
        <w:t>Feveile’s chronology showed Series</w:t>
      </w:r>
      <w:r w:rsidRPr="00EC0229">
        <w:rPr>
          <w:rFonts w:cs="Times New Roman"/>
          <w:szCs w:val="24"/>
        </w:rPr>
        <w:fldChar w:fldCharType="begin"/>
      </w:r>
      <w:r w:rsidRPr="00EC0229">
        <w:instrText xml:space="preserve"> XE "Series" </w:instrText>
      </w:r>
      <w:r w:rsidRPr="00EC0229">
        <w:rPr>
          <w:rFonts w:cs="Times New Roman"/>
          <w:szCs w:val="24"/>
        </w:rPr>
        <w:fldChar w:fldCharType="end"/>
      </w:r>
      <w:r w:rsidRPr="00EC0229">
        <w:rPr>
          <w:rFonts w:cs="Times New Roman"/>
          <w:szCs w:val="24"/>
        </w:rPr>
        <w:t xml:space="preserve"> X</w:t>
      </w:r>
      <w:r w:rsidRPr="00EC0229">
        <w:rPr>
          <w:rFonts w:cs="Times New Roman"/>
          <w:szCs w:val="24"/>
        </w:rPr>
        <w:fldChar w:fldCharType="begin"/>
      </w:r>
      <w:r w:rsidRPr="00EC0229">
        <w:instrText xml:space="preserve"> XE "</w:instrText>
      </w:r>
      <w:r w:rsidRPr="00EC0229">
        <w:rPr>
          <w:szCs w:val="24"/>
        </w:rPr>
        <w:instrText>Series X</w:instrText>
      </w:r>
      <w:r w:rsidRPr="00EC0229">
        <w:instrText xml:space="preserve">" </w:instrText>
      </w:r>
      <w:r w:rsidRPr="00EC0229">
        <w:rPr>
          <w:rFonts w:cs="Times New Roman"/>
          <w:szCs w:val="24"/>
        </w:rPr>
        <w:fldChar w:fldCharType="end"/>
      </w:r>
      <w:r w:rsidRPr="00EC0229">
        <w:rPr>
          <w:rFonts w:cs="Times New Roman"/>
          <w:szCs w:val="24"/>
        </w:rPr>
        <w:t xml:space="preserve"> to have been in use throughout the eighth century – confirming what numismatists had long suspected. Northumbria</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szCs w:val="24"/>
        </w:rPr>
        <w:fldChar w:fldCharType="end"/>
      </w:r>
      <w:r w:rsidRPr="00EC0229">
        <w:rPr>
          <w:rFonts w:cs="Times New Roman"/>
          <w:szCs w:val="24"/>
        </w:rPr>
        <w:t xml:space="preserve"> and Denmark, therefore, shared a common currency in the second half of the eighth century - as did </w:t>
      </w:r>
      <w:r w:rsidR="00572E51" w:rsidRPr="00EC0229">
        <w:rPr>
          <w:rFonts w:cs="Times New Roman"/>
          <w:szCs w:val="24"/>
        </w:rPr>
        <w:t>Southumbria</w:t>
      </w:r>
      <w:r w:rsidRPr="00EC0229">
        <w:rPr>
          <w:rFonts w:cs="Times New Roman"/>
          <w:szCs w:val="24"/>
        </w:rPr>
        <w:t xml:space="preserve"> and Francia</w:t>
      </w:r>
      <w:r w:rsidRPr="00EC0229">
        <w:rPr>
          <w:rFonts w:cs="Times New Roman"/>
          <w:szCs w:val="24"/>
        </w:rPr>
        <w:fldChar w:fldCharType="begin"/>
      </w:r>
      <w:r w:rsidRPr="00EC0229">
        <w:instrText xml:space="preserve"> XE "</w:instrText>
      </w:r>
      <w:r w:rsidRPr="00EC0229">
        <w:rPr>
          <w:rStyle w:val="Hyperlink"/>
          <w:rFonts w:cs="Times New Roman"/>
          <w:noProof/>
          <w:u w:val="none"/>
        </w:rPr>
        <w:instrText>Francia</w:instrText>
      </w:r>
      <w:r w:rsidRPr="00EC0229">
        <w:instrText xml:space="preserve">" </w:instrText>
      </w:r>
      <w:r w:rsidRPr="00EC0229">
        <w:rPr>
          <w:rFonts w:cs="Times New Roman"/>
          <w:szCs w:val="24"/>
        </w:rPr>
        <w:fldChar w:fldCharType="end"/>
      </w:r>
      <w:r w:rsidRPr="00EC0229">
        <w:rPr>
          <w:rFonts w:cs="Times New Roman"/>
          <w:szCs w:val="24"/>
        </w:rPr>
        <w:t xml:space="preserve"> with the broad penny</w:t>
      </w:r>
      <w:r w:rsidRPr="00EC0229">
        <w:rPr>
          <w:rFonts w:cs="Times New Roman"/>
          <w:szCs w:val="24"/>
        </w:rPr>
        <w:fldChar w:fldCharType="begin"/>
      </w:r>
      <w:r w:rsidRPr="00EC0229">
        <w:instrText xml:space="preserve"> XE "penny"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345"/>
      </w:r>
      <w:r w:rsidRPr="00EC0229">
        <w:rPr>
          <w:rFonts w:cs="Times New Roman"/>
          <w:szCs w:val="24"/>
        </w:rPr>
        <w:t xml:space="preserve"> Insular copies of Series X occur in Northumbria and elsewhere. Indeed, through its coinage Ribe may have been a source of silver to its trading partners. The demise of Series X may not be unconnected with the attack on Lindisfarne</w:t>
      </w:r>
      <w:r w:rsidRPr="00EC0229">
        <w:rPr>
          <w:rFonts w:cs="Times New Roman"/>
          <w:szCs w:val="24"/>
        </w:rPr>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rPr>
          <w:rFonts w:cs="Times New Roman"/>
          <w:szCs w:val="24"/>
        </w:rPr>
        <w:fldChar w:fldCharType="end"/>
      </w:r>
      <w:r w:rsidRPr="00EC0229">
        <w:rPr>
          <w:rFonts w:cs="Times New Roman"/>
          <w:szCs w:val="24"/>
        </w:rPr>
        <w:t xml:space="preserve"> and consequent loss of commercial confidence.</w:t>
      </w:r>
    </w:p>
    <w:p w14:paraId="53769E25" w14:textId="3446E9B6" w:rsidR="007775E2" w:rsidRPr="00EC0229" w:rsidRDefault="007775E2" w:rsidP="007775E2">
      <w:pPr>
        <w:pStyle w:val="NoSpacing"/>
        <w:spacing w:line="360" w:lineRule="auto"/>
        <w:rPr>
          <w:szCs w:val="24"/>
        </w:rPr>
      </w:pPr>
      <w:r w:rsidRPr="00EC0229">
        <w:rPr>
          <w:szCs w:val="24"/>
        </w:rPr>
        <w:t>For the Vikings, trading and raiding were not serial, but rather parallel, activities. Their energetic expansionism, to both east and west, facilitated by superior vessels, rested on a domestic economy, the nature of which has been subject to much scholarship.</w:t>
      </w:r>
      <w:r w:rsidRPr="00EC0229">
        <w:rPr>
          <w:rStyle w:val="FootnoteReference"/>
          <w:szCs w:val="24"/>
        </w:rPr>
        <w:footnoteReference w:id="346"/>
      </w:r>
      <w:r w:rsidRPr="00EC0229">
        <w:rPr>
          <w:szCs w:val="24"/>
        </w:rPr>
        <w:t xml:space="preserve"> The impact on Northumbria was profound (</w:t>
      </w:r>
      <w:r w:rsidRPr="00EC0229">
        <w:rPr>
          <w:szCs w:val="24"/>
        </w:rPr>
        <w:fldChar w:fldCharType="begin"/>
      </w:r>
      <w:r w:rsidRPr="00EC0229">
        <w:rPr>
          <w:szCs w:val="24"/>
        </w:rPr>
        <w:instrText xml:space="preserve"> PAGEREF Eardwulf \h </w:instrText>
      </w:r>
      <w:r w:rsidRPr="00EC0229">
        <w:rPr>
          <w:szCs w:val="24"/>
        </w:rPr>
      </w:r>
      <w:r w:rsidRPr="00EC0229">
        <w:rPr>
          <w:szCs w:val="24"/>
        </w:rPr>
        <w:fldChar w:fldCharType="separate"/>
      </w:r>
      <w:r w:rsidR="0012026B">
        <w:rPr>
          <w:noProof/>
          <w:szCs w:val="24"/>
        </w:rPr>
        <w:t>143</w: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Lindisfarne \h </w:instrText>
      </w:r>
      <w:r w:rsidRPr="00EC0229">
        <w:rPr>
          <w:szCs w:val="24"/>
        </w:rPr>
      </w:r>
      <w:r w:rsidRPr="00EC0229">
        <w:rPr>
          <w:szCs w:val="24"/>
        </w:rPr>
        <w:fldChar w:fldCharType="separate"/>
      </w:r>
      <w:r w:rsidR="0012026B">
        <w:rPr>
          <w:noProof/>
          <w:szCs w:val="24"/>
        </w:rPr>
        <w:t>294</w:t>
      </w:r>
      <w:r w:rsidRPr="00EC0229">
        <w:rPr>
          <w:szCs w:val="24"/>
        </w:rPr>
        <w:fldChar w:fldCharType="end"/>
      </w:r>
      <w:r w:rsidRPr="00EC0229">
        <w:rPr>
          <w:szCs w:val="24"/>
        </w:rPr>
        <w:t>).</w:t>
      </w:r>
      <w:r w:rsidR="00225A54">
        <w:rPr>
          <w:rStyle w:val="FootnoteReference"/>
          <w:szCs w:val="24"/>
        </w:rPr>
        <w:footnoteReference w:id="347"/>
      </w:r>
      <w:r w:rsidRPr="00EC0229">
        <w:rPr>
          <w:szCs w:val="24"/>
        </w:rPr>
        <w:t xml:space="preserve"> Commencing around 825,</w:t>
      </w:r>
      <w:r w:rsidRPr="00EC0229">
        <w:rPr>
          <w:rStyle w:val="FootnoteReference"/>
          <w:szCs w:val="24"/>
        </w:rPr>
        <w:footnoteReference w:id="348"/>
      </w:r>
      <w:r w:rsidRPr="00EC0229">
        <w:rPr>
          <w:szCs w:val="24"/>
        </w:rPr>
        <w:t xml:space="preserve"> and peaking in the 890s, hoarded Samanid </w:t>
      </w:r>
      <w:r w:rsidRPr="00EC0229">
        <w:rPr>
          <w:rStyle w:val="FootnoteReference"/>
          <w:szCs w:val="24"/>
        </w:rPr>
        <w:footnoteReference w:id="349"/>
      </w:r>
      <w:r w:rsidRPr="00EC0229">
        <w:rPr>
          <w:szCs w:val="24"/>
        </w:rPr>
        <w:t xml:space="preserve"> dirhams mark the extent of the exchange of northern furs, honey, amber but especially slaves (northern Russians, Franks and predominantly Slavs) for silver dirhams in the </w:t>
      </w:r>
      <w:r w:rsidRPr="00EC0229">
        <w:rPr>
          <w:i/>
          <w:szCs w:val="24"/>
        </w:rPr>
        <w:t>kufic</w:t>
      </w:r>
      <w:r w:rsidRPr="00EC0229">
        <w:rPr>
          <w:szCs w:val="24"/>
        </w:rPr>
        <w:t xml:space="preserve"> script.</w:t>
      </w:r>
      <w:r w:rsidRPr="00EC0229">
        <w:rPr>
          <w:rStyle w:val="FootnoteReference"/>
          <w:szCs w:val="24"/>
        </w:rPr>
        <w:footnoteReference w:id="350"/>
      </w:r>
      <w:r w:rsidRPr="00EC0229">
        <w:rPr>
          <w:szCs w:val="24"/>
        </w:rPr>
        <w:t xml:space="preserve"> </w:t>
      </w:r>
    </w:p>
    <w:p w14:paraId="089DD626" w14:textId="77777777" w:rsidR="007775E2" w:rsidRPr="00EC0229" w:rsidRDefault="007775E2" w:rsidP="007775E2">
      <w:pPr>
        <w:pStyle w:val="NoSpacing"/>
        <w:spacing w:line="360" w:lineRule="auto"/>
        <w:rPr>
          <w:szCs w:val="24"/>
        </w:rPr>
      </w:pPr>
    </w:p>
    <w:p w14:paraId="2A2D2814" w14:textId="59312D03" w:rsidR="007775E2" w:rsidRPr="00EC0229" w:rsidRDefault="007775E2" w:rsidP="007775E2">
      <w:pPr>
        <w:spacing w:line="360" w:lineRule="auto"/>
        <w:rPr>
          <w:rFonts w:cs="Times New Roman"/>
        </w:rPr>
      </w:pPr>
      <w:r w:rsidRPr="00EC0229">
        <w:rPr>
          <w:rFonts w:cs="Times New Roman"/>
        </w:rPr>
        <w:t xml:space="preserve">Arguably, hacksilver is more versatile than coinage, even that of low denomination, despite the inefficiency of constantly weighing bullion. This, and the Viking lack of minting experience, help explain the suspension of Northumbrian </w:t>
      </w:r>
      <w:r w:rsidR="003F2041" w:rsidRPr="00EC0229">
        <w:rPr>
          <w:rFonts w:cs="Times New Roman"/>
        </w:rPr>
        <w:t>monetiz</w:t>
      </w:r>
      <w:r w:rsidRPr="00EC0229">
        <w:rPr>
          <w:rFonts w:cs="Times New Roman"/>
        </w:rPr>
        <w:t xml:space="preserve">ation in 866/7. Initially, the Vikings were </w:t>
      </w:r>
      <w:r w:rsidRPr="00EC0229">
        <w:rPr>
          <w:rFonts w:cs="Times New Roman"/>
        </w:rPr>
        <w:lastRenderedPageBreak/>
        <w:t>generally careless of the premium value that coins and jewellery, when intact, held above the bullion</w:t>
      </w:r>
      <w:r w:rsidRPr="00EC0229">
        <w:rPr>
          <w:rFonts w:cs="Times New Roman"/>
        </w:rPr>
        <w:fldChar w:fldCharType="begin"/>
      </w:r>
      <w:r w:rsidRPr="00EC0229">
        <w:instrText xml:space="preserve"> XE "</w:instrText>
      </w:r>
      <w:r w:rsidRPr="00EC0229">
        <w:rPr>
          <w:rFonts w:cs="Times New Roman"/>
          <w:szCs w:val="24"/>
        </w:rPr>
        <w:instrText>bullion</w:instrText>
      </w:r>
      <w:r w:rsidRPr="00EC0229">
        <w:instrText xml:space="preserve">" </w:instrText>
      </w:r>
      <w:r w:rsidRPr="00EC0229">
        <w:rPr>
          <w:rFonts w:cs="Times New Roman"/>
        </w:rPr>
        <w:fldChar w:fldCharType="end"/>
      </w:r>
      <w:r w:rsidRPr="00EC0229">
        <w:rPr>
          <w:rFonts w:cs="Times New Roman"/>
        </w:rPr>
        <w:t xml:space="preserve"> value of the components. Such premium value reflects the confidence of the holder in the case of </w:t>
      </w:r>
      <w:r w:rsidRPr="00EC0229">
        <w:rPr>
          <w:rFonts w:cs="Times New Roman"/>
          <w:i/>
        </w:rPr>
        <w:t>fiat</w:t>
      </w:r>
      <w:r w:rsidRPr="00EC0229">
        <w:rPr>
          <w:rFonts w:cs="Times New Roman"/>
          <w:i/>
        </w:rPr>
        <w:fldChar w:fldCharType="begin"/>
      </w:r>
      <w:r w:rsidRPr="00EC0229">
        <w:instrText xml:space="preserve"> XE "fiat" </w:instrText>
      </w:r>
      <w:r w:rsidRPr="00EC0229">
        <w:rPr>
          <w:rFonts w:cs="Times New Roman"/>
          <w:i/>
        </w:rPr>
        <w:fldChar w:fldCharType="end"/>
      </w:r>
      <w:r w:rsidRPr="00EC0229">
        <w:rPr>
          <w:rFonts w:cs="Times New Roman"/>
        </w:rPr>
        <w:t xml:space="preserve"> money</w:t>
      </w:r>
      <w:r w:rsidRPr="00EC0229">
        <w:rPr>
          <w:rFonts w:cs="Times New Roman"/>
        </w:rPr>
        <w:fldChar w:fldCharType="begin"/>
      </w:r>
      <w:r w:rsidRPr="00EC0229">
        <w:instrText xml:space="preserve"> XE "money" </w:instrText>
      </w:r>
      <w:r w:rsidRPr="00EC0229">
        <w:rPr>
          <w:rFonts w:cs="Times New Roman"/>
        </w:rPr>
        <w:fldChar w:fldCharType="end"/>
      </w:r>
      <w:r w:rsidRPr="00EC0229">
        <w:rPr>
          <w:rFonts w:cs="Times New Roman"/>
        </w:rPr>
        <w:t xml:space="preserve"> and the skill of execution in the case of jewellery – it is a work of artistry. A</w:t>
      </w:r>
      <w:r w:rsidRPr="00EC0229">
        <w:rPr>
          <w:rFonts w:cs="Times New Roman"/>
          <w:szCs w:val="24"/>
        </w:rPr>
        <w:t>s Myrhe pointed out,</w:t>
      </w:r>
      <w:r w:rsidRPr="00EC0229">
        <w:rPr>
          <w:rStyle w:val="FootnoteReference"/>
          <w:rFonts w:cs="Times New Roman"/>
          <w:szCs w:val="24"/>
        </w:rPr>
        <w:footnoteReference w:id="351"/>
      </w:r>
      <w:r w:rsidRPr="00EC0229">
        <w:rPr>
          <w:rFonts w:cs="Times New Roman"/>
          <w:szCs w:val="24"/>
        </w:rPr>
        <w:t xml:space="preserve">  artefacts have symbolic as well as functional purposes. Feveile described the Hogbrogard hoard of hacksilver,</w:t>
      </w:r>
      <w:r w:rsidRPr="00EC0229">
        <w:rPr>
          <w:rStyle w:val="FootnoteReference"/>
          <w:rFonts w:cs="Times New Roman"/>
          <w:szCs w:val="24"/>
        </w:rPr>
        <w:footnoteReference w:id="352"/>
      </w:r>
      <w:r w:rsidRPr="00EC0229">
        <w:rPr>
          <w:rFonts w:cs="Times New Roman"/>
          <w:szCs w:val="24"/>
        </w:rPr>
        <w:t xml:space="preserve">  indicating that wealth was now stored in this form and may have been used for barter</w:t>
      </w:r>
      <w:r w:rsidRPr="00EC0229">
        <w:rPr>
          <w:rFonts w:cs="Times New Roman"/>
          <w:szCs w:val="24"/>
        </w:rPr>
        <w:fldChar w:fldCharType="begin"/>
      </w:r>
      <w:r w:rsidRPr="00EC0229">
        <w:instrText xml:space="preserve"> XE "</w:instrText>
      </w:r>
      <w:r w:rsidRPr="00EC0229">
        <w:rPr>
          <w:rFonts w:cs="Times New Roman"/>
          <w:szCs w:val="24"/>
        </w:rPr>
        <w:instrText>barter</w:instrText>
      </w:r>
      <w:r w:rsidRPr="00EC0229">
        <w:instrText xml:space="preserve">" </w:instrText>
      </w:r>
      <w:r w:rsidRPr="00EC0229">
        <w:rPr>
          <w:rFonts w:cs="Times New Roman"/>
          <w:szCs w:val="24"/>
        </w:rPr>
        <w:fldChar w:fldCharType="end"/>
      </w:r>
      <w:r w:rsidRPr="00EC0229">
        <w:rPr>
          <w:rFonts w:cs="Times New Roman"/>
          <w:szCs w:val="24"/>
        </w:rPr>
        <w:t xml:space="preserve">. </w:t>
      </w:r>
      <w:r w:rsidRPr="00EC0229">
        <w:rPr>
          <w:rFonts w:cs="Times New Roman"/>
        </w:rPr>
        <w:t xml:space="preserve">Perhaps, such was the extent of Viking plunder that they need not be concerned with aesthetic subtleties and all silver artefacts were tossed into the </w:t>
      </w:r>
      <w:r w:rsidRPr="00EC0229">
        <w:rPr>
          <w:rFonts w:cs="Times New Roman"/>
          <w:i/>
        </w:rPr>
        <w:t>hacksilver</w:t>
      </w:r>
      <w:r w:rsidRPr="00EC0229">
        <w:rPr>
          <w:rFonts w:cs="Times New Roman"/>
        </w:rPr>
        <w:t xml:space="preserve"> trove to be reduced to bullion when required. It was only with permanent settlement</w:t>
      </w:r>
      <w:r w:rsidRPr="00EC0229">
        <w:rPr>
          <w:rFonts w:cs="Times New Roman"/>
        </w:rPr>
        <w:fldChar w:fldCharType="begin"/>
      </w:r>
      <w:r w:rsidRPr="00EC0229">
        <w:instrText xml:space="preserve"> XE "settlement" </w:instrText>
      </w:r>
      <w:r w:rsidRPr="00EC0229">
        <w:rPr>
          <w:rFonts w:cs="Times New Roman"/>
        </w:rPr>
        <w:fldChar w:fldCharType="end"/>
      </w:r>
      <w:r w:rsidRPr="00EC0229">
        <w:rPr>
          <w:rFonts w:cs="Times New Roman"/>
        </w:rPr>
        <w:t xml:space="preserve"> that the Viking</w:t>
      </w:r>
      <w:r w:rsidRPr="00EC0229">
        <w:rPr>
          <w:rFonts w:cs="Times New Roman"/>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rFonts w:cs="Times New Roman"/>
        </w:rPr>
        <w:fldChar w:fldCharType="end"/>
      </w:r>
      <w:r w:rsidRPr="00EC0229">
        <w:rPr>
          <w:rFonts w:cs="Times New Roman"/>
        </w:rPr>
        <w:t xml:space="preserve"> perspective changed.</w:t>
      </w:r>
    </w:p>
    <w:p w14:paraId="548DBE43" w14:textId="274D9C7E" w:rsidR="007775E2" w:rsidRPr="00EC0229" w:rsidRDefault="007775E2" w:rsidP="00264C31">
      <w:pPr>
        <w:spacing w:line="360" w:lineRule="auto"/>
        <w:rPr>
          <w:rFonts w:eastAsiaTheme="majorEastAsia" w:cstheme="majorBidi"/>
          <w:b/>
          <w:sz w:val="32"/>
          <w:szCs w:val="32"/>
        </w:rPr>
      </w:pPr>
      <w:r w:rsidRPr="00EC0229">
        <w:t xml:space="preserve">This chapter finalises the description of the theoretical background to Northumbrian coinage. To complete Part One of this study, </w:t>
      </w:r>
      <w:r w:rsidR="00974A09" w:rsidRPr="00EC0229">
        <w:t xml:space="preserve">a hypothesis of monetization is presented and </w:t>
      </w:r>
      <w:r w:rsidRPr="00EC0229">
        <w:t xml:space="preserve">consideration </w:t>
      </w:r>
      <w:r w:rsidR="00974A09" w:rsidRPr="00EC0229">
        <w:t>g</w:t>
      </w:r>
      <w:r w:rsidRPr="00EC0229">
        <w:t xml:space="preserve">iven to the historical and economic context of the evolution of the coinage to introduce a </w:t>
      </w:r>
      <w:r w:rsidR="006C328D" w:rsidRPr="00EC0229">
        <w:t>periodiz</w:t>
      </w:r>
      <w:r w:rsidRPr="00EC0229">
        <w:t>ation. A more practical approach is pursued in Part Two (</w:t>
      </w:r>
      <w:r w:rsidRPr="00EC0229">
        <w:fldChar w:fldCharType="begin"/>
      </w:r>
      <w:r w:rsidRPr="00EC0229">
        <w:instrText xml:space="preserve"> PAGEREF PARTTWO \h </w:instrText>
      </w:r>
      <w:r w:rsidRPr="00EC0229">
        <w:fldChar w:fldCharType="separate"/>
      </w:r>
      <w:r w:rsidR="0012026B">
        <w:rPr>
          <w:noProof/>
        </w:rPr>
        <w:t>146</w:t>
      </w:r>
      <w:r w:rsidRPr="00EC0229">
        <w:fldChar w:fldCharType="end"/>
      </w:r>
      <w:r w:rsidRPr="00EC0229">
        <w:t>) through the compilation and analysis of recorded finds and their locations.</w:t>
      </w:r>
      <w:r w:rsidRPr="00EC0229">
        <w:br w:type="page"/>
      </w:r>
    </w:p>
    <w:p w14:paraId="4E2E56DF" w14:textId="6A5F3198" w:rsidR="00373A9F" w:rsidRPr="00EC0229" w:rsidRDefault="003A3DAB" w:rsidP="007775E2">
      <w:pPr>
        <w:pStyle w:val="Heading1"/>
        <w:spacing w:line="360" w:lineRule="auto"/>
        <w:rPr>
          <w:rFonts w:cs="Times New Roman"/>
        </w:rPr>
      </w:pPr>
      <w:bookmarkStart w:id="146" w:name="_Toc468266760"/>
      <w:r w:rsidRPr="00EC0229">
        <w:rPr>
          <w:rFonts w:cs="Times New Roman"/>
        </w:rPr>
        <w:lastRenderedPageBreak/>
        <w:t>Chapter 4</w:t>
      </w:r>
      <w:r w:rsidR="009E35E5" w:rsidRPr="00EC0229">
        <w:rPr>
          <w:rFonts w:cs="Times New Roman"/>
        </w:rPr>
        <w:t>:</w:t>
      </w:r>
      <w:r w:rsidR="00767557" w:rsidRPr="00EC0229">
        <w:rPr>
          <w:rFonts w:cs="Times New Roman"/>
        </w:rPr>
        <w:t xml:space="preserve"> Hypothesi</w:t>
      </w:r>
      <w:r w:rsidR="00373A9F" w:rsidRPr="00EC0229">
        <w:rPr>
          <w:rFonts w:cs="Times New Roman"/>
        </w:rPr>
        <w:t>s</w:t>
      </w:r>
      <w:bookmarkEnd w:id="146"/>
      <w:r w:rsidR="00F204A1" w:rsidRPr="00EC0229">
        <w:rPr>
          <w:rFonts w:cs="Times New Roman"/>
        </w:rPr>
        <w:fldChar w:fldCharType="begin"/>
      </w:r>
      <w:r w:rsidR="00F204A1" w:rsidRPr="00EC0229">
        <w:instrText xml:space="preserve"> XE "</w:instrText>
      </w:r>
      <w:r w:rsidR="00F204A1" w:rsidRPr="00EC0229">
        <w:rPr>
          <w:rStyle w:val="Hyperlink"/>
          <w:rFonts w:cs="Times New Roman"/>
          <w:noProof/>
          <w:u w:val="none"/>
        </w:rPr>
        <w:instrText>Hypothesis</w:instrText>
      </w:r>
      <w:r w:rsidR="00F204A1" w:rsidRPr="00EC0229">
        <w:instrText xml:space="preserve">" </w:instrText>
      </w:r>
      <w:r w:rsidR="00F204A1" w:rsidRPr="00EC0229">
        <w:rPr>
          <w:rFonts w:cs="Times New Roman"/>
        </w:rPr>
        <w:fldChar w:fldCharType="end"/>
      </w:r>
      <w:r w:rsidR="00F204A1" w:rsidRPr="00EC0229">
        <w:rPr>
          <w:rFonts w:cs="Times New Roman"/>
        </w:rPr>
        <w:fldChar w:fldCharType="begin"/>
      </w:r>
      <w:r w:rsidR="00F204A1" w:rsidRPr="00EC0229">
        <w:instrText xml:space="preserve"> XE "</w:instrText>
      </w:r>
      <w:r w:rsidR="00F204A1" w:rsidRPr="00EC0229">
        <w:rPr>
          <w:rStyle w:val="Hyperlink"/>
          <w:rFonts w:cs="Times New Roman"/>
          <w:noProof/>
          <w:u w:val="none"/>
        </w:rPr>
        <w:instrText>Constraints</w:instrText>
      </w:r>
      <w:r w:rsidR="00F204A1" w:rsidRPr="00EC0229">
        <w:instrText xml:space="preserve">" </w:instrText>
      </w:r>
      <w:r w:rsidR="00F204A1" w:rsidRPr="00EC0229">
        <w:rPr>
          <w:rFonts w:cs="Times New Roman"/>
        </w:rPr>
        <w:fldChar w:fldCharType="end"/>
      </w:r>
    </w:p>
    <w:p w14:paraId="62C777E9" w14:textId="5A46027C" w:rsidR="00373A9F" w:rsidRPr="00EC0229" w:rsidRDefault="002127CC" w:rsidP="007600EA">
      <w:pPr>
        <w:pStyle w:val="NoSpacing"/>
        <w:spacing w:line="360" w:lineRule="auto"/>
        <w:jc w:val="right"/>
        <w:rPr>
          <w:sz w:val="20"/>
          <w:szCs w:val="20"/>
        </w:rPr>
      </w:pPr>
      <w:r w:rsidRPr="00EC0229">
        <w:rPr>
          <w:sz w:val="20"/>
          <w:szCs w:val="20"/>
        </w:rPr>
        <w:t>‘</w:t>
      </w:r>
      <w:r w:rsidR="00373A9F" w:rsidRPr="00EC0229">
        <w:rPr>
          <w:sz w:val="20"/>
          <w:szCs w:val="20"/>
        </w:rPr>
        <w:t>The nitty-gritty of the individual coin finds may strike the reader as being of limited general historical interest. That idea is over-hasty. Short-cuts in the monetary interpretation of the sceattas, based on a selective reading of the evidence, can lead to errors of judgement and sometimes even a loss of common sense.</w:t>
      </w:r>
      <w:r w:rsidRPr="00EC0229">
        <w:rPr>
          <w:sz w:val="20"/>
          <w:szCs w:val="20"/>
        </w:rPr>
        <w:t>’</w:t>
      </w:r>
    </w:p>
    <w:p w14:paraId="195009C0" w14:textId="0186749A" w:rsidR="00373A9F" w:rsidRPr="00EC0229" w:rsidRDefault="00373A9F" w:rsidP="007600EA">
      <w:pPr>
        <w:pStyle w:val="NoSpacing"/>
        <w:spacing w:line="360" w:lineRule="auto"/>
        <w:jc w:val="right"/>
        <w:rPr>
          <w:sz w:val="20"/>
          <w:szCs w:val="20"/>
        </w:rPr>
      </w:pPr>
      <w:r w:rsidRPr="00EC0229">
        <w:rPr>
          <w:sz w:val="20"/>
          <w:szCs w:val="20"/>
        </w:rPr>
        <w:t>Michael Metcalf</w:t>
      </w:r>
      <w:r w:rsidR="00F204A1" w:rsidRPr="00EC0229">
        <w:rPr>
          <w:sz w:val="20"/>
          <w:szCs w:val="20"/>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sz w:val="20"/>
          <w:szCs w:val="20"/>
        </w:rPr>
        <w:fldChar w:fldCharType="end"/>
      </w:r>
      <w:r w:rsidRPr="00EC0229">
        <w:rPr>
          <w:sz w:val="20"/>
          <w:szCs w:val="20"/>
        </w:rPr>
        <w:t xml:space="preserve">, </w:t>
      </w:r>
      <w:r w:rsidR="00EB3020" w:rsidRPr="00EC0229">
        <w:rPr>
          <w:sz w:val="20"/>
          <w:szCs w:val="20"/>
        </w:rPr>
        <w:t>(2011</w:t>
      </w:r>
      <w:r w:rsidRPr="00EC0229">
        <w:rPr>
          <w:sz w:val="20"/>
          <w:szCs w:val="20"/>
        </w:rPr>
        <w:t>, 14</w:t>
      </w:r>
      <w:r w:rsidR="00EB3020" w:rsidRPr="00EC0229">
        <w:rPr>
          <w:sz w:val="20"/>
          <w:szCs w:val="20"/>
        </w:rPr>
        <w:t>)</w:t>
      </w:r>
      <w:r w:rsidRPr="00EC0229">
        <w:rPr>
          <w:sz w:val="20"/>
          <w:szCs w:val="20"/>
        </w:rPr>
        <w:t>.</w:t>
      </w:r>
    </w:p>
    <w:p w14:paraId="2E92D801" w14:textId="77777777" w:rsidR="00373A9F" w:rsidRPr="00EC0229" w:rsidRDefault="00373A9F" w:rsidP="007600EA">
      <w:pPr>
        <w:pStyle w:val="NoSpacing"/>
        <w:spacing w:line="360" w:lineRule="auto"/>
      </w:pPr>
    </w:p>
    <w:p w14:paraId="52755C41" w14:textId="1977ECD7" w:rsidR="00373A9F" w:rsidRPr="00EC0229" w:rsidRDefault="002920EC" w:rsidP="007600EA">
      <w:pPr>
        <w:spacing w:line="360" w:lineRule="auto"/>
        <w:rPr>
          <w:rFonts w:cs="Times New Roman"/>
          <w:szCs w:val="24"/>
        </w:rPr>
      </w:pPr>
      <w:r w:rsidRPr="00EC0229">
        <w:t xml:space="preserve">Having </w:t>
      </w:r>
      <w:r w:rsidR="00B91361" w:rsidRPr="00EC0229">
        <w:rPr>
          <w:rFonts w:cs="Times New Roman"/>
          <w:szCs w:val="24"/>
        </w:rPr>
        <w:t xml:space="preserve">synthesized </w:t>
      </w:r>
      <w:r w:rsidRPr="00EC0229">
        <w:rPr>
          <w:rFonts w:cs="Times New Roman"/>
          <w:szCs w:val="24"/>
        </w:rPr>
        <w:t xml:space="preserve">theoretical models of </w:t>
      </w:r>
      <w:r w:rsidR="00B91361" w:rsidRPr="00EC0229">
        <w:rPr>
          <w:rFonts w:cs="Times New Roman"/>
          <w:szCs w:val="24"/>
        </w:rPr>
        <w:t>markets and</w:t>
      </w:r>
      <w:r w:rsidR="005E5BDC" w:rsidRPr="00EC0229">
        <w:rPr>
          <w:rFonts w:cs="Times New Roman"/>
          <w:szCs w:val="24"/>
        </w:rPr>
        <w:t xml:space="preserve"> </w:t>
      </w:r>
      <w:r w:rsidR="003F2041" w:rsidRPr="00EC0229">
        <w:rPr>
          <w:rFonts w:cs="Times New Roman"/>
          <w:szCs w:val="24"/>
        </w:rPr>
        <w:t>monetiz</w:t>
      </w:r>
      <w:r w:rsidRPr="00EC0229">
        <w:rPr>
          <w:rFonts w:cs="Times New Roman"/>
          <w:szCs w:val="24"/>
        </w:rPr>
        <w:t>ation</w:t>
      </w:r>
      <w:r w:rsidR="008960AE" w:rsidRPr="00EC0229">
        <w:rPr>
          <w:rFonts w:cs="Times New Roman"/>
          <w:szCs w:val="24"/>
        </w:rPr>
        <w:fldChar w:fldCharType="begin"/>
      </w:r>
      <w:r w:rsidR="008960AE" w:rsidRPr="00EC0229">
        <w:instrText xml:space="preserve"> XE "monetization" </w:instrText>
      </w:r>
      <w:r w:rsidR="008960AE" w:rsidRPr="00EC0229">
        <w:rPr>
          <w:rFonts w:cs="Times New Roman"/>
          <w:szCs w:val="24"/>
        </w:rPr>
        <w:fldChar w:fldCharType="end"/>
      </w:r>
      <w:r w:rsidR="00B91361" w:rsidRPr="00EC0229">
        <w:rPr>
          <w:rFonts w:cs="Times New Roman"/>
          <w:szCs w:val="24"/>
        </w:rPr>
        <w:t xml:space="preserve"> in chapter 2</w:t>
      </w:r>
      <w:r w:rsidR="00D01233" w:rsidRPr="00EC0229">
        <w:rPr>
          <w:rFonts w:cs="Times New Roman"/>
          <w:szCs w:val="24"/>
        </w:rPr>
        <w:t xml:space="preserve"> and discussed </w:t>
      </w:r>
      <w:r w:rsidR="006C328D" w:rsidRPr="00EC0229">
        <w:rPr>
          <w:rFonts w:cs="Times New Roman"/>
          <w:szCs w:val="24"/>
        </w:rPr>
        <w:t xml:space="preserve">parallel </w:t>
      </w:r>
      <w:r w:rsidR="003F2041" w:rsidRPr="00EC0229">
        <w:rPr>
          <w:rFonts w:cs="Times New Roman"/>
          <w:szCs w:val="24"/>
        </w:rPr>
        <w:t>monetiz</w:t>
      </w:r>
      <w:r w:rsidR="00D01233" w:rsidRPr="00EC0229">
        <w:rPr>
          <w:rFonts w:cs="Times New Roman"/>
          <w:szCs w:val="24"/>
        </w:rPr>
        <w:t>ation in chapter 3</w:t>
      </w:r>
      <w:r w:rsidR="00B91361" w:rsidRPr="00EC0229">
        <w:rPr>
          <w:rFonts w:cs="Times New Roman"/>
          <w:szCs w:val="24"/>
        </w:rPr>
        <w:t xml:space="preserve">, </w:t>
      </w:r>
      <w:r w:rsidRPr="00EC0229">
        <w:rPr>
          <w:rFonts w:cs="Times New Roman"/>
          <w:szCs w:val="24"/>
        </w:rPr>
        <w:t xml:space="preserve">this chapter provides a practical </w:t>
      </w:r>
      <w:r w:rsidR="00373A9F" w:rsidRPr="00EC0229">
        <w:rPr>
          <w:rFonts w:cs="Times New Roman"/>
          <w:szCs w:val="24"/>
        </w:rPr>
        <w:t>definition of terms</w:t>
      </w:r>
      <w:r w:rsidR="00A773D5" w:rsidRPr="00EC0229">
        <w:rPr>
          <w:rFonts w:cs="Times New Roman"/>
          <w:szCs w:val="24"/>
        </w:rPr>
        <w:t>,</w:t>
      </w:r>
      <w:r w:rsidR="005E5BDC" w:rsidRPr="00EC0229">
        <w:rPr>
          <w:rFonts w:cs="Times New Roman"/>
          <w:szCs w:val="24"/>
        </w:rPr>
        <w:t xml:space="preserve"> </w:t>
      </w:r>
      <w:r w:rsidR="00767557" w:rsidRPr="00EC0229">
        <w:rPr>
          <w:rFonts w:cs="Times New Roman"/>
          <w:szCs w:val="24"/>
        </w:rPr>
        <w:t>an</w:t>
      </w:r>
      <w:r w:rsidR="005E5BDC" w:rsidRPr="00EC0229">
        <w:rPr>
          <w:rFonts w:cs="Times New Roman"/>
          <w:szCs w:val="24"/>
        </w:rPr>
        <w:t xml:space="preserve"> economic</w:t>
      </w:r>
      <w:r w:rsidR="00373A9F" w:rsidRPr="00EC0229">
        <w:rPr>
          <w:rFonts w:cs="Times New Roman"/>
          <w:szCs w:val="24"/>
        </w:rPr>
        <w:t xml:space="preserve"> </w:t>
      </w:r>
      <w:r w:rsidR="00BC0BC9" w:rsidRPr="00EC0229">
        <w:rPr>
          <w:rFonts w:cs="Times New Roman"/>
          <w:szCs w:val="24"/>
        </w:rPr>
        <w:t>characteris</w:t>
      </w:r>
      <w:r w:rsidR="00373A9F" w:rsidRPr="00EC0229">
        <w:rPr>
          <w:rFonts w:cs="Times New Roman"/>
          <w:szCs w:val="24"/>
        </w:rPr>
        <w:t xml:space="preserve">ation </w:t>
      </w:r>
      <w:r w:rsidR="008F1282" w:rsidRPr="00EC0229">
        <w:rPr>
          <w:rFonts w:cs="Times New Roman"/>
          <w:szCs w:val="24"/>
        </w:rPr>
        <w:t>(</w:t>
      </w:r>
      <w:r w:rsidR="00900593" w:rsidRPr="00EC0229">
        <w:rPr>
          <w:rFonts w:cs="Times New Roman"/>
          <w:szCs w:val="24"/>
        </w:rPr>
        <w:fldChar w:fldCharType="begin"/>
      </w:r>
      <w:r w:rsidR="00900593" w:rsidRPr="00EC0229">
        <w:rPr>
          <w:rFonts w:cs="Times New Roman"/>
          <w:szCs w:val="24"/>
        </w:rPr>
        <w:instrText xml:space="preserve"> PAGEREF characterization \h </w:instrText>
      </w:r>
      <w:r w:rsidR="00900593" w:rsidRPr="00EC0229">
        <w:rPr>
          <w:rFonts w:cs="Times New Roman"/>
          <w:szCs w:val="24"/>
        </w:rPr>
      </w:r>
      <w:r w:rsidR="00900593" w:rsidRPr="00EC0229">
        <w:rPr>
          <w:rFonts w:cs="Times New Roman"/>
          <w:szCs w:val="24"/>
        </w:rPr>
        <w:fldChar w:fldCharType="separate"/>
      </w:r>
      <w:r w:rsidR="0012026B">
        <w:rPr>
          <w:rFonts w:cs="Times New Roman"/>
          <w:noProof/>
          <w:szCs w:val="24"/>
        </w:rPr>
        <w:t>75</w:t>
      </w:r>
      <w:r w:rsidR="00900593" w:rsidRPr="00EC0229">
        <w:rPr>
          <w:rFonts w:cs="Times New Roman"/>
          <w:szCs w:val="24"/>
        </w:rPr>
        <w:fldChar w:fldCharType="end"/>
      </w:r>
      <w:r w:rsidR="00766BDF" w:rsidRPr="00EC0229">
        <w:rPr>
          <w:rFonts w:cs="Times New Roman"/>
          <w:szCs w:val="24"/>
        </w:rPr>
        <w:t xml:space="preserve">) and, for Northumbria, a </w:t>
      </w:r>
      <w:r w:rsidR="00A773D5" w:rsidRPr="00EC0229">
        <w:rPr>
          <w:rFonts w:cs="Times New Roman"/>
          <w:szCs w:val="24"/>
        </w:rPr>
        <w:t xml:space="preserve">hypothesis of </w:t>
      </w:r>
      <w:r w:rsidR="003F2041" w:rsidRPr="00EC0229">
        <w:rPr>
          <w:rFonts w:cs="Times New Roman"/>
          <w:szCs w:val="24"/>
        </w:rPr>
        <w:t>monetiz</w:t>
      </w:r>
      <w:r w:rsidR="00A773D5" w:rsidRPr="00EC0229">
        <w:rPr>
          <w:rFonts w:cs="Times New Roman"/>
          <w:szCs w:val="24"/>
        </w:rPr>
        <w:t>ation (</w:t>
      </w:r>
      <w:r w:rsidR="00A773D5" w:rsidRPr="00EC0229">
        <w:rPr>
          <w:rFonts w:cs="Times New Roman"/>
          <w:szCs w:val="24"/>
        </w:rPr>
        <w:fldChar w:fldCharType="begin"/>
      </w:r>
      <w:r w:rsidR="00A773D5" w:rsidRPr="00EC0229">
        <w:rPr>
          <w:rFonts w:cs="Times New Roman"/>
          <w:szCs w:val="24"/>
        </w:rPr>
        <w:instrText xml:space="preserve"> PAGEREF _Ref464123087 \h </w:instrText>
      </w:r>
      <w:r w:rsidR="00A773D5" w:rsidRPr="00EC0229">
        <w:rPr>
          <w:rFonts w:cs="Times New Roman"/>
          <w:szCs w:val="24"/>
        </w:rPr>
      </w:r>
      <w:r w:rsidR="00A773D5" w:rsidRPr="00EC0229">
        <w:rPr>
          <w:rFonts w:cs="Times New Roman"/>
          <w:szCs w:val="24"/>
        </w:rPr>
        <w:fldChar w:fldCharType="separate"/>
      </w:r>
      <w:r w:rsidR="0012026B">
        <w:rPr>
          <w:rFonts w:cs="Times New Roman"/>
          <w:noProof/>
          <w:szCs w:val="24"/>
        </w:rPr>
        <w:t>77</w:t>
      </w:r>
      <w:r w:rsidR="00A773D5" w:rsidRPr="00EC0229">
        <w:rPr>
          <w:rFonts w:cs="Times New Roman"/>
          <w:szCs w:val="24"/>
        </w:rPr>
        <w:fldChar w:fldCharType="end"/>
      </w:r>
      <w:r w:rsidR="00A773D5" w:rsidRPr="00EC0229">
        <w:rPr>
          <w:rFonts w:cs="Times New Roman"/>
          <w:szCs w:val="24"/>
        </w:rPr>
        <w:t>).</w:t>
      </w:r>
    </w:p>
    <w:p w14:paraId="5402087C" w14:textId="0F3B5253" w:rsidR="00373A9F" w:rsidRPr="00EC0229" w:rsidRDefault="005F38D6" w:rsidP="007600EA">
      <w:pPr>
        <w:pStyle w:val="Heading2"/>
        <w:spacing w:line="360" w:lineRule="auto"/>
      </w:pPr>
      <w:bookmarkStart w:id="147" w:name="Definition"/>
      <w:bookmarkStart w:id="148" w:name="_Toc468266761"/>
      <w:bookmarkEnd w:id="147"/>
      <w:r>
        <w:t>4.1</w:t>
      </w:r>
      <w:r>
        <w:tab/>
      </w:r>
      <w:r w:rsidR="00373A9F" w:rsidRPr="00EC0229">
        <w:t>Definition</w:t>
      </w:r>
      <w:r w:rsidR="00F204A1" w:rsidRPr="00EC0229">
        <w:fldChar w:fldCharType="begin"/>
      </w:r>
      <w:r w:rsidR="00F204A1" w:rsidRPr="00EC0229">
        <w:instrText xml:space="preserve"> XE "</w:instrText>
      </w:r>
      <w:r w:rsidR="00F204A1" w:rsidRPr="00EC0229">
        <w:rPr>
          <w:rStyle w:val="Hyperlink"/>
          <w:noProof/>
          <w:u w:val="none"/>
        </w:rPr>
        <w:instrText>Definition</w:instrText>
      </w:r>
      <w:r w:rsidR="00F204A1" w:rsidRPr="00EC0229">
        <w:instrText xml:space="preserve">" </w:instrText>
      </w:r>
      <w:r w:rsidR="00F204A1" w:rsidRPr="00EC0229">
        <w:fldChar w:fldCharType="end"/>
      </w:r>
      <w:r w:rsidR="00373A9F" w:rsidRPr="00EC0229">
        <w:t xml:space="preserve"> of Terms</w:t>
      </w:r>
      <w:bookmarkEnd w:id="148"/>
    </w:p>
    <w:p w14:paraId="6D0C58FB" w14:textId="4586AF92" w:rsidR="00373A9F" w:rsidRPr="00EC0229" w:rsidRDefault="00373A9F" w:rsidP="007600EA">
      <w:pPr>
        <w:pStyle w:val="NoSpacing"/>
        <w:spacing w:line="360" w:lineRule="auto"/>
      </w:pPr>
      <w:r w:rsidRPr="00EC0229">
        <w:t>For the purposes of this study uncomplicated definitions of money</w:t>
      </w:r>
      <w:r w:rsidR="008960AE" w:rsidRPr="00EC0229">
        <w:fldChar w:fldCharType="begin"/>
      </w:r>
      <w:r w:rsidR="008960AE" w:rsidRPr="00EC0229">
        <w:instrText xml:space="preserve"> XE "money" </w:instrText>
      </w:r>
      <w:r w:rsidR="008960AE" w:rsidRPr="00EC0229">
        <w:fldChar w:fldCharType="end"/>
      </w:r>
      <w:r w:rsidRPr="00EC0229">
        <w:t xml:space="preserve">, coin,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and </w:t>
      </w:r>
      <w:r w:rsidRPr="00EC0229">
        <w:rPr>
          <w:i/>
        </w:rPr>
        <w:t>wics</w:t>
      </w:r>
      <w:r w:rsidRPr="00EC0229">
        <w:t xml:space="preserve"> </w:t>
      </w:r>
      <w:r w:rsidR="006A0BB2" w:rsidRPr="00EC0229">
        <w:t>favouring</w:t>
      </w:r>
      <w:r w:rsidRPr="00EC0229">
        <w:t xml:space="preserve"> economic interpretations</w:t>
      </w:r>
      <w:r w:rsidR="006A0BB2" w:rsidRPr="00EC0229">
        <w:t>, have been adopted</w:t>
      </w:r>
      <w:r w:rsidRPr="00EC0229">
        <w:t xml:space="preserve">. </w:t>
      </w:r>
    </w:p>
    <w:p w14:paraId="0DBE9085" w14:textId="77777777" w:rsidR="00373A9F" w:rsidRPr="00EC0229" w:rsidRDefault="00373A9F" w:rsidP="007600EA">
      <w:pPr>
        <w:pStyle w:val="NoSpacing"/>
        <w:spacing w:line="360" w:lineRule="auto"/>
        <w:rPr>
          <w:rFonts w:cs="Times New Roman"/>
          <w:szCs w:val="24"/>
        </w:rPr>
      </w:pPr>
    </w:p>
    <w:p w14:paraId="70368D8C" w14:textId="42B7C56C" w:rsidR="00850F48" w:rsidRPr="00EC0229" w:rsidRDefault="006A0BB2" w:rsidP="007600EA">
      <w:pPr>
        <w:pStyle w:val="NoSpacing"/>
        <w:spacing w:line="360" w:lineRule="auto"/>
        <w:rPr>
          <w:rFonts w:cs="Times New Roman"/>
        </w:rPr>
      </w:pPr>
      <w:r w:rsidRPr="00EC0229">
        <w:rPr>
          <w:rFonts w:cs="Times New Roman"/>
          <w:szCs w:val="24"/>
        </w:rPr>
        <w:t>M</w:t>
      </w:r>
      <w:r w:rsidR="00373A9F" w:rsidRPr="00EC0229">
        <w:rPr>
          <w:rFonts w:cs="Times New Roman"/>
          <w:szCs w:val="24"/>
        </w:rPr>
        <w:t>oney</w:t>
      </w:r>
      <w:r w:rsidR="008960AE" w:rsidRPr="00EC0229">
        <w:rPr>
          <w:rFonts w:cs="Times New Roman"/>
          <w:szCs w:val="24"/>
        </w:rPr>
        <w:fldChar w:fldCharType="begin"/>
      </w:r>
      <w:r w:rsidR="008960AE" w:rsidRPr="00EC0229">
        <w:instrText xml:space="preserve"> XE "money" </w:instrText>
      </w:r>
      <w:r w:rsidR="008960AE" w:rsidRPr="00EC0229">
        <w:rPr>
          <w:rFonts w:cs="Times New Roman"/>
          <w:szCs w:val="24"/>
        </w:rPr>
        <w:fldChar w:fldCharType="end"/>
      </w:r>
      <w:r w:rsidR="00373A9F" w:rsidRPr="00EC0229">
        <w:rPr>
          <w:rFonts w:cs="Times New Roman"/>
          <w:szCs w:val="24"/>
        </w:rPr>
        <w:t xml:space="preserve"> </w:t>
      </w:r>
      <w:r w:rsidR="0081023C" w:rsidRPr="00EC0229">
        <w:rPr>
          <w:rFonts w:cs="Times New Roman"/>
          <w:szCs w:val="24"/>
        </w:rPr>
        <w:t>(</w:t>
      </w:r>
      <w:r w:rsidR="00900593" w:rsidRPr="00EC0229">
        <w:rPr>
          <w:rFonts w:cs="Times New Roman"/>
          <w:szCs w:val="24"/>
        </w:rPr>
        <w:fldChar w:fldCharType="begin"/>
      </w:r>
      <w:r w:rsidR="00900593" w:rsidRPr="00EC0229">
        <w:rPr>
          <w:rFonts w:cs="Times New Roman"/>
          <w:szCs w:val="24"/>
        </w:rPr>
        <w:instrText xml:space="preserve"> PAGEREF money \h </w:instrText>
      </w:r>
      <w:r w:rsidR="00900593" w:rsidRPr="00EC0229">
        <w:rPr>
          <w:rFonts w:cs="Times New Roman"/>
          <w:szCs w:val="24"/>
        </w:rPr>
      </w:r>
      <w:r w:rsidR="00900593" w:rsidRPr="00EC0229">
        <w:rPr>
          <w:rFonts w:cs="Times New Roman"/>
          <w:szCs w:val="24"/>
        </w:rPr>
        <w:fldChar w:fldCharType="separate"/>
      </w:r>
      <w:r w:rsidR="0012026B">
        <w:rPr>
          <w:rFonts w:cs="Times New Roman"/>
          <w:noProof/>
          <w:szCs w:val="24"/>
        </w:rPr>
        <w:t>41</w:t>
      </w:r>
      <w:r w:rsidR="00900593" w:rsidRPr="00EC0229">
        <w:rPr>
          <w:rFonts w:cs="Times New Roman"/>
          <w:szCs w:val="24"/>
        </w:rPr>
        <w:fldChar w:fldCharType="end"/>
      </w:r>
      <w:r w:rsidR="0081023C" w:rsidRPr="00EC0229">
        <w:rPr>
          <w:rFonts w:cs="Times New Roman"/>
          <w:szCs w:val="24"/>
        </w:rPr>
        <w:t xml:space="preserve">) </w:t>
      </w:r>
      <w:r w:rsidRPr="00EC0229">
        <w:rPr>
          <w:rFonts w:cs="Times New Roman"/>
          <w:szCs w:val="24"/>
        </w:rPr>
        <w:t xml:space="preserve">is here regarded </w:t>
      </w:r>
      <w:r w:rsidR="00373A9F" w:rsidRPr="00EC0229">
        <w:rPr>
          <w:rFonts w:cs="Times New Roman"/>
          <w:szCs w:val="24"/>
        </w:rPr>
        <w:t xml:space="preserve">as </w:t>
      </w:r>
      <w:r w:rsidR="00373A9F" w:rsidRPr="00EC0229">
        <w:t xml:space="preserve">that which is accepted in resolution of indebtedness. It is </w:t>
      </w:r>
      <w:r w:rsidR="00850F48" w:rsidRPr="00EC0229">
        <w:t xml:space="preserve">multi-functional, </w:t>
      </w:r>
      <w:r w:rsidR="00373A9F" w:rsidRPr="00EC0229">
        <w:t>fungibl</w:t>
      </w:r>
      <w:r w:rsidR="00C34B3A" w:rsidRPr="00EC0229">
        <w:t>e and increasingly virtual. It</w:t>
      </w:r>
      <w:r w:rsidR="00373A9F" w:rsidRPr="00EC0229">
        <w:t xml:space="preserve"> includes barter</w:t>
      </w:r>
      <w:r w:rsidR="008960AE" w:rsidRPr="00EC0229">
        <w:fldChar w:fldCharType="begin"/>
      </w:r>
      <w:r w:rsidR="008960AE" w:rsidRPr="00EC0229">
        <w:instrText xml:space="preserve"> XE "</w:instrText>
      </w:r>
      <w:r w:rsidR="008960AE" w:rsidRPr="00EC0229">
        <w:rPr>
          <w:rFonts w:cs="Times New Roman"/>
          <w:szCs w:val="24"/>
        </w:rPr>
        <w:instrText>barter</w:instrText>
      </w:r>
      <w:r w:rsidR="008960AE" w:rsidRPr="00EC0229">
        <w:instrText xml:space="preserve">" </w:instrText>
      </w:r>
      <w:r w:rsidR="008960AE" w:rsidRPr="00EC0229">
        <w:fldChar w:fldCharType="end"/>
      </w:r>
      <w:r w:rsidR="00373A9F" w:rsidRPr="00EC0229">
        <w:t>, coinage, bullion</w:t>
      </w:r>
      <w:r w:rsidR="008960AE" w:rsidRPr="00EC0229">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fldChar w:fldCharType="end"/>
      </w:r>
      <w:r w:rsidR="00373A9F" w:rsidRPr="00EC0229">
        <w:t xml:space="preserve"> and credit</w:t>
      </w:r>
      <w:r w:rsidR="008960AE" w:rsidRPr="00EC0229">
        <w:fldChar w:fldCharType="begin"/>
      </w:r>
      <w:r w:rsidR="008960AE" w:rsidRPr="00EC0229">
        <w:instrText xml:space="preserve"> XE "credit" </w:instrText>
      </w:r>
      <w:r w:rsidR="008960AE" w:rsidRPr="00EC0229">
        <w:fldChar w:fldCharType="end"/>
      </w:r>
      <w:r w:rsidR="00373A9F" w:rsidRPr="00EC0229">
        <w:t xml:space="preserve">. </w:t>
      </w:r>
      <w:bookmarkStart w:id="149" w:name="coin"/>
      <w:r w:rsidRPr="00EC0229">
        <w:t>C</w:t>
      </w:r>
      <w:r w:rsidRPr="00EC0229">
        <w:rPr>
          <w:rFonts w:cs="Times New Roman"/>
        </w:rPr>
        <w:t>oin</w:t>
      </w:r>
      <w:bookmarkEnd w:id="149"/>
      <w:r w:rsidRPr="00EC0229">
        <w:rPr>
          <w:rFonts w:cs="Times New Roman"/>
        </w:rPr>
        <w:t xml:space="preserve"> is </w:t>
      </w:r>
      <w:r w:rsidR="008A5945" w:rsidRPr="00EC0229">
        <w:rPr>
          <w:rFonts w:cs="Times New Roman"/>
        </w:rPr>
        <w:t xml:space="preserve">pragmatically </w:t>
      </w:r>
      <w:r w:rsidR="004504D2">
        <w:rPr>
          <w:rFonts w:cs="Times New Roman"/>
        </w:rPr>
        <w:t>characterize</w:t>
      </w:r>
      <w:r w:rsidR="004373A0" w:rsidRPr="00EC0229">
        <w:rPr>
          <w:rFonts w:cs="Times New Roman"/>
        </w:rPr>
        <w:t>d</w:t>
      </w:r>
      <w:r w:rsidR="00850F48" w:rsidRPr="00EC0229">
        <w:rPr>
          <w:rFonts w:cs="Times New Roman"/>
        </w:rPr>
        <w:t xml:space="preserve"> as a subset of hard money</w:t>
      </w:r>
      <w:r w:rsidR="004373A0" w:rsidRPr="00EC0229">
        <w:rPr>
          <w:rStyle w:val="FootnoteReference"/>
          <w:rFonts w:cs="Times New Roman"/>
        </w:rPr>
        <w:footnoteReference w:id="353"/>
      </w:r>
      <w:r w:rsidR="004373A0" w:rsidRPr="00EC0229">
        <w:rPr>
          <w:rFonts w:cs="Times New Roman"/>
        </w:rPr>
        <w:t xml:space="preserve"> </w:t>
      </w:r>
      <w:r w:rsidR="00850F48" w:rsidRPr="00EC0229">
        <w:rPr>
          <w:rFonts w:cs="Times New Roman"/>
        </w:rPr>
        <w:t xml:space="preserve"> typically on a small flan, authorised and authenticated by </w:t>
      </w:r>
      <w:r w:rsidR="00850F48" w:rsidRPr="00EC0229">
        <w:rPr>
          <w:rFonts w:cs="Times New Roman"/>
          <w:i/>
        </w:rPr>
        <w:t>imprimatur</w:t>
      </w:r>
      <w:r w:rsidR="00850F48" w:rsidRPr="00EC0229">
        <w:rPr>
          <w:rFonts w:cs="Times New Roman"/>
        </w:rPr>
        <w:t>.</w:t>
      </w:r>
    </w:p>
    <w:p w14:paraId="2273A4B1" w14:textId="77777777" w:rsidR="008A5945" w:rsidRPr="00EC0229" w:rsidRDefault="008A5945" w:rsidP="007600EA">
      <w:pPr>
        <w:pStyle w:val="NoSpacing"/>
        <w:spacing w:line="360" w:lineRule="auto"/>
      </w:pPr>
    </w:p>
    <w:p w14:paraId="62BAF131" w14:textId="2E7C1639" w:rsidR="00373A9F" w:rsidRPr="00EC0229" w:rsidRDefault="00850F48" w:rsidP="007600EA">
      <w:pPr>
        <w:pStyle w:val="NoSpacing"/>
        <w:spacing w:line="360" w:lineRule="auto"/>
      </w:pPr>
      <w:r w:rsidRPr="00EC0229">
        <w:t>A</w:t>
      </w:r>
      <w:r w:rsidR="00373A9F" w:rsidRPr="00EC0229">
        <w:t xml:space="preserve">s coins were introduced, prices were applied to increasingly inexpensive and </w:t>
      </w:r>
      <w:r w:rsidR="00DF6FAA" w:rsidRPr="00EC0229">
        <w:t>common goods,</w:t>
      </w:r>
      <w:r w:rsidR="006C58E9" w:rsidRPr="00EC0229">
        <w:t xml:space="preserve"> services and skills. This</w:t>
      </w:r>
      <w:r w:rsidR="00373A9F" w:rsidRPr="00EC0229">
        <w:t xml:space="preserve"> </w:t>
      </w:r>
      <w:r w:rsidR="00DF6FAA" w:rsidRPr="00EC0229">
        <w:t xml:space="preserve">was a </w:t>
      </w:r>
      <w:r w:rsidR="00373A9F" w:rsidRPr="00EC0229">
        <w:t xml:space="preserve">gradual process </w:t>
      </w:r>
      <w:r w:rsidR="006C58E9" w:rsidRPr="00EC0229">
        <w:t xml:space="preserve">of </w:t>
      </w:r>
      <w:r w:rsidR="003F2041" w:rsidRPr="00EC0229">
        <w:t>monetiz</w:t>
      </w:r>
      <w:r w:rsidR="006C58E9" w:rsidRPr="00EC0229">
        <w:t>ation</w:t>
      </w:r>
      <w:r w:rsidR="008960AE" w:rsidRPr="00EC0229">
        <w:fldChar w:fldCharType="begin"/>
      </w:r>
      <w:r w:rsidR="008960AE" w:rsidRPr="00EC0229">
        <w:instrText xml:space="preserve"> XE "monetization" </w:instrText>
      </w:r>
      <w:r w:rsidR="008960AE" w:rsidRPr="00EC0229">
        <w:fldChar w:fldCharType="end"/>
      </w:r>
      <w:r w:rsidR="006C58E9" w:rsidRPr="00EC0229">
        <w:t xml:space="preserve"> as coin </w:t>
      </w:r>
      <w:r w:rsidR="00373A9F" w:rsidRPr="00EC0229">
        <w:t>penetrat</w:t>
      </w:r>
      <w:r w:rsidR="00DF6FAA" w:rsidRPr="00EC0229">
        <w:t>ed further into economic life with</w:t>
      </w:r>
      <w:r w:rsidR="00373A9F" w:rsidRPr="00EC0229">
        <w:t xml:space="preserve"> the </w:t>
      </w:r>
      <w:r w:rsidR="00DF6FAA" w:rsidRPr="00EC0229">
        <w:t xml:space="preserve">steady long-term fall in </w:t>
      </w:r>
      <w:r w:rsidR="00373A9F" w:rsidRPr="00EC0229">
        <w:t>value of the so</w:t>
      </w:r>
      <w:r w:rsidR="00DF6FAA" w:rsidRPr="00EC0229">
        <w:t>le circulating denomination</w:t>
      </w:r>
      <w:r w:rsidR="00373A9F" w:rsidRPr="00EC0229">
        <w:t xml:space="preserve">. </w:t>
      </w:r>
      <w:r w:rsidR="00C24925" w:rsidRPr="00EC0229">
        <w:t>I</w:t>
      </w:r>
      <w:r w:rsidRPr="00EC0229">
        <w:t>n a non-monetary society</w:t>
      </w:r>
      <w:r w:rsidR="00C24925" w:rsidRPr="00EC0229">
        <w:t>,</w:t>
      </w:r>
      <w:r w:rsidRPr="00EC0229">
        <w:t xml:space="preserve"> the wayfarer relied on social reciprocity</w:t>
      </w:r>
      <w:r w:rsidR="008960AE" w:rsidRPr="00EC0229">
        <w:fldChar w:fldCharType="begin"/>
      </w:r>
      <w:r w:rsidR="008960AE" w:rsidRPr="00EC0229">
        <w:instrText xml:space="preserve"> XE "</w:instrText>
      </w:r>
      <w:r w:rsidR="008960AE" w:rsidRPr="00EC0229">
        <w:rPr>
          <w:rFonts w:cs="Times New Roman"/>
          <w:szCs w:val="24"/>
        </w:rPr>
        <w:instrText>reciprocity</w:instrText>
      </w:r>
      <w:r w:rsidR="008960AE" w:rsidRPr="00EC0229">
        <w:instrText xml:space="preserve">" </w:instrText>
      </w:r>
      <w:r w:rsidR="008960AE" w:rsidRPr="00EC0229">
        <w:fldChar w:fldCharType="end"/>
      </w:r>
      <w:r w:rsidR="00E21F57" w:rsidRPr="00EC0229">
        <w:t xml:space="preserve">, </w:t>
      </w:r>
      <w:r w:rsidRPr="00EC0229">
        <w:t>a communal obligation</w:t>
      </w:r>
      <w:r w:rsidR="00E21F57" w:rsidRPr="00EC0229">
        <w:t>.</w:t>
      </w:r>
      <w:r w:rsidR="00F37EF3" w:rsidRPr="00EC0229">
        <w:t xml:space="preserve"> </w:t>
      </w:r>
      <w:r w:rsidR="00D10B7E">
        <w:t>T</w:t>
      </w:r>
      <w:r w:rsidR="00373A9F" w:rsidRPr="00EC0229">
        <w:t xml:space="preserve">here was a consequent and complementary decline in </w:t>
      </w:r>
      <w:r w:rsidR="00D45A8D" w:rsidRPr="00EC0229">
        <w:t xml:space="preserve">such </w:t>
      </w:r>
      <w:r w:rsidR="00373A9F" w:rsidRPr="00EC0229">
        <w:t xml:space="preserve">reciprocity as obligations became quantified and it is only in this sense that </w:t>
      </w:r>
      <w:r w:rsidR="00C34B3A" w:rsidRPr="00EC0229">
        <w:t xml:space="preserve">there was a shift from </w:t>
      </w:r>
      <w:r w:rsidR="00373A9F" w:rsidRPr="00EC0229">
        <w:t>substantivism</w:t>
      </w:r>
      <w:r w:rsidR="008960AE" w:rsidRPr="00EC0229">
        <w:fldChar w:fldCharType="begin"/>
      </w:r>
      <w:r w:rsidR="008960AE" w:rsidRPr="00EC0229">
        <w:instrText xml:space="preserve"> XE "</w:instrText>
      </w:r>
      <w:r w:rsidR="008960AE" w:rsidRPr="00EC0229">
        <w:rPr>
          <w:rFonts w:cs="Times New Roman"/>
          <w:szCs w:val="24"/>
        </w:rPr>
        <w:instrText>substantivism</w:instrText>
      </w:r>
      <w:r w:rsidR="008960AE" w:rsidRPr="00EC0229">
        <w:instrText xml:space="preserve">" </w:instrText>
      </w:r>
      <w:r w:rsidR="008960AE" w:rsidRPr="00EC0229">
        <w:fldChar w:fldCharType="end"/>
      </w:r>
      <w:r w:rsidR="00373A9F" w:rsidRPr="00EC0229">
        <w:t xml:space="preserve"> to formalism</w:t>
      </w:r>
      <w:r w:rsidR="008960AE" w:rsidRPr="00EC0229">
        <w:fldChar w:fldCharType="begin"/>
      </w:r>
      <w:r w:rsidR="008960AE" w:rsidRPr="00EC0229">
        <w:instrText xml:space="preserve"> XE "</w:instrText>
      </w:r>
      <w:r w:rsidR="008960AE" w:rsidRPr="00EC0229">
        <w:rPr>
          <w:rFonts w:cs="Times New Roman"/>
          <w:szCs w:val="24"/>
        </w:rPr>
        <w:instrText>formalism</w:instrText>
      </w:r>
      <w:r w:rsidR="008960AE" w:rsidRPr="00EC0229">
        <w:instrText xml:space="preserve">" </w:instrText>
      </w:r>
      <w:r w:rsidR="008960AE" w:rsidRPr="00EC0229">
        <w:fldChar w:fldCharType="end"/>
      </w:r>
      <w:r w:rsidR="00373A9F" w:rsidRPr="00EC0229">
        <w:t xml:space="preserve">, otherwise the latter </w:t>
      </w:r>
      <w:r w:rsidR="00C34B3A" w:rsidRPr="00EC0229">
        <w:t xml:space="preserve">should be regarded </w:t>
      </w:r>
      <w:r w:rsidR="00373A9F" w:rsidRPr="00EC0229">
        <w:t>as a construct of capitalism</w:t>
      </w:r>
      <w:r w:rsidR="008960AE" w:rsidRPr="00EC0229">
        <w:fldChar w:fldCharType="begin"/>
      </w:r>
      <w:r w:rsidR="008960AE" w:rsidRPr="00EC0229">
        <w:instrText xml:space="preserve"> XE "</w:instrText>
      </w:r>
      <w:r w:rsidR="008960AE" w:rsidRPr="00EC0229">
        <w:rPr>
          <w:rFonts w:cs="Times New Roman"/>
          <w:szCs w:val="24"/>
        </w:rPr>
        <w:instrText>capitalism</w:instrText>
      </w:r>
      <w:r w:rsidR="008960AE" w:rsidRPr="00EC0229">
        <w:instrText xml:space="preserve">" </w:instrText>
      </w:r>
      <w:r w:rsidR="008960AE" w:rsidRPr="00EC0229">
        <w:fldChar w:fldCharType="end"/>
      </w:r>
      <w:r w:rsidR="00373A9F" w:rsidRPr="00EC0229">
        <w:t xml:space="preserve">. The impact on social relationships, and empowerment (rather than democratization), as prices replaced values, are candidates for </w:t>
      </w:r>
      <w:r w:rsidR="00D31247" w:rsidRPr="00EC0229">
        <w:t>future</w:t>
      </w:r>
      <w:r w:rsidR="00373A9F" w:rsidRPr="00EC0229">
        <w:t xml:space="preserve"> research</w:t>
      </w:r>
      <w:r w:rsidR="00A91DC8" w:rsidRPr="00EC0229">
        <w:t xml:space="preserve"> (</w:t>
      </w:r>
      <w:r w:rsidR="00900593" w:rsidRPr="00EC0229">
        <w:fldChar w:fldCharType="begin"/>
      </w:r>
      <w:r w:rsidR="00900593" w:rsidRPr="00EC0229">
        <w:instrText xml:space="preserve"> PAGEREF Futureresearch \h </w:instrText>
      </w:r>
      <w:r w:rsidR="00900593" w:rsidRPr="00EC0229">
        <w:fldChar w:fldCharType="separate"/>
      </w:r>
      <w:r w:rsidR="0012026B">
        <w:rPr>
          <w:noProof/>
        </w:rPr>
        <w:t>323</w:t>
      </w:r>
      <w:r w:rsidR="00900593" w:rsidRPr="00EC0229">
        <w:fldChar w:fldCharType="end"/>
      </w:r>
      <w:r w:rsidR="00A91DC8" w:rsidRPr="00EC0229">
        <w:t>).</w:t>
      </w:r>
      <w:r w:rsidR="00373A9F" w:rsidRPr="00EC0229">
        <w:t xml:space="preserve"> </w:t>
      </w:r>
    </w:p>
    <w:p w14:paraId="04A90AF2" w14:textId="77777777" w:rsidR="00373A9F" w:rsidRPr="00EC0229" w:rsidRDefault="00373A9F" w:rsidP="007600EA">
      <w:pPr>
        <w:pStyle w:val="NoSpacing"/>
        <w:spacing w:line="360" w:lineRule="auto"/>
      </w:pPr>
    </w:p>
    <w:p w14:paraId="78FC42F2" w14:textId="5E0C6000" w:rsidR="00671C9F" w:rsidRPr="00EC0229" w:rsidRDefault="00671C9F" w:rsidP="007600EA">
      <w:pPr>
        <w:pStyle w:val="NoSpacing"/>
        <w:spacing w:line="360" w:lineRule="auto"/>
        <w:rPr>
          <w:szCs w:val="24"/>
        </w:rPr>
      </w:pPr>
      <w:bookmarkStart w:id="150" w:name="monetization"/>
      <w:bookmarkEnd w:id="150"/>
      <w:r w:rsidRPr="00EC0229">
        <w:t xml:space="preserve">For the purposes of this study, </w:t>
      </w:r>
      <w:r w:rsidR="00373A9F" w:rsidRPr="00EC0229">
        <w:t>a narrow</w:t>
      </w:r>
      <w:r w:rsidRPr="00EC0229">
        <w:t>,</w:t>
      </w:r>
      <w:r w:rsidR="00373A9F" w:rsidRPr="00EC0229">
        <w:t xml:space="preserve"> </w:t>
      </w:r>
      <w:r w:rsidRPr="00EC0229">
        <w:rPr>
          <w:szCs w:val="24"/>
        </w:rPr>
        <w:t xml:space="preserve">practical </w:t>
      </w:r>
      <w:r w:rsidR="00373A9F" w:rsidRPr="00EC0229">
        <w:t xml:space="preserve">definition of </w:t>
      </w:r>
      <w:r w:rsidR="003F2041" w:rsidRPr="00EC0229">
        <w:t>monetiz</w:t>
      </w:r>
      <w:r w:rsidR="00373A9F" w:rsidRPr="00EC0229">
        <w:t>ation</w:t>
      </w:r>
      <w:r w:rsidR="00DA3D52" w:rsidRPr="00EC0229">
        <w:t xml:space="preserve"> </w:t>
      </w:r>
      <w:r w:rsidR="006A0BB2" w:rsidRPr="00EC0229">
        <w:t xml:space="preserve">is used, </w:t>
      </w:r>
      <w:r w:rsidR="00DA3D52" w:rsidRPr="00EC0229">
        <w:t xml:space="preserve">as more abstruse renderings tend to suffer from circular reasoning. </w:t>
      </w:r>
      <w:r w:rsidR="008960AE" w:rsidRPr="00EC0229">
        <w:fldChar w:fldCharType="begin"/>
      </w:r>
      <w:r w:rsidR="008960AE" w:rsidRPr="00EC0229">
        <w:instrText xml:space="preserve"> XE "monetization" </w:instrText>
      </w:r>
      <w:r w:rsidR="008960AE" w:rsidRPr="00EC0229">
        <w:fldChar w:fldCharType="end"/>
      </w:r>
      <w:r w:rsidR="00DA3D52" w:rsidRPr="00EC0229">
        <w:t>It</w:t>
      </w:r>
      <w:r w:rsidRPr="00EC0229">
        <w:t xml:space="preserve"> is a long-term</w:t>
      </w:r>
      <w:r w:rsidRPr="00EC0229">
        <w:rPr>
          <w:szCs w:val="24"/>
        </w:rPr>
        <w:t xml:space="preserve"> process </w:t>
      </w:r>
      <w:r w:rsidRPr="00EC0229">
        <w:rPr>
          <w:szCs w:val="24"/>
        </w:rPr>
        <w:fldChar w:fldCharType="begin"/>
      </w:r>
      <w:r w:rsidRPr="00EC0229">
        <w:instrText xml:space="preserve"> XE "monetization" </w:instrText>
      </w:r>
      <w:r w:rsidRPr="00EC0229">
        <w:rPr>
          <w:szCs w:val="24"/>
        </w:rPr>
        <w:fldChar w:fldCharType="end"/>
      </w:r>
      <w:r w:rsidRPr="00EC0229">
        <w:rPr>
          <w:szCs w:val="24"/>
        </w:rPr>
        <w:t xml:space="preserve">resulting in coins being used to settle regular </w:t>
      </w:r>
      <w:r w:rsidR="00116C5B" w:rsidRPr="00EC0229">
        <w:rPr>
          <w:szCs w:val="24"/>
        </w:rPr>
        <w:t>daily</w:t>
      </w:r>
      <w:r w:rsidRPr="00EC0229">
        <w:rPr>
          <w:szCs w:val="24"/>
        </w:rPr>
        <w:t xml:space="preserve"> transactions – the purchase of dietary staples and other necessities. It is </w:t>
      </w:r>
      <w:r w:rsidR="004504D2">
        <w:rPr>
          <w:szCs w:val="24"/>
        </w:rPr>
        <w:t>characterize</w:t>
      </w:r>
      <w:r w:rsidRPr="00EC0229">
        <w:rPr>
          <w:szCs w:val="24"/>
        </w:rPr>
        <w:t xml:space="preserve">d by close physical association of coins with portable artefacts and </w:t>
      </w:r>
      <w:r w:rsidRPr="00EC0229">
        <w:rPr>
          <w:szCs w:val="24"/>
        </w:rPr>
        <w:lastRenderedPageBreak/>
        <w:t>demonstrates that the use of coin, albeit uni-denominational, has percolated through all levels of society rather than satisfying just the substantial or special transactions of the social or religious élite</w:t>
      </w:r>
      <w:r w:rsidRPr="00EC0229">
        <w:rPr>
          <w:szCs w:val="24"/>
        </w:rPr>
        <w:fldChar w:fldCharType="begin"/>
      </w:r>
      <w:r w:rsidRPr="00EC0229">
        <w:instrText xml:space="preserve"> XE "</w:instrText>
      </w:r>
      <w:r w:rsidRPr="00EC0229">
        <w:rPr>
          <w:szCs w:val="24"/>
        </w:rPr>
        <w:instrText>élite</w:instrText>
      </w:r>
      <w:r w:rsidRPr="00EC0229">
        <w:instrText xml:space="preserve">" </w:instrText>
      </w:r>
      <w:r w:rsidRPr="00EC0229">
        <w:rPr>
          <w:szCs w:val="24"/>
        </w:rPr>
        <w:fldChar w:fldCharType="end"/>
      </w:r>
      <w:r w:rsidRPr="00EC0229">
        <w:rPr>
          <w:szCs w:val="24"/>
        </w:rPr>
        <w:t>, or in settling the trading accounts of merchants.</w:t>
      </w:r>
    </w:p>
    <w:p w14:paraId="1D0F8E33" w14:textId="77777777" w:rsidR="00DA3D52" w:rsidRPr="00EC0229" w:rsidRDefault="00DA3D52" w:rsidP="007600EA">
      <w:pPr>
        <w:pStyle w:val="NoSpacing"/>
        <w:spacing w:line="360" w:lineRule="auto"/>
      </w:pPr>
    </w:p>
    <w:p w14:paraId="3E5A93D6" w14:textId="00F9364A" w:rsidR="00373A9F" w:rsidRPr="00EC0229" w:rsidRDefault="00373A9F" w:rsidP="007600EA">
      <w:pPr>
        <w:pStyle w:val="NoSpacing"/>
        <w:spacing w:line="360" w:lineRule="auto"/>
      </w:pPr>
      <w:r w:rsidRPr="00EC0229">
        <w:t xml:space="preserve">While not part of the definition there is some complementary evidence which helps identify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00184B9B" w:rsidRPr="00EC0229">
        <w:t>.</w:t>
      </w:r>
      <w:r w:rsidRPr="00EC0229">
        <w:t xml:space="preserve"> First, the appearance of ‘unofficial’ issues and </w:t>
      </w:r>
      <w:bookmarkStart w:id="151" w:name="counterfeits"/>
      <w:r w:rsidRPr="00EC0229">
        <w:t>counterfeits</w:t>
      </w:r>
      <w:bookmarkEnd w:id="151"/>
      <w:r w:rsidR="002F001B" w:rsidRPr="00EC0229">
        <w:t xml:space="preserve"> </w:t>
      </w:r>
      <w:r w:rsidRPr="00EC0229">
        <w:t>is an indication that the volume and acceptability of coin is sufficient cover for mercenary individuals to forge simulacrums. Plated copies of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shillings were contemporary emissions; the more anonymous southern sceatta</w:t>
      </w:r>
      <w:r w:rsidR="00D142DC" w:rsidRPr="00EC0229">
        <w:fldChar w:fldCharType="begin"/>
      </w:r>
      <w:r w:rsidR="00D142DC" w:rsidRPr="00EC0229">
        <w:instrText xml:space="preserve"> XE "sceatta" </w:instrText>
      </w:r>
      <w:r w:rsidR="00D142DC" w:rsidRPr="00EC0229">
        <w:fldChar w:fldCharType="end"/>
      </w:r>
      <w:r w:rsidRPr="00EC0229">
        <w:t xml:space="preserve"> coinage was infused with imitations; the corpus of stycas not only suffered innumerable facsimiles but lapsed into a pervasive </w:t>
      </w:r>
      <w:r w:rsidR="00862F15" w:rsidRPr="00EC0229">
        <w:t>and</w:t>
      </w:r>
      <w:r w:rsidRPr="00EC0229">
        <w:t xml:space="preserve"> substantial late blundered phase.</w:t>
      </w:r>
      <w:r w:rsidRPr="00EC0229">
        <w:rPr>
          <w:rStyle w:val="FootnoteReference"/>
        </w:rPr>
        <w:footnoteReference w:id="354"/>
      </w:r>
      <w:r w:rsidRPr="00EC0229">
        <w:t xml:space="preserve"> Se</w:t>
      </w:r>
      <w:r w:rsidR="00F72977" w:rsidRPr="00EC0229">
        <w:t xml:space="preserve">cond, as user confidence in </w:t>
      </w:r>
      <w:r w:rsidRPr="00EC0229">
        <w:t>coinage increased, the issuing authority struggled to resist the temptation, particularly in straitened circumstances, to adulterate the intrinsic worth. Generally, Gresham’s Law</w:t>
      </w:r>
      <w:r w:rsidR="00F204A1" w:rsidRPr="00EC0229">
        <w:fldChar w:fldCharType="begin"/>
      </w:r>
      <w:r w:rsidR="00F204A1" w:rsidRPr="00EC0229">
        <w:instrText xml:space="preserve"> XE "</w:instrText>
      </w:r>
      <w:r w:rsidR="00F204A1" w:rsidRPr="00EC0229">
        <w:rPr>
          <w:rStyle w:val="Hyperlink"/>
          <w:noProof/>
          <w:u w:val="none"/>
        </w:rPr>
        <w:instrText>Law</w:instrText>
      </w:r>
      <w:r w:rsidR="00F204A1" w:rsidRPr="00EC0229">
        <w:instrText xml:space="preserve">" </w:instrText>
      </w:r>
      <w:r w:rsidR="00F204A1" w:rsidRPr="00EC0229">
        <w:fldChar w:fldCharType="end"/>
      </w:r>
      <w:r w:rsidRPr="00EC0229">
        <w:t xml:space="preserve"> applied and prices inflated accordingly. However, during the secondary (particularly southern) sceatta period </w:t>
      </w:r>
      <w:r w:rsidR="00850F48" w:rsidRPr="00EC0229">
        <w:t xml:space="preserve">and the northern styca phase, </w:t>
      </w:r>
      <w:r w:rsidRPr="00EC0229">
        <w:t xml:space="preserve">inconsistent </w:t>
      </w:r>
      <w:r w:rsidR="0007275E" w:rsidRPr="00EC0229">
        <w:t xml:space="preserve">metrology and </w:t>
      </w:r>
      <w:r w:rsidRPr="00EC0229">
        <w:t>metallurgical uniformity seems to have been overlooked such that the circulating medium</w:t>
      </w:r>
      <w:r w:rsidR="00850F48" w:rsidRPr="00EC0229">
        <w:t xml:space="preserve"> was to variable</w:t>
      </w:r>
      <w:r w:rsidRPr="00EC0229">
        <w:t xml:space="preserve"> extent </w:t>
      </w:r>
      <w:bookmarkStart w:id="152" w:name="fiat"/>
      <w:r w:rsidRPr="00EC0229">
        <w:rPr>
          <w:i/>
        </w:rPr>
        <w:t>fiat</w:t>
      </w:r>
      <w:bookmarkEnd w:id="152"/>
      <w:r w:rsidR="00D142DC" w:rsidRPr="00EC0229">
        <w:rPr>
          <w:i/>
        </w:rPr>
        <w:fldChar w:fldCharType="begin"/>
      </w:r>
      <w:r w:rsidR="00D142DC" w:rsidRPr="00EC0229">
        <w:instrText xml:space="preserve"> XE "fiat" </w:instrText>
      </w:r>
      <w:r w:rsidR="00D142DC" w:rsidRPr="00EC0229">
        <w:rPr>
          <w:i/>
        </w:rPr>
        <w:fldChar w:fldCharType="end"/>
      </w:r>
      <w:r w:rsidR="002F001B" w:rsidRPr="00EC0229">
        <w:t xml:space="preserve"> </w:t>
      </w:r>
      <w:r w:rsidRPr="00EC0229">
        <w:t xml:space="preserve">– accepted above its intrinsic value. </w:t>
      </w:r>
      <w:r w:rsidR="0007275E" w:rsidRPr="00EC0229">
        <w:t xml:space="preserve">It would have been too tedious to weigh each ‘widow’s mite’. </w:t>
      </w:r>
      <w:r w:rsidRPr="00EC0229">
        <w:t xml:space="preserve">Such toleration is a sign of confidence in the coinage and, in the present context, is an attribute of </w:t>
      </w:r>
      <w:r w:rsidR="003F2041" w:rsidRPr="00EC0229">
        <w:t>monetiz</w:t>
      </w:r>
      <w:r w:rsidRPr="00EC0229">
        <w:t>ation.</w:t>
      </w:r>
    </w:p>
    <w:p w14:paraId="33E640AD" w14:textId="77777777" w:rsidR="00373A9F" w:rsidRPr="00EC0229" w:rsidRDefault="00373A9F" w:rsidP="007600EA">
      <w:pPr>
        <w:pStyle w:val="NoSpacing"/>
        <w:spacing w:line="360" w:lineRule="auto"/>
        <w:rPr>
          <w:szCs w:val="24"/>
        </w:rPr>
      </w:pPr>
    </w:p>
    <w:p w14:paraId="234BEEB6" w14:textId="62D685B6" w:rsidR="00373A9F" w:rsidRPr="00EC0229" w:rsidRDefault="00217AC6" w:rsidP="007600EA">
      <w:pPr>
        <w:pStyle w:val="NoSpacing"/>
        <w:spacing w:line="360" w:lineRule="auto"/>
      </w:pPr>
      <w:r w:rsidRPr="00EC0229">
        <w:t>A</w:t>
      </w:r>
      <w:r w:rsidR="00373A9F" w:rsidRPr="00EC0229">
        <w:t xml:space="preserve">n economic definition of </w:t>
      </w:r>
      <w:r w:rsidR="00373A9F" w:rsidRPr="00EC0229">
        <w:rPr>
          <w:i/>
        </w:rPr>
        <w:t>wics</w:t>
      </w:r>
      <w:r w:rsidR="00373A9F" w:rsidRPr="00EC0229">
        <w:t xml:space="preserve"> </w:t>
      </w:r>
      <w:r w:rsidR="00B86AE5" w:rsidRPr="00EC0229">
        <w:t>(</w:t>
      </w:r>
      <w:r w:rsidR="00900593" w:rsidRPr="00EC0229">
        <w:fldChar w:fldCharType="begin"/>
      </w:r>
      <w:r w:rsidR="00900593" w:rsidRPr="00EC0229">
        <w:instrText xml:space="preserve"> PAGEREF wic \h </w:instrText>
      </w:r>
      <w:r w:rsidR="00900593" w:rsidRPr="00EC0229">
        <w:fldChar w:fldCharType="separate"/>
      </w:r>
      <w:r w:rsidR="0012026B">
        <w:rPr>
          <w:noProof/>
        </w:rPr>
        <w:t>317</w:t>
      </w:r>
      <w:r w:rsidR="00900593" w:rsidRPr="00EC0229">
        <w:fldChar w:fldCharType="end"/>
      </w:r>
      <w:r w:rsidR="00B86AE5" w:rsidRPr="00EC0229">
        <w:t xml:space="preserve">) </w:t>
      </w:r>
      <w:r w:rsidRPr="00EC0229">
        <w:t>is preferred: they</w:t>
      </w:r>
      <w:r w:rsidR="00373A9F" w:rsidRPr="00EC0229">
        <w:t xml:space="preserve"> providing the necessary commercial, fiscal, monetary and judicial conditions for trade but these cover a spectrum and need not be homogenous – more controlled sites, such as Fishergate</w:t>
      </w:r>
      <w:r w:rsidR="006B1593" w:rsidRPr="00EC0229">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fldChar w:fldCharType="end"/>
      </w:r>
      <w:r w:rsidR="00373A9F" w:rsidRPr="00EC0229">
        <w:t>, may have been for processi</w:t>
      </w:r>
      <w:r w:rsidR="006A0BB2" w:rsidRPr="00EC0229">
        <w:t>ng or redistribution.  S</w:t>
      </w:r>
      <w:r w:rsidR="00373A9F" w:rsidRPr="00EC0229">
        <w:t xml:space="preserve">ceats </w:t>
      </w:r>
      <w:r w:rsidR="006A0BB2" w:rsidRPr="00EC0229">
        <w:t>catalyse</w:t>
      </w:r>
      <w:r w:rsidR="00373A9F" w:rsidRPr="00EC0229">
        <w:t xml:space="preserve"> economic activity within and beyond such market places.</w:t>
      </w:r>
      <w:r w:rsidR="002F7DB9" w:rsidRPr="00EC0229">
        <w:rPr>
          <w:rStyle w:val="FootnoteReference"/>
        </w:rPr>
        <w:footnoteReference w:id="355"/>
      </w:r>
    </w:p>
    <w:p w14:paraId="092BF953" w14:textId="77777777" w:rsidR="00604CE1" w:rsidRPr="00EC0229" w:rsidRDefault="00604CE1" w:rsidP="007600EA">
      <w:pPr>
        <w:pStyle w:val="NoSpacing"/>
        <w:spacing w:line="360" w:lineRule="auto"/>
        <w:rPr>
          <w:rFonts w:cs="Times New Roman"/>
          <w:szCs w:val="24"/>
        </w:rPr>
      </w:pPr>
    </w:p>
    <w:p w14:paraId="42C1600D" w14:textId="577F13E2" w:rsidR="00373A9F" w:rsidRPr="00EC0229" w:rsidRDefault="005F38D6" w:rsidP="007600EA">
      <w:pPr>
        <w:pStyle w:val="Heading2"/>
        <w:spacing w:line="360" w:lineRule="auto"/>
      </w:pPr>
      <w:bookmarkStart w:id="153" w:name="characterization"/>
      <w:bookmarkStart w:id="154" w:name="_Toc468266762"/>
      <w:bookmarkEnd w:id="153"/>
      <w:r>
        <w:t>4.2</w:t>
      </w:r>
      <w:r>
        <w:tab/>
      </w:r>
      <w:r w:rsidR="00373A9F" w:rsidRPr="00EC0229">
        <w:t xml:space="preserve">Economic </w:t>
      </w:r>
      <w:r w:rsidR="00BC0BC9" w:rsidRPr="00EC0229">
        <w:t>Characteris</w:t>
      </w:r>
      <w:r w:rsidR="00373A9F" w:rsidRPr="00EC0229">
        <w:t>ation</w:t>
      </w:r>
      <w:bookmarkEnd w:id="154"/>
      <w:r w:rsidR="00F204A1" w:rsidRPr="00EC0229">
        <w:fldChar w:fldCharType="begin"/>
      </w:r>
      <w:r w:rsidR="00F204A1" w:rsidRPr="00EC0229">
        <w:instrText xml:space="preserve"> XE "</w:instrText>
      </w:r>
      <w:r w:rsidR="00F204A1" w:rsidRPr="00EC0229">
        <w:rPr>
          <w:rStyle w:val="Hyperlink"/>
          <w:noProof/>
          <w:u w:val="none"/>
        </w:rPr>
        <w:instrText>Characterization</w:instrText>
      </w:r>
      <w:r w:rsidR="00F204A1" w:rsidRPr="00EC0229">
        <w:instrText xml:space="preserve">" </w:instrText>
      </w:r>
      <w:r w:rsidR="00F204A1" w:rsidRPr="00EC0229">
        <w:fldChar w:fldCharType="end"/>
      </w:r>
    </w:p>
    <w:p w14:paraId="0F8E9C28" w14:textId="686DEB6C" w:rsidR="00373A9F" w:rsidRPr="00EC0229" w:rsidRDefault="00373A9F" w:rsidP="007600EA">
      <w:pPr>
        <w:pStyle w:val="NoSpacing"/>
        <w:spacing w:line="360" w:lineRule="auto"/>
        <w:rPr>
          <w:rFonts w:cs="Times New Roman"/>
          <w:szCs w:val="24"/>
        </w:rPr>
      </w:pPr>
      <w:r w:rsidRPr="00EC0229">
        <w:rPr>
          <w:rFonts w:cs="Times New Roman"/>
          <w:szCs w:val="24"/>
        </w:rPr>
        <w:t>The provisional conclusions drawn from previous chapter</w:t>
      </w:r>
      <w:r w:rsidR="00D01233" w:rsidRPr="00EC0229">
        <w:rPr>
          <w:rFonts w:cs="Times New Roman"/>
          <w:szCs w:val="24"/>
        </w:rPr>
        <w:t>s</w:t>
      </w:r>
      <w:r w:rsidRPr="00EC0229">
        <w:rPr>
          <w:rFonts w:cs="Times New Roman"/>
          <w:szCs w:val="24"/>
        </w:rPr>
        <w:t>, in respect of the economic anthropological</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anthropological</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context </w:t>
      </w:r>
      <w:r w:rsidR="00BC0BC9" w:rsidRPr="00EC0229">
        <w:rPr>
          <w:rFonts w:cs="Times New Roman"/>
          <w:szCs w:val="24"/>
        </w:rPr>
        <w:t>characteris</w:t>
      </w:r>
      <w:r w:rsidRPr="00EC0229">
        <w:rPr>
          <w:rFonts w:cs="Times New Roman"/>
          <w:szCs w:val="24"/>
        </w:rPr>
        <w:t>ing late antiquity and early medieval England in general, and Northumbria</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szCs w:val="24"/>
        </w:rPr>
        <w:fldChar w:fldCharType="end"/>
      </w:r>
      <w:r w:rsidR="00B91361" w:rsidRPr="00EC0229">
        <w:rPr>
          <w:rFonts w:cs="Times New Roman"/>
          <w:szCs w:val="24"/>
        </w:rPr>
        <w:t xml:space="preserve"> in partic</w:t>
      </w:r>
      <w:r w:rsidR="00CA62E2" w:rsidRPr="00EC0229">
        <w:rPr>
          <w:rFonts w:cs="Times New Roman"/>
          <w:szCs w:val="24"/>
        </w:rPr>
        <w:t xml:space="preserve">ular, </w:t>
      </w:r>
      <w:r w:rsidRPr="00EC0229">
        <w:rPr>
          <w:rFonts w:cs="Times New Roman"/>
          <w:szCs w:val="24"/>
        </w:rPr>
        <w:t>can be summarized as follows:</w:t>
      </w:r>
    </w:p>
    <w:p w14:paraId="6D095E4E" w14:textId="77777777" w:rsidR="00373A9F" w:rsidRPr="00EC0229" w:rsidRDefault="00373A9F" w:rsidP="00387063">
      <w:pPr>
        <w:pStyle w:val="NoSpacing"/>
        <w:numPr>
          <w:ilvl w:val="0"/>
          <w:numId w:val="2"/>
        </w:numPr>
        <w:spacing w:line="360" w:lineRule="auto"/>
      </w:pPr>
      <w:r w:rsidRPr="00EC0229">
        <w:lastRenderedPageBreak/>
        <w:t>England was insular but not isolated. There are well established internal and external routes.</w:t>
      </w:r>
      <w:r w:rsidRPr="00EC0229">
        <w:rPr>
          <w:rStyle w:val="FootnoteReference"/>
        </w:rPr>
        <w:footnoteReference w:id="356"/>
      </w:r>
      <w:r w:rsidRPr="00EC0229">
        <w:t xml:space="preserve"> Tribal, coastal-inland and long-distance exchange is evident in the material culture before coinage.</w:t>
      </w:r>
    </w:p>
    <w:p w14:paraId="1B73C3E2" w14:textId="25C7189B" w:rsidR="00373A9F" w:rsidRPr="00EC0229" w:rsidRDefault="00373A9F" w:rsidP="00387063">
      <w:pPr>
        <w:pStyle w:val="NoSpacing"/>
        <w:numPr>
          <w:ilvl w:val="0"/>
          <w:numId w:val="2"/>
        </w:numPr>
        <w:spacing w:line="360" w:lineRule="auto"/>
      </w:pPr>
      <w:r w:rsidRPr="00EC0229">
        <w:t>The potential for economic surplus</w:t>
      </w:r>
      <w:r w:rsidR="008960AE" w:rsidRPr="00EC0229">
        <w:fldChar w:fldCharType="begin"/>
      </w:r>
      <w:r w:rsidR="008960AE" w:rsidRPr="00EC0229">
        <w:instrText xml:space="preserve"> XE "surplus" </w:instrText>
      </w:r>
      <w:r w:rsidR="008960AE" w:rsidRPr="00EC0229">
        <w:fldChar w:fldCharType="end"/>
      </w:r>
      <w:r w:rsidRPr="00EC0229">
        <w:t xml:space="preserve"> from agriculture is manifest, at an early stage. There is no reason to believe that economic surplus from agriculture failed after the Romans departed. At a later stage, the material</w:t>
      </w:r>
      <w:r w:rsidR="00D9698C" w:rsidRPr="00EC0229">
        <w:t xml:space="preserve"> culture of the minsters evinced</w:t>
      </w:r>
      <w:r w:rsidRPr="00EC0229">
        <w:t xml:space="preserve"> managed (i.e. manipulated) distribution of wealth</w:t>
      </w:r>
      <w:r w:rsidR="00374447" w:rsidRPr="00EC0229">
        <w:t xml:space="preserve"> (</w:t>
      </w:r>
      <w:r w:rsidR="00374447" w:rsidRPr="00EC0229">
        <w:fldChar w:fldCharType="begin"/>
      </w:r>
      <w:r w:rsidR="00374447" w:rsidRPr="00EC0229">
        <w:instrText xml:space="preserve"> PAGEREF _Ref464047083 \h </w:instrText>
      </w:r>
      <w:r w:rsidR="00374447" w:rsidRPr="00EC0229">
        <w:fldChar w:fldCharType="separate"/>
      </w:r>
      <w:r w:rsidR="0012026B">
        <w:rPr>
          <w:noProof/>
        </w:rPr>
        <w:t>35</w:t>
      </w:r>
      <w:r w:rsidR="00374447" w:rsidRPr="00EC0229">
        <w:fldChar w:fldCharType="end"/>
      </w:r>
      <w:r w:rsidR="00374447" w:rsidRPr="00EC0229">
        <w:t>)</w:t>
      </w:r>
      <w:r w:rsidRPr="00EC0229">
        <w:t>.</w:t>
      </w:r>
    </w:p>
    <w:p w14:paraId="432E7E28" w14:textId="72F2AA64" w:rsidR="00373A9F" w:rsidRPr="00EC0229" w:rsidRDefault="00373A9F" w:rsidP="00387063">
      <w:pPr>
        <w:pStyle w:val="NoSpacing"/>
        <w:numPr>
          <w:ilvl w:val="0"/>
          <w:numId w:val="2"/>
        </w:numPr>
        <w:spacing w:line="360" w:lineRule="auto"/>
      </w:pPr>
      <w:r w:rsidRPr="00EC0229">
        <w:t>Specialization, a signifier of surplus</w:t>
      </w:r>
      <w:r w:rsidR="008960AE" w:rsidRPr="00EC0229">
        <w:fldChar w:fldCharType="begin"/>
      </w:r>
      <w:r w:rsidR="008960AE" w:rsidRPr="00EC0229">
        <w:instrText xml:space="preserve"> XE "surplus" </w:instrText>
      </w:r>
      <w:r w:rsidR="008960AE" w:rsidRPr="00EC0229">
        <w:fldChar w:fldCharType="end"/>
      </w:r>
      <w:r w:rsidRPr="00EC0229">
        <w:t>,</w:t>
      </w:r>
      <w:r w:rsidRPr="00EC0229">
        <w:rPr>
          <w:rStyle w:val="FootnoteReference"/>
        </w:rPr>
        <w:footnoteReference w:id="357"/>
      </w:r>
      <w:r w:rsidRPr="00EC0229">
        <w:t xml:space="preserve">  is present from an early stage. </w:t>
      </w:r>
    </w:p>
    <w:p w14:paraId="69AAA230" w14:textId="5961EC54" w:rsidR="00373A9F" w:rsidRPr="00EC0229" w:rsidRDefault="00373A9F" w:rsidP="00387063">
      <w:pPr>
        <w:pStyle w:val="NoSpacing"/>
        <w:numPr>
          <w:ilvl w:val="0"/>
          <w:numId w:val="2"/>
        </w:numPr>
        <w:spacing w:line="360" w:lineRule="auto"/>
      </w:pPr>
      <w:r w:rsidRPr="00EC0229">
        <w:t>Art forms, also a signifier of surplus</w:t>
      </w:r>
      <w:r w:rsidR="008960AE" w:rsidRPr="00EC0229">
        <w:fldChar w:fldCharType="begin"/>
      </w:r>
      <w:r w:rsidR="008960AE" w:rsidRPr="00EC0229">
        <w:instrText xml:space="preserve"> XE "surplus" </w:instrText>
      </w:r>
      <w:r w:rsidR="008960AE" w:rsidRPr="00EC0229">
        <w:fldChar w:fldCharType="end"/>
      </w:r>
      <w:r w:rsidRPr="00EC0229">
        <w:t>, including illuminated manuscripts and early medieval literature,</w:t>
      </w:r>
      <w:r w:rsidRPr="00EC0229">
        <w:rPr>
          <w:rStyle w:val="FootnoteReference"/>
        </w:rPr>
        <w:footnoteReference w:id="358"/>
      </w:r>
      <w:r w:rsidRPr="00EC0229">
        <w:t xml:space="preserve"> are present, often at a high level of achievement.</w:t>
      </w:r>
    </w:p>
    <w:p w14:paraId="521D0D96" w14:textId="64A80BD2" w:rsidR="00373A9F" w:rsidRPr="00EC0229" w:rsidRDefault="00373A9F" w:rsidP="00387063">
      <w:pPr>
        <w:pStyle w:val="NoSpacing"/>
        <w:numPr>
          <w:ilvl w:val="0"/>
          <w:numId w:val="2"/>
        </w:numPr>
        <w:spacing w:line="360" w:lineRule="auto"/>
      </w:pPr>
      <w:r w:rsidRPr="00EC0229">
        <w:t>There is a near absence of ‘primitive’ monies.</w:t>
      </w:r>
    </w:p>
    <w:p w14:paraId="3F9F20E3" w14:textId="48E6B145" w:rsidR="00373A9F" w:rsidRPr="00EC0229" w:rsidRDefault="00373A9F" w:rsidP="00387063">
      <w:pPr>
        <w:pStyle w:val="NoSpacing"/>
        <w:numPr>
          <w:ilvl w:val="0"/>
          <w:numId w:val="2"/>
        </w:numPr>
        <w:spacing w:line="360" w:lineRule="auto"/>
      </w:pPr>
      <w:r w:rsidRPr="00EC0229">
        <w:t xml:space="preserve">Special purpose </w:t>
      </w:r>
      <w:r w:rsidR="009131A7" w:rsidRPr="00EC0229">
        <w:t>issues</w:t>
      </w:r>
      <w:r w:rsidRPr="00EC0229">
        <w:t xml:space="preserve"> are of no direct economic significance, though they may be indicative of vital affiliations. Coinage</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Coinage</w:instrText>
      </w:r>
      <w:r w:rsidR="00584C42" w:rsidRPr="00EC0229">
        <w:instrText xml:space="preserve">" </w:instrText>
      </w:r>
      <w:r w:rsidR="00584C42" w:rsidRPr="00EC0229">
        <w:fldChar w:fldCharType="end"/>
      </w:r>
      <w:r w:rsidRPr="00EC0229">
        <w:t xml:space="preserve">, in its various uses, probably remained familiar </w:t>
      </w:r>
      <w:r w:rsidR="004E78F8" w:rsidRPr="00EC0229">
        <w:t xml:space="preserve">from Biblical parables, </w:t>
      </w:r>
      <w:r w:rsidRPr="00EC0229">
        <w:t>in folk memory</w:t>
      </w:r>
      <w:r w:rsidR="004E78F8" w:rsidRPr="00EC0229">
        <w:t xml:space="preserve"> and</w:t>
      </w:r>
      <w:r w:rsidRPr="00EC0229">
        <w:t xml:space="preserve"> from Continental, especially Merovingian</w:t>
      </w:r>
      <w:r w:rsidR="004C29A9" w:rsidRPr="00EC0229">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fldChar w:fldCharType="end"/>
      </w:r>
      <w:r w:rsidR="002A1565" w:rsidRPr="00EC0229">
        <w:t xml:space="preserve"> use, despite the </w:t>
      </w:r>
      <w:r w:rsidRPr="00EC0229">
        <w:t>century</w:t>
      </w:r>
      <w:r w:rsidR="002A1565" w:rsidRPr="00EC0229">
        <w:t xml:space="preserve">-long </w:t>
      </w:r>
      <w:r w:rsidRPr="00EC0229">
        <w:t>discontinuity</w:t>
      </w:r>
      <w:r w:rsidR="008960AE" w:rsidRPr="00EC0229">
        <w:fldChar w:fldCharType="begin"/>
      </w:r>
      <w:r w:rsidR="008960AE" w:rsidRPr="00EC0229">
        <w:instrText xml:space="preserve"> XE "discontinuity" </w:instrText>
      </w:r>
      <w:r w:rsidR="008960AE" w:rsidRPr="00EC0229">
        <w:fldChar w:fldCharType="end"/>
      </w:r>
      <w:r w:rsidRPr="00EC0229">
        <w:t>.</w:t>
      </w:r>
    </w:p>
    <w:p w14:paraId="56BD85CC" w14:textId="4B230710" w:rsidR="00373A9F" w:rsidRPr="00EC0229" w:rsidRDefault="00373A9F" w:rsidP="00387063">
      <w:pPr>
        <w:pStyle w:val="NoSpacing"/>
        <w:numPr>
          <w:ilvl w:val="0"/>
          <w:numId w:val="2"/>
        </w:numPr>
        <w:spacing w:line="360" w:lineRule="auto"/>
      </w:pPr>
      <w:r w:rsidRPr="00EC0229">
        <w:t>Gift exchange and reciprocity</w:t>
      </w:r>
      <w:r w:rsidR="008960AE" w:rsidRPr="00EC0229">
        <w:fldChar w:fldCharType="begin"/>
      </w:r>
      <w:r w:rsidR="008960AE" w:rsidRPr="00EC0229">
        <w:instrText xml:space="preserve"> XE "</w:instrText>
      </w:r>
      <w:r w:rsidR="008960AE" w:rsidRPr="00EC0229">
        <w:rPr>
          <w:rFonts w:cs="Times New Roman"/>
          <w:szCs w:val="24"/>
        </w:rPr>
        <w:instrText>reciprocity</w:instrText>
      </w:r>
      <w:r w:rsidR="008960AE" w:rsidRPr="00EC0229">
        <w:instrText xml:space="preserve">" </w:instrText>
      </w:r>
      <w:r w:rsidR="008960AE" w:rsidRPr="00EC0229">
        <w:fldChar w:fldCharType="end"/>
      </w:r>
      <w:r w:rsidRPr="00EC0229">
        <w:t xml:space="preserve"> are social constructs with little bearing on the penetration of media of exchange.</w:t>
      </w:r>
    </w:p>
    <w:p w14:paraId="3FC2BB13" w14:textId="5CF3DED0" w:rsidR="00373A9F" w:rsidRPr="00EC0229" w:rsidRDefault="00373A9F" w:rsidP="00387063">
      <w:pPr>
        <w:pStyle w:val="NoSpacing"/>
        <w:numPr>
          <w:ilvl w:val="0"/>
          <w:numId w:val="2"/>
        </w:numPr>
        <w:spacing w:line="360" w:lineRule="auto"/>
      </w:pPr>
      <w:r w:rsidRPr="00EC0229">
        <w:t>The high and fixed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denominations would have necessitated the continuation of commodity money</w:t>
      </w:r>
      <w:r w:rsidR="008960AE" w:rsidRPr="00EC0229">
        <w:fldChar w:fldCharType="begin"/>
      </w:r>
      <w:r w:rsidR="008960AE" w:rsidRPr="00EC0229">
        <w:instrText xml:space="preserve"> XE "</w:instrText>
      </w:r>
      <w:r w:rsidR="008960AE" w:rsidRPr="00EC0229">
        <w:rPr>
          <w:rFonts w:cs="Times New Roman"/>
          <w:szCs w:val="24"/>
        </w:rPr>
        <w:instrText>commodity money</w:instrText>
      </w:r>
      <w:r w:rsidR="008960AE" w:rsidRPr="00EC0229">
        <w:instrText xml:space="preserve">" </w:instrText>
      </w:r>
      <w:r w:rsidR="008960AE" w:rsidRPr="00EC0229">
        <w:fldChar w:fldCharType="end"/>
      </w:r>
      <w:r w:rsidRPr="00EC0229">
        <w:t>, barter</w:t>
      </w:r>
      <w:r w:rsidR="008960AE" w:rsidRPr="00EC0229">
        <w:fldChar w:fldCharType="begin"/>
      </w:r>
      <w:r w:rsidR="008960AE" w:rsidRPr="00EC0229">
        <w:instrText xml:space="preserve"> XE "</w:instrText>
      </w:r>
      <w:r w:rsidR="008960AE" w:rsidRPr="00EC0229">
        <w:rPr>
          <w:rFonts w:cs="Times New Roman"/>
          <w:szCs w:val="24"/>
        </w:rPr>
        <w:instrText>barter</w:instrText>
      </w:r>
      <w:r w:rsidR="008960AE" w:rsidRPr="00EC0229">
        <w:instrText xml:space="preserve">" </w:instrText>
      </w:r>
      <w:r w:rsidR="008960AE" w:rsidRPr="00EC0229">
        <w:fldChar w:fldCharType="end"/>
      </w:r>
      <w:r w:rsidRPr="00EC0229">
        <w:t xml:space="preserve"> and informal credit</w:t>
      </w:r>
      <w:r w:rsidR="008960AE" w:rsidRPr="00EC0229">
        <w:fldChar w:fldCharType="begin"/>
      </w:r>
      <w:r w:rsidR="008960AE" w:rsidRPr="00EC0229">
        <w:instrText xml:space="preserve"> XE "credit" </w:instrText>
      </w:r>
      <w:r w:rsidR="008960AE" w:rsidRPr="00EC0229">
        <w:fldChar w:fldCharType="end"/>
      </w:r>
      <w:r w:rsidRPr="00EC0229">
        <w:t>.</w:t>
      </w:r>
    </w:p>
    <w:p w14:paraId="2C8FAB2F" w14:textId="492F3E87" w:rsidR="00373A9F" w:rsidRPr="00EC0229" w:rsidRDefault="00373A9F" w:rsidP="00387063">
      <w:pPr>
        <w:pStyle w:val="NoSpacing"/>
        <w:numPr>
          <w:ilvl w:val="0"/>
          <w:numId w:val="2"/>
        </w:numPr>
        <w:spacing w:line="360" w:lineRule="auto"/>
      </w:pPr>
      <w:r w:rsidRPr="00EC0229">
        <w:t xml:space="preserve">The economic motivations to </w:t>
      </w:r>
      <w:r w:rsidR="003F2041" w:rsidRPr="00EC0229">
        <w:t>monetiz</w:t>
      </w:r>
      <w:r w:rsidRPr="00EC0229">
        <w:t>e are both commercial and fiscal.</w:t>
      </w:r>
    </w:p>
    <w:p w14:paraId="1EA6F767" w14:textId="761D4B4D" w:rsidR="00373A9F" w:rsidRPr="00EC0229" w:rsidRDefault="00373A9F" w:rsidP="00387063">
      <w:pPr>
        <w:pStyle w:val="NoSpacing"/>
        <w:numPr>
          <w:ilvl w:val="0"/>
          <w:numId w:val="2"/>
        </w:numPr>
        <w:spacing w:line="360" w:lineRule="auto"/>
        <w:rPr>
          <w:szCs w:val="24"/>
        </w:rPr>
      </w:pPr>
      <w:r w:rsidRPr="00EC0229">
        <w:t>Successive waves of migration,</w:t>
      </w:r>
      <w:r w:rsidRPr="00EC0229">
        <w:rPr>
          <w:rStyle w:val="FootnoteReference"/>
        </w:rPr>
        <w:footnoteReference w:id="359"/>
      </w:r>
      <w:r w:rsidRPr="00EC0229">
        <w:t xml:space="preserve"> which may have involved ‘decapitation’ of the ruling élite</w:t>
      </w:r>
      <w:r w:rsidR="008960AE" w:rsidRPr="00EC0229">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fldChar w:fldCharType="end"/>
      </w:r>
      <w:r w:rsidRPr="00EC0229">
        <w:t>, at least politically, or varying degrees of ‘creative destruction’,</w:t>
      </w:r>
      <w:r w:rsidRPr="00EC0229">
        <w:rPr>
          <w:rStyle w:val="FootnoteReference"/>
        </w:rPr>
        <w:footnoteReference w:id="360"/>
      </w:r>
      <w:r w:rsidRPr="00EC0229">
        <w:t xml:space="preserve"> </w:t>
      </w:r>
      <w:r w:rsidR="004504D2">
        <w:t>characterize</w:t>
      </w:r>
      <w:r w:rsidRPr="00EC0229">
        <w:t xml:space="preserve"> English history. The results of the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model’, typified by a high level of innovation, judged broadly on the basis of long-term wealth creation, social capital and governance, was economically successful.</w:t>
      </w:r>
      <w:r w:rsidRPr="00EC0229">
        <w:rPr>
          <w:rStyle w:val="FootnoteReference"/>
        </w:rPr>
        <w:footnoteReference w:id="361"/>
      </w:r>
      <w:r w:rsidRPr="00EC0229">
        <w:t xml:space="preserve"> </w:t>
      </w:r>
    </w:p>
    <w:p w14:paraId="066DEF48" w14:textId="77777777" w:rsidR="00373A9F" w:rsidRPr="00EC0229" w:rsidRDefault="00373A9F" w:rsidP="007600EA">
      <w:pPr>
        <w:pStyle w:val="NoSpacing"/>
        <w:spacing w:line="360" w:lineRule="auto"/>
        <w:rPr>
          <w:szCs w:val="24"/>
        </w:rPr>
      </w:pPr>
    </w:p>
    <w:p w14:paraId="42814DDC" w14:textId="7752B86F" w:rsidR="00373A9F" w:rsidRPr="00EC0229" w:rsidRDefault="00373A9F" w:rsidP="007600EA">
      <w:pPr>
        <w:pStyle w:val="NoSpacing"/>
        <w:spacing w:line="360" w:lineRule="auto"/>
        <w:rPr>
          <w:szCs w:val="24"/>
        </w:rPr>
      </w:pPr>
      <w:r w:rsidRPr="00EC0229">
        <w:rPr>
          <w:szCs w:val="24"/>
        </w:rPr>
        <w:t>In Naismith</w:t>
      </w:r>
      <w:r w:rsidR="008960AE" w:rsidRPr="00EC0229">
        <w:rPr>
          <w:szCs w:val="24"/>
        </w:rPr>
        <w:fldChar w:fldCharType="begin"/>
      </w:r>
      <w:r w:rsidR="008960AE" w:rsidRPr="00EC0229">
        <w:instrText xml:space="preserve"> XE "</w:instrText>
      </w:r>
      <w:r w:rsidR="008960AE" w:rsidRPr="00EC0229">
        <w:rPr>
          <w:rFonts w:cs="Times New Roman"/>
          <w:szCs w:val="24"/>
        </w:rPr>
        <w:instrText>Naismith</w:instrText>
      </w:r>
      <w:r w:rsidR="008960AE" w:rsidRPr="00EC0229">
        <w:instrText xml:space="preserve">" </w:instrText>
      </w:r>
      <w:r w:rsidR="008960AE" w:rsidRPr="00EC0229">
        <w:rPr>
          <w:szCs w:val="24"/>
        </w:rPr>
        <w:fldChar w:fldCharType="end"/>
      </w:r>
      <w:r w:rsidRPr="00EC0229">
        <w:rPr>
          <w:szCs w:val="24"/>
        </w:rPr>
        <w:t>’s view, there was a significant monetary component in the early Anglo-Saxon</w:t>
      </w:r>
      <w:r w:rsidR="00F204A1" w:rsidRPr="00EC0229">
        <w:rPr>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szCs w:val="24"/>
        </w:rPr>
        <w:fldChar w:fldCharType="end"/>
      </w:r>
      <w:r w:rsidRPr="00EC0229">
        <w:rPr>
          <w:szCs w:val="24"/>
        </w:rPr>
        <w:t xml:space="preserve"> economy</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szCs w:val="24"/>
        </w:rPr>
        <w:fldChar w:fldCharType="end"/>
      </w:r>
      <w:r w:rsidRPr="00EC0229">
        <w:rPr>
          <w:szCs w:val="24"/>
        </w:rPr>
        <w:t>, thou</w:t>
      </w:r>
      <w:r w:rsidR="00F72977" w:rsidRPr="00EC0229">
        <w:rPr>
          <w:szCs w:val="24"/>
        </w:rPr>
        <w:t xml:space="preserve">gh it was not fully </w:t>
      </w:r>
      <w:r w:rsidR="003F2041" w:rsidRPr="00EC0229">
        <w:rPr>
          <w:szCs w:val="24"/>
        </w:rPr>
        <w:t>monetiz</w:t>
      </w:r>
      <w:r w:rsidR="00F72977" w:rsidRPr="00EC0229">
        <w:rPr>
          <w:szCs w:val="24"/>
        </w:rPr>
        <w:t xml:space="preserve">ed: </w:t>
      </w:r>
      <w:r w:rsidRPr="00EC0229">
        <w:rPr>
          <w:szCs w:val="24"/>
        </w:rPr>
        <w:t xml:space="preserve">he speculated that perhaps less than half of all </w:t>
      </w:r>
      <w:r w:rsidRPr="00EC0229">
        <w:rPr>
          <w:szCs w:val="24"/>
        </w:rPr>
        <w:lastRenderedPageBreak/>
        <w:t>transactions were satisfied in currency and possibly far less in the mid-eighth and mid-ninth centuries and generally in western England: ‘Coins, to put it bluntly, were not indispensable. They were a convenience, not a necessity, and their absence could be sustained by the economy.’</w:t>
      </w:r>
      <w:r w:rsidRPr="00EC0229">
        <w:rPr>
          <w:rStyle w:val="FootnoteReference"/>
          <w:szCs w:val="24"/>
        </w:rPr>
        <w:footnoteReference w:id="362"/>
      </w:r>
      <w:r w:rsidRPr="00EC0229">
        <w:rPr>
          <w:szCs w:val="24"/>
        </w:rPr>
        <w:t xml:space="preserve"> On the other hand, he acknowledged that there was a substantial circulating stock of coin, the product of efficient mints, and that the volume of loss cannot be attributed to élite</w:t>
      </w:r>
      <w:r w:rsidR="008960AE" w:rsidRPr="00EC0229">
        <w:rPr>
          <w:szCs w:val="24"/>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szCs w:val="24"/>
        </w:rPr>
        <w:fldChar w:fldCharType="end"/>
      </w:r>
      <w:r w:rsidRPr="00EC0229">
        <w:rPr>
          <w:szCs w:val="24"/>
        </w:rPr>
        <w:t xml:space="preserve"> gift-giving and merchants trading luxuries.</w:t>
      </w:r>
    </w:p>
    <w:p w14:paraId="7594CD4E" w14:textId="77777777" w:rsidR="00373A9F" w:rsidRPr="00EC0229" w:rsidRDefault="00373A9F" w:rsidP="007600EA">
      <w:pPr>
        <w:pStyle w:val="NoSpacing"/>
        <w:spacing w:line="360" w:lineRule="auto"/>
        <w:rPr>
          <w:szCs w:val="24"/>
        </w:rPr>
      </w:pPr>
    </w:p>
    <w:p w14:paraId="540D6FF8" w14:textId="661CF984" w:rsidR="00373A9F" w:rsidRPr="00EC0229" w:rsidRDefault="005F38D6" w:rsidP="007600EA">
      <w:pPr>
        <w:pStyle w:val="Heading2"/>
        <w:spacing w:line="360" w:lineRule="auto"/>
      </w:pPr>
      <w:bookmarkStart w:id="155" w:name="synthesis"/>
      <w:bookmarkStart w:id="156" w:name="hypothesis"/>
      <w:bookmarkStart w:id="157" w:name="_Ref464123087"/>
      <w:bookmarkStart w:id="158" w:name="_Ref464127356"/>
      <w:bookmarkStart w:id="159" w:name="_Toc468266763"/>
      <w:bookmarkEnd w:id="155"/>
      <w:bookmarkEnd w:id="156"/>
      <w:r>
        <w:t>4.3</w:t>
      </w:r>
      <w:r>
        <w:tab/>
      </w:r>
      <w:r w:rsidR="00373A9F" w:rsidRPr="00EC0229">
        <w:t xml:space="preserve">Hypothesis of </w:t>
      </w:r>
      <w:r w:rsidR="003F2041" w:rsidRPr="00EC0229">
        <w:rPr>
          <w:rFonts w:eastAsia="Times New Roman" w:cs="Times New Roman"/>
          <w:lang w:eastAsia="en-GB"/>
        </w:rPr>
        <w:t>Monetiz</w:t>
      </w:r>
      <w:r w:rsidR="00373A9F" w:rsidRPr="00EC0229">
        <w:rPr>
          <w:rFonts w:eastAsia="Times New Roman" w:cs="Times New Roman"/>
          <w:lang w:eastAsia="en-GB"/>
        </w:rPr>
        <w:t>ation</w:t>
      </w:r>
      <w:bookmarkEnd w:id="157"/>
      <w:bookmarkEnd w:id="158"/>
      <w:bookmarkEnd w:id="159"/>
      <w:r w:rsidR="00F204A1" w:rsidRPr="00EC0229">
        <w:rPr>
          <w:rFonts w:eastAsia="Times New Roman" w:cs="Times New Roman"/>
          <w:lang w:eastAsia="en-GB"/>
        </w:rPr>
        <w:fldChar w:fldCharType="begin"/>
      </w:r>
      <w:r w:rsidR="00F204A1" w:rsidRPr="00EC0229">
        <w:instrText xml:space="preserve"> XE "</w:instrText>
      </w:r>
      <w:r w:rsidR="00F204A1" w:rsidRPr="00EC0229">
        <w:rPr>
          <w:rStyle w:val="Hyperlink"/>
          <w:rFonts w:cs="Times New Roman"/>
          <w:noProof/>
          <w:u w:val="none"/>
        </w:rPr>
        <w:instrText>Monetization</w:instrText>
      </w:r>
      <w:r w:rsidR="00F204A1" w:rsidRPr="00EC0229">
        <w:instrText xml:space="preserve">" </w:instrText>
      </w:r>
      <w:r w:rsidR="00F204A1" w:rsidRPr="00EC0229">
        <w:rPr>
          <w:rFonts w:eastAsia="Times New Roman" w:cs="Times New Roman"/>
          <w:lang w:eastAsia="en-GB"/>
        </w:rPr>
        <w:fldChar w:fldCharType="end"/>
      </w:r>
    </w:p>
    <w:p w14:paraId="2DA8F4B1" w14:textId="5C6F8AAC" w:rsidR="00373A9F" w:rsidRPr="00EC0229" w:rsidRDefault="0080208B" w:rsidP="007600EA">
      <w:pPr>
        <w:pStyle w:val="NoSpacing"/>
        <w:spacing w:line="360" w:lineRule="auto"/>
        <w:rPr>
          <w:rFonts w:eastAsia="Times New Roman" w:cs="Times New Roman"/>
          <w:szCs w:val="24"/>
          <w:lang w:eastAsia="en-GB"/>
        </w:rPr>
      </w:pPr>
      <w:r w:rsidRPr="00EC0229">
        <w:t>The</w:t>
      </w:r>
      <w:r w:rsidR="00373A9F" w:rsidRPr="00EC0229">
        <w:t xml:space="preserve"> synthesis of form</w:t>
      </w:r>
      <w:r w:rsidR="00172642" w:rsidRPr="00EC0229">
        <w:t xml:space="preserve">ative propositions </w:t>
      </w:r>
      <w:r w:rsidRPr="00EC0229">
        <w:t xml:space="preserve">at page </w:t>
      </w:r>
      <w:r w:rsidRPr="00EC0229">
        <w:fldChar w:fldCharType="begin"/>
      </w:r>
      <w:r w:rsidRPr="00EC0229">
        <w:instrText xml:space="preserve"> PAGEREF _Ref464047239 \h </w:instrText>
      </w:r>
      <w:r w:rsidRPr="00EC0229">
        <w:fldChar w:fldCharType="separate"/>
      </w:r>
      <w:r w:rsidR="0012026B">
        <w:rPr>
          <w:noProof/>
        </w:rPr>
        <w:t>58</w:t>
      </w:r>
      <w:r w:rsidRPr="00EC0229">
        <w:fldChar w:fldCharType="end"/>
      </w:r>
      <w:r w:rsidRPr="00EC0229">
        <w:t xml:space="preserve"> </w:t>
      </w:r>
      <w:r w:rsidR="00172642" w:rsidRPr="00EC0229">
        <w:t>can be comple</w:t>
      </w:r>
      <w:r w:rsidR="00373A9F" w:rsidRPr="00EC0229">
        <w:t>mented by a h</w:t>
      </w:r>
      <w:r w:rsidR="00373A9F" w:rsidRPr="00EC0229">
        <w:rPr>
          <w:szCs w:val="24"/>
        </w:rPr>
        <w:t xml:space="preserve">ypothesis of </w:t>
      </w:r>
      <w:r w:rsidR="003F2041" w:rsidRPr="00EC0229">
        <w:rPr>
          <w:szCs w:val="24"/>
        </w:rPr>
        <w:t>monetiz</w:t>
      </w:r>
      <w:r w:rsidR="00373A9F" w:rsidRPr="00EC0229">
        <w:rPr>
          <w:rFonts w:eastAsia="Times New Roman" w:cs="Times New Roman"/>
          <w:szCs w:val="24"/>
          <w:lang w:eastAsia="en-GB"/>
        </w:rPr>
        <w:t>ation</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Style w:val="Hyperlink"/>
          <w:rFonts w:cs="Times New Roman"/>
          <w:szCs w:val="24"/>
          <w:u w:val="none"/>
        </w:rPr>
        <w:instrText>hypothesis of monetization</w:instrText>
      </w:r>
      <w:r w:rsidR="008960AE" w:rsidRPr="00EC0229">
        <w:instrText xml:space="preserve">" </w:instrText>
      </w:r>
      <w:r w:rsidR="008960AE" w:rsidRPr="00EC0229">
        <w:rPr>
          <w:rFonts w:eastAsia="Times New Roman" w:cs="Times New Roman"/>
          <w:szCs w:val="24"/>
          <w:lang w:eastAsia="en-GB"/>
        </w:rPr>
        <w:fldChar w:fldCharType="end"/>
      </w:r>
      <w:r w:rsidR="00373A9F" w:rsidRPr="00EC0229">
        <w:rPr>
          <w:rFonts w:eastAsia="Times New Roman" w:cs="Times New Roman"/>
          <w:szCs w:val="24"/>
          <w:lang w:eastAsia="en-GB"/>
        </w:rPr>
        <w:t>. Northumbria</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eastAsia="Times New Roman" w:cs="Times New Roman"/>
          <w:szCs w:val="24"/>
          <w:lang w:eastAsia="en-GB"/>
        </w:rPr>
        <w:fldChar w:fldCharType="end"/>
      </w:r>
      <w:r w:rsidR="00373A9F" w:rsidRPr="00EC0229">
        <w:rPr>
          <w:rFonts w:eastAsia="Times New Roman" w:cs="Times New Roman"/>
          <w:szCs w:val="24"/>
          <w:lang w:eastAsia="en-GB"/>
        </w:rPr>
        <w:t xml:space="preserve"> follows a simple model of </w:t>
      </w:r>
      <w:r w:rsidR="009C2BD9" w:rsidRPr="00EC0229">
        <w:rPr>
          <w:rFonts w:eastAsia="Times New Roman" w:cs="Times New Roman"/>
          <w:szCs w:val="24"/>
          <w:lang w:eastAsia="en-GB"/>
        </w:rPr>
        <w:t>re-</w:t>
      </w:r>
      <w:r w:rsidR="00373A9F" w:rsidRPr="00EC0229">
        <w:rPr>
          <w:rFonts w:eastAsia="Times New Roman" w:cs="Times New Roman"/>
          <w:szCs w:val="24"/>
          <w:lang w:eastAsia="en-GB"/>
        </w:rPr>
        <w:t xml:space="preserve">emerging </w:t>
      </w:r>
      <w:r w:rsidR="003F2041" w:rsidRPr="00EC0229">
        <w:rPr>
          <w:rFonts w:eastAsia="Times New Roman" w:cs="Times New Roman"/>
          <w:szCs w:val="24"/>
          <w:lang w:eastAsia="en-GB"/>
        </w:rPr>
        <w:t>monetiz</w:t>
      </w:r>
      <w:r w:rsidR="00373A9F" w:rsidRPr="00EC0229">
        <w:rPr>
          <w:rFonts w:eastAsia="Times New Roman" w:cs="Times New Roman"/>
          <w:szCs w:val="24"/>
          <w:lang w:eastAsia="en-GB"/>
        </w:rPr>
        <w:t>ation</w:t>
      </w:r>
      <w:r w:rsidR="008960AE" w:rsidRPr="00EC0229">
        <w:rPr>
          <w:rFonts w:eastAsia="Times New Roman" w:cs="Times New Roman"/>
          <w:szCs w:val="24"/>
          <w:lang w:eastAsia="en-GB"/>
        </w:rPr>
        <w:fldChar w:fldCharType="begin"/>
      </w:r>
      <w:r w:rsidR="008960AE" w:rsidRPr="00EC0229">
        <w:instrText xml:space="preserve"> XE "monetization" </w:instrText>
      </w:r>
      <w:r w:rsidR="008960AE" w:rsidRPr="00EC0229">
        <w:rPr>
          <w:rFonts w:eastAsia="Times New Roman" w:cs="Times New Roman"/>
          <w:szCs w:val="24"/>
          <w:lang w:eastAsia="en-GB"/>
        </w:rPr>
        <w:fldChar w:fldCharType="end"/>
      </w:r>
      <w:r w:rsidR="00373A9F" w:rsidRPr="00EC0229">
        <w:rPr>
          <w:rFonts w:eastAsia="Times New Roman" w:cs="Times New Roman"/>
          <w:szCs w:val="24"/>
          <w:lang w:eastAsia="en-GB"/>
        </w:rPr>
        <w:t xml:space="preserve"> in three phases, the degree of penetration being dependent on metal type. In this </w:t>
      </w:r>
      <w:r w:rsidR="00373A9F" w:rsidRPr="00EC0229">
        <w:rPr>
          <w:rFonts w:eastAsia="Times New Roman" w:cs="Times New Roman"/>
          <w:i/>
          <w:szCs w:val="24"/>
          <w:lang w:eastAsia="en-GB"/>
        </w:rPr>
        <w:t>Olympic</w:t>
      </w:r>
      <w:r w:rsidR="00373A9F" w:rsidRPr="00EC0229">
        <w:rPr>
          <w:rFonts w:eastAsia="Times New Roman" w:cs="Times New Roman"/>
          <w:szCs w:val="24"/>
          <w:lang w:eastAsia="en-GB"/>
        </w:rPr>
        <w:t xml:space="preserve"> regime</w:t>
      </w:r>
      <w:r w:rsidR="00D4480C" w:rsidRPr="00EC0229">
        <w:rPr>
          <w:rFonts w:eastAsia="Times New Roman" w:cs="Times New Roman"/>
          <w:szCs w:val="24"/>
          <w:lang w:eastAsia="en-GB"/>
        </w:rPr>
        <w:t xml:space="preserve"> of gold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szCs w:val="24"/>
          <w:lang w:eastAsia="en-GB"/>
        </w:rPr>
        <w:fldChar w:fldCharType="end"/>
      </w:r>
      <w:r w:rsidR="00D4480C" w:rsidRPr="00EC0229">
        <w:rPr>
          <w:rFonts w:eastAsia="Times New Roman" w:cs="Times New Roman"/>
          <w:szCs w:val="24"/>
          <w:lang w:eastAsia="en-GB"/>
        </w:rPr>
        <w:t>, silver and bronze</w:t>
      </w:r>
      <w:r w:rsidR="00373A9F" w:rsidRPr="00EC0229">
        <w:rPr>
          <w:rFonts w:eastAsia="Times New Roman" w:cs="Times New Roman"/>
          <w:szCs w:val="24"/>
          <w:lang w:eastAsia="en-GB"/>
        </w:rPr>
        <w:t xml:space="preserve">, the first phase is </w:t>
      </w:r>
      <w:r w:rsidR="004504D2">
        <w:rPr>
          <w:rFonts w:eastAsia="Times New Roman" w:cs="Times New Roman"/>
          <w:szCs w:val="24"/>
          <w:lang w:eastAsia="en-GB"/>
        </w:rPr>
        <w:t>characterize</w:t>
      </w:r>
      <w:r w:rsidR="00373A9F" w:rsidRPr="00EC0229">
        <w:rPr>
          <w:rFonts w:eastAsia="Times New Roman" w:cs="Times New Roman"/>
          <w:szCs w:val="24"/>
          <w:lang w:eastAsia="en-GB"/>
        </w:rPr>
        <w:t>d by the élite</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rFonts w:eastAsia="Times New Roman" w:cs="Times New Roman"/>
          <w:szCs w:val="24"/>
          <w:lang w:eastAsia="en-GB"/>
        </w:rPr>
        <w:fldChar w:fldCharType="end"/>
      </w:r>
      <w:r w:rsidR="00373A9F" w:rsidRPr="00EC0229">
        <w:rPr>
          <w:rFonts w:eastAsia="Times New Roman" w:cs="Times New Roman"/>
          <w:szCs w:val="24"/>
          <w:lang w:eastAsia="en-GB"/>
        </w:rPr>
        <w:t xml:space="preserve"> use of precious metal, the second by the mercantile use of intrinsic-value metal and the third, and final, stage by the domestic use of base metal.</w:t>
      </w:r>
    </w:p>
    <w:p w14:paraId="45BFE57E" w14:textId="77777777" w:rsidR="00373A9F" w:rsidRPr="00EC0229" w:rsidRDefault="00373A9F" w:rsidP="007600EA">
      <w:pPr>
        <w:pStyle w:val="NoSpacing"/>
        <w:spacing w:line="360" w:lineRule="auto"/>
      </w:pPr>
    </w:p>
    <w:p w14:paraId="6DD3FFA4" w14:textId="1593449F" w:rsidR="00927E94" w:rsidRPr="00EC0229" w:rsidRDefault="005F38D6" w:rsidP="007600EA">
      <w:pPr>
        <w:pStyle w:val="NoSpacing"/>
        <w:spacing w:line="360" w:lineRule="auto"/>
      </w:pPr>
      <w:bookmarkStart w:id="160" w:name="gold"/>
      <w:bookmarkStart w:id="161" w:name="Éliteuseofgold"/>
      <w:bookmarkStart w:id="162" w:name="_Toc468266764"/>
      <w:bookmarkEnd w:id="160"/>
      <w:bookmarkEnd w:id="161"/>
      <w:r w:rsidRPr="00A92DF0">
        <w:rPr>
          <w:rStyle w:val="Heading4Char"/>
          <w:b/>
        </w:rPr>
        <w:t>4.3.1</w:t>
      </w:r>
      <w:r w:rsidRPr="00A92DF0">
        <w:rPr>
          <w:rStyle w:val="Heading4Char"/>
          <w:b/>
        </w:rPr>
        <w:tab/>
      </w:r>
      <w:r w:rsidR="00373A9F" w:rsidRPr="00A92DF0">
        <w:rPr>
          <w:rStyle w:val="Heading4Char"/>
          <w:b/>
        </w:rPr>
        <w:t>Élite use of</w:t>
      </w:r>
      <w:bookmarkEnd w:id="162"/>
      <w:r w:rsidR="00373A9F" w:rsidRPr="00A92DF0">
        <w:rPr>
          <w:rStyle w:val="Heading4Char"/>
          <w:b/>
        </w:rPr>
        <w:t xml:space="preserve"> </w:t>
      </w:r>
      <w:hyperlink r:id="rId31" w:anchor="Chapter6" w:history="1">
        <w:r w:rsidR="00373A9F" w:rsidRPr="00A92DF0">
          <w:rPr>
            <w:rStyle w:val="Heading4Char"/>
            <w:b/>
          </w:rPr>
          <w:t>gold</w:t>
        </w:r>
        <w:r w:rsidR="008960AE" w:rsidRPr="00A92DF0">
          <w:rPr>
            <w:rStyle w:val="Heading4Char"/>
            <w:b/>
          </w:rPr>
          <w:fldChar w:fldCharType="begin"/>
        </w:r>
        <w:r w:rsidR="008960AE" w:rsidRPr="00A92DF0">
          <w:rPr>
            <w:rStyle w:val="Heading4Char"/>
            <w:b/>
          </w:rPr>
          <w:instrText xml:space="preserve"> XE "gold" </w:instrText>
        </w:r>
        <w:r w:rsidR="008960AE" w:rsidRPr="00A92DF0">
          <w:rPr>
            <w:rStyle w:val="Heading4Char"/>
            <w:b/>
          </w:rPr>
          <w:fldChar w:fldCharType="end"/>
        </w:r>
      </w:hyperlink>
      <w:r w:rsidR="00927E94" w:rsidRPr="00EC0229">
        <w:rPr>
          <w:rFonts w:eastAsia="Times New Roman" w:cs="Times New Roman"/>
          <w:szCs w:val="24"/>
          <w:lang w:eastAsia="en-GB"/>
        </w:rPr>
        <w:t xml:space="preserve"> </w:t>
      </w:r>
      <w:r w:rsidR="00927E94" w:rsidRPr="00EC0229">
        <w:t>(</w:t>
      </w:r>
      <w:r w:rsidR="00900593" w:rsidRPr="00EC0229">
        <w:fldChar w:fldCharType="begin"/>
      </w:r>
      <w:r w:rsidR="00900593" w:rsidRPr="00EC0229">
        <w:instrText xml:space="preserve"> PAGEREF Periods13 \h </w:instrText>
      </w:r>
      <w:r w:rsidR="00900593" w:rsidRPr="00EC0229">
        <w:fldChar w:fldCharType="separate"/>
      </w:r>
      <w:r w:rsidR="0012026B">
        <w:rPr>
          <w:noProof/>
        </w:rPr>
        <w:t>85</w:t>
      </w:r>
      <w:r w:rsidR="00900593" w:rsidRPr="00EC0229">
        <w:fldChar w:fldCharType="end"/>
      </w:r>
      <w:r w:rsidR="00927E94" w:rsidRPr="00EC0229">
        <w:t>)</w:t>
      </w:r>
    </w:p>
    <w:p w14:paraId="790333DB" w14:textId="6B811750" w:rsidR="00373A9F" w:rsidRPr="00EC0229" w:rsidRDefault="00373A9F" w:rsidP="007600EA">
      <w:pPr>
        <w:pStyle w:val="NoSpacing"/>
        <w:spacing w:line="360" w:lineRule="auto"/>
        <w:rPr>
          <w:rFonts w:eastAsia="Times New Roman" w:cs="Times New Roman"/>
          <w:szCs w:val="24"/>
          <w:lang w:eastAsia="en-GB"/>
        </w:rPr>
      </w:pPr>
      <w:r w:rsidRPr="00EC0229">
        <w:t>As agrarian practices were managed to produce surplus</w:t>
      </w:r>
      <w:r w:rsidR="008960AE" w:rsidRPr="00EC0229">
        <w:fldChar w:fldCharType="begin"/>
      </w:r>
      <w:r w:rsidR="008960AE" w:rsidRPr="00EC0229">
        <w:instrText xml:space="preserve"> XE "surplus" </w:instrText>
      </w:r>
      <w:r w:rsidR="008960AE" w:rsidRPr="00EC0229">
        <w:fldChar w:fldCharType="end"/>
      </w:r>
      <w:r w:rsidRPr="00EC0229">
        <w:t>, commodity money</w:t>
      </w:r>
      <w:r w:rsidR="008960AE" w:rsidRPr="00EC0229">
        <w:fldChar w:fldCharType="begin"/>
      </w:r>
      <w:r w:rsidR="008960AE" w:rsidRPr="00EC0229">
        <w:instrText xml:space="preserve"> XE "</w:instrText>
      </w:r>
      <w:r w:rsidR="008960AE" w:rsidRPr="00EC0229">
        <w:rPr>
          <w:rFonts w:cs="Times New Roman"/>
          <w:szCs w:val="24"/>
        </w:rPr>
        <w:instrText>commodity money</w:instrText>
      </w:r>
      <w:r w:rsidR="008960AE" w:rsidRPr="00EC0229">
        <w:instrText xml:space="preserve">" </w:instrText>
      </w:r>
      <w:r w:rsidR="008960AE" w:rsidRPr="00EC0229">
        <w:fldChar w:fldCharType="end"/>
      </w:r>
      <w:r w:rsidRPr="00EC0229">
        <w:t xml:space="preserve"> was likely to have been used regularly in the lower echelons of the root-and-branch network. </w:t>
      </w:r>
      <w:r w:rsidRPr="00EC0229">
        <w:rPr>
          <w:rFonts w:eastAsia="Times New Roman" w:cs="Times New Roman"/>
          <w:szCs w:val="24"/>
          <w:lang w:eastAsia="en-GB"/>
        </w:rPr>
        <w:t xml:space="preserve">Commencing probably by the late third quarter of </w:t>
      </w:r>
      <w:r w:rsidR="00F139AF" w:rsidRPr="00EC0229">
        <w:rPr>
          <w:rFonts w:eastAsia="Times New Roman" w:cs="Times New Roman"/>
          <w:szCs w:val="24"/>
          <w:lang w:eastAsia="en-GB"/>
        </w:rPr>
        <w:t>the sixth century</w:t>
      </w:r>
      <w:r w:rsidRPr="00EC0229">
        <w:rPr>
          <w:rFonts w:eastAsia="Times New Roman" w:cs="Times New Roman"/>
          <w:szCs w:val="24"/>
          <w:lang w:eastAsia="en-GB"/>
        </w:rPr>
        <w:t>, imported gold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coins were being lost in Northumbria</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eastAsia="Times New Roman" w:cs="Times New Roman"/>
          <w:szCs w:val="24"/>
          <w:lang w:eastAsia="en-GB"/>
        </w:rPr>
        <w:fldChar w:fldCharType="end"/>
      </w:r>
      <w:r w:rsidRPr="00EC0229">
        <w:rPr>
          <w:rFonts w:eastAsia="Times New Roman" w:cs="Times New Roman"/>
          <w:szCs w:val="24"/>
          <w:lang w:eastAsia="en-GB"/>
        </w:rPr>
        <w:t>. Recoveries to date have been of Merovingian</w:t>
      </w:r>
      <w:r w:rsidR="004C29A9" w:rsidRPr="00EC0229">
        <w:rPr>
          <w:rFonts w:eastAsia="Times New Roman" w:cs="Times New Roman"/>
          <w:szCs w:val="24"/>
          <w:lang w:eastAsia="en-GB"/>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rFonts w:eastAsia="Times New Roman" w:cs="Times New Roman"/>
          <w:szCs w:val="24"/>
          <w:lang w:eastAsia="en-GB"/>
        </w:rPr>
        <w:fldChar w:fldCharType="end"/>
      </w:r>
      <w:r w:rsidRPr="00EC0229">
        <w:rPr>
          <w:rFonts w:eastAsia="Times New Roman" w:cs="Times New Roman"/>
          <w:szCs w:val="24"/>
          <w:lang w:eastAsia="en-GB"/>
        </w:rPr>
        <w:t xml:space="preserve"> tremisses b</w:t>
      </w:r>
      <w:r w:rsidR="002A1565" w:rsidRPr="00EC0229">
        <w:rPr>
          <w:rFonts w:eastAsia="Times New Roman" w:cs="Times New Roman"/>
          <w:szCs w:val="24"/>
          <w:lang w:eastAsia="en-GB"/>
        </w:rPr>
        <w:t>ut this does not rule out further</w:t>
      </w:r>
      <w:r w:rsidRPr="00EC0229">
        <w:rPr>
          <w:rFonts w:eastAsia="Times New Roman" w:cs="Times New Roman"/>
          <w:szCs w:val="24"/>
          <w:lang w:eastAsia="en-GB"/>
        </w:rPr>
        <w:t xml:space="preserve"> Byzantine</w:t>
      </w:r>
      <w:r w:rsidR="008960AE" w:rsidRPr="00EC0229">
        <w:rPr>
          <w:rFonts w:eastAsia="Times New Roman" w:cs="Times New Roman"/>
          <w:szCs w:val="24"/>
          <w:lang w:eastAsia="en-GB"/>
        </w:rPr>
        <w:fldChar w:fldCharType="begin"/>
      </w:r>
      <w:r w:rsidR="008960AE" w:rsidRPr="00EC0229">
        <w:instrText xml:space="preserve"> XE "Byzantine"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other, e.g. Visigothic) discoveries.</w:t>
      </w:r>
      <w:r w:rsidRPr="00EC0229">
        <w:rPr>
          <w:rStyle w:val="FootnoteReference"/>
          <w:rFonts w:eastAsia="Times New Roman" w:cs="Times New Roman"/>
          <w:szCs w:val="24"/>
          <w:lang w:eastAsia="en-GB"/>
        </w:rPr>
        <w:footnoteReference w:id="363"/>
      </w:r>
      <w:r w:rsidRPr="00EC0229">
        <w:rPr>
          <w:rFonts w:eastAsia="Times New Roman" w:cs="Times New Roman"/>
          <w:szCs w:val="24"/>
          <w:lang w:eastAsia="en-GB"/>
        </w:rPr>
        <w:t xml:space="preserve"> </w:t>
      </w:r>
      <w:r w:rsidRPr="00EC0229">
        <w:t xml:space="preserve">By the fourth quarter of </w:t>
      </w:r>
      <w:r w:rsidR="00F139AF" w:rsidRPr="00EC0229">
        <w:t>the sixth century</w:t>
      </w:r>
      <w:r w:rsidRPr="00EC0229">
        <w:t>, at the hub, the élite</w:t>
      </w:r>
      <w:r w:rsidR="008960AE" w:rsidRPr="00EC0229">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fldChar w:fldCharType="end"/>
      </w:r>
      <w:r w:rsidRPr="00EC0229">
        <w:t xml:space="preserve"> would have routinely used imported gold tremisses, but not always for monetary purposes. By mid-seventh century,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gold shillings,</w:t>
      </w:r>
      <w:r w:rsidR="00B47418" w:rsidRPr="00EC0229">
        <w:rPr>
          <w:rStyle w:val="FootnoteReference"/>
        </w:rPr>
        <w:footnoteReference w:id="364"/>
      </w:r>
      <w:r w:rsidRPr="00EC0229">
        <w:t xml:space="preserve"> commodity money</w:t>
      </w:r>
      <w:r w:rsidR="008960AE" w:rsidRPr="00EC0229">
        <w:fldChar w:fldCharType="begin"/>
      </w:r>
      <w:r w:rsidR="008960AE" w:rsidRPr="00EC0229">
        <w:instrText xml:space="preserve"> XE "money" </w:instrText>
      </w:r>
      <w:r w:rsidR="008960AE" w:rsidRPr="00EC0229">
        <w:fldChar w:fldCharType="end"/>
      </w:r>
      <w:r w:rsidRPr="00EC0229">
        <w:t xml:space="preserve"> and barter</w:t>
      </w:r>
      <w:r w:rsidR="008960AE" w:rsidRPr="00EC0229">
        <w:fldChar w:fldCharType="begin"/>
      </w:r>
      <w:r w:rsidR="008960AE" w:rsidRPr="00EC0229">
        <w:instrText xml:space="preserve"> XE "</w:instrText>
      </w:r>
      <w:r w:rsidR="008960AE" w:rsidRPr="00EC0229">
        <w:rPr>
          <w:rFonts w:cs="Times New Roman"/>
          <w:szCs w:val="24"/>
        </w:rPr>
        <w:instrText>barter</w:instrText>
      </w:r>
      <w:r w:rsidR="008960AE" w:rsidRPr="00EC0229">
        <w:instrText xml:space="preserve">" </w:instrText>
      </w:r>
      <w:r w:rsidR="008960AE" w:rsidRPr="00EC0229">
        <w:fldChar w:fldCharType="end"/>
      </w:r>
      <w:r w:rsidRPr="00EC0229">
        <w:t xml:space="preserve"> would have been in use simultaneously, in a stratified monetary system.</w:t>
      </w:r>
    </w:p>
    <w:p w14:paraId="0AE94D60" w14:textId="77777777" w:rsidR="00373A9F" w:rsidRPr="00EC0229" w:rsidRDefault="00373A9F" w:rsidP="007600EA">
      <w:pPr>
        <w:pStyle w:val="NoSpacing"/>
        <w:spacing w:line="360" w:lineRule="auto"/>
      </w:pPr>
    </w:p>
    <w:p w14:paraId="334A163F" w14:textId="2C49A563" w:rsidR="00373A9F" w:rsidRPr="00EC0229" w:rsidRDefault="002A1565"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In conventional numismatics,</w:t>
      </w:r>
      <w:r w:rsidRPr="00EC0229">
        <w:rPr>
          <w:rStyle w:val="FootnoteReference"/>
          <w:rFonts w:eastAsia="Times New Roman" w:cs="Times New Roman"/>
          <w:szCs w:val="24"/>
          <w:lang w:eastAsia="en-GB"/>
        </w:rPr>
        <w:footnoteReference w:id="365"/>
      </w:r>
      <w:r w:rsidRPr="00EC0229">
        <w:rPr>
          <w:rFonts w:eastAsia="Times New Roman" w:cs="Times New Roman"/>
          <w:szCs w:val="24"/>
          <w:lang w:eastAsia="en-GB"/>
        </w:rPr>
        <w:t xml:space="preserve"> t</w:t>
      </w:r>
      <w:r w:rsidR="00373A9F" w:rsidRPr="00EC0229">
        <w:rPr>
          <w:rFonts w:eastAsia="Times New Roman" w:cs="Times New Roman"/>
          <w:szCs w:val="24"/>
          <w:lang w:eastAsia="en-GB"/>
        </w:rPr>
        <w:t>he relatively high gold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szCs w:val="24"/>
          <w:lang w:eastAsia="en-GB"/>
        </w:rPr>
        <w:fldChar w:fldCharType="end"/>
      </w:r>
      <w:r w:rsidR="00373A9F" w:rsidRPr="00EC0229">
        <w:rPr>
          <w:rFonts w:eastAsia="Times New Roman" w:cs="Times New Roman"/>
          <w:szCs w:val="24"/>
          <w:lang w:eastAsia="en-GB"/>
        </w:rPr>
        <w:t xml:space="preserve"> content of the York</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szCs w:val="24"/>
          <w:lang w:eastAsia="en-GB"/>
        </w:rPr>
        <w:fldChar w:fldCharType="end"/>
      </w:r>
      <w:r w:rsidR="00373A9F" w:rsidRPr="00EC0229">
        <w:rPr>
          <w:rFonts w:eastAsia="Times New Roman" w:cs="Times New Roman"/>
          <w:szCs w:val="24"/>
          <w:lang w:eastAsia="en-GB"/>
        </w:rPr>
        <w:t xml:space="preserve"> shilling </w:t>
      </w:r>
      <w:r w:rsidRPr="00EC0229">
        <w:rPr>
          <w:rFonts w:eastAsia="Times New Roman" w:cs="Times New Roman"/>
          <w:szCs w:val="24"/>
          <w:lang w:eastAsia="en-GB"/>
        </w:rPr>
        <w:t>has placed</w:t>
      </w:r>
      <w:r w:rsidR="00FD05A0">
        <w:rPr>
          <w:rFonts w:eastAsia="Times New Roman" w:cs="Times New Roman"/>
          <w:szCs w:val="24"/>
          <w:lang w:eastAsia="en-GB"/>
        </w:rPr>
        <w:t xml:space="preserve"> its</w:t>
      </w:r>
      <w:r w:rsidR="00373A9F" w:rsidRPr="00EC0229">
        <w:rPr>
          <w:rFonts w:eastAsia="Times New Roman" w:cs="Times New Roman"/>
          <w:szCs w:val="24"/>
          <w:lang w:eastAsia="en-GB"/>
        </w:rPr>
        <w:t xml:space="preserve"> start before </w:t>
      </w:r>
      <w:r w:rsidR="000C6B07" w:rsidRPr="00EC0229">
        <w:rPr>
          <w:rFonts w:eastAsia="Times New Roman" w:cs="Times New Roman"/>
          <w:szCs w:val="24"/>
          <w:lang w:eastAsia="en-GB"/>
        </w:rPr>
        <w:t xml:space="preserve">the </w:t>
      </w:r>
      <w:r w:rsidR="00373A9F" w:rsidRPr="00EC0229">
        <w:rPr>
          <w:rFonts w:eastAsia="Times New Roman" w:cs="Times New Roman"/>
          <w:szCs w:val="24"/>
          <w:lang w:eastAsia="en-GB"/>
        </w:rPr>
        <w:t xml:space="preserve">mid-seventh century. </w:t>
      </w:r>
      <w:r w:rsidRPr="00EC0229">
        <w:rPr>
          <w:rFonts w:eastAsia="Times New Roman" w:cs="Times New Roman"/>
          <w:szCs w:val="24"/>
          <w:lang w:eastAsia="en-GB"/>
        </w:rPr>
        <w:t xml:space="preserve">My research anchors this firmly between 627 and 633. </w:t>
      </w:r>
      <w:r w:rsidR="00373A9F" w:rsidRPr="00EC0229">
        <w:rPr>
          <w:rFonts w:eastAsia="Times New Roman" w:cs="Times New Roman"/>
          <w:szCs w:val="24"/>
          <w:lang w:eastAsia="en-GB"/>
        </w:rPr>
        <w:t>The transactional use of gold coins may not be the predominant purpose – alternative uses include gift exchange</w:t>
      </w:r>
      <w:r w:rsidR="008960AE" w:rsidRPr="00EC0229">
        <w:rPr>
          <w:rFonts w:eastAsia="Times New Roman" w:cs="Times New Roman"/>
          <w:szCs w:val="24"/>
          <w:lang w:eastAsia="en-GB"/>
        </w:rPr>
        <w:fldChar w:fldCharType="begin"/>
      </w:r>
      <w:r w:rsidR="008960AE" w:rsidRPr="00EC0229">
        <w:instrText xml:space="preserve"> XE "gift exchange" </w:instrText>
      </w:r>
      <w:r w:rsidR="008960AE" w:rsidRPr="00EC0229">
        <w:rPr>
          <w:rFonts w:eastAsia="Times New Roman" w:cs="Times New Roman"/>
          <w:szCs w:val="24"/>
          <w:lang w:eastAsia="en-GB"/>
        </w:rPr>
        <w:fldChar w:fldCharType="end"/>
      </w:r>
      <w:r w:rsidR="00373A9F" w:rsidRPr="00EC0229">
        <w:rPr>
          <w:rFonts w:eastAsia="Times New Roman" w:cs="Times New Roman"/>
          <w:szCs w:val="24"/>
          <w:lang w:eastAsia="en-GB"/>
        </w:rPr>
        <w:t>, taxation, propaganda, votive</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votive</w:instrText>
      </w:r>
      <w:r w:rsidR="008960AE" w:rsidRPr="00EC0229">
        <w:instrText xml:space="preserve">" </w:instrText>
      </w:r>
      <w:r w:rsidR="008960AE" w:rsidRPr="00EC0229">
        <w:rPr>
          <w:rFonts w:eastAsia="Times New Roman" w:cs="Times New Roman"/>
          <w:szCs w:val="24"/>
          <w:lang w:eastAsia="en-GB"/>
        </w:rPr>
        <w:fldChar w:fldCharType="end"/>
      </w:r>
      <w:r w:rsidR="00373A9F" w:rsidRPr="00EC0229">
        <w:rPr>
          <w:rFonts w:eastAsia="Times New Roman" w:cs="Times New Roman"/>
          <w:szCs w:val="24"/>
          <w:lang w:eastAsia="en-GB"/>
        </w:rPr>
        <w:t xml:space="preserve"> and funerary offerings, ornamentation and ostentatious display.</w:t>
      </w:r>
    </w:p>
    <w:p w14:paraId="3C443578" w14:textId="77777777" w:rsidR="00373A9F" w:rsidRPr="00EC0229" w:rsidRDefault="00373A9F" w:rsidP="007600EA">
      <w:pPr>
        <w:pStyle w:val="NoSpacing"/>
        <w:spacing w:line="360" w:lineRule="auto"/>
        <w:rPr>
          <w:rFonts w:eastAsia="Times New Roman" w:cs="Times New Roman"/>
          <w:szCs w:val="24"/>
          <w:lang w:eastAsia="en-GB"/>
        </w:rPr>
      </w:pPr>
    </w:p>
    <w:p w14:paraId="1FC41A7B" w14:textId="07200A36" w:rsidR="00373A9F" w:rsidRPr="00EC0229" w:rsidRDefault="00373A9F" w:rsidP="007600EA">
      <w:pPr>
        <w:pStyle w:val="NoSpacing"/>
        <w:spacing w:line="360" w:lineRule="auto"/>
        <w:rPr>
          <w:rFonts w:eastAsia="Times New Roman" w:cs="Times New Roman"/>
          <w:szCs w:val="24"/>
          <w:lang w:eastAsia="en-GB"/>
        </w:rPr>
      </w:pPr>
      <w:r w:rsidRPr="00EC0229">
        <w:t xml:space="preserve">Around the final quarter of </w:t>
      </w:r>
      <w:r w:rsidR="00F139AF" w:rsidRPr="00EC0229">
        <w:t>the seventh century</w:t>
      </w:r>
      <w:r w:rsidRPr="00EC0229">
        <w:t xml:space="preserve">, </w:t>
      </w:r>
      <w:r w:rsidR="00B12C13" w:rsidRPr="00EC0229">
        <w:t xml:space="preserve">as the </w:t>
      </w:r>
      <w:r w:rsidR="00BC7BA4" w:rsidRPr="00EC0229">
        <w:rPr>
          <w:rFonts w:cs="Times New Roman"/>
          <w:color w:val="000000" w:themeColor="text1"/>
          <w:szCs w:val="24"/>
        </w:rPr>
        <w:t>trans-Sahara</w:t>
      </w:r>
      <w:r w:rsidR="00B12C13" w:rsidRPr="00EC0229">
        <w:rPr>
          <w:rFonts w:cs="Times New Roman"/>
          <w:color w:val="000000" w:themeColor="text1"/>
          <w:szCs w:val="24"/>
        </w:rPr>
        <w:t>n gold</w:t>
      </w:r>
      <w:r w:rsidR="00B12C13" w:rsidRPr="00EC0229">
        <w:rPr>
          <w:rFonts w:cs="Times New Roman"/>
          <w:color w:val="000000" w:themeColor="text1"/>
          <w:szCs w:val="24"/>
        </w:rPr>
        <w:fldChar w:fldCharType="begin"/>
      </w:r>
      <w:r w:rsidR="00B12C13" w:rsidRPr="00EC0229">
        <w:instrText xml:space="preserve"> XE "</w:instrText>
      </w:r>
      <w:r w:rsidR="00B12C13" w:rsidRPr="00EC0229">
        <w:rPr>
          <w:rFonts w:cs="Times New Roman"/>
          <w:color w:val="000000" w:themeColor="text1"/>
          <w:szCs w:val="24"/>
        </w:rPr>
        <w:instrText>Trans-Saharan gold</w:instrText>
      </w:r>
      <w:r w:rsidR="00B12C13" w:rsidRPr="00EC0229">
        <w:instrText xml:space="preserve">" </w:instrText>
      </w:r>
      <w:r w:rsidR="00B12C13" w:rsidRPr="00EC0229">
        <w:rPr>
          <w:rFonts w:cs="Times New Roman"/>
          <w:color w:val="000000" w:themeColor="text1"/>
          <w:szCs w:val="24"/>
        </w:rPr>
        <w:fldChar w:fldCharType="end"/>
      </w:r>
      <w:r w:rsidR="00B12C13" w:rsidRPr="00EC0229">
        <w:rPr>
          <w:rFonts w:cs="Times New Roman"/>
          <w:color w:val="000000" w:themeColor="text1"/>
          <w:szCs w:val="24"/>
        </w:rPr>
        <w:t xml:space="preserve"> supply waned </w:t>
      </w:r>
      <w:r w:rsidR="00900593" w:rsidRPr="00EC0229">
        <w:rPr>
          <w:rFonts w:cs="Times New Roman"/>
          <w:color w:val="000000" w:themeColor="text1"/>
          <w:szCs w:val="24"/>
        </w:rPr>
        <w:t>(</w:t>
      </w:r>
      <w:r w:rsidR="00900593" w:rsidRPr="00EC0229">
        <w:rPr>
          <w:rFonts w:cs="Times New Roman"/>
          <w:color w:val="000000" w:themeColor="text1"/>
          <w:szCs w:val="24"/>
        </w:rPr>
        <w:fldChar w:fldCharType="begin"/>
      </w:r>
      <w:r w:rsidR="00900593" w:rsidRPr="00EC0229">
        <w:rPr>
          <w:rFonts w:cs="Times New Roman"/>
          <w:color w:val="000000" w:themeColor="text1"/>
          <w:szCs w:val="24"/>
        </w:rPr>
        <w:instrText xml:space="preserve"> PAGEREF TransSaharangold \h </w:instrText>
      </w:r>
      <w:r w:rsidR="00900593" w:rsidRPr="00EC0229">
        <w:rPr>
          <w:rFonts w:cs="Times New Roman"/>
          <w:color w:val="000000" w:themeColor="text1"/>
          <w:szCs w:val="24"/>
        </w:rPr>
      </w:r>
      <w:r w:rsidR="00900593" w:rsidRPr="00EC0229">
        <w:rPr>
          <w:rFonts w:cs="Times New Roman"/>
          <w:color w:val="000000" w:themeColor="text1"/>
          <w:szCs w:val="24"/>
        </w:rPr>
        <w:fldChar w:fldCharType="separate"/>
      </w:r>
      <w:r w:rsidR="0012026B">
        <w:rPr>
          <w:rFonts w:cs="Times New Roman"/>
          <w:noProof/>
          <w:color w:val="000000" w:themeColor="text1"/>
          <w:szCs w:val="24"/>
        </w:rPr>
        <w:t>25</w:t>
      </w:r>
      <w:r w:rsidR="00900593" w:rsidRPr="00EC0229">
        <w:rPr>
          <w:rFonts w:cs="Times New Roman"/>
          <w:color w:val="000000" w:themeColor="text1"/>
          <w:szCs w:val="24"/>
        </w:rPr>
        <w:fldChar w:fldCharType="end"/>
      </w:r>
      <w:r w:rsidR="00900593" w:rsidRPr="00EC0229">
        <w:rPr>
          <w:rFonts w:cs="Times New Roman"/>
          <w:color w:val="000000" w:themeColor="text1"/>
          <w:szCs w:val="24"/>
        </w:rPr>
        <w:t>)</w:t>
      </w:r>
      <w:r w:rsidR="00B12C13" w:rsidRPr="00EC0229">
        <w:rPr>
          <w:rFonts w:cs="Times New Roman"/>
          <w:color w:val="000000" w:themeColor="text1"/>
          <w:szCs w:val="24"/>
        </w:rPr>
        <w:t xml:space="preserve">, </w:t>
      </w:r>
      <w:r w:rsidRPr="00EC0229">
        <w:t>the denominational value of the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shilling had been reduced intentionally by managed dilution of the gold content. </w:t>
      </w:r>
      <w:r w:rsidRPr="00EC0229">
        <w:rPr>
          <w:rFonts w:eastAsia="Times New Roman" w:cs="Times New Roman"/>
          <w:szCs w:val="24"/>
          <w:lang w:eastAsia="en-GB"/>
        </w:rPr>
        <w:t xml:space="preserve">The gradual reduction in the precious metal content, which gives </w:t>
      </w:r>
      <w:r w:rsidR="002E152B" w:rsidRPr="00EC0229">
        <w:rPr>
          <w:rFonts w:eastAsia="Times New Roman" w:cs="Times New Roman"/>
          <w:szCs w:val="24"/>
          <w:lang w:eastAsia="en-GB"/>
        </w:rPr>
        <w:t xml:space="preserve">broad </w:t>
      </w:r>
      <w:r w:rsidRPr="00EC0229">
        <w:rPr>
          <w:rFonts w:eastAsia="Times New Roman" w:cs="Times New Roman"/>
          <w:szCs w:val="24"/>
          <w:lang w:eastAsia="en-GB"/>
        </w:rPr>
        <w:t>structure to the chronology of these emissions,</w:t>
      </w:r>
      <w:r w:rsidR="002E152B" w:rsidRPr="00EC0229">
        <w:rPr>
          <w:rStyle w:val="FootnoteReference"/>
          <w:rFonts w:eastAsia="Times New Roman" w:cs="Times New Roman"/>
          <w:szCs w:val="24"/>
          <w:lang w:eastAsia="en-GB"/>
        </w:rPr>
        <w:footnoteReference w:id="366"/>
      </w:r>
      <w:r w:rsidRPr="00EC0229">
        <w:rPr>
          <w:rFonts w:eastAsia="Times New Roman" w:cs="Times New Roman"/>
          <w:szCs w:val="24"/>
          <w:lang w:eastAsia="en-GB"/>
        </w:rPr>
        <w:t xml:space="preserve"> results, around the 670s,</w:t>
      </w:r>
      <w:r w:rsidRPr="00EC0229">
        <w:rPr>
          <w:rStyle w:val="FootnoteReference"/>
          <w:rFonts w:eastAsia="Times New Roman" w:cs="Times New Roman"/>
          <w:szCs w:val="24"/>
          <w:lang w:eastAsia="en-GB"/>
        </w:rPr>
        <w:footnoteReference w:id="367"/>
      </w:r>
      <w:r w:rsidRPr="00EC0229">
        <w:rPr>
          <w:rFonts w:eastAsia="Times New Roman" w:cs="Times New Roman"/>
          <w:szCs w:val="24"/>
          <w:lang w:eastAsia="en-GB"/>
        </w:rPr>
        <w:t xml:space="preserve"> in the ‘pale-gold’ shillings of Pada and Vanimundus, containing as little as 4% gold.</w:t>
      </w:r>
      <w:r w:rsidRPr="00EC0229">
        <w:rPr>
          <w:rStyle w:val="FootnoteReference"/>
          <w:rFonts w:eastAsia="Times New Roman" w:cs="Times New Roman"/>
          <w:szCs w:val="24"/>
          <w:lang w:eastAsia="en-GB"/>
        </w:rPr>
        <w:footnoteReference w:id="368"/>
      </w:r>
      <w:r w:rsidRPr="00EC0229">
        <w:rPr>
          <w:rFonts w:eastAsia="Times New Roman" w:cs="Times New Roman"/>
          <w:szCs w:val="24"/>
          <w:lang w:eastAsia="en-GB"/>
        </w:rPr>
        <w:t xml:space="preserve"> This decline is inversely proportional to, and a consequence of, the growing volume of circulating medium.</w:t>
      </w:r>
      <w:r w:rsidR="0048732A" w:rsidRPr="00EC0229">
        <w:rPr>
          <w:rFonts w:eastAsia="Times New Roman" w:cs="Times New Roman"/>
          <w:szCs w:val="24"/>
          <w:lang w:eastAsia="en-GB"/>
        </w:rPr>
        <w:t xml:space="preserve"> Merovingian gold issuance was truncated before such dilution (</w:t>
      </w:r>
      <w:r w:rsidR="0048732A" w:rsidRPr="00EC0229">
        <w:rPr>
          <w:rFonts w:eastAsia="Times New Roman" w:cs="Times New Roman"/>
          <w:szCs w:val="24"/>
          <w:lang w:eastAsia="en-GB"/>
        </w:rPr>
        <w:fldChar w:fldCharType="begin"/>
      </w:r>
      <w:r w:rsidR="0048732A" w:rsidRPr="00EC0229">
        <w:rPr>
          <w:rFonts w:eastAsia="Times New Roman" w:cs="Times New Roman"/>
          <w:szCs w:val="24"/>
          <w:lang w:eastAsia="en-GB"/>
        </w:rPr>
        <w:instrText xml:space="preserve"> PAGEREF Pol \h </w:instrText>
      </w:r>
      <w:r w:rsidR="0048732A" w:rsidRPr="00EC0229">
        <w:rPr>
          <w:rFonts w:eastAsia="Times New Roman" w:cs="Times New Roman"/>
          <w:szCs w:val="24"/>
          <w:lang w:eastAsia="en-GB"/>
        </w:rPr>
      </w:r>
      <w:r w:rsidR="0048732A" w:rsidRPr="00EC0229">
        <w:rPr>
          <w:rFonts w:eastAsia="Times New Roman" w:cs="Times New Roman"/>
          <w:szCs w:val="24"/>
          <w:lang w:eastAsia="en-GB"/>
        </w:rPr>
        <w:fldChar w:fldCharType="separate"/>
      </w:r>
      <w:r w:rsidR="0012026B">
        <w:rPr>
          <w:rFonts w:eastAsia="Times New Roman" w:cs="Times New Roman"/>
          <w:noProof/>
          <w:szCs w:val="24"/>
          <w:lang w:eastAsia="en-GB"/>
        </w:rPr>
        <w:t>120</w:t>
      </w:r>
      <w:r w:rsidR="0048732A" w:rsidRPr="00EC0229">
        <w:rPr>
          <w:rFonts w:eastAsia="Times New Roman" w:cs="Times New Roman"/>
          <w:szCs w:val="24"/>
          <w:lang w:eastAsia="en-GB"/>
        </w:rPr>
        <w:fldChar w:fldCharType="end"/>
      </w:r>
      <w:r w:rsidR="0048732A" w:rsidRPr="00EC0229">
        <w:rPr>
          <w:rFonts w:eastAsia="Times New Roman" w:cs="Times New Roman"/>
          <w:szCs w:val="24"/>
          <w:lang w:eastAsia="en-GB"/>
        </w:rPr>
        <w:t>).</w:t>
      </w:r>
    </w:p>
    <w:p w14:paraId="4138AB03" w14:textId="77777777" w:rsidR="00373A9F" w:rsidRPr="00EC0229" w:rsidRDefault="00373A9F" w:rsidP="007600EA">
      <w:pPr>
        <w:pStyle w:val="NoSpacing"/>
        <w:spacing w:line="360" w:lineRule="auto"/>
      </w:pPr>
    </w:p>
    <w:p w14:paraId="3605731F" w14:textId="3C80CC72" w:rsidR="00927E94" w:rsidRPr="00EC0229" w:rsidRDefault="005F38D6" w:rsidP="007600EA">
      <w:pPr>
        <w:pStyle w:val="NoSpacing"/>
        <w:spacing w:line="360" w:lineRule="auto"/>
      </w:pPr>
      <w:bookmarkStart w:id="163" w:name="silver"/>
      <w:bookmarkStart w:id="164" w:name="Mercantileuseofsilver"/>
      <w:bookmarkStart w:id="165" w:name="_Toc468266765"/>
      <w:bookmarkEnd w:id="163"/>
      <w:bookmarkEnd w:id="164"/>
      <w:r w:rsidRPr="00A92DF0">
        <w:rPr>
          <w:rStyle w:val="Heading4Char"/>
          <w:b/>
        </w:rPr>
        <w:t>4.3.2</w:t>
      </w:r>
      <w:r w:rsidRPr="00A92DF0">
        <w:rPr>
          <w:rStyle w:val="Heading4Char"/>
          <w:b/>
        </w:rPr>
        <w:tab/>
      </w:r>
      <w:r w:rsidR="00373A9F" w:rsidRPr="00A92DF0">
        <w:rPr>
          <w:rStyle w:val="Heading4Char"/>
          <w:b/>
        </w:rPr>
        <w:t>Mercantile</w:t>
      </w:r>
      <w:r w:rsidR="008960AE" w:rsidRPr="00A92DF0">
        <w:rPr>
          <w:rStyle w:val="Heading4Char"/>
          <w:b/>
        </w:rPr>
        <w:fldChar w:fldCharType="begin"/>
      </w:r>
      <w:r w:rsidR="008960AE" w:rsidRPr="00A92DF0">
        <w:rPr>
          <w:rStyle w:val="Heading4Char"/>
          <w:b/>
        </w:rPr>
        <w:instrText xml:space="preserve"> XE "Mercantile" </w:instrText>
      </w:r>
      <w:r w:rsidR="008960AE" w:rsidRPr="00A92DF0">
        <w:rPr>
          <w:rStyle w:val="Heading4Char"/>
          <w:b/>
        </w:rPr>
        <w:fldChar w:fldCharType="end"/>
      </w:r>
      <w:r w:rsidR="00373A9F" w:rsidRPr="00A92DF0">
        <w:rPr>
          <w:rStyle w:val="Heading4Char"/>
          <w:b/>
        </w:rPr>
        <w:t xml:space="preserve"> use of</w:t>
      </w:r>
      <w:bookmarkEnd w:id="165"/>
      <w:r w:rsidR="00373A9F" w:rsidRPr="00A92DF0">
        <w:rPr>
          <w:rStyle w:val="Heading4Char"/>
          <w:b/>
        </w:rPr>
        <w:t xml:space="preserve"> </w:t>
      </w:r>
      <w:hyperlink r:id="rId32" w:anchor="Chapter7" w:history="1">
        <w:r w:rsidR="00373A9F" w:rsidRPr="00A92DF0">
          <w:rPr>
            <w:rStyle w:val="Heading4Char"/>
            <w:b/>
          </w:rPr>
          <w:t>silver</w:t>
        </w:r>
      </w:hyperlink>
      <w:r w:rsidR="00927E94" w:rsidRPr="00EC0229">
        <w:rPr>
          <w:rFonts w:eastAsia="Times New Roman" w:cs="Times New Roman"/>
          <w:szCs w:val="24"/>
          <w:lang w:eastAsia="en-GB"/>
        </w:rPr>
        <w:t xml:space="preserve"> </w:t>
      </w:r>
      <w:r w:rsidR="00927E94" w:rsidRPr="00EC0229">
        <w:t>(</w:t>
      </w:r>
      <w:r w:rsidR="00900593" w:rsidRPr="00EC0229">
        <w:fldChar w:fldCharType="begin"/>
      </w:r>
      <w:r w:rsidR="00900593" w:rsidRPr="00EC0229">
        <w:instrText xml:space="preserve"> PAGEREF Periods48 \h </w:instrText>
      </w:r>
      <w:r w:rsidR="00900593" w:rsidRPr="00EC0229">
        <w:fldChar w:fldCharType="separate"/>
      </w:r>
      <w:r w:rsidR="0012026B">
        <w:rPr>
          <w:noProof/>
        </w:rPr>
        <w:t>102</w:t>
      </w:r>
      <w:r w:rsidR="00900593" w:rsidRPr="00EC0229">
        <w:fldChar w:fldCharType="end"/>
      </w:r>
      <w:r w:rsidR="00927E94" w:rsidRPr="00EC0229">
        <w:t>)</w:t>
      </w:r>
    </w:p>
    <w:p w14:paraId="0A1E4EB9" w14:textId="39CE32E8" w:rsidR="00373A9F" w:rsidRPr="00EC0229" w:rsidRDefault="00373A9F" w:rsidP="007600EA">
      <w:pPr>
        <w:pStyle w:val="NoSpacing"/>
        <w:spacing w:line="360" w:lineRule="auto"/>
        <w:rPr>
          <w:rFonts w:eastAsia="Times New Roman" w:cs="Times New Roman"/>
          <w:szCs w:val="24"/>
          <w:lang w:eastAsia="en-GB"/>
        </w:rPr>
      </w:pPr>
      <w:r w:rsidRPr="00EC0229">
        <w:t>Currency uniformity required for entry t</w:t>
      </w:r>
      <w:r w:rsidR="00347A2F" w:rsidRPr="00EC0229">
        <w:t>o the North Sea trading zone le</w:t>
      </w:r>
      <w:r w:rsidRPr="00EC0229">
        <w:t>d to the replacement of the pale-gold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w:t>
      </w:r>
      <w:r w:rsidR="006B707C" w:rsidRPr="00EC0229">
        <w:t>shilli</w:t>
      </w:r>
      <w:r w:rsidR="005128DE" w:rsidRPr="00EC0229">
        <w:t>ng by the silver sceat by the 68</w:t>
      </w:r>
      <w:r w:rsidR="006B707C" w:rsidRPr="00EC0229">
        <w:t>0s</w:t>
      </w:r>
      <w:r w:rsidRPr="00EC0229">
        <w:t>, following the Merovingian</w:t>
      </w:r>
      <w:r w:rsidR="004C29A9" w:rsidRPr="00EC0229">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fldChar w:fldCharType="end"/>
      </w:r>
      <w:r w:rsidRPr="00EC0229">
        <w:t xml:space="preserve"> precedent. Current discussion on the scientific chronology of grave goods could result in this being moved a decade</w:t>
      </w:r>
      <w:r w:rsidR="003E2230" w:rsidRPr="00EC0229">
        <w:t xml:space="preserve"> </w:t>
      </w:r>
      <w:r w:rsidRPr="00EC0229">
        <w:t>earlier.</w:t>
      </w:r>
      <w:r w:rsidRPr="00EC0229">
        <w:rPr>
          <w:rStyle w:val="FootnoteReference"/>
        </w:rPr>
        <w:footnoteReference w:id="369"/>
      </w:r>
    </w:p>
    <w:p w14:paraId="47BEB63F" w14:textId="77777777" w:rsidR="00373A9F" w:rsidRPr="00EC0229" w:rsidRDefault="00373A9F" w:rsidP="007600EA">
      <w:pPr>
        <w:pStyle w:val="NoSpacing"/>
        <w:spacing w:line="360" w:lineRule="auto"/>
      </w:pPr>
    </w:p>
    <w:p w14:paraId="7A625AB6" w14:textId="2F582EE0" w:rsidR="00373A9F" w:rsidRPr="00EC0229" w:rsidRDefault="00373A9F"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As silver entirely replaced gold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recovery statistics show that a step change </w:t>
      </w:r>
      <w:r w:rsidR="0049484D" w:rsidRPr="00EC0229">
        <w:rPr>
          <w:rFonts w:eastAsia="Times New Roman" w:cs="Times New Roman"/>
          <w:szCs w:val="24"/>
          <w:lang w:eastAsia="en-GB"/>
        </w:rPr>
        <w:t xml:space="preserve">occurred </w:t>
      </w:r>
      <w:r w:rsidRPr="00EC0229">
        <w:rPr>
          <w:rFonts w:eastAsia="Times New Roman" w:cs="Times New Roman"/>
          <w:szCs w:val="24"/>
          <w:lang w:eastAsia="en-GB"/>
        </w:rPr>
        <w:t xml:space="preserve">in production. However, the intrinsic value of the sceat remained relatively high. Even were one to surmise that it equated perhaps to a day’s pay </w:t>
      </w:r>
      <w:r w:rsidR="00914038" w:rsidRPr="00EC0229">
        <w:rPr>
          <w:rFonts w:eastAsia="Times New Roman" w:cs="Times New Roman"/>
          <w:szCs w:val="24"/>
          <w:lang w:eastAsia="en-GB"/>
        </w:rPr>
        <w:t xml:space="preserve">(at minimum wages, </w:t>
      </w:r>
      <w:r w:rsidR="000154DC">
        <w:rPr>
          <w:i/>
        </w:rPr>
        <w:t>fn.</w:t>
      </w:r>
      <w:r w:rsidR="00DC4BF3" w:rsidRPr="00EC0229">
        <w:rPr>
          <w:i/>
        </w:rPr>
        <w:t xml:space="preserve"> </w:t>
      </w:r>
      <w:r w:rsidR="003E2230" w:rsidRPr="00EC0229">
        <w:fldChar w:fldCharType="begin"/>
      </w:r>
      <w:r w:rsidR="003E2230" w:rsidRPr="00EC0229">
        <w:rPr>
          <w:i/>
        </w:rPr>
        <w:instrText xml:space="preserve"> NOTEREF _Ref428946027 \h </w:instrText>
      </w:r>
      <w:r w:rsidR="007600EA" w:rsidRPr="00EC0229">
        <w:instrText xml:space="preserve"> \* MERGEFORMAT </w:instrText>
      </w:r>
      <w:r w:rsidR="003E2230" w:rsidRPr="00EC0229">
        <w:fldChar w:fldCharType="separate"/>
      </w:r>
      <w:r w:rsidR="0012026B">
        <w:rPr>
          <w:i/>
        </w:rPr>
        <w:t>1287</w:t>
      </w:r>
      <w:r w:rsidR="003E2230" w:rsidRPr="00EC0229">
        <w:fldChar w:fldCharType="end"/>
      </w:r>
      <w:r w:rsidR="005D4375" w:rsidRPr="00EC0229">
        <w:rPr>
          <w:rFonts w:eastAsia="Times New Roman" w:cs="Times New Roman"/>
          <w:szCs w:val="24"/>
          <w:lang w:eastAsia="en-GB"/>
        </w:rPr>
        <w:t>)</w:t>
      </w:r>
      <w:r w:rsidRPr="00EC0229">
        <w:rPr>
          <w:rFonts w:eastAsia="Times New Roman" w:cs="Times New Roman"/>
          <w:szCs w:val="24"/>
          <w:lang w:eastAsia="en-GB"/>
        </w:rPr>
        <w:t xml:space="preserve">, the equivalent today would be around £50, with no small change to facilitate transactions. </w:t>
      </w:r>
    </w:p>
    <w:p w14:paraId="2A3EF16E" w14:textId="77777777" w:rsidR="00373A9F" w:rsidRPr="00EC0229" w:rsidRDefault="00373A9F" w:rsidP="007600EA">
      <w:pPr>
        <w:pStyle w:val="NoSpacing"/>
        <w:spacing w:line="360" w:lineRule="auto"/>
        <w:rPr>
          <w:rFonts w:eastAsia="Times New Roman" w:cs="Times New Roman"/>
          <w:szCs w:val="24"/>
          <w:lang w:eastAsia="en-GB"/>
        </w:rPr>
      </w:pPr>
    </w:p>
    <w:p w14:paraId="4BC0BF6F" w14:textId="775C48C5" w:rsidR="00373A9F" w:rsidRPr="00EC0229" w:rsidRDefault="00373A9F" w:rsidP="007600EA">
      <w:pPr>
        <w:pStyle w:val="NoSpacing"/>
        <w:spacing w:line="360" w:lineRule="auto"/>
      </w:pPr>
      <w:r w:rsidRPr="00EC0229">
        <w:rPr>
          <w:rFonts w:eastAsia="Times New Roman" w:cs="Times New Roman"/>
          <w:szCs w:val="24"/>
          <w:lang w:eastAsia="en-GB"/>
        </w:rPr>
        <w:t>The sceats of the north – in Northumbria</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eastAsia="Times New Roman" w:cs="Times New Roman"/>
          <w:szCs w:val="24"/>
          <w:lang w:eastAsia="en-GB"/>
        </w:rPr>
        <w:fldChar w:fldCharType="end"/>
      </w:r>
      <w:r w:rsidRPr="00EC0229">
        <w:rPr>
          <w:rFonts w:eastAsia="Times New Roman" w:cs="Times New Roman"/>
          <w:szCs w:val="24"/>
          <w:lang w:eastAsia="en-GB"/>
        </w:rPr>
        <w:t>, Frisia and Denmark - are</w:t>
      </w:r>
      <w:r w:rsidR="00F139AF" w:rsidRPr="00EC0229">
        <w:rPr>
          <w:rFonts w:eastAsia="Times New Roman" w:cs="Times New Roman"/>
          <w:szCs w:val="24"/>
          <w:lang w:eastAsia="en-GB"/>
        </w:rPr>
        <w:t xml:space="preserve"> sustained into the early ninth </w:t>
      </w:r>
      <w:r w:rsidRPr="00EC0229">
        <w:rPr>
          <w:rFonts w:eastAsia="Times New Roman" w:cs="Times New Roman"/>
          <w:szCs w:val="24"/>
          <w:lang w:eastAsia="en-GB"/>
        </w:rPr>
        <w:t xml:space="preserve">century. </w:t>
      </w:r>
      <w:r w:rsidR="00FF2FC8" w:rsidRPr="00EC0229">
        <w:t xml:space="preserve">The </w:t>
      </w:r>
      <w:r w:rsidRPr="00EC0229">
        <w:t>mercantile sceatta</w:t>
      </w:r>
      <w:r w:rsidR="00D142DC" w:rsidRPr="00EC0229">
        <w:fldChar w:fldCharType="begin"/>
      </w:r>
      <w:r w:rsidR="00D142DC" w:rsidRPr="00EC0229">
        <w:instrText xml:space="preserve"> XE "sceatta" </w:instrText>
      </w:r>
      <w:r w:rsidR="00D142DC" w:rsidRPr="00EC0229">
        <w:fldChar w:fldCharType="end"/>
      </w:r>
      <w:r w:rsidRPr="00EC0229">
        <w:t xml:space="preserve"> coinage continued in the south until Offa</w:t>
      </w:r>
      <w:r w:rsidR="00F66CEB" w:rsidRPr="00EC0229">
        <w:fldChar w:fldCharType="begin"/>
      </w:r>
      <w:r w:rsidR="00F66CEB" w:rsidRPr="00EC0229">
        <w:instrText xml:space="preserve"> XE "</w:instrText>
      </w:r>
      <w:r w:rsidR="00F66CEB" w:rsidRPr="00EC0229">
        <w:rPr>
          <w:rFonts w:cs="Times New Roman"/>
        </w:rPr>
        <w:instrText>Offa</w:instrText>
      </w:r>
      <w:r w:rsidR="00F66CEB" w:rsidRPr="00EC0229">
        <w:instrText xml:space="preserve">" </w:instrText>
      </w:r>
      <w:r w:rsidR="00F66CEB" w:rsidRPr="00EC0229">
        <w:fldChar w:fldCharType="end"/>
      </w:r>
      <w:r w:rsidRPr="00EC0229">
        <w:t xml:space="preserve"> reformed the currency by introduction of the broad penny</w:t>
      </w:r>
      <w:r w:rsidR="00D142DC" w:rsidRPr="00EC0229">
        <w:fldChar w:fldCharType="begin"/>
      </w:r>
      <w:r w:rsidR="00D142DC" w:rsidRPr="00EC0229">
        <w:instrText xml:space="preserve"> XE "penny" </w:instrText>
      </w:r>
      <w:r w:rsidR="00D142DC" w:rsidRPr="00EC0229">
        <w:fldChar w:fldCharType="end"/>
      </w:r>
      <w:r w:rsidRPr="00EC0229">
        <w:t>, again following Merovingian</w:t>
      </w:r>
      <w:r w:rsidR="004C29A9" w:rsidRPr="00EC0229">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fldChar w:fldCharType="end"/>
      </w:r>
      <w:r w:rsidRPr="00EC0229">
        <w:t xml:space="preserve"> precedent.</w:t>
      </w:r>
      <w:r w:rsidR="00E362FC" w:rsidRPr="00EC0229">
        <w:rPr>
          <w:rStyle w:val="FootnoteReference"/>
        </w:rPr>
        <w:footnoteReference w:id="370"/>
      </w:r>
      <w:r w:rsidRPr="00EC0229">
        <w:t xml:space="preserve"> However, Offa’s initial issues were of light broad pennies and the heavier, broader pence were not issued in significant numbers until later in his reign,</w:t>
      </w:r>
      <w:r w:rsidRPr="00EC0229">
        <w:rPr>
          <w:rStyle w:val="FootnoteReference"/>
        </w:rPr>
        <w:footnoteReference w:id="371"/>
      </w:r>
      <w:r w:rsidRPr="00EC0229">
        <w:t xml:space="preserve">  following what seems to be an economic depression. Thus, it may not have been so conspicuous that Northumbria did not follow suit but retained the small module sceat as did Frisia and Denmark. There is presently only slight evidence of mixing of the northern and southern currencies</w:t>
      </w:r>
      <w:r w:rsidR="00FF2FC8" w:rsidRPr="00EC0229">
        <w:t xml:space="preserve"> (</w:t>
      </w:r>
      <w:r w:rsidR="00FF2FC8" w:rsidRPr="00EC0229">
        <w:fldChar w:fldCharType="begin"/>
      </w:r>
      <w:r w:rsidR="00FF2FC8" w:rsidRPr="00EC0229">
        <w:instrText xml:space="preserve"> PAGEREF Talnotrie \h </w:instrText>
      </w:r>
      <w:r w:rsidR="00FF2FC8" w:rsidRPr="00EC0229">
        <w:fldChar w:fldCharType="separate"/>
      </w:r>
      <w:r w:rsidR="0012026B">
        <w:rPr>
          <w:noProof/>
        </w:rPr>
        <w:t>144</w:t>
      </w:r>
      <w:r w:rsidR="00FF2FC8" w:rsidRPr="00EC0229">
        <w:fldChar w:fldCharType="end"/>
      </w:r>
      <w:r w:rsidR="00FF2FC8" w:rsidRPr="00EC0229">
        <w:t>)</w:t>
      </w:r>
      <w:r w:rsidRPr="00EC0229">
        <w:t>.</w:t>
      </w:r>
    </w:p>
    <w:p w14:paraId="3C7CE130" w14:textId="77777777" w:rsidR="00373A9F" w:rsidRPr="00EC0229" w:rsidRDefault="00373A9F" w:rsidP="007600EA">
      <w:pPr>
        <w:pStyle w:val="NoSpacing"/>
        <w:spacing w:line="360" w:lineRule="auto"/>
      </w:pPr>
    </w:p>
    <w:p w14:paraId="1DD7BC71" w14:textId="490FFA6E" w:rsidR="00373A9F" w:rsidRPr="00EC0229" w:rsidRDefault="00373A9F" w:rsidP="007600EA">
      <w:pPr>
        <w:pStyle w:val="NoSpacing"/>
        <w:spacing w:line="360" w:lineRule="auto"/>
      </w:pPr>
      <w:r w:rsidRPr="00EC0229">
        <w:t>If the sceat represents a day’s pay</w:t>
      </w:r>
      <w:r w:rsidR="00180474" w:rsidRPr="00EC0229">
        <w:t xml:space="preserve">, </w:t>
      </w:r>
      <w:r w:rsidRPr="00EC0229">
        <w:t>barter</w:t>
      </w:r>
      <w:r w:rsidR="008960AE" w:rsidRPr="00EC0229">
        <w:fldChar w:fldCharType="begin"/>
      </w:r>
      <w:r w:rsidR="008960AE" w:rsidRPr="00EC0229">
        <w:instrText xml:space="preserve"> XE "</w:instrText>
      </w:r>
      <w:r w:rsidR="008960AE" w:rsidRPr="00EC0229">
        <w:rPr>
          <w:rFonts w:cs="Times New Roman"/>
          <w:szCs w:val="24"/>
        </w:rPr>
        <w:instrText>barter</w:instrText>
      </w:r>
      <w:r w:rsidR="008960AE" w:rsidRPr="00EC0229">
        <w:instrText xml:space="preserve">" </w:instrText>
      </w:r>
      <w:r w:rsidR="008960AE" w:rsidRPr="00EC0229">
        <w:fldChar w:fldCharType="end"/>
      </w:r>
      <w:r w:rsidRPr="00EC0229">
        <w:t>, credit</w:t>
      </w:r>
      <w:r w:rsidR="008960AE" w:rsidRPr="00EC0229">
        <w:fldChar w:fldCharType="begin"/>
      </w:r>
      <w:r w:rsidR="008960AE" w:rsidRPr="00EC0229">
        <w:instrText xml:space="preserve"> XE "credit" </w:instrText>
      </w:r>
      <w:r w:rsidR="008960AE" w:rsidRPr="00EC0229">
        <w:fldChar w:fldCharType="end"/>
      </w:r>
      <w:r w:rsidRPr="00EC0229">
        <w:t xml:space="preserve"> and commodity money</w:t>
      </w:r>
      <w:r w:rsidR="008960AE" w:rsidRPr="00EC0229">
        <w:fldChar w:fldCharType="begin"/>
      </w:r>
      <w:r w:rsidR="008960AE" w:rsidRPr="00EC0229">
        <w:instrText xml:space="preserve"> XE "</w:instrText>
      </w:r>
      <w:r w:rsidR="008960AE" w:rsidRPr="00EC0229">
        <w:rPr>
          <w:rFonts w:cs="Times New Roman"/>
          <w:szCs w:val="24"/>
        </w:rPr>
        <w:instrText>commodity money</w:instrText>
      </w:r>
      <w:r w:rsidR="008960AE" w:rsidRPr="00EC0229">
        <w:instrText xml:space="preserve">" </w:instrText>
      </w:r>
      <w:r w:rsidR="008960AE" w:rsidRPr="00EC0229">
        <w:fldChar w:fldCharType="end"/>
      </w:r>
      <w:r w:rsidRPr="00EC0229">
        <w:t xml:space="preserve"> would still have been required by the peasantry and for small transactions. Gold</w:t>
      </w:r>
      <w:r w:rsidR="00F204A1" w:rsidRPr="00EC0229">
        <w:fldChar w:fldCharType="begin"/>
      </w:r>
      <w:r w:rsidR="00F204A1" w:rsidRPr="00EC0229">
        <w:instrText xml:space="preserve"> XE "</w:instrText>
      </w:r>
      <w:r w:rsidR="00F204A1" w:rsidRPr="00EC0229">
        <w:rPr>
          <w:rStyle w:val="Hyperlink"/>
          <w:rFonts w:cs="Times New Roman"/>
          <w:noProof/>
          <w:u w:val="none"/>
        </w:rPr>
        <w:instrText>Gold</w:instrText>
      </w:r>
      <w:r w:rsidR="00F204A1" w:rsidRPr="00EC0229">
        <w:instrText xml:space="preserve">" </w:instrText>
      </w:r>
      <w:r w:rsidR="00F204A1" w:rsidRPr="00EC0229">
        <w:fldChar w:fldCharType="end"/>
      </w:r>
      <w:r w:rsidRPr="00EC0229">
        <w:t xml:space="preserve"> is virtually absent from </w:t>
      </w:r>
      <w:r w:rsidR="00F139AF" w:rsidRPr="00EC0229">
        <w:t>the eighth century</w:t>
      </w:r>
      <w:r w:rsidRPr="00EC0229">
        <w:t xml:space="preserve"> to the fourteenth.</w:t>
      </w:r>
    </w:p>
    <w:p w14:paraId="7864F1E5" w14:textId="77777777" w:rsidR="00373A9F" w:rsidRPr="00EC0229" w:rsidRDefault="00373A9F" w:rsidP="007600EA">
      <w:pPr>
        <w:pStyle w:val="NoSpacing"/>
        <w:spacing w:line="360" w:lineRule="auto"/>
      </w:pPr>
    </w:p>
    <w:p w14:paraId="53A0DCE5" w14:textId="74D160AA" w:rsidR="00373A9F" w:rsidRPr="00EC0229" w:rsidRDefault="00373A9F" w:rsidP="007600EA">
      <w:pPr>
        <w:pStyle w:val="NoSpacing"/>
        <w:spacing w:line="360" w:lineRule="auto"/>
      </w:pPr>
      <w:r w:rsidRPr="00EC0229">
        <w:t>In the case studies</w:t>
      </w:r>
      <w:r w:rsidR="001D5B5B" w:rsidRPr="00EC0229">
        <w:fldChar w:fldCharType="begin"/>
      </w:r>
      <w:r w:rsidR="001D5B5B" w:rsidRPr="00EC0229">
        <w:instrText xml:space="preserve"> XE "</w:instrText>
      </w:r>
      <w:r w:rsidR="001D5B5B" w:rsidRPr="00EC0229">
        <w:rPr>
          <w:rStyle w:val="Hyperlink"/>
          <w:rFonts w:cs="Times New Roman"/>
          <w:noProof/>
          <w:u w:val="none"/>
        </w:rPr>
        <w:instrText>case studies</w:instrText>
      </w:r>
      <w:r w:rsidR="001D5B5B" w:rsidRPr="00EC0229">
        <w:instrText xml:space="preserve">" </w:instrText>
      </w:r>
      <w:r w:rsidR="001D5B5B" w:rsidRPr="00EC0229">
        <w:fldChar w:fldCharType="end"/>
      </w:r>
      <w:r w:rsidRPr="00EC0229">
        <w:t xml:space="preserve"> which follow, in considering numismatic accumulations recovered from individual sites, the interpretation of both local and long-distance trading relationships rests largely on the sources of the sceats in the circulating medium. The identification of sources has chiefly been achieved by </w:t>
      </w:r>
      <w:r w:rsidR="0030224D" w:rsidRPr="00EC0229">
        <w:t>Metcalf</w:t>
      </w:r>
      <w:r w:rsidR="00F204A1" w:rsidRPr="00EC0229">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fldChar w:fldCharType="end"/>
      </w:r>
      <w:r w:rsidRPr="00EC0229">
        <w:t xml:space="preserve">, in </w:t>
      </w:r>
      <w:r w:rsidRPr="00EC0229">
        <w:rPr>
          <w:i/>
        </w:rPr>
        <w:t>T&amp;S</w:t>
      </w:r>
      <w:r w:rsidRPr="00EC0229">
        <w:t xml:space="preserve">. The greater the mix of varieties, the broader the potential trading connections </w:t>
      </w:r>
      <w:r w:rsidRPr="00EC0229">
        <w:rPr>
          <w:i/>
        </w:rPr>
        <w:t>allowing for condition</w:t>
      </w:r>
      <w:r w:rsidR="000520DF" w:rsidRPr="00EC0229">
        <w:t xml:space="preserve"> i.e. only </w:t>
      </w:r>
      <w:r w:rsidRPr="00EC0229">
        <w:t xml:space="preserve">pristine coins can be thought to have come reasonably directly from source. </w:t>
      </w:r>
      <w:r w:rsidR="006A0BB2" w:rsidRPr="00EC0229">
        <w:t xml:space="preserve">This is </w:t>
      </w:r>
      <w:r w:rsidRPr="00EC0229">
        <w:t xml:space="preserve">assumed throughout but it must be treated </w:t>
      </w:r>
      <w:r w:rsidR="002D4F28" w:rsidRPr="00EC0229">
        <w:t>cautiously</w:t>
      </w:r>
      <w:r w:rsidRPr="00EC0229">
        <w:t>. Moreover, one must be mindful that long-distance trade</w:t>
      </w:r>
      <w:r w:rsidR="008960AE" w:rsidRPr="00EC0229">
        <w:fldChar w:fldCharType="begin"/>
      </w:r>
      <w:r w:rsidR="008960AE" w:rsidRPr="00EC0229">
        <w:instrText xml:space="preserve"> XE "</w:instrText>
      </w:r>
      <w:r w:rsidR="008960AE" w:rsidRPr="00EC0229">
        <w:rPr>
          <w:rFonts w:cs="Times New Roman"/>
          <w:szCs w:val="24"/>
        </w:rPr>
        <w:instrText>long-distance trade</w:instrText>
      </w:r>
      <w:r w:rsidR="008960AE" w:rsidRPr="00EC0229">
        <w:instrText xml:space="preserve">" </w:instrText>
      </w:r>
      <w:r w:rsidR="008960AE" w:rsidRPr="00EC0229">
        <w:fldChar w:fldCharType="end"/>
      </w:r>
      <w:r w:rsidRPr="00EC0229">
        <w:t xml:space="preserve"> was not the sole driver, ‘the wealth that under-pinned large-scale demand was essentially the wealth of the landowning aristocracy</w:t>
      </w:r>
      <w:r w:rsidR="008960AE" w:rsidRPr="00EC0229">
        <w:fldChar w:fldCharType="begin"/>
      </w:r>
      <w:r w:rsidR="008960AE" w:rsidRPr="00EC0229">
        <w:instrText xml:space="preserve"> XE "</w:instrText>
      </w:r>
      <w:r w:rsidR="008960AE" w:rsidRPr="00EC0229">
        <w:rPr>
          <w:rFonts w:cs="Times New Roman"/>
          <w:szCs w:val="24"/>
        </w:rPr>
        <w:instrText>aristocracy</w:instrText>
      </w:r>
      <w:r w:rsidR="008960AE" w:rsidRPr="00EC0229">
        <w:instrText xml:space="preserve">" </w:instrText>
      </w:r>
      <w:r w:rsidR="008960AE" w:rsidRPr="00EC0229">
        <w:fldChar w:fldCharType="end"/>
      </w:r>
      <w:r w:rsidRPr="00EC0229">
        <w:t>.’</w:t>
      </w:r>
      <w:r w:rsidRPr="00EC0229">
        <w:rPr>
          <w:rStyle w:val="FootnoteReference"/>
        </w:rPr>
        <w:footnoteReference w:id="372"/>
      </w:r>
    </w:p>
    <w:p w14:paraId="0C31553C" w14:textId="77777777" w:rsidR="00373A9F" w:rsidRPr="00EC0229" w:rsidRDefault="00373A9F" w:rsidP="007600EA">
      <w:pPr>
        <w:pStyle w:val="NoSpacing"/>
        <w:spacing w:line="360" w:lineRule="auto"/>
      </w:pPr>
    </w:p>
    <w:p w14:paraId="18E5A1C0" w14:textId="589E3FD5" w:rsidR="00F20469" w:rsidRPr="00EC0229" w:rsidRDefault="005F38D6" w:rsidP="007600EA">
      <w:pPr>
        <w:pStyle w:val="NoSpacing"/>
        <w:spacing w:line="360" w:lineRule="auto"/>
      </w:pPr>
      <w:bookmarkStart w:id="166" w:name="Domesticuseofbasemetal"/>
      <w:bookmarkStart w:id="167" w:name="_Toc468266766"/>
      <w:bookmarkStart w:id="168" w:name="copperalloy"/>
      <w:bookmarkEnd w:id="166"/>
      <w:r w:rsidRPr="00A92DF0">
        <w:rPr>
          <w:rStyle w:val="Heading4Char"/>
          <w:b/>
        </w:rPr>
        <w:t>4.3.3</w:t>
      </w:r>
      <w:r w:rsidRPr="00A92DF0">
        <w:rPr>
          <w:rStyle w:val="Heading4Char"/>
          <w:b/>
        </w:rPr>
        <w:tab/>
      </w:r>
      <w:r w:rsidR="00373A9F" w:rsidRPr="00A92DF0">
        <w:rPr>
          <w:rStyle w:val="Heading4Char"/>
          <w:b/>
        </w:rPr>
        <w:t>Domestic use of base metal:</w:t>
      </w:r>
      <w:bookmarkEnd w:id="167"/>
      <w:r w:rsidR="00373A9F" w:rsidRPr="00A92DF0">
        <w:rPr>
          <w:rStyle w:val="Heading4Char"/>
          <w:b/>
        </w:rPr>
        <w:t xml:space="preserve"> </w:t>
      </w:r>
      <w:hyperlink r:id="rId33" w:anchor="Chapter8" w:history="1">
        <w:r w:rsidR="00373A9F" w:rsidRPr="00A92DF0">
          <w:rPr>
            <w:rStyle w:val="Heading4Char"/>
            <w:b/>
          </w:rPr>
          <w:t>copper-alloy</w:t>
        </w:r>
      </w:hyperlink>
      <w:bookmarkEnd w:id="168"/>
      <w:r w:rsidR="00F20469" w:rsidRPr="00EC0229">
        <w:rPr>
          <w:rStyle w:val="Hyperlink"/>
          <w:rFonts w:eastAsia="Times New Roman" w:cs="Times New Roman"/>
          <w:szCs w:val="24"/>
          <w:u w:val="none"/>
          <w:lang w:eastAsia="en-GB"/>
        </w:rPr>
        <w:t xml:space="preserve"> </w:t>
      </w:r>
      <w:r w:rsidR="00F20469" w:rsidRPr="00EC0229">
        <w:t>(</w:t>
      </w:r>
      <w:r w:rsidR="00900593" w:rsidRPr="00EC0229">
        <w:fldChar w:fldCharType="begin"/>
      </w:r>
      <w:r w:rsidR="00900593" w:rsidRPr="00EC0229">
        <w:instrText xml:space="preserve"> PAGEREF PeriodsN910 \h </w:instrText>
      </w:r>
      <w:r w:rsidR="00900593" w:rsidRPr="00EC0229">
        <w:fldChar w:fldCharType="separate"/>
      </w:r>
      <w:r w:rsidR="0012026B">
        <w:rPr>
          <w:noProof/>
        </w:rPr>
        <w:t>132</w:t>
      </w:r>
      <w:r w:rsidR="00900593" w:rsidRPr="00EC0229">
        <w:fldChar w:fldCharType="end"/>
      </w:r>
      <w:r w:rsidR="00F20469" w:rsidRPr="00EC0229">
        <w:t>)</w:t>
      </w:r>
    </w:p>
    <w:p w14:paraId="3C7B0FED" w14:textId="703FC53D" w:rsidR="00373A9F" w:rsidRPr="00EC0229" w:rsidRDefault="00051D81" w:rsidP="007600EA">
      <w:pPr>
        <w:pStyle w:val="NoSpacing"/>
        <w:spacing w:line="360" w:lineRule="auto"/>
        <w:rPr>
          <w:rFonts w:eastAsia="Times New Roman" w:cs="Times New Roman"/>
          <w:color w:val="0563C1" w:themeColor="hyperlink"/>
          <w:szCs w:val="24"/>
          <w:lang w:eastAsia="en-GB"/>
        </w:rPr>
      </w:pPr>
      <w:r w:rsidRPr="00EC0229">
        <w:t>The 793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Pr="00EC0229">
        <w:t xml:space="preserve"> raid on Lindisfarne</w:t>
      </w:r>
      <w:r w:rsidR="006B1593" w:rsidRPr="00EC0229">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fldChar w:fldCharType="end"/>
      </w:r>
      <w:r w:rsidRPr="00EC0229">
        <w:t xml:space="preserve"> led not only to loss of life and accumulated wealth</w:t>
      </w:r>
      <w:r w:rsidR="00136284" w:rsidRPr="00EC0229">
        <w:t>,</w:t>
      </w:r>
      <w:r w:rsidR="00136284" w:rsidRPr="00EC0229">
        <w:rPr>
          <w:rStyle w:val="FootnoteReference"/>
        </w:rPr>
        <w:footnoteReference w:id="373"/>
      </w:r>
      <w:r w:rsidR="00136284" w:rsidRPr="00EC0229">
        <w:t xml:space="preserve"> </w:t>
      </w:r>
      <w:r w:rsidRPr="00EC0229">
        <w:t>but also to a breakdown of social</w:t>
      </w:r>
      <w:r w:rsidR="00136284" w:rsidRPr="00EC0229">
        <w:rPr>
          <w:rStyle w:val="FootnoteReference"/>
        </w:rPr>
        <w:footnoteReference w:id="374"/>
      </w:r>
      <w:r w:rsidR="00136284" w:rsidRPr="00EC0229">
        <w:t xml:space="preserve"> </w:t>
      </w:r>
      <w:r w:rsidRPr="00EC0229">
        <w:t xml:space="preserve"> and particularly commercial confidence, after generations of North Sea trade. The subsequent break in Northumbrian </w:t>
      </w:r>
      <w:r w:rsidR="00373A9F" w:rsidRPr="00EC0229">
        <w:t>coinage,</w:t>
      </w:r>
      <w:r w:rsidR="00373A9F" w:rsidRPr="00EC0229">
        <w:rPr>
          <w:rStyle w:val="FootnoteReference"/>
        </w:rPr>
        <w:footnoteReference w:id="375"/>
      </w:r>
      <w:r w:rsidR="00373A9F" w:rsidRPr="00EC0229">
        <w:t xml:space="preserve">  until re-introduced by Eanred</w:t>
      </w:r>
      <w:r w:rsidR="00D142DC" w:rsidRPr="00EC0229">
        <w:fldChar w:fldCharType="begin"/>
      </w:r>
      <w:r w:rsidR="00D142DC" w:rsidRPr="00EC0229">
        <w:instrText xml:space="preserve"> XE "Eanred" </w:instrText>
      </w:r>
      <w:r w:rsidR="00D142DC" w:rsidRPr="00EC0229">
        <w:fldChar w:fldCharType="end"/>
      </w:r>
      <w:r w:rsidR="00373A9F" w:rsidRPr="00EC0229">
        <w:t>, possibly between two and four decades later, indicates a long-term recession. The absence of northern Ann</w:t>
      </w:r>
      <w:r w:rsidRPr="00EC0229">
        <w:t xml:space="preserve">als from the start of the ninth </w:t>
      </w:r>
      <w:r w:rsidR="00373A9F" w:rsidRPr="00EC0229">
        <w:t>century leaves the timing of Eanred’s reformed coinage, eventually evolving to the base styca,</w:t>
      </w:r>
      <w:r w:rsidR="00D142DC" w:rsidRPr="00EC0229">
        <w:fldChar w:fldCharType="begin"/>
      </w:r>
      <w:r w:rsidR="00D142DC" w:rsidRPr="00EC0229">
        <w:instrText xml:space="preserve"> XE "styca" </w:instrText>
      </w:r>
      <w:r w:rsidR="00D142DC" w:rsidRPr="00EC0229">
        <w:fldChar w:fldCharType="end"/>
      </w:r>
      <w:r w:rsidR="00373A9F" w:rsidRPr="00EC0229">
        <w:t xml:space="preserve"> unrecorded. There can be no doubt that this small value ‘widow’s mite’</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widow’s mite</w:instrText>
      </w:r>
      <w:r w:rsidR="008960AE" w:rsidRPr="00EC0229">
        <w:instrText xml:space="preserve">" </w:instrText>
      </w:r>
      <w:r w:rsidR="008960AE" w:rsidRPr="00EC0229">
        <w:fldChar w:fldCharType="end"/>
      </w:r>
      <w:r w:rsidR="00373A9F" w:rsidRPr="00EC0229">
        <w:t>, given the random mix and widespread distribution of finds in rural and urban sites of varying regal, ecclesiastical, mercantile and secular status and function, in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00373A9F" w:rsidRPr="00EC0229">
        <w:t xml:space="preserve"> and well beyond, in hoards and as single finds, represented full </w:t>
      </w:r>
      <w:r w:rsidR="003F2041" w:rsidRPr="00EC0229">
        <w:t>monetiz</w:t>
      </w:r>
      <w:r w:rsidR="00373A9F" w:rsidRPr="00EC0229">
        <w:t>ation</w:t>
      </w:r>
      <w:r w:rsidR="008960AE" w:rsidRPr="00EC0229">
        <w:fldChar w:fldCharType="begin"/>
      </w:r>
      <w:r w:rsidR="008960AE" w:rsidRPr="00EC0229">
        <w:instrText xml:space="preserve"> XE "monetization" </w:instrText>
      </w:r>
      <w:r w:rsidR="008960AE" w:rsidRPr="00EC0229">
        <w:fldChar w:fldCharType="end"/>
      </w:r>
      <w:r w:rsidR="00373A9F" w:rsidRPr="00EC0229">
        <w:t xml:space="preserve"> at all levels of northern society. That the single most prolific styca moneyer, Monne, produced more than all eleven Group A</w:t>
      </w:r>
      <w:r w:rsidR="008960AE" w:rsidRPr="00EC0229">
        <w:fldChar w:fldCharType="begin"/>
      </w:r>
      <w:r w:rsidR="008960AE" w:rsidRPr="00EC0229">
        <w:instrText xml:space="preserve"> XE "Group A" </w:instrText>
      </w:r>
      <w:r w:rsidR="008960AE" w:rsidRPr="00EC0229">
        <w:fldChar w:fldCharType="end"/>
      </w:r>
      <w:r w:rsidR="00373A9F" w:rsidRPr="00EC0229">
        <w:t xml:space="preserve"> moneyers of Eanred’s initial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00373A9F" w:rsidRPr="00EC0229">
        <w:t xml:space="preserve"> period</w:t>
      </w:r>
      <w:r w:rsidR="00FD7CC7" w:rsidRPr="00EC0229">
        <w:t>,</w:t>
      </w:r>
      <w:r w:rsidR="00373A9F" w:rsidRPr="00EC0229">
        <w:t xml:space="preserve"> </w:t>
      </w:r>
      <w:r w:rsidR="00010CB7" w:rsidRPr="00EC0229">
        <w:rPr>
          <w:i/>
        </w:rPr>
        <w:t xml:space="preserve">Table </w:t>
      </w:r>
      <w:r w:rsidR="00637D67" w:rsidRPr="00EC0229">
        <w:rPr>
          <w:i/>
        </w:rPr>
        <w:t>4.01</w:t>
      </w:r>
      <w:r w:rsidR="00FD7CC7" w:rsidRPr="00EC0229">
        <w:t>,</w:t>
      </w:r>
      <w:r w:rsidR="00010CB7" w:rsidRPr="00EC0229">
        <w:t xml:space="preserve"> </w:t>
      </w:r>
      <w:r w:rsidR="00373A9F" w:rsidRPr="00EC0229">
        <w:t xml:space="preserve">may point to the take-off into ‘sustained’ </w:t>
      </w:r>
      <w:r w:rsidR="003F2041" w:rsidRPr="00EC0229">
        <w:t>monetiz</w:t>
      </w:r>
      <w:r w:rsidR="00373A9F" w:rsidRPr="00EC0229">
        <w:t xml:space="preserve">ation of the north </w:t>
      </w:r>
      <w:r w:rsidR="00373A9F" w:rsidRPr="00EC0229">
        <w:lastRenderedPageBreak/>
        <w:t>occurring only when silver was replaced by zinc</w:t>
      </w:r>
      <w:r w:rsidRPr="00EC0229">
        <w:t xml:space="preserve"> in the alloy. Indeed, </w:t>
      </w:r>
      <w:r w:rsidR="00373A9F" w:rsidRPr="00EC0229">
        <w:t xml:space="preserve">Eanred’s silver-alloy issues </w:t>
      </w:r>
      <w:r w:rsidR="00860FBF" w:rsidRPr="00EC0229">
        <w:t xml:space="preserve">can be seen </w:t>
      </w:r>
      <w:r w:rsidR="00373A9F" w:rsidRPr="00EC0229">
        <w:t>as an attempt to perpetuate the sceat with the styca proper commencing only with the replacement of silver.</w:t>
      </w:r>
    </w:p>
    <w:p w14:paraId="581ED462" w14:textId="77777777" w:rsidR="00373A9F" w:rsidRPr="00EC0229" w:rsidRDefault="00373A9F" w:rsidP="007600EA">
      <w:pPr>
        <w:pStyle w:val="NoSpacing"/>
        <w:spacing w:line="360" w:lineRule="auto"/>
        <w:rPr>
          <w:rFonts w:eastAsia="Times New Roman" w:cs="Times New Roman"/>
          <w:szCs w:val="24"/>
          <w:lang w:eastAsia="en-GB"/>
        </w:rPr>
      </w:pPr>
    </w:p>
    <w:p w14:paraId="31C692E9" w14:textId="2B0FBF4C" w:rsidR="00373A9F" w:rsidRPr="00EC0229" w:rsidRDefault="00373A9F"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Presumably, this occurred only after a further lengthy cessation in production, given that only Æthelweard of the Group A</w:t>
      </w:r>
      <w:r w:rsidR="008960AE" w:rsidRPr="00EC0229">
        <w:rPr>
          <w:rFonts w:eastAsia="Times New Roman" w:cs="Times New Roman"/>
          <w:szCs w:val="24"/>
          <w:lang w:eastAsia="en-GB"/>
        </w:rPr>
        <w:fldChar w:fldCharType="begin"/>
      </w:r>
      <w:r w:rsidR="008960AE" w:rsidRPr="00EC0229">
        <w:instrText xml:space="preserve"> XE "Group A"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members survived credibly to the brass phase.</w:t>
      </w:r>
      <w:r w:rsidRPr="00EC0229">
        <w:rPr>
          <w:rStyle w:val="FootnoteReference"/>
          <w:rFonts w:eastAsia="Times New Roman" w:cs="Times New Roman"/>
          <w:szCs w:val="24"/>
          <w:lang w:eastAsia="en-GB"/>
        </w:rPr>
        <w:footnoteReference w:id="376"/>
      </w:r>
      <w:r w:rsidRPr="00EC0229">
        <w:rPr>
          <w:rFonts w:eastAsia="Times New Roman" w:cs="Times New Roman"/>
          <w:szCs w:val="24"/>
          <w:lang w:eastAsia="en-GB"/>
        </w:rPr>
        <w:t xml:space="preserve"> This moneyer, produced coins for Eanbald</w:t>
      </w:r>
      <w:r w:rsidR="00D142DC" w:rsidRPr="00EC0229">
        <w:rPr>
          <w:rFonts w:eastAsia="Times New Roman" w:cs="Times New Roman"/>
          <w:szCs w:val="24"/>
          <w:lang w:eastAsia="en-GB"/>
        </w:rPr>
        <w:fldChar w:fldCharType="begin"/>
      </w:r>
      <w:r w:rsidR="00D142DC" w:rsidRPr="00EC0229">
        <w:instrText xml:space="preserve"> XE "Eanbald"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II but was more prolific for Wigmund</w:t>
      </w:r>
      <w:r w:rsidR="00D142DC" w:rsidRPr="00EC0229">
        <w:rPr>
          <w:rFonts w:eastAsia="Times New Roman" w:cs="Times New Roman"/>
          <w:szCs w:val="24"/>
          <w:lang w:eastAsia="en-GB"/>
        </w:rPr>
        <w:fldChar w:fldCharType="begin"/>
      </w:r>
      <w:r w:rsidR="00D142DC" w:rsidRPr="00EC0229">
        <w:instrText xml:space="preserve"> XE "Wigmund"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implying that he enjoyed both Episcopal favour and longevity. </w:t>
      </w:r>
    </w:p>
    <w:p w14:paraId="29FED049" w14:textId="77777777" w:rsidR="00373A9F" w:rsidRPr="00EC0229" w:rsidRDefault="00373A9F" w:rsidP="007600EA">
      <w:pPr>
        <w:pStyle w:val="NoSpacing"/>
        <w:spacing w:line="360" w:lineRule="auto"/>
        <w:rPr>
          <w:rFonts w:eastAsia="Times New Roman" w:cs="Times New Roman"/>
          <w:szCs w:val="24"/>
          <w:lang w:eastAsia="en-GB"/>
        </w:rPr>
      </w:pPr>
    </w:p>
    <w:p w14:paraId="2F89399E" w14:textId="13EDD8FF" w:rsidR="00373A9F" w:rsidRPr="00EC0229" w:rsidRDefault="00373A9F"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It may be assumed that the continuation of informal credit</w:t>
      </w:r>
      <w:r w:rsidR="008960AE" w:rsidRPr="00EC0229">
        <w:rPr>
          <w:rFonts w:eastAsia="Times New Roman" w:cs="Times New Roman"/>
          <w:szCs w:val="24"/>
          <w:lang w:eastAsia="en-GB"/>
        </w:rPr>
        <w:fldChar w:fldCharType="begin"/>
      </w:r>
      <w:r w:rsidR="008960AE" w:rsidRPr="00EC0229">
        <w:instrText xml:space="preserve"> XE "credit"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was n</w:t>
      </w:r>
      <w:r w:rsidR="00860FBF" w:rsidRPr="00EC0229">
        <w:rPr>
          <w:rFonts w:eastAsia="Times New Roman" w:cs="Times New Roman"/>
          <w:szCs w:val="24"/>
          <w:lang w:eastAsia="en-GB"/>
        </w:rPr>
        <w:t>ecessary, for economic lubrication</w:t>
      </w:r>
      <w:r w:rsidRPr="00EC0229">
        <w:rPr>
          <w:rFonts w:eastAsia="Times New Roman" w:cs="Times New Roman"/>
          <w:szCs w:val="24"/>
          <w:lang w:eastAsia="en-GB"/>
        </w:rPr>
        <w:t>, during the silver-alloy</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phase. This need for credit may have increased when the silver emissions were discontinued and receded when production in brass was commenced. Implicit in an ongoing use of credit is a degree of trust between debtor and creditor. This need for economic confidence was not removed by the introduction of a </w:t>
      </w:r>
      <w:r w:rsidRPr="00EC0229">
        <w:rPr>
          <w:rFonts w:eastAsia="Times New Roman" w:cs="Times New Roman"/>
          <w:i/>
          <w:szCs w:val="24"/>
          <w:lang w:eastAsia="en-GB"/>
        </w:rPr>
        <w:t>fiat</w:t>
      </w:r>
      <w:r w:rsidR="00D142DC" w:rsidRPr="00EC0229">
        <w:rPr>
          <w:rFonts w:eastAsia="Times New Roman" w:cs="Times New Roman"/>
          <w:i/>
          <w:szCs w:val="24"/>
          <w:lang w:eastAsia="en-GB"/>
        </w:rPr>
        <w:fldChar w:fldCharType="begin"/>
      </w:r>
      <w:r w:rsidR="00D142DC" w:rsidRPr="00EC0229">
        <w:instrText xml:space="preserve"> XE "fiat" </w:instrText>
      </w:r>
      <w:r w:rsidR="00D142DC" w:rsidRPr="00EC0229">
        <w:rPr>
          <w:rFonts w:eastAsia="Times New Roman" w:cs="Times New Roman"/>
          <w:i/>
          <w:szCs w:val="24"/>
          <w:lang w:eastAsia="en-GB"/>
        </w:rPr>
        <w:fldChar w:fldCharType="end"/>
      </w:r>
      <w:r w:rsidRPr="00EC0229">
        <w:rPr>
          <w:rFonts w:eastAsia="Times New Roman" w:cs="Times New Roman"/>
          <w:szCs w:val="24"/>
          <w:lang w:eastAsia="en-GB"/>
        </w:rPr>
        <w:t xml:space="preserve">, i.e. brass, currency, but transferred to a different, vertical, axis – between state and subject. It would not be difficult to envisage, </w:t>
      </w:r>
      <w:r w:rsidRPr="00EC0229">
        <w:rPr>
          <w:rFonts w:eastAsia="Times New Roman" w:cs="Times New Roman"/>
          <w:i/>
          <w:szCs w:val="24"/>
          <w:lang w:eastAsia="en-GB"/>
        </w:rPr>
        <w:t>post hoc,</w:t>
      </w:r>
      <w:r w:rsidRPr="00EC0229">
        <w:rPr>
          <w:rFonts w:eastAsia="Times New Roman" w:cs="Times New Roman"/>
          <w:szCs w:val="24"/>
          <w:lang w:eastAsia="en-GB"/>
        </w:rPr>
        <w:t xml:space="preserve"> an agrarian economy</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rFonts w:eastAsia="Times New Roman" w:cs="Times New Roman"/>
          <w:szCs w:val="24"/>
          <w:lang w:eastAsia="en-GB"/>
        </w:rPr>
        <w:fldChar w:fldCharType="end"/>
      </w:r>
      <w:r w:rsidRPr="00EC0229">
        <w:rPr>
          <w:rFonts w:eastAsia="Times New Roman" w:cs="Times New Roman"/>
          <w:szCs w:val="24"/>
          <w:lang w:eastAsia="en-GB"/>
        </w:rPr>
        <w:t>, subject to exogenous shock, wherein a period of recovery of up to three decades or more – a working lifetime in early medieval times - is the norm. The periodicity</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periodicity</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in </w:t>
      </w:r>
      <w:r w:rsidRPr="00EC0229">
        <w:rPr>
          <w:rFonts w:eastAsia="Times New Roman" w:cs="Times New Roman"/>
          <w:i/>
          <w:szCs w:val="24"/>
          <w:lang w:eastAsia="en-GB"/>
        </w:rPr>
        <w:t>Table</w:t>
      </w:r>
      <w:r w:rsidR="00584C42" w:rsidRPr="00EC0229">
        <w:rPr>
          <w:rFonts w:eastAsia="Times New Roman" w:cs="Times New Roman"/>
          <w:i/>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i/>
          <w:szCs w:val="24"/>
          <w:lang w:eastAsia="en-GB"/>
        </w:rPr>
        <w:fldChar w:fldCharType="end"/>
      </w:r>
      <w:r w:rsidR="00391945" w:rsidRPr="00EC0229">
        <w:rPr>
          <w:rFonts w:eastAsia="Times New Roman" w:cs="Times New Roman"/>
          <w:i/>
          <w:szCs w:val="24"/>
          <w:lang w:eastAsia="en-GB"/>
        </w:rPr>
        <w:t xml:space="preserve"> </w:t>
      </w:r>
      <w:r w:rsidR="00B77496" w:rsidRPr="00EC0229">
        <w:rPr>
          <w:rFonts w:eastAsia="Times New Roman" w:cs="Times New Roman"/>
          <w:i/>
          <w:szCs w:val="24"/>
          <w:lang w:eastAsia="en-GB"/>
        </w:rPr>
        <w:t>4.0</w:t>
      </w:r>
      <w:r w:rsidR="00637D67" w:rsidRPr="00EC0229">
        <w:rPr>
          <w:rFonts w:eastAsia="Times New Roman" w:cs="Times New Roman"/>
          <w:i/>
          <w:szCs w:val="24"/>
          <w:lang w:eastAsia="en-GB"/>
        </w:rPr>
        <w:t>2</w:t>
      </w:r>
      <w:r w:rsidRPr="00EC0229">
        <w:rPr>
          <w:rFonts w:eastAsia="Times New Roman" w:cs="Times New Roman"/>
          <w:i/>
          <w:szCs w:val="24"/>
          <w:lang w:eastAsia="en-GB"/>
        </w:rPr>
        <w:t xml:space="preserve"> </w:t>
      </w:r>
      <w:r w:rsidRPr="00EC0229">
        <w:rPr>
          <w:rFonts w:eastAsia="Times New Roman" w:cs="Times New Roman"/>
          <w:szCs w:val="24"/>
          <w:lang w:eastAsia="en-GB"/>
        </w:rPr>
        <w:t>falls into this cyclical pattern with the years of famine exceeding those of plenty</w:t>
      </w:r>
      <w:r w:rsidR="00630ACC" w:rsidRPr="00EC0229">
        <w:rPr>
          <w:rFonts w:eastAsia="Times New Roman" w:cs="Times New Roman"/>
          <w:szCs w:val="24"/>
          <w:lang w:eastAsia="en-GB"/>
        </w:rPr>
        <w:t xml:space="preserve"> (81:144)</w:t>
      </w:r>
      <w:r w:rsidRPr="00EC0229">
        <w:rPr>
          <w:rFonts w:eastAsia="Times New Roman" w:cs="Times New Roman"/>
          <w:szCs w:val="24"/>
          <w:lang w:eastAsia="en-GB"/>
        </w:rPr>
        <w:t>. Perhaps the recovery phase is prolonged as credit sources were also fractured by shock. In the absence of historic records, this is difficult to demonstrate. Northumbria</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eastAsia="Times New Roman" w:cs="Times New Roman"/>
          <w:szCs w:val="24"/>
          <w:lang w:eastAsia="en-GB"/>
        </w:rPr>
        <w:fldChar w:fldCharType="end"/>
      </w:r>
      <w:r w:rsidRPr="00EC0229">
        <w:rPr>
          <w:rFonts w:eastAsia="Times New Roman" w:cs="Times New Roman"/>
          <w:szCs w:val="24"/>
          <w:lang w:eastAsia="en-GB"/>
        </w:rPr>
        <w:t xml:space="preserve"> was a kingdom of high literacy, especially among an established clerical class, many of whom resided at minsters, which provided local economic foci – and, presumably, a degree of protection for the necessary documentation of estate management</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estate management</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It is inconceivable that recording of transactions,</w:t>
      </w:r>
      <w:r w:rsidRPr="00EC0229">
        <w:rPr>
          <w:rStyle w:val="FootnoteReference"/>
          <w:rFonts w:eastAsia="Times New Roman" w:cs="Times New Roman"/>
          <w:szCs w:val="24"/>
          <w:lang w:eastAsia="en-GB"/>
        </w:rPr>
        <w:footnoteReference w:id="377"/>
      </w:r>
      <w:r w:rsidRPr="00EC0229">
        <w:rPr>
          <w:rFonts w:eastAsia="Times New Roman" w:cs="Times New Roman"/>
          <w:szCs w:val="24"/>
          <w:lang w:eastAsia="en-GB"/>
        </w:rPr>
        <w:t xml:space="preserve"> and any consequent indebtedness, was absent, but it may have been palimpsestic. In other circumstances, such recording of credit had led to banking.</w:t>
      </w:r>
      <w:r w:rsidRPr="00EC0229">
        <w:rPr>
          <w:rStyle w:val="FootnoteReference"/>
          <w:rFonts w:eastAsia="Times New Roman" w:cs="Times New Roman"/>
          <w:szCs w:val="24"/>
          <w:lang w:eastAsia="en-GB"/>
        </w:rPr>
        <w:footnoteReference w:id="378"/>
      </w:r>
    </w:p>
    <w:p w14:paraId="3E74259C" w14:textId="77777777" w:rsidR="00373A9F" w:rsidRPr="00EC0229" w:rsidRDefault="00373A9F" w:rsidP="007600EA">
      <w:pPr>
        <w:pStyle w:val="NoSpacing"/>
        <w:spacing w:line="360" w:lineRule="auto"/>
        <w:rPr>
          <w:rFonts w:eastAsia="Times New Roman" w:cs="Times New Roman"/>
          <w:szCs w:val="24"/>
          <w:lang w:eastAsia="en-GB"/>
        </w:rPr>
      </w:pPr>
    </w:p>
    <w:p w14:paraId="08D3A8E4" w14:textId="04BFDCAC" w:rsidR="00373A9F" w:rsidRPr="00EC0229" w:rsidRDefault="00373A9F"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To push speculation one small step further, given the absence of a denomination higher than this ‘widow’s mite’</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widow’s mite</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it is not surprising that large hoards were accumulated, possibly in ecclesiastical treasuries. However, for high value transactions, which continue among the élite</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whatever the situation for the average subject, it is impractical for huge quantities of stycas to </w:t>
      </w:r>
      <w:r w:rsidRPr="00EC0229">
        <w:rPr>
          <w:rFonts w:eastAsia="Times New Roman" w:cs="Times New Roman"/>
          <w:szCs w:val="24"/>
          <w:lang w:eastAsia="en-GB"/>
        </w:rPr>
        <w:lastRenderedPageBreak/>
        <w:t>be deployed. Might contemporary local imitations of the solidus</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solidus</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of Louis the Pious</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Louis the Pious</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serve a </w:t>
      </w:r>
      <w:r w:rsidR="00A972E7" w:rsidRPr="00EC0229">
        <w:rPr>
          <w:rFonts w:eastAsia="Times New Roman" w:cs="Times New Roman"/>
          <w:szCs w:val="24"/>
          <w:lang w:eastAsia="en-GB"/>
        </w:rPr>
        <w:t>rôle</w:t>
      </w:r>
      <w:r w:rsidRPr="00EC0229">
        <w:rPr>
          <w:rFonts w:eastAsia="Times New Roman" w:cs="Times New Roman"/>
          <w:szCs w:val="24"/>
          <w:lang w:eastAsia="en-GB"/>
        </w:rPr>
        <w:t xml:space="preserve"> in high value transactions?</w:t>
      </w:r>
      <w:r w:rsidRPr="00EC0229">
        <w:rPr>
          <w:rStyle w:val="FootnoteReference"/>
          <w:rFonts w:eastAsia="Times New Roman" w:cs="Times New Roman"/>
          <w:szCs w:val="24"/>
          <w:lang w:eastAsia="en-GB"/>
        </w:rPr>
        <w:footnoteReference w:id="379"/>
      </w:r>
      <w:r w:rsidRPr="00EC0229">
        <w:rPr>
          <w:rFonts w:eastAsia="Times New Roman" w:cs="Times New Roman"/>
          <w:szCs w:val="24"/>
          <w:lang w:eastAsia="en-GB"/>
        </w:rPr>
        <w:t xml:space="preserve"> </w:t>
      </w:r>
    </w:p>
    <w:p w14:paraId="3B02F6CA" w14:textId="77777777" w:rsidR="00373A9F" w:rsidRPr="00EC0229" w:rsidRDefault="00373A9F" w:rsidP="007600EA">
      <w:pPr>
        <w:pStyle w:val="NoSpacing"/>
        <w:spacing w:line="360" w:lineRule="auto"/>
        <w:rPr>
          <w:rFonts w:eastAsia="Times New Roman" w:cs="Times New Roman"/>
          <w:szCs w:val="24"/>
          <w:lang w:eastAsia="en-GB"/>
        </w:rPr>
      </w:pPr>
    </w:p>
    <w:p w14:paraId="7BC2738E" w14:textId="255424C9" w:rsidR="00373A9F" w:rsidRPr="00EC0229" w:rsidRDefault="00373A9F"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Returning to hard fact, there is such a profusion of styca finds that they often fail to be registered by less scrupulous finders,</w:t>
      </w:r>
      <w:bookmarkStart w:id="169" w:name="_Ref430015316"/>
      <w:r w:rsidRPr="00EC0229">
        <w:rPr>
          <w:rStyle w:val="FootnoteReference"/>
          <w:rFonts w:eastAsia="Times New Roman" w:cs="Times New Roman"/>
          <w:szCs w:val="24"/>
          <w:lang w:eastAsia="en-GB"/>
        </w:rPr>
        <w:footnoteReference w:id="380"/>
      </w:r>
      <w:bookmarkEnd w:id="169"/>
      <w:r w:rsidRPr="00EC0229">
        <w:rPr>
          <w:rFonts w:eastAsia="Times New Roman" w:cs="Times New Roman"/>
          <w:szCs w:val="24"/>
          <w:lang w:eastAsia="en-GB"/>
        </w:rPr>
        <w:t xml:space="preserve"> which may result in statistical </w:t>
      </w:r>
      <w:r w:rsidRPr="00EC0229">
        <w:rPr>
          <w:rFonts w:eastAsia="Times New Roman" w:cs="Times New Roman"/>
          <w:color w:val="000000" w:themeColor="text1"/>
          <w:szCs w:val="24"/>
          <w:lang w:eastAsia="en-GB"/>
        </w:rPr>
        <w:t xml:space="preserve">distortion. </w:t>
      </w:r>
      <w:r w:rsidRPr="00EC0229">
        <w:rPr>
          <w:rFonts w:eastAsia="Times New Roman" w:cs="Times New Roman"/>
          <w:szCs w:val="24"/>
          <w:lang w:eastAsia="en-GB"/>
        </w:rPr>
        <w:t>Finds occur on numerous archaeological</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sites, both locally and often beyond Northumbria</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eastAsia="Times New Roman" w:cs="Times New Roman"/>
          <w:szCs w:val="24"/>
          <w:lang w:eastAsia="en-GB"/>
        </w:rPr>
        <w:fldChar w:fldCharType="end"/>
      </w:r>
      <w:r w:rsidRPr="00EC0229">
        <w:rPr>
          <w:rFonts w:eastAsia="Times New Roman" w:cs="Times New Roman"/>
          <w:szCs w:val="24"/>
          <w:lang w:eastAsia="en-GB"/>
        </w:rPr>
        <w:t xml:space="preserve">, </w:t>
      </w:r>
      <w:r w:rsidRPr="00EC0229">
        <w:rPr>
          <w:rFonts w:eastAsia="Times New Roman" w:cs="Times New Roman"/>
          <w:i/>
          <w:szCs w:val="24"/>
          <w:lang w:eastAsia="en-GB"/>
        </w:rPr>
        <w:t>Map</w:t>
      </w:r>
      <w:r w:rsidR="00584C42" w:rsidRPr="00EC0229">
        <w:rPr>
          <w:rFonts w:eastAsia="Times New Roman" w:cs="Times New Roman"/>
          <w:i/>
          <w:szCs w:val="24"/>
          <w:lang w:eastAsia="en-GB"/>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rFonts w:eastAsia="Times New Roman" w:cs="Times New Roman"/>
          <w:i/>
          <w:szCs w:val="24"/>
          <w:lang w:eastAsia="en-GB"/>
        </w:rPr>
        <w:fldChar w:fldCharType="end"/>
      </w:r>
      <w:r w:rsidRPr="00EC0229">
        <w:rPr>
          <w:rFonts w:eastAsia="Times New Roman" w:cs="Times New Roman"/>
          <w:i/>
          <w:szCs w:val="24"/>
          <w:lang w:eastAsia="en-GB"/>
        </w:rPr>
        <w:t xml:space="preserve"> </w:t>
      </w:r>
      <w:r w:rsidR="00ED43AC" w:rsidRPr="00EC0229">
        <w:rPr>
          <w:rFonts w:eastAsia="Times New Roman" w:cs="Times New Roman"/>
          <w:i/>
          <w:szCs w:val="24"/>
          <w:lang w:eastAsia="en-GB"/>
        </w:rPr>
        <w:t>2</w:t>
      </w:r>
      <w:r w:rsidR="004048E5" w:rsidRPr="00EC0229">
        <w:rPr>
          <w:rFonts w:eastAsia="Times New Roman" w:cs="Times New Roman"/>
          <w:i/>
          <w:szCs w:val="24"/>
          <w:lang w:eastAsia="en-GB"/>
        </w:rPr>
        <w:t>.06</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381"/>
      </w:r>
    </w:p>
    <w:p w14:paraId="470B713C" w14:textId="77777777" w:rsidR="008A4155" w:rsidRPr="00EC0229" w:rsidRDefault="008A4155" w:rsidP="007600EA">
      <w:pPr>
        <w:pStyle w:val="NoSpacing"/>
        <w:spacing w:line="360" w:lineRule="auto"/>
        <w:rPr>
          <w:rFonts w:eastAsia="Times New Roman" w:cs="Times New Roman"/>
          <w:szCs w:val="24"/>
          <w:lang w:eastAsia="en-GB"/>
        </w:rPr>
      </w:pPr>
    </w:p>
    <w:p w14:paraId="110797CF" w14:textId="070F68FF" w:rsidR="00373A9F" w:rsidRPr="00EC0229" w:rsidRDefault="00373A9F"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 xml:space="preserve">To </w:t>
      </w:r>
      <w:r w:rsidR="00103FB3">
        <w:rPr>
          <w:rFonts w:eastAsia="Times New Roman" w:cs="Times New Roman"/>
          <w:szCs w:val="24"/>
          <w:lang w:eastAsia="en-GB"/>
        </w:rPr>
        <w:t>summarize</w:t>
      </w:r>
      <w:r w:rsidRPr="00EC0229">
        <w:rPr>
          <w:rFonts w:eastAsia="Times New Roman" w:cs="Times New Roman"/>
          <w:szCs w:val="24"/>
          <w:lang w:eastAsia="en-GB"/>
        </w:rPr>
        <w:t xml:space="preserve">, the coinage shows a sequence of metals; there were no parallel issues in different metal. However, this mono-metallism was not </w:t>
      </w:r>
      <w:r w:rsidR="00EB4DDB" w:rsidRPr="00EC0229">
        <w:rPr>
          <w:rFonts w:eastAsia="Times New Roman" w:cs="Times New Roman"/>
          <w:szCs w:val="24"/>
          <w:lang w:eastAsia="en-GB"/>
        </w:rPr>
        <w:t xml:space="preserve">entirely </w:t>
      </w:r>
      <w:r w:rsidRPr="00EC0229">
        <w:rPr>
          <w:rFonts w:eastAsia="Times New Roman" w:cs="Times New Roman"/>
          <w:szCs w:val="24"/>
          <w:lang w:eastAsia="en-GB"/>
        </w:rPr>
        <w:t>by design. When silver replaced gold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coin may have lost its attraction as an élite</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object for social and ritual use; when </w:t>
      </w:r>
      <w:r w:rsidR="009E3EB7" w:rsidRPr="00EC0229">
        <w:rPr>
          <w:rFonts w:eastAsia="Times New Roman" w:cs="Times New Roman"/>
          <w:szCs w:val="24"/>
          <w:lang w:eastAsia="en-GB"/>
        </w:rPr>
        <w:t>copper-alloy</w:t>
      </w:r>
      <w:r w:rsidRPr="00EC0229">
        <w:rPr>
          <w:rFonts w:eastAsia="Times New Roman" w:cs="Times New Roman"/>
          <w:szCs w:val="24"/>
          <w:lang w:eastAsia="en-GB"/>
        </w:rPr>
        <w:t xml:space="preserve"> was current, there was little precious metal to be had. This is borne out by the paucity of eighth-century finds of gold coin</w:t>
      </w:r>
      <w:r w:rsidRPr="00EC0229">
        <w:rPr>
          <w:rFonts w:eastAsia="Times New Roman" w:cs="Times New Roman"/>
          <w:color w:val="FF0000"/>
          <w:szCs w:val="24"/>
          <w:lang w:eastAsia="en-GB"/>
        </w:rPr>
        <w:t xml:space="preserve"> </w:t>
      </w:r>
      <w:r w:rsidRPr="00EC0229">
        <w:rPr>
          <w:rFonts w:eastAsia="Times New Roman" w:cs="Times New Roman"/>
          <w:szCs w:val="24"/>
          <w:lang w:eastAsia="en-GB"/>
        </w:rPr>
        <w:t>and of ninth-century finds of gold and silver coin.</w:t>
      </w:r>
      <w:r w:rsidRPr="00EC0229">
        <w:rPr>
          <w:rStyle w:val="FootnoteReference"/>
          <w:rFonts w:eastAsia="Times New Roman" w:cs="Times New Roman"/>
          <w:szCs w:val="24"/>
          <w:lang w:eastAsia="en-GB"/>
        </w:rPr>
        <w:footnoteReference w:id="382"/>
      </w:r>
      <w:r w:rsidRPr="00EC0229">
        <w:rPr>
          <w:rFonts w:eastAsia="Times New Roman" w:cs="Times New Roman"/>
          <w:szCs w:val="24"/>
          <w:lang w:eastAsia="en-GB"/>
        </w:rPr>
        <w:t xml:space="preserve"> Does this paucity reflect the real situation and more broadly, is the picture reconstructed from finds representative? </w:t>
      </w:r>
      <w:r w:rsidR="003F2041" w:rsidRPr="00EC0229">
        <w:rPr>
          <w:rFonts w:eastAsia="Times New Roman" w:cs="Times New Roman"/>
          <w:szCs w:val="24"/>
          <w:lang w:eastAsia="en-GB"/>
        </w:rPr>
        <w:t>Monetiz</w:t>
      </w:r>
      <w:r w:rsidRPr="00EC0229">
        <w:rPr>
          <w:rFonts w:eastAsia="Times New Roman" w:cs="Times New Roman"/>
          <w:szCs w:val="24"/>
          <w:lang w:eastAsia="en-GB"/>
        </w:rPr>
        <w:t>ation</w:t>
      </w:r>
      <w:r w:rsidR="00F204A1" w:rsidRPr="00EC0229">
        <w:rPr>
          <w:rFonts w:eastAsia="Times New Roman" w:cs="Times New Roman"/>
          <w:szCs w:val="24"/>
          <w:lang w:eastAsia="en-GB"/>
        </w:rPr>
        <w:fldChar w:fldCharType="begin"/>
      </w:r>
      <w:r w:rsidR="00F204A1" w:rsidRPr="00EC0229">
        <w:instrText xml:space="preserve"> XE "</w:instrText>
      </w:r>
      <w:r w:rsidR="00F204A1" w:rsidRPr="00EC0229">
        <w:rPr>
          <w:rStyle w:val="Hyperlink"/>
          <w:rFonts w:cs="Times New Roman"/>
          <w:noProof/>
          <w:u w:val="none"/>
        </w:rPr>
        <w:instrText>Monetization</w:instrText>
      </w:r>
      <w:r w:rsidR="00F204A1" w:rsidRPr="00EC0229">
        <w:instrText xml:space="preserve">" </w:instrText>
      </w:r>
      <w:r w:rsidR="00F204A1" w:rsidRPr="00EC0229">
        <w:rPr>
          <w:rFonts w:eastAsia="Times New Roman" w:cs="Times New Roman"/>
          <w:szCs w:val="24"/>
          <w:lang w:eastAsia="en-GB"/>
        </w:rPr>
        <w:fldChar w:fldCharType="end"/>
      </w:r>
      <w:r w:rsidRPr="00EC0229">
        <w:rPr>
          <w:rFonts w:eastAsia="Times New Roman" w:cs="Times New Roman"/>
          <w:szCs w:val="24"/>
          <w:lang w:eastAsia="en-GB"/>
        </w:rPr>
        <w:t xml:space="preserve"> was both an urban-led process wherein the sceat was integral to trade in York</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a royal-led process requiring coin for court transactions, but the operation of a primitive quantity theory of money</w:t>
      </w:r>
      <w:r w:rsidR="008960AE" w:rsidRPr="00EC0229">
        <w:rPr>
          <w:rFonts w:eastAsia="Times New Roman" w:cs="Times New Roman"/>
          <w:szCs w:val="24"/>
          <w:lang w:eastAsia="en-GB"/>
        </w:rPr>
        <w:fldChar w:fldCharType="begin"/>
      </w:r>
      <w:r w:rsidR="008960AE" w:rsidRPr="00EC0229">
        <w:instrText xml:space="preserve"> XE "money" </w:instrText>
      </w:r>
      <w:r w:rsidR="008960AE" w:rsidRPr="00EC0229">
        <w:rPr>
          <w:rFonts w:eastAsia="Times New Roman" w:cs="Times New Roman"/>
          <w:szCs w:val="24"/>
          <w:lang w:eastAsia="en-GB"/>
        </w:rPr>
        <w:fldChar w:fldCharType="end"/>
      </w:r>
      <w:r w:rsidRPr="00EC0229">
        <w:rPr>
          <w:rStyle w:val="FootnoteReference"/>
          <w:rFonts w:eastAsia="Times New Roman" w:cs="Times New Roman"/>
          <w:szCs w:val="24"/>
          <w:lang w:eastAsia="en-GB"/>
        </w:rPr>
        <w:footnoteReference w:id="383"/>
      </w:r>
      <w:r w:rsidRPr="00EC0229">
        <w:rPr>
          <w:rFonts w:eastAsia="Times New Roman" w:cs="Times New Roman"/>
          <w:szCs w:val="24"/>
          <w:lang w:eastAsia="en-GB"/>
        </w:rPr>
        <w:t xml:space="preserve"> in the hinterland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hinterland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is facilitated only by a lower denomination.</w:t>
      </w:r>
    </w:p>
    <w:p w14:paraId="6B57AB80" w14:textId="77777777" w:rsidR="00373A9F" w:rsidRPr="00EC0229" w:rsidRDefault="00373A9F" w:rsidP="007600EA">
      <w:pPr>
        <w:pStyle w:val="NoSpacing"/>
        <w:spacing w:line="360" w:lineRule="auto"/>
        <w:rPr>
          <w:b/>
        </w:rPr>
      </w:pPr>
    </w:p>
    <w:p w14:paraId="2C9F1351" w14:textId="09B25A03" w:rsidR="00B8699C" w:rsidRPr="00EC0229" w:rsidRDefault="00373A9F" w:rsidP="003A3DAB">
      <w:pPr>
        <w:pStyle w:val="NoSpacing"/>
        <w:spacing w:line="360" w:lineRule="auto"/>
      </w:pPr>
      <w:r w:rsidRPr="00EC0229">
        <w:t>Some mention needs be made of the monetary situation in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 after the fall of York</w:t>
      </w:r>
      <w:r w:rsidR="006B1593" w:rsidRPr="00EC0229">
        <w:fldChar w:fldCharType="begin"/>
      </w:r>
      <w:r w:rsidR="006B1593" w:rsidRPr="00EC0229">
        <w:instrText xml:space="preserve"> XE "</w:instrText>
      </w:r>
      <w:r w:rsidR="006B1593" w:rsidRPr="00EC0229">
        <w:rPr>
          <w:noProof/>
        </w:rPr>
        <w:instrText>York</w:instrText>
      </w:r>
      <w:r w:rsidR="006B1593" w:rsidRPr="00EC0229">
        <w:instrText xml:space="preserve">" </w:instrText>
      </w:r>
      <w:r w:rsidR="006B1593" w:rsidRPr="00EC0229">
        <w:fldChar w:fldCharType="end"/>
      </w:r>
      <w:r w:rsidR="004856AD" w:rsidRPr="00EC0229">
        <w:t xml:space="preserve"> (</w:t>
      </w:r>
      <w:r w:rsidR="00900593" w:rsidRPr="00EC0229">
        <w:fldChar w:fldCharType="begin"/>
      </w:r>
      <w:r w:rsidR="00900593" w:rsidRPr="00EC0229">
        <w:instrText xml:space="preserve"> PAGEREF Scandinavianmonetization \h </w:instrText>
      </w:r>
      <w:r w:rsidR="00900593" w:rsidRPr="00EC0229">
        <w:fldChar w:fldCharType="separate"/>
      </w:r>
      <w:r w:rsidR="0012026B">
        <w:rPr>
          <w:noProof/>
        </w:rPr>
        <w:t>71</w:t>
      </w:r>
      <w:r w:rsidR="00900593" w:rsidRPr="00EC0229">
        <w:fldChar w:fldCharType="end"/>
      </w:r>
      <w:r w:rsidR="004856AD" w:rsidRPr="00EC0229">
        <w:t>)</w:t>
      </w:r>
      <w:r w:rsidRPr="00EC0229">
        <w:t xml:space="preserve">. While the </w:t>
      </w:r>
      <w:bookmarkStart w:id="170" w:name="Viking"/>
      <w:r w:rsidRPr="00EC0229">
        <w:t>Viking</w:t>
      </w:r>
      <w:bookmarkEnd w:id="170"/>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Pr="00EC0229">
        <w:t xml:space="preserve"> presence would have deterred some traditional economic activities, others would have been stimulated by the requisites of the </w:t>
      </w:r>
      <w:r w:rsidR="007076D8" w:rsidRPr="00EC0229">
        <w:rPr>
          <w:i/>
        </w:rPr>
        <w:t>micel here</w:t>
      </w:r>
      <w:r w:rsidR="007F5EE4">
        <w:t>.</w:t>
      </w:r>
      <w:r w:rsidR="007F5EE4">
        <w:rPr>
          <w:rStyle w:val="FootnoteReference"/>
        </w:rPr>
        <w:footnoteReference w:id="384"/>
      </w:r>
      <w:r w:rsidRPr="00EC0229">
        <w:t xml:space="preserve"> It is plausible that after a period of disruption, activity may have resumed, even at a higher volume, but without coined money</w:t>
      </w:r>
      <w:r w:rsidR="008960AE" w:rsidRPr="00EC0229">
        <w:fldChar w:fldCharType="begin"/>
      </w:r>
      <w:r w:rsidR="008960AE" w:rsidRPr="00EC0229">
        <w:instrText xml:space="preserve"> XE "money" </w:instrText>
      </w:r>
      <w:r w:rsidR="008960AE" w:rsidRPr="00EC0229">
        <w:fldChar w:fldCharType="end"/>
      </w:r>
      <w:r w:rsidRPr="00EC0229">
        <w:t xml:space="preserve">. The Vikings were rich in looted precious metal, but probably did not feel the need to use formalized, coined money </w:t>
      </w:r>
      <w:r w:rsidR="00A233B3" w:rsidRPr="00EC0229">
        <w:t>until raiders settled as</w:t>
      </w:r>
      <w:r w:rsidRPr="00EC0229">
        <w:t xml:space="preserve"> traders</w:t>
      </w:r>
      <w:r w:rsidR="00A233B3" w:rsidRPr="00EC0229">
        <w:t xml:space="preserve"> </w:t>
      </w:r>
      <w:r w:rsidRPr="00EC0229">
        <w:t>broadcast</w:t>
      </w:r>
      <w:r w:rsidR="00A233B3" w:rsidRPr="00EC0229">
        <w:t>ing</w:t>
      </w:r>
      <w:r w:rsidRPr="00EC0229">
        <w:t xml:space="preserve"> their new-found faith. Hack-silver</w:t>
      </w:r>
      <w:r w:rsidR="008960AE" w:rsidRPr="00EC0229">
        <w:fldChar w:fldCharType="begin"/>
      </w:r>
      <w:r w:rsidR="008960AE" w:rsidRPr="00EC0229">
        <w:instrText xml:space="preserve"> XE "Hack-silver" </w:instrText>
      </w:r>
      <w:r w:rsidR="008960AE" w:rsidRPr="00EC0229">
        <w:fldChar w:fldCharType="end"/>
      </w:r>
      <w:r w:rsidRPr="00EC0229">
        <w:t xml:space="preserve"> and </w:t>
      </w:r>
      <w:r w:rsidR="00B8699C" w:rsidRPr="00EC0229">
        <w:t>-</w:t>
      </w:r>
      <w:r w:rsidRPr="00EC0229">
        <w:t>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sufficed as fungible bullion</w:t>
      </w:r>
      <w:r w:rsidR="008960AE" w:rsidRPr="00EC0229">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fldChar w:fldCharType="end"/>
      </w:r>
      <w:r w:rsidRPr="00EC0229">
        <w:t xml:space="preserve"> </w:t>
      </w:r>
      <w:r w:rsidR="00131619" w:rsidRPr="00EC0229">
        <w:t xml:space="preserve">at least </w:t>
      </w:r>
      <w:r w:rsidRPr="00EC0229">
        <w:t>until the adoption of the broad penny</w:t>
      </w:r>
      <w:r w:rsidR="00D142DC" w:rsidRPr="00EC0229">
        <w:fldChar w:fldCharType="begin"/>
      </w:r>
      <w:r w:rsidR="00D142DC" w:rsidRPr="00EC0229">
        <w:instrText xml:space="preserve"> XE "penny" </w:instrText>
      </w:r>
      <w:r w:rsidR="00D142DC" w:rsidRPr="00EC0229">
        <w:fldChar w:fldCharType="end"/>
      </w:r>
      <w:r w:rsidRPr="00EC0229">
        <w:t xml:space="preserve"> in the mid-890s</w:t>
      </w:r>
      <w:r w:rsidR="00B64973" w:rsidRPr="00EC0229">
        <w:t>,</w:t>
      </w:r>
      <w:r w:rsidR="00131619" w:rsidRPr="00EC0229">
        <w:t xml:space="preserve"> </w:t>
      </w:r>
      <w:r w:rsidR="00B64973" w:rsidRPr="00EC0229">
        <w:t>al</w:t>
      </w:r>
      <w:r w:rsidR="00131619" w:rsidRPr="00EC0229">
        <w:t xml:space="preserve">though a dual economy operated considerably longer as </w:t>
      </w:r>
      <w:r w:rsidR="00131619" w:rsidRPr="00EC0229">
        <w:lastRenderedPageBreak/>
        <w:t xml:space="preserve">demonstrated by the hack-silver content of such as the </w:t>
      </w:r>
      <w:r w:rsidR="00D859E7" w:rsidRPr="00EC0229">
        <w:t>‘</w:t>
      </w:r>
      <w:r w:rsidR="00131619" w:rsidRPr="00EC0229">
        <w:t>Vale of York</w:t>
      </w:r>
      <w:r w:rsidR="00D859E7" w:rsidRPr="00EC0229">
        <w:t>’</w:t>
      </w:r>
      <w:r w:rsidR="00131619" w:rsidRPr="00EC0229">
        <w:t xml:space="preserve"> hoard</w:t>
      </w:r>
      <w:r w:rsidRPr="00EC0229">
        <w:t>.</w:t>
      </w:r>
      <w:r w:rsidR="00131619" w:rsidRPr="00EC0229">
        <w:rPr>
          <w:rStyle w:val="FootnoteReference"/>
        </w:rPr>
        <w:footnoteReference w:id="385"/>
      </w:r>
      <w:r w:rsidRPr="00EC0229">
        <w:t xml:space="preserve"> In rural areas, pre-existing commodity monies had most likely continued in use alongside stycas, and would now have persisted in their absence. It would be an exaggeration to describe this as de-</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economic exchange was sustained but probably with little use of coin - there are a few finds of pennies and deniers - for twenty-five years. Northumbria had witnessed such cyclical disjuncture previously,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391945" w:rsidRPr="00EC0229">
        <w:rPr>
          <w:i/>
        </w:rPr>
        <w:t xml:space="preserve"> </w:t>
      </w:r>
      <w:r w:rsidR="00637D67" w:rsidRPr="00EC0229">
        <w:rPr>
          <w:i/>
        </w:rPr>
        <w:t>4.02</w:t>
      </w:r>
      <w:r w:rsidRPr="00EC0229">
        <w:t>, and had improvised successfully.</w:t>
      </w:r>
      <w:bookmarkStart w:id="171" w:name="Constraints"/>
      <w:bookmarkEnd w:id="171"/>
    </w:p>
    <w:p w14:paraId="28C22030" w14:textId="77777777" w:rsidR="00B8699C" w:rsidRPr="00EC0229" w:rsidRDefault="00B8699C" w:rsidP="003A3DAB">
      <w:pPr>
        <w:pStyle w:val="NoSpacing"/>
        <w:spacing w:line="360" w:lineRule="auto"/>
      </w:pPr>
    </w:p>
    <w:p w14:paraId="385091F5" w14:textId="10571377" w:rsidR="007A7827" w:rsidRPr="00EC0229" w:rsidRDefault="00B8699C" w:rsidP="003A3DAB">
      <w:pPr>
        <w:pStyle w:val="NoSpacing"/>
        <w:spacing w:line="360" w:lineRule="auto"/>
      </w:pPr>
      <w:r w:rsidRPr="00EC0229">
        <w:t xml:space="preserve">Having now given a hypothesis of </w:t>
      </w:r>
      <w:r w:rsidR="003F2041" w:rsidRPr="00EC0229">
        <w:t>monetiz</w:t>
      </w:r>
      <w:r w:rsidRPr="00EC0229">
        <w:t>ation, the next chapter</w:t>
      </w:r>
      <w:r w:rsidRPr="00EC0229">
        <w:rPr>
          <w:rFonts w:cs="Times New Roman"/>
        </w:rPr>
        <w:t xml:space="preserve"> creates the chronological framework for the subsequent data analysis.</w:t>
      </w:r>
      <w:r w:rsidR="007A7827" w:rsidRPr="00EC0229">
        <w:rPr>
          <w:rFonts w:cs="Times New Roman"/>
        </w:rPr>
        <w:br w:type="page"/>
      </w:r>
    </w:p>
    <w:p w14:paraId="0E22DAF6" w14:textId="667FF906" w:rsidR="007C785D" w:rsidRPr="00EC0229" w:rsidRDefault="007C785D" w:rsidP="00FF2561">
      <w:pPr>
        <w:pStyle w:val="Heading1"/>
        <w:spacing w:line="360" w:lineRule="auto"/>
        <w:ind w:right="-188"/>
        <w:jc w:val="left"/>
        <w:rPr>
          <w:rFonts w:cs="Times New Roman"/>
        </w:rPr>
      </w:pPr>
      <w:bookmarkStart w:id="172" w:name="Chapter4"/>
      <w:bookmarkStart w:id="173" w:name="Chapter5"/>
      <w:bookmarkStart w:id="174" w:name="_Toc468266767"/>
      <w:bookmarkEnd w:id="172"/>
      <w:bookmarkEnd w:id="173"/>
      <w:r w:rsidRPr="00EC0229">
        <w:rPr>
          <w:rFonts w:cs="Times New Roman"/>
        </w:rPr>
        <w:lastRenderedPageBreak/>
        <w:t>Chapter 5</w:t>
      </w:r>
      <w:r w:rsidR="009E35E5" w:rsidRPr="00EC0229">
        <w:rPr>
          <w:rFonts w:cs="Times New Roman"/>
        </w:rPr>
        <w:t>:</w:t>
      </w:r>
      <w:r w:rsidR="00FF2561">
        <w:rPr>
          <w:rFonts w:cs="Times New Roman"/>
        </w:rPr>
        <w:t xml:space="preserve"> </w:t>
      </w:r>
      <w:r w:rsidR="00FF2561">
        <w:t>Historical Framework for Northumbrian Monetization</w:t>
      </w:r>
      <w:bookmarkEnd w:id="174"/>
      <w:r w:rsidR="00FF2561">
        <w:t xml:space="preserve"> </w:t>
      </w:r>
    </w:p>
    <w:p w14:paraId="50E95522" w14:textId="7B7E232C" w:rsidR="007C785D" w:rsidRPr="00EC0229" w:rsidRDefault="00351AB2" w:rsidP="007600EA">
      <w:pPr>
        <w:pStyle w:val="NoSpacing"/>
        <w:spacing w:line="360" w:lineRule="auto"/>
        <w:jc w:val="right"/>
        <w:rPr>
          <w:rFonts w:cs="Times New Roman"/>
          <w:sz w:val="20"/>
          <w:szCs w:val="20"/>
        </w:rPr>
      </w:pPr>
      <w:r w:rsidRPr="00EC0229">
        <w:rPr>
          <w:rFonts w:cs="Times New Roman"/>
          <w:sz w:val="20"/>
          <w:szCs w:val="20"/>
        </w:rPr>
        <w:t xml:space="preserve"> </w:t>
      </w:r>
      <w:r w:rsidR="007C785D" w:rsidRPr="00EC0229">
        <w:rPr>
          <w:rFonts w:cs="Times New Roman"/>
          <w:sz w:val="20"/>
          <w:szCs w:val="20"/>
        </w:rPr>
        <w:t>‘Coinage</w:t>
      </w:r>
      <w:r w:rsidR="00584C42" w:rsidRPr="00EC0229">
        <w:rPr>
          <w:rFonts w:cs="Times New Roman"/>
          <w:sz w:val="20"/>
          <w:szCs w:val="20"/>
        </w:rPr>
        <w:fldChar w:fldCharType="begin"/>
      </w:r>
      <w:r w:rsidR="00584C42" w:rsidRPr="00EC0229">
        <w:instrText xml:space="preserve"> XE "</w:instrText>
      </w:r>
      <w:r w:rsidR="00584C42" w:rsidRPr="00EC0229">
        <w:rPr>
          <w:rFonts w:cs="Times New Roman"/>
          <w:b/>
          <w:color w:val="000000" w:themeColor="text1"/>
          <w:sz w:val="56"/>
          <w:szCs w:val="56"/>
        </w:rPr>
        <w:instrText>Coinage</w:instrText>
      </w:r>
      <w:r w:rsidR="00584C42" w:rsidRPr="00EC0229">
        <w:instrText xml:space="preserve">" </w:instrText>
      </w:r>
      <w:r w:rsidR="00584C42" w:rsidRPr="00EC0229">
        <w:rPr>
          <w:rFonts w:cs="Times New Roman"/>
          <w:sz w:val="20"/>
          <w:szCs w:val="20"/>
        </w:rPr>
        <w:fldChar w:fldCharType="end"/>
      </w:r>
      <w:r w:rsidR="007C785D" w:rsidRPr="00EC0229">
        <w:rPr>
          <w:rFonts w:cs="Times New Roman"/>
          <w:sz w:val="20"/>
          <w:szCs w:val="20"/>
        </w:rPr>
        <w:t xml:space="preserve"> was not one of the three vital innovations in the evolution of money</w:t>
      </w:r>
      <w:r w:rsidR="008960AE" w:rsidRPr="00EC0229">
        <w:rPr>
          <w:rFonts w:cs="Times New Roman"/>
          <w:sz w:val="20"/>
          <w:szCs w:val="20"/>
        </w:rPr>
        <w:fldChar w:fldCharType="begin"/>
      </w:r>
      <w:r w:rsidR="008960AE" w:rsidRPr="00EC0229">
        <w:instrText xml:space="preserve"> XE "money" </w:instrText>
      </w:r>
      <w:r w:rsidR="008960AE" w:rsidRPr="00EC0229">
        <w:rPr>
          <w:rFonts w:cs="Times New Roman"/>
          <w:sz w:val="20"/>
          <w:szCs w:val="20"/>
        </w:rPr>
        <w:fldChar w:fldCharType="end"/>
      </w:r>
      <w:r w:rsidR="007C785D" w:rsidRPr="00EC0229">
        <w:rPr>
          <w:rFonts w:cs="Times New Roman"/>
          <w:sz w:val="20"/>
          <w:szCs w:val="20"/>
        </w:rPr>
        <w:t xml:space="preserve">’, </w:t>
      </w:r>
    </w:p>
    <w:p w14:paraId="2273D7C3" w14:textId="3D6B5556" w:rsidR="007C785D" w:rsidRPr="00EC0229" w:rsidRDefault="007C785D" w:rsidP="007600EA">
      <w:pPr>
        <w:pStyle w:val="NoSpacing"/>
        <w:spacing w:line="360" w:lineRule="auto"/>
        <w:jc w:val="right"/>
        <w:rPr>
          <w:rFonts w:cs="Times New Roman"/>
          <w:sz w:val="20"/>
          <w:szCs w:val="20"/>
        </w:rPr>
      </w:pPr>
      <w:r w:rsidRPr="00EC0229">
        <w:rPr>
          <w:rFonts w:cs="Times New Roman"/>
          <w:sz w:val="20"/>
          <w:szCs w:val="20"/>
        </w:rPr>
        <w:t>John Mayna</w:t>
      </w:r>
      <w:r w:rsidR="002D0743" w:rsidRPr="00EC0229">
        <w:rPr>
          <w:rFonts w:cs="Times New Roman"/>
          <w:sz w:val="20"/>
          <w:szCs w:val="20"/>
        </w:rPr>
        <w:t>rd Keynes, A Treatise on Money (</w:t>
      </w:r>
      <w:r w:rsidRPr="00EC0229">
        <w:rPr>
          <w:rFonts w:cs="Times New Roman"/>
          <w:sz w:val="20"/>
          <w:szCs w:val="20"/>
        </w:rPr>
        <w:t>1930</w:t>
      </w:r>
      <w:r w:rsidR="00591CD1" w:rsidRPr="00EC0229">
        <w:rPr>
          <w:rFonts w:cs="Times New Roman"/>
          <w:sz w:val="20"/>
          <w:szCs w:val="20"/>
        </w:rPr>
        <w:t>,</w:t>
      </w:r>
      <w:r w:rsidRPr="00EC0229">
        <w:rPr>
          <w:rFonts w:cs="Times New Roman"/>
          <w:sz w:val="20"/>
          <w:szCs w:val="20"/>
        </w:rPr>
        <w:t xml:space="preserve"> 10</w:t>
      </w:r>
      <w:r w:rsidR="002D0743" w:rsidRPr="00EC0229">
        <w:rPr>
          <w:rFonts w:cs="Times New Roman"/>
          <w:sz w:val="20"/>
          <w:szCs w:val="20"/>
        </w:rPr>
        <w:t>)</w:t>
      </w:r>
      <w:r w:rsidRPr="00EC0229">
        <w:rPr>
          <w:rStyle w:val="FootnoteReference"/>
          <w:rFonts w:cs="Times New Roman"/>
          <w:sz w:val="20"/>
          <w:szCs w:val="20"/>
        </w:rPr>
        <w:footnoteReference w:id="386"/>
      </w:r>
    </w:p>
    <w:p w14:paraId="5D9706E1" w14:textId="7E001E14" w:rsidR="00681BAE" w:rsidRPr="00EC0229" w:rsidRDefault="00FF2561" w:rsidP="007600EA">
      <w:pPr>
        <w:pStyle w:val="NoSpacing"/>
        <w:spacing w:line="360" w:lineRule="auto"/>
        <w:rPr>
          <w:rFonts w:cs="Times New Roman"/>
        </w:rPr>
      </w:pPr>
      <w:r>
        <w:rPr>
          <w:rFonts w:cs="Times New Roman"/>
        </w:rPr>
        <w:t>Having developed a theoretical approach to monetiz</w:t>
      </w:r>
      <w:r w:rsidRPr="00067FAA">
        <w:rPr>
          <w:rFonts w:cs="Times New Roman"/>
        </w:rPr>
        <w:t>ation</w:t>
      </w:r>
      <w:r>
        <w:rPr>
          <w:rFonts w:cs="Times New Roman"/>
        </w:rPr>
        <w:t xml:space="preserve"> in Northumbria</w:t>
      </w:r>
      <w:r>
        <w:rPr>
          <w:rFonts w:cs="Times New Roman"/>
        </w:rP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rPr>
          <w:rFonts w:cs="Times New Roman"/>
        </w:rPr>
        <w:fldChar w:fldCharType="end"/>
      </w:r>
      <w:r>
        <w:rPr>
          <w:rFonts w:cs="Times New Roman"/>
        </w:rPr>
        <w:t xml:space="preserve">, and reviewed the situation in neighbouring polities, this chapter </w:t>
      </w:r>
      <w:r w:rsidR="008A4155" w:rsidRPr="00EC0229">
        <w:rPr>
          <w:rFonts w:cs="Times New Roman"/>
        </w:rPr>
        <w:t>revises the</w:t>
      </w:r>
      <w:r w:rsidR="00681BAE" w:rsidRPr="00EC0229">
        <w:rPr>
          <w:rFonts w:cs="Times New Roman"/>
        </w:rPr>
        <w:t xml:space="preserve"> </w:t>
      </w:r>
      <w:r w:rsidR="006C328D" w:rsidRPr="00EC0229">
        <w:rPr>
          <w:rFonts w:cs="Times New Roman"/>
        </w:rPr>
        <w:t>periodiz</w:t>
      </w:r>
      <w:r w:rsidR="00681BAE" w:rsidRPr="00EC0229">
        <w:rPr>
          <w:rFonts w:cs="Times New Roman"/>
        </w:rPr>
        <w:t xml:space="preserve">ation, </w:t>
      </w:r>
      <w:r w:rsidR="00681BAE" w:rsidRPr="00EC0229">
        <w:t>as previously set out by Naylor,</w:t>
      </w:r>
      <w:r w:rsidR="00681BAE" w:rsidRPr="00EC0229">
        <w:rPr>
          <w:rStyle w:val="FootnoteReference"/>
        </w:rPr>
        <w:footnoteReference w:id="387"/>
      </w:r>
      <w:r w:rsidR="00681BAE" w:rsidRPr="00EC0229">
        <w:t xml:space="preserve"> </w:t>
      </w:r>
      <w:r w:rsidR="00681BAE" w:rsidRPr="00EC0229">
        <w:rPr>
          <w:rFonts w:cs="Times New Roman"/>
        </w:rPr>
        <w:t>as an aide to illustrating how coinage com</w:t>
      </w:r>
      <w:r>
        <w:rPr>
          <w:rFonts w:cs="Times New Roman"/>
        </w:rPr>
        <w:t xml:space="preserve">plements the historical record for </w:t>
      </w:r>
      <w:r w:rsidR="00681BAE" w:rsidRPr="00EC0229">
        <w:rPr>
          <w:rFonts w:cs="Times New Roman"/>
        </w:rPr>
        <w:t xml:space="preserve">Northumbria, adding both texture and colour. </w:t>
      </w:r>
      <w:bookmarkStart w:id="175" w:name="Coinage"/>
      <w:r w:rsidR="00681BAE" w:rsidRPr="00EC0229">
        <w:rPr>
          <w:rFonts w:cs="Times New Roman"/>
        </w:rPr>
        <w:t>Coinage</w:t>
      </w:r>
      <w:bookmarkEnd w:id="175"/>
      <w:r w:rsidR="00681BAE" w:rsidRPr="00EC0229">
        <w:rPr>
          <w:rFonts w:cs="Times New Roman"/>
        </w:rPr>
        <w:fldChar w:fldCharType="begin"/>
      </w:r>
      <w:r w:rsidR="00681BAE" w:rsidRPr="00EC0229">
        <w:instrText xml:space="preserve"> XE "</w:instrText>
      </w:r>
      <w:r w:rsidR="00681BAE" w:rsidRPr="00EC0229">
        <w:rPr>
          <w:rFonts w:cs="Times New Roman"/>
          <w:b/>
          <w:color w:val="000000" w:themeColor="text1"/>
          <w:sz w:val="56"/>
          <w:szCs w:val="56"/>
        </w:rPr>
        <w:instrText>Coinage</w:instrText>
      </w:r>
      <w:r w:rsidR="00681BAE" w:rsidRPr="00EC0229">
        <w:instrText xml:space="preserve">" </w:instrText>
      </w:r>
      <w:r w:rsidR="00681BAE" w:rsidRPr="00EC0229">
        <w:rPr>
          <w:rFonts w:cs="Times New Roman"/>
        </w:rPr>
        <w:fldChar w:fldCharType="end"/>
      </w:r>
      <w:r w:rsidR="00681BAE" w:rsidRPr="00EC0229">
        <w:rPr>
          <w:rFonts w:cs="Times New Roman"/>
        </w:rPr>
        <w:t xml:space="preserve"> is a versatile medium which operates well beyond the purely functional sphere, it constitutes an historical document, has decorative and sacral dimensions, is a major channel of political and religious propaganda and is rich in metaphor. However, in this study, it is coinage as a component of material culture which is the major concern. </w:t>
      </w:r>
    </w:p>
    <w:p w14:paraId="05EFD4C9" w14:textId="77777777" w:rsidR="00681BAE" w:rsidRPr="00EC0229" w:rsidRDefault="00681BAE" w:rsidP="007600EA">
      <w:pPr>
        <w:pStyle w:val="NoSpacing"/>
        <w:spacing w:line="360" w:lineRule="auto"/>
        <w:rPr>
          <w:rFonts w:cs="Times New Roman"/>
        </w:rPr>
      </w:pPr>
    </w:p>
    <w:p w14:paraId="398C83E9" w14:textId="380C329E" w:rsidR="00F900D7" w:rsidRPr="00EC0229" w:rsidRDefault="00DD7B4D" w:rsidP="007600EA">
      <w:pPr>
        <w:pStyle w:val="NoSpacing"/>
        <w:spacing w:line="360" w:lineRule="auto"/>
      </w:pPr>
      <w:r w:rsidRPr="00EC0229">
        <w:t xml:space="preserve">This chapter starts with a </w:t>
      </w:r>
      <w:r w:rsidR="006C328D" w:rsidRPr="00EC0229">
        <w:t>periodiz</w:t>
      </w:r>
      <w:r w:rsidR="00AD3DD1" w:rsidRPr="00EC0229">
        <w:t>ation for Northumbria</w:t>
      </w:r>
      <w:r w:rsidR="002D0D11" w:rsidRPr="00EC0229">
        <w:t>n coinage</w:t>
      </w:r>
      <w:r w:rsidR="00AD3DD1" w:rsidRPr="00EC0229">
        <w:t xml:space="preserve">, based on </w:t>
      </w:r>
      <w:r w:rsidR="001F3A7F" w:rsidRPr="00EC0229">
        <w:t xml:space="preserve">the </w:t>
      </w:r>
      <w:r w:rsidR="00522ED6" w:rsidRPr="00EC0229">
        <w:t>historic</w:t>
      </w:r>
      <w:r w:rsidR="00FF2561">
        <w:t>al framework</w:t>
      </w:r>
      <w:r w:rsidR="001F3A7F" w:rsidRPr="00EC0229">
        <w:t xml:space="preserve">, </w:t>
      </w:r>
      <w:r w:rsidR="005314D5" w:rsidRPr="00EC0229">
        <w:t>with a focus on</w:t>
      </w:r>
      <w:r w:rsidR="00AD3DD1" w:rsidRPr="00EC0229">
        <w:t xml:space="preserve"> the</w:t>
      </w:r>
      <w:r w:rsidR="00522ED6" w:rsidRPr="00EC0229">
        <w:t xml:space="preserve"> alternating</w:t>
      </w:r>
      <w:r w:rsidR="00681BAE" w:rsidRPr="00EC0229">
        <w:t xml:space="preserve"> periods of </w:t>
      </w:r>
      <w:r w:rsidR="002D0D11" w:rsidRPr="00EC0229">
        <w:t xml:space="preserve">mint </w:t>
      </w:r>
      <w:r w:rsidR="00681BAE" w:rsidRPr="00EC0229">
        <w:t>activity and inactivity</w:t>
      </w:r>
      <w:r w:rsidR="00F9607C" w:rsidRPr="00EC0229">
        <w:t xml:space="preserve"> </w:t>
      </w:r>
      <w:r w:rsidR="00681BAE" w:rsidRPr="00EC0229">
        <w:t>(</w:t>
      </w:r>
      <w:r w:rsidR="00DF3824" w:rsidRPr="00EC0229">
        <w:rPr>
          <w:i/>
        </w:rPr>
        <w:t>Table 4.02</w:t>
      </w:r>
      <w:r w:rsidR="001F3A7F" w:rsidRPr="00EC0229">
        <w:t>).</w:t>
      </w:r>
      <w:r w:rsidR="00681BAE" w:rsidRPr="00EC0229">
        <w:rPr>
          <w:rStyle w:val="FootnoteReference"/>
        </w:rPr>
        <w:footnoteReference w:id="388"/>
      </w:r>
      <w:r w:rsidR="001F3A7F" w:rsidRPr="00EC0229">
        <w:t xml:space="preserve"> </w:t>
      </w:r>
      <w:r w:rsidR="00681BAE" w:rsidRPr="00EC0229">
        <w:fldChar w:fldCharType="begin"/>
      </w:r>
      <w:r w:rsidR="00681BAE" w:rsidRPr="00EC0229">
        <w:instrText xml:space="preserve"> XE "</w:instrText>
      </w:r>
      <w:r w:rsidR="00681BAE" w:rsidRPr="00EC0229">
        <w:rPr>
          <w:rFonts w:cs="Times New Roman"/>
          <w:b/>
          <w:color w:val="000000" w:themeColor="text1"/>
          <w:sz w:val="56"/>
          <w:szCs w:val="56"/>
        </w:rPr>
        <w:instrText>Northumbria</w:instrText>
      </w:r>
      <w:r w:rsidR="00681BAE" w:rsidRPr="00EC0229">
        <w:instrText xml:space="preserve">" </w:instrText>
      </w:r>
      <w:r w:rsidR="00681BAE" w:rsidRPr="00EC0229">
        <w:fldChar w:fldCharType="end"/>
      </w:r>
      <w:r w:rsidR="00681BAE" w:rsidRPr="00EC0229">
        <w:t xml:space="preserve"> </w:t>
      </w:r>
      <w:r w:rsidR="00522ED6" w:rsidRPr="00EC0229">
        <w:t>Production is addressed a</w:t>
      </w:r>
      <w:r w:rsidR="00293F71" w:rsidRPr="00EC0229">
        <w:t>t a denominational le</w:t>
      </w:r>
      <w:r w:rsidR="00522ED6" w:rsidRPr="00EC0229">
        <w:t>vel,</w:t>
      </w:r>
      <w:r w:rsidR="00293F71" w:rsidRPr="00EC0229">
        <w:t xml:space="preserve"> for gold (</w:t>
      </w:r>
      <w:r w:rsidR="00293F71" w:rsidRPr="00EC0229">
        <w:fldChar w:fldCharType="begin"/>
      </w:r>
      <w:r w:rsidR="00293F71" w:rsidRPr="00EC0229">
        <w:instrText xml:space="preserve"> PAGEREF Periods13 \h </w:instrText>
      </w:r>
      <w:r w:rsidR="00293F71" w:rsidRPr="00EC0229">
        <w:fldChar w:fldCharType="separate"/>
      </w:r>
      <w:r w:rsidR="0012026B">
        <w:rPr>
          <w:noProof/>
        </w:rPr>
        <w:t>85</w:t>
      </w:r>
      <w:r w:rsidR="00293F71" w:rsidRPr="00EC0229">
        <w:fldChar w:fldCharType="end"/>
      </w:r>
      <w:r w:rsidR="00293F71" w:rsidRPr="00EC0229">
        <w:t>)</w:t>
      </w:r>
      <w:r w:rsidR="00293F71" w:rsidRPr="00EC0229">
        <w:fldChar w:fldCharType="begin"/>
      </w:r>
      <w:r w:rsidR="00293F71" w:rsidRPr="00EC0229">
        <w:instrText xml:space="preserve"> XE "</w:instrText>
      </w:r>
      <w:r w:rsidR="00293F71" w:rsidRPr="00EC0229">
        <w:rPr>
          <w:rFonts w:eastAsia="Times New Roman" w:cs="Times New Roman"/>
          <w:szCs w:val="24"/>
          <w:lang w:eastAsia="en-GB"/>
        </w:rPr>
        <w:instrText>gold</w:instrText>
      </w:r>
      <w:r w:rsidR="00293F71" w:rsidRPr="00EC0229">
        <w:instrText xml:space="preserve">" </w:instrText>
      </w:r>
      <w:r w:rsidR="00293F71" w:rsidRPr="00EC0229">
        <w:fldChar w:fldCharType="end"/>
      </w:r>
      <w:r w:rsidR="00293F71" w:rsidRPr="00EC0229">
        <w:t>, silver (</w:t>
      </w:r>
      <w:r w:rsidR="00293F71" w:rsidRPr="00EC0229">
        <w:fldChar w:fldCharType="begin"/>
      </w:r>
      <w:r w:rsidR="00293F71" w:rsidRPr="00EC0229">
        <w:instrText xml:space="preserve"> PAGEREF Periods48 \h </w:instrText>
      </w:r>
      <w:r w:rsidR="00293F71" w:rsidRPr="00EC0229">
        <w:fldChar w:fldCharType="separate"/>
      </w:r>
      <w:r w:rsidR="0012026B">
        <w:rPr>
          <w:noProof/>
        </w:rPr>
        <w:t>102</w:t>
      </w:r>
      <w:r w:rsidR="00293F71" w:rsidRPr="00EC0229">
        <w:fldChar w:fldCharType="end"/>
      </w:r>
      <w:r w:rsidR="00293F71" w:rsidRPr="00EC0229">
        <w:t>) and base (</w:t>
      </w:r>
      <w:r w:rsidR="00293F71" w:rsidRPr="00EC0229">
        <w:fldChar w:fldCharType="begin"/>
      </w:r>
      <w:r w:rsidR="00293F71" w:rsidRPr="00EC0229">
        <w:instrText xml:space="preserve"> PAGEREF PeriodsN910 \h </w:instrText>
      </w:r>
      <w:r w:rsidR="00293F71" w:rsidRPr="00EC0229">
        <w:fldChar w:fldCharType="separate"/>
      </w:r>
      <w:r w:rsidR="0012026B">
        <w:rPr>
          <w:noProof/>
        </w:rPr>
        <w:t>132</w:t>
      </w:r>
      <w:r w:rsidR="00293F71" w:rsidRPr="00EC0229">
        <w:fldChar w:fldCharType="end"/>
      </w:r>
      <w:r w:rsidR="00293F71" w:rsidRPr="00EC0229">
        <w:t>) coinages separately</w:t>
      </w:r>
      <w:r w:rsidR="00FA749B">
        <w:t xml:space="preserve"> showing how a coin of fixed module depreciated over time from noble to base metal in inverse relation to its utility. How the periodization established below is integral to the quantitative and qualitative methodologies is discussed in the introduction to Part Two.</w:t>
      </w:r>
    </w:p>
    <w:p w14:paraId="57B780D3" w14:textId="77777777" w:rsidR="00F900D7" w:rsidRPr="00EC0229" w:rsidRDefault="00F900D7" w:rsidP="007600EA">
      <w:pPr>
        <w:pStyle w:val="NoSpacing"/>
        <w:spacing w:line="360" w:lineRule="auto"/>
      </w:pPr>
    </w:p>
    <w:p w14:paraId="3DE042E0" w14:textId="31CE7AC2" w:rsidR="00681BAE" w:rsidRPr="00EC0229" w:rsidRDefault="00681BAE" w:rsidP="007600EA">
      <w:pPr>
        <w:pStyle w:val="NoSpacing"/>
        <w:spacing w:line="360" w:lineRule="auto"/>
      </w:pPr>
      <w:r w:rsidRPr="00EC0229">
        <w:t>In Part Two (</w:t>
      </w:r>
      <w:r w:rsidRPr="00EC0229">
        <w:fldChar w:fldCharType="begin"/>
      </w:r>
      <w:r w:rsidRPr="00EC0229">
        <w:instrText xml:space="preserve"> PAGEREF PARTTWO \h </w:instrText>
      </w:r>
      <w:r w:rsidRPr="00EC0229">
        <w:fldChar w:fldCharType="separate"/>
      </w:r>
      <w:r w:rsidR="0012026B">
        <w:rPr>
          <w:noProof/>
        </w:rPr>
        <w:t>146</w:t>
      </w:r>
      <w:r w:rsidRPr="00EC0229">
        <w:fldChar w:fldCharType="end"/>
      </w:r>
      <w:r w:rsidRPr="00EC0229">
        <w:t xml:space="preserve">), an analytical resource, the </w:t>
      </w:r>
      <w:r w:rsidR="00D65946" w:rsidRPr="00EC0229">
        <w:t>d</w:t>
      </w:r>
      <w:r w:rsidR="005D0690" w:rsidRPr="00EC0229">
        <w:t>atabase</w:t>
      </w:r>
      <w:r w:rsidRPr="00EC0229">
        <w:fldChar w:fldCharType="begin"/>
      </w:r>
      <w:r w:rsidRPr="00EC0229">
        <w:instrText xml:space="preserve"> XE "</w:instrText>
      </w:r>
      <w:r w:rsidRPr="00EC0229">
        <w:rPr>
          <w:rStyle w:val="Hyperlink"/>
          <w:noProof/>
          <w:u w:val="none"/>
        </w:rPr>
        <w:instrText>Database</w:instrText>
      </w:r>
      <w:r w:rsidRPr="00EC0229">
        <w:instrText xml:space="preserve">" </w:instrText>
      </w:r>
      <w:r w:rsidRPr="00EC0229">
        <w:fldChar w:fldCharType="end"/>
      </w:r>
      <w:r w:rsidRPr="00EC0229">
        <w:t xml:space="preserve">, is developed, which enables the periodic table to be populated by location,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w:t>
      </w:r>
      <w:r w:rsidR="007D27F9" w:rsidRPr="00EC0229">
        <w:rPr>
          <w:i/>
        </w:rPr>
        <w:t>5.01</w:t>
      </w:r>
      <w:r w:rsidRPr="00EC0229">
        <w:t>, giving an insight to coin use.</w:t>
      </w:r>
      <w:r w:rsidR="00DF3824" w:rsidRPr="00EC0229">
        <w:t xml:space="preserve"> Abstracted from this are </w:t>
      </w:r>
      <w:r w:rsidR="00FF2561">
        <w:rPr>
          <w:i/>
        </w:rPr>
        <w:t>Table</w:t>
      </w:r>
      <w:r w:rsidR="00DF3824" w:rsidRPr="00EC0229">
        <w:rPr>
          <w:i/>
        </w:rPr>
        <w:t xml:space="preserve"> 5.02 </w:t>
      </w:r>
      <w:r w:rsidR="00DF3824" w:rsidRPr="00EC0229">
        <w:t xml:space="preserve">summarising correlations to </w:t>
      </w:r>
      <w:r w:rsidR="00FF2561">
        <w:t xml:space="preserve">the </w:t>
      </w:r>
      <w:r w:rsidR="00DF3824" w:rsidRPr="00EC0229">
        <w:t xml:space="preserve">normal distribution and </w:t>
      </w:r>
      <w:r w:rsidR="00FF2561" w:rsidRPr="00FF2561">
        <w:rPr>
          <w:i/>
        </w:rPr>
        <w:t>Table</w:t>
      </w:r>
      <w:r w:rsidR="00FF2561">
        <w:t xml:space="preserve"> </w:t>
      </w:r>
      <w:r w:rsidR="00FF2561" w:rsidRPr="00EC0229">
        <w:rPr>
          <w:i/>
        </w:rPr>
        <w:t>5.03</w:t>
      </w:r>
      <w:r w:rsidR="00FF2561" w:rsidRPr="00EC0229">
        <w:t xml:space="preserve">, </w:t>
      </w:r>
      <w:r w:rsidR="00FF2561">
        <w:t xml:space="preserve">providing a </w:t>
      </w:r>
      <w:r w:rsidR="00DF3824" w:rsidRPr="00EC0229">
        <w:t>chronological analysis</w:t>
      </w:r>
      <w:r w:rsidR="00FF2561">
        <w:t xml:space="preserve"> by region.</w:t>
      </w:r>
    </w:p>
    <w:p w14:paraId="43CD5774" w14:textId="77777777" w:rsidR="0009742B" w:rsidRPr="00EC0229" w:rsidRDefault="0009742B" w:rsidP="007600EA">
      <w:pPr>
        <w:pStyle w:val="NoSpacing"/>
        <w:spacing w:line="360" w:lineRule="auto"/>
      </w:pPr>
      <w:bookmarkStart w:id="176" w:name="EconomicBackground"/>
      <w:bookmarkStart w:id="177" w:name="LandUse"/>
      <w:bookmarkEnd w:id="176"/>
      <w:bookmarkEnd w:id="177"/>
    </w:p>
    <w:p w14:paraId="03E73269" w14:textId="2A70B075" w:rsidR="004003BA" w:rsidRPr="00EC0229" w:rsidRDefault="005F38D6" w:rsidP="00A92DF0">
      <w:pPr>
        <w:pStyle w:val="Heading2"/>
        <w:rPr>
          <w:rStyle w:val="Heading3Char"/>
          <w:b/>
        </w:rPr>
      </w:pPr>
      <w:bookmarkStart w:id="178" w:name="_Toc468266768"/>
      <w:r>
        <w:t>5.1</w:t>
      </w:r>
      <w:r>
        <w:tab/>
      </w:r>
      <w:r w:rsidR="006C328D" w:rsidRPr="00EC0229">
        <w:t>Periodiz</w:t>
      </w:r>
      <w:r w:rsidR="0009742B" w:rsidRPr="00EC0229">
        <w:t>ation</w:t>
      </w:r>
      <w:bookmarkEnd w:id="178"/>
    </w:p>
    <w:p w14:paraId="115BBC42" w14:textId="412A46DA" w:rsidR="00B61936" w:rsidRPr="00B61936" w:rsidRDefault="00F46707" w:rsidP="005A1822">
      <w:pPr>
        <w:spacing w:line="360" w:lineRule="auto"/>
      </w:pPr>
      <w:r>
        <w:t>The arrangement proposed here builds on p</w:t>
      </w:r>
      <w:r w:rsidR="00F83557">
        <w:t>revious work by Sutherland (1948)</w:t>
      </w:r>
      <w:r>
        <w:t>,</w:t>
      </w:r>
      <w:r w:rsidR="00F83557">
        <w:t xml:space="preserve"> Metcalf (1993-4), </w:t>
      </w:r>
      <w:r>
        <w:t>Abdy and Williams (2006) and Blackburn (2007), who have defined</w:t>
      </w:r>
      <w:r w:rsidR="00F83557">
        <w:t xml:space="preserve"> the phases of the gold coinage; </w:t>
      </w:r>
      <w:r w:rsidR="00F83557" w:rsidRPr="00EC0229">
        <w:rPr>
          <w:rFonts w:cs="Times New Roman"/>
        </w:rPr>
        <w:t>Naylor and Allen (2014)</w:t>
      </w:r>
      <w:r w:rsidR="00F83557">
        <w:rPr>
          <w:rFonts w:cs="Times New Roman"/>
        </w:rPr>
        <w:t xml:space="preserve"> are the most recent to focus on the York gold shilling.</w:t>
      </w:r>
      <w:r w:rsidR="00F83557" w:rsidRPr="00EC0229">
        <w:rPr>
          <w:rFonts w:cs="Times New Roman"/>
        </w:rPr>
        <w:t xml:space="preserve"> </w:t>
      </w:r>
      <w:r w:rsidR="00F83557">
        <w:t xml:space="preserve"> Rigold (1977), Booth (1984) and Metcalf (1993-4) have contributed to classification of the northern </w:t>
      </w:r>
      <w:r>
        <w:lastRenderedPageBreak/>
        <w:t xml:space="preserve">sceat. </w:t>
      </w:r>
      <w:r w:rsidR="00F83557">
        <w:t xml:space="preserve">Lyon (1957) and Pirie have led studies of the Northumbrian styca. </w:t>
      </w:r>
      <w:r>
        <w:t>Other contributors to the field are mentioned in chapter 2.2.</w:t>
      </w:r>
    </w:p>
    <w:p w14:paraId="53C7F9F0" w14:textId="7972DA2A" w:rsidR="00351AB2" w:rsidRPr="00EC0229" w:rsidRDefault="00351AB2" w:rsidP="00F46707">
      <w:pPr>
        <w:pStyle w:val="NoSpacing"/>
      </w:pPr>
    </w:p>
    <w:p w14:paraId="0FED815D" w14:textId="42BF6448" w:rsidR="00402CC5" w:rsidRPr="00EC0229" w:rsidRDefault="00402CC5" w:rsidP="007600EA">
      <w:pPr>
        <w:pStyle w:val="NoSpacing"/>
        <w:spacing w:line="360" w:lineRule="auto"/>
        <w:rPr>
          <w:rFonts w:cs="Times New Roman"/>
          <w:sz w:val="20"/>
          <w:szCs w:val="20"/>
        </w:rPr>
      </w:pPr>
      <w:r w:rsidRPr="00EC0229">
        <w:rPr>
          <w:rFonts w:cs="Times New Roman"/>
        </w:rPr>
        <w:t>Reece defined and assessed the main phases of Romano-British coinage.</w:t>
      </w:r>
      <w:r w:rsidRPr="00EC0229">
        <w:rPr>
          <w:rStyle w:val="FootnoteReference"/>
          <w:rFonts w:cs="Times New Roman"/>
        </w:rPr>
        <w:footnoteReference w:id="389"/>
      </w:r>
      <w:r w:rsidRPr="00EC0229">
        <w:rPr>
          <w:rFonts w:cs="Times New Roman"/>
        </w:rPr>
        <w:t xml:space="preserve"> He argued that, at the end of the occupation, there was no point in locals copying to supplement the copper coin supply as there was no state authority to guarantee its exchange for precious metal – the copper coin was a token</w:t>
      </w:r>
      <w:r w:rsidRPr="00EC0229">
        <w:rPr>
          <w:rFonts w:cs="Times New Roman"/>
        </w:rPr>
        <w:fldChar w:fldCharType="begin"/>
      </w:r>
      <w:r w:rsidRPr="00EC0229">
        <w:instrText xml:space="preserve"> XE "</w:instrText>
      </w:r>
      <w:r w:rsidRPr="00EC0229">
        <w:rPr>
          <w:rFonts w:cs="Times New Roman"/>
          <w:szCs w:val="24"/>
        </w:rPr>
        <w:instrText>token</w:instrText>
      </w:r>
      <w:r w:rsidRPr="00EC0229">
        <w:instrText xml:space="preserve">" </w:instrText>
      </w:r>
      <w:r w:rsidRPr="00EC0229">
        <w:rPr>
          <w:rFonts w:cs="Times New Roman"/>
        </w:rPr>
        <w:fldChar w:fldCharType="end"/>
      </w:r>
      <w:r w:rsidRPr="00EC0229">
        <w:rPr>
          <w:rFonts w:cs="Times New Roman"/>
        </w:rPr>
        <w:t xml:space="preserve"> currency based on confidence not intrinsic value.</w:t>
      </w:r>
      <w:r w:rsidRPr="00EC0229">
        <w:rPr>
          <w:rStyle w:val="FootnoteReference"/>
          <w:rFonts w:cs="Times New Roman"/>
        </w:rPr>
        <w:footnoteReference w:id="390"/>
      </w:r>
      <w:r w:rsidRPr="00EC0229">
        <w:rPr>
          <w:rFonts w:cs="Times New Roman"/>
        </w:rPr>
        <w:t xml:space="preserve"> This i</w:t>
      </w:r>
      <w:r w:rsidR="00F65FEB" w:rsidRPr="00EC0229">
        <w:rPr>
          <w:rFonts w:cs="Times New Roman"/>
        </w:rPr>
        <w:t xml:space="preserve">s not a watertight argument as </w:t>
      </w:r>
      <w:r w:rsidRPr="00EC0229">
        <w:rPr>
          <w:rFonts w:cs="Times New Roman"/>
        </w:rPr>
        <w:t>small denominational coins</w:t>
      </w:r>
      <w:r w:rsidR="00F65FEB" w:rsidRPr="00EC0229">
        <w:rPr>
          <w:rFonts w:cs="Times New Roman"/>
        </w:rPr>
        <w:t>,</w:t>
      </w:r>
      <w:r w:rsidRPr="00EC0229">
        <w:rPr>
          <w:rFonts w:cs="Times New Roman"/>
        </w:rPr>
        <w:t xml:space="preserve"> </w:t>
      </w:r>
      <w:r w:rsidR="00F65FEB" w:rsidRPr="00EC0229">
        <w:rPr>
          <w:rFonts w:cs="Times New Roman"/>
        </w:rPr>
        <w:t>such as Roman siliqua</w:t>
      </w:r>
      <w:r w:rsidR="00476D91" w:rsidRPr="00EC0229">
        <w:rPr>
          <w:rFonts w:cs="Times New Roman"/>
        </w:rPr>
        <w:t xml:space="preserve"> (</w:t>
      </w:r>
      <w:r w:rsidR="00106F33" w:rsidRPr="00EC0229">
        <w:rPr>
          <w:rFonts w:cs="Times New Roman"/>
        </w:rPr>
        <w:fldChar w:fldCharType="begin"/>
      </w:r>
      <w:r w:rsidR="00106F33" w:rsidRPr="00EC0229">
        <w:rPr>
          <w:rFonts w:cs="Times New Roman"/>
        </w:rPr>
        <w:instrText xml:space="preserve"> PAGEREF siliqua \h </w:instrText>
      </w:r>
      <w:r w:rsidR="00106F33" w:rsidRPr="00EC0229">
        <w:rPr>
          <w:rFonts w:cs="Times New Roman"/>
        </w:rPr>
      </w:r>
      <w:r w:rsidR="00106F33" w:rsidRPr="00EC0229">
        <w:rPr>
          <w:rFonts w:cs="Times New Roman"/>
        </w:rPr>
        <w:fldChar w:fldCharType="separate"/>
      </w:r>
      <w:r w:rsidR="0012026B">
        <w:rPr>
          <w:rFonts w:cs="Times New Roman"/>
          <w:noProof/>
        </w:rPr>
        <w:t>90</w:t>
      </w:r>
      <w:r w:rsidR="00106F33" w:rsidRPr="00EC0229">
        <w:rPr>
          <w:rFonts w:cs="Times New Roman"/>
        </w:rPr>
        <w:fldChar w:fldCharType="end"/>
      </w:r>
      <w:r w:rsidR="00476D91" w:rsidRPr="00EC0229">
        <w:rPr>
          <w:rFonts w:cs="Times New Roman"/>
        </w:rPr>
        <w:t>)</w:t>
      </w:r>
      <w:r w:rsidR="00F65FEB" w:rsidRPr="00EC0229">
        <w:rPr>
          <w:rFonts w:cs="Times New Roman"/>
        </w:rPr>
        <w:t xml:space="preserve">, </w:t>
      </w:r>
      <w:r w:rsidRPr="00EC0229">
        <w:rPr>
          <w:rFonts w:cs="Times New Roman"/>
        </w:rPr>
        <w:t>facilitate</w:t>
      </w:r>
      <w:r w:rsidR="00C02C74" w:rsidRPr="00EC0229">
        <w:rPr>
          <w:rFonts w:cs="Times New Roman"/>
        </w:rPr>
        <w:t>d</w:t>
      </w:r>
      <w:r w:rsidRPr="00EC0229">
        <w:rPr>
          <w:rFonts w:cs="Times New Roman"/>
        </w:rPr>
        <w:t xml:space="preserve"> exchange even in the absence of a governing authority. </w:t>
      </w:r>
    </w:p>
    <w:p w14:paraId="25887D0A" w14:textId="77777777" w:rsidR="00402CC5" w:rsidRPr="00EC0229" w:rsidRDefault="00402CC5" w:rsidP="007600EA">
      <w:pPr>
        <w:pStyle w:val="NoSpacing"/>
        <w:spacing w:line="360" w:lineRule="auto"/>
        <w:rPr>
          <w:rFonts w:cs="Times New Roman"/>
        </w:rPr>
      </w:pPr>
    </w:p>
    <w:p w14:paraId="0031C194" w14:textId="20F993C1" w:rsidR="00402CC5" w:rsidRPr="00EC0229" w:rsidRDefault="00BF6095" w:rsidP="007600EA">
      <w:pPr>
        <w:pStyle w:val="NoSpacing"/>
        <w:spacing w:line="360" w:lineRule="auto"/>
        <w:rPr>
          <w:rFonts w:cs="Times New Roman"/>
        </w:rPr>
      </w:pPr>
      <w:r>
        <w:rPr>
          <w:rFonts w:cs="Times New Roman"/>
        </w:rPr>
        <w:t>To</w:t>
      </w:r>
      <w:r w:rsidR="00402CC5" w:rsidRPr="00EC0229">
        <w:rPr>
          <w:rFonts w:cs="Times New Roman"/>
        </w:rPr>
        <w:t xml:space="preserve"> add definition to the successive phases of Northumbrian coinage and currency,</w:t>
      </w:r>
      <w:r w:rsidR="00402CC5" w:rsidRPr="00EC0229">
        <w:rPr>
          <w:rStyle w:val="FootnoteReference"/>
          <w:rFonts w:cs="Times New Roman"/>
        </w:rPr>
        <w:footnoteReference w:id="391"/>
      </w:r>
      <w:r w:rsidR="00402CC5" w:rsidRPr="00EC0229">
        <w:rPr>
          <w:rFonts w:cs="Times New Roman"/>
        </w:rPr>
        <w:t xml:space="preserve">  Reece’s precedent of introducing ‘easy stages’</w:t>
      </w:r>
      <w:r w:rsidR="00C77754" w:rsidRPr="00EC0229">
        <w:rPr>
          <w:rFonts w:cs="Times New Roman"/>
        </w:rPr>
        <w:t xml:space="preserve"> is followed</w:t>
      </w:r>
      <w:r w:rsidR="00402CC5" w:rsidRPr="00EC0229">
        <w:rPr>
          <w:rFonts w:cs="Times New Roman"/>
        </w:rPr>
        <w:t>.</w:t>
      </w:r>
      <w:r w:rsidR="00FB075B" w:rsidRPr="00EC0229">
        <w:rPr>
          <w:rStyle w:val="FootnoteReference"/>
          <w:rFonts w:cs="Times New Roman"/>
        </w:rPr>
        <w:footnoteReference w:id="392"/>
      </w:r>
      <w:r w:rsidR="00402CC5" w:rsidRPr="00EC0229">
        <w:rPr>
          <w:rFonts w:cs="Times New Roman"/>
        </w:rPr>
        <w:t xml:space="preserve"> The periods selected may be transitional or major phases, and some are sub-divided, though this approach must be used with caution as periods may overlap or, indeed, exhibit discontinuity</w:t>
      </w:r>
      <w:r w:rsidR="00402CC5" w:rsidRPr="00EC0229">
        <w:rPr>
          <w:rFonts w:cs="Times New Roman"/>
        </w:rPr>
        <w:fldChar w:fldCharType="begin"/>
      </w:r>
      <w:r w:rsidR="00402CC5" w:rsidRPr="00EC0229">
        <w:instrText xml:space="preserve"> XE "discontinuity" </w:instrText>
      </w:r>
      <w:r w:rsidR="00402CC5" w:rsidRPr="00EC0229">
        <w:rPr>
          <w:rFonts w:cs="Times New Roman"/>
        </w:rPr>
        <w:fldChar w:fldCharType="end"/>
      </w:r>
      <w:r w:rsidR="00402CC5" w:rsidRPr="00EC0229">
        <w:rPr>
          <w:rFonts w:cs="Times New Roman"/>
        </w:rPr>
        <w:t xml:space="preserve">. Moreover, there is the danger of conflating periods of issue, use and loss, albeit these are only capable of informed approximation. The current state of knowledge better supports </w:t>
      </w:r>
      <w:r w:rsidR="006C328D" w:rsidRPr="00EC0229">
        <w:rPr>
          <w:rFonts w:cs="Times New Roman"/>
        </w:rPr>
        <w:t>periodiz</w:t>
      </w:r>
      <w:r w:rsidR="00402CC5" w:rsidRPr="00EC0229">
        <w:rPr>
          <w:rFonts w:cs="Times New Roman"/>
        </w:rPr>
        <w:t>ation based on date of issue rather tha</w:t>
      </w:r>
      <w:r w:rsidR="00351AB2" w:rsidRPr="00EC0229">
        <w:rPr>
          <w:rFonts w:cs="Times New Roman"/>
        </w:rPr>
        <w:t xml:space="preserve">n period of use. The former is more </w:t>
      </w:r>
      <w:r w:rsidR="00402CC5" w:rsidRPr="00EC0229">
        <w:rPr>
          <w:rFonts w:cs="Times New Roman"/>
        </w:rPr>
        <w:t>certain and the latter more subject to conjecture.</w:t>
      </w:r>
      <w:r w:rsidR="00FD0345" w:rsidRPr="00EC0229">
        <w:rPr>
          <w:rStyle w:val="FootnoteReference"/>
          <w:rFonts w:cs="Times New Roman"/>
        </w:rPr>
        <w:footnoteReference w:id="393"/>
      </w:r>
      <w:r w:rsidR="00402CC5" w:rsidRPr="00EC0229">
        <w:rPr>
          <w:rFonts w:cs="Times New Roman"/>
        </w:rPr>
        <w:t xml:space="preserve"> Moreover, it is local supply of currency which facilitates </w:t>
      </w:r>
      <w:r w:rsidR="003F2041" w:rsidRPr="00EC0229">
        <w:rPr>
          <w:rFonts w:cs="Times New Roman"/>
        </w:rPr>
        <w:t>monetiz</w:t>
      </w:r>
      <w:r w:rsidR="00402CC5" w:rsidRPr="00EC0229">
        <w:rPr>
          <w:rFonts w:cs="Times New Roman"/>
        </w:rPr>
        <w:t>ation</w:t>
      </w:r>
      <w:r w:rsidR="00402CC5" w:rsidRPr="00EC0229">
        <w:rPr>
          <w:rFonts w:cs="Times New Roman"/>
        </w:rPr>
        <w:fldChar w:fldCharType="begin"/>
      </w:r>
      <w:r w:rsidR="00402CC5" w:rsidRPr="00EC0229">
        <w:instrText xml:space="preserve"> XE "monetization" </w:instrText>
      </w:r>
      <w:r w:rsidR="00402CC5" w:rsidRPr="00EC0229">
        <w:rPr>
          <w:rFonts w:cs="Times New Roman"/>
        </w:rPr>
        <w:fldChar w:fldCharType="end"/>
      </w:r>
      <w:r w:rsidR="00402CC5" w:rsidRPr="00EC0229">
        <w:rPr>
          <w:rFonts w:cs="Times New Roman"/>
        </w:rPr>
        <w:t xml:space="preserve"> - demand for coinage in the absence of local supply will draw coinage from elsewhere, but the specie flow is likely to be irregular and unreliable. </w:t>
      </w:r>
      <w:r w:rsidR="00C77754" w:rsidRPr="00EC0229">
        <w:rPr>
          <w:rFonts w:cs="Times New Roman"/>
        </w:rPr>
        <w:t>However,</w:t>
      </w:r>
      <w:r w:rsidR="00402CC5" w:rsidRPr="00EC0229">
        <w:rPr>
          <w:rFonts w:cs="Times New Roman"/>
        </w:rPr>
        <w:t xml:space="preserve"> observations on longevity </w:t>
      </w:r>
      <w:r w:rsidR="00C77754" w:rsidRPr="00EC0229">
        <w:rPr>
          <w:rFonts w:cs="Times New Roman"/>
        </w:rPr>
        <w:t xml:space="preserve">are made </w:t>
      </w:r>
      <w:r w:rsidR="00402CC5" w:rsidRPr="00EC0229">
        <w:rPr>
          <w:rFonts w:cs="Times New Roman"/>
        </w:rPr>
        <w:t>where relevant.</w:t>
      </w:r>
    </w:p>
    <w:p w14:paraId="0FDBEF2F" w14:textId="77777777" w:rsidR="00402CC5" w:rsidRPr="00EC0229" w:rsidRDefault="00402CC5" w:rsidP="007600EA">
      <w:pPr>
        <w:pStyle w:val="NoSpacing"/>
        <w:spacing w:line="360" w:lineRule="auto"/>
        <w:rPr>
          <w:rFonts w:cs="Times New Roman"/>
        </w:rPr>
      </w:pPr>
    </w:p>
    <w:p w14:paraId="03739C32" w14:textId="54B6293C" w:rsidR="00402CC5" w:rsidRPr="009F1447" w:rsidRDefault="009F1447" w:rsidP="009F1447">
      <w:pPr>
        <w:spacing w:line="360" w:lineRule="auto"/>
        <w:rPr>
          <w:color w:val="000000" w:themeColor="text1"/>
        </w:rPr>
      </w:pPr>
      <w:r w:rsidRPr="00EC0229">
        <w:rPr>
          <w:i/>
        </w:rPr>
        <w:fldChar w:fldCharType="begin"/>
      </w:r>
      <w:r w:rsidRPr="00EC0229">
        <w:rPr>
          <w:i/>
        </w:rPr>
        <w:instrText xml:space="preserve"> XE "Northumbria" </w:instrText>
      </w:r>
      <w:r w:rsidRPr="00EC0229">
        <w:rPr>
          <w:i/>
        </w:rPr>
        <w:fldChar w:fldCharType="end"/>
      </w:r>
      <w:r w:rsidRPr="00EC0229">
        <w:rPr>
          <w:i/>
        </w:rPr>
        <w:t xml:space="preserve">Table 5.04  </w:t>
      </w:r>
      <w:r w:rsidRPr="00EC0229">
        <w:t xml:space="preserve"> gives the chronology of the successive phases as the local coinage evolved,</w:t>
      </w:r>
      <w:r w:rsidRPr="00EC0229">
        <w:rPr>
          <w:rStyle w:val="Heading3Char"/>
          <w:rFonts w:eastAsiaTheme="minorHAnsi" w:cstheme="minorBidi"/>
          <w:b w:val="0"/>
          <w:color w:val="000000" w:themeColor="text1"/>
          <w:szCs w:val="22"/>
        </w:rPr>
        <w:t xml:space="preserve"> </w:t>
      </w:r>
      <w:r w:rsidRPr="00EC0229">
        <w:t>briefly describes the current type and shows the comparative situation for Southumbria. This</w:t>
      </w:r>
      <w:r w:rsidRPr="00EC0229">
        <w:rPr>
          <w:rStyle w:val="Heading3Char"/>
          <w:rFonts w:eastAsiaTheme="minorHAnsi" w:cstheme="minorBidi"/>
          <w:b w:val="0"/>
          <w:color w:val="000000" w:themeColor="text1"/>
          <w:szCs w:val="22"/>
        </w:rPr>
        <w:t xml:space="preserve"> </w:t>
      </w:r>
      <w:r w:rsidRPr="00EC0229">
        <w:t xml:space="preserve">progression is explained in full </w:t>
      </w:r>
      <w:proofErr w:type="spellStart"/>
      <w:r w:rsidRPr="00EC0229">
        <w:t>below.</w:t>
      </w:r>
      <w:r w:rsidR="00351AB2" w:rsidRPr="00EC0229">
        <w:rPr>
          <w:rFonts w:cs="Times New Roman"/>
        </w:rPr>
        <w:t>T</w:t>
      </w:r>
      <w:r w:rsidR="00402CC5" w:rsidRPr="00EC0229">
        <w:rPr>
          <w:rFonts w:cs="Times New Roman"/>
        </w:rPr>
        <w:t>he</w:t>
      </w:r>
      <w:proofErr w:type="spellEnd"/>
      <w:r w:rsidR="00402CC5" w:rsidRPr="00EC0229">
        <w:rPr>
          <w:rFonts w:cs="Times New Roman"/>
        </w:rPr>
        <w:t xml:space="preserve"> coinages current north and south of the Humber are similar to the end of the primary phase, allowing for Aldfrith</w:t>
      </w:r>
      <w:r w:rsidR="00402CC5" w:rsidRPr="00EC0229">
        <w:rPr>
          <w:rFonts w:cs="Times New Roman"/>
        </w:rPr>
        <w:fldChar w:fldCharType="begin"/>
      </w:r>
      <w:r w:rsidR="00402CC5" w:rsidRPr="00EC0229">
        <w:instrText xml:space="preserve"> XE "Aldfrith" </w:instrText>
      </w:r>
      <w:r w:rsidR="00402CC5" w:rsidRPr="00EC0229">
        <w:rPr>
          <w:rFonts w:cs="Times New Roman"/>
        </w:rPr>
        <w:fldChar w:fldCharType="end"/>
      </w:r>
      <w:r w:rsidR="00402CC5" w:rsidRPr="00EC0229">
        <w:rPr>
          <w:rFonts w:cs="Times New Roman"/>
        </w:rPr>
        <w:t xml:space="preserve">’s reign, 685-704, which constitutes the northern primary phase, to be contained within the somewhat longer southern primary phase, </w:t>
      </w:r>
      <w:r w:rsidR="00FF2561">
        <w:rPr>
          <w:rFonts w:cs="Times New Roman"/>
        </w:rPr>
        <w:t xml:space="preserve">from the </w:t>
      </w:r>
      <w:r w:rsidR="00402CC5" w:rsidRPr="00EC0229">
        <w:rPr>
          <w:rFonts w:cs="Times New Roman"/>
        </w:rPr>
        <w:t xml:space="preserve">670s </w:t>
      </w:r>
      <w:r w:rsidR="00FF2561">
        <w:rPr>
          <w:rFonts w:cs="Times New Roman"/>
        </w:rPr>
        <w:t xml:space="preserve">to </w:t>
      </w:r>
      <w:r w:rsidR="00402CC5" w:rsidRPr="00EC0229">
        <w:rPr>
          <w:rFonts w:cs="Times New Roman"/>
          <w:i/>
        </w:rPr>
        <w:t>c.</w:t>
      </w:r>
      <w:r w:rsidR="00402CC5" w:rsidRPr="00EC0229">
        <w:rPr>
          <w:rFonts w:cs="Times New Roman"/>
        </w:rPr>
        <w:t xml:space="preserve">710. The </w:t>
      </w:r>
      <w:r w:rsidR="00402CC5" w:rsidRPr="00EC0229">
        <w:rPr>
          <w:rFonts w:cs="Times New Roman"/>
          <w:i/>
        </w:rPr>
        <w:t>lacunæ</w:t>
      </w:r>
      <w:r w:rsidR="00402CC5" w:rsidRPr="00EC0229">
        <w:rPr>
          <w:rFonts w:cs="Times New Roman"/>
        </w:rPr>
        <w:t xml:space="preserve"> which are apparent in the northern emissions,</w:t>
      </w:r>
      <w:r w:rsidR="00402CC5" w:rsidRPr="00EC0229">
        <w:rPr>
          <w:rStyle w:val="FootnoteReference"/>
          <w:rFonts w:cs="Times New Roman"/>
        </w:rPr>
        <w:footnoteReference w:id="394"/>
      </w:r>
      <w:r w:rsidR="00402CC5" w:rsidRPr="00EC0229">
        <w:rPr>
          <w:rFonts w:cs="Times New Roman"/>
        </w:rPr>
        <w:t xml:space="preserve">  and the consequent inflows filling these </w:t>
      </w:r>
      <w:r w:rsidR="00402CC5" w:rsidRPr="00EC0229">
        <w:rPr>
          <w:rFonts w:cs="Times New Roman"/>
          <w:i/>
        </w:rPr>
        <w:t>vacua</w:t>
      </w:r>
      <w:r w:rsidR="00402CC5" w:rsidRPr="00EC0229">
        <w:rPr>
          <w:rFonts w:cs="Times New Roman"/>
        </w:rPr>
        <w:t xml:space="preserve">, are not seen in the south, which </w:t>
      </w:r>
      <w:r w:rsidR="00402CC5" w:rsidRPr="00EC0229">
        <w:rPr>
          <w:rFonts w:cs="Times New Roman"/>
        </w:rPr>
        <w:lastRenderedPageBreak/>
        <w:t>makes the southern scheme simpler, especially with its far earlier migration to the broad penny</w:t>
      </w:r>
      <w:r w:rsidR="00402CC5" w:rsidRPr="00EC0229">
        <w:rPr>
          <w:rFonts w:cs="Times New Roman"/>
        </w:rPr>
        <w:fldChar w:fldCharType="begin"/>
      </w:r>
      <w:r w:rsidR="00402CC5" w:rsidRPr="00EC0229">
        <w:instrText xml:space="preserve"> XE "penny" </w:instrText>
      </w:r>
      <w:r w:rsidR="00402CC5" w:rsidRPr="00EC0229">
        <w:rPr>
          <w:rFonts w:cs="Times New Roman"/>
        </w:rPr>
        <w:fldChar w:fldCharType="end"/>
      </w:r>
      <w:r w:rsidR="00402CC5" w:rsidRPr="00EC0229">
        <w:rPr>
          <w:rFonts w:cs="Times New Roman"/>
        </w:rPr>
        <w:t>. The southern broad penny did not emerge fully-formed but evolved through a couple of steps. Sceatta-like coins were issued by Beonna</w:t>
      </w:r>
      <w:r w:rsidR="00402CC5" w:rsidRPr="00EC0229">
        <w:rPr>
          <w:rFonts w:cs="Times New Roman"/>
        </w:rPr>
        <w:fldChar w:fldCharType="begin"/>
      </w:r>
      <w:r w:rsidR="00402CC5" w:rsidRPr="00EC0229">
        <w:instrText xml:space="preserve"> XE "</w:instrText>
      </w:r>
      <w:r w:rsidR="00402CC5" w:rsidRPr="00EC0229">
        <w:rPr>
          <w:rFonts w:cs="Times New Roman"/>
        </w:rPr>
        <w:instrText>Beonna</w:instrText>
      </w:r>
      <w:r w:rsidR="00402CC5" w:rsidRPr="00EC0229">
        <w:instrText xml:space="preserve">" </w:instrText>
      </w:r>
      <w:r w:rsidR="00402CC5" w:rsidRPr="00EC0229">
        <w:rPr>
          <w:rFonts w:cs="Times New Roman"/>
        </w:rPr>
        <w:fldChar w:fldCharType="end"/>
      </w:r>
      <w:r w:rsidR="00402CC5" w:rsidRPr="00EC0229">
        <w:rPr>
          <w:rFonts w:cs="Times New Roman"/>
        </w:rPr>
        <w:t xml:space="preserve"> of East Anglia</w:t>
      </w:r>
      <w:r w:rsidR="00402CC5" w:rsidRPr="00EC0229">
        <w:rPr>
          <w:rStyle w:val="FootnoteReference"/>
          <w:rFonts w:cs="Times New Roman"/>
        </w:rPr>
        <w:footnoteReference w:id="395"/>
      </w:r>
      <w:r w:rsidR="00402CC5" w:rsidRPr="00EC0229">
        <w:rPr>
          <w:rFonts w:cs="Times New Roman"/>
        </w:rPr>
        <w:t xml:space="preserve"> and possibly also by Offa</w:t>
      </w:r>
      <w:r w:rsidR="00402CC5" w:rsidRPr="00EC0229">
        <w:rPr>
          <w:rFonts w:cs="Times New Roman"/>
        </w:rPr>
        <w:fldChar w:fldCharType="begin"/>
      </w:r>
      <w:r w:rsidR="00402CC5" w:rsidRPr="00EC0229">
        <w:instrText xml:space="preserve"> XE "</w:instrText>
      </w:r>
      <w:r w:rsidR="00402CC5" w:rsidRPr="00EC0229">
        <w:rPr>
          <w:rFonts w:cs="Times New Roman"/>
        </w:rPr>
        <w:instrText>Offa</w:instrText>
      </w:r>
      <w:r w:rsidR="00402CC5" w:rsidRPr="00EC0229">
        <w:instrText xml:space="preserve">" </w:instrText>
      </w:r>
      <w:r w:rsidR="00402CC5" w:rsidRPr="00EC0229">
        <w:rPr>
          <w:rFonts w:cs="Times New Roman"/>
        </w:rPr>
        <w:fldChar w:fldCharType="end"/>
      </w:r>
      <w:r w:rsidR="00402CC5" w:rsidRPr="00EC0229">
        <w:rPr>
          <w:rStyle w:val="FootnoteReference"/>
          <w:rFonts w:cs="Times New Roman"/>
        </w:rPr>
        <w:footnoteReference w:id="396"/>
      </w:r>
      <w:r w:rsidR="00402CC5" w:rsidRPr="00EC0229">
        <w:rPr>
          <w:rFonts w:cs="Times New Roman"/>
        </w:rPr>
        <w:t xml:space="preserve"> before his light penny averaging 1.16g</w:t>
      </w:r>
      <w:r w:rsidR="00402CC5" w:rsidRPr="00EC0229">
        <w:rPr>
          <w:rStyle w:val="FootnoteReference"/>
          <w:rFonts w:cs="Times New Roman"/>
        </w:rPr>
        <w:footnoteReference w:id="397"/>
      </w:r>
      <w:r w:rsidR="00402CC5" w:rsidRPr="00EC0229">
        <w:rPr>
          <w:rFonts w:cs="Times New Roman"/>
        </w:rPr>
        <w:t xml:space="preserve"> was issued possibly in the late 770s.</w:t>
      </w:r>
      <w:r w:rsidR="00402CC5" w:rsidRPr="00EC0229">
        <w:rPr>
          <w:rStyle w:val="FootnoteReference"/>
          <w:rFonts w:cs="Times New Roman"/>
        </w:rPr>
        <w:footnoteReference w:id="398"/>
      </w:r>
      <w:r w:rsidR="00402CC5" w:rsidRPr="00EC0229">
        <w:rPr>
          <w:rFonts w:cs="Times New Roman"/>
        </w:rPr>
        <w:t xml:space="preserve"> The heavy penny was inaugurated with Æthelheard’s appointment to the See of Canterbury in 793, reflecting only partially a change in the metrology</w:t>
      </w:r>
      <w:r w:rsidR="00402CC5" w:rsidRPr="00EC0229">
        <w:rPr>
          <w:rFonts w:cs="Times New Roman"/>
        </w:rPr>
        <w:fldChar w:fldCharType="begin"/>
      </w:r>
      <w:r w:rsidR="00402CC5" w:rsidRPr="00EC0229">
        <w:instrText xml:space="preserve"> XE "metrology" </w:instrText>
      </w:r>
      <w:r w:rsidR="00402CC5" w:rsidRPr="00EC0229">
        <w:rPr>
          <w:rFonts w:cs="Times New Roman"/>
        </w:rPr>
        <w:fldChar w:fldCharType="end"/>
      </w:r>
      <w:r w:rsidR="00402CC5" w:rsidRPr="00EC0229">
        <w:rPr>
          <w:rFonts w:cs="Times New Roman"/>
        </w:rPr>
        <w:t xml:space="preserve"> of the Frankish coinage.</w:t>
      </w:r>
      <w:r w:rsidR="00402CC5" w:rsidRPr="00EC0229">
        <w:rPr>
          <w:rStyle w:val="FootnoteReference"/>
          <w:rFonts w:cs="Times New Roman"/>
        </w:rPr>
        <w:footnoteReference w:id="399"/>
      </w:r>
      <w:r w:rsidR="00402CC5" w:rsidRPr="00EC0229">
        <w:rPr>
          <w:rFonts w:cs="Times New Roman"/>
        </w:rPr>
        <w:t xml:space="preserve"> Indeed, the Offan light penny was more aligned in weight with the northern sceat than the Frankish denier</w:t>
      </w:r>
      <w:r w:rsidR="00402CC5" w:rsidRPr="00EC0229">
        <w:rPr>
          <w:rFonts w:cs="Times New Roman"/>
        </w:rPr>
        <w:fldChar w:fldCharType="begin"/>
      </w:r>
      <w:r w:rsidR="00402CC5" w:rsidRPr="00EC0229">
        <w:instrText xml:space="preserve"> XE "</w:instrText>
      </w:r>
      <w:r w:rsidR="00402CC5" w:rsidRPr="00EC0229">
        <w:rPr>
          <w:rFonts w:cs="Times New Roman"/>
          <w:szCs w:val="24"/>
        </w:rPr>
        <w:instrText>denier</w:instrText>
      </w:r>
      <w:r w:rsidR="00402CC5" w:rsidRPr="00EC0229">
        <w:instrText xml:space="preserve">" </w:instrText>
      </w:r>
      <w:r w:rsidR="00402CC5" w:rsidRPr="00EC0229">
        <w:rPr>
          <w:rFonts w:cs="Times New Roman"/>
        </w:rPr>
        <w:fldChar w:fldCharType="end"/>
      </w:r>
      <w:r w:rsidR="00402CC5" w:rsidRPr="00EC0229">
        <w:rPr>
          <w:rFonts w:cs="Times New Roman"/>
        </w:rPr>
        <w:t xml:space="preserve"> - perhaps the contrast was insufficiently stark to entice the north to follow.</w:t>
      </w:r>
    </w:p>
    <w:p w14:paraId="053BDBE7" w14:textId="77777777" w:rsidR="00402CC5" w:rsidRPr="00EC0229" w:rsidRDefault="00402CC5" w:rsidP="007600EA">
      <w:pPr>
        <w:pStyle w:val="NoSpacing"/>
        <w:spacing w:line="360" w:lineRule="auto"/>
        <w:rPr>
          <w:rFonts w:cs="Times New Roman"/>
        </w:rPr>
      </w:pPr>
    </w:p>
    <w:p w14:paraId="646FD941" w14:textId="29264DD1" w:rsidR="00402CC5" w:rsidRPr="00EC0229" w:rsidRDefault="00B61936" w:rsidP="007600EA">
      <w:pPr>
        <w:pStyle w:val="NoSpacing"/>
        <w:spacing w:line="360" w:lineRule="auto"/>
      </w:pPr>
      <w:r w:rsidRPr="00EC0229">
        <w:rPr>
          <w:i/>
        </w:rPr>
        <w:t>Table 4.02</w:t>
      </w:r>
      <w:r w:rsidRPr="00EC0229">
        <w:t xml:space="preserve"> </w:t>
      </w:r>
      <w:r>
        <w:t>summarize</w:t>
      </w:r>
      <w:r w:rsidRPr="00EC0229">
        <w:t>s the alternating periods of activity at the York mint. Short bursts of</w:t>
      </w:r>
      <w:r w:rsidRPr="00EC0229">
        <w:rPr>
          <w:rStyle w:val="Heading3Char"/>
          <w:rFonts w:eastAsiaTheme="minorHAnsi" w:cstheme="minorBidi"/>
          <w:b w:val="0"/>
          <w:color w:val="000000" w:themeColor="text1"/>
          <w:szCs w:val="22"/>
        </w:rPr>
        <w:t xml:space="preserve"> </w:t>
      </w:r>
      <w:r w:rsidRPr="00EC0229">
        <w:t>production, covering only 30% of the entire period under review, are separated by prolonged</w:t>
      </w:r>
      <w:r w:rsidRPr="00EC0229">
        <w:rPr>
          <w:rStyle w:val="Heading3Char"/>
          <w:rFonts w:eastAsiaTheme="minorHAnsi" w:cstheme="minorBidi"/>
          <w:b w:val="0"/>
          <w:color w:val="000000" w:themeColor="text1"/>
          <w:szCs w:val="22"/>
        </w:rPr>
        <w:t xml:space="preserve"> </w:t>
      </w:r>
      <w:r w:rsidRPr="00EC0229">
        <w:t xml:space="preserve">inertia. </w:t>
      </w:r>
      <w:r w:rsidR="009F1447" w:rsidRPr="00EC0229">
        <w:rPr>
          <w:rFonts w:cs="Times New Roman"/>
        </w:rPr>
        <w:t>The pe</w:t>
      </w:r>
      <w:r w:rsidR="009F1447">
        <w:rPr>
          <w:rFonts w:cs="Times New Roman"/>
        </w:rPr>
        <w:t xml:space="preserve">riodic scheme of arrangement </w:t>
      </w:r>
      <w:r w:rsidR="009F1447" w:rsidRPr="00EC0229">
        <w:rPr>
          <w:rFonts w:cs="Times New Roman"/>
        </w:rPr>
        <w:t>shown at</w:t>
      </w:r>
      <w:r w:rsidR="009F1447" w:rsidRPr="00EC0229">
        <w:rPr>
          <w:sz w:val="20"/>
          <w:szCs w:val="20"/>
        </w:rPr>
        <w:t xml:space="preserve"> </w:t>
      </w:r>
      <w:r w:rsidR="009F1447" w:rsidRPr="00EC0229">
        <w:rPr>
          <w:i/>
          <w:szCs w:val="24"/>
        </w:rPr>
        <w:t>Table</w:t>
      </w:r>
      <w:r w:rsidR="009F1447" w:rsidRPr="00EC0229">
        <w:rPr>
          <w:i/>
          <w:szCs w:val="24"/>
        </w:rPr>
        <w:fldChar w:fldCharType="begin"/>
      </w:r>
      <w:r w:rsidR="009F1447" w:rsidRPr="00EC0229">
        <w:instrText xml:space="preserve"> XE "</w:instrText>
      </w:r>
      <w:r w:rsidR="009F1447" w:rsidRPr="00EC0229">
        <w:rPr>
          <w:noProof/>
        </w:rPr>
        <w:instrText>Table</w:instrText>
      </w:r>
      <w:r w:rsidR="009F1447" w:rsidRPr="00EC0229">
        <w:instrText xml:space="preserve">" </w:instrText>
      </w:r>
      <w:r w:rsidR="009F1447" w:rsidRPr="00EC0229">
        <w:rPr>
          <w:i/>
          <w:szCs w:val="24"/>
        </w:rPr>
        <w:fldChar w:fldCharType="end"/>
      </w:r>
      <w:r w:rsidR="009F1447" w:rsidRPr="00EC0229">
        <w:rPr>
          <w:i/>
          <w:szCs w:val="24"/>
        </w:rPr>
        <w:t xml:space="preserve"> 5.04</w:t>
      </w:r>
      <w:r w:rsidR="009F1447">
        <w:rPr>
          <w:i/>
          <w:szCs w:val="24"/>
        </w:rPr>
        <w:t>,</w:t>
      </w:r>
      <w:r w:rsidR="009F1447" w:rsidRPr="00EC0229">
        <w:rPr>
          <w:rStyle w:val="FootnoteReference"/>
          <w:szCs w:val="24"/>
        </w:rPr>
        <w:footnoteReference w:id="400"/>
      </w:r>
      <w:r w:rsidR="009F1447" w:rsidRPr="00EC0229">
        <w:rPr>
          <w:szCs w:val="24"/>
        </w:rPr>
        <w:t xml:space="preserve"> </w:t>
      </w:r>
      <w:r w:rsidR="00C5315D">
        <w:rPr>
          <w:rFonts w:cs="Times New Roman"/>
        </w:rPr>
        <w:t>is inevitably a simplification of the gradual and erratic decline in precious metal content</w:t>
      </w:r>
      <w:r w:rsidR="0064347F">
        <w:rPr>
          <w:rFonts w:cs="Times New Roman"/>
        </w:rPr>
        <w:t>,</w:t>
      </w:r>
      <w:r w:rsidR="00C5315D">
        <w:rPr>
          <w:rFonts w:cs="Times New Roman"/>
        </w:rPr>
        <w:t xml:space="preserve"> </w:t>
      </w:r>
      <w:r w:rsidR="0064347F">
        <w:rPr>
          <w:rFonts w:cs="Times New Roman"/>
        </w:rPr>
        <w:t xml:space="preserve">from noble to base, </w:t>
      </w:r>
      <w:r w:rsidR="00C5315D">
        <w:rPr>
          <w:rFonts w:cs="Times New Roman"/>
        </w:rPr>
        <w:t xml:space="preserve">of a coin of fixed module over two and a half centuries. </w:t>
      </w:r>
      <w:r w:rsidR="00C77754" w:rsidRPr="00EC0229">
        <w:t>T</w:t>
      </w:r>
      <w:r w:rsidR="00402CC5" w:rsidRPr="00EC0229">
        <w:t>he silver-alloy</w:t>
      </w:r>
      <w:r w:rsidR="00402CC5" w:rsidRPr="00EC0229">
        <w:fldChar w:fldCharType="begin"/>
      </w:r>
      <w:r w:rsidR="00402CC5" w:rsidRPr="00EC0229">
        <w:instrText xml:space="preserve"> XE "</w:instrText>
      </w:r>
      <w:r w:rsidR="00402CC5" w:rsidRPr="00EC0229">
        <w:rPr>
          <w:rFonts w:eastAsia="Times New Roman" w:cs="Times New Roman"/>
          <w:szCs w:val="24"/>
          <w:lang w:eastAsia="en-GB"/>
        </w:rPr>
        <w:instrText>silver-alloy</w:instrText>
      </w:r>
      <w:r w:rsidR="00402CC5" w:rsidRPr="00EC0229">
        <w:instrText xml:space="preserve">" </w:instrText>
      </w:r>
      <w:r w:rsidR="00402CC5" w:rsidRPr="00EC0229">
        <w:fldChar w:fldCharType="end"/>
      </w:r>
      <w:r w:rsidR="00402CC5" w:rsidRPr="00EC0229">
        <w:t xml:space="preserve"> emissions of Eanred</w:t>
      </w:r>
      <w:r w:rsidR="00402CC5" w:rsidRPr="00EC0229">
        <w:fldChar w:fldCharType="begin"/>
      </w:r>
      <w:r w:rsidR="00402CC5" w:rsidRPr="00EC0229">
        <w:instrText xml:space="preserve"> XE "Eanred" </w:instrText>
      </w:r>
      <w:r w:rsidR="00402CC5" w:rsidRPr="00EC0229">
        <w:fldChar w:fldCharType="end"/>
      </w:r>
      <w:r w:rsidR="00402CC5" w:rsidRPr="00EC0229">
        <w:t xml:space="preserve"> </w:t>
      </w:r>
      <w:r w:rsidR="00C77754" w:rsidRPr="00EC0229">
        <w:t xml:space="preserve">are regarded </w:t>
      </w:r>
      <w:r w:rsidR="00826AC7">
        <w:t xml:space="preserve">here </w:t>
      </w:r>
      <w:r w:rsidR="00402CC5" w:rsidRPr="00EC0229">
        <w:t>as an erstwhile attempt to resurrect the sceat, albeit it in the absence of sufficient silver.</w:t>
      </w:r>
      <w:r w:rsidR="00402CC5" w:rsidRPr="00EC0229">
        <w:rPr>
          <w:rStyle w:val="FootnoteReference"/>
        </w:rPr>
        <w:t xml:space="preserve"> </w:t>
      </w:r>
      <w:r w:rsidR="00402CC5" w:rsidRPr="00EC0229">
        <w:rPr>
          <w:rStyle w:val="FootnoteReference"/>
        </w:rPr>
        <w:footnoteReference w:id="401"/>
      </w:r>
      <w:r w:rsidR="00402CC5" w:rsidRPr="00EC0229">
        <w:t xml:space="preserve">  Eanred’s base styca,</w:t>
      </w:r>
      <w:r w:rsidR="00402CC5" w:rsidRPr="00EC0229">
        <w:fldChar w:fldCharType="begin"/>
      </w:r>
      <w:r w:rsidR="00402CC5" w:rsidRPr="00EC0229">
        <w:instrText xml:space="preserve"> XE "styca" </w:instrText>
      </w:r>
      <w:r w:rsidR="00402CC5" w:rsidRPr="00EC0229">
        <w:fldChar w:fldCharType="end"/>
      </w:r>
      <w:r w:rsidR="00402CC5" w:rsidRPr="00EC0229">
        <w:t xml:space="preserve"> issued after an undefined, possibly lengthy, interval, is a continuation of this </w:t>
      </w:r>
      <w:r w:rsidR="003F2041" w:rsidRPr="00EC0229">
        <w:t>monetiz</w:t>
      </w:r>
      <w:r w:rsidR="00402CC5" w:rsidRPr="00EC0229">
        <w:t>ation</w:t>
      </w:r>
      <w:r w:rsidR="00402CC5" w:rsidRPr="00EC0229">
        <w:fldChar w:fldCharType="begin"/>
      </w:r>
      <w:r w:rsidR="00402CC5" w:rsidRPr="00EC0229">
        <w:instrText xml:space="preserve"> XE "monetization" </w:instrText>
      </w:r>
      <w:r w:rsidR="00402CC5" w:rsidRPr="00EC0229">
        <w:fldChar w:fldCharType="end"/>
      </w:r>
      <w:r w:rsidR="00402CC5" w:rsidRPr="00EC0229">
        <w:t xml:space="preserve"> process. </w:t>
      </w:r>
      <w:r w:rsidR="002339C3">
        <w:t xml:space="preserve">Within each of the </w:t>
      </w:r>
      <w:r w:rsidR="00826AC7">
        <w:t xml:space="preserve">gold, silver and copper-alloy </w:t>
      </w:r>
      <w:r w:rsidR="002339C3">
        <w:t>phases</w:t>
      </w:r>
      <w:r w:rsidR="00826AC7">
        <w:t>,</w:t>
      </w:r>
      <w:r w:rsidR="002339C3">
        <w:t xml:space="preserve"> the periodization of Northumbrian coinage relies upon an historically-derived sequence of Northumbrian rulers, </w:t>
      </w:r>
      <w:r w:rsidR="002339C3">
        <w:rPr>
          <w:i/>
        </w:rPr>
        <w:t>Tables 5.05, 5.06</w:t>
      </w:r>
      <w:r w:rsidR="002339C3">
        <w:t>. In the sections which follow, therefore, a brief outline of the Northumbrian regnal and ecclesiastical succession is presented, before the periods of coin production are introduced.</w:t>
      </w:r>
    </w:p>
    <w:p w14:paraId="3AF9A602" w14:textId="77777777" w:rsidR="00F4098A" w:rsidRPr="00EC0229" w:rsidRDefault="00F4098A" w:rsidP="007600EA">
      <w:pPr>
        <w:pStyle w:val="NoSpacing"/>
        <w:spacing w:line="360" w:lineRule="auto"/>
      </w:pPr>
    </w:p>
    <w:p w14:paraId="4844C9FE" w14:textId="77777777" w:rsidR="00D311C4" w:rsidRDefault="00D311C4">
      <w:pPr>
        <w:spacing w:line="259" w:lineRule="auto"/>
        <w:jc w:val="left"/>
        <w:rPr>
          <w:b/>
          <w:sz w:val="28"/>
          <w:szCs w:val="26"/>
        </w:rPr>
      </w:pPr>
      <w:bookmarkStart w:id="179" w:name="Literature"/>
      <w:bookmarkStart w:id="180" w:name="Literatureseventhcentury"/>
      <w:bookmarkStart w:id="181" w:name="SubRoman"/>
      <w:bookmarkStart w:id="182" w:name="Periods13"/>
      <w:bookmarkEnd w:id="179"/>
      <w:bookmarkEnd w:id="180"/>
      <w:bookmarkEnd w:id="181"/>
      <w:bookmarkEnd w:id="182"/>
      <w:r>
        <w:br w:type="page"/>
      </w:r>
    </w:p>
    <w:p w14:paraId="02C692A7" w14:textId="11166D84" w:rsidR="00202DB9" w:rsidRPr="00EC0229" w:rsidRDefault="005F38D6" w:rsidP="007600EA">
      <w:pPr>
        <w:pStyle w:val="Heading2"/>
        <w:spacing w:line="360" w:lineRule="auto"/>
      </w:pPr>
      <w:bookmarkStart w:id="183" w:name="_Toc468266769"/>
      <w:r>
        <w:lastRenderedPageBreak/>
        <w:t>5.2</w:t>
      </w:r>
      <w:r>
        <w:tab/>
      </w:r>
      <w:r w:rsidR="00202DB9" w:rsidRPr="00EC0229">
        <w:t>Gold</w:t>
      </w:r>
      <w:r w:rsidR="00202DB9" w:rsidRPr="00EC0229">
        <w:fldChar w:fldCharType="begin"/>
      </w:r>
      <w:r w:rsidR="00202DB9" w:rsidRPr="00EC0229">
        <w:instrText xml:space="preserve"> XE "</w:instrText>
      </w:r>
      <w:r w:rsidR="00202DB9" w:rsidRPr="00EC0229">
        <w:rPr>
          <w:rStyle w:val="Hyperlink"/>
          <w:rFonts w:cs="Times New Roman"/>
          <w:noProof/>
          <w:u w:val="none"/>
        </w:rPr>
        <w:instrText>Gold</w:instrText>
      </w:r>
      <w:r w:rsidR="00202DB9" w:rsidRPr="00EC0229">
        <w:instrText xml:space="preserve">" </w:instrText>
      </w:r>
      <w:r w:rsidR="00202DB9" w:rsidRPr="00EC0229">
        <w:fldChar w:fldCharType="end"/>
      </w:r>
      <w:r w:rsidR="00202DB9" w:rsidRPr="00EC0229">
        <w:t>: Periods 1-3</w:t>
      </w:r>
      <w:bookmarkEnd w:id="183"/>
    </w:p>
    <w:p w14:paraId="16F4C62B" w14:textId="18857A89" w:rsidR="00202DB9" w:rsidRPr="00EC0229" w:rsidRDefault="00217AC6" w:rsidP="007600EA">
      <w:pPr>
        <w:pStyle w:val="NoSpacing"/>
        <w:spacing w:line="360" w:lineRule="auto"/>
      </w:pPr>
      <w:r w:rsidRPr="00EC0229">
        <w:t>D</w:t>
      </w:r>
      <w:r w:rsidR="00202DB9" w:rsidRPr="00EC0229">
        <w:t>escribe</w:t>
      </w:r>
      <w:r w:rsidR="00A14B71" w:rsidRPr="00EC0229">
        <w:t>d</w:t>
      </w:r>
      <w:r w:rsidR="00202DB9" w:rsidRPr="00EC0229">
        <w:t xml:space="preserve"> here </w:t>
      </w:r>
      <w:r w:rsidRPr="00EC0229">
        <w:t xml:space="preserve">are </w:t>
      </w:r>
      <w:r w:rsidR="00202DB9" w:rsidRPr="00EC0229">
        <w:t>the sub- and post-Roman</w:t>
      </w:r>
      <w:r w:rsidR="00FD0345" w:rsidRPr="00EC0229">
        <w:t xml:space="preserve"> (</w:t>
      </w:r>
      <w:r w:rsidR="00FD0345" w:rsidRPr="00EC0229">
        <w:fldChar w:fldCharType="begin"/>
      </w:r>
      <w:r w:rsidR="00FD0345" w:rsidRPr="00EC0229">
        <w:instrText xml:space="preserve"> PAGEREF Period1 \h </w:instrText>
      </w:r>
      <w:r w:rsidR="00FD0345" w:rsidRPr="00EC0229">
        <w:fldChar w:fldCharType="separate"/>
      </w:r>
      <w:r w:rsidR="0012026B">
        <w:rPr>
          <w:noProof/>
        </w:rPr>
        <w:t>90</w:t>
      </w:r>
      <w:r w:rsidR="00FD0345" w:rsidRPr="00EC0229">
        <w:fldChar w:fldCharType="end"/>
      </w:r>
      <w:r w:rsidR="00FD0345" w:rsidRPr="00EC0229">
        <w:t>)</w:t>
      </w:r>
      <w:r w:rsidR="00202DB9" w:rsidRPr="00EC0229">
        <w:fldChar w:fldCharType="begin"/>
      </w:r>
      <w:r w:rsidR="00202DB9" w:rsidRPr="00EC0229">
        <w:instrText xml:space="preserve"> XE "Roman" </w:instrText>
      </w:r>
      <w:r w:rsidR="00202DB9" w:rsidRPr="00EC0229">
        <w:fldChar w:fldCharType="end"/>
      </w:r>
      <w:r w:rsidR="00202DB9" w:rsidRPr="00EC0229">
        <w:t xml:space="preserve">, imported </w:t>
      </w:r>
      <w:r w:rsidR="00202DB9" w:rsidRPr="00EC0229">
        <w:rPr>
          <w:rFonts w:cs="Times New Roman"/>
        </w:rPr>
        <w:t>Merovingian</w:t>
      </w:r>
      <w:r w:rsidR="00FD0345" w:rsidRPr="00EC0229">
        <w:rPr>
          <w:rFonts w:cs="Times New Roman"/>
        </w:rPr>
        <w:t xml:space="preserve"> (</w:t>
      </w:r>
      <w:r w:rsidR="00FD0345" w:rsidRPr="00EC0229">
        <w:rPr>
          <w:rFonts w:cs="Times New Roman"/>
        </w:rPr>
        <w:fldChar w:fldCharType="begin"/>
      </w:r>
      <w:r w:rsidR="00FD0345" w:rsidRPr="00EC0229">
        <w:rPr>
          <w:rFonts w:cs="Times New Roman"/>
        </w:rPr>
        <w:instrText xml:space="preserve"> PAGEREF Period3a \h </w:instrText>
      </w:r>
      <w:r w:rsidR="00FD0345" w:rsidRPr="00EC0229">
        <w:rPr>
          <w:rFonts w:cs="Times New Roman"/>
        </w:rPr>
      </w:r>
      <w:r w:rsidR="00FD0345" w:rsidRPr="00EC0229">
        <w:rPr>
          <w:rFonts w:cs="Times New Roman"/>
        </w:rPr>
        <w:fldChar w:fldCharType="separate"/>
      </w:r>
      <w:r w:rsidR="0012026B">
        <w:rPr>
          <w:rFonts w:cs="Times New Roman"/>
          <w:noProof/>
        </w:rPr>
        <w:t>93</w:t>
      </w:r>
      <w:r w:rsidR="00FD0345" w:rsidRPr="00EC0229">
        <w:rPr>
          <w:rFonts w:cs="Times New Roman"/>
        </w:rPr>
        <w:fldChar w:fldCharType="end"/>
      </w:r>
      <w:r w:rsidR="00FD0345" w:rsidRPr="00EC0229">
        <w:rPr>
          <w:rFonts w:cs="Times New Roman"/>
        </w:rPr>
        <w:t>)</w:t>
      </w:r>
      <w:r w:rsidR="00202DB9" w:rsidRPr="00EC0229">
        <w:rPr>
          <w:rFonts w:cs="Times New Roman"/>
        </w:rPr>
        <w:fldChar w:fldCharType="begin"/>
      </w:r>
      <w:r w:rsidR="00202DB9" w:rsidRPr="00EC0229">
        <w:instrText xml:space="preserve"> XE "</w:instrText>
      </w:r>
      <w:r w:rsidR="00202DB9" w:rsidRPr="00EC0229">
        <w:rPr>
          <w:noProof/>
        </w:rPr>
        <w:instrText>Merovingian</w:instrText>
      </w:r>
      <w:r w:rsidR="00202DB9" w:rsidRPr="00EC0229">
        <w:instrText xml:space="preserve">" </w:instrText>
      </w:r>
      <w:r w:rsidR="00202DB9" w:rsidRPr="00EC0229">
        <w:rPr>
          <w:rFonts w:cs="Times New Roman"/>
        </w:rPr>
        <w:fldChar w:fldCharType="end"/>
      </w:r>
      <w:r w:rsidR="00202DB9" w:rsidRPr="00EC0229">
        <w:t>, early Anglo-Saxon</w:t>
      </w:r>
      <w:r w:rsidR="00FD0345" w:rsidRPr="00EC0229">
        <w:t xml:space="preserve"> (</w:t>
      </w:r>
      <w:r w:rsidR="00FD0345" w:rsidRPr="00EC0229">
        <w:fldChar w:fldCharType="begin"/>
      </w:r>
      <w:r w:rsidR="00FD0345" w:rsidRPr="00EC0229">
        <w:instrText xml:space="preserve"> PAGEREF Period3b \h </w:instrText>
      </w:r>
      <w:r w:rsidR="00FD0345" w:rsidRPr="00EC0229">
        <w:fldChar w:fldCharType="separate"/>
      </w:r>
      <w:r w:rsidR="0012026B">
        <w:rPr>
          <w:noProof/>
        </w:rPr>
        <w:t>95</w:t>
      </w:r>
      <w:r w:rsidR="00FD0345" w:rsidRPr="00EC0229">
        <w:fldChar w:fldCharType="end"/>
      </w:r>
      <w:r w:rsidR="00FD0345" w:rsidRPr="00EC0229">
        <w:t>)</w:t>
      </w:r>
      <w:r w:rsidR="00202DB9" w:rsidRPr="00EC0229">
        <w:fldChar w:fldCharType="begin"/>
      </w:r>
      <w:r w:rsidR="00202DB9" w:rsidRPr="00EC0229">
        <w:instrText xml:space="preserve"> XE "</w:instrText>
      </w:r>
      <w:r w:rsidR="00202DB9" w:rsidRPr="00EC0229">
        <w:rPr>
          <w:noProof/>
        </w:rPr>
        <w:instrText>Anglo-Saxon</w:instrText>
      </w:r>
      <w:r w:rsidR="00202DB9" w:rsidRPr="00EC0229">
        <w:instrText xml:space="preserve">" </w:instrText>
      </w:r>
      <w:r w:rsidR="00202DB9" w:rsidRPr="00EC0229">
        <w:fldChar w:fldCharType="end"/>
      </w:r>
      <w:r w:rsidR="00202DB9" w:rsidRPr="00EC0229">
        <w:t>, local York</w:t>
      </w:r>
      <w:r w:rsidR="00202DB9" w:rsidRPr="00EC0229">
        <w:fldChar w:fldCharType="begin"/>
      </w:r>
      <w:r w:rsidR="00202DB9" w:rsidRPr="00EC0229">
        <w:instrText xml:space="preserve"> XE "</w:instrText>
      </w:r>
      <w:r w:rsidR="00202DB9" w:rsidRPr="00EC0229">
        <w:rPr>
          <w:noProof/>
        </w:rPr>
        <w:instrText>York</w:instrText>
      </w:r>
      <w:r w:rsidR="00202DB9" w:rsidRPr="00EC0229">
        <w:instrText xml:space="preserve">" </w:instrText>
      </w:r>
      <w:r w:rsidR="00202DB9" w:rsidRPr="00EC0229">
        <w:fldChar w:fldCharType="end"/>
      </w:r>
      <w:r w:rsidR="00202DB9" w:rsidRPr="00EC0229">
        <w:t xml:space="preserve"> </w:t>
      </w:r>
      <w:r w:rsidR="00FD0345" w:rsidRPr="00EC0229">
        <w:t>(</w:t>
      </w:r>
      <w:r w:rsidR="00FD0345" w:rsidRPr="00EC0229">
        <w:fldChar w:fldCharType="begin"/>
      </w:r>
      <w:r w:rsidR="00FD0345" w:rsidRPr="00EC0229">
        <w:instrText xml:space="preserve"> PAGEREF goldshillingofYork \h </w:instrText>
      </w:r>
      <w:r w:rsidR="00FD0345" w:rsidRPr="00EC0229">
        <w:fldChar w:fldCharType="separate"/>
      </w:r>
      <w:r w:rsidR="0012026B">
        <w:rPr>
          <w:noProof/>
        </w:rPr>
        <w:t>96</w:t>
      </w:r>
      <w:r w:rsidR="00FD0345" w:rsidRPr="00EC0229">
        <w:fldChar w:fldCharType="end"/>
      </w:r>
      <w:r w:rsidR="00FD0345" w:rsidRPr="00EC0229">
        <w:t xml:space="preserve">) </w:t>
      </w:r>
      <w:r w:rsidR="00202DB9" w:rsidRPr="00EC0229">
        <w:t xml:space="preserve">and </w:t>
      </w:r>
      <w:r w:rsidR="00572E51" w:rsidRPr="00EC0229">
        <w:t>Southumbria</w:t>
      </w:r>
      <w:r w:rsidR="00202DB9" w:rsidRPr="00EC0229">
        <w:t>n</w:t>
      </w:r>
      <w:r w:rsidR="00346143" w:rsidRPr="00EC0229">
        <w:t xml:space="preserve"> (</w:t>
      </w:r>
      <w:r w:rsidR="00346143" w:rsidRPr="00EC0229">
        <w:rPr>
          <w:rFonts w:cs="Times New Roman"/>
        </w:rPr>
        <w:fldChar w:fldCharType="begin"/>
      </w:r>
      <w:r w:rsidR="00346143" w:rsidRPr="00EC0229">
        <w:rPr>
          <w:rFonts w:cs="Times New Roman"/>
        </w:rPr>
        <w:instrText xml:space="preserve"> PAGEREF Period3c \h </w:instrText>
      </w:r>
      <w:r w:rsidR="00346143" w:rsidRPr="00EC0229">
        <w:rPr>
          <w:rFonts w:cs="Times New Roman"/>
        </w:rPr>
      </w:r>
      <w:r w:rsidR="00346143" w:rsidRPr="00EC0229">
        <w:rPr>
          <w:rFonts w:cs="Times New Roman"/>
        </w:rPr>
        <w:fldChar w:fldCharType="separate"/>
      </w:r>
      <w:r w:rsidR="0012026B">
        <w:rPr>
          <w:rFonts w:cs="Times New Roman"/>
          <w:noProof/>
        </w:rPr>
        <w:t>100</w:t>
      </w:r>
      <w:r w:rsidR="00346143" w:rsidRPr="00EC0229">
        <w:rPr>
          <w:rFonts w:cs="Times New Roman"/>
        </w:rPr>
        <w:fldChar w:fldCharType="end"/>
      </w:r>
      <w:r w:rsidR="00346143" w:rsidRPr="00EC0229">
        <w:rPr>
          <w:rFonts w:cs="Times New Roman"/>
        </w:rPr>
        <w:t xml:space="preserve">) </w:t>
      </w:r>
      <w:r w:rsidR="00202DB9" w:rsidRPr="00EC0229">
        <w:t>gold coinages.</w:t>
      </w:r>
    </w:p>
    <w:p w14:paraId="75B18411" w14:textId="77777777" w:rsidR="00753F63" w:rsidRPr="00EC0229" w:rsidRDefault="00753F63" w:rsidP="007600EA">
      <w:pPr>
        <w:pStyle w:val="NoSpacing"/>
        <w:spacing w:line="360" w:lineRule="auto"/>
      </w:pPr>
    </w:p>
    <w:p w14:paraId="5B1BB049" w14:textId="0CBCAF17" w:rsidR="008D3DFA" w:rsidRPr="00EC0229" w:rsidRDefault="005F38D6" w:rsidP="007600EA">
      <w:pPr>
        <w:pStyle w:val="Heading3"/>
        <w:spacing w:line="360" w:lineRule="auto"/>
      </w:pPr>
      <w:bookmarkStart w:id="184" w:name="_Toc468266770"/>
      <w:r>
        <w:t>5.2.1</w:t>
      </w:r>
      <w:r>
        <w:tab/>
      </w:r>
      <w:r w:rsidR="00934E30" w:rsidRPr="00EC0229">
        <w:t>Historical Background</w:t>
      </w:r>
      <w:bookmarkEnd w:id="184"/>
    </w:p>
    <w:p w14:paraId="7A0BD051" w14:textId="673CC154" w:rsidR="007C785D" w:rsidRPr="00EC0229" w:rsidRDefault="005F38D6" w:rsidP="007600EA">
      <w:pPr>
        <w:pStyle w:val="Heading4"/>
        <w:spacing w:line="360" w:lineRule="auto"/>
      </w:pPr>
      <w:bookmarkStart w:id="185" w:name="_Toc468266771"/>
      <w:r>
        <w:rPr>
          <w:b/>
        </w:rPr>
        <w:t>5.2.1.1</w:t>
      </w:r>
      <w:r w:rsidR="000E1004">
        <w:rPr>
          <w:b/>
        </w:rPr>
        <w:t xml:space="preserve"> </w:t>
      </w:r>
      <w:r w:rsidR="00753F63" w:rsidRPr="008E6548">
        <w:rPr>
          <w:b/>
        </w:rPr>
        <w:t>T</w:t>
      </w:r>
      <w:r w:rsidR="007C785D" w:rsidRPr="008E6548">
        <w:rPr>
          <w:b/>
        </w:rPr>
        <w:t>he Migration Period</w:t>
      </w:r>
      <w:r w:rsidR="00753F63" w:rsidRPr="00EC0229">
        <w:rPr>
          <w:rStyle w:val="FootnoteReference"/>
          <w:rFonts w:cs="Times New Roman"/>
        </w:rPr>
        <w:footnoteReference w:id="402"/>
      </w:r>
      <w:bookmarkEnd w:id="185"/>
      <w:r w:rsidR="00F204A1" w:rsidRPr="00EC0229">
        <w:fldChar w:fldCharType="begin"/>
      </w:r>
      <w:r w:rsidR="00F204A1" w:rsidRPr="00EC0229">
        <w:instrText xml:space="preserve"> XE "</w:instrText>
      </w:r>
      <w:r w:rsidR="00F204A1" w:rsidRPr="00EC0229">
        <w:rPr>
          <w:rStyle w:val="Hyperlink"/>
          <w:noProof/>
          <w:u w:val="none"/>
        </w:rPr>
        <w:instrText>Migration Period</w:instrText>
      </w:r>
      <w:r w:rsidR="00F204A1" w:rsidRPr="00EC0229">
        <w:instrText xml:space="preserve">" </w:instrText>
      </w:r>
      <w:r w:rsidR="00F204A1" w:rsidRPr="00EC0229">
        <w:fldChar w:fldCharType="end"/>
      </w:r>
    </w:p>
    <w:p w14:paraId="32439DFA" w14:textId="77777777" w:rsidR="007C785D" w:rsidRPr="00EC0229" w:rsidRDefault="007C785D" w:rsidP="007600EA">
      <w:pPr>
        <w:pStyle w:val="NoSpacing"/>
        <w:spacing w:line="360" w:lineRule="auto"/>
        <w:jc w:val="right"/>
        <w:rPr>
          <w:sz w:val="20"/>
          <w:szCs w:val="20"/>
        </w:rPr>
      </w:pPr>
      <w:r w:rsidRPr="00EC0229">
        <w:rPr>
          <w:sz w:val="20"/>
          <w:szCs w:val="20"/>
        </w:rPr>
        <w:t>‘Kann uns zum Vaterland die Fremde werden’</w:t>
      </w:r>
      <w:r w:rsidRPr="00EC0229">
        <w:rPr>
          <w:rStyle w:val="FootnoteReference"/>
          <w:sz w:val="20"/>
          <w:szCs w:val="20"/>
        </w:rPr>
        <w:footnoteReference w:id="403"/>
      </w:r>
      <w:r w:rsidRPr="00EC0229">
        <w:rPr>
          <w:sz w:val="20"/>
          <w:szCs w:val="20"/>
        </w:rPr>
        <w:t xml:space="preserve"> </w:t>
      </w:r>
    </w:p>
    <w:p w14:paraId="5805E866" w14:textId="77777777" w:rsidR="00753F63" w:rsidRPr="00EC0229" w:rsidRDefault="00753F63" w:rsidP="007600EA">
      <w:pPr>
        <w:pStyle w:val="NoSpacing"/>
        <w:spacing w:line="360" w:lineRule="auto"/>
        <w:jc w:val="right"/>
        <w:rPr>
          <w:sz w:val="20"/>
          <w:szCs w:val="20"/>
        </w:rPr>
      </w:pPr>
      <w:r w:rsidRPr="00EC0229">
        <w:rPr>
          <w:sz w:val="20"/>
          <w:szCs w:val="20"/>
        </w:rPr>
        <w:t xml:space="preserve">Wilhelm Levison (1946, </w:t>
      </w:r>
      <w:r w:rsidRPr="00EC0229">
        <w:rPr>
          <w:i/>
          <w:sz w:val="20"/>
          <w:szCs w:val="20"/>
        </w:rPr>
        <w:t>vii</w:t>
      </w:r>
      <w:r w:rsidRPr="00EC0229">
        <w:rPr>
          <w:sz w:val="20"/>
          <w:szCs w:val="20"/>
        </w:rPr>
        <w:t>)</w:t>
      </w:r>
    </w:p>
    <w:p w14:paraId="3A1EB2C4" w14:textId="77777777" w:rsidR="007C785D" w:rsidRPr="00EC0229" w:rsidRDefault="007C785D" w:rsidP="007600EA">
      <w:pPr>
        <w:pStyle w:val="NoSpacing"/>
        <w:spacing w:line="360" w:lineRule="auto"/>
      </w:pPr>
    </w:p>
    <w:p w14:paraId="59FE5DB0" w14:textId="4539BC5A" w:rsidR="00733BFA" w:rsidRPr="00EC0229" w:rsidRDefault="000C778B" w:rsidP="007600EA">
      <w:pPr>
        <w:pStyle w:val="NoSpacing"/>
        <w:spacing w:line="360" w:lineRule="auto"/>
      </w:pPr>
      <w:r w:rsidRPr="00EC0229">
        <w:t>Blair</w:t>
      </w:r>
      <w:r w:rsidR="00D142DC" w:rsidRPr="00EC0229">
        <w:fldChar w:fldCharType="begin"/>
      </w:r>
      <w:r w:rsidR="00D142DC" w:rsidRPr="00EC0229">
        <w:instrText xml:space="preserve"> XE "Blair" </w:instrText>
      </w:r>
      <w:r w:rsidR="00D142DC" w:rsidRPr="00EC0229">
        <w:fldChar w:fldCharType="end"/>
      </w:r>
      <w:r w:rsidR="007C785D" w:rsidRPr="00EC0229">
        <w:t xml:space="preserve"> saw ‘the ethnic (and presumed </w:t>
      </w:r>
      <w:r w:rsidR="00C5315D">
        <w:t>linguistic) melting-pot of the M</w:t>
      </w:r>
      <w:r w:rsidR="007C785D" w:rsidRPr="00EC0229">
        <w:t xml:space="preserve">igration </w:t>
      </w:r>
      <w:r w:rsidR="00C5315D">
        <w:t>P</w:t>
      </w:r>
      <w:r w:rsidR="007C785D" w:rsidRPr="00EC0229">
        <w:t>eriod, culminating in a ‘common “Anglo-Saxondom” of mate</w:t>
      </w:r>
      <w:r w:rsidR="00F139AF" w:rsidRPr="00EC0229">
        <w:t xml:space="preserve">rial culture’ by the late sixth </w:t>
      </w:r>
      <w:r w:rsidR="007C785D" w:rsidRPr="00EC0229">
        <w:t xml:space="preserve">century, and a linguistically distinct </w:t>
      </w:r>
      <w:r w:rsidR="007C785D" w:rsidRPr="00EC0229">
        <w:rPr>
          <w:i/>
        </w:rPr>
        <w:t>gens Anglorum</w:t>
      </w:r>
      <w:r w:rsidR="007C785D" w:rsidRPr="00EC0229">
        <w:t xml:space="preserve"> by the time of Bede</w:t>
      </w:r>
      <w:r w:rsidR="00F66CEB" w:rsidRPr="00EC0229">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fldChar w:fldCharType="end"/>
      </w:r>
      <w:r w:rsidR="007C785D" w:rsidRPr="00EC0229">
        <w:t>.</w:t>
      </w:r>
      <w:r w:rsidR="007C785D" w:rsidRPr="00EC0229">
        <w:rPr>
          <w:rStyle w:val="FootnoteReference"/>
        </w:rPr>
        <w:footnoteReference w:id="404"/>
      </w:r>
      <w:r w:rsidR="00753F63" w:rsidRPr="00EC0229">
        <w:rPr>
          <w:sz w:val="20"/>
          <w:szCs w:val="20"/>
        </w:rPr>
        <w:t xml:space="preserve"> </w:t>
      </w:r>
      <w:r w:rsidR="00753F63" w:rsidRPr="00EC0229">
        <w:rPr>
          <w:szCs w:val="24"/>
        </w:rPr>
        <w:t xml:space="preserve">According to Levison </w:t>
      </w:r>
      <w:r w:rsidR="00980D2D" w:rsidRPr="00EC0229">
        <w:rPr>
          <w:szCs w:val="24"/>
        </w:rPr>
        <w:t>‘a vigorous civilization grew up in a receptive soil, in which the mingling of native and foreign elements yielded a rich harvest.’</w:t>
      </w:r>
      <w:r w:rsidR="00753F63" w:rsidRPr="00EC0229">
        <w:rPr>
          <w:rStyle w:val="FootnoteReference"/>
          <w:szCs w:val="24"/>
        </w:rPr>
        <w:footnoteReference w:id="405"/>
      </w:r>
      <w:r w:rsidR="00980D2D" w:rsidRPr="00EC0229">
        <w:rPr>
          <w:sz w:val="20"/>
          <w:szCs w:val="20"/>
        </w:rPr>
        <w:t xml:space="preserve"> </w:t>
      </w:r>
      <w:bookmarkStart w:id="186" w:name="EarlyNorthumbria"/>
      <w:r w:rsidR="00753F63" w:rsidRPr="00EC0229">
        <w:t xml:space="preserve">However, much of post-Roman, early Northumbrian history </w:t>
      </w:r>
      <w:bookmarkEnd w:id="186"/>
      <w:r w:rsidR="00753F63" w:rsidRPr="00EC0229">
        <w:t>to the late sixth century remains conjectural.</w:t>
      </w:r>
      <w:r w:rsidR="00B16415" w:rsidRPr="00EC0229">
        <w:rPr>
          <w:rStyle w:val="FootnoteReference"/>
        </w:rPr>
        <w:footnoteReference w:id="406"/>
      </w:r>
    </w:p>
    <w:p w14:paraId="257C0D36" w14:textId="77777777" w:rsidR="00733BFA" w:rsidRPr="00EC0229" w:rsidRDefault="00733BFA" w:rsidP="007600EA">
      <w:pPr>
        <w:pStyle w:val="NoSpacing"/>
        <w:spacing w:line="360" w:lineRule="auto"/>
      </w:pPr>
    </w:p>
    <w:p w14:paraId="0528C8D2" w14:textId="0E8C3894" w:rsidR="00753F63" w:rsidRPr="00EC0229" w:rsidRDefault="00980D2D" w:rsidP="007600EA">
      <w:pPr>
        <w:pStyle w:val="NoSpacing"/>
        <w:spacing w:line="360" w:lineRule="auto"/>
      </w:pPr>
      <w:bookmarkStart w:id="187" w:name="BernicianHistory"/>
      <w:bookmarkEnd w:id="187"/>
      <w:r w:rsidRPr="00EC0229">
        <w:t>Bernicia and Deira can be compared to the territories of the Brigantes and Parisii.</w:t>
      </w:r>
      <w:r w:rsidRPr="00EC0229">
        <w:rPr>
          <w:rStyle w:val="FootnoteReference"/>
        </w:rPr>
        <w:footnoteReference w:id="407"/>
      </w:r>
      <w:r w:rsidRPr="00EC0229">
        <w:t xml:space="preserve"> </w:t>
      </w:r>
      <w:r w:rsidR="00467705" w:rsidRPr="00EC0229">
        <w:t>The division was resilient.</w:t>
      </w:r>
      <w:r w:rsidR="00467705" w:rsidRPr="00EC0229">
        <w:rPr>
          <w:rStyle w:val="FootnoteReference"/>
        </w:rPr>
        <w:footnoteReference w:id="408"/>
      </w:r>
      <w:r w:rsidR="00467705" w:rsidRPr="00EC0229">
        <w:t xml:space="preserve"> </w:t>
      </w:r>
      <w:r w:rsidRPr="00EC0229">
        <w:t xml:space="preserve">Bernicia (Brynothic </w:t>
      </w:r>
      <w:r w:rsidRPr="00EC0229">
        <w:rPr>
          <w:i/>
        </w:rPr>
        <w:t>Brynaich</w:t>
      </w:r>
      <w:r w:rsidR="00B87F50" w:rsidRPr="00EC0229">
        <w:t xml:space="preserve"> ‘Land of the Mountain Passes’</w:t>
      </w:r>
      <w:r w:rsidRPr="00EC0229">
        <w:t>)</w:t>
      </w:r>
      <w:r w:rsidRPr="00EC0229">
        <w:rPr>
          <w:rStyle w:val="FootnoteReference"/>
        </w:rPr>
        <w:footnoteReference w:id="409"/>
      </w:r>
      <w:r w:rsidRPr="00EC0229">
        <w:t xml:space="preserve"> original</w:t>
      </w:r>
      <w:r w:rsidR="00A36F5B" w:rsidRPr="00EC0229">
        <w:t>ly</w:t>
      </w:r>
      <w:r w:rsidRPr="00EC0229">
        <w:t xml:space="preserve"> stretched north to include the former Scottish county of East Lothian. </w:t>
      </w:r>
      <w:bookmarkStart w:id="188" w:name="Idings"/>
      <w:bookmarkEnd w:id="188"/>
      <w:r w:rsidRPr="00EC0229">
        <w:t>Ida (reigned 547-59),</w:t>
      </w:r>
      <w:r w:rsidRPr="00EC0229">
        <w:rPr>
          <w:rStyle w:val="FootnoteReference"/>
        </w:rPr>
        <w:footnoteReference w:id="410"/>
      </w:r>
      <w:r w:rsidRPr="00EC0229">
        <w:t xml:space="preserve"> the son of Eoppa, was first king of Bernicia, which was largely coastal, with a capital at Bamburgh Castle (Welsh </w:t>
      </w:r>
      <w:r w:rsidRPr="00EC0229">
        <w:rPr>
          <w:i/>
        </w:rPr>
        <w:t>Din Guardi</w:t>
      </w:r>
      <w:r w:rsidRPr="00EC0229">
        <w:t xml:space="preserve">). His descendants are referred to as the ‘Idings’. </w:t>
      </w:r>
    </w:p>
    <w:p w14:paraId="34633413" w14:textId="4128A806" w:rsidR="00661479" w:rsidRPr="00EC0229" w:rsidRDefault="00661479" w:rsidP="007600EA">
      <w:pPr>
        <w:pStyle w:val="NoSpacing"/>
        <w:spacing w:line="360" w:lineRule="auto"/>
      </w:pPr>
    </w:p>
    <w:p w14:paraId="3E0ED71A" w14:textId="281032B9" w:rsidR="00661479" w:rsidRPr="00EC0229" w:rsidRDefault="002528B2" w:rsidP="00661479">
      <w:pPr>
        <w:pStyle w:val="NoSpacing"/>
        <w:spacing w:line="360" w:lineRule="auto"/>
        <w:rPr>
          <w:rFonts w:cs="Times New Roman"/>
          <w:szCs w:val="24"/>
        </w:rPr>
      </w:pPr>
      <w:r w:rsidRPr="00EC0229">
        <w:rPr>
          <w:rFonts w:cs="Times New Roman"/>
          <w:szCs w:val="24"/>
        </w:rPr>
        <w:t>According to Wood,</w:t>
      </w:r>
      <w:r w:rsidRPr="00EC0229">
        <w:rPr>
          <w:rStyle w:val="FootnoteReference"/>
          <w:rFonts w:cs="Times New Roman"/>
          <w:szCs w:val="24"/>
        </w:rPr>
        <w:footnoteReference w:id="411"/>
      </w:r>
      <w:r w:rsidRPr="00EC0229">
        <w:rPr>
          <w:rFonts w:cs="Times New Roman"/>
          <w:szCs w:val="24"/>
        </w:rPr>
        <w:t xml:space="preserve"> ‘</w:t>
      </w:r>
      <w:r w:rsidR="00661479" w:rsidRPr="00EC0229">
        <w:rPr>
          <w:rFonts w:cs="Times New Roman"/>
          <w:szCs w:val="24"/>
        </w:rPr>
        <w:t xml:space="preserve">Bede talks of the kingdom, region or people of the </w:t>
      </w:r>
      <w:r w:rsidR="00661479" w:rsidRPr="00EC0229">
        <w:rPr>
          <w:rFonts w:cs="Times New Roman"/>
          <w:i/>
          <w:iCs/>
          <w:szCs w:val="24"/>
        </w:rPr>
        <w:t xml:space="preserve">Deiri </w:t>
      </w:r>
      <w:r w:rsidR="00661479" w:rsidRPr="00EC0229">
        <w:rPr>
          <w:rFonts w:cs="Times New Roman"/>
          <w:szCs w:val="24"/>
        </w:rPr>
        <w:t xml:space="preserve">or the </w:t>
      </w:r>
      <w:r w:rsidR="00661479" w:rsidRPr="00EC0229">
        <w:rPr>
          <w:rFonts w:cs="Times New Roman"/>
          <w:i/>
          <w:iCs/>
          <w:szCs w:val="24"/>
        </w:rPr>
        <w:t>Bernicii</w:t>
      </w:r>
      <w:r w:rsidR="00661479" w:rsidRPr="00EC0229">
        <w:rPr>
          <w:rFonts w:cs="Times New Roman"/>
          <w:szCs w:val="24"/>
        </w:rPr>
        <w:t xml:space="preserve">: that is, he sees the northern kingdom as being divided between two peoples, rather than as </w:t>
      </w:r>
      <w:r w:rsidR="00661479" w:rsidRPr="00EC0229">
        <w:rPr>
          <w:rFonts w:cs="Times New Roman"/>
          <w:szCs w:val="24"/>
        </w:rPr>
        <w:lastRenderedPageBreak/>
        <w:t>being two set regions.</w:t>
      </w:r>
      <w:r w:rsidRPr="00EC0229">
        <w:rPr>
          <w:rStyle w:val="FootnoteReference"/>
          <w:rFonts w:cs="Times New Roman"/>
          <w:szCs w:val="24"/>
        </w:rPr>
        <w:footnoteReference w:id="412"/>
      </w:r>
      <w:r w:rsidR="00661479" w:rsidRPr="00EC0229">
        <w:rPr>
          <w:rFonts w:cs="Times New Roman"/>
          <w:szCs w:val="24"/>
        </w:rPr>
        <w:t xml:space="preserve"> Indeed he tends to refer to it as the </w:t>
      </w:r>
      <w:r w:rsidR="00661479" w:rsidRPr="00EC0229">
        <w:rPr>
          <w:rFonts w:cs="Times New Roman"/>
          <w:i/>
          <w:iCs/>
          <w:szCs w:val="24"/>
        </w:rPr>
        <w:t>provincia</w:t>
      </w:r>
      <w:r w:rsidR="00661479" w:rsidRPr="00EC0229">
        <w:rPr>
          <w:rFonts w:cs="Times New Roman"/>
          <w:szCs w:val="24"/>
        </w:rPr>
        <w:t xml:space="preserve">, </w:t>
      </w:r>
      <w:r w:rsidR="00661479" w:rsidRPr="00EC0229">
        <w:rPr>
          <w:rFonts w:cs="Times New Roman"/>
          <w:i/>
          <w:iCs/>
          <w:szCs w:val="24"/>
        </w:rPr>
        <w:t xml:space="preserve">regnum </w:t>
      </w:r>
      <w:r w:rsidR="00661479" w:rsidRPr="00EC0229">
        <w:rPr>
          <w:rFonts w:cs="Times New Roman"/>
          <w:szCs w:val="24"/>
        </w:rPr>
        <w:t xml:space="preserve">or </w:t>
      </w:r>
      <w:r w:rsidR="00661479" w:rsidRPr="00EC0229">
        <w:rPr>
          <w:rFonts w:cs="Times New Roman"/>
          <w:i/>
          <w:iCs/>
          <w:szCs w:val="24"/>
        </w:rPr>
        <w:t>gens Northanhymbrorum</w:t>
      </w:r>
      <w:r w:rsidR="00661479" w:rsidRPr="00EC0229">
        <w:rPr>
          <w:rFonts w:cs="Times New Roman"/>
          <w:szCs w:val="24"/>
        </w:rPr>
        <w:t>, rather than as a geographical entity called Northumbria.</w:t>
      </w:r>
      <w:r w:rsidRPr="00EC0229">
        <w:rPr>
          <w:rStyle w:val="FootnoteReference"/>
          <w:rFonts w:cs="Times New Roman"/>
          <w:szCs w:val="24"/>
        </w:rPr>
        <w:footnoteReference w:id="413"/>
      </w:r>
      <w:r w:rsidR="00647357" w:rsidRPr="00EC0229">
        <w:rPr>
          <w:rFonts w:cs="Times New Roman"/>
          <w:szCs w:val="24"/>
        </w:rPr>
        <w:t>’</w:t>
      </w:r>
    </w:p>
    <w:p w14:paraId="36247969" w14:textId="77777777" w:rsidR="00753F63" w:rsidRPr="00EC0229" w:rsidRDefault="00753F63" w:rsidP="007600EA">
      <w:pPr>
        <w:pStyle w:val="NoSpacing"/>
        <w:spacing w:line="360" w:lineRule="auto"/>
      </w:pPr>
    </w:p>
    <w:p w14:paraId="69D678A1" w14:textId="5928E0ED" w:rsidR="00980D2D" w:rsidRPr="00EC0229" w:rsidRDefault="00980D2D" w:rsidP="007600EA">
      <w:pPr>
        <w:spacing w:line="360" w:lineRule="auto"/>
      </w:pPr>
      <w:r w:rsidRPr="00EC0229">
        <w:t xml:space="preserve">Higham discussed the evolving nature of </w:t>
      </w:r>
      <w:r w:rsidRPr="00EC0229">
        <w:rPr>
          <w:i/>
        </w:rPr>
        <w:t>imperium</w:t>
      </w:r>
      <w:r w:rsidR="00E5341E" w:rsidRPr="00EC0229">
        <w:t xml:space="preserve"> at this time: ‘</w:t>
      </w:r>
      <w:r w:rsidRPr="00EC0229">
        <w:t xml:space="preserve">An </w:t>
      </w:r>
      <w:r w:rsidRPr="00EC0229">
        <w:rPr>
          <w:rFonts w:cs="Times New Roman"/>
        </w:rPr>
        <w:t>Æ</w:t>
      </w:r>
      <w:r w:rsidRPr="00EC0229">
        <w:t xml:space="preserve">thelfrith warrior king of </w:t>
      </w:r>
      <w:r w:rsidRPr="00EC0229">
        <w:rPr>
          <w:i/>
        </w:rPr>
        <w:t>c.</w:t>
      </w:r>
      <w:r w:rsidRPr="00EC0229">
        <w:t>600 was far removed from the coin-minting, tax-collecting, church-founding, law-is</w:t>
      </w:r>
      <w:r w:rsidR="006D716A" w:rsidRPr="00EC0229">
        <w:t>suing, synod-presiding</w:t>
      </w:r>
      <w:r w:rsidRPr="00EC0229">
        <w:t xml:space="preserve"> kings of late seven</w:t>
      </w:r>
      <w:r w:rsidR="00E5341E" w:rsidRPr="00EC0229">
        <w:t>th- and eighth-century England.’</w:t>
      </w:r>
      <w:r w:rsidRPr="00EC0229">
        <w:rPr>
          <w:rStyle w:val="FootnoteReference"/>
        </w:rPr>
        <w:t xml:space="preserve"> </w:t>
      </w:r>
      <w:r w:rsidRPr="00EC0229">
        <w:rPr>
          <w:rStyle w:val="FootnoteReference"/>
        </w:rPr>
        <w:footnoteReference w:id="414"/>
      </w:r>
    </w:p>
    <w:p w14:paraId="63DEA090" w14:textId="24F92CB1" w:rsidR="00980D2D" w:rsidRPr="008E6548" w:rsidRDefault="005F38D6" w:rsidP="007600EA">
      <w:pPr>
        <w:pStyle w:val="Heading4"/>
        <w:spacing w:line="360" w:lineRule="auto"/>
        <w:rPr>
          <w:b/>
        </w:rPr>
      </w:pPr>
      <w:bookmarkStart w:id="189" w:name="Conversionperiod"/>
      <w:bookmarkStart w:id="190" w:name="_Toc468266772"/>
      <w:bookmarkEnd w:id="189"/>
      <w:r>
        <w:rPr>
          <w:b/>
        </w:rPr>
        <w:t>5.2.1.2</w:t>
      </w:r>
      <w:r>
        <w:rPr>
          <w:b/>
        </w:rPr>
        <w:tab/>
      </w:r>
      <w:r w:rsidR="00980D2D" w:rsidRPr="008E6548">
        <w:rPr>
          <w:b/>
        </w:rPr>
        <w:t>The Conversion period</w:t>
      </w:r>
      <w:bookmarkEnd w:id="190"/>
      <w:r w:rsidR="00D53746" w:rsidRPr="008E6548">
        <w:rPr>
          <w:b/>
        </w:rPr>
        <w:t xml:space="preserve"> </w:t>
      </w:r>
    </w:p>
    <w:p w14:paraId="4536388C" w14:textId="77777777" w:rsidR="00E5341E" w:rsidRPr="00EC0229" w:rsidRDefault="00980D2D" w:rsidP="007600EA">
      <w:pPr>
        <w:autoSpaceDE w:val="0"/>
        <w:autoSpaceDN w:val="0"/>
        <w:adjustRightInd w:val="0"/>
        <w:spacing w:after="0" w:line="360" w:lineRule="auto"/>
        <w:jc w:val="right"/>
        <w:rPr>
          <w:sz w:val="20"/>
          <w:szCs w:val="20"/>
        </w:rPr>
      </w:pPr>
      <w:r w:rsidRPr="00EC0229">
        <w:rPr>
          <w:sz w:val="20"/>
          <w:szCs w:val="20"/>
        </w:rPr>
        <w:t xml:space="preserve"> ‘the Christian conversion of Anglo-Saxon England had a disastrous effect </w:t>
      </w:r>
    </w:p>
    <w:p w14:paraId="6EC2999D" w14:textId="26A5E45B" w:rsidR="00980D2D" w:rsidRPr="00EC0229" w:rsidRDefault="00980D2D" w:rsidP="007600EA">
      <w:pPr>
        <w:autoSpaceDE w:val="0"/>
        <w:autoSpaceDN w:val="0"/>
        <w:adjustRightInd w:val="0"/>
        <w:spacing w:after="0" w:line="360" w:lineRule="auto"/>
        <w:jc w:val="right"/>
        <w:rPr>
          <w:sz w:val="20"/>
          <w:szCs w:val="20"/>
        </w:rPr>
      </w:pPr>
      <w:r w:rsidRPr="00EC0229">
        <w:rPr>
          <w:sz w:val="20"/>
          <w:szCs w:val="20"/>
        </w:rPr>
        <w:t>on the survival of material for archaeological analysis’</w:t>
      </w:r>
    </w:p>
    <w:p w14:paraId="3A8C0C0E" w14:textId="4825F3AD" w:rsidR="00980D2D" w:rsidRPr="00EC0229" w:rsidRDefault="00980D2D" w:rsidP="007600EA">
      <w:pPr>
        <w:autoSpaceDE w:val="0"/>
        <w:autoSpaceDN w:val="0"/>
        <w:adjustRightInd w:val="0"/>
        <w:spacing w:after="0" w:line="360" w:lineRule="auto"/>
        <w:jc w:val="right"/>
        <w:rPr>
          <w:sz w:val="20"/>
          <w:szCs w:val="20"/>
        </w:rPr>
      </w:pPr>
      <w:r w:rsidRPr="00EC0229">
        <w:rPr>
          <w:sz w:val="20"/>
          <w:szCs w:val="20"/>
        </w:rPr>
        <w:t xml:space="preserve">Richard Bailey </w:t>
      </w:r>
      <w:r w:rsidR="00B87AA5" w:rsidRPr="00EC0229">
        <w:rPr>
          <w:sz w:val="20"/>
          <w:szCs w:val="20"/>
        </w:rPr>
        <w:t xml:space="preserve">(1974, </w:t>
      </w:r>
      <w:r w:rsidRPr="00EC0229">
        <w:rPr>
          <w:sz w:val="20"/>
          <w:szCs w:val="20"/>
        </w:rPr>
        <w:t>146</w:t>
      </w:r>
      <w:r w:rsidR="00B87AA5" w:rsidRPr="00EC0229">
        <w:rPr>
          <w:sz w:val="20"/>
          <w:szCs w:val="20"/>
        </w:rPr>
        <w:t>)</w:t>
      </w:r>
      <w:r w:rsidRPr="00EC0229">
        <w:rPr>
          <w:sz w:val="20"/>
          <w:szCs w:val="20"/>
        </w:rPr>
        <w:t>.</w:t>
      </w:r>
    </w:p>
    <w:p w14:paraId="29B73DD8" w14:textId="43EBFAAA" w:rsidR="00980D2D" w:rsidRPr="00EC0229" w:rsidRDefault="006D716A" w:rsidP="007600EA">
      <w:pPr>
        <w:autoSpaceDE w:val="0"/>
        <w:autoSpaceDN w:val="0"/>
        <w:adjustRightInd w:val="0"/>
        <w:spacing w:after="0" w:line="360" w:lineRule="auto"/>
        <w:rPr>
          <w:color w:val="FF0000"/>
        </w:rPr>
      </w:pPr>
      <w:r w:rsidRPr="00EC0229">
        <w:t xml:space="preserve">While some earlier tremisses have been found in England, </w:t>
      </w:r>
      <w:r w:rsidR="00C77754" w:rsidRPr="00EC0229">
        <w:t>the</w:t>
      </w:r>
      <w:r w:rsidRPr="00EC0229">
        <w:t xml:space="preserve"> focus </w:t>
      </w:r>
      <w:r w:rsidR="006367B0" w:rsidRPr="00EC0229">
        <w:t xml:space="preserve">here </w:t>
      </w:r>
      <w:r w:rsidR="00C77754" w:rsidRPr="00EC0229">
        <w:t xml:space="preserve">is </w:t>
      </w:r>
      <w:r w:rsidRPr="00EC0229">
        <w:t>on the historical background to the coin issuance in Northumbria, commencing in the Conversion Period.</w:t>
      </w:r>
      <w:r w:rsidR="00980D2D" w:rsidRPr="00EC0229">
        <w:rPr>
          <w:color w:val="FF0000"/>
        </w:rPr>
        <w:t xml:space="preserve"> </w:t>
      </w:r>
    </w:p>
    <w:p w14:paraId="75CC4941" w14:textId="77777777" w:rsidR="00980D2D" w:rsidRPr="00EC0229" w:rsidRDefault="00980D2D" w:rsidP="007600EA">
      <w:pPr>
        <w:pStyle w:val="NoSpacing"/>
        <w:spacing w:line="360" w:lineRule="auto"/>
      </w:pPr>
    </w:p>
    <w:p w14:paraId="14A028EE" w14:textId="51CA1E67" w:rsidR="00980D2D" w:rsidRPr="00EC0229" w:rsidRDefault="00980D2D" w:rsidP="007600EA">
      <w:pPr>
        <w:spacing w:line="360" w:lineRule="auto"/>
      </w:pPr>
      <w:r w:rsidRPr="00EC0229">
        <w:rPr>
          <w:rFonts w:cs="Times New Roman"/>
        </w:rPr>
        <w:t xml:space="preserve">In 597, a somewhat reluctant Augustine, sent by </w:t>
      </w:r>
      <w:r w:rsidRPr="00EC0229">
        <w:t>Pope Gregory the Great,</w:t>
      </w:r>
      <w:r w:rsidRPr="00EC0229">
        <w:rPr>
          <w:rFonts w:cs="Times New Roman"/>
        </w:rPr>
        <w:t xml:space="preserve"> arrived at the court of Æ</w:t>
      </w:r>
      <w:r w:rsidRPr="00EC0229">
        <w:t>thelberht of Kent. In the same year, St Columba (Columcille), Irish founder of the abbey on Iona, died, presaging the dominance of the Roman faith over Celtic beliefs.</w:t>
      </w:r>
    </w:p>
    <w:p w14:paraId="6C626B9E" w14:textId="0CD21D50" w:rsidR="00C57DCF" w:rsidRPr="008E6548" w:rsidRDefault="005F38D6" w:rsidP="00AC1D28">
      <w:pPr>
        <w:pStyle w:val="Heading4"/>
        <w:spacing w:line="360" w:lineRule="auto"/>
        <w:rPr>
          <w:b/>
        </w:rPr>
      </w:pPr>
      <w:bookmarkStart w:id="191" w:name="_Toc468266773"/>
      <w:r>
        <w:rPr>
          <w:b/>
        </w:rPr>
        <w:t>5.2.1.3</w:t>
      </w:r>
      <w:r>
        <w:rPr>
          <w:b/>
        </w:rPr>
        <w:tab/>
      </w:r>
      <w:r w:rsidR="006B6170" w:rsidRPr="008E6548">
        <w:rPr>
          <w:b/>
        </w:rPr>
        <w:t>Kings</w:t>
      </w:r>
      <w:bookmarkEnd w:id="191"/>
      <w:r w:rsidR="00D53746" w:rsidRPr="008E6548">
        <w:rPr>
          <w:b/>
        </w:rPr>
        <w:t xml:space="preserve"> </w:t>
      </w:r>
    </w:p>
    <w:p w14:paraId="7728B99E" w14:textId="414EB9EA" w:rsidR="00E04862" w:rsidRPr="00EC0229" w:rsidRDefault="00FF2E0D" w:rsidP="007600EA">
      <w:pPr>
        <w:pStyle w:val="NoSpacing"/>
        <w:spacing w:line="360" w:lineRule="auto"/>
        <w:jc w:val="right"/>
        <w:rPr>
          <w:sz w:val="20"/>
          <w:szCs w:val="20"/>
        </w:rPr>
      </w:pPr>
      <w:r w:rsidRPr="00EC0229">
        <w:rPr>
          <w:sz w:val="20"/>
          <w:szCs w:val="20"/>
        </w:rPr>
        <w:t xml:space="preserve"> </w:t>
      </w:r>
      <w:r w:rsidR="00E04862" w:rsidRPr="00EC0229">
        <w:rPr>
          <w:sz w:val="20"/>
          <w:szCs w:val="20"/>
        </w:rPr>
        <w:t>‘kings make wars and wars make kings’</w:t>
      </w:r>
    </w:p>
    <w:p w14:paraId="7065E419" w14:textId="77777777" w:rsidR="00E04862" w:rsidRPr="00EC0229" w:rsidRDefault="00E04862" w:rsidP="002339C3">
      <w:pPr>
        <w:pStyle w:val="NoSpacing"/>
        <w:spacing w:line="360" w:lineRule="auto"/>
        <w:jc w:val="right"/>
        <w:rPr>
          <w:sz w:val="20"/>
          <w:szCs w:val="20"/>
        </w:rPr>
      </w:pPr>
      <w:r w:rsidRPr="00EC0229">
        <w:rPr>
          <w:sz w:val="20"/>
          <w:szCs w:val="20"/>
        </w:rPr>
        <w:t>Anon.</w:t>
      </w:r>
      <w:r w:rsidRPr="00EC0229">
        <w:rPr>
          <w:rStyle w:val="FootnoteReference"/>
          <w:sz w:val="20"/>
          <w:szCs w:val="20"/>
        </w:rPr>
        <w:footnoteReference w:id="415"/>
      </w:r>
    </w:p>
    <w:p w14:paraId="0B5A95A1" w14:textId="4C5A4EDE" w:rsidR="001F6AB2" w:rsidRPr="00EC0229" w:rsidRDefault="009C18E7" w:rsidP="007600EA">
      <w:pPr>
        <w:spacing w:line="360" w:lineRule="auto"/>
      </w:pPr>
      <w:r w:rsidRPr="00EC0229">
        <w:t xml:space="preserve">Five of the </w:t>
      </w:r>
      <w:r w:rsidR="000320B6" w:rsidRPr="00EC0229">
        <w:t xml:space="preserve">expansionist </w:t>
      </w:r>
      <w:r w:rsidRPr="00EC0229">
        <w:t xml:space="preserve">warrior kings of seventh-century Northumbria died in battle, two were murdered by Cadwallon and </w:t>
      </w:r>
      <w:r w:rsidR="000320B6" w:rsidRPr="00EC0229">
        <w:t>two apparently died naturally. This is a contrast with the subsequent century when internecine strife caused the majority of deaths.</w:t>
      </w:r>
      <w:r w:rsidR="006F661F" w:rsidRPr="00EC0229">
        <w:rPr>
          <w:rStyle w:val="FootnoteReference"/>
        </w:rPr>
        <w:footnoteReference w:id="416"/>
      </w:r>
      <w:r w:rsidR="000320B6" w:rsidRPr="00EC0229">
        <w:t xml:space="preserve"> The victories, defeats, demises and main events are set out in </w:t>
      </w:r>
      <w:r w:rsidR="000320B6" w:rsidRPr="00EC0229">
        <w:rPr>
          <w:i/>
        </w:rPr>
        <w:t>Table</w:t>
      </w:r>
      <w:r w:rsidR="00AC1D28" w:rsidRPr="00EC0229">
        <w:t xml:space="preserve"> 5.</w:t>
      </w:r>
      <w:r w:rsidR="00AC1D28" w:rsidRPr="00EC0229">
        <w:rPr>
          <w:i/>
        </w:rPr>
        <w:t>0</w:t>
      </w:r>
      <w:r w:rsidR="00464752" w:rsidRPr="00EC0229">
        <w:rPr>
          <w:i/>
        </w:rPr>
        <w:t>5</w:t>
      </w:r>
      <w:r w:rsidR="000320B6" w:rsidRPr="00EC0229">
        <w:t xml:space="preserve">. </w:t>
      </w:r>
    </w:p>
    <w:p w14:paraId="49C11A1B" w14:textId="05F4C643" w:rsidR="00980D2D" w:rsidRPr="00EC0229" w:rsidRDefault="00CB0AB8" w:rsidP="007600EA">
      <w:pPr>
        <w:spacing w:line="360" w:lineRule="auto"/>
      </w:pPr>
      <w:r w:rsidRPr="00EC0229">
        <w:t>R</w:t>
      </w:r>
      <w:r w:rsidRPr="00EC0229">
        <w:rPr>
          <w:rFonts w:cs="Times New Roman"/>
        </w:rPr>
        <w:t>æd</w:t>
      </w:r>
      <w:r w:rsidRPr="00EC0229">
        <w:t>wald</w:t>
      </w:r>
      <w:r w:rsidRPr="00EC0229">
        <w:rPr>
          <w:rStyle w:val="FootnoteReference"/>
        </w:rPr>
        <w:footnoteReference w:id="417"/>
      </w:r>
      <w:r w:rsidRPr="00EC0229">
        <w:t xml:space="preserve"> installed Edwin as king of Northumbria, interrupting the Bernician dominance, and York (now </w:t>
      </w:r>
      <w:r w:rsidRPr="00EC0229">
        <w:rPr>
          <w:i/>
        </w:rPr>
        <w:t>Eoforwic</w:t>
      </w:r>
      <w:r w:rsidRPr="00EC0229">
        <w:t xml:space="preserve">, ‘place of the boar’) became the capital. </w:t>
      </w:r>
      <w:r w:rsidR="00980D2D" w:rsidRPr="00EC0229">
        <w:t xml:space="preserve">At the start of his reign in 616, Edwin invaded Elmet, a small British outpost between the Wharfe and Sheaf, distinguished by Brythonic-derived place names and significant defensive earthworks. Elmet </w:t>
      </w:r>
      <w:r w:rsidR="00980D2D" w:rsidRPr="00EC0229">
        <w:lastRenderedPageBreak/>
        <w:t xml:space="preserve">was the most northerly territory to be included, at six hundred </w:t>
      </w:r>
      <w:r w:rsidR="00980D2D" w:rsidRPr="00EC0229">
        <w:rPr>
          <w:i/>
        </w:rPr>
        <w:t>hides</w:t>
      </w:r>
      <w:r w:rsidR="00980D2D" w:rsidRPr="00EC0229">
        <w:t xml:space="preserve">, in the </w:t>
      </w:r>
      <w:r w:rsidR="00980D2D" w:rsidRPr="00EC0229">
        <w:rPr>
          <w:i/>
        </w:rPr>
        <w:t>Tribal Hidage</w:t>
      </w:r>
      <w:r w:rsidR="00980D2D" w:rsidRPr="00EC0229">
        <w:t>.</w:t>
      </w:r>
      <w:r w:rsidR="00980D2D" w:rsidRPr="00EC0229">
        <w:rPr>
          <w:rStyle w:val="FootnoteReference"/>
        </w:rPr>
        <w:footnoteReference w:id="418"/>
      </w:r>
      <w:r w:rsidR="00980D2D" w:rsidRPr="00EC0229">
        <w:t xml:space="preserve"> In 627, it was incorporated into Northumbria.</w:t>
      </w:r>
    </w:p>
    <w:p w14:paraId="10135255" w14:textId="53267194" w:rsidR="00980D2D" w:rsidRPr="00EC0229" w:rsidRDefault="00980D2D" w:rsidP="007600EA">
      <w:pPr>
        <w:spacing w:line="360" w:lineRule="auto"/>
      </w:pPr>
      <w:r w:rsidRPr="00EC0229">
        <w:t>Edwin</w:t>
      </w:r>
      <w:r w:rsidR="002F700E" w:rsidRPr="00EC0229">
        <w:t>,</w:t>
      </w:r>
      <w:r w:rsidRPr="00EC0229">
        <w:t xml:space="preserve"> </w:t>
      </w:r>
      <w:r w:rsidR="002F700E" w:rsidRPr="00EC0229">
        <w:t>for whom Bede had high regard,</w:t>
      </w:r>
      <w:r w:rsidR="002F700E" w:rsidRPr="00EC0229">
        <w:rPr>
          <w:rStyle w:val="FootnoteReference"/>
        </w:rPr>
        <w:t xml:space="preserve"> </w:t>
      </w:r>
      <w:r w:rsidR="002F700E" w:rsidRPr="00EC0229">
        <w:rPr>
          <w:rStyle w:val="FootnoteReference"/>
        </w:rPr>
        <w:footnoteReference w:id="419"/>
      </w:r>
      <w:r w:rsidR="002F700E" w:rsidRPr="00EC0229">
        <w:t xml:space="preserve">  </w:t>
      </w:r>
      <w:r w:rsidR="001F6AB2" w:rsidRPr="00EC0229">
        <w:t xml:space="preserve">received </w:t>
      </w:r>
      <w:r w:rsidRPr="00EC0229">
        <w:t>baptism in 627, after conversion by Paulinus at Goodmanham.</w:t>
      </w:r>
      <w:r w:rsidRPr="00EC0229">
        <w:rPr>
          <w:rStyle w:val="FootnoteReference"/>
        </w:rPr>
        <w:footnoteReference w:id="420"/>
      </w:r>
      <w:r w:rsidR="002F700E" w:rsidRPr="00EC0229">
        <w:t xml:space="preserve"> He</w:t>
      </w:r>
      <w:r w:rsidR="001F6AB2" w:rsidRPr="00EC0229">
        <w:t xml:space="preserve"> </w:t>
      </w:r>
      <w:r w:rsidRPr="00EC0229">
        <w:t>waged annual wars to expand his territory as far as Strathclyde, Rheged (Carlisle &amp; Solway), Mersey, Anglesey and Man. His court travelled around his kingdom collecting renders and dispensing justice. His royal palaces included Yeavering, Barwick, Goodmanham and, possibly, Sancton.</w:t>
      </w:r>
      <w:r w:rsidRPr="00EC0229">
        <w:rPr>
          <w:rStyle w:val="FootnoteReference"/>
        </w:rPr>
        <w:footnoteReference w:id="421"/>
      </w:r>
    </w:p>
    <w:p w14:paraId="236A2C7E" w14:textId="1AE8BA2F" w:rsidR="00980D2D" w:rsidRPr="00EC0229" w:rsidRDefault="00980D2D" w:rsidP="007600EA">
      <w:pPr>
        <w:spacing w:line="360" w:lineRule="auto"/>
      </w:pPr>
      <w:r w:rsidRPr="00EC0229">
        <w:t>At the Battle of Hatfield Chase (</w:t>
      </w:r>
      <w:proofErr w:type="spellStart"/>
      <w:r w:rsidRPr="00EC0229">
        <w:rPr>
          <w:i/>
        </w:rPr>
        <w:t>H</w:t>
      </w:r>
      <w:r w:rsidRPr="00EC0229">
        <w:rPr>
          <w:rFonts w:cs="Times New Roman"/>
          <w:i/>
        </w:rPr>
        <w:t>æđ</w:t>
      </w:r>
      <w:r w:rsidRPr="00EC0229">
        <w:rPr>
          <w:i/>
        </w:rPr>
        <w:t>feld</w:t>
      </w:r>
      <w:proofErr w:type="spellEnd"/>
      <w:r w:rsidRPr="00EC0229">
        <w:rPr>
          <w:i/>
        </w:rPr>
        <w:t xml:space="preserve"> </w:t>
      </w:r>
      <w:r w:rsidRPr="00EC0229">
        <w:t>near Doncaster) in 633,</w:t>
      </w:r>
      <w:r w:rsidRPr="00EC0229">
        <w:rPr>
          <w:rStyle w:val="FootnoteReference"/>
        </w:rPr>
        <w:footnoteReference w:id="422"/>
      </w:r>
      <w:r w:rsidRPr="00EC0229">
        <w:t xml:space="preserve"> Edwin was killed</w:t>
      </w:r>
      <w:r w:rsidR="001F6AB2" w:rsidRPr="00EC0229">
        <w:t xml:space="preserve"> by Cadwallon.</w:t>
      </w:r>
      <w:r w:rsidRPr="00EC0229">
        <w:t xml:space="preserve"> Revenge, in Bede’s eyes, was close at hand,</w:t>
      </w:r>
      <w:r w:rsidRPr="00EC0229">
        <w:rPr>
          <w:rStyle w:val="FootnoteReference"/>
        </w:rPr>
        <w:footnoteReference w:id="423"/>
      </w:r>
      <w:r w:rsidRPr="00EC0229">
        <w:t xml:space="preserve"> for in 634 at the b</w:t>
      </w:r>
      <w:r w:rsidRPr="00EC0229">
        <w:rPr>
          <w:bCs/>
        </w:rPr>
        <w:t>attle of Heavenfield (</w:t>
      </w:r>
      <w:r w:rsidRPr="00EC0229">
        <w:rPr>
          <w:i/>
          <w:iCs/>
        </w:rPr>
        <w:t>Hefenfelth</w:t>
      </w:r>
      <w:r w:rsidR="002F700E" w:rsidRPr="00EC0229">
        <w:t>, Rowley Burn</w:t>
      </w:r>
      <w:r w:rsidRPr="00EC0229">
        <w:t>), Eanfrith’s brother Oswald killed Cadwallon.</w:t>
      </w:r>
      <w:r w:rsidRPr="00EC0229">
        <w:rPr>
          <w:rStyle w:val="FootnoteReference"/>
        </w:rPr>
        <w:footnoteReference w:id="424"/>
      </w:r>
      <w:r w:rsidR="001F6AB2" w:rsidRPr="00EC0229">
        <w:t xml:space="preserve"> In turn, </w:t>
      </w:r>
      <w:r w:rsidRPr="00EC0229">
        <w:t>Oswald was killed by Penda in 642 at the Battle of Maserfield (Oswestry?).</w:t>
      </w:r>
      <w:r w:rsidRPr="00EC0229">
        <w:rPr>
          <w:rStyle w:val="FootnoteReference"/>
        </w:rPr>
        <w:footnoteReference w:id="425"/>
      </w:r>
      <w:r w:rsidRPr="00EC0229">
        <w:t xml:space="preserve"> </w:t>
      </w:r>
    </w:p>
    <w:p w14:paraId="3B39A27C" w14:textId="055FA62B" w:rsidR="00980D2D" w:rsidRPr="00EC0229" w:rsidRDefault="00980D2D" w:rsidP="007600EA">
      <w:pPr>
        <w:spacing w:line="360" w:lineRule="auto"/>
      </w:pPr>
      <w:r w:rsidRPr="00EC0229">
        <w:t>After suffering some years of ‘intolerable incursions’ and ‘godless destruction’</w:t>
      </w:r>
      <w:r w:rsidRPr="00EC0229">
        <w:rPr>
          <w:rStyle w:val="FootnoteReference"/>
        </w:rPr>
        <w:footnoteReference w:id="426"/>
      </w:r>
      <w:r w:rsidRPr="00EC0229">
        <w:t xml:space="preserve"> in Northumbria, especially around Bamburgh, fighting on British territory in Elmet in 655 Oswy unexpectedly defeated and killed Penda at the Battle of Winw</w:t>
      </w:r>
      <w:r w:rsidRPr="00EC0229">
        <w:rPr>
          <w:rFonts w:cs="Times New Roman"/>
        </w:rPr>
        <w:t>æ</w:t>
      </w:r>
      <w:r w:rsidRPr="00EC0229">
        <w:t xml:space="preserve">d (near </w:t>
      </w:r>
      <w:r w:rsidRPr="00EC0229">
        <w:rPr>
          <w:i/>
        </w:rPr>
        <w:t>Liodis</w:t>
      </w:r>
      <w:r w:rsidRPr="00EC0229">
        <w:t xml:space="preserve">, Leeds), and temporarily became </w:t>
      </w:r>
      <w:r w:rsidRPr="00EC0229">
        <w:rPr>
          <w:i/>
        </w:rPr>
        <w:t>bretwalda</w:t>
      </w:r>
      <w:r w:rsidRPr="00EC0229">
        <w:t>.</w:t>
      </w:r>
      <w:r w:rsidRPr="00EC0229">
        <w:rPr>
          <w:rStyle w:val="FootnoteReference"/>
        </w:rPr>
        <w:footnoteReference w:id="427"/>
      </w:r>
      <w:r w:rsidRPr="00EC0229">
        <w:t xml:space="preserve"> Oswy’s second (of possibly three wives), the Irish prin</w:t>
      </w:r>
      <w:r w:rsidR="001F6AB2" w:rsidRPr="00EC0229">
        <w:t>cess Fin</w:t>
      </w:r>
      <w:r w:rsidRPr="00EC0229">
        <w:t xml:space="preserve">, bore him Aldfrith. </w:t>
      </w:r>
    </w:p>
    <w:p w14:paraId="604622D1" w14:textId="53973144" w:rsidR="00980D2D" w:rsidRPr="00EC0229" w:rsidRDefault="00980D2D" w:rsidP="007600EA">
      <w:pPr>
        <w:spacing w:line="360" w:lineRule="auto"/>
      </w:pPr>
      <w:r w:rsidRPr="00EC0229">
        <w:t>Ecgfrith (645-685), king of Deira from 664, was elevated to king of Northumbria o</w:t>
      </w:r>
      <w:r w:rsidR="001F6AB2" w:rsidRPr="00EC0229">
        <w:t>n the death of his father, Oswy</w:t>
      </w:r>
      <w:r w:rsidRPr="00EC0229">
        <w:t>, in 670. The following year, he quelled a Pictish uprising in the Battle of Two Rivers and took land between the Firth of Forth and the Tweed.</w:t>
      </w:r>
      <w:r w:rsidRPr="00EC0229">
        <w:rPr>
          <w:rStyle w:val="FootnoteReference"/>
        </w:rPr>
        <w:footnoteReference w:id="428"/>
      </w:r>
      <w:r w:rsidR="001F6AB2" w:rsidRPr="00EC0229">
        <w:t xml:space="preserve"> </w:t>
      </w:r>
      <w:r w:rsidRPr="00EC0229">
        <w:t xml:space="preserve">In 674, Ecgfrith defeated Wulfhere of Mercia. Lindsey was seized but lost again in 679 at the Battle of the Trent where Ecgfrith fought </w:t>
      </w:r>
      <w:r w:rsidRPr="00EC0229">
        <w:rPr>
          <w:rFonts w:cs="Times New Roman"/>
        </w:rPr>
        <w:t>Æ</w:t>
      </w:r>
      <w:r w:rsidRPr="00EC0229">
        <w:t>thelred of Mercia.</w:t>
      </w:r>
      <w:r w:rsidRPr="00EC0229">
        <w:rPr>
          <w:rStyle w:val="FootnoteReference"/>
        </w:rPr>
        <w:footnoteReference w:id="429"/>
      </w:r>
      <w:r w:rsidRPr="00EC0229">
        <w:t xml:space="preserve"> </w:t>
      </w:r>
    </w:p>
    <w:p w14:paraId="455ADB05" w14:textId="676987AD" w:rsidR="00980D2D" w:rsidRPr="00EC0229" w:rsidRDefault="00980D2D" w:rsidP="007600EA">
      <w:pPr>
        <w:pStyle w:val="NoSpacing"/>
        <w:spacing w:line="360" w:lineRule="auto"/>
      </w:pPr>
      <w:r w:rsidRPr="00EC0229">
        <w:t>The most decisive battle in Northumbrian fortunes took place at Nechtansmere (</w:t>
      </w:r>
      <w:r w:rsidRPr="00EC0229">
        <w:rPr>
          <w:bCs/>
        </w:rPr>
        <w:t xml:space="preserve">Dun Nechtain) </w:t>
      </w:r>
      <w:r w:rsidRPr="00EC0229">
        <w:t>in 685.</w:t>
      </w:r>
      <w:r w:rsidRPr="00EC0229">
        <w:rPr>
          <w:rStyle w:val="FootnoteReference"/>
        </w:rPr>
        <w:footnoteReference w:id="430"/>
      </w:r>
      <w:r w:rsidRPr="00EC0229">
        <w:t xml:space="preserve"> Against advice from his counsel, including Cuthbert, Ecgfrith attacked Fortiu but </w:t>
      </w:r>
      <w:r w:rsidRPr="00EC0229">
        <w:lastRenderedPageBreak/>
        <w:t>was lured into the mountain passes near Forfar by Bridei</w:t>
      </w:r>
      <w:r w:rsidR="001F6AB2" w:rsidRPr="00EC0229">
        <w:t xml:space="preserve"> Mac Bili</w:t>
      </w:r>
      <w:r w:rsidRPr="00EC0229">
        <w:t>’s feigned retreat. Ecgfrith’s force was ambushed and he perished with his army. Influence over Pictish lands north of the Forth was lost, only Carlisle and Whithorn in Rheged were retained. This was a catastrophic watershed in Northumbrian fortunes.</w:t>
      </w:r>
      <w:r w:rsidRPr="00EC0229">
        <w:rPr>
          <w:rStyle w:val="FootnoteReference"/>
        </w:rPr>
        <w:footnoteReference w:id="431"/>
      </w:r>
    </w:p>
    <w:p w14:paraId="4A4548DD" w14:textId="1BD7A508" w:rsidR="001F6AB2" w:rsidRPr="00EC0229" w:rsidRDefault="00B7034B" w:rsidP="007600EA">
      <w:pPr>
        <w:pStyle w:val="NoSpacing"/>
        <w:spacing w:line="360" w:lineRule="auto"/>
        <w:rPr>
          <w:i/>
          <w:sz w:val="18"/>
          <w:szCs w:val="18"/>
        </w:rPr>
      </w:pPr>
      <w:r w:rsidRPr="00EC0229">
        <w:rPr>
          <w:noProof/>
          <w:lang w:eastAsia="en-GB"/>
        </w:rPr>
        <w:drawing>
          <wp:anchor distT="0" distB="0" distL="114300" distR="114300" simplePos="0" relativeHeight="251670528" behindDoc="1" locked="0" layoutInCell="1" allowOverlap="1" wp14:anchorId="5AF86029" wp14:editId="03794932">
            <wp:simplePos x="0" y="0"/>
            <wp:positionH relativeFrom="margin">
              <wp:posOffset>1892300</wp:posOffset>
            </wp:positionH>
            <wp:positionV relativeFrom="page">
              <wp:posOffset>929640</wp:posOffset>
            </wp:positionV>
            <wp:extent cx="1892808" cy="2176272"/>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erlemno, Higham 138 0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92808" cy="2176272"/>
                    </a:xfrm>
                    <a:prstGeom prst="rect">
                      <a:avLst/>
                    </a:prstGeom>
                  </pic:spPr>
                </pic:pic>
              </a:graphicData>
            </a:graphic>
            <wp14:sizeRelH relativeFrom="page">
              <wp14:pctWidth>0</wp14:pctWidth>
            </wp14:sizeRelH>
            <wp14:sizeRelV relativeFrom="page">
              <wp14:pctHeight>0</wp14:pctHeight>
            </wp14:sizeRelV>
          </wp:anchor>
        </w:drawing>
      </w:r>
    </w:p>
    <w:p w14:paraId="2EDA3346" w14:textId="44E4D094" w:rsidR="00346955" w:rsidRPr="00EC0229" w:rsidRDefault="001D32A1" w:rsidP="00B7034B">
      <w:pPr>
        <w:pStyle w:val="NoSpacing"/>
        <w:spacing w:line="360" w:lineRule="auto"/>
        <w:jc w:val="center"/>
        <w:rPr>
          <w:sz w:val="18"/>
          <w:szCs w:val="18"/>
        </w:rPr>
      </w:pPr>
      <w:bookmarkStart w:id="192" w:name="_Toc468266975"/>
      <w:r w:rsidRPr="00EC0229">
        <w:rPr>
          <w:i/>
          <w:sz w:val="18"/>
          <w:szCs w:val="18"/>
        </w:rPr>
        <w:t>Figure</w:t>
      </w:r>
      <w:r w:rsidRPr="00EC0229">
        <w:rPr>
          <w:sz w:val="18"/>
          <w:szCs w:val="18"/>
        </w:rPr>
        <w:t xml:space="preserve"> </w:t>
      </w:r>
      <w:r w:rsidRPr="00EC0229">
        <w:rPr>
          <w:sz w:val="18"/>
          <w:szCs w:val="18"/>
        </w:rPr>
        <w:fldChar w:fldCharType="begin"/>
      </w:r>
      <w:r w:rsidRPr="00EC0229">
        <w:rPr>
          <w:sz w:val="18"/>
          <w:szCs w:val="18"/>
        </w:rPr>
        <w:instrText xml:space="preserve"> SEQ Figure \* ARABIC </w:instrText>
      </w:r>
      <w:r w:rsidRPr="00EC0229">
        <w:rPr>
          <w:sz w:val="18"/>
          <w:szCs w:val="18"/>
        </w:rPr>
        <w:fldChar w:fldCharType="separate"/>
      </w:r>
      <w:r w:rsidR="0012026B">
        <w:rPr>
          <w:noProof/>
          <w:sz w:val="18"/>
          <w:szCs w:val="18"/>
        </w:rPr>
        <w:t>3</w:t>
      </w:r>
      <w:r w:rsidRPr="00EC0229">
        <w:rPr>
          <w:sz w:val="18"/>
          <w:szCs w:val="18"/>
        </w:rPr>
        <w:fldChar w:fldCharType="end"/>
      </w:r>
      <w:r w:rsidRPr="00EC0229">
        <w:rPr>
          <w:sz w:val="18"/>
          <w:szCs w:val="18"/>
        </w:rPr>
        <w:t xml:space="preserve">: </w:t>
      </w:r>
      <w:r w:rsidR="00980D2D" w:rsidRPr="00EC0229">
        <w:rPr>
          <w:sz w:val="18"/>
          <w:szCs w:val="18"/>
        </w:rPr>
        <w:t>The stone plaque at Aberlemno</w:t>
      </w:r>
      <w:bookmarkEnd w:id="192"/>
    </w:p>
    <w:p w14:paraId="4991340B" w14:textId="17040AC5" w:rsidR="00980D2D" w:rsidRPr="00EC0229" w:rsidRDefault="00A34B0A" w:rsidP="00B7034B">
      <w:pPr>
        <w:pStyle w:val="NoSpacing"/>
        <w:spacing w:line="360" w:lineRule="auto"/>
        <w:jc w:val="center"/>
        <w:rPr>
          <w:sz w:val="18"/>
          <w:szCs w:val="18"/>
        </w:rPr>
      </w:pPr>
      <w:r w:rsidRPr="00EC0229">
        <w:rPr>
          <w:sz w:val="18"/>
          <w:szCs w:val="18"/>
        </w:rPr>
        <w:t>B</w:t>
      </w:r>
      <w:r w:rsidR="00980D2D" w:rsidRPr="00EC0229">
        <w:rPr>
          <w:sz w:val="18"/>
          <w:szCs w:val="18"/>
        </w:rPr>
        <w:t>elieved to</w:t>
      </w:r>
      <w:r w:rsidRPr="00EC0229">
        <w:rPr>
          <w:sz w:val="18"/>
          <w:szCs w:val="18"/>
        </w:rPr>
        <w:t xml:space="preserve"> </w:t>
      </w:r>
      <w:r w:rsidR="00346955" w:rsidRPr="00EC0229">
        <w:rPr>
          <w:sz w:val="18"/>
          <w:szCs w:val="18"/>
        </w:rPr>
        <w:t>commemorate</w:t>
      </w:r>
      <w:r w:rsidR="00980D2D" w:rsidRPr="00EC0229">
        <w:rPr>
          <w:sz w:val="18"/>
          <w:szCs w:val="18"/>
        </w:rPr>
        <w:t xml:space="preserve"> the battle of Nechtansmere.</w:t>
      </w:r>
      <w:r w:rsidR="00980D2D" w:rsidRPr="00EC0229">
        <w:rPr>
          <w:rStyle w:val="FootnoteReference"/>
          <w:i/>
          <w:sz w:val="18"/>
          <w:szCs w:val="18"/>
        </w:rPr>
        <w:footnoteReference w:id="432"/>
      </w:r>
    </w:p>
    <w:p w14:paraId="538049BB" w14:textId="620AA978" w:rsidR="001F6AB2" w:rsidRPr="00EC0229" w:rsidRDefault="001F6AB2" w:rsidP="007600EA">
      <w:pPr>
        <w:pStyle w:val="NoSpacing"/>
        <w:spacing w:line="360" w:lineRule="auto"/>
      </w:pPr>
    </w:p>
    <w:p w14:paraId="24878339" w14:textId="41443129" w:rsidR="00C57DCF" w:rsidRPr="008E6548" w:rsidRDefault="005F38D6" w:rsidP="007600EA">
      <w:pPr>
        <w:pStyle w:val="Heading4"/>
        <w:spacing w:line="360" w:lineRule="auto"/>
        <w:rPr>
          <w:b/>
        </w:rPr>
      </w:pPr>
      <w:bookmarkStart w:id="193" w:name="_Toc468266774"/>
      <w:bookmarkStart w:id="194" w:name="Episcopacy"/>
      <w:r>
        <w:rPr>
          <w:b/>
        </w:rPr>
        <w:t>5.2.1.4</w:t>
      </w:r>
      <w:r>
        <w:rPr>
          <w:b/>
        </w:rPr>
        <w:tab/>
      </w:r>
      <w:r w:rsidR="006B6170" w:rsidRPr="008E6548">
        <w:rPr>
          <w:b/>
        </w:rPr>
        <w:t>The Episcopacy</w:t>
      </w:r>
      <w:bookmarkEnd w:id="193"/>
      <w:r w:rsidR="0046306E" w:rsidRPr="008E6548">
        <w:rPr>
          <w:b/>
        </w:rPr>
        <w:t xml:space="preserve"> </w:t>
      </w:r>
    </w:p>
    <w:bookmarkEnd w:id="194"/>
    <w:p w14:paraId="43A0B2EB" w14:textId="7FC85183" w:rsidR="00CB0AB8" w:rsidRDefault="00CB0AB8" w:rsidP="00CB0AB8">
      <w:pPr>
        <w:spacing w:line="360" w:lineRule="auto"/>
        <w:rPr>
          <w:szCs w:val="24"/>
        </w:rPr>
      </w:pPr>
      <w:r w:rsidRPr="00EC0229">
        <w:rPr>
          <w:bCs/>
        </w:rPr>
        <w:t>Paulinus</w:t>
      </w:r>
      <w:r w:rsidR="004F7B56" w:rsidRPr="00EC0229">
        <w:rPr>
          <w:bCs/>
        </w:rPr>
        <w:t>, sent from Ital</w:t>
      </w:r>
      <w:r w:rsidR="0046306E" w:rsidRPr="00EC0229">
        <w:rPr>
          <w:bCs/>
        </w:rPr>
        <w:t>y</w:t>
      </w:r>
      <w:r w:rsidR="004F7B56" w:rsidRPr="00EC0229">
        <w:rPr>
          <w:bCs/>
        </w:rPr>
        <w:t xml:space="preserve"> by Pope Gregory in 601 to reinforce the Augustinian mission,</w:t>
      </w:r>
      <w:r w:rsidRPr="00EC0229">
        <w:rPr>
          <w:bCs/>
        </w:rPr>
        <w:t xml:space="preserve"> assisted in the conversion of the Anglo-Saxons and remained in Kent, becoming a bishop in 625. Around that </w:t>
      </w:r>
      <w:r w:rsidR="00FD05A0" w:rsidRPr="00EC0229">
        <w:rPr>
          <w:bCs/>
        </w:rPr>
        <w:t>time,</w:t>
      </w:r>
      <w:r w:rsidRPr="00EC0229">
        <w:rPr>
          <w:bCs/>
        </w:rPr>
        <w:t xml:space="preserve"> he accompanied </w:t>
      </w:r>
      <w:r w:rsidRPr="00EC0229">
        <w:t>Æthelburg, King Eadbald’s sister, to York, for her marriage to Edwin.</w:t>
      </w:r>
      <w:bookmarkStart w:id="195" w:name="_Ref464204979"/>
      <w:r w:rsidRPr="00EC0229">
        <w:rPr>
          <w:rStyle w:val="FootnoteReference"/>
        </w:rPr>
        <w:footnoteReference w:id="433"/>
      </w:r>
      <w:bookmarkEnd w:id="195"/>
      <w:r w:rsidRPr="00EC0229">
        <w:t xml:space="preserve"> Paulinus urged Edwin to convert and he, with many followers, did so in 627 in York, which Paulinus</w:t>
      </w:r>
      <w:r w:rsidR="004F7B56" w:rsidRPr="00EC0229">
        <w:t>, as bishop,</w:t>
      </w:r>
      <w:r w:rsidRPr="00EC0229">
        <w:t xml:space="preserve"> established as England’s second metropolitan see. Paulinus also carried out mass conversions at Yeavering, Dewsbury and Lindsey and built many churches including York and Lincoln. He consecrated Hild(a) and Eanfl</w:t>
      </w:r>
      <w:r w:rsidRPr="00EC0229">
        <w:rPr>
          <w:rFonts w:cs="Times New Roman"/>
        </w:rPr>
        <w:t>æ</w:t>
      </w:r>
      <w:r w:rsidRPr="00EC0229">
        <w:t xml:space="preserve">d at Whitby and Honorius at Canterbury. </w:t>
      </w:r>
      <w:r w:rsidR="004F7B56" w:rsidRPr="00EC0229">
        <w:rPr>
          <w:szCs w:val="24"/>
        </w:rPr>
        <w:t>Replacement in stone of the small wooden minster at York,</w:t>
      </w:r>
      <w:r w:rsidR="004F7B56" w:rsidRPr="00EC0229">
        <w:rPr>
          <w:rStyle w:val="FootnoteReference"/>
          <w:szCs w:val="24"/>
        </w:rPr>
        <w:footnoteReference w:id="434"/>
      </w:r>
      <w:r w:rsidR="004F7B56" w:rsidRPr="00EC0229">
        <w:rPr>
          <w:szCs w:val="24"/>
        </w:rPr>
        <w:t xml:space="preserve"> was initiated in 627 by Edwin</w:t>
      </w:r>
      <w:r w:rsidR="004F7B56" w:rsidRPr="00EC0229">
        <w:rPr>
          <w:szCs w:val="24"/>
        </w:rPr>
        <w:fldChar w:fldCharType="begin"/>
      </w:r>
      <w:r w:rsidR="004F7B56" w:rsidRPr="00EC0229">
        <w:instrText xml:space="preserve"> XE "</w:instrText>
      </w:r>
      <w:r w:rsidR="004F7B56" w:rsidRPr="00EC0229">
        <w:rPr>
          <w:rFonts w:cs="Times New Roman"/>
          <w:color w:val="000000" w:themeColor="text1"/>
          <w:szCs w:val="24"/>
        </w:rPr>
        <w:instrText>Edwin</w:instrText>
      </w:r>
      <w:r w:rsidR="004F7B56" w:rsidRPr="00EC0229">
        <w:instrText xml:space="preserve">" </w:instrText>
      </w:r>
      <w:r w:rsidR="004F7B56" w:rsidRPr="00EC0229">
        <w:rPr>
          <w:szCs w:val="24"/>
        </w:rPr>
        <w:fldChar w:fldCharType="end"/>
      </w:r>
      <w:r w:rsidR="004F7B56" w:rsidRPr="00EC0229">
        <w:rPr>
          <w:szCs w:val="24"/>
        </w:rPr>
        <w:t xml:space="preserve"> and completed by Oswald of Bernician descent</w:t>
      </w:r>
      <w:r w:rsidR="004F7B56" w:rsidRPr="00EC0229">
        <w:rPr>
          <w:szCs w:val="24"/>
        </w:rPr>
        <w:fldChar w:fldCharType="begin"/>
      </w:r>
      <w:r w:rsidR="004F7B56" w:rsidRPr="00EC0229">
        <w:instrText xml:space="preserve"> XE "</w:instrText>
      </w:r>
      <w:r w:rsidR="004F7B56" w:rsidRPr="00EC0229">
        <w:rPr>
          <w:rFonts w:cs="Times New Roman"/>
          <w:szCs w:val="24"/>
        </w:rPr>
        <w:instrText>Oswald</w:instrText>
      </w:r>
      <w:r w:rsidR="004F7B56" w:rsidRPr="00EC0229">
        <w:instrText xml:space="preserve">" </w:instrText>
      </w:r>
      <w:r w:rsidR="004F7B56" w:rsidRPr="00EC0229">
        <w:rPr>
          <w:szCs w:val="24"/>
        </w:rPr>
        <w:fldChar w:fldCharType="end"/>
      </w:r>
      <w:r w:rsidR="004F7B56" w:rsidRPr="00EC0229">
        <w:rPr>
          <w:szCs w:val="24"/>
        </w:rPr>
        <w:t>.</w:t>
      </w:r>
    </w:p>
    <w:p w14:paraId="6CAE2E3C" w14:textId="0A930180" w:rsidR="00BC51BB" w:rsidRPr="00BC51BB" w:rsidRDefault="002C2B2F" w:rsidP="00BC51BB">
      <w:pPr>
        <w:spacing w:line="360" w:lineRule="auto"/>
        <w:rPr>
          <w:rFonts w:asciiTheme="minorHAnsi" w:eastAsia="Times New Roman" w:hAnsiTheme="minorHAnsi" w:cstheme="minorHAnsi"/>
          <w:szCs w:val="24"/>
          <w:lang w:eastAsia="en-GB"/>
        </w:rPr>
      </w:pPr>
      <w:r w:rsidRPr="00BC51BB">
        <w:rPr>
          <w:rFonts w:asciiTheme="minorHAnsi" w:hAnsiTheme="minorHAnsi" w:cstheme="minorHAnsi"/>
          <w:szCs w:val="24"/>
        </w:rPr>
        <w:lastRenderedPageBreak/>
        <w:t>The significance of Paulinus’s bishopric in York is explained in the discussion of the York gold shilling below (</w:t>
      </w:r>
      <w:r w:rsidRPr="00BC51BB">
        <w:rPr>
          <w:rFonts w:asciiTheme="minorHAnsi" w:hAnsiTheme="minorHAnsi" w:cstheme="minorHAnsi"/>
          <w:szCs w:val="24"/>
        </w:rPr>
        <w:fldChar w:fldCharType="begin"/>
      </w:r>
      <w:r w:rsidRPr="00BC51BB">
        <w:rPr>
          <w:rFonts w:asciiTheme="minorHAnsi" w:hAnsiTheme="minorHAnsi" w:cstheme="minorHAnsi"/>
          <w:szCs w:val="24"/>
        </w:rPr>
        <w:instrText xml:space="preserve"> PAGEREF goldshillingofYork \h </w:instrText>
      </w:r>
      <w:r w:rsidRPr="00BC51BB">
        <w:rPr>
          <w:rFonts w:asciiTheme="minorHAnsi" w:hAnsiTheme="minorHAnsi" w:cstheme="minorHAnsi"/>
          <w:szCs w:val="24"/>
        </w:rPr>
      </w:r>
      <w:r w:rsidRPr="00BC51BB">
        <w:rPr>
          <w:rFonts w:asciiTheme="minorHAnsi" w:hAnsiTheme="minorHAnsi" w:cstheme="minorHAnsi"/>
          <w:szCs w:val="24"/>
        </w:rPr>
        <w:fldChar w:fldCharType="separate"/>
      </w:r>
      <w:r w:rsidR="0012026B">
        <w:rPr>
          <w:rFonts w:asciiTheme="minorHAnsi" w:hAnsiTheme="minorHAnsi" w:cstheme="minorHAnsi"/>
          <w:noProof/>
          <w:szCs w:val="24"/>
        </w:rPr>
        <w:t>96</w:t>
      </w:r>
      <w:r w:rsidRPr="00BC51BB">
        <w:rPr>
          <w:rFonts w:asciiTheme="minorHAnsi" w:hAnsiTheme="minorHAnsi" w:cstheme="minorHAnsi"/>
          <w:szCs w:val="24"/>
        </w:rPr>
        <w:fldChar w:fldCharType="end"/>
      </w:r>
      <w:r w:rsidRPr="00BC51BB">
        <w:rPr>
          <w:rFonts w:asciiTheme="minorHAnsi" w:hAnsiTheme="minorHAnsi" w:cstheme="minorHAnsi"/>
          <w:szCs w:val="24"/>
        </w:rPr>
        <w:t>).</w:t>
      </w:r>
      <w:r w:rsidR="00BC51BB" w:rsidRPr="00BC51BB">
        <w:rPr>
          <w:rFonts w:asciiTheme="minorHAnsi" w:hAnsiTheme="minorHAnsi" w:cstheme="minorHAnsi"/>
          <w:szCs w:val="24"/>
        </w:rPr>
        <w:t xml:space="preserve"> Archiepiscopal history is included where </w:t>
      </w:r>
      <w:r w:rsidR="00BC51BB" w:rsidRPr="00BC51BB">
        <w:rPr>
          <w:rFonts w:asciiTheme="minorHAnsi" w:eastAsia="Times New Roman" w:hAnsiTheme="minorHAnsi" w:cstheme="minorHAnsi"/>
          <w:szCs w:val="24"/>
          <w:lang w:eastAsia="en-GB"/>
        </w:rPr>
        <w:t>clerics were also instrumental in minting coins. Thus</w:t>
      </w:r>
      <w:r w:rsidR="00BC51BB">
        <w:rPr>
          <w:rFonts w:asciiTheme="minorHAnsi" w:eastAsia="Times New Roman" w:hAnsiTheme="minorHAnsi" w:cstheme="minorHAnsi"/>
          <w:szCs w:val="24"/>
          <w:lang w:eastAsia="en-GB"/>
        </w:rPr>
        <w:t>,</w:t>
      </w:r>
      <w:r w:rsidR="00BC51BB" w:rsidRPr="00BC51BB">
        <w:rPr>
          <w:rFonts w:asciiTheme="minorHAnsi" w:eastAsia="Times New Roman" w:hAnsiTheme="minorHAnsi" w:cstheme="minorHAnsi"/>
          <w:szCs w:val="24"/>
          <w:lang w:eastAsia="en-GB"/>
        </w:rPr>
        <w:t xml:space="preserve"> Paulinus is</w:t>
      </w:r>
      <w:r w:rsidR="00BC51BB" w:rsidRPr="00BC51BB">
        <w:rPr>
          <w:rFonts w:asciiTheme="minorHAnsi" w:hAnsiTheme="minorHAnsi" w:cstheme="minorHAnsi"/>
          <w:szCs w:val="24"/>
        </w:rPr>
        <w:t xml:space="preserve"> </w:t>
      </w:r>
      <w:r w:rsidR="00BC51BB" w:rsidRPr="00BC51BB">
        <w:rPr>
          <w:rFonts w:asciiTheme="minorHAnsi" w:eastAsia="Times New Roman" w:hAnsiTheme="minorHAnsi" w:cstheme="minorHAnsi"/>
          <w:szCs w:val="24"/>
          <w:lang w:eastAsia="en-GB"/>
        </w:rPr>
        <w:t xml:space="preserve">included, as responsible for </w:t>
      </w:r>
      <w:r w:rsidR="00BC51BB">
        <w:rPr>
          <w:rFonts w:asciiTheme="minorHAnsi" w:eastAsia="Times New Roman" w:hAnsiTheme="minorHAnsi" w:cstheme="minorHAnsi"/>
          <w:szCs w:val="24"/>
          <w:lang w:eastAsia="en-GB"/>
        </w:rPr>
        <w:t>a variety of</w:t>
      </w:r>
      <w:r w:rsidR="00BC51BB" w:rsidRPr="00BC51BB">
        <w:rPr>
          <w:rFonts w:asciiTheme="minorHAnsi" w:eastAsia="Times New Roman" w:hAnsiTheme="minorHAnsi" w:cstheme="minorHAnsi"/>
          <w:szCs w:val="24"/>
          <w:lang w:eastAsia="en-GB"/>
        </w:rPr>
        <w:t xml:space="preserve"> gold shilling in York, but there are no</w:t>
      </w:r>
      <w:r w:rsidR="00BC51BB" w:rsidRPr="00BC51BB">
        <w:rPr>
          <w:rFonts w:asciiTheme="minorHAnsi" w:hAnsiTheme="minorHAnsi" w:cstheme="minorHAnsi"/>
          <w:szCs w:val="24"/>
        </w:rPr>
        <w:t xml:space="preserve"> </w:t>
      </w:r>
      <w:r w:rsidR="00BC51BB" w:rsidRPr="00BC51BB">
        <w:rPr>
          <w:rFonts w:asciiTheme="minorHAnsi" w:eastAsia="Times New Roman" w:hAnsiTheme="minorHAnsi" w:cstheme="minorHAnsi"/>
          <w:szCs w:val="24"/>
          <w:lang w:eastAsia="en-GB"/>
        </w:rPr>
        <w:t>bishops named on the coinage between Paulinus and Ecgberht. Archiepiscopal</w:t>
      </w:r>
      <w:r w:rsidR="00BC51BB" w:rsidRPr="00BC51BB">
        <w:rPr>
          <w:rFonts w:asciiTheme="minorHAnsi" w:hAnsiTheme="minorHAnsi" w:cstheme="minorHAnsi"/>
          <w:szCs w:val="24"/>
        </w:rPr>
        <w:t xml:space="preserve"> </w:t>
      </w:r>
      <w:r w:rsidR="00BC51BB" w:rsidRPr="00BC51BB">
        <w:rPr>
          <w:rFonts w:asciiTheme="minorHAnsi" w:eastAsia="Times New Roman" w:hAnsiTheme="minorHAnsi" w:cstheme="minorHAnsi"/>
          <w:szCs w:val="24"/>
          <w:lang w:eastAsia="en-GB"/>
        </w:rPr>
        <w:t>history is taken u</w:t>
      </w:r>
      <w:r w:rsidR="00BC51BB">
        <w:rPr>
          <w:rFonts w:asciiTheme="minorHAnsi" w:eastAsia="Times New Roman" w:hAnsiTheme="minorHAnsi" w:cstheme="minorHAnsi"/>
          <w:szCs w:val="24"/>
          <w:lang w:eastAsia="en-GB"/>
        </w:rPr>
        <w:t>p again in the silver phase (</w:t>
      </w:r>
      <w:r w:rsidR="00BC51BB">
        <w:rPr>
          <w:rFonts w:asciiTheme="minorHAnsi" w:eastAsia="Times New Roman" w:hAnsiTheme="minorHAnsi" w:cstheme="minorHAnsi"/>
          <w:szCs w:val="24"/>
          <w:lang w:eastAsia="en-GB"/>
        </w:rPr>
        <w:fldChar w:fldCharType="begin"/>
      </w:r>
      <w:r w:rsidR="00BC51BB">
        <w:rPr>
          <w:rFonts w:asciiTheme="minorHAnsi" w:eastAsia="Times New Roman" w:hAnsiTheme="minorHAnsi" w:cstheme="minorHAnsi"/>
          <w:szCs w:val="24"/>
          <w:lang w:eastAsia="en-GB"/>
        </w:rPr>
        <w:instrText xml:space="preserve"> PAGEREF silverphaseepiscopacy \h </w:instrText>
      </w:r>
      <w:r w:rsidR="00BC51BB">
        <w:rPr>
          <w:rFonts w:asciiTheme="minorHAnsi" w:eastAsia="Times New Roman" w:hAnsiTheme="minorHAnsi" w:cstheme="minorHAnsi"/>
          <w:szCs w:val="24"/>
          <w:lang w:eastAsia="en-GB"/>
        </w:rPr>
      </w:r>
      <w:r w:rsidR="00BC51BB">
        <w:rPr>
          <w:rFonts w:asciiTheme="minorHAnsi" w:eastAsia="Times New Roman" w:hAnsiTheme="minorHAnsi" w:cstheme="minorHAnsi"/>
          <w:szCs w:val="24"/>
          <w:lang w:eastAsia="en-GB"/>
        </w:rPr>
        <w:fldChar w:fldCharType="separate"/>
      </w:r>
      <w:r w:rsidR="0012026B">
        <w:rPr>
          <w:rFonts w:asciiTheme="minorHAnsi" w:eastAsia="Times New Roman" w:hAnsiTheme="minorHAnsi" w:cstheme="minorHAnsi"/>
          <w:noProof/>
          <w:szCs w:val="24"/>
          <w:lang w:eastAsia="en-GB"/>
        </w:rPr>
        <w:t>108</w:t>
      </w:r>
      <w:r w:rsidR="00BC51BB">
        <w:rPr>
          <w:rFonts w:asciiTheme="minorHAnsi" w:eastAsia="Times New Roman" w:hAnsiTheme="minorHAnsi" w:cstheme="minorHAnsi"/>
          <w:szCs w:val="24"/>
          <w:lang w:eastAsia="en-GB"/>
        </w:rPr>
        <w:fldChar w:fldCharType="end"/>
      </w:r>
      <w:r w:rsidR="00BC51BB">
        <w:rPr>
          <w:rFonts w:asciiTheme="minorHAnsi" w:eastAsia="Times New Roman" w:hAnsiTheme="minorHAnsi" w:cstheme="minorHAnsi"/>
          <w:szCs w:val="24"/>
          <w:lang w:eastAsia="en-GB"/>
        </w:rPr>
        <w:t>).</w:t>
      </w:r>
    </w:p>
    <w:p w14:paraId="1A8DA001" w14:textId="72F4B319" w:rsidR="002C2B2F" w:rsidRPr="00EC0229" w:rsidRDefault="002C2B2F" w:rsidP="00CB0AB8">
      <w:pPr>
        <w:spacing w:line="360" w:lineRule="auto"/>
      </w:pPr>
    </w:p>
    <w:p w14:paraId="64A03A95" w14:textId="77777777" w:rsidR="0090788E" w:rsidRPr="00EC0229" w:rsidRDefault="0090788E" w:rsidP="007600EA">
      <w:pPr>
        <w:pStyle w:val="NoSpacing"/>
        <w:spacing w:line="360" w:lineRule="auto"/>
      </w:pPr>
    </w:p>
    <w:p w14:paraId="24A0F3D4" w14:textId="45B84585" w:rsidR="001A2F05" w:rsidRPr="00EC0229" w:rsidRDefault="005F38D6" w:rsidP="007600EA">
      <w:pPr>
        <w:pStyle w:val="Heading3"/>
        <w:spacing w:line="360" w:lineRule="auto"/>
      </w:pPr>
      <w:bookmarkStart w:id="196" w:name="_Toc468266775"/>
      <w:r w:rsidRPr="005F38D6">
        <w:t>5.2.2</w:t>
      </w:r>
      <w:r w:rsidR="000E1004">
        <w:t xml:space="preserve"> C</w:t>
      </w:r>
      <w:r w:rsidR="00CD4728" w:rsidRPr="00EC0229">
        <w:t>oin Production</w:t>
      </w:r>
      <w:bookmarkEnd w:id="196"/>
    </w:p>
    <w:p w14:paraId="705A39E8" w14:textId="77777777" w:rsidR="0063262E" w:rsidRPr="00EC0229" w:rsidRDefault="0063262E" w:rsidP="0063262E">
      <w:pPr>
        <w:pStyle w:val="NoSpacing"/>
        <w:spacing w:line="360" w:lineRule="auto"/>
        <w:jc w:val="right"/>
        <w:rPr>
          <w:sz w:val="20"/>
          <w:szCs w:val="20"/>
        </w:rPr>
      </w:pPr>
      <w:r w:rsidRPr="00EC0229">
        <w:rPr>
          <w:sz w:val="20"/>
          <w:szCs w:val="20"/>
        </w:rPr>
        <w:t>‘our evidence for the economy is scanty, fragmented and inchoate.’</w:t>
      </w:r>
    </w:p>
    <w:p w14:paraId="506C7B0E" w14:textId="28CD6D72" w:rsidR="0063262E" w:rsidRDefault="0063262E" w:rsidP="0063262E">
      <w:pPr>
        <w:pStyle w:val="NoSpacing"/>
        <w:spacing w:line="360" w:lineRule="auto"/>
        <w:jc w:val="right"/>
        <w:rPr>
          <w:sz w:val="20"/>
          <w:szCs w:val="20"/>
        </w:rPr>
      </w:pPr>
      <w:r w:rsidRPr="00EC0229">
        <w:rPr>
          <w:sz w:val="20"/>
          <w:szCs w:val="20"/>
        </w:rPr>
        <w:t>Alcock (2003, 83)</w:t>
      </w:r>
    </w:p>
    <w:p w14:paraId="6BEC6975" w14:textId="23D8FDF1" w:rsidR="006A2B0A" w:rsidRPr="006A2B0A" w:rsidRDefault="006A2B0A" w:rsidP="006A2B0A">
      <w:pPr>
        <w:pStyle w:val="NoSpacing"/>
        <w:spacing w:line="360" w:lineRule="auto"/>
        <w:rPr>
          <w:szCs w:val="24"/>
        </w:rPr>
      </w:pPr>
      <w:r>
        <w:rPr>
          <w:szCs w:val="24"/>
        </w:rPr>
        <w:t xml:space="preserve">As shown by </w:t>
      </w:r>
      <w:r w:rsidRPr="006A2B0A">
        <w:rPr>
          <w:i/>
          <w:szCs w:val="24"/>
        </w:rPr>
        <w:t>Table 5.04</w:t>
      </w:r>
      <w:r>
        <w:rPr>
          <w:szCs w:val="24"/>
        </w:rPr>
        <w:t xml:space="preserve"> the phasing for the north and south are most similar during the gold phase. The silver phase exhibits parallel development but the introduction of the broad penny in the mid-eighth century in the south is a point of departure leading to separate patterns of evolution in the ninth century. Viking emissions in the north from the mid-890s marks a reunification of coinage types.</w:t>
      </w:r>
    </w:p>
    <w:p w14:paraId="5FE4EAE7" w14:textId="77777777" w:rsidR="006A2B0A" w:rsidRPr="006A2B0A" w:rsidRDefault="006A2B0A" w:rsidP="006A2B0A">
      <w:pPr>
        <w:pStyle w:val="NoSpacing"/>
        <w:spacing w:line="360" w:lineRule="auto"/>
        <w:jc w:val="left"/>
        <w:rPr>
          <w:szCs w:val="24"/>
        </w:rPr>
      </w:pPr>
    </w:p>
    <w:p w14:paraId="0F3EFC49" w14:textId="712AEDA0" w:rsidR="007C785D" w:rsidRPr="00EC0229" w:rsidRDefault="000E1004" w:rsidP="007600EA">
      <w:pPr>
        <w:pStyle w:val="Heading4"/>
        <w:spacing w:line="360" w:lineRule="auto"/>
      </w:pPr>
      <w:bookmarkStart w:id="197" w:name="Period1"/>
      <w:bookmarkStart w:id="198" w:name="_Toc468266776"/>
      <w:bookmarkEnd w:id="197"/>
      <w:r>
        <w:rPr>
          <w:b/>
        </w:rPr>
        <w:t>5.2.2.1</w:t>
      </w:r>
      <w:r w:rsidR="00525552" w:rsidRPr="00525552">
        <w:rPr>
          <w:b/>
        </w:rPr>
        <w:tab/>
      </w:r>
      <w:r w:rsidR="007C785D" w:rsidRPr="008E6548">
        <w:rPr>
          <w:b/>
        </w:rPr>
        <w:t>Period 1</w:t>
      </w:r>
      <w:r w:rsidR="00F204A1" w:rsidRPr="008E6548">
        <w:rPr>
          <w:b/>
        </w:rPr>
        <w:fldChar w:fldCharType="begin"/>
      </w:r>
      <w:r w:rsidR="00F204A1" w:rsidRPr="008E6548">
        <w:rPr>
          <w:b/>
        </w:rPr>
        <w:instrText xml:space="preserve"> XE "</w:instrText>
      </w:r>
      <w:r w:rsidR="00F204A1" w:rsidRPr="008E6548">
        <w:rPr>
          <w:rStyle w:val="Hyperlink"/>
          <w:b/>
          <w:noProof/>
          <w:u w:val="none"/>
        </w:rPr>
        <w:instrText>Period 1</w:instrText>
      </w:r>
      <w:r w:rsidR="00F204A1" w:rsidRPr="008E6548">
        <w:rPr>
          <w:b/>
        </w:rPr>
        <w:instrText xml:space="preserve">" </w:instrText>
      </w:r>
      <w:r w:rsidR="00F204A1" w:rsidRPr="008E6548">
        <w:rPr>
          <w:b/>
        </w:rPr>
        <w:fldChar w:fldCharType="end"/>
      </w:r>
      <w:r w:rsidR="007C785D" w:rsidRPr="008E6548">
        <w:rPr>
          <w:b/>
        </w:rPr>
        <w:t>. The coinage of sub-Roman</w:t>
      </w:r>
      <w:r w:rsidR="00D142DC" w:rsidRPr="008E6548">
        <w:rPr>
          <w:b/>
        </w:rPr>
        <w:fldChar w:fldCharType="begin"/>
      </w:r>
      <w:r w:rsidR="00D142DC" w:rsidRPr="008E6548">
        <w:rPr>
          <w:b/>
        </w:rPr>
        <w:instrText xml:space="preserve"> XE "Roman" </w:instrText>
      </w:r>
      <w:r w:rsidR="00D142DC" w:rsidRPr="008E6548">
        <w:rPr>
          <w:b/>
        </w:rPr>
        <w:fldChar w:fldCharType="end"/>
      </w:r>
      <w:r w:rsidR="007C785D" w:rsidRPr="008E6548">
        <w:rPr>
          <w:b/>
        </w:rPr>
        <w:t xml:space="preserve"> Britain, </w:t>
      </w:r>
      <w:r w:rsidR="002132F1">
        <w:rPr>
          <w:b/>
          <w:i/>
        </w:rPr>
        <w:t>c.</w:t>
      </w:r>
      <w:r w:rsidR="007C785D" w:rsidRPr="008E6548">
        <w:rPr>
          <w:b/>
        </w:rPr>
        <w:t>410</w:t>
      </w:r>
      <w:r w:rsidR="00AB6635">
        <w:rPr>
          <w:b/>
        </w:rPr>
        <w:t>-</w:t>
      </w:r>
      <w:r w:rsidR="002132F1">
        <w:rPr>
          <w:b/>
          <w:i/>
        </w:rPr>
        <w:t>c.</w:t>
      </w:r>
      <w:r w:rsidR="007C785D" w:rsidRPr="008E6548">
        <w:rPr>
          <w:b/>
        </w:rPr>
        <w:t>470</w:t>
      </w:r>
      <w:bookmarkStart w:id="199" w:name="_Ref463950045"/>
      <w:r w:rsidR="007C785D" w:rsidRPr="00EC0229">
        <w:rPr>
          <w:rStyle w:val="FootnoteReference"/>
          <w:rFonts w:cs="Times New Roman"/>
        </w:rPr>
        <w:footnoteReference w:id="435"/>
      </w:r>
      <w:bookmarkEnd w:id="198"/>
      <w:bookmarkEnd w:id="199"/>
    </w:p>
    <w:p w14:paraId="7E612B59" w14:textId="2ED509D5" w:rsidR="007C785D" w:rsidRPr="00EC0229" w:rsidRDefault="007C785D" w:rsidP="007600EA">
      <w:pPr>
        <w:spacing w:line="360" w:lineRule="auto"/>
        <w:rPr>
          <w:rFonts w:cs="Times New Roman"/>
          <w:szCs w:val="24"/>
        </w:rPr>
      </w:pPr>
      <w:bookmarkStart w:id="200" w:name="siliqua"/>
      <w:bookmarkEnd w:id="200"/>
      <w:r w:rsidRPr="00EC0229">
        <w:rPr>
          <w:rFonts w:cs="Times New Roman"/>
          <w:szCs w:val="24"/>
        </w:rPr>
        <w:t xml:space="preserve">No native coinage </w:t>
      </w:r>
      <w:r w:rsidR="006A2B0A">
        <w:rPr>
          <w:rFonts w:cs="Times New Roman"/>
          <w:szCs w:val="24"/>
        </w:rPr>
        <w:t>was issued in Roman Britain after</w:t>
      </w:r>
      <w:r w:rsidR="006A2B0A" w:rsidRPr="007C785D">
        <w:rPr>
          <w:rFonts w:cs="Times New Roman"/>
          <w:szCs w:val="24"/>
        </w:rPr>
        <w:t xml:space="preserve"> </w:t>
      </w:r>
      <w:r w:rsidRPr="00EC0229">
        <w:rPr>
          <w:rFonts w:cs="Times New Roman"/>
          <w:szCs w:val="24"/>
        </w:rPr>
        <w:t>325/6</w:t>
      </w:r>
      <w:r w:rsidRPr="00EC0229">
        <w:rPr>
          <w:rStyle w:val="FootnoteReference"/>
          <w:rFonts w:cs="Times New Roman"/>
          <w:szCs w:val="24"/>
        </w:rPr>
        <w:footnoteReference w:id="436"/>
      </w:r>
      <w:r w:rsidRPr="00EC0229">
        <w:rPr>
          <w:rFonts w:cs="Times New Roman"/>
          <w:szCs w:val="24"/>
        </w:rPr>
        <w:t xml:space="preserve"> and the supply of coinage from the Continent</w:t>
      </w:r>
      <w:r w:rsidRPr="00EC0229">
        <w:rPr>
          <w:rStyle w:val="FootnoteReference"/>
          <w:rFonts w:cs="Times New Roman"/>
          <w:szCs w:val="24"/>
        </w:rPr>
        <w:footnoteReference w:id="437"/>
      </w:r>
      <w:r w:rsidRPr="00EC0229">
        <w:rPr>
          <w:rFonts w:cs="Times New Roman"/>
          <w:szCs w:val="24"/>
        </w:rPr>
        <w:t xml:space="preserve"> would have ceased after </w:t>
      </w:r>
      <w:r w:rsidRPr="00EC0229">
        <w:rPr>
          <w:rFonts w:cs="Times New Roman"/>
          <w:i/>
          <w:szCs w:val="24"/>
        </w:rPr>
        <w:t>c.</w:t>
      </w:r>
      <w:r w:rsidRPr="00EC0229">
        <w:rPr>
          <w:rFonts w:cs="Times New Roman"/>
          <w:szCs w:val="24"/>
        </w:rPr>
        <w:t>410.</w:t>
      </w:r>
      <w:r w:rsidR="00A33F8F" w:rsidRPr="00EC0229">
        <w:rPr>
          <w:rStyle w:val="FootnoteReference"/>
          <w:rFonts w:cs="Times New Roman"/>
          <w:szCs w:val="24"/>
        </w:rPr>
        <w:footnoteReference w:id="438"/>
      </w:r>
      <w:r w:rsidRPr="00EC0229">
        <w:rPr>
          <w:rFonts w:cs="Times New Roman"/>
          <w:szCs w:val="24"/>
        </w:rPr>
        <w:t xml:space="preserve"> The Hoxne hoard, deposited </w:t>
      </w:r>
      <w:r w:rsidR="002132F1">
        <w:rPr>
          <w:rFonts w:cs="Times New Roman"/>
          <w:i/>
          <w:szCs w:val="24"/>
        </w:rPr>
        <w:t>c.</w:t>
      </w:r>
      <w:r w:rsidRPr="00EC0229">
        <w:rPr>
          <w:rFonts w:cs="Times New Roman"/>
          <w:szCs w:val="24"/>
        </w:rPr>
        <w:t>407, provides evidence for the epidemic of clipping silver siliquae</w:t>
      </w:r>
      <w:r w:rsidR="00596667" w:rsidRPr="00EC0229">
        <w:rPr>
          <w:rFonts w:cs="Times New Roman"/>
          <w:szCs w:val="24"/>
        </w:rPr>
        <w:t xml:space="preserve"> (</w:t>
      </w:r>
      <w:r w:rsidR="008C418A" w:rsidRPr="00EC0229">
        <w:rPr>
          <w:szCs w:val="24"/>
        </w:rPr>
        <w:fldChar w:fldCharType="begin"/>
      </w:r>
      <w:r w:rsidR="008C418A" w:rsidRPr="00EC0229">
        <w:rPr>
          <w:rFonts w:cs="Times New Roman"/>
          <w:szCs w:val="24"/>
        </w:rPr>
        <w:instrText xml:space="preserve"> REF _Ref430245888 \h </w:instrText>
      </w:r>
      <w:r w:rsidR="000A7CD7" w:rsidRPr="00EC0229">
        <w:rPr>
          <w:szCs w:val="24"/>
        </w:rPr>
        <w:instrText xml:space="preserve"> \* MERGEFORMAT </w:instrText>
      </w:r>
      <w:r w:rsidR="008C418A" w:rsidRPr="00EC0229">
        <w:rPr>
          <w:szCs w:val="24"/>
        </w:rPr>
      </w:r>
      <w:r w:rsidR="008C418A" w:rsidRPr="00EC0229">
        <w:rPr>
          <w:szCs w:val="24"/>
        </w:rPr>
        <w:fldChar w:fldCharType="separate"/>
      </w:r>
      <w:r w:rsidR="0012026B" w:rsidRPr="0012026B">
        <w:rPr>
          <w:i/>
          <w:color w:val="000000" w:themeColor="text1"/>
          <w:szCs w:val="24"/>
        </w:rPr>
        <w:t xml:space="preserve">Figure </w:t>
      </w:r>
      <w:r w:rsidR="0012026B" w:rsidRPr="0012026B">
        <w:rPr>
          <w:i/>
          <w:noProof/>
          <w:color w:val="000000" w:themeColor="text1"/>
          <w:szCs w:val="24"/>
        </w:rPr>
        <w:t>4</w:t>
      </w:r>
      <w:r w:rsidR="008C418A" w:rsidRPr="00EC0229">
        <w:rPr>
          <w:szCs w:val="24"/>
        </w:rPr>
        <w:fldChar w:fldCharType="end"/>
      </w:r>
      <w:r w:rsidR="00596667" w:rsidRPr="00EC0229">
        <w:rPr>
          <w:szCs w:val="24"/>
        </w:rPr>
        <w:t>)</w:t>
      </w:r>
      <w:r w:rsidRPr="00EC0229">
        <w:rPr>
          <w:rFonts w:cs="Times New Roman"/>
          <w:szCs w:val="24"/>
        </w:rPr>
        <w:t>.</w:t>
      </w:r>
      <w:r w:rsidRPr="00EC0229">
        <w:rPr>
          <w:rStyle w:val="FootnoteReference"/>
          <w:rFonts w:cs="Times New Roman"/>
          <w:szCs w:val="24"/>
        </w:rPr>
        <w:footnoteReference w:id="439"/>
      </w:r>
      <w:r w:rsidRPr="00EC0229">
        <w:rPr>
          <w:rFonts w:cs="Times New Roman"/>
          <w:szCs w:val="24"/>
        </w:rPr>
        <w:t xml:space="preserve"> By that time, there would no qualms about such defacement. </w:t>
      </w:r>
    </w:p>
    <w:p w14:paraId="70C8E353" w14:textId="5AE45E21" w:rsidR="007C785D" w:rsidRPr="00EC0229" w:rsidRDefault="006F0B75" w:rsidP="007600EA">
      <w:pPr>
        <w:spacing w:line="360" w:lineRule="auto"/>
        <w:jc w:val="center"/>
        <w:rPr>
          <w:rFonts w:cs="Times New Roman"/>
          <w:szCs w:val="24"/>
        </w:rPr>
      </w:pPr>
      <w:r w:rsidRPr="00EC0229">
        <w:rPr>
          <w:rFonts w:cs="Times New Roman"/>
          <w:noProof/>
          <w:szCs w:val="24"/>
          <w:lang w:eastAsia="en-GB"/>
        </w:rPr>
        <w:lastRenderedPageBreak/>
        <w:drawing>
          <wp:inline distT="0" distB="0" distL="0" distR="0" wp14:anchorId="05FC0C5C" wp14:editId="1C2BD5EC">
            <wp:extent cx="2160270" cy="150876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Cattal hoard - clipped siliqua YORYM_1994_1953-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60270" cy="1508760"/>
                    </a:xfrm>
                    <a:prstGeom prst="rect">
                      <a:avLst/>
                    </a:prstGeom>
                  </pic:spPr>
                </pic:pic>
              </a:graphicData>
            </a:graphic>
          </wp:inline>
        </w:drawing>
      </w:r>
    </w:p>
    <w:p w14:paraId="4CB86DCE" w14:textId="56126079" w:rsidR="00161418" w:rsidRDefault="005A2244" w:rsidP="007600EA">
      <w:pPr>
        <w:spacing w:line="360" w:lineRule="auto"/>
        <w:jc w:val="center"/>
        <w:rPr>
          <w:sz w:val="20"/>
          <w:szCs w:val="20"/>
        </w:rPr>
      </w:pPr>
      <w:bookmarkStart w:id="201" w:name="_Ref430245888"/>
      <w:bookmarkStart w:id="202" w:name="_Toc468266976"/>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4</w:t>
      </w:r>
      <w:r w:rsidRPr="00EC0229">
        <w:rPr>
          <w:i/>
          <w:sz w:val="20"/>
          <w:szCs w:val="20"/>
        </w:rPr>
        <w:fldChar w:fldCharType="end"/>
      </w:r>
      <w:bookmarkEnd w:id="201"/>
      <w:r w:rsidR="00596667" w:rsidRPr="00EC0229">
        <w:rPr>
          <w:sz w:val="20"/>
          <w:szCs w:val="20"/>
        </w:rPr>
        <w:t xml:space="preserve">: </w:t>
      </w:r>
      <w:r w:rsidR="007C785D" w:rsidRPr="00EC0229">
        <w:rPr>
          <w:sz w:val="20"/>
          <w:szCs w:val="20"/>
        </w:rPr>
        <w:t xml:space="preserve">Clipped </w:t>
      </w:r>
      <w:r w:rsidR="00161418">
        <w:rPr>
          <w:sz w:val="20"/>
          <w:szCs w:val="20"/>
        </w:rPr>
        <w:t>siliquae, Cattal hoard</w:t>
      </w:r>
      <w:bookmarkEnd w:id="202"/>
    </w:p>
    <w:p w14:paraId="65C5D9DE" w14:textId="00E42DA9" w:rsidR="007C785D" w:rsidRPr="00EC0229" w:rsidRDefault="006F0B75" w:rsidP="007600EA">
      <w:pPr>
        <w:spacing w:line="360" w:lineRule="auto"/>
        <w:jc w:val="center"/>
        <w:rPr>
          <w:i/>
          <w:sz w:val="20"/>
          <w:szCs w:val="20"/>
        </w:rPr>
      </w:pPr>
      <w:r w:rsidRPr="00EC0229">
        <w:rPr>
          <w:sz w:val="20"/>
          <w:szCs w:val="20"/>
        </w:rPr>
        <w:t>(Courtesy YMT</w:t>
      </w:r>
      <w:r w:rsidRPr="00EC0229">
        <w:rPr>
          <w:rStyle w:val="FootnoteReference"/>
          <w:color w:val="000000" w:themeColor="text1"/>
          <w:sz w:val="20"/>
          <w:szCs w:val="20"/>
        </w:rPr>
        <w:footnoteReference w:id="440"/>
      </w:r>
      <w:r w:rsidR="007C785D" w:rsidRPr="00EC0229">
        <w:rPr>
          <w:sz w:val="20"/>
          <w:szCs w:val="20"/>
        </w:rPr>
        <w:t>)</w:t>
      </w:r>
    </w:p>
    <w:p w14:paraId="7243F715" w14:textId="5BBAB0E9" w:rsidR="007C785D" w:rsidRPr="00EC0229" w:rsidRDefault="007C785D" w:rsidP="007600EA">
      <w:pPr>
        <w:spacing w:line="360" w:lineRule="auto"/>
        <w:rPr>
          <w:rFonts w:cs="Times New Roman"/>
          <w:szCs w:val="24"/>
        </w:rPr>
      </w:pPr>
      <w:bookmarkStart w:id="203" w:name="Patching"/>
      <w:bookmarkEnd w:id="203"/>
      <w:r w:rsidRPr="00EC0229">
        <w:rPr>
          <w:rFonts w:cs="Times New Roman"/>
          <w:szCs w:val="24"/>
        </w:rPr>
        <w:t xml:space="preserve">The Patching </w:t>
      </w:r>
      <w:r w:rsidR="006A2B0A">
        <w:rPr>
          <w:rFonts w:cs="Times New Roman"/>
          <w:szCs w:val="24"/>
        </w:rPr>
        <w:t xml:space="preserve">(West Sussex) </w:t>
      </w:r>
      <w:r w:rsidRPr="00EC0229">
        <w:rPr>
          <w:rFonts w:cs="Times New Roman"/>
          <w:szCs w:val="24"/>
        </w:rPr>
        <w:t>hoard, unusually, contained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silver and hack-silver. The </w:t>
      </w:r>
      <w:r w:rsidRPr="00EC0229">
        <w:rPr>
          <w:rFonts w:cs="Times New Roman"/>
          <w:i/>
          <w:szCs w:val="24"/>
        </w:rPr>
        <w:t>t</w:t>
      </w:r>
      <w:r w:rsidRPr="00EC0229">
        <w:rPr>
          <w:rFonts w:cs="Times New Roman"/>
          <w:bCs/>
          <w:i/>
          <w:iCs/>
          <w:szCs w:val="24"/>
        </w:rPr>
        <w:t>erminus post quem</w:t>
      </w:r>
      <w:r w:rsidRPr="00EC0229">
        <w:rPr>
          <w:rFonts w:cs="Times New Roman"/>
          <w:szCs w:val="24"/>
        </w:rPr>
        <w:t xml:space="preserve"> is provided by a Visigothic copy of a gold ‘Pseudo-Imperial’ </w:t>
      </w:r>
      <w:r w:rsidRPr="00EC0229">
        <w:rPr>
          <w:rFonts w:cs="Times New Roman"/>
          <w:i/>
          <w:szCs w:val="24"/>
        </w:rPr>
        <w:t>Victory</w:t>
      </w:r>
      <w:r w:rsidRPr="00EC0229">
        <w:rPr>
          <w:rFonts w:cs="Times New Roman"/>
          <w:szCs w:val="24"/>
        </w:rPr>
        <w:t xml:space="preserve"> solidus</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solidus</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of Severus III, 461-5.</w:t>
      </w:r>
      <w:r w:rsidRPr="00EC0229">
        <w:rPr>
          <w:rStyle w:val="FootnoteReference"/>
          <w:rFonts w:cs="Times New Roman"/>
          <w:szCs w:val="24"/>
        </w:rPr>
        <w:footnoteReference w:id="441"/>
      </w:r>
      <w:r w:rsidRPr="00EC0229">
        <w:rPr>
          <w:rFonts w:cs="Times New Roman"/>
          <w:szCs w:val="24"/>
        </w:rPr>
        <w:t xml:space="preserve"> The rural economy</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rFonts w:cs="Times New Roman"/>
          <w:szCs w:val="24"/>
        </w:rPr>
        <w:fldChar w:fldCharType="end"/>
      </w:r>
      <w:r w:rsidRPr="00EC0229">
        <w:rPr>
          <w:rFonts w:cs="Times New Roman"/>
          <w:szCs w:val="24"/>
        </w:rPr>
        <w:t xml:space="preserve"> would soon have subsided into barter</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barter</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and the urban economy more gradually, though the degree of wear on many finds suggests that this process took several decades. The implication is that this de-</w:t>
      </w:r>
      <w:r w:rsidR="003F2041" w:rsidRPr="00EC0229">
        <w:rPr>
          <w:rFonts w:cs="Times New Roman"/>
          <w:szCs w:val="24"/>
        </w:rPr>
        <w:t>monetiz</w:t>
      </w:r>
      <w:r w:rsidRPr="00EC0229">
        <w:rPr>
          <w:rFonts w:cs="Times New Roman"/>
          <w:szCs w:val="24"/>
        </w:rPr>
        <w:t>ation</w:t>
      </w:r>
      <w:r w:rsidR="008960AE" w:rsidRPr="00EC0229">
        <w:rPr>
          <w:rFonts w:cs="Times New Roman"/>
          <w:szCs w:val="24"/>
        </w:rPr>
        <w:fldChar w:fldCharType="begin"/>
      </w:r>
      <w:r w:rsidR="008960AE" w:rsidRPr="00EC0229">
        <w:instrText xml:space="preserve"> XE "monetization" </w:instrText>
      </w:r>
      <w:r w:rsidR="008960AE" w:rsidRPr="00EC0229">
        <w:rPr>
          <w:rFonts w:cs="Times New Roman"/>
          <w:szCs w:val="24"/>
        </w:rPr>
        <w:fldChar w:fldCharType="end"/>
      </w:r>
      <w:r w:rsidRPr="00EC0229">
        <w:rPr>
          <w:rFonts w:cs="Times New Roman"/>
          <w:szCs w:val="24"/>
        </w:rPr>
        <w:t xml:space="preserve"> is an indication of regression - the use of coin would have been perpetuated in a more active</w:t>
      </w:r>
      <w:r w:rsidR="00982D00" w:rsidRPr="00EC0229">
        <w:rPr>
          <w:rFonts w:cs="Times New Roman"/>
          <w:szCs w:val="24"/>
        </w:rPr>
        <w:t xml:space="preserve">, governed </w:t>
      </w:r>
      <w:r w:rsidRPr="00EC0229">
        <w:rPr>
          <w:rFonts w:cs="Times New Roman"/>
          <w:szCs w:val="24"/>
        </w:rPr>
        <w:t>economy.  The presence of hack-silver in the Patching hoard suggests transition to a bullion</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economy. The last uses of many Roman</w:t>
      </w:r>
      <w:r w:rsidR="00D142DC" w:rsidRPr="00EC0229">
        <w:rPr>
          <w:rFonts w:cs="Times New Roman"/>
          <w:szCs w:val="24"/>
        </w:rPr>
        <w:fldChar w:fldCharType="begin"/>
      </w:r>
      <w:r w:rsidR="00D142DC" w:rsidRPr="00EC0229">
        <w:instrText xml:space="preserve"> XE "Roman" </w:instrText>
      </w:r>
      <w:r w:rsidR="00D142DC" w:rsidRPr="00EC0229">
        <w:rPr>
          <w:rFonts w:cs="Times New Roman"/>
          <w:szCs w:val="24"/>
        </w:rPr>
        <w:fldChar w:fldCharType="end"/>
      </w:r>
      <w:r w:rsidRPr="00EC0229">
        <w:rPr>
          <w:rFonts w:cs="Times New Roman"/>
          <w:szCs w:val="24"/>
        </w:rPr>
        <w:t xml:space="preserve"> coins would have been ornamental then sacrificial (votive</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votive</w:instrText>
      </w:r>
      <w:r w:rsidR="008960AE" w:rsidRPr="00EC0229">
        <w:instrText xml:space="preserve">" </w:instrText>
      </w:r>
      <w:r w:rsidR="008960AE" w:rsidRPr="00EC0229">
        <w:rPr>
          <w:rFonts w:cs="Times New Roman"/>
          <w:szCs w:val="24"/>
        </w:rPr>
        <w:fldChar w:fldCharType="end"/>
      </w:r>
      <w:r w:rsidRPr="00EC0229">
        <w:rPr>
          <w:rFonts w:cs="Times New Roman"/>
          <w:szCs w:val="24"/>
        </w:rPr>
        <w:t>, ritual and funerary).</w:t>
      </w:r>
      <w:r w:rsidR="006A2B0A">
        <w:rPr>
          <w:rFonts w:cs="Times New Roman"/>
          <w:szCs w:val="24"/>
        </w:rPr>
        <w:t xml:space="preserve"> It would not be unreasonable to assume that the north followed a similar path.</w:t>
      </w:r>
    </w:p>
    <w:p w14:paraId="346ACDE0" w14:textId="06F3AA0A" w:rsidR="007C785D" w:rsidRPr="008E6548" w:rsidRDefault="00525552" w:rsidP="007600EA">
      <w:pPr>
        <w:pStyle w:val="Heading4"/>
        <w:spacing w:line="360" w:lineRule="auto"/>
        <w:rPr>
          <w:b/>
        </w:rPr>
      </w:pPr>
      <w:bookmarkStart w:id="204" w:name="PostRoman"/>
      <w:bookmarkStart w:id="205" w:name="Period2"/>
      <w:bookmarkStart w:id="206" w:name="_Toc468266777"/>
      <w:bookmarkEnd w:id="204"/>
      <w:bookmarkEnd w:id="205"/>
      <w:r w:rsidRPr="00525552">
        <w:rPr>
          <w:b/>
        </w:rPr>
        <w:t>5.2.2.</w:t>
      </w:r>
      <w:r>
        <w:rPr>
          <w:b/>
        </w:rPr>
        <w:t>2</w:t>
      </w:r>
      <w:r w:rsidRPr="00525552">
        <w:rPr>
          <w:b/>
        </w:rPr>
        <w:tab/>
      </w:r>
      <w:r w:rsidR="007C785D" w:rsidRPr="008E6548">
        <w:rPr>
          <w:b/>
        </w:rPr>
        <w:t>Period 2</w:t>
      </w:r>
      <w:r w:rsidR="00F204A1" w:rsidRPr="008E6548">
        <w:rPr>
          <w:b/>
        </w:rPr>
        <w:fldChar w:fldCharType="begin"/>
      </w:r>
      <w:r w:rsidR="00F204A1" w:rsidRPr="008E6548">
        <w:rPr>
          <w:b/>
        </w:rPr>
        <w:instrText xml:space="preserve"> XE "</w:instrText>
      </w:r>
      <w:r w:rsidR="00F204A1" w:rsidRPr="008E6548">
        <w:rPr>
          <w:rStyle w:val="Hyperlink"/>
          <w:b/>
          <w:noProof/>
          <w:u w:val="none"/>
        </w:rPr>
        <w:instrText>Period 2</w:instrText>
      </w:r>
      <w:r w:rsidR="00F204A1" w:rsidRPr="008E6548">
        <w:rPr>
          <w:b/>
        </w:rPr>
        <w:instrText xml:space="preserve">" </w:instrText>
      </w:r>
      <w:r w:rsidR="00F204A1" w:rsidRPr="008E6548">
        <w:rPr>
          <w:b/>
        </w:rPr>
        <w:fldChar w:fldCharType="end"/>
      </w:r>
      <w:r w:rsidR="007C785D" w:rsidRPr="008E6548">
        <w:rPr>
          <w:b/>
        </w:rPr>
        <w:t>. Post-Roman</w:t>
      </w:r>
      <w:r w:rsidR="00D142DC" w:rsidRPr="008E6548">
        <w:rPr>
          <w:b/>
        </w:rPr>
        <w:fldChar w:fldCharType="begin"/>
      </w:r>
      <w:r w:rsidR="00D142DC" w:rsidRPr="008E6548">
        <w:rPr>
          <w:b/>
        </w:rPr>
        <w:instrText xml:space="preserve"> XE "Roman" </w:instrText>
      </w:r>
      <w:r w:rsidR="00D142DC" w:rsidRPr="008E6548">
        <w:rPr>
          <w:b/>
        </w:rPr>
        <w:fldChar w:fldCharType="end"/>
      </w:r>
      <w:r w:rsidR="007C785D" w:rsidRPr="008E6548">
        <w:rPr>
          <w:b/>
        </w:rPr>
        <w:t xml:space="preserve"> coinage</w:t>
      </w:r>
      <w:r w:rsidR="00F204A1" w:rsidRPr="008E6548">
        <w:rPr>
          <w:b/>
        </w:rPr>
        <w:fldChar w:fldCharType="begin"/>
      </w:r>
      <w:r w:rsidR="00F204A1" w:rsidRPr="008E6548">
        <w:rPr>
          <w:b/>
        </w:rPr>
        <w:instrText xml:space="preserve"> XE "</w:instrText>
      </w:r>
      <w:r w:rsidR="00F204A1" w:rsidRPr="008E6548">
        <w:rPr>
          <w:rStyle w:val="Hyperlink"/>
          <w:b/>
          <w:noProof/>
          <w:u w:val="none"/>
        </w:rPr>
        <w:instrText>Post-Roman coinage</w:instrText>
      </w:r>
      <w:r w:rsidR="00F204A1" w:rsidRPr="008E6548">
        <w:rPr>
          <w:b/>
        </w:rPr>
        <w:instrText xml:space="preserve">" </w:instrText>
      </w:r>
      <w:r w:rsidR="00F204A1" w:rsidRPr="008E6548">
        <w:rPr>
          <w:b/>
        </w:rPr>
        <w:fldChar w:fldCharType="end"/>
      </w:r>
      <w:r w:rsidR="007C785D" w:rsidRPr="008E6548">
        <w:rPr>
          <w:b/>
        </w:rPr>
        <w:t xml:space="preserve">, </w:t>
      </w:r>
      <w:r w:rsidR="002132F1">
        <w:rPr>
          <w:b/>
          <w:i/>
        </w:rPr>
        <w:t>c.</w:t>
      </w:r>
      <w:r w:rsidR="007C785D" w:rsidRPr="008E6548">
        <w:rPr>
          <w:b/>
        </w:rPr>
        <w:t xml:space="preserve">470 – </w:t>
      </w:r>
      <w:r w:rsidR="002132F1">
        <w:rPr>
          <w:b/>
          <w:i/>
        </w:rPr>
        <w:t>c.</w:t>
      </w:r>
      <w:r w:rsidR="007C785D" w:rsidRPr="008E6548">
        <w:rPr>
          <w:b/>
        </w:rPr>
        <w:t>587</w:t>
      </w:r>
      <w:bookmarkEnd w:id="206"/>
    </w:p>
    <w:p w14:paraId="0068DDED" w14:textId="3D170ABC" w:rsidR="007C785D" w:rsidRPr="00EC0229" w:rsidRDefault="00525552" w:rsidP="007600EA">
      <w:pPr>
        <w:pStyle w:val="Heading4"/>
        <w:spacing w:line="360" w:lineRule="auto"/>
      </w:pPr>
      <w:bookmarkStart w:id="207" w:name="Victorytremissis"/>
      <w:bookmarkStart w:id="208" w:name="_Toc468266778"/>
      <w:bookmarkEnd w:id="207"/>
      <w:r w:rsidRPr="00525552">
        <w:rPr>
          <w:b/>
        </w:rPr>
        <w:t>5.2.2.</w:t>
      </w:r>
      <w:r>
        <w:rPr>
          <w:b/>
        </w:rPr>
        <w:t>3</w:t>
      </w:r>
      <w:r w:rsidRPr="00525552">
        <w:rPr>
          <w:b/>
        </w:rPr>
        <w:tab/>
      </w:r>
      <w:r w:rsidR="007C785D" w:rsidRPr="008E6548">
        <w:rPr>
          <w:b/>
        </w:rPr>
        <w:t>Imported Continental gold</w:t>
      </w:r>
      <w:r w:rsidR="008960AE" w:rsidRPr="008E6548">
        <w:rPr>
          <w:b/>
        </w:rPr>
        <w:fldChar w:fldCharType="begin"/>
      </w:r>
      <w:r w:rsidR="008960AE" w:rsidRPr="008E6548">
        <w:rPr>
          <w:b/>
        </w:rPr>
        <w:instrText xml:space="preserve"> XE "</w:instrText>
      </w:r>
      <w:r w:rsidR="008960AE" w:rsidRPr="008E6548">
        <w:rPr>
          <w:rFonts w:eastAsia="Times New Roman"/>
          <w:b/>
          <w:lang w:eastAsia="en-GB"/>
        </w:rPr>
        <w:instrText>gold</w:instrText>
      </w:r>
      <w:r w:rsidR="008960AE" w:rsidRPr="008E6548">
        <w:rPr>
          <w:b/>
        </w:rPr>
        <w:instrText xml:space="preserve">" </w:instrText>
      </w:r>
      <w:r w:rsidR="008960AE" w:rsidRPr="008E6548">
        <w:rPr>
          <w:b/>
        </w:rPr>
        <w:fldChar w:fldCharType="end"/>
      </w:r>
      <w:r w:rsidR="007C785D" w:rsidRPr="008E6548">
        <w:rPr>
          <w:b/>
        </w:rPr>
        <w:t xml:space="preserve">: </w:t>
      </w:r>
      <w:r w:rsidR="00FD05A0" w:rsidRPr="008E6548">
        <w:rPr>
          <w:b/>
        </w:rPr>
        <w:t>The</w:t>
      </w:r>
      <w:r w:rsidR="007C785D" w:rsidRPr="008E6548">
        <w:rPr>
          <w:b/>
        </w:rPr>
        <w:t xml:space="preserve"> Pseudo-Imperial </w:t>
      </w:r>
      <w:r w:rsidR="007C785D" w:rsidRPr="008E6548">
        <w:rPr>
          <w:b/>
          <w:i/>
        </w:rPr>
        <w:t>Victory</w:t>
      </w:r>
      <w:r w:rsidR="007C785D" w:rsidRPr="008E6548">
        <w:rPr>
          <w:b/>
        </w:rPr>
        <w:t xml:space="preserve"> tremissis</w:t>
      </w:r>
      <w:r w:rsidR="008960AE" w:rsidRPr="00EC0229">
        <w:fldChar w:fldCharType="begin"/>
      </w:r>
      <w:r w:rsidR="008960AE" w:rsidRPr="00EC0229">
        <w:instrText xml:space="preserve"> XE "</w:instrText>
      </w:r>
      <w:r w:rsidR="008960AE" w:rsidRPr="00EC0229">
        <w:rPr>
          <w:rFonts w:eastAsia="Times New Roman"/>
        </w:rPr>
        <w:instrText>tremissis</w:instrText>
      </w:r>
      <w:r w:rsidR="008960AE" w:rsidRPr="00EC0229">
        <w:instrText xml:space="preserve">" </w:instrText>
      </w:r>
      <w:r w:rsidR="008960AE" w:rsidRPr="00EC0229">
        <w:fldChar w:fldCharType="end"/>
      </w:r>
      <w:r w:rsidR="007C785D" w:rsidRPr="00EC0229">
        <w:rPr>
          <w:rStyle w:val="FootnoteReference"/>
          <w:rFonts w:cs="Times New Roman"/>
        </w:rPr>
        <w:footnoteReference w:id="442"/>
      </w:r>
      <w:bookmarkEnd w:id="208"/>
    </w:p>
    <w:p w14:paraId="52166E84" w14:textId="74FD5593" w:rsidR="007C785D" w:rsidRPr="00EC0229" w:rsidRDefault="007C785D" w:rsidP="007600EA">
      <w:pPr>
        <w:pStyle w:val="NoSpacing"/>
        <w:spacing w:line="360" w:lineRule="auto"/>
        <w:rPr>
          <w:rFonts w:cs="Times New Roman"/>
        </w:rPr>
      </w:pPr>
      <w:r w:rsidRPr="00EC0229">
        <w:rPr>
          <w:rFonts w:cs="Times New Roman"/>
        </w:rPr>
        <w:t>From the 370s, pressure from the Central Asian Huns had pushed Germanic tribes westward. The Danube was crossed with Roman</w:t>
      </w:r>
      <w:r w:rsidR="00D142DC" w:rsidRPr="00EC0229">
        <w:rPr>
          <w:rFonts w:cs="Times New Roman"/>
        </w:rPr>
        <w:fldChar w:fldCharType="begin"/>
      </w:r>
      <w:r w:rsidR="00D142DC" w:rsidRPr="00EC0229">
        <w:instrText xml:space="preserve"> XE "Roman" </w:instrText>
      </w:r>
      <w:r w:rsidR="00D142DC" w:rsidRPr="00EC0229">
        <w:rPr>
          <w:rFonts w:cs="Times New Roman"/>
        </w:rPr>
        <w:fldChar w:fldCharType="end"/>
      </w:r>
      <w:r w:rsidRPr="00EC0229">
        <w:rPr>
          <w:rFonts w:cs="Times New Roman"/>
        </w:rPr>
        <w:t xml:space="preserve"> acquiescence, a decisive moment for the transition of the Western Roman Empire, as Ostrogoths, Visigoths, Vandals, Burgundians, Lombards and other tribes (such as Saxons and Suevi), were ascendant in the west. People, such as the Franks under Clovis (484-511) and the Visigoths under Alaric II (484-507), far from ‘Barbarian’, chose to continue the 'Pseudo-Imperial' type, with the </w:t>
      </w:r>
      <w:r w:rsidRPr="00EC0229">
        <w:rPr>
          <w:rFonts w:cs="Times New Roman"/>
          <w:i/>
          <w:iCs/>
        </w:rPr>
        <w:t>Victory</w:t>
      </w:r>
      <w:r w:rsidRPr="00EC0229">
        <w:rPr>
          <w:rFonts w:cs="Times New Roman"/>
        </w:rPr>
        <w:t xml:space="preserve"> reverse, in the names of Anastasius, Justin and Justinian</w:t>
      </w:r>
      <w:r w:rsidR="00F86D73" w:rsidRPr="00EC0229">
        <w:rPr>
          <w:rFonts w:cs="Times New Roman"/>
        </w:rPr>
        <w:t xml:space="preserve"> </w:t>
      </w:r>
      <w:r w:rsidR="00F86D73" w:rsidRPr="00EC0229">
        <w:rPr>
          <w:rFonts w:cs="Times New Roman"/>
          <w:szCs w:val="24"/>
        </w:rPr>
        <w:t>(</w:t>
      </w:r>
      <w:r w:rsidR="008C418A" w:rsidRPr="00EC0229">
        <w:rPr>
          <w:rFonts w:cs="Times New Roman"/>
          <w:szCs w:val="24"/>
        </w:rPr>
        <w:fldChar w:fldCharType="begin"/>
      </w:r>
      <w:r w:rsidR="008C418A" w:rsidRPr="00EC0229">
        <w:rPr>
          <w:rFonts w:cs="Times New Roman"/>
          <w:szCs w:val="24"/>
        </w:rPr>
        <w:instrText xml:space="preserve"> REF _Ref430245889 \h </w:instrText>
      </w:r>
      <w:r w:rsidR="000A7CD7"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w:t>
      </w:r>
      <w:r w:rsidR="008C418A" w:rsidRPr="00EC0229">
        <w:rPr>
          <w:rFonts w:cs="Times New Roman"/>
          <w:szCs w:val="24"/>
        </w:rPr>
        <w:fldChar w:fldCharType="end"/>
      </w:r>
      <w:r w:rsidR="00F86D73" w:rsidRPr="00EC0229">
        <w:rPr>
          <w:rFonts w:cs="Times New Roman"/>
        </w:rPr>
        <w:t>)</w:t>
      </w:r>
      <w:r w:rsidRPr="00EC0229">
        <w:rPr>
          <w:rFonts w:cs="Times New Roman"/>
        </w:rPr>
        <w:t xml:space="preserve">. Designs conveyed the authority of Rome, the authenticity of a </w:t>
      </w:r>
      <w:r w:rsidR="00F5533B" w:rsidRPr="00EC0229">
        <w:rPr>
          <w:rFonts w:cs="Times New Roman"/>
        </w:rPr>
        <w:t>long-established</w:t>
      </w:r>
      <w:r w:rsidRPr="00EC0229">
        <w:rPr>
          <w:rFonts w:cs="Times New Roman"/>
        </w:rPr>
        <w:t xml:space="preserve"> medium, cohesive monetary control and a coherent </w:t>
      </w:r>
      <w:r w:rsidRPr="00EC0229">
        <w:rPr>
          <w:rFonts w:cs="Times New Roman"/>
        </w:rPr>
        <w:lastRenderedPageBreak/>
        <w:t>iconography</w:t>
      </w:r>
      <w:r w:rsidR="004C29A9" w:rsidRPr="00EC0229">
        <w:rPr>
          <w:rFonts w:cs="Times New Roman"/>
        </w:rPr>
        <w:fldChar w:fldCharType="begin"/>
      </w:r>
      <w:r w:rsidR="004C29A9" w:rsidRPr="00EC0229">
        <w:instrText xml:space="preserve"> XE "iconography" </w:instrText>
      </w:r>
      <w:r w:rsidR="004C29A9" w:rsidRPr="00EC0229">
        <w:rPr>
          <w:rFonts w:cs="Times New Roman"/>
        </w:rPr>
        <w:fldChar w:fldCharType="end"/>
      </w:r>
      <w:r w:rsidRPr="00EC0229">
        <w:rPr>
          <w:rFonts w:cs="Times New Roman"/>
        </w:rPr>
        <w:t xml:space="preserve"> which communicated not merely imperial authority but also the ethical supremacy of the newly adopted Roman religion.</w:t>
      </w:r>
      <w:r w:rsidRPr="00EC0229">
        <w:rPr>
          <w:rStyle w:val="FootnoteReference"/>
          <w:rFonts w:cs="Times New Roman"/>
        </w:rPr>
        <w:footnoteReference w:id="443"/>
      </w:r>
    </w:p>
    <w:p w14:paraId="419A983E" w14:textId="77777777" w:rsidR="00C42544" w:rsidRPr="00EC0229" w:rsidRDefault="00C42544" w:rsidP="007600EA">
      <w:pPr>
        <w:pStyle w:val="NoSpacing"/>
        <w:spacing w:line="360" w:lineRule="auto"/>
        <w:jc w:val="center"/>
        <w:rPr>
          <w:rFonts w:cs="Times New Roman"/>
          <w:sz w:val="20"/>
          <w:szCs w:val="20"/>
        </w:rPr>
      </w:pPr>
    </w:p>
    <w:p w14:paraId="62CF6607" w14:textId="77777777" w:rsidR="007C785D" w:rsidRPr="00EC0229" w:rsidRDefault="007C785D" w:rsidP="007600EA">
      <w:pPr>
        <w:pStyle w:val="NoSpacing"/>
        <w:spacing w:line="360" w:lineRule="auto"/>
        <w:jc w:val="center"/>
        <w:rPr>
          <w:rFonts w:cs="Times New Roman"/>
          <w:sz w:val="20"/>
          <w:szCs w:val="20"/>
        </w:rPr>
      </w:pPr>
      <w:r w:rsidRPr="00EC0229">
        <w:rPr>
          <w:rFonts w:cs="Times New Roman"/>
          <w:noProof/>
          <w:sz w:val="20"/>
          <w:szCs w:val="20"/>
          <w:lang w:eastAsia="en-GB"/>
        </w:rPr>
        <w:drawing>
          <wp:inline distT="0" distB="0" distL="0" distR="0" wp14:anchorId="4DE4FEE2" wp14:editId="65130342">
            <wp:extent cx="1080000" cy="1020600"/>
            <wp:effectExtent l="0" t="0" r="635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T1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80000" cy="1020600"/>
                    </a:xfrm>
                    <a:prstGeom prst="rect">
                      <a:avLst/>
                    </a:prstGeom>
                  </pic:spPr>
                </pic:pic>
              </a:graphicData>
            </a:graphic>
          </wp:inline>
        </w:drawing>
      </w:r>
      <w:r w:rsidRPr="00EC0229">
        <w:rPr>
          <w:rFonts w:cs="Times New Roman"/>
          <w:noProof/>
          <w:sz w:val="20"/>
          <w:szCs w:val="20"/>
          <w:lang w:eastAsia="en-GB"/>
        </w:rPr>
        <w:drawing>
          <wp:inline distT="0" distB="0" distL="0" distR="0" wp14:anchorId="2570EF0B" wp14:editId="788F3A55">
            <wp:extent cx="1080000" cy="108000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T11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14:paraId="4989FCC6" w14:textId="6546447F" w:rsidR="007C785D" w:rsidRPr="00EC0229" w:rsidRDefault="005A2244" w:rsidP="007600EA">
      <w:pPr>
        <w:pStyle w:val="NoSpacing"/>
        <w:spacing w:line="360" w:lineRule="auto"/>
        <w:jc w:val="center"/>
        <w:rPr>
          <w:sz w:val="20"/>
          <w:szCs w:val="20"/>
        </w:rPr>
      </w:pPr>
      <w:bookmarkStart w:id="209" w:name="_Ref430245889"/>
      <w:bookmarkStart w:id="210" w:name="_Toc46826697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w:t>
      </w:r>
      <w:r w:rsidRPr="00EC0229">
        <w:rPr>
          <w:sz w:val="20"/>
          <w:szCs w:val="20"/>
        </w:rPr>
        <w:fldChar w:fldCharType="end"/>
      </w:r>
      <w:bookmarkEnd w:id="209"/>
      <w:r w:rsidR="00F86D73" w:rsidRPr="00EC0229">
        <w:rPr>
          <w:sz w:val="20"/>
          <w:szCs w:val="20"/>
        </w:rPr>
        <w:t xml:space="preserve">: </w:t>
      </w:r>
      <w:r w:rsidR="007C785D" w:rsidRPr="00EC0229">
        <w:rPr>
          <w:sz w:val="20"/>
          <w:szCs w:val="20"/>
        </w:rPr>
        <w:t>Merovingian</w:t>
      </w:r>
      <w:r w:rsidR="004C29A9" w:rsidRPr="00EC0229">
        <w:rPr>
          <w:sz w:val="20"/>
          <w:szCs w:val="20"/>
        </w:rPr>
        <w:fldChar w:fldCharType="begin"/>
      </w:r>
      <w:r w:rsidR="004C29A9" w:rsidRPr="00EC0229">
        <w:rPr>
          <w:sz w:val="20"/>
          <w:szCs w:val="20"/>
        </w:rPr>
        <w:instrText xml:space="preserve"> XE "</w:instrText>
      </w:r>
      <w:r w:rsidR="004C29A9" w:rsidRPr="00EC0229">
        <w:rPr>
          <w:rStyle w:val="Hyperlink"/>
          <w:i/>
          <w:noProof/>
          <w:color w:val="000000" w:themeColor="text1"/>
          <w:sz w:val="20"/>
          <w:szCs w:val="20"/>
          <w:u w:val="none"/>
        </w:rPr>
        <w:instrText>Merovingian</w:instrText>
      </w:r>
      <w:r w:rsidR="004C29A9" w:rsidRPr="00EC0229">
        <w:rPr>
          <w:sz w:val="20"/>
          <w:szCs w:val="20"/>
        </w:rPr>
        <w:instrText xml:space="preserve">" </w:instrText>
      </w:r>
      <w:r w:rsidR="004C29A9" w:rsidRPr="00EC0229">
        <w:rPr>
          <w:sz w:val="20"/>
          <w:szCs w:val="20"/>
        </w:rPr>
        <w:fldChar w:fldCharType="end"/>
      </w:r>
      <w:r w:rsidR="007C785D" w:rsidRPr="00EC0229">
        <w:rPr>
          <w:sz w:val="20"/>
          <w:szCs w:val="20"/>
        </w:rPr>
        <w:t xml:space="preserve"> pseudo-imperial Victory tremissis</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sz w:val="20"/>
          <w:szCs w:val="20"/>
        </w:rPr>
        <w:instrText>tremissis</w:instrText>
      </w:r>
      <w:r w:rsidR="008960AE" w:rsidRPr="00EC0229">
        <w:rPr>
          <w:sz w:val="20"/>
          <w:szCs w:val="20"/>
        </w:rPr>
        <w:instrText xml:space="preserve">" </w:instrText>
      </w:r>
      <w:r w:rsidR="008960AE" w:rsidRPr="00EC0229">
        <w:rPr>
          <w:sz w:val="20"/>
          <w:szCs w:val="20"/>
        </w:rPr>
        <w:fldChar w:fldCharType="end"/>
      </w:r>
      <w:r w:rsidR="007C785D" w:rsidRPr="00EC0229">
        <w:rPr>
          <w:sz w:val="20"/>
          <w:szCs w:val="20"/>
        </w:rPr>
        <w:t>, found Kent.</w:t>
      </w:r>
      <w:bookmarkEnd w:id="210"/>
    </w:p>
    <w:p w14:paraId="4DB316CA" w14:textId="77777777" w:rsidR="007C785D" w:rsidRPr="00EC0229" w:rsidRDefault="007C785D" w:rsidP="007600EA">
      <w:pPr>
        <w:pStyle w:val="NoSpacing"/>
        <w:spacing w:line="360" w:lineRule="auto"/>
        <w:rPr>
          <w:rFonts w:cs="Times New Roman"/>
        </w:rPr>
      </w:pPr>
    </w:p>
    <w:p w14:paraId="6A7E1B92" w14:textId="461EED1F" w:rsidR="007C785D" w:rsidRPr="00EC0229" w:rsidRDefault="00AA40E2" w:rsidP="007600EA">
      <w:pPr>
        <w:spacing w:line="360" w:lineRule="auto"/>
        <w:rPr>
          <w:rFonts w:cs="Times New Roman"/>
          <w:szCs w:val="24"/>
        </w:rPr>
      </w:pPr>
      <w:r w:rsidRPr="00EC0229">
        <w:rPr>
          <w:rFonts w:cs="Times New Roman"/>
          <w:szCs w:val="24"/>
        </w:rPr>
        <w:t>It is evident</w:t>
      </w:r>
      <w:r w:rsidR="007C785D" w:rsidRPr="00EC0229">
        <w:rPr>
          <w:rFonts w:cs="Times New Roman"/>
          <w:szCs w:val="24"/>
        </w:rPr>
        <w:t xml:space="preserve"> that the Continental period of issue of the pseudo-imperial type, </w:t>
      </w:r>
      <w:r w:rsidR="002132F1">
        <w:rPr>
          <w:rFonts w:cs="Times New Roman"/>
          <w:i/>
          <w:szCs w:val="24"/>
        </w:rPr>
        <w:t>c.</w:t>
      </w:r>
      <w:r w:rsidR="007C785D" w:rsidRPr="00EC0229">
        <w:rPr>
          <w:rFonts w:cs="Times New Roman"/>
          <w:szCs w:val="24"/>
        </w:rPr>
        <w:t xml:space="preserve">410 – </w:t>
      </w:r>
      <w:r w:rsidR="002132F1">
        <w:rPr>
          <w:rFonts w:cs="Times New Roman"/>
          <w:i/>
          <w:szCs w:val="24"/>
        </w:rPr>
        <w:t>c.</w:t>
      </w:r>
      <w:r w:rsidR="007C785D" w:rsidRPr="00EC0229">
        <w:rPr>
          <w:rFonts w:cs="Times New Roman"/>
          <w:szCs w:val="24"/>
        </w:rPr>
        <w:t xml:space="preserve">587, well preceded its primary (currency) or secondary </w:t>
      </w:r>
      <w:r w:rsidRPr="00EC0229">
        <w:rPr>
          <w:rFonts w:cs="Times New Roman"/>
          <w:szCs w:val="24"/>
        </w:rPr>
        <w:t>use (ornamentation,</w:t>
      </w:r>
      <w:r w:rsidR="007C785D" w:rsidRPr="00EC0229">
        <w:rPr>
          <w:rFonts w:cs="Times New Roman"/>
          <w:szCs w:val="24"/>
        </w:rPr>
        <w:t xml:space="preserve"> ritual</w:t>
      </w:r>
      <w:r w:rsidR="00F86D73" w:rsidRPr="00EC0229">
        <w:rPr>
          <w:rFonts w:cs="Times New Roman"/>
          <w:szCs w:val="24"/>
        </w:rPr>
        <w:t xml:space="preserve">, </w:t>
      </w:r>
      <w:r w:rsidRPr="00EC0229">
        <w:rPr>
          <w:rFonts w:cs="Times New Roman"/>
          <w:szCs w:val="24"/>
        </w:rPr>
        <w:t xml:space="preserve">amuletic or symbolic, </w:t>
      </w:r>
      <w:r w:rsidR="008C418A" w:rsidRPr="00EC0229">
        <w:rPr>
          <w:rFonts w:cs="Times New Roman"/>
          <w:i/>
          <w:szCs w:val="24"/>
        </w:rPr>
        <w:fldChar w:fldCharType="begin"/>
      </w:r>
      <w:r w:rsidR="008C418A" w:rsidRPr="00EC0229">
        <w:rPr>
          <w:rFonts w:cs="Times New Roman"/>
          <w:i/>
          <w:szCs w:val="24"/>
        </w:rPr>
        <w:instrText xml:space="preserve"> REF _Ref430245890 \h </w:instrText>
      </w:r>
      <w:r w:rsidR="000A7CD7"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color w:val="000000" w:themeColor="text1"/>
          <w:szCs w:val="24"/>
        </w:rPr>
        <w:t>Figure</w:t>
      </w:r>
      <w:r w:rsidR="0012026B" w:rsidRPr="00EC0229">
        <w:rPr>
          <w:color w:val="000000" w:themeColor="text1"/>
          <w:sz w:val="20"/>
          <w:szCs w:val="20"/>
        </w:rPr>
        <w:t xml:space="preserve"> </w:t>
      </w:r>
      <w:r w:rsidR="0012026B" w:rsidRPr="0012026B">
        <w:rPr>
          <w:noProof/>
          <w:color w:val="000000" w:themeColor="text1"/>
          <w:szCs w:val="24"/>
        </w:rPr>
        <w:t>7</w:t>
      </w:r>
      <w:r w:rsidR="008C418A" w:rsidRPr="00EC0229">
        <w:rPr>
          <w:rFonts w:cs="Times New Roman"/>
          <w:szCs w:val="24"/>
        </w:rPr>
        <w:fldChar w:fldCharType="end"/>
      </w:r>
      <w:r w:rsidR="007C785D" w:rsidRPr="00EC0229">
        <w:rPr>
          <w:rFonts w:cs="Times New Roman"/>
          <w:szCs w:val="24"/>
        </w:rPr>
        <w:t>), in England.</w:t>
      </w:r>
      <w:r w:rsidR="001606C5" w:rsidRPr="00EC0229">
        <w:rPr>
          <w:rStyle w:val="FootnoteReference"/>
          <w:rFonts w:cs="Times New Roman"/>
          <w:szCs w:val="24"/>
        </w:rPr>
        <w:footnoteReference w:id="444"/>
      </w:r>
      <w:r w:rsidR="007C785D" w:rsidRPr="00EC0229">
        <w:rPr>
          <w:rFonts w:cs="Times New Roman"/>
          <w:szCs w:val="24"/>
        </w:rPr>
        <w:t xml:space="preserve"> </w:t>
      </w:r>
    </w:p>
    <w:p w14:paraId="1C8DF16E" w14:textId="1990171D" w:rsidR="00202DB9" w:rsidRPr="00EC0229" w:rsidRDefault="00202DB9" w:rsidP="007600EA">
      <w:pPr>
        <w:pStyle w:val="NoSpacing"/>
        <w:spacing w:line="360" w:lineRule="auto"/>
      </w:pPr>
      <w:r w:rsidRPr="00EC0229">
        <w:t>Roman</w:t>
      </w:r>
      <w:r w:rsidRPr="00EC0229">
        <w:fldChar w:fldCharType="begin"/>
      </w:r>
      <w:r w:rsidRPr="00EC0229">
        <w:instrText xml:space="preserve"> XE "Roman" </w:instrText>
      </w:r>
      <w:r w:rsidRPr="00EC0229">
        <w:fldChar w:fldCharType="end"/>
      </w:r>
      <w:r w:rsidRPr="00EC0229">
        <w:t xml:space="preserve"> coinage exerted enormous influence over early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metrology</w:t>
      </w:r>
      <w:r w:rsidRPr="00EC0229">
        <w:fldChar w:fldCharType="begin"/>
      </w:r>
      <w:r w:rsidRPr="00EC0229">
        <w:instrText xml:space="preserve"> XE "metrology" </w:instrText>
      </w:r>
      <w:r w:rsidRPr="00EC0229">
        <w:fldChar w:fldCharType="end"/>
      </w:r>
      <w:r w:rsidRPr="00EC0229">
        <w:t xml:space="preserve"> and iconography</w:t>
      </w:r>
      <w:r w:rsidRPr="00EC0229">
        <w:fldChar w:fldCharType="begin"/>
      </w:r>
      <w:r w:rsidRPr="00EC0229">
        <w:instrText xml:space="preserve"> XE "iconography" </w:instrText>
      </w:r>
      <w:r w:rsidRPr="00EC0229">
        <w:fldChar w:fldCharType="end"/>
      </w:r>
      <w:r w:rsidRPr="00EC0229">
        <w:t xml:space="preserve"> despite the hundred-year discontinuity</w:t>
      </w:r>
      <w:r w:rsidRPr="00EC0229">
        <w:fldChar w:fldCharType="begin"/>
      </w:r>
      <w:r w:rsidRPr="00EC0229">
        <w:instrText xml:space="preserve"> XE "discontinuity" </w:instrText>
      </w:r>
      <w:r w:rsidRPr="00EC0229">
        <w:fldChar w:fldCharType="end"/>
      </w:r>
      <w:r w:rsidRPr="00EC0229">
        <w:t xml:space="preserve"> in the coin use record, </w:t>
      </w:r>
      <w:r w:rsidR="002132F1">
        <w:rPr>
          <w:i/>
        </w:rPr>
        <w:t>c.</w:t>
      </w:r>
      <w:r w:rsidRPr="00EC0229">
        <w:t>470</w:t>
      </w:r>
      <w:r w:rsidR="00AB6635">
        <w:t>-</w:t>
      </w:r>
      <w:r w:rsidR="002132F1">
        <w:rPr>
          <w:i/>
        </w:rPr>
        <w:t>c.</w:t>
      </w:r>
      <w:r w:rsidRPr="00EC0229">
        <w:t>570, unparalleled in the rest of the Western Empire. The two main streams of influence were first, the imported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Merovingian</w:t>
      </w:r>
      <w:r w:rsidRPr="00EC0229">
        <w:fldChar w:fldCharType="begin"/>
      </w:r>
      <w:r w:rsidRPr="00EC0229">
        <w:instrText xml:space="preserve"> XE "</w:instrText>
      </w:r>
      <w:r w:rsidRPr="00EC0229">
        <w:rPr>
          <w:noProof/>
        </w:rPr>
        <w:instrText>Merovingian</w:instrText>
      </w:r>
      <w:r w:rsidRPr="00EC0229">
        <w:instrText xml:space="preserve">" </w:instrText>
      </w:r>
      <w:r w:rsidRPr="00EC0229">
        <w:fldChar w:fldCharType="end"/>
      </w:r>
      <w:r w:rsidRPr="00EC0229">
        <w:t xml:space="preserve"> (</w:t>
      </w:r>
      <w:r w:rsidR="00106F33" w:rsidRPr="00EC0229">
        <w:fldChar w:fldCharType="begin"/>
      </w:r>
      <w:r w:rsidR="00106F33" w:rsidRPr="00EC0229">
        <w:instrText xml:space="preserve"> PAGEREF ImportedMerovingia \h </w:instrText>
      </w:r>
      <w:r w:rsidR="00106F33" w:rsidRPr="00EC0229">
        <w:fldChar w:fldCharType="separate"/>
      </w:r>
      <w:r w:rsidR="0012026B">
        <w:rPr>
          <w:noProof/>
        </w:rPr>
        <w:t>93</w:t>
      </w:r>
      <w:r w:rsidR="00106F33" w:rsidRPr="00EC0229">
        <w:fldChar w:fldCharType="end"/>
      </w:r>
      <w:r w:rsidRPr="00EC0229">
        <w:t xml:space="preserve">) coinage of the fifth to seventh centuries, reflecting the continuing influence of the Eastern Roman Empire; and second, </w:t>
      </w:r>
      <w:r w:rsidRPr="00EC0229">
        <w:rPr>
          <w:i/>
        </w:rPr>
        <w:t>Romanitas</w:t>
      </w:r>
      <w:r w:rsidRPr="00EC0229">
        <w:rPr>
          <w:i/>
        </w:rPr>
        <w:fldChar w:fldCharType="begin"/>
      </w:r>
      <w:r w:rsidRPr="00EC0229">
        <w:instrText xml:space="preserve"> XE "</w:instrText>
      </w:r>
      <w:r w:rsidRPr="00EC0229">
        <w:rPr>
          <w:i/>
        </w:rPr>
        <w:instrText>Romanitas</w:instrText>
      </w:r>
      <w:r w:rsidRPr="00EC0229">
        <w:instrText xml:space="preserve">" </w:instrText>
      </w:r>
      <w:r w:rsidRPr="00EC0229">
        <w:rPr>
          <w:i/>
        </w:rPr>
        <w:fldChar w:fldCharType="end"/>
      </w:r>
      <w:r w:rsidRPr="00EC0229">
        <w:t xml:space="preserve">, here taking the form of literary or visual allusions to the Roman past to enhance the authority of the issuer and the authenticity of early Anglo-Saxon emissions </w:t>
      </w:r>
      <w:r w:rsidRPr="00EC0229">
        <w:rPr>
          <w:szCs w:val="24"/>
        </w:rPr>
        <w:t>(</w:t>
      </w:r>
      <w:r w:rsidRPr="00EC0229">
        <w:rPr>
          <w:szCs w:val="24"/>
        </w:rPr>
        <w:fldChar w:fldCharType="begin"/>
      </w:r>
      <w:r w:rsidRPr="00EC0229">
        <w:rPr>
          <w:szCs w:val="24"/>
        </w:rPr>
        <w:instrText xml:space="preserve"> REF _Ref430245887 \h  \* MERGEFORMAT </w:instrText>
      </w:r>
      <w:r w:rsidRPr="00EC0229">
        <w:rPr>
          <w:szCs w:val="24"/>
        </w:rPr>
      </w:r>
      <w:r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6</w:t>
      </w:r>
      <w:r w:rsidRPr="00EC0229">
        <w:rPr>
          <w:szCs w:val="24"/>
        </w:rPr>
        <w:fldChar w:fldCharType="end"/>
      </w:r>
      <w:r w:rsidRPr="00EC0229">
        <w:rPr>
          <w:szCs w:val="24"/>
        </w:rPr>
        <w:t xml:space="preserve">). </w:t>
      </w:r>
    </w:p>
    <w:p w14:paraId="0C73D970" w14:textId="77777777" w:rsidR="00202DB9" w:rsidRPr="00EC0229" w:rsidRDefault="00202DB9" w:rsidP="007600EA">
      <w:pPr>
        <w:pStyle w:val="NoSpacing"/>
        <w:spacing w:line="360" w:lineRule="auto"/>
      </w:pPr>
    </w:p>
    <w:p w14:paraId="5369544F" w14:textId="77777777" w:rsidR="00202DB9" w:rsidRPr="00EC0229" w:rsidRDefault="00202DB9" w:rsidP="007600EA">
      <w:pPr>
        <w:pStyle w:val="NoSpacing"/>
        <w:spacing w:line="360" w:lineRule="auto"/>
        <w:jc w:val="center"/>
        <w:rPr>
          <w:color w:val="FF0000"/>
        </w:rPr>
      </w:pPr>
      <w:r w:rsidRPr="00EC0229">
        <w:rPr>
          <w:noProof/>
          <w:color w:val="FF0000"/>
          <w:lang w:eastAsia="en-GB"/>
        </w:rPr>
        <w:drawing>
          <wp:inline distT="0" distB="0" distL="0" distR="0" wp14:anchorId="26C7C9F0" wp14:editId="599ACD7C">
            <wp:extent cx="1080000" cy="10116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T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80000" cy="1011600"/>
                    </a:xfrm>
                    <a:prstGeom prst="rect">
                      <a:avLst/>
                    </a:prstGeom>
                  </pic:spPr>
                </pic:pic>
              </a:graphicData>
            </a:graphic>
          </wp:inline>
        </w:drawing>
      </w:r>
      <w:r w:rsidRPr="00EC0229">
        <w:rPr>
          <w:noProof/>
          <w:color w:val="FF0000"/>
          <w:lang w:eastAsia="en-GB"/>
        </w:rPr>
        <w:drawing>
          <wp:inline distT="0" distB="0" distL="0" distR="0" wp14:anchorId="22C9EAF6" wp14:editId="37479BD6">
            <wp:extent cx="1080000" cy="1000800"/>
            <wp:effectExtent l="0" t="0" r="635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T10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80000" cy="1000800"/>
                    </a:xfrm>
                    <a:prstGeom prst="rect">
                      <a:avLst/>
                    </a:prstGeom>
                  </pic:spPr>
                </pic:pic>
              </a:graphicData>
            </a:graphic>
          </wp:inline>
        </w:drawing>
      </w:r>
    </w:p>
    <w:p w14:paraId="0AD44480" w14:textId="6EF362E3" w:rsidR="00202DB9" w:rsidRPr="00EC0229" w:rsidRDefault="00202DB9" w:rsidP="007600EA">
      <w:pPr>
        <w:pStyle w:val="NoSpacing"/>
        <w:spacing w:line="360" w:lineRule="auto"/>
        <w:jc w:val="center"/>
        <w:rPr>
          <w:sz w:val="20"/>
          <w:szCs w:val="20"/>
        </w:rPr>
      </w:pPr>
      <w:bookmarkStart w:id="211" w:name="_Ref430245887"/>
      <w:bookmarkStart w:id="212" w:name="_Toc46826697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w:t>
      </w:r>
      <w:r w:rsidRPr="00EC0229">
        <w:rPr>
          <w:sz w:val="20"/>
          <w:szCs w:val="20"/>
        </w:rPr>
        <w:fldChar w:fldCharType="end"/>
      </w:r>
      <w:bookmarkEnd w:id="211"/>
      <w:r w:rsidRPr="00EC0229">
        <w:rPr>
          <w:sz w:val="20"/>
          <w:szCs w:val="20"/>
        </w:rPr>
        <w:t>: Romanitas</w:t>
      </w:r>
      <w:r w:rsidRPr="00EC0229">
        <w:rPr>
          <w:sz w:val="20"/>
          <w:szCs w:val="20"/>
        </w:rPr>
        <w:fldChar w:fldCharType="begin"/>
      </w:r>
      <w:r w:rsidRPr="00EC0229">
        <w:rPr>
          <w:sz w:val="20"/>
          <w:szCs w:val="20"/>
        </w:rPr>
        <w:instrText xml:space="preserve"> XE "Romanitas" </w:instrText>
      </w:r>
      <w:r w:rsidRPr="00EC0229">
        <w:rPr>
          <w:sz w:val="20"/>
          <w:szCs w:val="20"/>
        </w:rPr>
        <w:fldChar w:fldCharType="end"/>
      </w:r>
      <w:r w:rsidRPr="00EC0229">
        <w:rPr>
          <w:sz w:val="20"/>
          <w:szCs w:val="20"/>
        </w:rPr>
        <w:t>: Burgundian tremissis</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rPr>
        <w:instrText>tremissis</w:instrText>
      </w:r>
      <w:r w:rsidRPr="00EC0229">
        <w:rPr>
          <w:sz w:val="20"/>
          <w:szCs w:val="20"/>
        </w:rPr>
        <w:instrText xml:space="preserve">" </w:instrText>
      </w:r>
      <w:r w:rsidRPr="00EC0229">
        <w:rPr>
          <w:sz w:val="20"/>
          <w:szCs w:val="20"/>
        </w:rPr>
        <w:fldChar w:fldCharType="end"/>
      </w:r>
      <w:r w:rsidRPr="00EC0229">
        <w:rPr>
          <w:sz w:val="20"/>
          <w:szCs w:val="20"/>
        </w:rPr>
        <w:t>, probably Lyon, imitating Justinian.</w:t>
      </w:r>
      <w:bookmarkEnd w:id="212"/>
    </w:p>
    <w:p w14:paraId="0C54A843" w14:textId="77777777" w:rsidR="00202DB9" w:rsidRPr="00EC0229" w:rsidRDefault="00202DB9" w:rsidP="007600EA">
      <w:pPr>
        <w:pStyle w:val="NoSpacing"/>
        <w:spacing w:line="360" w:lineRule="auto"/>
        <w:jc w:val="center"/>
        <w:rPr>
          <w:sz w:val="20"/>
          <w:szCs w:val="20"/>
        </w:rPr>
      </w:pPr>
      <w:r w:rsidRPr="00EC0229">
        <w:rPr>
          <w:sz w:val="20"/>
          <w:szCs w:val="20"/>
        </w:rPr>
        <w:t>Found Ashford, Kent.</w:t>
      </w:r>
    </w:p>
    <w:p w14:paraId="02F4A83A" w14:textId="77777777" w:rsidR="007C785D" w:rsidRPr="00EC0229" w:rsidRDefault="007C785D" w:rsidP="007600EA">
      <w:pPr>
        <w:spacing w:line="360" w:lineRule="auto"/>
        <w:jc w:val="center"/>
        <w:rPr>
          <w:rFonts w:cs="Times New Roman"/>
        </w:rPr>
      </w:pPr>
      <w:r w:rsidRPr="00EC0229">
        <w:rPr>
          <w:rFonts w:cs="Times New Roman"/>
          <w:noProof/>
          <w:lang w:eastAsia="en-GB"/>
        </w:rPr>
        <w:lastRenderedPageBreak/>
        <w:drawing>
          <wp:inline distT="0" distB="0" distL="0" distR="0" wp14:anchorId="29BDB7B5" wp14:editId="6E3D52B9">
            <wp:extent cx="1440079" cy="1299093"/>
            <wp:effectExtent l="0" t="0" r="825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iffield Lombards AV trem. 6thC; looped DN MAVGG….TI…Λ…V; Victory adv. r. MEC 30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0079" cy="1299093"/>
                    </a:xfrm>
                    <a:prstGeom prst="rect">
                      <a:avLst/>
                    </a:prstGeom>
                  </pic:spPr>
                </pic:pic>
              </a:graphicData>
            </a:graphic>
          </wp:inline>
        </w:drawing>
      </w:r>
      <w:r w:rsidRPr="00EC0229">
        <w:rPr>
          <w:rFonts w:cs="Times New Roman"/>
          <w:noProof/>
          <w:lang w:eastAsia="en-GB"/>
        </w:rPr>
        <w:drawing>
          <wp:inline distT="0" distB="0" distL="0" distR="0" wp14:anchorId="419B7759" wp14:editId="043E59CB">
            <wp:extent cx="1478280" cy="1297711"/>
            <wp:effectExtent l="0" t="0" r="762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iffield r Lombards AV trem. 6thC; looped DN MAVGG….TI…Λ…V; Victory adv. r. MEC 30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516" cy="1301429"/>
                    </a:xfrm>
                    <a:prstGeom prst="rect">
                      <a:avLst/>
                    </a:prstGeom>
                  </pic:spPr>
                </pic:pic>
              </a:graphicData>
            </a:graphic>
          </wp:inline>
        </w:drawing>
      </w:r>
    </w:p>
    <w:p w14:paraId="1088300A" w14:textId="5C2BFDDB" w:rsidR="00E80E91" w:rsidRPr="00EC0229" w:rsidRDefault="005A2244" w:rsidP="007600EA">
      <w:pPr>
        <w:pStyle w:val="NoSpacing"/>
        <w:spacing w:line="360" w:lineRule="auto"/>
        <w:jc w:val="center"/>
        <w:rPr>
          <w:color w:val="000000" w:themeColor="text1"/>
          <w:sz w:val="20"/>
          <w:szCs w:val="20"/>
        </w:rPr>
      </w:pPr>
      <w:bookmarkStart w:id="213" w:name="_Ref430245890"/>
      <w:bookmarkStart w:id="214" w:name="Coinjewellery"/>
      <w:bookmarkStart w:id="215" w:name="_Toc468266979"/>
      <w:r w:rsidRPr="00EC0229">
        <w:rPr>
          <w:i/>
          <w:color w:val="000000" w:themeColor="text1"/>
          <w:sz w:val="20"/>
          <w:szCs w:val="20"/>
        </w:rPr>
        <w:t>Figure</w:t>
      </w:r>
      <w:r w:rsidRPr="00EC0229">
        <w:rPr>
          <w:color w:val="000000" w:themeColor="text1"/>
          <w:sz w:val="20"/>
          <w:szCs w:val="20"/>
        </w:rPr>
        <w:t xml:space="preserve"> </w:t>
      </w:r>
      <w:r w:rsidRPr="00EC0229">
        <w:rPr>
          <w:color w:val="000000" w:themeColor="text1"/>
          <w:sz w:val="20"/>
          <w:szCs w:val="20"/>
        </w:rPr>
        <w:fldChar w:fldCharType="begin"/>
      </w:r>
      <w:r w:rsidRPr="00EC0229">
        <w:rPr>
          <w:color w:val="000000" w:themeColor="text1"/>
          <w:sz w:val="20"/>
          <w:szCs w:val="20"/>
        </w:rPr>
        <w:instrText xml:space="preserve"> SEQ Figure \* ARABIC </w:instrText>
      </w:r>
      <w:r w:rsidRPr="00EC0229">
        <w:rPr>
          <w:color w:val="000000" w:themeColor="text1"/>
          <w:sz w:val="20"/>
          <w:szCs w:val="20"/>
        </w:rPr>
        <w:fldChar w:fldCharType="separate"/>
      </w:r>
      <w:r w:rsidR="0012026B">
        <w:rPr>
          <w:noProof/>
          <w:color w:val="000000" w:themeColor="text1"/>
          <w:sz w:val="20"/>
          <w:szCs w:val="20"/>
        </w:rPr>
        <w:t>7</w:t>
      </w:r>
      <w:r w:rsidRPr="00EC0229">
        <w:rPr>
          <w:color w:val="000000" w:themeColor="text1"/>
          <w:sz w:val="20"/>
          <w:szCs w:val="20"/>
        </w:rPr>
        <w:fldChar w:fldCharType="end"/>
      </w:r>
      <w:bookmarkEnd w:id="213"/>
      <w:r w:rsidR="00F86D73" w:rsidRPr="00EC0229">
        <w:rPr>
          <w:color w:val="000000" w:themeColor="text1"/>
          <w:sz w:val="20"/>
          <w:szCs w:val="20"/>
        </w:rPr>
        <w:t xml:space="preserve">: </w:t>
      </w:r>
      <w:r w:rsidR="007C785D" w:rsidRPr="00EC0229">
        <w:rPr>
          <w:color w:val="000000" w:themeColor="text1"/>
          <w:sz w:val="20"/>
          <w:szCs w:val="20"/>
        </w:rPr>
        <w:t>Coin-jewellery</w:t>
      </w:r>
      <w:bookmarkEnd w:id="214"/>
      <w:r w:rsidR="007C785D" w:rsidRPr="00EC0229">
        <w:rPr>
          <w:color w:val="000000" w:themeColor="text1"/>
          <w:sz w:val="20"/>
          <w:szCs w:val="20"/>
        </w:rPr>
        <w:t>: Lombards, gold</w:t>
      </w:r>
      <w:r w:rsidR="008960AE" w:rsidRPr="00EC0229">
        <w:rPr>
          <w:color w:val="000000" w:themeColor="text1"/>
          <w:sz w:val="20"/>
          <w:szCs w:val="20"/>
        </w:rPr>
        <w:fldChar w:fldCharType="begin"/>
      </w:r>
      <w:r w:rsidR="008960AE" w:rsidRPr="00EC0229">
        <w:rPr>
          <w:color w:val="000000" w:themeColor="text1"/>
          <w:sz w:val="20"/>
          <w:szCs w:val="20"/>
        </w:rPr>
        <w:instrText xml:space="preserve"> XE "</w:instrText>
      </w:r>
      <w:r w:rsidR="008960AE" w:rsidRPr="00EC0229">
        <w:rPr>
          <w:rFonts w:eastAsia="Times New Roman"/>
          <w:color w:val="000000" w:themeColor="text1"/>
          <w:sz w:val="20"/>
          <w:szCs w:val="20"/>
          <w:lang w:eastAsia="en-GB"/>
        </w:rPr>
        <w:instrText>gold</w:instrText>
      </w:r>
      <w:r w:rsidR="008960AE" w:rsidRPr="00EC0229">
        <w:rPr>
          <w:color w:val="000000" w:themeColor="text1"/>
          <w:sz w:val="20"/>
          <w:szCs w:val="20"/>
        </w:rPr>
        <w:instrText xml:space="preserve">" </w:instrText>
      </w:r>
      <w:r w:rsidR="008960AE" w:rsidRPr="00EC0229">
        <w:rPr>
          <w:color w:val="000000" w:themeColor="text1"/>
          <w:sz w:val="20"/>
          <w:szCs w:val="20"/>
        </w:rPr>
        <w:fldChar w:fldCharType="end"/>
      </w:r>
      <w:r w:rsidR="007C785D" w:rsidRPr="00EC0229">
        <w:rPr>
          <w:color w:val="000000" w:themeColor="text1"/>
          <w:sz w:val="20"/>
          <w:szCs w:val="20"/>
        </w:rPr>
        <w:t xml:space="preserve"> tremissis</w:t>
      </w:r>
      <w:r w:rsidR="008960AE" w:rsidRPr="00EC0229">
        <w:rPr>
          <w:color w:val="000000" w:themeColor="text1"/>
          <w:sz w:val="20"/>
          <w:szCs w:val="20"/>
        </w:rPr>
        <w:fldChar w:fldCharType="begin"/>
      </w:r>
      <w:r w:rsidR="008960AE" w:rsidRPr="00EC0229">
        <w:rPr>
          <w:color w:val="000000" w:themeColor="text1"/>
          <w:sz w:val="20"/>
          <w:szCs w:val="20"/>
        </w:rPr>
        <w:instrText xml:space="preserve"> XE "</w:instrText>
      </w:r>
      <w:r w:rsidR="008960AE" w:rsidRPr="00EC0229">
        <w:rPr>
          <w:rFonts w:eastAsia="Times New Roman"/>
          <w:color w:val="000000" w:themeColor="text1"/>
          <w:sz w:val="20"/>
          <w:szCs w:val="20"/>
        </w:rPr>
        <w:instrText>tremissis</w:instrText>
      </w:r>
      <w:r w:rsidR="008960AE" w:rsidRPr="00EC0229">
        <w:rPr>
          <w:color w:val="000000" w:themeColor="text1"/>
          <w:sz w:val="20"/>
          <w:szCs w:val="20"/>
        </w:rPr>
        <w:instrText xml:space="preserve">" </w:instrText>
      </w:r>
      <w:r w:rsidR="008960AE" w:rsidRPr="00EC0229">
        <w:rPr>
          <w:color w:val="000000" w:themeColor="text1"/>
          <w:sz w:val="20"/>
          <w:szCs w:val="20"/>
        </w:rPr>
        <w:fldChar w:fldCharType="end"/>
      </w:r>
      <w:r w:rsidR="00483EAF" w:rsidRPr="00EC0229">
        <w:rPr>
          <w:color w:val="000000" w:themeColor="text1"/>
          <w:sz w:val="20"/>
          <w:szCs w:val="20"/>
        </w:rPr>
        <w:t>.</w:t>
      </w:r>
      <w:bookmarkEnd w:id="215"/>
      <w:r w:rsidR="007C785D" w:rsidRPr="00EC0229">
        <w:rPr>
          <w:color w:val="000000" w:themeColor="text1"/>
          <w:sz w:val="20"/>
          <w:szCs w:val="20"/>
        </w:rPr>
        <w:t xml:space="preserve"> </w:t>
      </w:r>
    </w:p>
    <w:p w14:paraId="6E740655" w14:textId="20D2F40F" w:rsidR="00E80E91" w:rsidRPr="00EC0229" w:rsidRDefault="00483EAF" w:rsidP="007600EA">
      <w:pPr>
        <w:pStyle w:val="NoSpacing"/>
        <w:spacing w:line="360" w:lineRule="auto"/>
        <w:jc w:val="center"/>
        <w:rPr>
          <w:rFonts w:cs="Times New Roman"/>
          <w:bCs/>
          <w:iCs/>
          <w:color w:val="000000"/>
          <w:sz w:val="18"/>
          <w:szCs w:val="18"/>
        </w:rPr>
      </w:pPr>
      <w:r w:rsidRPr="00EC0229">
        <w:rPr>
          <w:color w:val="000000" w:themeColor="text1"/>
          <w:sz w:val="20"/>
          <w:szCs w:val="20"/>
        </w:rPr>
        <w:t>I</w:t>
      </w:r>
      <w:r w:rsidR="007C785D" w:rsidRPr="00EC0229">
        <w:rPr>
          <w:color w:val="000000" w:themeColor="text1"/>
          <w:sz w:val="20"/>
          <w:szCs w:val="20"/>
        </w:rPr>
        <w:t>n the nam</w:t>
      </w:r>
      <w:r w:rsidR="005520BA" w:rsidRPr="00EC0229">
        <w:rPr>
          <w:color w:val="000000" w:themeColor="text1"/>
          <w:sz w:val="20"/>
          <w:szCs w:val="20"/>
        </w:rPr>
        <w:t>e of Maurice Tiberius (582-602)</w:t>
      </w:r>
      <w:r w:rsidR="00E80E91" w:rsidRPr="00EC0229">
        <w:rPr>
          <w:color w:val="000000" w:themeColor="text1"/>
          <w:sz w:val="20"/>
          <w:szCs w:val="20"/>
        </w:rPr>
        <w:t xml:space="preserve"> </w:t>
      </w:r>
      <w:r w:rsidR="007C785D" w:rsidRPr="00EC0229">
        <w:rPr>
          <w:color w:val="000000" w:themeColor="text1"/>
          <w:sz w:val="20"/>
          <w:szCs w:val="20"/>
        </w:rPr>
        <w:t>perhaps Milan or Pavia</w:t>
      </w:r>
      <w:r w:rsidR="005A2244" w:rsidRPr="00EC0229">
        <w:rPr>
          <w:color w:val="000000" w:themeColor="text1"/>
          <w:sz w:val="20"/>
          <w:szCs w:val="20"/>
        </w:rPr>
        <w:t xml:space="preserve">. </w:t>
      </w:r>
      <w:r w:rsidR="007C785D" w:rsidRPr="00EC0229">
        <w:rPr>
          <w:rFonts w:cs="Times New Roman"/>
          <w:bCs/>
          <w:iCs/>
          <w:color w:val="000000"/>
          <w:sz w:val="18"/>
          <w:szCs w:val="18"/>
        </w:rPr>
        <w:t>MEC 301-4</w:t>
      </w:r>
      <w:r w:rsidR="007C785D" w:rsidRPr="00EC0229">
        <w:rPr>
          <w:rFonts w:cs="Times New Roman"/>
          <w:bCs/>
          <w:i/>
          <w:iCs/>
          <w:color w:val="000000"/>
          <w:sz w:val="18"/>
          <w:szCs w:val="18"/>
        </w:rPr>
        <w:t xml:space="preserve">. </w:t>
      </w:r>
    </w:p>
    <w:p w14:paraId="6AE47141" w14:textId="0E2F4090" w:rsidR="007C785D" w:rsidRPr="00EC0229" w:rsidRDefault="007C785D" w:rsidP="007600EA">
      <w:pPr>
        <w:pStyle w:val="NoSpacing"/>
        <w:spacing w:line="360" w:lineRule="auto"/>
        <w:jc w:val="center"/>
        <w:rPr>
          <w:rFonts w:cs="Times New Roman"/>
          <w:bCs/>
          <w:color w:val="000000"/>
          <w:sz w:val="20"/>
          <w:szCs w:val="20"/>
        </w:rPr>
      </w:pPr>
      <w:r w:rsidRPr="00EC0229">
        <w:rPr>
          <w:rFonts w:cs="Times New Roman"/>
          <w:bCs/>
          <w:color w:val="000000"/>
          <w:sz w:val="20"/>
          <w:szCs w:val="20"/>
        </w:rPr>
        <w:t>Found near Driffield</w:t>
      </w:r>
      <w:r w:rsidR="006B1593" w:rsidRPr="00EC0229">
        <w:rPr>
          <w:rFonts w:cs="Times New Roman"/>
          <w:bCs/>
          <w:color w:val="000000"/>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Driffield</w:instrText>
      </w:r>
      <w:r w:rsidR="006B1593" w:rsidRPr="00EC0229">
        <w:rPr>
          <w:sz w:val="20"/>
          <w:szCs w:val="20"/>
        </w:rPr>
        <w:instrText xml:space="preserve">" </w:instrText>
      </w:r>
      <w:r w:rsidR="006B1593" w:rsidRPr="00EC0229">
        <w:rPr>
          <w:rFonts w:cs="Times New Roman"/>
          <w:bCs/>
          <w:color w:val="000000"/>
          <w:sz w:val="20"/>
          <w:szCs w:val="20"/>
        </w:rPr>
        <w:fldChar w:fldCharType="end"/>
      </w:r>
      <w:r w:rsidRPr="00EC0229">
        <w:rPr>
          <w:rFonts w:cs="Times New Roman"/>
          <w:bCs/>
          <w:color w:val="000000"/>
          <w:sz w:val="20"/>
          <w:szCs w:val="20"/>
        </w:rPr>
        <w:t>. (Courtesy James Booth)</w:t>
      </w:r>
      <w:r w:rsidR="00690F75" w:rsidRPr="00EC0229">
        <w:rPr>
          <w:rStyle w:val="FootnoteReference"/>
          <w:rFonts w:cs="Times New Roman"/>
          <w:bCs/>
          <w:color w:val="000000"/>
          <w:sz w:val="20"/>
          <w:szCs w:val="20"/>
        </w:rPr>
        <w:footnoteReference w:id="445"/>
      </w:r>
    </w:p>
    <w:p w14:paraId="58D9AE31" w14:textId="77777777" w:rsidR="007C785D" w:rsidRPr="00EC0229" w:rsidRDefault="007C785D" w:rsidP="007600EA">
      <w:pPr>
        <w:pStyle w:val="NoSpacing"/>
        <w:spacing w:line="360" w:lineRule="auto"/>
        <w:rPr>
          <w:rFonts w:cs="Times New Roman"/>
        </w:rPr>
      </w:pPr>
    </w:p>
    <w:p w14:paraId="31FC7714" w14:textId="7DD20CCD" w:rsidR="007C785D" w:rsidRPr="00EC0229" w:rsidRDefault="007C785D" w:rsidP="007600EA">
      <w:pPr>
        <w:pStyle w:val="NoSpacing"/>
        <w:spacing w:line="360" w:lineRule="auto"/>
        <w:rPr>
          <w:rFonts w:cs="Times New Roman"/>
        </w:rPr>
      </w:pPr>
      <w:r w:rsidRPr="00EC0229">
        <w:rPr>
          <w:rFonts w:cs="Times New Roman"/>
        </w:rPr>
        <w:t>‘</w:t>
      </w:r>
      <w:r w:rsidRPr="00EC0229">
        <w:rPr>
          <w:rFonts w:eastAsia="Times New Roman" w:cs="Times New Roman"/>
          <w:szCs w:val="24"/>
        </w:rPr>
        <w:t>The English kingdoms were not to regain a circulating currency, so essential to civilized life, until the first gold</w:t>
      </w:r>
      <w:r w:rsidR="008960AE" w:rsidRPr="00EC0229">
        <w:rPr>
          <w:rFonts w:eastAsia="Times New Roman"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szCs w:val="24"/>
        </w:rPr>
        <w:fldChar w:fldCharType="end"/>
      </w:r>
      <w:r w:rsidRPr="00EC0229">
        <w:rPr>
          <w:rFonts w:eastAsia="Times New Roman" w:cs="Times New Roman"/>
          <w:szCs w:val="24"/>
        </w:rPr>
        <w:t xml:space="preserve"> tremisses of dumpy Merovingian</w:t>
      </w:r>
      <w:r w:rsidR="004C29A9" w:rsidRPr="00EC0229">
        <w:rPr>
          <w:rFonts w:eastAsia="Times New Roman" w:cs="Times New Roman"/>
          <w:szCs w:val="24"/>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rFonts w:eastAsia="Times New Roman" w:cs="Times New Roman"/>
          <w:szCs w:val="24"/>
        </w:rPr>
        <w:fldChar w:fldCharType="end"/>
      </w:r>
      <w:r w:rsidRPr="00EC0229">
        <w:rPr>
          <w:rFonts w:eastAsia="Times New Roman" w:cs="Times New Roman"/>
          <w:szCs w:val="24"/>
        </w:rPr>
        <w:t xml:space="preserve"> module began to be made in Kent a few decades later, around the middle of </w:t>
      </w:r>
      <w:r w:rsidR="00F139AF" w:rsidRPr="00EC0229">
        <w:rPr>
          <w:rFonts w:eastAsia="Times New Roman" w:cs="Times New Roman"/>
          <w:szCs w:val="24"/>
        </w:rPr>
        <w:t>the seventh century</w:t>
      </w:r>
      <w:r w:rsidRPr="00EC0229">
        <w:rPr>
          <w:rFonts w:eastAsia="Times New Roman" w:cs="Times New Roman"/>
          <w:szCs w:val="24"/>
        </w:rPr>
        <w:t>.’</w:t>
      </w:r>
      <w:r w:rsidRPr="00EC0229">
        <w:rPr>
          <w:rStyle w:val="FootnoteReference"/>
          <w:rFonts w:eastAsia="Times New Roman" w:cs="Times New Roman"/>
          <w:szCs w:val="24"/>
        </w:rPr>
        <w:footnoteReference w:id="446"/>
      </w:r>
    </w:p>
    <w:p w14:paraId="3D70F59C" w14:textId="77777777" w:rsidR="007C785D" w:rsidRPr="00EC0229" w:rsidRDefault="007C785D" w:rsidP="007600EA">
      <w:pPr>
        <w:pStyle w:val="NoSpacing"/>
        <w:spacing w:line="360" w:lineRule="auto"/>
        <w:rPr>
          <w:rFonts w:cs="Times New Roman"/>
        </w:rPr>
      </w:pPr>
    </w:p>
    <w:p w14:paraId="318B361E" w14:textId="47F26CCE" w:rsidR="007C785D" w:rsidRPr="00EC0229" w:rsidRDefault="00EA1A00" w:rsidP="007600EA">
      <w:pPr>
        <w:pStyle w:val="NoSpacing"/>
        <w:spacing w:line="360" w:lineRule="auto"/>
        <w:rPr>
          <w:rFonts w:cs="Times New Roman"/>
          <w:szCs w:val="24"/>
        </w:rPr>
      </w:pPr>
      <w:r w:rsidRPr="00EC0229">
        <w:rPr>
          <w:rFonts w:cs="Times New Roman"/>
          <w:szCs w:val="24"/>
        </w:rPr>
        <w:t xml:space="preserve">In </w:t>
      </w:r>
      <w:r w:rsidR="007C785D" w:rsidRPr="00EC0229">
        <w:rPr>
          <w:rFonts w:cs="Times New Roman"/>
          <w:szCs w:val="24"/>
        </w:rPr>
        <w:t>quantify</w:t>
      </w:r>
      <w:r w:rsidRPr="00EC0229">
        <w:rPr>
          <w:rFonts w:cs="Times New Roman"/>
          <w:szCs w:val="24"/>
        </w:rPr>
        <w:t>ing</w:t>
      </w:r>
      <w:r w:rsidR="007C785D" w:rsidRPr="00EC0229">
        <w:rPr>
          <w:rFonts w:cs="Times New Roman"/>
          <w:szCs w:val="24"/>
        </w:rPr>
        <w:t xml:space="preserve"> the circulation of non-Anglo-Saxon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007C785D" w:rsidRPr="00EC0229">
        <w:rPr>
          <w:rFonts w:cs="Times New Roman"/>
          <w:szCs w:val="24"/>
        </w:rPr>
        <w:t xml:space="preserve">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002646CC" w:rsidRPr="00EC0229">
        <w:rPr>
          <w:rFonts w:cs="Times New Roman"/>
          <w:szCs w:val="24"/>
        </w:rPr>
        <w:t xml:space="preserve">, Pol </w:t>
      </w:r>
      <w:r w:rsidR="00CD4728" w:rsidRPr="00EC0229">
        <w:rPr>
          <w:rFonts w:cs="Times New Roman"/>
          <w:szCs w:val="24"/>
        </w:rPr>
        <w:t>has recorded</w:t>
      </w:r>
      <w:r w:rsidR="007C785D" w:rsidRPr="00EC0229">
        <w:rPr>
          <w:rFonts w:cs="Times New Roman"/>
          <w:szCs w:val="24"/>
        </w:rPr>
        <w:t xml:space="preserve"> ‘</w:t>
      </w:r>
      <w:r w:rsidR="007C785D" w:rsidRPr="00EC0229">
        <w:rPr>
          <w:color w:val="000000"/>
          <w:szCs w:val="24"/>
          <w:lang w:val="en-US"/>
        </w:rPr>
        <w:t>48 solidi of non-Anglo-Saxon origin and 443 tremisses of the same category’.</w:t>
      </w:r>
      <w:r w:rsidR="007C785D" w:rsidRPr="00EC0229">
        <w:rPr>
          <w:rStyle w:val="FootnoteReference"/>
          <w:color w:val="000000"/>
          <w:szCs w:val="24"/>
          <w:lang w:val="en-US"/>
        </w:rPr>
        <w:footnoteReference w:id="447"/>
      </w:r>
    </w:p>
    <w:p w14:paraId="44A7EB93" w14:textId="77777777" w:rsidR="007C785D" w:rsidRPr="00EC0229" w:rsidRDefault="007C785D" w:rsidP="007600EA">
      <w:pPr>
        <w:pStyle w:val="NoSpacing"/>
        <w:spacing w:line="360" w:lineRule="auto"/>
        <w:rPr>
          <w:rFonts w:cs="Times New Roman"/>
        </w:rPr>
      </w:pPr>
    </w:p>
    <w:p w14:paraId="543D7004" w14:textId="1FB52241" w:rsidR="007C785D" w:rsidRPr="008E6548" w:rsidRDefault="00525552" w:rsidP="007600EA">
      <w:pPr>
        <w:pStyle w:val="Heading4"/>
        <w:spacing w:line="360" w:lineRule="auto"/>
        <w:rPr>
          <w:b/>
        </w:rPr>
      </w:pPr>
      <w:bookmarkStart w:id="216" w:name="Period3a"/>
      <w:bookmarkStart w:id="217" w:name="_Toc468266779"/>
      <w:bookmarkEnd w:id="216"/>
      <w:r w:rsidRPr="00525552">
        <w:rPr>
          <w:b/>
        </w:rPr>
        <w:t>5.2.2.</w:t>
      </w:r>
      <w:r>
        <w:rPr>
          <w:b/>
        </w:rPr>
        <w:t>4</w:t>
      </w:r>
      <w:r w:rsidRPr="00525552">
        <w:rPr>
          <w:b/>
        </w:rPr>
        <w:tab/>
      </w:r>
      <w:r w:rsidR="007C785D" w:rsidRPr="008E6548">
        <w:rPr>
          <w:b/>
        </w:rPr>
        <w:t>Period 3a</w:t>
      </w:r>
      <w:r w:rsidR="00F204A1" w:rsidRPr="008E6548">
        <w:rPr>
          <w:b/>
        </w:rPr>
        <w:fldChar w:fldCharType="begin"/>
      </w:r>
      <w:r w:rsidR="00F204A1" w:rsidRPr="008E6548">
        <w:rPr>
          <w:b/>
        </w:rPr>
        <w:instrText xml:space="preserve"> XE "</w:instrText>
      </w:r>
      <w:r w:rsidR="00F204A1" w:rsidRPr="008E6548">
        <w:rPr>
          <w:rStyle w:val="Hyperlink"/>
          <w:b/>
          <w:noProof/>
          <w:sz w:val="27"/>
          <w:szCs w:val="27"/>
          <w:u w:val="none"/>
        </w:rPr>
        <w:instrText>Period 3a</w:instrText>
      </w:r>
      <w:r w:rsidR="00F204A1" w:rsidRPr="008E6548">
        <w:rPr>
          <w:b/>
        </w:rPr>
        <w:instrText xml:space="preserve">" </w:instrText>
      </w:r>
      <w:r w:rsidR="00F204A1" w:rsidRPr="008E6548">
        <w:rPr>
          <w:b/>
        </w:rPr>
        <w:fldChar w:fldCharType="end"/>
      </w:r>
      <w:r w:rsidR="007C785D" w:rsidRPr="008E6548">
        <w:rPr>
          <w:b/>
        </w:rPr>
        <w:t xml:space="preserve">. </w:t>
      </w:r>
      <w:bookmarkStart w:id="218" w:name="ImportedMerovingia"/>
      <w:r w:rsidR="007C785D" w:rsidRPr="008E6548">
        <w:rPr>
          <w:b/>
        </w:rPr>
        <w:t>Imported Merovingian</w:t>
      </w:r>
      <w:r w:rsidR="004C29A9" w:rsidRPr="008E6548">
        <w:rPr>
          <w:b/>
        </w:rPr>
        <w:fldChar w:fldCharType="begin"/>
      </w:r>
      <w:r w:rsidR="004C29A9" w:rsidRPr="008E6548">
        <w:rPr>
          <w:b/>
        </w:rPr>
        <w:instrText xml:space="preserve"> XE "</w:instrText>
      </w:r>
      <w:r w:rsidR="004C29A9" w:rsidRPr="008E6548">
        <w:rPr>
          <w:rStyle w:val="Hyperlink"/>
          <w:b/>
          <w:noProof/>
          <w:sz w:val="27"/>
          <w:szCs w:val="27"/>
          <w:u w:val="none"/>
        </w:rPr>
        <w:instrText>Merovingian</w:instrText>
      </w:r>
      <w:r w:rsidR="004C29A9" w:rsidRPr="008E6548">
        <w:rPr>
          <w:b/>
        </w:rPr>
        <w:instrText xml:space="preserve">" </w:instrText>
      </w:r>
      <w:r w:rsidR="004C29A9" w:rsidRPr="008E6548">
        <w:rPr>
          <w:b/>
        </w:rPr>
        <w:fldChar w:fldCharType="end"/>
      </w:r>
      <w:r w:rsidR="007C785D" w:rsidRPr="008E6548">
        <w:rPr>
          <w:b/>
        </w:rPr>
        <w:t xml:space="preserve"> </w:t>
      </w:r>
      <w:bookmarkEnd w:id="218"/>
      <w:r w:rsidR="007C785D" w:rsidRPr="008E6548">
        <w:rPr>
          <w:b/>
        </w:rPr>
        <w:t>gold</w:t>
      </w:r>
      <w:r w:rsidR="008960AE" w:rsidRPr="008E6548">
        <w:rPr>
          <w:b/>
        </w:rPr>
        <w:fldChar w:fldCharType="begin"/>
      </w:r>
      <w:r w:rsidR="008960AE" w:rsidRPr="008E6548">
        <w:rPr>
          <w:b/>
        </w:rPr>
        <w:instrText xml:space="preserve"> XE "</w:instrText>
      </w:r>
      <w:r w:rsidR="008960AE" w:rsidRPr="008E6548">
        <w:rPr>
          <w:rFonts w:eastAsia="Times New Roman" w:cs="Times New Roman"/>
          <w:b/>
          <w:lang w:eastAsia="en-GB"/>
        </w:rPr>
        <w:instrText>gold</w:instrText>
      </w:r>
      <w:r w:rsidR="008960AE" w:rsidRPr="008E6548">
        <w:rPr>
          <w:b/>
        </w:rPr>
        <w:instrText xml:space="preserve">" </w:instrText>
      </w:r>
      <w:r w:rsidR="008960AE" w:rsidRPr="008E6548">
        <w:rPr>
          <w:b/>
        </w:rPr>
        <w:fldChar w:fldCharType="end"/>
      </w:r>
      <w:r w:rsidR="007C785D" w:rsidRPr="008E6548">
        <w:rPr>
          <w:b/>
        </w:rPr>
        <w:t xml:space="preserve"> coinage</w:t>
      </w:r>
      <w:r w:rsidR="00F204A1" w:rsidRPr="008E6548">
        <w:rPr>
          <w:b/>
        </w:rPr>
        <w:fldChar w:fldCharType="begin"/>
      </w:r>
      <w:r w:rsidR="00F204A1" w:rsidRPr="008E6548">
        <w:rPr>
          <w:b/>
        </w:rPr>
        <w:instrText xml:space="preserve"> XE "</w:instrText>
      </w:r>
      <w:r w:rsidR="00F204A1" w:rsidRPr="008E6548">
        <w:rPr>
          <w:rStyle w:val="Hyperlink"/>
          <w:b/>
          <w:noProof/>
          <w:sz w:val="27"/>
          <w:szCs w:val="27"/>
          <w:u w:val="none"/>
        </w:rPr>
        <w:instrText>Imported Merovingian gold coinage</w:instrText>
      </w:r>
      <w:r w:rsidR="00F204A1" w:rsidRPr="008E6548">
        <w:rPr>
          <w:b/>
        </w:rPr>
        <w:instrText xml:space="preserve">" </w:instrText>
      </w:r>
      <w:r w:rsidR="00F204A1" w:rsidRPr="008E6548">
        <w:rPr>
          <w:b/>
        </w:rPr>
        <w:fldChar w:fldCharType="end"/>
      </w:r>
      <w:r w:rsidR="007C785D" w:rsidRPr="008E6548">
        <w:rPr>
          <w:b/>
        </w:rPr>
        <w:t xml:space="preserve">, </w:t>
      </w:r>
      <w:r w:rsidR="007C785D" w:rsidRPr="008E6548">
        <w:rPr>
          <w:b/>
          <w:i/>
        </w:rPr>
        <w:t>c.</w:t>
      </w:r>
      <w:r w:rsidR="007C785D" w:rsidRPr="008E6548">
        <w:rPr>
          <w:b/>
        </w:rPr>
        <w:t>587</w:t>
      </w:r>
      <w:r w:rsidR="00AB6635">
        <w:rPr>
          <w:b/>
        </w:rPr>
        <w:t>-</w:t>
      </w:r>
      <w:r w:rsidR="007C785D" w:rsidRPr="008E6548">
        <w:rPr>
          <w:b/>
          <w:i/>
        </w:rPr>
        <w:t>c</w:t>
      </w:r>
      <w:r>
        <w:rPr>
          <w:b/>
        </w:rPr>
        <w:t>.</w:t>
      </w:r>
      <w:r w:rsidR="007C785D" w:rsidRPr="008E6548">
        <w:rPr>
          <w:b/>
        </w:rPr>
        <w:t>670</w:t>
      </w:r>
      <w:bookmarkEnd w:id="217"/>
    </w:p>
    <w:p w14:paraId="01D0D9B1" w14:textId="3E1CE250" w:rsidR="007C785D" w:rsidRPr="00EC0229" w:rsidRDefault="007C785D" w:rsidP="007600EA">
      <w:pPr>
        <w:pStyle w:val="NoSpacing"/>
        <w:spacing w:line="360" w:lineRule="auto"/>
        <w:rPr>
          <w:rFonts w:cs="Times New Roman"/>
          <w:szCs w:val="54"/>
        </w:rPr>
      </w:pPr>
      <w:r w:rsidRPr="00EC0229">
        <w:rPr>
          <w:rFonts w:cs="Times New Roman"/>
        </w:rPr>
        <w:t xml:space="preserve">In the third quarter of </w:t>
      </w:r>
      <w:r w:rsidR="00F139AF" w:rsidRPr="00EC0229">
        <w:rPr>
          <w:rFonts w:cs="Times New Roman"/>
        </w:rPr>
        <w:t>the sixth century</w:t>
      </w:r>
      <w:r w:rsidRPr="00EC0229">
        <w:rPr>
          <w:rFonts w:cs="Times New Roman"/>
        </w:rPr>
        <w:t xml:space="preserve">, </w:t>
      </w:r>
      <w:r w:rsidRPr="00EC0229">
        <w:rPr>
          <w:rFonts w:cs="Times New Roman"/>
          <w:szCs w:val="54"/>
        </w:rPr>
        <w:t xml:space="preserve">the </w:t>
      </w:r>
      <w:r w:rsidRPr="00EC0229">
        <w:rPr>
          <w:rFonts w:cs="Times New Roman"/>
        </w:rPr>
        <w:t xml:space="preserve">Pseudo-Imperial </w:t>
      </w:r>
      <w:r w:rsidRPr="00EC0229">
        <w:rPr>
          <w:rFonts w:cs="Times New Roman"/>
          <w:i/>
          <w:iCs/>
        </w:rPr>
        <w:t>Victory</w:t>
      </w:r>
      <w:r w:rsidRPr="00EC0229">
        <w:rPr>
          <w:rFonts w:cs="Times New Roman"/>
        </w:rPr>
        <w:t xml:space="preserve"> type</w:t>
      </w:r>
      <w:r w:rsidRPr="00EC0229">
        <w:rPr>
          <w:rFonts w:cs="Times New Roman"/>
          <w:szCs w:val="66"/>
        </w:rPr>
        <w:t xml:space="preserve"> was </w:t>
      </w:r>
      <w:r w:rsidRPr="00EC0229">
        <w:rPr>
          <w:rFonts w:cs="Times New Roman"/>
          <w:szCs w:val="54"/>
        </w:rPr>
        <w:t>superseded by</w:t>
      </w:r>
      <w:r w:rsidRPr="00EC0229">
        <w:rPr>
          <w:rFonts w:cs="Times New Roman"/>
        </w:rPr>
        <w:t xml:space="preserve"> </w:t>
      </w:r>
      <w:r w:rsidRPr="00EC0229">
        <w:rPr>
          <w:rFonts w:cs="Times New Roman"/>
          <w:szCs w:val="66"/>
        </w:rPr>
        <w:t>t</w:t>
      </w:r>
      <w:r w:rsidRPr="00EC0229">
        <w:rPr>
          <w:rFonts w:cs="Times New Roman"/>
          <w:szCs w:val="54"/>
        </w:rPr>
        <w:t>he gold</w:t>
      </w:r>
      <w:r w:rsidR="008960AE" w:rsidRPr="00EC0229">
        <w:rPr>
          <w:rFonts w:cs="Times New Roman"/>
          <w:szCs w:val="5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54"/>
        </w:rPr>
        <w:fldChar w:fldCharType="end"/>
      </w:r>
      <w:r w:rsidRPr="00EC0229">
        <w:rPr>
          <w:rFonts w:cs="Times New Roman"/>
          <w:szCs w:val="54"/>
        </w:rPr>
        <w:t xml:space="preserve"> 'National Coinage</w:t>
      </w:r>
      <w:r w:rsidR="00584C42" w:rsidRPr="00EC0229">
        <w:rPr>
          <w:rFonts w:cs="Times New Roman"/>
          <w:szCs w:val="54"/>
        </w:rPr>
        <w:fldChar w:fldCharType="begin"/>
      </w:r>
      <w:r w:rsidR="00584C42" w:rsidRPr="00EC0229">
        <w:instrText xml:space="preserve"> XE "</w:instrText>
      </w:r>
      <w:r w:rsidR="00584C42" w:rsidRPr="00EC0229">
        <w:rPr>
          <w:rFonts w:cs="Times New Roman"/>
          <w:b/>
          <w:color w:val="000000" w:themeColor="text1"/>
          <w:sz w:val="56"/>
          <w:szCs w:val="56"/>
        </w:rPr>
        <w:instrText>Coinage</w:instrText>
      </w:r>
      <w:r w:rsidR="00584C42" w:rsidRPr="00EC0229">
        <w:instrText xml:space="preserve">" </w:instrText>
      </w:r>
      <w:r w:rsidR="00584C42" w:rsidRPr="00EC0229">
        <w:rPr>
          <w:rFonts w:cs="Times New Roman"/>
          <w:szCs w:val="54"/>
        </w:rPr>
        <w:fldChar w:fldCharType="end"/>
      </w:r>
      <w:r w:rsidRPr="00EC0229">
        <w:rPr>
          <w:rFonts w:cs="Times New Roman"/>
          <w:szCs w:val="54"/>
        </w:rPr>
        <w:t>',</w:t>
      </w:r>
      <w:r w:rsidR="00525552" w:rsidRPr="00525552">
        <w:rPr>
          <w:rStyle w:val="FootnoteReference"/>
          <w:rFonts w:cs="Times New Roman"/>
        </w:rPr>
        <w:t xml:space="preserve"> </w:t>
      </w:r>
      <w:r w:rsidR="00525552" w:rsidRPr="00EC0229">
        <w:rPr>
          <w:rStyle w:val="FootnoteReference"/>
          <w:rFonts w:cs="Times New Roman"/>
        </w:rPr>
        <w:footnoteReference w:id="448"/>
      </w:r>
      <w:r w:rsidRPr="00EC0229">
        <w:rPr>
          <w:rFonts w:cs="Times New Roman"/>
          <w:szCs w:val="54"/>
        </w:rPr>
        <w:t xml:space="preserve"> occasionally naming the barbarian ruler, but usually the mint and </w:t>
      </w:r>
      <w:r w:rsidRPr="00EC0229">
        <w:rPr>
          <w:rFonts w:cs="Times New Roman"/>
          <w:i/>
          <w:szCs w:val="54"/>
        </w:rPr>
        <w:t>monetarius</w:t>
      </w:r>
      <w:r w:rsidRPr="00EC0229">
        <w:rPr>
          <w:rFonts w:cs="Times New Roman"/>
          <w:szCs w:val="54"/>
        </w:rPr>
        <w:t xml:space="preserve"> (moneyer)</w:t>
      </w:r>
      <w:r w:rsidR="000A7CD7" w:rsidRPr="00EC0229">
        <w:rPr>
          <w:rFonts w:cs="Times New Roman"/>
          <w:szCs w:val="54"/>
        </w:rPr>
        <w:t xml:space="preserve">, </w:t>
      </w:r>
      <w:r w:rsidR="00CD27A3" w:rsidRPr="00EC0229">
        <w:rPr>
          <w:rFonts w:cs="Times New Roman"/>
          <w:szCs w:val="24"/>
        </w:rPr>
        <w:t>(</w:t>
      </w:r>
      <w:r w:rsidR="008C418A" w:rsidRPr="00EC0229">
        <w:rPr>
          <w:rFonts w:cs="Times New Roman"/>
          <w:szCs w:val="24"/>
        </w:rPr>
        <w:fldChar w:fldCharType="begin"/>
      </w:r>
      <w:r w:rsidR="008C418A" w:rsidRPr="00EC0229">
        <w:rPr>
          <w:rFonts w:cs="Times New Roman"/>
          <w:szCs w:val="24"/>
        </w:rPr>
        <w:instrText xml:space="preserve"> REF _Ref430245903 \h </w:instrText>
      </w:r>
      <w:r w:rsidR="000A7CD7"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8</w:t>
      </w:r>
      <w:r w:rsidR="008C418A" w:rsidRPr="00EC0229">
        <w:rPr>
          <w:rFonts w:cs="Times New Roman"/>
          <w:szCs w:val="24"/>
        </w:rPr>
        <w:fldChar w:fldCharType="end"/>
      </w:r>
      <w:r w:rsidR="00CD27A3" w:rsidRPr="00EC0229">
        <w:rPr>
          <w:rFonts w:cs="Times New Roman"/>
          <w:szCs w:val="54"/>
        </w:rPr>
        <w:t>)</w:t>
      </w:r>
      <w:r w:rsidRPr="00EC0229">
        <w:rPr>
          <w:rFonts w:cs="Times New Roman"/>
          <w:szCs w:val="54"/>
        </w:rPr>
        <w:t>.</w:t>
      </w:r>
      <w:r w:rsidRPr="00EC0229">
        <w:rPr>
          <w:rStyle w:val="FootnoteReference"/>
          <w:rFonts w:cs="Times New Roman"/>
        </w:rPr>
        <w:footnoteReference w:id="449"/>
      </w:r>
      <w:r w:rsidRPr="00EC0229">
        <w:rPr>
          <w:rFonts w:cs="Times New Roman"/>
          <w:szCs w:val="54"/>
        </w:rPr>
        <w:t xml:space="preserve"> </w:t>
      </w:r>
      <w:r w:rsidRPr="00EC0229">
        <w:rPr>
          <w:rFonts w:cs="Times New Roman"/>
          <w:i/>
          <w:szCs w:val="54"/>
        </w:rPr>
        <w:t xml:space="preserve">MEC </w:t>
      </w:r>
      <w:r w:rsidRPr="00EC0229">
        <w:rPr>
          <w:rFonts w:cs="Times New Roman"/>
          <w:szCs w:val="54"/>
        </w:rPr>
        <w:t>dates this to 587 when Childebert and Guntramn met at Andelot to settle questions of territory and succession.</w:t>
      </w:r>
      <w:r w:rsidRPr="00EC0229">
        <w:rPr>
          <w:rStyle w:val="FootnoteReference"/>
          <w:rFonts w:cs="Times New Roman"/>
          <w:szCs w:val="54"/>
        </w:rPr>
        <w:t xml:space="preserve"> </w:t>
      </w:r>
      <w:r w:rsidRPr="00EC0229">
        <w:rPr>
          <w:rStyle w:val="FootnoteReference"/>
          <w:rFonts w:cs="Times New Roman"/>
          <w:szCs w:val="54"/>
        </w:rPr>
        <w:footnoteReference w:id="450"/>
      </w:r>
    </w:p>
    <w:p w14:paraId="443C185E" w14:textId="77777777" w:rsidR="007C785D" w:rsidRPr="00EC0229" w:rsidRDefault="007C785D" w:rsidP="007600EA">
      <w:pPr>
        <w:pStyle w:val="NoSpacing"/>
        <w:spacing w:line="360" w:lineRule="auto"/>
        <w:jc w:val="center"/>
        <w:rPr>
          <w:rFonts w:cs="Times New Roman"/>
        </w:rPr>
      </w:pPr>
      <w:r w:rsidRPr="00EC0229">
        <w:rPr>
          <w:rFonts w:cs="Times New Roman"/>
        </w:rPr>
        <w:tab/>
      </w:r>
    </w:p>
    <w:p w14:paraId="507FA96A" w14:textId="3D208E28" w:rsidR="007C785D" w:rsidRPr="00EC0229" w:rsidRDefault="00BF0DE6" w:rsidP="007600EA">
      <w:pPr>
        <w:pStyle w:val="NoSpacing"/>
        <w:spacing w:line="360" w:lineRule="auto"/>
        <w:jc w:val="center"/>
        <w:rPr>
          <w:rFonts w:cs="Times New Roman"/>
        </w:rPr>
      </w:pPr>
      <w:r w:rsidRPr="00EC0229">
        <w:rPr>
          <w:rFonts w:cs="Times New Roman"/>
          <w:noProof/>
          <w:lang w:eastAsia="en-GB"/>
        </w:rPr>
        <w:drawing>
          <wp:inline distT="0" distB="0" distL="0" distR="0" wp14:anchorId="24FA6F45" wp14:editId="368B82A2">
            <wp:extent cx="1789621" cy="870949"/>
            <wp:effectExtent l="0" t="0" r="1270" b="57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egomundus CNG95000903 Malton.jpg"/>
                    <pic:cNvPicPr/>
                  </pic:nvPicPr>
                  <pic:blipFill>
                    <a:blip r:embed="rId42">
                      <a:extLst>
                        <a:ext uri="{28A0092B-C50C-407E-A947-70E740481C1C}">
                          <a14:useLocalDpi xmlns:a14="http://schemas.microsoft.com/office/drawing/2010/main" val="0"/>
                        </a:ext>
                      </a:extLst>
                    </a:blip>
                    <a:stretch>
                      <a:fillRect/>
                    </a:stretch>
                  </pic:blipFill>
                  <pic:spPr>
                    <a:xfrm>
                      <a:off x="0" y="0"/>
                      <a:ext cx="1834321" cy="892703"/>
                    </a:xfrm>
                    <a:prstGeom prst="rect">
                      <a:avLst/>
                    </a:prstGeom>
                  </pic:spPr>
                </pic:pic>
              </a:graphicData>
            </a:graphic>
          </wp:inline>
        </w:drawing>
      </w:r>
      <w:r w:rsidR="007C785D" w:rsidRPr="00EC0229">
        <w:rPr>
          <w:rFonts w:cs="Times New Roman"/>
        </w:rPr>
        <w:t xml:space="preserve">  </w:t>
      </w:r>
      <w:r w:rsidR="007C785D" w:rsidRPr="00EC0229">
        <w:rPr>
          <w:rFonts w:cs="Times New Roman"/>
          <w:noProof/>
          <w:lang w:eastAsia="en-GB"/>
        </w:rPr>
        <w:drawing>
          <wp:inline distT="0" distB="0" distL="0" distR="0" wp14:anchorId="0914DA73" wp14:editId="000D1BB6">
            <wp:extent cx="1006768" cy="907837"/>
            <wp:effectExtent l="0" t="0" r="3175"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T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21373" cy="921007"/>
                    </a:xfrm>
                    <a:prstGeom prst="rect">
                      <a:avLst/>
                    </a:prstGeom>
                  </pic:spPr>
                </pic:pic>
              </a:graphicData>
            </a:graphic>
          </wp:inline>
        </w:drawing>
      </w:r>
      <w:r w:rsidR="007C785D" w:rsidRPr="00EC0229">
        <w:rPr>
          <w:rFonts w:cs="Times New Roman"/>
          <w:noProof/>
          <w:lang w:eastAsia="en-GB"/>
        </w:rPr>
        <w:drawing>
          <wp:inline distT="0" distB="0" distL="0" distR="0" wp14:anchorId="11ECD5DC" wp14:editId="45D50A00">
            <wp:extent cx="891540" cy="967126"/>
            <wp:effectExtent l="0" t="0" r="381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T12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00347" cy="976680"/>
                    </a:xfrm>
                    <a:prstGeom prst="rect">
                      <a:avLst/>
                    </a:prstGeom>
                  </pic:spPr>
                </pic:pic>
              </a:graphicData>
            </a:graphic>
          </wp:inline>
        </w:drawing>
      </w:r>
      <w:r w:rsidR="007C785D" w:rsidRPr="00EC0229">
        <w:rPr>
          <w:rFonts w:cs="Times New Roman"/>
        </w:rPr>
        <w:t xml:space="preserve"> </w:t>
      </w:r>
    </w:p>
    <w:p w14:paraId="5CB6ADAB" w14:textId="69B24D04" w:rsidR="005520BA" w:rsidRPr="00EC0229" w:rsidRDefault="005A2244" w:rsidP="007600EA">
      <w:pPr>
        <w:pStyle w:val="NoSpacing"/>
        <w:spacing w:line="360" w:lineRule="auto"/>
        <w:jc w:val="center"/>
        <w:rPr>
          <w:rFonts w:cs="Times New Roman"/>
          <w:sz w:val="20"/>
          <w:szCs w:val="20"/>
        </w:rPr>
      </w:pPr>
      <w:bookmarkStart w:id="219" w:name="_Ref430245903"/>
      <w:bookmarkStart w:id="220" w:name="_Toc46826698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w:t>
      </w:r>
      <w:r w:rsidRPr="00EC0229">
        <w:rPr>
          <w:sz w:val="20"/>
          <w:szCs w:val="20"/>
        </w:rPr>
        <w:fldChar w:fldCharType="end"/>
      </w:r>
      <w:bookmarkEnd w:id="219"/>
      <w:r w:rsidR="00CD27A3" w:rsidRPr="00EC0229">
        <w:rPr>
          <w:rFonts w:cs="Times New Roman"/>
          <w:sz w:val="20"/>
          <w:szCs w:val="20"/>
        </w:rPr>
        <w:t xml:space="preserve">: </w:t>
      </w:r>
      <w:r w:rsidR="007C785D" w:rsidRPr="00EC0229">
        <w:rPr>
          <w:rFonts w:cs="Times New Roman"/>
          <w:sz w:val="20"/>
          <w:szCs w:val="20"/>
        </w:rPr>
        <w:t>Merovingian</w:t>
      </w:r>
      <w:r w:rsidR="004C29A9" w:rsidRPr="00EC0229">
        <w:rPr>
          <w:rFonts w:cs="Times New Roman"/>
          <w:sz w:val="20"/>
          <w:szCs w:val="20"/>
        </w:rPr>
        <w:fldChar w:fldCharType="begin"/>
      </w:r>
      <w:r w:rsidR="004C29A9" w:rsidRPr="00EC0229">
        <w:rPr>
          <w:sz w:val="20"/>
          <w:szCs w:val="20"/>
        </w:rPr>
        <w:instrText xml:space="preserve"> XE "</w:instrText>
      </w:r>
      <w:r w:rsidR="004C29A9" w:rsidRPr="00EC0229">
        <w:rPr>
          <w:rStyle w:val="Hyperlink"/>
          <w:noProof/>
          <w:sz w:val="20"/>
          <w:szCs w:val="20"/>
          <w:u w:val="none"/>
        </w:rPr>
        <w:instrText>Merovingian</w:instrText>
      </w:r>
      <w:r w:rsidR="004C29A9" w:rsidRPr="00EC0229">
        <w:rPr>
          <w:sz w:val="20"/>
          <w:szCs w:val="20"/>
        </w:rPr>
        <w:instrText xml:space="preserve">" </w:instrText>
      </w:r>
      <w:r w:rsidR="004C29A9" w:rsidRPr="00EC0229">
        <w:rPr>
          <w:rFonts w:cs="Times New Roman"/>
          <w:sz w:val="20"/>
          <w:szCs w:val="20"/>
        </w:rPr>
        <w:fldChar w:fldCharType="end"/>
      </w:r>
      <w:r w:rsidR="007C785D" w:rsidRPr="00EC0229">
        <w:rPr>
          <w:rFonts w:cs="Times New Roman"/>
          <w:sz w:val="20"/>
          <w:szCs w:val="20"/>
        </w:rPr>
        <w:t xml:space="preserve"> national Series</w:t>
      </w:r>
      <w:r w:rsidR="00D142DC" w:rsidRPr="00EC0229">
        <w:rPr>
          <w:rFonts w:cs="Times New Roman"/>
          <w:sz w:val="20"/>
          <w:szCs w:val="20"/>
        </w:rPr>
        <w:fldChar w:fldCharType="begin"/>
      </w:r>
      <w:r w:rsidR="00D142DC" w:rsidRPr="00EC0229">
        <w:rPr>
          <w:sz w:val="20"/>
          <w:szCs w:val="20"/>
        </w:rPr>
        <w:instrText xml:space="preserve"> XE "Series" </w:instrText>
      </w:r>
      <w:r w:rsidR="00D142DC" w:rsidRPr="00EC0229">
        <w:rPr>
          <w:rFonts w:cs="Times New Roman"/>
          <w:sz w:val="20"/>
          <w:szCs w:val="20"/>
        </w:rPr>
        <w:fldChar w:fldCharType="end"/>
      </w:r>
      <w:r w:rsidR="005520BA" w:rsidRPr="00EC0229">
        <w:rPr>
          <w:rFonts w:cs="Times New Roman"/>
          <w:sz w:val="20"/>
          <w:szCs w:val="20"/>
        </w:rPr>
        <w:t>, tremisses</w:t>
      </w:r>
      <w:bookmarkEnd w:id="220"/>
      <w:r w:rsidR="007C785D" w:rsidRPr="00EC0229">
        <w:rPr>
          <w:rFonts w:cs="Times New Roman"/>
          <w:sz w:val="20"/>
          <w:szCs w:val="20"/>
        </w:rPr>
        <w:t xml:space="preserve"> </w:t>
      </w:r>
    </w:p>
    <w:p w14:paraId="728B1BD3" w14:textId="2109C8CB" w:rsidR="007C785D" w:rsidRPr="00EC0229" w:rsidRDefault="00F755CE" w:rsidP="007600EA">
      <w:pPr>
        <w:pStyle w:val="NoSpacing"/>
        <w:spacing w:line="360" w:lineRule="auto"/>
        <w:jc w:val="center"/>
        <w:rPr>
          <w:rFonts w:cs="Times New Roman"/>
          <w:sz w:val="20"/>
          <w:szCs w:val="20"/>
        </w:rPr>
      </w:pPr>
      <w:r w:rsidRPr="00EC0229">
        <w:rPr>
          <w:rFonts w:cs="Times New Roman"/>
          <w:sz w:val="20"/>
          <w:szCs w:val="20"/>
        </w:rPr>
        <w:lastRenderedPageBreak/>
        <w:t>L-R</w:t>
      </w:r>
      <w:r w:rsidR="007C785D" w:rsidRPr="00EC0229">
        <w:rPr>
          <w:rFonts w:cs="Times New Roman"/>
          <w:sz w:val="20"/>
          <w:szCs w:val="20"/>
        </w:rPr>
        <w:t>:</w:t>
      </w:r>
      <w:r w:rsidR="005520BA" w:rsidRPr="00EC0229">
        <w:rPr>
          <w:rFonts w:cs="Times New Roman"/>
          <w:sz w:val="20"/>
          <w:szCs w:val="20"/>
        </w:rPr>
        <w:t xml:space="preserve"> </w:t>
      </w:r>
      <w:r w:rsidR="00BF0DE6" w:rsidRPr="00EC0229">
        <w:rPr>
          <w:bCs/>
          <w:sz w:val="20"/>
          <w:szCs w:val="20"/>
        </w:rPr>
        <w:t xml:space="preserve">Paris, </w:t>
      </w:r>
      <w:r w:rsidR="00BF0DE6" w:rsidRPr="00EC0229">
        <w:rPr>
          <w:sz w:val="20"/>
          <w:szCs w:val="20"/>
        </w:rPr>
        <w:t xml:space="preserve">found Malton (Courtesy CNG, 9500090), </w:t>
      </w:r>
      <w:r w:rsidR="007C785D" w:rsidRPr="00EC0229">
        <w:rPr>
          <w:rFonts w:cs="Times New Roman"/>
          <w:sz w:val="20"/>
          <w:szCs w:val="20"/>
        </w:rPr>
        <w:t>Sacierge-Saint-Martin (Indre), found Wharram Percy</w:t>
      </w:r>
      <w:r w:rsidRPr="00EC0229">
        <w:rPr>
          <w:rFonts w:cs="Times New Roman"/>
          <w:sz w:val="20"/>
          <w:szCs w:val="20"/>
        </w:rPr>
        <w:t>.</w:t>
      </w:r>
      <w:r w:rsidR="006B1593" w:rsidRPr="00EC0229">
        <w:rPr>
          <w:rFonts w:cs="Times New Roman"/>
          <w:sz w:val="20"/>
          <w:szCs w:val="20"/>
        </w:rPr>
        <w:fldChar w:fldCharType="begin"/>
      </w:r>
      <w:r w:rsidR="006B1593" w:rsidRPr="00EC0229">
        <w:instrText xml:space="preserve"> XE "</w:instrText>
      </w:r>
      <w:r w:rsidR="006B1593" w:rsidRPr="00EC0229">
        <w:rPr>
          <w:rStyle w:val="Hyperlink"/>
          <w:noProof/>
          <w:u w:val="none"/>
        </w:rPr>
        <w:instrText>Wharram Percy</w:instrText>
      </w:r>
      <w:r w:rsidR="006B1593" w:rsidRPr="00EC0229">
        <w:instrText xml:space="preserve">" </w:instrText>
      </w:r>
      <w:r w:rsidR="006B1593" w:rsidRPr="00EC0229">
        <w:rPr>
          <w:rFonts w:cs="Times New Roman"/>
          <w:sz w:val="20"/>
          <w:szCs w:val="20"/>
        </w:rPr>
        <w:fldChar w:fldCharType="end"/>
      </w:r>
      <w:r w:rsidR="007C785D" w:rsidRPr="00EC0229">
        <w:rPr>
          <w:rStyle w:val="FootnoteReference"/>
          <w:rFonts w:cs="Times New Roman"/>
          <w:sz w:val="20"/>
          <w:szCs w:val="20"/>
        </w:rPr>
        <w:footnoteReference w:id="451"/>
      </w:r>
    </w:p>
    <w:p w14:paraId="605783CE" w14:textId="77777777" w:rsidR="007C785D" w:rsidRPr="00EC0229" w:rsidRDefault="007C785D" w:rsidP="007600EA">
      <w:pPr>
        <w:pStyle w:val="NoSpacing"/>
        <w:spacing w:line="360" w:lineRule="auto"/>
        <w:jc w:val="center"/>
        <w:rPr>
          <w:rFonts w:cs="Times New Roman"/>
          <w:sz w:val="20"/>
          <w:szCs w:val="20"/>
        </w:rPr>
      </w:pPr>
    </w:p>
    <w:p w14:paraId="18685F0A" w14:textId="64FC9CC8" w:rsidR="007C785D" w:rsidRPr="00EC0229" w:rsidRDefault="007C785D" w:rsidP="007600EA">
      <w:pPr>
        <w:pStyle w:val="NoSpacing"/>
        <w:spacing w:line="360" w:lineRule="auto"/>
        <w:rPr>
          <w:rFonts w:cs="Times New Roman"/>
        </w:rPr>
      </w:pPr>
      <w:r w:rsidRPr="00EC0229">
        <w:rPr>
          <w:rFonts w:cs="Times New Roman"/>
        </w:rPr>
        <w:t xml:space="preserve">By the end of </w:t>
      </w:r>
      <w:r w:rsidR="00F139AF" w:rsidRPr="00EC0229">
        <w:rPr>
          <w:rFonts w:cs="Times New Roman"/>
        </w:rPr>
        <w:t>the sixth century</w:t>
      </w:r>
      <w:r w:rsidRPr="00EC0229">
        <w:rPr>
          <w:rFonts w:cs="Times New Roman"/>
        </w:rPr>
        <w:t>,</w:t>
      </w:r>
      <w:r w:rsidR="00AA40E2" w:rsidRPr="00EC0229">
        <w:rPr>
          <w:rFonts w:cs="Times New Roman"/>
        </w:rPr>
        <w:t xml:space="preserve"> in </w:t>
      </w:r>
      <w:r w:rsidRPr="00EC0229">
        <w:rPr>
          <w:rFonts w:cs="Times New Roman"/>
        </w:rPr>
        <w:t>west</w:t>
      </w:r>
      <w:r w:rsidR="00AA40E2" w:rsidRPr="00EC0229">
        <w:rPr>
          <w:rFonts w:cs="Times New Roman"/>
        </w:rPr>
        <w:t>ern Europe</w:t>
      </w:r>
      <w:r w:rsidRPr="00EC0229">
        <w:rPr>
          <w:rFonts w:cs="Times New Roman"/>
        </w:rPr>
        <w:t>, bronze and silver had disappeared from circulation and gold</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rPr>
        <w:fldChar w:fldCharType="end"/>
      </w:r>
      <w:r w:rsidRPr="00EC0229">
        <w:rPr>
          <w:rFonts w:cs="Times New Roman"/>
        </w:rPr>
        <w:t xml:space="preserve"> was much diminished. Gregory recorded that the tax system had collapsed because state expenditure – on roads, the civil service, the army and donatives – had ceased and gold had become immobilised in royal hoards, which were often seized with violence and bloodshed</w:t>
      </w:r>
      <w:r w:rsidR="002646CC" w:rsidRPr="00EC0229">
        <w:rPr>
          <w:rFonts w:cs="Times New Roman"/>
        </w:rPr>
        <w:t>.</w:t>
      </w:r>
      <w:r w:rsidRPr="00EC0229">
        <w:rPr>
          <w:rStyle w:val="FootnoteReference"/>
          <w:rFonts w:cs="Times New Roman"/>
        </w:rPr>
        <w:footnoteReference w:id="452"/>
      </w:r>
      <w:r w:rsidRPr="00EC0229">
        <w:rPr>
          <w:rFonts w:cs="Times New Roman"/>
        </w:rPr>
        <w:t xml:space="preserve"> Large gifts and compensations were paid, but again these were hoarded and liable to theft.</w:t>
      </w:r>
    </w:p>
    <w:p w14:paraId="7712B701" w14:textId="77777777" w:rsidR="007C785D" w:rsidRPr="00EC0229" w:rsidRDefault="007C785D" w:rsidP="007600EA">
      <w:pPr>
        <w:pStyle w:val="NoSpacing"/>
        <w:spacing w:line="360" w:lineRule="auto"/>
        <w:rPr>
          <w:rFonts w:cs="Times New Roman"/>
        </w:rPr>
      </w:pPr>
    </w:p>
    <w:p w14:paraId="2403A04B" w14:textId="57E4EEC7" w:rsidR="007C785D" w:rsidRPr="00EC0229" w:rsidRDefault="007C785D" w:rsidP="007600EA">
      <w:pPr>
        <w:pStyle w:val="NoSpacing"/>
        <w:spacing w:line="360" w:lineRule="auto"/>
      </w:pPr>
      <w:r w:rsidRPr="00EC0229">
        <w:rPr>
          <w:rFonts w:cs="Times New Roman"/>
        </w:rPr>
        <w:t>When the royal treasuries were exhausted, payment of troops in land replaced gold</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rPr>
        <w:fldChar w:fldCharType="end"/>
      </w:r>
      <w:r w:rsidRPr="00EC0229">
        <w:rPr>
          <w:rFonts w:cs="Times New Roman"/>
        </w:rPr>
        <w:t xml:space="preserve"> in </w:t>
      </w:r>
      <w:r w:rsidR="00F139AF" w:rsidRPr="00EC0229">
        <w:rPr>
          <w:rFonts w:cs="Times New Roman"/>
        </w:rPr>
        <w:t>the seventh century</w:t>
      </w:r>
      <w:r w:rsidRPr="00EC0229">
        <w:rPr>
          <w:rFonts w:cs="Times New Roman"/>
        </w:rPr>
        <w:t xml:space="preserve">. </w:t>
      </w:r>
      <w:bookmarkStart w:id="221" w:name="Spufford"/>
      <w:bookmarkEnd w:id="221"/>
      <w:r w:rsidRPr="00EC0229">
        <w:rPr>
          <w:rFonts w:cs="Times New Roman"/>
        </w:rPr>
        <w:t>Spufford wrote: ‘even if gold was losing its fiscal, rental and commercial functions, it was still used. It was, for example, the means of compensation.’</w:t>
      </w:r>
      <w:r w:rsidRPr="00EC0229">
        <w:rPr>
          <w:rStyle w:val="FootnoteReference"/>
          <w:rFonts w:cs="Times New Roman"/>
        </w:rPr>
        <w:footnoteReference w:id="453"/>
      </w:r>
      <w:r w:rsidRPr="00EC0229">
        <w:rPr>
          <w:rFonts w:cs="Times New Roman"/>
        </w:rPr>
        <w:t xml:space="preserve"> He also noted that plague had diminished the population, so reducing economic activity. An adverse balance of payments for luxuries from the Middle and Far East also drained gold reserves. The solidus</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solidus</w:instrText>
      </w:r>
      <w:r w:rsidR="008960AE" w:rsidRPr="00EC0229">
        <w:instrText xml:space="preserve">" </w:instrText>
      </w:r>
      <w:r w:rsidR="008960AE" w:rsidRPr="00EC0229">
        <w:rPr>
          <w:rFonts w:cs="Times New Roman"/>
        </w:rPr>
        <w:fldChar w:fldCharType="end"/>
      </w:r>
      <w:r w:rsidRPr="00EC0229">
        <w:rPr>
          <w:rFonts w:cs="Times New Roman"/>
        </w:rPr>
        <w:t xml:space="preserve"> was the unit of account, with the more practical third, the </w:t>
      </w:r>
      <w:r w:rsidRPr="00EC0229">
        <w:rPr>
          <w:rFonts w:cs="Times New Roman"/>
          <w:i/>
        </w:rPr>
        <w:t>triens</w:t>
      </w:r>
      <w:r w:rsidRPr="00EC0229">
        <w:rPr>
          <w:rFonts w:cs="Times New Roman"/>
        </w:rPr>
        <w:t xml:space="preserve"> or </w:t>
      </w:r>
      <w:r w:rsidRPr="00EC0229">
        <w:rPr>
          <w:rFonts w:cs="Times New Roman"/>
          <w:i/>
        </w:rPr>
        <w:t>tremissis</w:t>
      </w:r>
      <w:r w:rsidR="008960AE" w:rsidRPr="00EC0229">
        <w:rPr>
          <w:rFonts w:cs="Times New Roman"/>
          <w:i/>
        </w:rPr>
        <w:fldChar w:fldCharType="begin"/>
      </w:r>
      <w:r w:rsidR="008960AE" w:rsidRPr="00EC0229">
        <w:instrText xml:space="preserve"> XE "</w:instrText>
      </w:r>
      <w:r w:rsidR="008960AE" w:rsidRPr="00EC0229">
        <w:rPr>
          <w:rFonts w:eastAsia="Times New Roman" w:cs="Times New Roman"/>
        </w:rPr>
        <w:instrText>tremissis</w:instrText>
      </w:r>
      <w:r w:rsidR="008960AE" w:rsidRPr="00EC0229">
        <w:instrText xml:space="preserve">" </w:instrText>
      </w:r>
      <w:r w:rsidR="008960AE" w:rsidRPr="00EC0229">
        <w:rPr>
          <w:rFonts w:cs="Times New Roman"/>
          <w:i/>
        </w:rPr>
        <w:fldChar w:fldCharType="end"/>
      </w:r>
      <w:r w:rsidRPr="00EC0229">
        <w:rPr>
          <w:rFonts w:cs="Times New Roman"/>
        </w:rPr>
        <w:t>, replacing it as the circulating medium. However, the weights</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weights</w:instrText>
      </w:r>
      <w:r w:rsidR="00F204A1" w:rsidRPr="00EC0229">
        <w:instrText xml:space="preserve">" </w:instrText>
      </w:r>
      <w:r w:rsidR="00F204A1" w:rsidRPr="00EC0229">
        <w:rPr>
          <w:rFonts w:cs="Times New Roman"/>
        </w:rPr>
        <w:fldChar w:fldCharType="end"/>
      </w:r>
      <w:r w:rsidRPr="00EC0229">
        <w:rPr>
          <w:rFonts w:cs="Times New Roman"/>
        </w:rPr>
        <w:t xml:space="preserve"> and fineness could not be maintained. Tremisses had been minted at eight siliquae</w:t>
      </w:r>
      <w:r w:rsidRPr="00EC0229">
        <w:rPr>
          <w:rStyle w:val="FootnoteReference"/>
          <w:rFonts w:cs="Times New Roman"/>
        </w:rPr>
        <w:footnoteReference w:id="454"/>
      </w:r>
      <w:r w:rsidRPr="00EC0229">
        <w:rPr>
          <w:rFonts w:cs="Times New Roman"/>
        </w:rPr>
        <w:t xml:space="preserve"> but after the reign of Dagobert I (629-39) this was reduced to seven siliquae,</w:t>
      </w:r>
      <w:r w:rsidR="00C77754" w:rsidRPr="00EC0229">
        <w:rPr>
          <w:rFonts w:cs="Times New Roman"/>
        </w:rPr>
        <w:t xml:space="preserve"> and only one-third fineness. </w:t>
      </w:r>
    </w:p>
    <w:p w14:paraId="3A292BB2" w14:textId="77777777" w:rsidR="007C785D" w:rsidRPr="00EC0229" w:rsidRDefault="007C785D" w:rsidP="007600EA">
      <w:pPr>
        <w:pStyle w:val="NoSpacing"/>
        <w:spacing w:line="360" w:lineRule="auto"/>
        <w:rPr>
          <w:rFonts w:cs="Times New Roman"/>
        </w:rPr>
      </w:pPr>
    </w:p>
    <w:p w14:paraId="587E2C52" w14:textId="23A55B03" w:rsidR="007C785D" w:rsidRPr="00EC0229" w:rsidRDefault="007C785D" w:rsidP="007600EA">
      <w:pPr>
        <w:pStyle w:val="NoSpacing"/>
        <w:spacing w:line="360" w:lineRule="auto"/>
      </w:pPr>
      <w:r w:rsidRPr="00EC0229">
        <w:t>The coins found at Sutton Hoo (Suffolk, 1939</w:t>
      </w:r>
      <w:r w:rsidR="00CD27A3" w:rsidRPr="00EC0229">
        <w:t xml:space="preserve">, </w:t>
      </w:r>
      <w:r w:rsidR="008C418A" w:rsidRPr="00EC0229">
        <w:fldChar w:fldCharType="begin"/>
      </w:r>
      <w:r w:rsidR="008C418A" w:rsidRPr="00EC0229">
        <w:instrText xml:space="preserve"> REF _Ref430245920 \h </w:instrText>
      </w:r>
      <w:r w:rsidR="000A7CD7" w:rsidRPr="00EC0229">
        <w:instrText xml:space="preserve"> \* MERGEFORMAT </w:instrText>
      </w:r>
      <w:r w:rsidR="008C418A" w:rsidRPr="00EC0229">
        <w:fldChar w:fldCharType="separate"/>
      </w:r>
      <w:r w:rsidR="0012026B" w:rsidRPr="0012026B">
        <w:rPr>
          <w:i/>
          <w:szCs w:val="24"/>
        </w:rPr>
        <w:t>Figure</w:t>
      </w:r>
      <w:r w:rsidR="0012026B" w:rsidRPr="00EC0229">
        <w:rPr>
          <w:sz w:val="20"/>
          <w:szCs w:val="20"/>
        </w:rPr>
        <w:t xml:space="preserve"> </w:t>
      </w:r>
      <w:r w:rsidR="0012026B" w:rsidRPr="0012026B">
        <w:rPr>
          <w:noProof/>
          <w:szCs w:val="24"/>
        </w:rPr>
        <w:t>9</w:t>
      </w:r>
      <w:r w:rsidR="008C418A" w:rsidRPr="00EC0229">
        <w:fldChar w:fldCharType="end"/>
      </w:r>
      <w:r w:rsidRPr="00EC0229">
        <w:t xml:space="preserve">) were </w:t>
      </w:r>
      <w:r w:rsidRPr="00EC0229">
        <w:rPr>
          <w:szCs w:val="24"/>
        </w:rPr>
        <w:t>the Merovingian</w:t>
      </w:r>
      <w:r w:rsidR="004C29A9" w:rsidRPr="00EC0229">
        <w:rPr>
          <w:szCs w:val="24"/>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szCs w:val="24"/>
        </w:rPr>
        <w:fldChar w:fldCharType="end"/>
      </w:r>
      <w:r w:rsidRPr="00EC0229">
        <w:rPr>
          <w:szCs w:val="24"/>
        </w:rPr>
        <w:t xml:space="preserve"> ‘national’ types naming mint and</w:t>
      </w:r>
      <w:r w:rsidR="002646CC" w:rsidRPr="00EC0229">
        <w:rPr>
          <w:szCs w:val="24"/>
        </w:rPr>
        <w:t xml:space="preserve"> moneyer on the obverse, with</w:t>
      </w:r>
      <w:r w:rsidRPr="00EC0229">
        <w:rPr>
          <w:szCs w:val="24"/>
        </w:rPr>
        <w:t xml:space="preserve"> a cruciform reverse, all at the seven siliquae standard. These</w:t>
      </w:r>
      <w:r w:rsidRPr="00EC0229">
        <w:t xml:space="preserve"> represented a clear break from Roman</w:t>
      </w:r>
      <w:r w:rsidR="00D142DC" w:rsidRPr="00EC0229">
        <w:fldChar w:fldCharType="begin"/>
      </w:r>
      <w:r w:rsidR="00D142DC" w:rsidRPr="00EC0229">
        <w:instrText xml:space="preserve"> XE "Roman" </w:instrText>
      </w:r>
      <w:r w:rsidR="00D142DC" w:rsidRPr="00EC0229">
        <w:fldChar w:fldCharType="end"/>
      </w:r>
      <w:r w:rsidRPr="00EC0229">
        <w:t xml:space="preserve"> prototypes. </w:t>
      </w:r>
    </w:p>
    <w:p w14:paraId="7B772BC3" w14:textId="77777777" w:rsidR="007C785D" w:rsidRPr="00EC0229" w:rsidRDefault="007C785D" w:rsidP="007600EA">
      <w:pPr>
        <w:pStyle w:val="NoSpacing"/>
        <w:spacing w:line="360" w:lineRule="auto"/>
        <w:jc w:val="center"/>
        <w:rPr>
          <w:sz w:val="20"/>
          <w:szCs w:val="20"/>
        </w:rPr>
      </w:pPr>
      <w:r w:rsidRPr="00EC0229">
        <w:rPr>
          <w:noProof/>
          <w:lang w:eastAsia="en-GB"/>
        </w:rPr>
        <w:drawing>
          <wp:inline distT="0" distB="0" distL="0" distR="0" wp14:anchorId="3D2E4DB6" wp14:editId="34680AB9">
            <wp:extent cx="2712720" cy="124545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utton Hoo 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68574" cy="1271102"/>
                    </a:xfrm>
                    <a:prstGeom prst="rect">
                      <a:avLst/>
                    </a:prstGeom>
                  </pic:spPr>
                </pic:pic>
              </a:graphicData>
            </a:graphic>
          </wp:inline>
        </w:drawing>
      </w:r>
    </w:p>
    <w:p w14:paraId="3ECFC560" w14:textId="7F791BE8" w:rsidR="005520BA" w:rsidRPr="00EC0229" w:rsidRDefault="005A2244" w:rsidP="007600EA">
      <w:pPr>
        <w:pStyle w:val="NoSpacing"/>
        <w:spacing w:line="360" w:lineRule="auto"/>
        <w:jc w:val="center"/>
        <w:rPr>
          <w:sz w:val="20"/>
          <w:szCs w:val="20"/>
        </w:rPr>
      </w:pPr>
      <w:bookmarkStart w:id="222" w:name="_Ref430245920"/>
      <w:bookmarkStart w:id="223" w:name="_Toc46826698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9</w:t>
      </w:r>
      <w:r w:rsidRPr="00EC0229">
        <w:rPr>
          <w:sz w:val="20"/>
          <w:szCs w:val="20"/>
        </w:rPr>
        <w:fldChar w:fldCharType="end"/>
      </w:r>
      <w:bookmarkEnd w:id="222"/>
      <w:r w:rsidR="00CD27A3" w:rsidRPr="00EC0229">
        <w:rPr>
          <w:sz w:val="20"/>
          <w:szCs w:val="20"/>
        </w:rPr>
        <w:t xml:space="preserve">: </w:t>
      </w:r>
      <w:r w:rsidR="007C785D" w:rsidRPr="00EC0229">
        <w:rPr>
          <w:sz w:val="20"/>
          <w:szCs w:val="20"/>
        </w:rPr>
        <w:t>Gold</w:t>
      </w:r>
      <w:r w:rsidR="00F204A1" w:rsidRPr="00EC0229">
        <w:rPr>
          <w:sz w:val="20"/>
          <w:szCs w:val="20"/>
        </w:rPr>
        <w:fldChar w:fldCharType="begin"/>
      </w:r>
      <w:r w:rsidR="00F204A1" w:rsidRPr="00EC0229">
        <w:rPr>
          <w:sz w:val="20"/>
          <w:szCs w:val="20"/>
        </w:rPr>
        <w:instrText xml:space="preserve"> XE "</w:instrText>
      </w:r>
      <w:r w:rsidR="00F204A1" w:rsidRPr="00EC0229">
        <w:rPr>
          <w:rStyle w:val="Hyperlink"/>
          <w:rFonts w:cs="Times New Roman"/>
          <w:noProof/>
          <w:sz w:val="20"/>
          <w:szCs w:val="20"/>
          <w:u w:val="none"/>
        </w:rPr>
        <w:instrText>Gold</w:instrText>
      </w:r>
      <w:r w:rsidR="00F204A1" w:rsidRPr="00EC0229">
        <w:rPr>
          <w:sz w:val="20"/>
          <w:szCs w:val="20"/>
        </w:rPr>
        <w:instrText xml:space="preserve">" </w:instrText>
      </w:r>
      <w:r w:rsidR="00F204A1" w:rsidRPr="00EC0229">
        <w:rPr>
          <w:sz w:val="20"/>
          <w:szCs w:val="20"/>
        </w:rPr>
        <w:fldChar w:fldCharType="end"/>
      </w:r>
      <w:r w:rsidR="007C785D" w:rsidRPr="00EC0229">
        <w:rPr>
          <w:sz w:val="20"/>
          <w:szCs w:val="20"/>
        </w:rPr>
        <w:t xml:space="preserve"> tremissis</w:t>
      </w:r>
      <w:r w:rsidRPr="00EC0229">
        <w:rPr>
          <w:sz w:val="20"/>
          <w:szCs w:val="20"/>
        </w:rPr>
        <w:t>,</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rPr>
        <w:instrText>tremissis</w:instrText>
      </w:r>
      <w:r w:rsidR="008960AE" w:rsidRPr="00EC0229">
        <w:rPr>
          <w:sz w:val="20"/>
          <w:szCs w:val="20"/>
        </w:rPr>
        <w:instrText xml:space="preserve">" </w:instrText>
      </w:r>
      <w:r w:rsidR="008960AE" w:rsidRPr="00EC0229">
        <w:rPr>
          <w:sz w:val="20"/>
          <w:szCs w:val="20"/>
        </w:rPr>
        <w:fldChar w:fldCharType="end"/>
      </w:r>
      <w:r w:rsidRPr="00EC0229">
        <w:rPr>
          <w:sz w:val="20"/>
          <w:szCs w:val="20"/>
        </w:rPr>
        <w:t xml:space="preserve"> </w:t>
      </w:r>
      <w:r w:rsidR="005520BA" w:rsidRPr="00EC0229">
        <w:rPr>
          <w:sz w:val="20"/>
          <w:szCs w:val="20"/>
        </w:rPr>
        <w:t>named mint/moneyer type</w:t>
      </w:r>
      <w:bookmarkEnd w:id="223"/>
      <w:r w:rsidR="007C785D" w:rsidRPr="00EC0229">
        <w:rPr>
          <w:sz w:val="20"/>
          <w:szCs w:val="20"/>
        </w:rPr>
        <w:t xml:space="preserve"> </w:t>
      </w:r>
    </w:p>
    <w:p w14:paraId="25D6E036" w14:textId="660B386F" w:rsidR="007C785D" w:rsidRPr="00EC0229" w:rsidRDefault="007C785D" w:rsidP="007600EA">
      <w:pPr>
        <w:pStyle w:val="NoSpacing"/>
        <w:spacing w:line="360" w:lineRule="auto"/>
        <w:jc w:val="center"/>
        <w:rPr>
          <w:sz w:val="20"/>
          <w:szCs w:val="20"/>
        </w:rPr>
      </w:pPr>
      <w:r w:rsidRPr="00EC0229">
        <w:rPr>
          <w:sz w:val="20"/>
          <w:szCs w:val="20"/>
        </w:rPr>
        <w:t>Paris,</w:t>
      </w:r>
      <w:r w:rsidR="005A2244" w:rsidRPr="00EC0229">
        <w:rPr>
          <w:i/>
          <w:sz w:val="20"/>
          <w:szCs w:val="20"/>
        </w:rPr>
        <w:t xml:space="preserve"> c.</w:t>
      </w:r>
      <w:r w:rsidRPr="00EC0229">
        <w:rPr>
          <w:sz w:val="20"/>
          <w:szCs w:val="20"/>
        </w:rPr>
        <w:t>610</w:t>
      </w:r>
      <w:r w:rsidR="00AB6635">
        <w:rPr>
          <w:sz w:val="20"/>
          <w:szCs w:val="20"/>
        </w:rPr>
        <w:t>-</w:t>
      </w:r>
      <w:r w:rsidR="002132F1">
        <w:rPr>
          <w:i/>
          <w:sz w:val="20"/>
          <w:szCs w:val="20"/>
        </w:rPr>
        <w:t>c.</w:t>
      </w:r>
      <w:r w:rsidRPr="00EC0229">
        <w:rPr>
          <w:sz w:val="20"/>
          <w:szCs w:val="20"/>
        </w:rPr>
        <w:t>615, Sutton Hoo 17 624.</w:t>
      </w:r>
    </w:p>
    <w:p w14:paraId="3F644192" w14:textId="77777777" w:rsidR="007C785D" w:rsidRPr="00EC0229" w:rsidRDefault="007C785D" w:rsidP="007600EA">
      <w:pPr>
        <w:pStyle w:val="NoSpacing"/>
        <w:spacing w:line="360" w:lineRule="auto"/>
        <w:rPr>
          <w:rFonts w:cs="Times New Roman"/>
        </w:rPr>
      </w:pPr>
    </w:p>
    <w:p w14:paraId="5A0F812E" w14:textId="09712DFD" w:rsidR="007C785D" w:rsidRDefault="000E1004" w:rsidP="00525552">
      <w:pPr>
        <w:pStyle w:val="Heading4"/>
        <w:rPr>
          <w:b/>
        </w:rPr>
      </w:pPr>
      <w:bookmarkStart w:id="224" w:name="Period3b"/>
      <w:bookmarkStart w:id="225" w:name="_Toc468266780"/>
      <w:bookmarkEnd w:id="224"/>
      <w:r>
        <w:rPr>
          <w:b/>
        </w:rPr>
        <w:lastRenderedPageBreak/>
        <w:t>5.2.2.5</w:t>
      </w:r>
      <w:r w:rsidR="00392E77">
        <w:rPr>
          <w:b/>
        </w:rPr>
        <w:tab/>
      </w:r>
      <w:r w:rsidR="007C785D" w:rsidRPr="00525552">
        <w:rPr>
          <w:b/>
        </w:rPr>
        <w:t>Period 3b</w:t>
      </w:r>
      <w:r w:rsidR="00F204A1" w:rsidRPr="00525552">
        <w:rPr>
          <w:b/>
        </w:rPr>
        <w:fldChar w:fldCharType="begin"/>
      </w:r>
      <w:r w:rsidR="00F204A1" w:rsidRPr="00525552">
        <w:rPr>
          <w:b/>
        </w:rPr>
        <w:instrText xml:space="preserve"> XE "</w:instrText>
      </w:r>
      <w:r w:rsidR="00F204A1" w:rsidRPr="00525552">
        <w:rPr>
          <w:rStyle w:val="Hyperlink"/>
          <w:b/>
          <w:color w:val="auto"/>
          <w:u w:val="none"/>
        </w:rPr>
        <w:instrText>Period 3b</w:instrText>
      </w:r>
      <w:r w:rsidR="00F204A1" w:rsidRPr="00525552">
        <w:rPr>
          <w:b/>
        </w:rPr>
        <w:instrText xml:space="preserve">" </w:instrText>
      </w:r>
      <w:r w:rsidR="00F204A1" w:rsidRPr="00525552">
        <w:rPr>
          <w:b/>
        </w:rPr>
        <w:fldChar w:fldCharType="end"/>
      </w:r>
      <w:r w:rsidR="007C785D" w:rsidRPr="00525552">
        <w:rPr>
          <w:b/>
        </w:rPr>
        <w:t xml:space="preserve">. </w:t>
      </w:r>
      <w:bookmarkStart w:id="226" w:name="EarlyAngloSaxongold"/>
      <w:r w:rsidR="007C785D" w:rsidRPr="00525552">
        <w:rPr>
          <w:b/>
        </w:rPr>
        <w:t>Early Anglo-Saxon</w:t>
      </w:r>
      <w:r w:rsidR="00F204A1" w:rsidRPr="00525552">
        <w:rPr>
          <w:b/>
        </w:rPr>
        <w:fldChar w:fldCharType="begin"/>
      </w:r>
      <w:r w:rsidR="00F204A1" w:rsidRPr="00525552">
        <w:rPr>
          <w:b/>
        </w:rPr>
        <w:instrText xml:space="preserve"> XE "</w:instrText>
      </w:r>
      <w:r w:rsidR="00F204A1" w:rsidRPr="00525552">
        <w:rPr>
          <w:rStyle w:val="Hyperlink"/>
          <w:b/>
          <w:color w:val="auto"/>
          <w:u w:val="none"/>
        </w:rPr>
        <w:instrText>Anglo-Saxon</w:instrText>
      </w:r>
      <w:r w:rsidR="00F204A1" w:rsidRPr="00525552">
        <w:rPr>
          <w:b/>
        </w:rPr>
        <w:instrText xml:space="preserve">" </w:instrText>
      </w:r>
      <w:r w:rsidR="00F204A1" w:rsidRPr="00525552">
        <w:rPr>
          <w:b/>
        </w:rPr>
        <w:fldChar w:fldCharType="end"/>
      </w:r>
      <w:r w:rsidR="007C785D" w:rsidRPr="00525552">
        <w:rPr>
          <w:b/>
        </w:rPr>
        <w:t xml:space="preserve"> gold</w:t>
      </w:r>
      <w:r w:rsidR="008960AE" w:rsidRPr="00525552">
        <w:rPr>
          <w:b/>
        </w:rPr>
        <w:fldChar w:fldCharType="begin"/>
      </w:r>
      <w:r w:rsidR="008960AE" w:rsidRPr="00525552">
        <w:rPr>
          <w:b/>
        </w:rPr>
        <w:instrText xml:space="preserve"> XE "gold" </w:instrText>
      </w:r>
      <w:r w:rsidR="008960AE" w:rsidRPr="00525552">
        <w:rPr>
          <w:b/>
        </w:rPr>
        <w:fldChar w:fldCharType="end"/>
      </w:r>
      <w:r w:rsidR="007C785D" w:rsidRPr="00525552">
        <w:rPr>
          <w:b/>
        </w:rPr>
        <w:t xml:space="preserve"> </w:t>
      </w:r>
      <w:bookmarkEnd w:id="226"/>
      <w:r w:rsidR="007C785D" w:rsidRPr="00525552">
        <w:rPr>
          <w:b/>
        </w:rPr>
        <w:t>coinage,</w:t>
      </w:r>
      <w:r w:rsidR="007C785D" w:rsidRPr="002132F1">
        <w:rPr>
          <w:b/>
          <w:i/>
        </w:rPr>
        <w:t xml:space="preserve"> </w:t>
      </w:r>
      <w:r w:rsidR="002132F1" w:rsidRPr="002132F1">
        <w:rPr>
          <w:b/>
          <w:i/>
        </w:rPr>
        <w:t>c</w:t>
      </w:r>
      <w:r w:rsidR="002132F1">
        <w:rPr>
          <w:b/>
        </w:rPr>
        <w:t>.</w:t>
      </w:r>
      <w:r w:rsidR="0002097C" w:rsidRPr="00525552">
        <w:rPr>
          <w:b/>
        </w:rPr>
        <w:t>62</w:t>
      </w:r>
      <w:r w:rsidR="007C785D" w:rsidRPr="00525552">
        <w:rPr>
          <w:b/>
        </w:rPr>
        <w:t>0s</w:t>
      </w:r>
      <w:r w:rsidR="00AB6635">
        <w:rPr>
          <w:b/>
        </w:rPr>
        <w:t>-</w:t>
      </w:r>
      <w:r w:rsidR="007C785D" w:rsidRPr="002132F1">
        <w:rPr>
          <w:b/>
          <w:i/>
        </w:rPr>
        <w:t>c.</w:t>
      </w:r>
      <w:r w:rsidR="007C785D" w:rsidRPr="00525552">
        <w:rPr>
          <w:b/>
        </w:rPr>
        <w:t>670s</w:t>
      </w:r>
      <w:bookmarkEnd w:id="225"/>
    </w:p>
    <w:p w14:paraId="34F1DCD5" w14:textId="4EB6950E" w:rsidR="00525552" w:rsidRPr="00EF3013" w:rsidRDefault="00525552" w:rsidP="00EF3013">
      <w:pPr>
        <w:pStyle w:val="Heading5"/>
        <w:rPr>
          <w:sz w:val="24"/>
          <w:szCs w:val="24"/>
        </w:rPr>
      </w:pPr>
      <w:r w:rsidRPr="00EF3013">
        <w:rPr>
          <w:sz w:val="24"/>
          <w:szCs w:val="24"/>
        </w:rPr>
        <w:t>Southumbria</w:t>
      </w:r>
    </w:p>
    <w:p w14:paraId="1FDB9F86" w14:textId="1889AF29" w:rsidR="007C785D" w:rsidRPr="00EC0229" w:rsidRDefault="007C785D" w:rsidP="007600EA">
      <w:pPr>
        <w:pStyle w:val="NoSpacing"/>
        <w:spacing w:line="360" w:lineRule="auto"/>
        <w:ind w:left="1080"/>
        <w:jc w:val="right"/>
        <w:rPr>
          <w:sz w:val="20"/>
          <w:szCs w:val="20"/>
        </w:rPr>
      </w:pPr>
      <w:r w:rsidRPr="00EC0229">
        <w:rPr>
          <w:sz w:val="20"/>
          <w:szCs w:val="20"/>
        </w:rPr>
        <w:t>‘But the spectacle presented by this Anglo-Saxon</w:t>
      </w:r>
      <w:r w:rsidR="00F204A1" w:rsidRPr="00EC0229">
        <w:rPr>
          <w:sz w:val="20"/>
          <w:szCs w:val="20"/>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sz w:val="20"/>
          <w:szCs w:val="20"/>
        </w:rPr>
        <w:fldChar w:fldCharType="end"/>
      </w:r>
      <w:r w:rsidRPr="00EC0229">
        <w:rPr>
          <w:sz w:val="20"/>
          <w:szCs w:val="20"/>
        </w:rPr>
        <w:t xml:space="preserve"> Britain was unique. </w:t>
      </w:r>
    </w:p>
    <w:p w14:paraId="47839B0A" w14:textId="77777777" w:rsidR="007C785D" w:rsidRPr="00EC0229" w:rsidRDefault="007C785D" w:rsidP="007600EA">
      <w:pPr>
        <w:pStyle w:val="NoSpacing"/>
        <w:spacing w:line="360" w:lineRule="auto"/>
        <w:ind w:left="1080"/>
        <w:jc w:val="right"/>
        <w:rPr>
          <w:sz w:val="20"/>
          <w:szCs w:val="20"/>
        </w:rPr>
      </w:pPr>
      <w:r w:rsidRPr="00EC0229">
        <w:rPr>
          <w:sz w:val="20"/>
          <w:szCs w:val="20"/>
        </w:rPr>
        <w:t>We should seek in vain for anything like it on the Continent.’</w:t>
      </w:r>
    </w:p>
    <w:p w14:paraId="1EDFB3CA" w14:textId="6510CC0B" w:rsidR="007C785D" w:rsidRPr="00EC0229" w:rsidRDefault="007C785D" w:rsidP="007600EA">
      <w:pPr>
        <w:pStyle w:val="NoSpacing"/>
        <w:spacing w:line="360" w:lineRule="auto"/>
        <w:ind w:left="1080"/>
        <w:jc w:val="right"/>
        <w:rPr>
          <w:sz w:val="20"/>
          <w:szCs w:val="20"/>
        </w:rPr>
      </w:pPr>
      <w:r w:rsidRPr="00EC0229">
        <w:rPr>
          <w:sz w:val="20"/>
          <w:szCs w:val="20"/>
        </w:rPr>
        <w:t>Henri Pirenne</w:t>
      </w:r>
      <w:r w:rsidR="00F204A1" w:rsidRPr="00EC0229">
        <w:rPr>
          <w:sz w:val="20"/>
          <w:szCs w:val="20"/>
        </w:rPr>
        <w:fldChar w:fldCharType="begin"/>
      </w:r>
      <w:r w:rsidR="00F204A1" w:rsidRPr="00EC0229">
        <w:instrText xml:space="preserve"> XE "</w:instrText>
      </w:r>
      <w:r w:rsidR="00F204A1" w:rsidRPr="00EC0229">
        <w:rPr>
          <w:rStyle w:val="Hyperlink"/>
          <w:noProof/>
          <w:u w:val="none"/>
        </w:rPr>
        <w:instrText>Pirenne</w:instrText>
      </w:r>
      <w:r w:rsidR="00F204A1" w:rsidRPr="00EC0229">
        <w:instrText xml:space="preserve">" </w:instrText>
      </w:r>
      <w:r w:rsidR="00F204A1" w:rsidRPr="00EC0229">
        <w:rPr>
          <w:sz w:val="20"/>
          <w:szCs w:val="20"/>
        </w:rPr>
        <w:fldChar w:fldCharType="end"/>
      </w:r>
      <w:r w:rsidRPr="00EC0229">
        <w:rPr>
          <w:sz w:val="20"/>
          <w:szCs w:val="20"/>
        </w:rPr>
        <w:t xml:space="preserve"> </w:t>
      </w:r>
      <w:r w:rsidR="00C7434A" w:rsidRPr="00EC0229">
        <w:rPr>
          <w:sz w:val="20"/>
          <w:szCs w:val="20"/>
        </w:rPr>
        <w:t xml:space="preserve">(2001, </w:t>
      </w:r>
      <w:r w:rsidRPr="00EC0229">
        <w:rPr>
          <w:sz w:val="20"/>
          <w:szCs w:val="20"/>
        </w:rPr>
        <w:t>141</w:t>
      </w:r>
      <w:r w:rsidR="00C7434A" w:rsidRPr="00EC0229">
        <w:rPr>
          <w:sz w:val="20"/>
          <w:szCs w:val="20"/>
        </w:rPr>
        <w:t>)</w:t>
      </w:r>
      <w:r w:rsidRPr="00EC0229">
        <w:rPr>
          <w:sz w:val="20"/>
          <w:szCs w:val="20"/>
        </w:rPr>
        <w:t>.</w:t>
      </w:r>
    </w:p>
    <w:p w14:paraId="0701081B" w14:textId="2A8A3955" w:rsidR="007C785D" w:rsidRPr="00EC0229" w:rsidRDefault="007C785D" w:rsidP="00815943">
      <w:pPr>
        <w:spacing w:line="360" w:lineRule="auto"/>
        <w:rPr>
          <w:rFonts w:cs="Times New Roman"/>
          <w:szCs w:val="24"/>
        </w:rPr>
      </w:pPr>
      <w:r w:rsidRPr="00EC0229">
        <w:rPr>
          <w:rFonts w:cs="Times New Roman"/>
          <w:szCs w:val="24"/>
        </w:rPr>
        <w:t xml:space="preserve">The Sutton Hoo coins deposited </w:t>
      </w:r>
      <w:r w:rsidR="002132F1">
        <w:rPr>
          <w:rFonts w:cs="Times New Roman"/>
          <w:i/>
          <w:szCs w:val="24"/>
        </w:rPr>
        <w:t>c.</w:t>
      </w:r>
      <w:r w:rsidRPr="00EC0229">
        <w:rPr>
          <w:rFonts w:cs="Times New Roman"/>
          <w:szCs w:val="24"/>
        </w:rPr>
        <w:t>630 are exclusively Merovingian</w:t>
      </w:r>
      <w:r w:rsidR="004C29A9" w:rsidRPr="00EC0229">
        <w:rPr>
          <w:rFonts w:cs="Times New Roman"/>
          <w:szCs w:val="24"/>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rFonts w:cs="Times New Roman"/>
          <w:szCs w:val="24"/>
        </w:rPr>
        <w:fldChar w:fldCharType="end"/>
      </w:r>
      <w:r w:rsidRPr="00EC0229">
        <w:rPr>
          <w:rStyle w:val="FootnoteReference"/>
          <w:rFonts w:cs="Times New Roman"/>
          <w:szCs w:val="24"/>
        </w:rPr>
        <w:footnoteReference w:id="455"/>
      </w:r>
      <w:r w:rsidRPr="00EC0229">
        <w:rPr>
          <w:rFonts w:cs="Times New Roman"/>
          <w:szCs w:val="24"/>
        </w:rPr>
        <w:t xml:space="preserve">  whereas the Crondall hoard, deposited </w:t>
      </w:r>
      <w:r w:rsidR="002646CC" w:rsidRPr="00EC0229">
        <w:rPr>
          <w:rFonts w:cs="Times New Roman"/>
          <w:szCs w:val="24"/>
        </w:rPr>
        <w:t xml:space="preserve">perhaps </w:t>
      </w:r>
      <w:r w:rsidR="00F23268" w:rsidRPr="00EC0229">
        <w:rPr>
          <w:rFonts w:cs="Times New Roman"/>
          <w:szCs w:val="24"/>
        </w:rPr>
        <w:t>a decade or two</w:t>
      </w:r>
      <w:r w:rsidR="002646CC" w:rsidRPr="00EC0229">
        <w:rPr>
          <w:rFonts w:cs="Times New Roman"/>
          <w:szCs w:val="24"/>
        </w:rPr>
        <w:t xml:space="preserve"> later</w:t>
      </w:r>
      <w:r w:rsidRPr="00EC0229">
        <w:rPr>
          <w:rFonts w:cs="Times New Roman"/>
          <w:szCs w:val="24"/>
        </w:rPr>
        <w:t>, are predominantly, but not exclusively, native</w:t>
      </w:r>
      <w:r w:rsidR="00CD27A3" w:rsidRPr="00EC0229">
        <w:rPr>
          <w:rFonts w:cs="Times New Roman"/>
          <w:szCs w:val="24"/>
        </w:rPr>
        <w:t xml:space="preserve"> (</w:t>
      </w:r>
      <w:r w:rsidR="008C418A" w:rsidRPr="00EC0229">
        <w:rPr>
          <w:rFonts w:cs="Times New Roman"/>
          <w:i/>
          <w:szCs w:val="24"/>
        </w:rPr>
        <w:fldChar w:fldCharType="begin"/>
      </w:r>
      <w:r w:rsidR="008C418A" w:rsidRPr="00EC0229">
        <w:rPr>
          <w:rFonts w:cs="Times New Roman"/>
          <w:i/>
          <w:szCs w:val="24"/>
        </w:rPr>
        <w:instrText xml:space="preserve"> REF _Ref430245990 \h </w:instrText>
      </w:r>
      <w:r w:rsidR="000A7CD7"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10</w:t>
      </w:r>
      <w:r w:rsidR="008C418A" w:rsidRPr="00EC0229">
        <w:rPr>
          <w:rFonts w:cs="Times New Roman"/>
          <w:szCs w:val="24"/>
        </w:rPr>
        <w:fldChar w:fldCharType="end"/>
      </w:r>
      <w:r w:rsidR="00CD27A3" w:rsidRPr="00EC0229">
        <w:rPr>
          <w:rFonts w:cs="Times New Roman"/>
          <w:szCs w:val="24"/>
        </w:rPr>
        <w:t>)</w:t>
      </w:r>
      <w:r w:rsidRPr="00EC0229">
        <w:rPr>
          <w:rFonts w:cs="Times New Roman"/>
          <w:szCs w:val="24"/>
        </w:rPr>
        <w:t>.</w:t>
      </w:r>
      <w:r w:rsidRPr="00EC0229">
        <w:rPr>
          <w:rStyle w:val="FootnoteReference"/>
          <w:rFonts w:cs="Times New Roman"/>
          <w:szCs w:val="24"/>
        </w:rPr>
        <w:footnoteReference w:id="456"/>
      </w:r>
      <w:r w:rsidR="00FF6D9C" w:rsidRPr="00EC0229">
        <w:rPr>
          <w:rFonts w:cs="Times New Roman"/>
          <w:szCs w:val="24"/>
        </w:rPr>
        <w:t xml:space="preserve"> </w:t>
      </w:r>
      <w:r w:rsidR="00FF6D9C" w:rsidRPr="00EC0229">
        <w:rPr>
          <w:rFonts w:cs="Times New Roman"/>
          <w:i/>
          <w:szCs w:val="24"/>
        </w:rPr>
        <w:t>T</w:t>
      </w:r>
      <w:r w:rsidRPr="00EC0229">
        <w:rPr>
          <w:rFonts w:cs="Times New Roman"/>
          <w:i/>
          <w:szCs w:val="24"/>
        </w:rPr>
        <w:t>hrymsas</w:t>
      </w:r>
      <w:r w:rsidRPr="00EC0229">
        <w:rPr>
          <w:rFonts w:cs="Times New Roman"/>
          <w:szCs w:val="24"/>
        </w:rPr>
        <w:t xml:space="preserve"> (tremisses or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shillings) </w:t>
      </w:r>
      <w:r w:rsidR="00FF6D9C" w:rsidRPr="00EC0229">
        <w:rPr>
          <w:rFonts w:cs="Times New Roman"/>
          <w:szCs w:val="24"/>
        </w:rPr>
        <w:t>display a mix of</w:t>
      </w:r>
      <w:r w:rsidRPr="00EC0229">
        <w:rPr>
          <w:rFonts w:cs="Times New Roman"/>
          <w:szCs w:val="24"/>
        </w:rPr>
        <w:t xml:space="preserve"> style</w:t>
      </w:r>
      <w:r w:rsidR="00FF6D9C" w:rsidRPr="00EC0229">
        <w:rPr>
          <w:rFonts w:cs="Times New Roman"/>
          <w:szCs w:val="24"/>
        </w:rPr>
        <w:t>s: evoking Romanitas, emulating C</w:t>
      </w:r>
      <w:r w:rsidRPr="00EC0229">
        <w:rPr>
          <w:rFonts w:cs="Times New Roman"/>
          <w:szCs w:val="24"/>
        </w:rPr>
        <w:t xml:space="preserve">ontinental prototypes </w:t>
      </w:r>
      <w:r w:rsidR="00FF6D9C" w:rsidRPr="00EC0229">
        <w:rPr>
          <w:rFonts w:cs="Times New Roman"/>
          <w:szCs w:val="24"/>
        </w:rPr>
        <w:t>and</w:t>
      </w:r>
      <w:r w:rsidRPr="00EC0229">
        <w:rPr>
          <w:rFonts w:cs="Times New Roman"/>
          <w:szCs w:val="24"/>
        </w:rPr>
        <w:t xml:space="preserve"> </w:t>
      </w:r>
      <w:r w:rsidR="00FF6D9C" w:rsidRPr="00EC0229">
        <w:rPr>
          <w:rFonts w:cs="Times New Roman"/>
          <w:szCs w:val="24"/>
        </w:rPr>
        <w:t xml:space="preserve">those </w:t>
      </w:r>
      <w:r w:rsidR="004C6559" w:rsidRPr="00EC0229">
        <w:rPr>
          <w:rFonts w:cs="Times New Roman"/>
          <w:szCs w:val="24"/>
        </w:rPr>
        <w:t xml:space="preserve"> invoking </w:t>
      </w:r>
      <w:r w:rsidRPr="00EC0229">
        <w:rPr>
          <w:rFonts w:cs="Times New Roman"/>
          <w:szCs w:val="24"/>
        </w:rPr>
        <w:t>pure 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00FF6D9C" w:rsidRPr="00EC0229">
        <w:rPr>
          <w:rFonts w:cs="Times New Roman"/>
          <w:szCs w:val="24"/>
        </w:rPr>
        <w:t xml:space="preserve"> character.</w:t>
      </w:r>
    </w:p>
    <w:p w14:paraId="4DA09E5E" w14:textId="77777777" w:rsidR="007C785D" w:rsidRPr="00EC0229" w:rsidRDefault="007C785D" w:rsidP="007600EA">
      <w:pPr>
        <w:pStyle w:val="NoSpacing"/>
        <w:spacing w:line="360" w:lineRule="auto"/>
        <w:jc w:val="center"/>
      </w:pPr>
      <w:r w:rsidRPr="00EC0229">
        <w:rPr>
          <w:noProof/>
          <w:lang w:eastAsia="en-GB"/>
        </w:rPr>
        <w:drawing>
          <wp:inline distT="0" distB="0" distL="0" distR="0" wp14:anchorId="67C4A3F4" wp14:editId="7DD2C00C">
            <wp:extent cx="1050308" cy="104330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 Witmen 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62902" cy="1055815"/>
                    </a:xfrm>
                    <a:prstGeom prst="rect">
                      <a:avLst/>
                    </a:prstGeom>
                  </pic:spPr>
                </pic:pic>
              </a:graphicData>
            </a:graphic>
          </wp:inline>
        </w:drawing>
      </w:r>
      <w:r w:rsidRPr="00EC0229">
        <w:rPr>
          <w:noProof/>
          <w:lang w:eastAsia="en-GB"/>
        </w:rPr>
        <w:drawing>
          <wp:inline distT="0" distB="0" distL="0" distR="0" wp14:anchorId="191E8898" wp14:editId="436AE8FD">
            <wp:extent cx="1015825" cy="103106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 Witme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37467" cy="1053029"/>
                    </a:xfrm>
                    <a:prstGeom prst="rect">
                      <a:avLst/>
                    </a:prstGeom>
                  </pic:spPr>
                </pic:pic>
              </a:graphicData>
            </a:graphic>
          </wp:inline>
        </w:drawing>
      </w:r>
      <w:r w:rsidRPr="00EC0229">
        <w:tab/>
      </w:r>
      <w:r w:rsidRPr="00EC0229">
        <w:tab/>
      </w:r>
      <w:r w:rsidRPr="00EC0229">
        <w:rPr>
          <w:noProof/>
          <w:lang w:eastAsia="en-GB"/>
        </w:rPr>
        <w:drawing>
          <wp:inline distT="0" distB="0" distL="0" distR="0" wp14:anchorId="77790D78" wp14:editId="7A06B372">
            <wp:extent cx="1036320" cy="103804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 Wuneetton R.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51988" cy="1053742"/>
                    </a:xfrm>
                    <a:prstGeom prst="rect">
                      <a:avLst/>
                    </a:prstGeom>
                  </pic:spPr>
                </pic:pic>
              </a:graphicData>
            </a:graphic>
          </wp:inline>
        </w:drawing>
      </w:r>
      <w:r w:rsidRPr="00EC0229">
        <w:rPr>
          <w:noProof/>
          <w:lang w:eastAsia="en-GB"/>
        </w:rPr>
        <w:drawing>
          <wp:inline distT="0" distB="0" distL="0" distR="0" wp14:anchorId="6E1F0A2E" wp14:editId="37D68AF6">
            <wp:extent cx="1028700" cy="103555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 Wuneetto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43293" cy="1050247"/>
                    </a:xfrm>
                    <a:prstGeom prst="rect">
                      <a:avLst/>
                    </a:prstGeom>
                  </pic:spPr>
                </pic:pic>
              </a:graphicData>
            </a:graphic>
          </wp:inline>
        </w:drawing>
      </w:r>
    </w:p>
    <w:p w14:paraId="0EBFD535" w14:textId="628D1872" w:rsidR="002747D0" w:rsidRPr="00EC0229" w:rsidRDefault="002747D0" w:rsidP="007600EA">
      <w:pPr>
        <w:pStyle w:val="NoSpacing"/>
        <w:spacing w:line="360" w:lineRule="auto"/>
        <w:jc w:val="center"/>
        <w:rPr>
          <w:sz w:val="20"/>
          <w:szCs w:val="20"/>
        </w:rPr>
      </w:pPr>
      <w:bookmarkStart w:id="227" w:name="_Ref430245990"/>
      <w:bookmarkStart w:id="228" w:name="_Toc46826698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10</w:t>
      </w:r>
      <w:r w:rsidRPr="00EC0229">
        <w:rPr>
          <w:sz w:val="20"/>
          <w:szCs w:val="20"/>
        </w:rPr>
        <w:fldChar w:fldCharType="end"/>
      </w:r>
      <w:bookmarkEnd w:id="227"/>
      <w:r w:rsidR="00CD27A3" w:rsidRPr="00EC0229">
        <w:rPr>
          <w:sz w:val="20"/>
          <w:szCs w:val="20"/>
        </w:rPr>
        <w:t xml:space="preserve">: </w:t>
      </w:r>
      <w:r w:rsidR="007C785D" w:rsidRPr="00EC0229">
        <w:rPr>
          <w:sz w:val="20"/>
          <w:szCs w:val="20"/>
        </w:rPr>
        <w:t>Crondall type thrymsas in native style</w:t>
      </w:r>
      <w:bookmarkEnd w:id="228"/>
    </w:p>
    <w:p w14:paraId="5E349133" w14:textId="1F1C0073" w:rsidR="007C785D" w:rsidRPr="00EC0229" w:rsidRDefault="002747D0" w:rsidP="007600EA">
      <w:pPr>
        <w:pStyle w:val="NoSpacing"/>
        <w:spacing w:line="360" w:lineRule="auto"/>
        <w:jc w:val="center"/>
        <w:rPr>
          <w:sz w:val="20"/>
          <w:szCs w:val="20"/>
        </w:rPr>
      </w:pPr>
      <w:r w:rsidRPr="00EC0229">
        <w:rPr>
          <w:sz w:val="20"/>
          <w:szCs w:val="20"/>
        </w:rPr>
        <w:t>L:</w:t>
      </w:r>
      <w:r w:rsidR="007C785D" w:rsidRPr="00EC0229">
        <w:rPr>
          <w:sz w:val="20"/>
          <w:szCs w:val="20"/>
        </w:rPr>
        <w:t xml:space="preserve"> ‘Witmen’ type, found N. France.</w:t>
      </w:r>
      <w:r w:rsidRPr="00EC0229">
        <w:rPr>
          <w:sz w:val="20"/>
          <w:szCs w:val="20"/>
        </w:rPr>
        <w:t xml:space="preserve"> </w:t>
      </w:r>
      <w:r w:rsidR="007C785D" w:rsidRPr="00EC0229">
        <w:rPr>
          <w:sz w:val="20"/>
          <w:szCs w:val="20"/>
        </w:rPr>
        <w:t>R, ‘Wuneeton’ type, found near Sleaford, Lincolnshire.</w:t>
      </w:r>
    </w:p>
    <w:p w14:paraId="21B33FE6" w14:textId="77777777" w:rsidR="007C785D" w:rsidRPr="00EC0229" w:rsidRDefault="007C785D" w:rsidP="007600EA">
      <w:pPr>
        <w:pStyle w:val="NoSpacing"/>
        <w:spacing w:line="360" w:lineRule="auto"/>
        <w:jc w:val="center"/>
        <w:rPr>
          <w:sz w:val="20"/>
          <w:szCs w:val="20"/>
        </w:rPr>
      </w:pPr>
    </w:p>
    <w:p w14:paraId="74A72362" w14:textId="1BB7EABF" w:rsidR="007C785D" w:rsidRPr="00EC0229" w:rsidRDefault="007C785D" w:rsidP="007600EA">
      <w:pPr>
        <w:spacing w:line="360" w:lineRule="auto"/>
        <w:rPr>
          <w:rFonts w:cs="Times New Roman"/>
          <w:szCs w:val="24"/>
        </w:rPr>
      </w:pPr>
      <w:r w:rsidRPr="00EC0229">
        <w:rPr>
          <w:rFonts w:cs="Times New Roman"/>
          <w:szCs w:val="24"/>
        </w:rPr>
        <w:t xml:space="preserve">The Crondall hoard evinces resurgent native activity and gives structure to the arrangement of </w:t>
      </w:r>
      <w:r w:rsidRPr="00EC0229">
        <w:rPr>
          <w:rFonts w:cs="Times New Roman"/>
          <w:i/>
          <w:szCs w:val="24"/>
        </w:rPr>
        <w:t>thrymsas</w:t>
      </w:r>
      <w:r w:rsidRPr="00EC0229">
        <w:rPr>
          <w:rFonts w:cs="Times New Roman"/>
          <w:szCs w:val="24"/>
        </w:rPr>
        <w:t>.</w:t>
      </w:r>
      <w:r w:rsidRPr="00EC0229">
        <w:rPr>
          <w:rStyle w:val="FootnoteReference"/>
          <w:rFonts w:cs="Times New Roman"/>
          <w:szCs w:val="24"/>
        </w:rPr>
        <w:footnoteReference w:id="457"/>
      </w:r>
      <w:r w:rsidRPr="00EC0229">
        <w:rPr>
          <w:rFonts w:cs="Times New Roman"/>
          <w:szCs w:val="24"/>
        </w:rPr>
        <w:t xml:space="preserve"> The best description of the changing artistic syntax from Rome to 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England is given in Sutherland's </w:t>
      </w:r>
      <w:r w:rsidRPr="00EC0229">
        <w:rPr>
          <w:rFonts w:cs="Times New Roman"/>
          <w:i/>
          <w:iCs/>
          <w:szCs w:val="24"/>
        </w:rPr>
        <w:t>Art in Coinage</w:t>
      </w:r>
      <w:r w:rsidR="00584C42" w:rsidRPr="00EC0229">
        <w:rPr>
          <w:rFonts w:cs="Times New Roman"/>
          <w:i/>
          <w:iCs/>
          <w:szCs w:val="24"/>
        </w:rPr>
        <w:fldChar w:fldCharType="begin"/>
      </w:r>
      <w:r w:rsidR="00584C42" w:rsidRPr="00EC0229">
        <w:instrText xml:space="preserve"> XE "</w:instrText>
      </w:r>
      <w:r w:rsidR="00584C42" w:rsidRPr="00EC0229">
        <w:rPr>
          <w:rFonts w:cs="Times New Roman"/>
          <w:b/>
          <w:color w:val="000000" w:themeColor="text1"/>
          <w:sz w:val="56"/>
          <w:szCs w:val="56"/>
        </w:rPr>
        <w:instrText>Coinage</w:instrText>
      </w:r>
      <w:r w:rsidR="00584C42" w:rsidRPr="00EC0229">
        <w:instrText xml:space="preserve">" </w:instrText>
      </w:r>
      <w:r w:rsidR="00584C42" w:rsidRPr="00EC0229">
        <w:rPr>
          <w:rFonts w:cs="Times New Roman"/>
          <w:i/>
          <w:iCs/>
          <w:szCs w:val="24"/>
        </w:rPr>
        <w:fldChar w:fldCharType="end"/>
      </w:r>
      <w:r w:rsidRPr="00EC0229">
        <w:rPr>
          <w:rFonts w:cs="Times New Roman"/>
          <w:szCs w:val="24"/>
        </w:rPr>
        <w:t xml:space="preserve"> (1955). The plastic idiom of Roman</w:t>
      </w:r>
      <w:r w:rsidR="00D142DC" w:rsidRPr="00EC0229">
        <w:rPr>
          <w:rFonts w:cs="Times New Roman"/>
          <w:szCs w:val="24"/>
        </w:rPr>
        <w:fldChar w:fldCharType="begin"/>
      </w:r>
      <w:r w:rsidR="00D142DC" w:rsidRPr="00EC0229">
        <w:instrText xml:space="preserve"> XE "Roman" </w:instrText>
      </w:r>
      <w:r w:rsidR="00D142DC" w:rsidRPr="00EC0229">
        <w:rPr>
          <w:rFonts w:cs="Times New Roman"/>
          <w:szCs w:val="24"/>
        </w:rPr>
        <w:fldChar w:fldCharType="end"/>
      </w:r>
      <w:r w:rsidRPr="00EC0229">
        <w:rPr>
          <w:rFonts w:cs="Times New Roman"/>
          <w:szCs w:val="24"/>
        </w:rPr>
        <w:t xml:space="preserve"> coinage is swept aside and replaced by the 'rich gift of all "primitives"</w:t>
      </w:r>
      <w:r w:rsidR="00E646C2" w:rsidRPr="00EC0229">
        <w:rPr>
          <w:rFonts w:cs="Times New Roman"/>
          <w:szCs w:val="24"/>
        </w:rPr>
        <w:t xml:space="preserve"> …</w:t>
      </w:r>
      <w:r w:rsidRPr="00EC0229">
        <w:rPr>
          <w:rFonts w:cs="Times New Roman"/>
          <w:szCs w:val="24"/>
        </w:rPr>
        <w:t>the resultant portrait therefore enjoys the simplicity, directness and highly concentrated integrity of all young art.' Dolley (1976, 352) was less charitable: ‘the classical world is a memory and the new idiom one still to be mastered.’</w:t>
      </w:r>
    </w:p>
    <w:p w14:paraId="4B0555B8" w14:textId="2D13FCB3" w:rsidR="007C785D" w:rsidRPr="00EC0229" w:rsidRDefault="007C785D" w:rsidP="007600EA">
      <w:pPr>
        <w:spacing w:line="360" w:lineRule="auto"/>
        <w:rPr>
          <w:rFonts w:cs="Times New Roman"/>
          <w:szCs w:val="24"/>
        </w:rPr>
      </w:pPr>
      <w:r w:rsidRPr="00EC0229">
        <w:rPr>
          <w:rFonts w:cs="Times New Roman"/>
          <w:szCs w:val="24"/>
        </w:rPr>
        <w:t>It is evident from descriptions in Sutherland (1948) of the 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shillings inspired by Roman</w:t>
      </w:r>
      <w:r w:rsidR="00D142DC" w:rsidRPr="00EC0229">
        <w:rPr>
          <w:rFonts w:cs="Times New Roman"/>
          <w:szCs w:val="24"/>
        </w:rPr>
        <w:fldChar w:fldCharType="begin"/>
      </w:r>
      <w:r w:rsidR="00D142DC" w:rsidRPr="00EC0229">
        <w:instrText xml:space="preserve"> XE "Roman" </w:instrText>
      </w:r>
      <w:r w:rsidR="00D142DC" w:rsidRPr="00EC0229">
        <w:rPr>
          <w:rFonts w:cs="Times New Roman"/>
          <w:szCs w:val="24"/>
        </w:rPr>
        <w:fldChar w:fldCharType="end"/>
      </w:r>
      <w:r w:rsidRPr="00EC0229">
        <w:rPr>
          <w:rFonts w:cs="Times New Roman"/>
          <w:szCs w:val="24"/>
        </w:rPr>
        <w:t xml:space="preserve"> prototypes, that the earliest of these were not currency items and, indeed, piercings, mounts and loops in later issues indicate that there were non-monetary uses. It is only types </w:t>
      </w:r>
      <w:r w:rsidRPr="00EC0229">
        <w:rPr>
          <w:rFonts w:cs="Times New Roman"/>
          <w:szCs w:val="24"/>
        </w:rPr>
        <w:lastRenderedPageBreak/>
        <w:t>known from multiple specimens that can be deemed to be part of a circulating coinage – unique survivors are more likely to be special purpose specimens.</w:t>
      </w:r>
      <w:r w:rsidRPr="00EC0229">
        <w:rPr>
          <w:rStyle w:val="FootnoteReference"/>
          <w:rFonts w:cs="Times New Roman"/>
          <w:szCs w:val="24"/>
        </w:rPr>
        <w:footnoteReference w:id="458"/>
      </w:r>
    </w:p>
    <w:p w14:paraId="26B65C12" w14:textId="14BE2676" w:rsidR="007C785D" w:rsidRPr="00EC0229" w:rsidRDefault="007C785D" w:rsidP="007600EA">
      <w:pPr>
        <w:pStyle w:val="Header"/>
        <w:spacing w:line="360" w:lineRule="auto"/>
        <w:rPr>
          <w:rFonts w:cs="Times New Roman"/>
          <w:szCs w:val="24"/>
        </w:rPr>
      </w:pPr>
      <w:r w:rsidRPr="00EC0229">
        <w:rPr>
          <w:rFonts w:cs="Times New Roman"/>
          <w:szCs w:val="24"/>
        </w:rPr>
        <w:t>‘It is indeed remarkable just how many seventh-century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coins were accidentally lost…showing that these coins, despite their high value, were regularly being used in trade on these sites.’</w:t>
      </w:r>
      <w:r w:rsidRPr="00EC0229">
        <w:rPr>
          <w:rStyle w:val="FootnoteReference"/>
          <w:rFonts w:cs="Times New Roman"/>
          <w:szCs w:val="24"/>
        </w:rPr>
        <w:footnoteReference w:id="459"/>
      </w:r>
      <w:r w:rsidRPr="00EC0229">
        <w:rPr>
          <w:rFonts w:cs="Times New Roman"/>
          <w:szCs w:val="24"/>
        </w:rPr>
        <w:t xml:space="preserve"> However, the </w:t>
      </w:r>
      <w:r w:rsidR="002441AB" w:rsidRPr="00EC0229">
        <w:rPr>
          <w:rFonts w:cs="Times New Roman"/>
          <w:szCs w:val="24"/>
        </w:rPr>
        <w:t xml:space="preserve">emphasis here is on ‘accidentally lost’; </w:t>
      </w:r>
      <w:r w:rsidRPr="00EC0229">
        <w:rPr>
          <w:rFonts w:cs="Times New Roman"/>
          <w:szCs w:val="24"/>
        </w:rPr>
        <w:t>gold 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coinage did not penetrate beyond the social or mercantile élite</w:t>
      </w:r>
      <w:r w:rsidR="008960AE" w:rsidRPr="00EC0229">
        <w:rPr>
          <w:rFonts w:cs="Times New Roman"/>
          <w:szCs w:val="24"/>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Therefore, it did not fulfil the essential monetary function of satisfying routine, daily transactions. In contrast, the </w:t>
      </w:r>
      <w:r w:rsidR="002441AB" w:rsidRPr="00EC0229">
        <w:rPr>
          <w:rFonts w:cs="Times New Roman"/>
          <w:szCs w:val="24"/>
        </w:rPr>
        <w:t xml:space="preserve">lower denominational value of </w:t>
      </w:r>
      <w:r w:rsidRPr="00EC0229">
        <w:rPr>
          <w:rFonts w:cs="Times New Roman"/>
          <w:szCs w:val="24"/>
        </w:rPr>
        <w:t>silver coinage facilitated a substantial broadening of the money</w:t>
      </w:r>
      <w:r w:rsidR="008960AE" w:rsidRPr="00EC0229">
        <w:rPr>
          <w:rFonts w:cs="Times New Roman"/>
          <w:szCs w:val="24"/>
        </w:rPr>
        <w:fldChar w:fldCharType="begin"/>
      </w:r>
      <w:r w:rsidR="008960AE" w:rsidRPr="00EC0229">
        <w:instrText xml:space="preserve"> XE "money" </w:instrText>
      </w:r>
      <w:r w:rsidR="008960AE" w:rsidRPr="00EC0229">
        <w:rPr>
          <w:rFonts w:cs="Times New Roman"/>
          <w:szCs w:val="24"/>
        </w:rPr>
        <w:fldChar w:fldCharType="end"/>
      </w:r>
      <w:r w:rsidRPr="00EC0229">
        <w:rPr>
          <w:rFonts w:cs="Times New Roman"/>
          <w:szCs w:val="24"/>
        </w:rPr>
        <w:t xml:space="preserve"> economy</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rFonts w:cs="Times New Roman"/>
          <w:szCs w:val="24"/>
        </w:rPr>
        <w:fldChar w:fldCharType="end"/>
      </w:r>
      <w:r w:rsidRPr="00EC0229">
        <w:rPr>
          <w:rFonts w:cs="Times New Roman"/>
          <w:szCs w:val="24"/>
        </w:rPr>
        <w:t>, so can be regarded as a more successful medium of exchange</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medium of exchange</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attaining a deeper penetration of </w:t>
      </w:r>
      <w:r w:rsidR="003F2041" w:rsidRPr="00EC0229">
        <w:rPr>
          <w:rFonts w:cs="Times New Roman"/>
          <w:szCs w:val="24"/>
        </w:rPr>
        <w:t>monetiz</w:t>
      </w:r>
      <w:r w:rsidRPr="00EC0229">
        <w:rPr>
          <w:rFonts w:cs="Times New Roman"/>
          <w:szCs w:val="24"/>
        </w:rPr>
        <w:t>ation</w:t>
      </w:r>
      <w:r w:rsidR="008960AE" w:rsidRPr="00EC0229">
        <w:rPr>
          <w:rFonts w:cs="Times New Roman"/>
          <w:szCs w:val="24"/>
        </w:rPr>
        <w:fldChar w:fldCharType="begin"/>
      </w:r>
      <w:r w:rsidR="008960AE" w:rsidRPr="00EC0229">
        <w:instrText xml:space="preserve"> XE "monetization" </w:instrText>
      </w:r>
      <w:r w:rsidR="008960AE" w:rsidRPr="00EC0229">
        <w:rPr>
          <w:rFonts w:cs="Times New Roman"/>
          <w:szCs w:val="24"/>
        </w:rPr>
        <w:fldChar w:fldCharType="end"/>
      </w:r>
      <w:r w:rsidRPr="00EC0229">
        <w:rPr>
          <w:rFonts w:cs="Times New Roman"/>
          <w:szCs w:val="24"/>
        </w:rPr>
        <w:t>.</w:t>
      </w:r>
    </w:p>
    <w:p w14:paraId="3CF6EB6A" w14:textId="77777777" w:rsidR="007C785D" w:rsidRPr="00EC0229" w:rsidRDefault="007C785D" w:rsidP="007600EA">
      <w:pPr>
        <w:pStyle w:val="Header"/>
        <w:spacing w:line="360" w:lineRule="auto"/>
        <w:jc w:val="right"/>
      </w:pPr>
    </w:p>
    <w:p w14:paraId="67B22948" w14:textId="34643456" w:rsidR="007C785D" w:rsidRPr="00EC0229" w:rsidRDefault="007C785D" w:rsidP="007600EA">
      <w:pPr>
        <w:pStyle w:val="NoSpacing"/>
        <w:spacing w:line="360" w:lineRule="auto"/>
        <w:rPr>
          <w:rFonts w:cs="Times New Roman"/>
        </w:rPr>
      </w:pPr>
      <w:r w:rsidRPr="00EC0229">
        <w:t>In asking whether there was a money</w:t>
      </w:r>
      <w:r w:rsidR="008960AE" w:rsidRPr="00EC0229">
        <w:fldChar w:fldCharType="begin"/>
      </w:r>
      <w:r w:rsidR="008960AE" w:rsidRPr="00EC0229">
        <w:instrText xml:space="preserve"> XE "money" </w:instrText>
      </w:r>
      <w:r w:rsidR="008960AE" w:rsidRPr="00EC0229">
        <w:fldChar w:fldCharType="end"/>
      </w:r>
      <w:r w:rsidRPr="00EC0229">
        <w:t xml:space="preserve"> economy</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fldChar w:fldCharType="end"/>
      </w:r>
      <w:r w:rsidRPr="00EC0229">
        <w:t xml:space="preserve"> in sixth</w:t>
      </w:r>
      <w:r w:rsidR="009E3BEA" w:rsidRPr="00EC0229">
        <w:t>-</w:t>
      </w:r>
      <w:r w:rsidRPr="00EC0229">
        <w:t xml:space="preserve"> and seventh-century England, Metcalf</w:t>
      </w:r>
      <w:r w:rsidR="00F204A1" w:rsidRPr="00EC0229">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fldChar w:fldCharType="end"/>
      </w:r>
      <w:r w:rsidRPr="00EC0229">
        <w:t xml:space="preserve"> concluded: ‘In the end, all that we can say is that the English thrymsas seem to have circulated quite freely within their region of issue and, to a limited extent, beyond it, and that continental tremisses will not have been handled any differently.’</w:t>
      </w:r>
      <w:r w:rsidRPr="00EC0229">
        <w:rPr>
          <w:rStyle w:val="FootnoteReference"/>
        </w:rPr>
        <w:t xml:space="preserve"> </w:t>
      </w:r>
      <w:r w:rsidRPr="00EC0229">
        <w:rPr>
          <w:rStyle w:val="FootnoteReference"/>
        </w:rPr>
        <w:footnoteReference w:id="460"/>
      </w:r>
    </w:p>
    <w:p w14:paraId="38E69EF3" w14:textId="77777777" w:rsidR="007C785D" w:rsidRPr="00EC0229" w:rsidRDefault="007C785D" w:rsidP="007600EA">
      <w:pPr>
        <w:pStyle w:val="NoSpacing"/>
        <w:spacing w:line="360" w:lineRule="auto"/>
        <w:rPr>
          <w:rFonts w:cs="Times New Roman"/>
        </w:rPr>
      </w:pPr>
    </w:p>
    <w:p w14:paraId="026CAA6C" w14:textId="5D002640" w:rsidR="007C785D" w:rsidRPr="00EC0229" w:rsidRDefault="007C785D" w:rsidP="007600EA">
      <w:pPr>
        <w:pStyle w:val="NoSpacing"/>
        <w:spacing w:line="360" w:lineRule="auto"/>
        <w:rPr>
          <w:rFonts w:cs="Times New Roman"/>
        </w:rPr>
      </w:pPr>
      <w:r w:rsidRPr="00EC0229">
        <w:rPr>
          <w:rFonts w:cs="Times New Roman"/>
        </w:rPr>
        <w:t>In England, imported (Merovingian</w:t>
      </w:r>
      <w:r w:rsidR="004C29A9" w:rsidRPr="00EC0229">
        <w:rPr>
          <w:rFonts w:cs="Times New Roman"/>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rFonts w:cs="Times New Roman"/>
        </w:rPr>
        <w:fldChar w:fldCharType="end"/>
      </w:r>
      <w:r w:rsidRPr="00EC0229">
        <w:rPr>
          <w:rFonts w:cs="Times New Roman"/>
        </w:rPr>
        <w:t xml:space="preserve"> and other) coinage and the quest for </w:t>
      </w:r>
      <w:r w:rsidRPr="00EC0229">
        <w:rPr>
          <w:rFonts w:cs="Times New Roman"/>
          <w:i/>
        </w:rPr>
        <w:t>Romanitas</w:t>
      </w:r>
      <w:r w:rsidR="004C29A9" w:rsidRPr="00EC0229">
        <w:rPr>
          <w:rFonts w:cs="Times New Roman"/>
          <w:i/>
        </w:rPr>
        <w:fldChar w:fldCharType="begin"/>
      </w:r>
      <w:r w:rsidR="004C29A9" w:rsidRPr="00EC0229">
        <w:instrText xml:space="preserve"> XE "</w:instrText>
      </w:r>
      <w:r w:rsidR="004C29A9" w:rsidRPr="00EC0229">
        <w:rPr>
          <w:i/>
        </w:rPr>
        <w:instrText>Romanitas</w:instrText>
      </w:r>
      <w:r w:rsidR="004C29A9" w:rsidRPr="00EC0229">
        <w:instrText xml:space="preserve">" </w:instrText>
      </w:r>
      <w:r w:rsidR="004C29A9" w:rsidRPr="00EC0229">
        <w:rPr>
          <w:rFonts w:cs="Times New Roman"/>
          <w:i/>
        </w:rPr>
        <w:fldChar w:fldCharType="end"/>
      </w:r>
      <w:r w:rsidRPr="00EC0229">
        <w:rPr>
          <w:rFonts w:cs="Times New Roman"/>
        </w:rPr>
        <w:t xml:space="preserve"> influenced not only the quantitative</w:t>
      </w:r>
      <w:r w:rsidR="00F204A1" w:rsidRPr="00EC0229">
        <w:rPr>
          <w:rFonts w:cs="Times New Roman"/>
        </w:rPr>
        <w:fldChar w:fldCharType="begin"/>
      </w:r>
      <w:r w:rsidR="00F204A1" w:rsidRPr="00EC0229">
        <w:instrText xml:space="preserve"> XE "</w:instrText>
      </w:r>
      <w:r w:rsidR="00F204A1" w:rsidRPr="00EC0229">
        <w:rPr>
          <w:rStyle w:val="Hyperlink"/>
          <w:rFonts w:cs="Times New Roman"/>
          <w:noProof/>
          <w:u w:val="none"/>
        </w:rPr>
        <w:instrText>quantitative</w:instrText>
      </w:r>
      <w:r w:rsidR="00F204A1" w:rsidRPr="00EC0229">
        <w:instrText xml:space="preserve">" </w:instrText>
      </w:r>
      <w:r w:rsidR="00F204A1" w:rsidRPr="00EC0229">
        <w:rPr>
          <w:rFonts w:cs="Times New Roman"/>
        </w:rPr>
        <w:fldChar w:fldCharType="end"/>
      </w:r>
      <w:r w:rsidRPr="00EC0229">
        <w:rPr>
          <w:rFonts w:cs="Times New Roman"/>
        </w:rPr>
        <w:t xml:space="preserve"> aspects of early Anglo-Saxon</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rPr>
        <w:fldChar w:fldCharType="end"/>
      </w:r>
      <w:r w:rsidRPr="00EC0229">
        <w:rPr>
          <w:rFonts w:cs="Times New Roman"/>
        </w:rPr>
        <w:t xml:space="preserve"> coinage - the metrology</w:t>
      </w:r>
      <w:r w:rsidR="004C29A9" w:rsidRPr="00EC0229">
        <w:rPr>
          <w:rFonts w:cs="Times New Roman"/>
        </w:rPr>
        <w:fldChar w:fldCharType="begin"/>
      </w:r>
      <w:r w:rsidR="004C29A9" w:rsidRPr="00EC0229">
        <w:instrText xml:space="preserve"> XE "metrology" </w:instrText>
      </w:r>
      <w:r w:rsidR="004C29A9" w:rsidRPr="00EC0229">
        <w:rPr>
          <w:rFonts w:cs="Times New Roman"/>
        </w:rPr>
        <w:fldChar w:fldCharType="end"/>
      </w:r>
      <w:r w:rsidRPr="00EC0229">
        <w:rPr>
          <w:rFonts w:cs="Times New Roman"/>
        </w:rPr>
        <w:t>, denominations and production - but also the more elusive qualitative</w:t>
      </w:r>
      <w:r w:rsidR="006B1593" w:rsidRPr="00EC0229">
        <w:rPr>
          <w:rFonts w:cs="Times New Roman"/>
        </w:rPr>
        <w:fldChar w:fldCharType="begin"/>
      </w:r>
      <w:r w:rsidR="006B1593" w:rsidRPr="00EC0229">
        <w:instrText xml:space="preserve"> XE "</w:instrText>
      </w:r>
      <w:r w:rsidR="006B1593" w:rsidRPr="00EC0229">
        <w:rPr>
          <w:rStyle w:val="Hyperlink"/>
          <w:rFonts w:cs="Times New Roman"/>
          <w:noProof/>
          <w:u w:val="none"/>
        </w:rPr>
        <w:instrText>qualitative</w:instrText>
      </w:r>
      <w:r w:rsidR="006B1593" w:rsidRPr="00EC0229">
        <w:instrText xml:space="preserve">" </w:instrText>
      </w:r>
      <w:r w:rsidR="006B1593" w:rsidRPr="00EC0229">
        <w:rPr>
          <w:rFonts w:cs="Times New Roman"/>
        </w:rPr>
        <w:fldChar w:fldCharType="end"/>
      </w:r>
      <w:r w:rsidRPr="00EC0229">
        <w:rPr>
          <w:rFonts w:cs="Times New Roman"/>
        </w:rPr>
        <w:t xml:space="preserve"> features - the iconography</w:t>
      </w:r>
      <w:r w:rsidR="004C29A9" w:rsidRPr="00EC0229">
        <w:rPr>
          <w:rFonts w:cs="Times New Roman"/>
        </w:rPr>
        <w:fldChar w:fldCharType="begin"/>
      </w:r>
      <w:r w:rsidR="004C29A9" w:rsidRPr="00EC0229">
        <w:instrText xml:space="preserve"> XE "iconography" </w:instrText>
      </w:r>
      <w:r w:rsidR="004C29A9" w:rsidRPr="00EC0229">
        <w:rPr>
          <w:rFonts w:cs="Times New Roman"/>
        </w:rPr>
        <w:fldChar w:fldCharType="end"/>
      </w:r>
      <w:r w:rsidRPr="00EC0229">
        <w:rPr>
          <w:rFonts w:cs="Times New Roman"/>
        </w:rPr>
        <w:t xml:space="preserve"> and propaganda. </w:t>
      </w:r>
      <w:r w:rsidR="0032751F" w:rsidRPr="00EC0229">
        <w:rPr>
          <w:rFonts w:cs="Times New Roman"/>
        </w:rPr>
        <w:t xml:space="preserve">For </w:t>
      </w:r>
      <w:r w:rsidRPr="00EC0229">
        <w:rPr>
          <w:rFonts w:cs="Times New Roman"/>
        </w:rPr>
        <w:t>a comprehensive account of Roman</w:t>
      </w:r>
      <w:r w:rsidR="00D142DC" w:rsidRPr="00EC0229">
        <w:rPr>
          <w:rFonts w:cs="Times New Roman"/>
        </w:rPr>
        <w:fldChar w:fldCharType="begin"/>
      </w:r>
      <w:r w:rsidR="00D142DC" w:rsidRPr="00EC0229">
        <w:instrText xml:space="preserve"> XE "Roman" </w:instrText>
      </w:r>
      <w:r w:rsidR="00D142DC" w:rsidRPr="00EC0229">
        <w:rPr>
          <w:rFonts w:cs="Times New Roman"/>
        </w:rPr>
        <w:fldChar w:fldCharType="end"/>
      </w:r>
      <w:r w:rsidRPr="00EC0229">
        <w:rPr>
          <w:rFonts w:cs="Times New Roman"/>
        </w:rPr>
        <w:t xml:space="preserve"> influence</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Roman influence</w:instrText>
      </w:r>
      <w:r w:rsidR="00F204A1" w:rsidRPr="00EC0229">
        <w:instrText xml:space="preserve">" </w:instrText>
      </w:r>
      <w:r w:rsidR="00F204A1" w:rsidRPr="00EC0229">
        <w:rPr>
          <w:rFonts w:cs="Times New Roman"/>
        </w:rPr>
        <w:fldChar w:fldCharType="end"/>
      </w:r>
      <w:r w:rsidRPr="00EC0229">
        <w:rPr>
          <w:rFonts w:cs="Times New Roman"/>
        </w:rPr>
        <w:t xml:space="preserve"> on early Anglo-Saxon coinage </w:t>
      </w:r>
      <w:r w:rsidR="0032751F" w:rsidRPr="00EC0229">
        <w:rPr>
          <w:rFonts w:cs="Times New Roman"/>
        </w:rPr>
        <w:t xml:space="preserve">see </w:t>
      </w:r>
      <w:r w:rsidR="0032751F" w:rsidRPr="00EC0229">
        <w:t>Abramson</w:t>
      </w:r>
      <w:r w:rsidR="0032751F" w:rsidRPr="00EC0229">
        <w:fldChar w:fldCharType="begin"/>
      </w:r>
      <w:r w:rsidR="0032751F" w:rsidRPr="00EC0229">
        <w:instrText xml:space="preserve"> XE "</w:instrText>
      </w:r>
      <w:r w:rsidR="0032751F" w:rsidRPr="00EC0229">
        <w:rPr>
          <w:rFonts w:cs="Times New Roman"/>
          <w:b/>
          <w:sz w:val="40"/>
          <w:szCs w:val="40"/>
        </w:rPr>
        <w:instrText>Abramson</w:instrText>
      </w:r>
      <w:r w:rsidR="0032751F" w:rsidRPr="00EC0229">
        <w:instrText xml:space="preserve">" </w:instrText>
      </w:r>
      <w:r w:rsidR="0032751F" w:rsidRPr="00EC0229">
        <w:fldChar w:fldCharType="end"/>
      </w:r>
      <w:r w:rsidR="0032751F" w:rsidRPr="00EC0229">
        <w:t xml:space="preserve"> (2012a)</w:t>
      </w:r>
      <w:r w:rsidRPr="00EC0229">
        <w:rPr>
          <w:rFonts w:cs="Times New Roman"/>
        </w:rPr>
        <w:t>.</w:t>
      </w:r>
      <w:r w:rsidRPr="00EC0229">
        <w:rPr>
          <w:rStyle w:val="FootnoteReference"/>
          <w:rFonts w:cs="Times New Roman"/>
        </w:rPr>
        <w:footnoteReference w:id="461"/>
      </w:r>
    </w:p>
    <w:p w14:paraId="1DD2920E" w14:textId="77777777" w:rsidR="007C785D" w:rsidRPr="00EC0229" w:rsidRDefault="007C785D" w:rsidP="007600EA">
      <w:pPr>
        <w:pStyle w:val="NoSpacing"/>
        <w:spacing w:line="360" w:lineRule="auto"/>
        <w:rPr>
          <w:rFonts w:cs="Times New Roman"/>
        </w:rPr>
      </w:pPr>
    </w:p>
    <w:p w14:paraId="4828B700" w14:textId="0682BA24" w:rsidR="00B50049" w:rsidRPr="00BA17A4" w:rsidRDefault="00954174" w:rsidP="00BA17A4">
      <w:pPr>
        <w:pStyle w:val="Heading5"/>
        <w:rPr>
          <w:sz w:val="24"/>
          <w:szCs w:val="24"/>
        </w:rPr>
      </w:pPr>
      <w:bookmarkStart w:id="229" w:name="goldshillingofYork"/>
      <w:bookmarkEnd w:id="229"/>
      <w:r w:rsidRPr="00BA17A4">
        <w:rPr>
          <w:rStyle w:val="Heading5Char"/>
          <w:sz w:val="24"/>
          <w:szCs w:val="24"/>
          <w:u w:val="none"/>
        </w:rPr>
        <w:t xml:space="preserve">Northumbria: </w:t>
      </w:r>
      <w:r w:rsidR="007C785D" w:rsidRPr="00BA17A4">
        <w:rPr>
          <w:rStyle w:val="Heading5Char"/>
          <w:sz w:val="24"/>
          <w:szCs w:val="24"/>
          <w:u w:val="none"/>
        </w:rPr>
        <w:t>The gold</w:t>
      </w:r>
      <w:r w:rsidR="008960AE" w:rsidRPr="00BA17A4">
        <w:rPr>
          <w:rStyle w:val="Heading5Char"/>
          <w:sz w:val="24"/>
          <w:szCs w:val="24"/>
          <w:u w:val="none"/>
        </w:rPr>
        <w:fldChar w:fldCharType="begin"/>
      </w:r>
      <w:r w:rsidR="008960AE" w:rsidRPr="00BA17A4">
        <w:rPr>
          <w:rStyle w:val="Heading5Char"/>
          <w:sz w:val="24"/>
          <w:szCs w:val="24"/>
          <w:u w:val="none"/>
        </w:rPr>
        <w:instrText xml:space="preserve"> XE "gold" </w:instrText>
      </w:r>
      <w:r w:rsidR="008960AE" w:rsidRPr="00BA17A4">
        <w:rPr>
          <w:rStyle w:val="Heading5Char"/>
          <w:sz w:val="24"/>
          <w:szCs w:val="24"/>
          <w:u w:val="none"/>
        </w:rPr>
        <w:fldChar w:fldCharType="end"/>
      </w:r>
      <w:r w:rsidR="007C785D" w:rsidRPr="00BA17A4">
        <w:rPr>
          <w:rStyle w:val="Heading5Char"/>
          <w:sz w:val="24"/>
          <w:szCs w:val="24"/>
          <w:u w:val="none"/>
        </w:rPr>
        <w:t xml:space="preserve"> shilling of </w:t>
      </w:r>
      <w:bookmarkStart w:id="230" w:name="York"/>
      <w:r w:rsidR="007C785D" w:rsidRPr="00BA17A4">
        <w:rPr>
          <w:rStyle w:val="Heading5Char"/>
          <w:sz w:val="24"/>
          <w:szCs w:val="24"/>
          <w:u w:val="none"/>
        </w:rPr>
        <w:t>York</w:t>
      </w:r>
      <w:bookmarkEnd w:id="230"/>
      <w:r w:rsidR="00F204A1" w:rsidRPr="00BA17A4">
        <w:rPr>
          <w:rStyle w:val="Heading5Char"/>
          <w:sz w:val="24"/>
          <w:szCs w:val="24"/>
          <w:u w:val="none"/>
        </w:rPr>
        <w:fldChar w:fldCharType="begin"/>
      </w:r>
      <w:r w:rsidR="00F204A1" w:rsidRPr="00BA17A4">
        <w:rPr>
          <w:rStyle w:val="Heading5Char"/>
          <w:sz w:val="24"/>
          <w:szCs w:val="24"/>
          <w:u w:val="none"/>
        </w:rPr>
        <w:instrText xml:space="preserve"> XE "gold shilling of York" </w:instrText>
      </w:r>
      <w:r w:rsidR="00F204A1" w:rsidRPr="00BA17A4">
        <w:rPr>
          <w:rStyle w:val="Heading5Char"/>
          <w:sz w:val="24"/>
          <w:szCs w:val="24"/>
          <w:u w:val="none"/>
        </w:rPr>
        <w:fldChar w:fldCharType="end"/>
      </w:r>
      <w:r w:rsidR="002D0D11" w:rsidRPr="00BA17A4">
        <w:rPr>
          <w:rStyle w:val="Heading5Char"/>
          <w:sz w:val="24"/>
          <w:szCs w:val="24"/>
          <w:u w:val="none"/>
        </w:rPr>
        <w:t>, c.627 – c.633</w:t>
      </w:r>
      <w:r w:rsidR="007C785D" w:rsidRPr="00BA17A4">
        <w:rPr>
          <w:rStyle w:val="FootnoteReference"/>
          <w:rFonts w:cs="Times New Roman"/>
          <w:b w:val="0"/>
          <w:sz w:val="24"/>
          <w:szCs w:val="24"/>
        </w:rPr>
        <w:footnoteReference w:id="462"/>
      </w:r>
      <w:r w:rsidR="00D22BE2" w:rsidRPr="00BA17A4">
        <w:rPr>
          <w:b w:val="0"/>
          <w:sz w:val="24"/>
          <w:szCs w:val="24"/>
        </w:rPr>
        <w:t xml:space="preserve"> </w:t>
      </w:r>
    </w:p>
    <w:p w14:paraId="47B99345" w14:textId="62AE71C2" w:rsidR="007B62C6" w:rsidRPr="00EC0229" w:rsidRDefault="006C2237" w:rsidP="007600EA">
      <w:pPr>
        <w:pStyle w:val="NoSpacing"/>
        <w:spacing w:line="360" w:lineRule="auto"/>
        <w:jc w:val="right"/>
        <w:rPr>
          <w:rFonts w:cs="Times New Roman"/>
          <w:sz w:val="20"/>
          <w:szCs w:val="20"/>
        </w:rPr>
      </w:pPr>
      <w:r w:rsidRPr="00EC0229">
        <w:rPr>
          <w:rFonts w:cs="Times New Roman"/>
          <w:sz w:val="20"/>
          <w:szCs w:val="20"/>
        </w:rPr>
        <w:t xml:space="preserve"> </w:t>
      </w:r>
      <w:r w:rsidR="007B62C6" w:rsidRPr="00EC0229">
        <w:rPr>
          <w:rFonts w:cs="Times New Roman"/>
          <w:sz w:val="20"/>
          <w:szCs w:val="20"/>
        </w:rPr>
        <w:t>‘Egg-Kings were found on the thrones of all these kingdoms’</w:t>
      </w:r>
    </w:p>
    <w:p w14:paraId="3230A519" w14:textId="0F3A83B5" w:rsidR="007B62C6" w:rsidRPr="00EC0229" w:rsidRDefault="007B62C6" w:rsidP="007600EA">
      <w:pPr>
        <w:pStyle w:val="NoSpacing"/>
        <w:spacing w:line="360" w:lineRule="auto"/>
        <w:jc w:val="right"/>
        <w:rPr>
          <w:rFonts w:cs="Times New Roman"/>
          <w:sz w:val="20"/>
          <w:szCs w:val="20"/>
        </w:rPr>
      </w:pPr>
      <w:r w:rsidRPr="00EC0229">
        <w:rPr>
          <w:rFonts w:cs="Times New Roman"/>
          <w:sz w:val="20"/>
          <w:szCs w:val="20"/>
        </w:rPr>
        <w:t>Sellar &amp; Yeatman (1066, 15)</w:t>
      </w:r>
    </w:p>
    <w:p w14:paraId="5F1C0E12" w14:textId="7CE045F4" w:rsidR="00162A29" w:rsidRDefault="00162A29" w:rsidP="006C2237">
      <w:pPr>
        <w:spacing w:line="360" w:lineRule="auto"/>
        <w:rPr>
          <w:rFonts w:cs="Times New Roman"/>
        </w:rPr>
      </w:pPr>
      <w:r>
        <w:rPr>
          <w:rFonts w:cs="Times New Roman"/>
        </w:rPr>
        <w:t xml:space="preserve">As more diverse Southumbrian types are found, the centrality of the Crondall hoard to the classification and structure of seventh-century gold coinage diminishes. York’s distance of </w:t>
      </w:r>
      <w:r>
        <w:rPr>
          <w:rFonts w:cs="Times New Roman"/>
        </w:rPr>
        <w:lastRenderedPageBreak/>
        <w:t xml:space="preserve">over 230 miles due north of Crondall is the </w:t>
      </w:r>
      <w:r w:rsidR="00A64003">
        <w:rPr>
          <w:rFonts w:cs="Times New Roman"/>
        </w:rPr>
        <w:t>likely explanation of the absence</w:t>
      </w:r>
      <w:r>
        <w:rPr>
          <w:rFonts w:cs="Times New Roman"/>
        </w:rPr>
        <w:t xml:space="preserve"> of any representative of the York group from the hoard. </w:t>
      </w:r>
    </w:p>
    <w:p w14:paraId="10176871" w14:textId="77777777" w:rsidR="00AA72BF" w:rsidRPr="00AA72BF" w:rsidRDefault="00AA72BF" w:rsidP="00AA72BF">
      <w:pPr>
        <w:pStyle w:val="NoSpacing"/>
      </w:pPr>
    </w:p>
    <w:p w14:paraId="731F55FF" w14:textId="24A604EB" w:rsidR="007C785D" w:rsidRPr="00EC0229" w:rsidRDefault="007C785D" w:rsidP="006C2237">
      <w:pPr>
        <w:spacing w:line="360" w:lineRule="auto"/>
      </w:pPr>
      <w:r w:rsidRPr="00EC0229">
        <w:rPr>
          <w:rFonts w:cs="Times New Roman"/>
          <w:i/>
        </w:rPr>
        <w:t>Table</w:t>
      </w:r>
      <w:r w:rsidR="00584C42" w:rsidRPr="00EC0229">
        <w:rPr>
          <w:rFonts w:cs="Times New Roman"/>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cs="Times New Roman"/>
          <w:i/>
        </w:rPr>
        <w:fldChar w:fldCharType="end"/>
      </w:r>
      <w:r w:rsidRPr="00EC0229">
        <w:rPr>
          <w:rFonts w:cs="Times New Roman"/>
          <w:i/>
        </w:rPr>
        <w:t xml:space="preserve"> </w:t>
      </w:r>
      <w:r w:rsidR="00817A09" w:rsidRPr="00EC0229">
        <w:rPr>
          <w:rFonts w:cs="Times New Roman"/>
          <w:i/>
        </w:rPr>
        <w:t>5.09</w:t>
      </w:r>
      <w:r w:rsidR="00217AC6" w:rsidRPr="00EC0229">
        <w:rPr>
          <w:rStyle w:val="Hyperlink"/>
          <w:rFonts w:cs="Times New Roman"/>
          <w:i/>
          <w:color w:val="auto"/>
          <w:u w:val="none"/>
        </w:rPr>
        <w:t xml:space="preserve"> </w:t>
      </w:r>
      <w:r w:rsidR="00194E6E">
        <w:rPr>
          <w:rStyle w:val="Hyperlink"/>
          <w:rFonts w:cs="Times New Roman"/>
          <w:color w:val="auto"/>
          <w:u w:val="none"/>
        </w:rPr>
        <w:t>provides</w:t>
      </w:r>
      <w:r w:rsidR="008172B3">
        <w:rPr>
          <w:rFonts w:cs="Times New Roman"/>
        </w:rPr>
        <w:t xml:space="preserve"> the most comprehensive</w:t>
      </w:r>
      <w:r w:rsidRPr="00EC0229">
        <w:rPr>
          <w:rFonts w:cs="Times New Roman"/>
        </w:rPr>
        <w:t xml:space="preserve"> corpus of this type</w:t>
      </w:r>
      <w:r w:rsidR="008172B3" w:rsidRPr="008172B3">
        <w:rPr>
          <w:rFonts w:cs="Times New Roman"/>
        </w:rPr>
        <w:t xml:space="preserve"> </w:t>
      </w:r>
      <w:r w:rsidR="008172B3" w:rsidRPr="00EC0229">
        <w:rPr>
          <w:rFonts w:cs="Times New Roman"/>
        </w:rPr>
        <w:t>to date</w:t>
      </w:r>
      <w:r w:rsidRPr="00EC0229">
        <w:rPr>
          <w:rFonts w:cs="Times New Roman"/>
          <w:szCs w:val="24"/>
        </w:rPr>
        <w:t xml:space="preserve">, now including </w:t>
      </w:r>
      <w:r w:rsidR="00815943" w:rsidRPr="00EC0229">
        <w:rPr>
          <w:rFonts w:cs="Times New Roman"/>
          <w:szCs w:val="24"/>
        </w:rPr>
        <w:t>twenty</w:t>
      </w:r>
      <w:r w:rsidR="00162A29">
        <w:rPr>
          <w:rFonts w:cs="Times New Roman"/>
          <w:szCs w:val="24"/>
        </w:rPr>
        <w:t>-one</w:t>
      </w:r>
      <w:r w:rsidRPr="00EC0229">
        <w:rPr>
          <w:rFonts w:cs="Times New Roman"/>
          <w:szCs w:val="24"/>
        </w:rPr>
        <w:t xml:space="preserve"> attested specimens, </w:t>
      </w:r>
      <w:r w:rsidR="008172B3">
        <w:rPr>
          <w:rFonts w:cs="Times New Roman"/>
          <w:szCs w:val="24"/>
        </w:rPr>
        <w:t xml:space="preserve">all here illustrated, </w:t>
      </w:r>
      <w:r w:rsidRPr="00EC0229">
        <w:rPr>
          <w:rFonts w:cs="Times New Roman"/>
          <w:szCs w:val="24"/>
        </w:rPr>
        <w:t xml:space="preserve">consisting of </w:t>
      </w:r>
      <w:r w:rsidR="00815943" w:rsidRPr="00EC0229">
        <w:rPr>
          <w:rFonts w:cs="Times New Roman"/>
          <w:szCs w:val="24"/>
        </w:rPr>
        <w:t>eight obverse and eight</w:t>
      </w:r>
      <w:r w:rsidRPr="00EC0229">
        <w:rPr>
          <w:rFonts w:cs="Times New Roman"/>
          <w:szCs w:val="24"/>
        </w:rPr>
        <w:t xml:space="preserve"> reverse dies</w:t>
      </w:r>
      <w:r w:rsidR="006C2237" w:rsidRPr="00EC0229">
        <w:rPr>
          <w:rFonts w:cs="Times New Roman"/>
          <w:szCs w:val="24"/>
        </w:rPr>
        <w:t xml:space="preserve"> </w:t>
      </w:r>
      <w:r w:rsidR="006C2237" w:rsidRPr="00EC0229">
        <w:t>(</w:t>
      </w:r>
      <w:r w:rsidR="006C2237" w:rsidRPr="00EC0229">
        <w:rPr>
          <w:i/>
        </w:rPr>
        <w:t>Plate 1, Map 5.01</w:t>
      </w:r>
      <w:r w:rsidR="006C2237" w:rsidRPr="00EC0229">
        <w:t>)</w:t>
      </w:r>
      <w:r w:rsidRPr="00EC0229">
        <w:rPr>
          <w:rFonts w:cs="Times New Roman"/>
        </w:rPr>
        <w:t>.</w:t>
      </w:r>
      <w:r w:rsidRPr="00EC0229">
        <w:rPr>
          <w:rStyle w:val="FootnoteReference"/>
          <w:rFonts w:cs="Times New Roman"/>
        </w:rPr>
        <w:footnoteReference w:id="463"/>
      </w:r>
      <w:r w:rsidRPr="00EC0229">
        <w:rPr>
          <w:rFonts w:cs="Times New Roman"/>
          <w:szCs w:val="24"/>
        </w:rPr>
        <w:t xml:space="preserve"> </w:t>
      </w:r>
      <w:r w:rsidR="00C23550" w:rsidRPr="00EC0229">
        <w:rPr>
          <w:rFonts w:cs="Times New Roman"/>
        </w:rPr>
        <w:t>The classification is based on Blackburn (1994), Williams (2007b) and Naylor and Allen (2014), where the chronology is determined by the gold</w:t>
      </w:r>
      <w:r w:rsidR="00C23550" w:rsidRPr="00EC0229">
        <w:rPr>
          <w:rFonts w:cs="Times New Roman"/>
        </w:rPr>
        <w:fldChar w:fldCharType="begin"/>
      </w:r>
      <w:r w:rsidR="00C23550" w:rsidRPr="00EC0229">
        <w:instrText xml:space="preserve"> XE "</w:instrText>
      </w:r>
      <w:r w:rsidR="00C23550" w:rsidRPr="00EC0229">
        <w:rPr>
          <w:rFonts w:eastAsia="Times New Roman" w:cs="Times New Roman"/>
          <w:szCs w:val="24"/>
          <w:lang w:eastAsia="en-GB"/>
        </w:rPr>
        <w:instrText>gold</w:instrText>
      </w:r>
      <w:r w:rsidR="00C23550" w:rsidRPr="00EC0229">
        <w:instrText xml:space="preserve">" </w:instrText>
      </w:r>
      <w:r w:rsidR="00C23550" w:rsidRPr="00EC0229">
        <w:rPr>
          <w:rFonts w:cs="Times New Roman"/>
        </w:rPr>
        <w:fldChar w:fldCharType="end"/>
      </w:r>
      <w:r w:rsidR="00C23550" w:rsidRPr="00EC0229">
        <w:rPr>
          <w:rFonts w:cs="Times New Roman"/>
        </w:rPr>
        <w:t xml:space="preserve"> content. </w:t>
      </w:r>
      <w:r w:rsidR="008960AE" w:rsidRPr="00EC0229">
        <w:rPr>
          <w:rFonts w:cs="Times New Roman"/>
        </w:rPr>
        <w:fldChar w:fldCharType="begin"/>
      </w:r>
      <w:r w:rsidR="008960AE" w:rsidRPr="00EC0229">
        <w:instrText xml:space="preserve"> XE "</w:instrText>
      </w:r>
      <w:r w:rsidR="008960AE" w:rsidRPr="00EC0229">
        <w:rPr>
          <w:rFonts w:cs="Times New Roman"/>
          <w:szCs w:val="24"/>
        </w:rPr>
        <w:instrText>Naylor</w:instrText>
      </w:r>
      <w:r w:rsidR="008960AE" w:rsidRPr="00EC0229">
        <w:instrText xml:space="preserve">" </w:instrText>
      </w:r>
      <w:r w:rsidR="008960AE" w:rsidRPr="00EC0229">
        <w:rPr>
          <w:rFonts w:cs="Times New Roman"/>
        </w:rPr>
        <w:fldChar w:fldCharType="end"/>
      </w:r>
      <w:r w:rsidR="00C23550" w:rsidRPr="00EC0229">
        <w:rPr>
          <w:rFonts w:cs="Times New Roman"/>
        </w:rPr>
        <w:t>The latter</w:t>
      </w:r>
      <w:r w:rsidRPr="00EC0229">
        <w:rPr>
          <w:rFonts w:cs="Times New Roman"/>
        </w:rPr>
        <w:t xml:space="preserve"> presented a corpus </w:t>
      </w:r>
      <w:r w:rsidR="00815943" w:rsidRPr="00EC0229">
        <w:rPr>
          <w:rFonts w:cs="Times New Roman"/>
        </w:rPr>
        <w:t xml:space="preserve">of fourteen </w:t>
      </w:r>
      <w:r w:rsidR="00162968" w:rsidRPr="00EC0229">
        <w:rPr>
          <w:rFonts w:cs="Times New Roman"/>
        </w:rPr>
        <w:t xml:space="preserve">specimens </w:t>
      </w:r>
      <w:r w:rsidRPr="00EC0229">
        <w:rPr>
          <w:rFonts w:cs="Times New Roman"/>
        </w:rPr>
        <w:t>following the find of a new variety (D) in 2012 near ‘Harrogate’.</w:t>
      </w:r>
      <w:r w:rsidRPr="00EC0229">
        <w:rPr>
          <w:rStyle w:val="FootnoteReference"/>
          <w:rFonts w:cs="Times New Roman"/>
        </w:rPr>
        <w:footnoteReference w:id="464"/>
      </w:r>
      <w:r w:rsidRPr="00EC0229">
        <w:rPr>
          <w:rFonts w:cs="Times New Roman"/>
        </w:rPr>
        <w:t xml:space="preserve"> </w:t>
      </w:r>
    </w:p>
    <w:p w14:paraId="21CA7CAD" w14:textId="77777777" w:rsidR="00375D9C" w:rsidRPr="00EC0229" w:rsidRDefault="00375D9C" w:rsidP="007600EA">
      <w:pPr>
        <w:pStyle w:val="NoSpacing"/>
        <w:spacing w:line="360" w:lineRule="auto"/>
        <w:rPr>
          <w:rFonts w:cs="Times New Roman"/>
        </w:rPr>
      </w:pPr>
    </w:p>
    <w:p w14:paraId="7584B368" w14:textId="38BB4A5F" w:rsidR="006F7EB3" w:rsidRPr="00EC0229" w:rsidRDefault="0090786F" w:rsidP="007600EA">
      <w:pPr>
        <w:pStyle w:val="NoSpacing"/>
        <w:spacing w:line="360" w:lineRule="auto"/>
        <w:rPr>
          <w:rFonts w:cs="Times New Roman"/>
        </w:rPr>
      </w:pPr>
      <w:r w:rsidRPr="00EC0229">
        <w:rPr>
          <w:rFonts w:cs="Times New Roman"/>
        </w:rPr>
        <w:t xml:space="preserve">Sutherland stated </w:t>
      </w:r>
      <w:r w:rsidR="00AB6226" w:rsidRPr="00EC0229">
        <w:rPr>
          <w:rFonts w:cs="Times New Roman"/>
        </w:rPr>
        <w:t>“</w:t>
      </w:r>
      <w:r w:rsidRPr="00EC0229">
        <w:rPr>
          <w:rFonts w:cs="Times New Roman"/>
        </w:rPr>
        <w:t xml:space="preserve">the ‘legend’ seems to be a mere congeries of letter-forms, </w:t>
      </w:r>
      <w:r w:rsidRPr="00EC0229">
        <w:rPr>
          <w:rFonts w:cs="Times New Roman"/>
          <w:bCs/>
        </w:rPr>
        <w:t>quite devoid of sense</w:t>
      </w:r>
      <w:r w:rsidR="00AB6226" w:rsidRPr="00EC0229">
        <w:rPr>
          <w:rFonts w:cs="Times New Roman"/>
        </w:rPr>
        <w:t>”</w:t>
      </w:r>
      <w:r w:rsidRPr="00EC0229">
        <w:rPr>
          <w:rStyle w:val="FootnoteReference"/>
          <w:rFonts w:cs="Times New Roman"/>
        </w:rPr>
        <w:footnoteReference w:id="465"/>
      </w:r>
      <w:r w:rsidRPr="00EC0229">
        <w:rPr>
          <w:rFonts w:cs="Times New Roman"/>
        </w:rPr>
        <w:t xml:space="preserve"> </w:t>
      </w:r>
      <w:r w:rsidR="00375D9C" w:rsidRPr="00EC0229">
        <w:rPr>
          <w:rFonts w:cs="Times New Roman"/>
        </w:rPr>
        <w:t>In April 2016, the candidate transcribed</w:t>
      </w:r>
      <w:r w:rsidR="00E3333C" w:rsidRPr="00EC0229">
        <w:rPr>
          <w:rFonts w:cs="Times New Roman"/>
        </w:rPr>
        <w:t xml:space="preserve"> </w:t>
      </w:r>
      <w:r w:rsidRPr="00EC0229">
        <w:rPr>
          <w:rFonts w:cs="Times New Roman"/>
        </w:rPr>
        <w:t xml:space="preserve">the legend </w:t>
      </w:r>
      <w:r w:rsidR="00375D9C" w:rsidRPr="00EC0229">
        <w:rPr>
          <w:rFonts w:cs="Times New Roman"/>
        </w:rPr>
        <w:t xml:space="preserve">as shown in </w:t>
      </w:r>
      <w:r w:rsidR="00C4240A" w:rsidRPr="00EC0229">
        <w:rPr>
          <w:rFonts w:cs="Times New Roman"/>
          <w:i/>
        </w:rPr>
        <w:t xml:space="preserve">Plate </w:t>
      </w:r>
      <w:r w:rsidRPr="00EC0229">
        <w:rPr>
          <w:rFonts w:cs="Times New Roman"/>
          <w:i/>
        </w:rPr>
        <w:t>2</w:t>
      </w:r>
      <w:r w:rsidR="00375D9C" w:rsidRPr="00EC0229">
        <w:rPr>
          <w:rFonts w:cs="Times New Roman"/>
        </w:rPr>
        <w:t>, which</w:t>
      </w:r>
      <w:r w:rsidRPr="00EC0229">
        <w:rPr>
          <w:rFonts w:cs="Times New Roman"/>
        </w:rPr>
        <w:t xml:space="preserve"> clearly </w:t>
      </w:r>
      <w:r w:rsidR="009A27DE" w:rsidRPr="00EC0229">
        <w:rPr>
          <w:rFonts w:cs="Times New Roman"/>
        </w:rPr>
        <w:t>names</w:t>
      </w:r>
      <w:r w:rsidRPr="00EC0229">
        <w:rPr>
          <w:rFonts w:cs="Times New Roman"/>
        </w:rPr>
        <w:t xml:space="preserve"> Paulinus</w:t>
      </w:r>
      <w:r w:rsidR="00375D9C" w:rsidRPr="00EC0229">
        <w:rPr>
          <w:rFonts w:cs="Times New Roman"/>
        </w:rPr>
        <w:t xml:space="preserve">. </w:t>
      </w:r>
      <w:r w:rsidR="00F30EC8" w:rsidRPr="00EC0229">
        <w:rPr>
          <w:rFonts w:cs="Times New Roman"/>
        </w:rPr>
        <w:t>This is the most important finding of this study with chronological and historical significance.</w:t>
      </w:r>
      <w:r w:rsidR="00F30EC8" w:rsidRPr="00EC0229">
        <w:rPr>
          <w:rStyle w:val="FootnoteReference"/>
          <w:rFonts w:cs="Times New Roman"/>
        </w:rPr>
        <w:footnoteReference w:id="466"/>
      </w:r>
      <w:r w:rsidR="00F30EC8" w:rsidRPr="00EC0229">
        <w:rPr>
          <w:rFonts w:cs="Times New Roman"/>
        </w:rPr>
        <w:t xml:space="preserve"> </w:t>
      </w:r>
      <w:r w:rsidR="00375D9C" w:rsidRPr="00EC0229">
        <w:rPr>
          <w:rFonts w:cs="Times New Roman"/>
        </w:rPr>
        <w:t>T</w:t>
      </w:r>
      <w:r w:rsidRPr="00EC0229">
        <w:rPr>
          <w:rFonts w:cs="Times New Roman"/>
        </w:rPr>
        <w:t xml:space="preserve">he obverse iconography </w:t>
      </w:r>
      <w:r w:rsidR="00375D9C" w:rsidRPr="00EC0229">
        <w:rPr>
          <w:rFonts w:cs="Times New Roman"/>
        </w:rPr>
        <w:t>may suggest</w:t>
      </w:r>
      <w:r w:rsidRPr="00EC0229">
        <w:rPr>
          <w:rFonts w:cs="Times New Roman"/>
        </w:rPr>
        <w:t xml:space="preserve"> that the issue commemorates Edwin’s commitment, on being baptised, to replace the wooden church of York, dedicated to St Peter</w:t>
      </w:r>
      <w:r w:rsidR="00C23550" w:rsidRPr="00EC0229">
        <w:rPr>
          <w:rFonts w:cs="Times New Roman"/>
        </w:rPr>
        <w:t>,</w:t>
      </w:r>
      <w:r w:rsidRPr="00EC0229">
        <w:rPr>
          <w:rFonts w:cs="Times New Roman"/>
        </w:rPr>
        <w:t xml:space="preserve"> to one in stone (</w:t>
      </w:r>
      <w:r w:rsidRPr="00EC0229">
        <w:rPr>
          <w:rFonts w:cs="Times New Roman"/>
        </w:rPr>
        <w:fldChar w:fldCharType="begin"/>
      </w:r>
      <w:r w:rsidRPr="00EC0229">
        <w:rPr>
          <w:rFonts w:cs="Times New Roman"/>
        </w:rPr>
        <w:instrText xml:space="preserve"> PAGEREF Episcopacy \h </w:instrText>
      </w:r>
      <w:r w:rsidRPr="00EC0229">
        <w:rPr>
          <w:rFonts w:cs="Times New Roman"/>
        </w:rPr>
      </w:r>
      <w:r w:rsidRPr="00EC0229">
        <w:rPr>
          <w:rFonts w:cs="Times New Roman"/>
        </w:rPr>
        <w:fldChar w:fldCharType="separate"/>
      </w:r>
      <w:r w:rsidR="0012026B">
        <w:rPr>
          <w:rFonts w:cs="Times New Roman"/>
          <w:noProof/>
        </w:rPr>
        <w:t>89</w:t>
      </w:r>
      <w:r w:rsidRPr="00EC0229">
        <w:rPr>
          <w:rFonts w:cs="Times New Roman"/>
        </w:rPr>
        <w:fldChar w:fldCharType="end"/>
      </w:r>
      <w:r w:rsidRPr="00EC0229">
        <w:rPr>
          <w:rFonts w:cs="Times New Roman"/>
        </w:rPr>
        <w:t>)</w:t>
      </w:r>
      <w:r w:rsidR="00E3333C" w:rsidRPr="00EC0229">
        <w:rPr>
          <w:rFonts w:cs="Times New Roman"/>
        </w:rPr>
        <w:t>.</w:t>
      </w:r>
      <w:r w:rsidR="00E3333C" w:rsidRPr="00EC0229">
        <w:rPr>
          <w:rStyle w:val="FootnoteReference"/>
          <w:rFonts w:cs="Times New Roman"/>
        </w:rPr>
        <w:footnoteReference w:id="467"/>
      </w:r>
      <w:r w:rsidR="00E3333C" w:rsidRPr="00EC0229">
        <w:rPr>
          <w:rFonts w:cs="Times New Roman"/>
        </w:rPr>
        <w:t xml:space="preserve"> </w:t>
      </w:r>
      <w:r w:rsidRPr="00EC0229">
        <w:rPr>
          <w:rFonts w:cs="Times New Roman"/>
        </w:rPr>
        <w:t xml:space="preserve">This </w:t>
      </w:r>
      <w:r w:rsidR="00375D9C" w:rsidRPr="00EC0229">
        <w:rPr>
          <w:rFonts w:cs="Times New Roman"/>
        </w:rPr>
        <w:t>date</w:t>
      </w:r>
      <w:r w:rsidR="00E3333C" w:rsidRPr="00EC0229">
        <w:rPr>
          <w:rFonts w:cs="Times New Roman"/>
        </w:rPr>
        <w:t>s</w:t>
      </w:r>
      <w:r w:rsidRPr="00EC0229">
        <w:rPr>
          <w:rFonts w:cs="Times New Roman"/>
        </w:rPr>
        <w:t xml:space="preserve"> the issue to between Edwin</w:t>
      </w:r>
      <w:r w:rsidR="00361642" w:rsidRPr="00EC0229">
        <w:rPr>
          <w:rFonts w:cs="Times New Roman"/>
        </w:rPr>
        <w:t>’s</w:t>
      </w:r>
      <w:r w:rsidRPr="00EC0229">
        <w:rPr>
          <w:rFonts w:cs="Times New Roman"/>
        </w:rPr>
        <w:t xml:space="preserve"> conversion</w:t>
      </w:r>
      <w:r w:rsidR="001B035A" w:rsidRPr="00EC0229">
        <w:rPr>
          <w:rFonts w:cs="Times New Roman"/>
        </w:rPr>
        <w:t xml:space="preserve">, </w:t>
      </w:r>
      <w:r w:rsidR="002132F1">
        <w:rPr>
          <w:rFonts w:cs="Times New Roman"/>
          <w:i/>
        </w:rPr>
        <w:t>c.</w:t>
      </w:r>
      <w:r w:rsidR="001B035A" w:rsidRPr="00EC0229">
        <w:rPr>
          <w:rFonts w:cs="Times New Roman"/>
        </w:rPr>
        <w:t>627</w:t>
      </w:r>
      <w:r w:rsidR="00C23550" w:rsidRPr="00EC0229">
        <w:rPr>
          <w:rStyle w:val="FootnoteReference"/>
          <w:rFonts w:cs="Times New Roman"/>
        </w:rPr>
        <w:footnoteReference w:id="468"/>
      </w:r>
      <w:r w:rsidR="001B035A" w:rsidRPr="00EC0229">
        <w:rPr>
          <w:rFonts w:cs="Times New Roman"/>
        </w:rPr>
        <w:t xml:space="preserve"> and</w:t>
      </w:r>
      <w:r w:rsidR="00C76352" w:rsidRPr="00EC0229">
        <w:rPr>
          <w:rFonts w:cs="Times New Roman"/>
        </w:rPr>
        <w:t xml:space="preserve"> his death in </w:t>
      </w:r>
      <w:r w:rsidR="00E3333C" w:rsidRPr="00EC0229">
        <w:rPr>
          <w:rFonts w:cs="Times New Roman"/>
        </w:rPr>
        <w:t xml:space="preserve">battle in </w:t>
      </w:r>
      <w:r w:rsidR="00C76352" w:rsidRPr="00EC0229">
        <w:rPr>
          <w:rFonts w:cs="Times New Roman"/>
        </w:rPr>
        <w:t>633, and</w:t>
      </w:r>
      <w:r w:rsidR="001B035A" w:rsidRPr="00EC0229">
        <w:rPr>
          <w:rFonts w:cs="Times New Roman"/>
        </w:rPr>
        <w:t xml:space="preserve"> establishes a far earlier date for the York series than previously thought</w:t>
      </w:r>
      <w:r w:rsidR="00C76352" w:rsidRPr="00EC0229">
        <w:rPr>
          <w:rFonts w:cs="Times New Roman"/>
        </w:rPr>
        <w:t>.</w:t>
      </w:r>
      <w:r w:rsidR="001B035A" w:rsidRPr="00EC0229">
        <w:rPr>
          <w:rStyle w:val="FootnoteReference"/>
          <w:rFonts w:cs="Times New Roman"/>
        </w:rPr>
        <w:footnoteReference w:id="469"/>
      </w:r>
      <w:r w:rsidR="00C76352" w:rsidRPr="00EC0229">
        <w:rPr>
          <w:rFonts w:cs="Times New Roman"/>
        </w:rPr>
        <w:t xml:space="preserve"> It </w:t>
      </w:r>
      <w:r w:rsidR="007F7823" w:rsidRPr="00EC0229">
        <w:rPr>
          <w:rFonts w:cs="Times New Roman"/>
        </w:rPr>
        <w:t>places York at the forefront of English coinage, though, conceivably, Eadbald’s coinage could have commenced</w:t>
      </w:r>
      <w:r w:rsidR="00E3333C" w:rsidRPr="00EC0229">
        <w:rPr>
          <w:rFonts w:cs="Times New Roman"/>
        </w:rPr>
        <w:t>,</w:t>
      </w:r>
      <w:r w:rsidR="007F7823" w:rsidRPr="00EC0229">
        <w:rPr>
          <w:rFonts w:cs="Times New Roman"/>
        </w:rPr>
        <w:t xml:space="preserve"> with his conversion</w:t>
      </w:r>
      <w:r w:rsidR="00E3333C" w:rsidRPr="00EC0229">
        <w:rPr>
          <w:rFonts w:cs="Times New Roman"/>
        </w:rPr>
        <w:t>, as early as</w:t>
      </w:r>
      <w:r w:rsidR="007F7823" w:rsidRPr="00EC0229">
        <w:rPr>
          <w:rFonts w:cs="Times New Roman"/>
        </w:rPr>
        <w:t xml:space="preserve"> </w:t>
      </w:r>
      <w:r w:rsidR="002132F1">
        <w:rPr>
          <w:rFonts w:cs="Times New Roman"/>
          <w:i/>
        </w:rPr>
        <w:t>c.</w:t>
      </w:r>
      <w:r w:rsidR="007F7823" w:rsidRPr="00EC0229">
        <w:rPr>
          <w:rFonts w:cs="Times New Roman"/>
        </w:rPr>
        <w:t>617.</w:t>
      </w:r>
      <w:r w:rsidR="00C76352" w:rsidRPr="00EC0229">
        <w:rPr>
          <w:rStyle w:val="FootnoteReference"/>
          <w:rFonts w:cs="Times New Roman"/>
        </w:rPr>
        <w:footnoteReference w:id="470"/>
      </w:r>
    </w:p>
    <w:p w14:paraId="08F7FFBF" w14:textId="77777777" w:rsidR="006F7EB3" w:rsidRPr="00EC0229" w:rsidRDefault="006F7EB3" w:rsidP="007600EA">
      <w:pPr>
        <w:pStyle w:val="NoSpacing"/>
        <w:spacing w:line="360" w:lineRule="auto"/>
        <w:rPr>
          <w:rFonts w:cs="Times New Roman"/>
        </w:rPr>
      </w:pPr>
    </w:p>
    <w:p w14:paraId="7D05EAD7" w14:textId="13F76DE9" w:rsidR="00361642" w:rsidRPr="00EC0229" w:rsidRDefault="007C785D" w:rsidP="007600EA">
      <w:pPr>
        <w:pStyle w:val="NoSpacing"/>
        <w:spacing w:line="360" w:lineRule="auto"/>
        <w:rPr>
          <w:rFonts w:cs="Times New Roman"/>
        </w:rPr>
      </w:pPr>
      <w:r w:rsidRPr="00EC0229">
        <w:rPr>
          <w:rFonts w:cs="Times New Roman"/>
        </w:rPr>
        <w:t>The sequence of varieties of the York</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rPr>
        <w:fldChar w:fldCharType="end"/>
      </w:r>
      <w:r w:rsidRPr="00EC0229">
        <w:rPr>
          <w:rFonts w:cs="Times New Roman"/>
        </w:rPr>
        <w:t xml:space="preserve"> shilling distinguish</w:t>
      </w:r>
      <w:r w:rsidR="00C23550" w:rsidRPr="00EC0229">
        <w:rPr>
          <w:rFonts w:cs="Times New Roman"/>
        </w:rPr>
        <w:t>es</w:t>
      </w:r>
      <w:r w:rsidR="00F12C7F" w:rsidRPr="00EC0229">
        <w:rPr>
          <w:rFonts w:cs="Times New Roman"/>
        </w:rPr>
        <w:t xml:space="preserve"> it from </w:t>
      </w:r>
      <w:r w:rsidRPr="00EC0229">
        <w:rPr>
          <w:rFonts w:cs="Times New Roman"/>
        </w:rPr>
        <w:t>other seventh-century gold</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rPr>
        <w:fldChar w:fldCharType="end"/>
      </w:r>
      <w:r w:rsidRPr="00EC0229">
        <w:rPr>
          <w:rFonts w:cs="Times New Roman"/>
        </w:rPr>
        <w:t xml:space="preserve"> shillings. The distinction lies in the purposeful regulation of production evident in the York </w:t>
      </w:r>
      <w:r w:rsidRPr="00EC0229">
        <w:rPr>
          <w:rFonts w:cs="Times New Roman"/>
        </w:rPr>
        <w:lastRenderedPageBreak/>
        <w:t xml:space="preserve">group. Other gold shillings are occasional, possibly commemorative special issues; all the Crondall types are rare and show little continuity until the transitional phase of pale gold shillings, where the anonymous ‘two-emperors’ type and the named-moneyer emissions of Pada and Vanimundus are better organised. The York group have every appearance of successive productions over </w:t>
      </w:r>
      <w:r w:rsidR="00F83764" w:rsidRPr="00EC0229">
        <w:rPr>
          <w:rFonts w:cs="Times New Roman"/>
        </w:rPr>
        <w:t xml:space="preserve">at </w:t>
      </w:r>
      <w:r w:rsidR="00E3333C" w:rsidRPr="00EC0229">
        <w:rPr>
          <w:rFonts w:cs="Times New Roman"/>
        </w:rPr>
        <w:t xml:space="preserve">very </w:t>
      </w:r>
      <w:r w:rsidR="00F83764" w:rsidRPr="00EC0229">
        <w:rPr>
          <w:rFonts w:cs="Times New Roman"/>
        </w:rPr>
        <w:t>least the last six years of Edwin’s reign</w:t>
      </w:r>
      <w:r w:rsidR="00F66CEB" w:rsidRPr="00EC0229">
        <w:rPr>
          <w:rFonts w:cs="Times New Roman"/>
        </w:rPr>
        <w:fldChar w:fldCharType="begin"/>
      </w:r>
      <w:r w:rsidR="00F66CEB" w:rsidRPr="00EC0229">
        <w:instrText xml:space="preserve"> XE "</w:instrText>
      </w:r>
      <w:r w:rsidR="00F66CEB" w:rsidRPr="00EC0229">
        <w:rPr>
          <w:rFonts w:cs="Times New Roman"/>
          <w:color w:val="000000" w:themeColor="text1"/>
          <w:szCs w:val="24"/>
        </w:rPr>
        <w:instrText>Edwin</w:instrText>
      </w:r>
      <w:r w:rsidR="00F66CEB" w:rsidRPr="00EC0229">
        <w:instrText xml:space="preserve">" </w:instrText>
      </w:r>
      <w:r w:rsidR="00F66CEB" w:rsidRPr="00EC0229">
        <w:rPr>
          <w:rFonts w:cs="Times New Roman"/>
        </w:rPr>
        <w:fldChar w:fldCharType="end"/>
      </w:r>
      <w:r w:rsidR="00361642" w:rsidRPr="00EC0229">
        <w:rPr>
          <w:rFonts w:cs="Times New Roman"/>
        </w:rPr>
        <w:t>.</w:t>
      </w:r>
      <w:r w:rsidRPr="00EC0229">
        <w:rPr>
          <w:rFonts w:cs="Times New Roman"/>
        </w:rPr>
        <w:t xml:space="preserve"> This has significance for the distinct, phased </w:t>
      </w:r>
      <w:r w:rsidR="003F2041" w:rsidRPr="00EC0229">
        <w:rPr>
          <w:rFonts w:cs="Times New Roman"/>
        </w:rPr>
        <w:t>monetiz</w:t>
      </w:r>
      <w:r w:rsidRPr="00EC0229">
        <w:rPr>
          <w:rFonts w:cs="Times New Roman"/>
        </w:rPr>
        <w:t>ation</w:t>
      </w:r>
      <w:r w:rsidR="008960AE" w:rsidRPr="00EC0229">
        <w:rPr>
          <w:rFonts w:cs="Times New Roman"/>
        </w:rPr>
        <w:fldChar w:fldCharType="begin"/>
      </w:r>
      <w:r w:rsidR="008960AE" w:rsidRPr="00EC0229">
        <w:instrText xml:space="preserve"> XE "monetization" </w:instrText>
      </w:r>
      <w:r w:rsidR="008960AE" w:rsidRPr="00EC0229">
        <w:rPr>
          <w:rFonts w:cs="Times New Roman"/>
        </w:rPr>
        <w:fldChar w:fldCharType="end"/>
      </w:r>
      <w:r w:rsidRPr="00EC0229">
        <w:rPr>
          <w:rFonts w:cs="Times New Roman"/>
        </w:rPr>
        <w:t xml:space="preserve"> of Northumbria</w:t>
      </w:r>
      <w:r w:rsidR="00584C42" w:rsidRPr="00EC0229">
        <w:rPr>
          <w:rFonts w:cs="Times New Roman"/>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rPr>
        <w:fldChar w:fldCharType="end"/>
      </w:r>
      <w:r w:rsidRPr="00EC0229">
        <w:rPr>
          <w:rFonts w:cs="Times New Roman"/>
        </w:rPr>
        <w:t xml:space="preserve">. </w:t>
      </w:r>
      <w:r w:rsidR="00F12C7F" w:rsidRPr="00EC0229">
        <w:rPr>
          <w:rFonts w:cs="Times New Roman"/>
        </w:rPr>
        <w:t>Again, the variety of Eadbald’s reverse inscriptions may show similar intent, but these remain largely undeciphered.</w:t>
      </w:r>
    </w:p>
    <w:p w14:paraId="249D9884" w14:textId="77777777" w:rsidR="00361642" w:rsidRPr="00EC0229" w:rsidRDefault="00361642" w:rsidP="007600EA">
      <w:pPr>
        <w:pStyle w:val="NoSpacing"/>
        <w:spacing w:line="360" w:lineRule="auto"/>
        <w:rPr>
          <w:rFonts w:cs="Times New Roman"/>
        </w:rPr>
      </w:pPr>
    </w:p>
    <w:p w14:paraId="075182FE" w14:textId="0CBD1F6C" w:rsidR="007C785D" w:rsidRPr="00EC0229" w:rsidRDefault="009F2DE4" w:rsidP="007600EA">
      <w:pPr>
        <w:pStyle w:val="NoSpacing"/>
        <w:spacing w:line="360" w:lineRule="auto"/>
        <w:rPr>
          <w:rFonts w:cs="Times New Roman"/>
        </w:rPr>
      </w:pPr>
      <w:r w:rsidRPr="00EC0229">
        <w:rPr>
          <w:rFonts w:cs="Times New Roman"/>
          <w:i/>
        </w:rPr>
        <w:t>Table</w:t>
      </w:r>
      <w:r w:rsidR="00F12C7F" w:rsidRPr="00EC0229">
        <w:rPr>
          <w:rFonts w:cs="Times New Roman"/>
          <w:i/>
        </w:rPr>
        <w:t xml:space="preserve"> </w:t>
      </w:r>
      <w:r w:rsidR="00746B7C" w:rsidRPr="00EC0229">
        <w:rPr>
          <w:rFonts w:cs="Times New Roman"/>
          <w:i/>
        </w:rPr>
        <w:t>5.10</w:t>
      </w:r>
      <w:r w:rsidR="00F12C7F" w:rsidRPr="00EC0229">
        <w:rPr>
          <w:rFonts w:cs="Times New Roman"/>
        </w:rPr>
        <w:t xml:space="preserve"> </w:t>
      </w:r>
      <w:r w:rsidRPr="00EC0229">
        <w:rPr>
          <w:rFonts w:cs="Times New Roman"/>
        </w:rPr>
        <w:t xml:space="preserve">may give some indication of </w:t>
      </w:r>
      <w:r w:rsidR="00FE682D" w:rsidRPr="00EC0229">
        <w:rPr>
          <w:rFonts w:cs="Times New Roman"/>
        </w:rPr>
        <w:t>the mix of</w:t>
      </w:r>
      <w:r w:rsidR="00361642" w:rsidRPr="00EC0229">
        <w:rPr>
          <w:rFonts w:cs="Times New Roman"/>
        </w:rPr>
        <w:t xml:space="preserve"> </w:t>
      </w:r>
      <w:r w:rsidR="00FE682D" w:rsidRPr="00EC0229">
        <w:rPr>
          <w:rFonts w:cs="Times New Roman"/>
        </w:rPr>
        <w:t xml:space="preserve">(élite) currency and </w:t>
      </w:r>
      <w:r w:rsidR="00361642" w:rsidRPr="00EC0229">
        <w:rPr>
          <w:rFonts w:cs="Times New Roman"/>
        </w:rPr>
        <w:t xml:space="preserve">commemorative </w:t>
      </w:r>
      <w:r w:rsidR="00FE682D" w:rsidRPr="00EC0229">
        <w:rPr>
          <w:rFonts w:cs="Times New Roman"/>
        </w:rPr>
        <w:t>functions, that is, t</w:t>
      </w:r>
      <w:r w:rsidRPr="00EC0229">
        <w:rPr>
          <w:rFonts w:cs="Times New Roman"/>
        </w:rPr>
        <w:t>he more common sub-varieties Ci and Ciii are at the lower end of both the weight and gold content ranges and all the other sub-varieties are extremely rare</w:t>
      </w:r>
      <w:r w:rsidR="00F12C7F" w:rsidRPr="00EC0229">
        <w:rPr>
          <w:rFonts w:cs="Times New Roman"/>
        </w:rPr>
        <w:t>.</w:t>
      </w:r>
      <w:r w:rsidRPr="00EC0229">
        <w:rPr>
          <w:rFonts w:cs="Times New Roman"/>
        </w:rPr>
        <w:t xml:space="preserve"> The die usage</w:t>
      </w:r>
      <w:r w:rsidR="00F12C7F" w:rsidRPr="00EC0229">
        <w:rPr>
          <w:rFonts w:cs="Times New Roman"/>
        </w:rPr>
        <w:t xml:space="preserve">, </w:t>
      </w:r>
      <w:r w:rsidR="00817A09" w:rsidRPr="00EC0229">
        <w:rPr>
          <w:rFonts w:cs="Times New Roman"/>
          <w:i/>
        </w:rPr>
        <w:t>T</w:t>
      </w:r>
      <w:r w:rsidR="00F12C7F" w:rsidRPr="00EC0229">
        <w:rPr>
          <w:rFonts w:cs="Times New Roman"/>
          <w:i/>
        </w:rPr>
        <w:t xml:space="preserve">able </w:t>
      </w:r>
      <w:r w:rsidR="00817A09" w:rsidRPr="00EC0229">
        <w:rPr>
          <w:rFonts w:cs="Times New Roman"/>
          <w:i/>
        </w:rPr>
        <w:t>5.11</w:t>
      </w:r>
      <w:r w:rsidR="00F5533B" w:rsidRPr="00EC0229">
        <w:rPr>
          <w:rFonts w:cs="Times New Roman"/>
        </w:rPr>
        <w:t>, is</w:t>
      </w:r>
      <w:r w:rsidRPr="00EC0229">
        <w:rPr>
          <w:rFonts w:cs="Times New Roman"/>
        </w:rPr>
        <w:t xml:space="preserve"> also atypical. While the London and Eadbald shillings have</w:t>
      </w:r>
      <w:r w:rsidR="00F5533B" w:rsidRPr="00EC0229">
        <w:rPr>
          <w:rFonts w:cs="Times New Roman"/>
        </w:rPr>
        <w:t>,</w:t>
      </w:r>
      <w:r w:rsidRPr="00EC0229">
        <w:rPr>
          <w:rFonts w:cs="Times New Roman"/>
        </w:rPr>
        <w:t xml:space="preserve"> what may </w:t>
      </w:r>
      <w:r w:rsidR="00F5533B" w:rsidRPr="00EC0229">
        <w:rPr>
          <w:rFonts w:cs="Times New Roman"/>
        </w:rPr>
        <w:t xml:space="preserve">be </w:t>
      </w:r>
      <w:r w:rsidRPr="00EC0229">
        <w:rPr>
          <w:rFonts w:cs="Times New Roman"/>
        </w:rPr>
        <w:t>mistaken</w:t>
      </w:r>
      <w:r w:rsidR="00F5533B" w:rsidRPr="00EC0229">
        <w:rPr>
          <w:rFonts w:cs="Times New Roman"/>
        </w:rPr>
        <w:t xml:space="preserve"> for,</w:t>
      </w:r>
      <w:r w:rsidR="00F12C7F" w:rsidRPr="00EC0229">
        <w:rPr>
          <w:rFonts w:cs="Times New Roman"/>
        </w:rPr>
        <w:t xml:space="preserve"> a conventional obverse</w:t>
      </w:r>
      <w:r w:rsidR="004836F2" w:rsidRPr="00EC0229">
        <w:rPr>
          <w:rFonts w:cs="Times New Roman"/>
        </w:rPr>
        <w:t xml:space="preserve"> to </w:t>
      </w:r>
      <w:r w:rsidRPr="00EC0229">
        <w:rPr>
          <w:rFonts w:cs="Times New Roman"/>
        </w:rPr>
        <w:t>reverse die ratio of 1:3,</w:t>
      </w:r>
      <w:r w:rsidRPr="00EC0229">
        <w:rPr>
          <w:rStyle w:val="FootnoteReference"/>
          <w:rFonts w:cs="Times New Roman"/>
        </w:rPr>
        <w:footnoteReference w:id="471"/>
      </w:r>
      <w:r w:rsidRPr="00EC0229">
        <w:rPr>
          <w:rFonts w:cs="Times New Roman"/>
        </w:rPr>
        <w:t xml:space="preserve"> York is 1:1, with eight dies of each side. This is </w:t>
      </w:r>
      <w:r w:rsidR="00F30EC8" w:rsidRPr="00EC0229">
        <w:rPr>
          <w:rFonts w:cs="Times New Roman"/>
        </w:rPr>
        <w:t xml:space="preserve">again </w:t>
      </w:r>
      <w:r w:rsidRPr="00EC0229">
        <w:rPr>
          <w:rFonts w:cs="Times New Roman"/>
        </w:rPr>
        <w:t>suggestive of production for commemorative purposes. Admittedly, the corpus is small to distinguish between commemorative and currency purposes.</w:t>
      </w:r>
    </w:p>
    <w:p w14:paraId="5D1AF3C8" w14:textId="77777777" w:rsidR="007C785D" w:rsidRPr="00EC0229" w:rsidRDefault="007C785D" w:rsidP="007600EA">
      <w:pPr>
        <w:pStyle w:val="NoSpacing"/>
        <w:spacing w:line="360" w:lineRule="auto"/>
      </w:pPr>
    </w:p>
    <w:p w14:paraId="6E07319F" w14:textId="3B8BFF3C" w:rsidR="007C785D" w:rsidRPr="00EC0229" w:rsidRDefault="007C785D" w:rsidP="007600EA">
      <w:pPr>
        <w:pStyle w:val="NoSpacing"/>
        <w:spacing w:line="360" w:lineRule="auto"/>
        <w:rPr>
          <w:rFonts w:cs="Times New Roman"/>
        </w:rPr>
      </w:pPr>
      <w:r w:rsidRPr="00EC0229">
        <w:rPr>
          <w:rFonts w:cs="Times New Roman"/>
        </w:rPr>
        <w:t>The concentration around a locus of York</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rPr>
        <w:fldChar w:fldCharType="end"/>
      </w:r>
      <w:r w:rsidRPr="00EC0229">
        <w:rPr>
          <w:rFonts w:cs="Times New Roman"/>
        </w:rPr>
        <w:t xml:space="preserve"> is clear with the outliers, of Bawtry and </w:t>
      </w:r>
      <w:r w:rsidRPr="00EC0229">
        <w:rPr>
          <w:rFonts w:cs="Times New Roman"/>
          <w:szCs w:val="24"/>
        </w:rPr>
        <w:t xml:space="preserve">Burton-by-Lincoln, being within the </w:t>
      </w:r>
      <w:r w:rsidRPr="00EC0229">
        <w:rPr>
          <w:rFonts w:cs="Times New Roman"/>
        </w:rPr>
        <w:t>sphere of influence</w:t>
      </w:r>
      <w:r w:rsidR="00F30EC8" w:rsidRPr="00EC0229">
        <w:rPr>
          <w:rFonts w:cs="Times New Roman"/>
        </w:rPr>
        <w:t xml:space="preserve"> – certainly of Paulinus if not Northumbria</w:t>
      </w:r>
      <w:r w:rsidRPr="00EC0229">
        <w:rPr>
          <w:rFonts w:cs="Times New Roman"/>
        </w:rPr>
        <w:t xml:space="preserve">. Only the Soest find hints at wider Northumbrian influence and involvement. </w:t>
      </w:r>
      <w:r w:rsidR="006F7EB3" w:rsidRPr="00EC0229">
        <w:rPr>
          <w:rFonts w:cs="Times New Roman"/>
          <w:i/>
        </w:rPr>
        <w:t>Map</w:t>
      </w:r>
      <w:r w:rsidR="004048E5" w:rsidRPr="00EC0229">
        <w:rPr>
          <w:rFonts w:cs="Times New Roman"/>
          <w:i/>
        </w:rPr>
        <w:t xml:space="preserve"> 5.01</w:t>
      </w:r>
      <w:r w:rsidR="006F7EB3" w:rsidRPr="00EC0229">
        <w:rPr>
          <w:rFonts w:cs="Times New Roman"/>
        </w:rPr>
        <w:t xml:space="preserve"> shows that the uninscribed York shillings are clustered around York in a </w:t>
      </w:r>
      <w:r w:rsidR="00F30EC8" w:rsidRPr="00EC0229">
        <w:rPr>
          <w:rFonts w:cs="Times New Roman"/>
        </w:rPr>
        <w:t>flat oval with a major axis of 2</w:t>
      </w:r>
      <w:r w:rsidR="006F7EB3" w:rsidRPr="00EC0229">
        <w:rPr>
          <w:rFonts w:cs="Times New Roman"/>
        </w:rPr>
        <w:t xml:space="preserve">5 miles. Including the inscribed shillings of varieties B and the related Ci, expands the oval north to Thirsk, but significantly, variety Ciii is more widely broadcast, presumably marking Paulinus’s </w:t>
      </w:r>
      <w:r w:rsidR="00F83764" w:rsidRPr="00EC0229">
        <w:rPr>
          <w:rFonts w:cs="Times New Roman"/>
        </w:rPr>
        <w:t xml:space="preserve">wide-ranging </w:t>
      </w:r>
      <w:r w:rsidR="006F7EB3" w:rsidRPr="00EC0229">
        <w:rPr>
          <w:rFonts w:cs="Times New Roman"/>
        </w:rPr>
        <w:t>mass baptismal activity</w:t>
      </w:r>
      <w:r w:rsidR="00F83764" w:rsidRPr="00EC0229">
        <w:rPr>
          <w:rFonts w:cs="Times New Roman"/>
        </w:rPr>
        <w:t xml:space="preserve">, from Yeavering to Lincoln, </w:t>
      </w:r>
      <w:r w:rsidR="00103E96" w:rsidRPr="00EC0229">
        <w:rPr>
          <w:rFonts w:cs="Times New Roman"/>
        </w:rPr>
        <w:t xml:space="preserve">and </w:t>
      </w:r>
      <w:r w:rsidR="00F83764" w:rsidRPr="00EC0229">
        <w:rPr>
          <w:rFonts w:cs="Times New Roman"/>
        </w:rPr>
        <w:t>possibly delineating the sphere of Edwin’s protection</w:t>
      </w:r>
      <w:r w:rsidR="006F7EB3" w:rsidRPr="00EC0229">
        <w:rPr>
          <w:rFonts w:cs="Times New Roman"/>
        </w:rPr>
        <w:t xml:space="preserve">.  </w:t>
      </w:r>
      <w:r w:rsidRPr="00EC0229">
        <w:rPr>
          <w:rFonts w:cs="Times New Roman"/>
        </w:rPr>
        <w:t xml:space="preserve">Though a significant proportion </w:t>
      </w:r>
      <w:r w:rsidR="00F83408" w:rsidRPr="00EC0229">
        <w:rPr>
          <w:rFonts w:cs="Times New Roman"/>
        </w:rPr>
        <w:t>(</w:t>
      </w:r>
      <w:r w:rsidR="002132F1">
        <w:rPr>
          <w:rFonts w:cs="Times New Roman"/>
          <w:i/>
        </w:rPr>
        <w:t>c.</w:t>
      </w:r>
      <w:r w:rsidR="00F83408" w:rsidRPr="00EC0229">
        <w:rPr>
          <w:rFonts w:cs="Times New Roman"/>
        </w:rPr>
        <w:t xml:space="preserve">60±5%) </w:t>
      </w:r>
      <w:r w:rsidRPr="00EC0229">
        <w:rPr>
          <w:rFonts w:cs="Times New Roman"/>
        </w:rPr>
        <w:t>of the gold</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rPr>
        <w:fldChar w:fldCharType="end"/>
      </w:r>
      <w:r w:rsidRPr="00EC0229">
        <w:rPr>
          <w:rFonts w:cs="Times New Roman"/>
        </w:rPr>
        <w:t xml:space="preserve"> coinage current in England, is imported</w:t>
      </w:r>
      <w:r w:rsidR="00590E5A" w:rsidRPr="00EC0229">
        <w:rPr>
          <w:rFonts w:cs="Times New Roman"/>
        </w:rPr>
        <w:t xml:space="preserve">, </w:t>
      </w:r>
      <w:r w:rsidR="00817A09" w:rsidRPr="00EC0229">
        <w:rPr>
          <w:rFonts w:cs="Times New Roman"/>
        </w:rPr>
        <w:t>T</w:t>
      </w:r>
      <w:r w:rsidR="00590E5A" w:rsidRPr="00EC0229">
        <w:rPr>
          <w:rFonts w:cs="Times New Roman"/>
        </w:rPr>
        <w:t>able</w:t>
      </w:r>
      <w:r w:rsidR="00817A09" w:rsidRPr="00EC0229">
        <w:rPr>
          <w:rFonts w:cs="Times New Roman"/>
        </w:rPr>
        <w:t xml:space="preserve"> </w:t>
      </w:r>
      <w:r w:rsidR="00817A09" w:rsidRPr="00EC0229">
        <w:rPr>
          <w:rFonts w:cs="Times New Roman"/>
          <w:i/>
        </w:rPr>
        <w:t>5</w:t>
      </w:r>
      <w:r w:rsidR="00590E5A" w:rsidRPr="00EC0229">
        <w:rPr>
          <w:rFonts w:cs="Times New Roman"/>
          <w:i/>
        </w:rPr>
        <w:t>.</w:t>
      </w:r>
      <w:r w:rsidR="00817A09" w:rsidRPr="00EC0229">
        <w:rPr>
          <w:rFonts w:cs="Times New Roman"/>
          <w:i/>
        </w:rPr>
        <w:t>1</w:t>
      </w:r>
      <w:r w:rsidR="00590E5A" w:rsidRPr="00EC0229">
        <w:rPr>
          <w:rFonts w:cs="Times New Roman"/>
          <w:i/>
        </w:rPr>
        <w:t>2</w:t>
      </w:r>
      <w:r w:rsidRPr="00EC0229">
        <w:rPr>
          <w:rFonts w:cs="Times New Roman"/>
        </w:rPr>
        <w:t>, it is difficult to assess the degree of local control over the gold coinage from such small numbers. Only the Middleham</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Middleham</w:instrText>
      </w:r>
      <w:r w:rsidR="006B1593" w:rsidRPr="00EC0229">
        <w:instrText xml:space="preserve">" </w:instrText>
      </w:r>
      <w:r w:rsidR="006B1593" w:rsidRPr="00EC0229">
        <w:rPr>
          <w:rFonts w:cs="Times New Roman"/>
        </w:rPr>
        <w:fldChar w:fldCharType="end"/>
      </w:r>
      <w:r w:rsidRPr="00EC0229">
        <w:rPr>
          <w:rFonts w:cs="Times New Roman"/>
        </w:rPr>
        <w:t xml:space="preserve"> find is accompanied by other artefacts.</w:t>
      </w:r>
    </w:p>
    <w:p w14:paraId="2507852B" w14:textId="77777777" w:rsidR="007C785D" w:rsidRPr="00EC0229" w:rsidRDefault="007C785D" w:rsidP="007600EA">
      <w:pPr>
        <w:pStyle w:val="NoSpacing"/>
        <w:spacing w:line="360" w:lineRule="auto"/>
      </w:pPr>
    </w:p>
    <w:p w14:paraId="2C8C8562" w14:textId="746D0146" w:rsidR="007C785D" w:rsidRPr="00EC0229" w:rsidRDefault="00966AD5" w:rsidP="007600EA">
      <w:pPr>
        <w:pStyle w:val="NoSpacing"/>
        <w:spacing w:line="360" w:lineRule="auto"/>
        <w:rPr>
          <w:rFonts w:cs="Times New Roman"/>
        </w:rPr>
      </w:pPr>
      <w:r w:rsidRPr="00EC0229">
        <w:rPr>
          <w:rFonts w:cs="Times New Roman"/>
        </w:rPr>
        <w:lastRenderedPageBreak/>
        <w:t>Gannon</w:t>
      </w:r>
      <w:r w:rsidR="007C785D" w:rsidRPr="00EC0229">
        <w:rPr>
          <w:rFonts w:cs="Times New Roman"/>
        </w:rPr>
        <w:t xml:space="preserve"> suggested that the crosses either side of the standing figure are apotropaic.</w:t>
      </w:r>
      <w:r w:rsidRPr="00EC0229">
        <w:rPr>
          <w:rStyle w:val="FootnoteReference"/>
          <w:rFonts w:cs="Times New Roman"/>
        </w:rPr>
        <w:footnoteReference w:id="472"/>
      </w:r>
      <w:r w:rsidR="007C785D" w:rsidRPr="00EC0229">
        <w:rPr>
          <w:rFonts w:cs="Times New Roman"/>
        </w:rPr>
        <w:t xml:space="preserve"> Similar ‘standard bearers’ are not uncommon in the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007C785D" w:rsidRPr="00EC0229">
        <w:rPr>
          <w:rFonts w:cs="Times New Roman"/>
        </w:rPr>
        <w:t xml:space="preserve"> iconography</w:t>
      </w:r>
      <w:r w:rsidR="004C29A9" w:rsidRPr="00EC0229">
        <w:rPr>
          <w:rFonts w:cs="Times New Roman"/>
        </w:rPr>
        <w:fldChar w:fldCharType="begin"/>
      </w:r>
      <w:r w:rsidR="004C29A9" w:rsidRPr="00EC0229">
        <w:instrText xml:space="preserve"> XE "iconography" </w:instrText>
      </w:r>
      <w:r w:rsidR="004C29A9" w:rsidRPr="00EC0229">
        <w:rPr>
          <w:rFonts w:cs="Times New Roman"/>
        </w:rPr>
        <w:fldChar w:fldCharType="end"/>
      </w:r>
      <w:r w:rsidR="007C785D" w:rsidRPr="00EC0229">
        <w:rPr>
          <w:rFonts w:cs="Times New Roman"/>
        </w:rPr>
        <w:t>.</w:t>
      </w:r>
      <w:r w:rsidR="007C785D" w:rsidRPr="00EC0229">
        <w:rPr>
          <w:rStyle w:val="FootnoteReference"/>
          <w:rFonts w:cs="Times New Roman"/>
        </w:rPr>
        <w:footnoteReference w:id="473"/>
      </w:r>
      <w:r w:rsidR="007C785D" w:rsidRPr="00EC0229">
        <w:rPr>
          <w:rFonts w:cs="Times New Roman"/>
        </w:rPr>
        <w:t xml:space="preserve"> She compared the face on the obverse to that on the haunch of the Sutton Hoo bird mount, though other comparanda are available.</w:t>
      </w:r>
      <w:r w:rsidR="006E335E" w:rsidRPr="00EC0229">
        <w:rPr>
          <w:rStyle w:val="FootnoteReference"/>
          <w:rFonts w:cs="Times New Roman"/>
        </w:rPr>
        <w:footnoteReference w:id="474"/>
      </w:r>
    </w:p>
    <w:p w14:paraId="25E5D460" w14:textId="77777777" w:rsidR="007C785D" w:rsidRPr="00EC0229" w:rsidRDefault="007C785D" w:rsidP="007600EA">
      <w:pPr>
        <w:pStyle w:val="NoSpacing"/>
        <w:spacing w:line="360" w:lineRule="auto"/>
        <w:rPr>
          <w:rFonts w:cs="Times New Roman"/>
          <w:noProof/>
          <w:lang w:eastAsia="en-GB"/>
        </w:rPr>
      </w:pPr>
      <w:r w:rsidRPr="00EC0229">
        <w:rPr>
          <w:rFonts w:cs="Times New Roman"/>
          <w:noProof/>
          <w:lang w:eastAsia="en-GB"/>
        </w:rPr>
        <w:t xml:space="preserve">     </w:t>
      </w:r>
      <w:r w:rsidRPr="00EC0229">
        <w:rPr>
          <w:rFonts w:cs="Times New Roman"/>
          <w:noProof/>
          <w:lang w:eastAsia="en-GB"/>
        </w:rPr>
        <w:drawing>
          <wp:inline distT="0" distB="0" distL="0" distR="0" wp14:anchorId="3C9DC9C6" wp14:editId="0C527292">
            <wp:extent cx="1024802" cy="160020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leham church - door.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33603" cy="1613942"/>
                    </a:xfrm>
                    <a:prstGeom prst="rect">
                      <a:avLst/>
                    </a:prstGeom>
                  </pic:spPr>
                </pic:pic>
              </a:graphicData>
            </a:graphic>
          </wp:inline>
        </w:drawing>
      </w:r>
      <w:r w:rsidRPr="00EC0229">
        <w:rPr>
          <w:rFonts w:cs="Times New Roman"/>
          <w:noProof/>
          <w:lang w:eastAsia="en-GB"/>
        </w:rPr>
        <w:t xml:space="preserve">               </w:t>
      </w:r>
      <w:r w:rsidRPr="00EC0229">
        <w:rPr>
          <w:rFonts w:cs="Times New Roman"/>
          <w:noProof/>
          <w:lang w:eastAsia="en-GB"/>
        </w:rPr>
        <w:tab/>
      </w:r>
      <w:r w:rsidRPr="00EC0229">
        <w:rPr>
          <w:rFonts w:cs="Times New Roman"/>
          <w:noProof/>
          <w:lang w:eastAsia="en-GB"/>
        </w:rPr>
        <w:drawing>
          <wp:inline distT="0" distB="0" distL="0" distR="0" wp14:anchorId="52020302" wp14:editId="323A57DE">
            <wp:extent cx="1539240" cy="1503258"/>
            <wp:effectExtent l="0" t="0" r="381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rk 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39156" cy="1503176"/>
                    </a:xfrm>
                    <a:prstGeom prst="rect">
                      <a:avLst/>
                    </a:prstGeom>
                  </pic:spPr>
                </pic:pic>
              </a:graphicData>
            </a:graphic>
          </wp:inline>
        </w:drawing>
      </w:r>
      <w:r w:rsidRPr="00EC0229">
        <w:rPr>
          <w:rFonts w:cs="Times New Roman"/>
          <w:noProof/>
          <w:lang w:eastAsia="en-GB"/>
        </w:rPr>
        <w:t xml:space="preserve"> </w:t>
      </w:r>
      <w:r w:rsidRPr="00EC0229">
        <w:rPr>
          <w:rFonts w:cs="Times New Roman"/>
          <w:noProof/>
          <w:lang w:eastAsia="en-GB"/>
        </w:rPr>
        <w:tab/>
        <w:t xml:space="preserve">      </w:t>
      </w:r>
      <w:r w:rsidRPr="00EC0229">
        <w:rPr>
          <w:rFonts w:cs="Times New Roman"/>
          <w:noProof/>
          <w:lang w:eastAsia="en-GB"/>
        </w:rPr>
        <w:tab/>
      </w:r>
      <w:r w:rsidRPr="00EC0229">
        <w:rPr>
          <w:rFonts w:cs="Times New Roman"/>
          <w:noProof/>
          <w:lang w:eastAsia="en-GB"/>
        </w:rPr>
        <w:drawing>
          <wp:inline distT="0" distB="0" distL="0" distR="0" wp14:anchorId="0349A7F5" wp14:editId="3BBD2058">
            <wp:extent cx="1395903" cy="155129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ork Minster - standing figur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03520" cy="1559756"/>
                    </a:xfrm>
                    <a:prstGeom prst="rect">
                      <a:avLst/>
                    </a:prstGeom>
                  </pic:spPr>
                </pic:pic>
              </a:graphicData>
            </a:graphic>
          </wp:inline>
        </w:drawing>
      </w:r>
    </w:p>
    <w:p w14:paraId="6102CAA7" w14:textId="77777777" w:rsidR="002747D0" w:rsidRPr="00EC0229" w:rsidRDefault="00CD27A3" w:rsidP="007600EA">
      <w:pPr>
        <w:pStyle w:val="NoSpacing"/>
        <w:spacing w:line="360" w:lineRule="auto"/>
        <w:ind w:left="2880" w:firstLine="720"/>
      </w:pPr>
      <w:r w:rsidRPr="00EC0229">
        <w:rPr>
          <w:rFonts w:cs="Times New Roman"/>
          <w:noProof/>
          <w:sz w:val="20"/>
          <w:szCs w:val="20"/>
          <w:lang w:eastAsia="en-GB"/>
        </w:rPr>
        <w:t xml:space="preserve">     </w:t>
      </w:r>
    </w:p>
    <w:p w14:paraId="432563A0" w14:textId="7D6F5474" w:rsidR="002747D0" w:rsidRPr="00EC0229" w:rsidRDefault="002747D0" w:rsidP="007600EA">
      <w:pPr>
        <w:pStyle w:val="NoSpacing"/>
        <w:spacing w:line="360" w:lineRule="auto"/>
        <w:jc w:val="center"/>
        <w:rPr>
          <w:sz w:val="20"/>
          <w:szCs w:val="20"/>
        </w:rPr>
      </w:pPr>
      <w:bookmarkStart w:id="231" w:name="_Ref430246001"/>
      <w:bookmarkStart w:id="232" w:name="_Toc46826698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w:t>
      </w:r>
      <w:r w:rsidRPr="00EC0229">
        <w:rPr>
          <w:sz w:val="20"/>
          <w:szCs w:val="20"/>
        </w:rPr>
        <w:fldChar w:fldCharType="end"/>
      </w:r>
      <w:bookmarkEnd w:id="231"/>
      <w:r w:rsidRPr="00EC0229">
        <w:rPr>
          <w:sz w:val="20"/>
          <w:szCs w:val="20"/>
        </w:rPr>
        <w:t>:</w:t>
      </w:r>
      <w:r w:rsidRPr="00EC0229">
        <w:rPr>
          <w:rFonts w:cs="Times New Roman"/>
          <w:color w:val="000000" w:themeColor="text1"/>
          <w:sz w:val="20"/>
          <w:szCs w:val="20"/>
        </w:rPr>
        <w:t xml:space="preserve"> York</w:t>
      </w:r>
      <w:r w:rsidRPr="00EC0229">
        <w:rPr>
          <w:rFonts w:cs="Times New Roman"/>
          <w:color w:val="000000" w:themeColor="text1"/>
          <w:sz w:val="20"/>
          <w:szCs w:val="20"/>
        </w:rPr>
        <w:fldChar w:fldCharType="begin"/>
      </w:r>
      <w:r w:rsidRPr="00EC0229">
        <w:rPr>
          <w:sz w:val="20"/>
          <w:szCs w:val="20"/>
        </w:rPr>
        <w:instrText xml:space="preserve"> XE "</w:instrText>
      </w:r>
      <w:r w:rsidRPr="00EC0229">
        <w:rPr>
          <w:rStyle w:val="Hyperlink"/>
          <w:noProof/>
          <w:sz w:val="20"/>
          <w:szCs w:val="20"/>
          <w:u w:val="none"/>
        </w:rPr>
        <w:instrText>York</w:instrText>
      </w:r>
      <w:r w:rsidRPr="00EC0229">
        <w:rPr>
          <w:sz w:val="20"/>
          <w:szCs w:val="20"/>
        </w:rPr>
        <w:instrText xml:space="preserve">" </w:instrText>
      </w:r>
      <w:r w:rsidRPr="00EC0229">
        <w:rPr>
          <w:rFonts w:cs="Times New Roman"/>
          <w:color w:val="000000" w:themeColor="text1"/>
          <w:sz w:val="20"/>
          <w:szCs w:val="20"/>
        </w:rPr>
        <w:fldChar w:fldCharType="end"/>
      </w:r>
      <w:r w:rsidRPr="00EC0229">
        <w:rPr>
          <w:rFonts w:cs="Times New Roman"/>
          <w:color w:val="000000" w:themeColor="text1"/>
          <w:sz w:val="20"/>
          <w:szCs w:val="20"/>
        </w:rPr>
        <w:t xml:space="preserve"> shilling, variety C</w:t>
      </w:r>
      <w:bookmarkEnd w:id="232"/>
    </w:p>
    <w:p w14:paraId="7D111D32" w14:textId="70BBCB31" w:rsidR="007C785D" w:rsidRPr="00EC0229" w:rsidRDefault="007C785D" w:rsidP="007600EA">
      <w:pPr>
        <w:pStyle w:val="NoSpacing"/>
        <w:spacing w:line="360" w:lineRule="auto"/>
        <w:rPr>
          <w:rFonts w:cs="Times New Roman"/>
          <w:color w:val="000000" w:themeColor="text1"/>
          <w:sz w:val="20"/>
          <w:szCs w:val="20"/>
        </w:rPr>
      </w:pPr>
      <w:r w:rsidRPr="00EC0229">
        <w:rPr>
          <w:rFonts w:cs="Times New Roman"/>
          <w:sz w:val="20"/>
          <w:szCs w:val="20"/>
        </w:rPr>
        <w:t xml:space="preserve">Middleton </w:t>
      </w:r>
      <w:r w:rsidRPr="00EC0229">
        <w:rPr>
          <w:rFonts w:cs="Times New Roman"/>
          <w:color w:val="000000" w:themeColor="text1"/>
          <w:sz w:val="20"/>
          <w:szCs w:val="20"/>
        </w:rPr>
        <w:t>church</w:t>
      </w:r>
      <w:r w:rsidR="008960AE" w:rsidRPr="00EC0229">
        <w:rPr>
          <w:rFonts w:cs="Times New Roman"/>
          <w:color w:val="000000" w:themeColor="text1"/>
          <w:sz w:val="20"/>
          <w:szCs w:val="20"/>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rFonts w:cs="Times New Roman"/>
          <w:color w:val="000000" w:themeColor="text1"/>
          <w:sz w:val="20"/>
          <w:szCs w:val="20"/>
        </w:rPr>
        <w:fldChar w:fldCharType="end"/>
      </w:r>
      <w:r w:rsidRPr="00EC0229">
        <w:rPr>
          <w:rFonts w:cs="Times New Roman"/>
          <w:color w:val="000000" w:themeColor="text1"/>
          <w:sz w:val="20"/>
          <w:szCs w:val="20"/>
        </w:rPr>
        <w:t xml:space="preserve"> window    </w:t>
      </w:r>
      <w:r w:rsidRPr="00EC0229">
        <w:rPr>
          <w:rFonts w:cs="Times New Roman"/>
          <w:color w:val="000000" w:themeColor="text1"/>
          <w:sz w:val="20"/>
          <w:szCs w:val="20"/>
        </w:rPr>
        <w:tab/>
        <w:t xml:space="preserve">       </w:t>
      </w:r>
      <w:r w:rsidRPr="00EC0229">
        <w:rPr>
          <w:rFonts w:cs="Times New Roman"/>
          <w:color w:val="000000" w:themeColor="text1"/>
          <w:sz w:val="20"/>
          <w:szCs w:val="20"/>
        </w:rPr>
        <w:tab/>
        <w:t xml:space="preserve">  </w:t>
      </w:r>
      <w:r w:rsidR="002747D0" w:rsidRPr="00EC0229">
        <w:rPr>
          <w:rFonts w:cs="Times New Roman"/>
          <w:color w:val="000000" w:themeColor="text1"/>
          <w:sz w:val="20"/>
          <w:szCs w:val="20"/>
        </w:rPr>
        <w:tab/>
      </w:r>
      <w:r w:rsidR="002747D0" w:rsidRPr="00EC0229">
        <w:rPr>
          <w:rFonts w:cs="Times New Roman"/>
          <w:color w:val="000000" w:themeColor="text1"/>
          <w:sz w:val="20"/>
          <w:szCs w:val="20"/>
        </w:rPr>
        <w:tab/>
      </w:r>
      <w:r w:rsidR="002747D0" w:rsidRPr="00EC0229">
        <w:rPr>
          <w:rFonts w:cs="Times New Roman"/>
          <w:color w:val="000000" w:themeColor="text1"/>
          <w:sz w:val="20"/>
          <w:szCs w:val="20"/>
        </w:rPr>
        <w:tab/>
      </w:r>
      <w:r w:rsidRPr="00EC0229">
        <w:rPr>
          <w:rFonts w:cs="Times New Roman"/>
          <w:color w:val="000000" w:themeColor="text1"/>
          <w:sz w:val="20"/>
          <w:szCs w:val="20"/>
        </w:rPr>
        <w:t>York Minster</w:t>
      </w:r>
      <w:r w:rsidR="006B1593" w:rsidRPr="00EC0229">
        <w:rPr>
          <w:rFonts w:cs="Times New Roman"/>
          <w:color w:val="000000" w:themeColor="text1"/>
          <w:sz w:val="20"/>
          <w:szCs w:val="20"/>
        </w:rPr>
        <w:fldChar w:fldCharType="begin"/>
      </w:r>
      <w:r w:rsidR="006B1593" w:rsidRPr="00EC0229">
        <w:instrText xml:space="preserve"> XE "</w:instrText>
      </w:r>
      <w:r w:rsidR="006B1593" w:rsidRPr="00EC0229">
        <w:rPr>
          <w:rStyle w:val="Hyperlink"/>
          <w:noProof/>
          <w:u w:val="none"/>
        </w:rPr>
        <w:instrText>York Minster</w:instrText>
      </w:r>
      <w:r w:rsidR="006B1593" w:rsidRPr="00EC0229">
        <w:instrText xml:space="preserve">" </w:instrText>
      </w:r>
      <w:r w:rsidR="006B1593" w:rsidRPr="00EC0229">
        <w:rPr>
          <w:rFonts w:cs="Times New Roman"/>
          <w:color w:val="000000" w:themeColor="text1"/>
          <w:sz w:val="20"/>
          <w:szCs w:val="20"/>
        </w:rPr>
        <w:fldChar w:fldCharType="end"/>
      </w:r>
      <w:r w:rsidRPr="00EC0229">
        <w:rPr>
          <w:rFonts w:cs="Times New Roman"/>
          <w:color w:val="000000" w:themeColor="text1"/>
          <w:sz w:val="20"/>
          <w:szCs w:val="20"/>
        </w:rPr>
        <w:t>, Anglian</w:t>
      </w:r>
      <w:r w:rsidR="00D142DC" w:rsidRPr="00EC0229">
        <w:rPr>
          <w:rFonts w:cs="Times New Roman"/>
          <w:color w:val="000000" w:themeColor="text1"/>
          <w:sz w:val="20"/>
          <w:szCs w:val="20"/>
        </w:rPr>
        <w:fldChar w:fldCharType="begin"/>
      </w:r>
      <w:r w:rsidR="00D142DC" w:rsidRPr="00EC0229">
        <w:instrText xml:space="preserve"> XE "Anglian" </w:instrText>
      </w:r>
      <w:r w:rsidR="00D142DC" w:rsidRPr="00EC0229">
        <w:rPr>
          <w:rFonts w:cs="Times New Roman"/>
          <w:color w:val="000000" w:themeColor="text1"/>
          <w:sz w:val="20"/>
          <w:szCs w:val="20"/>
        </w:rPr>
        <w:fldChar w:fldCharType="end"/>
      </w:r>
      <w:r w:rsidRPr="00EC0229">
        <w:rPr>
          <w:rFonts w:cs="Times New Roman"/>
          <w:color w:val="000000" w:themeColor="text1"/>
          <w:sz w:val="20"/>
          <w:szCs w:val="20"/>
        </w:rPr>
        <w:t xml:space="preserve"> stele, YM24</w:t>
      </w:r>
      <w:r w:rsidRPr="00EC0229">
        <w:rPr>
          <w:rStyle w:val="FootnoteReference"/>
          <w:rFonts w:cs="Times New Roman"/>
          <w:color w:val="000000" w:themeColor="text1"/>
          <w:sz w:val="20"/>
          <w:szCs w:val="20"/>
        </w:rPr>
        <w:footnoteReference w:id="475"/>
      </w:r>
    </w:p>
    <w:p w14:paraId="1499FB75" w14:textId="77777777" w:rsidR="007C785D" w:rsidRPr="00EC0229" w:rsidRDefault="007C785D" w:rsidP="007600EA">
      <w:pPr>
        <w:pStyle w:val="NoSpacing"/>
        <w:spacing w:line="360" w:lineRule="auto"/>
        <w:ind w:firstLine="720"/>
        <w:rPr>
          <w:rFonts w:cs="Times New Roman"/>
          <w:color w:val="000000" w:themeColor="text1"/>
        </w:rPr>
      </w:pPr>
    </w:p>
    <w:p w14:paraId="72506761" w14:textId="6D83062C" w:rsidR="007C785D" w:rsidRPr="00EC0229" w:rsidRDefault="007C785D" w:rsidP="007600EA">
      <w:pPr>
        <w:pStyle w:val="NoSpacing"/>
        <w:spacing w:line="360" w:lineRule="auto"/>
        <w:rPr>
          <w:rFonts w:cs="Times New Roman"/>
        </w:rPr>
      </w:pPr>
      <w:r w:rsidRPr="00EC0229">
        <w:rPr>
          <w:rFonts w:cs="Times New Roman"/>
        </w:rPr>
        <w:t>In discussing the Northumbrian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 xml:space="preserve"> iconography</w:t>
      </w:r>
      <w:r w:rsidR="004C29A9" w:rsidRPr="00EC0229">
        <w:rPr>
          <w:rFonts w:cs="Times New Roman"/>
        </w:rPr>
        <w:fldChar w:fldCharType="begin"/>
      </w:r>
      <w:r w:rsidR="004C29A9" w:rsidRPr="00EC0229">
        <w:instrText xml:space="preserve"> XE "iconography" </w:instrText>
      </w:r>
      <w:r w:rsidR="004C29A9" w:rsidRPr="00EC0229">
        <w:rPr>
          <w:rFonts w:cs="Times New Roman"/>
        </w:rPr>
        <w:fldChar w:fldCharType="end"/>
      </w:r>
      <w:r w:rsidRPr="00EC0229">
        <w:rPr>
          <w:rFonts w:cs="Times New Roman"/>
        </w:rPr>
        <w:t>, she contrasts the lion</w:t>
      </w:r>
      <w:r w:rsidRPr="00EC0229">
        <w:rPr>
          <w:rFonts w:cs="Times New Roman"/>
          <w:i/>
        </w:rPr>
        <w:t xml:space="preserve"> courant</w:t>
      </w:r>
      <w:r w:rsidRPr="00EC0229">
        <w:rPr>
          <w:rFonts w:cs="Times New Roman"/>
        </w:rPr>
        <w:t xml:space="preserve"> of Aldfrith</w:t>
      </w:r>
      <w:r w:rsidR="00D142DC" w:rsidRPr="00EC0229">
        <w:rPr>
          <w:rFonts w:cs="Times New Roman"/>
        </w:rPr>
        <w:fldChar w:fldCharType="begin"/>
      </w:r>
      <w:r w:rsidR="00D142DC" w:rsidRPr="00EC0229">
        <w:instrText xml:space="preserve"> XE "Aldfrith" </w:instrText>
      </w:r>
      <w:r w:rsidR="00D142DC" w:rsidRPr="00EC0229">
        <w:rPr>
          <w:rFonts w:cs="Times New Roman"/>
        </w:rPr>
        <w:fldChar w:fldCharType="end"/>
      </w:r>
      <w:r w:rsidRPr="00EC0229">
        <w:rPr>
          <w:rFonts w:cs="Times New Roman"/>
        </w:rPr>
        <w:t xml:space="preserve"> with that shown in the Echternach Gospel but does not remark on the leonine nature of the f</w:t>
      </w:r>
      <w:r w:rsidR="00CD27A3" w:rsidRPr="00EC0229">
        <w:rPr>
          <w:rFonts w:cs="Times New Roman"/>
        </w:rPr>
        <w:t>igure on the gold</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rPr>
        <w:fldChar w:fldCharType="end"/>
      </w:r>
      <w:r w:rsidR="00CD27A3" w:rsidRPr="00EC0229">
        <w:rPr>
          <w:rFonts w:cs="Times New Roman"/>
        </w:rPr>
        <w:t xml:space="preserve"> shilling </w:t>
      </w:r>
      <w:r w:rsidR="00CD27A3"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_Ref430246001 \h </w:instrText>
      </w:r>
      <w:r w:rsidR="000A7CD7"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11</w:t>
      </w:r>
      <w:r w:rsidR="008C418A" w:rsidRPr="00EC0229">
        <w:rPr>
          <w:rFonts w:cs="Times New Roman"/>
          <w:szCs w:val="24"/>
        </w:rPr>
        <w:fldChar w:fldCharType="end"/>
      </w:r>
      <w:r w:rsidR="000A7CD7" w:rsidRPr="00EC0229">
        <w:rPr>
          <w:rFonts w:cs="Times New Roman"/>
        </w:rPr>
        <w:t>)</w:t>
      </w:r>
      <w:r w:rsidR="00CD27A3" w:rsidRPr="00EC0229">
        <w:rPr>
          <w:rFonts w:cs="Times New Roman"/>
        </w:rPr>
        <w:t>,</w:t>
      </w:r>
      <w:r w:rsidRPr="00EC0229">
        <w:rPr>
          <w:rFonts w:cs="Times New Roman"/>
        </w:rPr>
        <w:t xml:space="preserve"> showing a resemblance </w:t>
      </w:r>
      <w:r w:rsidRPr="00EC0229">
        <w:rPr>
          <w:rFonts w:cs="Times New Roman"/>
          <w:szCs w:val="24"/>
        </w:rPr>
        <w:t>to the later, blocked, door in the west face of the west tower at Middleton-by-Pickering</w:t>
      </w:r>
      <w:r w:rsidRPr="00EC0229">
        <w:rPr>
          <w:rFonts w:ascii="Calibri" w:hAnsi="Calibri"/>
          <w:sz w:val="22"/>
        </w:rPr>
        <w:t xml:space="preserve"> </w:t>
      </w:r>
      <w:r w:rsidRPr="00EC0229">
        <w:rPr>
          <w:rFonts w:cs="Times New Roman"/>
        </w:rPr>
        <w:t>church</w:t>
      </w:r>
      <w:r w:rsidR="008960AE" w:rsidRPr="00EC0229">
        <w:rPr>
          <w:rFonts w:cs="Times New Roman"/>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rFonts w:cs="Times New Roman"/>
        </w:rPr>
        <w:fldChar w:fldCharType="end"/>
      </w:r>
      <w:r w:rsidRPr="00EC0229">
        <w:rPr>
          <w:rFonts w:cs="Times New Roman"/>
        </w:rPr>
        <w:t>, NY and to an Anglian</w:t>
      </w:r>
      <w:r w:rsidR="00D142DC" w:rsidRPr="00EC0229">
        <w:rPr>
          <w:rFonts w:cs="Times New Roman"/>
        </w:rPr>
        <w:fldChar w:fldCharType="begin"/>
      </w:r>
      <w:r w:rsidR="00D142DC" w:rsidRPr="00EC0229">
        <w:instrText xml:space="preserve"> XE "Anglian" </w:instrText>
      </w:r>
      <w:r w:rsidR="00D142DC" w:rsidRPr="00EC0229">
        <w:rPr>
          <w:rFonts w:cs="Times New Roman"/>
        </w:rPr>
        <w:fldChar w:fldCharType="end"/>
      </w:r>
      <w:r w:rsidRPr="00EC0229">
        <w:rPr>
          <w:rFonts w:cs="Times New Roman"/>
        </w:rPr>
        <w:t xml:space="preserve"> </w:t>
      </w:r>
      <w:bookmarkStart w:id="233" w:name="stele"/>
      <w:r w:rsidRPr="00EC0229">
        <w:rPr>
          <w:rFonts w:cs="Times New Roman"/>
        </w:rPr>
        <w:t>stele</w:t>
      </w:r>
      <w:bookmarkEnd w:id="233"/>
      <w:r w:rsidRPr="00EC0229">
        <w:rPr>
          <w:rFonts w:cs="Times New Roman"/>
        </w:rPr>
        <w:t xml:space="preserve"> from York</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rPr>
        <w:fldChar w:fldCharType="end"/>
      </w:r>
      <w:r w:rsidRPr="00EC0229">
        <w:rPr>
          <w:rFonts w:cs="Times New Roman"/>
        </w:rPr>
        <w:t xml:space="preserve"> Minster</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 Minster</w:instrText>
      </w:r>
      <w:r w:rsidR="006B1593" w:rsidRPr="00EC0229">
        <w:instrText xml:space="preserve">" </w:instrText>
      </w:r>
      <w:r w:rsidR="006B1593" w:rsidRPr="00EC0229">
        <w:rPr>
          <w:rFonts w:cs="Times New Roman"/>
        </w:rPr>
        <w:fldChar w:fldCharType="end"/>
      </w:r>
      <w:r w:rsidR="00C77754" w:rsidRPr="00EC0229">
        <w:rPr>
          <w:rFonts w:cs="Times New Roman"/>
        </w:rPr>
        <w:t>). T</w:t>
      </w:r>
      <w:r w:rsidRPr="00EC0229">
        <w:rPr>
          <w:rFonts w:cs="Times New Roman"/>
        </w:rPr>
        <w:t xml:space="preserve">he possible </w:t>
      </w:r>
      <w:r w:rsidRPr="00EC0229">
        <w:rPr>
          <w:rFonts w:cs="Times New Roman"/>
          <w:i/>
        </w:rPr>
        <w:t>nomina sacra</w:t>
      </w:r>
      <w:r w:rsidRPr="00EC0229">
        <w:rPr>
          <w:rFonts w:cs="Times New Roman"/>
        </w:rPr>
        <w:t xml:space="preserve"> interpretations</w:t>
      </w:r>
      <w:r w:rsidR="00C77754" w:rsidRPr="00EC0229">
        <w:rPr>
          <w:rFonts w:cs="Times New Roman"/>
        </w:rPr>
        <w:t>,</w:t>
      </w:r>
      <w:r w:rsidRPr="00EC0229">
        <w:rPr>
          <w:rFonts w:cs="Times New Roman"/>
        </w:rPr>
        <w:t xml:space="preserve"> of the previously undeciphered reverse legend of varieties B and C</w:t>
      </w:r>
      <w:r w:rsidR="00C77754" w:rsidRPr="00EC0229">
        <w:rPr>
          <w:rFonts w:cs="Times New Roman"/>
        </w:rPr>
        <w:t xml:space="preserve">, </w:t>
      </w:r>
      <w:r w:rsidR="000978DC" w:rsidRPr="00EC0229">
        <w:rPr>
          <w:rFonts w:cs="Times New Roman"/>
        </w:rPr>
        <w:t xml:space="preserve">and the full spectrum of the iconography, </w:t>
      </w:r>
      <w:r w:rsidR="00C77754" w:rsidRPr="00EC0229">
        <w:rPr>
          <w:rFonts w:cs="Times New Roman"/>
        </w:rPr>
        <w:t>are currently being explored</w:t>
      </w:r>
      <w:r w:rsidRPr="00EC0229">
        <w:rPr>
          <w:rFonts w:cs="Times New Roman"/>
        </w:rPr>
        <w:t>.</w:t>
      </w:r>
      <w:r w:rsidRPr="00EC0229">
        <w:rPr>
          <w:rStyle w:val="FootnoteReference"/>
          <w:rFonts w:cs="Times New Roman"/>
        </w:rPr>
        <w:t xml:space="preserve"> </w:t>
      </w:r>
      <w:r w:rsidRPr="00EC0229">
        <w:rPr>
          <w:rStyle w:val="FootnoteReference"/>
          <w:rFonts w:cs="Times New Roman"/>
        </w:rPr>
        <w:footnoteReference w:id="476"/>
      </w:r>
    </w:p>
    <w:p w14:paraId="0DB9CF3D" w14:textId="77777777" w:rsidR="00641749" w:rsidRPr="00EC0229" w:rsidRDefault="00641749" w:rsidP="00641749">
      <w:pPr>
        <w:spacing w:line="360" w:lineRule="auto"/>
        <w:rPr>
          <w:rFonts w:cs="Times New Roman"/>
          <w:strike/>
          <w:color w:val="000000" w:themeColor="text1"/>
          <w:szCs w:val="24"/>
        </w:rPr>
      </w:pPr>
    </w:p>
    <w:p w14:paraId="5460BF1E" w14:textId="29A5BCF0" w:rsidR="00641749" w:rsidRPr="00EC0229" w:rsidRDefault="000978DC" w:rsidP="00641749">
      <w:pPr>
        <w:spacing w:line="360" w:lineRule="auto"/>
        <w:rPr>
          <w:rFonts w:cs="Times New Roman"/>
          <w:color w:val="000000" w:themeColor="text1"/>
          <w:szCs w:val="24"/>
        </w:rPr>
      </w:pPr>
      <w:r w:rsidRPr="00EC0229">
        <w:rPr>
          <w:rFonts w:cs="Times New Roman"/>
          <w:color w:val="000000" w:themeColor="text1"/>
          <w:szCs w:val="24"/>
        </w:rPr>
        <w:t xml:space="preserve">I interpret the obverse iconography of variety C as referring to Edwin’s stone church. </w:t>
      </w:r>
      <w:r w:rsidR="00641749" w:rsidRPr="00EC0229">
        <w:rPr>
          <w:rFonts w:cs="Times New Roman"/>
          <w:color w:val="000000" w:themeColor="text1"/>
          <w:szCs w:val="24"/>
        </w:rPr>
        <w:t xml:space="preserve">Monarchy and monotheism shared a common interest in monocracy, increasingly commemorated in monumental form, in furtherance of sovereignty. At the Bernician royal </w:t>
      </w:r>
      <w:r w:rsidR="00641749" w:rsidRPr="00EC0229">
        <w:rPr>
          <w:rFonts w:cs="Times New Roman"/>
          <w:i/>
          <w:color w:val="000000" w:themeColor="text1"/>
          <w:szCs w:val="24"/>
        </w:rPr>
        <w:t>vill</w:t>
      </w:r>
      <w:r w:rsidR="00641749" w:rsidRPr="00EC0229">
        <w:rPr>
          <w:rFonts w:cs="Times New Roman"/>
          <w:color w:val="000000" w:themeColor="text1"/>
          <w:szCs w:val="24"/>
        </w:rPr>
        <w:t xml:space="preserve"> complex of Yeavering</w:t>
      </w:r>
      <w:r w:rsidR="00641749" w:rsidRPr="00EC0229">
        <w:rPr>
          <w:rFonts w:cs="Times New Roman"/>
          <w:color w:val="000000" w:themeColor="text1"/>
          <w:szCs w:val="24"/>
        </w:rPr>
        <w:fldChar w:fldCharType="begin"/>
      </w:r>
      <w:r w:rsidR="00641749" w:rsidRPr="00EC0229">
        <w:instrText xml:space="preserve"> XE "</w:instrText>
      </w:r>
      <w:r w:rsidR="00641749" w:rsidRPr="00EC0229">
        <w:rPr>
          <w:rStyle w:val="Hyperlink"/>
          <w:noProof/>
          <w:u w:val="none"/>
        </w:rPr>
        <w:instrText>Yeavering</w:instrText>
      </w:r>
      <w:r w:rsidR="00641749" w:rsidRPr="00EC0229">
        <w:instrText xml:space="preserve">" </w:instrText>
      </w:r>
      <w:r w:rsidR="00641749" w:rsidRPr="00EC0229">
        <w:rPr>
          <w:rFonts w:cs="Times New Roman"/>
          <w:color w:val="000000" w:themeColor="text1"/>
          <w:szCs w:val="24"/>
        </w:rPr>
        <w:fldChar w:fldCharType="end"/>
      </w:r>
      <w:r w:rsidR="00641749" w:rsidRPr="00EC0229">
        <w:rPr>
          <w:rFonts w:cs="Times New Roman"/>
          <w:color w:val="000000" w:themeColor="text1"/>
          <w:szCs w:val="24"/>
        </w:rPr>
        <w:t>, an enclosure, probably a pagan shrine, on the Iron Age hill-fort, was replaced by a roofed ritual structure, probably as an act of syncretism,</w:t>
      </w:r>
      <w:r w:rsidR="00641749" w:rsidRPr="00EC0229">
        <w:rPr>
          <w:rStyle w:val="FootnoteReference"/>
          <w:rFonts w:cs="Times New Roman"/>
          <w:color w:val="000000" w:themeColor="text1"/>
          <w:szCs w:val="24"/>
        </w:rPr>
        <w:footnoteReference w:id="477"/>
      </w:r>
      <w:r w:rsidR="00641749" w:rsidRPr="00EC0229">
        <w:rPr>
          <w:rFonts w:cs="Times New Roman"/>
          <w:color w:val="000000" w:themeColor="text1"/>
          <w:szCs w:val="24"/>
        </w:rPr>
        <w:t xml:space="preserve"> before Edwin</w:t>
      </w:r>
      <w:r w:rsidR="00641749" w:rsidRPr="00EC0229">
        <w:rPr>
          <w:rFonts w:cs="Times New Roman"/>
          <w:color w:val="000000" w:themeColor="text1"/>
          <w:szCs w:val="24"/>
        </w:rPr>
        <w:fldChar w:fldCharType="begin"/>
      </w:r>
      <w:r w:rsidR="00641749" w:rsidRPr="00EC0229">
        <w:instrText xml:space="preserve"> XE "</w:instrText>
      </w:r>
      <w:r w:rsidR="00641749" w:rsidRPr="00EC0229">
        <w:rPr>
          <w:rFonts w:cs="Times New Roman"/>
          <w:color w:val="000000" w:themeColor="text1"/>
          <w:szCs w:val="24"/>
        </w:rPr>
        <w:instrText>Edwin</w:instrText>
      </w:r>
      <w:r w:rsidR="00641749" w:rsidRPr="00EC0229">
        <w:instrText xml:space="preserve">" </w:instrText>
      </w:r>
      <w:r w:rsidR="00641749" w:rsidRPr="00EC0229">
        <w:rPr>
          <w:rFonts w:cs="Times New Roman"/>
          <w:color w:val="000000" w:themeColor="text1"/>
          <w:szCs w:val="24"/>
        </w:rPr>
        <w:fldChar w:fldCharType="end"/>
      </w:r>
      <w:r w:rsidR="00641749" w:rsidRPr="00EC0229">
        <w:rPr>
          <w:rFonts w:cs="Times New Roman"/>
          <w:color w:val="000000" w:themeColor="text1"/>
          <w:szCs w:val="24"/>
        </w:rPr>
        <w:t>’s baptism,</w:t>
      </w:r>
      <w:r w:rsidR="00641749" w:rsidRPr="00EC0229">
        <w:rPr>
          <w:rStyle w:val="FootnoteReference"/>
          <w:rFonts w:cs="Times New Roman"/>
          <w:color w:val="000000" w:themeColor="text1"/>
          <w:szCs w:val="24"/>
        </w:rPr>
        <w:footnoteReference w:id="478"/>
      </w:r>
      <w:r w:rsidR="00641749" w:rsidRPr="00EC0229">
        <w:rPr>
          <w:rFonts w:cs="Times New Roman"/>
          <w:color w:val="000000" w:themeColor="text1"/>
          <w:szCs w:val="24"/>
        </w:rPr>
        <w:t xml:space="preserve"> and Paulinus’s mass-baptisms there. It would have been habit, and possibly curiosity, which </w:t>
      </w:r>
      <w:r w:rsidR="00641749" w:rsidRPr="00EC0229">
        <w:rPr>
          <w:rFonts w:cs="Times New Roman"/>
          <w:color w:val="000000" w:themeColor="text1"/>
          <w:szCs w:val="24"/>
        </w:rPr>
        <w:lastRenderedPageBreak/>
        <w:t>brought crowds to a sacred place that was now both royal and Christian. In the second quarter of the seventh century, Paulinus and then Aidan travelled extensively throughout Northumbria</w:t>
      </w:r>
      <w:r w:rsidR="00641749" w:rsidRPr="00EC0229">
        <w:rPr>
          <w:rFonts w:cs="Times New Roman"/>
          <w:color w:val="000000" w:themeColor="text1"/>
          <w:szCs w:val="24"/>
        </w:rPr>
        <w:fldChar w:fldCharType="begin"/>
      </w:r>
      <w:r w:rsidR="00641749" w:rsidRPr="00EC0229">
        <w:instrText xml:space="preserve"> XE "</w:instrText>
      </w:r>
      <w:r w:rsidR="00641749" w:rsidRPr="00EC0229">
        <w:rPr>
          <w:rFonts w:cs="Times New Roman"/>
          <w:b/>
          <w:color w:val="000000" w:themeColor="text1"/>
          <w:sz w:val="56"/>
          <w:szCs w:val="56"/>
        </w:rPr>
        <w:instrText>Northumbria</w:instrText>
      </w:r>
      <w:r w:rsidR="00641749" w:rsidRPr="00EC0229">
        <w:instrText xml:space="preserve">" </w:instrText>
      </w:r>
      <w:r w:rsidR="00641749" w:rsidRPr="00EC0229">
        <w:rPr>
          <w:rFonts w:cs="Times New Roman"/>
          <w:color w:val="000000" w:themeColor="text1"/>
          <w:szCs w:val="24"/>
        </w:rPr>
        <w:fldChar w:fldCharType="end"/>
      </w:r>
      <w:r w:rsidR="00641749" w:rsidRPr="00EC0229">
        <w:rPr>
          <w:rFonts w:cs="Times New Roman"/>
          <w:color w:val="000000" w:themeColor="text1"/>
          <w:szCs w:val="24"/>
        </w:rPr>
        <w:t xml:space="preserve"> selecting significant sites to perform mass-baptisms.</w:t>
      </w:r>
    </w:p>
    <w:p w14:paraId="0814AA69" w14:textId="1E90C0AF" w:rsidR="00641749" w:rsidRPr="00EC0229" w:rsidRDefault="00641749" w:rsidP="00641749">
      <w:pPr>
        <w:pStyle w:val="NoSpacing"/>
        <w:spacing w:line="360" w:lineRule="auto"/>
        <w:rPr>
          <w:rFonts w:cs="Times New Roman"/>
        </w:rPr>
      </w:pPr>
      <w:r w:rsidRPr="00EC0229">
        <w:rPr>
          <w:rFonts w:cs="Times New Roman"/>
          <w:color w:val="000000" w:themeColor="text1"/>
          <w:szCs w:val="24"/>
        </w:rPr>
        <w:t>It may have been syncretism, security and land-gifts, which led the Gregorian missionaries to place their minsters within Roman</w:t>
      </w:r>
      <w:r w:rsidRPr="00EC0229">
        <w:rPr>
          <w:rFonts w:cs="Times New Roman"/>
          <w:color w:val="000000" w:themeColor="text1"/>
          <w:szCs w:val="24"/>
        </w:rPr>
        <w:fldChar w:fldCharType="begin"/>
      </w:r>
      <w:r w:rsidRPr="00EC0229">
        <w:instrText xml:space="preserve"> XE "Roman" </w:instrText>
      </w:r>
      <w:r w:rsidRPr="00EC0229">
        <w:rPr>
          <w:rFonts w:cs="Times New Roman"/>
          <w:color w:val="000000" w:themeColor="text1"/>
          <w:szCs w:val="24"/>
        </w:rPr>
        <w:fldChar w:fldCharType="end"/>
      </w:r>
      <w:r w:rsidRPr="00EC0229">
        <w:rPr>
          <w:rFonts w:cs="Times New Roman"/>
          <w:color w:val="000000" w:themeColor="text1"/>
          <w:szCs w:val="24"/>
        </w:rPr>
        <w:t xml:space="preserve"> walls, a trend followed by superior minsters after 650.</w:t>
      </w:r>
      <w:r w:rsidRPr="00EC0229">
        <w:rPr>
          <w:rStyle w:val="FootnoteReference"/>
          <w:rFonts w:cs="Times New Roman"/>
          <w:color w:val="000000" w:themeColor="text1"/>
          <w:szCs w:val="24"/>
        </w:rPr>
        <w:footnoteReference w:id="479"/>
      </w:r>
      <w:r w:rsidRPr="00EC0229">
        <w:rPr>
          <w:rFonts w:cs="Times New Roman"/>
          <w:color w:val="000000" w:themeColor="text1"/>
          <w:szCs w:val="24"/>
        </w:rPr>
        <w:t xml:space="preserve"> However, the numbers on Roman sites are low compared to those removing Roman materials for use elsewhere, and even more were built in wood, rendering salvage as of little influence on location.</w:t>
      </w:r>
      <w:r w:rsidRPr="00EC0229">
        <w:rPr>
          <w:rStyle w:val="FootnoteReference"/>
          <w:rFonts w:cs="Times New Roman"/>
          <w:color w:val="000000" w:themeColor="text1"/>
          <w:szCs w:val="24"/>
        </w:rPr>
        <w:footnoteReference w:id="480"/>
      </w:r>
    </w:p>
    <w:p w14:paraId="119AF711" w14:textId="77777777" w:rsidR="007C785D" w:rsidRPr="00EC0229" w:rsidRDefault="007C785D" w:rsidP="007600EA">
      <w:pPr>
        <w:pStyle w:val="NoSpacing"/>
        <w:spacing w:line="360" w:lineRule="auto"/>
        <w:rPr>
          <w:rFonts w:cs="Times New Roman"/>
        </w:rPr>
      </w:pPr>
    </w:p>
    <w:p w14:paraId="0105005A" w14:textId="53BD9215" w:rsidR="007C785D" w:rsidRPr="00EC0229" w:rsidRDefault="007C785D" w:rsidP="007600EA">
      <w:pPr>
        <w:pStyle w:val="NoSpacing"/>
        <w:spacing w:line="360" w:lineRule="auto"/>
        <w:rPr>
          <w:rFonts w:cs="Times New Roman"/>
        </w:rPr>
      </w:pPr>
      <w:r w:rsidRPr="00EC0229">
        <w:rPr>
          <w:rFonts w:cs="Times New Roman"/>
        </w:rPr>
        <w:t>Unrelated to the York</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rPr>
        <w:fldChar w:fldCharType="end"/>
      </w:r>
      <w:r w:rsidRPr="00EC0229">
        <w:rPr>
          <w:rFonts w:cs="Times New Roman"/>
        </w:rPr>
        <w:t xml:space="preserve"> group, but worthy of mention is the gold</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rPr>
        <w:fldChar w:fldCharType="end"/>
      </w:r>
      <w:r w:rsidRPr="00EC0229">
        <w:rPr>
          <w:rFonts w:cs="Times New Roman"/>
        </w:rPr>
        <w:t xml:space="preserve"> solidus</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solidus</w:instrText>
      </w:r>
      <w:r w:rsidR="008960AE" w:rsidRPr="00EC0229">
        <w:instrText xml:space="preserve">" </w:instrText>
      </w:r>
      <w:r w:rsidR="008960AE" w:rsidRPr="00EC0229">
        <w:rPr>
          <w:rFonts w:cs="Times New Roman"/>
        </w:rPr>
        <w:fldChar w:fldCharType="end"/>
      </w:r>
      <w:r w:rsidRPr="00EC0229">
        <w:rPr>
          <w:rFonts w:cs="Times New Roman"/>
        </w:rPr>
        <w:t xml:space="preserve"> of Archbishop Wigmund</w:t>
      </w:r>
      <w:r w:rsidR="00D142DC" w:rsidRPr="00EC0229">
        <w:rPr>
          <w:rFonts w:cs="Times New Roman"/>
        </w:rPr>
        <w:fldChar w:fldCharType="begin"/>
      </w:r>
      <w:r w:rsidR="00D142DC" w:rsidRPr="00EC0229">
        <w:instrText xml:space="preserve"> XE "Wigmund" </w:instrText>
      </w:r>
      <w:r w:rsidR="00D142DC" w:rsidRPr="00EC0229">
        <w:rPr>
          <w:rFonts w:cs="Times New Roman"/>
        </w:rPr>
        <w:fldChar w:fldCharType="end"/>
      </w:r>
      <w:r w:rsidRPr="00EC0229">
        <w:rPr>
          <w:rFonts w:cs="Times New Roman"/>
        </w:rPr>
        <w:t xml:space="preserve"> (</w:t>
      </w:r>
      <w:r w:rsidR="002132F1">
        <w:rPr>
          <w:rFonts w:cs="Times New Roman"/>
          <w:i/>
        </w:rPr>
        <w:t>c.</w:t>
      </w:r>
      <w:r w:rsidRPr="00EC0229">
        <w:rPr>
          <w:rFonts w:cs="Times New Roman"/>
        </w:rPr>
        <w:t xml:space="preserve">837 – 54? 4.16g.), in imitation of the </w:t>
      </w:r>
      <w:r w:rsidRPr="00EC0229">
        <w:rPr>
          <w:rFonts w:cs="Times New Roman"/>
          <w:i/>
        </w:rPr>
        <w:t>Munus divinum</w:t>
      </w:r>
      <w:r w:rsidRPr="00EC0229">
        <w:rPr>
          <w:rFonts w:cs="Times New Roman"/>
        </w:rPr>
        <w:t xml:space="preserve"> (‘divine gift’) issue of Louis the Pious</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Louis the Pious</w:instrText>
      </w:r>
      <w:r w:rsidR="008960AE" w:rsidRPr="00EC0229">
        <w:instrText xml:space="preserve">" </w:instrText>
      </w:r>
      <w:r w:rsidR="008960AE" w:rsidRPr="00EC0229">
        <w:rPr>
          <w:rFonts w:cs="Times New Roman"/>
        </w:rPr>
        <w:fldChar w:fldCharType="end"/>
      </w:r>
      <w:r w:rsidRPr="00EC0229">
        <w:rPr>
          <w:rFonts w:cs="Times New Roman"/>
        </w:rPr>
        <w:t xml:space="preserve"> (814-40), thought by Grierson and Blackburn</w:t>
      </w:r>
      <w:r w:rsidRPr="00EC0229">
        <w:rPr>
          <w:rStyle w:val="FootnoteReference"/>
          <w:rFonts w:cs="Times New Roman"/>
        </w:rPr>
        <w:footnoteReference w:id="481"/>
      </w:r>
      <w:r w:rsidRPr="00EC0229">
        <w:rPr>
          <w:rFonts w:cs="Times New Roman"/>
        </w:rPr>
        <w:t xml:space="preserve"> to have been struck at Canterbury, but Blackburn later revised this view</w:t>
      </w:r>
      <w:r w:rsidRPr="00EC0229">
        <w:rPr>
          <w:rStyle w:val="FootnoteReference"/>
          <w:rFonts w:cs="Times New Roman"/>
        </w:rPr>
        <w:footnoteReference w:id="482"/>
      </w:r>
      <w:r w:rsidRPr="00EC0229">
        <w:rPr>
          <w:rFonts w:cs="Times New Roman"/>
        </w:rPr>
        <w:t xml:space="preserve"> as this specimen was of the weight standard of the Carolingian</w:t>
      </w:r>
      <w:r w:rsidR="008960AE" w:rsidRPr="00EC0229">
        <w:rPr>
          <w:rFonts w:cs="Times New Roman"/>
        </w:rPr>
        <w:fldChar w:fldCharType="begin"/>
      </w:r>
      <w:r w:rsidR="008960AE" w:rsidRPr="00EC0229">
        <w:instrText xml:space="preserve"> XE "</w:instrText>
      </w:r>
      <w:r w:rsidR="008960AE" w:rsidRPr="00EC0229">
        <w:rPr>
          <w:rFonts w:cs="Times New Roman"/>
          <w:szCs w:val="24"/>
        </w:rPr>
        <w:instrText>Carolingian</w:instrText>
      </w:r>
      <w:r w:rsidR="008960AE" w:rsidRPr="00EC0229">
        <w:instrText xml:space="preserve">" </w:instrText>
      </w:r>
      <w:r w:rsidR="008960AE" w:rsidRPr="00EC0229">
        <w:rPr>
          <w:rFonts w:cs="Times New Roman"/>
        </w:rPr>
        <w:fldChar w:fldCharType="end"/>
      </w:r>
      <w:r w:rsidRPr="00EC0229">
        <w:rPr>
          <w:rFonts w:cs="Times New Roman"/>
        </w:rPr>
        <w:t xml:space="preserve"> solidus not the southern English </w:t>
      </w:r>
      <w:r w:rsidRPr="00EC0229">
        <w:rPr>
          <w:rFonts w:cs="Times New Roman"/>
          <w:i/>
        </w:rPr>
        <w:t>mancus</w:t>
      </w:r>
      <w:r w:rsidR="00CD27A3" w:rsidRPr="00EC0229">
        <w:rPr>
          <w:rFonts w:cs="Times New Roman"/>
        </w:rPr>
        <w:t xml:space="preserve"> </w:t>
      </w:r>
      <w:r w:rsidR="00CD27A3" w:rsidRPr="00EC0229">
        <w:rPr>
          <w:rFonts w:cs="Times New Roman"/>
          <w:szCs w:val="24"/>
        </w:rPr>
        <w:t>(</w:t>
      </w:r>
      <w:r w:rsidR="008C418A" w:rsidRPr="00EC0229">
        <w:rPr>
          <w:rFonts w:cs="Times New Roman"/>
          <w:szCs w:val="24"/>
        </w:rPr>
        <w:fldChar w:fldCharType="begin"/>
      </w:r>
      <w:r w:rsidR="008C418A" w:rsidRPr="00EC0229">
        <w:rPr>
          <w:rFonts w:cs="Times New Roman"/>
          <w:szCs w:val="24"/>
        </w:rPr>
        <w:instrText xml:space="preserve"> REF _Ref430246014 \h </w:instrText>
      </w:r>
      <w:r w:rsidR="000A7CD7"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12</w:t>
      </w:r>
      <w:r w:rsidR="008C418A" w:rsidRPr="00EC0229">
        <w:rPr>
          <w:rFonts w:cs="Times New Roman"/>
          <w:szCs w:val="24"/>
        </w:rPr>
        <w:fldChar w:fldCharType="end"/>
      </w:r>
      <w:r w:rsidR="00CD27A3" w:rsidRPr="00EC0229">
        <w:rPr>
          <w:rFonts w:cs="Times New Roman"/>
        </w:rPr>
        <w:t>)</w:t>
      </w:r>
      <w:r w:rsidRPr="00EC0229">
        <w:rPr>
          <w:rFonts w:cs="Times New Roman"/>
        </w:rPr>
        <w:t>. This coin is pierced in two places and is a presentation or ornamental piece, far removed from the contemporary base styca emissions.</w:t>
      </w:r>
    </w:p>
    <w:p w14:paraId="37EB2083" w14:textId="77777777" w:rsidR="007C785D" w:rsidRPr="00EC0229" w:rsidRDefault="007C785D" w:rsidP="007600EA">
      <w:pPr>
        <w:pStyle w:val="NoSpacing"/>
        <w:spacing w:line="360" w:lineRule="auto"/>
        <w:jc w:val="center"/>
        <w:rPr>
          <w:rFonts w:cs="Times New Roman"/>
        </w:rPr>
      </w:pPr>
      <w:r w:rsidRPr="00EC0229">
        <w:rPr>
          <w:rFonts w:cs="Times New Roman"/>
          <w:noProof/>
          <w:lang w:eastAsia="en-GB"/>
        </w:rPr>
        <w:drawing>
          <wp:inline distT="0" distB="0" distL="0" distR="0" wp14:anchorId="618EAE9B" wp14:editId="39CD4A99">
            <wp:extent cx="935496" cy="97599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Wigmund solidus obv.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44010" cy="984878"/>
                    </a:xfrm>
                    <a:prstGeom prst="rect">
                      <a:avLst/>
                    </a:prstGeom>
                  </pic:spPr>
                </pic:pic>
              </a:graphicData>
            </a:graphic>
          </wp:inline>
        </w:drawing>
      </w:r>
      <w:r w:rsidRPr="00EC0229">
        <w:rPr>
          <w:rFonts w:cs="Times New Roman"/>
          <w:noProof/>
          <w:lang w:eastAsia="en-GB"/>
        </w:rPr>
        <w:drawing>
          <wp:inline distT="0" distB="0" distL="0" distR="0" wp14:anchorId="13B3A4B4" wp14:editId="6DC24E0D">
            <wp:extent cx="960120" cy="95615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Wigmund solidus rev.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66667" cy="962672"/>
                    </a:xfrm>
                    <a:prstGeom prst="rect">
                      <a:avLst/>
                    </a:prstGeom>
                  </pic:spPr>
                </pic:pic>
              </a:graphicData>
            </a:graphic>
          </wp:inline>
        </w:drawing>
      </w:r>
    </w:p>
    <w:p w14:paraId="527ADD78" w14:textId="25C4E70A" w:rsidR="00161418" w:rsidRDefault="00EE5F83" w:rsidP="007600EA">
      <w:pPr>
        <w:pStyle w:val="NoSpacing"/>
        <w:spacing w:line="360" w:lineRule="auto"/>
        <w:jc w:val="center"/>
        <w:rPr>
          <w:rFonts w:cs="Times New Roman"/>
          <w:sz w:val="20"/>
          <w:szCs w:val="20"/>
        </w:rPr>
      </w:pPr>
      <w:bookmarkStart w:id="234" w:name="_Ref430246014"/>
      <w:bookmarkStart w:id="235" w:name="_Toc46826698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w:t>
      </w:r>
      <w:r w:rsidRPr="00EC0229">
        <w:rPr>
          <w:sz w:val="20"/>
          <w:szCs w:val="20"/>
        </w:rPr>
        <w:fldChar w:fldCharType="end"/>
      </w:r>
      <w:bookmarkEnd w:id="234"/>
      <w:r w:rsidR="00CD27A3" w:rsidRPr="00EC0229">
        <w:rPr>
          <w:rFonts w:cs="Times New Roman"/>
          <w:sz w:val="20"/>
          <w:szCs w:val="20"/>
        </w:rPr>
        <w:t xml:space="preserve">: </w:t>
      </w:r>
      <w:r w:rsidR="007C785D" w:rsidRPr="00EC0229">
        <w:rPr>
          <w:rFonts w:cs="Times New Roman"/>
          <w:sz w:val="20"/>
          <w:szCs w:val="20"/>
        </w:rPr>
        <w:t>Wigmund</w:t>
      </w:r>
      <w:r w:rsidR="00D142DC" w:rsidRPr="00EC0229">
        <w:rPr>
          <w:rFonts w:cs="Times New Roman"/>
          <w:sz w:val="20"/>
          <w:szCs w:val="20"/>
        </w:rPr>
        <w:fldChar w:fldCharType="begin"/>
      </w:r>
      <w:r w:rsidR="00D142DC" w:rsidRPr="00EC0229">
        <w:rPr>
          <w:sz w:val="20"/>
          <w:szCs w:val="20"/>
        </w:rPr>
        <w:instrText xml:space="preserve"> XE "Wigmund" </w:instrText>
      </w:r>
      <w:r w:rsidR="00D142DC" w:rsidRPr="00EC0229">
        <w:rPr>
          <w:rFonts w:cs="Times New Roman"/>
          <w:sz w:val="20"/>
          <w:szCs w:val="20"/>
        </w:rPr>
        <w:fldChar w:fldCharType="end"/>
      </w:r>
      <w:r w:rsidR="007C785D" w:rsidRPr="00EC0229">
        <w:rPr>
          <w:rFonts w:cs="Times New Roman"/>
          <w:sz w:val="20"/>
          <w:szCs w:val="20"/>
        </w:rPr>
        <w:t xml:space="preserve"> solidus</w:t>
      </w:r>
      <w:bookmarkEnd w:id="235"/>
      <w:r w:rsidR="008960AE" w:rsidRPr="00EC0229">
        <w:rPr>
          <w:rFonts w:cs="Times New Roman"/>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solidus</w:instrText>
      </w:r>
      <w:r w:rsidR="008960AE" w:rsidRPr="00EC0229">
        <w:rPr>
          <w:sz w:val="20"/>
          <w:szCs w:val="20"/>
        </w:rPr>
        <w:instrText xml:space="preserve">" </w:instrText>
      </w:r>
      <w:r w:rsidR="008960AE" w:rsidRPr="00EC0229">
        <w:rPr>
          <w:rFonts w:cs="Times New Roman"/>
          <w:sz w:val="20"/>
          <w:szCs w:val="20"/>
        </w:rPr>
        <w:fldChar w:fldCharType="end"/>
      </w:r>
    </w:p>
    <w:p w14:paraId="524B14B0" w14:textId="456518F2" w:rsidR="007C785D" w:rsidRPr="00EC0229" w:rsidRDefault="007C785D" w:rsidP="007600EA">
      <w:pPr>
        <w:pStyle w:val="NoSpacing"/>
        <w:spacing w:line="360" w:lineRule="auto"/>
        <w:jc w:val="center"/>
        <w:rPr>
          <w:rFonts w:cs="Times New Roman"/>
          <w:sz w:val="20"/>
          <w:szCs w:val="20"/>
        </w:rPr>
      </w:pPr>
      <w:r w:rsidRPr="00EC0229">
        <w:rPr>
          <w:rFonts w:cs="Times New Roman"/>
          <w:sz w:val="20"/>
          <w:szCs w:val="20"/>
        </w:rPr>
        <w:t>Courtesy BM.</w:t>
      </w:r>
      <w:r w:rsidRPr="00EC0229">
        <w:rPr>
          <w:rStyle w:val="FootnoteReference"/>
          <w:rFonts w:cs="Times New Roman"/>
          <w:sz w:val="20"/>
          <w:szCs w:val="20"/>
        </w:rPr>
        <w:footnoteReference w:id="483"/>
      </w:r>
    </w:p>
    <w:p w14:paraId="256573BD" w14:textId="77777777" w:rsidR="007C785D" w:rsidRPr="00EC0229" w:rsidRDefault="007C785D" w:rsidP="007600EA">
      <w:pPr>
        <w:pStyle w:val="NoSpacing"/>
        <w:spacing w:line="360" w:lineRule="auto"/>
        <w:rPr>
          <w:rFonts w:cs="Times New Roman"/>
          <w:color w:val="FF0000"/>
        </w:rPr>
      </w:pPr>
    </w:p>
    <w:p w14:paraId="4015DE4B" w14:textId="79418494" w:rsidR="007C785D" w:rsidRPr="008E6548" w:rsidRDefault="00525552" w:rsidP="007600EA">
      <w:pPr>
        <w:pStyle w:val="Heading4"/>
        <w:spacing w:line="360" w:lineRule="auto"/>
        <w:rPr>
          <w:b/>
        </w:rPr>
      </w:pPr>
      <w:bookmarkStart w:id="236" w:name="Period3c"/>
      <w:bookmarkStart w:id="237" w:name="_Toc468266781"/>
      <w:bookmarkEnd w:id="236"/>
      <w:r w:rsidRPr="00525552">
        <w:rPr>
          <w:b/>
        </w:rPr>
        <w:t>5.2.2.</w:t>
      </w:r>
      <w:r w:rsidR="000E1004">
        <w:rPr>
          <w:b/>
        </w:rPr>
        <w:t>6</w:t>
      </w:r>
      <w:r>
        <w:rPr>
          <w:b/>
        </w:rPr>
        <w:tab/>
      </w:r>
      <w:r w:rsidR="007C785D" w:rsidRPr="008E6548">
        <w:rPr>
          <w:b/>
        </w:rPr>
        <w:t>Period 3c</w:t>
      </w:r>
      <w:r w:rsidR="00F204A1" w:rsidRPr="008E6548">
        <w:rPr>
          <w:b/>
        </w:rPr>
        <w:fldChar w:fldCharType="begin"/>
      </w:r>
      <w:r w:rsidR="00F204A1" w:rsidRPr="008E6548">
        <w:rPr>
          <w:b/>
        </w:rPr>
        <w:instrText xml:space="preserve"> XE "</w:instrText>
      </w:r>
      <w:r w:rsidR="00F204A1" w:rsidRPr="008E6548">
        <w:rPr>
          <w:rStyle w:val="Hyperlink"/>
          <w:b/>
          <w:noProof/>
          <w:u w:val="none"/>
        </w:rPr>
        <w:instrText>Period 3c</w:instrText>
      </w:r>
      <w:r w:rsidR="00F204A1" w:rsidRPr="008E6548">
        <w:rPr>
          <w:b/>
        </w:rPr>
        <w:instrText xml:space="preserve">" </w:instrText>
      </w:r>
      <w:r w:rsidR="00F204A1" w:rsidRPr="008E6548">
        <w:rPr>
          <w:b/>
        </w:rPr>
        <w:fldChar w:fldCharType="end"/>
      </w:r>
      <w:r w:rsidR="007C785D" w:rsidRPr="008E6548">
        <w:rPr>
          <w:b/>
        </w:rPr>
        <w:t xml:space="preserve">. </w:t>
      </w:r>
      <w:bookmarkStart w:id="238" w:name="Southumbria"/>
      <w:r w:rsidR="007C785D" w:rsidRPr="008E6548">
        <w:rPr>
          <w:b/>
        </w:rPr>
        <w:t>Southumbria</w:t>
      </w:r>
      <w:bookmarkEnd w:id="238"/>
      <w:r w:rsidR="007C785D" w:rsidRPr="008E6548">
        <w:rPr>
          <w:b/>
        </w:rPr>
        <w:t>n pale gold</w:t>
      </w:r>
      <w:r w:rsidR="008960AE" w:rsidRPr="008E6548">
        <w:rPr>
          <w:b/>
        </w:rPr>
        <w:fldChar w:fldCharType="begin"/>
      </w:r>
      <w:r w:rsidR="008960AE" w:rsidRPr="008E6548">
        <w:rPr>
          <w:b/>
        </w:rPr>
        <w:instrText xml:space="preserve"> XE "</w:instrText>
      </w:r>
      <w:r w:rsidR="008960AE" w:rsidRPr="008E6548">
        <w:rPr>
          <w:rFonts w:eastAsia="Times New Roman" w:cs="Times New Roman"/>
          <w:b/>
          <w:lang w:eastAsia="en-GB"/>
        </w:rPr>
        <w:instrText>gold</w:instrText>
      </w:r>
      <w:r w:rsidR="008960AE" w:rsidRPr="008E6548">
        <w:rPr>
          <w:b/>
        </w:rPr>
        <w:instrText xml:space="preserve">" </w:instrText>
      </w:r>
      <w:r w:rsidR="008960AE" w:rsidRPr="008E6548">
        <w:rPr>
          <w:b/>
        </w:rPr>
        <w:fldChar w:fldCharType="end"/>
      </w:r>
      <w:r w:rsidR="007C785D" w:rsidRPr="008E6548">
        <w:rPr>
          <w:b/>
        </w:rPr>
        <w:t xml:space="preserve"> shilling</w:t>
      </w:r>
      <w:r w:rsidR="00F204A1" w:rsidRPr="008E6548">
        <w:rPr>
          <w:b/>
        </w:rPr>
        <w:fldChar w:fldCharType="begin"/>
      </w:r>
      <w:r w:rsidR="00F204A1" w:rsidRPr="008E6548">
        <w:rPr>
          <w:b/>
        </w:rPr>
        <w:instrText xml:space="preserve"> XE "</w:instrText>
      </w:r>
      <w:r w:rsidR="00F204A1" w:rsidRPr="008E6548">
        <w:rPr>
          <w:rStyle w:val="Hyperlink"/>
          <w:b/>
          <w:noProof/>
          <w:u w:val="none"/>
        </w:rPr>
        <w:instrText>pale gold shilling</w:instrText>
      </w:r>
      <w:r w:rsidR="00F204A1" w:rsidRPr="008E6548">
        <w:rPr>
          <w:b/>
        </w:rPr>
        <w:instrText xml:space="preserve">" </w:instrText>
      </w:r>
      <w:r w:rsidR="00F204A1" w:rsidRPr="008E6548">
        <w:rPr>
          <w:b/>
        </w:rPr>
        <w:fldChar w:fldCharType="end"/>
      </w:r>
      <w:r w:rsidR="007C785D" w:rsidRPr="008E6548">
        <w:rPr>
          <w:b/>
        </w:rPr>
        <w:t xml:space="preserve">, </w:t>
      </w:r>
      <w:r w:rsidR="002132F1">
        <w:rPr>
          <w:b/>
          <w:i/>
        </w:rPr>
        <w:t>c.</w:t>
      </w:r>
      <w:r w:rsidR="007C785D" w:rsidRPr="008E6548">
        <w:rPr>
          <w:b/>
        </w:rPr>
        <w:t>670s</w:t>
      </w:r>
      <w:bookmarkEnd w:id="237"/>
    </w:p>
    <w:p w14:paraId="21FDCBC6" w14:textId="091C4757" w:rsidR="007C785D" w:rsidRPr="00EC0229" w:rsidRDefault="007C785D" w:rsidP="007600EA">
      <w:pPr>
        <w:spacing w:line="360" w:lineRule="auto"/>
        <w:rPr>
          <w:rFonts w:cs="Times New Roman"/>
          <w:szCs w:val="66"/>
        </w:rPr>
      </w:pPr>
      <w:r w:rsidRPr="00EC0229">
        <w:rPr>
          <w:rFonts w:cs="Times New Roman"/>
          <w:szCs w:val="66"/>
        </w:rPr>
        <w:t>In England, the transition from gold</w:t>
      </w:r>
      <w:r w:rsidR="008960AE" w:rsidRPr="00EC0229">
        <w:rPr>
          <w:rFonts w:cs="Times New Roman"/>
          <w:szCs w:val="66"/>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66"/>
        </w:rPr>
        <w:fldChar w:fldCharType="end"/>
      </w:r>
      <w:r w:rsidRPr="00EC0229">
        <w:rPr>
          <w:rFonts w:cs="Times New Roman"/>
          <w:szCs w:val="66"/>
        </w:rPr>
        <w:t xml:space="preserve"> to silver was both gradual and erratic with the gold content declining from </w:t>
      </w:r>
      <w:r w:rsidRPr="00EC0229">
        <w:rPr>
          <w:rFonts w:cs="Times New Roman"/>
          <w:i/>
          <w:szCs w:val="66"/>
        </w:rPr>
        <w:t>c</w:t>
      </w:r>
      <w:r w:rsidRPr="00EC0229">
        <w:rPr>
          <w:rFonts w:cs="Times New Roman"/>
          <w:szCs w:val="66"/>
        </w:rPr>
        <w:t xml:space="preserve">.60% fine for the Crondall and ‘ultra-Crondall’ issues in the period </w:t>
      </w:r>
      <w:r w:rsidR="002132F1">
        <w:rPr>
          <w:rFonts w:cs="Times New Roman"/>
          <w:i/>
          <w:szCs w:val="66"/>
        </w:rPr>
        <w:t>c.</w:t>
      </w:r>
      <w:r w:rsidRPr="00EC0229">
        <w:rPr>
          <w:rFonts w:cs="Times New Roman"/>
          <w:szCs w:val="66"/>
        </w:rPr>
        <w:t xml:space="preserve">630 – </w:t>
      </w:r>
      <w:r w:rsidR="002132F1">
        <w:rPr>
          <w:rFonts w:cs="Times New Roman"/>
          <w:i/>
          <w:szCs w:val="66"/>
        </w:rPr>
        <w:t>c.</w:t>
      </w:r>
      <w:r w:rsidRPr="00EC0229">
        <w:rPr>
          <w:rFonts w:cs="Times New Roman"/>
          <w:szCs w:val="66"/>
        </w:rPr>
        <w:t>655, to the ‘post-Crondall’ gold content of 10-35%</w:t>
      </w:r>
      <w:r w:rsidR="00CD27A3" w:rsidRPr="00EC0229">
        <w:rPr>
          <w:rFonts w:cs="Times New Roman"/>
          <w:szCs w:val="66"/>
        </w:rPr>
        <w:t xml:space="preserve"> </w:t>
      </w:r>
      <w:r w:rsidR="00CD27A3"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_Ref430246030 \h </w:instrText>
      </w:r>
      <w:r w:rsidR="000A7CD7"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13</w:t>
      </w:r>
      <w:r w:rsidR="008C418A" w:rsidRPr="00EC0229">
        <w:rPr>
          <w:rFonts w:cs="Times New Roman"/>
          <w:szCs w:val="24"/>
        </w:rPr>
        <w:fldChar w:fldCharType="end"/>
      </w:r>
      <w:r w:rsidR="00CD27A3" w:rsidRPr="00EC0229">
        <w:rPr>
          <w:rFonts w:cs="Times New Roman"/>
          <w:szCs w:val="66"/>
        </w:rPr>
        <w:t>)</w:t>
      </w:r>
      <w:r w:rsidRPr="00EC0229">
        <w:rPr>
          <w:rFonts w:cs="Times New Roman"/>
          <w:szCs w:val="66"/>
        </w:rPr>
        <w:t xml:space="preserve">. </w:t>
      </w:r>
    </w:p>
    <w:p w14:paraId="207F2D52" w14:textId="77777777" w:rsidR="007C785D" w:rsidRPr="00EC0229" w:rsidRDefault="007C785D" w:rsidP="007600EA">
      <w:pPr>
        <w:pStyle w:val="NoSpacing"/>
        <w:spacing w:line="360" w:lineRule="auto"/>
        <w:jc w:val="center"/>
      </w:pPr>
      <w:r w:rsidRPr="00EC0229">
        <w:rPr>
          <w:noProof/>
          <w:lang w:eastAsia="en-GB"/>
        </w:rPr>
        <w:lastRenderedPageBreak/>
        <w:drawing>
          <wp:inline distT="0" distB="0" distL="0" distR="0" wp14:anchorId="52393F8F" wp14:editId="79482E15">
            <wp:extent cx="885760" cy="86804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6. Crispus.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03908" cy="885830"/>
                    </a:xfrm>
                    <a:prstGeom prst="rect">
                      <a:avLst/>
                    </a:prstGeom>
                  </pic:spPr>
                </pic:pic>
              </a:graphicData>
            </a:graphic>
          </wp:inline>
        </w:drawing>
      </w:r>
      <w:r w:rsidRPr="00EC0229">
        <w:rPr>
          <w:noProof/>
          <w:lang w:eastAsia="en-GB"/>
        </w:rPr>
        <w:drawing>
          <wp:inline distT="0" distB="0" distL="0" distR="0" wp14:anchorId="611CD35D" wp14:editId="29E57AD1">
            <wp:extent cx="921884" cy="8604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6. Crispus R.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41775" cy="878990"/>
                    </a:xfrm>
                    <a:prstGeom prst="rect">
                      <a:avLst/>
                    </a:prstGeom>
                  </pic:spPr>
                </pic:pic>
              </a:graphicData>
            </a:graphic>
          </wp:inline>
        </w:drawing>
      </w:r>
      <w:r w:rsidRPr="00EC0229">
        <w:tab/>
        <w:t xml:space="preserve">     </w:t>
      </w:r>
      <w:r w:rsidRPr="00EC0229">
        <w:rPr>
          <w:noProof/>
          <w:lang w:eastAsia="en-GB"/>
        </w:rPr>
        <w:drawing>
          <wp:inline distT="0" distB="0" distL="0" distR="0" wp14:anchorId="63A56A35" wp14:editId="5BE85BA1">
            <wp:extent cx="883920" cy="85887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8. Oath-taking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95158" cy="869795"/>
                    </a:xfrm>
                    <a:prstGeom prst="rect">
                      <a:avLst/>
                    </a:prstGeom>
                  </pic:spPr>
                </pic:pic>
              </a:graphicData>
            </a:graphic>
          </wp:inline>
        </w:drawing>
      </w:r>
      <w:r w:rsidRPr="00EC0229">
        <w:t xml:space="preserve">  </w:t>
      </w:r>
      <w:r w:rsidRPr="00EC0229">
        <w:rPr>
          <w:noProof/>
          <w:lang w:eastAsia="en-GB"/>
        </w:rPr>
        <w:drawing>
          <wp:inline distT="0" distB="0" distL="0" distR="0" wp14:anchorId="7C100A4C" wp14:editId="0E680B82">
            <wp:extent cx="871135" cy="860972"/>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 Oath-taking 1 R.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99110" cy="888621"/>
                    </a:xfrm>
                    <a:prstGeom prst="rect">
                      <a:avLst/>
                    </a:prstGeom>
                  </pic:spPr>
                </pic:pic>
              </a:graphicData>
            </a:graphic>
          </wp:inline>
        </w:drawing>
      </w:r>
      <w:r w:rsidRPr="00EC0229">
        <w:t xml:space="preserve">    </w:t>
      </w:r>
      <w:r w:rsidRPr="00EC0229">
        <w:rPr>
          <w:noProof/>
          <w:lang w:eastAsia="en-GB"/>
        </w:rPr>
        <w:drawing>
          <wp:inline distT="0" distB="0" distL="0" distR="0" wp14:anchorId="488E447B" wp14:editId="14E5FCC0">
            <wp:extent cx="866436" cy="8534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9. Two Emperors 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00803" cy="887291"/>
                    </a:xfrm>
                    <a:prstGeom prst="rect">
                      <a:avLst/>
                    </a:prstGeom>
                  </pic:spPr>
                </pic:pic>
              </a:graphicData>
            </a:graphic>
          </wp:inline>
        </w:drawing>
      </w:r>
      <w:r w:rsidRPr="00EC0229">
        <w:rPr>
          <w:noProof/>
          <w:lang w:eastAsia="en-GB"/>
        </w:rPr>
        <w:drawing>
          <wp:inline distT="0" distB="0" distL="0" distR="0" wp14:anchorId="561E11F6" wp14:editId="5AA3FDC1">
            <wp:extent cx="846275" cy="815246"/>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 Two Emperors 3R.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65435" cy="833703"/>
                    </a:xfrm>
                    <a:prstGeom prst="rect">
                      <a:avLst/>
                    </a:prstGeom>
                  </pic:spPr>
                </pic:pic>
              </a:graphicData>
            </a:graphic>
          </wp:inline>
        </w:drawing>
      </w:r>
    </w:p>
    <w:p w14:paraId="49FA53B8" w14:textId="37002F05" w:rsidR="007C785D" w:rsidRPr="00EC0229" w:rsidRDefault="00EE5F83" w:rsidP="007600EA">
      <w:pPr>
        <w:pStyle w:val="NoSpacing"/>
        <w:spacing w:line="360" w:lineRule="auto"/>
        <w:jc w:val="center"/>
        <w:rPr>
          <w:sz w:val="20"/>
          <w:szCs w:val="20"/>
        </w:rPr>
      </w:pPr>
      <w:bookmarkStart w:id="239" w:name="_Ref430246030"/>
      <w:bookmarkStart w:id="240" w:name="_Toc46826698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13</w:t>
      </w:r>
      <w:r w:rsidRPr="00EC0229">
        <w:rPr>
          <w:sz w:val="20"/>
          <w:szCs w:val="20"/>
        </w:rPr>
        <w:fldChar w:fldCharType="end"/>
      </w:r>
      <w:bookmarkEnd w:id="239"/>
      <w:r w:rsidR="00CD27A3" w:rsidRPr="00EC0229">
        <w:rPr>
          <w:rFonts w:cs="Times New Roman"/>
          <w:sz w:val="20"/>
          <w:szCs w:val="20"/>
        </w:rPr>
        <w:t xml:space="preserve">: </w:t>
      </w:r>
      <w:r w:rsidR="007C785D" w:rsidRPr="00EC0229">
        <w:rPr>
          <w:rFonts w:cs="Times New Roman"/>
          <w:sz w:val="20"/>
          <w:szCs w:val="20"/>
        </w:rPr>
        <w:t>Declining</w:t>
      </w:r>
      <w:r w:rsidR="007C785D" w:rsidRPr="00EC0229">
        <w:rPr>
          <w:sz w:val="20"/>
          <w:szCs w:val="20"/>
        </w:rPr>
        <w:t xml:space="preserve"> </w:t>
      </w:r>
      <w:r w:rsidR="007C785D" w:rsidRPr="00EC0229">
        <w:rPr>
          <w:rFonts w:cs="Times New Roman"/>
          <w:sz w:val="20"/>
          <w:szCs w:val="20"/>
        </w:rPr>
        <w:t>gold</w:t>
      </w:r>
      <w:r w:rsidR="008960AE" w:rsidRPr="00EC0229">
        <w:rPr>
          <w:rFonts w:cs="Times New Roman"/>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gold</w:instrText>
      </w:r>
      <w:r w:rsidR="008960AE" w:rsidRPr="00EC0229">
        <w:rPr>
          <w:sz w:val="20"/>
          <w:szCs w:val="20"/>
        </w:rPr>
        <w:instrText xml:space="preserve">" </w:instrText>
      </w:r>
      <w:r w:rsidR="008960AE" w:rsidRPr="00EC0229">
        <w:rPr>
          <w:rFonts w:cs="Times New Roman"/>
          <w:sz w:val="20"/>
          <w:szCs w:val="20"/>
        </w:rPr>
        <w:fldChar w:fldCharType="end"/>
      </w:r>
      <w:r w:rsidR="007C785D" w:rsidRPr="00EC0229">
        <w:rPr>
          <w:rFonts w:cs="Times New Roman"/>
          <w:sz w:val="20"/>
          <w:szCs w:val="20"/>
        </w:rPr>
        <w:t xml:space="preserve"> content in </w:t>
      </w:r>
      <w:r w:rsidRPr="00EC0229">
        <w:rPr>
          <w:sz w:val="20"/>
          <w:szCs w:val="20"/>
        </w:rPr>
        <w:t>Post-Crondall thrymsas</w:t>
      </w:r>
      <w:bookmarkEnd w:id="240"/>
    </w:p>
    <w:p w14:paraId="236A84C6" w14:textId="77777777" w:rsidR="007C785D" w:rsidRPr="00EC0229" w:rsidRDefault="007C785D" w:rsidP="007600EA">
      <w:pPr>
        <w:pStyle w:val="NoSpacing"/>
        <w:spacing w:line="360" w:lineRule="auto"/>
        <w:jc w:val="center"/>
        <w:rPr>
          <w:sz w:val="20"/>
          <w:szCs w:val="20"/>
        </w:rPr>
      </w:pPr>
      <w:r w:rsidRPr="00EC0229">
        <w:rPr>
          <w:sz w:val="20"/>
          <w:szCs w:val="20"/>
        </w:rPr>
        <w:t>‘Crispus’, ‘Oath-taking’ (found King's Lynn.) and ‘Two emperors’ (found (Diss) "near Burgate") types.</w:t>
      </w:r>
    </w:p>
    <w:p w14:paraId="6A621AC2" w14:textId="77777777" w:rsidR="00350160" w:rsidRPr="00EC0229" w:rsidRDefault="00350160" w:rsidP="007600EA">
      <w:pPr>
        <w:pStyle w:val="NoSpacing"/>
        <w:spacing w:line="360" w:lineRule="auto"/>
        <w:rPr>
          <w:sz w:val="20"/>
          <w:szCs w:val="20"/>
        </w:rPr>
      </w:pPr>
    </w:p>
    <w:p w14:paraId="2900D203" w14:textId="5074F86A" w:rsidR="00AD7AF2" w:rsidRPr="00EC0229" w:rsidRDefault="00AD7AF2" w:rsidP="007600EA">
      <w:pPr>
        <w:pStyle w:val="NoSpacing"/>
        <w:spacing w:line="360" w:lineRule="auto"/>
        <w:rPr>
          <w:szCs w:val="24"/>
        </w:rPr>
      </w:pPr>
      <w:r w:rsidRPr="00EC0229">
        <w:rPr>
          <w:szCs w:val="24"/>
        </w:rPr>
        <w:t xml:space="preserve">That these were present in Northumbria is evident from a </w:t>
      </w:r>
      <w:r w:rsidR="00D15515" w:rsidRPr="00EC0229">
        <w:rPr>
          <w:szCs w:val="24"/>
        </w:rPr>
        <w:t>20% gold shilling, dating to the third quarter of the seventh century,</w:t>
      </w:r>
      <w:r w:rsidRPr="00EC0229">
        <w:rPr>
          <w:szCs w:val="24"/>
        </w:rPr>
        <w:t xml:space="preserve"> from </w:t>
      </w:r>
      <w:bookmarkStart w:id="241" w:name="BulmerBeck"/>
      <w:bookmarkEnd w:id="241"/>
      <w:r w:rsidRPr="00EC0229">
        <w:rPr>
          <w:szCs w:val="24"/>
        </w:rPr>
        <w:t>Bulmer B</w:t>
      </w:r>
      <w:r w:rsidR="00D15515" w:rsidRPr="00EC0229">
        <w:rPr>
          <w:szCs w:val="24"/>
        </w:rPr>
        <w:t xml:space="preserve">eck. Blackburn described this </w:t>
      </w:r>
      <w:r w:rsidR="002440E5" w:rsidRPr="00EC0229">
        <w:rPr>
          <w:szCs w:val="24"/>
        </w:rPr>
        <w:t xml:space="preserve">unique, </w:t>
      </w:r>
      <w:r w:rsidR="00D15515" w:rsidRPr="00EC0229">
        <w:rPr>
          <w:szCs w:val="24"/>
        </w:rPr>
        <w:t>floral reverse</w:t>
      </w:r>
      <w:r w:rsidR="002440E5" w:rsidRPr="00EC0229">
        <w:rPr>
          <w:szCs w:val="24"/>
        </w:rPr>
        <w:t>,</w:t>
      </w:r>
      <w:r w:rsidR="00D15515" w:rsidRPr="00EC0229">
        <w:rPr>
          <w:szCs w:val="24"/>
        </w:rPr>
        <w:t xml:space="preserve"> find as ‘intended to function as a coin and not as an ornament’</w:t>
      </w:r>
      <w:r w:rsidR="003110CB" w:rsidRPr="00EC0229">
        <w:rPr>
          <w:szCs w:val="24"/>
        </w:rPr>
        <w:t>,</w:t>
      </w:r>
      <w:r w:rsidR="00FF05B4" w:rsidRPr="00EC0229">
        <w:rPr>
          <w:szCs w:val="24"/>
        </w:rPr>
        <w:t xml:space="preserve"> (</w:t>
      </w:r>
      <w:r w:rsidR="008C418A" w:rsidRPr="00EC0229">
        <w:rPr>
          <w:i/>
          <w:szCs w:val="24"/>
        </w:rPr>
        <w:fldChar w:fldCharType="begin"/>
      </w:r>
      <w:r w:rsidR="008C418A" w:rsidRPr="00EC0229">
        <w:rPr>
          <w:i/>
          <w:szCs w:val="24"/>
        </w:rPr>
        <w:instrText xml:space="preserve"> REF _Ref430246039 \h </w:instrText>
      </w:r>
      <w:r w:rsidR="000A7CD7" w:rsidRPr="00EC0229">
        <w:rPr>
          <w:i/>
          <w:szCs w:val="24"/>
        </w:rPr>
        <w:instrText xml:space="preserve"> \* MERGEFORMAT </w:instrText>
      </w:r>
      <w:r w:rsidR="008C418A" w:rsidRPr="00EC0229">
        <w:rPr>
          <w:i/>
          <w:szCs w:val="24"/>
        </w:rPr>
      </w:r>
      <w:r w:rsidR="008C418A" w:rsidRPr="00EC0229">
        <w:rPr>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14</w:t>
      </w:r>
      <w:r w:rsidR="008C418A" w:rsidRPr="00EC0229">
        <w:rPr>
          <w:szCs w:val="24"/>
        </w:rPr>
        <w:fldChar w:fldCharType="end"/>
      </w:r>
      <w:r w:rsidR="00FF05B4" w:rsidRPr="00EC0229">
        <w:rPr>
          <w:szCs w:val="24"/>
        </w:rPr>
        <w:t>)</w:t>
      </w:r>
      <w:r w:rsidR="00D15515" w:rsidRPr="00EC0229">
        <w:rPr>
          <w:szCs w:val="24"/>
        </w:rPr>
        <w:t>.</w:t>
      </w:r>
      <w:r w:rsidR="007F0CC9" w:rsidRPr="00EC0229">
        <w:rPr>
          <w:rStyle w:val="FootnoteReference"/>
          <w:sz w:val="20"/>
          <w:szCs w:val="20"/>
        </w:rPr>
        <w:t xml:space="preserve"> </w:t>
      </w:r>
      <w:r w:rsidR="007F0CC9" w:rsidRPr="00EC0229">
        <w:rPr>
          <w:rStyle w:val="FootnoteReference"/>
          <w:sz w:val="20"/>
          <w:szCs w:val="20"/>
        </w:rPr>
        <w:footnoteReference w:id="484"/>
      </w:r>
      <w:r w:rsidR="00D15515" w:rsidRPr="00EC0229">
        <w:rPr>
          <w:szCs w:val="24"/>
        </w:rPr>
        <w:t xml:space="preserve"> </w:t>
      </w:r>
    </w:p>
    <w:p w14:paraId="144E65F2" w14:textId="50AB2C54" w:rsidR="00F62A2A" w:rsidRPr="00EC0229" w:rsidRDefault="00F62A2A" w:rsidP="007600EA">
      <w:pPr>
        <w:spacing w:line="360" w:lineRule="auto"/>
        <w:jc w:val="center"/>
        <w:rPr>
          <w:rFonts w:cs="Times New Roman"/>
          <w:szCs w:val="66"/>
        </w:rPr>
      </w:pPr>
      <w:r w:rsidRPr="00EC0229">
        <w:rPr>
          <w:rFonts w:cs="Times New Roman"/>
          <w:noProof/>
          <w:szCs w:val="66"/>
          <w:lang w:eastAsia="en-GB"/>
        </w:rPr>
        <w:drawing>
          <wp:inline distT="0" distB="0" distL="0" distR="0" wp14:anchorId="585FA7AB" wp14:editId="68B0355E">
            <wp:extent cx="980798" cy="9347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ulmer Beck Daisy type gold shilling.jpg"/>
                    <pic:cNvPicPr/>
                  </pic:nvPicPr>
                  <pic:blipFill>
                    <a:blip r:embed="rId61">
                      <a:extLst>
                        <a:ext uri="{28A0092B-C50C-407E-A947-70E740481C1C}">
                          <a14:useLocalDpi xmlns:a14="http://schemas.microsoft.com/office/drawing/2010/main" val="0"/>
                        </a:ext>
                      </a:extLst>
                    </a:blip>
                    <a:stretch>
                      <a:fillRect/>
                    </a:stretch>
                  </pic:blipFill>
                  <pic:spPr>
                    <a:xfrm>
                      <a:off x="0" y="0"/>
                      <a:ext cx="989531" cy="943043"/>
                    </a:xfrm>
                    <a:prstGeom prst="rect">
                      <a:avLst/>
                    </a:prstGeom>
                  </pic:spPr>
                </pic:pic>
              </a:graphicData>
            </a:graphic>
          </wp:inline>
        </w:drawing>
      </w:r>
      <w:r w:rsidRPr="00EC0229">
        <w:rPr>
          <w:rFonts w:cs="Times New Roman"/>
          <w:noProof/>
          <w:szCs w:val="66"/>
          <w:lang w:eastAsia="en-GB"/>
        </w:rPr>
        <w:drawing>
          <wp:inline distT="0" distB="0" distL="0" distR="0" wp14:anchorId="3AA7A223" wp14:editId="4C03F075">
            <wp:extent cx="1005840" cy="926432"/>
            <wp:effectExtent l="0" t="0" r="3810" b="762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Bulmer Beck Daisy type gold shilling R.jpg"/>
                    <pic:cNvPicPr/>
                  </pic:nvPicPr>
                  <pic:blipFill>
                    <a:blip r:embed="rId62">
                      <a:extLst>
                        <a:ext uri="{28A0092B-C50C-407E-A947-70E740481C1C}">
                          <a14:useLocalDpi xmlns:a14="http://schemas.microsoft.com/office/drawing/2010/main" val="0"/>
                        </a:ext>
                      </a:extLst>
                    </a:blip>
                    <a:stretch>
                      <a:fillRect/>
                    </a:stretch>
                  </pic:blipFill>
                  <pic:spPr>
                    <a:xfrm>
                      <a:off x="0" y="0"/>
                      <a:ext cx="1016614" cy="936355"/>
                    </a:xfrm>
                    <a:prstGeom prst="rect">
                      <a:avLst/>
                    </a:prstGeom>
                  </pic:spPr>
                </pic:pic>
              </a:graphicData>
            </a:graphic>
          </wp:inline>
        </w:drawing>
      </w:r>
      <w:r w:rsidRPr="00EC0229">
        <w:rPr>
          <w:rFonts w:cs="Times New Roman"/>
          <w:szCs w:val="66"/>
        </w:rPr>
        <w:t xml:space="preserve"> </w:t>
      </w:r>
    </w:p>
    <w:p w14:paraId="1EA9AA7D" w14:textId="3B259824" w:rsidR="00F62A2A" w:rsidRPr="00EC0229" w:rsidRDefault="00EE5F83" w:rsidP="007600EA">
      <w:pPr>
        <w:pStyle w:val="NoSpacing"/>
        <w:spacing w:line="360" w:lineRule="auto"/>
        <w:jc w:val="center"/>
        <w:rPr>
          <w:sz w:val="20"/>
          <w:szCs w:val="20"/>
        </w:rPr>
      </w:pPr>
      <w:bookmarkStart w:id="242" w:name="_Ref430246039"/>
      <w:bookmarkStart w:id="243" w:name="_Toc46826698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14</w:t>
      </w:r>
      <w:r w:rsidRPr="00EC0229">
        <w:rPr>
          <w:sz w:val="20"/>
          <w:szCs w:val="20"/>
        </w:rPr>
        <w:fldChar w:fldCharType="end"/>
      </w:r>
      <w:bookmarkEnd w:id="242"/>
      <w:r w:rsidR="00F62A2A" w:rsidRPr="00EC0229">
        <w:rPr>
          <w:sz w:val="20"/>
          <w:szCs w:val="20"/>
        </w:rPr>
        <w:t xml:space="preserve">: </w:t>
      </w:r>
      <w:r w:rsidR="005B044E" w:rsidRPr="00EC0229">
        <w:rPr>
          <w:sz w:val="20"/>
          <w:szCs w:val="20"/>
        </w:rPr>
        <w:t>U</w:t>
      </w:r>
      <w:r w:rsidR="00350160" w:rsidRPr="00EC0229">
        <w:rPr>
          <w:sz w:val="20"/>
          <w:szCs w:val="20"/>
        </w:rPr>
        <w:t xml:space="preserve">nique </w:t>
      </w:r>
      <w:r w:rsidR="00572E51" w:rsidRPr="00EC0229">
        <w:rPr>
          <w:sz w:val="20"/>
          <w:szCs w:val="20"/>
        </w:rPr>
        <w:t>Southumbria</w:t>
      </w:r>
      <w:r w:rsidR="00F62A2A" w:rsidRPr="00EC0229">
        <w:rPr>
          <w:sz w:val="20"/>
          <w:szCs w:val="20"/>
        </w:rPr>
        <w:t xml:space="preserve">n gold shilling </w:t>
      </w:r>
      <w:r w:rsidR="002132F1">
        <w:rPr>
          <w:i/>
          <w:sz w:val="20"/>
          <w:szCs w:val="20"/>
        </w:rPr>
        <w:t>c.</w:t>
      </w:r>
      <w:r w:rsidR="00F62A2A" w:rsidRPr="00EC0229">
        <w:rPr>
          <w:sz w:val="20"/>
          <w:szCs w:val="20"/>
        </w:rPr>
        <w:t>6</w:t>
      </w:r>
      <w:r w:rsidR="00A732AA" w:rsidRPr="00EC0229">
        <w:rPr>
          <w:sz w:val="20"/>
          <w:szCs w:val="20"/>
        </w:rPr>
        <w:t>50-</w:t>
      </w:r>
      <w:r w:rsidR="00F62A2A" w:rsidRPr="00EC0229">
        <w:rPr>
          <w:sz w:val="20"/>
          <w:szCs w:val="20"/>
        </w:rPr>
        <w:t xml:space="preserve">75, </w:t>
      </w:r>
      <w:r w:rsidR="002132F1">
        <w:rPr>
          <w:i/>
          <w:sz w:val="20"/>
          <w:szCs w:val="20"/>
        </w:rPr>
        <w:t>c.</w:t>
      </w:r>
      <w:r w:rsidR="00350160" w:rsidRPr="00EC0229">
        <w:rPr>
          <w:sz w:val="20"/>
          <w:szCs w:val="20"/>
        </w:rPr>
        <w:t xml:space="preserve">20% gold, </w:t>
      </w:r>
      <w:r w:rsidR="00F62A2A" w:rsidRPr="00EC0229">
        <w:rPr>
          <w:sz w:val="20"/>
          <w:szCs w:val="20"/>
        </w:rPr>
        <w:t>found Bulmer Beck</w:t>
      </w:r>
      <w:bookmarkEnd w:id="243"/>
    </w:p>
    <w:p w14:paraId="48746BFB" w14:textId="5CFFB215" w:rsidR="007C785D" w:rsidRPr="00EC0229" w:rsidRDefault="007C785D" w:rsidP="007600EA">
      <w:pPr>
        <w:pStyle w:val="NoSpacing"/>
        <w:spacing w:line="360" w:lineRule="auto"/>
        <w:jc w:val="center"/>
        <w:rPr>
          <w:sz w:val="20"/>
          <w:szCs w:val="20"/>
        </w:rPr>
      </w:pPr>
    </w:p>
    <w:p w14:paraId="355F6409" w14:textId="6E499754" w:rsidR="007C785D" w:rsidRPr="00EC0229" w:rsidRDefault="00350160" w:rsidP="007600EA">
      <w:pPr>
        <w:spacing w:line="360" w:lineRule="auto"/>
        <w:rPr>
          <w:rFonts w:cs="Times New Roman"/>
          <w:szCs w:val="66"/>
        </w:rPr>
      </w:pPr>
      <w:r w:rsidRPr="00EC0229">
        <w:rPr>
          <w:rFonts w:cs="Times New Roman"/>
          <w:szCs w:val="66"/>
        </w:rPr>
        <w:t>From</w:t>
      </w:r>
      <w:r w:rsidR="007C785D" w:rsidRPr="00EC0229">
        <w:rPr>
          <w:rFonts w:cs="Times New Roman"/>
          <w:szCs w:val="66"/>
        </w:rPr>
        <w:t xml:space="preserve"> </w:t>
      </w:r>
      <w:r w:rsidRPr="00EC0229">
        <w:rPr>
          <w:rFonts w:cs="Times New Roman"/>
          <w:i/>
          <w:szCs w:val="66"/>
        </w:rPr>
        <w:t>c</w:t>
      </w:r>
      <w:r w:rsidRPr="00EC0229">
        <w:rPr>
          <w:rFonts w:cs="Times New Roman"/>
          <w:szCs w:val="66"/>
        </w:rPr>
        <w:t>.</w:t>
      </w:r>
      <w:r w:rsidR="007C785D" w:rsidRPr="00EC0229">
        <w:rPr>
          <w:rFonts w:cs="Times New Roman"/>
          <w:szCs w:val="66"/>
        </w:rPr>
        <w:t>675, some ‘pale gold</w:t>
      </w:r>
      <w:r w:rsidR="008960AE" w:rsidRPr="00EC0229">
        <w:rPr>
          <w:rFonts w:cs="Times New Roman"/>
          <w:szCs w:val="66"/>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66"/>
        </w:rPr>
        <w:fldChar w:fldCharType="end"/>
      </w:r>
      <w:r w:rsidR="007C785D" w:rsidRPr="00EC0229">
        <w:rPr>
          <w:rFonts w:cs="Times New Roman"/>
          <w:szCs w:val="66"/>
        </w:rPr>
        <w:t>’ shillings contained as little as 4-5% gold.</w:t>
      </w:r>
      <w:r w:rsidR="007C785D" w:rsidRPr="00EC0229">
        <w:rPr>
          <w:rStyle w:val="FootnoteReference"/>
          <w:rFonts w:cs="Times New Roman"/>
          <w:szCs w:val="66"/>
        </w:rPr>
        <w:footnoteReference w:id="485"/>
      </w:r>
      <w:r w:rsidR="007C785D" w:rsidRPr="00EC0229">
        <w:rPr>
          <w:rFonts w:cs="Times New Roman"/>
          <w:szCs w:val="66"/>
        </w:rPr>
        <w:t xml:space="preserve"> A distinct phase in the decade to </w:t>
      </w:r>
      <w:r w:rsidR="002132F1">
        <w:rPr>
          <w:rFonts w:cs="Times New Roman"/>
          <w:i/>
          <w:szCs w:val="66"/>
        </w:rPr>
        <w:t>c.</w:t>
      </w:r>
      <w:r w:rsidR="007C785D" w:rsidRPr="00EC0229">
        <w:rPr>
          <w:rFonts w:cs="Times New Roman"/>
          <w:szCs w:val="66"/>
        </w:rPr>
        <w:t xml:space="preserve">685, shows the emissions of only two named, Kentish, moneyers, Pada </w:t>
      </w:r>
      <w:r w:rsidR="0021140C"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_Ref430246053 \h </w:instrText>
      </w:r>
      <w:r w:rsidR="000A7CD7"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15</w:t>
      </w:r>
      <w:r w:rsidR="008C418A" w:rsidRPr="00EC0229">
        <w:rPr>
          <w:rFonts w:cs="Times New Roman"/>
          <w:szCs w:val="24"/>
        </w:rPr>
        <w:fldChar w:fldCharType="end"/>
      </w:r>
      <w:r w:rsidR="00CD27A3" w:rsidRPr="00EC0229">
        <w:rPr>
          <w:rFonts w:cs="Times New Roman"/>
          <w:szCs w:val="66"/>
        </w:rPr>
        <w:t xml:space="preserve">) </w:t>
      </w:r>
      <w:r w:rsidR="007C785D" w:rsidRPr="00EC0229">
        <w:rPr>
          <w:rFonts w:cs="Times New Roman"/>
          <w:szCs w:val="66"/>
        </w:rPr>
        <w:t>and 'Vanimundus'</w:t>
      </w:r>
      <w:r w:rsidR="0021140C" w:rsidRPr="00EC0229">
        <w:rPr>
          <w:rFonts w:cs="Times New Roman"/>
          <w:szCs w:val="66"/>
        </w:rPr>
        <w:t xml:space="preserve"> </w:t>
      </w:r>
      <w:r w:rsidR="0021140C"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_Ref430246063 \h </w:instrText>
      </w:r>
      <w:r w:rsidR="000A7CD7"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16</w:t>
      </w:r>
      <w:r w:rsidR="008C418A" w:rsidRPr="00EC0229">
        <w:rPr>
          <w:rFonts w:cs="Times New Roman"/>
          <w:szCs w:val="24"/>
        </w:rPr>
        <w:fldChar w:fldCharType="end"/>
      </w:r>
      <w:r w:rsidR="00CD27A3" w:rsidRPr="00EC0229">
        <w:rPr>
          <w:rFonts w:cs="Times New Roman"/>
          <w:szCs w:val="66"/>
        </w:rPr>
        <w:t>)</w:t>
      </w:r>
      <w:r w:rsidR="007C785D" w:rsidRPr="00EC0229">
        <w:rPr>
          <w:rFonts w:cs="Times New Roman"/>
          <w:szCs w:val="66"/>
        </w:rPr>
        <w:t>, implying relatively stable control. Both issued in pale gold initially before eliminating gold entirely, presumably better to align with the imported Merovingian</w:t>
      </w:r>
      <w:r w:rsidR="004C29A9" w:rsidRPr="00EC0229">
        <w:rPr>
          <w:rFonts w:cs="Times New Roman"/>
          <w:szCs w:val="66"/>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rFonts w:cs="Times New Roman"/>
          <w:szCs w:val="66"/>
        </w:rPr>
        <w:fldChar w:fldCharType="end"/>
      </w:r>
      <w:r w:rsidR="007C785D" w:rsidRPr="00EC0229">
        <w:rPr>
          <w:rFonts w:cs="Times New Roman"/>
          <w:szCs w:val="66"/>
        </w:rPr>
        <w:t xml:space="preserve"> denier</w:t>
      </w:r>
      <w:r w:rsidR="004C29A9" w:rsidRPr="00EC0229">
        <w:rPr>
          <w:rFonts w:cs="Times New Roman"/>
          <w:szCs w:val="66"/>
        </w:rPr>
        <w:fldChar w:fldCharType="begin"/>
      </w:r>
      <w:r w:rsidR="004C29A9" w:rsidRPr="00EC0229">
        <w:instrText xml:space="preserve"> XE "</w:instrText>
      </w:r>
      <w:r w:rsidR="004C29A9" w:rsidRPr="00EC0229">
        <w:rPr>
          <w:rFonts w:cs="Times New Roman"/>
          <w:szCs w:val="24"/>
        </w:rPr>
        <w:instrText>denier</w:instrText>
      </w:r>
      <w:r w:rsidR="004C29A9" w:rsidRPr="00EC0229">
        <w:instrText xml:space="preserve">" </w:instrText>
      </w:r>
      <w:r w:rsidR="004C29A9" w:rsidRPr="00EC0229">
        <w:rPr>
          <w:rFonts w:cs="Times New Roman"/>
          <w:szCs w:val="66"/>
        </w:rPr>
        <w:fldChar w:fldCharType="end"/>
      </w:r>
      <w:r w:rsidR="007C785D" w:rsidRPr="00EC0229">
        <w:rPr>
          <w:rFonts w:cs="Times New Roman"/>
          <w:szCs w:val="66"/>
        </w:rPr>
        <w:t xml:space="preserve"> (see Period 4d</w:t>
      </w:r>
      <w:r w:rsidR="00F204A1" w:rsidRPr="00EC0229">
        <w:rPr>
          <w:rFonts w:cs="Times New Roman"/>
          <w:szCs w:val="66"/>
        </w:rPr>
        <w:fldChar w:fldCharType="begin"/>
      </w:r>
      <w:r w:rsidR="00F204A1" w:rsidRPr="00EC0229">
        <w:instrText xml:space="preserve"> XE "</w:instrText>
      </w:r>
      <w:r w:rsidR="00F204A1" w:rsidRPr="00EC0229">
        <w:rPr>
          <w:rStyle w:val="Hyperlink"/>
          <w:noProof/>
          <w:u w:val="none"/>
        </w:rPr>
        <w:instrText>Period 4d</w:instrText>
      </w:r>
      <w:r w:rsidR="00F204A1" w:rsidRPr="00EC0229">
        <w:instrText xml:space="preserve">" </w:instrText>
      </w:r>
      <w:r w:rsidR="00F204A1" w:rsidRPr="00EC0229">
        <w:rPr>
          <w:rFonts w:cs="Times New Roman"/>
          <w:szCs w:val="66"/>
        </w:rPr>
        <w:fldChar w:fldCharType="end"/>
      </w:r>
      <w:r w:rsidR="00407A82" w:rsidRPr="00EC0229">
        <w:rPr>
          <w:rFonts w:cs="Times New Roman"/>
          <w:szCs w:val="66"/>
        </w:rPr>
        <w:t xml:space="preserve">. </w:t>
      </w:r>
      <w:r w:rsidR="00407A82" w:rsidRPr="00EC0229">
        <w:rPr>
          <w:rFonts w:cs="Times New Roman"/>
          <w:szCs w:val="66"/>
        </w:rPr>
        <w:fldChar w:fldCharType="begin"/>
      </w:r>
      <w:r w:rsidR="00407A82" w:rsidRPr="00EC0229">
        <w:rPr>
          <w:rFonts w:cs="Times New Roman"/>
          <w:szCs w:val="66"/>
        </w:rPr>
        <w:instrText xml:space="preserve"> PAGEREF Period4d \h </w:instrText>
      </w:r>
      <w:r w:rsidR="00407A82" w:rsidRPr="00EC0229">
        <w:rPr>
          <w:rFonts w:cs="Times New Roman"/>
          <w:szCs w:val="66"/>
        </w:rPr>
      </w:r>
      <w:r w:rsidR="00407A82" w:rsidRPr="00EC0229">
        <w:rPr>
          <w:rFonts w:cs="Times New Roman"/>
          <w:szCs w:val="66"/>
        </w:rPr>
        <w:fldChar w:fldCharType="separate"/>
      </w:r>
      <w:r w:rsidR="0012026B">
        <w:rPr>
          <w:rFonts w:cs="Times New Roman"/>
          <w:noProof/>
          <w:szCs w:val="66"/>
        </w:rPr>
        <w:t>120</w:t>
      </w:r>
      <w:r w:rsidR="00407A82" w:rsidRPr="00EC0229">
        <w:rPr>
          <w:rFonts w:cs="Times New Roman"/>
          <w:szCs w:val="66"/>
        </w:rPr>
        <w:fldChar w:fldCharType="end"/>
      </w:r>
      <w:r w:rsidR="007C785D" w:rsidRPr="00EC0229">
        <w:rPr>
          <w:rFonts w:cs="Times New Roman"/>
          <w:szCs w:val="66"/>
        </w:rPr>
        <w:t>).</w:t>
      </w:r>
      <w:r w:rsidR="007C785D" w:rsidRPr="00EC0229">
        <w:rPr>
          <w:rStyle w:val="FootnoteReference"/>
          <w:rFonts w:cs="Times New Roman"/>
          <w:szCs w:val="66"/>
        </w:rPr>
        <w:footnoteReference w:id="486"/>
      </w:r>
    </w:p>
    <w:p w14:paraId="106A3763" w14:textId="77777777" w:rsidR="0021140C" w:rsidRPr="00EC0229" w:rsidRDefault="0021140C" w:rsidP="007600EA">
      <w:pPr>
        <w:pStyle w:val="NoSpacing"/>
        <w:spacing w:line="360" w:lineRule="auto"/>
        <w:jc w:val="center"/>
        <w:rPr>
          <w:sz w:val="20"/>
          <w:szCs w:val="20"/>
        </w:rPr>
      </w:pPr>
    </w:p>
    <w:p w14:paraId="278D7DAB" w14:textId="77777777" w:rsidR="007C785D" w:rsidRPr="00EC0229" w:rsidRDefault="007C785D" w:rsidP="007600EA">
      <w:pPr>
        <w:pStyle w:val="NoSpacing"/>
        <w:spacing w:line="360" w:lineRule="auto"/>
        <w:jc w:val="center"/>
        <w:rPr>
          <w:sz w:val="20"/>
          <w:szCs w:val="20"/>
        </w:rPr>
      </w:pPr>
      <w:r w:rsidRPr="00EC0229">
        <w:rPr>
          <w:noProof/>
          <w:lang w:eastAsia="en-GB"/>
        </w:rPr>
        <w:drawing>
          <wp:inline distT="0" distB="0" distL="0" distR="0" wp14:anchorId="604ACAD3" wp14:editId="3053E834">
            <wp:extent cx="1023166" cy="911548"/>
            <wp:effectExtent l="0" t="0" r="571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 PA0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33918" cy="921127"/>
                    </a:xfrm>
                    <a:prstGeom prst="rect">
                      <a:avLst/>
                    </a:prstGeom>
                  </pic:spPr>
                </pic:pic>
              </a:graphicData>
            </a:graphic>
          </wp:inline>
        </w:drawing>
      </w:r>
      <w:r w:rsidRPr="00EC0229">
        <w:rPr>
          <w:noProof/>
          <w:lang w:eastAsia="en-GB"/>
        </w:rPr>
        <w:drawing>
          <wp:inline distT="0" distB="0" distL="0" distR="0" wp14:anchorId="1DFFEDC8" wp14:editId="7E51D1CB">
            <wp:extent cx="1023711" cy="89916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 PA08R.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30562" cy="905177"/>
                    </a:xfrm>
                    <a:prstGeom prst="rect">
                      <a:avLst/>
                    </a:prstGeom>
                  </pic:spPr>
                </pic:pic>
              </a:graphicData>
            </a:graphic>
          </wp:inline>
        </w:drawing>
      </w:r>
      <w:r w:rsidRPr="00EC0229">
        <w:tab/>
      </w:r>
      <w:r w:rsidRPr="00EC0229">
        <w:tab/>
      </w:r>
      <w:r w:rsidRPr="00EC0229">
        <w:rPr>
          <w:noProof/>
          <w:lang w:eastAsia="en-GB"/>
        </w:rPr>
        <w:drawing>
          <wp:inline distT="0" distB="0" distL="0" distR="0" wp14:anchorId="23EA452B" wp14:editId="6D6C562A">
            <wp:extent cx="1013460" cy="984746"/>
            <wp:effectExtent l="0" t="0" r="0"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1-10 Pa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26182" cy="997107"/>
                    </a:xfrm>
                    <a:prstGeom prst="rect">
                      <a:avLst/>
                    </a:prstGeom>
                  </pic:spPr>
                </pic:pic>
              </a:graphicData>
            </a:graphic>
          </wp:inline>
        </w:drawing>
      </w:r>
      <w:r w:rsidRPr="00EC0229">
        <w:rPr>
          <w:noProof/>
          <w:lang w:eastAsia="en-GB"/>
        </w:rPr>
        <w:drawing>
          <wp:inline distT="0" distB="0" distL="0" distR="0" wp14:anchorId="70327766" wp14:editId="5B1B84DB">
            <wp:extent cx="960120" cy="99532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1-10 Pa02R.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70182" cy="1005756"/>
                    </a:xfrm>
                    <a:prstGeom prst="rect">
                      <a:avLst/>
                    </a:prstGeom>
                  </pic:spPr>
                </pic:pic>
              </a:graphicData>
            </a:graphic>
          </wp:inline>
        </w:drawing>
      </w:r>
      <w:r w:rsidRPr="00EC0229">
        <w:rPr>
          <w:sz w:val="20"/>
          <w:szCs w:val="20"/>
        </w:rPr>
        <w:t xml:space="preserve"> </w:t>
      </w:r>
    </w:p>
    <w:p w14:paraId="3B1AFBA4" w14:textId="0DEE0277" w:rsidR="00EE5F83" w:rsidRPr="00EC0229" w:rsidRDefault="00EE5F83" w:rsidP="007600EA">
      <w:pPr>
        <w:pStyle w:val="NoSpacing"/>
        <w:spacing w:line="360" w:lineRule="auto"/>
        <w:jc w:val="center"/>
        <w:rPr>
          <w:i/>
          <w:sz w:val="20"/>
          <w:szCs w:val="20"/>
        </w:rPr>
      </w:pPr>
      <w:bookmarkStart w:id="244" w:name="_Ref430246053"/>
      <w:bookmarkStart w:id="245" w:name="_Toc46826698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15</w:t>
      </w:r>
      <w:r w:rsidRPr="00EC0229">
        <w:rPr>
          <w:sz w:val="20"/>
          <w:szCs w:val="20"/>
        </w:rPr>
        <w:fldChar w:fldCharType="end"/>
      </w:r>
      <w:bookmarkEnd w:id="244"/>
      <w:r w:rsidR="00CD27A3" w:rsidRPr="00EC0229">
        <w:rPr>
          <w:sz w:val="20"/>
          <w:szCs w:val="20"/>
        </w:rPr>
        <w:t xml:space="preserve">: </w:t>
      </w:r>
      <w:r w:rsidR="007C785D" w:rsidRPr="00EC0229">
        <w:rPr>
          <w:sz w:val="20"/>
          <w:szCs w:val="20"/>
        </w:rPr>
        <w:t>Pale gold</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gold</w:instrText>
      </w:r>
      <w:r w:rsidR="008960AE" w:rsidRPr="00EC0229">
        <w:rPr>
          <w:sz w:val="20"/>
          <w:szCs w:val="20"/>
        </w:rPr>
        <w:instrText xml:space="preserve">" </w:instrText>
      </w:r>
      <w:r w:rsidR="008960AE" w:rsidRPr="00EC0229">
        <w:rPr>
          <w:sz w:val="20"/>
          <w:szCs w:val="20"/>
        </w:rPr>
        <w:fldChar w:fldCharType="end"/>
      </w:r>
      <w:r w:rsidR="007C785D" w:rsidRPr="00EC0229">
        <w:rPr>
          <w:sz w:val="20"/>
          <w:szCs w:val="20"/>
        </w:rPr>
        <w:t xml:space="preserve"> thrymsas: L. runic </w:t>
      </w:r>
      <w:r w:rsidR="007C785D" w:rsidRPr="00EC0229">
        <w:rPr>
          <w:i/>
          <w:sz w:val="20"/>
          <w:szCs w:val="20"/>
        </w:rPr>
        <w:t>Pada</w:t>
      </w:r>
      <w:r w:rsidR="00067FAA" w:rsidRPr="00EC0229">
        <w:rPr>
          <w:i/>
          <w:sz w:val="20"/>
          <w:szCs w:val="20"/>
        </w:rPr>
        <w:t>.</w:t>
      </w:r>
      <w:bookmarkEnd w:id="245"/>
    </w:p>
    <w:p w14:paraId="7A1ADF23" w14:textId="207FBCB6" w:rsidR="007C785D" w:rsidRPr="00EC0229" w:rsidRDefault="00067FAA" w:rsidP="007600EA">
      <w:pPr>
        <w:pStyle w:val="NoSpacing"/>
        <w:spacing w:line="360" w:lineRule="auto"/>
        <w:jc w:val="center"/>
        <w:rPr>
          <w:sz w:val="20"/>
          <w:szCs w:val="20"/>
        </w:rPr>
      </w:pPr>
      <w:r w:rsidRPr="00EC0229">
        <w:rPr>
          <w:sz w:val="20"/>
          <w:szCs w:val="20"/>
        </w:rPr>
        <w:t>T</w:t>
      </w:r>
      <w:r w:rsidR="007C785D" w:rsidRPr="00EC0229">
        <w:rPr>
          <w:sz w:val="20"/>
          <w:szCs w:val="20"/>
        </w:rPr>
        <w:t>ype PaIB. R. type PaIA (found near Sherburn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Sherburn</w:instrText>
      </w:r>
      <w:r w:rsidR="006B1593" w:rsidRPr="00EC0229">
        <w:rPr>
          <w:sz w:val="20"/>
          <w:szCs w:val="20"/>
        </w:rPr>
        <w:instrText xml:space="preserve">" </w:instrText>
      </w:r>
      <w:r w:rsidR="006B1593" w:rsidRPr="00EC0229">
        <w:rPr>
          <w:sz w:val="20"/>
          <w:szCs w:val="20"/>
        </w:rPr>
        <w:fldChar w:fldCharType="end"/>
      </w:r>
      <w:r w:rsidR="007C785D" w:rsidRPr="00EC0229">
        <w:rPr>
          <w:sz w:val="20"/>
          <w:szCs w:val="20"/>
        </w:rPr>
        <w:t xml:space="preserve">, </w:t>
      </w:r>
      <w:r w:rsidR="007C785D" w:rsidRPr="00EC0229">
        <w:rPr>
          <w:i/>
          <w:sz w:val="20"/>
          <w:szCs w:val="20"/>
        </w:rPr>
        <w:t>SL</w:t>
      </w:r>
      <w:r w:rsidR="007C785D" w:rsidRPr="00EC0229">
        <w:rPr>
          <w:sz w:val="20"/>
          <w:szCs w:val="20"/>
        </w:rPr>
        <w:t xml:space="preserve"> group 1)</w:t>
      </w:r>
    </w:p>
    <w:p w14:paraId="73EF2FA2" w14:textId="77777777" w:rsidR="007C785D" w:rsidRPr="00EC0229" w:rsidRDefault="007C785D" w:rsidP="007600EA">
      <w:pPr>
        <w:pStyle w:val="NoSpacing"/>
        <w:spacing w:line="360" w:lineRule="auto"/>
        <w:jc w:val="center"/>
      </w:pPr>
    </w:p>
    <w:p w14:paraId="3A0345AD" w14:textId="77777777" w:rsidR="007C785D" w:rsidRPr="00EC0229" w:rsidRDefault="007C785D" w:rsidP="007600EA">
      <w:pPr>
        <w:pStyle w:val="NoSpacing"/>
        <w:spacing w:line="360" w:lineRule="auto"/>
        <w:jc w:val="center"/>
      </w:pPr>
      <w:r w:rsidRPr="00EC0229">
        <w:lastRenderedPageBreak/>
        <w:tab/>
      </w:r>
      <w:r w:rsidRPr="00EC0229">
        <w:rPr>
          <w:noProof/>
          <w:lang w:eastAsia="en-GB"/>
        </w:rPr>
        <w:drawing>
          <wp:inline distT="0" distB="0" distL="0" distR="0" wp14:anchorId="49C4A8B0" wp14:editId="18884DB1">
            <wp:extent cx="967842" cy="961390"/>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1. VaB(3) Vanimundu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85967" cy="979394"/>
                    </a:xfrm>
                    <a:prstGeom prst="rect">
                      <a:avLst/>
                    </a:prstGeom>
                  </pic:spPr>
                </pic:pic>
              </a:graphicData>
            </a:graphic>
          </wp:inline>
        </w:drawing>
      </w:r>
      <w:r w:rsidRPr="00EC0229">
        <w:rPr>
          <w:noProof/>
          <w:lang w:eastAsia="en-GB"/>
        </w:rPr>
        <w:drawing>
          <wp:inline distT="0" distB="0" distL="0" distR="0" wp14:anchorId="40194C67" wp14:editId="2594E1BD">
            <wp:extent cx="982205" cy="965835"/>
            <wp:effectExtent l="0" t="0" r="889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1. VaB(3) Vanimundus R.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02226" cy="985522"/>
                    </a:xfrm>
                    <a:prstGeom prst="rect">
                      <a:avLst/>
                    </a:prstGeom>
                  </pic:spPr>
                </pic:pic>
              </a:graphicData>
            </a:graphic>
          </wp:inline>
        </w:drawing>
      </w:r>
    </w:p>
    <w:p w14:paraId="22F9D2E5" w14:textId="5EF65228" w:rsidR="00EE5F83" w:rsidRPr="00EC0229" w:rsidRDefault="00EE5F83" w:rsidP="007600EA">
      <w:pPr>
        <w:pStyle w:val="NoSpacing"/>
        <w:spacing w:line="360" w:lineRule="auto"/>
        <w:jc w:val="center"/>
        <w:rPr>
          <w:sz w:val="20"/>
          <w:szCs w:val="20"/>
        </w:rPr>
      </w:pPr>
      <w:bookmarkStart w:id="246" w:name="_Ref430246063"/>
      <w:bookmarkStart w:id="247" w:name="_Toc46826698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16</w:t>
      </w:r>
      <w:r w:rsidRPr="00EC0229">
        <w:rPr>
          <w:sz w:val="20"/>
          <w:szCs w:val="20"/>
        </w:rPr>
        <w:fldChar w:fldCharType="end"/>
      </w:r>
      <w:bookmarkEnd w:id="246"/>
      <w:r w:rsidR="00CD27A3" w:rsidRPr="00EC0229">
        <w:rPr>
          <w:sz w:val="20"/>
          <w:szCs w:val="20"/>
        </w:rPr>
        <w:t xml:space="preserve">: </w:t>
      </w:r>
      <w:r w:rsidR="007C785D" w:rsidRPr="00EC0229">
        <w:rPr>
          <w:i/>
          <w:sz w:val="20"/>
          <w:szCs w:val="20"/>
        </w:rPr>
        <w:t>Vanimundus</w:t>
      </w:r>
      <w:r w:rsidR="007C785D" w:rsidRPr="00EC0229">
        <w:rPr>
          <w:sz w:val="20"/>
          <w:szCs w:val="20"/>
        </w:rPr>
        <w:t>, found NW Norfolk</w:t>
      </w:r>
      <w:bookmarkEnd w:id="247"/>
      <w:r w:rsidR="007C785D" w:rsidRPr="00EC0229">
        <w:rPr>
          <w:sz w:val="20"/>
          <w:szCs w:val="20"/>
        </w:rPr>
        <w:t xml:space="preserve"> </w:t>
      </w:r>
    </w:p>
    <w:p w14:paraId="2A94C003" w14:textId="651C4FCA" w:rsidR="007C785D" w:rsidRPr="00EC0229" w:rsidRDefault="007C785D" w:rsidP="007600EA">
      <w:pPr>
        <w:pStyle w:val="NoSpacing"/>
        <w:spacing w:line="360" w:lineRule="auto"/>
        <w:jc w:val="center"/>
        <w:rPr>
          <w:sz w:val="20"/>
          <w:szCs w:val="20"/>
        </w:rPr>
      </w:pPr>
      <w:r w:rsidRPr="00EC0229">
        <w:rPr>
          <w:sz w:val="20"/>
          <w:szCs w:val="20"/>
        </w:rPr>
        <w:t>(with two Pada shillings), (</w:t>
      </w:r>
      <w:r w:rsidRPr="00EC0229">
        <w:rPr>
          <w:i/>
          <w:sz w:val="20"/>
          <w:szCs w:val="20"/>
        </w:rPr>
        <w:t>SL</w:t>
      </w:r>
      <w:r w:rsidRPr="00EC0229">
        <w:rPr>
          <w:sz w:val="20"/>
          <w:szCs w:val="20"/>
        </w:rPr>
        <w:t xml:space="preserve"> group 2)</w:t>
      </w:r>
    </w:p>
    <w:p w14:paraId="2796F57A" w14:textId="77777777" w:rsidR="007C785D" w:rsidRPr="00EC0229" w:rsidRDefault="007C785D" w:rsidP="007600EA">
      <w:pPr>
        <w:pStyle w:val="NoSpacing"/>
        <w:spacing w:line="360" w:lineRule="auto"/>
        <w:jc w:val="center"/>
        <w:rPr>
          <w:sz w:val="20"/>
          <w:szCs w:val="20"/>
        </w:rPr>
      </w:pPr>
    </w:p>
    <w:p w14:paraId="6554209C" w14:textId="2E356F25" w:rsidR="007C785D" w:rsidRPr="00EC0229" w:rsidRDefault="007C785D" w:rsidP="007600EA">
      <w:pPr>
        <w:spacing w:line="360" w:lineRule="auto"/>
        <w:rPr>
          <w:rFonts w:cs="Times New Roman"/>
          <w:szCs w:val="24"/>
        </w:rPr>
      </w:pPr>
      <w:r w:rsidRPr="00EC0229">
        <w:rPr>
          <w:rFonts w:cs="Times New Roman"/>
          <w:szCs w:val="24"/>
        </w:rPr>
        <w:t>Rigold arranged the well-organised coinage of Pada into a chronological sequence of designs, starting with an obverse bust emulating the helmeted type of Crispus; the later diademed types reflect more the appearance of Constantine</w:t>
      </w:r>
      <w:r w:rsidR="00474DAF" w:rsidRPr="00EC0229">
        <w:rPr>
          <w:rFonts w:cs="Times New Roman"/>
          <w:szCs w:val="24"/>
        </w:rPr>
        <w:t>,</w:t>
      </w:r>
      <w:r w:rsidRPr="00EC0229">
        <w:rPr>
          <w:rFonts w:cs="Times New Roman"/>
          <w:szCs w:val="24"/>
        </w:rPr>
        <w:t xml:space="preserve"> in an attitude of prayer alluding to the alleged dream-vision before the battle of Milvian Bridge</w:t>
      </w:r>
      <w:r w:rsidR="00862A04" w:rsidRPr="00EC0229">
        <w:rPr>
          <w:rFonts w:cs="Times New Roman"/>
          <w:szCs w:val="24"/>
        </w:rPr>
        <w:t xml:space="preserve"> in 312</w:t>
      </w:r>
      <w:r w:rsidRPr="00EC0229">
        <w:rPr>
          <w:rFonts w:cs="Times New Roman"/>
          <w:szCs w:val="24"/>
        </w:rPr>
        <w:t>.</w:t>
      </w:r>
      <w:r w:rsidRPr="00EC0229">
        <w:rPr>
          <w:rStyle w:val="FootnoteReference"/>
          <w:rFonts w:cs="Times New Roman"/>
          <w:szCs w:val="24"/>
        </w:rPr>
        <w:footnoteReference w:id="487"/>
      </w:r>
      <w:r w:rsidRPr="00EC0229">
        <w:rPr>
          <w:rFonts w:cs="Times New Roman"/>
          <w:szCs w:val="24"/>
        </w:rPr>
        <w:t xml:space="preserve"> Grierson </w:t>
      </w:r>
      <w:r w:rsidR="00862F15" w:rsidRPr="00EC0229">
        <w:rPr>
          <w:rFonts w:cs="Times New Roman"/>
          <w:szCs w:val="24"/>
        </w:rPr>
        <w:t>and</w:t>
      </w:r>
      <w:r w:rsidRPr="00EC0229">
        <w:rPr>
          <w:rFonts w:cs="Times New Roman"/>
          <w:szCs w:val="24"/>
        </w:rPr>
        <w:t xml:space="preserve"> Blackburn suggest that the prototype of the rather scarcer Vanimundus shilling is a pale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tremissis</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rPr>
        <w:instrText>tremissis</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of the Austrasian mint Matrico by the moneyer Warimundus. The letters CA, on one variety, copies the mint-mark of Chalon-sur-Sa</w:t>
      </w:r>
      <w:r w:rsidR="00474DAF" w:rsidRPr="00EC0229">
        <w:rPr>
          <w:rStyle w:val="Emphasis"/>
          <w:rFonts w:cs="Times New Roman"/>
          <w:i w:val="0"/>
        </w:rPr>
        <w:t>ô</w:t>
      </w:r>
      <w:r w:rsidRPr="00EC0229">
        <w:rPr>
          <w:rFonts w:cs="Times New Roman"/>
          <w:szCs w:val="24"/>
        </w:rPr>
        <w:t>ne.</w:t>
      </w:r>
      <w:r w:rsidRPr="00EC0229">
        <w:rPr>
          <w:rStyle w:val="FootnoteReference"/>
          <w:rFonts w:cs="Times New Roman"/>
          <w:szCs w:val="24"/>
        </w:rPr>
        <w:footnoteReference w:id="488"/>
      </w:r>
    </w:p>
    <w:p w14:paraId="6773F1F6" w14:textId="09CD0463" w:rsidR="007C785D" w:rsidRPr="00EC0229" w:rsidRDefault="007C785D" w:rsidP="007600EA">
      <w:pPr>
        <w:spacing w:line="360" w:lineRule="auto"/>
        <w:rPr>
          <w:rFonts w:cs="Times New Roman"/>
          <w:szCs w:val="24"/>
        </w:rPr>
      </w:pPr>
      <w:r w:rsidRPr="00EC0229">
        <w:rPr>
          <w:rFonts w:cs="Times New Roman"/>
          <w:szCs w:val="24"/>
        </w:rPr>
        <w:t>By the 680s the pale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shillings were entirely superseded</w:t>
      </w:r>
      <w:r w:rsidR="00407A82" w:rsidRPr="00EC0229">
        <w:rPr>
          <w:rFonts w:cs="Times New Roman"/>
          <w:szCs w:val="24"/>
        </w:rPr>
        <w:t xml:space="preserve"> by silver emissions.</w:t>
      </w:r>
    </w:p>
    <w:p w14:paraId="02B20873" w14:textId="77777777" w:rsidR="008D3DFA" w:rsidRPr="00EC0229" w:rsidRDefault="008D3DFA" w:rsidP="007600EA">
      <w:pPr>
        <w:pStyle w:val="NoSpacing"/>
        <w:spacing w:line="360" w:lineRule="auto"/>
      </w:pPr>
      <w:bookmarkStart w:id="248" w:name="Periods48"/>
      <w:bookmarkEnd w:id="248"/>
    </w:p>
    <w:p w14:paraId="14B475D4" w14:textId="77777777" w:rsidR="00D311C4" w:rsidRDefault="00D311C4">
      <w:pPr>
        <w:spacing w:line="259" w:lineRule="auto"/>
        <w:jc w:val="left"/>
        <w:rPr>
          <w:b/>
          <w:sz w:val="28"/>
          <w:szCs w:val="26"/>
        </w:rPr>
      </w:pPr>
      <w:r>
        <w:br w:type="page"/>
      </w:r>
    </w:p>
    <w:p w14:paraId="02F24C83" w14:textId="465DD1B7" w:rsidR="00A33875" w:rsidRDefault="000E1004" w:rsidP="007600EA">
      <w:pPr>
        <w:pStyle w:val="Heading2"/>
        <w:spacing w:line="360" w:lineRule="auto"/>
      </w:pPr>
      <w:bookmarkStart w:id="249" w:name="_Toc468266782"/>
      <w:r>
        <w:lastRenderedPageBreak/>
        <w:t xml:space="preserve">5.3 </w:t>
      </w:r>
      <w:r w:rsidR="00A33875" w:rsidRPr="00EC0229">
        <w:t>Silver</w:t>
      </w:r>
      <w:r w:rsidR="00F204A1" w:rsidRPr="00EC0229">
        <w:fldChar w:fldCharType="begin"/>
      </w:r>
      <w:r w:rsidR="00F204A1" w:rsidRPr="00EC0229">
        <w:instrText xml:space="preserve"> XE "</w:instrText>
      </w:r>
      <w:r w:rsidR="00F204A1" w:rsidRPr="00EC0229">
        <w:rPr>
          <w:rStyle w:val="Hyperlink"/>
          <w:rFonts w:cs="Times New Roman"/>
          <w:noProof/>
          <w:u w:val="none"/>
        </w:rPr>
        <w:instrText>Silver</w:instrText>
      </w:r>
      <w:r w:rsidR="00F204A1" w:rsidRPr="00EC0229">
        <w:instrText xml:space="preserve">" </w:instrText>
      </w:r>
      <w:r w:rsidR="00F204A1" w:rsidRPr="00EC0229">
        <w:fldChar w:fldCharType="end"/>
      </w:r>
      <w:r w:rsidR="00A33875" w:rsidRPr="00EC0229">
        <w:t>: Periods 4-8</w:t>
      </w:r>
      <w:bookmarkEnd w:id="249"/>
    </w:p>
    <w:p w14:paraId="246DE7A0" w14:textId="77777777" w:rsidR="00A33875" w:rsidRPr="00EC0229" w:rsidRDefault="00A33875" w:rsidP="007600EA">
      <w:pPr>
        <w:pStyle w:val="NoSpacing"/>
        <w:spacing w:line="360" w:lineRule="auto"/>
        <w:jc w:val="right"/>
        <w:rPr>
          <w:sz w:val="20"/>
          <w:szCs w:val="20"/>
        </w:rPr>
      </w:pPr>
      <w:r w:rsidRPr="00EC0229">
        <w:rPr>
          <w:sz w:val="20"/>
          <w:szCs w:val="20"/>
        </w:rPr>
        <w:t>‘Money has done to us what Pavlov did to his dogs.’</w:t>
      </w:r>
    </w:p>
    <w:p w14:paraId="275BBB26" w14:textId="1605420E" w:rsidR="00A33875" w:rsidRPr="00EC0229" w:rsidRDefault="0051722C" w:rsidP="007600EA">
      <w:pPr>
        <w:pStyle w:val="NoSpacing"/>
        <w:spacing w:line="360" w:lineRule="auto"/>
        <w:jc w:val="right"/>
        <w:rPr>
          <w:sz w:val="20"/>
          <w:szCs w:val="20"/>
        </w:rPr>
      </w:pPr>
      <w:r w:rsidRPr="00EC0229">
        <w:rPr>
          <w:sz w:val="20"/>
          <w:szCs w:val="20"/>
        </w:rPr>
        <w:t xml:space="preserve">Sehgal (2015, 6) </w:t>
      </w:r>
    </w:p>
    <w:p w14:paraId="05275901" w14:textId="04A4BFDA" w:rsidR="00A33875" w:rsidRPr="00EC0229" w:rsidRDefault="00407A82" w:rsidP="007600EA">
      <w:pPr>
        <w:pStyle w:val="NoSpacing"/>
        <w:spacing w:line="360" w:lineRule="auto"/>
      </w:pPr>
      <w:r w:rsidRPr="00EC0229">
        <w:t>T</w:t>
      </w:r>
      <w:r w:rsidR="00A33875" w:rsidRPr="00EC0229">
        <w:t xml:space="preserve">he gradual decline of the precious metal content of the coinage as </w:t>
      </w:r>
      <w:r w:rsidR="003F2041" w:rsidRPr="00EC0229">
        <w:t>monetiz</w:t>
      </w:r>
      <w:r w:rsidR="00A33875" w:rsidRPr="00EC0229">
        <w:t>ation</w:t>
      </w:r>
      <w:r w:rsidR="008960AE" w:rsidRPr="00EC0229">
        <w:fldChar w:fldCharType="begin"/>
      </w:r>
      <w:r w:rsidR="008960AE" w:rsidRPr="00EC0229">
        <w:instrText xml:space="preserve"> XE "monetization" </w:instrText>
      </w:r>
      <w:r w:rsidR="008960AE" w:rsidRPr="00EC0229">
        <w:fldChar w:fldCharType="end"/>
      </w:r>
      <w:r w:rsidR="00A33875" w:rsidRPr="00EC0229">
        <w:t xml:space="preserve"> advanced</w:t>
      </w:r>
      <w:r w:rsidRPr="00EC0229">
        <w:t xml:space="preserve"> is chronicled above</w:t>
      </w:r>
      <w:r w:rsidR="00A33875" w:rsidRPr="00EC0229">
        <w:t>.</w:t>
      </w:r>
      <w:r w:rsidR="003F0331" w:rsidRPr="00EC0229">
        <w:rPr>
          <w:rStyle w:val="FootnoteReference"/>
        </w:rPr>
        <w:footnoteReference w:id="489"/>
      </w:r>
      <w:r w:rsidR="00A33875" w:rsidRPr="00EC0229">
        <w:t xml:space="preserve"> Such an advance disguised denominational reduction and it is quite evident that this was, with some qualification, a managed process: it was implemented uniformly across polities and gradually, as indeed such a monetary policy had been executed over time across the Iron Age tribes,</w:t>
      </w:r>
      <w:r w:rsidR="009E0EDB" w:rsidRPr="00EC0229">
        <w:rPr>
          <w:rStyle w:val="FootnoteReference"/>
        </w:rPr>
        <w:footnoteReference w:id="490"/>
      </w:r>
      <w:r w:rsidR="00A33875" w:rsidRPr="00EC0229">
        <w:t xml:space="preserve"> though in both cases Gresham’s Law</w:t>
      </w:r>
      <w:r w:rsidR="00F204A1" w:rsidRPr="00EC0229">
        <w:fldChar w:fldCharType="begin"/>
      </w:r>
      <w:r w:rsidR="00F204A1" w:rsidRPr="00EC0229">
        <w:instrText xml:space="preserve"> XE "</w:instrText>
      </w:r>
      <w:r w:rsidR="00F204A1" w:rsidRPr="00EC0229">
        <w:rPr>
          <w:rStyle w:val="Hyperlink"/>
          <w:noProof/>
          <w:u w:val="none"/>
        </w:rPr>
        <w:instrText>Law</w:instrText>
      </w:r>
      <w:r w:rsidR="00F204A1" w:rsidRPr="00EC0229">
        <w:instrText xml:space="preserve">" </w:instrText>
      </w:r>
      <w:r w:rsidR="00F204A1" w:rsidRPr="00EC0229">
        <w:fldChar w:fldCharType="end"/>
      </w:r>
      <w:r w:rsidR="00BC3171" w:rsidRPr="00EC0229">
        <w:t xml:space="preserve"> drove</w:t>
      </w:r>
      <w:r w:rsidR="00A33875" w:rsidRPr="00EC0229">
        <w:t xml:space="preserve"> all to follow the initiator. It is this compulsion which qualifies the degree to which monetary change is managed. Inevitably, an individual polity such as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00A33875" w:rsidRPr="00EC0229">
        <w:t xml:space="preserve"> </w:t>
      </w:r>
      <w:r w:rsidR="00FD05A0" w:rsidRPr="00EC0229">
        <w:t>must</w:t>
      </w:r>
      <w:r w:rsidR="00A33875" w:rsidRPr="00EC0229">
        <w:t xml:space="preserve"> work within pressures (of supply and demand) generated externally and is restricted in its autonomy. This applies to the monetary sphere as much as any other.</w:t>
      </w:r>
    </w:p>
    <w:p w14:paraId="518E37AE" w14:textId="77777777" w:rsidR="00A33875" w:rsidRPr="00EC0229" w:rsidRDefault="00A33875" w:rsidP="007600EA">
      <w:pPr>
        <w:pStyle w:val="NoSpacing"/>
        <w:spacing w:line="360" w:lineRule="auto"/>
      </w:pPr>
    </w:p>
    <w:p w14:paraId="3A5BD509" w14:textId="7FBF79A6" w:rsidR="00B87AA5" w:rsidRPr="00EC0229" w:rsidRDefault="00B87AA5" w:rsidP="007600EA">
      <w:pPr>
        <w:pStyle w:val="NoSpacing"/>
        <w:spacing w:line="360" w:lineRule="auto"/>
        <w:rPr>
          <w:rFonts w:cs="Times New Roman"/>
        </w:rPr>
      </w:pPr>
      <w:r w:rsidRPr="00EC0229">
        <w:t>Northumbrian history</w:t>
      </w:r>
      <w:r w:rsidR="00C77754" w:rsidRPr="00EC0229">
        <w:t xml:space="preserve"> in the long eighth century, with reference to kings and archbishops (</w:t>
      </w:r>
      <w:r w:rsidR="00C77754" w:rsidRPr="00EC0229">
        <w:fldChar w:fldCharType="begin"/>
      </w:r>
      <w:r w:rsidR="00C77754" w:rsidRPr="00EC0229">
        <w:instrText xml:space="preserve"> PAGEREF Nechtansmere \h </w:instrText>
      </w:r>
      <w:r w:rsidR="00C77754" w:rsidRPr="00EC0229">
        <w:fldChar w:fldCharType="separate"/>
      </w:r>
      <w:r w:rsidR="0012026B">
        <w:rPr>
          <w:noProof/>
        </w:rPr>
        <w:t>103</w:t>
      </w:r>
      <w:r w:rsidR="00C77754" w:rsidRPr="00EC0229">
        <w:fldChar w:fldCharType="end"/>
      </w:r>
      <w:r w:rsidR="00C77754" w:rsidRPr="00EC0229">
        <w:t xml:space="preserve">, </w:t>
      </w:r>
      <w:r w:rsidR="00C77754" w:rsidRPr="00EC0229">
        <w:fldChar w:fldCharType="begin"/>
      </w:r>
      <w:r w:rsidR="00C77754" w:rsidRPr="00EC0229">
        <w:instrText xml:space="preserve"> PAGEREF Bishops \h </w:instrText>
      </w:r>
      <w:r w:rsidR="00C77754" w:rsidRPr="00EC0229">
        <w:fldChar w:fldCharType="separate"/>
      </w:r>
      <w:r w:rsidR="0012026B">
        <w:rPr>
          <w:noProof/>
        </w:rPr>
        <w:t>108</w:t>
      </w:r>
      <w:r w:rsidR="00C77754" w:rsidRPr="00EC0229">
        <w:fldChar w:fldCharType="end"/>
      </w:r>
      <w:r w:rsidR="00C77754" w:rsidRPr="00EC0229">
        <w:t>), and</w:t>
      </w:r>
      <w:r w:rsidRPr="00EC0229">
        <w:t xml:space="preserve"> </w:t>
      </w:r>
      <w:r w:rsidR="00C77754" w:rsidRPr="00EC0229">
        <w:t>coin production, are described below. Also</w:t>
      </w:r>
      <w:r w:rsidRPr="00EC0229">
        <w:t xml:space="preserve"> discuss</w:t>
      </w:r>
      <w:r w:rsidR="00C77754" w:rsidRPr="00EC0229">
        <w:t>ed are</w:t>
      </w:r>
      <w:r w:rsidRPr="00EC0229">
        <w:t xml:space="preserve"> the Primary silver sceats</w:t>
      </w:r>
      <w:r w:rsidRPr="00EC0229">
        <w:fldChar w:fldCharType="begin"/>
      </w:r>
      <w:r w:rsidRPr="00EC0229">
        <w:instrText xml:space="preserve"> XE "</w:instrText>
      </w:r>
      <w:r w:rsidRPr="00EC0229">
        <w:rPr>
          <w:rStyle w:val="Hyperlink"/>
          <w:noProof/>
          <w:u w:val="none"/>
        </w:rPr>
        <w:instrText>Primary silver sceats</w:instrText>
      </w:r>
      <w:r w:rsidRPr="00EC0229">
        <w:instrText xml:space="preserve">" </w:instrText>
      </w:r>
      <w:r w:rsidRPr="00EC0229">
        <w:fldChar w:fldCharType="end"/>
      </w:r>
      <w:r w:rsidRPr="00EC0229">
        <w:t xml:space="preserve"> of Aldfrith</w:t>
      </w:r>
      <w:r w:rsidRPr="00EC0229">
        <w:fldChar w:fldCharType="begin"/>
      </w:r>
      <w:r w:rsidRPr="00EC0229">
        <w:instrText xml:space="preserve"> XE "Aldfrith" </w:instrText>
      </w:r>
      <w:r w:rsidRPr="00EC0229">
        <w:fldChar w:fldCharType="end"/>
      </w:r>
      <w:r w:rsidRPr="00EC0229">
        <w:t xml:space="preserve"> (</w:t>
      </w:r>
      <w:r w:rsidR="00683497" w:rsidRPr="00EC0229">
        <w:fldChar w:fldCharType="begin"/>
      </w:r>
      <w:r w:rsidR="00683497" w:rsidRPr="00EC0229">
        <w:instrText xml:space="preserve"> PAGEREF Period4a \h </w:instrText>
      </w:r>
      <w:r w:rsidR="00683497" w:rsidRPr="00EC0229">
        <w:fldChar w:fldCharType="separate"/>
      </w:r>
      <w:r w:rsidR="0012026B">
        <w:rPr>
          <w:noProof/>
        </w:rPr>
        <w:t>116</w:t>
      </w:r>
      <w:r w:rsidR="00683497" w:rsidRPr="00EC0229">
        <w:fldChar w:fldCharType="end"/>
      </w:r>
      <w:r w:rsidRPr="00EC0229">
        <w:t xml:space="preserve">) imported </w:t>
      </w:r>
      <w:r w:rsidR="00572E51" w:rsidRPr="00EC0229">
        <w:t>Southumbria</w:t>
      </w:r>
      <w:r w:rsidRPr="00EC0229">
        <w:t>n (</w:t>
      </w:r>
      <w:r w:rsidR="00683497" w:rsidRPr="00EC0229">
        <w:fldChar w:fldCharType="begin"/>
      </w:r>
      <w:r w:rsidR="00683497" w:rsidRPr="00EC0229">
        <w:instrText xml:space="preserve"> PAGEREF Period4b \h </w:instrText>
      </w:r>
      <w:r w:rsidR="00683497" w:rsidRPr="00EC0229">
        <w:fldChar w:fldCharType="separate"/>
      </w:r>
      <w:r w:rsidR="0012026B">
        <w:rPr>
          <w:noProof/>
        </w:rPr>
        <w:t>117</w:t>
      </w:r>
      <w:r w:rsidR="00683497" w:rsidRPr="00EC0229">
        <w:fldChar w:fldCharType="end"/>
      </w:r>
      <w:r w:rsidRPr="00EC0229">
        <w:t>) and Continental (</w:t>
      </w:r>
      <w:r w:rsidR="00683497" w:rsidRPr="00EC0229">
        <w:fldChar w:fldCharType="begin"/>
      </w:r>
      <w:r w:rsidR="00683497" w:rsidRPr="00EC0229">
        <w:instrText xml:space="preserve"> PAGEREF Period4c \h </w:instrText>
      </w:r>
      <w:r w:rsidR="00683497" w:rsidRPr="00EC0229">
        <w:fldChar w:fldCharType="separate"/>
      </w:r>
      <w:r w:rsidR="0012026B">
        <w:rPr>
          <w:noProof/>
        </w:rPr>
        <w:t>118</w:t>
      </w:r>
      <w:r w:rsidR="00683497" w:rsidRPr="00EC0229">
        <w:fldChar w:fldCharType="end"/>
      </w:r>
      <w:r w:rsidRPr="00EC0229">
        <w:t>) sceats and Merovingian</w:t>
      </w:r>
      <w:r w:rsidRPr="00EC0229">
        <w:fldChar w:fldCharType="begin"/>
      </w:r>
      <w:r w:rsidRPr="00EC0229">
        <w:instrText xml:space="preserve"> XE "</w:instrText>
      </w:r>
      <w:r w:rsidRPr="00EC0229">
        <w:rPr>
          <w:noProof/>
        </w:rPr>
        <w:instrText>Merovingian</w:instrText>
      </w:r>
      <w:r w:rsidRPr="00EC0229">
        <w:instrText xml:space="preserve">" </w:instrText>
      </w:r>
      <w:r w:rsidRPr="00EC0229">
        <w:fldChar w:fldCharType="end"/>
      </w:r>
      <w:r w:rsidRPr="00EC0229">
        <w:t xml:space="preserve"> deniers (</w:t>
      </w:r>
      <w:r w:rsidR="00683497" w:rsidRPr="00EC0229">
        <w:fldChar w:fldCharType="begin"/>
      </w:r>
      <w:r w:rsidR="00683497" w:rsidRPr="00EC0229">
        <w:instrText xml:space="preserve"> PAGEREF Period4d \h </w:instrText>
      </w:r>
      <w:r w:rsidR="00683497" w:rsidRPr="00EC0229">
        <w:fldChar w:fldCharType="separate"/>
      </w:r>
      <w:r w:rsidR="0012026B">
        <w:rPr>
          <w:noProof/>
        </w:rPr>
        <w:t>120</w:t>
      </w:r>
      <w:r w:rsidR="00683497" w:rsidRPr="00EC0229">
        <w:fldChar w:fldCharType="end"/>
      </w:r>
      <w:r w:rsidR="00C77754" w:rsidRPr="00EC0229">
        <w:t>). The</w:t>
      </w:r>
      <w:r w:rsidRPr="00EC0229">
        <w:t xml:space="preserve"> sceats current during the period of Aldfrith’s incompetent s</w:t>
      </w:r>
      <w:r w:rsidR="0051722C" w:rsidRPr="00EC0229">
        <w:t>uccessors</w:t>
      </w:r>
      <w:r w:rsidR="00C77754" w:rsidRPr="00EC0229">
        <w:t xml:space="preserve"> are then described</w:t>
      </w:r>
      <w:r w:rsidRPr="00EC0229">
        <w:t>: the putative northern non-regal emissions (Series</w:t>
      </w:r>
      <w:r w:rsidRPr="00EC0229">
        <w:fldChar w:fldCharType="begin"/>
      </w:r>
      <w:r w:rsidRPr="00EC0229">
        <w:instrText xml:space="preserve"> XE "Series" </w:instrText>
      </w:r>
      <w:r w:rsidRPr="00EC0229">
        <w:fldChar w:fldCharType="end"/>
      </w:r>
      <w:r w:rsidRPr="00EC0229">
        <w:t xml:space="preserve"> J, </w:t>
      </w:r>
      <w:r w:rsidR="00683497" w:rsidRPr="00EC0229">
        <w:fldChar w:fldCharType="begin"/>
      </w:r>
      <w:r w:rsidR="00683497" w:rsidRPr="00EC0229">
        <w:instrText xml:space="preserve"> PAGEREF Period5a \h </w:instrText>
      </w:r>
      <w:r w:rsidR="00683497" w:rsidRPr="00EC0229">
        <w:fldChar w:fldCharType="separate"/>
      </w:r>
      <w:r w:rsidR="0012026B">
        <w:rPr>
          <w:noProof/>
        </w:rPr>
        <w:t>121</w:t>
      </w:r>
      <w:r w:rsidR="00683497" w:rsidRPr="00EC0229">
        <w:fldChar w:fldCharType="end"/>
      </w:r>
      <w:r w:rsidRPr="00EC0229">
        <w:t xml:space="preserve">), Secondary </w:t>
      </w:r>
      <w:r w:rsidR="00572E51" w:rsidRPr="00EC0229">
        <w:t>Southumbria</w:t>
      </w:r>
      <w:r w:rsidRPr="00EC0229">
        <w:t>n (</w:t>
      </w:r>
      <w:r w:rsidR="00683497" w:rsidRPr="00EC0229">
        <w:fldChar w:fldCharType="begin"/>
      </w:r>
      <w:r w:rsidR="00683497" w:rsidRPr="00EC0229">
        <w:instrText xml:space="preserve"> PAGEREF Period5b \h </w:instrText>
      </w:r>
      <w:r w:rsidR="00683497" w:rsidRPr="00EC0229">
        <w:fldChar w:fldCharType="separate"/>
      </w:r>
      <w:r w:rsidR="0012026B">
        <w:rPr>
          <w:noProof/>
        </w:rPr>
        <w:t>122</w:t>
      </w:r>
      <w:r w:rsidR="00683497" w:rsidRPr="00EC0229">
        <w:fldChar w:fldCharType="end"/>
      </w:r>
      <w:r w:rsidRPr="00EC0229">
        <w:t>) and Continental (</w:t>
      </w:r>
      <w:r w:rsidR="00683497" w:rsidRPr="00EC0229">
        <w:fldChar w:fldCharType="begin"/>
      </w:r>
      <w:r w:rsidR="00683497" w:rsidRPr="00EC0229">
        <w:instrText xml:space="preserve"> PAGEREF Period5c \h </w:instrText>
      </w:r>
      <w:r w:rsidR="00683497" w:rsidRPr="00EC0229">
        <w:fldChar w:fldCharType="separate"/>
      </w:r>
      <w:r w:rsidR="0012026B">
        <w:rPr>
          <w:noProof/>
        </w:rPr>
        <w:t>123</w:t>
      </w:r>
      <w:r w:rsidR="00683497" w:rsidRPr="00EC0229">
        <w:fldChar w:fldCharType="end"/>
      </w:r>
      <w:r w:rsidRPr="00EC0229">
        <w:t>) sceats. Finally, the fantastic beast issues of Eadberht</w:t>
      </w:r>
      <w:r w:rsidRPr="00EC0229">
        <w:fldChar w:fldCharType="begin"/>
      </w:r>
      <w:r w:rsidRPr="00EC0229">
        <w:instrText xml:space="preserve"> XE "Eadberht" </w:instrText>
      </w:r>
      <w:r w:rsidRPr="00EC0229">
        <w:fldChar w:fldCharType="end"/>
      </w:r>
      <w:r w:rsidRPr="00EC0229">
        <w:t xml:space="preserve">’s </w:t>
      </w:r>
      <w:r w:rsidRPr="00EC0229">
        <w:rPr>
          <w:i/>
        </w:rPr>
        <w:t>renovatio</w:t>
      </w:r>
      <w:r w:rsidRPr="00EC0229">
        <w:rPr>
          <w:i/>
        </w:rPr>
        <w:fldChar w:fldCharType="begin"/>
      </w:r>
      <w:r w:rsidRPr="00EC0229">
        <w:instrText xml:space="preserve"> XE "</w:instrText>
      </w:r>
      <w:r w:rsidRPr="00EC0229">
        <w:rPr>
          <w:i/>
          <w:noProof/>
        </w:rPr>
        <w:instrText>renovatio</w:instrText>
      </w:r>
      <w:r w:rsidRPr="00EC0229">
        <w:instrText xml:space="preserve">" </w:instrText>
      </w:r>
      <w:r w:rsidRPr="00EC0229">
        <w:rPr>
          <w:i/>
        </w:rPr>
        <w:fldChar w:fldCharType="end"/>
      </w:r>
      <w:r w:rsidRPr="00EC0229">
        <w:t xml:space="preserve"> (</w:t>
      </w:r>
      <w:r w:rsidR="00683497" w:rsidRPr="00EC0229">
        <w:fldChar w:fldCharType="begin"/>
      </w:r>
      <w:r w:rsidR="00683497" w:rsidRPr="00EC0229">
        <w:instrText xml:space="preserve"> PAGEREF PeriodN6 \h </w:instrText>
      </w:r>
      <w:r w:rsidR="00683497" w:rsidRPr="00EC0229">
        <w:fldChar w:fldCharType="separate"/>
      </w:r>
      <w:r w:rsidR="0012026B">
        <w:rPr>
          <w:noProof/>
        </w:rPr>
        <w:t>125</w:t>
      </w:r>
      <w:r w:rsidR="00683497" w:rsidRPr="00EC0229">
        <w:fldChar w:fldCharType="end"/>
      </w:r>
      <w:r w:rsidRPr="00EC0229">
        <w:t>), the contemporary joint issues (</w:t>
      </w:r>
      <w:r w:rsidR="00683497" w:rsidRPr="00EC0229">
        <w:fldChar w:fldCharType="begin"/>
      </w:r>
      <w:r w:rsidR="00683497" w:rsidRPr="00EC0229">
        <w:instrText xml:space="preserve"> PAGEREF PeriodN7 \h </w:instrText>
      </w:r>
      <w:r w:rsidR="00683497" w:rsidRPr="00EC0229">
        <w:fldChar w:fldCharType="separate"/>
      </w:r>
      <w:r w:rsidR="0012026B">
        <w:rPr>
          <w:noProof/>
        </w:rPr>
        <w:t>126</w:t>
      </w:r>
      <w:r w:rsidR="00683497" w:rsidRPr="00EC0229">
        <w:fldChar w:fldCharType="end"/>
      </w:r>
      <w:r w:rsidRPr="00EC0229">
        <w:t>) and the subsequent inscriptional sceats (</w:t>
      </w:r>
      <w:r w:rsidR="00683497" w:rsidRPr="00EC0229">
        <w:fldChar w:fldCharType="begin"/>
      </w:r>
      <w:r w:rsidR="00683497" w:rsidRPr="00EC0229">
        <w:instrText xml:space="preserve"> PAGEREF PeriodN8 \h </w:instrText>
      </w:r>
      <w:r w:rsidR="00683497" w:rsidRPr="00EC0229">
        <w:fldChar w:fldCharType="separate"/>
      </w:r>
      <w:r w:rsidR="0012026B">
        <w:rPr>
          <w:noProof/>
        </w:rPr>
        <w:t>127</w:t>
      </w:r>
      <w:r w:rsidR="00683497" w:rsidRPr="00EC0229">
        <w:fldChar w:fldCharType="end"/>
      </w:r>
      <w:r w:rsidR="00C77754" w:rsidRPr="00EC0229">
        <w:t>)</w:t>
      </w:r>
      <w:r w:rsidRPr="00EC0229">
        <w:t xml:space="preserve"> </w:t>
      </w:r>
      <w:r w:rsidR="00C77754" w:rsidRPr="00EC0229">
        <w:t xml:space="preserve">are examined, followed </w:t>
      </w:r>
      <w:r w:rsidRPr="00EC0229">
        <w:t xml:space="preserve">by </w:t>
      </w:r>
      <w:r w:rsidR="00C77754" w:rsidRPr="00EC0229">
        <w:t xml:space="preserve">an </w:t>
      </w:r>
      <w:r w:rsidRPr="00EC0229">
        <w:t>e</w:t>
      </w:r>
      <w:r w:rsidR="00C77754" w:rsidRPr="00EC0229">
        <w:rPr>
          <w:rFonts w:cs="Times New Roman"/>
        </w:rPr>
        <w:t>valuation</w:t>
      </w:r>
      <w:r w:rsidRPr="00EC0229">
        <w:rPr>
          <w:rFonts w:cs="Times New Roman"/>
        </w:rPr>
        <w:t xml:space="preserve"> </w:t>
      </w:r>
      <w:r w:rsidR="0051722C" w:rsidRPr="00EC0229">
        <w:rPr>
          <w:rFonts w:cs="Times New Roman"/>
        </w:rPr>
        <w:t xml:space="preserve">of </w:t>
      </w:r>
      <w:r w:rsidRPr="00EC0229">
        <w:rPr>
          <w:rFonts w:cs="Times New Roman"/>
        </w:rPr>
        <w:t>the periodicity</w:t>
      </w:r>
      <w:r w:rsidRPr="00EC0229">
        <w:rPr>
          <w:rFonts w:cs="Times New Roman"/>
        </w:rPr>
        <w:fldChar w:fldCharType="begin"/>
      </w:r>
      <w:r w:rsidRPr="00EC0229">
        <w:instrText xml:space="preserve"> XE "</w:instrText>
      </w:r>
      <w:r w:rsidRPr="00EC0229">
        <w:rPr>
          <w:rFonts w:eastAsia="Times New Roman" w:cs="Times New Roman"/>
          <w:szCs w:val="24"/>
          <w:lang w:eastAsia="en-GB"/>
        </w:rPr>
        <w:instrText>periodicity</w:instrText>
      </w:r>
      <w:r w:rsidRPr="00EC0229">
        <w:instrText xml:space="preserve">" </w:instrText>
      </w:r>
      <w:r w:rsidRPr="00EC0229">
        <w:rPr>
          <w:rFonts w:cs="Times New Roman"/>
        </w:rPr>
        <w:fldChar w:fldCharType="end"/>
      </w:r>
      <w:r w:rsidRPr="00EC0229">
        <w:rPr>
          <w:rFonts w:cs="Times New Roman"/>
        </w:rPr>
        <w:t xml:space="preserve"> (</w:t>
      </w:r>
      <w:r w:rsidR="00683497" w:rsidRPr="00EC0229">
        <w:rPr>
          <w:rFonts w:cs="Times New Roman"/>
        </w:rPr>
        <w:fldChar w:fldCharType="begin"/>
      </w:r>
      <w:r w:rsidR="00683497" w:rsidRPr="00EC0229">
        <w:rPr>
          <w:rFonts w:cs="Times New Roman"/>
        </w:rPr>
        <w:instrText xml:space="preserve"> PAGEREF Evaluatingperiodicity \h </w:instrText>
      </w:r>
      <w:r w:rsidR="00683497" w:rsidRPr="00EC0229">
        <w:rPr>
          <w:rFonts w:cs="Times New Roman"/>
        </w:rPr>
      </w:r>
      <w:r w:rsidR="00683497" w:rsidRPr="00EC0229">
        <w:rPr>
          <w:rFonts w:cs="Times New Roman"/>
        </w:rPr>
        <w:fldChar w:fldCharType="separate"/>
      </w:r>
      <w:r w:rsidR="0012026B">
        <w:rPr>
          <w:rFonts w:cs="Times New Roman"/>
          <w:noProof/>
        </w:rPr>
        <w:t>129</w:t>
      </w:r>
      <w:r w:rsidR="00683497" w:rsidRPr="00EC0229">
        <w:rPr>
          <w:rFonts w:cs="Times New Roman"/>
        </w:rPr>
        <w:fldChar w:fldCharType="end"/>
      </w:r>
      <w:r w:rsidRPr="00EC0229">
        <w:rPr>
          <w:rFonts w:cs="Times New Roman"/>
        </w:rPr>
        <w:t>).</w:t>
      </w:r>
    </w:p>
    <w:p w14:paraId="7008959B" w14:textId="77777777" w:rsidR="00B87AA5" w:rsidRPr="00EC0229" w:rsidRDefault="00B87AA5" w:rsidP="007600EA">
      <w:pPr>
        <w:pStyle w:val="NoSpacing"/>
        <w:spacing w:line="360" w:lineRule="auto"/>
      </w:pPr>
    </w:p>
    <w:p w14:paraId="2C5088F4" w14:textId="02F13B3E" w:rsidR="00A33875" w:rsidRPr="00525552" w:rsidRDefault="00525552" w:rsidP="00525552">
      <w:pPr>
        <w:pStyle w:val="Heading3"/>
        <w:spacing w:line="360" w:lineRule="auto"/>
      </w:pPr>
      <w:bookmarkStart w:id="250" w:name="BackgroundHistory"/>
      <w:bookmarkStart w:id="251" w:name="_Toc468266783"/>
      <w:bookmarkEnd w:id="250"/>
      <w:r>
        <w:t>5.3.1</w:t>
      </w:r>
      <w:r w:rsidR="000E1004">
        <w:t xml:space="preserve"> </w:t>
      </w:r>
      <w:r w:rsidR="00B87AA5" w:rsidRPr="00EC0229">
        <w:t>Histor</w:t>
      </w:r>
      <w:r w:rsidR="006B6170" w:rsidRPr="00EC0229">
        <w:t>ical Background</w:t>
      </w:r>
      <w:bookmarkStart w:id="252" w:name="Nechtansmere"/>
      <w:bookmarkEnd w:id="252"/>
      <w:r w:rsidRPr="00525552">
        <w:t xml:space="preserve">: </w:t>
      </w:r>
      <w:r w:rsidR="00A33875" w:rsidRPr="00525552">
        <w:t>Northumbria</w:t>
      </w:r>
      <w:r w:rsidR="00584C42" w:rsidRPr="00525552">
        <w:fldChar w:fldCharType="begin"/>
      </w:r>
      <w:r w:rsidR="00584C42" w:rsidRPr="00525552">
        <w:instrText xml:space="preserve"> XE "</w:instrText>
      </w:r>
      <w:r w:rsidR="00584C42" w:rsidRPr="00525552">
        <w:rPr>
          <w:rFonts w:cs="Times New Roman"/>
          <w:color w:val="000000" w:themeColor="text1"/>
          <w:sz w:val="56"/>
          <w:szCs w:val="56"/>
        </w:rPr>
        <w:instrText>Northumbria</w:instrText>
      </w:r>
      <w:r w:rsidR="00584C42" w:rsidRPr="00525552">
        <w:instrText xml:space="preserve">" </w:instrText>
      </w:r>
      <w:r w:rsidR="00584C42" w:rsidRPr="00525552">
        <w:fldChar w:fldCharType="end"/>
      </w:r>
      <w:r w:rsidR="00A33875" w:rsidRPr="00525552">
        <w:t xml:space="preserve"> after the Battle of Nechtansmere</w:t>
      </w:r>
      <w:r w:rsidR="002C2258" w:rsidRPr="00525552">
        <w:t>, 685</w:t>
      </w:r>
      <w:bookmarkEnd w:id="251"/>
      <w:r w:rsidR="00F204A1" w:rsidRPr="008E6548">
        <w:rPr>
          <w:b w:val="0"/>
        </w:rPr>
        <w:fldChar w:fldCharType="begin"/>
      </w:r>
      <w:r w:rsidR="00F204A1" w:rsidRPr="008E6548">
        <w:rPr>
          <w:b w:val="0"/>
        </w:rPr>
        <w:instrText xml:space="preserve"> XE "</w:instrText>
      </w:r>
      <w:r w:rsidR="00F204A1" w:rsidRPr="008E6548">
        <w:rPr>
          <w:rStyle w:val="Hyperlink"/>
          <w:b w:val="0"/>
          <w:noProof/>
          <w:u w:val="none"/>
        </w:rPr>
        <w:instrText>Nechtansmere</w:instrText>
      </w:r>
      <w:r w:rsidR="00F204A1" w:rsidRPr="008E6548">
        <w:rPr>
          <w:b w:val="0"/>
        </w:rPr>
        <w:instrText xml:space="preserve">" </w:instrText>
      </w:r>
      <w:r w:rsidR="00F204A1" w:rsidRPr="008E6548">
        <w:rPr>
          <w:b w:val="0"/>
        </w:rPr>
        <w:fldChar w:fldCharType="end"/>
      </w:r>
    </w:p>
    <w:p w14:paraId="4D6CE180" w14:textId="6A3D8C59" w:rsidR="006B6170" w:rsidRPr="008E6548" w:rsidRDefault="00525552" w:rsidP="007600EA">
      <w:pPr>
        <w:pStyle w:val="Heading4"/>
        <w:spacing w:line="360" w:lineRule="auto"/>
        <w:rPr>
          <w:b/>
        </w:rPr>
      </w:pPr>
      <w:bookmarkStart w:id="253" w:name="_Toc468266784"/>
      <w:r>
        <w:rPr>
          <w:b/>
        </w:rPr>
        <w:t>5.3.1.1</w:t>
      </w:r>
      <w:r>
        <w:rPr>
          <w:b/>
        </w:rPr>
        <w:tab/>
      </w:r>
      <w:r w:rsidR="006B6170" w:rsidRPr="008E6548">
        <w:rPr>
          <w:b/>
        </w:rPr>
        <w:t>Kings</w:t>
      </w:r>
      <w:bookmarkEnd w:id="253"/>
    </w:p>
    <w:p w14:paraId="4E102958" w14:textId="4497A82B" w:rsidR="00FD5DF8" w:rsidRPr="00EC0229" w:rsidRDefault="00FD5DF8" w:rsidP="007600EA">
      <w:pPr>
        <w:pStyle w:val="NoSpacing"/>
        <w:spacing w:line="360" w:lineRule="auto"/>
        <w:jc w:val="right"/>
        <w:rPr>
          <w:sz w:val="20"/>
          <w:szCs w:val="20"/>
        </w:rPr>
      </w:pPr>
      <w:r w:rsidRPr="00EC0229">
        <w:rPr>
          <w:sz w:val="20"/>
          <w:szCs w:val="20"/>
        </w:rPr>
        <w:t>‘kings make coins and coins make kings’</w:t>
      </w:r>
    </w:p>
    <w:p w14:paraId="6FBA2191" w14:textId="6B04A37C" w:rsidR="00FD5DF8" w:rsidRPr="00EC0229" w:rsidRDefault="00FD5DF8" w:rsidP="007600EA">
      <w:pPr>
        <w:pStyle w:val="NoSpacing"/>
        <w:spacing w:line="360" w:lineRule="auto"/>
        <w:jc w:val="right"/>
        <w:rPr>
          <w:sz w:val="20"/>
          <w:szCs w:val="20"/>
        </w:rPr>
      </w:pPr>
      <w:r w:rsidRPr="00EC0229">
        <w:rPr>
          <w:sz w:val="20"/>
          <w:szCs w:val="20"/>
        </w:rPr>
        <w:t>Leslie Alcock (2003, 92)</w:t>
      </w:r>
    </w:p>
    <w:p w14:paraId="28A2C37F" w14:textId="15C8D8D2" w:rsidR="00A33875" w:rsidRPr="00EC0229" w:rsidRDefault="00A33875" w:rsidP="007600EA">
      <w:pPr>
        <w:spacing w:line="360" w:lineRule="auto"/>
        <w:rPr>
          <w:rFonts w:cs="Times New Roman"/>
          <w:szCs w:val="24"/>
        </w:rPr>
      </w:pPr>
      <w:r w:rsidRPr="00EC0229">
        <w:rPr>
          <w:rFonts w:cs="Times New Roman"/>
          <w:bCs/>
          <w:szCs w:val="24"/>
        </w:rPr>
        <w:t>Aldfrith</w:t>
      </w:r>
      <w:r w:rsidR="00D142DC" w:rsidRPr="00EC0229">
        <w:rPr>
          <w:rFonts w:cs="Times New Roman"/>
          <w:bCs/>
          <w:szCs w:val="24"/>
        </w:rPr>
        <w:fldChar w:fldCharType="begin"/>
      </w:r>
      <w:r w:rsidR="00D142DC" w:rsidRPr="00EC0229">
        <w:instrText xml:space="preserve"> XE "Aldfrith" </w:instrText>
      </w:r>
      <w:r w:rsidR="00D142DC" w:rsidRPr="00EC0229">
        <w:rPr>
          <w:rFonts w:cs="Times New Roman"/>
          <w:bCs/>
          <w:szCs w:val="24"/>
        </w:rPr>
        <w:fldChar w:fldCharType="end"/>
      </w:r>
      <w:r w:rsidRPr="00EC0229">
        <w:rPr>
          <w:rFonts w:cs="Times New Roman"/>
          <w:szCs w:val="24"/>
        </w:rPr>
        <w:t xml:space="preserve"> (</w:t>
      </w:r>
      <w:r w:rsidR="00F3671D" w:rsidRPr="00EC0229">
        <w:rPr>
          <w:rFonts w:cs="Times New Roman"/>
          <w:bCs/>
          <w:szCs w:val="24"/>
        </w:rPr>
        <w:t xml:space="preserve">Flann Fína mac Ossu, </w:t>
      </w:r>
      <w:r w:rsidRPr="00EC0229">
        <w:rPr>
          <w:rFonts w:cs="Times New Roman"/>
          <w:i/>
          <w:szCs w:val="24"/>
        </w:rPr>
        <w:t>c</w:t>
      </w:r>
      <w:r w:rsidRPr="00EC0229">
        <w:rPr>
          <w:rFonts w:cs="Times New Roman"/>
          <w:szCs w:val="24"/>
        </w:rPr>
        <w:t>.633-704) the illegitimate scion of Oswy and Fin, became king following the catastrophe at Nechtansmere</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Nechtansmere</w:instrText>
      </w:r>
      <w:r w:rsidR="00F204A1" w:rsidRPr="00EC0229">
        <w:instrText xml:space="preserve">" </w:instrText>
      </w:r>
      <w:r w:rsidR="00F204A1"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491"/>
      </w:r>
      <w:r w:rsidRPr="00EC0229">
        <w:rPr>
          <w:rFonts w:cs="Times New Roman"/>
          <w:szCs w:val="24"/>
        </w:rPr>
        <w:t xml:space="preserve"> He had been educated in the Irish tradition, away from the Mercian threat, at Malmesbury (with Aldhelm) and at Canterbury by Theodore and Hadrian. He visited Ireland in the early 680s, possibly being there at the time of Ecgfrith’s vicious attack. Aldfrith gained a reputation as a scholar and sage, he may well have been at </w:t>
      </w:r>
      <w:r w:rsidRPr="00EC0229">
        <w:rPr>
          <w:rFonts w:cs="Times New Roman"/>
          <w:szCs w:val="24"/>
        </w:rPr>
        <w:lastRenderedPageBreak/>
        <w:t>Iona in 685 under the tutelage of Adamnan. His elevation to the throne was supported by Cuthbert, possibly a relation. He restored the Northumbrian fortunes in a largely peaceful reign disturbed only by the ‘turbulent priest’, Wilfrid</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Wilfrid</w:instrText>
      </w:r>
      <w:r w:rsidR="00F204A1" w:rsidRPr="00EC0229">
        <w:instrText xml:space="preserve">" </w:instrText>
      </w:r>
      <w:r w:rsidR="00F204A1"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492"/>
      </w:r>
      <w:r w:rsidRPr="00EC0229">
        <w:rPr>
          <w:rFonts w:cs="Times New Roman"/>
          <w:szCs w:val="24"/>
        </w:rPr>
        <w:t xml:space="preserve"> </w:t>
      </w:r>
    </w:p>
    <w:p w14:paraId="0732A439" w14:textId="664AA0FB" w:rsidR="00A33875" w:rsidRPr="00EC0229" w:rsidRDefault="00A33875" w:rsidP="007600EA">
      <w:pPr>
        <w:spacing w:line="360" w:lineRule="auto"/>
        <w:rPr>
          <w:rFonts w:cs="Times New Roman"/>
          <w:szCs w:val="24"/>
        </w:rPr>
      </w:pPr>
      <w:bookmarkStart w:id="254" w:name="GoldenAge"/>
      <w:bookmarkEnd w:id="254"/>
      <w:r w:rsidRPr="00EC0229">
        <w:rPr>
          <w:rFonts w:cs="Times New Roman"/>
          <w:szCs w:val="24"/>
        </w:rPr>
        <w:t>Aldfrith</w:t>
      </w:r>
      <w:r w:rsidR="00D142DC" w:rsidRPr="00EC0229">
        <w:rPr>
          <w:rFonts w:cs="Times New Roman"/>
          <w:szCs w:val="24"/>
        </w:rPr>
        <w:fldChar w:fldCharType="begin"/>
      </w:r>
      <w:r w:rsidR="00D142DC" w:rsidRPr="00EC0229">
        <w:instrText xml:space="preserve"> XE "Aldfrith" </w:instrText>
      </w:r>
      <w:r w:rsidR="00D142DC" w:rsidRPr="00EC0229">
        <w:rPr>
          <w:rFonts w:cs="Times New Roman"/>
          <w:szCs w:val="24"/>
        </w:rPr>
        <w:fldChar w:fldCharType="end"/>
      </w:r>
      <w:r w:rsidR="00F3671D" w:rsidRPr="00EC0229">
        <w:rPr>
          <w:rFonts w:cs="Times New Roman"/>
          <w:szCs w:val="24"/>
        </w:rPr>
        <w:t xml:space="preserve"> reigned during</w:t>
      </w:r>
      <w:r w:rsidRPr="00EC0229">
        <w:rPr>
          <w:rFonts w:cs="Times New Roman"/>
          <w:szCs w:val="24"/>
        </w:rPr>
        <w:t xml:space="preserve"> the </w:t>
      </w:r>
      <w:r w:rsidR="00CF45AD" w:rsidRPr="00EC0229">
        <w:rPr>
          <w:rFonts w:cs="Times New Roman"/>
          <w:szCs w:val="24"/>
        </w:rPr>
        <w:t>Golden Age</w:t>
      </w:r>
      <w:r w:rsidRPr="00EC0229">
        <w:rPr>
          <w:rFonts w:cs="Times New Roman"/>
          <w:szCs w:val="24"/>
        </w:rPr>
        <w:t xml:space="preserve"> of Northumbrian insular art and the production of illuminated manuscripts</w:t>
      </w:r>
      <w:r w:rsidRPr="00EC0229">
        <w:rPr>
          <w:rStyle w:val="FootnoteReference"/>
          <w:rFonts w:cs="Times New Roman"/>
          <w:szCs w:val="24"/>
        </w:rPr>
        <w:footnoteReference w:id="493"/>
      </w:r>
      <w:r w:rsidRPr="00EC0229">
        <w:rPr>
          <w:rFonts w:cs="Times New Roman"/>
          <w:szCs w:val="24"/>
        </w:rPr>
        <w:t xml:space="preserve"> including the Lindisfarne</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Durham and Echternach Gospels and the </w:t>
      </w:r>
      <w:r w:rsidRPr="00EC0229">
        <w:rPr>
          <w:rFonts w:cs="Times New Roman"/>
          <w:i/>
          <w:szCs w:val="24"/>
        </w:rPr>
        <w:t>Codex Amiatinus</w:t>
      </w:r>
      <w:r w:rsidRPr="00EC0229">
        <w:rPr>
          <w:rFonts w:cs="Times New Roman"/>
          <w:szCs w:val="24"/>
        </w:rPr>
        <w:t>. This was the period when the great Northumbrian monasteries were established, each by a prominent figure: Wilfrid</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Wilfrid</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at Ripon</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Ripon</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and Hexham</w:t>
      </w:r>
      <w:r w:rsidR="00D142DC" w:rsidRPr="00EC0229">
        <w:rPr>
          <w:rFonts w:cs="Times New Roman"/>
          <w:szCs w:val="24"/>
        </w:rPr>
        <w:fldChar w:fldCharType="begin"/>
      </w:r>
      <w:r w:rsidR="00D142DC" w:rsidRPr="00EC0229">
        <w:instrText xml:space="preserve"> XE "Hexham" </w:instrText>
      </w:r>
      <w:r w:rsidR="00D142DC" w:rsidRPr="00EC0229">
        <w:rPr>
          <w:rFonts w:cs="Times New Roman"/>
          <w:szCs w:val="24"/>
        </w:rPr>
        <w:fldChar w:fldCharType="end"/>
      </w:r>
      <w:r w:rsidRPr="00EC0229">
        <w:rPr>
          <w:rFonts w:cs="Times New Roman"/>
          <w:szCs w:val="24"/>
        </w:rPr>
        <w:t>, C</w:t>
      </w:r>
      <w:r w:rsidR="009C23C6" w:rsidRPr="00EC0229">
        <w:rPr>
          <w:rFonts w:cs="Times New Roman"/>
          <w:szCs w:val="24"/>
        </w:rPr>
        <w:t>uthbert at Lindisfarne, Benedict</w:t>
      </w:r>
      <w:r w:rsidRPr="00EC0229">
        <w:rPr>
          <w:rFonts w:cs="Times New Roman"/>
          <w:szCs w:val="24"/>
        </w:rPr>
        <w:t xml:space="preserve"> Biscop at Jarrow and Monkwearmouth, Hilda at Whitby</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Such a propinquity of talent often generates, by collaboration or competition, outstanding achievement. The Hexham, Hoddom and closely-linked Bewcastle </w:t>
      </w:r>
      <w:r w:rsidR="00862F15" w:rsidRPr="00EC0229">
        <w:rPr>
          <w:rFonts w:cs="Times New Roman"/>
          <w:szCs w:val="24"/>
        </w:rPr>
        <w:t>and</w:t>
      </w:r>
      <w:r w:rsidRPr="00EC0229">
        <w:rPr>
          <w:rFonts w:cs="Times New Roman"/>
          <w:szCs w:val="24"/>
        </w:rPr>
        <w:t xml:space="preserve"> Ruthwell crosses</w:t>
      </w:r>
      <w:r w:rsidR="00AA21A4" w:rsidRPr="00EC0229">
        <w:rPr>
          <w:rStyle w:val="FootnoteReference"/>
          <w:rFonts w:cs="Times New Roman"/>
          <w:szCs w:val="24"/>
        </w:rPr>
        <w:footnoteReference w:id="494"/>
      </w:r>
      <w:r w:rsidRPr="00EC0229">
        <w:rPr>
          <w:rFonts w:cs="Times New Roman"/>
          <w:szCs w:val="24"/>
        </w:rPr>
        <w:t xml:space="preserve"> are possibly a little later, but </w:t>
      </w:r>
      <w:r w:rsidR="00BF6095">
        <w:rPr>
          <w:rFonts w:cs="Times New Roman"/>
          <w:szCs w:val="24"/>
        </w:rPr>
        <w:t>several</w:t>
      </w:r>
      <w:r w:rsidRPr="00EC0229">
        <w:rPr>
          <w:rFonts w:cs="Times New Roman"/>
          <w:szCs w:val="24"/>
        </w:rPr>
        <w:t xml:space="preserve"> famous jewels (the Ripon jewel</w:t>
      </w:r>
      <w:r w:rsidR="000F1053" w:rsidRPr="00EC0229">
        <w:rPr>
          <w:rStyle w:val="FootnoteReference"/>
          <w:rFonts w:cs="Times New Roman"/>
          <w:szCs w:val="24"/>
        </w:rPr>
        <w:footnoteReference w:id="495"/>
      </w:r>
      <w:r w:rsidRPr="00EC0229">
        <w:rPr>
          <w:rFonts w:cs="Times New Roman"/>
          <w:szCs w:val="24"/>
        </w:rPr>
        <w:t xml:space="preserve"> and St. Cuthbert’s pectoral cross</w:t>
      </w:r>
      <w:r w:rsidR="00E60DEE" w:rsidRPr="00EC0229">
        <w:rPr>
          <w:rFonts w:cs="Times New Roman"/>
          <w:szCs w:val="24"/>
        </w:rPr>
        <w:t xml:space="preserve">, </w:t>
      </w:r>
      <w:r w:rsidR="008C418A" w:rsidRPr="00EC0229">
        <w:rPr>
          <w:rFonts w:cs="Times New Roman"/>
          <w:szCs w:val="24"/>
        </w:rPr>
        <w:fldChar w:fldCharType="begin"/>
      </w:r>
      <w:r w:rsidR="008C418A" w:rsidRPr="00EC0229">
        <w:rPr>
          <w:rFonts w:cs="Times New Roman"/>
          <w:szCs w:val="24"/>
        </w:rPr>
        <w:instrText xml:space="preserve"> REF _Ref430246072 \h </w:instrText>
      </w:r>
      <w:r w:rsidR="000A7CD7"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color w:val="000000" w:themeColor="text1"/>
          <w:szCs w:val="24"/>
        </w:rPr>
        <w:t>Figure</w:t>
      </w:r>
      <w:r w:rsidR="0012026B" w:rsidRPr="0012026B">
        <w:rPr>
          <w:i/>
          <w:color w:val="000000" w:themeColor="text1"/>
          <w:sz w:val="20"/>
          <w:szCs w:val="20"/>
        </w:rPr>
        <w:t xml:space="preserve"> </w:t>
      </w:r>
      <w:r w:rsidR="0012026B" w:rsidRPr="0012026B">
        <w:rPr>
          <w:i/>
          <w:noProof/>
          <w:color w:val="000000" w:themeColor="text1"/>
          <w:sz w:val="20"/>
          <w:szCs w:val="20"/>
        </w:rPr>
        <w:t>17</w:t>
      </w:r>
      <w:r w:rsidR="008C418A" w:rsidRPr="00EC0229">
        <w:rPr>
          <w:rFonts w:cs="Times New Roman"/>
          <w:szCs w:val="24"/>
        </w:rPr>
        <w:fldChar w:fldCharType="end"/>
      </w:r>
      <w:r w:rsidRPr="00EC0229">
        <w:rPr>
          <w:rFonts w:cs="Times New Roman"/>
          <w:szCs w:val="24"/>
        </w:rPr>
        <w:t>) date from this time as does the ‘Franks’ casket.</w:t>
      </w:r>
      <w:r w:rsidRPr="00EC0229">
        <w:rPr>
          <w:rStyle w:val="FootnoteReference"/>
          <w:rFonts w:cs="Times New Roman"/>
          <w:szCs w:val="24"/>
        </w:rPr>
        <w:footnoteReference w:id="496"/>
      </w:r>
      <w:r w:rsidRPr="00EC0229">
        <w:rPr>
          <w:rFonts w:cs="Times New Roman"/>
          <w:szCs w:val="24"/>
        </w:rPr>
        <w:t xml:space="preserve"> Northumbrian missionaries </w:t>
      </w:r>
      <w:r w:rsidR="00234FB1" w:rsidRPr="00EC0229">
        <w:rPr>
          <w:rFonts w:cs="Times New Roman"/>
          <w:szCs w:val="24"/>
        </w:rPr>
        <w:t xml:space="preserve">travelled widely and </w:t>
      </w:r>
      <w:r w:rsidRPr="00EC0229">
        <w:rPr>
          <w:rFonts w:cs="Times New Roman"/>
          <w:szCs w:val="24"/>
        </w:rPr>
        <w:t>worked assiduously on the Continent</w:t>
      </w:r>
      <w:r w:rsidR="00234FB1" w:rsidRPr="00EC0229">
        <w:rPr>
          <w:rFonts w:cs="Times New Roman"/>
          <w:szCs w:val="24"/>
        </w:rPr>
        <w:t xml:space="preserve"> – the main source of acculturation</w:t>
      </w:r>
      <w:r w:rsidR="00061FF9" w:rsidRPr="00EC0229">
        <w:rPr>
          <w:rFonts w:cs="Times New Roman"/>
          <w:szCs w:val="24"/>
        </w:rPr>
        <w:t>.</w:t>
      </w:r>
      <w:r w:rsidR="00234FB1" w:rsidRPr="00EC0229">
        <w:rPr>
          <w:rStyle w:val="FootnoteReference"/>
          <w:rFonts w:cs="Times New Roman"/>
          <w:szCs w:val="24"/>
        </w:rPr>
        <w:footnoteReference w:id="497"/>
      </w:r>
      <w:r w:rsidRPr="00EC0229">
        <w:rPr>
          <w:rFonts w:cs="Times New Roman"/>
          <w:szCs w:val="24"/>
        </w:rPr>
        <w:t xml:space="preserve"> Significant libraries were assembled at York</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and Iona. The first silver sceats were introduced bearing Irish uncial lettering.</w:t>
      </w:r>
      <w:r w:rsidRPr="00EC0229">
        <w:rPr>
          <w:rStyle w:val="FootnoteReference"/>
          <w:rFonts w:cs="Times New Roman"/>
          <w:szCs w:val="24"/>
        </w:rPr>
        <w:footnoteReference w:id="498"/>
      </w:r>
      <w:r w:rsidRPr="00EC0229">
        <w:rPr>
          <w:rFonts w:cs="Times New Roman"/>
          <w:szCs w:val="24"/>
        </w:rPr>
        <w:t xml:space="preserve"> Aldfrith died in 704 at Driffield</w:t>
      </w:r>
      <w:r w:rsidR="006B1593" w:rsidRPr="00EC0229">
        <w:rPr>
          <w:rFonts w:cs="Times New Roman"/>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Driffield</w:instrText>
      </w:r>
      <w:r w:rsidR="006B1593" w:rsidRPr="00EC0229">
        <w:instrText xml:space="preserve">" </w:instrText>
      </w:r>
      <w:r w:rsidR="006B1593" w:rsidRPr="00EC0229">
        <w:rPr>
          <w:rFonts w:cs="Times New Roman"/>
          <w:szCs w:val="24"/>
        </w:rPr>
        <w:fldChar w:fldCharType="end"/>
      </w:r>
      <w:r w:rsidRPr="00EC0229">
        <w:rPr>
          <w:rFonts w:cs="Times New Roman"/>
          <w:szCs w:val="24"/>
        </w:rPr>
        <w:t>, assumed to be a royal palace, and is regarded as one of the most learned of all English monarchs.</w:t>
      </w:r>
      <w:r w:rsidRPr="00EC0229">
        <w:rPr>
          <w:rStyle w:val="FootnoteReference"/>
          <w:rFonts w:cs="Times New Roman"/>
          <w:szCs w:val="24"/>
        </w:rPr>
        <w:footnoteReference w:id="499"/>
      </w:r>
    </w:p>
    <w:p w14:paraId="3CD2E451" w14:textId="77777777" w:rsidR="00A33875" w:rsidRPr="00EC0229" w:rsidRDefault="00A33875" w:rsidP="007600EA">
      <w:pPr>
        <w:spacing w:line="360" w:lineRule="auto"/>
        <w:jc w:val="center"/>
      </w:pPr>
      <w:r w:rsidRPr="00EC0229">
        <w:rPr>
          <w:noProof/>
          <w:lang w:eastAsia="en-GB"/>
        </w:rPr>
        <w:drawing>
          <wp:inline distT="0" distB="0" distL="0" distR="0" wp14:anchorId="5BA4CCBA" wp14:editId="236AE255">
            <wp:extent cx="1333593" cy="1540386"/>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 Cuthbert's pectoral cross.jpg"/>
                    <pic:cNvPicPr/>
                  </pic:nvPicPr>
                  <pic:blipFill>
                    <a:blip r:embed="rId69">
                      <a:extLst>
                        <a:ext uri="{28A0092B-C50C-407E-A947-70E740481C1C}">
                          <a14:useLocalDpi xmlns:a14="http://schemas.microsoft.com/office/drawing/2010/main" val="0"/>
                        </a:ext>
                      </a:extLst>
                    </a:blip>
                    <a:stretch>
                      <a:fillRect/>
                    </a:stretch>
                  </pic:blipFill>
                  <pic:spPr>
                    <a:xfrm>
                      <a:off x="0" y="0"/>
                      <a:ext cx="1340565" cy="1548439"/>
                    </a:xfrm>
                    <a:prstGeom prst="rect">
                      <a:avLst/>
                    </a:prstGeom>
                  </pic:spPr>
                </pic:pic>
              </a:graphicData>
            </a:graphic>
          </wp:inline>
        </w:drawing>
      </w:r>
    </w:p>
    <w:p w14:paraId="018DC774" w14:textId="346D6189" w:rsidR="00A33875" w:rsidRPr="00EC0229" w:rsidRDefault="00BA07F3" w:rsidP="007600EA">
      <w:pPr>
        <w:spacing w:line="360" w:lineRule="auto"/>
        <w:jc w:val="center"/>
        <w:rPr>
          <w:i/>
          <w:sz w:val="20"/>
          <w:szCs w:val="20"/>
        </w:rPr>
      </w:pPr>
      <w:bookmarkStart w:id="255" w:name="_Ref430246072"/>
      <w:bookmarkStart w:id="256" w:name="_Toc468266989"/>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17</w:t>
      </w:r>
      <w:r w:rsidRPr="00EC0229">
        <w:rPr>
          <w:i/>
          <w:sz w:val="20"/>
          <w:szCs w:val="20"/>
        </w:rPr>
        <w:fldChar w:fldCharType="end"/>
      </w:r>
      <w:bookmarkEnd w:id="255"/>
      <w:r w:rsidR="00E60DEE" w:rsidRPr="00EC0229">
        <w:rPr>
          <w:sz w:val="20"/>
          <w:szCs w:val="20"/>
        </w:rPr>
        <w:t xml:space="preserve">: </w:t>
      </w:r>
      <w:r w:rsidR="00A33875" w:rsidRPr="00EC0229">
        <w:rPr>
          <w:sz w:val="20"/>
          <w:szCs w:val="20"/>
        </w:rPr>
        <w:t>St. Cuthbert’s pectoral cross</w:t>
      </w:r>
      <w:r w:rsidR="00A33875" w:rsidRPr="00EC0229">
        <w:rPr>
          <w:rStyle w:val="FootnoteReference"/>
          <w:color w:val="000000" w:themeColor="text1"/>
          <w:sz w:val="20"/>
          <w:szCs w:val="20"/>
        </w:rPr>
        <w:footnoteReference w:id="500"/>
      </w:r>
      <w:bookmarkEnd w:id="256"/>
    </w:p>
    <w:p w14:paraId="2FB207A2" w14:textId="77777777" w:rsidR="001770DE" w:rsidRPr="00EC0229" w:rsidRDefault="001770DE" w:rsidP="007600EA">
      <w:pPr>
        <w:spacing w:line="360" w:lineRule="auto"/>
      </w:pPr>
    </w:p>
    <w:p w14:paraId="5BDB8E9E" w14:textId="77777777" w:rsidR="001770DE" w:rsidRPr="00EC0229" w:rsidRDefault="001770DE" w:rsidP="007600EA">
      <w:pPr>
        <w:pStyle w:val="NoSpacing"/>
        <w:spacing w:line="360" w:lineRule="auto"/>
        <w:jc w:val="center"/>
      </w:pPr>
      <w:r w:rsidRPr="00EC0229">
        <w:rPr>
          <w:noProof/>
          <w:lang w:eastAsia="en-GB"/>
        </w:rPr>
        <w:drawing>
          <wp:inline distT="0" distB="0" distL="0" distR="0" wp14:anchorId="5B994608" wp14:editId="22207C2C">
            <wp:extent cx="876300" cy="8763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50 E650.JPG"/>
                    <pic:cNvPicPr/>
                  </pic:nvPicPr>
                  <pic:blipFill>
                    <a:blip r:embed="rId70">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r w:rsidRPr="00EC0229">
        <w:rPr>
          <w:noProof/>
          <w:lang w:eastAsia="en-GB"/>
        </w:rPr>
        <w:drawing>
          <wp:inline distT="0" distB="0" distL="0" distR="0" wp14:anchorId="5348609A" wp14:editId="1AAECBC4">
            <wp:extent cx="867280" cy="897890"/>
            <wp:effectExtent l="0" t="0" r="952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50 E650R.JPG"/>
                    <pic:cNvPicPr/>
                  </pic:nvPicPr>
                  <pic:blipFill>
                    <a:blip r:embed="rId71">
                      <a:extLst>
                        <a:ext uri="{28A0092B-C50C-407E-A947-70E740481C1C}">
                          <a14:useLocalDpi xmlns:a14="http://schemas.microsoft.com/office/drawing/2010/main" val="0"/>
                        </a:ext>
                      </a:extLst>
                    </a:blip>
                    <a:stretch>
                      <a:fillRect/>
                    </a:stretch>
                  </pic:blipFill>
                  <pic:spPr>
                    <a:xfrm>
                      <a:off x="0" y="0"/>
                      <a:ext cx="885711" cy="916971"/>
                    </a:xfrm>
                    <a:prstGeom prst="rect">
                      <a:avLst/>
                    </a:prstGeom>
                  </pic:spPr>
                </pic:pic>
              </a:graphicData>
            </a:graphic>
          </wp:inline>
        </w:drawing>
      </w:r>
      <w:r w:rsidRPr="00EC0229">
        <w:tab/>
      </w:r>
      <w:r w:rsidRPr="00EC0229">
        <w:tab/>
      </w:r>
      <w:r w:rsidRPr="00EC0229">
        <w:rPr>
          <w:noProof/>
          <w:lang w:eastAsia="en-GB"/>
        </w:rPr>
        <w:drawing>
          <wp:inline distT="0" distB="0" distL="0" distR="0" wp14:anchorId="3ECBCD2F" wp14:editId="2B8B59A5">
            <wp:extent cx="876300" cy="855681"/>
            <wp:effectExtent l="0" t="0" r="0" b="190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50 E655.JPG"/>
                    <pic:cNvPicPr/>
                  </pic:nvPicPr>
                  <pic:blipFill>
                    <a:blip r:embed="rId72">
                      <a:extLst>
                        <a:ext uri="{28A0092B-C50C-407E-A947-70E740481C1C}">
                          <a14:useLocalDpi xmlns:a14="http://schemas.microsoft.com/office/drawing/2010/main" val="0"/>
                        </a:ext>
                      </a:extLst>
                    </a:blip>
                    <a:stretch>
                      <a:fillRect/>
                    </a:stretch>
                  </pic:blipFill>
                  <pic:spPr>
                    <a:xfrm>
                      <a:off x="0" y="0"/>
                      <a:ext cx="880527" cy="859809"/>
                    </a:xfrm>
                    <a:prstGeom prst="rect">
                      <a:avLst/>
                    </a:prstGeom>
                  </pic:spPr>
                </pic:pic>
              </a:graphicData>
            </a:graphic>
          </wp:inline>
        </w:drawing>
      </w:r>
      <w:r w:rsidRPr="00EC0229">
        <w:rPr>
          <w:noProof/>
          <w:lang w:eastAsia="en-GB"/>
        </w:rPr>
        <w:drawing>
          <wp:inline distT="0" distB="0" distL="0" distR="0" wp14:anchorId="1BFAD30E" wp14:editId="007F77D6">
            <wp:extent cx="835660" cy="835660"/>
            <wp:effectExtent l="0" t="0" r="2540" b="254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50 E655R.jpg"/>
                    <pic:cNvPicPr/>
                  </pic:nvPicPr>
                  <pic:blipFill>
                    <a:blip r:embed="rId73">
                      <a:extLst>
                        <a:ext uri="{28A0092B-C50C-407E-A947-70E740481C1C}">
                          <a14:useLocalDpi xmlns:a14="http://schemas.microsoft.com/office/drawing/2010/main" val="0"/>
                        </a:ext>
                      </a:extLst>
                    </a:blip>
                    <a:stretch>
                      <a:fillRect/>
                    </a:stretch>
                  </pic:blipFill>
                  <pic:spPr>
                    <a:xfrm>
                      <a:off x="0" y="0"/>
                      <a:ext cx="835660" cy="835660"/>
                    </a:xfrm>
                    <a:prstGeom prst="rect">
                      <a:avLst/>
                    </a:prstGeom>
                  </pic:spPr>
                </pic:pic>
              </a:graphicData>
            </a:graphic>
          </wp:inline>
        </w:drawing>
      </w:r>
    </w:p>
    <w:p w14:paraId="3525059D" w14:textId="2687859D" w:rsidR="001770DE" w:rsidRPr="00EC0229" w:rsidRDefault="001770DE" w:rsidP="007600EA">
      <w:pPr>
        <w:pStyle w:val="NoSpacing"/>
        <w:spacing w:line="360" w:lineRule="auto"/>
        <w:jc w:val="center"/>
        <w:rPr>
          <w:sz w:val="20"/>
          <w:szCs w:val="20"/>
        </w:rPr>
      </w:pPr>
      <w:bookmarkStart w:id="257" w:name="_Toc46826699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18</w:t>
      </w:r>
      <w:r w:rsidRPr="00EC0229">
        <w:rPr>
          <w:sz w:val="20"/>
          <w:szCs w:val="20"/>
        </w:rPr>
        <w:fldChar w:fldCharType="end"/>
      </w:r>
      <w:r w:rsidRPr="00EC0229">
        <w:rPr>
          <w:sz w:val="20"/>
          <w:szCs w:val="20"/>
        </w:rPr>
        <w:t>: Evidence of Northumbrian missionaries in Frisia</w:t>
      </w:r>
      <w:bookmarkEnd w:id="257"/>
    </w:p>
    <w:p w14:paraId="10FB2927" w14:textId="68552CB4" w:rsidR="001770DE" w:rsidRPr="00EC0229" w:rsidRDefault="001770DE" w:rsidP="007600EA">
      <w:pPr>
        <w:pStyle w:val="NoSpacing"/>
        <w:spacing w:line="360" w:lineRule="auto"/>
        <w:jc w:val="center"/>
        <w:rPr>
          <w:sz w:val="20"/>
          <w:szCs w:val="20"/>
        </w:rPr>
      </w:pPr>
      <w:r w:rsidRPr="00EC0229">
        <w:rPr>
          <w:sz w:val="20"/>
          <w:szCs w:val="20"/>
        </w:rPr>
        <w:t xml:space="preserve">Primary Frisian sceats, possibly inscribed </w:t>
      </w:r>
      <w:r w:rsidRPr="00EC0229">
        <w:rPr>
          <w:i/>
          <w:sz w:val="20"/>
          <w:szCs w:val="20"/>
        </w:rPr>
        <w:t xml:space="preserve">Willi(brodr), </w:t>
      </w:r>
      <w:r w:rsidRPr="00EC0229">
        <w:rPr>
          <w:sz w:val="20"/>
          <w:szCs w:val="20"/>
        </w:rPr>
        <w:t>Bishop of Utrecht</w:t>
      </w:r>
    </w:p>
    <w:p w14:paraId="0E668A46" w14:textId="1E3B3FF1" w:rsidR="001770DE" w:rsidRPr="00EC0229" w:rsidRDefault="001770DE" w:rsidP="007600EA">
      <w:pPr>
        <w:pStyle w:val="NoSpacing"/>
        <w:spacing w:line="360" w:lineRule="auto"/>
        <w:jc w:val="center"/>
        <w:rPr>
          <w:sz w:val="20"/>
          <w:szCs w:val="20"/>
        </w:rPr>
      </w:pPr>
      <w:r w:rsidRPr="00EC0229">
        <w:rPr>
          <w:sz w:val="20"/>
          <w:szCs w:val="20"/>
        </w:rPr>
        <w:t xml:space="preserve">Central crozier on reverse (see also </w:t>
      </w:r>
      <w:r w:rsidRPr="00EC0229">
        <w:rPr>
          <w:sz w:val="20"/>
          <w:szCs w:val="20"/>
        </w:rPr>
        <w:fldChar w:fldCharType="begin"/>
      </w:r>
      <w:r w:rsidRPr="00EC0229">
        <w:rPr>
          <w:sz w:val="20"/>
          <w:szCs w:val="20"/>
        </w:rPr>
        <w:instrText xml:space="preserve"> REF _Ref430246141 \h </w:instrText>
      </w:r>
      <w:r w:rsidR="00235629" w:rsidRPr="00EC0229">
        <w:rPr>
          <w:sz w:val="20"/>
          <w:szCs w:val="20"/>
        </w:rPr>
        <w:instrText xml:space="preserve"> \* MERGEFORMAT </w:instrText>
      </w:r>
      <w:r w:rsidRPr="00EC0229">
        <w:rPr>
          <w:sz w:val="20"/>
          <w:szCs w:val="20"/>
        </w:rPr>
      </w:r>
      <w:r w:rsidRPr="00EC0229">
        <w:rPr>
          <w:sz w:val="20"/>
          <w:szCs w:val="20"/>
        </w:rPr>
        <w:fldChar w:fldCharType="separate"/>
      </w:r>
      <w:r w:rsidR="0012026B" w:rsidRPr="00EC0229">
        <w:rPr>
          <w:i/>
          <w:sz w:val="20"/>
          <w:szCs w:val="20"/>
        </w:rPr>
        <w:t>Figure</w:t>
      </w:r>
      <w:r w:rsidR="0012026B" w:rsidRPr="00EC0229">
        <w:rPr>
          <w:sz w:val="20"/>
          <w:szCs w:val="20"/>
        </w:rPr>
        <w:t xml:space="preserve"> </w:t>
      </w:r>
      <w:r w:rsidR="0012026B">
        <w:rPr>
          <w:noProof/>
          <w:sz w:val="20"/>
          <w:szCs w:val="20"/>
        </w:rPr>
        <w:t>35</w:t>
      </w:r>
      <w:r w:rsidRPr="00EC0229">
        <w:rPr>
          <w:sz w:val="20"/>
          <w:szCs w:val="20"/>
        </w:rPr>
        <w:fldChar w:fldCharType="end"/>
      </w:r>
      <w:r w:rsidRPr="00EC0229">
        <w:rPr>
          <w:sz w:val="20"/>
          <w:szCs w:val="20"/>
        </w:rPr>
        <w:t>).</w:t>
      </w:r>
    </w:p>
    <w:p w14:paraId="0ED34F63" w14:textId="77777777" w:rsidR="001770DE" w:rsidRPr="00EC0229" w:rsidRDefault="001770DE" w:rsidP="007600EA">
      <w:pPr>
        <w:pStyle w:val="NoSpacing"/>
        <w:spacing w:line="360" w:lineRule="auto"/>
        <w:rPr>
          <w:bCs/>
        </w:rPr>
      </w:pPr>
    </w:p>
    <w:p w14:paraId="75288CE4" w14:textId="77777777" w:rsidR="001770DE" w:rsidRPr="00EC0229" w:rsidRDefault="001770DE" w:rsidP="007600EA">
      <w:pPr>
        <w:spacing w:line="360" w:lineRule="auto"/>
      </w:pPr>
    </w:p>
    <w:p w14:paraId="37296051" w14:textId="564AE934" w:rsidR="00A33875" w:rsidRPr="00EC0229" w:rsidRDefault="00A33875" w:rsidP="007600EA">
      <w:pPr>
        <w:spacing w:line="360" w:lineRule="auto"/>
        <w:rPr>
          <w:rFonts w:cs="Times New Roman"/>
          <w:szCs w:val="24"/>
        </w:rPr>
      </w:pPr>
      <w:r w:rsidRPr="00EC0229">
        <w:rPr>
          <w:rFonts w:cs="Times New Roman"/>
          <w:szCs w:val="24"/>
        </w:rPr>
        <w:t>Aldfrith</w:t>
      </w:r>
      <w:r w:rsidR="00D142DC" w:rsidRPr="00EC0229">
        <w:rPr>
          <w:rFonts w:cs="Times New Roman"/>
          <w:szCs w:val="24"/>
        </w:rPr>
        <w:fldChar w:fldCharType="begin"/>
      </w:r>
      <w:r w:rsidR="00D142DC" w:rsidRPr="00EC0229">
        <w:instrText xml:space="preserve"> XE "Aldfrith" </w:instrText>
      </w:r>
      <w:r w:rsidR="00D142DC" w:rsidRPr="00EC0229">
        <w:rPr>
          <w:rFonts w:cs="Times New Roman"/>
          <w:szCs w:val="24"/>
        </w:rPr>
        <w:fldChar w:fldCharType="end"/>
      </w:r>
      <w:r w:rsidRPr="00EC0229">
        <w:rPr>
          <w:rFonts w:cs="Times New Roman"/>
          <w:szCs w:val="24"/>
        </w:rPr>
        <w:t>’s one weakness was his succession. His marriage to the ascetic Cuthburg, sister of Ine of Wessex, resulted in the birth of Osred in 696, before Cuthburg entered the monastery of Winburn.</w:t>
      </w:r>
    </w:p>
    <w:p w14:paraId="4960DF97" w14:textId="72376B0B" w:rsidR="00A33875" w:rsidRPr="00EC0229" w:rsidRDefault="00A33875" w:rsidP="007600EA">
      <w:pPr>
        <w:spacing w:line="360" w:lineRule="auto"/>
        <w:rPr>
          <w:rFonts w:cs="Times New Roman"/>
          <w:szCs w:val="24"/>
        </w:rPr>
      </w:pPr>
      <w:r w:rsidRPr="00EC0229">
        <w:rPr>
          <w:rFonts w:cs="Times New Roman"/>
          <w:szCs w:val="24"/>
        </w:rPr>
        <w:t>After Aldfrith</w:t>
      </w:r>
      <w:r w:rsidR="00D142DC" w:rsidRPr="00EC0229">
        <w:rPr>
          <w:rFonts w:cs="Times New Roman"/>
          <w:szCs w:val="24"/>
        </w:rPr>
        <w:fldChar w:fldCharType="begin"/>
      </w:r>
      <w:r w:rsidR="00D142DC" w:rsidRPr="00EC0229">
        <w:instrText xml:space="preserve"> XE "Aldfrith" </w:instrText>
      </w:r>
      <w:r w:rsidR="00D142DC" w:rsidRPr="00EC0229">
        <w:rPr>
          <w:rFonts w:cs="Times New Roman"/>
          <w:szCs w:val="24"/>
        </w:rPr>
        <w:fldChar w:fldCharType="end"/>
      </w:r>
      <w:r w:rsidRPr="00EC0229">
        <w:rPr>
          <w:rFonts w:cs="Times New Roman"/>
          <w:szCs w:val="24"/>
        </w:rPr>
        <w:t xml:space="preserve">’s death, Berhtfrith, a </w:t>
      </w:r>
      <w:r w:rsidRPr="00EC0229">
        <w:rPr>
          <w:rFonts w:cs="Times New Roman"/>
          <w:i/>
          <w:szCs w:val="24"/>
        </w:rPr>
        <w:t>patricus</w:t>
      </w:r>
      <w:r w:rsidRPr="00EC0229">
        <w:rPr>
          <w:rFonts w:cs="Times New Roman"/>
          <w:szCs w:val="24"/>
        </w:rPr>
        <w:t xml:space="preserve"> and warrior thane, (of the dynasty of Beornhæth and Berhtred) undertook the guardianship of Osred and immediately faced a challenge from a rival thane Eadwulf, who usurped the throne for two months until Wilfrid</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Wilfrid</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pronounced in favour of Osred.</w:t>
      </w:r>
      <w:r w:rsidRPr="00EC0229">
        <w:rPr>
          <w:rStyle w:val="FootnoteReference"/>
          <w:rFonts w:cs="Times New Roman"/>
          <w:szCs w:val="24"/>
        </w:rPr>
        <w:footnoteReference w:id="501"/>
      </w:r>
      <w:r w:rsidRPr="00EC0229">
        <w:rPr>
          <w:rFonts w:cs="Times New Roman"/>
          <w:szCs w:val="24"/>
        </w:rPr>
        <w:t xml:space="preserve"> Eadwulf’s usurpation was a decisive watershed in Northumbrian succession for now ostensibly legitimate scions could be challenged by warrior thanes. Future monarchs could not achieve the greatness of their illustrious predecessors and Northumbria</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szCs w:val="24"/>
        </w:rPr>
        <w:fldChar w:fldCharType="end"/>
      </w:r>
      <w:r w:rsidRPr="00EC0229">
        <w:rPr>
          <w:rFonts w:cs="Times New Roman"/>
          <w:szCs w:val="24"/>
        </w:rPr>
        <w:t xml:space="preserve"> would never regain its pre-eminence. Seventh-century Northumbrian monarchs typically died in battle; their eighth-century successors usually perished as the result of internecine strife, though this friction may also have been a driving force under the unifying influence of the archiepiscopacy. Despite this, the </w:t>
      </w:r>
      <w:r w:rsidR="00CF45AD" w:rsidRPr="00EC0229">
        <w:rPr>
          <w:rFonts w:cs="Times New Roman"/>
          <w:szCs w:val="24"/>
        </w:rPr>
        <w:t>Golden Age</w:t>
      </w:r>
      <w:r w:rsidRPr="00EC0229">
        <w:rPr>
          <w:rFonts w:cs="Times New Roman"/>
          <w:szCs w:val="24"/>
        </w:rPr>
        <w:t>, at least in some artistic and literary fields, was to continue until the catastrophe of 867.</w:t>
      </w:r>
    </w:p>
    <w:p w14:paraId="246E72D5" w14:textId="77777777" w:rsidR="00A33875" w:rsidRPr="00EC0229" w:rsidRDefault="00A33875" w:rsidP="007600EA">
      <w:pPr>
        <w:spacing w:line="360" w:lineRule="auto"/>
        <w:rPr>
          <w:rFonts w:cs="Times New Roman"/>
          <w:szCs w:val="24"/>
        </w:rPr>
      </w:pPr>
      <w:r w:rsidRPr="00EC0229">
        <w:rPr>
          <w:rFonts w:cs="Times New Roman"/>
          <w:szCs w:val="24"/>
        </w:rPr>
        <w:t>In 711, Berhtfrith inflicted a defeat on the Picts but unfortunately by 716, Osred proved to be incompetent and dissolute, and was eventually lured by his kinsfolk, Coenred and Osric, to a bloody demise, probably on the Mercian border.</w:t>
      </w:r>
      <w:r w:rsidRPr="00EC0229">
        <w:rPr>
          <w:rStyle w:val="FootnoteReference"/>
          <w:rFonts w:cs="Times New Roman"/>
          <w:szCs w:val="24"/>
        </w:rPr>
        <w:footnoteReference w:id="502"/>
      </w:r>
      <w:r w:rsidRPr="00EC0229">
        <w:rPr>
          <w:rFonts w:cs="Times New Roman"/>
          <w:szCs w:val="24"/>
        </w:rPr>
        <w:t xml:space="preserve">  Coenred acceded for two years, but was little better than Osred. In 718, the obscure Osric succeeded for a period of eleven years. He adopted Ceolwulf, Coenred’s brother as his successor, in 729.</w:t>
      </w:r>
      <w:r w:rsidRPr="00EC0229">
        <w:rPr>
          <w:rStyle w:val="FootnoteReference"/>
          <w:rFonts w:cs="Times New Roman"/>
          <w:szCs w:val="24"/>
        </w:rPr>
        <w:footnoteReference w:id="503"/>
      </w:r>
    </w:p>
    <w:p w14:paraId="3C381A17" w14:textId="474749E4" w:rsidR="00A33875" w:rsidRPr="00EC0229" w:rsidRDefault="00A33875" w:rsidP="007600EA">
      <w:pPr>
        <w:spacing w:line="360" w:lineRule="auto"/>
        <w:rPr>
          <w:rFonts w:cs="Times New Roman"/>
          <w:szCs w:val="24"/>
        </w:rPr>
      </w:pPr>
      <w:r w:rsidRPr="00EC0229">
        <w:rPr>
          <w:rFonts w:cs="Times New Roman"/>
          <w:szCs w:val="24"/>
        </w:rPr>
        <w:lastRenderedPageBreak/>
        <w:t>Ceolwulf proved an ineffectual, monkish, king. In 731, he was kidnaped by rebellious thanes and forcibly tonsured. Having made substantial endowments to Lindisfarne</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rFonts w:cs="Times New Roman"/>
          <w:szCs w:val="24"/>
        </w:rPr>
        <w:fldChar w:fldCharType="end"/>
      </w:r>
      <w:r w:rsidRPr="00EC0229">
        <w:rPr>
          <w:rFonts w:cs="Times New Roman"/>
          <w:szCs w:val="24"/>
        </w:rPr>
        <w:t>, he abdicated there in 737 and survived a further twenty-seven years.</w:t>
      </w:r>
      <w:r w:rsidRPr="00EC0229">
        <w:rPr>
          <w:rStyle w:val="FootnoteReference"/>
          <w:rFonts w:cs="Times New Roman"/>
          <w:szCs w:val="24"/>
        </w:rPr>
        <w:footnoteReference w:id="504"/>
      </w:r>
      <w:r w:rsidRPr="00EC0229">
        <w:rPr>
          <w:rFonts w:cs="Times New Roman"/>
          <w:szCs w:val="24"/>
        </w:rPr>
        <w:t xml:space="preserve"> He nominated his cousin Eadberht</w:t>
      </w:r>
      <w:r w:rsidR="00D142DC" w:rsidRPr="00EC0229">
        <w:rPr>
          <w:rFonts w:cs="Times New Roman"/>
          <w:szCs w:val="24"/>
        </w:rPr>
        <w:fldChar w:fldCharType="begin"/>
      </w:r>
      <w:r w:rsidR="00D142DC" w:rsidRPr="00EC0229">
        <w:instrText xml:space="preserve"> XE "Eadberht" </w:instrText>
      </w:r>
      <w:r w:rsidR="00D142DC" w:rsidRPr="00EC0229">
        <w:rPr>
          <w:rFonts w:cs="Times New Roman"/>
          <w:szCs w:val="24"/>
        </w:rPr>
        <w:fldChar w:fldCharType="end"/>
      </w:r>
      <w:r w:rsidRPr="00EC0229">
        <w:rPr>
          <w:rFonts w:cs="Times New Roman"/>
          <w:szCs w:val="24"/>
        </w:rPr>
        <w:t xml:space="preserve"> as his successor.</w:t>
      </w:r>
      <w:r w:rsidRPr="00EC0229">
        <w:rPr>
          <w:rStyle w:val="FootnoteReference"/>
          <w:rFonts w:cs="Times New Roman"/>
          <w:szCs w:val="24"/>
        </w:rPr>
        <w:footnoteReference w:id="505"/>
      </w:r>
    </w:p>
    <w:p w14:paraId="018CBBCA" w14:textId="77777777" w:rsidR="00993B0F" w:rsidRPr="00EC0229" w:rsidRDefault="00993B0F" w:rsidP="007600EA">
      <w:pPr>
        <w:spacing w:line="360" w:lineRule="auto"/>
        <w:rPr>
          <w:rFonts w:cs="Times New Roman"/>
          <w:szCs w:val="24"/>
        </w:rPr>
      </w:pPr>
      <w:r w:rsidRPr="00EC0229">
        <w:rPr>
          <w:rFonts w:cs="Times New Roman"/>
          <w:szCs w:val="24"/>
        </w:rPr>
        <w:t>Eadberht</w:t>
      </w:r>
      <w:r w:rsidRPr="00EC0229">
        <w:rPr>
          <w:rFonts w:cs="Times New Roman"/>
          <w:szCs w:val="24"/>
        </w:rPr>
        <w:fldChar w:fldCharType="begin"/>
      </w:r>
      <w:r w:rsidRPr="00EC0229">
        <w:instrText xml:space="preserve"> XE "Eadberht" </w:instrText>
      </w:r>
      <w:r w:rsidRPr="00EC0229">
        <w:rPr>
          <w:rFonts w:cs="Times New Roman"/>
          <w:szCs w:val="24"/>
        </w:rPr>
        <w:fldChar w:fldCharType="end"/>
      </w:r>
      <w:r w:rsidRPr="00EC0229">
        <w:rPr>
          <w:rFonts w:cs="Times New Roman"/>
          <w:szCs w:val="24"/>
        </w:rPr>
        <w:t xml:space="preserve"> (reigned</w:t>
      </w:r>
      <w:r w:rsidRPr="00EC0229">
        <w:rPr>
          <w:rStyle w:val="FootnoteReference"/>
          <w:rFonts w:cs="Times New Roman"/>
          <w:szCs w:val="24"/>
        </w:rPr>
        <w:footnoteReference w:id="506"/>
      </w:r>
      <w:r w:rsidRPr="00EC0229">
        <w:rPr>
          <w:rFonts w:cs="Times New Roman"/>
          <w:szCs w:val="24"/>
        </w:rPr>
        <w:t xml:space="preserve"> 737-58, d. 768), </w:t>
      </w:r>
      <w:r w:rsidRPr="00EC0229">
        <w:rPr>
          <w:rFonts w:cs="Times New Roman"/>
          <w:color w:val="000000" w:themeColor="text1"/>
          <w:szCs w:val="24"/>
        </w:rPr>
        <w:t>son of Eata,</w:t>
      </w:r>
      <w:r w:rsidRPr="00EC0229">
        <w:rPr>
          <w:rFonts w:cs="Times New Roman"/>
          <w:szCs w:val="24"/>
        </w:rPr>
        <w:t xml:space="preserve"> faced internal rivalry and slew Eardwine (son of the usurper Eadwulf and grandfather of King Eardwulf) in 740, and Offa</w:t>
      </w:r>
      <w:r w:rsidRPr="00EC0229">
        <w:rPr>
          <w:rFonts w:cs="Times New Roman"/>
          <w:szCs w:val="24"/>
        </w:rPr>
        <w:fldChar w:fldCharType="begin"/>
      </w:r>
      <w:r w:rsidRPr="00EC0229">
        <w:instrText xml:space="preserve"> XE "</w:instrText>
      </w:r>
      <w:r w:rsidRPr="00EC0229">
        <w:rPr>
          <w:rFonts w:cs="Times New Roman"/>
        </w:rPr>
        <w:instrText>Offa</w:instrText>
      </w:r>
      <w:r w:rsidRPr="00EC0229">
        <w:instrText xml:space="preserve">" </w:instrText>
      </w:r>
      <w:r w:rsidRPr="00EC0229">
        <w:rPr>
          <w:rFonts w:cs="Times New Roman"/>
          <w:szCs w:val="24"/>
        </w:rPr>
        <w:fldChar w:fldCharType="end"/>
      </w:r>
      <w:r w:rsidRPr="00EC0229">
        <w:rPr>
          <w:rFonts w:cs="Times New Roman"/>
          <w:szCs w:val="24"/>
        </w:rPr>
        <w:t>, son of Aldfrith</w:t>
      </w:r>
      <w:r w:rsidRPr="00EC0229">
        <w:rPr>
          <w:rFonts w:cs="Times New Roman"/>
          <w:szCs w:val="24"/>
        </w:rPr>
        <w:fldChar w:fldCharType="begin"/>
      </w:r>
      <w:r w:rsidRPr="00EC0229">
        <w:instrText xml:space="preserve"> XE "Aldfrith" </w:instrText>
      </w:r>
      <w:r w:rsidRPr="00EC0229">
        <w:rPr>
          <w:rFonts w:cs="Times New Roman"/>
          <w:szCs w:val="24"/>
        </w:rPr>
        <w:fldChar w:fldCharType="end"/>
      </w:r>
      <w:r w:rsidRPr="00EC0229">
        <w:rPr>
          <w:rFonts w:cs="Times New Roman"/>
          <w:szCs w:val="24"/>
        </w:rPr>
        <w:t>, in 750. He was supported by his brother Archbishop Ecgberht</w:t>
      </w:r>
      <w:r w:rsidRPr="00EC0229">
        <w:rPr>
          <w:rFonts w:cs="Times New Roman"/>
          <w:szCs w:val="24"/>
        </w:rPr>
        <w:fldChar w:fldCharType="begin"/>
      </w:r>
      <w:r w:rsidRPr="00EC0229">
        <w:instrText xml:space="preserve"> XE "Ecgberht" </w:instrText>
      </w:r>
      <w:r w:rsidRPr="00EC0229">
        <w:rPr>
          <w:rFonts w:cs="Times New Roman"/>
          <w:szCs w:val="24"/>
        </w:rPr>
        <w:fldChar w:fldCharType="end"/>
      </w:r>
      <w:r w:rsidRPr="00EC0229">
        <w:rPr>
          <w:rFonts w:cs="Times New Roman"/>
          <w:szCs w:val="24"/>
        </w:rPr>
        <w:t xml:space="preserve"> of York</w:t>
      </w:r>
      <w:r w:rsidRPr="00EC0229">
        <w:rPr>
          <w:rFonts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rPr>
        <w:fldChar w:fldCharType="end"/>
      </w:r>
      <w:r w:rsidRPr="00EC0229">
        <w:rPr>
          <w:rFonts w:cs="Times New Roman"/>
          <w:szCs w:val="24"/>
        </w:rPr>
        <w:t xml:space="preserve"> and they issued joint coinage, Eadberht having re-introduced the Northumbrian sceat. In 740, Eadberht campaigned in the north but this gave an opportunity for Æthelbald of Mercia to attack, possibly in retaliation for Eardwine’s murder.  Eadberht campaigned more successfully in 750, capturing the plain of Kyle.</w:t>
      </w:r>
      <w:r w:rsidRPr="00EC0229">
        <w:rPr>
          <w:rStyle w:val="FootnoteReference"/>
          <w:rFonts w:cs="Times New Roman"/>
          <w:szCs w:val="24"/>
        </w:rPr>
        <w:footnoteReference w:id="507"/>
      </w:r>
      <w:r w:rsidRPr="00EC0229">
        <w:rPr>
          <w:rFonts w:cs="Times New Roman"/>
          <w:szCs w:val="24"/>
        </w:rPr>
        <w:t xml:space="preserve"> He retired to a monastic life in York and was buried alongside Ecgberht who predeceased him by two years.</w:t>
      </w:r>
    </w:p>
    <w:p w14:paraId="0F0CE876" w14:textId="77777777" w:rsidR="00993B0F" w:rsidRPr="00EC0229" w:rsidRDefault="00993B0F" w:rsidP="007600EA">
      <w:pPr>
        <w:spacing w:line="360" w:lineRule="auto"/>
        <w:rPr>
          <w:rFonts w:cs="Times New Roman"/>
          <w:szCs w:val="24"/>
        </w:rPr>
      </w:pPr>
      <w:r w:rsidRPr="00EC0229">
        <w:rPr>
          <w:rFonts w:cs="Times New Roman"/>
          <w:szCs w:val="24"/>
        </w:rPr>
        <w:t>Oswulf (758) succeeded his father Eadberht</w:t>
      </w:r>
      <w:r w:rsidRPr="00EC0229">
        <w:rPr>
          <w:rFonts w:cs="Times New Roman"/>
          <w:szCs w:val="24"/>
        </w:rPr>
        <w:fldChar w:fldCharType="begin"/>
      </w:r>
      <w:r w:rsidRPr="00EC0229">
        <w:instrText xml:space="preserve"> XE "Eadberht" </w:instrText>
      </w:r>
      <w:r w:rsidRPr="00EC0229">
        <w:rPr>
          <w:rFonts w:cs="Times New Roman"/>
          <w:szCs w:val="24"/>
        </w:rPr>
        <w:fldChar w:fldCharType="end"/>
      </w:r>
      <w:r w:rsidRPr="00EC0229">
        <w:rPr>
          <w:rFonts w:cs="Times New Roman"/>
          <w:szCs w:val="24"/>
        </w:rPr>
        <w:t>, but was soon murdered by members of his own household, possibly including his successor.</w:t>
      </w:r>
      <w:r w:rsidRPr="00EC0229">
        <w:rPr>
          <w:rStyle w:val="FootnoteReference"/>
          <w:rFonts w:cs="Times New Roman"/>
          <w:szCs w:val="24"/>
        </w:rPr>
        <w:footnoteReference w:id="508"/>
      </w:r>
      <w:r w:rsidRPr="00EC0229">
        <w:rPr>
          <w:rFonts w:cs="Times New Roman"/>
          <w:szCs w:val="24"/>
        </w:rPr>
        <w:t xml:space="preserve"> A patrician, Æthelwold Moll</w:t>
      </w:r>
      <w:r w:rsidRPr="00EC0229">
        <w:rPr>
          <w:rFonts w:cs="Times New Roman"/>
          <w:szCs w:val="24"/>
        </w:rPr>
        <w:fldChar w:fldCharType="begin"/>
      </w:r>
      <w:r w:rsidRPr="00EC0229">
        <w:instrText xml:space="preserve"> XE "</w:instrText>
      </w:r>
      <w:r w:rsidRPr="00EC0229">
        <w:rPr>
          <w:rFonts w:cs="Times New Roman"/>
          <w:szCs w:val="24"/>
        </w:rPr>
        <w:instrText>Æthelwold Moll</w:instrText>
      </w:r>
      <w:r w:rsidRPr="00EC0229">
        <w:instrText xml:space="preserve">" </w:instrText>
      </w:r>
      <w:r w:rsidRPr="00EC0229">
        <w:rPr>
          <w:rFonts w:cs="Times New Roman"/>
          <w:szCs w:val="24"/>
        </w:rPr>
        <w:fldChar w:fldCharType="end"/>
      </w:r>
      <w:r w:rsidRPr="00EC0229">
        <w:rPr>
          <w:rFonts w:cs="Times New Roman"/>
          <w:szCs w:val="24"/>
        </w:rPr>
        <w:t xml:space="preserve"> (758-65) now seized power though he is not recorded in the genealogies.</w:t>
      </w:r>
      <w:r w:rsidRPr="00EC0229">
        <w:rPr>
          <w:rStyle w:val="FootnoteReference"/>
          <w:rFonts w:cs="Times New Roman"/>
          <w:szCs w:val="24"/>
        </w:rPr>
        <w:footnoteReference w:id="509"/>
      </w:r>
      <w:r w:rsidRPr="00EC0229">
        <w:rPr>
          <w:rFonts w:cs="Times New Roman"/>
          <w:szCs w:val="24"/>
        </w:rPr>
        <w:t xml:space="preserve"> Æthelwold faced one rebellion, possibly by Oswine, brother (?) of Oswulf, in 761. He married Æthelthryth in 762 and their issue was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Æthelwold Moll was deposed (and tonsured) by the </w:t>
      </w:r>
      <w:r w:rsidRPr="00EC0229">
        <w:rPr>
          <w:rFonts w:cs="Times New Roman"/>
          <w:i/>
          <w:szCs w:val="24"/>
        </w:rPr>
        <w:t>witenagemot</w:t>
      </w:r>
      <w:r w:rsidRPr="00EC0229">
        <w:rPr>
          <w:rFonts w:cs="Times New Roman"/>
          <w:szCs w:val="24"/>
        </w:rPr>
        <w:t xml:space="preserve"> at </w:t>
      </w:r>
      <w:r w:rsidRPr="00EC0229">
        <w:rPr>
          <w:rFonts w:cs="Times New Roman"/>
          <w:i/>
          <w:iCs/>
          <w:szCs w:val="24"/>
        </w:rPr>
        <w:t>Pincanheale</w:t>
      </w:r>
      <w:r w:rsidRPr="00EC0229">
        <w:rPr>
          <w:rFonts w:cs="Times New Roman"/>
          <w:szCs w:val="24"/>
        </w:rPr>
        <w:t xml:space="preserve"> in 765.</w:t>
      </w:r>
      <w:r w:rsidRPr="00EC0229">
        <w:rPr>
          <w:rStyle w:val="FootnoteReference"/>
          <w:rFonts w:cs="Times New Roman"/>
          <w:szCs w:val="24"/>
        </w:rPr>
        <w:footnoteReference w:id="510"/>
      </w:r>
      <w:r w:rsidRPr="00EC0229">
        <w:rPr>
          <w:rFonts w:cs="Times New Roman"/>
          <w:szCs w:val="24"/>
        </w:rPr>
        <w:t xml:space="preserve"> He issued coins, of the highest rarity, jointly both with his son Æthelred and also with Archbishop Ecgberht</w:t>
      </w:r>
      <w:r w:rsidRPr="00EC0229">
        <w:rPr>
          <w:rFonts w:cs="Times New Roman"/>
          <w:szCs w:val="24"/>
        </w:rPr>
        <w:fldChar w:fldCharType="begin"/>
      </w:r>
      <w:r w:rsidRPr="00EC0229">
        <w:instrText xml:space="preserve"> XE "Ecgberht" </w:instrText>
      </w:r>
      <w:r w:rsidRPr="00EC0229">
        <w:rPr>
          <w:rFonts w:cs="Times New Roman"/>
          <w:szCs w:val="24"/>
        </w:rPr>
        <w:fldChar w:fldCharType="end"/>
      </w:r>
      <w:r w:rsidRPr="00EC0229">
        <w:rPr>
          <w:rFonts w:cs="Times New Roman"/>
          <w:szCs w:val="24"/>
        </w:rPr>
        <w:t xml:space="preserve">. </w:t>
      </w:r>
    </w:p>
    <w:p w14:paraId="7D3EB38F" w14:textId="6C949A6B" w:rsidR="00993B0F" w:rsidRPr="00EC0229" w:rsidRDefault="00993B0F" w:rsidP="007600EA">
      <w:pPr>
        <w:spacing w:line="360" w:lineRule="auto"/>
        <w:rPr>
          <w:rFonts w:cs="Times New Roman"/>
          <w:szCs w:val="24"/>
        </w:rPr>
      </w:pPr>
      <w:r w:rsidRPr="00EC0229">
        <w:rPr>
          <w:rFonts w:cs="Times New Roman"/>
          <w:szCs w:val="24"/>
        </w:rPr>
        <w:t>Alchred</w:t>
      </w:r>
      <w:r w:rsidRPr="00EC0229">
        <w:rPr>
          <w:rFonts w:cs="Times New Roman"/>
          <w:szCs w:val="24"/>
        </w:rPr>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rPr>
          <w:rFonts w:cs="Times New Roman"/>
          <w:szCs w:val="24"/>
        </w:rPr>
        <w:fldChar w:fldCharType="end"/>
      </w:r>
      <w:r w:rsidRPr="00EC0229">
        <w:rPr>
          <w:rFonts w:cs="Times New Roman"/>
          <w:szCs w:val="24"/>
        </w:rPr>
        <w:t xml:space="preserve"> (Alhred) (765-74), Eadberht</w:t>
      </w:r>
      <w:r w:rsidRPr="00EC0229">
        <w:rPr>
          <w:rFonts w:cs="Times New Roman"/>
          <w:szCs w:val="24"/>
        </w:rPr>
        <w:fldChar w:fldCharType="begin"/>
      </w:r>
      <w:r w:rsidRPr="00EC0229">
        <w:instrText xml:space="preserve"> XE "Eadberht" </w:instrText>
      </w:r>
      <w:r w:rsidRPr="00EC0229">
        <w:rPr>
          <w:rFonts w:cs="Times New Roman"/>
          <w:szCs w:val="24"/>
        </w:rPr>
        <w:fldChar w:fldCharType="end"/>
      </w:r>
      <w:r w:rsidRPr="00EC0229">
        <w:rPr>
          <w:rFonts w:cs="Times New Roman"/>
          <w:szCs w:val="24"/>
        </w:rPr>
        <w:t>’s son-in-law, husband of Osgifu, was next to take the throne. He initiated the mission of Willehad to Bremen and produced coins jointly with Archbishop Ecgberht</w:t>
      </w:r>
      <w:r w:rsidRPr="00EC0229">
        <w:rPr>
          <w:rFonts w:cs="Times New Roman"/>
          <w:szCs w:val="24"/>
        </w:rPr>
        <w:fldChar w:fldCharType="begin"/>
      </w:r>
      <w:r w:rsidRPr="00EC0229">
        <w:instrText xml:space="preserve"> XE "Ecgberht"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511"/>
      </w:r>
      <w:r w:rsidRPr="00EC0229">
        <w:rPr>
          <w:rFonts w:cs="Times New Roman"/>
          <w:szCs w:val="24"/>
        </w:rPr>
        <w:t xml:space="preserve"> He was deposed by Archbishop Æthelbert and exiled to Pictland,</w:t>
      </w:r>
      <w:r w:rsidRPr="00EC0229">
        <w:rPr>
          <w:rStyle w:val="FootnoteReference"/>
          <w:rFonts w:cs="Times New Roman"/>
          <w:szCs w:val="24"/>
        </w:rPr>
        <w:footnoteReference w:id="512"/>
      </w:r>
      <w:r w:rsidRPr="00EC0229">
        <w:rPr>
          <w:rFonts w:cs="Times New Roman"/>
          <w:szCs w:val="24"/>
        </w:rPr>
        <w:t xml:space="preserve"> whereupon,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I (first reign, 774-9), son of Æthelwold Moll</w:t>
      </w:r>
      <w:r w:rsidRPr="00EC0229">
        <w:rPr>
          <w:rFonts w:cs="Times New Roman"/>
          <w:szCs w:val="24"/>
        </w:rPr>
        <w:fldChar w:fldCharType="begin"/>
      </w:r>
      <w:r w:rsidRPr="00EC0229">
        <w:instrText xml:space="preserve"> XE "</w:instrText>
      </w:r>
      <w:r w:rsidRPr="00EC0229">
        <w:rPr>
          <w:rFonts w:cs="Times New Roman"/>
          <w:szCs w:val="24"/>
        </w:rPr>
        <w:instrText>Æthelwold Moll</w:instrText>
      </w:r>
      <w:r w:rsidRPr="00EC0229">
        <w:instrText xml:space="preserve">" </w:instrText>
      </w:r>
      <w:r w:rsidRPr="00EC0229">
        <w:rPr>
          <w:rFonts w:cs="Times New Roman"/>
          <w:szCs w:val="24"/>
        </w:rPr>
        <w:fldChar w:fldCharType="end"/>
      </w:r>
      <w:r w:rsidRPr="00EC0229">
        <w:rPr>
          <w:rFonts w:cs="Times New Roman"/>
          <w:szCs w:val="24"/>
        </w:rPr>
        <w:t xml:space="preserve">, was appointed. </w:t>
      </w:r>
      <w:r w:rsidR="00F5533B" w:rsidRPr="00EC0229">
        <w:rPr>
          <w:rFonts w:cs="Times New Roman"/>
          <w:szCs w:val="24"/>
        </w:rPr>
        <w:t>Again,</w:t>
      </w:r>
      <w:r w:rsidRPr="00EC0229">
        <w:rPr>
          <w:rFonts w:cs="Times New Roman"/>
          <w:szCs w:val="24"/>
        </w:rPr>
        <w:t xml:space="preserve"> he was deposed by the Council of Archbishop Æthelbert, to live in exile during the reigns of </w:t>
      </w:r>
      <w:r w:rsidRPr="00EC0229">
        <w:rPr>
          <w:rFonts w:cs="Times New Roman"/>
          <w:szCs w:val="24"/>
        </w:rPr>
        <w:lastRenderedPageBreak/>
        <w:t>Ælfwald</w:t>
      </w:r>
      <w:r w:rsidRPr="00EC0229">
        <w:rPr>
          <w:rFonts w:cs="Times New Roman"/>
          <w:szCs w:val="24"/>
        </w:rPr>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rPr>
          <w:rFonts w:cs="Times New Roman"/>
          <w:szCs w:val="24"/>
        </w:rPr>
        <w:fldChar w:fldCharType="end"/>
      </w:r>
      <w:r w:rsidRPr="00EC0229">
        <w:rPr>
          <w:rFonts w:cs="Times New Roman"/>
          <w:szCs w:val="24"/>
        </w:rPr>
        <w:t xml:space="preserve"> I (779-88) and Osred II (788-90), but then restored (789-96). In his second reign, he produced coins jointly with Archbishop Eanbald</w:t>
      </w:r>
      <w:r w:rsidRPr="00EC0229">
        <w:rPr>
          <w:rFonts w:cs="Times New Roman"/>
          <w:szCs w:val="24"/>
        </w:rPr>
        <w:fldChar w:fldCharType="begin"/>
      </w:r>
      <w:r w:rsidRPr="00EC0229">
        <w:instrText xml:space="preserve"> XE "Eanbald" </w:instrText>
      </w:r>
      <w:r w:rsidRPr="00EC0229">
        <w:rPr>
          <w:rFonts w:cs="Times New Roman"/>
          <w:szCs w:val="24"/>
        </w:rPr>
        <w:fldChar w:fldCharType="end"/>
      </w:r>
      <w:r w:rsidRPr="00EC0229">
        <w:rPr>
          <w:rFonts w:cs="Times New Roman"/>
          <w:szCs w:val="24"/>
        </w:rPr>
        <w:t xml:space="preserve"> I.</w:t>
      </w:r>
      <w:r w:rsidRPr="00EC0229">
        <w:rPr>
          <w:rStyle w:val="FootnoteReference"/>
          <w:rFonts w:cs="Times New Roman"/>
          <w:szCs w:val="24"/>
        </w:rPr>
        <w:footnoteReference w:id="513"/>
      </w:r>
    </w:p>
    <w:p w14:paraId="0B929854" w14:textId="77777777" w:rsidR="00993B0F" w:rsidRPr="00EC0229" w:rsidRDefault="00993B0F" w:rsidP="007600EA">
      <w:pPr>
        <w:spacing w:line="360" w:lineRule="auto"/>
        <w:rPr>
          <w:rFonts w:cs="Times New Roman"/>
          <w:szCs w:val="24"/>
        </w:rPr>
      </w:pPr>
      <w:r w:rsidRPr="00EC0229">
        <w:rPr>
          <w:rFonts w:cs="Times New Roman"/>
          <w:szCs w:val="24"/>
        </w:rPr>
        <w:t>Ælfwald</w:t>
      </w:r>
      <w:r w:rsidRPr="00EC0229">
        <w:rPr>
          <w:rFonts w:cs="Times New Roman"/>
          <w:szCs w:val="24"/>
        </w:rPr>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rPr>
          <w:rFonts w:cs="Times New Roman"/>
          <w:szCs w:val="24"/>
        </w:rPr>
        <w:fldChar w:fldCharType="end"/>
      </w:r>
      <w:r w:rsidRPr="00EC0229">
        <w:rPr>
          <w:rFonts w:cs="Times New Roman"/>
          <w:szCs w:val="24"/>
        </w:rPr>
        <w:t xml:space="preserve"> I (779-88) was the son of Oswulf.</w:t>
      </w:r>
      <w:r w:rsidRPr="00EC0229">
        <w:rPr>
          <w:rStyle w:val="FootnoteReference"/>
          <w:rFonts w:cs="Times New Roman"/>
          <w:szCs w:val="24"/>
        </w:rPr>
        <w:footnoteReference w:id="514"/>
      </w:r>
      <w:r w:rsidRPr="00EC0229">
        <w:rPr>
          <w:rFonts w:cs="Times New Roman"/>
          <w:szCs w:val="24"/>
        </w:rPr>
        <w:t xml:space="preserve"> During this reign the coin design changed from the ‘fantastic animal’ reverse to the inscriptional type featuring named moneyers. His moneyer Cuthheard</w:t>
      </w:r>
      <w:r w:rsidRPr="00EC0229">
        <w:rPr>
          <w:rFonts w:cs="Times New Roman"/>
          <w:szCs w:val="24"/>
        </w:rPr>
        <w:fldChar w:fldCharType="begin"/>
      </w:r>
      <w:r w:rsidRPr="00EC0229">
        <w:instrText xml:space="preserve"> XE "Cuthheard" </w:instrText>
      </w:r>
      <w:r w:rsidRPr="00EC0229">
        <w:rPr>
          <w:rFonts w:cs="Times New Roman"/>
          <w:szCs w:val="24"/>
        </w:rPr>
        <w:fldChar w:fldCharType="end"/>
      </w:r>
      <w:r w:rsidRPr="00EC0229">
        <w:rPr>
          <w:rFonts w:cs="Times New Roman"/>
          <w:szCs w:val="24"/>
        </w:rPr>
        <w:t xml:space="preserve"> also produced coins for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I, Eardwulf (extremely rare, seven known), and Eanred</w:t>
      </w:r>
      <w:r w:rsidRPr="00EC0229">
        <w:rPr>
          <w:rFonts w:cs="Times New Roman"/>
          <w:szCs w:val="24"/>
        </w:rPr>
        <w:fldChar w:fldCharType="begin"/>
      </w:r>
      <w:r w:rsidRPr="00EC0229">
        <w:instrText xml:space="preserve"> XE "Eanred" </w:instrText>
      </w:r>
      <w:r w:rsidRPr="00EC0229">
        <w:rPr>
          <w:rFonts w:cs="Times New Roman"/>
          <w:szCs w:val="24"/>
        </w:rPr>
        <w:fldChar w:fldCharType="end"/>
      </w:r>
      <w:r w:rsidRPr="00EC0229">
        <w:rPr>
          <w:rFonts w:cs="Times New Roman"/>
          <w:szCs w:val="24"/>
        </w:rPr>
        <w:t>. Ælfwald was murdered at Chesters (</w:t>
      </w:r>
      <w:r w:rsidRPr="00EC0229">
        <w:rPr>
          <w:rFonts w:cs="Times New Roman"/>
          <w:bCs/>
          <w:szCs w:val="24"/>
        </w:rPr>
        <w:t>Cilurnum, Hadrian’s Wall) and buried at Hexham</w:t>
      </w:r>
      <w:r w:rsidRPr="00EC0229">
        <w:rPr>
          <w:rFonts w:cs="Times New Roman"/>
          <w:bCs/>
          <w:szCs w:val="24"/>
        </w:rPr>
        <w:fldChar w:fldCharType="begin"/>
      </w:r>
      <w:r w:rsidRPr="00EC0229">
        <w:instrText xml:space="preserve"> XE "Hexham" </w:instrText>
      </w:r>
      <w:r w:rsidRPr="00EC0229">
        <w:rPr>
          <w:rFonts w:cs="Times New Roman"/>
          <w:bCs/>
          <w:szCs w:val="24"/>
        </w:rPr>
        <w:fldChar w:fldCharType="end"/>
      </w:r>
      <w:r w:rsidRPr="00EC0229">
        <w:rPr>
          <w:rFonts w:cs="Times New Roman"/>
          <w:bCs/>
          <w:szCs w:val="24"/>
        </w:rPr>
        <w:t xml:space="preserve"> Abbey. He was succeeded by his first cousin </w:t>
      </w:r>
      <w:r w:rsidRPr="00EC0229">
        <w:rPr>
          <w:rFonts w:cs="Times New Roman"/>
          <w:szCs w:val="24"/>
        </w:rPr>
        <w:t>Osred</w:t>
      </w:r>
      <w:r w:rsidRPr="00EC0229">
        <w:rPr>
          <w:rFonts w:cs="Times New Roman"/>
          <w:bCs/>
          <w:szCs w:val="24"/>
        </w:rPr>
        <w:t xml:space="preserve"> (as Osbald, a violent and despised man, is thought to have killed </w:t>
      </w:r>
      <w:r w:rsidRPr="00EC0229">
        <w:rPr>
          <w:rFonts w:cs="Times New Roman"/>
          <w:szCs w:val="24"/>
        </w:rPr>
        <w:t>Ælfwald’s</w:t>
      </w:r>
      <w:r w:rsidRPr="00EC0229">
        <w:rPr>
          <w:rFonts w:cs="Times New Roman"/>
          <w:bCs/>
          <w:szCs w:val="24"/>
        </w:rPr>
        <w:t xml:space="preserve"> son Bearn by conflagration at Selectune (Silton?) in 780).</w:t>
      </w:r>
      <w:r w:rsidRPr="00EC0229">
        <w:rPr>
          <w:rStyle w:val="FootnoteReference"/>
          <w:rFonts w:cs="Times New Roman"/>
          <w:szCs w:val="24"/>
        </w:rPr>
        <w:footnoteReference w:id="515"/>
      </w:r>
    </w:p>
    <w:p w14:paraId="11EA8DE8" w14:textId="77777777" w:rsidR="00993B0F" w:rsidRPr="00EC0229" w:rsidRDefault="00993B0F" w:rsidP="007600EA">
      <w:pPr>
        <w:spacing w:line="360" w:lineRule="auto"/>
        <w:rPr>
          <w:rFonts w:cs="Times New Roman"/>
          <w:szCs w:val="24"/>
        </w:rPr>
      </w:pPr>
      <w:r w:rsidRPr="00EC0229">
        <w:rPr>
          <w:rFonts w:cs="Times New Roman"/>
          <w:szCs w:val="24"/>
        </w:rPr>
        <w:t>Osred II (788-90) the son of Alchred</w:t>
      </w:r>
      <w:r w:rsidRPr="00EC0229">
        <w:rPr>
          <w:rFonts w:cs="Times New Roman"/>
          <w:szCs w:val="24"/>
        </w:rPr>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rPr>
          <w:rFonts w:cs="Times New Roman"/>
          <w:szCs w:val="24"/>
        </w:rPr>
        <w:fldChar w:fldCharType="end"/>
      </w:r>
      <w:r w:rsidRPr="00EC0229">
        <w:rPr>
          <w:rFonts w:cs="Times New Roman"/>
          <w:szCs w:val="24"/>
        </w:rPr>
        <w:t xml:space="preserve"> by Osgifu, despite uniting competing factions, was soon exiled to the Isle of Man (?) and forcibly tonsured but returned in 792,</w:t>
      </w:r>
      <w:r w:rsidRPr="00EC0229">
        <w:rPr>
          <w:rStyle w:val="FootnoteReference"/>
          <w:rFonts w:cs="Times New Roman"/>
          <w:szCs w:val="24"/>
        </w:rPr>
        <w:footnoteReference w:id="516"/>
      </w:r>
      <w:r w:rsidRPr="00EC0229">
        <w:rPr>
          <w:rFonts w:cs="Times New Roman"/>
          <w:szCs w:val="24"/>
        </w:rPr>
        <w:t xml:space="preserve"> when he was captured and murdered, probably by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t xml:space="preserve"> </w:t>
      </w:r>
    </w:p>
    <w:p w14:paraId="6E52CA61" w14:textId="38D99F8E" w:rsidR="00993B0F" w:rsidRPr="00EC0229" w:rsidRDefault="00993B0F" w:rsidP="007600EA">
      <w:pPr>
        <w:spacing w:line="360" w:lineRule="auto"/>
        <w:rPr>
          <w:rFonts w:cs="Times New Roman"/>
          <w:szCs w:val="24"/>
        </w:rPr>
      </w:pPr>
      <w:r w:rsidRPr="00EC0229">
        <w:rPr>
          <w:rFonts w:cs="Times New Roman"/>
          <w:szCs w:val="24"/>
        </w:rPr>
        <w:t>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I (restored 790-6) served a troubled second reign marking a descent towards anarchy. Æthelred made an early, unsuccessful, attempt to dispose of his rival Eardwulf, who was left for dead outside the monastery at Ripon</w:t>
      </w:r>
      <w:r w:rsidRPr="00EC0229">
        <w:rPr>
          <w:rFonts w:cs="Times New Roman"/>
          <w:szCs w:val="24"/>
        </w:rPr>
        <w:fldChar w:fldCharType="begin"/>
      </w:r>
      <w:r w:rsidRPr="00EC0229">
        <w:instrText xml:space="preserve"> XE "</w:instrText>
      </w:r>
      <w:r w:rsidRPr="00EC0229">
        <w:rPr>
          <w:rStyle w:val="Hyperlink"/>
          <w:noProof/>
          <w:u w:val="none"/>
        </w:rPr>
        <w:instrText>Ripon</w:instrText>
      </w:r>
      <w:r w:rsidRPr="00EC0229">
        <w:instrText xml:space="preserve">" </w:instrText>
      </w:r>
      <w:r w:rsidRPr="00EC0229">
        <w:rPr>
          <w:rFonts w:cs="Times New Roman"/>
          <w:szCs w:val="24"/>
        </w:rPr>
        <w:fldChar w:fldCharType="end"/>
      </w:r>
      <w:r w:rsidRPr="00EC0229">
        <w:rPr>
          <w:rFonts w:cs="Times New Roman"/>
          <w:szCs w:val="24"/>
        </w:rPr>
        <w:t xml:space="preserve"> (</w:t>
      </w:r>
      <w:r w:rsidRPr="00EC0229">
        <w:rPr>
          <w:rFonts w:cs="Times New Roman"/>
          <w:i/>
          <w:iCs/>
          <w:szCs w:val="24"/>
        </w:rPr>
        <w:t>Inhrypum).</w:t>
      </w:r>
      <w:r w:rsidRPr="00EC0229">
        <w:rPr>
          <w:rStyle w:val="FootnoteReference"/>
          <w:rFonts w:cs="Times New Roman"/>
          <w:iCs/>
          <w:szCs w:val="24"/>
        </w:rPr>
        <w:footnoteReference w:id="517"/>
      </w:r>
      <w:r w:rsidRPr="00EC0229">
        <w:rPr>
          <w:rFonts w:cs="Times New Roman"/>
          <w:szCs w:val="24"/>
        </w:rPr>
        <w:t xml:space="preserve"> In 791, two sons of Ælfwald</w:t>
      </w:r>
      <w:r w:rsidRPr="00EC0229">
        <w:rPr>
          <w:rFonts w:cs="Times New Roman"/>
          <w:szCs w:val="24"/>
        </w:rPr>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rPr>
          <w:rFonts w:cs="Times New Roman"/>
          <w:szCs w:val="24"/>
        </w:rPr>
        <w:fldChar w:fldCharType="end"/>
      </w:r>
      <w:r w:rsidRPr="00EC0229">
        <w:rPr>
          <w:rFonts w:cs="Times New Roman"/>
          <w:szCs w:val="24"/>
        </w:rPr>
        <w:t>, Ælf and Ælfwine, were murdered. The following year, Æthelred married Offa</w:t>
      </w:r>
      <w:r w:rsidRPr="00EC0229">
        <w:rPr>
          <w:rFonts w:cs="Times New Roman"/>
          <w:szCs w:val="24"/>
        </w:rPr>
        <w:fldChar w:fldCharType="begin"/>
      </w:r>
      <w:r w:rsidRPr="00EC0229">
        <w:instrText xml:space="preserve"> XE "</w:instrText>
      </w:r>
      <w:r w:rsidRPr="00EC0229">
        <w:rPr>
          <w:rFonts w:cs="Times New Roman"/>
        </w:rPr>
        <w:instrText>Offa</w:instrText>
      </w:r>
      <w:r w:rsidRPr="00EC0229">
        <w:instrText xml:space="preserve">" </w:instrText>
      </w:r>
      <w:r w:rsidRPr="00EC0229">
        <w:rPr>
          <w:rFonts w:cs="Times New Roman"/>
          <w:szCs w:val="24"/>
        </w:rPr>
        <w:fldChar w:fldCharType="end"/>
      </w:r>
      <w:r w:rsidRPr="00EC0229">
        <w:rPr>
          <w:rFonts w:cs="Times New Roman"/>
          <w:szCs w:val="24"/>
        </w:rPr>
        <w:t>’s daughter Ælfflæd at Catterick. The year 793 marks the Viking</w:t>
      </w:r>
      <w:r w:rsidRPr="00EC0229">
        <w:rPr>
          <w:rFonts w:cs="Times New Roman"/>
          <w:szCs w:val="24"/>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rFonts w:cs="Times New Roman"/>
          <w:szCs w:val="24"/>
        </w:rPr>
        <w:fldChar w:fldCharType="end"/>
      </w:r>
      <w:r w:rsidRPr="00EC0229">
        <w:rPr>
          <w:rFonts w:cs="Times New Roman"/>
          <w:szCs w:val="24"/>
        </w:rPr>
        <w:t xml:space="preserve"> attack on Lindisfarne</w:t>
      </w:r>
      <w:r w:rsidRPr="00EC0229">
        <w:rPr>
          <w:rFonts w:cs="Times New Roman"/>
          <w:szCs w:val="24"/>
        </w:rPr>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rPr>
          <w:rFonts w:cs="Times New Roman"/>
          <w:szCs w:val="24"/>
        </w:rPr>
        <w:fldChar w:fldCharType="end"/>
      </w:r>
      <w:r w:rsidRPr="00EC0229">
        <w:rPr>
          <w:rFonts w:cs="Times New Roman"/>
          <w:szCs w:val="24"/>
        </w:rPr>
        <w:t>, for which Alcuin</w:t>
      </w:r>
      <w:r w:rsidRPr="00EC0229">
        <w:rPr>
          <w:rFonts w:cs="Times New Roman"/>
          <w:szCs w:val="24"/>
        </w:rPr>
        <w:fldChar w:fldCharType="begin"/>
      </w:r>
      <w:r w:rsidRPr="00EC0229">
        <w:instrText xml:space="preserve"> XE "</w:instrText>
      </w:r>
      <w:r w:rsidRPr="00EC0229">
        <w:rPr>
          <w:rFonts w:cs="Times New Roman"/>
          <w:szCs w:val="24"/>
        </w:rPr>
        <w:instrText>Alcuin</w:instrText>
      </w:r>
      <w:r w:rsidRPr="00EC0229">
        <w:instrText xml:space="preserve">" </w:instrText>
      </w:r>
      <w:r w:rsidRPr="00EC0229">
        <w:rPr>
          <w:rFonts w:cs="Times New Roman"/>
          <w:szCs w:val="24"/>
        </w:rPr>
        <w:fldChar w:fldCharType="end"/>
      </w:r>
      <w:r w:rsidRPr="00EC0229">
        <w:rPr>
          <w:rFonts w:cs="Times New Roman"/>
          <w:szCs w:val="24"/>
        </w:rPr>
        <w:t xml:space="preserve"> blamed Æthelred’s ungodliness.</w:t>
      </w:r>
      <w:r w:rsidRPr="00EC0229">
        <w:rPr>
          <w:rStyle w:val="FootnoteReference"/>
          <w:rFonts w:cs="Times New Roman"/>
          <w:szCs w:val="24"/>
        </w:rPr>
        <w:footnoteReference w:id="518"/>
      </w:r>
      <w:r w:rsidRPr="00EC0229">
        <w:rPr>
          <w:rFonts w:cs="Times New Roman"/>
          <w:szCs w:val="24"/>
        </w:rPr>
        <w:t xml:space="preserve"> The impact of the </w:t>
      </w:r>
      <w:bookmarkStart w:id="258" w:name="CouncilofFrankfurt"/>
      <w:r w:rsidRPr="00EC0229">
        <w:rPr>
          <w:rFonts w:cs="Times New Roman"/>
          <w:szCs w:val="24"/>
        </w:rPr>
        <w:t>Council of Frankfurt</w:t>
      </w:r>
      <w:bookmarkEnd w:id="258"/>
      <w:r w:rsidRPr="00EC0229">
        <w:rPr>
          <w:rFonts w:cs="Times New Roman"/>
          <w:szCs w:val="24"/>
        </w:rPr>
        <w:fldChar w:fldCharType="begin"/>
      </w:r>
      <w:r w:rsidRPr="00EC0229">
        <w:instrText xml:space="preserve"> XE "</w:instrText>
      </w:r>
      <w:r w:rsidRPr="00EC0229">
        <w:rPr>
          <w:rFonts w:cs="Times New Roman"/>
          <w:szCs w:val="24"/>
        </w:rPr>
        <w:instrText>Council of Frankfurt</w:instrText>
      </w:r>
      <w:r w:rsidRPr="00EC0229">
        <w:instrText xml:space="preserve">" </w:instrText>
      </w:r>
      <w:r w:rsidRPr="00EC0229">
        <w:rPr>
          <w:rFonts w:cs="Times New Roman"/>
          <w:szCs w:val="24"/>
        </w:rPr>
        <w:fldChar w:fldCharType="end"/>
      </w:r>
      <w:r w:rsidRPr="00EC0229">
        <w:rPr>
          <w:rFonts w:cs="Times New Roman"/>
          <w:szCs w:val="24"/>
        </w:rPr>
        <w:t xml:space="preserve"> (</w:t>
      </w:r>
      <w:r w:rsidR="00B02876" w:rsidRPr="00EC0229">
        <w:rPr>
          <w:rFonts w:cs="Times New Roman"/>
          <w:szCs w:val="24"/>
        </w:rPr>
        <w:fldChar w:fldCharType="begin"/>
      </w:r>
      <w:r w:rsidR="00B02876" w:rsidRPr="00EC0229">
        <w:rPr>
          <w:rFonts w:cs="Times New Roman"/>
          <w:szCs w:val="24"/>
        </w:rPr>
        <w:instrText xml:space="preserve"> PAGEREF CouncilofFrankfurt \h </w:instrText>
      </w:r>
      <w:r w:rsidR="00B02876" w:rsidRPr="00EC0229">
        <w:rPr>
          <w:rFonts w:cs="Times New Roman"/>
          <w:szCs w:val="24"/>
        </w:rPr>
      </w:r>
      <w:r w:rsidR="00B02876" w:rsidRPr="00EC0229">
        <w:rPr>
          <w:rFonts w:cs="Times New Roman"/>
          <w:szCs w:val="24"/>
        </w:rPr>
        <w:fldChar w:fldCharType="separate"/>
      </w:r>
      <w:r w:rsidR="0012026B">
        <w:rPr>
          <w:rFonts w:cs="Times New Roman"/>
          <w:noProof/>
          <w:szCs w:val="24"/>
        </w:rPr>
        <w:t>107</w:t>
      </w:r>
      <w:r w:rsidR="00B02876" w:rsidRPr="00EC0229">
        <w:rPr>
          <w:rFonts w:cs="Times New Roman"/>
          <w:szCs w:val="24"/>
        </w:rPr>
        <w:fldChar w:fldCharType="end"/>
      </w:r>
      <w:r w:rsidRPr="00EC0229">
        <w:rPr>
          <w:rFonts w:cs="Times New Roman"/>
          <w:szCs w:val="24"/>
        </w:rPr>
        <w:t>), 794, will not have been neutral in Northumbria</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szCs w:val="24"/>
        </w:rPr>
        <w:fldChar w:fldCharType="end"/>
      </w:r>
      <w:r w:rsidRPr="00EC0229">
        <w:rPr>
          <w:rFonts w:cs="Times New Roman"/>
          <w:szCs w:val="24"/>
        </w:rPr>
        <w:t>. The Council, where Charlemagne</w:t>
      </w:r>
      <w:r w:rsidRPr="00EC0229">
        <w:rPr>
          <w:rFonts w:cs="Times New Roman"/>
          <w:szCs w:val="24"/>
        </w:rPr>
        <w:fldChar w:fldCharType="begin"/>
      </w:r>
      <w:r w:rsidRPr="00EC0229">
        <w:instrText xml:space="preserve"> XE "</w:instrText>
      </w:r>
      <w:r w:rsidRPr="00EC0229">
        <w:rPr>
          <w:rFonts w:cs="Times New Roman"/>
          <w:color w:val="000000" w:themeColor="text1"/>
          <w:szCs w:val="24"/>
        </w:rPr>
        <w:instrText>Charlemagne</w:instrText>
      </w:r>
      <w:r w:rsidRPr="00EC0229">
        <w:instrText xml:space="preserve">" </w:instrText>
      </w:r>
      <w:r w:rsidRPr="00EC0229">
        <w:rPr>
          <w:rFonts w:cs="Times New Roman"/>
          <w:szCs w:val="24"/>
        </w:rPr>
        <w:fldChar w:fldCharType="end"/>
      </w:r>
      <w:r w:rsidRPr="00EC0229">
        <w:rPr>
          <w:rFonts w:cs="Times New Roman"/>
          <w:szCs w:val="24"/>
        </w:rPr>
        <w:t xml:space="preserve"> assembled all the western bishops, ruled against the persecution of witches while regarding witchcraft as superstition. In came down against both iconoclasm and iconodulism, deciding that images may be useful but should not be venerated. It also set certain weights</w:t>
      </w:r>
      <w:r w:rsidRPr="00EC0229">
        <w:rPr>
          <w:rFonts w:cs="Times New Roman"/>
          <w:szCs w:val="24"/>
        </w:rPr>
        <w:fldChar w:fldCharType="begin"/>
      </w:r>
      <w:r w:rsidRPr="00EC0229">
        <w:instrText xml:space="preserve"> XE "</w:instrText>
      </w:r>
      <w:r w:rsidRPr="00EC0229">
        <w:rPr>
          <w:rStyle w:val="Hyperlink"/>
          <w:noProof/>
          <w:u w:val="none"/>
        </w:rPr>
        <w:instrText>weights</w:instrText>
      </w:r>
      <w:r w:rsidRPr="00EC0229">
        <w:instrText xml:space="preserve">" </w:instrText>
      </w:r>
      <w:r w:rsidRPr="00EC0229">
        <w:rPr>
          <w:rFonts w:cs="Times New Roman"/>
          <w:szCs w:val="24"/>
        </w:rPr>
        <w:fldChar w:fldCharType="end"/>
      </w:r>
      <w:r w:rsidRPr="00EC0229">
        <w:rPr>
          <w:rFonts w:cs="Times New Roman"/>
          <w:szCs w:val="24"/>
        </w:rPr>
        <w:t xml:space="preserve"> and measures rather than let the market price mechanism operate. It fixed twenty-five oaten loaves, twelve two-pound wheaten loaves, four </w:t>
      </w:r>
      <w:r w:rsidRPr="00EC0229">
        <w:rPr>
          <w:rFonts w:cs="Times New Roman"/>
          <w:i/>
          <w:szCs w:val="24"/>
        </w:rPr>
        <w:t>modius</w:t>
      </w:r>
      <w:r w:rsidRPr="00EC0229">
        <w:rPr>
          <w:rFonts w:cs="Times New Roman"/>
          <w:szCs w:val="24"/>
        </w:rPr>
        <w:t xml:space="preserve"> of oats, two of barley, one and a third of rye and one of wheat to be worth one new </w:t>
      </w:r>
      <w:r w:rsidRPr="00EC0229">
        <w:rPr>
          <w:rFonts w:cs="Times New Roman"/>
          <w:szCs w:val="24"/>
        </w:rPr>
        <w:lastRenderedPageBreak/>
        <w:t>denier</w:t>
      </w:r>
      <w:r w:rsidRPr="00EC0229">
        <w:rPr>
          <w:rFonts w:cs="Times New Roman"/>
          <w:szCs w:val="24"/>
        </w:rPr>
        <w:fldChar w:fldCharType="begin"/>
      </w:r>
      <w:r w:rsidRPr="00EC0229">
        <w:instrText xml:space="preserve"> XE "</w:instrText>
      </w:r>
      <w:r w:rsidRPr="00EC0229">
        <w:rPr>
          <w:rFonts w:cs="Times New Roman"/>
          <w:szCs w:val="24"/>
        </w:rPr>
        <w:instrText>denier</w:instrText>
      </w:r>
      <w:r w:rsidRPr="00EC0229">
        <w:instrText xml:space="preserve">"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519"/>
      </w:r>
      <w:r w:rsidRPr="00EC0229">
        <w:rPr>
          <w:rFonts w:cs="Times New Roman"/>
          <w:szCs w:val="24"/>
        </w:rPr>
        <w:t xml:space="preserve"> A capitulary of 797 for the Saxon area, set twelve deniers, or one solidus</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solidus</w:instrText>
      </w:r>
      <w:r w:rsidRPr="00EC0229">
        <w:instrText xml:space="preserve">" </w:instrText>
      </w:r>
      <w:r w:rsidRPr="00EC0229">
        <w:rPr>
          <w:rFonts w:cs="Times New Roman"/>
          <w:szCs w:val="24"/>
        </w:rPr>
        <w:fldChar w:fldCharType="end"/>
      </w:r>
      <w:r w:rsidR="00061FF9" w:rsidRPr="00EC0229">
        <w:rPr>
          <w:rFonts w:cs="Times New Roman"/>
          <w:szCs w:val="24"/>
        </w:rPr>
        <w:t>, as the price of a year-</w:t>
      </w:r>
      <w:r w:rsidRPr="00EC0229">
        <w:rPr>
          <w:rFonts w:cs="Times New Roman"/>
          <w:szCs w:val="24"/>
        </w:rPr>
        <w:t>old calf.</w:t>
      </w:r>
      <w:r w:rsidRPr="00EC0229">
        <w:rPr>
          <w:rStyle w:val="FootnoteReference"/>
          <w:rFonts w:cs="Times New Roman"/>
          <w:szCs w:val="24"/>
        </w:rPr>
        <w:footnoteReference w:id="520"/>
      </w:r>
      <w:r w:rsidRPr="00EC0229">
        <w:rPr>
          <w:rFonts w:cs="Times New Roman"/>
          <w:szCs w:val="24"/>
        </w:rPr>
        <w:t xml:space="preserve"> In 806, the price for a sheep or pig was set at four deniers, and two pairs of shoes at seven deniers. ‘Even the poorest might have</w:t>
      </w:r>
      <w:r w:rsidR="00061FF9" w:rsidRPr="00EC0229">
        <w:rPr>
          <w:rFonts w:cs="Times New Roman"/>
          <w:szCs w:val="24"/>
        </w:rPr>
        <w:t xml:space="preserve"> a coin or two in their purse.’</w:t>
      </w:r>
      <w:r w:rsidRPr="00EC0229">
        <w:rPr>
          <w:rStyle w:val="FootnoteReference"/>
          <w:rFonts w:cs="Times New Roman"/>
          <w:szCs w:val="24"/>
        </w:rPr>
        <w:footnoteReference w:id="521"/>
      </w:r>
    </w:p>
    <w:p w14:paraId="792AE7EA" w14:textId="77777777" w:rsidR="00993B0F" w:rsidRPr="00EC0229" w:rsidRDefault="00993B0F" w:rsidP="007600EA">
      <w:pPr>
        <w:spacing w:line="360" w:lineRule="auto"/>
        <w:rPr>
          <w:rFonts w:cs="Times New Roman"/>
          <w:szCs w:val="24"/>
        </w:rPr>
      </w:pPr>
      <w:r w:rsidRPr="00EC0229">
        <w:rPr>
          <w:rFonts w:cs="Times New Roman"/>
          <w:szCs w:val="24"/>
        </w:rPr>
        <w:t>Despite support from Charlemagne</w:t>
      </w:r>
      <w:r w:rsidRPr="00EC0229">
        <w:rPr>
          <w:rFonts w:cs="Times New Roman"/>
          <w:szCs w:val="24"/>
        </w:rPr>
        <w:fldChar w:fldCharType="begin"/>
      </w:r>
      <w:r w:rsidRPr="00EC0229">
        <w:instrText xml:space="preserve"> XE "</w:instrText>
      </w:r>
      <w:r w:rsidRPr="00EC0229">
        <w:rPr>
          <w:rFonts w:cs="Times New Roman"/>
          <w:color w:val="000000" w:themeColor="text1"/>
          <w:szCs w:val="24"/>
        </w:rPr>
        <w:instrText>Charlemagne</w:instrText>
      </w:r>
      <w:r w:rsidRPr="00EC0229">
        <w:instrText xml:space="preserve">" </w:instrText>
      </w:r>
      <w:r w:rsidRPr="00EC0229">
        <w:rPr>
          <w:rFonts w:cs="Times New Roman"/>
          <w:szCs w:val="24"/>
        </w:rPr>
        <w:fldChar w:fldCharType="end"/>
      </w:r>
      <w:r w:rsidRPr="00EC0229">
        <w:rPr>
          <w:rFonts w:cs="Times New Roman"/>
          <w:szCs w:val="24"/>
        </w:rPr>
        <w:t>,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was murdered in 796 by conspirators (including the earldormen Ealdred and Wada) who then elevated the aging, dissolute and murderous, Osbald, who ignored Alcuin</w:t>
      </w:r>
      <w:r w:rsidRPr="00EC0229">
        <w:rPr>
          <w:rFonts w:cs="Times New Roman"/>
          <w:szCs w:val="24"/>
        </w:rPr>
        <w:fldChar w:fldCharType="begin"/>
      </w:r>
      <w:r w:rsidRPr="00EC0229">
        <w:instrText xml:space="preserve"> XE "</w:instrText>
      </w:r>
      <w:r w:rsidRPr="00EC0229">
        <w:rPr>
          <w:rFonts w:cs="Times New Roman"/>
          <w:szCs w:val="24"/>
        </w:rPr>
        <w:instrText>Alcuin</w:instrText>
      </w:r>
      <w:r w:rsidRPr="00EC0229">
        <w:instrText xml:space="preserve">" </w:instrText>
      </w:r>
      <w:r w:rsidRPr="00EC0229">
        <w:rPr>
          <w:rFonts w:cs="Times New Roman"/>
          <w:szCs w:val="24"/>
        </w:rPr>
        <w:fldChar w:fldCharType="end"/>
      </w:r>
      <w:r w:rsidRPr="00EC0229">
        <w:rPr>
          <w:rFonts w:cs="Times New Roman"/>
          <w:szCs w:val="24"/>
        </w:rPr>
        <w:t>’s warnings to reform. In an increasing unstable kingdom, he ruled a mere twenty-seven days before being exiled to Lindisfarne</w:t>
      </w:r>
      <w:r w:rsidRPr="00EC0229">
        <w:rPr>
          <w:rFonts w:cs="Times New Roman"/>
          <w:szCs w:val="24"/>
        </w:rPr>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rPr>
          <w:rFonts w:cs="Times New Roman"/>
          <w:szCs w:val="24"/>
        </w:rPr>
        <w:fldChar w:fldCharType="end"/>
      </w:r>
      <w:r w:rsidRPr="00EC0229">
        <w:rPr>
          <w:rFonts w:cs="Times New Roman"/>
          <w:szCs w:val="24"/>
        </w:rPr>
        <w:t>, thence to refuge in Pictland. He died in 799 with an unmarked burial in York</w:t>
      </w:r>
      <w:r w:rsidRPr="00EC0229">
        <w:rPr>
          <w:rFonts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rPr>
        <w:fldChar w:fldCharType="end"/>
      </w:r>
      <w:r w:rsidRPr="00EC0229">
        <w:rPr>
          <w:rFonts w:cs="Times New Roman"/>
          <w:szCs w:val="24"/>
        </w:rPr>
        <w:t xml:space="preserve"> Minster</w:t>
      </w:r>
      <w:r w:rsidRPr="00EC0229">
        <w:rPr>
          <w:rFonts w:cs="Times New Roman"/>
          <w:szCs w:val="24"/>
        </w:rPr>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rPr>
          <w:rFonts w:cs="Times New Roman"/>
          <w:szCs w:val="24"/>
        </w:rPr>
        <w:fldChar w:fldCharType="end"/>
      </w:r>
      <w:r w:rsidRPr="00EC0229">
        <w:rPr>
          <w:rFonts w:cs="Times New Roman"/>
          <w:szCs w:val="24"/>
        </w:rPr>
        <w:t>.</w:t>
      </w:r>
    </w:p>
    <w:p w14:paraId="7E1005CC" w14:textId="6D91D463" w:rsidR="00993B0F" w:rsidRPr="00EC0229" w:rsidRDefault="00993B0F" w:rsidP="007600EA">
      <w:pPr>
        <w:spacing w:line="360" w:lineRule="auto"/>
        <w:rPr>
          <w:rFonts w:cs="Times New Roman"/>
          <w:szCs w:val="24"/>
        </w:rPr>
      </w:pPr>
      <w:r w:rsidRPr="00EC0229">
        <w:rPr>
          <w:rFonts w:cs="Times New Roman"/>
          <w:szCs w:val="24"/>
        </w:rPr>
        <w:t>Eardwulf (796-806) had survived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’s attempt on his life in 790. His second wife was an illegitimate daughter of Charlemagne</w:t>
      </w:r>
      <w:r w:rsidRPr="00EC0229">
        <w:rPr>
          <w:rFonts w:cs="Times New Roman"/>
          <w:szCs w:val="24"/>
        </w:rPr>
        <w:fldChar w:fldCharType="begin"/>
      </w:r>
      <w:r w:rsidRPr="00EC0229">
        <w:instrText xml:space="preserve"> XE "</w:instrText>
      </w:r>
      <w:r w:rsidRPr="00EC0229">
        <w:rPr>
          <w:rFonts w:cs="Times New Roman"/>
          <w:color w:val="000000" w:themeColor="text1"/>
          <w:szCs w:val="24"/>
        </w:rPr>
        <w:instrText>Charlemagne</w:instrText>
      </w:r>
      <w:r w:rsidRPr="00EC0229">
        <w:instrText xml:space="preserve">" </w:instrText>
      </w:r>
      <w:r w:rsidRPr="00EC0229">
        <w:rPr>
          <w:rFonts w:cs="Times New Roman"/>
          <w:szCs w:val="24"/>
        </w:rPr>
        <w:fldChar w:fldCharType="end"/>
      </w:r>
      <w:r w:rsidRPr="00EC0229">
        <w:rPr>
          <w:rFonts w:cs="Times New Roman"/>
          <w:szCs w:val="24"/>
        </w:rPr>
        <w:t>, an even more ambitious diplomatic manoeuvre than Æthelred’s marriage to Offa</w:t>
      </w:r>
      <w:r w:rsidRPr="00EC0229">
        <w:rPr>
          <w:rFonts w:cs="Times New Roman"/>
          <w:szCs w:val="24"/>
        </w:rPr>
        <w:fldChar w:fldCharType="begin"/>
      </w:r>
      <w:r w:rsidRPr="00EC0229">
        <w:instrText xml:space="preserve"> XE "</w:instrText>
      </w:r>
      <w:r w:rsidRPr="00EC0229">
        <w:rPr>
          <w:rFonts w:cs="Times New Roman"/>
        </w:rPr>
        <w:instrText>Offa</w:instrText>
      </w:r>
      <w:r w:rsidRPr="00EC0229">
        <w:instrText xml:space="preserve">" </w:instrText>
      </w:r>
      <w:r w:rsidRPr="00EC0229">
        <w:rPr>
          <w:rFonts w:cs="Times New Roman"/>
          <w:szCs w:val="24"/>
        </w:rPr>
        <w:fldChar w:fldCharType="end"/>
      </w:r>
      <w:r w:rsidRPr="00EC0229">
        <w:rPr>
          <w:rFonts w:cs="Times New Roman"/>
          <w:szCs w:val="24"/>
        </w:rPr>
        <w:t>’s daughter. In 798, he killed Wada (who conspired against Æthelred) at the Battle of Billington Moor. In 799, a Moll (possibly descended from Æthelwold Moll</w:t>
      </w:r>
      <w:r w:rsidRPr="00EC0229">
        <w:rPr>
          <w:rFonts w:cs="Times New Roman"/>
          <w:szCs w:val="24"/>
        </w:rPr>
        <w:fldChar w:fldCharType="begin"/>
      </w:r>
      <w:r w:rsidRPr="00EC0229">
        <w:instrText xml:space="preserve"> XE "</w:instrText>
      </w:r>
      <w:r w:rsidRPr="00EC0229">
        <w:rPr>
          <w:rFonts w:cs="Times New Roman"/>
          <w:szCs w:val="24"/>
        </w:rPr>
        <w:instrText>Æthelwold Moll</w:instrText>
      </w:r>
      <w:r w:rsidRPr="00EC0229">
        <w:instrText xml:space="preserve">" </w:instrText>
      </w:r>
      <w:r w:rsidRPr="00EC0229">
        <w:rPr>
          <w:rFonts w:cs="Times New Roman"/>
          <w:szCs w:val="24"/>
        </w:rPr>
        <w:fldChar w:fldCharType="end"/>
      </w:r>
      <w:r w:rsidRPr="00EC0229">
        <w:rPr>
          <w:rFonts w:cs="Times New Roman"/>
          <w:szCs w:val="24"/>
        </w:rPr>
        <w:t>) wa</w:t>
      </w:r>
      <w:r w:rsidR="00061FF9" w:rsidRPr="00EC0229">
        <w:rPr>
          <w:rFonts w:cs="Times New Roman"/>
          <w:szCs w:val="24"/>
        </w:rPr>
        <w:t>s killed at the ‘urgent command’</w:t>
      </w:r>
      <w:r w:rsidRPr="00EC0229">
        <w:rPr>
          <w:rFonts w:cs="Times New Roman"/>
          <w:szCs w:val="24"/>
        </w:rPr>
        <w:t xml:space="preserve"> of Eardwulf. In 801, he fought Coenwulf of Mercia who had given asylum to his rivals. He was deposed in 806 (but </w:t>
      </w:r>
      <w:r w:rsidRPr="00EC0229">
        <w:rPr>
          <w:rFonts w:cs="Times New Roman"/>
          <w:i/>
          <w:szCs w:val="24"/>
        </w:rPr>
        <w:t>possibly</w:t>
      </w:r>
      <w:r w:rsidRPr="00EC0229">
        <w:rPr>
          <w:rFonts w:cs="Times New Roman"/>
          <w:szCs w:val="24"/>
        </w:rPr>
        <w:t xml:space="preserve"> returned in 808, with the support of Charlemagne and Pope Leo III). The date of his death is unknown but he is thought to be the Saint Hardulph to whom Breedon-on-the Hill is jointly dedicated.</w:t>
      </w:r>
      <w:r w:rsidRPr="00EC0229">
        <w:rPr>
          <w:rStyle w:val="FootnoteReference"/>
          <w:rFonts w:cs="Times New Roman"/>
          <w:szCs w:val="24"/>
        </w:rPr>
        <w:footnoteReference w:id="522"/>
      </w:r>
      <w:r w:rsidRPr="00EC0229">
        <w:rPr>
          <w:rFonts w:cs="Times New Roman"/>
          <w:szCs w:val="24"/>
        </w:rPr>
        <w:t xml:space="preserve"> The first specimen of the exceedingly rare sceat of this monarch was unearthed in 1994.</w:t>
      </w:r>
      <w:r w:rsidRPr="00EC0229">
        <w:rPr>
          <w:rStyle w:val="FootnoteReference"/>
          <w:rFonts w:cs="Times New Roman"/>
          <w:szCs w:val="24"/>
        </w:rPr>
        <w:footnoteReference w:id="523"/>
      </w:r>
      <w:r w:rsidRPr="00EC0229">
        <w:rPr>
          <w:rFonts w:cs="Times New Roman"/>
          <w:szCs w:val="24"/>
        </w:rPr>
        <w:t xml:space="preserve"> His son Eanred</w:t>
      </w:r>
      <w:r w:rsidRPr="00EC0229">
        <w:rPr>
          <w:rFonts w:cs="Times New Roman"/>
          <w:szCs w:val="24"/>
        </w:rPr>
        <w:fldChar w:fldCharType="begin"/>
      </w:r>
      <w:r w:rsidRPr="00EC0229">
        <w:instrText xml:space="preserve"> XE "Eanred" </w:instrText>
      </w:r>
      <w:r w:rsidRPr="00EC0229">
        <w:rPr>
          <w:rFonts w:cs="Times New Roman"/>
          <w:szCs w:val="24"/>
        </w:rPr>
        <w:fldChar w:fldCharType="end"/>
      </w:r>
      <w:r w:rsidRPr="00EC0229">
        <w:rPr>
          <w:rFonts w:cs="Times New Roman"/>
          <w:szCs w:val="24"/>
        </w:rPr>
        <w:t xml:space="preserve"> eventually succeeded to the throne.</w:t>
      </w:r>
    </w:p>
    <w:p w14:paraId="697B5F3C" w14:textId="2937BA0A" w:rsidR="00993B0F" w:rsidRPr="00EC0229" w:rsidRDefault="00525552" w:rsidP="001F3A7F">
      <w:pPr>
        <w:pStyle w:val="Heading4"/>
        <w:rPr>
          <w:rFonts w:cs="Times New Roman"/>
        </w:rPr>
      </w:pPr>
      <w:bookmarkStart w:id="259" w:name="Bishops"/>
      <w:bookmarkStart w:id="260" w:name="_Toc468266785"/>
      <w:bookmarkEnd w:id="259"/>
      <w:r>
        <w:rPr>
          <w:b/>
        </w:rPr>
        <w:t>5.3.1.2</w:t>
      </w:r>
      <w:r>
        <w:rPr>
          <w:b/>
        </w:rPr>
        <w:tab/>
      </w:r>
      <w:bookmarkStart w:id="261" w:name="silverphaseepiscopacy"/>
      <w:r w:rsidR="00993B0F" w:rsidRPr="008E6548">
        <w:rPr>
          <w:b/>
        </w:rPr>
        <w:t>The Episcopacy</w:t>
      </w:r>
      <w:r w:rsidR="00993B0F" w:rsidRPr="00EC0229">
        <w:rPr>
          <w:rStyle w:val="Heading4Char"/>
        </w:rPr>
        <w:t xml:space="preserve"> </w:t>
      </w:r>
      <w:bookmarkEnd w:id="261"/>
      <w:r w:rsidR="00993B0F" w:rsidRPr="00EC0229">
        <w:rPr>
          <w:rStyle w:val="FootnoteReference"/>
        </w:rPr>
        <w:footnoteReference w:id="524"/>
      </w:r>
      <w:bookmarkEnd w:id="260"/>
    </w:p>
    <w:p w14:paraId="3D0160C8" w14:textId="77777777" w:rsidR="00993B0F" w:rsidRPr="00EC0229" w:rsidRDefault="00993B0F" w:rsidP="007600EA">
      <w:pPr>
        <w:spacing w:line="360" w:lineRule="auto"/>
        <w:rPr>
          <w:rFonts w:cs="Times New Roman"/>
          <w:szCs w:val="24"/>
          <w:lang w:val="en-US"/>
        </w:rPr>
      </w:pPr>
      <w:r w:rsidRPr="00EC0229">
        <w:rPr>
          <w:rFonts w:cs="Times New Roman"/>
          <w:color w:val="000000" w:themeColor="text1"/>
          <w:szCs w:val="24"/>
        </w:rPr>
        <w:t>Ecgberht</w:t>
      </w:r>
      <w:r w:rsidRPr="00EC0229">
        <w:rPr>
          <w:rFonts w:cs="Times New Roman"/>
          <w:color w:val="000000" w:themeColor="text1"/>
          <w:szCs w:val="24"/>
        </w:rPr>
        <w:fldChar w:fldCharType="begin"/>
      </w:r>
      <w:r w:rsidRPr="00EC0229">
        <w:instrText xml:space="preserve"> XE "Ecgberht" </w:instrText>
      </w:r>
      <w:r w:rsidRPr="00EC0229">
        <w:rPr>
          <w:rFonts w:cs="Times New Roman"/>
          <w:color w:val="000000" w:themeColor="text1"/>
          <w:szCs w:val="24"/>
        </w:rPr>
        <w:fldChar w:fldCharType="end"/>
      </w:r>
      <w:r w:rsidRPr="00EC0229">
        <w:rPr>
          <w:rFonts w:cs="Times New Roman"/>
          <w:color w:val="000000" w:themeColor="text1"/>
          <w:szCs w:val="24"/>
        </w:rPr>
        <w:t xml:space="preserve"> (tenure 732-66), the son of Eata and brother of king Eadberht</w:t>
      </w:r>
      <w:r w:rsidRPr="00EC0229">
        <w:rPr>
          <w:rFonts w:cs="Times New Roman"/>
          <w:color w:val="000000" w:themeColor="text1"/>
          <w:szCs w:val="24"/>
        </w:rPr>
        <w:fldChar w:fldCharType="begin"/>
      </w:r>
      <w:r w:rsidRPr="00EC0229">
        <w:instrText xml:space="preserve"> XE "Eadberht" </w:instrText>
      </w:r>
      <w:r w:rsidRPr="00EC0229">
        <w:rPr>
          <w:rFonts w:cs="Times New Roman"/>
          <w:color w:val="000000" w:themeColor="text1"/>
          <w:szCs w:val="24"/>
        </w:rPr>
        <w:fldChar w:fldCharType="end"/>
      </w:r>
      <w:r w:rsidRPr="00EC0229">
        <w:rPr>
          <w:rFonts w:cs="Times New Roman"/>
          <w:color w:val="000000" w:themeColor="text1"/>
          <w:szCs w:val="24"/>
        </w:rPr>
        <w:t xml:space="preserve"> (king 737-58), was appointed Bishop by his cousin </w:t>
      </w:r>
      <w:r w:rsidRPr="00EC0229">
        <w:rPr>
          <w:rFonts w:cs="Times New Roman"/>
          <w:szCs w:val="24"/>
        </w:rPr>
        <w:t>Ceolwulf.</w:t>
      </w:r>
      <w:r w:rsidRPr="00EC0229">
        <w:rPr>
          <w:rStyle w:val="FootnoteReference"/>
          <w:rFonts w:cs="Times New Roman"/>
          <w:szCs w:val="24"/>
        </w:rPr>
        <w:footnoteReference w:id="525"/>
      </w:r>
      <w:r w:rsidRPr="00EC0229">
        <w:rPr>
          <w:rFonts w:cs="Times New Roman"/>
          <w:szCs w:val="24"/>
        </w:rPr>
        <w:t xml:space="preserve"> </w:t>
      </w:r>
      <w:r w:rsidRPr="00EC0229">
        <w:rPr>
          <w:rFonts w:cs="Times New Roman"/>
          <w:color w:val="000000" w:themeColor="text1"/>
          <w:szCs w:val="24"/>
        </w:rPr>
        <w:t>Bede</w:t>
      </w:r>
      <w:r w:rsidRPr="00EC0229">
        <w:rPr>
          <w:rFonts w:cs="Times New Roman"/>
          <w:color w:val="000000" w:themeColor="text1"/>
          <w:szCs w:val="24"/>
        </w:rPr>
        <w:fldChar w:fldCharType="begin"/>
      </w:r>
      <w:r w:rsidRPr="00EC0229">
        <w:instrText xml:space="preserve"> XE "</w:instrText>
      </w:r>
      <w:r w:rsidRPr="00EC0229">
        <w:rPr>
          <w:bCs/>
          <w:sz w:val="20"/>
          <w:szCs w:val="20"/>
        </w:rPr>
        <w:instrText>Bede</w:instrText>
      </w:r>
      <w:r w:rsidRPr="00EC0229">
        <w:instrText xml:space="preserve">" </w:instrText>
      </w:r>
      <w:r w:rsidRPr="00EC0229">
        <w:rPr>
          <w:rFonts w:cs="Times New Roman"/>
          <w:color w:val="000000" w:themeColor="text1"/>
          <w:szCs w:val="24"/>
        </w:rPr>
        <w:fldChar w:fldCharType="end"/>
      </w:r>
      <w:r w:rsidRPr="00EC0229">
        <w:rPr>
          <w:rFonts w:cs="Times New Roman"/>
          <w:szCs w:val="24"/>
          <w:lang w:val="en-US"/>
        </w:rPr>
        <w:t xml:space="preserve"> recalls that Pope Gregory III had decreed that there should be twelve bishops in England after the conversion, among whom the bishop of York</w:t>
      </w:r>
      <w:r w:rsidRPr="00EC0229">
        <w:rPr>
          <w:rFonts w:cs="Times New Roman"/>
          <w:szCs w:val="24"/>
          <w:lang w:val="en-US"/>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lang w:val="en-US"/>
        </w:rPr>
        <w:fldChar w:fldCharType="end"/>
      </w:r>
      <w:r w:rsidRPr="00EC0229">
        <w:rPr>
          <w:rFonts w:cs="Times New Roman"/>
          <w:szCs w:val="24"/>
          <w:lang w:val="en-US"/>
        </w:rPr>
        <w:t xml:space="preserve"> should ‘receive the </w:t>
      </w:r>
      <w:bookmarkStart w:id="262" w:name="pallium"/>
      <w:bookmarkEnd w:id="262"/>
      <w:r w:rsidRPr="00EC0229">
        <w:rPr>
          <w:rFonts w:cs="Times New Roman"/>
          <w:i/>
          <w:szCs w:val="24"/>
          <w:lang w:val="en-US"/>
        </w:rPr>
        <w:t>pallium</w:t>
      </w:r>
      <w:r w:rsidRPr="00EC0229">
        <w:rPr>
          <w:rFonts w:cs="Times New Roman"/>
          <w:szCs w:val="24"/>
          <w:lang w:val="en-US"/>
        </w:rPr>
        <w:t xml:space="preserve"> and be metropolitan’.</w:t>
      </w:r>
      <w:r w:rsidRPr="00EC0229">
        <w:rPr>
          <w:rStyle w:val="FootnoteReference"/>
          <w:rFonts w:cs="Times New Roman"/>
          <w:szCs w:val="24"/>
          <w:lang w:val="en-US"/>
        </w:rPr>
        <w:footnoteReference w:id="526"/>
      </w:r>
      <w:r w:rsidRPr="00EC0229">
        <w:rPr>
          <w:rFonts w:cs="Times New Roman"/>
          <w:szCs w:val="24"/>
          <w:lang w:val="en-US"/>
        </w:rPr>
        <w:t xml:space="preserve"> Within months of taking office in 734 he ‘laudably recovered the </w:t>
      </w:r>
      <w:r w:rsidRPr="00EC0229">
        <w:rPr>
          <w:rFonts w:cs="Times New Roman"/>
          <w:i/>
          <w:szCs w:val="24"/>
          <w:lang w:val="en-US"/>
        </w:rPr>
        <w:t>pallium</w:t>
      </w:r>
      <w:r w:rsidRPr="00EC0229">
        <w:rPr>
          <w:rFonts w:cs="Times New Roman"/>
          <w:szCs w:val="24"/>
          <w:lang w:val="en-US"/>
        </w:rPr>
        <w:t xml:space="preserve"> which had been neglected by eight bishops since the </w:t>
      </w:r>
      <w:r w:rsidRPr="00EC0229">
        <w:rPr>
          <w:rFonts w:cs="Times New Roman"/>
          <w:szCs w:val="24"/>
          <w:lang w:val="en-US"/>
        </w:rPr>
        <w:lastRenderedPageBreak/>
        <w:t xml:space="preserve">time of Paulinus the first archbishop of York.’ Perhaps the stick-like, standing figure on the joint coinage with his brother Eadberht, shows this recently restored </w:t>
      </w:r>
      <w:r w:rsidRPr="00EC0229">
        <w:rPr>
          <w:rFonts w:cs="Times New Roman"/>
          <w:i/>
          <w:szCs w:val="24"/>
          <w:lang w:val="en-US"/>
        </w:rPr>
        <w:t>pallium</w:t>
      </w:r>
      <w:r w:rsidRPr="00EC0229">
        <w:rPr>
          <w:rFonts w:cs="Times New Roman"/>
          <w:szCs w:val="24"/>
          <w:lang w:val="en-US"/>
        </w:rPr>
        <w:t>.</w:t>
      </w:r>
      <w:r w:rsidRPr="00EC0229">
        <w:rPr>
          <w:rStyle w:val="FootnoteReference"/>
          <w:rFonts w:cs="Times New Roman"/>
          <w:szCs w:val="24"/>
          <w:lang w:val="en-US"/>
        </w:rPr>
        <w:footnoteReference w:id="527"/>
      </w:r>
    </w:p>
    <w:p w14:paraId="78EAA647" w14:textId="77777777" w:rsidR="00993B0F" w:rsidRPr="00EC0229" w:rsidRDefault="00993B0F" w:rsidP="007600EA">
      <w:pPr>
        <w:spacing w:line="360" w:lineRule="auto"/>
        <w:rPr>
          <w:rFonts w:cs="Times New Roman"/>
          <w:color w:val="000000" w:themeColor="text1"/>
          <w:szCs w:val="24"/>
        </w:rPr>
      </w:pPr>
      <w:r w:rsidRPr="00EC0229">
        <w:rPr>
          <w:rFonts w:cs="Times New Roman"/>
          <w:color w:val="000000" w:themeColor="text1"/>
          <w:szCs w:val="24"/>
        </w:rPr>
        <w:t>The diocese was elevated to an Archbishopic in 737. Ecgberht</w:t>
      </w:r>
      <w:r w:rsidRPr="00EC0229">
        <w:rPr>
          <w:rFonts w:cs="Times New Roman"/>
          <w:color w:val="000000" w:themeColor="text1"/>
          <w:szCs w:val="24"/>
        </w:rPr>
        <w:fldChar w:fldCharType="begin"/>
      </w:r>
      <w:r w:rsidRPr="00EC0229">
        <w:instrText xml:space="preserve"> XE "Ecgberht" </w:instrText>
      </w:r>
      <w:r w:rsidRPr="00EC0229">
        <w:rPr>
          <w:rFonts w:cs="Times New Roman"/>
          <w:color w:val="000000" w:themeColor="text1"/>
          <w:szCs w:val="24"/>
        </w:rPr>
        <w:fldChar w:fldCharType="end"/>
      </w:r>
      <w:r w:rsidRPr="00EC0229">
        <w:rPr>
          <w:rFonts w:cs="Times New Roman"/>
          <w:color w:val="000000" w:themeColor="text1"/>
          <w:szCs w:val="24"/>
        </w:rPr>
        <w:t xml:space="preserve"> corresponded with Boniface and was an associate (student?) of Bede</w:t>
      </w:r>
      <w:r w:rsidRPr="00EC0229">
        <w:rPr>
          <w:rFonts w:cs="Times New Roman"/>
          <w:color w:val="000000" w:themeColor="text1"/>
          <w:szCs w:val="24"/>
        </w:rPr>
        <w:fldChar w:fldCharType="begin"/>
      </w:r>
      <w:r w:rsidRPr="00EC0229">
        <w:instrText xml:space="preserve"> XE "</w:instrText>
      </w:r>
      <w:r w:rsidRPr="00EC0229">
        <w:rPr>
          <w:bCs/>
          <w:sz w:val="20"/>
          <w:szCs w:val="20"/>
        </w:rPr>
        <w:instrText>Bede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whose advice that the diocese be divided was not pursued. He worked with Eadberht</w:t>
      </w:r>
      <w:r w:rsidRPr="00EC0229">
        <w:rPr>
          <w:rFonts w:cs="Times New Roman"/>
          <w:color w:val="000000" w:themeColor="text1"/>
          <w:szCs w:val="24"/>
        </w:rPr>
        <w:fldChar w:fldCharType="begin"/>
      </w:r>
      <w:r w:rsidRPr="00EC0229">
        <w:instrText xml:space="preserve"> XE "Eadberht" </w:instrText>
      </w:r>
      <w:r w:rsidRPr="00EC0229">
        <w:rPr>
          <w:rFonts w:cs="Times New Roman"/>
          <w:color w:val="000000" w:themeColor="text1"/>
          <w:szCs w:val="24"/>
        </w:rPr>
        <w:fldChar w:fldCharType="end"/>
      </w:r>
      <w:r w:rsidRPr="00EC0229">
        <w:rPr>
          <w:rFonts w:cs="Times New Roman"/>
          <w:color w:val="000000" w:themeColor="text1"/>
          <w:szCs w:val="24"/>
        </w:rPr>
        <w:t xml:space="preserve"> in an ultimately unsuccessful attempt to return </w:t>
      </w:r>
      <w:r w:rsidRPr="00EC0229">
        <w:rPr>
          <w:rFonts w:cs="Times New Roman"/>
          <w:i/>
          <w:color w:val="000000" w:themeColor="text1"/>
          <w:szCs w:val="24"/>
        </w:rPr>
        <w:t>bookland</w:t>
      </w:r>
      <w:r w:rsidRPr="00EC0229">
        <w:rPr>
          <w:rFonts w:cs="Times New Roman"/>
          <w:i/>
          <w:color w:val="000000" w:themeColor="text1"/>
          <w:szCs w:val="24"/>
        </w:rPr>
        <w:fldChar w:fldCharType="begin"/>
      </w:r>
      <w:r w:rsidRPr="00EC0229">
        <w:instrText xml:space="preserve"> XE "</w:instrText>
      </w:r>
      <w:r w:rsidRPr="00EC0229">
        <w:rPr>
          <w:szCs w:val="24"/>
        </w:rPr>
        <w:instrText>bookland</w:instrText>
      </w:r>
      <w:r w:rsidRPr="00EC0229">
        <w:instrText xml:space="preserve">" </w:instrText>
      </w:r>
      <w:r w:rsidRPr="00EC0229">
        <w:rPr>
          <w:rFonts w:cs="Times New Roman"/>
          <w:i/>
          <w:color w:val="000000" w:themeColor="text1"/>
          <w:szCs w:val="24"/>
        </w:rPr>
        <w:fldChar w:fldCharType="end"/>
      </w:r>
      <w:r w:rsidRPr="00EC0229">
        <w:rPr>
          <w:rFonts w:cs="Times New Roman"/>
          <w:color w:val="000000" w:themeColor="text1"/>
          <w:szCs w:val="24"/>
        </w:rPr>
        <w:t xml:space="preserve"> to secular control. He founded the exceptional school and library at York</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wrote a law code for the clergy, </w:t>
      </w:r>
      <w:r w:rsidRPr="00EC0229">
        <w:rPr>
          <w:rFonts w:cs="Times New Roman"/>
          <w:i/>
          <w:iCs/>
          <w:szCs w:val="24"/>
        </w:rPr>
        <w:t>Dialogus ecclesiasticae institutionis</w:t>
      </w:r>
      <w:r w:rsidRPr="00EC0229">
        <w:rPr>
          <w:rFonts w:cs="Times New Roman"/>
          <w:iCs/>
          <w:szCs w:val="24"/>
        </w:rPr>
        <w:t>,</w:t>
      </w:r>
      <w:r w:rsidRPr="00EC0229">
        <w:rPr>
          <w:rFonts w:cs="Times New Roman"/>
          <w:i/>
          <w:iCs/>
          <w:szCs w:val="24"/>
        </w:rPr>
        <w:t xml:space="preserve"> </w:t>
      </w:r>
      <w:r w:rsidRPr="00EC0229">
        <w:rPr>
          <w:rFonts w:cs="Times New Roman"/>
          <w:color w:val="000000" w:themeColor="text1"/>
          <w:szCs w:val="24"/>
        </w:rPr>
        <w:t>which included</w:t>
      </w:r>
      <w:r w:rsidRPr="00EC0229">
        <w:rPr>
          <w:rFonts w:cs="Times New Roman"/>
          <w:i/>
          <w:color w:val="000000" w:themeColor="text1"/>
          <w:szCs w:val="24"/>
        </w:rPr>
        <w:t xml:space="preserve"> wergeld</w:t>
      </w:r>
      <w:r w:rsidRPr="00EC0229">
        <w:rPr>
          <w:rFonts w:cs="Times New Roman"/>
          <w:color w:val="000000" w:themeColor="text1"/>
          <w:szCs w:val="24"/>
        </w:rPr>
        <w:t xml:space="preserve"> for clerics. He issued coins jointly with Eadberht, </w:t>
      </w:r>
      <w:r w:rsidRPr="00EC0229">
        <w:rPr>
          <w:rFonts w:cs="Times New Roman"/>
          <w:szCs w:val="24"/>
        </w:rPr>
        <w:t>Æthelwold Moll</w:t>
      </w:r>
      <w:r w:rsidRPr="00EC0229">
        <w:rPr>
          <w:rFonts w:cs="Times New Roman"/>
          <w:szCs w:val="24"/>
        </w:rPr>
        <w:fldChar w:fldCharType="begin"/>
      </w:r>
      <w:r w:rsidRPr="00EC0229">
        <w:instrText xml:space="preserve"> XE "</w:instrText>
      </w:r>
      <w:r w:rsidRPr="00EC0229">
        <w:rPr>
          <w:rFonts w:cs="Times New Roman"/>
          <w:szCs w:val="24"/>
        </w:rPr>
        <w:instrText>Æthelwold Moll</w:instrText>
      </w:r>
      <w:r w:rsidRPr="00EC0229">
        <w:instrText xml:space="preserve">" </w:instrText>
      </w:r>
      <w:r w:rsidRPr="00EC0229">
        <w:rPr>
          <w:rFonts w:cs="Times New Roman"/>
          <w:szCs w:val="24"/>
        </w:rPr>
        <w:fldChar w:fldCharType="end"/>
      </w:r>
      <w:r w:rsidRPr="00EC0229">
        <w:rPr>
          <w:rFonts w:cs="Times New Roman"/>
          <w:szCs w:val="24"/>
        </w:rPr>
        <w:t xml:space="preserve"> and </w:t>
      </w:r>
      <w:r w:rsidRPr="00EC0229">
        <w:rPr>
          <w:rFonts w:cs="Times New Roman"/>
          <w:color w:val="000000" w:themeColor="text1"/>
          <w:szCs w:val="24"/>
        </w:rPr>
        <w:t>Alchred</w:t>
      </w:r>
      <w:r w:rsidRPr="00EC0229">
        <w:rPr>
          <w:rFonts w:cs="Times New Roman"/>
          <w:color w:val="000000" w:themeColor="text1"/>
          <w:szCs w:val="24"/>
        </w:rPr>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The joint issues mark a significant diplomatic achievement not just in inferring unity between church</w:t>
      </w:r>
      <w:r w:rsidRPr="00EC0229">
        <w:rPr>
          <w:rFonts w:cs="Times New Roman"/>
          <w:color w:val="000000" w:themeColor="text1"/>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state but in their continuity across rival dynasties. Ecgberht was buried at York cathedral.</w:t>
      </w:r>
    </w:p>
    <w:p w14:paraId="5CF9F8E3" w14:textId="77777777" w:rsidR="00993B0F" w:rsidRPr="00EC0229" w:rsidRDefault="00993B0F" w:rsidP="007600EA">
      <w:pPr>
        <w:spacing w:line="360" w:lineRule="auto"/>
        <w:rPr>
          <w:rFonts w:cs="Times New Roman"/>
          <w:szCs w:val="24"/>
        </w:rPr>
      </w:pPr>
      <w:r w:rsidRPr="00EC0229">
        <w:rPr>
          <w:rFonts w:cs="Times New Roman"/>
          <w:szCs w:val="24"/>
        </w:rPr>
        <w:t>Æthelbert (te</w:t>
      </w:r>
      <w:r w:rsidRPr="00EC0229">
        <w:rPr>
          <w:rFonts w:cs="Times New Roman"/>
          <w:color w:val="000000" w:themeColor="text1"/>
          <w:szCs w:val="24"/>
        </w:rPr>
        <w:t>nure</w:t>
      </w:r>
      <w:r w:rsidRPr="00EC0229">
        <w:rPr>
          <w:rFonts w:cs="Times New Roman"/>
          <w:szCs w:val="24"/>
        </w:rPr>
        <w:t xml:space="preserve"> 766-80) ordained at York</w:t>
      </w:r>
      <w:r w:rsidRPr="00EC0229">
        <w:rPr>
          <w:rFonts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rPr>
        <w:fldChar w:fldCharType="end"/>
      </w:r>
      <w:r w:rsidRPr="00EC0229">
        <w:rPr>
          <w:rFonts w:cs="Times New Roman"/>
          <w:szCs w:val="24"/>
        </w:rPr>
        <w:t xml:space="preserve"> by his relative Ecgberht</w:t>
      </w:r>
      <w:r w:rsidRPr="00EC0229">
        <w:rPr>
          <w:rFonts w:cs="Times New Roman"/>
          <w:szCs w:val="24"/>
        </w:rPr>
        <w:fldChar w:fldCharType="begin"/>
      </w:r>
      <w:r w:rsidRPr="00EC0229">
        <w:instrText xml:space="preserve"> XE "Ecgberht" </w:instrText>
      </w:r>
      <w:r w:rsidRPr="00EC0229">
        <w:rPr>
          <w:rFonts w:cs="Times New Roman"/>
          <w:szCs w:val="24"/>
        </w:rPr>
        <w:fldChar w:fldCharType="end"/>
      </w:r>
      <w:r w:rsidRPr="00EC0229">
        <w:rPr>
          <w:rFonts w:cs="Times New Roman"/>
          <w:szCs w:val="24"/>
        </w:rPr>
        <w:t>, was put in charge of the school and library, which he was instrumental in extending. This involved travelling widely including a visit to Rome. He taught missionaries, including Alcuin</w:t>
      </w:r>
      <w:r w:rsidRPr="00EC0229">
        <w:rPr>
          <w:rFonts w:cs="Times New Roman"/>
          <w:szCs w:val="24"/>
        </w:rPr>
        <w:fldChar w:fldCharType="begin"/>
      </w:r>
      <w:r w:rsidRPr="00EC0229">
        <w:instrText xml:space="preserve"> XE "</w:instrText>
      </w:r>
      <w:r w:rsidRPr="00EC0229">
        <w:rPr>
          <w:rFonts w:cs="Times New Roman"/>
          <w:szCs w:val="24"/>
        </w:rPr>
        <w:instrText>Alcuin</w:instrText>
      </w:r>
      <w:r w:rsidRPr="00EC0229">
        <w:instrText xml:space="preserve">" </w:instrText>
      </w:r>
      <w:r w:rsidRPr="00EC0229">
        <w:rPr>
          <w:rFonts w:cs="Times New Roman"/>
          <w:szCs w:val="24"/>
        </w:rPr>
        <w:fldChar w:fldCharType="end"/>
      </w:r>
      <w:r w:rsidRPr="00EC0229">
        <w:rPr>
          <w:rFonts w:cs="Times New Roman"/>
          <w:szCs w:val="24"/>
        </w:rPr>
        <w:t xml:space="preserve">, and sent them to northern Europe. He oversaw the reconstruction of the cathedral after the fire of 741.  In 773, he received the </w:t>
      </w:r>
      <w:r w:rsidRPr="00EC0229">
        <w:rPr>
          <w:rFonts w:cs="Times New Roman"/>
          <w:i/>
          <w:szCs w:val="24"/>
        </w:rPr>
        <w:t>pallium</w:t>
      </w:r>
      <w:r w:rsidRPr="00EC0229">
        <w:rPr>
          <w:rFonts w:cs="Times New Roman"/>
          <w:szCs w:val="24"/>
        </w:rPr>
        <w:t xml:space="preserve"> from Pope Adrian I. His council deposed and exiled Alchred</w:t>
      </w:r>
      <w:r w:rsidRPr="00EC0229">
        <w:rPr>
          <w:rFonts w:cs="Times New Roman"/>
          <w:szCs w:val="24"/>
        </w:rPr>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rPr>
          <w:rFonts w:cs="Times New Roman"/>
          <w:szCs w:val="24"/>
        </w:rPr>
        <w:fldChar w:fldCharType="end"/>
      </w:r>
      <w:r w:rsidRPr="00EC0229">
        <w:rPr>
          <w:rFonts w:cs="Times New Roman"/>
          <w:szCs w:val="24"/>
        </w:rPr>
        <w:t xml:space="preserve"> to Pictland in 774 and he probably withdrew support from 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I. He built a new church</w:t>
      </w:r>
      <w:r w:rsidRPr="00EC0229">
        <w:rPr>
          <w:rFonts w:cs="Times New Roman"/>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rFonts w:cs="Times New Roman"/>
          <w:szCs w:val="24"/>
        </w:rPr>
        <w:fldChar w:fldCharType="end"/>
      </w:r>
      <w:r w:rsidRPr="00EC0229">
        <w:rPr>
          <w:rFonts w:cs="Times New Roman"/>
          <w:szCs w:val="24"/>
        </w:rPr>
        <w:t xml:space="preserve"> in York during his retirement. That no coins survive showing his name shows that emissions were an episcopal option not a necessity.</w:t>
      </w:r>
    </w:p>
    <w:p w14:paraId="7CCE097B" w14:textId="6C55FDD0" w:rsidR="00993B0F" w:rsidRPr="00EC0229" w:rsidRDefault="00993B0F" w:rsidP="007600EA">
      <w:pPr>
        <w:spacing w:line="360" w:lineRule="auto"/>
        <w:rPr>
          <w:rFonts w:cs="Times New Roman"/>
          <w:szCs w:val="24"/>
        </w:rPr>
      </w:pPr>
      <w:r w:rsidRPr="00EC0229">
        <w:rPr>
          <w:rFonts w:cs="Times New Roman"/>
          <w:color w:val="000000" w:themeColor="text1"/>
          <w:szCs w:val="24"/>
        </w:rPr>
        <w:t>Eanbald</w:t>
      </w:r>
      <w:r w:rsidRPr="00EC0229">
        <w:rPr>
          <w:rFonts w:cs="Times New Roman"/>
          <w:color w:val="000000" w:themeColor="text1"/>
          <w:szCs w:val="24"/>
        </w:rPr>
        <w:fldChar w:fldCharType="begin"/>
      </w:r>
      <w:r w:rsidRPr="00EC0229">
        <w:instrText xml:space="preserve"> XE "Eanbald" </w:instrText>
      </w:r>
      <w:r w:rsidRPr="00EC0229">
        <w:rPr>
          <w:rFonts w:cs="Times New Roman"/>
          <w:color w:val="000000" w:themeColor="text1"/>
          <w:szCs w:val="24"/>
        </w:rPr>
        <w:fldChar w:fldCharType="end"/>
      </w:r>
      <w:r w:rsidRPr="00EC0229">
        <w:rPr>
          <w:rFonts w:cs="Times New Roman"/>
          <w:color w:val="000000" w:themeColor="text1"/>
          <w:szCs w:val="24"/>
        </w:rPr>
        <w:t xml:space="preserve"> I (tenure 780-96) </w:t>
      </w:r>
      <w:r w:rsidRPr="00EC0229">
        <w:rPr>
          <w:rFonts w:cs="Times New Roman"/>
          <w:szCs w:val="24"/>
        </w:rPr>
        <w:t>and his colleague Alcuin</w:t>
      </w:r>
      <w:r w:rsidRPr="00EC0229">
        <w:rPr>
          <w:rFonts w:cs="Times New Roman"/>
          <w:szCs w:val="24"/>
        </w:rPr>
        <w:fldChar w:fldCharType="begin"/>
      </w:r>
      <w:r w:rsidRPr="00EC0229">
        <w:instrText xml:space="preserve"> XE "</w:instrText>
      </w:r>
      <w:r w:rsidRPr="00EC0229">
        <w:rPr>
          <w:rFonts w:cs="Times New Roman"/>
          <w:szCs w:val="24"/>
        </w:rPr>
        <w:instrText>Alcuin</w:instrText>
      </w:r>
      <w:r w:rsidRPr="00EC0229">
        <w:instrText xml:space="preserve">" </w:instrText>
      </w:r>
      <w:r w:rsidRPr="00EC0229">
        <w:rPr>
          <w:rFonts w:cs="Times New Roman"/>
          <w:szCs w:val="24"/>
        </w:rPr>
        <w:fldChar w:fldCharType="end"/>
      </w:r>
      <w:r w:rsidRPr="00EC0229">
        <w:rPr>
          <w:rFonts w:cs="Times New Roman"/>
          <w:szCs w:val="24"/>
        </w:rPr>
        <w:t xml:space="preserve"> had been put in charge of the rebuilding of the cathedral by </w:t>
      </w:r>
      <w:r w:rsidRPr="00EC0229">
        <w:rPr>
          <w:rFonts w:cs="Times New Roman"/>
          <w:color w:val="000000" w:themeColor="text1"/>
          <w:szCs w:val="24"/>
        </w:rPr>
        <w:t xml:space="preserve">his predecessor </w:t>
      </w:r>
      <w:r w:rsidRPr="00EC0229">
        <w:rPr>
          <w:rFonts w:cs="Times New Roman"/>
          <w:szCs w:val="24"/>
        </w:rPr>
        <w:t>Æthelbert. Alcuin was sent by Ælfwald</w:t>
      </w:r>
      <w:r w:rsidRPr="00EC0229">
        <w:rPr>
          <w:rFonts w:cs="Times New Roman"/>
          <w:szCs w:val="24"/>
        </w:rPr>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rPr>
          <w:rFonts w:cs="Times New Roman"/>
          <w:szCs w:val="24"/>
        </w:rPr>
        <w:fldChar w:fldCharType="end"/>
      </w:r>
      <w:r w:rsidRPr="00EC0229">
        <w:rPr>
          <w:rFonts w:cs="Times New Roman"/>
          <w:szCs w:val="24"/>
        </w:rPr>
        <w:t xml:space="preserve"> I to collect Eanbald’s </w:t>
      </w:r>
      <w:r w:rsidRPr="00EC0229">
        <w:rPr>
          <w:rFonts w:cs="Times New Roman"/>
          <w:i/>
          <w:szCs w:val="24"/>
        </w:rPr>
        <w:t>pallium</w:t>
      </w:r>
      <w:r w:rsidRPr="00EC0229">
        <w:rPr>
          <w:rFonts w:cs="Times New Roman"/>
          <w:szCs w:val="24"/>
        </w:rPr>
        <w:t xml:space="preserve"> from Pope Adrian I. Eanbald presided over </w:t>
      </w:r>
      <w:r w:rsidR="00BF6095">
        <w:rPr>
          <w:rFonts w:cs="Times New Roman"/>
          <w:szCs w:val="24"/>
        </w:rPr>
        <w:t>several</w:t>
      </w:r>
      <w:r w:rsidRPr="00EC0229">
        <w:rPr>
          <w:rFonts w:cs="Times New Roman"/>
          <w:szCs w:val="24"/>
        </w:rPr>
        <w:t xml:space="preserve"> Synods; that of 786 barred illegitimate royal heirs and ordered that tithes be given by all men to the church</w:t>
      </w:r>
      <w:r w:rsidRPr="00EC0229">
        <w:rPr>
          <w:rFonts w:cs="Times New Roman"/>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rFonts w:cs="Times New Roman"/>
          <w:szCs w:val="24"/>
        </w:rPr>
        <w:fldChar w:fldCharType="end"/>
      </w:r>
      <w:r w:rsidRPr="00EC0229">
        <w:rPr>
          <w:rFonts w:cs="Times New Roman"/>
          <w:szCs w:val="24"/>
        </w:rPr>
        <w:t>; that of 786 condemned regicide in a time of growing instability. His archbishopric witnessed the first Danish attacks on Northumbria</w:t>
      </w:r>
      <w:r w:rsidRPr="00EC0229">
        <w:rPr>
          <w:rFonts w:cs="Times New Roman"/>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szCs w:val="24"/>
        </w:rPr>
        <w:fldChar w:fldCharType="end"/>
      </w:r>
      <w:r w:rsidRPr="00EC0229">
        <w:rPr>
          <w:rFonts w:cs="Times New Roman"/>
          <w:szCs w:val="24"/>
        </w:rPr>
        <w:t xml:space="preserve">. </w:t>
      </w:r>
      <w:r w:rsidRPr="00EC0229">
        <w:rPr>
          <w:rFonts w:cs="Times New Roman"/>
          <w:color w:val="000000" w:themeColor="text1"/>
          <w:szCs w:val="24"/>
        </w:rPr>
        <w:t xml:space="preserve">He issued coins jointly with </w:t>
      </w:r>
      <w:r w:rsidRPr="00EC0229">
        <w:rPr>
          <w:rFonts w:cs="Times New Roman"/>
          <w:szCs w:val="24"/>
        </w:rPr>
        <w:t>Æthelred</w:t>
      </w:r>
      <w:r w:rsidRPr="00EC0229">
        <w:rPr>
          <w:rFonts w:cs="Times New Roman"/>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szCs w:val="24"/>
        </w:rPr>
        <w:fldChar w:fldCharType="end"/>
      </w:r>
      <w:r w:rsidRPr="00EC0229">
        <w:rPr>
          <w:rFonts w:cs="Times New Roman"/>
          <w:szCs w:val="24"/>
        </w:rPr>
        <w:t xml:space="preserve"> and consecrated Eardwulf shortly before his own death and burial at York</w:t>
      </w:r>
      <w:r w:rsidRPr="00EC0229">
        <w:rPr>
          <w:rFonts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rPr>
        <w:fldChar w:fldCharType="end"/>
      </w:r>
      <w:r w:rsidRPr="00EC0229">
        <w:rPr>
          <w:rFonts w:cs="Times New Roman"/>
          <w:szCs w:val="24"/>
        </w:rPr>
        <w:t xml:space="preserve"> Minster</w:t>
      </w:r>
      <w:r w:rsidRPr="00EC0229">
        <w:rPr>
          <w:rFonts w:cs="Times New Roman"/>
          <w:szCs w:val="24"/>
        </w:rPr>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rPr>
          <w:rFonts w:cs="Times New Roman"/>
          <w:szCs w:val="24"/>
        </w:rPr>
        <w:fldChar w:fldCharType="end"/>
      </w:r>
      <w:r w:rsidRPr="00EC0229">
        <w:rPr>
          <w:rFonts w:cs="Times New Roman"/>
          <w:szCs w:val="24"/>
        </w:rPr>
        <w:t>.</w:t>
      </w:r>
    </w:p>
    <w:p w14:paraId="617C9367" w14:textId="77777777" w:rsidR="00B7034B" w:rsidRPr="00EC0229" w:rsidRDefault="00B7034B" w:rsidP="00854C0B">
      <w:pPr>
        <w:pStyle w:val="NoSpacing"/>
      </w:pPr>
      <w:bookmarkStart w:id="263" w:name="CoinProduction"/>
      <w:bookmarkEnd w:id="263"/>
    </w:p>
    <w:p w14:paraId="4C2F1A9A" w14:textId="06A9C343" w:rsidR="00B87AA5" w:rsidRPr="00EC0229" w:rsidRDefault="00525552" w:rsidP="007600EA">
      <w:pPr>
        <w:pStyle w:val="Heading3"/>
        <w:spacing w:line="360" w:lineRule="auto"/>
      </w:pPr>
      <w:bookmarkStart w:id="264" w:name="_Toc468266786"/>
      <w:r>
        <w:t>5.3.2</w:t>
      </w:r>
      <w:r w:rsidRPr="00525552">
        <w:tab/>
      </w:r>
      <w:r w:rsidR="00B87AA5" w:rsidRPr="00EC0229">
        <w:t>Coin Production</w:t>
      </w:r>
      <w:r>
        <w:t>:</w:t>
      </w:r>
      <w:r w:rsidRPr="00525552">
        <w:rPr>
          <w:rFonts w:eastAsia="Times New Roman"/>
          <w:lang w:eastAsia="en-GB"/>
        </w:rPr>
        <w:t xml:space="preserve"> </w:t>
      </w:r>
      <w:r w:rsidRPr="00EC0229">
        <w:rPr>
          <w:rFonts w:eastAsia="Times New Roman"/>
          <w:lang w:eastAsia="en-GB"/>
        </w:rPr>
        <w:t>Brief Introduction to Sceats</w:t>
      </w:r>
      <w:bookmarkEnd w:id="264"/>
    </w:p>
    <w:p w14:paraId="45819687" w14:textId="3C7A4A00" w:rsidR="00BD7B6C" w:rsidRPr="00EC0229" w:rsidRDefault="006C2237" w:rsidP="007600EA">
      <w:pPr>
        <w:pStyle w:val="NoSpacing"/>
        <w:spacing w:line="360" w:lineRule="auto"/>
        <w:jc w:val="right"/>
        <w:rPr>
          <w:sz w:val="20"/>
          <w:szCs w:val="20"/>
        </w:rPr>
      </w:pPr>
      <w:r w:rsidRPr="00EC0229">
        <w:rPr>
          <w:sz w:val="20"/>
          <w:szCs w:val="20"/>
        </w:rPr>
        <w:t xml:space="preserve"> </w:t>
      </w:r>
      <w:r w:rsidR="00D224A8" w:rsidRPr="00EC0229">
        <w:rPr>
          <w:sz w:val="20"/>
          <w:szCs w:val="20"/>
        </w:rPr>
        <w:t xml:space="preserve">‘the value of an object lies not just (or even) in its scarcity or utility but also in the historical, </w:t>
      </w:r>
    </w:p>
    <w:p w14:paraId="4DC7B36A" w14:textId="53462837" w:rsidR="00D224A8" w:rsidRPr="00EC0229" w:rsidRDefault="00D224A8" w:rsidP="007600EA">
      <w:pPr>
        <w:pStyle w:val="NoSpacing"/>
        <w:spacing w:line="360" w:lineRule="auto"/>
        <w:jc w:val="right"/>
        <w:rPr>
          <w:sz w:val="20"/>
          <w:szCs w:val="20"/>
        </w:rPr>
      </w:pPr>
      <w:r w:rsidRPr="00EC0229">
        <w:rPr>
          <w:sz w:val="20"/>
          <w:szCs w:val="20"/>
        </w:rPr>
        <w:t xml:space="preserve">sentimental and cosmological qualities with which it is felt to be imbued.’ </w:t>
      </w:r>
    </w:p>
    <w:p w14:paraId="62612372" w14:textId="013AB544" w:rsidR="00D224A8" w:rsidRPr="00EC0229" w:rsidRDefault="00D224A8" w:rsidP="007600EA">
      <w:pPr>
        <w:pStyle w:val="NoSpacing"/>
        <w:spacing w:line="360" w:lineRule="auto"/>
        <w:jc w:val="right"/>
        <w:rPr>
          <w:sz w:val="20"/>
          <w:szCs w:val="20"/>
        </w:rPr>
      </w:pPr>
      <w:r w:rsidRPr="00EC0229">
        <w:rPr>
          <w:sz w:val="20"/>
          <w:szCs w:val="20"/>
        </w:rPr>
        <w:t>John Moreland (2000, 30)</w:t>
      </w:r>
    </w:p>
    <w:p w14:paraId="22B7F292" w14:textId="6158C81D" w:rsidR="00976602" w:rsidRPr="00976602" w:rsidRDefault="00976602" w:rsidP="006C2237">
      <w:pPr>
        <w:spacing w:line="360" w:lineRule="auto"/>
        <w:rPr>
          <w:szCs w:val="24"/>
        </w:rPr>
      </w:pPr>
      <w:r>
        <w:rPr>
          <w:rStyle w:val="Heading5Char"/>
          <w:sz w:val="24"/>
          <w:szCs w:val="24"/>
          <w:u w:val="none"/>
        </w:rPr>
        <w:lastRenderedPageBreak/>
        <w:t xml:space="preserve">The sceat was produced between </w:t>
      </w:r>
      <w:r w:rsidR="002132F1">
        <w:rPr>
          <w:rStyle w:val="Heading5Char"/>
          <w:i/>
          <w:sz w:val="24"/>
          <w:szCs w:val="24"/>
          <w:u w:val="none"/>
        </w:rPr>
        <w:t>c.</w:t>
      </w:r>
      <w:r w:rsidRPr="00976602">
        <w:rPr>
          <w:rStyle w:val="Heading5Char"/>
          <w:sz w:val="24"/>
          <w:szCs w:val="24"/>
          <w:u w:val="none"/>
        </w:rPr>
        <w:t xml:space="preserve">670s </w:t>
      </w:r>
      <w:r>
        <w:rPr>
          <w:rStyle w:val="Heading5Char"/>
          <w:sz w:val="24"/>
          <w:szCs w:val="24"/>
          <w:u w:val="none"/>
        </w:rPr>
        <w:t>and</w:t>
      </w:r>
      <w:r w:rsidRPr="00976602">
        <w:rPr>
          <w:rStyle w:val="Heading5Char"/>
          <w:sz w:val="24"/>
          <w:szCs w:val="24"/>
          <w:u w:val="none"/>
        </w:rPr>
        <w:t xml:space="preserve"> </w:t>
      </w:r>
      <w:r w:rsidRPr="00976602">
        <w:rPr>
          <w:rStyle w:val="Heading5Char"/>
          <w:i/>
          <w:sz w:val="24"/>
          <w:szCs w:val="24"/>
          <w:u w:val="none"/>
        </w:rPr>
        <w:t>c.</w:t>
      </w:r>
      <w:r w:rsidRPr="00976602">
        <w:rPr>
          <w:rStyle w:val="Heading5Char"/>
          <w:sz w:val="24"/>
          <w:szCs w:val="24"/>
          <w:u w:val="none"/>
        </w:rPr>
        <w:t xml:space="preserve">760 </w:t>
      </w:r>
      <w:r>
        <w:rPr>
          <w:rStyle w:val="Heading5Char"/>
          <w:sz w:val="24"/>
          <w:szCs w:val="24"/>
          <w:u w:val="none"/>
        </w:rPr>
        <w:t xml:space="preserve">in the </w:t>
      </w:r>
      <w:r w:rsidRPr="00976602">
        <w:rPr>
          <w:rStyle w:val="Heading5Char"/>
          <w:sz w:val="24"/>
          <w:szCs w:val="24"/>
          <w:u w:val="none"/>
        </w:rPr>
        <w:t>south</w:t>
      </w:r>
      <w:r>
        <w:rPr>
          <w:rStyle w:val="Heading5Char"/>
          <w:sz w:val="24"/>
          <w:szCs w:val="24"/>
          <w:u w:val="none"/>
        </w:rPr>
        <w:t xml:space="preserve"> and up to </w:t>
      </w:r>
      <w:r>
        <w:rPr>
          <w:rStyle w:val="Heading5Char"/>
          <w:i/>
          <w:sz w:val="24"/>
          <w:szCs w:val="24"/>
          <w:u w:val="none"/>
        </w:rPr>
        <w:t>c.</w:t>
      </w:r>
      <w:r w:rsidRPr="00976602">
        <w:rPr>
          <w:rStyle w:val="Heading5Char"/>
          <w:sz w:val="24"/>
          <w:szCs w:val="24"/>
          <w:u w:val="none"/>
        </w:rPr>
        <w:t xml:space="preserve">810 </w:t>
      </w:r>
      <w:r>
        <w:rPr>
          <w:rStyle w:val="Heading5Char"/>
          <w:sz w:val="24"/>
          <w:szCs w:val="24"/>
          <w:u w:val="none"/>
        </w:rPr>
        <w:t xml:space="preserve">in the </w:t>
      </w:r>
      <w:r w:rsidRPr="00976602">
        <w:rPr>
          <w:rStyle w:val="Heading5Char"/>
          <w:sz w:val="24"/>
          <w:szCs w:val="24"/>
          <w:u w:val="none"/>
        </w:rPr>
        <w:t>north.</w:t>
      </w:r>
      <w:r w:rsidRPr="00976602">
        <w:rPr>
          <w:szCs w:val="24"/>
        </w:rPr>
        <w:t xml:space="preserve"> In this periodic scheme, the Southumbrian sceat has </w:t>
      </w:r>
      <w:r>
        <w:rPr>
          <w:szCs w:val="24"/>
        </w:rPr>
        <w:t xml:space="preserve">better </w:t>
      </w:r>
      <w:r w:rsidRPr="00976602">
        <w:rPr>
          <w:szCs w:val="24"/>
        </w:rPr>
        <w:t>continuity and earlier migration to the broad penny</w:t>
      </w:r>
      <w:r w:rsidRPr="00976602">
        <w:rPr>
          <w:szCs w:val="24"/>
        </w:rPr>
        <w:fldChar w:fldCharType="begin"/>
      </w:r>
      <w:r w:rsidRPr="00976602">
        <w:rPr>
          <w:szCs w:val="24"/>
        </w:rPr>
        <w:instrText xml:space="preserve"> XE "penny" </w:instrText>
      </w:r>
      <w:r w:rsidRPr="00976602">
        <w:rPr>
          <w:szCs w:val="24"/>
        </w:rPr>
        <w:fldChar w:fldCharType="end"/>
      </w:r>
      <w:r w:rsidRPr="00976602">
        <w:rPr>
          <w:szCs w:val="24"/>
        </w:rPr>
        <w:t>, so that in the south Periods 6&amp;7 are not fragmented, and Periods 8&amp;9 cover the broad penny (this is Period 12 in the north).</w:t>
      </w:r>
    </w:p>
    <w:p w14:paraId="26161EDD" w14:textId="07E7CE8C" w:rsidR="009A49E4" w:rsidRPr="00EC0229" w:rsidRDefault="009A49E4" w:rsidP="006C2237">
      <w:pPr>
        <w:spacing w:line="360" w:lineRule="auto"/>
      </w:pPr>
      <w:r w:rsidRPr="00EC0229">
        <w:t xml:space="preserve">Following the Merovingian precedent, the Anglo-Saxon system developed into a hugely varied, single denominational, silver </w:t>
      </w:r>
      <w:r w:rsidRPr="00EC0229">
        <w:rPr>
          <w:i/>
          <w:iCs/>
        </w:rPr>
        <w:t>sceatta</w:t>
      </w:r>
      <w:r w:rsidRPr="00EC0229">
        <w:t xml:space="preserve"> coinage of a value more, but not entirely, aligned to regular economic needs</w:t>
      </w:r>
      <w:r w:rsidR="006C2237" w:rsidRPr="00EC0229">
        <w:t xml:space="preserve"> (</w:t>
      </w:r>
      <w:r w:rsidR="006C2237" w:rsidRPr="00EC0229">
        <w:rPr>
          <w:i/>
        </w:rPr>
        <w:t>Map</w:t>
      </w:r>
      <w:r w:rsidR="006C2237" w:rsidRPr="00EC0229">
        <w:rPr>
          <w:i/>
        </w:rPr>
        <w:fldChar w:fldCharType="begin"/>
      </w:r>
      <w:r w:rsidR="006C2237" w:rsidRPr="00EC0229">
        <w:rPr>
          <w:i/>
        </w:rPr>
        <w:instrText xml:space="preserve"> XE "</w:instrText>
      </w:r>
      <w:r w:rsidR="006C2237" w:rsidRPr="00EC0229">
        <w:rPr>
          <w:i/>
          <w:noProof/>
        </w:rPr>
        <w:instrText>Map</w:instrText>
      </w:r>
      <w:r w:rsidR="006C2237" w:rsidRPr="00EC0229">
        <w:rPr>
          <w:i/>
        </w:rPr>
        <w:instrText xml:space="preserve">" </w:instrText>
      </w:r>
      <w:r w:rsidR="006C2237" w:rsidRPr="00EC0229">
        <w:rPr>
          <w:i/>
        </w:rPr>
        <w:fldChar w:fldCharType="end"/>
      </w:r>
      <w:r w:rsidR="006C2237" w:rsidRPr="00EC0229">
        <w:rPr>
          <w:i/>
        </w:rPr>
        <w:t xml:space="preserve"> 5.02, Plate</w:t>
      </w:r>
      <w:r w:rsidR="006C2237" w:rsidRPr="00EC0229">
        <w:rPr>
          <w:i/>
        </w:rPr>
        <w:fldChar w:fldCharType="begin"/>
      </w:r>
      <w:r w:rsidR="006C2237" w:rsidRPr="00EC0229">
        <w:rPr>
          <w:i/>
        </w:rPr>
        <w:instrText xml:space="preserve"> XE "</w:instrText>
      </w:r>
      <w:r w:rsidR="006C2237" w:rsidRPr="00EC0229">
        <w:rPr>
          <w:i/>
          <w:noProof/>
        </w:rPr>
        <w:instrText>Plate</w:instrText>
      </w:r>
      <w:r w:rsidR="006C2237" w:rsidRPr="00EC0229">
        <w:rPr>
          <w:i/>
        </w:rPr>
        <w:instrText xml:space="preserve">" </w:instrText>
      </w:r>
      <w:r w:rsidR="006C2237" w:rsidRPr="00EC0229">
        <w:rPr>
          <w:i/>
        </w:rPr>
        <w:fldChar w:fldCharType="end"/>
      </w:r>
      <w:r w:rsidR="006C2237" w:rsidRPr="00EC0229">
        <w:rPr>
          <w:i/>
        </w:rPr>
        <w:t xml:space="preserve"> 3i-ii</w:t>
      </w:r>
      <w:r w:rsidR="006C2237" w:rsidRPr="00EC0229">
        <w:t>)</w:t>
      </w:r>
      <w:r w:rsidRPr="00EC0229">
        <w:t>.</w:t>
      </w:r>
      <w:r w:rsidR="00722FB8" w:rsidRPr="00EC0229">
        <w:rPr>
          <w:rStyle w:val="FootnoteReference"/>
        </w:rPr>
        <w:footnoteReference w:id="528"/>
      </w:r>
      <w:r w:rsidRPr="00EC0229">
        <w:t xml:space="preserve"> </w:t>
      </w:r>
      <w:r w:rsidRPr="00EC0229">
        <w:rPr>
          <w:i/>
          <w:iCs/>
        </w:rPr>
        <w:t>Romanitas</w:t>
      </w:r>
      <w:r w:rsidRPr="00EC0229">
        <w:t xml:space="preserve"> remained a strong presence throughout this transition</w:t>
      </w:r>
      <w:r w:rsidR="00754DD2" w:rsidRPr="00EC0229">
        <w:t xml:space="preserve"> </w:t>
      </w:r>
      <w:r w:rsidR="00754DD2" w:rsidRPr="00EC0229">
        <w:rPr>
          <w:szCs w:val="24"/>
        </w:rPr>
        <w:t>(</w:t>
      </w:r>
      <w:r w:rsidR="00754DD2" w:rsidRPr="00EC0229">
        <w:rPr>
          <w:szCs w:val="24"/>
        </w:rPr>
        <w:fldChar w:fldCharType="begin"/>
      </w:r>
      <w:r w:rsidR="00754DD2" w:rsidRPr="00EC0229">
        <w:rPr>
          <w:szCs w:val="24"/>
        </w:rPr>
        <w:instrText xml:space="preserve"> REF _Ref433105927 \h  \* MERGEFORMAT </w:instrText>
      </w:r>
      <w:r w:rsidR="00754DD2" w:rsidRPr="00EC0229">
        <w:rPr>
          <w:szCs w:val="24"/>
        </w:rPr>
      </w:r>
      <w:r w:rsidR="00754DD2"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19</w:t>
      </w:r>
      <w:r w:rsidR="00754DD2" w:rsidRPr="00EC0229">
        <w:rPr>
          <w:szCs w:val="24"/>
        </w:rPr>
        <w:fldChar w:fldCharType="end"/>
      </w:r>
      <w:r w:rsidR="00754DD2" w:rsidRPr="00EC0229">
        <w:rPr>
          <w:szCs w:val="24"/>
        </w:rPr>
        <w:t>).</w:t>
      </w:r>
      <w:r w:rsidR="00722FB8" w:rsidRPr="00EC0229">
        <w:rPr>
          <w:rStyle w:val="FootnoteReference"/>
          <w:szCs w:val="24"/>
        </w:rPr>
        <w:footnoteReference w:id="529"/>
      </w:r>
    </w:p>
    <w:p w14:paraId="1201FE15" w14:textId="4EFD016B" w:rsidR="00754DD2" w:rsidRPr="00EC0229" w:rsidRDefault="00754DD2" w:rsidP="007600EA">
      <w:pPr>
        <w:pStyle w:val="NoSpacing"/>
        <w:spacing w:line="360" w:lineRule="auto"/>
        <w:jc w:val="center"/>
      </w:pPr>
      <w:r w:rsidRPr="00EC0229">
        <w:rPr>
          <w:noProof/>
          <w:lang w:eastAsia="en-GB"/>
        </w:rPr>
        <w:drawing>
          <wp:inline distT="0" distB="0" distL="0" distR="0" wp14:anchorId="73CDDAD7" wp14:editId="6C30342B">
            <wp:extent cx="1043940" cy="1091123"/>
            <wp:effectExtent l="0" t="0" r="3810" b="0"/>
            <wp:docPr id="570" name="Picture 570" descr="http://www.anglo-saxon-coinage.co.uk/resources/_wsb_142x148_40-20+K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www.anglo-saxon-coinage.co.uk/resources/_wsb_142x148_40-20+K52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49249" cy="1096672"/>
                    </a:xfrm>
                    <a:prstGeom prst="rect">
                      <a:avLst/>
                    </a:prstGeom>
                    <a:noFill/>
                    <a:ln>
                      <a:noFill/>
                    </a:ln>
                  </pic:spPr>
                </pic:pic>
              </a:graphicData>
            </a:graphic>
          </wp:inline>
        </w:drawing>
      </w:r>
      <w:r w:rsidRPr="00EC0229">
        <w:rPr>
          <w:noProof/>
          <w:lang w:eastAsia="en-GB"/>
        </w:rPr>
        <w:drawing>
          <wp:inline distT="0" distB="0" distL="0" distR="0" wp14:anchorId="78244C85" wp14:editId="5A8BA2B5">
            <wp:extent cx="1089742" cy="1066800"/>
            <wp:effectExtent l="0" t="0" r="0" b="0"/>
            <wp:docPr id="569" name="Picture 569" descr="http://www.anglo-saxon-coinage.co.uk/resources/_wsb_152x149_41-10+K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anglo-saxon-coinage.co.uk/resources/_wsb_152x149_41-10+K22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96340" cy="1073260"/>
                    </a:xfrm>
                    <a:prstGeom prst="rect">
                      <a:avLst/>
                    </a:prstGeom>
                    <a:noFill/>
                    <a:ln>
                      <a:noFill/>
                    </a:ln>
                  </pic:spPr>
                </pic:pic>
              </a:graphicData>
            </a:graphic>
          </wp:inline>
        </w:drawing>
      </w:r>
      <w:r w:rsidRPr="00EC0229">
        <w:rPr>
          <w:noProof/>
          <w:lang w:eastAsia="en-GB"/>
        </w:rPr>
        <w:drawing>
          <wp:inline distT="0" distB="0" distL="0" distR="0" wp14:anchorId="5B2C51C4" wp14:editId="2AF4A0DD">
            <wp:extent cx="1124465" cy="1066800"/>
            <wp:effectExtent l="0" t="0" r="0" b="0"/>
            <wp:docPr id="568" name="Picture 568" descr="http://www.anglo-saxon-coinage.co.uk/resources/_wsb_156x148_25-40+T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anglo-saxon-coinage.co.uk/resources/_wsb_156x148_25-40+T15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33868" cy="1075721"/>
                    </a:xfrm>
                    <a:prstGeom prst="rect">
                      <a:avLst/>
                    </a:prstGeom>
                    <a:noFill/>
                    <a:ln>
                      <a:noFill/>
                    </a:ln>
                  </pic:spPr>
                </pic:pic>
              </a:graphicData>
            </a:graphic>
          </wp:inline>
        </w:drawing>
      </w:r>
    </w:p>
    <w:p w14:paraId="5C6DA394" w14:textId="59D7CE7C" w:rsidR="00754DD2" w:rsidRPr="00EC0229" w:rsidRDefault="00754DD2" w:rsidP="007600EA">
      <w:pPr>
        <w:pStyle w:val="NoSpacing"/>
        <w:spacing w:line="360" w:lineRule="auto"/>
        <w:jc w:val="center"/>
        <w:rPr>
          <w:sz w:val="20"/>
          <w:szCs w:val="20"/>
        </w:rPr>
      </w:pPr>
      <w:bookmarkStart w:id="265" w:name="_Ref433105927"/>
      <w:bookmarkStart w:id="266" w:name="_Toc46826699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19</w:t>
      </w:r>
      <w:r w:rsidRPr="00EC0229">
        <w:rPr>
          <w:sz w:val="20"/>
          <w:szCs w:val="20"/>
        </w:rPr>
        <w:fldChar w:fldCharType="end"/>
      </w:r>
      <w:bookmarkEnd w:id="265"/>
      <w:r w:rsidRPr="00EC0229">
        <w:rPr>
          <w:sz w:val="20"/>
          <w:szCs w:val="20"/>
        </w:rPr>
        <w:t>: Romanitas in secondary phase sceatta portraiture of Series K and T</w:t>
      </w:r>
      <w:r w:rsidRPr="00EC0229">
        <w:rPr>
          <w:rStyle w:val="FootnoteReference"/>
          <w:i/>
          <w:color w:val="000000" w:themeColor="text1"/>
          <w:sz w:val="20"/>
          <w:szCs w:val="20"/>
        </w:rPr>
        <w:footnoteReference w:id="530"/>
      </w:r>
      <w:bookmarkEnd w:id="266"/>
    </w:p>
    <w:p w14:paraId="75293CBB" w14:textId="77777777" w:rsidR="00754DD2" w:rsidRPr="00EC0229" w:rsidRDefault="00754DD2" w:rsidP="007600EA">
      <w:pPr>
        <w:pStyle w:val="NoSpacing"/>
        <w:spacing w:line="360" w:lineRule="auto"/>
        <w:jc w:val="center"/>
        <w:rPr>
          <w:sz w:val="20"/>
          <w:szCs w:val="20"/>
        </w:rPr>
      </w:pPr>
      <w:r w:rsidRPr="00EC0229">
        <w:rPr>
          <w:sz w:val="20"/>
          <w:szCs w:val="20"/>
        </w:rPr>
        <w:t>(Coin right, found south Humberside).</w:t>
      </w:r>
    </w:p>
    <w:p w14:paraId="685AE2DA" w14:textId="71B23AFC" w:rsidR="009A49E4" w:rsidRPr="00EC0229" w:rsidRDefault="00BB2594" w:rsidP="007600EA">
      <w:pPr>
        <w:pStyle w:val="NoSpacing"/>
        <w:spacing w:line="360" w:lineRule="auto"/>
        <w:rPr>
          <w:color w:val="000000" w:themeColor="text1"/>
        </w:rPr>
      </w:pPr>
      <w:r w:rsidRPr="00EC0229">
        <w:rPr>
          <w:color w:val="000000" w:themeColor="text1"/>
        </w:rPr>
        <w:t xml:space="preserve">Sceats bear witness to a more widespread sophistication than other élite, contemporary artefacts permit. </w:t>
      </w:r>
      <w:r w:rsidR="007675CF" w:rsidRPr="00EC0229">
        <w:rPr>
          <w:color w:val="000000" w:themeColor="text1"/>
        </w:rPr>
        <w:t xml:space="preserve">They give an </w:t>
      </w:r>
      <w:r w:rsidR="007675CF" w:rsidRPr="00EC0229">
        <w:rPr>
          <w:i/>
          <w:color w:val="000000" w:themeColor="text1"/>
        </w:rPr>
        <w:t>introit</w:t>
      </w:r>
      <w:r w:rsidR="007675CF" w:rsidRPr="00EC0229">
        <w:rPr>
          <w:color w:val="000000" w:themeColor="text1"/>
        </w:rPr>
        <w:t xml:space="preserve"> to the social, religious, political and economic </w:t>
      </w:r>
      <w:r w:rsidR="007675CF" w:rsidRPr="00EC0229">
        <w:rPr>
          <w:i/>
          <w:color w:val="000000" w:themeColor="text1"/>
        </w:rPr>
        <w:t>milieu</w:t>
      </w:r>
      <w:r w:rsidR="007675CF" w:rsidRPr="00EC0229">
        <w:rPr>
          <w:color w:val="000000" w:themeColor="text1"/>
        </w:rPr>
        <w:t xml:space="preserve"> they serviced. </w:t>
      </w:r>
      <w:r w:rsidR="009A49E4" w:rsidRPr="00EC0229">
        <w:rPr>
          <w:color w:val="000000" w:themeColor="text1"/>
        </w:rPr>
        <w:t xml:space="preserve">A characteristic of sceatta iconography is the </w:t>
      </w:r>
      <w:r w:rsidR="00BD7B6C" w:rsidRPr="00EC0229">
        <w:rPr>
          <w:color w:val="000000" w:themeColor="text1"/>
        </w:rPr>
        <w:t xml:space="preserve">syncretic </w:t>
      </w:r>
      <w:r w:rsidR="009A49E4" w:rsidRPr="00EC0229">
        <w:rPr>
          <w:color w:val="000000" w:themeColor="text1"/>
        </w:rPr>
        <w:t>conflation of motifs not conventionally combined. It seems that we may be confronted here with intentional ambiguity, possibly to ensure that the Conversion message had the widest possible appeal among coin users of diverse traditions. For instance, serpents are used in a way conventional to the Christian repertoire to represent evil, sometimes counterpoised with a bird representing the ‘holy-spirit’ but are also used as protective</w:t>
      </w:r>
      <w:r w:rsidR="00CF6419" w:rsidRPr="00EC0229">
        <w:rPr>
          <w:color w:val="000000" w:themeColor="text1"/>
        </w:rPr>
        <w:t xml:space="preserve"> (some Series J &amp; Q variants see </w:t>
      </w:r>
      <w:r w:rsidR="00CF6419" w:rsidRPr="00EC0229">
        <w:rPr>
          <w:i/>
          <w:color w:val="000000" w:themeColor="text1"/>
          <w:szCs w:val="24"/>
        </w:rPr>
        <w:fldChar w:fldCharType="begin"/>
      </w:r>
      <w:r w:rsidR="00CF6419" w:rsidRPr="00EC0229">
        <w:rPr>
          <w:i/>
          <w:color w:val="000000" w:themeColor="text1"/>
          <w:szCs w:val="24"/>
        </w:rPr>
        <w:instrText xml:space="preserve"> REF _Ref433101718 \h  \* MERGEFORMAT </w:instrText>
      </w:r>
      <w:r w:rsidR="00CF6419" w:rsidRPr="00EC0229">
        <w:rPr>
          <w:i/>
          <w:color w:val="000000" w:themeColor="text1"/>
          <w:szCs w:val="24"/>
        </w:rPr>
      </w:r>
      <w:r w:rsidR="00CF6419" w:rsidRPr="00EC0229">
        <w:rPr>
          <w:i/>
          <w:color w:val="000000" w:themeColor="text1"/>
          <w:szCs w:val="24"/>
        </w:rPr>
        <w:fldChar w:fldCharType="separate"/>
      </w:r>
      <w:r w:rsidR="0012026B" w:rsidRPr="0012026B">
        <w:rPr>
          <w:i/>
          <w:color w:val="000000" w:themeColor="text1"/>
          <w:szCs w:val="24"/>
        </w:rPr>
        <w:t>Figure</w:t>
      </w:r>
      <w:r w:rsidR="0012026B" w:rsidRPr="0012026B">
        <w:rPr>
          <w:color w:val="000000" w:themeColor="text1"/>
          <w:szCs w:val="24"/>
        </w:rPr>
        <w:t xml:space="preserve"> </w:t>
      </w:r>
      <w:r w:rsidR="0012026B" w:rsidRPr="0012026B">
        <w:rPr>
          <w:i/>
          <w:noProof/>
          <w:color w:val="000000" w:themeColor="text1"/>
          <w:szCs w:val="24"/>
        </w:rPr>
        <w:t>20</w:t>
      </w:r>
      <w:r w:rsidR="00CF6419" w:rsidRPr="00EC0229">
        <w:rPr>
          <w:color w:val="000000" w:themeColor="text1"/>
          <w:szCs w:val="24"/>
        </w:rPr>
        <w:fldChar w:fldCharType="end"/>
      </w:r>
      <w:r w:rsidR="00D224A8" w:rsidRPr="00EC0229">
        <w:rPr>
          <w:color w:val="000000" w:themeColor="text1"/>
          <w:szCs w:val="24"/>
        </w:rPr>
        <w:t>-</w:t>
      </w:r>
      <w:r w:rsidR="00CF6419" w:rsidRPr="00EC0229">
        <w:rPr>
          <w:color w:val="000000" w:themeColor="text1"/>
          <w:szCs w:val="24"/>
        </w:rPr>
        <w:fldChar w:fldCharType="begin"/>
      </w:r>
      <w:r w:rsidR="00CF6419" w:rsidRPr="00EC0229">
        <w:rPr>
          <w:color w:val="000000" w:themeColor="text1"/>
          <w:szCs w:val="24"/>
        </w:rPr>
        <w:instrText xml:space="preserve"> REF _Ref433101751 \h  \* MERGEFORMAT </w:instrText>
      </w:r>
      <w:r w:rsidR="00CF6419" w:rsidRPr="00EC0229">
        <w:rPr>
          <w:color w:val="000000" w:themeColor="text1"/>
          <w:szCs w:val="24"/>
        </w:rPr>
      </w:r>
      <w:r w:rsidR="00CF6419" w:rsidRPr="00EC0229">
        <w:rPr>
          <w:color w:val="000000" w:themeColor="text1"/>
          <w:szCs w:val="24"/>
        </w:rPr>
        <w:fldChar w:fldCharType="separate"/>
      </w:r>
      <w:r w:rsidR="0012026B" w:rsidRPr="0012026B">
        <w:rPr>
          <w:i/>
          <w:noProof/>
          <w:color w:val="000000" w:themeColor="text1"/>
          <w:szCs w:val="24"/>
        </w:rPr>
        <w:t>Figure</w:t>
      </w:r>
      <w:r w:rsidR="0012026B" w:rsidRPr="0012026B">
        <w:rPr>
          <w:i/>
          <w:color w:val="000000" w:themeColor="text1"/>
          <w:sz w:val="20"/>
          <w:szCs w:val="20"/>
        </w:rPr>
        <w:t xml:space="preserve"> </w:t>
      </w:r>
      <w:r w:rsidR="0012026B" w:rsidRPr="0012026B">
        <w:rPr>
          <w:i/>
          <w:noProof/>
          <w:color w:val="000000" w:themeColor="text1"/>
          <w:sz w:val="20"/>
          <w:szCs w:val="20"/>
        </w:rPr>
        <w:t>22</w:t>
      </w:r>
      <w:r w:rsidR="00CF6419" w:rsidRPr="00EC0229">
        <w:rPr>
          <w:color w:val="000000" w:themeColor="text1"/>
          <w:szCs w:val="24"/>
        </w:rPr>
        <w:fldChar w:fldCharType="end"/>
      </w:r>
      <w:r w:rsidR="00CF6419" w:rsidRPr="00EC0229">
        <w:rPr>
          <w:color w:val="000000" w:themeColor="text1"/>
          <w:szCs w:val="24"/>
        </w:rPr>
        <w:t xml:space="preserve">, where </w:t>
      </w:r>
      <w:r w:rsidR="00CF6419" w:rsidRPr="00EC0229">
        <w:rPr>
          <w:color w:val="000000" w:themeColor="text1"/>
        </w:rPr>
        <w:t xml:space="preserve">pairing related sceats occasionally adds dynamism to proverbs) </w:t>
      </w:r>
      <w:r w:rsidR="009A49E4" w:rsidRPr="00EC0229">
        <w:rPr>
          <w:color w:val="000000" w:themeColor="text1"/>
        </w:rPr>
        <w:t xml:space="preserve"> or apotropaic elements (e.g. an Uroboros on either side of primary Series B</w:t>
      </w:r>
      <w:r w:rsidR="00203C92" w:rsidRPr="00EC0229">
        <w:rPr>
          <w:color w:val="000000" w:themeColor="text1"/>
          <w:szCs w:val="24"/>
        </w:rPr>
        <w:t xml:space="preserve">, </w:t>
      </w:r>
      <w:r w:rsidR="00203C92" w:rsidRPr="00EC0229">
        <w:rPr>
          <w:color w:val="000000" w:themeColor="text1"/>
          <w:szCs w:val="24"/>
        </w:rPr>
        <w:fldChar w:fldCharType="begin"/>
      </w:r>
      <w:r w:rsidR="00203C92" w:rsidRPr="00EC0229">
        <w:rPr>
          <w:color w:val="000000" w:themeColor="text1"/>
          <w:szCs w:val="24"/>
        </w:rPr>
        <w:instrText xml:space="preserve"> REF _Ref433101864 \h </w:instrText>
      </w:r>
      <w:r w:rsidR="00754DD2" w:rsidRPr="00EC0229">
        <w:rPr>
          <w:color w:val="000000" w:themeColor="text1"/>
          <w:szCs w:val="24"/>
        </w:rPr>
        <w:instrText xml:space="preserve"> \* MERGEFORMAT </w:instrText>
      </w:r>
      <w:r w:rsidR="00203C92" w:rsidRPr="00EC0229">
        <w:rPr>
          <w:color w:val="000000" w:themeColor="text1"/>
          <w:szCs w:val="24"/>
        </w:rPr>
      </w:r>
      <w:r w:rsidR="00203C92" w:rsidRPr="00EC0229">
        <w:rPr>
          <w:color w:val="000000" w:themeColor="text1"/>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23</w:t>
      </w:r>
      <w:r w:rsidR="00203C92" w:rsidRPr="00EC0229">
        <w:rPr>
          <w:color w:val="000000" w:themeColor="text1"/>
          <w:szCs w:val="24"/>
        </w:rPr>
        <w:fldChar w:fldCharType="end"/>
      </w:r>
      <w:r w:rsidR="009A49E4" w:rsidRPr="00EC0229">
        <w:rPr>
          <w:color w:val="000000" w:themeColor="text1"/>
        </w:rPr>
        <w:t>) surrounding Christian symbols.</w:t>
      </w:r>
    </w:p>
    <w:p w14:paraId="32835FBA" w14:textId="77777777" w:rsidR="00B7034B" w:rsidRPr="00EC0229" w:rsidRDefault="00B7034B" w:rsidP="007600EA">
      <w:pPr>
        <w:pStyle w:val="NoSpacing"/>
        <w:spacing w:line="360" w:lineRule="auto"/>
        <w:rPr>
          <w:color w:val="000000" w:themeColor="text1"/>
        </w:rPr>
      </w:pPr>
    </w:p>
    <w:p w14:paraId="01BDA6AE" w14:textId="77777777" w:rsidR="009A49E4" w:rsidRPr="00EC0229" w:rsidRDefault="009A49E4" w:rsidP="007600EA">
      <w:pPr>
        <w:pStyle w:val="NoSpacing"/>
        <w:spacing w:line="360" w:lineRule="auto"/>
        <w:jc w:val="center"/>
        <w:rPr>
          <w:color w:val="000000" w:themeColor="text1"/>
        </w:rPr>
      </w:pPr>
      <w:r w:rsidRPr="00EC0229">
        <w:rPr>
          <w:color w:val="000000" w:themeColor="text1"/>
        </w:rPr>
        <w:t xml:space="preserve">   </w:t>
      </w:r>
      <w:r w:rsidRPr="00EC0229">
        <w:rPr>
          <w:noProof/>
          <w:color w:val="000000" w:themeColor="text1"/>
          <w:lang w:eastAsia="en-GB"/>
        </w:rPr>
        <w:drawing>
          <wp:inline distT="0" distB="0" distL="0" distR="0" wp14:anchorId="49F706C2" wp14:editId="24CB0F14">
            <wp:extent cx="845820" cy="891540"/>
            <wp:effectExtent l="0" t="0" r="0" b="3810"/>
            <wp:docPr id="567" name="Picture 567" descr="http://www.anglo-saxon-coinage.co.uk/resources/_wsb_89x94_19-10+J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anglo-saxon-coinage.co.uk/resources/_wsb_89x94_19-10+J30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45820" cy="891540"/>
                    </a:xfrm>
                    <a:prstGeom prst="rect">
                      <a:avLst/>
                    </a:prstGeom>
                    <a:noFill/>
                    <a:ln>
                      <a:noFill/>
                    </a:ln>
                  </pic:spPr>
                </pic:pic>
              </a:graphicData>
            </a:graphic>
          </wp:inline>
        </w:drawing>
      </w:r>
      <w:r w:rsidRPr="00EC0229">
        <w:rPr>
          <w:noProof/>
          <w:color w:val="000000" w:themeColor="text1"/>
          <w:lang w:eastAsia="en-GB"/>
        </w:rPr>
        <w:drawing>
          <wp:inline distT="0" distB="0" distL="0" distR="0" wp14:anchorId="1D0E3A80" wp14:editId="45E6F7DF">
            <wp:extent cx="906780" cy="876300"/>
            <wp:effectExtent l="0" t="0" r="7620" b="0"/>
            <wp:docPr id="566" name="Picture 566" descr="http://www.anglo-saxon-coinage.co.uk/resources/_wsb_95x92_19-10+J303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www.anglo-saxon-coinage.co.uk/resources/_wsb_95x92_19-10+J303R.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06780" cy="876300"/>
                    </a:xfrm>
                    <a:prstGeom prst="rect">
                      <a:avLst/>
                    </a:prstGeom>
                    <a:noFill/>
                    <a:ln>
                      <a:noFill/>
                    </a:ln>
                  </pic:spPr>
                </pic:pic>
              </a:graphicData>
            </a:graphic>
          </wp:inline>
        </w:drawing>
      </w:r>
      <w:r w:rsidRPr="00EC0229">
        <w:rPr>
          <w:color w:val="000000" w:themeColor="text1"/>
        </w:rPr>
        <w:t xml:space="preserve">        </w:t>
      </w:r>
      <w:r w:rsidRPr="00EC0229">
        <w:rPr>
          <w:noProof/>
          <w:color w:val="000000" w:themeColor="text1"/>
          <w:lang w:eastAsia="en-GB"/>
        </w:rPr>
        <w:drawing>
          <wp:inline distT="0" distB="0" distL="0" distR="0" wp14:anchorId="48C008C4" wp14:editId="0A1D307B">
            <wp:extent cx="944880" cy="906780"/>
            <wp:effectExtent l="0" t="0" r="7620" b="7620"/>
            <wp:docPr id="565" name="Picture 565" descr="http://www.anglo-saxon-coinage.co.uk/resources/_wsb_99x95_19-20+J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anglo-saxon-coinage.co.uk/resources/_wsb_99x95_19-20+J35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4880" cy="906780"/>
                    </a:xfrm>
                    <a:prstGeom prst="rect">
                      <a:avLst/>
                    </a:prstGeom>
                    <a:noFill/>
                    <a:ln>
                      <a:noFill/>
                    </a:ln>
                  </pic:spPr>
                </pic:pic>
              </a:graphicData>
            </a:graphic>
          </wp:inline>
        </w:drawing>
      </w:r>
      <w:r w:rsidRPr="00EC0229">
        <w:rPr>
          <w:noProof/>
          <w:color w:val="000000" w:themeColor="text1"/>
          <w:lang w:eastAsia="en-GB"/>
        </w:rPr>
        <w:drawing>
          <wp:inline distT="0" distB="0" distL="0" distR="0" wp14:anchorId="1CD99A07" wp14:editId="62F6D2FC">
            <wp:extent cx="845820" cy="861060"/>
            <wp:effectExtent l="0" t="0" r="0" b="0"/>
            <wp:docPr id="564" name="Picture 564" descr="http://www.anglo-saxon-coinage.co.uk/resources/_wsb_89x90_19-20+J35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anglo-saxon-coinage.co.uk/resources/_wsb_89x90_19-20+J350R.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45820" cy="861060"/>
                    </a:xfrm>
                    <a:prstGeom prst="rect">
                      <a:avLst/>
                    </a:prstGeom>
                    <a:noFill/>
                    <a:ln>
                      <a:noFill/>
                    </a:ln>
                  </pic:spPr>
                </pic:pic>
              </a:graphicData>
            </a:graphic>
          </wp:inline>
        </w:drawing>
      </w:r>
    </w:p>
    <w:p w14:paraId="63B020C0" w14:textId="6CB24156" w:rsidR="009A49E4" w:rsidRPr="00EC0229" w:rsidRDefault="0080290B" w:rsidP="007600EA">
      <w:pPr>
        <w:spacing w:line="360" w:lineRule="auto"/>
        <w:jc w:val="center"/>
        <w:rPr>
          <w:i/>
          <w:sz w:val="20"/>
          <w:szCs w:val="20"/>
        </w:rPr>
      </w:pPr>
      <w:bookmarkStart w:id="267" w:name="_Ref433101718"/>
      <w:bookmarkStart w:id="268" w:name="_Toc468266992"/>
      <w:r w:rsidRPr="00EC0229">
        <w:rPr>
          <w:i/>
          <w:sz w:val="20"/>
          <w:szCs w:val="20"/>
        </w:rPr>
        <w:lastRenderedPageBreak/>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20</w:t>
      </w:r>
      <w:r w:rsidRPr="00EC0229">
        <w:rPr>
          <w:i/>
          <w:sz w:val="20"/>
          <w:szCs w:val="20"/>
        </w:rPr>
        <w:fldChar w:fldCharType="end"/>
      </w:r>
      <w:bookmarkEnd w:id="267"/>
      <w:r w:rsidRPr="00EC0229">
        <w:rPr>
          <w:sz w:val="20"/>
          <w:szCs w:val="20"/>
        </w:rPr>
        <w:t xml:space="preserve">: </w:t>
      </w:r>
      <w:r w:rsidR="009A49E4" w:rsidRPr="00EC0229">
        <w:rPr>
          <w:sz w:val="20"/>
          <w:szCs w:val="20"/>
        </w:rPr>
        <w:t>Rare Series J variant: the defeat of evil in two acts.</w:t>
      </w:r>
      <w:r w:rsidR="009A49E4" w:rsidRPr="00EC0229">
        <w:rPr>
          <w:rStyle w:val="FootnoteReference"/>
          <w:color w:val="000000" w:themeColor="text1"/>
          <w:sz w:val="20"/>
          <w:szCs w:val="20"/>
        </w:rPr>
        <w:footnoteReference w:id="531"/>
      </w:r>
      <w:bookmarkEnd w:id="268"/>
    </w:p>
    <w:p w14:paraId="53F36A76" w14:textId="00433117" w:rsidR="009A49E4" w:rsidRPr="00EC0229" w:rsidRDefault="009A49E4" w:rsidP="007600EA">
      <w:pPr>
        <w:pStyle w:val="NoSpacing"/>
        <w:spacing w:line="360" w:lineRule="auto"/>
        <w:jc w:val="center"/>
        <w:rPr>
          <w:color w:val="000000" w:themeColor="text1"/>
        </w:rPr>
      </w:pPr>
      <w:r w:rsidRPr="00EC0229">
        <w:rPr>
          <w:color w:val="000000" w:themeColor="text1"/>
          <w:sz w:val="20"/>
          <w:szCs w:val="20"/>
        </w:rPr>
        <w:t> </w:t>
      </w:r>
      <w:r w:rsidRPr="00EC0229">
        <w:rPr>
          <w:color w:val="000000" w:themeColor="text1"/>
        </w:rPr>
        <w:t>        </w:t>
      </w:r>
      <w:r w:rsidRPr="00EC0229">
        <w:rPr>
          <w:noProof/>
          <w:color w:val="000000" w:themeColor="text1"/>
          <w:lang w:eastAsia="en-GB"/>
        </w:rPr>
        <w:drawing>
          <wp:inline distT="0" distB="0" distL="0" distR="0" wp14:anchorId="32090296" wp14:editId="6AC8B133">
            <wp:extent cx="708660" cy="685800"/>
            <wp:effectExtent l="0" t="0" r="0" b="0"/>
            <wp:docPr id="563" name="Picture 563" descr="http://www.anglo-saxon-coinage.co.uk/resources/_wsb_74x72_20-30+J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www.anglo-saxon-coinage.co.uk/resources/_wsb_74x72_20-30+J22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8660" cy="685800"/>
                    </a:xfrm>
                    <a:prstGeom prst="rect">
                      <a:avLst/>
                    </a:prstGeom>
                    <a:noFill/>
                    <a:ln>
                      <a:noFill/>
                    </a:ln>
                  </pic:spPr>
                </pic:pic>
              </a:graphicData>
            </a:graphic>
          </wp:inline>
        </w:drawing>
      </w:r>
      <w:r w:rsidRPr="00EC0229">
        <w:rPr>
          <w:noProof/>
          <w:color w:val="000000" w:themeColor="text1"/>
          <w:lang w:eastAsia="en-GB"/>
        </w:rPr>
        <w:drawing>
          <wp:inline distT="0" distB="0" distL="0" distR="0" wp14:anchorId="215B76EB" wp14:editId="43B9D73E">
            <wp:extent cx="693420" cy="693420"/>
            <wp:effectExtent l="0" t="0" r="0" b="0"/>
            <wp:docPr id="562" name="Picture 562" descr="http://www.anglo-saxon-coinage.co.uk/resources/_wsb_73x73_20-30+J22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www.anglo-saxon-coinage.co.uk/resources/_wsb_73x73_20-30+J220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r w:rsidRPr="00EC0229">
        <w:rPr>
          <w:color w:val="000000" w:themeColor="text1"/>
        </w:rPr>
        <w:t> </w:t>
      </w:r>
      <w:r w:rsidR="00203C92" w:rsidRPr="00EC0229">
        <w:rPr>
          <w:color w:val="000000" w:themeColor="text1"/>
        </w:rPr>
        <w:tab/>
      </w:r>
      <w:r w:rsidRPr="00EC0229">
        <w:rPr>
          <w:color w:val="000000" w:themeColor="text1"/>
        </w:rPr>
        <w:t xml:space="preserve"> </w:t>
      </w:r>
      <w:r w:rsidRPr="00EC0229">
        <w:rPr>
          <w:noProof/>
          <w:color w:val="000000" w:themeColor="text1"/>
          <w:lang w:eastAsia="en-GB"/>
        </w:rPr>
        <w:drawing>
          <wp:inline distT="0" distB="0" distL="0" distR="0" wp14:anchorId="5AA36E77" wp14:editId="036BCE75">
            <wp:extent cx="731520" cy="655320"/>
            <wp:effectExtent l="0" t="0" r="0" b="0"/>
            <wp:docPr id="561" name="Picture 561" descr="http://www.anglo-saxon-coinage.co.uk/resources/_wsb_77x69_20-40+J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anglo-saxon-coinage.co.uk/resources/_wsb_77x69_20-40+J23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31520" cy="655320"/>
                    </a:xfrm>
                    <a:prstGeom prst="rect">
                      <a:avLst/>
                    </a:prstGeom>
                    <a:noFill/>
                    <a:ln>
                      <a:noFill/>
                    </a:ln>
                  </pic:spPr>
                </pic:pic>
              </a:graphicData>
            </a:graphic>
          </wp:inline>
        </w:drawing>
      </w:r>
      <w:r w:rsidRPr="00EC0229">
        <w:rPr>
          <w:noProof/>
          <w:color w:val="000000" w:themeColor="text1"/>
          <w:lang w:eastAsia="en-GB"/>
        </w:rPr>
        <w:drawing>
          <wp:inline distT="0" distB="0" distL="0" distR="0" wp14:anchorId="6B8D88FB" wp14:editId="79437499">
            <wp:extent cx="723900" cy="640080"/>
            <wp:effectExtent l="0" t="0" r="0" b="7620"/>
            <wp:docPr id="560" name="Picture 560" descr="http://www.anglo-saxon-coinage.co.uk/resources/_wsb_76x67_20-40+J2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www.anglo-saxon-coinage.co.uk/resources/_wsb_76x67_20-40+J230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23900" cy="640080"/>
                    </a:xfrm>
                    <a:prstGeom prst="rect">
                      <a:avLst/>
                    </a:prstGeom>
                    <a:noFill/>
                    <a:ln>
                      <a:noFill/>
                    </a:ln>
                  </pic:spPr>
                </pic:pic>
              </a:graphicData>
            </a:graphic>
          </wp:inline>
        </w:drawing>
      </w:r>
      <w:r w:rsidRPr="00EC0229">
        <w:rPr>
          <w:color w:val="000000" w:themeColor="text1"/>
        </w:rPr>
        <w:t>   </w:t>
      </w:r>
      <w:r w:rsidR="00203C92" w:rsidRPr="00EC0229">
        <w:rPr>
          <w:color w:val="000000" w:themeColor="text1"/>
        </w:rPr>
        <w:tab/>
      </w:r>
      <w:r w:rsidRPr="00EC0229">
        <w:rPr>
          <w:color w:val="000000" w:themeColor="text1"/>
        </w:rPr>
        <w:t xml:space="preserve"> </w:t>
      </w:r>
      <w:r w:rsidRPr="00EC0229">
        <w:rPr>
          <w:noProof/>
          <w:color w:val="000000" w:themeColor="text1"/>
          <w:lang w:eastAsia="en-GB"/>
        </w:rPr>
        <w:drawing>
          <wp:inline distT="0" distB="0" distL="0" distR="0" wp14:anchorId="6304AA5F" wp14:editId="796F78F7">
            <wp:extent cx="678180" cy="746760"/>
            <wp:effectExtent l="0" t="0" r="7620" b="0"/>
            <wp:docPr id="559" name="Picture 559" descr="http://www.anglo-saxon-coinage.co.uk/resources/_wsb_71x78_20-10+J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www.anglo-saxon-coinage.co.uk/resources/_wsb_71x78_20-10+J21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78180" cy="746760"/>
                    </a:xfrm>
                    <a:prstGeom prst="rect">
                      <a:avLst/>
                    </a:prstGeom>
                    <a:noFill/>
                    <a:ln>
                      <a:noFill/>
                    </a:ln>
                  </pic:spPr>
                </pic:pic>
              </a:graphicData>
            </a:graphic>
          </wp:inline>
        </w:drawing>
      </w:r>
      <w:r w:rsidRPr="00EC0229">
        <w:rPr>
          <w:noProof/>
          <w:color w:val="000000" w:themeColor="text1"/>
          <w:lang w:eastAsia="en-GB"/>
        </w:rPr>
        <w:drawing>
          <wp:inline distT="0" distB="0" distL="0" distR="0" wp14:anchorId="01CACA91" wp14:editId="740E0717">
            <wp:extent cx="655320" cy="655320"/>
            <wp:effectExtent l="0" t="0" r="0" b="0"/>
            <wp:docPr id="558" name="Picture 558" descr="http://www.anglo-saxon-coinage.co.uk/resources/_wsb_69x69_20-10+J21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anglo-saxon-coinage.co.uk/resources/_wsb_69x69_20-10+J210R.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p>
    <w:p w14:paraId="3C480C0E" w14:textId="4E940613" w:rsidR="009A49E4" w:rsidRPr="00EC0229" w:rsidRDefault="0080290B" w:rsidP="007600EA">
      <w:pPr>
        <w:spacing w:line="360" w:lineRule="auto"/>
        <w:jc w:val="center"/>
        <w:rPr>
          <w:sz w:val="20"/>
          <w:szCs w:val="20"/>
        </w:rPr>
      </w:pPr>
      <w:bookmarkStart w:id="269" w:name="_Ref433101773"/>
      <w:bookmarkStart w:id="270" w:name="_Toc468266993"/>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21</w:t>
      </w:r>
      <w:r w:rsidRPr="00EC0229">
        <w:rPr>
          <w:i/>
          <w:sz w:val="20"/>
          <w:szCs w:val="20"/>
        </w:rPr>
        <w:fldChar w:fldCharType="end"/>
      </w:r>
      <w:bookmarkEnd w:id="269"/>
      <w:r w:rsidRPr="00EC0229">
        <w:rPr>
          <w:sz w:val="20"/>
          <w:szCs w:val="20"/>
        </w:rPr>
        <w:t xml:space="preserve">: </w:t>
      </w:r>
      <w:bookmarkStart w:id="271" w:name="_Ref433101731"/>
      <w:r w:rsidR="009A49E4" w:rsidRPr="00EC0229">
        <w:rPr>
          <w:sz w:val="20"/>
          <w:szCs w:val="20"/>
        </w:rPr>
        <w:t>Rare Series J variant: the defeat of evil in three acts.</w:t>
      </w:r>
      <w:r w:rsidR="009A49E4" w:rsidRPr="00EC0229">
        <w:rPr>
          <w:rStyle w:val="FootnoteReference"/>
          <w:color w:val="000000" w:themeColor="text1"/>
          <w:sz w:val="20"/>
          <w:szCs w:val="20"/>
        </w:rPr>
        <w:footnoteReference w:id="532"/>
      </w:r>
      <w:bookmarkEnd w:id="270"/>
      <w:bookmarkEnd w:id="271"/>
    </w:p>
    <w:p w14:paraId="33035119" w14:textId="77777777" w:rsidR="009A49E4" w:rsidRPr="00EC0229" w:rsidRDefault="009A49E4" w:rsidP="007600EA">
      <w:pPr>
        <w:pStyle w:val="NoSpacing"/>
        <w:spacing w:line="360" w:lineRule="auto"/>
        <w:jc w:val="center"/>
        <w:rPr>
          <w:color w:val="000000" w:themeColor="text1"/>
        </w:rPr>
      </w:pPr>
      <w:r w:rsidRPr="00EC0229">
        <w:rPr>
          <w:color w:val="000000" w:themeColor="text1"/>
          <w:sz w:val="20"/>
          <w:szCs w:val="20"/>
        </w:rPr>
        <w:t> </w:t>
      </w:r>
      <w:r w:rsidRPr="00EC0229">
        <w:rPr>
          <w:noProof/>
          <w:color w:val="000000" w:themeColor="text1"/>
          <w:sz w:val="20"/>
          <w:szCs w:val="20"/>
          <w:lang w:eastAsia="en-GB"/>
        </w:rPr>
        <w:drawing>
          <wp:inline distT="0" distB="0" distL="0" distR="0" wp14:anchorId="67A520F4" wp14:editId="3E340885">
            <wp:extent cx="950278" cy="937260"/>
            <wp:effectExtent l="0" t="0" r="2540" b="0"/>
            <wp:docPr id="557" name="Picture 557" descr="http://www.anglo-saxon-coinage.co.uk/resources/_wsb_117x115_64-70+Q3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www.anglo-saxon-coinage.co.uk/resources/_wsb_117x115_64-70+Q330r.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54480" cy="941405"/>
                    </a:xfrm>
                    <a:prstGeom prst="rect">
                      <a:avLst/>
                    </a:prstGeom>
                    <a:noFill/>
                    <a:ln>
                      <a:noFill/>
                    </a:ln>
                  </pic:spPr>
                </pic:pic>
              </a:graphicData>
            </a:graphic>
          </wp:inline>
        </w:drawing>
      </w:r>
      <w:r w:rsidRPr="00EC0229">
        <w:rPr>
          <w:noProof/>
          <w:color w:val="000000" w:themeColor="text1"/>
          <w:sz w:val="20"/>
          <w:szCs w:val="20"/>
          <w:lang w:eastAsia="en-GB"/>
        </w:rPr>
        <w:drawing>
          <wp:inline distT="0" distB="0" distL="0" distR="0" wp14:anchorId="7DEF0181" wp14:editId="7E12C300">
            <wp:extent cx="960120" cy="941294"/>
            <wp:effectExtent l="0" t="0" r="0" b="0"/>
            <wp:docPr id="556" name="Picture 556" descr="http://www.anglo-saxon-coinage.co.uk/resources/_wsb_122x120_64-110+Q345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www.anglo-saxon-coinage.co.uk/resources/_wsb_122x120_64-110+Q345R.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69085" cy="950083"/>
                    </a:xfrm>
                    <a:prstGeom prst="rect">
                      <a:avLst/>
                    </a:prstGeom>
                    <a:noFill/>
                    <a:ln>
                      <a:noFill/>
                    </a:ln>
                  </pic:spPr>
                </pic:pic>
              </a:graphicData>
            </a:graphic>
          </wp:inline>
        </w:drawing>
      </w:r>
    </w:p>
    <w:p w14:paraId="214B0805" w14:textId="51D36682" w:rsidR="009A49E4" w:rsidRPr="00EC0229" w:rsidRDefault="0080290B" w:rsidP="007600EA">
      <w:pPr>
        <w:spacing w:line="360" w:lineRule="auto"/>
        <w:jc w:val="center"/>
        <w:rPr>
          <w:i/>
          <w:sz w:val="20"/>
          <w:szCs w:val="20"/>
        </w:rPr>
      </w:pPr>
      <w:bookmarkStart w:id="272" w:name="_Ref433101751"/>
      <w:bookmarkStart w:id="273" w:name="_Toc468266994"/>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22</w:t>
      </w:r>
      <w:r w:rsidRPr="00EC0229">
        <w:rPr>
          <w:i/>
          <w:sz w:val="20"/>
          <w:szCs w:val="20"/>
        </w:rPr>
        <w:fldChar w:fldCharType="end"/>
      </w:r>
      <w:bookmarkEnd w:id="272"/>
      <w:r w:rsidRPr="00EC0229">
        <w:rPr>
          <w:sz w:val="20"/>
          <w:szCs w:val="20"/>
        </w:rPr>
        <w:t xml:space="preserve">: </w:t>
      </w:r>
      <w:r w:rsidR="009A49E4" w:rsidRPr="00EC0229">
        <w:rPr>
          <w:sz w:val="20"/>
          <w:szCs w:val="20"/>
        </w:rPr>
        <w:t>Series QII: the defeat of evil in two acts (</w:t>
      </w:r>
      <w:r w:rsidR="009A49E4" w:rsidRPr="00EC0229">
        <w:rPr>
          <w:iCs/>
          <w:sz w:val="20"/>
          <w:szCs w:val="20"/>
        </w:rPr>
        <w:t>SL</w:t>
      </w:r>
      <w:r w:rsidR="009A49E4" w:rsidRPr="00EC0229">
        <w:rPr>
          <w:sz w:val="20"/>
          <w:szCs w:val="20"/>
        </w:rPr>
        <w:t xml:space="preserve"> group 64)</w:t>
      </w:r>
      <w:bookmarkEnd w:id="273"/>
    </w:p>
    <w:p w14:paraId="567F7CC9" w14:textId="571B41ED" w:rsidR="009A49E4" w:rsidRPr="00EC0229" w:rsidRDefault="009A49E4" w:rsidP="007600EA">
      <w:pPr>
        <w:spacing w:before="100" w:beforeAutospacing="1" w:after="100" w:afterAutospacing="1" w:line="360" w:lineRule="auto"/>
        <w:rPr>
          <w:color w:val="000000" w:themeColor="text1"/>
        </w:rPr>
      </w:pPr>
      <w:r w:rsidRPr="00EC0229">
        <w:rPr>
          <w:color w:val="000000" w:themeColor="text1"/>
        </w:rPr>
        <w:t>Perhaps the Anglo-Saxon penchant for riddles and magic, with the added lure of runes, influenced coin design. Dolley commented on: ‘a number of designs harking back to pagan motifs with all the confidence of a neophyte Christianity as convinced of its own acceptance as eclectic in its art.’</w:t>
      </w:r>
      <w:r w:rsidR="00AC49FA" w:rsidRPr="00EC0229">
        <w:rPr>
          <w:rStyle w:val="FootnoteReference"/>
          <w:color w:val="000000" w:themeColor="text1"/>
        </w:rPr>
        <w:footnoteReference w:id="533"/>
      </w:r>
      <w:r w:rsidRPr="00EC0229">
        <w:rPr>
          <w:color w:val="000000" w:themeColor="text1"/>
        </w:rPr>
        <w:t xml:space="preserve"> In contrast, the anonymous and crude rendering of </w:t>
      </w:r>
      <w:r w:rsidR="004E086C" w:rsidRPr="00EC0229">
        <w:rPr>
          <w:color w:val="000000" w:themeColor="text1"/>
        </w:rPr>
        <w:t>the volu</w:t>
      </w:r>
      <w:r w:rsidR="00BD7B6C" w:rsidRPr="00EC0229">
        <w:rPr>
          <w:color w:val="000000" w:themeColor="text1"/>
        </w:rPr>
        <w:t>minous Rhine-mouths issues of</w:t>
      </w:r>
      <w:r w:rsidR="004E086C" w:rsidRPr="00EC0229">
        <w:rPr>
          <w:color w:val="000000" w:themeColor="text1"/>
        </w:rPr>
        <w:t xml:space="preserve"> </w:t>
      </w:r>
      <w:r w:rsidRPr="00EC0229">
        <w:rPr>
          <w:color w:val="000000" w:themeColor="text1"/>
        </w:rPr>
        <w:t xml:space="preserve">Series </w:t>
      </w:r>
      <w:r w:rsidR="004E086C" w:rsidRPr="00EC0229">
        <w:rPr>
          <w:color w:val="000000" w:themeColor="text1"/>
        </w:rPr>
        <w:t xml:space="preserve">D and </w:t>
      </w:r>
      <w:r w:rsidRPr="00EC0229">
        <w:rPr>
          <w:color w:val="000000" w:themeColor="text1"/>
        </w:rPr>
        <w:t>E</w:t>
      </w:r>
      <w:r w:rsidR="00203C92" w:rsidRPr="00EC0229">
        <w:rPr>
          <w:color w:val="000000" w:themeColor="text1"/>
        </w:rPr>
        <w:t xml:space="preserve"> </w:t>
      </w:r>
      <w:r w:rsidR="00203C92" w:rsidRPr="00EC0229">
        <w:rPr>
          <w:color w:val="000000" w:themeColor="text1"/>
          <w:szCs w:val="24"/>
        </w:rPr>
        <w:t>(</w:t>
      </w:r>
      <w:r w:rsidR="00203C92" w:rsidRPr="00EC0229">
        <w:rPr>
          <w:color w:val="000000" w:themeColor="text1"/>
          <w:szCs w:val="24"/>
        </w:rPr>
        <w:fldChar w:fldCharType="begin"/>
      </w:r>
      <w:r w:rsidR="00203C92" w:rsidRPr="00EC0229">
        <w:rPr>
          <w:color w:val="000000" w:themeColor="text1"/>
          <w:szCs w:val="24"/>
        </w:rPr>
        <w:instrText xml:space="preserve"> REF _Ref433101962 \h  \* MERGEFORMAT </w:instrText>
      </w:r>
      <w:r w:rsidR="00203C92" w:rsidRPr="00EC0229">
        <w:rPr>
          <w:color w:val="000000" w:themeColor="text1"/>
          <w:szCs w:val="24"/>
        </w:rPr>
      </w:r>
      <w:r w:rsidR="00203C92" w:rsidRPr="00EC0229">
        <w:rPr>
          <w:color w:val="000000" w:themeColor="text1"/>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24</w:t>
      </w:r>
      <w:r w:rsidR="00203C92" w:rsidRPr="00EC0229">
        <w:rPr>
          <w:color w:val="000000" w:themeColor="text1"/>
          <w:szCs w:val="24"/>
        </w:rPr>
        <w:fldChar w:fldCharType="end"/>
      </w:r>
      <w:r w:rsidR="00203C92" w:rsidRPr="00EC0229">
        <w:rPr>
          <w:color w:val="000000" w:themeColor="text1"/>
          <w:szCs w:val="24"/>
        </w:rPr>
        <w:t>)</w:t>
      </w:r>
      <w:r w:rsidRPr="00EC0229">
        <w:rPr>
          <w:color w:val="000000" w:themeColor="text1"/>
          <w:szCs w:val="24"/>
        </w:rPr>
        <w:t>,</w:t>
      </w:r>
      <w:r w:rsidRPr="00EC0229">
        <w:rPr>
          <w:color w:val="000000" w:themeColor="text1"/>
        </w:rPr>
        <w:t xml:space="preserve"> may be an attempt by pagan traders to gain currency by deliberately avoiding identity and message. </w:t>
      </w:r>
    </w:p>
    <w:p w14:paraId="73E3041B" w14:textId="11324C25" w:rsidR="009A49E4" w:rsidRPr="00EC0229" w:rsidRDefault="009A49E4" w:rsidP="007600EA">
      <w:pPr>
        <w:spacing w:line="360" w:lineRule="auto"/>
        <w:jc w:val="center"/>
        <w:rPr>
          <w:color w:val="000000" w:themeColor="text1"/>
        </w:rPr>
      </w:pPr>
      <w:r w:rsidRPr="00EC0229">
        <w:rPr>
          <w:noProof/>
          <w:color w:val="000000" w:themeColor="text1"/>
          <w:sz w:val="20"/>
          <w:szCs w:val="20"/>
          <w:lang w:eastAsia="en-GB"/>
        </w:rPr>
        <w:drawing>
          <wp:inline distT="0" distB="0" distL="0" distR="0" wp14:anchorId="541C1B94" wp14:editId="555AE9B6">
            <wp:extent cx="906780" cy="982980"/>
            <wp:effectExtent l="0" t="0" r="7620" b="7620"/>
            <wp:docPr id="555" name="Picture 555" descr="http://www.anglo-saxon-coinage.co.uk/resources/_wsb_95x103_16-20+B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anglo-saxon-coinage.co.uk/resources/_wsb_95x103_16-20+B22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06780" cy="982980"/>
                    </a:xfrm>
                    <a:prstGeom prst="rect">
                      <a:avLst/>
                    </a:prstGeom>
                    <a:noFill/>
                    <a:ln>
                      <a:noFill/>
                    </a:ln>
                  </pic:spPr>
                </pic:pic>
              </a:graphicData>
            </a:graphic>
          </wp:inline>
        </w:drawing>
      </w:r>
      <w:r w:rsidRPr="00EC0229">
        <w:rPr>
          <w:noProof/>
          <w:color w:val="000000" w:themeColor="text1"/>
          <w:sz w:val="20"/>
          <w:szCs w:val="20"/>
          <w:lang w:eastAsia="en-GB"/>
        </w:rPr>
        <w:drawing>
          <wp:inline distT="0" distB="0" distL="0" distR="0" wp14:anchorId="1BC4C901" wp14:editId="675FF5B1">
            <wp:extent cx="998220" cy="1005840"/>
            <wp:effectExtent l="0" t="0" r="0" b="3810"/>
            <wp:docPr id="554" name="Picture 554" descr="http://www.anglo-saxon-coinage.co.uk/resources/_wsb_105x106_16-20+B22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www.anglo-saxon-coinage.co.uk/resources/_wsb_105x106_16-20+B220R.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98220" cy="1005840"/>
                    </a:xfrm>
                    <a:prstGeom prst="rect">
                      <a:avLst/>
                    </a:prstGeom>
                    <a:noFill/>
                    <a:ln>
                      <a:noFill/>
                    </a:ln>
                  </pic:spPr>
                </pic:pic>
              </a:graphicData>
            </a:graphic>
          </wp:inline>
        </w:drawing>
      </w:r>
    </w:p>
    <w:p w14:paraId="0D6E4D4A" w14:textId="4813FF2B" w:rsidR="0080290B" w:rsidRPr="00EC0229" w:rsidRDefault="0080290B" w:rsidP="007600EA">
      <w:pPr>
        <w:pStyle w:val="NoSpacing"/>
        <w:spacing w:line="360" w:lineRule="auto"/>
        <w:jc w:val="center"/>
        <w:rPr>
          <w:sz w:val="20"/>
          <w:szCs w:val="20"/>
        </w:rPr>
      </w:pPr>
      <w:bookmarkStart w:id="274" w:name="_Ref433101864"/>
      <w:bookmarkStart w:id="275" w:name="_Toc46826699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23</w:t>
      </w:r>
      <w:r w:rsidRPr="00EC0229">
        <w:rPr>
          <w:sz w:val="20"/>
          <w:szCs w:val="20"/>
        </w:rPr>
        <w:fldChar w:fldCharType="end"/>
      </w:r>
      <w:bookmarkEnd w:id="274"/>
      <w:r w:rsidRPr="00EC0229">
        <w:rPr>
          <w:sz w:val="20"/>
          <w:szCs w:val="20"/>
        </w:rPr>
        <w:t xml:space="preserve">: </w:t>
      </w:r>
      <w:r w:rsidR="009A49E4" w:rsidRPr="00EC0229">
        <w:rPr>
          <w:sz w:val="20"/>
          <w:szCs w:val="20"/>
        </w:rPr>
        <w:t>Series B: syncretic imagery - apo</w:t>
      </w:r>
      <w:r w:rsidRPr="00EC0229">
        <w:rPr>
          <w:sz w:val="20"/>
          <w:szCs w:val="20"/>
        </w:rPr>
        <w:t>tropaic Uroboros.</w:t>
      </w:r>
      <w:bookmarkEnd w:id="275"/>
    </w:p>
    <w:p w14:paraId="67217EE3" w14:textId="35EBDCEF" w:rsidR="009A49E4" w:rsidRPr="00EC0229" w:rsidRDefault="0080290B" w:rsidP="007600EA">
      <w:pPr>
        <w:pStyle w:val="NoSpacing"/>
        <w:spacing w:line="360" w:lineRule="auto"/>
        <w:jc w:val="center"/>
        <w:rPr>
          <w:sz w:val="20"/>
          <w:szCs w:val="20"/>
        </w:rPr>
      </w:pPr>
      <w:r w:rsidRPr="00EC0229">
        <w:rPr>
          <w:sz w:val="20"/>
          <w:szCs w:val="20"/>
        </w:rPr>
        <w:t>Found Castle Acre, Norfolk (</w:t>
      </w:r>
      <w:r w:rsidRPr="00EC0229">
        <w:rPr>
          <w:i/>
          <w:iCs/>
          <w:sz w:val="20"/>
          <w:szCs w:val="20"/>
        </w:rPr>
        <w:t>SL</w:t>
      </w:r>
      <w:r w:rsidRPr="00EC0229">
        <w:rPr>
          <w:sz w:val="20"/>
          <w:szCs w:val="20"/>
        </w:rPr>
        <w:t xml:space="preserve"> group 16)</w:t>
      </w:r>
    </w:p>
    <w:p w14:paraId="1EFD986D" w14:textId="26374D73" w:rsidR="0080290B" w:rsidRPr="00EC0229" w:rsidRDefault="0080290B" w:rsidP="007600EA">
      <w:pPr>
        <w:pStyle w:val="NoSpacing"/>
        <w:spacing w:line="360" w:lineRule="auto"/>
        <w:jc w:val="center"/>
        <w:rPr>
          <w:color w:val="000000" w:themeColor="text1"/>
          <w:sz w:val="20"/>
          <w:szCs w:val="20"/>
        </w:rPr>
      </w:pPr>
      <w:r w:rsidRPr="00EC0229">
        <w:rPr>
          <w:noProof/>
          <w:color w:val="000000" w:themeColor="text1"/>
          <w:sz w:val="20"/>
          <w:szCs w:val="20"/>
          <w:lang w:eastAsia="en-GB"/>
        </w:rPr>
        <w:drawing>
          <wp:inline distT="0" distB="0" distL="0" distR="0" wp14:anchorId="25942775" wp14:editId="3FBA7D4F">
            <wp:extent cx="1005840" cy="982980"/>
            <wp:effectExtent l="0" t="0" r="3810" b="7620"/>
            <wp:docPr id="553" name="Picture 553" descr="http://www.anglo-saxon-coinage.co.uk/resources/_wsb_106x103_10+E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www.anglo-saxon-coinage.co.uk/resources/_wsb_106x103_10+E17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05840" cy="982980"/>
                    </a:xfrm>
                    <a:prstGeom prst="rect">
                      <a:avLst/>
                    </a:prstGeom>
                    <a:noFill/>
                    <a:ln>
                      <a:noFill/>
                    </a:ln>
                  </pic:spPr>
                </pic:pic>
              </a:graphicData>
            </a:graphic>
          </wp:inline>
        </w:drawing>
      </w:r>
      <w:r w:rsidRPr="00EC0229">
        <w:rPr>
          <w:noProof/>
          <w:color w:val="000000" w:themeColor="text1"/>
          <w:sz w:val="20"/>
          <w:szCs w:val="20"/>
          <w:lang w:eastAsia="en-GB"/>
        </w:rPr>
        <w:drawing>
          <wp:inline distT="0" distB="0" distL="0" distR="0" wp14:anchorId="1170700F" wp14:editId="2187AC71">
            <wp:extent cx="929640" cy="922020"/>
            <wp:effectExtent l="0" t="0" r="3810" b="0"/>
            <wp:docPr id="552" name="Picture 552" descr="http://www.anglo-saxon-coinage.co.uk/resources/_wsb_98x97_10+E17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anglo-saxon-coinage.co.uk/resources/_wsb_98x97_10+E170R.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29640" cy="922020"/>
                    </a:xfrm>
                    <a:prstGeom prst="rect">
                      <a:avLst/>
                    </a:prstGeom>
                    <a:noFill/>
                    <a:ln>
                      <a:noFill/>
                    </a:ln>
                  </pic:spPr>
                </pic:pic>
              </a:graphicData>
            </a:graphic>
          </wp:inline>
        </w:drawing>
      </w:r>
      <w:r w:rsidR="00CF6419" w:rsidRPr="00EC0229">
        <w:rPr>
          <w:color w:val="000000" w:themeColor="text1"/>
          <w:sz w:val="20"/>
          <w:szCs w:val="20"/>
        </w:rPr>
        <w:tab/>
      </w:r>
      <w:r w:rsidR="00CF6419" w:rsidRPr="00EC0229">
        <w:rPr>
          <w:noProof/>
          <w:color w:val="000000" w:themeColor="text1"/>
          <w:sz w:val="20"/>
          <w:szCs w:val="20"/>
          <w:lang w:eastAsia="en-GB"/>
        </w:rPr>
        <w:drawing>
          <wp:inline distT="0" distB="0" distL="0" distR="0" wp14:anchorId="5FD172AC" wp14:editId="6640CEEF">
            <wp:extent cx="953484" cy="92329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8-20 D17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59633" cy="929245"/>
                    </a:xfrm>
                    <a:prstGeom prst="rect">
                      <a:avLst/>
                    </a:prstGeom>
                  </pic:spPr>
                </pic:pic>
              </a:graphicData>
            </a:graphic>
          </wp:inline>
        </w:drawing>
      </w:r>
      <w:r w:rsidR="00CF6419" w:rsidRPr="00EC0229">
        <w:rPr>
          <w:noProof/>
          <w:color w:val="000000" w:themeColor="text1"/>
          <w:sz w:val="20"/>
          <w:szCs w:val="20"/>
          <w:lang w:eastAsia="en-GB"/>
        </w:rPr>
        <w:drawing>
          <wp:inline distT="0" distB="0" distL="0" distR="0" wp14:anchorId="59BBC8B3" wp14:editId="432C93B1">
            <wp:extent cx="946639" cy="922973"/>
            <wp:effectExtent l="0" t="0" r="635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8-20 D170R.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49584" cy="925844"/>
                    </a:xfrm>
                    <a:prstGeom prst="rect">
                      <a:avLst/>
                    </a:prstGeom>
                  </pic:spPr>
                </pic:pic>
              </a:graphicData>
            </a:graphic>
          </wp:inline>
        </w:drawing>
      </w:r>
    </w:p>
    <w:p w14:paraId="185B8D46" w14:textId="4EF12EEC" w:rsidR="00CF6419" w:rsidRPr="00EC0229" w:rsidRDefault="0080290B" w:rsidP="007600EA">
      <w:pPr>
        <w:pStyle w:val="NoSpacing"/>
        <w:spacing w:line="360" w:lineRule="auto"/>
        <w:jc w:val="center"/>
        <w:rPr>
          <w:sz w:val="20"/>
          <w:szCs w:val="20"/>
        </w:rPr>
      </w:pPr>
      <w:bookmarkStart w:id="276" w:name="_Ref433101962"/>
      <w:bookmarkStart w:id="277" w:name="_Toc46826699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24</w:t>
      </w:r>
      <w:r w:rsidRPr="00EC0229">
        <w:rPr>
          <w:sz w:val="20"/>
          <w:szCs w:val="20"/>
        </w:rPr>
        <w:fldChar w:fldCharType="end"/>
      </w:r>
      <w:bookmarkEnd w:id="276"/>
      <w:r w:rsidRPr="00EC0229">
        <w:rPr>
          <w:sz w:val="20"/>
          <w:szCs w:val="20"/>
        </w:rPr>
        <w:t>: Series E</w:t>
      </w:r>
      <w:r w:rsidR="00CF6419" w:rsidRPr="00EC0229">
        <w:rPr>
          <w:sz w:val="20"/>
          <w:szCs w:val="20"/>
        </w:rPr>
        <w:t xml:space="preserve"> (left) &amp; D (right)</w:t>
      </w:r>
      <w:r w:rsidRPr="00EC0229">
        <w:rPr>
          <w:sz w:val="20"/>
          <w:szCs w:val="20"/>
        </w:rPr>
        <w:t>:</w:t>
      </w:r>
      <w:r w:rsidR="00CF6419" w:rsidRPr="00EC0229">
        <w:rPr>
          <w:sz w:val="20"/>
          <w:szCs w:val="20"/>
        </w:rPr>
        <w:t xml:space="preserve"> intentional anonymity</w:t>
      </w:r>
      <w:bookmarkEnd w:id="277"/>
    </w:p>
    <w:p w14:paraId="4F96C55B" w14:textId="77777777" w:rsidR="00CF6419" w:rsidRPr="00EC0229" w:rsidRDefault="00CF6419" w:rsidP="007600EA">
      <w:pPr>
        <w:pStyle w:val="NoSpacing"/>
        <w:spacing w:line="360" w:lineRule="auto"/>
        <w:rPr>
          <w:sz w:val="20"/>
          <w:szCs w:val="20"/>
        </w:rPr>
      </w:pPr>
    </w:p>
    <w:p w14:paraId="25C111DF" w14:textId="2161A5EF" w:rsidR="009A49E4" w:rsidRPr="00EC0229" w:rsidRDefault="00AC49FA" w:rsidP="007600EA">
      <w:pPr>
        <w:pStyle w:val="NoSpacing"/>
        <w:spacing w:line="360" w:lineRule="auto"/>
        <w:rPr>
          <w:sz w:val="20"/>
          <w:szCs w:val="20"/>
        </w:rPr>
      </w:pPr>
      <w:r w:rsidRPr="00EC0229">
        <w:rPr>
          <w:color w:val="000000" w:themeColor="text1"/>
        </w:rPr>
        <w:lastRenderedPageBreak/>
        <w:t xml:space="preserve">It is generally assumed, not unreasonably, </w:t>
      </w:r>
      <w:r w:rsidR="009A49E4" w:rsidRPr="00EC0229">
        <w:rPr>
          <w:color w:val="000000" w:themeColor="text1"/>
        </w:rPr>
        <w:t>that the best executed variety of each type is at the head of the series</w:t>
      </w:r>
      <w:r w:rsidR="00203C92" w:rsidRPr="00EC0229">
        <w:rPr>
          <w:color w:val="000000" w:themeColor="text1"/>
        </w:rPr>
        <w:t xml:space="preserve"> </w:t>
      </w:r>
      <w:r w:rsidR="00203C92" w:rsidRPr="00EC0229">
        <w:rPr>
          <w:color w:val="000000" w:themeColor="text1"/>
          <w:szCs w:val="24"/>
        </w:rPr>
        <w:t>(</w:t>
      </w:r>
      <w:r w:rsidR="00203C92" w:rsidRPr="00EC0229">
        <w:rPr>
          <w:color w:val="000000" w:themeColor="text1"/>
          <w:szCs w:val="24"/>
        </w:rPr>
        <w:fldChar w:fldCharType="begin"/>
      </w:r>
      <w:r w:rsidR="00203C92" w:rsidRPr="00EC0229">
        <w:rPr>
          <w:color w:val="000000" w:themeColor="text1"/>
          <w:szCs w:val="24"/>
        </w:rPr>
        <w:instrText xml:space="preserve"> REF _Ref433102010 \h  \* MERGEFORMAT </w:instrText>
      </w:r>
      <w:r w:rsidR="00203C92" w:rsidRPr="00EC0229">
        <w:rPr>
          <w:color w:val="000000" w:themeColor="text1"/>
          <w:szCs w:val="24"/>
        </w:rPr>
      </w:r>
      <w:r w:rsidR="00203C92" w:rsidRPr="00EC0229">
        <w:rPr>
          <w:color w:val="000000" w:themeColor="text1"/>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25</w:t>
      </w:r>
      <w:r w:rsidR="00203C92" w:rsidRPr="00EC0229">
        <w:rPr>
          <w:color w:val="000000" w:themeColor="text1"/>
          <w:szCs w:val="24"/>
        </w:rPr>
        <w:fldChar w:fldCharType="end"/>
      </w:r>
      <w:r w:rsidR="00203C92" w:rsidRPr="00EC0229">
        <w:rPr>
          <w:color w:val="000000" w:themeColor="text1"/>
          <w:szCs w:val="24"/>
        </w:rPr>
        <w:t>)</w:t>
      </w:r>
      <w:r w:rsidR="009A49E4" w:rsidRPr="00EC0229">
        <w:rPr>
          <w:color w:val="000000" w:themeColor="text1"/>
          <w:szCs w:val="24"/>
        </w:rPr>
        <w:t>.</w:t>
      </w:r>
      <w:r w:rsidR="009A49E4" w:rsidRPr="00EC0229">
        <w:rPr>
          <w:color w:val="000000" w:themeColor="text1"/>
        </w:rPr>
        <w:t xml:space="preserve"> For example, Series R, emulating primary Series A and C, shows a steady deterioration in execution and alloy over an extended period (</w:t>
      </w:r>
      <w:r w:rsidR="009A49E4" w:rsidRPr="00EC0229">
        <w:rPr>
          <w:i/>
          <w:iCs/>
          <w:color w:val="000000" w:themeColor="text1"/>
        </w:rPr>
        <w:t>c</w:t>
      </w:r>
      <w:r w:rsidR="009A49E4" w:rsidRPr="00EC0229">
        <w:rPr>
          <w:color w:val="000000" w:themeColor="text1"/>
        </w:rPr>
        <w:t>.710</w:t>
      </w:r>
      <w:r w:rsidR="00AB6635">
        <w:rPr>
          <w:color w:val="000000" w:themeColor="text1"/>
        </w:rPr>
        <w:t>-</w:t>
      </w:r>
      <w:r w:rsidR="009A49E4" w:rsidRPr="00EC0229">
        <w:rPr>
          <w:i/>
          <w:iCs/>
          <w:color w:val="000000" w:themeColor="text1"/>
        </w:rPr>
        <w:t>c</w:t>
      </w:r>
      <w:r w:rsidR="009A49E4" w:rsidRPr="00EC0229">
        <w:rPr>
          <w:color w:val="000000" w:themeColor="text1"/>
        </w:rPr>
        <w:t>.750). What started out as a well-designed, if</w:t>
      </w:r>
      <w:r w:rsidRPr="00EC0229">
        <w:rPr>
          <w:color w:val="000000" w:themeColor="text1"/>
        </w:rPr>
        <w:t xml:space="preserve"> stylised, obverse bust degraded</w:t>
      </w:r>
      <w:r w:rsidR="009A49E4" w:rsidRPr="00EC0229">
        <w:rPr>
          <w:color w:val="000000" w:themeColor="text1"/>
        </w:rPr>
        <w:t xml:space="preserve"> into a few component elements and the rev</w:t>
      </w:r>
      <w:r w:rsidRPr="00EC0229">
        <w:rPr>
          <w:color w:val="000000" w:themeColor="text1"/>
        </w:rPr>
        <w:t>erse votive standard degenerated</w:t>
      </w:r>
      <w:r w:rsidR="009A49E4" w:rsidRPr="00EC0229">
        <w:rPr>
          <w:color w:val="000000" w:themeColor="text1"/>
        </w:rPr>
        <w:t xml:space="preserve"> into geometric </w:t>
      </w:r>
      <w:r w:rsidR="009A49E4" w:rsidRPr="00EC0229">
        <w:rPr>
          <w:color w:val="000000" w:themeColor="text1"/>
          <w:szCs w:val="24"/>
        </w:rPr>
        <w:t>symbols</w:t>
      </w:r>
      <w:r w:rsidR="00203C92" w:rsidRPr="00EC0229">
        <w:rPr>
          <w:color w:val="000000" w:themeColor="text1"/>
          <w:szCs w:val="24"/>
        </w:rPr>
        <w:t xml:space="preserve"> (</w:t>
      </w:r>
      <w:r w:rsidR="00203C92" w:rsidRPr="00EC0229">
        <w:rPr>
          <w:color w:val="000000" w:themeColor="text1"/>
          <w:szCs w:val="24"/>
        </w:rPr>
        <w:fldChar w:fldCharType="begin"/>
      </w:r>
      <w:r w:rsidR="00203C92" w:rsidRPr="00EC0229">
        <w:rPr>
          <w:color w:val="000000" w:themeColor="text1"/>
          <w:szCs w:val="24"/>
        </w:rPr>
        <w:instrText xml:space="preserve"> REF _Ref433102043 \h  \* MERGEFORMAT </w:instrText>
      </w:r>
      <w:r w:rsidR="00203C92" w:rsidRPr="00EC0229">
        <w:rPr>
          <w:color w:val="000000" w:themeColor="text1"/>
          <w:szCs w:val="24"/>
        </w:rPr>
      </w:r>
      <w:r w:rsidR="00203C92" w:rsidRPr="00EC0229">
        <w:rPr>
          <w:color w:val="000000" w:themeColor="text1"/>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26</w:t>
      </w:r>
      <w:r w:rsidR="00203C92" w:rsidRPr="00EC0229">
        <w:rPr>
          <w:color w:val="000000" w:themeColor="text1"/>
          <w:szCs w:val="24"/>
        </w:rPr>
        <w:fldChar w:fldCharType="end"/>
      </w:r>
      <w:r w:rsidR="00CF6419" w:rsidRPr="00EC0229">
        <w:rPr>
          <w:color w:val="000000" w:themeColor="text1"/>
          <w:szCs w:val="24"/>
        </w:rPr>
        <w:t>).</w:t>
      </w:r>
    </w:p>
    <w:p w14:paraId="7AD7609D" w14:textId="056B53DA" w:rsidR="009A49E4" w:rsidRPr="00EC0229" w:rsidRDefault="009A49E4" w:rsidP="007600EA">
      <w:pPr>
        <w:spacing w:line="360" w:lineRule="auto"/>
        <w:jc w:val="center"/>
        <w:rPr>
          <w:color w:val="000000" w:themeColor="text1"/>
        </w:rPr>
      </w:pPr>
      <w:r w:rsidRPr="00EC0229">
        <w:rPr>
          <w:noProof/>
          <w:color w:val="000000" w:themeColor="text1"/>
          <w:lang w:eastAsia="en-GB"/>
        </w:rPr>
        <w:drawing>
          <wp:inline distT="0" distB="0" distL="0" distR="0" wp14:anchorId="47BADC83" wp14:editId="66AA6A6D">
            <wp:extent cx="746760" cy="754380"/>
            <wp:effectExtent l="0" t="0" r="0" b="7620"/>
            <wp:docPr id="551" name="Picture 551" descr="http://www.anglo-saxon-coinage.co.uk/resources/_wsb_78x79_3-50+A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www.anglo-saxon-coinage.co.uk/resources/_wsb_78x79_3-50+A40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46760" cy="754380"/>
                    </a:xfrm>
                    <a:prstGeom prst="rect">
                      <a:avLst/>
                    </a:prstGeom>
                    <a:noFill/>
                    <a:ln>
                      <a:noFill/>
                    </a:ln>
                  </pic:spPr>
                </pic:pic>
              </a:graphicData>
            </a:graphic>
          </wp:inline>
        </w:drawing>
      </w:r>
      <w:r w:rsidRPr="00EC0229">
        <w:rPr>
          <w:noProof/>
          <w:color w:val="000000" w:themeColor="text1"/>
          <w:lang w:eastAsia="en-GB"/>
        </w:rPr>
        <w:drawing>
          <wp:inline distT="0" distB="0" distL="0" distR="0" wp14:anchorId="32C1B376" wp14:editId="4C0E83DE">
            <wp:extent cx="754380" cy="723900"/>
            <wp:effectExtent l="0" t="0" r="7620" b="0"/>
            <wp:docPr id="550" name="Picture 550" descr="http://www.anglo-saxon-coinage.co.uk/resources/_wsb_79x76_3-50+A40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www.anglo-saxon-coinage.co.uk/resources/_wsb_79x76_3-50+A400R.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54380" cy="723900"/>
                    </a:xfrm>
                    <a:prstGeom prst="rect">
                      <a:avLst/>
                    </a:prstGeom>
                    <a:noFill/>
                    <a:ln>
                      <a:noFill/>
                    </a:ln>
                  </pic:spPr>
                </pic:pic>
              </a:graphicData>
            </a:graphic>
          </wp:inline>
        </w:drawing>
      </w:r>
      <w:r w:rsidR="004247B4" w:rsidRPr="00EC0229">
        <w:rPr>
          <w:color w:val="000000" w:themeColor="text1"/>
        </w:rPr>
        <w:tab/>
      </w:r>
      <w:r w:rsidRPr="00EC0229">
        <w:rPr>
          <w:noProof/>
          <w:color w:val="000000" w:themeColor="text1"/>
          <w:lang w:eastAsia="en-GB"/>
        </w:rPr>
        <w:drawing>
          <wp:inline distT="0" distB="0" distL="0" distR="0" wp14:anchorId="63E5B8DB" wp14:editId="7EF1A842">
            <wp:extent cx="723900" cy="723900"/>
            <wp:effectExtent l="0" t="0" r="0" b="0"/>
            <wp:docPr id="549" name="Picture 549" descr="http://www.anglo-saxon-coinage.co.uk/resources/_wsb_76x76_4-40+C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anglo-saxon-coinage.co.uk/resources/_wsb_76x76_4-40+C15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Pr="00EC0229">
        <w:rPr>
          <w:noProof/>
          <w:color w:val="000000" w:themeColor="text1"/>
          <w:lang w:eastAsia="en-GB"/>
        </w:rPr>
        <w:drawing>
          <wp:inline distT="0" distB="0" distL="0" distR="0" wp14:anchorId="17D0F21A" wp14:editId="45E48851">
            <wp:extent cx="762000" cy="731520"/>
            <wp:effectExtent l="0" t="0" r="0" b="0"/>
            <wp:docPr id="548" name="Picture 548" descr="http://www.anglo-saxon-coinage.co.uk/resources/_wsb_80x77_4-40+C15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www.anglo-saxon-coinage.co.uk/resources/_wsb_80x77_4-40+C150R.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2000" cy="731520"/>
                    </a:xfrm>
                    <a:prstGeom prst="rect">
                      <a:avLst/>
                    </a:prstGeom>
                    <a:noFill/>
                    <a:ln>
                      <a:noFill/>
                    </a:ln>
                  </pic:spPr>
                </pic:pic>
              </a:graphicData>
            </a:graphic>
          </wp:inline>
        </w:drawing>
      </w:r>
      <w:r w:rsidR="004247B4" w:rsidRPr="00EC0229">
        <w:rPr>
          <w:color w:val="000000" w:themeColor="text1"/>
        </w:rPr>
        <w:tab/>
      </w:r>
      <w:r w:rsidRPr="00EC0229">
        <w:rPr>
          <w:noProof/>
          <w:color w:val="000000" w:themeColor="text1"/>
          <w:lang w:eastAsia="en-GB"/>
        </w:rPr>
        <w:drawing>
          <wp:inline distT="0" distB="0" distL="0" distR="0" wp14:anchorId="6B4E6018" wp14:editId="38C95C4D">
            <wp:extent cx="723900" cy="693420"/>
            <wp:effectExtent l="0" t="0" r="0" b="0"/>
            <wp:docPr id="547" name="Picture 547" descr="http://www.anglo-saxon-coinage.co.uk/resources/_wsb_76x73_11-20+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www.anglo-saxon-coinage.co.uk/resources/_wsb_76x73_11-20+R11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23900" cy="693420"/>
                    </a:xfrm>
                    <a:prstGeom prst="rect">
                      <a:avLst/>
                    </a:prstGeom>
                    <a:noFill/>
                    <a:ln>
                      <a:noFill/>
                    </a:ln>
                  </pic:spPr>
                </pic:pic>
              </a:graphicData>
            </a:graphic>
          </wp:inline>
        </w:drawing>
      </w:r>
      <w:r w:rsidRPr="00EC0229">
        <w:rPr>
          <w:noProof/>
          <w:color w:val="000000" w:themeColor="text1"/>
          <w:lang w:eastAsia="en-GB"/>
        </w:rPr>
        <w:drawing>
          <wp:inline distT="0" distB="0" distL="0" distR="0" wp14:anchorId="1FE6B8E3" wp14:editId="714F97CE">
            <wp:extent cx="640080" cy="678180"/>
            <wp:effectExtent l="0" t="0" r="7620" b="7620"/>
            <wp:docPr id="546" name="Picture 546" descr="http://www.anglo-saxon-coinage.co.uk/resources/_wsb_67x71_11-20+R11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anglo-saxon-coinage.co.uk/resources/_wsb_67x71_11-20+R110R.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0080" cy="678180"/>
                    </a:xfrm>
                    <a:prstGeom prst="rect">
                      <a:avLst/>
                    </a:prstGeom>
                    <a:noFill/>
                    <a:ln>
                      <a:noFill/>
                    </a:ln>
                  </pic:spPr>
                </pic:pic>
              </a:graphicData>
            </a:graphic>
          </wp:inline>
        </w:drawing>
      </w:r>
    </w:p>
    <w:p w14:paraId="33A2679D" w14:textId="4557B5C1" w:rsidR="009A49E4" w:rsidRPr="00EC0229" w:rsidRDefault="0080290B" w:rsidP="007600EA">
      <w:pPr>
        <w:pStyle w:val="NoSpacing"/>
        <w:spacing w:line="360" w:lineRule="auto"/>
        <w:jc w:val="center"/>
        <w:rPr>
          <w:sz w:val="20"/>
          <w:szCs w:val="20"/>
        </w:rPr>
      </w:pPr>
      <w:bookmarkStart w:id="278" w:name="_Ref433102010"/>
      <w:bookmarkStart w:id="279" w:name="_Toc46826699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25</w:t>
      </w:r>
      <w:r w:rsidRPr="00EC0229">
        <w:rPr>
          <w:sz w:val="20"/>
          <w:szCs w:val="20"/>
        </w:rPr>
        <w:fldChar w:fldCharType="end"/>
      </w:r>
      <w:bookmarkEnd w:id="278"/>
      <w:r w:rsidRPr="00EC0229">
        <w:rPr>
          <w:sz w:val="20"/>
          <w:szCs w:val="20"/>
        </w:rPr>
        <w:t xml:space="preserve">: </w:t>
      </w:r>
      <w:r w:rsidR="009A49E4" w:rsidRPr="00EC0229">
        <w:rPr>
          <w:sz w:val="20"/>
          <w:szCs w:val="20"/>
        </w:rPr>
        <w:t>Progression through Series A</w:t>
      </w:r>
      <w:bookmarkEnd w:id="279"/>
    </w:p>
    <w:p w14:paraId="786DC02F" w14:textId="77777777" w:rsidR="009A49E4" w:rsidRPr="00EC0229" w:rsidRDefault="009A49E4" w:rsidP="007600EA">
      <w:pPr>
        <w:pStyle w:val="NoSpacing"/>
        <w:spacing w:line="360" w:lineRule="auto"/>
        <w:jc w:val="center"/>
        <w:rPr>
          <w:sz w:val="20"/>
          <w:szCs w:val="20"/>
        </w:rPr>
      </w:pPr>
      <w:r w:rsidRPr="00EC0229">
        <w:rPr>
          <w:sz w:val="20"/>
          <w:szCs w:val="20"/>
        </w:rPr>
        <w:t>L-R: rare Valdobertus variety, found at Thwing,</w:t>
      </w:r>
      <w:r w:rsidRPr="00EC0229">
        <w:rPr>
          <w:rStyle w:val="FootnoteReference"/>
          <w:color w:val="000000" w:themeColor="text1"/>
          <w:sz w:val="20"/>
          <w:szCs w:val="20"/>
        </w:rPr>
        <w:footnoteReference w:id="534"/>
      </w:r>
      <w:r w:rsidRPr="00EC0229">
        <w:rPr>
          <w:sz w:val="20"/>
          <w:szCs w:val="20"/>
        </w:rPr>
        <w:t xml:space="preserve"> C (</w:t>
      </w:r>
      <w:r w:rsidRPr="00EC0229">
        <w:rPr>
          <w:rFonts w:ascii="AngloSaxon Runes" w:hAnsi="AngloSaxon Runes"/>
          <w:sz w:val="20"/>
          <w:szCs w:val="20"/>
        </w:rPr>
        <w:t>epa</w:t>
      </w:r>
      <w:r w:rsidRPr="00EC0229">
        <w:rPr>
          <w:sz w:val="20"/>
          <w:szCs w:val="20"/>
        </w:rPr>
        <w:t>) to early R (Sledmere)</w:t>
      </w:r>
    </w:p>
    <w:p w14:paraId="2572B639" w14:textId="1EE20306" w:rsidR="009A49E4" w:rsidRPr="00EC0229" w:rsidRDefault="009A49E4" w:rsidP="007600EA">
      <w:pPr>
        <w:spacing w:line="360" w:lineRule="auto"/>
        <w:jc w:val="center"/>
        <w:rPr>
          <w:color w:val="000000" w:themeColor="text1"/>
        </w:rPr>
      </w:pPr>
      <w:r w:rsidRPr="00EC0229">
        <w:rPr>
          <w:noProof/>
          <w:color w:val="000000" w:themeColor="text1"/>
          <w:lang w:eastAsia="en-GB"/>
        </w:rPr>
        <w:drawing>
          <wp:inline distT="0" distB="0" distL="0" distR="0" wp14:anchorId="157FB4A5" wp14:editId="5F41ECB1">
            <wp:extent cx="754380" cy="754380"/>
            <wp:effectExtent l="0" t="0" r="7620" b="7620"/>
            <wp:docPr id="545" name="Picture 545" descr="http://www.anglo-saxon-coinage.co.uk/resources/_wsb_79x79_11-170+R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www.anglo-saxon-coinage.co.uk/resources/_wsb_79x79_11-170+R23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inline>
        </w:drawing>
      </w:r>
      <w:r w:rsidRPr="00EC0229">
        <w:rPr>
          <w:noProof/>
          <w:color w:val="000000" w:themeColor="text1"/>
          <w:lang w:eastAsia="en-GB"/>
        </w:rPr>
        <w:drawing>
          <wp:inline distT="0" distB="0" distL="0" distR="0" wp14:anchorId="7F221877" wp14:editId="5A118916">
            <wp:extent cx="754380" cy="754380"/>
            <wp:effectExtent l="0" t="0" r="7620" b="7620"/>
            <wp:docPr id="544" name="Picture 544" descr="http://www.anglo-saxon-coinage.co.uk/resources/_wsb_79x79_11-170+R2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anglo-saxon-coinage.co.uk/resources/_wsb_79x79_11-170+R230R.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inline>
        </w:drawing>
      </w:r>
      <w:r w:rsidR="004247B4" w:rsidRPr="00EC0229">
        <w:rPr>
          <w:color w:val="000000" w:themeColor="text1"/>
        </w:rPr>
        <w:tab/>
      </w:r>
      <w:r w:rsidRPr="00EC0229">
        <w:rPr>
          <w:noProof/>
          <w:color w:val="000000" w:themeColor="text1"/>
          <w:lang w:eastAsia="en-GB"/>
        </w:rPr>
        <w:drawing>
          <wp:inline distT="0" distB="0" distL="0" distR="0" wp14:anchorId="6DC4F492" wp14:editId="37E76E3D">
            <wp:extent cx="746760" cy="678180"/>
            <wp:effectExtent l="0" t="0" r="0" b="7620"/>
            <wp:docPr id="543" name="Picture 543" descr="http://www.anglo-saxon-coinage.co.uk/resources/_wsb_78x71_50+P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anglo-saxon-coinage.co.uk/resources/_wsb_78x71_50+P220.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46760" cy="678180"/>
                    </a:xfrm>
                    <a:prstGeom prst="rect">
                      <a:avLst/>
                    </a:prstGeom>
                    <a:noFill/>
                    <a:ln>
                      <a:noFill/>
                    </a:ln>
                  </pic:spPr>
                </pic:pic>
              </a:graphicData>
            </a:graphic>
          </wp:inline>
        </w:drawing>
      </w:r>
      <w:r w:rsidRPr="00EC0229">
        <w:rPr>
          <w:noProof/>
          <w:color w:val="000000" w:themeColor="text1"/>
          <w:lang w:eastAsia="en-GB"/>
        </w:rPr>
        <w:drawing>
          <wp:inline distT="0" distB="0" distL="0" distR="0" wp14:anchorId="447CF4E6" wp14:editId="08CBF420">
            <wp:extent cx="746760" cy="685800"/>
            <wp:effectExtent l="0" t="0" r="0" b="0"/>
            <wp:docPr id="542" name="Picture 542" descr="http://www.anglo-saxon-coinage.co.uk/resources/_wsb_78x72_50+P22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www.anglo-saxon-coinage.co.uk/resources/_wsb_78x72_50+P220R.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46760" cy="685800"/>
                    </a:xfrm>
                    <a:prstGeom prst="rect">
                      <a:avLst/>
                    </a:prstGeom>
                    <a:noFill/>
                    <a:ln>
                      <a:noFill/>
                    </a:ln>
                  </pic:spPr>
                </pic:pic>
              </a:graphicData>
            </a:graphic>
          </wp:inline>
        </w:drawing>
      </w:r>
      <w:r w:rsidR="004247B4" w:rsidRPr="00EC0229">
        <w:rPr>
          <w:color w:val="000000" w:themeColor="text1"/>
        </w:rPr>
        <w:tab/>
      </w:r>
      <w:r w:rsidRPr="00EC0229">
        <w:rPr>
          <w:noProof/>
          <w:color w:val="000000" w:themeColor="text1"/>
          <w:lang w:eastAsia="en-GB"/>
        </w:rPr>
        <w:drawing>
          <wp:inline distT="0" distB="0" distL="0" distR="0" wp14:anchorId="13611791" wp14:editId="0ED1C209">
            <wp:extent cx="708660" cy="716280"/>
            <wp:effectExtent l="0" t="0" r="0" b="7620"/>
            <wp:docPr id="541" name="Picture 541" descr="http://www.anglo-saxon-coinage.co.uk/resources/_wsb_74x75_160+P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www.anglo-saxon-coinage.co.uk/resources/_wsb_74x75_160+P320.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08660" cy="716280"/>
                    </a:xfrm>
                    <a:prstGeom prst="rect">
                      <a:avLst/>
                    </a:prstGeom>
                    <a:noFill/>
                    <a:ln>
                      <a:noFill/>
                    </a:ln>
                  </pic:spPr>
                </pic:pic>
              </a:graphicData>
            </a:graphic>
          </wp:inline>
        </w:drawing>
      </w:r>
      <w:r w:rsidRPr="00EC0229">
        <w:rPr>
          <w:noProof/>
          <w:color w:val="000000" w:themeColor="text1"/>
          <w:lang w:eastAsia="en-GB"/>
        </w:rPr>
        <w:drawing>
          <wp:inline distT="0" distB="0" distL="0" distR="0" wp14:anchorId="200D9B21" wp14:editId="4504FBE2">
            <wp:extent cx="716280" cy="716280"/>
            <wp:effectExtent l="0" t="0" r="7620" b="7620"/>
            <wp:docPr id="540" name="Picture 540" descr="http://www.anglo-saxon-coinage.co.uk/resources/_wsb_75x75_160+P32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anglo-saxon-coinage.co.uk/resources/_wsb_75x75_160+P320R.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p>
    <w:p w14:paraId="3CC578F5" w14:textId="5C40C5A6" w:rsidR="009A49E4" w:rsidRPr="00EC0229" w:rsidRDefault="0080290B" w:rsidP="007600EA">
      <w:pPr>
        <w:pStyle w:val="NoSpacing"/>
        <w:spacing w:line="360" w:lineRule="auto"/>
        <w:jc w:val="center"/>
        <w:rPr>
          <w:sz w:val="20"/>
          <w:szCs w:val="20"/>
        </w:rPr>
      </w:pPr>
      <w:bookmarkStart w:id="280" w:name="_Ref433102043"/>
      <w:bookmarkStart w:id="281" w:name="_Toc46826699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26</w:t>
      </w:r>
      <w:r w:rsidRPr="00EC0229">
        <w:rPr>
          <w:sz w:val="20"/>
          <w:szCs w:val="20"/>
        </w:rPr>
        <w:fldChar w:fldCharType="end"/>
      </w:r>
      <w:bookmarkEnd w:id="280"/>
      <w:r w:rsidRPr="00EC0229">
        <w:rPr>
          <w:sz w:val="20"/>
          <w:szCs w:val="20"/>
        </w:rPr>
        <w:t xml:space="preserve">: </w:t>
      </w:r>
      <w:r w:rsidR="009A49E4" w:rsidRPr="00EC0229">
        <w:rPr>
          <w:sz w:val="20"/>
          <w:szCs w:val="20"/>
        </w:rPr>
        <w:t>Deterioration in late Series R</w:t>
      </w:r>
      <w:bookmarkEnd w:id="281"/>
    </w:p>
    <w:p w14:paraId="7EBE1715" w14:textId="77777777" w:rsidR="009A49E4" w:rsidRPr="00EC0229" w:rsidRDefault="009A49E4" w:rsidP="007600EA">
      <w:pPr>
        <w:pStyle w:val="NoSpacing"/>
        <w:spacing w:line="360" w:lineRule="auto"/>
        <w:jc w:val="center"/>
        <w:rPr>
          <w:sz w:val="20"/>
          <w:szCs w:val="20"/>
        </w:rPr>
      </w:pPr>
      <w:r w:rsidRPr="00EC0229">
        <w:rPr>
          <w:sz w:val="20"/>
          <w:szCs w:val="20"/>
        </w:rPr>
        <w:t>L-R: Tilberht, saltire cross reverse (found Rotherham)</w:t>
      </w:r>
    </w:p>
    <w:p w14:paraId="5D8876CA" w14:textId="77777777" w:rsidR="009A49E4" w:rsidRPr="00EC0229" w:rsidRDefault="009A49E4" w:rsidP="007600EA">
      <w:pPr>
        <w:pStyle w:val="NoSpacing"/>
        <w:spacing w:line="360" w:lineRule="auto"/>
        <w:jc w:val="center"/>
        <w:rPr>
          <w:sz w:val="20"/>
          <w:szCs w:val="20"/>
        </w:rPr>
      </w:pPr>
      <w:r w:rsidRPr="00EC0229">
        <w:rPr>
          <w:sz w:val="20"/>
          <w:szCs w:val="20"/>
        </w:rPr>
        <w:t>to geometric loss of identity (type 70, found Adwick-upon-Dearne, Doncaster).</w:t>
      </w:r>
    </w:p>
    <w:p w14:paraId="57420E74" w14:textId="18273627" w:rsidR="009A49E4" w:rsidRPr="00EC0229" w:rsidRDefault="009A49E4" w:rsidP="007600EA">
      <w:pPr>
        <w:spacing w:before="100" w:beforeAutospacing="1" w:after="100" w:afterAutospacing="1" w:line="360" w:lineRule="auto"/>
        <w:rPr>
          <w:color w:val="000000" w:themeColor="text1"/>
        </w:rPr>
      </w:pPr>
      <w:r w:rsidRPr="00EC0229">
        <w:rPr>
          <w:color w:val="000000" w:themeColor="text1"/>
        </w:rPr>
        <w:t xml:space="preserve">The sceatta coinage is divided chronologically into two phases by the Aston Rowant (Oxfordshire) hoard, deposited </w:t>
      </w:r>
      <w:r w:rsidRPr="00EC0229">
        <w:rPr>
          <w:i/>
          <w:iCs/>
          <w:color w:val="000000" w:themeColor="text1"/>
        </w:rPr>
        <w:t>c.</w:t>
      </w:r>
      <w:r w:rsidRPr="00EC0229">
        <w:rPr>
          <w:color w:val="000000" w:themeColor="text1"/>
        </w:rPr>
        <w:t xml:space="preserve">710. Rigold catalogued the generally well-regulated </w:t>
      </w:r>
      <w:r w:rsidR="00BD7B6C" w:rsidRPr="00EC0229">
        <w:rPr>
          <w:color w:val="000000" w:themeColor="text1"/>
        </w:rPr>
        <w:t>and conservatively styled P</w:t>
      </w:r>
      <w:r w:rsidRPr="00EC0229">
        <w:rPr>
          <w:color w:val="000000" w:themeColor="text1"/>
        </w:rPr>
        <w:t>rimary series (which had commenced by the 680s) prior to the metal-detecting era, but his work remains relevant. The subsequent explosion of creativity in the Secondary series extended to mid-eighth century and exhibits an erratic decline in style and alloy. The coinage is also divided territorially, by the Humber, with the north literate and conservative</w:t>
      </w:r>
      <w:r w:rsidRPr="00EC0229">
        <w:rPr>
          <w:rStyle w:val="FootnoteReference"/>
          <w:color w:val="000000" w:themeColor="text1"/>
        </w:rPr>
        <w:footnoteReference w:id="535"/>
      </w:r>
      <w:r w:rsidRPr="00EC0229">
        <w:rPr>
          <w:color w:val="000000" w:themeColor="text1"/>
        </w:rPr>
        <w:t xml:space="preserve"> and the south rarely either.</w:t>
      </w:r>
    </w:p>
    <w:p w14:paraId="1C3167A3" w14:textId="43414705" w:rsidR="009A49E4" w:rsidRPr="00EC0229" w:rsidRDefault="009A49E4" w:rsidP="007600EA">
      <w:pPr>
        <w:spacing w:before="100" w:beforeAutospacing="1" w:after="100" w:afterAutospacing="1" w:line="360" w:lineRule="auto"/>
        <w:rPr>
          <w:color w:val="000000" w:themeColor="text1"/>
        </w:rPr>
      </w:pPr>
      <w:r w:rsidRPr="00EC0229">
        <w:rPr>
          <w:color w:val="000000" w:themeColor="text1"/>
        </w:rPr>
        <w:t>Sceats are found throughout the North Sea trading area including Denmark, Frisia, Francia and England. ‘There was a fair amount of North Sea exchange, it is true. By the eighth century there was more of it than could be found on the seaways of at least the western Mediterranean.’</w:t>
      </w:r>
      <w:r w:rsidRPr="00EC0229">
        <w:rPr>
          <w:rStyle w:val="FootnoteReference"/>
          <w:color w:val="000000" w:themeColor="text1"/>
        </w:rPr>
        <w:footnoteReference w:id="536"/>
      </w:r>
      <w:r w:rsidRPr="00EC0229">
        <w:rPr>
          <w:color w:val="000000" w:themeColor="text1"/>
        </w:rPr>
        <w:t xml:space="preserve"> Clearly, users were not troubled by the wide variety of designs, presumably handling with confidence motifs not previously seen. Moreover, standards of execution varied enormously – portraits equivalent in artistic merit to the best of early Anglo-Saxon art are found </w:t>
      </w:r>
      <w:r w:rsidRPr="00EC0229">
        <w:rPr>
          <w:color w:val="000000" w:themeColor="text1"/>
        </w:rPr>
        <w:lastRenderedPageBreak/>
        <w:t>alongside unrecognisable, naïve specimens. Whilst coins from numerous, typically anonymous</w:t>
      </w:r>
      <w:r w:rsidRPr="00EC0229">
        <w:rPr>
          <w:rStyle w:val="FootnoteReference"/>
          <w:color w:val="000000" w:themeColor="text1"/>
        </w:rPr>
        <w:footnoteReference w:id="537"/>
      </w:r>
      <w:r w:rsidRPr="00EC0229">
        <w:rPr>
          <w:color w:val="000000" w:themeColor="text1"/>
        </w:rPr>
        <w:t xml:space="preserve"> regal, episcopal</w:t>
      </w:r>
      <w:r w:rsidRPr="00EC0229">
        <w:rPr>
          <w:rStyle w:val="FootnoteReference"/>
          <w:color w:val="000000" w:themeColor="text1"/>
        </w:rPr>
        <w:footnoteReference w:id="538"/>
      </w:r>
      <w:r w:rsidRPr="00EC0229">
        <w:rPr>
          <w:color w:val="000000" w:themeColor="text1"/>
        </w:rPr>
        <w:t xml:space="preserve"> and mercantile sources all fall into a recognisable metrology, variations in size, weight, and alloy are not inconsiderable</w:t>
      </w:r>
      <w:r w:rsidR="00203C92" w:rsidRPr="00EC0229">
        <w:rPr>
          <w:color w:val="000000" w:themeColor="text1"/>
        </w:rPr>
        <w:t xml:space="preserve"> </w:t>
      </w:r>
      <w:r w:rsidR="00203C92" w:rsidRPr="00EC0229">
        <w:rPr>
          <w:color w:val="000000" w:themeColor="text1"/>
          <w:szCs w:val="24"/>
        </w:rPr>
        <w:t>(</w:t>
      </w:r>
      <w:r w:rsidR="00203C92" w:rsidRPr="00EC0229">
        <w:rPr>
          <w:color w:val="000000" w:themeColor="text1"/>
          <w:szCs w:val="24"/>
        </w:rPr>
        <w:fldChar w:fldCharType="begin"/>
      </w:r>
      <w:r w:rsidR="00203C92" w:rsidRPr="00EC0229">
        <w:rPr>
          <w:color w:val="000000" w:themeColor="text1"/>
          <w:szCs w:val="24"/>
        </w:rPr>
        <w:instrText xml:space="preserve"> REF _Ref433102092 \h  \* MERGEFORMAT </w:instrText>
      </w:r>
      <w:r w:rsidR="00203C92" w:rsidRPr="00EC0229">
        <w:rPr>
          <w:color w:val="000000" w:themeColor="text1"/>
          <w:szCs w:val="24"/>
        </w:rPr>
      </w:r>
      <w:r w:rsidR="00203C92" w:rsidRPr="00EC0229">
        <w:rPr>
          <w:color w:val="000000" w:themeColor="text1"/>
          <w:szCs w:val="24"/>
        </w:rPr>
        <w:fldChar w:fldCharType="separate"/>
      </w:r>
      <w:r w:rsidR="0012026B" w:rsidRPr="0012026B">
        <w:rPr>
          <w:color w:val="000000" w:themeColor="text1"/>
          <w:szCs w:val="24"/>
        </w:rPr>
        <w:t xml:space="preserve">Figure </w:t>
      </w:r>
      <w:r w:rsidR="0012026B" w:rsidRPr="0012026B">
        <w:rPr>
          <w:i/>
          <w:noProof/>
          <w:color w:val="000000" w:themeColor="text1"/>
          <w:szCs w:val="24"/>
        </w:rPr>
        <w:t>27</w:t>
      </w:r>
      <w:r w:rsidR="00203C92" w:rsidRPr="00EC0229">
        <w:rPr>
          <w:color w:val="000000" w:themeColor="text1"/>
          <w:szCs w:val="24"/>
        </w:rPr>
        <w:fldChar w:fldCharType="end"/>
      </w:r>
      <w:r w:rsidR="00203C92" w:rsidRPr="00EC0229">
        <w:rPr>
          <w:color w:val="000000" w:themeColor="text1"/>
          <w:szCs w:val="24"/>
        </w:rPr>
        <w:t>)</w:t>
      </w:r>
      <w:r w:rsidRPr="00EC0229">
        <w:rPr>
          <w:color w:val="000000" w:themeColor="text1"/>
          <w:szCs w:val="24"/>
        </w:rPr>
        <w:t>.</w:t>
      </w:r>
      <w:r w:rsidRPr="00EC0229">
        <w:rPr>
          <w:color w:val="000000" w:themeColor="text1"/>
        </w:rPr>
        <w:t xml:space="preserve"> This possibly indicates that recipients were reasonably tolerant of, and confident in, what they could have regarded, to some extent, as a fiat currency, or that standards changed over time, or differed between areas. These features are characteristic of </w:t>
      </w:r>
      <w:r w:rsidR="003F2041" w:rsidRPr="00EC0229">
        <w:rPr>
          <w:color w:val="000000" w:themeColor="text1"/>
        </w:rPr>
        <w:t>monetiz</w:t>
      </w:r>
      <w:r w:rsidRPr="00EC0229">
        <w:rPr>
          <w:color w:val="000000" w:themeColor="text1"/>
        </w:rPr>
        <w:t>ation.</w:t>
      </w:r>
    </w:p>
    <w:p w14:paraId="2E61967B" w14:textId="77777777" w:rsidR="009A49E4" w:rsidRPr="00EC0229" w:rsidRDefault="009A49E4" w:rsidP="007600EA">
      <w:pPr>
        <w:spacing w:line="360" w:lineRule="auto"/>
        <w:jc w:val="right"/>
        <w:rPr>
          <w:color w:val="000000" w:themeColor="text1"/>
        </w:rPr>
      </w:pPr>
      <w:r w:rsidRPr="00EC0229">
        <w:rPr>
          <w:noProof/>
          <w:color w:val="000000" w:themeColor="text1"/>
          <w:lang w:eastAsia="en-GB"/>
        </w:rPr>
        <w:drawing>
          <wp:inline distT="0" distB="0" distL="0" distR="0" wp14:anchorId="6B3FDE19" wp14:editId="0C384C7D">
            <wp:extent cx="1455420" cy="1028700"/>
            <wp:effectExtent l="0" t="0" r="0" b="0"/>
            <wp:docPr id="539" name="Picture 539" descr="http://www.anglo-saxon-coinage.co.uk/resources/_wsb_153x108_fig+3+Half+un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www.anglo-saxon-coinage.co.uk/resources/_wsb_153x108_fig+3+Half+unit++-+E.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55420" cy="1028700"/>
                    </a:xfrm>
                    <a:prstGeom prst="rect">
                      <a:avLst/>
                    </a:prstGeom>
                    <a:noFill/>
                    <a:ln>
                      <a:noFill/>
                    </a:ln>
                  </pic:spPr>
                </pic:pic>
              </a:graphicData>
            </a:graphic>
          </wp:inline>
        </w:drawing>
      </w:r>
      <w:r w:rsidRPr="00EC0229">
        <w:rPr>
          <w:color w:val="000000" w:themeColor="text1"/>
        </w:rPr>
        <w:t xml:space="preserve">               </w:t>
      </w:r>
      <w:r w:rsidRPr="00EC0229">
        <w:rPr>
          <w:noProof/>
          <w:color w:val="000000" w:themeColor="text1"/>
          <w:lang w:eastAsia="en-GB"/>
        </w:rPr>
        <w:drawing>
          <wp:inline distT="0" distB="0" distL="0" distR="0" wp14:anchorId="66DAFDFF" wp14:editId="7A4F0E61">
            <wp:extent cx="1508760" cy="1005840"/>
            <wp:effectExtent l="0" t="0" r="0" b="3810"/>
            <wp:docPr id="538" name="Picture 538" descr="http://www.anglo-saxon-coinage.co.uk/resources/_wsb_158x106_fig+3+Half+uni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www.anglo-saxon-coinage.co.uk/resources/_wsb_158x106_fig+3+Half+unit+-+U.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08760" cy="1005840"/>
                    </a:xfrm>
                    <a:prstGeom prst="rect">
                      <a:avLst/>
                    </a:prstGeom>
                    <a:noFill/>
                    <a:ln>
                      <a:noFill/>
                    </a:ln>
                  </pic:spPr>
                </pic:pic>
              </a:graphicData>
            </a:graphic>
          </wp:inline>
        </w:drawing>
      </w:r>
      <w:r w:rsidRPr="00EC0229">
        <w:rPr>
          <w:color w:val="000000" w:themeColor="text1"/>
        </w:rPr>
        <w:t xml:space="preserve">                </w:t>
      </w:r>
    </w:p>
    <w:p w14:paraId="70D6C459" w14:textId="6332A959" w:rsidR="009A49E4" w:rsidRPr="00EC0229" w:rsidRDefault="0080290B" w:rsidP="007600EA">
      <w:pPr>
        <w:spacing w:line="360" w:lineRule="auto"/>
        <w:jc w:val="center"/>
        <w:rPr>
          <w:sz w:val="20"/>
          <w:szCs w:val="20"/>
        </w:rPr>
      </w:pPr>
      <w:bookmarkStart w:id="282" w:name="_Ref433102092"/>
      <w:bookmarkStart w:id="283" w:name="_Toc468266999"/>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27</w:t>
      </w:r>
      <w:r w:rsidRPr="00EC0229">
        <w:rPr>
          <w:i/>
          <w:sz w:val="20"/>
          <w:szCs w:val="20"/>
        </w:rPr>
        <w:fldChar w:fldCharType="end"/>
      </w:r>
      <w:bookmarkEnd w:id="282"/>
      <w:r w:rsidRPr="00EC0229">
        <w:rPr>
          <w:sz w:val="20"/>
          <w:szCs w:val="20"/>
        </w:rPr>
        <w:t xml:space="preserve">: </w:t>
      </w:r>
      <w:r w:rsidR="009A49E4" w:rsidRPr="00EC0229">
        <w:rPr>
          <w:sz w:val="20"/>
          <w:szCs w:val="20"/>
        </w:rPr>
        <w:t>Metrological variations in circulating coinage, Series E and U.</w:t>
      </w:r>
      <w:r w:rsidR="009A49E4" w:rsidRPr="00EC0229">
        <w:rPr>
          <w:rStyle w:val="FootnoteReference"/>
          <w:color w:val="000000" w:themeColor="text1"/>
          <w:sz w:val="20"/>
          <w:szCs w:val="20"/>
        </w:rPr>
        <w:footnoteReference w:id="539"/>
      </w:r>
      <w:bookmarkEnd w:id="283"/>
    </w:p>
    <w:p w14:paraId="7A377819" w14:textId="012217A0" w:rsidR="009A49E4" w:rsidRPr="00EC0229" w:rsidRDefault="00AC49FA" w:rsidP="007600EA">
      <w:pPr>
        <w:pStyle w:val="NoSpacing"/>
        <w:spacing w:line="360" w:lineRule="auto"/>
        <w:rPr>
          <w:color w:val="000000" w:themeColor="text1"/>
        </w:rPr>
      </w:pPr>
      <w:r w:rsidRPr="00EC0229">
        <w:rPr>
          <w:color w:val="000000" w:themeColor="text1"/>
        </w:rPr>
        <w:t xml:space="preserve">Erratically variations over time and between emissions in the </w:t>
      </w:r>
      <w:r w:rsidR="009A49E4" w:rsidRPr="00EC0229">
        <w:rPr>
          <w:color w:val="000000" w:themeColor="text1"/>
        </w:rPr>
        <w:t xml:space="preserve">fineness of the output </w:t>
      </w:r>
      <w:r w:rsidRPr="00EC0229">
        <w:rPr>
          <w:color w:val="000000" w:themeColor="text1"/>
        </w:rPr>
        <w:t>wa</w:t>
      </w:r>
      <w:r w:rsidR="009A49E4" w:rsidRPr="00EC0229">
        <w:rPr>
          <w:color w:val="000000" w:themeColor="text1"/>
        </w:rPr>
        <w:t>s presumably determined by the silver supply available to the issuer. It is worth noting that there were domestic sources of silver</w:t>
      </w:r>
      <w:r w:rsidR="009A49E4" w:rsidRPr="00EC0229">
        <w:rPr>
          <w:rStyle w:val="FootnoteReference"/>
          <w:color w:val="000000" w:themeColor="text1"/>
        </w:rPr>
        <w:footnoteReference w:id="540"/>
      </w:r>
      <w:r w:rsidR="009A49E4" w:rsidRPr="00EC0229">
        <w:rPr>
          <w:color w:val="000000" w:themeColor="text1"/>
        </w:rPr>
        <w:t xml:space="preserve"> - not all supply required the export of produce. Salzman mentioned </w:t>
      </w:r>
      <w:r w:rsidR="00BF6095">
        <w:rPr>
          <w:color w:val="000000" w:themeColor="text1"/>
        </w:rPr>
        <w:t>several</w:t>
      </w:r>
      <w:r w:rsidR="009A49E4" w:rsidRPr="00EC0229">
        <w:rPr>
          <w:color w:val="000000" w:themeColor="text1"/>
        </w:rPr>
        <w:t xml:space="preserve"> early northern sources for silver including, Alston Moor in Cumbria; Ashford, Bakewell, Crich, Hope, Matlock, Metesford, Wirksworth, in Derbyshire; and Weardale, in County Durham.</w:t>
      </w:r>
      <w:r w:rsidR="009A49E4" w:rsidRPr="00EC0229">
        <w:rPr>
          <w:rStyle w:val="FootnoteReference"/>
          <w:color w:val="000000" w:themeColor="text1"/>
        </w:rPr>
        <w:footnoteReference w:id="541"/>
      </w:r>
      <w:r w:rsidR="009A49E4" w:rsidRPr="00EC0229">
        <w:rPr>
          <w:color w:val="000000" w:themeColor="text1"/>
        </w:rPr>
        <w:t xml:space="preserve"> Reece listed the Mendips, the Peak District and Flintshire.</w:t>
      </w:r>
      <w:r w:rsidR="009A49E4" w:rsidRPr="00EC0229">
        <w:rPr>
          <w:rStyle w:val="FootnoteReference"/>
          <w:color w:val="000000" w:themeColor="text1"/>
        </w:rPr>
        <w:footnoteReference w:id="542"/>
      </w:r>
      <w:r w:rsidR="009A49E4" w:rsidRPr="00EC0229">
        <w:rPr>
          <w:color w:val="000000" w:themeColor="text1"/>
        </w:rPr>
        <w:t xml:space="preserve"> </w:t>
      </w:r>
    </w:p>
    <w:p w14:paraId="3D075B55" w14:textId="77777777" w:rsidR="009A49E4" w:rsidRPr="00EC0229" w:rsidRDefault="009A49E4" w:rsidP="007600EA">
      <w:pPr>
        <w:pStyle w:val="NoSpacing"/>
        <w:spacing w:line="360" w:lineRule="auto"/>
        <w:rPr>
          <w:color w:val="000000" w:themeColor="text1"/>
        </w:rPr>
      </w:pPr>
      <w:r w:rsidRPr="00EC0229">
        <w:rPr>
          <w:color w:val="000000" w:themeColor="text1"/>
        </w:rPr>
        <w:t> </w:t>
      </w:r>
    </w:p>
    <w:p w14:paraId="5E479648" w14:textId="77777777" w:rsidR="009A49E4" w:rsidRPr="00EC0229" w:rsidRDefault="009A49E4" w:rsidP="007600EA">
      <w:pPr>
        <w:pStyle w:val="NoSpacing"/>
        <w:spacing w:line="360" w:lineRule="auto"/>
        <w:rPr>
          <w:color w:val="000000" w:themeColor="text1"/>
        </w:rPr>
      </w:pPr>
      <w:r w:rsidRPr="00EC0229">
        <w:rPr>
          <w:color w:val="000000" w:themeColor="text1"/>
        </w:rPr>
        <w:t>Spufford dismissed hoards and political action as viable long-term sources of the additional silver required for the substantial sceatta coinage.</w:t>
      </w:r>
      <w:r w:rsidRPr="00EC0229">
        <w:rPr>
          <w:rStyle w:val="FootnoteReference"/>
          <w:color w:val="000000" w:themeColor="text1"/>
        </w:rPr>
        <w:footnoteReference w:id="543"/>
      </w:r>
      <w:r w:rsidRPr="00EC0229">
        <w:rPr>
          <w:color w:val="000000" w:themeColor="text1"/>
        </w:rPr>
        <w:t xml:space="preserve">As the gold tremissis became more debased, more silver was required for that coinage and, subsequently, this may have been a source of supply for the sceat, but mining and trade flow must constitute the main sources. </w:t>
      </w:r>
      <w:r w:rsidRPr="00EC0229">
        <w:rPr>
          <w:i/>
          <w:iCs/>
          <w:color w:val="000000" w:themeColor="text1"/>
        </w:rPr>
        <w:t xml:space="preserve">MEC </w:t>
      </w:r>
      <w:r w:rsidRPr="00EC0229">
        <w:rPr>
          <w:color w:val="000000" w:themeColor="text1"/>
        </w:rPr>
        <w:t>noted that ‘the economic niche filled by the silver must have been quite different from that of the gold’</w:t>
      </w:r>
      <w:r w:rsidRPr="00EC0229">
        <w:rPr>
          <w:rStyle w:val="FootnoteReference"/>
          <w:color w:val="000000" w:themeColor="text1"/>
        </w:rPr>
        <w:footnoteReference w:id="544"/>
      </w:r>
      <w:r w:rsidRPr="00EC0229">
        <w:rPr>
          <w:color w:val="000000" w:themeColor="text1"/>
        </w:rPr>
        <w:t xml:space="preserve">  and argued that a major source of silver for minting in Merovingian Francia, was silver plate originally gifted by senatorial families to the Church then secularised by Pepin – there were far more ecclesiastical deniers struck than there had been tremisses.</w:t>
      </w:r>
    </w:p>
    <w:p w14:paraId="7B5D3027" w14:textId="77777777" w:rsidR="009A49E4" w:rsidRPr="00EC0229" w:rsidRDefault="009A49E4" w:rsidP="007600EA">
      <w:pPr>
        <w:pStyle w:val="NoSpacing"/>
        <w:spacing w:line="360" w:lineRule="auto"/>
        <w:rPr>
          <w:color w:val="000000" w:themeColor="text1"/>
        </w:rPr>
      </w:pPr>
      <w:r w:rsidRPr="00EC0229">
        <w:rPr>
          <w:color w:val="000000" w:themeColor="text1"/>
        </w:rPr>
        <w:lastRenderedPageBreak/>
        <w:t> </w:t>
      </w:r>
    </w:p>
    <w:p w14:paraId="410D4CDE" w14:textId="227900DE" w:rsidR="009A49E4" w:rsidRPr="00EC0229" w:rsidRDefault="009A49E4" w:rsidP="007600EA">
      <w:pPr>
        <w:pStyle w:val="NoSpacing"/>
        <w:spacing w:line="360" w:lineRule="auto"/>
        <w:rPr>
          <w:color w:val="000000" w:themeColor="text1"/>
        </w:rPr>
      </w:pPr>
      <w:r w:rsidRPr="00EC0229">
        <w:rPr>
          <w:color w:val="000000" w:themeColor="text1"/>
        </w:rPr>
        <w:t>England exporte</w:t>
      </w:r>
      <w:r w:rsidR="00F72D56" w:rsidRPr="00EC0229">
        <w:rPr>
          <w:color w:val="000000" w:themeColor="text1"/>
        </w:rPr>
        <w:t>d slaves and wool, and Frisia b</w:t>
      </w:r>
      <w:r w:rsidRPr="00EC0229">
        <w:rPr>
          <w:color w:val="000000" w:themeColor="text1"/>
        </w:rPr>
        <w:t>ought pottery, brooches and Coptic bronze vessels. Silver made up the balance in England’s favour. Frisia exported glass, bronze-work and pottery to Scandinavia and received furs in exchange.</w:t>
      </w:r>
      <w:r w:rsidR="00722FB8" w:rsidRPr="00EC0229">
        <w:rPr>
          <w:rStyle w:val="FootnoteReference"/>
          <w:color w:val="000000" w:themeColor="text1"/>
        </w:rPr>
        <w:footnoteReference w:id="545"/>
      </w:r>
      <w:r w:rsidRPr="00EC0229">
        <w:rPr>
          <w:color w:val="000000" w:themeColor="text1"/>
        </w:rPr>
        <w:t xml:space="preserve"> Again, Frisia paid the deficit in silver. Until its fall to the Franks in the 730s, Frisia sold on these luxury goods to Francia in exchange for goods. Settlement would have been in silver mined, most likely, from the argentiferous deposits at ‘Metullo’, Melle, </w:t>
      </w:r>
      <w:r w:rsidR="00640177" w:rsidRPr="00EC0229">
        <w:rPr>
          <w:color w:val="000000" w:themeColor="text1"/>
          <w:szCs w:val="24"/>
        </w:rPr>
        <w:t>(</w:t>
      </w:r>
      <w:r w:rsidR="00640177" w:rsidRPr="00EC0229">
        <w:rPr>
          <w:color w:val="000000" w:themeColor="text1"/>
          <w:szCs w:val="24"/>
        </w:rPr>
        <w:fldChar w:fldCharType="begin"/>
      </w:r>
      <w:r w:rsidR="00640177" w:rsidRPr="00EC0229">
        <w:rPr>
          <w:color w:val="000000" w:themeColor="text1"/>
          <w:szCs w:val="24"/>
        </w:rPr>
        <w:instrText xml:space="preserve"> REF _Ref441157326 \h </w:instrText>
      </w:r>
      <w:r w:rsidR="007600EA" w:rsidRPr="00EC0229">
        <w:rPr>
          <w:color w:val="000000" w:themeColor="text1"/>
          <w:szCs w:val="24"/>
        </w:rPr>
        <w:instrText xml:space="preserve"> \* MERGEFORMAT </w:instrText>
      </w:r>
      <w:r w:rsidR="00640177" w:rsidRPr="00EC0229">
        <w:rPr>
          <w:color w:val="000000" w:themeColor="text1"/>
          <w:szCs w:val="24"/>
        </w:rPr>
      </w:r>
      <w:r w:rsidR="00640177" w:rsidRPr="00EC0229">
        <w:rPr>
          <w:color w:val="000000" w:themeColor="text1"/>
          <w:szCs w:val="24"/>
        </w:rPr>
        <w:fldChar w:fldCharType="separate"/>
      </w:r>
      <w:r w:rsidR="0012026B" w:rsidRPr="0012026B">
        <w:rPr>
          <w:szCs w:val="24"/>
        </w:rPr>
        <w:t xml:space="preserve">Figure </w:t>
      </w:r>
      <w:r w:rsidR="0012026B" w:rsidRPr="0012026B">
        <w:rPr>
          <w:noProof/>
          <w:szCs w:val="24"/>
        </w:rPr>
        <w:t>28</w:t>
      </w:r>
      <w:r w:rsidR="00640177" w:rsidRPr="00EC0229">
        <w:rPr>
          <w:color w:val="000000" w:themeColor="text1"/>
          <w:szCs w:val="24"/>
        </w:rPr>
        <w:fldChar w:fldCharType="end"/>
      </w:r>
      <w:r w:rsidR="00F72D56" w:rsidRPr="00EC0229">
        <w:rPr>
          <w:color w:val="000000" w:themeColor="text1"/>
          <w:szCs w:val="24"/>
        </w:rPr>
        <w:t>)</w:t>
      </w:r>
      <w:r w:rsidR="00F72D56" w:rsidRPr="00EC0229">
        <w:rPr>
          <w:color w:val="000000" w:themeColor="text1"/>
        </w:rPr>
        <w:t xml:space="preserve"> </w:t>
      </w:r>
      <w:r w:rsidRPr="00EC0229">
        <w:rPr>
          <w:color w:val="000000" w:themeColor="text1"/>
        </w:rPr>
        <w:t>and minted initially at nearby Poitiers.</w:t>
      </w:r>
      <w:r w:rsidRPr="00EC0229">
        <w:rPr>
          <w:rStyle w:val="FootnoteReference"/>
          <w:color w:val="000000" w:themeColor="text1"/>
        </w:rPr>
        <w:footnoteReference w:id="546"/>
      </w:r>
    </w:p>
    <w:p w14:paraId="364AAE80" w14:textId="77777777" w:rsidR="009A49E4" w:rsidRPr="00EC0229" w:rsidRDefault="009A49E4" w:rsidP="007600EA">
      <w:pPr>
        <w:pStyle w:val="NoSpacing"/>
        <w:spacing w:line="360" w:lineRule="auto"/>
        <w:rPr>
          <w:color w:val="000000" w:themeColor="text1"/>
        </w:rPr>
      </w:pPr>
    </w:p>
    <w:p w14:paraId="71CE6BA0" w14:textId="1A95F9CF" w:rsidR="005A4CFB" w:rsidRPr="00EC0229" w:rsidRDefault="005A4CFB" w:rsidP="007600EA">
      <w:pPr>
        <w:pStyle w:val="NoSpacing"/>
        <w:spacing w:line="360" w:lineRule="auto"/>
        <w:jc w:val="center"/>
        <w:rPr>
          <w:color w:val="000000" w:themeColor="text1"/>
        </w:rPr>
      </w:pPr>
      <w:r w:rsidRPr="00EC0229">
        <w:rPr>
          <w:noProof/>
          <w:color w:val="000000" w:themeColor="text1"/>
          <w:lang w:eastAsia="en-GB"/>
        </w:rPr>
        <w:drawing>
          <wp:inline distT="0" distB="0" distL="0" distR="0" wp14:anchorId="765F02CC" wp14:editId="43AB779A">
            <wp:extent cx="1015512" cy="9779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310.jpg"/>
                    <pic:cNvPicPr/>
                  </pic:nvPicPr>
                  <pic:blipFill>
                    <a:blip r:embed="rId109">
                      <a:extLst>
                        <a:ext uri="{28A0092B-C50C-407E-A947-70E740481C1C}">
                          <a14:useLocalDpi xmlns:a14="http://schemas.microsoft.com/office/drawing/2010/main" val="0"/>
                        </a:ext>
                      </a:extLst>
                    </a:blip>
                    <a:stretch>
                      <a:fillRect/>
                    </a:stretch>
                  </pic:blipFill>
                  <pic:spPr>
                    <a:xfrm>
                      <a:off x="0" y="0"/>
                      <a:ext cx="1019431" cy="981673"/>
                    </a:xfrm>
                    <a:prstGeom prst="rect">
                      <a:avLst/>
                    </a:prstGeom>
                  </pic:spPr>
                </pic:pic>
              </a:graphicData>
            </a:graphic>
          </wp:inline>
        </w:drawing>
      </w:r>
      <w:r w:rsidRPr="00EC0229">
        <w:rPr>
          <w:noProof/>
          <w:color w:val="000000" w:themeColor="text1"/>
          <w:lang w:eastAsia="en-GB"/>
        </w:rPr>
        <w:drawing>
          <wp:inline distT="0" distB="0" distL="0" distR="0" wp14:anchorId="5B08CBAF" wp14:editId="01163EA2">
            <wp:extent cx="920761" cy="98044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310R.jpg"/>
                    <pic:cNvPicPr/>
                  </pic:nvPicPr>
                  <pic:blipFill>
                    <a:blip r:embed="rId110">
                      <a:extLst>
                        <a:ext uri="{28A0092B-C50C-407E-A947-70E740481C1C}">
                          <a14:useLocalDpi xmlns:a14="http://schemas.microsoft.com/office/drawing/2010/main" val="0"/>
                        </a:ext>
                      </a:extLst>
                    </a:blip>
                    <a:stretch>
                      <a:fillRect/>
                    </a:stretch>
                  </pic:blipFill>
                  <pic:spPr>
                    <a:xfrm>
                      <a:off x="0" y="0"/>
                      <a:ext cx="924361" cy="984273"/>
                    </a:xfrm>
                    <a:prstGeom prst="rect">
                      <a:avLst/>
                    </a:prstGeom>
                  </pic:spPr>
                </pic:pic>
              </a:graphicData>
            </a:graphic>
          </wp:inline>
        </w:drawing>
      </w:r>
    </w:p>
    <w:p w14:paraId="069D4A01" w14:textId="1BD67B1B" w:rsidR="005A4CFB" w:rsidRPr="00EC0229" w:rsidRDefault="005A4CFB" w:rsidP="007600EA">
      <w:pPr>
        <w:pStyle w:val="Caption"/>
        <w:spacing w:line="360" w:lineRule="auto"/>
        <w:jc w:val="center"/>
        <w:rPr>
          <w:color w:val="000000" w:themeColor="text1"/>
          <w:sz w:val="20"/>
          <w:szCs w:val="20"/>
        </w:rPr>
      </w:pPr>
      <w:bookmarkStart w:id="284" w:name="_Ref441157326"/>
      <w:bookmarkStart w:id="285" w:name="_Toc468267000"/>
      <w:r w:rsidRPr="00EC0229">
        <w:rPr>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sz w:val="20"/>
          <w:szCs w:val="20"/>
        </w:rPr>
        <w:t>28</w:t>
      </w:r>
      <w:r w:rsidRPr="00EC0229">
        <w:rPr>
          <w:sz w:val="20"/>
          <w:szCs w:val="20"/>
        </w:rPr>
        <w:fldChar w:fldCharType="end"/>
      </w:r>
      <w:bookmarkEnd w:id="284"/>
      <w:r w:rsidRPr="00EC0229">
        <w:rPr>
          <w:i w:val="0"/>
          <w:sz w:val="20"/>
          <w:szCs w:val="20"/>
        </w:rPr>
        <w:t>:</w:t>
      </w:r>
      <w:r w:rsidRPr="00EC0229">
        <w:rPr>
          <w:i w:val="0"/>
        </w:rPr>
        <w:t xml:space="preserve"> </w:t>
      </w:r>
      <w:r w:rsidRPr="00EC0229">
        <w:rPr>
          <w:i w:val="0"/>
          <w:color w:val="000000" w:themeColor="text1"/>
          <w:sz w:val="20"/>
          <w:szCs w:val="20"/>
        </w:rPr>
        <w:t>Denier of Melle</w:t>
      </w:r>
      <w:bookmarkEnd w:id="285"/>
    </w:p>
    <w:p w14:paraId="328CFCD4" w14:textId="2DAACCA2" w:rsidR="005A4CFB" w:rsidRPr="00EC0229" w:rsidRDefault="005A4CFB" w:rsidP="007600EA">
      <w:pPr>
        <w:pStyle w:val="NoSpacing"/>
        <w:spacing w:line="360" w:lineRule="auto"/>
        <w:jc w:val="center"/>
        <w:rPr>
          <w:color w:val="000000" w:themeColor="text1"/>
          <w:sz w:val="20"/>
          <w:szCs w:val="20"/>
        </w:rPr>
      </w:pPr>
      <w:r w:rsidRPr="00EC0229">
        <w:rPr>
          <w:color w:val="000000" w:themeColor="text1"/>
          <w:sz w:val="20"/>
          <w:szCs w:val="20"/>
        </w:rPr>
        <w:t>Monogram</w:t>
      </w:r>
      <w:r w:rsidR="00D46F0E" w:rsidRPr="00EC0229">
        <w:rPr>
          <w:color w:val="000000" w:themeColor="text1"/>
          <w:sz w:val="20"/>
          <w:szCs w:val="20"/>
        </w:rPr>
        <w:t>s</w:t>
      </w:r>
      <w:r w:rsidRPr="00EC0229">
        <w:rPr>
          <w:color w:val="000000" w:themeColor="text1"/>
          <w:sz w:val="20"/>
          <w:szCs w:val="20"/>
        </w:rPr>
        <w:t xml:space="preserve"> of </w:t>
      </w:r>
      <w:r w:rsidRPr="00EC0229">
        <w:rPr>
          <w:i/>
          <w:color w:val="000000" w:themeColor="text1"/>
          <w:sz w:val="20"/>
          <w:szCs w:val="20"/>
        </w:rPr>
        <w:t>Metalus</w:t>
      </w:r>
      <w:r w:rsidRPr="00EC0229">
        <w:rPr>
          <w:color w:val="000000" w:themeColor="text1"/>
          <w:sz w:val="20"/>
          <w:szCs w:val="20"/>
        </w:rPr>
        <w:t xml:space="preserve"> and Nemfidius of Marseilles, found Ashford, Kent.</w:t>
      </w:r>
    </w:p>
    <w:p w14:paraId="1BC05BEC" w14:textId="77777777" w:rsidR="00640177" w:rsidRPr="00EC0229" w:rsidRDefault="00640177" w:rsidP="007600EA">
      <w:pPr>
        <w:pStyle w:val="NoSpacing"/>
        <w:spacing w:line="360" w:lineRule="auto"/>
        <w:jc w:val="center"/>
        <w:rPr>
          <w:color w:val="000000" w:themeColor="text1"/>
          <w:sz w:val="20"/>
          <w:szCs w:val="20"/>
        </w:rPr>
      </w:pPr>
    </w:p>
    <w:p w14:paraId="6A1533C6" w14:textId="68E344AC" w:rsidR="009A49E4" w:rsidRPr="00EC0229" w:rsidRDefault="009A49E4" w:rsidP="007600EA">
      <w:pPr>
        <w:pStyle w:val="NoSpacing"/>
        <w:spacing w:line="360" w:lineRule="auto"/>
        <w:rPr>
          <w:color w:val="000000" w:themeColor="text1"/>
        </w:rPr>
      </w:pPr>
      <w:r w:rsidRPr="00EC0229">
        <w:rPr>
          <w:color w:val="000000" w:themeColor="text1"/>
        </w:rPr>
        <w:t>It remains uncertain what the value of a sceat may have been. A single denomination equivalent to a day’s pay is a substantial, indivisible amount not easily exchanged for the daily necessities of life.</w:t>
      </w:r>
      <w:r w:rsidRPr="00EC0229">
        <w:rPr>
          <w:rStyle w:val="FootnoteReference"/>
          <w:color w:val="000000" w:themeColor="text1"/>
        </w:rPr>
        <w:footnoteReference w:id="547"/>
      </w:r>
      <w:r w:rsidRPr="00EC0229">
        <w:rPr>
          <w:color w:val="000000" w:themeColor="text1"/>
        </w:rPr>
        <w:t xml:space="preserve">  Page discussed the work loads of different ranks.</w:t>
      </w:r>
      <w:r w:rsidRPr="00EC0229">
        <w:rPr>
          <w:rStyle w:val="FootnoteReference"/>
          <w:color w:val="000000" w:themeColor="text1"/>
        </w:rPr>
        <w:footnoteReference w:id="548"/>
      </w:r>
      <w:r w:rsidRPr="00EC0229">
        <w:rPr>
          <w:color w:val="000000" w:themeColor="text1"/>
        </w:rPr>
        <w:t xml:space="preserve"> </w:t>
      </w:r>
    </w:p>
    <w:p w14:paraId="4A701383" w14:textId="7A0A2EC3" w:rsidR="009A49E4" w:rsidRPr="00EC0229" w:rsidRDefault="009A49E4" w:rsidP="007600EA">
      <w:pPr>
        <w:spacing w:before="100" w:beforeAutospacing="1" w:after="100" w:afterAutospacing="1" w:line="360" w:lineRule="auto"/>
        <w:rPr>
          <w:color w:val="000000" w:themeColor="text1"/>
        </w:rPr>
      </w:pPr>
      <w:r w:rsidRPr="00EC0229">
        <w:rPr>
          <w:color w:val="000000" w:themeColor="text1"/>
        </w:rPr>
        <w:t xml:space="preserve">Metcalf’s </w:t>
      </w:r>
      <w:r w:rsidRPr="00EC0229">
        <w:rPr>
          <w:i/>
          <w:iCs/>
          <w:color w:val="000000" w:themeColor="text1"/>
        </w:rPr>
        <w:t>T&amp;S</w:t>
      </w:r>
      <w:r w:rsidR="00AC49FA" w:rsidRPr="00EC0229">
        <w:rPr>
          <w:color w:val="000000" w:themeColor="text1"/>
        </w:rPr>
        <w:t xml:space="preserve"> and Gannon</w:t>
      </w:r>
      <w:r w:rsidR="00AC49FA" w:rsidRPr="00EC0229">
        <w:rPr>
          <w:rStyle w:val="FootnoteReference"/>
          <w:color w:val="000000" w:themeColor="text1"/>
        </w:rPr>
        <w:footnoteReference w:id="549"/>
      </w:r>
      <w:r w:rsidRPr="00EC0229">
        <w:rPr>
          <w:color w:val="000000" w:themeColor="text1"/>
        </w:rPr>
        <w:t xml:space="preserve"> remain the main sources for study of the classification</w:t>
      </w:r>
      <w:r w:rsidRPr="00EC0229">
        <w:rPr>
          <w:rStyle w:val="FootnoteReference"/>
          <w:color w:val="000000" w:themeColor="text1"/>
        </w:rPr>
        <w:footnoteReference w:id="550"/>
      </w:r>
      <w:r w:rsidRPr="00EC0229">
        <w:rPr>
          <w:color w:val="000000" w:themeColor="text1"/>
        </w:rPr>
        <w:t xml:space="preserve"> and iconography, respectively.</w:t>
      </w:r>
      <w:r w:rsidRPr="00EC0229">
        <w:rPr>
          <w:rStyle w:val="FootnoteReference"/>
          <w:color w:val="000000" w:themeColor="text1"/>
        </w:rPr>
        <w:footnoteReference w:id="551"/>
      </w:r>
      <w:r w:rsidR="00C42BD5" w:rsidRPr="00EC0229">
        <w:rPr>
          <w:color w:val="000000" w:themeColor="text1"/>
        </w:rPr>
        <w:t xml:space="preserve"> Abramson </w:t>
      </w:r>
      <w:r w:rsidRPr="00EC0229">
        <w:rPr>
          <w:color w:val="000000" w:themeColor="text1"/>
        </w:rPr>
        <w:t>is a comprehensive visual guide to the main varieties.</w:t>
      </w:r>
      <w:r w:rsidR="00C42BD5" w:rsidRPr="00EC0229">
        <w:rPr>
          <w:rStyle w:val="FootnoteReference"/>
          <w:color w:val="000000" w:themeColor="text1"/>
        </w:rPr>
        <w:footnoteReference w:id="552"/>
      </w:r>
      <w:r w:rsidRPr="00EC0229">
        <w:rPr>
          <w:color w:val="000000" w:themeColor="text1"/>
        </w:rPr>
        <w:t xml:space="preserve"> </w:t>
      </w:r>
    </w:p>
    <w:p w14:paraId="48A96799" w14:textId="77777777" w:rsidR="009A49E4" w:rsidRPr="00EC0229" w:rsidRDefault="009A49E4" w:rsidP="007600EA">
      <w:pPr>
        <w:pStyle w:val="NoSpacing"/>
        <w:spacing w:line="360" w:lineRule="auto"/>
        <w:jc w:val="center"/>
        <w:rPr>
          <w:color w:val="000000" w:themeColor="text1"/>
        </w:rPr>
      </w:pPr>
      <w:r w:rsidRPr="00EC0229">
        <w:rPr>
          <w:color w:val="000000" w:themeColor="text1"/>
        </w:rPr>
        <w:lastRenderedPageBreak/>
        <w:t xml:space="preserve">   </w:t>
      </w:r>
      <w:r w:rsidRPr="00EC0229">
        <w:rPr>
          <w:noProof/>
          <w:color w:val="000000" w:themeColor="text1"/>
          <w:lang w:eastAsia="en-GB"/>
        </w:rPr>
        <w:drawing>
          <wp:inline distT="0" distB="0" distL="0" distR="0" wp14:anchorId="45E78AE9" wp14:editId="5EC8E73B">
            <wp:extent cx="929640" cy="906780"/>
            <wp:effectExtent l="0" t="0" r="3810" b="7620"/>
            <wp:docPr id="537" name="Picture 537" descr="http://www.anglo-saxon-coinage.co.uk/resources/_wsb_98x95_10+Y08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ww.anglo-saxon-coinage.co.uk/resources/_wsb_98x95_10+Y080R.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9640" cy="906780"/>
                    </a:xfrm>
                    <a:prstGeom prst="rect">
                      <a:avLst/>
                    </a:prstGeom>
                    <a:noFill/>
                    <a:ln>
                      <a:noFill/>
                    </a:ln>
                  </pic:spPr>
                </pic:pic>
              </a:graphicData>
            </a:graphic>
          </wp:inline>
        </w:drawing>
      </w:r>
      <w:r w:rsidRPr="00EC0229">
        <w:rPr>
          <w:noProof/>
          <w:color w:val="000000" w:themeColor="text1"/>
          <w:lang w:eastAsia="en-GB"/>
        </w:rPr>
        <w:drawing>
          <wp:inline distT="0" distB="0" distL="0" distR="0" wp14:anchorId="5C5BB36D" wp14:editId="44FF3324">
            <wp:extent cx="883920" cy="883920"/>
            <wp:effectExtent l="0" t="0" r="0" b="0"/>
            <wp:docPr id="536" name="Picture 536" descr="http://www.anglo-saxon-coinage.co.uk/resources/_wsb_93x93_30+Q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www.anglo-saxon-coinage.co.uk/resources/_wsb_93x93_30+Q38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a:ln>
                      <a:noFill/>
                    </a:ln>
                  </pic:spPr>
                </pic:pic>
              </a:graphicData>
            </a:graphic>
          </wp:inline>
        </w:drawing>
      </w:r>
      <w:r w:rsidRPr="00EC0229">
        <w:rPr>
          <w:color w:val="000000" w:themeColor="text1"/>
        </w:rPr>
        <w:t xml:space="preserve">      </w:t>
      </w:r>
      <w:r w:rsidRPr="00EC0229">
        <w:rPr>
          <w:noProof/>
          <w:color w:val="000000" w:themeColor="text1"/>
          <w:lang w:eastAsia="en-GB"/>
        </w:rPr>
        <w:drawing>
          <wp:inline distT="0" distB="0" distL="0" distR="0" wp14:anchorId="0D59BE0E" wp14:editId="46DCC79F">
            <wp:extent cx="861060" cy="876300"/>
            <wp:effectExtent l="0" t="0" r="0" b="0"/>
            <wp:docPr id="535" name="Picture 535" descr="http://www.anglo-saxon-coinage.co.uk/resources/_wsb_90x92_120+Y11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www.anglo-saxon-coinage.co.uk/resources/_wsb_90x92_120+Y110R.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1060" cy="876300"/>
                    </a:xfrm>
                    <a:prstGeom prst="rect">
                      <a:avLst/>
                    </a:prstGeom>
                    <a:noFill/>
                    <a:ln>
                      <a:noFill/>
                    </a:ln>
                  </pic:spPr>
                </pic:pic>
              </a:graphicData>
            </a:graphic>
          </wp:inline>
        </w:drawing>
      </w:r>
      <w:r w:rsidRPr="00EC0229">
        <w:rPr>
          <w:noProof/>
          <w:color w:val="000000" w:themeColor="text1"/>
          <w:lang w:eastAsia="en-GB"/>
        </w:rPr>
        <w:drawing>
          <wp:inline distT="0" distB="0" distL="0" distR="0" wp14:anchorId="1EE302DE" wp14:editId="05F1CBE7">
            <wp:extent cx="929640" cy="929640"/>
            <wp:effectExtent l="0" t="0" r="3810" b="3810"/>
            <wp:docPr id="534" name="Picture 534" descr="http://www.anglo-saxon-coinage.co.uk/resources/_wsb_98x98_20+Q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anglo-saxon-coinage.co.uk/resources/_wsb_98x98_20+Q36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29640" cy="929640"/>
                    </a:xfrm>
                    <a:prstGeom prst="rect">
                      <a:avLst/>
                    </a:prstGeom>
                    <a:noFill/>
                    <a:ln>
                      <a:noFill/>
                    </a:ln>
                  </pic:spPr>
                </pic:pic>
              </a:graphicData>
            </a:graphic>
          </wp:inline>
        </w:drawing>
      </w:r>
    </w:p>
    <w:p w14:paraId="5255452B" w14:textId="66A3F8AF" w:rsidR="00C42BD5" w:rsidRPr="00EC0229" w:rsidRDefault="0080290B" w:rsidP="007600EA">
      <w:pPr>
        <w:pStyle w:val="NoSpacing"/>
        <w:spacing w:line="360" w:lineRule="auto"/>
        <w:jc w:val="center"/>
        <w:rPr>
          <w:sz w:val="20"/>
          <w:szCs w:val="20"/>
        </w:rPr>
      </w:pPr>
      <w:bookmarkStart w:id="286" w:name="_Ref433102126"/>
      <w:bookmarkStart w:id="287" w:name="_Toc46826700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29</w:t>
      </w:r>
      <w:r w:rsidRPr="00EC0229">
        <w:rPr>
          <w:sz w:val="20"/>
          <w:szCs w:val="20"/>
        </w:rPr>
        <w:fldChar w:fldCharType="end"/>
      </w:r>
      <w:bookmarkEnd w:id="286"/>
      <w:r w:rsidRPr="00EC0229">
        <w:rPr>
          <w:sz w:val="20"/>
          <w:szCs w:val="20"/>
        </w:rPr>
        <w:t xml:space="preserve">: </w:t>
      </w:r>
      <w:r w:rsidR="00C42BD5" w:rsidRPr="00EC0229">
        <w:rPr>
          <w:sz w:val="20"/>
          <w:szCs w:val="20"/>
        </w:rPr>
        <w:t>Sceatta reverses compared.</w:t>
      </w:r>
      <w:bookmarkEnd w:id="287"/>
    </w:p>
    <w:p w14:paraId="25F83EB6" w14:textId="77777777" w:rsidR="009A49E4" w:rsidRPr="00EC0229" w:rsidRDefault="009A49E4" w:rsidP="007600EA">
      <w:pPr>
        <w:pStyle w:val="NoSpacing"/>
        <w:spacing w:line="360" w:lineRule="auto"/>
        <w:jc w:val="center"/>
        <w:rPr>
          <w:sz w:val="20"/>
          <w:szCs w:val="20"/>
        </w:rPr>
      </w:pPr>
      <w:r w:rsidRPr="00EC0229">
        <w:rPr>
          <w:sz w:val="20"/>
          <w:szCs w:val="20"/>
        </w:rPr>
        <w:t>a-d: Northumbrian Series Y (a &amp; c, 737-58) and East Anglian Series Q (b, 740s &amp; d, 725-45).</w:t>
      </w:r>
    </w:p>
    <w:p w14:paraId="429DB5BD" w14:textId="77777777" w:rsidR="009A49E4" w:rsidRPr="00EC0229" w:rsidRDefault="009A49E4" w:rsidP="007600EA">
      <w:pPr>
        <w:pStyle w:val="NoSpacing"/>
        <w:spacing w:line="360" w:lineRule="auto"/>
        <w:jc w:val="center"/>
        <w:rPr>
          <w:sz w:val="20"/>
          <w:szCs w:val="20"/>
        </w:rPr>
      </w:pPr>
      <w:r w:rsidRPr="00EC0229">
        <w:rPr>
          <w:sz w:val="20"/>
          <w:szCs w:val="20"/>
        </w:rPr>
        <w:t>Findspots a-d: ‘4 miles east of York’, Norfolk/Cambridgeshire, South Newbald and Harwell.</w:t>
      </w:r>
    </w:p>
    <w:p w14:paraId="0022F336" w14:textId="77777777" w:rsidR="0080290B" w:rsidRPr="00EC0229" w:rsidRDefault="0080290B" w:rsidP="007600EA">
      <w:pPr>
        <w:pStyle w:val="NoSpacing"/>
        <w:spacing w:line="360" w:lineRule="auto"/>
        <w:jc w:val="center"/>
        <w:rPr>
          <w:sz w:val="20"/>
          <w:szCs w:val="20"/>
        </w:rPr>
      </w:pPr>
    </w:p>
    <w:p w14:paraId="3751F8F7" w14:textId="220E78A7" w:rsidR="009A49E4" w:rsidRPr="00EC0229" w:rsidRDefault="009A49E4" w:rsidP="007600EA">
      <w:pPr>
        <w:pStyle w:val="NoSpacing"/>
        <w:spacing w:line="360" w:lineRule="auto"/>
      </w:pPr>
      <w:r w:rsidRPr="00EC0229">
        <w:t xml:space="preserve">Sceats of Northumbrian Series Y and East Anglian Series Q share syncretic design elements and </w:t>
      </w:r>
      <w:r w:rsidRPr="00EC0229">
        <w:rPr>
          <w:szCs w:val="24"/>
        </w:rPr>
        <w:t>styles</w:t>
      </w:r>
      <w:r w:rsidR="00203C92" w:rsidRPr="00EC0229">
        <w:rPr>
          <w:szCs w:val="24"/>
        </w:rPr>
        <w:t xml:space="preserve"> (</w:t>
      </w:r>
      <w:r w:rsidR="00203C92" w:rsidRPr="00EC0229">
        <w:rPr>
          <w:szCs w:val="24"/>
        </w:rPr>
        <w:fldChar w:fldCharType="begin"/>
      </w:r>
      <w:r w:rsidR="00203C92" w:rsidRPr="00EC0229">
        <w:rPr>
          <w:szCs w:val="24"/>
        </w:rPr>
        <w:instrText xml:space="preserve"> REF _Ref433102126 \h  \* MERGEFORMAT </w:instrText>
      </w:r>
      <w:r w:rsidR="00203C92" w:rsidRPr="00EC0229">
        <w:rPr>
          <w:szCs w:val="24"/>
        </w:rPr>
      </w:r>
      <w:r w:rsidR="00203C92"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29</w:t>
      </w:r>
      <w:r w:rsidR="00203C92" w:rsidRPr="00EC0229">
        <w:rPr>
          <w:szCs w:val="24"/>
        </w:rPr>
        <w:fldChar w:fldCharType="end"/>
      </w:r>
      <w:r w:rsidR="00203C92" w:rsidRPr="00EC0229">
        <w:rPr>
          <w:szCs w:val="24"/>
        </w:rPr>
        <w:t>)</w:t>
      </w:r>
      <w:r w:rsidRPr="00EC0229">
        <w:rPr>
          <w:szCs w:val="24"/>
        </w:rPr>
        <w:t>.</w:t>
      </w:r>
      <w:r w:rsidRPr="00EC0229">
        <w:t xml:space="preserve"> Series Q is an imaginatively varied, well-executed and comparatively rare, ecclesiastical coinage which complements </w:t>
      </w:r>
      <w:r w:rsidRPr="00EC0229">
        <w:rPr>
          <w:i/>
          <w:iCs/>
        </w:rPr>
        <w:t>Gipeswic’s</w:t>
      </w:r>
      <w:r w:rsidRPr="00EC0229">
        <w:t xml:space="preserve"> trading currency of the long-lived, abundant and conservatively designed Series R.</w:t>
      </w:r>
      <w:r w:rsidR="0080290B" w:rsidRPr="00EC0229">
        <w:t xml:space="preserve"> As the number </w:t>
      </w:r>
      <w:r w:rsidR="00D46F0E" w:rsidRPr="00EC0229">
        <w:t>of main varieties now exceeds 64</w:t>
      </w:r>
      <w:r w:rsidR="0080290B" w:rsidRPr="00EC0229">
        <w:t>0</w:t>
      </w:r>
      <w:r w:rsidR="0080290B" w:rsidRPr="00EC0229">
        <w:rPr>
          <w:rStyle w:val="FootnoteReference"/>
        </w:rPr>
        <w:footnoteReference w:id="553"/>
      </w:r>
      <w:r w:rsidR="0080290B" w:rsidRPr="00EC0229">
        <w:t xml:space="preserve"> (excluding sub-varieties), only the Northumbrian varieties will be discussed in any detail. The well-executed, epigraphic Northumbrian series allows greater discrimination in typology than is possible elsewhere in the sceatta coinage.</w:t>
      </w:r>
    </w:p>
    <w:p w14:paraId="449DF722" w14:textId="012986A6" w:rsidR="009A49E4" w:rsidRPr="00EC0229" w:rsidRDefault="009A49E4" w:rsidP="007600EA">
      <w:pPr>
        <w:spacing w:line="360" w:lineRule="auto"/>
      </w:pPr>
    </w:p>
    <w:p w14:paraId="4F4DAD7C" w14:textId="4D7E6C82" w:rsidR="00A33875" w:rsidRPr="008E6548" w:rsidRDefault="008259E1" w:rsidP="008259E1">
      <w:pPr>
        <w:pStyle w:val="Heading3"/>
      </w:pPr>
      <w:bookmarkStart w:id="288" w:name="_Toc468266787"/>
      <w:r>
        <w:t>5.3.3</w:t>
      </w:r>
      <w:r>
        <w:tab/>
      </w:r>
      <w:r w:rsidR="00A33875" w:rsidRPr="008E6548">
        <w:t xml:space="preserve">Northern coinages in </w:t>
      </w:r>
      <w:r w:rsidR="00F139AF" w:rsidRPr="008E6548">
        <w:t>the eighth century</w:t>
      </w:r>
      <w:bookmarkEnd w:id="288"/>
    </w:p>
    <w:p w14:paraId="720552AC" w14:textId="77777777" w:rsidR="00A33875" w:rsidRPr="00EC0229" w:rsidRDefault="00A33875" w:rsidP="007600EA">
      <w:pPr>
        <w:pStyle w:val="NoSpacing"/>
        <w:spacing w:line="360" w:lineRule="auto"/>
        <w:jc w:val="right"/>
        <w:rPr>
          <w:sz w:val="20"/>
          <w:szCs w:val="20"/>
        </w:rPr>
      </w:pPr>
      <w:r w:rsidRPr="00EC0229">
        <w:rPr>
          <w:sz w:val="20"/>
          <w:szCs w:val="20"/>
        </w:rPr>
        <w:t>‘the northern kingdom was on the far fringes of monetary development’,</w:t>
      </w:r>
    </w:p>
    <w:p w14:paraId="51418E83" w14:textId="1C7C5AF2" w:rsidR="00A33875" w:rsidRPr="00EC0229" w:rsidRDefault="00A33875" w:rsidP="007600EA">
      <w:pPr>
        <w:pStyle w:val="NoSpacing"/>
        <w:spacing w:line="360" w:lineRule="auto"/>
        <w:jc w:val="right"/>
        <w:rPr>
          <w:sz w:val="20"/>
          <w:szCs w:val="20"/>
        </w:rPr>
      </w:pPr>
      <w:r w:rsidRPr="00EC0229">
        <w:rPr>
          <w:sz w:val="20"/>
          <w:szCs w:val="20"/>
        </w:rPr>
        <w:t>Michael Metcalf</w:t>
      </w:r>
      <w:r w:rsidR="00F204A1" w:rsidRPr="00EC0229">
        <w:rPr>
          <w:sz w:val="20"/>
          <w:szCs w:val="20"/>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sz w:val="20"/>
          <w:szCs w:val="20"/>
        </w:rPr>
        <w:fldChar w:fldCharType="end"/>
      </w:r>
      <w:r w:rsidR="00F3671D" w:rsidRPr="00EC0229">
        <w:rPr>
          <w:sz w:val="20"/>
          <w:szCs w:val="20"/>
        </w:rPr>
        <w:t xml:space="preserve"> (</w:t>
      </w:r>
      <w:r w:rsidRPr="00EC0229">
        <w:rPr>
          <w:sz w:val="20"/>
          <w:szCs w:val="20"/>
        </w:rPr>
        <w:t>2014b</w:t>
      </w:r>
      <w:r w:rsidR="00F3671D" w:rsidRPr="00EC0229">
        <w:rPr>
          <w:sz w:val="20"/>
          <w:szCs w:val="20"/>
        </w:rPr>
        <w:t>,</w:t>
      </w:r>
      <w:r w:rsidRPr="00EC0229">
        <w:rPr>
          <w:sz w:val="20"/>
          <w:szCs w:val="20"/>
        </w:rPr>
        <w:t xml:space="preserve"> 54</w:t>
      </w:r>
      <w:r w:rsidR="00F3671D" w:rsidRPr="00EC0229">
        <w:rPr>
          <w:sz w:val="20"/>
          <w:szCs w:val="20"/>
        </w:rPr>
        <w:t>)</w:t>
      </w:r>
    </w:p>
    <w:p w14:paraId="5B052582" w14:textId="40D50D2F" w:rsidR="00A33875" w:rsidRPr="00EC0229" w:rsidRDefault="00A33875" w:rsidP="007600EA">
      <w:pPr>
        <w:pStyle w:val="NoSpacing"/>
        <w:spacing w:line="360" w:lineRule="auto"/>
      </w:pPr>
      <w:r w:rsidRPr="00EC0229">
        <w:t xml:space="preserve">The extent to which the silver sceat enabled mercantile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is reflected in the mix of regional emissions present in the circulating medium as signified by single finds. During the primary phase, Aldfrith</w:t>
      </w:r>
      <w:r w:rsidR="00D142DC" w:rsidRPr="00EC0229">
        <w:fldChar w:fldCharType="begin"/>
      </w:r>
      <w:r w:rsidR="00D142DC" w:rsidRPr="00EC0229">
        <w:instrText xml:space="preserve"> XE "Aldfrith" </w:instrText>
      </w:r>
      <w:r w:rsidR="00D142DC" w:rsidRPr="00EC0229">
        <w:fldChar w:fldCharType="end"/>
      </w:r>
      <w:r w:rsidRPr="00EC0229">
        <w:t xml:space="preserve">’s coinage was supplemented by sceats from both </w:t>
      </w:r>
      <w:r w:rsidR="00572E51" w:rsidRPr="00EC0229">
        <w:t>Southumbria</w:t>
      </w:r>
      <w:r w:rsidRPr="00EC0229">
        <w:t xml:space="preserve"> and the Continent. In the interval of Aldfrith’s incompetent successors,</w:t>
      </w:r>
      <w:r w:rsidRPr="00EC0229">
        <w:rPr>
          <w:rStyle w:val="FootnoteReference"/>
        </w:rPr>
        <w:footnoteReference w:id="554"/>
      </w:r>
      <w:r w:rsidRPr="00EC0229">
        <w:t xml:space="preserve"> before Eadberht</w:t>
      </w:r>
      <w:r w:rsidR="00D142DC" w:rsidRPr="00EC0229">
        <w:fldChar w:fldCharType="begin"/>
      </w:r>
      <w:r w:rsidR="00D142DC" w:rsidRPr="00EC0229">
        <w:instrText xml:space="preserve"> XE "Eadberht" </w:instrText>
      </w:r>
      <w:r w:rsidR="00D142DC" w:rsidRPr="00EC0229">
        <w:fldChar w:fldCharType="end"/>
      </w:r>
      <w:r w:rsidRPr="00EC0229">
        <w:t xml:space="preserve">’s </w:t>
      </w:r>
      <w:r w:rsidRPr="00EC0229">
        <w:rPr>
          <w:i/>
        </w:rPr>
        <w:t>renovatio</w:t>
      </w:r>
      <w:r w:rsidR="00F204A1" w:rsidRPr="00EC0229">
        <w:rPr>
          <w:i/>
        </w:rPr>
        <w:fldChar w:fldCharType="begin"/>
      </w:r>
      <w:r w:rsidR="00F204A1" w:rsidRPr="00EC0229">
        <w:instrText xml:space="preserve"> XE "</w:instrText>
      </w:r>
      <w:r w:rsidR="00F204A1" w:rsidRPr="00EC0229">
        <w:rPr>
          <w:rStyle w:val="Hyperlink"/>
          <w:i/>
          <w:noProof/>
          <w:u w:val="none"/>
        </w:rPr>
        <w:instrText>renovatio</w:instrText>
      </w:r>
      <w:r w:rsidR="00F204A1" w:rsidRPr="00EC0229">
        <w:instrText xml:space="preserve">" </w:instrText>
      </w:r>
      <w:r w:rsidR="00F204A1" w:rsidRPr="00EC0229">
        <w:rPr>
          <w:i/>
        </w:rPr>
        <w:fldChar w:fldCharType="end"/>
      </w:r>
      <w:r w:rsidRPr="00EC0229">
        <w:rPr>
          <w:i/>
        </w:rPr>
        <w:t xml:space="preserve"> monet</w:t>
      </w:r>
      <w:r w:rsidRPr="00EC0229">
        <w:rPr>
          <w:rFonts w:cs="Times New Roman"/>
          <w:i/>
        </w:rPr>
        <w:t>æ</w:t>
      </w:r>
      <w:r w:rsidRPr="00EC0229">
        <w:rPr>
          <w:rFonts w:cs="Times New Roman"/>
        </w:rPr>
        <w:t>,</w:t>
      </w:r>
      <w:r w:rsidRPr="00EC0229">
        <w:rPr>
          <w:rStyle w:val="FootnoteReference"/>
          <w:rFonts w:cs="Times New Roman"/>
        </w:rPr>
        <w:footnoteReference w:id="555"/>
      </w:r>
      <w:r w:rsidRPr="00EC0229">
        <w:t xml:space="preserve"> these two components were augmented by what may well be non-regal northern currencies – possibly including the trading elements of Series</w:t>
      </w:r>
      <w:r w:rsidR="00D142DC" w:rsidRPr="00EC0229">
        <w:fldChar w:fldCharType="begin"/>
      </w:r>
      <w:r w:rsidR="00D142DC" w:rsidRPr="00EC0229">
        <w:instrText xml:space="preserve"> XE "Series" </w:instrText>
      </w:r>
      <w:r w:rsidR="00D142DC" w:rsidRPr="00EC0229">
        <w:fldChar w:fldCharType="end"/>
      </w:r>
      <w:r w:rsidRPr="00EC0229">
        <w:t xml:space="preserve"> J, types 36, 37 </w:t>
      </w:r>
      <w:r w:rsidR="00862F15" w:rsidRPr="00EC0229">
        <w:t>and</w:t>
      </w:r>
      <w:r w:rsidRPr="00EC0229">
        <w:t xml:space="preserve"> 85</w:t>
      </w:r>
      <w:r w:rsidR="004D1CCC" w:rsidRPr="00EC0229">
        <w:rPr>
          <w:rStyle w:val="FootnoteReference"/>
        </w:rPr>
        <w:footnoteReference w:id="556"/>
      </w:r>
      <w:r w:rsidR="004D1CCC" w:rsidRPr="00EC0229">
        <w:t xml:space="preserve"> </w:t>
      </w:r>
      <w:r w:rsidR="00F3671D" w:rsidRPr="00EC0229">
        <w:t>(</w:t>
      </w:r>
      <w:r w:rsidRPr="00EC0229">
        <w:t>and, arguably, the exotic species of the ‘fledgling’ variety</w:t>
      </w:r>
      <w:r w:rsidR="004D1CCC" w:rsidRPr="00EC0229">
        <w:t>.</w:t>
      </w:r>
      <w:r w:rsidRPr="00EC0229">
        <w:rPr>
          <w:rStyle w:val="FootnoteReference"/>
        </w:rPr>
        <w:footnoteReference w:id="557"/>
      </w:r>
      <w:r w:rsidR="00F3671D" w:rsidRPr="00EC0229">
        <w:t>)</w:t>
      </w:r>
    </w:p>
    <w:p w14:paraId="6F7CD7F9" w14:textId="77777777" w:rsidR="00A33875" w:rsidRPr="00EC0229" w:rsidRDefault="00A33875" w:rsidP="007600EA">
      <w:pPr>
        <w:pStyle w:val="NoSpacing"/>
        <w:spacing w:line="360" w:lineRule="auto"/>
      </w:pPr>
    </w:p>
    <w:p w14:paraId="23764CF1" w14:textId="77777777" w:rsidR="00A33875" w:rsidRPr="00EC0229" w:rsidRDefault="00A33875" w:rsidP="007600EA">
      <w:pPr>
        <w:pStyle w:val="NoSpacing"/>
        <w:spacing w:line="360" w:lineRule="auto"/>
      </w:pPr>
      <w:r w:rsidRPr="00EC0229">
        <w:t>Therefore, periods of the northern coinage, while the sceat was still current in the south, can be represented as:</w:t>
      </w:r>
    </w:p>
    <w:p w14:paraId="0C72792B" w14:textId="33DC1B60" w:rsidR="00A33875" w:rsidRPr="00EC0229" w:rsidRDefault="00A33875" w:rsidP="007600EA">
      <w:pPr>
        <w:pStyle w:val="NoSpacing"/>
        <w:spacing w:line="360" w:lineRule="auto"/>
      </w:pPr>
      <w:r w:rsidRPr="00EC0229">
        <w:t xml:space="preserve">4. </w:t>
      </w:r>
      <w:r w:rsidRPr="00EC0229">
        <w:tab/>
        <w:t>Primary silver sceats</w:t>
      </w:r>
      <w:r w:rsidR="00F3671D" w:rsidRPr="00EC0229">
        <w:t>:</w:t>
      </w:r>
      <w:r w:rsidR="00F204A1" w:rsidRPr="00EC0229">
        <w:fldChar w:fldCharType="begin"/>
      </w:r>
      <w:r w:rsidR="00F204A1" w:rsidRPr="00EC0229">
        <w:instrText xml:space="preserve"> XE "</w:instrText>
      </w:r>
      <w:r w:rsidR="00F204A1" w:rsidRPr="00EC0229">
        <w:rPr>
          <w:rStyle w:val="Hyperlink"/>
          <w:noProof/>
          <w:u w:val="none"/>
        </w:rPr>
        <w:instrText>Primary silver sceats</w:instrText>
      </w:r>
      <w:r w:rsidR="00F204A1" w:rsidRPr="00EC0229">
        <w:instrText xml:space="preserve">" </w:instrText>
      </w:r>
      <w:r w:rsidR="00F204A1" w:rsidRPr="00EC0229">
        <w:fldChar w:fldCharType="end"/>
      </w:r>
    </w:p>
    <w:p w14:paraId="1E9F2244" w14:textId="085C6454" w:rsidR="00A33875" w:rsidRPr="00EC0229" w:rsidRDefault="00A33875" w:rsidP="007600EA">
      <w:pPr>
        <w:pStyle w:val="NoSpacing"/>
        <w:spacing w:line="360" w:lineRule="auto"/>
        <w:ind w:left="709"/>
      </w:pPr>
      <w:r w:rsidRPr="00EC0229">
        <w:tab/>
      </w:r>
      <w:r w:rsidRPr="00EC0229">
        <w:tab/>
        <w:t>a. Aldfrith</w:t>
      </w:r>
      <w:r w:rsidR="00D142DC" w:rsidRPr="00EC0229">
        <w:fldChar w:fldCharType="begin"/>
      </w:r>
      <w:r w:rsidR="00D142DC" w:rsidRPr="00EC0229">
        <w:instrText xml:space="preserve"> XE "Aldfrith" </w:instrText>
      </w:r>
      <w:r w:rsidR="00D142DC" w:rsidRPr="00EC0229">
        <w:fldChar w:fldCharType="end"/>
      </w:r>
      <w:r w:rsidRPr="00EC0229">
        <w:t xml:space="preserve"> of Northumbria</w:t>
      </w:r>
      <w:r w:rsidR="004D1CCC" w:rsidRPr="00EC0229">
        <w:t xml:space="preserve"> (</w:t>
      </w:r>
      <w:r w:rsidR="00B02876" w:rsidRPr="00EC0229">
        <w:fldChar w:fldCharType="begin"/>
      </w:r>
      <w:r w:rsidR="00B02876" w:rsidRPr="00EC0229">
        <w:instrText xml:space="preserve"> PAGEREF Period4a \h </w:instrText>
      </w:r>
      <w:r w:rsidR="00B02876" w:rsidRPr="00EC0229">
        <w:fldChar w:fldCharType="separate"/>
      </w:r>
      <w:r w:rsidR="0012026B">
        <w:rPr>
          <w:noProof/>
        </w:rPr>
        <w:t>116</w:t>
      </w:r>
      <w:r w:rsidR="00B02876" w:rsidRPr="00EC0229">
        <w:fldChar w:fldCharType="end"/>
      </w:r>
      <w:r w:rsidR="004D1CCC" w:rsidRPr="00EC0229">
        <w:t xml:space="preserve">) </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p>
    <w:p w14:paraId="59F254A8" w14:textId="171E04DF" w:rsidR="00A33875" w:rsidRPr="00EC0229" w:rsidRDefault="00A33875" w:rsidP="007600EA">
      <w:pPr>
        <w:pStyle w:val="NoSpacing"/>
        <w:spacing w:line="360" w:lineRule="auto"/>
        <w:ind w:left="709" w:firstLine="720"/>
      </w:pPr>
      <w:r w:rsidRPr="00EC0229">
        <w:lastRenderedPageBreak/>
        <w:t xml:space="preserve">b. Imported </w:t>
      </w:r>
      <w:r w:rsidR="00572E51" w:rsidRPr="00EC0229">
        <w:t>Southumbria</w:t>
      </w:r>
      <w:r w:rsidRPr="00EC0229">
        <w:t>n sceats</w:t>
      </w:r>
      <w:r w:rsidR="004D1CCC" w:rsidRPr="00EC0229">
        <w:t xml:space="preserve"> (</w:t>
      </w:r>
      <w:r w:rsidR="00B02876" w:rsidRPr="00EC0229">
        <w:fldChar w:fldCharType="begin"/>
      </w:r>
      <w:r w:rsidR="00B02876" w:rsidRPr="00EC0229">
        <w:instrText xml:space="preserve"> PAGEREF Period4b \h </w:instrText>
      </w:r>
      <w:r w:rsidR="00B02876" w:rsidRPr="00EC0229">
        <w:fldChar w:fldCharType="separate"/>
      </w:r>
      <w:r w:rsidR="0012026B">
        <w:rPr>
          <w:noProof/>
        </w:rPr>
        <w:t>117</w:t>
      </w:r>
      <w:r w:rsidR="00B02876" w:rsidRPr="00EC0229">
        <w:fldChar w:fldCharType="end"/>
      </w:r>
      <w:r w:rsidR="004D1CCC" w:rsidRPr="00EC0229">
        <w:t>)</w:t>
      </w:r>
    </w:p>
    <w:p w14:paraId="40A69596" w14:textId="1E807B18" w:rsidR="00A33875" w:rsidRPr="00EC0229" w:rsidRDefault="00A33875" w:rsidP="007600EA">
      <w:pPr>
        <w:pStyle w:val="NoSpacing"/>
        <w:spacing w:line="360" w:lineRule="auto"/>
        <w:ind w:left="709" w:firstLine="720"/>
      </w:pPr>
      <w:r w:rsidRPr="00EC0229">
        <w:t xml:space="preserve">c. Imported Continental sceats </w:t>
      </w:r>
      <w:r w:rsidR="004D1CCC" w:rsidRPr="00EC0229">
        <w:t>(</w:t>
      </w:r>
      <w:r w:rsidR="00B02876" w:rsidRPr="00EC0229">
        <w:fldChar w:fldCharType="begin"/>
      </w:r>
      <w:r w:rsidR="00B02876" w:rsidRPr="00EC0229">
        <w:instrText xml:space="preserve"> PAGEREF Period4c \h </w:instrText>
      </w:r>
      <w:r w:rsidR="00B02876" w:rsidRPr="00EC0229">
        <w:fldChar w:fldCharType="separate"/>
      </w:r>
      <w:r w:rsidR="0012026B">
        <w:rPr>
          <w:noProof/>
        </w:rPr>
        <w:t>118</w:t>
      </w:r>
      <w:r w:rsidR="00B02876" w:rsidRPr="00EC0229">
        <w:fldChar w:fldCharType="end"/>
      </w:r>
      <w:r w:rsidR="004D1CCC" w:rsidRPr="00EC0229">
        <w:t>)</w:t>
      </w:r>
    </w:p>
    <w:p w14:paraId="51C56C30" w14:textId="6FCEE9A0" w:rsidR="00A33875" w:rsidRPr="00EC0229" w:rsidRDefault="00A33875" w:rsidP="007600EA">
      <w:pPr>
        <w:pStyle w:val="NoSpacing"/>
        <w:spacing w:line="360" w:lineRule="auto"/>
        <w:ind w:left="709" w:firstLine="720"/>
      </w:pPr>
      <w:r w:rsidRPr="00EC0229">
        <w:t>d. Merovingian</w:t>
      </w:r>
      <w:r w:rsidR="004C29A9" w:rsidRPr="00EC0229">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fldChar w:fldCharType="end"/>
      </w:r>
      <w:r w:rsidRPr="00EC0229">
        <w:t xml:space="preserve"> deniers</w:t>
      </w:r>
      <w:r w:rsidR="004D1CCC" w:rsidRPr="00EC0229">
        <w:t xml:space="preserve"> (</w:t>
      </w:r>
      <w:r w:rsidR="00B02876" w:rsidRPr="00EC0229">
        <w:fldChar w:fldCharType="begin"/>
      </w:r>
      <w:r w:rsidR="00B02876" w:rsidRPr="00EC0229">
        <w:instrText xml:space="preserve"> PAGEREF Period4d \h </w:instrText>
      </w:r>
      <w:r w:rsidR="00B02876" w:rsidRPr="00EC0229">
        <w:fldChar w:fldCharType="separate"/>
      </w:r>
      <w:r w:rsidR="0012026B">
        <w:rPr>
          <w:noProof/>
        </w:rPr>
        <w:t>120</w:t>
      </w:r>
      <w:r w:rsidR="00B02876" w:rsidRPr="00EC0229">
        <w:fldChar w:fldCharType="end"/>
      </w:r>
      <w:r w:rsidR="004D1CCC" w:rsidRPr="00EC0229">
        <w:t>)</w:t>
      </w:r>
    </w:p>
    <w:p w14:paraId="1DD45F55" w14:textId="1E12FBC2" w:rsidR="00A33875" w:rsidRPr="00EC0229" w:rsidRDefault="00A33875" w:rsidP="007600EA">
      <w:pPr>
        <w:pStyle w:val="NoSpacing"/>
        <w:spacing w:line="360" w:lineRule="auto"/>
      </w:pPr>
      <w:r w:rsidRPr="00EC0229">
        <w:t xml:space="preserve">5. </w:t>
      </w:r>
      <w:r w:rsidRPr="00EC0229">
        <w:tab/>
        <w:t>Imported secondary sceats during the Incompetent Succession</w:t>
      </w:r>
      <w:r w:rsidR="00F3671D" w:rsidRPr="00EC0229">
        <w:t>:</w:t>
      </w:r>
    </w:p>
    <w:p w14:paraId="7759F6F3" w14:textId="538094E8" w:rsidR="00A33875" w:rsidRPr="00EC0229" w:rsidRDefault="00A33875" w:rsidP="007600EA">
      <w:pPr>
        <w:pStyle w:val="NoSpacing"/>
        <w:spacing w:line="360" w:lineRule="auto"/>
        <w:ind w:left="1418"/>
      </w:pPr>
      <w:r w:rsidRPr="00EC0229">
        <w:tab/>
        <w:t>a. Putative</w:t>
      </w:r>
      <w:r w:rsidR="00F204A1" w:rsidRPr="00EC0229">
        <w:fldChar w:fldCharType="begin"/>
      </w:r>
      <w:r w:rsidR="00F204A1" w:rsidRPr="00EC0229">
        <w:instrText xml:space="preserve"> XE "</w:instrText>
      </w:r>
      <w:r w:rsidR="00F204A1" w:rsidRPr="00EC0229">
        <w:rPr>
          <w:rStyle w:val="Hyperlink"/>
          <w:noProof/>
          <w:u w:val="none"/>
        </w:rPr>
        <w:instrText>Putative</w:instrText>
      </w:r>
      <w:r w:rsidR="00F204A1" w:rsidRPr="00EC0229">
        <w:instrText xml:space="preserve">" </w:instrText>
      </w:r>
      <w:r w:rsidR="00F204A1" w:rsidRPr="00EC0229">
        <w:fldChar w:fldCharType="end"/>
      </w:r>
      <w:r w:rsidRPr="00EC0229">
        <w:t xml:space="preserve"> northern non-regal emissions </w:t>
      </w:r>
      <w:r w:rsidR="004D1CCC" w:rsidRPr="00EC0229">
        <w:t>(</w:t>
      </w:r>
      <w:r w:rsidR="00B02876" w:rsidRPr="00EC0229">
        <w:fldChar w:fldCharType="begin"/>
      </w:r>
      <w:r w:rsidR="00B02876" w:rsidRPr="00EC0229">
        <w:instrText xml:space="preserve"> PAGEREF Period5a \h </w:instrText>
      </w:r>
      <w:r w:rsidR="00B02876" w:rsidRPr="00EC0229">
        <w:fldChar w:fldCharType="separate"/>
      </w:r>
      <w:r w:rsidR="0012026B">
        <w:rPr>
          <w:noProof/>
        </w:rPr>
        <w:t>121</w:t>
      </w:r>
      <w:r w:rsidR="00B02876" w:rsidRPr="00EC0229">
        <w:fldChar w:fldCharType="end"/>
      </w:r>
      <w:r w:rsidR="004D1CCC" w:rsidRPr="00EC0229">
        <w:t>)</w:t>
      </w:r>
    </w:p>
    <w:p w14:paraId="5163B586" w14:textId="74AB60B5" w:rsidR="00A33875" w:rsidRPr="00EC0229" w:rsidRDefault="00A33875" w:rsidP="007600EA">
      <w:pPr>
        <w:pStyle w:val="NoSpacing"/>
        <w:spacing w:line="360" w:lineRule="auto"/>
        <w:ind w:left="1418"/>
      </w:pPr>
      <w:r w:rsidRPr="00EC0229">
        <w:t>b. Southumbrian sceats</w:t>
      </w:r>
      <w:r w:rsidR="004D1CCC" w:rsidRPr="00EC0229">
        <w:t xml:space="preserve"> (</w:t>
      </w:r>
      <w:r w:rsidR="00B02876" w:rsidRPr="00EC0229">
        <w:fldChar w:fldCharType="begin"/>
      </w:r>
      <w:r w:rsidR="00B02876" w:rsidRPr="00EC0229">
        <w:instrText xml:space="preserve"> PAGEREF Period5b \h </w:instrText>
      </w:r>
      <w:r w:rsidR="00B02876" w:rsidRPr="00EC0229">
        <w:fldChar w:fldCharType="separate"/>
      </w:r>
      <w:r w:rsidR="0012026B">
        <w:rPr>
          <w:noProof/>
        </w:rPr>
        <w:t>122</w:t>
      </w:r>
      <w:r w:rsidR="00B02876" w:rsidRPr="00EC0229">
        <w:fldChar w:fldCharType="end"/>
      </w:r>
      <w:r w:rsidR="004D1CCC" w:rsidRPr="00EC0229">
        <w:t>)</w:t>
      </w:r>
    </w:p>
    <w:p w14:paraId="7937A939" w14:textId="2E57258B" w:rsidR="00A33875" w:rsidRPr="00EC0229" w:rsidRDefault="00A33875" w:rsidP="007600EA">
      <w:pPr>
        <w:pStyle w:val="NoSpacing"/>
        <w:spacing w:line="360" w:lineRule="auto"/>
        <w:ind w:left="1418"/>
      </w:pPr>
      <w:r w:rsidRPr="00EC0229">
        <w:tab/>
        <w:t>c. Continental sceats</w:t>
      </w:r>
      <w:r w:rsidR="004D1CCC" w:rsidRPr="00EC0229">
        <w:t xml:space="preserve"> (</w:t>
      </w:r>
      <w:r w:rsidR="00B02876" w:rsidRPr="00EC0229">
        <w:fldChar w:fldCharType="begin"/>
      </w:r>
      <w:r w:rsidR="00B02876" w:rsidRPr="00EC0229">
        <w:instrText xml:space="preserve"> PAGEREF Period5c \h </w:instrText>
      </w:r>
      <w:r w:rsidR="00B02876" w:rsidRPr="00EC0229">
        <w:fldChar w:fldCharType="separate"/>
      </w:r>
      <w:r w:rsidR="0012026B">
        <w:rPr>
          <w:noProof/>
        </w:rPr>
        <w:t>123</w:t>
      </w:r>
      <w:r w:rsidR="00B02876" w:rsidRPr="00EC0229">
        <w:fldChar w:fldCharType="end"/>
      </w:r>
      <w:r w:rsidR="004D1CCC" w:rsidRPr="00EC0229">
        <w:t>)</w:t>
      </w:r>
    </w:p>
    <w:p w14:paraId="6763DDD9" w14:textId="3F7AC027" w:rsidR="00A33875" w:rsidRPr="00EC0229" w:rsidRDefault="00B23978" w:rsidP="007600EA">
      <w:pPr>
        <w:pStyle w:val="NoSpacing"/>
        <w:spacing w:line="360" w:lineRule="auto"/>
        <w:ind w:left="698" w:firstLine="720"/>
      </w:pPr>
      <w:r w:rsidRPr="00EC0229">
        <w:t>(</w:t>
      </w:r>
      <w:r w:rsidR="00A33875" w:rsidRPr="00EC0229">
        <w:t>d. Merovingian</w:t>
      </w:r>
      <w:r w:rsidR="004C29A9" w:rsidRPr="00EC0229">
        <w:fldChar w:fldCharType="begin"/>
      </w:r>
      <w:r w:rsidR="004C29A9" w:rsidRPr="00EC0229">
        <w:instrText xml:space="preserve"> XE "</w:instrText>
      </w:r>
      <w:r w:rsidR="004C29A9" w:rsidRPr="00EC0229">
        <w:rPr>
          <w:rStyle w:val="Hyperlink"/>
          <w:noProof/>
          <w:color w:val="auto"/>
          <w:u w:val="none"/>
        </w:rPr>
        <w:instrText>Merovingian</w:instrText>
      </w:r>
      <w:r w:rsidR="004C29A9" w:rsidRPr="00EC0229">
        <w:instrText xml:space="preserve">" </w:instrText>
      </w:r>
      <w:r w:rsidR="004C29A9" w:rsidRPr="00EC0229">
        <w:fldChar w:fldCharType="end"/>
      </w:r>
      <w:r w:rsidR="00A33875" w:rsidRPr="00EC0229">
        <w:t xml:space="preserve"> deniers</w:t>
      </w:r>
      <w:r w:rsidR="00A33875" w:rsidRPr="00EC0229">
        <w:rPr>
          <w:rStyle w:val="FootnoteReference"/>
        </w:rPr>
        <w:footnoteReference w:id="558"/>
      </w:r>
      <w:r w:rsidRPr="00EC0229">
        <w:t>)</w:t>
      </w:r>
    </w:p>
    <w:p w14:paraId="7D42CEA1" w14:textId="49FDF6E1" w:rsidR="00A33875" w:rsidRPr="00EC0229" w:rsidRDefault="00A33875" w:rsidP="007600EA">
      <w:pPr>
        <w:pStyle w:val="NoSpacing"/>
        <w:spacing w:line="360" w:lineRule="auto"/>
        <w:ind w:left="698" w:hanging="698"/>
      </w:pPr>
      <w:r w:rsidRPr="00EC0229">
        <w:t xml:space="preserve">N6. </w:t>
      </w:r>
      <w:r w:rsidRPr="00EC0229">
        <w:tab/>
        <w:t>Eadberht</w:t>
      </w:r>
      <w:r w:rsidR="00D142DC" w:rsidRPr="00EC0229">
        <w:fldChar w:fldCharType="begin"/>
      </w:r>
      <w:r w:rsidR="00D142DC" w:rsidRPr="00EC0229">
        <w:instrText xml:space="preserve"> XE "Eadberht" </w:instrText>
      </w:r>
      <w:r w:rsidR="00D142DC" w:rsidRPr="00EC0229">
        <w:fldChar w:fldCharType="end"/>
      </w:r>
      <w:r w:rsidRPr="00EC0229">
        <w:t xml:space="preserve">’s </w:t>
      </w:r>
      <w:r w:rsidRPr="00EC0229">
        <w:rPr>
          <w:i/>
        </w:rPr>
        <w:t>renovatio</w:t>
      </w:r>
      <w:r w:rsidR="004D1CCC" w:rsidRPr="00EC0229">
        <w:rPr>
          <w:i/>
        </w:rPr>
        <w:t xml:space="preserve"> </w:t>
      </w:r>
      <w:r w:rsidR="004D1CCC" w:rsidRPr="00EC0229">
        <w:rPr>
          <w:rFonts w:cs="Times New Roman"/>
        </w:rPr>
        <w:t>(</w:t>
      </w:r>
      <w:r w:rsidR="00B02876" w:rsidRPr="00EC0229">
        <w:rPr>
          <w:rFonts w:cs="Times New Roman"/>
        </w:rPr>
        <w:fldChar w:fldCharType="begin"/>
      </w:r>
      <w:r w:rsidR="00B02876" w:rsidRPr="00EC0229">
        <w:rPr>
          <w:rFonts w:cs="Times New Roman"/>
        </w:rPr>
        <w:instrText xml:space="preserve"> PAGEREF PeriodN6 \h </w:instrText>
      </w:r>
      <w:r w:rsidR="00B02876" w:rsidRPr="00EC0229">
        <w:rPr>
          <w:rFonts w:cs="Times New Roman"/>
        </w:rPr>
      </w:r>
      <w:r w:rsidR="00B02876" w:rsidRPr="00EC0229">
        <w:rPr>
          <w:rFonts w:cs="Times New Roman"/>
        </w:rPr>
        <w:fldChar w:fldCharType="separate"/>
      </w:r>
      <w:r w:rsidR="0012026B">
        <w:rPr>
          <w:rFonts w:cs="Times New Roman"/>
          <w:noProof/>
        </w:rPr>
        <w:t>125</w:t>
      </w:r>
      <w:r w:rsidR="00B02876" w:rsidRPr="00EC0229">
        <w:rPr>
          <w:rFonts w:cs="Times New Roman"/>
        </w:rPr>
        <w:fldChar w:fldCharType="end"/>
      </w:r>
      <w:r w:rsidR="004D1CCC" w:rsidRPr="00EC0229">
        <w:rPr>
          <w:rFonts w:cs="Times New Roman"/>
        </w:rPr>
        <w:t>)</w:t>
      </w:r>
      <w:r w:rsidR="00F204A1" w:rsidRPr="00EC0229">
        <w:rPr>
          <w:i/>
        </w:rPr>
        <w:fldChar w:fldCharType="begin"/>
      </w:r>
      <w:r w:rsidR="00F204A1" w:rsidRPr="00EC0229">
        <w:instrText xml:space="preserve"> XE "</w:instrText>
      </w:r>
      <w:r w:rsidR="00F204A1" w:rsidRPr="00EC0229">
        <w:rPr>
          <w:rStyle w:val="Hyperlink"/>
          <w:i/>
          <w:noProof/>
          <w:u w:val="none"/>
        </w:rPr>
        <w:instrText>renovatio</w:instrText>
      </w:r>
      <w:r w:rsidR="00F204A1" w:rsidRPr="00EC0229">
        <w:instrText xml:space="preserve">" </w:instrText>
      </w:r>
      <w:r w:rsidR="00F204A1" w:rsidRPr="00EC0229">
        <w:rPr>
          <w:i/>
        </w:rPr>
        <w:fldChar w:fldCharType="end"/>
      </w:r>
      <w:r w:rsidRPr="00EC0229">
        <w:rPr>
          <w:i/>
        </w:rPr>
        <w:t xml:space="preserve"> </w:t>
      </w:r>
      <w:r w:rsidRPr="00EC0229">
        <w:t>and continuation of the fantastic animal type by his successor</w:t>
      </w:r>
      <w:r w:rsidR="00263841" w:rsidRPr="00EC0229">
        <w:t>s</w:t>
      </w:r>
      <w:r w:rsidRPr="00EC0229">
        <w:t>.</w:t>
      </w:r>
      <w:r w:rsidRPr="00EC0229">
        <w:rPr>
          <w:rStyle w:val="FootnoteReference"/>
        </w:rPr>
        <w:footnoteReference w:id="559"/>
      </w:r>
    </w:p>
    <w:p w14:paraId="1FA63D3C" w14:textId="77777777" w:rsidR="00092110" w:rsidRPr="00EC0229" w:rsidRDefault="00092110" w:rsidP="007600EA">
      <w:pPr>
        <w:pStyle w:val="NoSpacing"/>
        <w:spacing w:line="360" w:lineRule="auto"/>
      </w:pPr>
    </w:p>
    <w:p w14:paraId="51458B23" w14:textId="66E9B589" w:rsidR="00A33875" w:rsidRPr="00EC0229" w:rsidRDefault="008259E1" w:rsidP="007600EA">
      <w:pPr>
        <w:pStyle w:val="Heading3"/>
        <w:spacing w:line="360" w:lineRule="auto"/>
      </w:pPr>
      <w:bookmarkStart w:id="289" w:name="_Toc468266788"/>
      <w:r>
        <w:t>5.3.4</w:t>
      </w:r>
      <w:r w:rsidR="000E1004">
        <w:t xml:space="preserve">  </w:t>
      </w:r>
      <w:r w:rsidR="00092110" w:rsidRPr="00EC0229">
        <w:t>Period 4: Primary sceats</w:t>
      </w:r>
      <w:bookmarkEnd w:id="289"/>
    </w:p>
    <w:p w14:paraId="73F7B1C7" w14:textId="4FF7B0A9" w:rsidR="00A33875" w:rsidRPr="008259E1" w:rsidRDefault="008259E1" w:rsidP="008259E1">
      <w:pPr>
        <w:pStyle w:val="Heading4"/>
        <w:rPr>
          <w:b/>
        </w:rPr>
      </w:pPr>
      <w:bookmarkStart w:id="290" w:name="_Toc468266789"/>
      <w:r w:rsidRPr="008259E1">
        <w:rPr>
          <w:rStyle w:val="Heading4Char"/>
          <w:b/>
        </w:rPr>
        <w:t>5.3.4.1</w:t>
      </w:r>
      <w:r w:rsidRPr="008259E1">
        <w:rPr>
          <w:rStyle w:val="Heading4Char"/>
          <w:b/>
        </w:rPr>
        <w:tab/>
      </w:r>
      <w:r w:rsidR="00A33875" w:rsidRPr="008259E1">
        <w:rPr>
          <w:b/>
        </w:rPr>
        <w:t>Period 4a</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4a</w:instrText>
      </w:r>
      <w:r w:rsidR="00F204A1" w:rsidRPr="008259E1">
        <w:rPr>
          <w:b/>
        </w:rPr>
        <w:instrText xml:space="preserve">" </w:instrText>
      </w:r>
      <w:r w:rsidR="00F204A1" w:rsidRPr="008259E1">
        <w:rPr>
          <w:b/>
        </w:rPr>
        <w:fldChar w:fldCharType="end"/>
      </w:r>
      <w:r w:rsidR="00A33875" w:rsidRPr="008259E1">
        <w:rPr>
          <w:b/>
        </w:rPr>
        <w:t>-c. Primary silver sceats</w:t>
      </w:r>
      <w:r w:rsidR="00F204A1" w:rsidRPr="008259E1">
        <w:rPr>
          <w:b/>
        </w:rPr>
        <w:fldChar w:fldCharType="begin"/>
      </w:r>
      <w:r w:rsidR="00F204A1" w:rsidRPr="008259E1">
        <w:rPr>
          <w:b/>
        </w:rPr>
        <w:instrText xml:space="preserve"> XE "</w:instrText>
      </w:r>
      <w:r w:rsidR="00F204A1" w:rsidRPr="008259E1">
        <w:rPr>
          <w:rStyle w:val="Hyperlink"/>
          <w:b/>
          <w:noProof/>
          <w:u w:val="none"/>
        </w:rPr>
        <w:instrText>Primary silver sceats</w:instrText>
      </w:r>
      <w:r w:rsidR="00F204A1" w:rsidRPr="008259E1">
        <w:rPr>
          <w:b/>
        </w:rPr>
        <w:instrText xml:space="preserve">" </w:instrText>
      </w:r>
      <w:r w:rsidR="00F204A1" w:rsidRPr="008259E1">
        <w:rPr>
          <w:b/>
        </w:rPr>
        <w:fldChar w:fldCharType="end"/>
      </w:r>
      <w:r w:rsidR="00A33875" w:rsidRPr="008259E1">
        <w:rPr>
          <w:b/>
        </w:rPr>
        <w:t xml:space="preserve">, </w:t>
      </w:r>
      <w:r w:rsidR="002132F1">
        <w:rPr>
          <w:b/>
          <w:i/>
        </w:rPr>
        <w:t>c.</w:t>
      </w:r>
      <w:r w:rsidR="00A33875" w:rsidRPr="008259E1">
        <w:rPr>
          <w:b/>
        </w:rPr>
        <w:t>670s</w:t>
      </w:r>
      <w:r w:rsidR="00AB6635">
        <w:rPr>
          <w:b/>
        </w:rPr>
        <w:t>-</w:t>
      </w:r>
      <w:r w:rsidR="00A33875" w:rsidRPr="008259E1">
        <w:rPr>
          <w:b/>
          <w:i/>
        </w:rPr>
        <w:t>c</w:t>
      </w:r>
      <w:r w:rsidR="00A33875" w:rsidRPr="008259E1">
        <w:rPr>
          <w:b/>
        </w:rPr>
        <w:t>.710</w:t>
      </w:r>
      <w:bookmarkEnd w:id="290"/>
    </w:p>
    <w:p w14:paraId="006C06FF" w14:textId="5C42C138" w:rsidR="00A33875" w:rsidRPr="00EC0229" w:rsidRDefault="00A33875" w:rsidP="007600EA">
      <w:pPr>
        <w:pStyle w:val="NoSpacing"/>
        <w:spacing w:line="360" w:lineRule="auto"/>
        <w:rPr>
          <w:rFonts w:cs="Times New Roman"/>
        </w:rPr>
      </w:pPr>
      <w:r w:rsidRPr="00EC0229">
        <w:rPr>
          <w:rFonts w:cs="Times New Roman"/>
        </w:rPr>
        <w:t>Metal-detecting has allowe</w:t>
      </w:r>
      <w:r w:rsidR="00F3671D" w:rsidRPr="00EC0229">
        <w:rPr>
          <w:rFonts w:cs="Times New Roman"/>
        </w:rPr>
        <w:t>d the view of Dolley</w:t>
      </w:r>
      <w:r w:rsidRPr="00EC0229">
        <w:rPr>
          <w:rFonts w:cs="Times New Roman"/>
        </w:rPr>
        <w:t xml:space="preserve"> that: ‘the Northumbrian proto-penny</w:t>
      </w:r>
      <w:r w:rsidR="00D142DC" w:rsidRPr="00EC0229">
        <w:rPr>
          <w:rFonts w:cs="Times New Roman"/>
        </w:rPr>
        <w:fldChar w:fldCharType="begin"/>
      </w:r>
      <w:r w:rsidR="00D142DC" w:rsidRPr="00EC0229">
        <w:instrText xml:space="preserve"> XE "penny" </w:instrText>
      </w:r>
      <w:r w:rsidR="00D142DC" w:rsidRPr="00EC0229">
        <w:rPr>
          <w:rFonts w:cs="Times New Roman"/>
        </w:rPr>
        <w:fldChar w:fldCharType="end"/>
      </w:r>
      <w:r w:rsidRPr="00EC0229">
        <w:rPr>
          <w:rFonts w:cs="Times New Roman"/>
        </w:rPr>
        <w:t xml:space="preserve"> seems never to have become a really viable proposition’ to be overturned.</w:t>
      </w:r>
      <w:r w:rsidR="00F3671D" w:rsidRPr="00EC0229">
        <w:rPr>
          <w:rStyle w:val="FootnoteReference"/>
          <w:rFonts w:cs="Times New Roman"/>
        </w:rPr>
        <w:footnoteReference w:id="560"/>
      </w:r>
    </w:p>
    <w:p w14:paraId="4B552719" w14:textId="77777777" w:rsidR="00A33875" w:rsidRPr="00EC0229" w:rsidRDefault="00A33875" w:rsidP="007600EA">
      <w:pPr>
        <w:pStyle w:val="NoSpacing"/>
        <w:spacing w:line="360" w:lineRule="auto"/>
      </w:pPr>
    </w:p>
    <w:p w14:paraId="1CC9C858" w14:textId="08AC715F" w:rsidR="00A33875" w:rsidRPr="00EC0229" w:rsidRDefault="00843E13" w:rsidP="007600EA">
      <w:pPr>
        <w:pStyle w:val="NoSpacing"/>
        <w:spacing w:line="360" w:lineRule="auto"/>
        <w:rPr>
          <w:rFonts w:cs="Times New Roman"/>
        </w:rPr>
      </w:pPr>
      <w:r w:rsidRPr="00EC0229">
        <w:rPr>
          <w:rFonts w:cs="Times New Roman"/>
        </w:rPr>
        <w:t>As the northern coinage discontinued during the incompetent rule of Aldfrith</w:t>
      </w:r>
      <w:r w:rsidRPr="00EC0229">
        <w:rPr>
          <w:rFonts w:cs="Times New Roman"/>
        </w:rPr>
        <w:fldChar w:fldCharType="begin"/>
      </w:r>
      <w:r w:rsidRPr="00EC0229">
        <w:instrText xml:space="preserve"> XE "Aldfrith" </w:instrText>
      </w:r>
      <w:r w:rsidRPr="00EC0229">
        <w:rPr>
          <w:rFonts w:cs="Times New Roman"/>
        </w:rPr>
        <w:fldChar w:fldCharType="end"/>
      </w:r>
      <w:r w:rsidRPr="00EC0229">
        <w:rPr>
          <w:rFonts w:cs="Times New Roman"/>
        </w:rPr>
        <w:t>’s successors, i</w:t>
      </w:r>
      <w:r w:rsidR="00A33875" w:rsidRPr="00EC0229">
        <w:rPr>
          <w:rFonts w:cs="Times New Roman"/>
        </w:rPr>
        <w:t xml:space="preserve">t </w:t>
      </w:r>
      <w:r w:rsidRPr="00EC0229">
        <w:rPr>
          <w:rFonts w:cs="Times New Roman"/>
        </w:rPr>
        <w:t xml:space="preserve">was only during Aldfrith’s reign that primary sceats were issued in the north and only after Eadberht’s enthronement </w:t>
      </w:r>
      <w:r w:rsidR="00B23978" w:rsidRPr="00EC0229">
        <w:rPr>
          <w:rFonts w:cs="Times New Roman"/>
        </w:rPr>
        <w:t xml:space="preserve">in 737 </w:t>
      </w:r>
      <w:r w:rsidRPr="00EC0229">
        <w:rPr>
          <w:rFonts w:cs="Times New Roman"/>
        </w:rPr>
        <w:t xml:space="preserve">that </w:t>
      </w:r>
      <w:r w:rsidR="00A33875" w:rsidRPr="00EC0229">
        <w:rPr>
          <w:rFonts w:cs="Times New Roman"/>
        </w:rPr>
        <w:t xml:space="preserve">secondary </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production commenced</w:t>
      </w:r>
      <w:r w:rsidR="00A33875" w:rsidRPr="00EC0229">
        <w:rPr>
          <w:rFonts w:cs="Times New Roman"/>
        </w:rPr>
        <w:t xml:space="preserve">. However, the Northumbrian coinage can be compartmentalised, without direct reference to the watershed Aston Rowant hoard of </w:t>
      </w:r>
      <w:r w:rsidR="002132F1">
        <w:rPr>
          <w:rFonts w:cs="Times New Roman"/>
          <w:i/>
        </w:rPr>
        <w:t>c.</w:t>
      </w:r>
      <w:r w:rsidR="00A33875" w:rsidRPr="00EC0229">
        <w:rPr>
          <w:rFonts w:cs="Times New Roman"/>
        </w:rPr>
        <w:t xml:space="preserve">710, as follows: </w:t>
      </w:r>
    </w:p>
    <w:p w14:paraId="0417AA3E" w14:textId="77777777" w:rsidR="00A33875" w:rsidRPr="00EC0229" w:rsidRDefault="00A33875" w:rsidP="007600EA">
      <w:pPr>
        <w:pStyle w:val="NoSpacing"/>
        <w:spacing w:line="360" w:lineRule="auto"/>
      </w:pPr>
    </w:p>
    <w:p w14:paraId="1AEAD0F0" w14:textId="34C76F41" w:rsidR="00A33875" w:rsidRPr="008259E1" w:rsidRDefault="008259E1" w:rsidP="008259E1">
      <w:pPr>
        <w:pStyle w:val="Heading4"/>
        <w:rPr>
          <w:b/>
        </w:rPr>
      </w:pPr>
      <w:bookmarkStart w:id="291" w:name="Period4a"/>
      <w:bookmarkStart w:id="292" w:name="_Toc468266790"/>
      <w:bookmarkEnd w:id="291"/>
      <w:r w:rsidRPr="008259E1">
        <w:rPr>
          <w:b/>
        </w:rPr>
        <w:t>5.3.4.</w:t>
      </w:r>
      <w:r>
        <w:rPr>
          <w:b/>
        </w:rPr>
        <w:t>2</w:t>
      </w:r>
      <w:r w:rsidRPr="008259E1">
        <w:rPr>
          <w:b/>
        </w:rPr>
        <w:tab/>
      </w:r>
      <w:r w:rsidR="00A33875" w:rsidRPr="008259E1">
        <w:rPr>
          <w:b/>
        </w:rPr>
        <w:t>Period 4a</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4a</w:instrText>
      </w:r>
      <w:r w:rsidR="00F204A1" w:rsidRPr="008259E1">
        <w:rPr>
          <w:b/>
        </w:rPr>
        <w:instrText xml:space="preserve">" </w:instrText>
      </w:r>
      <w:r w:rsidR="00F204A1" w:rsidRPr="008259E1">
        <w:rPr>
          <w:b/>
        </w:rPr>
        <w:fldChar w:fldCharType="end"/>
      </w:r>
      <w:r w:rsidR="00A33875" w:rsidRPr="008259E1">
        <w:rPr>
          <w:b/>
        </w:rPr>
        <w:t xml:space="preserve">. </w:t>
      </w:r>
      <w:bookmarkStart w:id="293" w:name="Northumbria"/>
      <w:r w:rsidR="00A33875" w:rsidRPr="008259E1">
        <w:rPr>
          <w:b/>
        </w:rPr>
        <w:t>Northumbria</w:t>
      </w:r>
      <w:bookmarkEnd w:id="293"/>
      <w:r w:rsidR="00A33875" w:rsidRPr="008259E1">
        <w:rPr>
          <w:b/>
        </w:rPr>
        <w:t>n Primary sceats</w:t>
      </w:r>
      <w:r w:rsidR="00F204A1" w:rsidRPr="008259E1">
        <w:rPr>
          <w:b/>
        </w:rPr>
        <w:fldChar w:fldCharType="begin"/>
      </w:r>
      <w:r w:rsidR="00F204A1" w:rsidRPr="008259E1">
        <w:rPr>
          <w:b/>
        </w:rPr>
        <w:instrText xml:space="preserve"> XE "</w:instrText>
      </w:r>
      <w:r w:rsidR="00F204A1" w:rsidRPr="008259E1">
        <w:rPr>
          <w:rStyle w:val="Hyperlink"/>
          <w:b/>
          <w:noProof/>
          <w:u w:val="none"/>
        </w:rPr>
        <w:instrText>Northumbrian Primary sceats</w:instrText>
      </w:r>
      <w:r w:rsidR="00F204A1" w:rsidRPr="008259E1">
        <w:rPr>
          <w:b/>
        </w:rPr>
        <w:instrText xml:space="preserve">" </w:instrText>
      </w:r>
      <w:r w:rsidR="00F204A1" w:rsidRPr="008259E1">
        <w:rPr>
          <w:b/>
        </w:rPr>
        <w:fldChar w:fldCharType="end"/>
      </w:r>
      <w:r w:rsidR="00A33875" w:rsidRPr="008259E1">
        <w:rPr>
          <w:b/>
        </w:rPr>
        <w:t xml:space="preserve">, </w:t>
      </w:r>
      <w:r w:rsidR="002132F1">
        <w:rPr>
          <w:b/>
        </w:rPr>
        <w:t>c.</w:t>
      </w:r>
      <w:r w:rsidR="00A33875" w:rsidRPr="008259E1">
        <w:rPr>
          <w:b/>
        </w:rPr>
        <w:t>685</w:t>
      </w:r>
      <w:r w:rsidR="00AB6635">
        <w:rPr>
          <w:b/>
        </w:rPr>
        <w:t>-</w:t>
      </w:r>
      <w:r w:rsidR="00A33875" w:rsidRPr="008259E1">
        <w:rPr>
          <w:b/>
        </w:rPr>
        <w:t>c.704</w:t>
      </w:r>
      <w:bookmarkEnd w:id="292"/>
    </w:p>
    <w:p w14:paraId="07BA7D19" w14:textId="77777777" w:rsidR="00D44773" w:rsidRPr="00EC0229" w:rsidRDefault="00A33875" w:rsidP="007600EA">
      <w:pPr>
        <w:pStyle w:val="NoSpacing"/>
        <w:spacing w:line="360" w:lineRule="auto"/>
        <w:jc w:val="right"/>
        <w:rPr>
          <w:sz w:val="20"/>
          <w:szCs w:val="20"/>
        </w:rPr>
      </w:pPr>
      <w:r w:rsidRPr="00EC0229">
        <w:rPr>
          <w:sz w:val="20"/>
          <w:szCs w:val="20"/>
        </w:rPr>
        <w:t xml:space="preserve">‘for about thirty years, ever since King Aldfrid was removed from this life, </w:t>
      </w:r>
    </w:p>
    <w:p w14:paraId="3D5E3472" w14:textId="79AD4845" w:rsidR="00A33875" w:rsidRPr="00EC0229" w:rsidRDefault="00A33875" w:rsidP="007600EA">
      <w:pPr>
        <w:pStyle w:val="NoSpacing"/>
        <w:spacing w:line="360" w:lineRule="auto"/>
        <w:jc w:val="right"/>
        <w:rPr>
          <w:sz w:val="20"/>
          <w:szCs w:val="20"/>
        </w:rPr>
      </w:pPr>
      <w:r w:rsidRPr="00EC0229">
        <w:rPr>
          <w:sz w:val="20"/>
          <w:szCs w:val="20"/>
        </w:rPr>
        <w:t>our province has been involved in such folly and error’</w:t>
      </w:r>
    </w:p>
    <w:p w14:paraId="620EC829" w14:textId="03A86229" w:rsidR="00A33875" w:rsidRPr="00EC0229" w:rsidRDefault="00A33875" w:rsidP="007600EA">
      <w:pPr>
        <w:pStyle w:val="NoSpacing"/>
        <w:spacing w:line="360" w:lineRule="auto"/>
        <w:jc w:val="right"/>
        <w:rPr>
          <w:sz w:val="20"/>
          <w:szCs w:val="20"/>
        </w:rPr>
      </w:pPr>
      <w:r w:rsidRPr="00EC0229">
        <w:rPr>
          <w:bCs/>
          <w:sz w:val="20"/>
          <w:szCs w:val="20"/>
        </w:rPr>
        <w:t>Bede</w:t>
      </w:r>
      <w:r w:rsidR="00F66CEB" w:rsidRPr="00EC0229">
        <w:rPr>
          <w:bCs/>
          <w:sz w:val="20"/>
          <w:szCs w:val="20"/>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bCs/>
          <w:sz w:val="20"/>
          <w:szCs w:val="20"/>
        </w:rPr>
        <w:fldChar w:fldCharType="end"/>
      </w:r>
      <w:r w:rsidRPr="00EC0229">
        <w:rPr>
          <w:bCs/>
          <w:sz w:val="20"/>
          <w:szCs w:val="20"/>
        </w:rPr>
        <w:t>’s letter to Ecgberht</w:t>
      </w:r>
      <w:r w:rsidR="00D142DC" w:rsidRPr="00EC0229">
        <w:rPr>
          <w:bCs/>
          <w:sz w:val="20"/>
          <w:szCs w:val="20"/>
        </w:rPr>
        <w:fldChar w:fldCharType="begin"/>
      </w:r>
      <w:r w:rsidR="00D142DC" w:rsidRPr="00EC0229">
        <w:instrText xml:space="preserve"> XE "Ecgberht" </w:instrText>
      </w:r>
      <w:r w:rsidR="00D142DC" w:rsidRPr="00EC0229">
        <w:rPr>
          <w:bCs/>
          <w:sz w:val="20"/>
          <w:szCs w:val="20"/>
        </w:rPr>
        <w:fldChar w:fldCharType="end"/>
      </w:r>
      <w:r w:rsidR="00247DD3" w:rsidRPr="00EC0229">
        <w:rPr>
          <w:bCs/>
          <w:sz w:val="20"/>
          <w:szCs w:val="20"/>
        </w:rPr>
        <w:t xml:space="preserve"> (</w:t>
      </w:r>
      <w:r w:rsidRPr="00EC0229">
        <w:rPr>
          <w:bCs/>
          <w:sz w:val="20"/>
          <w:szCs w:val="20"/>
        </w:rPr>
        <w:t xml:space="preserve">734, </w:t>
      </w:r>
      <w:r w:rsidR="00013214" w:rsidRPr="00EC0229">
        <w:rPr>
          <w:bCs/>
          <w:sz w:val="20"/>
          <w:szCs w:val="20"/>
        </w:rPr>
        <w:t>§</w:t>
      </w:r>
      <w:r w:rsidRPr="00EC0229">
        <w:rPr>
          <w:bCs/>
          <w:sz w:val="20"/>
          <w:szCs w:val="20"/>
        </w:rPr>
        <w:t>13</w:t>
      </w:r>
      <w:r w:rsidR="00247DD3" w:rsidRPr="00EC0229">
        <w:rPr>
          <w:bCs/>
          <w:sz w:val="20"/>
          <w:szCs w:val="20"/>
        </w:rPr>
        <w:t>)</w:t>
      </w:r>
      <w:r w:rsidRPr="00EC0229">
        <w:rPr>
          <w:bCs/>
          <w:sz w:val="20"/>
          <w:szCs w:val="20"/>
        </w:rPr>
        <w:t>.</w:t>
      </w:r>
    </w:p>
    <w:p w14:paraId="6C21C96C" w14:textId="36FDE752" w:rsidR="00A33875" w:rsidRPr="00EC0229" w:rsidRDefault="00A33875" w:rsidP="007600EA">
      <w:pPr>
        <w:pStyle w:val="NoSpacing"/>
        <w:spacing w:line="360" w:lineRule="auto"/>
        <w:rPr>
          <w:rFonts w:cs="Times New Roman"/>
        </w:rPr>
      </w:pPr>
      <w:r w:rsidRPr="00EC0229">
        <w:rPr>
          <w:rFonts w:cs="Times New Roman"/>
        </w:rPr>
        <w:t>A single type</w:t>
      </w:r>
      <w:r w:rsidR="00351CEF" w:rsidRPr="00EC0229">
        <w:rPr>
          <w:rFonts w:cs="Times New Roman"/>
        </w:rPr>
        <w:t xml:space="preserve"> </w:t>
      </w:r>
      <w:r w:rsidR="00351CEF" w:rsidRPr="00EC0229">
        <w:rPr>
          <w:rFonts w:cs="Times New Roman"/>
          <w:szCs w:val="24"/>
        </w:rPr>
        <w:t>(</w:t>
      </w:r>
      <w:r w:rsidR="008C418A" w:rsidRPr="00EC0229">
        <w:rPr>
          <w:rFonts w:cs="Times New Roman"/>
          <w:szCs w:val="24"/>
        </w:rPr>
        <w:fldChar w:fldCharType="begin"/>
      </w:r>
      <w:r w:rsidR="008C418A" w:rsidRPr="00EC0229">
        <w:rPr>
          <w:rFonts w:cs="Times New Roman"/>
          <w:szCs w:val="24"/>
        </w:rPr>
        <w:instrText xml:space="preserve"> REF _Ref430246084 \h </w:instrText>
      </w:r>
      <w:r w:rsidR="000A7CD7"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color w:val="000000" w:themeColor="text1"/>
          <w:szCs w:val="24"/>
        </w:rPr>
        <w:t xml:space="preserve">Figure </w:t>
      </w:r>
      <w:r w:rsidR="0012026B" w:rsidRPr="0012026B">
        <w:rPr>
          <w:i/>
          <w:noProof/>
          <w:color w:val="000000" w:themeColor="text1"/>
          <w:szCs w:val="24"/>
        </w:rPr>
        <w:t>30</w:t>
      </w:r>
      <w:r w:rsidR="008C418A" w:rsidRPr="00EC0229">
        <w:rPr>
          <w:rFonts w:cs="Times New Roman"/>
          <w:szCs w:val="24"/>
        </w:rPr>
        <w:fldChar w:fldCharType="end"/>
      </w:r>
      <w:r w:rsidR="00351CEF" w:rsidRPr="00EC0229">
        <w:rPr>
          <w:rFonts w:cs="Times New Roman"/>
        </w:rPr>
        <w:t>)</w:t>
      </w:r>
      <w:r w:rsidRPr="00EC0229">
        <w:rPr>
          <w:rFonts w:cs="Times New Roman"/>
        </w:rPr>
        <w:t xml:space="preserve"> covers Aldfrith</w:t>
      </w:r>
      <w:r w:rsidR="00D142DC" w:rsidRPr="00EC0229">
        <w:rPr>
          <w:rFonts w:cs="Times New Roman"/>
        </w:rPr>
        <w:fldChar w:fldCharType="begin"/>
      </w:r>
      <w:r w:rsidR="00D142DC" w:rsidRPr="00EC0229">
        <w:instrText xml:space="preserve"> XE "Aldfrith" </w:instrText>
      </w:r>
      <w:r w:rsidR="00D142DC" w:rsidRPr="00EC0229">
        <w:rPr>
          <w:rFonts w:cs="Times New Roman"/>
        </w:rPr>
        <w:fldChar w:fldCharType="end"/>
      </w:r>
      <w:r w:rsidRPr="00EC0229">
        <w:rPr>
          <w:rFonts w:cs="Times New Roman"/>
        </w:rPr>
        <w:t>’s reign, 685-704.</w:t>
      </w:r>
      <w:r w:rsidR="00D44773" w:rsidRPr="00EC0229">
        <w:rPr>
          <w:rStyle w:val="FootnoteReference"/>
          <w:rFonts w:cs="Times New Roman"/>
        </w:rPr>
        <w:footnoteReference w:id="561"/>
      </w:r>
      <w:r w:rsidRPr="00EC0229">
        <w:rPr>
          <w:rFonts w:cs="Times New Roman"/>
        </w:rPr>
        <w:t xml:space="preserve"> </w:t>
      </w:r>
    </w:p>
    <w:p w14:paraId="67393017" w14:textId="77777777" w:rsidR="00A33875" w:rsidRPr="00EC0229" w:rsidRDefault="00A33875" w:rsidP="007600EA">
      <w:pPr>
        <w:pStyle w:val="NoSpacing"/>
        <w:spacing w:line="360" w:lineRule="auto"/>
        <w:jc w:val="center"/>
      </w:pPr>
      <w:r w:rsidRPr="00EC0229">
        <w:rPr>
          <w:noProof/>
          <w:lang w:eastAsia="en-GB"/>
        </w:rPr>
        <w:lastRenderedPageBreak/>
        <w:drawing>
          <wp:inline distT="0" distB="0" distL="0" distR="0" wp14:anchorId="57948C5C" wp14:editId="78D97D3C">
            <wp:extent cx="937260" cy="932574"/>
            <wp:effectExtent l="0" t="0" r="0" b="127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69-20 Y06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44864" cy="940140"/>
                    </a:xfrm>
                    <a:prstGeom prst="rect">
                      <a:avLst/>
                    </a:prstGeom>
                  </pic:spPr>
                </pic:pic>
              </a:graphicData>
            </a:graphic>
          </wp:inline>
        </w:drawing>
      </w:r>
      <w:r w:rsidRPr="00EC0229">
        <w:rPr>
          <w:noProof/>
          <w:lang w:eastAsia="en-GB"/>
        </w:rPr>
        <w:drawing>
          <wp:inline distT="0" distB="0" distL="0" distR="0" wp14:anchorId="4AA66281" wp14:editId="6C1DC481">
            <wp:extent cx="906780" cy="923404"/>
            <wp:effectExtent l="0" t="0" r="762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69-20 Y065R.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911451" cy="928161"/>
                    </a:xfrm>
                    <a:prstGeom prst="rect">
                      <a:avLst/>
                    </a:prstGeom>
                  </pic:spPr>
                </pic:pic>
              </a:graphicData>
            </a:graphic>
          </wp:inline>
        </w:drawing>
      </w:r>
    </w:p>
    <w:p w14:paraId="17F6C5F0" w14:textId="5CCA36DF" w:rsidR="00A33875" w:rsidRPr="00EC0229" w:rsidRDefault="00BA07F3" w:rsidP="007600EA">
      <w:pPr>
        <w:spacing w:line="360" w:lineRule="auto"/>
        <w:jc w:val="center"/>
        <w:rPr>
          <w:rFonts w:cs="Times New Roman"/>
          <w:i/>
          <w:sz w:val="20"/>
          <w:szCs w:val="20"/>
        </w:rPr>
      </w:pPr>
      <w:bookmarkStart w:id="294" w:name="_Ref430246084"/>
      <w:bookmarkStart w:id="295" w:name="_Toc468267002"/>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30</w:t>
      </w:r>
      <w:r w:rsidRPr="00EC0229">
        <w:rPr>
          <w:i/>
          <w:sz w:val="20"/>
          <w:szCs w:val="20"/>
        </w:rPr>
        <w:fldChar w:fldCharType="end"/>
      </w:r>
      <w:bookmarkEnd w:id="294"/>
      <w:r w:rsidR="00E60DEE" w:rsidRPr="00EC0229">
        <w:rPr>
          <w:rFonts w:cs="Times New Roman"/>
          <w:sz w:val="20"/>
          <w:szCs w:val="20"/>
        </w:rPr>
        <w:t xml:space="preserve">: </w:t>
      </w:r>
      <w:r w:rsidR="00F20A5B" w:rsidRPr="00EC0229">
        <w:rPr>
          <w:rFonts w:cs="Times New Roman"/>
          <w:sz w:val="20"/>
          <w:szCs w:val="20"/>
        </w:rPr>
        <w:t>Aldfrith</w:t>
      </w:r>
      <w:r w:rsidR="00D142DC" w:rsidRPr="00EC0229">
        <w:rPr>
          <w:rFonts w:cs="Times New Roman"/>
          <w:i/>
          <w:sz w:val="20"/>
          <w:szCs w:val="20"/>
        </w:rPr>
        <w:fldChar w:fldCharType="begin"/>
      </w:r>
      <w:r w:rsidR="00D142DC" w:rsidRPr="00EC0229">
        <w:rPr>
          <w:sz w:val="20"/>
          <w:szCs w:val="20"/>
        </w:rPr>
        <w:instrText xml:space="preserve"> XE "Aldfrith" </w:instrText>
      </w:r>
      <w:r w:rsidR="00D142DC" w:rsidRPr="00EC0229">
        <w:rPr>
          <w:rFonts w:cs="Times New Roman"/>
          <w:i/>
          <w:sz w:val="20"/>
          <w:szCs w:val="20"/>
        </w:rPr>
        <w:fldChar w:fldCharType="end"/>
      </w:r>
      <w:r w:rsidR="00F20A5B" w:rsidRPr="00EC0229">
        <w:rPr>
          <w:rFonts w:cs="Times New Roman"/>
          <w:sz w:val="20"/>
          <w:szCs w:val="20"/>
        </w:rPr>
        <w:t xml:space="preserve"> sceat, f</w:t>
      </w:r>
      <w:r w:rsidR="00A33875" w:rsidRPr="00EC0229">
        <w:rPr>
          <w:rFonts w:cs="Times New Roman"/>
          <w:sz w:val="20"/>
          <w:szCs w:val="20"/>
        </w:rPr>
        <w:t>ound Kilham</w:t>
      </w:r>
      <w:r w:rsidR="006B1593" w:rsidRPr="00EC0229">
        <w:rPr>
          <w:rFonts w:cs="Times New Roman"/>
          <w:i/>
          <w:sz w:val="20"/>
          <w:szCs w:val="20"/>
        </w:rPr>
        <w:fldChar w:fldCharType="begin"/>
      </w:r>
      <w:r w:rsidR="006B1593" w:rsidRPr="00EC0229">
        <w:rPr>
          <w:sz w:val="20"/>
          <w:szCs w:val="20"/>
        </w:rPr>
        <w:instrText xml:space="preserve"> XE "</w:instrText>
      </w:r>
      <w:r w:rsidR="006B1593" w:rsidRPr="00EC0229">
        <w:rPr>
          <w:rStyle w:val="Hyperlink"/>
          <w:color w:val="000000" w:themeColor="text1"/>
          <w:sz w:val="20"/>
          <w:szCs w:val="20"/>
          <w:u w:val="none"/>
        </w:rPr>
        <w:instrText>Kilham</w:instrText>
      </w:r>
      <w:r w:rsidR="006B1593" w:rsidRPr="00EC0229">
        <w:rPr>
          <w:sz w:val="20"/>
          <w:szCs w:val="20"/>
        </w:rPr>
        <w:instrText xml:space="preserve">" </w:instrText>
      </w:r>
      <w:r w:rsidR="006B1593" w:rsidRPr="00EC0229">
        <w:rPr>
          <w:rFonts w:cs="Times New Roman"/>
          <w:i/>
          <w:sz w:val="20"/>
          <w:szCs w:val="20"/>
        </w:rPr>
        <w:fldChar w:fldCharType="end"/>
      </w:r>
      <w:r w:rsidR="00A33875" w:rsidRPr="00EC0229">
        <w:rPr>
          <w:rFonts w:cs="Times New Roman"/>
          <w:sz w:val="20"/>
          <w:szCs w:val="20"/>
        </w:rPr>
        <w:t>, East Yorkshire (SL69)</w:t>
      </w:r>
      <w:bookmarkEnd w:id="295"/>
    </w:p>
    <w:p w14:paraId="71144B05" w14:textId="0EE17B43" w:rsidR="00A33875" w:rsidRPr="00EC0229" w:rsidRDefault="00A33875" w:rsidP="007600EA">
      <w:pPr>
        <w:pStyle w:val="NoSpacing"/>
        <w:spacing w:line="360" w:lineRule="auto"/>
        <w:rPr>
          <w:rFonts w:cs="Times New Roman"/>
          <w:szCs w:val="24"/>
        </w:rPr>
      </w:pPr>
      <w:r w:rsidRPr="00EC0229">
        <w:rPr>
          <w:rFonts w:cs="Times New Roman"/>
          <w:szCs w:val="24"/>
        </w:rPr>
        <w:t>Metcalf</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associates the ‘Maltese cross’ variety </w:t>
      </w:r>
      <w:r w:rsidR="00351CEF"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_Ref430246093 \h </w:instrText>
      </w:r>
      <w:r w:rsidR="000A7CD7"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31</w:t>
      </w:r>
      <w:r w:rsidR="008C418A" w:rsidRPr="00EC0229">
        <w:rPr>
          <w:rFonts w:cs="Times New Roman"/>
          <w:szCs w:val="24"/>
        </w:rPr>
        <w:fldChar w:fldCharType="end"/>
      </w:r>
      <w:r w:rsidR="00351CEF" w:rsidRPr="00EC0229">
        <w:rPr>
          <w:rFonts w:cs="Times New Roman"/>
          <w:szCs w:val="24"/>
        </w:rPr>
        <w:t xml:space="preserve">) </w:t>
      </w:r>
      <w:r w:rsidRPr="00EC0229">
        <w:rPr>
          <w:rFonts w:cs="Times New Roman"/>
          <w:szCs w:val="24"/>
        </w:rPr>
        <w:t>with Aldfrith</w:t>
      </w:r>
      <w:r w:rsidR="00D142DC" w:rsidRPr="00EC0229">
        <w:rPr>
          <w:rFonts w:cs="Times New Roman"/>
          <w:szCs w:val="24"/>
        </w:rPr>
        <w:fldChar w:fldCharType="begin"/>
      </w:r>
      <w:r w:rsidR="00D142DC" w:rsidRPr="00EC0229">
        <w:instrText xml:space="preserve"> XE "Aldfrith" </w:instrText>
      </w:r>
      <w:r w:rsidR="00D142DC"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562"/>
      </w:r>
      <w:r w:rsidRPr="00EC0229">
        <w:rPr>
          <w:rFonts w:cs="Times New Roman"/>
          <w:szCs w:val="24"/>
        </w:rPr>
        <w:t xml:space="preserve"> although the findspots do not support a northern connection.</w:t>
      </w:r>
    </w:p>
    <w:p w14:paraId="328EFFEB" w14:textId="77777777" w:rsidR="00A33875" w:rsidRPr="00EC0229" w:rsidRDefault="00A33875" w:rsidP="007600EA">
      <w:pPr>
        <w:pStyle w:val="NoSpacing"/>
        <w:spacing w:line="360" w:lineRule="auto"/>
        <w:jc w:val="center"/>
        <w:rPr>
          <w:rFonts w:cs="Times New Roman"/>
          <w:sz w:val="20"/>
          <w:szCs w:val="20"/>
        </w:rPr>
      </w:pPr>
      <w:r w:rsidRPr="00EC0229">
        <w:rPr>
          <w:rFonts w:cs="Times New Roman"/>
          <w:noProof/>
          <w:sz w:val="20"/>
          <w:szCs w:val="20"/>
          <w:lang w:eastAsia="en-GB"/>
        </w:rPr>
        <w:drawing>
          <wp:inline distT="0" distB="0" distL="0" distR="0" wp14:anchorId="4D087A4E" wp14:editId="5948DC79">
            <wp:extent cx="977900" cy="9779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02-80 Z300R.JPG"/>
                    <pic:cNvPicPr/>
                  </pic:nvPicPr>
                  <pic:blipFill>
                    <a:blip r:embed="rId117">
                      <a:extLst>
                        <a:ext uri="{28A0092B-C50C-407E-A947-70E740481C1C}">
                          <a14:useLocalDpi xmlns:a14="http://schemas.microsoft.com/office/drawing/2010/main" val="0"/>
                        </a:ext>
                      </a:extLst>
                    </a:blip>
                    <a:stretch>
                      <a:fillRect/>
                    </a:stretch>
                  </pic:blipFill>
                  <pic:spPr>
                    <a:xfrm>
                      <a:off x="0" y="0"/>
                      <a:ext cx="977900" cy="977900"/>
                    </a:xfrm>
                    <a:prstGeom prst="rect">
                      <a:avLst/>
                    </a:prstGeom>
                  </pic:spPr>
                </pic:pic>
              </a:graphicData>
            </a:graphic>
          </wp:inline>
        </w:drawing>
      </w:r>
      <w:r w:rsidRPr="00EC0229">
        <w:rPr>
          <w:rFonts w:cs="Times New Roman"/>
          <w:noProof/>
          <w:sz w:val="20"/>
          <w:szCs w:val="20"/>
          <w:lang w:eastAsia="en-GB"/>
        </w:rPr>
        <w:drawing>
          <wp:inline distT="0" distB="0" distL="0" distR="0" wp14:anchorId="5B3EFB80" wp14:editId="1A434CC5">
            <wp:extent cx="977900" cy="9779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02-80 Z300R (2).JPG"/>
                    <pic:cNvPicPr/>
                  </pic:nvPicPr>
                  <pic:blipFill>
                    <a:blip r:embed="rId118">
                      <a:extLst>
                        <a:ext uri="{28A0092B-C50C-407E-A947-70E740481C1C}">
                          <a14:useLocalDpi xmlns:a14="http://schemas.microsoft.com/office/drawing/2010/main" val="0"/>
                        </a:ext>
                      </a:extLst>
                    </a:blip>
                    <a:stretch>
                      <a:fillRect/>
                    </a:stretch>
                  </pic:blipFill>
                  <pic:spPr>
                    <a:xfrm>
                      <a:off x="0" y="0"/>
                      <a:ext cx="977900" cy="977900"/>
                    </a:xfrm>
                    <a:prstGeom prst="rect">
                      <a:avLst/>
                    </a:prstGeom>
                  </pic:spPr>
                </pic:pic>
              </a:graphicData>
            </a:graphic>
          </wp:inline>
        </w:drawing>
      </w:r>
    </w:p>
    <w:p w14:paraId="0BDF7123" w14:textId="4E145CE4" w:rsidR="00BA07F3" w:rsidRPr="00EC0229" w:rsidRDefault="00BA07F3" w:rsidP="007600EA">
      <w:pPr>
        <w:pStyle w:val="NoSpacing"/>
        <w:spacing w:line="360" w:lineRule="auto"/>
        <w:jc w:val="center"/>
        <w:rPr>
          <w:sz w:val="20"/>
          <w:szCs w:val="20"/>
        </w:rPr>
      </w:pPr>
      <w:bookmarkStart w:id="296" w:name="_Ref430246093"/>
      <w:bookmarkStart w:id="297" w:name="_Toc46826700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31</w:t>
      </w:r>
      <w:r w:rsidRPr="00EC0229">
        <w:rPr>
          <w:sz w:val="20"/>
          <w:szCs w:val="20"/>
        </w:rPr>
        <w:fldChar w:fldCharType="end"/>
      </w:r>
      <w:bookmarkEnd w:id="296"/>
      <w:r w:rsidR="00351CEF" w:rsidRPr="00EC0229">
        <w:rPr>
          <w:sz w:val="20"/>
          <w:szCs w:val="20"/>
        </w:rPr>
        <w:t xml:space="preserve">: </w:t>
      </w:r>
      <w:r w:rsidR="00A33875" w:rsidRPr="00EC0229">
        <w:rPr>
          <w:sz w:val="20"/>
          <w:szCs w:val="20"/>
        </w:rPr>
        <w:t>‘Maltese cross’ variety fou</w:t>
      </w:r>
      <w:r w:rsidRPr="00EC0229">
        <w:rPr>
          <w:sz w:val="20"/>
          <w:szCs w:val="20"/>
        </w:rPr>
        <w:t>nd Norfolk, north-west Norfolk</w:t>
      </w:r>
      <w:r w:rsidR="00067FAA" w:rsidRPr="00EC0229">
        <w:rPr>
          <w:sz w:val="20"/>
          <w:szCs w:val="20"/>
        </w:rPr>
        <w:t>.</w:t>
      </w:r>
      <w:bookmarkEnd w:id="297"/>
    </w:p>
    <w:p w14:paraId="32FCB303" w14:textId="6696B7B3" w:rsidR="00A33875" w:rsidRPr="00EC0229" w:rsidRDefault="00067FAA" w:rsidP="007600EA">
      <w:pPr>
        <w:pStyle w:val="NoSpacing"/>
        <w:spacing w:line="360" w:lineRule="auto"/>
        <w:jc w:val="center"/>
        <w:rPr>
          <w:sz w:val="20"/>
          <w:szCs w:val="20"/>
        </w:rPr>
      </w:pPr>
      <w:r w:rsidRPr="00EC0229">
        <w:rPr>
          <w:sz w:val="20"/>
          <w:szCs w:val="20"/>
        </w:rPr>
        <w:t>A</w:t>
      </w:r>
      <w:r w:rsidR="00A33875" w:rsidRPr="00EC0229">
        <w:rPr>
          <w:sz w:val="20"/>
          <w:szCs w:val="20"/>
        </w:rPr>
        <w:t>nother found at Pangbourne, Berkshire</w:t>
      </w:r>
      <w:r w:rsidR="00A33875" w:rsidRPr="00EC0229">
        <w:rPr>
          <w:i/>
          <w:sz w:val="20"/>
          <w:szCs w:val="20"/>
        </w:rPr>
        <w:t xml:space="preserve"> </w:t>
      </w:r>
      <w:r w:rsidR="00A33875" w:rsidRPr="00EC0229">
        <w:rPr>
          <w:sz w:val="20"/>
          <w:szCs w:val="20"/>
        </w:rPr>
        <w:t>(</w:t>
      </w:r>
      <w:r w:rsidR="00A33875" w:rsidRPr="00EC0229">
        <w:rPr>
          <w:i/>
          <w:sz w:val="20"/>
          <w:szCs w:val="20"/>
        </w:rPr>
        <w:t>SL</w:t>
      </w:r>
      <w:r w:rsidR="00A33875" w:rsidRPr="00EC0229">
        <w:rPr>
          <w:sz w:val="20"/>
          <w:szCs w:val="20"/>
        </w:rPr>
        <w:t>102-80)</w:t>
      </w:r>
    </w:p>
    <w:p w14:paraId="0D2D4B06" w14:textId="5D350BFB" w:rsidR="00A33875" w:rsidRPr="008259E1" w:rsidRDefault="008259E1" w:rsidP="008259E1">
      <w:pPr>
        <w:pStyle w:val="Heading4"/>
        <w:rPr>
          <w:b/>
        </w:rPr>
      </w:pPr>
      <w:bookmarkStart w:id="298" w:name="Period4b"/>
      <w:bookmarkStart w:id="299" w:name="_Toc468266791"/>
      <w:bookmarkEnd w:id="298"/>
      <w:r w:rsidRPr="008259E1">
        <w:rPr>
          <w:b/>
        </w:rPr>
        <w:t>5.3.4.3</w:t>
      </w:r>
      <w:r w:rsidRPr="008259E1">
        <w:rPr>
          <w:b/>
        </w:rPr>
        <w:tab/>
      </w:r>
      <w:r w:rsidR="00A33875" w:rsidRPr="008259E1">
        <w:rPr>
          <w:b/>
        </w:rPr>
        <w:t>Period 4b</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4b</w:instrText>
      </w:r>
      <w:r w:rsidR="00F204A1" w:rsidRPr="008259E1">
        <w:rPr>
          <w:b/>
        </w:rPr>
        <w:instrText xml:space="preserve">" </w:instrText>
      </w:r>
      <w:r w:rsidR="00F204A1" w:rsidRPr="008259E1">
        <w:rPr>
          <w:b/>
        </w:rPr>
        <w:fldChar w:fldCharType="end"/>
      </w:r>
      <w:r w:rsidR="00A33875" w:rsidRPr="008259E1">
        <w:rPr>
          <w:b/>
        </w:rPr>
        <w:t>. Imported Primary Southumbrian sceats,</w:t>
      </w:r>
      <w:r w:rsidR="00F204A1" w:rsidRPr="008259E1">
        <w:rPr>
          <w:b/>
        </w:rPr>
        <w:fldChar w:fldCharType="begin"/>
      </w:r>
      <w:r w:rsidR="00F204A1" w:rsidRPr="008259E1">
        <w:rPr>
          <w:b/>
        </w:rPr>
        <w:instrText xml:space="preserve"> XE "</w:instrText>
      </w:r>
      <w:r w:rsidR="00F204A1" w:rsidRPr="008259E1">
        <w:rPr>
          <w:rStyle w:val="Hyperlink"/>
          <w:b/>
          <w:noProof/>
          <w:u w:val="none"/>
        </w:rPr>
        <w:instrText>Imported Primary Southumbrian sceats,</w:instrText>
      </w:r>
      <w:r w:rsidR="00F204A1" w:rsidRPr="008259E1">
        <w:rPr>
          <w:b/>
        </w:rPr>
        <w:instrText xml:space="preserve">" </w:instrText>
      </w:r>
      <w:r w:rsidR="00F204A1" w:rsidRPr="008259E1">
        <w:rPr>
          <w:b/>
        </w:rPr>
        <w:fldChar w:fldCharType="end"/>
      </w:r>
      <w:r w:rsidR="00A33875" w:rsidRPr="008259E1">
        <w:rPr>
          <w:b/>
        </w:rPr>
        <w:t xml:space="preserve"> </w:t>
      </w:r>
      <w:r w:rsidR="002132F1">
        <w:rPr>
          <w:b/>
          <w:i/>
        </w:rPr>
        <w:t>c.</w:t>
      </w:r>
      <w:r w:rsidR="00A33875" w:rsidRPr="008259E1">
        <w:rPr>
          <w:b/>
        </w:rPr>
        <w:t>670s</w:t>
      </w:r>
      <w:r w:rsidR="00AB6635">
        <w:rPr>
          <w:b/>
        </w:rPr>
        <w:t>-</w:t>
      </w:r>
      <w:r w:rsidR="00A33875" w:rsidRPr="008259E1">
        <w:rPr>
          <w:b/>
          <w:i/>
        </w:rPr>
        <w:t>c.</w:t>
      </w:r>
      <w:r w:rsidR="00A33875" w:rsidRPr="008259E1">
        <w:rPr>
          <w:b/>
        </w:rPr>
        <w:t>710</w:t>
      </w:r>
      <w:bookmarkEnd w:id="299"/>
    </w:p>
    <w:p w14:paraId="1DA3ED6A" w14:textId="7237AB74" w:rsidR="00A33875" w:rsidRPr="00EC0229" w:rsidRDefault="00A33875" w:rsidP="007600EA">
      <w:pPr>
        <w:pStyle w:val="NoSpacing"/>
        <w:spacing w:line="360" w:lineRule="auto"/>
      </w:pPr>
      <w:r w:rsidRPr="00EC0229">
        <w:t>During Aldfrith</w:t>
      </w:r>
      <w:r w:rsidR="00D142DC" w:rsidRPr="00EC0229">
        <w:fldChar w:fldCharType="begin"/>
      </w:r>
      <w:r w:rsidR="00D142DC" w:rsidRPr="00EC0229">
        <w:instrText xml:space="preserve"> XE "Aldfrith" </w:instrText>
      </w:r>
      <w:r w:rsidR="00D142DC" w:rsidRPr="00EC0229">
        <w:fldChar w:fldCharType="end"/>
      </w:r>
      <w:r w:rsidRPr="00EC0229">
        <w:t>’s reign there was insufficient monetary control to recycle rapidly all currencies arriving through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’s extensive coastal, estuarine, riverine and inland borders. There are </w:t>
      </w:r>
      <w:r w:rsidR="00BF6095">
        <w:t>several</w:t>
      </w:r>
      <w:r w:rsidRPr="00EC0229">
        <w:t xml:space="preserve"> northern survivors, including issues with presumed moneyers’ names – atypical in the southern coinage - such as ‘Saroaldo’, ‘Valdoberhtus’ and </w:t>
      </w:r>
      <w:r w:rsidRPr="00EC0229">
        <w:rPr>
          <w:rFonts w:cs="Times New Roman"/>
        </w:rPr>
        <w:t>Æ</w:t>
      </w:r>
      <w:r w:rsidRPr="00EC0229">
        <w:t>thilir</w:t>
      </w:r>
      <w:r w:rsidRPr="00EC0229">
        <w:rPr>
          <w:rFonts w:cs="Times New Roman"/>
        </w:rPr>
        <w:t>æ</w:t>
      </w:r>
      <w:r w:rsidRPr="00EC0229">
        <w:t>d</w:t>
      </w:r>
      <w:r w:rsidR="00351CEF" w:rsidRPr="00EC0229">
        <w:t xml:space="preserve"> </w:t>
      </w:r>
      <w:r w:rsidR="00351CEF" w:rsidRPr="00EC0229">
        <w:rPr>
          <w:szCs w:val="24"/>
        </w:rPr>
        <w:t>(</w:t>
      </w:r>
      <w:r w:rsidR="008C418A" w:rsidRPr="00EC0229">
        <w:rPr>
          <w:i/>
          <w:szCs w:val="24"/>
        </w:rPr>
        <w:fldChar w:fldCharType="begin"/>
      </w:r>
      <w:r w:rsidR="008C418A" w:rsidRPr="00EC0229">
        <w:rPr>
          <w:i/>
          <w:szCs w:val="24"/>
        </w:rPr>
        <w:instrText xml:space="preserve"> REF _Ref430246108 \h </w:instrText>
      </w:r>
      <w:r w:rsidR="000A7CD7" w:rsidRPr="00EC0229">
        <w:rPr>
          <w:i/>
          <w:szCs w:val="24"/>
        </w:rPr>
        <w:instrText xml:space="preserve"> \* MERGEFORMAT </w:instrText>
      </w:r>
      <w:r w:rsidR="008C418A" w:rsidRPr="00EC0229">
        <w:rPr>
          <w:i/>
          <w:szCs w:val="24"/>
        </w:rPr>
      </w:r>
      <w:r w:rsidR="008C418A" w:rsidRPr="00EC0229">
        <w:rPr>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32</w:t>
      </w:r>
      <w:r w:rsidR="008C418A" w:rsidRPr="00EC0229">
        <w:rPr>
          <w:szCs w:val="24"/>
        </w:rPr>
        <w:fldChar w:fldCharType="end"/>
      </w:r>
      <w:r w:rsidR="00351CEF" w:rsidRPr="00EC0229">
        <w:t>)</w:t>
      </w:r>
      <w:r w:rsidRPr="00EC0229">
        <w:t>.</w:t>
      </w:r>
    </w:p>
    <w:p w14:paraId="34D7B2E1" w14:textId="6C4AE263" w:rsidR="00A33875" w:rsidRPr="00EC0229" w:rsidRDefault="00A33875" w:rsidP="007600EA">
      <w:pPr>
        <w:pStyle w:val="NoSpacing"/>
        <w:spacing w:line="360" w:lineRule="auto"/>
        <w:jc w:val="center"/>
        <w:rPr>
          <w:color w:val="FF0000"/>
        </w:rPr>
      </w:pPr>
      <w:r w:rsidRPr="00EC0229">
        <w:rPr>
          <w:noProof/>
          <w:color w:val="FF0000"/>
          <w:lang w:eastAsia="en-GB"/>
        </w:rPr>
        <w:drawing>
          <wp:inline distT="0" distB="0" distL="0" distR="0" wp14:anchorId="22E4F14B" wp14:editId="440987EA">
            <wp:extent cx="838200" cy="7691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0 A055.jpg"/>
                    <pic:cNvPicPr/>
                  </pic:nvPicPr>
                  <pic:blipFill>
                    <a:blip r:embed="rId119">
                      <a:extLst>
                        <a:ext uri="{28A0092B-C50C-407E-A947-70E740481C1C}">
                          <a14:useLocalDpi xmlns:a14="http://schemas.microsoft.com/office/drawing/2010/main" val="0"/>
                        </a:ext>
                      </a:extLst>
                    </a:blip>
                    <a:stretch>
                      <a:fillRect/>
                    </a:stretch>
                  </pic:blipFill>
                  <pic:spPr>
                    <a:xfrm>
                      <a:off x="0" y="0"/>
                      <a:ext cx="876951" cy="804733"/>
                    </a:xfrm>
                    <a:prstGeom prst="rect">
                      <a:avLst/>
                    </a:prstGeom>
                  </pic:spPr>
                </pic:pic>
              </a:graphicData>
            </a:graphic>
          </wp:inline>
        </w:drawing>
      </w:r>
      <w:r w:rsidRPr="00EC0229">
        <w:rPr>
          <w:noProof/>
          <w:color w:val="FF0000"/>
          <w:lang w:eastAsia="en-GB"/>
        </w:rPr>
        <w:drawing>
          <wp:inline distT="0" distB="0" distL="0" distR="0" wp14:anchorId="3CAFE24B" wp14:editId="42891942">
            <wp:extent cx="731520" cy="796067"/>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0 A055r.jpg"/>
                    <pic:cNvPicPr/>
                  </pic:nvPicPr>
                  <pic:blipFill>
                    <a:blip r:embed="rId120">
                      <a:extLst>
                        <a:ext uri="{28A0092B-C50C-407E-A947-70E740481C1C}">
                          <a14:useLocalDpi xmlns:a14="http://schemas.microsoft.com/office/drawing/2010/main" val="0"/>
                        </a:ext>
                      </a:extLst>
                    </a:blip>
                    <a:stretch>
                      <a:fillRect/>
                    </a:stretch>
                  </pic:blipFill>
                  <pic:spPr>
                    <a:xfrm>
                      <a:off x="0" y="0"/>
                      <a:ext cx="760683" cy="827803"/>
                    </a:xfrm>
                    <a:prstGeom prst="rect">
                      <a:avLst/>
                    </a:prstGeom>
                  </pic:spPr>
                </pic:pic>
              </a:graphicData>
            </a:graphic>
          </wp:inline>
        </w:drawing>
      </w:r>
      <w:r w:rsidR="00D44773" w:rsidRPr="00EC0229">
        <w:rPr>
          <w:color w:val="FF0000"/>
        </w:rPr>
        <w:tab/>
      </w:r>
      <w:r w:rsidRPr="00EC0229">
        <w:rPr>
          <w:noProof/>
          <w:color w:val="FF0000"/>
          <w:lang w:eastAsia="en-GB"/>
        </w:rPr>
        <w:drawing>
          <wp:inline distT="0" distB="0" distL="0" distR="0" wp14:anchorId="209AD3CB" wp14:editId="6EBBCBEA">
            <wp:extent cx="796689" cy="820121"/>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0 A058.JPG"/>
                    <pic:cNvPicPr/>
                  </pic:nvPicPr>
                  <pic:blipFill>
                    <a:blip r:embed="rId121">
                      <a:extLst>
                        <a:ext uri="{28A0092B-C50C-407E-A947-70E740481C1C}">
                          <a14:useLocalDpi xmlns:a14="http://schemas.microsoft.com/office/drawing/2010/main" val="0"/>
                        </a:ext>
                      </a:extLst>
                    </a:blip>
                    <a:stretch>
                      <a:fillRect/>
                    </a:stretch>
                  </pic:blipFill>
                  <pic:spPr>
                    <a:xfrm>
                      <a:off x="0" y="0"/>
                      <a:ext cx="816703" cy="840724"/>
                    </a:xfrm>
                    <a:prstGeom prst="rect">
                      <a:avLst/>
                    </a:prstGeom>
                  </pic:spPr>
                </pic:pic>
              </a:graphicData>
            </a:graphic>
          </wp:inline>
        </w:drawing>
      </w:r>
      <w:r w:rsidRPr="00EC0229">
        <w:rPr>
          <w:noProof/>
          <w:color w:val="FF0000"/>
          <w:lang w:eastAsia="en-GB"/>
        </w:rPr>
        <w:drawing>
          <wp:inline distT="0" distB="0" distL="0" distR="0" wp14:anchorId="358AC08D" wp14:editId="2709B478">
            <wp:extent cx="807720" cy="82197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0 A058R.JPG"/>
                    <pic:cNvPicPr/>
                  </pic:nvPicPr>
                  <pic:blipFill>
                    <a:blip r:embed="rId122">
                      <a:extLst>
                        <a:ext uri="{28A0092B-C50C-407E-A947-70E740481C1C}">
                          <a14:useLocalDpi xmlns:a14="http://schemas.microsoft.com/office/drawing/2010/main" val="0"/>
                        </a:ext>
                      </a:extLst>
                    </a:blip>
                    <a:stretch>
                      <a:fillRect/>
                    </a:stretch>
                  </pic:blipFill>
                  <pic:spPr>
                    <a:xfrm>
                      <a:off x="0" y="0"/>
                      <a:ext cx="818908" cy="833359"/>
                    </a:xfrm>
                    <a:prstGeom prst="rect">
                      <a:avLst/>
                    </a:prstGeom>
                  </pic:spPr>
                </pic:pic>
              </a:graphicData>
            </a:graphic>
          </wp:inline>
        </w:drawing>
      </w:r>
      <w:r w:rsidR="00D44773" w:rsidRPr="00EC0229">
        <w:rPr>
          <w:color w:val="FF0000"/>
        </w:rPr>
        <w:tab/>
      </w:r>
      <w:r w:rsidRPr="00EC0229">
        <w:rPr>
          <w:noProof/>
          <w:color w:val="FF0000"/>
          <w:lang w:eastAsia="en-GB"/>
        </w:rPr>
        <w:drawing>
          <wp:inline distT="0" distB="0" distL="0" distR="0" wp14:anchorId="3A5D31DE" wp14:editId="244ED60F">
            <wp:extent cx="826441" cy="84588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50 A400.JPG"/>
                    <pic:cNvPicPr/>
                  </pic:nvPicPr>
                  <pic:blipFill>
                    <a:blip r:embed="rId123">
                      <a:extLst>
                        <a:ext uri="{28A0092B-C50C-407E-A947-70E740481C1C}">
                          <a14:useLocalDpi xmlns:a14="http://schemas.microsoft.com/office/drawing/2010/main" val="0"/>
                        </a:ext>
                      </a:extLst>
                    </a:blip>
                    <a:stretch>
                      <a:fillRect/>
                    </a:stretch>
                  </pic:blipFill>
                  <pic:spPr>
                    <a:xfrm>
                      <a:off x="0" y="0"/>
                      <a:ext cx="853671" cy="873757"/>
                    </a:xfrm>
                    <a:prstGeom prst="rect">
                      <a:avLst/>
                    </a:prstGeom>
                  </pic:spPr>
                </pic:pic>
              </a:graphicData>
            </a:graphic>
          </wp:inline>
        </w:drawing>
      </w:r>
      <w:r w:rsidRPr="00EC0229">
        <w:rPr>
          <w:noProof/>
          <w:color w:val="FF0000"/>
          <w:lang w:eastAsia="en-GB"/>
        </w:rPr>
        <w:drawing>
          <wp:inline distT="0" distB="0" distL="0" distR="0" wp14:anchorId="7F76D111" wp14:editId="0C3F6E4B">
            <wp:extent cx="854385" cy="824229"/>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50 A400R.JPG"/>
                    <pic:cNvPicPr/>
                  </pic:nvPicPr>
                  <pic:blipFill>
                    <a:blip r:embed="rId124">
                      <a:extLst>
                        <a:ext uri="{28A0092B-C50C-407E-A947-70E740481C1C}">
                          <a14:useLocalDpi xmlns:a14="http://schemas.microsoft.com/office/drawing/2010/main" val="0"/>
                        </a:ext>
                      </a:extLst>
                    </a:blip>
                    <a:stretch>
                      <a:fillRect/>
                    </a:stretch>
                  </pic:blipFill>
                  <pic:spPr>
                    <a:xfrm>
                      <a:off x="0" y="0"/>
                      <a:ext cx="887702" cy="856370"/>
                    </a:xfrm>
                    <a:prstGeom prst="rect">
                      <a:avLst/>
                    </a:prstGeom>
                  </pic:spPr>
                </pic:pic>
              </a:graphicData>
            </a:graphic>
          </wp:inline>
        </w:drawing>
      </w:r>
    </w:p>
    <w:p w14:paraId="118C0506" w14:textId="433BA557" w:rsidR="00BA07F3" w:rsidRPr="00EC0229" w:rsidRDefault="00BA07F3" w:rsidP="007600EA">
      <w:pPr>
        <w:pStyle w:val="NoSpacing"/>
        <w:spacing w:line="360" w:lineRule="auto"/>
        <w:jc w:val="center"/>
        <w:rPr>
          <w:sz w:val="20"/>
          <w:szCs w:val="20"/>
        </w:rPr>
      </w:pPr>
      <w:bookmarkStart w:id="300" w:name="_Ref430246108"/>
      <w:bookmarkStart w:id="301" w:name="_Toc46826700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32</w:t>
      </w:r>
      <w:r w:rsidRPr="00EC0229">
        <w:rPr>
          <w:sz w:val="20"/>
          <w:szCs w:val="20"/>
        </w:rPr>
        <w:fldChar w:fldCharType="end"/>
      </w:r>
      <w:bookmarkEnd w:id="300"/>
      <w:r w:rsidRPr="00EC0229">
        <w:rPr>
          <w:sz w:val="20"/>
          <w:szCs w:val="20"/>
        </w:rPr>
        <w:t xml:space="preserve">: </w:t>
      </w:r>
      <w:r w:rsidR="00A33875" w:rsidRPr="00EC0229">
        <w:rPr>
          <w:sz w:val="20"/>
          <w:szCs w:val="20"/>
        </w:rPr>
        <w:t>L: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A33875" w:rsidRPr="00EC0229">
        <w:rPr>
          <w:sz w:val="20"/>
          <w:szCs w:val="20"/>
        </w:rPr>
        <w:t xml:space="preserve"> A (</w:t>
      </w:r>
      <w:r w:rsidR="00A33875" w:rsidRPr="00EC0229">
        <w:rPr>
          <w:i/>
          <w:sz w:val="20"/>
          <w:szCs w:val="20"/>
        </w:rPr>
        <w:t>SL</w:t>
      </w:r>
      <w:r w:rsidR="00A33875" w:rsidRPr="00EC0229">
        <w:rPr>
          <w:sz w:val="20"/>
          <w:szCs w:val="20"/>
        </w:rPr>
        <w:t>3)</w:t>
      </w:r>
      <w:r w:rsidRPr="00EC0229">
        <w:rPr>
          <w:sz w:val="20"/>
          <w:szCs w:val="20"/>
        </w:rPr>
        <w:t>. R:</w:t>
      </w:r>
      <w:r w:rsidR="007B6985" w:rsidRPr="00EC0229">
        <w:rPr>
          <w:sz w:val="20"/>
          <w:szCs w:val="20"/>
        </w:rPr>
        <w:t xml:space="preserve"> ‘Valdoberhtus’</w:t>
      </w:r>
      <w:bookmarkEnd w:id="301"/>
    </w:p>
    <w:p w14:paraId="4423F29B" w14:textId="77777777" w:rsidR="007B6985" w:rsidRPr="00EC0229" w:rsidRDefault="007B6985" w:rsidP="007600EA">
      <w:pPr>
        <w:pStyle w:val="NoSpacing"/>
        <w:spacing w:line="360" w:lineRule="auto"/>
        <w:rPr>
          <w:sz w:val="20"/>
          <w:szCs w:val="20"/>
        </w:rPr>
      </w:pPr>
      <w:r w:rsidRPr="00EC0229">
        <w:rPr>
          <w:sz w:val="20"/>
          <w:szCs w:val="20"/>
        </w:rPr>
        <w:t xml:space="preserve">L: </w:t>
      </w:r>
      <w:r w:rsidR="00A33875" w:rsidRPr="00EC0229">
        <w:rPr>
          <w:sz w:val="20"/>
          <w:szCs w:val="20"/>
        </w:rPr>
        <w:t>i) var. A1, found ‘Yorkshire’, ii) var. A2, pale gold</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gold</w:instrText>
      </w:r>
      <w:r w:rsidR="008960AE" w:rsidRPr="00EC0229">
        <w:rPr>
          <w:sz w:val="20"/>
          <w:szCs w:val="20"/>
        </w:rPr>
        <w:instrText xml:space="preserve">" </w:instrText>
      </w:r>
      <w:r w:rsidR="008960AE" w:rsidRPr="00EC0229">
        <w:rPr>
          <w:sz w:val="20"/>
          <w:szCs w:val="20"/>
        </w:rPr>
        <w:fldChar w:fldCharType="end"/>
      </w:r>
      <w:r w:rsidR="00BA07F3" w:rsidRPr="00EC0229">
        <w:rPr>
          <w:sz w:val="20"/>
          <w:szCs w:val="20"/>
        </w:rPr>
        <w:t xml:space="preserve">. </w:t>
      </w:r>
    </w:p>
    <w:p w14:paraId="6FAE7F0C" w14:textId="69BAC8A4" w:rsidR="00A33875" w:rsidRPr="00EC0229" w:rsidRDefault="00BA07F3" w:rsidP="007600EA">
      <w:pPr>
        <w:pStyle w:val="NoSpacing"/>
        <w:spacing w:line="360" w:lineRule="auto"/>
        <w:jc w:val="right"/>
        <w:rPr>
          <w:sz w:val="20"/>
          <w:szCs w:val="20"/>
        </w:rPr>
      </w:pPr>
      <w:r w:rsidRPr="00EC0229">
        <w:rPr>
          <w:sz w:val="20"/>
          <w:szCs w:val="20"/>
        </w:rPr>
        <w:t>R:</w:t>
      </w:r>
      <w:r w:rsidR="00067FAA" w:rsidRPr="00EC0229">
        <w:rPr>
          <w:sz w:val="20"/>
          <w:szCs w:val="20"/>
        </w:rPr>
        <w:t xml:space="preserve"> </w:t>
      </w:r>
      <w:r w:rsidR="00A33875" w:rsidRPr="00EC0229">
        <w:rPr>
          <w:sz w:val="20"/>
          <w:szCs w:val="20"/>
        </w:rPr>
        <w:t>‘Valdoberhtus’, found Alne, North Yorkshire (</w:t>
      </w:r>
      <w:r w:rsidR="00A33875" w:rsidRPr="00EC0229">
        <w:rPr>
          <w:i/>
          <w:sz w:val="20"/>
          <w:szCs w:val="20"/>
        </w:rPr>
        <w:t>SL</w:t>
      </w:r>
      <w:r w:rsidR="00A33875" w:rsidRPr="00EC0229">
        <w:rPr>
          <w:sz w:val="20"/>
          <w:szCs w:val="20"/>
        </w:rPr>
        <w:t>3-50).</w:t>
      </w:r>
      <w:r w:rsidR="00A33875" w:rsidRPr="00EC0229">
        <w:rPr>
          <w:rStyle w:val="FootnoteReference"/>
          <w:sz w:val="20"/>
          <w:szCs w:val="20"/>
        </w:rPr>
        <w:footnoteReference w:id="563"/>
      </w:r>
    </w:p>
    <w:p w14:paraId="144CD112" w14:textId="77777777" w:rsidR="00A33875" w:rsidRPr="00EC0229" w:rsidRDefault="00A33875" w:rsidP="007600EA">
      <w:pPr>
        <w:pStyle w:val="NoSpacing"/>
        <w:spacing w:line="360" w:lineRule="auto"/>
        <w:rPr>
          <w:szCs w:val="24"/>
        </w:rPr>
      </w:pPr>
    </w:p>
    <w:p w14:paraId="0EDCCFF0" w14:textId="74755B5D" w:rsidR="00BE3132" w:rsidRPr="00EC0229" w:rsidRDefault="00A33875" w:rsidP="007600EA">
      <w:pPr>
        <w:pStyle w:val="NoSpacing"/>
        <w:spacing w:line="360" w:lineRule="auto"/>
      </w:pPr>
      <w:r w:rsidRPr="00EC0229">
        <w:rPr>
          <w:szCs w:val="24"/>
        </w:rPr>
        <w:t>Th</w:t>
      </w:r>
      <w:r w:rsidR="00352BFB" w:rsidRPr="00EC0229">
        <w:rPr>
          <w:szCs w:val="24"/>
        </w:rPr>
        <w:t>e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00352BFB" w:rsidRPr="00EC0229">
        <w:rPr>
          <w:szCs w:val="24"/>
        </w:rPr>
        <w:t xml:space="preserve"> A variety shown here (</w:t>
      </w:r>
      <w:r w:rsidR="00D44773" w:rsidRPr="00EC0229">
        <w:rPr>
          <w:szCs w:val="24"/>
        </w:rPr>
        <w:fldChar w:fldCharType="begin"/>
      </w:r>
      <w:r w:rsidR="00D44773" w:rsidRPr="00EC0229">
        <w:rPr>
          <w:szCs w:val="24"/>
        </w:rPr>
        <w:instrText xml:space="preserve"> REF _Ref430246108 \h  \* MERGEFORMAT </w:instrText>
      </w:r>
      <w:r w:rsidR="00D44773" w:rsidRPr="00EC0229">
        <w:rPr>
          <w:szCs w:val="24"/>
        </w:rPr>
      </w:r>
      <w:r w:rsidR="00D44773"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32</w:t>
      </w:r>
      <w:r w:rsidR="00D44773" w:rsidRPr="00EC0229">
        <w:rPr>
          <w:szCs w:val="24"/>
        </w:rPr>
        <w:fldChar w:fldCharType="end"/>
      </w:r>
      <w:r w:rsidR="00D44773" w:rsidRPr="00EC0229">
        <w:rPr>
          <w:szCs w:val="24"/>
        </w:rPr>
        <w:t xml:space="preserve">, </w:t>
      </w:r>
      <w:r w:rsidR="00352BFB" w:rsidRPr="00EC0229">
        <w:rPr>
          <w:szCs w:val="24"/>
        </w:rPr>
        <w:t xml:space="preserve">L. </w:t>
      </w:r>
      <w:r w:rsidRPr="00EC0229">
        <w:rPr>
          <w:szCs w:val="24"/>
        </w:rPr>
        <w:t xml:space="preserve">i), if genuine, is of the highest rarity and may pre-date </w:t>
      </w:r>
      <w:r w:rsidR="00352BFB" w:rsidRPr="00EC0229">
        <w:rPr>
          <w:szCs w:val="24"/>
        </w:rPr>
        <w:t>Aldfrith</w:t>
      </w:r>
      <w:r w:rsidR="00D142DC" w:rsidRPr="00EC0229">
        <w:rPr>
          <w:szCs w:val="24"/>
        </w:rPr>
        <w:fldChar w:fldCharType="begin"/>
      </w:r>
      <w:r w:rsidR="00D142DC" w:rsidRPr="00EC0229">
        <w:rPr>
          <w:szCs w:val="24"/>
        </w:rPr>
        <w:instrText xml:space="preserve"> XE "Aldfrith" </w:instrText>
      </w:r>
      <w:r w:rsidR="00D142DC" w:rsidRPr="00EC0229">
        <w:rPr>
          <w:szCs w:val="24"/>
        </w:rPr>
        <w:fldChar w:fldCharType="end"/>
      </w:r>
      <w:r w:rsidR="00352BFB" w:rsidRPr="00EC0229">
        <w:rPr>
          <w:szCs w:val="24"/>
        </w:rPr>
        <w:t>. The illustration at (</w:t>
      </w:r>
      <w:r w:rsidR="00D44773" w:rsidRPr="00EC0229">
        <w:rPr>
          <w:szCs w:val="24"/>
        </w:rPr>
        <w:fldChar w:fldCharType="begin"/>
      </w:r>
      <w:r w:rsidR="00D44773" w:rsidRPr="00EC0229">
        <w:rPr>
          <w:szCs w:val="24"/>
        </w:rPr>
        <w:instrText xml:space="preserve"> REF _Ref430246108 \h  \* MERGEFORMAT </w:instrText>
      </w:r>
      <w:r w:rsidR="00D44773" w:rsidRPr="00EC0229">
        <w:rPr>
          <w:szCs w:val="24"/>
        </w:rPr>
      </w:r>
      <w:r w:rsidR="00D44773"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32</w:t>
      </w:r>
      <w:r w:rsidR="00D44773" w:rsidRPr="00EC0229">
        <w:rPr>
          <w:szCs w:val="24"/>
        </w:rPr>
        <w:fldChar w:fldCharType="end"/>
      </w:r>
      <w:r w:rsidR="00D44773" w:rsidRPr="00EC0229">
        <w:rPr>
          <w:szCs w:val="24"/>
        </w:rPr>
        <w:t xml:space="preserve">, </w:t>
      </w:r>
      <w:r w:rsidR="00352BFB" w:rsidRPr="00EC0229">
        <w:rPr>
          <w:szCs w:val="24"/>
        </w:rPr>
        <w:t>L</w:t>
      </w:r>
      <w:r w:rsidRPr="00EC0229">
        <w:rPr>
          <w:szCs w:val="24"/>
        </w:rPr>
        <w:t>.</w:t>
      </w:r>
      <w:r w:rsidR="00352BFB" w:rsidRPr="00EC0229">
        <w:rPr>
          <w:szCs w:val="24"/>
        </w:rPr>
        <w:t xml:space="preserve"> </w:t>
      </w:r>
      <w:r w:rsidRPr="00EC0229">
        <w:rPr>
          <w:szCs w:val="24"/>
        </w:rPr>
        <w:t>ii) is a rare primary sceat of pale gold</w:t>
      </w:r>
      <w:r w:rsidR="008960AE" w:rsidRPr="00EC0229">
        <w:rPr>
          <w:szCs w:val="24"/>
        </w:rPr>
        <w:fldChar w:fldCharType="begin"/>
      </w:r>
      <w:r w:rsidR="008960AE" w:rsidRPr="00EC0229">
        <w:rPr>
          <w:szCs w:val="24"/>
        </w:rPr>
        <w:instrText xml:space="preserve"> XE "</w:instrText>
      </w:r>
      <w:r w:rsidR="008960AE" w:rsidRPr="00EC0229">
        <w:rPr>
          <w:rFonts w:eastAsia="Times New Roman" w:cs="Times New Roman"/>
          <w:szCs w:val="24"/>
          <w:lang w:eastAsia="en-GB"/>
        </w:rPr>
        <w:instrText>gold</w:instrText>
      </w:r>
      <w:r w:rsidR="008960AE" w:rsidRPr="00EC0229">
        <w:rPr>
          <w:szCs w:val="24"/>
        </w:rPr>
        <w:instrText xml:space="preserve">" </w:instrText>
      </w:r>
      <w:r w:rsidR="008960AE" w:rsidRPr="00EC0229">
        <w:rPr>
          <w:szCs w:val="24"/>
        </w:rPr>
        <w:fldChar w:fldCharType="end"/>
      </w:r>
      <w:r w:rsidRPr="00EC0229">
        <w:rPr>
          <w:szCs w:val="24"/>
        </w:rPr>
        <w:t>.</w:t>
      </w:r>
      <w:r w:rsidRPr="00EC0229">
        <w:rPr>
          <w:rStyle w:val="FootnoteReference"/>
          <w:szCs w:val="24"/>
        </w:rPr>
        <w:footnoteReference w:id="564"/>
      </w:r>
      <w:r w:rsidRPr="00EC0229">
        <w:rPr>
          <w:szCs w:val="24"/>
        </w:rPr>
        <w:t xml:space="preserve"> Blackburn speculates that the Valdoberhtus emission (</w:t>
      </w:r>
      <w:r w:rsidR="00D44773" w:rsidRPr="00EC0229">
        <w:rPr>
          <w:szCs w:val="24"/>
        </w:rPr>
        <w:fldChar w:fldCharType="begin"/>
      </w:r>
      <w:r w:rsidR="00D44773" w:rsidRPr="00EC0229">
        <w:rPr>
          <w:szCs w:val="24"/>
        </w:rPr>
        <w:instrText xml:space="preserve"> REF _Ref430246108 \h  \* MERGEFORMAT </w:instrText>
      </w:r>
      <w:r w:rsidR="00D44773" w:rsidRPr="00EC0229">
        <w:rPr>
          <w:szCs w:val="24"/>
        </w:rPr>
      </w:r>
      <w:r w:rsidR="00D44773"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32</w:t>
      </w:r>
      <w:r w:rsidR="00D44773" w:rsidRPr="00EC0229">
        <w:rPr>
          <w:szCs w:val="24"/>
        </w:rPr>
        <w:fldChar w:fldCharType="end"/>
      </w:r>
      <w:r w:rsidR="00D44773" w:rsidRPr="00EC0229">
        <w:rPr>
          <w:szCs w:val="24"/>
        </w:rPr>
        <w:t xml:space="preserve">, </w:t>
      </w:r>
      <w:r w:rsidRPr="00EC0229">
        <w:rPr>
          <w:szCs w:val="24"/>
        </w:rPr>
        <w:t>R) may date from the reign of Dagobert II, 676-9.</w:t>
      </w:r>
      <w:r w:rsidRPr="00EC0229">
        <w:rPr>
          <w:rStyle w:val="FootnoteReference"/>
          <w:szCs w:val="24"/>
        </w:rPr>
        <w:footnoteReference w:id="565"/>
      </w:r>
      <w:r w:rsidRPr="00EC0229">
        <w:rPr>
          <w:szCs w:val="24"/>
        </w:rPr>
        <w:t xml:space="preserve"> The Series CZ and </w:t>
      </w:r>
      <w:r w:rsidR="00351CEF" w:rsidRPr="00EC0229">
        <w:t xml:space="preserve">‘Saroaldo’ specimens </w:t>
      </w:r>
      <w:r w:rsidR="00351CEF" w:rsidRPr="00EC0229">
        <w:rPr>
          <w:szCs w:val="24"/>
        </w:rPr>
        <w:t>(</w:t>
      </w:r>
      <w:r w:rsidR="008C418A" w:rsidRPr="00EC0229">
        <w:rPr>
          <w:i/>
          <w:szCs w:val="24"/>
        </w:rPr>
        <w:fldChar w:fldCharType="begin"/>
      </w:r>
      <w:r w:rsidR="008C418A" w:rsidRPr="00EC0229">
        <w:rPr>
          <w:i/>
          <w:szCs w:val="24"/>
        </w:rPr>
        <w:instrText xml:space="preserve"> REF _Ref430246119 \h </w:instrText>
      </w:r>
      <w:r w:rsidR="007224B1" w:rsidRPr="00EC0229">
        <w:rPr>
          <w:i/>
          <w:szCs w:val="24"/>
        </w:rPr>
        <w:instrText xml:space="preserve"> \* MERGEFORMAT </w:instrText>
      </w:r>
      <w:r w:rsidR="008C418A" w:rsidRPr="00EC0229">
        <w:rPr>
          <w:i/>
          <w:szCs w:val="24"/>
        </w:rPr>
      </w:r>
      <w:r w:rsidR="008C418A" w:rsidRPr="00EC0229">
        <w:rPr>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33</w:t>
      </w:r>
      <w:r w:rsidR="008C418A" w:rsidRPr="00EC0229">
        <w:rPr>
          <w:szCs w:val="24"/>
        </w:rPr>
        <w:fldChar w:fldCharType="end"/>
      </w:r>
      <w:r w:rsidR="00351CEF" w:rsidRPr="00EC0229">
        <w:t>)</w:t>
      </w:r>
      <w:r w:rsidRPr="00EC0229">
        <w:t>, are late primary and probably post-date Aldfrith.</w:t>
      </w:r>
    </w:p>
    <w:p w14:paraId="4D979B70" w14:textId="77777777" w:rsidR="00A33875" w:rsidRPr="00EC0229" w:rsidRDefault="00A33875" w:rsidP="007600EA">
      <w:pPr>
        <w:pStyle w:val="NoSpacing"/>
        <w:spacing w:line="360" w:lineRule="auto"/>
        <w:jc w:val="center"/>
        <w:rPr>
          <w:color w:val="FF0000"/>
        </w:rPr>
      </w:pPr>
      <w:r w:rsidRPr="00EC0229">
        <w:rPr>
          <w:noProof/>
          <w:color w:val="FF0000"/>
          <w:lang w:eastAsia="en-GB"/>
        </w:rPr>
        <w:lastRenderedPageBreak/>
        <w:drawing>
          <wp:inline distT="0" distB="0" distL="0" distR="0" wp14:anchorId="7876E31F" wp14:editId="03F41F17">
            <wp:extent cx="914400" cy="87674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10 CZ15.JPG"/>
                    <pic:cNvPicPr/>
                  </pic:nvPicPr>
                  <pic:blipFill>
                    <a:blip r:embed="rId125">
                      <a:extLst>
                        <a:ext uri="{28A0092B-C50C-407E-A947-70E740481C1C}">
                          <a14:useLocalDpi xmlns:a14="http://schemas.microsoft.com/office/drawing/2010/main" val="0"/>
                        </a:ext>
                      </a:extLst>
                    </a:blip>
                    <a:stretch>
                      <a:fillRect/>
                    </a:stretch>
                  </pic:blipFill>
                  <pic:spPr>
                    <a:xfrm>
                      <a:off x="0" y="0"/>
                      <a:ext cx="953881" cy="914602"/>
                    </a:xfrm>
                    <a:prstGeom prst="rect">
                      <a:avLst/>
                    </a:prstGeom>
                  </pic:spPr>
                </pic:pic>
              </a:graphicData>
            </a:graphic>
          </wp:inline>
        </w:drawing>
      </w:r>
      <w:r w:rsidRPr="00EC0229">
        <w:rPr>
          <w:noProof/>
          <w:color w:val="FF0000"/>
          <w:lang w:eastAsia="en-GB"/>
        </w:rPr>
        <w:drawing>
          <wp:inline distT="0" distB="0" distL="0" distR="0" wp14:anchorId="47596E87" wp14:editId="4CF1FB39">
            <wp:extent cx="862702" cy="88300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10 CZ15R.JPG"/>
                    <pic:cNvPicPr/>
                  </pic:nvPicPr>
                  <pic:blipFill>
                    <a:blip r:embed="rId126">
                      <a:extLst>
                        <a:ext uri="{28A0092B-C50C-407E-A947-70E740481C1C}">
                          <a14:useLocalDpi xmlns:a14="http://schemas.microsoft.com/office/drawing/2010/main" val="0"/>
                        </a:ext>
                      </a:extLst>
                    </a:blip>
                    <a:stretch>
                      <a:fillRect/>
                    </a:stretch>
                  </pic:blipFill>
                  <pic:spPr>
                    <a:xfrm>
                      <a:off x="0" y="0"/>
                      <a:ext cx="909573" cy="930976"/>
                    </a:xfrm>
                    <a:prstGeom prst="rect">
                      <a:avLst/>
                    </a:prstGeom>
                  </pic:spPr>
                </pic:pic>
              </a:graphicData>
            </a:graphic>
          </wp:inline>
        </w:drawing>
      </w:r>
      <w:r w:rsidRPr="00EC0229">
        <w:rPr>
          <w:color w:val="FF0000"/>
        </w:rPr>
        <w:tab/>
      </w:r>
      <w:r w:rsidRPr="00EC0229">
        <w:rPr>
          <w:color w:val="FF0000"/>
        </w:rPr>
        <w:tab/>
      </w:r>
      <w:r w:rsidRPr="00EC0229">
        <w:rPr>
          <w:color w:val="FF0000"/>
        </w:rPr>
        <w:tab/>
      </w:r>
      <w:r w:rsidRPr="00EC0229">
        <w:rPr>
          <w:noProof/>
          <w:color w:val="FF0000"/>
          <w:lang w:eastAsia="en-GB"/>
        </w:rPr>
        <w:drawing>
          <wp:inline distT="0" distB="0" distL="0" distR="0" wp14:anchorId="7A3F8CCD" wp14:editId="73097F2B">
            <wp:extent cx="852150" cy="862092"/>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40 E95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887447" cy="897801"/>
                    </a:xfrm>
                    <a:prstGeom prst="rect">
                      <a:avLst/>
                    </a:prstGeom>
                  </pic:spPr>
                </pic:pic>
              </a:graphicData>
            </a:graphic>
          </wp:inline>
        </w:drawing>
      </w:r>
      <w:r w:rsidRPr="00EC0229">
        <w:rPr>
          <w:noProof/>
          <w:color w:val="FF0000"/>
          <w:lang w:eastAsia="en-GB"/>
        </w:rPr>
        <w:drawing>
          <wp:inline distT="0" distB="0" distL="0" distR="0" wp14:anchorId="4E6087A3" wp14:editId="68404B29">
            <wp:extent cx="909571" cy="86106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40 E950R.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926800" cy="877370"/>
                    </a:xfrm>
                    <a:prstGeom prst="rect">
                      <a:avLst/>
                    </a:prstGeom>
                  </pic:spPr>
                </pic:pic>
              </a:graphicData>
            </a:graphic>
          </wp:inline>
        </w:drawing>
      </w:r>
    </w:p>
    <w:p w14:paraId="0697A877" w14:textId="1B43EFEF" w:rsidR="007B6985" w:rsidRPr="00EC0229" w:rsidRDefault="007B6985" w:rsidP="007600EA">
      <w:pPr>
        <w:pStyle w:val="NoSpacing"/>
        <w:spacing w:line="360" w:lineRule="auto"/>
        <w:jc w:val="center"/>
        <w:rPr>
          <w:sz w:val="20"/>
          <w:szCs w:val="20"/>
        </w:rPr>
      </w:pPr>
      <w:bookmarkStart w:id="302" w:name="_Ref430246119"/>
      <w:bookmarkStart w:id="303" w:name="_Toc46826700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33</w:t>
      </w:r>
      <w:r w:rsidRPr="00EC0229">
        <w:rPr>
          <w:sz w:val="20"/>
          <w:szCs w:val="20"/>
        </w:rPr>
        <w:fldChar w:fldCharType="end"/>
      </w:r>
      <w:bookmarkEnd w:id="302"/>
      <w:r w:rsidR="00351CEF" w:rsidRPr="00EC0229">
        <w:rPr>
          <w:sz w:val="20"/>
          <w:szCs w:val="20"/>
        </w:rPr>
        <w:t>:</w:t>
      </w:r>
      <w:r w:rsidR="005B044E" w:rsidRPr="00EC0229">
        <w:rPr>
          <w:sz w:val="20"/>
          <w:szCs w:val="20"/>
        </w:rPr>
        <w:t xml:space="preserve"> </w:t>
      </w:r>
      <w:r w:rsidR="00A33875" w:rsidRPr="00EC0229">
        <w:rPr>
          <w:sz w:val="20"/>
          <w:szCs w:val="20"/>
        </w:rPr>
        <w:t>L: Runic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A33875" w:rsidRPr="00EC0229">
        <w:rPr>
          <w:sz w:val="20"/>
          <w:szCs w:val="20"/>
        </w:rPr>
        <w:t xml:space="preserve"> CZ, found ‘Yorkshire’, (</w:t>
      </w:r>
      <w:r w:rsidR="00A33875" w:rsidRPr="00EC0229">
        <w:rPr>
          <w:i/>
          <w:sz w:val="20"/>
          <w:szCs w:val="20"/>
        </w:rPr>
        <w:t>SL</w:t>
      </w:r>
      <w:r w:rsidR="00A33875" w:rsidRPr="00EC0229">
        <w:rPr>
          <w:sz w:val="20"/>
          <w:szCs w:val="20"/>
        </w:rPr>
        <w:t>5).</w:t>
      </w:r>
      <w:r w:rsidRPr="00EC0229">
        <w:rPr>
          <w:sz w:val="20"/>
          <w:szCs w:val="20"/>
        </w:rPr>
        <w:t xml:space="preserve"> </w:t>
      </w:r>
      <w:r w:rsidR="00A33875" w:rsidRPr="00EC0229">
        <w:rPr>
          <w:sz w:val="20"/>
          <w:szCs w:val="20"/>
        </w:rPr>
        <w:t>R: ‘Saroaldo’</w:t>
      </w:r>
      <w:r w:rsidR="00067FAA" w:rsidRPr="00EC0229">
        <w:rPr>
          <w:sz w:val="20"/>
          <w:szCs w:val="20"/>
        </w:rPr>
        <w:t>.</w:t>
      </w:r>
      <w:bookmarkEnd w:id="303"/>
      <w:r w:rsidR="00A33875" w:rsidRPr="00EC0229">
        <w:rPr>
          <w:sz w:val="20"/>
          <w:szCs w:val="20"/>
        </w:rPr>
        <w:t xml:space="preserve"> </w:t>
      </w:r>
    </w:p>
    <w:p w14:paraId="57D06C14" w14:textId="16425105" w:rsidR="00A33875" w:rsidRPr="00EC0229" w:rsidRDefault="00067FAA" w:rsidP="007600EA">
      <w:pPr>
        <w:pStyle w:val="NoSpacing"/>
        <w:spacing w:line="360" w:lineRule="auto"/>
        <w:jc w:val="center"/>
        <w:rPr>
          <w:sz w:val="20"/>
          <w:szCs w:val="20"/>
        </w:rPr>
      </w:pPr>
      <w:r w:rsidRPr="00EC0229">
        <w:rPr>
          <w:sz w:val="20"/>
          <w:szCs w:val="20"/>
        </w:rPr>
        <w:t>F</w:t>
      </w:r>
      <w:r w:rsidR="00A33875" w:rsidRPr="00EC0229">
        <w:rPr>
          <w:sz w:val="20"/>
          <w:szCs w:val="20"/>
        </w:rPr>
        <w:t>ound Wetwang</w:t>
      </w:r>
      <w:r w:rsidR="006B1593" w:rsidRPr="00EC0229">
        <w:rPr>
          <w:sz w:val="20"/>
          <w:szCs w:val="20"/>
        </w:rPr>
        <w:fldChar w:fldCharType="begin"/>
      </w:r>
      <w:r w:rsidR="006B1593" w:rsidRPr="00EC0229">
        <w:instrText xml:space="preserve"> XE "</w:instrText>
      </w:r>
      <w:r w:rsidR="006B1593" w:rsidRPr="00EC0229">
        <w:rPr>
          <w:rStyle w:val="Hyperlink"/>
          <w:rFonts w:eastAsia="Times New Roman"/>
          <w:noProof/>
          <w:u w:val="none"/>
          <w:lang w:eastAsia="en-GB"/>
        </w:rPr>
        <w:instrText>Wetwang</w:instrText>
      </w:r>
      <w:r w:rsidR="006B1593" w:rsidRPr="00EC0229">
        <w:instrText xml:space="preserve">" </w:instrText>
      </w:r>
      <w:r w:rsidR="006B1593" w:rsidRPr="00EC0229">
        <w:rPr>
          <w:sz w:val="20"/>
          <w:szCs w:val="20"/>
        </w:rPr>
        <w:fldChar w:fldCharType="end"/>
      </w:r>
      <w:r w:rsidR="00A33875" w:rsidRPr="00EC0229">
        <w:rPr>
          <w:sz w:val="20"/>
          <w:szCs w:val="20"/>
        </w:rPr>
        <w:t>, near Driffield</w:t>
      </w:r>
      <w:r w:rsidR="006B1593" w:rsidRPr="00EC0229">
        <w:rPr>
          <w:sz w:val="20"/>
          <w:szCs w:val="20"/>
        </w:rPr>
        <w:fldChar w:fldCharType="begin"/>
      </w:r>
      <w:r w:rsidR="006B1593" w:rsidRPr="00EC0229">
        <w:instrText xml:space="preserve"> XE "</w:instrText>
      </w:r>
      <w:r w:rsidR="006B1593" w:rsidRPr="00EC0229">
        <w:rPr>
          <w:rStyle w:val="Hyperlink"/>
          <w:rFonts w:eastAsia="Times New Roman"/>
          <w:noProof/>
          <w:u w:val="none"/>
          <w:lang w:eastAsia="en-GB"/>
        </w:rPr>
        <w:instrText>Driffield</w:instrText>
      </w:r>
      <w:r w:rsidR="006B1593" w:rsidRPr="00EC0229">
        <w:instrText xml:space="preserve">" </w:instrText>
      </w:r>
      <w:r w:rsidR="006B1593" w:rsidRPr="00EC0229">
        <w:rPr>
          <w:sz w:val="20"/>
          <w:szCs w:val="20"/>
        </w:rPr>
        <w:fldChar w:fldCharType="end"/>
      </w:r>
      <w:r w:rsidR="00A33875" w:rsidRPr="00EC0229">
        <w:rPr>
          <w:sz w:val="20"/>
          <w:szCs w:val="20"/>
        </w:rPr>
        <w:t>, East Yorkshire (</w:t>
      </w:r>
      <w:r w:rsidR="00A33875" w:rsidRPr="00EC0229">
        <w:rPr>
          <w:i/>
          <w:sz w:val="20"/>
          <w:szCs w:val="20"/>
        </w:rPr>
        <w:t>SL</w:t>
      </w:r>
      <w:r w:rsidR="00A33875" w:rsidRPr="00EC0229">
        <w:rPr>
          <w:sz w:val="20"/>
          <w:szCs w:val="20"/>
        </w:rPr>
        <w:t>7).</w:t>
      </w:r>
    </w:p>
    <w:p w14:paraId="71CF1E65" w14:textId="77777777" w:rsidR="00A33875" w:rsidRPr="00EC0229" w:rsidRDefault="00A33875" w:rsidP="007600EA">
      <w:pPr>
        <w:pStyle w:val="NoSpacing"/>
        <w:spacing w:line="360" w:lineRule="auto"/>
        <w:rPr>
          <w:szCs w:val="24"/>
        </w:rPr>
      </w:pPr>
    </w:p>
    <w:p w14:paraId="31CDEE72" w14:textId="3D42D94E" w:rsidR="00A33875" w:rsidRPr="00EC0229" w:rsidRDefault="00A33875" w:rsidP="007600EA">
      <w:pPr>
        <w:pStyle w:val="NoSpacing"/>
        <w:spacing w:line="360" w:lineRule="auto"/>
      </w:pPr>
      <w:r w:rsidRPr="00EC0229">
        <w:rPr>
          <w:szCs w:val="24"/>
        </w:rPr>
        <w:t>Though these may not fall within Aldfrith</w:t>
      </w:r>
      <w:r w:rsidR="00D142DC" w:rsidRPr="00EC0229">
        <w:rPr>
          <w:szCs w:val="24"/>
        </w:rPr>
        <w:fldChar w:fldCharType="begin"/>
      </w:r>
      <w:r w:rsidR="00D142DC" w:rsidRPr="00EC0229">
        <w:instrText xml:space="preserve"> XE "Aldfrith" </w:instrText>
      </w:r>
      <w:r w:rsidR="00D142DC" w:rsidRPr="00EC0229">
        <w:rPr>
          <w:szCs w:val="24"/>
        </w:rPr>
        <w:fldChar w:fldCharType="end"/>
      </w:r>
      <w:r w:rsidRPr="00EC0229">
        <w:rPr>
          <w:szCs w:val="24"/>
        </w:rPr>
        <w:t>’s reign, f</w:t>
      </w:r>
      <w:r w:rsidRPr="00EC0229">
        <w:t>or the purpo</w:t>
      </w:r>
      <w:r w:rsidR="008D6B10" w:rsidRPr="00EC0229">
        <w:t xml:space="preserve">ses of the current study, </w:t>
      </w:r>
      <w:r w:rsidRPr="00EC0229">
        <w:t>the end points of the northern and southern primary sceats</w:t>
      </w:r>
      <w:r w:rsidR="008D6B10" w:rsidRPr="00EC0229">
        <w:t xml:space="preserve"> are equated</w:t>
      </w:r>
      <w:r w:rsidRPr="00EC0229">
        <w:t>.</w:t>
      </w:r>
    </w:p>
    <w:p w14:paraId="444158AA" w14:textId="77777777" w:rsidR="00A33875" w:rsidRPr="00EC0229" w:rsidRDefault="00A33875" w:rsidP="007600EA">
      <w:pPr>
        <w:pStyle w:val="NoSpacing"/>
        <w:spacing w:line="360" w:lineRule="auto"/>
        <w:rPr>
          <w:szCs w:val="24"/>
        </w:rPr>
      </w:pPr>
    </w:p>
    <w:p w14:paraId="19F35604" w14:textId="65A6B4B5" w:rsidR="00A33875" w:rsidRPr="008259E1" w:rsidRDefault="008259E1" w:rsidP="008259E1">
      <w:pPr>
        <w:pStyle w:val="Heading4"/>
        <w:rPr>
          <w:b/>
        </w:rPr>
      </w:pPr>
      <w:bookmarkStart w:id="304" w:name="Period4c"/>
      <w:bookmarkStart w:id="305" w:name="_Toc468266792"/>
      <w:bookmarkEnd w:id="304"/>
      <w:r w:rsidRPr="008259E1">
        <w:rPr>
          <w:b/>
        </w:rPr>
        <w:t>5.3.4.4</w:t>
      </w:r>
      <w:r w:rsidRPr="008259E1">
        <w:rPr>
          <w:b/>
        </w:rPr>
        <w:tab/>
      </w:r>
      <w:r w:rsidR="00A33875" w:rsidRPr="008259E1">
        <w:rPr>
          <w:b/>
        </w:rPr>
        <w:t>Period 4c</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4c</w:instrText>
      </w:r>
      <w:r w:rsidR="00F204A1" w:rsidRPr="008259E1">
        <w:rPr>
          <w:b/>
        </w:rPr>
        <w:instrText xml:space="preserve">" </w:instrText>
      </w:r>
      <w:r w:rsidR="00F204A1" w:rsidRPr="008259E1">
        <w:rPr>
          <w:b/>
        </w:rPr>
        <w:fldChar w:fldCharType="end"/>
      </w:r>
      <w:r w:rsidR="00A33875" w:rsidRPr="008259E1">
        <w:rPr>
          <w:b/>
        </w:rPr>
        <w:t xml:space="preserve">. </w:t>
      </w:r>
      <w:bookmarkStart w:id="306" w:name="Imported"/>
      <w:r w:rsidR="00A33875" w:rsidRPr="008259E1">
        <w:rPr>
          <w:b/>
        </w:rPr>
        <w:t xml:space="preserve">Imported Primary Continental </w:t>
      </w:r>
      <w:bookmarkEnd w:id="306"/>
      <w:r w:rsidR="00A33875" w:rsidRPr="008259E1">
        <w:rPr>
          <w:b/>
        </w:rPr>
        <w:t>sceats</w:t>
      </w:r>
      <w:r w:rsidR="00F204A1" w:rsidRPr="008259E1">
        <w:rPr>
          <w:b/>
        </w:rPr>
        <w:fldChar w:fldCharType="begin"/>
      </w:r>
      <w:r w:rsidR="00F204A1" w:rsidRPr="008259E1">
        <w:rPr>
          <w:b/>
        </w:rPr>
        <w:instrText xml:space="preserve"> XE "</w:instrText>
      </w:r>
      <w:r w:rsidR="00F204A1" w:rsidRPr="008259E1">
        <w:rPr>
          <w:rStyle w:val="Hyperlink"/>
          <w:b/>
          <w:noProof/>
          <w:u w:val="none"/>
        </w:rPr>
        <w:instrText>Imported Primary Continental sceats</w:instrText>
      </w:r>
      <w:r w:rsidR="00F204A1" w:rsidRPr="008259E1">
        <w:rPr>
          <w:b/>
        </w:rPr>
        <w:instrText xml:space="preserve">" </w:instrText>
      </w:r>
      <w:r w:rsidR="00F204A1" w:rsidRPr="008259E1">
        <w:rPr>
          <w:b/>
        </w:rPr>
        <w:fldChar w:fldCharType="end"/>
      </w:r>
      <w:r w:rsidR="00A33875" w:rsidRPr="008259E1">
        <w:rPr>
          <w:b/>
        </w:rPr>
        <w:t>,</w:t>
      </w:r>
      <w:r w:rsidR="00A33875" w:rsidRPr="008259E1">
        <w:rPr>
          <w:b/>
          <w:i/>
        </w:rPr>
        <w:t xml:space="preserve"> </w:t>
      </w:r>
      <w:r w:rsidR="002132F1">
        <w:rPr>
          <w:b/>
          <w:i/>
        </w:rPr>
        <w:t>c.</w:t>
      </w:r>
      <w:r w:rsidR="00A33875" w:rsidRPr="008259E1">
        <w:rPr>
          <w:b/>
        </w:rPr>
        <w:t>685s</w:t>
      </w:r>
      <w:r w:rsidR="00AB6635">
        <w:rPr>
          <w:b/>
        </w:rPr>
        <w:t>-</w:t>
      </w:r>
      <w:r w:rsidR="00A33875" w:rsidRPr="008259E1">
        <w:rPr>
          <w:b/>
          <w:i/>
        </w:rPr>
        <w:t>c.</w:t>
      </w:r>
      <w:r w:rsidR="00A33875" w:rsidRPr="008259E1">
        <w:rPr>
          <w:b/>
        </w:rPr>
        <w:t>710</w:t>
      </w:r>
      <w:bookmarkEnd w:id="305"/>
    </w:p>
    <w:p w14:paraId="2E55E95F" w14:textId="5DD2742A" w:rsidR="006174E9" w:rsidRPr="00EC0229" w:rsidRDefault="006174E9" w:rsidP="007600EA">
      <w:pPr>
        <w:pStyle w:val="NoSpacing"/>
        <w:spacing w:line="360" w:lineRule="auto"/>
        <w:jc w:val="right"/>
        <w:rPr>
          <w:sz w:val="20"/>
          <w:szCs w:val="20"/>
        </w:rPr>
      </w:pPr>
      <w:r w:rsidRPr="00EC0229">
        <w:rPr>
          <w:sz w:val="20"/>
          <w:szCs w:val="20"/>
        </w:rPr>
        <w:t>‘the glimmer of a hypothesis comes to mind, involving sheep on chalk uplands.’</w:t>
      </w:r>
    </w:p>
    <w:p w14:paraId="6DBF583B" w14:textId="203242EC" w:rsidR="006174E9" w:rsidRPr="00EC0229" w:rsidRDefault="006174E9" w:rsidP="007600EA">
      <w:pPr>
        <w:pStyle w:val="NoSpacing"/>
        <w:spacing w:line="360" w:lineRule="auto"/>
        <w:jc w:val="right"/>
        <w:rPr>
          <w:sz w:val="20"/>
          <w:szCs w:val="20"/>
        </w:rPr>
      </w:pPr>
      <w:r w:rsidRPr="00EC0229">
        <w:rPr>
          <w:sz w:val="20"/>
          <w:szCs w:val="20"/>
        </w:rPr>
        <w:t>Michael Metcalf (2003, 43)</w:t>
      </w:r>
    </w:p>
    <w:p w14:paraId="27378C48" w14:textId="02BDE67E" w:rsidR="00A33875" w:rsidRPr="00EC0229" w:rsidRDefault="00A33875" w:rsidP="007600EA">
      <w:pPr>
        <w:pStyle w:val="NoSpacing"/>
        <w:spacing w:line="360" w:lineRule="auto"/>
        <w:rPr>
          <w:szCs w:val="24"/>
        </w:rPr>
      </w:pPr>
      <w:r w:rsidRPr="00EC0229">
        <w:rPr>
          <w:szCs w:val="24"/>
        </w:rPr>
        <w:t xml:space="preserve">Single losses in Frisia predominantly derive from two densely populated areas: the </w:t>
      </w:r>
      <w:r w:rsidRPr="00EC0229">
        <w:rPr>
          <w:i/>
          <w:szCs w:val="24"/>
        </w:rPr>
        <w:t>terpen</w:t>
      </w:r>
      <w:r w:rsidRPr="00EC0229">
        <w:rPr>
          <w:szCs w:val="24"/>
        </w:rPr>
        <w:t xml:space="preserve"> area of western Friesland and the ‘Big Rivers’ (Rhine mouths) region together with Domburg.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Pr="00EC0229">
        <w:rPr>
          <w:szCs w:val="24"/>
        </w:rPr>
        <w:t xml:space="preserve"> D</w:t>
      </w:r>
      <w:r w:rsidR="008344F3" w:rsidRPr="00EC0229">
        <w:rPr>
          <w:szCs w:val="24"/>
        </w:rPr>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rPr>
          <w:szCs w:val="24"/>
        </w:rPr>
        <w:fldChar w:fldCharType="end"/>
      </w:r>
      <w:r w:rsidRPr="00EC0229">
        <w:rPr>
          <w:szCs w:val="24"/>
        </w:rPr>
        <w:t>, more clearly associated with the former as it is ‘relatively more dominant in the north’</w:t>
      </w:r>
      <w:r w:rsidR="008136DC" w:rsidRPr="00EC0229">
        <w:rPr>
          <w:rStyle w:val="FootnoteReference"/>
          <w:szCs w:val="24"/>
        </w:rPr>
        <w:footnoteReference w:id="566"/>
      </w:r>
      <w:r w:rsidR="008136DC" w:rsidRPr="00EC0229">
        <w:rPr>
          <w:szCs w:val="24"/>
        </w:rPr>
        <w:t xml:space="preserve"> </w:t>
      </w:r>
      <w:r w:rsidR="00351CEF" w:rsidRPr="00EC0229">
        <w:rPr>
          <w:szCs w:val="24"/>
        </w:rPr>
        <w:t xml:space="preserve"> (</w:t>
      </w:r>
      <w:r w:rsidR="008C418A" w:rsidRPr="00EC0229">
        <w:rPr>
          <w:i/>
          <w:szCs w:val="24"/>
        </w:rPr>
        <w:fldChar w:fldCharType="begin"/>
      </w:r>
      <w:r w:rsidR="008C418A" w:rsidRPr="00EC0229">
        <w:rPr>
          <w:i/>
          <w:szCs w:val="24"/>
        </w:rPr>
        <w:instrText xml:space="preserve"> REF _Ref430246132 \h </w:instrText>
      </w:r>
      <w:r w:rsidR="007224B1" w:rsidRPr="00EC0229">
        <w:rPr>
          <w:i/>
          <w:szCs w:val="24"/>
        </w:rPr>
        <w:instrText xml:space="preserve"> \* MERGEFORMAT </w:instrText>
      </w:r>
      <w:r w:rsidR="008C418A" w:rsidRPr="00EC0229">
        <w:rPr>
          <w:i/>
          <w:szCs w:val="24"/>
        </w:rPr>
      </w:r>
      <w:r w:rsidR="008C418A" w:rsidRPr="00EC0229">
        <w:rPr>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34</w:t>
      </w:r>
      <w:r w:rsidR="008C418A" w:rsidRPr="00EC0229">
        <w:rPr>
          <w:szCs w:val="24"/>
        </w:rPr>
        <w:fldChar w:fldCharType="end"/>
      </w:r>
      <w:r w:rsidR="00351CEF" w:rsidRPr="00EC0229">
        <w:rPr>
          <w:szCs w:val="24"/>
        </w:rPr>
        <w:t>)</w:t>
      </w:r>
      <w:r w:rsidRPr="00EC0229">
        <w:rPr>
          <w:szCs w:val="24"/>
        </w:rPr>
        <w:t>, is contemporary with primary Series E</w:t>
      </w:r>
      <w:r w:rsidR="008344F3" w:rsidRPr="00EC0229">
        <w:rPr>
          <w:szCs w:val="24"/>
        </w:rPr>
        <w:fldChar w:fldCharType="begin"/>
      </w:r>
      <w:r w:rsidR="008344F3" w:rsidRPr="00EC0229">
        <w:instrText xml:space="preserve"> XE "Series E" </w:instrText>
      </w:r>
      <w:r w:rsidR="008344F3" w:rsidRPr="00EC0229">
        <w:rPr>
          <w:szCs w:val="24"/>
        </w:rPr>
        <w:fldChar w:fldCharType="end"/>
      </w:r>
      <w:r w:rsidRPr="00EC0229">
        <w:rPr>
          <w:szCs w:val="24"/>
        </w:rPr>
        <w:t xml:space="preserve">, which, being from the more southerly, commercially vigorous, Rhine mouths area is more prevalent in the trade with England, as evidenced by frequent </w:t>
      </w:r>
      <w:r w:rsidR="00967CF2" w:rsidRPr="00EC0229">
        <w:rPr>
          <w:szCs w:val="24"/>
        </w:rPr>
        <w:t>and widely-scattered finds</w:t>
      </w:r>
      <w:r w:rsidR="00351CEF" w:rsidRPr="00EC0229">
        <w:rPr>
          <w:szCs w:val="24"/>
        </w:rPr>
        <w:t xml:space="preserve"> (</w:t>
      </w:r>
      <w:r w:rsidR="008C418A" w:rsidRPr="00EC0229">
        <w:rPr>
          <w:i/>
          <w:szCs w:val="24"/>
        </w:rPr>
        <w:fldChar w:fldCharType="begin"/>
      </w:r>
      <w:r w:rsidR="008C418A" w:rsidRPr="00EC0229">
        <w:rPr>
          <w:i/>
          <w:szCs w:val="24"/>
        </w:rPr>
        <w:instrText xml:space="preserve"> REF _Ref430246141 \h </w:instrText>
      </w:r>
      <w:r w:rsidR="007224B1" w:rsidRPr="00EC0229">
        <w:rPr>
          <w:i/>
          <w:szCs w:val="24"/>
        </w:rPr>
        <w:instrText xml:space="preserve"> \* MERGEFORMAT </w:instrText>
      </w:r>
      <w:r w:rsidR="008C418A" w:rsidRPr="00EC0229">
        <w:rPr>
          <w:i/>
          <w:szCs w:val="24"/>
        </w:rPr>
      </w:r>
      <w:r w:rsidR="008C418A" w:rsidRPr="00EC0229">
        <w:rPr>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35</w:t>
      </w:r>
      <w:r w:rsidR="008C418A" w:rsidRPr="00EC0229">
        <w:rPr>
          <w:szCs w:val="24"/>
        </w:rPr>
        <w:fldChar w:fldCharType="end"/>
      </w:r>
      <w:r w:rsidR="00351CEF" w:rsidRPr="00EC0229">
        <w:rPr>
          <w:szCs w:val="24"/>
        </w:rPr>
        <w:t>)</w:t>
      </w:r>
      <w:r w:rsidRPr="00EC0229">
        <w:rPr>
          <w:szCs w:val="24"/>
        </w:rPr>
        <w:t>.</w:t>
      </w:r>
      <w:r w:rsidR="00967CF2" w:rsidRPr="00EC0229">
        <w:rPr>
          <w:rStyle w:val="FootnoteReference"/>
          <w:szCs w:val="24"/>
        </w:rPr>
        <w:footnoteReference w:id="567"/>
      </w:r>
    </w:p>
    <w:p w14:paraId="0C377291" w14:textId="77777777" w:rsidR="00A33875" w:rsidRPr="00EC0229" w:rsidRDefault="00A33875" w:rsidP="007600EA">
      <w:pPr>
        <w:pStyle w:val="NoSpacing"/>
        <w:spacing w:line="360" w:lineRule="auto"/>
      </w:pPr>
      <w:r w:rsidRPr="00EC0229">
        <w:t xml:space="preserve">  </w:t>
      </w:r>
      <w:r w:rsidRPr="00EC0229">
        <w:rPr>
          <w:noProof/>
          <w:lang w:eastAsia="en-GB"/>
        </w:rPr>
        <w:drawing>
          <wp:inline distT="0" distB="0" distL="0" distR="0" wp14:anchorId="6A4668DF" wp14:editId="2A32311E">
            <wp:extent cx="796381" cy="836200"/>
            <wp:effectExtent l="0" t="0" r="3810" b="254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8-10 D28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810515" cy="851041"/>
                    </a:xfrm>
                    <a:prstGeom prst="rect">
                      <a:avLst/>
                    </a:prstGeom>
                  </pic:spPr>
                </pic:pic>
              </a:graphicData>
            </a:graphic>
          </wp:inline>
        </w:drawing>
      </w:r>
      <w:r w:rsidRPr="00EC0229">
        <w:rPr>
          <w:noProof/>
          <w:lang w:eastAsia="en-GB"/>
        </w:rPr>
        <w:drawing>
          <wp:inline distT="0" distB="0" distL="0" distR="0" wp14:anchorId="62931A46" wp14:editId="4063C91F">
            <wp:extent cx="817939" cy="835660"/>
            <wp:effectExtent l="0" t="0" r="1270" b="25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8-10 D280R.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827219" cy="845141"/>
                    </a:xfrm>
                    <a:prstGeom prst="rect">
                      <a:avLst/>
                    </a:prstGeom>
                  </pic:spPr>
                </pic:pic>
              </a:graphicData>
            </a:graphic>
          </wp:inline>
        </w:drawing>
      </w:r>
      <w:r w:rsidRPr="00EC0229">
        <w:tab/>
        <w:t xml:space="preserve">    </w:t>
      </w:r>
      <w:r w:rsidRPr="00EC0229">
        <w:rPr>
          <w:noProof/>
          <w:lang w:eastAsia="en-GB"/>
        </w:rPr>
        <w:drawing>
          <wp:inline distT="0" distB="0" distL="0" distR="0" wp14:anchorId="4F276DFF" wp14:editId="36B3B145">
            <wp:extent cx="863156" cy="82287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8-20 D400.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876813" cy="835895"/>
                    </a:xfrm>
                    <a:prstGeom prst="rect">
                      <a:avLst/>
                    </a:prstGeom>
                  </pic:spPr>
                </pic:pic>
              </a:graphicData>
            </a:graphic>
          </wp:inline>
        </w:drawing>
      </w:r>
      <w:r w:rsidRPr="00EC0229">
        <w:rPr>
          <w:noProof/>
          <w:lang w:eastAsia="en-GB"/>
        </w:rPr>
        <w:drawing>
          <wp:inline distT="0" distB="0" distL="0" distR="0" wp14:anchorId="26A4718B" wp14:editId="0DA4B44C">
            <wp:extent cx="806118" cy="810149"/>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8-20 D400R.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13413" cy="817481"/>
                    </a:xfrm>
                    <a:prstGeom prst="rect">
                      <a:avLst/>
                    </a:prstGeom>
                  </pic:spPr>
                </pic:pic>
              </a:graphicData>
            </a:graphic>
          </wp:inline>
        </w:drawing>
      </w:r>
      <w:r w:rsidRPr="00EC0229">
        <w:tab/>
        <w:t xml:space="preserve">       </w:t>
      </w:r>
      <w:r w:rsidRPr="00EC0229">
        <w:rPr>
          <w:noProof/>
          <w:lang w:eastAsia="en-GB"/>
        </w:rPr>
        <w:drawing>
          <wp:inline distT="0" distB="0" distL="0" distR="0" wp14:anchorId="02A57013" wp14:editId="1FC93FAD">
            <wp:extent cx="828406" cy="7842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0-15 D150.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47782" cy="802567"/>
                    </a:xfrm>
                    <a:prstGeom prst="rect">
                      <a:avLst/>
                    </a:prstGeom>
                  </pic:spPr>
                </pic:pic>
              </a:graphicData>
            </a:graphic>
          </wp:inline>
        </w:drawing>
      </w:r>
      <w:r w:rsidRPr="00EC0229">
        <w:rPr>
          <w:noProof/>
          <w:lang w:eastAsia="en-GB"/>
        </w:rPr>
        <w:drawing>
          <wp:inline distT="0" distB="0" distL="0" distR="0" wp14:anchorId="069CA13A" wp14:editId="41E1DC3A">
            <wp:extent cx="801370" cy="76931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10-15 D150R.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808304" cy="775972"/>
                    </a:xfrm>
                    <a:prstGeom prst="rect">
                      <a:avLst/>
                    </a:prstGeom>
                  </pic:spPr>
                </pic:pic>
              </a:graphicData>
            </a:graphic>
          </wp:inline>
        </w:drawing>
      </w:r>
    </w:p>
    <w:p w14:paraId="2BFF1305" w14:textId="120D31AF" w:rsidR="007B6985" w:rsidRPr="00EC0229" w:rsidRDefault="007B6985" w:rsidP="007600EA">
      <w:pPr>
        <w:pStyle w:val="NoSpacing"/>
        <w:spacing w:line="360" w:lineRule="auto"/>
        <w:jc w:val="center"/>
        <w:rPr>
          <w:sz w:val="20"/>
          <w:szCs w:val="20"/>
        </w:rPr>
      </w:pPr>
      <w:bookmarkStart w:id="307" w:name="_Ref430246132"/>
      <w:bookmarkStart w:id="308" w:name="_Toc46826700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34</w:t>
      </w:r>
      <w:r w:rsidRPr="00EC0229">
        <w:rPr>
          <w:sz w:val="20"/>
          <w:szCs w:val="20"/>
        </w:rPr>
        <w:fldChar w:fldCharType="end"/>
      </w:r>
      <w:bookmarkEnd w:id="307"/>
      <w:r w:rsidR="00351CEF" w:rsidRPr="00EC0229">
        <w:rPr>
          <w:sz w:val="20"/>
          <w:szCs w:val="20"/>
        </w:rPr>
        <w:t xml:space="preserve">: </w:t>
      </w:r>
      <w:r w:rsidR="00A33875" w:rsidRPr="00EC0229">
        <w:rPr>
          <w:sz w:val="20"/>
          <w:szCs w:val="20"/>
        </w:rPr>
        <w:t>Sceats of primary Frisian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A33875" w:rsidRPr="00EC0229">
        <w:rPr>
          <w:sz w:val="20"/>
          <w:szCs w:val="20"/>
        </w:rPr>
        <w:t xml:space="preserve"> D</w:t>
      </w:r>
      <w:bookmarkEnd w:id="308"/>
      <w:r w:rsidR="008344F3" w:rsidRPr="00EC0229">
        <w:rPr>
          <w:sz w:val="20"/>
          <w:szCs w:val="20"/>
        </w:rPr>
        <w:fldChar w:fldCharType="begin"/>
      </w:r>
      <w:r w:rsidR="008344F3" w:rsidRPr="00EC0229">
        <w:rPr>
          <w:sz w:val="20"/>
          <w:szCs w:val="20"/>
        </w:rPr>
        <w:instrText xml:space="preserve"> XE "Series D" </w:instrText>
      </w:r>
      <w:r w:rsidR="008344F3" w:rsidRPr="00EC0229">
        <w:rPr>
          <w:sz w:val="20"/>
          <w:szCs w:val="20"/>
        </w:rPr>
        <w:fldChar w:fldCharType="end"/>
      </w:r>
    </w:p>
    <w:p w14:paraId="4632E989" w14:textId="7BDD4CED" w:rsidR="00A33875" w:rsidRPr="00EC0229" w:rsidRDefault="007B6985" w:rsidP="007600EA">
      <w:pPr>
        <w:pStyle w:val="NoSpacing"/>
        <w:spacing w:line="360" w:lineRule="auto"/>
        <w:rPr>
          <w:sz w:val="20"/>
          <w:szCs w:val="20"/>
        </w:rPr>
      </w:pPr>
      <w:r w:rsidRPr="00EC0229">
        <w:rPr>
          <w:sz w:val="20"/>
          <w:szCs w:val="20"/>
        </w:rPr>
        <w:t xml:space="preserve">L: </w:t>
      </w:r>
      <w:r w:rsidR="00A33875" w:rsidRPr="00EC0229">
        <w:rPr>
          <w:sz w:val="20"/>
          <w:szCs w:val="20"/>
        </w:rPr>
        <w:t>variety 2c (found Sledmere</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Sledmere</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the English version of 2c (Driffield</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Driffield</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w:t>
      </w:r>
      <w:r w:rsidR="00A33875" w:rsidRPr="00EC0229">
        <w:rPr>
          <w:i/>
          <w:sz w:val="20"/>
          <w:szCs w:val="20"/>
        </w:rPr>
        <w:t>SL</w:t>
      </w:r>
      <w:r w:rsidR="00A33875" w:rsidRPr="00EC0229">
        <w:rPr>
          <w:sz w:val="20"/>
          <w:szCs w:val="20"/>
        </w:rPr>
        <w:t>8)</w:t>
      </w:r>
    </w:p>
    <w:p w14:paraId="2A3603D6" w14:textId="72B941C1" w:rsidR="00A33875" w:rsidRPr="00EC0229" w:rsidRDefault="007B6985" w:rsidP="007600EA">
      <w:pPr>
        <w:pStyle w:val="NoSpacing"/>
        <w:spacing w:line="360" w:lineRule="auto"/>
        <w:jc w:val="right"/>
        <w:rPr>
          <w:sz w:val="20"/>
          <w:szCs w:val="20"/>
        </w:rPr>
      </w:pPr>
      <w:r w:rsidRPr="00EC0229">
        <w:rPr>
          <w:sz w:val="20"/>
          <w:szCs w:val="20"/>
        </w:rPr>
        <w:t>R:</w:t>
      </w:r>
      <w:r w:rsidR="00A33875" w:rsidRPr="00EC0229">
        <w:rPr>
          <w:sz w:val="20"/>
          <w:szCs w:val="20"/>
        </w:rPr>
        <w:t xml:space="preserve"> variety 8 (Sheffield), (</w:t>
      </w:r>
      <w:r w:rsidR="00A33875" w:rsidRPr="00EC0229">
        <w:rPr>
          <w:i/>
          <w:sz w:val="20"/>
          <w:szCs w:val="20"/>
        </w:rPr>
        <w:t>SL</w:t>
      </w:r>
      <w:r w:rsidR="00A33875" w:rsidRPr="00EC0229">
        <w:rPr>
          <w:sz w:val="20"/>
          <w:szCs w:val="20"/>
        </w:rPr>
        <w:t>10).</w:t>
      </w:r>
    </w:p>
    <w:p w14:paraId="475594E4" w14:textId="77777777" w:rsidR="00351CEF" w:rsidRPr="00EC0229" w:rsidRDefault="00351CEF" w:rsidP="007600EA">
      <w:pPr>
        <w:pStyle w:val="NoSpacing"/>
        <w:spacing w:line="360" w:lineRule="auto"/>
        <w:jc w:val="center"/>
      </w:pPr>
      <w:r w:rsidRPr="00EC0229">
        <w:rPr>
          <w:noProof/>
          <w:lang w:eastAsia="en-GB"/>
        </w:rPr>
        <w:drawing>
          <wp:inline distT="0" distB="0" distL="0" distR="0" wp14:anchorId="6DD8C62D" wp14:editId="3037A402">
            <wp:extent cx="906780" cy="853886"/>
            <wp:effectExtent l="0" t="0" r="762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87-40 E350.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935766" cy="881181"/>
                    </a:xfrm>
                    <a:prstGeom prst="rect">
                      <a:avLst/>
                    </a:prstGeom>
                  </pic:spPr>
                </pic:pic>
              </a:graphicData>
            </a:graphic>
          </wp:inline>
        </w:drawing>
      </w:r>
      <w:r w:rsidRPr="00EC0229">
        <w:rPr>
          <w:noProof/>
          <w:lang w:eastAsia="en-GB"/>
        </w:rPr>
        <w:drawing>
          <wp:inline distT="0" distB="0" distL="0" distR="0" wp14:anchorId="619BBDB6" wp14:editId="2EC9D8EB">
            <wp:extent cx="844244" cy="825953"/>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87-40 E350R.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874597" cy="855648"/>
                    </a:xfrm>
                    <a:prstGeom prst="rect">
                      <a:avLst/>
                    </a:prstGeom>
                  </pic:spPr>
                </pic:pic>
              </a:graphicData>
            </a:graphic>
          </wp:inline>
        </w:drawing>
      </w:r>
      <w:r w:rsidRPr="00EC0229">
        <w:t xml:space="preserve">   </w:t>
      </w:r>
      <w:r w:rsidRPr="00EC0229">
        <w:tab/>
      </w:r>
      <w:r w:rsidRPr="00EC0229">
        <w:tab/>
      </w:r>
      <w:r w:rsidRPr="00EC0229">
        <w:rPr>
          <w:noProof/>
          <w:lang w:eastAsia="en-GB"/>
        </w:rPr>
        <w:drawing>
          <wp:inline distT="0" distB="0" distL="0" distR="0" wp14:anchorId="10937522" wp14:editId="040150F4">
            <wp:extent cx="848337" cy="818645"/>
            <wp:effectExtent l="0" t="0" r="9525"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88-20 E820.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874633" cy="844021"/>
                    </a:xfrm>
                    <a:prstGeom prst="rect">
                      <a:avLst/>
                    </a:prstGeom>
                  </pic:spPr>
                </pic:pic>
              </a:graphicData>
            </a:graphic>
          </wp:inline>
        </w:drawing>
      </w:r>
      <w:r w:rsidRPr="00EC0229">
        <w:rPr>
          <w:noProof/>
          <w:lang w:eastAsia="en-GB"/>
        </w:rPr>
        <w:drawing>
          <wp:inline distT="0" distB="0" distL="0" distR="0" wp14:anchorId="418B4B93" wp14:editId="17DF2351">
            <wp:extent cx="816790" cy="823595"/>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88-20 E820R.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834152" cy="841101"/>
                    </a:xfrm>
                    <a:prstGeom prst="rect">
                      <a:avLst/>
                    </a:prstGeom>
                  </pic:spPr>
                </pic:pic>
              </a:graphicData>
            </a:graphic>
          </wp:inline>
        </w:drawing>
      </w:r>
      <w:r w:rsidRPr="00EC0229">
        <w:t xml:space="preserve"> </w:t>
      </w:r>
    </w:p>
    <w:p w14:paraId="393DBF4D" w14:textId="77777777" w:rsidR="00351CEF" w:rsidRPr="00EC0229" w:rsidRDefault="00351CEF" w:rsidP="007600EA">
      <w:pPr>
        <w:pStyle w:val="NoSpacing"/>
        <w:spacing w:line="360" w:lineRule="auto"/>
        <w:jc w:val="center"/>
      </w:pPr>
      <w:r w:rsidRPr="00EC0229">
        <w:t xml:space="preserve"> </w:t>
      </w:r>
      <w:r w:rsidRPr="00EC0229">
        <w:rPr>
          <w:noProof/>
          <w:lang w:eastAsia="en-GB"/>
        </w:rPr>
        <w:drawing>
          <wp:inline distT="0" distB="0" distL="0" distR="0" wp14:anchorId="665A96E4" wp14:editId="3C5B9912">
            <wp:extent cx="845820" cy="821857"/>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90-10 E180.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861400" cy="836996"/>
                    </a:xfrm>
                    <a:prstGeom prst="rect">
                      <a:avLst/>
                    </a:prstGeom>
                  </pic:spPr>
                </pic:pic>
              </a:graphicData>
            </a:graphic>
          </wp:inline>
        </w:drawing>
      </w:r>
      <w:r w:rsidRPr="00EC0229">
        <w:rPr>
          <w:noProof/>
          <w:lang w:eastAsia="en-GB"/>
        </w:rPr>
        <w:drawing>
          <wp:inline distT="0" distB="0" distL="0" distR="0" wp14:anchorId="210C2520" wp14:editId="69F91171">
            <wp:extent cx="762612" cy="791845"/>
            <wp:effectExtent l="0" t="0" r="0" b="825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90-10 E180R.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82990" cy="813005"/>
                    </a:xfrm>
                    <a:prstGeom prst="rect">
                      <a:avLst/>
                    </a:prstGeom>
                  </pic:spPr>
                </pic:pic>
              </a:graphicData>
            </a:graphic>
          </wp:inline>
        </w:drawing>
      </w:r>
      <w:r w:rsidRPr="00EC0229">
        <w:t xml:space="preserve"> </w:t>
      </w:r>
      <w:r w:rsidRPr="00EC0229">
        <w:tab/>
      </w:r>
      <w:r w:rsidRPr="00EC0229">
        <w:tab/>
      </w:r>
      <w:r w:rsidRPr="00EC0229">
        <w:tab/>
        <w:t xml:space="preserve"> </w:t>
      </w:r>
      <w:r w:rsidRPr="00EC0229">
        <w:rPr>
          <w:noProof/>
          <w:lang w:eastAsia="en-GB"/>
        </w:rPr>
        <w:drawing>
          <wp:inline distT="0" distB="0" distL="0" distR="0" wp14:anchorId="131F0D92" wp14:editId="295854A2">
            <wp:extent cx="814834" cy="816191"/>
            <wp:effectExtent l="0" t="0" r="4445"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89-50 E65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838889" cy="840286"/>
                    </a:xfrm>
                    <a:prstGeom prst="rect">
                      <a:avLst/>
                    </a:prstGeom>
                  </pic:spPr>
                </pic:pic>
              </a:graphicData>
            </a:graphic>
          </wp:inline>
        </w:drawing>
      </w:r>
      <w:r w:rsidRPr="00EC0229">
        <w:rPr>
          <w:noProof/>
          <w:lang w:eastAsia="en-GB"/>
        </w:rPr>
        <w:drawing>
          <wp:inline distT="0" distB="0" distL="0" distR="0" wp14:anchorId="3CB3A657" wp14:editId="53012920">
            <wp:extent cx="787852" cy="812800"/>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89-50 E650R.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811985" cy="837697"/>
                    </a:xfrm>
                    <a:prstGeom prst="rect">
                      <a:avLst/>
                    </a:prstGeom>
                  </pic:spPr>
                </pic:pic>
              </a:graphicData>
            </a:graphic>
          </wp:inline>
        </w:drawing>
      </w:r>
    </w:p>
    <w:p w14:paraId="10E0C9F6" w14:textId="04D2624A" w:rsidR="00351CEF" w:rsidRPr="00EC0229" w:rsidRDefault="007B6985" w:rsidP="007600EA">
      <w:pPr>
        <w:pStyle w:val="NoSpacing"/>
        <w:spacing w:line="360" w:lineRule="auto"/>
        <w:jc w:val="center"/>
        <w:rPr>
          <w:sz w:val="20"/>
          <w:szCs w:val="20"/>
        </w:rPr>
      </w:pPr>
      <w:bookmarkStart w:id="309" w:name="_Ref430246141"/>
      <w:bookmarkStart w:id="310" w:name="_Toc46826700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35</w:t>
      </w:r>
      <w:r w:rsidRPr="00EC0229">
        <w:rPr>
          <w:sz w:val="20"/>
          <w:szCs w:val="20"/>
        </w:rPr>
        <w:fldChar w:fldCharType="end"/>
      </w:r>
      <w:bookmarkEnd w:id="309"/>
      <w:r w:rsidR="00351CEF" w:rsidRPr="00EC0229">
        <w:rPr>
          <w:sz w:val="20"/>
          <w:szCs w:val="20"/>
        </w:rPr>
        <w:t>: Sceats of the four primary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351CEF" w:rsidRPr="00EC0229">
        <w:rPr>
          <w:sz w:val="20"/>
          <w:szCs w:val="20"/>
        </w:rPr>
        <w:t xml:space="preserve"> E</w:t>
      </w:r>
      <w:r w:rsidR="008344F3" w:rsidRPr="00EC0229">
        <w:rPr>
          <w:sz w:val="20"/>
          <w:szCs w:val="20"/>
        </w:rPr>
        <w:fldChar w:fldCharType="begin"/>
      </w:r>
      <w:r w:rsidR="008344F3" w:rsidRPr="00EC0229">
        <w:rPr>
          <w:sz w:val="20"/>
          <w:szCs w:val="20"/>
        </w:rPr>
        <w:instrText xml:space="preserve"> XE "Series E" </w:instrText>
      </w:r>
      <w:r w:rsidR="008344F3" w:rsidRPr="00EC0229">
        <w:rPr>
          <w:sz w:val="20"/>
          <w:szCs w:val="20"/>
        </w:rPr>
        <w:fldChar w:fldCharType="end"/>
      </w:r>
      <w:r w:rsidR="00351CEF" w:rsidRPr="00EC0229">
        <w:rPr>
          <w:sz w:val="20"/>
          <w:szCs w:val="20"/>
        </w:rPr>
        <w:t xml:space="preserve"> varieties (</w:t>
      </w:r>
      <w:r w:rsidR="00351CEF" w:rsidRPr="00EC0229">
        <w:rPr>
          <w:i/>
          <w:sz w:val="20"/>
          <w:szCs w:val="20"/>
        </w:rPr>
        <w:t>SL</w:t>
      </w:r>
      <w:r w:rsidR="00351CEF" w:rsidRPr="00EC0229">
        <w:rPr>
          <w:sz w:val="20"/>
          <w:szCs w:val="20"/>
        </w:rPr>
        <w:t>87-90)</w:t>
      </w:r>
      <w:bookmarkEnd w:id="310"/>
    </w:p>
    <w:p w14:paraId="1AB0A5CE" w14:textId="1145D4EB" w:rsidR="00351CEF" w:rsidRPr="00EC0229" w:rsidRDefault="00067FAA" w:rsidP="007600EA">
      <w:pPr>
        <w:pStyle w:val="NoSpacing"/>
        <w:spacing w:line="360" w:lineRule="auto"/>
        <w:jc w:val="center"/>
        <w:rPr>
          <w:sz w:val="18"/>
          <w:szCs w:val="18"/>
        </w:rPr>
      </w:pPr>
      <w:r w:rsidRPr="00EC0229">
        <w:rPr>
          <w:sz w:val="18"/>
          <w:szCs w:val="18"/>
        </w:rPr>
        <w:lastRenderedPageBreak/>
        <w:t>F</w:t>
      </w:r>
      <w:r w:rsidR="00351CEF" w:rsidRPr="00EC0229">
        <w:rPr>
          <w:sz w:val="18"/>
          <w:szCs w:val="18"/>
        </w:rPr>
        <w:t>irst row: ‘plumed bird’ (found Pocklington</w:t>
      </w:r>
      <w:r w:rsidR="006B1593" w:rsidRPr="00EC0229">
        <w:rPr>
          <w:sz w:val="18"/>
          <w:szCs w:val="18"/>
        </w:rPr>
        <w:fldChar w:fldCharType="begin"/>
      </w:r>
      <w:r w:rsidR="006B1593" w:rsidRPr="00EC0229">
        <w:instrText xml:space="preserve"> XE "</w:instrText>
      </w:r>
      <w:r w:rsidR="006B1593" w:rsidRPr="00EC0229">
        <w:rPr>
          <w:rStyle w:val="Hyperlink"/>
          <w:noProof/>
          <w:u w:val="none"/>
        </w:rPr>
        <w:instrText>Pocklington</w:instrText>
      </w:r>
      <w:r w:rsidR="006B1593" w:rsidRPr="00EC0229">
        <w:instrText xml:space="preserve">" </w:instrText>
      </w:r>
      <w:r w:rsidR="006B1593" w:rsidRPr="00EC0229">
        <w:rPr>
          <w:sz w:val="18"/>
          <w:szCs w:val="18"/>
        </w:rPr>
        <w:fldChar w:fldCharType="end"/>
      </w:r>
      <w:r w:rsidR="00351CEF" w:rsidRPr="00EC0229">
        <w:rPr>
          <w:sz w:val="18"/>
          <w:szCs w:val="18"/>
        </w:rPr>
        <w:t xml:space="preserve">), </w:t>
      </w:r>
      <w:r w:rsidR="00351CEF" w:rsidRPr="00EC0229">
        <w:rPr>
          <w:i/>
          <w:sz w:val="18"/>
          <w:szCs w:val="18"/>
        </w:rPr>
        <w:t>VICO</w:t>
      </w:r>
      <w:r w:rsidR="00351CEF" w:rsidRPr="00EC0229">
        <w:rPr>
          <w:sz w:val="18"/>
          <w:szCs w:val="18"/>
        </w:rPr>
        <w:t xml:space="preserve"> mule (Upper Poppleton</w:t>
      </w:r>
      <w:r w:rsidR="006B1593" w:rsidRPr="00EC0229">
        <w:rPr>
          <w:sz w:val="18"/>
          <w:szCs w:val="18"/>
        </w:rPr>
        <w:fldChar w:fldCharType="begin"/>
      </w:r>
      <w:r w:rsidR="006B1593" w:rsidRPr="00EC0229">
        <w:instrText xml:space="preserve"> XE "</w:instrText>
      </w:r>
      <w:r w:rsidR="006B1593" w:rsidRPr="00EC0229">
        <w:rPr>
          <w:rStyle w:val="Hyperlink"/>
          <w:noProof/>
          <w:u w:val="none"/>
        </w:rPr>
        <w:instrText>Upper Poppleton</w:instrText>
      </w:r>
      <w:r w:rsidR="006B1593" w:rsidRPr="00EC0229">
        <w:instrText xml:space="preserve">" </w:instrText>
      </w:r>
      <w:r w:rsidR="006B1593" w:rsidRPr="00EC0229">
        <w:rPr>
          <w:sz w:val="18"/>
          <w:szCs w:val="18"/>
        </w:rPr>
        <w:fldChar w:fldCharType="end"/>
      </w:r>
      <w:r w:rsidR="00351CEF" w:rsidRPr="00EC0229">
        <w:rPr>
          <w:sz w:val="18"/>
          <w:szCs w:val="18"/>
        </w:rPr>
        <w:t>).</w:t>
      </w:r>
    </w:p>
    <w:p w14:paraId="05D59599" w14:textId="35B2CF56" w:rsidR="00351CEF" w:rsidRPr="00EC0229" w:rsidRDefault="00351CEF" w:rsidP="007600EA">
      <w:pPr>
        <w:pStyle w:val="NoSpacing"/>
        <w:spacing w:line="360" w:lineRule="auto"/>
        <w:jc w:val="center"/>
        <w:rPr>
          <w:sz w:val="18"/>
          <w:szCs w:val="18"/>
        </w:rPr>
      </w:pPr>
      <w:r w:rsidRPr="00EC0229">
        <w:rPr>
          <w:sz w:val="18"/>
          <w:szCs w:val="18"/>
        </w:rPr>
        <w:t>Second row: variety D (Driffield</w:t>
      </w:r>
      <w:r w:rsidR="006B1593" w:rsidRPr="00EC0229">
        <w:rPr>
          <w:sz w:val="18"/>
          <w:szCs w:val="18"/>
        </w:rPr>
        <w:fldChar w:fldCharType="begin"/>
      </w:r>
      <w:r w:rsidR="006B1593" w:rsidRPr="00EC0229">
        <w:instrText xml:space="preserve"> XE "</w:instrText>
      </w:r>
      <w:r w:rsidR="006B1593" w:rsidRPr="00EC0229">
        <w:rPr>
          <w:rStyle w:val="Hyperlink"/>
          <w:rFonts w:eastAsia="Times New Roman"/>
          <w:noProof/>
          <w:u w:val="none"/>
          <w:lang w:eastAsia="en-GB"/>
        </w:rPr>
        <w:instrText>Driffield</w:instrText>
      </w:r>
      <w:r w:rsidR="006B1593" w:rsidRPr="00EC0229">
        <w:instrText xml:space="preserve">" </w:instrText>
      </w:r>
      <w:r w:rsidR="006B1593" w:rsidRPr="00EC0229">
        <w:rPr>
          <w:sz w:val="18"/>
          <w:szCs w:val="18"/>
        </w:rPr>
        <w:fldChar w:fldCharType="end"/>
      </w:r>
      <w:r w:rsidRPr="00EC0229">
        <w:rPr>
          <w:sz w:val="18"/>
          <w:szCs w:val="18"/>
        </w:rPr>
        <w:t>), and a rare variety G variant inscribed VVILLI… with central crozier</w:t>
      </w:r>
      <w:r w:rsidRPr="00EC0229">
        <w:rPr>
          <w:rStyle w:val="FootnoteReference"/>
          <w:sz w:val="18"/>
          <w:szCs w:val="18"/>
        </w:rPr>
        <w:footnoteReference w:id="568"/>
      </w:r>
      <w:r w:rsidRPr="00EC0229">
        <w:rPr>
          <w:sz w:val="18"/>
          <w:szCs w:val="18"/>
        </w:rPr>
        <w:t xml:space="preserve"> (Aylesbury).</w:t>
      </w:r>
    </w:p>
    <w:p w14:paraId="15E32D82" w14:textId="77777777" w:rsidR="00351CEF" w:rsidRPr="00EC0229" w:rsidRDefault="00351CEF" w:rsidP="007600EA">
      <w:pPr>
        <w:pStyle w:val="NoSpacing"/>
        <w:spacing w:line="360" w:lineRule="auto"/>
        <w:jc w:val="center"/>
        <w:rPr>
          <w:sz w:val="20"/>
          <w:szCs w:val="20"/>
        </w:rPr>
      </w:pPr>
    </w:p>
    <w:p w14:paraId="417AF7E3" w14:textId="17301F9E" w:rsidR="00A33875" w:rsidRPr="00EC0229" w:rsidRDefault="00217AC6" w:rsidP="007600EA">
      <w:pPr>
        <w:pStyle w:val="NoSpacing"/>
        <w:spacing w:line="360" w:lineRule="auto"/>
        <w:rPr>
          <w:szCs w:val="24"/>
        </w:rPr>
      </w:pPr>
      <w:bookmarkStart w:id="311" w:name="VolumeDE"/>
      <w:bookmarkEnd w:id="311"/>
      <w:r w:rsidRPr="00EC0229">
        <w:rPr>
          <w:szCs w:val="24"/>
        </w:rPr>
        <w:t>T</w:t>
      </w:r>
      <w:r w:rsidR="00A33875" w:rsidRPr="00EC0229">
        <w:rPr>
          <w:szCs w:val="24"/>
        </w:rPr>
        <w:t xml:space="preserve">he primary coinage of the Low Countries </w:t>
      </w:r>
      <w:r w:rsidRPr="00EC0229">
        <w:rPr>
          <w:szCs w:val="24"/>
        </w:rPr>
        <w:t xml:space="preserve">is interpreted by </w:t>
      </w:r>
      <w:r w:rsidRPr="00EC0229">
        <w:t>Abramson</w:t>
      </w:r>
      <w:r w:rsidRPr="00EC0229">
        <w:fldChar w:fldCharType="begin"/>
      </w:r>
      <w:r w:rsidRPr="00EC0229">
        <w:instrText xml:space="preserve"> XE "</w:instrText>
      </w:r>
      <w:r w:rsidRPr="00EC0229">
        <w:rPr>
          <w:rFonts w:cs="Times New Roman"/>
          <w:b/>
          <w:sz w:val="40"/>
          <w:szCs w:val="40"/>
        </w:rPr>
        <w:instrText>Abramson</w:instrText>
      </w:r>
      <w:r w:rsidRPr="00EC0229">
        <w:instrText xml:space="preserve">" </w:instrText>
      </w:r>
      <w:r w:rsidRPr="00EC0229">
        <w:fldChar w:fldCharType="end"/>
      </w:r>
      <w:r w:rsidRPr="00EC0229">
        <w:t xml:space="preserve"> (2012b)</w:t>
      </w:r>
      <w:r w:rsidR="00A33875" w:rsidRPr="00EC0229">
        <w:rPr>
          <w:szCs w:val="24"/>
        </w:rPr>
        <w:t>.</w:t>
      </w:r>
      <w:r w:rsidR="00A33875" w:rsidRPr="00EC0229">
        <w:rPr>
          <w:rStyle w:val="FootnoteReference"/>
          <w:szCs w:val="24"/>
        </w:rPr>
        <w:footnoteReference w:id="569"/>
      </w:r>
      <w:r w:rsidR="00A33875" w:rsidRPr="00EC0229">
        <w:rPr>
          <w:szCs w:val="24"/>
        </w:rPr>
        <w:t xml:space="preserve"> The association of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00A33875" w:rsidRPr="00EC0229">
        <w:rPr>
          <w:szCs w:val="24"/>
        </w:rPr>
        <w:t xml:space="preserve"> D</w:t>
      </w:r>
      <w:r w:rsidR="008344F3" w:rsidRPr="00EC0229">
        <w:rPr>
          <w:szCs w:val="24"/>
        </w:rPr>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rPr>
          <w:szCs w:val="24"/>
        </w:rPr>
        <w:fldChar w:fldCharType="end"/>
      </w:r>
      <w:r w:rsidR="00A33875" w:rsidRPr="00EC0229">
        <w:rPr>
          <w:szCs w:val="24"/>
        </w:rPr>
        <w:t xml:space="preserve"> with Domburg and Series E</w:t>
      </w:r>
      <w:r w:rsidR="008344F3" w:rsidRPr="00EC0229">
        <w:rPr>
          <w:szCs w:val="24"/>
        </w:rPr>
        <w:fldChar w:fldCharType="begin"/>
      </w:r>
      <w:r w:rsidR="008344F3" w:rsidRPr="00EC0229">
        <w:instrText xml:space="preserve"> XE "Series E" </w:instrText>
      </w:r>
      <w:r w:rsidR="008344F3" w:rsidRPr="00EC0229">
        <w:rPr>
          <w:szCs w:val="24"/>
        </w:rPr>
        <w:fldChar w:fldCharType="end"/>
      </w:r>
      <w:r w:rsidR="00A33875" w:rsidRPr="00EC0229">
        <w:rPr>
          <w:szCs w:val="24"/>
        </w:rPr>
        <w:t xml:space="preserve"> with Dorestad (Wijk-bij-Duurstede) is no longer supported by finds evidence. Op den Velde </w:t>
      </w:r>
      <w:r w:rsidR="00862F15" w:rsidRPr="00EC0229">
        <w:rPr>
          <w:szCs w:val="24"/>
        </w:rPr>
        <w:t>and</w:t>
      </w:r>
      <w:r w:rsidR="00A33875" w:rsidRPr="00EC0229">
        <w:rPr>
          <w:szCs w:val="24"/>
        </w:rPr>
        <w:t xml:space="preserve"> Metcalf</w:t>
      </w:r>
      <w:r w:rsidR="00F204A1" w:rsidRPr="00EC0229">
        <w:rPr>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szCs w:val="24"/>
        </w:rPr>
        <w:fldChar w:fldCharType="end"/>
      </w:r>
      <w:r w:rsidR="00A33875" w:rsidRPr="00EC0229">
        <w:rPr>
          <w:szCs w:val="24"/>
        </w:rPr>
        <w:t xml:space="preserve"> </w:t>
      </w:r>
      <w:r w:rsidR="00A73BD9" w:rsidRPr="00EC0229">
        <w:rPr>
          <w:szCs w:val="24"/>
        </w:rPr>
        <w:t xml:space="preserve">controversially </w:t>
      </w:r>
      <w:r w:rsidR="00A33875" w:rsidRPr="00EC0229">
        <w:rPr>
          <w:szCs w:val="24"/>
        </w:rPr>
        <w:t>consider the production of Series D to exceed twenty-six million</w:t>
      </w:r>
      <w:r w:rsidR="00A33875" w:rsidRPr="00EC0229">
        <w:rPr>
          <w:rStyle w:val="FootnoteReference"/>
          <w:szCs w:val="24"/>
        </w:rPr>
        <w:footnoteReference w:id="570"/>
      </w:r>
      <w:r w:rsidR="00A33875" w:rsidRPr="00EC0229">
        <w:rPr>
          <w:szCs w:val="24"/>
        </w:rPr>
        <w:t xml:space="preserve"> and the mint places to be Friesland, possibly Wijnaldum and the Big Rivers region,</w:t>
      </w:r>
      <w:r w:rsidR="00A33875" w:rsidRPr="00EC0229">
        <w:rPr>
          <w:rStyle w:val="FootnoteReference"/>
          <w:szCs w:val="24"/>
        </w:rPr>
        <w:footnoteReference w:id="571"/>
      </w:r>
      <w:r w:rsidR="00A33875" w:rsidRPr="00EC0229">
        <w:rPr>
          <w:szCs w:val="24"/>
        </w:rPr>
        <w:t xml:space="preserve"> Type 2c is thought to be an export currency for trade with England. The extent to which the Franks controlled Frisia seems to have little impact on the free use of Series D sceats north and south of the Rhine – or elsewhere in the Low Countries. It probably did not suit the pragmatic aims of rival political powers to disrupt trade.</w:t>
      </w:r>
    </w:p>
    <w:p w14:paraId="2584A7C4" w14:textId="77777777" w:rsidR="00A33875" w:rsidRPr="00EC0229" w:rsidRDefault="00A33875" w:rsidP="007600EA">
      <w:pPr>
        <w:pStyle w:val="NoSpacing"/>
        <w:spacing w:line="360" w:lineRule="auto"/>
        <w:rPr>
          <w:szCs w:val="24"/>
        </w:rPr>
      </w:pPr>
    </w:p>
    <w:p w14:paraId="6D24DE0C" w14:textId="576D3596" w:rsidR="00A33875" w:rsidRPr="00EC0229" w:rsidRDefault="00A33875" w:rsidP="007600EA">
      <w:pPr>
        <w:pStyle w:val="NoSpacing"/>
        <w:spacing w:line="360" w:lineRule="auto"/>
        <w:rPr>
          <w:szCs w:val="24"/>
        </w:rPr>
      </w:pPr>
      <w:r w:rsidRPr="00EC0229">
        <w:rPr>
          <w:szCs w:val="24"/>
        </w:rPr>
        <w:t xml:space="preserve">Op den Velde </w:t>
      </w:r>
      <w:r w:rsidR="00862F15" w:rsidRPr="00EC0229">
        <w:rPr>
          <w:szCs w:val="24"/>
        </w:rPr>
        <w:t>and</w:t>
      </w:r>
      <w:r w:rsidRPr="00EC0229">
        <w:rPr>
          <w:szCs w:val="24"/>
        </w:rPr>
        <w:t xml:space="preserve"> Metcalf</w:t>
      </w:r>
      <w:r w:rsidR="00F204A1" w:rsidRPr="00EC0229">
        <w:rPr>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szCs w:val="24"/>
        </w:rPr>
        <w:fldChar w:fldCharType="end"/>
      </w:r>
      <w:r w:rsidRPr="00EC0229">
        <w:rPr>
          <w:szCs w:val="24"/>
        </w:rPr>
        <w:t xml:space="preserve"> compute a total volume of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Pr="00EC0229">
        <w:rPr>
          <w:szCs w:val="24"/>
        </w:rPr>
        <w:t xml:space="preserve"> E</w:t>
      </w:r>
      <w:r w:rsidR="008344F3" w:rsidRPr="00EC0229">
        <w:rPr>
          <w:szCs w:val="24"/>
        </w:rPr>
        <w:fldChar w:fldCharType="begin"/>
      </w:r>
      <w:r w:rsidR="008344F3" w:rsidRPr="00EC0229">
        <w:instrText xml:space="preserve"> XE "Series E" </w:instrText>
      </w:r>
      <w:r w:rsidR="008344F3" w:rsidRPr="00EC0229">
        <w:rPr>
          <w:szCs w:val="24"/>
        </w:rPr>
        <w:fldChar w:fldCharType="end"/>
      </w:r>
      <w:r w:rsidRPr="00EC0229">
        <w:rPr>
          <w:szCs w:val="24"/>
        </w:rPr>
        <w:t>, over its entire duration, of fifty-five million sceats.</w:t>
      </w:r>
      <w:r w:rsidR="00A73BD9" w:rsidRPr="00EC0229">
        <w:rPr>
          <w:szCs w:val="24"/>
        </w:rPr>
        <w:t>;</w:t>
      </w:r>
      <w:r w:rsidRPr="00EC0229">
        <w:rPr>
          <w:rStyle w:val="FootnoteReference"/>
          <w:rFonts w:cs="Times New Roman"/>
        </w:rPr>
        <w:footnoteReference w:id="572"/>
      </w:r>
      <w:r w:rsidR="00A73BD9" w:rsidRPr="00EC0229">
        <w:rPr>
          <w:szCs w:val="24"/>
        </w:rPr>
        <w:t xml:space="preserve"> again this is not undisputed.</w:t>
      </w:r>
      <w:r w:rsidRPr="00EC0229">
        <w:rPr>
          <w:szCs w:val="24"/>
        </w:rPr>
        <w:t xml:space="preserve"> The primary phases commence in the mid-690s, perhaps a decade or two later than the English coinage and closes with the death of Radbod. The secon</w:t>
      </w:r>
      <w:r w:rsidR="00A73BD9" w:rsidRPr="00EC0229">
        <w:rPr>
          <w:szCs w:val="24"/>
        </w:rPr>
        <w:t>dary phase</w:t>
      </w:r>
      <w:r w:rsidRPr="00EC0229">
        <w:rPr>
          <w:szCs w:val="24"/>
        </w:rPr>
        <w:t xml:space="preserve"> lasts about twenty years, </w:t>
      </w:r>
      <w:r w:rsidR="002132F1">
        <w:rPr>
          <w:i/>
          <w:szCs w:val="24"/>
        </w:rPr>
        <w:t>c.</w:t>
      </w:r>
      <w:r w:rsidRPr="00EC0229">
        <w:rPr>
          <w:szCs w:val="24"/>
        </w:rPr>
        <w:t>720</w:t>
      </w:r>
      <w:r w:rsidR="00AB6635">
        <w:rPr>
          <w:szCs w:val="24"/>
        </w:rPr>
        <w:t>-</w:t>
      </w:r>
      <w:r w:rsidR="002132F1">
        <w:rPr>
          <w:i/>
          <w:szCs w:val="24"/>
        </w:rPr>
        <w:t>c.</w:t>
      </w:r>
      <w:r w:rsidRPr="00EC0229">
        <w:rPr>
          <w:szCs w:val="24"/>
        </w:rPr>
        <w:t>740, with the final phase extending possibly as late as the end of the century in common with the sceats of Northumbria</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szCs w:val="24"/>
        </w:rPr>
        <w:fldChar w:fldCharType="end"/>
      </w:r>
      <w:r w:rsidRPr="00EC0229">
        <w:rPr>
          <w:szCs w:val="24"/>
        </w:rPr>
        <w:t xml:space="preserve"> and Jutland (Ribe). Dating is based on hoard evidence, with hoards far more common than in England. The four different primary types suggest four different sources, but these cannot be identified more precisely than the Big Rivers region – with Domburg and Dorestad rema</w:t>
      </w:r>
      <w:r w:rsidR="00A73BD9" w:rsidRPr="00EC0229">
        <w:rPr>
          <w:szCs w:val="24"/>
        </w:rPr>
        <w:t>ining the most likely mint</w:t>
      </w:r>
      <w:r w:rsidRPr="00EC0229">
        <w:rPr>
          <w:szCs w:val="24"/>
        </w:rPr>
        <w:t xml:space="preserve">s. Unfortunately, whilst Op den Velde </w:t>
      </w:r>
      <w:r w:rsidR="00862F15" w:rsidRPr="00EC0229">
        <w:rPr>
          <w:szCs w:val="24"/>
        </w:rPr>
        <w:t>and</w:t>
      </w:r>
      <w:r w:rsidRPr="00EC0229">
        <w:rPr>
          <w:szCs w:val="24"/>
        </w:rPr>
        <w:t xml:space="preserve"> Metcalf </w:t>
      </w:r>
      <w:r w:rsidR="00FD05A0" w:rsidRPr="00EC0229">
        <w:rPr>
          <w:szCs w:val="24"/>
        </w:rPr>
        <w:t>can</w:t>
      </w:r>
      <w:r w:rsidRPr="00EC0229">
        <w:rPr>
          <w:szCs w:val="24"/>
        </w:rPr>
        <w:t xml:space="preserve"> differentiate emissions according to weight distributions and designs, they are unable to identify the secondary and tertiary mints precisely or be definitive about the source and types of English imitations.</w:t>
      </w:r>
    </w:p>
    <w:p w14:paraId="3A675604" w14:textId="77777777" w:rsidR="00A33875" w:rsidRPr="00EC0229" w:rsidRDefault="00A33875" w:rsidP="007600EA">
      <w:pPr>
        <w:pStyle w:val="NoSpacing"/>
        <w:spacing w:line="360" w:lineRule="auto"/>
        <w:rPr>
          <w:rFonts w:cs="Times New Roman"/>
        </w:rPr>
      </w:pPr>
    </w:p>
    <w:p w14:paraId="295BA169" w14:textId="76C94B75" w:rsidR="00A33875" w:rsidRPr="00EC0229" w:rsidRDefault="00A33875" w:rsidP="007600EA">
      <w:pPr>
        <w:pStyle w:val="NoSpacing"/>
        <w:spacing w:line="360" w:lineRule="auto"/>
        <w:rPr>
          <w:rFonts w:cs="Times New Roman"/>
        </w:rPr>
      </w:pPr>
      <w:r w:rsidRPr="00EC0229">
        <w:rPr>
          <w:rFonts w:cs="Times New Roman"/>
        </w:rPr>
        <w:t>Their volume estimates rely on computed die numbers</w:t>
      </w:r>
      <w:r w:rsidRPr="00EC0229">
        <w:rPr>
          <w:rStyle w:val="FootnoteReference"/>
          <w:rFonts w:cs="Times New Roman"/>
        </w:rPr>
        <w:footnoteReference w:id="573"/>
      </w:r>
      <w:r w:rsidRPr="00EC0229">
        <w:rPr>
          <w:rFonts w:cs="Times New Roman"/>
        </w:rPr>
        <w:t xml:space="preserve"> and assumed outputs per die – factors that are disputed.</w:t>
      </w:r>
      <w:r w:rsidRPr="00EC0229">
        <w:rPr>
          <w:rStyle w:val="FootnoteReference"/>
          <w:rFonts w:cs="Times New Roman"/>
        </w:rPr>
        <w:footnoteReference w:id="574"/>
      </w:r>
      <w:r w:rsidRPr="00EC0229">
        <w:rPr>
          <w:rFonts w:cs="Times New Roman"/>
        </w:rPr>
        <w:t xml:space="preserve"> It may be that the technical skills developed in the large mints in such </w:t>
      </w:r>
      <w:r w:rsidRPr="00EC0229">
        <w:rPr>
          <w:rFonts w:cs="Times New Roman"/>
        </w:rPr>
        <w:lastRenderedPageBreak/>
        <w:t>trading centres (and the ‘dumpy’ flan) enabled die productivity to approach outputs seen in medieval times (say ten thousand for a reverse die).</w:t>
      </w:r>
      <w:r w:rsidRPr="00EC0229">
        <w:rPr>
          <w:rStyle w:val="FootnoteReference"/>
          <w:rFonts w:cs="Times New Roman"/>
        </w:rPr>
        <w:footnoteReference w:id="575"/>
      </w:r>
      <w:r w:rsidRPr="00EC0229">
        <w:rPr>
          <w:rFonts w:cs="Times New Roman"/>
        </w:rPr>
        <w:t xml:space="preserve"> Metcalf</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cs="Times New Roman"/>
        </w:rPr>
        <w:fldChar w:fldCharType="end"/>
      </w:r>
      <w:r w:rsidRPr="00EC0229">
        <w:rPr>
          <w:rFonts w:cs="Times New Roman"/>
        </w:rPr>
        <w:t xml:space="preserve"> estimates that one-fifth of all sceats in England in the Primary phase are Frisian, suggesting a concentration of these, for commercial reasons, in sheep-rearing areas</w:t>
      </w:r>
      <w:r w:rsidR="00E31A0A" w:rsidRPr="00EC0229">
        <w:rPr>
          <w:rFonts w:cs="Times New Roman"/>
        </w:rPr>
        <w:t xml:space="preserve"> </w:t>
      </w:r>
      <w:r w:rsidR="00E31A0A" w:rsidRPr="00EC0229">
        <w:rPr>
          <w:bCs/>
        </w:rPr>
        <w:t>on chalk upland</w:t>
      </w:r>
      <w:r w:rsidRPr="00EC0229">
        <w:rPr>
          <w:rFonts w:cs="Times New Roman"/>
        </w:rPr>
        <w:t>.</w:t>
      </w:r>
      <w:r w:rsidRPr="00EC0229">
        <w:rPr>
          <w:rStyle w:val="FootnoteReference"/>
          <w:rFonts w:cs="Times New Roman"/>
        </w:rPr>
        <w:footnoteReference w:id="576"/>
      </w:r>
      <w:r w:rsidRPr="00EC0229">
        <w:rPr>
          <w:rFonts w:cs="Times New Roman"/>
        </w:rPr>
        <w:t xml:space="preserve"> This is certainly borne out by Primary D </w:t>
      </w:r>
      <w:r w:rsidR="00862F15" w:rsidRPr="00EC0229">
        <w:rPr>
          <w:rFonts w:cs="Times New Roman"/>
        </w:rPr>
        <w:t>and</w:t>
      </w:r>
      <w:r w:rsidRPr="00EC0229">
        <w:rPr>
          <w:rFonts w:cs="Times New Roman"/>
        </w:rPr>
        <w:t xml:space="preserve"> E finds in the Yorkshire Wolds</w:t>
      </w:r>
      <w:r w:rsidR="006B1593" w:rsidRPr="00EC0229">
        <w:rPr>
          <w:rFonts w:cs="Times New Roman"/>
        </w:rPr>
        <w:fldChar w:fldCharType="begin"/>
      </w:r>
      <w:r w:rsidR="006B1593" w:rsidRPr="00EC0229">
        <w:instrText xml:space="preserve"> XE "</w:instrText>
      </w:r>
      <w:r w:rsidR="006B1593" w:rsidRPr="00EC0229">
        <w:rPr>
          <w:rStyle w:val="Hyperlink"/>
          <w:rFonts w:cs="Times New Roman"/>
          <w:noProof/>
          <w:u w:val="none"/>
        </w:rPr>
        <w:instrText>Yorkshire Wolds</w:instrText>
      </w:r>
      <w:r w:rsidR="006B1593" w:rsidRPr="00EC0229">
        <w:instrText xml:space="preserve">" </w:instrText>
      </w:r>
      <w:r w:rsidR="006B1593" w:rsidRPr="00EC0229">
        <w:rPr>
          <w:rFonts w:cs="Times New Roman"/>
        </w:rPr>
        <w:fldChar w:fldCharType="end"/>
      </w:r>
      <w:r w:rsidR="00513B46" w:rsidRPr="00EC0229">
        <w:rPr>
          <w:rFonts w:cs="Times New Roman"/>
        </w:rPr>
        <w:t xml:space="preserve">. </w:t>
      </w:r>
      <w:r w:rsidRPr="00EC0229">
        <w:rPr>
          <w:rFonts w:cs="Times New Roman"/>
        </w:rPr>
        <w:t>Yorke suggested that these types may have been tolerated in circulation rather than recycled as they derive from the Anglo-Saxon</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rPr>
        <w:fldChar w:fldCharType="end"/>
      </w:r>
      <w:r w:rsidRPr="00EC0229">
        <w:rPr>
          <w:rFonts w:cs="Times New Roman"/>
        </w:rPr>
        <w:t xml:space="preserve"> homeland.</w:t>
      </w:r>
      <w:r w:rsidRPr="00EC0229">
        <w:rPr>
          <w:rStyle w:val="FootnoteReference"/>
          <w:rFonts w:cs="Times New Roman"/>
        </w:rPr>
        <w:footnoteReference w:id="577"/>
      </w:r>
    </w:p>
    <w:p w14:paraId="3B4BF756" w14:textId="77777777" w:rsidR="00A33875" w:rsidRPr="00EC0229" w:rsidRDefault="00A33875" w:rsidP="007600EA">
      <w:pPr>
        <w:pStyle w:val="NoSpacing"/>
        <w:spacing w:line="360" w:lineRule="auto"/>
      </w:pPr>
    </w:p>
    <w:p w14:paraId="206DC64D" w14:textId="29549DE2" w:rsidR="00B50049" w:rsidRPr="008259E1" w:rsidRDefault="008259E1" w:rsidP="008259E1">
      <w:pPr>
        <w:pStyle w:val="Heading4"/>
        <w:rPr>
          <w:rFonts w:cs="Times New Roman"/>
          <w:b/>
        </w:rPr>
      </w:pPr>
      <w:bookmarkStart w:id="312" w:name="Period4d"/>
      <w:bookmarkStart w:id="313" w:name="_Toc468266793"/>
      <w:bookmarkEnd w:id="312"/>
      <w:r w:rsidRPr="008259E1">
        <w:rPr>
          <w:b/>
        </w:rPr>
        <w:t>5.3.4.5</w:t>
      </w:r>
      <w:r w:rsidRPr="008259E1">
        <w:rPr>
          <w:b/>
        </w:rPr>
        <w:tab/>
      </w:r>
      <w:r w:rsidR="00A33875" w:rsidRPr="008259E1">
        <w:rPr>
          <w:b/>
        </w:rPr>
        <w:t>Period 4d</w:t>
      </w:r>
      <w:r w:rsidR="00F204A1" w:rsidRPr="008259E1">
        <w:rPr>
          <w:b/>
        </w:rPr>
        <w:fldChar w:fldCharType="begin"/>
      </w:r>
      <w:r w:rsidR="00F204A1" w:rsidRPr="008259E1">
        <w:rPr>
          <w:b/>
        </w:rPr>
        <w:instrText xml:space="preserve"> XE "Period 4d" </w:instrText>
      </w:r>
      <w:r w:rsidR="00F204A1" w:rsidRPr="008259E1">
        <w:rPr>
          <w:b/>
        </w:rPr>
        <w:fldChar w:fldCharType="end"/>
      </w:r>
      <w:r w:rsidR="00A33875" w:rsidRPr="008259E1">
        <w:rPr>
          <w:b/>
        </w:rPr>
        <w:t>. Imported Merovingian</w:t>
      </w:r>
      <w:r w:rsidR="004C29A9" w:rsidRPr="008259E1">
        <w:rPr>
          <w:b/>
        </w:rPr>
        <w:fldChar w:fldCharType="begin"/>
      </w:r>
      <w:r w:rsidR="004C29A9" w:rsidRPr="008259E1">
        <w:rPr>
          <w:b/>
        </w:rPr>
        <w:instrText xml:space="preserve"> XE "Merovingian" </w:instrText>
      </w:r>
      <w:r w:rsidR="004C29A9" w:rsidRPr="008259E1">
        <w:rPr>
          <w:b/>
        </w:rPr>
        <w:fldChar w:fldCharType="end"/>
      </w:r>
      <w:r w:rsidR="00A33875" w:rsidRPr="008259E1">
        <w:rPr>
          <w:b/>
        </w:rPr>
        <w:t xml:space="preserve"> silver </w:t>
      </w:r>
      <w:bookmarkStart w:id="314" w:name="denier"/>
      <w:r w:rsidR="00A33875" w:rsidRPr="008259E1">
        <w:rPr>
          <w:b/>
        </w:rPr>
        <w:t>denier</w:t>
      </w:r>
      <w:bookmarkEnd w:id="314"/>
      <w:r w:rsidR="00F204A1" w:rsidRPr="008259E1">
        <w:rPr>
          <w:b/>
        </w:rPr>
        <w:fldChar w:fldCharType="begin"/>
      </w:r>
      <w:r w:rsidR="00F204A1" w:rsidRPr="008259E1">
        <w:rPr>
          <w:b/>
        </w:rPr>
        <w:instrText xml:space="preserve"> XE "Imported Merovingian silver denier" </w:instrText>
      </w:r>
      <w:r w:rsidR="00F204A1" w:rsidRPr="008259E1">
        <w:rPr>
          <w:b/>
        </w:rPr>
        <w:fldChar w:fldCharType="end"/>
      </w:r>
      <w:r w:rsidR="00A33875" w:rsidRPr="008259E1">
        <w:rPr>
          <w:b/>
        </w:rPr>
        <w:t xml:space="preserve">, </w:t>
      </w:r>
      <w:r w:rsidR="002132F1">
        <w:rPr>
          <w:b/>
        </w:rPr>
        <w:t>c.</w:t>
      </w:r>
      <w:r w:rsidR="00A33875" w:rsidRPr="008259E1">
        <w:rPr>
          <w:b/>
        </w:rPr>
        <w:t>670</w:t>
      </w:r>
      <w:r w:rsidR="00AB6635">
        <w:rPr>
          <w:b/>
        </w:rPr>
        <w:t>-</w:t>
      </w:r>
      <w:r w:rsidR="002132F1">
        <w:rPr>
          <w:b/>
        </w:rPr>
        <w:t>c.</w:t>
      </w:r>
      <w:r w:rsidR="00A33875" w:rsidRPr="008259E1">
        <w:rPr>
          <w:b/>
        </w:rPr>
        <w:t>710</w:t>
      </w:r>
      <w:bookmarkEnd w:id="313"/>
      <w:r w:rsidR="00A33875" w:rsidRPr="008259E1">
        <w:rPr>
          <w:rFonts w:cs="Times New Roman"/>
          <w:b/>
        </w:rPr>
        <w:t xml:space="preserve"> </w:t>
      </w:r>
    </w:p>
    <w:p w14:paraId="668BB41C" w14:textId="37BB336D" w:rsidR="00E74327" w:rsidRPr="00EC0229" w:rsidRDefault="00E74327" w:rsidP="00E74327">
      <w:pPr>
        <w:pStyle w:val="Header"/>
        <w:spacing w:line="360" w:lineRule="auto"/>
        <w:rPr>
          <w:rFonts w:cs="Times New Roman"/>
          <w:szCs w:val="24"/>
        </w:rPr>
      </w:pPr>
      <w:r w:rsidRPr="00EC0229">
        <w:rPr>
          <w:rFonts w:cs="Times New Roman"/>
          <w:szCs w:val="24"/>
        </w:rPr>
        <w:t>Silver</w:t>
      </w:r>
      <w:r w:rsidRPr="00EC0229">
        <w:rPr>
          <w:rFonts w:cs="Times New Roman"/>
          <w:szCs w:val="24"/>
        </w:rPr>
        <w:fldChar w:fldCharType="begin"/>
      </w:r>
      <w:r w:rsidRPr="00EC0229">
        <w:instrText xml:space="preserve"> XE "</w:instrText>
      </w:r>
      <w:r w:rsidRPr="00EC0229">
        <w:rPr>
          <w:rStyle w:val="Hyperlink"/>
          <w:rFonts w:cs="Times New Roman"/>
          <w:noProof/>
          <w:u w:val="none"/>
        </w:rPr>
        <w:instrText>Silver</w:instrText>
      </w:r>
      <w:r w:rsidRPr="00EC0229">
        <w:instrText xml:space="preserve">" </w:instrText>
      </w:r>
      <w:r w:rsidRPr="00EC0229">
        <w:rPr>
          <w:rFonts w:cs="Times New Roman"/>
          <w:szCs w:val="24"/>
        </w:rPr>
        <w:fldChar w:fldCharType="end"/>
      </w:r>
      <w:r w:rsidRPr="00EC0229">
        <w:rPr>
          <w:rFonts w:cs="Times New Roman"/>
          <w:szCs w:val="24"/>
        </w:rPr>
        <w:t xml:space="preserve"> deniers, the third phase of Merovingian</w:t>
      </w:r>
      <w:r w:rsidRPr="00EC0229">
        <w:rPr>
          <w:rFonts w:cs="Times New Roman"/>
          <w:szCs w:val="24"/>
        </w:rPr>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rPr>
          <w:rFonts w:cs="Times New Roman"/>
          <w:szCs w:val="24"/>
        </w:rPr>
        <w:fldChar w:fldCharType="end"/>
      </w:r>
      <w:r w:rsidRPr="00EC0229">
        <w:rPr>
          <w:rFonts w:cs="Times New Roman"/>
          <w:szCs w:val="24"/>
        </w:rPr>
        <w:t xml:space="preserve"> coinage, were first struck around 670,</w:t>
      </w:r>
      <w:r w:rsidRPr="00EC0229">
        <w:rPr>
          <w:rStyle w:val="FootnoteReference"/>
          <w:rFonts w:cs="Times New Roman"/>
          <w:szCs w:val="24"/>
        </w:rPr>
        <w:footnoteReference w:id="578"/>
      </w:r>
      <w:r w:rsidRPr="00EC0229">
        <w:rPr>
          <w:rFonts w:cs="Times New Roman"/>
          <w:szCs w:val="24"/>
        </w:rPr>
        <w:t xml:space="preserve"> and were minted to a uniform metrology</w:t>
      </w:r>
      <w:r w:rsidRPr="00EC0229">
        <w:rPr>
          <w:rFonts w:cs="Times New Roman"/>
          <w:szCs w:val="24"/>
        </w:rPr>
        <w:fldChar w:fldCharType="begin"/>
      </w:r>
      <w:r w:rsidRPr="00EC0229">
        <w:instrText xml:space="preserve"> XE "metrology" </w:instrText>
      </w:r>
      <w:r w:rsidRPr="00EC0229">
        <w:rPr>
          <w:rFonts w:cs="Times New Roman"/>
          <w:szCs w:val="24"/>
        </w:rPr>
        <w:fldChar w:fldCharType="end"/>
      </w:r>
      <w:r w:rsidRPr="00EC0229">
        <w:rPr>
          <w:rFonts w:cs="Times New Roman"/>
          <w:szCs w:val="24"/>
        </w:rPr>
        <w:t xml:space="preserve"> but greatly varied design in a decentralised structure</w:t>
      </w:r>
      <w:r w:rsidR="006C2237" w:rsidRPr="00EC0229">
        <w:rPr>
          <w:rFonts w:cs="Times New Roman"/>
          <w:szCs w:val="24"/>
        </w:rPr>
        <w:t>,</w:t>
      </w:r>
      <w:r w:rsidRPr="00EC0229">
        <w:rPr>
          <w:rFonts w:cs="Times New Roman"/>
          <w:szCs w:val="24"/>
        </w:rPr>
        <w:t xml:space="preserve"> </w:t>
      </w:r>
      <w:r w:rsidR="006C2237" w:rsidRPr="00EC0229">
        <w:rPr>
          <w:rFonts w:cs="Times New Roman"/>
          <w:szCs w:val="24"/>
        </w:rPr>
        <w:t>(</w:t>
      </w:r>
      <w:r w:rsidR="006C2237" w:rsidRPr="00EC0229">
        <w:rPr>
          <w:i/>
        </w:rPr>
        <w:t>Map</w:t>
      </w:r>
      <w:r w:rsidR="006C2237" w:rsidRPr="00EC0229">
        <w:rPr>
          <w:i/>
        </w:rPr>
        <w:fldChar w:fldCharType="begin"/>
      </w:r>
      <w:r w:rsidR="006C2237" w:rsidRPr="00EC0229">
        <w:instrText xml:space="preserve"> XE "</w:instrText>
      </w:r>
      <w:r w:rsidR="006C2237" w:rsidRPr="00EC0229">
        <w:rPr>
          <w:noProof/>
        </w:rPr>
        <w:instrText>Map</w:instrText>
      </w:r>
      <w:r w:rsidR="006C2237" w:rsidRPr="00EC0229">
        <w:instrText xml:space="preserve">" </w:instrText>
      </w:r>
      <w:r w:rsidR="006C2237" w:rsidRPr="00EC0229">
        <w:rPr>
          <w:i/>
        </w:rPr>
        <w:fldChar w:fldCharType="end"/>
      </w:r>
      <w:r w:rsidR="006C2237" w:rsidRPr="00EC0229">
        <w:rPr>
          <w:i/>
        </w:rPr>
        <w:t xml:space="preserve"> 5.03</w:t>
      </w:r>
      <w:r w:rsidR="006C2237" w:rsidRPr="00EC0229">
        <w:rPr>
          <w:rFonts w:cs="Times New Roman"/>
          <w:szCs w:val="24"/>
        </w:rPr>
        <w:t xml:space="preserve"> </w:t>
      </w:r>
      <w:r w:rsidRPr="00EC0229">
        <w:rPr>
          <w:rFonts w:cs="Times New Roman"/>
          <w:szCs w:val="24"/>
        </w:rPr>
        <w:fldChar w:fldCharType="begin"/>
      </w:r>
      <w:r w:rsidRPr="00EC0229">
        <w:rPr>
          <w:rFonts w:cs="Times New Roman"/>
          <w:szCs w:val="24"/>
        </w:rPr>
        <w:instrText xml:space="preserve"> REF _Ref430246158 \h  \* MERGEFORMAT </w:instrText>
      </w:r>
      <w:r w:rsidRPr="00EC0229">
        <w:rPr>
          <w:rFonts w:cs="Times New Roman"/>
          <w:szCs w:val="24"/>
        </w:rPr>
      </w:r>
      <w:r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36</w: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579"/>
      </w:r>
      <w:r w:rsidRPr="00EC0229">
        <w:rPr>
          <w:rFonts w:cs="Times New Roman"/>
          <w:szCs w:val="24"/>
        </w:rPr>
        <w:t xml:space="preserve"> There were as many as six hundred local mints,</w:t>
      </w:r>
      <w:r w:rsidRPr="00EC0229">
        <w:rPr>
          <w:rStyle w:val="FootnoteReference"/>
          <w:rFonts w:cs="Times New Roman"/>
          <w:szCs w:val="24"/>
        </w:rPr>
        <w:footnoteReference w:id="580"/>
      </w:r>
      <w:r w:rsidRPr="00EC0229">
        <w:rPr>
          <w:rFonts w:cs="Times New Roman"/>
          <w:szCs w:val="24"/>
        </w:rPr>
        <w:t xml:space="preserve"> employing up to sixteen hundred </w:t>
      </w:r>
      <w:r w:rsidRPr="00EC0229">
        <w:rPr>
          <w:rFonts w:cs="Times New Roman"/>
          <w:i/>
          <w:szCs w:val="24"/>
        </w:rPr>
        <w:t>monetarii</w:t>
      </w:r>
      <w:r w:rsidRPr="00EC0229">
        <w:rPr>
          <w:rFonts w:cs="Times New Roman"/>
          <w:szCs w:val="24"/>
        </w:rPr>
        <w:t>.</w:t>
      </w:r>
      <w:r w:rsidRPr="00EC0229">
        <w:rPr>
          <w:rStyle w:val="FootnoteReference"/>
          <w:rFonts w:cs="Times New Roman"/>
          <w:szCs w:val="24"/>
        </w:rPr>
        <w:footnoteReference w:id="581"/>
      </w:r>
      <w:r w:rsidRPr="00EC0229">
        <w:rPr>
          <w:rFonts w:cs="Times New Roman"/>
          <w:szCs w:val="24"/>
        </w:rPr>
        <w:t xml:space="preserve"> The metrological uniformity implies a high level of control – or an irresistible centripetal force drawing mints to a common standard and witnessing the growth of local trade. A possible overlap between the late debased tremissis</w:t>
      </w:r>
      <w:r w:rsidRPr="00EC0229">
        <w:rPr>
          <w:rFonts w:cs="Times New Roman"/>
          <w:szCs w:val="24"/>
        </w:rPr>
        <w:fldChar w:fldCharType="begin"/>
      </w:r>
      <w:r w:rsidRPr="00EC0229">
        <w:instrText xml:space="preserve"> XE "</w:instrText>
      </w:r>
      <w:r w:rsidRPr="00EC0229">
        <w:rPr>
          <w:rFonts w:eastAsia="Times New Roman" w:cs="Times New Roman"/>
        </w:rPr>
        <w:instrText>tremissis</w:instrText>
      </w:r>
      <w:r w:rsidRPr="00EC0229">
        <w:instrText xml:space="preserve">" </w:instrText>
      </w:r>
      <w:r w:rsidRPr="00EC0229">
        <w:rPr>
          <w:rFonts w:cs="Times New Roman"/>
          <w:szCs w:val="24"/>
        </w:rPr>
        <w:fldChar w:fldCharType="end"/>
      </w:r>
      <w:r w:rsidRPr="00EC0229">
        <w:rPr>
          <w:rFonts w:cs="Times New Roman"/>
          <w:szCs w:val="24"/>
        </w:rPr>
        <w:t xml:space="preserve"> and the silver deniers at this time, may have resulted in an exchange rate of a debased tremissis to four deniers and, therefore, the solidus</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solidus</w:instrText>
      </w:r>
      <w:r w:rsidRPr="00EC0229">
        <w:instrText xml:space="preserve">" </w:instrText>
      </w:r>
      <w:r w:rsidRPr="00EC0229">
        <w:rPr>
          <w:rFonts w:cs="Times New Roman"/>
          <w:szCs w:val="24"/>
        </w:rPr>
        <w:fldChar w:fldCharType="end"/>
      </w:r>
      <w:r w:rsidRPr="00EC0229">
        <w:rPr>
          <w:rFonts w:cs="Times New Roman"/>
          <w:szCs w:val="24"/>
        </w:rPr>
        <w:t xml:space="preserve">, as unit of account, would consist of twelve deniers. However, </w:t>
      </w:r>
      <w:bookmarkStart w:id="315" w:name="Pol"/>
      <w:r w:rsidRPr="00EC0229">
        <w:rPr>
          <w:rFonts w:cs="Times New Roman"/>
          <w:szCs w:val="24"/>
        </w:rPr>
        <w:t xml:space="preserve">Pol </w:t>
      </w:r>
      <w:bookmarkEnd w:id="315"/>
      <w:r w:rsidRPr="00EC0229">
        <w:rPr>
          <w:rFonts w:cs="Times New Roman"/>
          <w:szCs w:val="24"/>
        </w:rPr>
        <w:t>has pointed out that, with the exceptions of Quentovic and Dorestad, the Merovingian mints continued to issue gold</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szCs w:val="24"/>
        </w:rPr>
        <w:fldChar w:fldCharType="end"/>
      </w:r>
      <w:r w:rsidRPr="00EC0229">
        <w:rPr>
          <w:rFonts w:cs="Times New Roman"/>
          <w:szCs w:val="24"/>
        </w:rPr>
        <w:t xml:space="preserve"> until coins were 70% debased, whereupon they uniformly switched to silver.</w:t>
      </w:r>
      <w:bookmarkStart w:id="316" w:name="_Ref467215548"/>
      <w:r w:rsidRPr="00EC0229">
        <w:rPr>
          <w:rStyle w:val="FootnoteReference"/>
          <w:rFonts w:cs="Times New Roman"/>
          <w:szCs w:val="24"/>
        </w:rPr>
        <w:footnoteReference w:id="582"/>
      </w:r>
      <w:bookmarkEnd w:id="316"/>
      <w:r w:rsidRPr="00EC0229">
        <w:rPr>
          <w:rFonts w:cs="Times New Roman"/>
          <w:szCs w:val="24"/>
        </w:rPr>
        <w:t xml:space="preserve"> </w:t>
      </w:r>
    </w:p>
    <w:p w14:paraId="71D06027" w14:textId="77777777" w:rsidR="00E74327" w:rsidRPr="00EC0229" w:rsidRDefault="00E74327" w:rsidP="007600EA">
      <w:pPr>
        <w:pStyle w:val="NoSpacing"/>
        <w:spacing w:line="360" w:lineRule="auto"/>
      </w:pPr>
    </w:p>
    <w:p w14:paraId="5D2B9E27" w14:textId="72E2BF17" w:rsidR="003C0CF0" w:rsidRPr="00EC0229" w:rsidRDefault="003C0CF0" w:rsidP="007600EA">
      <w:pPr>
        <w:pStyle w:val="NoSpacing"/>
        <w:spacing w:line="360" w:lineRule="auto"/>
      </w:pPr>
      <w:r w:rsidRPr="00EC0229">
        <w:lastRenderedPageBreak/>
        <w:t>A small number of Frankish silver deniers, generally more scarce than tremisses, have been recovered in Northumbria</w:t>
      </w:r>
      <w:r w:rsidR="00413CE1" w:rsidRPr="00EC0229">
        <w:t xml:space="preserve">. </w:t>
      </w:r>
      <w:r w:rsidRPr="00EC0229">
        <w:t>Significantly, what is arguably the prototype of the Series</w:t>
      </w:r>
      <w:r w:rsidRPr="00EC0229">
        <w:fldChar w:fldCharType="begin"/>
      </w:r>
      <w:r w:rsidRPr="00EC0229">
        <w:instrText xml:space="preserve"> XE "Series" </w:instrText>
      </w:r>
      <w:r w:rsidRPr="00EC0229">
        <w:fldChar w:fldCharType="end"/>
      </w:r>
      <w:r w:rsidRPr="00EC0229">
        <w:t xml:space="preserve"> J obverse with facing heads</w:t>
      </w:r>
      <w:r w:rsidR="00413CE1" w:rsidRPr="00EC0229">
        <w:t xml:space="preserve">, is a denier from </w:t>
      </w:r>
      <w:r w:rsidR="00737A15" w:rsidRPr="00EC0229">
        <w:t>Reims</w:t>
      </w:r>
      <w:r w:rsidR="00413CE1" w:rsidRPr="00EC0229">
        <w:t>.</w:t>
      </w:r>
      <w:r w:rsidRPr="00EC0229">
        <w:t xml:space="preserve"> </w:t>
      </w:r>
      <w:r w:rsidRPr="00EC0229">
        <w:rPr>
          <w:szCs w:val="24"/>
        </w:rPr>
        <w:t>(</w:t>
      </w:r>
      <w:r w:rsidRPr="00EC0229">
        <w:rPr>
          <w:i/>
          <w:szCs w:val="24"/>
        </w:rPr>
        <w:fldChar w:fldCharType="begin"/>
      </w:r>
      <w:r w:rsidRPr="00EC0229">
        <w:rPr>
          <w:i/>
          <w:szCs w:val="24"/>
        </w:rPr>
        <w:instrText xml:space="preserve"> REF _Ref430246176 \h  \* MERGEFORMAT </w:instrText>
      </w:r>
      <w:r w:rsidRPr="00EC0229">
        <w:rPr>
          <w:i/>
          <w:szCs w:val="24"/>
        </w:rPr>
      </w:r>
      <w:r w:rsidRPr="00EC0229">
        <w:rPr>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37</w:t>
      </w:r>
      <w:r w:rsidRPr="00EC0229">
        <w:rPr>
          <w:szCs w:val="24"/>
        </w:rPr>
        <w:fldChar w:fldCharType="end"/>
      </w:r>
      <w:r w:rsidRPr="00EC0229">
        <w:rPr>
          <w:szCs w:val="24"/>
        </w:rPr>
        <w:t>L</w:t>
      </w:r>
      <w:r w:rsidRPr="00EC0229">
        <w:t>).</w:t>
      </w:r>
    </w:p>
    <w:p w14:paraId="2232DFB4" w14:textId="77777777" w:rsidR="00A33875" w:rsidRPr="00EC0229" w:rsidRDefault="00A33875" w:rsidP="007600EA">
      <w:pPr>
        <w:pStyle w:val="Header"/>
        <w:spacing w:line="360" w:lineRule="auto"/>
      </w:pPr>
    </w:p>
    <w:p w14:paraId="14BCC347" w14:textId="77777777" w:rsidR="00A33875" w:rsidRPr="00EC0229" w:rsidRDefault="00A33875" w:rsidP="007600EA">
      <w:pPr>
        <w:pStyle w:val="Header"/>
        <w:spacing w:line="360" w:lineRule="auto"/>
        <w:jc w:val="center"/>
      </w:pPr>
      <w:r w:rsidRPr="00EC0229">
        <w:rPr>
          <w:noProof/>
          <w:lang w:eastAsia="en-GB"/>
        </w:rPr>
        <w:drawing>
          <wp:inline distT="0" distB="0" distL="0" distR="0" wp14:anchorId="0ED55895" wp14:editId="29B3FE42">
            <wp:extent cx="932465" cy="871855"/>
            <wp:effectExtent l="0" t="0" r="127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27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44113" cy="882745"/>
                    </a:xfrm>
                    <a:prstGeom prst="rect">
                      <a:avLst/>
                    </a:prstGeom>
                  </pic:spPr>
                </pic:pic>
              </a:graphicData>
            </a:graphic>
          </wp:inline>
        </w:drawing>
      </w:r>
      <w:r w:rsidRPr="00EC0229">
        <w:rPr>
          <w:noProof/>
          <w:lang w:eastAsia="en-GB"/>
        </w:rPr>
        <w:drawing>
          <wp:inline distT="0" distB="0" distL="0" distR="0" wp14:anchorId="792DF14E" wp14:editId="728F3A8A">
            <wp:extent cx="899419" cy="87693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272R.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911147" cy="888370"/>
                    </a:xfrm>
                    <a:prstGeom prst="rect">
                      <a:avLst/>
                    </a:prstGeom>
                  </pic:spPr>
                </pic:pic>
              </a:graphicData>
            </a:graphic>
          </wp:inline>
        </w:drawing>
      </w:r>
      <w:r w:rsidRPr="00EC0229">
        <w:t xml:space="preserve">  </w:t>
      </w:r>
      <w:r w:rsidRPr="00EC0229">
        <w:tab/>
        <w:t xml:space="preserve">  </w:t>
      </w:r>
      <w:r w:rsidRPr="00EC0229">
        <w:rPr>
          <w:noProof/>
          <w:lang w:eastAsia="en-GB"/>
        </w:rPr>
        <w:drawing>
          <wp:inline distT="0" distB="0" distL="0" distR="0" wp14:anchorId="7BC5AE0D" wp14:editId="69B3148B">
            <wp:extent cx="898997" cy="837565"/>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280.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914493" cy="852002"/>
                    </a:xfrm>
                    <a:prstGeom prst="rect">
                      <a:avLst/>
                    </a:prstGeom>
                  </pic:spPr>
                </pic:pic>
              </a:graphicData>
            </a:graphic>
          </wp:inline>
        </w:drawing>
      </w:r>
      <w:r w:rsidRPr="00EC0229">
        <w:rPr>
          <w:noProof/>
          <w:lang w:eastAsia="en-GB"/>
        </w:rPr>
        <w:drawing>
          <wp:inline distT="0" distB="0" distL="0" distR="0" wp14:anchorId="16280106" wp14:editId="17BC0592">
            <wp:extent cx="898586" cy="87312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280R.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13756" cy="887865"/>
                    </a:xfrm>
                    <a:prstGeom prst="rect">
                      <a:avLst/>
                    </a:prstGeom>
                  </pic:spPr>
                </pic:pic>
              </a:graphicData>
            </a:graphic>
          </wp:inline>
        </w:drawing>
      </w:r>
      <w:r w:rsidRPr="00EC0229">
        <w:t xml:space="preserve">    </w:t>
      </w:r>
    </w:p>
    <w:p w14:paraId="289C27D4" w14:textId="1017E687" w:rsidR="00A33875" w:rsidRPr="00EC0229" w:rsidRDefault="007726CF" w:rsidP="007600EA">
      <w:pPr>
        <w:pStyle w:val="NoSpacing"/>
        <w:spacing w:line="360" w:lineRule="auto"/>
        <w:jc w:val="center"/>
        <w:rPr>
          <w:sz w:val="20"/>
          <w:szCs w:val="20"/>
        </w:rPr>
      </w:pPr>
      <w:bookmarkStart w:id="317" w:name="_Ref430246158"/>
      <w:bookmarkStart w:id="318" w:name="_Toc46826700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36</w:t>
      </w:r>
      <w:r w:rsidRPr="00EC0229">
        <w:rPr>
          <w:sz w:val="20"/>
          <w:szCs w:val="20"/>
        </w:rPr>
        <w:fldChar w:fldCharType="end"/>
      </w:r>
      <w:bookmarkEnd w:id="317"/>
      <w:r w:rsidR="00FD1E67" w:rsidRPr="00EC0229">
        <w:rPr>
          <w:sz w:val="20"/>
          <w:szCs w:val="20"/>
        </w:rPr>
        <w:t xml:space="preserve">: </w:t>
      </w:r>
      <w:r w:rsidR="00A33875" w:rsidRPr="00EC0229">
        <w:rPr>
          <w:sz w:val="20"/>
          <w:szCs w:val="20"/>
        </w:rPr>
        <w:t>Merovingian</w:t>
      </w:r>
      <w:r w:rsidR="004C29A9" w:rsidRPr="00EC0229">
        <w:rPr>
          <w:sz w:val="20"/>
          <w:szCs w:val="20"/>
        </w:rPr>
        <w:fldChar w:fldCharType="begin"/>
      </w:r>
      <w:r w:rsidR="004C29A9" w:rsidRPr="00EC0229">
        <w:rPr>
          <w:sz w:val="20"/>
          <w:szCs w:val="20"/>
        </w:rPr>
        <w:instrText xml:space="preserve"> XE "</w:instrText>
      </w:r>
      <w:r w:rsidR="004C29A9" w:rsidRPr="00EC0229">
        <w:rPr>
          <w:rStyle w:val="Hyperlink"/>
          <w:noProof/>
          <w:sz w:val="20"/>
          <w:szCs w:val="20"/>
          <w:u w:val="none"/>
        </w:rPr>
        <w:instrText>Merovingian</w:instrText>
      </w:r>
      <w:r w:rsidR="004C29A9" w:rsidRPr="00EC0229">
        <w:rPr>
          <w:sz w:val="20"/>
          <w:szCs w:val="20"/>
        </w:rPr>
        <w:instrText xml:space="preserve">" </w:instrText>
      </w:r>
      <w:r w:rsidR="004C29A9" w:rsidRPr="00EC0229">
        <w:rPr>
          <w:sz w:val="20"/>
          <w:szCs w:val="20"/>
        </w:rPr>
        <w:fldChar w:fldCharType="end"/>
      </w:r>
      <w:r w:rsidR="00A33875" w:rsidRPr="00EC0229">
        <w:rPr>
          <w:sz w:val="20"/>
          <w:szCs w:val="20"/>
        </w:rPr>
        <w:t xml:space="preserve"> silver deniers of the named mint/moneyer type:</w:t>
      </w:r>
      <w:bookmarkEnd w:id="318"/>
    </w:p>
    <w:p w14:paraId="09B0A9DD" w14:textId="77777777" w:rsidR="00A33875" w:rsidRPr="00EC0229" w:rsidRDefault="00A33875" w:rsidP="007600EA">
      <w:pPr>
        <w:pStyle w:val="Header"/>
        <w:spacing w:line="360" w:lineRule="auto"/>
        <w:jc w:val="center"/>
        <w:rPr>
          <w:sz w:val="16"/>
          <w:szCs w:val="16"/>
        </w:rPr>
      </w:pPr>
      <w:r w:rsidRPr="00EC0229">
        <w:rPr>
          <w:sz w:val="16"/>
          <w:szCs w:val="16"/>
        </w:rPr>
        <w:t xml:space="preserve">L: Rouen (Civitas Rotomagensium)/ERMOBERTO. R: </w:t>
      </w:r>
      <w:r w:rsidRPr="00EC0229">
        <w:rPr>
          <w:i/>
          <w:sz w:val="16"/>
          <w:szCs w:val="16"/>
        </w:rPr>
        <w:t xml:space="preserve">Ecclesia racio </w:t>
      </w:r>
      <w:r w:rsidRPr="00EC0229">
        <w:rPr>
          <w:sz w:val="16"/>
          <w:szCs w:val="16"/>
        </w:rPr>
        <w:t>type, attributed to Limoges, found Market Rasen, Lincolnshire.</w:t>
      </w:r>
    </w:p>
    <w:p w14:paraId="2A238C81" w14:textId="77777777" w:rsidR="00A33875" w:rsidRPr="00EC0229" w:rsidRDefault="00A33875" w:rsidP="007600EA">
      <w:pPr>
        <w:pStyle w:val="NoSpacing"/>
        <w:spacing w:line="360" w:lineRule="auto"/>
        <w:rPr>
          <w:rFonts w:cs="Times New Roman"/>
          <w:color w:val="FF0000"/>
        </w:rPr>
      </w:pPr>
    </w:p>
    <w:p w14:paraId="028D289D" w14:textId="77777777" w:rsidR="00A33875" w:rsidRPr="00EC0229" w:rsidRDefault="00A33875" w:rsidP="007600EA">
      <w:pPr>
        <w:pStyle w:val="Header"/>
        <w:spacing w:line="360" w:lineRule="auto"/>
        <w:jc w:val="center"/>
        <w:rPr>
          <w:sz w:val="18"/>
          <w:szCs w:val="18"/>
        </w:rPr>
      </w:pPr>
      <w:r w:rsidRPr="00EC0229">
        <w:rPr>
          <w:noProof/>
          <w:lang w:eastAsia="en-GB"/>
        </w:rPr>
        <w:drawing>
          <wp:inline distT="0" distB="0" distL="0" distR="0" wp14:anchorId="110A1423" wp14:editId="4AB34A6C">
            <wp:extent cx="883920" cy="88834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290.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93433" cy="897901"/>
                    </a:xfrm>
                    <a:prstGeom prst="rect">
                      <a:avLst/>
                    </a:prstGeom>
                  </pic:spPr>
                </pic:pic>
              </a:graphicData>
            </a:graphic>
          </wp:inline>
        </w:drawing>
      </w:r>
      <w:r w:rsidRPr="00EC0229">
        <w:rPr>
          <w:noProof/>
          <w:lang w:eastAsia="en-GB"/>
        </w:rPr>
        <w:drawing>
          <wp:inline distT="0" distB="0" distL="0" distR="0" wp14:anchorId="5B3AE48E" wp14:editId="7D5EF4D2">
            <wp:extent cx="903441" cy="90043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290R.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13302" cy="910258"/>
                    </a:xfrm>
                    <a:prstGeom prst="rect">
                      <a:avLst/>
                    </a:prstGeom>
                  </pic:spPr>
                </pic:pic>
              </a:graphicData>
            </a:graphic>
          </wp:inline>
        </w:drawing>
      </w:r>
      <w:r w:rsidRPr="00EC0229">
        <w:rPr>
          <w:sz w:val="18"/>
          <w:szCs w:val="18"/>
        </w:rPr>
        <w:tab/>
      </w:r>
      <w:r w:rsidRPr="00EC0229">
        <w:rPr>
          <w:sz w:val="18"/>
          <w:szCs w:val="18"/>
        </w:rPr>
        <w:tab/>
      </w:r>
      <w:r w:rsidRPr="00EC0229">
        <w:rPr>
          <w:noProof/>
          <w:sz w:val="18"/>
          <w:szCs w:val="18"/>
          <w:lang w:eastAsia="en-GB"/>
        </w:rPr>
        <w:drawing>
          <wp:inline distT="0" distB="0" distL="0" distR="0" wp14:anchorId="3EE3294E" wp14:editId="2BB4697B">
            <wp:extent cx="929640" cy="931189"/>
            <wp:effectExtent l="0" t="0" r="381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300.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942251" cy="943821"/>
                    </a:xfrm>
                    <a:prstGeom prst="rect">
                      <a:avLst/>
                    </a:prstGeom>
                  </pic:spPr>
                </pic:pic>
              </a:graphicData>
            </a:graphic>
          </wp:inline>
        </w:drawing>
      </w:r>
      <w:r w:rsidRPr="00EC0229">
        <w:rPr>
          <w:noProof/>
          <w:sz w:val="18"/>
          <w:szCs w:val="18"/>
          <w:lang w:eastAsia="en-GB"/>
        </w:rPr>
        <w:drawing>
          <wp:inline distT="0" distB="0" distL="0" distR="0" wp14:anchorId="433F6CD9" wp14:editId="733FA083">
            <wp:extent cx="920012" cy="92307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300R.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927628" cy="930720"/>
                    </a:xfrm>
                    <a:prstGeom prst="rect">
                      <a:avLst/>
                    </a:prstGeom>
                  </pic:spPr>
                </pic:pic>
              </a:graphicData>
            </a:graphic>
          </wp:inline>
        </w:drawing>
      </w:r>
    </w:p>
    <w:p w14:paraId="3E6D4519" w14:textId="3FFD744E" w:rsidR="003C0CF0" w:rsidRPr="00EC0229" w:rsidRDefault="007726CF" w:rsidP="007600EA">
      <w:pPr>
        <w:pStyle w:val="NoSpacing"/>
        <w:spacing w:line="360" w:lineRule="auto"/>
        <w:jc w:val="center"/>
        <w:rPr>
          <w:sz w:val="20"/>
          <w:szCs w:val="20"/>
        </w:rPr>
      </w:pPr>
      <w:bookmarkStart w:id="319" w:name="_Ref430246176"/>
      <w:bookmarkStart w:id="320" w:name="_Toc468267009"/>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37</w:t>
      </w:r>
      <w:r w:rsidRPr="00EC0229">
        <w:rPr>
          <w:sz w:val="20"/>
          <w:szCs w:val="20"/>
        </w:rPr>
        <w:fldChar w:fldCharType="end"/>
      </w:r>
      <w:bookmarkEnd w:id="319"/>
      <w:r w:rsidR="00FD1E67" w:rsidRPr="00EC0229">
        <w:rPr>
          <w:sz w:val="20"/>
          <w:szCs w:val="20"/>
        </w:rPr>
        <w:t xml:space="preserve">: </w:t>
      </w:r>
      <w:r w:rsidR="003C0CF0" w:rsidRPr="00EC0229">
        <w:rPr>
          <w:sz w:val="20"/>
          <w:szCs w:val="20"/>
        </w:rPr>
        <w:t>Mint-monogrammed deniers</w:t>
      </w:r>
      <w:bookmarkEnd w:id="320"/>
    </w:p>
    <w:p w14:paraId="59142D24" w14:textId="4C1C1346" w:rsidR="007726CF" w:rsidRPr="00EC0229" w:rsidRDefault="00A33875" w:rsidP="007600EA">
      <w:pPr>
        <w:pStyle w:val="NoSpacing"/>
        <w:spacing w:line="360" w:lineRule="auto"/>
        <w:rPr>
          <w:sz w:val="20"/>
          <w:szCs w:val="20"/>
        </w:rPr>
      </w:pPr>
      <w:r w:rsidRPr="00EC0229">
        <w:rPr>
          <w:sz w:val="20"/>
          <w:szCs w:val="20"/>
        </w:rPr>
        <w:t xml:space="preserve">L: </w:t>
      </w:r>
      <w:r w:rsidR="00737A15" w:rsidRPr="00EC0229">
        <w:rPr>
          <w:sz w:val="20"/>
          <w:szCs w:val="20"/>
        </w:rPr>
        <w:t>Reims</w:t>
      </w:r>
      <w:r w:rsidRPr="00EC0229">
        <w:rPr>
          <w:sz w:val="20"/>
          <w:szCs w:val="20"/>
        </w:rPr>
        <w:t>, found near Bridlington (the prototype of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Pr="00EC0229">
        <w:rPr>
          <w:sz w:val="20"/>
          <w:szCs w:val="20"/>
        </w:rPr>
        <w:t xml:space="preserve"> J</w:t>
      </w:r>
      <w:r w:rsidR="007726CF" w:rsidRPr="00EC0229">
        <w:rPr>
          <w:sz w:val="20"/>
          <w:szCs w:val="20"/>
        </w:rPr>
        <w:t>)</w:t>
      </w:r>
    </w:p>
    <w:p w14:paraId="7C5BBD7D" w14:textId="7614966A" w:rsidR="00A33875" w:rsidRPr="00EC0229" w:rsidRDefault="00A33875" w:rsidP="007600EA">
      <w:pPr>
        <w:pStyle w:val="NoSpacing"/>
        <w:spacing w:line="360" w:lineRule="auto"/>
        <w:jc w:val="right"/>
        <w:rPr>
          <w:sz w:val="20"/>
          <w:szCs w:val="20"/>
        </w:rPr>
      </w:pPr>
      <w:r w:rsidRPr="00EC0229">
        <w:rPr>
          <w:sz w:val="20"/>
          <w:szCs w:val="20"/>
        </w:rPr>
        <w:t>R: Marseilles? Found Durham area?</w:t>
      </w:r>
    </w:p>
    <w:p w14:paraId="4DFA487E" w14:textId="217DB995" w:rsidR="00092110" w:rsidRPr="00EC0229" w:rsidRDefault="008259E1" w:rsidP="007600EA">
      <w:pPr>
        <w:pStyle w:val="Heading3"/>
        <w:spacing w:line="360" w:lineRule="auto"/>
      </w:pPr>
      <w:bookmarkStart w:id="321" w:name="_Toc468266794"/>
      <w:r>
        <w:t>5.3.5</w:t>
      </w:r>
      <w:r w:rsidR="000E1004">
        <w:t xml:space="preserve"> </w:t>
      </w:r>
      <w:r w:rsidR="00A33875" w:rsidRPr="00EC0229">
        <w:t>Period 5</w:t>
      </w:r>
      <w:r w:rsidR="00F204A1" w:rsidRPr="00EC0229">
        <w:fldChar w:fldCharType="begin"/>
      </w:r>
      <w:r w:rsidR="00F204A1" w:rsidRPr="00EC0229">
        <w:instrText xml:space="preserve"> XE "</w:instrText>
      </w:r>
      <w:r w:rsidR="00F204A1" w:rsidRPr="00EC0229">
        <w:rPr>
          <w:rStyle w:val="Hyperlink"/>
          <w:noProof/>
          <w:u w:val="none"/>
        </w:rPr>
        <w:instrText>Period 5</w:instrText>
      </w:r>
      <w:r w:rsidR="00F204A1" w:rsidRPr="00EC0229">
        <w:instrText xml:space="preserve">" </w:instrText>
      </w:r>
      <w:r w:rsidR="00F204A1" w:rsidRPr="00EC0229">
        <w:fldChar w:fldCharType="end"/>
      </w:r>
      <w:r w:rsidR="00312C66" w:rsidRPr="00EC0229">
        <w:t xml:space="preserve">. </w:t>
      </w:r>
      <w:r w:rsidR="00092110" w:rsidRPr="00EC0229">
        <w:t>Secondary sceats</w:t>
      </w:r>
      <w:bookmarkEnd w:id="321"/>
    </w:p>
    <w:p w14:paraId="0ACA5D10" w14:textId="5778FD5C" w:rsidR="00A33875" w:rsidRPr="008259E1" w:rsidRDefault="008259E1" w:rsidP="008259E1">
      <w:pPr>
        <w:pStyle w:val="Heading4"/>
        <w:rPr>
          <w:b/>
        </w:rPr>
      </w:pPr>
      <w:bookmarkStart w:id="322" w:name="_Toc468266795"/>
      <w:r w:rsidRPr="008259E1">
        <w:rPr>
          <w:b/>
        </w:rPr>
        <w:t>5.3.5.1</w:t>
      </w:r>
      <w:r w:rsidRPr="008259E1">
        <w:rPr>
          <w:b/>
        </w:rPr>
        <w:tab/>
      </w:r>
      <w:r w:rsidR="00312C66" w:rsidRPr="008259E1">
        <w:rPr>
          <w:b/>
        </w:rPr>
        <w:t>Incompetent S</w:t>
      </w:r>
      <w:r w:rsidR="00A33875" w:rsidRPr="008259E1">
        <w:rPr>
          <w:b/>
        </w:rPr>
        <w:t>uccession</w:t>
      </w:r>
      <w:r w:rsidR="00F204A1" w:rsidRPr="008259E1">
        <w:rPr>
          <w:b/>
        </w:rPr>
        <w:fldChar w:fldCharType="begin"/>
      </w:r>
      <w:r w:rsidR="00F204A1" w:rsidRPr="008259E1">
        <w:rPr>
          <w:b/>
        </w:rPr>
        <w:instrText xml:space="preserve"> XE "</w:instrText>
      </w:r>
      <w:r w:rsidR="00F204A1" w:rsidRPr="008259E1">
        <w:rPr>
          <w:rStyle w:val="Hyperlink"/>
          <w:b/>
          <w:noProof/>
          <w:u w:val="none"/>
        </w:rPr>
        <w:instrText>Incompetent succession</w:instrText>
      </w:r>
      <w:r w:rsidR="00F204A1" w:rsidRPr="008259E1">
        <w:rPr>
          <w:b/>
        </w:rPr>
        <w:instrText xml:space="preserve">" </w:instrText>
      </w:r>
      <w:r w:rsidR="00F204A1" w:rsidRPr="008259E1">
        <w:rPr>
          <w:b/>
        </w:rPr>
        <w:fldChar w:fldCharType="end"/>
      </w:r>
      <w:r w:rsidR="00A33875" w:rsidRPr="008259E1">
        <w:rPr>
          <w:b/>
        </w:rPr>
        <w:t xml:space="preserve">, </w:t>
      </w:r>
      <w:r w:rsidR="002132F1">
        <w:rPr>
          <w:b/>
          <w:i/>
        </w:rPr>
        <w:t>c.</w:t>
      </w:r>
      <w:r w:rsidR="00A33875" w:rsidRPr="008259E1">
        <w:rPr>
          <w:b/>
        </w:rPr>
        <w:t xml:space="preserve">704 – </w:t>
      </w:r>
      <w:r w:rsidR="002132F1">
        <w:rPr>
          <w:b/>
          <w:i/>
        </w:rPr>
        <w:t>c.</w:t>
      </w:r>
      <w:r w:rsidR="00A33875" w:rsidRPr="008259E1">
        <w:rPr>
          <w:b/>
        </w:rPr>
        <w:t>737 and later</w:t>
      </w:r>
      <w:bookmarkEnd w:id="322"/>
    </w:p>
    <w:p w14:paraId="1060DAE0" w14:textId="73560C0B" w:rsidR="00A33875" w:rsidRPr="00EC0229" w:rsidRDefault="00A33875" w:rsidP="007600EA">
      <w:pPr>
        <w:pStyle w:val="NoSpacing"/>
        <w:spacing w:line="360" w:lineRule="auto"/>
        <w:rPr>
          <w:rFonts w:cs="Times New Roman"/>
        </w:rPr>
      </w:pPr>
      <w:r w:rsidRPr="00EC0229">
        <w:rPr>
          <w:rFonts w:cs="Times New Roman"/>
        </w:rPr>
        <w:t xml:space="preserve">To the </w:t>
      </w:r>
      <w:r w:rsidR="00E40070" w:rsidRPr="00EC0229">
        <w:rPr>
          <w:rFonts w:cs="Times New Roman"/>
        </w:rPr>
        <w:t>thirty-th</w:t>
      </w:r>
      <w:r w:rsidR="005D4712" w:rsidRPr="00EC0229">
        <w:rPr>
          <w:rFonts w:cs="Times New Roman"/>
        </w:rPr>
        <w:t>ree-</w:t>
      </w:r>
      <w:r w:rsidR="00F72D56" w:rsidRPr="00EC0229">
        <w:rPr>
          <w:rFonts w:cs="Times New Roman"/>
        </w:rPr>
        <w:t>y</w:t>
      </w:r>
      <w:r w:rsidR="00E40070" w:rsidRPr="00EC0229">
        <w:rPr>
          <w:rFonts w:cs="Times New Roman"/>
        </w:rPr>
        <w:t>ear</w:t>
      </w:r>
      <w:r w:rsidRPr="00EC0229">
        <w:rPr>
          <w:rFonts w:cs="Times New Roman"/>
        </w:rPr>
        <w:t xml:space="preserve"> gap between Aldfrith</w:t>
      </w:r>
      <w:r w:rsidR="00D142DC" w:rsidRPr="00EC0229">
        <w:rPr>
          <w:rFonts w:cs="Times New Roman"/>
        </w:rPr>
        <w:fldChar w:fldCharType="begin"/>
      </w:r>
      <w:r w:rsidR="00D142DC" w:rsidRPr="00EC0229">
        <w:instrText xml:space="preserve"> XE "Aldfrith" </w:instrText>
      </w:r>
      <w:r w:rsidR="00D142DC" w:rsidRPr="00EC0229">
        <w:rPr>
          <w:rFonts w:cs="Times New Roman"/>
        </w:rPr>
        <w:fldChar w:fldCharType="end"/>
      </w:r>
      <w:r w:rsidRPr="00EC0229">
        <w:rPr>
          <w:rFonts w:cs="Times New Roman"/>
        </w:rPr>
        <w:t xml:space="preserve"> and Eadberht</w:t>
      </w:r>
      <w:r w:rsidR="00D142DC" w:rsidRPr="00EC0229">
        <w:rPr>
          <w:rFonts w:cs="Times New Roman"/>
        </w:rPr>
        <w:fldChar w:fldCharType="begin"/>
      </w:r>
      <w:r w:rsidR="00D142DC" w:rsidRPr="00EC0229">
        <w:instrText xml:space="preserve"> XE "Eadberht" </w:instrText>
      </w:r>
      <w:r w:rsidR="00D142DC" w:rsidRPr="00EC0229">
        <w:rPr>
          <w:rFonts w:cs="Times New Roman"/>
        </w:rPr>
        <w:fldChar w:fldCharType="end"/>
      </w:r>
      <w:r w:rsidRPr="00EC0229">
        <w:rPr>
          <w:rFonts w:cs="Times New Roman"/>
        </w:rPr>
        <w:t xml:space="preserve">, 704-737, can be allotted the wide variety of </w:t>
      </w:r>
      <w:r w:rsidR="00572E51" w:rsidRPr="00EC0229">
        <w:rPr>
          <w:rFonts w:cs="Times New Roman"/>
        </w:rPr>
        <w:t>Southumbria</w:t>
      </w:r>
      <w:r w:rsidRPr="00EC0229">
        <w:rPr>
          <w:rFonts w:cs="Times New Roman"/>
        </w:rPr>
        <w:t>n and Continental types found in Northumbria</w:t>
      </w:r>
      <w:r w:rsidR="00584C42" w:rsidRPr="00EC0229">
        <w:rPr>
          <w:rFonts w:cs="Times New Roman"/>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rPr>
        <w:fldChar w:fldCharType="end"/>
      </w:r>
      <w:r w:rsidRPr="00EC0229">
        <w:rPr>
          <w:rFonts w:cs="Times New Roman"/>
        </w:rPr>
        <w:t>, allowing the possibility that some types (e.g. of Series</w:t>
      </w:r>
      <w:r w:rsidR="00D142DC" w:rsidRPr="00EC0229">
        <w:rPr>
          <w:rFonts w:cs="Times New Roman"/>
        </w:rPr>
        <w:fldChar w:fldCharType="begin"/>
      </w:r>
      <w:r w:rsidR="00D142DC" w:rsidRPr="00EC0229">
        <w:instrText xml:space="preserve"> XE "Series" </w:instrText>
      </w:r>
      <w:r w:rsidR="00D142DC" w:rsidRPr="00EC0229">
        <w:rPr>
          <w:rFonts w:cs="Times New Roman"/>
        </w:rPr>
        <w:fldChar w:fldCharType="end"/>
      </w:r>
      <w:r w:rsidRPr="00EC0229">
        <w:rPr>
          <w:rFonts w:cs="Times New Roman"/>
        </w:rPr>
        <w:t xml:space="preserve"> J</w:t>
      </w:r>
      <w:r w:rsidRPr="00EC0229">
        <w:rPr>
          <w:rStyle w:val="FootnoteReference"/>
          <w:rFonts w:cs="Times New Roman"/>
        </w:rPr>
        <w:footnoteReference w:id="583"/>
      </w:r>
      <w:r w:rsidRPr="00EC0229">
        <w:rPr>
          <w:rFonts w:cs="Times New Roman"/>
        </w:rPr>
        <w:t xml:space="preserve">) may have been minted locally and that others were imitated contemporaneously. </w:t>
      </w:r>
    </w:p>
    <w:p w14:paraId="6EB96F5B" w14:textId="77777777" w:rsidR="00A33875" w:rsidRPr="00EC0229" w:rsidRDefault="00A33875" w:rsidP="007600EA">
      <w:pPr>
        <w:pStyle w:val="NoSpacing"/>
        <w:spacing w:line="360" w:lineRule="auto"/>
        <w:rPr>
          <w:rFonts w:cs="Times New Roman"/>
        </w:rPr>
      </w:pPr>
    </w:p>
    <w:p w14:paraId="5AF1E7CC" w14:textId="5B06FE84" w:rsidR="00A33875" w:rsidRPr="00EC0229" w:rsidRDefault="00A33875" w:rsidP="007600EA">
      <w:pPr>
        <w:pStyle w:val="NoSpacing"/>
        <w:spacing w:line="360" w:lineRule="auto"/>
        <w:rPr>
          <w:rFonts w:cs="Times New Roman"/>
        </w:rPr>
      </w:pPr>
      <w:r w:rsidRPr="00EC0229">
        <w:rPr>
          <w:rFonts w:cs="Times New Roman"/>
        </w:rPr>
        <w:t xml:space="preserve">What may also contribute to the replacement of local issues by imported currency during this period - the </w:t>
      </w:r>
      <w:r w:rsidR="00CF45AD" w:rsidRPr="00EC0229">
        <w:rPr>
          <w:rFonts w:cs="Times New Roman"/>
        </w:rPr>
        <w:t>Golden Age</w:t>
      </w:r>
      <w:r w:rsidRPr="00EC0229">
        <w:rPr>
          <w:rFonts w:cs="Times New Roman"/>
        </w:rPr>
        <w:t xml:space="preserve"> of Northumbria</w:t>
      </w:r>
      <w:r w:rsidR="00584C42" w:rsidRPr="00EC0229">
        <w:rPr>
          <w:rFonts w:cs="Times New Roman"/>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rPr>
        <w:fldChar w:fldCharType="end"/>
      </w:r>
      <w:r w:rsidRPr="00EC0229">
        <w:rPr>
          <w:rFonts w:cs="Times New Roman"/>
        </w:rPr>
        <w:t xml:space="preserve"> – is, arguably, a favourable balance of payments. </w:t>
      </w:r>
      <w:r w:rsidR="00262A0D" w:rsidRPr="00EC0229">
        <w:rPr>
          <w:rFonts w:cs="Times New Roman"/>
        </w:rPr>
        <w:t>This probably now consisted mainly of sheep or wool as slave trading is more likely to be associated with the expansionism of the seventh century.</w:t>
      </w:r>
      <w:r w:rsidR="00262A0D" w:rsidRPr="00EC0229">
        <w:rPr>
          <w:rStyle w:val="FootnoteReference"/>
          <w:rFonts w:cs="Times New Roman"/>
        </w:rPr>
        <w:footnoteReference w:id="584"/>
      </w:r>
    </w:p>
    <w:p w14:paraId="0D567320" w14:textId="77777777" w:rsidR="00A33875" w:rsidRPr="00EC0229" w:rsidRDefault="00A33875" w:rsidP="007600EA">
      <w:pPr>
        <w:pStyle w:val="NoSpacing"/>
        <w:spacing w:line="360" w:lineRule="auto"/>
      </w:pPr>
    </w:p>
    <w:p w14:paraId="488B4953" w14:textId="651D9EC2" w:rsidR="00A33875" w:rsidRPr="008259E1" w:rsidRDefault="008259E1" w:rsidP="008259E1">
      <w:pPr>
        <w:pStyle w:val="Heading4"/>
        <w:rPr>
          <w:b/>
        </w:rPr>
      </w:pPr>
      <w:bookmarkStart w:id="323" w:name="Period5a"/>
      <w:bookmarkStart w:id="324" w:name="_Toc468266796"/>
      <w:bookmarkEnd w:id="323"/>
      <w:r w:rsidRPr="008259E1">
        <w:rPr>
          <w:b/>
        </w:rPr>
        <w:t>5.3.5.2</w:t>
      </w:r>
      <w:r w:rsidRPr="008259E1">
        <w:rPr>
          <w:b/>
        </w:rPr>
        <w:tab/>
      </w:r>
      <w:r w:rsidR="00A33875" w:rsidRPr="008259E1">
        <w:rPr>
          <w:b/>
        </w:rPr>
        <w:t>Period 5a</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5a</w:instrText>
      </w:r>
      <w:r w:rsidR="00F204A1" w:rsidRPr="008259E1">
        <w:rPr>
          <w:b/>
        </w:rPr>
        <w:instrText xml:space="preserve">" </w:instrText>
      </w:r>
      <w:r w:rsidR="00F204A1" w:rsidRPr="008259E1">
        <w:rPr>
          <w:b/>
        </w:rPr>
        <w:fldChar w:fldCharType="end"/>
      </w:r>
      <w:r w:rsidR="00A33875" w:rsidRPr="008259E1">
        <w:rPr>
          <w:b/>
        </w:rPr>
        <w:t xml:space="preserve">. </w:t>
      </w:r>
      <w:bookmarkStart w:id="325" w:name="Putativenorthernnonregal"/>
      <w:r w:rsidR="00A33875" w:rsidRPr="008259E1">
        <w:rPr>
          <w:b/>
        </w:rPr>
        <w:t>Putative</w:t>
      </w:r>
      <w:r w:rsidR="00F204A1" w:rsidRPr="008259E1">
        <w:rPr>
          <w:b/>
        </w:rPr>
        <w:fldChar w:fldCharType="begin"/>
      </w:r>
      <w:r w:rsidR="00F204A1" w:rsidRPr="008259E1">
        <w:rPr>
          <w:b/>
        </w:rPr>
        <w:instrText xml:space="preserve"> XE "</w:instrText>
      </w:r>
      <w:r w:rsidR="00F204A1" w:rsidRPr="008259E1">
        <w:rPr>
          <w:rStyle w:val="Hyperlink"/>
          <w:b/>
          <w:noProof/>
          <w:u w:val="none"/>
        </w:rPr>
        <w:instrText>Putative</w:instrText>
      </w:r>
      <w:r w:rsidR="00F204A1" w:rsidRPr="008259E1">
        <w:rPr>
          <w:b/>
        </w:rPr>
        <w:instrText xml:space="preserve">" </w:instrText>
      </w:r>
      <w:r w:rsidR="00F204A1" w:rsidRPr="008259E1">
        <w:rPr>
          <w:b/>
        </w:rPr>
        <w:fldChar w:fldCharType="end"/>
      </w:r>
      <w:r w:rsidR="00A33875" w:rsidRPr="008259E1">
        <w:rPr>
          <w:b/>
        </w:rPr>
        <w:t xml:space="preserve"> northern non-regal </w:t>
      </w:r>
      <w:bookmarkEnd w:id="325"/>
      <w:r w:rsidR="00A33875" w:rsidRPr="008259E1">
        <w:rPr>
          <w:b/>
        </w:rPr>
        <w:t>emissions, 704 – 737 or later</w:t>
      </w:r>
      <w:bookmarkEnd w:id="324"/>
    </w:p>
    <w:p w14:paraId="2288BF8F" w14:textId="7A554040" w:rsidR="00A33875" w:rsidRPr="00EC0229" w:rsidRDefault="00EF58C2" w:rsidP="007600EA">
      <w:pPr>
        <w:pStyle w:val="NoSpacing"/>
        <w:spacing w:line="360" w:lineRule="auto"/>
      </w:pPr>
      <w:r w:rsidRPr="00EC0229">
        <w:rPr>
          <w:szCs w:val="24"/>
        </w:rPr>
        <w:t>The source of Series J remains uncertain</w:t>
      </w:r>
      <w:r w:rsidR="003E52E7" w:rsidRPr="00EC0229">
        <w:rPr>
          <w:szCs w:val="24"/>
        </w:rPr>
        <w:t>, but may be in south Northumbria or north Lincolnshire</w:t>
      </w:r>
      <w:r w:rsidRPr="00EC0229">
        <w:rPr>
          <w:szCs w:val="24"/>
        </w:rPr>
        <w:t xml:space="preserve">. Lengthy arguments from both Metcalf and Naylor have identified the main </w:t>
      </w:r>
      <w:r w:rsidRPr="00EC0229">
        <w:rPr>
          <w:szCs w:val="24"/>
        </w:rPr>
        <w:lastRenderedPageBreak/>
        <w:t xml:space="preserve">constituent elements of the, as yet inconclusive, debate (see page </w:t>
      </w:r>
      <w:r w:rsidRPr="00EC0229">
        <w:rPr>
          <w:szCs w:val="24"/>
        </w:rPr>
        <w:fldChar w:fldCharType="begin"/>
      </w:r>
      <w:r w:rsidRPr="00EC0229">
        <w:rPr>
          <w:szCs w:val="24"/>
        </w:rPr>
        <w:instrText xml:space="preserve"> PAGEREF Naylor2006 \h </w:instrText>
      </w:r>
      <w:r w:rsidRPr="00EC0229">
        <w:rPr>
          <w:szCs w:val="24"/>
        </w:rPr>
      </w:r>
      <w:r w:rsidRPr="00EC0229">
        <w:rPr>
          <w:szCs w:val="24"/>
        </w:rPr>
        <w:fldChar w:fldCharType="separate"/>
      </w:r>
      <w:r w:rsidR="0012026B">
        <w:rPr>
          <w:noProof/>
          <w:szCs w:val="24"/>
        </w:rPr>
        <w:t>55</w:t>
      </w:r>
      <w:r w:rsidRPr="00EC0229">
        <w:rPr>
          <w:szCs w:val="24"/>
        </w:rPr>
        <w:fldChar w:fldCharType="end"/>
      </w:r>
      <w:r w:rsidRPr="00EC0229">
        <w:rPr>
          <w:szCs w:val="24"/>
        </w:rPr>
        <w:t>). Thirty-</w:t>
      </w:r>
      <w:r w:rsidR="00A33875" w:rsidRPr="00EC0229">
        <w:rPr>
          <w:szCs w:val="24"/>
        </w:rPr>
        <w:t xml:space="preserve">one </w:t>
      </w:r>
      <w:r w:rsidR="00A33875" w:rsidRPr="00EC0229">
        <w:rPr>
          <w:rFonts w:cs="Times New Roman"/>
          <w:szCs w:val="24"/>
        </w:rPr>
        <w:t xml:space="preserve">of the 231 sceats and deniers in the postulated Étaples hoard are Series J, analysed in </w:t>
      </w:r>
      <w:r w:rsidR="00A33875" w:rsidRPr="00EC0229">
        <w:rPr>
          <w:rFonts w:cs="Times New Roman"/>
          <w:i/>
          <w:szCs w:val="24"/>
        </w:rPr>
        <w:t>Table</w:t>
      </w:r>
      <w:r w:rsidR="00584C42" w:rsidRPr="00EC0229">
        <w:rPr>
          <w:rFonts w:cs="Times New Roman"/>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cs="Times New Roman"/>
          <w:i/>
          <w:szCs w:val="24"/>
        </w:rPr>
        <w:fldChar w:fldCharType="end"/>
      </w:r>
      <w:r w:rsidR="00A33875" w:rsidRPr="00EC0229">
        <w:rPr>
          <w:rFonts w:cs="Times New Roman"/>
          <w:i/>
          <w:szCs w:val="24"/>
        </w:rPr>
        <w:t xml:space="preserve"> </w:t>
      </w:r>
      <w:r w:rsidR="005853EC" w:rsidRPr="00EC0229">
        <w:rPr>
          <w:rFonts w:cs="Times New Roman"/>
          <w:i/>
          <w:szCs w:val="24"/>
        </w:rPr>
        <w:t>5</w:t>
      </w:r>
      <w:r w:rsidR="00AC1D28" w:rsidRPr="00EC0229">
        <w:rPr>
          <w:rFonts w:cs="Times New Roman"/>
          <w:i/>
          <w:szCs w:val="24"/>
        </w:rPr>
        <w:t>.</w:t>
      </w:r>
      <w:r w:rsidR="00817A09" w:rsidRPr="00EC0229">
        <w:rPr>
          <w:rFonts w:cs="Times New Roman"/>
          <w:i/>
          <w:szCs w:val="24"/>
        </w:rPr>
        <w:t>13</w:t>
      </w:r>
      <w:r w:rsidR="00A33875" w:rsidRPr="00EC0229">
        <w:rPr>
          <w:rFonts w:cs="Times New Roman"/>
          <w:szCs w:val="24"/>
        </w:rPr>
        <w:t>, which may point to a source at Quentovic but Sledmere</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Sledmere</w:instrText>
      </w:r>
      <w:r w:rsidR="006B1593" w:rsidRPr="00EC0229">
        <w:instrText xml:space="preserve">" </w:instrText>
      </w:r>
      <w:r w:rsidR="006B1593" w:rsidRPr="00EC0229">
        <w:rPr>
          <w:rFonts w:cs="Times New Roman"/>
          <w:szCs w:val="24"/>
        </w:rPr>
        <w:fldChar w:fldCharType="end"/>
      </w:r>
      <w:r w:rsidR="00A33875" w:rsidRPr="00EC0229">
        <w:rPr>
          <w:rFonts w:cs="Times New Roman"/>
          <w:szCs w:val="24"/>
        </w:rPr>
        <w:t xml:space="preserve"> has been similarly prolific.</w:t>
      </w:r>
      <w:r w:rsidR="00225A54">
        <w:rPr>
          <w:rStyle w:val="FootnoteReference"/>
          <w:rFonts w:cs="Times New Roman"/>
          <w:szCs w:val="24"/>
        </w:rPr>
        <w:footnoteReference w:id="585"/>
      </w:r>
      <w:r w:rsidR="00A33875" w:rsidRPr="00EC0229">
        <w:rPr>
          <w:rFonts w:cs="Times New Roman"/>
          <w:szCs w:val="24"/>
        </w:rPr>
        <w:t xml:space="preserve"> </w:t>
      </w:r>
      <w:r w:rsidR="00A33875" w:rsidRPr="00EC0229">
        <w:t>All that can be concluded from this comparison is that Quentovic is a likely source of the rare type 72 and its intriguing variant.</w:t>
      </w:r>
      <w:r w:rsidR="00A33875" w:rsidRPr="00EC0229">
        <w:rPr>
          <w:rStyle w:val="FootnoteReference"/>
        </w:rPr>
        <w:footnoteReference w:id="586"/>
      </w:r>
    </w:p>
    <w:p w14:paraId="73299295" w14:textId="77777777" w:rsidR="00A33875" w:rsidRPr="00EC0229" w:rsidRDefault="00A33875" w:rsidP="007600EA">
      <w:pPr>
        <w:pStyle w:val="NoSpacing"/>
        <w:spacing w:line="360" w:lineRule="auto"/>
        <w:jc w:val="center"/>
        <w:rPr>
          <w:rFonts w:cs="Times New Roman"/>
        </w:rPr>
      </w:pPr>
      <w:r w:rsidRPr="00EC0229">
        <w:rPr>
          <w:rFonts w:cs="Times New Roman"/>
          <w:noProof/>
          <w:lang w:eastAsia="en-GB"/>
        </w:rPr>
        <w:drawing>
          <wp:inline distT="0" distB="0" distL="0" distR="0" wp14:anchorId="6AFDC011" wp14:editId="23BE3D65">
            <wp:extent cx="891540" cy="891540"/>
            <wp:effectExtent l="0" t="0" r="381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8-20 J130.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891955" cy="891955"/>
                    </a:xfrm>
                    <a:prstGeom prst="rect">
                      <a:avLst/>
                    </a:prstGeom>
                  </pic:spPr>
                </pic:pic>
              </a:graphicData>
            </a:graphic>
          </wp:inline>
        </w:drawing>
      </w:r>
      <w:r w:rsidRPr="00EC0229">
        <w:rPr>
          <w:rFonts w:cs="Times New Roman"/>
          <w:noProof/>
          <w:lang w:eastAsia="en-GB"/>
        </w:rPr>
        <w:drawing>
          <wp:inline distT="0" distB="0" distL="0" distR="0" wp14:anchorId="544610D9" wp14:editId="1F0147C6">
            <wp:extent cx="906780" cy="878065"/>
            <wp:effectExtent l="0" t="0" r="762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8-20 J130R.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20181" cy="891041"/>
                    </a:xfrm>
                    <a:prstGeom prst="rect">
                      <a:avLst/>
                    </a:prstGeom>
                  </pic:spPr>
                </pic:pic>
              </a:graphicData>
            </a:graphic>
          </wp:inline>
        </w:drawing>
      </w:r>
      <w:r w:rsidRPr="00EC0229">
        <w:rPr>
          <w:rFonts w:cs="Times New Roman"/>
        </w:rPr>
        <w:tab/>
      </w:r>
      <w:r w:rsidRPr="00EC0229">
        <w:rPr>
          <w:rFonts w:cs="Times New Roman"/>
        </w:rPr>
        <w:tab/>
      </w:r>
      <w:r w:rsidRPr="00EC0229">
        <w:rPr>
          <w:rFonts w:cs="Times New Roman"/>
          <w:noProof/>
          <w:lang w:eastAsia="en-GB"/>
        </w:rPr>
        <w:drawing>
          <wp:inline distT="0" distB="0" distL="0" distR="0" wp14:anchorId="0F2B42D6" wp14:editId="09AFBF4C">
            <wp:extent cx="960120" cy="912114"/>
            <wp:effectExtent l="0" t="0" r="0" b="25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9-30 J410.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70114" cy="921609"/>
                    </a:xfrm>
                    <a:prstGeom prst="rect">
                      <a:avLst/>
                    </a:prstGeom>
                  </pic:spPr>
                </pic:pic>
              </a:graphicData>
            </a:graphic>
          </wp:inline>
        </w:drawing>
      </w:r>
      <w:r w:rsidRPr="00EC0229">
        <w:rPr>
          <w:rFonts w:cs="Times New Roman"/>
          <w:noProof/>
          <w:lang w:eastAsia="en-GB"/>
        </w:rPr>
        <w:drawing>
          <wp:inline distT="0" distB="0" distL="0" distR="0" wp14:anchorId="364A78E3" wp14:editId="620C71BB">
            <wp:extent cx="861060" cy="917029"/>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19-30 J410R.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870902" cy="927511"/>
                    </a:xfrm>
                    <a:prstGeom prst="rect">
                      <a:avLst/>
                    </a:prstGeom>
                  </pic:spPr>
                </pic:pic>
              </a:graphicData>
            </a:graphic>
          </wp:inline>
        </w:drawing>
      </w:r>
    </w:p>
    <w:p w14:paraId="405B1772" w14:textId="28BB106A" w:rsidR="00FD1E67" w:rsidRPr="00EC0229" w:rsidRDefault="007726CF" w:rsidP="007600EA">
      <w:pPr>
        <w:pStyle w:val="NoSpacing"/>
        <w:spacing w:line="360" w:lineRule="auto"/>
        <w:jc w:val="center"/>
        <w:rPr>
          <w:sz w:val="20"/>
          <w:szCs w:val="20"/>
        </w:rPr>
      </w:pPr>
      <w:bookmarkStart w:id="326" w:name="_Ref430246213"/>
      <w:bookmarkStart w:id="327" w:name="_Toc46826701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38</w:t>
      </w:r>
      <w:r w:rsidRPr="00EC0229">
        <w:rPr>
          <w:sz w:val="20"/>
          <w:szCs w:val="20"/>
        </w:rPr>
        <w:fldChar w:fldCharType="end"/>
      </w:r>
      <w:bookmarkEnd w:id="326"/>
      <w:r w:rsidR="00FD1E67" w:rsidRPr="00EC0229">
        <w:rPr>
          <w:sz w:val="20"/>
          <w:szCs w:val="20"/>
        </w:rPr>
        <w:t xml:space="preserve">: </w:t>
      </w:r>
      <w:r w:rsidR="00A33875" w:rsidRPr="00EC0229">
        <w:rPr>
          <w:sz w:val="20"/>
          <w:szCs w:val="20"/>
        </w:rPr>
        <w:t xml:space="preserve">Typical of Northumbrian finds dating to </w:t>
      </w:r>
      <w:r w:rsidR="00A33875" w:rsidRPr="00EC0229">
        <w:rPr>
          <w:i/>
          <w:sz w:val="20"/>
          <w:szCs w:val="20"/>
        </w:rPr>
        <w:t>c.</w:t>
      </w:r>
      <w:r w:rsidR="00A33875" w:rsidRPr="00EC0229">
        <w:rPr>
          <w:sz w:val="20"/>
          <w:szCs w:val="20"/>
        </w:rPr>
        <w:t xml:space="preserve">710 – </w:t>
      </w:r>
      <w:r w:rsidR="00A33875" w:rsidRPr="00EC0229">
        <w:rPr>
          <w:i/>
          <w:sz w:val="20"/>
          <w:szCs w:val="20"/>
        </w:rPr>
        <w:t>c.</w:t>
      </w:r>
      <w:r w:rsidR="005D4712" w:rsidRPr="00EC0229">
        <w:rPr>
          <w:sz w:val="20"/>
          <w:szCs w:val="20"/>
        </w:rPr>
        <w:t xml:space="preserve">725, </w:t>
      </w:r>
      <w:r w:rsidR="00A33875" w:rsidRPr="00EC0229">
        <w:rPr>
          <w:sz w:val="20"/>
          <w:szCs w:val="20"/>
        </w:rPr>
        <w:t>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A33875" w:rsidRPr="00EC0229">
        <w:rPr>
          <w:sz w:val="20"/>
          <w:szCs w:val="20"/>
        </w:rPr>
        <w:t xml:space="preserve"> J</w:t>
      </w:r>
      <w:bookmarkEnd w:id="327"/>
    </w:p>
    <w:p w14:paraId="1CE962D4" w14:textId="7FC1E073" w:rsidR="00A33875" w:rsidRPr="00EC0229" w:rsidRDefault="00A33875" w:rsidP="007600EA">
      <w:pPr>
        <w:pStyle w:val="NoSpacing"/>
        <w:spacing w:line="360" w:lineRule="auto"/>
        <w:jc w:val="center"/>
        <w:rPr>
          <w:rFonts w:cs="Times New Roman"/>
          <w:sz w:val="20"/>
          <w:szCs w:val="20"/>
        </w:rPr>
      </w:pPr>
      <w:r w:rsidRPr="00EC0229">
        <w:rPr>
          <w:rFonts w:cs="Times New Roman"/>
          <w:sz w:val="20"/>
          <w:szCs w:val="20"/>
        </w:rPr>
        <w:t>(l. Malton</w:t>
      </w:r>
      <w:r w:rsidR="006B1593" w:rsidRPr="00EC0229">
        <w:rPr>
          <w:rFonts w:cs="Times New Roman"/>
          <w:sz w:val="20"/>
          <w:szCs w:val="20"/>
        </w:rPr>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rPr>
          <w:rFonts w:cs="Times New Roman"/>
          <w:sz w:val="20"/>
          <w:szCs w:val="20"/>
        </w:rPr>
        <w:fldChar w:fldCharType="end"/>
      </w:r>
      <w:r w:rsidR="00FD1E67" w:rsidRPr="00EC0229">
        <w:rPr>
          <w:rFonts w:cs="Times New Roman"/>
          <w:sz w:val="20"/>
          <w:szCs w:val="20"/>
        </w:rPr>
        <w:t>, type 85</w:t>
      </w:r>
      <w:r w:rsidRPr="00EC0229">
        <w:rPr>
          <w:rFonts w:cs="Times New Roman"/>
          <w:sz w:val="20"/>
          <w:szCs w:val="20"/>
        </w:rPr>
        <w:t xml:space="preserve"> </w:t>
      </w:r>
      <w:r w:rsidR="00862F15" w:rsidRPr="00EC0229">
        <w:rPr>
          <w:rFonts w:cs="Times New Roman"/>
          <w:sz w:val="20"/>
          <w:szCs w:val="20"/>
        </w:rPr>
        <w:t>and</w:t>
      </w:r>
      <w:r w:rsidR="00FD1E67" w:rsidRPr="00EC0229">
        <w:rPr>
          <w:rFonts w:cs="Times New Roman"/>
          <w:sz w:val="20"/>
          <w:szCs w:val="20"/>
        </w:rPr>
        <w:t xml:space="preserve"> r. Pocklington</w:t>
      </w:r>
      <w:r w:rsidR="006B1593" w:rsidRPr="00EC0229">
        <w:rPr>
          <w:rFonts w:cs="Times New Roman"/>
          <w:sz w:val="20"/>
          <w:szCs w:val="20"/>
        </w:rPr>
        <w:fldChar w:fldCharType="begin"/>
      </w:r>
      <w:r w:rsidR="006B1593" w:rsidRPr="00EC0229">
        <w:instrText xml:space="preserve"> XE "</w:instrText>
      </w:r>
      <w:r w:rsidR="006B1593" w:rsidRPr="00EC0229">
        <w:rPr>
          <w:rStyle w:val="Hyperlink"/>
          <w:noProof/>
          <w:u w:val="none"/>
        </w:rPr>
        <w:instrText>Pocklington</w:instrText>
      </w:r>
      <w:r w:rsidR="006B1593" w:rsidRPr="00EC0229">
        <w:instrText xml:space="preserve">" </w:instrText>
      </w:r>
      <w:r w:rsidR="006B1593" w:rsidRPr="00EC0229">
        <w:rPr>
          <w:rFonts w:cs="Times New Roman"/>
          <w:sz w:val="20"/>
          <w:szCs w:val="20"/>
        </w:rPr>
        <w:fldChar w:fldCharType="end"/>
      </w:r>
      <w:r w:rsidR="00FD1E67" w:rsidRPr="00EC0229">
        <w:rPr>
          <w:rFonts w:cs="Times New Roman"/>
          <w:sz w:val="20"/>
          <w:szCs w:val="20"/>
        </w:rPr>
        <w:t>, type 37),</w:t>
      </w:r>
      <w:r w:rsidRPr="00EC0229">
        <w:rPr>
          <w:rFonts w:cs="Times New Roman"/>
          <w:sz w:val="20"/>
          <w:szCs w:val="20"/>
        </w:rPr>
        <w:t xml:space="preserve"> </w:t>
      </w:r>
      <w:r w:rsidRPr="00EC0229">
        <w:rPr>
          <w:sz w:val="20"/>
          <w:szCs w:val="20"/>
        </w:rPr>
        <w:t>(</w:t>
      </w:r>
      <w:r w:rsidRPr="00EC0229">
        <w:rPr>
          <w:i/>
          <w:sz w:val="20"/>
          <w:szCs w:val="20"/>
        </w:rPr>
        <w:t>SL</w:t>
      </w:r>
      <w:r w:rsidRPr="00EC0229">
        <w:rPr>
          <w:sz w:val="20"/>
          <w:szCs w:val="20"/>
        </w:rPr>
        <w:t>18-19)</w:t>
      </w:r>
    </w:p>
    <w:p w14:paraId="40812CDE" w14:textId="77777777" w:rsidR="00A33875" w:rsidRPr="00EC0229" w:rsidRDefault="00A33875" w:rsidP="007600EA">
      <w:pPr>
        <w:pStyle w:val="NoSpacing"/>
        <w:spacing w:line="360" w:lineRule="auto"/>
        <w:rPr>
          <w:rFonts w:cs="Times New Roman"/>
          <w:sz w:val="20"/>
          <w:szCs w:val="20"/>
        </w:rPr>
      </w:pPr>
    </w:p>
    <w:p w14:paraId="36A30FEC" w14:textId="2CD5C7C2" w:rsidR="00A33875" w:rsidRPr="00EC0229" w:rsidRDefault="00A33875" w:rsidP="007600EA">
      <w:pPr>
        <w:pStyle w:val="NoSpacing"/>
        <w:spacing w:line="360" w:lineRule="auto"/>
        <w:rPr>
          <w:i/>
          <w:szCs w:val="24"/>
        </w:rPr>
      </w:pPr>
      <w:bookmarkStart w:id="328" w:name="fledgling"/>
      <w:bookmarkEnd w:id="328"/>
      <w:r w:rsidRPr="00EC0229">
        <w:rPr>
          <w:rFonts w:cs="Times New Roman"/>
          <w:szCs w:val="24"/>
        </w:rPr>
        <w:t xml:space="preserve">Another coin which may merit consideration as a non-regal emission of the north in the secondary phase, </w:t>
      </w:r>
      <w:r w:rsidR="008D6B10" w:rsidRPr="00EC0229">
        <w:rPr>
          <w:rFonts w:cs="Times New Roman"/>
          <w:szCs w:val="24"/>
        </w:rPr>
        <w:t>now</w:t>
      </w:r>
      <w:r w:rsidRPr="00EC0229">
        <w:rPr>
          <w:rFonts w:cs="Times New Roman"/>
          <w:szCs w:val="24"/>
        </w:rPr>
        <w:t xml:space="preserve"> dubbed the ‘fledgling’ type for its reverse </w:t>
      </w:r>
      <w:r w:rsidR="00312C66" w:rsidRPr="00EC0229">
        <w:rPr>
          <w:rFonts w:cs="Times New Roman"/>
          <w:szCs w:val="24"/>
        </w:rPr>
        <w:t xml:space="preserve">gaunt </w:t>
      </w:r>
      <w:r w:rsidRPr="00EC0229">
        <w:rPr>
          <w:rFonts w:cs="Times New Roman"/>
          <w:szCs w:val="24"/>
        </w:rPr>
        <w:t>bird with triquetra-knotted, triple tai</w:t>
      </w:r>
      <w:r w:rsidR="00F72D56" w:rsidRPr="00EC0229">
        <w:rPr>
          <w:rFonts w:cs="Times New Roman"/>
          <w:szCs w:val="24"/>
        </w:rPr>
        <w:t xml:space="preserve">l </w:t>
      </w:r>
      <w:r w:rsidR="00650B56" w:rsidRPr="00EC0229">
        <w:rPr>
          <w:rFonts w:cs="Times New Roman"/>
          <w:szCs w:val="24"/>
        </w:rPr>
        <w:fldChar w:fldCharType="begin"/>
      </w:r>
      <w:r w:rsidR="00650B56" w:rsidRPr="00EC0229">
        <w:rPr>
          <w:rFonts w:cs="Times New Roman"/>
          <w:szCs w:val="24"/>
        </w:rPr>
        <w:instrText xml:space="preserve"> REF _Ref463866474 \h </w:instrText>
      </w:r>
      <w:r w:rsidR="00650B56" w:rsidRPr="00EC0229">
        <w:rPr>
          <w:rFonts w:cs="Times New Roman"/>
          <w:szCs w:val="24"/>
        </w:rPr>
      </w:r>
      <w:r w:rsidR="00650B56" w:rsidRPr="00EC0229">
        <w:rPr>
          <w:rFonts w:cs="Times New Roman"/>
          <w:szCs w:val="24"/>
        </w:rPr>
        <w:fldChar w:fldCharType="separate"/>
      </w:r>
      <w:r w:rsidR="0012026B" w:rsidRPr="00EC0229">
        <w:rPr>
          <w:i/>
          <w:sz w:val="20"/>
          <w:szCs w:val="20"/>
        </w:rPr>
        <w:t>Figure</w:t>
      </w:r>
      <w:r w:rsidR="0012026B" w:rsidRPr="00EC0229">
        <w:rPr>
          <w:sz w:val="20"/>
          <w:szCs w:val="20"/>
        </w:rPr>
        <w:t xml:space="preserve"> </w:t>
      </w:r>
      <w:r w:rsidR="0012026B">
        <w:rPr>
          <w:noProof/>
          <w:sz w:val="20"/>
          <w:szCs w:val="20"/>
        </w:rPr>
        <w:t>39</w:t>
      </w:r>
      <w:r w:rsidR="00650B56" w:rsidRPr="00EC0229">
        <w:rPr>
          <w:rFonts w:cs="Times New Roman"/>
          <w:szCs w:val="24"/>
        </w:rPr>
        <w:fldChar w:fldCharType="end"/>
      </w:r>
      <w:r w:rsidR="0012165C" w:rsidRPr="00EC0229">
        <w:rPr>
          <w:rFonts w:cs="Times New Roman"/>
          <w:szCs w:val="24"/>
        </w:rPr>
        <w:t>)</w:t>
      </w:r>
      <w:r w:rsidRPr="00EC0229">
        <w:rPr>
          <w:rFonts w:cs="Times New Roman"/>
          <w:szCs w:val="24"/>
        </w:rPr>
        <w:t>.</w:t>
      </w:r>
      <w:r w:rsidRPr="00EC0229">
        <w:rPr>
          <w:rStyle w:val="FootnoteReference"/>
          <w:rFonts w:cs="Times New Roman"/>
          <w:szCs w:val="24"/>
        </w:rPr>
        <w:t xml:space="preserve"> </w:t>
      </w:r>
      <w:r w:rsidRPr="00EC0229">
        <w:rPr>
          <w:rStyle w:val="FootnoteReference"/>
          <w:rFonts w:cs="Times New Roman"/>
          <w:sz w:val="20"/>
          <w:szCs w:val="20"/>
        </w:rPr>
        <w:footnoteReference w:id="587"/>
      </w:r>
      <w:r w:rsidRPr="00EC0229">
        <w:rPr>
          <w:rFonts w:cs="Times New Roman"/>
          <w:sz w:val="20"/>
          <w:szCs w:val="20"/>
        </w:rPr>
        <w:t xml:space="preserve"> </w:t>
      </w:r>
      <w:r w:rsidRPr="00EC0229">
        <w:rPr>
          <w:rFonts w:cs="Times New Roman"/>
          <w:szCs w:val="24"/>
        </w:rPr>
        <w:t xml:space="preserve"> The key element is the fish in the bird’s mouth, which may allude to a story in Bede</w:t>
      </w:r>
      <w:r w:rsidR="00F66CEB" w:rsidRPr="00EC0229">
        <w:rPr>
          <w:rFonts w:cs="Times New Roman"/>
          <w:szCs w:val="24"/>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rFonts w:cs="Times New Roman"/>
          <w:szCs w:val="24"/>
        </w:rPr>
        <w:fldChar w:fldCharType="end"/>
      </w:r>
      <w:r w:rsidRPr="00EC0229">
        <w:rPr>
          <w:rFonts w:cs="Times New Roman"/>
          <w:szCs w:val="24"/>
        </w:rPr>
        <w:t xml:space="preserve">’s </w:t>
      </w:r>
      <w:r w:rsidRPr="00EC0229">
        <w:rPr>
          <w:rFonts w:cs="Times New Roman"/>
          <w:i/>
          <w:szCs w:val="24"/>
        </w:rPr>
        <w:t>Life of Cuthbert</w:t>
      </w:r>
      <w:r w:rsidRPr="00EC0229">
        <w:rPr>
          <w:rFonts w:cs="Times New Roman"/>
          <w:szCs w:val="24"/>
        </w:rPr>
        <w:t>.</w:t>
      </w:r>
      <w:r w:rsidRPr="00EC0229">
        <w:rPr>
          <w:rStyle w:val="FootnoteReference"/>
          <w:rFonts w:cs="Times New Roman"/>
          <w:szCs w:val="24"/>
        </w:rPr>
        <w:footnoteReference w:id="588"/>
      </w:r>
      <w:r w:rsidRPr="00EC0229">
        <w:rPr>
          <w:rFonts w:cs="Times New Roman"/>
          <w:szCs w:val="24"/>
        </w:rPr>
        <w:t xml:space="preserve"> Northern followers of his cult may not have been literate but would certainly have understood the message. More material evidence is provided by the provenances – half the known ten specimens are northern finds.</w:t>
      </w:r>
    </w:p>
    <w:p w14:paraId="55FE15DD" w14:textId="04FAEDDC" w:rsidR="00A73BD9" w:rsidRPr="00EC0229" w:rsidRDefault="00A73BD9" w:rsidP="007600EA">
      <w:pPr>
        <w:pStyle w:val="NoSpacing"/>
        <w:spacing w:line="360" w:lineRule="auto"/>
        <w:jc w:val="center"/>
        <w:rPr>
          <w:i/>
          <w:sz w:val="20"/>
          <w:szCs w:val="20"/>
        </w:rPr>
      </w:pPr>
      <w:r w:rsidRPr="00EC0229">
        <w:rPr>
          <w:rFonts w:cs="Times New Roman"/>
          <w:noProof/>
          <w:sz w:val="18"/>
          <w:szCs w:val="18"/>
          <w:lang w:eastAsia="en-GB"/>
        </w:rPr>
        <w:drawing>
          <wp:inline distT="0" distB="0" distL="0" distR="0" wp14:anchorId="2983CDD7" wp14:editId="407C7E6F">
            <wp:extent cx="955040" cy="10001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44-10 I100.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955040" cy="1000125"/>
                    </a:xfrm>
                    <a:prstGeom prst="rect">
                      <a:avLst/>
                    </a:prstGeom>
                  </pic:spPr>
                </pic:pic>
              </a:graphicData>
            </a:graphic>
          </wp:inline>
        </w:drawing>
      </w:r>
      <w:r w:rsidR="00A33875" w:rsidRPr="00EC0229">
        <w:rPr>
          <w:rFonts w:cs="Times New Roman"/>
          <w:noProof/>
          <w:sz w:val="18"/>
          <w:szCs w:val="18"/>
          <w:lang w:eastAsia="en-GB"/>
        </w:rPr>
        <w:drawing>
          <wp:inline distT="0" distB="0" distL="0" distR="0" wp14:anchorId="2461E83F" wp14:editId="5B176C36">
            <wp:extent cx="975995" cy="1002665"/>
            <wp:effectExtent l="0" t="0" r="0" b="698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44-10 I100R.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975995" cy="1002665"/>
                    </a:xfrm>
                    <a:prstGeom prst="rect">
                      <a:avLst/>
                    </a:prstGeom>
                  </pic:spPr>
                </pic:pic>
              </a:graphicData>
            </a:graphic>
          </wp:inline>
        </w:drawing>
      </w:r>
      <w:bookmarkStart w:id="329" w:name="_Ref430246344"/>
    </w:p>
    <w:p w14:paraId="29B916C0" w14:textId="50F97AAE" w:rsidR="00A73BD9" w:rsidRPr="00EC0229" w:rsidRDefault="007726CF" w:rsidP="007600EA">
      <w:pPr>
        <w:pStyle w:val="NoSpacing"/>
        <w:spacing w:line="360" w:lineRule="auto"/>
        <w:jc w:val="center"/>
        <w:rPr>
          <w:sz w:val="20"/>
          <w:szCs w:val="20"/>
        </w:rPr>
      </w:pPr>
      <w:bookmarkStart w:id="330" w:name="_Ref463866474"/>
      <w:bookmarkStart w:id="331" w:name="_Toc46826701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39</w:t>
      </w:r>
      <w:r w:rsidRPr="00EC0229">
        <w:rPr>
          <w:sz w:val="20"/>
          <w:szCs w:val="20"/>
        </w:rPr>
        <w:fldChar w:fldCharType="end"/>
      </w:r>
      <w:bookmarkEnd w:id="329"/>
      <w:bookmarkEnd w:id="330"/>
      <w:r w:rsidR="005F4B60" w:rsidRPr="00EC0229">
        <w:rPr>
          <w:sz w:val="20"/>
          <w:szCs w:val="20"/>
        </w:rPr>
        <w:t xml:space="preserve">: </w:t>
      </w:r>
      <w:r w:rsidR="00A33875" w:rsidRPr="00EC0229">
        <w:rPr>
          <w:sz w:val="20"/>
          <w:szCs w:val="20"/>
        </w:rPr>
        <w:t>The rare ‘fledgling’ sceat with its possible allusion to Cuthbert.</w:t>
      </w:r>
      <w:r w:rsidR="0032751F" w:rsidRPr="00EC0229">
        <w:rPr>
          <w:rStyle w:val="FootnoteReference"/>
          <w:sz w:val="20"/>
          <w:szCs w:val="20"/>
        </w:rPr>
        <w:footnoteReference w:id="589"/>
      </w:r>
      <w:bookmarkEnd w:id="331"/>
      <w:r w:rsidR="00A33875" w:rsidRPr="00EC0229">
        <w:rPr>
          <w:sz w:val="20"/>
          <w:szCs w:val="20"/>
        </w:rPr>
        <w:t xml:space="preserve"> </w:t>
      </w:r>
    </w:p>
    <w:p w14:paraId="7AAE9AB8" w14:textId="115FF7FB" w:rsidR="00A33875" w:rsidRPr="00EC0229" w:rsidRDefault="00A33875" w:rsidP="007600EA">
      <w:pPr>
        <w:pStyle w:val="NoSpacing"/>
        <w:spacing w:line="360" w:lineRule="auto"/>
        <w:jc w:val="center"/>
        <w:rPr>
          <w:rFonts w:cs="Times New Roman"/>
          <w:sz w:val="20"/>
          <w:szCs w:val="20"/>
        </w:rPr>
      </w:pPr>
      <w:r w:rsidRPr="00EC0229">
        <w:rPr>
          <w:rFonts w:cs="Times New Roman"/>
          <w:sz w:val="20"/>
          <w:szCs w:val="20"/>
        </w:rPr>
        <w:t>Found by Ian Postlethwaite, June ’97 at Binnington</w:t>
      </w:r>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Binnington</w:instrText>
      </w:r>
      <w:r w:rsidR="006B1593" w:rsidRPr="00EC0229">
        <w:rPr>
          <w:sz w:val="20"/>
          <w:szCs w:val="20"/>
        </w:rPr>
        <w:instrText xml:space="preserve">" </w:instrText>
      </w:r>
      <w:r w:rsidR="006B1593" w:rsidRPr="00EC0229">
        <w:rPr>
          <w:rFonts w:cs="Times New Roman"/>
          <w:sz w:val="20"/>
          <w:szCs w:val="20"/>
        </w:rPr>
        <w:fldChar w:fldCharType="end"/>
      </w:r>
      <w:r w:rsidRPr="00EC0229">
        <w:rPr>
          <w:rFonts w:cs="Times New Roman"/>
          <w:sz w:val="20"/>
          <w:szCs w:val="20"/>
        </w:rPr>
        <w:t xml:space="preserve">.  </w:t>
      </w:r>
      <w:r w:rsidRPr="00EC0229">
        <w:rPr>
          <w:sz w:val="20"/>
          <w:szCs w:val="20"/>
        </w:rPr>
        <w:t>(</w:t>
      </w:r>
      <w:r w:rsidRPr="00EC0229">
        <w:rPr>
          <w:i/>
          <w:sz w:val="20"/>
          <w:szCs w:val="20"/>
        </w:rPr>
        <w:t>SL</w:t>
      </w:r>
      <w:r w:rsidRPr="00EC0229">
        <w:rPr>
          <w:sz w:val="20"/>
          <w:szCs w:val="20"/>
        </w:rPr>
        <w:t>44.)</w:t>
      </w:r>
    </w:p>
    <w:p w14:paraId="17726CEC" w14:textId="77777777" w:rsidR="00A33875" w:rsidRPr="00EC0229" w:rsidRDefault="00A33875" w:rsidP="007600EA">
      <w:pPr>
        <w:pStyle w:val="NoSpacing"/>
        <w:spacing w:line="360" w:lineRule="auto"/>
      </w:pPr>
    </w:p>
    <w:p w14:paraId="4488BD6F" w14:textId="4164D784" w:rsidR="00A33875" w:rsidRPr="008259E1" w:rsidRDefault="008259E1" w:rsidP="008259E1">
      <w:pPr>
        <w:pStyle w:val="Heading4"/>
        <w:rPr>
          <w:b/>
        </w:rPr>
      </w:pPr>
      <w:bookmarkStart w:id="332" w:name="Period5b"/>
      <w:bookmarkStart w:id="333" w:name="_Toc468266797"/>
      <w:bookmarkEnd w:id="332"/>
      <w:r w:rsidRPr="008259E1">
        <w:rPr>
          <w:b/>
        </w:rPr>
        <w:t>5.3.5.3</w:t>
      </w:r>
      <w:r w:rsidRPr="008259E1">
        <w:rPr>
          <w:b/>
        </w:rPr>
        <w:tab/>
      </w:r>
      <w:r w:rsidR="00A33875" w:rsidRPr="008259E1">
        <w:rPr>
          <w:b/>
        </w:rPr>
        <w:t>Period 5b.</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5b</w:instrText>
      </w:r>
      <w:r w:rsidR="00F204A1" w:rsidRPr="008259E1">
        <w:rPr>
          <w:b/>
        </w:rPr>
        <w:instrText xml:space="preserve">" </w:instrText>
      </w:r>
      <w:r w:rsidR="00F204A1" w:rsidRPr="008259E1">
        <w:rPr>
          <w:b/>
        </w:rPr>
        <w:fldChar w:fldCharType="end"/>
      </w:r>
      <w:r w:rsidR="00A33875" w:rsidRPr="008259E1">
        <w:rPr>
          <w:b/>
        </w:rPr>
        <w:t xml:space="preserve"> Imported </w:t>
      </w:r>
      <w:bookmarkStart w:id="334" w:name="secondarySouthumbria"/>
      <w:r w:rsidR="00A33875" w:rsidRPr="008259E1">
        <w:rPr>
          <w:b/>
        </w:rPr>
        <w:t xml:space="preserve">secondary Southumbrian </w:t>
      </w:r>
      <w:bookmarkEnd w:id="334"/>
      <w:r w:rsidR="00A33875" w:rsidRPr="008259E1">
        <w:rPr>
          <w:b/>
        </w:rPr>
        <w:t>sceats</w:t>
      </w:r>
      <w:r w:rsidR="00F204A1" w:rsidRPr="008259E1">
        <w:rPr>
          <w:b/>
        </w:rPr>
        <w:fldChar w:fldCharType="begin"/>
      </w:r>
      <w:r w:rsidR="00F204A1" w:rsidRPr="008259E1">
        <w:rPr>
          <w:b/>
        </w:rPr>
        <w:instrText xml:space="preserve"> XE "</w:instrText>
      </w:r>
      <w:r w:rsidR="00F204A1" w:rsidRPr="008259E1">
        <w:rPr>
          <w:rStyle w:val="Hyperlink"/>
          <w:b/>
          <w:noProof/>
          <w:u w:val="none"/>
        </w:rPr>
        <w:instrText>Imported secondary Southumbrian sceats</w:instrText>
      </w:r>
      <w:r w:rsidR="00F204A1" w:rsidRPr="008259E1">
        <w:rPr>
          <w:b/>
        </w:rPr>
        <w:instrText xml:space="preserve">" </w:instrText>
      </w:r>
      <w:r w:rsidR="00F204A1" w:rsidRPr="008259E1">
        <w:rPr>
          <w:b/>
        </w:rPr>
        <w:fldChar w:fldCharType="end"/>
      </w:r>
      <w:r w:rsidR="00A33875" w:rsidRPr="008259E1">
        <w:rPr>
          <w:b/>
        </w:rPr>
        <w:t xml:space="preserve">, </w:t>
      </w:r>
      <w:r w:rsidR="00A33875" w:rsidRPr="008259E1">
        <w:rPr>
          <w:b/>
          <w:i/>
        </w:rPr>
        <w:t>c.</w:t>
      </w:r>
      <w:r w:rsidR="00A33875" w:rsidRPr="008259E1">
        <w:rPr>
          <w:b/>
        </w:rPr>
        <w:t xml:space="preserve">710s – </w:t>
      </w:r>
      <w:r w:rsidR="00A33875" w:rsidRPr="008259E1">
        <w:rPr>
          <w:b/>
          <w:i/>
        </w:rPr>
        <w:t>c.</w:t>
      </w:r>
      <w:r w:rsidR="00A33875" w:rsidRPr="008259E1">
        <w:rPr>
          <w:b/>
        </w:rPr>
        <w:t>750s</w:t>
      </w:r>
      <w:bookmarkEnd w:id="333"/>
    </w:p>
    <w:p w14:paraId="4CD82CE1" w14:textId="1AC9DD97" w:rsidR="00A33875" w:rsidRPr="00EC0229" w:rsidRDefault="00A33875" w:rsidP="007600EA">
      <w:pPr>
        <w:pStyle w:val="NoSpacing"/>
        <w:spacing w:line="360" w:lineRule="auto"/>
        <w:rPr>
          <w:rFonts w:cs="Times New Roman"/>
        </w:rPr>
      </w:pPr>
      <w:r w:rsidRPr="00EC0229">
        <w:rPr>
          <w:rFonts w:cs="Times New Roman"/>
        </w:rPr>
        <w:t>The extent of inland regional trading links is suggested by the presence and mix of distinctive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 xml:space="preserve"> types in numbers</w:t>
      </w:r>
      <w:r w:rsidR="005F4B60" w:rsidRPr="00EC0229">
        <w:rPr>
          <w:rFonts w:cs="Times New Roman"/>
        </w:rPr>
        <w:t xml:space="preserve"> </w:t>
      </w:r>
      <w:r w:rsidR="005F4B60"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_Ref430246360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40</w:t>
      </w:r>
      <w:r w:rsidR="008C418A" w:rsidRPr="00EC0229">
        <w:rPr>
          <w:rFonts w:cs="Times New Roman"/>
          <w:szCs w:val="24"/>
        </w:rPr>
        <w:fldChar w:fldCharType="end"/>
      </w:r>
      <w:r w:rsidR="005F4B60" w:rsidRPr="00EC0229">
        <w:rPr>
          <w:rFonts w:cs="Times New Roman"/>
        </w:rPr>
        <w:t>)</w:t>
      </w:r>
      <w:r w:rsidRPr="00EC0229">
        <w:rPr>
          <w:rFonts w:cs="Times New Roman"/>
        </w:rPr>
        <w:t>.</w:t>
      </w:r>
    </w:p>
    <w:p w14:paraId="1C3EA09D" w14:textId="77777777" w:rsidR="00A33875" w:rsidRPr="00EC0229" w:rsidRDefault="00A33875" w:rsidP="007600EA">
      <w:pPr>
        <w:pStyle w:val="NoSpacing"/>
        <w:spacing w:line="360" w:lineRule="auto"/>
        <w:jc w:val="center"/>
        <w:rPr>
          <w:rFonts w:cs="Times New Roman"/>
        </w:rPr>
      </w:pPr>
      <w:r w:rsidRPr="00EC0229">
        <w:rPr>
          <w:rFonts w:cs="Times New Roman"/>
          <w:noProof/>
          <w:lang w:eastAsia="en-GB"/>
        </w:rPr>
        <w:lastRenderedPageBreak/>
        <w:drawing>
          <wp:inline distT="0" distB="0" distL="0" distR="0" wp14:anchorId="406CD1EC" wp14:editId="29BE2C71">
            <wp:extent cx="888784" cy="890267"/>
            <wp:effectExtent l="0" t="0" r="6985"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45-20 U110.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909775" cy="911293"/>
                    </a:xfrm>
                    <a:prstGeom prst="rect">
                      <a:avLst/>
                    </a:prstGeom>
                  </pic:spPr>
                </pic:pic>
              </a:graphicData>
            </a:graphic>
          </wp:inline>
        </w:drawing>
      </w:r>
      <w:r w:rsidRPr="00EC0229">
        <w:rPr>
          <w:rFonts w:cs="Times New Roman"/>
          <w:noProof/>
          <w:lang w:eastAsia="en-GB"/>
        </w:rPr>
        <w:drawing>
          <wp:inline distT="0" distB="0" distL="0" distR="0" wp14:anchorId="7FBBBF7E" wp14:editId="60AE39CF">
            <wp:extent cx="886629" cy="876285"/>
            <wp:effectExtent l="0" t="0" r="889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45-20 U110R.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900979" cy="890468"/>
                    </a:xfrm>
                    <a:prstGeom prst="rect">
                      <a:avLst/>
                    </a:prstGeom>
                  </pic:spPr>
                </pic:pic>
              </a:graphicData>
            </a:graphic>
          </wp:inline>
        </w:drawing>
      </w:r>
      <w:r w:rsidRPr="00EC0229">
        <w:rPr>
          <w:rFonts w:cs="Times New Roman"/>
        </w:rPr>
        <w:tab/>
      </w:r>
      <w:r w:rsidRPr="00EC0229">
        <w:rPr>
          <w:rFonts w:cs="Times New Roman"/>
        </w:rPr>
        <w:tab/>
      </w:r>
      <w:r w:rsidRPr="00EC0229">
        <w:rPr>
          <w:rFonts w:cs="Times New Roman"/>
          <w:noProof/>
          <w:lang w:eastAsia="en-GB"/>
        </w:rPr>
        <w:drawing>
          <wp:inline distT="0" distB="0" distL="0" distR="0" wp14:anchorId="16ECAFEA" wp14:editId="11256533">
            <wp:extent cx="860753" cy="8578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58-20 O120.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872587" cy="869679"/>
                    </a:xfrm>
                    <a:prstGeom prst="rect">
                      <a:avLst/>
                    </a:prstGeom>
                  </pic:spPr>
                </pic:pic>
              </a:graphicData>
            </a:graphic>
          </wp:inline>
        </w:drawing>
      </w:r>
      <w:r w:rsidRPr="00EC0229">
        <w:rPr>
          <w:rFonts w:cs="Times New Roman"/>
          <w:noProof/>
          <w:lang w:eastAsia="en-GB"/>
        </w:rPr>
        <w:drawing>
          <wp:inline distT="0" distB="0" distL="0" distR="0" wp14:anchorId="62A80A0D" wp14:editId="63967B39">
            <wp:extent cx="853416" cy="847725"/>
            <wp:effectExtent l="0" t="0" r="444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58-20 O120R.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863686" cy="857927"/>
                    </a:xfrm>
                    <a:prstGeom prst="rect">
                      <a:avLst/>
                    </a:prstGeom>
                  </pic:spPr>
                </pic:pic>
              </a:graphicData>
            </a:graphic>
          </wp:inline>
        </w:drawing>
      </w:r>
    </w:p>
    <w:p w14:paraId="6A406C66" w14:textId="4D9F133E" w:rsidR="007726CF" w:rsidRPr="00EC0229" w:rsidRDefault="007726CF" w:rsidP="007600EA">
      <w:pPr>
        <w:pStyle w:val="NoSpacing"/>
        <w:spacing w:line="360" w:lineRule="auto"/>
        <w:jc w:val="center"/>
        <w:rPr>
          <w:sz w:val="20"/>
          <w:szCs w:val="20"/>
        </w:rPr>
      </w:pPr>
      <w:bookmarkStart w:id="335" w:name="_Ref430246360"/>
      <w:bookmarkStart w:id="336" w:name="_Toc46826701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40</w:t>
      </w:r>
      <w:r w:rsidRPr="00EC0229">
        <w:rPr>
          <w:sz w:val="20"/>
          <w:szCs w:val="20"/>
        </w:rPr>
        <w:fldChar w:fldCharType="end"/>
      </w:r>
      <w:bookmarkEnd w:id="335"/>
      <w:r w:rsidR="005F4B60" w:rsidRPr="00EC0229">
        <w:rPr>
          <w:sz w:val="20"/>
          <w:szCs w:val="20"/>
        </w:rPr>
        <w:t>: L</w:t>
      </w:r>
      <w:r w:rsidR="00A33875" w:rsidRPr="00EC0229">
        <w:rPr>
          <w:sz w:val="20"/>
          <w:szCs w:val="20"/>
        </w:rPr>
        <w:t>: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A33875" w:rsidRPr="00EC0229">
        <w:rPr>
          <w:sz w:val="20"/>
          <w:szCs w:val="20"/>
        </w:rPr>
        <w:t xml:space="preserve"> U, Thames Valley, </w:t>
      </w:r>
      <w:r w:rsidR="00067FAA" w:rsidRPr="00EC0229">
        <w:rPr>
          <w:i/>
          <w:sz w:val="20"/>
          <w:szCs w:val="20"/>
        </w:rPr>
        <w:t>c.</w:t>
      </w:r>
      <w:r w:rsidR="00A33875" w:rsidRPr="00EC0229">
        <w:rPr>
          <w:sz w:val="20"/>
          <w:szCs w:val="20"/>
        </w:rPr>
        <w:t xml:space="preserve">710 – </w:t>
      </w:r>
      <w:r w:rsidR="00A33875" w:rsidRPr="00EC0229">
        <w:rPr>
          <w:i/>
          <w:sz w:val="20"/>
          <w:szCs w:val="20"/>
        </w:rPr>
        <w:t>c.</w:t>
      </w:r>
      <w:r w:rsidRPr="00EC0229">
        <w:rPr>
          <w:sz w:val="20"/>
          <w:szCs w:val="20"/>
        </w:rPr>
        <w:t>735. R: Series O,</w:t>
      </w:r>
      <w:r w:rsidRPr="00EC0229">
        <w:rPr>
          <w:i/>
          <w:sz w:val="20"/>
          <w:szCs w:val="20"/>
        </w:rPr>
        <w:t xml:space="preserve"> c.</w:t>
      </w:r>
      <w:r w:rsidRPr="00EC0229">
        <w:rPr>
          <w:sz w:val="20"/>
          <w:szCs w:val="20"/>
        </w:rPr>
        <w:t xml:space="preserve">720 – </w:t>
      </w:r>
      <w:r w:rsidRPr="00EC0229">
        <w:rPr>
          <w:i/>
          <w:sz w:val="20"/>
          <w:szCs w:val="20"/>
        </w:rPr>
        <w:t>c.</w:t>
      </w:r>
      <w:r w:rsidRPr="00EC0229">
        <w:rPr>
          <w:sz w:val="20"/>
          <w:szCs w:val="20"/>
        </w:rPr>
        <w:t>735</w:t>
      </w:r>
      <w:bookmarkEnd w:id="336"/>
    </w:p>
    <w:p w14:paraId="40ECA79F" w14:textId="6B3A3B1F" w:rsidR="007726CF" w:rsidRPr="00EC0229" w:rsidRDefault="007726CF" w:rsidP="007600EA">
      <w:pPr>
        <w:pStyle w:val="NoSpacing"/>
        <w:spacing w:line="360" w:lineRule="auto"/>
        <w:jc w:val="center"/>
        <w:rPr>
          <w:sz w:val="20"/>
          <w:szCs w:val="20"/>
        </w:rPr>
      </w:pPr>
      <w:r w:rsidRPr="00EC0229">
        <w:rPr>
          <w:sz w:val="20"/>
          <w:szCs w:val="20"/>
        </w:rPr>
        <w:t xml:space="preserve">L: </w:t>
      </w:r>
      <w:r w:rsidR="00A33875" w:rsidRPr="00EC0229">
        <w:rPr>
          <w:sz w:val="20"/>
          <w:szCs w:val="20"/>
        </w:rPr>
        <w:t>found Kilham</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Kilham</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 others at Whitby</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Whitby</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Wetwang</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Wetwang</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w:t>
      </w:r>
      <w:r w:rsidR="00862F15" w:rsidRPr="00EC0229">
        <w:rPr>
          <w:sz w:val="20"/>
          <w:szCs w:val="20"/>
        </w:rPr>
        <w:t>and</w:t>
      </w:r>
      <w:r w:rsidR="00A33875" w:rsidRPr="00EC0229">
        <w:rPr>
          <w:sz w:val="20"/>
          <w:szCs w:val="20"/>
        </w:rPr>
        <w:t xml:space="preserve"> n</w:t>
      </w:r>
      <w:r w:rsidR="00067FAA" w:rsidRPr="00EC0229">
        <w:rPr>
          <w:sz w:val="20"/>
          <w:szCs w:val="20"/>
        </w:rPr>
        <w:t>ear</w:t>
      </w:r>
      <w:r w:rsidR="00A33875" w:rsidRPr="00EC0229">
        <w:rPr>
          <w:sz w:val="20"/>
          <w:szCs w:val="20"/>
        </w:rPr>
        <w:t xml:space="preserve"> Driffield</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Driffield</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w:t>
      </w:r>
      <w:r w:rsidR="00A33875" w:rsidRPr="00EC0229">
        <w:rPr>
          <w:i/>
          <w:sz w:val="20"/>
          <w:szCs w:val="20"/>
        </w:rPr>
        <w:t>SL</w:t>
      </w:r>
      <w:r w:rsidR="00A33875" w:rsidRPr="00EC0229">
        <w:rPr>
          <w:sz w:val="20"/>
          <w:szCs w:val="20"/>
        </w:rPr>
        <w:t>45</w:t>
      </w:r>
      <w:r w:rsidRPr="00EC0229">
        <w:rPr>
          <w:sz w:val="20"/>
          <w:szCs w:val="20"/>
        </w:rPr>
        <w:t>.</w:t>
      </w:r>
      <w:r w:rsidR="00A33875" w:rsidRPr="00EC0229">
        <w:rPr>
          <w:sz w:val="20"/>
          <w:szCs w:val="20"/>
        </w:rPr>
        <w:t xml:space="preserve"> </w:t>
      </w:r>
    </w:p>
    <w:p w14:paraId="29A45797" w14:textId="18C810BB" w:rsidR="00A33875" w:rsidRPr="00EC0229" w:rsidRDefault="005F4B60" w:rsidP="007600EA">
      <w:pPr>
        <w:pStyle w:val="NoSpacing"/>
        <w:spacing w:line="360" w:lineRule="auto"/>
        <w:jc w:val="center"/>
        <w:rPr>
          <w:sz w:val="20"/>
          <w:szCs w:val="20"/>
        </w:rPr>
      </w:pPr>
      <w:r w:rsidRPr="00EC0229">
        <w:rPr>
          <w:sz w:val="20"/>
          <w:szCs w:val="20"/>
        </w:rPr>
        <w:t xml:space="preserve">R: </w:t>
      </w:r>
      <w:r w:rsidR="00A33875" w:rsidRPr="00EC0229">
        <w:rPr>
          <w:sz w:val="20"/>
          <w:szCs w:val="20"/>
        </w:rPr>
        <w:t>found Upper Poppleton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Upper Poppleton</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 others at Boynton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Boynton</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Sledmere</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Sledmere</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w:t>
      </w:r>
      <w:r w:rsidR="00862F15" w:rsidRPr="00EC0229">
        <w:rPr>
          <w:sz w:val="20"/>
          <w:szCs w:val="20"/>
        </w:rPr>
        <w:t>and</w:t>
      </w:r>
      <w:r w:rsidR="00A33875" w:rsidRPr="00EC0229">
        <w:rPr>
          <w:sz w:val="20"/>
          <w:szCs w:val="20"/>
        </w:rPr>
        <w:t xml:space="preserve"> Wetwang, </w:t>
      </w:r>
      <w:r w:rsidR="00A33875" w:rsidRPr="00EC0229">
        <w:rPr>
          <w:i/>
          <w:sz w:val="20"/>
          <w:szCs w:val="20"/>
        </w:rPr>
        <w:t>SL</w:t>
      </w:r>
      <w:r w:rsidR="00A33875" w:rsidRPr="00EC0229">
        <w:rPr>
          <w:sz w:val="20"/>
          <w:szCs w:val="20"/>
        </w:rPr>
        <w:t>58.</w:t>
      </w:r>
    </w:p>
    <w:p w14:paraId="20C10A4F" w14:textId="77777777" w:rsidR="00A33875" w:rsidRPr="00EC0229" w:rsidRDefault="00A33875" w:rsidP="007600EA">
      <w:pPr>
        <w:pStyle w:val="NoSpacing"/>
        <w:spacing w:line="360" w:lineRule="auto"/>
        <w:rPr>
          <w:rFonts w:cs="Times New Roman"/>
          <w:sz w:val="18"/>
          <w:szCs w:val="18"/>
        </w:rPr>
      </w:pPr>
    </w:p>
    <w:p w14:paraId="28B532FF" w14:textId="4A01C0A6" w:rsidR="00A33875" w:rsidRPr="00EC0229" w:rsidRDefault="00A33875" w:rsidP="007600EA">
      <w:pPr>
        <w:pStyle w:val="NoSpacing"/>
        <w:spacing w:line="360" w:lineRule="auto"/>
        <w:rPr>
          <w:rFonts w:cs="Times New Roman"/>
          <w:szCs w:val="24"/>
        </w:rPr>
      </w:pPr>
      <w:r w:rsidRPr="00EC0229">
        <w:rPr>
          <w:rFonts w:cs="Times New Roman"/>
          <w:szCs w:val="24"/>
        </w:rPr>
        <w:t xml:space="preserve">As a corollary, the presence of solitary specimens of some scarce, so-called eclectic, varieties </w:t>
      </w:r>
      <w:proofErr w:type="gramStart"/>
      <w:r w:rsidRPr="00EC0229">
        <w:rPr>
          <w:rFonts w:cs="Times New Roman"/>
          <w:szCs w:val="24"/>
        </w:rPr>
        <w:t>indicates</w:t>
      </w:r>
      <w:proofErr w:type="gramEnd"/>
      <w:r w:rsidRPr="00EC0229">
        <w:rPr>
          <w:rFonts w:cs="Times New Roman"/>
          <w:szCs w:val="24"/>
        </w:rPr>
        <w:t xml:space="preserve"> the breadth of trading relations</w:t>
      </w:r>
      <w:r w:rsidR="005F4B60" w:rsidRPr="00EC0229">
        <w:rPr>
          <w:rFonts w:cs="Times New Roman"/>
          <w:szCs w:val="24"/>
        </w:rPr>
        <w:t xml:space="preserve"> (</w:t>
      </w:r>
      <w:r w:rsidR="008C418A" w:rsidRPr="00EC0229">
        <w:rPr>
          <w:rFonts w:cs="Times New Roman"/>
          <w:i/>
          <w:szCs w:val="24"/>
        </w:rPr>
        <w:fldChar w:fldCharType="begin"/>
      </w:r>
      <w:r w:rsidR="008C418A" w:rsidRPr="00EC0229">
        <w:rPr>
          <w:rFonts w:cs="Times New Roman"/>
          <w:i/>
          <w:szCs w:val="24"/>
        </w:rPr>
        <w:instrText xml:space="preserve"> REF _Ref430246375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41</w:t>
      </w:r>
      <w:r w:rsidR="008C418A" w:rsidRPr="00EC0229">
        <w:rPr>
          <w:rFonts w:cs="Times New Roman"/>
          <w:szCs w:val="24"/>
        </w:rPr>
        <w:fldChar w:fldCharType="end"/>
      </w:r>
      <w:r w:rsidR="005F4B60" w:rsidRPr="00EC0229">
        <w:rPr>
          <w:rFonts w:cs="Times New Roman"/>
        </w:rPr>
        <w:t>)</w:t>
      </w:r>
      <w:r w:rsidRPr="00EC0229">
        <w:rPr>
          <w:rFonts w:cs="Times New Roman"/>
          <w:szCs w:val="24"/>
        </w:rPr>
        <w:t>.</w:t>
      </w:r>
    </w:p>
    <w:p w14:paraId="4A722040" w14:textId="77777777" w:rsidR="00A33875" w:rsidRPr="00EC0229" w:rsidRDefault="00A33875" w:rsidP="007600EA">
      <w:pPr>
        <w:pStyle w:val="NoSpacing"/>
        <w:spacing w:line="360" w:lineRule="auto"/>
        <w:jc w:val="center"/>
        <w:rPr>
          <w:rFonts w:cs="Times New Roman"/>
          <w:szCs w:val="24"/>
        </w:rPr>
      </w:pPr>
      <w:r w:rsidRPr="00EC0229">
        <w:rPr>
          <w:rFonts w:cs="Times New Roman"/>
          <w:noProof/>
          <w:szCs w:val="24"/>
          <w:lang w:eastAsia="en-GB"/>
        </w:rPr>
        <w:drawing>
          <wp:inline distT="0" distB="0" distL="0" distR="0" wp14:anchorId="1F022621" wp14:editId="307D9376">
            <wp:extent cx="754920" cy="744855"/>
            <wp:effectExtent l="0" t="0" r="762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32-30 Ro2b.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763022" cy="752849"/>
                    </a:xfrm>
                    <a:prstGeom prst="rect">
                      <a:avLst/>
                    </a:prstGeom>
                  </pic:spPr>
                </pic:pic>
              </a:graphicData>
            </a:graphic>
          </wp:inline>
        </w:drawing>
      </w:r>
      <w:r w:rsidRPr="00EC0229">
        <w:rPr>
          <w:rFonts w:cs="Times New Roman"/>
          <w:noProof/>
          <w:szCs w:val="24"/>
          <w:lang w:eastAsia="en-GB"/>
        </w:rPr>
        <w:drawing>
          <wp:inline distT="0" distB="0" distL="0" distR="0" wp14:anchorId="5C8ED6AE" wp14:editId="6ECEAF9E">
            <wp:extent cx="735152" cy="732701"/>
            <wp:effectExtent l="0" t="0" r="825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32-30 Ro2bR.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747532" cy="745040"/>
                    </a:xfrm>
                    <a:prstGeom prst="rect">
                      <a:avLst/>
                    </a:prstGeom>
                  </pic:spPr>
                </pic:pic>
              </a:graphicData>
            </a:graphic>
          </wp:inline>
        </w:drawing>
      </w:r>
      <w:r w:rsidRPr="00EC0229">
        <w:rPr>
          <w:rFonts w:cs="Times New Roman"/>
          <w:szCs w:val="24"/>
        </w:rPr>
        <w:t xml:space="preserve"> </w:t>
      </w:r>
      <w:r w:rsidRPr="00EC0229">
        <w:rPr>
          <w:rFonts w:cs="Times New Roman"/>
          <w:szCs w:val="24"/>
        </w:rPr>
        <w:tab/>
        <w:t xml:space="preserve">  </w:t>
      </w:r>
      <w:r w:rsidRPr="00EC0229">
        <w:rPr>
          <w:rFonts w:cs="Times New Roman"/>
          <w:noProof/>
          <w:szCs w:val="24"/>
          <w:lang w:eastAsia="en-GB"/>
        </w:rPr>
        <w:drawing>
          <wp:inline distT="0" distB="0" distL="0" distR="0" wp14:anchorId="0A343B82" wp14:editId="10DBAE7D">
            <wp:extent cx="714983" cy="718559"/>
            <wp:effectExtent l="0" t="0" r="9525"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05-100 P915.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39762" cy="743462"/>
                    </a:xfrm>
                    <a:prstGeom prst="rect">
                      <a:avLst/>
                    </a:prstGeom>
                  </pic:spPr>
                </pic:pic>
              </a:graphicData>
            </a:graphic>
          </wp:inline>
        </w:drawing>
      </w:r>
      <w:r w:rsidRPr="00EC0229">
        <w:rPr>
          <w:rFonts w:cs="Times New Roman"/>
          <w:noProof/>
          <w:szCs w:val="24"/>
          <w:lang w:eastAsia="en-GB"/>
        </w:rPr>
        <w:drawing>
          <wp:inline distT="0" distB="0" distL="0" distR="0" wp14:anchorId="56C1B718" wp14:editId="6099EAB5">
            <wp:extent cx="754392" cy="755650"/>
            <wp:effectExtent l="0" t="0" r="762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05-100 P915R.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65504" cy="766781"/>
                    </a:xfrm>
                    <a:prstGeom prst="rect">
                      <a:avLst/>
                    </a:prstGeom>
                  </pic:spPr>
                </pic:pic>
              </a:graphicData>
            </a:graphic>
          </wp:inline>
        </w:drawing>
      </w:r>
      <w:r w:rsidRPr="00EC0229">
        <w:rPr>
          <w:rFonts w:cs="Times New Roman"/>
          <w:szCs w:val="24"/>
        </w:rPr>
        <w:t xml:space="preserve">  </w:t>
      </w:r>
      <w:r w:rsidRPr="00EC0229">
        <w:rPr>
          <w:rFonts w:cs="Times New Roman"/>
          <w:szCs w:val="24"/>
        </w:rPr>
        <w:tab/>
        <w:t xml:space="preserve"> </w:t>
      </w:r>
      <w:r w:rsidRPr="00EC0229">
        <w:rPr>
          <w:rFonts w:cs="Times New Roman"/>
          <w:noProof/>
          <w:szCs w:val="24"/>
          <w:lang w:eastAsia="en-GB"/>
        </w:rPr>
        <w:drawing>
          <wp:inline distT="0" distB="0" distL="0" distR="0" wp14:anchorId="0BCE1D8A" wp14:editId="7D4FED4D">
            <wp:extent cx="740562" cy="767715"/>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12-50 AM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746127" cy="773484"/>
                    </a:xfrm>
                    <a:prstGeom prst="rect">
                      <a:avLst/>
                    </a:prstGeom>
                  </pic:spPr>
                </pic:pic>
              </a:graphicData>
            </a:graphic>
          </wp:inline>
        </w:drawing>
      </w:r>
      <w:r w:rsidRPr="00EC0229">
        <w:rPr>
          <w:rFonts w:cs="Times New Roman"/>
          <w:noProof/>
          <w:szCs w:val="24"/>
          <w:lang w:eastAsia="en-GB"/>
        </w:rPr>
        <w:drawing>
          <wp:inline distT="0" distB="0" distL="0" distR="0" wp14:anchorId="7E4FAFAF" wp14:editId="5213D192">
            <wp:extent cx="815340" cy="758266"/>
            <wp:effectExtent l="0" t="0" r="3810"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12-50 AM5R.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823271" cy="765642"/>
                    </a:xfrm>
                    <a:prstGeom prst="rect">
                      <a:avLst/>
                    </a:prstGeom>
                  </pic:spPr>
                </pic:pic>
              </a:graphicData>
            </a:graphic>
          </wp:inline>
        </w:drawing>
      </w:r>
    </w:p>
    <w:p w14:paraId="088C840A" w14:textId="00DC330F" w:rsidR="007726CF" w:rsidRPr="00EC0229" w:rsidRDefault="007726CF" w:rsidP="007600EA">
      <w:pPr>
        <w:pStyle w:val="NoSpacing"/>
        <w:spacing w:line="360" w:lineRule="auto"/>
        <w:jc w:val="center"/>
        <w:rPr>
          <w:sz w:val="20"/>
          <w:szCs w:val="20"/>
        </w:rPr>
      </w:pPr>
      <w:bookmarkStart w:id="337" w:name="_Ref430246375"/>
      <w:bookmarkStart w:id="338" w:name="_Toc46826701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41</w:t>
      </w:r>
      <w:r w:rsidRPr="00EC0229">
        <w:rPr>
          <w:sz w:val="20"/>
          <w:szCs w:val="20"/>
        </w:rPr>
        <w:fldChar w:fldCharType="end"/>
      </w:r>
      <w:bookmarkEnd w:id="337"/>
      <w:r w:rsidR="005F4B60" w:rsidRPr="00EC0229">
        <w:rPr>
          <w:sz w:val="20"/>
          <w:szCs w:val="20"/>
        </w:rPr>
        <w:t xml:space="preserve">: </w:t>
      </w:r>
      <w:r w:rsidRPr="00EC0229">
        <w:rPr>
          <w:sz w:val="20"/>
          <w:szCs w:val="20"/>
        </w:rPr>
        <w:t>Exotic species</w:t>
      </w:r>
      <w:bookmarkEnd w:id="338"/>
    </w:p>
    <w:p w14:paraId="174C1942" w14:textId="59142354" w:rsidR="00A33875" w:rsidRPr="00EC0229" w:rsidRDefault="007726CF" w:rsidP="007600EA">
      <w:pPr>
        <w:pStyle w:val="NoSpacing"/>
        <w:spacing w:line="360" w:lineRule="auto"/>
        <w:jc w:val="center"/>
        <w:rPr>
          <w:sz w:val="20"/>
          <w:szCs w:val="20"/>
        </w:rPr>
      </w:pPr>
      <w:r w:rsidRPr="00EC0229">
        <w:rPr>
          <w:sz w:val="20"/>
          <w:szCs w:val="20"/>
        </w:rPr>
        <w:t>L-R</w:t>
      </w:r>
      <w:r w:rsidR="00A33875" w:rsidRPr="00EC0229">
        <w:rPr>
          <w:sz w:val="20"/>
          <w:szCs w:val="20"/>
        </w:rPr>
        <w:t>: rosette type (found Sledmere</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Sledmere</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rare variety of the ‘Wodan’/monster type (Boynton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Boynton</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and the ‘animal mask’ type (Wetwang</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Wetwang</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w:t>
      </w:r>
      <w:r w:rsidR="00A33875" w:rsidRPr="00EC0229">
        <w:rPr>
          <w:i/>
          <w:sz w:val="20"/>
          <w:szCs w:val="20"/>
        </w:rPr>
        <w:t>SL</w:t>
      </w:r>
      <w:r w:rsidR="00A33875" w:rsidRPr="00EC0229">
        <w:rPr>
          <w:sz w:val="20"/>
          <w:szCs w:val="20"/>
        </w:rPr>
        <w:t>32, 105 &amp; 112 respectively)</w:t>
      </w:r>
    </w:p>
    <w:p w14:paraId="5D71C2EE" w14:textId="77777777" w:rsidR="00A33875" w:rsidRPr="00EC0229" w:rsidRDefault="00A33875" w:rsidP="007600EA">
      <w:pPr>
        <w:pStyle w:val="NoSpacing"/>
        <w:spacing w:line="360" w:lineRule="auto"/>
      </w:pPr>
    </w:p>
    <w:p w14:paraId="70500903" w14:textId="6553F2B1" w:rsidR="00A33875" w:rsidRPr="008259E1" w:rsidRDefault="008259E1" w:rsidP="008259E1">
      <w:pPr>
        <w:pStyle w:val="Heading4"/>
        <w:rPr>
          <w:rFonts w:cs="Times New Roman"/>
          <w:b/>
          <w:sz w:val="20"/>
          <w:szCs w:val="20"/>
        </w:rPr>
      </w:pPr>
      <w:bookmarkStart w:id="339" w:name="Period5c"/>
      <w:bookmarkStart w:id="340" w:name="_Toc468266798"/>
      <w:bookmarkEnd w:id="339"/>
      <w:r w:rsidRPr="008259E1">
        <w:rPr>
          <w:b/>
        </w:rPr>
        <w:t>5.3.5.4</w:t>
      </w:r>
      <w:r w:rsidRPr="008259E1">
        <w:rPr>
          <w:b/>
        </w:rPr>
        <w:tab/>
      </w:r>
      <w:r w:rsidR="00A33875" w:rsidRPr="008259E1">
        <w:rPr>
          <w:b/>
        </w:rPr>
        <w:t>Period 5c</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5c</w:instrText>
      </w:r>
      <w:r w:rsidR="00F204A1" w:rsidRPr="008259E1">
        <w:rPr>
          <w:b/>
        </w:rPr>
        <w:instrText xml:space="preserve">" </w:instrText>
      </w:r>
      <w:r w:rsidR="00F204A1" w:rsidRPr="008259E1">
        <w:rPr>
          <w:b/>
        </w:rPr>
        <w:fldChar w:fldCharType="end"/>
      </w:r>
      <w:r w:rsidR="00A33875" w:rsidRPr="008259E1">
        <w:rPr>
          <w:b/>
        </w:rPr>
        <w:t xml:space="preserve">. </w:t>
      </w:r>
      <w:bookmarkStart w:id="341" w:name="Importedsecondary"/>
      <w:r w:rsidR="00A33875" w:rsidRPr="008259E1">
        <w:rPr>
          <w:b/>
        </w:rPr>
        <w:t xml:space="preserve">Imported secondary </w:t>
      </w:r>
      <w:bookmarkEnd w:id="341"/>
      <w:r w:rsidR="00A33875" w:rsidRPr="008259E1">
        <w:rPr>
          <w:b/>
        </w:rPr>
        <w:t>Continental sceats</w:t>
      </w:r>
      <w:r w:rsidR="00F204A1" w:rsidRPr="008259E1">
        <w:rPr>
          <w:b/>
        </w:rPr>
        <w:fldChar w:fldCharType="begin"/>
      </w:r>
      <w:r w:rsidR="00F204A1" w:rsidRPr="008259E1">
        <w:rPr>
          <w:b/>
        </w:rPr>
        <w:instrText xml:space="preserve"> XE "</w:instrText>
      </w:r>
      <w:r w:rsidR="00F204A1" w:rsidRPr="008259E1">
        <w:rPr>
          <w:rStyle w:val="Hyperlink"/>
          <w:b/>
          <w:noProof/>
          <w:u w:val="none"/>
        </w:rPr>
        <w:instrText>Imported secondary Continental sceats</w:instrText>
      </w:r>
      <w:r w:rsidR="00F204A1" w:rsidRPr="008259E1">
        <w:rPr>
          <w:b/>
        </w:rPr>
        <w:instrText xml:space="preserve">" </w:instrText>
      </w:r>
      <w:r w:rsidR="00F204A1" w:rsidRPr="008259E1">
        <w:rPr>
          <w:b/>
        </w:rPr>
        <w:fldChar w:fldCharType="end"/>
      </w:r>
      <w:r w:rsidR="00A33875" w:rsidRPr="008259E1">
        <w:rPr>
          <w:b/>
        </w:rPr>
        <w:t xml:space="preserve">, </w:t>
      </w:r>
      <w:r w:rsidR="00A33875" w:rsidRPr="008259E1">
        <w:rPr>
          <w:b/>
          <w:i/>
        </w:rPr>
        <w:t>c.</w:t>
      </w:r>
      <w:r w:rsidR="00A33875" w:rsidRPr="008259E1">
        <w:rPr>
          <w:b/>
        </w:rPr>
        <w:t xml:space="preserve">710s – </w:t>
      </w:r>
      <w:r w:rsidR="00A33875" w:rsidRPr="008259E1">
        <w:rPr>
          <w:b/>
          <w:i/>
        </w:rPr>
        <w:t>c.</w:t>
      </w:r>
      <w:r w:rsidR="00A33875" w:rsidRPr="008259E1">
        <w:rPr>
          <w:b/>
        </w:rPr>
        <w:t>750s</w:t>
      </w:r>
      <w:bookmarkEnd w:id="340"/>
    </w:p>
    <w:p w14:paraId="4976AF27" w14:textId="3B2188CC" w:rsidR="00A33875" w:rsidRPr="00EC0229" w:rsidRDefault="00A33875" w:rsidP="007600EA">
      <w:pPr>
        <w:pStyle w:val="NoSpacing"/>
        <w:spacing w:line="360" w:lineRule="auto"/>
        <w:rPr>
          <w:rFonts w:cs="Times New Roman"/>
        </w:rPr>
      </w:pPr>
      <w:r w:rsidRPr="00EC0229">
        <w:rPr>
          <w:rFonts w:cs="Times New Roman"/>
        </w:rPr>
        <w:t>The enormous variation in style of the later Series</w:t>
      </w:r>
      <w:r w:rsidR="00D142DC" w:rsidRPr="00EC0229">
        <w:rPr>
          <w:rFonts w:cs="Times New Roman"/>
        </w:rPr>
        <w:fldChar w:fldCharType="begin"/>
      </w:r>
      <w:r w:rsidR="00D142DC" w:rsidRPr="00EC0229">
        <w:instrText xml:space="preserve"> XE "Series" </w:instrText>
      </w:r>
      <w:r w:rsidR="00D142DC" w:rsidRPr="00EC0229">
        <w:rPr>
          <w:rFonts w:cs="Times New Roman"/>
        </w:rPr>
        <w:fldChar w:fldCharType="end"/>
      </w:r>
      <w:r w:rsidRPr="00EC0229">
        <w:rPr>
          <w:rFonts w:cs="Times New Roman"/>
        </w:rPr>
        <w:t xml:space="preserve"> E</w:t>
      </w:r>
      <w:r w:rsidR="008344F3" w:rsidRPr="00EC0229">
        <w:rPr>
          <w:rFonts w:cs="Times New Roman"/>
        </w:rPr>
        <w:fldChar w:fldCharType="begin"/>
      </w:r>
      <w:r w:rsidR="008344F3" w:rsidRPr="00EC0229">
        <w:instrText xml:space="preserve"> XE "Series E" </w:instrText>
      </w:r>
      <w:r w:rsidR="008344F3" w:rsidRPr="00EC0229">
        <w:rPr>
          <w:rFonts w:cs="Times New Roman"/>
        </w:rPr>
        <w:fldChar w:fldCharType="end"/>
      </w:r>
      <w:r w:rsidR="005F4B60" w:rsidRPr="00EC0229">
        <w:rPr>
          <w:rFonts w:cs="Times New Roman"/>
        </w:rPr>
        <w:t xml:space="preserve"> </w:t>
      </w:r>
      <w:r w:rsidR="005F4B60"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_Ref430246395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42</w:t>
      </w:r>
      <w:r w:rsidR="008C418A" w:rsidRPr="00EC0229">
        <w:rPr>
          <w:rFonts w:cs="Times New Roman"/>
          <w:szCs w:val="24"/>
        </w:rPr>
        <w:fldChar w:fldCharType="end"/>
      </w:r>
      <w:r w:rsidR="008C418A" w:rsidRPr="00EC0229">
        <w:rPr>
          <w:rFonts w:cs="Times New Roman"/>
        </w:rPr>
        <w:t xml:space="preserve">, </w:t>
      </w:r>
      <w:r w:rsidR="008C418A" w:rsidRPr="00EC0229">
        <w:rPr>
          <w:rFonts w:cs="Times New Roman"/>
          <w:i/>
          <w:szCs w:val="24"/>
        </w:rPr>
        <w:fldChar w:fldCharType="begin"/>
      </w:r>
      <w:r w:rsidR="008C418A" w:rsidRPr="00EC0229">
        <w:rPr>
          <w:rFonts w:cs="Times New Roman"/>
          <w:i/>
          <w:szCs w:val="24"/>
        </w:rPr>
        <w:instrText xml:space="preserve"> REF _Ref430246401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EC0229">
        <w:rPr>
          <w:sz w:val="20"/>
          <w:szCs w:val="20"/>
        </w:rPr>
        <w:t xml:space="preserve"> </w:t>
      </w:r>
      <w:r w:rsidR="0012026B" w:rsidRPr="0012026B">
        <w:rPr>
          <w:noProof/>
          <w:szCs w:val="24"/>
        </w:rPr>
        <w:t>43</w:t>
      </w:r>
      <w:r w:rsidR="008C418A" w:rsidRPr="00EC0229">
        <w:rPr>
          <w:rFonts w:cs="Times New Roman"/>
        </w:rPr>
        <w:fldChar w:fldCharType="end"/>
      </w:r>
      <w:r w:rsidR="005F4B60" w:rsidRPr="00EC0229">
        <w:rPr>
          <w:rFonts w:cs="Times New Roman"/>
        </w:rPr>
        <w:t>),</w:t>
      </w:r>
      <w:r w:rsidRPr="00EC0229">
        <w:rPr>
          <w:rFonts w:cs="Times New Roman"/>
        </w:rPr>
        <w:t xml:space="preserve"> ‘the vast trackless wastes of the later porcupines’</w:t>
      </w:r>
      <w:r w:rsidR="005F4B60" w:rsidRPr="00EC0229">
        <w:rPr>
          <w:rFonts w:cs="Times New Roman"/>
        </w:rPr>
        <w:t>,</w:t>
      </w:r>
      <w:r w:rsidR="005F4B60" w:rsidRPr="00EC0229">
        <w:rPr>
          <w:rStyle w:val="FootnoteReference"/>
          <w:rFonts w:cs="Times New Roman"/>
        </w:rPr>
        <w:footnoteReference w:id="590"/>
      </w:r>
      <w:r w:rsidR="005F4B60" w:rsidRPr="00EC0229">
        <w:rPr>
          <w:rFonts w:cs="Times New Roman"/>
        </w:rPr>
        <w:t xml:space="preserve"> </w:t>
      </w:r>
      <w:r w:rsidRPr="00EC0229">
        <w:rPr>
          <w:rFonts w:cs="Times New Roman"/>
        </w:rPr>
        <w:t>may indicate that minting became widely dispersed with a consequent reduction in economies of scale, such as high die output.</w:t>
      </w:r>
    </w:p>
    <w:p w14:paraId="692A36C5" w14:textId="77777777" w:rsidR="00A33875" w:rsidRPr="00EC0229" w:rsidRDefault="00A33875" w:rsidP="007600EA">
      <w:pPr>
        <w:pStyle w:val="NoSpacing"/>
        <w:spacing w:line="360" w:lineRule="auto"/>
        <w:rPr>
          <w:rFonts w:cs="Times New Roman"/>
        </w:rPr>
      </w:pPr>
      <w:r w:rsidRPr="00EC0229">
        <w:rPr>
          <w:rFonts w:cs="Times New Roman"/>
          <w:noProof/>
          <w:lang w:eastAsia="en-GB"/>
        </w:rPr>
        <w:drawing>
          <wp:inline distT="0" distB="0" distL="0" distR="0" wp14:anchorId="5D5BB7C3" wp14:editId="22A598FF">
            <wp:extent cx="802359" cy="811799"/>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4-10 E117.JPG"/>
                    <pic:cNvPicPr/>
                  </pic:nvPicPr>
                  <pic:blipFill>
                    <a:blip r:embed="rId167">
                      <a:extLst>
                        <a:ext uri="{28A0092B-C50C-407E-A947-70E740481C1C}">
                          <a14:useLocalDpi xmlns:a14="http://schemas.microsoft.com/office/drawing/2010/main" val="0"/>
                        </a:ext>
                      </a:extLst>
                    </a:blip>
                    <a:stretch>
                      <a:fillRect/>
                    </a:stretch>
                  </pic:blipFill>
                  <pic:spPr>
                    <a:xfrm>
                      <a:off x="0" y="0"/>
                      <a:ext cx="815538" cy="825133"/>
                    </a:xfrm>
                    <a:prstGeom prst="rect">
                      <a:avLst/>
                    </a:prstGeom>
                  </pic:spPr>
                </pic:pic>
              </a:graphicData>
            </a:graphic>
          </wp:inline>
        </w:drawing>
      </w:r>
      <w:r w:rsidRPr="00EC0229">
        <w:rPr>
          <w:rFonts w:cs="Times New Roman"/>
          <w:noProof/>
          <w:lang w:eastAsia="en-GB"/>
        </w:rPr>
        <w:drawing>
          <wp:inline distT="0" distB="0" distL="0" distR="0" wp14:anchorId="45EB2A5B" wp14:editId="69C4B5FB">
            <wp:extent cx="834461" cy="80010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4-10 E117R.JPG"/>
                    <pic:cNvPicPr/>
                  </pic:nvPicPr>
                  <pic:blipFill>
                    <a:blip r:embed="rId168">
                      <a:extLst>
                        <a:ext uri="{28A0092B-C50C-407E-A947-70E740481C1C}">
                          <a14:useLocalDpi xmlns:a14="http://schemas.microsoft.com/office/drawing/2010/main" val="0"/>
                        </a:ext>
                      </a:extLst>
                    </a:blip>
                    <a:stretch>
                      <a:fillRect/>
                    </a:stretch>
                  </pic:blipFill>
                  <pic:spPr>
                    <a:xfrm>
                      <a:off x="0" y="0"/>
                      <a:ext cx="845183" cy="810380"/>
                    </a:xfrm>
                    <a:prstGeom prst="rect">
                      <a:avLst/>
                    </a:prstGeom>
                  </pic:spPr>
                </pic:pic>
              </a:graphicData>
            </a:graphic>
          </wp:inline>
        </w:drawing>
      </w:r>
      <w:r w:rsidRPr="00EC0229">
        <w:rPr>
          <w:rFonts w:cs="Times New Roman"/>
        </w:rPr>
        <w:tab/>
        <w:t xml:space="preserve">      </w:t>
      </w:r>
      <w:r w:rsidRPr="00EC0229">
        <w:rPr>
          <w:rFonts w:cs="Times New Roman"/>
          <w:noProof/>
          <w:lang w:eastAsia="en-GB"/>
        </w:rPr>
        <w:drawing>
          <wp:inline distT="0" distB="0" distL="0" distR="0" wp14:anchorId="3A863E9E" wp14:editId="4B1D0478">
            <wp:extent cx="786309" cy="78168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5-10 E155.JPG"/>
                    <pic:cNvPicPr/>
                  </pic:nvPicPr>
                  <pic:blipFill>
                    <a:blip r:embed="rId169">
                      <a:extLst>
                        <a:ext uri="{28A0092B-C50C-407E-A947-70E740481C1C}">
                          <a14:useLocalDpi xmlns:a14="http://schemas.microsoft.com/office/drawing/2010/main" val="0"/>
                        </a:ext>
                      </a:extLst>
                    </a:blip>
                    <a:stretch>
                      <a:fillRect/>
                    </a:stretch>
                  </pic:blipFill>
                  <pic:spPr>
                    <a:xfrm>
                      <a:off x="0" y="0"/>
                      <a:ext cx="801012" cy="796302"/>
                    </a:xfrm>
                    <a:prstGeom prst="rect">
                      <a:avLst/>
                    </a:prstGeom>
                  </pic:spPr>
                </pic:pic>
              </a:graphicData>
            </a:graphic>
          </wp:inline>
        </w:drawing>
      </w:r>
      <w:r w:rsidRPr="00EC0229">
        <w:rPr>
          <w:rFonts w:cs="Times New Roman"/>
          <w:noProof/>
          <w:lang w:eastAsia="en-GB"/>
        </w:rPr>
        <w:drawing>
          <wp:inline distT="0" distB="0" distL="0" distR="0" wp14:anchorId="33415DF7" wp14:editId="6DBE958F">
            <wp:extent cx="752504" cy="779063"/>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5-10 E155R.JPG"/>
                    <pic:cNvPicPr/>
                  </pic:nvPicPr>
                  <pic:blipFill>
                    <a:blip r:embed="rId170">
                      <a:extLst>
                        <a:ext uri="{28A0092B-C50C-407E-A947-70E740481C1C}">
                          <a14:useLocalDpi xmlns:a14="http://schemas.microsoft.com/office/drawing/2010/main" val="0"/>
                        </a:ext>
                      </a:extLst>
                    </a:blip>
                    <a:stretch>
                      <a:fillRect/>
                    </a:stretch>
                  </pic:blipFill>
                  <pic:spPr>
                    <a:xfrm>
                      <a:off x="0" y="0"/>
                      <a:ext cx="764813" cy="791806"/>
                    </a:xfrm>
                    <a:prstGeom prst="rect">
                      <a:avLst/>
                    </a:prstGeom>
                  </pic:spPr>
                </pic:pic>
              </a:graphicData>
            </a:graphic>
          </wp:inline>
        </w:drawing>
      </w:r>
      <w:r w:rsidRPr="00EC0229">
        <w:rPr>
          <w:rFonts w:cs="Times New Roman"/>
        </w:rPr>
        <w:tab/>
      </w:r>
      <w:r w:rsidRPr="00EC0229">
        <w:rPr>
          <w:rFonts w:cs="Times New Roman"/>
        </w:rPr>
        <w:tab/>
      </w:r>
      <w:r w:rsidRPr="00EC0229">
        <w:rPr>
          <w:rFonts w:cs="Times New Roman"/>
          <w:noProof/>
          <w:lang w:eastAsia="en-GB"/>
        </w:rPr>
        <w:drawing>
          <wp:inline distT="0" distB="0" distL="0" distR="0" wp14:anchorId="437C7E11" wp14:editId="19FD3A67">
            <wp:extent cx="853440" cy="825305"/>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6-10 E134R.jpg"/>
                    <pic:cNvPicPr/>
                  </pic:nvPicPr>
                  <pic:blipFill>
                    <a:blip r:embed="rId171">
                      <a:extLst>
                        <a:ext uri="{28A0092B-C50C-407E-A947-70E740481C1C}">
                          <a14:useLocalDpi xmlns:a14="http://schemas.microsoft.com/office/drawing/2010/main" val="0"/>
                        </a:ext>
                      </a:extLst>
                    </a:blip>
                    <a:stretch>
                      <a:fillRect/>
                    </a:stretch>
                  </pic:blipFill>
                  <pic:spPr>
                    <a:xfrm>
                      <a:off x="0" y="0"/>
                      <a:ext cx="857652" cy="829378"/>
                    </a:xfrm>
                    <a:prstGeom prst="rect">
                      <a:avLst/>
                    </a:prstGeom>
                  </pic:spPr>
                </pic:pic>
              </a:graphicData>
            </a:graphic>
          </wp:inline>
        </w:drawing>
      </w:r>
      <w:r w:rsidRPr="00EC0229">
        <w:rPr>
          <w:rFonts w:cs="Times New Roman"/>
          <w:noProof/>
          <w:lang w:eastAsia="en-GB"/>
        </w:rPr>
        <w:drawing>
          <wp:inline distT="0" distB="0" distL="0" distR="0" wp14:anchorId="22B64E4C" wp14:editId="46E67B06">
            <wp:extent cx="742257" cy="796569"/>
            <wp:effectExtent l="0" t="0" r="127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6-10 E134.jpg"/>
                    <pic:cNvPicPr/>
                  </pic:nvPicPr>
                  <pic:blipFill>
                    <a:blip r:embed="rId172">
                      <a:extLst>
                        <a:ext uri="{28A0092B-C50C-407E-A947-70E740481C1C}">
                          <a14:useLocalDpi xmlns:a14="http://schemas.microsoft.com/office/drawing/2010/main" val="0"/>
                        </a:ext>
                      </a:extLst>
                    </a:blip>
                    <a:stretch>
                      <a:fillRect/>
                    </a:stretch>
                  </pic:blipFill>
                  <pic:spPr>
                    <a:xfrm>
                      <a:off x="0" y="0"/>
                      <a:ext cx="746708" cy="801346"/>
                    </a:xfrm>
                    <a:prstGeom prst="rect">
                      <a:avLst/>
                    </a:prstGeom>
                  </pic:spPr>
                </pic:pic>
              </a:graphicData>
            </a:graphic>
          </wp:inline>
        </w:drawing>
      </w:r>
    </w:p>
    <w:p w14:paraId="138407F9" w14:textId="71F75B64" w:rsidR="00A33875" w:rsidRPr="00EC0229" w:rsidRDefault="00F13F40" w:rsidP="007600EA">
      <w:pPr>
        <w:pStyle w:val="NoSpacing"/>
        <w:spacing w:line="360" w:lineRule="auto"/>
        <w:jc w:val="center"/>
        <w:rPr>
          <w:rFonts w:cs="Times New Roman"/>
          <w:sz w:val="20"/>
          <w:szCs w:val="20"/>
        </w:rPr>
      </w:pPr>
      <w:bookmarkStart w:id="342" w:name="_Ref430246395"/>
      <w:bookmarkStart w:id="343" w:name="_Toc46826701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42</w:t>
      </w:r>
      <w:r w:rsidRPr="00EC0229">
        <w:rPr>
          <w:sz w:val="20"/>
          <w:szCs w:val="20"/>
        </w:rPr>
        <w:fldChar w:fldCharType="end"/>
      </w:r>
      <w:bookmarkEnd w:id="342"/>
      <w:r w:rsidR="005F4B60" w:rsidRPr="00EC0229">
        <w:rPr>
          <w:rFonts w:cs="Times New Roman"/>
          <w:sz w:val="20"/>
          <w:szCs w:val="20"/>
        </w:rPr>
        <w:t xml:space="preserve">: </w:t>
      </w:r>
      <w:r w:rsidR="00A33875" w:rsidRPr="00EC0229">
        <w:rPr>
          <w:rFonts w:cs="Times New Roman"/>
          <w:sz w:val="20"/>
          <w:szCs w:val="20"/>
        </w:rPr>
        <w:t>Secondary Series</w:t>
      </w:r>
      <w:r w:rsidR="00D142DC" w:rsidRPr="00EC0229">
        <w:rPr>
          <w:rFonts w:cs="Times New Roman"/>
          <w:sz w:val="20"/>
          <w:szCs w:val="20"/>
        </w:rPr>
        <w:fldChar w:fldCharType="begin"/>
      </w:r>
      <w:r w:rsidR="00D142DC" w:rsidRPr="00EC0229">
        <w:rPr>
          <w:sz w:val="20"/>
          <w:szCs w:val="20"/>
        </w:rPr>
        <w:instrText xml:space="preserve"> XE "Series" </w:instrText>
      </w:r>
      <w:r w:rsidR="00D142DC" w:rsidRPr="00EC0229">
        <w:rPr>
          <w:rFonts w:cs="Times New Roman"/>
          <w:sz w:val="20"/>
          <w:szCs w:val="20"/>
        </w:rPr>
        <w:fldChar w:fldCharType="end"/>
      </w:r>
      <w:r w:rsidR="00A33875" w:rsidRPr="00EC0229">
        <w:rPr>
          <w:rFonts w:cs="Times New Roman"/>
          <w:sz w:val="20"/>
          <w:szCs w:val="20"/>
        </w:rPr>
        <w:t xml:space="preserve"> E</w:t>
      </w:r>
      <w:r w:rsidR="008344F3" w:rsidRPr="00EC0229">
        <w:rPr>
          <w:rFonts w:cs="Times New Roman"/>
          <w:sz w:val="20"/>
          <w:szCs w:val="20"/>
        </w:rPr>
        <w:fldChar w:fldCharType="begin"/>
      </w:r>
      <w:r w:rsidR="008344F3" w:rsidRPr="00EC0229">
        <w:rPr>
          <w:sz w:val="20"/>
          <w:szCs w:val="20"/>
        </w:rPr>
        <w:instrText xml:space="preserve"> XE "Series E" </w:instrText>
      </w:r>
      <w:r w:rsidR="008344F3" w:rsidRPr="00EC0229">
        <w:rPr>
          <w:rFonts w:cs="Times New Roman"/>
          <w:sz w:val="20"/>
          <w:szCs w:val="20"/>
        </w:rPr>
        <w:fldChar w:fldCharType="end"/>
      </w:r>
      <w:r w:rsidR="00A33875" w:rsidRPr="00EC0229">
        <w:rPr>
          <w:rFonts w:cs="Times New Roman"/>
          <w:sz w:val="20"/>
          <w:szCs w:val="20"/>
        </w:rPr>
        <w:t xml:space="preserve"> (</w:t>
      </w:r>
      <w:r w:rsidR="00A33875" w:rsidRPr="00EC0229">
        <w:rPr>
          <w:rFonts w:cs="Times New Roman"/>
          <w:i/>
          <w:sz w:val="20"/>
          <w:szCs w:val="20"/>
        </w:rPr>
        <w:t>SL</w:t>
      </w:r>
      <w:r w:rsidR="00A33875" w:rsidRPr="00EC0229">
        <w:rPr>
          <w:rFonts w:cs="Times New Roman"/>
          <w:sz w:val="20"/>
          <w:szCs w:val="20"/>
        </w:rPr>
        <w:t>95-7) finds from Driffield</w:t>
      </w:r>
      <w:bookmarkEnd w:id="343"/>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Driffield</w:instrText>
      </w:r>
      <w:r w:rsidR="006B1593" w:rsidRPr="00EC0229">
        <w:rPr>
          <w:sz w:val="20"/>
          <w:szCs w:val="20"/>
        </w:rPr>
        <w:instrText xml:space="preserve">" </w:instrText>
      </w:r>
      <w:r w:rsidR="006B1593" w:rsidRPr="00EC0229">
        <w:rPr>
          <w:rFonts w:cs="Times New Roman"/>
          <w:sz w:val="20"/>
          <w:szCs w:val="20"/>
        </w:rPr>
        <w:fldChar w:fldCharType="end"/>
      </w:r>
    </w:p>
    <w:p w14:paraId="4B329E38" w14:textId="77777777" w:rsidR="00A33875" w:rsidRPr="00EC0229" w:rsidRDefault="00A33875" w:rsidP="007600EA">
      <w:pPr>
        <w:pStyle w:val="NoSpacing"/>
        <w:spacing w:line="360" w:lineRule="auto"/>
        <w:rPr>
          <w:rFonts w:cs="Times New Roman"/>
          <w:sz w:val="20"/>
          <w:szCs w:val="20"/>
        </w:rPr>
      </w:pPr>
      <w:r w:rsidRPr="00EC0229">
        <w:rPr>
          <w:rFonts w:cs="Times New Roman"/>
          <w:sz w:val="20"/>
          <w:szCs w:val="20"/>
        </w:rPr>
        <w:t xml:space="preserve"> </w:t>
      </w:r>
      <w:r w:rsidRPr="00EC0229">
        <w:rPr>
          <w:rFonts w:cs="Times New Roman"/>
          <w:noProof/>
          <w:sz w:val="20"/>
          <w:szCs w:val="20"/>
          <w:lang w:eastAsia="en-GB"/>
        </w:rPr>
        <w:drawing>
          <wp:inline distT="0" distB="0" distL="0" distR="0" wp14:anchorId="130A5E9D" wp14:editId="0FDC60D0">
            <wp:extent cx="861060" cy="82560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5-10 E151.JPG"/>
                    <pic:cNvPicPr/>
                  </pic:nvPicPr>
                  <pic:blipFill>
                    <a:blip r:embed="rId173">
                      <a:extLst>
                        <a:ext uri="{28A0092B-C50C-407E-A947-70E740481C1C}">
                          <a14:useLocalDpi xmlns:a14="http://schemas.microsoft.com/office/drawing/2010/main" val="0"/>
                        </a:ext>
                      </a:extLst>
                    </a:blip>
                    <a:stretch>
                      <a:fillRect/>
                    </a:stretch>
                  </pic:blipFill>
                  <pic:spPr>
                    <a:xfrm>
                      <a:off x="0" y="0"/>
                      <a:ext cx="866326" cy="830654"/>
                    </a:xfrm>
                    <a:prstGeom prst="rect">
                      <a:avLst/>
                    </a:prstGeom>
                  </pic:spPr>
                </pic:pic>
              </a:graphicData>
            </a:graphic>
          </wp:inline>
        </w:drawing>
      </w:r>
      <w:r w:rsidRPr="00EC0229">
        <w:rPr>
          <w:rFonts w:cs="Times New Roman"/>
          <w:noProof/>
          <w:sz w:val="20"/>
          <w:szCs w:val="20"/>
          <w:lang w:eastAsia="en-GB"/>
        </w:rPr>
        <w:drawing>
          <wp:inline distT="0" distB="0" distL="0" distR="0" wp14:anchorId="147AD2BF" wp14:editId="46F3B24B">
            <wp:extent cx="817880" cy="817880"/>
            <wp:effectExtent l="0" t="0" r="127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5-10 E151R.JPG"/>
                    <pic:cNvPicPr/>
                  </pic:nvPicPr>
                  <pic:blipFill>
                    <a:blip r:embed="rId174">
                      <a:extLst>
                        <a:ext uri="{28A0092B-C50C-407E-A947-70E740481C1C}">
                          <a14:useLocalDpi xmlns:a14="http://schemas.microsoft.com/office/drawing/2010/main" val="0"/>
                        </a:ext>
                      </a:extLst>
                    </a:blip>
                    <a:stretch>
                      <a:fillRect/>
                    </a:stretch>
                  </pic:blipFill>
                  <pic:spPr>
                    <a:xfrm flipH="1">
                      <a:off x="0" y="0"/>
                      <a:ext cx="817880" cy="817880"/>
                    </a:xfrm>
                    <a:prstGeom prst="rect">
                      <a:avLst/>
                    </a:prstGeom>
                  </pic:spPr>
                </pic:pic>
              </a:graphicData>
            </a:graphic>
          </wp:inline>
        </w:drawing>
      </w:r>
      <w:r w:rsidRPr="00EC0229">
        <w:rPr>
          <w:rFonts w:cs="Times New Roman"/>
          <w:sz w:val="20"/>
          <w:szCs w:val="20"/>
        </w:rPr>
        <w:t xml:space="preserve">         </w:t>
      </w:r>
      <w:r w:rsidRPr="00EC0229">
        <w:rPr>
          <w:rFonts w:cs="Times New Roman"/>
          <w:noProof/>
          <w:sz w:val="20"/>
          <w:szCs w:val="20"/>
          <w:lang w:eastAsia="en-GB"/>
        </w:rPr>
        <w:drawing>
          <wp:inline distT="0" distB="0" distL="0" distR="0" wp14:anchorId="0E0BB6F9" wp14:editId="72772C1F">
            <wp:extent cx="802640" cy="8026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96-10 E136.JPG"/>
                    <pic:cNvPicPr/>
                  </pic:nvPicPr>
                  <pic:blipFill>
                    <a:blip r:embed="rId175">
                      <a:extLst>
                        <a:ext uri="{28A0092B-C50C-407E-A947-70E740481C1C}">
                          <a14:useLocalDpi xmlns:a14="http://schemas.microsoft.com/office/drawing/2010/main" val="0"/>
                        </a:ext>
                      </a:extLst>
                    </a:blip>
                    <a:stretch>
                      <a:fillRect/>
                    </a:stretch>
                  </pic:blipFill>
                  <pic:spPr>
                    <a:xfrm>
                      <a:off x="0" y="0"/>
                      <a:ext cx="802640" cy="802640"/>
                    </a:xfrm>
                    <a:prstGeom prst="rect">
                      <a:avLst/>
                    </a:prstGeom>
                  </pic:spPr>
                </pic:pic>
              </a:graphicData>
            </a:graphic>
          </wp:inline>
        </w:drawing>
      </w:r>
      <w:r w:rsidRPr="00EC0229">
        <w:rPr>
          <w:rFonts w:cs="Times New Roman"/>
          <w:noProof/>
          <w:sz w:val="20"/>
          <w:szCs w:val="20"/>
          <w:lang w:eastAsia="en-GB"/>
        </w:rPr>
        <w:drawing>
          <wp:inline distT="0" distB="0" distL="0" distR="0" wp14:anchorId="60E48DE8" wp14:editId="3B24E5CF">
            <wp:extent cx="792031" cy="764077"/>
            <wp:effectExtent l="0" t="0" r="825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96-10 E136R.JPG"/>
                    <pic:cNvPicPr/>
                  </pic:nvPicPr>
                  <pic:blipFill>
                    <a:blip r:embed="rId176">
                      <a:extLst>
                        <a:ext uri="{28A0092B-C50C-407E-A947-70E740481C1C}">
                          <a14:useLocalDpi xmlns:a14="http://schemas.microsoft.com/office/drawing/2010/main" val="0"/>
                        </a:ext>
                      </a:extLst>
                    </a:blip>
                    <a:stretch>
                      <a:fillRect/>
                    </a:stretch>
                  </pic:blipFill>
                  <pic:spPr>
                    <a:xfrm>
                      <a:off x="0" y="0"/>
                      <a:ext cx="799303" cy="771092"/>
                    </a:xfrm>
                    <a:prstGeom prst="rect">
                      <a:avLst/>
                    </a:prstGeom>
                  </pic:spPr>
                </pic:pic>
              </a:graphicData>
            </a:graphic>
          </wp:inline>
        </w:drawing>
      </w:r>
      <w:r w:rsidRPr="00EC0229">
        <w:rPr>
          <w:rFonts w:cs="Times New Roman"/>
          <w:sz w:val="20"/>
          <w:szCs w:val="20"/>
        </w:rPr>
        <w:t xml:space="preserve">         </w:t>
      </w:r>
      <w:r w:rsidRPr="00EC0229">
        <w:rPr>
          <w:rFonts w:cs="Times New Roman"/>
          <w:noProof/>
          <w:sz w:val="20"/>
          <w:szCs w:val="20"/>
          <w:lang w:eastAsia="en-GB"/>
        </w:rPr>
        <w:drawing>
          <wp:inline distT="0" distB="0" distL="0" distR="0" wp14:anchorId="1190F897" wp14:editId="019D69CA">
            <wp:extent cx="822857" cy="779294"/>
            <wp:effectExtent l="0" t="0" r="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99-15 E205.JPG"/>
                    <pic:cNvPicPr/>
                  </pic:nvPicPr>
                  <pic:blipFill>
                    <a:blip r:embed="rId177">
                      <a:extLst>
                        <a:ext uri="{28A0092B-C50C-407E-A947-70E740481C1C}">
                          <a14:useLocalDpi xmlns:a14="http://schemas.microsoft.com/office/drawing/2010/main" val="0"/>
                        </a:ext>
                      </a:extLst>
                    </a:blip>
                    <a:stretch>
                      <a:fillRect/>
                    </a:stretch>
                  </pic:blipFill>
                  <pic:spPr>
                    <a:xfrm>
                      <a:off x="0" y="0"/>
                      <a:ext cx="829482" cy="785569"/>
                    </a:xfrm>
                    <a:prstGeom prst="rect">
                      <a:avLst/>
                    </a:prstGeom>
                  </pic:spPr>
                </pic:pic>
              </a:graphicData>
            </a:graphic>
          </wp:inline>
        </w:drawing>
      </w:r>
      <w:r w:rsidRPr="00EC0229">
        <w:rPr>
          <w:rFonts w:cs="Times New Roman"/>
          <w:noProof/>
          <w:sz w:val="20"/>
          <w:szCs w:val="20"/>
          <w:lang w:eastAsia="en-GB"/>
        </w:rPr>
        <w:drawing>
          <wp:inline distT="0" distB="0" distL="0" distR="0" wp14:anchorId="0EF00EF3" wp14:editId="2A7A4C55">
            <wp:extent cx="742846" cy="751585"/>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99-15 E205R.JPG"/>
                    <pic:cNvPicPr/>
                  </pic:nvPicPr>
                  <pic:blipFill>
                    <a:blip r:embed="rId178">
                      <a:extLst>
                        <a:ext uri="{28A0092B-C50C-407E-A947-70E740481C1C}">
                          <a14:useLocalDpi xmlns:a14="http://schemas.microsoft.com/office/drawing/2010/main" val="0"/>
                        </a:ext>
                      </a:extLst>
                    </a:blip>
                    <a:stretch>
                      <a:fillRect/>
                    </a:stretch>
                  </pic:blipFill>
                  <pic:spPr>
                    <a:xfrm>
                      <a:off x="0" y="0"/>
                      <a:ext cx="753982" cy="762852"/>
                    </a:xfrm>
                    <a:prstGeom prst="rect">
                      <a:avLst/>
                    </a:prstGeom>
                  </pic:spPr>
                </pic:pic>
              </a:graphicData>
            </a:graphic>
          </wp:inline>
        </w:drawing>
      </w:r>
    </w:p>
    <w:p w14:paraId="7013F331" w14:textId="66021B7C" w:rsidR="00E80E91" w:rsidRPr="00EC0229" w:rsidRDefault="00F13F40" w:rsidP="007600EA">
      <w:pPr>
        <w:pStyle w:val="NoSpacing"/>
        <w:spacing w:line="360" w:lineRule="auto"/>
        <w:jc w:val="center"/>
        <w:rPr>
          <w:sz w:val="20"/>
          <w:szCs w:val="20"/>
        </w:rPr>
      </w:pPr>
      <w:bookmarkStart w:id="344" w:name="_Ref430246401"/>
      <w:bookmarkStart w:id="345" w:name="_Toc46826701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43</w:t>
      </w:r>
      <w:r w:rsidRPr="00EC0229">
        <w:rPr>
          <w:sz w:val="20"/>
          <w:szCs w:val="20"/>
        </w:rPr>
        <w:fldChar w:fldCharType="end"/>
      </w:r>
      <w:bookmarkEnd w:id="344"/>
      <w:r w:rsidR="005F4B60" w:rsidRPr="00EC0229">
        <w:rPr>
          <w:sz w:val="20"/>
          <w:szCs w:val="20"/>
        </w:rPr>
        <w:t xml:space="preserve">: </w:t>
      </w:r>
      <w:r w:rsidR="00A33875" w:rsidRPr="00EC0229">
        <w:rPr>
          <w:sz w:val="20"/>
          <w:szCs w:val="20"/>
        </w:rPr>
        <w:t>Secondary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A33875" w:rsidRPr="00EC0229">
        <w:rPr>
          <w:sz w:val="20"/>
          <w:szCs w:val="20"/>
        </w:rPr>
        <w:t xml:space="preserve"> E</w:t>
      </w:r>
      <w:r w:rsidR="008344F3" w:rsidRPr="00EC0229">
        <w:rPr>
          <w:sz w:val="20"/>
          <w:szCs w:val="20"/>
        </w:rPr>
        <w:fldChar w:fldCharType="begin"/>
      </w:r>
      <w:r w:rsidR="008344F3" w:rsidRPr="00EC0229">
        <w:rPr>
          <w:sz w:val="20"/>
          <w:szCs w:val="20"/>
        </w:rPr>
        <w:instrText xml:space="preserve"> XE "Series E" </w:instrText>
      </w:r>
      <w:r w:rsidR="008344F3" w:rsidRPr="00EC0229">
        <w:rPr>
          <w:sz w:val="20"/>
          <w:szCs w:val="20"/>
        </w:rPr>
        <w:fldChar w:fldCharType="end"/>
      </w:r>
      <w:r w:rsidR="00A33875" w:rsidRPr="00EC0229">
        <w:rPr>
          <w:sz w:val="20"/>
          <w:szCs w:val="20"/>
        </w:rPr>
        <w:t xml:space="preserve"> (</w:t>
      </w:r>
      <w:r w:rsidR="00A33875" w:rsidRPr="00EC0229">
        <w:rPr>
          <w:i/>
          <w:sz w:val="20"/>
          <w:szCs w:val="20"/>
        </w:rPr>
        <w:t>SL</w:t>
      </w:r>
      <w:r w:rsidR="00A33875" w:rsidRPr="00EC0229">
        <w:rPr>
          <w:sz w:val="20"/>
          <w:szCs w:val="20"/>
        </w:rPr>
        <w:t>95-7)</w:t>
      </w:r>
      <w:bookmarkEnd w:id="345"/>
      <w:r w:rsidR="00A33875" w:rsidRPr="00EC0229">
        <w:rPr>
          <w:sz w:val="20"/>
          <w:szCs w:val="20"/>
        </w:rPr>
        <w:t xml:space="preserve"> </w:t>
      </w:r>
    </w:p>
    <w:p w14:paraId="6FEC9E1C" w14:textId="4D52EA43" w:rsidR="00A33875" w:rsidRPr="00EC0229" w:rsidRDefault="00361C8C" w:rsidP="007600EA">
      <w:pPr>
        <w:pStyle w:val="NoSpacing"/>
        <w:spacing w:line="360" w:lineRule="auto"/>
        <w:jc w:val="center"/>
        <w:rPr>
          <w:sz w:val="20"/>
          <w:szCs w:val="20"/>
        </w:rPr>
      </w:pPr>
      <w:r w:rsidRPr="00EC0229">
        <w:rPr>
          <w:sz w:val="20"/>
          <w:szCs w:val="20"/>
        </w:rPr>
        <w:t>Finds</w:t>
      </w:r>
      <w:r w:rsidR="00A33875" w:rsidRPr="00EC0229">
        <w:rPr>
          <w:sz w:val="20"/>
          <w:szCs w:val="20"/>
        </w:rPr>
        <w:t xml:space="preserve"> from near Scarborough, East of York</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York</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and Malton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Malton</w:instrText>
      </w:r>
      <w:r w:rsidR="006B1593" w:rsidRPr="00EC0229">
        <w:rPr>
          <w:sz w:val="20"/>
          <w:szCs w:val="20"/>
        </w:rPr>
        <w:instrText xml:space="preserve">" </w:instrText>
      </w:r>
      <w:r w:rsidR="006B1593" w:rsidRPr="00EC0229">
        <w:rPr>
          <w:sz w:val="20"/>
          <w:szCs w:val="20"/>
        </w:rPr>
        <w:fldChar w:fldCharType="end"/>
      </w:r>
    </w:p>
    <w:p w14:paraId="637A9B38" w14:textId="77777777" w:rsidR="00A33875" w:rsidRPr="00EC0229" w:rsidRDefault="00A33875" w:rsidP="007600EA">
      <w:pPr>
        <w:pStyle w:val="NoSpacing"/>
        <w:spacing w:line="360" w:lineRule="auto"/>
        <w:rPr>
          <w:rFonts w:cs="Times New Roman"/>
          <w:szCs w:val="24"/>
        </w:rPr>
      </w:pPr>
    </w:p>
    <w:p w14:paraId="71A1A7B4" w14:textId="108297EF" w:rsidR="00A33875" w:rsidRPr="00EC0229" w:rsidRDefault="008D6B10" w:rsidP="007600EA">
      <w:pPr>
        <w:pStyle w:val="NoSpacing"/>
        <w:spacing w:line="360" w:lineRule="auto"/>
        <w:rPr>
          <w:rFonts w:cs="Times New Roman"/>
          <w:szCs w:val="24"/>
        </w:rPr>
      </w:pPr>
      <w:r w:rsidRPr="00EC0229">
        <w:rPr>
          <w:rFonts w:cs="Times New Roman"/>
          <w:szCs w:val="24"/>
        </w:rPr>
        <w:lastRenderedPageBreak/>
        <w:t>Here c</w:t>
      </w:r>
      <w:r w:rsidR="00A33875" w:rsidRPr="00EC0229">
        <w:rPr>
          <w:rFonts w:cs="Times New Roman"/>
          <w:szCs w:val="24"/>
        </w:rPr>
        <w:t>lassification of secondary Series</w:t>
      </w:r>
      <w:r w:rsidR="00D142DC" w:rsidRPr="00EC0229">
        <w:rPr>
          <w:rFonts w:cs="Times New Roman"/>
          <w:szCs w:val="24"/>
        </w:rPr>
        <w:fldChar w:fldCharType="begin"/>
      </w:r>
      <w:r w:rsidR="00D142DC" w:rsidRPr="00EC0229">
        <w:instrText xml:space="preserve"> XE "Series" </w:instrText>
      </w:r>
      <w:r w:rsidR="00D142DC" w:rsidRPr="00EC0229">
        <w:rPr>
          <w:rFonts w:cs="Times New Roman"/>
          <w:szCs w:val="24"/>
        </w:rPr>
        <w:fldChar w:fldCharType="end"/>
      </w:r>
      <w:r w:rsidR="00A33875" w:rsidRPr="00EC0229">
        <w:rPr>
          <w:rFonts w:cs="Times New Roman"/>
          <w:szCs w:val="24"/>
        </w:rPr>
        <w:t xml:space="preserve"> E</w:t>
      </w:r>
      <w:r w:rsidR="008344F3" w:rsidRPr="00EC0229">
        <w:rPr>
          <w:rFonts w:cs="Times New Roman"/>
          <w:szCs w:val="24"/>
        </w:rPr>
        <w:fldChar w:fldCharType="begin"/>
      </w:r>
      <w:r w:rsidR="008344F3" w:rsidRPr="00EC0229">
        <w:instrText xml:space="preserve"> XE "Series E" </w:instrText>
      </w:r>
      <w:r w:rsidR="008344F3" w:rsidRPr="00EC0229">
        <w:rPr>
          <w:rFonts w:cs="Times New Roman"/>
          <w:szCs w:val="24"/>
        </w:rPr>
        <w:fldChar w:fldCharType="end"/>
      </w:r>
      <w:r w:rsidR="00A33875" w:rsidRPr="00EC0229">
        <w:rPr>
          <w:rFonts w:cs="Times New Roman"/>
          <w:szCs w:val="24"/>
        </w:rPr>
        <w:t xml:space="preserve"> differs from that of Metcalf</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cs="Times New Roman"/>
          <w:szCs w:val="24"/>
        </w:rPr>
        <w:fldChar w:fldCharType="end"/>
      </w:r>
      <w:r w:rsidR="00A33875" w:rsidRPr="00EC0229">
        <w:rPr>
          <w:rFonts w:cs="Times New Roman"/>
          <w:szCs w:val="24"/>
        </w:rPr>
        <w:t xml:space="preserve"> </w:t>
      </w:r>
      <w:r w:rsidR="00862F15" w:rsidRPr="00EC0229">
        <w:rPr>
          <w:rFonts w:cs="Times New Roman"/>
          <w:szCs w:val="24"/>
        </w:rPr>
        <w:t>and</w:t>
      </w:r>
      <w:r w:rsidRPr="00EC0229">
        <w:rPr>
          <w:rFonts w:cs="Times New Roman"/>
          <w:szCs w:val="24"/>
        </w:rPr>
        <w:t xml:space="preserve"> Op den Velde, in that </w:t>
      </w:r>
      <w:r w:rsidR="00A33875" w:rsidRPr="00EC0229">
        <w:rPr>
          <w:rFonts w:cs="Times New Roman"/>
          <w:szCs w:val="24"/>
        </w:rPr>
        <w:t>the designs displaying cruciform elements</w:t>
      </w:r>
      <w:r w:rsidRPr="00EC0229">
        <w:rPr>
          <w:rFonts w:cs="Times New Roman"/>
          <w:szCs w:val="24"/>
        </w:rPr>
        <w:t xml:space="preserve"> are grouped</w:t>
      </w:r>
      <w:r w:rsidR="00A33875" w:rsidRPr="00EC0229">
        <w:rPr>
          <w:rFonts w:cs="Times New Roman"/>
          <w:szCs w:val="24"/>
        </w:rPr>
        <w:t xml:space="preserve">, whereas Metcalf </w:t>
      </w:r>
      <w:r w:rsidR="00862F15" w:rsidRPr="00EC0229">
        <w:rPr>
          <w:rFonts w:cs="Times New Roman"/>
          <w:szCs w:val="24"/>
        </w:rPr>
        <w:t>and</w:t>
      </w:r>
      <w:r w:rsidR="00A33875" w:rsidRPr="00EC0229">
        <w:rPr>
          <w:rFonts w:cs="Times New Roman"/>
          <w:szCs w:val="24"/>
        </w:rPr>
        <w:t xml:space="preserve"> Op den Velde sub-divide these issues on other criteria.</w:t>
      </w:r>
      <w:r w:rsidR="00A33875" w:rsidRPr="00EC0229">
        <w:rPr>
          <w:rStyle w:val="FootnoteReference"/>
          <w:rFonts w:cs="Times New Roman"/>
          <w:szCs w:val="24"/>
        </w:rPr>
        <w:footnoteReference w:id="591"/>
      </w:r>
    </w:p>
    <w:p w14:paraId="61ABA7F7" w14:textId="77777777" w:rsidR="00A33875" w:rsidRPr="00EC0229" w:rsidRDefault="00A33875" w:rsidP="007600EA">
      <w:pPr>
        <w:pStyle w:val="NoSpacing"/>
        <w:spacing w:line="360" w:lineRule="auto"/>
        <w:rPr>
          <w:rFonts w:cs="Times New Roman"/>
          <w:szCs w:val="24"/>
        </w:rPr>
      </w:pPr>
    </w:p>
    <w:p w14:paraId="11578713" w14:textId="23B0CEDF" w:rsidR="00A33875" w:rsidRPr="00EC0229" w:rsidRDefault="00A33875" w:rsidP="007600EA">
      <w:pPr>
        <w:pStyle w:val="NoSpacing"/>
        <w:spacing w:line="360" w:lineRule="auto"/>
        <w:rPr>
          <w:rFonts w:cs="Times New Roman"/>
          <w:szCs w:val="24"/>
        </w:rPr>
      </w:pPr>
      <w:r w:rsidRPr="00EC0229">
        <w:rPr>
          <w:rFonts w:cs="Times New Roman"/>
          <w:szCs w:val="24"/>
        </w:rPr>
        <w:t>Finds of Series</w:t>
      </w:r>
      <w:r w:rsidR="00D142DC" w:rsidRPr="00EC0229">
        <w:rPr>
          <w:rFonts w:cs="Times New Roman"/>
          <w:szCs w:val="24"/>
        </w:rPr>
        <w:fldChar w:fldCharType="begin"/>
      </w:r>
      <w:r w:rsidR="00D142DC" w:rsidRPr="00EC0229">
        <w:instrText xml:space="preserve"> XE "Series" </w:instrText>
      </w:r>
      <w:r w:rsidR="00D142DC" w:rsidRPr="00EC0229">
        <w:rPr>
          <w:rFonts w:cs="Times New Roman"/>
          <w:szCs w:val="24"/>
        </w:rPr>
        <w:fldChar w:fldCharType="end"/>
      </w:r>
      <w:r w:rsidRPr="00EC0229">
        <w:rPr>
          <w:rFonts w:cs="Times New Roman"/>
          <w:szCs w:val="24"/>
        </w:rPr>
        <w:t xml:space="preserve"> G </w:t>
      </w:r>
      <w:r w:rsidR="005F4B60" w:rsidRPr="00EC0229">
        <w:rPr>
          <w:rFonts w:cs="Times New Roman"/>
        </w:rPr>
        <w:t>(</w:t>
      </w:r>
      <w:r w:rsidR="008C418A" w:rsidRPr="00EC0229">
        <w:rPr>
          <w:rFonts w:cs="Times New Roman"/>
        </w:rPr>
        <w:fldChar w:fldCharType="begin"/>
      </w:r>
      <w:r w:rsidR="008C418A" w:rsidRPr="00EC0229">
        <w:rPr>
          <w:rFonts w:cs="Times New Roman"/>
        </w:rPr>
        <w:instrText xml:space="preserve"> REF _Ref430246411 \h </w:instrText>
      </w:r>
      <w:r w:rsidR="007224B1" w:rsidRPr="00EC0229">
        <w:rPr>
          <w:rFonts w:cs="Times New Roman"/>
        </w:rPr>
        <w:instrText xml:space="preserve"> \* MERGEFORMAT </w:instrText>
      </w:r>
      <w:r w:rsidR="008C418A" w:rsidRPr="00EC0229">
        <w:rPr>
          <w:rFonts w:cs="Times New Roman"/>
        </w:rPr>
      </w:r>
      <w:r w:rsidR="008C418A" w:rsidRPr="00EC0229">
        <w:rPr>
          <w:rFonts w:cs="Times New Roman"/>
        </w:rPr>
        <w:fldChar w:fldCharType="separate"/>
      </w:r>
      <w:r w:rsidR="0012026B" w:rsidRPr="0012026B">
        <w:rPr>
          <w:i/>
          <w:szCs w:val="24"/>
        </w:rPr>
        <w:t>Figure</w:t>
      </w:r>
      <w:r w:rsidR="0012026B" w:rsidRPr="00EC0229">
        <w:rPr>
          <w:sz w:val="20"/>
          <w:szCs w:val="20"/>
        </w:rPr>
        <w:t xml:space="preserve"> </w:t>
      </w:r>
      <w:r w:rsidR="0012026B">
        <w:rPr>
          <w:noProof/>
          <w:sz w:val="20"/>
          <w:szCs w:val="20"/>
        </w:rPr>
        <w:t>44</w:t>
      </w:r>
      <w:r w:rsidR="008C418A" w:rsidRPr="00EC0229">
        <w:rPr>
          <w:rFonts w:cs="Times New Roman"/>
        </w:rPr>
        <w:fldChar w:fldCharType="end"/>
      </w:r>
      <w:r w:rsidR="005F4B60" w:rsidRPr="00EC0229">
        <w:rPr>
          <w:rFonts w:cs="Times New Roman"/>
        </w:rPr>
        <w:t xml:space="preserve">) </w:t>
      </w:r>
      <w:r w:rsidRPr="00EC0229">
        <w:rPr>
          <w:rFonts w:cs="Times New Roman"/>
          <w:szCs w:val="24"/>
        </w:rPr>
        <w:t>are known from several sites in Northumbria</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szCs w:val="24"/>
        </w:rPr>
        <w:fldChar w:fldCharType="end"/>
      </w:r>
      <w:r w:rsidRPr="00EC0229">
        <w:rPr>
          <w:rFonts w:cs="Times New Roman"/>
          <w:szCs w:val="24"/>
        </w:rPr>
        <w:t xml:space="preserve"> including Sledmere</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Sledmere</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(twenty-one specimens</w:t>
      </w:r>
      <w:r w:rsidRPr="00EC0229">
        <w:rPr>
          <w:rStyle w:val="FootnoteReference"/>
          <w:rFonts w:cs="Times New Roman"/>
          <w:szCs w:val="24"/>
        </w:rPr>
        <w:footnoteReference w:id="592"/>
      </w:r>
      <w:r w:rsidRPr="00EC0229">
        <w:rPr>
          <w:rFonts w:cs="Times New Roman"/>
          <w:szCs w:val="24"/>
        </w:rPr>
        <w:t>), Driffield</w:t>
      </w:r>
      <w:r w:rsidR="006B1593" w:rsidRPr="00EC0229">
        <w:rPr>
          <w:rFonts w:cs="Times New Roman"/>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Driffield</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and a Garton</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Garton</w:instrText>
      </w:r>
      <w:r w:rsidR="006B1593" w:rsidRPr="00EC0229">
        <w:instrText xml:space="preserve">" </w:instrText>
      </w:r>
      <w:r w:rsidR="006B1593" w:rsidRPr="00EC0229">
        <w:rPr>
          <w:rFonts w:cs="Times New Roman"/>
          <w:szCs w:val="24"/>
        </w:rPr>
        <w:fldChar w:fldCharType="end"/>
      </w:r>
      <w:r w:rsidRPr="00EC0229">
        <w:rPr>
          <w:rFonts w:cs="Times New Roman"/>
          <w:szCs w:val="24"/>
        </w:rPr>
        <w:t>-on-the-Wolds</w:t>
      </w:r>
      <w:r w:rsidR="006B1593" w:rsidRPr="00EC0229">
        <w:rPr>
          <w:rFonts w:cs="Times New Roman"/>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grave find.</w:t>
      </w:r>
      <w:r w:rsidRPr="00EC0229">
        <w:rPr>
          <w:rStyle w:val="FootnoteReference"/>
          <w:rFonts w:cs="Times New Roman"/>
          <w:szCs w:val="24"/>
        </w:rPr>
        <w:footnoteReference w:id="593"/>
      </w:r>
      <w:r w:rsidRPr="00EC0229">
        <w:rPr>
          <w:rFonts w:cs="Times New Roman"/>
          <w:szCs w:val="24"/>
        </w:rPr>
        <w:t xml:space="preserve"> The origins of this ubiquitous type are uncertain; association of the image, portraying Constantine’s dream-vision, with York</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can probably be discounted given Bede</w:t>
      </w:r>
      <w:r w:rsidR="00F66CEB" w:rsidRPr="00EC0229">
        <w:rPr>
          <w:rFonts w:cs="Times New Roman"/>
          <w:szCs w:val="24"/>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rFonts w:cs="Times New Roman"/>
          <w:szCs w:val="24"/>
        </w:rPr>
        <w:fldChar w:fldCharType="end"/>
      </w:r>
      <w:r w:rsidRPr="00EC0229">
        <w:rPr>
          <w:rFonts w:cs="Times New Roman"/>
          <w:szCs w:val="24"/>
        </w:rPr>
        <w:t>’s failure to mention Constantine’s elevation by his troops in York in 306.</w:t>
      </w:r>
      <w:r w:rsidRPr="00EC0229">
        <w:rPr>
          <w:rStyle w:val="FootnoteReference"/>
          <w:rFonts w:cs="Times New Roman"/>
          <w:szCs w:val="24"/>
        </w:rPr>
        <w:footnoteReference w:id="594"/>
      </w:r>
      <w:r w:rsidRPr="00EC0229">
        <w:rPr>
          <w:rFonts w:cs="Times New Roman"/>
          <w:szCs w:val="24"/>
        </w:rPr>
        <w:t xml:space="preserve"> A more plausible candidate is Quentovic as first suggested by Metcalf</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595"/>
      </w:r>
      <w:r w:rsidRPr="00EC0229">
        <w:rPr>
          <w:rFonts w:cs="Times New Roman"/>
          <w:szCs w:val="24"/>
        </w:rPr>
        <w:t xml:space="preserve"> though only six of the 231 sceats and deniers deemed to constitute the putative Étaples hoard are of this type.</w:t>
      </w:r>
      <w:r w:rsidRPr="00EC0229">
        <w:rPr>
          <w:rStyle w:val="FootnoteReference"/>
          <w:rFonts w:cs="Times New Roman"/>
          <w:szCs w:val="24"/>
        </w:rPr>
        <w:footnoteReference w:id="596"/>
      </w:r>
    </w:p>
    <w:p w14:paraId="65E59D4C" w14:textId="77777777" w:rsidR="00A33875" w:rsidRPr="00EC0229" w:rsidRDefault="00A33875" w:rsidP="007600EA">
      <w:pPr>
        <w:pStyle w:val="NoSpacing"/>
        <w:spacing w:line="360" w:lineRule="auto"/>
        <w:jc w:val="center"/>
        <w:rPr>
          <w:rFonts w:cs="Times New Roman"/>
          <w:sz w:val="20"/>
          <w:szCs w:val="20"/>
        </w:rPr>
      </w:pPr>
      <w:r w:rsidRPr="00EC0229">
        <w:rPr>
          <w:rFonts w:cs="Times New Roman"/>
          <w:noProof/>
          <w:sz w:val="20"/>
          <w:szCs w:val="20"/>
          <w:lang w:eastAsia="en-GB"/>
        </w:rPr>
        <w:drawing>
          <wp:inline distT="0" distB="0" distL="0" distR="0" wp14:anchorId="30CF25DE" wp14:editId="15EC94B3">
            <wp:extent cx="891540" cy="901941"/>
            <wp:effectExtent l="0" t="0" r="381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1-20 G110.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896756" cy="907217"/>
                    </a:xfrm>
                    <a:prstGeom prst="rect">
                      <a:avLst/>
                    </a:prstGeom>
                  </pic:spPr>
                </pic:pic>
              </a:graphicData>
            </a:graphic>
          </wp:inline>
        </w:drawing>
      </w:r>
      <w:r w:rsidRPr="00EC0229">
        <w:rPr>
          <w:rFonts w:cs="Times New Roman"/>
          <w:noProof/>
          <w:sz w:val="20"/>
          <w:szCs w:val="20"/>
          <w:lang w:eastAsia="en-GB"/>
        </w:rPr>
        <w:drawing>
          <wp:inline distT="0" distB="0" distL="0" distR="0" wp14:anchorId="30114718" wp14:editId="21E13E6C">
            <wp:extent cx="937260" cy="920077"/>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21-20 G110r.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43031" cy="925743"/>
                    </a:xfrm>
                    <a:prstGeom prst="rect">
                      <a:avLst/>
                    </a:prstGeom>
                  </pic:spPr>
                </pic:pic>
              </a:graphicData>
            </a:graphic>
          </wp:inline>
        </w:drawing>
      </w:r>
      <w:r w:rsidRPr="00EC0229">
        <w:rPr>
          <w:rFonts w:cs="Times New Roman"/>
          <w:sz w:val="20"/>
          <w:szCs w:val="20"/>
        </w:rPr>
        <w:tab/>
      </w:r>
      <w:r w:rsidRPr="00EC0229">
        <w:rPr>
          <w:rFonts w:cs="Times New Roman"/>
          <w:sz w:val="20"/>
          <w:szCs w:val="20"/>
        </w:rPr>
        <w:tab/>
      </w:r>
      <w:r w:rsidRPr="00EC0229">
        <w:rPr>
          <w:rFonts w:cs="Times New Roman"/>
          <w:noProof/>
          <w:sz w:val="20"/>
          <w:szCs w:val="20"/>
          <w:lang w:eastAsia="en-GB"/>
        </w:rPr>
        <w:drawing>
          <wp:inline distT="0" distB="0" distL="0" distR="0" wp14:anchorId="59247722" wp14:editId="66FB36E4">
            <wp:extent cx="980467" cy="905298"/>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21-30 G160.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987098" cy="911421"/>
                    </a:xfrm>
                    <a:prstGeom prst="rect">
                      <a:avLst/>
                    </a:prstGeom>
                  </pic:spPr>
                </pic:pic>
              </a:graphicData>
            </a:graphic>
          </wp:inline>
        </w:drawing>
      </w:r>
      <w:r w:rsidRPr="00EC0229">
        <w:rPr>
          <w:rFonts w:cs="Times New Roman"/>
          <w:noProof/>
          <w:sz w:val="20"/>
          <w:szCs w:val="20"/>
          <w:lang w:eastAsia="en-GB"/>
        </w:rPr>
        <w:drawing>
          <wp:inline distT="0" distB="0" distL="0" distR="0" wp14:anchorId="4E75C1C3" wp14:editId="16973620">
            <wp:extent cx="845584" cy="909003"/>
            <wp:effectExtent l="0" t="0" r="0" b="571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1-30 G160R.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856829" cy="921092"/>
                    </a:xfrm>
                    <a:prstGeom prst="rect">
                      <a:avLst/>
                    </a:prstGeom>
                  </pic:spPr>
                </pic:pic>
              </a:graphicData>
            </a:graphic>
          </wp:inline>
        </w:drawing>
      </w:r>
    </w:p>
    <w:p w14:paraId="34D04BB2" w14:textId="59FF3684" w:rsidR="00A33875" w:rsidRPr="00EC0229" w:rsidRDefault="00F13F40" w:rsidP="007600EA">
      <w:pPr>
        <w:pStyle w:val="NoSpacing"/>
        <w:spacing w:line="360" w:lineRule="auto"/>
        <w:jc w:val="center"/>
        <w:rPr>
          <w:sz w:val="20"/>
          <w:szCs w:val="20"/>
        </w:rPr>
      </w:pPr>
      <w:bookmarkStart w:id="346" w:name="_Ref430246411"/>
      <w:bookmarkStart w:id="347" w:name="_Toc46826701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44</w:t>
      </w:r>
      <w:r w:rsidRPr="00EC0229">
        <w:rPr>
          <w:sz w:val="20"/>
          <w:szCs w:val="20"/>
        </w:rPr>
        <w:fldChar w:fldCharType="end"/>
      </w:r>
      <w:bookmarkEnd w:id="346"/>
      <w:r w:rsidR="005F4B60" w:rsidRPr="00EC0229">
        <w:rPr>
          <w:rFonts w:cs="Times New Roman"/>
          <w:sz w:val="20"/>
          <w:szCs w:val="20"/>
        </w:rPr>
        <w:t xml:space="preserve">: </w:t>
      </w:r>
      <w:r w:rsidR="00A33875" w:rsidRPr="00EC0229">
        <w:rPr>
          <w:rFonts w:cs="Times New Roman"/>
          <w:sz w:val="20"/>
          <w:szCs w:val="20"/>
        </w:rPr>
        <w:t>Series</w:t>
      </w:r>
      <w:r w:rsidR="00D142DC" w:rsidRPr="00EC0229">
        <w:rPr>
          <w:rFonts w:cs="Times New Roman"/>
          <w:sz w:val="20"/>
          <w:szCs w:val="20"/>
        </w:rPr>
        <w:fldChar w:fldCharType="begin"/>
      </w:r>
      <w:r w:rsidR="00D142DC" w:rsidRPr="00EC0229">
        <w:rPr>
          <w:sz w:val="20"/>
          <w:szCs w:val="20"/>
        </w:rPr>
        <w:instrText xml:space="preserve"> XE "Series" </w:instrText>
      </w:r>
      <w:r w:rsidR="00D142DC" w:rsidRPr="00EC0229">
        <w:rPr>
          <w:rFonts w:cs="Times New Roman"/>
          <w:sz w:val="20"/>
          <w:szCs w:val="20"/>
        </w:rPr>
        <w:fldChar w:fldCharType="end"/>
      </w:r>
      <w:r w:rsidR="00A33875" w:rsidRPr="00EC0229">
        <w:rPr>
          <w:rFonts w:cs="Times New Roman"/>
          <w:sz w:val="20"/>
          <w:szCs w:val="20"/>
        </w:rPr>
        <w:t xml:space="preserve"> G: left, with rotated reverse, Kilham</w:t>
      </w:r>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Kilham</w:instrText>
      </w:r>
      <w:r w:rsidR="006B1593" w:rsidRPr="00EC0229">
        <w:rPr>
          <w:sz w:val="20"/>
          <w:szCs w:val="20"/>
        </w:rPr>
        <w:instrText xml:space="preserve">" </w:instrText>
      </w:r>
      <w:r w:rsidR="006B1593" w:rsidRPr="00EC0229">
        <w:rPr>
          <w:rFonts w:cs="Times New Roman"/>
          <w:sz w:val="20"/>
          <w:szCs w:val="20"/>
        </w:rPr>
        <w:fldChar w:fldCharType="end"/>
      </w:r>
      <w:r w:rsidR="00A33875" w:rsidRPr="00EC0229">
        <w:rPr>
          <w:rFonts w:cs="Times New Roman"/>
          <w:sz w:val="20"/>
          <w:szCs w:val="20"/>
        </w:rPr>
        <w:t xml:space="preserve">, right, Fimber </w:t>
      </w:r>
      <w:r w:rsidR="00A33875" w:rsidRPr="00EC0229">
        <w:rPr>
          <w:sz w:val="20"/>
          <w:szCs w:val="20"/>
        </w:rPr>
        <w:t>(</w:t>
      </w:r>
      <w:r w:rsidR="00A33875" w:rsidRPr="00EC0229">
        <w:rPr>
          <w:i/>
          <w:sz w:val="20"/>
          <w:szCs w:val="20"/>
        </w:rPr>
        <w:t>SL</w:t>
      </w:r>
      <w:r w:rsidR="00A33875" w:rsidRPr="00EC0229">
        <w:rPr>
          <w:sz w:val="20"/>
          <w:szCs w:val="20"/>
        </w:rPr>
        <w:t>21)</w:t>
      </w:r>
      <w:bookmarkEnd w:id="347"/>
    </w:p>
    <w:p w14:paraId="35F4B266" w14:textId="77777777" w:rsidR="00A33875" w:rsidRPr="00EC0229" w:rsidRDefault="00A33875" w:rsidP="007600EA">
      <w:pPr>
        <w:pStyle w:val="NoSpacing"/>
        <w:spacing w:line="360" w:lineRule="auto"/>
        <w:jc w:val="center"/>
        <w:rPr>
          <w:rFonts w:cs="Times New Roman"/>
          <w:sz w:val="20"/>
          <w:szCs w:val="20"/>
        </w:rPr>
      </w:pPr>
    </w:p>
    <w:p w14:paraId="076CB884" w14:textId="0701DA32" w:rsidR="00A33875" w:rsidRPr="00EC0229" w:rsidRDefault="00A33875" w:rsidP="007600EA">
      <w:pPr>
        <w:pStyle w:val="NoSpacing"/>
        <w:spacing w:line="360" w:lineRule="auto"/>
        <w:rPr>
          <w:rFonts w:cs="Times New Roman"/>
        </w:rPr>
      </w:pPr>
      <w:r w:rsidRPr="00EC0229">
        <w:rPr>
          <w:rFonts w:cs="Times New Roman"/>
        </w:rPr>
        <w:t xml:space="preserve">Finally, to this sub-period can be added </w:t>
      </w:r>
      <w:r w:rsidR="00BF6095">
        <w:rPr>
          <w:rFonts w:cs="Times New Roman"/>
        </w:rPr>
        <w:t>several</w:t>
      </w:r>
      <w:r w:rsidRPr="00EC0229">
        <w:rPr>
          <w:rFonts w:cs="Times New Roman"/>
        </w:rPr>
        <w:t xml:space="preserve"> exotic Continental species found in Northumbria</w:t>
      </w:r>
      <w:r w:rsidR="00584C42" w:rsidRPr="00EC0229">
        <w:rPr>
          <w:rFonts w:cs="Times New Roman"/>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rPr>
        <w:fldChar w:fldCharType="end"/>
      </w:r>
      <w:r w:rsidR="005F4B60" w:rsidRPr="00EC0229">
        <w:rPr>
          <w:rFonts w:cs="Times New Roman"/>
        </w:rPr>
        <w:t xml:space="preserve"> </w:t>
      </w:r>
      <w:r w:rsidR="005F4B60"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_Ref430246421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45</w:t>
      </w:r>
      <w:r w:rsidR="008C418A" w:rsidRPr="00EC0229">
        <w:rPr>
          <w:rFonts w:cs="Times New Roman"/>
          <w:szCs w:val="24"/>
        </w:rPr>
        <w:fldChar w:fldCharType="end"/>
      </w:r>
      <w:r w:rsidR="005F4B60" w:rsidRPr="00EC0229">
        <w:rPr>
          <w:rFonts w:cs="Times New Roman"/>
        </w:rPr>
        <w:t>)</w:t>
      </w:r>
      <w:r w:rsidRPr="00EC0229">
        <w:rPr>
          <w:rFonts w:cs="Times New Roman"/>
        </w:rPr>
        <w:t>.</w:t>
      </w:r>
    </w:p>
    <w:p w14:paraId="70EF620A" w14:textId="77777777" w:rsidR="00A33875" w:rsidRPr="00EC0229" w:rsidRDefault="00A33875" w:rsidP="007600EA">
      <w:pPr>
        <w:pStyle w:val="NoSpacing"/>
        <w:spacing w:line="360" w:lineRule="auto"/>
        <w:jc w:val="center"/>
        <w:rPr>
          <w:rFonts w:cs="Times New Roman"/>
        </w:rPr>
      </w:pPr>
      <w:r w:rsidRPr="00EC0229">
        <w:rPr>
          <w:rFonts w:cs="Times New Roman"/>
          <w:noProof/>
          <w:lang w:eastAsia="en-GB"/>
        </w:rPr>
        <w:drawing>
          <wp:inline distT="0" distB="0" distL="0" distR="0" wp14:anchorId="42042CC3" wp14:editId="35360517">
            <wp:extent cx="1011599" cy="1021715"/>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60-20 Int150.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014219" cy="1024361"/>
                    </a:xfrm>
                    <a:prstGeom prst="rect">
                      <a:avLst/>
                    </a:prstGeom>
                  </pic:spPr>
                </pic:pic>
              </a:graphicData>
            </a:graphic>
          </wp:inline>
        </w:drawing>
      </w:r>
      <w:r w:rsidRPr="00EC0229">
        <w:rPr>
          <w:rFonts w:cs="Times New Roman"/>
          <w:noProof/>
          <w:lang w:eastAsia="en-GB"/>
        </w:rPr>
        <w:drawing>
          <wp:inline distT="0" distB="0" distL="0" distR="0" wp14:anchorId="746E0B6F" wp14:editId="3CB9977D">
            <wp:extent cx="1080000" cy="1004400"/>
            <wp:effectExtent l="0" t="0" r="635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60-20 Int150R.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080000" cy="1004400"/>
                    </a:xfrm>
                    <a:prstGeom prst="rect">
                      <a:avLst/>
                    </a:prstGeom>
                  </pic:spPr>
                </pic:pic>
              </a:graphicData>
            </a:graphic>
          </wp:inline>
        </w:drawing>
      </w:r>
      <w:r w:rsidRPr="00EC0229">
        <w:rPr>
          <w:rFonts w:cs="Times New Roman"/>
        </w:rPr>
        <w:tab/>
      </w:r>
      <w:r w:rsidRPr="00EC0229">
        <w:rPr>
          <w:rFonts w:cs="Times New Roman"/>
        </w:rPr>
        <w:tab/>
      </w:r>
      <w:r w:rsidRPr="00EC0229">
        <w:rPr>
          <w:rFonts w:cs="Times New Roman"/>
          <w:noProof/>
          <w:lang w:eastAsia="en-GB"/>
        </w:rPr>
        <w:drawing>
          <wp:inline distT="0" distB="0" distL="0" distR="0" wp14:anchorId="36F55B1F" wp14:editId="7DB57D63">
            <wp:extent cx="1009270" cy="1095058"/>
            <wp:effectExtent l="0" t="0" r="63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09-10 He30.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014399" cy="1100623"/>
                    </a:xfrm>
                    <a:prstGeom prst="rect">
                      <a:avLst/>
                    </a:prstGeom>
                  </pic:spPr>
                </pic:pic>
              </a:graphicData>
            </a:graphic>
          </wp:inline>
        </w:drawing>
      </w:r>
      <w:r w:rsidRPr="00EC0229">
        <w:rPr>
          <w:rFonts w:cs="Times New Roman"/>
          <w:noProof/>
          <w:lang w:eastAsia="en-GB"/>
        </w:rPr>
        <w:drawing>
          <wp:inline distT="0" distB="0" distL="0" distR="0" wp14:anchorId="369849F5" wp14:editId="0B5A13C0">
            <wp:extent cx="1080000" cy="993600"/>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09-10 He30R.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80000" cy="993600"/>
                    </a:xfrm>
                    <a:prstGeom prst="rect">
                      <a:avLst/>
                    </a:prstGeom>
                  </pic:spPr>
                </pic:pic>
              </a:graphicData>
            </a:graphic>
          </wp:inline>
        </w:drawing>
      </w:r>
    </w:p>
    <w:p w14:paraId="52DF121D" w14:textId="17C80C21" w:rsidR="00F13F40" w:rsidRPr="00EC0229" w:rsidRDefault="00F13F40" w:rsidP="007600EA">
      <w:pPr>
        <w:pStyle w:val="NoSpacing"/>
        <w:spacing w:line="360" w:lineRule="auto"/>
        <w:jc w:val="center"/>
        <w:rPr>
          <w:sz w:val="20"/>
          <w:szCs w:val="20"/>
        </w:rPr>
      </w:pPr>
      <w:bookmarkStart w:id="348" w:name="_Ref430246421"/>
      <w:bookmarkStart w:id="349" w:name="_Toc46826701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45</w:t>
      </w:r>
      <w:r w:rsidRPr="00EC0229">
        <w:rPr>
          <w:sz w:val="20"/>
          <w:szCs w:val="20"/>
        </w:rPr>
        <w:fldChar w:fldCharType="end"/>
      </w:r>
      <w:bookmarkEnd w:id="348"/>
      <w:r w:rsidR="005F4B60" w:rsidRPr="00EC0229">
        <w:rPr>
          <w:sz w:val="20"/>
          <w:szCs w:val="20"/>
        </w:rPr>
        <w:t xml:space="preserve">: </w:t>
      </w:r>
      <w:r w:rsidR="00A33875" w:rsidRPr="00EC0229">
        <w:rPr>
          <w:sz w:val="20"/>
          <w:szCs w:val="20"/>
        </w:rPr>
        <w:t>Eclectic Continental sceats of the ‘Interlace’</w:t>
      </w:r>
      <w:r w:rsidR="00F20A5B" w:rsidRPr="00EC0229">
        <w:rPr>
          <w:sz w:val="20"/>
          <w:szCs w:val="20"/>
        </w:rPr>
        <w:t xml:space="preserve"> type</w:t>
      </w:r>
      <w:bookmarkEnd w:id="349"/>
    </w:p>
    <w:p w14:paraId="2A90FB6A" w14:textId="4EE25F75" w:rsidR="00A33875" w:rsidRPr="00EC0229" w:rsidRDefault="00F13F40" w:rsidP="007600EA">
      <w:pPr>
        <w:pStyle w:val="NoSpacing"/>
        <w:spacing w:line="360" w:lineRule="auto"/>
        <w:jc w:val="center"/>
        <w:rPr>
          <w:sz w:val="20"/>
          <w:szCs w:val="20"/>
        </w:rPr>
      </w:pPr>
      <w:r w:rsidRPr="00EC0229">
        <w:rPr>
          <w:sz w:val="20"/>
          <w:szCs w:val="20"/>
        </w:rPr>
        <w:t>L:</w:t>
      </w:r>
      <w:r w:rsidR="00A33875" w:rsidRPr="00EC0229">
        <w:rPr>
          <w:sz w:val="20"/>
          <w:szCs w:val="20"/>
        </w:rPr>
        <w:t xml:space="preserve"> found Rudston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Rudston</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w:t>
      </w:r>
      <w:r w:rsidR="00A33875" w:rsidRPr="00EC0229">
        <w:rPr>
          <w:i/>
          <w:sz w:val="20"/>
          <w:szCs w:val="20"/>
        </w:rPr>
        <w:t>SL</w:t>
      </w:r>
      <w:r w:rsidR="00A33875" w:rsidRPr="00EC0229">
        <w:rPr>
          <w:sz w:val="20"/>
          <w:szCs w:val="20"/>
        </w:rPr>
        <w:t xml:space="preserve">60) and ‘Hexagram’ </w:t>
      </w:r>
      <w:r w:rsidRPr="00EC0229">
        <w:rPr>
          <w:sz w:val="20"/>
          <w:szCs w:val="20"/>
        </w:rPr>
        <w:t>(R:</w:t>
      </w:r>
      <w:r w:rsidR="00A33875" w:rsidRPr="00EC0229">
        <w:rPr>
          <w:sz w:val="20"/>
          <w:szCs w:val="20"/>
        </w:rPr>
        <w:t xml:space="preserve"> Wetwang</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Wetwang</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 xml:space="preserve">, </w:t>
      </w:r>
      <w:r w:rsidR="00A33875" w:rsidRPr="00EC0229">
        <w:rPr>
          <w:i/>
          <w:sz w:val="20"/>
          <w:szCs w:val="20"/>
        </w:rPr>
        <w:t>SL</w:t>
      </w:r>
      <w:r w:rsidR="00A33875" w:rsidRPr="00EC0229">
        <w:rPr>
          <w:sz w:val="20"/>
          <w:szCs w:val="20"/>
        </w:rPr>
        <w:t>109) varieties, both were imitated in England.</w:t>
      </w:r>
    </w:p>
    <w:p w14:paraId="1709ED00" w14:textId="77777777" w:rsidR="00A33875" w:rsidRPr="00EC0229" w:rsidRDefault="00A33875" w:rsidP="007600EA">
      <w:pPr>
        <w:pStyle w:val="NoSpacing"/>
        <w:spacing w:line="360" w:lineRule="auto"/>
        <w:jc w:val="center"/>
        <w:rPr>
          <w:rFonts w:cs="Times New Roman"/>
          <w:sz w:val="20"/>
          <w:szCs w:val="20"/>
        </w:rPr>
      </w:pPr>
    </w:p>
    <w:p w14:paraId="72D5C428" w14:textId="7B67D58A" w:rsidR="00A33875" w:rsidRPr="00EC0229" w:rsidRDefault="00A33875" w:rsidP="007600EA">
      <w:pPr>
        <w:pStyle w:val="NoSpacing"/>
        <w:spacing w:line="360" w:lineRule="auto"/>
        <w:rPr>
          <w:rFonts w:cs="Times New Roman"/>
        </w:rPr>
      </w:pPr>
      <w:r w:rsidRPr="00EC0229">
        <w:rPr>
          <w:rFonts w:cs="Times New Roman"/>
        </w:rPr>
        <w:lastRenderedPageBreak/>
        <w:t xml:space="preserve">The more esoteric sceats of great rarity show a paucity of die duplication, which may imply that smaller (conceivably peripatetic) </w:t>
      </w:r>
      <w:r w:rsidR="003F475D" w:rsidRPr="00EC0229">
        <w:rPr>
          <w:rFonts w:cs="Times New Roman"/>
        </w:rPr>
        <w:t>coin-mak</w:t>
      </w:r>
      <w:r w:rsidRPr="00EC0229">
        <w:rPr>
          <w:rFonts w:cs="Times New Roman"/>
        </w:rPr>
        <w:t>ers did not develop skills comparable to the</w:t>
      </w:r>
      <w:r w:rsidR="003F475D" w:rsidRPr="00EC0229">
        <w:rPr>
          <w:rFonts w:cs="Times New Roman"/>
        </w:rPr>
        <w:t>ir</w:t>
      </w:r>
      <w:r w:rsidRPr="00EC0229">
        <w:rPr>
          <w:rFonts w:cs="Times New Roman"/>
        </w:rPr>
        <w:t xml:space="preserve"> </w:t>
      </w:r>
      <w:r w:rsidR="003F475D" w:rsidRPr="00EC0229">
        <w:rPr>
          <w:rFonts w:cs="Times New Roman"/>
        </w:rPr>
        <w:t>peers at</w:t>
      </w:r>
      <w:r w:rsidRPr="00EC0229">
        <w:rPr>
          <w:rFonts w:cs="Times New Roman"/>
        </w:rPr>
        <w:t xml:space="preserve"> trading currencies and </w:t>
      </w:r>
      <w:r w:rsidR="003F475D" w:rsidRPr="00EC0229">
        <w:rPr>
          <w:rFonts w:cs="Times New Roman"/>
        </w:rPr>
        <w:t>the former’s</w:t>
      </w:r>
      <w:r w:rsidRPr="00EC0229">
        <w:rPr>
          <w:rFonts w:cs="Times New Roman"/>
        </w:rPr>
        <w:t xml:space="preserve"> dies had little longevity.</w:t>
      </w:r>
      <w:r w:rsidRPr="00EC0229">
        <w:rPr>
          <w:rStyle w:val="FootnoteReference"/>
          <w:rFonts w:cs="Times New Roman"/>
        </w:rPr>
        <w:footnoteReference w:id="597"/>
      </w:r>
    </w:p>
    <w:p w14:paraId="435AE75B" w14:textId="77777777" w:rsidR="00A33875" w:rsidRPr="00EC0229" w:rsidRDefault="00A33875" w:rsidP="007600EA">
      <w:pPr>
        <w:pStyle w:val="Header"/>
        <w:spacing w:line="360" w:lineRule="auto"/>
        <w:rPr>
          <w:rFonts w:cs="Times New Roman"/>
          <w:szCs w:val="24"/>
        </w:rPr>
      </w:pPr>
    </w:p>
    <w:p w14:paraId="116A5A0A" w14:textId="03330A3E" w:rsidR="00A33875" w:rsidRPr="008259E1" w:rsidRDefault="008259E1" w:rsidP="008259E1">
      <w:pPr>
        <w:pStyle w:val="Heading4"/>
        <w:rPr>
          <w:b/>
        </w:rPr>
      </w:pPr>
      <w:bookmarkStart w:id="350" w:name="_Toc468266799"/>
      <w:r w:rsidRPr="008259E1">
        <w:rPr>
          <w:b/>
        </w:rPr>
        <w:t>5.3.5.5</w:t>
      </w:r>
      <w:r w:rsidRPr="008259E1">
        <w:rPr>
          <w:b/>
        </w:rPr>
        <w:tab/>
      </w:r>
      <w:r w:rsidR="00A33875" w:rsidRPr="008259E1">
        <w:rPr>
          <w:b/>
        </w:rPr>
        <w:t>Period 5d</w:t>
      </w:r>
      <w:r w:rsidR="00F204A1" w:rsidRPr="008259E1">
        <w:rPr>
          <w:b/>
        </w:rPr>
        <w:fldChar w:fldCharType="begin"/>
      </w:r>
      <w:r w:rsidR="00F204A1" w:rsidRPr="008259E1">
        <w:rPr>
          <w:b/>
        </w:rPr>
        <w:instrText xml:space="preserve"> XE "</w:instrText>
      </w:r>
      <w:r w:rsidR="00F204A1" w:rsidRPr="008259E1">
        <w:rPr>
          <w:rStyle w:val="Hyperlink"/>
          <w:b/>
          <w:noProof/>
          <w:u w:val="none"/>
        </w:rPr>
        <w:instrText>Period 5d</w:instrText>
      </w:r>
      <w:r w:rsidR="00F204A1" w:rsidRPr="008259E1">
        <w:rPr>
          <w:b/>
        </w:rPr>
        <w:instrText xml:space="preserve">" </w:instrText>
      </w:r>
      <w:r w:rsidR="00F204A1" w:rsidRPr="008259E1">
        <w:rPr>
          <w:b/>
        </w:rPr>
        <w:fldChar w:fldCharType="end"/>
      </w:r>
      <w:r w:rsidR="00A33875" w:rsidRPr="008259E1">
        <w:rPr>
          <w:b/>
        </w:rPr>
        <w:t>. Imported Merovingian</w:t>
      </w:r>
      <w:r w:rsidR="004C29A9" w:rsidRPr="008259E1">
        <w:rPr>
          <w:b/>
        </w:rPr>
        <w:fldChar w:fldCharType="begin"/>
      </w:r>
      <w:r w:rsidR="004C29A9" w:rsidRPr="008259E1">
        <w:rPr>
          <w:b/>
        </w:rPr>
        <w:instrText xml:space="preserve"> XE "</w:instrText>
      </w:r>
      <w:r w:rsidR="004C29A9" w:rsidRPr="008259E1">
        <w:rPr>
          <w:rStyle w:val="Hyperlink"/>
          <w:b/>
          <w:noProof/>
          <w:u w:val="none"/>
        </w:rPr>
        <w:instrText>Merovingian</w:instrText>
      </w:r>
      <w:r w:rsidR="004C29A9" w:rsidRPr="008259E1">
        <w:rPr>
          <w:b/>
        </w:rPr>
        <w:instrText xml:space="preserve">" </w:instrText>
      </w:r>
      <w:r w:rsidR="004C29A9" w:rsidRPr="008259E1">
        <w:rPr>
          <w:b/>
        </w:rPr>
        <w:fldChar w:fldCharType="end"/>
      </w:r>
      <w:r w:rsidR="00A33875" w:rsidRPr="008259E1">
        <w:rPr>
          <w:b/>
        </w:rPr>
        <w:t xml:space="preserve"> silver denier</w:t>
      </w:r>
      <w:r w:rsidR="00F204A1" w:rsidRPr="008259E1">
        <w:rPr>
          <w:b/>
        </w:rPr>
        <w:fldChar w:fldCharType="begin"/>
      </w:r>
      <w:r w:rsidR="00F204A1" w:rsidRPr="008259E1">
        <w:rPr>
          <w:b/>
        </w:rPr>
        <w:instrText xml:space="preserve"> XE "</w:instrText>
      </w:r>
      <w:r w:rsidR="00F204A1" w:rsidRPr="008259E1">
        <w:rPr>
          <w:rStyle w:val="Hyperlink"/>
          <w:b/>
          <w:noProof/>
          <w:u w:val="none"/>
        </w:rPr>
        <w:instrText>Imported Merovingian silver denier</w:instrText>
      </w:r>
      <w:r w:rsidR="00F204A1" w:rsidRPr="008259E1">
        <w:rPr>
          <w:b/>
        </w:rPr>
        <w:instrText xml:space="preserve">" </w:instrText>
      </w:r>
      <w:r w:rsidR="00F204A1" w:rsidRPr="008259E1">
        <w:rPr>
          <w:b/>
        </w:rPr>
        <w:fldChar w:fldCharType="end"/>
      </w:r>
      <w:r w:rsidR="00A33875" w:rsidRPr="008259E1">
        <w:rPr>
          <w:b/>
          <w:i/>
        </w:rPr>
        <w:t xml:space="preserve">, </w:t>
      </w:r>
      <w:r w:rsidR="002132F1">
        <w:rPr>
          <w:b/>
          <w:i/>
        </w:rPr>
        <w:t>c.</w:t>
      </w:r>
      <w:r w:rsidR="00A33875" w:rsidRPr="008259E1">
        <w:rPr>
          <w:b/>
        </w:rPr>
        <w:t>710</w:t>
      </w:r>
      <w:r w:rsidR="00AB6635">
        <w:rPr>
          <w:b/>
        </w:rPr>
        <w:t>-</w:t>
      </w:r>
      <w:r w:rsidR="002132F1">
        <w:rPr>
          <w:b/>
          <w:i/>
        </w:rPr>
        <w:t>c.</w:t>
      </w:r>
      <w:r w:rsidR="00A33875" w:rsidRPr="008259E1">
        <w:rPr>
          <w:b/>
        </w:rPr>
        <w:t>750</w:t>
      </w:r>
      <w:bookmarkEnd w:id="350"/>
    </w:p>
    <w:p w14:paraId="380CEC27" w14:textId="10333D06" w:rsidR="00A33875" w:rsidRPr="00EC0229" w:rsidRDefault="00A33875" w:rsidP="007600EA">
      <w:pPr>
        <w:pStyle w:val="NoSpacing"/>
        <w:spacing w:line="360" w:lineRule="auto"/>
      </w:pPr>
      <w:r w:rsidRPr="00EC0229">
        <w:t>Merovingian</w:t>
      </w:r>
      <w:r w:rsidR="004C29A9" w:rsidRPr="00EC0229">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fldChar w:fldCharType="end"/>
      </w:r>
      <w:r w:rsidRPr="00EC0229">
        <w:t xml:space="preserve"> deniers probably remained current into period 7, the secondary sceatta</w:t>
      </w:r>
      <w:r w:rsidR="00D142DC" w:rsidRPr="00EC0229">
        <w:fldChar w:fldCharType="begin"/>
      </w:r>
      <w:r w:rsidR="00D142DC" w:rsidRPr="00EC0229">
        <w:instrText xml:space="preserve"> XE "sceatta" </w:instrText>
      </w:r>
      <w:r w:rsidR="00D142DC" w:rsidRPr="00EC0229">
        <w:fldChar w:fldCharType="end"/>
      </w:r>
      <w:r w:rsidRPr="00EC0229">
        <w:t xml:space="preserve"> phase but are not included in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B77496" w:rsidRPr="00EC0229">
        <w:rPr>
          <w:i/>
        </w:rPr>
        <w:t>5.0</w:t>
      </w:r>
      <w:r w:rsidR="00817A09" w:rsidRPr="00EC0229">
        <w:rPr>
          <w:i/>
        </w:rPr>
        <w:t>4</w:t>
      </w:r>
      <w:r w:rsidRPr="00EC0229">
        <w:t xml:space="preserve"> due to insufficiency of numbers and difficulty of dating relative to the Aston Rowant hoard.</w:t>
      </w:r>
      <w:r w:rsidRPr="00EC0229">
        <w:rPr>
          <w:rStyle w:val="FootnoteReference"/>
        </w:rPr>
        <w:footnoteReference w:id="598"/>
      </w:r>
    </w:p>
    <w:p w14:paraId="62CC68AF" w14:textId="77777777" w:rsidR="00A33875" w:rsidRPr="00EC0229" w:rsidRDefault="00A33875" w:rsidP="007600EA">
      <w:pPr>
        <w:pStyle w:val="NoSpacing"/>
        <w:spacing w:line="360" w:lineRule="auto"/>
        <w:rPr>
          <w:szCs w:val="24"/>
        </w:rPr>
      </w:pPr>
    </w:p>
    <w:p w14:paraId="56D8FD94" w14:textId="740DA8EC" w:rsidR="00A33875" w:rsidRPr="00EC0229" w:rsidRDefault="00A33875" w:rsidP="007600EA">
      <w:pPr>
        <w:pStyle w:val="NoSpacing"/>
        <w:spacing w:line="360" w:lineRule="auto"/>
        <w:rPr>
          <w:szCs w:val="24"/>
        </w:rPr>
      </w:pPr>
      <w:r w:rsidRPr="00EC0229">
        <w:rPr>
          <w:szCs w:val="24"/>
        </w:rPr>
        <w:t>Imported dirhams and Carolingian</w:t>
      </w:r>
      <w:r w:rsidR="008960AE" w:rsidRPr="00EC0229">
        <w:rPr>
          <w:szCs w:val="24"/>
        </w:rPr>
        <w:fldChar w:fldCharType="begin"/>
      </w:r>
      <w:r w:rsidR="008960AE" w:rsidRPr="00EC0229">
        <w:instrText xml:space="preserve"> XE "</w:instrText>
      </w:r>
      <w:r w:rsidR="008960AE" w:rsidRPr="00EC0229">
        <w:rPr>
          <w:rFonts w:cs="Times New Roman"/>
          <w:szCs w:val="24"/>
        </w:rPr>
        <w:instrText>Carolingian</w:instrText>
      </w:r>
      <w:r w:rsidR="008960AE" w:rsidRPr="00EC0229">
        <w:instrText xml:space="preserve">" </w:instrText>
      </w:r>
      <w:r w:rsidR="008960AE" w:rsidRPr="00EC0229">
        <w:rPr>
          <w:szCs w:val="24"/>
        </w:rPr>
        <w:fldChar w:fldCharType="end"/>
      </w:r>
      <w:r w:rsidRPr="00EC0229">
        <w:rPr>
          <w:szCs w:val="24"/>
        </w:rPr>
        <w:t xml:space="preserve"> solidi </w:t>
      </w:r>
      <w:r w:rsidR="00862F15" w:rsidRPr="00EC0229">
        <w:rPr>
          <w:szCs w:val="24"/>
        </w:rPr>
        <w:t>and</w:t>
      </w:r>
      <w:r w:rsidRPr="00EC0229">
        <w:rPr>
          <w:szCs w:val="24"/>
        </w:rPr>
        <w:t xml:space="preserve"> deniers are shown in the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5853EC" w:rsidRPr="00EC0229">
        <w:rPr>
          <w:i/>
          <w:szCs w:val="24"/>
        </w:rPr>
        <w:t>5</w:t>
      </w:r>
      <w:r w:rsidR="00A33C5C" w:rsidRPr="00EC0229">
        <w:rPr>
          <w:i/>
          <w:szCs w:val="24"/>
        </w:rPr>
        <w:t>.01</w:t>
      </w:r>
      <w:r w:rsidRPr="00EC0229">
        <w:rPr>
          <w:i/>
          <w:szCs w:val="24"/>
        </w:rPr>
        <w:t xml:space="preserve">, </w:t>
      </w:r>
      <w:r w:rsidRPr="00EC0229">
        <w:rPr>
          <w:szCs w:val="24"/>
        </w:rPr>
        <w:t>but are not given a period number as they are regarded as occasional intrusions despite the presence of English imitations of the Louis the Pious</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Louis the Pious</w:instrText>
      </w:r>
      <w:r w:rsidR="008960AE" w:rsidRPr="00EC0229">
        <w:instrText xml:space="preserve">" </w:instrText>
      </w:r>
      <w:r w:rsidR="008960AE" w:rsidRPr="00EC0229">
        <w:rPr>
          <w:szCs w:val="24"/>
        </w:rPr>
        <w:fldChar w:fldCharType="end"/>
      </w:r>
      <w:r w:rsidRPr="00EC0229">
        <w:rPr>
          <w:szCs w:val="24"/>
        </w:rPr>
        <w:t xml:space="preserve"> solidus</w:t>
      </w:r>
      <w:r w:rsidR="003F475D" w:rsidRPr="00EC0229">
        <w:rPr>
          <w:szCs w:val="24"/>
        </w:rPr>
        <w:t xml:space="preserve"> (</w:t>
      </w:r>
      <w:r w:rsidR="000B0D99" w:rsidRPr="00EC0229">
        <w:rPr>
          <w:szCs w:val="24"/>
        </w:rPr>
        <w:fldChar w:fldCharType="begin"/>
      </w:r>
      <w:r w:rsidR="000B0D99" w:rsidRPr="00EC0229">
        <w:rPr>
          <w:szCs w:val="24"/>
        </w:rPr>
        <w:instrText xml:space="preserve"> PAGEREF LoiusthePious \h </w:instrText>
      </w:r>
      <w:r w:rsidR="000B0D99" w:rsidRPr="00EC0229">
        <w:rPr>
          <w:szCs w:val="24"/>
        </w:rPr>
      </w:r>
      <w:r w:rsidR="000B0D99" w:rsidRPr="00EC0229">
        <w:rPr>
          <w:szCs w:val="24"/>
        </w:rPr>
        <w:fldChar w:fldCharType="separate"/>
      </w:r>
      <w:r w:rsidR="0012026B">
        <w:rPr>
          <w:noProof/>
          <w:szCs w:val="24"/>
        </w:rPr>
        <w:t>303</w:t>
      </w:r>
      <w:r w:rsidR="000B0D99" w:rsidRPr="00EC0229">
        <w:rPr>
          <w:szCs w:val="24"/>
        </w:rPr>
        <w:fldChar w:fldCharType="end"/>
      </w:r>
      <w:r w:rsidR="003F475D" w:rsidRPr="00EC0229">
        <w:rPr>
          <w:szCs w:val="24"/>
        </w:rPr>
        <w:t>)</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solidus</w:instrText>
      </w:r>
      <w:r w:rsidR="008960AE" w:rsidRPr="00EC0229">
        <w:instrText xml:space="preserve">" </w:instrText>
      </w:r>
      <w:r w:rsidR="008960AE" w:rsidRPr="00EC0229">
        <w:rPr>
          <w:szCs w:val="24"/>
        </w:rPr>
        <w:fldChar w:fldCharType="end"/>
      </w:r>
      <w:r w:rsidRPr="00EC0229">
        <w:rPr>
          <w:szCs w:val="24"/>
        </w:rPr>
        <w:t>.</w:t>
      </w:r>
    </w:p>
    <w:p w14:paraId="5D850835" w14:textId="0E67C6C2" w:rsidR="00A33875" w:rsidRPr="00EC0229" w:rsidRDefault="00A33875" w:rsidP="007600EA">
      <w:pPr>
        <w:pStyle w:val="NoSpacing"/>
        <w:spacing w:line="360" w:lineRule="auto"/>
        <w:rPr>
          <w:rFonts w:cs="Times New Roman"/>
          <w:sz w:val="18"/>
          <w:szCs w:val="18"/>
        </w:rPr>
      </w:pPr>
    </w:p>
    <w:p w14:paraId="3E40AA5D" w14:textId="235D487F" w:rsidR="00092110" w:rsidRPr="00EC0229" w:rsidRDefault="008259E1" w:rsidP="007600EA">
      <w:pPr>
        <w:pStyle w:val="Heading3"/>
        <w:spacing w:line="360" w:lineRule="auto"/>
      </w:pPr>
      <w:bookmarkStart w:id="351" w:name="_Toc468266800"/>
      <w:r>
        <w:t>5.3.6</w:t>
      </w:r>
      <w:r w:rsidR="000E1004">
        <w:t xml:space="preserve"> </w:t>
      </w:r>
      <w:r w:rsidR="00092110" w:rsidRPr="00EC0229">
        <w:t>Periods N6-N8: Eighth-century Northern sceats</w:t>
      </w:r>
      <w:bookmarkEnd w:id="351"/>
    </w:p>
    <w:p w14:paraId="64EB39B1" w14:textId="251961F4" w:rsidR="00A33875" w:rsidRPr="008259E1" w:rsidRDefault="008259E1" w:rsidP="008259E1">
      <w:pPr>
        <w:pStyle w:val="Heading4"/>
        <w:rPr>
          <w:b/>
        </w:rPr>
      </w:pPr>
      <w:bookmarkStart w:id="352" w:name="PeriodN6"/>
      <w:bookmarkStart w:id="353" w:name="_Toc468266801"/>
      <w:bookmarkEnd w:id="352"/>
      <w:r w:rsidRPr="008259E1">
        <w:rPr>
          <w:b/>
        </w:rPr>
        <w:t>5.3.6.1</w:t>
      </w:r>
      <w:r w:rsidRPr="008259E1">
        <w:rPr>
          <w:b/>
        </w:rPr>
        <w:tab/>
      </w:r>
      <w:r w:rsidR="00A33875" w:rsidRPr="008259E1">
        <w:rPr>
          <w:b/>
        </w:rPr>
        <w:t>Period N6</w:t>
      </w:r>
      <w:r w:rsidR="00F204A1" w:rsidRPr="008259E1">
        <w:rPr>
          <w:b/>
        </w:rPr>
        <w:fldChar w:fldCharType="begin"/>
      </w:r>
      <w:r w:rsidR="00F204A1" w:rsidRPr="008259E1">
        <w:rPr>
          <w:b/>
        </w:rPr>
        <w:instrText xml:space="preserve"> XE "</w:instrText>
      </w:r>
      <w:r w:rsidR="00F204A1" w:rsidRPr="008259E1">
        <w:rPr>
          <w:rStyle w:val="Hyperlink"/>
          <w:b/>
          <w:color w:val="auto"/>
          <w:u w:val="none"/>
        </w:rPr>
        <w:instrText>Period N6</w:instrText>
      </w:r>
      <w:r w:rsidR="00F204A1" w:rsidRPr="008259E1">
        <w:rPr>
          <w:b/>
        </w:rPr>
        <w:instrText xml:space="preserve">" </w:instrText>
      </w:r>
      <w:r w:rsidR="00F204A1" w:rsidRPr="008259E1">
        <w:rPr>
          <w:b/>
        </w:rPr>
        <w:fldChar w:fldCharType="end"/>
      </w:r>
      <w:r w:rsidR="007E372B" w:rsidRPr="008259E1">
        <w:rPr>
          <w:b/>
        </w:rPr>
        <w:t>, 737-780s:</w:t>
      </w:r>
      <w:r w:rsidR="00A33875" w:rsidRPr="008259E1">
        <w:rPr>
          <w:b/>
        </w:rPr>
        <w:t xml:space="preserve"> </w:t>
      </w:r>
      <w:bookmarkStart w:id="354" w:name="renovatio"/>
      <w:bookmarkEnd w:id="354"/>
      <w:r w:rsidR="00584C42" w:rsidRPr="008259E1">
        <w:rPr>
          <w:b/>
        </w:rPr>
        <w:fldChar w:fldCharType="begin"/>
      </w:r>
      <w:r w:rsidR="00584C42" w:rsidRPr="008259E1">
        <w:rPr>
          <w:b/>
        </w:rPr>
        <w:instrText xml:space="preserve"> XE "Coinage" </w:instrText>
      </w:r>
      <w:r w:rsidR="00584C42" w:rsidRPr="008259E1">
        <w:rPr>
          <w:b/>
        </w:rPr>
        <w:fldChar w:fldCharType="end"/>
      </w:r>
      <w:r w:rsidR="00A33875" w:rsidRPr="008259E1">
        <w:rPr>
          <w:b/>
        </w:rPr>
        <w:t>Eadberht</w:t>
      </w:r>
      <w:r w:rsidR="00D142DC" w:rsidRPr="008259E1">
        <w:rPr>
          <w:b/>
        </w:rPr>
        <w:fldChar w:fldCharType="begin"/>
      </w:r>
      <w:r w:rsidR="00D142DC" w:rsidRPr="008259E1">
        <w:rPr>
          <w:b/>
        </w:rPr>
        <w:instrText xml:space="preserve"> XE "Eadberht" </w:instrText>
      </w:r>
      <w:r w:rsidR="00D142DC" w:rsidRPr="008259E1">
        <w:rPr>
          <w:b/>
        </w:rPr>
        <w:fldChar w:fldCharType="end"/>
      </w:r>
      <w:r w:rsidR="00A33875" w:rsidRPr="008259E1">
        <w:rPr>
          <w:b/>
        </w:rPr>
        <w:t xml:space="preserve">’s </w:t>
      </w:r>
      <w:r w:rsidR="00A33875" w:rsidRPr="006B55BB">
        <w:rPr>
          <w:b/>
          <w:i/>
        </w:rPr>
        <w:t>renovatio</w:t>
      </w:r>
      <w:r w:rsidR="00F204A1" w:rsidRPr="008259E1">
        <w:rPr>
          <w:b/>
        </w:rPr>
        <w:fldChar w:fldCharType="begin"/>
      </w:r>
      <w:r w:rsidR="00F204A1" w:rsidRPr="008259E1">
        <w:rPr>
          <w:b/>
        </w:rPr>
        <w:instrText xml:space="preserve"> XE "</w:instrText>
      </w:r>
      <w:r w:rsidR="00F204A1" w:rsidRPr="008259E1">
        <w:rPr>
          <w:rStyle w:val="Hyperlink"/>
          <w:b/>
          <w:color w:val="auto"/>
          <w:u w:val="none"/>
        </w:rPr>
        <w:instrText>renovatio</w:instrText>
      </w:r>
      <w:r w:rsidR="00F204A1" w:rsidRPr="008259E1">
        <w:rPr>
          <w:b/>
        </w:rPr>
        <w:instrText xml:space="preserve">" </w:instrText>
      </w:r>
      <w:r w:rsidR="00F204A1" w:rsidRPr="008259E1">
        <w:rPr>
          <w:b/>
        </w:rPr>
        <w:fldChar w:fldCharType="end"/>
      </w:r>
      <w:r w:rsidR="006B55BB">
        <w:rPr>
          <w:b/>
        </w:rPr>
        <w:t xml:space="preserve"> and successors, 737-</w:t>
      </w:r>
      <w:r w:rsidR="00A33875" w:rsidRPr="008259E1">
        <w:rPr>
          <w:b/>
        </w:rPr>
        <w:t>780s</w:t>
      </w:r>
      <w:bookmarkEnd w:id="353"/>
    </w:p>
    <w:p w14:paraId="2F112075" w14:textId="4CCF7FEF" w:rsidR="00A33875" w:rsidRPr="00EC0229" w:rsidRDefault="00A33875" w:rsidP="007600EA">
      <w:pPr>
        <w:pStyle w:val="NoSpacing"/>
        <w:spacing w:line="360" w:lineRule="auto"/>
        <w:rPr>
          <w:rFonts w:cs="Times New Roman"/>
        </w:rPr>
      </w:pPr>
      <w:r w:rsidRPr="00EC0229">
        <w:rPr>
          <w:rFonts w:cs="Times New Roman"/>
        </w:rPr>
        <w:t>Returning to Eadberht</w:t>
      </w:r>
      <w:r w:rsidR="00D142DC" w:rsidRPr="00EC0229">
        <w:rPr>
          <w:rFonts w:cs="Times New Roman"/>
        </w:rPr>
        <w:fldChar w:fldCharType="begin"/>
      </w:r>
      <w:r w:rsidR="00D142DC" w:rsidRPr="00EC0229">
        <w:instrText xml:space="preserve"> XE "Eadberht" </w:instrText>
      </w:r>
      <w:r w:rsidR="00D142DC" w:rsidRPr="00EC0229">
        <w:rPr>
          <w:rFonts w:cs="Times New Roman"/>
        </w:rPr>
        <w:fldChar w:fldCharType="end"/>
      </w:r>
      <w:r w:rsidRPr="00EC0229">
        <w:rPr>
          <w:rFonts w:cs="Times New Roman"/>
        </w:rPr>
        <w:t>’s reformed coinage, the animal reverse resumed as a livelier, noble beast with features which may reflect a typical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 xml:space="preserve"> ambiguity</w:t>
      </w:r>
      <w:r w:rsidR="002D3934" w:rsidRPr="00EC0229">
        <w:rPr>
          <w:rFonts w:cs="Times New Roman"/>
        </w:rPr>
        <w:t xml:space="preserve"> </w:t>
      </w:r>
      <w:r w:rsidR="002D3934" w:rsidRPr="00EC0229">
        <w:rPr>
          <w:rFonts w:cs="Times New Roman"/>
          <w:szCs w:val="24"/>
        </w:rPr>
        <w:t>(</w:t>
      </w:r>
      <w:r w:rsidR="008C418A" w:rsidRPr="00EC0229">
        <w:rPr>
          <w:rFonts w:cs="Times New Roman"/>
          <w:szCs w:val="24"/>
        </w:rPr>
        <w:fldChar w:fldCharType="begin"/>
      </w:r>
      <w:r w:rsidR="008C418A" w:rsidRPr="00EC0229">
        <w:rPr>
          <w:rFonts w:cs="Times New Roman"/>
          <w:szCs w:val="24"/>
        </w:rPr>
        <w:instrText xml:space="preserve"> REF _Ref430246433 \h </w:instrText>
      </w:r>
      <w:r w:rsidR="007224B1"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46</w:t>
      </w:r>
      <w:r w:rsidR="008C418A" w:rsidRPr="00EC0229">
        <w:rPr>
          <w:rFonts w:cs="Times New Roman"/>
          <w:szCs w:val="24"/>
        </w:rPr>
        <w:fldChar w:fldCharType="end"/>
      </w:r>
      <w:r w:rsidR="002D3934" w:rsidRPr="00EC0229">
        <w:rPr>
          <w:rFonts w:cs="Times New Roman"/>
        </w:rPr>
        <w:t>)</w:t>
      </w:r>
      <w:r w:rsidRPr="00EC0229">
        <w:rPr>
          <w:rFonts w:cs="Times New Roman"/>
        </w:rPr>
        <w:t>. It is now a hybrid beast with stag-like attributes which may exhibit Celtic origins.</w:t>
      </w:r>
      <w:bookmarkStart w:id="355" w:name="_Ref437346034"/>
      <w:r w:rsidRPr="00EC0229">
        <w:rPr>
          <w:rStyle w:val="FootnoteReference"/>
          <w:rFonts w:cs="Times New Roman"/>
        </w:rPr>
        <w:footnoteReference w:id="599"/>
      </w:r>
      <w:bookmarkEnd w:id="355"/>
      <w:r w:rsidR="00F46707">
        <w:rPr>
          <w:rFonts w:cs="Times New Roman"/>
          <w:vertAlign w:val="superscript"/>
        </w:rPr>
        <w:t xml:space="preserve"> </w:t>
      </w:r>
      <w:r w:rsidRPr="00EC0229">
        <w:rPr>
          <w:rFonts w:cs="Times New Roman"/>
        </w:rPr>
        <w:t>The type extended into the 780s under Eadberht’s successors Alchred</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Alchred</w:instrText>
      </w:r>
      <w:r w:rsidR="004C29A9" w:rsidRPr="00EC0229">
        <w:instrText xml:space="preserve">" </w:instrText>
      </w:r>
      <w:r w:rsidR="004C29A9" w:rsidRPr="00EC0229">
        <w:rPr>
          <w:rFonts w:cs="Times New Roman"/>
        </w:rPr>
        <w:fldChar w:fldCharType="end"/>
      </w:r>
      <w:r w:rsidRPr="00EC0229">
        <w:rPr>
          <w:rFonts w:cs="Times New Roman"/>
        </w:rPr>
        <w:t>, Æthelred</w:t>
      </w:r>
      <w:r w:rsidR="00D142DC" w:rsidRPr="00EC0229">
        <w:rPr>
          <w:rFonts w:cs="Times New Roman"/>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rPr>
        <w:fldChar w:fldCharType="end"/>
      </w:r>
      <w:r w:rsidRPr="00EC0229">
        <w:rPr>
          <w:rFonts w:cs="Times New Roman"/>
        </w:rPr>
        <w:t xml:space="preserve"> I (first reign) and Ælfwald</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rFonts w:cs="Times New Roman"/>
        </w:rPr>
        <w:fldChar w:fldCharType="end"/>
      </w:r>
      <w:r w:rsidRPr="00EC0229">
        <w:rPr>
          <w:rFonts w:cs="Times New Roman"/>
        </w:rPr>
        <w:t xml:space="preserve"> I (</w:t>
      </w:r>
      <w:r w:rsidRPr="00EC0229">
        <w:rPr>
          <w:rFonts w:cs="Times New Roman"/>
          <w:i/>
        </w:rPr>
        <w:t>SL</w:t>
      </w:r>
      <w:r w:rsidRPr="00EC0229">
        <w:rPr>
          <w:rFonts w:cs="Times New Roman"/>
        </w:rPr>
        <w:t>70-73)</w:t>
      </w:r>
      <w:r w:rsidR="002D3934" w:rsidRPr="00EC0229">
        <w:rPr>
          <w:rFonts w:cs="Times New Roman"/>
        </w:rPr>
        <w:t xml:space="preserve"> </w:t>
      </w:r>
      <w:r w:rsidR="002D3934"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_Ref430246449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47</w:t>
      </w:r>
      <w:r w:rsidR="008C418A" w:rsidRPr="00EC0229">
        <w:rPr>
          <w:rFonts w:cs="Times New Roman"/>
          <w:szCs w:val="24"/>
        </w:rPr>
        <w:fldChar w:fldCharType="end"/>
      </w:r>
      <w:r w:rsidR="002D3934" w:rsidRPr="00EC0229">
        <w:rPr>
          <w:rFonts w:cs="Times New Roman"/>
        </w:rPr>
        <w:t>)</w:t>
      </w:r>
      <w:r w:rsidRPr="00EC0229">
        <w:rPr>
          <w:rFonts w:cs="Times New Roman"/>
        </w:rPr>
        <w:t>.</w:t>
      </w:r>
    </w:p>
    <w:p w14:paraId="3F16E439" w14:textId="77777777" w:rsidR="00A33875" w:rsidRPr="00EC0229" w:rsidRDefault="00A33875" w:rsidP="007600EA">
      <w:pPr>
        <w:pStyle w:val="NoSpacing"/>
        <w:spacing w:line="360" w:lineRule="auto"/>
        <w:rPr>
          <w:rFonts w:cs="Times New Roman"/>
        </w:rPr>
      </w:pPr>
    </w:p>
    <w:p w14:paraId="6C3E2FA1" w14:textId="77777777" w:rsidR="00A33875" w:rsidRPr="00EC0229" w:rsidRDefault="00A33875" w:rsidP="007600EA">
      <w:pPr>
        <w:pStyle w:val="NoSpacing"/>
        <w:spacing w:line="360" w:lineRule="auto"/>
        <w:jc w:val="center"/>
      </w:pPr>
      <w:r w:rsidRPr="00EC0229">
        <w:rPr>
          <w:noProof/>
          <w:lang w:eastAsia="en-GB"/>
        </w:rPr>
        <w:drawing>
          <wp:inline distT="0" distB="0" distL="0" distR="0" wp14:anchorId="19B454C4" wp14:editId="36249688">
            <wp:extent cx="838200" cy="835405"/>
            <wp:effectExtent l="0" t="0" r="0" b="31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70-10 Y070.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847949" cy="845121"/>
                    </a:xfrm>
                    <a:prstGeom prst="rect">
                      <a:avLst/>
                    </a:prstGeom>
                  </pic:spPr>
                </pic:pic>
              </a:graphicData>
            </a:graphic>
          </wp:inline>
        </w:drawing>
      </w:r>
      <w:r w:rsidRPr="00EC0229">
        <w:rPr>
          <w:noProof/>
          <w:lang w:eastAsia="en-GB"/>
        </w:rPr>
        <w:drawing>
          <wp:inline distT="0" distB="0" distL="0" distR="0" wp14:anchorId="34AFA324" wp14:editId="51127DB5">
            <wp:extent cx="807720" cy="814451"/>
            <wp:effectExtent l="0" t="0" r="0" b="508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70-10 Y070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820012" cy="826846"/>
                    </a:xfrm>
                    <a:prstGeom prst="rect">
                      <a:avLst/>
                    </a:prstGeom>
                  </pic:spPr>
                </pic:pic>
              </a:graphicData>
            </a:graphic>
          </wp:inline>
        </w:drawing>
      </w:r>
      <w:r w:rsidRPr="00EC0229">
        <w:tab/>
        <w:t xml:space="preserve"> </w:t>
      </w:r>
      <w:r w:rsidRPr="00EC0229">
        <w:rPr>
          <w:noProof/>
          <w:lang w:eastAsia="en-GB"/>
        </w:rPr>
        <w:drawing>
          <wp:inline distT="0" distB="0" distL="0" distR="0" wp14:anchorId="4D6D7C98" wp14:editId="7C51A603">
            <wp:extent cx="895916" cy="857094"/>
            <wp:effectExtent l="0" t="0" r="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70-60 Y105.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895916" cy="857094"/>
                    </a:xfrm>
                    <a:prstGeom prst="rect">
                      <a:avLst/>
                    </a:prstGeom>
                  </pic:spPr>
                </pic:pic>
              </a:graphicData>
            </a:graphic>
          </wp:inline>
        </w:drawing>
      </w:r>
      <w:r w:rsidRPr="00EC0229">
        <w:rPr>
          <w:noProof/>
          <w:lang w:eastAsia="en-GB"/>
        </w:rPr>
        <w:drawing>
          <wp:inline distT="0" distB="0" distL="0" distR="0" wp14:anchorId="635AB647" wp14:editId="2A0F9EEE">
            <wp:extent cx="860824" cy="84074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70-60 Y105R.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868916" cy="848643"/>
                    </a:xfrm>
                    <a:prstGeom prst="rect">
                      <a:avLst/>
                    </a:prstGeom>
                  </pic:spPr>
                </pic:pic>
              </a:graphicData>
            </a:graphic>
          </wp:inline>
        </w:drawing>
      </w:r>
      <w:r w:rsidRPr="00EC0229">
        <w:tab/>
        <w:t xml:space="preserve">    </w:t>
      </w:r>
      <w:r w:rsidRPr="00EC0229">
        <w:rPr>
          <w:noProof/>
          <w:lang w:eastAsia="en-GB"/>
        </w:rPr>
        <w:drawing>
          <wp:inline distT="0" distB="0" distL="0" distR="0" wp14:anchorId="3450E1D6" wp14:editId="1DF48C43">
            <wp:extent cx="849751" cy="845503"/>
            <wp:effectExtent l="0" t="0" r="762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70-90 Y135.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856399" cy="852117"/>
                    </a:xfrm>
                    <a:prstGeom prst="rect">
                      <a:avLst/>
                    </a:prstGeom>
                  </pic:spPr>
                </pic:pic>
              </a:graphicData>
            </a:graphic>
          </wp:inline>
        </w:drawing>
      </w:r>
      <w:r w:rsidRPr="00EC0229">
        <w:rPr>
          <w:noProof/>
          <w:lang w:eastAsia="en-GB"/>
        </w:rPr>
        <w:drawing>
          <wp:inline distT="0" distB="0" distL="0" distR="0" wp14:anchorId="49B59EB0" wp14:editId="57959031">
            <wp:extent cx="807720" cy="833298"/>
            <wp:effectExtent l="0" t="0" r="0"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70-90 Y135R.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813203" cy="838954"/>
                    </a:xfrm>
                    <a:prstGeom prst="rect">
                      <a:avLst/>
                    </a:prstGeom>
                  </pic:spPr>
                </pic:pic>
              </a:graphicData>
            </a:graphic>
          </wp:inline>
        </w:drawing>
      </w:r>
    </w:p>
    <w:p w14:paraId="17820581" w14:textId="4E6970E4" w:rsidR="002D3934" w:rsidRPr="00EC0229" w:rsidRDefault="00F13F40" w:rsidP="007600EA">
      <w:pPr>
        <w:pStyle w:val="NoSpacing"/>
        <w:spacing w:line="360" w:lineRule="auto"/>
        <w:jc w:val="center"/>
        <w:rPr>
          <w:sz w:val="20"/>
          <w:szCs w:val="20"/>
        </w:rPr>
      </w:pPr>
      <w:bookmarkStart w:id="356" w:name="_Ref430246433"/>
      <w:bookmarkStart w:id="357" w:name="_Toc46826701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46</w:t>
      </w:r>
      <w:r w:rsidRPr="00EC0229">
        <w:rPr>
          <w:sz w:val="20"/>
          <w:szCs w:val="20"/>
        </w:rPr>
        <w:fldChar w:fldCharType="end"/>
      </w:r>
      <w:bookmarkEnd w:id="356"/>
      <w:r w:rsidR="005F4B60" w:rsidRPr="00EC0229">
        <w:rPr>
          <w:sz w:val="20"/>
          <w:szCs w:val="20"/>
        </w:rPr>
        <w:t xml:space="preserve">: </w:t>
      </w:r>
      <w:r w:rsidR="00A33875" w:rsidRPr="00EC0229">
        <w:rPr>
          <w:sz w:val="20"/>
          <w:szCs w:val="20"/>
        </w:rPr>
        <w:t>A selection of sceats of 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00A33875" w:rsidRPr="00EC0229">
        <w:rPr>
          <w:sz w:val="20"/>
          <w:szCs w:val="20"/>
        </w:rPr>
        <w:t>.</w:t>
      </w:r>
      <w:bookmarkEnd w:id="357"/>
    </w:p>
    <w:p w14:paraId="28B613EC" w14:textId="277C81E4" w:rsidR="00A33875" w:rsidRPr="00EC0229" w:rsidRDefault="002D3934" w:rsidP="007600EA">
      <w:pPr>
        <w:pStyle w:val="NoSpacing"/>
        <w:spacing w:line="360" w:lineRule="auto"/>
        <w:jc w:val="center"/>
        <w:rPr>
          <w:sz w:val="20"/>
          <w:szCs w:val="20"/>
        </w:rPr>
      </w:pPr>
      <w:r w:rsidRPr="00EC0229">
        <w:rPr>
          <w:sz w:val="20"/>
          <w:szCs w:val="20"/>
        </w:rPr>
        <w:t xml:space="preserve">L-R: </w:t>
      </w:r>
      <w:r w:rsidR="00A33875" w:rsidRPr="00EC0229">
        <w:rPr>
          <w:sz w:val="20"/>
          <w:szCs w:val="20"/>
        </w:rPr>
        <w:t xml:space="preserve">Class </w:t>
      </w:r>
      <w:r w:rsidR="00A33875" w:rsidRPr="00EC0229">
        <w:rPr>
          <w:i/>
          <w:sz w:val="20"/>
          <w:szCs w:val="20"/>
        </w:rPr>
        <w:t>Ai</w:t>
      </w:r>
      <w:r w:rsidR="00A33875" w:rsidRPr="00EC0229">
        <w:rPr>
          <w:sz w:val="20"/>
          <w:szCs w:val="20"/>
        </w:rPr>
        <w:t xml:space="preserve"> (</w:t>
      </w:r>
      <w:r w:rsidR="00A33875" w:rsidRPr="00EC0229">
        <w:rPr>
          <w:i/>
          <w:sz w:val="20"/>
          <w:szCs w:val="20"/>
        </w:rPr>
        <w:t>SL</w:t>
      </w:r>
      <w:r w:rsidR="00A33875" w:rsidRPr="00EC0229">
        <w:rPr>
          <w:sz w:val="20"/>
          <w:szCs w:val="20"/>
        </w:rPr>
        <w:t>70-10, findspot unknown), (</w:t>
      </w:r>
      <w:r w:rsidR="00A33875" w:rsidRPr="00EC0229">
        <w:rPr>
          <w:i/>
          <w:sz w:val="20"/>
          <w:szCs w:val="20"/>
        </w:rPr>
        <w:t>SL</w:t>
      </w:r>
      <w:r w:rsidR="00A33875" w:rsidRPr="00EC0229">
        <w:rPr>
          <w:sz w:val="20"/>
          <w:szCs w:val="20"/>
        </w:rPr>
        <w:t>70-60) Rillington</w:t>
      </w:r>
      <w:r w:rsidR="006B1593" w:rsidRPr="00EC0229">
        <w:rPr>
          <w:sz w:val="20"/>
          <w:szCs w:val="20"/>
        </w:rPr>
        <w:fldChar w:fldCharType="begin"/>
      </w:r>
      <w:r w:rsidR="006B1593" w:rsidRPr="00EC0229">
        <w:instrText xml:space="preserve"> XE "</w:instrText>
      </w:r>
      <w:r w:rsidR="006B1593" w:rsidRPr="00EC0229">
        <w:rPr>
          <w:rStyle w:val="Hyperlink"/>
          <w:noProof/>
          <w:u w:val="none"/>
        </w:rPr>
        <w:instrText>Rillington</w:instrText>
      </w:r>
      <w:r w:rsidR="006B1593" w:rsidRPr="00EC0229">
        <w:instrText xml:space="preserve">" </w:instrText>
      </w:r>
      <w:r w:rsidR="006B1593" w:rsidRPr="00EC0229">
        <w:rPr>
          <w:sz w:val="20"/>
          <w:szCs w:val="20"/>
        </w:rPr>
        <w:fldChar w:fldCharType="end"/>
      </w:r>
      <w:r w:rsidR="00A33875" w:rsidRPr="00EC0229">
        <w:rPr>
          <w:sz w:val="20"/>
          <w:szCs w:val="20"/>
        </w:rPr>
        <w:t xml:space="preserve"> and </w:t>
      </w:r>
      <w:r w:rsidR="00A33875" w:rsidRPr="00EC0229">
        <w:rPr>
          <w:i/>
          <w:sz w:val="20"/>
          <w:szCs w:val="20"/>
        </w:rPr>
        <w:t>Biv</w:t>
      </w:r>
      <w:r w:rsidR="00A33875" w:rsidRPr="00EC0229">
        <w:rPr>
          <w:sz w:val="20"/>
          <w:szCs w:val="20"/>
        </w:rPr>
        <w:t xml:space="preserve"> (</w:t>
      </w:r>
      <w:r w:rsidR="00A33875" w:rsidRPr="00EC0229">
        <w:rPr>
          <w:i/>
          <w:sz w:val="20"/>
          <w:szCs w:val="20"/>
        </w:rPr>
        <w:t>SL</w:t>
      </w:r>
      <w:r w:rsidR="00A33875" w:rsidRPr="00EC0229">
        <w:rPr>
          <w:sz w:val="20"/>
          <w:szCs w:val="20"/>
        </w:rPr>
        <w:t>70-90) Fimber.</w:t>
      </w:r>
    </w:p>
    <w:p w14:paraId="6C2715E1" w14:textId="77777777" w:rsidR="00A33875" w:rsidRPr="00EC0229" w:rsidRDefault="00A33875" w:rsidP="007600EA">
      <w:pPr>
        <w:pStyle w:val="NoSpacing"/>
        <w:spacing w:line="360" w:lineRule="auto"/>
        <w:jc w:val="center"/>
        <w:rPr>
          <w:sz w:val="20"/>
          <w:szCs w:val="20"/>
        </w:rPr>
      </w:pPr>
      <w:r w:rsidRPr="00EC0229">
        <w:rPr>
          <w:noProof/>
          <w:sz w:val="20"/>
          <w:szCs w:val="20"/>
          <w:lang w:eastAsia="en-GB"/>
        </w:rPr>
        <w:lastRenderedPageBreak/>
        <w:drawing>
          <wp:inline distT="0" distB="0" distL="0" distR="0" wp14:anchorId="1FC981DE" wp14:editId="1087E1DD">
            <wp:extent cx="817629" cy="810814"/>
            <wp:effectExtent l="0" t="0" r="1905" b="889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71-10 Y590.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837690" cy="830708"/>
                    </a:xfrm>
                    <a:prstGeom prst="rect">
                      <a:avLst/>
                    </a:prstGeom>
                  </pic:spPr>
                </pic:pic>
              </a:graphicData>
            </a:graphic>
          </wp:inline>
        </w:drawing>
      </w:r>
      <w:r w:rsidRPr="00EC0229">
        <w:rPr>
          <w:noProof/>
          <w:sz w:val="20"/>
          <w:szCs w:val="20"/>
          <w:lang w:eastAsia="en-GB"/>
        </w:rPr>
        <w:drawing>
          <wp:inline distT="0" distB="0" distL="0" distR="0" wp14:anchorId="47F0A850" wp14:editId="7675D469">
            <wp:extent cx="825089" cy="84159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71-10 Y590R.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836560" cy="853292"/>
                    </a:xfrm>
                    <a:prstGeom prst="rect">
                      <a:avLst/>
                    </a:prstGeom>
                  </pic:spPr>
                </pic:pic>
              </a:graphicData>
            </a:graphic>
          </wp:inline>
        </w:drawing>
      </w:r>
      <w:r w:rsidRPr="00EC0229">
        <w:rPr>
          <w:sz w:val="20"/>
          <w:szCs w:val="20"/>
        </w:rPr>
        <w:tab/>
        <w:t xml:space="preserve"> </w:t>
      </w:r>
      <w:r w:rsidRPr="00EC0229">
        <w:rPr>
          <w:noProof/>
          <w:sz w:val="20"/>
          <w:szCs w:val="20"/>
          <w:lang w:eastAsia="en-GB"/>
        </w:rPr>
        <w:drawing>
          <wp:inline distT="0" distB="0" distL="0" distR="0" wp14:anchorId="2162A7B3" wp14:editId="60C832B3">
            <wp:extent cx="792480" cy="809650"/>
            <wp:effectExtent l="0" t="0" r="762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72-20 Y240.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803173" cy="820574"/>
                    </a:xfrm>
                    <a:prstGeom prst="rect">
                      <a:avLst/>
                    </a:prstGeom>
                  </pic:spPr>
                </pic:pic>
              </a:graphicData>
            </a:graphic>
          </wp:inline>
        </w:drawing>
      </w:r>
      <w:r w:rsidRPr="00EC0229">
        <w:rPr>
          <w:noProof/>
          <w:sz w:val="20"/>
          <w:szCs w:val="20"/>
          <w:lang w:eastAsia="en-GB"/>
        </w:rPr>
        <w:drawing>
          <wp:inline distT="0" distB="0" distL="0" distR="0" wp14:anchorId="7B4DF176" wp14:editId="78354668">
            <wp:extent cx="815340" cy="838441"/>
            <wp:effectExtent l="0" t="0" r="381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72-20 Y240R.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822951" cy="846267"/>
                    </a:xfrm>
                    <a:prstGeom prst="rect">
                      <a:avLst/>
                    </a:prstGeom>
                  </pic:spPr>
                </pic:pic>
              </a:graphicData>
            </a:graphic>
          </wp:inline>
        </w:drawing>
      </w:r>
      <w:r w:rsidRPr="00EC0229">
        <w:rPr>
          <w:sz w:val="20"/>
          <w:szCs w:val="20"/>
        </w:rPr>
        <w:tab/>
        <w:t xml:space="preserve"> </w:t>
      </w:r>
      <w:r w:rsidRPr="00EC0229">
        <w:rPr>
          <w:noProof/>
          <w:sz w:val="20"/>
          <w:szCs w:val="20"/>
          <w:lang w:eastAsia="en-GB"/>
        </w:rPr>
        <w:drawing>
          <wp:inline distT="0" distB="0" distL="0" distR="0" wp14:anchorId="2EDAFE71" wp14:editId="225FF5DE">
            <wp:extent cx="866413" cy="838977"/>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73-20 Y180.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876032" cy="848291"/>
                    </a:xfrm>
                    <a:prstGeom prst="rect">
                      <a:avLst/>
                    </a:prstGeom>
                  </pic:spPr>
                </pic:pic>
              </a:graphicData>
            </a:graphic>
          </wp:inline>
        </w:drawing>
      </w:r>
      <w:r w:rsidRPr="00EC0229">
        <w:rPr>
          <w:noProof/>
          <w:sz w:val="20"/>
          <w:szCs w:val="20"/>
          <w:lang w:eastAsia="en-GB"/>
        </w:rPr>
        <w:drawing>
          <wp:inline distT="0" distB="0" distL="0" distR="0" wp14:anchorId="5667FDB2" wp14:editId="6E7C6A68">
            <wp:extent cx="861060" cy="838098"/>
            <wp:effectExtent l="0" t="0" r="0" b="63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73-20 Y180R.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877631" cy="854227"/>
                    </a:xfrm>
                    <a:prstGeom prst="rect">
                      <a:avLst/>
                    </a:prstGeom>
                  </pic:spPr>
                </pic:pic>
              </a:graphicData>
            </a:graphic>
          </wp:inline>
        </w:drawing>
      </w:r>
    </w:p>
    <w:p w14:paraId="5DB1D27C" w14:textId="6902C6BF" w:rsidR="00F13F40" w:rsidRPr="00EC0229" w:rsidRDefault="00F13F40" w:rsidP="007600EA">
      <w:pPr>
        <w:pStyle w:val="NoSpacing"/>
        <w:spacing w:line="360" w:lineRule="auto"/>
        <w:jc w:val="center"/>
        <w:rPr>
          <w:sz w:val="20"/>
          <w:szCs w:val="20"/>
        </w:rPr>
      </w:pPr>
      <w:bookmarkStart w:id="358" w:name="_Ref430246449"/>
      <w:bookmarkStart w:id="359" w:name="_Toc468267019"/>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47</w:t>
      </w:r>
      <w:r w:rsidRPr="00EC0229">
        <w:rPr>
          <w:sz w:val="20"/>
          <w:szCs w:val="20"/>
        </w:rPr>
        <w:fldChar w:fldCharType="end"/>
      </w:r>
      <w:bookmarkEnd w:id="358"/>
      <w:r w:rsidR="002D3934" w:rsidRPr="00EC0229">
        <w:rPr>
          <w:sz w:val="20"/>
          <w:szCs w:val="20"/>
        </w:rPr>
        <w:t xml:space="preserve">: </w:t>
      </w:r>
      <w:r w:rsidR="00A33875" w:rsidRPr="00EC0229">
        <w:rPr>
          <w:sz w:val="20"/>
          <w:szCs w:val="20"/>
        </w:rPr>
        <w:t>Scarcer, fantastic animal, types</w:t>
      </w:r>
      <w:bookmarkEnd w:id="359"/>
    </w:p>
    <w:p w14:paraId="1383ACD4" w14:textId="77777777" w:rsidR="00F13F40" w:rsidRPr="00EC0229" w:rsidRDefault="00A33875" w:rsidP="007600EA">
      <w:pPr>
        <w:pStyle w:val="NoSpacing"/>
        <w:spacing w:line="360" w:lineRule="auto"/>
        <w:jc w:val="center"/>
        <w:rPr>
          <w:rFonts w:cs="Times New Roman"/>
          <w:sz w:val="20"/>
          <w:szCs w:val="20"/>
        </w:rPr>
      </w:pPr>
      <w:r w:rsidRPr="00EC0229">
        <w:rPr>
          <w:rFonts w:cs="Times New Roman"/>
          <w:sz w:val="20"/>
          <w:szCs w:val="20"/>
        </w:rPr>
        <w:t>Alchred</w:t>
      </w:r>
      <w:r w:rsidR="004C29A9" w:rsidRPr="00EC0229">
        <w:rPr>
          <w:rFonts w:cs="Times New Roman"/>
          <w:sz w:val="20"/>
          <w:szCs w:val="20"/>
        </w:rPr>
        <w:fldChar w:fldCharType="begin"/>
      </w:r>
      <w:r w:rsidR="004C29A9" w:rsidRPr="00EC0229">
        <w:rPr>
          <w:sz w:val="20"/>
          <w:szCs w:val="20"/>
        </w:rPr>
        <w:instrText xml:space="preserve"> XE "</w:instrText>
      </w:r>
      <w:r w:rsidR="004C29A9" w:rsidRPr="00EC0229">
        <w:rPr>
          <w:rFonts w:cs="Times New Roman"/>
          <w:sz w:val="20"/>
          <w:szCs w:val="20"/>
        </w:rPr>
        <w:instrText>Alchred</w:instrText>
      </w:r>
      <w:r w:rsidR="004C29A9" w:rsidRPr="00EC0229">
        <w:rPr>
          <w:sz w:val="20"/>
          <w:szCs w:val="20"/>
        </w:rPr>
        <w:instrText xml:space="preserve">" </w:instrText>
      </w:r>
      <w:r w:rsidR="004C29A9" w:rsidRPr="00EC0229">
        <w:rPr>
          <w:rFonts w:cs="Times New Roman"/>
          <w:sz w:val="20"/>
          <w:szCs w:val="20"/>
        </w:rPr>
        <w:fldChar w:fldCharType="end"/>
      </w:r>
      <w:r w:rsidRPr="00EC0229">
        <w:rPr>
          <w:rFonts w:cs="Times New Roman"/>
          <w:sz w:val="20"/>
          <w:szCs w:val="20"/>
        </w:rPr>
        <w:t xml:space="preserve"> (</w:t>
      </w:r>
      <w:r w:rsidRPr="00EC0229">
        <w:rPr>
          <w:i/>
          <w:sz w:val="20"/>
          <w:szCs w:val="20"/>
        </w:rPr>
        <w:t>SL</w:t>
      </w:r>
      <w:r w:rsidRPr="00EC0229">
        <w:rPr>
          <w:rFonts w:cs="Times New Roman"/>
          <w:sz w:val="20"/>
          <w:szCs w:val="20"/>
        </w:rPr>
        <w:t>71-10), Æthelred</w:t>
      </w:r>
      <w:r w:rsidR="00D142DC" w:rsidRPr="00EC0229">
        <w:rPr>
          <w:rFonts w:cs="Times New Roman"/>
          <w:sz w:val="20"/>
          <w:szCs w:val="20"/>
        </w:rPr>
        <w:fldChar w:fldCharType="begin"/>
      </w:r>
      <w:r w:rsidR="00D142DC" w:rsidRPr="00EC0229">
        <w:rPr>
          <w:sz w:val="20"/>
          <w:szCs w:val="20"/>
        </w:rPr>
        <w:instrText xml:space="preserve"> XE "</w:instrText>
      </w:r>
      <w:r w:rsidR="00D142DC" w:rsidRPr="00EC0229">
        <w:rPr>
          <w:rFonts w:cs="Times New Roman"/>
          <w:sz w:val="20"/>
          <w:szCs w:val="20"/>
        </w:rPr>
        <w:instrText>Æ</w:instrText>
      </w:r>
      <w:r w:rsidR="00D142DC" w:rsidRPr="00EC0229">
        <w:rPr>
          <w:sz w:val="20"/>
          <w:szCs w:val="20"/>
        </w:rPr>
        <w:instrText xml:space="preserve">thelred" </w:instrText>
      </w:r>
      <w:r w:rsidR="00D142DC" w:rsidRPr="00EC0229">
        <w:rPr>
          <w:rFonts w:cs="Times New Roman"/>
          <w:sz w:val="20"/>
          <w:szCs w:val="20"/>
        </w:rPr>
        <w:fldChar w:fldCharType="end"/>
      </w:r>
      <w:r w:rsidRPr="00EC0229">
        <w:rPr>
          <w:rFonts w:cs="Times New Roman"/>
          <w:sz w:val="20"/>
          <w:szCs w:val="20"/>
        </w:rPr>
        <w:t xml:space="preserve"> I (</w:t>
      </w:r>
      <w:r w:rsidRPr="00EC0229">
        <w:rPr>
          <w:i/>
          <w:sz w:val="20"/>
          <w:szCs w:val="20"/>
        </w:rPr>
        <w:t>SL</w:t>
      </w:r>
      <w:r w:rsidRPr="00EC0229">
        <w:rPr>
          <w:rFonts w:cs="Times New Roman"/>
          <w:sz w:val="20"/>
          <w:szCs w:val="20"/>
        </w:rPr>
        <w:t>72-10, first reign) and Ælfwald</w:t>
      </w:r>
      <w:r w:rsidR="004C29A9" w:rsidRPr="00EC0229">
        <w:rPr>
          <w:rFonts w:cs="Times New Roman"/>
          <w:sz w:val="20"/>
          <w:szCs w:val="20"/>
        </w:rPr>
        <w:fldChar w:fldCharType="begin"/>
      </w:r>
      <w:r w:rsidR="004C29A9" w:rsidRPr="00EC0229">
        <w:rPr>
          <w:sz w:val="20"/>
          <w:szCs w:val="20"/>
        </w:rPr>
        <w:instrText xml:space="preserve"> XE "</w:instrText>
      </w:r>
      <w:r w:rsidR="004C29A9" w:rsidRPr="00EC0229">
        <w:rPr>
          <w:rFonts w:cs="Times New Roman"/>
          <w:sz w:val="20"/>
          <w:szCs w:val="20"/>
        </w:rPr>
        <w:instrText>Ælfwald</w:instrText>
      </w:r>
      <w:r w:rsidR="004C29A9" w:rsidRPr="00EC0229">
        <w:rPr>
          <w:sz w:val="20"/>
          <w:szCs w:val="20"/>
        </w:rPr>
        <w:instrText xml:space="preserve">" </w:instrText>
      </w:r>
      <w:r w:rsidR="004C29A9" w:rsidRPr="00EC0229">
        <w:rPr>
          <w:rFonts w:cs="Times New Roman"/>
          <w:sz w:val="20"/>
          <w:szCs w:val="20"/>
        </w:rPr>
        <w:fldChar w:fldCharType="end"/>
      </w:r>
      <w:r w:rsidRPr="00EC0229">
        <w:rPr>
          <w:rFonts w:cs="Times New Roman"/>
          <w:sz w:val="20"/>
          <w:szCs w:val="20"/>
        </w:rPr>
        <w:t xml:space="preserve"> I (</w:t>
      </w:r>
      <w:r w:rsidRPr="00EC0229">
        <w:rPr>
          <w:i/>
          <w:sz w:val="20"/>
          <w:szCs w:val="20"/>
        </w:rPr>
        <w:t>SL</w:t>
      </w:r>
      <w:r w:rsidRPr="00EC0229">
        <w:rPr>
          <w:rFonts w:cs="Times New Roman"/>
          <w:sz w:val="20"/>
          <w:szCs w:val="20"/>
        </w:rPr>
        <w:t>73-20).</w:t>
      </w:r>
      <w:r w:rsidR="002D3934" w:rsidRPr="00EC0229">
        <w:rPr>
          <w:rFonts w:cs="Times New Roman"/>
          <w:sz w:val="20"/>
          <w:szCs w:val="20"/>
        </w:rPr>
        <w:t xml:space="preserve"> </w:t>
      </w:r>
    </w:p>
    <w:p w14:paraId="58E31A20" w14:textId="3D8A0B6C" w:rsidR="00A33875" w:rsidRPr="00EC0229" w:rsidRDefault="00A33875" w:rsidP="007600EA">
      <w:pPr>
        <w:pStyle w:val="NoSpacing"/>
        <w:spacing w:line="360" w:lineRule="auto"/>
        <w:jc w:val="center"/>
        <w:rPr>
          <w:rFonts w:cs="Times New Roman"/>
          <w:sz w:val="20"/>
          <w:szCs w:val="20"/>
        </w:rPr>
      </w:pPr>
      <w:r w:rsidRPr="00EC0229">
        <w:rPr>
          <w:rFonts w:cs="Times New Roman"/>
          <w:sz w:val="20"/>
          <w:szCs w:val="20"/>
        </w:rPr>
        <w:t>Found: east of York</w:t>
      </w:r>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York</w:instrText>
      </w:r>
      <w:r w:rsidR="006B1593" w:rsidRPr="00EC0229">
        <w:rPr>
          <w:sz w:val="20"/>
          <w:szCs w:val="20"/>
        </w:rPr>
        <w:instrText xml:space="preserve">" </w:instrText>
      </w:r>
      <w:r w:rsidR="006B1593" w:rsidRPr="00EC0229">
        <w:rPr>
          <w:rFonts w:cs="Times New Roman"/>
          <w:sz w:val="20"/>
          <w:szCs w:val="20"/>
        </w:rPr>
        <w:fldChar w:fldCharType="end"/>
      </w:r>
      <w:r w:rsidRPr="00EC0229">
        <w:rPr>
          <w:rFonts w:cs="Times New Roman"/>
          <w:sz w:val="20"/>
          <w:szCs w:val="20"/>
        </w:rPr>
        <w:t>, Market Weighton and 2 miles west of Thirsk.</w:t>
      </w:r>
    </w:p>
    <w:p w14:paraId="1B6E14B2" w14:textId="77777777" w:rsidR="00A33875" w:rsidRPr="00EC0229" w:rsidRDefault="00A33875" w:rsidP="007600EA">
      <w:pPr>
        <w:pStyle w:val="NoSpacing"/>
        <w:spacing w:line="360" w:lineRule="auto"/>
        <w:rPr>
          <w:rFonts w:cs="Times New Roman"/>
        </w:rPr>
      </w:pPr>
    </w:p>
    <w:p w14:paraId="691CA6AF" w14:textId="68550F76" w:rsidR="00A33875" w:rsidRPr="00EC0229" w:rsidRDefault="00A33875" w:rsidP="007600EA">
      <w:pPr>
        <w:pStyle w:val="NoSpacing"/>
        <w:spacing w:line="360" w:lineRule="auto"/>
        <w:rPr>
          <w:rFonts w:cs="Times New Roman"/>
          <w:color w:val="FF0000"/>
        </w:rPr>
      </w:pPr>
      <w:bookmarkStart w:id="360" w:name="ClassF"/>
      <w:bookmarkEnd w:id="360"/>
      <w:r w:rsidRPr="00EC0229">
        <w:rPr>
          <w:rFonts w:cs="Times New Roman"/>
        </w:rPr>
        <w:t>Eadberht</w:t>
      </w:r>
      <w:r w:rsidR="00D142DC" w:rsidRPr="00EC0229">
        <w:rPr>
          <w:rFonts w:cs="Times New Roman"/>
        </w:rPr>
        <w:fldChar w:fldCharType="begin"/>
      </w:r>
      <w:r w:rsidR="00D142DC" w:rsidRPr="00EC0229">
        <w:instrText xml:space="preserve"> XE "Eadberht" </w:instrText>
      </w:r>
      <w:r w:rsidR="00D142DC" w:rsidRPr="00EC0229">
        <w:rPr>
          <w:rFonts w:cs="Times New Roman"/>
        </w:rPr>
        <w:fldChar w:fldCharType="end"/>
      </w:r>
      <w:r w:rsidRPr="00EC0229">
        <w:rPr>
          <w:rFonts w:cs="Times New Roman"/>
        </w:rPr>
        <w:t xml:space="preserve">’s coinage consists of </w:t>
      </w:r>
      <w:r w:rsidR="00BF6095">
        <w:rPr>
          <w:rFonts w:cs="Times New Roman"/>
        </w:rPr>
        <w:t>several</w:t>
      </w:r>
      <w:r w:rsidRPr="00EC0229">
        <w:rPr>
          <w:rFonts w:cs="Times New Roman"/>
        </w:rPr>
        <w:t xml:space="preserve"> successive issues whose differencing marks have been classified by Booth.</w:t>
      </w:r>
      <w:r w:rsidRPr="00EC0229">
        <w:rPr>
          <w:rStyle w:val="FootnoteReference"/>
          <w:rFonts w:cs="Times New Roman"/>
        </w:rPr>
        <w:footnoteReference w:id="600"/>
      </w:r>
      <w:r w:rsidR="0074361C" w:rsidRPr="00EC0229">
        <w:rPr>
          <w:rFonts w:cs="Times New Roman"/>
        </w:rPr>
        <w:t xml:space="preserve"> </w:t>
      </w:r>
      <w:r w:rsidR="00A14A1A" w:rsidRPr="00EC0229">
        <w:rPr>
          <w:rFonts w:cs="Times New Roman"/>
        </w:rPr>
        <w:t xml:space="preserve">However, </w:t>
      </w:r>
      <w:r w:rsidRPr="00EC0229">
        <w:rPr>
          <w:rFonts w:cs="Times New Roman"/>
        </w:rPr>
        <w:t xml:space="preserve">Booth’s Class F which displays considerable diversity and a gradual deterioration in execution (the beast has become linear) is at the end of Eadberht’s reign, </w:t>
      </w:r>
      <w:r w:rsidRPr="00EC0229">
        <w:rPr>
          <w:rFonts w:cs="Times New Roman"/>
          <w:i/>
        </w:rPr>
        <w:t>after</w:t>
      </w:r>
      <w:r w:rsidRPr="00EC0229">
        <w:rPr>
          <w:rFonts w:cs="Times New Roman"/>
        </w:rPr>
        <w:t xml:space="preserve"> Class G which is more cohesive</w:t>
      </w:r>
      <w:r w:rsidR="002D3934" w:rsidRPr="00EC0229">
        <w:rPr>
          <w:rFonts w:cs="Times New Roman"/>
        </w:rPr>
        <w:t xml:space="preserve"> </w:t>
      </w:r>
      <w:r w:rsidR="002D3934" w:rsidRPr="00EC0229">
        <w:rPr>
          <w:rFonts w:cs="Times New Roman"/>
          <w:szCs w:val="24"/>
        </w:rPr>
        <w:t>(</w:t>
      </w:r>
      <w:r w:rsidR="008C418A" w:rsidRPr="00EC0229">
        <w:rPr>
          <w:rFonts w:cs="Times New Roman"/>
          <w:szCs w:val="24"/>
        </w:rPr>
        <w:fldChar w:fldCharType="begin"/>
      </w:r>
      <w:r w:rsidR="008C418A" w:rsidRPr="00EC0229">
        <w:rPr>
          <w:rFonts w:cs="Times New Roman"/>
          <w:szCs w:val="24"/>
        </w:rPr>
        <w:instrText xml:space="preserve"> REF _Ref430246458 \h </w:instrText>
      </w:r>
      <w:r w:rsidR="007224B1"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48</w:t>
      </w:r>
      <w:r w:rsidR="008C418A" w:rsidRPr="00EC0229">
        <w:rPr>
          <w:rFonts w:cs="Times New Roman"/>
          <w:szCs w:val="24"/>
        </w:rPr>
        <w:fldChar w:fldCharType="end"/>
      </w:r>
      <w:r w:rsidR="002D3934" w:rsidRPr="00EC0229">
        <w:rPr>
          <w:rFonts w:cs="Times New Roman"/>
        </w:rPr>
        <w:t>)</w:t>
      </w:r>
      <w:r w:rsidRPr="00EC0229">
        <w:rPr>
          <w:rFonts w:cs="Times New Roman"/>
        </w:rPr>
        <w:t>. The deterioration then continues into subsequent reigns with the reverse design reduced to a stylised, emaciated beast and the lettering becoming erratic. There is a recovery in standard of execution in Ælfwald</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rFonts w:cs="Times New Roman"/>
        </w:rPr>
        <w:fldChar w:fldCharType="end"/>
      </w:r>
      <w:r w:rsidRPr="00EC0229">
        <w:rPr>
          <w:rFonts w:cs="Times New Roman"/>
        </w:rPr>
        <w:t xml:space="preserve"> I’s reign, when the varying styles of beast and modes of lettering possibly indicate different engravers. A comparable dip in Mercian coinage may indicate a prolonged </w:t>
      </w:r>
      <w:r w:rsidR="008E4F7D" w:rsidRPr="00EC0229">
        <w:rPr>
          <w:rFonts w:cs="Times New Roman"/>
        </w:rPr>
        <w:t xml:space="preserve">English </w:t>
      </w:r>
      <w:r w:rsidRPr="00EC0229">
        <w:rPr>
          <w:rFonts w:cs="Times New Roman"/>
        </w:rPr>
        <w:t>recession.</w:t>
      </w:r>
      <w:r w:rsidRPr="00EC0229">
        <w:rPr>
          <w:rStyle w:val="FootnoteReference"/>
          <w:rFonts w:cs="Times New Roman"/>
        </w:rPr>
        <w:footnoteReference w:id="601"/>
      </w:r>
    </w:p>
    <w:p w14:paraId="0B33865B" w14:textId="77777777" w:rsidR="00A33875" w:rsidRPr="00EC0229" w:rsidRDefault="00A33875" w:rsidP="007600EA">
      <w:pPr>
        <w:pStyle w:val="NoSpacing"/>
        <w:spacing w:line="360" w:lineRule="auto"/>
        <w:jc w:val="center"/>
        <w:rPr>
          <w:rFonts w:cs="Times New Roman"/>
        </w:rPr>
      </w:pPr>
      <w:r w:rsidRPr="00EC0229">
        <w:rPr>
          <w:rFonts w:cs="Times New Roman"/>
          <w:noProof/>
          <w:lang w:eastAsia="en-GB"/>
        </w:rPr>
        <w:drawing>
          <wp:inline distT="0" distB="0" distL="0" distR="0" wp14:anchorId="360B0255" wp14:editId="5F6535BE">
            <wp:extent cx="1080000" cy="9990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0-310 Y127R.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080000" cy="999000"/>
                    </a:xfrm>
                    <a:prstGeom prst="rect">
                      <a:avLst/>
                    </a:prstGeom>
                  </pic:spPr>
                </pic:pic>
              </a:graphicData>
            </a:graphic>
          </wp:inline>
        </w:drawing>
      </w:r>
      <w:r w:rsidRPr="00EC0229">
        <w:rPr>
          <w:rFonts w:cs="Times New Roman"/>
          <w:noProof/>
          <w:lang w:eastAsia="en-GB"/>
        </w:rPr>
        <w:drawing>
          <wp:inline distT="0" distB="0" distL="0" distR="0" wp14:anchorId="48CBA313" wp14:editId="473BDCB4">
            <wp:extent cx="1113619" cy="994833"/>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70-180 Y130R.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117181" cy="998015"/>
                    </a:xfrm>
                    <a:prstGeom prst="rect">
                      <a:avLst/>
                    </a:prstGeom>
                  </pic:spPr>
                </pic:pic>
              </a:graphicData>
            </a:graphic>
          </wp:inline>
        </w:drawing>
      </w:r>
    </w:p>
    <w:p w14:paraId="03AF9206" w14:textId="74810CD3" w:rsidR="00F13F40" w:rsidRPr="00EC0229" w:rsidRDefault="00F13F40" w:rsidP="007600EA">
      <w:pPr>
        <w:pStyle w:val="NoSpacing"/>
        <w:spacing w:line="360" w:lineRule="auto"/>
        <w:jc w:val="center"/>
        <w:rPr>
          <w:sz w:val="20"/>
          <w:szCs w:val="20"/>
        </w:rPr>
      </w:pPr>
      <w:bookmarkStart w:id="361" w:name="_Ref430246458"/>
      <w:bookmarkStart w:id="362" w:name="_Toc46826702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48</w:t>
      </w:r>
      <w:r w:rsidRPr="00EC0229">
        <w:rPr>
          <w:sz w:val="20"/>
          <w:szCs w:val="20"/>
        </w:rPr>
        <w:fldChar w:fldCharType="end"/>
      </w:r>
      <w:bookmarkEnd w:id="361"/>
      <w:r w:rsidR="002D3934" w:rsidRPr="00EC0229">
        <w:rPr>
          <w:sz w:val="20"/>
          <w:szCs w:val="20"/>
        </w:rPr>
        <w:t xml:space="preserve">: </w:t>
      </w:r>
      <w:r w:rsidR="00A33875" w:rsidRPr="00EC0229">
        <w:rPr>
          <w:sz w:val="20"/>
          <w:szCs w:val="20"/>
        </w:rPr>
        <w:t>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00A33875" w:rsidRPr="00EC0229">
        <w:rPr>
          <w:sz w:val="20"/>
          <w:szCs w:val="20"/>
        </w:rPr>
        <w:t>: Booth class G</w:t>
      </w:r>
      <w:bookmarkEnd w:id="362"/>
      <w:r w:rsidR="00A33875" w:rsidRPr="00EC0229">
        <w:rPr>
          <w:sz w:val="20"/>
          <w:szCs w:val="20"/>
        </w:rPr>
        <w:t xml:space="preserve"> </w:t>
      </w:r>
    </w:p>
    <w:p w14:paraId="52B6116C" w14:textId="6E07E5C5" w:rsidR="00A33875" w:rsidRPr="00EC0229" w:rsidRDefault="00F13F40" w:rsidP="007600EA">
      <w:pPr>
        <w:pStyle w:val="NoSpacing"/>
        <w:spacing w:line="360" w:lineRule="auto"/>
        <w:jc w:val="center"/>
        <w:rPr>
          <w:sz w:val="20"/>
          <w:szCs w:val="20"/>
        </w:rPr>
      </w:pPr>
      <w:r w:rsidRPr="00EC0229">
        <w:rPr>
          <w:sz w:val="20"/>
          <w:szCs w:val="20"/>
        </w:rPr>
        <w:t>(L:</w:t>
      </w:r>
      <w:r w:rsidR="00A33875" w:rsidRPr="00EC0229">
        <w:rPr>
          <w:sz w:val="20"/>
          <w:szCs w:val="20"/>
        </w:rPr>
        <w:t xml:space="preserve"> </w:t>
      </w:r>
      <w:r w:rsidR="00A33875" w:rsidRPr="00EC0229">
        <w:rPr>
          <w:i/>
          <w:sz w:val="20"/>
          <w:szCs w:val="20"/>
        </w:rPr>
        <w:t>SL</w:t>
      </w:r>
      <w:r w:rsidR="00A33875" w:rsidRPr="00EC0229">
        <w:rPr>
          <w:sz w:val="20"/>
          <w:szCs w:val="20"/>
        </w:rPr>
        <w:t xml:space="preserve">70-310) precedes the decline of class F </w:t>
      </w:r>
      <w:r w:rsidRPr="00EC0229">
        <w:rPr>
          <w:sz w:val="20"/>
          <w:szCs w:val="20"/>
        </w:rPr>
        <w:t>(R:</w:t>
      </w:r>
      <w:r w:rsidR="00A33875" w:rsidRPr="00EC0229">
        <w:rPr>
          <w:sz w:val="20"/>
          <w:szCs w:val="20"/>
        </w:rPr>
        <w:t xml:space="preserve"> </w:t>
      </w:r>
      <w:r w:rsidR="00A33875" w:rsidRPr="00EC0229">
        <w:rPr>
          <w:i/>
          <w:sz w:val="20"/>
          <w:szCs w:val="20"/>
        </w:rPr>
        <w:t>SL</w:t>
      </w:r>
      <w:r w:rsidR="00A33875" w:rsidRPr="00EC0229">
        <w:rPr>
          <w:sz w:val="20"/>
          <w:szCs w:val="20"/>
        </w:rPr>
        <w:t>70-180).</w:t>
      </w:r>
    </w:p>
    <w:p w14:paraId="2DC73733" w14:textId="4B588D8F" w:rsidR="00A33875" w:rsidRPr="00EC0229" w:rsidRDefault="00A33875" w:rsidP="007600EA">
      <w:pPr>
        <w:pStyle w:val="NoSpacing"/>
        <w:spacing w:line="360" w:lineRule="auto"/>
        <w:jc w:val="center"/>
        <w:rPr>
          <w:sz w:val="20"/>
          <w:szCs w:val="20"/>
        </w:rPr>
      </w:pPr>
      <w:r w:rsidRPr="00EC0229">
        <w:rPr>
          <w:sz w:val="20"/>
          <w:szCs w:val="20"/>
        </w:rPr>
        <w:t>Found: L. Thwing</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Thwing</w:instrText>
      </w:r>
      <w:r w:rsidR="006B1593" w:rsidRPr="00EC0229">
        <w:rPr>
          <w:sz w:val="20"/>
          <w:szCs w:val="20"/>
        </w:rPr>
        <w:instrText xml:space="preserve">" </w:instrText>
      </w:r>
      <w:r w:rsidR="006B1593" w:rsidRPr="00EC0229">
        <w:rPr>
          <w:sz w:val="20"/>
          <w:szCs w:val="20"/>
        </w:rPr>
        <w:fldChar w:fldCharType="end"/>
      </w:r>
      <w:r w:rsidRPr="00EC0229">
        <w:rPr>
          <w:sz w:val="20"/>
          <w:szCs w:val="20"/>
        </w:rPr>
        <w:t>, R. Sancton,</w:t>
      </w:r>
    </w:p>
    <w:p w14:paraId="4E9D66A2" w14:textId="77777777" w:rsidR="00A33875" w:rsidRPr="00EC0229" w:rsidRDefault="00A33875" w:rsidP="007600EA">
      <w:pPr>
        <w:pStyle w:val="NoSpacing"/>
        <w:spacing w:line="360" w:lineRule="auto"/>
        <w:rPr>
          <w:rFonts w:cs="Times New Roman"/>
        </w:rPr>
      </w:pPr>
    </w:p>
    <w:p w14:paraId="07773D28" w14:textId="370CC322" w:rsidR="00A33875" w:rsidRPr="00EC0229" w:rsidRDefault="00A33875" w:rsidP="007600EA">
      <w:pPr>
        <w:pStyle w:val="NoSpacing"/>
        <w:spacing w:line="360" w:lineRule="auto"/>
        <w:rPr>
          <w:rFonts w:cs="Times New Roman"/>
        </w:rPr>
      </w:pPr>
      <w:r w:rsidRPr="00EC0229">
        <w:rPr>
          <w:rFonts w:cs="Times New Roman"/>
        </w:rPr>
        <w:t>As at August 2013, Bude’s die study indicates 209 reverse dies for Eadberht</w:t>
      </w:r>
      <w:r w:rsidR="00D142DC" w:rsidRPr="00EC0229">
        <w:rPr>
          <w:rFonts w:cs="Times New Roman"/>
        </w:rPr>
        <w:fldChar w:fldCharType="begin"/>
      </w:r>
      <w:r w:rsidR="00D142DC" w:rsidRPr="00EC0229">
        <w:instrText xml:space="preserve"> XE "Eadberht" </w:instrText>
      </w:r>
      <w:r w:rsidR="00D142DC" w:rsidRPr="00EC0229">
        <w:rPr>
          <w:rFonts w:cs="Times New Roman"/>
        </w:rPr>
        <w:fldChar w:fldCharType="end"/>
      </w:r>
      <w:r w:rsidRPr="00EC0229">
        <w:rPr>
          <w:rFonts w:cs="Times New Roman"/>
        </w:rPr>
        <w:t xml:space="preserve"> alone and 57 for his joint issue with Ecgberht</w:t>
      </w:r>
      <w:r w:rsidR="00D142DC" w:rsidRPr="00EC0229">
        <w:rPr>
          <w:rFonts w:cs="Times New Roman"/>
        </w:rPr>
        <w:fldChar w:fldCharType="begin"/>
      </w:r>
      <w:r w:rsidR="00D142DC" w:rsidRPr="00EC0229">
        <w:instrText xml:space="preserve"> XE "Ecgberht" </w:instrText>
      </w:r>
      <w:r w:rsidR="00D142DC" w:rsidRPr="00EC0229">
        <w:rPr>
          <w:rFonts w:cs="Times New Roman"/>
        </w:rPr>
        <w:fldChar w:fldCharType="end"/>
      </w:r>
      <w:r w:rsidRPr="00EC0229">
        <w:rPr>
          <w:rFonts w:cs="Times New Roman"/>
        </w:rPr>
        <w:t xml:space="preserve">. Assuming </w:t>
      </w:r>
      <w:r w:rsidR="002132F1">
        <w:rPr>
          <w:rFonts w:cs="Times New Roman"/>
          <w:i/>
        </w:rPr>
        <w:t>c.</w:t>
      </w:r>
      <w:r w:rsidRPr="00EC0229">
        <w:rPr>
          <w:rFonts w:cs="Times New Roman"/>
        </w:rPr>
        <w:t xml:space="preserve">5-10,000 coins per die (by no means a safe assumption either side) this approximates to 1.33-2.66 million coins, a reasonable working hypothesis for the entire reign. </w:t>
      </w:r>
      <w:r w:rsidRPr="00EC0229">
        <w:rPr>
          <w:rFonts w:cs="Times New Roman"/>
          <w:i/>
        </w:rPr>
        <w:t>Map</w:t>
      </w:r>
      <w:r w:rsidR="00584C42" w:rsidRPr="00EC0229">
        <w:rPr>
          <w:rFonts w:cs="Times New Roman"/>
          <w:i/>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rFonts w:cs="Times New Roman"/>
          <w:i/>
        </w:rPr>
        <w:fldChar w:fldCharType="end"/>
      </w:r>
      <w:r w:rsidRPr="00EC0229">
        <w:rPr>
          <w:rFonts w:cs="Times New Roman"/>
          <w:i/>
        </w:rPr>
        <w:t xml:space="preserve"> </w:t>
      </w:r>
      <w:r w:rsidR="004048E5" w:rsidRPr="00EC0229">
        <w:rPr>
          <w:rFonts w:cs="Times New Roman"/>
          <w:i/>
        </w:rPr>
        <w:t>5.04</w:t>
      </w:r>
      <w:r w:rsidR="00ED43AC" w:rsidRPr="00EC0229">
        <w:rPr>
          <w:rStyle w:val="Hyperlink"/>
          <w:rFonts w:cs="Times New Roman"/>
          <w:u w:val="none"/>
        </w:rPr>
        <w:t>.</w:t>
      </w:r>
    </w:p>
    <w:p w14:paraId="0471D504" w14:textId="77777777" w:rsidR="00A33875" w:rsidRPr="00EC0229" w:rsidRDefault="00A33875" w:rsidP="007600EA">
      <w:pPr>
        <w:pStyle w:val="NoSpacing"/>
        <w:spacing w:line="360" w:lineRule="auto"/>
        <w:rPr>
          <w:rFonts w:cs="Times New Roman"/>
          <w:sz w:val="20"/>
          <w:szCs w:val="20"/>
        </w:rPr>
      </w:pPr>
    </w:p>
    <w:p w14:paraId="1E05B7BF" w14:textId="0CE2CEFD" w:rsidR="00A33875" w:rsidRPr="008259E1" w:rsidRDefault="008259E1" w:rsidP="008259E1">
      <w:pPr>
        <w:pStyle w:val="Heading4"/>
        <w:rPr>
          <w:b/>
        </w:rPr>
      </w:pPr>
      <w:bookmarkStart w:id="363" w:name="PeriodN7"/>
      <w:bookmarkStart w:id="364" w:name="_Toc468266802"/>
      <w:bookmarkEnd w:id="363"/>
      <w:r w:rsidRPr="008259E1">
        <w:rPr>
          <w:b/>
        </w:rPr>
        <w:t>5.3.6.2</w:t>
      </w:r>
      <w:r w:rsidRPr="008259E1">
        <w:rPr>
          <w:b/>
        </w:rPr>
        <w:tab/>
      </w:r>
      <w:r w:rsidR="00A33875" w:rsidRPr="008259E1">
        <w:rPr>
          <w:b/>
        </w:rPr>
        <w:t>Period N7</w:t>
      </w:r>
      <w:r w:rsidR="00F204A1" w:rsidRPr="008259E1">
        <w:rPr>
          <w:b/>
        </w:rPr>
        <w:fldChar w:fldCharType="begin"/>
      </w:r>
      <w:r w:rsidR="00F204A1" w:rsidRPr="008259E1">
        <w:rPr>
          <w:b/>
        </w:rPr>
        <w:instrText xml:space="preserve"> XE "</w:instrText>
      </w:r>
      <w:r w:rsidR="00F204A1" w:rsidRPr="008259E1">
        <w:rPr>
          <w:rStyle w:val="Hyperlink"/>
          <w:b/>
          <w:color w:val="auto"/>
          <w:u w:val="none"/>
        </w:rPr>
        <w:instrText>Period N7</w:instrText>
      </w:r>
      <w:r w:rsidR="00F204A1" w:rsidRPr="008259E1">
        <w:rPr>
          <w:b/>
        </w:rPr>
        <w:instrText xml:space="preserve">" </w:instrText>
      </w:r>
      <w:r w:rsidR="00F204A1" w:rsidRPr="008259E1">
        <w:rPr>
          <w:b/>
        </w:rPr>
        <w:fldChar w:fldCharType="end"/>
      </w:r>
      <w:r w:rsidR="00A33875" w:rsidRPr="008259E1">
        <w:rPr>
          <w:b/>
        </w:rPr>
        <w:t xml:space="preserve">, </w:t>
      </w:r>
      <w:bookmarkStart w:id="365" w:name="Joint"/>
      <w:r w:rsidR="00A33875" w:rsidRPr="008259E1">
        <w:rPr>
          <w:b/>
        </w:rPr>
        <w:t>Joint</w:t>
      </w:r>
      <w:bookmarkEnd w:id="365"/>
      <w:r w:rsidR="00A33875" w:rsidRPr="008259E1">
        <w:rPr>
          <w:b/>
        </w:rPr>
        <w:t xml:space="preserve"> issues</w:t>
      </w:r>
      <w:r w:rsidR="00F204A1" w:rsidRPr="008259E1">
        <w:rPr>
          <w:b/>
        </w:rPr>
        <w:fldChar w:fldCharType="begin"/>
      </w:r>
      <w:r w:rsidR="00F204A1" w:rsidRPr="008259E1">
        <w:rPr>
          <w:b/>
        </w:rPr>
        <w:instrText xml:space="preserve"> XE "</w:instrText>
      </w:r>
      <w:r w:rsidR="00F204A1" w:rsidRPr="008259E1">
        <w:rPr>
          <w:rStyle w:val="Hyperlink"/>
          <w:b/>
          <w:color w:val="auto"/>
          <w:u w:val="none"/>
        </w:rPr>
        <w:instrText>Joint issues</w:instrText>
      </w:r>
      <w:r w:rsidR="00F204A1" w:rsidRPr="008259E1">
        <w:rPr>
          <w:b/>
        </w:rPr>
        <w:instrText xml:space="preserve">" </w:instrText>
      </w:r>
      <w:r w:rsidR="00F204A1" w:rsidRPr="008259E1">
        <w:rPr>
          <w:b/>
        </w:rPr>
        <w:fldChar w:fldCharType="end"/>
      </w:r>
      <w:r w:rsidR="00A33875" w:rsidRPr="008259E1">
        <w:rPr>
          <w:b/>
        </w:rPr>
        <w:t>, 737-796</w:t>
      </w:r>
      <w:bookmarkEnd w:id="364"/>
    </w:p>
    <w:p w14:paraId="5C66E431" w14:textId="609B21FA" w:rsidR="00A33875" w:rsidRPr="00EC0229" w:rsidRDefault="00A33875" w:rsidP="007600EA">
      <w:pPr>
        <w:pStyle w:val="NoSpacing"/>
        <w:spacing w:line="360" w:lineRule="auto"/>
        <w:rPr>
          <w:rFonts w:cs="Times New Roman"/>
        </w:rPr>
      </w:pPr>
      <w:r w:rsidRPr="00EC0229">
        <w:rPr>
          <w:rFonts w:cs="Times New Roman"/>
        </w:rPr>
        <w:t>The joint regal/episcopal issues (</w:t>
      </w:r>
      <w:r w:rsidRPr="00EC0229">
        <w:rPr>
          <w:rFonts w:cs="Times New Roman"/>
          <w:i/>
        </w:rPr>
        <w:t>SL</w:t>
      </w:r>
      <w:r w:rsidRPr="00EC0229">
        <w:rPr>
          <w:rFonts w:cs="Times New Roman"/>
        </w:rPr>
        <w:t>74-78), which, after the ‘standing bishop’ issue of the brothers Eadberht</w:t>
      </w:r>
      <w:r w:rsidR="00D142DC" w:rsidRPr="00EC0229">
        <w:rPr>
          <w:rFonts w:cs="Times New Roman"/>
        </w:rPr>
        <w:fldChar w:fldCharType="begin"/>
      </w:r>
      <w:r w:rsidR="00D142DC" w:rsidRPr="00EC0229">
        <w:instrText xml:space="preserve"> XE "Eadberht" </w:instrText>
      </w:r>
      <w:r w:rsidR="00D142DC" w:rsidRPr="00EC0229">
        <w:rPr>
          <w:rFonts w:cs="Times New Roman"/>
        </w:rPr>
        <w:fldChar w:fldCharType="end"/>
      </w:r>
      <w:r w:rsidRPr="00EC0229">
        <w:rPr>
          <w:rFonts w:cs="Times New Roman"/>
        </w:rPr>
        <w:t xml:space="preserve"> and Ecgberht</w:t>
      </w:r>
      <w:r w:rsidR="00D142DC" w:rsidRPr="00EC0229">
        <w:rPr>
          <w:rFonts w:cs="Times New Roman"/>
        </w:rPr>
        <w:fldChar w:fldCharType="begin"/>
      </w:r>
      <w:r w:rsidR="00D142DC" w:rsidRPr="00EC0229">
        <w:instrText xml:space="preserve"> XE "Ecgberht" </w:instrText>
      </w:r>
      <w:r w:rsidR="00D142DC" w:rsidRPr="00EC0229">
        <w:rPr>
          <w:rFonts w:cs="Times New Roman"/>
        </w:rPr>
        <w:fldChar w:fldCharType="end"/>
      </w:r>
      <w:r w:rsidRPr="00EC0229">
        <w:rPr>
          <w:rFonts w:cs="Times New Roman"/>
        </w:rPr>
        <w:t>, are inscriptional, may have been the precedent for Ælfwald</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rFonts w:cs="Times New Roman"/>
        </w:rPr>
        <w:fldChar w:fldCharType="end"/>
      </w:r>
      <w:r w:rsidRPr="00EC0229">
        <w:rPr>
          <w:rFonts w:cs="Times New Roman"/>
        </w:rPr>
        <w:t xml:space="preserve"> I </w:t>
      </w:r>
      <w:r w:rsidRPr="00EC0229">
        <w:rPr>
          <w:rFonts w:cs="Times New Roman"/>
        </w:rPr>
        <w:lastRenderedPageBreak/>
        <w:t>replacing the fantastic beast on the reverse of his coinage with the moneyer’s name.</w:t>
      </w:r>
      <w:r w:rsidRPr="00EC0229">
        <w:rPr>
          <w:rStyle w:val="FootnoteReference"/>
          <w:rFonts w:cs="Times New Roman"/>
        </w:rPr>
        <w:footnoteReference w:id="602"/>
      </w:r>
      <w:r w:rsidRPr="00EC0229">
        <w:rPr>
          <w:rFonts w:cs="Times New Roman"/>
        </w:rPr>
        <w:t xml:space="preserve"> The abandonment of the reverse portrayal may have been for theological reasons,</w:t>
      </w:r>
      <w:r w:rsidRPr="00EC0229">
        <w:rPr>
          <w:rStyle w:val="FootnoteReference"/>
          <w:rFonts w:cs="Times New Roman"/>
        </w:rPr>
        <w:footnoteReference w:id="603"/>
      </w:r>
      <w:r w:rsidRPr="00EC0229">
        <w:rPr>
          <w:rFonts w:cs="Times New Roman"/>
        </w:rPr>
        <w:t xml:space="preserve"> though naming the moneyer has the distinct advantage of shifting responsibility for the integrity of the coinage from issuer to moneyer.</w:t>
      </w:r>
    </w:p>
    <w:p w14:paraId="724D026A" w14:textId="77777777" w:rsidR="00A33875" w:rsidRPr="00EC0229" w:rsidRDefault="00A33875" w:rsidP="007600EA">
      <w:pPr>
        <w:pStyle w:val="NoSpacing"/>
        <w:spacing w:line="360" w:lineRule="auto"/>
        <w:rPr>
          <w:rFonts w:cs="Times New Roman"/>
        </w:rPr>
      </w:pPr>
    </w:p>
    <w:p w14:paraId="0F629BD0" w14:textId="03AD319F" w:rsidR="00A33875" w:rsidRPr="00EC0229" w:rsidRDefault="00A33875" w:rsidP="007600EA">
      <w:pPr>
        <w:pStyle w:val="NoSpacing"/>
        <w:spacing w:line="360" w:lineRule="auto"/>
        <w:rPr>
          <w:rFonts w:cs="Times New Roman"/>
        </w:rPr>
      </w:pPr>
      <w:r w:rsidRPr="00EC0229">
        <w:rPr>
          <w:rFonts w:cs="Times New Roman"/>
        </w:rPr>
        <w:t>Joint issues</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Joint issues</w:instrText>
      </w:r>
      <w:r w:rsidR="00F204A1" w:rsidRPr="00EC0229">
        <w:instrText xml:space="preserve">" </w:instrText>
      </w:r>
      <w:r w:rsidR="00F204A1" w:rsidRPr="00EC0229">
        <w:rPr>
          <w:rFonts w:cs="Times New Roman"/>
        </w:rPr>
        <w:fldChar w:fldCharType="end"/>
      </w:r>
      <w:r w:rsidRPr="00EC0229">
        <w:rPr>
          <w:rFonts w:cs="Times New Roman"/>
        </w:rPr>
        <w:t xml:space="preserve"> imply a high level of political organisation. While it was imperative for the king to issue coinage, it was voluntary for the Archbishop, so any concession here is made by the monarch to what may be a more powerful cleric. This may not have been difficult between the siblings Eadberht</w:t>
      </w:r>
      <w:r w:rsidR="00D142DC" w:rsidRPr="00EC0229">
        <w:rPr>
          <w:rFonts w:cs="Times New Roman"/>
        </w:rPr>
        <w:fldChar w:fldCharType="begin"/>
      </w:r>
      <w:r w:rsidR="00D142DC" w:rsidRPr="00EC0229">
        <w:instrText xml:space="preserve"> XE "Eadberht" </w:instrText>
      </w:r>
      <w:r w:rsidR="00D142DC" w:rsidRPr="00EC0229">
        <w:rPr>
          <w:rFonts w:cs="Times New Roman"/>
        </w:rPr>
        <w:fldChar w:fldCharType="end"/>
      </w:r>
      <w:r w:rsidRPr="00EC0229">
        <w:rPr>
          <w:rFonts w:cs="Times New Roman"/>
        </w:rPr>
        <w:t xml:space="preserve"> and Ecgberht</w:t>
      </w:r>
      <w:r w:rsidR="00D142DC" w:rsidRPr="00EC0229">
        <w:rPr>
          <w:rFonts w:cs="Times New Roman"/>
        </w:rPr>
        <w:fldChar w:fldCharType="begin"/>
      </w:r>
      <w:r w:rsidR="00D142DC" w:rsidRPr="00EC0229">
        <w:instrText xml:space="preserve"> XE "Ecgberht" </w:instrText>
      </w:r>
      <w:r w:rsidR="00D142DC" w:rsidRPr="00EC0229">
        <w:rPr>
          <w:rFonts w:cs="Times New Roman"/>
        </w:rPr>
        <w:fldChar w:fldCharType="end"/>
      </w:r>
      <w:r w:rsidRPr="00EC0229">
        <w:rPr>
          <w:rFonts w:cs="Times New Roman"/>
        </w:rPr>
        <w:t>,</w:t>
      </w:r>
      <w:r w:rsidRPr="00EC0229">
        <w:rPr>
          <w:rStyle w:val="FootnoteReference"/>
          <w:rFonts w:cs="Times New Roman"/>
        </w:rPr>
        <w:footnoteReference w:id="604"/>
      </w:r>
      <w:r w:rsidRPr="00EC0229">
        <w:rPr>
          <w:rFonts w:cs="Times New Roman"/>
        </w:rPr>
        <w:t xml:space="preserve"> but after the retirement of the former, the latter shows considerable diplomacy in continuing joint issues with aggressively competitively, rival Bernician and Deiran dynasties. While the bishop sits comfortable in York</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rPr>
        <w:fldChar w:fldCharType="end"/>
      </w:r>
      <w:r w:rsidR="008C418A" w:rsidRPr="00EC0229">
        <w:rPr>
          <w:rFonts w:cs="Times New Roman"/>
        </w:rPr>
        <w:t xml:space="preserve"> </w:t>
      </w:r>
      <w:r w:rsidR="008C418A" w:rsidRPr="00EC0229">
        <w:rPr>
          <w:rFonts w:cs="Times New Roman"/>
          <w:szCs w:val="24"/>
        </w:rPr>
        <w:t>(</w:t>
      </w:r>
      <w:r w:rsidR="008C418A" w:rsidRPr="00EC0229">
        <w:rPr>
          <w:rFonts w:cs="Times New Roman"/>
          <w:szCs w:val="24"/>
        </w:rPr>
        <w:fldChar w:fldCharType="begin"/>
      </w:r>
      <w:r w:rsidR="008C418A" w:rsidRPr="00EC0229">
        <w:rPr>
          <w:rFonts w:cs="Times New Roman"/>
          <w:szCs w:val="24"/>
        </w:rPr>
        <w:instrText xml:space="preserve"> REF _Ref430246467 \h </w:instrText>
      </w:r>
      <w:r w:rsidR="007224B1"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49</w:t>
      </w:r>
      <w:r w:rsidR="008C418A" w:rsidRPr="00EC0229">
        <w:rPr>
          <w:rFonts w:cs="Times New Roman"/>
          <w:szCs w:val="24"/>
        </w:rPr>
        <w:fldChar w:fldCharType="end"/>
      </w:r>
      <w:r w:rsidR="008C418A" w:rsidRPr="00EC0229">
        <w:rPr>
          <w:rFonts w:cs="Times New Roman"/>
        </w:rPr>
        <w:t xml:space="preserve">), </w:t>
      </w:r>
      <w:r w:rsidRPr="00EC0229">
        <w:rPr>
          <w:rFonts w:cs="Times New Roman"/>
        </w:rPr>
        <w:t>the king is peripatetic, constantly on the move to collect renders. This imbalance is also apparent in the early Anglo-Saxon</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rPr>
        <w:fldChar w:fldCharType="end"/>
      </w:r>
      <w:r w:rsidRPr="00EC0229">
        <w:rPr>
          <w:rFonts w:cs="Times New Roman"/>
        </w:rPr>
        <w:t xml:space="preserve"> laws </w:t>
      </w:r>
      <w:r w:rsidR="00E01166" w:rsidRPr="00EC0229">
        <w:t>(</w:t>
      </w:r>
      <w:r w:rsidR="00E01166" w:rsidRPr="00EC0229">
        <w:fldChar w:fldCharType="begin"/>
      </w:r>
      <w:r w:rsidR="00E01166" w:rsidRPr="00EC0229">
        <w:instrText xml:space="preserve"> PAGEREF Law \h </w:instrText>
      </w:r>
      <w:r w:rsidR="00E01166" w:rsidRPr="00EC0229">
        <w:fldChar w:fldCharType="separate"/>
      </w:r>
      <w:r w:rsidR="0012026B">
        <w:rPr>
          <w:noProof/>
        </w:rPr>
        <w:t>60</w:t>
      </w:r>
      <w:r w:rsidR="00E01166" w:rsidRPr="00EC0229">
        <w:fldChar w:fldCharType="end"/>
      </w:r>
      <w:r w:rsidR="00E01166" w:rsidRPr="00EC0229">
        <w:t xml:space="preserve"> and </w:t>
      </w:r>
      <w:r w:rsidR="00E01166" w:rsidRPr="00EC0229">
        <w:rPr>
          <w:i/>
        </w:rPr>
        <w:t>Table</w:t>
      </w:r>
      <w:r w:rsidR="00E01166" w:rsidRPr="00EC0229">
        <w:t xml:space="preserve"> </w:t>
      </w:r>
      <w:r w:rsidR="00637D67" w:rsidRPr="00EC0229">
        <w:t>3.01</w:t>
      </w:r>
      <w:r w:rsidR="00E01166" w:rsidRPr="00EC0229">
        <w:t xml:space="preserve">) </w:t>
      </w:r>
      <w:r w:rsidRPr="00EC0229">
        <w:rPr>
          <w:rFonts w:cs="Times New Roman"/>
        </w:rPr>
        <w:t>and is not redressed until the late ninth-century Alfredian law codes.</w:t>
      </w:r>
    </w:p>
    <w:p w14:paraId="5500456A" w14:textId="77777777" w:rsidR="00A33875" w:rsidRPr="00EC0229" w:rsidRDefault="00A33875" w:rsidP="007600EA">
      <w:pPr>
        <w:pStyle w:val="NoSpacing"/>
        <w:spacing w:line="360" w:lineRule="auto"/>
        <w:rPr>
          <w:rFonts w:cs="Times New Roman"/>
        </w:rPr>
      </w:pPr>
    </w:p>
    <w:p w14:paraId="0673DEF5" w14:textId="77777777" w:rsidR="00A33875" w:rsidRPr="00EC0229" w:rsidRDefault="00A33875" w:rsidP="007600EA">
      <w:pPr>
        <w:pStyle w:val="NoSpacing"/>
        <w:spacing w:line="360" w:lineRule="auto"/>
        <w:ind w:firstLine="720"/>
        <w:jc w:val="center"/>
        <w:rPr>
          <w:rFonts w:cs="Times New Roman"/>
        </w:rPr>
      </w:pPr>
      <w:r w:rsidRPr="00EC0229">
        <w:rPr>
          <w:rFonts w:cs="Times New Roman"/>
        </w:rPr>
        <w:t xml:space="preserve">       </w:t>
      </w:r>
      <w:r w:rsidRPr="00EC0229">
        <w:rPr>
          <w:rFonts w:cs="Times New Roman"/>
          <w:noProof/>
          <w:lang w:eastAsia="en-GB"/>
        </w:rPr>
        <w:drawing>
          <wp:inline distT="0" distB="0" distL="0" distR="0" wp14:anchorId="5E8EC632" wp14:editId="26566014">
            <wp:extent cx="1080000" cy="1054800"/>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74-40 Y510.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080000" cy="1054800"/>
                    </a:xfrm>
                    <a:prstGeom prst="rect">
                      <a:avLst/>
                    </a:prstGeom>
                  </pic:spPr>
                </pic:pic>
              </a:graphicData>
            </a:graphic>
          </wp:inline>
        </w:drawing>
      </w:r>
      <w:r w:rsidRPr="00EC0229">
        <w:rPr>
          <w:rFonts w:cs="Times New Roman"/>
          <w:noProof/>
          <w:lang w:eastAsia="en-GB"/>
        </w:rPr>
        <w:drawing>
          <wp:inline distT="0" distB="0" distL="0" distR="0" wp14:anchorId="5AB0B907" wp14:editId="48B7329C">
            <wp:extent cx="1080000" cy="1026000"/>
            <wp:effectExtent l="0" t="0" r="635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74-40 Y510R.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080000" cy="1026000"/>
                    </a:xfrm>
                    <a:prstGeom prst="rect">
                      <a:avLst/>
                    </a:prstGeom>
                  </pic:spPr>
                </pic:pic>
              </a:graphicData>
            </a:graphic>
          </wp:inline>
        </w:drawing>
      </w:r>
      <w:r w:rsidRPr="00EC0229">
        <w:rPr>
          <w:rFonts w:cs="Times New Roman"/>
        </w:rPr>
        <w:tab/>
      </w:r>
    </w:p>
    <w:p w14:paraId="263D229D" w14:textId="1BAB853C" w:rsidR="00A33875" w:rsidRPr="00EC0229" w:rsidRDefault="00F13F40" w:rsidP="007600EA">
      <w:pPr>
        <w:pStyle w:val="NoSpacing"/>
        <w:spacing w:line="360" w:lineRule="auto"/>
        <w:jc w:val="center"/>
        <w:rPr>
          <w:sz w:val="20"/>
          <w:szCs w:val="20"/>
        </w:rPr>
      </w:pPr>
      <w:bookmarkStart w:id="366" w:name="_Ref430246467"/>
      <w:bookmarkStart w:id="367" w:name="_Toc46826702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49</w:t>
      </w:r>
      <w:r w:rsidRPr="00EC0229">
        <w:rPr>
          <w:sz w:val="20"/>
          <w:szCs w:val="20"/>
        </w:rPr>
        <w:fldChar w:fldCharType="end"/>
      </w:r>
      <w:bookmarkEnd w:id="366"/>
      <w:r w:rsidR="002D3934" w:rsidRPr="00EC0229">
        <w:rPr>
          <w:sz w:val="20"/>
          <w:szCs w:val="20"/>
        </w:rPr>
        <w:t xml:space="preserve">: </w:t>
      </w:r>
      <w:r w:rsidR="00A33875" w:rsidRPr="00EC0229">
        <w:rPr>
          <w:sz w:val="20"/>
          <w:szCs w:val="20"/>
        </w:rPr>
        <w:t>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00A33875" w:rsidRPr="00EC0229">
        <w:rPr>
          <w:sz w:val="20"/>
          <w:szCs w:val="20"/>
        </w:rPr>
        <w:t xml:space="preserve"> and Ecgberht</w:t>
      </w:r>
      <w:r w:rsidR="00D142DC" w:rsidRPr="00EC0229">
        <w:rPr>
          <w:sz w:val="20"/>
          <w:szCs w:val="20"/>
        </w:rPr>
        <w:fldChar w:fldCharType="begin"/>
      </w:r>
      <w:r w:rsidR="00D142DC" w:rsidRPr="00EC0229">
        <w:rPr>
          <w:sz w:val="20"/>
          <w:szCs w:val="20"/>
        </w:rPr>
        <w:instrText xml:space="preserve"> XE "Ecgberht" </w:instrText>
      </w:r>
      <w:r w:rsidR="00D142DC" w:rsidRPr="00EC0229">
        <w:rPr>
          <w:sz w:val="20"/>
          <w:szCs w:val="20"/>
        </w:rPr>
        <w:fldChar w:fldCharType="end"/>
      </w:r>
      <w:r w:rsidR="00A33875" w:rsidRPr="00EC0229">
        <w:rPr>
          <w:sz w:val="20"/>
          <w:szCs w:val="20"/>
        </w:rPr>
        <w:t xml:space="preserve"> joint issue sceat (</w:t>
      </w:r>
      <w:r w:rsidR="00A33875" w:rsidRPr="00EC0229">
        <w:rPr>
          <w:i/>
          <w:sz w:val="20"/>
          <w:szCs w:val="20"/>
        </w:rPr>
        <w:t>SL</w:t>
      </w:r>
      <w:r w:rsidR="00A33875" w:rsidRPr="00EC0229">
        <w:rPr>
          <w:sz w:val="20"/>
          <w:szCs w:val="20"/>
        </w:rPr>
        <w:t>74). Findspot unknown.</w:t>
      </w:r>
      <w:bookmarkEnd w:id="367"/>
    </w:p>
    <w:p w14:paraId="1265B110" w14:textId="77777777" w:rsidR="00A33875" w:rsidRPr="00EC0229" w:rsidRDefault="00A33875" w:rsidP="007600EA">
      <w:pPr>
        <w:pStyle w:val="NoSpacing"/>
        <w:spacing w:line="360" w:lineRule="auto"/>
        <w:rPr>
          <w:rFonts w:cs="Times New Roman"/>
          <w:sz w:val="20"/>
          <w:szCs w:val="20"/>
        </w:rPr>
      </w:pPr>
    </w:p>
    <w:p w14:paraId="2B609D3A" w14:textId="4332B27E" w:rsidR="00A33875" w:rsidRPr="006353B5" w:rsidRDefault="008259E1" w:rsidP="006353B5">
      <w:pPr>
        <w:pStyle w:val="Heading4"/>
      </w:pPr>
      <w:bookmarkStart w:id="368" w:name="PeriodN8"/>
      <w:bookmarkStart w:id="369" w:name="_Toc468266803"/>
      <w:bookmarkEnd w:id="368"/>
      <w:r w:rsidRPr="008259E1">
        <w:rPr>
          <w:b/>
        </w:rPr>
        <w:t>5.3.6.3</w:t>
      </w:r>
      <w:r w:rsidRPr="008259E1">
        <w:rPr>
          <w:b/>
        </w:rPr>
        <w:tab/>
      </w:r>
      <w:r w:rsidR="00A33875" w:rsidRPr="008259E1">
        <w:rPr>
          <w:b/>
        </w:rPr>
        <w:t>Period N8</w:t>
      </w:r>
      <w:r w:rsidR="00F204A1" w:rsidRPr="008259E1">
        <w:rPr>
          <w:b/>
        </w:rPr>
        <w:fldChar w:fldCharType="begin"/>
      </w:r>
      <w:r w:rsidR="00F204A1" w:rsidRPr="008259E1">
        <w:rPr>
          <w:b/>
        </w:rPr>
        <w:instrText xml:space="preserve"> XE "Period N8" </w:instrText>
      </w:r>
      <w:r w:rsidR="00F204A1" w:rsidRPr="008259E1">
        <w:rPr>
          <w:b/>
        </w:rPr>
        <w:fldChar w:fldCharType="end"/>
      </w:r>
      <w:r w:rsidR="007E372B" w:rsidRPr="008259E1">
        <w:rPr>
          <w:b/>
        </w:rPr>
        <w:t>, 780s-800s</w:t>
      </w:r>
      <w:bookmarkStart w:id="370" w:name="ÆlfwaldI"/>
      <w:bookmarkStart w:id="371" w:name="inscriptional"/>
      <w:bookmarkEnd w:id="370"/>
      <w:bookmarkEnd w:id="371"/>
      <w:r w:rsidR="00993B0F" w:rsidRPr="008259E1">
        <w:rPr>
          <w:b/>
        </w:rPr>
        <w:t xml:space="preserve">: </w:t>
      </w:r>
      <w:r w:rsidR="00584C42" w:rsidRPr="008259E1">
        <w:rPr>
          <w:b/>
        </w:rPr>
        <w:fldChar w:fldCharType="begin"/>
      </w:r>
      <w:r w:rsidR="00584C42" w:rsidRPr="008259E1">
        <w:rPr>
          <w:b/>
        </w:rPr>
        <w:instrText xml:space="preserve"> XE "Coinage" </w:instrText>
      </w:r>
      <w:r w:rsidR="00584C42" w:rsidRPr="008259E1">
        <w:rPr>
          <w:b/>
        </w:rPr>
        <w:fldChar w:fldCharType="end"/>
      </w:r>
      <w:r w:rsidR="00993B0F" w:rsidRPr="008259E1">
        <w:rPr>
          <w:b/>
        </w:rPr>
        <w:t>i</w:t>
      </w:r>
      <w:r w:rsidR="00A33875" w:rsidRPr="008259E1">
        <w:rPr>
          <w:b/>
        </w:rPr>
        <w:t>nscriptional</w:t>
      </w:r>
      <w:r w:rsidR="007E372B" w:rsidRPr="008259E1">
        <w:rPr>
          <w:b/>
        </w:rPr>
        <w:t xml:space="preserve"> reverse sceats</w:t>
      </w:r>
      <w:r w:rsidR="00F204A1" w:rsidRPr="008259E1">
        <w:rPr>
          <w:b/>
        </w:rPr>
        <w:fldChar w:fldCharType="begin"/>
      </w:r>
      <w:r w:rsidR="00F204A1" w:rsidRPr="008259E1">
        <w:rPr>
          <w:b/>
        </w:rPr>
        <w:instrText xml:space="preserve"> XE "inscriptional reverse sceats" </w:instrText>
      </w:r>
      <w:r w:rsidR="00F204A1" w:rsidRPr="008259E1">
        <w:rPr>
          <w:b/>
        </w:rPr>
        <w:fldChar w:fldCharType="end"/>
      </w:r>
      <w:r w:rsidR="00A33875" w:rsidRPr="006353B5">
        <w:rPr>
          <w:rStyle w:val="FootnoteReference"/>
          <w:rFonts w:cs="Times New Roman"/>
        </w:rPr>
        <w:t xml:space="preserve"> </w:t>
      </w:r>
      <w:r w:rsidR="00A33875" w:rsidRPr="006353B5">
        <w:rPr>
          <w:rStyle w:val="FootnoteReference"/>
          <w:rFonts w:cs="Times New Roman"/>
        </w:rPr>
        <w:footnoteReference w:id="605"/>
      </w:r>
      <w:bookmarkEnd w:id="369"/>
    </w:p>
    <w:p w14:paraId="347C9017" w14:textId="74CFB87B" w:rsidR="00A33875" w:rsidRPr="00EC0229" w:rsidRDefault="00A33875" w:rsidP="007600EA">
      <w:pPr>
        <w:pStyle w:val="NoSpacing"/>
        <w:spacing w:line="360" w:lineRule="auto"/>
        <w:rPr>
          <w:rFonts w:cs="Times New Roman"/>
        </w:rPr>
      </w:pPr>
      <w:r w:rsidRPr="00EC0229">
        <w:rPr>
          <w:rFonts w:cs="Times New Roman"/>
        </w:rPr>
        <w:t>Given the similarity of the obverse inscriptions of the two sceats illustrated below</w:t>
      </w:r>
      <w:r w:rsidR="006C7E93" w:rsidRPr="00EC0229">
        <w:rPr>
          <w:rFonts w:cs="Times New Roman"/>
        </w:rPr>
        <w:t xml:space="preserve"> </w:t>
      </w:r>
      <w:r w:rsidR="006C7E93" w:rsidRPr="00EC0229">
        <w:rPr>
          <w:rFonts w:cs="Times New Roman"/>
          <w:szCs w:val="24"/>
        </w:rPr>
        <w:t>(</w:t>
      </w:r>
      <w:r w:rsidR="006C7E93" w:rsidRPr="00EC0229">
        <w:rPr>
          <w:rFonts w:cs="Times New Roman"/>
          <w:szCs w:val="24"/>
        </w:rPr>
        <w:fldChar w:fldCharType="begin"/>
      </w:r>
      <w:r w:rsidR="006C7E93" w:rsidRPr="00EC0229">
        <w:rPr>
          <w:rFonts w:cs="Times New Roman"/>
          <w:szCs w:val="24"/>
        </w:rPr>
        <w:instrText xml:space="preserve"> REF _Ref430246502 \h  \* MERGEFORMAT </w:instrText>
      </w:r>
      <w:r w:rsidR="006C7E93" w:rsidRPr="00EC0229">
        <w:rPr>
          <w:rFonts w:cs="Times New Roman"/>
          <w:szCs w:val="24"/>
        </w:rPr>
      </w:r>
      <w:r w:rsidR="006C7E93"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50</w:t>
      </w:r>
      <w:r w:rsidR="006C7E93" w:rsidRPr="00EC0229">
        <w:rPr>
          <w:rFonts w:cs="Times New Roman"/>
          <w:szCs w:val="24"/>
        </w:rPr>
        <w:fldChar w:fldCharType="end"/>
      </w:r>
      <w:r w:rsidR="006C7E93" w:rsidRPr="00EC0229">
        <w:rPr>
          <w:rFonts w:cs="Times New Roman"/>
        </w:rPr>
        <w:t>)</w:t>
      </w:r>
      <w:r w:rsidRPr="00EC0229">
        <w:rPr>
          <w:rFonts w:cs="Times New Roman"/>
        </w:rPr>
        <w:t>, seemi</w:t>
      </w:r>
      <w:r w:rsidR="002242DA" w:rsidRPr="00EC0229">
        <w:rPr>
          <w:rFonts w:cs="Times New Roman"/>
        </w:rPr>
        <w:t>ngly engraved by the same hand,</w:t>
      </w:r>
      <w:r w:rsidRPr="00EC0229">
        <w:rPr>
          <w:rFonts w:cs="Times New Roman"/>
        </w:rPr>
        <w:t xml:space="preserve"> there can be little doubt that the change of type, from portrayal to epigraphic, took place during the reign of Ælfwald</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rFonts w:cs="Times New Roman"/>
        </w:rPr>
        <w:fldChar w:fldCharType="end"/>
      </w:r>
      <w:r w:rsidRPr="00EC0229">
        <w:rPr>
          <w:rFonts w:cs="Times New Roman"/>
        </w:rPr>
        <w:t xml:space="preserve"> I, despite the conventional wisdom that the latter is an emission of Ælfwald II.</w:t>
      </w:r>
      <w:r w:rsidRPr="00EC0229">
        <w:rPr>
          <w:rStyle w:val="FootnoteReference"/>
          <w:rFonts w:cs="Times New Roman"/>
        </w:rPr>
        <w:footnoteReference w:id="606"/>
      </w:r>
      <w:r w:rsidR="00A14A1A" w:rsidRPr="00EC0229">
        <w:rPr>
          <w:rFonts w:cs="Times New Roman"/>
        </w:rPr>
        <w:t xml:space="preserve"> T</w:t>
      </w:r>
      <w:r w:rsidR="00623B60" w:rsidRPr="00EC0229">
        <w:rPr>
          <w:rFonts w:cs="Times New Roman"/>
        </w:rPr>
        <w:t xml:space="preserve">his change </w:t>
      </w:r>
      <w:r w:rsidR="00A14A1A" w:rsidRPr="00EC0229">
        <w:rPr>
          <w:rFonts w:cs="Times New Roman"/>
        </w:rPr>
        <w:t xml:space="preserve">may </w:t>
      </w:r>
      <w:r w:rsidR="00623B60" w:rsidRPr="00EC0229">
        <w:rPr>
          <w:rFonts w:cs="Times New Roman"/>
        </w:rPr>
        <w:t>be related to the 786 legatine mission</w:t>
      </w:r>
      <w:bookmarkStart w:id="372" w:name="_Ref433894271"/>
      <w:r w:rsidR="00A14A1A" w:rsidRPr="00EC0229">
        <w:rPr>
          <w:rFonts w:cs="Times New Roman"/>
        </w:rPr>
        <w:t>.</w:t>
      </w:r>
      <w:r w:rsidR="00623B60" w:rsidRPr="00EC0229">
        <w:rPr>
          <w:rStyle w:val="FootnoteReference"/>
          <w:rFonts w:cs="Times New Roman"/>
        </w:rPr>
        <w:footnoteReference w:id="607"/>
      </w:r>
      <w:bookmarkEnd w:id="372"/>
    </w:p>
    <w:p w14:paraId="74A79B63" w14:textId="77777777" w:rsidR="00A33875" w:rsidRPr="00EC0229" w:rsidRDefault="00A33875" w:rsidP="007600EA">
      <w:pPr>
        <w:pStyle w:val="NoSpacing"/>
        <w:spacing w:line="360" w:lineRule="auto"/>
        <w:jc w:val="center"/>
        <w:rPr>
          <w:rFonts w:cs="Times New Roman"/>
        </w:rPr>
      </w:pPr>
      <w:r w:rsidRPr="00EC0229">
        <w:rPr>
          <w:noProof/>
          <w:sz w:val="20"/>
          <w:szCs w:val="20"/>
          <w:lang w:eastAsia="en-GB"/>
        </w:rPr>
        <w:lastRenderedPageBreak/>
        <w:drawing>
          <wp:inline distT="0" distB="0" distL="0" distR="0" wp14:anchorId="371D682F" wp14:editId="7E32A0EC">
            <wp:extent cx="1043940" cy="1010882"/>
            <wp:effectExtent l="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73-20 Y180.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043940" cy="1010882"/>
                    </a:xfrm>
                    <a:prstGeom prst="rect">
                      <a:avLst/>
                    </a:prstGeom>
                  </pic:spPr>
                </pic:pic>
              </a:graphicData>
            </a:graphic>
          </wp:inline>
        </w:drawing>
      </w:r>
      <w:r w:rsidRPr="00EC0229">
        <w:rPr>
          <w:rFonts w:cs="Times New Roman"/>
        </w:rPr>
        <w:tab/>
      </w:r>
      <w:r w:rsidRPr="00EC0229">
        <w:rPr>
          <w:rFonts w:cs="Times New Roman"/>
        </w:rPr>
        <w:tab/>
      </w:r>
      <w:r w:rsidRPr="00EC0229">
        <w:rPr>
          <w:rFonts w:cs="Times New Roman"/>
          <w:noProof/>
          <w:lang w:eastAsia="en-GB"/>
        </w:rPr>
        <w:drawing>
          <wp:inline distT="0" distB="0" distL="0" distR="0" wp14:anchorId="7754735E" wp14:editId="7DDAE43E">
            <wp:extent cx="1080000" cy="1004400"/>
            <wp:effectExtent l="0" t="0" r="6350" b="571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79-10 Y400.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080000" cy="1004400"/>
                    </a:xfrm>
                    <a:prstGeom prst="rect">
                      <a:avLst/>
                    </a:prstGeom>
                  </pic:spPr>
                </pic:pic>
              </a:graphicData>
            </a:graphic>
          </wp:inline>
        </w:drawing>
      </w:r>
    </w:p>
    <w:p w14:paraId="5D012CCF" w14:textId="77777777" w:rsidR="00A33875" w:rsidRPr="00EC0229" w:rsidRDefault="00A33875" w:rsidP="007600EA">
      <w:pPr>
        <w:pStyle w:val="NoSpacing"/>
        <w:spacing w:line="360" w:lineRule="auto"/>
        <w:jc w:val="center"/>
        <w:rPr>
          <w:rFonts w:cs="Times New Roman"/>
        </w:rPr>
      </w:pPr>
      <w:r w:rsidRPr="00EC0229">
        <w:rPr>
          <w:noProof/>
          <w:sz w:val="20"/>
          <w:szCs w:val="20"/>
          <w:lang w:eastAsia="en-GB"/>
        </w:rPr>
        <w:drawing>
          <wp:inline distT="0" distB="0" distL="0" distR="0" wp14:anchorId="51730B8B" wp14:editId="458EB86D">
            <wp:extent cx="1028700" cy="1001268"/>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73-20 Y180R.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055777" cy="1027623"/>
                    </a:xfrm>
                    <a:prstGeom prst="rect">
                      <a:avLst/>
                    </a:prstGeom>
                  </pic:spPr>
                </pic:pic>
              </a:graphicData>
            </a:graphic>
          </wp:inline>
        </w:drawing>
      </w:r>
      <w:r w:rsidRPr="00EC0229">
        <w:rPr>
          <w:rFonts w:cs="Times New Roman"/>
        </w:rPr>
        <w:tab/>
      </w:r>
      <w:r w:rsidRPr="00EC0229">
        <w:rPr>
          <w:rFonts w:cs="Times New Roman"/>
        </w:rPr>
        <w:tab/>
      </w:r>
      <w:r w:rsidRPr="00EC0229">
        <w:rPr>
          <w:rFonts w:cs="Times New Roman"/>
          <w:noProof/>
          <w:lang w:eastAsia="en-GB"/>
        </w:rPr>
        <w:drawing>
          <wp:inline distT="0" distB="0" distL="0" distR="0" wp14:anchorId="0F45FAC7" wp14:editId="0AB25B38">
            <wp:extent cx="990600" cy="99720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79-10 Y400R.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001656" cy="1008334"/>
                    </a:xfrm>
                    <a:prstGeom prst="rect">
                      <a:avLst/>
                    </a:prstGeom>
                  </pic:spPr>
                </pic:pic>
              </a:graphicData>
            </a:graphic>
          </wp:inline>
        </w:drawing>
      </w:r>
    </w:p>
    <w:p w14:paraId="6AE3E8B2" w14:textId="3A5204AE" w:rsidR="00F13F40" w:rsidRPr="00EC0229" w:rsidRDefault="00F13F40" w:rsidP="007600EA">
      <w:pPr>
        <w:pStyle w:val="NoSpacing"/>
        <w:spacing w:line="360" w:lineRule="auto"/>
        <w:jc w:val="center"/>
        <w:rPr>
          <w:sz w:val="20"/>
          <w:szCs w:val="20"/>
        </w:rPr>
      </w:pPr>
      <w:bookmarkStart w:id="373" w:name="_Ref430246502"/>
      <w:bookmarkStart w:id="374" w:name="_Toc46826702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50</w:t>
      </w:r>
      <w:r w:rsidRPr="00EC0229">
        <w:rPr>
          <w:sz w:val="20"/>
          <w:szCs w:val="20"/>
        </w:rPr>
        <w:fldChar w:fldCharType="end"/>
      </w:r>
      <w:bookmarkEnd w:id="373"/>
      <w:r w:rsidR="002D3934" w:rsidRPr="00EC0229">
        <w:rPr>
          <w:sz w:val="20"/>
          <w:szCs w:val="20"/>
        </w:rPr>
        <w:t xml:space="preserve">: </w:t>
      </w:r>
      <w:r w:rsidR="00A33875" w:rsidRPr="00EC0229">
        <w:rPr>
          <w:sz w:val="20"/>
          <w:szCs w:val="20"/>
        </w:rPr>
        <w:t>Ælfwald</w:t>
      </w:r>
      <w:r w:rsidR="004C29A9" w:rsidRPr="00EC0229">
        <w:rPr>
          <w:sz w:val="20"/>
          <w:szCs w:val="20"/>
        </w:rPr>
        <w:fldChar w:fldCharType="begin"/>
      </w:r>
      <w:r w:rsidR="004C29A9" w:rsidRPr="00EC0229">
        <w:rPr>
          <w:sz w:val="20"/>
          <w:szCs w:val="20"/>
        </w:rPr>
        <w:instrText xml:space="preserve"> XE "Ælfwald" </w:instrText>
      </w:r>
      <w:r w:rsidR="004C29A9" w:rsidRPr="00EC0229">
        <w:rPr>
          <w:sz w:val="20"/>
          <w:szCs w:val="20"/>
        </w:rPr>
        <w:fldChar w:fldCharType="end"/>
      </w:r>
      <w:r w:rsidRPr="00EC0229">
        <w:rPr>
          <w:sz w:val="20"/>
          <w:szCs w:val="20"/>
        </w:rPr>
        <w:t xml:space="preserve"> I</w:t>
      </w:r>
      <w:bookmarkEnd w:id="374"/>
    </w:p>
    <w:p w14:paraId="1120E72E" w14:textId="4462DA1E" w:rsidR="00A33875" w:rsidRPr="00EC0229" w:rsidRDefault="00A33875" w:rsidP="007600EA">
      <w:pPr>
        <w:pStyle w:val="NoSpacing"/>
        <w:spacing w:line="360" w:lineRule="auto"/>
        <w:jc w:val="center"/>
        <w:rPr>
          <w:sz w:val="20"/>
          <w:szCs w:val="20"/>
        </w:rPr>
      </w:pPr>
      <w:r w:rsidRPr="00EC0229">
        <w:rPr>
          <w:sz w:val="20"/>
          <w:szCs w:val="20"/>
        </w:rPr>
        <w:t>L: fantastic animal type (</w:t>
      </w:r>
      <w:r w:rsidRPr="00EC0229">
        <w:rPr>
          <w:i/>
          <w:sz w:val="20"/>
          <w:szCs w:val="20"/>
        </w:rPr>
        <w:t>SL</w:t>
      </w:r>
      <w:r w:rsidRPr="00EC0229">
        <w:rPr>
          <w:sz w:val="20"/>
          <w:szCs w:val="20"/>
        </w:rPr>
        <w:t xml:space="preserve">73-20) and R: inscriptional type by </w:t>
      </w:r>
      <w:r w:rsidR="00666179" w:rsidRPr="00EC0229">
        <w:rPr>
          <w:sz w:val="20"/>
          <w:szCs w:val="20"/>
        </w:rPr>
        <w:t>Cuthheard</w:t>
      </w:r>
      <w:r w:rsidR="00D142DC" w:rsidRPr="00EC0229">
        <w:rPr>
          <w:sz w:val="20"/>
          <w:szCs w:val="20"/>
        </w:rPr>
        <w:fldChar w:fldCharType="begin"/>
      </w:r>
      <w:r w:rsidR="00D142DC" w:rsidRPr="00EC0229">
        <w:rPr>
          <w:sz w:val="20"/>
          <w:szCs w:val="20"/>
        </w:rPr>
        <w:instrText xml:space="preserve"> XE "Cuthheard" </w:instrText>
      </w:r>
      <w:r w:rsidR="00D142DC" w:rsidRPr="00EC0229">
        <w:rPr>
          <w:sz w:val="20"/>
          <w:szCs w:val="20"/>
        </w:rPr>
        <w:fldChar w:fldCharType="end"/>
      </w:r>
      <w:r w:rsidRPr="00EC0229">
        <w:rPr>
          <w:sz w:val="20"/>
          <w:szCs w:val="20"/>
        </w:rPr>
        <w:t xml:space="preserve"> (</w:t>
      </w:r>
      <w:r w:rsidRPr="00EC0229">
        <w:rPr>
          <w:i/>
          <w:sz w:val="20"/>
          <w:szCs w:val="20"/>
        </w:rPr>
        <w:t>SL</w:t>
      </w:r>
      <w:r w:rsidRPr="00EC0229">
        <w:rPr>
          <w:sz w:val="20"/>
          <w:szCs w:val="20"/>
        </w:rPr>
        <w:t>79-10)</w:t>
      </w:r>
    </w:p>
    <w:p w14:paraId="36518B5B" w14:textId="77777777" w:rsidR="00A33875" w:rsidRPr="00EC0229" w:rsidRDefault="00A33875" w:rsidP="007600EA">
      <w:pPr>
        <w:pStyle w:val="NoSpacing"/>
        <w:spacing w:line="360" w:lineRule="auto"/>
        <w:rPr>
          <w:rFonts w:cs="Times New Roman"/>
        </w:rPr>
      </w:pPr>
    </w:p>
    <w:p w14:paraId="715BEC03" w14:textId="79721926" w:rsidR="00A33875" w:rsidRPr="00EC0229" w:rsidRDefault="00A33875" w:rsidP="007600EA">
      <w:pPr>
        <w:pStyle w:val="NoSpacing"/>
        <w:spacing w:line="360" w:lineRule="auto"/>
        <w:rPr>
          <w:rFonts w:cs="Times New Roman"/>
          <w:szCs w:val="24"/>
        </w:rPr>
      </w:pPr>
      <w:r w:rsidRPr="00EC0229">
        <w:rPr>
          <w:rFonts w:cs="Times New Roman"/>
        </w:rPr>
        <w:t>The reverse inscriptions of these issues name the moneyers of Ælfwald</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rFonts w:cs="Times New Roman"/>
        </w:rPr>
        <w:fldChar w:fldCharType="end"/>
      </w:r>
      <w:r w:rsidRPr="00EC0229">
        <w:rPr>
          <w:rFonts w:cs="Times New Roman"/>
        </w:rPr>
        <w:t xml:space="preserve"> I, Æthelred</w:t>
      </w:r>
      <w:r w:rsidR="00D142DC" w:rsidRPr="00EC0229">
        <w:rPr>
          <w:rFonts w:cs="Times New Roman"/>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rPr>
        <w:fldChar w:fldCharType="end"/>
      </w:r>
      <w:r w:rsidRPr="00EC0229">
        <w:rPr>
          <w:rFonts w:cs="Times New Roman"/>
        </w:rPr>
        <w:t xml:space="preserve"> I (second reign) and Eardwulf to 806. </w:t>
      </w:r>
      <w:r w:rsidR="008D6B10" w:rsidRPr="00EC0229">
        <w:rPr>
          <w:rFonts w:cs="Times New Roman"/>
        </w:rPr>
        <w:t>No coinage is here</w:t>
      </w:r>
      <w:r w:rsidRPr="00EC0229">
        <w:rPr>
          <w:rFonts w:cs="Times New Roman"/>
        </w:rPr>
        <w:t xml:space="preserve"> ascribed to the reign of Ælfwald II or any putative second reign of Eardwulf.</w:t>
      </w:r>
      <w:r w:rsidR="007B2AB2" w:rsidRPr="00EC0229">
        <w:rPr>
          <w:rStyle w:val="FootnoteReference"/>
          <w:rFonts w:cs="Times New Roman"/>
        </w:rPr>
        <w:footnoteReference w:id="608"/>
      </w:r>
      <w:r w:rsidRPr="00EC0229">
        <w:rPr>
          <w:rFonts w:cs="Times New Roman"/>
        </w:rPr>
        <w:t xml:space="preserve"> The five named moneyers </w:t>
      </w:r>
      <w:r w:rsidR="003F699C" w:rsidRPr="00EC0229">
        <w:rPr>
          <w:rFonts w:cs="Times New Roman"/>
          <w:szCs w:val="24"/>
        </w:rPr>
        <w:t>(</w:t>
      </w:r>
      <w:r w:rsidR="008C418A" w:rsidRPr="00EC0229">
        <w:rPr>
          <w:rFonts w:cs="Times New Roman"/>
          <w:i/>
          <w:szCs w:val="24"/>
        </w:rPr>
        <w:fldChar w:fldCharType="begin"/>
      </w:r>
      <w:r w:rsidR="008C418A" w:rsidRPr="00EC0229">
        <w:rPr>
          <w:rFonts w:cs="Times New Roman"/>
          <w:i/>
          <w:szCs w:val="24"/>
        </w:rPr>
        <w:instrText xml:space="preserve"> REF _Ref430246523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51</w:t>
      </w:r>
      <w:r w:rsidR="008C418A" w:rsidRPr="00EC0229">
        <w:rPr>
          <w:rFonts w:cs="Times New Roman"/>
          <w:szCs w:val="24"/>
        </w:rPr>
        <w:fldChar w:fldCharType="end"/>
      </w:r>
      <w:r w:rsidR="003F699C" w:rsidRPr="00EC0229">
        <w:rPr>
          <w:rFonts w:cs="Times New Roman"/>
        </w:rPr>
        <w:t xml:space="preserve">) </w:t>
      </w:r>
      <w:r w:rsidRPr="00EC0229">
        <w:rPr>
          <w:rFonts w:cs="Times New Roman"/>
        </w:rPr>
        <w:t>are the enigmatic ‘Cudcils</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Cudcils</w:instrText>
      </w:r>
      <w:r w:rsidR="004C29A9" w:rsidRPr="00EC0229">
        <w:instrText xml:space="preserve">" </w:instrText>
      </w:r>
      <w:r w:rsidR="004C29A9" w:rsidRPr="00EC0229">
        <w:rPr>
          <w:rFonts w:cs="Times New Roman"/>
        </w:rPr>
        <w:fldChar w:fldCharType="end"/>
      </w:r>
      <w:r w:rsidRPr="00EC0229">
        <w:rPr>
          <w:rFonts w:cs="Times New Roman"/>
        </w:rPr>
        <w:t xml:space="preserve">’ (Cuthgils), the long-lived </w:t>
      </w:r>
      <w:r w:rsidR="00666179" w:rsidRPr="00EC0229">
        <w:rPr>
          <w:rFonts w:cs="Times New Roman"/>
        </w:rPr>
        <w:t>Cuthheard</w:t>
      </w:r>
      <w:r w:rsidR="00D142DC" w:rsidRPr="00EC0229">
        <w:rPr>
          <w:rFonts w:cs="Times New Roman"/>
        </w:rPr>
        <w:fldChar w:fldCharType="begin"/>
      </w:r>
      <w:r w:rsidR="00D142DC" w:rsidRPr="00EC0229">
        <w:instrText xml:space="preserve"> XE "Cuthheard" </w:instrText>
      </w:r>
      <w:r w:rsidR="00D142DC" w:rsidRPr="00EC0229">
        <w:rPr>
          <w:rFonts w:cs="Times New Roman"/>
        </w:rPr>
        <w:fldChar w:fldCharType="end"/>
      </w:r>
      <w:r w:rsidR="003F699C" w:rsidRPr="00EC0229">
        <w:rPr>
          <w:rFonts w:cs="Times New Roman"/>
        </w:rPr>
        <w:t xml:space="preserve"> (sole moneyer for Eardwulf, </w:t>
      </w:r>
      <w:r w:rsidR="008C418A" w:rsidRPr="00EC0229">
        <w:rPr>
          <w:rFonts w:cs="Times New Roman"/>
          <w:i/>
          <w:szCs w:val="24"/>
        </w:rPr>
        <w:fldChar w:fldCharType="begin"/>
      </w:r>
      <w:r w:rsidR="008C418A" w:rsidRPr="00EC0229">
        <w:rPr>
          <w:rFonts w:cs="Times New Roman"/>
          <w:i/>
          <w:szCs w:val="24"/>
        </w:rPr>
        <w:instrText xml:space="preserve"> REF _Ref430246533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EC0229">
        <w:rPr>
          <w:sz w:val="20"/>
          <w:szCs w:val="20"/>
        </w:rPr>
        <w:t xml:space="preserve"> </w:t>
      </w:r>
      <w:r w:rsidR="0012026B">
        <w:rPr>
          <w:noProof/>
          <w:sz w:val="20"/>
          <w:szCs w:val="20"/>
        </w:rPr>
        <w:t>52</w:t>
      </w:r>
      <w:r w:rsidR="008C418A" w:rsidRPr="00EC0229">
        <w:rPr>
          <w:rFonts w:cs="Times New Roman"/>
        </w:rPr>
        <w:fldChar w:fldCharType="end"/>
      </w:r>
      <w:r w:rsidR="003F699C" w:rsidRPr="00EC0229">
        <w:rPr>
          <w:rFonts w:cs="Times New Roman"/>
        </w:rPr>
        <w:t>)</w:t>
      </w:r>
      <w:r w:rsidRPr="00EC0229">
        <w:rPr>
          <w:rFonts w:cs="Times New Roman"/>
        </w:rPr>
        <w:t>, the prolific Ceolbald,</w:t>
      </w:r>
      <w:r w:rsidRPr="00EC0229">
        <w:rPr>
          <w:rStyle w:val="FootnoteReference"/>
          <w:rFonts w:cs="Times New Roman"/>
        </w:rPr>
        <w:footnoteReference w:id="609"/>
      </w:r>
      <w:r w:rsidRPr="00EC0229">
        <w:rPr>
          <w:rFonts w:cs="Times New Roman"/>
        </w:rPr>
        <w:t xml:space="preserve"> the scarce Tidwulf, and the extremely rare Hnifula</w:t>
      </w:r>
      <w:r w:rsidR="003F699C" w:rsidRPr="00EC0229">
        <w:rPr>
          <w:rFonts w:cs="Times New Roman"/>
        </w:rPr>
        <w:t xml:space="preserve">. </w:t>
      </w:r>
      <w:r w:rsidRPr="00EC0229">
        <w:rPr>
          <w:rFonts w:cs="Times New Roman"/>
          <w:szCs w:val="24"/>
        </w:rPr>
        <w:t>The volume of production must fall well short of that estimated for Eadberht</w:t>
      </w:r>
      <w:r w:rsidR="00D142DC" w:rsidRPr="00EC0229">
        <w:rPr>
          <w:rFonts w:cs="Times New Roman"/>
          <w:szCs w:val="24"/>
        </w:rPr>
        <w:fldChar w:fldCharType="begin"/>
      </w:r>
      <w:r w:rsidR="00D142DC" w:rsidRPr="00EC0229">
        <w:instrText xml:space="preserve"> XE "Eadberht" </w:instrText>
      </w:r>
      <w:r w:rsidR="00D142DC" w:rsidRPr="00EC0229">
        <w:rPr>
          <w:rFonts w:cs="Times New Roman"/>
          <w:szCs w:val="24"/>
        </w:rPr>
        <w:fldChar w:fldCharType="end"/>
      </w:r>
      <w:r w:rsidRPr="00EC0229">
        <w:rPr>
          <w:rFonts w:cs="Times New Roman"/>
          <w:szCs w:val="24"/>
        </w:rPr>
        <w:t xml:space="preserve">, given the far fewer die variations. </w:t>
      </w:r>
      <w:r w:rsidRPr="00EC0229">
        <w:rPr>
          <w:rFonts w:cs="Times New Roman"/>
        </w:rPr>
        <w:t>This phase displays generally competent execution, except</w:t>
      </w:r>
      <w:r w:rsidRPr="00EC0229">
        <w:rPr>
          <w:rFonts w:cs="Times New Roman"/>
          <w:szCs w:val="24"/>
        </w:rPr>
        <w:t xml:space="preserve"> in the case of </w:t>
      </w:r>
      <w:bookmarkStart w:id="375" w:name="Cuthgils"/>
      <w:r w:rsidRPr="00EC0229">
        <w:rPr>
          <w:rFonts w:cs="Times New Roman"/>
          <w:szCs w:val="24"/>
        </w:rPr>
        <w:t xml:space="preserve">‘Cudcils’ </w:t>
      </w:r>
      <w:bookmarkEnd w:id="375"/>
      <w:r w:rsidRPr="00EC0229">
        <w:rPr>
          <w:rFonts w:cs="Times New Roman"/>
          <w:szCs w:val="24"/>
        </w:rPr>
        <w:t>which is poorly engraved and struck in baser metal.</w:t>
      </w:r>
      <w:r w:rsidRPr="00EC0229">
        <w:rPr>
          <w:rStyle w:val="FootnoteReference"/>
          <w:rFonts w:cs="Times New Roman"/>
        </w:rPr>
        <w:footnoteReference w:id="610"/>
      </w:r>
      <w:r w:rsidRPr="00EC0229">
        <w:rPr>
          <w:rFonts w:cs="Times New Roman"/>
          <w:szCs w:val="24"/>
        </w:rPr>
        <w:t xml:space="preserve"> Two specimens struck by Cuthgils for </w:t>
      </w:r>
      <w:r w:rsidRPr="00EC0229">
        <w:rPr>
          <w:rFonts w:cs="Times New Roman"/>
        </w:rPr>
        <w:t>Æ</w:t>
      </w:r>
      <w:r w:rsidR="002D3934" w:rsidRPr="00EC0229">
        <w:rPr>
          <w:rFonts w:cs="Times New Roman"/>
          <w:szCs w:val="24"/>
        </w:rPr>
        <w:t>lfwald I have been found (</w:t>
      </w:r>
      <w:r w:rsidR="008C418A" w:rsidRPr="00EC0229">
        <w:rPr>
          <w:rFonts w:cs="Times New Roman"/>
          <w:i/>
          <w:szCs w:val="24"/>
        </w:rPr>
        <w:fldChar w:fldCharType="begin"/>
      </w:r>
      <w:r w:rsidR="008C418A" w:rsidRPr="00EC0229">
        <w:rPr>
          <w:rFonts w:cs="Times New Roman"/>
          <w:i/>
          <w:szCs w:val="24"/>
        </w:rPr>
        <w:instrText xml:space="preserve"> REF _Ref430246554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53</w:t>
      </w:r>
      <w:r w:rsidR="008C418A" w:rsidRPr="00EC0229">
        <w:rPr>
          <w:rFonts w:cs="Times New Roman"/>
          <w:szCs w:val="24"/>
        </w:rPr>
        <w:fldChar w:fldCharType="end"/>
      </w:r>
      <w:r w:rsidR="002D3934" w:rsidRPr="00EC0229">
        <w:rPr>
          <w:rFonts w:cs="Times New Roman"/>
        </w:rPr>
        <w:t>).</w:t>
      </w:r>
    </w:p>
    <w:p w14:paraId="0DE3D8E6" w14:textId="77777777" w:rsidR="00A33875" w:rsidRPr="00EC0229" w:rsidRDefault="00A33875" w:rsidP="007600EA">
      <w:pPr>
        <w:pStyle w:val="NoSpacing"/>
        <w:spacing w:line="360" w:lineRule="auto"/>
        <w:jc w:val="center"/>
        <w:rPr>
          <w:rFonts w:cs="Times New Roman"/>
        </w:rPr>
      </w:pPr>
    </w:p>
    <w:p w14:paraId="7904B310" w14:textId="77777777" w:rsidR="00A33875" w:rsidRPr="00EC0229" w:rsidRDefault="00A33875" w:rsidP="007600EA">
      <w:pPr>
        <w:pStyle w:val="NoSpacing"/>
        <w:spacing w:line="360" w:lineRule="auto"/>
        <w:jc w:val="center"/>
        <w:rPr>
          <w:rFonts w:cs="Times New Roman"/>
        </w:rPr>
      </w:pPr>
      <w:r w:rsidRPr="00EC0229">
        <w:rPr>
          <w:rFonts w:cs="Times New Roman"/>
          <w:noProof/>
          <w:lang w:eastAsia="en-GB"/>
        </w:rPr>
        <w:drawing>
          <wp:inline distT="0" distB="0" distL="0" distR="0" wp14:anchorId="36991566" wp14:editId="29D6BCED">
            <wp:extent cx="997659" cy="969391"/>
            <wp:effectExtent l="0" t="0" r="0" b="254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85-10 Y305R.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026312" cy="997232"/>
                    </a:xfrm>
                    <a:prstGeom prst="rect">
                      <a:avLst/>
                    </a:prstGeom>
                  </pic:spPr>
                </pic:pic>
              </a:graphicData>
            </a:graphic>
          </wp:inline>
        </w:drawing>
      </w:r>
      <w:r w:rsidRPr="00EC0229">
        <w:rPr>
          <w:rFonts w:cs="Times New Roman"/>
          <w:noProof/>
          <w:lang w:eastAsia="en-GB"/>
        </w:rPr>
        <w:drawing>
          <wp:inline distT="0" distB="0" distL="0" distR="0" wp14:anchorId="2E1AA5E4" wp14:editId="4F5AF4D8">
            <wp:extent cx="962233" cy="1035816"/>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3-10 Y327R.jpg"/>
                    <pic:cNvPicPr/>
                  </pic:nvPicPr>
                  <pic:blipFill>
                    <a:blip r:embed="rId206">
                      <a:extLst>
                        <a:ext uri="{28A0092B-C50C-407E-A947-70E740481C1C}">
                          <a14:useLocalDpi xmlns:a14="http://schemas.microsoft.com/office/drawing/2010/main" val="0"/>
                        </a:ext>
                      </a:extLst>
                    </a:blip>
                    <a:stretch>
                      <a:fillRect/>
                    </a:stretch>
                  </pic:blipFill>
                  <pic:spPr>
                    <a:xfrm>
                      <a:off x="0" y="0"/>
                      <a:ext cx="974770" cy="1049311"/>
                    </a:xfrm>
                    <a:prstGeom prst="rect">
                      <a:avLst/>
                    </a:prstGeom>
                  </pic:spPr>
                </pic:pic>
              </a:graphicData>
            </a:graphic>
          </wp:inline>
        </w:drawing>
      </w:r>
      <w:r w:rsidRPr="00EC0229">
        <w:rPr>
          <w:rFonts w:cs="Times New Roman"/>
          <w:noProof/>
          <w:lang w:eastAsia="en-GB"/>
        </w:rPr>
        <w:drawing>
          <wp:inline distT="0" distB="0" distL="0" distR="0" wp14:anchorId="6F6FD437" wp14:editId="302D2257">
            <wp:extent cx="986314" cy="935355"/>
            <wp:effectExtent l="0" t="0" r="444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80-110 Y285R.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997443" cy="945909"/>
                    </a:xfrm>
                    <a:prstGeom prst="rect">
                      <a:avLst/>
                    </a:prstGeom>
                  </pic:spPr>
                </pic:pic>
              </a:graphicData>
            </a:graphic>
          </wp:inline>
        </w:drawing>
      </w:r>
      <w:r w:rsidRPr="00EC0229">
        <w:rPr>
          <w:rFonts w:cs="Times New Roman"/>
          <w:noProof/>
          <w:lang w:eastAsia="en-GB"/>
        </w:rPr>
        <w:drawing>
          <wp:inline distT="0" distB="0" distL="0" distR="0" wp14:anchorId="4E8B2DDC" wp14:editId="4C6B2AFC">
            <wp:extent cx="937209" cy="93408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82-10 Y297R.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956346" cy="953158"/>
                    </a:xfrm>
                    <a:prstGeom prst="rect">
                      <a:avLst/>
                    </a:prstGeom>
                  </pic:spPr>
                </pic:pic>
              </a:graphicData>
            </a:graphic>
          </wp:inline>
        </w:drawing>
      </w:r>
      <w:r w:rsidRPr="00EC0229">
        <w:rPr>
          <w:rFonts w:cs="Times New Roman"/>
          <w:noProof/>
          <w:lang w:eastAsia="en-GB"/>
        </w:rPr>
        <w:drawing>
          <wp:inline distT="0" distB="0" distL="0" distR="0" wp14:anchorId="465CEC20" wp14:editId="75DB54A6">
            <wp:extent cx="969452" cy="925827"/>
            <wp:effectExtent l="0" t="0" r="2540" b="825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84-10 Y294R.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997694" cy="952798"/>
                    </a:xfrm>
                    <a:prstGeom prst="rect">
                      <a:avLst/>
                    </a:prstGeom>
                  </pic:spPr>
                </pic:pic>
              </a:graphicData>
            </a:graphic>
          </wp:inline>
        </w:drawing>
      </w:r>
    </w:p>
    <w:p w14:paraId="44565FE7" w14:textId="65B16182" w:rsidR="00A33875" w:rsidRPr="00EC0229" w:rsidRDefault="00F13F40" w:rsidP="007600EA">
      <w:pPr>
        <w:pStyle w:val="NoSpacing"/>
        <w:spacing w:line="360" w:lineRule="auto"/>
        <w:jc w:val="center"/>
        <w:rPr>
          <w:sz w:val="20"/>
          <w:szCs w:val="20"/>
        </w:rPr>
      </w:pPr>
      <w:bookmarkStart w:id="376" w:name="_Ref430246523"/>
      <w:bookmarkStart w:id="377" w:name="_Toc46826702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51</w:t>
      </w:r>
      <w:r w:rsidRPr="00EC0229">
        <w:rPr>
          <w:sz w:val="20"/>
          <w:szCs w:val="20"/>
        </w:rPr>
        <w:fldChar w:fldCharType="end"/>
      </w:r>
      <w:bookmarkEnd w:id="376"/>
      <w:r w:rsidR="002D3934" w:rsidRPr="00EC0229">
        <w:rPr>
          <w:sz w:val="20"/>
          <w:szCs w:val="20"/>
        </w:rPr>
        <w:t xml:space="preserve">: </w:t>
      </w:r>
      <w:r w:rsidR="00A33875" w:rsidRPr="00EC0229">
        <w:rPr>
          <w:sz w:val="20"/>
          <w:szCs w:val="20"/>
        </w:rPr>
        <w:t>The named moneyer types of Æthelred</w:t>
      </w:r>
      <w:r w:rsidR="00D142DC" w:rsidRPr="00EC0229">
        <w:rPr>
          <w:sz w:val="20"/>
          <w:szCs w:val="20"/>
        </w:rPr>
        <w:fldChar w:fldCharType="begin"/>
      </w:r>
      <w:r w:rsidR="00D142DC" w:rsidRPr="00EC0229">
        <w:rPr>
          <w:sz w:val="20"/>
          <w:szCs w:val="20"/>
        </w:rPr>
        <w:instrText xml:space="preserve"> XE "Æthelred" </w:instrText>
      </w:r>
      <w:r w:rsidR="00D142DC" w:rsidRPr="00EC0229">
        <w:rPr>
          <w:sz w:val="20"/>
          <w:szCs w:val="20"/>
        </w:rPr>
        <w:fldChar w:fldCharType="end"/>
      </w:r>
      <w:r w:rsidR="00A33875" w:rsidRPr="00EC0229">
        <w:rPr>
          <w:sz w:val="20"/>
          <w:szCs w:val="20"/>
        </w:rPr>
        <w:t xml:space="preserve"> I (second reign) (</w:t>
      </w:r>
      <w:r w:rsidR="00A33875" w:rsidRPr="00EC0229">
        <w:rPr>
          <w:i/>
          <w:sz w:val="20"/>
          <w:szCs w:val="20"/>
        </w:rPr>
        <w:t>SL</w:t>
      </w:r>
      <w:r w:rsidR="00A33875" w:rsidRPr="00EC0229">
        <w:rPr>
          <w:sz w:val="20"/>
          <w:szCs w:val="20"/>
        </w:rPr>
        <w:t>80-85)</w:t>
      </w:r>
      <w:bookmarkEnd w:id="377"/>
    </w:p>
    <w:p w14:paraId="40A9FAC2" w14:textId="1E868AA4" w:rsidR="00A33875" w:rsidRPr="00EC0229" w:rsidRDefault="00A33875" w:rsidP="007600EA">
      <w:pPr>
        <w:pStyle w:val="NoSpacing"/>
        <w:spacing w:line="360" w:lineRule="auto"/>
        <w:jc w:val="center"/>
        <w:rPr>
          <w:rFonts w:cs="Times New Roman"/>
          <w:sz w:val="20"/>
          <w:szCs w:val="20"/>
        </w:rPr>
      </w:pPr>
      <w:r w:rsidRPr="00EC0229">
        <w:rPr>
          <w:rFonts w:cs="Times New Roman"/>
          <w:sz w:val="20"/>
          <w:szCs w:val="20"/>
        </w:rPr>
        <w:t>Findspots</w:t>
      </w:r>
      <w:r w:rsidR="00F204A1" w:rsidRPr="00EC0229">
        <w:rPr>
          <w:rFonts w:cs="Times New Roman"/>
          <w:sz w:val="20"/>
          <w:szCs w:val="20"/>
        </w:rPr>
        <w:fldChar w:fldCharType="begin"/>
      </w:r>
      <w:r w:rsidR="00F204A1" w:rsidRPr="00EC0229">
        <w:instrText xml:space="preserve"> XE "</w:instrText>
      </w:r>
      <w:r w:rsidR="00F204A1" w:rsidRPr="00EC0229">
        <w:rPr>
          <w:rStyle w:val="Hyperlink"/>
          <w:noProof/>
          <w:u w:val="none"/>
        </w:rPr>
        <w:instrText>Findspots</w:instrText>
      </w:r>
      <w:r w:rsidR="00F204A1" w:rsidRPr="00EC0229">
        <w:instrText xml:space="preserve">" </w:instrText>
      </w:r>
      <w:r w:rsidR="00F204A1" w:rsidRPr="00EC0229">
        <w:rPr>
          <w:rFonts w:cs="Times New Roman"/>
          <w:sz w:val="20"/>
          <w:szCs w:val="20"/>
        </w:rPr>
        <w:fldChar w:fldCharType="end"/>
      </w:r>
      <w:r w:rsidRPr="00EC0229">
        <w:rPr>
          <w:rFonts w:cs="Times New Roman"/>
          <w:sz w:val="20"/>
          <w:szCs w:val="20"/>
        </w:rPr>
        <w:t>: N. Yorkshire, North Elmsall, Sledmere</w:t>
      </w:r>
      <w:r w:rsidR="006B1593" w:rsidRPr="00EC0229">
        <w:rPr>
          <w:rFonts w:cs="Times New Roman"/>
          <w:sz w:val="20"/>
          <w:szCs w:val="20"/>
        </w:rPr>
        <w:fldChar w:fldCharType="begin"/>
      </w:r>
      <w:r w:rsidR="006B1593" w:rsidRPr="00EC0229">
        <w:instrText xml:space="preserve"> XE "</w:instrText>
      </w:r>
      <w:r w:rsidR="006B1593" w:rsidRPr="00EC0229">
        <w:rPr>
          <w:rStyle w:val="Hyperlink"/>
          <w:noProof/>
          <w:u w:val="none"/>
        </w:rPr>
        <w:instrText>Sledmere</w:instrText>
      </w:r>
      <w:r w:rsidR="006B1593" w:rsidRPr="00EC0229">
        <w:instrText xml:space="preserve">" </w:instrText>
      </w:r>
      <w:r w:rsidR="006B1593" w:rsidRPr="00EC0229">
        <w:rPr>
          <w:rFonts w:cs="Times New Roman"/>
          <w:sz w:val="20"/>
          <w:szCs w:val="20"/>
        </w:rPr>
        <w:fldChar w:fldCharType="end"/>
      </w:r>
      <w:r w:rsidRPr="00EC0229">
        <w:rPr>
          <w:rFonts w:cs="Times New Roman"/>
          <w:sz w:val="20"/>
          <w:szCs w:val="20"/>
        </w:rPr>
        <w:t>, n</w:t>
      </w:r>
      <w:r w:rsidR="006270F3" w:rsidRPr="00EC0229">
        <w:rPr>
          <w:rFonts w:cs="Times New Roman"/>
          <w:sz w:val="20"/>
          <w:szCs w:val="20"/>
        </w:rPr>
        <w:t>ea</w:t>
      </w:r>
      <w:r w:rsidRPr="00EC0229">
        <w:rPr>
          <w:rFonts w:cs="Times New Roman"/>
          <w:sz w:val="20"/>
          <w:szCs w:val="20"/>
        </w:rPr>
        <w:t>r Wetwang</w:t>
      </w:r>
      <w:r w:rsidR="006B1593" w:rsidRPr="00EC0229">
        <w:rPr>
          <w:rFonts w:cs="Times New Roman"/>
          <w:sz w:val="20"/>
          <w:szCs w:val="20"/>
        </w:rPr>
        <w:fldChar w:fldCharType="begin"/>
      </w:r>
      <w:r w:rsidR="006B1593" w:rsidRPr="00EC0229">
        <w:instrText xml:space="preserve"> XE "</w:instrText>
      </w:r>
      <w:r w:rsidR="006B1593" w:rsidRPr="00EC0229">
        <w:rPr>
          <w:rStyle w:val="Hyperlink"/>
          <w:rFonts w:eastAsia="Times New Roman"/>
          <w:noProof/>
          <w:u w:val="none"/>
          <w:lang w:eastAsia="en-GB"/>
        </w:rPr>
        <w:instrText>Wetwang</w:instrText>
      </w:r>
      <w:r w:rsidR="006B1593" w:rsidRPr="00EC0229">
        <w:instrText xml:space="preserve">" </w:instrText>
      </w:r>
      <w:r w:rsidR="006B1593" w:rsidRPr="00EC0229">
        <w:rPr>
          <w:rFonts w:cs="Times New Roman"/>
          <w:sz w:val="20"/>
          <w:szCs w:val="20"/>
        </w:rPr>
        <w:fldChar w:fldCharType="end"/>
      </w:r>
      <w:r w:rsidRPr="00EC0229">
        <w:rPr>
          <w:rFonts w:cs="Times New Roman"/>
          <w:sz w:val="20"/>
          <w:szCs w:val="20"/>
        </w:rPr>
        <w:t>, Weaverthorpe.</w:t>
      </w:r>
    </w:p>
    <w:p w14:paraId="5405B626" w14:textId="77777777" w:rsidR="00A33875" w:rsidRPr="00EC0229" w:rsidRDefault="00A33875" w:rsidP="007600EA">
      <w:pPr>
        <w:pStyle w:val="NoSpacing"/>
        <w:spacing w:line="360" w:lineRule="auto"/>
        <w:jc w:val="center"/>
        <w:rPr>
          <w:rFonts w:cs="Times New Roman"/>
          <w:sz w:val="20"/>
          <w:szCs w:val="20"/>
        </w:rPr>
      </w:pPr>
    </w:p>
    <w:p w14:paraId="7A29A931" w14:textId="77777777" w:rsidR="00A33875" w:rsidRPr="00EC0229" w:rsidRDefault="00A33875" w:rsidP="007600EA">
      <w:pPr>
        <w:pStyle w:val="NoSpacing"/>
        <w:spacing w:line="360" w:lineRule="auto"/>
        <w:jc w:val="center"/>
        <w:rPr>
          <w:rFonts w:cs="Times New Roman"/>
          <w:sz w:val="20"/>
          <w:szCs w:val="20"/>
        </w:rPr>
      </w:pPr>
      <w:r w:rsidRPr="00EC0229">
        <w:rPr>
          <w:rFonts w:cs="Times New Roman"/>
          <w:noProof/>
          <w:sz w:val="20"/>
          <w:szCs w:val="20"/>
          <w:lang w:eastAsia="en-GB"/>
        </w:rPr>
        <w:lastRenderedPageBreak/>
        <w:drawing>
          <wp:inline distT="0" distB="0" distL="0" distR="0" wp14:anchorId="7A4B5A04" wp14:editId="37C93314">
            <wp:extent cx="1080000" cy="1008000"/>
            <wp:effectExtent l="0" t="0" r="6350"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86-10 Y345.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080000" cy="1008000"/>
                    </a:xfrm>
                    <a:prstGeom prst="rect">
                      <a:avLst/>
                    </a:prstGeom>
                  </pic:spPr>
                </pic:pic>
              </a:graphicData>
            </a:graphic>
          </wp:inline>
        </w:drawing>
      </w:r>
      <w:r w:rsidRPr="00EC0229">
        <w:rPr>
          <w:rFonts w:cs="Times New Roman"/>
          <w:noProof/>
          <w:sz w:val="20"/>
          <w:szCs w:val="20"/>
          <w:lang w:eastAsia="en-GB"/>
        </w:rPr>
        <w:drawing>
          <wp:inline distT="0" distB="0" distL="0" distR="0" wp14:anchorId="3CB96833" wp14:editId="551D1EF4">
            <wp:extent cx="1080000" cy="997200"/>
            <wp:effectExtent l="0" t="0" r="635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86-10 Y345R.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080000" cy="997200"/>
                    </a:xfrm>
                    <a:prstGeom prst="rect">
                      <a:avLst/>
                    </a:prstGeom>
                  </pic:spPr>
                </pic:pic>
              </a:graphicData>
            </a:graphic>
          </wp:inline>
        </w:drawing>
      </w:r>
    </w:p>
    <w:p w14:paraId="05AEE4F9" w14:textId="17E2474A" w:rsidR="00F13F40" w:rsidRPr="00EC0229" w:rsidRDefault="00F13F40" w:rsidP="007600EA">
      <w:pPr>
        <w:pStyle w:val="NoSpacing"/>
        <w:spacing w:line="360" w:lineRule="auto"/>
        <w:jc w:val="center"/>
        <w:rPr>
          <w:sz w:val="20"/>
          <w:szCs w:val="20"/>
        </w:rPr>
      </w:pPr>
      <w:bookmarkStart w:id="378" w:name="_Ref430246533"/>
      <w:bookmarkStart w:id="379" w:name="_Toc46826702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52</w:t>
      </w:r>
      <w:r w:rsidRPr="00EC0229">
        <w:rPr>
          <w:sz w:val="20"/>
          <w:szCs w:val="20"/>
        </w:rPr>
        <w:fldChar w:fldCharType="end"/>
      </w:r>
      <w:bookmarkEnd w:id="378"/>
      <w:r w:rsidR="002D3934" w:rsidRPr="00EC0229">
        <w:rPr>
          <w:sz w:val="20"/>
          <w:szCs w:val="20"/>
        </w:rPr>
        <w:t xml:space="preserve">: </w:t>
      </w:r>
      <w:r w:rsidR="00A33875" w:rsidRPr="00EC0229">
        <w:rPr>
          <w:sz w:val="20"/>
          <w:szCs w:val="20"/>
        </w:rPr>
        <w:t>The named moneye</w:t>
      </w:r>
      <w:r w:rsidR="003F699C" w:rsidRPr="00EC0229">
        <w:rPr>
          <w:sz w:val="20"/>
          <w:szCs w:val="20"/>
        </w:rPr>
        <w:t>r types of Eardwulf by Cut</w:t>
      </w:r>
      <w:r w:rsidR="00A33875" w:rsidRPr="00EC0229">
        <w:rPr>
          <w:sz w:val="20"/>
          <w:szCs w:val="20"/>
        </w:rPr>
        <w:t>h</w:t>
      </w:r>
      <w:r w:rsidR="003F699C" w:rsidRPr="00EC0229">
        <w:rPr>
          <w:sz w:val="20"/>
          <w:szCs w:val="20"/>
        </w:rPr>
        <w:t>h</w:t>
      </w:r>
      <w:r w:rsidR="00A33875" w:rsidRPr="00EC0229">
        <w:rPr>
          <w:sz w:val="20"/>
          <w:szCs w:val="20"/>
        </w:rPr>
        <w:t>ear</w:t>
      </w:r>
      <w:r w:rsidR="003F699C" w:rsidRPr="00EC0229">
        <w:rPr>
          <w:sz w:val="20"/>
          <w:szCs w:val="20"/>
        </w:rPr>
        <w:t>d</w:t>
      </w:r>
      <w:r w:rsidR="00D142DC" w:rsidRPr="00EC0229">
        <w:rPr>
          <w:sz w:val="20"/>
          <w:szCs w:val="20"/>
        </w:rPr>
        <w:fldChar w:fldCharType="begin"/>
      </w:r>
      <w:r w:rsidR="00D142DC" w:rsidRPr="00EC0229">
        <w:rPr>
          <w:sz w:val="20"/>
          <w:szCs w:val="20"/>
        </w:rPr>
        <w:instrText xml:space="preserve"> XE "Cuthheard" </w:instrText>
      </w:r>
      <w:r w:rsidR="00D142DC" w:rsidRPr="00EC0229">
        <w:rPr>
          <w:sz w:val="20"/>
          <w:szCs w:val="20"/>
        </w:rPr>
        <w:fldChar w:fldCharType="end"/>
      </w:r>
      <w:r w:rsidR="00A33875" w:rsidRPr="00EC0229">
        <w:rPr>
          <w:sz w:val="20"/>
          <w:szCs w:val="20"/>
        </w:rPr>
        <w:t xml:space="preserve"> (</w:t>
      </w:r>
      <w:r w:rsidR="00A33875" w:rsidRPr="00EC0229">
        <w:rPr>
          <w:i/>
          <w:sz w:val="20"/>
          <w:szCs w:val="20"/>
        </w:rPr>
        <w:t>SL</w:t>
      </w:r>
      <w:r w:rsidRPr="00EC0229">
        <w:rPr>
          <w:sz w:val="20"/>
          <w:szCs w:val="20"/>
        </w:rPr>
        <w:t>86-10)</w:t>
      </w:r>
      <w:bookmarkEnd w:id="379"/>
    </w:p>
    <w:p w14:paraId="2B4CB164" w14:textId="2192D6BC" w:rsidR="00A33875" w:rsidRPr="00EC0229" w:rsidRDefault="00A33875" w:rsidP="007600EA">
      <w:pPr>
        <w:pStyle w:val="NoSpacing"/>
        <w:spacing w:line="360" w:lineRule="auto"/>
        <w:jc w:val="center"/>
        <w:rPr>
          <w:sz w:val="20"/>
          <w:szCs w:val="20"/>
        </w:rPr>
      </w:pPr>
      <w:r w:rsidRPr="00EC0229">
        <w:rPr>
          <w:sz w:val="20"/>
          <w:szCs w:val="20"/>
        </w:rPr>
        <w:t>Found ‘Newbald side of Sancton’</w:t>
      </w:r>
    </w:p>
    <w:p w14:paraId="53B547E8" w14:textId="463B8B25" w:rsidR="002D3934" w:rsidRPr="00EC0229" w:rsidRDefault="002D3934" w:rsidP="007600EA">
      <w:pPr>
        <w:pStyle w:val="NoSpacing"/>
        <w:spacing w:line="360" w:lineRule="auto"/>
        <w:jc w:val="center"/>
        <w:rPr>
          <w:rFonts w:cs="Times New Roman"/>
          <w:sz w:val="20"/>
          <w:szCs w:val="20"/>
        </w:rPr>
      </w:pPr>
      <w:r w:rsidRPr="00EC0229">
        <w:rPr>
          <w:rFonts w:cs="Times New Roman"/>
          <w:noProof/>
          <w:szCs w:val="24"/>
          <w:lang w:eastAsia="en-GB"/>
        </w:rPr>
        <w:drawing>
          <wp:anchor distT="0" distB="0" distL="114300" distR="114300" simplePos="0" relativeHeight="251668480" behindDoc="0" locked="0" layoutInCell="1" allowOverlap="1" wp14:anchorId="55B20A13" wp14:editId="51FBA408">
            <wp:simplePos x="0" y="0"/>
            <wp:positionH relativeFrom="column">
              <wp:posOffset>792480</wp:posOffset>
            </wp:positionH>
            <wp:positionV relativeFrom="paragraph">
              <wp:posOffset>19685</wp:posOffset>
            </wp:positionV>
            <wp:extent cx="1783080" cy="881051"/>
            <wp:effectExtent l="0" t="0" r="762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79-20 Aelfwald - Cudcils i.jpg"/>
                    <pic:cNvPicPr/>
                  </pic:nvPicPr>
                  <pic:blipFill>
                    <a:blip r:embed="rId212">
                      <a:extLst>
                        <a:ext uri="{28A0092B-C50C-407E-A947-70E740481C1C}">
                          <a14:useLocalDpi xmlns:a14="http://schemas.microsoft.com/office/drawing/2010/main" val="0"/>
                        </a:ext>
                      </a:extLst>
                    </a:blip>
                    <a:stretch>
                      <a:fillRect/>
                    </a:stretch>
                  </pic:blipFill>
                  <pic:spPr>
                    <a:xfrm>
                      <a:off x="0" y="0"/>
                      <a:ext cx="1783080" cy="881051"/>
                    </a:xfrm>
                    <a:prstGeom prst="rect">
                      <a:avLst/>
                    </a:prstGeom>
                  </pic:spPr>
                </pic:pic>
              </a:graphicData>
            </a:graphic>
            <wp14:sizeRelH relativeFrom="margin">
              <wp14:pctWidth>0</wp14:pctWidth>
            </wp14:sizeRelH>
            <wp14:sizeRelV relativeFrom="margin">
              <wp14:pctHeight>0</wp14:pctHeight>
            </wp14:sizeRelV>
          </wp:anchor>
        </w:drawing>
      </w:r>
      <w:r w:rsidRPr="00EC0229">
        <w:rPr>
          <w:rFonts w:cs="Times New Roman"/>
          <w:noProof/>
          <w:szCs w:val="24"/>
          <w:lang w:eastAsia="en-GB"/>
        </w:rPr>
        <w:drawing>
          <wp:inline distT="0" distB="0" distL="0" distR="0" wp14:anchorId="11E46946" wp14:editId="02A75D8D">
            <wp:extent cx="952845" cy="948080"/>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79-20 Aelfwald - Cudcils ii o.jpg"/>
                    <pic:cNvPicPr/>
                  </pic:nvPicPr>
                  <pic:blipFill>
                    <a:blip r:embed="rId213">
                      <a:extLst>
                        <a:ext uri="{28A0092B-C50C-407E-A947-70E740481C1C}">
                          <a14:useLocalDpi xmlns:a14="http://schemas.microsoft.com/office/drawing/2010/main" val="0"/>
                        </a:ext>
                      </a:extLst>
                    </a:blip>
                    <a:stretch>
                      <a:fillRect/>
                    </a:stretch>
                  </pic:blipFill>
                  <pic:spPr>
                    <a:xfrm>
                      <a:off x="0" y="0"/>
                      <a:ext cx="955582" cy="950803"/>
                    </a:xfrm>
                    <a:prstGeom prst="rect">
                      <a:avLst/>
                    </a:prstGeom>
                  </pic:spPr>
                </pic:pic>
              </a:graphicData>
            </a:graphic>
          </wp:inline>
        </w:drawing>
      </w:r>
      <w:r w:rsidRPr="00EC0229">
        <w:rPr>
          <w:rFonts w:cs="Times New Roman"/>
          <w:noProof/>
          <w:szCs w:val="24"/>
          <w:lang w:eastAsia="en-GB"/>
        </w:rPr>
        <w:drawing>
          <wp:inline distT="0" distB="0" distL="0" distR="0" wp14:anchorId="2C4DFDE0" wp14:editId="471156FC">
            <wp:extent cx="914400" cy="928467"/>
            <wp:effectExtent l="0" t="0" r="0" b="508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79-20 Aelfwald - Cudcils ii r.jpg"/>
                    <pic:cNvPicPr/>
                  </pic:nvPicPr>
                  <pic:blipFill>
                    <a:blip r:embed="rId214">
                      <a:extLst>
                        <a:ext uri="{28A0092B-C50C-407E-A947-70E740481C1C}">
                          <a14:useLocalDpi xmlns:a14="http://schemas.microsoft.com/office/drawing/2010/main" val="0"/>
                        </a:ext>
                      </a:extLst>
                    </a:blip>
                    <a:stretch>
                      <a:fillRect/>
                    </a:stretch>
                  </pic:blipFill>
                  <pic:spPr>
                    <a:xfrm>
                      <a:off x="0" y="0"/>
                      <a:ext cx="918994" cy="933131"/>
                    </a:xfrm>
                    <a:prstGeom prst="rect">
                      <a:avLst/>
                    </a:prstGeom>
                  </pic:spPr>
                </pic:pic>
              </a:graphicData>
            </a:graphic>
          </wp:inline>
        </w:drawing>
      </w:r>
    </w:p>
    <w:p w14:paraId="2ABCE944" w14:textId="54E6FB56" w:rsidR="002D3934" w:rsidRPr="00EC0229" w:rsidRDefault="00F13F40" w:rsidP="007600EA">
      <w:pPr>
        <w:pStyle w:val="NoSpacing"/>
        <w:spacing w:line="360" w:lineRule="auto"/>
        <w:jc w:val="center"/>
        <w:rPr>
          <w:sz w:val="20"/>
          <w:szCs w:val="20"/>
        </w:rPr>
      </w:pPr>
      <w:bookmarkStart w:id="380" w:name="_Ref430246554"/>
      <w:bookmarkStart w:id="381" w:name="_Toc46826702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53</w:t>
      </w:r>
      <w:r w:rsidRPr="00EC0229">
        <w:rPr>
          <w:sz w:val="20"/>
          <w:szCs w:val="20"/>
        </w:rPr>
        <w:fldChar w:fldCharType="end"/>
      </w:r>
      <w:bookmarkEnd w:id="380"/>
      <w:r w:rsidR="002D3934" w:rsidRPr="00EC0229">
        <w:rPr>
          <w:sz w:val="20"/>
          <w:szCs w:val="20"/>
        </w:rPr>
        <w:t>: Inscriptional issues of Ælfwald</w:t>
      </w:r>
      <w:r w:rsidR="004C29A9" w:rsidRPr="00EC0229">
        <w:rPr>
          <w:sz w:val="20"/>
          <w:szCs w:val="20"/>
        </w:rPr>
        <w:fldChar w:fldCharType="begin"/>
      </w:r>
      <w:r w:rsidR="004C29A9" w:rsidRPr="00EC0229">
        <w:rPr>
          <w:sz w:val="20"/>
          <w:szCs w:val="20"/>
        </w:rPr>
        <w:instrText xml:space="preserve"> XE "Ælfwald" </w:instrText>
      </w:r>
      <w:r w:rsidR="004C29A9" w:rsidRPr="00EC0229">
        <w:rPr>
          <w:sz w:val="20"/>
          <w:szCs w:val="20"/>
        </w:rPr>
        <w:fldChar w:fldCharType="end"/>
      </w:r>
      <w:r w:rsidR="002D3934" w:rsidRPr="00EC0229">
        <w:rPr>
          <w:sz w:val="20"/>
          <w:szCs w:val="20"/>
        </w:rPr>
        <w:t xml:space="preserve"> I by Cuthgils (</w:t>
      </w:r>
      <w:r w:rsidR="002D3934" w:rsidRPr="00EC0229">
        <w:rPr>
          <w:i/>
          <w:sz w:val="20"/>
          <w:szCs w:val="20"/>
        </w:rPr>
        <w:t>SL</w:t>
      </w:r>
      <w:r w:rsidR="002D3934" w:rsidRPr="00EC0229">
        <w:rPr>
          <w:sz w:val="20"/>
          <w:szCs w:val="20"/>
        </w:rPr>
        <w:t>79-20).</w:t>
      </w:r>
      <w:bookmarkEnd w:id="381"/>
    </w:p>
    <w:p w14:paraId="2C4D9A1D" w14:textId="77777777" w:rsidR="002D3934" w:rsidRPr="00EC0229" w:rsidRDefault="002D3934" w:rsidP="007600EA">
      <w:pPr>
        <w:pStyle w:val="NoSpacing"/>
        <w:spacing w:line="360" w:lineRule="auto"/>
        <w:jc w:val="center"/>
        <w:rPr>
          <w:rFonts w:cs="Times New Roman"/>
          <w:sz w:val="20"/>
          <w:szCs w:val="20"/>
        </w:rPr>
      </w:pPr>
      <w:r w:rsidRPr="00EC0229">
        <w:rPr>
          <w:rFonts w:cs="Times New Roman"/>
          <w:sz w:val="20"/>
          <w:szCs w:val="20"/>
        </w:rPr>
        <w:t>Courtesy L: Mike Vosper (WS6425) and R: Patrick Finn (11/50)</w:t>
      </w:r>
    </w:p>
    <w:p w14:paraId="40BB929B" w14:textId="77777777" w:rsidR="00A33875" w:rsidRPr="00EC0229" w:rsidRDefault="00A33875" w:rsidP="007600EA">
      <w:pPr>
        <w:pStyle w:val="NoSpacing"/>
        <w:spacing w:line="360" w:lineRule="auto"/>
        <w:rPr>
          <w:rFonts w:cs="Times New Roman"/>
        </w:rPr>
      </w:pPr>
    </w:p>
    <w:p w14:paraId="2B0586FE" w14:textId="43F87CA3" w:rsidR="00B50049" w:rsidRPr="00EC0229" w:rsidRDefault="008259E1" w:rsidP="007600EA">
      <w:pPr>
        <w:pStyle w:val="Heading3"/>
        <w:spacing w:line="360" w:lineRule="auto"/>
        <w:rPr>
          <w:b w:val="0"/>
        </w:rPr>
      </w:pPr>
      <w:bookmarkStart w:id="382" w:name="Evaluatingperiodicity"/>
      <w:bookmarkStart w:id="383" w:name="_Toc468266804"/>
      <w:bookmarkEnd w:id="382"/>
      <w:r>
        <w:t>5.3.7</w:t>
      </w:r>
      <w:r>
        <w:tab/>
      </w:r>
      <w:r w:rsidR="00A33875" w:rsidRPr="00EC0229">
        <w:t>Conclusion</w:t>
      </w:r>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r w:rsidR="00A33875" w:rsidRPr="00EC0229">
        <w:t>: evaluating the periodicity</w:t>
      </w:r>
      <w:r w:rsidR="008960AE" w:rsidRPr="00EC0229">
        <w:fldChar w:fldCharType="begin"/>
      </w:r>
      <w:r w:rsidR="008960AE" w:rsidRPr="00EC0229">
        <w:instrText xml:space="preserve"> XE "</w:instrText>
      </w:r>
      <w:r w:rsidR="008960AE" w:rsidRPr="00EC0229">
        <w:rPr>
          <w:rFonts w:eastAsia="Times New Roman" w:cs="Times New Roman"/>
          <w:lang w:eastAsia="en-GB"/>
        </w:rPr>
        <w:instrText>periodicity</w:instrText>
      </w:r>
      <w:r w:rsidR="008960AE" w:rsidRPr="00EC0229">
        <w:instrText xml:space="preserve">" </w:instrText>
      </w:r>
      <w:r w:rsidR="008960AE" w:rsidRPr="00EC0229">
        <w:fldChar w:fldCharType="end"/>
      </w:r>
      <w:r w:rsidR="00A33875" w:rsidRPr="00EC0229">
        <w:t xml:space="preserve"> in respect of sceats</w:t>
      </w:r>
      <w:bookmarkEnd w:id="383"/>
      <w:r w:rsidR="002E5A9C" w:rsidRPr="00EC0229">
        <w:rPr>
          <w:b w:val="0"/>
        </w:rPr>
        <w:t xml:space="preserve"> </w:t>
      </w:r>
    </w:p>
    <w:p w14:paraId="0F439D53" w14:textId="082E444C" w:rsidR="00A33875" w:rsidRPr="00EC0229" w:rsidRDefault="00A33875" w:rsidP="006C2237">
      <w:pPr>
        <w:spacing w:line="360" w:lineRule="auto"/>
      </w:pPr>
      <w:r w:rsidRPr="00EC0229">
        <w:rPr>
          <w:rFonts w:cs="Times New Roman"/>
        </w:rPr>
        <w:t>These chronological divisions help to distinguish Northumbrian sceats from the rest of the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 xml:space="preserve"> coinage</w:t>
      </w:r>
      <w:r w:rsidR="006C2237" w:rsidRPr="00EC0229">
        <w:rPr>
          <w:rFonts w:cs="Times New Roman"/>
        </w:rPr>
        <w:t xml:space="preserve">, </w:t>
      </w:r>
      <w:r w:rsidR="006C2237" w:rsidRPr="00EC0229">
        <w:t>(</w:t>
      </w:r>
      <w:r w:rsidR="006C2237" w:rsidRPr="00EC0229">
        <w:rPr>
          <w:i/>
        </w:rPr>
        <w:t>Plate 4, Figures 1-10</w:t>
      </w:r>
      <w:r w:rsidR="006C2237" w:rsidRPr="00EC0229">
        <w:t>)</w:t>
      </w:r>
      <w:r w:rsidRPr="00EC0229">
        <w:rPr>
          <w:rFonts w:cs="Times New Roman"/>
        </w:rPr>
        <w:t>. The distinct features are:</w:t>
      </w:r>
    </w:p>
    <w:p w14:paraId="2FF7286F" w14:textId="77777777" w:rsidR="00A33875" w:rsidRPr="00EC0229" w:rsidRDefault="00A33875" w:rsidP="007600EA">
      <w:pPr>
        <w:pStyle w:val="NoSpacing"/>
        <w:spacing w:line="360" w:lineRule="auto"/>
        <w:rPr>
          <w:rFonts w:cs="Times New Roman"/>
        </w:rPr>
      </w:pPr>
    </w:p>
    <w:p w14:paraId="37D6F567" w14:textId="0C88E969" w:rsidR="00A33875" w:rsidRPr="00EC0229" w:rsidRDefault="00A33875" w:rsidP="00387063">
      <w:pPr>
        <w:pStyle w:val="NoSpacing"/>
        <w:numPr>
          <w:ilvl w:val="0"/>
          <w:numId w:val="4"/>
        </w:numPr>
        <w:spacing w:line="360" w:lineRule="auto"/>
        <w:rPr>
          <w:rFonts w:cs="Times New Roman"/>
        </w:rPr>
      </w:pPr>
      <w:r w:rsidRPr="00EC0229">
        <w:rPr>
          <w:rFonts w:cs="Times New Roman"/>
        </w:rPr>
        <w:t>Named issuers: Throughout the production of Northumbrian silver sceats and base-metal stycas, the issuing authority are named.</w:t>
      </w:r>
      <w:r w:rsidRPr="00EC0229">
        <w:rPr>
          <w:rStyle w:val="FootnoteReference"/>
          <w:rFonts w:cs="Times New Roman"/>
        </w:rPr>
        <w:footnoteReference w:id="611"/>
      </w:r>
      <w:r w:rsidRPr="00EC0229">
        <w:rPr>
          <w:rFonts w:cs="Times New Roman"/>
        </w:rPr>
        <w:t xml:space="preserve"> The inscriptional types name five moneyers, two of whom, Cuthheard</w:t>
      </w:r>
      <w:r w:rsidR="00D142DC" w:rsidRPr="00EC0229">
        <w:rPr>
          <w:rFonts w:cs="Times New Roman"/>
        </w:rPr>
        <w:fldChar w:fldCharType="begin"/>
      </w:r>
      <w:r w:rsidR="00D142DC" w:rsidRPr="00EC0229">
        <w:instrText xml:space="preserve"> XE "Cuthheard" </w:instrText>
      </w:r>
      <w:r w:rsidR="00D142DC" w:rsidRPr="00EC0229">
        <w:rPr>
          <w:rFonts w:cs="Times New Roman"/>
        </w:rPr>
        <w:fldChar w:fldCharType="end"/>
      </w:r>
      <w:r w:rsidRPr="00EC0229">
        <w:rPr>
          <w:rFonts w:cs="Times New Roman"/>
        </w:rPr>
        <w:t xml:space="preserve"> and Cuthgils, serve more than one monarch. Occasionally, </w:t>
      </w:r>
      <w:r w:rsidR="00572E51" w:rsidRPr="00EC0229">
        <w:rPr>
          <w:rFonts w:cs="Times New Roman"/>
        </w:rPr>
        <w:t>Southumbria</w:t>
      </w:r>
      <w:r w:rsidRPr="00EC0229">
        <w:rPr>
          <w:rFonts w:cs="Times New Roman"/>
        </w:rPr>
        <w:t>n sceats name what are taken to be moneyers</w:t>
      </w:r>
      <w:r w:rsidRPr="00EC0229">
        <w:rPr>
          <w:rStyle w:val="FootnoteReference"/>
          <w:rFonts w:cs="Times New Roman"/>
        </w:rPr>
        <w:footnoteReference w:id="612"/>
      </w:r>
      <w:r w:rsidRPr="00EC0229">
        <w:rPr>
          <w:rFonts w:cs="Times New Roman"/>
        </w:rPr>
        <w:t xml:space="preserve"> but it is not until Beonna</w:t>
      </w:r>
      <w:r w:rsidR="004C29A9" w:rsidRPr="00EC0229">
        <w:rPr>
          <w:rFonts w:cs="Times New Roman"/>
        </w:rPr>
        <w:fldChar w:fldCharType="begin"/>
      </w:r>
      <w:r w:rsidR="004C29A9" w:rsidRPr="00EC0229">
        <w:instrText xml:space="preserve"> XE "</w:instrText>
      </w:r>
      <w:r w:rsidR="004C29A9" w:rsidRPr="00EC0229">
        <w:rPr>
          <w:rFonts w:cs="Times New Roman"/>
        </w:rPr>
        <w:instrText>Beonna</w:instrText>
      </w:r>
      <w:r w:rsidR="004C29A9" w:rsidRPr="00EC0229">
        <w:instrText xml:space="preserve">" </w:instrText>
      </w:r>
      <w:r w:rsidR="004C29A9" w:rsidRPr="00EC0229">
        <w:rPr>
          <w:rFonts w:cs="Times New Roman"/>
        </w:rPr>
        <w:fldChar w:fldCharType="end"/>
      </w:r>
      <w:r w:rsidRPr="00EC0229">
        <w:rPr>
          <w:rFonts w:cs="Times New Roman"/>
        </w:rPr>
        <w:t xml:space="preserve"> of East Anglia issued his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-like coinage in the 750s that a known issuer’s name appears</w:t>
      </w:r>
      <w:r w:rsidR="003F699C" w:rsidRPr="00EC0229">
        <w:rPr>
          <w:rFonts w:cs="Times New Roman"/>
        </w:rPr>
        <w:t xml:space="preserve"> </w:t>
      </w:r>
      <w:r w:rsidR="003F699C" w:rsidRPr="00EC0229">
        <w:rPr>
          <w:rFonts w:cs="Times New Roman"/>
          <w:szCs w:val="24"/>
        </w:rPr>
        <w:t>(</w:t>
      </w:r>
      <w:r w:rsidR="002E5A9C" w:rsidRPr="00EC0229">
        <w:rPr>
          <w:rFonts w:cs="Times New Roman"/>
          <w:i/>
          <w:szCs w:val="24"/>
        </w:rPr>
        <w:t>Plate</w:t>
      </w:r>
      <w:r w:rsidR="002E5A9C" w:rsidRPr="00EC0229">
        <w:rPr>
          <w:rFonts w:cs="Times New Roman"/>
          <w:szCs w:val="24"/>
        </w:rPr>
        <w:t xml:space="preserve"> </w:t>
      </w:r>
      <w:r w:rsidR="00C4240A" w:rsidRPr="00EC0229">
        <w:rPr>
          <w:rFonts w:cs="Times New Roman"/>
          <w:i/>
          <w:szCs w:val="24"/>
        </w:rPr>
        <w:t>4</w:t>
      </w:r>
      <w:r w:rsidR="002E5A9C" w:rsidRPr="00EC0229">
        <w:rPr>
          <w:rFonts w:cs="Times New Roman"/>
          <w:szCs w:val="24"/>
        </w:rPr>
        <w:t xml:space="preserve">, </w:t>
      </w:r>
      <w:r w:rsidR="002E5A9C" w:rsidRPr="00EC0229">
        <w:rPr>
          <w:rFonts w:cs="Times New Roman"/>
          <w:i/>
          <w:szCs w:val="24"/>
        </w:rPr>
        <w:t>Figure</w:t>
      </w:r>
      <w:r w:rsidR="002E5A9C" w:rsidRPr="00EC0229">
        <w:rPr>
          <w:rFonts w:cs="Times New Roman"/>
          <w:szCs w:val="24"/>
        </w:rPr>
        <w:t xml:space="preserve"> 1</w:t>
      </w:r>
      <w:r w:rsidR="003F699C" w:rsidRPr="00EC0229">
        <w:rPr>
          <w:rFonts w:cs="Times New Roman"/>
        </w:rPr>
        <w:t>)</w:t>
      </w:r>
      <w:r w:rsidRPr="00EC0229">
        <w:rPr>
          <w:rFonts w:cs="Times New Roman"/>
        </w:rPr>
        <w:t>.</w:t>
      </w:r>
      <w:r w:rsidRPr="00EC0229">
        <w:rPr>
          <w:rStyle w:val="FootnoteReference"/>
          <w:rFonts w:cs="Times New Roman"/>
        </w:rPr>
        <w:footnoteReference w:id="613"/>
      </w:r>
    </w:p>
    <w:p w14:paraId="7794D383" w14:textId="77777777" w:rsidR="00AE6398" w:rsidRPr="00EC0229" w:rsidRDefault="00AE6398" w:rsidP="00AE6398">
      <w:pPr>
        <w:pStyle w:val="NoSpacing"/>
        <w:spacing w:line="360" w:lineRule="auto"/>
        <w:ind w:left="720"/>
        <w:jc w:val="left"/>
        <w:rPr>
          <w:rFonts w:cs="Times New Roman"/>
        </w:rPr>
      </w:pPr>
    </w:p>
    <w:p w14:paraId="2A05DF5F" w14:textId="0DC7FC3A" w:rsidR="00A33875" w:rsidRPr="00EC0229" w:rsidRDefault="00AE6398" w:rsidP="00387063">
      <w:pPr>
        <w:pStyle w:val="NoSpacing"/>
        <w:numPr>
          <w:ilvl w:val="0"/>
          <w:numId w:val="4"/>
        </w:numPr>
        <w:spacing w:line="360" w:lineRule="auto"/>
        <w:jc w:val="left"/>
        <w:rPr>
          <w:rFonts w:cs="Times New Roman"/>
        </w:rPr>
      </w:pPr>
      <w:r w:rsidRPr="00EC0229">
        <w:rPr>
          <w:rFonts w:cs="Times New Roman"/>
        </w:rPr>
        <w:t>The period of activity in Northumbrian sceat production is framed by the twin disasters of Nechtansmere in 685 and Lindisfarne in 793. It can be assumed that Æthelred’s active phase of named moneyers predated this and Eardwulf’s corpus is negligible.</w:t>
      </w:r>
    </w:p>
    <w:p w14:paraId="4989A6CB" w14:textId="1CA0BA29" w:rsidR="00AE6398" w:rsidRPr="00EC0229" w:rsidRDefault="00AE6398" w:rsidP="00AE6398">
      <w:pPr>
        <w:pStyle w:val="NoSpacing"/>
        <w:spacing w:line="360" w:lineRule="auto"/>
        <w:jc w:val="left"/>
        <w:rPr>
          <w:rFonts w:cs="Times New Roman"/>
        </w:rPr>
      </w:pPr>
    </w:p>
    <w:p w14:paraId="3E570B31" w14:textId="6DD7C4E1" w:rsidR="00A33875" w:rsidRPr="00EC0229" w:rsidRDefault="00A33875" w:rsidP="00387063">
      <w:pPr>
        <w:pStyle w:val="NoSpacing"/>
        <w:numPr>
          <w:ilvl w:val="0"/>
          <w:numId w:val="4"/>
        </w:numPr>
        <w:spacing w:line="360" w:lineRule="auto"/>
        <w:rPr>
          <w:rFonts w:cs="Times New Roman"/>
        </w:rPr>
      </w:pPr>
      <w:r w:rsidRPr="00EC0229">
        <w:rPr>
          <w:rFonts w:cs="Times New Roman"/>
        </w:rPr>
        <w:lastRenderedPageBreak/>
        <w:t>Joint issues</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Joint issues</w:instrText>
      </w:r>
      <w:r w:rsidR="00F204A1" w:rsidRPr="00EC0229">
        <w:instrText xml:space="preserve">" </w:instrText>
      </w:r>
      <w:r w:rsidR="00F204A1" w:rsidRPr="00EC0229">
        <w:rPr>
          <w:rFonts w:cs="Times New Roman"/>
        </w:rPr>
        <w:fldChar w:fldCharType="end"/>
      </w:r>
      <w:r w:rsidRPr="00EC0229">
        <w:rPr>
          <w:rFonts w:cs="Times New Roman"/>
        </w:rPr>
        <w:t>: a characteristic of the Northumbrian coinage, rarely seen elsewhere,</w:t>
      </w:r>
      <w:r w:rsidRPr="00EC0229">
        <w:rPr>
          <w:rStyle w:val="FootnoteReference"/>
          <w:rFonts w:cs="Times New Roman"/>
        </w:rPr>
        <w:footnoteReference w:id="614"/>
      </w:r>
      <w:r w:rsidRPr="00EC0229">
        <w:rPr>
          <w:rFonts w:cs="Times New Roman"/>
        </w:rPr>
        <w:t xml:space="preserve"> are the joint issues where monarchs and arch/bishops are clearly </w:t>
      </w:r>
      <w:r w:rsidRPr="00EC0229">
        <w:rPr>
          <w:rFonts w:cs="Times New Roman"/>
          <w:szCs w:val="24"/>
        </w:rPr>
        <w:t>named</w:t>
      </w:r>
      <w:r w:rsidR="003F699C" w:rsidRPr="00EC0229">
        <w:rPr>
          <w:rFonts w:cs="Times New Roman"/>
          <w:szCs w:val="24"/>
        </w:rPr>
        <w:t xml:space="preserve"> </w:t>
      </w:r>
      <w:r w:rsidR="002E5A9C" w:rsidRPr="00EC0229">
        <w:rPr>
          <w:rFonts w:cs="Times New Roman"/>
          <w:szCs w:val="24"/>
        </w:rPr>
        <w:t>(</w:t>
      </w:r>
      <w:r w:rsidR="002E5A9C" w:rsidRPr="00EC0229">
        <w:rPr>
          <w:rFonts w:cs="Times New Roman"/>
          <w:i/>
          <w:szCs w:val="24"/>
        </w:rPr>
        <w:t>Plate</w:t>
      </w:r>
      <w:r w:rsidR="00C4240A" w:rsidRPr="00EC0229">
        <w:rPr>
          <w:rFonts w:cs="Times New Roman"/>
          <w:i/>
          <w:szCs w:val="24"/>
        </w:rPr>
        <w:t xml:space="preserve"> 4</w:t>
      </w:r>
      <w:r w:rsidR="002E5A9C" w:rsidRPr="00EC0229">
        <w:rPr>
          <w:rFonts w:cs="Times New Roman"/>
          <w:szCs w:val="24"/>
        </w:rPr>
        <w:t xml:space="preserve">, </w:t>
      </w:r>
      <w:r w:rsidR="002E5A9C" w:rsidRPr="00EC0229">
        <w:rPr>
          <w:rFonts w:cs="Times New Roman"/>
          <w:i/>
          <w:szCs w:val="24"/>
        </w:rPr>
        <w:t>Figures</w:t>
      </w:r>
      <w:r w:rsidR="002E5A9C" w:rsidRPr="00EC0229">
        <w:rPr>
          <w:rFonts w:cs="Times New Roman"/>
          <w:szCs w:val="24"/>
        </w:rPr>
        <w:t xml:space="preserve"> 2-6</w:t>
      </w:r>
      <w:r w:rsidR="002E5A9C" w:rsidRPr="00EC0229">
        <w:rPr>
          <w:rFonts w:cs="Times New Roman"/>
        </w:rPr>
        <w:t>).</w:t>
      </w:r>
    </w:p>
    <w:p w14:paraId="199EF68F" w14:textId="77777777" w:rsidR="00A14A1A" w:rsidRPr="00EC0229" w:rsidRDefault="00A14A1A" w:rsidP="007600EA">
      <w:pPr>
        <w:pStyle w:val="NoSpacing"/>
        <w:spacing w:line="360" w:lineRule="auto"/>
        <w:ind w:left="709"/>
      </w:pPr>
    </w:p>
    <w:p w14:paraId="7BFCB934" w14:textId="75495717" w:rsidR="00A33875" w:rsidRPr="00EC0229" w:rsidRDefault="00A33875" w:rsidP="007600EA">
      <w:pPr>
        <w:pStyle w:val="NoSpacing"/>
        <w:spacing w:line="360" w:lineRule="auto"/>
        <w:ind w:left="709"/>
      </w:pPr>
      <w:r w:rsidRPr="00EC0229">
        <w:t>The continuing internecine strife,</w:t>
      </w:r>
      <w:r w:rsidRPr="00EC0229">
        <w:rPr>
          <w:rStyle w:val="FootnoteReference"/>
        </w:rPr>
        <w:footnoteReference w:id="615"/>
      </w:r>
      <w:r w:rsidRPr="00EC0229">
        <w:t xml:space="preserve"> was to some extent reflected in deteriorating execution and volume of coinage. However, the joint issues disguise the regicide – or underline the political acuity of the Archbishops. </w:t>
      </w:r>
    </w:p>
    <w:p w14:paraId="295A062A" w14:textId="77777777" w:rsidR="00A33875" w:rsidRPr="00EC0229" w:rsidRDefault="00A33875" w:rsidP="007600EA">
      <w:pPr>
        <w:pStyle w:val="NoSpacing"/>
        <w:spacing w:line="360" w:lineRule="auto"/>
      </w:pPr>
    </w:p>
    <w:p w14:paraId="7DAB3FE9" w14:textId="687B75EB" w:rsidR="00A33875" w:rsidRPr="00EC0229" w:rsidRDefault="00A33875" w:rsidP="007600EA">
      <w:pPr>
        <w:pStyle w:val="NoSpacing"/>
        <w:spacing w:line="360" w:lineRule="auto"/>
        <w:ind w:left="720"/>
        <w:rPr>
          <w:rFonts w:cs="Times New Roman"/>
        </w:rPr>
      </w:pPr>
      <w:r w:rsidRPr="00EC0229">
        <w:rPr>
          <w:rFonts w:cs="Times New Roman"/>
        </w:rPr>
        <w:t xml:space="preserve">There is one further case of a joint issue, but this time it is the dynastic plea by Æthelwald Moll for the succession of his son </w:t>
      </w:r>
      <w:r w:rsidRPr="00EC0229">
        <w:rPr>
          <w:rFonts w:cs="Times New Roman"/>
          <w:szCs w:val="24"/>
        </w:rPr>
        <w:t>Æthelred</w:t>
      </w:r>
      <w:r w:rsidR="00D142DC" w:rsidRPr="00EC0229">
        <w:rPr>
          <w:rFonts w:cs="Times New Roman"/>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szCs w:val="24"/>
        </w:rPr>
        <w:fldChar w:fldCharType="end"/>
      </w:r>
      <w:r w:rsidRPr="00EC0229">
        <w:rPr>
          <w:rFonts w:cs="Times New Roman"/>
          <w:szCs w:val="24"/>
        </w:rPr>
        <w:t xml:space="preserve"> (</w:t>
      </w:r>
      <w:r w:rsidR="002E5A9C" w:rsidRPr="00EC0229">
        <w:rPr>
          <w:rFonts w:cs="Times New Roman"/>
          <w:i/>
          <w:szCs w:val="24"/>
        </w:rPr>
        <w:t>Plate</w:t>
      </w:r>
      <w:r w:rsidR="00C4240A" w:rsidRPr="00EC0229">
        <w:rPr>
          <w:rFonts w:cs="Times New Roman"/>
          <w:i/>
          <w:szCs w:val="24"/>
        </w:rPr>
        <w:t xml:space="preserve"> 4</w:t>
      </w:r>
      <w:r w:rsidR="002E5A9C" w:rsidRPr="00EC0229">
        <w:rPr>
          <w:rFonts w:cs="Times New Roman"/>
          <w:szCs w:val="24"/>
        </w:rPr>
        <w:t xml:space="preserve">, </w:t>
      </w:r>
      <w:r w:rsidR="002E5A9C" w:rsidRPr="00EC0229">
        <w:rPr>
          <w:rFonts w:cs="Times New Roman"/>
          <w:i/>
          <w:szCs w:val="24"/>
        </w:rPr>
        <w:t>Figure</w:t>
      </w:r>
      <w:r w:rsidR="002E5A9C" w:rsidRPr="00EC0229">
        <w:rPr>
          <w:rFonts w:cs="Times New Roman"/>
          <w:szCs w:val="24"/>
        </w:rPr>
        <w:t xml:space="preserve"> 6</w:t>
      </w:r>
      <w:r w:rsidR="003F699C" w:rsidRPr="00EC0229">
        <w:rPr>
          <w:rFonts w:cs="Times New Roman"/>
          <w:szCs w:val="24"/>
        </w:rPr>
        <w:t xml:space="preserve">, </w:t>
      </w:r>
      <w:r w:rsidRPr="00EC0229">
        <w:rPr>
          <w:rFonts w:cs="Times New Roman"/>
          <w:i/>
          <w:szCs w:val="24"/>
        </w:rPr>
        <w:t>SL</w:t>
      </w:r>
      <w:r w:rsidRPr="00EC0229">
        <w:rPr>
          <w:rFonts w:cs="Times New Roman"/>
          <w:szCs w:val="24"/>
        </w:rPr>
        <w:t>77).</w:t>
      </w:r>
      <w:r w:rsidRPr="00EC0229">
        <w:rPr>
          <w:rFonts w:cs="Times New Roman"/>
        </w:rPr>
        <w:t xml:space="preserve"> </w:t>
      </w:r>
    </w:p>
    <w:p w14:paraId="2AF7AA6E" w14:textId="77777777" w:rsidR="00A33875" w:rsidRPr="00EC0229" w:rsidRDefault="00A33875" w:rsidP="007600EA">
      <w:pPr>
        <w:pStyle w:val="NoSpacing"/>
        <w:spacing w:line="360" w:lineRule="auto"/>
        <w:ind w:left="720"/>
        <w:rPr>
          <w:rFonts w:cs="Times New Roman"/>
          <w:sz w:val="20"/>
          <w:szCs w:val="20"/>
        </w:rPr>
      </w:pPr>
    </w:p>
    <w:p w14:paraId="7A51F781" w14:textId="237DA7B9" w:rsidR="00A33875" w:rsidRPr="00EC0229" w:rsidRDefault="00A33875" w:rsidP="007600EA">
      <w:pPr>
        <w:pStyle w:val="NoSpacing"/>
        <w:spacing w:line="360" w:lineRule="auto"/>
        <w:ind w:left="720"/>
        <w:rPr>
          <w:rFonts w:cs="Times New Roman"/>
        </w:rPr>
      </w:pPr>
      <w:r w:rsidRPr="00EC0229">
        <w:rPr>
          <w:rFonts w:cs="Times New Roman"/>
        </w:rPr>
        <w:t>The plea was eventually fulfilled after the intervening reign of Alchred</w:t>
      </w:r>
      <w:r w:rsidR="004C29A9" w:rsidRPr="00EC0229">
        <w:rPr>
          <w:rFonts w:cs="Times New Roman"/>
        </w:rPr>
        <w:fldChar w:fldCharType="begin"/>
      </w:r>
      <w:r w:rsidR="004C29A9" w:rsidRPr="00EC0229">
        <w:instrText xml:space="preserve"> XE "</w:instrText>
      </w:r>
      <w:r w:rsidR="004C29A9" w:rsidRPr="00EC0229">
        <w:rPr>
          <w:rFonts w:cs="Times New Roman"/>
          <w:szCs w:val="24"/>
        </w:rPr>
        <w:instrText>Alchred</w:instrText>
      </w:r>
      <w:r w:rsidR="004C29A9" w:rsidRPr="00EC0229">
        <w:instrText xml:space="preserve">" </w:instrText>
      </w:r>
      <w:r w:rsidR="004C29A9" w:rsidRPr="00EC0229">
        <w:rPr>
          <w:rFonts w:cs="Times New Roman"/>
        </w:rPr>
        <w:fldChar w:fldCharType="end"/>
      </w:r>
      <w:r w:rsidRPr="00EC0229">
        <w:rPr>
          <w:rFonts w:cs="Times New Roman"/>
        </w:rPr>
        <w:t>. This is the only instance of overt political propaganda on a sceat. Also illustrated here is a rare and enigmatic ‘double obverse’ sceat of Æthelred</w:t>
      </w:r>
      <w:r w:rsidR="00D142DC" w:rsidRPr="00EC0229">
        <w:rPr>
          <w:rFonts w:cs="Times New Roman"/>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rPr>
        <w:fldChar w:fldCharType="end"/>
      </w:r>
      <w:r w:rsidRPr="00EC0229">
        <w:rPr>
          <w:rFonts w:cs="Times New Roman"/>
        </w:rPr>
        <w:t xml:space="preserve"> (</w:t>
      </w:r>
      <w:r w:rsidRPr="00EC0229">
        <w:rPr>
          <w:rFonts w:cs="Times New Roman"/>
          <w:i/>
        </w:rPr>
        <w:t>SL</w:t>
      </w:r>
      <w:r w:rsidRPr="00EC0229">
        <w:rPr>
          <w:rFonts w:cs="Times New Roman"/>
        </w:rPr>
        <w:t>81-10).</w:t>
      </w:r>
    </w:p>
    <w:p w14:paraId="35910863" w14:textId="77777777" w:rsidR="00A33875" w:rsidRPr="00EC0229" w:rsidRDefault="00A33875" w:rsidP="007600EA">
      <w:pPr>
        <w:pStyle w:val="NoSpacing"/>
        <w:spacing w:line="360" w:lineRule="auto"/>
        <w:rPr>
          <w:rFonts w:cs="Times New Roman"/>
        </w:rPr>
      </w:pPr>
    </w:p>
    <w:p w14:paraId="17FB8B38" w14:textId="1710E810" w:rsidR="00A33875" w:rsidRPr="00EC0229" w:rsidRDefault="00A33875" w:rsidP="00387063">
      <w:pPr>
        <w:pStyle w:val="NoSpacing"/>
        <w:numPr>
          <w:ilvl w:val="0"/>
          <w:numId w:val="4"/>
        </w:numPr>
        <w:spacing w:line="360" w:lineRule="auto"/>
        <w:rPr>
          <w:rFonts w:cs="Times New Roman"/>
        </w:rPr>
      </w:pPr>
      <w:r w:rsidRPr="00EC0229">
        <w:rPr>
          <w:rFonts w:cs="Times New Roman"/>
        </w:rPr>
        <w:t xml:space="preserve">Literacy and inscriptions: Again, the standard of literacy, clarity </w:t>
      </w:r>
      <w:r w:rsidR="00862F15" w:rsidRPr="00EC0229">
        <w:rPr>
          <w:rFonts w:cs="Times New Roman"/>
        </w:rPr>
        <w:t>and</w:t>
      </w:r>
      <w:r w:rsidRPr="00EC0229">
        <w:rPr>
          <w:rFonts w:cs="Times New Roman"/>
        </w:rPr>
        <w:t xml:space="preserve"> consistency of inscriptions and skilled execution of lettering is unparalleled, though the current die study of the coinage of Eadberht</w:t>
      </w:r>
      <w:r w:rsidR="00D142DC" w:rsidRPr="00EC0229">
        <w:rPr>
          <w:rFonts w:cs="Times New Roman"/>
        </w:rPr>
        <w:fldChar w:fldCharType="begin"/>
      </w:r>
      <w:r w:rsidR="00D142DC" w:rsidRPr="00EC0229">
        <w:instrText xml:space="preserve"> XE "Eadberht" </w:instrText>
      </w:r>
      <w:r w:rsidR="00D142DC" w:rsidRPr="00EC0229">
        <w:rPr>
          <w:rFonts w:cs="Times New Roman"/>
        </w:rPr>
        <w:fldChar w:fldCharType="end"/>
      </w:r>
      <w:r w:rsidRPr="00EC0229">
        <w:rPr>
          <w:rFonts w:cs="Times New Roman"/>
        </w:rPr>
        <w:t xml:space="preserve"> by Bude has revealed that one engraver, his ‘Retrograde Man’, was likely to have been dyslexic. </w:t>
      </w:r>
    </w:p>
    <w:p w14:paraId="2818A13C" w14:textId="77777777" w:rsidR="00A33875" w:rsidRPr="00EC0229" w:rsidRDefault="00A33875" w:rsidP="007600EA">
      <w:pPr>
        <w:pStyle w:val="NoSpacing"/>
        <w:spacing w:line="360" w:lineRule="auto"/>
        <w:ind w:left="720"/>
        <w:rPr>
          <w:rFonts w:cs="Times New Roman"/>
        </w:rPr>
      </w:pPr>
    </w:p>
    <w:p w14:paraId="53EE55FC" w14:textId="3BBD023C" w:rsidR="00A33875" w:rsidRPr="00EC0229" w:rsidRDefault="00A33875" w:rsidP="007600EA">
      <w:pPr>
        <w:pStyle w:val="NoSpacing"/>
        <w:spacing w:line="360" w:lineRule="auto"/>
        <w:ind w:left="720"/>
        <w:rPr>
          <w:rFonts w:cs="Times New Roman"/>
        </w:rPr>
      </w:pPr>
      <w:r w:rsidRPr="00EC0229">
        <w:rPr>
          <w:rFonts w:cs="Times New Roman"/>
        </w:rPr>
        <w:t>Admittedly, some of the eclectic groups such as DE LUNDONIA/SCORUM and Æthiliræd,</w:t>
      </w:r>
      <w:r w:rsidRPr="00EC0229">
        <w:rPr>
          <w:rStyle w:val="FootnoteReference"/>
          <w:rFonts w:cs="Times New Roman"/>
        </w:rPr>
        <w:footnoteReference w:id="616"/>
      </w:r>
      <w:r w:rsidRPr="00EC0229">
        <w:rPr>
          <w:rFonts w:cs="Times New Roman"/>
        </w:rPr>
        <w:t xml:space="preserve"> are epigraphic and literate, but these are rare and did not constitute major trading issues</w:t>
      </w:r>
      <w:r w:rsidR="003F699C" w:rsidRPr="00EC0229">
        <w:rPr>
          <w:rFonts w:cs="Times New Roman"/>
        </w:rPr>
        <w:t xml:space="preserve"> </w:t>
      </w:r>
      <w:r w:rsidR="002E5A9C" w:rsidRPr="00EC0229">
        <w:rPr>
          <w:rFonts w:cs="Times New Roman"/>
          <w:szCs w:val="24"/>
        </w:rPr>
        <w:t>(</w:t>
      </w:r>
      <w:r w:rsidR="002E5A9C" w:rsidRPr="00EC0229">
        <w:rPr>
          <w:rFonts w:cs="Times New Roman"/>
          <w:i/>
          <w:szCs w:val="24"/>
        </w:rPr>
        <w:t>Plate</w:t>
      </w:r>
      <w:r w:rsidR="00C4240A" w:rsidRPr="00EC0229">
        <w:rPr>
          <w:rFonts w:cs="Times New Roman"/>
          <w:i/>
          <w:szCs w:val="24"/>
        </w:rPr>
        <w:t xml:space="preserve"> 4</w:t>
      </w:r>
      <w:r w:rsidR="002E5A9C" w:rsidRPr="00EC0229">
        <w:rPr>
          <w:rFonts w:cs="Times New Roman"/>
          <w:szCs w:val="24"/>
        </w:rPr>
        <w:t xml:space="preserve">, </w:t>
      </w:r>
      <w:r w:rsidR="002E5A9C" w:rsidRPr="00EC0229">
        <w:rPr>
          <w:rFonts w:cs="Times New Roman"/>
          <w:i/>
          <w:szCs w:val="24"/>
        </w:rPr>
        <w:t>Figure</w:t>
      </w:r>
      <w:r w:rsidR="002E5A9C" w:rsidRPr="00EC0229">
        <w:rPr>
          <w:rFonts w:cs="Times New Roman"/>
          <w:szCs w:val="24"/>
        </w:rPr>
        <w:t xml:space="preserve"> 7</w:t>
      </w:r>
      <w:r w:rsidR="002E5A9C" w:rsidRPr="00EC0229">
        <w:rPr>
          <w:rFonts w:cs="Times New Roman"/>
        </w:rPr>
        <w:t>).</w:t>
      </w:r>
    </w:p>
    <w:p w14:paraId="0A4E8F26" w14:textId="77777777" w:rsidR="00A33875" w:rsidRPr="00EC0229" w:rsidRDefault="00A33875" w:rsidP="007600EA">
      <w:pPr>
        <w:pStyle w:val="NoSpacing"/>
        <w:spacing w:line="360" w:lineRule="auto"/>
        <w:rPr>
          <w:rFonts w:cs="Times New Roman"/>
        </w:rPr>
      </w:pPr>
    </w:p>
    <w:p w14:paraId="02D66BC4" w14:textId="5E26A491" w:rsidR="00A33875" w:rsidRPr="00EC0229" w:rsidRDefault="00A33875" w:rsidP="00387063">
      <w:pPr>
        <w:pStyle w:val="NoSpacing"/>
        <w:numPr>
          <w:ilvl w:val="0"/>
          <w:numId w:val="4"/>
        </w:numPr>
        <w:spacing w:line="360" w:lineRule="auto"/>
        <w:rPr>
          <w:rFonts w:cs="Times New Roman"/>
        </w:rPr>
      </w:pPr>
      <w:r w:rsidRPr="00EC0229">
        <w:rPr>
          <w:rFonts w:cs="Times New Roman"/>
        </w:rPr>
        <w:t>Consistency of type and extended duration: There are instances of long-lived trading currencies, Frisian Series</w:t>
      </w:r>
      <w:r w:rsidR="00D142DC" w:rsidRPr="00EC0229">
        <w:rPr>
          <w:rFonts w:cs="Times New Roman"/>
        </w:rPr>
        <w:fldChar w:fldCharType="begin"/>
      </w:r>
      <w:r w:rsidR="00D142DC" w:rsidRPr="00EC0229">
        <w:instrText xml:space="preserve"> XE "Series" </w:instrText>
      </w:r>
      <w:r w:rsidR="00D142DC" w:rsidRPr="00EC0229">
        <w:rPr>
          <w:rFonts w:cs="Times New Roman"/>
        </w:rPr>
        <w:fldChar w:fldCharType="end"/>
      </w:r>
      <w:r w:rsidRPr="00EC0229">
        <w:rPr>
          <w:rFonts w:cs="Times New Roman"/>
        </w:rPr>
        <w:t xml:space="preserve"> D</w:t>
      </w:r>
      <w:r w:rsidR="008344F3" w:rsidRPr="00EC0229">
        <w:rPr>
          <w:rFonts w:cs="Times New Roman"/>
        </w:rPr>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rPr>
          <w:rFonts w:cs="Times New Roman"/>
        </w:rPr>
        <w:fldChar w:fldCharType="end"/>
      </w:r>
      <w:r w:rsidRPr="00EC0229">
        <w:rPr>
          <w:rFonts w:cs="Times New Roman"/>
        </w:rPr>
        <w:t xml:space="preserve"> and E, East Anglian</w:t>
      </w:r>
      <w:r w:rsidR="00D142DC" w:rsidRPr="00EC0229">
        <w:rPr>
          <w:rFonts w:cs="Times New Roman"/>
        </w:rPr>
        <w:fldChar w:fldCharType="begin"/>
      </w:r>
      <w:r w:rsidR="00D142DC" w:rsidRPr="00EC0229">
        <w:instrText xml:space="preserve"> XE "Anglian" </w:instrText>
      </w:r>
      <w:r w:rsidR="00D142DC" w:rsidRPr="00EC0229">
        <w:rPr>
          <w:rFonts w:cs="Times New Roman"/>
        </w:rPr>
        <w:fldChar w:fldCharType="end"/>
      </w:r>
      <w:r w:rsidRPr="00EC0229">
        <w:rPr>
          <w:rFonts w:cs="Times New Roman"/>
        </w:rPr>
        <w:t xml:space="preserve"> R, and especially Danish X, where (essential elements of) a specific design has become an </w:t>
      </w:r>
      <w:r w:rsidRPr="00EC0229">
        <w:rPr>
          <w:rFonts w:cs="Times New Roman"/>
          <w:i/>
          <w:szCs w:val="24"/>
        </w:rPr>
        <w:t>id</w:t>
      </w:r>
      <w:r w:rsidRPr="00EC0229">
        <w:rPr>
          <w:rStyle w:val="Emphasis"/>
          <w:rFonts w:cs="Times New Roman"/>
          <w:szCs w:val="24"/>
        </w:rPr>
        <w:t>é</w:t>
      </w:r>
      <w:r w:rsidRPr="00EC0229">
        <w:rPr>
          <w:rFonts w:cs="Times New Roman"/>
          <w:i/>
          <w:szCs w:val="24"/>
        </w:rPr>
        <w:t>e</w:t>
      </w:r>
      <w:r w:rsidRPr="00EC0229">
        <w:rPr>
          <w:rFonts w:cs="Times New Roman"/>
          <w:i/>
        </w:rPr>
        <w:t xml:space="preserve"> fixe</w:t>
      </w:r>
      <w:r w:rsidRPr="00EC0229">
        <w:rPr>
          <w:rFonts w:cs="Times New Roman"/>
        </w:rPr>
        <w:t xml:space="preserve"> </w:t>
      </w:r>
      <w:r w:rsidR="00BF6095">
        <w:rPr>
          <w:rFonts w:cs="Times New Roman"/>
        </w:rPr>
        <w:t>to</w:t>
      </w:r>
      <w:r w:rsidRPr="00EC0229">
        <w:rPr>
          <w:rFonts w:cs="Times New Roman"/>
        </w:rPr>
        <w:t xml:space="preserve"> enhance and prolong the currency of the type. D and E are held together as cohesive groups only because of the presence of specific design elements (the ‘porcupine’ and degenerated votive</w:t>
      </w:r>
      <w:r w:rsidR="008960AE" w:rsidRPr="00EC0229">
        <w:rPr>
          <w:rFonts w:cs="Times New Roman"/>
        </w:rPr>
        <w:fldChar w:fldCharType="begin"/>
      </w:r>
      <w:r w:rsidR="008960AE" w:rsidRPr="00EC0229">
        <w:instrText xml:space="preserve"> XE "</w:instrText>
      </w:r>
      <w:r w:rsidR="008960AE" w:rsidRPr="00EC0229">
        <w:rPr>
          <w:rFonts w:cs="Times New Roman"/>
          <w:szCs w:val="24"/>
        </w:rPr>
        <w:instrText>votive</w:instrText>
      </w:r>
      <w:r w:rsidR="008960AE" w:rsidRPr="00EC0229">
        <w:instrText xml:space="preserve">" </w:instrText>
      </w:r>
      <w:r w:rsidR="008960AE" w:rsidRPr="00EC0229">
        <w:rPr>
          <w:rFonts w:cs="Times New Roman"/>
        </w:rPr>
        <w:fldChar w:fldCharType="end"/>
      </w:r>
      <w:r w:rsidRPr="00EC0229">
        <w:rPr>
          <w:rFonts w:cs="Times New Roman"/>
        </w:rPr>
        <w:t xml:space="preserve"> standard) whereas, R and X deteriorate steadily over forty years in the case of the former, and over seventy the latter, which is possibly the only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 xml:space="preserve"> variety outside </w:t>
      </w:r>
      <w:r w:rsidRPr="00EC0229">
        <w:rPr>
          <w:rFonts w:cs="Times New Roman"/>
        </w:rPr>
        <w:lastRenderedPageBreak/>
        <w:t>Northumbria</w:t>
      </w:r>
      <w:r w:rsidR="00584C42" w:rsidRPr="00EC0229">
        <w:rPr>
          <w:rFonts w:cs="Times New Roman"/>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rPr>
        <w:fldChar w:fldCharType="end"/>
      </w:r>
      <w:r w:rsidRPr="00EC0229">
        <w:rPr>
          <w:rFonts w:cs="Times New Roman"/>
        </w:rPr>
        <w:t xml:space="preserve"> which extends well beyond 750 (archaeology at Ribe suggests that Series X</w:t>
      </w:r>
      <w:r w:rsidR="008344F3" w:rsidRPr="00EC0229">
        <w:rPr>
          <w:rFonts w:cs="Times New Roman"/>
        </w:rPr>
        <w:fldChar w:fldCharType="begin"/>
      </w:r>
      <w:r w:rsidR="008344F3" w:rsidRPr="00EC0229">
        <w:instrText xml:space="preserve"> XE "</w:instrText>
      </w:r>
      <w:r w:rsidR="008344F3" w:rsidRPr="00EC0229">
        <w:rPr>
          <w:szCs w:val="24"/>
        </w:rPr>
        <w:instrText>Series X</w:instrText>
      </w:r>
      <w:r w:rsidR="008344F3" w:rsidRPr="00EC0229">
        <w:instrText xml:space="preserve">" </w:instrText>
      </w:r>
      <w:r w:rsidR="008344F3" w:rsidRPr="00EC0229">
        <w:rPr>
          <w:rFonts w:cs="Times New Roman"/>
        </w:rPr>
        <w:fldChar w:fldCharType="end"/>
      </w:r>
      <w:r w:rsidRPr="00EC0229">
        <w:rPr>
          <w:rFonts w:cs="Times New Roman"/>
        </w:rPr>
        <w:t xml:space="preserve"> was still current in </w:t>
      </w:r>
      <w:r w:rsidRPr="00EC0229">
        <w:rPr>
          <w:rFonts w:cs="Times New Roman"/>
          <w:i/>
        </w:rPr>
        <w:t>c.</w:t>
      </w:r>
      <w:r w:rsidRPr="00EC0229">
        <w:rPr>
          <w:rFonts w:cs="Times New Roman"/>
        </w:rPr>
        <w:t>800</w:t>
      </w:r>
      <w:r w:rsidR="003F699C" w:rsidRPr="00EC0229">
        <w:rPr>
          <w:rFonts w:cs="Times New Roman"/>
        </w:rPr>
        <w:t xml:space="preserve">, </w:t>
      </w:r>
      <w:r w:rsidR="002E5A9C" w:rsidRPr="00EC0229">
        <w:rPr>
          <w:rFonts w:cs="Times New Roman"/>
          <w:szCs w:val="24"/>
        </w:rPr>
        <w:t>(</w:t>
      </w:r>
      <w:r w:rsidR="002E5A9C" w:rsidRPr="00EC0229">
        <w:rPr>
          <w:rFonts w:cs="Times New Roman"/>
          <w:i/>
          <w:szCs w:val="24"/>
        </w:rPr>
        <w:t>Plate</w:t>
      </w:r>
      <w:r w:rsidR="00C4240A" w:rsidRPr="00EC0229">
        <w:rPr>
          <w:rFonts w:cs="Times New Roman"/>
          <w:i/>
          <w:szCs w:val="24"/>
        </w:rPr>
        <w:t xml:space="preserve"> 4</w:t>
      </w:r>
      <w:r w:rsidR="002E5A9C" w:rsidRPr="00EC0229">
        <w:rPr>
          <w:rFonts w:cs="Times New Roman"/>
          <w:szCs w:val="24"/>
        </w:rPr>
        <w:t xml:space="preserve">, </w:t>
      </w:r>
      <w:r w:rsidR="002E5A9C" w:rsidRPr="00EC0229">
        <w:rPr>
          <w:rFonts w:cs="Times New Roman"/>
          <w:i/>
          <w:szCs w:val="24"/>
        </w:rPr>
        <w:t>Figure</w:t>
      </w:r>
      <w:r w:rsidR="002E5A9C" w:rsidRPr="00EC0229">
        <w:rPr>
          <w:rFonts w:cs="Times New Roman"/>
          <w:szCs w:val="24"/>
        </w:rPr>
        <w:t xml:space="preserve"> 8</w:t>
      </w:r>
      <w:r w:rsidRPr="00EC0229">
        <w:rPr>
          <w:rFonts w:cs="Times New Roman"/>
        </w:rPr>
        <w:t>).</w:t>
      </w:r>
      <w:r w:rsidRPr="00EC0229">
        <w:rPr>
          <w:rStyle w:val="FootnoteReference"/>
          <w:rFonts w:cs="Times New Roman"/>
        </w:rPr>
        <w:footnoteReference w:id="617"/>
      </w:r>
      <w:r w:rsidRPr="00EC0229">
        <w:rPr>
          <w:rFonts w:cs="Times New Roman"/>
        </w:rPr>
        <w:t xml:space="preserve"> The fantastic animal and inscribed types of Northumbrian sceat extend from 685 to, arguably, 829, even if the continuum is fractured.</w:t>
      </w:r>
    </w:p>
    <w:p w14:paraId="76F0F233" w14:textId="77777777" w:rsidR="00A33875" w:rsidRPr="00EC0229" w:rsidRDefault="00A33875" w:rsidP="007600EA">
      <w:pPr>
        <w:pStyle w:val="NoSpacing"/>
        <w:spacing w:line="360" w:lineRule="auto"/>
        <w:rPr>
          <w:rFonts w:cs="Times New Roman"/>
        </w:rPr>
      </w:pPr>
    </w:p>
    <w:p w14:paraId="148890FC" w14:textId="4E1ED8E1" w:rsidR="00A33875" w:rsidRPr="00EC0229" w:rsidRDefault="00A33875" w:rsidP="00387063">
      <w:pPr>
        <w:pStyle w:val="ListParagraph"/>
        <w:numPr>
          <w:ilvl w:val="0"/>
          <w:numId w:val="4"/>
        </w:numPr>
        <w:spacing w:after="200" w:line="360" w:lineRule="auto"/>
        <w:rPr>
          <w:rFonts w:cs="Times New Roman"/>
          <w:szCs w:val="24"/>
        </w:rPr>
      </w:pPr>
      <w:r w:rsidRPr="00EC0229">
        <w:rPr>
          <w:rFonts w:cs="Times New Roman"/>
          <w:szCs w:val="24"/>
        </w:rPr>
        <w:t>Political image: Joint issues</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Joint issues</w:instrText>
      </w:r>
      <w:r w:rsidR="00F204A1" w:rsidRPr="00EC0229">
        <w:instrText xml:space="preserve">" </w:instrText>
      </w:r>
      <w:r w:rsidR="00F204A1" w:rsidRPr="00EC0229">
        <w:rPr>
          <w:rFonts w:cs="Times New Roman"/>
          <w:szCs w:val="24"/>
        </w:rPr>
        <w:fldChar w:fldCharType="end"/>
      </w:r>
      <w:r w:rsidRPr="00EC0229">
        <w:rPr>
          <w:rFonts w:cs="Times New Roman"/>
          <w:szCs w:val="24"/>
        </w:rPr>
        <w:t>, consistent motifs and skilled execution continued despite the fissiparous tendency. Even in the heat of intense rivalry, there must have been a common desire to maintain governance, protect the mint and project a unified image. It was arguably the authority of the Archbishops which overcame factional dynastic strife.</w:t>
      </w:r>
    </w:p>
    <w:p w14:paraId="562EC0BA" w14:textId="11E69D23" w:rsidR="00A33875" w:rsidRPr="00EC0229" w:rsidRDefault="00A33875" w:rsidP="00387063">
      <w:pPr>
        <w:pStyle w:val="NoSpacing"/>
        <w:numPr>
          <w:ilvl w:val="0"/>
          <w:numId w:val="4"/>
        </w:numPr>
        <w:spacing w:line="360" w:lineRule="auto"/>
        <w:rPr>
          <w:rFonts w:cs="Times New Roman"/>
        </w:rPr>
      </w:pPr>
      <w:r w:rsidRPr="00EC0229">
        <w:rPr>
          <w:rFonts w:cs="Times New Roman"/>
        </w:rPr>
        <w:t>Consistency of metrology</w:t>
      </w:r>
      <w:r w:rsidR="004C29A9" w:rsidRPr="00EC0229">
        <w:rPr>
          <w:rFonts w:cs="Times New Roman"/>
        </w:rPr>
        <w:fldChar w:fldCharType="begin"/>
      </w:r>
      <w:r w:rsidR="004C29A9" w:rsidRPr="00EC0229">
        <w:instrText xml:space="preserve"> XE "metrology" </w:instrText>
      </w:r>
      <w:r w:rsidR="004C29A9" w:rsidRPr="00EC0229">
        <w:rPr>
          <w:rFonts w:cs="Times New Roman"/>
        </w:rPr>
        <w:fldChar w:fldCharType="end"/>
      </w:r>
      <w:r w:rsidRPr="00EC0229">
        <w:rPr>
          <w:rFonts w:cs="Times New Roman"/>
        </w:rPr>
        <w:t>: The silver content of the Northumbrian sceat remains in the 50-70% range.</w:t>
      </w:r>
    </w:p>
    <w:p w14:paraId="5AA48DB7" w14:textId="77777777" w:rsidR="00A33875" w:rsidRPr="00EC0229" w:rsidRDefault="00A33875" w:rsidP="007600EA">
      <w:pPr>
        <w:pStyle w:val="NoSpacing"/>
        <w:spacing w:line="360" w:lineRule="auto"/>
        <w:rPr>
          <w:rFonts w:cs="Times New Roman"/>
        </w:rPr>
      </w:pPr>
    </w:p>
    <w:p w14:paraId="75DD7FC4" w14:textId="0759CAF5" w:rsidR="00A33875" w:rsidRPr="00EC0229" w:rsidRDefault="00A33875" w:rsidP="00387063">
      <w:pPr>
        <w:pStyle w:val="NoSpacing"/>
        <w:numPr>
          <w:ilvl w:val="0"/>
          <w:numId w:val="4"/>
        </w:numPr>
        <w:spacing w:line="360" w:lineRule="auto"/>
        <w:rPr>
          <w:rFonts w:cs="Times New Roman"/>
        </w:rPr>
      </w:pPr>
      <w:r w:rsidRPr="00EC0229">
        <w:rPr>
          <w:rFonts w:cs="Times New Roman"/>
        </w:rPr>
        <w:t xml:space="preserve">Mint place: only in the cases </w:t>
      </w:r>
      <w:r w:rsidR="0014241F" w:rsidRPr="00EC0229">
        <w:rPr>
          <w:rFonts w:cs="Times New Roman"/>
        </w:rPr>
        <w:t xml:space="preserve">of </w:t>
      </w:r>
      <w:r w:rsidRPr="00EC0229">
        <w:rPr>
          <w:rFonts w:cs="Times New Roman"/>
        </w:rPr>
        <w:t>Ribe (X), Domburg (D), Dorestad (E), Hamwic</w:t>
      </w:r>
      <w:r w:rsidR="006B1593" w:rsidRPr="00EC0229">
        <w:rPr>
          <w:rFonts w:cs="Times New Roman"/>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cs="Times New Roman"/>
        </w:rPr>
        <w:fldChar w:fldCharType="end"/>
      </w:r>
      <w:r w:rsidRPr="00EC0229">
        <w:rPr>
          <w:rFonts w:cs="Times New Roman"/>
        </w:rPr>
        <w:t xml:space="preserve"> (H</w:t>
      </w:r>
      <w:r w:rsidR="003F699C" w:rsidRPr="00EC0229">
        <w:rPr>
          <w:rFonts w:cs="Times New Roman"/>
        </w:rPr>
        <w:t xml:space="preserve">, </w:t>
      </w:r>
      <w:r w:rsidR="002E5A9C" w:rsidRPr="00EC0229">
        <w:rPr>
          <w:rFonts w:cs="Times New Roman"/>
          <w:i/>
          <w:szCs w:val="24"/>
        </w:rPr>
        <w:t>Plate</w:t>
      </w:r>
      <w:r w:rsidR="00C4240A" w:rsidRPr="00EC0229">
        <w:rPr>
          <w:rFonts w:cs="Times New Roman"/>
          <w:i/>
          <w:szCs w:val="24"/>
        </w:rPr>
        <w:t xml:space="preserve"> 4</w:t>
      </w:r>
      <w:r w:rsidR="002E5A9C" w:rsidRPr="00EC0229">
        <w:rPr>
          <w:rFonts w:cs="Times New Roman"/>
          <w:szCs w:val="24"/>
        </w:rPr>
        <w:t xml:space="preserve">, </w:t>
      </w:r>
      <w:r w:rsidR="002E5A9C" w:rsidRPr="00EC0229">
        <w:rPr>
          <w:rFonts w:cs="Times New Roman"/>
          <w:i/>
          <w:szCs w:val="24"/>
        </w:rPr>
        <w:t>Figure</w:t>
      </w:r>
      <w:r w:rsidR="002E5A9C" w:rsidRPr="00EC0229">
        <w:rPr>
          <w:rFonts w:cs="Times New Roman"/>
          <w:szCs w:val="24"/>
        </w:rPr>
        <w:t xml:space="preserve"> 9</w:t>
      </w:r>
      <w:r w:rsidR="002E5A9C" w:rsidRPr="00EC0229">
        <w:rPr>
          <w:rFonts w:cs="Times New Roman"/>
        </w:rPr>
        <w:t xml:space="preserve">) </w:t>
      </w:r>
      <w:r w:rsidRPr="00EC0229">
        <w:rPr>
          <w:rFonts w:cs="Times New Roman"/>
        </w:rPr>
        <w:t>Ipswich (R) and York</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rPr>
        <w:fldChar w:fldCharType="end"/>
      </w:r>
      <w:r w:rsidRPr="00EC0229">
        <w:rPr>
          <w:rFonts w:cs="Times New Roman"/>
        </w:rPr>
        <w:t xml:space="preserve"> (Y), can we be confident of the mint place of different types of sceat.</w:t>
      </w:r>
    </w:p>
    <w:p w14:paraId="0B58A96C" w14:textId="77777777" w:rsidR="00A33875" w:rsidRPr="00EC0229" w:rsidRDefault="00A33875" w:rsidP="007600EA">
      <w:pPr>
        <w:pStyle w:val="NoSpacing"/>
        <w:spacing w:line="360" w:lineRule="auto"/>
        <w:jc w:val="center"/>
        <w:rPr>
          <w:sz w:val="20"/>
          <w:szCs w:val="20"/>
        </w:rPr>
      </w:pPr>
    </w:p>
    <w:p w14:paraId="63684ADB" w14:textId="77777777" w:rsidR="00A33875" w:rsidRPr="00EC0229" w:rsidRDefault="00A33875" w:rsidP="007600EA">
      <w:pPr>
        <w:pStyle w:val="NoSpacing"/>
        <w:spacing w:line="360" w:lineRule="auto"/>
        <w:ind w:left="709"/>
      </w:pPr>
      <w:r w:rsidRPr="00EC0229">
        <w:t>In these instances, the authorities exercised a degree of control over production and usage not matched elsewhere. These are the anchor points for what otherwise would be a worryingly anonymous coinage.</w:t>
      </w:r>
    </w:p>
    <w:p w14:paraId="330C9D5C" w14:textId="77777777" w:rsidR="00A33875" w:rsidRPr="00EC0229" w:rsidRDefault="00A33875" w:rsidP="007600EA">
      <w:pPr>
        <w:pStyle w:val="NoSpacing"/>
        <w:spacing w:line="360" w:lineRule="auto"/>
        <w:rPr>
          <w:rFonts w:cs="Times New Roman"/>
        </w:rPr>
      </w:pPr>
    </w:p>
    <w:p w14:paraId="05FD982F" w14:textId="0C0B8612" w:rsidR="00A33875" w:rsidRPr="00EC0229" w:rsidRDefault="00A33875" w:rsidP="00387063">
      <w:pPr>
        <w:pStyle w:val="NoSpacing"/>
        <w:numPr>
          <w:ilvl w:val="0"/>
          <w:numId w:val="4"/>
        </w:numPr>
        <w:spacing w:line="360" w:lineRule="auto"/>
        <w:rPr>
          <w:rFonts w:cs="Times New Roman"/>
        </w:rPr>
      </w:pPr>
      <w:r w:rsidRPr="00EC0229">
        <w:rPr>
          <w:rFonts w:cs="Times New Roman"/>
        </w:rPr>
        <w:t>Successor coinage: The coinage reform of the Carolingian</w:t>
      </w:r>
      <w:r w:rsidR="008960AE" w:rsidRPr="00EC0229">
        <w:rPr>
          <w:rFonts w:cs="Times New Roman"/>
        </w:rPr>
        <w:fldChar w:fldCharType="begin"/>
      </w:r>
      <w:r w:rsidR="008960AE" w:rsidRPr="00EC0229">
        <w:instrText xml:space="preserve"> XE "</w:instrText>
      </w:r>
      <w:r w:rsidR="008960AE" w:rsidRPr="00EC0229">
        <w:rPr>
          <w:rFonts w:cs="Times New Roman"/>
          <w:szCs w:val="24"/>
        </w:rPr>
        <w:instrText>Carolingian</w:instrText>
      </w:r>
      <w:r w:rsidR="008960AE" w:rsidRPr="00EC0229">
        <w:instrText xml:space="preserve">" </w:instrText>
      </w:r>
      <w:r w:rsidR="008960AE" w:rsidRPr="00EC0229">
        <w:rPr>
          <w:rFonts w:cs="Times New Roman"/>
        </w:rPr>
        <w:fldChar w:fldCharType="end"/>
      </w:r>
      <w:r w:rsidRPr="00EC0229">
        <w:rPr>
          <w:rFonts w:cs="Times New Roman"/>
        </w:rPr>
        <w:t xml:space="preserve"> Pepin the Short</w:t>
      </w:r>
      <w:r w:rsidRPr="00EC0229">
        <w:rPr>
          <w:rStyle w:val="FootnoteReference"/>
          <w:rFonts w:cs="Times New Roman"/>
        </w:rPr>
        <w:footnoteReference w:id="618"/>
      </w:r>
      <w:r w:rsidRPr="00EC0229">
        <w:rPr>
          <w:rFonts w:cs="Times New Roman"/>
        </w:rPr>
        <w:t xml:space="preserve"> ushered in the broad penny</w:t>
      </w:r>
      <w:r w:rsidR="00D142DC" w:rsidRPr="00EC0229">
        <w:rPr>
          <w:rFonts w:cs="Times New Roman"/>
        </w:rPr>
        <w:fldChar w:fldCharType="begin"/>
      </w:r>
      <w:r w:rsidR="00D142DC" w:rsidRPr="00EC0229">
        <w:instrText xml:space="preserve"> XE "penny" </w:instrText>
      </w:r>
      <w:r w:rsidR="00D142DC" w:rsidRPr="00EC0229">
        <w:rPr>
          <w:rFonts w:cs="Times New Roman"/>
        </w:rPr>
        <w:fldChar w:fldCharType="end"/>
      </w:r>
      <w:r w:rsidR="00996418" w:rsidRPr="00EC0229">
        <w:rPr>
          <w:rFonts w:cs="Times New Roman"/>
        </w:rPr>
        <w:t xml:space="preserve"> </w:t>
      </w:r>
      <w:r w:rsidR="002E5A9C" w:rsidRPr="00EC0229">
        <w:rPr>
          <w:rFonts w:cs="Times New Roman"/>
          <w:szCs w:val="24"/>
        </w:rPr>
        <w:t>(</w:t>
      </w:r>
      <w:r w:rsidR="002E5A9C" w:rsidRPr="00EC0229">
        <w:rPr>
          <w:rFonts w:cs="Times New Roman"/>
          <w:i/>
          <w:szCs w:val="24"/>
        </w:rPr>
        <w:t>Plate</w:t>
      </w:r>
      <w:r w:rsidR="00C4240A" w:rsidRPr="00EC0229">
        <w:rPr>
          <w:rFonts w:cs="Times New Roman"/>
          <w:i/>
          <w:szCs w:val="24"/>
        </w:rPr>
        <w:t xml:space="preserve"> 4</w:t>
      </w:r>
      <w:r w:rsidR="002E5A9C" w:rsidRPr="00EC0229">
        <w:rPr>
          <w:rFonts w:cs="Times New Roman"/>
          <w:szCs w:val="24"/>
        </w:rPr>
        <w:t xml:space="preserve">, </w:t>
      </w:r>
      <w:r w:rsidR="002E5A9C" w:rsidRPr="00EC0229">
        <w:rPr>
          <w:rFonts w:cs="Times New Roman"/>
          <w:i/>
          <w:szCs w:val="24"/>
        </w:rPr>
        <w:t>Figure</w:t>
      </w:r>
      <w:r w:rsidR="002E5A9C" w:rsidRPr="00EC0229">
        <w:rPr>
          <w:rFonts w:cs="Times New Roman"/>
          <w:szCs w:val="24"/>
        </w:rPr>
        <w:t xml:space="preserve"> 10</w:t>
      </w:r>
      <w:r w:rsidR="002E5A9C" w:rsidRPr="00EC0229">
        <w:rPr>
          <w:rFonts w:cs="Times New Roman"/>
        </w:rPr>
        <w:t>)</w:t>
      </w:r>
      <w:r w:rsidRPr="00EC0229">
        <w:rPr>
          <w:rFonts w:cs="Times New Roman"/>
        </w:rPr>
        <w:t>,</w:t>
      </w:r>
      <w:r w:rsidRPr="00EC0229">
        <w:rPr>
          <w:rStyle w:val="FootnoteReference"/>
          <w:rFonts w:cs="Times New Roman"/>
        </w:rPr>
        <w:footnoteReference w:id="619"/>
      </w:r>
      <w:r w:rsidRPr="00EC0229">
        <w:rPr>
          <w:rFonts w:cs="Times New Roman"/>
        </w:rPr>
        <w:t xml:space="preserve"> which was then adopted by Offa</w:t>
      </w:r>
      <w:r w:rsidR="00F66CEB" w:rsidRPr="00EC0229">
        <w:rPr>
          <w:rFonts w:cs="Times New Roman"/>
        </w:rPr>
        <w:fldChar w:fldCharType="begin"/>
      </w:r>
      <w:r w:rsidR="00F66CEB" w:rsidRPr="00EC0229">
        <w:instrText xml:space="preserve"> XE "</w:instrText>
      </w:r>
      <w:r w:rsidR="00F66CEB" w:rsidRPr="00EC0229">
        <w:rPr>
          <w:rFonts w:cs="Times New Roman"/>
        </w:rPr>
        <w:instrText>Offa</w:instrText>
      </w:r>
      <w:r w:rsidR="00F66CEB" w:rsidRPr="00EC0229">
        <w:instrText xml:space="preserve">" </w:instrText>
      </w:r>
      <w:r w:rsidR="00F66CEB" w:rsidRPr="00EC0229">
        <w:rPr>
          <w:rFonts w:cs="Times New Roman"/>
        </w:rPr>
        <w:fldChar w:fldCharType="end"/>
      </w:r>
      <w:r w:rsidRPr="00EC0229">
        <w:rPr>
          <w:rFonts w:cs="Times New Roman"/>
        </w:rPr>
        <w:t xml:space="preserve"> of Mercia. A recent find of a </w:t>
      </w:r>
      <w:r w:rsidRPr="00EC0229">
        <w:rPr>
          <w:rFonts w:cs="Times New Roman"/>
          <w:szCs w:val="24"/>
        </w:rPr>
        <w:t>Pippinid</w:t>
      </w:r>
      <w:r w:rsidRPr="00EC0229">
        <w:rPr>
          <w:rFonts w:cs="Times New Roman"/>
        </w:rPr>
        <w:t xml:space="preserve"> coin at Melbourne near Cambridge is suggestive of a close link.</w:t>
      </w:r>
    </w:p>
    <w:p w14:paraId="163E4F61" w14:textId="77777777" w:rsidR="00A33875" w:rsidRPr="00EC0229" w:rsidRDefault="00A33875" w:rsidP="007600EA">
      <w:pPr>
        <w:pStyle w:val="NoSpacing"/>
        <w:spacing w:line="360" w:lineRule="auto"/>
      </w:pPr>
    </w:p>
    <w:p w14:paraId="6F7801FE" w14:textId="2D4D09FF" w:rsidR="00A33875" w:rsidRPr="00EC0229" w:rsidRDefault="00A33875" w:rsidP="007600EA">
      <w:pPr>
        <w:pStyle w:val="NoSpacing"/>
        <w:spacing w:line="360" w:lineRule="auto"/>
        <w:ind w:left="720"/>
        <w:rPr>
          <w:rFonts w:cs="Times New Roman"/>
        </w:rPr>
      </w:pPr>
      <w:r w:rsidRPr="00EC0229">
        <w:rPr>
          <w:rFonts w:cs="Times New Roman"/>
        </w:rPr>
        <w:t>Beonna</w:t>
      </w:r>
      <w:r w:rsidR="004C29A9" w:rsidRPr="00EC0229">
        <w:rPr>
          <w:rFonts w:cs="Times New Roman"/>
        </w:rPr>
        <w:fldChar w:fldCharType="begin"/>
      </w:r>
      <w:r w:rsidR="004C29A9" w:rsidRPr="00EC0229">
        <w:instrText xml:space="preserve"> XE "</w:instrText>
      </w:r>
      <w:r w:rsidR="004C29A9" w:rsidRPr="00EC0229">
        <w:rPr>
          <w:rFonts w:cs="Times New Roman"/>
        </w:rPr>
        <w:instrText>Beonna</w:instrText>
      </w:r>
      <w:r w:rsidR="004C29A9" w:rsidRPr="00EC0229">
        <w:instrText xml:space="preserve">" </w:instrText>
      </w:r>
      <w:r w:rsidR="004C29A9" w:rsidRPr="00EC0229">
        <w:rPr>
          <w:rFonts w:cs="Times New Roman"/>
        </w:rPr>
        <w:fldChar w:fldCharType="end"/>
      </w:r>
      <w:r w:rsidRPr="00EC0229">
        <w:rPr>
          <w:rFonts w:cs="Times New Roman"/>
        </w:rPr>
        <w:t xml:space="preserve"> issued coins of sceatta</w:t>
      </w:r>
      <w:r w:rsidR="00D142DC" w:rsidRPr="00EC0229">
        <w:rPr>
          <w:rFonts w:cs="Times New Roman"/>
        </w:rPr>
        <w:fldChar w:fldCharType="begin"/>
      </w:r>
      <w:r w:rsidR="00D142DC" w:rsidRPr="00EC0229">
        <w:instrText xml:space="preserve"> XE "sceatta" </w:instrText>
      </w:r>
      <w:r w:rsidR="00D142DC" w:rsidRPr="00EC0229">
        <w:rPr>
          <w:rFonts w:cs="Times New Roman"/>
        </w:rPr>
        <w:fldChar w:fldCharType="end"/>
      </w:r>
      <w:r w:rsidRPr="00EC0229">
        <w:rPr>
          <w:rFonts w:cs="Times New Roman"/>
        </w:rPr>
        <w:t xml:space="preserve"> module</w:t>
      </w:r>
      <w:r w:rsidRPr="00EC0229">
        <w:rPr>
          <w:rStyle w:val="FootnoteReference"/>
          <w:rFonts w:cs="Times New Roman"/>
        </w:rPr>
        <w:footnoteReference w:id="620"/>
      </w:r>
      <w:r w:rsidRPr="00EC0229">
        <w:rPr>
          <w:rFonts w:cs="Times New Roman"/>
        </w:rPr>
        <w:t xml:space="preserve"> and Offa</w:t>
      </w:r>
      <w:r w:rsidR="00F66CEB" w:rsidRPr="00EC0229">
        <w:rPr>
          <w:rFonts w:cs="Times New Roman"/>
        </w:rPr>
        <w:fldChar w:fldCharType="begin"/>
      </w:r>
      <w:r w:rsidR="00F66CEB" w:rsidRPr="00EC0229">
        <w:instrText xml:space="preserve"> XE "</w:instrText>
      </w:r>
      <w:r w:rsidR="00F66CEB" w:rsidRPr="00EC0229">
        <w:rPr>
          <w:rFonts w:cs="Times New Roman"/>
        </w:rPr>
        <w:instrText>Offa</w:instrText>
      </w:r>
      <w:r w:rsidR="00F66CEB" w:rsidRPr="00EC0229">
        <w:instrText xml:space="preserve">" </w:instrText>
      </w:r>
      <w:r w:rsidR="00F66CEB" w:rsidRPr="00EC0229">
        <w:rPr>
          <w:rFonts w:cs="Times New Roman"/>
        </w:rPr>
        <w:fldChar w:fldCharType="end"/>
      </w:r>
      <w:r w:rsidRPr="00EC0229">
        <w:rPr>
          <w:rFonts w:cs="Times New Roman"/>
        </w:rPr>
        <w:t>’s earliest, light emissions are of the small flan variety.</w:t>
      </w:r>
      <w:r w:rsidRPr="00EC0229">
        <w:rPr>
          <w:rStyle w:val="FootnoteReference"/>
          <w:rFonts w:cs="Times New Roman"/>
        </w:rPr>
        <w:footnoteReference w:id="621"/>
      </w:r>
      <w:r w:rsidRPr="00EC0229">
        <w:rPr>
          <w:rFonts w:cs="Times New Roman"/>
        </w:rPr>
        <w:t xml:space="preserve"> However, very soon all </w:t>
      </w:r>
      <w:r w:rsidR="00572E51" w:rsidRPr="00EC0229">
        <w:rPr>
          <w:rFonts w:cs="Times New Roman"/>
        </w:rPr>
        <w:t>Southumbria</w:t>
      </w:r>
      <w:r w:rsidRPr="00EC0229">
        <w:rPr>
          <w:rFonts w:cs="Times New Roman"/>
        </w:rPr>
        <w:t xml:space="preserve">n monarchs were issuing broad pennies. The variation in issues reduced as the political hierarchy crystalized; before long it was only occasional issues (e.g. of Offa, Alfred and Edward the Elder) </w:t>
      </w:r>
      <w:r w:rsidRPr="00EC0229">
        <w:rPr>
          <w:rFonts w:cs="Times New Roman"/>
        </w:rPr>
        <w:lastRenderedPageBreak/>
        <w:t xml:space="preserve">which broke away from the </w:t>
      </w:r>
      <w:r w:rsidRPr="00EC0229">
        <w:rPr>
          <w:rFonts w:eastAsia="Arial" w:cs="Times New Roman"/>
          <w:szCs w:val="20"/>
        </w:rPr>
        <w:t>immobilised</w:t>
      </w:r>
      <w:r w:rsidRPr="00EC0229">
        <w:rPr>
          <w:rFonts w:cs="Times New Roman"/>
        </w:rPr>
        <w:t xml:space="preserve"> bust/cross pattern. However, the Northumbrian coinage continued essentially unchanged to </w:t>
      </w:r>
      <w:r w:rsidR="002132F1">
        <w:rPr>
          <w:rFonts w:cs="Times New Roman"/>
          <w:i/>
        </w:rPr>
        <w:t>c.</w:t>
      </w:r>
      <w:r w:rsidRPr="00EC0229">
        <w:rPr>
          <w:rFonts w:cs="Times New Roman"/>
        </w:rPr>
        <w:t>806 and then, after an undefined interval, in the same module, but initiall</w:t>
      </w:r>
      <w:r w:rsidR="008A7A44" w:rsidRPr="00EC0229">
        <w:rPr>
          <w:rFonts w:cs="Times New Roman"/>
        </w:rPr>
        <w:t>y in silver-</w:t>
      </w:r>
      <w:r w:rsidRPr="00EC0229">
        <w:rPr>
          <w:rFonts w:cs="Times New Roman"/>
        </w:rPr>
        <w:t xml:space="preserve">enhanced base-metal then in brass. </w:t>
      </w:r>
      <w:r w:rsidR="008D6B10" w:rsidRPr="00EC0229">
        <w:rPr>
          <w:rFonts w:cs="Times New Roman"/>
        </w:rPr>
        <w:t>T</w:t>
      </w:r>
      <w:r w:rsidRPr="00EC0229">
        <w:rPr>
          <w:rFonts w:cs="Times New Roman"/>
        </w:rPr>
        <w:t>his silver-alloy</w:t>
      </w:r>
      <w:r w:rsidR="008960AE" w:rsidRPr="00EC0229">
        <w:rPr>
          <w:rFonts w:cs="Times New Roman"/>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rFonts w:cs="Times New Roman"/>
        </w:rPr>
        <w:fldChar w:fldCharType="end"/>
      </w:r>
      <w:r w:rsidRPr="00EC0229">
        <w:rPr>
          <w:rFonts w:cs="Times New Roman"/>
        </w:rPr>
        <w:t xml:space="preserve"> emission </w:t>
      </w:r>
      <w:r w:rsidR="008D6B10" w:rsidRPr="00EC0229">
        <w:rPr>
          <w:rFonts w:cs="Times New Roman"/>
        </w:rPr>
        <w:t xml:space="preserve">is here assumed </w:t>
      </w:r>
      <w:r w:rsidRPr="00EC0229">
        <w:rPr>
          <w:rFonts w:cs="Times New Roman"/>
        </w:rPr>
        <w:t>to be Eanred</w:t>
      </w:r>
      <w:r w:rsidR="00D142DC" w:rsidRPr="00EC0229">
        <w:rPr>
          <w:rFonts w:cs="Times New Roman"/>
        </w:rPr>
        <w:fldChar w:fldCharType="begin"/>
      </w:r>
      <w:r w:rsidR="00D142DC" w:rsidRPr="00EC0229">
        <w:instrText xml:space="preserve"> XE "Eanred" </w:instrText>
      </w:r>
      <w:r w:rsidR="00D142DC" w:rsidRPr="00EC0229">
        <w:rPr>
          <w:rFonts w:cs="Times New Roman"/>
        </w:rPr>
        <w:fldChar w:fldCharType="end"/>
      </w:r>
      <w:r w:rsidRPr="00EC0229">
        <w:rPr>
          <w:rFonts w:cs="Times New Roman"/>
        </w:rPr>
        <w:t>’s attempt to continue the sceatta coinage. This was in Period N9</w:t>
      </w:r>
      <w:r w:rsidR="00135FD1" w:rsidRPr="00EC0229">
        <w:rPr>
          <w:rFonts w:cs="Times New Roman"/>
        </w:rPr>
        <w:fldChar w:fldCharType="begin"/>
      </w:r>
      <w:r w:rsidR="00135FD1" w:rsidRPr="00EC0229">
        <w:instrText xml:space="preserve"> XE "</w:instrText>
      </w:r>
      <w:r w:rsidR="00135FD1" w:rsidRPr="00EC0229">
        <w:rPr>
          <w:rFonts w:cs="Times New Roman"/>
        </w:rPr>
        <w:instrText>Period N9</w:instrText>
      </w:r>
      <w:r w:rsidR="00135FD1" w:rsidRPr="00EC0229">
        <w:instrText xml:space="preserve">" </w:instrText>
      </w:r>
      <w:r w:rsidR="00135FD1" w:rsidRPr="00EC0229">
        <w:rPr>
          <w:rFonts w:cs="Times New Roman"/>
        </w:rPr>
        <w:fldChar w:fldCharType="end"/>
      </w:r>
      <w:r w:rsidRPr="00EC0229">
        <w:rPr>
          <w:rFonts w:cs="Times New Roman"/>
        </w:rPr>
        <w:t xml:space="preserve">, which can be regarded as a transitional phase </w:t>
      </w:r>
      <w:r w:rsidR="00E822CE" w:rsidRPr="00EC0229">
        <w:rPr>
          <w:rFonts w:cs="Times New Roman"/>
        </w:rPr>
        <w:t>before the base styca</w:t>
      </w:r>
      <w:r w:rsidRPr="00EC0229">
        <w:rPr>
          <w:rFonts w:cs="Times New Roman"/>
        </w:rPr>
        <w:t>.</w:t>
      </w:r>
      <w:r w:rsidR="00AA216D" w:rsidRPr="00EC0229">
        <w:rPr>
          <w:rStyle w:val="FootnoteReference"/>
          <w:color w:val="000000" w:themeColor="text1"/>
          <w:szCs w:val="24"/>
        </w:rPr>
        <w:t xml:space="preserve"> </w:t>
      </w:r>
      <w:r w:rsidR="00AA216D" w:rsidRPr="00EC0229">
        <w:rPr>
          <w:rStyle w:val="FootnoteReference"/>
          <w:color w:val="000000" w:themeColor="text1"/>
          <w:szCs w:val="24"/>
        </w:rPr>
        <w:footnoteReference w:id="622"/>
      </w:r>
    </w:p>
    <w:p w14:paraId="69F17198" w14:textId="77777777" w:rsidR="00A33875" w:rsidRPr="00EC0229" w:rsidRDefault="00A33875" w:rsidP="007600EA">
      <w:pPr>
        <w:pStyle w:val="NoSpacing"/>
        <w:spacing w:line="360" w:lineRule="auto"/>
        <w:ind w:left="720"/>
        <w:rPr>
          <w:rFonts w:cs="Times New Roman"/>
        </w:rPr>
      </w:pPr>
    </w:p>
    <w:p w14:paraId="6E9FCC07" w14:textId="7E28DE26" w:rsidR="00A33875" w:rsidRPr="00EC0229" w:rsidRDefault="00A33875" w:rsidP="007600EA">
      <w:pPr>
        <w:pStyle w:val="NoSpacing"/>
        <w:spacing w:line="360" w:lineRule="auto"/>
      </w:pPr>
      <w:r w:rsidRPr="00EC0229">
        <w:t>Despite the cultural achievements of eighth-century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a long-term economic decline following the disaster of Nechtansmere</w:t>
      </w:r>
      <w:r w:rsidR="00F204A1" w:rsidRPr="00EC0229">
        <w:fldChar w:fldCharType="begin"/>
      </w:r>
      <w:r w:rsidR="00F204A1" w:rsidRPr="00EC0229">
        <w:instrText xml:space="preserve"> XE "</w:instrText>
      </w:r>
      <w:r w:rsidR="00F204A1" w:rsidRPr="00EC0229">
        <w:rPr>
          <w:rStyle w:val="Hyperlink"/>
          <w:noProof/>
          <w:u w:val="none"/>
        </w:rPr>
        <w:instrText>Nechtansmere</w:instrText>
      </w:r>
      <w:r w:rsidR="00F204A1" w:rsidRPr="00EC0229">
        <w:instrText xml:space="preserve">" </w:instrText>
      </w:r>
      <w:r w:rsidR="00F204A1" w:rsidRPr="00EC0229">
        <w:fldChar w:fldCharType="end"/>
      </w:r>
      <w:r w:rsidRPr="00EC0229">
        <w:t xml:space="preserve"> seems to have set in. This was exacerbated by dynastic feuding and the diminution in the ‘tax net’ by the introduction of </w:t>
      </w:r>
      <w:r w:rsidRPr="00EC0229">
        <w:rPr>
          <w:i/>
        </w:rPr>
        <w:t>bookland</w:t>
      </w:r>
      <w:r w:rsidR="008960AE" w:rsidRPr="00EC0229">
        <w:rPr>
          <w:i/>
        </w:rPr>
        <w:fldChar w:fldCharType="begin"/>
      </w:r>
      <w:r w:rsidR="008960AE" w:rsidRPr="00EC0229">
        <w:instrText xml:space="preserve"> XE "</w:instrText>
      </w:r>
      <w:r w:rsidR="008960AE" w:rsidRPr="00EC0229">
        <w:rPr>
          <w:szCs w:val="24"/>
        </w:rPr>
        <w:instrText>bookland</w:instrText>
      </w:r>
      <w:r w:rsidR="008960AE" w:rsidRPr="00EC0229">
        <w:instrText xml:space="preserve">" </w:instrText>
      </w:r>
      <w:r w:rsidR="008960AE" w:rsidRPr="00EC0229">
        <w:rPr>
          <w:i/>
        </w:rPr>
        <w:fldChar w:fldCharType="end"/>
      </w:r>
      <w:r w:rsidRPr="00EC0229">
        <w:rPr>
          <w:i/>
        </w:rPr>
        <w:t xml:space="preserve"> </w:t>
      </w:r>
      <w:r w:rsidRPr="00EC0229">
        <w:t>in perpetuity, not just for life, after the Synod of Whitby</w:t>
      </w:r>
      <w:r w:rsidR="006B1593" w:rsidRPr="00EC0229">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fldChar w:fldCharType="end"/>
      </w:r>
      <w:r w:rsidRPr="00EC0229">
        <w:t>.</w:t>
      </w:r>
      <w:r w:rsidRPr="00EC0229">
        <w:rPr>
          <w:rStyle w:val="FootnoteReference"/>
          <w:color w:val="000000" w:themeColor="text1"/>
          <w:szCs w:val="24"/>
        </w:rPr>
        <w:footnoteReference w:id="623"/>
      </w:r>
      <w:r w:rsidRPr="00EC0229">
        <w:t xml:space="preserve">  Wilfrid</w:t>
      </w:r>
      <w:r w:rsidR="00F204A1" w:rsidRPr="00EC0229">
        <w:fldChar w:fldCharType="begin"/>
      </w:r>
      <w:r w:rsidR="00F204A1" w:rsidRPr="00EC0229">
        <w:instrText xml:space="preserve"> XE "</w:instrText>
      </w:r>
      <w:r w:rsidR="00F204A1" w:rsidRPr="00EC0229">
        <w:rPr>
          <w:rStyle w:val="Hyperlink"/>
          <w:noProof/>
          <w:u w:val="none"/>
        </w:rPr>
        <w:instrText>Wilfrid</w:instrText>
      </w:r>
      <w:r w:rsidR="00F204A1" w:rsidRPr="00EC0229">
        <w:instrText xml:space="preserve">" </w:instrText>
      </w:r>
      <w:r w:rsidR="00F204A1" w:rsidRPr="00EC0229">
        <w:fldChar w:fldCharType="end"/>
      </w:r>
      <w:r w:rsidRPr="00EC0229">
        <w:t xml:space="preserve"> pressed for greater endowments when he saw the wealth of churches abroad. This was intensified when the Pope defeated the attempt of Eadberht</w:t>
      </w:r>
      <w:r w:rsidR="00D142DC" w:rsidRPr="00EC0229">
        <w:fldChar w:fldCharType="begin"/>
      </w:r>
      <w:r w:rsidR="00D142DC" w:rsidRPr="00EC0229">
        <w:instrText xml:space="preserve"> XE "Eadberht" </w:instrText>
      </w:r>
      <w:r w:rsidR="00D142DC" w:rsidRPr="00EC0229">
        <w:fldChar w:fldCharType="end"/>
      </w:r>
      <w:r w:rsidRPr="00EC0229">
        <w:t xml:space="preserve"> and Ecgberht</w:t>
      </w:r>
      <w:r w:rsidR="00D142DC" w:rsidRPr="00EC0229">
        <w:fldChar w:fldCharType="begin"/>
      </w:r>
      <w:r w:rsidR="00D142DC" w:rsidRPr="00EC0229">
        <w:instrText xml:space="preserve"> XE "Ecgberht" </w:instrText>
      </w:r>
      <w:r w:rsidR="00D142DC" w:rsidRPr="00EC0229">
        <w:fldChar w:fldCharType="end"/>
      </w:r>
      <w:r w:rsidRPr="00EC0229">
        <w:t xml:space="preserve"> to return lands to secular ownership, but then the secular nobility came to expect to be rewarded by land grants too. At least, well-endowed religious house</w:t>
      </w:r>
      <w:r w:rsidR="00CF45AD" w:rsidRPr="00EC0229">
        <w:t>s were able to perpetuate the Golden Age</w:t>
      </w:r>
      <w:r w:rsidRPr="00EC0229">
        <w:t xml:space="preserve"> of Northumbrian literature, though the discontinuation of the Northumbrian chronicle after the start of </w:t>
      </w:r>
      <w:r w:rsidR="00F139AF" w:rsidRPr="00EC0229">
        <w:t>the ninth century</w:t>
      </w:r>
      <w:r w:rsidRPr="00EC0229">
        <w:t>, deprives us of more certain knowledge of the later kings. No complete Northumbrian charters survived the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Pr="00EC0229">
        <w:t xml:space="preserve"> invasion. </w:t>
      </w:r>
    </w:p>
    <w:p w14:paraId="03631365" w14:textId="77777777" w:rsidR="00A33875" w:rsidRPr="00EC0229" w:rsidRDefault="00A33875" w:rsidP="007600EA">
      <w:pPr>
        <w:pStyle w:val="NoSpacing"/>
        <w:spacing w:line="360" w:lineRule="auto"/>
      </w:pPr>
    </w:p>
    <w:p w14:paraId="0AEBBE12" w14:textId="12994FBF" w:rsidR="00A33875" w:rsidRPr="00EC0229" w:rsidRDefault="00217AC6" w:rsidP="007600EA">
      <w:pPr>
        <w:pStyle w:val="NoSpacing"/>
        <w:spacing w:line="360" w:lineRule="auto"/>
      </w:pPr>
      <w:r w:rsidRPr="00EC0229">
        <w:t>W</w:t>
      </w:r>
      <w:r w:rsidR="00A33875" w:rsidRPr="00EC0229">
        <w:t xml:space="preserve">hether the base styca coinage of </w:t>
      </w:r>
      <w:r w:rsidR="00F139AF" w:rsidRPr="00EC0229">
        <w:t>the ninth century</w:t>
      </w:r>
      <w:r w:rsidR="00A33875" w:rsidRPr="00EC0229">
        <w:t xml:space="preserve"> was symptomatic of long-term decline o</w:t>
      </w:r>
      <w:r w:rsidR="0073544E" w:rsidRPr="00EC0229">
        <w:t>r of vibrant economic and fiscal activity</w:t>
      </w:r>
      <w:r w:rsidRPr="00EC0229">
        <w:t xml:space="preserve"> is now considered</w:t>
      </w:r>
      <w:r w:rsidR="00A33875" w:rsidRPr="00EC0229">
        <w:t>.</w:t>
      </w:r>
    </w:p>
    <w:p w14:paraId="7413D257" w14:textId="77777777" w:rsidR="00E92AA0" w:rsidRPr="00EC0229" w:rsidRDefault="00E92AA0" w:rsidP="007600EA">
      <w:pPr>
        <w:pStyle w:val="NoSpacing"/>
        <w:spacing w:line="360" w:lineRule="auto"/>
      </w:pPr>
      <w:bookmarkStart w:id="384" w:name="PeriodsN910"/>
      <w:bookmarkEnd w:id="384"/>
    </w:p>
    <w:p w14:paraId="4A5757E2" w14:textId="77777777" w:rsidR="00D311C4" w:rsidRDefault="00D311C4">
      <w:pPr>
        <w:spacing w:line="259" w:lineRule="auto"/>
        <w:jc w:val="left"/>
        <w:rPr>
          <w:b/>
          <w:sz w:val="28"/>
          <w:szCs w:val="26"/>
        </w:rPr>
      </w:pPr>
      <w:r>
        <w:br w:type="page"/>
      </w:r>
    </w:p>
    <w:p w14:paraId="18F6C954" w14:textId="1E43F8A2" w:rsidR="00A33875" w:rsidRPr="00EC0229" w:rsidRDefault="000E1004" w:rsidP="007600EA">
      <w:pPr>
        <w:pStyle w:val="Heading2"/>
        <w:spacing w:line="360" w:lineRule="auto"/>
      </w:pPr>
      <w:bookmarkStart w:id="385" w:name="_Toc468266805"/>
      <w:r>
        <w:lastRenderedPageBreak/>
        <w:t xml:space="preserve">5.4 </w:t>
      </w:r>
      <w:r w:rsidR="00A33875" w:rsidRPr="00EC0229">
        <w:t>Copper</w:t>
      </w:r>
      <w:r w:rsidR="00E92AA0" w:rsidRPr="00EC0229">
        <w:t>-Alloy</w:t>
      </w:r>
      <w:r w:rsidR="00F204A1" w:rsidRPr="00EC0229">
        <w:fldChar w:fldCharType="begin"/>
      </w:r>
      <w:r w:rsidR="00F204A1" w:rsidRPr="00EC0229">
        <w:instrText xml:space="preserve"> XE "</w:instrText>
      </w:r>
      <w:r w:rsidR="00F204A1" w:rsidRPr="00EC0229">
        <w:rPr>
          <w:rStyle w:val="Hyperlink"/>
          <w:rFonts w:cs="Times New Roman"/>
          <w:noProof/>
          <w:u w:val="none"/>
        </w:rPr>
        <w:instrText>Copper</w:instrText>
      </w:r>
      <w:r w:rsidR="00F204A1" w:rsidRPr="00EC0229">
        <w:instrText xml:space="preserve">" </w:instrText>
      </w:r>
      <w:r w:rsidR="00F204A1" w:rsidRPr="00EC0229">
        <w:fldChar w:fldCharType="end"/>
      </w:r>
      <w:r w:rsidR="00A33875" w:rsidRPr="00EC0229">
        <w:t>: Periods N9-10: Ninth-century Northumbria</w:t>
      </w:r>
      <w:bookmarkEnd w:id="385"/>
      <w:r w:rsidR="00584C42" w:rsidRPr="00EC0229">
        <w:fldChar w:fldCharType="begin"/>
      </w:r>
      <w:r w:rsidR="00584C42" w:rsidRPr="00EC0229">
        <w:instrText xml:space="preserve"> XE "</w:instrText>
      </w:r>
      <w:r w:rsidR="00584C42" w:rsidRPr="00EC0229">
        <w:rPr>
          <w:color w:val="000000" w:themeColor="text1"/>
          <w:sz w:val="56"/>
          <w:szCs w:val="56"/>
        </w:rPr>
        <w:instrText>Northumbria</w:instrText>
      </w:r>
      <w:r w:rsidR="00584C42" w:rsidRPr="00EC0229">
        <w:instrText xml:space="preserve">" </w:instrText>
      </w:r>
      <w:r w:rsidR="00584C42" w:rsidRPr="00EC0229">
        <w:fldChar w:fldCharType="end"/>
      </w:r>
    </w:p>
    <w:p w14:paraId="2171D4AD" w14:textId="77777777" w:rsidR="00AA216D" w:rsidRPr="00EC0229" w:rsidRDefault="00A33875" w:rsidP="007600EA">
      <w:pPr>
        <w:pStyle w:val="NoSpacing"/>
        <w:spacing w:line="360" w:lineRule="auto"/>
        <w:jc w:val="right"/>
        <w:rPr>
          <w:rFonts w:cs="Times New Roman"/>
          <w:sz w:val="20"/>
          <w:szCs w:val="20"/>
        </w:rPr>
      </w:pPr>
      <w:bookmarkStart w:id="386" w:name="Nicolson"/>
      <w:bookmarkEnd w:id="386"/>
      <w:r w:rsidRPr="00EC0229">
        <w:rPr>
          <w:rFonts w:cs="Times New Roman"/>
          <w:sz w:val="20"/>
          <w:szCs w:val="20"/>
        </w:rPr>
        <w:t xml:space="preserve">‘I look upon these which our ancestors called </w:t>
      </w:r>
      <w:r w:rsidRPr="00EC0229">
        <w:rPr>
          <w:rFonts w:cs="Times New Roman"/>
          <w:i/>
          <w:sz w:val="20"/>
          <w:szCs w:val="20"/>
        </w:rPr>
        <w:t xml:space="preserve">stycas, </w:t>
      </w:r>
      <w:r w:rsidRPr="00EC0229">
        <w:rPr>
          <w:rFonts w:cs="Times New Roman"/>
          <w:sz w:val="20"/>
          <w:szCs w:val="20"/>
        </w:rPr>
        <w:t xml:space="preserve">two whereof made a farthing; </w:t>
      </w:r>
    </w:p>
    <w:p w14:paraId="4E9647DF" w14:textId="08C8FBD5" w:rsidR="00A33875" w:rsidRPr="00EC0229" w:rsidRDefault="00A33875" w:rsidP="007600EA">
      <w:pPr>
        <w:pStyle w:val="NoSpacing"/>
        <w:spacing w:line="360" w:lineRule="auto"/>
        <w:jc w:val="right"/>
        <w:rPr>
          <w:rFonts w:cs="Times New Roman"/>
          <w:sz w:val="20"/>
          <w:szCs w:val="20"/>
        </w:rPr>
      </w:pPr>
      <w:r w:rsidRPr="00EC0229">
        <w:rPr>
          <w:rFonts w:cs="Times New Roman"/>
          <w:sz w:val="20"/>
          <w:szCs w:val="20"/>
        </w:rPr>
        <w:t>like the widow’s mite in the Gospel, where we meet this word.’</w:t>
      </w:r>
    </w:p>
    <w:p w14:paraId="7650243A" w14:textId="2E8F5AF6" w:rsidR="00A33875" w:rsidRPr="00EC0229" w:rsidRDefault="00A33875" w:rsidP="007600EA">
      <w:pPr>
        <w:pStyle w:val="NoSpacing"/>
        <w:spacing w:line="360" w:lineRule="auto"/>
        <w:jc w:val="right"/>
        <w:rPr>
          <w:rFonts w:cs="Times New Roman"/>
          <w:sz w:val="20"/>
          <w:szCs w:val="20"/>
        </w:rPr>
      </w:pPr>
      <w:r w:rsidRPr="00EC0229">
        <w:rPr>
          <w:rFonts w:cs="Times New Roman"/>
          <w:sz w:val="20"/>
          <w:szCs w:val="20"/>
        </w:rPr>
        <w:t>William Nicolson, Archdeacon of Carlisle, to Ralph Thoresby of Leeds, 25</w:t>
      </w:r>
      <w:r w:rsidRPr="00EC0229">
        <w:rPr>
          <w:rFonts w:cs="Times New Roman"/>
          <w:sz w:val="20"/>
          <w:szCs w:val="20"/>
          <w:vertAlign w:val="superscript"/>
        </w:rPr>
        <w:t>th</w:t>
      </w:r>
      <w:r w:rsidRPr="00EC0229">
        <w:rPr>
          <w:rFonts w:cs="Times New Roman"/>
          <w:sz w:val="20"/>
          <w:szCs w:val="20"/>
        </w:rPr>
        <w:t xml:space="preserve"> November 1695.</w:t>
      </w:r>
      <w:r w:rsidR="00094C26" w:rsidRPr="00EC0229">
        <w:rPr>
          <w:rStyle w:val="FootnoteReference"/>
          <w:rFonts w:cs="Times New Roman"/>
          <w:sz w:val="20"/>
          <w:szCs w:val="20"/>
        </w:rPr>
        <w:footnoteReference w:id="624"/>
      </w:r>
    </w:p>
    <w:p w14:paraId="7B8ACCB0" w14:textId="77777777" w:rsidR="00A33875" w:rsidRPr="00EC0229" w:rsidRDefault="00A33875" w:rsidP="007600EA">
      <w:pPr>
        <w:pStyle w:val="NoSpacing"/>
        <w:spacing w:line="360" w:lineRule="auto"/>
        <w:rPr>
          <w:rFonts w:cs="Times New Roman"/>
        </w:rPr>
      </w:pPr>
    </w:p>
    <w:p w14:paraId="16DB7373" w14:textId="4CA432C2" w:rsidR="00A33875" w:rsidRPr="00EC0229" w:rsidRDefault="00A33875" w:rsidP="007600EA">
      <w:pPr>
        <w:pStyle w:val="NoSpacing"/>
        <w:spacing w:line="360" w:lineRule="auto"/>
        <w:rPr>
          <w:rFonts w:cs="Times New Roman"/>
        </w:rPr>
      </w:pPr>
      <w:r w:rsidRPr="00EC0229">
        <w:rPr>
          <w:rFonts w:cs="Times New Roman"/>
        </w:rPr>
        <w:t>Even though the transition from precious to base metal suffered political and economic discontinuities,</w:t>
      </w:r>
      <w:r w:rsidR="0073544E" w:rsidRPr="00EC0229">
        <w:rPr>
          <w:rFonts w:cs="Times New Roman"/>
        </w:rPr>
        <w:t xml:space="preserve"> </w:t>
      </w:r>
      <w:r w:rsidR="0073544E" w:rsidRPr="00EC0229">
        <w:rPr>
          <w:rFonts w:cs="Times New Roman"/>
          <w:i/>
        </w:rPr>
        <w:t xml:space="preserve">Table </w:t>
      </w:r>
      <w:r w:rsidR="00A33C5C" w:rsidRPr="00EC0229">
        <w:rPr>
          <w:rFonts w:cs="Times New Roman"/>
          <w:i/>
        </w:rPr>
        <w:t>4.02</w:t>
      </w:r>
      <w:r w:rsidR="0073544E" w:rsidRPr="00EC0229">
        <w:rPr>
          <w:rFonts w:cs="Times New Roman"/>
        </w:rPr>
        <w:t>,</w:t>
      </w:r>
      <w:r w:rsidRPr="00EC0229">
        <w:rPr>
          <w:rFonts w:cs="Times New Roman"/>
        </w:rPr>
        <w:t xml:space="preserve"> the process can be seen to have proceeded in a relatively uniform manner over two centuries. Northumbria</w:t>
      </w:r>
      <w:r w:rsidR="00AD6407" w:rsidRPr="00EC0229">
        <w:rPr>
          <w:rFonts w:cs="Times New Roman"/>
        </w:rPr>
        <w:t>’s</w:t>
      </w:r>
      <w:r w:rsidR="00584C42" w:rsidRPr="00EC0229">
        <w:rPr>
          <w:rFonts w:cs="Times New Roman"/>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rPr>
        <w:fldChar w:fldCharType="end"/>
      </w:r>
      <w:r w:rsidR="00F72D56" w:rsidRPr="00EC0229">
        <w:rPr>
          <w:rFonts w:cs="Times New Roman"/>
        </w:rPr>
        <w:t xml:space="preserve"> successful</w:t>
      </w:r>
      <w:r w:rsidR="00AD6407" w:rsidRPr="00EC0229">
        <w:rPr>
          <w:rFonts w:cs="Times New Roman"/>
        </w:rPr>
        <w:t xml:space="preserve"> management of</w:t>
      </w:r>
      <w:r w:rsidRPr="00EC0229">
        <w:rPr>
          <w:rFonts w:cs="Times New Roman"/>
        </w:rPr>
        <w:t xml:space="preserve"> its independent monetary strategy</w:t>
      </w:r>
      <w:r w:rsidR="00AD6407" w:rsidRPr="00EC0229">
        <w:rPr>
          <w:rFonts w:cs="Times New Roman"/>
        </w:rPr>
        <w:t>,</w:t>
      </w:r>
      <w:r w:rsidRPr="00EC0229">
        <w:rPr>
          <w:rFonts w:cs="Times New Roman"/>
        </w:rPr>
        <w:t xml:space="preserve"> having long past the point of departure from southern coinage</w:t>
      </w:r>
      <w:r w:rsidR="00AD6407" w:rsidRPr="00EC0229">
        <w:rPr>
          <w:rFonts w:cs="Times New Roman"/>
        </w:rPr>
        <w:t>, is discussed below</w:t>
      </w:r>
      <w:r w:rsidRPr="00EC0229">
        <w:rPr>
          <w:rFonts w:cs="Times New Roman"/>
        </w:rPr>
        <w:t>.</w:t>
      </w:r>
    </w:p>
    <w:p w14:paraId="7BE8D1D3" w14:textId="77777777" w:rsidR="00A33875" w:rsidRPr="00EC0229" w:rsidRDefault="00A33875" w:rsidP="007600EA">
      <w:pPr>
        <w:pStyle w:val="NoSpacing"/>
        <w:spacing w:line="360" w:lineRule="auto"/>
        <w:rPr>
          <w:rFonts w:cs="Times New Roman"/>
        </w:rPr>
      </w:pPr>
    </w:p>
    <w:p w14:paraId="2DC67DB2" w14:textId="094880D4" w:rsidR="00A33875" w:rsidRPr="00EC0229" w:rsidRDefault="00A33875" w:rsidP="007600EA">
      <w:pPr>
        <w:pStyle w:val="NoSpacing"/>
        <w:spacing w:line="360" w:lineRule="auto"/>
        <w:rPr>
          <w:rFonts w:cs="Times New Roman"/>
        </w:rPr>
      </w:pPr>
      <w:r w:rsidRPr="00EC0229">
        <w:t xml:space="preserve">Northumbrian history in the ninth century, again with reference to kings </w:t>
      </w:r>
      <w:r w:rsidR="00862F15" w:rsidRPr="00EC0229">
        <w:t>and</w:t>
      </w:r>
      <w:r w:rsidRPr="00EC0229">
        <w:t xml:space="preserve"> archbishops</w:t>
      </w:r>
      <w:r w:rsidR="00AD6407" w:rsidRPr="00EC0229">
        <w:t xml:space="preserve"> is described at pages </w:t>
      </w:r>
      <w:r w:rsidR="0073544E" w:rsidRPr="00EC0229">
        <w:fldChar w:fldCharType="begin"/>
      </w:r>
      <w:r w:rsidR="0073544E" w:rsidRPr="00EC0229">
        <w:instrText xml:space="preserve"> PAGEREF KingsC9 \h </w:instrText>
      </w:r>
      <w:r w:rsidR="0073544E" w:rsidRPr="00EC0229">
        <w:fldChar w:fldCharType="separate"/>
      </w:r>
      <w:r w:rsidR="0012026B">
        <w:rPr>
          <w:noProof/>
        </w:rPr>
        <w:t>133</w:t>
      </w:r>
      <w:r w:rsidR="0073544E" w:rsidRPr="00EC0229">
        <w:fldChar w:fldCharType="end"/>
      </w:r>
      <w:r w:rsidR="00AB6635">
        <w:t>-</w:t>
      </w:r>
      <w:r w:rsidR="0073544E" w:rsidRPr="00EC0229">
        <w:fldChar w:fldCharType="begin"/>
      </w:r>
      <w:r w:rsidR="0073544E" w:rsidRPr="00EC0229">
        <w:instrText xml:space="preserve"> PAGEREF BishopsC9 \h </w:instrText>
      </w:r>
      <w:r w:rsidR="0073544E" w:rsidRPr="00EC0229">
        <w:fldChar w:fldCharType="separate"/>
      </w:r>
      <w:r w:rsidR="0012026B">
        <w:rPr>
          <w:noProof/>
        </w:rPr>
        <w:t>134</w:t>
      </w:r>
      <w:r w:rsidR="0073544E" w:rsidRPr="00EC0229">
        <w:fldChar w:fldCharType="end"/>
      </w:r>
      <w:r w:rsidR="00AD6407" w:rsidRPr="00EC0229">
        <w:t>.</w:t>
      </w:r>
      <w:r w:rsidRPr="00EC0229">
        <w:t xml:space="preserve"> </w:t>
      </w:r>
      <w:r w:rsidR="00AD6407" w:rsidRPr="00EC0229">
        <w:t>T</w:t>
      </w:r>
      <w:r w:rsidRPr="00EC0229">
        <w:t>he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emissions of Eanred</w:t>
      </w:r>
      <w:r w:rsidR="00D142DC" w:rsidRPr="00EC0229">
        <w:fldChar w:fldCharType="begin"/>
      </w:r>
      <w:r w:rsidR="00D142DC" w:rsidRPr="00EC0229">
        <w:instrText xml:space="preserve"> XE "Eanred" </w:instrText>
      </w:r>
      <w:r w:rsidR="00D142DC" w:rsidRPr="00EC0229">
        <w:fldChar w:fldCharType="end"/>
      </w:r>
      <w:r w:rsidRPr="00EC0229">
        <w:t xml:space="preserve"> </w:t>
      </w:r>
      <w:r w:rsidR="00AD6407" w:rsidRPr="00EC0229">
        <w:t>(</w:t>
      </w:r>
      <w:r w:rsidR="000B0D99" w:rsidRPr="00EC0229">
        <w:fldChar w:fldCharType="begin"/>
      </w:r>
      <w:r w:rsidR="000B0D99" w:rsidRPr="00EC0229">
        <w:instrText xml:space="preserve"> PAGEREF PeriodN9 \h </w:instrText>
      </w:r>
      <w:r w:rsidR="000B0D99" w:rsidRPr="00EC0229">
        <w:fldChar w:fldCharType="separate"/>
      </w:r>
      <w:r w:rsidR="0012026B">
        <w:rPr>
          <w:noProof/>
        </w:rPr>
        <w:t>135</w:t>
      </w:r>
      <w:r w:rsidR="000B0D99" w:rsidRPr="00EC0229">
        <w:fldChar w:fldCharType="end"/>
      </w:r>
      <w:r w:rsidR="00AD6407" w:rsidRPr="00EC0229">
        <w:t xml:space="preserve">) are distinguish from </w:t>
      </w:r>
      <w:r w:rsidRPr="00EC0229">
        <w:t xml:space="preserve">the subsequent base stycas </w:t>
      </w:r>
      <w:r w:rsidR="0073544E" w:rsidRPr="00EC0229">
        <w:t>(</w:t>
      </w:r>
      <w:r w:rsidR="000B0D99" w:rsidRPr="00EC0229">
        <w:fldChar w:fldCharType="begin"/>
      </w:r>
      <w:r w:rsidR="000B0D99" w:rsidRPr="00EC0229">
        <w:instrText xml:space="preserve"> PAGEREF PeriodN10 \h </w:instrText>
      </w:r>
      <w:r w:rsidR="000B0D99" w:rsidRPr="00EC0229">
        <w:fldChar w:fldCharType="separate"/>
      </w:r>
      <w:r w:rsidR="0012026B">
        <w:rPr>
          <w:noProof/>
        </w:rPr>
        <w:t>141</w:t>
      </w:r>
      <w:r w:rsidR="000B0D99" w:rsidRPr="00EC0229">
        <w:fldChar w:fldCharType="end"/>
      </w:r>
      <w:r w:rsidR="0073544E" w:rsidRPr="00EC0229">
        <w:t>)</w:t>
      </w:r>
      <w:r w:rsidR="00AD6407" w:rsidRPr="00EC0229">
        <w:t>.</w:t>
      </w:r>
      <w:r w:rsidR="0073544E" w:rsidRPr="00EC0229">
        <w:t xml:space="preserve"> </w:t>
      </w:r>
      <w:r w:rsidR="00AD6407" w:rsidRPr="00EC0229">
        <w:t>The taxonomy departs significantly from Pirie</w:t>
      </w:r>
      <w:r w:rsidR="00AD6407" w:rsidRPr="00EC0229">
        <w:fldChar w:fldCharType="begin"/>
      </w:r>
      <w:r w:rsidR="00AD6407" w:rsidRPr="00EC0229">
        <w:instrText xml:space="preserve"> XE "Pirie" </w:instrText>
      </w:r>
      <w:r w:rsidR="00AD6407" w:rsidRPr="00EC0229">
        <w:fldChar w:fldCharType="end"/>
      </w:r>
      <w:r w:rsidR="00AD6407" w:rsidRPr="00EC0229">
        <w:t>’s classification presenting a far simpler approach. T</w:t>
      </w:r>
      <w:r w:rsidRPr="00EC0229">
        <w:t>he interpretative opportunities provided by hoard</w:t>
      </w:r>
      <w:r w:rsidR="00AD6407" w:rsidRPr="00EC0229">
        <w:t>s</w:t>
      </w:r>
      <w:r w:rsidRPr="00EC0229">
        <w:t xml:space="preserve"> </w:t>
      </w:r>
      <w:r w:rsidR="00010FF3" w:rsidRPr="00EC0229">
        <w:t>(</w:t>
      </w:r>
      <w:r w:rsidR="000B0D99" w:rsidRPr="00EC0229">
        <w:fldChar w:fldCharType="begin"/>
      </w:r>
      <w:r w:rsidR="000B0D99" w:rsidRPr="00EC0229">
        <w:instrText xml:space="preserve"> PAGEREF Hoard \h </w:instrText>
      </w:r>
      <w:r w:rsidR="000B0D99" w:rsidRPr="00EC0229">
        <w:fldChar w:fldCharType="separate"/>
      </w:r>
      <w:r w:rsidR="0012026B">
        <w:rPr>
          <w:noProof/>
        </w:rPr>
        <w:t>138</w:t>
      </w:r>
      <w:r w:rsidR="000B0D99" w:rsidRPr="00EC0229">
        <w:fldChar w:fldCharType="end"/>
      </w:r>
      <w:r w:rsidR="00010FF3" w:rsidRPr="00EC0229">
        <w:t xml:space="preserve">) </w:t>
      </w:r>
      <w:r w:rsidR="00AD6407" w:rsidRPr="00EC0229">
        <w:t xml:space="preserve">are distinguished from </w:t>
      </w:r>
      <w:r w:rsidRPr="00EC0229">
        <w:t>single finds</w:t>
      </w:r>
      <w:r w:rsidR="00010FF3" w:rsidRPr="00EC0229">
        <w:t xml:space="preserve"> (</w:t>
      </w:r>
      <w:r w:rsidR="000B0D99" w:rsidRPr="00EC0229">
        <w:fldChar w:fldCharType="begin"/>
      </w:r>
      <w:r w:rsidR="000B0D99" w:rsidRPr="00EC0229">
        <w:instrText xml:space="preserve"> PAGEREF Single \h </w:instrText>
      </w:r>
      <w:r w:rsidR="000B0D99" w:rsidRPr="00EC0229">
        <w:fldChar w:fldCharType="separate"/>
      </w:r>
      <w:r w:rsidR="0012026B">
        <w:rPr>
          <w:noProof/>
        </w:rPr>
        <w:t>141</w:t>
      </w:r>
      <w:r w:rsidR="000B0D99" w:rsidRPr="00EC0229">
        <w:fldChar w:fldCharType="end"/>
      </w:r>
      <w:r w:rsidR="00010FF3" w:rsidRPr="00EC0229">
        <w:t>).</w:t>
      </w:r>
      <w:r w:rsidR="00AD6407" w:rsidRPr="00EC0229">
        <w:t xml:space="preserve"> Finally, </w:t>
      </w:r>
      <w:r w:rsidRPr="00EC0229">
        <w:t>monetary affairs between the fall of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and the first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00AD6407" w:rsidRPr="00EC0229">
        <w:t xml:space="preserve"> pennies of York are briefly considered (</w:t>
      </w:r>
      <w:r w:rsidR="000B0D99" w:rsidRPr="00EC0229">
        <w:fldChar w:fldCharType="begin"/>
      </w:r>
      <w:r w:rsidR="000B0D99" w:rsidRPr="00EC0229">
        <w:instrText xml:space="preserve"> PAGEREF Viking \h </w:instrText>
      </w:r>
      <w:r w:rsidR="000B0D99" w:rsidRPr="00EC0229">
        <w:fldChar w:fldCharType="separate"/>
      </w:r>
      <w:r w:rsidR="0012026B">
        <w:rPr>
          <w:noProof/>
        </w:rPr>
        <w:t>81</w:t>
      </w:r>
      <w:r w:rsidR="000B0D99" w:rsidRPr="00EC0229">
        <w:fldChar w:fldCharType="end"/>
      </w:r>
      <w:r w:rsidR="00AD6407" w:rsidRPr="00EC0229">
        <w:t>).</w:t>
      </w:r>
    </w:p>
    <w:p w14:paraId="32D0DAD3" w14:textId="77777777" w:rsidR="00A33875" w:rsidRPr="00EC0229" w:rsidRDefault="00A33875" w:rsidP="007600EA">
      <w:pPr>
        <w:pStyle w:val="NoSpacing"/>
        <w:spacing w:line="360" w:lineRule="auto"/>
        <w:rPr>
          <w:rFonts w:cs="Times New Roman"/>
        </w:rPr>
      </w:pPr>
    </w:p>
    <w:p w14:paraId="273C16A5" w14:textId="289F7B8C" w:rsidR="00947762" w:rsidRPr="00EC0229" w:rsidRDefault="008259E1" w:rsidP="007600EA">
      <w:pPr>
        <w:pStyle w:val="Heading3"/>
        <w:spacing w:line="360" w:lineRule="auto"/>
      </w:pPr>
      <w:bookmarkStart w:id="387" w:name="_Toc468266806"/>
      <w:r>
        <w:t>5.4.1</w:t>
      </w:r>
      <w:r w:rsidR="000E1004">
        <w:t xml:space="preserve"> </w:t>
      </w:r>
      <w:r w:rsidR="006B6170" w:rsidRPr="00EC0229">
        <w:t>Historical B</w:t>
      </w:r>
      <w:r w:rsidR="00A33875" w:rsidRPr="00EC0229">
        <w:t>ackground:</w:t>
      </w:r>
      <w:bookmarkEnd w:id="387"/>
      <w:r w:rsidR="00A33875" w:rsidRPr="00EC0229">
        <w:t xml:space="preserve"> </w:t>
      </w:r>
    </w:p>
    <w:p w14:paraId="11679D3B" w14:textId="240462A8" w:rsidR="00A33875" w:rsidRPr="00EC0229" w:rsidRDefault="008259E1" w:rsidP="007600EA">
      <w:pPr>
        <w:pStyle w:val="Heading4"/>
        <w:spacing w:line="360" w:lineRule="auto"/>
      </w:pPr>
      <w:bookmarkStart w:id="388" w:name="KingsC9"/>
      <w:bookmarkStart w:id="389" w:name="_Toc468266807"/>
      <w:bookmarkEnd w:id="388"/>
      <w:r>
        <w:rPr>
          <w:b/>
        </w:rPr>
        <w:t>5.4.1.1</w:t>
      </w:r>
      <w:r>
        <w:rPr>
          <w:b/>
        </w:rPr>
        <w:tab/>
      </w:r>
      <w:r w:rsidR="00A33875" w:rsidRPr="008E6548">
        <w:rPr>
          <w:b/>
        </w:rPr>
        <w:t>Kings</w:t>
      </w:r>
      <w:r w:rsidR="00A33875" w:rsidRPr="00EC0229">
        <w:rPr>
          <w:rStyle w:val="FootnoteReference"/>
        </w:rPr>
        <w:footnoteReference w:id="625"/>
      </w:r>
      <w:bookmarkEnd w:id="389"/>
      <w:r w:rsidR="00A33875" w:rsidRPr="00EC0229">
        <w:t xml:space="preserve"> </w:t>
      </w:r>
    </w:p>
    <w:p w14:paraId="4F07AC56" w14:textId="615FAA77" w:rsidR="00A33875" w:rsidRPr="00EC0229" w:rsidRDefault="00A33875" w:rsidP="007600EA">
      <w:pPr>
        <w:spacing w:line="360" w:lineRule="auto"/>
        <w:rPr>
          <w:rFonts w:cs="Times New Roman"/>
          <w:szCs w:val="24"/>
        </w:rPr>
      </w:pPr>
      <w:r w:rsidRPr="00EC0229">
        <w:rPr>
          <w:rFonts w:cs="Times New Roman"/>
          <w:szCs w:val="24"/>
        </w:rPr>
        <w:t xml:space="preserve">In </w:t>
      </w:r>
      <w:r w:rsidR="00F139AF" w:rsidRPr="00EC0229">
        <w:rPr>
          <w:rFonts w:cs="Times New Roman"/>
          <w:szCs w:val="24"/>
        </w:rPr>
        <w:t>the ninth century</w:t>
      </w:r>
      <w:r w:rsidRPr="00EC0229">
        <w:rPr>
          <w:rFonts w:cs="Times New Roman"/>
          <w:szCs w:val="24"/>
        </w:rPr>
        <w:t>, the dynasty of Eardwulf brought some stability, particular in the long reign of Eanred</w:t>
      </w:r>
      <w:r w:rsidR="00D142DC" w:rsidRPr="00EC0229">
        <w:rPr>
          <w:rFonts w:cs="Times New Roman"/>
          <w:szCs w:val="24"/>
        </w:rPr>
        <w:fldChar w:fldCharType="begin"/>
      </w:r>
      <w:r w:rsidR="00D142DC" w:rsidRPr="00EC0229">
        <w:instrText xml:space="preserve"> XE "Eanred" </w:instrText>
      </w:r>
      <w:r w:rsidR="00D142DC" w:rsidRPr="00EC0229">
        <w:rPr>
          <w:rFonts w:cs="Times New Roman"/>
          <w:szCs w:val="24"/>
        </w:rPr>
        <w:fldChar w:fldCharType="end"/>
      </w:r>
      <w:r w:rsidRPr="00EC0229">
        <w:rPr>
          <w:rFonts w:cs="Times New Roman"/>
          <w:szCs w:val="24"/>
        </w:rPr>
        <w:t xml:space="preserve"> and the resumption of coin production: ‘The styca could be seen as evidence of efficient royal control of the economy</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rFonts w:cs="Times New Roman"/>
          <w:szCs w:val="24"/>
        </w:rPr>
        <w:fldChar w:fldCharType="end"/>
      </w:r>
      <w:r w:rsidRPr="00EC0229">
        <w:rPr>
          <w:rFonts w:cs="Times New Roman"/>
          <w:szCs w:val="24"/>
        </w:rPr>
        <w:t xml:space="preserve"> and a sensitive response to changing circumstances rather than as evidence of decline.’</w:t>
      </w:r>
      <w:r w:rsidRPr="00EC0229">
        <w:rPr>
          <w:rStyle w:val="FootnoteReference"/>
          <w:rFonts w:cs="Times New Roman"/>
          <w:szCs w:val="24"/>
        </w:rPr>
        <w:footnoteReference w:id="626"/>
      </w:r>
      <w:r w:rsidRPr="00EC0229">
        <w:rPr>
          <w:rFonts w:cs="Times New Roman"/>
          <w:szCs w:val="24"/>
        </w:rPr>
        <w:t xml:space="preserve"> In contrast to this now accepted view, Dolley held to the earlier convention that: ‘Northumbria</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szCs w:val="24"/>
        </w:rPr>
        <w:fldChar w:fldCharType="end"/>
      </w:r>
      <w:r w:rsidRPr="00EC0229">
        <w:rPr>
          <w:rFonts w:cs="Times New Roman"/>
          <w:szCs w:val="24"/>
        </w:rPr>
        <w:t>, victim of Scandinavian plundering, still held aloof, but her poverty is mirrored in the substitution of copper for silver as the metal of her coinage. The coins remain essentially proto-pennies…but their purpose can only have been fiscal, a reminder of the neglected tax function of the whole of later 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coinage.’ </w:t>
      </w:r>
      <w:r w:rsidRPr="00EC0229">
        <w:rPr>
          <w:rStyle w:val="FootnoteReference"/>
          <w:rFonts w:cs="Times New Roman"/>
          <w:szCs w:val="24"/>
        </w:rPr>
        <w:footnoteReference w:id="627"/>
      </w:r>
    </w:p>
    <w:p w14:paraId="746B3927" w14:textId="62D1BEF9" w:rsidR="00A33875" w:rsidRPr="00EC0229" w:rsidRDefault="00A33875" w:rsidP="007600EA">
      <w:pPr>
        <w:spacing w:line="360" w:lineRule="auto"/>
        <w:rPr>
          <w:rFonts w:cs="Times New Roman"/>
          <w:szCs w:val="24"/>
        </w:rPr>
      </w:pPr>
      <w:r w:rsidRPr="00EC0229">
        <w:rPr>
          <w:rFonts w:cs="Times New Roman"/>
          <w:szCs w:val="24"/>
        </w:rPr>
        <w:lastRenderedPageBreak/>
        <w:t>Little is known of Eardwulf’s successor Ælfwald</w:t>
      </w:r>
      <w:r w:rsidR="004C29A9" w:rsidRPr="00EC0229">
        <w:rPr>
          <w:rFonts w:cs="Times New Roman"/>
          <w:szCs w:val="24"/>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rFonts w:cs="Times New Roman"/>
          <w:szCs w:val="24"/>
        </w:rPr>
        <w:fldChar w:fldCharType="end"/>
      </w:r>
      <w:r w:rsidRPr="00EC0229">
        <w:rPr>
          <w:rFonts w:cs="Times New Roman"/>
          <w:szCs w:val="24"/>
        </w:rPr>
        <w:t xml:space="preserve"> II (806-8). Later records (Roger of Wendover’s</w:t>
      </w:r>
      <w:r w:rsidRPr="00EC0229">
        <w:rPr>
          <w:rFonts w:cs="Times New Roman"/>
          <w:i/>
          <w:iCs/>
          <w:szCs w:val="24"/>
        </w:rPr>
        <w:t xml:space="preserve"> Flores Historiarum)</w:t>
      </w:r>
      <w:r w:rsidRPr="00EC0229">
        <w:rPr>
          <w:rFonts w:cs="Times New Roman"/>
          <w:szCs w:val="24"/>
        </w:rPr>
        <w:t xml:space="preserve"> are probably unreliable.</w:t>
      </w:r>
      <w:r w:rsidRPr="00EC0229">
        <w:rPr>
          <w:rStyle w:val="FootnoteReference"/>
          <w:rFonts w:cs="Times New Roman"/>
          <w:szCs w:val="24"/>
        </w:rPr>
        <w:footnoteReference w:id="628"/>
      </w:r>
      <w:r w:rsidR="008D6B10" w:rsidRPr="00EC0229">
        <w:rPr>
          <w:rFonts w:cs="Times New Roman"/>
          <w:szCs w:val="24"/>
        </w:rPr>
        <w:t xml:space="preserve"> On stylistic grounds, </w:t>
      </w:r>
      <w:r w:rsidRPr="00EC0229">
        <w:rPr>
          <w:rFonts w:cs="Times New Roman"/>
          <w:szCs w:val="24"/>
        </w:rPr>
        <w:t>coins in this name</w:t>
      </w:r>
      <w:r w:rsidR="008D6B10" w:rsidRPr="00EC0229">
        <w:rPr>
          <w:rFonts w:cs="Times New Roman"/>
          <w:szCs w:val="24"/>
        </w:rPr>
        <w:t xml:space="preserve"> are here</w:t>
      </w:r>
      <w:r w:rsidRPr="00EC0229">
        <w:rPr>
          <w:rFonts w:cs="Times New Roman"/>
          <w:szCs w:val="24"/>
        </w:rPr>
        <w:t xml:space="preserve"> </w:t>
      </w:r>
      <w:r w:rsidR="008D6B10" w:rsidRPr="00EC0229">
        <w:rPr>
          <w:rFonts w:cs="Times New Roman"/>
          <w:szCs w:val="24"/>
        </w:rPr>
        <w:t xml:space="preserve">attributed </w:t>
      </w:r>
      <w:r w:rsidRPr="00EC0229">
        <w:rPr>
          <w:rFonts w:cs="Times New Roman"/>
          <w:szCs w:val="24"/>
        </w:rPr>
        <w:t>to Ælfwald I</w:t>
      </w:r>
      <w:r w:rsidR="00010FF3" w:rsidRPr="00EC0229">
        <w:rPr>
          <w:rFonts w:cs="Times New Roman"/>
          <w:szCs w:val="24"/>
        </w:rPr>
        <w:t xml:space="preserve"> (</w:t>
      </w:r>
      <w:r w:rsidR="000B0D99" w:rsidRPr="00EC0229">
        <w:rPr>
          <w:rFonts w:cs="Times New Roman"/>
          <w:szCs w:val="24"/>
        </w:rPr>
        <w:fldChar w:fldCharType="begin"/>
      </w:r>
      <w:r w:rsidR="000B0D99" w:rsidRPr="00EC0229">
        <w:rPr>
          <w:rFonts w:cs="Times New Roman"/>
          <w:szCs w:val="24"/>
        </w:rPr>
        <w:instrText xml:space="preserve"> PAGEREF ÆlfwaldI \h </w:instrText>
      </w:r>
      <w:r w:rsidR="000B0D99" w:rsidRPr="00EC0229">
        <w:rPr>
          <w:rFonts w:cs="Times New Roman"/>
          <w:szCs w:val="24"/>
        </w:rPr>
      </w:r>
      <w:r w:rsidR="000B0D99" w:rsidRPr="00EC0229">
        <w:rPr>
          <w:rFonts w:cs="Times New Roman"/>
          <w:szCs w:val="24"/>
        </w:rPr>
        <w:fldChar w:fldCharType="separate"/>
      </w:r>
      <w:r w:rsidR="0012026B">
        <w:rPr>
          <w:rFonts w:cs="Times New Roman"/>
          <w:noProof/>
          <w:szCs w:val="24"/>
        </w:rPr>
        <w:t>127</w:t>
      </w:r>
      <w:r w:rsidR="000B0D99" w:rsidRPr="00EC0229">
        <w:rPr>
          <w:rFonts w:cs="Times New Roman"/>
          <w:szCs w:val="24"/>
        </w:rPr>
        <w:fldChar w:fldCharType="end"/>
      </w:r>
      <w:r w:rsidR="00010FF3" w:rsidRPr="00EC0229">
        <w:rPr>
          <w:rFonts w:cs="Times New Roman"/>
          <w:szCs w:val="24"/>
        </w:rPr>
        <w:t>).</w:t>
      </w:r>
    </w:p>
    <w:p w14:paraId="507C8C2C" w14:textId="391E09F9" w:rsidR="00A33875" w:rsidRPr="00EC0229" w:rsidRDefault="00A33875" w:rsidP="007600EA">
      <w:pPr>
        <w:spacing w:line="360" w:lineRule="auto"/>
        <w:rPr>
          <w:rFonts w:cs="Times New Roman"/>
          <w:szCs w:val="24"/>
        </w:rPr>
      </w:pPr>
      <w:r w:rsidRPr="00EC0229">
        <w:rPr>
          <w:rFonts w:cs="Times New Roman"/>
          <w:szCs w:val="24"/>
        </w:rPr>
        <w:t>The reign of Eanred</w:t>
      </w:r>
      <w:r w:rsidR="00D142DC" w:rsidRPr="00EC0229">
        <w:rPr>
          <w:rFonts w:cs="Times New Roman"/>
          <w:szCs w:val="24"/>
        </w:rPr>
        <w:fldChar w:fldCharType="begin"/>
      </w:r>
      <w:r w:rsidR="00D142DC" w:rsidRPr="00EC0229">
        <w:instrText xml:space="preserve"> XE "Eanred" </w:instrText>
      </w:r>
      <w:r w:rsidR="00D142DC" w:rsidRPr="00EC0229">
        <w:rPr>
          <w:rFonts w:cs="Times New Roman"/>
          <w:szCs w:val="24"/>
        </w:rPr>
        <w:fldChar w:fldCharType="end"/>
      </w:r>
      <w:r w:rsidRPr="00EC0229">
        <w:rPr>
          <w:rFonts w:cs="Times New Roman"/>
          <w:szCs w:val="24"/>
        </w:rPr>
        <w:t xml:space="preserve"> (808?</w:t>
      </w:r>
      <w:r w:rsidR="00AB6635">
        <w:rPr>
          <w:rFonts w:cs="Times New Roman"/>
          <w:szCs w:val="24"/>
        </w:rPr>
        <w:t>-</w:t>
      </w:r>
      <w:r w:rsidRPr="00EC0229">
        <w:rPr>
          <w:rFonts w:cs="Times New Roman"/>
          <w:szCs w:val="24"/>
        </w:rPr>
        <w:t>840), son of Eardwulf, may have started after Ælfwald</w:t>
      </w:r>
      <w:r w:rsidR="004C29A9" w:rsidRPr="00EC0229">
        <w:rPr>
          <w:rFonts w:cs="Times New Roman"/>
          <w:szCs w:val="24"/>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rFonts w:cs="Times New Roman"/>
          <w:szCs w:val="24"/>
        </w:rPr>
        <w:fldChar w:fldCharType="end"/>
      </w:r>
      <w:r w:rsidRPr="00EC0229">
        <w:rPr>
          <w:rFonts w:cs="Times New Roman"/>
          <w:szCs w:val="24"/>
        </w:rPr>
        <w:t xml:space="preserve"> II or a temporarily restored Eardwulf.</w:t>
      </w:r>
      <w:bookmarkStart w:id="390" w:name="_Ref432496491"/>
      <w:r w:rsidRPr="00EC0229">
        <w:rPr>
          <w:rStyle w:val="FootnoteReference"/>
          <w:rFonts w:cs="Times New Roman"/>
          <w:szCs w:val="24"/>
        </w:rPr>
        <w:footnoteReference w:id="629"/>
      </w:r>
      <w:bookmarkEnd w:id="390"/>
      <w:r w:rsidRPr="00EC0229">
        <w:rPr>
          <w:rFonts w:cs="Times New Roman"/>
          <w:szCs w:val="24"/>
        </w:rPr>
        <w:t xml:space="preserve"> The 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Chronicle records that in 829, Ecgberht</w:t>
      </w:r>
      <w:r w:rsidR="00D142DC" w:rsidRPr="00EC0229">
        <w:rPr>
          <w:rFonts w:cs="Times New Roman"/>
          <w:szCs w:val="24"/>
        </w:rPr>
        <w:fldChar w:fldCharType="begin"/>
      </w:r>
      <w:r w:rsidR="00D142DC" w:rsidRPr="00EC0229">
        <w:instrText xml:space="preserve"> XE "Ecgberht" </w:instrText>
      </w:r>
      <w:r w:rsidR="00D142DC" w:rsidRPr="00EC0229">
        <w:rPr>
          <w:rFonts w:cs="Times New Roman"/>
          <w:szCs w:val="24"/>
        </w:rPr>
        <w:fldChar w:fldCharType="end"/>
      </w:r>
      <w:r w:rsidRPr="00EC0229">
        <w:rPr>
          <w:rFonts w:cs="Times New Roman"/>
          <w:szCs w:val="24"/>
        </w:rPr>
        <w:t xml:space="preserve"> of Wessex ‘conquered Mercia and all that was south of the Humber’, so becoming the eighth </w:t>
      </w:r>
      <w:r w:rsidRPr="00EC0229">
        <w:rPr>
          <w:rFonts w:cs="Times New Roman"/>
          <w:i/>
          <w:szCs w:val="24"/>
        </w:rPr>
        <w:t>bretwalda.</w:t>
      </w:r>
      <w:r w:rsidRPr="00EC0229">
        <w:rPr>
          <w:rStyle w:val="FootnoteReference"/>
          <w:rFonts w:cs="Times New Roman"/>
          <w:szCs w:val="24"/>
        </w:rPr>
        <w:footnoteReference w:id="630"/>
      </w:r>
      <w:r w:rsidRPr="00EC0229">
        <w:rPr>
          <w:rFonts w:cs="Times New Roman"/>
          <w:szCs w:val="24"/>
        </w:rPr>
        <w:t xml:space="preserve"> Eanred ‘offered him submission and peace’ at Dore, near Sheffield.</w:t>
      </w:r>
    </w:p>
    <w:p w14:paraId="551A4954" w14:textId="736F6756" w:rsidR="00A33875" w:rsidRPr="00EC0229" w:rsidRDefault="00A33875" w:rsidP="007600EA">
      <w:pPr>
        <w:spacing w:line="360" w:lineRule="auto"/>
        <w:rPr>
          <w:rFonts w:cs="Times New Roman"/>
          <w:szCs w:val="24"/>
        </w:rPr>
      </w:pPr>
      <w:r w:rsidRPr="00EC0229">
        <w:rPr>
          <w:rFonts w:cs="Times New Roman"/>
          <w:szCs w:val="24"/>
        </w:rPr>
        <w:t>During the tenure of Eanbald</w:t>
      </w:r>
      <w:r w:rsidR="00D142DC" w:rsidRPr="00EC0229">
        <w:rPr>
          <w:rFonts w:cs="Times New Roman"/>
          <w:szCs w:val="24"/>
        </w:rPr>
        <w:fldChar w:fldCharType="begin"/>
      </w:r>
      <w:r w:rsidR="00D142DC" w:rsidRPr="00EC0229">
        <w:instrText xml:space="preserve"> XE "Eanbald" </w:instrText>
      </w:r>
      <w:r w:rsidR="00D142DC" w:rsidRPr="00EC0229">
        <w:rPr>
          <w:rFonts w:cs="Times New Roman"/>
          <w:szCs w:val="24"/>
        </w:rPr>
        <w:fldChar w:fldCharType="end"/>
      </w:r>
      <w:r w:rsidRPr="00EC0229">
        <w:rPr>
          <w:rFonts w:cs="Times New Roman"/>
          <w:szCs w:val="24"/>
        </w:rPr>
        <w:t xml:space="preserve"> II, i.e. by 835, Eanred</w:t>
      </w:r>
      <w:r w:rsidR="00D142DC" w:rsidRPr="00EC0229">
        <w:rPr>
          <w:rFonts w:cs="Times New Roman"/>
          <w:szCs w:val="24"/>
        </w:rPr>
        <w:fldChar w:fldCharType="begin"/>
      </w:r>
      <w:r w:rsidR="00D142DC" w:rsidRPr="00EC0229">
        <w:instrText xml:space="preserve"> XE "Eanred" </w:instrText>
      </w:r>
      <w:r w:rsidR="00D142DC" w:rsidRPr="00EC0229">
        <w:rPr>
          <w:rFonts w:cs="Times New Roman"/>
          <w:szCs w:val="24"/>
        </w:rPr>
        <w:fldChar w:fldCharType="end"/>
      </w:r>
      <w:r w:rsidR="008D6B10" w:rsidRPr="00EC0229">
        <w:rPr>
          <w:rFonts w:cs="Times New Roman"/>
          <w:szCs w:val="24"/>
        </w:rPr>
        <w:t xml:space="preserve"> initiated what may be</w:t>
      </w:r>
      <w:r w:rsidRPr="00EC0229">
        <w:rPr>
          <w:rFonts w:cs="Times New Roman"/>
          <w:szCs w:val="24"/>
        </w:rPr>
        <w:t xml:space="preserve"> deem</w:t>
      </w:r>
      <w:r w:rsidR="008D6B10" w:rsidRPr="00EC0229">
        <w:rPr>
          <w:rFonts w:cs="Times New Roman"/>
          <w:szCs w:val="24"/>
        </w:rPr>
        <w:t>ed</w:t>
      </w:r>
      <w:r w:rsidRPr="00EC0229">
        <w:rPr>
          <w:rFonts w:cs="Times New Roman"/>
          <w:szCs w:val="24"/>
        </w:rPr>
        <w:t xml:space="preserve"> to be a continuation of the sceatta</w:t>
      </w:r>
      <w:r w:rsidR="00D142DC" w:rsidRPr="00EC0229">
        <w:rPr>
          <w:rFonts w:cs="Times New Roman"/>
          <w:szCs w:val="24"/>
        </w:rPr>
        <w:fldChar w:fldCharType="begin"/>
      </w:r>
      <w:r w:rsidR="00D142DC" w:rsidRPr="00EC0229">
        <w:instrText xml:space="preserve"> XE "sceatta" </w:instrText>
      </w:r>
      <w:r w:rsidR="00D142DC" w:rsidRPr="00EC0229">
        <w:rPr>
          <w:rFonts w:cs="Times New Roman"/>
          <w:szCs w:val="24"/>
        </w:rPr>
        <w:fldChar w:fldCharType="end"/>
      </w:r>
      <w:r w:rsidRPr="00EC0229">
        <w:rPr>
          <w:rFonts w:cs="Times New Roman"/>
          <w:szCs w:val="24"/>
        </w:rPr>
        <w:t xml:space="preserve"> coinage, albeit in poor silver, issued by named moneyers. A second emission, dated after Wulfsige’s tenure, introduced base stycas in substantial numbers.</w:t>
      </w:r>
      <w:r w:rsidRPr="00EC0229">
        <w:rPr>
          <w:rStyle w:val="FootnoteReference"/>
          <w:rFonts w:cs="Times New Roman"/>
          <w:szCs w:val="24"/>
        </w:rPr>
        <w:footnoteReference w:id="631"/>
      </w:r>
      <w:r w:rsidRPr="00EC0229">
        <w:rPr>
          <w:rFonts w:cs="Times New Roman"/>
          <w:szCs w:val="24"/>
        </w:rPr>
        <w:t xml:space="preserve"> The recorded northern regnal dates in </w:t>
      </w:r>
      <w:r w:rsidR="00F139AF" w:rsidRPr="00EC0229">
        <w:rPr>
          <w:rFonts w:cs="Times New Roman"/>
          <w:szCs w:val="24"/>
        </w:rPr>
        <w:t>the ninth century</w:t>
      </w:r>
      <w:r w:rsidRPr="00EC0229">
        <w:rPr>
          <w:rFonts w:cs="Times New Roman"/>
          <w:szCs w:val="24"/>
        </w:rPr>
        <w:t xml:space="preserve"> are possibly quite unreliable. The reign of Eanred’s son Æthelred</w:t>
      </w:r>
      <w:r w:rsidR="00D142DC" w:rsidRPr="00EC0229">
        <w:rPr>
          <w:rFonts w:cs="Times New Roman"/>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szCs w:val="24"/>
        </w:rPr>
        <w:fldChar w:fldCharType="end"/>
      </w:r>
      <w:r w:rsidRPr="00EC0229">
        <w:rPr>
          <w:rFonts w:cs="Times New Roman"/>
          <w:szCs w:val="24"/>
        </w:rPr>
        <w:t xml:space="preserve"> II (first reign conventionally given as 841-843/4) was briefly interrupted, perhaps in </w:t>
      </w:r>
      <w:r w:rsidRPr="00EC0229">
        <w:rPr>
          <w:rFonts w:cs="Times New Roman"/>
          <w:bCs/>
          <w:szCs w:val="24"/>
        </w:rPr>
        <w:t xml:space="preserve">843/4, </w:t>
      </w:r>
      <w:r w:rsidRPr="00EC0229">
        <w:rPr>
          <w:rFonts w:cs="Times New Roman"/>
          <w:szCs w:val="24"/>
        </w:rPr>
        <w:t>by the l</w:t>
      </w:r>
      <w:r w:rsidRPr="00EC0229">
        <w:rPr>
          <w:rFonts w:cs="Times New Roman"/>
          <w:bCs/>
          <w:szCs w:val="24"/>
        </w:rPr>
        <w:t xml:space="preserve">ittle-known </w:t>
      </w:r>
      <w:r w:rsidRPr="00EC0229">
        <w:rPr>
          <w:rFonts w:cs="Times New Roman"/>
          <w:szCs w:val="24"/>
        </w:rPr>
        <w:t>usurper R</w:t>
      </w:r>
      <w:r w:rsidRPr="00EC0229">
        <w:rPr>
          <w:rFonts w:cs="Times New Roman"/>
          <w:bCs/>
          <w:szCs w:val="24"/>
        </w:rPr>
        <w:t>e</w:t>
      </w:r>
      <w:r w:rsidRPr="00EC0229">
        <w:rPr>
          <w:rFonts w:cs="Times New Roman"/>
          <w:szCs w:val="24"/>
        </w:rPr>
        <w:t xml:space="preserve">dwulf. </w:t>
      </w:r>
      <w:r w:rsidRPr="00EC0229">
        <w:rPr>
          <w:rFonts w:cs="Times New Roman"/>
          <w:bCs/>
          <w:szCs w:val="24"/>
        </w:rPr>
        <w:t xml:space="preserve"> Styca production continued. </w:t>
      </w:r>
      <w:r w:rsidRPr="00EC0229">
        <w:rPr>
          <w:rFonts w:cs="Times New Roman"/>
          <w:szCs w:val="24"/>
        </w:rPr>
        <w:t xml:space="preserve">Æthelred II was restored and served until his assassination in 849/50. The moneyer Eardwulf was prolific during the restoration, issuing stycas in brass. </w:t>
      </w:r>
    </w:p>
    <w:p w14:paraId="6C7BF115" w14:textId="09DB9100" w:rsidR="00A33875" w:rsidRPr="00EC0229" w:rsidRDefault="00A33875" w:rsidP="007600EA">
      <w:pPr>
        <w:spacing w:line="360" w:lineRule="auto"/>
        <w:rPr>
          <w:rFonts w:cs="Times New Roman"/>
          <w:iCs/>
          <w:szCs w:val="24"/>
        </w:rPr>
      </w:pPr>
      <w:r w:rsidRPr="00EC0229">
        <w:rPr>
          <w:rFonts w:cs="Times New Roman"/>
          <w:szCs w:val="24"/>
        </w:rPr>
        <w:t>Osberht</w:t>
      </w:r>
      <w:r w:rsidR="00D142DC" w:rsidRPr="00EC0229">
        <w:rPr>
          <w:rFonts w:cs="Times New Roman"/>
          <w:szCs w:val="24"/>
        </w:rPr>
        <w:fldChar w:fldCharType="begin"/>
      </w:r>
      <w:r w:rsidR="00D142DC" w:rsidRPr="00EC0229">
        <w:instrText xml:space="preserve"> XE "Osberht" </w:instrText>
      </w:r>
      <w:r w:rsidR="00D142DC" w:rsidRPr="00EC0229">
        <w:rPr>
          <w:rFonts w:cs="Times New Roman"/>
          <w:szCs w:val="24"/>
        </w:rPr>
        <w:fldChar w:fldCharType="end"/>
      </w:r>
      <w:r w:rsidRPr="00EC0229">
        <w:rPr>
          <w:rFonts w:cs="Times New Roman"/>
          <w:szCs w:val="24"/>
        </w:rPr>
        <w:t xml:space="preserve"> (849-62) possibly a kinsman of </w:t>
      </w:r>
      <w:r w:rsidRPr="00EC0229">
        <w:rPr>
          <w:rFonts w:cs="Times New Roman"/>
          <w:bCs/>
          <w:szCs w:val="24"/>
        </w:rPr>
        <w:t>Redwulf,</w:t>
      </w:r>
      <w:r w:rsidR="00D142DC" w:rsidRPr="00EC0229">
        <w:rPr>
          <w:rFonts w:cs="Times New Roman"/>
          <w:bCs/>
          <w:szCs w:val="24"/>
        </w:rPr>
        <w:fldChar w:fldCharType="begin"/>
      </w:r>
      <w:r w:rsidR="00D142DC" w:rsidRPr="00EC0229">
        <w:instrText xml:space="preserve"> XE "Redwulf" </w:instrText>
      </w:r>
      <w:r w:rsidR="00D142DC" w:rsidRPr="00EC0229">
        <w:rPr>
          <w:rFonts w:cs="Times New Roman"/>
          <w:bCs/>
          <w:szCs w:val="24"/>
        </w:rPr>
        <w:fldChar w:fldCharType="end"/>
      </w:r>
      <w:r w:rsidRPr="00EC0229">
        <w:rPr>
          <w:rFonts w:cs="Times New Roman"/>
          <w:bCs/>
          <w:szCs w:val="24"/>
        </w:rPr>
        <w:t xml:space="preserve"> was </w:t>
      </w:r>
      <w:r w:rsidRPr="00EC0229">
        <w:rPr>
          <w:rFonts w:cs="Times New Roman"/>
          <w:szCs w:val="24"/>
        </w:rPr>
        <w:t xml:space="preserve">overthrown </w:t>
      </w:r>
      <w:r w:rsidRPr="00EC0229">
        <w:rPr>
          <w:rFonts w:cs="Times New Roman"/>
          <w:bCs/>
          <w:szCs w:val="24"/>
        </w:rPr>
        <w:t>by Ælla</w:t>
      </w:r>
      <w:r w:rsidRPr="00EC0229">
        <w:rPr>
          <w:rFonts w:cs="Times New Roman"/>
          <w:szCs w:val="24"/>
        </w:rPr>
        <w:t xml:space="preserve"> (862-7), recorded to be a ‘tyrant’. Subsequently </w:t>
      </w:r>
      <w:r w:rsidRPr="00EC0229">
        <w:rPr>
          <w:rFonts w:cs="Times New Roman"/>
          <w:bCs/>
          <w:szCs w:val="24"/>
        </w:rPr>
        <w:t>Ælla</w:t>
      </w:r>
      <w:r w:rsidRPr="00EC0229">
        <w:rPr>
          <w:rFonts w:cs="Times New Roman"/>
          <w:szCs w:val="24"/>
        </w:rPr>
        <w:t xml:space="preserve"> and Osberht united against the </w:t>
      </w:r>
      <w:r w:rsidR="003139C2" w:rsidRPr="00EC0229">
        <w:rPr>
          <w:rFonts w:cs="Times New Roman"/>
          <w:i/>
          <w:szCs w:val="24"/>
        </w:rPr>
        <w:t>micel here</w:t>
      </w:r>
      <w:r w:rsidR="003139C2" w:rsidRPr="00EC0229">
        <w:rPr>
          <w:rFonts w:cs="Times New Roman"/>
          <w:szCs w:val="24"/>
        </w:rPr>
        <w:t xml:space="preserve">, the </w:t>
      </w:r>
      <w:r w:rsidRPr="00EC0229">
        <w:rPr>
          <w:rFonts w:cs="Times New Roman"/>
          <w:szCs w:val="24"/>
        </w:rPr>
        <w:t>Great Army of the Danes lead by Halfdan. Both were killed in the Viking</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attack on York</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in March 867,</w:t>
      </w:r>
      <w:r w:rsidRPr="00EC0229">
        <w:rPr>
          <w:rStyle w:val="FootnoteReference"/>
          <w:rFonts w:cs="Times New Roman"/>
          <w:szCs w:val="24"/>
        </w:rPr>
        <w:footnoteReference w:id="632"/>
      </w:r>
      <w:r w:rsidRPr="00EC0229">
        <w:rPr>
          <w:rFonts w:cs="Times New Roman"/>
          <w:szCs w:val="24"/>
        </w:rPr>
        <w:t xml:space="preserve"> vividly recounted in the saga of </w:t>
      </w:r>
      <w:r w:rsidRPr="00EC0229">
        <w:rPr>
          <w:rFonts w:cs="Times New Roman"/>
          <w:i/>
          <w:iCs/>
          <w:szCs w:val="24"/>
        </w:rPr>
        <w:t>Ragnar's Sons</w:t>
      </w:r>
      <w:r w:rsidRPr="00EC0229">
        <w:rPr>
          <w:rFonts w:cs="Times New Roman"/>
          <w:iCs/>
          <w:szCs w:val="24"/>
        </w:rPr>
        <w:t>.</w:t>
      </w:r>
      <w:r w:rsidRPr="00EC0229">
        <w:rPr>
          <w:rStyle w:val="FootnoteReference"/>
          <w:rFonts w:cs="Times New Roman"/>
          <w:iCs/>
          <w:szCs w:val="24"/>
        </w:rPr>
        <w:footnoteReference w:id="633"/>
      </w:r>
      <w:r w:rsidRPr="00EC0229">
        <w:rPr>
          <w:rFonts w:cs="Times New Roman"/>
          <w:iCs/>
          <w:szCs w:val="24"/>
        </w:rPr>
        <w:t xml:space="preserve"> Osberht’s early emissions restored tin to the coin alloy resulting in a bronze styca but the coinage became chaotic as his reign progressed.</w:t>
      </w:r>
    </w:p>
    <w:p w14:paraId="69DC9D1A" w14:textId="7A6C3956" w:rsidR="00A33875" w:rsidRPr="00EC0229" w:rsidRDefault="008259E1" w:rsidP="007600EA">
      <w:pPr>
        <w:pStyle w:val="Heading4"/>
        <w:spacing w:line="360" w:lineRule="auto"/>
      </w:pPr>
      <w:bookmarkStart w:id="391" w:name="BishopsC9"/>
      <w:bookmarkStart w:id="392" w:name="_Toc468266808"/>
      <w:bookmarkEnd w:id="391"/>
      <w:r>
        <w:rPr>
          <w:b/>
        </w:rPr>
        <w:t>5.4.1.2</w:t>
      </w:r>
      <w:r>
        <w:rPr>
          <w:b/>
        </w:rPr>
        <w:tab/>
      </w:r>
      <w:r w:rsidR="00993B0F" w:rsidRPr="008E6548">
        <w:rPr>
          <w:b/>
        </w:rPr>
        <w:t>The Episcopacy</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00A33875" w:rsidRPr="00EC0229">
        <w:rPr>
          <w:rStyle w:val="FootnoteReference"/>
        </w:rPr>
        <w:footnoteReference w:id="634"/>
      </w:r>
      <w:bookmarkEnd w:id="392"/>
    </w:p>
    <w:p w14:paraId="4F83CCA1" w14:textId="4C8C2292" w:rsidR="00A33875" w:rsidRPr="00EC0229" w:rsidRDefault="00A33875" w:rsidP="007600EA">
      <w:pPr>
        <w:pStyle w:val="NoSpacing"/>
        <w:spacing w:line="360" w:lineRule="auto"/>
      </w:pPr>
      <w:r w:rsidRPr="00EC0229">
        <w:t>Eanbald</w:t>
      </w:r>
      <w:r w:rsidR="00D142DC" w:rsidRPr="00EC0229">
        <w:fldChar w:fldCharType="begin"/>
      </w:r>
      <w:r w:rsidR="00D142DC" w:rsidRPr="00EC0229">
        <w:instrText xml:space="preserve"> XE "Eanbald" </w:instrText>
      </w:r>
      <w:r w:rsidR="00D142DC" w:rsidRPr="00EC0229">
        <w:fldChar w:fldCharType="end"/>
      </w:r>
      <w:r w:rsidRPr="00EC0229">
        <w:t xml:space="preserve"> II (te</w:t>
      </w:r>
      <w:r w:rsidRPr="00EC0229">
        <w:rPr>
          <w:color w:val="000000" w:themeColor="text1"/>
        </w:rPr>
        <w:t>nure</w:t>
      </w:r>
      <w:r w:rsidRPr="00EC0229">
        <w:t xml:space="preserve"> 796-</w:t>
      </w:r>
      <w:r w:rsidRPr="00EC0229">
        <w:rPr>
          <w:i/>
        </w:rPr>
        <w:t>c.</w:t>
      </w:r>
      <w:r w:rsidRPr="00EC0229">
        <w:t>835?) was a student of Alcuin</w:t>
      </w:r>
      <w:r w:rsidR="004C29A9" w:rsidRPr="00EC0229">
        <w:fldChar w:fldCharType="begin"/>
      </w:r>
      <w:r w:rsidR="004C29A9" w:rsidRPr="00EC0229">
        <w:instrText xml:space="preserve"> XE "</w:instrText>
      </w:r>
      <w:r w:rsidR="004C29A9" w:rsidRPr="00EC0229">
        <w:rPr>
          <w:rFonts w:cs="Times New Roman"/>
          <w:szCs w:val="24"/>
        </w:rPr>
        <w:instrText>Alcuin</w:instrText>
      </w:r>
      <w:r w:rsidR="004C29A9" w:rsidRPr="00EC0229">
        <w:instrText xml:space="preserve">" </w:instrText>
      </w:r>
      <w:r w:rsidR="004C29A9" w:rsidRPr="00EC0229">
        <w:fldChar w:fldCharType="end"/>
      </w:r>
      <w:r w:rsidRPr="00EC0229">
        <w:t xml:space="preserve"> who gave him much support – often in tangible, practical form as with the gift of metal for the roof of the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Minster</w:t>
      </w:r>
      <w:r w:rsidR="006B1593" w:rsidRPr="00EC0229">
        <w:fldChar w:fldCharType="begin"/>
      </w:r>
      <w:r w:rsidR="006B1593" w:rsidRPr="00EC0229">
        <w:instrText xml:space="preserve"> XE "</w:instrText>
      </w:r>
      <w:r w:rsidR="006B1593" w:rsidRPr="00EC0229">
        <w:rPr>
          <w:rStyle w:val="Hyperlink"/>
          <w:noProof/>
          <w:u w:val="none"/>
        </w:rPr>
        <w:instrText>York Minster</w:instrText>
      </w:r>
      <w:r w:rsidR="006B1593" w:rsidRPr="00EC0229">
        <w:instrText xml:space="preserve">" </w:instrText>
      </w:r>
      <w:r w:rsidR="006B1593" w:rsidRPr="00EC0229">
        <w:fldChar w:fldCharType="end"/>
      </w:r>
      <w:r w:rsidRPr="00EC0229">
        <w:t xml:space="preserve"> bell tower. He assisted Æthelhard, Archbishop of Canterbury after Offa</w:t>
      </w:r>
      <w:r w:rsidR="00F66CEB" w:rsidRPr="00EC0229">
        <w:fldChar w:fldCharType="begin"/>
      </w:r>
      <w:r w:rsidR="00F66CEB" w:rsidRPr="00EC0229">
        <w:instrText xml:space="preserve"> XE "</w:instrText>
      </w:r>
      <w:r w:rsidR="00F66CEB" w:rsidRPr="00EC0229">
        <w:rPr>
          <w:rFonts w:cs="Times New Roman"/>
        </w:rPr>
        <w:instrText>Offa</w:instrText>
      </w:r>
      <w:r w:rsidR="00F66CEB" w:rsidRPr="00EC0229">
        <w:instrText xml:space="preserve">" </w:instrText>
      </w:r>
      <w:r w:rsidR="00F66CEB" w:rsidRPr="00EC0229">
        <w:fldChar w:fldCharType="end"/>
      </w:r>
      <w:r w:rsidRPr="00EC0229">
        <w:t>’s despoliation and denounced Eardwulf’s adultery. Eanbald’s coinage emissions parallel those of Eanred</w:t>
      </w:r>
      <w:r w:rsidR="00D142DC" w:rsidRPr="00EC0229">
        <w:fldChar w:fldCharType="begin"/>
      </w:r>
      <w:r w:rsidR="00D142DC" w:rsidRPr="00EC0229">
        <w:instrText xml:space="preserve"> XE "Eanred" </w:instrText>
      </w:r>
      <w:r w:rsidR="00D142DC" w:rsidRPr="00EC0229">
        <w:fldChar w:fldCharType="end"/>
      </w:r>
      <w:r w:rsidRPr="00EC0229">
        <w:t xml:space="preserve"> in alloy, with </w:t>
      </w:r>
      <w:r w:rsidRPr="00EC0229">
        <w:lastRenderedPageBreak/>
        <w:t>Æthelweard and Cynewulf issuing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coins and subsequently Eadwulf the only certain episcopal moneyer for the base stycas. Numismatic evidence suggests a long tenure, possibly into the mid-830s but Eanbald’s terminal date is uncertain and little is known of his successor, Wulfsige (</w:t>
      </w:r>
      <w:r w:rsidRPr="00EC0229">
        <w:rPr>
          <w:i/>
        </w:rPr>
        <w:t>c.</w:t>
      </w:r>
      <w:r w:rsidRPr="00EC0229">
        <w:t>835?</w:t>
      </w:r>
      <w:r w:rsidR="00AB6635">
        <w:t>-</w:t>
      </w:r>
      <w:r w:rsidRPr="00EC0229">
        <w:t>837), who issued no coinage.</w:t>
      </w:r>
      <w:r w:rsidRPr="00EC0229">
        <w:rPr>
          <w:rStyle w:val="FootnoteReference"/>
        </w:rPr>
        <w:footnoteReference w:id="635"/>
      </w:r>
    </w:p>
    <w:p w14:paraId="0E4E22B2" w14:textId="77777777" w:rsidR="00A33875" w:rsidRPr="00EC0229" w:rsidRDefault="00A33875" w:rsidP="007600EA">
      <w:pPr>
        <w:pStyle w:val="NoSpacing"/>
        <w:spacing w:line="360" w:lineRule="auto"/>
      </w:pPr>
    </w:p>
    <w:p w14:paraId="6695B0D9" w14:textId="21B53772" w:rsidR="00A33875" w:rsidRPr="00EC0229" w:rsidRDefault="007B01F7" w:rsidP="007600EA">
      <w:pPr>
        <w:spacing w:line="360" w:lineRule="auto"/>
        <w:rPr>
          <w:rFonts w:cs="Times New Roman"/>
          <w:color w:val="FF0000"/>
          <w:szCs w:val="24"/>
        </w:rPr>
      </w:pPr>
      <w:r w:rsidRPr="00EC0229">
        <w:rPr>
          <w:rFonts w:cs="Times New Roman"/>
          <w:szCs w:val="24"/>
        </w:rPr>
        <w:t>Rollason</w:t>
      </w:r>
      <w:r w:rsidR="00A33875" w:rsidRPr="00EC0229">
        <w:rPr>
          <w:rFonts w:cs="Times New Roman"/>
          <w:szCs w:val="24"/>
        </w:rPr>
        <w:t xml:space="preserve"> argue</w:t>
      </w:r>
      <w:r w:rsidR="00DB0688">
        <w:rPr>
          <w:rFonts w:cs="Times New Roman"/>
          <w:szCs w:val="24"/>
        </w:rPr>
        <w:t>d</w:t>
      </w:r>
      <w:r w:rsidR="00A33875" w:rsidRPr="00EC0229">
        <w:rPr>
          <w:rFonts w:cs="Times New Roman"/>
          <w:szCs w:val="24"/>
        </w:rPr>
        <w:t xml:space="preserve"> that in York</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szCs w:val="24"/>
        </w:rPr>
        <w:fldChar w:fldCharType="end"/>
      </w:r>
      <w:r w:rsidR="00A33875" w:rsidRPr="00EC0229">
        <w:rPr>
          <w:rFonts w:cs="Times New Roman"/>
          <w:szCs w:val="24"/>
        </w:rPr>
        <w:t xml:space="preserve">, </w:t>
      </w:r>
      <w:r w:rsidR="00DB0688">
        <w:rPr>
          <w:rFonts w:cs="Times New Roman"/>
          <w:szCs w:val="24"/>
        </w:rPr>
        <w:t>the ninth-</w:t>
      </w:r>
      <w:r w:rsidR="00F139AF" w:rsidRPr="00EC0229">
        <w:rPr>
          <w:rFonts w:cs="Times New Roman"/>
          <w:szCs w:val="24"/>
        </w:rPr>
        <w:t>century</w:t>
      </w:r>
      <w:r w:rsidR="00A33875" w:rsidRPr="00EC0229">
        <w:rPr>
          <w:rFonts w:cs="Times New Roman"/>
          <w:szCs w:val="24"/>
        </w:rPr>
        <w:t xml:space="preserve"> archbishops were more powerful that the monarchs.</w:t>
      </w:r>
      <w:r w:rsidR="00A33875" w:rsidRPr="00EC0229">
        <w:rPr>
          <w:rStyle w:val="FootnoteReference"/>
          <w:rFonts w:cs="Times New Roman"/>
          <w:szCs w:val="24"/>
        </w:rPr>
        <w:footnoteReference w:id="636"/>
      </w:r>
      <w:r w:rsidR="00A33875" w:rsidRPr="00EC0229">
        <w:rPr>
          <w:rFonts w:cs="Times New Roman"/>
          <w:szCs w:val="24"/>
        </w:rPr>
        <w:t xml:space="preserve">  Joint issues</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Joint issues</w:instrText>
      </w:r>
      <w:r w:rsidR="00F204A1" w:rsidRPr="00EC0229">
        <w:instrText xml:space="preserve">" </w:instrText>
      </w:r>
      <w:r w:rsidR="00F204A1" w:rsidRPr="00EC0229">
        <w:rPr>
          <w:rFonts w:cs="Times New Roman"/>
          <w:szCs w:val="24"/>
        </w:rPr>
        <w:fldChar w:fldCharType="end"/>
      </w:r>
      <w:r w:rsidR="00A33875" w:rsidRPr="00EC0229">
        <w:rPr>
          <w:rFonts w:cs="Times New Roman"/>
          <w:szCs w:val="24"/>
        </w:rPr>
        <w:t xml:space="preserve"> (and southern law codes)</w:t>
      </w:r>
      <w:r w:rsidR="00E01166" w:rsidRPr="00EC0229">
        <w:rPr>
          <w:rStyle w:val="FootnoteReference"/>
          <w:rFonts w:cs="Times New Roman"/>
          <w:szCs w:val="24"/>
        </w:rPr>
        <w:footnoteReference w:id="637"/>
      </w:r>
      <w:r w:rsidR="00A33875" w:rsidRPr="00EC0229">
        <w:rPr>
          <w:rFonts w:cs="Times New Roman"/>
          <w:szCs w:val="24"/>
        </w:rPr>
        <w:t xml:space="preserve"> support this view though Blackburn confined this to a wider secular </w:t>
      </w:r>
      <w:r w:rsidR="00A972E7" w:rsidRPr="00EC0229">
        <w:rPr>
          <w:rFonts w:cs="Times New Roman"/>
          <w:szCs w:val="24"/>
        </w:rPr>
        <w:t>rôle</w:t>
      </w:r>
      <w:r w:rsidR="00A33875" w:rsidRPr="00EC0229">
        <w:rPr>
          <w:rFonts w:cs="Times New Roman"/>
          <w:szCs w:val="24"/>
        </w:rPr>
        <w:t>, which may explain the issue of the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00A33875" w:rsidRPr="00EC0229">
        <w:rPr>
          <w:rFonts w:cs="Times New Roman"/>
          <w:szCs w:val="24"/>
        </w:rPr>
        <w:t xml:space="preserve"> mancus of Archbishop Wigmund</w:t>
      </w:r>
      <w:r w:rsidR="00D142DC" w:rsidRPr="00EC0229">
        <w:rPr>
          <w:rFonts w:cs="Times New Roman"/>
          <w:szCs w:val="24"/>
        </w:rPr>
        <w:fldChar w:fldCharType="begin"/>
      </w:r>
      <w:r w:rsidR="00D142DC" w:rsidRPr="00EC0229">
        <w:instrText xml:space="preserve"> XE "Wigmund" </w:instrText>
      </w:r>
      <w:r w:rsidR="00D142DC" w:rsidRPr="00EC0229">
        <w:rPr>
          <w:rFonts w:cs="Times New Roman"/>
          <w:szCs w:val="24"/>
        </w:rPr>
        <w:fldChar w:fldCharType="end"/>
      </w:r>
      <w:r w:rsidR="00A33875" w:rsidRPr="00EC0229">
        <w:rPr>
          <w:rFonts w:cs="Times New Roman"/>
          <w:szCs w:val="24"/>
        </w:rPr>
        <w:t xml:space="preserve"> </w:t>
      </w:r>
      <w:r w:rsidR="00A33875" w:rsidRPr="00EC0229">
        <w:rPr>
          <w:rFonts w:cs="Times New Roman"/>
          <w:color w:val="000000" w:themeColor="text1"/>
          <w:szCs w:val="24"/>
        </w:rPr>
        <w:t>(tenure 837-54)</w:t>
      </w:r>
      <w:r w:rsidR="00A33875" w:rsidRPr="00EC0229">
        <w:rPr>
          <w:rFonts w:cs="Times New Roman"/>
          <w:szCs w:val="24"/>
        </w:rPr>
        <w:t>.</w:t>
      </w:r>
      <w:r w:rsidR="00A33875" w:rsidRPr="00EC0229">
        <w:rPr>
          <w:rStyle w:val="FootnoteReference"/>
          <w:rFonts w:cs="Times New Roman"/>
          <w:szCs w:val="24"/>
        </w:rPr>
        <w:footnoteReference w:id="638"/>
      </w:r>
      <w:r w:rsidR="00A33875" w:rsidRPr="00EC0229">
        <w:rPr>
          <w:rFonts w:cs="Times New Roman"/>
          <w:color w:val="FF0000"/>
          <w:szCs w:val="24"/>
        </w:rPr>
        <w:t xml:space="preserve"> </w:t>
      </w:r>
      <w:r w:rsidRPr="00EC0229">
        <w:rPr>
          <w:rFonts w:cs="Times New Roman"/>
          <w:szCs w:val="24"/>
        </w:rPr>
        <w:t>Rollason</w:t>
      </w:r>
      <w:r w:rsidR="00A33875" w:rsidRPr="00EC0229">
        <w:rPr>
          <w:rFonts w:cs="Times New Roman"/>
          <w:szCs w:val="24"/>
        </w:rPr>
        <w:t>’s view</w:t>
      </w:r>
      <w:r w:rsidR="008D6B10" w:rsidRPr="00EC0229">
        <w:rPr>
          <w:rFonts w:cs="Times New Roman"/>
          <w:szCs w:val="24"/>
        </w:rPr>
        <w:t xml:space="preserve"> is favoured here</w:t>
      </w:r>
      <w:r w:rsidR="00A33875" w:rsidRPr="00EC0229">
        <w:rPr>
          <w:rFonts w:cs="Times New Roman"/>
          <w:szCs w:val="24"/>
        </w:rPr>
        <w:t xml:space="preserve"> </w:t>
      </w:r>
      <w:r w:rsidR="00E822CE" w:rsidRPr="00EC0229">
        <w:rPr>
          <w:rFonts w:cs="Times New Roman"/>
          <w:szCs w:val="24"/>
        </w:rPr>
        <w:t>(</w:t>
      </w:r>
      <w:r w:rsidR="000B0D99" w:rsidRPr="00EC0229">
        <w:rPr>
          <w:rFonts w:cs="Times New Roman"/>
          <w:szCs w:val="24"/>
        </w:rPr>
        <w:fldChar w:fldCharType="begin"/>
      </w:r>
      <w:r w:rsidR="000B0D99" w:rsidRPr="00EC0229">
        <w:rPr>
          <w:rFonts w:cs="Times New Roman"/>
          <w:szCs w:val="24"/>
        </w:rPr>
        <w:instrText xml:space="preserve"> PAGEREF Rollason \h </w:instrText>
      </w:r>
      <w:r w:rsidR="000B0D99" w:rsidRPr="00EC0229">
        <w:rPr>
          <w:rFonts w:cs="Times New Roman"/>
          <w:szCs w:val="24"/>
        </w:rPr>
      </w:r>
      <w:r w:rsidR="000B0D99" w:rsidRPr="00EC0229">
        <w:rPr>
          <w:rFonts w:cs="Times New Roman"/>
          <w:szCs w:val="24"/>
        </w:rPr>
        <w:fldChar w:fldCharType="separate"/>
      </w:r>
      <w:r w:rsidR="0012026B">
        <w:rPr>
          <w:rFonts w:cs="Times New Roman"/>
          <w:noProof/>
          <w:szCs w:val="24"/>
        </w:rPr>
        <w:t>192</w:t>
      </w:r>
      <w:r w:rsidR="000B0D99" w:rsidRPr="00EC0229">
        <w:rPr>
          <w:rFonts w:cs="Times New Roman"/>
          <w:szCs w:val="24"/>
        </w:rPr>
        <w:fldChar w:fldCharType="end"/>
      </w:r>
      <w:r w:rsidR="00E822CE" w:rsidRPr="00EC0229">
        <w:rPr>
          <w:rFonts w:cs="Times New Roman"/>
          <w:szCs w:val="24"/>
        </w:rPr>
        <w:t>)</w:t>
      </w:r>
      <w:r w:rsidR="00A33875" w:rsidRPr="00EC0229">
        <w:rPr>
          <w:rFonts w:cs="Times New Roman"/>
          <w:szCs w:val="24"/>
        </w:rPr>
        <w:t>.</w:t>
      </w:r>
    </w:p>
    <w:p w14:paraId="17AE58CA" w14:textId="60774AF5" w:rsidR="00A33875" w:rsidRPr="00EC0229" w:rsidRDefault="00A33875" w:rsidP="007600EA">
      <w:pPr>
        <w:spacing w:line="360" w:lineRule="auto"/>
        <w:rPr>
          <w:rFonts w:cs="Times New Roman"/>
          <w:color w:val="000000" w:themeColor="text1"/>
          <w:szCs w:val="24"/>
        </w:rPr>
      </w:pPr>
      <w:r w:rsidRPr="00EC0229">
        <w:rPr>
          <w:rFonts w:cs="Times New Roman"/>
          <w:color w:val="000000" w:themeColor="text1"/>
          <w:szCs w:val="24"/>
        </w:rPr>
        <w:t>Letters of Lupus, abbot of Ferrières,</w:t>
      </w:r>
      <w:r w:rsidRPr="00EC0229">
        <w:rPr>
          <w:rStyle w:val="FootnoteReference"/>
          <w:rFonts w:cs="Times New Roman"/>
          <w:color w:val="000000" w:themeColor="text1"/>
          <w:szCs w:val="24"/>
        </w:rPr>
        <w:footnoteReference w:id="639"/>
      </w:r>
      <w:r w:rsidRPr="00EC0229">
        <w:rPr>
          <w:rFonts w:cs="Times New Roman"/>
          <w:color w:val="000000" w:themeColor="text1"/>
          <w:szCs w:val="24"/>
        </w:rPr>
        <w:t xml:space="preserve"> refer to the peace between the English monarchs in May 851 and with the Bretons in August 851. Were this the case, it may have facilitated Osberht</w:t>
      </w:r>
      <w:r w:rsidR="00D142DC" w:rsidRPr="00EC0229">
        <w:rPr>
          <w:rFonts w:cs="Times New Roman"/>
          <w:color w:val="000000" w:themeColor="text1"/>
          <w:szCs w:val="24"/>
        </w:rPr>
        <w:fldChar w:fldCharType="begin"/>
      </w:r>
      <w:r w:rsidR="00D142DC" w:rsidRPr="00EC0229">
        <w:instrText xml:space="preserve"> XE "Osberht" </w:instrText>
      </w:r>
      <w:r w:rsidR="00D142DC" w:rsidRPr="00EC0229">
        <w:rPr>
          <w:rFonts w:cs="Times New Roman"/>
          <w:color w:val="000000" w:themeColor="text1"/>
          <w:szCs w:val="24"/>
        </w:rPr>
        <w:fldChar w:fldCharType="end"/>
      </w:r>
      <w:r w:rsidRPr="00EC0229">
        <w:rPr>
          <w:rFonts w:cs="Times New Roman"/>
          <w:color w:val="000000" w:themeColor="text1"/>
          <w:szCs w:val="24"/>
        </w:rPr>
        <w:t>’s return to a bronze coinage. Wulfhere</w:t>
      </w:r>
      <w:r w:rsidR="00D142DC" w:rsidRPr="00EC0229">
        <w:rPr>
          <w:rFonts w:cs="Times New Roman"/>
          <w:color w:val="000000" w:themeColor="text1"/>
          <w:szCs w:val="24"/>
        </w:rPr>
        <w:fldChar w:fldCharType="begin"/>
      </w:r>
      <w:r w:rsidR="00D142DC" w:rsidRPr="00EC0229">
        <w:instrText xml:space="preserve"> XE "Wulfhere" </w:instrText>
      </w:r>
      <w:r w:rsidR="00D142DC" w:rsidRPr="00EC0229">
        <w:rPr>
          <w:rFonts w:cs="Times New Roman"/>
          <w:color w:val="000000" w:themeColor="text1"/>
          <w:szCs w:val="24"/>
        </w:rPr>
        <w:fldChar w:fldCharType="end"/>
      </w:r>
      <w:r w:rsidRPr="00EC0229">
        <w:rPr>
          <w:rFonts w:cs="Times New Roman"/>
          <w:color w:val="000000" w:themeColor="text1"/>
          <w:szCs w:val="24"/>
        </w:rPr>
        <w:t xml:space="preserve"> (tenure 854-892 or 900) made peace with the Danish invaders after the attack on York</w:t>
      </w:r>
      <w:r w:rsidR="006B1593" w:rsidRPr="00EC0229">
        <w:rPr>
          <w:rFonts w:cs="Times New Roman"/>
          <w:color w:val="000000" w:themeColor="text1"/>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color w:val="000000" w:themeColor="text1"/>
          <w:szCs w:val="24"/>
        </w:rPr>
        <w:fldChar w:fldCharType="end"/>
      </w:r>
      <w:r w:rsidRPr="00EC0229">
        <w:rPr>
          <w:rFonts w:cs="Times New Roman"/>
          <w:color w:val="000000" w:themeColor="text1"/>
          <w:szCs w:val="24"/>
        </w:rPr>
        <w:t xml:space="preserve"> in 866/7 but took refuge with Burgred of Mercia after the 872 rebellion against the Danes, before being recalled from Addingham in 875 by </w:t>
      </w:r>
      <w:r w:rsidRPr="00EC0229">
        <w:rPr>
          <w:rFonts w:cs="Times New Roman"/>
          <w:szCs w:val="24"/>
        </w:rPr>
        <w:t>Guthred</w:t>
      </w:r>
      <w:r w:rsidRPr="00EC0229">
        <w:rPr>
          <w:rFonts w:cs="Times New Roman"/>
          <w:color w:val="000000" w:themeColor="text1"/>
          <w:szCs w:val="24"/>
        </w:rPr>
        <w:t>.</w:t>
      </w:r>
      <w:r w:rsidR="005F6E93" w:rsidRPr="00EC0229">
        <w:rPr>
          <w:rStyle w:val="FootnoteReference"/>
          <w:rFonts w:cs="Times New Roman"/>
          <w:color w:val="000000" w:themeColor="text1"/>
          <w:szCs w:val="24"/>
        </w:rPr>
        <w:footnoteReference w:id="640"/>
      </w:r>
    </w:p>
    <w:p w14:paraId="1690FCB3" w14:textId="256350EA" w:rsidR="00A33875" w:rsidRPr="00EC0229" w:rsidRDefault="00A33875" w:rsidP="007600EA">
      <w:pPr>
        <w:pStyle w:val="NoSpacing"/>
        <w:spacing w:line="360" w:lineRule="auto"/>
      </w:pPr>
      <w:r w:rsidRPr="00EC0229">
        <w:rPr>
          <w:i/>
        </w:rPr>
        <w:t>Table</w:t>
      </w:r>
      <w:r w:rsidR="00584C42" w:rsidRPr="00EC0229">
        <w:rPr>
          <w:i/>
        </w:rPr>
        <w:fldChar w:fldCharType="begin"/>
      </w:r>
      <w:r w:rsidR="00584C42" w:rsidRPr="00EC0229">
        <w:rPr>
          <w:i/>
        </w:rPr>
        <w:instrText xml:space="preserve"> XE "Table" </w:instrText>
      </w:r>
      <w:r w:rsidR="00584C42" w:rsidRPr="00EC0229">
        <w:rPr>
          <w:i/>
        </w:rPr>
        <w:fldChar w:fldCharType="end"/>
      </w:r>
      <w:r w:rsidR="002F4401" w:rsidRPr="00EC0229">
        <w:rPr>
          <w:i/>
        </w:rPr>
        <w:t xml:space="preserve"> 5.</w:t>
      </w:r>
      <w:r w:rsidR="00817A09" w:rsidRPr="00EC0229">
        <w:rPr>
          <w:i/>
        </w:rPr>
        <w:t>14</w:t>
      </w:r>
      <w:r w:rsidRPr="00EC0229">
        <w:t xml:space="preserve"> lists </w:t>
      </w:r>
      <w:r w:rsidR="003139C2" w:rsidRPr="00EC0229">
        <w:t>the ninth-</w:t>
      </w:r>
      <w:r w:rsidR="00F139AF" w:rsidRPr="00EC0229">
        <w:t>century</w:t>
      </w:r>
      <w:r w:rsidRPr="00EC0229">
        <w:t xml:space="preserve"> Northumbrian issuers.</w:t>
      </w:r>
    </w:p>
    <w:p w14:paraId="4925287A" w14:textId="77777777" w:rsidR="00993B0F" w:rsidRPr="00EC0229" w:rsidRDefault="00993B0F" w:rsidP="007600EA">
      <w:pPr>
        <w:pStyle w:val="NoSpacing"/>
        <w:spacing w:line="360" w:lineRule="auto"/>
      </w:pPr>
    </w:p>
    <w:p w14:paraId="533B2529" w14:textId="5F180E2D" w:rsidR="00A33875" w:rsidRPr="00EC0229" w:rsidRDefault="008259E1" w:rsidP="007600EA">
      <w:pPr>
        <w:pStyle w:val="Heading3"/>
        <w:spacing w:line="360" w:lineRule="auto"/>
      </w:pPr>
      <w:bookmarkStart w:id="393" w:name="StycaCoinProduction"/>
      <w:bookmarkStart w:id="394" w:name="_Toc468266809"/>
      <w:bookmarkEnd w:id="393"/>
      <w:r>
        <w:t>5.4.2</w:t>
      </w:r>
      <w:r w:rsidR="000E1004">
        <w:t xml:space="preserve"> </w:t>
      </w:r>
      <w:r w:rsidR="00993B0F" w:rsidRPr="00EC0229">
        <w:t>Coin Production</w:t>
      </w:r>
      <w:bookmarkEnd w:id="394"/>
    </w:p>
    <w:p w14:paraId="35C20170" w14:textId="5D2489B0" w:rsidR="008259E1" w:rsidRPr="008259E1" w:rsidRDefault="008259E1" w:rsidP="008259E1">
      <w:pPr>
        <w:pStyle w:val="Heading4"/>
        <w:rPr>
          <w:b/>
        </w:rPr>
      </w:pPr>
      <w:bookmarkStart w:id="395" w:name="silveralloy"/>
      <w:bookmarkStart w:id="396" w:name="_Toc468266810"/>
      <w:bookmarkEnd w:id="395"/>
      <w:r w:rsidRPr="008259E1">
        <w:rPr>
          <w:b/>
        </w:rPr>
        <w:t>5.4.2.1</w:t>
      </w:r>
      <w:r w:rsidRPr="008259E1">
        <w:rPr>
          <w:b/>
        </w:rPr>
        <w:tab/>
      </w:r>
      <w:r w:rsidR="00A33875" w:rsidRPr="008259E1">
        <w:rPr>
          <w:b/>
        </w:rPr>
        <w:t xml:space="preserve">Northumbrian sceats or stycas? </w:t>
      </w:r>
      <w:bookmarkStart w:id="397" w:name="PeriodN9"/>
      <w:r w:rsidR="00A33875" w:rsidRPr="008259E1">
        <w:rPr>
          <w:b/>
        </w:rPr>
        <w:t>The silver-alloy</w:t>
      </w:r>
      <w:r w:rsidR="008960AE" w:rsidRPr="008259E1">
        <w:rPr>
          <w:b/>
        </w:rPr>
        <w:fldChar w:fldCharType="begin"/>
      </w:r>
      <w:r w:rsidR="008960AE" w:rsidRPr="008259E1">
        <w:rPr>
          <w:b/>
        </w:rPr>
        <w:instrText xml:space="preserve"> XE "silver-alloy" </w:instrText>
      </w:r>
      <w:r w:rsidR="008960AE" w:rsidRPr="008259E1">
        <w:rPr>
          <w:b/>
        </w:rPr>
        <w:fldChar w:fldCharType="end"/>
      </w:r>
      <w:r w:rsidR="00A33875" w:rsidRPr="008259E1">
        <w:rPr>
          <w:b/>
        </w:rPr>
        <w:t xml:space="preserve"> emissions of Eanred</w:t>
      </w:r>
      <w:bookmarkEnd w:id="396"/>
      <w:bookmarkEnd w:id="397"/>
    </w:p>
    <w:p w14:paraId="5E474DFF" w14:textId="77777777" w:rsidR="008259E1" w:rsidRPr="00EC0229" w:rsidRDefault="008259E1" w:rsidP="008259E1">
      <w:pPr>
        <w:pStyle w:val="NoSpacing"/>
        <w:spacing w:line="360" w:lineRule="auto"/>
        <w:jc w:val="right"/>
        <w:rPr>
          <w:sz w:val="20"/>
          <w:szCs w:val="20"/>
          <w:lang w:eastAsia="en-GB"/>
        </w:rPr>
      </w:pPr>
      <w:r w:rsidRPr="00EC0229">
        <w:rPr>
          <w:sz w:val="20"/>
          <w:szCs w:val="20"/>
          <w:lang w:eastAsia="en-GB"/>
        </w:rPr>
        <w:t xml:space="preserve">‘Without sound identifications and chronologies, </w:t>
      </w:r>
    </w:p>
    <w:p w14:paraId="7088146A" w14:textId="77777777" w:rsidR="008259E1" w:rsidRPr="00EC0229" w:rsidRDefault="008259E1" w:rsidP="008259E1">
      <w:pPr>
        <w:pStyle w:val="NoSpacing"/>
        <w:spacing w:line="360" w:lineRule="auto"/>
        <w:jc w:val="right"/>
        <w:rPr>
          <w:sz w:val="20"/>
          <w:szCs w:val="20"/>
          <w:lang w:eastAsia="en-GB"/>
        </w:rPr>
      </w:pPr>
      <w:r w:rsidRPr="00EC0229">
        <w:rPr>
          <w:sz w:val="20"/>
          <w:szCs w:val="20"/>
          <w:lang w:eastAsia="en-GB"/>
        </w:rPr>
        <w:t xml:space="preserve">all other research based on numismatic evidence is compromised.’ </w:t>
      </w:r>
    </w:p>
    <w:p w14:paraId="2F840C1D" w14:textId="77777777" w:rsidR="008259E1" w:rsidRPr="00EC0229" w:rsidRDefault="008259E1" w:rsidP="008259E1">
      <w:pPr>
        <w:pStyle w:val="NoSpacing"/>
        <w:spacing w:line="360" w:lineRule="auto"/>
        <w:jc w:val="right"/>
        <w:rPr>
          <w:sz w:val="20"/>
          <w:szCs w:val="20"/>
          <w:lang w:eastAsia="en-GB"/>
        </w:rPr>
      </w:pPr>
      <w:r w:rsidRPr="00EC0229">
        <w:rPr>
          <w:sz w:val="20"/>
          <w:szCs w:val="20"/>
          <w:lang w:eastAsia="en-GB"/>
        </w:rPr>
        <w:t>Mark Blackburn, (2011, 596).</w:t>
      </w:r>
    </w:p>
    <w:p w14:paraId="1F0D7056" w14:textId="30CFFA4C" w:rsidR="00A33875" w:rsidRPr="008E6548" w:rsidRDefault="00D142DC" w:rsidP="008259E1">
      <w:pPr>
        <w:rPr>
          <w:color w:val="000000" w:themeColor="text1"/>
        </w:rPr>
      </w:pPr>
      <w:r w:rsidRPr="008E6548">
        <w:fldChar w:fldCharType="begin"/>
      </w:r>
      <w:r w:rsidRPr="008E6548">
        <w:instrText xml:space="preserve"> XE "Eanred" </w:instrText>
      </w:r>
      <w:r w:rsidRPr="008E6548">
        <w:fldChar w:fldCharType="end"/>
      </w:r>
    </w:p>
    <w:p w14:paraId="619B4FEF" w14:textId="27C562B1" w:rsidR="00A33875" w:rsidRPr="00EC0229" w:rsidRDefault="00A33875" w:rsidP="007600EA">
      <w:pPr>
        <w:pStyle w:val="NoSpacing"/>
        <w:spacing w:line="360" w:lineRule="auto"/>
      </w:pPr>
      <w:r w:rsidRPr="00EC0229">
        <w:t>Why did the Northumbrians retain the sceat, then the styca,</w:t>
      </w:r>
      <w:r w:rsidR="00D142DC" w:rsidRPr="00EC0229">
        <w:fldChar w:fldCharType="begin"/>
      </w:r>
      <w:r w:rsidR="00D142DC" w:rsidRPr="00EC0229">
        <w:instrText xml:space="preserve"> XE "styca" </w:instrText>
      </w:r>
      <w:r w:rsidR="00D142DC" w:rsidRPr="00EC0229">
        <w:fldChar w:fldCharType="end"/>
      </w:r>
      <w:r w:rsidRPr="00EC0229">
        <w:t xml:space="preserve"> instead of following the south in adopting the broad penny</w:t>
      </w:r>
      <w:r w:rsidR="00D142DC" w:rsidRPr="00EC0229">
        <w:fldChar w:fldCharType="begin"/>
      </w:r>
      <w:r w:rsidR="00D142DC" w:rsidRPr="00EC0229">
        <w:instrText xml:space="preserve"> XE "penny" </w:instrText>
      </w:r>
      <w:r w:rsidR="00D142DC" w:rsidRPr="00EC0229">
        <w:fldChar w:fldCharType="end"/>
      </w:r>
      <w:r w:rsidRPr="00EC0229">
        <w:t>? Offa</w:t>
      </w:r>
      <w:r w:rsidR="00F66CEB" w:rsidRPr="00EC0229">
        <w:fldChar w:fldCharType="begin"/>
      </w:r>
      <w:r w:rsidR="00F66CEB" w:rsidRPr="00EC0229">
        <w:instrText xml:space="preserve"> XE "</w:instrText>
      </w:r>
      <w:r w:rsidR="00F66CEB" w:rsidRPr="00EC0229">
        <w:rPr>
          <w:rFonts w:cs="Times New Roman"/>
        </w:rPr>
        <w:instrText>Offa</w:instrText>
      </w:r>
      <w:r w:rsidR="00F66CEB" w:rsidRPr="00EC0229">
        <w:instrText xml:space="preserve">" </w:instrText>
      </w:r>
      <w:r w:rsidR="00F66CEB" w:rsidRPr="00EC0229">
        <w:fldChar w:fldCharType="end"/>
      </w:r>
      <w:r w:rsidRPr="00EC0229">
        <w:t>'s light coinage may have appeared experimental to the authorities in the north,</w:t>
      </w:r>
      <w:r w:rsidRPr="00EC0229">
        <w:rPr>
          <w:rStyle w:val="FootnoteReference"/>
        </w:rPr>
        <w:footnoteReference w:id="641"/>
      </w:r>
      <w:r w:rsidRPr="00EC0229">
        <w:t xml:space="preserve"> whose </w:t>
      </w:r>
      <w:r w:rsidR="00E72A0C" w:rsidRPr="00EC0229">
        <w:t>numismatic</w:t>
      </w:r>
      <w:r w:rsidRPr="00EC0229">
        <w:t xml:space="preserve"> habits were rather conservative. Besides, the contrast between the light penny and the sceat was not that great. The earliest date to emulate the broad penny would have been after Eadberht</w:t>
      </w:r>
      <w:r w:rsidR="00D142DC" w:rsidRPr="00EC0229">
        <w:fldChar w:fldCharType="begin"/>
      </w:r>
      <w:r w:rsidR="00D142DC" w:rsidRPr="00EC0229">
        <w:instrText xml:space="preserve"> XE "Eadberht" </w:instrText>
      </w:r>
      <w:r w:rsidR="00D142DC" w:rsidRPr="00EC0229">
        <w:fldChar w:fldCharType="end"/>
      </w:r>
      <w:r w:rsidRPr="00EC0229">
        <w:t>'s retirement but Archbishop Ecgberht</w:t>
      </w:r>
      <w:r w:rsidR="00D142DC" w:rsidRPr="00EC0229">
        <w:fldChar w:fldCharType="begin"/>
      </w:r>
      <w:r w:rsidR="00D142DC" w:rsidRPr="00EC0229">
        <w:instrText xml:space="preserve"> XE "Ecgberht" </w:instrText>
      </w:r>
      <w:r w:rsidR="00D142DC" w:rsidRPr="00EC0229">
        <w:fldChar w:fldCharType="end"/>
      </w:r>
      <w:r w:rsidRPr="00EC0229">
        <w:t xml:space="preserve"> may </w:t>
      </w:r>
      <w:r w:rsidRPr="00EC0229">
        <w:lastRenderedPageBreak/>
        <w:t>well have influenced continuation of the familiar as</w:t>
      </w:r>
      <w:r w:rsidR="00D10B7E">
        <w:t xml:space="preserve"> </w:t>
      </w:r>
      <w:r w:rsidRPr="00EC0229">
        <w:t>the Archbishop of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was more powerful than the </w:t>
      </w:r>
      <w:r w:rsidR="00D10B7E">
        <w:t xml:space="preserve">new </w:t>
      </w:r>
      <w:r w:rsidRPr="00EC0229">
        <w:t xml:space="preserve">monarch at this time. </w:t>
      </w:r>
    </w:p>
    <w:p w14:paraId="1E56629C" w14:textId="77777777" w:rsidR="00A33875" w:rsidRPr="00EC0229" w:rsidRDefault="00A33875" w:rsidP="007600EA">
      <w:pPr>
        <w:pStyle w:val="NoSpacing"/>
        <w:spacing w:line="360" w:lineRule="auto"/>
      </w:pPr>
    </w:p>
    <w:p w14:paraId="7311CBE4" w14:textId="2D6B12C8" w:rsidR="00A33875" w:rsidRPr="00EC0229" w:rsidRDefault="00A33875" w:rsidP="007600EA">
      <w:pPr>
        <w:pStyle w:val="NoSpacing"/>
        <w:spacing w:line="360" w:lineRule="auto"/>
      </w:pPr>
      <w:r w:rsidRPr="00EC0229">
        <w:t xml:space="preserve">In any event, both the northern and southern coinages seem to be in retreat in the third quarter of </w:t>
      </w:r>
      <w:r w:rsidR="00F139AF" w:rsidRPr="00EC0229">
        <w:t>the eighth century</w:t>
      </w:r>
      <w:r w:rsidRPr="00EC0229">
        <w:t>, whether the problem was disruption to North Sea trade or further afield</w:t>
      </w:r>
      <w:r w:rsidR="003139C2" w:rsidRPr="00EC0229">
        <w:t xml:space="preserve"> (</w:t>
      </w:r>
      <w:r w:rsidR="000B0D99" w:rsidRPr="00EC0229">
        <w:fldChar w:fldCharType="begin"/>
      </w:r>
      <w:r w:rsidR="000B0D99" w:rsidRPr="00EC0229">
        <w:instrText xml:space="preserve"> PAGEREF Historical \h </w:instrText>
      </w:r>
      <w:r w:rsidR="000B0D99" w:rsidRPr="00EC0229">
        <w:fldChar w:fldCharType="separate"/>
      </w:r>
      <w:r w:rsidR="0012026B">
        <w:rPr>
          <w:noProof/>
        </w:rPr>
        <w:t>24</w:t>
      </w:r>
      <w:r w:rsidR="000B0D99" w:rsidRPr="00EC0229">
        <w:fldChar w:fldCharType="end"/>
      </w:r>
      <w:r w:rsidR="003139C2" w:rsidRPr="00EC0229">
        <w:t>)</w:t>
      </w:r>
      <w:r w:rsidR="003139C2" w:rsidRPr="00EC0229">
        <w:fldChar w:fldCharType="begin"/>
      </w:r>
      <w:r w:rsidR="003139C2" w:rsidRPr="00EC0229">
        <w:instrText xml:space="preserve"> XE "</w:instrText>
      </w:r>
      <w:r w:rsidR="003139C2" w:rsidRPr="00EC0229">
        <w:rPr>
          <w:rStyle w:val="Hyperlink"/>
          <w:noProof/>
          <w:u w:val="none"/>
        </w:rPr>
        <w:instrText>Pirenne</w:instrText>
      </w:r>
      <w:r w:rsidR="003139C2" w:rsidRPr="00EC0229">
        <w:instrText xml:space="preserve">" </w:instrText>
      </w:r>
      <w:r w:rsidR="003139C2" w:rsidRPr="00EC0229">
        <w:fldChar w:fldCharType="end"/>
      </w:r>
      <w:r w:rsidRPr="00EC0229">
        <w:t>. Perhaps Offa</w:t>
      </w:r>
      <w:r w:rsidR="00F66CEB" w:rsidRPr="00EC0229">
        <w:fldChar w:fldCharType="begin"/>
      </w:r>
      <w:r w:rsidR="00F66CEB" w:rsidRPr="00EC0229">
        <w:instrText xml:space="preserve"> XE "</w:instrText>
      </w:r>
      <w:r w:rsidR="00F66CEB" w:rsidRPr="00EC0229">
        <w:rPr>
          <w:rFonts w:cs="Times New Roman"/>
        </w:rPr>
        <w:instrText>Offa</w:instrText>
      </w:r>
      <w:r w:rsidR="00F66CEB" w:rsidRPr="00EC0229">
        <w:instrText xml:space="preserve">" </w:instrText>
      </w:r>
      <w:r w:rsidR="00F66CEB" w:rsidRPr="00EC0229">
        <w:fldChar w:fldCharType="end"/>
      </w:r>
      <w:r w:rsidRPr="00EC0229">
        <w:t>'s move to the heavy penny</w:t>
      </w:r>
      <w:r w:rsidR="00D142DC" w:rsidRPr="00EC0229">
        <w:fldChar w:fldCharType="begin"/>
      </w:r>
      <w:r w:rsidR="00D142DC" w:rsidRPr="00EC0229">
        <w:instrText xml:space="preserve"> XE "penny" </w:instrText>
      </w:r>
      <w:r w:rsidR="00D142DC" w:rsidRPr="00EC0229">
        <w:fldChar w:fldCharType="end"/>
      </w:r>
      <w:r w:rsidRPr="00EC0229">
        <w:t xml:space="preserve"> (a clearer contrast to the sceat) was a gesture of Mercian confidence or defiance in the face of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Pr="00EC0229">
        <w:t xml:space="preserve"> incursions - it must have been around the time of the attack on Lindisfarne</w:t>
      </w:r>
      <w:r w:rsidR="006B1593" w:rsidRPr="00EC0229">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fldChar w:fldCharType="end"/>
      </w:r>
      <w:r w:rsidRPr="00EC0229">
        <w:t xml:space="preserve">. After this, there seems to have been a collapse of confidence in the north evinced by the paucity of Eardwulf's coins and the absence of </w:t>
      </w:r>
      <w:r w:rsidRPr="00EC0229">
        <w:rPr>
          <w:rFonts w:cs="Times New Roman"/>
        </w:rPr>
        <w:t>Æ</w:t>
      </w:r>
      <w:r w:rsidRPr="00EC0229">
        <w:t>lfwald</w:t>
      </w:r>
      <w:r w:rsidR="004C29A9" w:rsidRPr="00EC0229">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fldChar w:fldCharType="end"/>
      </w:r>
      <w:r w:rsidRPr="00EC0229">
        <w:t xml:space="preserve"> II's.</w:t>
      </w:r>
      <w:r w:rsidRPr="00EC0229">
        <w:rPr>
          <w:rStyle w:val="FootnoteReference"/>
        </w:rPr>
        <w:footnoteReference w:id="642"/>
      </w:r>
      <w:r w:rsidRPr="00EC0229">
        <w:t xml:space="preserve"> There was no incentive to issue any coin let alone risk adopting the penny.</w:t>
      </w:r>
      <w:r w:rsidRPr="00EC0229">
        <w:rPr>
          <w:rStyle w:val="FootnoteReference"/>
        </w:rPr>
        <w:footnoteReference w:id="643"/>
      </w:r>
    </w:p>
    <w:p w14:paraId="0CC7E623" w14:textId="77777777" w:rsidR="00A33875" w:rsidRPr="00EC0229" w:rsidRDefault="00A33875" w:rsidP="007600EA">
      <w:pPr>
        <w:pStyle w:val="NoSpacing"/>
        <w:spacing w:line="360" w:lineRule="auto"/>
      </w:pPr>
    </w:p>
    <w:p w14:paraId="6BD48D60" w14:textId="43681C84" w:rsidR="00A33875" w:rsidRPr="00EC0229" w:rsidRDefault="00A33875" w:rsidP="007600EA">
      <w:pPr>
        <w:pStyle w:val="NoSpacing"/>
        <w:spacing w:line="360" w:lineRule="auto"/>
      </w:pPr>
      <w:r w:rsidRPr="00EC0229">
        <w:t xml:space="preserve">Presumably it is the same </w:t>
      </w:r>
      <w:r w:rsidRPr="00EC0229">
        <w:rPr>
          <w:i/>
          <w:iCs/>
        </w:rPr>
        <w:t>monetarius</w:t>
      </w:r>
      <w:r w:rsidRPr="00EC0229">
        <w:rPr>
          <w:iCs/>
        </w:rPr>
        <w:t>,</w:t>
      </w:r>
      <w:r w:rsidR="00666179" w:rsidRPr="00EC0229">
        <w:t xml:space="preserve"> </w:t>
      </w:r>
      <w:bookmarkStart w:id="398" w:name="Cuthheard"/>
      <w:r w:rsidR="00666179" w:rsidRPr="00EC0229">
        <w:t>Cuthheard</w:t>
      </w:r>
      <w:bookmarkEnd w:id="398"/>
      <w:r w:rsidR="00D142DC" w:rsidRPr="00EC0229">
        <w:fldChar w:fldCharType="begin"/>
      </w:r>
      <w:r w:rsidR="00D142DC" w:rsidRPr="00EC0229">
        <w:instrText xml:space="preserve"> XE "Cuthheard" </w:instrText>
      </w:r>
      <w:r w:rsidR="00D142DC" w:rsidRPr="00EC0229">
        <w:fldChar w:fldCharType="end"/>
      </w:r>
      <w:r w:rsidRPr="00EC0229">
        <w:t xml:space="preserve">, who had been employed in the mint since, at the very latest, the introduction of the inscriptional reverse by </w:t>
      </w:r>
      <w:r w:rsidRPr="00EC0229">
        <w:rPr>
          <w:rFonts w:cs="Times New Roman"/>
        </w:rPr>
        <w:t>Æ</w:t>
      </w:r>
      <w:r w:rsidRPr="00EC0229">
        <w:t>lfwald</w:t>
      </w:r>
      <w:r w:rsidR="004C29A9" w:rsidRPr="00EC0229">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fldChar w:fldCharType="end"/>
      </w:r>
      <w:r w:rsidRPr="00EC0229">
        <w:t xml:space="preserve"> I,</w:t>
      </w:r>
      <w:r w:rsidRPr="00EC0229">
        <w:rPr>
          <w:rStyle w:val="FootnoteReference"/>
        </w:rPr>
        <w:footnoteReference w:id="644"/>
      </w:r>
      <w:r w:rsidR="003139C2" w:rsidRPr="00EC0229">
        <w:t xml:space="preserve"> who became</w:t>
      </w:r>
      <w:r w:rsidRPr="00EC0229">
        <w:t xml:space="preserve"> one of Eanred</w:t>
      </w:r>
      <w:r w:rsidR="00D142DC" w:rsidRPr="00EC0229">
        <w:fldChar w:fldCharType="begin"/>
      </w:r>
      <w:r w:rsidR="00D142DC" w:rsidRPr="00EC0229">
        <w:instrText xml:space="preserve"> XE "Eanred" </w:instrText>
      </w:r>
      <w:r w:rsidR="00D142DC" w:rsidRPr="00EC0229">
        <w:fldChar w:fldCharType="end"/>
      </w:r>
      <w:r w:rsidRPr="00EC0229">
        <w:t>'s Period N9</w:t>
      </w:r>
      <w:r w:rsidR="00135FD1" w:rsidRPr="00EC0229">
        <w:fldChar w:fldCharType="begin"/>
      </w:r>
      <w:r w:rsidR="00135FD1" w:rsidRPr="00EC0229">
        <w:instrText xml:space="preserve"> XE "</w:instrText>
      </w:r>
      <w:r w:rsidR="00135FD1" w:rsidRPr="00EC0229">
        <w:rPr>
          <w:rFonts w:cs="Times New Roman"/>
        </w:rPr>
        <w:instrText>Period N9</w:instrText>
      </w:r>
      <w:r w:rsidR="00135FD1" w:rsidRPr="00EC0229">
        <w:instrText xml:space="preserve">" </w:instrText>
      </w:r>
      <w:r w:rsidR="00135FD1" w:rsidRPr="00EC0229">
        <w:fldChar w:fldCharType="end"/>
      </w:r>
      <w:r w:rsidR="003139C2" w:rsidRPr="00EC0229">
        <w:t xml:space="preserve"> moneyers of </w:t>
      </w:r>
      <w:r w:rsidRPr="00EC0229">
        <w:t>the early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coins.</w:t>
      </w:r>
      <w:r w:rsidRPr="00EC0229">
        <w:rPr>
          <w:rStyle w:val="FootnoteReference"/>
        </w:rPr>
        <w:footnoteReference w:id="645"/>
      </w:r>
      <w:r w:rsidRPr="00EC0229">
        <w:t xml:space="preserve">  The chronology is uncertain; it could be argued that these came near the start of Eanred's reign otherwise Cuthheard is endowed with remarkable tenure for those precarious times.</w:t>
      </w:r>
      <w:r w:rsidRPr="00EC0229">
        <w:rPr>
          <w:rStyle w:val="FootnoteReference"/>
        </w:rPr>
        <w:footnoteReference w:id="646"/>
      </w:r>
      <w:r w:rsidRPr="00EC0229">
        <w:t>  Moreover, one would expect an economic recovery to have occurred by two decades after the 793-4 attacks. It is plausible that Eanred was attempting to resume the sceatta</w:t>
      </w:r>
      <w:r w:rsidR="00D142DC" w:rsidRPr="00EC0229">
        <w:fldChar w:fldCharType="begin"/>
      </w:r>
      <w:r w:rsidR="00D142DC" w:rsidRPr="00EC0229">
        <w:instrText xml:space="preserve"> XE "sceatta" </w:instrText>
      </w:r>
      <w:r w:rsidR="00D142DC" w:rsidRPr="00EC0229">
        <w:fldChar w:fldCharType="end"/>
      </w:r>
      <w:r w:rsidRPr="00EC0229">
        <w:t xml:space="preserve"> coinage and it is considerably later in his reign that he issued further, base coins. Only one of the </w:t>
      </w:r>
      <w:r w:rsidR="008D43EA" w:rsidRPr="00EC0229">
        <w:t>Group A/[</w:t>
      </w:r>
      <w:r w:rsidRPr="00EC0229">
        <w:t>N9</w:t>
      </w:r>
      <w:r w:rsidR="008D43EA" w:rsidRPr="00EC0229">
        <w:t>]</w:t>
      </w:r>
      <w:r w:rsidRPr="00EC0229">
        <w:t xml:space="preserve"> moneyers, </w:t>
      </w:r>
      <w:r w:rsidRPr="00EC0229">
        <w:rPr>
          <w:rFonts w:cs="Times New Roman"/>
        </w:rPr>
        <w:t>Æ</w:t>
      </w:r>
      <w:r w:rsidRPr="00EC0229">
        <w:t>thelweard, convincingly has the longevity (or acuity) to be re-engag</w:t>
      </w:r>
      <w:r w:rsidR="00962375" w:rsidRPr="00EC0229">
        <w:t>ed in minting the brass coinage,</w:t>
      </w:r>
      <w:r w:rsidRPr="00EC0229">
        <w:rPr>
          <w:rStyle w:val="FootnoteReference"/>
        </w:rPr>
        <w:footnoteReference w:id="647"/>
      </w:r>
      <w:r w:rsidRPr="00EC0229">
        <w:t xml:space="preserve"> </w:t>
      </w:r>
      <w:r w:rsidR="00962375" w:rsidRPr="00EC0229">
        <w:t>indicating another lengthy cessation.</w:t>
      </w:r>
    </w:p>
    <w:p w14:paraId="544092B6" w14:textId="77777777" w:rsidR="00A33875" w:rsidRPr="00EC0229" w:rsidRDefault="00A33875" w:rsidP="007600EA">
      <w:pPr>
        <w:pStyle w:val="NoSpacing"/>
        <w:spacing w:line="360" w:lineRule="auto"/>
      </w:pPr>
    </w:p>
    <w:p w14:paraId="4C492D41" w14:textId="4D18CF15" w:rsidR="00A33875" w:rsidRPr="00EC0229" w:rsidRDefault="00A33875" w:rsidP="007600EA">
      <w:pPr>
        <w:pStyle w:val="NoSpacing"/>
        <w:spacing w:line="360" w:lineRule="auto"/>
      </w:pPr>
      <w:r w:rsidRPr="00EC0229">
        <w:t>Eanred</w:t>
      </w:r>
      <w:r w:rsidR="00D142DC" w:rsidRPr="00EC0229">
        <w:fldChar w:fldCharType="begin"/>
      </w:r>
      <w:r w:rsidR="00D142DC" w:rsidRPr="00EC0229">
        <w:instrText xml:space="preserve"> XE "Eanred" </w:instrText>
      </w:r>
      <w:r w:rsidR="00D142DC" w:rsidRPr="00EC0229">
        <w:fldChar w:fldCharType="end"/>
      </w:r>
      <w:r w:rsidRPr="00EC0229">
        <w:t xml:space="preserve"> replaced silver with zinc, perhaps realising that this was a constructive step economically.</w:t>
      </w:r>
      <w:r w:rsidRPr="00EC0229">
        <w:rPr>
          <w:rStyle w:val="FootnoteReference"/>
        </w:rPr>
        <w:footnoteReference w:id="648"/>
      </w:r>
      <w:r w:rsidRPr="00EC0229">
        <w:t xml:space="preserve"> Hence, the currency of the Northumbrian sceat </w:t>
      </w:r>
      <w:r w:rsidR="008D6B10" w:rsidRPr="00EC0229">
        <w:t xml:space="preserve">is here extended </w:t>
      </w:r>
      <w:r w:rsidRPr="00EC0229">
        <w:t>to include these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emissions and the styca </w:t>
      </w:r>
      <w:r w:rsidR="008D6B10" w:rsidRPr="00EC0229">
        <w:t xml:space="preserve">is regarded </w:t>
      </w:r>
      <w:r w:rsidRPr="00EC0229">
        <w:t xml:space="preserve">as starting only when </w:t>
      </w:r>
      <w:r w:rsidR="00BD4B19" w:rsidRPr="00EC0229">
        <w:t xml:space="preserve">the copper alloy </w:t>
      </w:r>
      <w:r w:rsidR="00BD4B19" w:rsidRPr="00EC0229">
        <w:lastRenderedPageBreak/>
        <w:t>included zinc not silver</w:t>
      </w:r>
      <w:r w:rsidRPr="00EC0229">
        <w:t xml:space="preserve">. Indeed, any distinction seems increasingly contrived, as what we are seeing here is precisely the gradual, albeit fragmented, process of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w:t>
      </w:r>
    </w:p>
    <w:p w14:paraId="2E59E7FD" w14:textId="77777777" w:rsidR="00A33875" w:rsidRPr="00EC0229" w:rsidRDefault="00A33875" w:rsidP="007600EA">
      <w:pPr>
        <w:pStyle w:val="NoSpacing"/>
        <w:spacing w:line="360" w:lineRule="auto"/>
      </w:pPr>
    </w:p>
    <w:p w14:paraId="2CB626F4" w14:textId="40962E79" w:rsidR="00A33875" w:rsidRPr="00EC0229" w:rsidRDefault="00D13FC4" w:rsidP="007600EA">
      <w:pPr>
        <w:pStyle w:val="NoSpacing"/>
        <w:spacing w:line="360" w:lineRule="auto"/>
      </w:pPr>
      <w:bookmarkStart w:id="399" w:name="sceat2"/>
      <w:bookmarkStart w:id="400" w:name="Terminology"/>
      <w:bookmarkEnd w:id="399"/>
      <w:bookmarkEnd w:id="400"/>
      <w:r w:rsidRPr="00EC0229">
        <w:t>Belief that</w:t>
      </w:r>
      <w:r w:rsidR="00A33875" w:rsidRPr="00EC0229">
        <w:t xml:space="preserve"> it would simplify matters to abandon both the terms </w:t>
      </w:r>
      <w:r w:rsidR="00FA3672" w:rsidRPr="00EC0229">
        <w:t>‘</w:t>
      </w:r>
      <w:r w:rsidR="00A33875" w:rsidRPr="00EC0229">
        <w:t>sceat</w:t>
      </w:r>
      <w:r w:rsidR="00FA3672" w:rsidRPr="00EC0229">
        <w:t>’</w:t>
      </w:r>
      <w:r w:rsidR="00A33875" w:rsidRPr="00EC0229">
        <w:t xml:space="preserve"> and </w:t>
      </w:r>
      <w:r w:rsidR="00FA3672" w:rsidRPr="00EC0229">
        <w:t>‘</w:t>
      </w:r>
      <w:r w:rsidR="00A33875" w:rsidRPr="00EC0229">
        <w:t>styca</w:t>
      </w:r>
      <w:r w:rsidR="00FA3672" w:rsidRPr="00EC0229">
        <w:t>’</w:t>
      </w:r>
      <w:r w:rsidR="00A33875" w:rsidRPr="00EC0229">
        <w:t xml:space="preserve"> and merely refer to early</w:t>
      </w:r>
      <w:r w:rsidR="00BE2421" w:rsidRPr="00EC0229">
        <w:t xml:space="preserve"> (or proto-)</w:t>
      </w:r>
      <w:r w:rsidR="00A33875" w:rsidRPr="00EC0229">
        <w:t xml:space="preserve"> pennies</w:t>
      </w:r>
      <w:r w:rsidR="00B01507" w:rsidRPr="00EC0229">
        <w:t xml:space="preserve"> on the plausible grounds that this is historically more accurate</w:t>
      </w:r>
      <w:r w:rsidR="00A33875" w:rsidRPr="00EC0229">
        <w:t xml:space="preserve">, </w:t>
      </w:r>
      <w:r w:rsidR="00FA3672" w:rsidRPr="00EC0229">
        <w:t>is misguided.</w:t>
      </w:r>
      <w:r w:rsidR="00B01507" w:rsidRPr="00EC0229">
        <w:rPr>
          <w:rStyle w:val="FootnoteReference"/>
        </w:rPr>
        <w:footnoteReference w:id="649"/>
      </w:r>
      <w:r w:rsidR="00FA3672" w:rsidRPr="00EC0229">
        <w:t xml:space="preserve"> Conflating these two distinct denominations </w:t>
      </w:r>
      <w:r w:rsidR="00B01507" w:rsidRPr="00EC0229">
        <w:t xml:space="preserve">as pennies </w:t>
      </w:r>
      <w:r w:rsidR="00FA3672" w:rsidRPr="00EC0229">
        <w:t>and then differentiating the early- from the broad-penny does not add clarity. Moreover, c</w:t>
      </w:r>
      <w:r w:rsidR="00CB0453" w:rsidRPr="00EC0229">
        <w:t>ommon parlance,</w:t>
      </w:r>
      <w:r w:rsidR="00A33875" w:rsidRPr="00EC0229">
        <w:t xml:space="preserve"> </w:t>
      </w:r>
      <w:r w:rsidR="00CB0453" w:rsidRPr="00EC0229">
        <w:t xml:space="preserve">general comprehension and </w:t>
      </w:r>
      <w:r w:rsidR="00FA3672" w:rsidRPr="00EC0229">
        <w:t>routine</w:t>
      </w:r>
      <w:r w:rsidR="00A33875" w:rsidRPr="00EC0229">
        <w:t xml:space="preserve"> use in numismatic </w:t>
      </w:r>
      <w:r w:rsidR="00862F15" w:rsidRPr="00EC0229">
        <w:t>and</w:t>
      </w:r>
      <w:r w:rsidR="00A33875" w:rsidRPr="00EC0229">
        <w:t xml:space="preserve"> historic literature</w:t>
      </w:r>
      <w:r w:rsidR="00FA3672" w:rsidRPr="00EC0229">
        <w:t xml:space="preserve"> render this unfeasible</w:t>
      </w:r>
      <w:r w:rsidR="00CB0453" w:rsidRPr="00EC0229">
        <w:t xml:space="preserve">. </w:t>
      </w:r>
    </w:p>
    <w:p w14:paraId="630138B4" w14:textId="77777777" w:rsidR="00A33875" w:rsidRPr="00EC0229" w:rsidRDefault="00A33875" w:rsidP="007600EA">
      <w:pPr>
        <w:pStyle w:val="NoSpacing"/>
        <w:spacing w:line="360" w:lineRule="auto"/>
      </w:pPr>
    </w:p>
    <w:p w14:paraId="40E937F8" w14:textId="3393D9A7" w:rsidR="00A33875" w:rsidRPr="00EC0229" w:rsidRDefault="00A33875" w:rsidP="007600EA">
      <w:pPr>
        <w:pStyle w:val="NoSpacing"/>
        <w:spacing w:line="360" w:lineRule="auto"/>
        <w:rPr>
          <w:color w:val="000000" w:themeColor="text1"/>
        </w:rPr>
      </w:pPr>
      <w:r w:rsidRPr="00EC0229">
        <w:t>Northumbrian stycas are amongst the most unpretentious of currencies. They state the name of the issuer, monarch or archbishop, on the obverse and the moneyer’s name on the reverse. Out of the entire corpus, only a tiny number of coins, struck by the moneyer Leofthegn, portray an animal</w:t>
      </w:r>
      <w:r w:rsidR="002A6FBE" w:rsidRPr="00EC0229">
        <w:t xml:space="preserve"> </w:t>
      </w:r>
      <w:r w:rsidR="002A6FBE" w:rsidRPr="00EC0229">
        <w:rPr>
          <w:szCs w:val="24"/>
        </w:rPr>
        <w:t>(</w:t>
      </w:r>
      <w:r w:rsidR="008C418A" w:rsidRPr="00EC0229">
        <w:rPr>
          <w:rFonts w:cs="Times New Roman"/>
          <w:szCs w:val="24"/>
        </w:rPr>
        <w:fldChar w:fldCharType="begin"/>
      </w:r>
      <w:r w:rsidR="008C418A" w:rsidRPr="00EC0229">
        <w:rPr>
          <w:szCs w:val="24"/>
        </w:rPr>
        <w:instrText xml:space="preserve"> REF _Ref430246708 \h </w:instrText>
      </w:r>
      <w:r w:rsidR="007224B1"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54</w:t>
      </w:r>
      <w:r w:rsidR="008C418A" w:rsidRPr="00EC0229">
        <w:rPr>
          <w:rFonts w:cs="Times New Roman"/>
          <w:szCs w:val="24"/>
        </w:rPr>
        <w:fldChar w:fldCharType="end"/>
      </w:r>
      <w:r w:rsidR="002A6FBE" w:rsidRPr="00EC0229">
        <w:rPr>
          <w:rFonts w:cs="Times New Roman"/>
        </w:rPr>
        <w:t>)</w:t>
      </w:r>
      <w:r w:rsidRPr="00EC0229">
        <w:t>.</w:t>
      </w:r>
      <w:r w:rsidRPr="00EC0229">
        <w:rPr>
          <w:rStyle w:val="FootnoteReference"/>
        </w:rPr>
        <w:footnoteReference w:id="650"/>
      </w:r>
    </w:p>
    <w:p w14:paraId="4E14F21F" w14:textId="77777777" w:rsidR="00A33875" w:rsidRPr="00EC0229" w:rsidRDefault="00A33875" w:rsidP="007600EA">
      <w:pPr>
        <w:pStyle w:val="NoSpacing"/>
        <w:spacing w:line="360" w:lineRule="auto"/>
        <w:jc w:val="center"/>
      </w:pPr>
      <w:r w:rsidRPr="00EC0229">
        <w:rPr>
          <w:noProof/>
          <w:lang w:eastAsia="en-GB"/>
        </w:rPr>
        <w:drawing>
          <wp:inline distT="0" distB="0" distL="0" distR="0" wp14:anchorId="1F96E60B" wp14:editId="7B03F5DB">
            <wp:extent cx="1080000" cy="1080000"/>
            <wp:effectExtent l="0" t="0" r="635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tyca 3-25s-01 Y1820R.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14:paraId="4EF036F4" w14:textId="6DE3BE5B" w:rsidR="00E80E91" w:rsidRPr="00EC0229" w:rsidRDefault="00F13F40" w:rsidP="007600EA">
      <w:pPr>
        <w:pStyle w:val="NoSpacing"/>
        <w:spacing w:line="360" w:lineRule="auto"/>
        <w:jc w:val="center"/>
        <w:rPr>
          <w:sz w:val="20"/>
          <w:szCs w:val="20"/>
        </w:rPr>
      </w:pPr>
      <w:bookmarkStart w:id="401" w:name="_Ref430246708"/>
      <w:bookmarkStart w:id="402" w:name="_Toc46826702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54</w:t>
      </w:r>
      <w:r w:rsidRPr="00EC0229">
        <w:rPr>
          <w:sz w:val="20"/>
          <w:szCs w:val="20"/>
        </w:rPr>
        <w:fldChar w:fldCharType="end"/>
      </w:r>
      <w:bookmarkEnd w:id="401"/>
      <w:r w:rsidR="002A6FBE" w:rsidRPr="00EC0229">
        <w:rPr>
          <w:sz w:val="20"/>
          <w:szCs w:val="20"/>
        </w:rPr>
        <w:t xml:space="preserve">: </w:t>
      </w:r>
      <w:r w:rsidR="00E80E91" w:rsidRPr="00EC0229">
        <w:rPr>
          <w:sz w:val="20"/>
          <w:szCs w:val="20"/>
        </w:rPr>
        <w:t>The only styca with portrayal</w:t>
      </w:r>
      <w:bookmarkEnd w:id="402"/>
    </w:p>
    <w:p w14:paraId="14995E9D" w14:textId="0320228A" w:rsidR="00A33875" w:rsidRPr="00EC0229" w:rsidRDefault="00361C8C" w:rsidP="007600EA">
      <w:pPr>
        <w:pStyle w:val="NoSpacing"/>
        <w:spacing w:line="360" w:lineRule="auto"/>
        <w:jc w:val="center"/>
        <w:rPr>
          <w:sz w:val="20"/>
          <w:szCs w:val="20"/>
        </w:rPr>
      </w:pPr>
      <w:r w:rsidRPr="00EC0229">
        <w:rPr>
          <w:sz w:val="20"/>
          <w:szCs w:val="20"/>
        </w:rPr>
        <w:t>The</w:t>
      </w:r>
      <w:r w:rsidR="00A33875" w:rsidRPr="00EC0229">
        <w:rPr>
          <w:sz w:val="20"/>
          <w:szCs w:val="20"/>
        </w:rPr>
        <w:t xml:space="preserve"> ‘hound’ type of Leofthegn with triquetra in field.</w:t>
      </w:r>
    </w:p>
    <w:p w14:paraId="5ACF6E39" w14:textId="77777777" w:rsidR="00A33875" w:rsidRPr="00EC0229" w:rsidRDefault="00A33875" w:rsidP="007600EA">
      <w:pPr>
        <w:pStyle w:val="NoSpacing"/>
        <w:spacing w:line="360" w:lineRule="auto"/>
        <w:rPr>
          <w:sz w:val="20"/>
          <w:szCs w:val="20"/>
        </w:rPr>
      </w:pPr>
    </w:p>
    <w:p w14:paraId="62C45B98" w14:textId="34E687C2" w:rsidR="00A33875" w:rsidRPr="00EC0229" w:rsidRDefault="000F22E8" w:rsidP="007600EA">
      <w:pPr>
        <w:pStyle w:val="NoSpacing"/>
        <w:spacing w:line="360" w:lineRule="auto"/>
      </w:pPr>
      <w:r>
        <w:t>T</w:t>
      </w:r>
      <w:r w:rsidR="00A33875" w:rsidRPr="00EC0229">
        <w:t>he initial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00A33875" w:rsidRPr="00EC0229">
        <w:t xml:space="preserve"> emissions of Eanred</w:t>
      </w:r>
      <w:r w:rsidR="00D142DC" w:rsidRPr="00EC0229">
        <w:fldChar w:fldCharType="begin"/>
      </w:r>
      <w:r w:rsidR="00D142DC" w:rsidRPr="00EC0229">
        <w:instrText xml:space="preserve"> XE "Eanred" </w:instrText>
      </w:r>
      <w:r w:rsidR="00D142DC" w:rsidRPr="00EC0229">
        <w:fldChar w:fldCharType="end"/>
      </w:r>
      <w:r w:rsidR="00A33875" w:rsidRPr="00EC0229">
        <w:t xml:space="preserve"> </w:t>
      </w:r>
      <w:r w:rsidR="002A6FBE" w:rsidRPr="00EC0229">
        <w:rPr>
          <w:szCs w:val="24"/>
        </w:rPr>
        <w:t>(</w:t>
      </w:r>
      <w:r w:rsidR="008C418A" w:rsidRPr="00EC0229">
        <w:rPr>
          <w:rFonts w:cs="Times New Roman"/>
          <w:szCs w:val="24"/>
        </w:rPr>
        <w:fldChar w:fldCharType="begin"/>
      </w:r>
      <w:r w:rsidR="008C418A" w:rsidRPr="00EC0229">
        <w:rPr>
          <w:szCs w:val="24"/>
        </w:rPr>
        <w:instrText xml:space="preserve"> REF _Ref430246724 \h </w:instrText>
      </w:r>
      <w:r w:rsidR="007224B1"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55</w:t>
      </w:r>
      <w:r w:rsidR="008C418A" w:rsidRPr="00EC0229">
        <w:rPr>
          <w:rFonts w:cs="Times New Roman"/>
          <w:szCs w:val="24"/>
        </w:rPr>
        <w:fldChar w:fldCharType="end"/>
      </w:r>
      <w:r w:rsidR="002A6FBE" w:rsidRPr="00EC0229">
        <w:rPr>
          <w:rFonts w:cs="Times New Roman"/>
        </w:rPr>
        <w:t xml:space="preserve">) </w:t>
      </w:r>
      <w:r w:rsidR="00A33875" w:rsidRPr="00EC0229">
        <w:t>are chronologically skewed towards earlier sceats by the presence of the moneyer Cuthheard</w:t>
      </w:r>
      <w:r w:rsidR="00D142DC" w:rsidRPr="00EC0229">
        <w:fldChar w:fldCharType="begin"/>
      </w:r>
      <w:r w:rsidR="00D142DC" w:rsidRPr="00EC0229">
        <w:instrText xml:space="preserve"> XE "Cuthheard" </w:instrText>
      </w:r>
      <w:r w:rsidR="00D142DC" w:rsidRPr="00EC0229">
        <w:fldChar w:fldCharType="end"/>
      </w:r>
      <w:r w:rsidR="00A33875" w:rsidRPr="00EC0229">
        <w:t xml:space="preserve"> and are distanced from the later base issues by the absence of ten of the eleven earlier Group A</w:t>
      </w:r>
      <w:r w:rsidR="008960AE" w:rsidRPr="00EC0229">
        <w:fldChar w:fldCharType="begin"/>
      </w:r>
      <w:r w:rsidR="008960AE" w:rsidRPr="00EC0229">
        <w:instrText xml:space="preserve"> XE "Group A" </w:instrText>
      </w:r>
      <w:r w:rsidR="008960AE" w:rsidRPr="00EC0229">
        <w:fldChar w:fldCharType="end"/>
      </w:r>
      <w:r w:rsidR="00A33875" w:rsidRPr="00EC0229">
        <w:t>/</w:t>
      </w:r>
      <w:r w:rsidR="00986036" w:rsidRPr="00EC0229">
        <w:t>[</w:t>
      </w:r>
      <w:r w:rsidR="00A33875" w:rsidRPr="00EC0229">
        <w:t>N9</w:t>
      </w:r>
      <w:r w:rsidR="00986036" w:rsidRPr="00EC0229">
        <w:t>]</w:t>
      </w:r>
      <w:r w:rsidR="00A33875" w:rsidRPr="00EC0229">
        <w:t xml:space="preserve"> moneyers of Eanred.</w:t>
      </w:r>
      <w:r w:rsidR="00A33875" w:rsidRPr="00EC0229">
        <w:rPr>
          <w:rStyle w:val="FootnoteReference"/>
        </w:rPr>
        <w:footnoteReference w:id="651"/>
      </w:r>
      <w:r w:rsidR="00A33875" w:rsidRPr="00EC0229">
        <w:t xml:space="preserve"> From around 830 to 866/7, stycas were issued, usually in base metal</w:t>
      </w:r>
      <w:r w:rsidR="002A6FBE" w:rsidRPr="00EC0229">
        <w:t xml:space="preserve"> </w:t>
      </w:r>
      <w:r w:rsidR="002A6FBE" w:rsidRPr="00EC0229">
        <w:rPr>
          <w:szCs w:val="24"/>
        </w:rPr>
        <w:t>(</w:t>
      </w:r>
      <w:r w:rsidR="008C418A" w:rsidRPr="00EC0229">
        <w:rPr>
          <w:rFonts w:cs="Times New Roman"/>
          <w:i/>
          <w:szCs w:val="24"/>
        </w:rPr>
        <w:fldChar w:fldCharType="begin"/>
      </w:r>
      <w:r w:rsidR="008C418A" w:rsidRPr="00EC0229">
        <w:rPr>
          <w:i/>
          <w:szCs w:val="24"/>
        </w:rPr>
        <w:instrText xml:space="preserve"> REF _Ref430246734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56</w:t>
      </w:r>
      <w:r w:rsidR="008C418A" w:rsidRPr="00EC0229">
        <w:rPr>
          <w:rFonts w:cs="Times New Roman"/>
          <w:szCs w:val="24"/>
        </w:rPr>
        <w:fldChar w:fldCharType="end"/>
      </w:r>
      <w:r w:rsidR="002A6FBE" w:rsidRPr="00EC0229">
        <w:rPr>
          <w:rFonts w:cs="Times New Roman"/>
        </w:rPr>
        <w:t>)</w:t>
      </w:r>
      <w:r w:rsidR="00A33875" w:rsidRPr="00EC0229">
        <w:t>,</w:t>
      </w:r>
      <w:r w:rsidR="00A33875" w:rsidRPr="00EC0229">
        <w:rPr>
          <w:rStyle w:val="FootnoteReference"/>
        </w:rPr>
        <w:footnoteReference w:id="652"/>
      </w:r>
      <w:r w:rsidR="00A33875" w:rsidRPr="00EC0229">
        <w:t xml:space="preserve"> for four monarchs (one restored) and three archbishops by a total of twenty-six moneyers.</w:t>
      </w:r>
      <w:bookmarkStart w:id="403" w:name="_Ref428786437"/>
      <w:r w:rsidR="00A33875" w:rsidRPr="00EC0229">
        <w:rPr>
          <w:rStyle w:val="FootnoteReference"/>
        </w:rPr>
        <w:footnoteReference w:id="653"/>
      </w:r>
      <w:bookmarkEnd w:id="403"/>
      <w:r w:rsidR="00A33875" w:rsidRPr="00EC0229">
        <w:t xml:space="preserve"> The only elaboration is the repertoire of around fifty different central </w:t>
      </w:r>
      <w:r w:rsidR="00347000" w:rsidRPr="00EC0229">
        <w:t>motifs</w:t>
      </w:r>
      <w:r w:rsidR="00A33875" w:rsidRPr="00EC0229">
        <w:t>.</w:t>
      </w:r>
    </w:p>
    <w:p w14:paraId="21FABCB9" w14:textId="7B92173E" w:rsidR="00A33875" w:rsidRPr="00EC0229" w:rsidRDefault="00A33875" w:rsidP="007600EA">
      <w:pPr>
        <w:spacing w:line="360" w:lineRule="auto"/>
        <w:rPr>
          <w:sz w:val="20"/>
          <w:szCs w:val="20"/>
        </w:rPr>
      </w:pPr>
    </w:p>
    <w:p w14:paraId="2B26CB44" w14:textId="77777777" w:rsidR="00A33875" w:rsidRPr="00EC0229" w:rsidRDefault="00A33875" w:rsidP="007600EA">
      <w:pPr>
        <w:pStyle w:val="NoSpacing"/>
        <w:spacing w:line="360" w:lineRule="auto"/>
        <w:jc w:val="center"/>
        <w:rPr>
          <w:sz w:val="20"/>
          <w:szCs w:val="20"/>
        </w:rPr>
      </w:pPr>
      <w:r w:rsidRPr="00EC0229">
        <w:rPr>
          <w:noProof/>
          <w:sz w:val="20"/>
          <w:szCs w:val="20"/>
          <w:lang w:eastAsia="en-GB"/>
        </w:rPr>
        <w:lastRenderedPageBreak/>
        <w:drawing>
          <wp:inline distT="0" distB="0" distL="0" distR="0" wp14:anchorId="61FBC5CC" wp14:editId="12E00B0A">
            <wp:extent cx="944880" cy="948029"/>
            <wp:effectExtent l="0" t="0" r="7620"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tyca 2-11-01 Y1450.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949196" cy="952360"/>
                    </a:xfrm>
                    <a:prstGeom prst="rect">
                      <a:avLst/>
                    </a:prstGeom>
                  </pic:spPr>
                </pic:pic>
              </a:graphicData>
            </a:graphic>
          </wp:inline>
        </w:drawing>
      </w:r>
      <w:r w:rsidRPr="00EC0229">
        <w:rPr>
          <w:noProof/>
          <w:sz w:val="20"/>
          <w:szCs w:val="20"/>
          <w:lang w:eastAsia="en-GB"/>
        </w:rPr>
        <w:drawing>
          <wp:inline distT="0" distB="0" distL="0" distR="0" wp14:anchorId="38142FA3" wp14:editId="7974521C">
            <wp:extent cx="990600" cy="9906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tyca 2-11-01 Y1450R.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991055" cy="991055"/>
                    </a:xfrm>
                    <a:prstGeom prst="rect">
                      <a:avLst/>
                    </a:prstGeom>
                  </pic:spPr>
                </pic:pic>
              </a:graphicData>
            </a:graphic>
          </wp:inline>
        </w:drawing>
      </w:r>
      <w:r w:rsidRPr="00EC0229">
        <w:rPr>
          <w:sz w:val="20"/>
          <w:szCs w:val="20"/>
        </w:rPr>
        <w:tab/>
      </w:r>
      <w:r w:rsidRPr="00EC0229">
        <w:rPr>
          <w:sz w:val="20"/>
          <w:szCs w:val="20"/>
        </w:rPr>
        <w:tab/>
      </w:r>
      <w:r w:rsidRPr="00EC0229">
        <w:rPr>
          <w:noProof/>
          <w:sz w:val="20"/>
          <w:szCs w:val="20"/>
          <w:lang w:eastAsia="en-GB"/>
        </w:rPr>
        <w:drawing>
          <wp:inline distT="0" distB="0" distL="0" distR="0" wp14:anchorId="7E7EEA76" wp14:editId="65F5BF74">
            <wp:extent cx="1028700" cy="968692"/>
            <wp:effectExtent l="0" t="0" r="0" b="317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tyca 3-30-01 Y1750.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039715" cy="979064"/>
                    </a:xfrm>
                    <a:prstGeom prst="rect">
                      <a:avLst/>
                    </a:prstGeom>
                  </pic:spPr>
                </pic:pic>
              </a:graphicData>
            </a:graphic>
          </wp:inline>
        </w:drawing>
      </w:r>
      <w:r w:rsidRPr="00EC0229">
        <w:rPr>
          <w:noProof/>
          <w:sz w:val="20"/>
          <w:szCs w:val="20"/>
          <w:lang w:eastAsia="en-GB"/>
        </w:rPr>
        <w:drawing>
          <wp:inline distT="0" distB="0" distL="0" distR="0" wp14:anchorId="1FBEB875" wp14:editId="72B728E2">
            <wp:extent cx="930987" cy="948055"/>
            <wp:effectExtent l="0" t="0" r="2540" b="444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tyca 3-30-01 Y1750R.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942578" cy="959858"/>
                    </a:xfrm>
                    <a:prstGeom prst="rect">
                      <a:avLst/>
                    </a:prstGeom>
                  </pic:spPr>
                </pic:pic>
              </a:graphicData>
            </a:graphic>
          </wp:inline>
        </w:drawing>
      </w:r>
    </w:p>
    <w:p w14:paraId="0A50C32D" w14:textId="4C17CFC9" w:rsidR="00A33875" w:rsidRPr="00EC0229" w:rsidRDefault="00F13F40" w:rsidP="007600EA">
      <w:pPr>
        <w:pStyle w:val="NoSpacing"/>
        <w:spacing w:line="360" w:lineRule="auto"/>
        <w:jc w:val="center"/>
        <w:rPr>
          <w:sz w:val="20"/>
          <w:szCs w:val="20"/>
        </w:rPr>
      </w:pPr>
      <w:bookmarkStart w:id="404" w:name="_Ref430246724"/>
      <w:bookmarkStart w:id="405" w:name="_Toc46826702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55</w:t>
      </w:r>
      <w:r w:rsidRPr="00EC0229">
        <w:rPr>
          <w:sz w:val="20"/>
          <w:szCs w:val="20"/>
        </w:rPr>
        <w:fldChar w:fldCharType="end"/>
      </w:r>
      <w:bookmarkEnd w:id="404"/>
      <w:r w:rsidR="002A6FBE" w:rsidRPr="00EC0229">
        <w:rPr>
          <w:sz w:val="20"/>
          <w:szCs w:val="20"/>
        </w:rPr>
        <w:t xml:space="preserve">: (L) </w:t>
      </w:r>
      <w:r w:rsidR="00A33875" w:rsidRPr="00EC0229">
        <w:rPr>
          <w:sz w:val="20"/>
          <w:szCs w:val="20"/>
        </w:rPr>
        <w:t>Eanred</w:t>
      </w:r>
      <w:r w:rsidR="00D142DC" w:rsidRPr="00EC0229">
        <w:rPr>
          <w:sz w:val="20"/>
          <w:szCs w:val="20"/>
        </w:rPr>
        <w:fldChar w:fldCharType="begin"/>
      </w:r>
      <w:r w:rsidR="00D142DC" w:rsidRPr="00EC0229">
        <w:rPr>
          <w:sz w:val="20"/>
          <w:szCs w:val="20"/>
        </w:rPr>
        <w:instrText xml:space="preserve"> XE "Eanred" </w:instrText>
      </w:r>
      <w:r w:rsidR="00D142DC" w:rsidRPr="00EC0229">
        <w:rPr>
          <w:sz w:val="20"/>
          <w:szCs w:val="20"/>
        </w:rPr>
        <w:fldChar w:fldCharType="end"/>
      </w:r>
      <w:r w:rsidR="00A33875" w:rsidRPr="00EC0229">
        <w:rPr>
          <w:sz w:val="20"/>
          <w:szCs w:val="20"/>
        </w:rPr>
        <w:t>’s initial silver-alloy</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silver-alloy</w:instrText>
      </w:r>
      <w:r w:rsidR="008960AE" w:rsidRPr="00EC0229">
        <w:rPr>
          <w:sz w:val="20"/>
          <w:szCs w:val="20"/>
        </w:rPr>
        <w:instrText xml:space="preserve">" </w:instrText>
      </w:r>
      <w:r w:rsidR="008960AE" w:rsidRPr="00EC0229">
        <w:rPr>
          <w:sz w:val="20"/>
          <w:szCs w:val="20"/>
        </w:rPr>
        <w:fldChar w:fldCharType="end"/>
      </w:r>
      <w:r w:rsidR="00A33875" w:rsidRPr="00EC0229">
        <w:rPr>
          <w:sz w:val="20"/>
          <w:szCs w:val="20"/>
        </w:rPr>
        <w:t xml:space="preserve"> sceatta</w:t>
      </w:r>
      <w:r w:rsidR="00D142DC" w:rsidRPr="00EC0229">
        <w:rPr>
          <w:sz w:val="20"/>
          <w:szCs w:val="20"/>
        </w:rPr>
        <w:fldChar w:fldCharType="begin"/>
      </w:r>
      <w:r w:rsidR="00D142DC" w:rsidRPr="00EC0229">
        <w:rPr>
          <w:sz w:val="20"/>
          <w:szCs w:val="20"/>
        </w:rPr>
        <w:instrText xml:space="preserve"> XE "sceatta" </w:instrText>
      </w:r>
      <w:r w:rsidR="00D142DC" w:rsidRPr="00EC0229">
        <w:rPr>
          <w:sz w:val="20"/>
          <w:szCs w:val="20"/>
        </w:rPr>
        <w:fldChar w:fldCharType="end"/>
      </w:r>
      <w:r w:rsidR="00A33875" w:rsidRPr="00EC0229">
        <w:rPr>
          <w:sz w:val="20"/>
          <w:szCs w:val="20"/>
        </w:rPr>
        <w:t xml:space="preserve"> </w:t>
      </w:r>
      <w:r w:rsidR="002A206F" w:rsidRPr="00EC0229">
        <w:rPr>
          <w:sz w:val="20"/>
          <w:szCs w:val="20"/>
        </w:rPr>
        <w:t>coinage: Eadwine for Eanred.</w:t>
      </w:r>
      <w:bookmarkEnd w:id="405"/>
    </w:p>
    <w:p w14:paraId="575C5629" w14:textId="2C447C2D" w:rsidR="00A33875" w:rsidRPr="00EC0229" w:rsidRDefault="00F13F40" w:rsidP="007600EA">
      <w:pPr>
        <w:pStyle w:val="NoSpacing"/>
        <w:spacing w:line="360" w:lineRule="auto"/>
        <w:jc w:val="center"/>
        <w:rPr>
          <w:sz w:val="20"/>
          <w:szCs w:val="20"/>
        </w:rPr>
      </w:pPr>
      <w:bookmarkStart w:id="406" w:name="_Ref430246734"/>
      <w:bookmarkStart w:id="407" w:name="_Toc46826702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56</w:t>
      </w:r>
      <w:r w:rsidRPr="00EC0229">
        <w:rPr>
          <w:sz w:val="20"/>
          <w:szCs w:val="20"/>
        </w:rPr>
        <w:fldChar w:fldCharType="end"/>
      </w:r>
      <w:bookmarkEnd w:id="406"/>
      <w:r w:rsidR="002A6FBE" w:rsidRPr="00EC0229">
        <w:rPr>
          <w:sz w:val="20"/>
          <w:szCs w:val="20"/>
        </w:rPr>
        <w:t>: (R)</w:t>
      </w:r>
      <w:r w:rsidR="00A33875" w:rsidRPr="00EC0229">
        <w:rPr>
          <w:sz w:val="20"/>
          <w:szCs w:val="20"/>
        </w:rPr>
        <w:t xml:space="preserve"> the subsequent base issues: Wendelberht for </w:t>
      </w:r>
      <w:r w:rsidR="00A33875" w:rsidRPr="00EC0229">
        <w:rPr>
          <w:rFonts w:cs="Times New Roman"/>
          <w:sz w:val="20"/>
          <w:szCs w:val="20"/>
        </w:rPr>
        <w:t>Æ</w:t>
      </w:r>
      <w:r w:rsidR="00A33875" w:rsidRPr="00EC0229">
        <w:rPr>
          <w:sz w:val="20"/>
          <w:szCs w:val="20"/>
        </w:rPr>
        <w:t>thelred</w:t>
      </w:r>
      <w:r w:rsidR="00D142DC" w:rsidRPr="00EC0229">
        <w:rPr>
          <w:sz w:val="20"/>
          <w:szCs w:val="20"/>
        </w:rPr>
        <w:fldChar w:fldCharType="begin"/>
      </w:r>
      <w:r w:rsidR="00D142DC" w:rsidRPr="00EC0229">
        <w:rPr>
          <w:sz w:val="20"/>
          <w:szCs w:val="20"/>
        </w:rPr>
        <w:instrText xml:space="preserve"> XE "</w:instrText>
      </w:r>
      <w:r w:rsidR="00D142DC" w:rsidRPr="00EC0229">
        <w:rPr>
          <w:rFonts w:cs="Times New Roman"/>
          <w:sz w:val="20"/>
          <w:szCs w:val="20"/>
        </w:rPr>
        <w:instrText>Æ</w:instrText>
      </w:r>
      <w:r w:rsidR="00D142DC" w:rsidRPr="00EC0229">
        <w:rPr>
          <w:sz w:val="20"/>
          <w:szCs w:val="20"/>
        </w:rPr>
        <w:instrText xml:space="preserve">thelred" </w:instrText>
      </w:r>
      <w:r w:rsidR="00D142DC" w:rsidRPr="00EC0229">
        <w:rPr>
          <w:sz w:val="20"/>
          <w:szCs w:val="20"/>
        </w:rPr>
        <w:fldChar w:fldCharType="end"/>
      </w:r>
      <w:r w:rsidR="002A206F" w:rsidRPr="00EC0229">
        <w:rPr>
          <w:sz w:val="20"/>
          <w:szCs w:val="20"/>
        </w:rPr>
        <w:t xml:space="preserve"> II (f</w:t>
      </w:r>
      <w:r w:rsidR="00A33875" w:rsidRPr="00EC0229">
        <w:rPr>
          <w:sz w:val="20"/>
          <w:szCs w:val="20"/>
        </w:rPr>
        <w:t>ound Driffield</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rFonts w:eastAsia="Times New Roman"/>
          <w:noProof/>
          <w:sz w:val="20"/>
          <w:szCs w:val="20"/>
          <w:u w:val="none"/>
          <w:lang w:eastAsia="en-GB"/>
        </w:rPr>
        <w:instrText>Driffield</w:instrText>
      </w:r>
      <w:r w:rsidR="006B1593" w:rsidRPr="00EC0229">
        <w:rPr>
          <w:sz w:val="20"/>
          <w:szCs w:val="20"/>
        </w:rPr>
        <w:instrText xml:space="preserve">" </w:instrText>
      </w:r>
      <w:r w:rsidR="006B1593" w:rsidRPr="00EC0229">
        <w:rPr>
          <w:sz w:val="20"/>
          <w:szCs w:val="20"/>
        </w:rPr>
        <w:fldChar w:fldCharType="end"/>
      </w:r>
      <w:r w:rsidR="00A33875" w:rsidRPr="00EC0229">
        <w:rPr>
          <w:sz w:val="20"/>
          <w:szCs w:val="20"/>
        </w:rPr>
        <w:t>).</w:t>
      </w:r>
      <w:bookmarkEnd w:id="407"/>
    </w:p>
    <w:p w14:paraId="0C62414F" w14:textId="77777777" w:rsidR="00A33875" w:rsidRPr="00EC0229" w:rsidRDefault="00A33875" w:rsidP="007600EA">
      <w:pPr>
        <w:pStyle w:val="NoSpacing"/>
        <w:spacing w:line="360" w:lineRule="auto"/>
        <w:jc w:val="center"/>
        <w:rPr>
          <w:sz w:val="20"/>
          <w:szCs w:val="20"/>
        </w:rPr>
      </w:pPr>
    </w:p>
    <w:p w14:paraId="30702215" w14:textId="317250A3" w:rsidR="00A33875" w:rsidRPr="00EC0229" w:rsidRDefault="00A33875" w:rsidP="007600EA">
      <w:pPr>
        <w:spacing w:line="360" w:lineRule="auto"/>
        <w:rPr>
          <w:rFonts w:cs="Times New Roman"/>
          <w:szCs w:val="24"/>
        </w:rPr>
      </w:pPr>
      <w:r w:rsidRPr="00EC0229">
        <w:rPr>
          <w:rFonts w:cs="Times New Roman"/>
          <w:szCs w:val="24"/>
        </w:rPr>
        <w:t>Towards the end of Eanred</w:t>
      </w:r>
      <w:r w:rsidR="00D142DC" w:rsidRPr="00EC0229">
        <w:rPr>
          <w:rFonts w:cs="Times New Roman"/>
          <w:szCs w:val="24"/>
        </w:rPr>
        <w:fldChar w:fldCharType="begin"/>
      </w:r>
      <w:r w:rsidR="00D142DC" w:rsidRPr="00EC0229">
        <w:instrText xml:space="preserve"> XE "Eanred" </w:instrText>
      </w:r>
      <w:r w:rsidR="00D142DC" w:rsidRPr="00EC0229">
        <w:rPr>
          <w:rFonts w:cs="Times New Roman"/>
          <w:szCs w:val="24"/>
        </w:rPr>
        <w:fldChar w:fldCharType="end"/>
      </w:r>
      <w:r w:rsidRPr="00EC0229">
        <w:rPr>
          <w:rFonts w:cs="Times New Roman"/>
          <w:szCs w:val="24"/>
        </w:rPr>
        <w:t>’s reign there is a substantial increase in the number of money</w:t>
      </w:r>
      <w:r w:rsidR="00562414" w:rsidRPr="00EC0229">
        <w:rPr>
          <w:rFonts w:cs="Times New Roman"/>
          <w:szCs w:val="24"/>
        </w:rPr>
        <w:t xml:space="preserve">ers presumably in an effort to </w:t>
      </w:r>
      <w:r w:rsidRPr="00EC0229">
        <w:rPr>
          <w:rFonts w:cs="Times New Roman"/>
          <w:szCs w:val="24"/>
        </w:rPr>
        <w:t>a</w:t>
      </w:r>
      <w:r w:rsidR="00562414" w:rsidRPr="00EC0229">
        <w:rPr>
          <w:rFonts w:cs="Times New Roman"/>
          <w:szCs w:val="24"/>
        </w:rPr>
        <w:t>u</w:t>
      </w:r>
      <w:r w:rsidRPr="00EC0229">
        <w:rPr>
          <w:rFonts w:cs="Times New Roman"/>
          <w:szCs w:val="24"/>
        </w:rPr>
        <w:t>gment the volume of silver-free coins produced, in response to economic growth, increased penetration of coinage into lower levels of society occasioned by the fall in intrinsic value or the attraction of the fiscal pull of the ‘widow’s mite’</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widow’s mite</w:instrText>
      </w:r>
      <w:r w:rsidR="008960AE" w:rsidRPr="00EC0229">
        <w:instrText xml:space="preserve">" </w:instrText>
      </w:r>
      <w:r w:rsidR="008960AE" w:rsidRPr="00EC0229">
        <w:rPr>
          <w:rFonts w:cs="Times New Roman"/>
          <w:szCs w:val="24"/>
        </w:rPr>
        <w:fldChar w:fldCharType="end"/>
      </w:r>
      <w:r w:rsidR="00347000" w:rsidRPr="00EC0229">
        <w:rPr>
          <w:rFonts w:cs="Times New Roman"/>
          <w:szCs w:val="24"/>
        </w:rPr>
        <w:t xml:space="preserve">. </w:t>
      </w:r>
    </w:p>
    <w:p w14:paraId="58D843D0" w14:textId="7B4A287A" w:rsidR="00A33875" w:rsidRPr="00EC0229" w:rsidRDefault="00A33875" w:rsidP="007600EA">
      <w:pPr>
        <w:spacing w:line="360" w:lineRule="auto"/>
        <w:rPr>
          <w:rFonts w:cs="Times New Roman"/>
          <w:szCs w:val="24"/>
        </w:rPr>
      </w:pPr>
      <w:r w:rsidRPr="00EC0229">
        <w:rPr>
          <w:rFonts w:cs="Times New Roman"/>
          <w:szCs w:val="24"/>
        </w:rPr>
        <w:t>Increased production is accompanied by a decline in mint discipline. Dies are matched promiscuously and combinations proliferate.</w:t>
      </w:r>
      <w:r w:rsidRPr="00EC0229">
        <w:rPr>
          <w:rStyle w:val="FootnoteReference"/>
          <w:rFonts w:cs="Times New Roman"/>
          <w:szCs w:val="24"/>
        </w:rPr>
        <w:footnoteReference w:id="654"/>
      </w:r>
      <w:r w:rsidRPr="00EC0229">
        <w:rPr>
          <w:rFonts w:cs="Times New Roman"/>
          <w:szCs w:val="24"/>
        </w:rPr>
        <w:t xml:space="preserve"> The die-linking is extensive, but illusory as regards sequencing though it may demonstrate the likelihood of a single mint. The output seems to be random - the product of a system which sets no store by the matching of moneyer with a particular device. Central motifs are used in various combinations adding further permutations to the typology. Standards of literacy vary and both legends and individual characters appear in various scripts, languages and aspects. In the first edition of the </w:t>
      </w:r>
      <w:r w:rsidR="006944BF" w:rsidRPr="00EC0229">
        <w:rPr>
          <w:rFonts w:cs="Times New Roman"/>
          <w:i/>
          <w:iCs/>
          <w:szCs w:val="24"/>
        </w:rPr>
        <w:t>BNJ,</w:t>
      </w:r>
      <w:r w:rsidRPr="00EC0229">
        <w:rPr>
          <w:rFonts w:cs="Times New Roman"/>
          <w:i/>
          <w:iCs/>
          <w:szCs w:val="24"/>
        </w:rPr>
        <w:t xml:space="preserve"> </w:t>
      </w:r>
      <w:r w:rsidRPr="00EC0229">
        <w:rPr>
          <w:rFonts w:cs="Times New Roman"/>
          <w:szCs w:val="24"/>
        </w:rPr>
        <w:t>Creeke lists hundreds of variations in issuers’ and moneyers’ names.</w:t>
      </w:r>
      <w:r w:rsidRPr="00EC0229">
        <w:rPr>
          <w:rStyle w:val="FootnoteReference"/>
          <w:rFonts w:cs="Times New Roman"/>
          <w:szCs w:val="24"/>
        </w:rPr>
        <w:footnoteReference w:id="655"/>
      </w:r>
      <w:r w:rsidR="00D8276B" w:rsidRPr="00EC0229">
        <w:rPr>
          <w:rFonts w:cs="Times New Roman"/>
          <w:szCs w:val="24"/>
        </w:rPr>
        <w:t xml:space="preserve"> Thoresby blamed the decline on ‘the intolerable Bunglers of the Age’.</w:t>
      </w:r>
      <w:r w:rsidR="00D8276B" w:rsidRPr="00EC0229">
        <w:rPr>
          <w:rStyle w:val="FootnoteReference"/>
          <w:rFonts w:cs="Times New Roman"/>
          <w:szCs w:val="24"/>
        </w:rPr>
        <w:footnoteReference w:id="656"/>
      </w:r>
    </w:p>
    <w:p w14:paraId="7BAE67A3" w14:textId="7C9409DB" w:rsidR="00A33875" w:rsidRPr="008E6548" w:rsidRDefault="008259E1" w:rsidP="007600EA">
      <w:pPr>
        <w:pStyle w:val="Heading4"/>
        <w:spacing w:line="360" w:lineRule="auto"/>
        <w:rPr>
          <w:b/>
        </w:rPr>
      </w:pPr>
      <w:bookmarkStart w:id="408" w:name="Hoard"/>
      <w:bookmarkStart w:id="409" w:name="_Toc468266811"/>
      <w:bookmarkEnd w:id="408"/>
      <w:r w:rsidRPr="008259E1">
        <w:rPr>
          <w:b/>
        </w:rPr>
        <w:t>5.4.2.</w:t>
      </w:r>
      <w:r>
        <w:rPr>
          <w:b/>
        </w:rPr>
        <w:t>2</w:t>
      </w:r>
      <w:r w:rsidRPr="008259E1">
        <w:rPr>
          <w:b/>
        </w:rPr>
        <w:tab/>
      </w:r>
      <w:r w:rsidR="00A33875" w:rsidRPr="008E6548">
        <w:rPr>
          <w:b/>
        </w:rPr>
        <w:t>Hoard</w:t>
      </w:r>
      <w:r w:rsidR="00F204A1" w:rsidRPr="008E6548">
        <w:rPr>
          <w:b/>
        </w:rPr>
        <w:fldChar w:fldCharType="begin"/>
      </w:r>
      <w:r w:rsidR="00F204A1" w:rsidRPr="008E6548">
        <w:rPr>
          <w:b/>
        </w:rPr>
        <w:instrText xml:space="preserve"> XE "</w:instrText>
      </w:r>
      <w:r w:rsidR="00F204A1" w:rsidRPr="008E6548">
        <w:rPr>
          <w:rStyle w:val="Hyperlink"/>
          <w:rFonts w:eastAsia="Times New Roman" w:cs="Times New Roman"/>
          <w:b/>
          <w:noProof/>
          <w:u w:val="none"/>
          <w:lang w:eastAsia="en-GB"/>
        </w:rPr>
        <w:instrText>Hoard</w:instrText>
      </w:r>
      <w:r w:rsidR="00F204A1" w:rsidRPr="008E6548">
        <w:rPr>
          <w:b/>
        </w:rPr>
        <w:instrText xml:space="preserve">" </w:instrText>
      </w:r>
      <w:r w:rsidR="00F204A1" w:rsidRPr="008E6548">
        <w:rPr>
          <w:b/>
        </w:rPr>
        <w:fldChar w:fldCharType="end"/>
      </w:r>
      <w:r w:rsidR="00A33875" w:rsidRPr="008E6548">
        <w:rPr>
          <w:b/>
        </w:rPr>
        <w:t xml:space="preserve"> evidence</w:t>
      </w:r>
      <w:bookmarkEnd w:id="409"/>
    </w:p>
    <w:p w14:paraId="6CCAD9B0" w14:textId="1B1231EE" w:rsidR="00A33875" w:rsidRPr="00EC0229" w:rsidRDefault="00A33875" w:rsidP="007600EA">
      <w:pPr>
        <w:spacing w:line="360" w:lineRule="auto"/>
        <w:rPr>
          <w:rFonts w:cs="Times New Roman"/>
          <w:color w:val="000000" w:themeColor="text1"/>
          <w:szCs w:val="24"/>
        </w:rPr>
      </w:pPr>
      <w:r w:rsidRPr="00EC0229">
        <w:rPr>
          <w:rFonts w:cs="Times New Roman"/>
          <w:color w:val="000000" w:themeColor="text1"/>
          <w:szCs w:val="24"/>
        </w:rPr>
        <w:t>In the case of sceats, distribution evidence from single finds has been paramount, since there are relatively few hoards. However, the Northumbrian source of stycas is not in dispute</w:t>
      </w:r>
      <w:r w:rsidRPr="00EC0229">
        <w:rPr>
          <w:rStyle w:val="FootnoteReference"/>
          <w:rFonts w:cs="Times New Roman"/>
          <w:color w:val="000000" w:themeColor="text1"/>
          <w:szCs w:val="24"/>
        </w:rPr>
        <w:footnoteReference w:id="657"/>
      </w:r>
      <w:r w:rsidRPr="00EC0229">
        <w:rPr>
          <w:rFonts w:cs="Times New Roman"/>
          <w:color w:val="000000" w:themeColor="text1"/>
          <w:szCs w:val="24"/>
        </w:rPr>
        <w:t xml:space="preserve"> and it is the voluminous evidence of </w:t>
      </w:r>
      <w:r w:rsidR="00BF6095">
        <w:rPr>
          <w:rFonts w:cs="Times New Roman"/>
          <w:color w:val="000000" w:themeColor="text1"/>
          <w:szCs w:val="24"/>
        </w:rPr>
        <w:t>several</w:t>
      </w:r>
      <w:r w:rsidRPr="00EC0229">
        <w:rPr>
          <w:rFonts w:cs="Times New Roman"/>
          <w:color w:val="000000" w:themeColor="text1"/>
          <w:szCs w:val="24"/>
        </w:rPr>
        <w:t xml:space="preserve"> very substantial hoards that has facilitated recording of the different types, their chronology, die-linking and frequency. Pirie</w:t>
      </w:r>
      <w:r w:rsidR="00716433" w:rsidRPr="00EC0229">
        <w:rPr>
          <w:rFonts w:cs="Times New Roman"/>
          <w:color w:val="000000" w:themeColor="text1"/>
          <w:szCs w:val="24"/>
        </w:rPr>
        <w:fldChar w:fldCharType="begin"/>
      </w:r>
      <w:r w:rsidR="00716433" w:rsidRPr="00EC0229">
        <w:instrText xml:space="preserve"> XE "Pirie" </w:instrText>
      </w:r>
      <w:r w:rsidR="00716433" w:rsidRPr="00EC0229">
        <w:rPr>
          <w:rFonts w:cs="Times New Roman"/>
          <w:color w:val="000000" w:themeColor="text1"/>
          <w:szCs w:val="24"/>
        </w:rPr>
        <w:fldChar w:fldCharType="end"/>
      </w:r>
      <w:r w:rsidRPr="00EC0229">
        <w:rPr>
          <w:rFonts w:cs="Times New Roman"/>
          <w:color w:val="000000" w:themeColor="text1"/>
          <w:szCs w:val="24"/>
        </w:rPr>
        <w:t xml:space="preserve"> lists these meticulously in </w:t>
      </w:r>
      <w:r w:rsidRPr="00EC0229">
        <w:rPr>
          <w:rFonts w:cs="Times New Roman"/>
          <w:i/>
          <w:iCs/>
          <w:color w:val="000000" w:themeColor="text1"/>
          <w:szCs w:val="24"/>
        </w:rPr>
        <w:t>CKN</w:t>
      </w:r>
      <w:r w:rsidR="008960AE" w:rsidRPr="00EC0229">
        <w:rPr>
          <w:rFonts w:cs="Times New Roman"/>
          <w:iCs/>
          <w:color w:val="000000" w:themeColor="text1"/>
          <w:szCs w:val="24"/>
        </w:rPr>
        <w:fldChar w:fldCharType="begin"/>
      </w:r>
      <w:r w:rsidR="008960AE" w:rsidRPr="00EC0229">
        <w:instrText xml:space="preserve"> XE "CKN" </w:instrText>
      </w:r>
      <w:r w:rsidR="008960AE" w:rsidRPr="00EC0229">
        <w:rPr>
          <w:rFonts w:cs="Times New Roman"/>
          <w:iCs/>
          <w:color w:val="000000" w:themeColor="text1"/>
          <w:szCs w:val="24"/>
        </w:rPr>
        <w:fldChar w:fldCharType="end"/>
      </w:r>
      <w:r w:rsidR="00360390" w:rsidRPr="00EC0229">
        <w:rPr>
          <w:rFonts w:cs="Times New Roman"/>
          <w:iCs/>
          <w:color w:val="000000" w:themeColor="text1"/>
          <w:szCs w:val="24"/>
        </w:rPr>
        <w:t>.</w:t>
      </w:r>
      <w:r w:rsidR="00360390" w:rsidRPr="00EC0229">
        <w:rPr>
          <w:rStyle w:val="FootnoteReference"/>
          <w:rFonts w:cs="Times New Roman"/>
          <w:iCs/>
          <w:color w:val="000000" w:themeColor="text1"/>
          <w:szCs w:val="24"/>
        </w:rPr>
        <w:footnoteReference w:id="658"/>
      </w:r>
    </w:p>
    <w:p w14:paraId="3D0E3058" w14:textId="56BA520E" w:rsidR="00A33875" w:rsidRPr="00EC0229" w:rsidRDefault="00A33875" w:rsidP="007600EA">
      <w:pPr>
        <w:spacing w:line="360" w:lineRule="auto"/>
        <w:rPr>
          <w:rFonts w:cs="Times New Roman"/>
          <w:color w:val="000000" w:themeColor="text1"/>
          <w:szCs w:val="24"/>
        </w:rPr>
      </w:pPr>
      <w:bookmarkStart w:id="410" w:name="Hexham"/>
      <w:bookmarkEnd w:id="410"/>
      <w:r w:rsidRPr="00EC0229">
        <w:rPr>
          <w:rFonts w:cs="Times New Roman"/>
          <w:color w:val="000000" w:themeColor="text1"/>
          <w:szCs w:val="24"/>
        </w:rPr>
        <w:t>Adamson published the Hexham</w:t>
      </w:r>
      <w:r w:rsidR="00D142DC" w:rsidRPr="00EC0229">
        <w:rPr>
          <w:rFonts w:cs="Times New Roman"/>
          <w:color w:val="000000" w:themeColor="text1"/>
          <w:szCs w:val="24"/>
        </w:rPr>
        <w:fldChar w:fldCharType="begin"/>
      </w:r>
      <w:r w:rsidR="00D142DC" w:rsidRPr="00EC0229">
        <w:instrText xml:space="preserve"> XE "Hexham" </w:instrText>
      </w:r>
      <w:r w:rsidR="00D142DC" w:rsidRPr="00EC0229">
        <w:rPr>
          <w:rFonts w:cs="Times New Roman"/>
          <w:color w:val="000000" w:themeColor="text1"/>
          <w:szCs w:val="24"/>
        </w:rPr>
        <w:fldChar w:fldCharType="end"/>
      </w:r>
      <w:r w:rsidRPr="00EC0229">
        <w:rPr>
          <w:rFonts w:cs="Times New Roman"/>
          <w:color w:val="000000" w:themeColor="text1"/>
          <w:szCs w:val="24"/>
        </w:rPr>
        <w:t xml:space="preserve"> (Northumberland) hoard of stycas in </w:t>
      </w:r>
      <w:r w:rsidRPr="00EC0229">
        <w:rPr>
          <w:rFonts w:cs="Times New Roman"/>
          <w:i/>
          <w:iCs/>
          <w:color w:val="000000" w:themeColor="text1"/>
          <w:szCs w:val="24"/>
        </w:rPr>
        <w:t xml:space="preserve">Archaeologia </w:t>
      </w:r>
      <w:r w:rsidRPr="00EC0229">
        <w:rPr>
          <w:rStyle w:val="FootnoteReference"/>
          <w:rFonts w:cs="Times New Roman"/>
          <w:iCs/>
          <w:color w:val="000000" w:themeColor="text1"/>
          <w:szCs w:val="24"/>
        </w:rPr>
        <w:footnoteReference w:id="659"/>
      </w:r>
      <w:r w:rsidRPr="00EC0229">
        <w:rPr>
          <w:rFonts w:cs="Times New Roman"/>
          <w:color w:val="000000" w:themeColor="text1"/>
          <w:szCs w:val="24"/>
        </w:rPr>
        <w:t xml:space="preserve"> supported by e</w:t>
      </w:r>
      <w:r w:rsidR="00B16415" w:rsidRPr="00EC0229">
        <w:rPr>
          <w:rFonts w:cs="Times New Roman"/>
          <w:color w:val="000000" w:themeColor="text1"/>
          <w:szCs w:val="24"/>
        </w:rPr>
        <w:t xml:space="preserve">xcellent line drawings by </w:t>
      </w:r>
      <w:r w:rsidRPr="00EC0229">
        <w:rPr>
          <w:rFonts w:cs="Times New Roman"/>
          <w:color w:val="000000" w:themeColor="text1"/>
          <w:szCs w:val="24"/>
        </w:rPr>
        <w:t xml:space="preserve">Basire on twenty-three plates in 1834 and a further seven plates two years later, totalling 944 specimens from a total of around eight thousand </w:t>
      </w:r>
      <w:r w:rsidRPr="00EC0229">
        <w:rPr>
          <w:rFonts w:cs="Times New Roman"/>
          <w:color w:val="000000" w:themeColor="text1"/>
          <w:szCs w:val="24"/>
        </w:rPr>
        <w:lastRenderedPageBreak/>
        <w:t>stycas discovered in 1833 (with additions in 1841)</w:t>
      </w:r>
      <w:r w:rsidR="002A6FBE" w:rsidRPr="00EC0229">
        <w:rPr>
          <w:rFonts w:cs="Times New Roman"/>
          <w:color w:val="000000" w:themeColor="text1"/>
          <w:szCs w:val="24"/>
        </w:rPr>
        <w:t>,</w:t>
      </w:r>
      <w:r w:rsidR="002A6FBE" w:rsidRPr="00EC0229">
        <w:t xml:space="preserve"> </w:t>
      </w:r>
      <w:r w:rsidR="002A6FBE" w:rsidRPr="00EC0229">
        <w:rPr>
          <w:szCs w:val="24"/>
        </w:rPr>
        <w:t>(</w:t>
      </w:r>
      <w:r w:rsidR="008C418A" w:rsidRPr="00EC0229">
        <w:rPr>
          <w:rFonts w:cs="Times New Roman"/>
          <w:i/>
          <w:szCs w:val="24"/>
        </w:rPr>
        <w:fldChar w:fldCharType="begin"/>
      </w:r>
      <w:r w:rsidR="008C418A" w:rsidRPr="00EC0229">
        <w:rPr>
          <w:i/>
          <w:szCs w:val="24"/>
        </w:rPr>
        <w:instrText xml:space="preserve"> REF _Ref430246745 \h </w:instrText>
      </w:r>
      <w:r w:rsidR="007224B1" w:rsidRPr="00EC0229">
        <w:rPr>
          <w:rFonts w:cs="Times New Roman"/>
          <w:i/>
          <w:szCs w:val="24"/>
        </w:rPr>
        <w:instrText xml:space="preserve"> \* MERGEFORMAT </w:instrText>
      </w:r>
      <w:r w:rsidR="008C418A" w:rsidRPr="00EC0229">
        <w:rPr>
          <w:rFonts w:cs="Times New Roman"/>
          <w:i/>
          <w:szCs w:val="24"/>
        </w:rPr>
      </w:r>
      <w:r w:rsidR="008C418A"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57</w:t>
      </w:r>
      <w:r w:rsidR="008C418A" w:rsidRPr="00EC0229">
        <w:rPr>
          <w:rFonts w:cs="Times New Roman"/>
          <w:szCs w:val="24"/>
        </w:rPr>
        <w:fldChar w:fldCharType="end"/>
      </w:r>
      <w:r w:rsidR="002A6FBE" w:rsidRPr="00EC0229">
        <w:rPr>
          <w:rFonts w:cs="Times New Roman"/>
        </w:rPr>
        <w:t>)</w:t>
      </w:r>
      <w:r w:rsidRPr="00EC0229">
        <w:rPr>
          <w:rFonts w:cs="Times New Roman"/>
          <w:color w:val="000000" w:themeColor="text1"/>
          <w:szCs w:val="24"/>
        </w:rPr>
        <w:t>. These are helpfully reproduced by Pirie</w:t>
      </w:r>
      <w:r w:rsidR="00716433" w:rsidRPr="00EC0229">
        <w:rPr>
          <w:rFonts w:cs="Times New Roman"/>
          <w:color w:val="000000" w:themeColor="text1"/>
          <w:szCs w:val="24"/>
        </w:rPr>
        <w:fldChar w:fldCharType="begin"/>
      </w:r>
      <w:r w:rsidR="00716433" w:rsidRPr="00EC0229">
        <w:instrText xml:space="preserve"> XE "Pirie" </w:instrText>
      </w:r>
      <w:r w:rsidR="00716433"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Style w:val="FootnoteReference"/>
          <w:rFonts w:cs="Times New Roman"/>
          <w:color w:val="000000" w:themeColor="text1"/>
          <w:szCs w:val="24"/>
        </w:rPr>
        <w:footnoteReference w:id="660"/>
      </w:r>
    </w:p>
    <w:p w14:paraId="6461801A" w14:textId="77777777" w:rsidR="00A33875" w:rsidRPr="00EC0229" w:rsidRDefault="00A33875" w:rsidP="007600EA">
      <w:pPr>
        <w:spacing w:line="360" w:lineRule="auto"/>
        <w:jc w:val="center"/>
        <w:rPr>
          <w:rFonts w:cs="Times New Roman"/>
        </w:rPr>
      </w:pPr>
      <w:r w:rsidRPr="00EC0229">
        <w:rPr>
          <w:rFonts w:cs="Times New Roman"/>
          <w:noProof/>
          <w:lang w:eastAsia="en-GB"/>
        </w:rPr>
        <w:drawing>
          <wp:inline distT="0" distB="0" distL="0" distR="0" wp14:anchorId="77A851C5" wp14:editId="0F55F385">
            <wp:extent cx="1440432" cy="1961987"/>
            <wp:effectExtent l="0" t="0" r="762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xham bucket.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440432" cy="1961987"/>
                    </a:xfrm>
                    <a:prstGeom prst="rect">
                      <a:avLst/>
                    </a:prstGeom>
                  </pic:spPr>
                </pic:pic>
              </a:graphicData>
            </a:graphic>
          </wp:inline>
        </w:drawing>
      </w:r>
    </w:p>
    <w:p w14:paraId="0B7C4103" w14:textId="4EB83614" w:rsidR="00A33875" w:rsidRPr="00EC0229" w:rsidRDefault="002A206F" w:rsidP="007600EA">
      <w:pPr>
        <w:pStyle w:val="NoSpacing"/>
        <w:spacing w:line="360" w:lineRule="auto"/>
        <w:jc w:val="center"/>
        <w:rPr>
          <w:sz w:val="20"/>
          <w:szCs w:val="20"/>
        </w:rPr>
      </w:pPr>
      <w:bookmarkStart w:id="411" w:name="_Ref430246745"/>
      <w:bookmarkStart w:id="412" w:name="_Toc468267029"/>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57</w:t>
      </w:r>
      <w:r w:rsidRPr="00EC0229">
        <w:rPr>
          <w:sz w:val="20"/>
          <w:szCs w:val="20"/>
        </w:rPr>
        <w:fldChar w:fldCharType="end"/>
      </w:r>
      <w:bookmarkEnd w:id="411"/>
      <w:r w:rsidR="002A6FBE" w:rsidRPr="00EC0229">
        <w:rPr>
          <w:sz w:val="20"/>
          <w:szCs w:val="20"/>
        </w:rPr>
        <w:t xml:space="preserve">: </w:t>
      </w:r>
      <w:r w:rsidR="00A33875" w:rsidRPr="00EC0229">
        <w:rPr>
          <w:sz w:val="20"/>
          <w:szCs w:val="20"/>
        </w:rPr>
        <w:t>The Hexham</w:t>
      </w:r>
      <w:r w:rsidR="00D142DC" w:rsidRPr="00EC0229">
        <w:rPr>
          <w:sz w:val="20"/>
          <w:szCs w:val="20"/>
        </w:rPr>
        <w:fldChar w:fldCharType="begin"/>
      </w:r>
      <w:r w:rsidR="00D142DC" w:rsidRPr="00EC0229">
        <w:rPr>
          <w:sz w:val="20"/>
          <w:szCs w:val="20"/>
        </w:rPr>
        <w:instrText xml:space="preserve"> XE "Hexham" </w:instrText>
      </w:r>
      <w:r w:rsidR="00D142DC" w:rsidRPr="00EC0229">
        <w:rPr>
          <w:sz w:val="20"/>
          <w:szCs w:val="20"/>
        </w:rPr>
        <w:fldChar w:fldCharType="end"/>
      </w:r>
      <w:r w:rsidR="00A33875" w:rsidRPr="00EC0229">
        <w:rPr>
          <w:sz w:val="20"/>
          <w:szCs w:val="20"/>
        </w:rPr>
        <w:t xml:space="preserve"> bucket (Pirie</w:t>
      </w:r>
      <w:r w:rsidR="00716433" w:rsidRPr="00EC0229">
        <w:rPr>
          <w:sz w:val="20"/>
          <w:szCs w:val="20"/>
        </w:rPr>
        <w:fldChar w:fldCharType="begin"/>
      </w:r>
      <w:r w:rsidR="00716433" w:rsidRPr="00EC0229">
        <w:rPr>
          <w:sz w:val="20"/>
          <w:szCs w:val="20"/>
        </w:rPr>
        <w:instrText xml:space="preserve"> XE "Pirie" </w:instrText>
      </w:r>
      <w:r w:rsidR="00716433" w:rsidRPr="00EC0229">
        <w:rPr>
          <w:sz w:val="20"/>
          <w:szCs w:val="20"/>
        </w:rPr>
        <w:fldChar w:fldCharType="end"/>
      </w:r>
      <w:r w:rsidR="00A33875" w:rsidRPr="00EC0229">
        <w:rPr>
          <w:sz w:val="20"/>
          <w:szCs w:val="20"/>
        </w:rPr>
        <w:t xml:space="preserve"> archive)</w:t>
      </w:r>
      <w:bookmarkEnd w:id="412"/>
    </w:p>
    <w:p w14:paraId="14AE1058" w14:textId="77777777" w:rsidR="008C418A" w:rsidRPr="00EC0229" w:rsidRDefault="008C418A" w:rsidP="007600EA">
      <w:pPr>
        <w:pStyle w:val="NoSpacing"/>
        <w:spacing w:line="360" w:lineRule="auto"/>
        <w:jc w:val="center"/>
        <w:rPr>
          <w:sz w:val="20"/>
          <w:szCs w:val="20"/>
        </w:rPr>
      </w:pPr>
    </w:p>
    <w:p w14:paraId="38D6C238" w14:textId="32100FED" w:rsidR="00A33875" w:rsidRPr="00EC0229" w:rsidRDefault="00A33875" w:rsidP="007600EA">
      <w:pPr>
        <w:spacing w:line="360" w:lineRule="auto"/>
        <w:rPr>
          <w:rFonts w:cs="Times New Roman"/>
          <w:szCs w:val="24"/>
        </w:rPr>
      </w:pPr>
      <w:r w:rsidRPr="00EC0229">
        <w:rPr>
          <w:rFonts w:cs="Times New Roman"/>
          <w:szCs w:val="24"/>
        </w:rPr>
        <w:t>A further five thousand stycas were discovered at St Leonard’s Place, York</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szCs w:val="24"/>
        </w:rPr>
        <w:fldChar w:fldCharType="end"/>
      </w:r>
      <w:r w:rsidRPr="00EC0229">
        <w:rPr>
          <w:rFonts w:cs="Times New Roman"/>
          <w:szCs w:val="24"/>
        </w:rPr>
        <w:t>, in 1842 and there have been two finds at Bolton</w:t>
      </w:r>
      <w:r w:rsidR="006B1593" w:rsidRPr="00EC0229">
        <w:rPr>
          <w:rFonts w:cs="Times New Roman"/>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Bolton</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Percy</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Bolton Percy</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(Ulleskelf), North Yorkshire - several thousand coins in 1847 (</w:t>
      </w:r>
      <w:r w:rsidRPr="00EC0229">
        <w:rPr>
          <w:rFonts w:cs="Times New Roman"/>
          <w:i/>
          <w:iCs/>
          <w:szCs w:val="24"/>
        </w:rPr>
        <w:t>BP</w:t>
      </w:r>
      <w:r w:rsidRPr="00EC0229">
        <w:rPr>
          <w:rFonts w:cs="Times New Roman"/>
          <w:szCs w:val="24"/>
        </w:rPr>
        <w:t>1) and 1,775 in 1967 (</w:t>
      </w:r>
      <w:r w:rsidRPr="00EC0229">
        <w:rPr>
          <w:rFonts w:cs="Times New Roman"/>
          <w:i/>
          <w:iCs/>
          <w:szCs w:val="24"/>
        </w:rPr>
        <w:t>BP</w:t>
      </w:r>
      <w:r w:rsidRPr="00EC0229">
        <w:rPr>
          <w:rFonts w:cs="Times New Roman"/>
          <w:szCs w:val="24"/>
        </w:rPr>
        <w:t>2).</w:t>
      </w:r>
      <w:r w:rsidRPr="00EC0229">
        <w:rPr>
          <w:rStyle w:val="FootnoteReference"/>
          <w:rFonts w:cs="Times New Roman"/>
          <w:szCs w:val="24"/>
        </w:rPr>
        <w:footnoteReference w:id="661"/>
      </w:r>
      <w:r w:rsidRPr="00EC0229">
        <w:rPr>
          <w:rFonts w:cs="Times New Roman"/>
          <w:szCs w:val="24"/>
        </w:rPr>
        <w:t xml:space="preserve"> Informal sources report a further 430, apparently low-grade, specimens found there by metal-detection, </w:t>
      </w:r>
      <w:r w:rsidR="002132F1">
        <w:rPr>
          <w:rFonts w:cs="Times New Roman"/>
          <w:i/>
          <w:szCs w:val="24"/>
        </w:rPr>
        <w:t>c.</w:t>
      </w:r>
      <w:r w:rsidR="00C34081" w:rsidRPr="00EC0229">
        <w:rPr>
          <w:rFonts w:cs="Times New Roman"/>
          <w:szCs w:val="24"/>
        </w:rPr>
        <w:t>2010-2.</w:t>
      </w:r>
      <w:r w:rsidRPr="00EC0229">
        <w:rPr>
          <w:rStyle w:val="FootnoteReference"/>
          <w:rFonts w:cs="Times New Roman"/>
          <w:szCs w:val="24"/>
        </w:rPr>
        <w:footnoteReference w:id="662"/>
      </w:r>
      <w:r w:rsidRPr="00EC0229">
        <w:rPr>
          <w:rFonts w:cs="Times New Roman"/>
          <w:szCs w:val="24"/>
        </w:rPr>
        <w:t xml:space="preserve"> </w:t>
      </w:r>
      <w:r w:rsidRPr="00EC0229">
        <w:rPr>
          <w:rFonts w:cs="Times New Roman"/>
          <w:i/>
          <w:szCs w:val="24"/>
        </w:rPr>
        <w:t>Table</w:t>
      </w:r>
      <w:r w:rsidR="00584C42" w:rsidRPr="00EC0229">
        <w:rPr>
          <w:rFonts w:cs="Times New Roman"/>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cs="Times New Roman"/>
          <w:i/>
          <w:szCs w:val="24"/>
        </w:rPr>
        <w:fldChar w:fldCharType="end"/>
      </w:r>
      <w:r w:rsidRPr="00EC0229">
        <w:rPr>
          <w:rFonts w:cs="Times New Roman"/>
          <w:i/>
          <w:szCs w:val="24"/>
        </w:rPr>
        <w:t xml:space="preserve"> </w:t>
      </w:r>
      <w:r w:rsidR="00BA3090" w:rsidRPr="00EC0229">
        <w:rPr>
          <w:rFonts w:cs="Times New Roman"/>
          <w:i/>
          <w:szCs w:val="24"/>
        </w:rPr>
        <w:t>5.</w:t>
      </w:r>
      <w:r w:rsidR="00817A09" w:rsidRPr="00EC0229">
        <w:rPr>
          <w:rFonts w:cs="Times New Roman"/>
          <w:i/>
          <w:szCs w:val="24"/>
        </w:rPr>
        <w:t>15</w:t>
      </w:r>
      <w:r w:rsidRPr="00EC0229">
        <w:rPr>
          <w:rFonts w:cs="Times New Roman"/>
          <w:szCs w:val="24"/>
        </w:rPr>
        <w:t xml:space="preserve"> includes St. Leonard’s Place, ‘Stonyhurst’ and Bolton Percy.</w:t>
      </w:r>
      <w:r w:rsidR="004F5492">
        <w:rPr>
          <w:rFonts w:cs="Times New Roman"/>
          <w:szCs w:val="24"/>
        </w:rPr>
        <w:t xml:space="preserve"> </w:t>
      </w:r>
      <w:r w:rsidR="004F5492">
        <w:t xml:space="preserve">See </w:t>
      </w:r>
      <w:r w:rsidR="004F5492" w:rsidRPr="00A07A08">
        <w:rPr>
          <w:i/>
        </w:rPr>
        <w:t>Graph 7.</w:t>
      </w:r>
      <w:r w:rsidR="004F5492">
        <w:rPr>
          <w:i/>
        </w:rPr>
        <w:t>02 no. 46</w:t>
      </w:r>
      <w:r w:rsidR="004F5492">
        <w:t>.</w:t>
      </w:r>
    </w:p>
    <w:p w14:paraId="21E5A5AD" w14:textId="3D832401" w:rsidR="00A33875" w:rsidRPr="00EC0229" w:rsidRDefault="00A33875" w:rsidP="007600EA">
      <w:pPr>
        <w:pStyle w:val="NoSpacing"/>
        <w:spacing w:line="360" w:lineRule="auto"/>
        <w:rPr>
          <w:rFonts w:cs="Times New Roman"/>
        </w:rPr>
      </w:pPr>
      <w:r w:rsidRPr="00EC0229">
        <w:t>There are no stycas of Wulfhere</w:t>
      </w:r>
      <w:r w:rsidR="00D142DC" w:rsidRPr="00EC0229">
        <w:fldChar w:fldCharType="begin"/>
      </w:r>
      <w:r w:rsidR="00D142DC" w:rsidRPr="00EC0229">
        <w:instrText xml:space="preserve"> XE "Wulfhere" </w:instrText>
      </w:r>
      <w:r w:rsidR="00D142DC" w:rsidRPr="00EC0229">
        <w:fldChar w:fldCharType="end"/>
      </w:r>
      <w:r w:rsidRPr="00EC0229">
        <w:t xml:space="preserve"> in the St. Leonard’s Place hoard, four in the 'Stonyhurst' parcel and thirteen in the Bolton</w:t>
      </w:r>
      <w:r w:rsidR="006B1593" w:rsidRPr="00EC0229">
        <w:fldChar w:fldCharType="begin"/>
      </w:r>
      <w:r w:rsidR="006B1593" w:rsidRPr="00EC0229">
        <w:instrText xml:space="preserve"> XE "</w:instrText>
      </w:r>
      <w:r w:rsidR="006B1593" w:rsidRPr="00EC0229">
        <w:rPr>
          <w:rStyle w:val="Hyperlink"/>
          <w:rFonts w:eastAsia="Times New Roman"/>
          <w:noProof/>
          <w:u w:val="none"/>
          <w:lang w:eastAsia="en-GB"/>
        </w:rPr>
        <w:instrText>Bolton</w:instrText>
      </w:r>
      <w:r w:rsidR="006B1593" w:rsidRPr="00EC0229">
        <w:instrText xml:space="preserve">" </w:instrText>
      </w:r>
      <w:r w:rsidR="006B1593" w:rsidRPr="00EC0229">
        <w:fldChar w:fldCharType="end"/>
      </w:r>
      <w:r w:rsidRPr="00EC0229">
        <w:t xml:space="preserve"> Percy</w:t>
      </w:r>
      <w:r w:rsidR="006B1593" w:rsidRPr="00EC0229">
        <w:fldChar w:fldCharType="begin"/>
      </w:r>
      <w:r w:rsidR="006B1593" w:rsidRPr="00EC0229">
        <w:instrText xml:space="preserve"> XE "</w:instrText>
      </w:r>
      <w:r w:rsidR="006B1593" w:rsidRPr="00EC0229">
        <w:rPr>
          <w:rStyle w:val="Hyperlink"/>
          <w:noProof/>
          <w:u w:val="none"/>
        </w:rPr>
        <w:instrText>Bolton Percy</w:instrText>
      </w:r>
      <w:r w:rsidR="006B1593" w:rsidRPr="00EC0229">
        <w:instrText xml:space="preserve">" </w:instrText>
      </w:r>
      <w:r w:rsidR="006B1593" w:rsidRPr="00EC0229">
        <w:fldChar w:fldCharType="end"/>
      </w:r>
      <w:r w:rsidRPr="00EC0229">
        <w:t xml:space="preserve"> hoards. All three hoards rank highly in the representation of moneyers. Care must be exercised in interpreting recorded hoard issuer proportions as can be seen from a comparison of the Hexham</w:t>
      </w:r>
      <w:r w:rsidR="00D142DC" w:rsidRPr="00EC0229">
        <w:fldChar w:fldCharType="begin"/>
      </w:r>
      <w:r w:rsidR="00D142DC" w:rsidRPr="00EC0229">
        <w:instrText xml:space="preserve"> XE "Hexham" </w:instrText>
      </w:r>
      <w:r w:rsidR="00D142DC" w:rsidRPr="00EC0229">
        <w:fldChar w:fldCharType="end"/>
      </w:r>
      <w:r w:rsidRPr="00EC0229">
        <w:t xml:space="preserve"> hoard as noted in </w:t>
      </w:r>
      <w:r w:rsidRPr="00EC0229">
        <w:rPr>
          <w:i/>
        </w:rPr>
        <w:t>CKN</w:t>
      </w:r>
      <w:r w:rsidR="008960AE" w:rsidRPr="00EC0229">
        <w:fldChar w:fldCharType="begin"/>
      </w:r>
      <w:r w:rsidR="008960AE" w:rsidRPr="00EC0229">
        <w:instrText xml:space="preserve"> XE "CKN" </w:instrText>
      </w:r>
      <w:r w:rsidR="008960AE" w:rsidRPr="00EC0229">
        <w:fldChar w:fldCharType="end"/>
      </w:r>
      <w:r w:rsidRPr="00EC0229">
        <w:t xml:space="preserve"> and EMC</w:t>
      </w:r>
      <w:r w:rsidR="008960AE" w:rsidRPr="00EC0229">
        <w:fldChar w:fldCharType="begin"/>
      </w:r>
      <w:r w:rsidR="008960AE" w:rsidRPr="00EC0229">
        <w:instrText xml:space="preserve"> XE "EMC" </w:instrText>
      </w:r>
      <w:r w:rsidR="008960AE" w:rsidRPr="00EC0229">
        <w:fldChar w:fldCharType="end"/>
      </w:r>
      <w:r w:rsidRPr="00EC0229">
        <w:t xml:space="preserve"> (156 coins, 3.85% episcopal) and what is shown in the Adamson plates (937, 7.12% episcopal), which themselves are a fraction of the </w:t>
      </w:r>
      <w:r w:rsidRPr="00EC0229">
        <w:rPr>
          <w:i/>
        </w:rPr>
        <w:t>c.</w:t>
      </w:r>
      <w:r w:rsidR="00951864" w:rsidRPr="00EC0229">
        <w:t>8,000-</w:t>
      </w:r>
      <w:r w:rsidRPr="00EC0229">
        <w:t xml:space="preserve">piece hoard. </w:t>
      </w:r>
      <w:r w:rsidRPr="00EC0229">
        <w:rPr>
          <w:rFonts w:cs="Times New Roman"/>
        </w:rPr>
        <w:t>There have been many other hoards: Ripon</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Ripon</w:instrText>
      </w:r>
      <w:r w:rsidR="006B1593" w:rsidRPr="00EC0229">
        <w:instrText xml:space="preserve">" </w:instrText>
      </w:r>
      <w:r w:rsidR="006B1593" w:rsidRPr="00EC0229">
        <w:rPr>
          <w:rFonts w:cs="Times New Roman"/>
        </w:rPr>
        <w:fldChar w:fldCharType="end"/>
      </w:r>
      <w:r w:rsidRPr="00EC0229">
        <w:rPr>
          <w:rFonts w:cs="Times New Roman"/>
        </w:rPr>
        <w:t xml:space="preserve"> 1695, Kirkoswald 1808,</w:t>
      </w:r>
      <w:r w:rsidR="00CD3327">
        <w:rPr>
          <w:rStyle w:val="FootnoteReference"/>
          <w:rFonts w:cs="Times New Roman"/>
        </w:rPr>
        <w:footnoteReference w:id="663"/>
      </w:r>
      <w:r w:rsidRPr="00EC0229">
        <w:rPr>
          <w:rFonts w:cs="Times New Roman"/>
        </w:rPr>
        <w:t xml:space="preserve"> York</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rPr>
        <w:fldChar w:fldCharType="end"/>
      </w:r>
      <w:r w:rsidRPr="00EC0229">
        <w:rPr>
          <w:rFonts w:cs="Times New Roman"/>
        </w:rPr>
        <w:t xml:space="preserve"> Micklegate 1827, York Railway 1840, York Exhibition Buildings, 1879.</w:t>
      </w:r>
      <w:r w:rsidRPr="00EC0229">
        <w:rPr>
          <w:rStyle w:val="FootnoteReference"/>
        </w:rPr>
        <w:footnoteReference w:id="664"/>
      </w:r>
      <w:r w:rsidRPr="00EC0229">
        <w:rPr>
          <w:rFonts w:cs="Times New Roman"/>
        </w:rPr>
        <w:t xml:space="preserve"> The putative Walmgate hoard (deposited </w:t>
      </w:r>
      <w:r w:rsidR="002132F1">
        <w:rPr>
          <w:rFonts w:cs="Times New Roman"/>
          <w:i/>
        </w:rPr>
        <w:t>c.</w:t>
      </w:r>
      <w:r w:rsidRPr="00EC0229">
        <w:rPr>
          <w:rFonts w:cs="Times New Roman"/>
        </w:rPr>
        <w:t xml:space="preserve">865, found </w:t>
      </w:r>
      <w:r w:rsidR="002132F1">
        <w:rPr>
          <w:rFonts w:cs="Times New Roman"/>
          <w:i/>
        </w:rPr>
        <w:t>c.</w:t>
      </w:r>
      <w:r w:rsidRPr="00EC0229">
        <w:rPr>
          <w:rFonts w:cs="Times New Roman"/>
        </w:rPr>
        <w:t xml:space="preserve">1856) of ‘many hundreds of </w:t>
      </w:r>
      <w:r w:rsidRPr="00EC0229">
        <w:rPr>
          <w:rFonts w:cs="Times New Roman"/>
        </w:rPr>
        <w:lastRenderedPageBreak/>
        <w:t>stycas…corroded into one mass’ is tantalisingly close to the site of the Walmgate Viking</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rFonts w:cs="Times New Roman"/>
        </w:rPr>
        <w:fldChar w:fldCharType="end"/>
      </w:r>
      <w:r w:rsidRPr="00EC0229">
        <w:rPr>
          <w:rFonts w:cs="Times New Roman"/>
        </w:rPr>
        <w:t xml:space="preserve"> hoard (deposited </w:t>
      </w:r>
      <w:r w:rsidR="002132F1">
        <w:rPr>
          <w:rFonts w:cs="Times New Roman"/>
          <w:i/>
        </w:rPr>
        <w:t>c.</w:t>
      </w:r>
      <w:r w:rsidRPr="00EC0229">
        <w:rPr>
          <w:rFonts w:cs="Times New Roman"/>
        </w:rPr>
        <w:t>915, found 1856) both found by workmen laying a sewer.</w:t>
      </w:r>
      <w:r w:rsidRPr="00EC0229">
        <w:rPr>
          <w:rStyle w:val="FootnoteReference"/>
          <w:rFonts w:cs="Times New Roman"/>
        </w:rPr>
        <w:footnoteReference w:id="665"/>
      </w:r>
    </w:p>
    <w:p w14:paraId="0211B4B2" w14:textId="77777777" w:rsidR="00A33875" w:rsidRPr="00EC0229" w:rsidRDefault="00A33875" w:rsidP="007600EA">
      <w:pPr>
        <w:pStyle w:val="NoSpacing"/>
        <w:spacing w:line="360" w:lineRule="auto"/>
        <w:rPr>
          <w:rFonts w:cs="Times New Roman"/>
        </w:rPr>
      </w:pPr>
    </w:p>
    <w:p w14:paraId="7C4DB1C7" w14:textId="6B1BB074" w:rsidR="00A33875" w:rsidRPr="00EC0229" w:rsidRDefault="00A33875" w:rsidP="007600EA">
      <w:pPr>
        <w:pStyle w:val="NoSpacing"/>
        <w:spacing w:line="360" w:lineRule="auto"/>
        <w:rPr>
          <w:rFonts w:cs="Times New Roman"/>
        </w:rPr>
      </w:pPr>
      <w:r w:rsidRPr="00EC0229">
        <w:rPr>
          <w:rFonts w:cs="Times New Roman"/>
        </w:rPr>
        <w:t>As regards the 1831 parcel located at the Jesuit Stonyhurst College in the Ribble Valley, Pirie</w:t>
      </w:r>
      <w:r w:rsidR="00716433" w:rsidRPr="00EC0229">
        <w:rPr>
          <w:rFonts w:cs="Times New Roman"/>
        </w:rPr>
        <w:fldChar w:fldCharType="begin"/>
      </w:r>
      <w:r w:rsidR="00716433" w:rsidRPr="00EC0229">
        <w:instrText xml:space="preserve"> XE "Pirie" </w:instrText>
      </w:r>
      <w:r w:rsidR="00716433" w:rsidRPr="00EC0229">
        <w:rPr>
          <w:rFonts w:cs="Times New Roman"/>
        </w:rPr>
        <w:fldChar w:fldCharType="end"/>
      </w:r>
      <w:r w:rsidRPr="00EC0229">
        <w:rPr>
          <w:rFonts w:cs="Times New Roman"/>
        </w:rPr>
        <w:t xml:space="preserve"> extracted a manuscript entry from the archives</w:t>
      </w:r>
      <w:r w:rsidR="002A6FBE" w:rsidRPr="00EC0229">
        <w:t xml:space="preserve"> </w:t>
      </w:r>
      <w:r w:rsidR="002A6FBE" w:rsidRPr="00EC0229">
        <w:rPr>
          <w:szCs w:val="24"/>
        </w:rPr>
        <w:t>(</w:t>
      </w:r>
      <w:r w:rsidR="008C418A" w:rsidRPr="00EC0229">
        <w:rPr>
          <w:rFonts w:cs="Times New Roman"/>
          <w:szCs w:val="24"/>
        </w:rPr>
        <w:fldChar w:fldCharType="begin"/>
      </w:r>
      <w:r w:rsidR="008C418A" w:rsidRPr="00EC0229">
        <w:rPr>
          <w:szCs w:val="24"/>
        </w:rPr>
        <w:instrText xml:space="preserve"> REF _Ref430246766 \h </w:instrText>
      </w:r>
      <w:r w:rsidR="007224B1"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58</w:t>
      </w:r>
      <w:r w:rsidR="008C418A" w:rsidRPr="00EC0229">
        <w:rPr>
          <w:rFonts w:cs="Times New Roman"/>
          <w:szCs w:val="24"/>
        </w:rPr>
        <w:fldChar w:fldCharType="end"/>
      </w:r>
      <w:r w:rsidR="002A6FBE" w:rsidRPr="00EC0229">
        <w:rPr>
          <w:rFonts w:cs="Times New Roman"/>
        </w:rPr>
        <w:t>)</w:t>
      </w:r>
      <w:r w:rsidRPr="00EC0229">
        <w:rPr>
          <w:rFonts w:cs="Times New Roman"/>
        </w:rPr>
        <w:t>, which gives provenance to this assemblage:</w:t>
      </w:r>
    </w:p>
    <w:p w14:paraId="4BAA2A70" w14:textId="77777777" w:rsidR="00A33875" w:rsidRPr="00EC0229" w:rsidRDefault="00A33875" w:rsidP="007600EA">
      <w:pPr>
        <w:pStyle w:val="NoSpacing"/>
        <w:spacing w:line="360" w:lineRule="auto"/>
        <w:jc w:val="center"/>
        <w:rPr>
          <w:rFonts w:cs="Times New Roman"/>
        </w:rPr>
      </w:pPr>
      <w:r w:rsidRPr="00EC0229">
        <w:rPr>
          <w:rFonts w:cs="Times New Roman"/>
          <w:noProof/>
          <w:lang w:eastAsia="en-GB"/>
        </w:rPr>
        <w:drawing>
          <wp:inline distT="0" distB="0" distL="0" distR="0" wp14:anchorId="6F6C0004" wp14:editId="1D499D54">
            <wp:extent cx="3714736" cy="1878965"/>
            <wp:effectExtent l="0" t="0" r="635" b="698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onyhurst manuscript.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716924" cy="1880072"/>
                    </a:xfrm>
                    <a:prstGeom prst="rect">
                      <a:avLst/>
                    </a:prstGeom>
                  </pic:spPr>
                </pic:pic>
              </a:graphicData>
            </a:graphic>
          </wp:inline>
        </w:drawing>
      </w:r>
    </w:p>
    <w:p w14:paraId="6D7831AA" w14:textId="05428DDB" w:rsidR="00E80E91" w:rsidRPr="00EC0229" w:rsidRDefault="002A206F" w:rsidP="007600EA">
      <w:pPr>
        <w:pStyle w:val="NoSpacing"/>
        <w:spacing w:line="360" w:lineRule="auto"/>
        <w:jc w:val="center"/>
        <w:rPr>
          <w:sz w:val="20"/>
          <w:szCs w:val="20"/>
        </w:rPr>
      </w:pPr>
      <w:bookmarkStart w:id="413" w:name="_Ref430246766"/>
      <w:bookmarkStart w:id="414" w:name="_Toc46826703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58</w:t>
      </w:r>
      <w:r w:rsidRPr="00EC0229">
        <w:rPr>
          <w:sz w:val="20"/>
          <w:szCs w:val="20"/>
        </w:rPr>
        <w:fldChar w:fldCharType="end"/>
      </w:r>
      <w:bookmarkEnd w:id="413"/>
      <w:r w:rsidR="002A6FBE" w:rsidRPr="00EC0229">
        <w:rPr>
          <w:sz w:val="20"/>
          <w:szCs w:val="20"/>
        </w:rPr>
        <w:t xml:space="preserve">: </w:t>
      </w:r>
      <w:r w:rsidR="00951864" w:rsidRPr="00EC0229">
        <w:rPr>
          <w:sz w:val="20"/>
          <w:szCs w:val="20"/>
        </w:rPr>
        <w:t>‘</w:t>
      </w:r>
      <w:r w:rsidR="00A33875" w:rsidRPr="00EC0229">
        <w:rPr>
          <w:sz w:val="20"/>
          <w:szCs w:val="20"/>
        </w:rPr>
        <w:t>Three hundred and sixty coins…</w:t>
      </w:r>
      <w:bookmarkEnd w:id="414"/>
    </w:p>
    <w:p w14:paraId="7A64EDB7" w14:textId="1E148037" w:rsidR="00E80E91" w:rsidRPr="00EC0229" w:rsidRDefault="00E80E91" w:rsidP="007600EA">
      <w:pPr>
        <w:pStyle w:val="NoSpacing"/>
        <w:spacing w:line="360" w:lineRule="auto"/>
        <w:jc w:val="center"/>
        <w:rPr>
          <w:sz w:val="20"/>
          <w:szCs w:val="20"/>
        </w:rPr>
      </w:pPr>
      <w:r w:rsidRPr="00EC0229">
        <w:rPr>
          <w:sz w:val="20"/>
          <w:szCs w:val="20"/>
        </w:rPr>
        <w:t>…</w:t>
      </w:r>
      <w:r w:rsidR="00A33875" w:rsidRPr="00EC0229">
        <w:rPr>
          <w:sz w:val="20"/>
          <w:szCs w:val="20"/>
        </w:rPr>
        <w:t>found by some work men who were digging near St Mary’s Abbey</w:t>
      </w:r>
      <w:r w:rsidRPr="00EC0229">
        <w:rPr>
          <w:sz w:val="20"/>
          <w:szCs w:val="20"/>
        </w:rPr>
        <w:t xml:space="preserve"> </w:t>
      </w:r>
      <w:r w:rsidR="00A33875" w:rsidRPr="00EC0229">
        <w:rPr>
          <w:sz w:val="20"/>
          <w:szCs w:val="20"/>
        </w:rPr>
        <w:t>in York</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York</w:instrText>
      </w:r>
      <w:r w:rsidR="006B1593" w:rsidRPr="00EC0229">
        <w:rPr>
          <w:sz w:val="20"/>
          <w:szCs w:val="20"/>
        </w:rPr>
        <w:instrText xml:space="preserve">" </w:instrText>
      </w:r>
      <w:r w:rsidR="006B1593" w:rsidRPr="00EC0229">
        <w:rPr>
          <w:sz w:val="20"/>
          <w:szCs w:val="20"/>
        </w:rPr>
        <w:fldChar w:fldCharType="end"/>
      </w:r>
      <w:r w:rsidR="00951864" w:rsidRPr="00EC0229">
        <w:rPr>
          <w:sz w:val="20"/>
          <w:szCs w:val="20"/>
        </w:rPr>
        <w:t>…in the year 1831’</w:t>
      </w:r>
      <w:r w:rsidRPr="00EC0229">
        <w:rPr>
          <w:sz w:val="20"/>
          <w:szCs w:val="20"/>
        </w:rPr>
        <w:t>,</w:t>
      </w:r>
      <w:r w:rsidR="00A33875" w:rsidRPr="00EC0229">
        <w:rPr>
          <w:sz w:val="20"/>
          <w:szCs w:val="20"/>
        </w:rPr>
        <w:t xml:space="preserve"> </w:t>
      </w:r>
    </w:p>
    <w:p w14:paraId="5A2AE0EE" w14:textId="6BC6605E" w:rsidR="00A33875" w:rsidRPr="00EC0229" w:rsidRDefault="00E80E91" w:rsidP="007600EA">
      <w:pPr>
        <w:pStyle w:val="NoSpacing"/>
        <w:spacing w:line="360" w:lineRule="auto"/>
        <w:jc w:val="center"/>
        <w:rPr>
          <w:sz w:val="20"/>
          <w:szCs w:val="20"/>
        </w:rPr>
      </w:pPr>
      <w:r w:rsidRPr="00EC0229">
        <w:rPr>
          <w:sz w:val="20"/>
          <w:szCs w:val="20"/>
        </w:rPr>
        <w:t>a</w:t>
      </w:r>
      <w:r w:rsidR="00A33875" w:rsidRPr="00EC0229">
        <w:rPr>
          <w:sz w:val="20"/>
          <w:szCs w:val="20"/>
        </w:rPr>
        <w:t>ttached to an invoice for £2-0-0 from Henry Chapman who, though a Petergate Museum employee, sold the coins privately through his antiquarian business.</w:t>
      </w:r>
      <w:r w:rsidR="00A33875" w:rsidRPr="00EC0229">
        <w:rPr>
          <w:rStyle w:val="FootnoteReference"/>
          <w:rFonts w:cs="Times New Roman"/>
          <w:sz w:val="20"/>
          <w:szCs w:val="20"/>
        </w:rPr>
        <w:footnoteReference w:id="666"/>
      </w:r>
      <w:r w:rsidR="00A33875" w:rsidRPr="00EC0229">
        <w:rPr>
          <w:sz w:val="20"/>
          <w:szCs w:val="20"/>
        </w:rPr>
        <w:t xml:space="preserve"> Pirie</w:t>
      </w:r>
      <w:r w:rsidR="00716433" w:rsidRPr="00EC0229">
        <w:rPr>
          <w:sz w:val="20"/>
          <w:szCs w:val="20"/>
        </w:rPr>
        <w:fldChar w:fldCharType="begin"/>
      </w:r>
      <w:r w:rsidR="00716433" w:rsidRPr="00EC0229">
        <w:rPr>
          <w:sz w:val="20"/>
          <w:szCs w:val="20"/>
        </w:rPr>
        <w:instrText xml:space="preserve"> XE "Pirie" </w:instrText>
      </w:r>
      <w:r w:rsidR="00716433" w:rsidRPr="00EC0229">
        <w:rPr>
          <w:sz w:val="20"/>
          <w:szCs w:val="20"/>
        </w:rPr>
        <w:fldChar w:fldCharType="end"/>
      </w:r>
      <w:r w:rsidR="00A33875" w:rsidRPr="00EC0229">
        <w:rPr>
          <w:sz w:val="20"/>
          <w:szCs w:val="20"/>
        </w:rPr>
        <w:t xml:space="preserve"> suggests the coins may have been found when water pipes were connected to King’s Manor.</w:t>
      </w:r>
      <w:r w:rsidR="00A33875" w:rsidRPr="00EC0229">
        <w:rPr>
          <w:rStyle w:val="FootnoteReference"/>
          <w:rFonts w:cs="Times New Roman"/>
          <w:sz w:val="20"/>
          <w:szCs w:val="20"/>
        </w:rPr>
        <w:footnoteReference w:id="667"/>
      </w:r>
    </w:p>
    <w:p w14:paraId="3A03E6EC" w14:textId="77777777" w:rsidR="00A33875" w:rsidRPr="00EC0229" w:rsidRDefault="00A33875" w:rsidP="007600EA">
      <w:pPr>
        <w:pStyle w:val="NoSpacing"/>
        <w:spacing w:line="360" w:lineRule="auto"/>
        <w:rPr>
          <w:rFonts w:cs="Times New Roman"/>
        </w:rPr>
      </w:pPr>
    </w:p>
    <w:p w14:paraId="42BECB1E" w14:textId="18961C11" w:rsidR="00A33875" w:rsidRPr="00EC0229" w:rsidRDefault="00A33875" w:rsidP="007600EA">
      <w:pPr>
        <w:pStyle w:val="NoSpacing"/>
        <w:spacing w:line="360" w:lineRule="auto"/>
        <w:rPr>
          <w:rFonts w:cs="Times New Roman"/>
        </w:rPr>
      </w:pPr>
      <w:r w:rsidRPr="00EC0229">
        <w:rPr>
          <w:rFonts w:cs="Times New Roman"/>
        </w:rPr>
        <w:t>This hoard is particular</w:t>
      </w:r>
      <w:r w:rsidR="001F1182">
        <w:rPr>
          <w:rFonts w:cs="Times New Roman"/>
        </w:rPr>
        <w:t>ly</w:t>
      </w:r>
      <w:r w:rsidRPr="00EC0229">
        <w:rPr>
          <w:rFonts w:cs="Times New Roman"/>
        </w:rPr>
        <w:t xml:space="preserve"> strong in period N10a</w:t>
      </w:r>
      <w:r w:rsidR="00135FD1" w:rsidRPr="00EC0229">
        <w:rPr>
          <w:rFonts w:cs="Times New Roman"/>
        </w:rPr>
        <w:fldChar w:fldCharType="begin"/>
      </w:r>
      <w:r w:rsidR="00135FD1" w:rsidRPr="00EC0229">
        <w:instrText xml:space="preserve"> XE "</w:instrText>
      </w:r>
      <w:r w:rsidR="00135FD1" w:rsidRPr="00EC0229">
        <w:rPr>
          <w:color w:val="000000" w:themeColor="text1"/>
        </w:rPr>
        <w:instrText>period N10a</w:instrText>
      </w:r>
      <w:r w:rsidR="00135FD1" w:rsidRPr="00EC0229">
        <w:instrText xml:space="preserve">" </w:instrText>
      </w:r>
      <w:r w:rsidR="00135FD1" w:rsidRPr="00EC0229">
        <w:rPr>
          <w:rFonts w:cs="Times New Roman"/>
        </w:rPr>
        <w:fldChar w:fldCharType="end"/>
      </w:r>
      <w:r w:rsidRPr="00EC0229">
        <w:rPr>
          <w:rFonts w:cs="Times New Roman"/>
        </w:rPr>
        <w:t>, brass, a significant element of which is episcopal (i.e. Wigmund</w:t>
      </w:r>
      <w:r w:rsidR="00D142DC" w:rsidRPr="00EC0229">
        <w:rPr>
          <w:rFonts w:cs="Times New Roman"/>
        </w:rPr>
        <w:fldChar w:fldCharType="begin"/>
      </w:r>
      <w:r w:rsidR="00D142DC" w:rsidRPr="00EC0229">
        <w:instrText xml:space="preserve"> XE "Wigmund" </w:instrText>
      </w:r>
      <w:r w:rsidR="00D142DC" w:rsidRPr="00EC0229">
        <w:rPr>
          <w:rFonts w:cs="Times New Roman"/>
        </w:rPr>
        <w:fldChar w:fldCharType="end"/>
      </w:r>
      <w:r w:rsidRPr="00EC0229">
        <w:rPr>
          <w:rFonts w:cs="Times New Roman"/>
        </w:rPr>
        <w:t>). Possibly, this is diagnostic of the findspot, an ecclesiastical site but it seems counter-intuitive that the silver and tin alloy coins were filtered out for use and the brass kept.</w:t>
      </w:r>
    </w:p>
    <w:p w14:paraId="2C832081" w14:textId="77777777" w:rsidR="00A33875" w:rsidRPr="00EC0229" w:rsidRDefault="00A33875" w:rsidP="007600EA">
      <w:pPr>
        <w:pStyle w:val="NoSpacing"/>
        <w:spacing w:line="360" w:lineRule="auto"/>
        <w:rPr>
          <w:rFonts w:cs="Times New Roman"/>
        </w:rPr>
      </w:pPr>
    </w:p>
    <w:p w14:paraId="3D82D034" w14:textId="2E6ECB1F" w:rsidR="00A33875" w:rsidRPr="00EC0229" w:rsidRDefault="00A33875" w:rsidP="007600EA">
      <w:pPr>
        <w:pStyle w:val="NoSpacing"/>
        <w:spacing w:line="360" w:lineRule="auto"/>
        <w:rPr>
          <w:rFonts w:cs="Times New Roman"/>
        </w:rPr>
      </w:pPr>
      <w:r w:rsidRPr="00EC0229">
        <w:rPr>
          <w:rFonts w:cs="Times New Roman"/>
        </w:rPr>
        <w:t>Whilst it may be self-evident, it bears stating that these large hoards are exclusively composed of the northern widow’s mites. A plausible explanation is that this reflects tight monetary control and no other species were in circulation. The sheer volume of the hoards, resonant of the Roman</w:t>
      </w:r>
      <w:r w:rsidR="00D142DC" w:rsidRPr="00EC0229">
        <w:rPr>
          <w:rFonts w:cs="Times New Roman"/>
        </w:rPr>
        <w:fldChar w:fldCharType="begin"/>
      </w:r>
      <w:r w:rsidR="00D142DC" w:rsidRPr="00EC0229">
        <w:instrText xml:space="preserve"> XE "Roman" </w:instrText>
      </w:r>
      <w:r w:rsidR="00D142DC" w:rsidRPr="00EC0229">
        <w:rPr>
          <w:rFonts w:cs="Times New Roman"/>
        </w:rPr>
        <w:fldChar w:fldCharType="end"/>
      </w:r>
      <w:r w:rsidRPr="00EC0229">
        <w:rPr>
          <w:rFonts w:cs="Times New Roman"/>
        </w:rPr>
        <w:t xml:space="preserve"> antoninianii, deposited in the tens of thousands, demonstrates both the low value of the denomination and the substantial volume of circulating medium.</w:t>
      </w:r>
    </w:p>
    <w:p w14:paraId="5E7A1E79" w14:textId="77777777" w:rsidR="00A33875" w:rsidRPr="00EC0229" w:rsidRDefault="00A33875" w:rsidP="007600EA">
      <w:pPr>
        <w:pStyle w:val="NoSpacing"/>
        <w:spacing w:line="360" w:lineRule="auto"/>
        <w:rPr>
          <w:rFonts w:cs="Times New Roman"/>
        </w:rPr>
      </w:pPr>
    </w:p>
    <w:p w14:paraId="3996BBC6" w14:textId="77777777" w:rsidR="00A33875" w:rsidRPr="00EC0229" w:rsidRDefault="00A33875" w:rsidP="007600EA">
      <w:pPr>
        <w:pStyle w:val="NoSpacing"/>
        <w:spacing w:line="360" w:lineRule="auto"/>
      </w:pPr>
    </w:p>
    <w:p w14:paraId="66AE7AE9" w14:textId="239D11C4" w:rsidR="00A33875" w:rsidRPr="008E6548" w:rsidRDefault="008259E1" w:rsidP="007600EA">
      <w:pPr>
        <w:pStyle w:val="Heading4"/>
        <w:spacing w:line="360" w:lineRule="auto"/>
        <w:rPr>
          <w:b/>
        </w:rPr>
      </w:pPr>
      <w:bookmarkStart w:id="415" w:name="Single"/>
      <w:bookmarkStart w:id="416" w:name="_Toc468266812"/>
      <w:bookmarkEnd w:id="415"/>
      <w:r w:rsidRPr="008259E1">
        <w:rPr>
          <w:b/>
        </w:rPr>
        <w:lastRenderedPageBreak/>
        <w:t>5.4.2.</w:t>
      </w:r>
      <w:r>
        <w:rPr>
          <w:b/>
        </w:rPr>
        <w:t>3</w:t>
      </w:r>
      <w:r w:rsidRPr="008259E1">
        <w:rPr>
          <w:b/>
        </w:rPr>
        <w:tab/>
      </w:r>
      <w:r w:rsidR="00A33875" w:rsidRPr="008E6548">
        <w:rPr>
          <w:b/>
        </w:rPr>
        <w:t>Single Finds</w:t>
      </w:r>
      <w:bookmarkEnd w:id="416"/>
    </w:p>
    <w:p w14:paraId="3B2FB31F" w14:textId="77777777" w:rsidR="00546401" w:rsidRPr="00EC0229" w:rsidRDefault="00A33875" w:rsidP="007600EA">
      <w:pPr>
        <w:pStyle w:val="NoSpacing"/>
        <w:spacing w:line="360" w:lineRule="auto"/>
        <w:jc w:val="right"/>
        <w:rPr>
          <w:sz w:val="20"/>
          <w:szCs w:val="20"/>
        </w:rPr>
      </w:pPr>
      <w:r w:rsidRPr="00EC0229">
        <w:rPr>
          <w:sz w:val="20"/>
          <w:szCs w:val="20"/>
        </w:rPr>
        <w:t xml:space="preserve">‘Randomness is all.’ </w:t>
      </w:r>
    </w:p>
    <w:p w14:paraId="4EAE30A2" w14:textId="53F36327" w:rsidR="00A33875" w:rsidRPr="00EC0229" w:rsidRDefault="00A33875" w:rsidP="007600EA">
      <w:pPr>
        <w:pStyle w:val="NoSpacing"/>
        <w:spacing w:line="360" w:lineRule="auto"/>
        <w:jc w:val="right"/>
        <w:rPr>
          <w:sz w:val="20"/>
          <w:szCs w:val="20"/>
        </w:rPr>
      </w:pPr>
      <w:r w:rsidRPr="00EC0229">
        <w:rPr>
          <w:sz w:val="20"/>
          <w:szCs w:val="20"/>
        </w:rPr>
        <w:t>Michael Metcalf</w:t>
      </w:r>
      <w:r w:rsidR="00F204A1" w:rsidRPr="00EC0229">
        <w:rPr>
          <w:sz w:val="20"/>
          <w:szCs w:val="20"/>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sz w:val="20"/>
          <w:szCs w:val="20"/>
        </w:rPr>
        <w:fldChar w:fldCharType="end"/>
      </w:r>
      <w:r w:rsidRPr="00EC0229">
        <w:rPr>
          <w:sz w:val="20"/>
          <w:szCs w:val="20"/>
        </w:rPr>
        <w:t>, (1998) 171.</w:t>
      </w:r>
    </w:p>
    <w:p w14:paraId="0B8C9796" w14:textId="72AB186E" w:rsidR="00A33875" w:rsidRPr="00EC0229" w:rsidRDefault="00A33875" w:rsidP="007600EA">
      <w:pPr>
        <w:pStyle w:val="NoSpacing"/>
        <w:spacing w:line="360" w:lineRule="auto"/>
      </w:pPr>
      <w:r w:rsidRPr="00EC0229">
        <w:t>It is fortunate that much hoard material, supported by a wealth of local finds, has been assembled at the Yorkshire Museum and other local museums and universities.</w:t>
      </w:r>
      <w:r w:rsidRPr="00EC0229">
        <w:rPr>
          <w:rStyle w:val="FootnoteReference"/>
        </w:rPr>
        <w:footnoteReference w:id="668"/>
      </w:r>
      <w:r w:rsidRPr="00EC0229">
        <w:t xml:space="preserve"> Single finds are so widespread that they often go unreported – rumour in the detecting community is that less than one tenth of finds (of all artefacts, not merely stycas) are reported. The stycas were omitted from Pirie</w:t>
      </w:r>
      <w:r w:rsidR="00716433" w:rsidRPr="00EC0229">
        <w:fldChar w:fldCharType="begin"/>
      </w:r>
      <w:r w:rsidR="00716433" w:rsidRPr="00EC0229">
        <w:instrText xml:space="preserve"> XE "Pirie" </w:instrText>
      </w:r>
      <w:r w:rsidR="00716433" w:rsidRPr="00EC0229">
        <w:fldChar w:fldCharType="end"/>
      </w:r>
      <w:r w:rsidRPr="00EC0229">
        <w:t xml:space="preserve">’s Sylloge volume of </w:t>
      </w:r>
      <w:r w:rsidRPr="00EC0229">
        <w:rPr>
          <w:i/>
          <w:iCs/>
        </w:rPr>
        <w:t xml:space="preserve">Coins in the Yorkshire Museums </w:t>
      </w:r>
      <w:r w:rsidRPr="00EC0229">
        <w:rPr>
          <w:rStyle w:val="FootnoteReference"/>
        </w:rPr>
        <w:footnoteReference w:id="669"/>
      </w:r>
      <w:r w:rsidRPr="00EC0229">
        <w:t xml:space="preserve"> as she intended to dedicate a separate Sylloge to this coinage.</w:t>
      </w:r>
    </w:p>
    <w:p w14:paraId="2BA01C14" w14:textId="77777777" w:rsidR="00A33875" w:rsidRPr="00EC0229" w:rsidRDefault="00A33875" w:rsidP="007600EA">
      <w:pPr>
        <w:pStyle w:val="NoSpacing"/>
        <w:spacing w:line="360" w:lineRule="auto"/>
        <w:rPr>
          <w:color w:val="000000" w:themeColor="text1"/>
        </w:rPr>
      </w:pPr>
    </w:p>
    <w:p w14:paraId="04BB0C27" w14:textId="2D975356" w:rsidR="00A33875" w:rsidRPr="008E6548" w:rsidRDefault="008259E1" w:rsidP="007600EA">
      <w:pPr>
        <w:pStyle w:val="Heading4"/>
        <w:spacing w:line="360" w:lineRule="auto"/>
        <w:rPr>
          <w:b/>
        </w:rPr>
      </w:pPr>
      <w:bookmarkStart w:id="417" w:name="_Ref463871056"/>
      <w:bookmarkStart w:id="418" w:name="_Ref463871071"/>
      <w:bookmarkStart w:id="419" w:name="_Toc468266813"/>
      <w:bookmarkStart w:id="420" w:name="simpler"/>
      <w:r w:rsidRPr="008259E1">
        <w:rPr>
          <w:b/>
        </w:rPr>
        <w:t>5.4.2.</w:t>
      </w:r>
      <w:r>
        <w:rPr>
          <w:b/>
        </w:rPr>
        <w:t>4</w:t>
      </w:r>
      <w:r w:rsidRPr="008259E1">
        <w:rPr>
          <w:b/>
        </w:rPr>
        <w:tab/>
      </w:r>
      <w:r w:rsidR="00A33875" w:rsidRPr="008E6548">
        <w:rPr>
          <w:b/>
        </w:rPr>
        <w:t>A simpler approach</w:t>
      </w:r>
      <w:bookmarkEnd w:id="417"/>
      <w:bookmarkEnd w:id="418"/>
      <w:bookmarkEnd w:id="419"/>
    </w:p>
    <w:p w14:paraId="2B5E0823" w14:textId="140BCA7A" w:rsidR="0069227A" w:rsidRPr="00EC0229" w:rsidRDefault="0069227A" w:rsidP="007600EA">
      <w:pPr>
        <w:pStyle w:val="NoSpacing"/>
        <w:spacing w:line="360" w:lineRule="auto"/>
        <w:jc w:val="right"/>
        <w:rPr>
          <w:i/>
          <w:sz w:val="20"/>
          <w:szCs w:val="20"/>
        </w:rPr>
      </w:pPr>
      <w:r w:rsidRPr="00EC0229">
        <w:rPr>
          <w:i/>
          <w:sz w:val="20"/>
          <w:szCs w:val="20"/>
        </w:rPr>
        <w:t>It is a public as well as private tragedy if you perversely throw it all away.</w:t>
      </w:r>
    </w:p>
    <w:p w14:paraId="5DBE6CAE" w14:textId="38F6B575" w:rsidR="0069227A" w:rsidRPr="00EC0229" w:rsidRDefault="0069227A" w:rsidP="007600EA">
      <w:pPr>
        <w:pStyle w:val="NoSpacing"/>
        <w:spacing w:line="360" w:lineRule="auto"/>
        <w:jc w:val="right"/>
        <w:rPr>
          <w:sz w:val="20"/>
          <w:szCs w:val="20"/>
        </w:rPr>
      </w:pPr>
      <w:r w:rsidRPr="00EC0229">
        <w:rPr>
          <w:sz w:val="20"/>
          <w:szCs w:val="20"/>
        </w:rPr>
        <w:t>Michael Metcalf to Elizabeth Pirie in private correspondence (Pirie archive)</w:t>
      </w:r>
    </w:p>
    <w:p w14:paraId="79AC81EA" w14:textId="7A9C45B3" w:rsidR="00B35C2D" w:rsidRPr="00EC0229" w:rsidRDefault="00B35C2D" w:rsidP="007600EA">
      <w:pPr>
        <w:pStyle w:val="NoSpacing"/>
        <w:spacing w:line="360" w:lineRule="auto"/>
        <w:jc w:val="right"/>
        <w:rPr>
          <w:i/>
          <w:sz w:val="20"/>
          <w:szCs w:val="20"/>
        </w:rPr>
      </w:pPr>
      <w:r w:rsidRPr="00EC0229">
        <w:rPr>
          <w:i/>
          <w:sz w:val="20"/>
          <w:szCs w:val="20"/>
        </w:rPr>
        <w:t>I'm playing all the right notes—but not necessarily in the right order.</w:t>
      </w:r>
    </w:p>
    <w:p w14:paraId="582ACFFF" w14:textId="6F7C68CF" w:rsidR="00B35C2D" w:rsidRPr="00EC0229" w:rsidRDefault="00B35C2D" w:rsidP="007600EA">
      <w:pPr>
        <w:pStyle w:val="NoSpacing"/>
        <w:spacing w:line="360" w:lineRule="auto"/>
        <w:jc w:val="right"/>
        <w:rPr>
          <w:sz w:val="20"/>
          <w:szCs w:val="20"/>
        </w:rPr>
      </w:pPr>
      <w:r w:rsidRPr="00EC0229">
        <w:rPr>
          <w:sz w:val="20"/>
          <w:szCs w:val="20"/>
        </w:rPr>
        <w:t>John Eric Bartholomew. The Morecambe &amp; Wise Christmas Show, 1971.</w:t>
      </w:r>
    </w:p>
    <w:bookmarkEnd w:id="420"/>
    <w:p w14:paraId="16CDF043" w14:textId="4DD63453" w:rsidR="00A33875" w:rsidRPr="00EC0229" w:rsidRDefault="00A33875" w:rsidP="007600EA">
      <w:pPr>
        <w:spacing w:line="360" w:lineRule="auto"/>
        <w:rPr>
          <w:rFonts w:cs="Times New Roman"/>
          <w:szCs w:val="24"/>
        </w:rPr>
      </w:pPr>
      <w:r w:rsidRPr="00EC0229">
        <w:rPr>
          <w:rFonts w:cs="Times New Roman"/>
          <w:szCs w:val="24"/>
        </w:rPr>
        <w:t xml:space="preserve">Fortunately, </w:t>
      </w:r>
      <w:r w:rsidR="00217AC6" w:rsidRPr="00EC0229">
        <w:rPr>
          <w:rFonts w:cs="Times New Roman"/>
          <w:szCs w:val="24"/>
        </w:rPr>
        <w:t>Pirie</w:t>
      </w:r>
      <w:r w:rsidR="00217AC6" w:rsidRPr="00EC0229">
        <w:rPr>
          <w:rFonts w:cs="Times New Roman"/>
          <w:szCs w:val="24"/>
        </w:rPr>
        <w:fldChar w:fldCharType="begin"/>
      </w:r>
      <w:r w:rsidR="00217AC6" w:rsidRPr="00EC0229">
        <w:instrText xml:space="preserve"> XE "Pirie" </w:instrText>
      </w:r>
      <w:r w:rsidR="00217AC6" w:rsidRPr="00EC0229">
        <w:rPr>
          <w:rFonts w:cs="Times New Roman"/>
          <w:szCs w:val="24"/>
        </w:rPr>
        <w:fldChar w:fldCharType="end"/>
      </w:r>
      <w:r w:rsidR="00217AC6" w:rsidRPr="00EC0229">
        <w:rPr>
          <w:rFonts w:cs="Times New Roman"/>
          <w:szCs w:val="24"/>
        </w:rPr>
        <w:t>’s corpus has</w:t>
      </w:r>
      <w:r w:rsidRPr="00EC0229">
        <w:rPr>
          <w:rFonts w:cs="Times New Roman"/>
          <w:szCs w:val="24"/>
        </w:rPr>
        <w:t xml:space="preserve"> now </w:t>
      </w:r>
      <w:r w:rsidR="00217AC6" w:rsidRPr="00EC0229">
        <w:rPr>
          <w:rFonts w:cs="Times New Roman"/>
          <w:szCs w:val="24"/>
        </w:rPr>
        <w:t xml:space="preserve">been </w:t>
      </w:r>
      <w:r w:rsidRPr="00EC0229">
        <w:rPr>
          <w:rFonts w:cs="Times New Roman"/>
          <w:szCs w:val="24"/>
        </w:rPr>
        <w:t>recovered and digitized</w:t>
      </w:r>
      <w:r w:rsidR="00217AC6" w:rsidRPr="00EC0229">
        <w:rPr>
          <w:rFonts w:cs="Times New Roman"/>
          <w:szCs w:val="24"/>
        </w:rPr>
        <w:t xml:space="preserve"> </w:t>
      </w:r>
      <w:r w:rsidR="00381234" w:rsidRPr="00EC0229">
        <w:rPr>
          <w:rFonts w:cs="Times New Roman"/>
          <w:szCs w:val="24"/>
        </w:rPr>
        <w:t xml:space="preserve">by the candidate </w:t>
      </w:r>
      <w:r w:rsidR="00217AC6" w:rsidRPr="00EC0229">
        <w:rPr>
          <w:rFonts w:cs="Times New Roman"/>
          <w:szCs w:val="24"/>
        </w:rPr>
        <w:t>to form</w:t>
      </w:r>
      <w:r w:rsidRPr="00EC0229">
        <w:rPr>
          <w:rFonts w:cs="Times New Roman"/>
          <w:szCs w:val="24"/>
        </w:rPr>
        <w:t xml:space="preserve"> the </w:t>
      </w:r>
      <w:r w:rsidR="007A11B4" w:rsidRPr="00EC0229">
        <w:rPr>
          <w:rFonts w:cs="Times New Roman"/>
          <w:szCs w:val="24"/>
        </w:rPr>
        <w:t>foundations</w:t>
      </w:r>
      <w:r w:rsidRPr="00EC0229">
        <w:rPr>
          <w:rFonts w:cs="Times New Roman"/>
          <w:szCs w:val="24"/>
        </w:rPr>
        <w:t xml:space="preserve"> of the </w:t>
      </w:r>
      <w:r w:rsidR="00D65946" w:rsidRPr="00EC0229">
        <w:rPr>
          <w:rFonts w:cs="Times New Roman"/>
          <w:szCs w:val="24"/>
        </w:rPr>
        <w:t>d</w:t>
      </w:r>
      <w:r w:rsidR="005D0690" w:rsidRPr="00EC0229">
        <w:rPr>
          <w:rFonts w:cs="Times New Roman"/>
          <w:szCs w:val="24"/>
        </w:rPr>
        <w:t>atabase</w:t>
      </w:r>
      <w:r w:rsidR="00584C42" w:rsidRPr="00EC0229">
        <w:rPr>
          <w:rFonts w:cs="Times New Roman"/>
          <w:szCs w:val="24"/>
        </w:rPr>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rPr>
          <w:rFonts w:cs="Times New Roman"/>
          <w:szCs w:val="24"/>
        </w:rPr>
        <w:fldChar w:fldCharType="end"/>
      </w:r>
      <w:r w:rsidR="008727F5" w:rsidRPr="00EC0229">
        <w:rPr>
          <w:rFonts w:cs="Times New Roman"/>
          <w:szCs w:val="24"/>
        </w:rPr>
        <w:t xml:space="preserve"> (see</w:t>
      </w:r>
      <w:r w:rsidRPr="00EC0229">
        <w:rPr>
          <w:rFonts w:cs="Times New Roman"/>
          <w:szCs w:val="24"/>
        </w:rPr>
        <w:t xml:space="preserve"> </w:t>
      </w:r>
      <w:r w:rsidR="008727F5" w:rsidRPr="00EC0229">
        <w:rPr>
          <w:rFonts w:cs="Times New Roman"/>
          <w:szCs w:val="24"/>
        </w:rPr>
        <w:fldChar w:fldCharType="begin"/>
      </w:r>
      <w:r w:rsidR="008727F5" w:rsidRPr="00EC0229">
        <w:rPr>
          <w:rFonts w:cs="Times New Roman"/>
          <w:szCs w:val="24"/>
        </w:rPr>
        <w:instrText xml:space="preserve"> PAGEREF Chapter6 \h </w:instrText>
      </w:r>
      <w:r w:rsidR="008727F5" w:rsidRPr="00EC0229">
        <w:rPr>
          <w:rFonts w:cs="Times New Roman"/>
          <w:szCs w:val="24"/>
        </w:rPr>
      </w:r>
      <w:r w:rsidR="008727F5" w:rsidRPr="00EC0229">
        <w:rPr>
          <w:rFonts w:cs="Times New Roman"/>
          <w:szCs w:val="24"/>
        </w:rPr>
        <w:fldChar w:fldCharType="separate"/>
      </w:r>
      <w:r w:rsidR="0012026B">
        <w:rPr>
          <w:rFonts w:cs="Times New Roman"/>
          <w:noProof/>
          <w:szCs w:val="24"/>
        </w:rPr>
        <w:t>149</w:t>
      </w:r>
      <w:r w:rsidR="008727F5" w:rsidRPr="00EC0229">
        <w:rPr>
          <w:rFonts w:cs="Times New Roman"/>
          <w:szCs w:val="24"/>
        </w:rPr>
        <w:fldChar w:fldCharType="end"/>
      </w:r>
      <w:r w:rsidR="008727F5" w:rsidRPr="00EC0229">
        <w:rPr>
          <w:rFonts w:cs="Times New Roman"/>
          <w:szCs w:val="24"/>
        </w:rPr>
        <w:t>)</w:t>
      </w:r>
      <w:r w:rsidRPr="00EC0229">
        <w:rPr>
          <w:rFonts w:cs="Times New Roman"/>
          <w:szCs w:val="24"/>
        </w:rPr>
        <w:t xml:space="preserve">. </w:t>
      </w:r>
    </w:p>
    <w:p w14:paraId="758707BD" w14:textId="1E094E8C" w:rsidR="00A33875" w:rsidRPr="00EC0229" w:rsidRDefault="00A33875" w:rsidP="007600EA">
      <w:pPr>
        <w:spacing w:line="360" w:lineRule="auto"/>
        <w:rPr>
          <w:rFonts w:cs="Times New Roman"/>
          <w:szCs w:val="24"/>
        </w:rPr>
      </w:pPr>
      <w:r w:rsidRPr="00EC0229">
        <w:rPr>
          <w:rFonts w:cs="Times New Roman"/>
          <w:szCs w:val="24"/>
        </w:rPr>
        <w:t xml:space="preserve">If one divorces the obverse </w:t>
      </w:r>
      <w:r w:rsidR="00862F15" w:rsidRPr="00EC0229">
        <w:rPr>
          <w:rFonts w:cs="Times New Roman"/>
          <w:szCs w:val="24"/>
        </w:rPr>
        <w:t>and</w:t>
      </w:r>
      <w:r w:rsidRPr="00EC0229">
        <w:rPr>
          <w:rFonts w:cs="Times New Roman"/>
          <w:szCs w:val="24"/>
        </w:rPr>
        <w:t xml:space="preserve"> reverse and considers issuers </w:t>
      </w:r>
      <w:r w:rsidR="00862F15" w:rsidRPr="00EC0229">
        <w:rPr>
          <w:rFonts w:cs="Times New Roman"/>
          <w:szCs w:val="24"/>
        </w:rPr>
        <w:t>and</w:t>
      </w:r>
      <w:r w:rsidRPr="00EC0229">
        <w:rPr>
          <w:rFonts w:cs="Times New Roman"/>
          <w:szCs w:val="24"/>
        </w:rPr>
        <w:t xml:space="preserve"> moneyers separately rather than in combination, and largely ignores the proliferation of central motifs, the entire corpus falls satisfyingly into a neat, accessible arrangement facilitating both identification and, to some extent, sequencing.</w:t>
      </w:r>
      <w:r w:rsidRPr="00EC0229">
        <w:rPr>
          <w:rStyle w:val="FootnoteReference"/>
          <w:rFonts w:cs="Times New Roman"/>
          <w:szCs w:val="24"/>
        </w:rPr>
        <w:footnoteReference w:id="670"/>
      </w:r>
      <w:r w:rsidRPr="00EC0229">
        <w:rPr>
          <w:rFonts w:cs="Times New Roman"/>
          <w:szCs w:val="24"/>
        </w:rPr>
        <w:t xml:space="preserve"> My </w:t>
      </w:r>
      <w:r w:rsidR="006C328D" w:rsidRPr="00EC0229">
        <w:rPr>
          <w:rFonts w:cs="Times New Roman"/>
          <w:szCs w:val="24"/>
        </w:rPr>
        <w:t>periodiz</w:t>
      </w:r>
      <w:r w:rsidRPr="00EC0229">
        <w:rPr>
          <w:rFonts w:cs="Times New Roman"/>
          <w:szCs w:val="24"/>
        </w:rPr>
        <w:t>ation recognises the broad shifts in metallurgy,</w:t>
      </w:r>
      <w:r w:rsidR="00943122" w:rsidRPr="00EC0229">
        <w:rPr>
          <w:rStyle w:val="FootnoteReference"/>
          <w:rFonts w:cs="Times New Roman"/>
          <w:szCs w:val="24"/>
        </w:rPr>
        <w:t xml:space="preserve"> </w:t>
      </w:r>
      <w:r w:rsidR="00943122" w:rsidRPr="00EC0229">
        <w:rPr>
          <w:rStyle w:val="FootnoteReference"/>
          <w:rFonts w:cs="Times New Roman"/>
          <w:szCs w:val="24"/>
        </w:rPr>
        <w:footnoteReference w:id="671"/>
      </w:r>
      <w:r w:rsidRPr="00EC0229">
        <w:rPr>
          <w:rFonts w:cs="Times New Roman"/>
          <w:szCs w:val="24"/>
        </w:rPr>
        <w:t xml:space="preserve"> constituting Periods N9-10, ninth-century issues, sub-divided into:</w:t>
      </w:r>
    </w:p>
    <w:p w14:paraId="5840CFDA" w14:textId="262C25AA" w:rsidR="00A33875" w:rsidRPr="00EC0229" w:rsidRDefault="00A33875" w:rsidP="007600EA">
      <w:pPr>
        <w:pStyle w:val="ListParagraph"/>
        <w:spacing w:line="360" w:lineRule="auto"/>
        <w:ind w:left="2268"/>
        <w:rPr>
          <w:rFonts w:cs="Times New Roman"/>
          <w:szCs w:val="24"/>
        </w:rPr>
      </w:pPr>
      <w:r w:rsidRPr="00EC0229">
        <w:rPr>
          <w:rFonts w:cs="Times New Roman"/>
          <w:szCs w:val="24"/>
        </w:rPr>
        <w:t>Period N9</w:t>
      </w:r>
      <w:r w:rsidR="00135FD1" w:rsidRPr="00EC0229">
        <w:rPr>
          <w:rFonts w:cs="Times New Roman"/>
          <w:szCs w:val="24"/>
        </w:rPr>
        <w:fldChar w:fldCharType="begin"/>
      </w:r>
      <w:r w:rsidR="00135FD1" w:rsidRPr="00EC0229">
        <w:instrText xml:space="preserve"> XE "</w:instrText>
      </w:r>
      <w:r w:rsidR="00135FD1" w:rsidRPr="00EC0229">
        <w:rPr>
          <w:rFonts w:cs="Times New Roman"/>
        </w:rPr>
        <w:instrText>Period N9</w:instrText>
      </w:r>
      <w:r w:rsidR="00135FD1" w:rsidRPr="00EC0229">
        <w:instrText xml:space="preserve">" </w:instrText>
      </w:r>
      <w:r w:rsidR="00135FD1" w:rsidRPr="00EC0229">
        <w:rPr>
          <w:rFonts w:cs="Times New Roman"/>
          <w:szCs w:val="24"/>
        </w:rPr>
        <w:fldChar w:fldCharType="end"/>
      </w:r>
      <w:r w:rsidRPr="00EC0229">
        <w:rPr>
          <w:rFonts w:cs="Times New Roman"/>
          <w:szCs w:val="24"/>
        </w:rPr>
        <w:t xml:space="preserve">, </w:t>
      </w:r>
      <w:r w:rsidRPr="00EC0229">
        <w:rPr>
          <w:rFonts w:cs="Times New Roman"/>
          <w:i/>
          <w:szCs w:val="24"/>
        </w:rPr>
        <w:t>sceats</w:t>
      </w:r>
      <w:r w:rsidRPr="00EC0229">
        <w:rPr>
          <w:rFonts w:cs="Times New Roman"/>
          <w:szCs w:val="24"/>
        </w:rPr>
        <w:t>: silver-alloy</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emissions, before 835 (if not 829),</w:t>
      </w:r>
    </w:p>
    <w:p w14:paraId="4972B124" w14:textId="3717BD4C" w:rsidR="00A33875" w:rsidRPr="00EC0229" w:rsidRDefault="00A33875" w:rsidP="007600EA">
      <w:pPr>
        <w:pStyle w:val="ListParagraph"/>
        <w:spacing w:line="360" w:lineRule="auto"/>
        <w:ind w:left="2268"/>
        <w:rPr>
          <w:rFonts w:cs="Times New Roman"/>
          <w:szCs w:val="24"/>
        </w:rPr>
      </w:pPr>
      <w:bookmarkStart w:id="421" w:name="PeriodN10"/>
      <w:bookmarkEnd w:id="421"/>
      <w:r w:rsidRPr="00EC0229">
        <w:rPr>
          <w:rFonts w:cs="Times New Roman"/>
          <w:szCs w:val="24"/>
        </w:rPr>
        <w:t>Period N10</w:t>
      </w:r>
      <w:r w:rsidR="00135FD1" w:rsidRPr="00EC0229">
        <w:rPr>
          <w:rFonts w:cs="Times New Roman"/>
          <w:szCs w:val="24"/>
        </w:rPr>
        <w:fldChar w:fldCharType="begin"/>
      </w:r>
      <w:r w:rsidR="00135FD1" w:rsidRPr="00EC0229">
        <w:instrText xml:space="preserve"> XE "</w:instrText>
      </w:r>
      <w:r w:rsidR="00135FD1" w:rsidRPr="00EC0229">
        <w:rPr>
          <w:rFonts w:cs="Times New Roman"/>
          <w:szCs w:val="24"/>
        </w:rPr>
        <w:instrText>Period N10</w:instrText>
      </w:r>
      <w:r w:rsidR="00135FD1" w:rsidRPr="00EC0229">
        <w:instrText xml:space="preserve">" </w:instrText>
      </w:r>
      <w:r w:rsidR="00135FD1" w:rsidRPr="00EC0229">
        <w:rPr>
          <w:rFonts w:cs="Times New Roman"/>
          <w:szCs w:val="24"/>
        </w:rPr>
        <w:fldChar w:fldCharType="end"/>
      </w:r>
      <w:r w:rsidRPr="00EC0229">
        <w:rPr>
          <w:rFonts w:cs="Times New Roman"/>
          <w:szCs w:val="24"/>
        </w:rPr>
        <w:t xml:space="preserve">, </w:t>
      </w:r>
      <w:r w:rsidRPr="00EC0229">
        <w:rPr>
          <w:rFonts w:cs="Times New Roman"/>
          <w:i/>
          <w:szCs w:val="24"/>
        </w:rPr>
        <w:t>stycas</w:t>
      </w:r>
      <w:r w:rsidRPr="00EC0229">
        <w:rPr>
          <w:rFonts w:cs="Times New Roman"/>
          <w:szCs w:val="24"/>
        </w:rPr>
        <w:t>:</w:t>
      </w:r>
    </w:p>
    <w:p w14:paraId="50028ED7" w14:textId="2D34BB2D" w:rsidR="00A33875" w:rsidRPr="00EC0229" w:rsidRDefault="00361C8C" w:rsidP="00387063">
      <w:pPr>
        <w:pStyle w:val="ListParagraph"/>
        <w:numPr>
          <w:ilvl w:val="0"/>
          <w:numId w:val="5"/>
        </w:numPr>
        <w:spacing w:after="200" w:line="360" w:lineRule="auto"/>
        <w:rPr>
          <w:rFonts w:cs="Times New Roman"/>
          <w:szCs w:val="24"/>
        </w:rPr>
      </w:pPr>
      <w:r w:rsidRPr="00EC0229">
        <w:rPr>
          <w:rFonts w:cs="Times New Roman"/>
          <w:szCs w:val="24"/>
        </w:rPr>
        <w:t>B</w:t>
      </w:r>
      <w:r w:rsidR="00A33875" w:rsidRPr="00EC0229">
        <w:rPr>
          <w:rFonts w:cs="Times New Roman"/>
          <w:szCs w:val="24"/>
        </w:rPr>
        <w:t xml:space="preserve">rass, </w:t>
      </w:r>
      <w:r w:rsidR="002132F1">
        <w:rPr>
          <w:rFonts w:cs="Times New Roman"/>
          <w:i/>
          <w:szCs w:val="24"/>
        </w:rPr>
        <w:t>c.</w:t>
      </w:r>
      <w:r w:rsidR="00A33875" w:rsidRPr="00EC0229">
        <w:rPr>
          <w:rFonts w:cs="Times New Roman"/>
          <w:szCs w:val="24"/>
        </w:rPr>
        <w:t>837</w:t>
      </w:r>
      <w:r w:rsidR="00AB6635">
        <w:rPr>
          <w:rFonts w:cs="Times New Roman"/>
          <w:szCs w:val="24"/>
        </w:rPr>
        <w:t>-</w:t>
      </w:r>
      <w:r w:rsidR="002132F1">
        <w:rPr>
          <w:rFonts w:cs="Times New Roman"/>
          <w:i/>
          <w:szCs w:val="24"/>
        </w:rPr>
        <w:t>c.</w:t>
      </w:r>
      <w:r w:rsidR="00A33875" w:rsidRPr="00EC0229">
        <w:rPr>
          <w:rFonts w:cs="Times New Roman"/>
          <w:szCs w:val="24"/>
        </w:rPr>
        <w:t>850,</w:t>
      </w:r>
    </w:p>
    <w:p w14:paraId="0D2EA301" w14:textId="62676257" w:rsidR="00A33875" w:rsidRPr="00EC0229" w:rsidRDefault="00361C8C" w:rsidP="00387063">
      <w:pPr>
        <w:pStyle w:val="ListParagraph"/>
        <w:numPr>
          <w:ilvl w:val="0"/>
          <w:numId w:val="5"/>
        </w:numPr>
        <w:spacing w:after="200" w:line="360" w:lineRule="auto"/>
        <w:rPr>
          <w:rFonts w:cs="Times New Roman"/>
          <w:szCs w:val="24"/>
        </w:rPr>
      </w:pPr>
      <w:r w:rsidRPr="00EC0229">
        <w:rPr>
          <w:rFonts w:cs="Times New Roman"/>
          <w:szCs w:val="24"/>
        </w:rPr>
        <w:t>B</w:t>
      </w:r>
      <w:r w:rsidR="00A33875" w:rsidRPr="00EC0229">
        <w:rPr>
          <w:rFonts w:cs="Times New Roman"/>
          <w:szCs w:val="24"/>
        </w:rPr>
        <w:t xml:space="preserve">ronze, </w:t>
      </w:r>
      <w:r w:rsidR="00A33875" w:rsidRPr="00EC0229">
        <w:rPr>
          <w:rFonts w:cs="Times New Roman"/>
          <w:i/>
          <w:szCs w:val="24"/>
        </w:rPr>
        <w:t>c.</w:t>
      </w:r>
      <w:r w:rsidR="00A33875" w:rsidRPr="00EC0229">
        <w:rPr>
          <w:rFonts w:cs="Times New Roman"/>
          <w:szCs w:val="24"/>
        </w:rPr>
        <w:t xml:space="preserve"> earlier 850s, and</w:t>
      </w:r>
    </w:p>
    <w:p w14:paraId="5130091F" w14:textId="06F43711" w:rsidR="00A33875" w:rsidRPr="00EC0229" w:rsidRDefault="00361C8C" w:rsidP="00387063">
      <w:pPr>
        <w:pStyle w:val="ListParagraph"/>
        <w:numPr>
          <w:ilvl w:val="0"/>
          <w:numId w:val="5"/>
        </w:numPr>
        <w:spacing w:after="200" w:line="360" w:lineRule="auto"/>
        <w:rPr>
          <w:rFonts w:cs="Times New Roman"/>
          <w:szCs w:val="24"/>
        </w:rPr>
      </w:pPr>
      <w:r w:rsidRPr="00EC0229">
        <w:rPr>
          <w:rFonts w:cs="Times New Roman"/>
          <w:szCs w:val="24"/>
        </w:rPr>
        <w:t>B</w:t>
      </w:r>
      <w:r w:rsidR="00A33875" w:rsidRPr="00EC0229">
        <w:rPr>
          <w:rFonts w:cs="Times New Roman"/>
          <w:szCs w:val="24"/>
        </w:rPr>
        <w:t xml:space="preserve">ase </w:t>
      </w:r>
      <w:r w:rsidR="00862F15" w:rsidRPr="00EC0229">
        <w:rPr>
          <w:rFonts w:cs="Times New Roman"/>
          <w:szCs w:val="24"/>
        </w:rPr>
        <w:t>and</w:t>
      </w:r>
      <w:r w:rsidR="00A33875" w:rsidRPr="00EC0229">
        <w:rPr>
          <w:rFonts w:cs="Times New Roman"/>
          <w:szCs w:val="24"/>
        </w:rPr>
        <w:t xml:space="preserve"> blundered </w:t>
      </w:r>
      <w:r w:rsidR="00A33875" w:rsidRPr="00EC0229">
        <w:rPr>
          <w:rFonts w:cs="Times New Roman"/>
          <w:i/>
          <w:szCs w:val="24"/>
        </w:rPr>
        <w:t>c</w:t>
      </w:r>
      <w:r w:rsidR="00A33875" w:rsidRPr="00EC0229">
        <w:rPr>
          <w:rFonts w:cs="Times New Roman"/>
          <w:szCs w:val="24"/>
        </w:rPr>
        <w:t>. mid-late 850s? – 867.</w:t>
      </w:r>
    </w:p>
    <w:p w14:paraId="3ADAC719" w14:textId="233DDD75" w:rsidR="00A33875" w:rsidRPr="00EC0229" w:rsidRDefault="00A33875" w:rsidP="007600EA">
      <w:pPr>
        <w:spacing w:line="360" w:lineRule="auto"/>
        <w:rPr>
          <w:rFonts w:cs="Times New Roman"/>
          <w:szCs w:val="24"/>
        </w:rPr>
      </w:pPr>
      <w:r w:rsidRPr="00EC0229">
        <w:rPr>
          <w:rFonts w:cs="Times New Roman"/>
          <w:color w:val="000000" w:themeColor="text1"/>
          <w:szCs w:val="24"/>
        </w:rPr>
        <w:t xml:space="preserve">This structure </w:t>
      </w:r>
      <w:r w:rsidRPr="00EC0229">
        <w:rPr>
          <w:rFonts w:cs="Times New Roman"/>
          <w:szCs w:val="24"/>
        </w:rPr>
        <w:t xml:space="preserve">is not intended to ignore the continuing problems of uncertainty of </w:t>
      </w:r>
      <w:r w:rsidR="00943122" w:rsidRPr="00EC0229">
        <w:rPr>
          <w:rFonts w:cs="Times New Roman"/>
          <w:szCs w:val="24"/>
        </w:rPr>
        <w:t xml:space="preserve">metallurgy, coinage or </w:t>
      </w:r>
      <w:r w:rsidRPr="00EC0229">
        <w:rPr>
          <w:rFonts w:cs="Times New Roman"/>
          <w:szCs w:val="24"/>
        </w:rPr>
        <w:t>regnal chronology. In th</w:t>
      </w:r>
      <w:r w:rsidR="00943122" w:rsidRPr="00EC0229">
        <w:rPr>
          <w:rFonts w:cs="Times New Roman"/>
          <w:szCs w:val="24"/>
        </w:rPr>
        <w:t>e latter</w:t>
      </w:r>
      <w:r w:rsidR="0086379A" w:rsidRPr="00EC0229">
        <w:rPr>
          <w:rFonts w:cs="Times New Roman"/>
          <w:szCs w:val="24"/>
        </w:rPr>
        <w:t xml:space="preserve"> regard,</w:t>
      </w:r>
      <w:r w:rsidRPr="00EC0229">
        <w:rPr>
          <w:rFonts w:cs="Times New Roman"/>
          <w:szCs w:val="24"/>
        </w:rPr>
        <w:t xml:space="preserve"> the silver penny</w:t>
      </w:r>
      <w:r w:rsidR="00D142DC" w:rsidRPr="00EC0229">
        <w:rPr>
          <w:rFonts w:cs="Times New Roman"/>
          <w:szCs w:val="24"/>
        </w:rPr>
        <w:fldChar w:fldCharType="begin"/>
      </w:r>
      <w:r w:rsidR="00D142DC" w:rsidRPr="00EC0229">
        <w:instrText xml:space="preserve"> XE "penny" </w:instrText>
      </w:r>
      <w:r w:rsidR="00D142DC" w:rsidRPr="00EC0229">
        <w:rPr>
          <w:rFonts w:cs="Times New Roman"/>
          <w:szCs w:val="24"/>
        </w:rPr>
        <w:fldChar w:fldCharType="end"/>
      </w:r>
      <w:r w:rsidRPr="00EC0229">
        <w:rPr>
          <w:rFonts w:cs="Times New Roman"/>
          <w:szCs w:val="24"/>
        </w:rPr>
        <w:t xml:space="preserve"> found in the Trewhiddle, </w:t>
      </w:r>
      <w:r w:rsidRPr="00EC0229">
        <w:rPr>
          <w:rFonts w:cs="Times New Roman"/>
          <w:szCs w:val="24"/>
        </w:rPr>
        <w:lastRenderedPageBreak/>
        <w:t xml:space="preserve">Cornwall, hoard in 1774, </w:t>
      </w:r>
      <w:r w:rsidR="0086379A" w:rsidRPr="00EC0229">
        <w:rPr>
          <w:rFonts w:cs="Times New Roman"/>
          <w:szCs w:val="24"/>
        </w:rPr>
        <w:t xml:space="preserve">could be crucial. It is </w:t>
      </w:r>
      <w:r w:rsidRPr="00EC0229">
        <w:rPr>
          <w:rFonts w:cs="Times New Roman"/>
          <w:szCs w:val="24"/>
        </w:rPr>
        <w:t>now thought to belonging to Eanred</w:t>
      </w:r>
      <w:r w:rsidR="00D142DC" w:rsidRPr="00EC0229">
        <w:rPr>
          <w:rFonts w:cs="Times New Roman"/>
          <w:szCs w:val="24"/>
        </w:rPr>
        <w:fldChar w:fldCharType="begin"/>
      </w:r>
      <w:r w:rsidR="00D142DC" w:rsidRPr="00EC0229">
        <w:instrText xml:space="preserve"> XE "Eanred" </w:instrText>
      </w:r>
      <w:r w:rsidR="00D142DC" w:rsidRPr="00EC0229">
        <w:rPr>
          <w:rFonts w:cs="Times New Roman"/>
          <w:szCs w:val="24"/>
        </w:rPr>
        <w:fldChar w:fldCharType="end"/>
      </w:r>
      <w:r w:rsidRPr="00EC0229">
        <w:rPr>
          <w:rFonts w:cs="Times New Roman"/>
          <w:szCs w:val="24"/>
        </w:rPr>
        <w:t xml:space="preserve"> of Northumbria</w:t>
      </w:r>
      <w:r w:rsidR="00584C42" w:rsidRPr="00EC0229">
        <w:rPr>
          <w:rFonts w:cs="Times New Roman"/>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szCs w:val="24"/>
        </w:rPr>
        <w:fldChar w:fldCharType="end"/>
      </w:r>
      <w:r w:rsidRPr="00EC0229">
        <w:rPr>
          <w:rFonts w:cs="Times New Roman"/>
          <w:szCs w:val="24"/>
        </w:rPr>
        <w:t>, but in the style of mid-ninth century pence</w:t>
      </w:r>
      <w:r w:rsidR="002A6FBE" w:rsidRPr="00EC0229">
        <w:t xml:space="preserve"> </w:t>
      </w:r>
      <w:r w:rsidR="002A6FBE" w:rsidRPr="00EC0229">
        <w:rPr>
          <w:szCs w:val="24"/>
        </w:rPr>
        <w:t>(</w:t>
      </w:r>
      <w:r w:rsidR="008C418A" w:rsidRPr="00EC0229">
        <w:rPr>
          <w:rFonts w:cs="Times New Roman"/>
          <w:szCs w:val="24"/>
        </w:rPr>
        <w:fldChar w:fldCharType="begin"/>
      </w:r>
      <w:r w:rsidR="008C418A" w:rsidRPr="00EC0229">
        <w:rPr>
          <w:szCs w:val="24"/>
        </w:rPr>
        <w:instrText xml:space="preserve"> REF _Ref430246773 \h </w:instrText>
      </w:r>
      <w:r w:rsidR="007224B1" w:rsidRPr="00EC0229">
        <w:rPr>
          <w:rFonts w:cs="Times New Roman"/>
          <w:szCs w:val="24"/>
        </w:rPr>
        <w:instrText xml:space="preserve"> \* MERGEFORMAT </w:instrText>
      </w:r>
      <w:r w:rsidR="008C418A" w:rsidRPr="00EC0229">
        <w:rPr>
          <w:rFonts w:cs="Times New Roman"/>
          <w:szCs w:val="24"/>
        </w:rPr>
      </w:r>
      <w:r w:rsidR="008C418A"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59</w:t>
      </w:r>
      <w:r w:rsidR="008C418A" w:rsidRPr="00EC0229">
        <w:rPr>
          <w:rFonts w:cs="Times New Roman"/>
          <w:szCs w:val="24"/>
        </w:rPr>
        <w:fldChar w:fldCharType="end"/>
      </w:r>
      <w:r w:rsidR="002A6FBE" w:rsidRPr="00EC0229">
        <w:rPr>
          <w:rFonts w:cs="Times New Roman"/>
        </w:rPr>
        <w:t>)</w:t>
      </w:r>
      <w:r w:rsidRPr="00EC0229">
        <w:rPr>
          <w:rFonts w:cs="Times New Roman"/>
          <w:szCs w:val="24"/>
        </w:rPr>
        <w:t>.</w:t>
      </w:r>
      <w:bookmarkStart w:id="422" w:name="_Ref446227829"/>
      <w:r w:rsidRPr="00EC0229">
        <w:rPr>
          <w:rStyle w:val="FootnoteReference"/>
          <w:rFonts w:cs="Times New Roman"/>
          <w:szCs w:val="24"/>
        </w:rPr>
        <w:footnoteReference w:id="672"/>
      </w:r>
      <w:bookmarkEnd w:id="422"/>
    </w:p>
    <w:p w14:paraId="7614E5F1" w14:textId="77777777" w:rsidR="00A33875" w:rsidRPr="00EC0229" w:rsidRDefault="00A33875" w:rsidP="007600EA">
      <w:pPr>
        <w:pStyle w:val="NoSpacing"/>
        <w:tabs>
          <w:tab w:val="left" w:pos="2688"/>
          <w:tab w:val="center" w:pos="4513"/>
        </w:tabs>
        <w:spacing w:line="360" w:lineRule="auto"/>
      </w:pPr>
      <w:r w:rsidRPr="00EC0229">
        <w:tab/>
      </w:r>
      <w:r w:rsidRPr="00EC0229">
        <w:tab/>
      </w:r>
      <w:r w:rsidRPr="00EC0229">
        <w:rPr>
          <w:noProof/>
          <w:lang w:eastAsia="en-GB"/>
        </w:rPr>
        <w:drawing>
          <wp:inline distT="0" distB="0" distL="0" distR="0" wp14:anchorId="2C256D5E" wp14:editId="32E17E6C">
            <wp:extent cx="1080508" cy="1006324"/>
            <wp:effectExtent l="0" t="0" r="5715"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anred penny.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080508" cy="1006324"/>
                    </a:xfrm>
                    <a:prstGeom prst="rect">
                      <a:avLst/>
                    </a:prstGeom>
                  </pic:spPr>
                </pic:pic>
              </a:graphicData>
            </a:graphic>
          </wp:inline>
        </w:drawing>
      </w:r>
      <w:r w:rsidRPr="00EC0229">
        <w:rPr>
          <w:noProof/>
          <w:lang w:eastAsia="en-GB"/>
        </w:rPr>
        <w:drawing>
          <wp:inline distT="0" distB="0" distL="0" distR="0" wp14:anchorId="0FBBD5D2" wp14:editId="340691F0">
            <wp:extent cx="1022836" cy="1039495"/>
            <wp:effectExtent l="0" t="0" r="6350" b="825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Eanred penny Rev..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035570" cy="1052436"/>
                    </a:xfrm>
                    <a:prstGeom prst="rect">
                      <a:avLst/>
                    </a:prstGeom>
                  </pic:spPr>
                </pic:pic>
              </a:graphicData>
            </a:graphic>
          </wp:inline>
        </w:drawing>
      </w:r>
    </w:p>
    <w:p w14:paraId="53B8A55F" w14:textId="166C9739" w:rsidR="00EE43DB" w:rsidRPr="00EC0229" w:rsidRDefault="002A206F" w:rsidP="007600EA">
      <w:pPr>
        <w:pStyle w:val="NoSpacing"/>
        <w:spacing w:line="360" w:lineRule="auto"/>
        <w:jc w:val="center"/>
        <w:rPr>
          <w:sz w:val="20"/>
          <w:szCs w:val="20"/>
        </w:rPr>
      </w:pPr>
      <w:bookmarkStart w:id="423" w:name="_Ref430246773"/>
      <w:bookmarkStart w:id="424" w:name="silverpenny"/>
      <w:bookmarkStart w:id="425" w:name="_Toc46826703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59</w:t>
      </w:r>
      <w:r w:rsidRPr="00EC0229">
        <w:rPr>
          <w:sz w:val="20"/>
          <w:szCs w:val="20"/>
        </w:rPr>
        <w:fldChar w:fldCharType="end"/>
      </w:r>
      <w:bookmarkEnd w:id="423"/>
      <w:r w:rsidR="002A6FBE" w:rsidRPr="00EC0229">
        <w:rPr>
          <w:sz w:val="20"/>
          <w:szCs w:val="20"/>
        </w:rPr>
        <w:t xml:space="preserve">: </w:t>
      </w:r>
      <w:r w:rsidR="00A33875" w:rsidRPr="00EC0229">
        <w:rPr>
          <w:sz w:val="20"/>
          <w:szCs w:val="20"/>
        </w:rPr>
        <w:t>Silver</w:t>
      </w:r>
      <w:r w:rsidR="00F204A1" w:rsidRPr="00EC0229">
        <w:rPr>
          <w:sz w:val="20"/>
          <w:szCs w:val="20"/>
        </w:rPr>
        <w:fldChar w:fldCharType="begin"/>
      </w:r>
      <w:r w:rsidR="00F204A1" w:rsidRPr="00EC0229">
        <w:rPr>
          <w:sz w:val="20"/>
          <w:szCs w:val="20"/>
        </w:rPr>
        <w:instrText xml:space="preserve"> XE "</w:instrText>
      </w:r>
      <w:r w:rsidR="00F204A1" w:rsidRPr="00EC0229">
        <w:rPr>
          <w:rStyle w:val="Hyperlink"/>
          <w:rFonts w:cs="Times New Roman"/>
          <w:noProof/>
          <w:sz w:val="20"/>
          <w:szCs w:val="20"/>
          <w:u w:val="none"/>
        </w:rPr>
        <w:instrText>Silver</w:instrText>
      </w:r>
      <w:r w:rsidR="00F204A1" w:rsidRPr="00EC0229">
        <w:rPr>
          <w:sz w:val="20"/>
          <w:szCs w:val="20"/>
        </w:rPr>
        <w:instrText xml:space="preserve">" </w:instrText>
      </w:r>
      <w:r w:rsidR="00F204A1" w:rsidRPr="00EC0229">
        <w:rPr>
          <w:sz w:val="20"/>
          <w:szCs w:val="20"/>
        </w:rPr>
        <w:fldChar w:fldCharType="end"/>
      </w:r>
      <w:r w:rsidR="00A33875" w:rsidRPr="00EC0229">
        <w:rPr>
          <w:sz w:val="20"/>
          <w:szCs w:val="20"/>
        </w:rPr>
        <w:t xml:space="preserve"> penny</w:t>
      </w:r>
      <w:r w:rsidR="00D142DC" w:rsidRPr="00EC0229">
        <w:rPr>
          <w:sz w:val="20"/>
          <w:szCs w:val="20"/>
        </w:rPr>
        <w:fldChar w:fldCharType="begin"/>
      </w:r>
      <w:r w:rsidR="00D142DC" w:rsidRPr="00EC0229">
        <w:rPr>
          <w:sz w:val="20"/>
          <w:szCs w:val="20"/>
        </w:rPr>
        <w:instrText xml:space="preserve"> XE "penny" </w:instrText>
      </w:r>
      <w:r w:rsidR="00D142DC" w:rsidRPr="00EC0229">
        <w:rPr>
          <w:sz w:val="20"/>
          <w:szCs w:val="20"/>
        </w:rPr>
        <w:fldChar w:fldCharType="end"/>
      </w:r>
      <w:r w:rsidR="00A33875" w:rsidRPr="00EC0229">
        <w:rPr>
          <w:sz w:val="20"/>
          <w:szCs w:val="20"/>
        </w:rPr>
        <w:t xml:space="preserve"> of Eanred</w:t>
      </w:r>
      <w:r w:rsidR="00D142DC" w:rsidRPr="00EC0229">
        <w:rPr>
          <w:sz w:val="20"/>
          <w:szCs w:val="20"/>
        </w:rPr>
        <w:fldChar w:fldCharType="begin"/>
      </w:r>
      <w:r w:rsidR="00D142DC" w:rsidRPr="00EC0229">
        <w:rPr>
          <w:sz w:val="20"/>
          <w:szCs w:val="20"/>
        </w:rPr>
        <w:instrText xml:space="preserve"> XE "Eanred" </w:instrText>
      </w:r>
      <w:r w:rsidR="00D142DC" w:rsidRPr="00EC0229">
        <w:rPr>
          <w:sz w:val="20"/>
          <w:szCs w:val="20"/>
        </w:rPr>
        <w:fldChar w:fldCharType="end"/>
      </w:r>
      <w:r w:rsidR="00A33875" w:rsidRPr="00EC0229">
        <w:rPr>
          <w:sz w:val="20"/>
          <w:szCs w:val="20"/>
        </w:rPr>
        <w:t xml:space="preserve"> </w:t>
      </w:r>
      <w:bookmarkEnd w:id="424"/>
      <w:r w:rsidR="00A33875" w:rsidRPr="00EC0229">
        <w:rPr>
          <w:sz w:val="20"/>
          <w:szCs w:val="20"/>
        </w:rPr>
        <w:t>from the Trewhiddle hoard.</w:t>
      </w:r>
      <w:bookmarkEnd w:id="425"/>
      <w:r w:rsidR="00A33875" w:rsidRPr="00EC0229">
        <w:rPr>
          <w:sz w:val="20"/>
          <w:szCs w:val="20"/>
        </w:rPr>
        <w:t xml:space="preserve"> </w:t>
      </w:r>
    </w:p>
    <w:p w14:paraId="1AC642EB" w14:textId="6DAD1CDA" w:rsidR="00A33875" w:rsidRPr="00EC0229" w:rsidRDefault="00A33875" w:rsidP="007600EA">
      <w:pPr>
        <w:pStyle w:val="NoSpacing"/>
        <w:spacing w:line="360" w:lineRule="auto"/>
        <w:jc w:val="center"/>
        <w:rPr>
          <w:sz w:val="20"/>
          <w:szCs w:val="20"/>
        </w:rPr>
      </w:pPr>
      <w:r w:rsidRPr="00EC0229">
        <w:rPr>
          <w:sz w:val="20"/>
          <w:szCs w:val="20"/>
        </w:rPr>
        <w:t>(Courtesy BM, ex Lockett)</w:t>
      </w:r>
    </w:p>
    <w:p w14:paraId="4301E84B" w14:textId="77777777" w:rsidR="00A33875" w:rsidRPr="00EC0229" w:rsidRDefault="00A33875" w:rsidP="007600EA">
      <w:pPr>
        <w:pStyle w:val="NoSpacing"/>
        <w:spacing w:line="360" w:lineRule="auto"/>
        <w:rPr>
          <w:color w:val="FF0000"/>
        </w:rPr>
      </w:pPr>
    </w:p>
    <w:p w14:paraId="3B39648E" w14:textId="668A5AD1" w:rsidR="00A33875" w:rsidRPr="00EC0229" w:rsidRDefault="00A33875" w:rsidP="007600EA">
      <w:pPr>
        <w:pStyle w:val="NoSpacing"/>
        <w:spacing w:line="360" w:lineRule="auto"/>
        <w:rPr>
          <w:color w:val="000000" w:themeColor="text1"/>
        </w:rPr>
      </w:pPr>
      <w:r w:rsidRPr="00EC0229">
        <w:rPr>
          <w:color w:val="000000" w:themeColor="text1"/>
        </w:rPr>
        <w:t>Should this cause regnal dates to be deferred a decade, it reduces Osberht</w:t>
      </w:r>
      <w:r w:rsidR="00D142DC" w:rsidRPr="00EC0229">
        <w:rPr>
          <w:color w:val="000000" w:themeColor="text1"/>
        </w:rPr>
        <w:fldChar w:fldCharType="begin"/>
      </w:r>
      <w:r w:rsidR="00D142DC" w:rsidRPr="00EC0229">
        <w:instrText xml:space="preserve"> XE "Osberht" </w:instrText>
      </w:r>
      <w:r w:rsidR="00D142DC" w:rsidRPr="00EC0229">
        <w:rPr>
          <w:color w:val="000000" w:themeColor="text1"/>
        </w:rPr>
        <w:fldChar w:fldCharType="end"/>
      </w:r>
      <w:r w:rsidRPr="00EC0229">
        <w:rPr>
          <w:color w:val="000000" w:themeColor="text1"/>
        </w:rPr>
        <w:t>’s reign to a more convincing duration and increases his annual productivity nearer to expectations.</w:t>
      </w:r>
    </w:p>
    <w:p w14:paraId="23D3773A" w14:textId="77777777" w:rsidR="00A33875" w:rsidRPr="00EC0229" w:rsidRDefault="00A33875" w:rsidP="007600EA">
      <w:pPr>
        <w:pStyle w:val="NoSpacing"/>
        <w:spacing w:line="360" w:lineRule="auto"/>
        <w:rPr>
          <w:color w:val="000000" w:themeColor="text1"/>
        </w:rPr>
      </w:pPr>
    </w:p>
    <w:p w14:paraId="0291A52B" w14:textId="0FAB6FAA" w:rsidR="00A33875" w:rsidRPr="00EC0229" w:rsidRDefault="00A2535E" w:rsidP="007600EA">
      <w:pPr>
        <w:pStyle w:val="NoSpacing"/>
        <w:spacing w:line="360" w:lineRule="auto"/>
      </w:pPr>
      <w:r w:rsidRPr="00EC0229">
        <w:rPr>
          <w:color w:val="000000" w:themeColor="text1"/>
        </w:rPr>
        <w:t>P</w:t>
      </w:r>
      <w:r w:rsidR="00A33875" w:rsidRPr="00EC0229">
        <w:rPr>
          <w:color w:val="000000" w:themeColor="text1"/>
        </w:rPr>
        <w:t>eriod N10a</w:t>
      </w:r>
      <w:r w:rsidR="00135FD1" w:rsidRPr="00EC0229">
        <w:rPr>
          <w:color w:val="000000" w:themeColor="text1"/>
        </w:rPr>
        <w:fldChar w:fldCharType="begin"/>
      </w:r>
      <w:r w:rsidR="00135FD1" w:rsidRPr="00EC0229">
        <w:instrText xml:space="preserve"> XE "</w:instrText>
      </w:r>
      <w:r w:rsidR="00135FD1" w:rsidRPr="00EC0229">
        <w:rPr>
          <w:color w:val="000000" w:themeColor="text1"/>
        </w:rPr>
        <w:instrText>period N10a</w:instrText>
      </w:r>
      <w:r w:rsidR="00135FD1" w:rsidRPr="00EC0229">
        <w:instrText xml:space="preserve">" </w:instrText>
      </w:r>
      <w:r w:rsidR="00135FD1" w:rsidRPr="00EC0229">
        <w:rPr>
          <w:color w:val="000000" w:themeColor="text1"/>
        </w:rPr>
        <w:fldChar w:fldCharType="end"/>
      </w:r>
      <w:r w:rsidR="00A33875" w:rsidRPr="00EC0229">
        <w:rPr>
          <w:color w:val="000000" w:themeColor="text1"/>
        </w:rPr>
        <w:t xml:space="preserve"> covers all of the base emissions of Eanred</w:t>
      </w:r>
      <w:r w:rsidR="00D142DC" w:rsidRPr="00EC0229">
        <w:rPr>
          <w:color w:val="000000" w:themeColor="text1"/>
        </w:rPr>
        <w:fldChar w:fldCharType="begin"/>
      </w:r>
      <w:r w:rsidR="00D142DC" w:rsidRPr="00EC0229">
        <w:instrText xml:space="preserve"> XE "Eanred" </w:instrText>
      </w:r>
      <w:r w:rsidR="00D142DC" w:rsidRPr="00EC0229">
        <w:rPr>
          <w:color w:val="000000" w:themeColor="text1"/>
        </w:rPr>
        <w:fldChar w:fldCharType="end"/>
      </w:r>
      <w:r w:rsidR="00A33875" w:rsidRPr="00EC0229">
        <w:rPr>
          <w:color w:val="000000" w:themeColor="text1"/>
        </w:rPr>
        <w:t xml:space="preserve">, </w:t>
      </w:r>
      <w:r w:rsidR="00A33875" w:rsidRPr="00EC0229">
        <w:rPr>
          <w:szCs w:val="24"/>
        </w:rPr>
        <w:t>Æ</w:t>
      </w:r>
      <w:r w:rsidR="00A33875" w:rsidRPr="00EC0229">
        <w:rPr>
          <w:color w:val="000000" w:themeColor="text1"/>
        </w:rPr>
        <w:t>thelred</w:t>
      </w:r>
      <w:r w:rsidR="00D142DC" w:rsidRPr="00EC0229">
        <w:rPr>
          <w:color w:val="000000" w:themeColor="text1"/>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color w:val="000000" w:themeColor="text1"/>
        </w:rPr>
        <w:fldChar w:fldCharType="end"/>
      </w:r>
      <w:r w:rsidR="00A33875" w:rsidRPr="00EC0229">
        <w:rPr>
          <w:color w:val="000000" w:themeColor="text1"/>
        </w:rPr>
        <w:t xml:space="preserve"> II (both reigns),</w:t>
      </w:r>
      <w:r w:rsidR="00A33875" w:rsidRPr="00EC0229">
        <w:rPr>
          <w:rStyle w:val="FootnoteReference"/>
          <w:color w:val="000000" w:themeColor="text1"/>
        </w:rPr>
        <w:footnoteReference w:id="673"/>
      </w:r>
      <w:r w:rsidR="00A33875" w:rsidRPr="00EC0229">
        <w:rPr>
          <w:color w:val="000000" w:themeColor="text1"/>
        </w:rPr>
        <w:t xml:space="preserve"> Redwulf as well as the base emissions of Archbishops Eanbald</w:t>
      </w:r>
      <w:r w:rsidR="00D142DC" w:rsidRPr="00EC0229">
        <w:rPr>
          <w:color w:val="000000" w:themeColor="text1"/>
        </w:rPr>
        <w:fldChar w:fldCharType="begin"/>
      </w:r>
      <w:r w:rsidR="00D142DC" w:rsidRPr="00EC0229">
        <w:instrText xml:space="preserve"> XE "Eanbald" </w:instrText>
      </w:r>
      <w:r w:rsidR="00D142DC" w:rsidRPr="00EC0229">
        <w:rPr>
          <w:color w:val="000000" w:themeColor="text1"/>
        </w:rPr>
        <w:fldChar w:fldCharType="end"/>
      </w:r>
      <w:r w:rsidR="00A33875" w:rsidRPr="00EC0229">
        <w:rPr>
          <w:color w:val="000000" w:themeColor="text1"/>
        </w:rPr>
        <w:t xml:space="preserve"> II (by Eadwulf)</w:t>
      </w:r>
      <w:r w:rsidR="00A33875" w:rsidRPr="00EC0229">
        <w:rPr>
          <w:rStyle w:val="FootnoteReference"/>
          <w:color w:val="000000" w:themeColor="text1"/>
        </w:rPr>
        <w:footnoteReference w:id="674"/>
      </w:r>
      <w:r w:rsidR="00A33875" w:rsidRPr="00EC0229">
        <w:rPr>
          <w:color w:val="000000" w:themeColor="text1"/>
        </w:rPr>
        <w:t xml:space="preserve"> and Wigmund</w:t>
      </w:r>
      <w:r w:rsidR="00D142DC" w:rsidRPr="00EC0229">
        <w:rPr>
          <w:color w:val="000000" w:themeColor="text1"/>
        </w:rPr>
        <w:fldChar w:fldCharType="begin"/>
      </w:r>
      <w:r w:rsidR="00D142DC" w:rsidRPr="00EC0229">
        <w:instrText xml:space="preserve"> XE "Wigmund" </w:instrText>
      </w:r>
      <w:r w:rsidR="00D142DC" w:rsidRPr="00EC0229">
        <w:rPr>
          <w:color w:val="000000" w:themeColor="text1"/>
        </w:rPr>
        <w:fldChar w:fldCharType="end"/>
      </w:r>
      <w:r w:rsidR="00A33875" w:rsidRPr="00EC0229">
        <w:rPr>
          <w:color w:val="000000" w:themeColor="text1"/>
        </w:rPr>
        <w:t>. Period N10b</w:t>
      </w:r>
      <w:r w:rsidR="00135FD1" w:rsidRPr="00EC0229">
        <w:rPr>
          <w:color w:val="000000" w:themeColor="text1"/>
        </w:rPr>
        <w:fldChar w:fldCharType="begin"/>
      </w:r>
      <w:r w:rsidR="00135FD1" w:rsidRPr="00EC0229">
        <w:instrText xml:space="preserve"> XE "</w:instrText>
      </w:r>
      <w:r w:rsidR="00135FD1" w:rsidRPr="00EC0229">
        <w:rPr>
          <w:color w:val="000000" w:themeColor="text1"/>
        </w:rPr>
        <w:instrText>Period N10b</w:instrText>
      </w:r>
      <w:r w:rsidR="00135FD1" w:rsidRPr="00EC0229">
        <w:instrText xml:space="preserve">" </w:instrText>
      </w:r>
      <w:r w:rsidR="00135FD1" w:rsidRPr="00EC0229">
        <w:rPr>
          <w:color w:val="000000" w:themeColor="text1"/>
        </w:rPr>
        <w:fldChar w:fldCharType="end"/>
      </w:r>
      <w:r w:rsidR="00A33875" w:rsidRPr="00EC0229">
        <w:rPr>
          <w:color w:val="000000" w:themeColor="text1"/>
        </w:rPr>
        <w:t xml:space="preserve"> is occupied solely by Osberht</w:t>
      </w:r>
      <w:r w:rsidR="00D142DC" w:rsidRPr="00EC0229">
        <w:rPr>
          <w:color w:val="000000" w:themeColor="text1"/>
        </w:rPr>
        <w:fldChar w:fldCharType="begin"/>
      </w:r>
      <w:r w:rsidR="00D142DC" w:rsidRPr="00EC0229">
        <w:instrText xml:space="preserve"> XE "Osberht" </w:instrText>
      </w:r>
      <w:r w:rsidR="00D142DC" w:rsidRPr="00EC0229">
        <w:rPr>
          <w:color w:val="000000" w:themeColor="text1"/>
        </w:rPr>
        <w:fldChar w:fldCharType="end"/>
      </w:r>
      <w:r w:rsidR="00A33875" w:rsidRPr="00EC0229">
        <w:rPr>
          <w:color w:val="000000" w:themeColor="text1"/>
        </w:rPr>
        <w:t xml:space="preserve"> and Wulfhere</w:t>
      </w:r>
      <w:r w:rsidR="00D142DC" w:rsidRPr="00EC0229">
        <w:rPr>
          <w:color w:val="000000" w:themeColor="text1"/>
        </w:rPr>
        <w:fldChar w:fldCharType="begin"/>
      </w:r>
      <w:r w:rsidR="00D142DC" w:rsidRPr="00EC0229">
        <w:instrText xml:space="preserve"> XE "Wulfhere" </w:instrText>
      </w:r>
      <w:r w:rsidR="00D142DC" w:rsidRPr="00EC0229">
        <w:rPr>
          <w:color w:val="000000" w:themeColor="text1"/>
        </w:rPr>
        <w:fldChar w:fldCharType="end"/>
      </w:r>
      <w:r w:rsidR="00A33875" w:rsidRPr="00EC0229">
        <w:rPr>
          <w:color w:val="000000" w:themeColor="text1"/>
        </w:rPr>
        <w:t xml:space="preserve"> whose issues are confined to this period and are in bronze.</w:t>
      </w:r>
      <w:bookmarkStart w:id="426" w:name="_Ref434481262"/>
      <w:r w:rsidR="0027616E" w:rsidRPr="00EC0229">
        <w:rPr>
          <w:rStyle w:val="FootnoteReference"/>
          <w:color w:val="000000" w:themeColor="text1"/>
        </w:rPr>
        <w:footnoteReference w:id="675"/>
      </w:r>
      <w:bookmarkEnd w:id="426"/>
      <w:r w:rsidR="00A33875" w:rsidRPr="00EC0229">
        <w:rPr>
          <w:color w:val="000000" w:themeColor="text1"/>
        </w:rPr>
        <w:t xml:space="preserve"> The commencement date of the final chaotic Period 10c is uncertain</w:t>
      </w:r>
      <w:r w:rsidR="00A33875" w:rsidRPr="00EC0229">
        <w:t xml:space="preserve">. </w:t>
      </w:r>
      <w:r w:rsidR="00A33875" w:rsidRPr="00EC0229">
        <w:rPr>
          <w:iCs/>
        </w:rPr>
        <w:t>Lyon</w:t>
      </w:r>
      <w:r w:rsidR="00A33875" w:rsidRPr="00EC0229">
        <w:t xml:space="preserve"> also identified an earlier phase of blundered specimens at the end of </w:t>
      </w:r>
      <w:r w:rsidR="00A33875" w:rsidRPr="00EC0229">
        <w:rPr>
          <w:szCs w:val="24"/>
        </w:rPr>
        <w:t>Æ</w:t>
      </w:r>
      <w:r w:rsidR="00A33875" w:rsidRPr="00EC0229">
        <w:t>thelred II’s restoration, well before the chaos in Osberht’s reign.</w:t>
      </w:r>
      <w:r w:rsidR="00A33875" w:rsidRPr="00EC0229">
        <w:rPr>
          <w:rStyle w:val="FootnoteReference"/>
        </w:rPr>
        <w:footnoteReference w:id="676"/>
      </w:r>
      <w:r w:rsidR="00A33875" w:rsidRPr="00EC0229">
        <w:rPr>
          <w:iCs/>
        </w:rPr>
        <w:t xml:space="preserve"> </w:t>
      </w:r>
      <w:r w:rsidR="00A33875" w:rsidRPr="00EC0229">
        <w:t xml:space="preserve">Blundered stycas strictly from Period N10a may be mis-consigned, in the </w:t>
      </w:r>
      <w:r w:rsidR="00D65946" w:rsidRPr="00EC0229">
        <w:t>d</w:t>
      </w:r>
      <w:r w:rsidR="005D0690" w:rsidRPr="00EC0229">
        <w:t>atabase</w:t>
      </w:r>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r w:rsidR="00A33875" w:rsidRPr="00EC0229">
        <w:t xml:space="preserve">, to </w:t>
      </w:r>
      <w:r w:rsidR="00135FD1" w:rsidRPr="00EC0229">
        <w:t xml:space="preserve">Period </w:t>
      </w:r>
      <w:r w:rsidR="00A33875" w:rsidRPr="00EC0229">
        <w:t>N10c</w:t>
      </w:r>
      <w:r w:rsidR="00135FD1" w:rsidRPr="00EC0229">
        <w:fldChar w:fldCharType="begin"/>
      </w:r>
      <w:r w:rsidR="00135FD1" w:rsidRPr="00EC0229">
        <w:instrText xml:space="preserve"> XE "Period N10c" </w:instrText>
      </w:r>
      <w:r w:rsidR="00135FD1" w:rsidRPr="00EC0229">
        <w:fldChar w:fldCharType="end"/>
      </w:r>
      <w:r w:rsidR="00A33875" w:rsidRPr="00EC0229">
        <w:t xml:space="preserve">, such that the chronology is slightly disrupted, though they are relatively few in number (twenty-one in my </w:t>
      </w:r>
      <w:r w:rsidR="005D0690" w:rsidRPr="00EC0229">
        <w:t>database</w:t>
      </w:r>
      <w:r w:rsidR="00A33875" w:rsidRPr="00EC0229">
        <w:t>, though Pirie</w:t>
      </w:r>
      <w:r w:rsidR="00716433" w:rsidRPr="00EC0229">
        <w:fldChar w:fldCharType="begin"/>
      </w:r>
      <w:r w:rsidR="00716433" w:rsidRPr="00EC0229">
        <w:instrText xml:space="preserve"> XE "Pirie" </w:instrText>
      </w:r>
      <w:r w:rsidR="00716433" w:rsidRPr="00EC0229">
        <w:fldChar w:fldCharType="end"/>
      </w:r>
      <w:r w:rsidR="00A33875" w:rsidRPr="00EC0229">
        <w:t xml:space="preserve"> mentions fifty from Hexham</w:t>
      </w:r>
      <w:r w:rsidR="00D142DC" w:rsidRPr="00EC0229">
        <w:fldChar w:fldCharType="begin"/>
      </w:r>
      <w:r w:rsidR="00D142DC" w:rsidRPr="00EC0229">
        <w:instrText xml:space="preserve"> XE "Hexham" </w:instrText>
      </w:r>
      <w:r w:rsidR="00D142DC" w:rsidRPr="00EC0229">
        <w:fldChar w:fldCharType="end"/>
      </w:r>
      <w:r w:rsidR="00A33875" w:rsidRPr="00EC0229">
        <w:t xml:space="preserve"> at the BM</w:t>
      </w:r>
      <w:r w:rsidR="00A33875" w:rsidRPr="00EC0229">
        <w:rPr>
          <w:rStyle w:val="FootnoteReference"/>
        </w:rPr>
        <w:footnoteReference w:id="677"/>
      </w:r>
      <w:r w:rsidR="00A33875" w:rsidRPr="00EC0229">
        <w:t>).</w:t>
      </w:r>
    </w:p>
    <w:p w14:paraId="287A25D5" w14:textId="77777777" w:rsidR="00A33875" w:rsidRPr="00EC0229" w:rsidRDefault="00A33875" w:rsidP="007600EA">
      <w:pPr>
        <w:pStyle w:val="NoSpacing"/>
        <w:spacing w:line="360" w:lineRule="auto"/>
      </w:pPr>
    </w:p>
    <w:p w14:paraId="710A3398" w14:textId="6DF8D504" w:rsidR="00A33875" w:rsidRPr="00EC0229" w:rsidRDefault="00A33875" w:rsidP="007600EA">
      <w:pPr>
        <w:spacing w:line="360" w:lineRule="auto"/>
        <w:rPr>
          <w:rFonts w:cs="Times New Roman"/>
          <w:szCs w:val="24"/>
        </w:rPr>
      </w:pPr>
      <w:r w:rsidRPr="00EC0229">
        <w:rPr>
          <w:rFonts w:cs="Times New Roman"/>
          <w:szCs w:val="24"/>
        </w:rPr>
        <w:t>However, as Gilmore remarked in arguing for a brass rather than silver standard, we are ‘faced with consistent inconsistency’.</w:t>
      </w:r>
      <w:r w:rsidRPr="00EC0229">
        <w:rPr>
          <w:rStyle w:val="FootnoteReference"/>
          <w:rFonts w:cs="Times New Roman"/>
          <w:szCs w:val="24"/>
        </w:rPr>
        <w:footnoteReference w:id="678"/>
      </w:r>
      <w:r w:rsidRPr="00EC0229">
        <w:rPr>
          <w:rFonts w:cs="Times New Roman"/>
          <w:szCs w:val="24"/>
        </w:rPr>
        <w:t xml:space="preserve"> He did make two observations: that the silver available from </w:t>
      </w:r>
      <w:r w:rsidRPr="00EC0229">
        <w:rPr>
          <w:rFonts w:cs="Times New Roman"/>
          <w:szCs w:val="24"/>
        </w:rPr>
        <w:lastRenderedPageBreak/>
        <w:t xml:space="preserve">recycled coinage would become more diluted over time, and that </w:t>
      </w:r>
      <w:r w:rsidR="00F139AF" w:rsidRPr="00EC0229">
        <w:rPr>
          <w:rFonts w:cs="Times New Roman"/>
          <w:szCs w:val="24"/>
        </w:rPr>
        <w:t>the ninth century</w:t>
      </w:r>
      <w:r w:rsidRPr="00EC0229">
        <w:rPr>
          <w:rFonts w:cs="Times New Roman"/>
          <w:szCs w:val="24"/>
        </w:rPr>
        <w:t xml:space="preserve"> perception of brass may differ from ours – zinc may have been more desirable than tin.</w:t>
      </w:r>
      <w:r w:rsidRPr="00EC0229">
        <w:rPr>
          <w:rStyle w:val="FootnoteReference"/>
          <w:rFonts w:cs="Times New Roman"/>
          <w:szCs w:val="24"/>
        </w:rPr>
        <w:footnoteReference w:id="679"/>
      </w:r>
      <w:r w:rsidRPr="00EC0229">
        <w:rPr>
          <w:rFonts w:cs="Times New Roman"/>
          <w:szCs w:val="24"/>
        </w:rPr>
        <w:t xml:space="preserve"> This is a significant proposition and perhaps could be restated as tin being more available, and therefore less valuable, than zinc. This would overcome the paradox of an improvement in alloy when the standard of execution under Osberht</w:t>
      </w:r>
      <w:r w:rsidR="00D142DC" w:rsidRPr="00EC0229">
        <w:rPr>
          <w:rFonts w:cs="Times New Roman"/>
          <w:szCs w:val="24"/>
        </w:rPr>
        <w:fldChar w:fldCharType="begin"/>
      </w:r>
      <w:r w:rsidR="00D142DC" w:rsidRPr="00EC0229">
        <w:instrText xml:space="preserve"> XE "Osberht" </w:instrText>
      </w:r>
      <w:r w:rsidR="00D142DC" w:rsidRPr="00EC0229">
        <w:rPr>
          <w:rFonts w:cs="Times New Roman"/>
          <w:szCs w:val="24"/>
        </w:rPr>
        <w:fldChar w:fldCharType="end"/>
      </w:r>
      <w:r w:rsidRPr="00EC0229">
        <w:rPr>
          <w:rFonts w:cs="Times New Roman"/>
          <w:szCs w:val="24"/>
        </w:rPr>
        <w:t xml:space="preserve"> shows a deterioration compared with that of Æthelred</w:t>
      </w:r>
      <w:r w:rsidR="00D142DC" w:rsidRPr="00EC0229">
        <w:rPr>
          <w:rFonts w:cs="Times New Roman"/>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szCs w:val="24"/>
        </w:rPr>
        <w:fldChar w:fldCharType="end"/>
      </w:r>
      <w:r w:rsidRPr="00EC0229">
        <w:rPr>
          <w:rFonts w:cs="Times New Roman"/>
          <w:szCs w:val="24"/>
        </w:rPr>
        <w:t xml:space="preserve"> II’s restoration moneyer </w:t>
      </w:r>
      <w:bookmarkStart w:id="427" w:name="Eardwulf"/>
      <w:r w:rsidRPr="00EC0229">
        <w:rPr>
          <w:rFonts w:cs="Times New Roman"/>
          <w:szCs w:val="24"/>
        </w:rPr>
        <w:t>Eardwulf</w:t>
      </w:r>
      <w:bookmarkEnd w:id="427"/>
      <w:r w:rsidRPr="00EC0229">
        <w:rPr>
          <w:rFonts w:cs="Times New Roman"/>
          <w:szCs w:val="24"/>
        </w:rPr>
        <w:t xml:space="preserve"> and even Osberht’s contemporary Wulfhere</w:t>
      </w:r>
      <w:r w:rsidR="00D142DC" w:rsidRPr="00EC0229">
        <w:rPr>
          <w:rFonts w:cs="Times New Roman"/>
          <w:szCs w:val="24"/>
        </w:rPr>
        <w:fldChar w:fldCharType="begin"/>
      </w:r>
      <w:r w:rsidR="00D142DC" w:rsidRPr="00EC0229">
        <w:instrText xml:space="preserve"> XE "Wulfhere" </w:instrText>
      </w:r>
      <w:r w:rsidR="00D142DC"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680"/>
      </w:r>
      <w:r w:rsidRPr="00EC0229">
        <w:rPr>
          <w:rFonts w:cs="Times New Roman"/>
          <w:szCs w:val="24"/>
        </w:rPr>
        <w:t xml:space="preserve"> </w:t>
      </w:r>
    </w:p>
    <w:p w14:paraId="2F6A4F8C" w14:textId="232549FF" w:rsidR="00A33875" w:rsidRPr="00EC0229" w:rsidRDefault="00A33875" w:rsidP="007600EA">
      <w:pPr>
        <w:spacing w:line="360" w:lineRule="auto"/>
        <w:rPr>
          <w:rFonts w:cs="Times New Roman"/>
          <w:szCs w:val="24"/>
        </w:rPr>
      </w:pPr>
      <w:r w:rsidRPr="00EC0229">
        <w:rPr>
          <w:rFonts w:cs="Times New Roman"/>
          <w:szCs w:val="24"/>
        </w:rPr>
        <w:t>However, Pete</w:t>
      </w:r>
      <w:r w:rsidR="006944BF" w:rsidRPr="00EC0229">
        <w:rPr>
          <w:rFonts w:cs="Times New Roman"/>
          <w:szCs w:val="24"/>
        </w:rPr>
        <w:t xml:space="preserve">r Northover </w:t>
      </w:r>
      <w:r w:rsidR="00BB1C67" w:rsidRPr="00EC0229">
        <w:rPr>
          <w:rFonts w:cs="Times New Roman"/>
          <w:szCs w:val="24"/>
        </w:rPr>
        <w:t xml:space="preserve">in challenging </w:t>
      </w:r>
      <w:r w:rsidR="006944BF" w:rsidRPr="00EC0229">
        <w:rPr>
          <w:rFonts w:cs="Times New Roman"/>
          <w:szCs w:val="24"/>
        </w:rPr>
        <w:t>Gilmore’s</w:t>
      </w:r>
      <w:r w:rsidRPr="00EC0229">
        <w:rPr>
          <w:rFonts w:cs="Times New Roman"/>
          <w:szCs w:val="24"/>
        </w:rPr>
        <w:t xml:space="preserve"> proposition</w:t>
      </w:r>
      <w:r w:rsidR="00BB1C67" w:rsidRPr="00EC0229">
        <w:rPr>
          <w:rFonts w:cs="Times New Roman"/>
          <w:szCs w:val="24"/>
        </w:rPr>
        <w:t xml:space="preserve"> suggested</w:t>
      </w:r>
      <w:r w:rsidR="006944BF" w:rsidRPr="00EC0229">
        <w:rPr>
          <w:rFonts w:cs="Times New Roman"/>
          <w:szCs w:val="24"/>
        </w:rPr>
        <w:t xml:space="preserve"> that Osberht’s bronze stycas would have</w:t>
      </w:r>
      <w:r w:rsidRPr="00EC0229">
        <w:rPr>
          <w:rFonts w:cs="Times New Roman"/>
          <w:szCs w:val="24"/>
        </w:rPr>
        <w:t xml:space="preserve"> a more attractive colour a</w:t>
      </w:r>
      <w:r w:rsidR="006944BF" w:rsidRPr="00EC0229">
        <w:rPr>
          <w:rFonts w:cs="Times New Roman"/>
          <w:szCs w:val="24"/>
        </w:rPr>
        <w:t>nd</w:t>
      </w:r>
      <w:r w:rsidR="00CD77E5" w:rsidRPr="00EC0229">
        <w:rPr>
          <w:rFonts w:cs="Times New Roman"/>
          <w:szCs w:val="24"/>
        </w:rPr>
        <w:t xml:space="preserve"> better wear resistance (</w:t>
      </w:r>
      <w:r w:rsidR="006944BF" w:rsidRPr="00EC0229">
        <w:rPr>
          <w:rFonts w:cs="Times New Roman"/>
          <w:szCs w:val="24"/>
        </w:rPr>
        <w:t xml:space="preserve">at the expense of </w:t>
      </w:r>
      <w:r w:rsidRPr="00EC0229">
        <w:rPr>
          <w:rFonts w:cs="Times New Roman"/>
          <w:szCs w:val="24"/>
        </w:rPr>
        <w:t>being much harder</w:t>
      </w:r>
      <w:r w:rsidR="00CD77E5" w:rsidRPr="00EC0229">
        <w:rPr>
          <w:rFonts w:cs="Times New Roman"/>
          <w:szCs w:val="24"/>
        </w:rPr>
        <w:t>)</w:t>
      </w:r>
      <w:r w:rsidR="006944BF" w:rsidRPr="00EC0229">
        <w:rPr>
          <w:rFonts w:cs="Times New Roman"/>
          <w:szCs w:val="24"/>
        </w:rPr>
        <w:t>.</w:t>
      </w:r>
      <w:r w:rsidRPr="00EC0229">
        <w:rPr>
          <w:rStyle w:val="FootnoteReference"/>
          <w:rFonts w:cs="Times New Roman"/>
          <w:szCs w:val="24"/>
        </w:rPr>
        <w:footnoteReference w:id="681"/>
      </w:r>
    </w:p>
    <w:p w14:paraId="1C7A751E" w14:textId="2CED7FE2" w:rsidR="00A33875" w:rsidRPr="00EC0229" w:rsidRDefault="00A33875" w:rsidP="007600EA">
      <w:pPr>
        <w:spacing w:line="360" w:lineRule="auto"/>
        <w:rPr>
          <w:rFonts w:cs="Times New Roman"/>
          <w:szCs w:val="24"/>
        </w:rPr>
      </w:pPr>
      <w:r w:rsidRPr="00EC0229">
        <w:rPr>
          <w:rFonts w:cs="Times New Roman"/>
          <w:szCs w:val="24"/>
        </w:rPr>
        <w:t>Pirie</w:t>
      </w:r>
      <w:r w:rsidR="00716433" w:rsidRPr="00EC0229">
        <w:rPr>
          <w:rFonts w:cs="Times New Roman"/>
          <w:szCs w:val="24"/>
        </w:rPr>
        <w:fldChar w:fldCharType="begin"/>
      </w:r>
      <w:r w:rsidR="00716433" w:rsidRPr="00EC0229">
        <w:instrText xml:space="preserve"> XE "Pirie" </w:instrText>
      </w:r>
      <w:r w:rsidR="00716433" w:rsidRPr="00EC0229">
        <w:rPr>
          <w:rFonts w:cs="Times New Roman"/>
          <w:szCs w:val="24"/>
        </w:rPr>
        <w:fldChar w:fldCharType="end"/>
      </w:r>
      <w:r w:rsidRPr="00EC0229">
        <w:rPr>
          <w:rFonts w:cs="Times New Roman"/>
          <w:szCs w:val="24"/>
        </w:rPr>
        <w:t xml:space="preserve"> suggested that the situation after Æthelred</w:t>
      </w:r>
      <w:r w:rsidR="00D142DC" w:rsidRPr="00EC0229">
        <w:rPr>
          <w:rFonts w:cs="Times New Roman"/>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szCs w:val="24"/>
        </w:rPr>
        <w:fldChar w:fldCharType="end"/>
      </w:r>
      <w:r w:rsidRPr="00EC0229">
        <w:rPr>
          <w:rFonts w:cs="Times New Roman"/>
          <w:szCs w:val="24"/>
        </w:rPr>
        <w:t>’s assassination would have been ‘far from settled’.</w:t>
      </w:r>
      <w:r w:rsidRPr="00EC0229">
        <w:rPr>
          <w:rStyle w:val="FootnoteReference"/>
          <w:rFonts w:cs="Times New Roman"/>
          <w:szCs w:val="24"/>
        </w:rPr>
        <w:footnoteReference w:id="682"/>
      </w:r>
      <w:r w:rsidRPr="00EC0229">
        <w:rPr>
          <w:rFonts w:cs="Times New Roman"/>
          <w:szCs w:val="24"/>
        </w:rPr>
        <w:t xml:space="preserve"> The state of Osberht</w:t>
      </w:r>
      <w:r w:rsidR="00D142DC" w:rsidRPr="00EC0229">
        <w:rPr>
          <w:rFonts w:cs="Times New Roman"/>
          <w:szCs w:val="24"/>
        </w:rPr>
        <w:fldChar w:fldCharType="begin"/>
      </w:r>
      <w:r w:rsidR="00D142DC" w:rsidRPr="00EC0229">
        <w:instrText xml:space="preserve"> XE "Osberht" </w:instrText>
      </w:r>
      <w:r w:rsidR="00D142DC" w:rsidRPr="00EC0229">
        <w:rPr>
          <w:rFonts w:cs="Times New Roman"/>
          <w:szCs w:val="24"/>
        </w:rPr>
        <w:fldChar w:fldCharType="end"/>
      </w:r>
      <w:r w:rsidRPr="00EC0229">
        <w:rPr>
          <w:rFonts w:cs="Times New Roman"/>
          <w:szCs w:val="24"/>
        </w:rPr>
        <w:t xml:space="preserve">’s coinages shows that matters remained troubled. In terms of </w:t>
      </w:r>
      <w:r w:rsidR="003F2041" w:rsidRPr="00EC0229">
        <w:rPr>
          <w:rFonts w:cs="Times New Roman"/>
          <w:szCs w:val="24"/>
        </w:rPr>
        <w:t>monetiz</w:t>
      </w:r>
      <w:r w:rsidRPr="00EC0229">
        <w:rPr>
          <w:rFonts w:cs="Times New Roman"/>
          <w:szCs w:val="24"/>
        </w:rPr>
        <w:t>ation</w:t>
      </w:r>
      <w:r w:rsidR="008960AE" w:rsidRPr="00EC0229">
        <w:rPr>
          <w:rFonts w:cs="Times New Roman"/>
          <w:szCs w:val="24"/>
        </w:rPr>
        <w:fldChar w:fldCharType="begin"/>
      </w:r>
      <w:r w:rsidR="008960AE" w:rsidRPr="00EC0229">
        <w:instrText xml:space="preserve"> XE "monetization" </w:instrText>
      </w:r>
      <w:r w:rsidR="008960AE" w:rsidRPr="00EC0229">
        <w:rPr>
          <w:rFonts w:cs="Times New Roman"/>
          <w:szCs w:val="24"/>
        </w:rPr>
        <w:fldChar w:fldCharType="end"/>
      </w:r>
      <w:r w:rsidRPr="00EC0229">
        <w:rPr>
          <w:rFonts w:cs="Times New Roman"/>
          <w:szCs w:val="24"/>
        </w:rPr>
        <w:t xml:space="preserve">, growing confidence in the circulating medium facilitates the introduction of an increasing proportion of unofficial emissions – the presence of counterfeits </w:t>
      </w:r>
      <w:r w:rsidR="00010FF3" w:rsidRPr="00EC0229">
        <w:rPr>
          <w:rFonts w:cs="Times New Roman"/>
          <w:szCs w:val="24"/>
        </w:rPr>
        <w:t>(</w:t>
      </w:r>
      <w:r w:rsidR="000B0D99" w:rsidRPr="00EC0229">
        <w:rPr>
          <w:rFonts w:cs="Times New Roman"/>
          <w:szCs w:val="24"/>
        </w:rPr>
        <w:fldChar w:fldCharType="begin"/>
      </w:r>
      <w:r w:rsidR="000B0D99" w:rsidRPr="00EC0229">
        <w:rPr>
          <w:rFonts w:cs="Times New Roman"/>
          <w:szCs w:val="24"/>
        </w:rPr>
        <w:instrText xml:space="preserve"> PAGEREF counterfeits \h </w:instrText>
      </w:r>
      <w:r w:rsidR="000B0D99" w:rsidRPr="00EC0229">
        <w:rPr>
          <w:rFonts w:cs="Times New Roman"/>
          <w:szCs w:val="24"/>
        </w:rPr>
      </w:r>
      <w:r w:rsidR="000B0D99" w:rsidRPr="00EC0229">
        <w:rPr>
          <w:rFonts w:cs="Times New Roman"/>
          <w:szCs w:val="24"/>
        </w:rPr>
        <w:fldChar w:fldCharType="separate"/>
      </w:r>
      <w:r w:rsidR="0012026B">
        <w:rPr>
          <w:rFonts w:cs="Times New Roman"/>
          <w:noProof/>
          <w:szCs w:val="24"/>
        </w:rPr>
        <w:t>75</w:t>
      </w:r>
      <w:r w:rsidR="000B0D99" w:rsidRPr="00EC0229">
        <w:rPr>
          <w:rFonts w:cs="Times New Roman"/>
          <w:szCs w:val="24"/>
        </w:rPr>
        <w:fldChar w:fldCharType="end"/>
      </w:r>
      <w:r w:rsidR="00010FF3" w:rsidRPr="00EC0229">
        <w:rPr>
          <w:rFonts w:cs="Times New Roman"/>
          <w:szCs w:val="24"/>
        </w:rPr>
        <w:t xml:space="preserve">) </w:t>
      </w:r>
      <w:r w:rsidRPr="00EC0229">
        <w:rPr>
          <w:rFonts w:cs="Times New Roman"/>
          <w:szCs w:val="24"/>
        </w:rPr>
        <w:t xml:space="preserve">is a marker for </w:t>
      </w:r>
      <w:r w:rsidR="003F2041" w:rsidRPr="00EC0229">
        <w:rPr>
          <w:rFonts w:cs="Times New Roman"/>
          <w:szCs w:val="24"/>
        </w:rPr>
        <w:t>monetiz</w:t>
      </w:r>
      <w:r w:rsidRPr="00EC0229">
        <w:rPr>
          <w:rFonts w:cs="Times New Roman"/>
          <w:szCs w:val="24"/>
        </w:rPr>
        <w:t>ation – and this is undeniably the case in the latter days of the styca coinage.</w:t>
      </w:r>
    </w:p>
    <w:p w14:paraId="20EBCFC6" w14:textId="7B821BA0" w:rsidR="00A33875" w:rsidRPr="008E6548" w:rsidRDefault="008259E1" w:rsidP="007600EA">
      <w:pPr>
        <w:pStyle w:val="Heading4"/>
        <w:spacing w:line="360" w:lineRule="auto"/>
        <w:rPr>
          <w:b/>
        </w:rPr>
      </w:pPr>
      <w:bookmarkStart w:id="428" w:name="_Toc468266814"/>
      <w:r w:rsidRPr="008259E1">
        <w:rPr>
          <w:b/>
        </w:rPr>
        <w:t>5.4.2.</w:t>
      </w:r>
      <w:r>
        <w:rPr>
          <w:b/>
        </w:rPr>
        <w:t>5</w:t>
      </w:r>
      <w:r w:rsidRPr="008259E1">
        <w:rPr>
          <w:b/>
        </w:rPr>
        <w:tab/>
      </w:r>
      <w:r w:rsidR="00A33875" w:rsidRPr="008E6548">
        <w:rPr>
          <w:b/>
        </w:rPr>
        <w:t>Sphere of Influence</w:t>
      </w:r>
      <w:bookmarkEnd w:id="428"/>
    </w:p>
    <w:p w14:paraId="118EAA89" w14:textId="32EFB779" w:rsidR="00A33875" w:rsidRPr="00EC0229" w:rsidRDefault="00A33875" w:rsidP="007600EA">
      <w:pPr>
        <w:pStyle w:val="NoSpacing"/>
        <w:spacing w:line="360" w:lineRule="auto"/>
      </w:pPr>
      <w:r w:rsidRPr="00EC0229">
        <w:t>In connection with the Blackfriars, Carlisle, excavation (1977-9), Hugh Pagan remarked, in 1990, on subsequent finds of stycas from Carlisle as well as finds from the Scottish Solway coast, Paisley, the island of Colonsay and the Kirkoswald, Cumbria, hoard of 1808: ‘the coinage of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 penetrated north and west of Northumbria proper.’</w:t>
      </w:r>
      <w:r w:rsidRPr="00EC0229">
        <w:rPr>
          <w:rStyle w:val="FootnoteReference"/>
        </w:rPr>
        <w:t xml:space="preserve"> </w:t>
      </w:r>
      <w:r w:rsidRPr="00EC0229">
        <w:rPr>
          <w:rStyle w:val="FootnoteReference"/>
        </w:rPr>
        <w:footnoteReference w:id="683"/>
      </w:r>
    </w:p>
    <w:p w14:paraId="293107D0" w14:textId="77777777" w:rsidR="00A33875" w:rsidRPr="00EC0229" w:rsidRDefault="00A33875" w:rsidP="007600EA">
      <w:pPr>
        <w:pStyle w:val="NoSpacing"/>
        <w:spacing w:line="360" w:lineRule="auto"/>
      </w:pPr>
    </w:p>
    <w:p w14:paraId="59057953" w14:textId="050D7660" w:rsidR="00A33875" w:rsidRPr="00EC0229" w:rsidRDefault="00F5533B" w:rsidP="007600EA">
      <w:pPr>
        <w:pStyle w:val="NoSpacing"/>
        <w:spacing w:line="360" w:lineRule="auto"/>
      </w:pPr>
      <w:r w:rsidRPr="00EC0229">
        <w:t>Again,</w:t>
      </w:r>
      <w:r w:rsidR="00A33875" w:rsidRPr="00EC0229">
        <w:t xml:space="preserve"> it is Pirie</w:t>
      </w:r>
      <w:r w:rsidR="00716433" w:rsidRPr="00EC0229">
        <w:fldChar w:fldCharType="begin"/>
      </w:r>
      <w:r w:rsidR="00716433" w:rsidRPr="00EC0229">
        <w:instrText xml:space="preserve"> XE "Pirie" </w:instrText>
      </w:r>
      <w:r w:rsidR="00716433" w:rsidRPr="00EC0229">
        <w:fldChar w:fldCharType="end"/>
      </w:r>
      <w:r w:rsidR="00A33875" w:rsidRPr="00EC0229">
        <w:t xml:space="preserve"> who has recorded and published finds of northern and western sc</w:t>
      </w:r>
      <w:r w:rsidR="0020283C" w:rsidRPr="00EC0229">
        <w:t>eats and stycas,</w:t>
      </w:r>
      <w:r w:rsidR="00A33875" w:rsidRPr="00EC0229">
        <w:t xml:space="preserve"> </w:t>
      </w:r>
      <w:r w:rsidR="00A33875"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A33875" w:rsidRPr="00EC0229">
        <w:rPr>
          <w:i/>
        </w:rPr>
        <w:t xml:space="preserve"> </w:t>
      </w:r>
      <w:r w:rsidR="00BA3090" w:rsidRPr="00EC0229">
        <w:rPr>
          <w:i/>
        </w:rPr>
        <w:t>5.</w:t>
      </w:r>
      <w:r w:rsidR="00947965" w:rsidRPr="00EC0229">
        <w:rPr>
          <w:i/>
        </w:rPr>
        <w:t>16</w:t>
      </w:r>
      <w:r w:rsidR="00A33875" w:rsidRPr="00EC0229">
        <w:t xml:space="preserve">. Her </w:t>
      </w:r>
      <w:r w:rsidR="008F2C8F" w:rsidRPr="00EC0229">
        <w:t>two-dozen</w:t>
      </w:r>
      <w:r w:rsidR="00A33875" w:rsidRPr="00EC0229">
        <w:t xml:space="preserve"> hoard and site studies, some unpublished</w:t>
      </w:r>
      <w:r w:rsidR="00381234" w:rsidRPr="00EC0229">
        <w:t>,</w:t>
      </w:r>
      <w:r w:rsidR="00A33875" w:rsidRPr="00EC0229">
        <w:t xml:space="preserve"> are indexed in</w:t>
      </w:r>
      <w:r w:rsidR="00A33875" w:rsidRPr="00EC0229">
        <w:rPr>
          <w:i/>
        </w:rPr>
        <w:t xml:space="preserve"> Table </w:t>
      </w:r>
      <w:r w:rsidR="00947965" w:rsidRPr="00EC0229">
        <w:rPr>
          <w:i/>
        </w:rPr>
        <w:t>5.17</w:t>
      </w:r>
      <w:r w:rsidR="00A33875" w:rsidRPr="00EC0229">
        <w:rPr>
          <w:i/>
        </w:rPr>
        <w:t>.</w:t>
      </w:r>
    </w:p>
    <w:p w14:paraId="420C38EC" w14:textId="77777777" w:rsidR="00A33875" w:rsidRPr="00EC0229" w:rsidRDefault="00A33875" w:rsidP="007600EA">
      <w:pPr>
        <w:pStyle w:val="NoSpacing"/>
        <w:spacing w:line="360" w:lineRule="auto"/>
      </w:pPr>
    </w:p>
    <w:p w14:paraId="69F0926B" w14:textId="45C9212B" w:rsidR="00A33875" w:rsidRPr="00EC0229" w:rsidRDefault="00A33875" w:rsidP="007600EA">
      <w:pPr>
        <w:pStyle w:val="NoSpacing"/>
        <w:spacing w:line="360" w:lineRule="auto"/>
      </w:pPr>
      <w:r w:rsidRPr="00EC0229">
        <w:t>My study will be more extensive but the least that can be gained from Pirie</w:t>
      </w:r>
      <w:r w:rsidR="00716433" w:rsidRPr="00EC0229">
        <w:fldChar w:fldCharType="begin"/>
      </w:r>
      <w:r w:rsidR="00716433" w:rsidRPr="00EC0229">
        <w:instrText xml:space="preserve"> XE "Pirie" </w:instrText>
      </w:r>
      <w:r w:rsidR="00716433" w:rsidRPr="00EC0229">
        <w:fldChar w:fldCharType="end"/>
      </w:r>
      <w:r w:rsidRPr="00EC0229">
        <w:t xml:space="preserve">’s list of sites is a recognition of the widespread distribution of coin-rich locations even though, as a list of find-spots, it is far from complete. A more comprehensive picture, particularly of southern finds which may not have been Pirie’s main concern, emerges from mapping the </w:t>
      </w:r>
      <w:r w:rsidR="005D0690" w:rsidRPr="00EC0229">
        <w:t>database</w:t>
      </w:r>
      <w:r w:rsidR="00584C42" w:rsidRPr="00EC0229">
        <w:fldChar w:fldCharType="begin"/>
      </w:r>
      <w:r w:rsidR="00584C42" w:rsidRPr="00EC0229">
        <w:instrText xml:space="preserve"> XE "</w:instrText>
      </w:r>
      <w:r w:rsidR="00584C42" w:rsidRPr="00EC0229">
        <w:rPr>
          <w:noProof/>
        </w:rPr>
        <w:instrText>Database</w:instrText>
      </w:r>
      <w:r w:rsidR="00584C42" w:rsidRPr="00EC0229">
        <w:instrText xml:space="preserve">" </w:instrText>
      </w:r>
      <w:r w:rsidR="00584C42" w:rsidRPr="00EC0229">
        <w:fldChar w:fldCharType="end"/>
      </w:r>
      <w:r w:rsidRPr="00EC0229">
        <w:t xml:space="preserve"> (</w:t>
      </w:r>
      <w:r w:rsidRPr="00EC0229">
        <w:rPr>
          <w:i/>
        </w:rPr>
        <w:t>Map</w:t>
      </w:r>
      <w:r w:rsidR="00584C42" w:rsidRPr="00EC0229">
        <w:rPr>
          <w:i/>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rPr>
        <w:fldChar w:fldCharType="end"/>
      </w:r>
      <w:r w:rsidR="00ED43AC" w:rsidRPr="00EC0229">
        <w:rPr>
          <w:i/>
        </w:rPr>
        <w:t xml:space="preserve"> </w:t>
      </w:r>
      <w:r w:rsidR="00ED43AC" w:rsidRPr="00EC0229">
        <w:rPr>
          <w:i/>
        </w:rPr>
        <w:lastRenderedPageBreak/>
        <w:t>2</w:t>
      </w:r>
      <w:r w:rsidR="004048E5" w:rsidRPr="00EC0229">
        <w:rPr>
          <w:i/>
        </w:rPr>
        <w:t>.06</w:t>
      </w:r>
      <w:r w:rsidRPr="00EC0229">
        <w:t>).</w:t>
      </w:r>
      <w:r w:rsidR="00577817" w:rsidRPr="00EC0229">
        <w:rPr>
          <w:rStyle w:val="FootnoteReference"/>
        </w:rPr>
        <w:footnoteReference w:id="684"/>
      </w:r>
      <w:r w:rsidRPr="00EC0229">
        <w:t xml:space="preserve"> The </w:t>
      </w:r>
      <w:r w:rsidR="00D65946" w:rsidRPr="00EC0229">
        <w:t>data</w:t>
      </w:r>
      <w:r w:rsidR="005D0690" w:rsidRPr="00EC0229">
        <w:t>ba</w:t>
      </w:r>
      <w:r w:rsidR="00D65946" w:rsidRPr="00EC0229">
        <w:t>se</w:t>
      </w:r>
      <w:r w:rsidRPr="00EC0229">
        <w:t xml:space="preserve"> also facilitates </w:t>
      </w:r>
      <w:r w:rsidR="006C328D" w:rsidRPr="00EC0229">
        <w:t>periodiz</w:t>
      </w:r>
      <w:r w:rsidRPr="00EC0229">
        <w:t>ing the recorded finds. The results of these exercises are described in Geographical Analysis</w:t>
      </w:r>
      <w:r w:rsidR="00010FF3" w:rsidRPr="00EC0229">
        <w:t xml:space="preserve"> (</w:t>
      </w:r>
      <w:r w:rsidR="000B0D99" w:rsidRPr="00EC0229">
        <w:fldChar w:fldCharType="begin"/>
      </w:r>
      <w:r w:rsidR="000B0D99" w:rsidRPr="00EC0229">
        <w:instrText xml:space="preserve"> PAGEREF GeographicAnalysis \h </w:instrText>
      </w:r>
      <w:r w:rsidR="000B0D99" w:rsidRPr="00EC0229">
        <w:fldChar w:fldCharType="separate"/>
      </w:r>
      <w:r w:rsidR="0012026B">
        <w:rPr>
          <w:noProof/>
        </w:rPr>
        <w:t>171</w:t>
      </w:r>
      <w:r w:rsidR="000B0D99" w:rsidRPr="00EC0229">
        <w:fldChar w:fldCharType="end"/>
      </w:r>
      <w:r w:rsidR="008727F5" w:rsidRPr="00EC0229">
        <w:t>).</w:t>
      </w:r>
    </w:p>
    <w:p w14:paraId="4D2E0729" w14:textId="77777777" w:rsidR="00A33875" w:rsidRPr="00EC0229" w:rsidRDefault="00A33875" w:rsidP="007600EA">
      <w:pPr>
        <w:pStyle w:val="NoSpacing"/>
        <w:spacing w:line="360" w:lineRule="auto"/>
      </w:pPr>
    </w:p>
    <w:p w14:paraId="79D58622" w14:textId="2BF38AA7" w:rsidR="00A33875" w:rsidRPr="00EC0229" w:rsidRDefault="008259E1" w:rsidP="007600EA">
      <w:pPr>
        <w:pStyle w:val="Heading3"/>
        <w:spacing w:line="360" w:lineRule="auto"/>
      </w:pPr>
      <w:bookmarkStart w:id="429" w:name="basemetal"/>
      <w:bookmarkStart w:id="430" w:name="interval"/>
      <w:bookmarkStart w:id="431" w:name="_Toc468266815"/>
      <w:bookmarkEnd w:id="429"/>
      <w:bookmarkEnd w:id="430"/>
      <w:r>
        <w:t>5.5</w:t>
      </w:r>
      <w:r w:rsidR="000F22E8">
        <w:t xml:space="preserve"> </w:t>
      </w:r>
      <w:r w:rsidR="00A33875" w:rsidRPr="00EC0229">
        <w:t>The interval before Period N11</w:t>
      </w:r>
      <w:r w:rsidR="00135FD1" w:rsidRPr="00EC0229">
        <w:fldChar w:fldCharType="begin"/>
      </w:r>
      <w:r w:rsidR="00135FD1" w:rsidRPr="00EC0229">
        <w:instrText xml:space="preserve"> XE "Period N11" </w:instrText>
      </w:r>
      <w:r w:rsidR="00135FD1" w:rsidRPr="00EC0229">
        <w:fldChar w:fldCharType="end"/>
      </w:r>
      <w:r w:rsidR="00A33875" w:rsidRPr="00EC0229">
        <w:t>, the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00A33875" w:rsidRPr="00EC0229">
        <w:t xml:space="preserve"> penny</w:t>
      </w:r>
      <w:r w:rsidR="00D142DC" w:rsidRPr="00EC0229">
        <w:fldChar w:fldCharType="begin"/>
      </w:r>
      <w:r w:rsidR="00D142DC" w:rsidRPr="00EC0229">
        <w:instrText xml:space="preserve"> XE "penny" </w:instrText>
      </w:r>
      <w:r w:rsidR="00D142DC" w:rsidRPr="00EC0229">
        <w:fldChar w:fldCharType="end"/>
      </w:r>
      <w:r w:rsidR="00A33875" w:rsidRPr="00EC0229">
        <w:t xml:space="preserve"> of York</w:t>
      </w:r>
      <w:bookmarkEnd w:id="431"/>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p>
    <w:p w14:paraId="0F87C92E" w14:textId="32CA683A" w:rsidR="00A33875" w:rsidRPr="00EC0229" w:rsidRDefault="00217AC6" w:rsidP="007600EA">
      <w:pPr>
        <w:pStyle w:val="NoSpacing"/>
        <w:spacing w:line="360" w:lineRule="auto"/>
      </w:pPr>
      <w:r w:rsidRPr="00EC0229">
        <w:t>The Viking</w:t>
      </w:r>
      <w:r w:rsidRPr="00EC0229">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fldChar w:fldCharType="end"/>
      </w:r>
      <w:r w:rsidRPr="00EC0229">
        <w:t xml:space="preserve"> coinage</w:t>
      </w:r>
      <w:r w:rsidRPr="00EC0229">
        <w:fldChar w:fldCharType="begin"/>
      </w:r>
      <w:r w:rsidRPr="00EC0229">
        <w:instrText xml:space="preserve"> XE "penny" </w:instrText>
      </w:r>
      <w:r w:rsidRPr="00EC0229">
        <w:fldChar w:fldCharType="end"/>
      </w:r>
      <w:r w:rsidRPr="00EC0229">
        <w:t xml:space="preserve"> of York, which started around 894, will</w:t>
      </w:r>
      <w:r w:rsidR="00A33875" w:rsidRPr="00EC0229">
        <w:t xml:space="preserve"> not </w:t>
      </w:r>
      <w:r w:rsidRPr="00EC0229">
        <w:t>be described</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00A33875" w:rsidRPr="00EC0229">
        <w:t>, but a few comments on monetary activity and northern finds of coins relating to the period between the fall of York and the Vi</w:t>
      </w:r>
      <w:r w:rsidR="008727F5" w:rsidRPr="00EC0229">
        <w:t>king coinage may be instructive</w:t>
      </w:r>
      <w:r w:rsidR="0097320A" w:rsidRPr="00EC0229">
        <w:t xml:space="preserve"> </w:t>
      </w:r>
      <w:r w:rsidR="008727F5" w:rsidRPr="00EC0229">
        <w:t>(</w:t>
      </w:r>
      <w:r w:rsidR="000B0D99" w:rsidRPr="00EC0229">
        <w:fldChar w:fldCharType="begin"/>
      </w:r>
      <w:r w:rsidR="000B0D99" w:rsidRPr="00EC0229">
        <w:instrText xml:space="preserve"> PAGEREF Viking \h </w:instrText>
      </w:r>
      <w:r w:rsidR="000B0D99" w:rsidRPr="00EC0229">
        <w:fldChar w:fldCharType="separate"/>
      </w:r>
      <w:r w:rsidR="0012026B">
        <w:rPr>
          <w:noProof/>
        </w:rPr>
        <w:t>81</w:t>
      </w:r>
      <w:r w:rsidR="000B0D99" w:rsidRPr="00EC0229">
        <w:fldChar w:fldCharType="end"/>
      </w:r>
      <w:r w:rsidR="0097320A" w:rsidRPr="00EC0229">
        <w:t>).</w:t>
      </w:r>
    </w:p>
    <w:p w14:paraId="673DA2E1" w14:textId="77777777" w:rsidR="00A33875" w:rsidRPr="00EC0229" w:rsidRDefault="00A33875" w:rsidP="007600EA">
      <w:pPr>
        <w:pStyle w:val="NoSpacing"/>
        <w:spacing w:line="360" w:lineRule="auto"/>
      </w:pPr>
    </w:p>
    <w:p w14:paraId="429E8248" w14:textId="20220666" w:rsidR="00A33875" w:rsidRPr="00EC0229" w:rsidRDefault="00A33875" w:rsidP="007600EA">
      <w:pPr>
        <w:pStyle w:val="NoSpacing"/>
        <w:spacing w:line="360" w:lineRule="auto"/>
        <w:rPr>
          <w:rFonts w:cs="Times New Roman"/>
        </w:rPr>
      </w:pPr>
      <w:r w:rsidRPr="00EC0229">
        <w:rPr>
          <w:rFonts w:cs="Times New Roman"/>
        </w:rPr>
        <w:t>Dolley referred to ‘the very different importance that can attach to geographical provenance in different centuries.’</w:t>
      </w:r>
      <w:r w:rsidRPr="00EC0229">
        <w:rPr>
          <w:rStyle w:val="FootnoteReference"/>
          <w:rFonts w:cs="Times New Roman"/>
        </w:rPr>
        <w:footnoteReference w:id="685"/>
      </w:r>
      <w:r w:rsidR="00986036" w:rsidRPr="00EC0229">
        <w:rPr>
          <w:rFonts w:cs="Times New Roman"/>
        </w:rPr>
        <w:t xml:space="preserve"> In Northumbria</w:t>
      </w:r>
      <w:r w:rsidRPr="00EC0229">
        <w:rPr>
          <w:rFonts w:cs="Times New Roman"/>
        </w:rPr>
        <w:t xml:space="preserve">, a degree of control was exercised over the circulating medium in the periods it was being produced. Incoming </w:t>
      </w:r>
      <w:r w:rsidRPr="00EC0229">
        <w:rPr>
          <w:rFonts w:cs="Times New Roman"/>
          <w:i/>
        </w:rPr>
        <w:t>intrusions</w:t>
      </w:r>
      <w:r w:rsidRPr="00EC0229">
        <w:rPr>
          <w:rFonts w:cs="Times New Roman"/>
        </w:rPr>
        <w:t xml:space="preserve"> are less frequent when the Northumbrian sceat is in production. Outgoing intrusions are infrequent and were probably candidates for immediate recycling (</w:t>
      </w:r>
      <w:r w:rsidRPr="00EC0229">
        <w:rPr>
          <w:rFonts w:cs="Times New Roman"/>
          <w:i/>
        </w:rPr>
        <w:t>Map</w:t>
      </w:r>
      <w:r w:rsidR="00584C42" w:rsidRPr="00EC0229">
        <w:rPr>
          <w:rFonts w:cs="Times New Roman"/>
          <w:i/>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rFonts w:cs="Times New Roman"/>
          <w:i/>
        </w:rPr>
        <w:fldChar w:fldCharType="end"/>
      </w:r>
      <w:r w:rsidRPr="00EC0229">
        <w:rPr>
          <w:rFonts w:cs="Times New Roman"/>
          <w:i/>
        </w:rPr>
        <w:t xml:space="preserve"> </w:t>
      </w:r>
      <w:r w:rsidR="004048E5" w:rsidRPr="00EC0229">
        <w:rPr>
          <w:rFonts w:cs="Times New Roman"/>
          <w:i/>
        </w:rPr>
        <w:t>5.05</w:t>
      </w:r>
      <w:r w:rsidR="00404ABD" w:rsidRPr="00EC0229">
        <w:rPr>
          <w:rStyle w:val="Hyperlink"/>
          <w:rFonts w:cs="Times New Roman"/>
          <w:i/>
          <w:color w:val="000000" w:themeColor="text1"/>
          <w:u w:val="none"/>
        </w:rPr>
        <w:t xml:space="preserve">, </w:t>
      </w:r>
      <w:r w:rsidR="001124AF" w:rsidRPr="00EC0229">
        <w:rPr>
          <w:rFonts w:cs="Times New Roman"/>
        </w:rPr>
        <w:fldChar w:fldCharType="begin"/>
      </w:r>
      <w:r w:rsidR="001124AF" w:rsidRPr="00EC0229">
        <w:rPr>
          <w:rStyle w:val="Hyperlink"/>
          <w:rFonts w:cs="Times New Roman"/>
          <w:i/>
          <w:color w:val="000000" w:themeColor="text1"/>
          <w:u w:val="none"/>
        </w:rPr>
        <w:instrText xml:space="preserve"> REF _Ref430246837 \h </w:instrText>
      </w:r>
      <w:r w:rsidR="007224B1" w:rsidRPr="00EC0229">
        <w:rPr>
          <w:rFonts w:cs="Times New Roman"/>
        </w:rPr>
        <w:instrText xml:space="preserve"> \* MERGEFORMAT </w:instrText>
      </w:r>
      <w:r w:rsidR="001124AF" w:rsidRPr="00EC0229">
        <w:rPr>
          <w:rFonts w:cs="Times New Roman"/>
        </w:rPr>
      </w:r>
      <w:r w:rsidR="001124AF" w:rsidRPr="00EC0229">
        <w:rPr>
          <w:rFonts w:cs="Times New Roman"/>
        </w:rPr>
        <w:fldChar w:fldCharType="separate"/>
      </w:r>
      <w:r w:rsidR="0012026B" w:rsidRPr="0012026B">
        <w:rPr>
          <w:i/>
          <w:szCs w:val="24"/>
        </w:rPr>
        <w:t>Figure</w:t>
      </w:r>
      <w:r w:rsidR="0012026B" w:rsidRPr="00EC0229">
        <w:rPr>
          <w:sz w:val="20"/>
          <w:szCs w:val="20"/>
        </w:rPr>
        <w:t xml:space="preserve"> </w:t>
      </w:r>
      <w:r w:rsidR="0012026B" w:rsidRPr="0012026B">
        <w:rPr>
          <w:noProof/>
          <w:szCs w:val="24"/>
        </w:rPr>
        <w:t>60</w:t>
      </w:r>
      <w:r w:rsidR="001124AF" w:rsidRPr="00EC0229">
        <w:rPr>
          <w:rFonts w:cs="Times New Roman"/>
        </w:rPr>
        <w:fldChar w:fldCharType="end"/>
      </w:r>
      <w:r w:rsidRPr="00EC0229">
        <w:rPr>
          <w:rFonts w:cs="Times New Roman"/>
        </w:rPr>
        <w:t>), certainly when the broad penny</w:t>
      </w:r>
      <w:r w:rsidR="00D142DC" w:rsidRPr="00EC0229">
        <w:rPr>
          <w:rFonts w:cs="Times New Roman"/>
        </w:rPr>
        <w:fldChar w:fldCharType="begin"/>
      </w:r>
      <w:r w:rsidR="00D142DC" w:rsidRPr="00EC0229">
        <w:instrText xml:space="preserve"> XE "penny" </w:instrText>
      </w:r>
      <w:r w:rsidR="00D142DC" w:rsidRPr="00EC0229">
        <w:rPr>
          <w:rFonts w:cs="Times New Roman"/>
        </w:rPr>
        <w:fldChar w:fldCharType="end"/>
      </w:r>
      <w:r w:rsidRPr="00EC0229">
        <w:rPr>
          <w:rFonts w:cs="Times New Roman"/>
        </w:rPr>
        <w:t xml:space="preserve"> circulated in </w:t>
      </w:r>
      <w:r w:rsidR="00572E51" w:rsidRPr="00EC0229">
        <w:rPr>
          <w:rFonts w:cs="Times New Roman"/>
        </w:rPr>
        <w:t>Southumbria</w:t>
      </w:r>
      <w:r w:rsidRPr="00EC0229">
        <w:rPr>
          <w:rFonts w:cs="Times New Roman"/>
        </w:rPr>
        <w:t xml:space="preserve">. The situation with the base styca is more clear-cut – for the best part of </w:t>
      </w:r>
      <w:r w:rsidR="00F139AF" w:rsidRPr="00EC0229">
        <w:rPr>
          <w:rFonts w:cs="Times New Roman"/>
        </w:rPr>
        <w:t>the ninth century</w:t>
      </w:r>
      <w:r w:rsidRPr="00EC0229">
        <w:rPr>
          <w:rFonts w:cs="Times New Roman"/>
        </w:rPr>
        <w:t xml:space="preserve"> England suffered, </w:t>
      </w:r>
      <w:r w:rsidRPr="00EC0229">
        <w:rPr>
          <w:i/>
        </w:rPr>
        <w:t>prima facie</w:t>
      </w:r>
      <w:r w:rsidRPr="00EC0229">
        <w:t xml:space="preserve">, </w:t>
      </w:r>
      <w:r w:rsidRPr="00EC0229">
        <w:rPr>
          <w:rFonts w:cs="Times New Roman"/>
        </w:rPr>
        <w:t>immiscible currencies.</w:t>
      </w:r>
      <w:r w:rsidRPr="00EC0229">
        <w:rPr>
          <w:rStyle w:val="FootnoteReference"/>
          <w:rFonts w:cs="Times New Roman"/>
        </w:rPr>
        <w:footnoteReference w:id="686"/>
      </w:r>
      <w:r w:rsidRPr="00EC0229">
        <w:rPr>
          <w:rFonts w:cs="Times New Roman"/>
        </w:rPr>
        <w:t xml:space="preserve"> Most intrusions went straight into the melting pot. One may infer that the styca was a </w:t>
      </w:r>
      <w:r w:rsidRPr="00EC0229">
        <w:rPr>
          <w:rFonts w:cs="Times New Roman"/>
          <w:i/>
        </w:rPr>
        <w:t>fiat</w:t>
      </w:r>
      <w:r w:rsidR="00D142DC" w:rsidRPr="00EC0229">
        <w:rPr>
          <w:rFonts w:cs="Times New Roman"/>
          <w:i/>
        </w:rPr>
        <w:fldChar w:fldCharType="begin"/>
      </w:r>
      <w:r w:rsidR="00D142DC" w:rsidRPr="00EC0229">
        <w:instrText xml:space="preserve"> XE "fiat" </w:instrText>
      </w:r>
      <w:r w:rsidR="00D142DC" w:rsidRPr="00EC0229">
        <w:rPr>
          <w:rFonts w:cs="Times New Roman"/>
          <w:i/>
        </w:rPr>
        <w:fldChar w:fldCharType="end"/>
      </w:r>
      <w:r w:rsidRPr="00EC0229">
        <w:rPr>
          <w:rFonts w:cs="Times New Roman"/>
        </w:rPr>
        <w:t xml:space="preserve"> currency</w:t>
      </w:r>
      <w:r w:rsidR="00F9138C" w:rsidRPr="00EC0229">
        <w:rPr>
          <w:rFonts w:cs="Times New Roman"/>
        </w:rPr>
        <w:t xml:space="preserve"> (</w:t>
      </w:r>
      <w:r w:rsidR="000B0D99" w:rsidRPr="00EC0229">
        <w:rPr>
          <w:rFonts w:cs="Times New Roman"/>
        </w:rPr>
        <w:fldChar w:fldCharType="begin"/>
      </w:r>
      <w:r w:rsidR="000B0D99" w:rsidRPr="00EC0229">
        <w:rPr>
          <w:rFonts w:cs="Times New Roman"/>
        </w:rPr>
        <w:instrText xml:space="preserve"> PAGEREF fiat \h </w:instrText>
      </w:r>
      <w:r w:rsidR="000B0D99" w:rsidRPr="00EC0229">
        <w:rPr>
          <w:rFonts w:cs="Times New Roman"/>
        </w:rPr>
      </w:r>
      <w:r w:rsidR="000B0D99" w:rsidRPr="00EC0229">
        <w:rPr>
          <w:rFonts w:cs="Times New Roman"/>
        </w:rPr>
        <w:fldChar w:fldCharType="separate"/>
      </w:r>
      <w:r w:rsidR="0012026B">
        <w:rPr>
          <w:rFonts w:cs="Times New Roman"/>
          <w:noProof/>
        </w:rPr>
        <w:t>75</w:t>
      </w:r>
      <w:r w:rsidR="000B0D99" w:rsidRPr="00EC0229">
        <w:rPr>
          <w:rFonts w:cs="Times New Roman"/>
        </w:rPr>
        <w:fldChar w:fldCharType="end"/>
      </w:r>
      <w:r w:rsidR="00F9138C" w:rsidRPr="00EC0229">
        <w:rPr>
          <w:rFonts w:cs="Times New Roman"/>
        </w:rPr>
        <w:t>),</w:t>
      </w:r>
      <w:r w:rsidRPr="00EC0229">
        <w:rPr>
          <w:rFonts w:cs="Times New Roman"/>
        </w:rPr>
        <w:t xml:space="preserve"> outside the realm of the king’s guarantee. If stycas circulated in the south, it would have been at intrinsic value – raw material for recycling.</w:t>
      </w:r>
      <w:r w:rsidRPr="00EC0229">
        <w:rPr>
          <w:rStyle w:val="FootnoteReference"/>
          <w:rFonts w:cs="Times New Roman"/>
        </w:rPr>
        <w:footnoteReference w:id="687"/>
      </w:r>
      <w:r w:rsidRPr="00EC0229">
        <w:rPr>
          <w:rFonts w:cs="Times New Roman"/>
        </w:rPr>
        <w:t xml:space="preserve"> </w:t>
      </w:r>
      <w:bookmarkStart w:id="432" w:name="Talnotrie"/>
      <w:bookmarkEnd w:id="432"/>
      <w:r w:rsidRPr="00EC0229">
        <w:rPr>
          <w:rFonts w:cs="Times New Roman"/>
        </w:rPr>
        <w:t>That they are found widely, such as in the mixed hoard at Talnotrie, may show that they were used as small change or may have compensated for the paucity of early Offan coinage.</w:t>
      </w:r>
    </w:p>
    <w:p w14:paraId="55F8D740" w14:textId="77777777" w:rsidR="00A33875" w:rsidRPr="00EC0229" w:rsidRDefault="00A33875" w:rsidP="007600EA">
      <w:pPr>
        <w:pStyle w:val="NoSpacing"/>
        <w:spacing w:line="360" w:lineRule="auto"/>
        <w:rPr>
          <w:rFonts w:cs="Times New Roman"/>
          <w:sz w:val="20"/>
          <w:szCs w:val="20"/>
        </w:rPr>
      </w:pPr>
    </w:p>
    <w:p w14:paraId="46669CF3" w14:textId="77777777" w:rsidR="00A33875" w:rsidRPr="00EC0229" w:rsidRDefault="00A33875" w:rsidP="007600EA">
      <w:pPr>
        <w:pStyle w:val="NoSpacing"/>
        <w:spacing w:line="360" w:lineRule="auto"/>
        <w:jc w:val="center"/>
        <w:rPr>
          <w:rFonts w:cs="Times New Roman"/>
          <w:sz w:val="20"/>
          <w:szCs w:val="20"/>
        </w:rPr>
      </w:pPr>
      <w:r w:rsidRPr="00EC0229">
        <w:rPr>
          <w:rFonts w:cs="Times New Roman"/>
          <w:noProof/>
          <w:sz w:val="20"/>
          <w:szCs w:val="20"/>
          <w:lang w:eastAsia="en-GB"/>
        </w:rPr>
        <w:drawing>
          <wp:inline distT="0" distB="0" distL="0" distR="0" wp14:anchorId="7B1963F3" wp14:editId="181C5139">
            <wp:extent cx="1219200" cy="11049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eries Y, class B - Swiss find - Simon Coupland, March 2014.JPG"/>
                    <pic:cNvPicPr/>
                  </pic:nvPicPr>
                  <pic:blipFill>
                    <a:blip r:embed="rId224">
                      <a:extLst>
                        <a:ext uri="{28A0092B-C50C-407E-A947-70E740481C1C}">
                          <a14:useLocalDpi xmlns:a14="http://schemas.microsoft.com/office/drawing/2010/main" val="0"/>
                        </a:ext>
                      </a:extLst>
                    </a:blip>
                    <a:stretch>
                      <a:fillRect/>
                    </a:stretch>
                  </pic:blipFill>
                  <pic:spPr>
                    <a:xfrm>
                      <a:off x="0" y="0"/>
                      <a:ext cx="1219200" cy="1104900"/>
                    </a:xfrm>
                    <a:prstGeom prst="rect">
                      <a:avLst/>
                    </a:prstGeom>
                  </pic:spPr>
                </pic:pic>
              </a:graphicData>
            </a:graphic>
          </wp:inline>
        </w:drawing>
      </w:r>
      <w:r w:rsidRPr="00EC0229">
        <w:rPr>
          <w:rFonts w:cs="Times New Roman"/>
          <w:noProof/>
          <w:sz w:val="20"/>
          <w:szCs w:val="20"/>
          <w:lang w:eastAsia="en-GB"/>
        </w:rPr>
        <w:drawing>
          <wp:inline distT="0" distB="0" distL="0" distR="0" wp14:anchorId="1164B992" wp14:editId="602FE2EA">
            <wp:extent cx="1262743" cy="11049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eries Y, class B - Swiss find - Simon Coupland, March 2014 R.JPG"/>
                    <pic:cNvPicPr/>
                  </pic:nvPicPr>
                  <pic:blipFill>
                    <a:blip r:embed="rId225">
                      <a:extLst>
                        <a:ext uri="{28A0092B-C50C-407E-A947-70E740481C1C}">
                          <a14:useLocalDpi xmlns:a14="http://schemas.microsoft.com/office/drawing/2010/main" val="0"/>
                        </a:ext>
                      </a:extLst>
                    </a:blip>
                    <a:stretch>
                      <a:fillRect/>
                    </a:stretch>
                  </pic:blipFill>
                  <pic:spPr>
                    <a:xfrm>
                      <a:off x="0" y="0"/>
                      <a:ext cx="1263469" cy="1105535"/>
                    </a:xfrm>
                    <a:prstGeom prst="rect">
                      <a:avLst/>
                    </a:prstGeom>
                  </pic:spPr>
                </pic:pic>
              </a:graphicData>
            </a:graphic>
          </wp:inline>
        </w:drawing>
      </w:r>
    </w:p>
    <w:p w14:paraId="652F4AED" w14:textId="706DAA2B" w:rsidR="002A206F" w:rsidRPr="00EC0229" w:rsidRDefault="002A206F" w:rsidP="007600EA">
      <w:pPr>
        <w:pStyle w:val="NoSpacing"/>
        <w:spacing w:line="360" w:lineRule="auto"/>
        <w:jc w:val="center"/>
        <w:rPr>
          <w:sz w:val="20"/>
          <w:szCs w:val="20"/>
        </w:rPr>
      </w:pPr>
      <w:bookmarkStart w:id="433" w:name="_Ref430246837"/>
      <w:bookmarkStart w:id="434" w:name="_Toc46826703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60</w:t>
      </w:r>
      <w:r w:rsidRPr="00EC0229">
        <w:rPr>
          <w:sz w:val="20"/>
          <w:szCs w:val="20"/>
        </w:rPr>
        <w:fldChar w:fldCharType="end"/>
      </w:r>
      <w:bookmarkEnd w:id="433"/>
      <w:r w:rsidR="002A6FBE" w:rsidRPr="00EC0229">
        <w:rPr>
          <w:sz w:val="20"/>
          <w:szCs w:val="20"/>
        </w:rPr>
        <w:t xml:space="preserve">: </w:t>
      </w:r>
      <w:r w:rsidR="00A33875" w:rsidRPr="00EC0229">
        <w:rPr>
          <w:sz w:val="20"/>
          <w:szCs w:val="20"/>
        </w:rPr>
        <w:t>A Northumbrian sceat of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A33875" w:rsidRPr="00EC0229">
        <w:rPr>
          <w:sz w:val="20"/>
          <w:szCs w:val="20"/>
        </w:rPr>
        <w:t xml:space="preserve"> Y, 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00A33875" w:rsidRPr="00EC0229">
        <w:rPr>
          <w:sz w:val="20"/>
          <w:szCs w:val="20"/>
        </w:rPr>
        <w:t>, Booth class B</w:t>
      </w:r>
      <w:bookmarkEnd w:id="434"/>
      <w:r w:rsidR="00A33875" w:rsidRPr="00EC0229">
        <w:rPr>
          <w:sz w:val="20"/>
          <w:szCs w:val="20"/>
        </w:rPr>
        <w:t xml:space="preserve"> </w:t>
      </w:r>
    </w:p>
    <w:p w14:paraId="699FE2ED" w14:textId="625A5224" w:rsidR="00A33875" w:rsidRPr="00EC0229" w:rsidRDefault="00A33875" w:rsidP="007600EA">
      <w:pPr>
        <w:pStyle w:val="NoSpacing"/>
        <w:spacing w:line="360" w:lineRule="auto"/>
        <w:jc w:val="center"/>
        <w:rPr>
          <w:rFonts w:cs="Times New Roman"/>
          <w:color w:val="FF0000"/>
          <w:sz w:val="20"/>
          <w:szCs w:val="20"/>
        </w:rPr>
      </w:pPr>
      <w:r w:rsidRPr="00EC0229">
        <w:rPr>
          <w:sz w:val="20"/>
          <w:szCs w:val="20"/>
        </w:rPr>
        <w:t>(</w:t>
      </w:r>
      <w:r w:rsidRPr="00EC0229">
        <w:rPr>
          <w:i/>
          <w:sz w:val="20"/>
          <w:szCs w:val="20"/>
        </w:rPr>
        <w:t>SL</w:t>
      </w:r>
      <w:r w:rsidRPr="00EC0229">
        <w:rPr>
          <w:sz w:val="20"/>
          <w:szCs w:val="20"/>
        </w:rPr>
        <w:t xml:space="preserve"> 70-50), found Valais, Switzerland. (Courtesy Simon Coupland.)</w:t>
      </w:r>
    </w:p>
    <w:p w14:paraId="35D19755" w14:textId="77777777" w:rsidR="00A33875" w:rsidRPr="00EC0229" w:rsidRDefault="00A33875" w:rsidP="007600EA">
      <w:pPr>
        <w:pStyle w:val="NoSpacing"/>
        <w:spacing w:line="360" w:lineRule="auto"/>
        <w:rPr>
          <w:rFonts w:cs="Times New Roman"/>
          <w:color w:val="FF0000"/>
        </w:rPr>
      </w:pPr>
    </w:p>
    <w:p w14:paraId="44A76DAC" w14:textId="42A6D980" w:rsidR="00A33875" w:rsidRPr="00EC0229" w:rsidRDefault="00A33875" w:rsidP="007600EA">
      <w:pPr>
        <w:autoSpaceDE w:val="0"/>
        <w:autoSpaceDN w:val="0"/>
        <w:adjustRightInd w:val="0"/>
        <w:spacing w:after="0" w:line="360" w:lineRule="auto"/>
        <w:rPr>
          <w:rFonts w:cs="Times New Roman"/>
          <w:szCs w:val="24"/>
        </w:rPr>
      </w:pPr>
      <w:r w:rsidRPr="00EC0229">
        <w:rPr>
          <w:rFonts w:cs="Times New Roman"/>
          <w:szCs w:val="24"/>
        </w:rPr>
        <w:lastRenderedPageBreak/>
        <w:t>As Pirie</w:t>
      </w:r>
      <w:r w:rsidR="00716433" w:rsidRPr="00EC0229">
        <w:rPr>
          <w:rFonts w:cs="Times New Roman"/>
          <w:szCs w:val="24"/>
        </w:rPr>
        <w:fldChar w:fldCharType="begin"/>
      </w:r>
      <w:r w:rsidR="00716433" w:rsidRPr="00EC0229">
        <w:instrText xml:space="preserve"> XE "Pirie" </w:instrText>
      </w:r>
      <w:r w:rsidR="00716433" w:rsidRPr="00EC0229">
        <w:rPr>
          <w:rFonts w:cs="Times New Roman"/>
          <w:szCs w:val="24"/>
        </w:rPr>
        <w:fldChar w:fldCharType="end"/>
      </w:r>
      <w:r w:rsidRPr="00EC0229">
        <w:rPr>
          <w:rFonts w:cs="Times New Roman"/>
          <w:szCs w:val="24"/>
        </w:rPr>
        <w:t xml:space="preserve"> recorded,</w:t>
      </w:r>
      <w:r w:rsidRPr="00EC0229">
        <w:rPr>
          <w:rStyle w:val="FootnoteReference"/>
          <w:rFonts w:cs="Times New Roman"/>
          <w:szCs w:val="24"/>
        </w:rPr>
        <w:footnoteReference w:id="688"/>
      </w:r>
      <w:r w:rsidRPr="00EC0229">
        <w:rPr>
          <w:rFonts w:cs="Times New Roman"/>
          <w:szCs w:val="24"/>
        </w:rPr>
        <w:t xml:space="preserve"> finds of stycas in Carolingian</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Carolingian</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territories are outnumbered by finds of Carolingian deniers in the north of England. For Charlemagne</w:t>
      </w:r>
      <w:r w:rsidR="008960AE" w:rsidRPr="00EC0229">
        <w:rPr>
          <w:rFonts w:cs="Times New Roman"/>
          <w:szCs w:val="24"/>
        </w:rPr>
        <w:fldChar w:fldCharType="begin"/>
      </w:r>
      <w:r w:rsidR="008960AE" w:rsidRPr="00EC0229">
        <w:instrText xml:space="preserve"> XE "</w:instrText>
      </w:r>
      <w:r w:rsidR="008960AE" w:rsidRPr="00EC0229">
        <w:rPr>
          <w:rFonts w:cs="Times New Roman"/>
          <w:color w:val="000000" w:themeColor="text1"/>
          <w:szCs w:val="24"/>
        </w:rPr>
        <w:instrText>Charlemagne</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and Louis the Pious</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Louis the Pious</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(768-840) she lists ten British finds of which half have northern find-spots, and for Charles the Bald and Pepin II of Aquitaine (840-77), she listed twelve, five of which are northern finds. These numbers may be too small for statistical </w:t>
      </w:r>
      <w:r w:rsidR="00577817" w:rsidRPr="00EC0229">
        <w:rPr>
          <w:rFonts w:cs="Times New Roman"/>
          <w:szCs w:val="24"/>
        </w:rPr>
        <w:t>validity</w:t>
      </w:r>
      <w:r w:rsidRPr="00EC0229">
        <w:rPr>
          <w:rFonts w:cs="Times New Roman"/>
          <w:szCs w:val="24"/>
        </w:rPr>
        <w:t xml:space="preserve"> but they intimate a trading balance in favour of the north.</w:t>
      </w:r>
    </w:p>
    <w:p w14:paraId="6627387F" w14:textId="77777777" w:rsidR="00A33875" w:rsidRPr="00EC0229" w:rsidRDefault="00A33875" w:rsidP="007600EA">
      <w:pPr>
        <w:autoSpaceDE w:val="0"/>
        <w:autoSpaceDN w:val="0"/>
        <w:adjustRightInd w:val="0"/>
        <w:spacing w:after="0" w:line="360" w:lineRule="auto"/>
        <w:rPr>
          <w:rFonts w:cs="Times New Roman"/>
          <w:szCs w:val="24"/>
        </w:rPr>
      </w:pPr>
    </w:p>
    <w:p w14:paraId="09AF5840" w14:textId="57824030" w:rsidR="00A33875" w:rsidRPr="00EC0229" w:rsidRDefault="00A33875" w:rsidP="007600EA">
      <w:pPr>
        <w:autoSpaceDE w:val="0"/>
        <w:autoSpaceDN w:val="0"/>
        <w:adjustRightInd w:val="0"/>
        <w:spacing w:after="0" w:line="360" w:lineRule="auto"/>
        <w:rPr>
          <w:rFonts w:cs="Times New Roman"/>
          <w:szCs w:val="24"/>
        </w:rPr>
      </w:pPr>
      <w:r w:rsidRPr="00EC0229">
        <w:rPr>
          <w:rFonts w:cs="Times New Roman"/>
          <w:szCs w:val="24"/>
        </w:rPr>
        <w:t xml:space="preserve">In evaluating what was the most successful of the </w:t>
      </w:r>
      <w:r w:rsidRPr="00EC0229">
        <w:rPr>
          <w:rFonts w:cs="Times New Roman"/>
          <w:i/>
          <w:szCs w:val="24"/>
        </w:rPr>
        <w:t>wics</w:t>
      </w:r>
      <w:r w:rsidRPr="00EC0229">
        <w:rPr>
          <w:rFonts w:cs="Times New Roman"/>
          <w:szCs w:val="24"/>
        </w:rPr>
        <w:t>, Coupland wrote:</w:t>
      </w:r>
      <w:r w:rsidRPr="00EC0229">
        <w:rPr>
          <w:rFonts w:eastAsia="Minion-Regular" w:cs="Times New Roman"/>
          <w:szCs w:val="24"/>
        </w:rPr>
        <w:t xml:space="preserve"> ‘In sum, the evidence of the coinage, especially the superb range of finds from Wijk-bij-Duurstede, reveals very clearly Dorestad’s economic boom and bust. Under Charlemagne</w:t>
      </w:r>
      <w:r w:rsidR="008960AE" w:rsidRPr="00EC0229">
        <w:rPr>
          <w:rFonts w:eastAsia="Minion-Regular" w:cs="Times New Roman"/>
          <w:szCs w:val="24"/>
        </w:rPr>
        <w:fldChar w:fldCharType="begin"/>
      </w:r>
      <w:r w:rsidR="008960AE" w:rsidRPr="00EC0229">
        <w:instrText xml:space="preserve"> XE "</w:instrText>
      </w:r>
      <w:r w:rsidR="008960AE" w:rsidRPr="00EC0229">
        <w:rPr>
          <w:rFonts w:cs="Times New Roman"/>
          <w:color w:val="000000" w:themeColor="text1"/>
          <w:szCs w:val="24"/>
        </w:rPr>
        <w:instrText>Charlemagne</w:instrText>
      </w:r>
      <w:r w:rsidR="008960AE" w:rsidRPr="00EC0229">
        <w:instrText xml:space="preserve">" </w:instrText>
      </w:r>
      <w:r w:rsidR="008960AE" w:rsidRPr="00EC0229">
        <w:rPr>
          <w:rFonts w:eastAsia="Minion-Regular" w:cs="Times New Roman"/>
          <w:szCs w:val="24"/>
        </w:rPr>
        <w:fldChar w:fldCharType="end"/>
      </w:r>
      <w:r w:rsidRPr="00EC0229">
        <w:rPr>
          <w:rFonts w:eastAsia="Minion-Regular" w:cs="Times New Roman"/>
          <w:szCs w:val="24"/>
        </w:rPr>
        <w:t xml:space="preserve"> the port enjoyed a dramatic rise in its fortunes around the turn of </w:t>
      </w:r>
      <w:r w:rsidR="00F139AF" w:rsidRPr="00EC0229">
        <w:rPr>
          <w:rFonts w:eastAsia="Minion-Regular" w:cs="Times New Roman"/>
          <w:szCs w:val="24"/>
        </w:rPr>
        <w:t>the ninth century</w:t>
      </w:r>
      <w:r w:rsidRPr="00EC0229">
        <w:rPr>
          <w:rFonts w:eastAsia="Minion-Regular" w:cs="Times New Roman"/>
          <w:szCs w:val="24"/>
        </w:rPr>
        <w:t>, a rise which continued through the reign of Louis the Pious</w:t>
      </w:r>
      <w:r w:rsidR="008960AE" w:rsidRPr="00EC0229">
        <w:rPr>
          <w:rFonts w:eastAsia="Minion-Regular"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Louis the Pious</w:instrText>
      </w:r>
      <w:r w:rsidR="008960AE" w:rsidRPr="00EC0229">
        <w:instrText xml:space="preserve">" </w:instrText>
      </w:r>
      <w:r w:rsidR="008960AE" w:rsidRPr="00EC0229">
        <w:rPr>
          <w:rFonts w:eastAsia="Minion-Regular" w:cs="Times New Roman"/>
          <w:szCs w:val="24"/>
        </w:rPr>
        <w:fldChar w:fldCharType="end"/>
      </w:r>
      <w:r w:rsidRPr="00EC0229">
        <w:rPr>
          <w:rFonts w:eastAsia="Minion-Regular" w:cs="Times New Roman"/>
          <w:szCs w:val="24"/>
        </w:rPr>
        <w:t>, into the 830s. Around 840 that situation changed dramatically, as Viking</w:t>
      </w:r>
      <w:r w:rsidR="00F204A1" w:rsidRPr="00EC0229">
        <w:rPr>
          <w:rFonts w:eastAsia="Minion-Regular" w:cs="Times New Roman"/>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rFonts w:eastAsia="Minion-Regular" w:cs="Times New Roman"/>
          <w:szCs w:val="24"/>
        </w:rPr>
        <w:fldChar w:fldCharType="end"/>
      </w:r>
      <w:r w:rsidRPr="00EC0229">
        <w:rPr>
          <w:rFonts w:eastAsia="Minion-Regular" w:cs="Times New Roman"/>
          <w:szCs w:val="24"/>
        </w:rPr>
        <w:t xml:space="preserve"> chieftains seized control of the port, believing no doubt that they had got their hands on the proverbial goose that lays the golden eggs.’</w:t>
      </w:r>
      <w:r w:rsidRPr="00EC0229">
        <w:rPr>
          <w:rStyle w:val="FootnoteReference"/>
          <w:rFonts w:eastAsia="Minion-Regular" w:cs="Times New Roman"/>
          <w:szCs w:val="24"/>
        </w:rPr>
        <w:footnoteReference w:id="689"/>
      </w:r>
      <w:r w:rsidRPr="00EC0229">
        <w:rPr>
          <w:rFonts w:eastAsia="Minion-Regular" w:cs="Times New Roman"/>
          <w:szCs w:val="24"/>
        </w:rPr>
        <w:t xml:space="preserve"> Silting and the disruption of the Frankish civil war, during the reign of </w:t>
      </w:r>
      <w:r w:rsidRPr="00EC0229">
        <w:rPr>
          <w:rFonts w:cs="Times New Roman"/>
          <w:szCs w:val="24"/>
        </w:rPr>
        <w:t>Louis the Pious,</w:t>
      </w:r>
      <w:r w:rsidRPr="00EC0229">
        <w:rPr>
          <w:rFonts w:eastAsia="Minion-Regular" w:cs="Times New Roman"/>
          <w:szCs w:val="24"/>
        </w:rPr>
        <w:t xml:space="preserve"> were also contributory factors in Dorestad’s reversal.</w:t>
      </w:r>
      <w:r w:rsidRPr="00EC0229">
        <w:rPr>
          <w:rStyle w:val="FootnoteReference"/>
          <w:rFonts w:eastAsia="Minion-Regular" w:cs="Times New Roman"/>
          <w:szCs w:val="24"/>
        </w:rPr>
        <w:footnoteReference w:id="690"/>
      </w:r>
      <w:r w:rsidRPr="00EC0229">
        <w:rPr>
          <w:rFonts w:cs="Times New Roman"/>
          <w:color w:val="FF0000"/>
          <w:szCs w:val="24"/>
        </w:rPr>
        <w:t xml:space="preserve"> </w:t>
      </w:r>
      <w:r w:rsidRPr="00EC0229">
        <w:rPr>
          <w:rFonts w:cs="Times New Roman"/>
          <w:szCs w:val="24"/>
        </w:rPr>
        <w:t>It may be that Quentovic was the beneficiary of Dorestad’s decline. Coupland demonstrated that as Quentovic languished until the 850s when, particularly after Charles the Bald’s coinage r</w:t>
      </w:r>
      <w:r w:rsidR="00F5533B" w:rsidRPr="00EC0229">
        <w:rPr>
          <w:rFonts w:cs="Times New Roman"/>
          <w:szCs w:val="24"/>
        </w:rPr>
        <w:t>eforms of 864 and the opening</w:t>
      </w:r>
      <w:r w:rsidRPr="00EC0229">
        <w:rPr>
          <w:rFonts w:cs="Times New Roman"/>
          <w:szCs w:val="24"/>
        </w:rPr>
        <w:t xml:space="preserve"> of new mints nearby, it started to thrive.</w:t>
      </w:r>
      <w:r w:rsidRPr="00EC0229">
        <w:rPr>
          <w:rStyle w:val="FootnoteReference"/>
          <w:rFonts w:cs="Times New Roman"/>
          <w:szCs w:val="24"/>
        </w:rPr>
        <w:footnoteReference w:id="691"/>
      </w:r>
      <w:r w:rsidRPr="00EC0229">
        <w:rPr>
          <w:rFonts w:cs="Times New Roman"/>
          <w:szCs w:val="24"/>
        </w:rPr>
        <w:t xml:space="preserve"> These two </w:t>
      </w:r>
      <w:r w:rsidRPr="00EC0229">
        <w:rPr>
          <w:rFonts w:cs="Times New Roman"/>
          <w:i/>
          <w:szCs w:val="24"/>
        </w:rPr>
        <w:t>wics</w:t>
      </w:r>
      <w:r w:rsidRPr="00EC0229">
        <w:rPr>
          <w:rFonts w:cs="Times New Roman"/>
          <w:szCs w:val="24"/>
        </w:rPr>
        <w:t xml:space="preserve"> ‘did indeed trade places.’</w:t>
      </w:r>
      <w:r w:rsidRPr="00EC0229">
        <w:rPr>
          <w:rStyle w:val="FootnoteReference"/>
          <w:rFonts w:cs="Times New Roman"/>
          <w:szCs w:val="24"/>
        </w:rPr>
        <w:t xml:space="preserve"> </w:t>
      </w:r>
      <w:r w:rsidRPr="00EC0229">
        <w:rPr>
          <w:rStyle w:val="FootnoteReference"/>
          <w:rFonts w:cs="Times New Roman"/>
          <w:szCs w:val="24"/>
        </w:rPr>
        <w:footnoteReference w:id="692"/>
      </w:r>
      <w:r w:rsidRPr="00EC0229">
        <w:rPr>
          <w:rFonts w:cs="Times New Roman"/>
          <w:szCs w:val="24"/>
        </w:rPr>
        <w:t xml:space="preserve"> </w:t>
      </w:r>
    </w:p>
    <w:p w14:paraId="26D9493F" w14:textId="77777777" w:rsidR="00A33875" w:rsidRPr="00EC0229" w:rsidRDefault="00A33875" w:rsidP="007600EA">
      <w:pPr>
        <w:autoSpaceDE w:val="0"/>
        <w:autoSpaceDN w:val="0"/>
        <w:adjustRightInd w:val="0"/>
        <w:spacing w:after="0" w:line="360" w:lineRule="auto"/>
      </w:pPr>
    </w:p>
    <w:p w14:paraId="78DBBFFD" w14:textId="36FC4C68" w:rsidR="00A33875" w:rsidRPr="00EC0229" w:rsidRDefault="00A33875" w:rsidP="007600EA">
      <w:pPr>
        <w:pStyle w:val="NoSpacing"/>
        <w:spacing w:line="360" w:lineRule="auto"/>
        <w:rPr>
          <w:rFonts w:cs="Times New Roman"/>
          <w:color w:val="FF0000"/>
        </w:rPr>
      </w:pPr>
      <w:r w:rsidRPr="00EC0229">
        <w:rPr>
          <w:rFonts w:cs="Times New Roman"/>
        </w:rPr>
        <w:t>It may be that this concept can be taken back in time in that Dorestad’s rise dates from Northumbria</w:t>
      </w:r>
      <w:r w:rsidR="00584C42" w:rsidRPr="00EC0229">
        <w:rPr>
          <w:rFonts w:cs="Times New Roman"/>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rPr>
        <w:fldChar w:fldCharType="end"/>
      </w:r>
      <w:r w:rsidRPr="00EC0229">
        <w:rPr>
          <w:rFonts w:cs="Times New Roman"/>
        </w:rPr>
        <w:t>’s decline following the 793 Viking</w:t>
      </w:r>
      <w:r w:rsidR="00F204A1" w:rsidRPr="00EC0229">
        <w:rPr>
          <w:rFonts w:cs="Times New Roman"/>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rFonts w:cs="Times New Roman"/>
        </w:rPr>
        <w:fldChar w:fldCharType="end"/>
      </w:r>
      <w:r w:rsidRPr="00EC0229">
        <w:rPr>
          <w:rFonts w:cs="Times New Roman"/>
        </w:rPr>
        <w:t xml:space="preserve"> raid on Lindisfarne</w:t>
      </w:r>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rFonts w:cs="Times New Roman"/>
        </w:rPr>
        <w:fldChar w:fldCharType="end"/>
      </w:r>
      <w:r w:rsidRPr="00EC0229">
        <w:rPr>
          <w:rFonts w:cs="Times New Roman"/>
        </w:rPr>
        <w:t>, The consequential loss of commercial confidence led to a steep decline in trade and, therefore, in coin production. The Council of Frankfurt</w:t>
      </w:r>
      <w:r w:rsidR="004C29A9" w:rsidRPr="00EC0229">
        <w:rPr>
          <w:rFonts w:cs="Times New Roman"/>
        </w:rPr>
        <w:fldChar w:fldCharType="begin"/>
      </w:r>
      <w:r w:rsidR="004C29A9" w:rsidRPr="00EC0229">
        <w:instrText xml:space="preserve"> XE "</w:instrText>
      </w:r>
      <w:r w:rsidR="004C29A9" w:rsidRPr="00EC0229">
        <w:rPr>
          <w:rStyle w:val="Hyperlink"/>
          <w:rFonts w:cs="Times New Roman"/>
          <w:szCs w:val="24"/>
          <w:u w:val="none"/>
        </w:rPr>
        <w:instrText>Council of Frankfurt</w:instrText>
      </w:r>
      <w:r w:rsidR="004C29A9" w:rsidRPr="00EC0229">
        <w:instrText xml:space="preserve">" </w:instrText>
      </w:r>
      <w:r w:rsidR="004C29A9" w:rsidRPr="00EC0229">
        <w:rPr>
          <w:rFonts w:cs="Times New Roman"/>
        </w:rPr>
        <w:fldChar w:fldCharType="end"/>
      </w:r>
      <w:r w:rsidRPr="00EC0229">
        <w:rPr>
          <w:rFonts w:cs="Times New Roman"/>
        </w:rPr>
        <w:t xml:space="preserve"> (May 794</w:t>
      </w:r>
      <w:r w:rsidR="00DF5DEE" w:rsidRPr="00EC0229">
        <w:rPr>
          <w:rFonts w:cs="Times New Roman"/>
        </w:rPr>
        <w:t xml:space="preserve">, </w:t>
      </w:r>
      <w:r w:rsidR="00DF5DEE" w:rsidRPr="00EC0229">
        <w:rPr>
          <w:rFonts w:cs="Times New Roman"/>
        </w:rPr>
        <w:fldChar w:fldCharType="begin"/>
      </w:r>
      <w:r w:rsidR="00DF5DEE" w:rsidRPr="00EC0229">
        <w:rPr>
          <w:rFonts w:cs="Times New Roman"/>
        </w:rPr>
        <w:instrText xml:space="preserve"> PAGEREF CouncilofFrankfurt \h </w:instrText>
      </w:r>
      <w:r w:rsidR="00DF5DEE" w:rsidRPr="00EC0229">
        <w:rPr>
          <w:rFonts w:cs="Times New Roman"/>
        </w:rPr>
      </w:r>
      <w:r w:rsidR="00DF5DEE" w:rsidRPr="00EC0229">
        <w:rPr>
          <w:rFonts w:cs="Times New Roman"/>
        </w:rPr>
        <w:fldChar w:fldCharType="separate"/>
      </w:r>
      <w:r w:rsidR="0012026B">
        <w:rPr>
          <w:rFonts w:cs="Times New Roman"/>
          <w:noProof/>
        </w:rPr>
        <w:t>107</w:t>
      </w:r>
      <w:r w:rsidR="00DF5DEE" w:rsidRPr="00EC0229">
        <w:rPr>
          <w:rFonts w:cs="Times New Roman"/>
        </w:rPr>
        <w:fldChar w:fldCharType="end"/>
      </w:r>
      <w:r w:rsidRPr="00EC0229">
        <w:rPr>
          <w:rFonts w:cs="Times New Roman"/>
        </w:rPr>
        <w:t xml:space="preserve">) may have stimulated Dorestad to seek alternative outlets for its trade and increase commercial intercourse with </w:t>
      </w:r>
      <w:r w:rsidRPr="00EC0229">
        <w:rPr>
          <w:rFonts w:cs="Times New Roman"/>
          <w:color w:val="000000" w:themeColor="text1"/>
        </w:rPr>
        <w:t>Scandinavia</w:t>
      </w:r>
      <w:r w:rsidR="00F204A1" w:rsidRPr="00EC0229">
        <w:rPr>
          <w:rFonts w:cs="Times New Roman"/>
          <w:color w:val="000000" w:themeColor="text1"/>
        </w:rPr>
        <w:fldChar w:fldCharType="begin"/>
      </w:r>
      <w:r w:rsidR="00F204A1" w:rsidRPr="00EC0229">
        <w:instrText xml:space="preserve"> XE "</w:instrText>
      </w:r>
      <w:r w:rsidR="00F204A1" w:rsidRPr="00EC0229">
        <w:rPr>
          <w:rStyle w:val="Hyperlink"/>
          <w:noProof/>
          <w:u w:val="none"/>
        </w:rPr>
        <w:instrText>Scandinavia</w:instrText>
      </w:r>
      <w:r w:rsidR="00F204A1" w:rsidRPr="00EC0229">
        <w:instrText xml:space="preserve">" </w:instrText>
      </w:r>
      <w:r w:rsidR="00F204A1" w:rsidRPr="00EC0229">
        <w:rPr>
          <w:rFonts w:cs="Times New Roman"/>
          <w:color w:val="000000" w:themeColor="text1"/>
        </w:rPr>
        <w:fldChar w:fldCharType="end"/>
      </w:r>
      <w:r w:rsidRPr="00EC0229">
        <w:rPr>
          <w:rFonts w:cs="Times New Roman"/>
          <w:color w:val="000000" w:themeColor="text1"/>
        </w:rPr>
        <w:t xml:space="preserve">. </w:t>
      </w:r>
      <w:r w:rsidRPr="00EC0229">
        <w:t xml:space="preserve">Viking incursions </w:t>
      </w:r>
      <w:r w:rsidRPr="00EC0229">
        <w:rPr>
          <w:szCs w:val="24"/>
        </w:rPr>
        <w:t xml:space="preserve">and Scandinavian </w:t>
      </w:r>
      <w:r w:rsidR="003F2041" w:rsidRPr="00EC0229">
        <w:rPr>
          <w:szCs w:val="24"/>
        </w:rPr>
        <w:t>monetiz</w:t>
      </w:r>
      <w:r w:rsidRPr="00EC0229">
        <w:rPr>
          <w:szCs w:val="24"/>
        </w:rPr>
        <w:t>ation</w:t>
      </w:r>
      <w:r w:rsidR="008960AE" w:rsidRPr="00EC0229">
        <w:rPr>
          <w:szCs w:val="24"/>
        </w:rPr>
        <w:fldChar w:fldCharType="begin"/>
      </w:r>
      <w:r w:rsidR="008960AE" w:rsidRPr="00EC0229">
        <w:instrText xml:space="preserve"> XE "monetization" </w:instrText>
      </w:r>
      <w:r w:rsidR="008960AE" w:rsidRPr="00EC0229">
        <w:rPr>
          <w:szCs w:val="24"/>
        </w:rPr>
        <w:fldChar w:fldCharType="end"/>
      </w:r>
      <w:r w:rsidRPr="00EC0229">
        <w:rPr>
          <w:szCs w:val="24"/>
        </w:rPr>
        <w:t xml:space="preserve"> </w:t>
      </w:r>
      <w:r w:rsidR="00127EC2" w:rsidRPr="00EC0229">
        <w:rPr>
          <w:szCs w:val="24"/>
        </w:rPr>
        <w:t>is</w:t>
      </w:r>
      <w:r w:rsidR="00127EC2" w:rsidRPr="00EC0229">
        <w:rPr>
          <w:rFonts w:cs="Times New Roman"/>
          <w:color w:val="000000" w:themeColor="text1"/>
        </w:rPr>
        <w:t xml:space="preserve"> discussed </w:t>
      </w:r>
      <w:r w:rsidR="00DF5DEE" w:rsidRPr="00EC0229">
        <w:rPr>
          <w:szCs w:val="24"/>
        </w:rPr>
        <w:t xml:space="preserve">at page </w:t>
      </w:r>
      <w:r w:rsidR="00DF5DEE" w:rsidRPr="00EC0229">
        <w:rPr>
          <w:szCs w:val="24"/>
        </w:rPr>
        <w:fldChar w:fldCharType="begin"/>
      </w:r>
      <w:r w:rsidR="00DF5DEE" w:rsidRPr="00EC0229">
        <w:rPr>
          <w:szCs w:val="24"/>
        </w:rPr>
        <w:instrText xml:space="preserve"> PAGEREF Scandinavianmonetization \h </w:instrText>
      </w:r>
      <w:r w:rsidR="00DF5DEE" w:rsidRPr="00EC0229">
        <w:rPr>
          <w:szCs w:val="24"/>
        </w:rPr>
      </w:r>
      <w:r w:rsidR="00DF5DEE" w:rsidRPr="00EC0229">
        <w:rPr>
          <w:szCs w:val="24"/>
        </w:rPr>
        <w:fldChar w:fldCharType="separate"/>
      </w:r>
      <w:r w:rsidR="0012026B">
        <w:rPr>
          <w:noProof/>
          <w:szCs w:val="24"/>
        </w:rPr>
        <w:t>71</w:t>
      </w:r>
      <w:r w:rsidR="00DF5DEE" w:rsidRPr="00EC0229">
        <w:rPr>
          <w:szCs w:val="24"/>
        </w:rPr>
        <w:fldChar w:fldCharType="end"/>
      </w:r>
      <w:r w:rsidR="00DF5DEE" w:rsidRPr="00EC0229">
        <w:rPr>
          <w:szCs w:val="24"/>
        </w:rPr>
        <w:t>.</w:t>
      </w:r>
    </w:p>
    <w:p w14:paraId="21613F67" w14:textId="77777777" w:rsidR="00A33875" w:rsidRPr="00EC0229" w:rsidRDefault="00A33875" w:rsidP="007600EA">
      <w:pPr>
        <w:pStyle w:val="NoSpacing"/>
        <w:spacing w:line="360" w:lineRule="auto"/>
      </w:pPr>
    </w:p>
    <w:p w14:paraId="64B70E9A" w14:textId="29BCA144" w:rsidR="00AF30EB" w:rsidRPr="00EC0229" w:rsidRDefault="00217AC6" w:rsidP="007600EA">
      <w:pPr>
        <w:pStyle w:val="NoSpacing"/>
        <w:spacing w:line="360" w:lineRule="auto"/>
        <w:rPr>
          <w:color w:val="000000" w:themeColor="text1"/>
        </w:rPr>
        <w:sectPr w:rsidR="00AF30EB" w:rsidRPr="00EC0229" w:rsidSect="00FA5473">
          <w:pgSz w:w="11906" w:h="16838"/>
          <w:pgMar w:top="1440" w:right="1440" w:bottom="1440" w:left="1440" w:header="708" w:footer="708" w:gutter="0"/>
          <w:pgNumType w:start="1"/>
          <w:cols w:space="708"/>
          <w:titlePg/>
          <w:docGrid w:linePitch="360"/>
        </w:sectPr>
      </w:pPr>
      <w:r w:rsidRPr="00EC0229">
        <w:rPr>
          <w:szCs w:val="24"/>
        </w:rPr>
        <w:lastRenderedPageBreak/>
        <w:t>M</w:t>
      </w:r>
      <w:r w:rsidR="00A33875" w:rsidRPr="00EC0229">
        <w:rPr>
          <w:szCs w:val="24"/>
        </w:rPr>
        <w:t xml:space="preserve">odels of </w:t>
      </w:r>
      <w:r w:rsidR="003F2041" w:rsidRPr="00EC0229">
        <w:rPr>
          <w:szCs w:val="24"/>
        </w:rPr>
        <w:t>monetiz</w:t>
      </w:r>
      <w:r w:rsidR="00A33875" w:rsidRPr="00EC0229">
        <w:rPr>
          <w:szCs w:val="24"/>
        </w:rPr>
        <w:t>ation</w:t>
      </w:r>
      <w:r w:rsidR="008960AE" w:rsidRPr="00EC0229">
        <w:rPr>
          <w:szCs w:val="24"/>
        </w:rPr>
        <w:fldChar w:fldCharType="begin"/>
      </w:r>
      <w:r w:rsidR="008960AE" w:rsidRPr="00EC0229">
        <w:instrText xml:space="preserve"> XE "monetization" </w:instrText>
      </w:r>
      <w:r w:rsidR="008960AE" w:rsidRPr="00EC0229">
        <w:rPr>
          <w:szCs w:val="24"/>
        </w:rPr>
        <w:fldChar w:fldCharType="end"/>
      </w:r>
      <w:r w:rsidR="00A33875" w:rsidRPr="00EC0229">
        <w:rPr>
          <w:szCs w:val="24"/>
        </w:rPr>
        <w:t xml:space="preserve"> </w:t>
      </w:r>
      <w:r w:rsidR="00862F15" w:rsidRPr="00EC0229">
        <w:rPr>
          <w:szCs w:val="24"/>
        </w:rPr>
        <w:t>and</w:t>
      </w:r>
      <w:r w:rsidR="00A33875" w:rsidRPr="00EC0229">
        <w:rPr>
          <w:szCs w:val="24"/>
        </w:rPr>
        <w:t xml:space="preserve"> markets</w:t>
      </w:r>
      <w:r w:rsidR="00A33875" w:rsidRPr="00EC0229">
        <w:rPr>
          <w:color w:val="000000" w:themeColor="text1"/>
          <w:szCs w:val="24"/>
        </w:rPr>
        <w:t xml:space="preserve"> in theory </w:t>
      </w:r>
      <w:r w:rsidR="00862F15" w:rsidRPr="00EC0229">
        <w:rPr>
          <w:color w:val="000000" w:themeColor="text1"/>
          <w:szCs w:val="24"/>
        </w:rPr>
        <w:t>and</w:t>
      </w:r>
      <w:r w:rsidR="00A33875" w:rsidRPr="00EC0229">
        <w:rPr>
          <w:color w:val="000000" w:themeColor="text1"/>
          <w:szCs w:val="24"/>
        </w:rPr>
        <w:t xml:space="preserve"> practice</w:t>
      </w:r>
      <w:r w:rsidRPr="00EC0229">
        <w:rPr>
          <w:color w:val="000000" w:themeColor="text1"/>
        </w:rPr>
        <w:t xml:space="preserve">, have now been </w:t>
      </w:r>
      <w:r w:rsidRPr="00EC0229">
        <w:rPr>
          <w:color w:val="000000" w:themeColor="text1"/>
          <w:szCs w:val="24"/>
        </w:rPr>
        <w:t>reviewed</w:t>
      </w:r>
      <w:r w:rsidR="002E5552" w:rsidRPr="00EC0229">
        <w:rPr>
          <w:color w:val="000000" w:themeColor="text1"/>
          <w:szCs w:val="24"/>
        </w:rPr>
        <w:t xml:space="preserve"> (</w:t>
      </w:r>
      <w:r w:rsidR="002E5552" w:rsidRPr="00EC0229">
        <w:rPr>
          <w:color w:val="000000" w:themeColor="text1"/>
          <w:szCs w:val="24"/>
        </w:rPr>
        <w:fldChar w:fldCharType="begin"/>
      </w:r>
      <w:r w:rsidR="002E5552" w:rsidRPr="00EC0229">
        <w:rPr>
          <w:color w:val="000000" w:themeColor="text1"/>
          <w:szCs w:val="24"/>
        </w:rPr>
        <w:instrText xml:space="preserve"> PAGEREF Chapter2 \h </w:instrText>
      </w:r>
      <w:r w:rsidR="002E5552" w:rsidRPr="00EC0229">
        <w:rPr>
          <w:color w:val="000000" w:themeColor="text1"/>
          <w:szCs w:val="24"/>
        </w:rPr>
      </w:r>
      <w:r w:rsidR="002E5552" w:rsidRPr="00EC0229">
        <w:rPr>
          <w:color w:val="000000" w:themeColor="text1"/>
          <w:szCs w:val="24"/>
        </w:rPr>
        <w:fldChar w:fldCharType="separate"/>
      </w:r>
      <w:r w:rsidR="0012026B">
        <w:rPr>
          <w:noProof/>
          <w:color w:val="000000" w:themeColor="text1"/>
          <w:szCs w:val="24"/>
        </w:rPr>
        <w:t>19</w:t>
      </w:r>
      <w:r w:rsidR="002E5552" w:rsidRPr="00EC0229">
        <w:rPr>
          <w:color w:val="000000" w:themeColor="text1"/>
          <w:szCs w:val="24"/>
        </w:rPr>
        <w:fldChar w:fldCharType="end"/>
      </w:r>
      <w:r w:rsidR="002E5552" w:rsidRPr="00EC0229">
        <w:rPr>
          <w:color w:val="000000" w:themeColor="text1"/>
          <w:szCs w:val="24"/>
        </w:rPr>
        <w:t>)</w:t>
      </w:r>
      <w:r w:rsidR="00A33875" w:rsidRPr="00EC0229">
        <w:rPr>
          <w:color w:val="000000" w:themeColor="text1"/>
          <w:szCs w:val="24"/>
        </w:rPr>
        <w:t xml:space="preserve">, an </w:t>
      </w:r>
      <w:r w:rsidR="00A33875" w:rsidRPr="00EC0229">
        <w:rPr>
          <w:szCs w:val="24"/>
        </w:rPr>
        <w:t xml:space="preserve">hypothesis of </w:t>
      </w:r>
      <w:r w:rsidR="003F2041" w:rsidRPr="00EC0229">
        <w:rPr>
          <w:szCs w:val="24"/>
        </w:rPr>
        <w:t>monetiz</w:t>
      </w:r>
      <w:r w:rsidR="00A33875" w:rsidRPr="00EC0229">
        <w:rPr>
          <w:szCs w:val="24"/>
        </w:rPr>
        <w:t>ation</w:t>
      </w:r>
      <w:r w:rsidR="008960AE" w:rsidRPr="00EC0229">
        <w:rPr>
          <w:szCs w:val="24"/>
        </w:rPr>
        <w:fldChar w:fldCharType="begin"/>
      </w:r>
      <w:r w:rsidR="008960AE" w:rsidRPr="00EC0229">
        <w:instrText xml:space="preserve"> XE "</w:instrText>
      </w:r>
      <w:r w:rsidR="008960AE" w:rsidRPr="00EC0229">
        <w:rPr>
          <w:rFonts w:cs="Times New Roman"/>
          <w:szCs w:val="24"/>
        </w:rPr>
        <w:instrText>hypothesis of monetization</w:instrText>
      </w:r>
      <w:r w:rsidR="008960AE" w:rsidRPr="00EC0229">
        <w:instrText xml:space="preserve">" </w:instrText>
      </w:r>
      <w:r w:rsidR="008960AE" w:rsidRPr="00EC0229">
        <w:rPr>
          <w:szCs w:val="24"/>
        </w:rPr>
        <w:fldChar w:fldCharType="end"/>
      </w:r>
      <w:r w:rsidR="00F9138C" w:rsidRPr="00EC0229">
        <w:rPr>
          <w:color w:val="000000" w:themeColor="text1"/>
          <w:szCs w:val="24"/>
        </w:rPr>
        <w:t xml:space="preserve"> </w:t>
      </w:r>
      <w:r w:rsidRPr="00EC0229">
        <w:rPr>
          <w:color w:val="000000" w:themeColor="text1"/>
          <w:szCs w:val="24"/>
        </w:rPr>
        <w:t>postulated</w:t>
      </w:r>
      <w:r w:rsidR="002E5552" w:rsidRPr="00EC0229">
        <w:rPr>
          <w:color w:val="000000" w:themeColor="text1"/>
          <w:szCs w:val="24"/>
        </w:rPr>
        <w:t xml:space="preserve"> (</w:t>
      </w:r>
      <w:r w:rsidR="002E5552" w:rsidRPr="00EC0229">
        <w:rPr>
          <w:color w:val="000000" w:themeColor="text1"/>
          <w:szCs w:val="24"/>
        </w:rPr>
        <w:fldChar w:fldCharType="begin"/>
      </w:r>
      <w:r w:rsidR="002E5552" w:rsidRPr="00EC0229">
        <w:rPr>
          <w:color w:val="000000" w:themeColor="text1"/>
          <w:szCs w:val="24"/>
        </w:rPr>
        <w:instrText xml:space="preserve"> PAGEREF hypothesis \h </w:instrText>
      </w:r>
      <w:r w:rsidR="002E5552" w:rsidRPr="00EC0229">
        <w:rPr>
          <w:color w:val="000000" w:themeColor="text1"/>
          <w:szCs w:val="24"/>
        </w:rPr>
      </w:r>
      <w:r w:rsidR="002E5552" w:rsidRPr="00EC0229">
        <w:rPr>
          <w:color w:val="000000" w:themeColor="text1"/>
          <w:szCs w:val="24"/>
        </w:rPr>
        <w:fldChar w:fldCharType="separate"/>
      </w:r>
      <w:r w:rsidR="0012026B">
        <w:rPr>
          <w:noProof/>
          <w:color w:val="000000" w:themeColor="text1"/>
          <w:szCs w:val="24"/>
        </w:rPr>
        <w:t>77</w:t>
      </w:r>
      <w:r w:rsidR="002E5552" w:rsidRPr="00EC0229">
        <w:rPr>
          <w:color w:val="000000" w:themeColor="text1"/>
          <w:szCs w:val="24"/>
        </w:rPr>
        <w:fldChar w:fldCharType="end"/>
      </w:r>
      <w:r w:rsidR="002E5552" w:rsidRPr="00EC0229">
        <w:rPr>
          <w:color w:val="000000" w:themeColor="text1"/>
          <w:szCs w:val="24"/>
        </w:rPr>
        <w:t>)</w:t>
      </w:r>
      <w:r w:rsidRPr="00EC0229">
        <w:rPr>
          <w:color w:val="000000" w:themeColor="text1"/>
          <w:szCs w:val="24"/>
        </w:rPr>
        <w:t>,</w:t>
      </w:r>
      <w:r w:rsidRPr="00EC0229">
        <w:rPr>
          <w:color w:val="000000" w:themeColor="text1"/>
        </w:rPr>
        <w:t xml:space="preserve"> </w:t>
      </w:r>
      <w:r w:rsidR="00A33875" w:rsidRPr="00EC0229">
        <w:rPr>
          <w:color w:val="000000" w:themeColor="text1"/>
          <w:szCs w:val="24"/>
        </w:rPr>
        <w:t xml:space="preserve">the </w:t>
      </w:r>
      <w:r w:rsidR="002744B1" w:rsidRPr="00EC0229">
        <w:rPr>
          <w:color w:val="000000" w:themeColor="text1"/>
        </w:rPr>
        <w:t>historical background</w:t>
      </w:r>
      <w:r w:rsidR="00EF2EAF" w:rsidRPr="00EC0229">
        <w:rPr>
          <w:color w:val="000000" w:themeColor="text1"/>
        </w:rPr>
        <w:t xml:space="preserve"> </w:t>
      </w:r>
      <w:r w:rsidRPr="00EC0229">
        <w:rPr>
          <w:color w:val="000000" w:themeColor="text1"/>
        </w:rPr>
        <w:t>described</w:t>
      </w:r>
      <w:r w:rsidR="002E5552" w:rsidRPr="00EC0229">
        <w:rPr>
          <w:color w:val="000000" w:themeColor="text1"/>
        </w:rPr>
        <w:t xml:space="preserve"> (</w:t>
      </w:r>
      <w:r w:rsidR="002E5552" w:rsidRPr="00EC0229">
        <w:rPr>
          <w:color w:val="000000" w:themeColor="text1"/>
        </w:rPr>
        <w:fldChar w:fldCharType="begin"/>
      </w:r>
      <w:r w:rsidR="002E5552" w:rsidRPr="00EC0229">
        <w:rPr>
          <w:color w:val="000000" w:themeColor="text1"/>
        </w:rPr>
        <w:instrText xml:space="preserve"> PAGEREF Chapter5 \h </w:instrText>
      </w:r>
      <w:r w:rsidR="002E5552" w:rsidRPr="00EC0229">
        <w:rPr>
          <w:color w:val="000000" w:themeColor="text1"/>
        </w:rPr>
      </w:r>
      <w:r w:rsidR="002E5552" w:rsidRPr="00EC0229">
        <w:rPr>
          <w:color w:val="000000" w:themeColor="text1"/>
        </w:rPr>
        <w:fldChar w:fldCharType="separate"/>
      </w:r>
      <w:r w:rsidR="0012026B">
        <w:rPr>
          <w:noProof/>
          <w:color w:val="000000" w:themeColor="text1"/>
        </w:rPr>
        <w:t>83</w:t>
      </w:r>
      <w:r w:rsidR="002E5552" w:rsidRPr="00EC0229">
        <w:rPr>
          <w:color w:val="000000" w:themeColor="text1"/>
        </w:rPr>
        <w:fldChar w:fldCharType="end"/>
      </w:r>
      <w:r w:rsidR="002E5552" w:rsidRPr="00EC0229">
        <w:rPr>
          <w:color w:val="000000" w:themeColor="text1"/>
        </w:rPr>
        <w:t>)</w:t>
      </w:r>
      <w:r w:rsidRPr="00EC0229">
        <w:rPr>
          <w:color w:val="000000" w:themeColor="text1"/>
        </w:rPr>
        <w:t xml:space="preserve">, </w:t>
      </w:r>
      <w:r w:rsidR="00A33875" w:rsidRPr="00EC0229">
        <w:rPr>
          <w:color w:val="000000" w:themeColor="text1"/>
        </w:rPr>
        <w:t xml:space="preserve">the picture </w:t>
      </w:r>
      <w:r w:rsidRPr="00EC0229">
        <w:rPr>
          <w:color w:val="000000" w:themeColor="text1"/>
        </w:rPr>
        <w:t xml:space="preserve">has been imbued </w:t>
      </w:r>
      <w:r w:rsidR="00A33875" w:rsidRPr="00EC0229">
        <w:rPr>
          <w:color w:val="000000" w:themeColor="text1"/>
        </w:rPr>
        <w:t>with detail from one of the most prolific and diagnostic of material sources – the numismatic evidence</w:t>
      </w:r>
      <w:r w:rsidR="002E7828" w:rsidRPr="00EC0229">
        <w:rPr>
          <w:color w:val="000000" w:themeColor="text1"/>
        </w:rPr>
        <w:t>,</w:t>
      </w:r>
      <w:r w:rsidR="00A33875" w:rsidRPr="00EC0229">
        <w:rPr>
          <w:color w:val="000000" w:themeColor="text1"/>
        </w:rPr>
        <w:t xml:space="preserve"> whether</w:t>
      </w:r>
      <w:r w:rsidR="00A33875" w:rsidRPr="00EC0229">
        <w:rPr>
          <w:rFonts w:cs="Times New Roman"/>
          <w:color w:val="000000" w:themeColor="text1"/>
        </w:rPr>
        <w:t xml:space="preserve"> re-constructed from the archaeological</w:t>
      </w:r>
      <w:r w:rsidR="008960AE" w:rsidRPr="00EC0229">
        <w:rPr>
          <w:rFonts w:cs="Times New Roman"/>
          <w:color w:val="000000" w:themeColor="text1"/>
        </w:rPr>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rPr>
          <w:rFonts w:cs="Times New Roman"/>
          <w:color w:val="000000" w:themeColor="text1"/>
        </w:rPr>
        <w:fldChar w:fldCharType="end"/>
      </w:r>
      <w:r w:rsidR="00A33875" w:rsidRPr="00EC0229">
        <w:rPr>
          <w:rFonts w:cs="Times New Roman"/>
          <w:color w:val="000000" w:themeColor="text1"/>
        </w:rPr>
        <w:t xml:space="preserve"> record or </w:t>
      </w:r>
      <w:r w:rsidR="00A33875" w:rsidRPr="00EC0229">
        <w:rPr>
          <w:color w:val="000000" w:themeColor="text1"/>
        </w:rPr>
        <w:t>unearthed by metal detection</w:t>
      </w:r>
      <w:r w:rsidR="000632D3" w:rsidRPr="00EC0229">
        <w:rPr>
          <w:color w:val="000000" w:themeColor="text1"/>
        </w:rPr>
        <w:t>, and a chronological framework constructed</w:t>
      </w:r>
      <w:r w:rsidR="002E7828" w:rsidRPr="00EC0229">
        <w:rPr>
          <w:color w:val="000000" w:themeColor="text1"/>
        </w:rPr>
        <w:t xml:space="preserve">. </w:t>
      </w:r>
      <w:r w:rsidR="002E7828" w:rsidRPr="00EC0229">
        <w:rPr>
          <w:color w:val="000000" w:themeColor="text1"/>
          <w:szCs w:val="24"/>
        </w:rPr>
        <w:t>I</w:t>
      </w:r>
      <w:r w:rsidR="00A33875" w:rsidRPr="00EC0229">
        <w:rPr>
          <w:color w:val="000000" w:themeColor="text1"/>
          <w:szCs w:val="24"/>
        </w:rPr>
        <w:t xml:space="preserve">n </w:t>
      </w:r>
      <w:r w:rsidR="00A33875" w:rsidRPr="00EC0229">
        <w:rPr>
          <w:szCs w:val="24"/>
        </w:rPr>
        <w:t>Part Two</w:t>
      </w:r>
      <w:r w:rsidR="002E7828" w:rsidRPr="00EC0229">
        <w:rPr>
          <w:szCs w:val="24"/>
        </w:rPr>
        <w:t>,</w:t>
      </w:r>
      <w:r w:rsidR="00A33875" w:rsidRPr="00EC0229">
        <w:rPr>
          <w:color w:val="000000" w:themeColor="text1"/>
          <w:szCs w:val="24"/>
        </w:rPr>
        <w:t xml:space="preserve"> </w:t>
      </w:r>
      <w:r w:rsidR="002E7828" w:rsidRPr="00EC0229">
        <w:rPr>
          <w:color w:val="000000" w:themeColor="text1"/>
          <w:szCs w:val="24"/>
        </w:rPr>
        <w:t xml:space="preserve">tools </w:t>
      </w:r>
      <w:r w:rsidR="007A11B4" w:rsidRPr="00EC0229">
        <w:rPr>
          <w:color w:val="000000" w:themeColor="text1"/>
          <w:szCs w:val="24"/>
        </w:rPr>
        <w:t>are developed for application in</w:t>
      </w:r>
      <w:r w:rsidR="002E7828" w:rsidRPr="00EC0229">
        <w:rPr>
          <w:color w:val="000000" w:themeColor="text1"/>
          <w:szCs w:val="24"/>
        </w:rPr>
        <w:t xml:space="preserve"> the case studies </w:t>
      </w:r>
      <w:r w:rsidR="00F9138C" w:rsidRPr="00EC0229">
        <w:rPr>
          <w:color w:val="000000" w:themeColor="text1"/>
          <w:szCs w:val="24"/>
        </w:rPr>
        <w:t>(</w:t>
      </w:r>
      <w:r w:rsidR="000B0D99" w:rsidRPr="00EC0229">
        <w:rPr>
          <w:color w:val="000000" w:themeColor="text1"/>
          <w:szCs w:val="24"/>
        </w:rPr>
        <w:fldChar w:fldCharType="begin"/>
      </w:r>
      <w:r w:rsidR="000B0D99" w:rsidRPr="00EC0229">
        <w:rPr>
          <w:color w:val="000000" w:themeColor="text1"/>
          <w:szCs w:val="24"/>
        </w:rPr>
        <w:instrText xml:space="preserve"> PAGEREF casestudies \h </w:instrText>
      </w:r>
      <w:r w:rsidR="000B0D99" w:rsidRPr="00EC0229">
        <w:rPr>
          <w:color w:val="000000" w:themeColor="text1"/>
          <w:szCs w:val="24"/>
        </w:rPr>
      </w:r>
      <w:r w:rsidR="000B0D99" w:rsidRPr="00EC0229">
        <w:rPr>
          <w:color w:val="000000" w:themeColor="text1"/>
          <w:szCs w:val="24"/>
        </w:rPr>
        <w:fldChar w:fldCharType="separate"/>
      </w:r>
      <w:r w:rsidR="0012026B">
        <w:rPr>
          <w:noProof/>
          <w:color w:val="000000" w:themeColor="text1"/>
          <w:szCs w:val="24"/>
        </w:rPr>
        <w:t>178</w:t>
      </w:r>
      <w:r w:rsidR="000B0D99" w:rsidRPr="00EC0229">
        <w:rPr>
          <w:color w:val="000000" w:themeColor="text1"/>
          <w:szCs w:val="24"/>
        </w:rPr>
        <w:fldChar w:fldCharType="end"/>
      </w:r>
      <w:r w:rsidR="00F9138C" w:rsidRPr="00EC0229">
        <w:rPr>
          <w:color w:val="000000" w:themeColor="text1"/>
          <w:szCs w:val="24"/>
        </w:rPr>
        <w:t>)</w:t>
      </w:r>
      <w:r w:rsidR="007A11B4" w:rsidRPr="00EC0229">
        <w:rPr>
          <w:color w:val="000000" w:themeColor="text1"/>
          <w:szCs w:val="24"/>
        </w:rPr>
        <w:t>,</w:t>
      </w:r>
      <w:r w:rsidR="00F9138C" w:rsidRPr="00EC0229">
        <w:rPr>
          <w:color w:val="000000" w:themeColor="text1"/>
          <w:szCs w:val="24"/>
        </w:rPr>
        <w:t xml:space="preserve"> </w:t>
      </w:r>
      <w:r w:rsidR="00A33875" w:rsidRPr="00EC0229">
        <w:rPr>
          <w:color w:val="000000" w:themeColor="text1"/>
          <w:szCs w:val="24"/>
        </w:rPr>
        <w:t>to assess the</w:t>
      </w:r>
      <w:r w:rsidR="00A33875" w:rsidRPr="00EC0229">
        <w:rPr>
          <w:rFonts w:cs="Times New Roman"/>
          <w:color w:val="000000" w:themeColor="text1"/>
        </w:rPr>
        <w:t xml:space="preserve"> </w:t>
      </w:r>
      <w:r w:rsidR="00A972E7" w:rsidRPr="00EC0229">
        <w:rPr>
          <w:rFonts w:cs="Times New Roman"/>
          <w:color w:val="000000" w:themeColor="text1"/>
        </w:rPr>
        <w:t>rôle</w:t>
      </w:r>
      <w:r w:rsidR="00A33875" w:rsidRPr="00EC0229">
        <w:rPr>
          <w:rFonts w:cs="Times New Roman"/>
          <w:color w:val="000000" w:themeColor="text1"/>
        </w:rPr>
        <w:t xml:space="preserve"> of coinage in the emerging economic </w:t>
      </w:r>
      <w:r w:rsidR="00A33875" w:rsidRPr="00EC0229">
        <w:rPr>
          <w:color w:val="000000" w:themeColor="text1"/>
        </w:rPr>
        <w:t xml:space="preserve">pattern of </w:t>
      </w:r>
      <w:r w:rsidR="002E7828" w:rsidRPr="00EC0229">
        <w:rPr>
          <w:color w:val="000000" w:themeColor="text1"/>
        </w:rPr>
        <w:t xml:space="preserve">regional </w:t>
      </w:r>
      <w:r w:rsidR="00A33875" w:rsidRPr="00EC0229">
        <w:rPr>
          <w:color w:val="000000" w:themeColor="text1"/>
        </w:rPr>
        <w:t>settlement</w:t>
      </w:r>
      <w:r w:rsidR="00D142DC" w:rsidRPr="00EC0229">
        <w:rPr>
          <w:color w:val="000000" w:themeColor="text1"/>
        </w:rPr>
        <w:fldChar w:fldCharType="begin"/>
      </w:r>
      <w:r w:rsidR="00D142DC" w:rsidRPr="00EC0229">
        <w:instrText xml:space="preserve"> XE "settlement" </w:instrText>
      </w:r>
      <w:r w:rsidR="00D142DC" w:rsidRPr="00EC0229">
        <w:rPr>
          <w:color w:val="000000" w:themeColor="text1"/>
        </w:rPr>
        <w:fldChar w:fldCharType="end"/>
      </w:r>
      <w:r w:rsidR="002E7828" w:rsidRPr="00EC0229">
        <w:rPr>
          <w:color w:val="000000" w:themeColor="text1"/>
        </w:rPr>
        <w:t>.</w:t>
      </w:r>
      <w:bookmarkStart w:id="435" w:name="Chapter9"/>
      <w:bookmarkEnd w:id="435"/>
    </w:p>
    <w:p w14:paraId="34470AD6" w14:textId="77777777" w:rsidR="00475783" w:rsidRPr="00EC0229" w:rsidRDefault="00475783">
      <w:pPr>
        <w:spacing w:line="259" w:lineRule="auto"/>
        <w:jc w:val="left"/>
        <w:rPr>
          <w:rFonts w:eastAsiaTheme="majorEastAsia" w:cs="Times New Roman"/>
          <w:b/>
          <w:color w:val="000000" w:themeColor="text1"/>
          <w:sz w:val="32"/>
          <w:szCs w:val="32"/>
        </w:rPr>
      </w:pPr>
      <w:bookmarkStart w:id="436" w:name="PARTTWO"/>
      <w:bookmarkEnd w:id="436"/>
      <w:r w:rsidRPr="00EC0229">
        <w:rPr>
          <w:rFonts w:cs="Times New Roman"/>
          <w:color w:val="000000" w:themeColor="text1"/>
        </w:rPr>
        <w:br w:type="page"/>
      </w:r>
    </w:p>
    <w:p w14:paraId="43540BD5" w14:textId="26CA2701" w:rsidR="003C197B" w:rsidRPr="00EC0229" w:rsidRDefault="003C197B" w:rsidP="007600EA">
      <w:pPr>
        <w:pStyle w:val="Heading1"/>
        <w:spacing w:line="360" w:lineRule="auto"/>
        <w:rPr>
          <w:rFonts w:cs="Times New Roman"/>
          <w:color w:val="000000" w:themeColor="text1"/>
          <w:szCs w:val="24"/>
        </w:rPr>
      </w:pPr>
      <w:bookmarkStart w:id="437" w:name="_Toc468266816"/>
      <w:r w:rsidRPr="00EC0229">
        <w:rPr>
          <w:rFonts w:cs="Times New Roman"/>
          <w:color w:val="000000" w:themeColor="text1"/>
        </w:rPr>
        <w:lastRenderedPageBreak/>
        <w:t xml:space="preserve">PART TWO: ANALYSIS </w:t>
      </w:r>
      <w:r w:rsidR="00862F15" w:rsidRPr="00EC0229">
        <w:rPr>
          <w:rFonts w:cs="Times New Roman"/>
          <w:color w:val="000000" w:themeColor="text1"/>
          <w:szCs w:val="24"/>
        </w:rPr>
        <w:t>AND</w:t>
      </w:r>
      <w:r w:rsidRPr="00EC0229">
        <w:rPr>
          <w:rFonts w:cs="Times New Roman"/>
          <w:color w:val="000000" w:themeColor="text1"/>
          <w:szCs w:val="24"/>
        </w:rPr>
        <w:t xml:space="preserve"> INTERPRETATION</w:t>
      </w:r>
      <w:bookmarkEnd w:id="437"/>
    </w:p>
    <w:p w14:paraId="0EBE5658" w14:textId="77777777" w:rsidR="00367B56" w:rsidRPr="00EC0229" w:rsidRDefault="00F75300" w:rsidP="007600EA">
      <w:pPr>
        <w:pStyle w:val="NoSpacing"/>
        <w:spacing w:line="360" w:lineRule="auto"/>
        <w:jc w:val="right"/>
        <w:rPr>
          <w:sz w:val="20"/>
          <w:szCs w:val="20"/>
        </w:rPr>
      </w:pPr>
      <w:r w:rsidRPr="00EC0229">
        <w:rPr>
          <w:sz w:val="20"/>
          <w:szCs w:val="20"/>
        </w:rPr>
        <w:t xml:space="preserve">The views I shall present are sufficiently general in nature that they have a fair chance of being true – </w:t>
      </w:r>
    </w:p>
    <w:p w14:paraId="0EBD71C0" w14:textId="0C074A69" w:rsidR="00F75300" w:rsidRPr="00EC0229" w:rsidRDefault="00F75300" w:rsidP="007600EA">
      <w:pPr>
        <w:pStyle w:val="NoSpacing"/>
        <w:spacing w:line="360" w:lineRule="auto"/>
        <w:jc w:val="right"/>
        <w:rPr>
          <w:sz w:val="20"/>
          <w:szCs w:val="20"/>
        </w:rPr>
      </w:pPr>
      <w:r w:rsidRPr="00EC0229">
        <w:rPr>
          <w:sz w:val="20"/>
          <w:szCs w:val="20"/>
        </w:rPr>
        <w:t xml:space="preserve">or, of course, false. </w:t>
      </w:r>
    </w:p>
    <w:p w14:paraId="3A1E7825" w14:textId="05A4FFF0" w:rsidR="00F75300" w:rsidRPr="00EC0229" w:rsidRDefault="00F75300" w:rsidP="007600EA">
      <w:pPr>
        <w:pStyle w:val="NoSpacing"/>
        <w:spacing w:line="360" w:lineRule="auto"/>
        <w:jc w:val="right"/>
        <w:rPr>
          <w:sz w:val="20"/>
          <w:szCs w:val="20"/>
        </w:rPr>
      </w:pPr>
      <w:r w:rsidRPr="00EC0229">
        <w:rPr>
          <w:sz w:val="20"/>
          <w:szCs w:val="20"/>
        </w:rPr>
        <w:t>Thomas Charles-Edwards (1997, 171).</w:t>
      </w:r>
    </w:p>
    <w:p w14:paraId="1B553076" w14:textId="3A759ADD" w:rsidR="00B64290" w:rsidRPr="00EC0229" w:rsidRDefault="003C197B" w:rsidP="00B64290">
      <w:pPr>
        <w:pStyle w:val="NoSpacing"/>
        <w:spacing w:line="360" w:lineRule="auto"/>
      </w:pPr>
      <w:r w:rsidRPr="00EC0229">
        <w:t>Having discussed, in Part One</w:t>
      </w:r>
      <w:r w:rsidR="00CA0C26" w:rsidRPr="00EC0229">
        <w:t xml:space="preserve"> (</w:t>
      </w:r>
      <w:r w:rsidR="002744B1" w:rsidRPr="00EC0229">
        <w:fldChar w:fldCharType="begin"/>
      </w:r>
      <w:r w:rsidR="002744B1" w:rsidRPr="00EC0229">
        <w:instrText xml:space="preserve"> PAGEREF PARTONE \h </w:instrText>
      </w:r>
      <w:r w:rsidR="002744B1" w:rsidRPr="00EC0229">
        <w:fldChar w:fldCharType="separate"/>
      </w:r>
      <w:r w:rsidR="0012026B">
        <w:rPr>
          <w:noProof/>
        </w:rPr>
        <w:t>12</w:t>
      </w:r>
      <w:r w:rsidR="002744B1" w:rsidRPr="00EC0229">
        <w:fldChar w:fldCharType="end"/>
      </w:r>
      <w:r w:rsidR="00CA0C26" w:rsidRPr="00EC0229">
        <w:t>),</w:t>
      </w:r>
      <w:r w:rsidRPr="00EC0229">
        <w:t xml:space="preserve"> the historic</w:t>
      </w:r>
      <w:r w:rsidR="00442EE8" w:rsidRPr="00EC0229">
        <w:t>, economic</w:t>
      </w:r>
      <w:r w:rsidRPr="00EC0229">
        <w:t xml:space="preserve"> and numismatic background </w:t>
      </w:r>
      <w:r w:rsidR="002E5552" w:rsidRPr="00EC0229">
        <w:t xml:space="preserve">to this study, </w:t>
      </w:r>
      <w:r w:rsidRPr="00EC0229">
        <w:t>the quantitative</w:t>
      </w:r>
      <w:r w:rsidR="00F204A1" w:rsidRPr="00EC0229">
        <w:fldChar w:fldCharType="begin"/>
      </w:r>
      <w:r w:rsidR="00F204A1" w:rsidRPr="00EC0229">
        <w:instrText xml:space="preserve"> XE "</w:instrText>
      </w:r>
      <w:r w:rsidR="00F204A1" w:rsidRPr="00EC0229">
        <w:rPr>
          <w:rFonts w:cs="Times New Roman"/>
          <w:noProof/>
        </w:rPr>
        <w:instrText>quantitative</w:instrText>
      </w:r>
      <w:r w:rsidR="00F204A1" w:rsidRPr="00EC0229">
        <w:instrText xml:space="preserve">" </w:instrText>
      </w:r>
      <w:r w:rsidR="00F204A1" w:rsidRPr="00EC0229">
        <w:fldChar w:fldCharType="end"/>
      </w:r>
      <w:r w:rsidRPr="00EC0229">
        <w:t xml:space="preserve"> methodology </w:t>
      </w:r>
      <w:r w:rsidR="00CA0C26" w:rsidRPr="00EC0229">
        <w:t>(</w:t>
      </w:r>
      <w:r w:rsidR="00DF61F5" w:rsidRPr="00EC0229">
        <w:fldChar w:fldCharType="begin"/>
      </w:r>
      <w:r w:rsidR="00DF61F5" w:rsidRPr="00EC0229">
        <w:instrText xml:space="preserve"> PAGEREF quantitativemethodology \h </w:instrText>
      </w:r>
      <w:r w:rsidR="00DF61F5" w:rsidRPr="00EC0229">
        <w:fldChar w:fldCharType="separate"/>
      </w:r>
      <w:r w:rsidR="0012026B">
        <w:rPr>
          <w:noProof/>
        </w:rPr>
        <w:t>155</w:t>
      </w:r>
      <w:r w:rsidR="00DF61F5" w:rsidRPr="00EC0229">
        <w:fldChar w:fldCharType="end"/>
      </w:r>
      <w:r w:rsidR="00CA0C26" w:rsidRPr="00EC0229">
        <w:t>)</w:t>
      </w:r>
      <w:r w:rsidR="002E5552" w:rsidRPr="00EC0229">
        <w:t>,</w:t>
      </w:r>
      <w:r w:rsidR="00CA0C26" w:rsidRPr="00EC0229">
        <w:t xml:space="preserve"> </w:t>
      </w:r>
      <w:r w:rsidRPr="00EC0229">
        <w:t>involving the construct</w:t>
      </w:r>
      <w:r w:rsidR="00242AE1" w:rsidRPr="00EC0229">
        <w:t>ion</w:t>
      </w:r>
      <w:r w:rsidRPr="00EC0229">
        <w:t xml:space="preserve"> of numismatic and artefactual </w:t>
      </w:r>
      <w:r w:rsidR="00497AC3" w:rsidRPr="00EC0229">
        <w:t>dataset</w:t>
      </w:r>
      <w:r w:rsidRPr="00EC0229">
        <w:t>s and the qualitative</w:t>
      </w:r>
      <w:r w:rsidR="006B1593" w:rsidRPr="00EC0229">
        <w:fldChar w:fldCharType="begin"/>
      </w:r>
      <w:r w:rsidR="006B1593" w:rsidRPr="00EC0229">
        <w:instrText xml:space="preserve"> XE "</w:instrText>
      </w:r>
      <w:r w:rsidR="006B1593" w:rsidRPr="00EC0229">
        <w:rPr>
          <w:rFonts w:cs="Times New Roman"/>
          <w:noProof/>
        </w:rPr>
        <w:instrText>qualitative</w:instrText>
      </w:r>
      <w:r w:rsidR="006B1593" w:rsidRPr="00EC0229">
        <w:instrText xml:space="preserve">" </w:instrText>
      </w:r>
      <w:r w:rsidR="006B1593" w:rsidRPr="00EC0229">
        <w:fldChar w:fldCharType="end"/>
      </w:r>
      <w:r w:rsidRPr="00EC0229">
        <w:t xml:space="preserve"> approach </w:t>
      </w:r>
      <w:r w:rsidR="00242AE1" w:rsidRPr="00EC0229">
        <w:t>(</w:t>
      </w:r>
      <w:r w:rsidR="00DF61F5" w:rsidRPr="00EC0229">
        <w:fldChar w:fldCharType="begin"/>
      </w:r>
      <w:r w:rsidR="00DF61F5" w:rsidRPr="00EC0229">
        <w:instrText xml:space="preserve"> PAGEREF qualitativemethodology \h </w:instrText>
      </w:r>
      <w:r w:rsidR="00DF61F5" w:rsidRPr="00EC0229">
        <w:fldChar w:fldCharType="separate"/>
      </w:r>
      <w:r w:rsidR="0012026B">
        <w:rPr>
          <w:noProof/>
        </w:rPr>
        <w:t>160</w:t>
      </w:r>
      <w:r w:rsidR="00DF61F5" w:rsidRPr="00EC0229">
        <w:fldChar w:fldCharType="end"/>
      </w:r>
      <w:r w:rsidR="00CA0C26" w:rsidRPr="00EC0229">
        <w:t xml:space="preserve">) </w:t>
      </w:r>
      <w:r w:rsidRPr="00EC0229">
        <w:t>wherein case studies</w:t>
      </w:r>
      <w:r w:rsidR="001D5B5B" w:rsidRPr="00EC0229">
        <w:fldChar w:fldCharType="begin"/>
      </w:r>
      <w:r w:rsidR="001D5B5B" w:rsidRPr="00EC0229">
        <w:instrText xml:space="preserve"> XE "</w:instrText>
      </w:r>
      <w:r w:rsidR="001D5B5B" w:rsidRPr="00EC0229">
        <w:rPr>
          <w:rStyle w:val="Hyperlink"/>
          <w:rFonts w:cs="Times New Roman"/>
          <w:noProof/>
          <w:u w:val="none"/>
        </w:rPr>
        <w:instrText>case studies</w:instrText>
      </w:r>
      <w:r w:rsidR="001D5B5B" w:rsidRPr="00EC0229">
        <w:instrText xml:space="preserve">" </w:instrText>
      </w:r>
      <w:r w:rsidR="001D5B5B" w:rsidRPr="00EC0229">
        <w:fldChar w:fldCharType="end"/>
      </w:r>
      <w:r w:rsidRPr="00EC0229">
        <w:t xml:space="preserve"> are based on interrogation of the </w:t>
      </w:r>
      <w:r w:rsidR="00497AC3" w:rsidRPr="00EC0229">
        <w:t>dataset</w:t>
      </w:r>
      <w:r w:rsidRPr="00EC0229">
        <w:t xml:space="preserve">s </w:t>
      </w:r>
      <w:r w:rsidR="007A11B4" w:rsidRPr="00EC0229">
        <w:t>by location, period and type</w:t>
      </w:r>
      <w:r w:rsidR="002E5552" w:rsidRPr="00EC0229">
        <w:t>, will now be described</w:t>
      </w:r>
      <w:r w:rsidR="007A11B4" w:rsidRPr="00EC0229">
        <w:t>. T</w:t>
      </w:r>
      <w:r w:rsidR="00CA0C26" w:rsidRPr="00EC0229">
        <w:t xml:space="preserve">emporal and </w:t>
      </w:r>
      <w:r w:rsidRPr="00EC0229">
        <w:t>spatial analytical tools</w:t>
      </w:r>
      <w:r w:rsidR="00CA0C26" w:rsidRPr="00EC0229">
        <w:t xml:space="preserve"> (</w:t>
      </w:r>
      <w:r w:rsidR="00DF61F5" w:rsidRPr="00EC0229">
        <w:fldChar w:fldCharType="begin"/>
      </w:r>
      <w:r w:rsidR="00DF61F5" w:rsidRPr="00EC0229">
        <w:instrText xml:space="preserve"> PAGEREF TemporalAnalysis \h </w:instrText>
      </w:r>
      <w:r w:rsidR="00DF61F5" w:rsidRPr="00EC0229">
        <w:fldChar w:fldCharType="separate"/>
      </w:r>
      <w:r w:rsidR="0012026B">
        <w:rPr>
          <w:noProof/>
        </w:rPr>
        <w:t>159</w:t>
      </w:r>
      <w:r w:rsidR="00DF61F5" w:rsidRPr="00EC0229">
        <w:fldChar w:fldCharType="end"/>
      </w:r>
      <w:r w:rsidR="00CA0C26" w:rsidRPr="00EC0229">
        <w:t xml:space="preserve"> &amp; </w:t>
      </w:r>
      <w:r w:rsidR="00DF61F5" w:rsidRPr="00EC0229">
        <w:fldChar w:fldCharType="begin"/>
      </w:r>
      <w:r w:rsidR="00DF61F5" w:rsidRPr="00EC0229">
        <w:instrText xml:space="preserve"> PAGEREF GeographicAnalysis \h </w:instrText>
      </w:r>
      <w:r w:rsidR="00DF61F5" w:rsidRPr="00EC0229">
        <w:fldChar w:fldCharType="separate"/>
      </w:r>
      <w:r w:rsidR="0012026B">
        <w:rPr>
          <w:noProof/>
        </w:rPr>
        <w:t>171</w:t>
      </w:r>
      <w:r w:rsidR="00DF61F5" w:rsidRPr="00EC0229">
        <w:fldChar w:fldCharType="end"/>
      </w:r>
      <w:r w:rsidR="00CA0C26" w:rsidRPr="00EC0229">
        <w:t>)</w:t>
      </w:r>
      <w:r w:rsidR="007A11B4" w:rsidRPr="00EC0229">
        <w:t xml:space="preserve"> are developed and deployed, </w:t>
      </w:r>
      <w:r w:rsidRPr="00EC0229">
        <w:t>augmented by sceatta</w:t>
      </w:r>
      <w:r w:rsidR="00D142DC" w:rsidRPr="00EC0229">
        <w:fldChar w:fldCharType="begin"/>
      </w:r>
      <w:r w:rsidR="00D142DC" w:rsidRPr="00EC0229">
        <w:instrText xml:space="preserve"> XE "sceatta" </w:instrText>
      </w:r>
      <w:r w:rsidR="00D142DC" w:rsidRPr="00EC0229">
        <w:fldChar w:fldCharType="end"/>
      </w:r>
      <w:r w:rsidRPr="00EC0229">
        <w:t xml:space="preserve"> source analysis, </w:t>
      </w:r>
      <w:r w:rsidR="00CA0C26" w:rsidRPr="00EC0229">
        <w:t>(</w:t>
      </w:r>
      <w:r w:rsidR="00DF61F5" w:rsidRPr="00EC0229">
        <w:fldChar w:fldCharType="begin"/>
      </w:r>
      <w:r w:rsidR="00DF61F5" w:rsidRPr="00EC0229">
        <w:instrText xml:space="preserve"> PAGEREF SourceAnalysis \h </w:instrText>
      </w:r>
      <w:r w:rsidR="00DF61F5" w:rsidRPr="00EC0229">
        <w:fldChar w:fldCharType="separate"/>
      </w:r>
      <w:r w:rsidR="0012026B">
        <w:rPr>
          <w:noProof/>
        </w:rPr>
        <w:t>174</w:t>
      </w:r>
      <w:r w:rsidR="00DF61F5" w:rsidRPr="00EC0229">
        <w:fldChar w:fldCharType="end"/>
      </w:r>
      <w:r w:rsidR="00CA0C26" w:rsidRPr="00EC0229">
        <w:t xml:space="preserve">) </w:t>
      </w:r>
      <w:r w:rsidRPr="00EC0229">
        <w:t xml:space="preserve">to assess regional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and trading patterns, based </w:t>
      </w:r>
      <w:r w:rsidR="007A11B4" w:rsidRPr="00EC0229">
        <w:t xml:space="preserve">on coin use through time. </w:t>
      </w:r>
    </w:p>
    <w:p w14:paraId="20B0A684" w14:textId="77777777" w:rsidR="00B64290" w:rsidRPr="00EC0229" w:rsidRDefault="00B64290" w:rsidP="00B64290">
      <w:pPr>
        <w:pStyle w:val="NoSpacing"/>
        <w:spacing w:line="360" w:lineRule="auto"/>
      </w:pPr>
    </w:p>
    <w:p w14:paraId="3DC4940C" w14:textId="2394C4C6" w:rsidR="00382101" w:rsidRDefault="00792CD4" w:rsidP="00B64290">
      <w:pPr>
        <w:pStyle w:val="NoSpacing"/>
        <w:spacing w:line="360" w:lineRule="auto"/>
      </w:pPr>
      <w:r>
        <w:t xml:space="preserve">Integral to the quantitative and qualitative methodologies discussed below is the periodization established in chapter 5. </w:t>
      </w:r>
      <w:r w:rsidR="003B69A5">
        <w:t xml:space="preserve">Inevitably, the structure proposed appears more definitive than can be justified by the </w:t>
      </w:r>
      <w:r w:rsidR="008F2C8F">
        <w:t>often-erratic</w:t>
      </w:r>
      <w:r w:rsidR="003B69A5">
        <w:t xml:space="preserve"> transitions</w:t>
      </w:r>
      <w:r w:rsidR="00826988">
        <w:t xml:space="preserve"> </w:t>
      </w:r>
      <w:r w:rsidR="003B69A5">
        <w:t xml:space="preserve">between the periods specified. </w:t>
      </w:r>
      <w:r w:rsidR="0050686B">
        <w:t xml:space="preserve">Evolution </w:t>
      </w:r>
      <w:r w:rsidR="003B69A5">
        <w:t xml:space="preserve">is not linear as </w:t>
      </w:r>
      <w:r w:rsidR="0050686B">
        <w:t>it responds</w:t>
      </w:r>
      <w:r w:rsidR="003B69A5">
        <w:t xml:space="preserve"> to exogenous shock.</w:t>
      </w:r>
      <w:r w:rsidR="0039085C">
        <w:t xml:space="preserve"> The structure enables us to distinguish the exercise of Northumbrian monetary control, its lapses, vulnerabilities and points of departure from Southumbrian policy</w:t>
      </w:r>
      <w:r w:rsidR="00994890">
        <w:t>, which is more influenced by Continental precedent</w:t>
      </w:r>
      <w:r w:rsidR="0039085C">
        <w:t xml:space="preserve">. </w:t>
      </w:r>
      <w:r w:rsidR="00382101">
        <w:t>The milestones of Northumbria</w:t>
      </w:r>
      <w:r w:rsidR="00826988">
        <w:t>n coinage at each phase include</w:t>
      </w:r>
      <w:r w:rsidR="00382101">
        <w:t xml:space="preserve"> Paulinus’s shilling at the forefront of English coinage, Aldfrith as the first named monarch on the silver early penny, the literacy of that coinage in the north and Eanred</w:t>
      </w:r>
      <w:r w:rsidR="00826988">
        <w:t>’s</w:t>
      </w:r>
      <w:r w:rsidR="00382101">
        <w:t xml:space="preserve"> transition away from precious metal.</w:t>
      </w:r>
      <w:r w:rsidR="00826988">
        <w:t xml:space="preserve"> Each period is delineated, differentiated and justified in </w:t>
      </w:r>
      <w:r w:rsidR="00826988" w:rsidRPr="00826988">
        <w:rPr>
          <w:i/>
        </w:rPr>
        <w:t>Table 5.01</w:t>
      </w:r>
      <w:r w:rsidR="00826988">
        <w:t>.</w:t>
      </w:r>
    </w:p>
    <w:p w14:paraId="7C1A6F8C" w14:textId="77777777" w:rsidR="00382101" w:rsidRDefault="00382101" w:rsidP="00B64290">
      <w:pPr>
        <w:pStyle w:val="NoSpacing"/>
        <w:spacing w:line="360" w:lineRule="auto"/>
      </w:pPr>
    </w:p>
    <w:p w14:paraId="34EC2144" w14:textId="07FCA41B" w:rsidR="00792CD4" w:rsidRDefault="00315CC9" w:rsidP="00B64290">
      <w:pPr>
        <w:pStyle w:val="NoSpacing"/>
        <w:spacing w:line="360" w:lineRule="auto"/>
      </w:pPr>
      <w:r>
        <w:t xml:space="preserve">The periodization and, indeed, association of coins with artefacts both build on precedents set by Naylor as described in chapter 2.2. </w:t>
      </w:r>
      <w:r w:rsidR="0039085C">
        <w:t>However, when used in combination with the artefactual database</w:t>
      </w:r>
      <w:r w:rsidR="0050686B">
        <w:t>,</w:t>
      </w:r>
      <w:r w:rsidR="0039085C">
        <w:t xml:space="preserve"> for the core purpose of assessing the extent of monetization, some of the granularity of these numismatic periods is lost as the dating of artefacts is, inevitably, generally less precise. This does not </w:t>
      </w:r>
      <w:r w:rsidR="0050686B">
        <w:t>prevent</w:t>
      </w:r>
      <w:r w:rsidR="0039085C">
        <w:t xml:space="preserve"> broad judgements about site continuity, </w:t>
      </w:r>
      <w:r w:rsidR="0050686B">
        <w:t xml:space="preserve">the density and variety of artefacts, </w:t>
      </w:r>
      <w:r w:rsidR="0039085C">
        <w:t>settlement and trade patterns</w:t>
      </w:r>
      <w:r w:rsidR="0050686B">
        <w:t>, the level of economic activity,</w:t>
      </w:r>
      <w:r w:rsidR="0039085C">
        <w:t xml:space="preserve"> </w:t>
      </w:r>
      <w:r w:rsidR="0050686B">
        <w:t>extraction of surplus or the balance and exercise of power.</w:t>
      </w:r>
    </w:p>
    <w:p w14:paraId="589A3FFC" w14:textId="31EC3F0B" w:rsidR="005E365B" w:rsidRDefault="005E365B" w:rsidP="00B64290">
      <w:pPr>
        <w:pStyle w:val="NoSpacing"/>
        <w:spacing w:line="360" w:lineRule="auto"/>
      </w:pPr>
    </w:p>
    <w:p w14:paraId="02FCE9C0" w14:textId="77777777" w:rsidR="00792CD4" w:rsidRDefault="00792CD4" w:rsidP="00B64290">
      <w:pPr>
        <w:pStyle w:val="NoSpacing"/>
        <w:spacing w:line="360" w:lineRule="auto"/>
      </w:pPr>
    </w:p>
    <w:p w14:paraId="353A2ACD" w14:textId="4C01FABC" w:rsidR="009F744B" w:rsidRPr="00EC0229" w:rsidRDefault="00B64290" w:rsidP="00B64290">
      <w:pPr>
        <w:pStyle w:val="NoSpacing"/>
        <w:spacing w:line="360" w:lineRule="auto"/>
        <w:rPr>
          <w:rFonts w:cs="Times New Roman"/>
        </w:rPr>
      </w:pPr>
      <w:r w:rsidRPr="00EC0229">
        <w:lastRenderedPageBreak/>
        <w:t>In Part Three, numismatic findings including c</w:t>
      </w:r>
      <w:r w:rsidR="003C197B" w:rsidRPr="00EC0229">
        <w:t>onventional numismatic metrics</w:t>
      </w:r>
      <w:r w:rsidR="00F204A1" w:rsidRPr="00EC0229">
        <w:fldChar w:fldCharType="begin"/>
      </w:r>
      <w:r w:rsidR="00F204A1" w:rsidRPr="00EC0229">
        <w:instrText xml:space="preserve"> XE "</w:instrText>
      </w:r>
      <w:r w:rsidR="00F204A1" w:rsidRPr="00EC0229">
        <w:rPr>
          <w:noProof/>
        </w:rPr>
        <w:instrText>metrics</w:instrText>
      </w:r>
      <w:r w:rsidR="00F204A1" w:rsidRPr="00EC0229">
        <w:instrText xml:space="preserve">" </w:instrText>
      </w:r>
      <w:r w:rsidR="00F204A1" w:rsidRPr="00EC0229">
        <w:fldChar w:fldCharType="end"/>
      </w:r>
      <w:r w:rsidR="007A11B4" w:rsidRPr="00EC0229">
        <w:t>,</w:t>
      </w:r>
      <w:r w:rsidR="00EF2EAF" w:rsidRPr="00EC0229">
        <w:t xml:space="preserve"> </w:t>
      </w:r>
      <w:r w:rsidR="003C197B" w:rsidRPr="00EC0229">
        <w:t>which are more</w:t>
      </w:r>
      <w:r w:rsidR="007A11B4" w:rsidRPr="00EC0229">
        <w:t xml:space="preserve"> concerned with coin production, </w:t>
      </w:r>
      <w:r w:rsidR="002C0E71" w:rsidRPr="00EC0229">
        <w:t xml:space="preserve">are briefly </w:t>
      </w:r>
      <w:r w:rsidR="00103FB3">
        <w:t>summarize</w:t>
      </w:r>
      <w:r w:rsidR="002C0E71" w:rsidRPr="00EC0229">
        <w:t>d</w:t>
      </w:r>
      <w:r w:rsidRPr="00EC0229">
        <w:t xml:space="preserve"> as are the </w:t>
      </w:r>
      <w:r w:rsidRPr="00EC0229">
        <w:rPr>
          <w:rFonts w:cs="Times New Roman"/>
        </w:rPr>
        <w:t>outcomes of the various analyses and the significant conclusions in respect of the set aims and objectives.</w:t>
      </w:r>
    </w:p>
    <w:p w14:paraId="3C67D8E3" w14:textId="77777777" w:rsidR="003C197B" w:rsidRPr="00EC0229" w:rsidRDefault="003C197B" w:rsidP="007600EA">
      <w:pPr>
        <w:spacing w:line="360" w:lineRule="auto"/>
        <w:rPr>
          <w:rFonts w:eastAsiaTheme="majorEastAsia" w:cs="Times New Roman"/>
          <w:color w:val="2E74B5" w:themeColor="accent1" w:themeShade="BF"/>
          <w:sz w:val="32"/>
          <w:szCs w:val="32"/>
        </w:rPr>
      </w:pPr>
      <w:r w:rsidRPr="00EC0229">
        <w:rPr>
          <w:rFonts w:cs="Times New Roman"/>
        </w:rPr>
        <w:br w:type="page"/>
      </w:r>
    </w:p>
    <w:p w14:paraId="05F3138B" w14:textId="7A6F297E" w:rsidR="00595037" w:rsidRPr="00EC0229" w:rsidRDefault="0032255A" w:rsidP="007600EA">
      <w:pPr>
        <w:pStyle w:val="Heading1"/>
        <w:spacing w:line="360" w:lineRule="auto"/>
        <w:rPr>
          <w:rFonts w:cs="Times New Roman"/>
        </w:rPr>
      </w:pPr>
      <w:bookmarkStart w:id="438" w:name="Chapter11"/>
      <w:bookmarkStart w:id="439" w:name="Chapter6"/>
      <w:bookmarkStart w:id="440" w:name="_Toc468266817"/>
      <w:bookmarkEnd w:id="438"/>
      <w:bookmarkEnd w:id="439"/>
      <w:r w:rsidRPr="00EC0229">
        <w:rPr>
          <w:rFonts w:cs="Times New Roman"/>
        </w:rPr>
        <w:lastRenderedPageBreak/>
        <w:t>Chapter 6</w:t>
      </w:r>
      <w:r w:rsidR="009E35E5" w:rsidRPr="00EC0229">
        <w:rPr>
          <w:rFonts w:cs="Times New Roman"/>
        </w:rPr>
        <w:t>:</w:t>
      </w:r>
      <w:r w:rsidR="00F67314" w:rsidRPr="00EC0229">
        <w:rPr>
          <w:rFonts w:cs="Times New Roman"/>
        </w:rPr>
        <w:t xml:space="preserve"> </w:t>
      </w:r>
      <w:r w:rsidR="00610521" w:rsidRPr="00EC0229">
        <w:rPr>
          <w:rFonts w:cs="Times New Roman"/>
        </w:rPr>
        <w:t xml:space="preserve">The </w:t>
      </w:r>
      <w:r w:rsidR="002C0E71" w:rsidRPr="00EC0229">
        <w:rPr>
          <w:rFonts w:cs="Times New Roman"/>
        </w:rPr>
        <w:t>Q</w:t>
      </w:r>
      <w:r w:rsidR="00610521" w:rsidRPr="00EC0229">
        <w:rPr>
          <w:rFonts w:cs="Times New Roman"/>
        </w:rPr>
        <w:t>uantitative</w:t>
      </w:r>
      <w:r w:rsidR="00F204A1" w:rsidRPr="00EC0229">
        <w:rPr>
          <w:rFonts w:cs="Times New Roman"/>
        </w:rPr>
        <w:fldChar w:fldCharType="begin"/>
      </w:r>
      <w:r w:rsidR="00F204A1" w:rsidRPr="00EC0229">
        <w:instrText xml:space="preserve"> XE "</w:instrText>
      </w:r>
      <w:r w:rsidR="00F204A1" w:rsidRPr="00EC0229">
        <w:rPr>
          <w:rStyle w:val="Hyperlink"/>
          <w:rFonts w:cs="Times New Roman"/>
          <w:noProof/>
          <w:u w:val="none"/>
        </w:rPr>
        <w:instrText>quantitative</w:instrText>
      </w:r>
      <w:r w:rsidR="00F204A1" w:rsidRPr="00EC0229">
        <w:instrText xml:space="preserve">" </w:instrText>
      </w:r>
      <w:r w:rsidR="00F204A1" w:rsidRPr="00EC0229">
        <w:rPr>
          <w:rFonts w:cs="Times New Roman"/>
        </w:rPr>
        <w:fldChar w:fldCharType="end"/>
      </w:r>
      <w:r w:rsidR="00610521" w:rsidRPr="00EC0229">
        <w:rPr>
          <w:rFonts w:cs="Times New Roman"/>
        </w:rPr>
        <w:t xml:space="preserve"> </w:t>
      </w:r>
      <w:r w:rsidR="00100F75" w:rsidRPr="00EC0229">
        <w:rPr>
          <w:rFonts w:cs="Times New Roman"/>
        </w:rPr>
        <w:t xml:space="preserve">and </w:t>
      </w:r>
      <w:r w:rsidR="002C0E71" w:rsidRPr="00EC0229">
        <w:rPr>
          <w:rFonts w:cs="Times New Roman"/>
        </w:rPr>
        <w:t>Q</w:t>
      </w:r>
      <w:r w:rsidR="00100F75" w:rsidRPr="00EC0229">
        <w:rPr>
          <w:rFonts w:cs="Times New Roman"/>
          <w:sz w:val="30"/>
          <w:szCs w:val="30"/>
        </w:rPr>
        <w:t>ualitative</w:t>
      </w:r>
      <w:r w:rsidR="00100F75" w:rsidRPr="00EC0229">
        <w:rPr>
          <w:rFonts w:cs="Times New Roman"/>
          <w:sz w:val="30"/>
          <w:szCs w:val="30"/>
        </w:rPr>
        <w:fldChar w:fldCharType="begin"/>
      </w:r>
      <w:r w:rsidR="00100F75" w:rsidRPr="00EC0229">
        <w:instrText xml:space="preserve"> XE "</w:instrText>
      </w:r>
      <w:r w:rsidR="00100F75" w:rsidRPr="00EC0229">
        <w:rPr>
          <w:rStyle w:val="Hyperlink"/>
          <w:rFonts w:cs="Times New Roman"/>
          <w:noProof/>
          <w:u w:val="none"/>
        </w:rPr>
        <w:instrText>qualitative</w:instrText>
      </w:r>
      <w:r w:rsidR="00100F75" w:rsidRPr="00EC0229">
        <w:instrText xml:space="preserve">" </w:instrText>
      </w:r>
      <w:r w:rsidR="00100F75" w:rsidRPr="00EC0229">
        <w:rPr>
          <w:rFonts w:cs="Times New Roman"/>
          <w:sz w:val="30"/>
          <w:szCs w:val="30"/>
        </w:rPr>
        <w:fldChar w:fldCharType="end"/>
      </w:r>
      <w:r w:rsidR="00100F75" w:rsidRPr="00EC0229">
        <w:rPr>
          <w:rFonts w:cs="Times New Roman"/>
          <w:sz w:val="30"/>
          <w:szCs w:val="30"/>
        </w:rPr>
        <w:t xml:space="preserve"> </w:t>
      </w:r>
      <w:r w:rsidR="002C0E71" w:rsidRPr="00EC0229">
        <w:rPr>
          <w:rFonts w:cs="Times New Roman"/>
          <w:sz w:val="30"/>
          <w:szCs w:val="30"/>
        </w:rPr>
        <w:t>M</w:t>
      </w:r>
      <w:r w:rsidR="00610521" w:rsidRPr="00EC0229">
        <w:rPr>
          <w:rFonts w:cs="Times New Roman"/>
        </w:rPr>
        <w:t>ethodolog</w:t>
      </w:r>
      <w:r w:rsidR="00100F75" w:rsidRPr="00EC0229">
        <w:rPr>
          <w:rFonts w:cs="Times New Roman"/>
        </w:rPr>
        <w:t>ies</w:t>
      </w:r>
      <w:bookmarkEnd w:id="440"/>
    </w:p>
    <w:p w14:paraId="2C707178" w14:textId="12E11D67" w:rsidR="00D01233" w:rsidRPr="00EC0229" w:rsidRDefault="00D01233" w:rsidP="00D01233">
      <w:pPr>
        <w:spacing w:line="360" w:lineRule="auto"/>
        <w:rPr>
          <w:rFonts w:cs="Times New Roman"/>
          <w:szCs w:val="24"/>
        </w:rPr>
      </w:pPr>
      <w:bookmarkStart w:id="441" w:name="_Ref464046507"/>
      <w:bookmarkStart w:id="442" w:name="_Ref463871208"/>
      <w:r w:rsidRPr="00EC0229">
        <w:rPr>
          <w:rFonts w:cs="Times New Roman"/>
          <w:szCs w:val="24"/>
        </w:rPr>
        <w:t>This chapter commences with a discussion of the constraints</w:t>
      </w:r>
      <w:r w:rsidRPr="00EC0229">
        <w:rPr>
          <w:rFonts w:cs="Times New Roman"/>
          <w:szCs w:val="24"/>
        </w:rPr>
        <w:fldChar w:fldCharType="begin"/>
      </w:r>
      <w:r w:rsidRPr="00EC0229">
        <w:instrText xml:space="preserve"> XE "</w:instrText>
      </w:r>
      <w:r w:rsidRPr="00EC0229">
        <w:rPr>
          <w:rFonts w:cs="Times New Roman"/>
          <w:noProof/>
        </w:rPr>
        <w:instrText>Constraints</w:instrText>
      </w:r>
      <w:r w:rsidRPr="00EC0229">
        <w:instrText xml:space="preserve">" </w:instrText>
      </w:r>
      <w:r w:rsidRPr="00EC0229">
        <w:rPr>
          <w:rFonts w:cs="Times New Roman"/>
          <w:szCs w:val="24"/>
        </w:rPr>
        <w:fldChar w:fldCharType="end"/>
      </w:r>
      <w:r w:rsidRPr="00EC0229">
        <w:rPr>
          <w:rFonts w:cs="Times New Roman"/>
          <w:szCs w:val="24"/>
        </w:rPr>
        <w:t xml:space="preserve"> on the interpretation of finds and the extent to which metal-detector finds are reliable and representative or biased. The relative significance of hoards and single finds</w:t>
      </w:r>
      <w:r w:rsidRPr="00EC0229">
        <w:t xml:space="preserve"> are also discussed</w:t>
      </w:r>
      <w:r w:rsidRPr="00EC0229">
        <w:rPr>
          <w:rFonts w:cs="Times New Roman"/>
          <w:szCs w:val="24"/>
        </w:rPr>
        <w:t>.</w:t>
      </w:r>
    </w:p>
    <w:p w14:paraId="73D992CC" w14:textId="77777777" w:rsidR="00D01233" w:rsidRPr="00EC0229" w:rsidRDefault="00D01233" w:rsidP="00D01233">
      <w:pPr>
        <w:pStyle w:val="NoSpacing"/>
      </w:pPr>
    </w:p>
    <w:p w14:paraId="08530C71" w14:textId="33F987C1" w:rsidR="003A3DAB" w:rsidRPr="00EC0229" w:rsidRDefault="00AE431C" w:rsidP="003A3DAB">
      <w:pPr>
        <w:pStyle w:val="Heading2"/>
        <w:spacing w:line="360" w:lineRule="auto"/>
      </w:pPr>
      <w:bookmarkStart w:id="443" w:name="_Toc468266818"/>
      <w:r>
        <w:t>6.1.</w:t>
      </w:r>
      <w:r>
        <w:tab/>
      </w:r>
      <w:r w:rsidR="003A3DAB" w:rsidRPr="00EC0229">
        <w:t>Evidential Constraints</w:t>
      </w:r>
      <w:bookmarkEnd w:id="441"/>
      <w:bookmarkEnd w:id="443"/>
      <w:r w:rsidR="003A3DAB" w:rsidRPr="00EC0229">
        <w:fldChar w:fldCharType="begin"/>
      </w:r>
      <w:r w:rsidR="003A3DAB" w:rsidRPr="00EC0229">
        <w:instrText xml:space="preserve"> XE "</w:instrText>
      </w:r>
      <w:r w:rsidR="003A3DAB" w:rsidRPr="00EC0229">
        <w:rPr>
          <w:rStyle w:val="Hyperlink"/>
          <w:rFonts w:cs="Times New Roman"/>
          <w:noProof/>
          <w:u w:val="none"/>
        </w:rPr>
        <w:instrText>Constraints</w:instrText>
      </w:r>
      <w:r w:rsidR="003A3DAB" w:rsidRPr="00EC0229">
        <w:instrText xml:space="preserve">" </w:instrText>
      </w:r>
      <w:r w:rsidR="003A3DAB" w:rsidRPr="00EC0229">
        <w:fldChar w:fldCharType="end"/>
      </w:r>
    </w:p>
    <w:p w14:paraId="75110AE3" w14:textId="6D93D42C" w:rsidR="003A3DAB" w:rsidRPr="00EC0229" w:rsidRDefault="003A3DAB" w:rsidP="003A3DAB">
      <w:pPr>
        <w:pStyle w:val="NoSpacing"/>
        <w:spacing w:line="360" w:lineRule="auto"/>
      </w:pPr>
      <w:r w:rsidRPr="00EC0229">
        <w:t>In assessing the extent to which the PAS</w:t>
      </w:r>
      <w:r w:rsidRPr="00EC0229">
        <w:fldChar w:fldCharType="begin"/>
      </w:r>
      <w:r w:rsidRPr="00EC0229">
        <w:instrText xml:space="preserve"> XE "PAS" </w:instrText>
      </w:r>
      <w:r w:rsidRPr="00EC0229">
        <w:fldChar w:fldCharType="end"/>
      </w:r>
      <w:r w:rsidRPr="00EC0229">
        <w:t xml:space="preserve"> database is truly representative, </w:t>
      </w:r>
      <w:r w:rsidR="00BF6095">
        <w:t>several</w:t>
      </w:r>
      <w:r w:rsidRPr="00EC0229">
        <w:t xml:space="preserve"> limitations on the integrity of the data must be explored. In listing sixty-nine site-based analyses the authors of </w:t>
      </w:r>
      <w:r w:rsidRPr="00EC0229">
        <w:rPr>
          <w:i/>
        </w:rPr>
        <w:t>VASLE</w:t>
      </w:r>
      <w:r w:rsidRPr="00EC0229">
        <w:rPr>
          <w:rStyle w:val="FootnoteReference"/>
        </w:rPr>
        <w:footnoteReference w:id="693"/>
      </w:r>
      <w:r w:rsidRPr="00EC0229">
        <w:fldChar w:fldCharType="begin"/>
      </w:r>
      <w:r w:rsidRPr="00EC0229">
        <w:instrText xml:space="preserve"> XE "VASLE" </w:instrText>
      </w:r>
      <w:r w:rsidRPr="00EC0229">
        <w:fldChar w:fldCharType="end"/>
      </w:r>
      <w:r w:rsidRPr="00EC0229">
        <w:t xml:space="preserve"> commented:</w:t>
      </w:r>
      <w:r w:rsidRPr="00EC0229">
        <w:rPr>
          <w:rStyle w:val="FootnoteReference"/>
        </w:rPr>
        <w:t xml:space="preserve"> </w:t>
      </w:r>
      <w:r w:rsidRPr="00EC0229">
        <w:rPr>
          <w:rFonts w:cs="Times New Roman"/>
        </w:rPr>
        <w:t>‘</w:t>
      </w:r>
      <w:r w:rsidRPr="00EC0229">
        <w:rPr>
          <w:rFonts w:eastAsia="GaramondPremrPro" w:cs="Times New Roman"/>
          <w:sz w:val="23"/>
          <w:szCs w:val="23"/>
        </w:rPr>
        <w:t>It is recognized that the real culprit is modern agricultural practice and that most finds are recovered from the plough-soil in which they are being abraded with each new ploughing and would eventually be destroyed without record if it were not for the activities of detector users.’</w:t>
      </w:r>
      <w:r w:rsidRPr="00EC0229">
        <w:rPr>
          <w:rStyle w:val="FootnoteReference"/>
          <w:rFonts w:eastAsia="GaramondPremrPro" w:cs="Times New Roman"/>
          <w:sz w:val="23"/>
          <w:szCs w:val="23"/>
        </w:rPr>
        <w:footnoteReference w:id="694"/>
      </w:r>
      <w:r w:rsidRPr="00EC0229">
        <w:rPr>
          <w:rFonts w:ascii="GaramondPremrPro" w:eastAsia="GaramondPremrPro" w:hAnsiTheme="minorHAnsi" w:cs="GaramondPremrPro"/>
          <w:sz w:val="23"/>
          <w:szCs w:val="23"/>
        </w:rPr>
        <w:t xml:space="preserve"> </w:t>
      </w:r>
      <w:r w:rsidRPr="00EC0229">
        <w:t>The advent of metal-detecting</w:t>
      </w:r>
      <w:r w:rsidRPr="00EC0229">
        <w:fldChar w:fldCharType="begin"/>
      </w:r>
      <w:r w:rsidRPr="00EC0229">
        <w:instrText xml:space="preserve"> XE "metal-detecting" </w:instrText>
      </w:r>
      <w:r w:rsidRPr="00EC0229">
        <w:fldChar w:fldCharType="end"/>
      </w:r>
      <w:r w:rsidRPr="00EC0229">
        <w:t xml:space="preserve"> since the 1960s has led to a step-change in the recovery of materials and sites. However, there are a number of factors constraining and influencing archaeological</w:t>
      </w:r>
      <w:r w:rsidRPr="00EC0229">
        <w:fldChar w:fldCharType="begin"/>
      </w:r>
      <w:r w:rsidRPr="00EC0229">
        <w:instrText xml:space="preserve"> XE "</w:instrText>
      </w:r>
      <w:r w:rsidRPr="00EC0229">
        <w:rPr>
          <w:rFonts w:eastAsia="Times New Roman" w:cs="Times New Roman"/>
          <w:szCs w:val="24"/>
          <w:lang w:eastAsia="en-GB"/>
        </w:rPr>
        <w:instrText>archaeological</w:instrText>
      </w:r>
      <w:r w:rsidRPr="00EC0229">
        <w:instrText xml:space="preserve">" </w:instrText>
      </w:r>
      <w:r w:rsidRPr="00EC0229">
        <w:fldChar w:fldCharType="end"/>
      </w:r>
      <w:r w:rsidRPr="00EC0229">
        <w:t xml:space="preserve"> discovery and enquiry:</w:t>
      </w:r>
      <w:r w:rsidRPr="00EC0229">
        <w:rPr>
          <w:rStyle w:val="FootnoteReference"/>
        </w:rPr>
        <w:footnoteReference w:id="695"/>
      </w:r>
      <w:r w:rsidRPr="00EC0229">
        <w:t xml:space="preserve"> Instances of how these affect Northumbria</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t xml:space="preserve"> are quoted. This is best summarized in Richards and Naylor</w:t>
      </w:r>
      <w:r w:rsidRPr="00EC0229">
        <w:fldChar w:fldCharType="begin"/>
      </w:r>
      <w:r w:rsidRPr="00EC0229">
        <w:instrText xml:space="preserve"> XE "</w:instrText>
      </w:r>
      <w:r w:rsidRPr="00EC0229">
        <w:rPr>
          <w:rFonts w:cs="Times New Roman"/>
          <w:szCs w:val="24"/>
        </w:rPr>
        <w:instrText>Naylor</w:instrText>
      </w:r>
      <w:r w:rsidRPr="00EC0229">
        <w:instrText xml:space="preserve">" </w:instrText>
      </w:r>
      <w:r w:rsidRPr="00EC0229">
        <w:fldChar w:fldCharType="end"/>
      </w:r>
      <w:r w:rsidRPr="00EC0229">
        <w:rPr>
          <w:rStyle w:val="FootnoteReference"/>
        </w:rPr>
        <w:footnoteReference w:id="696"/>
      </w:r>
      <w:r w:rsidRPr="00EC0229">
        <w:t xml:space="preserve"> and is discussed at page (</w:t>
      </w:r>
      <w:r w:rsidRPr="00EC0229">
        <w:fldChar w:fldCharType="begin"/>
      </w:r>
      <w:r w:rsidRPr="00EC0229">
        <w:instrText xml:space="preserve"> PAGEREF NorthumbrianConstraints \h </w:instrText>
      </w:r>
      <w:r w:rsidRPr="00EC0229">
        <w:fldChar w:fldCharType="separate"/>
      </w:r>
      <w:r w:rsidR="0012026B">
        <w:rPr>
          <w:noProof/>
        </w:rPr>
        <w:t>153</w:t>
      </w:r>
      <w:r w:rsidRPr="00EC0229">
        <w:fldChar w:fldCharType="end"/>
      </w:r>
      <w:r w:rsidRPr="00EC0229">
        <w:t>).</w:t>
      </w:r>
    </w:p>
    <w:p w14:paraId="29DB9D61" w14:textId="77777777" w:rsidR="003A3DAB" w:rsidRPr="00EC0229" w:rsidRDefault="003A3DAB" w:rsidP="003A3DAB">
      <w:pPr>
        <w:pStyle w:val="NoSpacing"/>
        <w:spacing w:line="360" w:lineRule="auto"/>
      </w:pPr>
    </w:p>
    <w:p w14:paraId="69314FE7" w14:textId="31B39E19" w:rsidR="003A3DAB" w:rsidRPr="00EC0229" w:rsidRDefault="00455D13" w:rsidP="003A3DAB">
      <w:pPr>
        <w:pStyle w:val="Heading3"/>
        <w:spacing w:line="360" w:lineRule="auto"/>
      </w:pPr>
      <w:bookmarkStart w:id="444" w:name="_Toc468266819"/>
      <w:r>
        <w:t>6.1.1</w:t>
      </w:r>
      <w:r w:rsidR="00AE431C">
        <w:tab/>
      </w:r>
      <w:r w:rsidR="003A3DAB" w:rsidRPr="00EC0229">
        <w:t>Access factors</w:t>
      </w:r>
      <w:bookmarkEnd w:id="444"/>
      <w:r w:rsidR="003A3DAB" w:rsidRPr="00EC0229">
        <w:fldChar w:fldCharType="begin"/>
      </w:r>
      <w:r w:rsidR="003A3DAB" w:rsidRPr="00EC0229">
        <w:instrText xml:space="preserve"> XE "</w:instrText>
      </w:r>
      <w:r w:rsidR="003A3DAB" w:rsidRPr="00EC0229">
        <w:rPr>
          <w:rStyle w:val="Hyperlink"/>
          <w:noProof/>
          <w:u w:val="none"/>
        </w:rPr>
        <w:instrText>Access factors</w:instrText>
      </w:r>
      <w:r w:rsidR="003A3DAB" w:rsidRPr="00EC0229">
        <w:instrText xml:space="preserve">" </w:instrText>
      </w:r>
      <w:r w:rsidR="003A3DAB" w:rsidRPr="00EC0229">
        <w:fldChar w:fldCharType="end"/>
      </w:r>
    </w:p>
    <w:p w14:paraId="23D33D91" w14:textId="77777777" w:rsidR="003A3DAB" w:rsidRPr="00EC0229" w:rsidRDefault="003A3DAB" w:rsidP="00387063">
      <w:pPr>
        <w:pStyle w:val="NoSpacing"/>
        <w:numPr>
          <w:ilvl w:val="0"/>
          <w:numId w:val="3"/>
        </w:numPr>
        <w:spacing w:line="360" w:lineRule="auto"/>
      </w:pPr>
      <w:r w:rsidRPr="00EC0229">
        <w:t>Urbanisation:</w:t>
      </w:r>
      <w:r w:rsidRPr="00EC0229">
        <w:rPr>
          <w:rStyle w:val="FootnoteReference"/>
        </w:rPr>
        <w:footnoteReference w:id="697"/>
      </w:r>
      <w:r w:rsidRPr="00EC0229">
        <w:t xml:space="preserve"> with reference to northern England, the large industrial conurbations, many of which lie along the M62 corridor, have obscured or obliterated pre-existing settlements. This does not mean an absence of artefacts (e.g. the Paulinus Cross at Dewsbury) but inhibits site reconstruction, interpretation and access unless demolition provides temporary admittance for ‘rescue’ archaeology.</w:t>
      </w:r>
    </w:p>
    <w:p w14:paraId="79EDA5AF" w14:textId="77777777" w:rsidR="003A3DAB" w:rsidRPr="00EC0229" w:rsidRDefault="003A3DAB" w:rsidP="00387063">
      <w:pPr>
        <w:pStyle w:val="NoSpacing"/>
        <w:numPr>
          <w:ilvl w:val="0"/>
          <w:numId w:val="3"/>
        </w:numPr>
        <w:spacing w:line="360" w:lineRule="auto"/>
      </w:pPr>
      <w:r w:rsidRPr="00EC0229">
        <w:t>Natural features: woods, lakes, coasts, alluvium and wind-blown deposition may prevent investigation either by denial of access or physical disguise. Coastal erosion has certainly removed evidence along Yorkshire’s east coast.</w:t>
      </w:r>
    </w:p>
    <w:p w14:paraId="2CFA2BC1" w14:textId="77777777" w:rsidR="003A3DAB" w:rsidRPr="00EC0229" w:rsidRDefault="003A3DAB" w:rsidP="00387063">
      <w:pPr>
        <w:pStyle w:val="NoSpacing"/>
        <w:numPr>
          <w:ilvl w:val="0"/>
          <w:numId w:val="3"/>
        </w:numPr>
        <w:spacing w:line="360" w:lineRule="auto"/>
      </w:pPr>
      <w:r w:rsidRPr="00EC0229">
        <w:t xml:space="preserve">Denial of access: military and industrial 'danger zones' (e.g. ranges, mines, slag heaps, chemical and nuclear sites), SSSIs, ‘agri-business’ farms and much private land </w:t>
      </w:r>
      <w:r w:rsidRPr="00EC0229">
        <w:lastRenderedPageBreak/>
        <w:t>(especially in Northumbria</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t xml:space="preserve"> and, for example, Sledmere</w:t>
      </w:r>
      <w:r w:rsidRPr="00EC0229">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fldChar w:fldCharType="end"/>
      </w:r>
      <w:r w:rsidRPr="00EC0229">
        <w:t>)</w:t>
      </w:r>
      <w:bookmarkStart w:id="445" w:name="_Ref429042629"/>
      <w:r w:rsidRPr="00EC0229">
        <w:rPr>
          <w:rStyle w:val="FootnoteReference"/>
        </w:rPr>
        <w:footnoteReference w:id="698"/>
      </w:r>
      <w:bookmarkEnd w:id="445"/>
      <w:r w:rsidRPr="00EC0229">
        <w:t xml:space="preserve"> are not made available for investigation.</w:t>
      </w:r>
    </w:p>
    <w:p w14:paraId="146D4449" w14:textId="77777777" w:rsidR="003A3DAB" w:rsidRPr="00EC0229" w:rsidRDefault="003A3DAB" w:rsidP="003A3DAB">
      <w:pPr>
        <w:pStyle w:val="NoSpacing"/>
        <w:spacing w:line="360" w:lineRule="auto"/>
        <w:ind w:left="720"/>
      </w:pPr>
    </w:p>
    <w:p w14:paraId="3EE16EB3" w14:textId="1D23D036" w:rsidR="003A3DAB" w:rsidRPr="00EC0229" w:rsidRDefault="00AE431C" w:rsidP="003A3DAB">
      <w:pPr>
        <w:pStyle w:val="Heading3"/>
        <w:spacing w:line="360" w:lineRule="auto"/>
      </w:pPr>
      <w:bookmarkStart w:id="446" w:name="_Toc468266820"/>
      <w:r>
        <w:t>6.1.2</w:t>
      </w:r>
      <w:r>
        <w:tab/>
      </w:r>
      <w:r w:rsidR="003A3DAB" w:rsidRPr="00EC0229">
        <w:t>Search patterns</w:t>
      </w:r>
      <w:bookmarkEnd w:id="446"/>
      <w:r w:rsidR="003A3DAB" w:rsidRPr="00EC0229">
        <w:fldChar w:fldCharType="begin"/>
      </w:r>
      <w:r w:rsidR="003A3DAB" w:rsidRPr="00EC0229">
        <w:instrText xml:space="preserve"> XE "</w:instrText>
      </w:r>
      <w:r w:rsidR="003A3DAB" w:rsidRPr="00EC0229">
        <w:rPr>
          <w:rStyle w:val="Hyperlink"/>
          <w:noProof/>
          <w:u w:val="none"/>
        </w:rPr>
        <w:instrText>Search patterns</w:instrText>
      </w:r>
      <w:r w:rsidR="003A3DAB" w:rsidRPr="00EC0229">
        <w:instrText xml:space="preserve">" </w:instrText>
      </w:r>
      <w:r w:rsidR="003A3DAB" w:rsidRPr="00EC0229">
        <w:fldChar w:fldCharType="end"/>
      </w:r>
    </w:p>
    <w:p w14:paraId="69609C1F" w14:textId="2077DACE" w:rsidR="003A3DAB" w:rsidRPr="00EC0229" w:rsidRDefault="003A3DAB" w:rsidP="00387063">
      <w:pPr>
        <w:pStyle w:val="NoSpacing"/>
        <w:numPr>
          <w:ilvl w:val="0"/>
          <w:numId w:val="3"/>
        </w:numPr>
        <w:spacing w:line="360" w:lineRule="auto"/>
      </w:pPr>
      <w:r w:rsidRPr="00EC0229">
        <w:t>Granting of landowner permission to search is a major fact</w:t>
      </w:r>
      <w:r w:rsidR="001E4D46">
        <w:t>or in the distribution of finds.</w:t>
      </w:r>
    </w:p>
    <w:p w14:paraId="3A523BF6" w14:textId="77777777" w:rsidR="003A3DAB" w:rsidRPr="00EC0229" w:rsidRDefault="003A3DAB" w:rsidP="00387063">
      <w:pPr>
        <w:pStyle w:val="NoSpacing"/>
        <w:numPr>
          <w:ilvl w:val="0"/>
          <w:numId w:val="3"/>
        </w:numPr>
        <w:spacing w:line="360" w:lineRule="auto"/>
      </w:pPr>
      <w:r w:rsidRPr="00EC0229">
        <w:t>Ease of vehicular access influences search patterns (e.g. A64 and A170 in the Vale of Pickering).</w:t>
      </w:r>
    </w:p>
    <w:p w14:paraId="7FD31904" w14:textId="77777777" w:rsidR="003A3DAB" w:rsidRPr="00EC0229" w:rsidRDefault="003A3DAB" w:rsidP="00387063">
      <w:pPr>
        <w:pStyle w:val="NoSpacing"/>
        <w:numPr>
          <w:ilvl w:val="0"/>
          <w:numId w:val="3"/>
        </w:numPr>
        <w:spacing w:line="360" w:lineRule="auto"/>
      </w:pPr>
      <w:r w:rsidRPr="00EC0229">
        <w:t>Group searching (rallies) tend to bias finds distribution.</w:t>
      </w:r>
    </w:p>
    <w:p w14:paraId="6073A7AF" w14:textId="77777777" w:rsidR="003A3DAB" w:rsidRPr="00EC0229" w:rsidRDefault="003A3DAB" w:rsidP="003A3DAB">
      <w:pPr>
        <w:pStyle w:val="NoSpacing"/>
        <w:spacing w:line="360" w:lineRule="auto"/>
      </w:pPr>
    </w:p>
    <w:p w14:paraId="4FF4E0E1" w14:textId="09EE29F4" w:rsidR="003A3DAB" w:rsidRPr="00EC0229" w:rsidRDefault="00AE431C" w:rsidP="003A3DAB">
      <w:pPr>
        <w:pStyle w:val="Heading3"/>
        <w:spacing w:line="360" w:lineRule="auto"/>
      </w:pPr>
      <w:bookmarkStart w:id="447" w:name="Soilfactors"/>
      <w:bookmarkStart w:id="448" w:name="_Toc468266821"/>
      <w:bookmarkEnd w:id="447"/>
      <w:r>
        <w:t>6.1.3</w:t>
      </w:r>
      <w:r>
        <w:tab/>
      </w:r>
      <w:r w:rsidR="003A3DAB" w:rsidRPr="00EC0229">
        <w:t>Soil factors</w:t>
      </w:r>
      <w:bookmarkEnd w:id="448"/>
    </w:p>
    <w:p w14:paraId="0063FEB2"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Plough-zones</w:t>
      </w:r>
      <w:r w:rsidRPr="00EC0229">
        <w:rPr>
          <w:rFonts w:cs="Times New Roman"/>
          <w:szCs w:val="24"/>
        </w:rPr>
        <w:fldChar w:fldCharType="begin"/>
      </w:r>
      <w:r w:rsidRPr="00EC0229">
        <w:instrText xml:space="preserve"> XE "</w:instrText>
      </w:r>
      <w:r w:rsidRPr="00EC0229">
        <w:rPr>
          <w:rFonts w:cs="Times New Roman"/>
          <w:szCs w:val="24"/>
        </w:rPr>
        <w:instrText>Plough-zone</w:instrText>
      </w:r>
      <w:r w:rsidRPr="00EC0229">
        <w:instrText xml:space="preserve">" </w:instrText>
      </w:r>
      <w:r w:rsidRPr="00EC0229">
        <w:rPr>
          <w:rFonts w:cs="Times New Roman"/>
          <w:szCs w:val="24"/>
        </w:rPr>
        <w:fldChar w:fldCharType="end"/>
      </w:r>
      <w:r w:rsidRPr="00EC0229">
        <w:rPr>
          <w:rFonts w:cs="Times New Roman"/>
          <w:szCs w:val="24"/>
        </w:rPr>
        <w:t>: the limit of plough-zone farming is around 300 metres elevation. Above this level, the soil is not routinely churned and artefacts are less likely to surface to within metal-detecting</w:t>
      </w:r>
      <w:r w:rsidRPr="00EC0229">
        <w:rPr>
          <w:rFonts w:cs="Times New Roman"/>
          <w:szCs w:val="24"/>
        </w:rPr>
        <w:fldChar w:fldCharType="begin"/>
      </w:r>
      <w:r w:rsidRPr="00EC0229">
        <w:instrText xml:space="preserve"> XE "metal-detecting" </w:instrText>
      </w:r>
      <w:r w:rsidRPr="00EC0229">
        <w:rPr>
          <w:rFonts w:cs="Times New Roman"/>
          <w:szCs w:val="24"/>
        </w:rPr>
        <w:fldChar w:fldCharType="end"/>
      </w:r>
      <w:r w:rsidRPr="00EC0229">
        <w:rPr>
          <w:rFonts w:cs="Times New Roman"/>
          <w:szCs w:val="24"/>
        </w:rPr>
        <w:t xml:space="preserve"> or field-search range (e.g. the North York Moors). Infrequent ploughing, for example on pastoral as opposed to arable land, may also inhibit the rate of detection.</w:t>
      </w:r>
    </w:p>
    <w:p w14:paraId="172E95CF"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 xml:space="preserve">The type of soil in which artefacts are lost will have a significant bearing on the extent of chemical attack and survival. </w:t>
      </w:r>
    </w:p>
    <w:p w14:paraId="7135E0F1"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 xml:space="preserve">The composition of the artefact is a major determinant of survival, especially in combination with points 8 and 10. Metal-detecting detects metal. </w:t>
      </w:r>
    </w:p>
    <w:p w14:paraId="3B037558" w14:textId="5DCB7A40" w:rsidR="003A3DAB" w:rsidRPr="00EC0229" w:rsidRDefault="00AE431C" w:rsidP="003A3DAB">
      <w:pPr>
        <w:pStyle w:val="Heading3"/>
        <w:spacing w:line="360" w:lineRule="auto"/>
      </w:pPr>
      <w:bookmarkStart w:id="449" w:name="_Toc468266822"/>
      <w:r>
        <w:t>6.1.4</w:t>
      </w:r>
      <w:r>
        <w:tab/>
      </w:r>
      <w:r w:rsidR="003A3DAB" w:rsidRPr="00EC0229">
        <w:t>Detecting factors</w:t>
      </w:r>
      <w:bookmarkEnd w:id="449"/>
      <w:r w:rsidR="003A3DAB" w:rsidRPr="00EC0229">
        <w:fldChar w:fldCharType="begin"/>
      </w:r>
      <w:r w:rsidR="003A3DAB" w:rsidRPr="00EC0229">
        <w:instrText xml:space="preserve"> XE "</w:instrText>
      </w:r>
      <w:r w:rsidR="003A3DAB" w:rsidRPr="00EC0229">
        <w:rPr>
          <w:rStyle w:val="Hyperlink"/>
          <w:noProof/>
          <w:u w:val="none"/>
        </w:rPr>
        <w:instrText>Detecting factors</w:instrText>
      </w:r>
      <w:r w:rsidR="003A3DAB" w:rsidRPr="00EC0229">
        <w:instrText xml:space="preserve">" </w:instrText>
      </w:r>
      <w:r w:rsidR="003A3DAB" w:rsidRPr="00EC0229">
        <w:fldChar w:fldCharType="end"/>
      </w:r>
    </w:p>
    <w:p w14:paraId="0EB97D53" w14:textId="30E7BFBD"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Detecting neglect: non-ferrous and fragmentary ferrous artefacts, particularly if common, may be discarded by the detectorist, even though these may provide clues to the archaeologist. Even small value metallic finds may be trivialised. Selective recovery falls short of best practice. The problem of discard, particularly of ceramic sherds, is compounded by loss of identity when artefacts are relegated to a spoil bucket (</w:t>
      </w:r>
      <w:r w:rsidRPr="00EC0229">
        <w:rPr>
          <w:rFonts w:cs="Times New Roman"/>
          <w:szCs w:val="24"/>
        </w:rPr>
        <w:fldChar w:fldCharType="begin"/>
      </w:r>
      <w:r w:rsidRPr="00EC0229">
        <w:rPr>
          <w:rFonts w:cs="Times New Roman"/>
          <w:szCs w:val="24"/>
        </w:rPr>
        <w:instrText xml:space="preserve"> PAGEREF Futureresearch \h </w:instrText>
      </w:r>
      <w:r w:rsidRPr="00EC0229">
        <w:rPr>
          <w:rFonts w:cs="Times New Roman"/>
          <w:szCs w:val="24"/>
        </w:rPr>
      </w:r>
      <w:r w:rsidRPr="00EC0229">
        <w:rPr>
          <w:rFonts w:cs="Times New Roman"/>
          <w:szCs w:val="24"/>
        </w:rPr>
        <w:fldChar w:fldCharType="separate"/>
      </w:r>
      <w:r w:rsidR="0012026B">
        <w:rPr>
          <w:rFonts w:cs="Times New Roman"/>
          <w:noProof/>
          <w:szCs w:val="24"/>
        </w:rPr>
        <w:t>323</w: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699"/>
      </w:r>
    </w:p>
    <w:p w14:paraId="7D099025" w14:textId="51466516"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 xml:space="preserve">Detecting bias: artefacts are found only where they are sought. Moreover, once a find has excited interest, there will be a focus of attention on the target area, which may imbue it with disproportionate significance (e.g. Monument Field, Sledmere, </w:t>
      </w:r>
      <w:r w:rsidRPr="00EC0229">
        <w:rPr>
          <w:rFonts w:cs="Times New Roman"/>
          <w:szCs w:val="24"/>
        </w:rPr>
        <w:fldChar w:fldCharType="begin"/>
      </w:r>
      <w:r w:rsidRPr="00EC0229">
        <w:rPr>
          <w:rFonts w:cs="Times New Roman"/>
          <w:szCs w:val="24"/>
        </w:rPr>
        <w:instrText xml:space="preserve"> PAGEREF Sledmere \h </w:instrText>
      </w:r>
      <w:r w:rsidRPr="00EC0229">
        <w:rPr>
          <w:rFonts w:cs="Times New Roman"/>
          <w:szCs w:val="24"/>
        </w:rPr>
      </w:r>
      <w:r w:rsidRPr="00EC0229">
        <w:rPr>
          <w:rFonts w:cs="Times New Roman"/>
          <w:szCs w:val="24"/>
        </w:rPr>
        <w:fldChar w:fldCharType="separate"/>
      </w:r>
      <w:r w:rsidR="0012026B">
        <w:rPr>
          <w:rFonts w:cs="Times New Roman"/>
          <w:noProof/>
          <w:szCs w:val="24"/>
        </w:rPr>
        <w:t>243</w:t>
      </w:r>
      <w:r w:rsidRPr="00EC0229">
        <w:rPr>
          <w:rFonts w:cs="Times New Roman"/>
          <w:szCs w:val="24"/>
        </w:rPr>
        <w:fldChar w:fldCharType="end"/>
      </w:r>
      <w:r w:rsidRPr="00EC0229">
        <w:rPr>
          <w:rFonts w:cs="Times New Roman"/>
          <w:szCs w:val="24"/>
        </w:rPr>
        <w:t xml:space="preserve">). Additionally, detectorists vary significantly in diligence, patience, availability and </w:t>
      </w:r>
      <w:r w:rsidRPr="00EC0229">
        <w:rPr>
          <w:rFonts w:cs="Times New Roman"/>
          <w:szCs w:val="24"/>
        </w:rPr>
        <w:lastRenderedPageBreak/>
        <w:t>equipment (</w:t>
      </w:r>
      <w:proofErr w:type="gramStart"/>
      <w:r w:rsidRPr="00EC0229">
        <w:rPr>
          <w:rFonts w:cs="Times New Roman"/>
          <w:szCs w:val="24"/>
        </w:rPr>
        <w:t>e.g.</w:t>
      </w:r>
      <w:proofErr w:type="gramEnd"/>
      <w:r w:rsidRPr="00EC0229">
        <w:rPr>
          <w:rFonts w:cs="Times New Roman"/>
          <w:szCs w:val="24"/>
        </w:rPr>
        <w:t xml:space="preserve"> Ryther, </w:t>
      </w:r>
      <w:r w:rsidRPr="00EC0229">
        <w:rPr>
          <w:rFonts w:cs="Times New Roman"/>
          <w:szCs w:val="24"/>
        </w:rPr>
        <w:fldChar w:fldCharType="begin"/>
      </w:r>
      <w:r w:rsidRPr="00EC0229">
        <w:rPr>
          <w:rFonts w:cs="Times New Roman"/>
          <w:szCs w:val="24"/>
        </w:rPr>
        <w:instrText xml:space="preserve"> REF Ryther \h  \* MERGEFORMAT </w:instrText>
      </w:r>
      <w:r w:rsidRPr="00EC0229">
        <w:rPr>
          <w:rFonts w:cs="Times New Roman"/>
          <w:szCs w:val="24"/>
        </w:rPr>
      </w:r>
      <w:r w:rsidRPr="00EC0229">
        <w:rPr>
          <w:rFonts w:cs="Times New Roman"/>
          <w:szCs w:val="24"/>
        </w:rPr>
        <w:fldChar w:fldCharType="end"/>
      </w:r>
      <w:r w:rsidRPr="00EC0229">
        <w:rPr>
          <w:rFonts w:cs="Times New Roman"/>
          <w:szCs w:val="24"/>
        </w:rPr>
        <w:fldChar w:fldCharType="begin"/>
      </w:r>
      <w:r w:rsidRPr="00EC0229">
        <w:rPr>
          <w:rFonts w:cs="Times New Roman"/>
          <w:szCs w:val="24"/>
        </w:rPr>
        <w:instrText xml:space="preserve"> PAGEREF Ryther \h </w:instrText>
      </w:r>
      <w:r w:rsidRPr="00EC0229">
        <w:rPr>
          <w:rFonts w:cs="Times New Roman"/>
          <w:szCs w:val="24"/>
        </w:rPr>
      </w:r>
      <w:r w:rsidRPr="00EC0229">
        <w:rPr>
          <w:rFonts w:cs="Times New Roman"/>
          <w:szCs w:val="24"/>
        </w:rPr>
        <w:fldChar w:fldCharType="separate"/>
      </w:r>
      <w:r w:rsidR="0012026B">
        <w:rPr>
          <w:rFonts w:cs="Times New Roman"/>
          <w:noProof/>
          <w:szCs w:val="24"/>
        </w:rPr>
        <w:t>213</w:t>
      </w:r>
      <w:r w:rsidRPr="00EC0229">
        <w:rPr>
          <w:rFonts w:cs="Times New Roman"/>
          <w:szCs w:val="24"/>
        </w:rPr>
        <w:fldChar w:fldCharType="end"/>
      </w:r>
      <w:r w:rsidRPr="00EC0229">
        <w:rPr>
          <w:rFonts w:cs="Times New Roman"/>
          <w:szCs w:val="24"/>
        </w:rPr>
        <w:t xml:space="preserve"> and Cottam, </w:t>
      </w:r>
      <w:r w:rsidRPr="00EC0229">
        <w:rPr>
          <w:rFonts w:cs="Times New Roman"/>
          <w:szCs w:val="24"/>
        </w:rPr>
        <w:fldChar w:fldCharType="begin"/>
      </w:r>
      <w:r w:rsidRPr="00EC0229">
        <w:rPr>
          <w:rFonts w:cs="Times New Roman"/>
          <w:szCs w:val="24"/>
        </w:rPr>
        <w:instrText xml:space="preserve"> PAGEREF Cottam \h </w:instrText>
      </w:r>
      <w:r w:rsidRPr="00EC0229">
        <w:rPr>
          <w:rFonts w:cs="Times New Roman"/>
          <w:szCs w:val="24"/>
        </w:rPr>
      </w:r>
      <w:r w:rsidRPr="00EC0229">
        <w:rPr>
          <w:rFonts w:cs="Times New Roman"/>
          <w:szCs w:val="24"/>
        </w:rPr>
        <w:fldChar w:fldCharType="separate"/>
      </w:r>
      <w:r w:rsidR="0012026B">
        <w:rPr>
          <w:rFonts w:cs="Times New Roman"/>
          <w:noProof/>
          <w:szCs w:val="24"/>
        </w:rPr>
        <w:t>240</w:t>
      </w:r>
      <w:r w:rsidRPr="00EC0229">
        <w:rPr>
          <w:rFonts w:cs="Times New Roman"/>
          <w:szCs w:val="24"/>
        </w:rPr>
        <w:fldChar w:fldCharType="end"/>
      </w:r>
      <w:r w:rsidRPr="00EC0229">
        <w:rPr>
          <w:rFonts w:cs="Times New Roman"/>
          <w:szCs w:val="24"/>
        </w:rPr>
        <w:t>). Such find densities can skew outcomes unduly (see Artefactual</w:t>
      </w:r>
      <w:r w:rsidRPr="00EC0229">
        <w:rPr>
          <w:rFonts w:cs="Times New Roman"/>
          <w:szCs w:val="24"/>
        </w:rPr>
        <w:fldChar w:fldCharType="begin"/>
      </w:r>
      <w:r w:rsidRPr="00EC0229">
        <w:instrText xml:space="preserve"> XE "</w:instrText>
      </w:r>
      <w:r w:rsidRPr="00EC0229">
        <w:rPr>
          <w:noProof/>
        </w:rPr>
        <w:instrText>Artefactual</w:instrText>
      </w:r>
      <w:r w:rsidRPr="00EC0229">
        <w:instrText xml:space="preserve">" </w:instrText>
      </w:r>
      <w:r w:rsidRPr="00EC0229">
        <w:rPr>
          <w:rFonts w:cs="Times New Roman"/>
          <w:szCs w:val="24"/>
        </w:rPr>
        <w:fldChar w:fldCharType="end"/>
      </w:r>
      <w:r w:rsidRPr="00EC0229">
        <w:rPr>
          <w:rFonts w:cs="Times New Roman"/>
          <w:szCs w:val="24"/>
        </w:rPr>
        <w:t xml:space="preserve"> </w:t>
      </w:r>
      <w:r w:rsidR="00497AC3" w:rsidRPr="00EC0229">
        <w:rPr>
          <w:rFonts w:cs="Times New Roman"/>
          <w:szCs w:val="24"/>
        </w:rPr>
        <w:t>Dataset</w:t>
      </w:r>
      <w:r w:rsidRPr="00EC0229">
        <w:rPr>
          <w:rFonts w:cs="Times New Roman"/>
          <w:szCs w:val="24"/>
        </w:rPr>
        <w:fldChar w:fldCharType="begin"/>
      </w:r>
      <w:r w:rsidRPr="00EC0229">
        <w:instrText xml:space="preserve"> XE "</w:instrText>
      </w:r>
      <w:r w:rsidRPr="00EC0229">
        <w:rPr>
          <w:rStyle w:val="Hyperlink"/>
          <w:noProof/>
          <w:u w:val="none"/>
        </w:rPr>
        <w:instrText>Database</w:instrText>
      </w:r>
      <w:r w:rsidRPr="00EC0229">
        <w:instrText xml:space="preserve">" </w:instrText>
      </w:r>
      <w:r w:rsidRPr="00EC0229">
        <w:rPr>
          <w:rFonts w:cs="Times New Roman"/>
          <w:szCs w:val="24"/>
        </w:rPr>
        <w:fldChar w:fldCharType="end"/>
      </w:r>
      <w:r w:rsidRPr="00EC0229">
        <w:rPr>
          <w:rFonts w:cs="Times New Roman"/>
          <w:szCs w:val="24"/>
        </w:rPr>
        <w:t xml:space="preserve">, </w:t>
      </w:r>
      <w:r w:rsidRPr="00EC0229">
        <w:rPr>
          <w:rFonts w:cs="Times New Roman"/>
          <w:szCs w:val="24"/>
        </w:rPr>
        <w:fldChar w:fldCharType="begin"/>
      </w:r>
      <w:r w:rsidRPr="00EC0229">
        <w:rPr>
          <w:rFonts w:cs="Times New Roman"/>
          <w:szCs w:val="24"/>
        </w:rPr>
        <w:instrText xml:space="preserve"> PAGEREF ArtefactualDatabase \h </w:instrText>
      </w:r>
      <w:r w:rsidRPr="00EC0229">
        <w:rPr>
          <w:rFonts w:cs="Times New Roman"/>
          <w:szCs w:val="24"/>
        </w:rPr>
      </w:r>
      <w:r w:rsidRPr="00EC0229">
        <w:rPr>
          <w:rFonts w:cs="Times New Roman"/>
          <w:szCs w:val="24"/>
        </w:rPr>
        <w:fldChar w:fldCharType="separate"/>
      </w:r>
      <w:r w:rsidR="0012026B">
        <w:rPr>
          <w:rFonts w:cs="Times New Roman"/>
          <w:noProof/>
          <w:szCs w:val="24"/>
        </w:rPr>
        <w:t>160</w:t>
      </w:r>
      <w:r w:rsidRPr="00EC0229">
        <w:rPr>
          <w:rFonts w:cs="Times New Roman"/>
          <w:szCs w:val="24"/>
        </w:rPr>
        <w:fldChar w:fldCharType="end"/>
      </w:r>
      <w:r w:rsidRPr="00EC0229">
        <w:rPr>
          <w:rFonts w:cs="Times New Roman"/>
          <w:szCs w:val="24"/>
        </w:rPr>
        <w:t>.) Blackburn encouraged detectorists to report all finds irrespective of ‘rarity, legibility or condition’.</w:t>
      </w:r>
      <w:r w:rsidRPr="00EC0229">
        <w:rPr>
          <w:rStyle w:val="FootnoteReference"/>
          <w:rFonts w:cs="Times New Roman"/>
          <w:szCs w:val="24"/>
        </w:rPr>
        <w:footnoteReference w:id="700"/>
      </w:r>
    </w:p>
    <w:p w14:paraId="72EBE814"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Detecting selectivity: the operator can tune the instrument to detect specific metallurgical signatures. In particular, base metals can be ‘tuned-out’ so that the proportion of such metals may be significantly underestimated which could lead to a misrepresentation of site use.</w:t>
      </w:r>
    </w:p>
    <w:p w14:paraId="5F334538"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Loss of context: as soon as an artefact is removed from the soil the archaeological</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archaeological</w:instrText>
      </w:r>
      <w:r w:rsidRPr="00EC0229">
        <w:instrText xml:space="preserve">" </w:instrText>
      </w:r>
      <w:r w:rsidRPr="00EC0229">
        <w:rPr>
          <w:rFonts w:cs="Times New Roman"/>
          <w:szCs w:val="24"/>
        </w:rPr>
        <w:fldChar w:fldCharType="end"/>
      </w:r>
      <w:r w:rsidRPr="00EC0229">
        <w:rPr>
          <w:rFonts w:cs="Times New Roman"/>
          <w:szCs w:val="24"/>
        </w:rPr>
        <w:t xml:space="preserve"> context is jeopardised, even though much else can be discerned from the find. Items in plough-soil are unstratified in any event.</w:t>
      </w:r>
    </w:p>
    <w:p w14:paraId="4CF35C38" w14:textId="77928FBD"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 xml:space="preserve">Detecting disinformation: provenances may be unreliable where a finder is seeking to disguise the location of a site (e.g. the two ‘near Malton’ sites, </w:t>
      </w:r>
      <w:r w:rsidRPr="00EC0229">
        <w:rPr>
          <w:rFonts w:cs="Times New Roman"/>
          <w:szCs w:val="24"/>
        </w:rPr>
        <w:fldChar w:fldCharType="begin"/>
      </w:r>
      <w:r w:rsidRPr="00EC0229">
        <w:rPr>
          <w:rFonts w:cs="Times New Roman"/>
          <w:szCs w:val="24"/>
        </w:rPr>
        <w:instrText xml:space="preserve"> PAGEREF nearMalton \h </w:instrText>
      </w:r>
      <w:r w:rsidRPr="00EC0229">
        <w:rPr>
          <w:rFonts w:cs="Times New Roman"/>
          <w:szCs w:val="24"/>
        </w:rPr>
      </w:r>
      <w:r w:rsidRPr="00EC0229">
        <w:rPr>
          <w:rFonts w:cs="Times New Roman"/>
          <w:szCs w:val="24"/>
        </w:rPr>
        <w:fldChar w:fldCharType="separate"/>
      </w:r>
      <w:r w:rsidR="0012026B">
        <w:rPr>
          <w:rFonts w:cs="Times New Roman"/>
          <w:noProof/>
          <w:szCs w:val="24"/>
        </w:rPr>
        <w:t>268</w:t>
      </w:r>
      <w:r w:rsidRPr="00EC0229">
        <w:rPr>
          <w:rFonts w:cs="Times New Roman"/>
          <w:szCs w:val="24"/>
        </w:rPr>
        <w:fldChar w:fldCharType="end"/>
      </w:r>
      <w:r w:rsidRPr="00EC0229">
        <w:rPr>
          <w:rFonts w:cs="Times New Roman"/>
          <w:szCs w:val="24"/>
        </w:rPr>
        <w:t>), even though confidentiality can be provided by the finds recording regime.</w:t>
      </w:r>
    </w:p>
    <w:p w14:paraId="2F25B93F" w14:textId="681FF913" w:rsidR="003A3DAB" w:rsidRPr="00EC0229" w:rsidRDefault="00AE431C" w:rsidP="003A3DAB">
      <w:pPr>
        <w:pStyle w:val="Heading3"/>
        <w:spacing w:line="360" w:lineRule="auto"/>
      </w:pPr>
      <w:bookmarkStart w:id="450" w:name="Postextractionfactors"/>
      <w:bookmarkStart w:id="451" w:name="_Toc468266823"/>
      <w:bookmarkEnd w:id="450"/>
      <w:r>
        <w:t>6.1.5</w:t>
      </w:r>
      <w:r>
        <w:tab/>
      </w:r>
      <w:r w:rsidR="003A3DAB" w:rsidRPr="00EC0229">
        <w:t>Post-extraction factors</w:t>
      </w:r>
      <w:bookmarkEnd w:id="451"/>
      <w:r w:rsidR="003A3DAB" w:rsidRPr="00EC0229">
        <w:fldChar w:fldCharType="begin"/>
      </w:r>
      <w:r w:rsidR="003A3DAB" w:rsidRPr="00EC0229">
        <w:instrText xml:space="preserve"> XE "</w:instrText>
      </w:r>
      <w:r w:rsidR="003A3DAB" w:rsidRPr="00EC0229">
        <w:rPr>
          <w:rStyle w:val="Hyperlink"/>
          <w:noProof/>
          <w:u w:val="none"/>
        </w:rPr>
        <w:instrText>Post-extraction  factors</w:instrText>
      </w:r>
      <w:r w:rsidR="003A3DAB" w:rsidRPr="00EC0229">
        <w:instrText xml:space="preserve">" </w:instrText>
      </w:r>
      <w:r w:rsidR="003A3DAB" w:rsidRPr="00EC0229">
        <w:fldChar w:fldCharType="end"/>
      </w:r>
    </w:p>
    <w:p w14:paraId="554064C0" w14:textId="6304B564"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 xml:space="preserve">Misidentification of significant artefacts. </w:t>
      </w:r>
      <w:r w:rsidRPr="00EC0229">
        <w:rPr>
          <w:rFonts w:eastAsia="Times New Roman" w:cs="Times New Roman"/>
          <w:szCs w:val="24"/>
          <w:lang w:eastAsia="en-GB"/>
        </w:rPr>
        <w:t xml:space="preserve">Errors occur through ignorance, incompetence and fallibility. </w:t>
      </w:r>
      <w:r w:rsidRPr="00EC0229">
        <w:rPr>
          <w:rFonts w:cs="Times New Roman"/>
          <w:szCs w:val="24"/>
        </w:rPr>
        <w:t>A cursory examination of the major online databases reveals the PAS</w:t>
      </w:r>
      <w:r w:rsidRPr="00EC0229">
        <w:rPr>
          <w:rFonts w:cs="Times New Roman"/>
          <w:szCs w:val="24"/>
        </w:rPr>
        <w:fldChar w:fldCharType="begin"/>
      </w:r>
      <w:r w:rsidRPr="00EC0229">
        <w:instrText xml:space="preserve"> XE "PAS" </w:instrText>
      </w:r>
      <w:r w:rsidRPr="00EC0229">
        <w:rPr>
          <w:rFonts w:cs="Times New Roman"/>
          <w:szCs w:val="24"/>
        </w:rPr>
        <w:fldChar w:fldCharType="end"/>
      </w:r>
      <w:r w:rsidRPr="00EC0229">
        <w:rPr>
          <w:rFonts w:cs="Times New Roman"/>
          <w:szCs w:val="24"/>
        </w:rPr>
        <w:t xml:space="preserve"> finds database to lack uniformity of description and accuracy of identification, compared to EMC</w:t>
      </w:r>
      <w:r w:rsidRPr="00EC0229">
        <w:rPr>
          <w:rFonts w:cs="Times New Roman"/>
          <w:szCs w:val="24"/>
        </w:rPr>
        <w:fldChar w:fldCharType="begin"/>
      </w:r>
      <w:r w:rsidRPr="00EC0229">
        <w:instrText xml:space="preserve"> XE "EMC" </w:instrText>
      </w:r>
      <w:r w:rsidRPr="00EC0229">
        <w:rPr>
          <w:rFonts w:cs="Times New Roman"/>
          <w:szCs w:val="24"/>
        </w:rPr>
        <w:fldChar w:fldCharType="end"/>
      </w:r>
      <w:r w:rsidRPr="00EC0229">
        <w:rPr>
          <w:rFonts w:cs="Times New Roman"/>
          <w:szCs w:val="24"/>
        </w:rPr>
        <w:t>, even though the former will often be far richer in detail (</w:t>
      </w:r>
      <w:r w:rsidRPr="00EC0229">
        <w:rPr>
          <w:rFonts w:cs="Times New Roman"/>
          <w:szCs w:val="24"/>
        </w:rPr>
        <w:fldChar w:fldCharType="begin"/>
      </w:r>
      <w:r w:rsidRPr="00EC0229">
        <w:rPr>
          <w:rFonts w:cs="Times New Roman"/>
          <w:szCs w:val="24"/>
        </w:rPr>
        <w:instrText xml:space="preserve"> PAGEREF principlesprotocolsandproblems \h </w:instrText>
      </w:r>
      <w:r w:rsidRPr="00EC0229">
        <w:rPr>
          <w:rFonts w:cs="Times New Roman"/>
          <w:szCs w:val="24"/>
        </w:rPr>
      </w:r>
      <w:r w:rsidRPr="00EC0229">
        <w:rPr>
          <w:rFonts w:cs="Times New Roman"/>
          <w:szCs w:val="24"/>
        </w:rPr>
        <w:fldChar w:fldCharType="separate"/>
      </w:r>
      <w:r w:rsidR="0012026B">
        <w:rPr>
          <w:rFonts w:cs="Times New Roman"/>
          <w:noProof/>
          <w:szCs w:val="24"/>
        </w:rPr>
        <w:t>155</w:t>
      </w:r>
      <w:r w:rsidRPr="00EC0229">
        <w:rPr>
          <w:rFonts w:cs="Times New Roman"/>
          <w:szCs w:val="24"/>
        </w:rPr>
        <w:fldChar w:fldCharType="end"/>
      </w:r>
      <w:r w:rsidRPr="00EC0229">
        <w:rPr>
          <w:rFonts w:cs="Times New Roman"/>
          <w:szCs w:val="24"/>
        </w:rPr>
        <w:t>). It is detrimental to further research that the major cleansing of early medieval finds data, carried out over eighteen months in 2005-7 by Naylor</w:t>
      </w:r>
      <w:r w:rsidRPr="00EC0229">
        <w:rPr>
          <w:rFonts w:cs="Times New Roman"/>
          <w:szCs w:val="24"/>
        </w:rPr>
        <w:fldChar w:fldCharType="begin"/>
      </w:r>
      <w:r w:rsidRPr="00EC0229">
        <w:instrText xml:space="preserve"> XE "</w:instrText>
      </w:r>
      <w:r w:rsidRPr="00EC0229">
        <w:rPr>
          <w:rFonts w:cs="Times New Roman"/>
          <w:szCs w:val="24"/>
        </w:rPr>
        <w:instrText>Naylor</w:instrText>
      </w:r>
      <w:r w:rsidRPr="00EC0229">
        <w:instrText xml:space="preserve">" </w:instrText>
      </w:r>
      <w:r w:rsidRPr="00EC0229">
        <w:rPr>
          <w:rFonts w:cs="Times New Roman"/>
          <w:szCs w:val="24"/>
        </w:rPr>
        <w:fldChar w:fldCharType="end"/>
      </w:r>
      <w:r w:rsidRPr="00EC0229">
        <w:rPr>
          <w:rFonts w:cs="Times New Roman"/>
          <w:szCs w:val="24"/>
        </w:rPr>
        <w:t xml:space="preserve"> as part of the </w:t>
      </w:r>
      <w:r w:rsidRPr="00EC0229">
        <w:rPr>
          <w:rFonts w:cs="Times New Roman"/>
          <w:i/>
          <w:szCs w:val="24"/>
        </w:rPr>
        <w:t>VASLE</w:t>
      </w:r>
      <w:r w:rsidRPr="00EC0229">
        <w:rPr>
          <w:rFonts w:cs="Times New Roman"/>
          <w:szCs w:val="24"/>
        </w:rPr>
        <w:fldChar w:fldCharType="begin"/>
      </w:r>
      <w:r w:rsidRPr="00EC0229">
        <w:instrText xml:space="preserve"> XE "VASLE" </w:instrText>
      </w:r>
      <w:r w:rsidRPr="00EC0229">
        <w:rPr>
          <w:rFonts w:cs="Times New Roman"/>
          <w:szCs w:val="24"/>
        </w:rPr>
        <w:fldChar w:fldCharType="end"/>
      </w:r>
      <w:r w:rsidRPr="00EC0229">
        <w:rPr>
          <w:rFonts w:cs="Times New Roman"/>
          <w:szCs w:val="24"/>
        </w:rPr>
        <w:t xml:space="preserve"> project, has not been adopted by PAS.</w:t>
      </w:r>
    </w:p>
    <w:p w14:paraId="226602CD"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PAS</w:t>
      </w:r>
      <w:r w:rsidRPr="00EC0229">
        <w:rPr>
          <w:rFonts w:cs="Times New Roman"/>
          <w:szCs w:val="24"/>
        </w:rPr>
        <w:fldChar w:fldCharType="begin"/>
      </w:r>
      <w:r w:rsidRPr="00EC0229">
        <w:instrText xml:space="preserve"> XE "PAS" </w:instrText>
      </w:r>
      <w:r w:rsidRPr="00EC0229">
        <w:rPr>
          <w:rFonts w:cs="Times New Roman"/>
          <w:szCs w:val="24"/>
        </w:rPr>
        <w:fldChar w:fldCharType="end"/>
      </w:r>
      <w:r w:rsidRPr="00EC0229">
        <w:rPr>
          <w:rFonts w:cs="Times New Roman"/>
          <w:szCs w:val="24"/>
        </w:rPr>
        <w:t xml:space="preserve"> resourcing, especially in the calibre of FLO’s recruited, influences the recording of finds. Moreover, England north of York</w:t>
      </w:r>
      <w:r w:rsidRPr="00EC0229">
        <w:rPr>
          <w:rFonts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rPr>
        <w:fldChar w:fldCharType="end"/>
      </w:r>
      <w:r w:rsidRPr="00EC0229">
        <w:rPr>
          <w:rFonts w:cs="Times New Roman"/>
          <w:szCs w:val="24"/>
        </w:rPr>
        <w:t xml:space="preserve"> and Liverpool were not served by FLO’s until 2003. Nighthawking</w:t>
      </w:r>
      <w:r w:rsidRPr="00EC0229">
        <w:rPr>
          <w:rFonts w:cs="Times New Roman"/>
          <w:szCs w:val="24"/>
        </w:rPr>
        <w:fldChar w:fldCharType="begin"/>
      </w:r>
      <w:r w:rsidRPr="00EC0229">
        <w:instrText xml:space="preserve"> XE "</w:instrText>
      </w:r>
      <w:r w:rsidRPr="00EC0229">
        <w:rPr>
          <w:rFonts w:cs="Times New Roman"/>
          <w:szCs w:val="24"/>
        </w:rPr>
        <w:instrText>Nighthawking</w:instrText>
      </w:r>
      <w:r w:rsidRPr="00EC0229">
        <w:instrText xml:space="preserve">" </w:instrText>
      </w:r>
      <w:r w:rsidRPr="00EC0229">
        <w:rPr>
          <w:rFonts w:cs="Times New Roman"/>
          <w:szCs w:val="24"/>
        </w:rPr>
        <w:fldChar w:fldCharType="end"/>
      </w:r>
      <w:r w:rsidRPr="00EC0229">
        <w:rPr>
          <w:rFonts w:cs="Times New Roman"/>
          <w:szCs w:val="24"/>
        </w:rPr>
        <w:t xml:space="preserve"> was prolific on many north-eastern sites (e.g. Yeavering</w:t>
      </w:r>
      <w:r w:rsidRPr="00EC0229">
        <w:rPr>
          <w:rFonts w:cs="Times New Roman"/>
          <w:szCs w:val="24"/>
        </w:rPr>
        <w:fldChar w:fldCharType="begin"/>
      </w:r>
      <w:r w:rsidRPr="00EC0229">
        <w:instrText xml:space="preserve"> XE "</w:instrText>
      </w:r>
      <w:r w:rsidRPr="00EC0229">
        <w:rPr>
          <w:rStyle w:val="Hyperlink"/>
          <w:noProof/>
          <w:u w:val="none"/>
        </w:rPr>
        <w:instrText>Yeavering</w:instrText>
      </w:r>
      <w:r w:rsidRPr="00EC0229">
        <w:instrText xml:space="preserve">" </w:instrText>
      </w:r>
      <w:r w:rsidRPr="00EC0229">
        <w:rPr>
          <w:rFonts w:cs="Times New Roman"/>
          <w:szCs w:val="24"/>
        </w:rPr>
        <w:fldChar w:fldCharType="end"/>
      </w:r>
      <w:r w:rsidRPr="00EC0229">
        <w:rPr>
          <w:rFonts w:cs="Times New Roman"/>
          <w:szCs w:val="24"/>
        </w:rPr>
        <w:t xml:space="preserve"> Bell).</w:t>
      </w:r>
      <w:r w:rsidRPr="00EC0229">
        <w:rPr>
          <w:rStyle w:val="FootnoteReference"/>
          <w:rFonts w:cs="Times New Roman"/>
          <w:szCs w:val="24"/>
        </w:rPr>
        <w:footnoteReference w:id="701"/>
      </w:r>
    </w:p>
    <w:p w14:paraId="3E863F46"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t>Reporting bias: In 1997, de Jersey reported that finds local to Oxford were more likely to be reported to the Celtic Coin Index.</w:t>
      </w:r>
      <w:r w:rsidRPr="00EC0229">
        <w:rPr>
          <w:rStyle w:val="FootnoteReference"/>
          <w:rFonts w:cs="Times New Roman"/>
          <w:szCs w:val="24"/>
        </w:rPr>
        <w:footnoteReference w:id="702"/>
      </w:r>
      <w:r w:rsidRPr="00EC0229">
        <w:rPr>
          <w:rFonts w:cs="Times New Roman"/>
          <w:szCs w:val="24"/>
        </w:rPr>
        <w:t xml:space="preserve"> The dispersed FLO network may have overcome this.</w:t>
      </w:r>
    </w:p>
    <w:p w14:paraId="3F36413D" w14:textId="77777777" w:rsidR="003A3DAB" w:rsidRPr="00EC0229" w:rsidRDefault="003A3DAB" w:rsidP="00387063">
      <w:pPr>
        <w:pStyle w:val="ListParagraph"/>
        <w:numPr>
          <w:ilvl w:val="0"/>
          <w:numId w:val="3"/>
        </w:numPr>
        <w:spacing w:after="200" w:line="360" w:lineRule="auto"/>
        <w:rPr>
          <w:rFonts w:cs="Times New Roman"/>
          <w:szCs w:val="24"/>
        </w:rPr>
      </w:pPr>
      <w:r w:rsidRPr="00EC0229">
        <w:rPr>
          <w:rFonts w:cs="Times New Roman"/>
          <w:szCs w:val="24"/>
        </w:rPr>
        <w:lastRenderedPageBreak/>
        <w:t>Collecting neurosis: collectors can be secretive and careless. Surprisingly few recognise the importance of provenance.</w:t>
      </w:r>
      <w:r w:rsidRPr="00EC0229">
        <w:rPr>
          <w:rStyle w:val="FootnoteReference"/>
          <w:rFonts w:cs="Times New Roman"/>
          <w:szCs w:val="24"/>
        </w:rPr>
        <w:footnoteReference w:id="703"/>
      </w:r>
      <w:r w:rsidRPr="00EC0229">
        <w:rPr>
          <w:rFonts w:cs="Times New Roman"/>
          <w:szCs w:val="24"/>
        </w:rPr>
        <w:t xml:space="preserve"> Dealers and collectors, when buying from finders, often find it convenient to neglect their responsibility for due diligence under the Treasure regime. An artefact can pass through many hands with accuracy jeopardised at each stage. </w:t>
      </w:r>
    </w:p>
    <w:p w14:paraId="1F718EB7" w14:textId="2839587D" w:rsidR="003A3DAB" w:rsidRPr="00EC0229" w:rsidRDefault="00AE431C" w:rsidP="003A3DAB">
      <w:pPr>
        <w:pStyle w:val="Heading3"/>
        <w:spacing w:line="360" w:lineRule="auto"/>
      </w:pPr>
      <w:bookmarkStart w:id="452" w:name="_Toc468266824"/>
      <w:r>
        <w:t>6.1.6</w:t>
      </w:r>
      <w:r>
        <w:tab/>
      </w:r>
      <w:r w:rsidR="003A3DAB" w:rsidRPr="00EC0229">
        <w:t>Legal factors</w:t>
      </w:r>
      <w:bookmarkEnd w:id="452"/>
      <w:r w:rsidR="003A3DAB" w:rsidRPr="00EC0229">
        <w:fldChar w:fldCharType="begin"/>
      </w:r>
      <w:r w:rsidR="003A3DAB" w:rsidRPr="00EC0229">
        <w:instrText xml:space="preserve"> XE "</w:instrText>
      </w:r>
      <w:r w:rsidR="003A3DAB" w:rsidRPr="00EC0229">
        <w:rPr>
          <w:rStyle w:val="Hyperlink"/>
          <w:noProof/>
          <w:u w:val="none"/>
        </w:rPr>
        <w:instrText>Legal factors</w:instrText>
      </w:r>
      <w:r w:rsidR="003A3DAB" w:rsidRPr="00EC0229">
        <w:instrText xml:space="preserve">" </w:instrText>
      </w:r>
      <w:r w:rsidR="003A3DAB" w:rsidRPr="00EC0229">
        <w:fldChar w:fldCharType="end"/>
      </w:r>
    </w:p>
    <w:p w14:paraId="627CB5E1" w14:textId="51C24B8D" w:rsidR="003A3DAB" w:rsidRPr="00EC0229" w:rsidRDefault="003A3DAB" w:rsidP="00387063">
      <w:pPr>
        <w:pStyle w:val="ListParagraph"/>
        <w:numPr>
          <w:ilvl w:val="0"/>
          <w:numId w:val="3"/>
        </w:numPr>
        <w:autoSpaceDE w:val="0"/>
        <w:autoSpaceDN w:val="0"/>
        <w:adjustRightInd w:val="0"/>
        <w:spacing w:after="0" w:line="360" w:lineRule="auto"/>
        <w:rPr>
          <w:rFonts w:cs="Times New Roman"/>
          <w:szCs w:val="24"/>
          <w:lang w:eastAsia="en-GB"/>
        </w:rPr>
      </w:pPr>
      <w:r w:rsidRPr="00EC0229">
        <w:rPr>
          <w:rFonts w:cs="Times New Roman"/>
          <w:szCs w:val="24"/>
        </w:rPr>
        <w:t xml:space="preserve">Illicit activity: site-plunder (West Heslerton, </w:t>
      </w:r>
      <w:r w:rsidRPr="00EC0229">
        <w:rPr>
          <w:rFonts w:cs="Times New Roman"/>
          <w:szCs w:val="24"/>
        </w:rPr>
        <w:fldChar w:fldCharType="begin"/>
      </w:r>
      <w:r w:rsidRPr="00EC0229">
        <w:rPr>
          <w:rFonts w:cs="Times New Roman"/>
          <w:szCs w:val="24"/>
        </w:rPr>
        <w:instrText xml:space="preserve"> PAGEREF WestHeslerton \h </w:instrText>
      </w:r>
      <w:r w:rsidRPr="00EC0229">
        <w:rPr>
          <w:rFonts w:cs="Times New Roman"/>
          <w:szCs w:val="24"/>
        </w:rPr>
      </w:r>
      <w:r w:rsidRPr="00EC0229">
        <w:rPr>
          <w:rFonts w:cs="Times New Roman"/>
          <w:szCs w:val="24"/>
        </w:rPr>
        <w:fldChar w:fldCharType="separate"/>
      </w:r>
      <w:r w:rsidR="0012026B">
        <w:rPr>
          <w:rFonts w:cs="Times New Roman"/>
          <w:noProof/>
          <w:szCs w:val="24"/>
        </w:rPr>
        <w:t>270</w:t>
      </w:r>
      <w:r w:rsidRPr="00EC0229">
        <w:rPr>
          <w:rFonts w:cs="Times New Roman"/>
          <w:szCs w:val="24"/>
        </w:rPr>
        <w:fldChar w:fldCharType="end"/>
      </w:r>
      <w:r w:rsidRPr="00EC0229">
        <w:rPr>
          <w:rFonts w:cs="Times New Roman"/>
          <w:szCs w:val="24"/>
        </w:rPr>
        <w:t xml:space="preserve">), night-hawking (Butterwick, </w:t>
      </w:r>
      <w:r w:rsidRPr="00EC0229">
        <w:rPr>
          <w:rFonts w:cs="Times New Roman"/>
          <w:szCs w:val="24"/>
        </w:rPr>
        <w:fldChar w:fldCharType="begin"/>
      </w:r>
      <w:r w:rsidRPr="00EC0229">
        <w:rPr>
          <w:rFonts w:cs="Times New Roman"/>
          <w:szCs w:val="24"/>
        </w:rPr>
        <w:instrText xml:space="preserve"> PAGEREF Butterwick \h </w:instrText>
      </w:r>
      <w:r w:rsidRPr="00EC0229">
        <w:rPr>
          <w:rFonts w:cs="Times New Roman"/>
          <w:szCs w:val="24"/>
        </w:rPr>
      </w:r>
      <w:r w:rsidRPr="00EC0229">
        <w:rPr>
          <w:rFonts w:cs="Times New Roman"/>
          <w:szCs w:val="24"/>
        </w:rPr>
        <w:fldChar w:fldCharType="separate"/>
      </w:r>
      <w:r w:rsidR="0012026B">
        <w:rPr>
          <w:rFonts w:cs="Times New Roman"/>
          <w:noProof/>
          <w:szCs w:val="24"/>
        </w:rPr>
        <w:t>251</w:t>
      </w:r>
      <w:r w:rsidRPr="00EC0229">
        <w:rPr>
          <w:rFonts w:cs="Times New Roman"/>
          <w:szCs w:val="24"/>
        </w:rPr>
        <w:fldChar w:fldCharType="end"/>
      </w:r>
      <w:r w:rsidRPr="00EC0229">
        <w:rPr>
          <w:rFonts w:cs="Times New Roman"/>
          <w:szCs w:val="24"/>
        </w:rPr>
        <w:t>) and non-disclosure are corrosive.</w:t>
      </w:r>
      <w:r w:rsidRPr="00EC0229">
        <w:rPr>
          <w:rStyle w:val="FootnoteReference"/>
          <w:rFonts w:cs="Times New Roman"/>
          <w:szCs w:val="24"/>
        </w:rPr>
        <w:footnoteReference w:id="704"/>
      </w:r>
      <w:r w:rsidRPr="00EC0229">
        <w:rPr>
          <w:rFonts w:cs="Times New Roman"/>
          <w:szCs w:val="24"/>
        </w:rPr>
        <w:t xml:space="preserve"> In the year to September 2000, 1,788 finders reported to PAS</w:t>
      </w:r>
      <w:r w:rsidRPr="00EC0229">
        <w:rPr>
          <w:rFonts w:cs="Times New Roman"/>
          <w:szCs w:val="24"/>
        </w:rPr>
        <w:fldChar w:fldCharType="begin"/>
      </w:r>
      <w:r w:rsidRPr="00EC0229">
        <w:instrText xml:space="preserve"> XE "PAS" </w:instrText>
      </w:r>
      <w:r w:rsidRPr="00EC0229">
        <w:rPr>
          <w:rFonts w:cs="Times New Roman"/>
          <w:szCs w:val="24"/>
        </w:rPr>
        <w:fldChar w:fldCharType="end"/>
      </w:r>
      <w:r w:rsidRPr="00EC0229">
        <w:rPr>
          <w:rFonts w:cs="Times New Roman"/>
          <w:szCs w:val="24"/>
        </w:rPr>
        <w:t xml:space="preserve"> compared to an estimate of 13-30,000 enthusiasts.</w:t>
      </w:r>
      <w:r w:rsidRPr="00EC0229">
        <w:rPr>
          <w:rStyle w:val="FootnoteReference"/>
          <w:rFonts w:cs="Times New Roman"/>
          <w:szCs w:val="24"/>
        </w:rPr>
        <w:footnoteReference w:id="705"/>
      </w:r>
    </w:p>
    <w:p w14:paraId="655A69CE" w14:textId="77777777" w:rsidR="003A3DAB" w:rsidRPr="00EC0229" w:rsidRDefault="003A3DAB" w:rsidP="00387063">
      <w:pPr>
        <w:pStyle w:val="ListParagraph"/>
        <w:numPr>
          <w:ilvl w:val="0"/>
          <w:numId w:val="3"/>
        </w:numPr>
        <w:spacing w:after="200" w:line="360" w:lineRule="auto"/>
        <w:rPr>
          <w:rFonts w:cs="Times New Roman"/>
          <w:szCs w:val="24"/>
          <w:lang w:eastAsia="en-GB"/>
        </w:rPr>
      </w:pPr>
      <w:r w:rsidRPr="00EC0229">
        <w:rPr>
          <w:rFonts w:cs="Times New Roman"/>
          <w:szCs w:val="24"/>
        </w:rPr>
        <w:t>Internet ‘fencing’: anonymized internet auction disposal aided by uncooperative site supervision, and an under-resourced or incompetent regulatory regime, facilitates loss of heritage. Conventional auction houses are generally more compliant following the 1998 Washington conference on Nazi loot.</w:t>
      </w:r>
      <w:r w:rsidRPr="00EC0229">
        <w:rPr>
          <w:rStyle w:val="FootnoteReference"/>
          <w:rFonts w:cs="Times New Roman"/>
          <w:szCs w:val="24"/>
        </w:rPr>
        <w:footnoteReference w:id="706"/>
      </w:r>
    </w:p>
    <w:p w14:paraId="5899E158" w14:textId="77777777" w:rsidR="003A3DAB" w:rsidRPr="00EC0229" w:rsidRDefault="003A3DAB" w:rsidP="00387063">
      <w:pPr>
        <w:pStyle w:val="ListParagraph"/>
        <w:numPr>
          <w:ilvl w:val="0"/>
          <w:numId w:val="3"/>
        </w:numPr>
        <w:spacing w:after="200" w:line="360" w:lineRule="auto"/>
        <w:rPr>
          <w:rFonts w:cs="Times New Roman"/>
          <w:szCs w:val="24"/>
          <w:lang w:eastAsia="en-GB"/>
        </w:rPr>
      </w:pPr>
      <w:r w:rsidRPr="00EC0229">
        <w:rPr>
          <w:rFonts w:cs="Times New Roman"/>
          <w:szCs w:val="24"/>
        </w:rPr>
        <w:t>Perceived exploitation of the treasure regime by its management creates resentment and dissuades finders from future disclosure.</w:t>
      </w:r>
    </w:p>
    <w:p w14:paraId="2266E12F" w14:textId="77777777" w:rsidR="003A3DAB" w:rsidRPr="00EC0229" w:rsidRDefault="003A3DAB" w:rsidP="00387063">
      <w:pPr>
        <w:pStyle w:val="ListParagraph"/>
        <w:numPr>
          <w:ilvl w:val="0"/>
          <w:numId w:val="3"/>
        </w:numPr>
        <w:spacing w:after="200" w:line="360" w:lineRule="auto"/>
        <w:rPr>
          <w:rFonts w:cs="Times New Roman"/>
          <w:szCs w:val="24"/>
          <w:lang w:eastAsia="en-GB"/>
        </w:rPr>
      </w:pPr>
      <w:r w:rsidRPr="00EC0229">
        <w:rPr>
          <w:rFonts w:cs="Times New Roman"/>
          <w:szCs w:val="24"/>
        </w:rPr>
        <w:t xml:space="preserve"> Legal non-disclosure: </w:t>
      </w:r>
      <w:r w:rsidRPr="00EC0229">
        <w:rPr>
          <w:rFonts w:cs="Times New Roman"/>
          <w:szCs w:val="24"/>
          <w:lang w:eastAsia="en-GB"/>
        </w:rPr>
        <w:t>the following are excluded from the 1997 Treasure Act</w:t>
      </w:r>
      <w:r w:rsidRPr="00EC0229">
        <w:rPr>
          <w:rFonts w:cs="Times New Roman"/>
          <w:szCs w:val="24"/>
          <w:lang w:eastAsia="en-GB"/>
        </w:rPr>
        <w:fldChar w:fldCharType="begin"/>
      </w:r>
      <w:r w:rsidRPr="00EC0229">
        <w:instrText xml:space="preserve"> XE "</w:instrText>
      </w:r>
      <w:r w:rsidRPr="00EC0229">
        <w:rPr>
          <w:rFonts w:cs="Times New Roman"/>
          <w:szCs w:val="24"/>
          <w:lang w:eastAsia="en-GB"/>
        </w:rPr>
        <w:instrText>Treasure Act</w:instrText>
      </w:r>
      <w:r w:rsidRPr="00EC0229">
        <w:instrText xml:space="preserve">" </w:instrText>
      </w:r>
      <w:r w:rsidRPr="00EC0229">
        <w:rPr>
          <w:rFonts w:cs="Times New Roman"/>
          <w:szCs w:val="24"/>
          <w:lang w:eastAsia="en-GB"/>
        </w:rPr>
        <w:fldChar w:fldCharType="end"/>
      </w:r>
      <w:r w:rsidRPr="00EC0229">
        <w:rPr>
          <w:rFonts w:cs="Times New Roman"/>
          <w:szCs w:val="24"/>
          <w:lang w:eastAsia="en-GB"/>
        </w:rPr>
        <w:t>:</w:t>
      </w:r>
    </w:p>
    <w:p w14:paraId="5FD99759" w14:textId="77777777" w:rsidR="003A3DAB" w:rsidRPr="00EC0229" w:rsidRDefault="003A3DAB" w:rsidP="00387063">
      <w:pPr>
        <w:pStyle w:val="NoSpacing"/>
        <w:numPr>
          <w:ilvl w:val="0"/>
          <w:numId w:val="12"/>
        </w:numPr>
        <w:spacing w:line="360" w:lineRule="auto"/>
        <w:rPr>
          <w:lang w:eastAsia="en-GB"/>
        </w:rPr>
      </w:pPr>
      <w:r w:rsidRPr="00EC0229">
        <w:rPr>
          <w:lang w:eastAsia="en-GB"/>
        </w:rPr>
        <w:t>Single coin finds, even if of precious metal.</w:t>
      </w:r>
    </w:p>
    <w:p w14:paraId="399011EA" w14:textId="77777777" w:rsidR="003A3DAB" w:rsidRPr="00EC0229" w:rsidRDefault="003A3DAB" w:rsidP="00387063">
      <w:pPr>
        <w:pStyle w:val="NoSpacing"/>
        <w:numPr>
          <w:ilvl w:val="0"/>
          <w:numId w:val="12"/>
        </w:numPr>
        <w:spacing w:line="360" w:lineRule="auto"/>
        <w:rPr>
          <w:lang w:eastAsia="en-GB"/>
        </w:rPr>
      </w:pPr>
      <w:r w:rsidRPr="00EC0229">
        <w:rPr>
          <w:lang w:eastAsia="en-GB"/>
        </w:rPr>
        <w:t>Nine or fewer coins from the same find if they contain less than 10% gold</w:t>
      </w:r>
      <w:r w:rsidRPr="00EC0229">
        <w:rPr>
          <w:lang w:eastAsia="en-GB"/>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lang w:eastAsia="en-GB"/>
        </w:rPr>
        <w:fldChar w:fldCharType="end"/>
      </w:r>
      <w:r w:rsidRPr="00EC0229">
        <w:rPr>
          <w:lang w:eastAsia="en-GB"/>
        </w:rPr>
        <w:t xml:space="preserve"> or silver</w:t>
      </w:r>
    </w:p>
    <w:p w14:paraId="670C1D04" w14:textId="77777777" w:rsidR="003A3DAB" w:rsidRPr="00EC0229" w:rsidRDefault="003A3DAB" w:rsidP="00387063">
      <w:pPr>
        <w:pStyle w:val="NoSpacing"/>
        <w:numPr>
          <w:ilvl w:val="0"/>
          <w:numId w:val="12"/>
        </w:numPr>
        <w:spacing w:line="360" w:lineRule="auto"/>
        <w:rPr>
          <w:lang w:eastAsia="en-GB"/>
        </w:rPr>
      </w:pPr>
      <w:r w:rsidRPr="00EC0229">
        <w:rPr>
          <w:lang w:eastAsia="en-GB"/>
        </w:rPr>
        <w:t>Single finds of metallic, prehistoric objects (e.g. the Crosby Garrett helmet).</w:t>
      </w:r>
      <w:r w:rsidRPr="00EC0229">
        <w:rPr>
          <w:rStyle w:val="FootnoteReference"/>
          <w:lang w:eastAsia="en-GB"/>
        </w:rPr>
        <w:footnoteReference w:id="707"/>
      </w:r>
    </w:p>
    <w:p w14:paraId="56C20894" w14:textId="77777777" w:rsidR="003A3DAB" w:rsidRPr="00EC0229" w:rsidRDefault="003A3DAB" w:rsidP="003A3DAB">
      <w:pPr>
        <w:autoSpaceDE w:val="0"/>
        <w:autoSpaceDN w:val="0"/>
        <w:adjustRightInd w:val="0"/>
        <w:spacing w:after="0" w:line="360" w:lineRule="auto"/>
        <w:rPr>
          <w:lang w:eastAsia="en-GB"/>
        </w:rPr>
      </w:pPr>
    </w:p>
    <w:p w14:paraId="6CD005B5" w14:textId="77777777" w:rsidR="003A3DAB" w:rsidRPr="00EC0229" w:rsidRDefault="003A3DAB" w:rsidP="003A3DAB">
      <w:pPr>
        <w:pStyle w:val="NoSpacing"/>
        <w:spacing w:line="360" w:lineRule="auto"/>
        <w:rPr>
          <w:rFonts w:eastAsia="Times New Roman" w:cs="Times New Roman"/>
          <w:szCs w:val="24"/>
          <w:lang w:eastAsia="en-GB"/>
        </w:rPr>
      </w:pPr>
      <w:r w:rsidRPr="00EC0229">
        <w:rPr>
          <w:rFonts w:eastAsia="Times New Roman" w:cs="Times New Roman"/>
          <w:szCs w:val="24"/>
          <w:lang w:eastAsia="en-GB"/>
        </w:rPr>
        <w:t>There are other constraints which may impair the quality and quantity of data available for research. Adding to the EMC</w:t>
      </w:r>
      <w:r w:rsidRPr="00EC0229">
        <w:rPr>
          <w:rFonts w:eastAsia="Times New Roman" w:cs="Times New Roman"/>
          <w:szCs w:val="24"/>
          <w:lang w:eastAsia="en-GB"/>
        </w:rPr>
        <w:fldChar w:fldCharType="begin"/>
      </w:r>
      <w:r w:rsidRPr="00EC0229">
        <w:instrText xml:space="preserve"> XE "EMC"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is voluntary, the main sources being coins included in the </w:t>
      </w:r>
      <w:r w:rsidRPr="00EC0229">
        <w:rPr>
          <w:rFonts w:eastAsia="Times New Roman" w:cs="Times New Roman"/>
          <w:i/>
          <w:szCs w:val="24"/>
          <w:lang w:eastAsia="en-GB"/>
        </w:rPr>
        <w:t>BNJ</w:t>
      </w:r>
      <w:r w:rsidRPr="00EC0229">
        <w:rPr>
          <w:rFonts w:eastAsia="Times New Roman" w:cs="Times New Roman"/>
          <w:szCs w:val="24"/>
          <w:lang w:eastAsia="en-GB"/>
        </w:rPr>
        <w:t xml:space="preserve">’s Coin Register and the </w:t>
      </w:r>
      <w:r w:rsidRPr="00EC0229">
        <w:rPr>
          <w:rFonts w:eastAsia="Times New Roman" w:cs="Times New Roman"/>
          <w:i/>
          <w:szCs w:val="24"/>
          <w:lang w:eastAsia="en-GB"/>
        </w:rPr>
        <w:t>SCBI</w:t>
      </w:r>
      <w:r w:rsidRPr="00EC0229">
        <w:rPr>
          <w:rFonts w:eastAsia="Times New Roman" w:cs="Times New Roman"/>
          <w:i/>
          <w:szCs w:val="24"/>
          <w:lang w:eastAsia="en-GB"/>
        </w:rPr>
        <w:fldChar w:fldCharType="begin"/>
      </w:r>
      <w:r w:rsidRPr="00EC0229">
        <w:instrText xml:space="preserve"> XE "SCBI" </w:instrText>
      </w:r>
      <w:r w:rsidRPr="00EC0229">
        <w:rPr>
          <w:rFonts w:eastAsia="Times New Roman" w:cs="Times New Roman"/>
          <w:i/>
          <w:szCs w:val="24"/>
          <w:lang w:eastAsia="en-GB"/>
        </w:rPr>
        <w:fldChar w:fldCharType="end"/>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708"/>
      </w:r>
      <w:r w:rsidRPr="00EC0229">
        <w:rPr>
          <w:rFonts w:eastAsia="Times New Roman" w:cs="Times New Roman"/>
          <w:szCs w:val="24"/>
          <w:lang w:eastAsia="en-GB"/>
        </w:rPr>
        <w:t xml:space="preserve"> Since 2011, greater selectivity has been exercised over inclusion of specimens in the Coin Register.</w:t>
      </w:r>
      <w:r w:rsidRPr="00EC0229">
        <w:rPr>
          <w:rStyle w:val="FootnoteReference"/>
          <w:rFonts w:eastAsia="Times New Roman" w:cs="Times New Roman"/>
          <w:szCs w:val="24"/>
          <w:lang w:eastAsia="en-GB"/>
        </w:rPr>
        <w:footnoteReference w:id="709"/>
      </w:r>
      <w:r w:rsidRPr="00EC0229">
        <w:rPr>
          <w:rFonts w:eastAsia="Times New Roman" w:cs="Times New Roman"/>
          <w:szCs w:val="24"/>
          <w:lang w:eastAsia="en-GB"/>
        </w:rPr>
        <w:t xml:space="preserve"> Unprovenanced coins and more common types are </w:t>
      </w:r>
      <w:r w:rsidRPr="00EC0229">
        <w:rPr>
          <w:rFonts w:eastAsia="Times New Roman" w:cs="Times New Roman"/>
          <w:szCs w:val="24"/>
          <w:lang w:eastAsia="en-GB"/>
        </w:rPr>
        <w:lastRenderedPageBreak/>
        <w:t xml:space="preserve">excluded. As explained above, </w:t>
      </w:r>
      <w:r w:rsidRPr="00EC0229">
        <w:rPr>
          <w:rFonts w:eastAsia="Times New Roman" w:cs="Times New Roman"/>
          <w:i/>
          <w:szCs w:val="24"/>
          <w:lang w:eastAsia="en-GB"/>
        </w:rPr>
        <w:t>CKN</w:t>
      </w:r>
      <w:r w:rsidRPr="00EC0229">
        <w:rPr>
          <w:rFonts w:eastAsia="Times New Roman" w:cs="Times New Roman"/>
          <w:i/>
          <w:szCs w:val="24"/>
          <w:lang w:eastAsia="en-GB"/>
        </w:rPr>
        <w:fldChar w:fldCharType="begin"/>
      </w:r>
      <w:r w:rsidRPr="00EC0229">
        <w:instrText xml:space="preserve"> XE "CKN" </w:instrText>
      </w:r>
      <w:r w:rsidRPr="00EC0229">
        <w:rPr>
          <w:rFonts w:eastAsia="Times New Roman" w:cs="Times New Roman"/>
          <w:i/>
          <w:szCs w:val="24"/>
          <w:lang w:eastAsia="en-GB"/>
        </w:rPr>
        <w:fldChar w:fldCharType="end"/>
      </w:r>
      <w:r w:rsidRPr="00EC0229">
        <w:rPr>
          <w:rFonts w:eastAsia="Times New Roman" w:cs="Times New Roman"/>
          <w:szCs w:val="24"/>
          <w:lang w:eastAsia="en-GB"/>
        </w:rPr>
        <w:t xml:space="preserve"> was not an </w:t>
      </w:r>
      <w:r w:rsidRPr="00EC0229">
        <w:rPr>
          <w:rFonts w:eastAsia="Times New Roman" w:cs="Times New Roman"/>
          <w:i/>
          <w:szCs w:val="24"/>
          <w:lang w:eastAsia="en-GB"/>
        </w:rPr>
        <w:t>SCBI</w:t>
      </w:r>
      <w:r w:rsidRPr="00EC0229">
        <w:rPr>
          <w:rFonts w:eastAsia="Times New Roman" w:cs="Times New Roman"/>
          <w:szCs w:val="24"/>
          <w:lang w:eastAsia="en-GB"/>
        </w:rPr>
        <w:t xml:space="preserve"> and is therefore not </w:t>
      </w:r>
      <w:r w:rsidRPr="00EC0229">
        <w:rPr>
          <w:rFonts w:eastAsia="Times New Roman" w:cs="Times New Roman"/>
          <w:color w:val="000000" w:themeColor="text1"/>
          <w:szCs w:val="24"/>
          <w:lang w:eastAsia="en-GB"/>
        </w:rPr>
        <w:t>currently</w:t>
      </w:r>
      <w:r w:rsidRPr="00EC0229">
        <w:rPr>
          <w:rFonts w:eastAsia="Times New Roman" w:cs="Times New Roman"/>
          <w:szCs w:val="24"/>
          <w:lang w:eastAsia="en-GB"/>
        </w:rPr>
        <w:t xml:space="preserve"> included in EMC.</w:t>
      </w:r>
      <w:r w:rsidRPr="00EC0229">
        <w:rPr>
          <w:rStyle w:val="FootnoteReference"/>
          <w:rFonts w:eastAsia="Times New Roman" w:cs="Times New Roman"/>
          <w:szCs w:val="24"/>
          <w:lang w:eastAsia="en-GB"/>
        </w:rPr>
        <w:footnoteReference w:id="710"/>
      </w:r>
      <w:r w:rsidRPr="00EC0229">
        <w:rPr>
          <w:b/>
          <w:lang w:eastAsia="en-GB"/>
        </w:rPr>
        <w:t xml:space="preserve"> </w:t>
      </w:r>
    </w:p>
    <w:p w14:paraId="0377D8D5" w14:textId="77777777" w:rsidR="003A3DAB" w:rsidRPr="00EC0229" w:rsidRDefault="003A3DAB" w:rsidP="003A3DAB">
      <w:pPr>
        <w:pStyle w:val="NoSpacing"/>
      </w:pPr>
    </w:p>
    <w:p w14:paraId="27C62265" w14:textId="73B9ED1F" w:rsidR="003A3DAB" w:rsidRPr="00EC0229" w:rsidRDefault="00AE431C" w:rsidP="003A3DAB">
      <w:pPr>
        <w:pStyle w:val="Heading3"/>
        <w:rPr>
          <w:rFonts w:eastAsia="Times New Roman"/>
          <w:lang w:eastAsia="en-GB"/>
        </w:rPr>
      </w:pPr>
      <w:bookmarkStart w:id="453" w:name="_Toc468266825"/>
      <w:r>
        <w:t>6.1.7</w:t>
      </w:r>
      <w:r>
        <w:tab/>
      </w:r>
      <w:r w:rsidR="003A3DAB" w:rsidRPr="00EC0229">
        <w:rPr>
          <w:rFonts w:eastAsia="Times New Roman"/>
          <w:lang w:eastAsia="en-GB"/>
        </w:rPr>
        <w:t>Discussion</w:t>
      </w:r>
      <w:bookmarkEnd w:id="453"/>
    </w:p>
    <w:p w14:paraId="77224D50" w14:textId="69472886" w:rsidR="003A3DAB" w:rsidRPr="00EC0229" w:rsidRDefault="003A3DAB" w:rsidP="003A3DAB">
      <w:pPr>
        <w:autoSpaceDE w:val="0"/>
        <w:autoSpaceDN w:val="0"/>
        <w:adjustRightInd w:val="0"/>
        <w:spacing w:after="0" w:line="360" w:lineRule="auto"/>
        <w:rPr>
          <w:rFonts w:eastAsia="Times New Roman" w:cs="Times New Roman"/>
          <w:szCs w:val="24"/>
          <w:lang w:eastAsia="en-GB"/>
        </w:rPr>
      </w:pPr>
      <w:r w:rsidRPr="00EC0229">
        <w:rPr>
          <w:rFonts w:asciiTheme="minorHAnsi" w:hAnsiTheme="minorHAnsi" w:cstheme="minorHAnsi"/>
          <w:szCs w:val="24"/>
        </w:rPr>
        <w:t xml:space="preserve">Bevan </w:t>
      </w:r>
      <w:r w:rsidR="00103FB3">
        <w:rPr>
          <w:rFonts w:asciiTheme="minorHAnsi" w:hAnsiTheme="minorHAnsi" w:cstheme="minorHAnsi"/>
          <w:szCs w:val="24"/>
        </w:rPr>
        <w:t>summarize</w:t>
      </w:r>
      <w:r w:rsidRPr="00EC0229">
        <w:rPr>
          <w:rFonts w:asciiTheme="minorHAnsi" w:hAnsiTheme="minorHAnsi" w:cstheme="minorHAnsi"/>
          <w:szCs w:val="24"/>
        </w:rPr>
        <w:t>d much of this bias as: ‘a) variation in post-depositional preservation and modern recording, b) a spatially-varying density of past users, as well as c) those culturally-mediated processes responsible for finally trapping artefacts in the ground.’</w:t>
      </w:r>
      <w:r w:rsidRPr="00EC0229">
        <w:rPr>
          <w:rStyle w:val="FootnoteReference"/>
          <w:rFonts w:asciiTheme="minorHAnsi" w:hAnsiTheme="minorHAnsi" w:cstheme="minorHAnsi"/>
          <w:szCs w:val="24"/>
        </w:rPr>
        <w:t xml:space="preserve"> </w:t>
      </w:r>
      <w:r w:rsidRPr="00EC0229">
        <w:rPr>
          <w:rStyle w:val="FootnoteReference"/>
          <w:rFonts w:asciiTheme="minorHAnsi" w:hAnsiTheme="minorHAnsi" w:cstheme="minorHAnsi"/>
          <w:szCs w:val="24"/>
        </w:rPr>
        <w:footnoteReference w:id="711"/>
      </w:r>
      <w:r w:rsidRPr="00EC0229">
        <w:rPr>
          <w:rFonts w:asciiTheme="minorHAnsi" w:hAnsiTheme="minorHAnsi" w:cstheme="minorHAnsi"/>
          <w:szCs w:val="24"/>
        </w:rPr>
        <w:t xml:space="preserve"> </w:t>
      </w:r>
      <w:r w:rsidRPr="00EC0229">
        <w:t>In recognising the shift in the electronic era from data gathering to analysis and in reviewing the challenges of cleansing and enhancing data extracted from the PAS</w:t>
      </w:r>
      <w:r w:rsidRPr="00EC0229">
        <w:fldChar w:fldCharType="begin"/>
      </w:r>
      <w:r w:rsidRPr="00EC0229">
        <w:instrText xml:space="preserve"> XE "PAS" </w:instrText>
      </w:r>
      <w:r w:rsidRPr="00EC0229">
        <w:fldChar w:fldCharType="end"/>
      </w:r>
      <w:r w:rsidRPr="00EC0229">
        <w:t xml:space="preserve"> and EMC</w:t>
      </w:r>
      <w:r w:rsidRPr="00EC0229">
        <w:fldChar w:fldCharType="begin"/>
      </w:r>
      <w:r w:rsidRPr="00EC0229">
        <w:instrText xml:space="preserve"> XE "EMC" </w:instrText>
      </w:r>
      <w:r w:rsidRPr="00EC0229">
        <w:fldChar w:fldCharType="end"/>
      </w:r>
      <w:r w:rsidRPr="00EC0229">
        <w:t xml:space="preserve"> databases, Naylor</w:t>
      </w:r>
      <w:r w:rsidRPr="00EC0229">
        <w:fldChar w:fldCharType="begin"/>
      </w:r>
      <w:r w:rsidRPr="00EC0229">
        <w:instrText xml:space="preserve"> XE "</w:instrText>
      </w:r>
      <w:r w:rsidRPr="00EC0229">
        <w:rPr>
          <w:rFonts w:cs="Times New Roman"/>
          <w:szCs w:val="24"/>
        </w:rPr>
        <w:instrText>Naylor</w:instrText>
      </w:r>
      <w:r w:rsidRPr="00EC0229">
        <w:instrText xml:space="preserve">" </w:instrText>
      </w:r>
      <w:r w:rsidRPr="00EC0229">
        <w:fldChar w:fldCharType="end"/>
      </w:r>
      <w:r w:rsidRPr="00EC0229">
        <w:t xml:space="preserve"> and Richards concluded: ‘the value of these data sets, and the quality of the research undertaken from them, can only be as good as the underlying data.’</w:t>
      </w:r>
      <w:r w:rsidRPr="00EC0229">
        <w:rPr>
          <w:rStyle w:val="FootnoteReference"/>
        </w:rPr>
        <w:footnoteReference w:id="712"/>
      </w:r>
      <w:r w:rsidRPr="00EC0229">
        <w:t xml:space="preserve"> EMC is a specialist data-set controlled by standardized rules whereas PAS is more diffuse in its scope and operation; there are greater inconsistencies in description and classification. This is exacerbated by the limited output formats available. It would not be an exaggeration to conclude that both reliance on PAS and expenditure of research time on interpreting its data, are compromised. </w:t>
      </w:r>
    </w:p>
    <w:p w14:paraId="79FCE0FB" w14:textId="77777777" w:rsidR="003A3DAB" w:rsidRPr="00EC0229" w:rsidRDefault="003A3DAB" w:rsidP="003A3DAB">
      <w:pPr>
        <w:pStyle w:val="NoSpacing"/>
        <w:spacing w:line="360" w:lineRule="auto"/>
      </w:pPr>
    </w:p>
    <w:p w14:paraId="7550052D" w14:textId="1C9C32A5" w:rsidR="003A3DAB" w:rsidRPr="00EC0229" w:rsidRDefault="003A3DAB" w:rsidP="003A3DAB">
      <w:pPr>
        <w:pStyle w:val="NoSpacing"/>
        <w:spacing w:line="360" w:lineRule="auto"/>
      </w:pPr>
      <w:r w:rsidRPr="00EC0229">
        <w:t>While one empathises with the view that destructive extraction must be avoided,</w:t>
      </w:r>
      <w:r w:rsidRPr="00EC0229">
        <w:rPr>
          <w:rStyle w:val="FootnoteReference"/>
        </w:rPr>
        <w:t xml:space="preserve"> </w:t>
      </w:r>
      <w:r w:rsidRPr="00EC0229">
        <w:rPr>
          <w:rStyle w:val="FootnoteReference"/>
        </w:rPr>
        <w:footnoteReference w:id="713"/>
      </w:r>
      <w:r w:rsidRPr="00EC0229">
        <w:t xml:space="preserve"> especially for mercenary motivations, </w:t>
      </w:r>
      <w:r w:rsidR="00F3200D" w:rsidRPr="00EC0229">
        <w:t>one can</w:t>
      </w:r>
      <w:r w:rsidRPr="00EC0229">
        <w:t>n</w:t>
      </w:r>
      <w:r w:rsidR="00F3200D" w:rsidRPr="00EC0229">
        <w:t>ot</w:t>
      </w:r>
      <w:r w:rsidRPr="00EC0229">
        <w:t xml:space="preserve"> assume that better techniques will be developed before the archaeological</w:t>
      </w:r>
      <w:r w:rsidRPr="00EC0229">
        <w:fldChar w:fldCharType="begin"/>
      </w:r>
      <w:r w:rsidRPr="00EC0229">
        <w:instrText xml:space="preserve"> XE "</w:instrText>
      </w:r>
      <w:r w:rsidRPr="00EC0229">
        <w:rPr>
          <w:rFonts w:eastAsia="Times New Roman" w:cs="Times New Roman"/>
          <w:szCs w:val="24"/>
          <w:lang w:eastAsia="en-GB"/>
        </w:rPr>
        <w:instrText>archaeological</w:instrText>
      </w:r>
      <w:r w:rsidRPr="00EC0229">
        <w:instrText xml:space="preserve">" </w:instrText>
      </w:r>
      <w:r w:rsidRPr="00EC0229">
        <w:fldChar w:fldCharType="end"/>
      </w:r>
      <w:r w:rsidRPr="00EC0229">
        <w:t xml:space="preserve"> record is degraded or even destroyed by other forms of exploitation i.e. industrial, agricultural, developmental or environmental. However, once the damage has been done, or the context lost, there remains merit in mitigating the loss to the heritage by curating preserving and studying finds. Moreover, Bevan (2012) pointed the way to a broader perspective.</w:t>
      </w:r>
    </w:p>
    <w:p w14:paraId="19E38344" w14:textId="77777777" w:rsidR="003A3DAB" w:rsidRPr="00EC0229" w:rsidRDefault="003A3DAB" w:rsidP="003A3DAB">
      <w:pPr>
        <w:pStyle w:val="NoSpacing"/>
        <w:spacing w:line="360" w:lineRule="auto"/>
        <w:rPr>
          <w:lang w:eastAsia="en-GB"/>
        </w:rPr>
      </w:pPr>
    </w:p>
    <w:p w14:paraId="482F7B2E" w14:textId="19D1A6C5" w:rsidR="003A3DAB" w:rsidRPr="00EC0229" w:rsidRDefault="003A3DAB" w:rsidP="003A3DAB">
      <w:pPr>
        <w:pStyle w:val="NoSpacing"/>
        <w:spacing w:line="360" w:lineRule="auto"/>
        <w:rPr>
          <w:lang w:eastAsia="en-GB"/>
        </w:rPr>
      </w:pPr>
      <w:bookmarkStart w:id="454" w:name="constraintslocal"/>
      <w:bookmarkEnd w:id="454"/>
      <w:r w:rsidRPr="00EC0229">
        <w:rPr>
          <w:lang w:eastAsia="en-GB"/>
        </w:rPr>
        <w:t xml:space="preserve">How do these constraints affect </w:t>
      </w:r>
      <w:bookmarkStart w:id="455" w:name="NorthumbrianConstraints"/>
      <w:r w:rsidRPr="00EC0229">
        <w:rPr>
          <w:lang w:eastAsia="en-GB"/>
        </w:rPr>
        <w:t>Northumbrian</w:t>
      </w:r>
      <w:bookmarkEnd w:id="455"/>
      <w:r w:rsidRPr="00EC0229">
        <w:rPr>
          <w:lang w:eastAsia="en-GB"/>
        </w:rPr>
        <w:t xml:space="preserve"> finds? According to Naylor and </w:t>
      </w:r>
      <w:r w:rsidRPr="00EC0229">
        <w:t>Richards</w:t>
      </w:r>
      <w:r w:rsidRPr="00EC0229">
        <w:fldChar w:fldCharType="begin"/>
      </w:r>
      <w:r w:rsidRPr="00EC0229">
        <w:instrText xml:space="preserve"> XE "</w:instrText>
      </w:r>
      <w:r w:rsidRPr="00EC0229">
        <w:rPr>
          <w:rFonts w:cs="Times New Roman"/>
          <w:szCs w:val="24"/>
        </w:rPr>
        <w:instrText>Naylor</w:instrText>
      </w:r>
      <w:r w:rsidRPr="00EC0229">
        <w:instrText xml:space="preserve">" </w:instrText>
      </w:r>
      <w:r w:rsidRPr="00EC0229">
        <w:fldChar w:fldCharType="end"/>
      </w:r>
      <w:r w:rsidRPr="00EC0229">
        <w:t>,</w:t>
      </w:r>
      <w:bookmarkStart w:id="456" w:name="_Ref436733174"/>
      <w:r w:rsidRPr="00EC0229">
        <w:rPr>
          <w:rStyle w:val="FootnoteReference"/>
        </w:rPr>
        <w:footnoteReference w:id="714"/>
      </w:r>
      <w:bookmarkEnd w:id="456"/>
      <w:r w:rsidRPr="00EC0229">
        <w:t xml:space="preserve"> t</w:t>
      </w:r>
      <w:r w:rsidRPr="00EC0229">
        <w:rPr>
          <w:lang w:eastAsia="en-GB"/>
        </w:rPr>
        <w:t>opography and the 300m limit for ploughing are the major influences. The Roman</w:t>
      </w:r>
      <w:r w:rsidRPr="00EC0229">
        <w:rPr>
          <w:lang w:eastAsia="en-GB"/>
        </w:rPr>
        <w:fldChar w:fldCharType="begin"/>
      </w:r>
      <w:r w:rsidRPr="00EC0229">
        <w:instrText xml:space="preserve"> XE "Roman" </w:instrText>
      </w:r>
      <w:r w:rsidRPr="00EC0229">
        <w:rPr>
          <w:lang w:eastAsia="en-GB"/>
        </w:rPr>
        <w:fldChar w:fldCharType="end"/>
      </w:r>
      <w:r w:rsidRPr="00EC0229">
        <w:rPr>
          <w:lang w:eastAsia="en-GB"/>
        </w:rPr>
        <w:t xml:space="preserve"> and A-roads are magnets for detectorists (</w:t>
      </w:r>
      <w:r w:rsidR="00BC345A" w:rsidRPr="00EC0229">
        <w:rPr>
          <w:i/>
          <w:lang w:eastAsia="en-GB"/>
        </w:rPr>
        <w:t xml:space="preserve">Map </w:t>
      </w:r>
      <w:r w:rsidR="004048E5" w:rsidRPr="00EC0229">
        <w:rPr>
          <w:i/>
          <w:lang w:eastAsia="en-GB"/>
        </w:rPr>
        <w:t>6.01</w:t>
      </w:r>
      <w:r w:rsidRPr="00EC0229">
        <w:rPr>
          <w:lang w:eastAsia="en-GB"/>
        </w:rPr>
        <w:t>) but access north of Newcastle (</w:t>
      </w:r>
      <w:r w:rsidR="000154DC">
        <w:rPr>
          <w:i/>
          <w:lang w:eastAsia="en-GB"/>
        </w:rPr>
        <w:t>fn.</w:t>
      </w:r>
      <w:r w:rsidRPr="00EC0229">
        <w:rPr>
          <w:i/>
          <w:lang w:eastAsia="en-GB"/>
        </w:rPr>
        <w:t xml:space="preserve"> </w:t>
      </w:r>
      <w:r w:rsidRPr="00EC0229">
        <w:rPr>
          <w:i/>
          <w:lang w:eastAsia="en-GB"/>
        </w:rPr>
        <w:fldChar w:fldCharType="begin"/>
      </w:r>
      <w:r w:rsidRPr="00EC0229">
        <w:rPr>
          <w:i/>
          <w:lang w:eastAsia="en-GB"/>
        </w:rPr>
        <w:instrText xml:space="preserve"> NOTEREF _Ref429042629 \h  \* MERGEFORMAT </w:instrText>
      </w:r>
      <w:r w:rsidRPr="00EC0229">
        <w:rPr>
          <w:i/>
          <w:lang w:eastAsia="en-GB"/>
        </w:rPr>
      </w:r>
      <w:r w:rsidRPr="00EC0229">
        <w:rPr>
          <w:i/>
          <w:lang w:eastAsia="en-GB"/>
        </w:rPr>
        <w:fldChar w:fldCharType="separate"/>
      </w:r>
      <w:r w:rsidR="0012026B">
        <w:rPr>
          <w:i/>
          <w:lang w:eastAsia="en-GB"/>
        </w:rPr>
        <w:t>698</w:t>
      </w:r>
      <w:r w:rsidRPr="00EC0229">
        <w:rPr>
          <w:i/>
          <w:lang w:eastAsia="en-GB"/>
        </w:rPr>
        <w:fldChar w:fldCharType="end"/>
      </w:r>
      <w:r w:rsidRPr="00EC0229">
        <w:rPr>
          <w:lang w:eastAsia="en-GB"/>
        </w:rPr>
        <w:t>) and in the urban areas inhibit detection. The settlement</w:t>
      </w:r>
      <w:r w:rsidRPr="00EC0229">
        <w:rPr>
          <w:lang w:eastAsia="en-GB"/>
        </w:rPr>
        <w:fldChar w:fldCharType="begin"/>
      </w:r>
      <w:r w:rsidRPr="00EC0229">
        <w:instrText xml:space="preserve"> XE "settlement" </w:instrText>
      </w:r>
      <w:r w:rsidRPr="00EC0229">
        <w:rPr>
          <w:lang w:eastAsia="en-GB"/>
        </w:rPr>
        <w:fldChar w:fldCharType="end"/>
      </w:r>
      <w:r w:rsidRPr="00EC0229">
        <w:rPr>
          <w:lang w:eastAsia="en-GB"/>
        </w:rPr>
        <w:t xml:space="preserve"> pattern in the south-east of the region is densest and cultural cores are a focus of activity. These are the formal constraints but what is not </w:t>
      </w:r>
      <w:r w:rsidRPr="00EC0229">
        <w:rPr>
          <w:lang w:eastAsia="en-GB"/>
        </w:rPr>
        <w:lastRenderedPageBreak/>
        <w:t xml:space="preserve">stressed here are two distortions. First, non-reporting, whether illicit or through neglect </w:t>
      </w:r>
      <w:r w:rsidR="00F3200D" w:rsidRPr="00EC0229">
        <w:rPr>
          <w:lang w:eastAsia="en-GB"/>
        </w:rPr>
        <w:t xml:space="preserve">or disenchantment with the regime, </w:t>
      </w:r>
      <w:r w:rsidRPr="00EC0229">
        <w:rPr>
          <w:lang w:eastAsia="en-GB"/>
        </w:rPr>
        <w:t xml:space="preserve">is substantial in the region and probably correlates with high unemployment in the primary economic sector. Second, clustering skews the regional picture. The concentration of detecting resources occurs either when specific sites acquire a reputation as prolific or when a particularly diligent detectorist reports finds in minute detail. </w:t>
      </w:r>
    </w:p>
    <w:p w14:paraId="60956562" w14:textId="77777777" w:rsidR="003A3DAB" w:rsidRPr="00EC0229" w:rsidRDefault="003A3DAB" w:rsidP="003A3DAB">
      <w:pPr>
        <w:pStyle w:val="NoSpacing"/>
        <w:spacing w:line="360" w:lineRule="auto"/>
        <w:rPr>
          <w:lang w:eastAsia="en-GB"/>
        </w:rPr>
      </w:pPr>
    </w:p>
    <w:p w14:paraId="5E5F39FD" w14:textId="293A722C" w:rsidR="003A3DAB" w:rsidRPr="00EC0229" w:rsidRDefault="003A3DAB" w:rsidP="003A3DAB">
      <w:pPr>
        <w:pStyle w:val="NoSpacing"/>
        <w:spacing w:line="360" w:lineRule="auto"/>
        <w:rPr>
          <w:lang w:eastAsia="en-GB"/>
        </w:rPr>
      </w:pPr>
      <w:r w:rsidRPr="00EC0229">
        <w:rPr>
          <w:lang w:eastAsia="en-GB"/>
        </w:rPr>
        <w:t>The effect of this distortion can be seen in the case studies (</w:t>
      </w:r>
      <w:r w:rsidRPr="00EC0229">
        <w:rPr>
          <w:lang w:eastAsia="en-GB"/>
        </w:rPr>
        <w:fldChar w:fldCharType="begin"/>
      </w:r>
      <w:r w:rsidRPr="00EC0229">
        <w:rPr>
          <w:lang w:eastAsia="en-GB"/>
        </w:rPr>
        <w:instrText xml:space="preserve"> PAGEREF casestudies \h </w:instrText>
      </w:r>
      <w:r w:rsidRPr="00EC0229">
        <w:rPr>
          <w:lang w:eastAsia="en-GB"/>
        </w:rPr>
      </w:r>
      <w:r w:rsidRPr="00EC0229">
        <w:rPr>
          <w:lang w:eastAsia="en-GB"/>
        </w:rPr>
        <w:fldChar w:fldCharType="separate"/>
      </w:r>
      <w:r w:rsidR="0012026B">
        <w:rPr>
          <w:noProof/>
          <w:lang w:eastAsia="en-GB"/>
        </w:rPr>
        <w:t>178</w:t>
      </w:r>
      <w:r w:rsidRPr="00EC0229">
        <w:rPr>
          <w:lang w:eastAsia="en-GB"/>
        </w:rPr>
        <w:fldChar w:fldCharType="end"/>
      </w:r>
      <w:r w:rsidRPr="00EC0229">
        <w:rPr>
          <w:lang w:eastAsia="en-GB"/>
        </w:rPr>
        <w:t>)</w:t>
      </w:r>
      <w:r w:rsidRPr="00EC0229">
        <w:rPr>
          <w:lang w:eastAsia="en-GB"/>
        </w:rPr>
        <w:fldChar w:fldCharType="begin"/>
      </w:r>
      <w:r w:rsidRPr="00EC0229">
        <w:instrText xml:space="preserve"> XE "</w:instrText>
      </w:r>
      <w:r w:rsidRPr="00EC0229">
        <w:rPr>
          <w:rStyle w:val="Hyperlink"/>
          <w:rFonts w:cs="Times New Roman"/>
          <w:noProof/>
          <w:u w:val="none"/>
        </w:rPr>
        <w:instrText>case studies</w:instrText>
      </w:r>
      <w:r w:rsidRPr="00EC0229">
        <w:instrText xml:space="preserve">" </w:instrText>
      </w:r>
      <w:r w:rsidRPr="00EC0229">
        <w:rPr>
          <w:lang w:eastAsia="en-GB"/>
        </w:rPr>
        <w:fldChar w:fldCharType="end"/>
      </w:r>
      <w:r w:rsidRPr="00EC0229">
        <w:rPr>
          <w:lang w:eastAsia="en-GB"/>
        </w:rPr>
        <w:t>, which by considering coins and artefacts attempt to overcome Metcalf’s warning that</w:t>
      </w:r>
      <w:r w:rsidRPr="00EC0229">
        <w:rPr>
          <w:lang w:eastAsia="en-GB"/>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lang w:eastAsia="en-GB"/>
        </w:rPr>
        <w:fldChar w:fldCharType="end"/>
      </w:r>
      <w:r w:rsidRPr="00EC0229">
        <w:rPr>
          <w:lang w:eastAsia="en-GB"/>
        </w:rPr>
        <w:t>: ‘The relative isolation of the numismatic evidence has the disadvantage that its conclusions can rarely be independently verified.’ He cautions against partial interpretation of the data to fit theory,</w:t>
      </w:r>
      <w:r w:rsidRPr="00EC0229">
        <w:rPr>
          <w:rStyle w:val="FootnoteReference"/>
          <w:lang w:eastAsia="en-GB"/>
        </w:rPr>
        <w:footnoteReference w:id="715"/>
      </w:r>
      <w:r w:rsidRPr="00EC0229">
        <w:rPr>
          <w:lang w:eastAsia="en-GB"/>
        </w:rPr>
        <w:t xml:space="preserve"> counsel heeded in the following chapters.</w:t>
      </w:r>
    </w:p>
    <w:p w14:paraId="3A075AB5" w14:textId="77777777" w:rsidR="003A3DAB" w:rsidRPr="00EC0229" w:rsidRDefault="003A3DAB" w:rsidP="003A3DAB"/>
    <w:p w14:paraId="60D81014" w14:textId="77777777" w:rsidR="00D311C4" w:rsidRDefault="00D311C4">
      <w:pPr>
        <w:spacing w:line="259" w:lineRule="auto"/>
        <w:jc w:val="left"/>
        <w:rPr>
          <w:rFonts w:cs="Times New Roman"/>
          <w:b/>
          <w:sz w:val="28"/>
          <w:szCs w:val="26"/>
        </w:rPr>
      </w:pPr>
      <w:r>
        <w:rPr>
          <w:rFonts w:cs="Times New Roman"/>
        </w:rPr>
        <w:br w:type="page"/>
      </w:r>
    </w:p>
    <w:p w14:paraId="76F8636A" w14:textId="325CEEF2" w:rsidR="00610521" w:rsidRPr="00EC0229" w:rsidRDefault="00AE431C" w:rsidP="007600EA">
      <w:pPr>
        <w:pStyle w:val="Heading2"/>
        <w:spacing w:line="360" w:lineRule="auto"/>
      </w:pPr>
      <w:bookmarkStart w:id="457" w:name="_Toc468266826"/>
      <w:r>
        <w:rPr>
          <w:rFonts w:cs="Times New Roman"/>
        </w:rPr>
        <w:lastRenderedPageBreak/>
        <w:t>6.2</w:t>
      </w:r>
      <w:r w:rsidR="00455D13">
        <w:rPr>
          <w:rFonts w:cs="Times New Roman"/>
        </w:rPr>
        <w:t xml:space="preserve">  </w:t>
      </w:r>
      <w:r w:rsidR="00100F75" w:rsidRPr="00EC0229">
        <w:rPr>
          <w:rFonts w:cs="Times New Roman"/>
        </w:rPr>
        <w:t xml:space="preserve">The </w:t>
      </w:r>
      <w:bookmarkStart w:id="458" w:name="quantitativemethodology"/>
      <w:r w:rsidR="002C0E71" w:rsidRPr="00EC0229">
        <w:rPr>
          <w:rFonts w:cs="Times New Roman"/>
        </w:rPr>
        <w:t>Quantitative</w:t>
      </w:r>
      <w:r w:rsidR="00100F75" w:rsidRPr="00EC0229">
        <w:rPr>
          <w:rFonts w:cs="Times New Roman"/>
        </w:rPr>
        <w:fldChar w:fldCharType="begin"/>
      </w:r>
      <w:r w:rsidR="00100F75" w:rsidRPr="00EC0229">
        <w:instrText xml:space="preserve"> XE "</w:instrText>
      </w:r>
      <w:r w:rsidR="00100F75" w:rsidRPr="00EC0229">
        <w:rPr>
          <w:rStyle w:val="Hyperlink"/>
          <w:rFonts w:cs="Times New Roman"/>
          <w:noProof/>
          <w:u w:val="none"/>
        </w:rPr>
        <w:instrText>quantitative</w:instrText>
      </w:r>
      <w:r w:rsidR="00100F75" w:rsidRPr="00EC0229">
        <w:instrText xml:space="preserve">" </w:instrText>
      </w:r>
      <w:r w:rsidR="00100F75" w:rsidRPr="00EC0229">
        <w:rPr>
          <w:rFonts w:cs="Times New Roman"/>
        </w:rPr>
        <w:fldChar w:fldCharType="end"/>
      </w:r>
      <w:r w:rsidR="002C0E71" w:rsidRPr="00EC0229">
        <w:rPr>
          <w:rFonts w:cs="Times New Roman"/>
        </w:rPr>
        <w:t xml:space="preserve"> Methodology</w:t>
      </w:r>
      <w:bookmarkEnd w:id="458"/>
      <w:r w:rsidR="002C0E71" w:rsidRPr="00EC0229">
        <w:rPr>
          <w:rFonts w:cs="Times New Roman"/>
        </w:rPr>
        <w:t>:</w:t>
      </w:r>
      <w:r w:rsidR="002C0E71" w:rsidRPr="00EC0229">
        <w:t xml:space="preserve"> The Numismatic </w:t>
      </w:r>
      <w:r w:rsidR="00497AC3" w:rsidRPr="00EC0229">
        <w:t>Data</w:t>
      </w:r>
      <w:bookmarkEnd w:id="442"/>
      <w:r w:rsidR="005D0690" w:rsidRPr="00EC0229">
        <w:t>base</w:t>
      </w:r>
      <w:bookmarkEnd w:id="457"/>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p>
    <w:p w14:paraId="320AC960" w14:textId="77777777" w:rsidR="00610521" w:rsidRPr="00EC0229" w:rsidRDefault="00610521" w:rsidP="007600EA">
      <w:pPr>
        <w:spacing w:after="0" w:line="360" w:lineRule="auto"/>
        <w:jc w:val="right"/>
        <w:rPr>
          <w:i/>
          <w:color w:val="000000" w:themeColor="text1"/>
          <w:sz w:val="20"/>
          <w:szCs w:val="20"/>
        </w:rPr>
      </w:pPr>
      <w:r w:rsidRPr="00EC0229">
        <w:rPr>
          <w:i/>
          <w:color w:val="000000" w:themeColor="text1"/>
          <w:sz w:val="20"/>
          <w:szCs w:val="20"/>
        </w:rPr>
        <w:t>Computers have the added advantage of forcing us to order our data in such a way that its hierarchical relationships are explicitly acknowledged and, if necessary, reorganised.</w:t>
      </w:r>
    </w:p>
    <w:p w14:paraId="62DC490E" w14:textId="77777777" w:rsidR="00610521" w:rsidRPr="00EC0229" w:rsidRDefault="00610521" w:rsidP="007600EA">
      <w:pPr>
        <w:spacing w:after="0" w:line="360" w:lineRule="auto"/>
        <w:jc w:val="right"/>
        <w:rPr>
          <w:color w:val="000000" w:themeColor="text1"/>
          <w:sz w:val="20"/>
          <w:szCs w:val="20"/>
        </w:rPr>
      </w:pPr>
      <w:r w:rsidRPr="00EC0229">
        <w:rPr>
          <w:color w:val="000000" w:themeColor="text1"/>
          <w:sz w:val="20"/>
          <w:szCs w:val="20"/>
        </w:rPr>
        <w:t xml:space="preserve">Steve Roskams, </w:t>
      </w:r>
      <w:r w:rsidRPr="00EC0229">
        <w:rPr>
          <w:i/>
          <w:color w:val="000000" w:themeColor="text1"/>
          <w:sz w:val="20"/>
          <w:szCs w:val="20"/>
        </w:rPr>
        <w:t>Excavation</w:t>
      </w:r>
      <w:r w:rsidRPr="00EC0229">
        <w:rPr>
          <w:color w:val="000000" w:themeColor="text1"/>
          <w:sz w:val="20"/>
          <w:szCs w:val="20"/>
        </w:rPr>
        <w:t xml:space="preserve"> 21.</w:t>
      </w:r>
    </w:p>
    <w:p w14:paraId="37EB8E7B" w14:textId="77777777" w:rsidR="00610521" w:rsidRPr="00EC0229" w:rsidRDefault="00610521" w:rsidP="007600EA">
      <w:pPr>
        <w:spacing w:after="0" w:line="360" w:lineRule="auto"/>
        <w:rPr>
          <w:color w:val="000000" w:themeColor="text1"/>
          <w:sz w:val="20"/>
          <w:szCs w:val="20"/>
        </w:rPr>
      </w:pPr>
    </w:p>
    <w:p w14:paraId="62C5C9D7" w14:textId="655DF2DA" w:rsidR="00610521" w:rsidRPr="00EC0229" w:rsidRDefault="003D0BF9" w:rsidP="007600EA">
      <w:pPr>
        <w:spacing w:after="0" w:line="360" w:lineRule="auto"/>
        <w:rPr>
          <w:rFonts w:eastAsia="Times New Roman" w:cs="Times New Roman"/>
          <w:color w:val="000000" w:themeColor="text1"/>
          <w:szCs w:val="24"/>
          <w:lang w:eastAsia="en-GB"/>
        </w:rPr>
      </w:pPr>
      <w:bookmarkStart w:id="459" w:name="principlesprotocolsandproblems"/>
      <w:bookmarkEnd w:id="459"/>
      <w:r w:rsidRPr="00EC0229">
        <w:rPr>
          <w:rFonts w:eastAsia="Times New Roman" w:cs="Times New Roman"/>
          <w:color w:val="000000" w:themeColor="text1"/>
          <w:szCs w:val="24"/>
          <w:lang w:eastAsia="en-GB"/>
        </w:rPr>
        <w:t>Numismatic data relevant to this</w:t>
      </w:r>
      <w:r w:rsidR="00610521" w:rsidRPr="00EC0229">
        <w:rPr>
          <w:rFonts w:eastAsia="Times New Roman" w:cs="Times New Roman"/>
          <w:color w:val="000000" w:themeColor="text1"/>
          <w:szCs w:val="24"/>
          <w:lang w:eastAsia="en-GB"/>
        </w:rPr>
        <w:t xml:space="preserve"> study are stored in </w:t>
      </w:r>
      <w:r w:rsidR="009B2FC0">
        <w:rPr>
          <w:rFonts w:eastAsia="Times New Roman" w:cs="Times New Roman"/>
          <w:color w:val="000000" w:themeColor="text1"/>
          <w:szCs w:val="24"/>
          <w:lang w:eastAsia="en-GB"/>
        </w:rPr>
        <w:t>the</w:t>
      </w:r>
      <w:r w:rsidR="00610521" w:rsidRPr="00EC0229">
        <w:rPr>
          <w:rFonts w:eastAsia="Times New Roman" w:cs="Times New Roman"/>
          <w:color w:val="000000" w:themeColor="text1"/>
          <w:szCs w:val="24"/>
          <w:lang w:eastAsia="en-GB"/>
        </w:rPr>
        <w:t xml:space="preserve"> substantial data</w:t>
      </w:r>
      <w:r w:rsidR="006C2237" w:rsidRPr="00EC0229">
        <w:rPr>
          <w:rFonts w:eastAsia="Times New Roman" w:cs="Times New Roman"/>
          <w:color w:val="000000" w:themeColor="text1"/>
          <w:szCs w:val="24"/>
          <w:lang w:eastAsia="en-GB"/>
        </w:rPr>
        <w:t>base</w:t>
      </w:r>
      <w:r w:rsidR="00610521" w:rsidRPr="00EC0229">
        <w:rPr>
          <w:rFonts w:eastAsia="Times New Roman" w:cs="Times New Roman"/>
          <w:color w:val="000000" w:themeColor="text1"/>
          <w:szCs w:val="24"/>
          <w:lang w:eastAsia="en-GB"/>
        </w:rPr>
        <w:t xml:space="preserve">s, </w:t>
      </w:r>
      <w:r w:rsidR="00103FB3">
        <w:rPr>
          <w:rFonts w:eastAsia="Times New Roman" w:cs="Times New Roman"/>
          <w:color w:val="000000" w:themeColor="text1"/>
          <w:szCs w:val="24"/>
          <w:lang w:eastAsia="en-GB"/>
        </w:rPr>
        <w:t>summarize</w:t>
      </w:r>
      <w:r w:rsidR="00610521" w:rsidRPr="00EC0229">
        <w:rPr>
          <w:rFonts w:eastAsia="Times New Roman" w:cs="Times New Roman"/>
          <w:color w:val="000000" w:themeColor="text1"/>
          <w:szCs w:val="24"/>
          <w:lang w:eastAsia="en-GB"/>
        </w:rPr>
        <w:t xml:space="preserve">d in </w:t>
      </w:r>
      <w:r w:rsidR="00610521" w:rsidRPr="00EC0229">
        <w:rPr>
          <w:rFonts w:eastAsia="Times New Roman" w:cs="Times New Roman"/>
          <w:i/>
          <w:szCs w:val="24"/>
          <w:lang w:eastAsia="en-GB"/>
        </w:rPr>
        <w:t>Table</w:t>
      </w:r>
      <w:r w:rsidR="00584C42" w:rsidRPr="00EC0229">
        <w:rPr>
          <w:rFonts w:eastAsia="Times New Roman" w:cs="Times New Roman"/>
          <w:i/>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i/>
          <w:szCs w:val="24"/>
          <w:lang w:eastAsia="en-GB"/>
        </w:rPr>
        <w:fldChar w:fldCharType="end"/>
      </w:r>
      <w:r w:rsidR="00610521" w:rsidRPr="00EC0229">
        <w:rPr>
          <w:rFonts w:eastAsia="Times New Roman" w:cs="Times New Roman"/>
          <w:i/>
          <w:szCs w:val="24"/>
          <w:lang w:eastAsia="en-GB"/>
        </w:rPr>
        <w:t xml:space="preserve"> </w:t>
      </w:r>
      <w:r w:rsidR="00BA3090" w:rsidRPr="00EC0229">
        <w:rPr>
          <w:rFonts w:eastAsia="Times New Roman" w:cs="Times New Roman"/>
          <w:i/>
          <w:szCs w:val="24"/>
          <w:lang w:eastAsia="en-GB"/>
        </w:rPr>
        <w:t>6.0</w:t>
      </w:r>
      <w:r w:rsidR="00610521" w:rsidRPr="00EC0229">
        <w:rPr>
          <w:rFonts w:eastAsia="Times New Roman" w:cs="Times New Roman"/>
          <w:i/>
          <w:szCs w:val="24"/>
          <w:lang w:eastAsia="en-GB"/>
        </w:rPr>
        <w:t>1</w:t>
      </w:r>
      <w:r w:rsidR="00610521" w:rsidRPr="00EC0229">
        <w:rPr>
          <w:rFonts w:eastAsia="Times New Roman" w:cs="Times New Roman"/>
          <w:color w:val="000000" w:themeColor="text1"/>
          <w:szCs w:val="24"/>
          <w:lang w:eastAsia="en-GB"/>
        </w:rPr>
        <w:t>, each with its own principle</w:t>
      </w:r>
      <w:r w:rsidR="00955B2F" w:rsidRPr="00EC0229">
        <w:rPr>
          <w:rFonts w:eastAsia="Times New Roman" w:cs="Times New Roman"/>
          <w:color w:val="000000" w:themeColor="text1"/>
          <w:szCs w:val="24"/>
          <w:lang w:eastAsia="en-GB"/>
        </w:rPr>
        <w:t>s, protocols and problems</w:t>
      </w:r>
      <w:r w:rsidR="002C5621" w:rsidRPr="00EC0229">
        <w:rPr>
          <w:rFonts w:eastAsia="Times New Roman" w:cs="Times New Roman"/>
          <w:color w:val="000000" w:themeColor="text1"/>
          <w:szCs w:val="24"/>
          <w:lang w:eastAsia="en-GB"/>
        </w:rPr>
        <w:t xml:space="preserve"> (</w:t>
      </w:r>
      <w:r w:rsidR="002C5621" w:rsidRPr="00EC0229">
        <w:rPr>
          <w:rFonts w:eastAsia="Times New Roman" w:cs="Times New Roman"/>
          <w:color w:val="000000" w:themeColor="text1"/>
          <w:szCs w:val="24"/>
          <w:lang w:eastAsia="en-GB"/>
        </w:rPr>
        <w:fldChar w:fldCharType="begin"/>
      </w:r>
      <w:r w:rsidR="002C5621" w:rsidRPr="00EC0229">
        <w:rPr>
          <w:rFonts w:eastAsia="Times New Roman" w:cs="Times New Roman"/>
          <w:color w:val="000000" w:themeColor="text1"/>
          <w:szCs w:val="24"/>
          <w:lang w:eastAsia="en-GB"/>
        </w:rPr>
        <w:instrText xml:space="preserve"> PAGEREF Postextractionfactors \h </w:instrText>
      </w:r>
      <w:r w:rsidR="002C5621" w:rsidRPr="00EC0229">
        <w:rPr>
          <w:rFonts w:eastAsia="Times New Roman" w:cs="Times New Roman"/>
          <w:color w:val="000000" w:themeColor="text1"/>
          <w:szCs w:val="24"/>
          <w:lang w:eastAsia="en-GB"/>
        </w:rPr>
      </w:r>
      <w:r w:rsidR="002C5621" w:rsidRPr="00EC0229">
        <w:rPr>
          <w:rFonts w:eastAsia="Times New Roman" w:cs="Times New Roman"/>
          <w:color w:val="000000" w:themeColor="text1"/>
          <w:szCs w:val="24"/>
          <w:lang w:eastAsia="en-GB"/>
        </w:rPr>
        <w:fldChar w:fldCharType="separate"/>
      </w:r>
      <w:r w:rsidR="0012026B">
        <w:rPr>
          <w:rFonts w:eastAsia="Times New Roman" w:cs="Times New Roman"/>
          <w:noProof/>
          <w:color w:val="000000" w:themeColor="text1"/>
          <w:szCs w:val="24"/>
          <w:lang w:eastAsia="en-GB"/>
        </w:rPr>
        <w:t>151</w:t>
      </w:r>
      <w:r w:rsidR="002C5621" w:rsidRPr="00EC0229">
        <w:rPr>
          <w:rFonts w:eastAsia="Times New Roman" w:cs="Times New Roman"/>
          <w:color w:val="000000" w:themeColor="text1"/>
          <w:szCs w:val="24"/>
          <w:lang w:eastAsia="en-GB"/>
        </w:rPr>
        <w:fldChar w:fldCharType="end"/>
      </w:r>
      <w:r w:rsidR="002C5621" w:rsidRPr="00EC0229">
        <w:rPr>
          <w:rFonts w:eastAsia="Times New Roman" w:cs="Times New Roman"/>
          <w:color w:val="000000" w:themeColor="text1"/>
          <w:szCs w:val="24"/>
          <w:lang w:eastAsia="en-GB"/>
        </w:rPr>
        <w:t>)</w:t>
      </w:r>
      <w:r w:rsidR="00610521" w:rsidRPr="00EC0229">
        <w:rPr>
          <w:rFonts w:eastAsia="Times New Roman" w:cs="Times New Roman"/>
          <w:color w:val="000000" w:themeColor="text1"/>
          <w:szCs w:val="24"/>
          <w:lang w:eastAsia="en-GB"/>
        </w:rPr>
        <w:t>.</w:t>
      </w:r>
      <w:r w:rsidR="00686FC9" w:rsidRPr="00EC0229">
        <w:rPr>
          <w:rStyle w:val="FootnoteReference"/>
          <w:rFonts w:eastAsia="Times New Roman" w:cs="Times New Roman"/>
          <w:color w:val="000000" w:themeColor="text1"/>
          <w:szCs w:val="24"/>
          <w:lang w:eastAsia="en-GB"/>
        </w:rPr>
        <w:footnoteReference w:id="716"/>
      </w:r>
      <w:r w:rsidR="00610521" w:rsidRPr="00EC0229">
        <w:rPr>
          <w:rFonts w:eastAsia="Times New Roman" w:cs="Times New Roman"/>
          <w:color w:val="000000" w:themeColor="text1"/>
          <w:szCs w:val="24"/>
          <w:lang w:eastAsia="en-GB"/>
        </w:rPr>
        <w:t xml:space="preserve"> A data manipulation exercise was undertaken in April 2014 </w:t>
      </w:r>
      <w:r w:rsidR="00BF6095">
        <w:rPr>
          <w:rFonts w:eastAsia="Times New Roman" w:cs="Times New Roman"/>
          <w:color w:val="000000" w:themeColor="text1"/>
          <w:szCs w:val="24"/>
          <w:lang w:eastAsia="en-GB"/>
        </w:rPr>
        <w:t>to</w:t>
      </w:r>
      <w:r w:rsidR="00610521" w:rsidRPr="00EC0229">
        <w:rPr>
          <w:rFonts w:eastAsia="Times New Roman" w:cs="Times New Roman"/>
          <w:color w:val="000000" w:themeColor="text1"/>
          <w:szCs w:val="24"/>
          <w:lang w:eastAsia="en-GB"/>
        </w:rPr>
        <w:t xml:space="preserve"> combine these sources into a single, searchable</w:t>
      </w:r>
      <w:r w:rsidR="00AD2187" w:rsidRPr="00EC0229">
        <w:rPr>
          <w:rFonts w:eastAsia="Times New Roman" w:cs="Times New Roman"/>
          <w:color w:val="000000" w:themeColor="text1"/>
          <w:szCs w:val="24"/>
          <w:lang w:eastAsia="en-GB"/>
        </w:rPr>
        <w:t>, sortable</w:t>
      </w:r>
      <w:r w:rsidR="00610521" w:rsidRPr="00EC0229">
        <w:rPr>
          <w:rFonts w:eastAsia="Times New Roman" w:cs="Times New Roman"/>
          <w:color w:val="000000" w:themeColor="text1"/>
          <w:szCs w:val="24"/>
          <w:lang w:eastAsia="en-GB"/>
        </w:rPr>
        <w:t xml:space="preserve"> format, </w:t>
      </w:r>
      <w:r w:rsidR="006C2237" w:rsidRPr="00EC0229">
        <w:rPr>
          <w:rFonts w:eastAsia="Times New Roman" w:cs="Times New Roman"/>
          <w:i/>
          <w:szCs w:val="24"/>
          <w:lang w:eastAsia="en-GB"/>
        </w:rPr>
        <w:t>Database</w:t>
      </w:r>
      <w:r w:rsidR="00584C42" w:rsidRPr="00EC0229">
        <w:rPr>
          <w:rFonts w:eastAsia="Times New Roman" w:cs="Times New Roman"/>
          <w:i/>
          <w:szCs w:val="24"/>
          <w:lang w:eastAsia="en-GB"/>
        </w:rPr>
        <w:fldChar w:fldCharType="begin"/>
      </w:r>
      <w:r w:rsidR="00584C42" w:rsidRPr="00EC0229">
        <w:rPr>
          <w:i/>
        </w:rPr>
        <w:instrText xml:space="preserve"> XE "</w:instrText>
      </w:r>
      <w:r w:rsidR="00584C42" w:rsidRPr="00EC0229">
        <w:rPr>
          <w:i/>
          <w:noProof/>
        </w:rPr>
        <w:instrText>Database</w:instrText>
      </w:r>
      <w:r w:rsidR="00584C42" w:rsidRPr="00EC0229">
        <w:rPr>
          <w:i/>
        </w:rPr>
        <w:instrText xml:space="preserve">" </w:instrText>
      </w:r>
      <w:r w:rsidR="00584C42" w:rsidRPr="00EC0229">
        <w:rPr>
          <w:rFonts w:eastAsia="Times New Roman" w:cs="Times New Roman"/>
          <w:i/>
          <w:szCs w:val="24"/>
          <w:lang w:eastAsia="en-GB"/>
        </w:rPr>
        <w:fldChar w:fldCharType="end"/>
      </w:r>
      <w:r w:rsidR="00ED43AC" w:rsidRPr="00EC0229">
        <w:rPr>
          <w:rFonts w:eastAsia="Times New Roman" w:cs="Times New Roman"/>
          <w:i/>
          <w:szCs w:val="24"/>
          <w:lang w:eastAsia="en-GB"/>
        </w:rPr>
        <w:t xml:space="preserve"> </w:t>
      </w:r>
      <w:r w:rsidR="00610521" w:rsidRPr="00EC0229">
        <w:rPr>
          <w:rFonts w:eastAsia="Times New Roman" w:cs="Times New Roman"/>
          <w:i/>
          <w:szCs w:val="24"/>
          <w:lang w:eastAsia="en-GB"/>
        </w:rPr>
        <w:t>1</w:t>
      </w:r>
      <w:r w:rsidR="00610521" w:rsidRPr="00EC0229">
        <w:rPr>
          <w:rFonts w:eastAsia="Times New Roman" w:cs="Times New Roman"/>
          <w:i/>
          <w:color w:val="000000" w:themeColor="text1"/>
          <w:szCs w:val="24"/>
          <w:lang w:eastAsia="en-GB"/>
        </w:rPr>
        <w:t>.</w:t>
      </w:r>
    </w:p>
    <w:p w14:paraId="58DD300B" w14:textId="77777777" w:rsidR="00610521" w:rsidRPr="00EC0229" w:rsidRDefault="00610521" w:rsidP="007600EA">
      <w:pPr>
        <w:spacing w:after="0" w:line="360" w:lineRule="auto"/>
        <w:rPr>
          <w:rFonts w:eastAsia="Times New Roman" w:cs="Times New Roman"/>
          <w:color w:val="000000" w:themeColor="text1"/>
          <w:szCs w:val="24"/>
          <w:lang w:eastAsia="en-GB"/>
        </w:rPr>
      </w:pPr>
    </w:p>
    <w:p w14:paraId="38890843" w14:textId="77EDA8D8" w:rsidR="00610521" w:rsidRPr="00EC0229" w:rsidRDefault="00610521" w:rsidP="007600EA">
      <w:pPr>
        <w:spacing w:after="0" w:line="360" w:lineRule="auto"/>
        <w:rPr>
          <w:rFonts w:eastAsia="Times New Roman" w:cs="Times New Roman"/>
          <w:szCs w:val="24"/>
          <w:lang w:eastAsia="en-GB"/>
        </w:rPr>
      </w:pPr>
      <w:r w:rsidRPr="00EC0229">
        <w:rPr>
          <w:rFonts w:eastAsia="Times New Roman" w:cs="Times New Roman"/>
          <w:szCs w:val="24"/>
          <w:lang w:eastAsia="en-GB"/>
        </w:rPr>
        <w:t>In the context of a global rather than forensic study, the inevitable omissions, duplications and mis-descriptions, are of secondary concern and subsequent researchers should be able to follow, and where necessary repair, the audit trail.</w:t>
      </w:r>
      <w:r w:rsidR="00E44E6A" w:rsidRPr="00EC0229">
        <w:rPr>
          <w:rStyle w:val="FootnoteReference"/>
          <w:rFonts w:eastAsia="Times New Roman" w:cs="Times New Roman"/>
          <w:szCs w:val="24"/>
          <w:lang w:eastAsia="en-GB"/>
        </w:rPr>
        <w:footnoteReference w:id="717"/>
      </w:r>
    </w:p>
    <w:p w14:paraId="7C0ECC40" w14:textId="77777777" w:rsidR="00610521" w:rsidRPr="00EC0229" w:rsidRDefault="00610521" w:rsidP="007600EA">
      <w:pPr>
        <w:spacing w:after="0" w:line="360" w:lineRule="auto"/>
        <w:rPr>
          <w:rFonts w:eastAsia="Times New Roman" w:cs="Times New Roman"/>
          <w:szCs w:val="24"/>
          <w:lang w:eastAsia="en-GB"/>
        </w:rPr>
      </w:pPr>
    </w:p>
    <w:p w14:paraId="5EBEB240" w14:textId="4E6A4CAC" w:rsidR="00610521" w:rsidRPr="00EC0229" w:rsidRDefault="00610521" w:rsidP="007600EA">
      <w:pPr>
        <w:spacing w:after="0" w:line="360" w:lineRule="auto"/>
        <w:rPr>
          <w:rFonts w:eastAsia="Times New Roman" w:cs="Times New Roman"/>
          <w:szCs w:val="24"/>
          <w:lang w:eastAsia="en-GB"/>
        </w:rPr>
      </w:pPr>
      <w:r w:rsidRPr="00EC0229">
        <w:rPr>
          <w:rFonts w:eastAsia="Times New Roman" w:cs="Times New Roman"/>
          <w:szCs w:val="24"/>
          <w:lang w:eastAsia="en-GB"/>
        </w:rPr>
        <w:t xml:space="preserve">My intention in creating </w:t>
      </w:r>
      <w:r w:rsidR="009A3EEF" w:rsidRPr="00EC0229">
        <w:rPr>
          <w:rFonts w:eastAsia="Times New Roman" w:cs="Times New Roman"/>
          <w:i/>
          <w:szCs w:val="24"/>
          <w:lang w:eastAsia="en-GB"/>
        </w:rPr>
        <w:t>Database 1</w:t>
      </w:r>
      <w:r w:rsidR="00584C42" w:rsidRPr="00EC0229">
        <w:rPr>
          <w:rFonts w:eastAsia="Times New Roman" w:cs="Times New Roman"/>
          <w:i/>
          <w:szCs w:val="24"/>
          <w:lang w:eastAsia="en-GB"/>
        </w:rPr>
        <w:fldChar w:fldCharType="begin"/>
      </w:r>
      <w:r w:rsidR="00584C42" w:rsidRPr="00EC0229">
        <w:rPr>
          <w:i/>
        </w:rPr>
        <w:instrText xml:space="preserve"> XE "</w:instrText>
      </w:r>
      <w:r w:rsidR="00584C42" w:rsidRPr="00EC0229">
        <w:rPr>
          <w:rStyle w:val="Hyperlink"/>
          <w:i/>
          <w:noProof/>
          <w:u w:val="none"/>
        </w:rPr>
        <w:instrText>Database</w:instrText>
      </w:r>
      <w:r w:rsidR="00584C42" w:rsidRPr="00EC0229">
        <w:rPr>
          <w:i/>
        </w:rPr>
        <w:instrText xml:space="preserve">" </w:instrText>
      </w:r>
      <w:r w:rsidR="00584C42" w:rsidRPr="00EC0229">
        <w:rPr>
          <w:rFonts w:eastAsia="Times New Roman" w:cs="Times New Roman"/>
          <w:i/>
          <w:szCs w:val="24"/>
          <w:lang w:eastAsia="en-GB"/>
        </w:rPr>
        <w:fldChar w:fldCharType="end"/>
      </w:r>
      <w:r w:rsidRPr="00EC0229">
        <w:rPr>
          <w:rFonts w:eastAsia="Times New Roman" w:cs="Times New Roman"/>
          <w:szCs w:val="24"/>
          <w:lang w:eastAsia="en-GB"/>
        </w:rPr>
        <w:t xml:space="preserve"> was to capture data from formal sources at a fixed point in time. Each formal source has its limitations and my narrative and tabulations are much informed by data and images from other channels, including, but certainly not restricted to, information from </w:t>
      </w:r>
      <w:r w:rsidR="00E44E6A" w:rsidRPr="00EC0229">
        <w:rPr>
          <w:rFonts w:eastAsia="Times New Roman" w:cs="Times New Roman"/>
          <w:szCs w:val="24"/>
          <w:lang w:eastAsia="en-GB"/>
        </w:rPr>
        <w:t xml:space="preserve">detectorists, </w:t>
      </w:r>
      <w:r w:rsidRPr="00EC0229">
        <w:rPr>
          <w:rFonts w:eastAsia="Times New Roman" w:cs="Times New Roman"/>
          <w:szCs w:val="24"/>
          <w:lang w:eastAsia="en-GB"/>
        </w:rPr>
        <w:t>rescued curatorial archives predating the Trea</w:t>
      </w:r>
      <w:r w:rsidR="00E44E6A" w:rsidRPr="00EC0229">
        <w:rPr>
          <w:rFonts w:eastAsia="Times New Roman" w:cs="Times New Roman"/>
          <w:szCs w:val="24"/>
          <w:lang w:eastAsia="en-GB"/>
        </w:rPr>
        <w:t>sure regime,</w:t>
      </w:r>
      <w:r w:rsidRPr="00EC0229">
        <w:rPr>
          <w:rStyle w:val="FootnoteReference"/>
          <w:rFonts w:eastAsia="Times New Roman" w:cs="Times New Roman"/>
          <w:szCs w:val="24"/>
          <w:lang w:eastAsia="en-GB"/>
        </w:rPr>
        <w:footnoteReference w:id="718"/>
      </w:r>
      <w:r w:rsidRPr="00EC0229">
        <w:rPr>
          <w:rFonts w:eastAsia="Times New Roman" w:cs="Times New Roman"/>
          <w:szCs w:val="24"/>
          <w:lang w:eastAsia="en-GB"/>
        </w:rPr>
        <w:t xml:space="preserve"> </w:t>
      </w:r>
      <w:r w:rsidR="00E44E6A" w:rsidRPr="00EC0229">
        <w:rPr>
          <w:rFonts w:eastAsia="Times New Roman" w:cs="Times New Roman"/>
          <w:szCs w:val="24"/>
          <w:lang w:eastAsia="en-GB"/>
        </w:rPr>
        <w:t>and my own collection.</w:t>
      </w:r>
      <w:r w:rsidR="00E44E6A" w:rsidRPr="00EC0229">
        <w:rPr>
          <w:rStyle w:val="FootnoteReference"/>
          <w:rFonts w:eastAsia="Times New Roman" w:cs="Times New Roman"/>
          <w:szCs w:val="24"/>
          <w:lang w:eastAsia="en-GB"/>
        </w:rPr>
        <w:footnoteReference w:id="719"/>
      </w:r>
      <w:r w:rsidR="00E44E6A" w:rsidRPr="00EC0229">
        <w:rPr>
          <w:rFonts w:eastAsia="Times New Roman" w:cs="Times New Roman"/>
          <w:szCs w:val="24"/>
          <w:lang w:eastAsia="en-GB"/>
        </w:rPr>
        <w:t xml:space="preserve"> </w:t>
      </w:r>
      <w:r w:rsidRPr="00EC0229">
        <w:rPr>
          <w:rFonts w:eastAsia="Times New Roman" w:cs="Times New Roman"/>
          <w:szCs w:val="24"/>
          <w:lang w:eastAsia="en-GB"/>
        </w:rPr>
        <w:t xml:space="preserve">These data are not compiled into </w:t>
      </w:r>
      <w:r w:rsidR="009A3EEF" w:rsidRPr="00EC0229">
        <w:rPr>
          <w:rFonts w:eastAsia="Times New Roman" w:cs="Times New Roman"/>
          <w:i/>
          <w:szCs w:val="24"/>
          <w:lang w:eastAsia="en-GB"/>
        </w:rPr>
        <w:t>Database 1</w:t>
      </w:r>
      <w:r w:rsidRPr="00EC0229">
        <w:rPr>
          <w:rFonts w:eastAsia="Times New Roman" w:cs="Times New Roman"/>
          <w:i/>
          <w:szCs w:val="24"/>
          <w:lang w:eastAsia="en-GB"/>
        </w:rPr>
        <w:t>.</w:t>
      </w:r>
    </w:p>
    <w:p w14:paraId="54C93CF5" w14:textId="77777777" w:rsidR="00610521" w:rsidRPr="00EC0229" w:rsidRDefault="00610521" w:rsidP="007600EA">
      <w:pPr>
        <w:spacing w:after="0" w:line="360" w:lineRule="auto"/>
        <w:rPr>
          <w:rFonts w:eastAsia="Times New Roman" w:cs="Times New Roman"/>
          <w:szCs w:val="24"/>
          <w:lang w:eastAsia="en-GB"/>
        </w:rPr>
      </w:pPr>
    </w:p>
    <w:p w14:paraId="47345892" w14:textId="0D77AE40" w:rsidR="00610521" w:rsidRPr="00EC0229" w:rsidRDefault="00AE431C" w:rsidP="007600EA">
      <w:pPr>
        <w:pStyle w:val="Heading3"/>
        <w:spacing w:line="360" w:lineRule="auto"/>
        <w:rPr>
          <w:rFonts w:eastAsia="Times New Roman"/>
          <w:lang w:eastAsia="en-GB"/>
        </w:rPr>
      </w:pPr>
      <w:bookmarkStart w:id="460" w:name="_Toc468266827"/>
      <w:r>
        <w:rPr>
          <w:rFonts w:eastAsia="Times New Roman"/>
          <w:lang w:eastAsia="en-GB"/>
        </w:rPr>
        <w:t>6.2.1</w:t>
      </w:r>
      <w:r>
        <w:rPr>
          <w:rFonts w:eastAsia="Times New Roman"/>
          <w:lang w:eastAsia="en-GB"/>
        </w:rPr>
        <w:tab/>
      </w:r>
      <w:r w:rsidR="00610521" w:rsidRPr="00EC0229">
        <w:rPr>
          <w:rFonts w:eastAsia="Times New Roman"/>
          <w:lang w:eastAsia="en-GB"/>
        </w:rPr>
        <w:t>Data</w:t>
      </w:r>
      <w:r w:rsidR="002C0E71" w:rsidRPr="00EC0229">
        <w:rPr>
          <w:rFonts w:eastAsia="Times New Roman"/>
          <w:lang w:eastAsia="en-GB"/>
        </w:rPr>
        <w:t>-Set</w:t>
      </w:r>
      <w:r w:rsidR="008A168A" w:rsidRPr="00EC0229">
        <w:rPr>
          <w:rFonts w:eastAsia="Times New Roman"/>
          <w:lang w:eastAsia="en-GB"/>
        </w:rPr>
        <w:t>s</w:t>
      </w:r>
      <w:r w:rsidR="002C0E71" w:rsidRPr="00EC0229">
        <w:rPr>
          <w:rFonts w:eastAsia="Times New Roman"/>
          <w:lang w:eastAsia="en-GB"/>
        </w:rPr>
        <w:t xml:space="preserve"> and Summar</w:t>
      </w:r>
      <w:r w:rsidR="008A168A" w:rsidRPr="00EC0229">
        <w:rPr>
          <w:rFonts w:eastAsia="Times New Roman"/>
          <w:lang w:eastAsia="en-GB"/>
        </w:rPr>
        <w:t>ies</w:t>
      </w:r>
      <w:bookmarkEnd w:id="460"/>
    </w:p>
    <w:p w14:paraId="3E36C383" w14:textId="0ACE9430" w:rsidR="00610521" w:rsidRPr="00EC0229" w:rsidRDefault="00610521" w:rsidP="007600EA">
      <w:pPr>
        <w:spacing w:after="0" w:line="360" w:lineRule="auto"/>
        <w:rPr>
          <w:rFonts w:eastAsia="Times New Roman" w:cs="Times New Roman"/>
          <w:szCs w:val="24"/>
          <w:lang w:eastAsia="en-GB"/>
        </w:rPr>
      </w:pPr>
      <w:r w:rsidRPr="00EC0229">
        <w:rPr>
          <w:rFonts w:eastAsia="Times New Roman" w:cs="Times New Roman"/>
          <w:szCs w:val="24"/>
          <w:lang w:eastAsia="en-GB"/>
        </w:rPr>
        <w:t>Notwithstanding the constraints described previously</w:t>
      </w:r>
      <w:r w:rsidR="00062049" w:rsidRPr="00EC0229">
        <w:rPr>
          <w:rFonts w:eastAsia="Times New Roman" w:cs="Times New Roman"/>
          <w:szCs w:val="24"/>
          <w:lang w:eastAsia="en-GB"/>
        </w:rPr>
        <w:t xml:space="preserve"> (</w:t>
      </w:r>
      <w:r w:rsidR="00062049" w:rsidRPr="00EC0229">
        <w:rPr>
          <w:rFonts w:eastAsia="Times New Roman" w:cs="Times New Roman"/>
          <w:szCs w:val="24"/>
          <w:lang w:eastAsia="en-GB"/>
        </w:rPr>
        <w:fldChar w:fldCharType="begin"/>
      </w:r>
      <w:r w:rsidR="00062049" w:rsidRPr="00EC0229">
        <w:rPr>
          <w:rFonts w:eastAsia="Times New Roman" w:cs="Times New Roman"/>
          <w:szCs w:val="24"/>
          <w:lang w:eastAsia="en-GB"/>
        </w:rPr>
        <w:instrText xml:space="preserve"> PAGEREF Constraints \h </w:instrText>
      </w:r>
      <w:r w:rsidR="00062049" w:rsidRPr="00EC0229">
        <w:rPr>
          <w:rFonts w:eastAsia="Times New Roman" w:cs="Times New Roman"/>
          <w:szCs w:val="24"/>
          <w:lang w:eastAsia="en-GB"/>
        </w:rPr>
      </w:r>
      <w:r w:rsidR="00062049" w:rsidRPr="00EC0229">
        <w:rPr>
          <w:rFonts w:eastAsia="Times New Roman" w:cs="Times New Roman"/>
          <w:szCs w:val="24"/>
          <w:lang w:eastAsia="en-GB"/>
        </w:rPr>
        <w:fldChar w:fldCharType="separate"/>
      </w:r>
      <w:r w:rsidR="0012026B">
        <w:rPr>
          <w:rFonts w:eastAsia="Times New Roman" w:cs="Times New Roman"/>
          <w:noProof/>
          <w:szCs w:val="24"/>
          <w:lang w:eastAsia="en-GB"/>
        </w:rPr>
        <w:t>82</w:t>
      </w:r>
      <w:r w:rsidR="00062049" w:rsidRPr="00EC0229">
        <w:rPr>
          <w:rFonts w:eastAsia="Times New Roman" w:cs="Times New Roman"/>
          <w:szCs w:val="24"/>
          <w:lang w:eastAsia="en-GB"/>
        </w:rPr>
        <w:fldChar w:fldCharType="end"/>
      </w:r>
      <w:r w:rsidR="00062049" w:rsidRPr="00EC0229">
        <w:rPr>
          <w:rFonts w:eastAsia="Times New Roman" w:cs="Times New Roman"/>
          <w:szCs w:val="24"/>
          <w:lang w:eastAsia="en-GB"/>
        </w:rPr>
        <w:t>)</w:t>
      </w:r>
      <w:r w:rsidRPr="00EC0229">
        <w:rPr>
          <w:rFonts w:eastAsia="Times New Roman" w:cs="Times New Roman"/>
          <w:szCs w:val="24"/>
          <w:lang w:eastAsia="en-GB"/>
        </w:rPr>
        <w:t xml:space="preserve">, the </w:t>
      </w:r>
      <w:r w:rsidR="008A168A" w:rsidRPr="00EC0229">
        <w:rPr>
          <w:rFonts w:eastAsia="Times New Roman" w:cs="Times New Roman"/>
          <w:szCs w:val="24"/>
          <w:lang w:eastAsia="en-GB"/>
        </w:rPr>
        <w:t xml:space="preserve">numismatic </w:t>
      </w:r>
      <w:r w:rsidR="00D65946" w:rsidRPr="00EC0229">
        <w:rPr>
          <w:rFonts w:eastAsia="Times New Roman" w:cs="Times New Roman"/>
          <w:szCs w:val="24"/>
          <w:lang w:eastAsia="en-GB"/>
        </w:rPr>
        <w:t>data</w:t>
      </w:r>
      <w:r w:rsidR="006C2237" w:rsidRPr="00EC0229">
        <w:rPr>
          <w:rFonts w:eastAsia="Times New Roman" w:cs="Times New Roman"/>
          <w:szCs w:val="24"/>
          <w:lang w:eastAsia="en-GB"/>
        </w:rPr>
        <w:t>ba</w:t>
      </w:r>
      <w:r w:rsidR="00D65946" w:rsidRPr="00EC0229">
        <w:rPr>
          <w:rFonts w:eastAsia="Times New Roman" w:cs="Times New Roman"/>
          <w:szCs w:val="24"/>
          <w:lang w:eastAsia="en-GB"/>
        </w:rPr>
        <w:t>se</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rPr>
          <w:rFonts w:eastAsia="Times New Roman" w:cs="Times New Roman"/>
          <w:szCs w:val="24"/>
          <w:lang w:eastAsia="en-GB"/>
        </w:rPr>
        <w:fldChar w:fldCharType="end"/>
      </w:r>
      <w:r w:rsidRPr="00EC0229">
        <w:rPr>
          <w:rFonts w:eastAsia="Times New Roman" w:cs="Times New Roman"/>
          <w:szCs w:val="24"/>
          <w:lang w:eastAsia="en-GB"/>
        </w:rPr>
        <w:t xml:space="preserve"> created from the various mainstream sources is considered to meet the necessary and sufficient conditions for valid statistical analysis. It is fully repr</w:t>
      </w:r>
      <w:r w:rsidR="00F5533B" w:rsidRPr="00EC0229">
        <w:rPr>
          <w:rFonts w:eastAsia="Times New Roman" w:cs="Times New Roman"/>
          <w:szCs w:val="24"/>
          <w:lang w:eastAsia="en-GB"/>
        </w:rPr>
        <w:t>esentative of the coinage,</w:t>
      </w:r>
      <w:r w:rsidRPr="00EC0229">
        <w:rPr>
          <w:rFonts w:eastAsia="Times New Roman" w:cs="Times New Roman"/>
          <w:szCs w:val="24"/>
          <w:lang w:eastAsia="en-GB"/>
        </w:rPr>
        <w:t xml:space="preserve"> it is of sufficient volume to minimise the impact of anomalies and to give a high level of confidence to computations. </w:t>
      </w:r>
      <w:r w:rsidR="009A3EEF" w:rsidRPr="00EC0229">
        <w:rPr>
          <w:rFonts w:eastAsia="Times New Roman" w:cs="Times New Roman"/>
          <w:i/>
          <w:szCs w:val="24"/>
          <w:lang w:eastAsia="en-GB"/>
        </w:rPr>
        <w:t>Database 1</w:t>
      </w:r>
      <w:r w:rsidR="00BB0C54" w:rsidRPr="00EC0229">
        <w:rPr>
          <w:rFonts w:eastAsia="Times New Roman" w:cs="Times New Roman"/>
          <w:szCs w:val="24"/>
          <w:lang w:eastAsia="en-GB"/>
        </w:rPr>
        <w:t xml:space="preserve"> can be structured and analysed </w:t>
      </w:r>
      <w:r w:rsidR="009B2FC0">
        <w:rPr>
          <w:rFonts w:eastAsia="Times New Roman" w:cs="Times New Roman"/>
          <w:szCs w:val="24"/>
          <w:lang w:eastAsia="en-GB"/>
        </w:rPr>
        <w:t>in a variety of arrangements as</w:t>
      </w:r>
      <w:r w:rsidR="00BB0C54" w:rsidRPr="00EC0229">
        <w:rPr>
          <w:rFonts w:eastAsia="Times New Roman" w:cs="Times New Roman"/>
          <w:szCs w:val="24"/>
          <w:lang w:eastAsia="en-GB"/>
        </w:rPr>
        <w:t xml:space="preserve"> described below</w:t>
      </w:r>
      <w:r w:rsidR="00956186">
        <w:rPr>
          <w:rFonts w:eastAsia="Times New Roman" w:cs="Times New Roman"/>
          <w:szCs w:val="24"/>
          <w:lang w:eastAsia="en-GB"/>
        </w:rPr>
        <w:t xml:space="preserve"> and shown graphically at </w:t>
      </w:r>
      <w:r w:rsidR="00956186" w:rsidRPr="00956186">
        <w:rPr>
          <w:rFonts w:eastAsia="Times New Roman" w:cs="Times New Roman"/>
          <w:i/>
          <w:szCs w:val="24"/>
          <w:lang w:eastAsia="en-GB"/>
        </w:rPr>
        <w:fldChar w:fldCharType="begin"/>
      </w:r>
      <w:r w:rsidR="00956186" w:rsidRPr="00956186">
        <w:rPr>
          <w:rFonts w:eastAsia="Times New Roman" w:cs="Times New Roman"/>
          <w:i/>
          <w:szCs w:val="24"/>
          <w:lang w:eastAsia="en-GB"/>
        </w:rPr>
        <w:instrText xml:space="preserve"> REF _Ref467520104 \h  \* MERGEFORMAT </w:instrText>
      </w:r>
      <w:r w:rsidR="00956186" w:rsidRPr="00956186">
        <w:rPr>
          <w:rFonts w:eastAsia="Times New Roman" w:cs="Times New Roman"/>
          <w:i/>
          <w:szCs w:val="24"/>
          <w:lang w:eastAsia="en-GB"/>
        </w:rPr>
      </w:r>
      <w:r w:rsidR="00956186" w:rsidRPr="00956186">
        <w:rPr>
          <w:rFonts w:eastAsia="Times New Roman" w:cs="Times New Roman"/>
          <w:i/>
          <w:szCs w:val="24"/>
          <w:lang w:eastAsia="en-GB"/>
        </w:rPr>
        <w:fldChar w:fldCharType="separate"/>
      </w:r>
      <w:r w:rsidR="0012026B" w:rsidRPr="0012026B">
        <w:rPr>
          <w:i/>
          <w:szCs w:val="24"/>
        </w:rPr>
        <w:t>Figure 61</w:t>
      </w:r>
      <w:r w:rsidR="00956186" w:rsidRPr="00956186">
        <w:rPr>
          <w:rFonts w:eastAsia="Times New Roman" w:cs="Times New Roman"/>
          <w:i/>
          <w:szCs w:val="24"/>
          <w:lang w:eastAsia="en-GB"/>
        </w:rPr>
        <w:fldChar w:fldCharType="end"/>
      </w:r>
      <w:r w:rsidR="00956186" w:rsidRPr="00956186">
        <w:rPr>
          <w:rFonts w:eastAsia="Times New Roman" w:cs="Times New Roman"/>
          <w:i/>
          <w:szCs w:val="24"/>
          <w:lang w:eastAsia="en-GB"/>
        </w:rPr>
        <w:t>.</w:t>
      </w:r>
    </w:p>
    <w:p w14:paraId="55F756B3" w14:textId="77777777" w:rsidR="00610521" w:rsidRPr="00EC0229" w:rsidRDefault="00610521" w:rsidP="007600EA">
      <w:pPr>
        <w:spacing w:after="0" w:line="360" w:lineRule="auto"/>
        <w:rPr>
          <w:rFonts w:eastAsia="Times New Roman" w:cs="Times New Roman"/>
          <w:szCs w:val="24"/>
          <w:lang w:eastAsia="en-GB"/>
        </w:rPr>
      </w:pPr>
    </w:p>
    <w:p w14:paraId="0CC5F044" w14:textId="77A0A5FD" w:rsidR="00610521" w:rsidRPr="007A3166" w:rsidRDefault="00AE431C" w:rsidP="007600EA">
      <w:pPr>
        <w:pStyle w:val="Heading4"/>
        <w:spacing w:line="360" w:lineRule="auto"/>
        <w:rPr>
          <w:rFonts w:eastAsia="Times New Roman" w:cs="Times New Roman"/>
          <w:b/>
          <w:lang w:eastAsia="en-GB"/>
        </w:rPr>
      </w:pPr>
      <w:bookmarkStart w:id="461" w:name="_Toc468266828"/>
      <w:r>
        <w:rPr>
          <w:rFonts w:eastAsia="Times New Roman" w:cs="Times New Roman"/>
          <w:b/>
          <w:lang w:eastAsia="en-GB"/>
        </w:rPr>
        <w:t>6.2.1.1</w:t>
      </w:r>
      <w:r w:rsidR="00455D13">
        <w:rPr>
          <w:rFonts w:eastAsia="Times New Roman" w:cs="Times New Roman"/>
          <w:b/>
          <w:lang w:eastAsia="en-GB"/>
        </w:rPr>
        <w:t xml:space="preserve"> </w:t>
      </w:r>
      <w:r w:rsidR="004014FC" w:rsidRPr="007A3166">
        <w:rPr>
          <w:rFonts w:eastAsia="Times New Roman" w:cs="Times New Roman"/>
          <w:b/>
          <w:i/>
          <w:lang w:eastAsia="en-GB"/>
        </w:rPr>
        <w:t>Data</w:t>
      </w:r>
      <w:r w:rsidR="005D0690" w:rsidRPr="007A3166">
        <w:rPr>
          <w:rFonts w:eastAsia="Times New Roman" w:cs="Times New Roman"/>
          <w:b/>
          <w:i/>
          <w:lang w:eastAsia="en-GB"/>
        </w:rPr>
        <w:t>base</w:t>
      </w:r>
      <w:r w:rsidR="00584C42" w:rsidRPr="007A3166">
        <w:rPr>
          <w:rFonts w:eastAsia="Times New Roman" w:cs="Times New Roman"/>
          <w:b/>
          <w:i/>
          <w:lang w:eastAsia="en-GB"/>
        </w:rPr>
        <w:fldChar w:fldCharType="begin"/>
      </w:r>
      <w:r w:rsidR="00584C42" w:rsidRPr="007A3166">
        <w:rPr>
          <w:b/>
          <w:i/>
        </w:rPr>
        <w:instrText xml:space="preserve"> XE "</w:instrText>
      </w:r>
      <w:r w:rsidR="00584C42" w:rsidRPr="007A3166">
        <w:rPr>
          <w:b/>
          <w:i/>
          <w:noProof/>
        </w:rPr>
        <w:instrText>Database</w:instrText>
      </w:r>
      <w:r w:rsidR="00584C42" w:rsidRPr="007A3166">
        <w:rPr>
          <w:b/>
          <w:i/>
        </w:rPr>
        <w:instrText xml:space="preserve">" </w:instrText>
      </w:r>
      <w:r w:rsidR="00584C42" w:rsidRPr="007A3166">
        <w:rPr>
          <w:rFonts w:eastAsia="Times New Roman" w:cs="Times New Roman"/>
          <w:b/>
          <w:i/>
          <w:lang w:eastAsia="en-GB"/>
        </w:rPr>
        <w:fldChar w:fldCharType="end"/>
      </w:r>
      <w:r w:rsidR="00ED43AC" w:rsidRPr="007A3166">
        <w:rPr>
          <w:rFonts w:eastAsia="Times New Roman" w:cs="Times New Roman"/>
          <w:b/>
          <w:i/>
          <w:lang w:eastAsia="en-GB"/>
        </w:rPr>
        <w:t xml:space="preserve"> </w:t>
      </w:r>
      <w:r w:rsidR="00610521" w:rsidRPr="007A3166">
        <w:rPr>
          <w:rFonts w:eastAsia="Times New Roman" w:cs="Times New Roman"/>
          <w:b/>
          <w:i/>
          <w:lang w:eastAsia="en-GB"/>
        </w:rPr>
        <w:t>1</w:t>
      </w:r>
      <w:r w:rsidR="00610521" w:rsidRPr="007A3166">
        <w:rPr>
          <w:rFonts w:eastAsia="Times New Roman" w:cs="Times New Roman"/>
          <w:b/>
          <w:lang w:eastAsia="en-GB"/>
        </w:rPr>
        <w:t xml:space="preserve">: </w:t>
      </w:r>
      <w:r w:rsidR="007B0EBD">
        <w:rPr>
          <w:rFonts w:eastAsia="Times New Roman" w:cs="Times New Roman"/>
          <w:b/>
          <w:lang w:eastAsia="en-GB"/>
        </w:rPr>
        <w:t>Coins</w:t>
      </w:r>
      <w:bookmarkEnd w:id="461"/>
      <w:r w:rsidR="00F204A1" w:rsidRPr="007A3166">
        <w:rPr>
          <w:rFonts w:eastAsia="Times New Roman" w:cs="Times New Roman"/>
          <w:b/>
          <w:lang w:eastAsia="en-GB"/>
        </w:rPr>
        <w:fldChar w:fldCharType="begin"/>
      </w:r>
      <w:r w:rsidR="00F204A1" w:rsidRPr="007A3166">
        <w:rPr>
          <w:b/>
        </w:rPr>
        <w:instrText xml:space="preserve"> XE "</w:instrText>
      </w:r>
      <w:r w:rsidR="00F204A1" w:rsidRPr="007A3166">
        <w:rPr>
          <w:rStyle w:val="Hyperlink"/>
          <w:rFonts w:eastAsia="Times New Roman" w:cs="Times New Roman"/>
          <w:b/>
          <w:noProof/>
          <w:u w:val="none"/>
          <w:lang w:eastAsia="en-GB"/>
        </w:rPr>
        <w:instrText>Data-Set</w:instrText>
      </w:r>
      <w:r w:rsidR="00F204A1" w:rsidRPr="007A3166">
        <w:rPr>
          <w:b/>
        </w:rPr>
        <w:instrText xml:space="preserve">" </w:instrText>
      </w:r>
      <w:r w:rsidR="00F204A1" w:rsidRPr="007A3166">
        <w:rPr>
          <w:rFonts w:eastAsia="Times New Roman" w:cs="Times New Roman"/>
          <w:b/>
          <w:lang w:eastAsia="en-GB"/>
        </w:rPr>
        <w:fldChar w:fldCharType="end"/>
      </w:r>
    </w:p>
    <w:p w14:paraId="785D2819" w14:textId="1C13453D" w:rsidR="0016184D" w:rsidRPr="00EC0229" w:rsidRDefault="00862B0F" w:rsidP="007600EA">
      <w:pPr>
        <w:spacing w:after="0"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 xml:space="preserve">Pirie’s </w:t>
      </w:r>
      <w:r w:rsidRPr="00EC0229">
        <w:rPr>
          <w:rFonts w:eastAsia="Times New Roman" w:cs="Times New Roman"/>
          <w:i/>
          <w:color w:val="000000" w:themeColor="text1"/>
          <w:szCs w:val="24"/>
          <w:lang w:eastAsia="en-GB"/>
        </w:rPr>
        <w:t>CKN</w:t>
      </w:r>
      <w:r w:rsidRPr="00EC0229">
        <w:rPr>
          <w:rFonts w:eastAsia="Times New Roman" w:cs="Times New Roman"/>
          <w:color w:val="000000" w:themeColor="text1"/>
          <w:szCs w:val="24"/>
          <w:lang w:eastAsia="en-GB"/>
        </w:rPr>
        <w:t xml:space="preserve"> corpus </w:t>
      </w:r>
      <w:r w:rsidR="009B2FC0">
        <w:rPr>
          <w:rFonts w:eastAsia="Times New Roman" w:cs="Times New Roman"/>
          <w:color w:val="000000" w:themeColor="text1"/>
          <w:szCs w:val="24"/>
          <w:lang w:eastAsia="en-GB"/>
        </w:rPr>
        <w:t xml:space="preserve">as prepared for publication </w:t>
      </w:r>
      <w:r w:rsidRPr="00EC0229">
        <w:rPr>
          <w:rFonts w:eastAsia="Times New Roman" w:cs="Times New Roman"/>
          <w:color w:val="000000" w:themeColor="text1"/>
          <w:szCs w:val="24"/>
          <w:lang w:eastAsia="en-GB"/>
        </w:rPr>
        <w:t>was forwarded to the candidate by Galata Print Limited in a Microsoft Word</w:t>
      </w:r>
      <w:r w:rsidRPr="00EC0229">
        <w:rPr>
          <w:rFonts w:eastAsia="Times New Roman" w:cs="Times New Roman"/>
          <w:color w:val="000000" w:themeColor="text1"/>
          <w:szCs w:val="24"/>
          <w:vertAlign w:val="superscript"/>
          <w:lang w:eastAsia="en-GB"/>
        </w:rPr>
        <w:t>®</w:t>
      </w:r>
      <w:r w:rsidRPr="00EC0229">
        <w:rPr>
          <w:rFonts w:eastAsia="Times New Roman" w:cs="Times New Roman"/>
          <w:color w:val="000000" w:themeColor="text1"/>
          <w:szCs w:val="24"/>
          <w:lang w:eastAsia="en-GB"/>
        </w:rPr>
        <w:t xml:space="preserve"> document and </w:t>
      </w:r>
      <w:r w:rsidR="0016184D" w:rsidRPr="00EC0229">
        <w:rPr>
          <w:rFonts w:eastAsia="Times New Roman" w:cs="Times New Roman"/>
          <w:color w:val="000000" w:themeColor="text1"/>
          <w:szCs w:val="24"/>
          <w:lang w:eastAsia="en-GB"/>
        </w:rPr>
        <w:t>saved as</w:t>
      </w:r>
      <w:r w:rsidRPr="00EC0229">
        <w:t xml:space="preserve"> an Excel</w:t>
      </w:r>
      <w:r w:rsidR="0016184D" w:rsidRPr="00EC0229">
        <w:rPr>
          <w:rFonts w:eastAsia="Times New Roman" w:cs="Times New Roman"/>
          <w:color w:val="000000" w:themeColor="text1"/>
          <w:szCs w:val="24"/>
          <w:vertAlign w:val="superscript"/>
          <w:lang w:eastAsia="en-GB"/>
        </w:rPr>
        <w:t>®</w:t>
      </w:r>
      <w:r w:rsidR="0016184D" w:rsidRPr="00EC0229">
        <w:rPr>
          <w:rFonts w:eastAsia="Times New Roman" w:cs="Times New Roman"/>
          <w:color w:val="000000" w:themeColor="text1"/>
          <w:szCs w:val="24"/>
          <w:lang w:eastAsia="en-GB"/>
        </w:rPr>
        <w:t xml:space="preserve"> </w:t>
      </w:r>
      <w:r w:rsidRPr="00EC0229">
        <w:t>spreadsheet</w:t>
      </w:r>
      <w:r w:rsidR="0016184D" w:rsidRPr="00EC0229">
        <w:rPr>
          <w:rFonts w:eastAsia="Times New Roman" w:cs="Times New Roman"/>
          <w:color w:val="000000" w:themeColor="text1"/>
          <w:szCs w:val="24"/>
          <w:lang w:eastAsia="en-GB"/>
        </w:rPr>
        <w:t xml:space="preserve"> under the thirty-</w:t>
      </w:r>
      <w:r w:rsidR="0016184D" w:rsidRPr="00EC0229">
        <w:rPr>
          <w:rFonts w:eastAsia="Times New Roman" w:cs="Times New Roman"/>
          <w:color w:val="000000" w:themeColor="text1"/>
          <w:szCs w:val="24"/>
          <w:lang w:eastAsia="en-GB"/>
        </w:rPr>
        <w:lastRenderedPageBreak/>
        <w:t xml:space="preserve">two column headings given in </w:t>
      </w:r>
      <w:r w:rsidR="0016184D" w:rsidRPr="00EC0229">
        <w:rPr>
          <w:rFonts w:eastAsia="Times New Roman" w:cs="Times New Roman"/>
          <w:i/>
          <w:szCs w:val="24"/>
          <w:lang w:eastAsia="en-GB"/>
        </w:rPr>
        <w:t>Table</w:t>
      </w:r>
      <w:r w:rsidR="0016184D" w:rsidRPr="00EC0229">
        <w:rPr>
          <w:rFonts w:eastAsia="Times New Roman" w:cs="Times New Roman"/>
          <w:i/>
          <w:szCs w:val="24"/>
          <w:lang w:eastAsia="en-GB"/>
        </w:rPr>
        <w:fldChar w:fldCharType="begin"/>
      </w:r>
      <w:r w:rsidR="0016184D" w:rsidRPr="00EC0229">
        <w:rPr>
          <w:i/>
        </w:rPr>
        <w:instrText xml:space="preserve"> XE "</w:instrText>
      </w:r>
      <w:r w:rsidR="0016184D" w:rsidRPr="00EC0229">
        <w:rPr>
          <w:i/>
          <w:noProof/>
        </w:rPr>
        <w:instrText>Table</w:instrText>
      </w:r>
      <w:r w:rsidR="0016184D" w:rsidRPr="00EC0229">
        <w:rPr>
          <w:i/>
        </w:rPr>
        <w:instrText xml:space="preserve">" </w:instrText>
      </w:r>
      <w:r w:rsidR="0016184D" w:rsidRPr="00EC0229">
        <w:rPr>
          <w:rFonts w:eastAsia="Times New Roman" w:cs="Times New Roman"/>
          <w:i/>
          <w:szCs w:val="24"/>
          <w:lang w:eastAsia="en-GB"/>
        </w:rPr>
        <w:fldChar w:fldCharType="end"/>
      </w:r>
      <w:r w:rsidR="0016184D" w:rsidRPr="00EC0229">
        <w:rPr>
          <w:rFonts w:eastAsia="Times New Roman" w:cs="Times New Roman"/>
          <w:i/>
          <w:szCs w:val="24"/>
          <w:lang w:eastAsia="en-GB"/>
        </w:rPr>
        <w:t xml:space="preserve"> </w:t>
      </w:r>
      <w:r w:rsidR="00BA3090" w:rsidRPr="00EC0229">
        <w:rPr>
          <w:rFonts w:eastAsia="Times New Roman" w:cs="Times New Roman"/>
          <w:i/>
          <w:szCs w:val="24"/>
          <w:lang w:eastAsia="en-GB"/>
        </w:rPr>
        <w:t>6.02</w:t>
      </w:r>
      <w:r w:rsidR="0016184D" w:rsidRPr="00EC0229">
        <w:t xml:space="preserve">. </w:t>
      </w:r>
      <w:r w:rsidR="008A168A" w:rsidRPr="00EC0229">
        <w:t>Careful</w:t>
      </w:r>
      <w:r w:rsidR="0016184D" w:rsidRPr="00EC0229">
        <w:t xml:space="preserve"> data realignment was required to </w:t>
      </w:r>
      <w:r w:rsidR="009B2FC0">
        <w:t>assemble</w:t>
      </w:r>
      <w:r w:rsidR="009B2FC0" w:rsidRPr="00EC0229">
        <w:t xml:space="preserve"> </w:t>
      </w:r>
      <w:r w:rsidR="0016184D" w:rsidRPr="00EC0229">
        <w:t xml:space="preserve">like information into </w:t>
      </w:r>
      <w:r w:rsidR="00701D3A" w:rsidRPr="00EC0229">
        <w:t>designated</w:t>
      </w:r>
      <w:r w:rsidR="0016184D" w:rsidRPr="00EC0229">
        <w:t xml:space="preserve"> columns. </w:t>
      </w:r>
      <w:r w:rsidR="0016184D" w:rsidRPr="00EC0229">
        <w:rPr>
          <w:rFonts w:eastAsia="Times New Roman" w:cs="Times New Roman"/>
          <w:color w:val="000000" w:themeColor="text1"/>
          <w:szCs w:val="24"/>
          <w:lang w:eastAsia="en-GB"/>
        </w:rPr>
        <w:t>Pirie</w:t>
      </w:r>
      <w:r w:rsidR="0016184D" w:rsidRPr="00EC0229">
        <w:rPr>
          <w:rFonts w:eastAsia="Times New Roman" w:cs="Times New Roman"/>
          <w:color w:val="000000" w:themeColor="text1"/>
          <w:szCs w:val="24"/>
          <w:lang w:eastAsia="en-GB"/>
        </w:rPr>
        <w:fldChar w:fldCharType="begin"/>
      </w:r>
      <w:r w:rsidR="0016184D" w:rsidRPr="00EC0229">
        <w:instrText xml:space="preserve"> XE "Pirie" </w:instrText>
      </w:r>
      <w:r w:rsidR="0016184D" w:rsidRPr="00EC0229">
        <w:rPr>
          <w:rFonts w:eastAsia="Times New Roman" w:cs="Times New Roman"/>
          <w:color w:val="000000" w:themeColor="text1"/>
          <w:szCs w:val="24"/>
          <w:lang w:eastAsia="en-GB"/>
        </w:rPr>
        <w:fldChar w:fldCharType="end"/>
      </w:r>
      <w:r w:rsidR="0016184D" w:rsidRPr="00EC0229">
        <w:rPr>
          <w:rFonts w:eastAsia="Times New Roman" w:cs="Times New Roman"/>
          <w:color w:val="000000" w:themeColor="text1"/>
          <w:szCs w:val="24"/>
          <w:lang w:eastAsia="en-GB"/>
        </w:rPr>
        <w:t xml:space="preserve">’s granularity of details is not matched by EMC. </w:t>
      </w:r>
    </w:p>
    <w:p w14:paraId="6506BE63" w14:textId="77777777" w:rsidR="0016184D" w:rsidRPr="00EC0229" w:rsidRDefault="0016184D" w:rsidP="007600EA">
      <w:pPr>
        <w:spacing w:after="0" w:line="360" w:lineRule="auto"/>
        <w:rPr>
          <w:rFonts w:eastAsia="Times New Roman" w:cs="Times New Roman"/>
          <w:color w:val="000000" w:themeColor="text1"/>
          <w:szCs w:val="24"/>
          <w:lang w:eastAsia="en-GB"/>
        </w:rPr>
      </w:pPr>
    </w:p>
    <w:p w14:paraId="3CF4F445" w14:textId="3CBC83DC" w:rsidR="00862B0F" w:rsidRPr="00EC0229" w:rsidRDefault="0016184D" w:rsidP="007600EA">
      <w:pPr>
        <w:spacing w:after="0"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Data from EMC was exported directly into an Excel</w:t>
      </w:r>
      <w:r w:rsidR="008A168A" w:rsidRPr="00EC0229">
        <w:rPr>
          <w:rFonts w:eastAsia="Times New Roman" w:cs="Times New Roman"/>
          <w:color w:val="000000" w:themeColor="text1"/>
          <w:szCs w:val="24"/>
          <w:vertAlign w:val="superscript"/>
          <w:lang w:eastAsia="en-GB"/>
        </w:rPr>
        <w:t>®</w:t>
      </w:r>
      <w:r w:rsidRPr="00EC0229">
        <w:rPr>
          <w:rFonts w:eastAsia="Times New Roman" w:cs="Times New Roman"/>
          <w:color w:val="000000" w:themeColor="text1"/>
          <w:szCs w:val="24"/>
          <w:lang w:eastAsia="en-GB"/>
        </w:rPr>
        <w:t xml:space="preserve"> spreadsheet and, </w:t>
      </w:r>
      <w:r w:rsidR="00956186">
        <w:rPr>
          <w:rFonts w:eastAsia="Times New Roman" w:cs="Times New Roman"/>
          <w:color w:val="000000" w:themeColor="text1"/>
          <w:szCs w:val="24"/>
          <w:lang w:eastAsia="en-GB"/>
        </w:rPr>
        <w:t>once re-aligned</w:t>
      </w:r>
      <w:r w:rsidRPr="00EC0229">
        <w:rPr>
          <w:rFonts w:eastAsia="Times New Roman" w:cs="Times New Roman"/>
          <w:color w:val="000000" w:themeColor="text1"/>
          <w:szCs w:val="24"/>
          <w:lang w:eastAsia="en-GB"/>
        </w:rPr>
        <w:t xml:space="preserve">, organised to </w:t>
      </w:r>
      <w:r w:rsidR="00701D3A" w:rsidRPr="00EC0229">
        <w:rPr>
          <w:rFonts w:eastAsia="Times New Roman" w:cs="Times New Roman"/>
          <w:color w:val="000000" w:themeColor="text1"/>
          <w:szCs w:val="24"/>
          <w:lang w:eastAsia="en-GB"/>
        </w:rPr>
        <w:t>replicate</w:t>
      </w:r>
      <w:r w:rsidRPr="00EC0229">
        <w:rPr>
          <w:rFonts w:eastAsia="Times New Roman" w:cs="Times New Roman"/>
          <w:color w:val="000000" w:themeColor="text1"/>
          <w:szCs w:val="24"/>
          <w:lang w:eastAsia="en-GB"/>
        </w:rPr>
        <w:t xml:space="preserve"> the CKN format. These two spreadsheets were collated resulting in a </w:t>
      </w:r>
      <w:r w:rsidR="006C2237" w:rsidRPr="00EC0229">
        <w:rPr>
          <w:rFonts w:eastAsia="Times New Roman" w:cs="Times New Roman"/>
          <w:color w:val="000000" w:themeColor="text1"/>
          <w:szCs w:val="24"/>
          <w:lang w:eastAsia="en-GB"/>
        </w:rPr>
        <w:t>database</w:t>
      </w:r>
      <w:r w:rsidRPr="00EC0229">
        <w:rPr>
          <w:rFonts w:eastAsia="Times New Roman" w:cs="Times New Roman"/>
          <w:color w:val="000000" w:themeColor="text1"/>
          <w:szCs w:val="24"/>
          <w:lang w:eastAsia="en-GB"/>
        </w:rPr>
        <w:t xml:space="preserve"> of around 400 sceats and 7,200 stycas.</w:t>
      </w:r>
      <w:r w:rsidRPr="00EC0229">
        <w:rPr>
          <w:rStyle w:val="FootnoteReference"/>
          <w:rFonts w:eastAsia="Times New Roman" w:cs="Times New Roman"/>
          <w:color w:val="000000" w:themeColor="text1"/>
          <w:szCs w:val="24"/>
          <w:lang w:eastAsia="en-GB"/>
        </w:rPr>
        <w:footnoteReference w:id="720"/>
      </w:r>
      <w:r w:rsidRPr="00EC0229">
        <w:rPr>
          <w:rFonts w:eastAsia="Times New Roman" w:cs="Times New Roman"/>
          <w:color w:val="000000" w:themeColor="text1"/>
          <w:szCs w:val="24"/>
          <w:lang w:eastAsia="en-GB"/>
        </w:rPr>
        <w:t xml:space="preserve"> A relatively </w:t>
      </w:r>
      <w:r w:rsidR="00701D3A" w:rsidRPr="00EC0229">
        <w:rPr>
          <w:rFonts w:eastAsia="Times New Roman" w:cs="Times New Roman"/>
          <w:color w:val="000000" w:themeColor="text1"/>
          <w:szCs w:val="24"/>
          <w:lang w:eastAsia="en-GB"/>
        </w:rPr>
        <w:t xml:space="preserve">small number of </w:t>
      </w:r>
      <w:r w:rsidR="002D6A82">
        <w:rPr>
          <w:rFonts w:eastAsia="Times New Roman" w:cs="Times New Roman"/>
          <w:color w:val="000000" w:themeColor="text1"/>
          <w:szCs w:val="24"/>
          <w:lang w:eastAsia="en-GB"/>
        </w:rPr>
        <w:t>specimens (1.8</w:t>
      </w:r>
      <w:r w:rsidRPr="00EC0229">
        <w:rPr>
          <w:rFonts w:eastAsia="Times New Roman" w:cs="Times New Roman"/>
          <w:color w:val="000000" w:themeColor="text1"/>
          <w:szCs w:val="24"/>
          <w:lang w:eastAsia="en-GB"/>
        </w:rPr>
        <w:t>%) were added from PAS</w:t>
      </w:r>
      <w:r w:rsidR="00701D3A" w:rsidRPr="00EC0229">
        <w:rPr>
          <w:rFonts w:eastAsia="Times New Roman" w:cs="Times New Roman"/>
          <w:color w:val="000000" w:themeColor="text1"/>
          <w:szCs w:val="24"/>
          <w:lang w:eastAsia="en-GB"/>
        </w:rPr>
        <w:t>,</w:t>
      </w:r>
      <w:r w:rsidRPr="00EC0229">
        <w:rPr>
          <w:rFonts w:eastAsia="Times New Roman" w:cs="Times New Roman"/>
          <w:color w:val="000000" w:themeColor="text1"/>
          <w:szCs w:val="24"/>
          <w:lang w:eastAsia="en-GB"/>
        </w:rPr>
        <w:t xml:space="preserve"> mindful of the high risk of inaccuracies</w:t>
      </w:r>
      <w:r w:rsidR="00701D3A" w:rsidRPr="00EC0229">
        <w:rPr>
          <w:rFonts w:eastAsia="Times New Roman" w:cs="Times New Roman"/>
          <w:color w:val="000000" w:themeColor="text1"/>
          <w:szCs w:val="24"/>
          <w:lang w:eastAsia="en-GB"/>
        </w:rPr>
        <w:t xml:space="preserve"> and the disproportionate effort required to standardise these entries</w:t>
      </w:r>
      <w:r w:rsidRPr="00EC0229">
        <w:rPr>
          <w:rFonts w:eastAsia="Times New Roman" w:cs="Times New Roman"/>
          <w:color w:val="000000" w:themeColor="text1"/>
          <w:szCs w:val="24"/>
          <w:lang w:eastAsia="en-GB"/>
        </w:rPr>
        <w:t>.</w:t>
      </w:r>
    </w:p>
    <w:p w14:paraId="4649EB06" w14:textId="77777777" w:rsidR="00862B0F" w:rsidRPr="00EC0229" w:rsidRDefault="00862B0F" w:rsidP="007600EA">
      <w:pPr>
        <w:spacing w:after="0" w:line="360" w:lineRule="auto"/>
        <w:rPr>
          <w:rFonts w:eastAsia="Times New Roman" w:cs="Times New Roman"/>
          <w:color w:val="000000" w:themeColor="text1"/>
          <w:szCs w:val="24"/>
          <w:lang w:eastAsia="en-GB"/>
        </w:rPr>
      </w:pPr>
    </w:p>
    <w:p w14:paraId="209F0F03" w14:textId="2AC87CA4" w:rsidR="00610521" w:rsidRPr="00EC0229" w:rsidRDefault="00610521" w:rsidP="007600EA">
      <w:pPr>
        <w:spacing w:after="0"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 xml:space="preserve">Numerous, but perhaps not all, inconsistencies </w:t>
      </w:r>
      <w:r w:rsidR="0016184D" w:rsidRPr="00EC0229">
        <w:rPr>
          <w:rFonts w:eastAsia="Times New Roman" w:cs="Times New Roman"/>
          <w:color w:val="000000" w:themeColor="text1"/>
          <w:szCs w:val="24"/>
          <w:lang w:eastAsia="en-GB"/>
        </w:rPr>
        <w:t>were</w:t>
      </w:r>
      <w:r w:rsidRPr="00EC0229">
        <w:rPr>
          <w:rFonts w:eastAsia="Times New Roman" w:cs="Times New Roman"/>
          <w:color w:val="000000" w:themeColor="text1"/>
          <w:szCs w:val="24"/>
          <w:lang w:eastAsia="en-GB"/>
        </w:rPr>
        <w:t xml:space="preserve"> r</w:t>
      </w:r>
      <w:r w:rsidR="009A5922" w:rsidRPr="00EC0229">
        <w:rPr>
          <w:rFonts w:eastAsia="Times New Roman" w:cs="Times New Roman"/>
          <w:color w:val="000000" w:themeColor="text1"/>
          <w:szCs w:val="24"/>
          <w:lang w:eastAsia="en-GB"/>
        </w:rPr>
        <w:t>esolved</w:t>
      </w:r>
      <w:r w:rsidR="00701D3A" w:rsidRPr="00EC0229">
        <w:rPr>
          <w:rFonts w:eastAsia="Times New Roman" w:cs="Times New Roman"/>
          <w:color w:val="000000" w:themeColor="text1"/>
          <w:szCs w:val="24"/>
          <w:lang w:eastAsia="en-GB"/>
        </w:rPr>
        <w:t>, and duplicates eliminated,</w:t>
      </w:r>
      <w:r w:rsidR="009A5922" w:rsidRPr="00EC0229">
        <w:rPr>
          <w:rFonts w:eastAsia="Times New Roman" w:cs="Times New Roman"/>
          <w:color w:val="000000" w:themeColor="text1"/>
          <w:szCs w:val="24"/>
          <w:lang w:eastAsia="en-GB"/>
        </w:rPr>
        <w:t xml:space="preserve"> to the level at which any residual errors were unlikely to influence outcomes.</w:t>
      </w:r>
      <w:r w:rsidR="009A5922" w:rsidRPr="00EC0229">
        <w:rPr>
          <w:rStyle w:val="FootnoteReference"/>
          <w:rFonts w:eastAsia="Times New Roman" w:cs="Times New Roman"/>
          <w:color w:val="000000" w:themeColor="text1"/>
          <w:szCs w:val="24"/>
          <w:lang w:eastAsia="en-GB"/>
        </w:rPr>
        <w:footnoteReference w:id="721"/>
      </w:r>
      <w:r w:rsidR="009A5922" w:rsidRPr="00EC0229">
        <w:rPr>
          <w:rFonts w:eastAsia="Times New Roman" w:cs="Times New Roman"/>
          <w:color w:val="000000" w:themeColor="text1"/>
          <w:szCs w:val="24"/>
          <w:lang w:eastAsia="en-GB"/>
        </w:rPr>
        <w:t xml:space="preserve"> </w:t>
      </w:r>
      <w:r w:rsidRPr="00EC0229">
        <w:rPr>
          <w:rFonts w:eastAsia="Times New Roman" w:cs="Times New Roman"/>
          <w:color w:val="000000" w:themeColor="text1"/>
          <w:szCs w:val="24"/>
          <w:lang w:eastAsia="en-GB"/>
        </w:rPr>
        <w:t>Augmenting this data-set with additional accumulations,</w:t>
      </w:r>
      <w:r w:rsidRPr="00EC0229">
        <w:rPr>
          <w:rStyle w:val="FootnoteReference"/>
          <w:rFonts w:eastAsia="Times New Roman" w:cs="Times New Roman"/>
          <w:color w:val="000000" w:themeColor="text1"/>
          <w:szCs w:val="24"/>
          <w:lang w:eastAsia="en-GB"/>
        </w:rPr>
        <w:footnoteReference w:id="722"/>
      </w:r>
      <w:r w:rsidRPr="00EC0229">
        <w:rPr>
          <w:rFonts w:eastAsia="Times New Roman" w:cs="Times New Roman"/>
          <w:color w:val="000000" w:themeColor="text1"/>
          <w:szCs w:val="24"/>
          <w:lang w:eastAsia="en-GB"/>
        </w:rPr>
        <w:t xml:space="preserve"> is thought unlikely to have any significant effect on the statistical distribution.</w:t>
      </w:r>
    </w:p>
    <w:p w14:paraId="69AFDE50" w14:textId="77777777" w:rsidR="00701D3A" w:rsidRPr="00EC0229" w:rsidRDefault="00701D3A" w:rsidP="007600EA">
      <w:pPr>
        <w:spacing w:after="0" w:line="360" w:lineRule="auto"/>
      </w:pPr>
    </w:p>
    <w:p w14:paraId="68626FC0" w14:textId="44A6674D" w:rsidR="00701D3A" w:rsidRPr="00956186" w:rsidRDefault="00701D3A" w:rsidP="007600EA">
      <w:pPr>
        <w:spacing w:after="0" w:line="360" w:lineRule="auto"/>
        <w:rPr>
          <w:rFonts w:eastAsia="Times New Roman" w:cs="Times New Roman"/>
          <w:color w:val="000000" w:themeColor="text1"/>
          <w:szCs w:val="24"/>
          <w:lang w:eastAsia="en-GB"/>
        </w:rPr>
      </w:pPr>
      <w:r w:rsidRPr="00EC0229">
        <w:t>Various pivot tables (i.e., cross-tabulations) </w:t>
      </w:r>
      <w:r w:rsidR="008A168A" w:rsidRPr="00EC0229">
        <w:t xml:space="preserve">were </w:t>
      </w:r>
      <w:r w:rsidRPr="00EC0229">
        <w:t xml:space="preserve">used automatically to sort and count the data stored in the master </w:t>
      </w:r>
      <w:r w:rsidR="006C2237" w:rsidRPr="00EC0229">
        <w:t>database</w:t>
      </w:r>
      <w:r w:rsidRPr="00EC0229">
        <w:t xml:space="preserve"> and present the results in a series of summary tables as described below</w:t>
      </w:r>
      <w:r w:rsidR="00956186">
        <w:t xml:space="preserve"> and at </w:t>
      </w:r>
      <w:r w:rsidR="00956186" w:rsidRPr="00956186">
        <w:rPr>
          <w:i/>
          <w:szCs w:val="24"/>
        </w:rPr>
        <w:fldChar w:fldCharType="begin"/>
      </w:r>
      <w:r w:rsidR="00956186" w:rsidRPr="00956186">
        <w:rPr>
          <w:i/>
          <w:szCs w:val="24"/>
        </w:rPr>
        <w:instrText xml:space="preserve"> REF _Ref467520104 \h  \* MERGEFORMAT </w:instrText>
      </w:r>
      <w:r w:rsidR="00956186" w:rsidRPr="00956186">
        <w:rPr>
          <w:i/>
          <w:szCs w:val="24"/>
        </w:rPr>
      </w:r>
      <w:r w:rsidR="00956186" w:rsidRPr="00956186">
        <w:rPr>
          <w:i/>
          <w:szCs w:val="24"/>
        </w:rPr>
        <w:fldChar w:fldCharType="separate"/>
      </w:r>
      <w:r w:rsidR="0012026B" w:rsidRPr="0012026B">
        <w:rPr>
          <w:i/>
          <w:szCs w:val="24"/>
        </w:rPr>
        <w:t>Figure 61</w:t>
      </w:r>
      <w:r w:rsidR="00956186" w:rsidRPr="00956186">
        <w:rPr>
          <w:i/>
          <w:szCs w:val="24"/>
        </w:rPr>
        <w:fldChar w:fldCharType="end"/>
      </w:r>
      <w:r w:rsidRPr="00956186">
        <w:rPr>
          <w:i/>
          <w:szCs w:val="24"/>
        </w:rPr>
        <w:t>.</w:t>
      </w:r>
      <w:r w:rsidR="00956186">
        <w:rPr>
          <w:szCs w:val="24"/>
        </w:rPr>
        <w:t xml:space="preserve"> Metadata is given in the introduction to Volume 3.</w:t>
      </w:r>
      <w:r w:rsidR="00956186">
        <w:rPr>
          <w:rStyle w:val="FootnoteReference"/>
          <w:szCs w:val="24"/>
        </w:rPr>
        <w:footnoteReference w:id="723"/>
      </w:r>
    </w:p>
    <w:p w14:paraId="110FA34F" w14:textId="77777777" w:rsidR="00610521" w:rsidRPr="00EC0229" w:rsidRDefault="00610521" w:rsidP="007600EA">
      <w:pPr>
        <w:spacing w:after="0" w:line="360" w:lineRule="auto"/>
        <w:rPr>
          <w:rFonts w:eastAsia="Times New Roman" w:cs="Times New Roman"/>
          <w:color w:val="000000" w:themeColor="text1"/>
          <w:szCs w:val="24"/>
          <w:lang w:eastAsia="en-GB"/>
        </w:rPr>
      </w:pPr>
    </w:p>
    <w:p w14:paraId="1FF8D08A" w14:textId="5DE9B6A2" w:rsidR="00610521" w:rsidRPr="007A3166" w:rsidRDefault="00455D13" w:rsidP="007600EA">
      <w:pPr>
        <w:pStyle w:val="Heading4"/>
        <w:spacing w:line="360" w:lineRule="auto"/>
        <w:rPr>
          <w:rFonts w:eastAsia="Times New Roman" w:cs="Times New Roman"/>
          <w:b/>
          <w:color w:val="000000" w:themeColor="text1"/>
          <w:lang w:eastAsia="en-GB"/>
        </w:rPr>
      </w:pPr>
      <w:bookmarkStart w:id="462" w:name="_Toc468266829"/>
      <w:r>
        <w:rPr>
          <w:rFonts w:eastAsia="Times New Roman" w:cs="Times New Roman"/>
          <w:b/>
          <w:lang w:eastAsia="en-GB"/>
        </w:rPr>
        <w:t>6.2.1.2</w:t>
      </w:r>
      <w:r w:rsidR="00AE431C">
        <w:rPr>
          <w:rFonts w:eastAsia="Times New Roman" w:cs="Times New Roman"/>
          <w:b/>
          <w:lang w:eastAsia="en-GB"/>
        </w:rPr>
        <w:tab/>
      </w:r>
      <w:r w:rsidR="00CB5951">
        <w:rPr>
          <w:rFonts w:eastAsia="Times New Roman" w:cs="Times New Roman"/>
          <w:b/>
          <w:i/>
          <w:lang w:eastAsia="en-GB"/>
        </w:rPr>
        <w:t>Dataset 6.04</w:t>
      </w:r>
      <w:r w:rsidR="00CB5951">
        <w:rPr>
          <w:rFonts w:eastAsia="Times New Roman" w:cs="Times New Roman"/>
          <w:b/>
          <w:lang w:eastAsia="en-GB"/>
        </w:rPr>
        <w:t>:</w:t>
      </w:r>
      <w:r w:rsidR="00610521" w:rsidRPr="007A3166">
        <w:rPr>
          <w:rFonts w:eastAsia="Times New Roman" w:cs="Times New Roman"/>
          <w:b/>
          <w:color w:val="000000" w:themeColor="text1"/>
          <w:lang w:eastAsia="en-GB"/>
        </w:rPr>
        <w:t xml:space="preserve"> The Matrices</w:t>
      </w:r>
      <w:bookmarkEnd w:id="462"/>
      <w:r w:rsidR="00F204A1" w:rsidRPr="007A3166">
        <w:rPr>
          <w:rFonts w:eastAsia="Times New Roman" w:cs="Times New Roman"/>
          <w:b/>
          <w:color w:val="000000" w:themeColor="text1"/>
          <w:lang w:eastAsia="en-GB"/>
        </w:rPr>
        <w:fldChar w:fldCharType="begin"/>
      </w:r>
      <w:r w:rsidR="00F204A1" w:rsidRPr="007A3166">
        <w:rPr>
          <w:b/>
        </w:rPr>
        <w:instrText xml:space="preserve"> XE "</w:instrText>
      </w:r>
      <w:r w:rsidR="00F204A1" w:rsidRPr="007A3166">
        <w:rPr>
          <w:rStyle w:val="Hyperlink"/>
          <w:rFonts w:eastAsia="Times New Roman" w:cs="Times New Roman"/>
          <w:b/>
          <w:noProof/>
          <w:u w:val="none"/>
          <w:lang w:eastAsia="en-GB"/>
        </w:rPr>
        <w:instrText>Matrices</w:instrText>
      </w:r>
      <w:r w:rsidR="00F204A1" w:rsidRPr="007A3166">
        <w:rPr>
          <w:b/>
        </w:rPr>
        <w:instrText xml:space="preserve">" </w:instrText>
      </w:r>
      <w:r w:rsidR="00F204A1" w:rsidRPr="007A3166">
        <w:rPr>
          <w:rFonts w:eastAsia="Times New Roman" w:cs="Times New Roman"/>
          <w:b/>
          <w:color w:val="000000" w:themeColor="text1"/>
          <w:lang w:eastAsia="en-GB"/>
        </w:rPr>
        <w:fldChar w:fldCharType="end"/>
      </w:r>
    </w:p>
    <w:p w14:paraId="2764F282" w14:textId="2A01A388" w:rsidR="00610521" w:rsidRPr="00EC0229" w:rsidRDefault="00610521" w:rsidP="007600EA">
      <w:pPr>
        <w:spacing w:after="0"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 xml:space="preserve">For the styca coinage, matrices of issuers </w:t>
      </w:r>
      <w:r w:rsidR="00370465" w:rsidRPr="00EC0229">
        <w:rPr>
          <w:rFonts w:eastAsia="Times New Roman" w:cs="Times New Roman"/>
          <w:color w:val="000000" w:themeColor="text1"/>
          <w:szCs w:val="24"/>
          <w:lang w:eastAsia="en-GB"/>
        </w:rPr>
        <w:t>and moneyers, for each source, we</w:t>
      </w:r>
      <w:r w:rsidRPr="00EC0229">
        <w:rPr>
          <w:rFonts w:eastAsia="Times New Roman" w:cs="Times New Roman"/>
          <w:color w:val="000000" w:themeColor="text1"/>
          <w:szCs w:val="24"/>
          <w:lang w:eastAsia="en-GB"/>
        </w:rPr>
        <w:t xml:space="preserve">re </w:t>
      </w:r>
      <w:r w:rsidR="00370465" w:rsidRPr="00EC0229">
        <w:rPr>
          <w:rFonts w:eastAsia="Times New Roman" w:cs="Times New Roman"/>
          <w:color w:val="000000" w:themeColor="text1"/>
          <w:szCs w:val="24"/>
          <w:lang w:eastAsia="en-GB"/>
        </w:rPr>
        <w:t xml:space="preserve">extracted from </w:t>
      </w:r>
      <w:r w:rsidR="005D0690" w:rsidRPr="00EC0229">
        <w:rPr>
          <w:rFonts w:eastAsia="Times New Roman" w:cs="Times New Roman"/>
          <w:i/>
          <w:color w:val="000000" w:themeColor="text1"/>
          <w:szCs w:val="24"/>
          <w:lang w:eastAsia="en-GB"/>
        </w:rPr>
        <w:t>Database 1</w:t>
      </w:r>
      <w:r w:rsidR="00370465" w:rsidRPr="00EC0229">
        <w:rPr>
          <w:rFonts w:eastAsia="Times New Roman" w:cs="Times New Roman"/>
          <w:color w:val="000000" w:themeColor="text1"/>
          <w:szCs w:val="24"/>
          <w:lang w:eastAsia="en-GB"/>
        </w:rPr>
        <w:t xml:space="preserve">. These are </w:t>
      </w:r>
      <w:r w:rsidRPr="00EC0229">
        <w:rPr>
          <w:rFonts w:eastAsia="Times New Roman" w:cs="Times New Roman"/>
          <w:color w:val="000000" w:themeColor="text1"/>
          <w:szCs w:val="24"/>
          <w:lang w:eastAsia="en-GB"/>
        </w:rPr>
        <w:t>shown including and excluding hoard material (</w:t>
      </w:r>
      <w:r w:rsidR="00DF61F5" w:rsidRPr="00EC0229">
        <w:rPr>
          <w:rFonts w:eastAsia="Times New Roman" w:cs="Times New Roman"/>
          <w:color w:val="000000" w:themeColor="text1"/>
          <w:szCs w:val="24"/>
          <w:lang w:eastAsia="en-GB"/>
        </w:rPr>
        <w:fldChar w:fldCharType="begin"/>
      </w:r>
      <w:r w:rsidR="00DF61F5" w:rsidRPr="00EC0229">
        <w:rPr>
          <w:rFonts w:eastAsia="Times New Roman" w:cs="Times New Roman"/>
          <w:color w:val="000000" w:themeColor="text1"/>
          <w:szCs w:val="24"/>
          <w:lang w:eastAsia="en-GB"/>
        </w:rPr>
        <w:instrText xml:space="preserve"> PAGEREF Hoard \h </w:instrText>
      </w:r>
      <w:r w:rsidR="00DF61F5" w:rsidRPr="00EC0229">
        <w:rPr>
          <w:rFonts w:eastAsia="Times New Roman" w:cs="Times New Roman"/>
          <w:color w:val="000000" w:themeColor="text1"/>
          <w:szCs w:val="24"/>
          <w:lang w:eastAsia="en-GB"/>
        </w:rPr>
      </w:r>
      <w:r w:rsidR="00DF61F5" w:rsidRPr="00EC0229">
        <w:rPr>
          <w:rFonts w:eastAsia="Times New Roman" w:cs="Times New Roman"/>
          <w:color w:val="000000" w:themeColor="text1"/>
          <w:szCs w:val="24"/>
          <w:lang w:eastAsia="en-GB"/>
        </w:rPr>
        <w:fldChar w:fldCharType="separate"/>
      </w:r>
      <w:r w:rsidR="0012026B">
        <w:rPr>
          <w:rFonts w:eastAsia="Times New Roman" w:cs="Times New Roman"/>
          <w:noProof/>
          <w:color w:val="000000" w:themeColor="text1"/>
          <w:szCs w:val="24"/>
          <w:lang w:eastAsia="en-GB"/>
        </w:rPr>
        <w:t>138</w:t>
      </w:r>
      <w:r w:rsidR="00DF61F5" w:rsidRPr="00EC0229">
        <w:rPr>
          <w:rFonts w:eastAsia="Times New Roman" w:cs="Times New Roman"/>
          <w:color w:val="000000" w:themeColor="text1"/>
          <w:szCs w:val="24"/>
          <w:lang w:eastAsia="en-GB"/>
        </w:rPr>
        <w:fldChar w:fldCharType="end"/>
      </w:r>
      <w:r w:rsidR="00D34EBD" w:rsidRPr="00EC0229">
        <w:rPr>
          <w:rFonts w:eastAsia="Times New Roman" w:cs="Times New Roman"/>
          <w:color w:val="000000" w:themeColor="text1"/>
          <w:szCs w:val="24"/>
          <w:lang w:eastAsia="en-GB"/>
        </w:rPr>
        <w:t>) and</w:t>
      </w:r>
      <w:r w:rsidRPr="00EC0229">
        <w:rPr>
          <w:rFonts w:eastAsia="Times New Roman" w:cs="Times New Roman"/>
          <w:color w:val="000000" w:themeColor="text1"/>
          <w:szCs w:val="24"/>
          <w:lang w:eastAsia="en-GB"/>
        </w:rPr>
        <w:t xml:space="preserve"> are then combined into summary matrices</w:t>
      </w:r>
      <w:r w:rsidR="00D34EBD" w:rsidRPr="00EC0229">
        <w:rPr>
          <w:rFonts w:eastAsia="Times New Roman" w:cs="Times New Roman"/>
          <w:color w:val="000000" w:themeColor="text1"/>
          <w:szCs w:val="24"/>
          <w:lang w:eastAsia="en-GB"/>
        </w:rPr>
        <w:t>, again</w:t>
      </w:r>
      <w:r w:rsidRPr="00EC0229">
        <w:rPr>
          <w:rFonts w:eastAsia="Times New Roman" w:cs="Times New Roman"/>
          <w:color w:val="000000" w:themeColor="text1"/>
          <w:szCs w:val="24"/>
          <w:lang w:eastAsia="en-GB"/>
        </w:rPr>
        <w:t xml:space="preserve"> with and without hoards. The summary matrix of issuers and moneyers, excluding hoard coins, constitutes the base dat</w:t>
      </w:r>
      <w:r w:rsidR="006234DC">
        <w:rPr>
          <w:rFonts w:eastAsia="Times New Roman" w:cs="Times New Roman"/>
          <w:color w:val="000000" w:themeColor="text1"/>
          <w:szCs w:val="24"/>
          <w:lang w:eastAsia="en-GB"/>
        </w:rPr>
        <w:t xml:space="preserve">a-set - the normal </w:t>
      </w:r>
      <w:r w:rsidRPr="00EC0229">
        <w:rPr>
          <w:rFonts w:eastAsia="Times New Roman" w:cs="Times New Roman"/>
          <w:color w:val="000000" w:themeColor="text1"/>
          <w:szCs w:val="24"/>
          <w:lang w:eastAsia="en-GB"/>
        </w:rPr>
        <w:t>distribution</w:t>
      </w:r>
      <w:r w:rsidR="006234DC" w:rsidRPr="006234DC">
        <w:t xml:space="preserve"> </w:t>
      </w:r>
      <w:r w:rsidR="006234DC">
        <w:t>of finds in and of Northumbria.</w:t>
      </w:r>
      <w:r w:rsidRPr="00EC0229">
        <w:rPr>
          <w:rFonts w:eastAsia="Times New Roman" w:cs="Times New Roman"/>
          <w:color w:val="000000" w:themeColor="text1"/>
          <w:szCs w:val="24"/>
          <w:lang w:eastAsia="en-GB"/>
        </w:rPr>
        <w:t xml:space="preserve"> - to which </w:t>
      </w:r>
      <w:r w:rsidR="00BB0C54" w:rsidRPr="00EC0229">
        <w:rPr>
          <w:rFonts w:eastAsia="Times New Roman" w:cs="Times New Roman"/>
          <w:color w:val="000000" w:themeColor="text1"/>
          <w:szCs w:val="24"/>
          <w:lang w:eastAsia="en-GB"/>
        </w:rPr>
        <w:t>newly discovered</w:t>
      </w:r>
      <w:r w:rsidRPr="00EC0229">
        <w:rPr>
          <w:rFonts w:eastAsia="Times New Roman" w:cs="Times New Roman"/>
          <w:color w:val="000000" w:themeColor="text1"/>
          <w:szCs w:val="24"/>
          <w:lang w:eastAsia="en-GB"/>
        </w:rPr>
        <w:t xml:space="preserve"> </w:t>
      </w:r>
      <w:r w:rsidR="00BB0C54" w:rsidRPr="00EC0229">
        <w:rPr>
          <w:rFonts w:eastAsia="Times New Roman" w:cs="Times New Roman"/>
          <w:color w:val="000000" w:themeColor="text1"/>
          <w:szCs w:val="24"/>
          <w:lang w:eastAsia="en-GB"/>
        </w:rPr>
        <w:t xml:space="preserve">hoards </w:t>
      </w:r>
      <w:r w:rsidRPr="00EC0229">
        <w:rPr>
          <w:rFonts w:eastAsia="Times New Roman" w:cs="Times New Roman"/>
          <w:color w:val="000000" w:themeColor="text1"/>
          <w:szCs w:val="24"/>
          <w:lang w:eastAsia="en-GB"/>
        </w:rPr>
        <w:t>can be compared</w:t>
      </w:r>
      <w:r w:rsidR="00BB0C54" w:rsidRPr="00EC0229">
        <w:rPr>
          <w:rFonts w:eastAsia="Times New Roman" w:cs="Times New Roman"/>
          <w:color w:val="000000" w:themeColor="text1"/>
          <w:szCs w:val="24"/>
          <w:lang w:eastAsia="en-GB"/>
        </w:rPr>
        <w:t xml:space="preserve"> in future</w:t>
      </w:r>
      <w:r w:rsidRPr="00EC0229">
        <w:rPr>
          <w:rFonts w:eastAsia="Times New Roman" w:cs="Times New Roman"/>
          <w:color w:val="000000" w:themeColor="text1"/>
          <w:szCs w:val="24"/>
          <w:lang w:eastAsia="en-GB"/>
        </w:rPr>
        <w:t>.</w:t>
      </w:r>
    </w:p>
    <w:p w14:paraId="66B83DCA" w14:textId="77777777" w:rsidR="00610521" w:rsidRPr="00EC0229" w:rsidRDefault="00610521" w:rsidP="007600EA">
      <w:pPr>
        <w:spacing w:after="0" w:line="360" w:lineRule="auto"/>
        <w:rPr>
          <w:rFonts w:eastAsia="Times New Roman" w:cs="Times New Roman"/>
          <w:color w:val="000000" w:themeColor="text1"/>
          <w:szCs w:val="24"/>
          <w:lang w:eastAsia="en-GB"/>
        </w:rPr>
      </w:pPr>
    </w:p>
    <w:p w14:paraId="4527630C" w14:textId="2D5FC4F2" w:rsidR="00610521" w:rsidRPr="00EC0229" w:rsidRDefault="008A168A" w:rsidP="00765169">
      <w:pPr>
        <w:spacing w:after="0"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The data wa</w:t>
      </w:r>
      <w:r w:rsidR="00765169" w:rsidRPr="00EC0229">
        <w:rPr>
          <w:rFonts w:eastAsia="Times New Roman" w:cs="Times New Roman"/>
          <w:color w:val="000000" w:themeColor="text1"/>
          <w:szCs w:val="24"/>
          <w:lang w:eastAsia="en-GB"/>
        </w:rPr>
        <w:t xml:space="preserve">s abstracted </w:t>
      </w:r>
      <w:r w:rsidR="006234DC">
        <w:rPr>
          <w:rFonts w:eastAsia="Times New Roman" w:cs="Times New Roman"/>
          <w:color w:val="000000" w:themeColor="text1"/>
          <w:szCs w:val="24"/>
          <w:lang w:eastAsia="en-GB"/>
        </w:rPr>
        <w:t xml:space="preserve">from </w:t>
      </w:r>
      <w:r w:rsidR="006234DC" w:rsidRPr="006234DC">
        <w:rPr>
          <w:rFonts w:eastAsia="Times New Roman" w:cs="Times New Roman"/>
          <w:i/>
          <w:color w:val="000000" w:themeColor="text1"/>
          <w:szCs w:val="24"/>
          <w:lang w:eastAsia="en-GB"/>
        </w:rPr>
        <w:t>Database 1</w:t>
      </w:r>
      <w:r w:rsidR="006234DC" w:rsidRPr="006234DC">
        <w:rPr>
          <w:rFonts w:eastAsia="Times New Roman" w:cs="Times New Roman"/>
          <w:color w:val="000000" w:themeColor="text1"/>
          <w:szCs w:val="24"/>
          <w:lang w:eastAsia="en-GB"/>
        </w:rPr>
        <w:t xml:space="preserve"> to</w:t>
      </w:r>
      <w:r w:rsidR="006234DC" w:rsidRPr="006234DC">
        <w:rPr>
          <w:rFonts w:eastAsia="Times New Roman" w:cs="Times New Roman"/>
          <w:i/>
          <w:color w:val="000000" w:themeColor="text1"/>
          <w:szCs w:val="24"/>
          <w:lang w:eastAsia="en-GB"/>
        </w:rPr>
        <w:t xml:space="preserve"> Dataset 6.04</w:t>
      </w:r>
      <w:r w:rsidR="006234DC">
        <w:rPr>
          <w:rFonts w:eastAsia="Times New Roman" w:cs="Times New Roman"/>
          <w:color w:val="000000" w:themeColor="text1"/>
          <w:szCs w:val="24"/>
          <w:lang w:eastAsia="en-GB"/>
        </w:rPr>
        <w:t xml:space="preserve"> </w:t>
      </w:r>
      <w:r w:rsidR="00765169" w:rsidRPr="00EC0229">
        <w:rPr>
          <w:rFonts w:eastAsia="Times New Roman" w:cs="Times New Roman"/>
          <w:color w:val="000000" w:themeColor="text1"/>
          <w:szCs w:val="24"/>
          <w:lang w:eastAsia="en-GB"/>
        </w:rPr>
        <w:t xml:space="preserve">for </w:t>
      </w:r>
      <w:r w:rsidR="00610521" w:rsidRPr="00EC0229">
        <w:rPr>
          <w:rFonts w:eastAsia="Times New Roman" w:cs="Times New Roman"/>
          <w:color w:val="000000" w:themeColor="text1"/>
          <w:szCs w:val="24"/>
          <w:lang w:eastAsia="en-GB"/>
        </w:rPr>
        <w:t>gold</w:t>
      </w:r>
      <w:r w:rsidR="008960AE" w:rsidRPr="00EC0229">
        <w:rPr>
          <w:rFonts w:eastAsia="Times New Roman" w:cs="Times New Roman"/>
          <w:color w:val="000000" w:themeColor="text1"/>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color w:val="000000" w:themeColor="text1"/>
          <w:szCs w:val="24"/>
          <w:lang w:eastAsia="en-GB"/>
        </w:rPr>
        <w:fldChar w:fldCharType="end"/>
      </w:r>
      <w:r w:rsidR="00610521" w:rsidRPr="00EC0229">
        <w:rPr>
          <w:rFonts w:eastAsia="Times New Roman" w:cs="Times New Roman"/>
          <w:color w:val="000000" w:themeColor="text1"/>
          <w:szCs w:val="24"/>
          <w:lang w:eastAsia="en-GB"/>
        </w:rPr>
        <w:t xml:space="preserve">, silver and base coinages by source and reign. For the base coinage, the source to be included can be selected and hoard material </w:t>
      </w:r>
      <w:r w:rsidR="00CB3779" w:rsidRPr="00EC0229">
        <w:rPr>
          <w:rFonts w:eastAsia="Times New Roman" w:cs="Times New Roman"/>
          <w:color w:val="000000" w:themeColor="text1"/>
          <w:szCs w:val="24"/>
          <w:lang w:eastAsia="en-GB"/>
        </w:rPr>
        <w:t>excluded</w:t>
      </w:r>
      <w:r w:rsidR="00610521" w:rsidRPr="00EC0229">
        <w:rPr>
          <w:rFonts w:eastAsia="Times New Roman" w:cs="Times New Roman"/>
          <w:color w:val="000000" w:themeColor="text1"/>
          <w:szCs w:val="24"/>
          <w:lang w:eastAsia="en-GB"/>
        </w:rPr>
        <w:t>.</w:t>
      </w:r>
    </w:p>
    <w:p w14:paraId="130F9615" w14:textId="77777777" w:rsidR="00610521" w:rsidRPr="00EC0229" w:rsidRDefault="00610521" w:rsidP="007600EA">
      <w:pPr>
        <w:spacing w:after="0" w:line="360" w:lineRule="auto"/>
        <w:rPr>
          <w:rFonts w:eastAsia="Times New Roman" w:cs="Times New Roman"/>
          <w:color w:val="000000" w:themeColor="text1"/>
          <w:szCs w:val="24"/>
          <w:lang w:eastAsia="en-GB"/>
        </w:rPr>
      </w:pPr>
    </w:p>
    <w:p w14:paraId="57FD6B7C" w14:textId="567CFB45" w:rsidR="00610521" w:rsidRPr="007A3166" w:rsidRDefault="00AE431C" w:rsidP="007600EA">
      <w:pPr>
        <w:pStyle w:val="Heading4"/>
        <w:spacing w:line="360" w:lineRule="auto"/>
        <w:rPr>
          <w:rFonts w:eastAsia="Times New Roman" w:cs="Times New Roman"/>
          <w:b/>
          <w:color w:val="000000" w:themeColor="text1"/>
          <w:lang w:eastAsia="en-GB"/>
        </w:rPr>
      </w:pPr>
      <w:bookmarkStart w:id="463" w:name="_Toc468266830"/>
      <w:r>
        <w:rPr>
          <w:rFonts w:eastAsia="Times New Roman" w:cs="Times New Roman"/>
          <w:b/>
          <w:lang w:eastAsia="en-GB"/>
        </w:rPr>
        <w:lastRenderedPageBreak/>
        <w:t>6.2.1.3</w:t>
      </w:r>
      <w:r>
        <w:rPr>
          <w:rFonts w:eastAsia="Times New Roman" w:cs="Times New Roman"/>
          <w:b/>
          <w:lang w:eastAsia="en-GB"/>
        </w:rPr>
        <w:tab/>
      </w:r>
      <w:r w:rsidR="00CB5951">
        <w:rPr>
          <w:rFonts w:eastAsia="Times New Roman" w:cs="Times New Roman"/>
          <w:b/>
          <w:i/>
          <w:lang w:eastAsia="en-GB"/>
        </w:rPr>
        <w:t>Data</w:t>
      </w:r>
      <w:r w:rsidR="005D0690" w:rsidRPr="007A3166">
        <w:rPr>
          <w:rFonts w:eastAsia="Times New Roman" w:cs="Times New Roman"/>
          <w:b/>
          <w:i/>
          <w:lang w:eastAsia="en-GB"/>
        </w:rPr>
        <w:t>se</w:t>
      </w:r>
      <w:r w:rsidR="00CB5951">
        <w:rPr>
          <w:rFonts w:eastAsia="Times New Roman" w:cs="Times New Roman"/>
          <w:b/>
          <w:i/>
          <w:lang w:eastAsia="en-GB"/>
        </w:rPr>
        <w:t>t</w:t>
      </w:r>
      <w:r w:rsidR="00584C42" w:rsidRPr="007A3166">
        <w:rPr>
          <w:rFonts w:eastAsia="Times New Roman" w:cs="Times New Roman"/>
          <w:b/>
          <w:i/>
          <w:lang w:eastAsia="en-GB"/>
        </w:rPr>
        <w:fldChar w:fldCharType="begin"/>
      </w:r>
      <w:r w:rsidR="00584C42" w:rsidRPr="007A3166">
        <w:rPr>
          <w:b/>
          <w:i/>
        </w:rPr>
        <w:instrText xml:space="preserve"> XE "</w:instrText>
      </w:r>
      <w:r w:rsidR="00584C42" w:rsidRPr="007A3166">
        <w:rPr>
          <w:b/>
          <w:i/>
          <w:noProof/>
        </w:rPr>
        <w:instrText>Database</w:instrText>
      </w:r>
      <w:r w:rsidR="00584C42" w:rsidRPr="007A3166">
        <w:rPr>
          <w:b/>
          <w:i/>
        </w:rPr>
        <w:instrText xml:space="preserve">" </w:instrText>
      </w:r>
      <w:r w:rsidR="00584C42" w:rsidRPr="007A3166">
        <w:rPr>
          <w:rFonts w:eastAsia="Times New Roman" w:cs="Times New Roman"/>
          <w:b/>
          <w:i/>
          <w:lang w:eastAsia="en-GB"/>
        </w:rPr>
        <w:fldChar w:fldCharType="end"/>
      </w:r>
      <w:r w:rsidR="00ED43AC" w:rsidRPr="007A3166">
        <w:rPr>
          <w:rFonts w:eastAsia="Times New Roman" w:cs="Times New Roman"/>
          <w:b/>
          <w:i/>
          <w:lang w:eastAsia="en-GB"/>
        </w:rPr>
        <w:t xml:space="preserve"> </w:t>
      </w:r>
      <w:r w:rsidR="00CB5951">
        <w:rPr>
          <w:rFonts w:eastAsia="Times New Roman" w:cs="Times New Roman"/>
          <w:b/>
          <w:i/>
          <w:lang w:eastAsia="en-GB"/>
        </w:rPr>
        <w:t>6.05</w:t>
      </w:r>
      <w:r w:rsidR="00610521" w:rsidRPr="007A3166">
        <w:rPr>
          <w:rFonts w:eastAsia="Times New Roman" w:cs="Times New Roman"/>
          <w:b/>
          <w:color w:val="000000" w:themeColor="text1"/>
          <w:lang w:eastAsia="en-GB"/>
        </w:rPr>
        <w:t>: Hoard</w:t>
      </w:r>
      <w:r w:rsidR="00F204A1" w:rsidRPr="007A3166">
        <w:rPr>
          <w:rFonts w:eastAsia="Times New Roman" w:cs="Times New Roman"/>
          <w:b/>
          <w:color w:val="000000" w:themeColor="text1"/>
          <w:lang w:eastAsia="en-GB"/>
        </w:rPr>
        <w:fldChar w:fldCharType="begin"/>
      </w:r>
      <w:r w:rsidR="00F204A1" w:rsidRPr="007A3166">
        <w:rPr>
          <w:b/>
        </w:rPr>
        <w:instrText xml:space="preserve"> XE "</w:instrText>
      </w:r>
      <w:r w:rsidR="00F204A1" w:rsidRPr="007A3166">
        <w:rPr>
          <w:rStyle w:val="Hyperlink"/>
          <w:rFonts w:eastAsia="Times New Roman" w:cs="Times New Roman"/>
          <w:b/>
          <w:noProof/>
          <w:u w:val="none"/>
          <w:lang w:eastAsia="en-GB"/>
        </w:rPr>
        <w:instrText>Hoard</w:instrText>
      </w:r>
      <w:r w:rsidR="00F204A1" w:rsidRPr="007A3166">
        <w:rPr>
          <w:b/>
        </w:rPr>
        <w:instrText xml:space="preserve">" </w:instrText>
      </w:r>
      <w:r w:rsidR="00F204A1" w:rsidRPr="007A3166">
        <w:rPr>
          <w:rFonts w:eastAsia="Times New Roman" w:cs="Times New Roman"/>
          <w:b/>
          <w:color w:val="000000" w:themeColor="text1"/>
          <w:lang w:eastAsia="en-GB"/>
        </w:rPr>
        <w:fldChar w:fldCharType="end"/>
      </w:r>
      <w:r w:rsidR="00610521" w:rsidRPr="007A3166">
        <w:rPr>
          <w:rFonts w:eastAsia="Times New Roman" w:cs="Times New Roman"/>
          <w:b/>
          <w:color w:val="000000" w:themeColor="text1"/>
          <w:lang w:eastAsia="en-GB"/>
        </w:rPr>
        <w:t xml:space="preserve"> Material</w:t>
      </w:r>
      <w:bookmarkEnd w:id="463"/>
    </w:p>
    <w:p w14:paraId="3011554E" w14:textId="2FCD4C1E" w:rsidR="00610521" w:rsidRPr="00EC0229" w:rsidRDefault="00455F26" w:rsidP="007600EA">
      <w:pPr>
        <w:spacing w:after="0"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 xml:space="preserve">Specimens from </w:t>
      </w:r>
      <w:r w:rsidR="00610521" w:rsidRPr="00EC0229">
        <w:rPr>
          <w:rFonts w:eastAsia="Times New Roman" w:cs="Times New Roman"/>
          <w:color w:val="000000" w:themeColor="text1"/>
          <w:szCs w:val="24"/>
          <w:lang w:eastAsia="en-GB"/>
        </w:rPr>
        <w:t>the major hoards listed in the EMC</w:t>
      </w:r>
      <w:r w:rsidR="008960AE" w:rsidRPr="00EC0229">
        <w:rPr>
          <w:rFonts w:eastAsia="Times New Roman" w:cs="Times New Roman"/>
          <w:color w:val="000000" w:themeColor="text1"/>
          <w:szCs w:val="24"/>
          <w:lang w:eastAsia="en-GB"/>
        </w:rPr>
        <w:fldChar w:fldCharType="begin"/>
      </w:r>
      <w:r w:rsidR="008960AE" w:rsidRPr="00EC0229">
        <w:instrText xml:space="preserve"> XE "EMC" </w:instrText>
      </w:r>
      <w:r w:rsidR="008960AE" w:rsidRPr="00EC0229">
        <w:rPr>
          <w:rFonts w:eastAsia="Times New Roman" w:cs="Times New Roman"/>
          <w:color w:val="000000" w:themeColor="text1"/>
          <w:szCs w:val="24"/>
          <w:lang w:eastAsia="en-GB"/>
        </w:rPr>
        <w:fldChar w:fldCharType="end"/>
      </w:r>
      <w:r w:rsidR="00610521" w:rsidRPr="00EC0229">
        <w:rPr>
          <w:rFonts w:eastAsia="Times New Roman" w:cs="Times New Roman"/>
          <w:color w:val="000000" w:themeColor="text1"/>
          <w:szCs w:val="24"/>
          <w:lang w:eastAsia="en-GB"/>
        </w:rPr>
        <w:t xml:space="preserve"> checklist, and included in the combined data-set, are matricized by issuer and moneyer. These hoards are listed </w:t>
      </w:r>
      <w:r w:rsidR="008A168A" w:rsidRPr="00EC0229">
        <w:rPr>
          <w:rFonts w:eastAsia="Times New Roman" w:cs="Times New Roman"/>
          <w:color w:val="000000" w:themeColor="text1"/>
          <w:szCs w:val="24"/>
          <w:lang w:eastAsia="en-GB"/>
        </w:rPr>
        <w:t xml:space="preserve">at page </w:t>
      </w:r>
      <w:r w:rsidR="00CB3779" w:rsidRPr="00EC0229">
        <w:rPr>
          <w:rFonts w:eastAsia="Times New Roman" w:cs="Times New Roman"/>
          <w:color w:val="000000" w:themeColor="text1"/>
          <w:szCs w:val="24"/>
          <w:lang w:eastAsia="en-GB"/>
        </w:rPr>
        <w:fldChar w:fldCharType="begin"/>
      </w:r>
      <w:r w:rsidR="00CB3779" w:rsidRPr="00EC0229">
        <w:rPr>
          <w:rFonts w:eastAsia="Times New Roman" w:cs="Times New Roman"/>
          <w:color w:val="000000" w:themeColor="text1"/>
          <w:szCs w:val="24"/>
          <w:lang w:eastAsia="en-GB"/>
        </w:rPr>
        <w:instrText xml:space="preserve"> PAGEREF Hoard \h </w:instrText>
      </w:r>
      <w:r w:rsidR="00CB3779" w:rsidRPr="00EC0229">
        <w:rPr>
          <w:rFonts w:eastAsia="Times New Roman" w:cs="Times New Roman"/>
          <w:color w:val="000000" w:themeColor="text1"/>
          <w:szCs w:val="24"/>
          <w:lang w:eastAsia="en-GB"/>
        </w:rPr>
      </w:r>
      <w:r w:rsidR="00CB3779" w:rsidRPr="00EC0229">
        <w:rPr>
          <w:rFonts w:eastAsia="Times New Roman" w:cs="Times New Roman"/>
          <w:color w:val="000000" w:themeColor="text1"/>
          <w:szCs w:val="24"/>
          <w:lang w:eastAsia="en-GB"/>
        </w:rPr>
        <w:fldChar w:fldCharType="separate"/>
      </w:r>
      <w:r w:rsidR="0012026B">
        <w:rPr>
          <w:rFonts w:eastAsia="Times New Roman" w:cs="Times New Roman"/>
          <w:noProof/>
          <w:color w:val="000000" w:themeColor="text1"/>
          <w:szCs w:val="24"/>
          <w:lang w:eastAsia="en-GB"/>
        </w:rPr>
        <w:t>138</w:t>
      </w:r>
      <w:r w:rsidR="00CB3779" w:rsidRPr="00EC0229">
        <w:rPr>
          <w:rFonts w:eastAsia="Times New Roman" w:cs="Times New Roman"/>
          <w:color w:val="000000" w:themeColor="text1"/>
          <w:szCs w:val="24"/>
          <w:lang w:eastAsia="en-GB"/>
        </w:rPr>
        <w:fldChar w:fldCharType="end"/>
      </w:r>
      <w:r w:rsidR="00610521" w:rsidRPr="00EC0229">
        <w:rPr>
          <w:rFonts w:eastAsia="Times New Roman" w:cs="Times New Roman"/>
          <w:color w:val="000000" w:themeColor="text1"/>
          <w:szCs w:val="24"/>
          <w:lang w:eastAsia="en-GB"/>
        </w:rPr>
        <w:t>.</w:t>
      </w:r>
      <w:r w:rsidR="00610521" w:rsidRPr="00EC0229">
        <w:rPr>
          <w:rStyle w:val="FootnoteReference"/>
          <w:rFonts w:eastAsia="Times New Roman" w:cs="Times New Roman"/>
          <w:color w:val="000000" w:themeColor="text1"/>
          <w:szCs w:val="24"/>
          <w:lang w:eastAsia="en-GB"/>
        </w:rPr>
        <w:footnoteReference w:id="724"/>
      </w:r>
    </w:p>
    <w:p w14:paraId="5F572817" w14:textId="77777777" w:rsidR="00062049" w:rsidRPr="00EC0229" w:rsidRDefault="00062049" w:rsidP="007600EA">
      <w:pPr>
        <w:spacing w:after="0" w:line="360" w:lineRule="auto"/>
        <w:rPr>
          <w:rFonts w:eastAsia="Times New Roman" w:cs="Times New Roman"/>
          <w:color w:val="000000" w:themeColor="text1"/>
          <w:szCs w:val="24"/>
          <w:lang w:eastAsia="en-GB"/>
        </w:rPr>
      </w:pPr>
    </w:p>
    <w:p w14:paraId="0A833E49" w14:textId="0EA9FAD6" w:rsidR="00610521" w:rsidRPr="00EC0229" w:rsidRDefault="00610521" w:rsidP="007600EA">
      <w:pPr>
        <w:spacing w:after="0"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 xml:space="preserve">This approach facilitates the computation of </w:t>
      </w:r>
      <w:r w:rsidRPr="00EC0229">
        <w:rPr>
          <w:rFonts w:eastAsia="Times New Roman" w:cs="Times New Roman"/>
          <w:szCs w:val="24"/>
          <w:lang w:eastAsia="en-GB"/>
        </w:rPr>
        <w:t>array correlations</w:t>
      </w:r>
      <w:r w:rsidR="00D13571" w:rsidRPr="00EC0229">
        <w:rPr>
          <w:rFonts w:eastAsia="Times New Roman" w:cs="Times New Roman"/>
          <w:color w:val="000000" w:themeColor="text1"/>
          <w:szCs w:val="24"/>
          <w:lang w:eastAsia="en-GB"/>
        </w:rPr>
        <w:t>.</w:t>
      </w:r>
      <w:r w:rsidRPr="00EC0229">
        <w:rPr>
          <w:rStyle w:val="FootnoteReference"/>
          <w:rFonts w:eastAsia="Times New Roman" w:cs="Times New Roman"/>
          <w:color w:val="000000" w:themeColor="text1"/>
          <w:szCs w:val="24"/>
          <w:lang w:eastAsia="en-GB"/>
        </w:rPr>
        <w:footnoteReference w:id="725"/>
      </w:r>
      <w:r w:rsidRPr="00EC0229">
        <w:rPr>
          <w:rFonts w:eastAsia="Times New Roman" w:cs="Times New Roman"/>
          <w:color w:val="000000" w:themeColor="text1"/>
          <w:szCs w:val="24"/>
          <w:lang w:eastAsia="en-GB"/>
        </w:rPr>
        <w:t xml:space="preserve"> By creating a matrix of issuers and moneyers, a normal distribution</w:t>
      </w:r>
      <w:r w:rsidR="00F204A1" w:rsidRPr="00EC0229">
        <w:rPr>
          <w:rFonts w:eastAsia="Times New Roman" w:cs="Times New Roman"/>
          <w:color w:val="000000" w:themeColor="text1"/>
          <w:szCs w:val="24"/>
          <w:lang w:eastAsia="en-GB"/>
        </w:rPr>
        <w:fldChar w:fldCharType="begin"/>
      </w:r>
      <w:r w:rsidR="00F204A1" w:rsidRPr="00EC0229">
        <w:instrText xml:space="preserve"> XE "</w:instrText>
      </w:r>
      <w:r w:rsidR="00F204A1" w:rsidRPr="00EC0229">
        <w:rPr>
          <w:rStyle w:val="Hyperlink"/>
          <w:noProof/>
          <w:u w:val="none"/>
        </w:rPr>
        <w:instrText>normal distribution</w:instrText>
      </w:r>
      <w:r w:rsidR="00F204A1" w:rsidRPr="00EC0229">
        <w:instrText xml:space="preserve">" </w:instrText>
      </w:r>
      <w:r w:rsidR="00F204A1"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can be computed for comparison with similar matrices. The matrices are in spreadsheet format and a single number representing the array correlation for a matrix when measured against the normal matrix signifies how closely matched or disparate these matrices are. </w:t>
      </w:r>
      <w:r w:rsidR="004014FC" w:rsidRPr="00EC0229">
        <w:rPr>
          <w:rFonts w:eastAsia="Times New Roman" w:cs="Times New Roman"/>
          <w:i/>
          <w:szCs w:val="24"/>
          <w:lang w:eastAsia="en-GB"/>
        </w:rPr>
        <w:t>Data</w:t>
      </w:r>
      <w:r w:rsidR="005D0690" w:rsidRPr="00EC0229">
        <w:rPr>
          <w:rFonts w:eastAsia="Times New Roman" w:cs="Times New Roman"/>
          <w:i/>
          <w:szCs w:val="24"/>
          <w:lang w:eastAsia="en-GB"/>
        </w:rPr>
        <w:t>se</w:t>
      </w:r>
      <w:r w:rsidR="00CB5951">
        <w:rPr>
          <w:rFonts w:eastAsia="Times New Roman" w:cs="Times New Roman"/>
          <w:i/>
          <w:szCs w:val="24"/>
          <w:lang w:eastAsia="en-GB"/>
        </w:rPr>
        <w:t>t</w:t>
      </w:r>
      <w:r w:rsidR="00584C42" w:rsidRPr="00EC0229">
        <w:rPr>
          <w:rFonts w:eastAsia="Times New Roman" w:cs="Times New Roman"/>
          <w:i/>
          <w:szCs w:val="24"/>
          <w:lang w:eastAsia="en-GB"/>
        </w:rPr>
        <w:fldChar w:fldCharType="begin"/>
      </w:r>
      <w:r w:rsidR="00584C42" w:rsidRPr="00EC0229">
        <w:rPr>
          <w:i/>
        </w:rPr>
        <w:instrText xml:space="preserve"> XE "</w:instrText>
      </w:r>
      <w:r w:rsidR="00584C42" w:rsidRPr="00EC0229">
        <w:rPr>
          <w:i/>
          <w:noProof/>
        </w:rPr>
        <w:instrText>Database</w:instrText>
      </w:r>
      <w:r w:rsidR="00584C42" w:rsidRPr="00EC0229">
        <w:rPr>
          <w:i/>
        </w:rPr>
        <w:instrText xml:space="preserve">" </w:instrText>
      </w:r>
      <w:r w:rsidR="00584C42" w:rsidRPr="00EC0229">
        <w:rPr>
          <w:rFonts w:eastAsia="Times New Roman" w:cs="Times New Roman"/>
          <w:i/>
          <w:szCs w:val="24"/>
          <w:lang w:eastAsia="en-GB"/>
        </w:rPr>
        <w:fldChar w:fldCharType="end"/>
      </w:r>
      <w:r w:rsidR="00ED43AC" w:rsidRPr="00EC0229">
        <w:rPr>
          <w:rFonts w:eastAsia="Times New Roman" w:cs="Times New Roman"/>
          <w:i/>
          <w:szCs w:val="24"/>
          <w:lang w:eastAsia="en-GB"/>
        </w:rPr>
        <w:t xml:space="preserve"> </w:t>
      </w:r>
      <w:r w:rsidR="00CB5951">
        <w:rPr>
          <w:rFonts w:eastAsia="Times New Roman" w:cs="Times New Roman"/>
          <w:i/>
          <w:szCs w:val="24"/>
          <w:lang w:eastAsia="en-GB"/>
        </w:rPr>
        <w:t>6.0</w:t>
      </w:r>
      <w:r w:rsidR="00221787">
        <w:rPr>
          <w:rFonts w:eastAsia="Times New Roman" w:cs="Times New Roman"/>
          <w:i/>
          <w:szCs w:val="24"/>
          <w:lang w:eastAsia="en-GB"/>
        </w:rPr>
        <w:t>4</w:t>
      </w:r>
      <w:r w:rsidRPr="00EC0229">
        <w:rPr>
          <w:rFonts w:eastAsia="Times New Roman" w:cs="Times New Roman"/>
          <w:color w:val="000000" w:themeColor="text1"/>
          <w:szCs w:val="24"/>
          <w:lang w:eastAsia="en-GB"/>
        </w:rPr>
        <w:t xml:space="preserve"> compares each hoard against the base data-set.</w:t>
      </w:r>
      <w:r w:rsidRPr="00EC0229">
        <w:rPr>
          <w:rStyle w:val="FootnoteReference"/>
          <w:rFonts w:eastAsia="Times New Roman" w:cs="Times New Roman"/>
          <w:color w:val="000000" w:themeColor="text1"/>
          <w:szCs w:val="24"/>
          <w:lang w:eastAsia="en-GB"/>
        </w:rPr>
        <w:t xml:space="preserve"> </w:t>
      </w:r>
      <w:r w:rsidRPr="00EC0229">
        <w:rPr>
          <w:rStyle w:val="FootnoteReference"/>
          <w:rFonts w:eastAsia="Times New Roman" w:cs="Times New Roman"/>
          <w:color w:val="000000" w:themeColor="text1"/>
          <w:szCs w:val="24"/>
          <w:lang w:eastAsia="en-GB"/>
        </w:rPr>
        <w:footnoteReference w:id="726"/>
      </w:r>
      <w:r w:rsidRPr="00EC0229">
        <w:rPr>
          <w:rFonts w:eastAsia="Times New Roman" w:cs="Times New Roman"/>
          <w:color w:val="000000" w:themeColor="text1"/>
          <w:szCs w:val="24"/>
          <w:lang w:eastAsia="en-GB"/>
        </w:rPr>
        <w:t xml:space="preserve"> </w:t>
      </w:r>
    </w:p>
    <w:p w14:paraId="67F91D1B" w14:textId="77777777" w:rsidR="00610521" w:rsidRPr="00EC0229" w:rsidRDefault="00610521" w:rsidP="007600EA">
      <w:pPr>
        <w:spacing w:after="0" w:line="360" w:lineRule="auto"/>
        <w:rPr>
          <w:sz w:val="20"/>
          <w:szCs w:val="20"/>
        </w:rPr>
      </w:pPr>
    </w:p>
    <w:p w14:paraId="5ADE838D" w14:textId="5062561F" w:rsidR="00FE2A32" w:rsidRPr="007A3166" w:rsidRDefault="00AE431C" w:rsidP="00921019">
      <w:pPr>
        <w:pStyle w:val="Heading4"/>
        <w:spacing w:line="360" w:lineRule="auto"/>
        <w:rPr>
          <w:rFonts w:eastAsia="Times New Roman"/>
          <w:b/>
          <w:lang w:eastAsia="en-GB"/>
        </w:rPr>
      </w:pPr>
      <w:bookmarkStart w:id="464" w:name="Hoards"/>
      <w:bookmarkStart w:id="465" w:name="_Toc468266831"/>
      <w:bookmarkEnd w:id="464"/>
      <w:r>
        <w:rPr>
          <w:rFonts w:eastAsia="Times New Roman"/>
          <w:b/>
          <w:lang w:eastAsia="en-GB"/>
        </w:rPr>
        <w:t>6.2.1.4</w:t>
      </w:r>
      <w:r>
        <w:rPr>
          <w:rFonts w:eastAsia="Times New Roman"/>
          <w:b/>
          <w:lang w:eastAsia="en-GB"/>
        </w:rPr>
        <w:tab/>
      </w:r>
      <w:r w:rsidR="00610521" w:rsidRPr="007A3166">
        <w:rPr>
          <w:rFonts w:eastAsia="Times New Roman"/>
          <w:b/>
          <w:lang w:eastAsia="en-GB"/>
        </w:rPr>
        <w:t xml:space="preserve">Hoards </w:t>
      </w:r>
      <w:r w:rsidR="00862F15" w:rsidRPr="007A3166">
        <w:rPr>
          <w:rFonts w:eastAsia="Times New Roman"/>
          <w:b/>
          <w:lang w:eastAsia="en-GB"/>
        </w:rPr>
        <w:t>and</w:t>
      </w:r>
      <w:r w:rsidR="00610521" w:rsidRPr="007A3166">
        <w:rPr>
          <w:rFonts w:eastAsia="Times New Roman"/>
          <w:b/>
          <w:lang w:eastAsia="en-GB"/>
        </w:rPr>
        <w:t xml:space="preserve"> single finds</w:t>
      </w:r>
      <w:bookmarkEnd w:id="465"/>
      <w:r w:rsidR="00FE2A32" w:rsidRPr="007A3166">
        <w:rPr>
          <w:rFonts w:eastAsia="Times New Roman"/>
          <w:b/>
          <w:lang w:eastAsia="en-GB"/>
        </w:rPr>
        <w:t xml:space="preserve"> </w:t>
      </w:r>
    </w:p>
    <w:p w14:paraId="2569A3E6" w14:textId="4C383D5B" w:rsidR="00610521" w:rsidRPr="00EC0229" w:rsidRDefault="00610521" w:rsidP="00921019">
      <w:pPr>
        <w:pStyle w:val="NoSpacing"/>
        <w:spacing w:line="360" w:lineRule="auto"/>
        <w:rPr>
          <w:rFonts w:eastAsia="Times New Roman" w:cs="Times New Roman"/>
          <w:szCs w:val="24"/>
          <w:lang w:eastAsia="en-GB"/>
        </w:rPr>
      </w:pPr>
      <w:r w:rsidRPr="00EC0229">
        <w:rPr>
          <w:rFonts w:eastAsia="Times New Roman" w:cs="Times New Roman"/>
          <w:szCs w:val="24"/>
          <w:lang w:eastAsia="en-GB"/>
        </w:rPr>
        <w:t>It is important not to treat all finds as similar in character. Singletons and accumulations</w:t>
      </w:r>
      <w:r w:rsidR="007A3166">
        <w:rPr>
          <w:rFonts w:eastAsia="Times New Roman" w:cs="Times New Roman"/>
          <w:szCs w:val="24"/>
          <w:lang w:eastAsia="en-GB"/>
        </w:rPr>
        <w:t xml:space="preserve"> </w:t>
      </w:r>
      <w:r w:rsidR="007A3166" w:rsidRPr="00EC0229">
        <w:rPr>
          <w:rFonts w:eastAsia="Times New Roman" w:cs="Times New Roman"/>
          <w:szCs w:val="24"/>
          <w:lang w:eastAsia="en-GB"/>
        </w:rPr>
        <w:t>(</w:t>
      </w:r>
      <w:r w:rsidR="007A3166" w:rsidRPr="00EC0229">
        <w:rPr>
          <w:rFonts w:eastAsia="Times New Roman" w:cs="Times New Roman"/>
          <w:szCs w:val="24"/>
          <w:lang w:eastAsia="en-GB"/>
        </w:rPr>
        <w:fldChar w:fldCharType="begin"/>
      </w:r>
      <w:r w:rsidR="007A3166" w:rsidRPr="00EC0229">
        <w:rPr>
          <w:rFonts w:eastAsia="Times New Roman" w:cs="Times New Roman"/>
          <w:szCs w:val="24"/>
          <w:lang w:eastAsia="en-GB"/>
        </w:rPr>
        <w:instrText xml:space="preserve"> PAGEREF Hoard \h </w:instrText>
      </w:r>
      <w:r w:rsidR="007A3166" w:rsidRPr="00EC0229">
        <w:rPr>
          <w:rFonts w:eastAsia="Times New Roman" w:cs="Times New Roman"/>
          <w:szCs w:val="24"/>
          <w:lang w:eastAsia="en-GB"/>
        </w:rPr>
      </w:r>
      <w:r w:rsidR="007A3166" w:rsidRPr="00EC0229">
        <w:rPr>
          <w:rFonts w:eastAsia="Times New Roman" w:cs="Times New Roman"/>
          <w:szCs w:val="24"/>
          <w:lang w:eastAsia="en-GB"/>
        </w:rPr>
        <w:fldChar w:fldCharType="separate"/>
      </w:r>
      <w:r w:rsidR="0012026B">
        <w:rPr>
          <w:rFonts w:eastAsia="Times New Roman" w:cs="Times New Roman"/>
          <w:noProof/>
          <w:szCs w:val="24"/>
          <w:lang w:eastAsia="en-GB"/>
        </w:rPr>
        <w:t>138</w:t>
      </w:r>
      <w:r w:rsidR="007A3166" w:rsidRPr="00EC0229">
        <w:rPr>
          <w:rFonts w:eastAsia="Times New Roman" w:cs="Times New Roman"/>
          <w:szCs w:val="24"/>
          <w:lang w:eastAsia="en-GB"/>
        </w:rPr>
        <w:fldChar w:fldCharType="end"/>
      </w:r>
      <w:r w:rsidR="007A3166" w:rsidRPr="00EC0229">
        <w:rPr>
          <w:rFonts w:eastAsia="Times New Roman" w:cs="Times New Roman"/>
          <w:szCs w:val="24"/>
          <w:lang w:eastAsia="en-GB"/>
        </w:rPr>
        <w:t>)</w:t>
      </w:r>
      <w:r w:rsidRPr="00EC0229">
        <w:rPr>
          <w:rFonts w:eastAsia="Times New Roman" w:cs="Times New Roman"/>
          <w:szCs w:val="24"/>
          <w:lang w:eastAsia="en-GB"/>
        </w:rPr>
        <w:t xml:space="preserve"> convey different signals and these must be distinguished.</w:t>
      </w:r>
    </w:p>
    <w:p w14:paraId="75F47D69" w14:textId="6014FF4F" w:rsidR="00610521" w:rsidRPr="00EC0229" w:rsidRDefault="00610521"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There are many reason for hoarding coins.</w:t>
      </w:r>
      <w:r w:rsidR="00455F26" w:rsidRPr="00EC0229">
        <w:rPr>
          <w:rStyle w:val="FootnoteReference"/>
          <w:rFonts w:eastAsia="Times New Roman" w:cs="Times New Roman"/>
          <w:szCs w:val="24"/>
          <w:lang w:eastAsia="en-GB"/>
        </w:rPr>
        <w:footnoteReference w:id="727"/>
      </w:r>
      <w:r w:rsidRPr="00EC0229">
        <w:rPr>
          <w:rFonts w:eastAsia="Times New Roman" w:cs="Times New Roman"/>
          <w:szCs w:val="24"/>
          <w:lang w:eastAsia="en-GB"/>
        </w:rPr>
        <w:t xml:space="preserve"> These </w:t>
      </w:r>
      <w:r w:rsidR="00221787">
        <w:rPr>
          <w:rFonts w:eastAsia="Times New Roman" w:cs="Times New Roman"/>
          <w:szCs w:val="24"/>
          <w:lang w:eastAsia="en-GB"/>
        </w:rPr>
        <w:t>can be characterized as</w:t>
      </w:r>
      <w:r w:rsidRPr="00EC0229">
        <w:rPr>
          <w:rFonts w:eastAsia="Times New Roman" w:cs="Times New Roman"/>
          <w:szCs w:val="24"/>
          <w:lang w:eastAsia="en-GB"/>
        </w:rPr>
        <w:t xml:space="preserve"> defensive, ritual and socio-economic. The former includes circumstances of fright, flight and fight, where the depositor has failed, through loss of life, liberty, opportunity or memory, to recover the property, but instead has unintentionally bequeathed us a valuable inheritance. Ritual reasons comprise votive</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votive</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burial deposits; </w:t>
      </w:r>
      <w:r w:rsidR="00CB3779" w:rsidRPr="00EC0229">
        <w:rPr>
          <w:rFonts w:eastAsia="Times New Roman" w:cs="Times New Roman"/>
          <w:szCs w:val="24"/>
          <w:lang w:eastAsia="en-GB"/>
        </w:rPr>
        <w:t xml:space="preserve">an excellent example of the former are </w:t>
      </w:r>
      <w:r w:rsidRPr="00EC0229">
        <w:rPr>
          <w:rFonts w:eastAsia="Times New Roman" w:cs="Times New Roman"/>
          <w:szCs w:val="24"/>
          <w:lang w:eastAsia="en-GB"/>
        </w:rPr>
        <w:t>the offerings cast into the river where Dere Street cros</w:t>
      </w:r>
      <w:r w:rsidR="00CB3779" w:rsidRPr="00EC0229">
        <w:rPr>
          <w:rFonts w:eastAsia="Times New Roman" w:cs="Times New Roman"/>
          <w:szCs w:val="24"/>
          <w:lang w:eastAsia="en-GB"/>
        </w:rPr>
        <w:t>ses the Tees at Piercebridge</w:t>
      </w:r>
      <w:r w:rsidRPr="00EC0229">
        <w:rPr>
          <w:rFonts w:eastAsia="Times New Roman" w:cs="Times New Roman"/>
          <w:szCs w:val="24"/>
          <w:lang w:eastAsia="en-GB"/>
        </w:rPr>
        <w:t xml:space="preserve"> where, for example, the bending of coins prohibits other than sacrificial use. Grave goods are a potent diagnostic tool, among which coins </w:t>
      </w:r>
      <w:r w:rsidR="00F3200D" w:rsidRPr="00EC0229">
        <w:rPr>
          <w:rFonts w:eastAsia="Times New Roman" w:cs="Times New Roman"/>
          <w:szCs w:val="24"/>
          <w:lang w:eastAsia="en-GB"/>
        </w:rPr>
        <w:t xml:space="preserve">can </w:t>
      </w:r>
      <w:r w:rsidRPr="00EC0229">
        <w:rPr>
          <w:rFonts w:eastAsia="Times New Roman" w:cs="Times New Roman"/>
          <w:szCs w:val="24"/>
          <w:lang w:eastAsia="en-GB"/>
        </w:rPr>
        <w:t>give vital clues on wealth</w:t>
      </w:r>
      <w:r w:rsidR="002A47ED">
        <w:rPr>
          <w:rFonts w:eastAsia="Times New Roman" w:cs="Times New Roman"/>
          <w:szCs w:val="24"/>
          <w:lang w:eastAsia="en-GB"/>
        </w:rPr>
        <w:t>,</w:t>
      </w:r>
      <w:r w:rsidRPr="00EC0229">
        <w:rPr>
          <w:rFonts w:eastAsia="Times New Roman" w:cs="Times New Roman"/>
          <w:szCs w:val="24"/>
          <w:lang w:eastAsia="en-GB"/>
        </w:rPr>
        <w:t xml:space="preserve"> </w:t>
      </w:r>
      <w:r w:rsidR="002A47ED" w:rsidRPr="00EC0229">
        <w:rPr>
          <w:rFonts w:eastAsia="Times New Roman" w:cs="Times New Roman"/>
          <w:szCs w:val="24"/>
          <w:lang w:eastAsia="en-GB"/>
        </w:rPr>
        <w:t xml:space="preserve">belief </w:t>
      </w:r>
      <w:r w:rsidRPr="00EC0229">
        <w:rPr>
          <w:rFonts w:eastAsia="Times New Roman" w:cs="Times New Roman"/>
          <w:szCs w:val="24"/>
          <w:lang w:eastAsia="en-GB"/>
        </w:rPr>
        <w:t xml:space="preserve">and </w:t>
      </w:r>
      <w:r w:rsidR="002A47ED" w:rsidRPr="00EC0229">
        <w:rPr>
          <w:rFonts w:eastAsia="Times New Roman" w:cs="Times New Roman"/>
          <w:szCs w:val="24"/>
          <w:lang w:eastAsia="en-GB"/>
        </w:rPr>
        <w:t>chronology</w:t>
      </w:r>
      <w:r w:rsidR="002A47ED">
        <w:rPr>
          <w:rFonts w:eastAsia="Times New Roman" w:cs="Times New Roman"/>
          <w:szCs w:val="24"/>
          <w:lang w:eastAsia="en-GB"/>
        </w:rPr>
        <w:t>.</w:t>
      </w:r>
      <w:r w:rsidR="002A47ED">
        <w:rPr>
          <w:rStyle w:val="FootnoteReference"/>
          <w:rFonts w:eastAsia="Times New Roman" w:cs="Times New Roman"/>
          <w:szCs w:val="24"/>
          <w:lang w:eastAsia="en-GB"/>
        </w:rPr>
        <w:footnoteReference w:id="728"/>
      </w:r>
      <w:r w:rsidRPr="00EC0229">
        <w:rPr>
          <w:rFonts w:eastAsia="Times New Roman" w:cs="Times New Roman"/>
          <w:szCs w:val="24"/>
          <w:lang w:eastAsia="en-GB"/>
        </w:rPr>
        <w:t xml:space="preserve"> Socio-economic deposits are those where the motive is carefully pre-mediated, rather than a reaction of fear. These include personal banking of surplus</w:t>
      </w:r>
      <w:r w:rsidR="008960AE" w:rsidRPr="00EC0229">
        <w:rPr>
          <w:rFonts w:eastAsia="Times New Roman" w:cs="Times New Roman"/>
          <w:szCs w:val="24"/>
          <w:lang w:eastAsia="en-GB"/>
        </w:rPr>
        <w:fldChar w:fldCharType="begin"/>
      </w:r>
      <w:r w:rsidR="008960AE" w:rsidRPr="00EC0229">
        <w:instrText xml:space="preserve"> XE "surplus"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729"/>
      </w:r>
      <w:r w:rsidRPr="00EC0229">
        <w:rPr>
          <w:rFonts w:eastAsia="Times New Roman" w:cs="Times New Roman"/>
          <w:szCs w:val="24"/>
          <w:lang w:eastAsia="en-GB"/>
        </w:rPr>
        <w:t xml:space="preserve"> official treasuries, accumulating with a view to gift exchange</w:t>
      </w:r>
      <w:r w:rsidR="008960AE" w:rsidRPr="00EC0229">
        <w:rPr>
          <w:rFonts w:eastAsia="Times New Roman" w:cs="Times New Roman"/>
          <w:szCs w:val="24"/>
          <w:lang w:eastAsia="en-GB"/>
        </w:rPr>
        <w:fldChar w:fldCharType="begin"/>
      </w:r>
      <w:r w:rsidR="008960AE" w:rsidRPr="00EC0229">
        <w:instrText xml:space="preserve"> XE "gift exchange" </w:instrText>
      </w:r>
      <w:r w:rsidR="008960AE" w:rsidRPr="00EC0229">
        <w:rPr>
          <w:rFonts w:eastAsia="Times New Roman" w:cs="Times New Roman"/>
          <w:szCs w:val="24"/>
          <w:lang w:eastAsia="en-GB"/>
        </w:rPr>
        <w:fldChar w:fldCharType="end"/>
      </w:r>
      <w:r w:rsidR="000D6C15" w:rsidRPr="00EC0229">
        <w:rPr>
          <w:rFonts w:eastAsia="Times New Roman" w:cs="Times New Roman"/>
          <w:szCs w:val="24"/>
          <w:lang w:eastAsia="en-GB"/>
        </w:rPr>
        <w:t>,</w:t>
      </w:r>
      <w:r w:rsidRPr="00EC0229">
        <w:rPr>
          <w:rFonts w:eastAsia="Times New Roman" w:cs="Times New Roman"/>
          <w:szCs w:val="24"/>
          <w:lang w:eastAsia="en-GB"/>
        </w:rPr>
        <w:t xml:space="preserve"> fulfilling the obligations of reciprocity</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reciprocity</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and accumulating in order to exchange.</w:t>
      </w:r>
      <w:r w:rsidRPr="00EC0229">
        <w:rPr>
          <w:rStyle w:val="FootnoteReference"/>
          <w:rFonts w:eastAsia="Times New Roman" w:cs="Times New Roman"/>
          <w:szCs w:val="24"/>
          <w:lang w:eastAsia="en-GB"/>
        </w:rPr>
        <w:footnoteReference w:id="730"/>
      </w:r>
    </w:p>
    <w:p w14:paraId="3F7C262C" w14:textId="77777777" w:rsidR="00610521" w:rsidRPr="00EC0229" w:rsidRDefault="00610521" w:rsidP="007600EA">
      <w:pPr>
        <w:pStyle w:val="NoSpacing"/>
        <w:spacing w:line="360" w:lineRule="auto"/>
        <w:rPr>
          <w:rFonts w:eastAsia="Times New Roman" w:cs="Times New Roman"/>
          <w:szCs w:val="24"/>
          <w:lang w:eastAsia="en-GB"/>
        </w:rPr>
      </w:pPr>
    </w:p>
    <w:p w14:paraId="18D137BC" w14:textId="19D553DB" w:rsidR="00610521" w:rsidRPr="00EC0229" w:rsidRDefault="00610521"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lastRenderedPageBreak/>
        <w:t xml:space="preserve">Essentially, a hoard gives a picture of the circulating medium over a period of time, whereas a single loss is a random event. The reasons for the loss of individual coins can be </w:t>
      </w:r>
      <w:r w:rsidR="004504D2">
        <w:rPr>
          <w:rFonts w:eastAsia="Times New Roman" w:cs="Times New Roman"/>
          <w:szCs w:val="24"/>
          <w:lang w:eastAsia="en-GB"/>
        </w:rPr>
        <w:t>characterize</w:t>
      </w:r>
      <w:r w:rsidR="00EB799C" w:rsidRPr="00EC0229">
        <w:rPr>
          <w:rFonts w:eastAsia="Times New Roman" w:cs="Times New Roman"/>
          <w:szCs w:val="24"/>
          <w:lang w:eastAsia="en-GB"/>
        </w:rPr>
        <w:t xml:space="preserve">d </w:t>
      </w:r>
      <w:r w:rsidRPr="00EC0229">
        <w:rPr>
          <w:rFonts w:eastAsia="Times New Roman" w:cs="Times New Roman"/>
          <w:szCs w:val="24"/>
          <w:lang w:eastAsia="en-GB"/>
        </w:rPr>
        <w:t xml:space="preserve">as defensive and negligent.  </w:t>
      </w:r>
      <w:r w:rsidR="002E3BB3" w:rsidRPr="00EC0229">
        <w:rPr>
          <w:rFonts w:eastAsia="Times New Roman" w:cs="Times New Roman"/>
          <w:szCs w:val="24"/>
          <w:lang w:eastAsia="en-GB"/>
        </w:rPr>
        <w:t>Again,</w:t>
      </w:r>
      <w:r w:rsidRPr="00EC0229">
        <w:rPr>
          <w:rFonts w:eastAsia="Times New Roman" w:cs="Times New Roman"/>
          <w:szCs w:val="24"/>
          <w:lang w:eastAsia="en-GB"/>
        </w:rPr>
        <w:t xml:space="preserve"> fright, flight and fight constitute the panic responses leading to unrecovered loss, but probably a more prevalent cause is carelessness - clumsy or arthritic fingers, insecure storage, difficult terrain, crowded places and haste rendering the loser unaware or the loss inaccessible.</w:t>
      </w:r>
    </w:p>
    <w:p w14:paraId="2D53E14B" w14:textId="77777777" w:rsidR="00610521" w:rsidRPr="00EC0229" w:rsidRDefault="00610521" w:rsidP="007600EA">
      <w:pPr>
        <w:pStyle w:val="NoSpacing"/>
        <w:spacing w:line="360" w:lineRule="auto"/>
        <w:rPr>
          <w:rFonts w:eastAsia="Times New Roman" w:cs="Times New Roman"/>
          <w:szCs w:val="24"/>
          <w:lang w:eastAsia="en-GB"/>
        </w:rPr>
      </w:pPr>
    </w:p>
    <w:p w14:paraId="04A50C97" w14:textId="52822B16" w:rsidR="009B4C80" w:rsidRPr="00EC0229" w:rsidRDefault="009B4C80"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 xml:space="preserve">For the period under review, singletons dominate until the threat of the </w:t>
      </w:r>
      <w:r w:rsidRPr="00EC0229">
        <w:rPr>
          <w:rFonts w:eastAsia="Times New Roman" w:cs="Times New Roman"/>
          <w:i/>
          <w:szCs w:val="24"/>
          <w:lang w:eastAsia="en-GB"/>
        </w:rPr>
        <w:t>micel here</w:t>
      </w:r>
      <w:r w:rsidRPr="00EC0229">
        <w:rPr>
          <w:rFonts w:eastAsia="Times New Roman" w:cs="Times New Roman"/>
          <w:szCs w:val="24"/>
          <w:lang w:eastAsia="en-GB"/>
        </w:rPr>
        <w:t xml:space="preserve"> when hoards become prevalent</w:t>
      </w:r>
      <w:r w:rsidR="001D64D6">
        <w:rPr>
          <w:rFonts w:eastAsia="Times New Roman" w:cs="Times New Roman"/>
          <w:szCs w:val="24"/>
          <w:lang w:eastAsia="en-GB"/>
        </w:rPr>
        <w:t xml:space="preserve">, </w:t>
      </w:r>
      <w:r w:rsidR="001D64D6" w:rsidRPr="001D64D6">
        <w:rPr>
          <w:rFonts w:eastAsia="Times New Roman" w:cs="Times New Roman"/>
          <w:i/>
          <w:szCs w:val="24"/>
          <w:lang w:eastAsia="en-GB"/>
        </w:rPr>
        <w:t>Graph 6.01</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731"/>
      </w:r>
    </w:p>
    <w:p w14:paraId="4ADFBEBC" w14:textId="77777777" w:rsidR="009B4C80" w:rsidRPr="00EC0229" w:rsidRDefault="009B4C80" w:rsidP="007600EA">
      <w:pPr>
        <w:pStyle w:val="NoSpacing"/>
        <w:spacing w:line="360" w:lineRule="auto"/>
        <w:rPr>
          <w:rFonts w:eastAsia="Times New Roman" w:cs="Times New Roman"/>
          <w:szCs w:val="24"/>
          <w:lang w:eastAsia="en-GB"/>
        </w:rPr>
      </w:pPr>
    </w:p>
    <w:p w14:paraId="05F6C45B" w14:textId="42953828" w:rsidR="00610521" w:rsidRPr="00EC0229" w:rsidRDefault="00610521"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 xml:space="preserve">In summary, hoards facilitate interpretation of chronology and the longevity of emissions. However, their composition can be selective. This contrasts with single finds </w:t>
      </w:r>
      <w:r w:rsidR="008B0049" w:rsidRPr="00EC0229">
        <w:rPr>
          <w:rFonts w:eastAsia="Times New Roman" w:cs="Times New Roman"/>
          <w:szCs w:val="24"/>
          <w:lang w:eastAsia="en-GB"/>
        </w:rPr>
        <w:t>(excluding those with a secondary use</w:t>
      </w:r>
      <w:r w:rsidR="008B0049" w:rsidRPr="00EC0229">
        <w:rPr>
          <w:rStyle w:val="FootnoteReference"/>
          <w:rFonts w:eastAsia="Times New Roman" w:cs="Times New Roman"/>
          <w:szCs w:val="24"/>
          <w:lang w:eastAsia="en-GB"/>
        </w:rPr>
        <w:footnoteReference w:id="732"/>
      </w:r>
      <w:r w:rsidR="008B0049" w:rsidRPr="00EC0229">
        <w:rPr>
          <w:rFonts w:eastAsia="Times New Roman" w:cs="Times New Roman"/>
          <w:szCs w:val="24"/>
          <w:lang w:eastAsia="en-GB"/>
        </w:rPr>
        <w:t xml:space="preserve">) </w:t>
      </w:r>
      <w:r w:rsidRPr="00EC0229">
        <w:rPr>
          <w:rFonts w:eastAsia="Times New Roman" w:cs="Times New Roman"/>
          <w:szCs w:val="24"/>
          <w:lang w:eastAsia="en-GB"/>
        </w:rPr>
        <w:t>which, being fundamentally random, are more representative of the mix of the circulating medium. In reality, a significant proportion of finds fall between these two descriptions and are from the contentiously named ‘productive sites’,</w:t>
      </w:r>
      <w:r w:rsidRPr="00EC0229">
        <w:rPr>
          <w:rStyle w:val="FootnoteReference"/>
          <w:rFonts w:eastAsia="Times New Roman" w:cs="Times New Roman"/>
          <w:szCs w:val="24"/>
          <w:lang w:eastAsia="en-GB"/>
        </w:rPr>
        <w:footnoteReference w:id="733"/>
      </w:r>
      <w:r w:rsidRPr="00EC0229">
        <w:rPr>
          <w:rFonts w:eastAsia="Times New Roman" w:cs="Times New Roman"/>
          <w:szCs w:val="24"/>
          <w:lang w:eastAsia="en-GB"/>
        </w:rPr>
        <w:t xml:space="preserve"> being the numismatic term for a scatter of related detector finds within a closely-defined area. These could be from a scattered hoard or from a high level of activity, typically economic or ritual, within a specific zone. The constraints on the interpretation of such finds are described above</w:t>
      </w:r>
      <w:r w:rsidR="000D6E74" w:rsidRPr="00EC0229">
        <w:rPr>
          <w:rFonts w:eastAsia="Times New Roman" w:cs="Times New Roman"/>
          <w:szCs w:val="24"/>
          <w:lang w:eastAsia="en-GB"/>
        </w:rPr>
        <w:t xml:space="preserve"> (</w:t>
      </w:r>
      <w:r w:rsidR="00DF61F5" w:rsidRPr="00EC0229">
        <w:rPr>
          <w:rFonts w:eastAsia="Times New Roman" w:cs="Times New Roman"/>
          <w:szCs w:val="24"/>
          <w:lang w:eastAsia="en-GB"/>
        </w:rPr>
        <w:fldChar w:fldCharType="begin"/>
      </w:r>
      <w:r w:rsidR="00DF61F5" w:rsidRPr="00EC0229">
        <w:rPr>
          <w:rFonts w:eastAsia="Times New Roman" w:cs="Times New Roman"/>
          <w:szCs w:val="24"/>
          <w:lang w:eastAsia="en-GB"/>
        </w:rPr>
        <w:instrText xml:space="preserve"> PAGEREF Constraints \h </w:instrText>
      </w:r>
      <w:r w:rsidR="00DF61F5" w:rsidRPr="00EC0229">
        <w:rPr>
          <w:rFonts w:eastAsia="Times New Roman" w:cs="Times New Roman"/>
          <w:szCs w:val="24"/>
          <w:lang w:eastAsia="en-GB"/>
        </w:rPr>
      </w:r>
      <w:r w:rsidR="00DF61F5" w:rsidRPr="00EC0229">
        <w:rPr>
          <w:rFonts w:eastAsia="Times New Roman" w:cs="Times New Roman"/>
          <w:szCs w:val="24"/>
          <w:lang w:eastAsia="en-GB"/>
        </w:rPr>
        <w:fldChar w:fldCharType="separate"/>
      </w:r>
      <w:r w:rsidR="0012026B">
        <w:rPr>
          <w:rFonts w:eastAsia="Times New Roman" w:cs="Times New Roman"/>
          <w:noProof/>
          <w:szCs w:val="24"/>
          <w:lang w:eastAsia="en-GB"/>
        </w:rPr>
        <w:t>82</w:t>
      </w:r>
      <w:r w:rsidR="00DF61F5" w:rsidRPr="00EC0229">
        <w:rPr>
          <w:rFonts w:eastAsia="Times New Roman" w:cs="Times New Roman"/>
          <w:szCs w:val="24"/>
          <w:lang w:eastAsia="en-GB"/>
        </w:rPr>
        <w:fldChar w:fldCharType="end"/>
      </w:r>
      <w:r w:rsidR="000D6E74" w:rsidRPr="00EC0229">
        <w:rPr>
          <w:rFonts w:eastAsia="Times New Roman" w:cs="Times New Roman"/>
          <w:szCs w:val="24"/>
          <w:lang w:eastAsia="en-GB"/>
        </w:rPr>
        <w:t>)</w:t>
      </w:r>
      <w:r w:rsidRPr="00EC0229">
        <w:rPr>
          <w:rFonts w:eastAsia="Times New Roman" w:cs="Times New Roman"/>
          <w:szCs w:val="24"/>
          <w:lang w:eastAsia="en-GB"/>
        </w:rPr>
        <w:t>.</w:t>
      </w:r>
      <w:r w:rsidR="000862EB" w:rsidRPr="00EC0229">
        <w:rPr>
          <w:rStyle w:val="FootnoteReference"/>
          <w:rFonts w:eastAsia="Times New Roman" w:cs="Times New Roman"/>
          <w:szCs w:val="24"/>
          <w:lang w:eastAsia="en-GB"/>
        </w:rPr>
        <w:footnoteReference w:id="734"/>
      </w:r>
      <w:r w:rsidRPr="00EC0229">
        <w:rPr>
          <w:rFonts w:eastAsia="Times New Roman" w:cs="Times New Roman"/>
          <w:szCs w:val="24"/>
          <w:lang w:eastAsia="en-GB"/>
        </w:rPr>
        <w:t xml:space="preserve"> However, we can conclude that the body of numismatic e</w:t>
      </w:r>
      <w:r w:rsidR="00497AC3" w:rsidRPr="00EC0229">
        <w:rPr>
          <w:rFonts w:eastAsia="Times New Roman" w:cs="Times New Roman"/>
          <w:szCs w:val="24"/>
          <w:lang w:eastAsia="en-GB"/>
        </w:rPr>
        <w:t xml:space="preserve">vidence accumulated in </w:t>
      </w:r>
      <w:r w:rsidR="006C2237" w:rsidRPr="00EC0229">
        <w:rPr>
          <w:rFonts w:eastAsia="Times New Roman" w:cs="Times New Roman"/>
          <w:szCs w:val="24"/>
          <w:lang w:eastAsia="en-GB"/>
        </w:rPr>
        <w:t>database</w:t>
      </w:r>
      <w:r w:rsidRPr="00EC0229">
        <w:rPr>
          <w:rFonts w:eastAsia="Times New Roman" w:cs="Times New Roman"/>
          <w:szCs w:val="24"/>
          <w:lang w:eastAsia="en-GB"/>
        </w:rPr>
        <w:t xml:space="preserve"> is now sufficient to provide confidence for extrapolation. New finds fine-tune the picture but the chances of overturning the fundamental building blocks of early Anglo-Saxon</w:t>
      </w:r>
      <w:r w:rsidR="00F204A1" w:rsidRPr="00EC0229">
        <w:rPr>
          <w:rFonts w:eastAsia="Times New Roman" w:cs="Times New Roman"/>
          <w:szCs w:val="24"/>
          <w:lang w:eastAsia="en-GB"/>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eastAsia="Times New Roman" w:cs="Times New Roman"/>
          <w:szCs w:val="24"/>
          <w:lang w:eastAsia="en-GB"/>
        </w:rPr>
        <w:fldChar w:fldCharType="end"/>
      </w:r>
      <w:r w:rsidRPr="00EC0229">
        <w:rPr>
          <w:rFonts w:eastAsia="Times New Roman" w:cs="Times New Roman"/>
          <w:szCs w:val="24"/>
          <w:lang w:eastAsia="en-GB"/>
        </w:rPr>
        <w:t>, or any other English coinage, is diminishing.</w:t>
      </w:r>
    </w:p>
    <w:p w14:paraId="380D9D92" w14:textId="77777777" w:rsidR="00455D13" w:rsidRDefault="00455D13" w:rsidP="007600EA">
      <w:pPr>
        <w:pStyle w:val="NoSpacing"/>
        <w:spacing w:line="360" w:lineRule="auto"/>
        <w:rPr>
          <w:i/>
        </w:rPr>
      </w:pPr>
    </w:p>
    <w:p w14:paraId="73DC731B" w14:textId="4F598344" w:rsidR="00610521" w:rsidRPr="00EC0229" w:rsidRDefault="00F86015" w:rsidP="007600EA">
      <w:pPr>
        <w:pStyle w:val="NoSpacing"/>
        <w:spacing w:line="360" w:lineRule="auto"/>
      </w:pP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0815F7" w:rsidRPr="00EC0229">
        <w:rPr>
          <w:i/>
        </w:rPr>
        <w:t>6.03</w:t>
      </w:r>
      <w:r w:rsidR="00610521" w:rsidRPr="00EC0229">
        <w:t xml:space="preserve"> shows that the vast majority of locations produce single or very few coins whereas a minute number disclose large hoards. As would be expected, the dominance of single finds is more marked in the south, with only Torksey, Littleborough and Norwich attaining double figures. Pirie</w:t>
      </w:r>
      <w:r w:rsidR="00716433" w:rsidRPr="00EC0229">
        <w:fldChar w:fldCharType="begin"/>
      </w:r>
      <w:r w:rsidR="00716433" w:rsidRPr="00EC0229">
        <w:instrText xml:space="preserve"> XE "Pirie" </w:instrText>
      </w:r>
      <w:r w:rsidR="00716433" w:rsidRPr="00EC0229">
        <w:fldChar w:fldCharType="end"/>
      </w:r>
      <w:r w:rsidR="00610521" w:rsidRPr="00EC0229">
        <w:t>’s claim of a cluster of purse-hoards of twenty to thirty stycas does not show distinctly.</w:t>
      </w:r>
      <w:r w:rsidR="00610521" w:rsidRPr="00EC0229">
        <w:rPr>
          <w:rStyle w:val="FootnoteReference"/>
        </w:rPr>
        <w:footnoteReference w:id="735"/>
      </w:r>
      <w:r w:rsidR="00610521" w:rsidRPr="00EC0229">
        <w:t xml:space="preserve"> </w:t>
      </w:r>
    </w:p>
    <w:p w14:paraId="7BFBA351" w14:textId="1376D29D" w:rsidR="00610521" w:rsidRPr="00EC0229" w:rsidRDefault="00AE431C" w:rsidP="007600EA">
      <w:pPr>
        <w:pStyle w:val="Heading3"/>
        <w:spacing w:line="360" w:lineRule="auto"/>
      </w:pPr>
      <w:bookmarkStart w:id="466" w:name="Outcomes"/>
      <w:bookmarkStart w:id="467" w:name="_Ref465168939"/>
      <w:bookmarkStart w:id="468" w:name="_Toc468266832"/>
      <w:bookmarkEnd w:id="466"/>
      <w:r>
        <w:lastRenderedPageBreak/>
        <w:t>6.2.2</w:t>
      </w:r>
      <w:r>
        <w:tab/>
      </w:r>
      <w:r w:rsidR="00A328E2" w:rsidRPr="00EC0229">
        <w:t>C</w:t>
      </w:r>
      <w:r w:rsidR="00610521" w:rsidRPr="00EC0229">
        <w:t xml:space="preserve">onventional </w:t>
      </w:r>
      <w:r w:rsidR="002C0E71" w:rsidRPr="00EC0229">
        <w:t>Numismatic Production Metrics</w:t>
      </w:r>
      <w:bookmarkEnd w:id="467"/>
      <w:bookmarkEnd w:id="468"/>
      <w:r w:rsidR="00F204A1" w:rsidRPr="00EC0229">
        <w:fldChar w:fldCharType="begin"/>
      </w:r>
      <w:r w:rsidR="00F204A1" w:rsidRPr="00EC0229">
        <w:instrText xml:space="preserve"> XE "</w:instrText>
      </w:r>
      <w:r w:rsidR="00F204A1" w:rsidRPr="00EC0229">
        <w:rPr>
          <w:rStyle w:val="Hyperlink"/>
          <w:noProof/>
          <w:u w:val="none"/>
        </w:rPr>
        <w:instrText>metrics</w:instrText>
      </w:r>
      <w:r w:rsidR="00F204A1" w:rsidRPr="00EC0229">
        <w:instrText xml:space="preserve">" </w:instrText>
      </w:r>
      <w:r w:rsidR="00F204A1" w:rsidRPr="00EC0229">
        <w:fldChar w:fldCharType="end"/>
      </w:r>
    </w:p>
    <w:p w14:paraId="7FB552D5" w14:textId="071B1796" w:rsidR="00610521" w:rsidRPr="00EC0229" w:rsidRDefault="00610521" w:rsidP="007600EA">
      <w:pPr>
        <w:pStyle w:val="NoSpacing"/>
        <w:spacing w:line="360" w:lineRule="auto"/>
      </w:pPr>
      <w:r w:rsidRPr="00EC0229">
        <w:t xml:space="preserve">Numismatic </w:t>
      </w:r>
      <w:r w:rsidR="00505359" w:rsidRPr="00EC0229">
        <w:t>micro-</w:t>
      </w:r>
      <w:r w:rsidRPr="00EC0229">
        <w:t>analyses proceed along conventional lines predicated by metrology</w:t>
      </w:r>
      <w:r w:rsidR="004C29A9" w:rsidRPr="00EC0229">
        <w:fldChar w:fldCharType="begin"/>
      </w:r>
      <w:r w:rsidR="004C29A9" w:rsidRPr="00EC0229">
        <w:instrText xml:space="preserve"> XE "metrology" </w:instrText>
      </w:r>
      <w:r w:rsidR="004C29A9" w:rsidRPr="00EC0229">
        <w:fldChar w:fldCharType="end"/>
      </w:r>
      <w:r w:rsidRPr="00EC0229">
        <w:t>, metallurgy, inscriptions, design elements and provenance with a view to determining temporal and geographic identities. In styca studies, orthography and epigraphy are important. Other attributes such as die axes and central moti</w:t>
      </w:r>
      <w:r w:rsidR="00A328E2" w:rsidRPr="00EC0229">
        <w:t>fs are also worthy of study. My</w:t>
      </w:r>
      <w:r w:rsidRPr="00EC0229">
        <w:t xml:space="preserve"> digitization of Pirie</w:t>
      </w:r>
      <w:r w:rsidR="00716433" w:rsidRPr="00EC0229">
        <w:fldChar w:fldCharType="begin"/>
      </w:r>
      <w:r w:rsidR="00716433" w:rsidRPr="00EC0229">
        <w:instrText xml:space="preserve"> XE "Pirie" </w:instrText>
      </w:r>
      <w:r w:rsidR="00716433" w:rsidRPr="00EC0229">
        <w:fldChar w:fldCharType="end"/>
      </w:r>
      <w:r w:rsidRPr="00EC0229">
        <w:t>’s</w:t>
      </w:r>
      <w:r w:rsidR="00A328E2" w:rsidRPr="00EC0229">
        <w:t xml:space="preserve"> corpus expedites such analyses. However, while </w:t>
      </w:r>
      <w:r w:rsidR="004C668D" w:rsidRPr="00EC0229">
        <w:t xml:space="preserve">the outcomes of </w:t>
      </w:r>
      <w:r w:rsidR="00A328E2" w:rsidRPr="00EC0229">
        <w:t>these methodolog</w:t>
      </w:r>
      <w:r w:rsidR="004C668D" w:rsidRPr="00EC0229">
        <w:t xml:space="preserve">ies are briefly </w:t>
      </w:r>
      <w:r w:rsidR="00103FB3">
        <w:t>summarize</w:t>
      </w:r>
      <w:r w:rsidR="004C668D" w:rsidRPr="00EC0229">
        <w:t>d in the final chapter</w:t>
      </w:r>
      <w:r w:rsidR="00A328E2" w:rsidRPr="00EC0229">
        <w:t xml:space="preserve">, they are not further pursued in </w:t>
      </w:r>
      <w:r w:rsidR="004C668D" w:rsidRPr="00EC0229">
        <w:t xml:space="preserve">the core of </w:t>
      </w:r>
      <w:r w:rsidR="00A328E2" w:rsidRPr="00EC0229">
        <w:t>this study. The methodology favoured here assesses and interprets the proximity and density of numismatic and artefactual finds</w:t>
      </w:r>
      <w:r w:rsidR="00BF6455">
        <w:t>, referred to as distribution analysis,</w:t>
      </w:r>
      <w:r w:rsidR="004C668D" w:rsidRPr="00EC0229">
        <w:t xml:space="preserve"> (</w:t>
      </w:r>
      <w:r w:rsidR="00E40C11">
        <w:rPr>
          <w:i/>
        </w:rPr>
        <w:t>Dataset</w:t>
      </w:r>
      <w:r w:rsidR="004C668D" w:rsidRPr="00EC0229">
        <w:rPr>
          <w:i/>
        </w:rPr>
        <w:t xml:space="preserve"> </w:t>
      </w:r>
      <w:r w:rsidR="000815F7" w:rsidRPr="00EC0229">
        <w:rPr>
          <w:i/>
        </w:rPr>
        <w:t>6.0</w:t>
      </w:r>
      <w:r w:rsidR="00E40C11">
        <w:rPr>
          <w:i/>
        </w:rPr>
        <w:t>6</w:t>
      </w:r>
      <w:r w:rsidR="000815F7" w:rsidRPr="00EC0229">
        <w:rPr>
          <w:i/>
        </w:rPr>
        <w:t>,</w:t>
      </w:r>
      <w:r w:rsidR="000815F7" w:rsidRPr="00EC0229">
        <w:t xml:space="preserve"> summarized in </w:t>
      </w:r>
      <w:r w:rsidR="000815F7" w:rsidRPr="00EC0229">
        <w:rPr>
          <w:i/>
        </w:rPr>
        <w:t xml:space="preserve">Table </w:t>
      </w:r>
      <w:r w:rsidR="0058373E">
        <w:rPr>
          <w:i/>
        </w:rPr>
        <w:t>6.08</w:t>
      </w:r>
      <w:r w:rsidR="004C668D" w:rsidRPr="00EC0229">
        <w:t>).</w:t>
      </w:r>
    </w:p>
    <w:p w14:paraId="6A37B1AF" w14:textId="77777777" w:rsidR="00610521" w:rsidRPr="00EC0229" w:rsidRDefault="00610521" w:rsidP="007600EA">
      <w:pPr>
        <w:pStyle w:val="NoSpacing"/>
        <w:spacing w:line="360" w:lineRule="auto"/>
      </w:pPr>
    </w:p>
    <w:p w14:paraId="40CB5BFD" w14:textId="5411C9D9" w:rsidR="00CB1E6E" w:rsidRPr="00EC0229" w:rsidRDefault="00AE431C" w:rsidP="007600EA">
      <w:pPr>
        <w:pStyle w:val="Heading3"/>
        <w:spacing w:line="360" w:lineRule="auto"/>
      </w:pPr>
      <w:bookmarkStart w:id="469" w:name="_Toc468266833"/>
      <w:r>
        <w:t>6.2.3</w:t>
      </w:r>
      <w:r>
        <w:tab/>
      </w:r>
      <w:r w:rsidR="00CB1E6E" w:rsidRPr="00EC0229">
        <w:t>Distribution Analysis</w:t>
      </w:r>
      <w:bookmarkEnd w:id="469"/>
    </w:p>
    <w:p w14:paraId="13B559D8" w14:textId="20196F18" w:rsidR="00CB1E6E" w:rsidRPr="00EC0229" w:rsidRDefault="00CB1E6E" w:rsidP="007600EA">
      <w:pPr>
        <w:pStyle w:val="NoSpacing"/>
        <w:spacing w:line="360" w:lineRule="auto"/>
      </w:pPr>
      <w:r w:rsidRPr="00EC0229">
        <w:t xml:space="preserve">While </w:t>
      </w:r>
      <w:r w:rsidR="004E64B9" w:rsidRPr="00EC0229">
        <w:t>acknowledging</w:t>
      </w:r>
      <w:r w:rsidRPr="00EC0229">
        <w:t xml:space="preserve"> the conventional micro-analyses, Blackburn and Metcalf have shifted the emphasis to distribution analysis</w:t>
      </w:r>
      <w:r w:rsidR="00466560" w:rsidRPr="00EC0229">
        <w:t>.</w:t>
      </w:r>
      <w:r w:rsidRPr="00EC0229">
        <w:t xml:space="preserve"> Of these </w:t>
      </w:r>
      <w:r w:rsidR="002E3BB3" w:rsidRPr="00EC0229">
        <w:t>outcomes,</w:t>
      </w:r>
      <w:r w:rsidRPr="00EC0229">
        <w:t xml:space="preserve"> particular attention will be paid to temporal, geographical and source analyses</w:t>
      </w:r>
      <w:r w:rsidR="005710EF">
        <w:t xml:space="preserve"> below</w:t>
      </w:r>
      <w:r w:rsidRPr="00EC0229">
        <w:t>.</w:t>
      </w:r>
    </w:p>
    <w:p w14:paraId="10A1B24F" w14:textId="46DF0102" w:rsidR="00CB1E6E" w:rsidRPr="00EC0229" w:rsidRDefault="00CB1E6E" w:rsidP="00AA51C3">
      <w:pPr>
        <w:pStyle w:val="NoSpacing"/>
        <w:spacing w:line="360" w:lineRule="auto"/>
      </w:pPr>
    </w:p>
    <w:p w14:paraId="3CC005CC" w14:textId="77777777" w:rsidR="00D311C4" w:rsidRDefault="00D311C4">
      <w:pPr>
        <w:spacing w:line="259" w:lineRule="auto"/>
        <w:jc w:val="left"/>
        <w:rPr>
          <w:rFonts w:cs="Times New Roman"/>
          <w:b/>
          <w:sz w:val="28"/>
          <w:szCs w:val="26"/>
        </w:rPr>
      </w:pPr>
      <w:bookmarkStart w:id="470" w:name="TemporalAnalysis"/>
      <w:bookmarkStart w:id="471" w:name="ArtefactualDatabase"/>
      <w:bookmarkEnd w:id="470"/>
      <w:r>
        <w:rPr>
          <w:rFonts w:cs="Times New Roman"/>
        </w:rPr>
        <w:br w:type="page"/>
      </w:r>
    </w:p>
    <w:p w14:paraId="16237DB5" w14:textId="6D5A501B" w:rsidR="00B50049" w:rsidRPr="00EC0229" w:rsidRDefault="00AE431C" w:rsidP="007600EA">
      <w:pPr>
        <w:pStyle w:val="Heading2"/>
        <w:spacing w:line="360" w:lineRule="auto"/>
        <w:rPr>
          <w:b w:val="0"/>
          <w:color w:val="2E74B5" w:themeColor="accent1" w:themeShade="BF"/>
          <w:szCs w:val="24"/>
        </w:rPr>
      </w:pPr>
      <w:bookmarkStart w:id="472" w:name="_Toc468266834"/>
      <w:r>
        <w:rPr>
          <w:rFonts w:cs="Times New Roman"/>
        </w:rPr>
        <w:lastRenderedPageBreak/>
        <w:t>6.3</w:t>
      </w:r>
      <w:r>
        <w:rPr>
          <w:rFonts w:cs="Times New Roman"/>
        </w:rPr>
        <w:tab/>
      </w:r>
      <w:r w:rsidR="002C0E71" w:rsidRPr="00EC0229">
        <w:rPr>
          <w:rFonts w:cs="Times New Roman"/>
        </w:rPr>
        <w:t xml:space="preserve">The </w:t>
      </w:r>
      <w:bookmarkStart w:id="473" w:name="qualitativemethodology"/>
      <w:r w:rsidR="002C0E71" w:rsidRPr="00EC0229">
        <w:rPr>
          <w:rFonts w:cs="Times New Roman"/>
        </w:rPr>
        <w:t>Qualitative</w:t>
      </w:r>
      <w:r w:rsidR="002C0E71" w:rsidRPr="00EC0229">
        <w:rPr>
          <w:rFonts w:cs="Times New Roman"/>
        </w:rPr>
        <w:fldChar w:fldCharType="begin"/>
      </w:r>
      <w:r w:rsidR="002C0E71" w:rsidRPr="00EC0229">
        <w:instrText xml:space="preserve"> XE "</w:instrText>
      </w:r>
      <w:r w:rsidR="002C0E71" w:rsidRPr="00EC0229">
        <w:rPr>
          <w:rStyle w:val="Hyperlink"/>
          <w:rFonts w:cs="Times New Roman"/>
          <w:noProof/>
          <w:u w:val="none"/>
        </w:rPr>
        <w:instrText>quantitative</w:instrText>
      </w:r>
      <w:r w:rsidR="002C0E71" w:rsidRPr="00EC0229">
        <w:instrText xml:space="preserve">" </w:instrText>
      </w:r>
      <w:r w:rsidR="002C0E71" w:rsidRPr="00EC0229">
        <w:rPr>
          <w:rFonts w:cs="Times New Roman"/>
        </w:rPr>
        <w:fldChar w:fldCharType="end"/>
      </w:r>
      <w:r w:rsidR="002C0E71" w:rsidRPr="00EC0229">
        <w:rPr>
          <w:rFonts w:cs="Times New Roman"/>
        </w:rPr>
        <w:t xml:space="preserve"> Methodology</w:t>
      </w:r>
      <w:bookmarkEnd w:id="473"/>
      <w:r w:rsidR="002C0E71" w:rsidRPr="00EC0229">
        <w:rPr>
          <w:rFonts w:cs="Times New Roman"/>
        </w:rPr>
        <w:t>:</w:t>
      </w:r>
      <w:r w:rsidR="002C0E71" w:rsidRPr="00EC0229">
        <w:t xml:space="preserve"> </w:t>
      </w:r>
      <w:r w:rsidR="006952EF" w:rsidRPr="00EC0229">
        <w:t xml:space="preserve">The </w:t>
      </w:r>
      <w:r w:rsidR="00610521" w:rsidRPr="00EC0229">
        <w:t>Artefactual</w:t>
      </w:r>
      <w:r w:rsidR="006B1593" w:rsidRPr="00EC0229">
        <w:fldChar w:fldCharType="begin"/>
      </w:r>
      <w:r w:rsidR="006B1593" w:rsidRPr="00EC0229">
        <w:instrText xml:space="preserve"> XE "</w:instrText>
      </w:r>
      <w:r w:rsidR="006B1593" w:rsidRPr="00EC0229">
        <w:rPr>
          <w:rStyle w:val="Hyperlink"/>
          <w:noProof/>
          <w:u w:val="none"/>
        </w:rPr>
        <w:instrText>Artefactual</w:instrText>
      </w:r>
      <w:r w:rsidR="006B1593" w:rsidRPr="00EC0229">
        <w:instrText xml:space="preserve">" </w:instrText>
      </w:r>
      <w:r w:rsidR="006B1593" w:rsidRPr="00EC0229">
        <w:fldChar w:fldCharType="end"/>
      </w:r>
      <w:r w:rsidR="00497AC3" w:rsidRPr="00EC0229">
        <w:t xml:space="preserve"> Data</w:t>
      </w:r>
      <w:r w:rsidR="00065E6F">
        <w:t>base</w:t>
      </w:r>
      <w:bookmarkEnd w:id="472"/>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r w:rsidR="00610521" w:rsidRPr="00EC0229">
        <w:rPr>
          <w:b w:val="0"/>
          <w:color w:val="2E74B5" w:themeColor="accent1" w:themeShade="BF"/>
          <w:szCs w:val="24"/>
        </w:rPr>
        <w:t xml:space="preserve"> </w:t>
      </w:r>
      <w:bookmarkEnd w:id="471"/>
    </w:p>
    <w:p w14:paraId="4D0B48C2" w14:textId="78112C55" w:rsidR="00EA6CB4" w:rsidRPr="00221D59" w:rsidRDefault="00610521" w:rsidP="006C2237">
      <w:pPr>
        <w:spacing w:line="360" w:lineRule="auto"/>
        <w:rPr>
          <w:rFonts w:cs="Times New Roman"/>
          <w:color w:val="000000" w:themeColor="text1"/>
          <w:szCs w:val="24"/>
        </w:rPr>
      </w:pPr>
      <w:r w:rsidRPr="00EC0229">
        <w:rPr>
          <w:rFonts w:cs="Times New Roman"/>
          <w:color w:val="000000" w:themeColor="text1"/>
          <w:szCs w:val="24"/>
        </w:rPr>
        <w:t xml:space="preserve">The association of numismatic with </w:t>
      </w:r>
      <w:r w:rsidR="00507EE7" w:rsidRPr="00EC0229">
        <w:rPr>
          <w:rFonts w:cs="Times New Roman"/>
          <w:color w:val="000000" w:themeColor="text1"/>
          <w:szCs w:val="24"/>
        </w:rPr>
        <w:t xml:space="preserve">other portable </w:t>
      </w:r>
      <w:r w:rsidRPr="00EC0229">
        <w:rPr>
          <w:rFonts w:cs="Times New Roman"/>
          <w:color w:val="000000" w:themeColor="text1"/>
          <w:szCs w:val="24"/>
        </w:rPr>
        <w:t xml:space="preserve">artefactual finds is central to establishing the extent of </w:t>
      </w:r>
      <w:r w:rsidR="003F2041" w:rsidRPr="00EC0229">
        <w:rPr>
          <w:rFonts w:cs="Times New Roman"/>
          <w:color w:val="000000" w:themeColor="text1"/>
          <w:szCs w:val="24"/>
        </w:rPr>
        <w:t>monetiz</w:t>
      </w:r>
      <w:r w:rsidRPr="00EC0229">
        <w:rPr>
          <w:rFonts w:cs="Times New Roman"/>
          <w:color w:val="000000" w:themeColor="text1"/>
          <w:szCs w:val="24"/>
        </w:rPr>
        <w:t>ation</w:t>
      </w:r>
      <w:r w:rsidR="00EA6CB4">
        <w:rPr>
          <w:rFonts w:cs="Times New Roman"/>
          <w:color w:val="000000" w:themeColor="text1"/>
          <w:szCs w:val="24"/>
        </w:rPr>
        <w:t>.</w:t>
      </w:r>
      <w:r w:rsidR="006C2237" w:rsidRPr="00EC0229">
        <w:rPr>
          <w:rFonts w:cs="Times New Roman"/>
          <w:color w:val="000000" w:themeColor="text1"/>
          <w:szCs w:val="24"/>
        </w:rPr>
        <w:t xml:space="preserve"> </w:t>
      </w:r>
      <w:r w:rsidR="00EA6CB4">
        <w:rPr>
          <w:i/>
        </w:rPr>
        <w:t xml:space="preserve">Database </w:t>
      </w:r>
      <w:r w:rsidR="00EA6CB4" w:rsidRPr="00EA6CB4">
        <w:t>2</w:t>
      </w:r>
      <w:r w:rsidR="00EA6CB4">
        <w:t xml:space="preserve"> extracts, in detail, the relevant material from </w:t>
      </w:r>
      <w:r w:rsidR="00EA6CB4" w:rsidRPr="00221D59">
        <w:rPr>
          <w:i/>
        </w:rPr>
        <w:t>VASLE</w:t>
      </w:r>
      <w:r w:rsidR="00EA6CB4">
        <w:t xml:space="preserve"> and adds subsequent finds from PAS</w:t>
      </w:r>
      <w:r w:rsidR="00EA6CB4" w:rsidRPr="00EC0229">
        <w:rPr>
          <w:i/>
        </w:rPr>
        <w:t>,</w:t>
      </w:r>
      <w:r w:rsidR="00EA6CB4" w:rsidRPr="00EA6CB4">
        <w:t xml:space="preserve"> </w:t>
      </w:r>
      <w:r w:rsidR="00712EA1">
        <w:t>(</w:t>
      </w:r>
      <w:r w:rsidR="00EA6CB4" w:rsidRPr="00EC0229">
        <w:rPr>
          <w:i/>
        </w:rPr>
        <w:t>Map 6.02</w:t>
      </w:r>
      <w:r w:rsidR="00712EA1">
        <w:t>)</w:t>
      </w:r>
      <w:r w:rsidR="00EA6CB4" w:rsidRPr="00EC0229">
        <w:rPr>
          <w:rFonts w:cs="Times New Roman"/>
          <w:color w:val="000000" w:themeColor="text1"/>
          <w:szCs w:val="24"/>
        </w:rPr>
        <w:fldChar w:fldCharType="begin"/>
      </w:r>
      <w:r w:rsidR="00EA6CB4" w:rsidRPr="00EC0229">
        <w:instrText xml:space="preserve"> XE "monetization" </w:instrText>
      </w:r>
      <w:r w:rsidR="00EA6CB4" w:rsidRPr="00EC0229">
        <w:rPr>
          <w:rFonts w:cs="Times New Roman"/>
          <w:color w:val="000000" w:themeColor="text1"/>
          <w:szCs w:val="24"/>
        </w:rPr>
        <w:fldChar w:fldCharType="end"/>
      </w:r>
      <w:r w:rsidR="00EA6CB4" w:rsidRPr="00EC0229">
        <w:rPr>
          <w:rFonts w:cs="Times New Roman"/>
          <w:color w:val="000000" w:themeColor="text1"/>
          <w:szCs w:val="24"/>
        </w:rPr>
        <w:t xml:space="preserve">. </w:t>
      </w:r>
      <w:r w:rsidR="00EA6CB4" w:rsidRPr="00EA6CB4">
        <w:rPr>
          <w:i/>
        </w:rPr>
        <w:t>Dataset</w:t>
      </w:r>
      <w:r w:rsidR="00EA6CB4">
        <w:rPr>
          <w:i/>
        </w:rPr>
        <w:t xml:space="preserve"> 6.06</w:t>
      </w:r>
      <w:r w:rsidR="00EA6CB4">
        <w:t xml:space="preserve"> </w:t>
      </w:r>
      <w:r w:rsidR="00103FB3">
        <w:t>summarize</w:t>
      </w:r>
      <w:r w:rsidR="00EA6CB4">
        <w:t>s this combined data by location</w:t>
      </w:r>
      <w:r w:rsidR="00221D59">
        <w:t xml:space="preserve"> and type</w:t>
      </w:r>
      <w:r w:rsidR="00712EA1">
        <w:t xml:space="preserve"> (and</w:t>
      </w:r>
      <w:r w:rsidR="00972607">
        <w:t>,</w:t>
      </w:r>
      <w:r w:rsidR="00712EA1">
        <w:t xml:space="preserve"> in more</w:t>
      </w:r>
      <w:r w:rsidR="00221D59">
        <w:t xml:space="preserve"> contracted </w:t>
      </w:r>
      <w:r w:rsidR="00712EA1">
        <w:t>form, by</w:t>
      </w:r>
      <w:r w:rsidR="00221D59">
        <w:t xml:space="preserve"> functional categories</w:t>
      </w:r>
      <w:r w:rsidR="00712EA1">
        <w:rPr>
          <w:rStyle w:val="FootnoteReference"/>
        </w:rPr>
        <w:footnoteReference w:id="736"/>
      </w:r>
      <w:r w:rsidR="00221D59">
        <w:t>). Numismatic data by location</w:t>
      </w:r>
      <w:r w:rsidR="002D6A82">
        <w:t xml:space="preserve">, extracted from </w:t>
      </w:r>
      <w:r w:rsidR="002D6A82" w:rsidRPr="002D6A82">
        <w:rPr>
          <w:i/>
        </w:rPr>
        <w:t>Dataset 6.03</w:t>
      </w:r>
      <w:r w:rsidR="002D6A82">
        <w:t>,</w:t>
      </w:r>
      <w:r w:rsidR="00221D59">
        <w:t xml:space="preserve"> is </w:t>
      </w:r>
      <w:r w:rsidR="00972607">
        <w:t>imported</w:t>
      </w:r>
      <w:r w:rsidR="00221D59">
        <w:t xml:space="preserve"> to </w:t>
      </w:r>
      <w:r w:rsidR="00221D59" w:rsidRPr="00EA6CB4">
        <w:rPr>
          <w:i/>
        </w:rPr>
        <w:t>Dataset</w:t>
      </w:r>
      <w:r w:rsidR="00221D59">
        <w:rPr>
          <w:i/>
        </w:rPr>
        <w:t xml:space="preserve"> 6.06</w:t>
      </w:r>
      <w:r w:rsidR="00221D59">
        <w:t xml:space="preserve"> to facilitate qualitative analyse (</w:t>
      </w:r>
      <w:r w:rsidR="00221D59">
        <w:fldChar w:fldCharType="begin"/>
      </w:r>
      <w:r w:rsidR="00221D59">
        <w:instrText xml:space="preserve"> PAGEREF qualitativemethodology \h </w:instrText>
      </w:r>
      <w:r w:rsidR="00221D59">
        <w:fldChar w:fldCharType="separate"/>
      </w:r>
      <w:r w:rsidR="0012026B">
        <w:rPr>
          <w:noProof/>
        </w:rPr>
        <w:t>160</w:t>
      </w:r>
      <w:r w:rsidR="00221D59">
        <w:fldChar w:fldCharType="end"/>
      </w:r>
      <w:r w:rsidR="00221D59">
        <w:t>).</w:t>
      </w:r>
    </w:p>
    <w:p w14:paraId="7278C4B0" w14:textId="02D8AA56" w:rsidR="00610521" w:rsidRPr="00EC0229" w:rsidRDefault="00610521" w:rsidP="006C2237">
      <w:pPr>
        <w:spacing w:line="360" w:lineRule="auto"/>
      </w:pPr>
      <w:r w:rsidRPr="00EC0229">
        <w:rPr>
          <w:rFonts w:cs="Times New Roman"/>
          <w:color w:val="000000" w:themeColor="text1"/>
          <w:szCs w:val="24"/>
        </w:rPr>
        <w:t>While it would be desirable for there to be a close physical proximity, it is sufficient to show that coins, and the objects for which they were exchanged, co-existed in the same community.</w:t>
      </w:r>
      <w:r w:rsidR="008B0EBF" w:rsidRPr="00EC0229">
        <w:rPr>
          <w:rStyle w:val="FootnoteReference"/>
          <w:rFonts w:cs="Times New Roman"/>
          <w:color w:val="000000" w:themeColor="text1"/>
          <w:szCs w:val="24"/>
        </w:rPr>
        <w:footnoteReference w:id="737"/>
      </w:r>
      <w:r w:rsidRPr="00EC0229">
        <w:rPr>
          <w:rFonts w:cs="Times New Roman"/>
          <w:color w:val="000000" w:themeColor="text1"/>
          <w:szCs w:val="24"/>
        </w:rPr>
        <w:t xml:space="preserve"> For this purpose, settlements will stand as surrogate for precise findspots. In interrogating the PAS</w:t>
      </w:r>
      <w:r w:rsidR="008960AE" w:rsidRPr="00EC0229">
        <w:rPr>
          <w:rFonts w:cs="Times New Roman"/>
          <w:color w:val="000000" w:themeColor="text1"/>
          <w:szCs w:val="24"/>
        </w:rPr>
        <w:fldChar w:fldCharType="begin"/>
      </w:r>
      <w:r w:rsidR="008960AE" w:rsidRPr="00EC0229">
        <w:instrText xml:space="preserve"> XE "PAS" </w:instrText>
      </w:r>
      <w:r w:rsidR="008960AE" w:rsidRPr="00EC0229">
        <w:rPr>
          <w:rFonts w:cs="Times New Roman"/>
          <w:color w:val="000000" w:themeColor="text1"/>
          <w:szCs w:val="24"/>
        </w:rPr>
        <w:fldChar w:fldCharType="end"/>
      </w:r>
      <w:r w:rsidRPr="00EC0229">
        <w:rPr>
          <w:rFonts w:cs="Times New Roman"/>
          <w:color w:val="000000" w:themeColor="text1"/>
          <w:szCs w:val="24"/>
        </w:rPr>
        <w:t xml:space="preserve"> database for artefacts, York</w:t>
      </w:r>
      <w:r w:rsidR="006B1593" w:rsidRPr="00EC0229">
        <w:rPr>
          <w:rFonts w:cs="Times New Roman"/>
          <w:color w:val="000000" w:themeColor="text1"/>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color w:val="000000" w:themeColor="text1"/>
          <w:szCs w:val="24"/>
        </w:rPr>
        <w:fldChar w:fldCharType="end"/>
      </w:r>
      <w:r w:rsidRPr="00EC0229">
        <w:rPr>
          <w:rFonts w:cs="Times New Roman"/>
          <w:color w:val="000000" w:themeColor="text1"/>
          <w:szCs w:val="24"/>
        </w:rPr>
        <w:t xml:space="preserve">, East </w:t>
      </w:r>
      <w:r w:rsidR="00862F15" w:rsidRPr="00EC0229">
        <w:rPr>
          <w:rFonts w:cs="Times New Roman"/>
          <w:color w:val="000000" w:themeColor="text1"/>
          <w:szCs w:val="24"/>
        </w:rPr>
        <w:t>and</w:t>
      </w:r>
      <w:r w:rsidRPr="00EC0229">
        <w:rPr>
          <w:rFonts w:cs="Times New Roman"/>
          <w:color w:val="000000" w:themeColor="text1"/>
          <w:szCs w:val="24"/>
        </w:rPr>
        <w:t xml:space="preserve"> North Yorkshire, toget</w:t>
      </w:r>
      <w:r w:rsidR="00F3200D" w:rsidRPr="00EC0229">
        <w:rPr>
          <w:rFonts w:cs="Times New Roman"/>
          <w:color w:val="000000" w:themeColor="text1"/>
          <w:szCs w:val="24"/>
        </w:rPr>
        <w:t>her with thirty-three northern Unitary A</w:t>
      </w:r>
      <w:r w:rsidRPr="00EC0229">
        <w:rPr>
          <w:rFonts w:cs="Times New Roman"/>
          <w:color w:val="000000" w:themeColor="text1"/>
          <w:szCs w:val="24"/>
        </w:rPr>
        <w:t>uthorities,</w:t>
      </w:r>
      <w:r w:rsidRPr="00EC0229">
        <w:rPr>
          <w:rStyle w:val="FootnoteReference"/>
          <w:rFonts w:cs="Times New Roman"/>
          <w:color w:val="000000" w:themeColor="text1"/>
          <w:szCs w:val="24"/>
        </w:rPr>
        <w:footnoteReference w:id="738"/>
      </w:r>
      <w:r w:rsidRPr="00EC0229">
        <w:rPr>
          <w:rFonts w:cs="Times New Roman"/>
          <w:color w:val="000000" w:themeColor="text1"/>
          <w:szCs w:val="24"/>
        </w:rPr>
        <w:t xml:space="preserve"> stand proxy for Northumbria</w:t>
      </w:r>
      <w:r w:rsidR="00584C42" w:rsidRPr="00EC0229">
        <w:rPr>
          <w:rFonts w:cs="Times New Roman"/>
          <w:color w:val="000000" w:themeColor="text1"/>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cs="Times New Roman"/>
          <w:color w:val="000000" w:themeColor="text1"/>
          <w:szCs w:val="24"/>
        </w:rPr>
        <w:fldChar w:fldCharType="end"/>
      </w:r>
      <w:r w:rsidRPr="00EC0229">
        <w:rPr>
          <w:rFonts w:cs="Times New Roman"/>
          <w:color w:val="000000" w:themeColor="text1"/>
          <w:szCs w:val="24"/>
        </w:rPr>
        <w:t xml:space="preserve">. </w:t>
      </w:r>
    </w:p>
    <w:p w14:paraId="1E1E7A24" w14:textId="77777777" w:rsidR="00610521" w:rsidRPr="00EC0229" w:rsidRDefault="00610521" w:rsidP="007600EA">
      <w:pPr>
        <w:pStyle w:val="NoSpacing"/>
        <w:spacing w:line="360" w:lineRule="auto"/>
        <w:rPr>
          <w:rFonts w:cs="Times New Roman"/>
          <w:color w:val="000000" w:themeColor="text1"/>
          <w:szCs w:val="24"/>
        </w:rPr>
      </w:pPr>
    </w:p>
    <w:p w14:paraId="49F37924" w14:textId="0D60A184" w:rsidR="00DF7B77" w:rsidRDefault="00610521" w:rsidP="007600EA">
      <w:pPr>
        <w:pStyle w:val="NoSpacing"/>
        <w:spacing w:line="360" w:lineRule="auto"/>
        <w:rPr>
          <w:rFonts w:cs="Times New Roman"/>
          <w:color w:val="000000" w:themeColor="text1"/>
          <w:szCs w:val="24"/>
        </w:rPr>
      </w:pPr>
      <w:r w:rsidRPr="00EC0229">
        <w:rPr>
          <w:rFonts w:cs="Times New Roman"/>
          <w:color w:val="000000" w:themeColor="text1"/>
          <w:szCs w:val="24"/>
        </w:rPr>
        <w:t xml:space="preserve">However, not only must the constraints described earlier </w:t>
      </w:r>
      <w:r w:rsidR="00FC7D87" w:rsidRPr="00EC0229">
        <w:rPr>
          <w:rFonts w:cs="Times New Roman"/>
          <w:color w:val="000000" w:themeColor="text1"/>
          <w:szCs w:val="24"/>
        </w:rPr>
        <w:t>(</w:t>
      </w:r>
      <w:r w:rsidR="00FC7D87" w:rsidRPr="00EC0229">
        <w:rPr>
          <w:rFonts w:cs="Times New Roman"/>
          <w:color w:val="000000" w:themeColor="text1"/>
          <w:szCs w:val="24"/>
        </w:rPr>
        <w:fldChar w:fldCharType="begin"/>
      </w:r>
      <w:r w:rsidR="00FC7D87" w:rsidRPr="00EC0229">
        <w:rPr>
          <w:rFonts w:cs="Times New Roman"/>
          <w:color w:val="000000" w:themeColor="text1"/>
          <w:szCs w:val="24"/>
        </w:rPr>
        <w:instrText xml:space="preserve"> PAGEREF Constraints \h </w:instrText>
      </w:r>
      <w:r w:rsidR="00FC7D87" w:rsidRPr="00EC0229">
        <w:rPr>
          <w:rFonts w:cs="Times New Roman"/>
          <w:color w:val="000000" w:themeColor="text1"/>
          <w:szCs w:val="24"/>
        </w:rPr>
      </w:r>
      <w:r w:rsidR="00FC7D87" w:rsidRPr="00EC0229">
        <w:rPr>
          <w:rFonts w:cs="Times New Roman"/>
          <w:color w:val="000000" w:themeColor="text1"/>
          <w:szCs w:val="24"/>
        </w:rPr>
        <w:fldChar w:fldCharType="separate"/>
      </w:r>
      <w:r w:rsidR="0012026B">
        <w:rPr>
          <w:rFonts w:cs="Times New Roman"/>
          <w:noProof/>
          <w:color w:val="000000" w:themeColor="text1"/>
          <w:szCs w:val="24"/>
        </w:rPr>
        <w:t>82</w:t>
      </w:r>
      <w:r w:rsidR="00FC7D87" w:rsidRPr="00EC0229">
        <w:rPr>
          <w:rFonts w:cs="Times New Roman"/>
          <w:color w:val="000000" w:themeColor="text1"/>
          <w:szCs w:val="24"/>
        </w:rPr>
        <w:fldChar w:fldCharType="end"/>
      </w:r>
      <w:r w:rsidR="00FC7D87" w:rsidRPr="00EC0229">
        <w:rPr>
          <w:rFonts w:cs="Times New Roman"/>
          <w:color w:val="000000" w:themeColor="text1"/>
          <w:szCs w:val="24"/>
        </w:rPr>
        <w:t xml:space="preserve">) </w:t>
      </w:r>
      <w:r w:rsidRPr="00EC0229">
        <w:rPr>
          <w:rFonts w:cs="Times New Roman"/>
          <w:color w:val="000000" w:themeColor="text1"/>
          <w:szCs w:val="24"/>
        </w:rPr>
        <w:t>be borne in mind in assessing these finds and whether they are representative,</w:t>
      </w:r>
      <w:r w:rsidRPr="00EC0229">
        <w:rPr>
          <w:rStyle w:val="FootnoteReference"/>
          <w:rFonts w:cs="Times New Roman"/>
          <w:color w:val="000000" w:themeColor="text1"/>
          <w:szCs w:val="24"/>
        </w:rPr>
        <w:t xml:space="preserve"> </w:t>
      </w:r>
      <w:r w:rsidRPr="00EC0229">
        <w:rPr>
          <w:rStyle w:val="FootnoteReference"/>
          <w:rFonts w:cs="Times New Roman"/>
          <w:color w:val="000000" w:themeColor="text1"/>
          <w:szCs w:val="24"/>
        </w:rPr>
        <w:footnoteReference w:id="739"/>
      </w:r>
      <w:r w:rsidRPr="00EC0229">
        <w:rPr>
          <w:rFonts w:cs="Times New Roman"/>
          <w:color w:val="000000" w:themeColor="text1"/>
          <w:szCs w:val="24"/>
        </w:rPr>
        <w:t xml:space="preserve">  but also </w:t>
      </w:r>
      <w:r w:rsidR="00C317A1" w:rsidRPr="00EC0229">
        <w:rPr>
          <w:rFonts w:cs="Times New Roman"/>
          <w:color w:val="000000" w:themeColor="text1"/>
          <w:szCs w:val="24"/>
        </w:rPr>
        <w:t xml:space="preserve">one must be wary of </w:t>
      </w:r>
      <w:r w:rsidRPr="00EC0229">
        <w:rPr>
          <w:rFonts w:cs="Times New Roman"/>
          <w:color w:val="000000" w:themeColor="text1"/>
          <w:szCs w:val="24"/>
        </w:rPr>
        <w:t>the conflation of diss</w:t>
      </w:r>
      <w:r w:rsidR="00C317A1" w:rsidRPr="00EC0229">
        <w:rPr>
          <w:rFonts w:cs="Times New Roman"/>
          <w:color w:val="000000" w:themeColor="text1"/>
          <w:szCs w:val="24"/>
        </w:rPr>
        <w:t>imilar artefacts</w:t>
      </w:r>
      <w:r w:rsidRPr="00EC0229">
        <w:rPr>
          <w:rFonts w:cs="Times New Roman"/>
          <w:color w:val="000000" w:themeColor="text1"/>
          <w:szCs w:val="24"/>
        </w:rPr>
        <w:t>, both qualitatively and quantitatively. Moreover, significant caveats circumscribe the use of PAS</w:t>
      </w:r>
      <w:r w:rsidR="008960AE" w:rsidRPr="00EC0229">
        <w:rPr>
          <w:rFonts w:cs="Times New Roman"/>
          <w:color w:val="000000" w:themeColor="text1"/>
          <w:szCs w:val="24"/>
        </w:rPr>
        <w:fldChar w:fldCharType="begin"/>
      </w:r>
      <w:r w:rsidR="008960AE" w:rsidRPr="00EC0229">
        <w:instrText xml:space="preserve"> XE "PAS" </w:instrText>
      </w:r>
      <w:r w:rsidR="008960AE" w:rsidRPr="00EC0229">
        <w:rPr>
          <w:rFonts w:cs="Times New Roman"/>
          <w:color w:val="000000" w:themeColor="text1"/>
          <w:szCs w:val="24"/>
        </w:rPr>
        <w:fldChar w:fldCharType="end"/>
      </w:r>
      <w:r w:rsidRPr="00EC0229">
        <w:rPr>
          <w:rFonts w:cs="Times New Roman"/>
          <w:color w:val="000000" w:themeColor="text1"/>
          <w:szCs w:val="24"/>
        </w:rPr>
        <w:t xml:space="preserve"> data, even when cleansed. Only</w:t>
      </w:r>
      <w:r w:rsidR="00497AC3" w:rsidRPr="00EC0229">
        <w:rPr>
          <w:rFonts w:cs="Times New Roman"/>
          <w:color w:val="000000" w:themeColor="text1"/>
          <w:szCs w:val="24"/>
        </w:rPr>
        <w:t xml:space="preserve"> 1.8% of the numismatic </w:t>
      </w:r>
      <w:r w:rsidR="006C2237" w:rsidRPr="00EC0229">
        <w:rPr>
          <w:rFonts w:cs="Times New Roman"/>
          <w:color w:val="000000" w:themeColor="text1"/>
          <w:szCs w:val="24"/>
        </w:rPr>
        <w:t>database</w:t>
      </w:r>
      <w:r w:rsidRPr="00EC0229">
        <w:rPr>
          <w:rFonts w:cs="Times New Roman"/>
          <w:color w:val="000000" w:themeColor="text1"/>
          <w:szCs w:val="24"/>
        </w:rPr>
        <w:t xml:space="preserve"> was sourced from PAS, with all its vagaries, whereas the majo</w:t>
      </w:r>
      <w:r w:rsidR="00497AC3" w:rsidRPr="00EC0229">
        <w:rPr>
          <w:rFonts w:cs="Times New Roman"/>
          <w:color w:val="000000" w:themeColor="text1"/>
          <w:szCs w:val="24"/>
        </w:rPr>
        <w:t>rity of the artefactual dataset</w:t>
      </w:r>
      <w:r w:rsidRPr="00EC0229">
        <w:rPr>
          <w:rFonts w:cs="Times New Roman"/>
          <w:color w:val="000000" w:themeColor="text1"/>
          <w:szCs w:val="24"/>
        </w:rPr>
        <w:t xml:space="preserve"> is sourced here,</w:t>
      </w:r>
      <w:r w:rsidRPr="00EC0229">
        <w:rPr>
          <w:rStyle w:val="FootnoteReference"/>
          <w:rFonts w:cs="Times New Roman"/>
          <w:color w:val="000000" w:themeColor="text1"/>
          <w:szCs w:val="24"/>
        </w:rPr>
        <w:footnoteReference w:id="740"/>
      </w:r>
      <w:r w:rsidRPr="00EC0229">
        <w:rPr>
          <w:rFonts w:cs="Times New Roman"/>
          <w:color w:val="000000" w:themeColor="text1"/>
          <w:szCs w:val="24"/>
        </w:rPr>
        <w:t xml:space="preserve"> therefore, far greater caution must be exercised. For example, ninety-five of the objects extracted at Rudston</w:t>
      </w:r>
      <w:r w:rsidR="006B1593" w:rsidRPr="00EC0229">
        <w:rPr>
          <w:rFonts w:cs="Times New Roman"/>
          <w:color w:val="000000" w:themeColor="text1"/>
          <w:szCs w:val="24"/>
        </w:rPr>
        <w:fldChar w:fldCharType="begin"/>
      </w:r>
      <w:r w:rsidR="006B1593" w:rsidRPr="00EC0229">
        <w:instrText xml:space="preserve"> XE "</w:instrText>
      </w:r>
      <w:r w:rsidR="006B1593" w:rsidRPr="00EC0229">
        <w:rPr>
          <w:rStyle w:val="Hyperlink"/>
          <w:noProof/>
          <w:u w:val="none"/>
        </w:rPr>
        <w:instrText>Rudston</w:instrText>
      </w:r>
      <w:r w:rsidR="006B1593" w:rsidRPr="00EC0229">
        <w:instrText xml:space="preserve">" </w:instrText>
      </w:r>
      <w:r w:rsidR="006B1593"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i/>
          <w:color w:val="000000" w:themeColor="text1"/>
          <w:szCs w:val="24"/>
        </w:rPr>
        <w:t>c.</w:t>
      </w:r>
      <w:r w:rsidRPr="00EC0229">
        <w:rPr>
          <w:rFonts w:cs="Times New Roman"/>
          <w:color w:val="000000" w:themeColor="text1"/>
          <w:szCs w:val="24"/>
        </w:rPr>
        <w:t>9% of the PAS, East Yorkshire dataset), are tiny fragments of burnt copper alloy and lead from just six cremations,</w:t>
      </w:r>
      <w:r w:rsidRPr="00EC0229">
        <w:rPr>
          <w:rStyle w:val="FootnoteReference"/>
          <w:rFonts w:cs="Times New Roman"/>
          <w:color w:val="000000" w:themeColor="text1"/>
          <w:szCs w:val="24"/>
        </w:rPr>
        <w:footnoteReference w:id="741"/>
      </w:r>
      <w:r w:rsidRPr="00EC0229">
        <w:rPr>
          <w:rFonts w:cs="Times New Roman"/>
          <w:color w:val="000000" w:themeColor="text1"/>
          <w:szCs w:val="24"/>
        </w:rPr>
        <w:t xml:space="preserve"> and eighty-eight beads from Newby (</w:t>
      </w:r>
      <w:r w:rsidRPr="00EC0229">
        <w:rPr>
          <w:rFonts w:cs="Times New Roman"/>
          <w:i/>
          <w:color w:val="000000" w:themeColor="text1"/>
          <w:szCs w:val="24"/>
        </w:rPr>
        <w:t>c.</w:t>
      </w:r>
      <w:r w:rsidRPr="00EC0229">
        <w:rPr>
          <w:rFonts w:cs="Times New Roman"/>
          <w:color w:val="000000" w:themeColor="text1"/>
          <w:szCs w:val="24"/>
        </w:rPr>
        <w:t xml:space="preserve">25% of the PAS, North Yorkshire dataset), have been consolidated into two necklaces, as conjectured in the finds report. </w:t>
      </w:r>
      <w:r w:rsidR="00BF6095">
        <w:rPr>
          <w:rFonts w:cs="Times New Roman"/>
          <w:color w:val="000000" w:themeColor="text1"/>
          <w:szCs w:val="24"/>
        </w:rPr>
        <w:t>To</w:t>
      </w:r>
      <w:r w:rsidRPr="00EC0229">
        <w:rPr>
          <w:rFonts w:cs="Times New Roman"/>
          <w:color w:val="000000" w:themeColor="text1"/>
          <w:szCs w:val="24"/>
        </w:rPr>
        <w:t xml:space="preserve"> ‘smooth out’ misclassification and avoid dealing with a proliferation of artefact types, often almost identical in nature and use, a higher-level functional categorization has been applied, allocating artefact types to the functional categories shown in </w:t>
      </w:r>
      <w:r w:rsidR="00712EA1">
        <w:rPr>
          <w:rFonts w:cs="Times New Roman"/>
          <w:i/>
          <w:szCs w:val="24"/>
        </w:rPr>
        <w:lastRenderedPageBreak/>
        <w:t>Dataset</w:t>
      </w:r>
      <w:r w:rsidR="00584C42" w:rsidRPr="00EC0229">
        <w:rPr>
          <w:rFonts w:cs="Times New Roman"/>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cs="Times New Roman"/>
          <w:i/>
          <w:szCs w:val="24"/>
        </w:rPr>
        <w:fldChar w:fldCharType="end"/>
      </w:r>
      <w:r w:rsidRPr="00EC0229">
        <w:rPr>
          <w:rFonts w:cs="Times New Roman"/>
          <w:i/>
          <w:szCs w:val="24"/>
        </w:rPr>
        <w:t xml:space="preserve"> </w:t>
      </w:r>
      <w:r w:rsidR="004F4BB5" w:rsidRPr="00EC0229">
        <w:rPr>
          <w:rFonts w:cs="Times New Roman"/>
          <w:i/>
          <w:szCs w:val="24"/>
        </w:rPr>
        <w:t>6.0</w:t>
      </w:r>
      <w:r w:rsidR="000815F7" w:rsidRPr="00EC0229">
        <w:rPr>
          <w:rFonts w:cs="Times New Roman"/>
          <w:i/>
          <w:szCs w:val="24"/>
        </w:rPr>
        <w:t>6</w:t>
      </w:r>
      <w:r w:rsidR="00063AD4">
        <w:rPr>
          <w:rFonts w:cs="Times New Roman"/>
          <w:szCs w:val="24"/>
        </w:rPr>
        <w:t>,</w:t>
      </w:r>
      <w:r w:rsidR="00063AD4">
        <w:rPr>
          <w:rStyle w:val="FootnoteReference"/>
          <w:rFonts w:cs="Times New Roman"/>
          <w:color w:val="000000" w:themeColor="text1"/>
          <w:szCs w:val="24"/>
        </w:rPr>
        <w:footnoteReference w:id="742"/>
      </w:r>
      <w:r w:rsidR="00063AD4">
        <w:rPr>
          <w:rFonts w:cs="Times New Roman"/>
          <w:color w:val="000000" w:themeColor="text1"/>
          <w:szCs w:val="24"/>
        </w:rPr>
        <w:t xml:space="preserve"> as summarized by region in </w:t>
      </w:r>
      <w:r w:rsidR="00063AD4" w:rsidRPr="00585520">
        <w:rPr>
          <w:rFonts w:cs="Times New Roman"/>
          <w:i/>
          <w:color w:val="000000" w:themeColor="text1"/>
          <w:szCs w:val="24"/>
        </w:rPr>
        <w:t>Table 6.07</w:t>
      </w:r>
      <w:r w:rsidR="00063AD4" w:rsidRPr="00EC0229">
        <w:rPr>
          <w:rFonts w:cs="Times New Roman"/>
          <w:color w:val="000000" w:themeColor="text1"/>
          <w:szCs w:val="24"/>
        </w:rPr>
        <w:t>.</w:t>
      </w:r>
      <w:r w:rsidRPr="00EC0229">
        <w:rPr>
          <w:rFonts w:cs="Times New Roman"/>
          <w:color w:val="000000" w:themeColor="text1"/>
          <w:szCs w:val="24"/>
        </w:rPr>
        <w:t xml:space="preserve"> Occasionally, this fails to overcome the problem of an artefact having more than one prospective use. Note that craft </w:t>
      </w:r>
      <w:r w:rsidR="00862F15" w:rsidRPr="00EC0229">
        <w:rPr>
          <w:rFonts w:cs="Times New Roman"/>
          <w:color w:val="000000" w:themeColor="text1"/>
          <w:szCs w:val="24"/>
        </w:rPr>
        <w:t>and</w:t>
      </w:r>
      <w:r w:rsidRPr="00EC0229">
        <w:rPr>
          <w:rFonts w:cs="Times New Roman"/>
          <w:color w:val="000000" w:themeColor="text1"/>
          <w:szCs w:val="24"/>
        </w:rPr>
        <w:t xml:space="preserve"> industrial materials </w:t>
      </w:r>
      <w:r w:rsidR="00862F15" w:rsidRPr="00EC0229">
        <w:rPr>
          <w:rFonts w:cs="Times New Roman"/>
          <w:color w:val="000000" w:themeColor="text1"/>
          <w:szCs w:val="24"/>
        </w:rPr>
        <w:t>and</w:t>
      </w:r>
      <w:r w:rsidRPr="00EC0229">
        <w:rPr>
          <w:rFonts w:cs="Times New Roman"/>
          <w:color w:val="000000" w:themeColor="text1"/>
          <w:szCs w:val="24"/>
        </w:rPr>
        <w:t xml:space="preserve"> artefacts are combined as ‘work-related’ or ‘tools’, but the end-product of those activities may be dress accessories</w:t>
      </w:r>
      <w:r w:rsidR="008960AE" w:rsidRPr="00EC0229">
        <w:rPr>
          <w:rFonts w:cs="Times New Roman"/>
          <w:color w:val="000000" w:themeColor="text1"/>
          <w:szCs w:val="24"/>
        </w:rPr>
        <w:fldChar w:fldCharType="begin"/>
      </w:r>
      <w:r w:rsidR="008960AE" w:rsidRPr="00EC0229">
        <w:instrText xml:space="preserve"> XE "dress accessories" </w:instrText>
      </w:r>
      <w:r w:rsidR="008960AE" w:rsidRPr="00EC0229">
        <w:rPr>
          <w:rFonts w:cs="Times New Roman"/>
          <w:color w:val="000000" w:themeColor="text1"/>
          <w:szCs w:val="24"/>
        </w:rPr>
        <w:fldChar w:fldCharType="end"/>
      </w:r>
      <w:r w:rsidRPr="00EC0229">
        <w:rPr>
          <w:rFonts w:cs="Times New Roman"/>
          <w:color w:val="000000" w:themeColor="text1"/>
          <w:szCs w:val="24"/>
        </w:rPr>
        <w:t>, toilet implements etc. There are countless alternative classifications – the more populous classes could be subdivided and the least popular consolidated. There are only second best solutions.</w:t>
      </w:r>
      <w:r w:rsidR="005117F4" w:rsidRPr="00EC0229">
        <w:rPr>
          <w:rStyle w:val="FootnoteReference"/>
          <w:rFonts w:cs="Times New Roman"/>
          <w:color w:val="000000" w:themeColor="text1"/>
          <w:szCs w:val="24"/>
        </w:rPr>
        <w:footnoteReference w:id="743"/>
      </w:r>
    </w:p>
    <w:p w14:paraId="0648B57D" w14:textId="598C2699" w:rsidR="00DF7B77" w:rsidRDefault="00DF7B77" w:rsidP="003A541F">
      <w:pPr>
        <w:spacing w:line="360" w:lineRule="auto"/>
      </w:pPr>
    </w:p>
    <w:p w14:paraId="70B1B078" w14:textId="540C54D3" w:rsidR="00DF7B77" w:rsidRPr="00063AD4" w:rsidRDefault="00DF7B77" w:rsidP="003A541F">
      <w:pPr>
        <w:spacing w:line="360" w:lineRule="auto"/>
        <w:rPr>
          <w:szCs w:val="24"/>
        </w:rPr>
      </w:pPr>
      <w:r w:rsidRPr="001F7EE1">
        <w:rPr>
          <w:i/>
          <w:szCs w:val="24"/>
        </w:rPr>
        <w:fldChar w:fldCharType="begin"/>
      </w:r>
      <w:r w:rsidRPr="001F7EE1">
        <w:rPr>
          <w:i/>
          <w:szCs w:val="24"/>
        </w:rPr>
        <w:instrText xml:space="preserve"> REF _Ref467520104 \h  \* MERGEFORMAT </w:instrText>
      </w:r>
      <w:r w:rsidRPr="001F7EE1">
        <w:rPr>
          <w:i/>
          <w:szCs w:val="24"/>
        </w:rPr>
      </w:r>
      <w:r w:rsidRPr="001F7EE1">
        <w:rPr>
          <w:i/>
          <w:szCs w:val="24"/>
        </w:rPr>
        <w:fldChar w:fldCharType="separate"/>
      </w:r>
      <w:r w:rsidR="0012026B" w:rsidRPr="0012026B">
        <w:rPr>
          <w:i/>
          <w:szCs w:val="24"/>
        </w:rPr>
        <w:t xml:space="preserve">Figure </w:t>
      </w:r>
      <w:r w:rsidR="0012026B" w:rsidRPr="0012026B">
        <w:rPr>
          <w:i/>
          <w:noProof/>
          <w:szCs w:val="24"/>
        </w:rPr>
        <w:t>61</w:t>
      </w:r>
      <w:r w:rsidRPr="001F7EE1">
        <w:rPr>
          <w:i/>
          <w:szCs w:val="24"/>
        </w:rPr>
        <w:fldChar w:fldCharType="end"/>
      </w:r>
      <w:r>
        <w:rPr>
          <w:szCs w:val="24"/>
        </w:rPr>
        <w:t xml:space="preserve"> gives the origins of the data included in the datasets.</w:t>
      </w:r>
      <w:r w:rsidR="001F7EE1">
        <w:rPr>
          <w:szCs w:val="24"/>
        </w:rPr>
        <w:t xml:space="preserve"> Of these, </w:t>
      </w:r>
      <w:r w:rsidR="001F7EE1" w:rsidRPr="001F7EE1">
        <w:rPr>
          <w:i/>
          <w:szCs w:val="24"/>
        </w:rPr>
        <w:t>Dataset 6.06</w:t>
      </w:r>
      <w:r w:rsidR="001F7EE1">
        <w:rPr>
          <w:szCs w:val="24"/>
        </w:rPr>
        <w:t xml:space="preserve"> is the most productive source for analysis </w:t>
      </w:r>
      <w:r w:rsidR="00063AD4">
        <w:rPr>
          <w:szCs w:val="24"/>
        </w:rPr>
        <w:t xml:space="preserve">generating </w:t>
      </w:r>
      <w:r w:rsidR="001F7EE1">
        <w:rPr>
          <w:szCs w:val="24"/>
        </w:rPr>
        <w:t xml:space="preserve">all the tables shown in </w:t>
      </w:r>
      <w:r w:rsidR="001F7EE1" w:rsidRPr="001F7EE1">
        <w:rPr>
          <w:i/>
          <w:szCs w:val="24"/>
        </w:rPr>
        <w:t>Table 7.10.</w:t>
      </w:r>
    </w:p>
    <w:p w14:paraId="6BFFAAB1" w14:textId="1FDD9C73" w:rsidR="000C6AE4" w:rsidRPr="000C6AE4" w:rsidRDefault="00DE001E" w:rsidP="00DE001E">
      <w:pPr>
        <w:ind w:left="-426" w:firstLine="426"/>
      </w:pPr>
      <w:r>
        <w:rPr>
          <w:noProof/>
          <w:lang w:eastAsia="en-GB"/>
        </w:rPr>
        <w:drawing>
          <wp:inline distT="0" distB="0" distL="0" distR="0" wp14:anchorId="13C7BC99" wp14:editId="06DF8826">
            <wp:extent cx="5731510" cy="282003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ta Sources.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731510" cy="2820035"/>
                    </a:xfrm>
                    <a:prstGeom prst="rect">
                      <a:avLst/>
                    </a:prstGeom>
                  </pic:spPr>
                </pic:pic>
              </a:graphicData>
            </a:graphic>
          </wp:inline>
        </w:drawing>
      </w:r>
    </w:p>
    <w:p w14:paraId="02211CD8" w14:textId="60DB5353" w:rsidR="00DF7B77" w:rsidRPr="00DF7B77" w:rsidRDefault="00DF7B77" w:rsidP="00DF7B77">
      <w:pPr>
        <w:pStyle w:val="Caption"/>
        <w:jc w:val="center"/>
        <w:rPr>
          <w:sz w:val="20"/>
          <w:szCs w:val="20"/>
        </w:rPr>
      </w:pPr>
      <w:bookmarkStart w:id="474" w:name="_Ref467520104"/>
      <w:bookmarkStart w:id="475" w:name="_Toc468267033"/>
      <w:r w:rsidRPr="00DF7B77">
        <w:rPr>
          <w:sz w:val="20"/>
          <w:szCs w:val="20"/>
        </w:rPr>
        <w:t xml:space="preserve">Figure </w:t>
      </w:r>
      <w:r w:rsidRPr="00DF7B77">
        <w:rPr>
          <w:sz w:val="20"/>
          <w:szCs w:val="20"/>
        </w:rPr>
        <w:fldChar w:fldCharType="begin"/>
      </w:r>
      <w:r w:rsidRPr="00DF7B77">
        <w:rPr>
          <w:sz w:val="20"/>
          <w:szCs w:val="20"/>
        </w:rPr>
        <w:instrText xml:space="preserve"> SEQ Figure \* ARABIC </w:instrText>
      </w:r>
      <w:r w:rsidRPr="00DF7B77">
        <w:rPr>
          <w:sz w:val="20"/>
          <w:szCs w:val="20"/>
        </w:rPr>
        <w:fldChar w:fldCharType="separate"/>
      </w:r>
      <w:r w:rsidR="0012026B">
        <w:rPr>
          <w:sz w:val="20"/>
          <w:szCs w:val="20"/>
        </w:rPr>
        <w:t>61</w:t>
      </w:r>
      <w:r w:rsidRPr="00DF7B77">
        <w:rPr>
          <w:sz w:val="20"/>
          <w:szCs w:val="20"/>
        </w:rPr>
        <w:fldChar w:fldCharType="end"/>
      </w:r>
      <w:bookmarkEnd w:id="474"/>
      <w:r w:rsidRPr="00DF7B77">
        <w:rPr>
          <w:sz w:val="20"/>
          <w:szCs w:val="20"/>
        </w:rPr>
        <w:t>: Data Sources – Datasets</w:t>
      </w:r>
      <w:bookmarkEnd w:id="475"/>
    </w:p>
    <w:p w14:paraId="1E693049" w14:textId="77777777" w:rsidR="00DF7B77" w:rsidRPr="00DF7B77" w:rsidRDefault="00DF7B77" w:rsidP="00DF7B77"/>
    <w:p w14:paraId="21BD89F2" w14:textId="2E3E81F4" w:rsidR="00610521" w:rsidRPr="00EC0229" w:rsidRDefault="00610521" w:rsidP="007600EA">
      <w:pPr>
        <w:pStyle w:val="NoSpacing"/>
        <w:spacing w:line="360" w:lineRule="auto"/>
        <w:rPr>
          <w:rFonts w:cs="Times New Roman"/>
          <w:color w:val="000000" w:themeColor="text1"/>
          <w:szCs w:val="24"/>
        </w:rPr>
      </w:pPr>
      <w:r w:rsidRPr="00EC0229">
        <w:rPr>
          <w:rFonts w:cs="Times New Roman"/>
          <w:color w:val="000000" w:themeColor="text1"/>
          <w:szCs w:val="24"/>
        </w:rPr>
        <w:t>To further mitigate the deficiencies of PAS</w:t>
      </w:r>
      <w:r w:rsidR="008960AE" w:rsidRPr="00EC0229">
        <w:rPr>
          <w:rFonts w:cs="Times New Roman"/>
          <w:color w:val="000000" w:themeColor="text1"/>
          <w:szCs w:val="24"/>
        </w:rPr>
        <w:fldChar w:fldCharType="begin"/>
      </w:r>
      <w:r w:rsidR="008960AE" w:rsidRPr="00EC0229">
        <w:instrText xml:space="preserve"> XE "PAS" </w:instrText>
      </w:r>
      <w:r w:rsidR="008960AE" w:rsidRPr="00EC0229">
        <w:rPr>
          <w:rFonts w:cs="Times New Roman"/>
          <w:color w:val="000000" w:themeColor="text1"/>
          <w:szCs w:val="24"/>
        </w:rPr>
        <w:fldChar w:fldCharType="end"/>
      </w:r>
      <w:r w:rsidRPr="00EC0229">
        <w:rPr>
          <w:rFonts w:cs="Times New Roman"/>
          <w:color w:val="000000" w:themeColor="text1"/>
          <w:szCs w:val="24"/>
        </w:rPr>
        <w:t xml:space="preserve">, a comparison has been made with the dataset embedded in </w:t>
      </w:r>
      <w:r w:rsidRPr="00EC0229">
        <w:rPr>
          <w:rFonts w:cs="Times New Roman"/>
          <w:i/>
          <w:color w:val="000000" w:themeColor="text1"/>
          <w:szCs w:val="24"/>
        </w:rPr>
        <w:t>VASLE</w:t>
      </w:r>
      <w:r w:rsidR="008960AE" w:rsidRPr="00EC0229">
        <w:rPr>
          <w:rFonts w:cs="Times New Roman"/>
          <w:color w:val="000000" w:themeColor="text1"/>
          <w:szCs w:val="24"/>
        </w:rPr>
        <w:fldChar w:fldCharType="begin"/>
      </w:r>
      <w:r w:rsidR="008960AE" w:rsidRPr="00EC0229">
        <w:instrText xml:space="preserve"> XE "VASLE" </w:instrText>
      </w:r>
      <w:r w:rsidR="008960AE" w:rsidRPr="00EC0229">
        <w:rPr>
          <w:rFonts w:cs="Times New Roman"/>
          <w:color w:val="000000" w:themeColor="text1"/>
          <w:szCs w:val="24"/>
        </w:rPr>
        <w:fldChar w:fldCharType="end"/>
      </w:r>
      <w:r w:rsidRPr="00EC0229">
        <w:rPr>
          <w:rFonts w:cs="Times New Roman"/>
          <w:color w:val="000000" w:themeColor="text1"/>
          <w:szCs w:val="24"/>
        </w:rPr>
        <w:t xml:space="preserve">. This was cleansed by </w:t>
      </w:r>
      <w:r w:rsidR="0030224D" w:rsidRPr="00EC0229">
        <w:rPr>
          <w:rFonts w:cs="Times New Roman"/>
          <w:color w:val="000000" w:themeColor="text1"/>
          <w:szCs w:val="24"/>
        </w:rPr>
        <w:t>Naylor</w:t>
      </w:r>
      <w:r w:rsidR="008960AE" w:rsidRPr="00EC0229">
        <w:rPr>
          <w:rFonts w:cs="Times New Roman"/>
          <w:color w:val="000000" w:themeColor="text1"/>
          <w:szCs w:val="24"/>
        </w:rPr>
        <w:fldChar w:fldCharType="begin"/>
      </w:r>
      <w:r w:rsidR="008960AE" w:rsidRPr="00EC0229">
        <w:instrText xml:space="preserve"> XE "</w:instrText>
      </w:r>
      <w:r w:rsidR="008960AE" w:rsidRPr="00EC0229">
        <w:rPr>
          <w:rFonts w:cs="Times New Roman"/>
          <w:szCs w:val="24"/>
        </w:rPr>
        <w:instrText>Naylor</w:instrText>
      </w:r>
      <w:r w:rsidR="008960AE" w:rsidRPr="00EC0229">
        <w:instrText xml:space="preserve">" </w:instrText>
      </w:r>
      <w:r w:rsidR="008960AE" w:rsidRPr="00EC0229">
        <w:rPr>
          <w:rFonts w:cs="Times New Roman"/>
          <w:color w:val="000000" w:themeColor="text1"/>
          <w:szCs w:val="24"/>
        </w:rPr>
        <w:fldChar w:fldCharType="end"/>
      </w:r>
      <w:r w:rsidRPr="00EC0229">
        <w:rPr>
          <w:rFonts w:cs="Times New Roman"/>
          <w:color w:val="000000" w:themeColor="text1"/>
          <w:szCs w:val="24"/>
        </w:rPr>
        <w:t>, 2005-7,</w:t>
      </w:r>
      <w:r w:rsidRPr="00EC0229">
        <w:rPr>
          <w:rStyle w:val="FootnoteReference"/>
          <w:rFonts w:cs="Times New Roman"/>
          <w:color w:val="000000" w:themeColor="text1"/>
          <w:szCs w:val="24"/>
        </w:rPr>
        <w:t xml:space="preserve"> </w:t>
      </w:r>
      <w:r w:rsidRPr="00EC0229">
        <w:rPr>
          <w:rStyle w:val="FootnoteReference"/>
          <w:rFonts w:cs="Times New Roman"/>
          <w:color w:val="000000" w:themeColor="text1"/>
          <w:szCs w:val="24"/>
        </w:rPr>
        <w:footnoteReference w:id="744"/>
      </w:r>
      <w:r w:rsidR="00DC54B0" w:rsidRPr="00EC0229">
        <w:rPr>
          <w:rFonts w:cs="Times New Roman"/>
          <w:color w:val="000000" w:themeColor="text1"/>
          <w:szCs w:val="24"/>
        </w:rPr>
        <w:t xml:space="preserve">  but had</w:t>
      </w:r>
      <w:r w:rsidRPr="00EC0229">
        <w:rPr>
          <w:rFonts w:cs="Times New Roman"/>
          <w:color w:val="000000" w:themeColor="text1"/>
          <w:szCs w:val="24"/>
        </w:rPr>
        <w:t xml:space="preserve"> not b</w:t>
      </w:r>
      <w:r w:rsidR="007471AB" w:rsidRPr="00EC0229">
        <w:rPr>
          <w:rFonts w:cs="Times New Roman"/>
          <w:color w:val="000000" w:themeColor="text1"/>
          <w:szCs w:val="24"/>
        </w:rPr>
        <w:t>een updated since April 2009. It</w:t>
      </w:r>
      <w:r w:rsidRPr="00EC0229">
        <w:rPr>
          <w:rFonts w:cs="Times New Roman"/>
          <w:color w:val="000000" w:themeColor="text1"/>
          <w:szCs w:val="24"/>
        </w:rPr>
        <w:t xml:space="preserve"> groups </w:t>
      </w:r>
      <w:r w:rsidR="00BF6095">
        <w:rPr>
          <w:rFonts w:cs="Times New Roman"/>
          <w:color w:val="000000" w:themeColor="text1"/>
          <w:szCs w:val="24"/>
        </w:rPr>
        <w:t>several</w:t>
      </w:r>
      <w:r w:rsidRPr="00EC0229">
        <w:rPr>
          <w:rFonts w:cs="Times New Roman"/>
          <w:color w:val="000000" w:themeColor="text1"/>
          <w:szCs w:val="24"/>
        </w:rPr>
        <w:t xml:space="preserve"> artefacts in the ‘other’ category. </w:t>
      </w:r>
      <w:r w:rsidR="00E93554" w:rsidRPr="00EC0229">
        <w:rPr>
          <w:rFonts w:cs="Times New Roman"/>
          <w:i/>
          <w:color w:val="000000" w:themeColor="text1"/>
          <w:szCs w:val="24"/>
        </w:rPr>
        <w:t>VASLE</w:t>
      </w:r>
      <w:r w:rsidR="00E93554" w:rsidRPr="00EC0229">
        <w:rPr>
          <w:rFonts w:cs="Times New Roman"/>
          <w:color w:val="000000" w:themeColor="text1"/>
          <w:szCs w:val="24"/>
        </w:rPr>
        <w:t xml:space="preserve"> </w:t>
      </w:r>
      <w:r w:rsidRPr="00EC0229">
        <w:rPr>
          <w:rFonts w:cs="Times New Roman"/>
          <w:color w:val="000000" w:themeColor="text1"/>
          <w:szCs w:val="24"/>
        </w:rPr>
        <w:t xml:space="preserve">also mined data from excavation reports on some formally investigated sites. </w:t>
      </w:r>
      <w:r w:rsidR="00771906">
        <w:rPr>
          <w:rFonts w:cs="Times New Roman"/>
          <w:i/>
          <w:szCs w:val="24"/>
        </w:rPr>
        <w:t>Database</w:t>
      </w:r>
      <w:r w:rsidR="00584C42" w:rsidRPr="00EC0229">
        <w:rPr>
          <w:rFonts w:cs="Times New Roman"/>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cs="Times New Roman"/>
          <w:i/>
          <w:szCs w:val="24"/>
        </w:rPr>
        <w:fldChar w:fldCharType="end"/>
      </w:r>
      <w:r w:rsidRPr="00EC0229">
        <w:rPr>
          <w:rFonts w:cs="Times New Roman"/>
          <w:i/>
          <w:szCs w:val="24"/>
        </w:rPr>
        <w:t xml:space="preserve"> </w:t>
      </w:r>
      <w:r w:rsidR="00771906">
        <w:rPr>
          <w:rFonts w:cs="Times New Roman"/>
          <w:i/>
          <w:szCs w:val="24"/>
        </w:rPr>
        <w:t xml:space="preserve">2 </w:t>
      </w:r>
      <w:r w:rsidRPr="00EC0229">
        <w:rPr>
          <w:rFonts w:cs="Times New Roman"/>
          <w:color w:val="000000" w:themeColor="text1"/>
          <w:szCs w:val="24"/>
        </w:rPr>
        <w:t>gives a matrix of sites and functional categories with a redistribution of ‘other’ items</w:t>
      </w:r>
      <w:r w:rsidR="00771906">
        <w:rPr>
          <w:rStyle w:val="FootnoteReference"/>
          <w:rFonts w:cs="Times New Roman"/>
          <w:color w:val="000000" w:themeColor="text1"/>
          <w:szCs w:val="24"/>
        </w:rPr>
        <w:footnoteReference w:id="745"/>
      </w:r>
      <w:r w:rsidRPr="00EC0229">
        <w:rPr>
          <w:rFonts w:cs="Times New Roman"/>
          <w:color w:val="000000" w:themeColor="text1"/>
          <w:szCs w:val="24"/>
        </w:rPr>
        <w:t xml:space="preserve"> and additional sources listed. There are nineteen northern sites in </w:t>
      </w:r>
      <w:r w:rsidR="00E93554" w:rsidRPr="00EC0229">
        <w:rPr>
          <w:rFonts w:cs="Times New Roman"/>
          <w:i/>
          <w:color w:val="000000" w:themeColor="text1"/>
          <w:szCs w:val="24"/>
        </w:rPr>
        <w:t>VASLE</w:t>
      </w:r>
      <w:r w:rsidR="00E93554" w:rsidRPr="00EC0229">
        <w:rPr>
          <w:rFonts w:cs="Times New Roman"/>
          <w:color w:val="000000" w:themeColor="text1"/>
          <w:szCs w:val="24"/>
        </w:rPr>
        <w:t xml:space="preserve"> </w:t>
      </w:r>
      <w:r w:rsidRPr="00EC0229">
        <w:rPr>
          <w:rFonts w:cs="Times New Roman"/>
          <w:color w:val="000000" w:themeColor="text1"/>
          <w:szCs w:val="24"/>
        </w:rPr>
        <w:t xml:space="preserve">included in this study. For these sites, </w:t>
      </w:r>
      <w:r w:rsidRPr="00EC0229">
        <w:rPr>
          <w:rFonts w:cs="Times New Roman"/>
          <w:i/>
          <w:color w:val="000000" w:themeColor="text1"/>
          <w:szCs w:val="24"/>
        </w:rPr>
        <w:t>VASLE</w:t>
      </w:r>
      <w:r w:rsidRPr="00EC0229">
        <w:rPr>
          <w:rFonts w:cs="Times New Roman"/>
          <w:color w:val="000000" w:themeColor="text1"/>
          <w:szCs w:val="24"/>
        </w:rPr>
        <w:t xml:space="preserve"> data has here been adopted and adapted by augmenting that data with PAS finds up to the end of </w:t>
      </w:r>
      <w:r w:rsidRPr="00EC0229">
        <w:rPr>
          <w:rFonts w:cs="Times New Roman"/>
          <w:color w:val="000000" w:themeColor="text1"/>
          <w:szCs w:val="24"/>
        </w:rPr>
        <w:lastRenderedPageBreak/>
        <w:t>April 2015.</w:t>
      </w:r>
      <w:r w:rsidRPr="00EC0229">
        <w:rPr>
          <w:rStyle w:val="FootnoteReference"/>
          <w:rFonts w:cs="Times New Roman"/>
          <w:color w:val="000000" w:themeColor="text1"/>
          <w:szCs w:val="24"/>
        </w:rPr>
        <w:footnoteReference w:id="746"/>
      </w:r>
      <w:r w:rsidRPr="00EC0229">
        <w:rPr>
          <w:rFonts w:cs="Times New Roman"/>
          <w:color w:val="000000" w:themeColor="text1"/>
          <w:szCs w:val="24"/>
        </w:rPr>
        <w:t xml:space="preserve"> Other than the foregoing, this data has not been cleansed and it will be taken, </w:t>
      </w:r>
      <w:r w:rsidR="007471AB" w:rsidRPr="00EC0229">
        <w:rPr>
          <w:rFonts w:cs="Times New Roman"/>
          <w:color w:val="000000" w:themeColor="text1"/>
          <w:szCs w:val="24"/>
        </w:rPr>
        <w:t>in this study</w:t>
      </w:r>
      <w:r w:rsidRPr="00EC0229">
        <w:rPr>
          <w:rFonts w:cs="Times New Roman"/>
          <w:color w:val="000000" w:themeColor="text1"/>
          <w:szCs w:val="24"/>
        </w:rPr>
        <w:t xml:space="preserve">, very largely, at face value. </w:t>
      </w:r>
    </w:p>
    <w:p w14:paraId="7F61CF0B" w14:textId="77777777" w:rsidR="00610521" w:rsidRPr="00EC0229" w:rsidRDefault="00610521" w:rsidP="007600EA">
      <w:pPr>
        <w:pStyle w:val="NoSpacing"/>
        <w:spacing w:line="360" w:lineRule="auto"/>
        <w:rPr>
          <w:rFonts w:cs="Times New Roman"/>
          <w:color w:val="000000" w:themeColor="text1"/>
          <w:szCs w:val="24"/>
        </w:rPr>
      </w:pPr>
    </w:p>
    <w:p w14:paraId="6650D9CC" w14:textId="647423A9" w:rsidR="00610521" w:rsidRPr="00EC0229" w:rsidRDefault="00610521" w:rsidP="007600EA">
      <w:pPr>
        <w:pStyle w:val="NoSpacing"/>
        <w:spacing w:line="360" w:lineRule="auto"/>
        <w:rPr>
          <w:rFonts w:cs="Times New Roman"/>
          <w:color w:val="000000" w:themeColor="text1"/>
          <w:szCs w:val="24"/>
        </w:rPr>
      </w:pPr>
      <w:r w:rsidRPr="00EC0229">
        <w:rPr>
          <w:rFonts w:cs="Times New Roman"/>
          <w:color w:val="000000" w:themeColor="text1"/>
          <w:szCs w:val="24"/>
        </w:rPr>
        <w:t xml:space="preserve">A further qualification emanates from difficulties over </w:t>
      </w:r>
      <w:r w:rsidR="006C328D" w:rsidRPr="00EC0229">
        <w:rPr>
          <w:rFonts w:cs="Times New Roman"/>
          <w:color w:val="000000" w:themeColor="text1"/>
          <w:szCs w:val="24"/>
        </w:rPr>
        <w:t>periodiz</w:t>
      </w:r>
      <w:r w:rsidRPr="00EC0229">
        <w:rPr>
          <w:rFonts w:cs="Times New Roman"/>
          <w:color w:val="000000" w:themeColor="text1"/>
          <w:szCs w:val="24"/>
        </w:rPr>
        <w:t>ation in the ‘Anglo-Scandinavian’ and Viking</w:t>
      </w:r>
      <w:r w:rsidR="00F204A1" w:rsidRPr="00EC0229">
        <w:rPr>
          <w:rFonts w:cs="Times New Roman"/>
          <w:color w:val="000000" w:themeColor="text1"/>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rFonts w:cs="Times New Roman"/>
          <w:color w:val="000000" w:themeColor="text1"/>
          <w:szCs w:val="24"/>
        </w:rPr>
        <w:fldChar w:fldCharType="end"/>
      </w:r>
      <w:r w:rsidRPr="00EC0229">
        <w:rPr>
          <w:rFonts w:cs="Times New Roman"/>
          <w:color w:val="000000" w:themeColor="text1"/>
          <w:szCs w:val="24"/>
        </w:rPr>
        <w:t xml:space="preserve"> period. </w:t>
      </w:r>
      <w:r w:rsidR="007975B8" w:rsidRPr="00EC0229">
        <w:rPr>
          <w:rFonts w:cs="Times New Roman"/>
          <w:color w:val="000000" w:themeColor="text1"/>
          <w:szCs w:val="24"/>
        </w:rPr>
        <w:t>F</w:t>
      </w:r>
      <w:r w:rsidRPr="00EC0229">
        <w:rPr>
          <w:rFonts w:cs="Times New Roman"/>
          <w:color w:val="000000" w:themeColor="text1"/>
          <w:szCs w:val="24"/>
        </w:rPr>
        <w:t xml:space="preserve">ifty-one </w:t>
      </w:r>
      <w:r w:rsidR="00844119" w:rsidRPr="00EC0229">
        <w:rPr>
          <w:rFonts w:cs="Times New Roman"/>
          <w:color w:val="000000" w:themeColor="text1"/>
          <w:szCs w:val="24"/>
        </w:rPr>
        <w:t xml:space="preserve">artefacts </w:t>
      </w:r>
      <w:r w:rsidRPr="00EC0229">
        <w:rPr>
          <w:rFonts w:cs="Times New Roman"/>
          <w:color w:val="000000" w:themeColor="text1"/>
          <w:szCs w:val="24"/>
        </w:rPr>
        <w:t xml:space="preserve">of the former </w:t>
      </w:r>
      <w:r w:rsidR="007975B8" w:rsidRPr="00EC0229">
        <w:rPr>
          <w:rFonts w:cs="Times New Roman"/>
          <w:color w:val="000000" w:themeColor="text1"/>
          <w:szCs w:val="24"/>
        </w:rPr>
        <w:t xml:space="preserve">have been retained </w:t>
      </w:r>
      <w:r w:rsidR="008F2C8F">
        <w:rPr>
          <w:rFonts w:cs="Times New Roman"/>
          <w:color w:val="000000" w:themeColor="text1"/>
          <w:szCs w:val="24"/>
        </w:rPr>
        <w:t>as</w:t>
      </w:r>
      <w:r w:rsidRPr="00EC0229">
        <w:rPr>
          <w:rFonts w:cs="Times New Roman"/>
          <w:color w:val="000000" w:themeColor="text1"/>
          <w:szCs w:val="24"/>
        </w:rPr>
        <w:t xml:space="preserve"> they may pre-date the fall of York</w:t>
      </w:r>
      <w:r w:rsidR="006B1593" w:rsidRPr="00EC0229">
        <w:rPr>
          <w:rFonts w:cs="Times New Roman"/>
          <w:color w:val="000000" w:themeColor="text1"/>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color w:val="000000" w:themeColor="text1"/>
          <w:szCs w:val="24"/>
        </w:rPr>
        <w:fldChar w:fldCharType="end"/>
      </w:r>
      <w:r w:rsidRPr="00EC0229">
        <w:rPr>
          <w:rFonts w:cs="Times New Roman"/>
          <w:color w:val="000000" w:themeColor="text1"/>
          <w:szCs w:val="24"/>
        </w:rPr>
        <w:t>, but the latter</w:t>
      </w:r>
      <w:r w:rsidR="007975B8" w:rsidRPr="00EC0229">
        <w:rPr>
          <w:rFonts w:cs="Times New Roman"/>
          <w:color w:val="000000" w:themeColor="text1"/>
          <w:szCs w:val="24"/>
        </w:rPr>
        <w:t xml:space="preserve"> have been eliminated</w:t>
      </w:r>
      <w:r w:rsidRPr="00EC0229">
        <w:rPr>
          <w:rFonts w:cs="Times New Roman"/>
          <w:color w:val="000000" w:themeColor="text1"/>
          <w:szCs w:val="24"/>
        </w:rPr>
        <w:t xml:space="preserve">. </w:t>
      </w:r>
    </w:p>
    <w:p w14:paraId="46C04A3D" w14:textId="77777777" w:rsidR="00610521" w:rsidRPr="00EC0229" w:rsidRDefault="00610521" w:rsidP="007600EA">
      <w:pPr>
        <w:pStyle w:val="NoSpacing"/>
        <w:spacing w:line="360" w:lineRule="auto"/>
        <w:rPr>
          <w:rFonts w:cs="Times New Roman"/>
          <w:color w:val="000000" w:themeColor="text1"/>
          <w:szCs w:val="24"/>
        </w:rPr>
      </w:pPr>
    </w:p>
    <w:p w14:paraId="316C17C0" w14:textId="7CB6839F" w:rsidR="00E639B9" w:rsidRPr="00EC0229" w:rsidRDefault="00610521" w:rsidP="007600EA">
      <w:pPr>
        <w:pStyle w:val="NoSpacing"/>
        <w:spacing w:line="360" w:lineRule="auto"/>
        <w:rPr>
          <w:rFonts w:cs="Times New Roman"/>
          <w:color w:val="000000" w:themeColor="text1"/>
          <w:szCs w:val="24"/>
        </w:rPr>
      </w:pPr>
      <w:r w:rsidRPr="00EC0229">
        <w:rPr>
          <w:rFonts w:cs="Times New Roman"/>
          <w:color w:val="000000" w:themeColor="text1"/>
          <w:szCs w:val="24"/>
        </w:rPr>
        <w:t>A final caveat is that the singly-d</w:t>
      </w:r>
      <w:r w:rsidR="00497AC3" w:rsidRPr="00EC0229">
        <w:rPr>
          <w:rFonts w:cs="Times New Roman"/>
          <w:color w:val="000000" w:themeColor="text1"/>
          <w:szCs w:val="24"/>
        </w:rPr>
        <w:t>etected objects in this dataset</w:t>
      </w:r>
      <w:r w:rsidRPr="00EC0229">
        <w:rPr>
          <w:rFonts w:cs="Times New Roman"/>
          <w:color w:val="000000" w:themeColor="text1"/>
          <w:szCs w:val="24"/>
        </w:rPr>
        <w:t xml:space="preserve"> have been revealed only during the current </w:t>
      </w:r>
      <w:r w:rsidR="00AD2187" w:rsidRPr="00EC0229">
        <w:rPr>
          <w:rFonts w:cs="Times New Roman"/>
          <w:color w:val="000000" w:themeColor="text1"/>
          <w:szCs w:val="24"/>
        </w:rPr>
        <w:t xml:space="preserve">PAS </w:t>
      </w:r>
      <w:r w:rsidRPr="00EC0229">
        <w:rPr>
          <w:rFonts w:cs="Times New Roman"/>
          <w:color w:val="000000" w:themeColor="text1"/>
          <w:szCs w:val="24"/>
        </w:rPr>
        <w:t xml:space="preserve">treasure regime. Objects from earlier formal investigations, such as those captured through </w:t>
      </w:r>
      <w:r w:rsidRPr="00EC0229">
        <w:rPr>
          <w:rFonts w:cs="Times New Roman"/>
          <w:i/>
          <w:color w:val="000000" w:themeColor="text1"/>
          <w:szCs w:val="24"/>
        </w:rPr>
        <w:t>VASLE</w:t>
      </w:r>
      <w:r w:rsidR="008960AE" w:rsidRPr="00EC0229">
        <w:rPr>
          <w:rFonts w:cs="Times New Roman"/>
          <w:color w:val="000000" w:themeColor="text1"/>
          <w:szCs w:val="24"/>
        </w:rPr>
        <w:fldChar w:fldCharType="begin"/>
      </w:r>
      <w:r w:rsidR="008960AE" w:rsidRPr="00EC0229">
        <w:instrText xml:space="preserve"> XE "VASLE" </w:instrText>
      </w:r>
      <w:r w:rsidR="008960AE" w:rsidRPr="00EC0229">
        <w:rPr>
          <w:rFonts w:cs="Times New Roman"/>
          <w:color w:val="000000" w:themeColor="text1"/>
          <w:szCs w:val="24"/>
        </w:rPr>
        <w:fldChar w:fldCharType="end"/>
      </w:r>
      <w:r w:rsidRPr="00EC0229">
        <w:rPr>
          <w:rFonts w:cs="Times New Roman"/>
          <w:color w:val="000000" w:themeColor="text1"/>
          <w:szCs w:val="24"/>
        </w:rPr>
        <w:t xml:space="preserve">, </w:t>
      </w:r>
      <w:r w:rsidR="00844119" w:rsidRPr="00EC0229">
        <w:rPr>
          <w:rFonts w:cs="Times New Roman"/>
          <w:color w:val="000000" w:themeColor="text1"/>
          <w:szCs w:val="24"/>
        </w:rPr>
        <w:t>may be</w:t>
      </w:r>
      <w:r w:rsidRPr="00EC0229">
        <w:rPr>
          <w:rFonts w:cs="Times New Roman"/>
          <w:color w:val="000000" w:themeColor="text1"/>
          <w:szCs w:val="24"/>
        </w:rPr>
        <w:t xml:space="preserve"> discussed in the separate case studies</w:t>
      </w:r>
      <w:r w:rsidR="001D5B5B" w:rsidRPr="00EC0229">
        <w:rPr>
          <w:rFonts w:cs="Times New Roman"/>
          <w:color w:val="000000" w:themeColor="text1"/>
          <w:szCs w:val="24"/>
        </w:rPr>
        <w:fldChar w:fldCharType="begin"/>
      </w:r>
      <w:r w:rsidR="001D5B5B" w:rsidRPr="00EC0229">
        <w:instrText xml:space="preserve"> XE "</w:instrText>
      </w:r>
      <w:r w:rsidR="001D5B5B" w:rsidRPr="00EC0229">
        <w:rPr>
          <w:rStyle w:val="Hyperlink"/>
          <w:rFonts w:cs="Times New Roman"/>
          <w:noProof/>
          <w:u w:val="none"/>
        </w:rPr>
        <w:instrText>case studies</w:instrText>
      </w:r>
      <w:r w:rsidR="001D5B5B" w:rsidRPr="00EC0229">
        <w:instrText xml:space="preserve">" </w:instrText>
      </w:r>
      <w:r w:rsidR="001D5B5B" w:rsidRPr="00EC0229">
        <w:rPr>
          <w:rFonts w:cs="Times New Roman"/>
          <w:color w:val="000000" w:themeColor="text1"/>
          <w:szCs w:val="24"/>
        </w:rPr>
        <w:fldChar w:fldCharType="end"/>
      </w:r>
      <w:r w:rsidR="00844119" w:rsidRPr="00EC0229">
        <w:rPr>
          <w:rFonts w:cs="Times New Roman"/>
          <w:color w:val="000000" w:themeColor="text1"/>
          <w:szCs w:val="24"/>
        </w:rPr>
        <w:t xml:space="preserve">, </w:t>
      </w:r>
      <w:r w:rsidR="00025125" w:rsidRPr="00EC0229">
        <w:rPr>
          <w:rFonts w:cs="Times New Roman"/>
          <w:color w:val="000000" w:themeColor="text1"/>
          <w:szCs w:val="24"/>
        </w:rPr>
        <w:t xml:space="preserve">though </w:t>
      </w:r>
      <w:r w:rsidR="00497AC3" w:rsidRPr="00EC0229">
        <w:rPr>
          <w:rFonts w:cs="Times New Roman"/>
          <w:color w:val="000000" w:themeColor="text1"/>
          <w:szCs w:val="24"/>
        </w:rPr>
        <w:t>not included in the dataset</w:t>
      </w:r>
      <w:r w:rsidRPr="00EC0229">
        <w:rPr>
          <w:rFonts w:cs="Times New Roman"/>
          <w:color w:val="000000" w:themeColor="text1"/>
          <w:szCs w:val="24"/>
        </w:rPr>
        <w:t xml:space="preserve">. The methodology of compiling data from widespread metal-detection is the essence of this study, and while the net is not, and can never be, comprehensive, what has been captured here </w:t>
      </w:r>
      <w:r w:rsidR="00844119" w:rsidRPr="00EC0229">
        <w:rPr>
          <w:rFonts w:cs="Times New Roman"/>
          <w:color w:val="000000" w:themeColor="text1"/>
          <w:szCs w:val="24"/>
        </w:rPr>
        <w:t>suffices for current purposes.</w:t>
      </w:r>
      <w:r w:rsidRPr="00EC0229">
        <w:rPr>
          <w:rFonts w:cs="Times New Roman"/>
          <w:color w:val="000000" w:themeColor="text1"/>
          <w:szCs w:val="24"/>
        </w:rPr>
        <w:t xml:space="preserve"> </w:t>
      </w:r>
    </w:p>
    <w:p w14:paraId="1E00C3D9" w14:textId="77777777" w:rsidR="00610521" w:rsidRPr="00EC0229" w:rsidRDefault="00610521" w:rsidP="007600EA">
      <w:pPr>
        <w:pStyle w:val="NoSpacing"/>
        <w:spacing w:line="360" w:lineRule="auto"/>
        <w:rPr>
          <w:color w:val="000000" w:themeColor="text1"/>
        </w:rPr>
      </w:pPr>
    </w:p>
    <w:p w14:paraId="326F8C57" w14:textId="77777777" w:rsidR="006430C6" w:rsidRDefault="00FE61A1" w:rsidP="00AE431C">
      <w:pPr>
        <w:sectPr w:rsidR="006430C6" w:rsidSect="00B813BD">
          <w:type w:val="continuous"/>
          <w:pgSz w:w="11906" w:h="16838"/>
          <w:pgMar w:top="1440" w:right="1440" w:bottom="1440" w:left="1440" w:header="708" w:footer="708" w:gutter="0"/>
          <w:cols w:space="708"/>
          <w:titlePg/>
          <w:docGrid w:linePitch="360"/>
        </w:sectPr>
      </w:pPr>
      <w:r w:rsidRPr="00EC0229">
        <w:t>Chapter 7 describes the analytical techniques to be applied to these datasets in the subsequent case studies.</w:t>
      </w:r>
    </w:p>
    <w:p w14:paraId="4D042888" w14:textId="1B5AB320" w:rsidR="00AA51C3" w:rsidRPr="006430C6" w:rsidRDefault="00AC02D3" w:rsidP="006430C6">
      <w:pPr>
        <w:pStyle w:val="Heading1"/>
        <w:spacing w:line="360" w:lineRule="auto"/>
        <w:rPr>
          <w:rFonts w:cs="Times New Roman"/>
        </w:rPr>
      </w:pPr>
      <w:bookmarkStart w:id="476" w:name="Chapter7"/>
      <w:bookmarkStart w:id="477" w:name="_Toc468266835"/>
      <w:bookmarkEnd w:id="476"/>
      <w:r w:rsidRPr="006430C6">
        <w:rPr>
          <w:rFonts w:cs="Times New Roman"/>
        </w:rPr>
        <w:lastRenderedPageBreak/>
        <w:t xml:space="preserve">Chapter 7: </w:t>
      </w:r>
      <w:r w:rsidR="002C0E71" w:rsidRPr="006430C6">
        <w:rPr>
          <w:rFonts w:cs="Times New Roman"/>
        </w:rPr>
        <w:t xml:space="preserve">Data </w:t>
      </w:r>
      <w:r w:rsidRPr="006430C6">
        <w:rPr>
          <w:rFonts w:cs="Times New Roman"/>
        </w:rPr>
        <w:t>Analysis</w:t>
      </w:r>
      <w:bookmarkEnd w:id="477"/>
    </w:p>
    <w:p w14:paraId="3C4D7CC4" w14:textId="77777777" w:rsidR="000F0804" w:rsidRPr="00EC0229" w:rsidRDefault="000F0804" w:rsidP="000F0804">
      <w:pPr>
        <w:pStyle w:val="NoSpacing"/>
        <w:spacing w:line="360" w:lineRule="auto"/>
        <w:jc w:val="right"/>
        <w:rPr>
          <w:sz w:val="20"/>
          <w:szCs w:val="20"/>
        </w:rPr>
      </w:pPr>
      <w:r w:rsidRPr="00EC0229">
        <w:rPr>
          <w:sz w:val="20"/>
          <w:szCs w:val="20"/>
        </w:rPr>
        <w:t>‘The question of monetisation is, of course, one that forces sweeping generalisations about a topic that is, indeed, of a very heterogeneous character.’</w:t>
      </w:r>
    </w:p>
    <w:p w14:paraId="03B8396F" w14:textId="77777777" w:rsidR="000F0804" w:rsidRPr="00EC0229" w:rsidRDefault="000F0804" w:rsidP="000F0804">
      <w:pPr>
        <w:pStyle w:val="NoSpacing"/>
        <w:spacing w:line="360" w:lineRule="auto"/>
        <w:jc w:val="right"/>
        <w:rPr>
          <w:sz w:val="20"/>
          <w:szCs w:val="20"/>
        </w:rPr>
      </w:pPr>
      <w:r w:rsidRPr="00EC0229">
        <w:rPr>
          <w:sz w:val="20"/>
          <w:szCs w:val="20"/>
        </w:rPr>
        <w:t xml:space="preserve"> Svein Gullbekk,</w:t>
      </w:r>
      <w:r w:rsidRPr="00EC0229">
        <w:rPr>
          <w:i/>
          <w:sz w:val="20"/>
          <w:szCs w:val="20"/>
        </w:rPr>
        <w:t xml:space="preserve"> </w:t>
      </w:r>
      <w:r w:rsidRPr="00EC0229">
        <w:rPr>
          <w:sz w:val="20"/>
          <w:szCs w:val="20"/>
        </w:rPr>
        <w:t>Monetisation in Medieval Scandinavia</w:t>
      </w:r>
      <w:r w:rsidRPr="00EC0229">
        <w:rPr>
          <w:sz w:val="20"/>
          <w:szCs w:val="20"/>
        </w:rPr>
        <w:fldChar w:fldCharType="begin"/>
      </w:r>
      <w:r w:rsidRPr="00EC0229">
        <w:instrText xml:space="preserve"> XE "</w:instrText>
      </w:r>
      <w:r w:rsidRPr="00EC0229">
        <w:rPr>
          <w:rStyle w:val="Hyperlink"/>
          <w:noProof/>
          <w:u w:val="none"/>
        </w:rPr>
        <w:instrText>Scandinavia</w:instrText>
      </w:r>
      <w:r w:rsidRPr="00EC0229">
        <w:instrText xml:space="preserve">" </w:instrText>
      </w:r>
      <w:r w:rsidRPr="00EC0229">
        <w:rPr>
          <w:sz w:val="20"/>
          <w:szCs w:val="20"/>
        </w:rPr>
        <w:fldChar w:fldCharType="end"/>
      </w:r>
      <w:r w:rsidRPr="00EC0229">
        <w:rPr>
          <w:rStyle w:val="FootnoteReference"/>
          <w:sz w:val="20"/>
        </w:rPr>
        <w:footnoteReference w:id="747"/>
      </w:r>
    </w:p>
    <w:p w14:paraId="771A21BE" w14:textId="616DFADD" w:rsidR="000F0804" w:rsidRPr="00EC0229" w:rsidRDefault="00202317" w:rsidP="00202317">
      <w:pPr>
        <w:spacing w:line="360" w:lineRule="auto"/>
      </w:pPr>
      <w:r w:rsidRPr="00EC0229">
        <w:t>The quantitative aspect of this chapter explains and applies analytical techn</w:t>
      </w:r>
      <w:r w:rsidR="005D0690" w:rsidRPr="00EC0229">
        <w:t>iques to the numismatic database</w:t>
      </w:r>
      <w:r w:rsidRPr="00EC0229">
        <w:t xml:space="preserve"> described above. This concentrates on establishing norms against which individual sites or regional profiles can be measured. The qualitative approach adds </w:t>
      </w:r>
      <w:r w:rsidR="003E1048" w:rsidRPr="00EC0229">
        <w:t xml:space="preserve">further analytical tools </w:t>
      </w:r>
      <w:r w:rsidRPr="00EC0229">
        <w:t>so that the numismatic material can be assessed in its archaeological setting.</w:t>
      </w:r>
      <w:r w:rsidR="003E1048" w:rsidRPr="00EC0229">
        <w:t xml:space="preserve"> The cases studies which follow are given greater dimension by this integrated approach.</w:t>
      </w:r>
    </w:p>
    <w:p w14:paraId="651A4103" w14:textId="7D74CE67" w:rsidR="002C0E71" w:rsidRPr="00EC0229" w:rsidRDefault="00736C9E" w:rsidP="002C0E71">
      <w:pPr>
        <w:pStyle w:val="Heading2"/>
      </w:pPr>
      <w:bookmarkStart w:id="478" w:name="_Toc468266836"/>
      <w:r>
        <w:t>7.1</w:t>
      </w:r>
      <w:r>
        <w:tab/>
      </w:r>
      <w:r w:rsidR="002C0E71" w:rsidRPr="00EC0229">
        <w:t>Quantitative</w:t>
      </w:r>
      <w:r w:rsidR="002C0E71" w:rsidRPr="00EC0229">
        <w:fldChar w:fldCharType="begin"/>
      </w:r>
      <w:r w:rsidR="002C0E71" w:rsidRPr="00EC0229">
        <w:instrText xml:space="preserve"> XE "qualitative" </w:instrText>
      </w:r>
      <w:r w:rsidR="002C0E71" w:rsidRPr="00EC0229">
        <w:fldChar w:fldCharType="end"/>
      </w:r>
      <w:r w:rsidR="002C0E71" w:rsidRPr="00EC0229">
        <w:t xml:space="preserve"> Analysis</w:t>
      </w:r>
      <w:bookmarkEnd w:id="478"/>
    </w:p>
    <w:p w14:paraId="5076CB78" w14:textId="657E7F0F" w:rsidR="00100F75" w:rsidRPr="00EC0229" w:rsidRDefault="00736C9E" w:rsidP="002C0E71">
      <w:pPr>
        <w:pStyle w:val="Heading3"/>
      </w:pPr>
      <w:bookmarkStart w:id="479" w:name="_Toc468266837"/>
      <w:r>
        <w:t>7.1.1</w:t>
      </w:r>
      <w:r>
        <w:tab/>
      </w:r>
      <w:bookmarkStart w:id="480" w:name="AnalyticalTools"/>
      <w:r w:rsidR="00100F75" w:rsidRPr="00EC0229">
        <w:t>Analytical Tools</w:t>
      </w:r>
      <w:bookmarkEnd w:id="479"/>
      <w:bookmarkEnd w:id="480"/>
    </w:p>
    <w:p w14:paraId="78689BD9" w14:textId="593B077E" w:rsidR="00100F75" w:rsidRPr="00EC0229" w:rsidRDefault="00100F75" w:rsidP="00100F75">
      <w:pPr>
        <w:spacing w:line="360" w:lineRule="auto"/>
      </w:pPr>
      <w:r w:rsidRPr="00EC0229">
        <w:t>The combination of data from both num</w:t>
      </w:r>
      <w:r w:rsidR="00292074">
        <w:t>ismatic and artefactual databases</w:t>
      </w:r>
      <w:r w:rsidRPr="00EC0229">
        <w:t xml:space="preserve"> facilitates the use of </w:t>
      </w:r>
      <w:r w:rsidR="00BF6095">
        <w:t>several</w:t>
      </w:r>
      <w:r w:rsidRPr="00EC0229">
        <w:t xml:space="preserve"> simple but effective analytical tools.</w:t>
      </w:r>
      <w:r w:rsidR="00725A60" w:rsidRPr="00EC0229">
        <w:t xml:space="preserve"> </w:t>
      </w:r>
      <w:r w:rsidR="00725A60" w:rsidRPr="00EC0229">
        <w:rPr>
          <w:i/>
        </w:rPr>
        <w:t xml:space="preserve">Map </w:t>
      </w:r>
      <w:r w:rsidR="004048E5" w:rsidRPr="00EC0229">
        <w:rPr>
          <w:i/>
        </w:rPr>
        <w:t>7.01</w:t>
      </w:r>
      <w:r w:rsidR="00725A60" w:rsidRPr="00EC0229">
        <w:t xml:space="preserve"> shows locations of both artefacts and coin recovery.</w:t>
      </w:r>
    </w:p>
    <w:p w14:paraId="05AEF7A4" w14:textId="3DF6BB5C" w:rsidR="00B50049" w:rsidRPr="00EC0229" w:rsidRDefault="00736C9E" w:rsidP="00FE61A1">
      <w:pPr>
        <w:pStyle w:val="Heading3"/>
      </w:pPr>
      <w:bookmarkStart w:id="481" w:name="_Toc468266838"/>
      <w:r>
        <w:t>7.1.2</w:t>
      </w:r>
      <w:r>
        <w:tab/>
      </w:r>
      <w:r w:rsidR="00FE61A1" w:rsidRPr="00EC0229">
        <w:t xml:space="preserve">The </w:t>
      </w:r>
      <w:r w:rsidR="00100F75" w:rsidRPr="00EC0229">
        <w:t xml:space="preserve">Normal Distribution </w:t>
      </w:r>
      <w:r w:rsidR="00FE61A1" w:rsidRPr="00EC0229">
        <w:t>of Coins</w:t>
      </w:r>
      <w:bookmarkEnd w:id="481"/>
    </w:p>
    <w:p w14:paraId="2492FE47" w14:textId="2A1293A9" w:rsidR="00100F75" w:rsidRPr="00EC0229" w:rsidRDefault="009A3EEF" w:rsidP="00100F75">
      <w:pPr>
        <w:pStyle w:val="NoSpacing"/>
        <w:spacing w:line="360" w:lineRule="auto"/>
        <w:rPr>
          <w:rFonts w:eastAsia="Times New Roman" w:cs="Times New Roman"/>
          <w:color w:val="000000"/>
          <w:szCs w:val="24"/>
          <w:lang w:eastAsia="en-GB"/>
        </w:rPr>
      </w:pPr>
      <w:bookmarkStart w:id="482" w:name="databaseselection"/>
      <w:bookmarkEnd w:id="482"/>
      <w:r w:rsidRPr="00EC0229">
        <w:rPr>
          <w:i/>
        </w:rPr>
        <w:t>Database 1</w:t>
      </w:r>
      <w:r w:rsidR="00100F75" w:rsidRPr="00EC0229">
        <w:t xml:space="preserve">, excluding hoards, is </w:t>
      </w:r>
      <w:r w:rsidR="00103FB3">
        <w:rPr>
          <w:rFonts w:eastAsia="Times New Roman" w:cs="Times New Roman"/>
          <w:color w:val="000000"/>
          <w:szCs w:val="24"/>
          <w:lang w:eastAsia="en-GB"/>
        </w:rPr>
        <w:t>summarize</w:t>
      </w:r>
      <w:r w:rsidR="00100F75" w:rsidRPr="00EC0229">
        <w:rPr>
          <w:rFonts w:eastAsia="Times New Roman" w:cs="Times New Roman"/>
          <w:color w:val="000000"/>
          <w:szCs w:val="24"/>
          <w:lang w:eastAsia="en-GB"/>
        </w:rPr>
        <w:t>d at the head of</w:t>
      </w:r>
      <w:r w:rsidR="00AC1D28" w:rsidRPr="00EC0229">
        <w:rPr>
          <w:rFonts w:eastAsia="Times New Roman" w:cs="Times New Roman"/>
          <w:color w:val="000000"/>
          <w:szCs w:val="24"/>
          <w:lang w:eastAsia="en-GB"/>
        </w:rPr>
        <w:t xml:space="preserve"> </w:t>
      </w:r>
      <w:r w:rsidR="00292074">
        <w:rPr>
          <w:rFonts w:eastAsia="Times New Roman" w:cs="Times New Roman"/>
          <w:i/>
          <w:color w:val="000000"/>
          <w:szCs w:val="24"/>
          <w:lang w:eastAsia="en-GB"/>
        </w:rPr>
        <w:t>Dataset</w:t>
      </w:r>
      <w:r w:rsidR="007D27F9" w:rsidRPr="00EC0229">
        <w:rPr>
          <w:rFonts w:eastAsia="Times New Roman" w:cs="Times New Roman"/>
          <w:i/>
          <w:color w:val="000000"/>
          <w:szCs w:val="24"/>
          <w:lang w:eastAsia="en-GB"/>
        </w:rPr>
        <w:t xml:space="preserve"> 5.01</w:t>
      </w:r>
      <w:r w:rsidR="008F2C8F">
        <w:rPr>
          <w:rFonts w:eastAsia="Times New Roman" w:cs="Times New Roman"/>
          <w:i/>
          <w:color w:val="000000"/>
          <w:szCs w:val="24"/>
          <w:lang w:eastAsia="en-GB"/>
        </w:rPr>
        <w:t xml:space="preserve">, tab 1, </w:t>
      </w:r>
      <w:r w:rsidR="00100F75" w:rsidRPr="00EC0229">
        <w:rPr>
          <w:rFonts w:eastAsia="Times New Roman" w:cs="Times New Roman"/>
          <w:color w:val="000000"/>
          <w:szCs w:val="24"/>
          <w:lang w:eastAsia="en-GB"/>
        </w:rPr>
        <w:t>(</w:t>
      </w:r>
      <w:r w:rsidR="00100F75" w:rsidRPr="00EC0229">
        <w:rPr>
          <w:rFonts w:eastAsia="Times New Roman" w:cs="Times New Roman"/>
          <w:i/>
          <w:color w:val="000000"/>
          <w:szCs w:val="24"/>
          <w:lang w:eastAsia="en-GB"/>
        </w:rPr>
        <w:t xml:space="preserve">Graph </w:t>
      </w:r>
      <w:r w:rsidR="00224271">
        <w:rPr>
          <w:rFonts w:eastAsia="Times New Roman" w:cs="Times New Roman"/>
          <w:i/>
          <w:color w:val="000000"/>
          <w:szCs w:val="24"/>
          <w:lang w:eastAsia="en-GB"/>
        </w:rPr>
        <w:t>7.01</w:t>
      </w:r>
      <w:r w:rsidR="00100F75" w:rsidRPr="00EC0229">
        <w:rPr>
          <w:rFonts w:eastAsia="Times New Roman" w:cs="Times New Roman"/>
          <w:color w:val="000000"/>
          <w:szCs w:val="24"/>
          <w:lang w:eastAsia="en-GB"/>
        </w:rPr>
        <w:t xml:space="preserve">), according to various criteria: </w:t>
      </w:r>
    </w:p>
    <w:p w14:paraId="3631BDB7" w14:textId="6E776AB7" w:rsidR="00100F75" w:rsidRPr="00EC0229" w:rsidRDefault="00497AC3" w:rsidP="00387063">
      <w:pPr>
        <w:pStyle w:val="ListParagraph"/>
        <w:numPr>
          <w:ilvl w:val="0"/>
          <w:numId w:val="10"/>
        </w:num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 xml:space="preserve">All specimens in </w:t>
      </w:r>
      <w:r w:rsidR="009A3EEF" w:rsidRPr="00EC0229">
        <w:rPr>
          <w:rFonts w:eastAsia="Times New Roman" w:cs="Times New Roman"/>
          <w:i/>
          <w:color w:val="000000"/>
          <w:szCs w:val="24"/>
          <w:lang w:eastAsia="en-GB"/>
        </w:rPr>
        <w:t>Database 1</w:t>
      </w:r>
      <w:r w:rsidR="00100F75" w:rsidRPr="00EC0229">
        <w:rPr>
          <w:rFonts w:eastAsia="Times New Roman" w:cs="Times New Roman"/>
          <w:color w:val="000000"/>
          <w:szCs w:val="24"/>
          <w:lang w:eastAsia="en-GB"/>
        </w:rPr>
        <w:t xml:space="preserve"> whether hoard material or single finds, whether provenanced or not </w:t>
      </w:r>
      <w:r w:rsidR="00292074">
        <w:rPr>
          <w:rFonts w:eastAsia="Times New Roman" w:cs="Times New Roman"/>
          <w:color w:val="000000"/>
          <w:szCs w:val="24"/>
          <w:lang w:eastAsia="en-GB"/>
        </w:rPr>
        <w:t>(</w:t>
      </w:r>
      <w:r w:rsidR="00100F75" w:rsidRPr="00EC0229">
        <w:rPr>
          <w:rFonts w:eastAsia="Times New Roman" w:cs="Times New Roman"/>
          <w:color w:val="000000"/>
          <w:szCs w:val="24"/>
          <w:lang w:eastAsia="en-GB"/>
        </w:rPr>
        <w:t>7,575</w:t>
      </w:r>
      <w:r w:rsidR="00292074">
        <w:rPr>
          <w:rFonts w:eastAsia="Times New Roman" w:cs="Times New Roman"/>
          <w:color w:val="000000"/>
          <w:szCs w:val="24"/>
          <w:lang w:eastAsia="en-GB"/>
        </w:rPr>
        <w:t xml:space="preserve"> specimens)</w:t>
      </w:r>
    </w:p>
    <w:p w14:paraId="2D47D9BE" w14:textId="6554B292" w:rsidR="00100F75" w:rsidRPr="00EC0229" w:rsidRDefault="00100F75" w:rsidP="00387063">
      <w:pPr>
        <w:pStyle w:val="ListParagraph"/>
        <w:numPr>
          <w:ilvl w:val="0"/>
          <w:numId w:val="10"/>
        </w:num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 xml:space="preserve">All specimens with provenance (i.e. findspot) including hoard material </w:t>
      </w:r>
      <w:r w:rsidR="00292074">
        <w:rPr>
          <w:rFonts w:eastAsia="Times New Roman" w:cs="Times New Roman"/>
          <w:color w:val="000000"/>
          <w:szCs w:val="24"/>
          <w:lang w:eastAsia="en-GB"/>
        </w:rPr>
        <w:t>(</w:t>
      </w:r>
      <w:r w:rsidRPr="00EC0229">
        <w:rPr>
          <w:rFonts w:eastAsia="Times New Roman" w:cs="Times New Roman"/>
          <w:color w:val="000000"/>
          <w:szCs w:val="24"/>
          <w:lang w:eastAsia="en-GB"/>
        </w:rPr>
        <w:t>5,452</w:t>
      </w:r>
      <w:r w:rsidR="00292074">
        <w:rPr>
          <w:rFonts w:eastAsia="Times New Roman" w:cs="Times New Roman"/>
          <w:color w:val="000000"/>
          <w:szCs w:val="24"/>
          <w:lang w:eastAsia="en-GB"/>
        </w:rPr>
        <w:t>)</w:t>
      </w:r>
    </w:p>
    <w:p w14:paraId="387913B5" w14:textId="07682E57" w:rsidR="00100F75" w:rsidRPr="00EC0229" w:rsidRDefault="00100F75" w:rsidP="00387063">
      <w:pPr>
        <w:pStyle w:val="ListParagraph"/>
        <w:numPr>
          <w:ilvl w:val="0"/>
          <w:numId w:val="10"/>
        </w:num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 xml:space="preserve">All hoard material </w:t>
      </w:r>
      <w:r w:rsidR="00292074">
        <w:rPr>
          <w:rFonts w:eastAsia="Times New Roman" w:cs="Times New Roman"/>
          <w:color w:val="000000"/>
          <w:szCs w:val="24"/>
          <w:lang w:eastAsia="en-GB"/>
        </w:rPr>
        <w:t>(</w:t>
      </w:r>
      <w:r w:rsidRPr="00EC0229">
        <w:rPr>
          <w:rFonts w:eastAsia="Times New Roman" w:cs="Times New Roman"/>
          <w:color w:val="000000"/>
          <w:szCs w:val="24"/>
          <w:lang w:eastAsia="en-GB"/>
        </w:rPr>
        <w:t>4,114</w:t>
      </w:r>
      <w:r w:rsidR="00292074">
        <w:rPr>
          <w:rFonts w:eastAsia="Times New Roman" w:cs="Times New Roman"/>
          <w:color w:val="000000"/>
          <w:szCs w:val="24"/>
          <w:lang w:eastAsia="en-GB"/>
        </w:rPr>
        <w:t>)</w:t>
      </w:r>
    </w:p>
    <w:p w14:paraId="17F5DDC0" w14:textId="5198C58B" w:rsidR="00100F75" w:rsidRPr="00EC0229" w:rsidRDefault="00100F75" w:rsidP="00387063">
      <w:pPr>
        <w:pStyle w:val="ListParagraph"/>
        <w:numPr>
          <w:ilvl w:val="0"/>
          <w:numId w:val="10"/>
        </w:num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 xml:space="preserve">All (ostensibly) single finds, whether provenanced or not </w:t>
      </w:r>
      <w:r w:rsidR="00292074">
        <w:rPr>
          <w:rFonts w:eastAsia="Times New Roman" w:cs="Times New Roman"/>
          <w:color w:val="000000"/>
          <w:szCs w:val="24"/>
          <w:lang w:eastAsia="en-GB"/>
        </w:rPr>
        <w:t>(</w:t>
      </w:r>
      <w:r w:rsidRPr="00EC0229">
        <w:rPr>
          <w:rFonts w:eastAsia="Times New Roman" w:cs="Times New Roman"/>
          <w:color w:val="000000"/>
          <w:szCs w:val="24"/>
          <w:lang w:eastAsia="en-GB"/>
        </w:rPr>
        <w:t>3,365</w:t>
      </w:r>
      <w:r w:rsidR="00292074">
        <w:rPr>
          <w:rFonts w:eastAsia="Times New Roman" w:cs="Times New Roman"/>
          <w:color w:val="000000"/>
          <w:szCs w:val="24"/>
          <w:lang w:eastAsia="en-GB"/>
        </w:rPr>
        <w:t>)</w:t>
      </w:r>
    </w:p>
    <w:p w14:paraId="4E48BDCE" w14:textId="4B9357A8" w:rsidR="00100F75" w:rsidRPr="00EC0229" w:rsidRDefault="00100F75" w:rsidP="00387063">
      <w:pPr>
        <w:pStyle w:val="ListParagraph"/>
        <w:numPr>
          <w:ilvl w:val="0"/>
          <w:numId w:val="10"/>
        </w:num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 xml:space="preserve">Items not from hoards and without provenance </w:t>
      </w:r>
      <w:r w:rsidR="00292074">
        <w:rPr>
          <w:rFonts w:eastAsia="Times New Roman" w:cs="Times New Roman"/>
          <w:color w:val="000000"/>
          <w:szCs w:val="24"/>
          <w:lang w:eastAsia="en-GB"/>
        </w:rPr>
        <w:t>(</w:t>
      </w:r>
      <w:r w:rsidRPr="00EC0229">
        <w:rPr>
          <w:rFonts w:eastAsia="Times New Roman" w:cs="Times New Roman"/>
          <w:color w:val="000000"/>
          <w:szCs w:val="24"/>
          <w:lang w:eastAsia="en-GB"/>
        </w:rPr>
        <w:t>2,123</w:t>
      </w:r>
      <w:r w:rsidR="00292074">
        <w:rPr>
          <w:rFonts w:eastAsia="Times New Roman" w:cs="Times New Roman"/>
          <w:color w:val="000000"/>
          <w:szCs w:val="24"/>
          <w:lang w:eastAsia="en-GB"/>
        </w:rPr>
        <w:t>)</w:t>
      </w:r>
    </w:p>
    <w:p w14:paraId="57A6645F" w14:textId="227F48B0" w:rsidR="00100F75" w:rsidRPr="00EC0229" w:rsidRDefault="00100F75" w:rsidP="00387063">
      <w:pPr>
        <w:pStyle w:val="ListParagraph"/>
        <w:numPr>
          <w:ilvl w:val="0"/>
          <w:numId w:val="10"/>
        </w:num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 xml:space="preserve">Items not from hoards and with provenance </w:t>
      </w:r>
      <w:r w:rsidR="00292074">
        <w:rPr>
          <w:rFonts w:eastAsia="Times New Roman" w:cs="Times New Roman"/>
          <w:color w:val="000000"/>
          <w:szCs w:val="24"/>
          <w:lang w:eastAsia="en-GB"/>
        </w:rPr>
        <w:t>(</w:t>
      </w:r>
      <w:r w:rsidRPr="00EC0229">
        <w:rPr>
          <w:rFonts w:eastAsia="Times New Roman" w:cs="Times New Roman"/>
          <w:color w:val="000000"/>
          <w:szCs w:val="24"/>
          <w:lang w:eastAsia="en-GB"/>
        </w:rPr>
        <w:t>1,242</w:t>
      </w:r>
      <w:r w:rsidR="00292074">
        <w:rPr>
          <w:rFonts w:eastAsia="Times New Roman" w:cs="Times New Roman"/>
          <w:color w:val="000000"/>
          <w:szCs w:val="24"/>
          <w:lang w:eastAsia="en-GB"/>
        </w:rPr>
        <w:t>)</w:t>
      </w:r>
    </w:p>
    <w:p w14:paraId="256576DE" w14:textId="56E629A9" w:rsidR="00100F75" w:rsidRPr="00EC0229" w:rsidRDefault="00100F75" w:rsidP="00100F75">
      <w:pPr>
        <w:pStyle w:val="NoSpacing"/>
        <w:spacing w:line="360" w:lineRule="auto"/>
      </w:pPr>
      <w:r w:rsidRPr="00EC0229">
        <w:t>It is helpful to nominate one of these bases as the most appropriate for comparisons and correlations. The first three can be eliminated on the grounds of the bias potentially introduced by hoard material, albeit the St Leonard’s Place and Bolton</w:t>
      </w:r>
      <w:r w:rsidRPr="00EC0229">
        <w:fldChar w:fldCharType="begin"/>
      </w:r>
      <w:r w:rsidRPr="00EC0229">
        <w:instrText xml:space="preserve"> XE "</w:instrText>
      </w:r>
      <w:r w:rsidRPr="00EC0229">
        <w:rPr>
          <w:rStyle w:val="Hyperlink"/>
          <w:rFonts w:eastAsia="Times New Roman"/>
          <w:noProof/>
          <w:u w:val="none"/>
          <w:lang w:eastAsia="en-GB"/>
        </w:rPr>
        <w:instrText>Bolton</w:instrText>
      </w:r>
      <w:r w:rsidRPr="00EC0229">
        <w:instrText xml:space="preserve">" </w:instrText>
      </w:r>
      <w:r w:rsidRPr="00EC0229">
        <w:fldChar w:fldCharType="end"/>
      </w:r>
      <w:r w:rsidRPr="00EC0229">
        <w:t xml:space="preserve"> Percy</w:t>
      </w:r>
      <w:r w:rsidRPr="00EC0229">
        <w:fldChar w:fldCharType="begin"/>
      </w:r>
      <w:r w:rsidRPr="00EC0229">
        <w:instrText xml:space="preserve"> XE "</w:instrText>
      </w:r>
      <w:r w:rsidRPr="00EC0229">
        <w:rPr>
          <w:rStyle w:val="Hyperlink"/>
          <w:noProof/>
          <w:u w:val="none"/>
        </w:rPr>
        <w:instrText>Bolton Percy</w:instrText>
      </w:r>
      <w:r w:rsidRPr="00EC0229">
        <w:instrText xml:space="preserve">" </w:instrText>
      </w:r>
      <w:r w:rsidRPr="00EC0229">
        <w:fldChar w:fldCharType="end"/>
      </w:r>
      <w:r w:rsidRPr="00EC0229">
        <w:t xml:space="preserve"> hoards were probably deposited at the end of the era, during the Viking</w:t>
      </w:r>
      <w:r w:rsidRPr="00EC0229">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fldChar w:fldCharType="end"/>
      </w:r>
      <w:r w:rsidRPr="00EC0229">
        <w:t xml:space="preserve"> attack on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w:t>
      </w:r>
      <w:r w:rsidR="006D2EF8">
        <w:rPr>
          <w:rStyle w:val="FootnoteReference"/>
        </w:rPr>
        <w:footnoteReference w:id="748"/>
      </w:r>
      <w:r w:rsidRPr="00EC0229">
        <w:t xml:space="preserve"> and that only 160 of the chronologically skewed Hexham</w:t>
      </w:r>
      <w:r w:rsidRPr="00EC0229">
        <w:fldChar w:fldCharType="begin"/>
      </w:r>
      <w:r w:rsidRPr="00EC0229">
        <w:instrText xml:space="preserve"> XE "Hexham" </w:instrText>
      </w:r>
      <w:r w:rsidRPr="00EC0229">
        <w:fldChar w:fldCharType="end"/>
      </w:r>
      <w:r w:rsidRPr="00EC0229">
        <w:t xml:space="preserve"> co</w:t>
      </w:r>
      <w:r w:rsidR="00497AC3" w:rsidRPr="00EC0229">
        <w:t xml:space="preserve">ins are included in </w:t>
      </w:r>
      <w:r w:rsidR="009A3EEF" w:rsidRPr="00EC0229">
        <w:rPr>
          <w:i/>
        </w:rPr>
        <w:t>Database 1</w:t>
      </w:r>
      <w:r w:rsidRPr="00EC0229">
        <w:t xml:space="preserve"> (</w:t>
      </w:r>
      <w:r w:rsidRPr="00EC0229">
        <w:fldChar w:fldCharType="begin"/>
      </w:r>
      <w:r w:rsidRPr="00EC0229">
        <w:instrText xml:space="preserve"> PAGEREF Hexham \h </w:instrText>
      </w:r>
      <w:r w:rsidRPr="00EC0229">
        <w:fldChar w:fldCharType="separate"/>
      </w:r>
      <w:r w:rsidR="0012026B">
        <w:rPr>
          <w:noProof/>
        </w:rPr>
        <w:t>138</w:t>
      </w:r>
      <w:r w:rsidRPr="00EC0229">
        <w:fldChar w:fldCharType="end"/>
      </w:r>
      <w:r w:rsidRPr="00EC0229">
        <w:t>). How these were infiltrated into the private and institutional market for coins is unknown but there is a greater residual risk that unprovenanced specimens</w:t>
      </w:r>
      <w:r w:rsidRPr="00EC0229">
        <w:rPr>
          <w:rStyle w:val="FootnoteReference"/>
        </w:rPr>
        <w:footnoteReference w:id="749"/>
      </w:r>
      <w:r w:rsidRPr="00EC0229">
        <w:t xml:space="preserve"> originate from hoards compared to ostensibly </w:t>
      </w:r>
      <w:r w:rsidRPr="00EC0229">
        <w:lastRenderedPageBreak/>
        <w:t xml:space="preserve">‘provenanced’ coins. On this </w:t>
      </w:r>
      <w:r w:rsidR="008F2C8F" w:rsidRPr="00EC0229">
        <w:t>basis,</w:t>
      </w:r>
      <w:r w:rsidRPr="00EC0229">
        <w:t xml:space="preserve"> Selection D is discounted. Selection E has over 99.5% correlation with the hoard material and on these grounds, let alone the absence of sceats, is rejected. The guiding principle in selecting between the non-hoard constructs, is Metcalf</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’s </w:t>
      </w:r>
      <w:r w:rsidRPr="00EC0229">
        <w:rPr>
          <w:i/>
        </w:rPr>
        <w:t>dictum</w:t>
      </w:r>
      <w:r w:rsidRPr="00EC0229">
        <w:t xml:space="preserve"> ‘randomness is all’. Therefore, though the smallest selection, F is deemed a sufficiently large corpus to minimise statistical distortion, and is preferred for comparative purposes.</w:t>
      </w:r>
    </w:p>
    <w:p w14:paraId="408DDAC5" w14:textId="77777777" w:rsidR="00100F75" w:rsidRPr="00EC0229" w:rsidRDefault="00100F75" w:rsidP="00100F75">
      <w:pPr>
        <w:pStyle w:val="NoSpacing"/>
        <w:spacing w:line="360" w:lineRule="auto"/>
      </w:pPr>
    </w:p>
    <w:p w14:paraId="1D0E9348" w14:textId="0E513A47" w:rsidR="00100F75" w:rsidRPr="00EC0229" w:rsidRDefault="00100F75" w:rsidP="00100F75">
      <w:pPr>
        <w:pStyle w:val="NoSpacing"/>
        <w:spacing w:line="360" w:lineRule="auto"/>
      </w:pPr>
      <w:r w:rsidRPr="00EC0229">
        <w:rPr>
          <w:rFonts w:eastAsia="Times New Roman" w:cs="Times New Roman"/>
          <w:color w:val="000000"/>
          <w:szCs w:val="24"/>
          <w:lang w:eastAsia="en-GB"/>
        </w:rPr>
        <w:t>An important anomaly is thrown up by the first comparison, Fishergate</w:t>
      </w:r>
      <w:r w:rsidRPr="00EC0229">
        <w:rPr>
          <w:rFonts w:eastAsia="Times New Roman" w:cs="Times New Roman"/>
          <w:color w:val="000000"/>
          <w:szCs w:val="24"/>
          <w:lang w:eastAsia="en-GB"/>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agains</w:t>
      </w:r>
      <w:r w:rsidR="00D65946" w:rsidRPr="00EC0229">
        <w:rPr>
          <w:rFonts w:eastAsia="Times New Roman" w:cs="Times New Roman"/>
          <w:color w:val="000000"/>
          <w:szCs w:val="24"/>
          <w:lang w:eastAsia="en-GB"/>
        </w:rPr>
        <w:t xml:space="preserve">t </w:t>
      </w:r>
      <w:r w:rsidR="009A3EEF" w:rsidRPr="00EC0229">
        <w:rPr>
          <w:rFonts w:eastAsia="Times New Roman" w:cs="Times New Roman"/>
          <w:i/>
          <w:color w:val="000000"/>
          <w:szCs w:val="24"/>
          <w:lang w:eastAsia="en-GB"/>
        </w:rPr>
        <w:t>Database 1</w:t>
      </w:r>
      <w:r w:rsidRPr="00EC0229">
        <w:rPr>
          <w:rFonts w:eastAsia="Times New Roman" w:cs="Times New Roman"/>
          <w:color w:val="000000"/>
          <w:szCs w:val="24"/>
          <w:lang w:eastAsia="en-GB"/>
        </w:rPr>
        <w:fldChar w:fldCharType="begin"/>
      </w:r>
      <w:r w:rsidRPr="00EC0229">
        <w:instrText xml:space="preserve"> XE "</w:instrText>
      </w:r>
      <w:r w:rsidRPr="00EC0229">
        <w:rPr>
          <w:rStyle w:val="Hyperlink"/>
          <w:noProof/>
          <w:u w:val="none"/>
        </w:rPr>
        <w:instrText>Database</w:instrText>
      </w:r>
      <w:r w:rsidRPr="00EC0229">
        <w:instrText xml:space="preserv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namely that the composite totals from the find sites is far more than the p</w:t>
      </w:r>
      <w:r w:rsidR="00497AC3" w:rsidRPr="00EC0229">
        <w:rPr>
          <w:rFonts w:eastAsia="Times New Roman" w:cs="Times New Roman"/>
          <w:color w:val="000000"/>
          <w:szCs w:val="24"/>
          <w:lang w:eastAsia="en-GB"/>
        </w:rPr>
        <w:t xml:space="preserve">rovenanced total in </w:t>
      </w:r>
      <w:r w:rsidR="009A3EEF" w:rsidRPr="00EC0229">
        <w:rPr>
          <w:rFonts w:eastAsia="Times New Roman" w:cs="Times New Roman"/>
          <w:i/>
          <w:color w:val="000000"/>
          <w:szCs w:val="24"/>
          <w:lang w:eastAsia="en-GB"/>
        </w:rPr>
        <w:t>Database 1</w:t>
      </w:r>
      <w:r w:rsidRPr="00EC0229">
        <w:rPr>
          <w:rFonts w:eastAsia="Times New Roman" w:cs="Times New Roman"/>
          <w:color w:val="000000"/>
          <w:szCs w:val="24"/>
          <w:lang w:eastAsia="en-GB"/>
        </w:rPr>
        <w:t>, showing the extent to which finds, even from responsible sources, have failed to be captured. The constituent elements of this shortfall include i) the main feeder to EMC</w:t>
      </w:r>
      <w:r w:rsidRPr="00EC0229">
        <w:rPr>
          <w:rFonts w:eastAsia="Times New Roman" w:cs="Times New Roman"/>
          <w:color w:val="000000"/>
          <w:szCs w:val="24"/>
          <w:lang w:eastAsia="en-GB"/>
        </w:rPr>
        <w:fldChar w:fldCharType="begin"/>
      </w:r>
      <w:r w:rsidRPr="00EC0229">
        <w:instrText xml:space="preserve"> XE "EMC"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Coin Register, no longer capturing all specimens but only those thought noteworthy through rarity or condition, ii) difficulties in cleansing data from PAS</w:t>
      </w:r>
      <w:r w:rsidRPr="00EC0229">
        <w:rPr>
          <w:rFonts w:eastAsia="Times New Roman" w:cs="Times New Roman"/>
          <w:color w:val="000000"/>
          <w:szCs w:val="24"/>
          <w:lang w:eastAsia="en-GB"/>
        </w:rPr>
        <w:fldChar w:fldCharType="begin"/>
      </w:r>
      <w:r w:rsidRPr="00EC0229">
        <w:instrText xml:space="preserve"> XE "PAS"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iii) </w:t>
      </w:r>
      <w:r w:rsidRPr="00EC0229">
        <w:rPr>
          <w:rFonts w:eastAsia="Times New Roman" w:cs="Times New Roman"/>
          <w:i/>
          <w:color w:val="000000"/>
          <w:szCs w:val="24"/>
          <w:lang w:eastAsia="en-GB"/>
        </w:rPr>
        <w:t>CKN</w:t>
      </w:r>
      <w:r w:rsidRPr="00EC0229">
        <w:rPr>
          <w:rFonts w:eastAsia="Times New Roman" w:cs="Times New Roman"/>
          <w:i/>
          <w:color w:val="000000"/>
          <w:szCs w:val="24"/>
          <w:lang w:eastAsia="en-GB"/>
        </w:rPr>
        <w:fldChar w:fldCharType="begin"/>
      </w:r>
      <w:r w:rsidRPr="00EC0229">
        <w:rPr>
          <w:i/>
        </w:rPr>
        <w:instrText xml:space="preserve"> XE "CKN" </w:instrText>
      </w:r>
      <w:r w:rsidRPr="00EC0229">
        <w:rPr>
          <w:rFonts w:eastAsia="Times New Roman" w:cs="Times New Roman"/>
          <w:i/>
          <w:color w:val="000000"/>
          <w:szCs w:val="24"/>
          <w:lang w:eastAsia="en-GB"/>
        </w:rPr>
        <w:fldChar w:fldCharType="end"/>
      </w:r>
      <w:r w:rsidRPr="00EC0229">
        <w:rPr>
          <w:rFonts w:eastAsia="Times New Roman" w:cs="Times New Roman"/>
          <w:color w:val="000000"/>
          <w:szCs w:val="24"/>
          <w:lang w:eastAsia="en-GB"/>
        </w:rPr>
        <w:t xml:space="preserve"> only cataloguing specified holdings in York</w:t>
      </w:r>
      <w:r w:rsidRPr="00EC0229">
        <w:rPr>
          <w:rFonts w:eastAsia="Times New Roman" w:cs="Times New Roman"/>
          <w:color w:val="000000"/>
          <w:szCs w:val="24"/>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and Leeds and iv) additional material from Pirie</w:t>
      </w:r>
      <w:r w:rsidRPr="00EC0229">
        <w:rPr>
          <w:rFonts w:eastAsia="Times New Roman" w:cs="Times New Roman"/>
          <w:color w:val="000000"/>
          <w:szCs w:val="24"/>
          <w:lang w:eastAsia="en-GB"/>
        </w:rPr>
        <w:fldChar w:fldCharType="begin"/>
      </w:r>
      <w:r w:rsidRPr="00EC0229">
        <w:instrText xml:space="preserve"> XE "Pirie"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and Abramson</w:t>
      </w:r>
      <w:r w:rsidRPr="00EC0229">
        <w:rPr>
          <w:rFonts w:eastAsia="Times New Roman" w:cs="Times New Roman"/>
          <w:color w:val="000000"/>
          <w:szCs w:val="24"/>
          <w:lang w:eastAsia="en-GB"/>
        </w:rPr>
        <w:fldChar w:fldCharType="begin"/>
      </w:r>
      <w:r w:rsidRPr="00EC0229">
        <w:instrText xml:space="preserve"> XE "</w:instrText>
      </w:r>
      <w:r w:rsidRPr="00EC0229">
        <w:rPr>
          <w:rFonts w:cs="Times New Roman"/>
          <w:b/>
          <w:sz w:val="40"/>
          <w:szCs w:val="40"/>
        </w:rPr>
        <w:instrText>Abramson</w:instrText>
      </w:r>
      <w:r w:rsidRPr="00EC0229">
        <w:instrText xml:space="preserv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Nevertheless, statistical confidence in the periodic</w:t>
      </w:r>
      <w:r w:rsidR="00497AC3" w:rsidRPr="00EC0229">
        <w:rPr>
          <w:rFonts w:eastAsia="Times New Roman" w:cs="Times New Roman"/>
          <w:color w:val="000000"/>
          <w:szCs w:val="24"/>
          <w:lang w:eastAsia="en-GB"/>
        </w:rPr>
        <w:t xml:space="preserve"> proportions in the styca </w:t>
      </w:r>
      <w:r w:rsidR="00323A3D">
        <w:rPr>
          <w:rFonts w:eastAsia="Times New Roman" w:cs="Times New Roman"/>
          <w:color w:val="000000"/>
          <w:szCs w:val="24"/>
          <w:lang w:eastAsia="en-GB"/>
        </w:rPr>
        <w:t xml:space="preserve">corpus </w:t>
      </w:r>
      <w:r w:rsidRPr="00EC0229">
        <w:rPr>
          <w:rFonts w:eastAsia="Times New Roman" w:cs="Times New Roman"/>
          <w:color w:val="000000"/>
          <w:szCs w:val="24"/>
          <w:lang w:eastAsia="en-GB"/>
        </w:rPr>
        <w:t>is high, based on Pirie’s diligence.</w:t>
      </w:r>
    </w:p>
    <w:p w14:paraId="5334F138" w14:textId="77777777" w:rsidR="00100F75" w:rsidRPr="00EC0229" w:rsidRDefault="00100F75" w:rsidP="00100F75">
      <w:pPr>
        <w:pStyle w:val="NoSpacing"/>
        <w:spacing w:line="360" w:lineRule="auto"/>
      </w:pPr>
    </w:p>
    <w:p w14:paraId="07C1517D" w14:textId="774D6801" w:rsidR="00B50049" w:rsidRPr="00EC0229" w:rsidRDefault="00736C9E" w:rsidP="00100F75">
      <w:pPr>
        <w:pStyle w:val="Heading3"/>
        <w:spacing w:line="360" w:lineRule="auto"/>
        <w:rPr>
          <w:b w:val="0"/>
        </w:rPr>
      </w:pPr>
      <w:bookmarkStart w:id="483" w:name="RomanFinds"/>
      <w:bookmarkStart w:id="484" w:name="_Toc468266839"/>
      <w:bookmarkEnd w:id="483"/>
      <w:r>
        <w:t>7.1.3</w:t>
      </w:r>
      <w:r>
        <w:tab/>
      </w:r>
      <w:r w:rsidR="00100F75" w:rsidRPr="00EC0229">
        <w:t>Roman Finds Distribution</w:t>
      </w:r>
      <w:bookmarkEnd w:id="484"/>
      <w:r w:rsidR="00100F75" w:rsidRPr="00EC0229">
        <w:rPr>
          <w:b w:val="0"/>
        </w:rPr>
        <w:t xml:space="preserve"> </w:t>
      </w:r>
    </w:p>
    <w:p w14:paraId="543B27B3" w14:textId="1DCEDC3C" w:rsidR="00100F75" w:rsidRPr="00EC0229" w:rsidRDefault="00100F75" w:rsidP="006C2237">
      <w:pPr>
        <w:spacing w:line="360" w:lineRule="auto"/>
      </w:pPr>
      <w:r w:rsidRPr="00EC0229">
        <w:t xml:space="preserve">In the Roman period, coinage permeated daily life. As at December 2015, </w:t>
      </w:r>
      <w:r w:rsidRPr="00EC0229">
        <w:rPr>
          <w:i/>
        </w:rPr>
        <w:t>c.</w:t>
      </w:r>
      <w:r w:rsidRPr="00EC0229">
        <w:t>228,000 single Roman</w:t>
      </w:r>
      <w:r w:rsidRPr="00EC0229">
        <w:fldChar w:fldCharType="begin"/>
      </w:r>
      <w:r w:rsidRPr="00EC0229">
        <w:instrText xml:space="preserve"> XE "Roman" </w:instrText>
      </w:r>
      <w:r w:rsidRPr="00EC0229">
        <w:fldChar w:fldCharType="end"/>
      </w:r>
      <w:r w:rsidRPr="00EC0229">
        <w:t xml:space="preserve"> coins and 377 hoards, were registered on PAS</w:t>
      </w:r>
      <w:r w:rsidRPr="00EC0229">
        <w:rPr>
          <w:rStyle w:val="FootnoteReference"/>
        </w:rPr>
        <w:footnoteReference w:id="750"/>
      </w:r>
      <w:r w:rsidRPr="00EC0229">
        <w:t xml:space="preserve"> for all-England, typically, clustered around the Roman roads and fortifications</w:t>
      </w:r>
      <w:r w:rsidR="006C2237" w:rsidRPr="00EC0229">
        <w:t xml:space="preserve">, </w:t>
      </w:r>
      <w:r w:rsidR="006C2237" w:rsidRPr="00EC0229">
        <w:rPr>
          <w:color w:val="000000" w:themeColor="text1"/>
        </w:rPr>
        <w:t>(</w:t>
      </w:r>
      <w:r w:rsidR="006C2237" w:rsidRPr="00EC0229">
        <w:rPr>
          <w:i/>
        </w:rPr>
        <w:t>Map</w:t>
      </w:r>
      <w:r w:rsidR="006C2237" w:rsidRPr="00EC0229">
        <w:rPr>
          <w:i/>
        </w:rPr>
        <w:fldChar w:fldCharType="begin"/>
      </w:r>
      <w:r w:rsidR="006C2237" w:rsidRPr="00EC0229">
        <w:rPr>
          <w:i/>
        </w:rPr>
        <w:instrText xml:space="preserve"> XE "Map" </w:instrText>
      </w:r>
      <w:r w:rsidR="006C2237" w:rsidRPr="00EC0229">
        <w:rPr>
          <w:i/>
        </w:rPr>
        <w:fldChar w:fldCharType="end"/>
      </w:r>
      <w:r w:rsidR="006C2237" w:rsidRPr="00EC0229">
        <w:rPr>
          <w:i/>
        </w:rPr>
        <w:t xml:space="preserve"> 6.01, Table 7.02</w:t>
      </w:r>
      <w:r w:rsidR="006C2237" w:rsidRPr="00EC0229">
        <w:rPr>
          <w:color w:val="000000" w:themeColor="text1"/>
        </w:rPr>
        <w:t>)</w:t>
      </w:r>
      <w:r w:rsidRPr="00EC0229">
        <w:t xml:space="preserve">.  This compares to a total of 1,558 single early Anglo-Saxon entries consisting of eighteen gold shillings, 1,132 southern sceats, 61 northern sceats and 348 stycas. </w:t>
      </w:r>
    </w:p>
    <w:p w14:paraId="7C6EE4D3" w14:textId="77777777" w:rsidR="00100F75" w:rsidRPr="00EC0229" w:rsidRDefault="00100F75" w:rsidP="00100F75">
      <w:pPr>
        <w:pStyle w:val="NoSpacing"/>
        <w:spacing w:line="360" w:lineRule="auto"/>
      </w:pPr>
    </w:p>
    <w:p w14:paraId="454D7AF2" w14:textId="1AD9E840" w:rsidR="00100F75" w:rsidRPr="00EC0229" w:rsidRDefault="00100F75" w:rsidP="00100F75">
      <w:pPr>
        <w:pStyle w:val="NoSpacing"/>
        <w:spacing w:line="360" w:lineRule="auto"/>
        <w:rPr>
          <w:rFonts w:cs="Times New Roman"/>
          <w:color w:val="000000" w:themeColor="text1"/>
          <w:szCs w:val="24"/>
        </w:rPr>
      </w:pPr>
      <w:r w:rsidRPr="00EC0229">
        <w:rPr>
          <w:color w:val="000000" w:themeColor="text1"/>
        </w:rPr>
        <w:t xml:space="preserve">Where detection of Roman coins is unrestrained, constraints (e.g. of access) can be dismissed for later periods. The metallurgy, age mix, distribution and frequency of Roman coinage in the region may be fertile ground for </w:t>
      </w:r>
      <w:r w:rsidRPr="00EC0229">
        <w:t>future research</w:t>
      </w:r>
      <w:r w:rsidRPr="00EC0229">
        <w:rPr>
          <w:color w:val="000000" w:themeColor="text1"/>
        </w:rPr>
        <w:t xml:space="preserve"> (</w:t>
      </w:r>
      <w:r w:rsidRPr="00EC0229">
        <w:rPr>
          <w:color w:val="000000" w:themeColor="text1"/>
        </w:rPr>
        <w:fldChar w:fldCharType="begin"/>
      </w:r>
      <w:r w:rsidRPr="00EC0229">
        <w:rPr>
          <w:color w:val="000000" w:themeColor="text1"/>
        </w:rPr>
        <w:instrText xml:space="preserve"> PAGEREF Futureresearch \h </w:instrText>
      </w:r>
      <w:r w:rsidRPr="00EC0229">
        <w:rPr>
          <w:color w:val="000000" w:themeColor="text1"/>
        </w:rPr>
      </w:r>
      <w:r w:rsidRPr="00EC0229">
        <w:rPr>
          <w:color w:val="000000" w:themeColor="text1"/>
        </w:rPr>
        <w:fldChar w:fldCharType="separate"/>
      </w:r>
      <w:r w:rsidR="0012026B">
        <w:rPr>
          <w:noProof/>
          <w:color w:val="000000" w:themeColor="text1"/>
        </w:rPr>
        <w:t>323</w:t>
      </w:r>
      <w:r w:rsidRPr="00EC0229">
        <w:rPr>
          <w:color w:val="000000" w:themeColor="text1"/>
        </w:rPr>
        <w:fldChar w:fldCharType="end"/>
      </w:r>
      <w:r w:rsidRPr="00EC0229">
        <w:rPr>
          <w:color w:val="000000" w:themeColor="text1"/>
        </w:rPr>
        <w:t>). In the meantime, i</w:t>
      </w:r>
      <w:r w:rsidRPr="00EC0229">
        <w:t xml:space="preserve">n respect of the constraints listed at page </w:t>
      </w:r>
      <w:r w:rsidRPr="00EC0229">
        <w:fldChar w:fldCharType="begin"/>
      </w:r>
      <w:r w:rsidRPr="00EC0229">
        <w:instrText xml:space="preserve"> PAGEREF Constraints \h </w:instrText>
      </w:r>
      <w:r w:rsidRPr="00EC0229">
        <w:fldChar w:fldCharType="separate"/>
      </w:r>
      <w:r w:rsidR="0012026B">
        <w:rPr>
          <w:noProof/>
        </w:rPr>
        <w:t>82</w:t>
      </w:r>
      <w:r w:rsidRPr="00EC0229">
        <w:fldChar w:fldCharType="end"/>
      </w:r>
      <w:r w:rsidRPr="00EC0229">
        <w:t xml:space="preserve">, </w:t>
      </w:r>
      <w:r w:rsidRPr="00EC0229">
        <w:rPr>
          <w:color w:val="000000" w:themeColor="text1"/>
        </w:rPr>
        <w:t>caution must be exercised, specifically for data</w:t>
      </w:r>
      <w:r w:rsidRPr="00EC0229">
        <w:t xml:space="preserve"> extracted from PAS. On the input side, problems of bias, context, curation,</w:t>
      </w:r>
      <w:bookmarkStart w:id="485" w:name="_Ref441152283"/>
      <w:r w:rsidRPr="00EC0229">
        <w:rPr>
          <w:rStyle w:val="FootnoteReference"/>
        </w:rPr>
        <w:footnoteReference w:id="751"/>
      </w:r>
      <w:bookmarkEnd w:id="485"/>
      <w:r w:rsidRPr="00EC0229">
        <w:t xml:space="preserve"> accuracy and residuality,</w:t>
      </w:r>
      <w:bookmarkStart w:id="486" w:name="_Ref441152293"/>
      <w:r w:rsidRPr="00EC0229">
        <w:rPr>
          <w:rStyle w:val="FootnoteReference"/>
        </w:rPr>
        <w:footnoteReference w:id="752"/>
      </w:r>
      <w:bookmarkEnd w:id="486"/>
      <w:r w:rsidRPr="00EC0229">
        <w:t xml:space="preserve"> present formidable obstacles. As regards output, selection of search</w:t>
      </w:r>
      <w:r w:rsidR="00FE61A1" w:rsidRPr="00EC0229">
        <w:t xml:space="preserve"> results by U</w:t>
      </w:r>
      <w:r w:rsidRPr="00EC0229">
        <w:t xml:space="preserve">nitary </w:t>
      </w:r>
      <w:r w:rsidR="00FE61A1" w:rsidRPr="00EC0229">
        <w:lastRenderedPageBreak/>
        <w:t>A</w:t>
      </w:r>
      <w:r w:rsidRPr="00EC0229">
        <w:t>uthority has little relation to historical political geography and does not facilitate easy comparison.</w:t>
      </w:r>
    </w:p>
    <w:p w14:paraId="48727F57" w14:textId="77777777" w:rsidR="00100F75" w:rsidRPr="00EC0229" w:rsidRDefault="00100F75" w:rsidP="00100F75">
      <w:pPr>
        <w:pStyle w:val="NoSpacing"/>
        <w:spacing w:line="360" w:lineRule="auto"/>
      </w:pPr>
    </w:p>
    <w:p w14:paraId="7364D1AA" w14:textId="32260035" w:rsidR="00100F75" w:rsidRDefault="00100F75" w:rsidP="00100F75">
      <w:pPr>
        <w:pStyle w:val="NoSpacing"/>
        <w:spacing w:line="360" w:lineRule="auto"/>
        <w:rPr>
          <w:rFonts w:cs="Times New Roman"/>
          <w:szCs w:val="24"/>
        </w:rPr>
      </w:pPr>
      <w:r w:rsidRPr="00EC0229">
        <w:t>However, some broad observations may be made. There is a paucity of Roman coinage finds in Bernicia other than at strategic locations such as the Great North Road and Hadrian’s Wall. In the Central Lowlands</w:t>
      </w:r>
      <w:r w:rsidRPr="00EC0229">
        <w:fldChar w:fldCharType="begin"/>
      </w:r>
      <w:r w:rsidRPr="00EC0229">
        <w:instrText xml:space="preserve"> XE "Central Lowlands" </w:instrText>
      </w:r>
      <w:r w:rsidRPr="00EC0229">
        <w:fldChar w:fldCharType="end"/>
      </w:r>
      <w:r w:rsidRPr="00EC0229">
        <w:t>, there is also a heavy concentration along the Great North Road. PAS records 459 Roman coins for York Unitary Authority,</w:t>
      </w:r>
      <w:r w:rsidRPr="00EC0229">
        <w:rPr>
          <w:rStyle w:val="FootnoteReference"/>
        </w:rPr>
        <w:footnoteReference w:id="753"/>
      </w:r>
      <w:r w:rsidR="00323A3D">
        <w:t xml:space="preserve"> in addition those in</w:t>
      </w:r>
      <w:r w:rsidRPr="00EC0229">
        <w:t xml:space="preserve"> </w:t>
      </w:r>
      <w:r w:rsidRPr="00E4119D">
        <w:rPr>
          <w:i/>
          <w:color w:val="000000" w:themeColor="text1"/>
        </w:rPr>
        <w:t xml:space="preserve">Table </w:t>
      </w:r>
      <w:r w:rsidR="004F4BB5" w:rsidRPr="00E4119D">
        <w:rPr>
          <w:i/>
          <w:color w:val="000000" w:themeColor="text1"/>
        </w:rPr>
        <w:t>7.01</w:t>
      </w:r>
      <w:r w:rsidRPr="00E4119D">
        <w:rPr>
          <w:i/>
          <w:color w:val="000000" w:themeColor="text1"/>
        </w:rPr>
        <w:t>:</w:t>
      </w:r>
      <w:r w:rsidRPr="00E4119D">
        <w:rPr>
          <w:i/>
          <w:color w:val="000000" w:themeColor="text1"/>
          <w:szCs w:val="24"/>
        </w:rPr>
        <w:t xml:space="preserve"> </w:t>
      </w:r>
      <w:r w:rsidR="00E4119D" w:rsidRPr="00E4119D">
        <w:rPr>
          <w:rFonts w:eastAsia="Times New Roman" w:cs="Times New Roman"/>
          <w:i/>
          <w:color w:val="000000"/>
          <w:szCs w:val="24"/>
          <w:lang w:eastAsia="en-GB"/>
        </w:rPr>
        <w:t>Roman finds comparison - abstract</w:t>
      </w:r>
      <w:r w:rsidRPr="00EC0229">
        <w:rPr>
          <w:color w:val="000000" w:themeColor="text1"/>
        </w:rPr>
        <w:t xml:space="preserve">. Distribution is widespread with </w:t>
      </w:r>
      <w:r w:rsidR="00BF6095">
        <w:rPr>
          <w:color w:val="000000" w:themeColor="text1"/>
        </w:rPr>
        <w:t>several</w:t>
      </w:r>
      <w:r w:rsidRPr="00EC0229">
        <w:rPr>
          <w:color w:val="000000" w:themeColor="text1"/>
        </w:rPr>
        <w:t xml:space="preserve"> prolific ‘hot-spots’: </w:t>
      </w:r>
      <w:r w:rsidRPr="00EC0229">
        <w:rPr>
          <w:rFonts w:cs="Times New Roman"/>
          <w:color w:val="000000" w:themeColor="text1"/>
          <w:szCs w:val="24"/>
        </w:rPr>
        <w:t>in the East Riding, the greatest concentrations are around Rudston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Rudston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Langtoft, Pocklington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Pocklington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Welton and Hedon and in North Yorkshire, Catterick, Boroughbridge, Cawton, Spofforth</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Spofforth</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Tadcaster</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Tadcaster</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w:t>
      </w:r>
      <w:r w:rsidRPr="00EC0229">
        <w:rPr>
          <w:rFonts w:cs="Times New Roman"/>
          <w:szCs w:val="24"/>
        </w:rPr>
        <w:t xml:space="preserve"> </w:t>
      </w:r>
    </w:p>
    <w:p w14:paraId="6235311C" w14:textId="7A8C2B5B" w:rsidR="00E4119D" w:rsidRPr="00EC0229" w:rsidRDefault="00E4119D" w:rsidP="008A60B0">
      <w:pPr>
        <w:pStyle w:val="NoSpacing"/>
        <w:spacing w:line="360" w:lineRule="auto"/>
        <w:rPr>
          <w:color w:val="000000" w:themeColor="text1"/>
          <w:sz w:val="20"/>
          <w:szCs w:val="20"/>
        </w:rPr>
      </w:pPr>
    </w:p>
    <w:p w14:paraId="4218AFB5" w14:textId="348FFF86" w:rsidR="00100F75" w:rsidRPr="00EC0229" w:rsidRDefault="00100F75" w:rsidP="00100F75">
      <w:pPr>
        <w:pStyle w:val="NoSpacing"/>
        <w:spacing w:line="360" w:lineRule="auto"/>
        <w:rPr>
          <w:color w:val="000000" w:themeColor="text1"/>
        </w:rPr>
      </w:pPr>
      <w:r w:rsidRPr="00EC0229">
        <w:rPr>
          <w:rFonts w:cs="Times New Roman"/>
          <w:szCs w:val="24"/>
        </w:rPr>
        <w:t xml:space="preserve">The entries for these two substantial counties have been re-allocated to the regions used in this study. </w:t>
      </w:r>
      <w:r w:rsidRPr="00EC0229">
        <w:rPr>
          <w:rFonts w:cs="Times New Roman"/>
          <w:i/>
          <w:szCs w:val="24"/>
        </w:rPr>
        <w:fldChar w:fldCharType="begin"/>
      </w:r>
      <w:r w:rsidRPr="00EC0229">
        <w:rPr>
          <w:i/>
        </w:rPr>
        <w:instrText xml:space="preserve"> XE "</w:instrText>
      </w:r>
      <w:r w:rsidRPr="00EC0229">
        <w:rPr>
          <w:rFonts w:cs="Times New Roman"/>
          <w:i/>
          <w:noProof/>
        </w:rPr>
        <w:instrText>Vale of Pickering</w:instrText>
      </w:r>
      <w:r w:rsidRPr="00EC0229">
        <w:rPr>
          <w:i/>
        </w:rPr>
        <w:instrText xml:space="preserve">" </w:instrText>
      </w:r>
      <w:r w:rsidRPr="00EC0229">
        <w:rPr>
          <w:rFonts w:cs="Times New Roman"/>
          <w:i/>
          <w:szCs w:val="24"/>
        </w:rPr>
        <w:fldChar w:fldCharType="end"/>
      </w:r>
      <w:r w:rsidRPr="00EC0229">
        <w:rPr>
          <w:i/>
          <w:color w:val="000000" w:themeColor="text1"/>
        </w:rPr>
        <w:t xml:space="preserve">Table </w:t>
      </w:r>
      <w:r w:rsidR="0078141C" w:rsidRPr="00EC0229">
        <w:rPr>
          <w:i/>
          <w:color w:val="000000" w:themeColor="text1"/>
        </w:rPr>
        <w:t>7.02</w:t>
      </w:r>
      <w:r w:rsidR="000124C0" w:rsidRPr="00EC0229">
        <w:rPr>
          <w:i/>
          <w:color w:val="000000" w:themeColor="text1"/>
        </w:rPr>
        <w:t xml:space="preserve"> </w:t>
      </w:r>
      <w:r w:rsidRPr="00EC0229">
        <w:rPr>
          <w:color w:val="000000" w:themeColor="text1"/>
        </w:rPr>
        <w:t>shows a high correlation (96%, 100% by rank) between Roman and early Anglo-Saxon coin finds</w:t>
      </w:r>
      <w:r w:rsidR="00E6452D" w:rsidRPr="00EC0229">
        <w:rPr>
          <w:color w:val="000000" w:themeColor="text1"/>
        </w:rPr>
        <w:t xml:space="preserve">, </w:t>
      </w:r>
      <w:r w:rsidRPr="00EC0229">
        <w:rPr>
          <w:color w:val="000000" w:themeColor="text1"/>
        </w:rPr>
        <w:t>at the regional level, which is not sustained for other portable antiquities (33%, 67% by rank).</w:t>
      </w:r>
      <w:r w:rsidRPr="00EC0229">
        <w:rPr>
          <w:rStyle w:val="FootnoteReference"/>
          <w:color w:val="000000" w:themeColor="text1"/>
        </w:rPr>
        <w:footnoteReference w:id="754"/>
      </w:r>
      <w:r w:rsidRPr="00EC0229">
        <w:rPr>
          <w:color w:val="000000" w:themeColor="text1"/>
        </w:rPr>
        <w:t xml:space="preserve"> The distribution of Roman finds does not correlate closely between coins and artefacts (65%) but is very close for the early Anglo-Saxon period (98%). The implication is that the Roman artefactual distribution is anomalous,</w:t>
      </w:r>
      <w:r w:rsidRPr="00EC0229">
        <w:rPr>
          <w:rStyle w:val="FootnoteReference"/>
          <w:color w:val="000000" w:themeColor="text1"/>
        </w:rPr>
        <w:footnoteReference w:id="755"/>
      </w:r>
      <w:r w:rsidRPr="00EC0229">
        <w:rPr>
          <w:color w:val="000000" w:themeColor="text1"/>
        </w:rPr>
        <w:t xml:space="preserve"> so that here comparisons, in the individual case studies, are largely confined to the numismatic </w:t>
      </w:r>
      <w:r w:rsidR="006C2237" w:rsidRPr="00EC0229">
        <w:rPr>
          <w:color w:val="000000" w:themeColor="text1"/>
        </w:rPr>
        <w:t>database</w:t>
      </w:r>
      <w:r w:rsidRPr="00EC0229">
        <w:rPr>
          <w:color w:val="000000" w:themeColor="text1"/>
        </w:rPr>
        <w:t xml:space="preserve">s. </w:t>
      </w:r>
    </w:p>
    <w:p w14:paraId="4D63D534" w14:textId="77777777" w:rsidR="002C0E71" w:rsidRPr="00EC0229" w:rsidRDefault="002C0E71" w:rsidP="002C0E71"/>
    <w:p w14:paraId="3649D982" w14:textId="77777777" w:rsidR="00D311C4" w:rsidRDefault="00D311C4">
      <w:pPr>
        <w:spacing w:line="259" w:lineRule="auto"/>
        <w:jc w:val="left"/>
        <w:rPr>
          <w:b/>
          <w:sz w:val="28"/>
          <w:szCs w:val="26"/>
        </w:rPr>
      </w:pPr>
      <w:r>
        <w:br w:type="page"/>
      </w:r>
    </w:p>
    <w:p w14:paraId="481983C0" w14:textId="783A8F73" w:rsidR="00100F75" w:rsidRPr="00EC0229" w:rsidRDefault="00736C9E" w:rsidP="002C0E71">
      <w:pPr>
        <w:pStyle w:val="Heading2"/>
      </w:pPr>
      <w:bookmarkStart w:id="487" w:name="_Toc468266840"/>
      <w:r>
        <w:lastRenderedPageBreak/>
        <w:t>7.2</w:t>
      </w:r>
      <w:r>
        <w:tab/>
      </w:r>
      <w:r w:rsidR="002C0E71" w:rsidRPr="00EC0229">
        <w:t>Qualitative</w:t>
      </w:r>
      <w:r w:rsidR="00100F75" w:rsidRPr="00EC0229">
        <w:fldChar w:fldCharType="begin"/>
      </w:r>
      <w:r w:rsidR="00100F75" w:rsidRPr="00EC0229">
        <w:instrText xml:space="preserve"> XE "qualitative" </w:instrText>
      </w:r>
      <w:r w:rsidR="00100F75" w:rsidRPr="00EC0229">
        <w:fldChar w:fldCharType="end"/>
      </w:r>
      <w:r w:rsidR="002C0E71" w:rsidRPr="00EC0229">
        <w:t xml:space="preserve"> Analysis</w:t>
      </w:r>
      <w:bookmarkEnd w:id="487"/>
    </w:p>
    <w:p w14:paraId="15E04427" w14:textId="226DA617" w:rsidR="00100F75" w:rsidRPr="00EC0229" w:rsidRDefault="00736C9E" w:rsidP="00100F75">
      <w:pPr>
        <w:pStyle w:val="Heading3"/>
        <w:spacing w:line="360" w:lineRule="auto"/>
        <w:rPr>
          <w:rFonts w:cs="Times New Roman"/>
          <w:color w:val="000000" w:themeColor="text1"/>
        </w:rPr>
      </w:pPr>
      <w:bookmarkStart w:id="488" w:name="CoefficientofMonetization"/>
      <w:bookmarkStart w:id="489" w:name="_Toc468266841"/>
      <w:bookmarkEnd w:id="488"/>
      <w:r>
        <w:t>7.2.1</w:t>
      </w:r>
      <w:r>
        <w:tab/>
      </w:r>
      <w:r w:rsidR="00100F75" w:rsidRPr="00EC0229">
        <w:t xml:space="preserve">Coefficient of </w:t>
      </w:r>
      <w:r w:rsidR="003F2041" w:rsidRPr="00EC0229">
        <w:t>Monetiz</w:t>
      </w:r>
      <w:r w:rsidR="00100F75" w:rsidRPr="00EC0229">
        <w:t>ation</w:t>
      </w:r>
      <w:r w:rsidR="00100F75" w:rsidRPr="00EC0229">
        <w:fldChar w:fldCharType="begin"/>
      </w:r>
      <w:r w:rsidR="00100F75" w:rsidRPr="00EC0229">
        <w:instrText xml:space="preserve"> XE "</w:instrText>
      </w:r>
      <w:r w:rsidR="00100F75" w:rsidRPr="00EC0229">
        <w:rPr>
          <w:rStyle w:val="Hyperlink"/>
          <w:rFonts w:cs="Times New Roman"/>
          <w:noProof/>
          <w:u w:val="none"/>
        </w:rPr>
        <w:instrText>Monetization</w:instrText>
      </w:r>
      <w:r w:rsidR="00100F75" w:rsidRPr="00EC0229">
        <w:instrText xml:space="preserve">" </w:instrText>
      </w:r>
      <w:r w:rsidR="00100F75" w:rsidRPr="00EC0229">
        <w:fldChar w:fldCharType="end"/>
      </w:r>
      <w:r w:rsidR="007E79DB" w:rsidRPr="00EC0229">
        <w:t xml:space="preserve"> (</w:t>
      </w:r>
      <w:r w:rsidR="00100F75" w:rsidRPr="00EC0229">
        <w:rPr>
          <w:i/>
        </w:rPr>
        <w:t>CoM</w:t>
      </w:r>
      <w:r w:rsidR="007E79DB" w:rsidRPr="00EC0229">
        <w:t>)</w:t>
      </w:r>
      <w:bookmarkEnd w:id="489"/>
    </w:p>
    <w:p w14:paraId="57A3591E" w14:textId="5B642BAC" w:rsidR="00100F75" w:rsidRPr="00EC0229" w:rsidRDefault="00860889" w:rsidP="00100F75">
      <w:pPr>
        <w:pStyle w:val="NoSpacing"/>
        <w:spacing w:line="360" w:lineRule="auto"/>
        <w:rPr>
          <w:rFonts w:cs="Times New Roman"/>
          <w:b/>
          <w:color w:val="000000" w:themeColor="text1"/>
          <w:szCs w:val="24"/>
        </w:rPr>
      </w:pPr>
      <w:r w:rsidRPr="00EC0229">
        <w:rPr>
          <w:rFonts w:cs="Times New Roman"/>
          <w:color w:val="000000" w:themeColor="text1"/>
          <w:szCs w:val="24"/>
        </w:rPr>
        <w:t xml:space="preserve">In this study, the propinquity of coins and portable artefacts is taken to determine the extent of </w:t>
      </w:r>
      <w:r w:rsidR="003F2041" w:rsidRPr="00EC0229">
        <w:rPr>
          <w:rFonts w:cs="Times New Roman"/>
          <w:color w:val="000000" w:themeColor="text1"/>
          <w:szCs w:val="24"/>
        </w:rPr>
        <w:t>monetiz</w:t>
      </w:r>
      <w:r w:rsidRPr="00EC0229">
        <w:rPr>
          <w:rFonts w:cs="Times New Roman"/>
          <w:color w:val="000000" w:themeColor="text1"/>
          <w:szCs w:val="24"/>
        </w:rPr>
        <w:t xml:space="preserve">ation. Therefore, some measure of synchronicity is required. </w:t>
      </w:r>
      <w:r w:rsidR="00100F75" w:rsidRPr="00EC0229">
        <w:rPr>
          <w:rFonts w:cs="Times New Roman"/>
          <w:color w:val="000000" w:themeColor="text1"/>
          <w:szCs w:val="24"/>
        </w:rPr>
        <w:t xml:space="preserve">As stated in </w:t>
      </w:r>
      <w:r w:rsidR="00923167">
        <w:rPr>
          <w:rFonts w:cs="Times New Roman"/>
          <w:szCs w:val="24"/>
        </w:rPr>
        <w:t>c</w:t>
      </w:r>
      <w:r w:rsidR="003A3DAB" w:rsidRPr="00EC0229">
        <w:rPr>
          <w:rFonts w:cs="Times New Roman"/>
          <w:szCs w:val="24"/>
        </w:rPr>
        <w:t>hapter 1</w:t>
      </w:r>
      <w:r w:rsidR="00100F75" w:rsidRPr="00EC0229">
        <w:rPr>
          <w:rStyle w:val="Hyperlink"/>
          <w:rFonts w:cs="Times New Roman"/>
          <w:color w:val="000000" w:themeColor="text1"/>
          <w:szCs w:val="24"/>
          <w:u w:val="none"/>
        </w:rPr>
        <w:t xml:space="preserve"> </w:t>
      </w:r>
      <w:r w:rsidR="00100F75" w:rsidRPr="00EC0229">
        <w:rPr>
          <w:rFonts w:cs="Times New Roman"/>
          <w:color w:val="000000" w:themeColor="text1"/>
          <w:szCs w:val="24"/>
        </w:rPr>
        <w:t>(</w:t>
      </w:r>
      <w:r w:rsidR="00100F75" w:rsidRPr="00EC0229">
        <w:rPr>
          <w:rFonts w:cs="Times New Roman"/>
          <w:color w:val="000000" w:themeColor="text1"/>
          <w:szCs w:val="24"/>
        </w:rPr>
        <w:fldChar w:fldCharType="begin"/>
      </w:r>
      <w:r w:rsidR="00100F75" w:rsidRPr="00EC0229">
        <w:rPr>
          <w:rFonts w:cs="Times New Roman"/>
          <w:color w:val="000000" w:themeColor="text1"/>
          <w:szCs w:val="24"/>
        </w:rPr>
        <w:instrText xml:space="preserve"> PAGEREF coefficient \h </w:instrText>
      </w:r>
      <w:r w:rsidR="00100F75" w:rsidRPr="00EC0229">
        <w:rPr>
          <w:rFonts w:cs="Times New Roman"/>
          <w:color w:val="000000" w:themeColor="text1"/>
          <w:szCs w:val="24"/>
        </w:rPr>
      </w:r>
      <w:r w:rsidR="00100F75" w:rsidRPr="00EC0229">
        <w:rPr>
          <w:rFonts w:cs="Times New Roman"/>
          <w:color w:val="000000" w:themeColor="text1"/>
          <w:szCs w:val="24"/>
        </w:rPr>
        <w:fldChar w:fldCharType="separate"/>
      </w:r>
      <w:r w:rsidR="0012026B">
        <w:rPr>
          <w:rFonts w:cs="Times New Roman"/>
          <w:noProof/>
          <w:color w:val="000000" w:themeColor="text1"/>
          <w:szCs w:val="24"/>
        </w:rPr>
        <w:t>17</w:t>
      </w:r>
      <w:r w:rsidR="00100F75" w:rsidRPr="00EC0229">
        <w:rPr>
          <w:rFonts w:cs="Times New Roman"/>
          <w:color w:val="000000" w:themeColor="text1"/>
          <w:szCs w:val="24"/>
        </w:rPr>
        <w:fldChar w:fldCharType="end"/>
      </w:r>
      <w:r w:rsidR="00100F75" w:rsidRPr="00EC0229">
        <w:rPr>
          <w:rFonts w:cs="Times New Roman"/>
          <w:color w:val="000000" w:themeColor="text1"/>
          <w:szCs w:val="24"/>
        </w:rPr>
        <w:t xml:space="preserve">), ‘An expedient indicator, the </w:t>
      </w:r>
      <w:r w:rsidR="00100F75" w:rsidRPr="00EC0229">
        <w:rPr>
          <w:rFonts w:cs="Times New Roman"/>
          <w:i/>
          <w:szCs w:val="24"/>
        </w:rPr>
        <w:t xml:space="preserve">coefficient of </w:t>
      </w:r>
      <w:r w:rsidR="003F2041" w:rsidRPr="00EC0229">
        <w:rPr>
          <w:rFonts w:cs="Times New Roman"/>
          <w:i/>
          <w:szCs w:val="24"/>
        </w:rPr>
        <w:t>monetiz</w:t>
      </w:r>
      <w:r w:rsidR="00100F75" w:rsidRPr="00EC0229">
        <w:rPr>
          <w:rFonts w:cs="Times New Roman"/>
          <w:i/>
          <w:szCs w:val="24"/>
        </w:rPr>
        <w:t>ation</w:t>
      </w:r>
      <w:r w:rsidR="00100F75" w:rsidRPr="00EC0229">
        <w:rPr>
          <w:rFonts w:cs="Times New Roman"/>
          <w:i/>
          <w:szCs w:val="24"/>
        </w:rPr>
        <w:fldChar w:fldCharType="begin"/>
      </w:r>
      <w:r w:rsidR="00100F75" w:rsidRPr="00EC0229">
        <w:instrText xml:space="preserve"> XE "monetization" </w:instrText>
      </w:r>
      <w:r w:rsidR="00100F75" w:rsidRPr="00EC0229">
        <w:rPr>
          <w:rFonts w:cs="Times New Roman"/>
          <w:i/>
          <w:szCs w:val="24"/>
        </w:rPr>
        <w:fldChar w:fldCharType="end"/>
      </w:r>
      <w:r w:rsidR="00100F75" w:rsidRPr="00EC0229">
        <w:rPr>
          <w:rFonts w:cs="Times New Roman"/>
          <w:color w:val="000000" w:themeColor="text1"/>
          <w:szCs w:val="24"/>
        </w:rPr>
        <w:t xml:space="preserve"> is the ratio of the number of locations with both artefacts and coins to those with just artefacts’. </w:t>
      </w:r>
      <w:r w:rsidR="00100F75" w:rsidRPr="00EC0229">
        <w:rPr>
          <w:color w:val="000000" w:themeColor="text1"/>
        </w:rPr>
        <w:t xml:space="preserve">Aside from the peripheral groupings in </w:t>
      </w:r>
      <w:r w:rsidR="00C549DF">
        <w:rPr>
          <w:i/>
          <w:color w:val="000000" w:themeColor="text1"/>
        </w:rPr>
        <w:t>Datasets</w:t>
      </w:r>
      <w:r w:rsidR="00100F75" w:rsidRPr="00EC0229">
        <w:rPr>
          <w:i/>
          <w:color w:val="000000" w:themeColor="text1"/>
        </w:rPr>
        <w:t xml:space="preserve"> </w:t>
      </w:r>
      <w:r w:rsidR="00C549DF">
        <w:rPr>
          <w:i/>
          <w:color w:val="000000" w:themeColor="text1"/>
        </w:rPr>
        <w:t>5.01</w:t>
      </w:r>
      <w:r w:rsidR="00C549DF" w:rsidRPr="00C549DF">
        <w:rPr>
          <w:color w:val="000000" w:themeColor="text1"/>
        </w:rPr>
        <w:t xml:space="preserve"> and</w:t>
      </w:r>
      <w:r w:rsidR="00C549DF">
        <w:rPr>
          <w:i/>
          <w:color w:val="000000" w:themeColor="text1"/>
        </w:rPr>
        <w:t xml:space="preserve"> </w:t>
      </w:r>
      <w:r w:rsidR="001641C3" w:rsidRPr="00EC0229">
        <w:rPr>
          <w:i/>
          <w:color w:val="000000" w:themeColor="text1"/>
        </w:rPr>
        <w:t>6</w:t>
      </w:r>
      <w:r w:rsidR="00C549DF">
        <w:rPr>
          <w:i/>
          <w:color w:val="000000" w:themeColor="text1"/>
        </w:rPr>
        <w:t>.06</w:t>
      </w:r>
      <w:r w:rsidR="00100F75" w:rsidRPr="00EC0229">
        <w:rPr>
          <w:color w:val="000000" w:themeColor="text1"/>
        </w:rPr>
        <w:t xml:space="preserve">, there is a clear demonstration of </w:t>
      </w:r>
      <w:r w:rsidR="003F2041" w:rsidRPr="00EC0229">
        <w:rPr>
          <w:color w:val="000000" w:themeColor="text1"/>
        </w:rPr>
        <w:t>monetiz</w:t>
      </w:r>
      <w:r w:rsidR="00100F75" w:rsidRPr="00EC0229">
        <w:rPr>
          <w:color w:val="000000" w:themeColor="text1"/>
        </w:rPr>
        <w:t>ation, which</w:t>
      </w:r>
      <w:r w:rsidR="00100F75" w:rsidRPr="00EC0229">
        <w:rPr>
          <w:rFonts w:cs="Times New Roman"/>
          <w:color w:val="000000" w:themeColor="text1"/>
          <w:szCs w:val="24"/>
        </w:rPr>
        <w:t xml:space="preserve"> can be compared between regions, all subject to the same caveats.</w:t>
      </w:r>
      <w:r w:rsidR="00100F75" w:rsidRPr="00EC0229">
        <w:rPr>
          <w:color w:val="000000" w:themeColor="text1"/>
        </w:rPr>
        <w:t xml:space="preserve"> The Venn diagram below shows that </w:t>
      </w:r>
      <w:r w:rsidR="003F2041" w:rsidRPr="00EC0229">
        <w:rPr>
          <w:color w:val="000000" w:themeColor="text1"/>
        </w:rPr>
        <w:t>monetiz</w:t>
      </w:r>
      <w:r w:rsidR="00100F75" w:rsidRPr="00EC0229">
        <w:rPr>
          <w:color w:val="000000" w:themeColor="text1"/>
        </w:rPr>
        <w:t xml:space="preserve">ation, on this basis, is substantial </w:t>
      </w:r>
      <w:r w:rsidR="00100F75" w:rsidRPr="00EC0229">
        <w:rPr>
          <w:color w:val="000000" w:themeColor="text1"/>
          <w:szCs w:val="24"/>
        </w:rPr>
        <w:t>(</w:t>
      </w:r>
      <w:r w:rsidR="00100F75" w:rsidRPr="00EC0229">
        <w:rPr>
          <w:color w:val="000000" w:themeColor="text1"/>
          <w:szCs w:val="24"/>
        </w:rPr>
        <w:fldChar w:fldCharType="begin"/>
      </w:r>
      <w:r w:rsidR="00100F75" w:rsidRPr="00EC0229">
        <w:rPr>
          <w:color w:val="000000" w:themeColor="text1"/>
          <w:szCs w:val="24"/>
        </w:rPr>
        <w:instrText xml:space="preserve"> REF _Ref430246854 \h  \* MERGEFORMAT </w:instrText>
      </w:r>
      <w:r w:rsidR="00100F75" w:rsidRPr="00EC0229">
        <w:rPr>
          <w:color w:val="000000" w:themeColor="text1"/>
          <w:szCs w:val="24"/>
        </w:rPr>
      </w:r>
      <w:r w:rsidR="00100F75" w:rsidRPr="00EC0229">
        <w:rPr>
          <w:color w:val="000000" w:themeColor="text1"/>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62</w:t>
      </w:r>
      <w:r w:rsidR="00100F75" w:rsidRPr="00EC0229">
        <w:rPr>
          <w:color w:val="000000" w:themeColor="text1"/>
          <w:szCs w:val="24"/>
        </w:rPr>
        <w:fldChar w:fldCharType="end"/>
      </w:r>
      <w:r w:rsidR="00100F75" w:rsidRPr="00EC0229">
        <w:rPr>
          <w:color w:val="000000" w:themeColor="text1"/>
        </w:rPr>
        <w:t>).</w:t>
      </w:r>
    </w:p>
    <w:p w14:paraId="309EC2A5" w14:textId="77777777" w:rsidR="00100F75" w:rsidRPr="00EC0229" w:rsidRDefault="00100F75" w:rsidP="00100F75">
      <w:pPr>
        <w:pStyle w:val="NoSpacing"/>
        <w:spacing w:line="360" w:lineRule="auto"/>
        <w:ind w:left="720" w:firstLine="720"/>
        <w:rPr>
          <w:rFonts w:cs="Times New Roman"/>
          <w:b/>
          <w:color w:val="000000" w:themeColor="text1"/>
          <w:szCs w:val="24"/>
        </w:rPr>
      </w:pPr>
    </w:p>
    <w:p w14:paraId="559DF940" w14:textId="77777777" w:rsidR="00100F75" w:rsidRPr="00EC0229" w:rsidRDefault="00100F75" w:rsidP="00100F75">
      <w:pPr>
        <w:pStyle w:val="NoSpacing"/>
        <w:spacing w:line="360" w:lineRule="auto"/>
        <w:jc w:val="center"/>
        <w:rPr>
          <w:rFonts w:cs="Times New Roman"/>
          <w:i/>
          <w:color w:val="000000" w:themeColor="text1"/>
          <w:sz w:val="20"/>
          <w:szCs w:val="20"/>
        </w:rPr>
      </w:pPr>
      <w:r w:rsidRPr="00EC0229">
        <w:rPr>
          <w:rFonts w:cs="Times New Roman"/>
          <w:i/>
          <w:noProof/>
          <w:color w:val="000000" w:themeColor="text1"/>
          <w:sz w:val="20"/>
          <w:szCs w:val="20"/>
          <w:lang w:eastAsia="en-GB"/>
        </w:rPr>
        <w:drawing>
          <wp:inline distT="0" distB="0" distL="0" distR="0" wp14:anchorId="1EAC9C87" wp14:editId="5EFDB4AB">
            <wp:extent cx="3817620" cy="205769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nn diagram.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829527" cy="2064109"/>
                    </a:xfrm>
                    <a:prstGeom prst="rect">
                      <a:avLst/>
                    </a:prstGeom>
                  </pic:spPr>
                </pic:pic>
              </a:graphicData>
            </a:graphic>
          </wp:inline>
        </w:drawing>
      </w:r>
    </w:p>
    <w:p w14:paraId="286FE6C4" w14:textId="7802BFF8" w:rsidR="00100F75" w:rsidRPr="00EC0229" w:rsidRDefault="00100F75" w:rsidP="00100F75">
      <w:pPr>
        <w:pStyle w:val="NoSpacing"/>
        <w:spacing w:line="360" w:lineRule="auto"/>
        <w:jc w:val="center"/>
        <w:rPr>
          <w:sz w:val="20"/>
          <w:szCs w:val="20"/>
        </w:rPr>
      </w:pPr>
      <w:bookmarkStart w:id="490" w:name="_Ref430246854"/>
      <w:bookmarkStart w:id="491" w:name="_Toc46826703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62</w:t>
      </w:r>
      <w:r w:rsidRPr="00EC0229">
        <w:rPr>
          <w:sz w:val="20"/>
          <w:szCs w:val="20"/>
        </w:rPr>
        <w:fldChar w:fldCharType="end"/>
      </w:r>
      <w:bookmarkEnd w:id="490"/>
      <w:r w:rsidRPr="00EC0229">
        <w:rPr>
          <w:sz w:val="20"/>
          <w:szCs w:val="20"/>
        </w:rPr>
        <w:t>: Venn diagram of the number of locations producing artefact, coins and both.</w:t>
      </w:r>
      <w:bookmarkEnd w:id="491"/>
    </w:p>
    <w:p w14:paraId="67F4B0DC" w14:textId="77777777" w:rsidR="00100F75" w:rsidRPr="00EC0229" w:rsidRDefault="00100F75" w:rsidP="00100F75">
      <w:pPr>
        <w:pStyle w:val="NoSpacing"/>
        <w:spacing w:line="360" w:lineRule="auto"/>
        <w:rPr>
          <w:rFonts w:cs="Times New Roman"/>
          <w:color w:val="000000" w:themeColor="text1"/>
          <w:sz w:val="20"/>
          <w:szCs w:val="20"/>
        </w:rPr>
      </w:pPr>
    </w:p>
    <w:p w14:paraId="3131E8F3" w14:textId="026AD51B" w:rsidR="00100F75" w:rsidRPr="00EC0229" w:rsidRDefault="00100F75" w:rsidP="00100F75">
      <w:pPr>
        <w:pStyle w:val="NoSpacing"/>
        <w:spacing w:line="360" w:lineRule="auto"/>
        <w:rPr>
          <w:rFonts w:cs="Times New Roman"/>
          <w:color w:val="000000" w:themeColor="text1"/>
          <w:szCs w:val="24"/>
        </w:rPr>
      </w:pPr>
      <w:r w:rsidRPr="00EC0229">
        <w:rPr>
          <w:rFonts w:cs="Times New Roman"/>
          <w:color w:val="000000" w:themeColor="text1"/>
          <w:szCs w:val="24"/>
        </w:rPr>
        <w:t xml:space="preserve">Though clearly a device, </w:t>
      </w:r>
      <w:r w:rsidRPr="00EC0229">
        <w:rPr>
          <w:rFonts w:cs="Times New Roman"/>
          <w:i/>
          <w:color w:val="000000" w:themeColor="text1"/>
          <w:szCs w:val="24"/>
        </w:rPr>
        <w:t>CoM</w:t>
      </w:r>
      <w:r w:rsidRPr="00EC0229">
        <w:rPr>
          <w:rFonts w:cs="Times New Roman"/>
          <w:color w:val="000000" w:themeColor="text1"/>
          <w:szCs w:val="24"/>
        </w:rPr>
        <w:t xml:space="preserve"> does have some</w:t>
      </w:r>
      <w:r w:rsidR="00497AC3" w:rsidRPr="00EC0229">
        <w:rPr>
          <w:rFonts w:cs="Times New Roman"/>
          <w:color w:val="000000" w:themeColor="text1"/>
          <w:szCs w:val="24"/>
        </w:rPr>
        <w:t xml:space="preserve"> merit. For the entire dataset</w:t>
      </w:r>
      <w:r w:rsidRPr="00EC0229">
        <w:rPr>
          <w:rFonts w:cs="Times New Roman"/>
          <w:color w:val="000000" w:themeColor="text1"/>
          <w:szCs w:val="24"/>
        </w:rPr>
        <w:t xml:space="preserve"> of coins and artefacts, this ratio works out to 44%. These data are from formally recorded sources though the proportion could vary depending on the extent of non-disclosure. Excluding the eclectic mix of peripheral sites at the end of </w:t>
      </w:r>
      <w:r w:rsidR="00C549DF">
        <w:rPr>
          <w:rFonts w:cs="Times New Roman"/>
          <w:i/>
          <w:szCs w:val="24"/>
        </w:rPr>
        <w:t>Dataset 6.06,</w:t>
      </w:r>
      <w:r w:rsidRPr="00EC0229">
        <w:rPr>
          <w:rFonts w:cs="Times New Roman"/>
          <w:color w:val="000000" w:themeColor="text1"/>
          <w:szCs w:val="24"/>
        </w:rPr>
        <w:t xml:space="preserve"> for which numismatic data is partial, improves the </w:t>
      </w:r>
      <w:r w:rsidRPr="00EC0229">
        <w:rPr>
          <w:rFonts w:cs="Times New Roman"/>
          <w:i/>
          <w:color w:val="000000" w:themeColor="text1"/>
          <w:szCs w:val="24"/>
        </w:rPr>
        <w:t>COM</w:t>
      </w:r>
      <w:r w:rsidRPr="00EC0229">
        <w:rPr>
          <w:rFonts w:cs="Times New Roman"/>
          <w:color w:val="000000" w:themeColor="text1"/>
          <w:szCs w:val="24"/>
        </w:rPr>
        <w:t xml:space="preserve"> to over 48%. The proportions for the Wolds</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is 70%, Vale of Pickering</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Vale of Pickering</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53% and Central Lowlands</w:t>
      </w:r>
      <w:r w:rsidRPr="00EC0229">
        <w:rPr>
          <w:rFonts w:cs="Times New Roman"/>
          <w:color w:val="000000" w:themeColor="text1"/>
          <w:szCs w:val="24"/>
        </w:rPr>
        <w:fldChar w:fldCharType="begin"/>
      </w:r>
      <w:r w:rsidRPr="00EC0229">
        <w:instrText xml:space="preserve"> XE "Central Lowlands" </w:instrText>
      </w:r>
      <w:r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39%. Albeit an artifice, this ratio is useful in demonstrating relative levels of monied activity. </w:t>
      </w:r>
      <w:bookmarkStart w:id="492" w:name="threshold"/>
      <w:bookmarkEnd w:id="492"/>
      <w:r w:rsidRPr="00EC0229">
        <w:rPr>
          <w:rFonts w:cs="Times New Roman"/>
          <w:color w:val="000000" w:themeColor="text1"/>
          <w:szCs w:val="24"/>
        </w:rPr>
        <w:t xml:space="preserve">To demonstrate </w:t>
      </w:r>
      <w:r w:rsidR="003F2041" w:rsidRPr="00EC0229">
        <w:rPr>
          <w:rFonts w:cs="Times New Roman"/>
          <w:color w:val="000000" w:themeColor="text1"/>
          <w:szCs w:val="24"/>
        </w:rPr>
        <w:t>monetiz</w:t>
      </w:r>
      <w:r w:rsidRPr="00EC0229">
        <w:rPr>
          <w:rFonts w:cs="Times New Roman"/>
          <w:color w:val="000000" w:themeColor="text1"/>
          <w:szCs w:val="24"/>
        </w:rPr>
        <w:t>ation as here defined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monetization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74</w:t>
      </w:r>
      <w:r w:rsidRPr="00EC0229">
        <w:rPr>
          <w:rFonts w:cs="Times New Roman"/>
          <w:color w:val="000000" w:themeColor="text1"/>
          <w:szCs w:val="24"/>
        </w:rPr>
        <w:fldChar w:fldCharType="end"/>
      </w:r>
      <w:r w:rsidRPr="00EC0229">
        <w:rPr>
          <w:rFonts w:cs="Times New Roman"/>
          <w:color w:val="000000" w:themeColor="text1"/>
          <w:szCs w:val="24"/>
        </w:rPr>
        <w:t>)</w:t>
      </w:r>
      <w:r w:rsidRPr="00EC0229">
        <w:rPr>
          <w:rFonts w:cs="Times New Roman"/>
          <w:color w:val="000000" w:themeColor="text1"/>
          <w:szCs w:val="24"/>
        </w:rPr>
        <w:fldChar w:fldCharType="begin"/>
      </w:r>
      <w:r w:rsidRPr="00EC0229">
        <w:instrText xml:space="preserve"> XE "monetization" </w:instrText>
      </w:r>
      <w:r w:rsidRPr="00EC0229">
        <w:rPr>
          <w:rFonts w:cs="Times New Roman"/>
          <w:color w:val="000000" w:themeColor="text1"/>
          <w:szCs w:val="24"/>
        </w:rPr>
        <w:fldChar w:fldCharType="end"/>
      </w:r>
      <w:r w:rsidRPr="00EC0229">
        <w:rPr>
          <w:rFonts w:cs="Times New Roman"/>
          <w:color w:val="000000" w:themeColor="text1"/>
          <w:szCs w:val="24"/>
        </w:rPr>
        <w:t xml:space="preserve">, it would be desirable that coins surfaced at all sites producing artefacts, i.e. a </w:t>
      </w:r>
      <w:r w:rsidRPr="00EC0229">
        <w:rPr>
          <w:rFonts w:cs="Times New Roman"/>
          <w:i/>
          <w:color w:val="000000" w:themeColor="text1"/>
          <w:szCs w:val="24"/>
        </w:rPr>
        <w:t>CoM</w:t>
      </w:r>
      <w:r w:rsidRPr="00EC0229">
        <w:rPr>
          <w:rFonts w:cs="Times New Roman"/>
          <w:color w:val="000000" w:themeColor="text1"/>
          <w:szCs w:val="24"/>
        </w:rPr>
        <w:t xml:space="preserve"> of 100%, as may be the case for the Roman</w:t>
      </w:r>
      <w:r w:rsidRPr="00EC0229">
        <w:rPr>
          <w:rFonts w:cs="Times New Roman"/>
          <w:color w:val="000000" w:themeColor="text1"/>
          <w:szCs w:val="24"/>
        </w:rPr>
        <w:fldChar w:fldCharType="begin"/>
      </w:r>
      <w:r w:rsidRPr="00EC0229">
        <w:instrText xml:space="preserve"> XE "Roman" </w:instrText>
      </w:r>
      <w:r w:rsidRPr="00EC0229">
        <w:rPr>
          <w:rFonts w:cs="Times New Roman"/>
          <w:color w:val="000000" w:themeColor="text1"/>
          <w:szCs w:val="24"/>
        </w:rPr>
        <w:fldChar w:fldCharType="end"/>
      </w:r>
      <w:r w:rsidRPr="00EC0229">
        <w:rPr>
          <w:rFonts w:cs="Times New Roman"/>
          <w:color w:val="000000" w:themeColor="text1"/>
          <w:szCs w:val="24"/>
        </w:rPr>
        <w:t xml:space="preserve"> period (despite the </w:t>
      </w:r>
      <w:r w:rsidR="00FE61A1" w:rsidRPr="00EC0229">
        <w:rPr>
          <w:rFonts w:cs="Times New Roman"/>
          <w:color w:val="000000" w:themeColor="text1"/>
          <w:szCs w:val="24"/>
        </w:rPr>
        <w:t xml:space="preserve">apparent </w:t>
      </w:r>
      <w:r w:rsidRPr="00EC0229">
        <w:rPr>
          <w:rFonts w:cs="Times New Roman"/>
          <w:color w:val="000000" w:themeColor="text1"/>
          <w:szCs w:val="24"/>
        </w:rPr>
        <w:t>anomalous distributions</w:t>
      </w:r>
      <w:r w:rsidR="00C549DF">
        <w:rPr>
          <w:rFonts w:cs="Times New Roman"/>
          <w:color w:val="000000" w:themeColor="text1"/>
          <w:szCs w:val="24"/>
        </w:rPr>
        <w:t xml:space="preserve"> shown in </w:t>
      </w:r>
      <w:r w:rsidR="00C549DF" w:rsidRPr="00C549DF">
        <w:rPr>
          <w:rFonts w:cs="Times New Roman"/>
          <w:i/>
          <w:color w:val="000000" w:themeColor="text1"/>
          <w:szCs w:val="24"/>
        </w:rPr>
        <w:t>Table 7.02</w:t>
      </w:r>
      <w:r w:rsidRPr="00C549DF">
        <w:rPr>
          <w:rFonts w:cs="Times New Roman"/>
          <w:color w:val="000000" w:themeColor="text1"/>
          <w:szCs w:val="24"/>
        </w:rPr>
        <w:t>).</w:t>
      </w:r>
      <w:r w:rsidRPr="00EC0229">
        <w:rPr>
          <w:rFonts w:cs="Times New Roman"/>
          <w:color w:val="000000" w:themeColor="text1"/>
          <w:szCs w:val="24"/>
        </w:rPr>
        <w:t xml:space="preserve"> It is not necessary beyond this threshold to demonstrate greater volume of coinage or velocity of circulation; </w:t>
      </w:r>
      <w:r w:rsidR="003F2041" w:rsidRPr="00EC0229">
        <w:rPr>
          <w:rFonts w:cs="Times New Roman"/>
          <w:color w:val="000000" w:themeColor="text1"/>
          <w:szCs w:val="24"/>
        </w:rPr>
        <w:t>monetiz</w:t>
      </w:r>
      <w:r w:rsidRPr="00EC0229">
        <w:rPr>
          <w:rFonts w:cs="Times New Roman"/>
          <w:color w:val="000000" w:themeColor="text1"/>
          <w:szCs w:val="24"/>
        </w:rPr>
        <w:t>ation has been achieved.</w:t>
      </w:r>
    </w:p>
    <w:p w14:paraId="62C283DF" w14:textId="77777777" w:rsidR="00100F75" w:rsidRPr="00EC0229" w:rsidRDefault="00100F75" w:rsidP="00100F75">
      <w:pPr>
        <w:pStyle w:val="NoSpacing"/>
        <w:spacing w:line="360" w:lineRule="auto"/>
        <w:rPr>
          <w:rFonts w:cs="Times New Roman"/>
          <w:color w:val="000000" w:themeColor="text1"/>
          <w:szCs w:val="24"/>
        </w:rPr>
      </w:pPr>
    </w:p>
    <w:p w14:paraId="5B49FACB" w14:textId="2BE73679" w:rsidR="00100F75" w:rsidRPr="00EC0229" w:rsidRDefault="00736C9E" w:rsidP="00100F75">
      <w:pPr>
        <w:pStyle w:val="Heading3"/>
        <w:spacing w:line="360" w:lineRule="auto"/>
      </w:pPr>
      <w:bookmarkStart w:id="493" w:name="_Toc468266842"/>
      <w:r>
        <w:lastRenderedPageBreak/>
        <w:t>7.2.1</w:t>
      </w:r>
      <w:r>
        <w:tab/>
      </w:r>
      <w:r w:rsidR="00100F75" w:rsidRPr="00EC0229">
        <w:t>Additional Analytical Tools</w:t>
      </w:r>
      <w:bookmarkEnd w:id="493"/>
    </w:p>
    <w:p w14:paraId="40273675" w14:textId="2240BFB0" w:rsidR="00100F75" w:rsidRDefault="00E40C11" w:rsidP="00100F75">
      <w:pPr>
        <w:pStyle w:val="NoSpacing"/>
        <w:spacing w:line="360" w:lineRule="auto"/>
        <w:rPr>
          <w:rFonts w:cs="Times New Roman"/>
          <w:color w:val="000000" w:themeColor="text1"/>
          <w:szCs w:val="24"/>
        </w:rPr>
      </w:pPr>
      <w:r>
        <w:rPr>
          <w:rFonts w:cs="Times New Roman"/>
          <w:i/>
          <w:szCs w:val="24"/>
        </w:rPr>
        <w:t>Dataset 6.06</w:t>
      </w:r>
      <w:r w:rsidR="00100F75" w:rsidRPr="00EC0229">
        <w:rPr>
          <w:rFonts w:cs="Times New Roman"/>
          <w:i/>
          <w:color w:val="000000" w:themeColor="text1"/>
          <w:szCs w:val="24"/>
        </w:rPr>
        <w:t xml:space="preserve"> </w:t>
      </w:r>
      <w:r w:rsidR="00100F75" w:rsidRPr="00EC0229">
        <w:rPr>
          <w:rFonts w:cs="Times New Roman"/>
          <w:color w:val="000000" w:themeColor="text1"/>
          <w:szCs w:val="24"/>
        </w:rPr>
        <w:t>provides a matrix of artefact types by location, gro</w:t>
      </w:r>
      <w:r w:rsidR="00FE61A1" w:rsidRPr="00EC0229">
        <w:rPr>
          <w:rFonts w:cs="Times New Roman"/>
          <w:color w:val="000000" w:themeColor="text1"/>
          <w:szCs w:val="24"/>
        </w:rPr>
        <w:t>uped and summarized regionally</w:t>
      </w:r>
      <w:r w:rsidR="00100F75" w:rsidRPr="00EC0229">
        <w:rPr>
          <w:rFonts w:cs="Times New Roman"/>
          <w:color w:val="000000" w:themeColor="text1"/>
          <w:szCs w:val="24"/>
        </w:rPr>
        <w:t>.</w:t>
      </w:r>
      <w:r w:rsidR="00FE61A1" w:rsidRPr="00EC0229">
        <w:rPr>
          <w:rStyle w:val="FootnoteReference"/>
          <w:rFonts w:cs="Times New Roman"/>
          <w:color w:val="000000" w:themeColor="text1"/>
          <w:szCs w:val="24"/>
        </w:rPr>
        <w:footnoteReference w:id="756"/>
      </w:r>
      <w:r w:rsidR="00100F75" w:rsidRPr="00EC0229">
        <w:rPr>
          <w:rFonts w:cs="Times New Roman"/>
          <w:color w:val="000000" w:themeColor="text1"/>
          <w:szCs w:val="24"/>
        </w:rPr>
        <w:t xml:space="preserve"> The implications are discussed at the end of each case study. The statistical distribution of artefacts may be summaries as follows:</w:t>
      </w:r>
    </w:p>
    <w:p w14:paraId="29068374" w14:textId="50D4A00D" w:rsidR="00C549DF" w:rsidRDefault="00C549DF" w:rsidP="00100F75">
      <w:pPr>
        <w:pStyle w:val="NoSpacing"/>
        <w:spacing w:line="360" w:lineRule="auto"/>
        <w:rPr>
          <w:rFonts w:cs="Times New Roman"/>
          <w:color w:val="000000" w:themeColor="text1"/>
          <w:szCs w:val="24"/>
        </w:rPr>
      </w:pPr>
    </w:p>
    <w:p w14:paraId="080D03B8" w14:textId="77777777" w:rsidR="00C549DF" w:rsidRPr="00EC0229" w:rsidRDefault="00C549DF" w:rsidP="00100F75">
      <w:pPr>
        <w:pStyle w:val="NoSpacing"/>
        <w:spacing w:line="360" w:lineRule="auto"/>
        <w:rPr>
          <w:rFonts w:cs="Times New Roman"/>
          <w:color w:val="000000" w:themeColor="text1"/>
          <w:szCs w:val="24"/>
        </w:rPr>
      </w:pPr>
    </w:p>
    <w:tbl>
      <w:tblPr>
        <w:tblStyle w:val="PlainTable5"/>
        <w:tblW w:w="0" w:type="auto"/>
        <w:jc w:val="center"/>
        <w:tblLook w:val="04A0" w:firstRow="1" w:lastRow="0" w:firstColumn="1" w:lastColumn="0" w:noHBand="0" w:noVBand="1"/>
      </w:tblPr>
      <w:tblGrid>
        <w:gridCol w:w="1803"/>
        <w:gridCol w:w="1878"/>
        <w:gridCol w:w="1728"/>
      </w:tblGrid>
      <w:tr w:rsidR="00100F75" w:rsidRPr="00EC0229" w14:paraId="33568630" w14:textId="77777777" w:rsidTr="00854404">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803" w:type="dxa"/>
          </w:tcPr>
          <w:p w14:paraId="3B60F1E2" w14:textId="77777777" w:rsidR="00100F75" w:rsidRPr="00EC0229" w:rsidRDefault="00100F75" w:rsidP="00854404">
            <w:pPr>
              <w:pStyle w:val="NoSpacing"/>
              <w:spacing w:line="360" w:lineRule="auto"/>
              <w:rPr>
                <w:rFonts w:cs="Times New Roman"/>
                <w:color w:val="000000" w:themeColor="text1"/>
                <w:szCs w:val="24"/>
              </w:rPr>
            </w:pPr>
            <w:r w:rsidRPr="00EC0229">
              <w:rPr>
                <w:rFonts w:cs="Times New Roman"/>
                <w:color w:val="000000" w:themeColor="text1"/>
                <w:szCs w:val="24"/>
              </w:rPr>
              <w:t>% of objects</w:t>
            </w:r>
          </w:p>
        </w:tc>
        <w:tc>
          <w:tcPr>
            <w:tcW w:w="1878" w:type="dxa"/>
          </w:tcPr>
          <w:p w14:paraId="112C3A9B" w14:textId="77777777" w:rsidR="00100F75" w:rsidRPr="00EC0229" w:rsidRDefault="00100F75" w:rsidP="00854404">
            <w:pPr>
              <w:pStyle w:val="NoSpacing"/>
              <w:spacing w:line="360" w:lineRule="auto"/>
              <w:cnfStyle w:val="100000000000" w:firstRow="1" w:lastRow="0" w:firstColumn="0" w:lastColumn="0" w:oddVBand="0" w:evenVBand="0" w:oddHBand="0"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 xml:space="preserve">Of 217 locations: </w:t>
            </w:r>
          </w:p>
        </w:tc>
        <w:tc>
          <w:tcPr>
            <w:tcW w:w="1728" w:type="dxa"/>
          </w:tcPr>
          <w:p w14:paraId="68D0F511" w14:textId="77777777" w:rsidR="00100F75" w:rsidRPr="00EC0229" w:rsidRDefault="00100F75" w:rsidP="00854404">
            <w:pPr>
              <w:pStyle w:val="NoSpacing"/>
              <w:spacing w:line="360" w:lineRule="auto"/>
              <w:cnfStyle w:val="100000000000" w:firstRow="1" w:lastRow="0" w:firstColumn="0" w:lastColumn="0" w:oddVBand="0" w:evenVBand="0" w:oddHBand="0"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Of 127 types:</w:t>
            </w:r>
          </w:p>
        </w:tc>
      </w:tr>
      <w:tr w:rsidR="00100F75" w:rsidRPr="00EC0229" w14:paraId="552EFE77" w14:textId="77777777" w:rsidTr="00854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1966A054" w14:textId="77777777" w:rsidR="00100F75" w:rsidRPr="00EC0229" w:rsidRDefault="00100F75" w:rsidP="00854404">
            <w:pPr>
              <w:pStyle w:val="NoSpacing"/>
              <w:spacing w:line="360" w:lineRule="auto"/>
              <w:rPr>
                <w:rFonts w:cs="Times New Roman"/>
                <w:color w:val="000000" w:themeColor="text1"/>
                <w:szCs w:val="24"/>
              </w:rPr>
            </w:pPr>
            <w:r w:rsidRPr="00EC0229">
              <w:rPr>
                <w:rFonts w:cs="Times New Roman"/>
                <w:color w:val="000000" w:themeColor="text1"/>
                <w:szCs w:val="24"/>
              </w:rPr>
              <w:t>Top 5</w:t>
            </w:r>
          </w:p>
        </w:tc>
        <w:tc>
          <w:tcPr>
            <w:tcW w:w="1878" w:type="dxa"/>
          </w:tcPr>
          <w:p w14:paraId="11217589" w14:textId="77777777" w:rsidR="00100F75" w:rsidRPr="00EC0229" w:rsidRDefault="00100F75" w:rsidP="00854404">
            <w:pPr>
              <w:pStyle w:val="NoSpacing"/>
              <w:spacing w:line="36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47.7%</w:t>
            </w:r>
          </w:p>
        </w:tc>
        <w:tc>
          <w:tcPr>
            <w:tcW w:w="1728" w:type="dxa"/>
          </w:tcPr>
          <w:p w14:paraId="4BA6B307" w14:textId="77777777" w:rsidR="00100F75" w:rsidRPr="00EC0229" w:rsidRDefault="00100F75" w:rsidP="00854404">
            <w:pPr>
              <w:pStyle w:val="NoSpacing"/>
              <w:spacing w:line="36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55.9%</w:t>
            </w:r>
          </w:p>
        </w:tc>
      </w:tr>
      <w:tr w:rsidR="00100F75" w:rsidRPr="00EC0229" w14:paraId="01A659D7" w14:textId="77777777" w:rsidTr="00854404">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06E4FCCA" w14:textId="77777777" w:rsidR="00100F75" w:rsidRPr="00EC0229" w:rsidRDefault="00100F75" w:rsidP="00854404">
            <w:pPr>
              <w:pStyle w:val="NoSpacing"/>
              <w:spacing w:line="360" w:lineRule="auto"/>
              <w:rPr>
                <w:rFonts w:cs="Times New Roman"/>
                <w:color w:val="000000" w:themeColor="text1"/>
                <w:szCs w:val="24"/>
              </w:rPr>
            </w:pPr>
            <w:r w:rsidRPr="00EC0229">
              <w:rPr>
                <w:rFonts w:cs="Times New Roman"/>
                <w:color w:val="000000" w:themeColor="text1"/>
                <w:szCs w:val="24"/>
              </w:rPr>
              <w:t>Top 10</w:t>
            </w:r>
          </w:p>
        </w:tc>
        <w:tc>
          <w:tcPr>
            <w:tcW w:w="1878" w:type="dxa"/>
          </w:tcPr>
          <w:p w14:paraId="19C297E5" w14:textId="77777777" w:rsidR="00100F75" w:rsidRPr="00EC0229" w:rsidRDefault="00100F75" w:rsidP="00854404">
            <w:pPr>
              <w:pStyle w:val="NoSpacing"/>
              <w:spacing w:line="36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63.6%</w:t>
            </w:r>
          </w:p>
        </w:tc>
        <w:tc>
          <w:tcPr>
            <w:tcW w:w="1728" w:type="dxa"/>
          </w:tcPr>
          <w:p w14:paraId="5949DCBE" w14:textId="77777777" w:rsidR="00100F75" w:rsidRPr="00EC0229" w:rsidRDefault="00100F75" w:rsidP="00854404">
            <w:pPr>
              <w:pStyle w:val="NoSpacing"/>
              <w:spacing w:line="360" w:lineRule="auto"/>
              <w:jc w:val="right"/>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68.7%</w:t>
            </w:r>
          </w:p>
        </w:tc>
      </w:tr>
      <w:tr w:rsidR="00100F75" w:rsidRPr="00EC0229" w14:paraId="325F352D" w14:textId="77777777" w:rsidTr="008544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65D14766" w14:textId="77777777" w:rsidR="00100F75" w:rsidRPr="00EC0229" w:rsidRDefault="00100F75" w:rsidP="00854404">
            <w:pPr>
              <w:pStyle w:val="NoSpacing"/>
              <w:spacing w:line="360" w:lineRule="auto"/>
              <w:rPr>
                <w:rFonts w:cs="Times New Roman"/>
                <w:color w:val="000000" w:themeColor="text1"/>
                <w:szCs w:val="24"/>
              </w:rPr>
            </w:pPr>
            <w:r w:rsidRPr="00EC0229">
              <w:rPr>
                <w:rFonts w:cs="Times New Roman"/>
                <w:color w:val="000000" w:themeColor="text1"/>
                <w:szCs w:val="24"/>
              </w:rPr>
              <w:t>Top 20</w:t>
            </w:r>
          </w:p>
        </w:tc>
        <w:tc>
          <w:tcPr>
            <w:tcW w:w="1878" w:type="dxa"/>
          </w:tcPr>
          <w:p w14:paraId="28ACFA09" w14:textId="77777777" w:rsidR="00100F75" w:rsidRPr="00EC0229" w:rsidRDefault="00100F75" w:rsidP="00854404">
            <w:pPr>
              <w:pStyle w:val="NoSpacing"/>
              <w:spacing w:line="36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76.8%</w:t>
            </w:r>
          </w:p>
        </w:tc>
        <w:tc>
          <w:tcPr>
            <w:tcW w:w="1728" w:type="dxa"/>
          </w:tcPr>
          <w:p w14:paraId="0F00F261" w14:textId="77777777" w:rsidR="00100F75" w:rsidRPr="00EC0229" w:rsidRDefault="00100F75" w:rsidP="00854404">
            <w:pPr>
              <w:pStyle w:val="NoSpacing"/>
              <w:spacing w:line="360" w:lineRule="auto"/>
              <w:jc w:val="right"/>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EC0229">
              <w:rPr>
                <w:rFonts w:cs="Times New Roman"/>
                <w:color w:val="000000" w:themeColor="text1"/>
                <w:szCs w:val="24"/>
              </w:rPr>
              <w:t>81.5%</w:t>
            </w:r>
          </w:p>
        </w:tc>
      </w:tr>
    </w:tbl>
    <w:p w14:paraId="0987D332" w14:textId="5436EC89" w:rsidR="00100F75" w:rsidRPr="00EC0229" w:rsidRDefault="00E40C11" w:rsidP="00100F75">
      <w:pPr>
        <w:pStyle w:val="NoSpacing"/>
        <w:spacing w:line="360" w:lineRule="auto"/>
        <w:jc w:val="center"/>
        <w:rPr>
          <w:rFonts w:cs="Times New Roman"/>
          <w:color w:val="000000" w:themeColor="text1"/>
          <w:sz w:val="20"/>
          <w:szCs w:val="20"/>
        </w:rPr>
      </w:pPr>
      <w:r>
        <w:rPr>
          <w:rFonts w:cs="Times New Roman"/>
          <w:i/>
          <w:color w:val="000000" w:themeColor="text1"/>
          <w:sz w:val="20"/>
          <w:szCs w:val="20"/>
        </w:rPr>
        <w:t>Dataset 6.06</w:t>
      </w:r>
      <w:r w:rsidR="00100F75" w:rsidRPr="00EC0229">
        <w:rPr>
          <w:rFonts w:cs="Times New Roman"/>
          <w:color w:val="000000" w:themeColor="text1"/>
          <w:sz w:val="20"/>
          <w:szCs w:val="20"/>
        </w:rPr>
        <w:t xml:space="preserve"> (extract): Statistical distributions of objects on PAS</w:t>
      </w:r>
      <w:r w:rsidR="00100F75" w:rsidRPr="00EC0229">
        <w:rPr>
          <w:rFonts w:cs="Times New Roman"/>
          <w:color w:val="000000" w:themeColor="text1"/>
          <w:sz w:val="20"/>
          <w:szCs w:val="20"/>
        </w:rPr>
        <w:fldChar w:fldCharType="begin"/>
      </w:r>
      <w:r w:rsidR="00100F75" w:rsidRPr="00EC0229">
        <w:instrText xml:space="preserve"> XE "PAS" </w:instrText>
      </w:r>
      <w:r w:rsidR="00100F75" w:rsidRPr="00EC0229">
        <w:rPr>
          <w:rFonts w:cs="Times New Roman"/>
          <w:color w:val="000000" w:themeColor="text1"/>
          <w:sz w:val="20"/>
          <w:szCs w:val="20"/>
        </w:rPr>
        <w:fldChar w:fldCharType="end"/>
      </w:r>
      <w:r w:rsidR="00100F75" w:rsidRPr="00EC0229">
        <w:rPr>
          <w:rFonts w:cs="Times New Roman"/>
          <w:color w:val="000000" w:themeColor="text1"/>
          <w:sz w:val="20"/>
          <w:szCs w:val="20"/>
        </w:rPr>
        <w:t xml:space="preserve"> by location and type</w:t>
      </w:r>
    </w:p>
    <w:p w14:paraId="3ABDE275" w14:textId="77777777" w:rsidR="00100F75" w:rsidRPr="00EC0229" w:rsidRDefault="00100F75" w:rsidP="00100F75">
      <w:pPr>
        <w:pStyle w:val="NoSpacing"/>
        <w:spacing w:line="360" w:lineRule="auto"/>
        <w:jc w:val="center"/>
        <w:rPr>
          <w:rFonts w:cs="Times New Roman"/>
          <w:color w:val="000000" w:themeColor="text1"/>
          <w:sz w:val="20"/>
          <w:szCs w:val="20"/>
        </w:rPr>
      </w:pPr>
    </w:p>
    <w:p w14:paraId="21A56C4F" w14:textId="0B786B2B" w:rsidR="00100F75" w:rsidRPr="00EC0229" w:rsidRDefault="00100F75" w:rsidP="00100F75">
      <w:pPr>
        <w:pStyle w:val="NoSpacing"/>
        <w:spacing w:line="360" w:lineRule="auto"/>
        <w:rPr>
          <w:rFonts w:cs="Times New Roman"/>
          <w:color w:val="000000" w:themeColor="text1"/>
          <w:szCs w:val="24"/>
        </w:rPr>
      </w:pPr>
      <w:r w:rsidRPr="00EC0229">
        <w:rPr>
          <w:rFonts w:cs="Times New Roman"/>
          <w:color w:val="000000" w:themeColor="text1"/>
          <w:szCs w:val="24"/>
        </w:rPr>
        <w:t xml:space="preserve">This table encapsulates the extent to which specific locations (such as </w:t>
      </w:r>
      <w:r w:rsidRPr="00EC0229">
        <w:rPr>
          <w:rFonts w:cs="Times New Roman"/>
          <w:szCs w:val="24"/>
        </w:rPr>
        <w:t>Cottam</w:t>
      </w:r>
      <w:r w:rsidRPr="00EC0229">
        <w:rPr>
          <w:rFonts w:cs="Times New Roman"/>
          <w:szCs w:val="24"/>
        </w:rPr>
        <w:fldChar w:fldCharType="begin"/>
      </w:r>
      <w:r w:rsidRPr="00EC0229">
        <w:instrText xml:space="preserve"> XE "</w:instrText>
      </w:r>
      <w:r w:rsidRPr="00EC0229">
        <w:rPr>
          <w:rFonts w:eastAsia="Times New Roman"/>
          <w:noProof/>
          <w:lang w:eastAsia="en-GB"/>
        </w:rPr>
        <w:instrText>Cottam</w:instrText>
      </w:r>
      <w:r w:rsidRPr="00EC0229">
        <w:instrText xml:space="preserve">" </w:instrText>
      </w:r>
      <w:r w:rsidRPr="00EC0229">
        <w:rPr>
          <w:rFonts w:cs="Times New Roman"/>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Cottam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240</w:t>
      </w:r>
      <w:r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szCs w:val="24"/>
        </w:rPr>
        <w:t>South Newbald</w:t>
      </w:r>
      <w:r w:rsidRPr="00EC0229">
        <w:rPr>
          <w:rFonts w:cs="Times New Roman"/>
          <w:szCs w:val="24"/>
        </w:rPr>
        <w:fldChar w:fldCharType="begin"/>
      </w:r>
      <w:r w:rsidRPr="00EC0229">
        <w:instrText xml:space="preserve"> XE "</w:instrText>
      </w:r>
      <w:r w:rsidRPr="00EC0229">
        <w:rPr>
          <w:noProof/>
        </w:rPr>
        <w:instrText>South Newbald</w:instrText>
      </w:r>
      <w:r w:rsidRPr="00EC0229">
        <w:instrText xml:space="preserve">" </w:instrText>
      </w:r>
      <w:r w:rsidRPr="00EC0229">
        <w:rPr>
          <w:rFonts w:cs="Times New Roman"/>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SouthNewbald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232</w:t>
      </w:r>
      <w:r w:rsidRPr="00EC0229">
        <w:rPr>
          <w:rFonts w:cs="Times New Roman"/>
          <w:color w:val="000000" w:themeColor="text1"/>
          <w:szCs w:val="24"/>
        </w:rPr>
        <w:fldChar w:fldCharType="end"/>
      </w:r>
      <w:r w:rsidRPr="00EC0229">
        <w:rPr>
          <w:rFonts w:cs="Times New Roman"/>
          <w:color w:val="000000" w:themeColor="text1"/>
          <w:szCs w:val="24"/>
        </w:rPr>
        <w:t xml:space="preserve">), and </w:t>
      </w:r>
      <w:r w:rsidRPr="00EC0229">
        <w:rPr>
          <w:rFonts w:cs="Times New Roman"/>
          <w:szCs w:val="24"/>
        </w:rPr>
        <w:t>Wharram Percy</w:t>
      </w:r>
      <w:r w:rsidRPr="00EC0229">
        <w:rPr>
          <w:rFonts w:cs="Times New Roman"/>
          <w:szCs w:val="24"/>
        </w:rPr>
        <w:fldChar w:fldCharType="begin"/>
      </w:r>
      <w:r w:rsidRPr="00EC0229">
        <w:instrText xml:space="preserve"> XE "</w:instrText>
      </w:r>
      <w:r w:rsidRPr="00EC0229">
        <w:rPr>
          <w:noProof/>
        </w:rPr>
        <w:instrText>Wharram Percy</w:instrText>
      </w:r>
      <w:r w:rsidRPr="00EC0229">
        <w:instrText xml:space="preserve">" </w:instrText>
      </w:r>
      <w:r w:rsidRPr="00EC0229">
        <w:rPr>
          <w:rFonts w:cs="Times New Roman"/>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WharramPercy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237</w:t>
      </w:r>
      <w:r w:rsidRPr="00EC0229">
        <w:rPr>
          <w:rFonts w:cs="Times New Roman"/>
          <w:color w:val="000000" w:themeColor="text1"/>
          <w:szCs w:val="24"/>
        </w:rPr>
        <w:fldChar w:fldCharType="end"/>
      </w:r>
      <w:r w:rsidRPr="00EC0229">
        <w:rPr>
          <w:rFonts w:cs="Times New Roman"/>
          <w:color w:val="000000" w:themeColor="text1"/>
          <w:szCs w:val="24"/>
        </w:rPr>
        <w:t>)</w:t>
      </w:r>
      <w:r w:rsidR="00FE61A1" w:rsidRPr="00EC0229">
        <w:rPr>
          <w:rFonts w:cs="Times New Roman"/>
          <w:color w:val="000000" w:themeColor="text1"/>
          <w:szCs w:val="24"/>
        </w:rPr>
        <w:t>)</w:t>
      </w:r>
      <w:r w:rsidRPr="00EC0229">
        <w:rPr>
          <w:rFonts w:cs="Times New Roman"/>
          <w:color w:val="000000" w:themeColor="text1"/>
          <w:szCs w:val="24"/>
        </w:rPr>
        <w:t xml:space="preserve"> are rich in objects, have been more exhaustively searched or assiduously reported, and also how specific types of objects (pins, brooches and strap ends) dominate quantitatively. </w:t>
      </w:r>
    </w:p>
    <w:p w14:paraId="6238E951" w14:textId="77777777" w:rsidR="00100F75" w:rsidRPr="00EC0229" w:rsidRDefault="00100F75" w:rsidP="00100F75">
      <w:pPr>
        <w:pStyle w:val="NoSpacing"/>
        <w:spacing w:line="360" w:lineRule="auto"/>
      </w:pPr>
    </w:p>
    <w:p w14:paraId="3C5BA15E" w14:textId="1D14E275" w:rsidR="00100F75" w:rsidRPr="00EC0229" w:rsidRDefault="00100F75" w:rsidP="00100F75">
      <w:pPr>
        <w:pStyle w:val="NoSpacing"/>
        <w:spacing w:line="360" w:lineRule="auto"/>
        <w:rPr>
          <w:rFonts w:cs="Times New Roman"/>
          <w:color w:val="000000" w:themeColor="text1"/>
          <w:szCs w:val="24"/>
        </w:rPr>
      </w:pPr>
      <w:r w:rsidRPr="00EC0229">
        <w:rPr>
          <w:rFonts w:cs="Times New Roman"/>
          <w:i/>
          <w:szCs w:val="24"/>
        </w:rPr>
        <w:t xml:space="preserve">Table </w:t>
      </w:r>
      <w:r w:rsidR="006B7780" w:rsidRPr="00EC0229">
        <w:rPr>
          <w:rFonts w:cs="Times New Roman"/>
          <w:i/>
          <w:szCs w:val="24"/>
        </w:rPr>
        <w:t>7.04</w:t>
      </w:r>
      <w:r w:rsidRPr="00EC0229">
        <w:rPr>
          <w:rFonts w:cs="Times New Roman"/>
          <w:szCs w:val="24"/>
        </w:rPr>
        <w:t xml:space="preserve"> quantifies t</w:t>
      </w:r>
      <w:r w:rsidRPr="00EC0229">
        <w:rPr>
          <w:rFonts w:cs="Times New Roman"/>
          <w:color w:val="000000" w:themeColor="text1"/>
          <w:szCs w:val="24"/>
        </w:rPr>
        <w:t xml:space="preserve">he regional picture by a variety of criteria. </w:t>
      </w:r>
      <w:r w:rsidRPr="00EC0229">
        <w:rPr>
          <w:rFonts w:cs="Times New Roman"/>
          <w:szCs w:val="24"/>
        </w:rPr>
        <w:t>York and the Central Lowlands</w:t>
      </w:r>
      <w:r w:rsidRPr="00EC0229">
        <w:rPr>
          <w:rFonts w:cs="Times New Roman"/>
          <w:szCs w:val="24"/>
        </w:rPr>
        <w:fldChar w:fldCharType="begin"/>
      </w:r>
      <w:r w:rsidRPr="00EC0229">
        <w:instrText xml:space="preserve"> XE "Central Lowlands" </w:instrText>
      </w:r>
      <w:r w:rsidRPr="00EC0229">
        <w:rPr>
          <w:rFonts w:cs="Times New Roman"/>
          <w:szCs w:val="24"/>
        </w:rPr>
        <w:fldChar w:fldCharType="end"/>
      </w:r>
      <w:r w:rsidRPr="00EC0229">
        <w:rPr>
          <w:rFonts w:cs="Times New Roman"/>
          <w:szCs w:val="24"/>
        </w:rPr>
        <w:t xml:space="preserve"> </w:t>
      </w:r>
      <w:r w:rsidRPr="00EC0229">
        <w:rPr>
          <w:rFonts w:cs="Times New Roman"/>
          <w:szCs w:val="24"/>
        </w:rPr>
        <w:fldChar w:fldCharType="begin"/>
      </w:r>
      <w:r w:rsidRPr="00EC0229">
        <w:instrText xml:space="preserve"> XE "</w:instrText>
      </w:r>
      <w:r w:rsidRPr="00EC0229">
        <w:rPr>
          <w:noProof/>
        </w:rPr>
        <w:instrText>York</w:instrText>
      </w:r>
      <w:r w:rsidRPr="00EC0229">
        <w:instrText xml:space="preserve">" </w:instrText>
      </w:r>
      <w:r w:rsidRPr="00EC0229">
        <w:rPr>
          <w:rFonts w:cs="Times New Roman"/>
          <w:szCs w:val="24"/>
        </w:rPr>
        <w:fldChar w:fldCharType="end"/>
      </w:r>
      <w:r w:rsidRPr="00EC0229">
        <w:rPr>
          <w:rFonts w:cs="Times New Roman"/>
          <w:color w:val="000000" w:themeColor="text1"/>
          <w:szCs w:val="24"/>
        </w:rPr>
        <w:t xml:space="preserve"> together with the </w:t>
      </w:r>
      <w:r w:rsidRPr="00EC0229">
        <w:rPr>
          <w:rFonts w:cs="Times New Roman"/>
          <w:szCs w:val="24"/>
        </w:rPr>
        <w:t>Yorkshire Wolds and</w:t>
      </w:r>
      <w:r w:rsidRPr="00EC0229">
        <w:rPr>
          <w:rFonts w:cs="Times New Roman"/>
          <w:szCs w:val="24"/>
        </w:rPr>
        <w:fldChar w:fldCharType="begin"/>
      </w:r>
      <w:r w:rsidRPr="00EC0229">
        <w:instrText xml:space="preserve"> XE "</w:instrText>
      </w:r>
      <w:r w:rsidRPr="00EC0229">
        <w:rPr>
          <w:rFonts w:cs="Times New Roman"/>
          <w:noProof/>
        </w:rPr>
        <w:instrText>Yorkshire Wolds</w:instrText>
      </w:r>
      <w:r w:rsidRPr="00EC0229">
        <w:instrText xml:space="preserve">" </w:instrText>
      </w:r>
      <w:r w:rsidRPr="00EC0229">
        <w:rPr>
          <w:rFonts w:cs="Times New Roman"/>
          <w:szCs w:val="24"/>
        </w:rPr>
        <w:fldChar w:fldCharType="end"/>
      </w:r>
      <w:r w:rsidRPr="00EC0229">
        <w:rPr>
          <w:rFonts w:cs="Times New Roman"/>
          <w:color w:val="000000" w:themeColor="text1"/>
          <w:szCs w:val="24"/>
        </w:rPr>
        <w:t xml:space="preserve"> the </w:t>
      </w:r>
      <w:r w:rsidRPr="00EC0229">
        <w:rPr>
          <w:rFonts w:cs="Times New Roman"/>
          <w:szCs w:val="24"/>
        </w:rPr>
        <w:t>Vale of Pickering</w:t>
      </w:r>
      <w:r w:rsidRPr="00EC0229">
        <w:rPr>
          <w:rFonts w:cs="Times New Roman"/>
          <w:szCs w:val="24"/>
        </w:rPr>
        <w:fldChar w:fldCharType="begin"/>
      </w:r>
      <w:r w:rsidRPr="00EC0229">
        <w:instrText xml:space="preserve"> XE "</w:instrText>
      </w:r>
      <w:r w:rsidRPr="00EC0229">
        <w:rPr>
          <w:rFonts w:cs="Times New Roman"/>
          <w:noProof/>
        </w:rPr>
        <w:instrText>Vale of Pickering</w:instrText>
      </w:r>
      <w:r w:rsidRPr="00EC0229">
        <w:instrText xml:space="preserve">" </w:instrText>
      </w:r>
      <w:r w:rsidRPr="00EC0229">
        <w:rPr>
          <w:rFonts w:cs="Times New Roman"/>
          <w:szCs w:val="24"/>
        </w:rPr>
        <w:fldChar w:fldCharType="end"/>
      </w:r>
      <w:r w:rsidRPr="00EC0229">
        <w:rPr>
          <w:rFonts w:cs="Times New Roman"/>
          <w:color w:val="000000" w:themeColor="text1"/>
          <w:szCs w:val="24"/>
        </w:rPr>
        <w:t xml:space="preserve"> (see</w:t>
      </w:r>
      <w:r w:rsidR="00C549DF">
        <w:rPr>
          <w:rFonts w:cs="Times New Roman"/>
          <w:color w:val="000000" w:themeColor="text1"/>
          <w:szCs w:val="24"/>
        </w:rPr>
        <w:t xml:space="preserve"> pages</w:t>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Yorkanditsenvirons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180</w:t>
      </w:r>
      <w:r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TheValeofYork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211</w:t>
      </w:r>
      <w:r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TheYorkshireWolds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221</w:t>
      </w:r>
      <w:r w:rsidRPr="00EC0229">
        <w:rPr>
          <w:rFonts w:cs="Times New Roman"/>
          <w:color w:val="000000" w:themeColor="text1"/>
          <w:szCs w:val="24"/>
        </w:rPr>
        <w:fldChar w:fldCharType="end"/>
      </w:r>
      <w:r w:rsidR="00C549DF">
        <w:rPr>
          <w:rFonts w:cs="Times New Roman"/>
          <w:color w:val="000000" w:themeColor="text1"/>
          <w:szCs w:val="24"/>
        </w:rPr>
        <w:t xml:space="preserve"> and</w:t>
      </w:r>
      <w:r w:rsidRPr="00EC0229">
        <w:rPr>
          <w:rFonts w:cs="Times New Roman"/>
          <w:color w:val="000000" w:themeColor="text1"/>
          <w:szCs w:val="24"/>
        </w:rPr>
        <w:t xml:space="preserve"> </w:t>
      </w:r>
      <w:r w:rsidRPr="00EC0229">
        <w:rPr>
          <w:rFonts w:cs="Times New Roman"/>
          <w:color w:val="000000" w:themeColor="text1"/>
          <w:szCs w:val="24"/>
        </w:rPr>
        <w:fldChar w:fldCharType="begin"/>
      </w:r>
      <w:r w:rsidRPr="00EC0229">
        <w:rPr>
          <w:rFonts w:cs="Times New Roman"/>
          <w:color w:val="000000" w:themeColor="text1"/>
          <w:szCs w:val="24"/>
        </w:rPr>
        <w:instrText xml:space="preserve"> PAGEREF TheValeofPickering \h </w:instrText>
      </w:r>
      <w:r w:rsidRPr="00EC0229">
        <w:rPr>
          <w:rFonts w:cs="Times New Roman"/>
          <w:color w:val="000000" w:themeColor="text1"/>
          <w:szCs w:val="24"/>
        </w:rPr>
      </w:r>
      <w:r w:rsidRPr="00EC0229">
        <w:rPr>
          <w:rFonts w:cs="Times New Roman"/>
          <w:color w:val="000000" w:themeColor="text1"/>
          <w:szCs w:val="24"/>
        </w:rPr>
        <w:fldChar w:fldCharType="separate"/>
      </w:r>
      <w:r w:rsidR="0012026B">
        <w:rPr>
          <w:rFonts w:cs="Times New Roman"/>
          <w:noProof/>
          <w:color w:val="000000" w:themeColor="text1"/>
          <w:szCs w:val="24"/>
        </w:rPr>
        <w:t>266</w:t>
      </w:r>
      <w:r w:rsidRPr="00EC0229">
        <w:rPr>
          <w:rFonts w:cs="Times New Roman"/>
          <w:color w:val="000000" w:themeColor="text1"/>
          <w:szCs w:val="24"/>
        </w:rPr>
        <w:fldChar w:fldCharType="end"/>
      </w:r>
      <w:r w:rsidRPr="00EC0229">
        <w:rPr>
          <w:rFonts w:cs="Times New Roman"/>
          <w:color w:val="000000" w:themeColor="text1"/>
          <w:szCs w:val="24"/>
        </w:rPr>
        <w:t xml:space="preserve"> respectively) give a clear yet diverse picture of regional economic intensity - the extent to which the dataset is skewed both spatially and typologically is considerable. This will be explored in the relevant case studies.</w:t>
      </w:r>
    </w:p>
    <w:p w14:paraId="224A5DEE" w14:textId="77777777" w:rsidR="00100F75" w:rsidRPr="00EC0229" w:rsidRDefault="00100F75" w:rsidP="00100F75">
      <w:pPr>
        <w:pStyle w:val="NoSpacing"/>
        <w:spacing w:line="360" w:lineRule="auto"/>
        <w:rPr>
          <w:rFonts w:cs="Times New Roman"/>
          <w:color w:val="000000" w:themeColor="text1"/>
          <w:szCs w:val="24"/>
        </w:rPr>
      </w:pPr>
    </w:p>
    <w:p w14:paraId="1A023194" w14:textId="53CA0657" w:rsidR="00100F75" w:rsidRPr="00EC0229" w:rsidRDefault="00712EA1" w:rsidP="00100F75">
      <w:pPr>
        <w:pStyle w:val="NoSpacing"/>
        <w:spacing w:line="360" w:lineRule="auto"/>
        <w:rPr>
          <w:rFonts w:cs="Times New Roman"/>
          <w:color w:val="000000" w:themeColor="text1"/>
          <w:szCs w:val="24"/>
        </w:rPr>
      </w:pPr>
      <w:r>
        <w:rPr>
          <w:rFonts w:cs="Times New Roman"/>
          <w:i/>
          <w:szCs w:val="24"/>
        </w:rPr>
        <w:t>Dataset</w:t>
      </w:r>
      <w:r w:rsidR="00100F75" w:rsidRPr="00EC0229">
        <w:rPr>
          <w:rFonts w:cs="Times New Roman"/>
          <w:i/>
          <w:szCs w:val="24"/>
        </w:rPr>
        <w:fldChar w:fldCharType="begin"/>
      </w:r>
      <w:r w:rsidR="00100F75" w:rsidRPr="00EC0229">
        <w:instrText xml:space="preserve"> XE "</w:instrText>
      </w:r>
      <w:r w:rsidR="00100F75" w:rsidRPr="00EC0229">
        <w:rPr>
          <w:noProof/>
        </w:rPr>
        <w:instrText>Table</w:instrText>
      </w:r>
      <w:r w:rsidR="00100F75" w:rsidRPr="00EC0229">
        <w:instrText xml:space="preserve">" </w:instrText>
      </w:r>
      <w:r w:rsidR="00100F75" w:rsidRPr="00EC0229">
        <w:rPr>
          <w:rFonts w:cs="Times New Roman"/>
          <w:i/>
          <w:szCs w:val="24"/>
        </w:rPr>
        <w:fldChar w:fldCharType="end"/>
      </w:r>
      <w:r w:rsidR="00100F75" w:rsidRPr="00EC0229">
        <w:rPr>
          <w:rFonts w:cs="Times New Roman"/>
          <w:i/>
          <w:szCs w:val="24"/>
        </w:rPr>
        <w:t xml:space="preserve"> </w:t>
      </w:r>
      <w:r w:rsidR="006B7780" w:rsidRPr="00EC0229">
        <w:rPr>
          <w:rFonts w:cs="Times New Roman"/>
          <w:i/>
          <w:szCs w:val="24"/>
        </w:rPr>
        <w:t>6.0</w:t>
      </w:r>
      <w:r w:rsidR="006F0CF0" w:rsidRPr="00EC0229">
        <w:rPr>
          <w:rFonts w:cs="Times New Roman"/>
          <w:i/>
          <w:szCs w:val="24"/>
        </w:rPr>
        <w:t>6</w:t>
      </w:r>
      <w:r w:rsidR="00100F75" w:rsidRPr="00EC0229">
        <w:rPr>
          <w:rFonts w:cs="Times New Roman"/>
          <w:szCs w:val="24"/>
        </w:rPr>
        <w:t xml:space="preserve"> gives t</w:t>
      </w:r>
      <w:r w:rsidR="00100F75" w:rsidRPr="00EC0229">
        <w:rPr>
          <w:rFonts w:cs="Times New Roman"/>
          <w:color w:val="000000" w:themeColor="text1"/>
          <w:szCs w:val="24"/>
        </w:rPr>
        <w:t>he matrix of artefacts in functional categories by region</w:t>
      </w:r>
      <w:r w:rsidR="00100F75" w:rsidRPr="00EC0229">
        <w:rPr>
          <w:rFonts w:eastAsia="Times New Roman" w:cs="Times New Roman"/>
          <w:color w:val="000000" w:themeColor="text1"/>
          <w:szCs w:val="24"/>
          <w:lang w:eastAsia="en-GB"/>
        </w:rPr>
        <w:t>.</w:t>
      </w:r>
      <w:r w:rsidR="00100F75" w:rsidRPr="00EC0229">
        <w:rPr>
          <w:rFonts w:cs="Times New Roman"/>
          <w:color w:val="000000" w:themeColor="text1"/>
          <w:szCs w:val="24"/>
        </w:rPr>
        <w:t xml:space="preserve"> That over two-thirds of all finds should be personal dress accessories</w:t>
      </w:r>
      <w:r w:rsidR="00100F75" w:rsidRPr="00EC0229">
        <w:rPr>
          <w:rFonts w:cs="Times New Roman"/>
          <w:color w:val="000000" w:themeColor="text1"/>
          <w:szCs w:val="24"/>
        </w:rPr>
        <w:fldChar w:fldCharType="begin"/>
      </w:r>
      <w:r w:rsidR="00100F75" w:rsidRPr="00EC0229">
        <w:instrText xml:space="preserve"> XE "dress accessories" </w:instrText>
      </w:r>
      <w:r w:rsidR="00100F75" w:rsidRPr="00EC0229">
        <w:rPr>
          <w:rFonts w:cs="Times New Roman"/>
          <w:color w:val="000000" w:themeColor="text1"/>
          <w:szCs w:val="24"/>
        </w:rPr>
        <w:fldChar w:fldCharType="end"/>
      </w:r>
      <w:r w:rsidR="00100F75" w:rsidRPr="00EC0229">
        <w:rPr>
          <w:rFonts w:cs="Times New Roman"/>
          <w:color w:val="000000" w:themeColor="text1"/>
          <w:szCs w:val="24"/>
        </w:rPr>
        <w:t xml:space="preserve"> and below one-eighth work related, (or, including tools, below a fifth), presents a rather unbalanced view of social and economic activity in the period. Undoubtedly, dress accessories were more than merely functional and this may have contributed to better survival. Either work related artefacts failed to survive or have been selectively discarded or ignored (</w:t>
      </w:r>
      <w:r w:rsidR="00100F75" w:rsidRPr="00EC0229">
        <w:rPr>
          <w:rFonts w:cs="Times New Roman"/>
          <w:color w:val="000000" w:themeColor="text1"/>
          <w:szCs w:val="24"/>
        </w:rPr>
        <w:fldChar w:fldCharType="begin"/>
      </w:r>
      <w:r w:rsidR="00100F75" w:rsidRPr="00EC0229">
        <w:rPr>
          <w:rFonts w:cs="Times New Roman"/>
          <w:color w:val="000000" w:themeColor="text1"/>
          <w:szCs w:val="24"/>
        </w:rPr>
        <w:instrText xml:space="preserve"> PAGEREF Constraints \h </w:instrText>
      </w:r>
      <w:r w:rsidR="00100F75" w:rsidRPr="00EC0229">
        <w:rPr>
          <w:rFonts w:cs="Times New Roman"/>
          <w:color w:val="000000" w:themeColor="text1"/>
          <w:szCs w:val="24"/>
        </w:rPr>
      </w:r>
      <w:r w:rsidR="00100F75" w:rsidRPr="00EC0229">
        <w:rPr>
          <w:rFonts w:cs="Times New Roman"/>
          <w:color w:val="000000" w:themeColor="text1"/>
          <w:szCs w:val="24"/>
        </w:rPr>
        <w:fldChar w:fldCharType="separate"/>
      </w:r>
      <w:r w:rsidR="0012026B">
        <w:rPr>
          <w:rFonts w:cs="Times New Roman"/>
          <w:noProof/>
          <w:color w:val="000000" w:themeColor="text1"/>
          <w:szCs w:val="24"/>
        </w:rPr>
        <w:t>82</w:t>
      </w:r>
      <w:r w:rsidR="00100F75" w:rsidRPr="00EC0229">
        <w:rPr>
          <w:rFonts w:cs="Times New Roman"/>
          <w:color w:val="000000" w:themeColor="text1"/>
          <w:szCs w:val="24"/>
        </w:rPr>
        <w:fldChar w:fldCharType="end"/>
      </w:r>
      <w:r w:rsidR="00100F75" w:rsidRPr="00EC0229">
        <w:rPr>
          <w:rFonts w:cs="Times New Roman"/>
          <w:color w:val="000000" w:themeColor="text1"/>
          <w:szCs w:val="24"/>
        </w:rPr>
        <w:t>). The case studies</w:t>
      </w:r>
      <w:r w:rsidR="00100F75" w:rsidRPr="00EC0229">
        <w:rPr>
          <w:rFonts w:cs="Times New Roman"/>
          <w:color w:val="000000" w:themeColor="text1"/>
          <w:szCs w:val="24"/>
        </w:rPr>
        <w:fldChar w:fldCharType="begin"/>
      </w:r>
      <w:r w:rsidR="00100F75" w:rsidRPr="00EC0229">
        <w:instrText xml:space="preserve"> XE "</w:instrText>
      </w:r>
      <w:r w:rsidR="00100F75" w:rsidRPr="00EC0229">
        <w:rPr>
          <w:rStyle w:val="Hyperlink"/>
          <w:rFonts w:cs="Times New Roman"/>
          <w:noProof/>
          <w:u w:val="none"/>
        </w:rPr>
        <w:instrText>case studies</w:instrText>
      </w:r>
      <w:r w:rsidR="00100F75" w:rsidRPr="00EC0229">
        <w:instrText xml:space="preserve">" </w:instrText>
      </w:r>
      <w:r w:rsidR="00100F75" w:rsidRPr="00EC0229">
        <w:rPr>
          <w:rFonts w:cs="Times New Roman"/>
          <w:color w:val="000000" w:themeColor="text1"/>
          <w:szCs w:val="24"/>
        </w:rPr>
        <w:fldChar w:fldCharType="end"/>
      </w:r>
      <w:r w:rsidR="00100F75" w:rsidRPr="00EC0229">
        <w:rPr>
          <w:rFonts w:cs="Times New Roman"/>
          <w:color w:val="000000" w:themeColor="text1"/>
          <w:szCs w:val="24"/>
        </w:rPr>
        <w:t xml:space="preserve"> demonstrate the extent to which the Central Lowlands</w:t>
      </w:r>
      <w:r w:rsidR="00100F75" w:rsidRPr="00EC0229">
        <w:rPr>
          <w:rFonts w:cs="Times New Roman"/>
          <w:color w:val="000000" w:themeColor="text1"/>
          <w:szCs w:val="24"/>
        </w:rPr>
        <w:fldChar w:fldCharType="begin"/>
      </w:r>
      <w:r w:rsidR="00100F75" w:rsidRPr="00EC0229">
        <w:instrText xml:space="preserve"> XE "Central Lowlands" </w:instrText>
      </w:r>
      <w:r w:rsidR="00100F75" w:rsidRPr="00EC0229">
        <w:rPr>
          <w:rFonts w:cs="Times New Roman"/>
          <w:color w:val="000000" w:themeColor="text1"/>
          <w:szCs w:val="24"/>
        </w:rPr>
        <w:fldChar w:fldCharType="end"/>
      </w:r>
      <w:r w:rsidR="00100F75" w:rsidRPr="00EC0229">
        <w:rPr>
          <w:rFonts w:cs="Times New Roman"/>
          <w:color w:val="000000" w:themeColor="text1"/>
          <w:szCs w:val="24"/>
        </w:rPr>
        <w:t xml:space="preserve"> were metro-centric and the Yorkshire Wolds autonomous.</w:t>
      </w:r>
    </w:p>
    <w:p w14:paraId="6134C47E" w14:textId="77777777" w:rsidR="00100F75" w:rsidRPr="00EC0229" w:rsidRDefault="00100F75" w:rsidP="00100F75">
      <w:pPr>
        <w:pStyle w:val="NoSpacing"/>
        <w:spacing w:line="360" w:lineRule="auto"/>
        <w:rPr>
          <w:rFonts w:cs="Times New Roman"/>
          <w:color w:val="000000" w:themeColor="text1"/>
          <w:szCs w:val="24"/>
        </w:rPr>
      </w:pPr>
    </w:p>
    <w:p w14:paraId="40630BC9" w14:textId="5252F0CF" w:rsidR="00100F75" w:rsidRPr="00EC0229" w:rsidRDefault="00100F75" w:rsidP="00100F75">
      <w:pPr>
        <w:pStyle w:val="NoSpacing"/>
        <w:spacing w:line="360" w:lineRule="auto"/>
        <w:rPr>
          <w:rFonts w:cs="Times New Roman"/>
          <w:color w:val="000000" w:themeColor="text1"/>
          <w:szCs w:val="24"/>
        </w:rPr>
      </w:pPr>
      <w:r w:rsidRPr="00EC0229">
        <w:rPr>
          <w:rFonts w:cs="Times New Roman"/>
          <w:color w:val="000000" w:themeColor="text1"/>
          <w:szCs w:val="24"/>
        </w:rPr>
        <w:t>Supplementary analy</w:t>
      </w:r>
      <w:r w:rsidR="00497AC3" w:rsidRPr="00EC0229">
        <w:rPr>
          <w:rFonts w:cs="Times New Roman"/>
          <w:color w:val="000000" w:themeColor="text1"/>
          <w:szCs w:val="24"/>
        </w:rPr>
        <w:t>ses facilitated by the datasets</w:t>
      </w:r>
      <w:r w:rsidRPr="00EC0229">
        <w:rPr>
          <w:rFonts w:cs="Times New Roman"/>
          <w:color w:val="000000" w:themeColor="text1"/>
          <w:szCs w:val="24"/>
        </w:rPr>
        <w:t xml:space="preserve"> include:</w:t>
      </w:r>
    </w:p>
    <w:p w14:paraId="32C7FB15" w14:textId="282D8C77" w:rsidR="00100F75" w:rsidRPr="00EC0229" w:rsidRDefault="00100F75" w:rsidP="00387063">
      <w:pPr>
        <w:pStyle w:val="NoSpacing"/>
        <w:numPr>
          <w:ilvl w:val="0"/>
          <w:numId w:val="11"/>
        </w:numPr>
        <w:spacing w:line="360" w:lineRule="auto"/>
        <w:rPr>
          <w:rFonts w:cs="Times New Roman"/>
          <w:color w:val="000000" w:themeColor="text1"/>
          <w:szCs w:val="24"/>
        </w:rPr>
      </w:pPr>
      <w:r w:rsidRPr="00EC0229">
        <w:rPr>
          <w:rFonts w:cs="Times New Roman"/>
          <w:i/>
          <w:szCs w:val="24"/>
        </w:rPr>
        <w:lastRenderedPageBreak/>
        <w:t>Table</w:t>
      </w:r>
      <w:r w:rsidRPr="00EC0229">
        <w:rPr>
          <w:rFonts w:cs="Times New Roman"/>
          <w:i/>
          <w:szCs w:val="24"/>
        </w:rPr>
        <w:fldChar w:fldCharType="begin"/>
      </w:r>
      <w:r w:rsidRPr="00EC0229">
        <w:instrText xml:space="preserve"> XE "</w:instrText>
      </w:r>
      <w:r w:rsidRPr="00EC0229">
        <w:rPr>
          <w:noProof/>
        </w:rPr>
        <w:instrText>Table</w:instrText>
      </w:r>
      <w:r w:rsidRPr="00EC0229">
        <w:instrText xml:space="preserve">" </w:instrText>
      </w:r>
      <w:r w:rsidRPr="00EC0229">
        <w:rPr>
          <w:rFonts w:cs="Times New Roman"/>
          <w:i/>
          <w:szCs w:val="24"/>
        </w:rPr>
        <w:fldChar w:fldCharType="end"/>
      </w:r>
      <w:r w:rsidRPr="00EC0229">
        <w:rPr>
          <w:rFonts w:cs="Times New Roman"/>
          <w:i/>
          <w:szCs w:val="24"/>
        </w:rPr>
        <w:t xml:space="preserve"> </w:t>
      </w:r>
      <w:r w:rsidR="006B7780" w:rsidRPr="00EC0229">
        <w:rPr>
          <w:rFonts w:cs="Times New Roman"/>
          <w:i/>
          <w:szCs w:val="24"/>
        </w:rPr>
        <w:t>7.0</w:t>
      </w:r>
      <w:r w:rsidRPr="00EC0229">
        <w:rPr>
          <w:rFonts w:cs="Times New Roman"/>
          <w:i/>
          <w:szCs w:val="24"/>
        </w:rPr>
        <w:t>5</w:t>
      </w:r>
      <w:r w:rsidRPr="00EC0229">
        <w:rPr>
          <w:rFonts w:cs="Times New Roman"/>
          <w:szCs w:val="24"/>
        </w:rPr>
        <w:t xml:space="preserve">, </w:t>
      </w:r>
      <w:r w:rsidRPr="00EC0229">
        <w:rPr>
          <w:rFonts w:cs="Times New Roman"/>
          <w:color w:val="000000" w:themeColor="text1"/>
          <w:szCs w:val="24"/>
        </w:rPr>
        <w:t>the geographical density of coin and artefact finds and sites, showing, in summary, the spatial dominance of the Wolds over the lowland regions studied.</w:t>
      </w:r>
    </w:p>
    <w:p w14:paraId="3CF81F09" w14:textId="7EE37760" w:rsidR="00100F75" w:rsidRPr="00EC0229" w:rsidRDefault="006B7780" w:rsidP="00387063">
      <w:pPr>
        <w:pStyle w:val="NoSpacing"/>
        <w:numPr>
          <w:ilvl w:val="0"/>
          <w:numId w:val="11"/>
        </w:numPr>
        <w:spacing w:line="360" w:lineRule="auto"/>
        <w:rPr>
          <w:rFonts w:cs="Times New Roman"/>
          <w:color w:val="000000" w:themeColor="text1"/>
          <w:szCs w:val="24"/>
        </w:rPr>
      </w:pPr>
      <w:r w:rsidRPr="00EC0229">
        <w:rPr>
          <w:rFonts w:cs="Times New Roman"/>
          <w:i/>
          <w:szCs w:val="24"/>
        </w:rPr>
        <w:t>Table 7.0</w:t>
      </w:r>
      <w:r w:rsidR="00100F75" w:rsidRPr="00EC0229">
        <w:rPr>
          <w:rFonts w:cs="Times New Roman"/>
          <w:i/>
          <w:szCs w:val="24"/>
        </w:rPr>
        <w:t>6</w:t>
      </w:r>
      <w:r w:rsidR="00100F75" w:rsidRPr="00EC0229">
        <w:rPr>
          <w:rFonts w:cs="Times New Roman"/>
          <w:color w:val="000000" w:themeColor="text1"/>
          <w:szCs w:val="24"/>
        </w:rPr>
        <w:t>,</w:t>
      </w:r>
      <w:r w:rsidR="00100F75" w:rsidRPr="00EC0229">
        <w:rPr>
          <w:rFonts w:cs="Times New Roman"/>
          <w:i/>
          <w:color w:val="000000" w:themeColor="text1"/>
          <w:szCs w:val="24"/>
        </w:rPr>
        <w:t xml:space="preserve"> </w:t>
      </w:r>
      <w:r w:rsidR="00100F75" w:rsidRPr="00EC0229">
        <w:rPr>
          <w:rFonts w:cs="Times New Roman"/>
          <w:color w:val="000000" w:themeColor="text1"/>
          <w:szCs w:val="24"/>
        </w:rPr>
        <w:t xml:space="preserve">the regional mix of coins found with artefacts by metal, showing, in summary, that the dominance of copper-alloy coinage over silver is less marked in the Wolds. </w:t>
      </w:r>
    </w:p>
    <w:p w14:paraId="15CB5DE9" w14:textId="22FF3267" w:rsidR="00100F75" w:rsidRPr="00EC0229" w:rsidRDefault="00100F75" w:rsidP="00387063">
      <w:pPr>
        <w:pStyle w:val="NoSpacing"/>
        <w:numPr>
          <w:ilvl w:val="0"/>
          <w:numId w:val="11"/>
        </w:numPr>
        <w:spacing w:line="360" w:lineRule="auto"/>
        <w:rPr>
          <w:rFonts w:cs="Times New Roman"/>
          <w:i/>
          <w:color w:val="000000" w:themeColor="text1"/>
          <w:szCs w:val="24"/>
        </w:rPr>
      </w:pPr>
      <w:r w:rsidRPr="00EC0229">
        <w:rPr>
          <w:rFonts w:cs="Times New Roman"/>
          <w:i/>
          <w:szCs w:val="24"/>
        </w:rPr>
        <w:t xml:space="preserve">Table </w:t>
      </w:r>
      <w:r w:rsidR="006B7780" w:rsidRPr="00EC0229">
        <w:rPr>
          <w:rFonts w:cs="Times New Roman"/>
          <w:i/>
          <w:szCs w:val="24"/>
        </w:rPr>
        <w:t>7.0</w:t>
      </w:r>
      <w:r w:rsidRPr="00EC0229">
        <w:rPr>
          <w:rFonts w:cs="Times New Roman"/>
          <w:i/>
          <w:szCs w:val="24"/>
        </w:rPr>
        <w:t>7</w:t>
      </w:r>
      <w:r w:rsidRPr="00EC0229">
        <w:rPr>
          <w:rFonts w:cs="Times New Roman"/>
          <w:szCs w:val="24"/>
        </w:rPr>
        <w:t>,</w:t>
      </w:r>
      <w:r w:rsidRPr="00EC0229">
        <w:rPr>
          <w:rFonts w:cs="Times New Roman"/>
          <w:color w:val="000000" w:themeColor="text1"/>
          <w:szCs w:val="24"/>
        </w:rPr>
        <w:t xml:space="preserve"> a similar analysis by age, showing, in summary, the sites in the Wolds to have greater longevity than those in the lowlands.</w:t>
      </w:r>
    </w:p>
    <w:p w14:paraId="35DE6B9E" w14:textId="174AE2EE" w:rsidR="00100F75" w:rsidRPr="00EC0229" w:rsidRDefault="00100F75" w:rsidP="00387063">
      <w:pPr>
        <w:pStyle w:val="NoSpacing"/>
        <w:numPr>
          <w:ilvl w:val="0"/>
          <w:numId w:val="11"/>
        </w:numPr>
        <w:spacing w:line="360" w:lineRule="auto"/>
        <w:rPr>
          <w:rFonts w:cs="Times New Roman"/>
          <w:color w:val="000000" w:themeColor="text1"/>
          <w:szCs w:val="24"/>
        </w:rPr>
      </w:pPr>
      <w:r w:rsidRPr="00EC0229">
        <w:rPr>
          <w:rFonts w:cs="Times New Roman"/>
          <w:i/>
          <w:szCs w:val="24"/>
        </w:rPr>
        <w:t xml:space="preserve">Table </w:t>
      </w:r>
      <w:r w:rsidR="006B7780" w:rsidRPr="00EC0229">
        <w:rPr>
          <w:rFonts w:cs="Times New Roman"/>
          <w:i/>
          <w:szCs w:val="24"/>
        </w:rPr>
        <w:t>7.08</w:t>
      </w:r>
      <w:r w:rsidRPr="00EC0229">
        <w:rPr>
          <w:rFonts w:cs="Times New Roman"/>
          <w:szCs w:val="24"/>
        </w:rPr>
        <w:t>,</w:t>
      </w:r>
      <w:r w:rsidRPr="00EC0229">
        <w:rPr>
          <w:rFonts w:cs="Times New Roman"/>
          <w:color w:val="000000" w:themeColor="text1"/>
          <w:szCs w:val="24"/>
        </w:rPr>
        <w:t xml:space="preserve"> showing the degree of stability for individual sites with coins, and </w:t>
      </w:r>
    </w:p>
    <w:p w14:paraId="30D35A2D" w14:textId="32E59EA0" w:rsidR="00100F75" w:rsidRPr="00EC0229" w:rsidRDefault="006B7780" w:rsidP="00387063">
      <w:pPr>
        <w:pStyle w:val="NoSpacing"/>
        <w:numPr>
          <w:ilvl w:val="0"/>
          <w:numId w:val="11"/>
        </w:numPr>
        <w:spacing w:line="360" w:lineRule="auto"/>
        <w:rPr>
          <w:rFonts w:cs="Times New Roman"/>
          <w:color w:val="000000" w:themeColor="text1"/>
          <w:szCs w:val="24"/>
        </w:rPr>
      </w:pPr>
      <w:r w:rsidRPr="00EC0229">
        <w:rPr>
          <w:rFonts w:cs="Times New Roman"/>
          <w:i/>
          <w:color w:val="000000" w:themeColor="text1"/>
          <w:szCs w:val="24"/>
        </w:rPr>
        <w:t>Table 7.09</w:t>
      </w:r>
      <w:r w:rsidR="00100F75" w:rsidRPr="00EC0229">
        <w:rPr>
          <w:rFonts w:cs="Times New Roman"/>
          <w:color w:val="000000" w:themeColor="text1"/>
          <w:szCs w:val="24"/>
        </w:rPr>
        <w:t>, showing the degree of stability for individual sites with both coins and artefacts.</w:t>
      </w:r>
    </w:p>
    <w:p w14:paraId="373738A8" w14:textId="45A25141" w:rsidR="00100F75" w:rsidRPr="00EC0229" w:rsidRDefault="00100F75" w:rsidP="00100F75">
      <w:pPr>
        <w:pStyle w:val="NoSpacing"/>
        <w:spacing w:line="360" w:lineRule="auto"/>
        <w:rPr>
          <w:rFonts w:cs="Times New Roman"/>
          <w:color w:val="000000" w:themeColor="text1"/>
          <w:szCs w:val="24"/>
        </w:rPr>
      </w:pPr>
      <w:r w:rsidRPr="00EC0229">
        <w:rPr>
          <w:rFonts w:cs="Times New Roman"/>
          <w:color w:val="000000" w:themeColor="text1"/>
          <w:szCs w:val="24"/>
        </w:rPr>
        <w:t>These provide a comparative assessment of the intensity, period and longevity of occupation and the mobility or security of sites, and are discussed in the case studies. The</w:t>
      </w:r>
      <w:r w:rsidR="00C549DF">
        <w:rPr>
          <w:rFonts w:cs="Times New Roman"/>
          <w:color w:val="000000" w:themeColor="text1"/>
          <w:szCs w:val="24"/>
        </w:rPr>
        <w:t>se supplementary components of the</w:t>
      </w:r>
      <w:r w:rsidRPr="00EC0229">
        <w:rPr>
          <w:rFonts w:cs="Times New Roman"/>
          <w:color w:val="000000" w:themeColor="text1"/>
          <w:szCs w:val="24"/>
        </w:rPr>
        <w:t xml:space="preserve"> separate regional analyses</w:t>
      </w:r>
      <w:r w:rsidR="00F465BD">
        <w:rPr>
          <w:rFonts w:cs="Times New Roman"/>
          <w:color w:val="000000" w:themeColor="text1"/>
          <w:szCs w:val="24"/>
        </w:rPr>
        <w:t xml:space="preserve">, sourced from </w:t>
      </w:r>
      <w:r w:rsidR="00F465BD">
        <w:rPr>
          <w:rFonts w:cs="Times New Roman"/>
          <w:i/>
          <w:szCs w:val="24"/>
        </w:rPr>
        <w:t>Dataset</w:t>
      </w:r>
      <w:r w:rsidR="00F465BD" w:rsidRPr="00EC0229">
        <w:rPr>
          <w:rFonts w:cs="Times New Roman"/>
          <w:i/>
          <w:szCs w:val="24"/>
        </w:rPr>
        <w:fldChar w:fldCharType="begin"/>
      </w:r>
      <w:r w:rsidR="00F465BD" w:rsidRPr="00EC0229">
        <w:instrText xml:space="preserve"> XE "</w:instrText>
      </w:r>
      <w:r w:rsidR="00F465BD" w:rsidRPr="00EC0229">
        <w:rPr>
          <w:noProof/>
        </w:rPr>
        <w:instrText>Table</w:instrText>
      </w:r>
      <w:r w:rsidR="00F465BD" w:rsidRPr="00EC0229">
        <w:instrText xml:space="preserve">" </w:instrText>
      </w:r>
      <w:r w:rsidR="00F465BD" w:rsidRPr="00EC0229">
        <w:rPr>
          <w:rFonts w:cs="Times New Roman"/>
          <w:i/>
          <w:szCs w:val="24"/>
        </w:rPr>
        <w:fldChar w:fldCharType="end"/>
      </w:r>
      <w:r w:rsidR="00F465BD" w:rsidRPr="00EC0229">
        <w:rPr>
          <w:rFonts w:cs="Times New Roman"/>
          <w:i/>
          <w:szCs w:val="24"/>
        </w:rPr>
        <w:t xml:space="preserve"> 6.06</w:t>
      </w:r>
      <w:r w:rsidR="00F465BD">
        <w:rPr>
          <w:rFonts w:cs="Times New Roman"/>
          <w:szCs w:val="24"/>
        </w:rPr>
        <w:t>,</w:t>
      </w:r>
      <w:r w:rsidR="008F2C8F">
        <w:rPr>
          <w:rFonts w:cs="Times New Roman"/>
          <w:szCs w:val="24"/>
        </w:rPr>
        <w:t xml:space="preserve"> </w:t>
      </w:r>
      <w:r w:rsidRPr="00EC0229">
        <w:rPr>
          <w:rFonts w:cs="Times New Roman"/>
          <w:color w:val="000000" w:themeColor="text1"/>
          <w:szCs w:val="24"/>
        </w:rPr>
        <w:t xml:space="preserve">are referenced </w:t>
      </w:r>
      <w:r w:rsidR="00C10871">
        <w:rPr>
          <w:rFonts w:cs="Times New Roman"/>
          <w:color w:val="000000" w:themeColor="text1"/>
          <w:szCs w:val="24"/>
        </w:rPr>
        <w:t xml:space="preserve">in </w:t>
      </w:r>
      <w:r w:rsidR="00C10871" w:rsidRPr="00C10871">
        <w:rPr>
          <w:rFonts w:cs="Times New Roman"/>
          <w:i/>
          <w:color w:val="000000" w:themeColor="text1"/>
          <w:szCs w:val="24"/>
        </w:rPr>
        <w:t>Table 7.10</w:t>
      </w:r>
      <w:r w:rsidR="00C10871">
        <w:rPr>
          <w:rFonts w:cs="Times New Roman"/>
          <w:color w:val="000000" w:themeColor="text1"/>
          <w:szCs w:val="24"/>
        </w:rPr>
        <w:t xml:space="preserve"> </w:t>
      </w:r>
      <w:r w:rsidRPr="00EC0229">
        <w:rPr>
          <w:rFonts w:cs="Times New Roman"/>
          <w:color w:val="000000" w:themeColor="text1"/>
          <w:szCs w:val="24"/>
        </w:rPr>
        <w:t>below</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case studies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w:t>
      </w:r>
    </w:p>
    <w:tbl>
      <w:tblPr>
        <w:tblW w:w="7840" w:type="dxa"/>
        <w:tblInd w:w="588" w:type="dxa"/>
        <w:tblLook w:val="04A0" w:firstRow="1" w:lastRow="0" w:firstColumn="1" w:lastColumn="0" w:noHBand="0" w:noVBand="1"/>
      </w:tblPr>
      <w:tblGrid>
        <w:gridCol w:w="2920"/>
        <w:gridCol w:w="820"/>
        <w:gridCol w:w="820"/>
        <w:gridCol w:w="820"/>
        <w:gridCol w:w="820"/>
        <w:gridCol w:w="820"/>
        <w:gridCol w:w="820"/>
      </w:tblGrid>
      <w:tr w:rsidR="009C4407" w:rsidRPr="009C4407" w14:paraId="542991A0" w14:textId="77777777" w:rsidTr="009C4407">
        <w:trPr>
          <w:trHeight w:val="458"/>
        </w:trPr>
        <w:tc>
          <w:tcPr>
            <w:tcW w:w="29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0F4707" w14:textId="77777777" w:rsidR="00916CD3" w:rsidRDefault="009C4407" w:rsidP="009C4407">
            <w:pPr>
              <w:spacing w:after="0"/>
              <w:jc w:val="center"/>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 xml:space="preserve">Table Numbers of </w:t>
            </w:r>
          </w:p>
          <w:p w14:paraId="29556C84" w14:textId="76C4DAEA" w:rsidR="009C4407" w:rsidRPr="009C4407" w:rsidRDefault="009C4407" w:rsidP="009C4407">
            <w:pPr>
              <w:spacing w:after="0"/>
              <w:jc w:val="center"/>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Analyses by Region</w:t>
            </w:r>
          </w:p>
        </w:tc>
        <w:tc>
          <w:tcPr>
            <w:tcW w:w="8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4D30D64D" w14:textId="77777777" w:rsidR="009C4407" w:rsidRPr="009C4407" w:rsidRDefault="009C4407" w:rsidP="009C4407">
            <w:pPr>
              <w:spacing w:after="0"/>
              <w:jc w:val="center"/>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Total</w:t>
            </w:r>
          </w:p>
        </w:tc>
        <w:tc>
          <w:tcPr>
            <w:tcW w:w="8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659A1359" w14:textId="77777777" w:rsidR="009C4407" w:rsidRPr="009C4407" w:rsidRDefault="009C4407" w:rsidP="009C4407">
            <w:pPr>
              <w:spacing w:after="0"/>
              <w:jc w:val="left"/>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Fishergate</w:t>
            </w:r>
          </w:p>
        </w:tc>
        <w:tc>
          <w:tcPr>
            <w:tcW w:w="8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62E53331" w14:textId="77777777" w:rsidR="009C4407" w:rsidRPr="009C4407" w:rsidRDefault="009C4407" w:rsidP="009C4407">
            <w:pPr>
              <w:spacing w:after="0"/>
              <w:jc w:val="left"/>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Central Lowlands</w:t>
            </w:r>
          </w:p>
        </w:tc>
        <w:tc>
          <w:tcPr>
            <w:tcW w:w="8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0DE9D44B" w14:textId="77777777" w:rsidR="009C4407" w:rsidRPr="009C4407" w:rsidRDefault="009C4407" w:rsidP="009C4407">
            <w:pPr>
              <w:spacing w:after="0"/>
              <w:jc w:val="left"/>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Yorkshire Wolds</w:t>
            </w:r>
          </w:p>
        </w:tc>
        <w:tc>
          <w:tcPr>
            <w:tcW w:w="8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5E81ED87" w14:textId="77777777" w:rsidR="009C4407" w:rsidRPr="009C4407" w:rsidRDefault="009C4407" w:rsidP="009C4407">
            <w:pPr>
              <w:spacing w:after="0"/>
              <w:jc w:val="left"/>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East Yorkshire etc.</w:t>
            </w:r>
          </w:p>
        </w:tc>
        <w:tc>
          <w:tcPr>
            <w:tcW w:w="8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39823B4B" w14:textId="77777777" w:rsidR="009C4407" w:rsidRPr="009C4407" w:rsidRDefault="009C4407" w:rsidP="009C4407">
            <w:pPr>
              <w:spacing w:after="0"/>
              <w:jc w:val="left"/>
              <w:rPr>
                <w:rFonts w:eastAsia="Times New Roman" w:cs="Times New Roman"/>
                <w:b/>
                <w:bCs/>
                <w:color w:val="000000"/>
                <w:sz w:val="20"/>
                <w:szCs w:val="20"/>
                <w:lang w:eastAsia="en-GB"/>
              </w:rPr>
            </w:pPr>
            <w:r w:rsidRPr="009C4407">
              <w:rPr>
                <w:rFonts w:eastAsia="Times New Roman" w:cs="Times New Roman"/>
                <w:b/>
                <w:bCs/>
                <w:color w:val="000000"/>
                <w:sz w:val="20"/>
                <w:szCs w:val="20"/>
                <w:lang w:eastAsia="en-GB"/>
              </w:rPr>
              <w:t>Vale of Pickering</w:t>
            </w:r>
          </w:p>
        </w:tc>
      </w:tr>
      <w:tr w:rsidR="009C4407" w:rsidRPr="009C4407" w14:paraId="581F3554" w14:textId="77777777" w:rsidTr="009C4407">
        <w:trPr>
          <w:trHeight w:val="458"/>
        </w:trPr>
        <w:tc>
          <w:tcPr>
            <w:tcW w:w="2920" w:type="dxa"/>
            <w:vMerge/>
            <w:tcBorders>
              <w:top w:val="single" w:sz="8" w:space="0" w:color="auto"/>
              <w:left w:val="single" w:sz="8" w:space="0" w:color="auto"/>
              <w:bottom w:val="single" w:sz="8" w:space="0" w:color="000000"/>
              <w:right w:val="single" w:sz="8" w:space="0" w:color="auto"/>
            </w:tcBorders>
            <w:vAlign w:val="center"/>
            <w:hideMark/>
          </w:tcPr>
          <w:p w14:paraId="59C477BF"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6132C54F"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73C84941"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65AF2F7B"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0CBD7F0B"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5CBF780D"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386D6743" w14:textId="77777777" w:rsidR="009C4407" w:rsidRPr="009C4407" w:rsidRDefault="009C4407" w:rsidP="009C4407">
            <w:pPr>
              <w:spacing w:after="0"/>
              <w:jc w:val="left"/>
              <w:rPr>
                <w:rFonts w:eastAsia="Times New Roman" w:cs="Times New Roman"/>
                <w:b/>
                <w:bCs/>
                <w:color w:val="000000"/>
                <w:sz w:val="20"/>
                <w:szCs w:val="20"/>
                <w:lang w:eastAsia="en-GB"/>
              </w:rPr>
            </w:pPr>
          </w:p>
        </w:tc>
      </w:tr>
      <w:tr w:rsidR="009C4407" w:rsidRPr="009C4407" w14:paraId="0192D70A" w14:textId="77777777" w:rsidTr="009C4407">
        <w:trPr>
          <w:trHeight w:val="900"/>
        </w:trPr>
        <w:tc>
          <w:tcPr>
            <w:tcW w:w="2920" w:type="dxa"/>
            <w:vMerge/>
            <w:tcBorders>
              <w:top w:val="single" w:sz="8" w:space="0" w:color="auto"/>
              <w:left w:val="single" w:sz="8" w:space="0" w:color="auto"/>
              <w:bottom w:val="single" w:sz="8" w:space="0" w:color="000000"/>
              <w:right w:val="single" w:sz="8" w:space="0" w:color="auto"/>
            </w:tcBorders>
            <w:vAlign w:val="center"/>
            <w:hideMark/>
          </w:tcPr>
          <w:p w14:paraId="404DB600"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004BF9B7"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7DB7A18A"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08BD36F4"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5DF1EE41"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254E159F" w14:textId="77777777" w:rsidR="009C4407" w:rsidRPr="009C4407" w:rsidRDefault="009C4407" w:rsidP="009C4407">
            <w:pPr>
              <w:spacing w:after="0"/>
              <w:jc w:val="left"/>
              <w:rPr>
                <w:rFonts w:eastAsia="Times New Roman" w:cs="Times New Roman"/>
                <w:b/>
                <w:bCs/>
                <w:color w:val="000000"/>
                <w:sz w:val="20"/>
                <w:szCs w:val="20"/>
                <w:lang w:eastAsia="en-GB"/>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14:paraId="3FA03EB7" w14:textId="77777777" w:rsidR="009C4407" w:rsidRPr="009C4407" w:rsidRDefault="009C4407" w:rsidP="009C4407">
            <w:pPr>
              <w:spacing w:after="0"/>
              <w:jc w:val="left"/>
              <w:rPr>
                <w:rFonts w:eastAsia="Times New Roman" w:cs="Times New Roman"/>
                <w:b/>
                <w:bCs/>
                <w:color w:val="000000"/>
                <w:sz w:val="20"/>
                <w:szCs w:val="20"/>
                <w:lang w:eastAsia="en-GB"/>
              </w:rPr>
            </w:pPr>
          </w:p>
        </w:tc>
      </w:tr>
      <w:tr w:rsidR="009C4407" w:rsidRPr="009C4407" w14:paraId="67AD10AD" w14:textId="77777777" w:rsidTr="009C4407">
        <w:trPr>
          <w:trHeight w:val="31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795044F7"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Artefacts - summary</w:t>
            </w:r>
          </w:p>
        </w:tc>
        <w:tc>
          <w:tcPr>
            <w:tcW w:w="820" w:type="dxa"/>
            <w:tcBorders>
              <w:top w:val="nil"/>
              <w:left w:val="nil"/>
              <w:bottom w:val="single" w:sz="8" w:space="0" w:color="auto"/>
              <w:right w:val="single" w:sz="8" w:space="0" w:color="auto"/>
            </w:tcBorders>
            <w:shd w:val="clear" w:color="auto" w:fill="auto"/>
            <w:vAlign w:val="center"/>
            <w:hideMark/>
          </w:tcPr>
          <w:p w14:paraId="1772A9A0"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7.04</w:t>
            </w:r>
          </w:p>
        </w:tc>
        <w:tc>
          <w:tcPr>
            <w:tcW w:w="820" w:type="dxa"/>
            <w:tcBorders>
              <w:top w:val="nil"/>
              <w:left w:val="nil"/>
              <w:bottom w:val="single" w:sz="8" w:space="0" w:color="auto"/>
              <w:right w:val="single" w:sz="8" w:space="0" w:color="auto"/>
            </w:tcBorders>
            <w:shd w:val="clear" w:color="auto" w:fill="auto"/>
            <w:vAlign w:val="center"/>
            <w:hideMark/>
          </w:tcPr>
          <w:p w14:paraId="24E221BD"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1235157F"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8.09</w:t>
            </w:r>
          </w:p>
        </w:tc>
        <w:tc>
          <w:tcPr>
            <w:tcW w:w="820" w:type="dxa"/>
            <w:tcBorders>
              <w:top w:val="nil"/>
              <w:left w:val="nil"/>
              <w:bottom w:val="single" w:sz="8" w:space="0" w:color="auto"/>
              <w:right w:val="single" w:sz="8" w:space="0" w:color="auto"/>
            </w:tcBorders>
            <w:shd w:val="clear" w:color="auto" w:fill="auto"/>
            <w:vAlign w:val="center"/>
            <w:hideMark/>
          </w:tcPr>
          <w:p w14:paraId="198667B4"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8.18</w:t>
            </w:r>
          </w:p>
        </w:tc>
        <w:tc>
          <w:tcPr>
            <w:tcW w:w="820" w:type="dxa"/>
            <w:tcBorders>
              <w:top w:val="nil"/>
              <w:left w:val="nil"/>
              <w:bottom w:val="single" w:sz="8" w:space="0" w:color="auto"/>
              <w:right w:val="single" w:sz="8" w:space="0" w:color="auto"/>
            </w:tcBorders>
            <w:shd w:val="clear" w:color="auto" w:fill="auto"/>
            <w:vAlign w:val="center"/>
            <w:hideMark/>
          </w:tcPr>
          <w:p w14:paraId="54453191"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8.27</w:t>
            </w:r>
          </w:p>
        </w:tc>
        <w:tc>
          <w:tcPr>
            <w:tcW w:w="820" w:type="dxa"/>
            <w:tcBorders>
              <w:top w:val="nil"/>
              <w:left w:val="nil"/>
              <w:bottom w:val="single" w:sz="8" w:space="0" w:color="auto"/>
              <w:right w:val="single" w:sz="8" w:space="0" w:color="auto"/>
            </w:tcBorders>
            <w:shd w:val="clear" w:color="auto" w:fill="auto"/>
            <w:vAlign w:val="center"/>
            <w:hideMark/>
          </w:tcPr>
          <w:p w14:paraId="7D8B64F5"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8.35</w:t>
            </w:r>
          </w:p>
        </w:tc>
      </w:tr>
      <w:tr w:rsidR="009C4407" w:rsidRPr="009C4407" w14:paraId="770AA14F" w14:textId="77777777" w:rsidTr="009C4407">
        <w:trPr>
          <w:trHeight w:val="31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7565987B"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Artefacts - Functional Categories</w:t>
            </w:r>
          </w:p>
        </w:tc>
        <w:tc>
          <w:tcPr>
            <w:tcW w:w="820" w:type="dxa"/>
            <w:tcBorders>
              <w:top w:val="nil"/>
              <w:left w:val="nil"/>
              <w:bottom w:val="single" w:sz="8" w:space="0" w:color="auto"/>
              <w:right w:val="single" w:sz="8" w:space="0" w:color="auto"/>
            </w:tcBorders>
            <w:shd w:val="clear" w:color="auto" w:fill="auto"/>
            <w:vAlign w:val="center"/>
            <w:hideMark/>
          </w:tcPr>
          <w:p w14:paraId="5597AC81"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6.07</w:t>
            </w:r>
          </w:p>
        </w:tc>
        <w:tc>
          <w:tcPr>
            <w:tcW w:w="820" w:type="dxa"/>
            <w:tcBorders>
              <w:top w:val="nil"/>
              <w:left w:val="nil"/>
              <w:bottom w:val="single" w:sz="8" w:space="0" w:color="auto"/>
              <w:right w:val="single" w:sz="8" w:space="0" w:color="auto"/>
            </w:tcBorders>
            <w:shd w:val="clear" w:color="auto" w:fill="auto"/>
            <w:vAlign w:val="center"/>
            <w:hideMark/>
          </w:tcPr>
          <w:p w14:paraId="36C1BA97"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8.08</w:t>
            </w:r>
          </w:p>
        </w:tc>
        <w:tc>
          <w:tcPr>
            <w:tcW w:w="820" w:type="dxa"/>
            <w:tcBorders>
              <w:top w:val="nil"/>
              <w:left w:val="nil"/>
              <w:bottom w:val="single" w:sz="8" w:space="0" w:color="auto"/>
              <w:right w:val="single" w:sz="8" w:space="0" w:color="auto"/>
            </w:tcBorders>
            <w:shd w:val="clear" w:color="auto" w:fill="auto"/>
            <w:vAlign w:val="center"/>
            <w:hideMark/>
          </w:tcPr>
          <w:p w14:paraId="411FF1A5" w14:textId="4AA35B5E"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8.1</w:t>
            </w:r>
            <w:r w:rsidR="00C549DF">
              <w:rPr>
                <w:rFonts w:eastAsia="Times New Roman" w:cs="Times New Roman"/>
                <w:color w:val="000000"/>
                <w:sz w:val="20"/>
                <w:szCs w:val="20"/>
                <w:lang w:eastAsia="en-GB"/>
              </w:rPr>
              <w:t>0</w:t>
            </w:r>
          </w:p>
        </w:tc>
        <w:tc>
          <w:tcPr>
            <w:tcW w:w="820" w:type="dxa"/>
            <w:tcBorders>
              <w:top w:val="nil"/>
              <w:left w:val="nil"/>
              <w:bottom w:val="single" w:sz="8" w:space="0" w:color="auto"/>
              <w:right w:val="single" w:sz="8" w:space="0" w:color="auto"/>
            </w:tcBorders>
            <w:shd w:val="clear" w:color="auto" w:fill="auto"/>
            <w:vAlign w:val="center"/>
            <w:hideMark/>
          </w:tcPr>
          <w:p w14:paraId="01862907"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8.19</w:t>
            </w:r>
          </w:p>
        </w:tc>
        <w:tc>
          <w:tcPr>
            <w:tcW w:w="820" w:type="dxa"/>
            <w:tcBorders>
              <w:top w:val="nil"/>
              <w:left w:val="nil"/>
              <w:bottom w:val="single" w:sz="8" w:space="0" w:color="auto"/>
              <w:right w:val="single" w:sz="8" w:space="0" w:color="auto"/>
            </w:tcBorders>
            <w:shd w:val="clear" w:color="auto" w:fill="auto"/>
            <w:vAlign w:val="center"/>
            <w:hideMark/>
          </w:tcPr>
          <w:p w14:paraId="12E09C1B"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8.28</w:t>
            </w:r>
          </w:p>
        </w:tc>
        <w:tc>
          <w:tcPr>
            <w:tcW w:w="820" w:type="dxa"/>
            <w:tcBorders>
              <w:top w:val="nil"/>
              <w:left w:val="nil"/>
              <w:bottom w:val="single" w:sz="8" w:space="0" w:color="auto"/>
              <w:right w:val="single" w:sz="8" w:space="0" w:color="auto"/>
            </w:tcBorders>
            <w:shd w:val="clear" w:color="auto" w:fill="auto"/>
            <w:vAlign w:val="center"/>
            <w:hideMark/>
          </w:tcPr>
          <w:p w14:paraId="4DD171E1"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8.36</w:t>
            </w:r>
          </w:p>
        </w:tc>
      </w:tr>
      <w:tr w:rsidR="009C4407" w:rsidRPr="009C4407" w14:paraId="2B168F92" w14:textId="77777777" w:rsidTr="009C4407">
        <w:trPr>
          <w:trHeight w:val="52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6DDB50AD"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Selected dress accessories - comparison to norm</w:t>
            </w:r>
          </w:p>
        </w:tc>
        <w:tc>
          <w:tcPr>
            <w:tcW w:w="820" w:type="dxa"/>
            <w:tcBorders>
              <w:top w:val="nil"/>
              <w:left w:val="nil"/>
              <w:bottom w:val="single" w:sz="8" w:space="0" w:color="auto"/>
              <w:right w:val="single" w:sz="8" w:space="0" w:color="auto"/>
            </w:tcBorders>
            <w:shd w:val="clear" w:color="auto" w:fill="auto"/>
            <w:vAlign w:val="center"/>
            <w:hideMark/>
          </w:tcPr>
          <w:p w14:paraId="11B2FC27"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1A802F06"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4298BE44"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8.11</w:t>
            </w:r>
          </w:p>
        </w:tc>
        <w:tc>
          <w:tcPr>
            <w:tcW w:w="820" w:type="dxa"/>
            <w:tcBorders>
              <w:top w:val="nil"/>
              <w:left w:val="nil"/>
              <w:bottom w:val="single" w:sz="8" w:space="0" w:color="auto"/>
              <w:right w:val="single" w:sz="8" w:space="0" w:color="auto"/>
            </w:tcBorders>
            <w:shd w:val="clear" w:color="auto" w:fill="auto"/>
            <w:vAlign w:val="center"/>
            <w:hideMark/>
          </w:tcPr>
          <w:p w14:paraId="78C7FC4F"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8.2</w:t>
            </w:r>
          </w:p>
        </w:tc>
        <w:tc>
          <w:tcPr>
            <w:tcW w:w="820" w:type="dxa"/>
            <w:tcBorders>
              <w:top w:val="nil"/>
              <w:left w:val="nil"/>
              <w:bottom w:val="single" w:sz="8" w:space="0" w:color="auto"/>
              <w:right w:val="single" w:sz="8" w:space="0" w:color="auto"/>
            </w:tcBorders>
            <w:shd w:val="clear" w:color="auto" w:fill="auto"/>
            <w:vAlign w:val="center"/>
            <w:hideMark/>
          </w:tcPr>
          <w:p w14:paraId="2B275916"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8.29</w:t>
            </w:r>
          </w:p>
        </w:tc>
        <w:tc>
          <w:tcPr>
            <w:tcW w:w="820" w:type="dxa"/>
            <w:tcBorders>
              <w:top w:val="nil"/>
              <w:left w:val="nil"/>
              <w:bottom w:val="single" w:sz="8" w:space="0" w:color="auto"/>
              <w:right w:val="single" w:sz="8" w:space="0" w:color="auto"/>
            </w:tcBorders>
            <w:shd w:val="clear" w:color="auto" w:fill="auto"/>
            <w:vAlign w:val="center"/>
            <w:hideMark/>
          </w:tcPr>
          <w:p w14:paraId="1F917A89"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8.37</w:t>
            </w:r>
          </w:p>
        </w:tc>
      </w:tr>
      <w:tr w:rsidR="009C4407" w:rsidRPr="009C4407" w14:paraId="3D8D94C7" w14:textId="77777777" w:rsidTr="009C4407">
        <w:trPr>
          <w:trHeight w:val="31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1B8E978D"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Artefacts - detailed types</w:t>
            </w:r>
          </w:p>
        </w:tc>
        <w:tc>
          <w:tcPr>
            <w:tcW w:w="820" w:type="dxa"/>
            <w:tcBorders>
              <w:top w:val="nil"/>
              <w:left w:val="nil"/>
              <w:bottom w:val="single" w:sz="8" w:space="0" w:color="auto"/>
              <w:right w:val="single" w:sz="8" w:space="0" w:color="auto"/>
            </w:tcBorders>
            <w:shd w:val="clear" w:color="auto" w:fill="auto"/>
            <w:vAlign w:val="center"/>
            <w:hideMark/>
          </w:tcPr>
          <w:p w14:paraId="4858C8F3"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6.1</w:t>
            </w:r>
          </w:p>
        </w:tc>
        <w:tc>
          <w:tcPr>
            <w:tcW w:w="820" w:type="dxa"/>
            <w:tcBorders>
              <w:top w:val="nil"/>
              <w:left w:val="nil"/>
              <w:bottom w:val="single" w:sz="8" w:space="0" w:color="auto"/>
              <w:right w:val="single" w:sz="8" w:space="0" w:color="auto"/>
            </w:tcBorders>
            <w:shd w:val="clear" w:color="auto" w:fill="auto"/>
            <w:vAlign w:val="center"/>
            <w:hideMark/>
          </w:tcPr>
          <w:p w14:paraId="1121EC1F"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5D6C0C92"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8.12</w:t>
            </w:r>
          </w:p>
        </w:tc>
        <w:tc>
          <w:tcPr>
            <w:tcW w:w="820" w:type="dxa"/>
            <w:tcBorders>
              <w:top w:val="nil"/>
              <w:left w:val="nil"/>
              <w:bottom w:val="single" w:sz="8" w:space="0" w:color="auto"/>
              <w:right w:val="single" w:sz="8" w:space="0" w:color="auto"/>
            </w:tcBorders>
            <w:shd w:val="clear" w:color="auto" w:fill="auto"/>
            <w:vAlign w:val="center"/>
            <w:hideMark/>
          </w:tcPr>
          <w:p w14:paraId="152B166E"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8.21</w:t>
            </w:r>
          </w:p>
        </w:tc>
        <w:tc>
          <w:tcPr>
            <w:tcW w:w="820" w:type="dxa"/>
            <w:tcBorders>
              <w:top w:val="nil"/>
              <w:left w:val="nil"/>
              <w:bottom w:val="single" w:sz="8" w:space="0" w:color="auto"/>
              <w:right w:val="single" w:sz="8" w:space="0" w:color="auto"/>
            </w:tcBorders>
            <w:shd w:val="clear" w:color="auto" w:fill="auto"/>
            <w:vAlign w:val="center"/>
            <w:hideMark/>
          </w:tcPr>
          <w:p w14:paraId="31084830"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w:t>
            </w:r>
          </w:p>
        </w:tc>
        <w:tc>
          <w:tcPr>
            <w:tcW w:w="820" w:type="dxa"/>
            <w:tcBorders>
              <w:top w:val="nil"/>
              <w:left w:val="nil"/>
              <w:bottom w:val="single" w:sz="8" w:space="0" w:color="auto"/>
              <w:right w:val="single" w:sz="8" w:space="0" w:color="auto"/>
            </w:tcBorders>
            <w:shd w:val="clear" w:color="auto" w:fill="auto"/>
            <w:vAlign w:val="center"/>
            <w:hideMark/>
          </w:tcPr>
          <w:p w14:paraId="25C62531"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8.38</w:t>
            </w:r>
          </w:p>
        </w:tc>
      </w:tr>
      <w:tr w:rsidR="009C4407" w:rsidRPr="009C4407" w14:paraId="713A5CF7" w14:textId="77777777" w:rsidTr="009C4407">
        <w:trPr>
          <w:trHeight w:val="31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7B91772C"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Density</w:t>
            </w:r>
          </w:p>
        </w:tc>
        <w:tc>
          <w:tcPr>
            <w:tcW w:w="820" w:type="dxa"/>
            <w:tcBorders>
              <w:top w:val="nil"/>
              <w:left w:val="nil"/>
              <w:bottom w:val="single" w:sz="8" w:space="0" w:color="auto"/>
              <w:right w:val="single" w:sz="8" w:space="0" w:color="auto"/>
            </w:tcBorders>
            <w:shd w:val="clear" w:color="auto" w:fill="auto"/>
            <w:vAlign w:val="center"/>
            <w:hideMark/>
          </w:tcPr>
          <w:p w14:paraId="1695CDDF"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7.05</w:t>
            </w:r>
          </w:p>
        </w:tc>
        <w:tc>
          <w:tcPr>
            <w:tcW w:w="820" w:type="dxa"/>
            <w:tcBorders>
              <w:top w:val="nil"/>
              <w:left w:val="nil"/>
              <w:bottom w:val="single" w:sz="8" w:space="0" w:color="auto"/>
              <w:right w:val="single" w:sz="8" w:space="0" w:color="auto"/>
            </w:tcBorders>
            <w:shd w:val="clear" w:color="auto" w:fill="auto"/>
            <w:vAlign w:val="center"/>
            <w:hideMark/>
          </w:tcPr>
          <w:p w14:paraId="0C07934C"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19AA6F54"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3A7D9D24"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00024DB1"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736B2A15"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r>
      <w:tr w:rsidR="009C4407" w:rsidRPr="009C4407" w14:paraId="0C4E90F1" w14:textId="77777777" w:rsidTr="009C4407">
        <w:trPr>
          <w:trHeight w:val="31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670D68BD"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Coin mix on artefact sites</w:t>
            </w:r>
          </w:p>
        </w:tc>
        <w:tc>
          <w:tcPr>
            <w:tcW w:w="820" w:type="dxa"/>
            <w:tcBorders>
              <w:top w:val="nil"/>
              <w:left w:val="nil"/>
              <w:bottom w:val="single" w:sz="8" w:space="0" w:color="auto"/>
              <w:right w:val="single" w:sz="8" w:space="0" w:color="auto"/>
            </w:tcBorders>
            <w:shd w:val="clear" w:color="auto" w:fill="auto"/>
            <w:vAlign w:val="center"/>
            <w:hideMark/>
          </w:tcPr>
          <w:p w14:paraId="087801FD"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7.06</w:t>
            </w:r>
          </w:p>
        </w:tc>
        <w:tc>
          <w:tcPr>
            <w:tcW w:w="820" w:type="dxa"/>
            <w:tcBorders>
              <w:top w:val="nil"/>
              <w:left w:val="nil"/>
              <w:bottom w:val="single" w:sz="8" w:space="0" w:color="auto"/>
              <w:right w:val="single" w:sz="8" w:space="0" w:color="auto"/>
            </w:tcBorders>
            <w:shd w:val="clear" w:color="auto" w:fill="auto"/>
            <w:vAlign w:val="center"/>
            <w:hideMark/>
          </w:tcPr>
          <w:p w14:paraId="7EF10CE4"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008879B3"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8.13</w:t>
            </w:r>
          </w:p>
        </w:tc>
        <w:tc>
          <w:tcPr>
            <w:tcW w:w="820" w:type="dxa"/>
            <w:tcBorders>
              <w:top w:val="nil"/>
              <w:left w:val="nil"/>
              <w:bottom w:val="single" w:sz="8" w:space="0" w:color="auto"/>
              <w:right w:val="single" w:sz="8" w:space="0" w:color="auto"/>
            </w:tcBorders>
            <w:shd w:val="clear" w:color="auto" w:fill="auto"/>
            <w:vAlign w:val="center"/>
            <w:hideMark/>
          </w:tcPr>
          <w:p w14:paraId="0EB166AD"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8.22</w:t>
            </w:r>
          </w:p>
        </w:tc>
        <w:tc>
          <w:tcPr>
            <w:tcW w:w="820" w:type="dxa"/>
            <w:tcBorders>
              <w:top w:val="nil"/>
              <w:left w:val="nil"/>
              <w:bottom w:val="single" w:sz="8" w:space="0" w:color="auto"/>
              <w:right w:val="single" w:sz="8" w:space="0" w:color="auto"/>
            </w:tcBorders>
            <w:shd w:val="clear" w:color="auto" w:fill="auto"/>
            <w:vAlign w:val="center"/>
            <w:hideMark/>
          </w:tcPr>
          <w:p w14:paraId="46BCB97D"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8.31</w:t>
            </w:r>
          </w:p>
        </w:tc>
        <w:tc>
          <w:tcPr>
            <w:tcW w:w="820" w:type="dxa"/>
            <w:tcBorders>
              <w:top w:val="nil"/>
              <w:left w:val="nil"/>
              <w:bottom w:val="single" w:sz="8" w:space="0" w:color="auto"/>
              <w:right w:val="single" w:sz="8" w:space="0" w:color="auto"/>
            </w:tcBorders>
            <w:shd w:val="clear" w:color="auto" w:fill="auto"/>
            <w:vAlign w:val="center"/>
            <w:hideMark/>
          </w:tcPr>
          <w:p w14:paraId="5124D00E"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8.39</w:t>
            </w:r>
          </w:p>
        </w:tc>
      </w:tr>
      <w:tr w:rsidR="009C4407" w:rsidRPr="009C4407" w14:paraId="6D23EFBE" w14:textId="77777777" w:rsidTr="009C4407">
        <w:trPr>
          <w:trHeight w:val="31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3D1B1796"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Coin age mix on artefact sites</w:t>
            </w:r>
          </w:p>
        </w:tc>
        <w:tc>
          <w:tcPr>
            <w:tcW w:w="820" w:type="dxa"/>
            <w:tcBorders>
              <w:top w:val="nil"/>
              <w:left w:val="nil"/>
              <w:bottom w:val="single" w:sz="8" w:space="0" w:color="auto"/>
              <w:right w:val="single" w:sz="8" w:space="0" w:color="auto"/>
            </w:tcBorders>
            <w:shd w:val="clear" w:color="auto" w:fill="auto"/>
            <w:vAlign w:val="center"/>
            <w:hideMark/>
          </w:tcPr>
          <w:p w14:paraId="5364AB82"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7.07</w:t>
            </w:r>
          </w:p>
        </w:tc>
        <w:tc>
          <w:tcPr>
            <w:tcW w:w="820" w:type="dxa"/>
            <w:tcBorders>
              <w:top w:val="nil"/>
              <w:left w:val="nil"/>
              <w:bottom w:val="single" w:sz="8" w:space="0" w:color="auto"/>
              <w:right w:val="single" w:sz="8" w:space="0" w:color="auto"/>
            </w:tcBorders>
            <w:shd w:val="clear" w:color="auto" w:fill="auto"/>
            <w:vAlign w:val="center"/>
            <w:hideMark/>
          </w:tcPr>
          <w:p w14:paraId="58148825"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26B7DF31"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8.14</w:t>
            </w:r>
          </w:p>
        </w:tc>
        <w:tc>
          <w:tcPr>
            <w:tcW w:w="820" w:type="dxa"/>
            <w:tcBorders>
              <w:top w:val="nil"/>
              <w:left w:val="nil"/>
              <w:bottom w:val="single" w:sz="8" w:space="0" w:color="auto"/>
              <w:right w:val="single" w:sz="8" w:space="0" w:color="auto"/>
            </w:tcBorders>
            <w:shd w:val="clear" w:color="auto" w:fill="auto"/>
            <w:vAlign w:val="center"/>
            <w:hideMark/>
          </w:tcPr>
          <w:p w14:paraId="76FA15EB"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8.23</w:t>
            </w:r>
          </w:p>
        </w:tc>
        <w:tc>
          <w:tcPr>
            <w:tcW w:w="820" w:type="dxa"/>
            <w:tcBorders>
              <w:top w:val="nil"/>
              <w:left w:val="nil"/>
              <w:bottom w:val="single" w:sz="8" w:space="0" w:color="auto"/>
              <w:right w:val="single" w:sz="8" w:space="0" w:color="auto"/>
            </w:tcBorders>
            <w:shd w:val="clear" w:color="auto" w:fill="auto"/>
            <w:vAlign w:val="center"/>
            <w:hideMark/>
          </w:tcPr>
          <w:p w14:paraId="7327BE45"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8.32</w:t>
            </w:r>
          </w:p>
        </w:tc>
        <w:tc>
          <w:tcPr>
            <w:tcW w:w="820" w:type="dxa"/>
            <w:tcBorders>
              <w:top w:val="nil"/>
              <w:left w:val="nil"/>
              <w:bottom w:val="single" w:sz="8" w:space="0" w:color="auto"/>
              <w:right w:val="single" w:sz="8" w:space="0" w:color="auto"/>
            </w:tcBorders>
            <w:shd w:val="clear" w:color="auto" w:fill="auto"/>
            <w:vAlign w:val="center"/>
            <w:hideMark/>
          </w:tcPr>
          <w:p w14:paraId="56BB5E77"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8.4</w:t>
            </w:r>
          </w:p>
        </w:tc>
      </w:tr>
      <w:tr w:rsidR="009C4407" w:rsidRPr="009C4407" w14:paraId="24670184" w14:textId="77777777" w:rsidTr="009C4407">
        <w:trPr>
          <w:trHeight w:val="315"/>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16B1372C" w14:textId="77777777" w:rsidR="009C4407" w:rsidRPr="009C4407" w:rsidRDefault="009C4407" w:rsidP="009C4407">
            <w:pPr>
              <w:spacing w:after="0"/>
              <w:rPr>
                <w:rFonts w:eastAsia="Times New Roman" w:cs="Times New Roman"/>
                <w:color w:val="000000"/>
                <w:sz w:val="20"/>
                <w:szCs w:val="20"/>
                <w:lang w:eastAsia="en-GB"/>
              </w:rPr>
            </w:pPr>
            <w:r w:rsidRPr="009C4407">
              <w:rPr>
                <w:rFonts w:eastAsia="Times New Roman" w:cs="Times New Roman"/>
                <w:color w:val="000000"/>
                <w:sz w:val="20"/>
                <w:szCs w:val="20"/>
                <w:lang w:eastAsia="en-GB"/>
              </w:rPr>
              <w:t>Stability – coin sites</w:t>
            </w:r>
          </w:p>
        </w:tc>
        <w:tc>
          <w:tcPr>
            <w:tcW w:w="820" w:type="dxa"/>
            <w:tcBorders>
              <w:top w:val="nil"/>
              <w:left w:val="nil"/>
              <w:bottom w:val="single" w:sz="8" w:space="0" w:color="auto"/>
              <w:right w:val="single" w:sz="8" w:space="0" w:color="auto"/>
            </w:tcBorders>
            <w:shd w:val="clear" w:color="auto" w:fill="auto"/>
            <w:vAlign w:val="center"/>
            <w:hideMark/>
          </w:tcPr>
          <w:p w14:paraId="279E633C"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7.08-9</w:t>
            </w:r>
          </w:p>
        </w:tc>
        <w:tc>
          <w:tcPr>
            <w:tcW w:w="820" w:type="dxa"/>
            <w:tcBorders>
              <w:top w:val="nil"/>
              <w:left w:val="nil"/>
              <w:bottom w:val="single" w:sz="8" w:space="0" w:color="auto"/>
              <w:right w:val="single" w:sz="8" w:space="0" w:color="auto"/>
            </w:tcBorders>
            <w:shd w:val="clear" w:color="auto" w:fill="auto"/>
            <w:vAlign w:val="center"/>
            <w:hideMark/>
          </w:tcPr>
          <w:p w14:paraId="0251BCE2"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14C7D38A"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510B19C5"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31E873BB"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c>
          <w:tcPr>
            <w:tcW w:w="820" w:type="dxa"/>
            <w:tcBorders>
              <w:top w:val="nil"/>
              <w:left w:val="nil"/>
              <w:bottom w:val="single" w:sz="8" w:space="0" w:color="auto"/>
              <w:right w:val="single" w:sz="8" w:space="0" w:color="auto"/>
            </w:tcBorders>
            <w:shd w:val="clear" w:color="auto" w:fill="auto"/>
            <w:vAlign w:val="center"/>
            <w:hideMark/>
          </w:tcPr>
          <w:p w14:paraId="3DACAC9E" w14:textId="77777777" w:rsidR="009C4407" w:rsidRPr="009C4407" w:rsidRDefault="009C4407" w:rsidP="009C4407">
            <w:pPr>
              <w:spacing w:after="0"/>
              <w:jc w:val="right"/>
              <w:rPr>
                <w:rFonts w:eastAsia="Times New Roman" w:cs="Times New Roman"/>
                <w:color w:val="000000"/>
                <w:sz w:val="20"/>
                <w:szCs w:val="20"/>
                <w:lang w:eastAsia="en-GB"/>
              </w:rPr>
            </w:pPr>
            <w:r w:rsidRPr="009C4407">
              <w:rPr>
                <w:rFonts w:eastAsia="Times New Roman" w:cs="Times New Roman"/>
                <w:color w:val="000000"/>
                <w:sz w:val="20"/>
                <w:szCs w:val="20"/>
                <w:lang w:eastAsia="en-GB"/>
              </w:rPr>
              <w:t> </w:t>
            </w:r>
          </w:p>
        </w:tc>
      </w:tr>
    </w:tbl>
    <w:p w14:paraId="13EC0E59" w14:textId="22351583" w:rsidR="00100F75" w:rsidRPr="00EC0229" w:rsidRDefault="00100F75" w:rsidP="00100F75">
      <w:pPr>
        <w:pStyle w:val="NoSpacing"/>
        <w:spacing w:line="360" w:lineRule="auto"/>
        <w:jc w:val="center"/>
        <w:rPr>
          <w:rFonts w:cs="Times New Roman"/>
          <w:i/>
          <w:color w:val="000000" w:themeColor="text1"/>
          <w:sz w:val="20"/>
          <w:szCs w:val="20"/>
        </w:rPr>
      </w:pPr>
      <w:r w:rsidRPr="00EC0229">
        <w:rPr>
          <w:rFonts w:cs="Times New Roman"/>
          <w:i/>
          <w:color w:val="000000" w:themeColor="text1"/>
          <w:sz w:val="20"/>
          <w:szCs w:val="20"/>
        </w:rPr>
        <w:t xml:space="preserve">Table </w:t>
      </w:r>
      <w:r w:rsidR="006B7780" w:rsidRPr="00EC0229">
        <w:rPr>
          <w:rFonts w:cs="Times New Roman"/>
          <w:i/>
          <w:color w:val="000000" w:themeColor="text1"/>
          <w:sz w:val="20"/>
          <w:szCs w:val="20"/>
        </w:rPr>
        <w:t>7.10</w:t>
      </w:r>
      <w:r w:rsidRPr="00EC0229">
        <w:rPr>
          <w:rFonts w:cs="Times New Roman"/>
          <w:i/>
          <w:color w:val="000000" w:themeColor="text1"/>
          <w:sz w:val="20"/>
          <w:szCs w:val="20"/>
        </w:rPr>
        <w:t xml:space="preserve">: </w:t>
      </w:r>
      <w:r w:rsidRPr="00EC0229">
        <w:rPr>
          <w:rFonts w:cs="Times New Roman"/>
          <w:color w:val="000000" w:themeColor="text1"/>
          <w:sz w:val="20"/>
          <w:szCs w:val="20"/>
        </w:rPr>
        <w:t>Table of Tables</w:t>
      </w:r>
    </w:p>
    <w:p w14:paraId="61EF2FEA" w14:textId="77777777" w:rsidR="00100F75" w:rsidRPr="00EC0229" w:rsidRDefault="00100F75" w:rsidP="00100F75">
      <w:pPr>
        <w:pStyle w:val="NoSpacing"/>
        <w:spacing w:line="360" w:lineRule="auto"/>
        <w:jc w:val="center"/>
        <w:rPr>
          <w:rFonts w:cs="Times New Roman"/>
          <w:b/>
          <w:color w:val="000000" w:themeColor="text1"/>
          <w:sz w:val="20"/>
          <w:szCs w:val="20"/>
        </w:rPr>
      </w:pPr>
    </w:p>
    <w:p w14:paraId="5AD80EDA" w14:textId="77777777" w:rsidR="00D311C4" w:rsidRDefault="00D311C4">
      <w:pPr>
        <w:spacing w:line="259" w:lineRule="auto"/>
        <w:jc w:val="left"/>
        <w:rPr>
          <w:b/>
          <w:sz w:val="28"/>
          <w:szCs w:val="26"/>
        </w:rPr>
      </w:pPr>
      <w:r>
        <w:br w:type="page"/>
      </w:r>
    </w:p>
    <w:p w14:paraId="300E1E11" w14:textId="6A22B241" w:rsidR="00100F75" w:rsidRPr="00EC0229" w:rsidRDefault="00455D13" w:rsidP="002C0E71">
      <w:pPr>
        <w:pStyle w:val="Heading2"/>
        <w:rPr>
          <w:color w:val="000000" w:themeColor="text1"/>
          <w:szCs w:val="28"/>
        </w:rPr>
      </w:pPr>
      <w:bookmarkStart w:id="494" w:name="_Toc468266843"/>
      <w:r>
        <w:lastRenderedPageBreak/>
        <w:t>7.3</w:t>
      </w:r>
      <w:r w:rsidR="00736C9E">
        <w:tab/>
      </w:r>
      <w:hyperlink r:id="rId228" w:history="1">
        <w:r w:rsidR="002C0E71" w:rsidRPr="00EC0229">
          <w:rPr>
            <w:rStyle w:val="Hyperlink"/>
            <w:rFonts w:cs="Times New Roman"/>
            <w:color w:val="000000" w:themeColor="text1"/>
            <w:szCs w:val="28"/>
            <w:u w:val="none"/>
          </w:rPr>
          <w:t>C</w:t>
        </w:r>
        <w:r w:rsidR="002C0E71" w:rsidRPr="00EC0229">
          <w:rPr>
            <w:rStyle w:val="Hyperlink"/>
            <w:color w:val="000000" w:themeColor="text1"/>
            <w:szCs w:val="28"/>
            <w:u w:val="none"/>
          </w:rPr>
          <w:t>ase Studies</w:t>
        </w:r>
        <w:bookmarkEnd w:id="494"/>
        <w:r w:rsidR="00100F75" w:rsidRPr="00EC0229">
          <w:rPr>
            <w:rStyle w:val="Hyperlink"/>
            <w:color w:val="000000" w:themeColor="text1"/>
            <w:szCs w:val="28"/>
            <w:u w:val="none"/>
          </w:rPr>
          <w:fldChar w:fldCharType="begin"/>
        </w:r>
        <w:r w:rsidR="00100F75" w:rsidRPr="00EC0229">
          <w:instrText xml:space="preserve"> XE "</w:instrText>
        </w:r>
        <w:r w:rsidR="00100F75" w:rsidRPr="00EC0229">
          <w:rPr>
            <w:rStyle w:val="Hyperlink"/>
            <w:rFonts w:cs="Times New Roman"/>
            <w:noProof/>
            <w:u w:val="none"/>
          </w:rPr>
          <w:instrText>case studies</w:instrText>
        </w:r>
        <w:r w:rsidR="00100F75" w:rsidRPr="00EC0229">
          <w:instrText xml:space="preserve">" </w:instrText>
        </w:r>
        <w:r w:rsidR="00100F75" w:rsidRPr="00EC0229">
          <w:rPr>
            <w:rStyle w:val="Hyperlink"/>
            <w:color w:val="000000" w:themeColor="text1"/>
            <w:szCs w:val="28"/>
            <w:u w:val="none"/>
          </w:rPr>
          <w:fldChar w:fldCharType="end"/>
        </w:r>
      </w:hyperlink>
    </w:p>
    <w:p w14:paraId="28A447E5" w14:textId="3CD216B8" w:rsidR="00100F75" w:rsidRPr="00EC0229" w:rsidRDefault="00100F75" w:rsidP="00100F75">
      <w:pPr>
        <w:spacing w:after="0" w:line="360" w:lineRule="auto"/>
        <w:rPr>
          <w:color w:val="FF0000"/>
        </w:rPr>
      </w:pPr>
      <w:r w:rsidRPr="00EC0229">
        <w:t xml:space="preserve">Having constructed a framework for the evaluation of numismatic and artefactual finds, regional studies have been made </w:t>
      </w:r>
      <w:r w:rsidR="00BF6095">
        <w:t>to</w:t>
      </w:r>
      <w:r w:rsidRPr="00EC0229">
        <w:t xml:space="preserve"> test the hypotheses presented above. In other cases, where sites have been included in </w:t>
      </w:r>
      <w:r w:rsidR="00F465BD">
        <w:rPr>
          <w:i/>
        </w:rPr>
        <w:t>Dataset</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5</w:t>
      </w:r>
      <w:r w:rsidR="006B7780" w:rsidRPr="00EC0229">
        <w:rPr>
          <w:i/>
        </w:rPr>
        <w:t>.01</w:t>
      </w:r>
      <w:r w:rsidRPr="00EC0229">
        <w:t xml:space="preserve"> and have been covered adequately by previous authors, only a synopsis of the site characteristics is given.  </w:t>
      </w:r>
    </w:p>
    <w:p w14:paraId="4166EE3D" w14:textId="77777777" w:rsidR="00100F75" w:rsidRPr="00EC0229" w:rsidRDefault="00100F75" w:rsidP="00100F75">
      <w:pPr>
        <w:pStyle w:val="NoSpacing"/>
        <w:spacing w:line="360" w:lineRule="auto"/>
        <w:rPr>
          <w:color w:val="000000" w:themeColor="text1"/>
        </w:rPr>
      </w:pPr>
    </w:p>
    <w:p w14:paraId="24CE7008" w14:textId="2CE3C758" w:rsidR="00100F75" w:rsidRPr="00EC0229" w:rsidRDefault="00100F75" w:rsidP="00100F75">
      <w:pPr>
        <w:pStyle w:val="NoSpacing"/>
        <w:spacing w:line="360" w:lineRule="auto"/>
        <w:rPr>
          <w:color w:val="000000" w:themeColor="text1"/>
        </w:rPr>
      </w:pPr>
      <w:r w:rsidRPr="00EC0229">
        <w:rPr>
          <w:color w:val="000000" w:themeColor="text1"/>
        </w:rPr>
        <w:t xml:space="preserve">The first study undertaken, </w:t>
      </w:r>
      <w:r w:rsidRPr="00EC0229">
        <w:t>York</w:t>
      </w:r>
      <w:r w:rsidRPr="00EC0229">
        <w:fldChar w:fldCharType="begin"/>
      </w:r>
      <w:r w:rsidRPr="00EC0229">
        <w:instrText xml:space="preserve"> XE "</w:instrText>
      </w:r>
      <w:r w:rsidRPr="00EC0229">
        <w:rPr>
          <w:noProof/>
        </w:rPr>
        <w:instrText>York</w:instrText>
      </w:r>
      <w:r w:rsidRPr="00EC0229">
        <w:instrText xml:space="preserve">" </w:instrText>
      </w:r>
      <w:r w:rsidRPr="00EC0229">
        <w:fldChar w:fldCharType="end"/>
      </w:r>
      <w:r w:rsidRPr="00EC0229">
        <w:t xml:space="preserve"> and its Environs</w:t>
      </w:r>
      <w:r w:rsidRPr="00EC0229">
        <w:rPr>
          <w:color w:val="000000" w:themeColor="text1"/>
        </w:rPr>
        <w:t xml:space="preserve"> (</w:t>
      </w:r>
      <w:r w:rsidRPr="00EC0229">
        <w:rPr>
          <w:color w:val="000000" w:themeColor="text1"/>
        </w:rPr>
        <w:fldChar w:fldCharType="begin"/>
      </w:r>
      <w:r w:rsidRPr="00EC0229">
        <w:rPr>
          <w:color w:val="000000" w:themeColor="text1"/>
        </w:rPr>
        <w:instrText xml:space="preserve"> PAGEREF Yorkanditsenvirons \h </w:instrText>
      </w:r>
      <w:r w:rsidRPr="00EC0229">
        <w:rPr>
          <w:color w:val="000000" w:themeColor="text1"/>
        </w:rPr>
      </w:r>
      <w:r w:rsidRPr="00EC0229">
        <w:rPr>
          <w:color w:val="000000" w:themeColor="text1"/>
        </w:rPr>
        <w:fldChar w:fldCharType="separate"/>
      </w:r>
      <w:r w:rsidR="0012026B">
        <w:rPr>
          <w:noProof/>
          <w:color w:val="000000" w:themeColor="text1"/>
        </w:rPr>
        <w:t>180</w:t>
      </w:r>
      <w:r w:rsidRPr="00EC0229">
        <w:rPr>
          <w:color w:val="000000" w:themeColor="text1"/>
        </w:rPr>
        <w:fldChar w:fldCharType="end"/>
      </w:r>
      <w:r w:rsidRPr="00EC0229">
        <w:rPr>
          <w:color w:val="000000" w:themeColor="text1"/>
        </w:rPr>
        <w:t>), includes the Anglian</w:t>
      </w:r>
      <w:r w:rsidRPr="00EC0229">
        <w:rPr>
          <w:color w:val="000000" w:themeColor="text1"/>
        </w:rPr>
        <w:fldChar w:fldCharType="begin"/>
      </w:r>
      <w:r w:rsidRPr="00EC0229">
        <w:instrText xml:space="preserve"> XE "Anglian" </w:instrText>
      </w:r>
      <w:r w:rsidRPr="00EC0229">
        <w:rPr>
          <w:color w:val="000000" w:themeColor="text1"/>
        </w:rPr>
        <w:fldChar w:fldCharType="end"/>
      </w:r>
      <w:r w:rsidRPr="00EC0229">
        <w:rPr>
          <w:color w:val="000000" w:themeColor="text1"/>
        </w:rPr>
        <w:t xml:space="preserve"> settlement</w:t>
      </w:r>
      <w:r w:rsidRPr="00EC0229">
        <w:rPr>
          <w:color w:val="000000" w:themeColor="text1"/>
        </w:rPr>
        <w:fldChar w:fldCharType="begin"/>
      </w:r>
      <w:r w:rsidRPr="00EC0229">
        <w:instrText xml:space="preserve"> XE "settlement" </w:instrText>
      </w:r>
      <w:r w:rsidRPr="00EC0229">
        <w:rPr>
          <w:color w:val="000000" w:themeColor="text1"/>
        </w:rPr>
        <w:fldChar w:fldCharType="end"/>
      </w:r>
      <w:r w:rsidRPr="00EC0229">
        <w:rPr>
          <w:color w:val="000000" w:themeColor="text1"/>
        </w:rPr>
        <w:t xml:space="preserve"> at 46-54 </w:t>
      </w:r>
      <w:r w:rsidRPr="00EC0229">
        <w:t>Fishergate</w:t>
      </w:r>
      <w:r w:rsidRPr="00EC0229">
        <w:fldChar w:fldCharType="begin"/>
      </w:r>
      <w:r w:rsidRPr="00EC0229">
        <w:instrText xml:space="preserve"> XE "</w:instrText>
      </w:r>
      <w:r w:rsidRPr="00EC0229">
        <w:rPr>
          <w:noProof/>
        </w:rPr>
        <w:instrText>Fishergate</w:instrText>
      </w:r>
      <w:r w:rsidRPr="00EC0229">
        <w:instrText xml:space="preserve">" </w:instrText>
      </w:r>
      <w:r w:rsidRPr="00EC0229">
        <w:fldChar w:fldCharType="end"/>
      </w:r>
      <w:r w:rsidRPr="00EC0229">
        <w:rPr>
          <w:color w:val="000000" w:themeColor="text1"/>
        </w:rPr>
        <w:t>, York (</w:t>
      </w:r>
      <w:r w:rsidRPr="00EC0229">
        <w:rPr>
          <w:color w:val="000000" w:themeColor="text1"/>
        </w:rPr>
        <w:fldChar w:fldCharType="begin"/>
      </w:r>
      <w:r w:rsidRPr="00EC0229">
        <w:rPr>
          <w:color w:val="000000" w:themeColor="text1"/>
        </w:rPr>
        <w:instrText xml:space="preserve"> PAGEREF Fishergate \h </w:instrText>
      </w:r>
      <w:r w:rsidRPr="00EC0229">
        <w:rPr>
          <w:color w:val="000000" w:themeColor="text1"/>
        </w:rPr>
      </w:r>
      <w:r w:rsidRPr="00EC0229">
        <w:rPr>
          <w:color w:val="000000" w:themeColor="text1"/>
        </w:rPr>
        <w:fldChar w:fldCharType="separate"/>
      </w:r>
      <w:r w:rsidR="0012026B">
        <w:rPr>
          <w:noProof/>
          <w:color w:val="000000" w:themeColor="text1"/>
        </w:rPr>
        <w:t>186</w:t>
      </w:r>
      <w:r w:rsidRPr="00EC0229">
        <w:rPr>
          <w:color w:val="000000" w:themeColor="text1"/>
        </w:rPr>
        <w:fldChar w:fldCharType="end"/>
      </w:r>
      <w:r w:rsidRPr="00EC0229">
        <w:rPr>
          <w:color w:val="000000" w:themeColor="text1"/>
        </w:rPr>
        <w:t>). The second region, described as the Central Lowlands</w:t>
      </w:r>
      <w:r w:rsidRPr="00EC0229">
        <w:rPr>
          <w:color w:val="000000" w:themeColor="text1"/>
        </w:rPr>
        <w:fldChar w:fldCharType="begin"/>
      </w:r>
      <w:r w:rsidRPr="00EC0229">
        <w:instrText xml:space="preserve"> XE "Central Lowlands" </w:instrText>
      </w:r>
      <w:r w:rsidRPr="00EC0229">
        <w:rPr>
          <w:color w:val="000000" w:themeColor="text1"/>
        </w:rPr>
        <w:fldChar w:fldCharType="end"/>
      </w:r>
      <w:r w:rsidRPr="00EC0229">
        <w:rPr>
          <w:color w:val="000000" w:themeColor="text1"/>
        </w:rPr>
        <w:t>, is the entire plain from Darlington to Doncaster, framed between the Pennines to the west and North York Moors, Howardian Hills and Yorkshire Wolds to the east. The other regions are conventional: the Yorkshire Wolds, Beverley and Holderness, the Vale of Pickering, Bernicia and the north. The western periphery of the Wolds is deemed to include the descent into the Central Lowlands.</w:t>
      </w:r>
    </w:p>
    <w:p w14:paraId="2333AEE3" w14:textId="77777777" w:rsidR="000F0804" w:rsidRPr="00EC0229" w:rsidRDefault="000F0804" w:rsidP="000F0804"/>
    <w:p w14:paraId="15ADAC45" w14:textId="266419DE" w:rsidR="00C57DCF" w:rsidRPr="007A3166" w:rsidRDefault="00736C9E" w:rsidP="00AA51C3">
      <w:pPr>
        <w:pStyle w:val="Heading4"/>
        <w:spacing w:line="360" w:lineRule="auto"/>
        <w:rPr>
          <w:b/>
        </w:rPr>
      </w:pPr>
      <w:bookmarkStart w:id="495" w:name="_Toc468266844"/>
      <w:r>
        <w:rPr>
          <w:b/>
        </w:rPr>
        <w:t>7.3.1</w:t>
      </w:r>
      <w:r>
        <w:rPr>
          <w:b/>
        </w:rPr>
        <w:tab/>
      </w:r>
      <w:r w:rsidR="00AA51C3" w:rsidRPr="007A3166">
        <w:rPr>
          <w:b/>
        </w:rPr>
        <w:t>Temporal</w:t>
      </w:r>
      <w:r w:rsidR="00AA51C3" w:rsidRPr="007A3166">
        <w:rPr>
          <w:b/>
        </w:rPr>
        <w:fldChar w:fldCharType="begin"/>
      </w:r>
      <w:r w:rsidR="00AA51C3" w:rsidRPr="007A3166">
        <w:rPr>
          <w:b/>
        </w:rPr>
        <w:instrText xml:space="preserve"> XE "</w:instrText>
      </w:r>
      <w:r w:rsidR="00AA51C3" w:rsidRPr="007A3166">
        <w:rPr>
          <w:rStyle w:val="Hyperlink"/>
          <w:b/>
          <w:noProof/>
          <w:u w:val="none"/>
        </w:rPr>
        <w:instrText>Temporal</w:instrText>
      </w:r>
      <w:r w:rsidR="00AA51C3" w:rsidRPr="007A3166">
        <w:rPr>
          <w:b/>
        </w:rPr>
        <w:instrText xml:space="preserve">" </w:instrText>
      </w:r>
      <w:r w:rsidR="00AA51C3" w:rsidRPr="007A3166">
        <w:rPr>
          <w:b/>
        </w:rPr>
        <w:fldChar w:fldCharType="end"/>
      </w:r>
      <w:r w:rsidR="00AA51C3" w:rsidRPr="007A3166">
        <w:rPr>
          <w:b/>
        </w:rPr>
        <w:t xml:space="preserve"> Analysis</w:t>
      </w:r>
      <w:bookmarkEnd w:id="495"/>
      <w:r w:rsidR="00AA51C3" w:rsidRPr="007A3166">
        <w:rPr>
          <w:b/>
        </w:rPr>
        <w:t xml:space="preserve"> </w:t>
      </w:r>
    </w:p>
    <w:p w14:paraId="2CC66F9E" w14:textId="7DABC0D1" w:rsidR="00AA51C3" w:rsidRPr="00EC0229" w:rsidRDefault="00AA51C3" w:rsidP="00AA51C3">
      <w:pPr>
        <w:pStyle w:val="NoSpacing"/>
        <w:spacing w:line="360" w:lineRule="auto"/>
      </w:pPr>
      <w:r w:rsidRPr="00EC0229">
        <w:t xml:space="preserve">What mix of early coinage may be expected from a Northumbrian ‘productive site’ or coin-rich excavation which saw activity throughout the period of coin use from </w:t>
      </w:r>
      <w:r w:rsidR="002132F1">
        <w:rPr>
          <w:i/>
        </w:rPr>
        <w:t>c.</w:t>
      </w:r>
      <w:r w:rsidRPr="00EC0229">
        <w:t>570 to the fall of York [3a-N10]</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It would be quite exceptional to find Continental or English gold [3a-c]</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and Merovingian</w:t>
      </w:r>
      <w:r w:rsidRPr="00EC0229">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fldChar w:fldCharType="end"/>
      </w:r>
      <w:r w:rsidRPr="00EC0229">
        <w:t xml:space="preserve"> </w:t>
      </w:r>
      <w:r w:rsidR="00951E16" w:rsidRPr="00EC0229">
        <w:t>silver</w:t>
      </w:r>
      <w:r w:rsidRPr="00EC0229">
        <w:t xml:space="preserve"> [4d] </w:t>
      </w:r>
      <w:r w:rsidR="00951E16" w:rsidRPr="00EC0229">
        <w:t>is</w:t>
      </w:r>
      <w:r w:rsidRPr="00EC0229">
        <w:t xml:space="preserve"> more scarce than gold. In a normal distribution</w:t>
      </w:r>
      <w:r w:rsidRPr="00EC0229">
        <w:fldChar w:fldCharType="begin"/>
      </w:r>
      <w:r w:rsidRPr="00EC0229">
        <w:instrText xml:space="preserve"> XE "</w:instrText>
      </w:r>
      <w:r w:rsidRPr="00EC0229">
        <w:rPr>
          <w:rStyle w:val="Hyperlink"/>
          <w:noProof/>
          <w:u w:val="none"/>
        </w:rPr>
        <w:instrText>normal distribution</w:instrText>
      </w:r>
      <w:r w:rsidRPr="00EC0229">
        <w:instrText xml:space="preserve">" </w:instrText>
      </w:r>
      <w:r w:rsidRPr="00EC0229">
        <w:fldChar w:fldCharType="end"/>
      </w:r>
      <w:r w:rsidRPr="00EC0229">
        <w:t xml:space="preserve"> this early period material is very unlikely to occur. The matrix only provides information on the frequency of sceats and stycas [4-10]. Of the 374 eighth-century Northumbrian sceats analysed [4a &amp; 5a], 51.3% are from the reign of Eadberht</w:t>
      </w:r>
      <w:r w:rsidRPr="00EC0229">
        <w:fldChar w:fldCharType="begin"/>
      </w:r>
      <w:r w:rsidRPr="00EC0229">
        <w:instrText xml:space="preserve"> XE "Eadberht" </w:instrText>
      </w:r>
      <w:r w:rsidRPr="00EC0229">
        <w:fldChar w:fldCharType="end"/>
      </w:r>
      <w:r w:rsidRPr="00EC0229">
        <w:t xml:space="preserve"> (including the joint issue, [N6-7] and 24.3% are from the two reigns of </w:t>
      </w:r>
      <w:r w:rsidRPr="00EC0229">
        <w:rPr>
          <w:rFonts w:cs="Times New Roman"/>
        </w:rPr>
        <w:t>Æ</w:t>
      </w:r>
      <w:r w:rsidRPr="00EC0229">
        <w:t>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 [N6 &amp; N8], 17.9% being by the named moneyers of the restoration, [N8]. Aldfrith [4a]</w:t>
      </w:r>
      <w:r w:rsidRPr="00EC0229">
        <w:fldChar w:fldCharType="begin"/>
      </w:r>
      <w:r w:rsidRPr="00EC0229">
        <w:instrText xml:space="preserve"> XE "Aldfrith" </w:instrText>
      </w:r>
      <w:r w:rsidRPr="00EC0229">
        <w:fldChar w:fldCharType="end"/>
      </w:r>
      <w:r w:rsidRPr="00EC0229">
        <w:t>, Alchred</w:t>
      </w:r>
      <w:r w:rsidRPr="00EC0229">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fldChar w:fldCharType="end"/>
      </w:r>
      <w:r w:rsidRPr="00EC0229">
        <w:t xml:space="preserve"> and </w:t>
      </w:r>
      <w:r w:rsidRPr="00EC0229">
        <w:rPr>
          <w:rFonts w:cs="Times New Roman"/>
        </w:rPr>
        <w:t>Æ</w:t>
      </w:r>
      <w:r w:rsidRPr="00EC0229">
        <w:t>lfwald</w:t>
      </w:r>
      <w:r w:rsidRPr="00EC0229">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fldChar w:fldCharType="end"/>
      </w:r>
      <w:r w:rsidRPr="00EC0229">
        <w:t xml:space="preserve"> [N6 &amp; N8] are respectively responsible for 7.0%, 7.0% and 8.6%, while </w:t>
      </w:r>
      <w:r w:rsidRPr="00EC0229">
        <w:rPr>
          <w:rFonts w:cs="Times New Roman"/>
        </w:rPr>
        <w:t>Æ</w:t>
      </w:r>
      <w:r w:rsidRPr="00EC0229">
        <w:t>thelwald Moll and Eardwulf [N8] are amongst the rarest of all English coins. This pattern changes little if annualised</w:t>
      </w:r>
      <w:r w:rsidR="0024710E">
        <w:t xml:space="preserve">, </w:t>
      </w:r>
      <w:r w:rsidR="0024710E" w:rsidRPr="0024710E">
        <w:rPr>
          <w:i/>
        </w:rPr>
        <w:t>Table 7.13</w:t>
      </w:r>
      <w:r w:rsidR="0024710E">
        <w:t>.</w:t>
      </w:r>
      <w:r w:rsidRPr="00EC0229">
        <w:t xml:space="preserve"> </w:t>
      </w:r>
      <w:r w:rsidRPr="00EC0229">
        <w:rPr>
          <w:rFonts w:cs="Times New Roman"/>
        </w:rPr>
        <w:t>Æ</w:t>
      </w:r>
      <w:r w:rsidRPr="00EC0229">
        <w:t xml:space="preserve">thelred I is most productive, followed closely by Eadberht but with Aldfrith, Alchred and </w:t>
      </w:r>
      <w:r w:rsidRPr="00EC0229">
        <w:rPr>
          <w:rFonts w:cs="Times New Roman"/>
        </w:rPr>
        <w:t>Æ</w:t>
      </w:r>
      <w:r w:rsidRPr="00EC0229">
        <w:t>lfwald all similarly unproductive and precious little to show for Eardwulf’s lengthy reign – one infers an uncharacteristically feeble production effort.</w:t>
      </w:r>
      <w:r w:rsidRPr="00EC0229">
        <w:rPr>
          <w:rStyle w:val="FootnoteReference"/>
        </w:rPr>
        <w:footnoteReference w:id="757"/>
      </w:r>
    </w:p>
    <w:p w14:paraId="53B4D5BE" w14:textId="77777777" w:rsidR="00AA51C3" w:rsidRPr="00EC0229" w:rsidRDefault="00AA51C3" w:rsidP="00AA51C3">
      <w:pPr>
        <w:pStyle w:val="NoSpacing"/>
        <w:spacing w:line="360" w:lineRule="auto"/>
      </w:pPr>
    </w:p>
    <w:p w14:paraId="5B78AF97" w14:textId="07BF7345" w:rsidR="00AA51C3" w:rsidRPr="00EC0229" w:rsidRDefault="00AA51C3" w:rsidP="00AA51C3">
      <w:pPr>
        <w:pStyle w:val="NoSpacing"/>
        <w:spacing w:line="360" w:lineRule="auto"/>
      </w:pPr>
      <w:r w:rsidRPr="00EC0229">
        <w:t xml:space="preserve">However, it is evident that selectivity in the sources used – or partiality in the selection - has skewed the, albeit incomplete, data recorded here for sceats. While the proportions appear reasonable for Northumbrian material only thirty-four non-Northumbrian sceats are included. </w:t>
      </w:r>
      <w:r w:rsidRPr="00EC0229">
        <w:lastRenderedPageBreak/>
        <w:t>Where are the Ds, Es, Gs and Js? Even the Coin Register no longer records finds deemed unexceptional. At any northern site hosting frequent exchange, one would expect to see a sceat of Aldfrith</w:t>
      </w:r>
      <w:r w:rsidRPr="00EC0229">
        <w:fldChar w:fldCharType="begin"/>
      </w:r>
      <w:r w:rsidRPr="00EC0229">
        <w:instrText xml:space="preserve"> XE "Aldfrith" </w:instrText>
      </w:r>
      <w:r w:rsidRPr="00EC0229">
        <w:fldChar w:fldCharType="end"/>
      </w:r>
      <w:r w:rsidRPr="00EC0229">
        <w:t xml:space="preserve"> admixed with primary Series</w:t>
      </w:r>
      <w:r w:rsidRPr="00EC0229">
        <w:fldChar w:fldCharType="begin"/>
      </w:r>
      <w:r w:rsidRPr="00EC0229">
        <w:instrText xml:space="preserve"> XE "Series" </w:instrText>
      </w:r>
      <w:r w:rsidRPr="00EC0229">
        <w:fldChar w:fldCharType="end"/>
      </w:r>
      <w:r w:rsidRPr="00EC0229">
        <w:t xml:space="preserve"> E</w:t>
      </w:r>
      <w:r w:rsidRPr="00EC0229">
        <w:fldChar w:fldCharType="begin"/>
      </w:r>
      <w:r w:rsidRPr="00EC0229">
        <w:instrText xml:space="preserve"> XE "Series E" </w:instrText>
      </w:r>
      <w:r w:rsidRPr="00EC0229">
        <w:fldChar w:fldCharType="end"/>
      </w:r>
      <w:r w:rsidRPr="00EC0229">
        <w:t xml:space="preserve"> and D, the </w:t>
      </w:r>
      <w:r w:rsidRPr="00EC0229">
        <w:rPr>
          <w:i/>
        </w:rPr>
        <w:t>lacuna</w:t>
      </w:r>
      <w:r w:rsidRPr="00EC0229">
        <w:t xml:space="preserve"> before Eadberht</w:t>
      </w:r>
      <w:r w:rsidRPr="00EC0229">
        <w:fldChar w:fldCharType="begin"/>
      </w:r>
      <w:r w:rsidRPr="00EC0229">
        <w:instrText xml:space="preserve"> XE "Eadberht" </w:instrText>
      </w:r>
      <w:r w:rsidRPr="00EC0229">
        <w:fldChar w:fldCharType="end"/>
      </w:r>
      <w:r w:rsidRPr="00EC0229">
        <w:t xml:space="preserve"> populated by Series J and G, probably with the former more prominent, a scattering of secondary </w:t>
      </w:r>
      <w:r w:rsidR="00572E51" w:rsidRPr="00EC0229">
        <w:t>Southumbria</w:t>
      </w:r>
      <w:r w:rsidRPr="00EC0229">
        <w:t>n issues, probably with some later E and a Danish Series X</w:t>
      </w:r>
      <w:r w:rsidRPr="00EC0229">
        <w:fldChar w:fldCharType="begin"/>
      </w:r>
      <w:r w:rsidRPr="00EC0229">
        <w:instrText xml:space="preserve"> XE "</w:instrText>
      </w:r>
      <w:r w:rsidRPr="00EC0229">
        <w:rPr>
          <w:szCs w:val="24"/>
        </w:rPr>
        <w:instrText>Series X</w:instrText>
      </w:r>
      <w:r w:rsidRPr="00EC0229">
        <w:instrText xml:space="preserve">" </w:instrText>
      </w:r>
      <w:r w:rsidRPr="00EC0229">
        <w:fldChar w:fldCharType="end"/>
      </w:r>
      <w:r w:rsidRPr="00EC0229">
        <w:t xml:space="preserve">. Once Eadberht has established controlled minting, his emissions will be matched by the more common </w:t>
      </w:r>
      <w:r w:rsidR="00572E51" w:rsidRPr="00EC0229">
        <w:t>Southumbria</w:t>
      </w:r>
      <w:r w:rsidRPr="00EC0229">
        <w:t>n material (e.g. Series R) and there may be a one or two ‘exotic’ species, with a specimen of Series Q</w:t>
      </w:r>
      <w:r w:rsidRPr="00EC0229">
        <w:fldChar w:fldCharType="begin"/>
      </w:r>
      <w:r w:rsidRPr="00EC0229">
        <w:instrText xml:space="preserve"> XE "Series Q" </w:instrText>
      </w:r>
      <w:r w:rsidRPr="00EC0229">
        <w:fldChar w:fldCharType="end"/>
      </w:r>
      <w:r w:rsidRPr="00EC0229">
        <w:t xml:space="preserve"> </w:t>
      </w:r>
      <w:r w:rsidR="001F5E0B" w:rsidRPr="00EC0229">
        <w:t>often present</w:t>
      </w:r>
      <w:r w:rsidRPr="00EC0229">
        <w:t xml:space="preserve">. South Newbald may represent a different sort of site – probably a regal site, a </w:t>
      </w:r>
      <w:r w:rsidRPr="00EC0229">
        <w:rPr>
          <w:i/>
        </w:rPr>
        <w:t>vicus regius</w:t>
      </w:r>
      <w:r w:rsidRPr="00EC0229">
        <w:t>, where controls could be exercised more conscientiously. To a limited extent, the informal finds data incorporated into the site studies help compensate for any perceived o</w:t>
      </w:r>
      <w:r w:rsidR="00497AC3" w:rsidRPr="00EC0229">
        <w:t>r real imbalance in the dataset</w:t>
      </w:r>
      <w:r w:rsidRPr="00EC0229">
        <w:t>.</w:t>
      </w:r>
    </w:p>
    <w:p w14:paraId="3FF51E54" w14:textId="77777777" w:rsidR="00AA51C3" w:rsidRPr="00EC0229" w:rsidRDefault="00AA51C3" w:rsidP="00AA51C3">
      <w:pPr>
        <w:pStyle w:val="NoSpacing"/>
        <w:spacing w:line="360" w:lineRule="auto"/>
      </w:pPr>
    </w:p>
    <w:p w14:paraId="39995AA0" w14:textId="1F36B72D" w:rsidR="00AA51C3" w:rsidRPr="00EC0229" w:rsidRDefault="00AA51C3" w:rsidP="00AA51C3">
      <w:pPr>
        <w:pStyle w:val="NoSpacing"/>
        <w:spacing w:line="360" w:lineRule="auto"/>
      </w:pPr>
      <w:r w:rsidRPr="00EC0229">
        <w:t>One can be more confident of the ninth century ma</w:t>
      </w:r>
      <w:r w:rsidR="00497AC3" w:rsidRPr="00EC0229">
        <w:t xml:space="preserve">terial presented in </w:t>
      </w:r>
      <w:r w:rsidR="009A3EEF" w:rsidRPr="00EC0229">
        <w:rPr>
          <w:i/>
        </w:rPr>
        <w:t>Database 1</w:t>
      </w:r>
      <w:r w:rsidRPr="00EC0229">
        <w:t>. There is no doubt that this is a representative body of data, indeed the most comprehensive, searchable, sortable corpus yet assembled. For the non-hoard material, which must be more representative than the potentially biased hoard accumulations, Eanred</w:t>
      </w:r>
      <w:r w:rsidRPr="00EC0229">
        <w:fldChar w:fldCharType="begin"/>
      </w:r>
      <w:r w:rsidRPr="00EC0229">
        <w:instrText xml:space="preserve"> XE "Eanred" </w:instrText>
      </w:r>
      <w:r w:rsidRPr="00EC0229">
        <w:fldChar w:fldCharType="end"/>
      </w:r>
      <w:r w:rsidRPr="00EC0229">
        <w:t xml:space="preserve"> accounts for 22.3% of finds and </w:t>
      </w:r>
      <w:r w:rsidRPr="00EC0229">
        <w:rPr>
          <w:rFonts w:cs="Times New Roman"/>
        </w:rPr>
        <w:t>Æ</w:t>
      </w:r>
      <w:r w:rsidRPr="00EC0229">
        <w:t>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II (both reigns), 42.9%. However, in terms of annual production, the latter is very significantly more assiduous and this momentum carries through the usurpation of Redwulf but diminishes under </w:t>
      </w:r>
      <w:r w:rsidRPr="00EC0229">
        <w:rPr>
          <w:rFonts w:cs="Times New Roman"/>
        </w:rPr>
        <w:t>Æ</w:t>
      </w:r>
      <w:r w:rsidRPr="00EC0229">
        <w:t xml:space="preserve">thelred II’s sole restoration moneyer, Eardwulf, to output levels not dissimilar to Eanred’s. </w:t>
      </w:r>
    </w:p>
    <w:p w14:paraId="4B368B5C" w14:textId="77777777" w:rsidR="00AA51C3" w:rsidRPr="00EC0229" w:rsidRDefault="00AA51C3" w:rsidP="00AA51C3">
      <w:pPr>
        <w:pStyle w:val="NoSpacing"/>
        <w:spacing w:line="360" w:lineRule="auto"/>
      </w:pPr>
    </w:p>
    <w:p w14:paraId="068D1D18" w14:textId="6B096917" w:rsidR="00AA51C3" w:rsidRPr="00EC0229" w:rsidRDefault="00AA51C3" w:rsidP="00AA51C3">
      <w:pPr>
        <w:pStyle w:val="NoSpacing"/>
        <w:spacing w:line="360" w:lineRule="auto"/>
        <w:rPr>
          <w:szCs w:val="24"/>
        </w:rPr>
      </w:pPr>
      <w:r w:rsidRPr="00EC0229">
        <w:t>Anomalously, Eanred</w:t>
      </w:r>
      <w:r w:rsidRPr="00EC0229">
        <w:fldChar w:fldCharType="begin"/>
      </w:r>
      <w:r w:rsidRPr="00EC0229">
        <w:instrText xml:space="preserve"> XE "Eanred" </w:instrText>
      </w:r>
      <w:r w:rsidRPr="00EC0229">
        <w:fldChar w:fldCharType="end"/>
      </w:r>
      <w:r w:rsidRPr="00EC0229">
        <w:t xml:space="preserve"> had twenty-seven moneyers compared to </w:t>
      </w:r>
      <w:r w:rsidRPr="00EC0229">
        <w:rPr>
          <w:rFonts w:cs="Times New Roman"/>
        </w:rPr>
        <w:t>Æ</w:t>
      </w:r>
      <w:r w:rsidRPr="00EC0229">
        <w:t>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II’s twenty-one. While only </w:t>
      </w:r>
      <w:r w:rsidRPr="00EC0229">
        <w:rPr>
          <w:rFonts w:cs="Times New Roman"/>
        </w:rPr>
        <w:t>Æ</w:t>
      </w:r>
      <w:r w:rsidRPr="00EC0229">
        <w:t>thelweard of Eanred’s eleven Group A/[N9]</w:t>
      </w:r>
      <w:r w:rsidRPr="00EC0229">
        <w:fldChar w:fldCharType="begin"/>
      </w:r>
      <w:r w:rsidRPr="00EC0229">
        <w:instrText xml:space="preserve"> XE "</w:instrText>
      </w:r>
      <w:r w:rsidRPr="00EC0229">
        <w:rPr>
          <w:rFonts w:cs="Times New Roman"/>
        </w:rPr>
        <w:instrText>Period N9</w:instrText>
      </w:r>
      <w:r w:rsidRPr="00EC0229">
        <w:instrText xml:space="preserve">" </w:instrText>
      </w:r>
      <w:r w:rsidRPr="00EC0229">
        <w:fldChar w:fldCharType="end"/>
      </w:r>
      <w:r w:rsidRPr="00EC0229">
        <w:t xml:space="preserve"> moneyers convincingly continued under </w:t>
      </w:r>
      <w:r w:rsidRPr="00EC0229">
        <w:rPr>
          <w:rFonts w:cs="Times New Roman"/>
        </w:rPr>
        <w:t>Æ</w:t>
      </w:r>
      <w:r w:rsidRPr="00EC0229">
        <w:t>thelred II, eleven of Eanred subsequent sixteen Period N10a moneyers do so. This pattern may suggest a lapse after the initial silver-alloy</w:t>
      </w:r>
      <w:r w:rsidRPr="00EC0229">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fldChar w:fldCharType="end"/>
      </w:r>
      <w:r w:rsidRPr="00EC0229">
        <w:t xml:space="preserve"> emissions of Period N9, before minting momentum </w:t>
      </w:r>
      <w:r w:rsidR="00B002BB" w:rsidRPr="00EC0229">
        <w:t>grew</w:t>
      </w:r>
      <w:r w:rsidRPr="00EC0229">
        <w:t xml:space="preserve"> towards the end of Eanred’s reign, continuing to a peak under </w:t>
      </w:r>
      <w:r w:rsidRPr="00EC0229">
        <w:rPr>
          <w:rFonts w:cs="Times New Roman"/>
        </w:rPr>
        <w:t>Æ</w:t>
      </w:r>
      <w:r w:rsidRPr="00EC0229">
        <w:t xml:space="preserve">thelred II. One can assume that the restored </w:t>
      </w:r>
      <w:r w:rsidRPr="00EC0229">
        <w:rPr>
          <w:rFonts w:cs="Times New Roman"/>
        </w:rPr>
        <w:t>Æ</w:t>
      </w:r>
      <w:r w:rsidRPr="00EC0229">
        <w:t>thelred II felt that his former moneyers who continued (voluntarily or otherwise) under Redwulf’s usurpation (nine of Redwulf’s eleven) were treacherous, when production of the coinage demanded integrity.</w:t>
      </w:r>
      <w:r w:rsidRPr="00EC0229">
        <w:rPr>
          <w:rStyle w:val="FootnoteReference"/>
        </w:rPr>
        <w:footnoteReference w:id="758"/>
      </w:r>
      <w:r w:rsidRPr="00EC0229">
        <w:t xml:space="preserve"> See </w:t>
      </w:r>
      <w:r w:rsidRPr="00EC0229">
        <w:rPr>
          <w:i/>
          <w:szCs w:val="24"/>
        </w:rPr>
        <w:t>Table</w:t>
      </w:r>
      <w:r w:rsidR="00FB26FC" w:rsidRPr="00EC0229">
        <w:rPr>
          <w:i/>
          <w:szCs w:val="24"/>
        </w:rPr>
        <w:t>s</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Pr="00EC0229">
        <w:rPr>
          <w:i/>
          <w:szCs w:val="24"/>
        </w:rPr>
        <w:t xml:space="preserve"> </w:t>
      </w:r>
      <w:r w:rsidR="006B7780" w:rsidRPr="00EC0229">
        <w:rPr>
          <w:i/>
          <w:szCs w:val="24"/>
        </w:rPr>
        <w:t>7.13</w:t>
      </w:r>
      <w:r w:rsidR="00FB26FC" w:rsidRPr="00EC0229">
        <w:rPr>
          <w:i/>
          <w:szCs w:val="24"/>
        </w:rPr>
        <w:t>-15</w:t>
      </w:r>
      <w:r w:rsidRPr="00EC0229">
        <w:rPr>
          <w:i/>
          <w:szCs w:val="24"/>
        </w:rPr>
        <w:t>.</w:t>
      </w:r>
    </w:p>
    <w:p w14:paraId="6EA1DEEF" w14:textId="77777777" w:rsidR="00AA51C3" w:rsidRPr="00EC0229" w:rsidRDefault="00AA51C3" w:rsidP="00AA51C3">
      <w:pPr>
        <w:pStyle w:val="NoSpacing"/>
        <w:spacing w:line="360" w:lineRule="auto"/>
      </w:pPr>
    </w:p>
    <w:p w14:paraId="52F26006" w14:textId="531B150B" w:rsidR="00AA51C3" w:rsidRDefault="00AA51C3" w:rsidP="00AA51C3">
      <w:pPr>
        <w:pStyle w:val="NoSpacing"/>
        <w:spacing w:line="360" w:lineRule="auto"/>
      </w:pPr>
      <w:bookmarkStart w:id="496" w:name="Annualizedproduction"/>
      <w:bookmarkEnd w:id="496"/>
      <w:r w:rsidRPr="00EC0229">
        <w:t>When annualized</w:t>
      </w:r>
      <w:r w:rsidR="009F0A45">
        <w:t xml:space="preserve">, </w:t>
      </w:r>
      <w:r w:rsidR="009F0A45" w:rsidRPr="009F0A45">
        <w:rPr>
          <w:i/>
        </w:rPr>
        <w:t>Table 7.13</w:t>
      </w:r>
      <w:r w:rsidRPr="00EC0229">
        <w:t>, the moneyer-productivity of Osberht</w:t>
      </w:r>
      <w:r w:rsidRPr="00EC0229">
        <w:fldChar w:fldCharType="begin"/>
      </w:r>
      <w:r w:rsidRPr="00EC0229">
        <w:instrText xml:space="preserve"> XE "Osberht" </w:instrText>
      </w:r>
      <w:r w:rsidRPr="00EC0229">
        <w:fldChar w:fldCharType="end"/>
      </w:r>
      <w:r w:rsidRPr="00EC0229">
        <w:t xml:space="preserve"> and the three archbishops appears paltry. As all four enjoyed longevity, averaging their moneyers’ output according to </w:t>
      </w:r>
      <w:r w:rsidRPr="00EC0229">
        <w:lastRenderedPageBreak/>
        <w:t xml:space="preserve">tenure may not be meaningful. One can assume that the attributable production took place reasonably efficiently over a relatively short period or was sporadic. Osberht employed six moneyers but none of the archbishops more than four. In Osberht’s case, the emphasis here is on ‘attributable production’ as most of the blundered stycas were probably minted during his reign, so the picture is distorted. One may be drawn to question how reliable is the date of Osberht’s accession and how disruptive was </w:t>
      </w:r>
      <w:r w:rsidRPr="00EC0229">
        <w:rPr>
          <w:rFonts w:cs="Times New Roman"/>
        </w:rPr>
        <w:t>Æ</w:t>
      </w:r>
      <w:r w:rsidRPr="00EC0229">
        <w:t>lle.</w:t>
      </w:r>
    </w:p>
    <w:p w14:paraId="510316A5" w14:textId="77777777" w:rsidR="007B40A3" w:rsidRDefault="007B40A3" w:rsidP="00AA51C3">
      <w:pPr>
        <w:pStyle w:val="NoSpacing"/>
        <w:spacing w:line="360" w:lineRule="auto"/>
      </w:pPr>
    </w:p>
    <w:p w14:paraId="2ADC2FF0" w14:textId="31E78450" w:rsidR="00AA51C3" w:rsidRPr="00EC0229" w:rsidRDefault="00AA51C3" w:rsidP="00AA51C3">
      <w:pPr>
        <w:pStyle w:val="NoSpacing"/>
        <w:spacing w:line="360" w:lineRule="auto"/>
      </w:pPr>
      <w:r w:rsidRPr="00EC0229">
        <w:rPr>
          <w:rFonts w:cs="Times New Roman"/>
        </w:rPr>
        <w:t>In contrast to the gradual debasement, according to Metcalf</w:t>
      </w:r>
      <w:r w:rsidRPr="00EC0229">
        <w:rPr>
          <w:rFonts w:cs="Times New Roman"/>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rFonts w:cs="Times New Roman"/>
        </w:rPr>
        <w:fldChar w:fldCharType="end"/>
      </w:r>
      <w:r w:rsidRPr="00EC0229">
        <w:rPr>
          <w:rFonts w:cs="Times New Roman"/>
        </w:rPr>
        <w:t xml:space="preserve"> and Northover</w:t>
      </w:r>
      <w:r w:rsidRPr="00EC0229">
        <w:rPr>
          <w:rStyle w:val="FootnoteReference"/>
          <w:rFonts w:cs="Times New Roman"/>
        </w:rPr>
        <w:footnoteReference w:id="759"/>
      </w:r>
      <w:r w:rsidRPr="00EC0229">
        <w:rPr>
          <w:rFonts w:cs="Times New Roman"/>
        </w:rPr>
        <w:t xml:space="preserve"> as mentioned in </w:t>
      </w:r>
      <w:r w:rsidR="00923167">
        <w:rPr>
          <w:rFonts w:cs="Times New Roman"/>
        </w:rPr>
        <w:t>Chapter</w:t>
      </w:r>
      <w:r w:rsidRPr="00EC0229">
        <w:rPr>
          <w:rFonts w:cs="Times New Roman"/>
        </w:rPr>
        <w:t xml:space="preserve"> 5 (</w:t>
      </w:r>
      <w:r w:rsidRPr="00EC0229">
        <w:rPr>
          <w:rFonts w:cs="Times New Roman"/>
        </w:rPr>
        <w:fldChar w:fldCharType="begin"/>
      </w:r>
      <w:r w:rsidRPr="00EC0229">
        <w:rPr>
          <w:rFonts w:cs="Times New Roman"/>
        </w:rPr>
        <w:instrText xml:space="preserve"> PAGEREF StycaCoinProduction \h </w:instrText>
      </w:r>
      <w:r w:rsidRPr="00EC0229">
        <w:rPr>
          <w:rFonts w:cs="Times New Roman"/>
        </w:rPr>
      </w:r>
      <w:r w:rsidRPr="00EC0229">
        <w:rPr>
          <w:rFonts w:cs="Times New Roman"/>
        </w:rPr>
        <w:fldChar w:fldCharType="separate"/>
      </w:r>
      <w:r w:rsidR="0012026B">
        <w:rPr>
          <w:rFonts w:cs="Times New Roman"/>
          <w:noProof/>
        </w:rPr>
        <w:t>135</w:t>
      </w:r>
      <w:r w:rsidRPr="00EC0229">
        <w:rPr>
          <w:rFonts w:cs="Times New Roman"/>
        </w:rPr>
        <w:fldChar w:fldCharType="end"/>
      </w:r>
      <w:r w:rsidRPr="00EC0229">
        <w:rPr>
          <w:rFonts w:cs="Times New Roman"/>
        </w:rPr>
        <w:t>), it was during Osberht</w:t>
      </w:r>
      <w:r w:rsidRPr="00EC0229">
        <w:rPr>
          <w:rFonts w:cs="Times New Roman"/>
        </w:rPr>
        <w:fldChar w:fldCharType="begin"/>
      </w:r>
      <w:r w:rsidRPr="00EC0229">
        <w:instrText xml:space="preserve"> XE "Osberht" </w:instrText>
      </w:r>
      <w:r w:rsidRPr="00EC0229">
        <w:rPr>
          <w:rFonts w:cs="Times New Roman"/>
        </w:rPr>
        <w:fldChar w:fldCharType="end"/>
      </w:r>
      <w:r w:rsidRPr="00EC0229">
        <w:rPr>
          <w:rFonts w:cs="Times New Roman"/>
        </w:rPr>
        <w:t>’s reign (and presumably Wulfhere</w:t>
      </w:r>
      <w:r w:rsidRPr="00EC0229">
        <w:rPr>
          <w:rFonts w:cs="Times New Roman"/>
        </w:rPr>
        <w:fldChar w:fldCharType="begin"/>
      </w:r>
      <w:r w:rsidRPr="00EC0229">
        <w:instrText xml:space="preserve"> XE "Wulfhere" </w:instrText>
      </w:r>
      <w:r w:rsidRPr="00EC0229">
        <w:rPr>
          <w:rFonts w:cs="Times New Roman"/>
        </w:rPr>
        <w:fldChar w:fldCharType="end"/>
      </w:r>
      <w:r w:rsidRPr="00EC0229">
        <w:rPr>
          <w:rFonts w:cs="Times New Roman"/>
        </w:rPr>
        <w:t>’s tenure) that the proportion of tin increased in relation to zinc resulting in a bronze styca replacing the previous brass coin.</w:t>
      </w:r>
      <w:r w:rsidRPr="00EC0229">
        <w:rPr>
          <w:rStyle w:val="FootnoteReference"/>
          <w:rFonts w:cs="Times New Roman"/>
        </w:rPr>
        <w:footnoteReference w:id="760"/>
      </w:r>
      <w:r w:rsidRPr="00EC0229">
        <w:rPr>
          <w:rFonts w:cs="Times New Roman"/>
        </w:rPr>
        <w:t xml:space="preserve"> Though not wishing to resurrect Pirie</w:t>
      </w:r>
      <w:r w:rsidRPr="00EC0229">
        <w:rPr>
          <w:rFonts w:cs="Times New Roman"/>
        </w:rPr>
        <w:fldChar w:fldCharType="begin"/>
      </w:r>
      <w:r w:rsidRPr="00EC0229">
        <w:instrText xml:space="preserve"> XE "Pirie" </w:instrText>
      </w:r>
      <w:r w:rsidRPr="00EC0229">
        <w:rPr>
          <w:rFonts w:cs="Times New Roman"/>
        </w:rPr>
        <w:fldChar w:fldCharType="end"/>
      </w:r>
      <w:r w:rsidR="00B002BB" w:rsidRPr="00EC0229">
        <w:rPr>
          <w:rFonts w:cs="Times New Roman"/>
        </w:rPr>
        <w:t>’s ‘g</w:t>
      </w:r>
      <w:r w:rsidRPr="00EC0229">
        <w:rPr>
          <w:rFonts w:cs="Times New Roman"/>
        </w:rPr>
        <w:t xml:space="preserve">roups and </w:t>
      </w:r>
      <w:r w:rsidR="00B002BB" w:rsidRPr="00EC0229">
        <w:rPr>
          <w:rFonts w:cs="Times New Roman"/>
        </w:rPr>
        <w:t>p</w:t>
      </w:r>
      <w:r w:rsidRPr="00EC0229">
        <w:rPr>
          <w:rFonts w:cs="Times New Roman"/>
        </w:rPr>
        <w:t>hases</w:t>
      </w:r>
      <w:r w:rsidR="00B002BB" w:rsidRPr="00EC0229">
        <w:rPr>
          <w:rFonts w:cs="Times New Roman"/>
        </w:rPr>
        <w:t>’, a</w:t>
      </w:r>
      <w:r w:rsidRPr="00EC0229">
        <w:rPr>
          <w:rFonts w:cs="Times New Roman"/>
        </w:rPr>
        <w:t xml:space="preserve"> simple </w:t>
      </w:r>
      <w:r w:rsidR="006C328D" w:rsidRPr="00EC0229">
        <w:rPr>
          <w:rFonts w:cs="Times New Roman"/>
        </w:rPr>
        <w:t>periodiz</w:t>
      </w:r>
      <w:r w:rsidRPr="00EC0229">
        <w:rPr>
          <w:rFonts w:cs="Times New Roman"/>
        </w:rPr>
        <w:t>ation has been created: silver-alloy</w:t>
      </w:r>
      <w:r w:rsidRPr="00EC0229">
        <w:rPr>
          <w:rFonts w:cs="Times New Roman"/>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rFonts w:cs="Times New Roman"/>
        </w:rPr>
        <w:fldChar w:fldCharType="end"/>
      </w:r>
      <w:r w:rsidRPr="00EC0229">
        <w:rPr>
          <w:rFonts w:cs="Times New Roman"/>
        </w:rPr>
        <w:t xml:space="preserve"> issues, Period N9</w:t>
      </w:r>
      <w:r w:rsidRPr="00EC0229">
        <w:rPr>
          <w:rFonts w:cs="Times New Roman"/>
        </w:rPr>
        <w:fldChar w:fldCharType="begin"/>
      </w:r>
      <w:r w:rsidRPr="00EC0229">
        <w:instrText xml:space="preserve"> XE "</w:instrText>
      </w:r>
      <w:r w:rsidRPr="00EC0229">
        <w:rPr>
          <w:rFonts w:cs="Times New Roman"/>
        </w:rPr>
        <w:instrText>Period N9</w:instrText>
      </w:r>
      <w:r w:rsidRPr="00EC0229">
        <w:instrText xml:space="preserve">" </w:instrText>
      </w:r>
      <w:r w:rsidRPr="00EC0229">
        <w:rPr>
          <w:rFonts w:cs="Times New Roman"/>
        </w:rPr>
        <w:fldChar w:fldCharType="end"/>
      </w:r>
      <w:r w:rsidRPr="00EC0229">
        <w:rPr>
          <w:rFonts w:cs="Times New Roman"/>
        </w:rPr>
        <w:t xml:space="preserve"> (5.3%, including hoards a</w:t>
      </w:r>
      <w:r w:rsidR="00B002BB" w:rsidRPr="00EC0229">
        <w:rPr>
          <w:rFonts w:cs="Times New Roman"/>
        </w:rPr>
        <w:t>nd blundered specimens), brass N10a (</w:t>
      </w:r>
      <w:r w:rsidRPr="00EC0229">
        <w:rPr>
          <w:rFonts w:cs="Times New Roman"/>
        </w:rPr>
        <w:t xml:space="preserve">69.0%), bronze N10b </w:t>
      </w:r>
      <w:r w:rsidR="00B002BB" w:rsidRPr="00EC0229">
        <w:rPr>
          <w:rFonts w:cs="Times New Roman"/>
        </w:rPr>
        <w:t>(</w:t>
      </w:r>
      <w:r w:rsidRPr="00EC0229">
        <w:rPr>
          <w:rFonts w:cs="Times New Roman"/>
        </w:rPr>
        <w:t>4.1</w:t>
      </w:r>
      <w:r w:rsidR="00B002BB" w:rsidRPr="00EC0229">
        <w:rPr>
          <w:rFonts w:cs="Times New Roman"/>
        </w:rPr>
        <w:t>%) and blundered N10c</w:t>
      </w:r>
      <w:r w:rsidRPr="00EC0229">
        <w:rPr>
          <w:rFonts w:cs="Times New Roman"/>
        </w:rPr>
        <w:t xml:space="preserve"> </w:t>
      </w:r>
      <w:r w:rsidR="00B002BB" w:rsidRPr="00EC0229">
        <w:rPr>
          <w:rFonts w:cs="Times New Roman"/>
        </w:rPr>
        <w:t>(</w:t>
      </w:r>
      <w:r w:rsidRPr="00EC0229">
        <w:rPr>
          <w:rFonts w:cs="Times New Roman"/>
        </w:rPr>
        <w:t>21.6</w:t>
      </w:r>
      <w:r w:rsidR="004F060A" w:rsidRPr="00EC0229">
        <w:rPr>
          <w:rFonts w:cs="Times New Roman"/>
        </w:rPr>
        <w:t>%, reverting to brass)</w:t>
      </w:r>
      <w:r w:rsidRPr="00EC0229">
        <w:rPr>
          <w:rFonts w:cs="Times New Roman"/>
        </w:rPr>
        <w:t>. The predominance of brass includes the work of three prolific moneyers, Monne (17.6%), Eardwulf (13.2%) and Forthred (12.3%), accounting for 43.1% of the ninth century</w:t>
      </w:r>
      <w:r w:rsidR="00497AC3" w:rsidRPr="00EC0229">
        <w:rPr>
          <w:rFonts w:cs="Times New Roman"/>
        </w:rPr>
        <w:t xml:space="preserve"> </w:t>
      </w:r>
      <w:r w:rsidR="006C2237" w:rsidRPr="00EC0229">
        <w:rPr>
          <w:rFonts w:cs="Times New Roman"/>
        </w:rPr>
        <w:t>database</w:t>
      </w:r>
      <w:r w:rsidRPr="00EC0229">
        <w:rPr>
          <w:rFonts w:cs="Times New Roman"/>
        </w:rPr>
        <w:t xml:space="preserve"> (and half of the brass). Three factors – the dominance of just three moneyer, the special motif stycas of Leothegn for Æthelred</w:t>
      </w:r>
      <w:r w:rsidRPr="00EC0229">
        <w:rPr>
          <w:rFonts w:cs="Times New Roman"/>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cs="Times New Roman"/>
        </w:rPr>
        <w:fldChar w:fldCharType="end"/>
      </w:r>
      <w:r w:rsidRPr="00EC0229">
        <w:rPr>
          <w:rFonts w:cs="Times New Roman"/>
        </w:rPr>
        <w:t xml:space="preserve"> II and the improvement in alloy to bronze - signify a high potential for control, in production and design, in Periods N9 to N10b.</w:t>
      </w:r>
    </w:p>
    <w:p w14:paraId="5C27D87C" w14:textId="77777777" w:rsidR="00AA51C3" w:rsidRPr="00EC0229" w:rsidRDefault="00AA51C3" w:rsidP="00AA51C3">
      <w:pPr>
        <w:pStyle w:val="NoSpacing"/>
        <w:spacing w:line="360" w:lineRule="auto"/>
      </w:pPr>
    </w:p>
    <w:p w14:paraId="016184EA" w14:textId="3939BCD8" w:rsidR="007B40A3" w:rsidRPr="00EC0229" w:rsidRDefault="007B40A3" w:rsidP="007B40A3">
      <w:pPr>
        <w:pStyle w:val="NoSpacing"/>
        <w:spacing w:line="360" w:lineRule="auto"/>
        <w:rPr>
          <w:rFonts w:eastAsia="Times New Roman" w:cs="Times New Roman"/>
          <w:color w:val="000000" w:themeColor="text1"/>
          <w:szCs w:val="24"/>
          <w:lang w:eastAsia="en-GB"/>
        </w:rPr>
      </w:pPr>
      <w:bookmarkStart w:id="497" w:name="GeographicAnalysis"/>
      <w:bookmarkEnd w:id="497"/>
      <w:r>
        <w:rPr>
          <w:rFonts w:eastAsia="Times New Roman" w:cs="Times New Roman"/>
          <w:i/>
          <w:color w:val="000000" w:themeColor="text1"/>
          <w:szCs w:val="24"/>
          <w:lang w:eastAsia="en-GB"/>
        </w:rPr>
        <w:t>Data</w:t>
      </w:r>
      <w:r w:rsidRPr="00EC0229">
        <w:rPr>
          <w:rFonts w:eastAsia="Times New Roman" w:cs="Times New Roman"/>
          <w:i/>
          <w:color w:val="000000" w:themeColor="text1"/>
          <w:szCs w:val="24"/>
          <w:lang w:eastAsia="en-GB"/>
        </w:rPr>
        <w:t>se</w:t>
      </w:r>
      <w:r>
        <w:rPr>
          <w:rFonts w:eastAsia="Times New Roman" w:cs="Times New Roman"/>
          <w:i/>
          <w:color w:val="000000" w:themeColor="text1"/>
          <w:szCs w:val="24"/>
          <w:lang w:eastAsia="en-GB"/>
        </w:rPr>
        <w:t>t 6.05</w:t>
      </w:r>
      <w:r w:rsidRPr="00EC0229">
        <w:rPr>
          <w:rFonts w:eastAsia="Times New Roman" w:cs="Times New Roman"/>
          <w:color w:val="000000" w:themeColor="text1"/>
          <w:szCs w:val="24"/>
          <w:lang w:eastAsia="en-GB"/>
        </w:rPr>
        <w:t xml:space="preserve"> confirms earlier studies;</w:t>
      </w:r>
      <w:r w:rsidRPr="00EC0229">
        <w:rPr>
          <w:rStyle w:val="FootnoteReference"/>
          <w:rFonts w:eastAsia="Times New Roman" w:cs="Times New Roman"/>
          <w:color w:val="000000" w:themeColor="text1"/>
          <w:szCs w:val="24"/>
          <w:lang w:eastAsia="en-GB"/>
        </w:rPr>
        <w:footnoteReference w:id="761"/>
      </w:r>
      <w:r w:rsidRPr="00EC0229">
        <w:rPr>
          <w:rFonts w:eastAsia="Times New Roman" w:cs="Times New Roman"/>
          <w:color w:val="000000" w:themeColor="text1"/>
          <w:szCs w:val="24"/>
          <w:lang w:eastAsia="en-GB"/>
        </w:rPr>
        <w:t xml:space="preserve"> the Bolton</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rFonts w:eastAsia="Times New Roman"/>
          <w:noProof/>
          <w:u w:val="none"/>
          <w:lang w:eastAsia="en-GB"/>
        </w:rPr>
        <w:instrText>Bolton</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Percy</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noProof/>
          <w:u w:val="none"/>
        </w:rPr>
        <w:instrText>Bolton Percy</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hoard(s) and St Leonard’s Place parcel (no. 2) show high correlations with the base data-set and with each other, (</w:t>
      </w:r>
      <w:r w:rsidRPr="00EC0229">
        <w:rPr>
          <w:i/>
        </w:rPr>
        <w:t>and Table</w:t>
      </w:r>
      <w:r w:rsidRPr="00EC0229">
        <w:rPr>
          <w:i/>
        </w:rPr>
        <w:fldChar w:fldCharType="begin"/>
      </w:r>
      <w:r w:rsidRPr="00EC0229">
        <w:rPr>
          <w:i/>
        </w:rPr>
        <w:instrText xml:space="preserve"> XE "Table" </w:instrText>
      </w:r>
      <w:r w:rsidRPr="00EC0229">
        <w:rPr>
          <w:i/>
        </w:rPr>
        <w:fldChar w:fldCharType="end"/>
      </w:r>
      <w:r w:rsidRPr="00EC0229">
        <w:rPr>
          <w:i/>
        </w:rPr>
        <w:t xml:space="preserve"> 7.11)</w:t>
      </w:r>
      <w:r w:rsidRPr="00EC0229">
        <w:rPr>
          <w:rFonts w:eastAsia="Times New Roman" w:cs="Times New Roman"/>
          <w:color w:val="000000" w:themeColor="text1"/>
          <w:szCs w:val="24"/>
          <w:lang w:eastAsia="en-GB"/>
        </w:rPr>
        <w:t>. They respectively include the emissions of thirty-two and twenty-nine of the thirty-six moneyers. This strongly suggests that they were laid down as a result of the Viking</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attack on York</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w:t>
      </w:r>
      <w:r w:rsidRPr="00EC0229">
        <w:rPr>
          <w:rStyle w:val="FootnoteReference"/>
          <w:rFonts w:eastAsia="Times New Roman" w:cs="Times New Roman"/>
          <w:color w:val="000000" w:themeColor="text1"/>
          <w:szCs w:val="24"/>
          <w:lang w:eastAsia="en-GB"/>
        </w:rPr>
        <w:footnoteReference w:id="762"/>
      </w:r>
      <w:r w:rsidRPr="00EC0229">
        <w:rPr>
          <w:rFonts w:eastAsia="Times New Roman" w:cs="Times New Roman"/>
          <w:color w:val="000000" w:themeColor="text1"/>
          <w:szCs w:val="24"/>
          <w:lang w:eastAsia="en-GB"/>
        </w:rPr>
        <w:t xml:space="preserve"> However, the </w:t>
      </w:r>
      <w:r w:rsidRPr="00EC0229">
        <w:rPr>
          <w:rFonts w:eastAsia="Times New Roman" w:cs="Times New Roman"/>
          <w:szCs w:val="24"/>
          <w:lang w:eastAsia="en-GB"/>
        </w:rPr>
        <w:t>Hexham</w:t>
      </w:r>
      <w:r w:rsidRPr="00EC0229">
        <w:rPr>
          <w:rFonts w:eastAsia="Times New Roman" w:cs="Times New Roman"/>
          <w:szCs w:val="24"/>
          <w:lang w:eastAsia="en-GB"/>
        </w:rPr>
        <w:fldChar w:fldCharType="begin"/>
      </w:r>
      <w:r w:rsidRPr="00EC0229">
        <w:instrText xml:space="preserve"> XE "Hexham"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hoard</w:t>
      </w:r>
      <w:r w:rsidRPr="00EC0229">
        <w:rPr>
          <w:rFonts w:eastAsia="Times New Roman" w:cs="Times New Roman"/>
          <w:color w:val="000000" w:themeColor="text1"/>
          <w:szCs w:val="24"/>
          <w:lang w:eastAsia="en-GB"/>
        </w:rPr>
        <w:t xml:space="preserve"> (</w:t>
      </w:r>
      <w:r w:rsidRPr="00EC0229">
        <w:rPr>
          <w:rFonts w:eastAsia="Times New Roman" w:cs="Times New Roman"/>
          <w:color w:val="000000" w:themeColor="text1"/>
          <w:szCs w:val="24"/>
          <w:lang w:eastAsia="en-GB"/>
        </w:rPr>
        <w:fldChar w:fldCharType="begin"/>
      </w:r>
      <w:r w:rsidRPr="00EC0229">
        <w:rPr>
          <w:rFonts w:eastAsia="Times New Roman" w:cs="Times New Roman"/>
          <w:color w:val="000000" w:themeColor="text1"/>
          <w:szCs w:val="24"/>
          <w:lang w:eastAsia="en-GB"/>
        </w:rPr>
        <w:instrText xml:space="preserve"> PAGEREF Hexham \h </w:instrText>
      </w:r>
      <w:r w:rsidRPr="00EC0229">
        <w:rPr>
          <w:rFonts w:eastAsia="Times New Roman" w:cs="Times New Roman"/>
          <w:color w:val="000000" w:themeColor="text1"/>
          <w:szCs w:val="24"/>
          <w:lang w:eastAsia="en-GB"/>
        </w:rPr>
      </w:r>
      <w:r w:rsidRPr="00EC0229">
        <w:rPr>
          <w:rFonts w:eastAsia="Times New Roman" w:cs="Times New Roman"/>
          <w:color w:val="000000" w:themeColor="text1"/>
          <w:szCs w:val="24"/>
          <w:lang w:eastAsia="en-GB"/>
        </w:rPr>
        <w:fldChar w:fldCharType="separate"/>
      </w:r>
      <w:r w:rsidR="0012026B">
        <w:rPr>
          <w:rFonts w:eastAsia="Times New Roman" w:cs="Times New Roman"/>
          <w:noProof/>
          <w:color w:val="000000" w:themeColor="text1"/>
          <w:szCs w:val="24"/>
          <w:lang w:eastAsia="en-GB"/>
        </w:rPr>
        <w:t>138</w: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w:t>
      </w:r>
      <w:r w:rsidRPr="00EC0229">
        <w:rPr>
          <w:rStyle w:val="FootnoteReference"/>
          <w:rFonts w:eastAsia="Times New Roman" w:cs="Times New Roman"/>
          <w:color w:val="000000" w:themeColor="text1"/>
          <w:szCs w:val="24"/>
          <w:lang w:eastAsia="en-GB"/>
        </w:rPr>
        <w:footnoteReference w:id="763"/>
      </w:r>
      <w:r w:rsidRPr="00EC0229">
        <w:rPr>
          <w:rFonts w:eastAsia="Times New Roman" w:cs="Times New Roman"/>
          <w:color w:val="000000" w:themeColor="text1"/>
          <w:szCs w:val="24"/>
          <w:lang w:eastAsia="en-GB"/>
        </w:rPr>
        <w:t xml:space="preserve"> includes only twenty-three moneyers, and correlates highly with the base data-set only until the restoration of Æthelred</w:t>
      </w:r>
      <w:r w:rsidRPr="00EC0229">
        <w:rPr>
          <w:rFonts w:eastAsia="Times New Roman" w:cs="Times New Roman"/>
          <w:color w:val="000000" w:themeColor="text1"/>
          <w:szCs w:val="24"/>
          <w:lang w:eastAsia="en-GB"/>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II in 843/4, as shown by </w:t>
      </w:r>
      <w:r w:rsidRPr="00EC0229">
        <w:rPr>
          <w:rFonts w:cs="Times New Roman"/>
          <w:i/>
          <w:szCs w:val="24"/>
        </w:rPr>
        <w:t>Table</w:t>
      </w:r>
      <w:r w:rsidRPr="00EC0229">
        <w:rPr>
          <w:rFonts w:cs="Times New Roman"/>
          <w:i/>
          <w:szCs w:val="24"/>
        </w:rPr>
        <w:fldChar w:fldCharType="begin"/>
      </w:r>
      <w:r w:rsidRPr="00EC0229">
        <w:instrText xml:space="preserve"> XE "</w:instrText>
      </w:r>
      <w:r w:rsidRPr="00EC0229">
        <w:rPr>
          <w:noProof/>
        </w:rPr>
        <w:instrText>Table</w:instrText>
      </w:r>
      <w:r w:rsidRPr="00EC0229">
        <w:instrText xml:space="preserve">" </w:instrText>
      </w:r>
      <w:r w:rsidRPr="00EC0229">
        <w:rPr>
          <w:rFonts w:cs="Times New Roman"/>
          <w:i/>
          <w:szCs w:val="24"/>
        </w:rPr>
        <w:fldChar w:fldCharType="end"/>
      </w:r>
      <w:r w:rsidRPr="00EC0229">
        <w:rPr>
          <w:rFonts w:cs="Times New Roman"/>
          <w:i/>
          <w:szCs w:val="24"/>
        </w:rPr>
        <w:t xml:space="preserve"> 7.12, </w:t>
      </w:r>
      <w:r w:rsidRPr="00EC0229">
        <w:rPr>
          <w:rFonts w:eastAsia="Times New Roman" w:cs="Times New Roman"/>
          <w:color w:val="000000" w:themeColor="text1"/>
          <w:szCs w:val="24"/>
          <w:lang w:eastAsia="en-GB"/>
        </w:rPr>
        <w:t>around which time this hoard can reasonably be assumed to have been deposited.</w:t>
      </w:r>
      <w:r w:rsidRPr="00EC0229">
        <w:rPr>
          <w:rStyle w:val="FootnoteReference"/>
          <w:rFonts w:eastAsia="Times New Roman" w:cs="Times New Roman"/>
          <w:color w:val="000000" w:themeColor="text1"/>
          <w:szCs w:val="24"/>
          <w:lang w:eastAsia="en-GB"/>
        </w:rPr>
        <w:footnoteReference w:id="764"/>
      </w:r>
      <w:r w:rsidRPr="00EC0229">
        <w:rPr>
          <w:rFonts w:eastAsia="Times New Roman" w:cs="Times New Roman"/>
          <w:color w:val="000000" w:themeColor="text1"/>
          <w:szCs w:val="24"/>
          <w:lang w:eastAsia="en-GB"/>
        </w:rPr>
        <w:t xml:space="preserve"> This comparison also shows that the silver-alloy </w:t>
      </w:r>
      <w:r w:rsidRPr="00EC0229">
        <w:rPr>
          <w:rFonts w:eastAsia="Times New Roman" w:cs="Times New Roman"/>
          <w:szCs w:val="24"/>
          <w:lang w:eastAsia="en-GB"/>
        </w:rPr>
        <w:t>Group A/[</w:t>
      </w:r>
      <w:r w:rsidRPr="00EC0229">
        <w:rPr>
          <w:rFonts w:eastAsia="Times New Roman" w:cs="Times New Roman"/>
          <w:color w:val="000000" w:themeColor="text1"/>
          <w:szCs w:val="24"/>
          <w:lang w:eastAsia="en-GB"/>
        </w:rPr>
        <w:t>N9]</w:t>
      </w:r>
      <w:r w:rsidRPr="00EC0229">
        <w:rPr>
          <w:rFonts w:eastAsia="Times New Roman" w:cs="Times New Roman"/>
          <w:color w:val="000000" w:themeColor="text1"/>
          <w:szCs w:val="24"/>
          <w:lang w:eastAsia="en-GB"/>
        </w:rPr>
        <w:fldChar w:fldCharType="begin"/>
      </w:r>
      <w:r w:rsidRPr="00EC0229">
        <w:instrText xml:space="preserve"> XE "</w:instrText>
      </w:r>
      <w:r w:rsidRPr="00EC0229">
        <w:rPr>
          <w:rFonts w:cs="Times New Roman"/>
        </w:rPr>
        <w:instrText>Period N9</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w:t>
      </w:r>
      <w:r w:rsidRPr="00EC0229">
        <w:rPr>
          <w:rFonts w:eastAsia="Times New Roman" w:cs="Times New Roman"/>
          <w:szCs w:val="24"/>
          <w:lang w:eastAsia="en-GB"/>
        </w:rPr>
        <w:fldChar w:fldCharType="begin"/>
      </w:r>
      <w:r w:rsidRPr="00EC0229">
        <w:instrText xml:space="preserve"> XE "Group A" </w:instrText>
      </w:r>
      <w:r w:rsidRPr="00EC0229">
        <w:rPr>
          <w:rFonts w:eastAsia="Times New Roman" w:cs="Times New Roman"/>
          <w:szCs w:val="24"/>
          <w:lang w:eastAsia="en-GB"/>
        </w:rPr>
        <w:fldChar w:fldCharType="end"/>
      </w:r>
      <w:r w:rsidRPr="00EC0229">
        <w:rPr>
          <w:rFonts w:eastAsia="Times New Roman" w:cs="Times New Roman"/>
          <w:color w:val="000000" w:themeColor="text1"/>
          <w:szCs w:val="24"/>
          <w:lang w:eastAsia="en-GB"/>
        </w:rPr>
        <w:t>moneyers of Eanred</w:t>
      </w:r>
      <w:r w:rsidRPr="00EC0229">
        <w:rPr>
          <w:rFonts w:eastAsia="Times New Roman" w:cs="Times New Roman"/>
          <w:color w:val="000000" w:themeColor="text1"/>
          <w:szCs w:val="24"/>
          <w:lang w:eastAsia="en-GB"/>
        </w:rPr>
        <w:fldChar w:fldCharType="begin"/>
      </w:r>
      <w:r w:rsidRPr="00EC0229">
        <w:instrText xml:space="preserve"> XE "Eanred"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and archiepiscopal material are over-represented in the Hexham hoard, signifying selectivity.</w:t>
      </w:r>
    </w:p>
    <w:p w14:paraId="6F986FC4" w14:textId="77777777" w:rsidR="007B40A3" w:rsidRDefault="007B40A3" w:rsidP="00AA51C3">
      <w:pPr>
        <w:pStyle w:val="NoSpacing"/>
        <w:spacing w:line="360" w:lineRule="auto"/>
      </w:pPr>
    </w:p>
    <w:p w14:paraId="60C2136E" w14:textId="606E8033" w:rsidR="009F0A45" w:rsidRDefault="00AA51C3" w:rsidP="00AA51C3">
      <w:pPr>
        <w:pStyle w:val="NoSpacing"/>
        <w:spacing w:line="360" w:lineRule="auto"/>
      </w:pPr>
      <w:r w:rsidRPr="00EC0229">
        <w:t xml:space="preserve">Analysis of site finds by period, </w:t>
      </w:r>
      <w:r w:rsidR="00E97BCB">
        <w:rPr>
          <w:i/>
        </w:rPr>
        <w:t>Dataset</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5</w:t>
      </w:r>
      <w:r w:rsidR="006B7780" w:rsidRPr="00EC0229">
        <w:rPr>
          <w:i/>
        </w:rPr>
        <w:t>.01</w:t>
      </w:r>
      <w:r w:rsidRPr="00EC0229">
        <w:t>, facilitates graphical representations of finds</w:t>
      </w:r>
      <w:r w:rsidR="009F0A45">
        <w:t xml:space="preserve"> as in </w:t>
      </w:r>
      <w:r w:rsidR="00224271">
        <w:rPr>
          <w:i/>
        </w:rPr>
        <w:t>Graphs 7.01-7.12</w:t>
      </w:r>
      <w:r w:rsidR="009F0A45">
        <w:t xml:space="preserve"> </w:t>
      </w:r>
      <w:r w:rsidR="002E789D">
        <w:t>ranked</w:t>
      </w:r>
      <w:r w:rsidR="009F0A45">
        <w:t xml:space="preserve"> chronologically</w:t>
      </w:r>
      <w:r w:rsidR="00C10871" w:rsidRPr="00C10871">
        <w:t xml:space="preserve"> </w:t>
      </w:r>
      <w:r w:rsidR="00224271">
        <w:t>by region</w:t>
      </w:r>
      <w:r w:rsidR="00C10871" w:rsidRPr="00EC0229">
        <w:t xml:space="preserve"> for many of the sites studied</w:t>
      </w:r>
      <w:r w:rsidR="002E789D">
        <w:t xml:space="preserve">, </w:t>
      </w:r>
      <w:r w:rsidR="002E789D" w:rsidRPr="002E789D">
        <w:rPr>
          <w:i/>
        </w:rPr>
        <w:t>Table 7.16</w:t>
      </w:r>
      <w:r w:rsidR="00C10871" w:rsidRPr="00EC0229">
        <w:t>.</w:t>
      </w:r>
      <w:r w:rsidR="00C10871">
        <w:rPr>
          <w:rStyle w:val="FootnoteReference"/>
        </w:rPr>
        <w:footnoteReference w:id="765"/>
      </w:r>
      <w:r w:rsidR="00C10871" w:rsidRPr="00EC0229">
        <w:t xml:space="preserve"> </w:t>
      </w:r>
      <w:r w:rsidR="00E97BCB">
        <w:t xml:space="preserve">The </w:t>
      </w:r>
      <w:r w:rsidR="00C10871" w:rsidRPr="00EC0229">
        <w:t>weigh</w:t>
      </w:r>
      <w:r w:rsidR="00E97BCB">
        <w:t xml:space="preserve">ted average of peak activity </w:t>
      </w:r>
      <w:r w:rsidR="00C10871" w:rsidRPr="00EC0229">
        <w:t>sho</w:t>
      </w:r>
      <w:r w:rsidR="00C10871">
        <w:t>w</w:t>
      </w:r>
      <w:r w:rsidR="00E97BCB">
        <w:t>s</w:t>
      </w:r>
      <w:r w:rsidR="00C10871">
        <w:t xml:space="preserve"> which sites were active early.</w:t>
      </w:r>
      <w:r w:rsidR="009F0A45">
        <w:t xml:space="preserve"> </w:t>
      </w:r>
      <w:r w:rsidRPr="00EC0229">
        <w:t>This exercise has been carried out for coin-rich sites both under Northumbrian influence and beyond, for comparative purposes.</w:t>
      </w:r>
      <w:r w:rsidRPr="00EC0229">
        <w:rPr>
          <w:rStyle w:val="FootnoteReference"/>
        </w:rPr>
        <w:footnoteReference w:id="766"/>
      </w:r>
    </w:p>
    <w:p w14:paraId="47C36E3C" w14:textId="77777777" w:rsidR="009F0A45" w:rsidRDefault="009F0A45" w:rsidP="00AA51C3">
      <w:pPr>
        <w:pStyle w:val="NoSpacing"/>
        <w:spacing w:line="360" w:lineRule="auto"/>
      </w:pPr>
    </w:p>
    <w:p w14:paraId="125D0E36" w14:textId="2A17E3BC" w:rsidR="00AA51C3" w:rsidRPr="00EC0229" w:rsidRDefault="00AA51C3" w:rsidP="00AA51C3">
      <w:pPr>
        <w:pStyle w:val="NoSpacing"/>
        <w:spacing w:line="360" w:lineRule="auto"/>
      </w:pPr>
      <w:r w:rsidRPr="00EC0229">
        <w:t>Having set the precedent in dividing the Romano-Britis</w:t>
      </w:r>
      <w:r w:rsidR="00D737AF" w:rsidRPr="00EC0229">
        <w:t xml:space="preserve">h coinage into periods, </w:t>
      </w:r>
      <w:r w:rsidRPr="00EC0229">
        <w:t xml:space="preserve">Reece analysed the finds from 140 sites by period. He gives a persuasive </w:t>
      </w:r>
      <w:bookmarkStart w:id="498" w:name="apologia"/>
      <w:r w:rsidRPr="00EC0229">
        <w:rPr>
          <w:i/>
        </w:rPr>
        <w:t>apologia</w:t>
      </w:r>
      <w:bookmarkEnd w:id="498"/>
      <w:r w:rsidRPr="00EC0229">
        <w:t xml:space="preserve"> ‘If anyone attempted to check my work the result would be chaos because there are so many occasions on which I made a snap decision to include or exclude.’</w:t>
      </w:r>
      <w:r w:rsidRPr="00EC0229">
        <w:rPr>
          <w:rStyle w:val="FootnoteReference"/>
        </w:rPr>
        <w:footnoteReference w:id="767"/>
      </w:r>
      <w:r w:rsidRPr="00EC0229">
        <w:t xml:space="preserve"> Here t</w:t>
      </w:r>
      <w:r w:rsidR="00497AC3" w:rsidRPr="00EC0229">
        <w:t xml:space="preserve">he </w:t>
      </w:r>
      <w:r w:rsidR="007B40A3">
        <w:t xml:space="preserve">passage from database to </w:t>
      </w:r>
      <w:r w:rsidR="00497AC3" w:rsidRPr="00EC0229">
        <w:t>dataset</w:t>
      </w:r>
      <w:r w:rsidR="007B40A3">
        <w:t>, and abstraction into tables,</w:t>
      </w:r>
      <w:r w:rsidRPr="00EC0229">
        <w:t xml:space="preserve"> gives an audit trail but, inevitably, reliance has been placed, to a significant extent, on identifications by other parties.</w:t>
      </w:r>
    </w:p>
    <w:p w14:paraId="16F6E897" w14:textId="77777777" w:rsidR="00AA51C3" w:rsidRPr="00EC0229" w:rsidRDefault="00AA51C3" w:rsidP="00AA51C3">
      <w:pPr>
        <w:pStyle w:val="NoSpacing"/>
        <w:spacing w:line="360" w:lineRule="auto"/>
      </w:pPr>
    </w:p>
    <w:p w14:paraId="19459A76" w14:textId="53ED776C" w:rsidR="00AA51C3" w:rsidRPr="00EC0229" w:rsidRDefault="00AA51C3" w:rsidP="00AA51C3">
      <w:pPr>
        <w:pStyle w:val="NoSpacing"/>
        <w:spacing w:line="360" w:lineRule="auto"/>
      </w:pPr>
      <w:r w:rsidRPr="00EC0229">
        <w:t>This exercise has helped reveal the strengths and weaknesses of the periods devised. On the positive side, it has not been difficult to allocate many thousands of specimens to their appropriate period. There are a similar number of periods to Reece’s division of the Roman</w:t>
      </w:r>
      <w:r w:rsidRPr="00EC0229">
        <w:fldChar w:fldCharType="begin"/>
      </w:r>
      <w:r w:rsidRPr="00EC0229">
        <w:instrText xml:space="preserve"> XE "Roman" </w:instrText>
      </w:r>
      <w:r w:rsidRPr="00EC0229">
        <w:fldChar w:fldCharType="end"/>
      </w:r>
      <w:r w:rsidRPr="00EC0229">
        <w:t xml:space="preserve"> era of coin-use, spanning a comparable time-frame. On the negative side, there are areas where greater certainty needs to be acquired through research. Further metal</w:t>
      </w:r>
      <w:r w:rsidR="009F0A45">
        <w:t>lurgical testing of the ninth-</w:t>
      </w:r>
      <w:r w:rsidRPr="00EC0229">
        <w:t>century material would be helpful to validate the partition of the coinage into its constituents.</w:t>
      </w:r>
      <w:r w:rsidRPr="00EC0229">
        <w:rPr>
          <w:rStyle w:val="FootnoteReference"/>
        </w:rPr>
        <w:footnoteReference w:id="768"/>
      </w:r>
      <w:r w:rsidRPr="00EC0229">
        <w:t xml:space="preserve"> Assaying the composition of the emissions of </w:t>
      </w:r>
      <w:r w:rsidRPr="00EC0229">
        <w:rPr>
          <w:rFonts w:cs="Times New Roman"/>
        </w:rPr>
        <w:t>Æ</w:t>
      </w:r>
      <w:r w:rsidRPr="00EC0229">
        <w:t>thelweard for both Eanred</w:t>
      </w:r>
      <w:r w:rsidRPr="00EC0229">
        <w:fldChar w:fldCharType="begin"/>
      </w:r>
      <w:r w:rsidRPr="00EC0229">
        <w:instrText xml:space="preserve"> XE "Eanred" </w:instrText>
      </w:r>
      <w:r w:rsidRPr="00EC0229">
        <w:fldChar w:fldCharType="end"/>
      </w:r>
      <w:r w:rsidRPr="00EC0229">
        <w:t xml:space="preserve"> and particularly Eanbald</w:t>
      </w:r>
      <w:r w:rsidRPr="00EC0229">
        <w:fldChar w:fldCharType="begin"/>
      </w:r>
      <w:r w:rsidRPr="00EC0229">
        <w:instrText xml:space="preserve"> XE "Eanbald" </w:instrText>
      </w:r>
      <w:r w:rsidRPr="00EC0229">
        <w:fldChar w:fldCharType="end"/>
      </w:r>
      <w:r w:rsidRPr="00EC0229">
        <w:t xml:space="preserve"> II, would be instructive.</w:t>
      </w:r>
      <w:r w:rsidRPr="00EC0229">
        <w:rPr>
          <w:rStyle w:val="FootnoteReference"/>
        </w:rPr>
        <w:footnoteReference w:id="769"/>
      </w:r>
      <w:r w:rsidR="00C10871">
        <w:t xml:space="preserve"> </w:t>
      </w:r>
    </w:p>
    <w:p w14:paraId="1E435DC9" w14:textId="77777777" w:rsidR="00AA51C3" w:rsidRPr="00EC0229" w:rsidRDefault="00AA51C3" w:rsidP="00AA51C3">
      <w:pPr>
        <w:pStyle w:val="NoSpacing"/>
        <w:spacing w:line="360" w:lineRule="auto"/>
      </w:pPr>
    </w:p>
    <w:p w14:paraId="132EBA24" w14:textId="7E8AB74E" w:rsidR="00D737AF" w:rsidRPr="007A3166" w:rsidRDefault="00736C9E" w:rsidP="00D737AF">
      <w:pPr>
        <w:pStyle w:val="Heading4"/>
        <w:spacing w:line="360" w:lineRule="auto"/>
        <w:rPr>
          <w:b/>
        </w:rPr>
      </w:pPr>
      <w:bookmarkStart w:id="499" w:name="_Toc468266845"/>
      <w:r>
        <w:rPr>
          <w:b/>
        </w:rPr>
        <w:t>7.3.2</w:t>
      </w:r>
      <w:r>
        <w:rPr>
          <w:b/>
        </w:rPr>
        <w:tab/>
      </w:r>
      <w:r w:rsidR="00D737AF" w:rsidRPr="007A3166">
        <w:rPr>
          <w:b/>
        </w:rPr>
        <w:t>Geographic</w:t>
      </w:r>
      <w:r w:rsidR="00D737AF" w:rsidRPr="007A3166">
        <w:rPr>
          <w:b/>
        </w:rPr>
        <w:fldChar w:fldCharType="begin"/>
      </w:r>
      <w:r w:rsidR="00D737AF" w:rsidRPr="007A3166">
        <w:rPr>
          <w:b/>
        </w:rPr>
        <w:instrText xml:space="preserve"> XE "</w:instrText>
      </w:r>
      <w:r w:rsidR="00D737AF" w:rsidRPr="007A3166">
        <w:rPr>
          <w:rStyle w:val="Hyperlink"/>
          <w:b/>
          <w:noProof/>
          <w:u w:val="none"/>
        </w:rPr>
        <w:instrText>Geographic</w:instrText>
      </w:r>
      <w:r w:rsidR="00D737AF" w:rsidRPr="007A3166">
        <w:rPr>
          <w:b/>
        </w:rPr>
        <w:instrText xml:space="preserve">" </w:instrText>
      </w:r>
      <w:r w:rsidR="00D737AF" w:rsidRPr="007A3166">
        <w:rPr>
          <w:b/>
        </w:rPr>
        <w:fldChar w:fldCharType="end"/>
      </w:r>
      <w:r w:rsidR="00D737AF" w:rsidRPr="007A3166">
        <w:rPr>
          <w:b/>
        </w:rPr>
        <w:t xml:space="preserve"> </w:t>
      </w:r>
      <w:r w:rsidR="00D737AF" w:rsidRPr="007A3166">
        <w:rPr>
          <w:rFonts w:cs="Times New Roman"/>
          <w:b/>
          <w:color w:val="000000" w:themeColor="text1"/>
        </w:rPr>
        <w:t>Analysis</w:t>
      </w:r>
      <w:bookmarkEnd w:id="499"/>
    </w:p>
    <w:p w14:paraId="4B7A1ADE" w14:textId="5D4C93F2" w:rsidR="00AA51C3" w:rsidRPr="00EC0229" w:rsidRDefault="00AA51C3" w:rsidP="00AA51C3">
      <w:pPr>
        <w:pStyle w:val="NoSpacing"/>
        <w:spacing w:line="360" w:lineRule="auto"/>
      </w:pPr>
      <w:r w:rsidRPr="00EC0229">
        <w:t>Following the case study st</w:t>
      </w:r>
      <w:r w:rsidR="00AD6048" w:rsidRPr="00EC0229">
        <w:t xml:space="preserve">ructure of this thesis, </w:t>
      </w:r>
      <w:r w:rsidR="00A97FCA" w:rsidRPr="00EC0229">
        <w:t xml:space="preserve">the numismatic material for </w:t>
      </w:r>
      <w:r w:rsidR="00AD6048" w:rsidRPr="00EC0229">
        <w:t>over six</w:t>
      </w:r>
      <w:r w:rsidRPr="00EC0229">
        <w:t xml:space="preserve">ty locations have been analysed in </w:t>
      </w:r>
      <w:r w:rsidR="007B40A3">
        <w:rPr>
          <w:i/>
        </w:rPr>
        <w:t>Dataset</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5</w:t>
      </w:r>
      <w:r w:rsidR="006B7780" w:rsidRPr="00EC0229">
        <w:rPr>
          <w:i/>
        </w:rPr>
        <w:t>.0</w:t>
      </w:r>
      <w:r w:rsidR="00AD6048" w:rsidRPr="00EC0229">
        <w:rPr>
          <w:i/>
        </w:rPr>
        <w:t>1</w:t>
      </w:r>
      <w:r w:rsidRPr="00EC0229">
        <w:t>. An analysis by metal is also given together with proportions of imported coinage for both the Primary and Secondary sceatta</w:t>
      </w:r>
      <w:r w:rsidRPr="00EC0229">
        <w:fldChar w:fldCharType="begin"/>
      </w:r>
      <w:r w:rsidRPr="00EC0229">
        <w:instrText xml:space="preserve"> XE "sceatta" </w:instrText>
      </w:r>
      <w:r w:rsidRPr="00EC0229">
        <w:fldChar w:fldCharType="end"/>
      </w:r>
      <w:r w:rsidRPr="00EC0229">
        <w:t xml:space="preserve"> phases. </w:t>
      </w:r>
      <w:r w:rsidR="007B40A3" w:rsidRPr="00EC0229">
        <w:t>This data can be organised to show proportions by site and period</w:t>
      </w:r>
      <w:r w:rsidR="00103FB3">
        <w:t xml:space="preserve">, </w:t>
      </w:r>
      <w:r w:rsidR="00103FB3">
        <w:rPr>
          <w:i/>
        </w:rPr>
        <w:t>Dataset 7.16</w:t>
      </w:r>
      <w:r w:rsidR="00103FB3">
        <w:t xml:space="preserve"> summarized in </w:t>
      </w:r>
      <w:r w:rsidR="00103FB3" w:rsidRPr="00103FB3">
        <w:rPr>
          <w:i/>
        </w:rPr>
        <w:t>Table 7.16</w:t>
      </w:r>
      <w:r w:rsidR="007B40A3" w:rsidRPr="00EC0229">
        <w:t xml:space="preserve">. </w:t>
      </w:r>
      <w:r w:rsidRPr="00EC0229">
        <w:t>The methodology proposed by Naylor,</w:t>
      </w:r>
      <w:r w:rsidRPr="00EC0229">
        <w:rPr>
          <w:rStyle w:val="FootnoteReference"/>
        </w:rPr>
        <w:footnoteReference w:id="770"/>
      </w:r>
      <w:r w:rsidRPr="00EC0229">
        <w:t xml:space="preserve"> is applied in </w:t>
      </w:r>
      <w:r w:rsidR="00AD6048" w:rsidRPr="00EC0229">
        <w:rPr>
          <w:i/>
        </w:rPr>
        <w:t xml:space="preserve">Tables </w:t>
      </w:r>
      <w:r w:rsidRPr="00EC0229">
        <w:rPr>
          <w:i/>
        </w:rPr>
        <w:t>5</w:t>
      </w:r>
      <w:r w:rsidR="007B40A3">
        <w:rPr>
          <w:i/>
        </w:rPr>
        <w:t>.</w:t>
      </w:r>
      <w:r w:rsidR="00AD6048" w:rsidRPr="00EC0229">
        <w:rPr>
          <w:i/>
        </w:rPr>
        <w:t>02-3</w:t>
      </w:r>
      <w:r w:rsidRPr="00EC0229">
        <w:rPr>
          <w:i/>
        </w:rPr>
        <w:t>,</w:t>
      </w:r>
      <w:r w:rsidRPr="00EC0229">
        <w:t xml:space="preserve"> extracted from</w:t>
      </w:r>
      <w:r w:rsidR="00825877" w:rsidRPr="00EC0229">
        <w:t xml:space="preserve"> </w:t>
      </w:r>
      <w:r w:rsidR="007B40A3" w:rsidRPr="007B40A3">
        <w:rPr>
          <w:i/>
        </w:rPr>
        <w:lastRenderedPageBreak/>
        <w:t>Dataset</w:t>
      </w:r>
      <w:r w:rsidR="007D27F9" w:rsidRPr="00EC0229">
        <w:rPr>
          <w:i/>
        </w:rPr>
        <w:t xml:space="preserve"> 5.01</w:t>
      </w:r>
      <w:r w:rsidR="00AD6048" w:rsidRPr="00EC0229">
        <w:t xml:space="preserve">, </w:t>
      </w:r>
      <w:r w:rsidR="00746B7C" w:rsidRPr="00EC0229">
        <w:t>w</w:t>
      </w:r>
      <w:r w:rsidRPr="00EC0229">
        <w:t xml:space="preserve">hich includes all sites with more than five coin finds. </w:t>
      </w:r>
      <w:r w:rsidR="00825877" w:rsidRPr="00EC0229">
        <w:rPr>
          <w:i/>
        </w:rPr>
        <w:t>Tables 8.01, 8.0</w:t>
      </w:r>
      <w:r w:rsidR="00AD6048" w:rsidRPr="00EC0229">
        <w:rPr>
          <w:i/>
        </w:rPr>
        <w:t>7</w:t>
      </w:r>
      <w:r w:rsidRPr="00EC0229">
        <w:rPr>
          <w:i/>
        </w:rPr>
        <w:t xml:space="preserve">, </w:t>
      </w:r>
      <w:r w:rsidR="00825877" w:rsidRPr="00EC0229">
        <w:rPr>
          <w:i/>
        </w:rPr>
        <w:t>8.1</w:t>
      </w:r>
      <w:r w:rsidR="00AD6048" w:rsidRPr="00EC0229">
        <w:rPr>
          <w:i/>
        </w:rPr>
        <w:t>5</w:t>
      </w:r>
      <w:r w:rsidRPr="00EC0229">
        <w:rPr>
          <w:i/>
        </w:rPr>
        <w:t xml:space="preserve">, </w:t>
      </w:r>
      <w:r w:rsidR="00825877" w:rsidRPr="00EC0229">
        <w:rPr>
          <w:i/>
        </w:rPr>
        <w:t>8.1</w:t>
      </w:r>
      <w:r w:rsidR="00AD6048" w:rsidRPr="00EC0229">
        <w:rPr>
          <w:i/>
        </w:rPr>
        <w:t>6</w:t>
      </w:r>
      <w:r w:rsidRPr="00EC0229">
        <w:rPr>
          <w:i/>
        </w:rPr>
        <w:t xml:space="preserve">, </w:t>
      </w:r>
      <w:r w:rsidR="00825877" w:rsidRPr="00EC0229">
        <w:rPr>
          <w:i/>
        </w:rPr>
        <w:t>8.2</w:t>
      </w:r>
      <w:r w:rsidR="00AD6048" w:rsidRPr="00EC0229">
        <w:rPr>
          <w:i/>
        </w:rPr>
        <w:t>6</w:t>
      </w:r>
      <w:r w:rsidRPr="00EC0229">
        <w:t xml:space="preserve"> and</w:t>
      </w:r>
      <w:r w:rsidRPr="00EC0229">
        <w:rPr>
          <w:i/>
        </w:rPr>
        <w:t xml:space="preserve"> </w:t>
      </w:r>
      <w:r w:rsidR="00825877" w:rsidRPr="00EC0229">
        <w:rPr>
          <w:i/>
        </w:rPr>
        <w:t>8.</w:t>
      </w:r>
      <w:r w:rsidR="00AD6048" w:rsidRPr="00EC0229">
        <w:rPr>
          <w:i/>
        </w:rPr>
        <w:t>33</w:t>
      </w:r>
      <w:r w:rsidRPr="00EC0229">
        <w:t xml:space="preserve"> give a more granular analysis of each region’</w:t>
      </w:r>
      <w:r w:rsidR="005D0690" w:rsidRPr="00EC0229">
        <w:t>s finds by site, including sites</w:t>
      </w:r>
      <w:r w:rsidRPr="00EC0229">
        <w:t xml:space="preserve"> with one </w:t>
      </w:r>
      <w:r w:rsidR="005D0690" w:rsidRPr="00EC0229">
        <w:t xml:space="preserve">or more coin </w:t>
      </w:r>
      <w:r w:rsidRPr="00EC0229">
        <w:t>find</w:t>
      </w:r>
      <w:r w:rsidR="005D0690" w:rsidRPr="00EC0229">
        <w:t>s</w:t>
      </w:r>
      <w:r w:rsidRPr="00EC0229">
        <w:t xml:space="preserve"> in the study period. Results are discussed in the case studies (</w:t>
      </w:r>
      <w:r w:rsidRPr="00EC0229">
        <w:fldChar w:fldCharType="begin"/>
      </w:r>
      <w:r w:rsidRPr="00EC0229">
        <w:instrText xml:space="preserve"> PAGEREF casestudies \h </w:instrText>
      </w:r>
      <w:r w:rsidRPr="00EC0229">
        <w:fldChar w:fldCharType="separate"/>
      </w:r>
      <w:r w:rsidR="0012026B">
        <w:rPr>
          <w:noProof/>
        </w:rPr>
        <w:t>178</w:t>
      </w:r>
      <w:r w:rsidRPr="00EC0229">
        <w:fldChar w:fldCharType="end"/>
      </w:r>
      <w:r w:rsidRPr="00EC0229">
        <w:t>)</w:t>
      </w:r>
      <w:r w:rsidRPr="00EC0229">
        <w:fldChar w:fldCharType="begin"/>
      </w:r>
      <w:r w:rsidRPr="00EC0229">
        <w:instrText xml:space="preserve"> XE "</w:instrText>
      </w:r>
      <w:r w:rsidRPr="00EC0229">
        <w:rPr>
          <w:b/>
        </w:rPr>
        <w:instrText>Case Studies</w:instrText>
      </w:r>
      <w:r w:rsidRPr="00EC0229">
        <w:instrText xml:space="preserve">" </w:instrText>
      </w:r>
      <w:r w:rsidRPr="00EC0229">
        <w:fldChar w:fldCharType="end"/>
      </w:r>
      <w:r w:rsidRPr="00EC0229">
        <w:t xml:space="preserve">  and explored at page </w:t>
      </w:r>
      <w:r w:rsidRPr="00EC0229">
        <w:fldChar w:fldCharType="begin"/>
      </w:r>
      <w:r w:rsidRPr="00EC0229">
        <w:instrText xml:space="preserve"> PAGEREF Tables15 \h </w:instrText>
      </w:r>
      <w:r w:rsidRPr="00EC0229">
        <w:fldChar w:fldCharType="separate"/>
      </w:r>
      <w:r w:rsidR="0012026B">
        <w:rPr>
          <w:noProof/>
        </w:rPr>
        <w:t>315</w:t>
      </w:r>
      <w:r w:rsidRPr="00EC0229">
        <w:fldChar w:fldCharType="end"/>
      </w:r>
      <w:r w:rsidRPr="00EC0229">
        <w:t xml:space="preserve">. Summarising this data by century provides a window on the progression of </w:t>
      </w:r>
      <w:r w:rsidR="003F2041" w:rsidRPr="00EC0229">
        <w:t>monetiz</w:t>
      </w:r>
      <w:r w:rsidRPr="00EC0229">
        <w:t xml:space="preserve">ation within and between regions. </w:t>
      </w:r>
    </w:p>
    <w:p w14:paraId="26659309" w14:textId="77777777" w:rsidR="00AA51C3" w:rsidRPr="00EC0229" w:rsidRDefault="00AA51C3" w:rsidP="00AA51C3">
      <w:pPr>
        <w:pStyle w:val="NoSpacing"/>
        <w:spacing w:line="360" w:lineRule="auto"/>
      </w:pPr>
    </w:p>
    <w:p w14:paraId="21C698B0" w14:textId="5D5E88A9" w:rsidR="00AA51C3" w:rsidRPr="00EC0229" w:rsidRDefault="00E97BCB" w:rsidP="00AA51C3">
      <w:pPr>
        <w:pStyle w:val="NoSpacing"/>
        <w:spacing w:line="360" w:lineRule="auto"/>
      </w:pPr>
      <w:r>
        <w:rPr>
          <w:i/>
        </w:rPr>
        <w:t>Dataset</w:t>
      </w:r>
      <w:r w:rsidRPr="00EC0229">
        <w:rPr>
          <w:i/>
        </w:rPr>
        <w:t xml:space="preserve"> </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5.01</w:t>
      </w:r>
      <w:r w:rsidRPr="00EC0229">
        <w:t>, site finds by period,</w:t>
      </w:r>
      <w:r>
        <w:t xml:space="preserve"> also enables</w:t>
      </w:r>
      <w:r w:rsidR="00AA51C3" w:rsidRPr="00EC0229">
        <w:t xml:space="preserve"> data </w:t>
      </w:r>
      <w:r>
        <w:t>to be</w:t>
      </w:r>
      <w:r w:rsidR="00AA51C3" w:rsidRPr="00EC0229">
        <w:t xml:space="preserve"> arranged by region, </w:t>
      </w:r>
      <w:r w:rsidR="00AA51C3" w:rsidRPr="00EC0229">
        <w:rPr>
          <w:i/>
        </w:rPr>
        <w:t xml:space="preserve">Graphs </w:t>
      </w:r>
      <w:r w:rsidR="00FA658C" w:rsidRPr="00EC0229">
        <w:rPr>
          <w:i/>
        </w:rPr>
        <w:t>7.0</w:t>
      </w:r>
      <w:r w:rsidR="00AA51C3" w:rsidRPr="00EC0229">
        <w:rPr>
          <w:i/>
        </w:rPr>
        <w:t>6-</w:t>
      </w:r>
      <w:r w:rsidR="00FA658C" w:rsidRPr="00EC0229">
        <w:rPr>
          <w:i/>
        </w:rPr>
        <w:t>7.</w:t>
      </w:r>
      <w:r w:rsidR="00AA51C3" w:rsidRPr="00EC0229">
        <w:rPr>
          <w:i/>
        </w:rPr>
        <w:t>1</w:t>
      </w:r>
      <w:r w:rsidR="00710302" w:rsidRPr="00EC0229">
        <w:rPr>
          <w:i/>
        </w:rPr>
        <w:t>1</w:t>
      </w:r>
      <w:r w:rsidR="00AA51C3" w:rsidRPr="00EC0229">
        <w:t>, to demonstrate that the uniformity of coin mix in the Wolds</w:t>
      </w:r>
      <w:r w:rsidR="00AA51C3" w:rsidRPr="00EC0229">
        <w:fldChar w:fldCharType="begin"/>
      </w:r>
      <w:r w:rsidR="00AA51C3" w:rsidRPr="00EC0229">
        <w:instrText xml:space="preserve"> XE "</w:instrText>
      </w:r>
      <w:r w:rsidR="00AA51C3" w:rsidRPr="00EC0229">
        <w:rPr>
          <w:rStyle w:val="Hyperlink"/>
          <w:rFonts w:cs="Times New Roman"/>
          <w:noProof/>
          <w:u w:val="none"/>
        </w:rPr>
        <w:instrText>Wolds</w:instrText>
      </w:r>
      <w:r w:rsidR="00AA51C3" w:rsidRPr="00EC0229">
        <w:instrText xml:space="preserve">" </w:instrText>
      </w:r>
      <w:r w:rsidR="00AA51C3" w:rsidRPr="00EC0229">
        <w:fldChar w:fldCharType="end"/>
      </w:r>
      <w:r w:rsidR="00AA51C3" w:rsidRPr="00EC0229">
        <w:t xml:space="preserve"> is the result of active circulation whereas Bernician sites are sparse and late.</w:t>
      </w:r>
      <w:r w:rsidR="003F57B4" w:rsidRPr="00EC0229">
        <w:t xml:space="preserve"> </w:t>
      </w:r>
      <w:r w:rsidR="00C50133">
        <w:rPr>
          <w:i/>
        </w:rPr>
        <w:t>Table</w:t>
      </w:r>
      <w:r w:rsidR="003F57B4" w:rsidRPr="00EC0229">
        <w:rPr>
          <w:i/>
        </w:rPr>
        <w:t xml:space="preserve"> 7.1</w:t>
      </w:r>
      <w:r w:rsidR="0068167C" w:rsidRPr="00EC0229">
        <w:rPr>
          <w:i/>
        </w:rPr>
        <w:t>6</w:t>
      </w:r>
      <w:r w:rsidR="003F57B4" w:rsidRPr="00EC0229">
        <w:t xml:space="preserve"> ranks all sites chronologically.</w:t>
      </w:r>
      <w:r w:rsidR="00C50133">
        <w:rPr>
          <w:rStyle w:val="FootnoteReference"/>
        </w:rPr>
        <w:footnoteReference w:id="771"/>
      </w:r>
    </w:p>
    <w:p w14:paraId="5ADC584D" w14:textId="77777777" w:rsidR="00AA51C3" w:rsidRPr="00EC0229" w:rsidRDefault="00AA51C3" w:rsidP="00AA51C3">
      <w:pPr>
        <w:pStyle w:val="NoSpacing"/>
        <w:spacing w:line="360" w:lineRule="auto"/>
      </w:pPr>
    </w:p>
    <w:p w14:paraId="52345CEF" w14:textId="6F3EAECF" w:rsidR="00AA51C3" w:rsidRPr="00EC0229" w:rsidRDefault="00AA51C3" w:rsidP="00AA51C3">
      <w:pPr>
        <w:pStyle w:val="NoSpacing"/>
        <w:spacing w:line="360" w:lineRule="auto"/>
        <w:rPr>
          <w:color w:val="000000" w:themeColor="text1"/>
        </w:rPr>
      </w:pPr>
      <w:r w:rsidRPr="00EC0229">
        <w:rPr>
          <w:color w:val="000000" w:themeColor="text1"/>
        </w:rPr>
        <w:t xml:space="preserve">DMAP software has been used to plot </w:t>
      </w:r>
      <w:r w:rsidR="005D0690" w:rsidRPr="00EC0229">
        <w:rPr>
          <w:color w:val="000000" w:themeColor="text1"/>
        </w:rPr>
        <w:t xml:space="preserve">data extracted from </w:t>
      </w:r>
      <w:r w:rsidR="009A3EEF" w:rsidRPr="00EC0229">
        <w:rPr>
          <w:i/>
          <w:color w:val="000000" w:themeColor="text1"/>
        </w:rPr>
        <w:t>Database 1</w:t>
      </w:r>
      <w:r w:rsidR="005D0690" w:rsidRPr="00EC0229">
        <w:rPr>
          <w:color w:val="000000" w:themeColor="text1"/>
        </w:rPr>
        <w:t xml:space="preserve"> </w:t>
      </w:r>
      <w:r w:rsidRPr="00EC0229">
        <w:rPr>
          <w:color w:val="000000" w:themeColor="text1"/>
        </w:rPr>
        <w:t>to demonstrate usage and broad trends.</w:t>
      </w:r>
      <w:r w:rsidRPr="00EC0229">
        <w:rPr>
          <w:rStyle w:val="FootnoteReference"/>
          <w:color w:val="000000" w:themeColor="text1"/>
        </w:rPr>
        <w:t xml:space="preserve"> </w:t>
      </w:r>
      <w:r w:rsidRPr="00EC0229">
        <w:rPr>
          <w:rStyle w:val="FootnoteReference"/>
          <w:color w:val="000000" w:themeColor="text1"/>
        </w:rPr>
        <w:footnoteReference w:id="772"/>
      </w:r>
      <w:r w:rsidRPr="00EC0229">
        <w:rPr>
          <w:color w:val="000000" w:themeColor="text1"/>
        </w:rPr>
        <w:t xml:space="preserve"> </w:t>
      </w:r>
      <w:r w:rsidRPr="00EC0229">
        <w:rPr>
          <w:color w:val="FF0000"/>
        </w:rPr>
        <w:t xml:space="preserve"> </w:t>
      </w:r>
      <w:r w:rsidRPr="00EC0229">
        <w:t>In addition, maps of findspot of Eadberht</w:t>
      </w:r>
      <w:r w:rsidRPr="00EC0229">
        <w:fldChar w:fldCharType="begin"/>
      </w:r>
      <w:r w:rsidRPr="00EC0229">
        <w:instrText xml:space="preserve"> XE "Eadberht" </w:instrText>
      </w:r>
      <w:r w:rsidRPr="00EC0229">
        <w:fldChar w:fldCharType="end"/>
      </w:r>
      <w:r w:rsidRPr="00EC0229">
        <w:t>’s (single- and joint-issue) sceats have been prepared based on data compiled by Bude in his die study.</w:t>
      </w:r>
      <w:r w:rsidRPr="00EC0229">
        <w:rPr>
          <w:rStyle w:val="FootnoteReference"/>
        </w:rPr>
        <w:footnoteReference w:id="773"/>
      </w:r>
      <w:r w:rsidRPr="00EC0229">
        <w:t xml:space="preserve"> My </w:t>
      </w:r>
      <w:r w:rsidRPr="00EC0229">
        <w:rPr>
          <w:color w:val="000000" w:themeColor="text1"/>
        </w:rPr>
        <w:t>observations on these maps are:</w:t>
      </w:r>
    </w:p>
    <w:p w14:paraId="3DDE2A4B" w14:textId="049F6F94" w:rsidR="00AA51C3" w:rsidRPr="00EC0229" w:rsidRDefault="00AA51C3" w:rsidP="00387063">
      <w:pPr>
        <w:pStyle w:val="NoSpacing"/>
        <w:numPr>
          <w:ilvl w:val="0"/>
          <w:numId w:val="6"/>
        </w:numPr>
        <w:spacing w:line="360" w:lineRule="auto"/>
        <w:rPr>
          <w:color w:val="FF0000"/>
        </w:rPr>
      </w:pPr>
      <w:r w:rsidRPr="00EC0229">
        <w:rPr>
          <w:color w:val="000000" w:themeColor="text1"/>
        </w:rPr>
        <w:t>Gold</w:t>
      </w:r>
      <w:r w:rsidRPr="00EC0229">
        <w:rPr>
          <w:color w:val="000000" w:themeColor="text1"/>
        </w:rPr>
        <w:fldChar w:fldCharType="begin"/>
      </w:r>
      <w:r w:rsidRPr="00EC0229">
        <w:instrText xml:space="preserve"> XE "</w:instrText>
      </w:r>
      <w:r w:rsidRPr="00EC0229">
        <w:rPr>
          <w:rStyle w:val="Hyperlink"/>
          <w:rFonts w:cs="Times New Roman"/>
          <w:noProof/>
          <w:u w:val="none"/>
        </w:rPr>
        <w:instrText>Gold</w:instrText>
      </w:r>
      <w:r w:rsidRPr="00EC0229">
        <w:instrText xml:space="preserve">" </w:instrText>
      </w:r>
      <w:r w:rsidRPr="00EC0229">
        <w:rPr>
          <w:color w:val="000000" w:themeColor="text1"/>
        </w:rPr>
        <w:fldChar w:fldCharType="end"/>
      </w:r>
      <w:r w:rsidRPr="00EC0229">
        <w:rPr>
          <w:color w:val="000000" w:themeColor="text1"/>
        </w:rPr>
        <w:t xml:space="preserve">, </w:t>
      </w:r>
      <w:r w:rsidRPr="00EC0229">
        <w:rPr>
          <w:i/>
        </w:rPr>
        <w:t>Map</w:t>
      </w:r>
      <w:r w:rsidRPr="00EC0229">
        <w:rPr>
          <w:i/>
        </w:rPr>
        <w:fldChar w:fldCharType="begin"/>
      </w:r>
      <w:r w:rsidRPr="00EC0229">
        <w:instrText xml:space="preserve"> XE "</w:instrText>
      </w:r>
      <w:r w:rsidRPr="00EC0229">
        <w:rPr>
          <w:noProof/>
        </w:rPr>
        <w:instrText>Map</w:instrText>
      </w:r>
      <w:r w:rsidRPr="00EC0229">
        <w:instrText xml:space="preserve">" </w:instrText>
      </w:r>
      <w:r w:rsidRPr="00EC0229">
        <w:rPr>
          <w:i/>
        </w:rPr>
        <w:fldChar w:fldCharType="end"/>
      </w:r>
      <w:r w:rsidRPr="00EC0229">
        <w:rPr>
          <w:i/>
        </w:rPr>
        <w:t xml:space="preserve"> </w:t>
      </w:r>
      <w:r w:rsidR="004048E5" w:rsidRPr="00EC0229">
        <w:rPr>
          <w:i/>
        </w:rPr>
        <w:t>7.02</w:t>
      </w:r>
      <w:r w:rsidRPr="00EC0229">
        <w:t>.</w:t>
      </w:r>
      <w:r w:rsidR="00497AC3" w:rsidRPr="00EC0229">
        <w:rPr>
          <w:color w:val="000000" w:themeColor="text1"/>
        </w:rPr>
        <w:t xml:space="preserve"> </w:t>
      </w:r>
      <w:r w:rsidR="009A3EEF" w:rsidRPr="00EC0229">
        <w:rPr>
          <w:i/>
          <w:color w:val="000000" w:themeColor="text1"/>
        </w:rPr>
        <w:t>Database 1</w:t>
      </w:r>
      <w:r w:rsidRPr="00EC0229">
        <w:rPr>
          <w:color w:val="000000" w:themeColor="text1"/>
        </w:rPr>
        <w:t xml:space="preserve"> does not fully represent known imported gold</w:t>
      </w:r>
      <w:r w:rsidRPr="00EC0229">
        <w:rPr>
          <w:color w:val="000000" w:themeColor="text1"/>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color w:val="000000" w:themeColor="text1"/>
        </w:rPr>
        <w:fldChar w:fldCharType="end"/>
      </w:r>
      <w:r w:rsidRPr="00EC0229">
        <w:rPr>
          <w:color w:val="000000" w:themeColor="text1"/>
        </w:rPr>
        <w:t xml:space="preserve"> and York</w:t>
      </w:r>
      <w:r w:rsidRPr="00EC0229">
        <w:rPr>
          <w:color w:val="000000" w:themeColor="text1"/>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color w:val="000000" w:themeColor="text1"/>
        </w:rPr>
        <w:fldChar w:fldCharType="end"/>
      </w:r>
      <w:r w:rsidRPr="00EC0229">
        <w:rPr>
          <w:color w:val="000000" w:themeColor="text1"/>
        </w:rPr>
        <w:t xml:space="preserve"> shillings.</w:t>
      </w:r>
      <w:r w:rsidRPr="00EC0229">
        <w:rPr>
          <w:rStyle w:val="FootnoteReference"/>
          <w:color w:val="000000" w:themeColor="text1"/>
        </w:rPr>
        <w:footnoteReference w:id="774"/>
      </w:r>
    </w:p>
    <w:p w14:paraId="0F09678D" w14:textId="76870870" w:rsidR="00AA51C3" w:rsidRPr="00EC0229" w:rsidRDefault="00AA51C3" w:rsidP="00387063">
      <w:pPr>
        <w:pStyle w:val="NoSpacing"/>
        <w:numPr>
          <w:ilvl w:val="0"/>
          <w:numId w:val="6"/>
        </w:numPr>
        <w:spacing w:line="360" w:lineRule="auto"/>
        <w:rPr>
          <w:color w:val="FF0000"/>
        </w:rPr>
      </w:pPr>
      <w:r w:rsidRPr="00EC0229">
        <w:rPr>
          <w:color w:val="000000" w:themeColor="text1"/>
        </w:rPr>
        <w:t xml:space="preserve">Northumbrian sceats, </w:t>
      </w:r>
      <w:r w:rsidRPr="00EC0229">
        <w:rPr>
          <w:i/>
        </w:rPr>
        <w:t>Map</w:t>
      </w:r>
      <w:r w:rsidRPr="00EC0229">
        <w:rPr>
          <w:i/>
        </w:rPr>
        <w:fldChar w:fldCharType="begin"/>
      </w:r>
      <w:r w:rsidRPr="00EC0229">
        <w:instrText xml:space="preserve"> XE "</w:instrText>
      </w:r>
      <w:r w:rsidRPr="00EC0229">
        <w:rPr>
          <w:noProof/>
        </w:rPr>
        <w:instrText>Map</w:instrText>
      </w:r>
      <w:r w:rsidRPr="00EC0229">
        <w:instrText xml:space="preserve">" </w:instrText>
      </w:r>
      <w:r w:rsidRPr="00EC0229">
        <w:rPr>
          <w:i/>
        </w:rPr>
        <w:fldChar w:fldCharType="end"/>
      </w:r>
      <w:r w:rsidRPr="00EC0229">
        <w:rPr>
          <w:i/>
        </w:rPr>
        <w:t xml:space="preserve"> </w:t>
      </w:r>
      <w:r w:rsidR="004048E5" w:rsidRPr="00EC0229">
        <w:rPr>
          <w:i/>
        </w:rPr>
        <w:t>7.03</w:t>
      </w:r>
      <w:r w:rsidR="00497AC3" w:rsidRPr="00EC0229">
        <w:rPr>
          <w:color w:val="000000" w:themeColor="text1"/>
        </w:rPr>
        <w:t xml:space="preserve">. Again, </w:t>
      </w:r>
      <w:r w:rsidR="009A3EEF" w:rsidRPr="00EC0229">
        <w:rPr>
          <w:i/>
          <w:color w:val="000000" w:themeColor="text1"/>
        </w:rPr>
        <w:t>Database 1</w:t>
      </w:r>
      <w:r w:rsidRPr="00EC0229">
        <w:rPr>
          <w:color w:val="000000" w:themeColor="text1"/>
        </w:rPr>
        <w:t xml:space="preserve"> does not fully represent the corpus of extant specimens. However, it suffices to demonstrate the circulation of Northumbrian types, especially in the Central Lowlands</w:t>
      </w:r>
      <w:r w:rsidRPr="00EC0229">
        <w:rPr>
          <w:color w:val="000000" w:themeColor="text1"/>
        </w:rPr>
        <w:fldChar w:fldCharType="begin"/>
      </w:r>
      <w:r w:rsidRPr="00EC0229">
        <w:instrText xml:space="preserve"> XE "Central Lowlands" </w:instrText>
      </w:r>
      <w:r w:rsidRPr="00EC0229">
        <w:rPr>
          <w:color w:val="000000" w:themeColor="text1"/>
        </w:rPr>
        <w:fldChar w:fldCharType="end"/>
      </w:r>
      <w:r w:rsidRPr="00EC0229">
        <w:rPr>
          <w:color w:val="000000" w:themeColor="text1"/>
        </w:rPr>
        <w:t>, Vale</w:t>
      </w:r>
      <w:r w:rsidRPr="00EC0229">
        <w:rPr>
          <w:color w:val="000000" w:themeColor="text1"/>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color w:val="000000" w:themeColor="text1"/>
        </w:rPr>
        <w:fldChar w:fldCharType="end"/>
      </w:r>
      <w:r w:rsidRPr="00EC0229">
        <w:rPr>
          <w:color w:val="000000" w:themeColor="text1"/>
        </w:rPr>
        <w:t xml:space="preserve"> of Pickering, the Wolds</w:t>
      </w:r>
      <w:r w:rsidRPr="00EC0229">
        <w:rPr>
          <w:color w:val="000000" w:themeColor="text1"/>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color w:val="000000" w:themeColor="text1"/>
        </w:rPr>
        <w:fldChar w:fldCharType="end"/>
      </w:r>
      <w:r w:rsidRPr="00EC0229">
        <w:rPr>
          <w:color w:val="000000" w:themeColor="text1"/>
        </w:rPr>
        <w:t xml:space="preserve"> and coastal sites from the Firth of Forth to Hamwic</w:t>
      </w:r>
      <w:r w:rsidRPr="00EC0229">
        <w:rPr>
          <w:color w:val="000000" w:themeColor="text1"/>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color w:val="000000" w:themeColor="text1"/>
        </w:rPr>
        <w:fldChar w:fldCharType="end"/>
      </w:r>
      <w:r w:rsidRPr="00EC0229">
        <w:rPr>
          <w:color w:val="000000" w:themeColor="text1"/>
        </w:rPr>
        <w:t xml:space="preserve">. Lincolnshire is well represented but more southerly finds are </w:t>
      </w:r>
      <w:r w:rsidR="00D737AF" w:rsidRPr="00EC0229">
        <w:rPr>
          <w:color w:val="000000" w:themeColor="text1"/>
        </w:rPr>
        <w:t>few</w:t>
      </w:r>
      <w:r w:rsidRPr="00EC0229">
        <w:rPr>
          <w:color w:val="000000" w:themeColor="text1"/>
        </w:rPr>
        <w:t>.</w:t>
      </w:r>
    </w:p>
    <w:p w14:paraId="76D639B3" w14:textId="240D52E3" w:rsidR="00AA51C3" w:rsidRPr="00EC0229" w:rsidRDefault="00AA51C3" w:rsidP="00387063">
      <w:pPr>
        <w:pStyle w:val="NoSpacing"/>
        <w:numPr>
          <w:ilvl w:val="0"/>
          <w:numId w:val="6"/>
        </w:numPr>
        <w:spacing w:line="360" w:lineRule="auto"/>
        <w:rPr>
          <w:color w:val="FF0000"/>
        </w:rPr>
      </w:pPr>
      <w:r w:rsidRPr="00EC0229">
        <w:rPr>
          <w:color w:val="000000" w:themeColor="text1"/>
        </w:rPr>
        <w:t xml:space="preserve">Southumbrian sceats found north of the Humber, </w:t>
      </w:r>
      <w:r w:rsidRPr="00EC0229">
        <w:rPr>
          <w:i/>
        </w:rPr>
        <w:t>Map</w:t>
      </w:r>
      <w:r w:rsidRPr="00EC0229">
        <w:rPr>
          <w:i/>
        </w:rPr>
        <w:fldChar w:fldCharType="begin"/>
      </w:r>
      <w:r w:rsidRPr="00EC0229">
        <w:instrText xml:space="preserve"> XE "</w:instrText>
      </w:r>
      <w:r w:rsidRPr="00EC0229">
        <w:rPr>
          <w:noProof/>
        </w:rPr>
        <w:instrText>Map</w:instrText>
      </w:r>
      <w:r w:rsidRPr="00EC0229">
        <w:instrText xml:space="preserve">" </w:instrText>
      </w:r>
      <w:r w:rsidRPr="00EC0229">
        <w:rPr>
          <w:i/>
        </w:rPr>
        <w:fldChar w:fldCharType="end"/>
      </w:r>
      <w:r w:rsidRPr="00EC0229">
        <w:rPr>
          <w:i/>
        </w:rPr>
        <w:t xml:space="preserve"> </w:t>
      </w:r>
      <w:r w:rsidR="004048E5" w:rsidRPr="00EC0229">
        <w:rPr>
          <w:i/>
        </w:rPr>
        <w:t>7.04</w:t>
      </w:r>
      <w:r w:rsidRPr="00EC0229">
        <w:rPr>
          <w:color w:val="000000" w:themeColor="text1"/>
        </w:rPr>
        <w:t>. These form a similar distribution to local issues as would be expect</w:t>
      </w:r>
      <w:r w:rsidR="00D737AF" w:rsidRPr="00EC0229">
        <w:rPr>
          <w:color w:val="000000" w:themeColor="text1"/>
        </w:rPr>
        <w:t>ed - economic activity continued</w:t>
      </w:r>
      <w:r w:rsidRPr="00EC0229">
        <w:rPr>
          <w:color w:val="000000" w:themeColor="text1"/>
        </w:rPr>
        <w:t xml:space="preserve"> in similar locales</w:t>
      </w:r>
      <w:r w:rsidR="00D737AF" w:rsidRPr="00EC0229">
        <w:rPr>
          <w:color w:val="000000" w:themeColor="text1"/>
        </w:rPr>
        <w:t xml:space="preserve"> using a well-mixed coinage</w:t>
      </w:r>
      <w:r w:rsidRPr="00EC0229">
        <w:rPr>
          <w:color w:val="000000" w:themeColor="text1"/>
        </w:rPr>
        <w:t>.</w:t>
      </w:r>
    </w:p>
    <w:p w14:paraId="1370920C" w14:textId="53F2234C" w:rsidR="00AA51C3" w:rsidRPr="00EC0229" w:rsidRDefault="00AA51C3" w:rsidP="00387063">
      <w:pPr>
        <w:pStyle w:val="NoSpacing"/>
        <w:numPr>
          <w:ilvl w:val="0"/>
          <w:numId w:val="6"/>
        </w:numPr>
        <w:spacing w:line="360" w:lineRule="auto"/>
        <w:rPr>
          <w:color w:val="FF0000"/>
        </w:rPr>
      </w:pPr>
      <w:r w:rsidRPr="00EC0229">
        <w:rPr>
          <w:color w:val="000000" w:themeColor="text1"/>
        </w:rPr>
        <w:t xml:space="preserve">Stycas, </w:t>
      </w:r>
      <w:r w:rsidRPr="00EC0229">
        <w:rPr>
          <w:i/>
        </w:rPr>
        <w:t>Map</w:t>
      </w:r>
      <w:r w:rsidRPr="00EC0229">
        <w:rPr>
          <w:i/>
        </w:rPr>
        <w:fldChar w:fldCharType="begin"/>
      </w:r>
      <w:r w:rsidRPr="00EC0229">
        <w:instrText xml:space="preserve"> XE "</w:instrText>
      </w:r>
      <w:r w:rsidRPr="00EC0229">
        <w:rPr>
          <w:noProof/>
        </w:rPr>
        <w:instrText>Map</w:instrText>
      </w:r>
      <w:r w:rsidRPr="00EC0229">
        <w:instrText xml:space="preserve">" </w:instrText>
      </w:r>
      <w:r w:rsidRPr="00EC0229">
        <w:rPr>
          <w:i/>
        </w:rPr>
        <w:fldChar w:fldCharType="end"/>
      </w:r>
      <w:r w:rsidRPr="00EC0229">
        <w:rPr>
          <w:i/>
        </w:rPr>
        <w:t xml:space="preserve"> 2</w:t>
      </w:r>
      <w:r w:rsidR="004048E5" w:rsidRPr="00EC0229">
        <w:rPr>
          <w:i/>
        </w:rPr>
        <w:t>.06</w:t>
      </w:r>
      <w:r w:rsidRPr="00EC0229">
        <w:t xml:space="preserve">. </w:t>
      </w:r>
      <w:r w:rsidRPr="00EC0229">
        <w:rPr>
          <w:color w:val="000000" w:themeColor="text1"/>
        </w:rPr>
        <w:t>Coverage is much more widespread than expected implying that stycas may plausibly have been used as small change despite the absence of mixed hoards. However, other than Viking</w:t>
      </w:r>
      <w:r w:rsidRPr="00EC0229">
        <w:rPr>
          <w:color w:val="000000" w:themeColor="text1"/>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color w:val="000000" w:themeColor="text1"/>
        </w:rPr>
        <w:fldChar w:fldCharType="end"/>
      </w:r>
      <w:r w:rsidRPr="00EC0229">
        <w:rPr>
          <w:color w:val="000000" w:themeColor="text1"/>
        </w:rPr>
        <w:t xml:space="preserve"> sites and small multiple finds in the Lincolnshire Wolds</w:t>
      </w:r>
      <w:r w:rsidRPr="00EC0229">
        <w:rPr>
          <w:color w:val="000000" w:themeColor="text1"/>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color w:val="000000" w:themeColor="text1"/>
        </w:rPr>
        <w:fldChar w:fldCharType="end"/>
      </w:r>
      <w:r w:rsidRPr="00EC0229">
        <w:rPr>
          <w:color w:val="000000" w:themeColor="text1"/>
        </w:rPr>
        <w:t xml:space="preserve">, all </w:t>
      </w:r>
      <w:r w:rsidR="00572E51" w:rsidRPr="00EC0229">
        <w:rPr>
          <w:color w:val="000000" w:themeColor="text1"/>
        </w:rPr>
        <w:t>Southumbria</w:t>
      </w:r>
      <w:r w:rsidRPr="00EC0229">
        <w:rPr>
          <w:color w:val="000000" w:themeColor="text1"/>
        </w:rPr>
        <w:t>n styca finds are singletons</w:t>
      </w:r>
      <w:r w:rsidR="00D43F9B" w:rsidRPr="00EC0229">
        <w:rPr>
          <w:color w:val="000000" w:themeColor="text1"/>
        </w:rPr>
        <w:t>.</w:t>
      </w:r>
    </w:p>
    <w:p w14:paraId="609FA050" w14:textId="010807B5" w:rsidR="00AA51C3" w:rsidRPr="00EC0229" w:rsidRDefault="00AA51C3" w:rsidP="00387063">
      <w:pPr>
        <w:pStyle w:val="NoSpacing"/>
        <w:numPr>
          <w:ilvl w:val="0"/>
          <w:numId w:val="6"/>
        </w:numPr>
        <w:spacing w:line="360" w:lineRule="auto"/>
        <w:rPr>
          <w:color w:val="FF0000"/>
        </w:rPr>
      </w:pPr>
      <w:r w:rsidRPr="00EC0229">
        <w:lastRenderedPageBreak/>
        <w:t>Bude’s distribution of sceats of Eadberht</w:t>
      </w:r>
      <w:r w:rsidRPr="00EC0229">
        <w:fldChar w:fldCharType="begin"/>
      </w:r>
      <w:r w:rsidRPr="00EC0229">
        <w:instrText xml:space="preserve"> XE "Eadberht" </w:instrText>
      </w:r>
      <w:r w:rsidRPr="00EC0229">
        <w:fldChar w:fldCharType="end"/>
      </w:r>
      <w:r w:rsidRPr="00EC0229">
        <w:t xml:space="preserve">, </w:t>
      </w:r>
      <w:r w:rsidRPr="00EC0229">
        <w:rPr>
          <w:i/>
        </w:rPr>
        <w:t>Map</w:t>
      </w:r>
      <w:r w:rsidRPr="00EC0229">
        <w:rPr>
          <w:i/>
        </w:rPr>
        <w:fldChar w:fldCharType="begin"/>
      </w:r>
      <w:r w:rsidRPr="00EC0229">
        <w:instrText xml:space="preserve"> XE "</w:instrText>
      </w:r>
      <w:r w:rsidRPr="00EC0229">
        <w:rPr>
          <w:noProof/>
        </w:rPr>
        <w:instrText>Map</w:instrText>
      </w:r>
      <w:r w:rsidRPr="00EC0229">
        <w:instrText xml:space="preserve">" </w:instrText>
      </w:r>
      <w:r w:rsidRPr="00EC0229">
        <w:rPr>
          <w:i/>
        </w:rPr>
        <w:fldChar w:fldCharType="end"/>
      </w:r>
      <w:r w:rsidRPr="00EC0229">
        <w:rPr>
          <w:i/>
        </w:rPr>
        <w:t xml:space="preserve"> </w:t>
      </w:r>
      <w:r w:rsidR="004048E5" w:rsidRPr="00EC0229">
        <w:rPr>
          <w:i/>
        </w:rPr>
        <w:t>7.05</w:t>
      </w:r>
      <w:r w:rsidRPr="00EC0229">
        <w:t xml:space="preserve">. The distribution is much narrower than may have been expected, possibly indicating </w:t>
      </w:r>
      <w:r w:rsidR="00572E51" w:rsidRPr="00EC0229">
        <w:t>Southumbria</w:t>
      </w:r>
      <w:r w:rsidRPr="00EC0229">
        <w:t>n recycling of Northumbrian specimens that may have been used in payment of imports to the north. The focal point is well to the east of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possibly biased by the constrained access to discovery in urban areas.</w:t>
      </w:r>
    </w:p>
    <w:p w14:paraId="66D6019D" w14:textId="3960808D" w:rsidR="00AA51C3" w:rsidRPr="00EC0229" w:rsidRDefault="00A97FCA" w:rsidP="00AA51C3">
      <w:pPr>
        <w:pStyle w:val="NoSpacing"/>
        <w:spacing w:line="360" w:lineRule="auto"/>
      </w:pPr>
      <w:r w:rsidRPr="00EC0229">
        <w:rPr>
          <w:i/>
        </w:rPr>
        <w:t xml:space="preserve">Map </w:t>
      </w:r>
      <w:r w:rsidR="004048E5" w:rsidRPr="00EC0229">
        <w:rPr>
          <w:i/>
        </w:rPr>
        <w:t>7.06</w:t>
      </w:r>
      <w:r w:rsidR="007E79DB" w:rsidRPr="00EC0229">
        <w:t xml:space="preserve"> shows all findspots in </w:t>
      </w:r>
      <w:r w:rsidR="007E79DB" w:rsidRPr="00EC0229">
        <w:rPr>
          <w:i/>
        </w:rPr>
        <w:t>D</w:t>
      </w:r>
      <w:r w:rsidRPr="00EC0229">
        <w:rPr>
          <w:i/>
        </w:rPr>
        <w:t>atabase 1.</w:t>
      </w:r>
    </w:p>
    <w:p w14:paraId="6A62C761" w14:textId="77777777" w:rsidR="00A97FCA" w:rsidRPr="00EC0229" w:rsidRDefault="00A97FCA" w:rsidP="00AA51C3">
      <w:pPr>
        <w:pStyle w:val="NoSpacing"/>
        <w:spacing w:line="360" w:lineRule="auto"/>
      </w:pPr>
    </w:p>
    <w:p w14:paraId="10EB345C" w14:textId="31DD8DEB" w:rsidR="00B50049" w:rsidRPr="007A3166" w:rsidRDefault="00736C9E" w:rsidP="00AA51C3">
      <w:pPr>
        <w:pStyle w:val="Heading4"/>
        <w:spacing w:line="360" w:lineRule="auto"/>
        <w:rPr>
          <w:b/>
        </w:rPr>
      </w:pPr>
      <w:bookmarkStart w:id="500" w:name="SourceAnalysis"/>
      <w:bookmarkStart w:id="501" w:name="_Toc468266846"/>
      <w:bookmarkEnd w:id="500"/>
      <w:r>
        <w:rPr>
          <w:b/>
        </w:rPr>
        <w:t>7.3.3</w:t>
      </w:r>
      <w:r>
        <w:rPr>
          <w:b/>
        </w:rPr>
        <w:tab/>
      </w:r>
      <w:r w:rsidR="00AA51C3" w:rsidRPr="007A3166">
        <w:rPr>
          <w:rStyle w:val="Heading4Char"/>
          <w:b/>
          <w:iCs/>
        </w:rPr>
        <w:t>Source</w:t>
      </w:r>
      <w:r w:rsidR="00AA51C3" w:rsidRPr="007A3166">
        <w:rPr>
          <w:rStyle w:val="Heading4Char"/>
          <w:b/>
        </w:rPr>
        <w:t xml:space="preserve"> </w:t>
      </w:r>
      <w:r w:rsidR="00AA51C3" w:rsidRPr="007A3166">
        <w:rPr>
          <w:rStyle w:val="Heading4Char"/>
          <w:b/>
          <w:iCs/>
        </w:rPr>
        <w:t>Analysis</w:t>
      </w:r>
      <w:bookmarkEnd w:id="501"/>
      <w:r w:rsidR="00AA51C3" w:rsidRPr="007A3166">
        <w:rPr>
          <w:b/>
        </w:rPr>
        <w:t xml:space="preserve"> </w:t>
      </w:r>
    </w:p>
    <w:p w14:paraId="5DCA199C" w14:textId="42598BB7" w:rsidR="00AA51C3" w:rsidRPr="00EC0229" w:rsidRDefault="00AA51C3" w:rsidP="006C2237">
      <w:pPr>
        <w:spacing w:line="360" w:lineRule="auto"/>
        <w:rPr>
          <w:rFonts w:cs="Times New Roman"/>
          <w:color w:val="000000" w:themeColor="text1"/>
          <w:szCs w:val="24"/>
        </w:rPr>
      </w:pPr>
      <w:r w:rsidRPr="00EC0229">
        <w:rPr>
          <w:rFonts w:cs="Times New Roman"/>
          <w:color w:val="000000" w:themeColor="text1"/>
          <w:szCs w:val="24"/>
        </w:rPr>
        <w:t xml:space="preserve">As a potential signifier of the reach of domestic and Continental trading relationships, it is helpful to </w:t>
      </w:r>
      <w:r w:rsidR="008F2C8F">
        <w:rPr>
          <w:rFonts w:cs="Times New Roman"/>
          <w:color w:val="000000" w:themeColor="text1"/>
          <w:szCs w:val="24"/>
        </w:rPr>
        <w:t>identify</w:t>
      </w:r>
      <w:r w:rsidR="008F2C8F" w:rsidRPr="00EC0229">
        <w:rPr>
          <w:rFonts w:cs="Times New Roman"/>
          <w:color w:val="000000" w:themeColor="text1"/>
          <w:szCs w:val="24"/>
        </w:rPr>
        <w:t xml:space="preserve"> </w:t>
      </w:r>
      <w:r w:rsidRPr="00EC0229">
        <w:rPr>
          <w:rFonts w:cs="Times New Roman"/>
          <w:color w:val="000000" w:themeColor="text1"/>
          <w:szCs w:val="24"/>
        </w:rPr>
        <w:t>the assumed source of coins recovered. Metcalf</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pioneered distribution analysis in this field and numismatics is indebted to his perceptive and diligent </w:t>
      </w:r>
      <w:r w:rsidR="003A053E" w:rsidRPr="00EC0229">
        <w:rPr>
          <w:rFonts w:cs="Times New Roman"/>
          <w:color w:val="000000" w:themeColor="text1"/>
          <w:szCs w:val="24"/>
        </w:rPr>
        <w:t xml:space="preserve">interpretation </w:t>
      </w:r>
      <w:r w:rsidRPr="00EC0229">
        <w:rPr>
          <w:rFonts w:cs="Times New Roman"/>
          <w:color w:val="000000" w:themeColor="text1"/>
          <w:szCs w:val="24"/>
        </w:rPr>
        <w:t>of finds</w:t>
      </w:r>
      <w:r w:rsidR="006C2237" w:rsidRPr="00EC0229">
        <w:rPr>
          <w:rFonts w:cs="Times New Roman"/>
          <w:color w:val="000000" w:themeColor="text1"/>
          <w:szCs w:val="24"/>
        </w:rPr>
        <w:t xml:space="preserve">, </w:t>
      </w:r>
      <w:r w:rsidR="006C2237" w:rsidRPr="00EC0229">
        <w:t>(</w:t>
      </w:r>
      <w:r w:rsidR="006C2237" w:rsidRPr="00EC0229">
        <w:rPr>
          <w:i/>
        </w:rPr>
        <w:t>Tables 7.18-7.19</w:t>
      </w:r>
      <w:r w:rsidR="006C2237" w:rsidRPr="00EC0229">
        <w:t>)</w:t>
      </w:r>
      <w:r w:rsidR="006C2237" w:rsidRPr="00EC0229">
        <w:fldChar w:fldCharType="begin"/>
      </w:r>
      <w:r w:rsidR="006C2237" w:rsidRPr="00EC0229">
        <w:instrText xml:space="preserve"> XE "</w:instrText>
      </w:r>
      <w:r w:rsidR="006C2237" w:rsidRPr="00EC0229">
        <w:rPr>
          <w:rStyle w:val="Hyperlink"/>
          <w:noProof/>
          <w:u w:val="none"/>
        </w:rPr>
        <w:instrText>Source Analysis</w:instrText>
      </w:r>
      <w:r w:rsidR="006C2237" w:rsidRPr="00EC0229">
        <w:instrText xml:space="preserve">" </w:instrText>
      </w:r>
      <w:r w:rsidR="006C2237" w:rsidRPr="00EC0229">
        <w:fldChar w:fldCharType="end"/>
      </w:r>
      <w:r w:rsidRPr="00EC0229">
        <w:rPr>
          <w:rFonts w:cs="Times New Roman"/>
          <w:color w:val="000000" w:themeColor="text1"/>
          <w:szCs w:val="24"/>
        </w:rPr>
        <w:t>. While some of his work remains speculative, it is secure enough to use as the basis for allotting finds to original sources with the caveat that a worn coin will not have made a direct journey from origin to loss. It is the mix of varieties in the locally circulating medium which indicates the reach and vibrancy of commerce – this is clear at Sledmere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Hamwic</w:t>
      </w:r>
      <w:r w:rsidRPr="00EC0229">
        <w:rPr>
          <w:rFonts w:cs="Times New Roman"/>
          <w:color w:val="000000" w:themeColor="text1"/>
          <w:szCs w:val="24"/>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whereas both volume and mix are less convincing at, for example, Fishergate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the Vale of Pickering</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Vale of Pickering</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w:t>
      </w:r>
    </w:p>
    <w:p w14:paraId="15A77878" w14:textId="77777777" w:rsidR="009F0A45" w:rsidRDefault="009F0A45" w:rsidP="009F0A45">
      <w:pPr>
        <w:pStyle w:val="NoSpacing"/>
        <w:spacing w:line="360" w:lineRule="auto"/>
      </w:pPr>
    </w:p>
    <w:p w14:paraId="20AB3DF3" w14:textId="615857B9" w:rsidR="009F0A45" w:rsidRPr="00EC0229" w:rsidRDefault="009F0A45" w:rsidP="009F0A45">
      <w:pPr>
        <w:pStyle w:val="NoSpacing"/>
        <w:spacing w:line="360" w:lineRule="auto"/>
        <w:rPr>
          <w:sz w:val="16"/>
          <w:szCs w:val="16"/>
        </w:rPr>
      </w:pPr>
      <w:r w:rsidRPr="00EC0229">
        <w:t>Dirhams and Carolingian</w:t>
      </w:r>
      <w:r w:rsidRPr="00EC0229">
        <w:fldChar w:fldCharType="begin"/>
      </w:r>
      <w:r w:rsidRPr="00EC0229">
        <w:instrText xml:space="preserve"> XE "</w:instrText>
      </w:r>
      <w:r w:rsidRPr="00EC0229">
        <w:rPr>
          <w:rFonts w:cs="Times New Roman"/>
          <w:szCs w:val="24"/>
        </w:rPr>
        <w:instrText>Carolingian</w:instrText>
      </w:r>
      <w:r w:rsidRPr="00EC0229">
        <w:instrText xml:space="preserve">" </w:instrText>
      </w:r>
      <w:r w:rsidRPr="00EC0229">
        <w:fldChar w:fldCharType="end"/>
      </w:r>
      <w:r w:rsidRPr="00EC0229">
        <w:t xml:space="preserve">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and silver coins are here treated as occasional </w:t>
      </w:r>
      <w:r w:rsidRPr="00EC0229">
        <w:rPr>
          <w:i/>
        </w:rPr>
        <w:t>intrusions</w:t>
      </w:r>
      <w:r w:rsidRPr="00EC0229">
        <w:t xml:space="preserve"> rather than as an intrinsic part of the currency. Dirhams, being easily fragmented were part of the bullion</w:t>
      </w:r>
      <w:r w:rsidRPr="00EC0229">
        <w:fldChar w:fldCharType="begin"/>
      </w:r>
      <w:r w:rsidRPr="00EC0229">
        <w:instrText xml:space="preserve"> XE "</w:instrText>
      </w:r>
      <w:r w:rsidRPr="00EC0229">
        <w:rPr>
          <w:rFonts w:cs="Times New Roman"/>
          <w:szCs w:val="24"/>
        </w:rPr>
        <w:instrText>bullion</w:instrText>
      </w:r>
      <w:r w:rsidRPr="00EC0229">
        <w:instrText xml:space="preserve">" </w:instrText>
      </w:r>
      <w:r w:rsidRPr="00EC0229">
        <w:fldChar w:fldCharType="end"/>
      </w:r>
      <w:r w:rsidRPr="00EC0229">
        <w:t xml:space="preserve"> economy</w:t>
      </w:r>
      <w:r w:rsidRPr="00EC0229">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fldChar w:fldCharType="end"/>
      </w:r>
      <w:r w:rsidRPr="00EC0229">
        <w:t xml:space="preserve"> rather than being used for small change – they are fragmented far too irregularly for this. However, the picture on imitative solidi of Louis the Pious</w:t>
      </w:r>
      <w:r w:rsidRPr="00EC0229">
        <w:fldChar w:fldCharType="begin"/>
      </w:r>
      <w:r w:rsidRPr="00EC0229">
        <w:instrText xml:space="preserve"> XE "</w:instrText>
      </w:r>
      <w:r w:rsidRPr="00EC0229">
        <w:rPr>
          <w:rFonts w:eastAsia="Times New Roman" w:cs="Times New Roman"/>
          <w:szCs w:val="24"/>
          <w:lang w:eastAsia="en-GB"/>
        </w:rPr>
        <w:instrText>Louis the Pious</w:instrText>
      </w:r>
      <w:r w:rsidRPr="00EC0229">
        <w:instrText xml:space="preserve">" </w:instrText>
      </w:r>
      <w:r w:rsidRPr="00EC0229">
        <w:fldChar w:fldCharType="end"/>
      </w:r>
      <w:r w:rsidRPr="00EC0229">
        <w:t>,</w:t>
      </w:r>
      <w:r w:rsidRPr="00EC0229">
        <w:rPr>
          <w:rStyle w:val="FootnoteReference"/>
        </w:rPr>
        <w:footnoteReference w:id="775"/>
      </w:r>
      <w:r w:rsidRPr="00EC0229">
        <w:t xml:space="preserve"> should be revised in view of the lead test piece found at Torksey </w:t>
      </w:r>
      <w:r w:rsidRPr="00EC0229">
        <w:rPr>
          <w:szCs w:val="24"/>
        </w:rPr>
        <w:t>(</w:t>
      </w:r>
      <w:r w:rsidRPr="00EC0229">
        <w:rPr>
          <w:szCs w:val="24"/>
        </w:rPr>
        <w:fldChar w:fldCharType="begin"/>
      </w:r>
      <w:r w:rsidRPr="00EC0229">
        <w:rPr>
          <w:szCs w:val="24"/>
        </w:rPr>
        <w:instrText xml:space="preserve"> REF _Ref430245940 \h  \* MERGEFORMAT </w:instrText>
      </w:r>
      <w:r w:rsidRPr="00EC0229">
        <w:rPr>
          <w:szCs w:val="24"/>
        </w:rPr>
      </w:r>
      <w:r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171</w:t>
      </w:r>
      <w:r w:rsidRPr="00EC0229">
        <w:rPr>
          <w:szCs w:val="24"/>
        </w:rPr>
        <w:fldChar w:fldCharType="end"/>
      </w:r>
      <w:r w:rsidRPr="00EC0229">
        <w:rPr>
          <w:szCs w:val="24"/>
        </w:rPr>
        <w:t xml:space="preserve">, </w:t>
      </w:r>
      <w:r w:rsidRPr="00EC0229">
        <w:rPr>
          <w:i/>
          <w:szCs w:val="24"/>
        </w:rPr>
        <w:fldChar w:fldCharType="begin"/>
      </w:r>
      <w:r w:rsidRPr="00EC0229">
        <w:rPr>
          <w:i/>
          <w:szCs w:val="24"/>
        </w:rPr>
        <w:instrText xml:space="preserve"> REF _Ref430245949 \h  \* MERGEFORMAT </w:instrText>
      </w:r>
      <w:r w:rsidRPr="00EC0229">
        <w:rPr>
          <w:i/>
          <w:szCs w:val="24"/>
        </w:rPr>
      </w:r>
      <w:r w:rsidRPr="00EC0229">
        <w:rPr>
          <w:i/>
          <w:szCs w:val="24"/>
        </w:rPr>
        <w:fldChar w:fldCharType="separate"/>
      </w:r>
      <w:r w:rsidR="0012026B" w:rsidRPr="0012026B">
        <w:rPr>
          <w:i/>
          <w:noProof/>
          <w:szCs w:val="24"/>
        </w:rPr>
        <w:t>Figure</w:t>
      </w:r>
      <w:r w:rsidR="0012026B" w:rsidRPr="0012026B">
        <w:rPr>
          <w:noProof/>
          <w:szCs w:val="24"/>
        </w:rPr>
        <w:t xml:space="preserve"> 172</w:t>
      </w:r>
      <w:r w:rsidRPr="00EC0229">
        <w:rPr>
          <w:szCs w:val="24"/>
        </w:rPr>
        <w:fldChar w:fldCharType="end"/>
      </w:r>
      <w:r w:rsidRPr="00EC0229">
        <w:rPr>
          <w:szCs w:val="24"/>
        </w:rPr>
        <w:t xml:space="preserve">). </w:t>
      </w:r>
      <w:r w:rsidRPr="00EC0229">
        <w:t xml:space="preserve">There must be a strong suspicion that these were local imitations and there is a case for allocating them a distinct place in the periodic table,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5.04</w:t>
      </w:r>
      <w:r w:rsidRPr="00EC0229">
        <w:t>. Moreover, were it the case that they were intentionally made for exchange purposes, then they form part of the process of monetization</w:t>
      </w:r>
      <w:r w:rsidRPr="00EC0229">
        <w:fldChar w:fldCharType="begin"/>
      </w:r>
      <w:r w:rsidRPr="00EC0229">
        <w:instrText xml:space="preserve"> XE "monetization" </w:instrText>
      </w:r>
      <w:r w:rsidRPr="00EC0229">
        <w:fldChar w:fldCharType="end"/>
      </w:r>
      <w:r w:rsidRPr="00EC0229">
        <w:t>.</w:t>
      </w:r>
    </w:p>
    <w:p w14:paraId="2D45531C" w14:textId="77777777" w:rsidR="00AA51C3" w:rsidRPr="00EC0229" w:rsidRDefault="00AA51C3" w:rsidP="00AA51C3">
      <w:pPr>
        <w:pStyle w:val="NoSpacing"/>
        <w:spacing w:line="360" w:lineRule="auto"/>
        <w:rPr>
          <w:rFonts w:cs="Times New Roman"/>
          <w:color w:val="000000" w:themeColor="text1"/>
          <w:szCs w:val="24"/>
        </w:rPr>
      </w:pPr>
    </w:p>
    <w:p w14:paraId="5792200E" w14:textId="6D9EF508" w:rsidR="00AA51C3" w:rsidRPr="00EC0229" w:rsidRDefault="00103FB3" w:rsidP="00AA51C3">
      <w:pPr>
        <w:pStyle w:val="NoSpacing"/>
        <w:spacing w:line="360" w:lineRule="auto"/>
        <w:rPr>
          <w:rFonts w:cs="Times New Roman"/>
          <w:color w:val="000000" w:themeColor="text1"/>
          <w:szCs w:val="24"/>
        </w:rPr>
      </w:pPr>
      <w:r>
        <w:rPr>
          <w:rFonts w:cs="Times New Roman"/>
          <w:i/>
          <w:color w:val="000000" w:themeColor="text1"/>
          <w:szCs w:val="24"/>
        </w:rPr>
        <w:t>Dataset</w:t>
      </w:r>
      <w:r w:rsidR="00AA51C3" w:rsidRPr="00EC0229">
        <w:rPr>
          <w:rFonts w:cs="Times New Roman"/>
          <w:i/>
          <w:color w:val="000000" w:themeColor="text1"/>
          <w:szCs w:val="24"/>
        </w:rPr>
        <w:t xml:space="preserve"> </w:t>
      </w:r>
      <w:r w:rsidR="006514F3" w:rsidRPr="00EC0229">
        <w:rPr>
          <w:rFonts w:cs="Times New Roman"/>
          <w:i/>
          <w:color w:val="000000" w:themeColor="text1"/>
          <w:szCs w:val="24"/>
        </w:rPr>
        <w:t>7.1</w:t>
      </w:r>
      <w:r w:rsidR="0068167C" w:rsidRPr="00EC0229">
        <w:rPr>
          <w:rFonts w:cs="Times New Roman"/>
          <w:i/>
          <w:color w:val="000000" w:themeColor="text1"/>
          <w:szCs w:val="24"/>
        </w:rPr>
        <w:t>7</w:t>
      </w:r>
      <w:r w:rsidR="006514F3" w:rsidRPr="00EC0229">
        <w:rPr>
          <w:rFonts w:cs="Times New Roman"/>
          <w:i/>
          <w:color w:val="000000" w:themeColor="text1"/>
          <w:szCs w:val="24"/>
        </w:rPr>
        <w:t xml:space="preserve"> </w:t>
      </w:r>
      <w:r w:rsidR="006514F3" w:rsidRPr="00EC0229">
        <w:rPr>
          <w:rFonts w:cs="Times New Roman"/>
          <w:color w:val="000000" w:themeColor="text1"/>
          <w:szCs w:val="24"/>
        </w:rPr>
        <w:t>(</w:t>
      </w:r>
      <w:r>
        <w:rPr>
          <w:rFonts w:cs="Times New Roman"/>
          <w:color w:val="000000" w:themeColor="text1"/>
          <w:szCs w:val="24"/>
        </w:rPr>
        <w:t>summarize</w:t>
      </w:r>
      <w:r w:rsidR="006514F3" w:rsidRPr="00EC0229">
        <w:rPr>
          <w:rFonts w:cs="Times New Roman"/>
          <w:color w:val="000000" w:themeColor="text1"/>
          <w:szCs w:val="24"/>
        </w:rPr>
        <w:t>d in</w:t>
      </w:r>
      <w:r w:rsidR="006514F3" w:rsidRPr="00EC0229">
        <w:rPr>
          <w:rFonts w:cs="Times New Roman"/>
          <w:i/>
          <w:color w:val="000000" w:themeColor="text1"/>
          <w:szCs w:val="24"/>
        </w:rPr>
        <w:t xml:space="preserve"> </w:t>
      </w:r>
      <w:r w:rsidR="001040C8">
        <w:rPr>
          <w:rFonts w:cs="Times New Roman"/>
          <w:i/>
          <w:color w:val="000000" w:themeColor="text1"/>
          <w:szCs w:val="24"/>
        </w:rPr>
        <w:t xml:space="preserve">Table </w:t>
      </w:r>
      <w:r w:rsidR="006514F3" w:rsidRPr="00EC0229">
        <w:rPr>
          <w:rFonts w:cs="Times New Roman"/>
          <w:i/>
          <w:color w:val="000000" w:themeColor="text1"/>
          <w:szCs w:val="24"/>
        </w:rPr>
        <w:t>7.1</w:t>
      </w:r>
      <w:r w:rsidR="00FB26FC" w:rsidRPr="00EC0229">
        <w:rPr>
          <w:rFonts w:cs="Times New Roman"/>
          <w:i/>
          <w:color w:val="000000" w:themeColor="text1"/>
          <w:szCs w:val="24"/>
        </w:rPr>
        <w:t>8</w:t>
      </w:r>
      <w:r w:rsidR="006514F3" w:rsidRPr="00EC0229">
        <w:rPr>
          <w:rFonts w:cs="Times New Roman"/>
          <w:color w:val="000000" w:themeColor="text1"/>
          <w:szCs w:val="24"/>
        </w:rPr>
        <w:t>)</w:t>
      </w:r>
      <w:r w:rsidR="005D0690" w:rsidRPr="00EC0229">
        <w:rPr>
          <w:rFonts w:cs="Times New Roman"/>
          <w:color w:val="000000" w:themeColor="text1"/>
          <w:szCs w:val="24"/>
        </w:rPr>
        <w:t xml:space="preserve"> analyses</w:t>
      </w:r>
      <w:r w:rsidR="00AA51C3" w:rsidRPr="00EC0229">
        <w:rPr>
          <w:rFonts w:cs="Times New Roman"/>
          <w:color w:val="000000" w:themeColor="text1"/>
          <w:szCs w:val="24"/>
        </w:rPr>
        <w:t xml:space="preserve"> the proportions from each external source, particularly Continental sceats. </w:t>
      </w:r>
      <w:r w:rsidR="00AA51C3" w:rsidRPr="00EC0229">
        <w:rPr>
          <w:rFonts w:cs="Times New Roman"/>
          <w:i/>
          <w:szCs w:val="24"/>
        </w:rPr>
        <w:t>Table</w:t>
      </w:r>
      <w:r w:rsidR="00AA51C3" w:rsidRPr="00EC0229">
        <w:rPr>
          <w:rFonts w:cs="Times New Roman"/>
          <w:i/>
          <w:szCs w:val="24"/>
        </w:rPr>
        <w:fldChar w:fldCharType="begin"/>
      </w:r>
      <w:r w:rsidR="00AA51C3" w:rsidRPr="00EC0229">
        <w:instrText xml:space="preserve"> XE "</w:instrText>
      </w:r>
      <w:r w:rsidR="00AA51C3" w:rsidRPr="00EC0229">
        <w:rPr>
          <w:noProof/>
        </w:rPr>
        <w:instrText>Table</w:instrText>
      </w:r>
      <w:r w:rsidR="00AA51C3" w:rsidRPr="00EC0229">
        <w:instrText xml:space="preserve">" </w:instrText>
      </w:r>
      <w:r w:rsidR="00AA51C3" w:rsidRPr="00EC0229">
        <w:rPr>
          <w:rFonts w:cs="Times New Roman"/>
          <w:i/>
          <w:szCs w:val="24"/>
        </w:rPr>
        <w:fldChar w:fldCharType="end"/>
      </w:r>
      <w:r w:rsidR="00AA51C3" w:rsidRPr="00EC0229">
        <w:rPr>
          <w:rFonts w:cs="Times New Roman"/>
          <w:i/>
          <w:szCs w:val="24"/>
        </w:rPr>
        <w:t xml:space="preserve"> 7</w:t>
      </w:r>
      <w:r w:rsidR="00A066AD" w:rsidRPr="00EC0229">
        <w:rPr>
          <w:rFonts w:cs="Times New Roman"/>
          <w:i/>
          <w:szCs w:val="24"/>
        </w:rPr>
        <w:t>.1</w:t>
      </w:r>
      <w:r w:rsidR="00FB26FC" w:rsidRPr="00EC0229">
        <w:rPr>
          <w:rFonts w:cs="Times New Roman"/>
          <w:i/>
          <w:szCs w:val="24"/>
        </w:rPr>
        <w:t>9</w:t>
      </w:r>
      <w:r w:rsidR="00AA51C3" w:rsidRPr="00EC0229">
        <w:rPr>
          <w:rFonts w:cs="Times New Roman"/>
          <w:i/>
          <w:color w:val="000000" w:themeColor="text1"/>
          <w:szCs w:val="24"/>
        </w:rPr>
        <w:t xml:space="preserve"> </w:t>
      </w:r>
      <w:r w:rsidR="00AA51C3" w:rsidRPr="00EC0229">
        <w:rPr>
          <w:rFonts w:cs="Times New Roman"/>
          <w:color w:val="000000" w:themeColor="text1"/>
          <w:szCs w:val="24"/>
        </w:rPr>
        <w:t>is an extract of non-N</w:t>
      </w:r>
      <w:r w:rsidR="00497AC3" w:rsidRPr="00EC0229">
        <w:rPr>
          <w:rFonts w:cs="Times New Roman"/>
          <w:color w:val="000000" w:themeColor="text1"/>
          <w:szCs w:val="24"/>
        </w:rPr>
        <w:t xml:space="preserve">orthumbrian sceats in </w:t>
      </w:r>
      <w:r w:rsidR="009A3EEF" w:rsidRPr="00EC0229">
        <w:rPr>
          <w:rFonts w:cs="Times New Roman"/>
          <w:i/>
          <w:color w:val="000000" w:themeColor="text1"/>
          <w:szCs w:val="24"/>
        </w:rPr>
        <w:t>Database 1</w:t>
      </w:r>
      <w:r w:rsidR="00AA51C3" w:rsidRPr="00EC0229">
        <w:rPr>
          <w:rFonts w:cs="Times New Roman"/>
          <w:color w:val="000000" w:themeColor="text1"/>
          <w:szCs w:val="24"/>
        </w:rPr>
        <w:fldChar w:fldCharType="begin"/>
      </w:r>
      <w:r w:rsidR="00AA51C3" w:rsidRPr="00EC0229">
        <w:instrText xml:space="preserve"> XE "</w:instrText>
      </w:r>
      <w:r w:rsidR="00AA51C3" w:rsidRPr="00EC0229">
        <w:rPr>
          <w:rStyle w:val="Hyperlink"/>
          <w:noProof/>
          <w:u w:val="none"/>
        </w:rPr>
        <w:instrText>Database</w:instrText>
      </w:r>
      <w:r w:rsidR="00AA51C3" w:rsidRPr="00EC0229">
        <w:instrText xml:space="preserve">" </w:instrText>
      </w:r>
      <w:r w:rsidR="00AA51C3" w:rsidRPr="00EC0229">
        <w:rPr>
          <w:rFonts w:cs="Times New Roman"/>
          <w:color w:val="000000" w:themeColor="text1"/>
          <w:szCs w:val="24"/>
        </w:rPr>
        <w:fldChar w:fldCharType="end"/>
      </w:r>
      <w:r w:rsidR="00AA51C3" w:rsidRPr="00EC0229">
        <w:rPr>
          <w:rFonts w:cs="Times New Roman"/>
          <w:color w:val="000000" w:themeColor="text1"/>
          <w:szCs w:val="24"/>
        </w:rPr>
        <w:t xml:space="preserve"> augmented by informal data and sorted by variety and findspot. While the absolute number in some categories is modest, the outcome is consistent with expectations:</w:t>
      </w:r>
    </w:p>
    <w:p w14:paraId="1BE48C7C" w14:textId="77777777"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lastRenderedPageBreak/>
        <w:t>There are as many Merovingian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tremisses as silver deniers, both rare but found in similar numbers.</w:t>
      </w:r>
    </w:p>
    <w:p w14:paraId="29EE2AE5" w14:textId="77777777"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Gold</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shillings are rare.</w:t>
      </w:r>
    </w:p>
    <w:p w14:paraId="30F04F5C" w14:textId="1A88E47D"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Metcalf</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has noted that the proportion of sceats from the Rhine-mouths area, Series</w:t>
      </w:r>
      <w:r w:rsidRPr="00EC0229">
        <w:rPr>
          <w:rFonts w:cs="Times New Roman"/>
          <w:color w:val="000000" w:themeColor="text1"/>
          <w:szCs w:val="24"/>
        </w:rPr>
        <w:fldChar w:fldCharType="begin"/>
      </w:r>
      <w:r w:rsidRPr="00EC0229">
        <w:instrText xml:space="preserve"> XE "Series" </w:instrText>
      </w:r>
      <w:r w:rsidRPr="00EC0229">
        <w:rPr>
          <w:rFonts w:cs="Times New Roman"/>
          <w:color w:val="000000" w:themeColor="text1"/>
          <w:szCs w:val="24"/>
        </w:rPr>
        <w:fldChar w:fldCharType="end"/>
      </w:r>
      <w:r w:rsidRPr="00EC0229">
        <w:rPr>
          <w:rFonts w:cs="Times New Roman"/>
          <w:color w:val="000000" w:themeColor="text1"/>
          <w:szCs w:val="24"/>
        </w:rPr>
        <w:t xml:space="preserve"> D</w:t>
      </w:r>
      <w:r w:rsidRPr="00EC0229">
        <w:rPr>
          <w:rFonts w:cs="Times New Roman"/>
          <w:color w:val="000000" w:themeColor="text1"/>
          <w:szCs w:val="24"/>
        </w:rPr>
        <w:fldChar w:fldCharType="begin"/>
      </w:r>
      <w:r w:rsidRPr="00EC0229">
        <w:instrText xml:space="preserve"> XE "</w:instrText>
      </w:r>
      <w:r w:rsidRPr="00EC0229">
        <w:rPr>
          <w:szCs w:val="24"/>
        </w:rPr>
        <w:instrText>Series 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E, especially in the primary period, is significant (typically 20% but 30% in Humberside) and skewed to sheep-rearing areas, mainly chalk uplands such as the Yorkshire Wolds</w:t>
      </w:r>
      <w:r w:rsidRPr="00EC0229">
        <w:rPr>
          <w:rFonts w:cs="Times New Roman"/>
          <w:color w:val="000000" w:themeColor="text1"/>
          <w:szCs w:val="24"/>
        </w:rPr>
        <w:fldChar w:fldCharType="begin"/>
      </w:r>
      <w:r w:rsidRPr="00EC0229">
        <w:instrText xml:space="preserve"> XE "</w:instrText>
      </w:r>
      <w:r w:rsidRPr="00EC0229">
        <w:rPr>
          <w:rStyle w:val="Hyperlink"/>
          <w:rFonts w:cs="Times New Roman"/>
          <w:noProof/>
          <w:u w:val="none"/>
        </w:rPr>
        <w:instrText>Yorkshire Wolds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w:t>
      </w:r>
      <w:r w:rsidRPr="00EC0229">
        <w:rPr>
          <w:rStyle w:val="FootnoteReference"/>
          <w:rFonts w:cs="Times New Roman"/>
          <w:color w:val="000000" w:themeColor="text1"/>
          <w:szCs w:val="24"/>
        </w:rPr>
        <w:footnoteReference w:id="776"/>
      </w:r>
      <w:r w:rsidR="00497AC3" w:rsidRPr="00EC0229">
        <w:rPr>
          <w:rFonts w:cs="Times New Roman"/>
          <w:color w:val="000000" w:themeColor="text1"/>
          <w:szCs w:val="24"/>
        </w:rPr>
        <w:t xml:space="preserve"> In this dataset</w:t>
      </w:r>
      <w:r w:rsidRPr="00EC0229">
        <w:rPr>
          <w:rFonts w:cs="Times New Roman"/>
          <w:color w:val="000000" w:themeColor="text1"/>
          <w:szCs w:val="24"/>
        </w:rPr>
        <w:t xml:space="preserve">, these form an even higher proportion of the circulating medium and inclusion of informal data from just one site, Hayton, increases the proportion of such finds in the Wolds from 9.7% to 19.0% of </w:t>
      </w:r>
      <w:r w:rsidRPr="00EC0229">
        <w:rPr>
          <w:rFonts w:cs="Times New Roman"/>
          <w:i/>
          <w:color w:val="000000" w:themeColor="text1"/>
          <w:szCs w:val="24"/>
        </w:rPr>
        <w:t>all</w:t>
      </w:r>
      <w:r w:rsidRPr="00EC0229">
        <w:rPr>
          <w:rFonts w:cs="Times New Roman"/>
          <w:color w:val="000000" w:themeColor="text1"/>
          <w:szCs w:val="24"/>
        </w:rPr>
        <w:t xml:space="preserve"> finds in the study period (two-thirds of primary sceats). </w:t>
      </w:r>
      <w:r w:rsidR="006514F3" w:rsidRPr="00EC0229">
        <w:rPr>
          <w:rFonts w:cs="Times New Roman"/>
          <w:i/>
          <w:color w:val="000000" w:themeColor="text1"/>
          <w:szCs w:val="24"/>
        </w:rPr>
        <w:t>Table 7.1</w:t>
      </w:r>
      <w:r w:rsidR="00FB26FC" w:rsidRPr="00EC0229">
        <w:rPr>
          <w:rFonts w:cs="Times New Roman"/>
          <w:i/>
          <w:color w:val="000000" w:themeColor="text1"/>
          <w:szCs w:val="24"/>
        </w:rPr>
        <w:t>8</w:t>
      </w:r>
      <w:r w:rsidRPr="00EC0229">
        <w:rPr>
          <w:rFonts w:cs="Times New Roman"/>
          <w:color w:val="000000" w:themeColor="text1"/>
          <w:szCs w:val="24"/>
        </w:rPr>
        <w:t xml:space="preserve"> demonstrates the dominance of Continental sceats in their Primary phase and their subsequent decline.</w:t>
      </w:r>
    </w:p>
    <w:p w14:paraId="0E2150CB" w14:textId="77777777"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Ribe’s Series</w:t>
      </w:r>
      <w:r w:rsidRPr="00EC0229">
        <w:rPr>
          <w:rFonts w:cs="Times New Roman"/>
          <w:color w:val="000000" w:themeColor="text1"/>
          <w:szCs w:val="24"/>
        </w:rPr>
        <w:fldChar w:fldCharType="begin"/>
      </w:r>
      <w:r w:rsidRPr="00EC0229">
        <w:instrText xml:space="preserve"> XE "Series" </w:instrText>
      </w:r>
      <w:r w:rsidRPr="00EC0229">
        <w:rPr>
          <w:rFonts w:cs="Times New Roman"/>
          <w:color w:val="000000" w:themeColor="text1"/>
          <w:szCs w:val="24"/>
        </w:rPr>
        <w:fldChar w:fldCharType="end"/>
      </w:r>
      <w:r w:rsidRPr="00EC0229">
        <w:rPr>
          <w:rFonts w:cs="Times New Roman"/>
          <w:color w:val="000000" w:themeColor="text1"/>
          <w:szCs w:val="24"/>
        </w:rPr>
        <w:t xml:space="preserve"> X</w:t>
      </w:r>
      <w:r w:rsidRPr="00EC0229">
        <w:rPr>
          <w:rFonts w:cs="Times New Roman"/>
          <w:color w:val="000000" w:themeColor="text1"/>
          <w:szCs w:val="24"/>
        </w:rPr>
        <w:fldChar w:fldCharType="begin"/>
      </w:r>
      <w:r w:rsidRPr="00EC0229">
        <w:instrText xml:space="preserve"> XE "</w:instrText>
      </w:r>
      <w:r w:rsidRPr="00EC0229">
        <w:rPr>
          <w:szCs w:val="24"/>
        </w:rPr>
        <w:instrText>Series X</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occurs infrequently.</w:t>
      </w:r>
    </w:p>
    <w:p w14:paraId="2F254374" w14:textId="77777777"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Series</w:t>
      </w:r>
      <w:r w:rsidRPr="00EC0229">
        <w:rPr>
          <w:rFonts w:cs="Times New Roman"/>
          <w:color w:val="000000" w:themeColor="text1"/>
          <w:szCs w:val="24"/>
        </w:rPr>
        <w:fldChar w:fldCharType="begin"/>
      </w:r>
      <w:r w:rsidRPr="00EC0229">
        <w:instrText xml:space="preserve"> XE "Series" </w:instrText>
      </w:r>
      <w:r w:rsidRPr="00EC0229">
        <w:rPr>
          <w:rFonts w:cs="Times New Roman"/>
          <w:color w:val="000000" w:themeColor="text1"/>
          <w:szCs w:val="24"/>
        </w:rPr>
        <w:fldChar w:fldCharType="end"/>
      </w:r>
      <w:r w:rsidRPr="00EC0229">
        <w:rPr>
          <w:rFonts w:cs="Times New Roman"/>
          <w:color w:val="000000" w:themeColor="text1"/>
          <w:szCs w:val="24"/>
        </w:rPr>
        <w:t xml:space="preserve"> G, probably from Quentovic,</w:t>
      </w:r>
      <w:r w:rsidRPr="00EC0229">
        <w:rPr>
          <w:rStyle w:val="FootnoteReference"/>
          <w:rFonts w:cs="Times New Roman"/>
          <w:color w:val="000000" w:themeColor="text1"/>
          <w:szCs w:val="24"/>
        </w:rPr>
        <w:footnoteReference w:id="777"/>
      </w:r>
      <w:r w:rsidRPr="00EC0229">
        <w:rPr>
          <w:rFonts w:cs="Times New Roman"/>
          <w:color w:val="000000" w:themeColor="text1"/>
          <w:szCs w:val="24"/>
        </w:rPr>
        <w:t xml:space="preserve"> is plentiful. </w:t>
      </w:r>
    </w:p>
    <w:p w14:paraId="43998C76" w14:textId="16241628"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Series</w:t>
      </w:r>
      <w:r w:rsidRPr="00EC0229">
        <w:rPr>
          <w:rFonts w:cs="Times New Roman"/>
          <w:color w:val="000000" w:themeColor="text1"/>
          <w:szCs w:val="24"/>
        </w:rPr>
        <w:fldChar w:fldCharType="begin"/>
      </w:r>
      <w:r w:rsidRPr="00EC0229">
        <w:instrText xml:space="preserve"> XE "Series" </w:instrText>
      </w:r>
      <w:r w:rsidRPr="00EC0229">
        <w:rPr>
          <w:rFonts w:cs="Times New Roman"/>
          <w:color w:val="000000" w:themeColor="text1"/>
          <w:szCs w:val="24"/>
        </w:rPr>
        <w:fldChar w:fldCharType="end"/>
      </w:r>
      <w:r w:rsidRPr="00EC0229">
        <w:rPr>
          <w:rFonts w:cs="Times New Roman"/>
          <w:color w:val="000000" w:themeColor="text1"/>
          <w:szCs w:val="24"/>
        </w:rPr>
        <w:t xml:space="preserve"> J is common in the north and </w:t>
      </w:r>
      <w:r w:rsidR="003A053E" w:rsidRPr="00EC0229">
        <w:rPr>
          <w:rFonts w:cs="Times New Roman"/>
          <w:color w:val="000000" w:themeColor="text1"/>
          <w:szCs w:val="24"/>
        </w:rPr>
        <w:t>south of the Humber, but it’s constituent types need not be from a common source</w:t>
      </w:r>
      <w:r w:rsidRPr="00EC0229">
        <w:rPr>
          <w:rFonts w:cs="Times New Roman"/>
          <w:color w:val="000000" w:themeColor="text1"/>
          <w:szCs w:val="24"/>
        </w:rPr>
        <w:t>.</w:t>
      </w:r>
    </w:p>
    <w:p w14:paraId="74AE641B" w14:textId="2038F523"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 xml:space="preserve">There is a broad selection of </w:t>
      </w:r>
      <w:r w:rsidR="00572E51" w:rsidRPr="00EC0229">
        <w:rPr>
          <w:rFonts w:cs="Times New Roman"/>
          <w:color w:val="000000" w:themeColor="text1"/>
          <w:szCs w:val="24"/>
        </w:rPr>
        <w:t>Southumbria</w:t>
      </w:r>
      <w:r w:rsidRPr="00EC0229">
        <w:rPr>
          <w:rFonts w:cs="Times New Roman"/>
          <w:color w:val="000000" w:themeColor="text1"/>
          <w:szCs w:val="24"/>
        </w:rPr>
        <w:t>n sceats, both primary and secondary, though the prolific finds at Sledmere</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skew the overall prevalence and mix.</w:t>
      </w:r>
    </w:p>
    <w:p w14:paraId="61434675" w14:textId="77777777"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East Anglian</w:t>
      </w:r>
      <w:r w:rsidRPr="00EC0229">
        <w:rPr>
          <w:rFonts w:cs="Times New Roman"/>
          <w:color w:val="000000" w:themeColor="text1"/>
          <w:szCs w:val="24"/>
        </w:rPr>
        <w:fldChar w:fldCharType="begin"/>
      </w:r>
      <w:r w:rsidRPr="00EC0229">
        <w:instrText xml:space="preserve"> XE "Anglian" </w:instrText>
      </w:r>
      <w:r w:rsidRPr="00EC0229">
        <w:rPr>
          <w:rFonts w:cs="Times New Roman"/>
          <w:color w:val="000000" w:themeColor="text1"/>
          <w:szCs w:val="24"/>
        </w:rPr>
        <w:fldChar w:fldCharType="end"/>
      </w:r>
      <w:r w:rsidRPr="00EC0229">
        <w:rPr>
          <w:rFonts w:cs="Times New Roman"/>
          <w:color w:val="000000" w:themeColor="text1"/>
          <w:szCs w:val="24"/>
        </w:rPr>
        <w:t xml:space="preserve"> Series</w:t>
      </w:r>
      <w:r w:rsidRPr="00EC0229">
        <w:rPr>
          <w:rFonts w:cs="Times New Roman"/>
          <w:color w:val="000000" w:themeColor="text1"/>
          <w:szCs w:val="24"/>
        </w:rPr>
        <w:fldChar w:fldCharType="begin"/>
      </w:r>
      <w:r w:rsidRPr="00EC0229">
        <w:instrText xml:space="preserve"> XE "Series" </w:instrText>
      </w:r>
      <w:r w:rsidRPr="00EC0229">
        <w:rPr>
          <w:rFonts w:cs="Times New Roman"/>
          <w:color w:val="000000" w:themeColor="text1"/>
          <w:szCs w:val="24"/>
        </w:rPr>
        <w:fldChar w:fldCharType="end"/>
      </w:r>
      <w:r w:rsidRPr="00EC0229">
        <w:rPr>
          <w:rFonts w:cs="Times New Roman"/>
          <w:color w:val="000000" w:themeColor="text1"/>
          <w:szCs w:val="24"/>
        </w:rPr>
        <w:t xml:space="preserve"> R and Q are present at many sites, albeit it as single representatives.</w:t>
      </w:r>
    </w:p>
    <w:p w14:paraId="6CF2F102" w14:textId="77777777" w:rsidR="00AA51C3" w:rsidRPr="00EC0229" w:rsidRDefault="00AA51C3" w:rsidP="00387063">
      <w:pPr>
        <w:pStyle w:val="NoSpacing"/>
        <w:numPr>
          <w:ilvl w:val="0"/>
          <w:numId w:val="13"/>
        </w:numPr>
        <w:spacing w:line="360" w:lineRule="auto"/>
        <w:rPr>
          <w:rFonts w:cs="Times New Roman"/>
          <w:color w:val="000000" w:themeColor="text1"/>
          <w:szCs w:val="24"/>
        </w:rPr>
      </w:pPr>
      <w:r w:rsidRPr="00EC0229">
        <w:rPr>
          <w:rFonts w:cs="Times New Roman"/>
          <w:color w:val="000000" w:themeColor="text1"/>
          <w:szCs w:val="24"/>
        </w:rPr>
        <w:t>There is a sprinkling of ‘exotic species’,</w:t>
      </w:r>
      <w:r w:rsidRPr="00EC0229">
        <w:rPr>
          <w:rStyle w:val="FootnoteReference"/>
          <w:rFonts w:cs="Times New Roman"/>
          <w:color w:val="000000" w:themeColor="text1"/>
          <w:szCs w:val="24"/>
        </w:rPr>
        <w:footnoteReference w:id="778"/>
      </w:r>
      <w:r w:rsidRPr="00EC0229">
        <w:rPr>
          <w:rFonts w:cs="Times New Roman"/>
          <w:color w:val="000000" w:themeColor="text1"/>
          <w:szCs w:val="24"/>
        </w:rPr>
        <w:t xml:space="preserve"> rare varieties typically rich in religious iconography</w:t>
      </w:r>
      <w:r w:rsidRPr="00EC0229">
        <w:rPr>
          <w:rFonts w:cs="Times New Roman"/>
          <w:color w:val="000000" w:themeColor="text1"/>
          <w:szCs w:val="24"/>
        </w:rPr>
        <w:fldChar w:fldCharType="begin"/>
      </w:r>
      <w:r w:rsidRPr="00EC0229">
        <w:instrText xml:space="preserve"> XE "iconography" </w:instrText>
      </w:r>
      <w:r w:rsidRPr="00EC0229">
        <w:rPr>
          <w:rFonts w:cs="Times New Roman"/>
          <w:color w:val="000000" w:themeColor="text1"/>
          <w:szCs w:val="24"/>
        </w:rPr>
        <w:fldChar w:fldCharType="end"/>
      </w:r>
      <w:r w:rsidRPr="00EC0229">
        <w:rPr>
          <w:rFonts w:cs="Times New Roman"/>
          <w:color w:val="000000" w:themeColor="text1"/>
          <w:szCs w:val="24"/>
        </w:rPr>
        <w:t>, possibly signifying peregrination.</w:t>
      </w:r>
    </w:p>
    <w:p w14:paraId="4B11E6A8" w14:textId="77777777" w:rsidR="001040C8" w:rsidRDefault="001040C8" w:rsidP="00CA51D5">
      <w:pPr>
        <w:spacing w:line="360" w:lineRule="auto"/>
      </w:pPr>
    </w:p>
    <w:p w14:paraId="79D43B1C" w14:textId="1427847A" w:rsidR="00AC02D3" w:rsidRPr="00EC0229" w:rsidRDefault="00CA51D5" w:rsidP="00CA51D5">
      <w:pPr>
        <w:spacing w:line="360" w:lineRule="auto"/>
      </w:pPr>
      <w:r w:rsidRPr="00EC0229">
        <w:t>Chapters 6 described the sources and composition of the datasets and chapter 7 has described how this is to be applied in evaluating the case studies to follow.</w:t>
      </w:r>
    </w:p>
    <w:p w14:paraId="75DFCDD2" w14:textId="77777777" w:rsidR="00CA51D5" w:rsidRPr="00EC0229" w:rsidRDefault="00CA51D5">
      <w:pPr>
        <w:spacing w:line="259" w:lineRule="auto"/>
        <w:jc w:val="left"/>
        <w:rPr>
          <w:rFonts w:eastAsiaTheme="majorEastAsia" w:cs="Times New Roman"/>
          <w:b/>
          <w:sz w:val="30"/>
          <w:szCs w:val="30"/>
        </w:rPr>
      </w:pPr>
      <w:r w:rsidRPr="00EC0229">
        <w:rPr>
          <w:rFonts w:cs="Times New Roman"/>
          <w:sz w:val="30"/>
          <w:szCs w:val="30"/>
        </w:rPr>
        <w:br w:type="page"/>
      </w:r>
    </w:p>
    <w:p w14:paraId="7F47E91C" w14:textId="21B3480D" w:rsidR="000C778B" w:rsidRPr="00EC0229" w:rsidRDefault="00AC02D3" w:rsidP="007600EA">
      <w:pPr>
        <w:pStyle w:val="Heading1"/>
        <w:spacing w:line="360" w:lineRule="auto"/>
        <w:rPr>
          <w:rFonts w:cs="Times New Roman"/>
          <w:sz w:val="30"/>
          <w:szCs w:val="30"/>
        </w:rPr>
      </w:pPr>
      <w:bookmarkStart w:id="502" w:name="_Toc468266847"/>
      <w:r w:rsidRPr="00EC0229">
        <w:rPr>
          <w:rFonts w:cs="Times New Roman"/>
          <w:sz w:val="30"/>
          <w:szCs w:val="30"/>
        </w:rPr>
        <w:lastRenderedPageBreak/>
        <w:t>Chapter 8</w:t>
      </w:r>
      <w:r w:rsidR="009E35E5" w:rsidRPr="00EC0229">
        <w:rPr>
          <w:rFonts w:cs="Times New Roman"/>
          <w:sz w:val="30"/>
          <w:szCs w:val="30"/>
        </w:rPr>
        <w:t>:</w:t>
      </w:r>
      <w:r w:rsidR="002C0E71" w:rsidRPr="00EC0229">
        <w:rPr>
          <w:rFonts w:cs="Times New Roman"/>
          <w:sz w:val="30"/>
          <w:szCs w:val="30"/>
        </w:rPr>
        <w:t xml:space="preserve"> </w:t>
      </w:r>
      <w:r w:rsidR="0032255A" w:rsidRPr="00EC0229">
        <w:rPr>
          <w:rFonts w:cs="Times New Roman"/>
          <w:sz w:val="30"/>
          <w:szCs w:val="30"/>
        </w:rPr>
        <w:t>Case Studies</w:t>
      </w:r>
      <w:bookmarkEnd w:id="502"/>
      <w:r w:rsidR="00BD53D4" w:rsidRPr="00EC0229">
        <w:rPr>
          <w:rFonts w:cs="Times New Roman"/>
          <w:sz w:val="30"/>
          <w:szCs w:val="30"/>
        </w:rPr>
        <w:t xml:space="preserve"> </w:t>
      </w:r>
    </w:p>
    <w:p w14:paraId="5C8D00E8" w14:textId="45E230A2" w:rsidR="000C778B" w:rsidRPr="00EC0229" w:rsidRDefault="000C778B" w:rsidP="007600EA">
      <w:pPr>
        <w:pStyle w:val="NoSpacing"/>
        <w:spacing w:line="360" w:lineRule="auto"/>
        <w:rPr>
          <w:szCs w:val="24"/>
        </w:rPr>
      </w:pPr>
      <w:r w:rsidRPr="00EC0229">
        <w:rPr>
          <w:szCs w:val="24"/>
        </w:rPr>
        <w:t>Having set the theoretical background (</w:t>
      </w:r>
      <w:r w:rsidR="00B544A1" w:rsidRPr="00EC0229">
        <w:rPr>
          <w:szCs w:val="24"/>
        </w:rPr>
        <w:fldChar w:fldCharType="begin"/>
      </w:r>
      <w:r w:rsidR="00B544A1" w:rsidRPr="00EC0229">
        <w:rPr>
          <w:szCs w:val="24"/>
        </w:rPr>
        <w:instrText xml:space="preserve"> PAGEREF Chapter2 \h </w:instrText>
      </w:r>
      <w:r w:rsidR="00B544A1" w:rsidRPr="00EC0229">
        <w:rPr>
          <w:szCs w:val="24"/>
        </w:rPr>
      </w:r>
      <w:r w:rsidR="00B544A1" w:rsidRPr="00EC0229">
        <w:rPr>
          <w:szCs w:val="24"/>
        </w:rPr>
        <w:fldChar w:fldCharType="separate"/>
      </w:r>
      <w:r w:rsidR="0012026B">
        <w:rPr>
          <w:noProof/>
          <w:szCs w:val="24"/>
        </w:rPr>
        <w:t>19</w:t>
      </w:r>
      <w:r w:rsidR="00B544A1" w:rsidRPr="00EC0229">
        <w:rPr>
          <w:szCs w:val="24"/>
        </w:rPr>
        <w:fldChar w:fldCharType="end"/>
      </w:r>
      <w:r w:rsidR="00242AE1" w:rsidRPr="00EC0229">
        <w:rPr>
          <w:szCs w:val="24"/>
        </w:rPr>
        <w:t xml:space="preserve">), </w:t>
      </w:r>
      <w:r w:rsidRPr="00EC0229">
        <w:rPr>
          <w:szCs w:val="24"/>
        </w:rPr>
        <w:t xml:space="preserve">expounded a hypothesis of </w:t>
      </w:r>
      <w:r w:rsidR="003F2041" w:rsidRPr="00EC0229">
        <w:rPr>
          <w:szCs w:val="24"/>
        </w:rPr>
        <w:t>monetiz</w:t>
      </w:r>
      <w:r w:rsidRPr="00EC0229">
        <w:rPr>
          <w:szCs w:val="24"/>
        </w:rPr>
        <w:t>ation</w:t>
      </w:r>
      <w:r w:rsidRPr="00EC0229">
        <w:rPr>
          <w:szCs w:val="24"/>
        </w:rPr>
        <w:fldChar w:fldCharType="begin"/>
      </w:r>
      <w:r w:rsidRPr="00EC0229">
        <w:instrText xml:space="preserve"> XE "</w:instrText>
      </w:r>
      <w:r w:rsidRPr="00EC0229">
        <w:rPr>
          <w:rFonts w:cs="Times New Roman"/>
          <w:szCs w:val="24"/>
        </w:rPr>
        <w:instrText>hypothesis of monetization</w:instrText>
      </w:r>
      <w:r w:rsidRPr="00EC0229">
        <w:instrText xml:space="preserve">" </w:instrText>
      </w:r>
      <w:r w:rsidRPr="00EC0229">
        <w:rPr>
          <w:szCs w:val="24"/>
        </w:rPr>
        <w:fldChar w:fldCharType="end"/>
      </w:r>
      <w:r w:rsidRPr="00EC0229">
        <w:rPr>
          <w:szCs w:val="24"/>
        </w:rPr>
        <w:t xml:space="preserve"> (</w:t>
      </w:r>
      <w:r w:rsidR="00B544A1" w:rsidRPr="00EC0229">
        <w:rPr>
          <w:szCs w:val="24"/>
        </w:rPr>
        <w:fldChar w:fldCharType="begin"/>
      </w:r>
      <w:r w:rsidR="00B544A1" w:rsidRPr="00EC0229">
        <w:rPr>
          <w:szCs w:val="24"/>
        </w:rPr>
        <w:instrText xml:space="preserve"> PAGEREF hypothesis \h </w:instrText>
      </w:r>
      <w:r w:rsidR="00B544A1" w:rsidRPr="00EC0229">
        <w:rPr>
          <w:szCs w:val="24"/>
        </w:rPr>
      </w:r>
      <w:r w:rsidR="00B544A1" w:rsidRPr="00EC0229">
        <w:rPr>
          <w:szCs w:val="24"/>
        </w:rPr>
        <w:fldChar w:fldCharType="separate"/>
      </w:r>
      <w:r w:rsidR="0012026B">
        <w:rPr>
          <w:noProof/>
          <w:szCs w:val="24"/>
        </w:rPr>
        <w:t>77</w:t>
      </w:r>
      <w:r w:rsidR="00B544A1" w:rsidRPr="00EC0229">
        <w:rPr>
          <w:szCs w:val="24"/>
        </w:rPr>
        <w:fldChar w:fldCharType="end"/>
      </w:r>
      <w:r w:rsidR="00242AE1" w:rsidRPr="00EC0229">
        <w:rPr>
          <w:szCs w:val="24"/>
        </w:rPr>
        <w:t xml:space="preserve">) </w:t>
      </w:r>
      <w:r w:rsidR="001040C8">
        <w:rPr>
          <w:szCs w:val="24"/>
        </w:rPr>
        <w:t>developed quantitative (</w:t>
      </w:r>
      <w:r w:rsidR="001040C8">
        <w:rPr>
          <w:szCs w:val="24"/>
        </w:rPr>
        <w:fldChar w:fldCharType="begin"/>
      </w:r>
      <w:r w:rsidR="001040C8">
        <w:rPr>
          <w:szCs w:val="24"/>
        </w:rPr>
        <w:instrText xml:space="preserve"> PAGEREF quantitativemethodology \h </w:instrText>
      </w:r>
      <w:r w:rsidR="001040C8">
        <w:rPr>
          <w:szCs w:val="24"/>
        </w:rPr>
      </w:r>
      <w:r w:rsidR="001040C8">
        <w:rPr>
          <w:szCs w:val="24"/>
        </w:rPr>
        <w:fldChar w:fldCharType="separate"/>
      </w:r>
      <w:r w:rsidR="0012026B">
        <w:rPr>
          <w:noProof/>
          <w:szCs w:val="24"/>
        </w:rPr>
        <w:t>155</w:t>
      </w:r>
      <w:r w:rsidR="001040C8">
        <w:rPr>
          <w:szCs w:val="24"/>
        </w:rPr>
        <w:fldChar w:fldCharType="end"/>
      </w:r>
      <w:r w:rsidR="001040C8">
        <w:rPr>
          <w:szCs w:val="24"/>
        </w:rPr>
        <w:t>) and qualitative (</w:t>
      </w:r>
      <w:r w:rsidR="001040C8">
        <w:rPr>
          <w:szCs w:val="24"/>
        </w:rPr>
        <w:fldChar w:fldCharType="begin"/>
      </w:r>
      <w:r w:rsidR="001040C8">
        <w:rPr>
          <w:szCs w:val="24"/>
        </w:rPr>
        <w:instrText xml:space="preserve"> PAGEREF qualitativemethodology \h </w:instrText>
      </w:r>
      <w:r w:rsidR="001040C8">
        <w:rPr>
          <w:szCs w:val="24"/>
        </w:rPr>
      </w:r>
      <w:r w:rsidR="001040C8">
        <w:rPr>
          <w:szCs w:val="24"/>
        </w:rPr>
        <w:fldChar w:fldCharType="separate"/>
      </w:r>
      <w:r w:rsidR="0012026B">
        <w:rPr>
          <w:noProof/>
          <w:szCs w:val="24"/>
        </w:rPr>
        <w:t>160</w:t>
      </w:r>
      <w:r w:rsidR="001040C8">
        <w:rPr>
          <w:szCs w:val="24"/>
        </w:rPr>
        <w:fldChar w:fldCharType="end"/>
      </w:r>
      <w:r w:rsidR="001040C8">
        <w:rPr>
          <w:szCs w:val="24"/>
        </w:rPr>
        <w:t xml:space="preserve">) methodologies, </w:t>
      </w:r>
      <w:r w:rsidR="00242AE1" w:rsidRPr="00EC0229">
        <w:rPr>
          <w:szCs w:val="24"/>
        </w:rPr>
        <w:t>and developed analytical tools (</w:t>
      </w:r>
      <w:r w:rsidR="001040C8">
        <w:rPr>
          <w:szCs w:val="24"/>
        </w:rPr>
        <w:fldChar w:fldCharType="begin"/>
      </w:r>
      <w:r w:rsidR="001040C8">
        <w:rPr>
          <w:szCs w:val="24"/>
        </w:rPr>
        <w:instrText xml:space="preserve"> PAGEREF AnalyticalTools \h </w:instrText>
      </w:r>
      <w:r w:rsidR="001040C8">
        <w:rPr>
          <w:szCs w:val="24"/>
        </w:rPr>
      </w:r>
      <w:r w:rsidR="001040C8">
        <w:rPr>
          <w:szCs w:val="24"/>
        </w:rPr>
        <w:fldChar w:fldCharType="separate"/>
      </w:r>
      <w:r w:rsidR="0012026B">
        <w:rPr>
          <w:noProof/>
          <w:szCs w:val="24"/>
        </w:rPr>
        <w:t>163</w:t>
      </w:r>
      <w:r w:rsidR="001040C8">
        <w:rPr>
          <w:szCs w:val="24"/>
        </w:rPr>
        <w:fldChar w:fldCharType="end"/>
      </w:r>
      <w:r w:rsidR="00242AE1" w:rsidRPr="00EC0229">
        <w:rPr>
          <w:szCs w:val="24"/>
        </w:rPr>
        <w:t xml:space="preserve">), these can now be applied to specific regions and locations. </w:t>
      </w:r>
      <w:r w:rsidR="00955FAE" w:rsidRPr="00EC0229">
        <w:rPr>
          <w:szCs w:val="24"/>
        </w:rPr>
        <w:t xml:space="preserve">For the purposes of this study, Northumbria is taken to be territorially stable after </w:t>
      </w:r>
      <w:r w:rsidR="00A2204D">
        <w:rPr>
          <w:szCs w:val="24"/>
        </w:rPr>
        <w:t xml:space="preserve">the Battle of </w:t>
      </w:r>
      <w:r w:rsidR="00955FAE" w:rsidRPr="00EC0229">
        <w:rPr>
          <w:szCs w:val="24"/>
        </w:rPr>
        <w:t>Nechtansmere</w:t>
      </w:r>
      <w:r w:rsidR="00A2204D">
        <w:rPr>
          <w:szCs w:val="24"/>
        </w:rPr>
        <w:t>, 685</w:t>
      </w:r>
      <w:r w:rsidR="00955FAE" w:rsidRPr="00EC0229">
        <w:rPr>
          <w:szCs w:val="24"/>
        </w:rPr>
        <w:t>.</w:t>
      </w:r>
    </w:p>
    <w:p w14:paraId="2868BD38" w14:textId="77777777" w:rsidR="000C778B" w:rsidRPr="00EC0229" w:rsidRDefault="000C778B" w:rsidP="007600EA">
      <w:pPr>
        <w:pStyle w:val="NoSpacing"/>
        <w:spacing w:line="360" w:lineRule="auto"/>
        <w:rPr>
          <w:b/>
        </w:rPr>
      </w:pPr>
    </w:p>
    <w:p w14:paraId="552FC743" w14:textId="4C3E52DF" w:rsidR="000C778B" w:rsidRPr="00EC0229" w:rsidRDefault="00455D13" w:rsidP="007600EA">
      <w:pPr>
        <w:pStyle w:val="Heading2"/>
        <w:spacing w:line="360" w:lineRule="auto"/>
      </w:pPr>
      <w:bookmarkStart w:id="503" w:name="Geomorphology"/>
      <w:bookmarkStart w:id="504" w:name="_Toc468266848"/>
      <w:bookmarkEnd w:id="503"/>
      <w:r>
        <w:t>8.1</w:t>
      </w:r>
      <w:r w:rsidR="00736C9E">
        <w:tab/>
      </w:r>
      <w:r w:rsidR="000C778B" w:rsidRPr="00EC0229">
        <w:t>Geo</w:t>
      </w:r>
      <w:r w:rsidR="0099222E" w:rsidRPr="00EC0229">
        <w:t>morphology</w:t>
      </w:r>
      <w:bookmarkEnd w:id="504"/>
    </w:p>
    <w:p w14:paraId="3250AEE1" w14:textId="77777777" w:rsidR="000C778B" w:rsidRPr="00EC0229" w:rsidRDefault="000C778B" w:rsidP="007600EA">
      <w:pPr>
        <w:pStyle w:val="NoSpacing"/>
        <w:spacing w:line="360" w:lineRule="auto"/>
        <w:jc w:val="right"/>
        <w:rPr>
          <w:sz w:val="18"/>
          <w:szCs w:val="18"/>
        </w:rPr>
      </w:pPr>
      <w:r w:rsidRPr="00EC0229">
        <w:rPr>
          <w:sz w:val="18"/>
          <w:szCs w:val="18"/>
        </w:rPr>
        <w:t>‘For better or worse the whole saga of human achievement and vigour, stupidity and greed is etched in the landscape</w:t>
      </w:r>
      <w:r w:rsidRPr="00EC0229">
        <w:rPr>
          <w:sz w:val="18"/>
          <w:szCs w:val="18"/>
        </w:rPr>
        <w:fldChar w:fldCharType="begin"/>
      </w:r>
      <w:r w:rsidRPr="00EC0229">
        <w:instrText xml:space="preserve"> XE "</w:instrText>
      </w:r>
      <w:r w:rsidRPr="00EC0229">
        <w:rPr>
          <w:rFonts w:cs="Times New Roman"/>
          <w:b/>
          <w:color w:val="000000" w:themeColor="text1"/>
          <w:sz w:val="56"/>
          <w:szCs w:val="56"/>
        </w:rPr>
        <w:instrText>landscape</w:instrText>
      </w:r>
      <w:r w:rsidRPr="00EC0229">
        <w:instrText xml:space="preserve">" </w:instrText>
      </w:r>
      <w:r w:rsidRPr="00EC0229">
        <w:rPr>
          <w:sz w:val="18"/>
          <w:szCs w:val="18"/>
        </w:rPr>
        <w:fldChar w:fldCharType="end"/>
      </w:r>
      <w:r w:rsidRPr="00EC0229">
        <w:rPr>
          <w:sz w:val="18"/>
          <w:szCs w:val="18"/>
        </w:rPr>
        <w:t>’</w:t>
      </w:r>
    </w:p>
    <w:p w14:paraId="5C51B166" w14:textId="490A4EF5" w:rsidR="000C778B" w:rsidRPr="00EC0229" w:rsidRDefault="000C778B" w:rsidP="007600EA">
      <w:pPr>
        <w:pStyle w:val="NoSpacing"/>
        <w:spacing w:line="360" w:lineRule="auto"/>
        <w:jc w:val="right"/>
        <w:rPr>
          <w:sz w:val="20"/>
          <w:szCs w:val="20"/>
        </w:rPr>
      </w:pPr>
      <w:r w:rsidRPr="00EC0229">
        <w:rPr>
          <w:sz w:val="20"/>
          <w:szCs w:val="20"/>
        </w:rPr>
        <w:t xml:space="preserve">Richard Muir, </w:t>
      </w:r>
      <w:r w:rsidRPr="00EC0229">
        <w:rPr>
          <w:i/>
          <w:sz w:val="20"/>
          <w:szCs w:val="20"/>
        </w:rPr>
        <w:t>Old Yorkshire</w:t>
      </w:r>
      <w:r w:rsidR="003215DB" w:rsidRPr="00EC0229">
        <w:rPr>
          <w:sz w:val="20"/>
          <w:szCs w:val="20"/>
        </w:rPr>
        <w:t xml:space="preserve"> (1987, </w:t>
      </w:r>
      <w:r w:rsidRPr="00EC0229">
        <w:rPr>
          <w:sz w:val="20"/>
          <w:szCs w:val="20"/>
        </w:rPr>
        <w:t>21</w:t>
      </w:r>
      <w:r w:rsidR="003215DB" w:rsidRPr="00EC0229">
        <w:rPr>
          <w:sz w:val="20"/>
          <w:szCs w:val="20"/>
        </w:rPr>
        <w:t>)</w:t>
      </w:r>
    </w:p>
    <w:p w14:paraId="25B55C8E" w14:textId="1B73C829" w:rsidR="00A51AB4" w:rsidRPr="00EC0229" w:rsidRDefault="00A51AB4" w:rsidP="007600EA">
      <w:pPr>
        <w:spacing w:after="0" w:line="360" w:lineRule="auto"/>
        <w:rPr>
          <w:rFonts w:cs="Times New Roman"/>
          <w:szCs w:val="24"/>
          <w:lang w:eastAsia="en-GB"/>
        </w:rPr>
      </w:pPr>
      <w:r w:rsidRPr="00EC0229">
        <w:t>The case studies are determined by the political geography of the north of England, itself based on the geomorphology of Northumbria</w:t>
      </w:r>
      <w:r w:rsidR="00D37FC3" w:rsidRPr="00EC0229">
        <w:t>.</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rPr>
          <w:sz w:val="23"/>
          <w:szCs w:val="23"/>
        </w:rPr>
        <w:t xml:space="preserve"> </w:t>
      </w:r>
      <w:r w:rsidRPr="00EC0229">
        <w:rPr>
          <w:rStyle w:val="FootnoteReference"/>
          <w:sz w:val="23"/>
          <w:szCs w:val="23"/>
        </w:rPr>
        <w:footnoteReference w:id="779"/>
      </w:r>
      <w:r w:rsidRPr="00EC0229">
        <w:rPr>
          <w:sz w:val="23"/>
          <w:szCs w:val="23"/>
        </w:rPr>
        <w:t xml:space="preserve"> </w:t>
      </w:r>
      <w:r w:rsidR="00D37FC3" w:rsidRPr="00EC0229">
        <w:t xml:space="preserve">Within the study area there are four main upland areas, with </w:t>
      </w:r>
      <w:r w:rsidR="00D859E7" w:rsidRPr="00EC0229">
        <w:t>lowlands</w:t>
      </w:r>
      <w:r w:rsidR="00D37FC3" w:rsidRPr="00EC0229">
        <w:t xml:space="preserve"> between. From north to south the uplands are the Cheviots, the </w:t>
      </w:r>
      <w:r w:rsidR="00430B5B" w:rsidRPr="00EC0229">
        <w:t>North York Moors</w:t>
      </w:r>
      <w:r w:rsidR="00D37FC3" w:rsidRPr="00EC0229">
        <w:t>, the Pennines and the Yorkshire Wolds.</w:t>
      </w:r>
    </w:p>
    <w:p w14:paraId="39AC814A" w14:textId="77777777" w:rsidR="00A51AB4" w:rsidRPr="00EC0229" w:rsidRDefault="00A51AB4" w:rsidP="007600EA">
      <w:pPr>
        <w:pStyle w:val="NoSpacing"/>
        <w:spacing w:line="360" w:lineRule="auto"/>
      </w:pPr>
    </w:p>
    <w:p w14:paraId="1D9D867D" w14:textId="1951DC2F" w:rsidR="00497FA6" w:rsidRPr="00EC0229" w:rsidRDefault="00497FA6" w:rsidP="007600EA">
      <w:pPr>
        <w:pStyle w:val="NoSpacing"/>
        <w:spacing w:line="360" w:lineRule="auto"/>
      </w:pPr>
      <w:r w:rsidRPr="00EC0229">
        <w:t xml:space="preserve">The Cheviots are a granite outcrop in the Borders with many peaks over 500 metres. Yeavering, presumed site of a Bernician royal palace, Bede’s </w:t>
      </w:r>
      <w:r w:rsidRPr="00EC0229">
        <w:rPr>
          <w:i/>
        </w:rPr>
        <w:t>Ad Gefrin</w:t>
      </w:r>
      <w:r w:rsidRPr="00EC0229">
        <w:t xml:space="preserve"> where Edwin met Paulinus in 627, is situated on the River Glen, near the twin-peak of Yeavering Bell, fortified in antiquity. </w:t>
      </w:r>
    </w:p>
    <w:p w14:paraId="655DE84C" w14:textId="77777777" w:rsidR="00497FA6" w:rsidRPr="00EC0229" w:rsidRDefault="00497FA6" w:rsidP="007600EA">
      <w:pPr>
        <w:pStyle w:val="NoSpacing"/>
        <w:spacing w:line="360" w:lineRule="auto"/>
      </w:pPr>
    </w:p>
    <w:p w14:paraId="2F6C5F5B" w14:textId="7E3486F0" w:rsidR="00497FA6" w:rsidRPr="00EC0229" w:rsidRDefault="00497FA6" w:rsidP="007600EA">
      <w:pPr>
        <w:pStyle w:val="NoSpacing"/>
        <w:spacing w:line="360" w:lineRule="auto"/>
      </w:pPr>
      <w:r w:rsidRPr="00EC0229">
        <w:t xml:space="preserve">The </w:t>
      </w:r>
      <w:r w:rsidR="00430B5B" w:rsidRPr="00EC0229">
        <w:t>North York Moors</w:t>
      </w:r>
      <w:r w:rsidRPr="00EC0229">
        <w:t>, largely above the plough-zone, present a complex Jurassic geology modified by repeated movement, inundation and glaciation. Water erosion has exposed the older rock both at the coast and in river valleys. The high moors are underlain by sandstone and the Tabular Hills by limestone.</w:t>
      </w:r>
      <w:r w:rsidR="00D37FC3" w:rsidRPr="00EC0229">
        <w:t xml:space="preserve"> These infertile areas were largely deforested in the Bronze Age and were sparsely populated in early medieval period.</w:t>
      </w:r>
    </w:p>
    <w:p w14:paraId="1D00815C" w14:textId="77777777" w:rsidR="00497FA6" w:rsidRPr="00EC0229" w:rsidRDefault="00497FA6" w:rsidP="007600EA">
      <w:pPr>
        <w:pStyle w:val="NoSpacing"/>
        <w:spacing w:line="360" w:lineRule="auto"/>
      </w:pPr>
    </w:p>
    <w:p w14:paraId="4D38F017" w14:textId="309B0A11" w:rsidR="00D37FC3" w:rsidRPr="00EC0229" w:rsidRDefault="00A51AB4" w:rsidP="007600EA">
      <w:pPr>
        <w:pStyle w:val="NoSpacing"/>
        <w:spacing w:line="360" w:lineRule="auto"/>
      </w:pPr>
      <w:r w:rsidRPr="00EC0229">
        <w:t xml:space="preserve">The Pennines are an upland spine of moorland cut by more fertile valleys. </w:t>
      </w:r>
      <w:r w:rsidR="00D37FC3" w:rsidRPr="00EC0229">
        <w:t>Ore-field carry veins of lead, copper, zinc and silver.</w:t>
      </w:r>
      <w:r w:rsidR="00D37FC3" w:rsidRPr="00EC0229">
        <w:rPr>
          <w:rStyle w:val="FootnoteReference"/>
        </w:rPr>
        <w:t xml:space="preserve"> </w:t>
      </w:r>
      <w:r w:rsidR="00D37FC3" w:rsidRPr="00EC0229">
        <w:rPr>
          <w:rStyle w:val="FootnoteReference"/>
        </w:rPr>
        <w:footnoteReference w:id="780"/>
      </w:r>
      <w:r w:rsidR="00D37FC3" w:rsidRPr="00EC0229">
        <w:t xml:space="preserve"> </w:t>
      </w:r>
      <w:r w:rsidRPr="00EC0229">
        <w:t>The southern Pennines consist of millstone grit and The Dales area of the northern Pennines exhibit typical limestone features. The Magnesian limestone ridge is a narrow belt running north-south on the east flank of the Pennines overlooking the Vale of York and has been preferred as a route since Neolithic times.</w:t>
      </w:r>
      <w:r w:rsidRPr="00EC0229">
        <w:rPr>
          <w:rStyle w:val="FootnoteReference"/>
        </w:rPr>
        <w:footnoteReference w:id="781"/>
      </w:r>
      <w:r w:rsidR="00D37FC3" w:rsidRPr="00EC0229">
        <w:t xml:space="preserve"> </w:t>
      </w:r>
    </w:p>
    <w:p w14:paraId="5F7D0E2B" w14:textId="77777777" w:rsidR="00A51AB4" w:rsidRPr="00EC0229" w:rsidRDefault="00A51AB4" w:rsidP="007600EA">
      <w:pPr>
        <w:pStyle w:val="NoSpacing"/>
        <w:spacing w:line="360" w:lineRule="auto"/>
      </w:pPr>
    </w:p>
    <w:p w14:paraId="7D74EDB8" w14:textId="5BB0CAE0" w:rsidR="00497FA6" w:rsidRPr="00EC0229" w:rsidRDefault="00497FA6" w:rsidP="007600EA">
      <w:pPr>
        <w:pStyle w:val="NoSpacing"/>
        <w:spacing w:line="360" w:lineRule="auto"/>
      </w:pPr>
      <w:r w:rsidRPr="00EC0229">
        <w:lastRenderedPageBreak/>
        <w:t>The Yorkshire Wolds constitute the northerly section of the Cretaceous chalk plateau running north-south through Lincolnshire, reaching the coast between Scarborough and Bridlington. The plateau undulates with glaciated, often dry, valleys, with the Great Wold Valley running from Wharram-le-Street east to Bridlington intermittently carrying the Gypsey Race.</w:t>
      </w:r>
      <w:r w:rsidR="00D72384" w:rsidRPr="00EC0229">
        <w:t xml:space="preserve"> The Wolds provide rich upland grazing, punctuated by woodland areas.</w:t>
      </w:r>
    </w:p>
    <w:p w14:paraId="0D7255EA" w14:textId="77777777" w:rsidR="00A51AB4" w:rsidRPr="00EC0229" w:rsidRDefault="00A51AB4" w:rsidP="007600EA">
      <w:pPr>
        <w:pStyle w:val="NoSpacing"/>
        <w:spacing w:line="360" w:lineRule="auto"/>
      </w:pPr>
    </w:p>
    <w:p w14:paraId="76569812" w14:textId="385CF97F" w:rsidR="00A51AB4" w:rsidRPr="00EC0229" w:rsidRDefault="00D72384" w:rsidP="007600EA">
      <w:pPr>
        <w:pStyle w:val="NoSpacing"/>
        <w:spacing w:line="360" w:lineRule="auto"/>
      </w:pPr>
      <w:r w:rsidRPr="00EC0229">
        <w:t xml:space="preserve">There are three lowland areas: </w:t>
      </w:r>
      <w:r w:rsidR="00C7553E" w:rsidRPr="00EC0229">
        <w:t>the Central Lowlands</w:t>
      </w:r>
      <w:r w:rsidR="0030553B" w:rsidRPr="00EC0229">
        <w:fldChar w:fldCharType="begin"/>
      </w:r>
      <w:r w:rsidR="0030553B" w:rsidRPr="00EC0229">
        <w:instrText xml:space="preserve"> XE "Central Lowlands" </w:instrText>
      </w:r>
      <w:r w:rsidR="0030553B" w:rsidRPr="00EC0229">
        <w:fldChar w:fldCharType="end"/>
      </w:r>
      <w:r w:rsidR="00C7553E" w:rsidRPr="00EC0229">
        <w:t xml:space="preserve">, </w:t>
      </w:r>
      <w:r w:rsidRPr="00EC0229">
        <w:t>t</w:t>
      </w:r>
      <w:r w:rsidR="00C7553E" w:rsidRPr="00EC0229">
        <w:t>he Vale of</w:t>
      </w:r>
      <w:r w:rsidR="00D37FC3" w:rsidRPr="00EC0229">
        <w:t xml:space="preserve"> Pickering</w:t>
      </w:r>
      <w:r w:rsidRPr="00EC0229">
        <w:t>,</w:t>
      </w:r>
      <w:r w:rsidR="00D37FC3" w:rsidRPr="00EC0229">
        <w:t xml:space="preserve"> and Holderness. </w:t>
      </w:r>
      <w:r w:rsidR="00A51AB4" w:rsidRPr="00EC0229">
        <w:t xml:space="preserve">The </w:t>
      </w:r>
      <w:r w:rsidR="00C7553E" w:rsidRPr="00EC0229">
        <w:t>Central Lowlands are</w:t>
      </w:r>
      <w:r w:rsidR="00A51AB4" w:rsidRPr="00EC0229">
        <w:t xml:space="preserve"> a broad north-south area of glacial and alluvial deposits thickly overlying Triassic sandstone and Jurassic mudstone, known as </w:t>
      </w:r>
      <w:r w:rsidR="00A51AB4" w:rsidRPr="00EC0229">
        <w:rPr>
          <w:i/>
        </w:rPr>
        <w:t>gleys</w:t>
      </w:r>
      <w:r w:rsidR="00236670" w:rsidRPr="00EC0229">
        <w:rPr>
          <w:i/>
        </w:rPr>
        <w:t xml:space="preserve"> </w:t>
      </w:r>
      <w:r w:rsidR="00236670" w:rsidRPr="00EC0229">
        <w:t>(</w:t>
      </w:r>
      <w:r w:rsidR="00236670" w:rsidRPr="00EC0229">
        <w:rPr>
          <w:i/>
        </w:rPr>
        <w:t xml:space="preserve">Map </w:t>
      </w:r>
      <w:r w:rsidR="004048E5" w:rsidRPr="00EC0229">
        <w:rPr>
          <w:i/>
        </w:rPr>
        <w:t>8.07</w:t>
      </w:r>
      <w:r w:rsidR="00236670" w:rsidRPr="00EC0229">
        <w:t>)</w:t>
      </w:r>
      <w:r w:rsidR="00A51AB4" w:rsidRPr="00EC0229">
        <w:t xml:space="preserve">. The Vale of Pickering is enclosed by uplands to the north, west and south, with the North Sea to the east. It has fertile deposits left by the glacial Lake Pickering. The River Derwent diverts south, towards the Humber, skirting the Howardian Hills. </w:t>
      </w:r>
      <w:r w:rsidR="00A51AB4" w:rsidRPr="00EC0229">
        <w:rPr>
          <w:szCs w:val="24"/>
        </w:rPr>
        <w:t xml:space="preserve">The tributaries of the Ouse from the Yorkshire Dales and </w:t>
      </w:r>
      <w:r w:rsidR="00430B5B" w:rsidRPr="00EC0229">
        <w:rPr>
          <w:szCs w:val="24"/>
        </w:rPr>
        <w:t>North York Moors</w:t>
      </w:r>
      <w:r w:rsidR="00A51AB4" w:rsidRPr="00EC0229">
        <w:rPr>
          <w:szCs w:val="24"/>
        </w:rPr>
        <w:t xml:space="preserve"> – the Aire, Don, Wharfe, Rother, Nidd, Swale &amp; Ure and Derwent respectively - combine the waters of much of upland north-east England before joining the Trent to flow into the Humber Estuary.</w:t>
      </w:r>
      <w:r w:rsidRPr="00EC0229">
        <w:rPr>
          <w:szCs w:val="24"/>
        </w:rPr>
        <w:t xml:space="preserve"> The </w:t>
      </w:r>
      <w:r w:rsidR="00C7553E" w:rsidRPr="00EC0229">
        <w:rPr>
          <w:szCs w:val="24"/>
        </w:rPr>
        <w:t>Central Lowlands</w:t>
      </w:r>
      <w:r w:rsidRPr="00EC0229">
        <w:rPr>
          <w:szCs w:val="24"/>
        </w:rPr>
        <w:t xml:space="preserve"> provides rich arable land with much settlement.</w:t>
      </w:r>
    </w:p>
    <w:p w14:paraId="55743907" w14:textId="77777777" w:rsidR="00A51AB4" w:rsidRPr="00EC0229" w:rsidRDefault="00A51AB4" w:rsidP="007600EA">
      <w:pPr>
        <w:pStyle w:val="NoSpacing"/>
        <w:spacing w:line="360" w:lineRule="auto"/>
      </w:pPr>
    </w:p>
    <w:p w14:paraId="66BCA485" w14:textId="77777777" w:rsidR="00A51AB4" w:rsidRPr="00EC0229" w:rsidRDefault="00A51AB4" w:rsidP="007600EA">
      <w:pPr>
        <w:pStyle w:val="NoSpacing"/>
        <w:spacing w:line="360" w:lineRule="auto"/>
      </w:pPr>
      <w:r w:rsidRPr="00EC0229">
        <w:t xml:space="preserve">Holderness is also underlain by Cretaceous chalk, but this is disguised by heavy glaciation resulting in typical deposition features. This is largely a flat, treeless, fertile landscape of sizeable, exposed fields. Coastal erosion washes debris down to Spurn Head. </w:t>
      </w:r>
    </w:p>
    <w:p w14:paraId="6E00807E" w14:textId="77777777" w:rsidR="00A51AB4" w:rsidRPr="00EC0229" w:rsidRDefault="00A51AB4" w:rsidP="007600EA">
      <w:pPr>
        <w:pStyle w:val="NoSpacing"/>
        <w:spacing w:line="360" w:lineRule="auto"/>
      </w:pPr>
    </w:p>
    <w:p w14:paraId="244E5D7B" w14:textId="77777777" w:rsidR="00A51AB4" w:rsidRPr="00EC0229" w:rsidRDefault="00A51AB4" w:rsidP="007600EA">
      <w:pPr>
        <w:pStyle w:val="NoSpacing"/>
        <w:spacing w:line="360" w:lineRule="auto"/>
      </w:pPr>
      <w:r w:rsidRPr="00EC0229">
        <w:t xml:space="preserve">The Escrick moraine marks the northern extent of the glacial Humber Lake formed by the blocking of the Humber Gap. The lake reached southward towards Doncaster. Thick clay sediments formed which are now overlain by peat ‘mires’. </w:t>
      </w:r>
    </w:p>
    <w:p w14:paraId="6D650D53" w14:textId="77777777" w:rsidR="00A51AB4" w:rsidRPr="00EC0229" w:rsidRDefault="00A51AB4" w:rsidP="007600EA">
      <w:pPr>
        <w:pStyle w:val="NoSpacing"/>
        <w:spacing w:line="360" w:lineRule="auto"/>
      </w:pPr>
    </w:p>
    <w:p w14:paraId="58BD1A98" w14:textId="435420AD" w:rsidR="00A51AB4" w:rsidRPr="00EC0229" w:rsidRDefault="00A51AB4" w:rsidP="007600EA">
      <w:pPr>
        <w:spacing w:after="0" w:line="360" w:lineRule="auto"/>
        <w:rPr>
          <w:rFonts w:cs="Times New Roman"/>
          <w:szCs w:val="24"/>
          <w:lang w:eastAsia="en-GB"/>
        </w:rPr>
      </w:pPr>
      <w:r w:rsidRPr="00EC0229">
        <w:t>This geomorphology determined land use</w:t>
      </w:r>
      <w:r w:rsidR="00B64290" w:rsidRPr="00EC0229">
        <w:t xml:space="preserve">. </w:t>
      </w:r>
      <w:r w:rsidR="00911C9D" w:rsidRPr="00EC0229">
        <w:t>Sheep-rearing</w:t>
      </w:r>
      <w:r w:rsidR="0078314C" w:rsidRPr="00EC0229">
        <w:t xml:space="preserve"> took place in </w:t>
      </w:r>
      <w:r w:rsidRPr="00EC0229">
        <w:t xml:space="preserve">the dry chalk </w:t>
      </w:r>
      <w:r w:rsidR="0078314C" w:rsidRPr="00EC0229">
        <w:t>Wolds</w:t>
      </w:r>
      <w:r w:rsidRPr="00EC0229">
        <w:t>, wher</w:t>
      </w:r>
      <w:r w:rsidR="005924F1" w:rsidRPr="00EC0229">
        <w:t>e droveways evince transhumance, but o</w:t>
      </w:r>
      <w:r w:rsidRPr="00EC0229">
        <w:t xml:space="preserve">ther uplands are agriculturally marginal. </w:t>
      </w:r>
      <w:r w:rsidR="005924F1" w:rsidRPr="00EC0229">
        <w:t xml:space="preserve">The more fractured northern uplands of the Yorkshire Moors and Pennines, gave opportunity for mineral extraction with arable farming restricted to the broad valleys, but other than </w:t>
      </w:r>
      <w:r w:rsidR="00AF4744" w:rsidRPr="00EC0229">
        <w:t>near</w:t>
      </w:r>
      <w:r w:rsidR="005924F1" w:rsidRPr="00EC0229">
        <w:t xml:space="preserve"> and on routes between, the great monasteries, activity was i</w:t>
      </w:r>
      <w:r w:rsidR="009F52E8" w:rsidRPr="00EC0229">
        <w:t>nhibited by terrain and climate,</w:t>
      </w:r>
      <w:r w:rsidR="005924F1" w:rsidRPr="00EC0229">
        <w:t xml:space="preserve"> </w:t>
      </w:r>
      <w:r w:rsidR="005924F1" w:rsidRPr="00EC0229">
        <w:rPr>
          <w:rStyle w:val="FootnoteReference"/>
        </w:rPr>
        <w:footnoteReference w:id="782"/>
      </w:r>
      <w:r w:rsidR="009F52E8" w:rsidRPr="00EC0229">
        <w:t xml:space="preserve"> </w:t>
      </w:r>
      <w:r w:rsidR="005924F1" w:rsidRPr="00EC0229">
        <w:t xml:space="preserve">while lowlands were largely given over to cereals and cattle. </w:t>
      </w:r>
      <w:r w:rsidRPr="00EC0229">
        <w:t xml:space="preserve">This </w:t>
      </w:r>
      <w:r w:rsidR="005924F1" w:rsidRPr="00EC0229">
        <w:t xml:space="preserve">pattern of </w:t>
      </w:r>
      <w:r w:rsidRPr="00EC0229">
        <w:t>usage facilitated different forms of land management</w:t>
      </w:r>
      <w:r w:rsidR="009A62D9" w:rsidRPr="00EC0229">
        <w:t>. L</w:t>
      </w:r>
      <w:r w:rsidRPr="00EC0229">
        <w:t xml:space="preserve">andowners in York exercised control over the vast managed estate </w:t>
      </w:r>
      <w:r w:rsidRPr="00EC0229">
        <w:lastRenderedPageBreak/>
        <w:t xml:space="preserve">of the </w:t>
      </w:r>
      <w:r w:rsidR="00C7553E" w:rsidRPr="00EC0229">
        <w:t>Central lowlands</w:t>
      </w:r>
      <w:r w:rsidRPr="00EC0229">
        <w:t>, similarly Beverley with its hinterland, and Ryedale with its numerous religious houses</w:t>
      </w:r>
      <w:r w:rsidR="0078314C" w:rsidRPr="00EC0229">
        <w:t xml:space="preserve"> in elongated parishes</w:t>
      </w:r>
      <w:r w:rsidR="009F52E8" w:rsidRPr="00EC0229">
        <w:t>, while</w:t>
      </w:r>
      <w:r w:rsidRPr="00EC0229">
        <w:t xml:space="preserve"> </w:t>
      </w:r>
      <w:r w:rsidR="009F52E8" w:rsidRPr="00EC0229">
        <w:t>pasturalism in The Wolds encouraged greater mobility.</w:t>
      </w:r>
    </w:p>
    <w:p w14:paraId="69B2135B" w14:textId="77777777" w:rsidR="00A51AB4" w:rsidRPr="00EC0229" w:rsidRDefault="00A51AB4" w:rsidP="007600EA">
      <w:pPr>
        <w:pStyle w:val="NoSpacing"/>
        <w:spacing w:line="360" w:lineRule="auto"/>
      </w:pPr>
    </w:p>
    <w:p w14:paraId="6F9D779A" w14:textId="4F60E650" w:rsidR="00A51AB4" w:rsidRPr="00EC0229" w:rsidRDefault="00604DBB" w:rsidP="007600EA">
      <w:pPr>
        <w:pStyle w:val="NoSpacing"/>
        <w:spacing w:line="360" w:lineRule="auto"/>
      </w:pPr>
      <w:r w:rsidRPr="00EC0229">
        <w:t xml:space="preserve">Bede provided evidence of a network of administrative </w:t>
      </w:r>
      <w:r w:rsidR="00D72384" w:rsidRPr="00EC0229">
        <w:rPr>
          <w:i/>
        </w:rPr>
        <w:t xml:space="preserve">regiones, </w:t>
      </w:r>
      <w:r w:rsidRPr="00EC0229">
        <w:t>based on royal estate centre</w:t>
      </w:r>
      <w:r w:rsidR="00D72384" w:rsidRPr="00EC0229">
        <w:t>s, often at former Roman sites.</w:t>
      </w:r>
      <w:r w:rsidRPr="00EC0229">
        <w:rPr>
          <w:rStyle w:val="FootnoteReference"/>
        </w:rPr>
        <w:footnoteReference w:id="783"/>
      </w:r>
      <w:r w:rsidRPr="00EC0229">
        <w:t xml:space="preserve"> </w:t>
      </w:r>
      <w:r w:rsidR="00A51AB4" w:rsidRPr="00EC0229">
        <w:t>Though by Bede’s time the Humber Estuary was regard</w:t>
      </w:r>
      <w:r w:rsidR="007D5878" w:rsidRPr="00EC0229">
        <w:t>ed as a political frontier, ‘E</w:t>
      </w:r>
      <w:r w:rsidR="00A51AB4" w:rsidRPr="00EC0229">
        <w:t>lsewhere in eastern England the river-systems became the centres rather than the boundaries of the first Germanic settlements.’</w:t>
      </w:r>
      <w:r w:rsidR="00A51AB4" w:rsidRPr="00EC0229">
        <w:rPr>
          <w:rStyle w:val="FootnoteReference"/>
        </w:rPr>
        <w:footnoteReference w:id="784"/>
      </w:r>
      <w:r w:rsidR="00A51AB4" w:rsidRPr="00EC0229">
        <w:t xml:space="preserve"> </w:t>
      </w:r>
    </w:p>
    <w:p w14:paraId="755921CD" w14:textId="77777777" w:rsidR="00A51AB4" w:rsidRPr="00EC0229" w:rsidRDefault="00A51AB4" w:rsidP="007600EA">
      <w:pPr>
        <w:pStyle w:val="NoSpacing"/>
        <w:spacing w:line="360" w:lineRule="auto"/>
      </w:pPr>
    </w:p>
    <w:p w14:paraId="03B8AB0E" w14:textId="034DEC26" w:rsidR="00BE785D" w:rsidRPr="00EC0229" w:rsidRDefault="000C778B" w:rsidP="007600EA">
      <w:pPr>
        <w:pStyle w:val="NoSpacing"/>
        <w:spacing w:line="360" w:lineRule="auto"/>
        <w:rPr>
          <w:lang w:eastAsia="en-GB"/>
        </w:rPr>
      </w:pPr>
      <w:r w:rsidRPr="00EC0229">
        <w:t>Artefactual</w:t>
      </w:r>
      <w:r w:rsidRPr="00EC0229">
        <w:fldChar w:fldCharType="begin"/>
      </w:r>
      <w:r w:rsidRPr="00EC0229">
        <w:instrText xml:space="preserve"> XE "</w:instrText>
      </w:r>
      <w:r w:rsidRPr="00EC0229">
        <w:rPr>
          <w:rStyle w:val="Hyperlink"/>
          <w:noProof/>
          <w:u w:val="none"/>
        </w:rPr>
        <w:instrText>Artefactual</w:instrText>
      </w:r>
      <w:r w:rsidRPr="00EC0229">
        <w:instrText xml:space="preserve">" </w:instrText>
      </w:r>
      <w:r w:rsidRPr="00EC0229">
        <w:fldChar w:fldCharType="end"/>
      </w:r>
      <w:r w:rsidRPr="00EC0229">
        <w:t xml:space="preserve"> discovery in the study area is inhibited by the evidential constraints discussed in </w:t>
      </w:r>
      <w:r w:rsidR="00923167">
        <w:t>Chapter</w:t>
      </w:r>
      <w:r w:rsidRPr="00EC0229">
        <w:t xml:space="preserve"> </w:t>
      </w:r>
      <w:r w:rsidR="00B64290" w:rsidRPr="00EC0229">
        <w:t>6</w:t>
      </w:r>
      <w:r w:rsidR="00E36F2D" w:rsidRPr="00EC0229">
        <w:t xml:space="preserve"> (</w:t>
      </w:r>
      <w:r w:rsidR="008A320B" w:rsidRPr="00EC0229">
        <w:fldChar w:fldCharType="begin"/>
      </w:r>
      <w:r w:rsidR="008A320B" w:rsidRPr="00EC0229">
        <w:instrText xml:space="preserve"> PAGEREF Constraints \h </w:instrText>
      </w:r>
      <w:r w:rsidR="008A320B" w:rsidRPr="00EC0229">
        <w:fldChar w:fldCharType="separate"/>
      </w:r>
      <w:r w:rsidR="0012026B">
        <w:rPr>
          <w:noProof/>
        </w:rPr>
        <w:t>82</w:t>
      </w:r>
      <w:r w:rsidR="008A320B" w:rsidRPr="00EC0229">
        <w:fldChar w:fldCharType="end"/>
      </w:r>
      <w:r w:rsidR="00AB6635">
        <w:t>-</w:t>
      </w:r>
      <w:r w:rsidR="007D5878" w:rsidRPr="00EC0229">
        <w:fldChar w:fldCharType="begin"/>
      </w:r>
      <w:r w:rsidR="007D5878" w:rsidRPr="00EC0229">
        <w:instrText xml:space="preserve"> PAGEREF constraintslocal \h </w:instrText>
      </w:r>
      <w:r w:rsidR="007D5878" w:rsidRPr="00EC0229">
        <w:fldChar w:fldCharType="separate"/>
      </w:r>
      <w:r w:rsidR="0012026B">
        <w:rPr>
          <w:noProof/>
        </w:rPr>
        <w:t>153</w:t>
      </w:r>
      <w:r w:rsidR="007D5878" w:rsidRPr="00EC0229">
        <w:fldChar w:fldCharType="end"/>
      </w:r>
      <w:r w:rsidR="00E36F2D" w:rsidRPr="00EC0229">
        <w:t>)</w:t>
      </w:r>
      <w:r w:rsidRPr="00EC0229">
        <w:t xml:space="preserve">. </w:t>
      </w:r>
      <w:r w:rsidR="00BE785D" w:rsidRPr="00EC0229">
        <w:rPr>
          <w:lang w:eastAsia="en-GB"/>
        </w:rPr>
        <w:t>To</w:t>
      </w:r>
      <w:r w:rsidR="00F21CAB" w:rsidRPr="00EC0229">
        <w:rPr>
          <w:lang w:eastAsia="en-GB"/>
        </w:rPr>
        <w:t xml:space="preserve"> recap</w:t>
      </w:r>
      <w:r w:rsidR="00BE785D" w:rsidRPr="00EC0229">
        <w:rPr>
          <w:lang w:eastAsia="en-GB"/>
        </w:rPr>
        <w:t xml:space="preserve">, two </w:t>
      </w:r>
      <w:r w:rsidR="00F21CAB" w:rsidRPr="00EC0229">
        <w:rPr>
          <w:lang w:eastAsia="en-GB"/>
        </w:rPr>
        <w:t>specific</w:t>
      </w:r>
      <w:r w:rsidR="00BE785D" w:rsidRPr="00EC0229">
        <w:rPr>
          <w:lang w:eastAsia="en-GB"/>
        </w:rPr>
        <w:t xml:space="preserve"> constraints exacerbate the familiar biases of topography, plough-zone, Roman roads and access. First, non-reporting, particularly associated with the detecting community in the North-East is prevalent. Second, the corpus of finds is distorted by a few exceptionally diligent detectorists.</w:t>
      </w:r>
      <w:r w:rsidR="00BE785D" w:rsidRPr="00EC0229">
        <w:rPr>
          <w:rStyle w:val="FootnoteReference"/>
          <w:lang w:eastAsia="en-GB"/>
        </w:rPr>
        <w:footnoteReference w:id="785"/>
      </w:r>
    </w:p>
    <w:p w14:paraId="218CD820" w14:textId="2C9F1D93" w:rsidR="000C778B" w:rsidRPr="00EC0229" w:rsidRDefault="000C778B" w:rsidP="007600EA">
      <w:pPr>
        <w:pStyle w:val="NoSpacing"/>
        <w:spacing w:line="360" w:lineRule="auto"/>
      </w:pPr>
    </w:p>
    <w:p w14:paraId="041FB473" w14:textId="54D920BA" w:rsidR="000C778B" w:rsidRPr="00EC0229" w:rsidRDefault="00736C9E" w:rsidP="007600EA">
      <w:pPr>
        <w:pStyle w:val="Heading2"/>
        <w:spacing w:line="360" w:lineRule="auto"/>
      </w:pPr>
      <w:bookmarkStart w:id="505" w:name="_Toc468266849"/>
      <w:bookmarkStart w:id="506" w:name="casestudies"/>
      <w:r>
        <w:rPr>
          <w:rFonts w:cs="Times New Roman"/>
          <w:sz w:val="30"/>
          <w:szCs w:val="30"/>
        </w:rPr>
        <w:t>8.2</w:t>
      </w:r>
      <w:r>
        <w:rPr>
          <w:rFonts w:cs="Times New Roman"/>
          <w:sz w:val="30"/>
          <w:szCs w:val="30"/>
        </w:rPr>
        <w:tab/>
      </w:r>
      <w:r w:rsidR="000C778B" w:rsidRPr="00EC0229">
        <w:rPr>
          <w:rFonts w:cs="Times New Roman"/>
          <w:sz w:val="30"/>
          <w:szCs w:val="30"/>
        </w:rPr>
        <w:t>Comparative</w:t>
      </w:r>
      <w:r w:rsidR="000C778B" w:rsidRPr="00EC0229">
        <w:t xml:space="preserve"> Case Studies</w:t>
      </w:r>
      <w:bookmarkEnd w:id="505"/>
    </w:p>
    <w:p w14:paraId="4F5A5041" w14:textId="77777777" w:rsidR="000C778B" w:rsidRPr="00EC0229" w:rsidRDefault="000C778B" w:rsidP="007600EA">
      <w:pPr>
        <w:pStyle w:val="NoSpacing"/>
        <w:spacing w:line="360" w:lineRule="auto"/>
        <w:jc w:val="right"/>
        <w:rPr>
          <w:sz w:val="20"/>
          <w:szCs w:val="20"/>
        </w:rPr>
      </w:pPr>
      <w:r w:rsidRPr="00EC0229">
        <w:rPr>
          <w:sz w:val="20"/>
          <w:szCs w:val="20"/>
        </w:rPr>
        <w:t>‘they give money</w:t>
      </w:r>
      <w:r w:rsidRPr="00EC0229">
        <w:rPr>
          <w:sz w:val="20"/>
          <w:szCs w:val="20"/>
        </w:rPr>
        <w:fldChar w:fldCharType="begin"/>
      </w:r>
      <w:r w:rsidRPr="00EC0229">
        <w:instrText xml:space="preserve"> XE "money" </w:instrText>
      </w:r>
      <w:r w:rsidRPr="00EC0229">
        <w:rPr>
          <w:sz w:val="20"/>
          <w:szCs w:val="20"/>
        </w:rPr>
        <w:fldChar w:fldCharType="end"/>
      </w:r>
      <w:r w:rsidRPr="00EC0229">
        <w:rPr>
          <w:sz w:val="20"/>
          <w:szCs w:val="20"/>
        </w:rPr>
        <w:t xml:space="preserve"> to the kings, and under pretence of erecting monasteries they acquire possessions, wherein the more freely to indulge their licentiousness; and procuring these by a royal edict to be assigned over to them in inheritance, they get the deed by which these privileges are confirmed…having gained possession of farms and villages, they free themselves from every bond, both human and Divine.’</w:t>
      </w:r>
    </w:p>
    <w:p w14:paraId="56C5BB75" w14:textId="44A58BDA" w:rsidR="000C778B" w:rsidRPr="00EC0229" w:rsidRDefault="000C778B" w:rsidP="007600EA">
      <w:pPr>
        <w:pStyle w:val="NoSpacing"/>
        <w:spacing w:line="360" w:lineRule="auto"/>
        <w:jc w:val="right"/>
        <w:rPr>
          <w:sz w:val="20"/>
          <w:szCs w:val="20"/>
        </w:rPr>
      </w:pPr>
      <w:r w:rsidRPr="00EC0229">
        <w:rPr>
          <w:bCs/>
          <w:sz w:val="20"/>
          <w:szCs w:val="20"/>
        </w:rPr>
        <w:t>Bede</w:t>
      </w:r>
      <w:r w:rsidRPr="00EC0229">
        <w:rPr>
          <w:bCs/>
          <w:sz w:val="20"/>
          <w:szCs w:val="20"/>
        </w:rPr>
        <w:fldChar w:fldCharType="begin"/>
      </w:r>
      <w:r w:rsidRPr="00EC0229">
        <w:instrText xml:space="preserve"> XE "</w:instrText>
      </w:r>
      <w:r w:rsidRPr="00EC0229">
        <w:rPr>
          <w:bCs/>
          <w:sz w:val="20"/>
          <w:szCs w:val="20"/>
        </w:rPr>
        <w:instrText>Bede</w:instrText>
      </w:r>
      <w:r w:rsidRPr="00EC0229">
        <w:instrText xml:space="preserve">" </w:instrText>
      </w:r>
      <w:r w:rsidRPr="00EC0229">
        <w:rPr>
          <w:bCs/>
          <w:sz w:val="20"/>
          <w:szCs w:val="20"/>
        </w:rPr>
        <w:fldChar w:fldCharType="end"/>
      </w:r>
      <w:r w:rsidRPr="00EC0229">
        <w:rPr>
          <w:bCs/>
          <w:sz w:val="20"/>
          <w:szCs w:val="20"/>
        </w:rPr>
        <w:t>’s letter to Ecgberht</w:t>
      </w:r>
      <w:r w:rsidRPr="00EC0229">
        <w:rPr>
          <w:bCs/>
          <w:sz w:val="20"/>
          <w:szCs w:val="20"/>
        </w:rPr>
        <w:fldChar w:fldCharType="begin"/>
      </w:r>
      <w:r w:rsidRPr="00EC0229">
        <w:instrText xml:space="preserve"> XE "Ecgberht" </w:instrText>
      </w:r>
      <w:r w:rsidRPr="00EC0229">
        <w:rPr>
          <w:bCs/>
          <w:sz w:val="20"/>
          <w:szCs w:val="20"/>
        </w:rPr>
        <w:fldChar w:fldCharType="end"/>
      </w:r>
      <w:r w:rsidR="00BC6635" w:rsidRPr="00EC0229">
        <w:rPr>
          <w:sz w:val="20"/>
          <w:szCs w:val="20"/>
        </w:rPr>
        <w:t xml:space="preserve"> (734, §</w:t>
      </w:r>
      <w:r w:rsidRPr="00EC0229">
        <w:rPr>
          <w:sz w:val="20"/>
          <w:szCs w:val="20"/>
        </w:rPr>
        <w:t>12</w:t>
      </w:r>
      <w:r w:rsidR="00BC6635" w:rsidRPr="00EC0229">
        <w:rPr>
          <w:sz w:val="20"/>
          <w:szCs w:val="20"/>
        </w:rPr>
        <w:t>)</w:t>
      </w:r>
      <w:r w:rsidRPr="00EC0229">
        <w:rPr>
          <w:sz w:val="20"/>
          <w:szCs w:val="20"/>
        </w:rPr>
        <w:t>.</w:t>
      </w:r>
    </w:p>
    <w:bookmarkEnd w:id="506"/>
    <w:p w14:paraId="7AB55C47" w14:textId="5FAD1323" w:rsidR="000C778B" w:rsidRPr="00EC0229" w:rsidRDefault="00BE785D" w:rsidP="007600EA">
      <w:pPr>
        <w:spacing w:after="0" w:line="360" w:lineRule="auto"/>
        <w:rPr>
          <w:szCs w:val="24"/>
        </w:rPr>
      </w:pPr>
      <w:r w:rsidRPr="00EC0229">
        <w:rPr>
          <w:szCs w:val="24"/>
        </w:rPr>
        <w:t xml:space="preserve">An aim of this study is to ascertain the extent to which northern regal and ecclesiastical economic foci converged and diverged, prior to the southern development of a </w:t>
      </w:r>
      <w:r w:rsidRPr="00EC0229">
        <w:rPr>
          <w:i/>
          <w:szCs w:val="24"/>
        </w:rPr>
        <w:t>burh</w:t>
      </w:r>
      <w:r w:rsidRPr="00EC0229">
        <w:rPr>
          <w:szCs w:val="24"/>
        </w:rPr>
        <w:t xml:space="preserve"> system with strategically sited, fortified, commercial, administrative, minting and religious centres. The legal framework, with documentation better surviving in the south, was already taking shape as described in </w:t>
      </w:r>
      <w:r w:rsidR="00923167">
        <w:rPr>
          <w:szCs w:val="24"/>
        </w:rPr>
        <w:t>Chapter</w:t>
      </w:r>
      <w:r w:rsidRPr="00EC0229">
        <w:rPr>
          <w:szCs w:val="24"/>
        </w:rPr>
        <w:t xml:space="preserve"> </w:t>
      </w:r>
      <w:r w:rsidR="003A3DAB" w:rsidRPr="00EC0229">
        <w:rPr>
          <w:szCs w:val="24"/>
        </w:rPr>
        <w:t>3</w:t>
      </w:r>
      <w:r w:rsidR="00523DC2" w:rsidRPr="00EC0229">
        <w:rPr>
          <w:szCs w:val="24"/>
        </w:rPr>
        <w:t xml:space="preserve"> (</w:t>
      </w:r>
      <w:r w:rsidR="00933E21" w:rsidRPr="00EC0229">
        <w:rPr>
          <w:szCs w:val="24"/>
        </w:rPr>
        <w:fldChar w:fldCharType="begin"/>
      </w:r>
      <w:r w:rsidR="00933E21" w:rsidRPr="00EC0229">
        <w:rPr>
          <w:szCs w:val="24"/>
        </w:rPr>
        <w:instrText xml:space="preserve"> PAGEREF Law \h </w:instrText>
      </w:r>
      <w:r w:rsidR="00933E21" w:rsidRPr="00EC0229">
        <w:rPr>
          <w:szCs w:val="24"/>
        </w:rPr>
      </w:r>
      <w:r w:rsidR="00933E21" w:rsidRPr="00EC0229">
        <w:rPr>
          <w:szCs w:val="24"/>
        </w:rPr>
        <w:fldChar w:fldCharType="separate"/>
      </w:r>
      <w:r w:rsidR="0012026B">
        <w:rPr>
          <w:noProof/>
          <w:szCs w:val="24"/>
        </w:rPr>
        <w:t>60</w:t>
      </w:r>
      <w:r w:rsidR="00933E21" w:rsidRPr="00EC0229">
        <w:rPr>
          <w:szCs w:val="24"/>
        </w:rPr>
        <w:fldChar w:fldCharType="end"/>
      </w:r>
      <w:r w:rsidR="00523DC2" w:rsidRPr="00EC0229">
        <w:rPr>
          <w:szCs w:val="24"/>
        </w:rPr>
        <w:t>)</w:t>
      </w:r>
      <w:r w:rsidR="000C778B" w:rsidRPr="00EC0229">
        <w:rPr>
          <w:szCs w:val="24"/>
        </w:rPr>
        <w:t>.</w:t>
      </w:r>
    </w:p>
    <w:p w14:paraId="1AA21BC3" w14:textId="77777777" w:rsidR="000C778B" w:rsidRPr="00EC0229" w:rsidRDefault="000C778B" w:rsidP="007600EA">
      <w:pPr>
        <w:pStyle w:val="NoSpacing"/>
        <w:spacing w:line="360" w:lineRule="auto"/>
        <w:rPr>
          <w:rFonts w:cs="Times New Roman"/>
          <w:color w:val="FF0000"/>
          <w:szCs w:val="24"/>
        </w:rPr>
      </w:pPr>
    </w:p>
    <w:p w14:paraId="580FC701" w14:textId="073BA1AA" w:rsidR="000C778B" w:rsidRPr="00EC0229" w:rsidRDefault="000C778B" w:rsidP="007600EA">
      <w:pPr>
        <w:pStyle w:val="NoSpacing"/>
        <w:spacing w:line="360" w:lineRule="auto"/>
        <w:rPr>
          <w:szCs w:val="24"/>
        </w:rPr>
      </w:pPr>
      <w:r w:rsidRPr="00EC0229">
        <w:t>Northumbria</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00B93F24" w:rsidRPr="00EC0229">
        <w:t xml:space="preserve">’s, warrior society, </w:t>
      </w:r>
      <w:r w:rsidRPr="00EC0229">
        <w:t>rich in livestock</w:t>
      </w:r>
      <w:r w:rsidR="00C24FC2" w:rsidRPr="00EC0229">
        <w:t>, was</w:t>
      </w:r>
      <w:r w:rsidR="00B93F24" w:rsidRPr="00EC0229">
        <w:t xml:space="preserve"> economic</w:t>
      </w:r>
      <w:r w:rsidR="00C24FC2" w:rsidRPr="00EC0229">
        <w:t>ally</w:t>
      </w:r>
      <w:r w:rsidR="00B93F24" w:rsidRPr="00EC0229">
        <w:t xml:space="preserve"> active</w:t>
      </w:r>
      <w:r w:rsidRPr="00EC0229">
        <w:t xml:space="preserve"> in </w:t>
      </w:r>
      <w:r w:rsidR="00B93F24" w:rsidRPr="00EC0229">
        <w:t xml:space="preserve">the </w:t>
      </w:r>
      <w:r w:rsidRPr="00EC0229">
        <w:t>geographical regions</w:t>
      </w:r>
      <w:r w:rsidR="00B93F24" w:rsidRPr="00EC0229">
        <w:t xml:space="preserve"> identified above (</w:t>
      </w:r>
      <w:r w:rsidR="00B93F24" w:rsidRPr="00EC0229">
        <w:fldChar w:fldCharType="begin"/>
      </w:r>
      <w:r w:rsidR="00B93F24" w:rsidRPr="00EC0229">
        <w:instrText xml:space="preserve"> PAGEREF Geomorphology \h </w:instrText>
      </w:r>
      <w:r w:rsidR="00B93F24" w:rsidRPr="00EC0229">
        <w:fldChar w:fldCharType="separate"/>
      </w:r>
      <w:r w:rsidR="0012026B">
        <w:rPr>
          <w:noProof/>
        </w:rPr>
        <w:t>176</w:t>
      </w:r>
      <w:r w:rsidR="00B93F24" w:rsidRPr="00EC0229">
        <w:fldChar w:fldCharType="end"/>
      </w:r>
      <w:r w:rsidR="00B93F24" w:rsidRPr="00EC0229">
        <w:t>) which for the purposes of this study</w:t>
      </w:r>
      <w:r w:rsidR="009A62D9" w:rsidRPr="00EC0229">
        <w:t>, mindful of Wrathmell’s caveats,</w:t>
      </w:r>
      <w:r w:rsidR="009A62D9" w:rsidRPr="00EC0229">
        <w:rPr>
          <w:rStyle w:val="FootnoteReference"/>
        </w:rPr>
        <w:footnoteReference w:id="786"/>
      </w:r>
      <w:r w:rsidR="00B93F24" w:rsidRPr="00EC0229">
        <w:t xml:space="preserve"> are distinguished as</w:t>
      </w:r>
      <w:r w:rsidRPr="00EC0229">
        <w:t>: York</w:t>
      </w:r>
      <w:r w:rsidRPr="00EC0229">
        <w:fldChar w:fldCharType="begin"/>
      </w:r>
      <w:r w:rsidRPr="00EC0229">
        <w:instrText xml:space="preserve"> XE "</w:instrText>
      </w:r>
      <w:r w:rsidRPr="00EC0229">
        <w:rPr>
          <w:noProof/>
        </w:rPr>
        <w:instrText>York</w:instrText>
      </w:r>
      <w:r w:rsidRPr="00EC0229">
        <w:instrText xml:space="preserve">" </w:instrText>
      </w:r>
      <w:r w:rsidRPr="00EC0229">
        <w:fldChar w:fldCharType="end"/>
      </w:r>
      <w:r w:rsidRPr="00EC0229">
        <w:t xml:space="preserve"> and its environs (</w:t>
      </w:r>
      <w:r w:rsidR="00B544A1" w:rsidRPr="00EC0229">
        <w:fldChar w:fldCharType="begin"/>
      </w:r>
      <w:r w:rsidR="00B544A1" w:rsidRPr="00EC0229">
        <w:instrText xml:space="preserve"> PAGEREF Yorkanditsenvirons \h </w:instrText>
      </w:r>
      <w:r w:rsidR="00B544A1" w:rsidRPr="00EC0229">
        <w:fldChar w:fldCharType="separate"/>
      </w:r>
      <w:r w:rsidR="0012026B">
        <w:rPr>
          <w:noProof/>
        </w:rPr>
        <w:t>180</w:t>
      </w:r>
      <w:r w:rsidR="00B544A1" w:rsidRPr="00EC0229">
        <w:fldChar w:fldCharType="end"/>
      </w:r>
      <w:r w:rsidRPr="00EC0229">
        <w:t xml:space="preserve">), 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 xml:space="preserve"> (</w:t>
      </w:r>
      <w:r w:rsidR="00B544A1" w:rsidRPr="00EC0229">
        <w:fldChar w:fldCharType="begin"/>
      </w:r>
      <w:r w:rsidR="00B544A1" w:rsidRPr="00EC0229">
        <w:instrText xml:space="preserve"> PAGEREF TheValeofYork \h </w:instrText>
      </w:r>
      <w:r w:rsidR="00B544A1" w:rsidRPr="00EC0229">
        <w:fldChar w:fldCharType="separate"/>
      </w:r>
      <w:r w:rsidR="0012026B">
        <w:rPr>
          <w:noProof/>
        </w:rPr>
        <w:t>211</w:t>
      </w:r>
      <w:r w:rsidR="00B544A1" w:rsidRPr="00EC0229">
        <w:fldChar w:fldCharType="end"/>
      </w:r>
      <w:r w:rsidRPr="00EC0229">
        <w:t xml:space="preserve">), the </w:t>
      </w:r>
      <w:r w:rsidRPr="00EC0229">
        <w:lastRenderedPageBreak/>
        <w:t>Yorkshire Wolds</w:t>
      </w:r>
      <w:r w:rsidRPr="00EC0229">
        <w:fldChar w:fldCharType="begin"/>
      </w:r>
      <w:r w:rsidRPr="00EC0229">
        <w:instrText xml:space="preserve"> XE "</w:instrText>
      </w:r>
      <w:r w:rsidRPr="00EC0229">
        <w:rPr>
          <w:rFonts w:cs="Times New Roman"/>
          <w:noProof/>
        </w:rPr>
        <w:instrText>Yorkshire Wolds</w:instrText>
      </w:r>
      <w:r w:rsidRPr="00EC0229">
        <w:instrText xml:space="preserve">" </w:instrText>
      </w:r>
      <w:r w:rsidRPr="00EC0229">
        <w:fldChar w:fldCharType="end"/>
      </w:r>
      <w:r w:rsidRPr="00EC0229">
        <w:t xml:space="preserve"> (</w:t>
      </w:r>
      <w:r w:rsidR="00B544A1" w:rsidRPr="00EC0229">
        <w:fldChar w:fldCharType="begin"/>
      </w:r>
      <w:r w:rsidR="00B544A1" w:rsidRPr="00EC0229">
        <w:instrText xml:space="preserve"> PAGEREF TheYorkshireWolds \h </w:instrText>
      </w:r>
      <w:r w:rsidR="00B544A1" w:rsidRPr="00EC0229">
        <w:fldChar w:fldCharType="separate"/>
      </w:r>
      <w:r w:rsidR="0012026B">
        <w:rPr>
          <w:noProof/>
        </w:rPr>
        <w:t>221</w:t>
      </w:r>
      <w:r w:rsidR="00B544A1" w:rsidRPr="00EC0229">
        <w:fldChar w:fldCharType="end"/>
      </w:r>
      <w:r w:rsidRPr="00EC0229">
        <w:t>), the Vale of Pickering</w:t>
      </w:r>
      <w:r w:rsidRPr="00EC0229">
        <w:fldChar w:fldCharType="begin"/>
      </w:r>
      <w:r w:rsidRPr="00EC0229">
        <w:instrText xml:space="preserve"> XE "</w:instrText>
      </w:r>
      <w:r w:rsidRPr="00EC0229">
        <w:rPr>
          <w:rFonts w:cs="Times New Roman"/>
          <w:noProof/>
        </w:rPr>
        <w:instrText>Vale of Pickering</w:instrText>
      </w:r>
      <w:r w:rsidRPr="00EC0229">
        <w:instrText xml:space="preserve">" </w:instrText>
      </w:r>
      <w:r w:rsidRPr="00EC0229">
        <w:fldChar w:fldCharType="end"/>
      </w:r>
      <w:r w:rsidRPr="00EC0229">
        <w:t xml:space="preserve"> (</w:t>
      </w:r>
      <w:r w:rsidR="00B544A1" w:rsidRPr="00EC0229">
        <w:fldChar w:fldCharType="begin"/>
      </w:r>
      <w:r w:rsidR="00B544A1" w:rsidRPr="00EC0229">
        <w:instrText xml:space="preserve"> PAGEREF TheValeofPickering \h </w:instrText>
      </w:r>
      <w:r w:rsidR="00B544A1" w:rsidRPr="00EC0229">
        <w:fldChar w:fldCharType="separate"/>
      </w:r>
      <w:r w:rsidR="0012026B">
        <w:rPr>
          <w:noProof/>
        </w:rPr>
        <w:t>266</w:t>
      </w:r>
      <w:r w:rsidR="00B544A1" w:rsidRPr="00EC0229">
        <w:fldChar w:fldCharType="end"/>
      </w:r>
      <w:r w:rsidRPr="00EC0229">
        <w:t>) and Bernicia</w:t>
      </w:r>
      <w:r w:rsidRPr="00EC0229">
        <w:fldChar w:fldCharType="begin"/>
      </w:r>
      <w:r w:rsidRPr="00EC0229">
        <w:instrText xml:space="preserve"> XE "</w:instrText>
      </w:r>
      <w:r w:rsidRPr="00EC0229">
        <w:rPr>
          <w:rFonts w:cs="Times New Roman"/>
          <w:noProof/>
        </w:rPr>
        <w:instrText>Bernicia</w:instrText>
      </w:r>
      <w:r w:rsidRPr="00EC0229">
        <w:instrText xml:space="preserve">" </w:instrText>
      </w:r>
      <w:r w:rsidRPr="00EC0229">
        <w:fldChar w:fldCharType="end"/>
      </w:r>
      <w:r w:rsidRPr="00EC0229">
        <w:t xml:space="preserve"> and the North (</w:t>
      </w:r>
      <w:r w:rsidR="00B544A1" w:rsidRPr="00EC0229">
        <w:fldChar w:fldCharType="begin"/>
      </w:r>
      <w:r w:rsidR="00B544A1" w:rsidRPr="00EC0229">
        <w:instrText xml:space="preserve"> PAGEREF Bernicia \h </w:instrText>
      </w:r>
      <w:r w:rsidR="00B544A1" w:rsidRPr="00EC0229">
        <w:fldChar w:fldCharType="separate"/>
      </w:r>
      <w:r w:rsidR="0012026B">
        <w:rPr>
          <w:noProof/>
        </w:rPr>
        <w:t>277</w:t>
      </w:r>
      <w:r w:rsidR="00B544A1" w:rsidRPr="00EC0229">
        <w:fldChar w:fldCharType="end"/>
      </w:r>
      <w:r w:rsidRPr="00EC0229">
        <w:t xml:space="preserve">). </w:t>
      </w:r>
      <w:r w:rsidRPr="00EC0229">
        <w:rPr>
          <w:szCs w:val="24"/>
        </w:rPr>
        <w:t xml:space="preserve">Within each region, the analysis is parish-based. </w:t>
      </w:r>
      <w:r w:rsidR="00A97FCA" w:rsidRPr="00EC0229">
        <w:rPr>
          <w:i/>
          <w:szCs w:val="24"/>
        </w:rPr>
        <w:t xml:space="preserve">Map </w:t>
      </w:r>
      <w:r w:rsidR="004048E5" w:rsidRPr="00EC0229">
        <w:rPr>
          <w:i/>
          <w:szCs w:val="24"/>
        </w:rPr>
        <w:t>8.08</w:t>
      </w:r>
      <w:r w:rsidR="00A97FCA" w:rsidRPr="00EC0229">
        <w:rPr>
          <w:szCs w:val="24"/>
        </w:rPr>
        <w:t xml:space="preserve"> shows the lost villages of north and east Yorkshire.</w:t>
      </w:r>
    </w:p>
    <w:p w14:paraId="70524FEC" w14:textId="77777777" w:rsidR="000C778B" w:rsidRPr="00EC0229" w:rsidRDefault="000C778B" w:rsidP="007600EA">
      <w:pPr>
        <w:pStyle w:val="NoSpacing"/>
        <w:spacing w:line="360" w:lineRule="auto"/>
        <w:rPr>
          <w:szCs w:val="24"/>
        </w:rPr>
      </w:pPr>
    </w:p>
    <w:p w14:paraId="6E948B74" w14:textId="6814E52F" w:rsidR="000C778B" w:rsidRPr="00EC0229" w:rsidRDefault="000C778B" w:rsidP="007600EA">
      <w:pPr>
        <w:pStyle w:val="NoSpacing"/>
        <w:spacing w:line="360" w:lineRule="auto"/>
        <w:rPr>
          <w:lang w:eastAsia="en-GB"/>
        </w:rPr>
      </w:pPr>
      <w:r w:rsidRPr="00EC0229">
        <w:rPr>
          <w:lang w:eastAsia="en-GB"/>
        </w:rPr>
        <w:t>Having set the theoretical framework in the context of land use</w:t>
      </w:r>
      <w:r w:rsidRPr="00EC0229">
        <w:rPr>
          <w:rStyle w:val="Hyperlink"/>
          <w:u w:val="none"/>
          <w:lang w:eastAsia="en-GB"/>
        </w:rPr>
        <w:t xml:space="preserve"> </w:t>
      </w:r>
      <w:r w:rsidRPr="00EC0229">
        <w:rPr>
          <w:rStyle w:val="Hyperlink"/>
          <w:color w:val="000000" w:themeColor="text1"/>
          <w:u w:val="none"/>
          <w:lang w:eastAsia="en-GB"/>
        </w:rPr>
        <w:t>(</w:t>
      </w:r>
      <w:r w:rsidR="00125E73" w:rsidRPr="00EC0229">
        <w:rPr>
          <w:color w:val="000000" w:themeColor="text1"/>
          <w:szCs w:val="24"/>
        </w:rPr>
        <w:fldChar w:fldCharType="begin"/>
      </w:r>
      <w:r w:rsidR="00125E73" w:rsidRPr="00EC0229">
        <w:rPr>
          <w:rStyle w:val="Hyperlink"/>
          <w:color w:val="000000" w:themeColor="text1"/>
          <w:u w:val="none"/>
          <w:lang w:eastAsia="en-GB"/>
        </w:rPr>
        <w:instrText xml:space="preserve"> PAGEREF landuse \h </w:instrText>
      </w:r>
      <w:r w:rsidR="00125E73" w:rsidRPr="00EC0229">
        <w:rPr>
          <w:color w:val="000000" w:themeColor="text1"/>
          <w:szCs w:val="24"/>
        </w:rPr>
      </w:r>
      <w:r w:rsidR="00125E73" w:rsidRPr="00EC0229">
        <w:rPr>
          <w:color w:val="000000" w:themeColor="text1"/>
          <w:szCs w:val="24"/>
        </w:rPr>
        <w:fldChar w:fldCharType="separate"/>
      </w:r>
      <w:r w:rsidR="0012026B">
        <w:rPr>
          <w:rStyle w:val="Hyperlink"/>
          <w:noProof/>
          <w:color w:val="000000" w:themeColor="text1"/>
          <w:u w:val="none"/>
          <w:lang w:eastAsia="en-GB"/>
        </w:rPr>
        <w:t>83</w:t>
      </w:r>
      <w:r w:rsidR="00125E73" w:rsidRPr="00EC0229">
        <w:rPr>
          <w:color w:val="000000" w:themeColor="text1"/>
          <w:szCs w:val="24"/>
        </w:rPr>
        <w:fldChar w:fldCharType="end"/>
      </w:r>
      <w:r w:rsidRPr="00EC0229">
        <w:rPr>
          <w:szCs w:val="24"/>
        </w:rPr>
        <w:t xml:space="preserve">) </w:t>
      </w:r>
      <w:r w:rsidR="00523DC2" w:rsidRPr="00EC0229">
        <w:rPr>
          <w:szCs w:val="24"/>
        </w:rPr>
        <w:t>and</w:t>
      </w:r>
      <w:r w:rsidRPr="00EC0229">
        <w:rPr>
          <w:szCs w:val="24"/>
        </w:rPr>
        <w:t xml:space="preserve"> the </w:t>
      </w:r>
      <w:r w:rsidR="00A972E7" w:rsidRPr="00EC0229">
        <w:rPr>
          <w:szCs w:val="24"/>
        </w:rPr>
        <w:t>rôle</w:t>
      </w:r>
      <w:r w:rsidRPr="00EC0229">
        <w:rPr>
          <w:szCs w:val="24"/>
        </w:rPr>
        <w:t xml:space="preserve"> of law (</w:t>
      </w:r>
      <w:r w:rsidR="00E01166" w:rsidRPr="00EC0229">
        <w:rPr>
          <w:szCs w:val="24"/>
        </w:rPr>
        <w:fldChar w:fldCharType="begin"/>
      </w:r>
      <w:r w:rsidR="00E01166" w:rsidRPr="00EC0229">
        <w:rPr>
          <w:szCs w:val="24"/>
        </w:rPr>
        <w:instrText xml:space="preserve"> PAGEREF Law \h </w:instrText>
      </w:r>
      <w:r w:rsidR="00E01166" w:rsidRPr="00EC0229">
        <w:rPr>
          <w:szCs w:val="24"/>
        </w:rPr>
      </w:r>
      <w:r w:rsidR="00E01166" w:rsidRPr="00EC0229">
        <w:rPr>
          <w:szCs w:val="24"/>
        </w:rPr>
        <w:fldChar w:fldCharType="separate"/>
      </w:r>
      <w:r w:rsidR="0012026B">
        <w:rPr>
          <w:noProof/>
          <w:szCs w:val="24"/>
        </w:rPr>
        <w:t>60</w:t>
      </w:r>
      <w:r w:rsidR="00E01166" w:rsidRPr="00EC0229">
        <w:rPr>
          <w:szCs w:val="24"/>
        </w:rPr>
        <w:fldChar w:fldCharType="end"/>
      </w:r>
      <w:r w:rsidRPr="00EC0229">
        <w:rPr>
          <w:szCs w:val="24"/>
        </w:rPr>
        <w:t>)</w:t>
      </w:r>
      <w:r w:rsidR="00C30558" w:rsidRPr="00EC0229">
        <w:rPr>
          <w:szCs w:val="24"/>
        </w:rPr>
        <w:t>,</w:t>
      </w:r>
      <w:r w:rsidRPr="00EC0229">
        <w:rPr>
          <w:szCs w:val="24"/>
        </w:rPr>
        <w:t xml:space="preserve"> </w:t>
      </w:r>
      <w:r w:rsidR="00C30558" w:rsidRPr="00EC0229">
        <w:rPr>
          <w:szCs w:val="24"/>
        </w:rPr>
        <w:t>and constructed</w:t>
      </w:r>
      <w:r w:rsidRPr="00EC0229">
        <w:rPr>
          <w:szCs w:val="24"/>
        </w:rPr>
        <w:t xml:space="preserve"> the major analytic</w:t>
      </w:r>
      <w:r w:rsidR="00C30558" w:rsidRPr="00EC0229">
        <w:rPr>
          <w:szCs w:val="24"/>
        </w:rPr>
        <w:t>al tools (</w:t>
      </w:r>
      <w:r w:rsidR="00125E73" w:rsidRPr="00EC0229">
        <w:rPr>
          <w:szCs w:val="24"/>
        </w:rPr>
        <w:fldChar w:fldCharType="begin"/>
      </w:r>
      <w:r w:rsidR="00125E73" w:rsidRPr="00EC0229">
        <w:rPr>
          <w:szCs w:val="24"/>
        </w:rPr>
        <w:instrText xml:space="preserve"> PAGEREF Chapter6 \h </w:instrText>
      </w:r>
      <w:r w:rsidR="00125E73" w:rsidRPr="00EC0229">
        <w:rPr>
          <w:szCs w:val="24"/>
        </w:rPr>
      </w:r>
      <w:r w:rsidR="00125E73" w:rsidRPr="00EC0229">
        <w:rPr>
          <w:szCs w:val="24"/>
        </w:rPr>
        <w:fldChar w:fldCharType="separate"/>
      </w:r>
      <w:r w:rsidR="0012026B">
        <w:rPr>
          <w:noProof/>
          <w:szCs w:val="24"/>
        </w:rPr>
        <w:t>149</w:t>
      </w:r>
      <w:r w:rsidR="00125E73" w:rsidRPr="00EC0229">
        <w:rPr>
          <w:szCs w:val="24"/>
        </w:rPr>
        <w:fldChar w:fldCharType="end"/>
      </w:r>
      <w:r w:rsidR="00C30558" w:rsidRPr="00EC0229">
        <w:rPr>
          <w:szCs w:val="24"/>
        </w:rPr>
        <w:t>),</w:t>
      </w:r>
      <w:r w:rsidRPr="00EC0229">
        <w:rPr>
          <w:szCs w:val="24"/>
        </w:rPr>
        <w:t xml:space="preserve"> </w:t>
      </w:r>
      <w:r w:rsidR="00C30558" w:rsidRPr="00EC0229">
        <w:rPr>
          <w:lang w:eastAsia="en-GB"/>
        </w:rPr>
        <w:t>t</w:t>
      </w:r>
      <w:r w:rsidRPr="00EC0229">
        <w:rPr>
          <w:lang w:eastAsia="en-GB"/>
        </w:rPr>
        <w:t xml:space="preserve">he Northumbrian finds are </w:t>
      </w:r>
      <w:r w:rsidR="00C30558" w:rsidRPr="00EC0229">
        <w:rPr>
          <w:lang w:eastAsia="en-GB"/>
        </w:rPr>
        <w:t xml:space="preserve">now </w:t>
      </w:r>
      <w:r w:rsidRPr="00EC0229">
        <w:rPr>
          <w:lang w:eastAsia="en-GB"/>
        </w:rPr>
        <w:t>organised in temporal and spatial</w:t>
      </w:r>
      <w:r w:rsidRPr="00EC0229">
        <w:rPr>
          <w:rStyle w:val="Hyperlink"/>
          <w:u w:val="none"/>
          <w:lang w:eastAsia="en-GB"/>
        </w:rPr>
        <w:t xml:space="preserve"> </w:t>
      </w:r>
      <w:r w:rsidRPr="00EC0229">
        <w:rPr>
          <w:lang w:eastAsia="en-GB"/>
        </w:rPr>
        <w:t xml:space="preserve">frameworks </w:t>
      </w:r>
      <w:r w:rsidR="00BA4C36" w:rsidRPr="00EC0229">
        <w:rPr>
          <w:rStyle w:val="Hyperlink"/>
          <w:color w:val="000000" w:themeColor="text1"/>
          <w:u w:val="none"/>
          <w:lang w:eastAsia="en-GB"/>
        </w:rPr>
        <w:t>(</w:t>
      </w:r>
      <w:r w:rsidR="00BA4C36" w:rsidRPr="00EC0229">
        <w:rPr>
          <w:rStyle w:val="Hyperlink"/>
          <w:color w:val="000000" w:themeColor="text1"/>
          <w:u w:val="none"/>
          <w:lang w:eastAsia="en-GB"/>
        </w:rPr>
        <w:fldChar w:fldCharType="begin"/>
      </w:r>
      <w:r w:rsidR="00BA4C36" w:rsidRPr="00EC0229">
        <w:rPr>
          <w:rStyle w:val="Hyperlink"/>
          <w:color w:val="000000" w:themeColor="text1"/>
          <w:u w:val="none"/>
          <w:lang w:eastAsia="en-GB"/>
        </w:rPr>
        <w:instrText xml:space="preserve"> PAGEREF TemporalAnalysis \h </w:instrText>
      </w:r>
      <w:r w:rsidR="00BA4C36" w:rsidRPr="00EC0229">
        <w:rPr>
          <w:rStyle w:val="Hyperlink"/>
          <w:color w:val="000000" w:themeColor="text1"/>
          <w:u w:val="none"/>
          <w:lang w:eastAsia="en-GB"/>
        </w:rPr>
      </w:r>
      <w:r w:rsidR="00BA4C36" w:rsidRPr="00EC0229">
        <w:rPr>
          <w:rStyle w:val="Hyperlink"/>
          <w:color w:val="000000" w:themeColor="text1"/>
          <w:u w:val="none"/>
          <w:lang w:eastAsia="en-GB"/>
        </w:rPr>
        <w:fldChar w:fldCharType="separate"/>
      </w:r>
      <w:r w:rsidR="0012026B">
        <w:rPr>
          <w:rStyle w:val="Hyperlink"/>
          <w:noProof/>
          <w:color w:val="000000" w:themeColor="text1"/>
          <w:u w:val="none"/>
          <w:lang w:eastAsia="en-GB"/>
        </w:rPr>
        <w:t>159</w:t>
      </w:r>
      <w:r w:rsidR="00BA4C36" w:rsidRPr="00EC0229">
        <w:rPr>
          <w:rStyle w:val="Hyperlink"/>
          <w:color w:val="000000" w:themeColor="text1"/>
          <w:u w:val="none"/>
          <w:lang w:eastAsia="en-GB"/>
        </w:rPr>
        <w:fldChar w:fldCharType="end"/>
      </w:r>
      <w:r w:rsidR="00BA4C36" w:rsidRPr="00EC0229">
        <w:rPr>
          <w:rStyle w:val="Hyperlink"/>
          <w:color w:val="000000" w:themeColor="text1"/>
          <w:u w:val="none"/>
          <w:lang w:eastAsia="en-GB"/>
        </w:rPr>
        <w:t xml:space="preserve"> &amp; </w:t>
      </w:r>
      <w:r w:rsidR="00BA4C36" w:rsidRPr="00EC0229">
        <w:rPr>
          <w:rStyle w:val="Hyperlink"/>
          <w:u w:val="none"/>
          <w:lang w:eastAsia="en-GB"/>
        </w:rPr>
        <w:fldChar w:fldCharType="begin"/>
      </w:r>
      <w:r w:rsidR="00BA4C36" w:rsidRPr="00EC0229">
        <w:rPr>
          <w:rStyle w:val="Hyperlink"/>
          <w:color w:val="000000" w:themeColor="text1"/>
          <w:u w:val="none"/>
          <w:lang w:eastAsia="en-GB"/>
        </w:rPr>
        <w:instrText xml:space="preserve"> PAGEREF GeographicAnalysis \h </w:instrText>
      </w:r>
      <w:r w:rsidR="00BA4C36" w:rsidRPr="00EC0229">
        <w:rPr>
          <w:rStyle w:val="Hyperlink"/>
          <w:u w:val="none"/>
          <w:lang w:eastAsia="en-GB"/>
        </w:rPr>
      </w:r>
      <w:r w:rsidR="00BA4C36" w:rsidRPr="00EC0229">
        <w:rPr>
          <w:rStyle w:val="Hyperlink"/>
          <w:u w:val="none"/>
          <w:lang w:eastAsia="en-GB"/>
        </w:rPr>
        <w:fldChar w:fldCharType="separate"/>
      </w:r>
      <w:r w:rsidR="0012026B">
        <w:rPr>
          <w:rStyle w:val="Hyperlink"/>
          <w:noProof/>
          <w:color w:val="000000" w:themeColor="text1"/>
          <w:u w:val="none"/>
          <w:lang w:eastAsia="en-GB"/>
        </w:rPr>
        <w:t>171</w:t>
      </w:r>
      <w:r w:rsidR="00BA4C36" w:rsidRPr="00EC0229">
        <w:rPr>
          <w:rStyle w:val="Hyperlink"/>
          <w:u w:val="none"/>
          <w:lang w:eastAsia="en-GB"/>
        </w:rPr>
        <w:fldChar w:fldCharType="end"/>
      </w:r>
      <w:r w:rsidR="00BA4C36" w:rsidRPr="00EC0229">
        <w:rPr>
          <w:rStyle w:val="Hyperlink"/>
          <w:color w:val="000000" w:themeColor="text1"/>
          <w:u w:val="none"/>
          <w:lang w:eastAsia="en-GB"/>
        </w:rPr>
        <w:t>)</w:t>
      </w:r>
      <w:r w:rsidR="00BA4C36" w:rsidRPr="00EC0229">
        <w:rPr>
          <w:rStyle w:val="Hyperlink"/>
          <w:u w:val="none"/>
          <w:lang w:eastAsia="en-GB"/>
        </w:rPr>
        <w:t xml:space="preserve"> </w:t>
      </w:r>
      <w:r w:rsidRPr="00EC0229">
        <w:rPr>
          <w:lang w:eastAsia="en-GB"/>
        </w:rPr>
        <w:t xml:space="preserve">populated by analysis of </w:t>
      </w:r>
      <w:r w:rsidR="00442EE8" w:rsidRPr="00EC0229">
        <w:rPr>
          <w:lang w:eastAsia="en-GB"/>
        </w:rPr>
        <w:t xml:space="preserve">the </w:t>
      </w:r>
      <w:r w:rsidR="00497AC3" w:rsidRPr="00EC0229">
        <w:rPr>
          <w:lang w:eastAsia="en-GB"/>
        </w:rPr>
        <w:t>dataset</w:t>
      </w:r>
      <w:r w:rsidRPr="00EC0229">
        <w:rPr>
          <w:lang w:eastAsia="en-GB"/>
        </w:rPr>
        <w:t xml:space="preserve">. Constantly mindful of the caveats set out in </w:t>
      </w:r>
      <w:r w:rsidR="00B64290" w:rsidRPr="00EC0229">
        <w:rPr>
          <w:lang w:eastAsia="en-GB"/>
        </w:rPr>
        <w:t>chapter 6</w:t>
      </w:r>
      <w:r w:rsidR="00E36F2D" w:rsidRPr="00EC0229">
        <w:rPr>
          <w:lang w:eastAsia="en-GB"/>
        </w:rPr>
        <w:t xml:space="preserve"> (</w:t>
      </w:r>
      <w:r w:rsidR="00BA4C36" w:rsidRPr="00EC0229">
        <w:rPr>
          <w:lang w:eastAsia="en-GB"/>
        </w:rPr>
        <w:fldChar w:fldCharType="begin"/>
      </w:r>
      <w:r w:rsidR="00BA4C36" w:rsidRPr="00EC0229">
        <w:rPr>
          <w:lang w:eastAsia="en-GB"/>
        </w:rPr>
        <w:instrText xml:space="preserve"> PAGEREF Constraints \h </w:instrText>
      </w:r>
      <w:r w:rsidR="00BA4C36" w:rsidRPr="00EC0229">
        <w:rPr>
          <w:lang w:eastAsia="en-GB"/>
        </w:rPr>
      </w:r>
      <w:r w:rsidR="00BA4C36" w:rsidRPr="00EC0229">
        <w:rPr>
          <w:lang w:eastAsia="en-GB"/>
        </w:rPr>
        <w:fldChar w:fldCharType="separate"/>
      </w:r>
      <w:r w:rsidR="0012026B">
        <w:rPr>
          <w:noProof/>
          <w:lang w:eastAsia="en-GB"/>
        </w:rPr>
        <w:t>82</w:t>
      </w:r>
      <w:r w:rsidR="00BA4C36" w:rsidRPr="00EC0229">
        <w:rPr>
          <w:lang w:eastAsia="en-GB"/>
        </w:rPr>
        <w:fldChar w:fldCharType="end"/>
      </w:r>
      <w:r w:rsidR="00E36F2D" w:rsidRPr="00EC0229">
        <w:rPr>
          <w:lang w:eastAsia="en-GB"/>
        </w:rPr>
        <w:t>)</w:t>
      </w:r>
      <w:r w:rsidRPr="00EC0229">
        <w:rPr>
          <w:lang w:eastAsia="en-GB"/>
        </w:rPr>
        <w:t>, the fin</w:t>
      </w:r>
      <w:r w:rsidR="00497AC3" w:rsidRPr="00EC0229">
        <w:rPr>
          <w:lang w:eastAsia="en-GB"/>
        </w:rPr>
        <w:t>ds contributing to this dataset</w:t>
      </w:r>
      <w:r w:rsidRPr="00EC0229">
        <w:rPr>
          <w:lang w:eastAsia="en-GB"/>
        </w:rPr>
        <w:t xml:space="preserve"> </w:t>
      </w:r>
      <w:r w:rsidR="00442EE8" w:rsidRPr="00EC0229">
        <w:rPr>
          <w:lang w:eastAsia="en-GB"/>
        </w:rPr>
        <w:t>are</w:t>
      </w:r>
      <w:r w:rsidRPr="00EC0229">
        <w:rPr>
          <w:lang w:eastAsia="en-GB"/>
        </w:rPr>
        <w:t xml:space="preserve"> assessed by period and location</w:t>
      </w:r>
      <w:r w:rsidR="00E36F2D" w:rsidRPr="00EC0229">
        <w:rPr>
          <w:lang w:eastAsia="en-GB"/>
        </w:rPr>
        <w:t>,</w:t>
      </w:r>
      <w:r w:rsidRPr="00EC0229">
        <w:rPr>
          <w:lang w:eastAsia="en-GB"/>
        </w:rPr>
        <w:t xml:space="preserve"> and conclusions on the penetration of coinage into the economy</w:t>
      </w:r>
      <w:r w:rsidRPr="00EC0229">
        <w:rPr>
          <w:lang w:eastAsia="en-GB"/>
        </w:rPr>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rPr>
          <w:lang w:eastAsia="en-GB"/>
        </w:rPr>
        <w:fldChar w:fldCharType="end"/>
      </w:r>
      <w:r w:rsidRPr="00EC0229">
        <w:rPr>
          <w:lang w:eastAsia="en-GB"/>
        </w:rPr>
        <w:t xml:space="preserve">, its distribution and chronology, drawn. </w:t>
      </w:r>
      <w:r w:rsidR="00713206" w:rsidRPr="00EC0229">
        <w:rPr>
          <w:lang w:eastAsia="en-GB"/>
        </w:rPr>
        <w:t xml:space="preserve">An underlying assumption is that condition is indicative of longevity, distancing loss from production both temporarily and spatially. </w:t>
      </w:r>
    </w:p>
    <w:p w14:paraId="334BF5C1" w14:textId="77777777" w:rsidR="000C778B" w:rsidRPr="00EC0229" w:rsidRDefault="000C778B" w:rsidP="007600EA">
      <w:pPr>
        <w:pStyle w:val="NoSpacing"/>
        <w:spacing w:line="360" w:lineRule="auto"/>
      </w:pPr>
    </w:p>
    <w:p w14:paraId="32CF522E" w14:textId="77777777" w:rsidR="00F91183" w:rsidRDefault="00F91183">
      <w:pPr>
        <w:spacing w:line="259" w:lineRule="auto"/>
        <w:jc w:val="left"/>
        <w:rPr>
          <w:b/>
          <w:sz w:val="28"/>
          <w:szCs w:val="26"/>
        </w:rPr>
      </w:pPr>
      <w:bookmarkStart w:id="507" w:name="Chapter12"/>
      <w:bookmarkStart w:id="508" w:name="Yorkanditsenvirons"/>
      <w:bookmarkEnd w:id="507"/>
      <w:r>
        <w:br w:type="page"/>
      </w:r>
    </w:p>
    <w:p w14:paraId="0F82E8B5" w14:textId="0B3939DD" w:rsidR="00BD53D4" w:rsidRPr="00EC0229" w:rsidRDefault="00455D13" w:rsidP="007600EA">
      <w:pPr>
        <w:pStyle w:val="Heading2"/>
        <w:spacing w:line="360" w:lineRule="auto"/>
      </w:pPr>
      <w:bookmarkStart w:id="509" w:name="_Toc468266850"/>
      <w:r>
        <w:lastRenderedPageBreak/>
        <w:t>8.2.1</w:t>
      </w:r>
      <w:r w:rsidR="00736C9E">
        <w:tab/>
      </w:r>
      <w:r w:rsidR="00BD53D4" w:rsidRPr="00EC0229">
        <w:t>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00BD53D4" w:rsidRPr="00EC0229">
        <w:t xml:space="preserve"> and its environs</w:t>
      </w:r>
      <w:bookmarkEnd w:id="508"/>
      <w:bookmarkEnd w:id="509"/>
    </w:p>
    <w:p w14:paraId="2BBC066E" w14:textId="77777777" w:rsidR="00E70E90" w:rsidRPr="00EC0229" w:rsidRDefault="00E70E90" w:rsidP="007600EA">
      <w:pPr>
        <w:pStyle w:val="NoSpacing"/>
        <w:spacing w:line="360" w:lineRule="auto"/>
        <w:jc w:val="right"/>
        <w:rPr>
          <w:sz w:val="19"/>
          <w:szCs w:val="19"/>
        </w:rPr>
      </w:pPr>
      <w:r w:rsidRPr="00EC0229">
        <w:rPr>
          <w:sz w:val="19"/>
          <w:szCs w:val="19"/>
        </w:rPr>
        <w:t xml:space="preserve">‘The endowment of Bede’s </w:t>
      </w:r>
      <w:r w:rsidRPr="00EC0229">
        <w:rPr>
          <w:i/>
          <w:sz w:val="19"/>
          <w:szCs w:val="19"/>
        </w:rPr>
        <w:t>Ecclesia Anglorum</w:t>
      </w:r>
      <w:r w:rsidRPr="00EC0229">
        <w:rPr>
          <w:sz w:val="19"/>
          <w:szCs w:val="19"/>
        </w:rPr>
        <w:t xml:space="preserve">…was vast…the Christian Church has always been startlingly rich’ </w:t>
      </w:r>
    </w:p>
    <w:p w14:paraId="72B19C57" w14:textId="674F8705" w:rsidR="00E70E90" w:rsidRPr="00EC0229" w:rsidRDefault="00E70E90" w:rsidP="007600EA">
      <w:pPr>
        <w:pStyle w:val="NoSpacing"/>
        <w:spacing w:line="360" w:lineRule="auto"/>
        <w:jc w:val="right"/>
        <w:rPr>
          <w:sz w:val="20"/>
          <w:szCs w:val="20"/>
        </w:rPr>
      </w:pPr>
      <w:r w:rsidRPr="00EC0229">
        <w:rPr>
          <w:sz w:val="20"/>
          <w:szCs w:val="20"/>
        </w:rPr>
        <w:t>Patrick Wormald (2006, 157)</w:t>
      </w:r>
    </w:p>
    <w:p w14:paraId="2C261670" w14:textId="690A7D87" w:rsidR="00BD53D4" w:rsidRPr="00EC0229" w:rsidRDefault="00BD53D4" w:rsidP="007600EA">
      <w:pPr>
        <w:pStyle w:val="NoSpacing"/>
        <w:spacing w:line="360" w:lineRule="auto"/>
        <w:rPr>
          <w:rFonts w:eastAsia="Times New Roman" w:cs="Times New Roman"/>
          <w:color w:val="000000" w:themeColor="text1"/>
          <w:szCs w:val="24"/>
          <w:lang w:eastAsia="en-GB"/>
        </w:rPr>
      </w:pPr>
      <w:r w:rsidRPr="00EC0229">
        <w:rPr>
          <w:rFonts w:eastAsia="Times New Roman" w:cs="Times New Roman"/>
          <w:color w:val="000000" w:themeColor="text1"/>
          <w:szCs w:val="24"/>
          <w:lang w:eastAsia="en-GB"/>
        </w:rPr>
        <w:t>Following an introduction to York</w:t>
      </w:r>
      <w:r w:rsidR="006B1593" w:rsidRPr="00EC0229">
        <w:rPr>
          <w:rFonts w:eastAsia="Times New Roman" w:cs="Times New Roman"/>
          <w:color w:val="000000" w:themeColor="text1"/>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’s </w:t>
      </w:r>
      <w:r w:rsidRPr="00EC0229">
        <w:rPr>
          <w:rFonts w:eastAsia="Times New Roman" w:cs="Times New Roman"/>
          <w:szCs w:val="24"/>
          <w:lang w:eastAsia="en-GB"/>
        </w:rPr>
        <w:t>Anglian</w:t>
      </w:r>
      <w:r w:rsidR="00D142DC" w:rsidRPr="00EC0229">
        <w:rPr>
          <w:rFonts w:eastAsia="Times New Roman" w:cs="Times New Roman"/>
          <w:szCs w:val="24"/>
          <w:lang w:eastAsia="en-GB"/>
        </w:rPr>
        <w:fldChar w:fldCharType="begin"/>
      </w:r>
      <w:r w:rsidR="00D142DC" w:rsidRPr="00EC0229">
        <w:instrText xml:space="preserve"> XE "Anglian"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period</w:t>
      </w:r>
      <w:r w:rsidRPr="00EC0229">
        <w:rPr>
          <w:rFonts w:eastAsia="Times New Roman" w:cs="Times New Roman"/>
          <w:color w:val="000000" w:themeColor="text1"/>
          <w:szCs w:val="24"/>
          <w:lang w:eastAsia="en-GB"/>
        </w:rPr>
        <w:t xml:space="preserve">, coin and artefact finds in the general area </w:t>
      </w:r>
      <w:r w:rsidR="00D70F09" w:rsidRPr="00EC0229">
        <w:rPr>
          <w:rFonts w:eastAsia="Times New Roman" w:cs="Times New Roman"/>
          <w:color w:val="000000" w:themeColor="text1"/>
          <w:szCs w:val="24"/>
          <w:lang w:eastAsia="en-GB"/>
        </w:rPr>
        <w:t xml:space="preserve">are </w:t>
      </w:r>
      <w:r w:rsidR="00C30558" w:rsidRPr="00EC0229">
        <w:rPr>
          <w:rFonts w:eastAsia="Times New Roman" w:cs="Times New Roman"/>
          <w:color w:val="000000" w:themeColor="text1"/>
          <w:szCs w:val="24"/>
          <w:lang w:eastAsia="en-GB"/>
        </w:rPr>
        <w:t xml:space="preserve">investigated </w:t>
      </w:r>
      <w:r w:rsidRPr="00EC0229">
        <w:rPr>
          <w:rFonts w:eastAsia="Times New Roman" w:cs="Times New Roman"/>
          <w:color w:val="000000" w:themeColor="text1"/>
          <w:szCs w:val="24"/>
          <w:lang w:eastAsia="en-GB"/>
        </w:rPr>
        <w:t xml:space="preserve">focussing on the major sites in York, specifically the </w:t>
      </w:r>
      <w:r w:rsidRPr="00EC0229">
        <w:rPr>
          <w:rFonts w:eastAsia="Times New Roman" w:cs="Times New Roman"/>
          <w:szCs w:val="24"/>
          <w:lang w:eastAsia="en-GB"/>
        </w:rPr>
        <w:t>Minster</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noProof/>
        </w:rPr>
        <w:instrText>York Minster</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color w:val="000000" w:themeColor="text1"/>
          <w:szCs w:val="24"/>
          <w:lang w:eastAsia="en-GB"/>
        </w:rPr>
        <w:t xml:space="preserve"> and especially 46-54 </w:t>
      </w:r>
      <w:r w:rsidRPr="00EC0229">
        <w:rPr>
          <w:rFonts w:eastAsia="Times New Roman" w:cs="Times New Roman"/>
          <w:szCs w:val="24"/>
          <w:lang w:eastAsia="en-GB"/>
        </w:rPr>
        <w:t>Fishergate</w:t>
      </w:r>
      <w:r w:rsidR="00AC28DB" w:rsidRPr="00EC0229">
        <w:rPr>
          <w:rFonts w:eastAsia="Times New Roman" w:cs="Times New Roman"/>
          <w:szCs w:val="24"/>
          <w:lang w:eastAsia="en-GB"/>
        </w:rPr>
        <w:t xml:space="preserve">, before </w:t>
      </w:r>
      <w:r w:rsidR="00AC28DB" w:rsidRPr="00EC0229">
        <w:rPr>
          <w:rFonts w:eastAsia="Times New Roman" w:cs="Times New Roman"/>
          <w:color w:val="000000" w:themeColor="text1"/>
          <w:szCs w:val="24"/>
          <w:lang w:eastAsia="en-GB"/>
        </w:rPr>
        <w:t>consideration of sites in ‘</w:t>
      </w:r>
      <w:r w:rsidR="00AC28DB" w:rsidRPr="00EC0229">
        <w:rPr>
          <w:rFonts w:eastAsia="Times New Roman" w:cs="Times New Roman"/>
          <w:szCs w:val="24"/>
          <w:lang w:eastAsia="en-GB"/>
        </w:rPr>
        <w:t>inner</w:t>
      </w:r>
      <w:r w:rsidR="00AC28DB" w:rsidRPr="00EC0229">
        <w:rPr>
          <w:rFonts w:eastAsia="Times New Roman" w:cs="Times New Roman"/>
          <w:color w:val="000000" w:themeColor="text1"/>
          <w:szCs w:val="24"/>
          <w:lang w:eastAsia="en-GB"/>
        </w:rPr>
        <w:t>’ and ‘</w:t>
      </w:r>
      <w:r w:rsidR="00AC28DB" w:rsidRPr="00EC0229">
        <w:rPr>
          <w:rFonts w:eastAsia="Times New Roman" w:cs="Times New Roman"/>
          <w:szCs w:val="24"/>
          <w:lang w:eastAsia="en-GB"/>
        </w:rPr>
        <w:t>outer</w:t>
      </w:r>
      <w:r w:rsidR="00AC28DB" w:rsidRPr="00EC0229">
        <w:rPr>
          <w:rFonts w:eastAsia="Times New Roman" w:cs="Times New Roman"/>
          <w:color w:val="000000" w:themeColor="text1"/>
          <w:szCs w:val="24"/>
          <w:lang w:eastAsia="en-GB"/>
        </w:rPr>
        <w:t xml:space="preserve">’ York </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noProof/>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color w:val="000000" w:themeColor="text1"/>
          <w:szCs w:val="24"/>
          <w:lang w:eastAsia="en-GB"/>
        </w:rPr>
        <w:t xml:space="preserve">. The major </w:t>
      </w:r>
      <w:r w:rsidRPr="00EC0229">
        <w:rPr>
          <w:rFonts w:eastAsia="Times New Roman" w:cs="Times New Roman"/>
          <w:szCs w:val="24"/>
          <w:lang w:eastAsia="en-GB"/>
        </w:rPr>
        <w:t>hoards</w:t>
      </w:r>
      <w:r w:rsidRPr="00EC0229">
        <w:rPr>
          <w:rFonts w:eastAsia="Times New Roman" w:cs="Times New Roman"/>
          <w:color w:val="000000" w:themeColor="text1"/>
          <w:szCs w:val="24"/>
          <w:lang w:eastAsia="en-GB"/>
        </w:rPr>
        <w:t xml:space="preserve"> have been discussed in detail, in </w:t>
      </w:r>
      <w:r w:rsidR="00923167">
        <w:rPr>
          <w:rFonts w:eastAsia="Times New Roman" w:cs="Times New Roman"/>
          <w:color w:val="000000" w:themeColor="text1"/>
          <w:szCs w:val="24"/>
          <w:lang w:eastAsia="en-GB"/>
        </w:rPr>
        <w:t>Chapter</w:t>
      </w:r>
      <w:r w:rsidR="00C30558" w:rsidRPr="00EC0229">
        <w:rPr>
          <w:rFonts w:eastAsia="Times New Roman" w:cs="Times New Roman"/>
          <w:color w:val="000000" w:themeColor="text1"/>
          <w:szCs w:val="24"/>
          <w:lang w:eastAsia="en-GB"/>
        </w:rPr>
        <w:t xml:space="preserve"> 6</w:t>
      </w:r>
      <w:r w:rsidRPr="00EC0229">
        <w:rPr>
          <w:rFonts w:eastAsia="Times New Roman" w:cs="Times New Roman"/>
          <w:color w:val="000000" w:themeColor="text1"/>
          <w:szCs w:val="24"/>
          <w:lang w:eastAsia="en-GB"/>
        </w:rPr>
        <w:t xml:space="preserve">, </w:t>
      </w:r>
      <w:r w:rsidR="00F54401" w:rsidRPr="00EC0229">
        <w:rPr>
          <w:rFonts w:eastAsia="Times New Roman" w:cs="Times New Roman"/>
          <w:color w:val="000000" w:themeColor="text1"/>
          <w:szCs w:val="24"/>
          <w:lang w:eastAsia="en-GB"/>
        </w:rPr>
        <w:t>(</w:t>
      </w:r>
      <w:r w:rsidR="005B001F" w:rsidRPr="00EC0229">
        <w:rPr>
          <w:rFonts w:eastAsia="Times New Roman" w:cs="Times New Roman"/>
          <w:color w:val="000000" w:themeColor="text1"/>
          <w:szCs w:val="24"/>
          <w:lang w:eastAsia="en-GB"/>
        </w:rPr>
        <w:fldChar w:fldCharType="begin"/>
      </w:r>
      <w:r w:rsidR="005B001F" w:rsidRPr="00EC0229">
        <w:rPr>
          <w:rFonts w:eastAsia="Times New Roman" w:cs="Times New Roman"/>
          <w:color w:val="000000" w:themeColor="text1"/>
          <w:szCs w:val="24"/>
          <w:lang w:eastAsia="en-GB"/>
        </w:rPr>
        <w:instrText xml:space="preserve"> PAGEREF Hoards \h </w:instrText>
      </w:r>
      <w:r w:rsidR="005B001F" w:rsidRPr="00EC0229">
        <w:rPr>
          <w:rFonts w:eastAsia="Times New Roman" w:cs="Times New Roman"/>
          <w:color w:val="000000" w:themeColor="text1"/>
          <w:szCs w:val="24"/>
          <w:lang w:eastAsia="en-GB"/>
        </w:rPr>
      </w:r>
      <w:r w:rsidR="005B001F" w:rsidRPr="00EC0229">
        <w:rPr>
          <w:rFonts w:eastAsia="Times New Roman" w:cs="Times New Roman"/>
          <w:color w:val="000000" w:themeColor="text1"/>
          <w:szCs w:val="24"/>
          <w:lang w:eastAsia="en-GB"/>
        </w:rPr>
        <w:fldChar w:fldCharType="separate"/>
      </w:r>
      <w:r w:rsidR="0012026B">
        <w:rPr>
          <w:rFonts w:eastAsia="Times New Roman" w:cs="Times New Roman"/>
          <w:noProof/>
          <w:color w:val="000000" w:themeColor="text1"/>
          <w:szCs w:val="24"/>
          <w:lang w:eastAsia="en-GB"/>
        </w:rPr>
        <w:t>157</w:t>
      </w:r>
      <w:r w:rsidR="005B001F" w:rsidRPr="00EC0229">
        <w:rPr>
          <w:rFonts w:eastAsia="Times New Roman" w:cs="Times New Roman"/>
          <w:color w:val="000000" w:themeColor="text1"/>
          <w:szCs w:val="24"/>
          <w:lang w:eastAsia="en-GB"/>
        </w:rPr>
        <w:fldChar w:fldCharType="end"/>
      </w:r>
      <w:r w:rsidR="00F54401" w:rsidRPr="00EC0229">
        <w:rPr>
          <w:rFonts w:eastAsia="Times New Roman" w:cs="Times New Roman"/>
          <w:color w:val="000000" w:themeColor="text1"/>
          <w:szCs w:val="24"/>
          <w:lang w:eastAsia="en-GB"/>
        </w:rPr>
        <w:t xml:space="preserve">) </w:t>
      </w:r>
      <w:r w:rsidRPr="00EC0229">
        <w:rPr>
          <w:rFonts w:eastAsia="Times New Roman" w:cs="Times New Roman"/>
          <w:color w:val="000000" w:themeColor="text1"/>
          <w:szCs w:val="24"/>
          <w:lang w:eastAsia="en-GB"/>
        </w:rPr>
        <w:t xml:space="preserve">and will </w:t>
      </w:r>
      <w:r w:rsidR="00E36F2D" w:rsidRPr="00EC0229">
        <w:rPr>
          <w:rFonts w:eastAsia="Times New Roman" w:cs="Times New Roman"/>
          <w:color w:val="000000" w:themeColor="text1"/>
          <w:szCs w:val="24"/>
          <w:lang w:eastAsia="en-GB"/>
        </w:rPr>
        <w:t xml:space="preserve">be </w:t>
      </w:r>
      <w:r w:rsidRPr="00EC0229">
        <w:rPr>
          <w:rFonts w:eastAsia="Times New Roman" w:cs="Times New Roman"/>
          <w:color w:val="000000" w:themeColor="text1"/>
          <w:szCs w:val="24"/>
          <w:lang w:eastAsia="en-GB"/>
        </w:rPr>
        <w:t>mentioned only in passing.</w:t>
      </w:r>
    </w:p>
    <w:p w14:paraId="4C378062" w14:textId="4B57020F" w:rsidR="00BD53D4" w:rsidRPr="00EC0229" w:rsidRDefault="00BD53D4" w:rsidP="007600EA">
      <w:pPr>
        <w:pStyle w:val="NoSpacing"/>
        <w:spacing w:line="360" w:lineRule="auto"/>
        <w:rPr>
          <w:szCs w:val="24"/>
        </w:rPr>
      </w:pPr>
    </w:p>
    <w:p w14:paraId="08450433" w14:textId="3A13C00B" w:rsidR="00BD53D4" w:rsidRPr="00736C9E" w:rsidRDefault="00736C9E" w:rsidP="00736C9E">
      <w:pPr>
        <w:pStyle w:val="Heading3"/>
        <w:spacing w:line="360" w:lineRule="auto"/>
      </w:pPr>
      <w:bookmarkStart w:id="510" w:name="_Toc468266851"/>
      <w:r>
        <w:t>8.2.1.1</w:t>
      </w:r>
      <w:r>
        <w:tab/>
      </w:r>
      <w:r w:rsidR="00CF62CA" w:rsidRPr="00736C9E">
        <w:t>Archaeology</w:t>
      </w:r>
      <w:bookmarkStart w:id="511" w:name="Anglianperiod"/>
      <w:r w:rsidRPr="00736C9E">
        <w:t xml:space="preserve">: </w:t>
      </w:r>
      <w:r w:rsidR="00BD53D4" w:rsidRPr="00736C9E">
        <w:t>The Anglian</w:t>
      </w:r>
      <w:r w:rsidR="00D142DC" w:rsidRPr="00736C9E">
        <w:fldChar w:fldCharType="begin"/>
      </w:r>
      <w:r w:rsidR="00D142DC" w:rsidRPr="00736C9E">
        <w:instrText xml:space="preserve"> XE "Anglian" </w:instrText>
      </w:r>
      <w:r w:rsidR="00D142DC" w:rsidRPr="00736C9E">
        <w:fldChar w:fldCharType="end"/>
      </w:r>
      <w:r w:rsidR="00BD53D4" w:rsidRPr="00736C9E">
        <w:t xml:space="preserve"> Period</w:t>
      </w:r>
      <w:bookmarkEnd w:id="510"/>
    </w:p>
    <w:bookmarkEnd w:id="511"/>
    <w:p w14:paraId="5ABECEC6" w14:textId="4C2DEEA2" w:rsidR="00BD53D4" w:rsidRPr="00EC0229" w:rsidRDefault="00BD53D4" w:rsidP="007600EA">
      <w:pPr>
        <w:pStyle w:val="NoSpacing"/>
        <w:spacing w:line="360" w:lineRule="auto"/>
        <w:jc w:val="right"/>
        <w:rPr>
          <w:i/>
          <w:sz w:val="20"/>
          <w:szCs w:val="20"/>
          <w:lang w:eastAsia="en-GB"/>
        </w:rPr>
      </w:pPr>
      <w:r w:rsidRPr="00EC0229">
        <w:rPr>
          <w:i/>
          <w:sz w:val="20"/>
          <w:szCs w:val="20"/>
          <w:lang w:eastAsia="en-GB"/>
        </w:rPr>
        <w:t>Roman</w:t>
      </w:r>
      <w:r w:rsidR="00D142DC" w:rsidRPr="00EC0229">
        <w:rPr>
          <w:i/>
          <w:sz w:val="20"/>
          <w:szCs w:val="20"/>
          <w:lang w:eastAsia="en-GB"/>
        </w:rPr>
        <w:fldChar w:fldCharType="begin"/>
      </w:r>
      <w:r w:rsidR="00D142DC" w:rsidRPr="00EC0229">
        <w:instrText xml:space="preserve"> XE "Roman" </w:instrText>
      </w:r>
      <w:r w:rsidR="00D142DC" w:rsidRPr="00EC0229">
        <w:rPr>
          <w:i/>
          <w:sz w:val="20"/>
          <w:szCs w:val="20"/>
          <w:lang w:eastAsia="en-GB"/>
        </w:rPr>
        <w:fldChar w:fldCharType="end"/>
      </w:r>
      <w:r w:rsidRPr="00EC0229">
        <w:rPr>
          <w:i/>
          <w:sz w:val="20"/>
          <w:szCs w:val="20"/>
          <w:lang w:eastAsia="en-GB"/>
        </w:rPr>
        <w:t xml:space="preserve"> power first founded this great city with its walls and towers…</w:t>
      </w:r>
    </w:p>
    <w:p w14:paraId="650F6F40" w14:textId="20FCC88B" w:rsidR="00BD53D4" w:rsidRPr="00EC0229" w:rsidRDefault="00BD53D4" w:rsidP="007600EA">
      <w:pPr>
        <w:pStyle w:val="NoSpacing"/>
        <w:spacing w:line="360" w:lineRule="auto"/>
        <w:jc w:val="right"/>
        <w:rPr>
          <w:i/>
          <w:sz w:val="20"/>
          <w:szCs w:val="20"/>
          <w:lang w:eastAsia="en-GB"/>
        </w:rPr>
      </w:pPr>
      <w:r w:rsidRPr="00EC0229">
        <w:rPr>
          <w:i/>
          <w:sz w:val="20"/>
          <w:szCs w:val="20"/>
          <w:lang w:eastAsia="en-GB"/>
        </w:rPr>
        <w:t>In order to make York</w:t>
      </w:r>
      <w:r w:rsidR="006B1593" w:rsidRPr="00EC0229">
        <w:rPr>
          <w:i/>
          <w:sz w:val="20"/>
          <w:szCs w:val="20"/>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i/>
          <w:sz w:val="20"/>
          <w:szCs w:val="20"/>
          <w:lang w:eastAsia="en-GB"/>
        </w:rPr>
        <w:fldChar w:fldCharType="end"/>
      </w:r>
      <w:r w:rsidRPr="00EC0229">
        <w:rPr>
          <w:i/>
          <w:sz w:val="20"/>
          <w:szCs w:val="20"/>
          <w:lang w:eastAsia="en-GB"/>
        </w:rPr>
        <w:t xml:space="preserve"> an emporium for trade by land and sea alike.</w:t>
      </w:r>
    </w:p>
    <w:p w14:paraId="1C2BC49E" w14:textId="69E2E89F" w:rsidR="00BD53D4" w:rsidRPr="00EC0229" w:rsidRDefault="00BD53D4" w:rsidP="007600EA">
      <w:pPr>
        <w:pStyle w:val="NoSpacing"/>
        <w:spacing w:line="360" w:lineRule="auto"/>
        <w:jc w:val="right"/>
        <w:rPr>
          <w:sz w:val="20"/>
          <w:szCs w:val="20"/>
        </w:rPr>
      </w:pPr>
      <w:r w:rsidRPr="00EC0229">
        <w:rPr>
          <w:sz w:val="20"/>
          <w:szCs w:val="20"/>
        </w:rPr>
        <w:t>Alcuin</w:t>
      </w:r>
      <w:bookmarkStart w:id="512" w:name="_Ref428080753"/>
      <w:r w:rsidR="004C29A9" w:rsidRPr="00EC0229">
        <w:rPr>
          <w:sz w:val="20"/>
          <w:szCs w:val="20"/>
        </w:rPr>
        <w:fldChar w:fldCharType="begin"/>
      </w:r>
      <w:r w:rsidR="004C29A9" w:rsidRPr="00EC0229">
        <w:instrText xml:space="preserve"> XE "</w:instrText>
      </w:r>
      <w:r w:rsidR="004C29A9" w:rsidRPr="00EC0229">
        <w:rPr>
          <w:rFonts w:cs="Times New Roman"/>
          <w:szCs w:val="24"/>
        </w:rPr>
        <w:instrText>Alcuin</w:instrText>
      </w:r>
      <w:r w:rsidR="004C29A9" w:rsidRPr="00EC0229">
        <w:instrText xml:space="preserve">" </w:instrText>
      </w:r>
      <w:r w:rsidR="004C29A9" w:rsidRPr="00EC0229">
        <w:rPr>
          <w:sz w:val="20"/>
          <w:szCs w:val="20"/>
        </w:rPr>
        <w:fldChar w:fldCharType="end"/>
      </w:r>
      <w:bookmarkStart w:id="513" w:name="_Ref467662048"/>
      <w:r w:rsidRPr="00EC0229">
        <w:rPr>
          <w:rStyle w:val="FootnoteReference"/>
          <w:sz w:val="20"/>
          <w:szCs w:val="20"/>
        </w:rPr>
        <w:footnoteReference w:id="787"/>
      </w:r>
      <w:bookmarkEnd w:id="512"/>
      <w:bookmarkEnd w:id="513"/>
      <w:r w:rsidRPr="00EC0229">
        <w:rPr>
          <w:sz w:val="20"/>
          <w:szCs w:val="20"/>
        </w:rPr>
        <w:t xml:space="preserve"> </w:t>
      </w:r>
    </w:p>
    <w:p w14:paraId="5E453978" w14:textId="2BE4BF91" w:rsidR="00BD53D4" w:rsidRPr="00EC0229" w:rsidRDefault="00BD53D4" w:rsidP="007600EA">
      <w:pPr>
        <w:spacing w:after="0" w:line="360" w:lineRule="auto"/>
        <w:rPr>
          <w:sz w:val="20"/>
          <w:szCs w:val="20"/>
        </w:rPr>
      </w:pPr>
      <w:r w:rsidRPr="00EC0229">
        <w:rPr>
          <w:szCs w:val="24"/>
        </w:rPr>
        <w:t>The confluence of the Ouse and Foss is tidal and provides a strategic site breaching the east-west glacial ridge, which was an important prehistoric land route. Here the 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 xml:space="preserve"> </w:t>
      </w:r>
      <w:r w:rsidRPr="00EC0229">
        <w:rPr>
          <w:i/>
          <w:szCs w:val="24"/>
        </w:rPr>
        <w:t xml:space="preserve">Legio IX Hispana </w:t>
      </w:r>
      <w:r w:rsidRPr="00EC0229">
        <w:rPr>
          <w:szCs w:val="24"/>
        </w:rPr>
        <w:t>took advantage of the topography with the construction of a wooden for</w:t>
      </w:r>
      <w:r w:rsidR="00D70F09" w:rsidRPr="00EC0229">
        <w:rPr>
          <w:szCs w:val="24"/>
        </w:rPr>
        <w:t>t above the flood plain, which developed into a legionary fortress and major colonia.</w:t>
      </w:r>
      <w:r w:rsidR="00D70F09" w:rsidRPr="00EC0229">
        <w:rPr>
          <w:rStyle w:val="FootnoteReference"/>
        </w:rPr>
        <w:footnoteReference w:id="788"/>
      </w:r>
      <w:r w:rsidR="00D70F09" w:rsidRPr="00EC0229">
        <w:rPr>
          <w:szCs w:val="24"/>
        </w:rPr>
        <w:t xml:space="preserve"> Septimius Severus proclaimed York</w:t>
      </w:r>
      <w:r w:rsidR="00D70F09" w:rsidRPr="00EC0229">
        <w:rPr>
          <w:szCs w:val="24"/>
        </w:rPr>
        <w:fldChar w:fldCharType="begin"/>
      </w:r>
      <w:r w:rsidR="00D70F09" w:rsidRPr="00EC0229">
        <w:instrText xml:space="preserve"> XE "</w:instrText>
      </w:r>
      <w:r w:rsidR="00D70F09" w:rsidRPr="00EC0229">
        <w:rPr>
          <w:rStyle w:val="Hyperlink"/>
          <w:noProof/>
          <w:u w:val="none"/>
        </w:rPr>
        <w:instrText>York</w:instrText>
      </w:r>
      <w:r w:rsidR="00D70F09" w:rsidRPr="00EC0229">
        <w:instrText xml:space="preserve">" </w:instrText>
      </w:r>
      <w:r w:rsidR="00D70F09" w:rsidRPr="00EC0229">
        <w:rPr>
          <w:szCs w:val="24"/>
        </w:rPr>
        <w:fldChar w:fldCharType="end"/>
      </w:r>
      <w:r w:rsidR="00D70F09" w:rsidRPr="00EC0229">
        <w:rPr>
          <w:szCs w:val="24"/>
        </w:rPr>
        <w:t xml:space="preserve"> capital of </w:t>
      </w:r>
      <w:r w:rsidR="00D70F09" w:rsidRPr="00EC0229">
        <w:rPr>
          <w:i/>
          <w:szCs w:val="24"/>
        </w:rPr>
        <w:t>Britannia Inferior</w:t>
      </w:r>
      <w:r w:rsidR="00D70F09" w:rsidRPr="00EC0229">
        <w:rPr>
          <w:szCs w:val="24"/>
        </w:rPr>
        <w:t>.</w:t>
      </w:r>
      <w:r w:rsidR="00AC28DB" w:rsidRPr="00EC0229">
        <w:rPr>
          <w:rStyle w:val="FootnoteReference"/>
          <w:szCs w:val="24"/>
        </w:rPr>
        <w:footnoteReference w:id="789"/>
      </w:r>
    </w:p>
    <w:p w14:paraId="20BA8A0F" w14:textId="77777777" w:rsidR="00BD53D4" w:rsidRPr="00EC0229" w:rsidRDefault="00BD53D4" w:rsidP="007600EA">
      <w:pPr>
        <w:pStyle w:val="NoSpacing"/>
        <w:spacing w:line="360" w:lineRule="auto"/>
        <w:rPr>
          <w:szCs w:val="24"/>
        </w:rPr>
      </w:pPr>
    </w:p>
    <w:p w14:paraId="2F4F36A5" w14:textId="43D18096" w:rsidR="00BD53D4" w:rsidRPr="00EC0229" w:rsidRDefault="00705B80" w:rsidP="007600EA">
      <w:pPr>
        <w:pStyle w:val="NoSpacing"/>
        <w:spacing w:line="360" w:lineRule="auto"/>
        <w:rPr>
          <w:color w:val="FF0000"/>
          <w:szCs w:val="24"/>
        </w:rPr>
      </w:pPr>
      <w:r w:rsidRPr="00EC0229">
        <w:rPr>
          <w:szCs w:val="24"/>
        </w:rPr>
        <w:t>Nuttgens surmised that with</w:t>
      </w:r>
      <w:r w:rsidR="00BD53D4" w:rsidRPr="00EC0229">
        <w:rPr>
          <w:szCs w:val="24"/>
        </w:rPr>
        <w:t xml:space="preserve"> the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Pr="00EC0229">
        <w:rPr>
          <w:szCs w:val="24"/>
        </w:rPr>
        <w:t xml:space="preserve"> invasion along the Humber, </w:t>
      </w:r>
      <w:r w:rsidR="00BD53D4" w:rsidRPr="00EC0229">
        <w:rPr>
          <w:szCs w:val="24"/>
        </w:rPr>
        <w:t xml:space="preserve">the old wooden bridge </w:t>
      </w:r>
      <w:r w:rsidRPr="00EC0229">
        <w:rPr>
          <w:szCs w:val="24"/>
        </w:rPr>
        <w:t xml:space="preserve">was destroyed and </w:t>
      </w:r>
      <w:r w:rsidR="00BD53D4" w:rsidRPr="00EC0229">
        <w:rPr>
          <w:szCs w:val="24"/>
        </w:rPr>
        <w:t xml:space="preserve">the British </w:t>
      </w:r>
      <w:r w:rsidRPr="00EC0229">
        <w:rPr>
          <w:szCs w:val="24"/>
        </w:rPr>
        <w:t>sought refuge in</w:t>
      </w:r>
      <w:r w:rsidR="00BD53D4" w:rsidRPr="00EC0229">
        <w:rPr>
          <w:szCs w:val="24"/>
        </w:rPr>
        <w:t xml:space="preserve"> Elmet</w:t>
      </w:r>
      <w:r w:rsidRPr="00EC0229">
        <w:rPr>
          <w:szCs w:val="24"/>
        </w:rPr>
        <w:t>: ‘</w:t>
      </w:r>
      <w:r w:rsidR="00BD53D4" w:rsidRPr="00EC0229">
        <w:rPr>
          <w:szCs w:val="24"/>
        </w:rPr>
        <w:t>The Anglian kingdom of Deira</w:t>
      </w:r>
      <w:r w:rsidR="00D142DC" w:rsidRPr="00EC0229">
        <w:rPr>
          <w:szCs w:val="24"/>
        </w:rPr>
        <w:fldChar w:fldCharType="begin"/>
      </w:r>
      <w:r w:rsidR="00D142DC" w:rsidRPr="00EC0229">
        <w:instrText xml:space="preserve"> XE "Deira" </w:instrText>
      </w:r>
      <w:r w:rsidR="00D142DC" w:rsidRPr="00EC0229">
        <w:rPr>
          <w:szCs w:val="24"/>
        </w:rPr>
        <w:fldChar w:fldCharType="end"/>
      </w:r>
      <w:r w:rsidR="00BD53D4" w:rsidRPr="00EC0229">
        <w:rPr>
          <w:szCs w:val="24"/>
        </w:rPr>
        <w:t xml:space="preserve"> was centred in the wolds of the East Riding, so that York itself was effectively on its edge. It was a kingdom of many villages and few towns.’</w:t>
      </w:r>
      <w:r w:rsidR="00BD53D4" w:rsidRPr="00EC0229">
        <w:rPr>
          <w:rStyle w:val="FootnoteReference"/>
          <w:szCs w:val="24"/>
        </w:rPr>
        <w:footnoteReference w:id="790"/>
      </w:r>
      <w:r w:rsidR="00BD53D4" w:rsidRPr="00EC0229">
        <w:rPr>
          <w:color w:val="FF0000"/>
          <w:szCs w:val="24"/>
        </w:rPr>
        <w:t xml:space="preserve"> </w:t>
      </w:r>
    </w:p>
    <w:p w14:paraId="0CF01F94" w14:textId="0AB7F475" w:rsidR="00BD53D4" w:rsidRPr="00EC0229" w:rsidRDefault="00BD53D4" w:rsidP="007600EA">
      <w:pPr>
        <w:pStyle w:val="NoSpacing"/>
        <w:spacing w:line="360" w:lineRule="auto"/>
        <w:rPr>
          <w:szCs w:val="24"/>
        </w:rPr>
      </w:pPr>
    </w:p>
    <w:p w14:paraId="72F816C0" w14:textId="31A3684C" w:rsidR="00BD53D4" w:rsidRPr="00EC0229" w:rsidRDefault="00BD53D4" w:rsidP="007600EA">
      <w:pPr>
        <w:pStyle w:val="NoSpacing"/>
        <w:spacing w:line="360" w:lineRule="auto"/>
        <w:rPr>
          <w:szCs w:val="24"/>
        </w:rPr>
      </w:pPr>
      <w:r w:rsidRPr="00EC0229">
        <w:rPr>
          <w:szCs w:val="24"/>
        </w:rPr>
        <w:t xml:space="preserve">Given that the </w:t>
      </w:r>
      <w:r w:rsidR="00D70F09" w:rsidRPr="00EC0229">
        <w:rPr>
          <w:szCs w:val="24"/>
        </w:rPr>
        <w:t xml:space="preserve">Roman </w:t>
      </w:r>
      <w:r w:rsidRPr="00EC0229">
        <w:rPr>
          <w:szCs w:val="24"/>
        </w:rPr>
        <w:t xml:space="preserve">garrison </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00DC386B" w:rsidRPr="00EC0229">
        <w:rPr>
          <w:szCs w:val="24"/>
        </w:rPr>
        <w:t>constituted</w:t>
      </w:r>
      <w:r w:rsidRPr="00EC0229">
        <w:rPr>
          <w:szCs w:val="24"/>
        </w:rPr>
        <w:t xml:space="preserve"> a substantial proportion of the urban population, an economic </w:t>
      </w:r>
      <w:r w:rsidR="00AC28DB" w:rsidRPr="00EC0229">
        <w:rPr>
          <w:szCs w:val="24"/>
        </w:rPr>
        <w:t xml:space="preserve">deterioration </w:t>
      </w:r>
      <w:r w:rsidRPr="00EC0229">
        <w:rPr>
          <w:szCs w:val="24"/>
        </w:rPr>
        <w:t>followed the withdrawal of troops. As central authority dec</w:t>
      </w:r>
      <w:r w:rsidR="00D70F09" w:rsidRPr="00EC0229">
        <w:rPr>
          <w:szCs w:val="24"/>
        </w:rPr>
        <w:t>lined</w:t>
      </w:r>
      <w:r w:rsidRPr="00EC0229">
        <w:rPr>
          <w:szCs w:val="24"/>
        </w:rPr>
        <w:t>, many urban dwellers will h</w:t>
      </w:r>
      <w:r w:rsidR="00D70F09" w:rsidRPr="00EC0229">
        <w:rPr>
          <w:szCs w:val="24"/>
        </w:rPr>
        <w:t>ave returned to the countryside</w:t>
      </w:r>
      <w:r w:rsidRPr="00EC0229">
        <w:rPr>
          <w:szCs w:val="24"/>
        </w:rPr>
        <w:t>. Cultivators will have been unable to dispose of surplus</w:t>
      </w:r>
      <w:r w:rsidR="008960AE" w:rsidRPr="00EC0229">
        <w:rPr>
          <w:szCs w:val="24"/>
        </w:rPr>
        <w:fldChar w:fldCharType="begin"/>
      </w:r>
      <w:r w:rsidR="008960AE" w:rsidRPr="00EC0229">
        <w:instrText xml:space="preserve"> XE "surplus" </w:instrText>
      </w:r>
      <w:r w:rsidR="008960AE" w:rsidRPr="00EC0229">
        <w:rPr>
          <w:szCs w:val="24"/>
        </w:rPr>
        <w:fldChar w:fldCharType="end"/>
      </w:r>
      <w:r w:rsidRPr="00EC0229">
        <w:rPr>
          <w:szCs w:val="24"/>
        </w:rPr>
        <w:t xml:space="preserve"> produce unless they sought new markets; arable land will have been left fallow or turned</w:t>
      </w:r>
      <w:r w:rsidR="00D70F09" w:rsidRPr="00EC0229">
        <w:rPr>
          <w:szCs w:val="24"/>
        </w:rPr>
        <w:t xml:space="preserve"> over to grazing</w:t>
      </w:r>
      <w:r w:rsidRPr="00EC0229">
        <w:rPr>
          <w:szCs w:val="24"/>
        </w:rPr>
        <w:t xml:space="preserve">. Inability to profit from surplus may have been of little concern. According to the foundation mythology of </w:t>
      </w:r>
      <w:r w:rsidRPr="00EC0229">
        <w:rPr>
          <w:i/>
          <w:szCs w:val="24"/>
        </w:rPr>
        <w:t>Eoforwic</w:t>
      </w:r>
      <w:r w:rsidRPr="00EC0229">
        <w:rPr>
          <w:szCs w:val="24"/>
        </w:rPr>
        <w:t>, the decline of York was reversed when Edwin</w:t>
      </w:r>
      <w:r w:rsidR="00F66CEB" w:rsidRPr="00EC0229">
        <w:rPr>
          <w:szCs w:val="24"/>
        </w:rPr>
        <w:fldChar w:fldCharType="begin"/>
      </w:r>
      <w:r w:rsidR="00F66CEB" w:rsidRPr="00EC0229">
        <w:instrText xml:space="preserve"> XE "</w:instrText>
      </w:r>
      <w:r w:rsidR="00F66CEB" w:rsidRPr="00EC0229">
        <w:rPr>
          <w:rFonts w:cs="Times New Roman"/>
          <w:color w:val="000000" w:themeColor="text1"/>
          <w:szCs w:val="24"/>
        </w:rPr>
        <w:instrText>Edwin</w:instrText>
      </w:r>
      <w:r w:rsidR="00F66CEB" w:rsidRPr="00EC0229">
        <w:instrText xml:space="preserve">" </w:instrText>
      </w:r>
      <w:r w:rsidR="00F66CEB" w:rsidRPr="00EC0229">
        <w:rPr>
          <w:szCs w:val="24"/>
        </w:rPr>
        <w:fldChar w:fldCharType="end"/>
      </w:r>
      <w:r w:rsidRPr="00EC0229">
        <w:rPr>
          <w:szCs w:val="24"/>
        </w:rPr>
        <w:t xml:space="preserve"> installed flood prevention and reclamation measures, however there is no evidence of </w:t>
      </w:r>
      <w:r w:rsidRPr="00EC0229">
        <w:rPr>
          <w:szCs w:val="24"/>
        </w:rPr>
        <w:lastRenderedPageBreak/>
        <w:t>inundation where it would be expected.</w:t>
      </w:r>
      <w:r w:rsidRPr="00EC0229">
        <w:rPr>
          <w:rStyle w:val="FootnoteReference"/>
          <w:szCs w:val="24"/>
        </w:rPr>
        <w:footnoteReference w:id="791"/>
      </w:r>
      <w:r w:rsidRPr="00EC0229">
        <w:rPr>
          <w:szCs w:val="24"/>
        </w:rPr>
        <w:t xml:space="preserve"> </w:t>
      </w:r>
      <w:r w:rsidR="00D70F09" w:rsidRPr="00EC0229">
        <w:rPr>
          <w:szCs w:val="24"/>
        </w:rPr>
        <w:t>Nor is plague</w:t>
      </w:r>
      <w:r w:rsidRPr="00EC0229">
        <w:rPr>
          <w:szCs w:val="24"/>
        </w:rPr>
        <w:t xml:space="preserve"> given much credence as a cause of decline.</w:t>
      </w:r>
      <w:r w:rsidRPr="00EC0229">
        <w:rPr>
          <w:rStyle w:val="FootnoteReference"/>
          <w:szCs w:val="24"/>
        </w:rPr>
        <w:footnoteReference w:id="792"/>
      </w:r>
      <w:r w:rsidRPr="00EC0229">
        <w:rPr>
          <w:szCs w:val="24"/>
        </w:rPr>
        <w:t xml:space="preserve"> </w:t>
      </w:r>
    </w:p>
    <w:p w14:paraId="328DC77A" w14:textId="77777777" w:rsidR="00BD53D4" w:rsidRPr="00EC0229" w:rsidRDefault="00BD53D4" w:rsidP="007600EA">
      <w:pPr>
        <w:pStyle w:val="NoSpacing"/>
        <w:spacing w:line="360" w:lineRule="auto"/>
        <w:rPr>
          <w:szCs w:val="24"/>
        </w:rPr>
      </w:pPr>
    </w:p>
    <w:p w14:paraId="042A5363" w14:textId="1079CAA4" w:rsidR="00BD53D4" w:rsidRPr="00EC0229" w:rsidRDefault="00BD53D4" w:rsidP="007600EA">
      <w:pPr>
        <w:pStyle w:val="NoSpacing"/>
        <w:spacing w:line="360" w:lineRule="auto"/>
        <w:rPr>
          <w:szCs w:val="24"/>
        </w:rPr>
      </w:pPr>
      <w:r w:rsidRPr="00EC0229">
        <w:rPr>
          <w:szCs w:val="24"/>
        </w:rPr>
        <w:t>Up to half a metre of ‘black earth’, attributable to biological action accumulated over Roman structures although survival of some architectural features is attested historically.</w:t>
      </w:r>
      <w:r w:rsidRPr="00EC0229">
        <w:rPr>
          <w:rStyle w:val="FootnoteReference"/>
          <w:szCs w:val="24"/>
        </w:rPr>
        <w:footnoteReference w:id="793"/>
      </w:r>
      <w:r w:rsidRPr="00EC0229">
        <w:rPr>
          <w:szCs w:val="24"/>
        </w:rPr>
        <w:t xml:space="preserve"> Unfortunately, these unstratified, undiagnostic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Pr="00EC0229">
        <w:rPr>
          <w:szCs w:val="24"/>
        </w:rPr>
        <w:t xml:space="preserve"> greys’ obscure the chronology in many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sites.</w:t>
      </w:r>
      <w:r w:rsidRPr="00EC0229">
        <w:rPr>
          <w:rStyle w:val="FootnoteReference"/>
          <w:szCs w:val="24"/>
        </w:rPr>
        <w:footnoteReference w:id="794"/>
      </w:r>
      <w:r w:rsidR="00850F29" w:rsidRPr="00EC0229">
        <w:rPr>
          <w:szCs w:val="24"/>
        </w:rPr>
        <w:t xml:space="preserve"> According to </w:t>
      </w:r>
      <w:r w:rsidRPr="00EC0229">
        <w:rPr>
          <w:szCs w:val="24"/>
        </w:rPr>
        <w:t>Mainman: ‘</w:t>
      </w:r>
      <w:r w:rsidRPr="00EC0229">
        <w:t>The suggestion that areas within and outside the walls were used for agriculture and gardening</w:t>
      </w:r>
      <w:r w:rsidRPr="00EC0229">
        <w:rPr>
          <w:rStyle w:val="FootnoteReference"/>
        </w:rPr>
        <w:footnoteReference w:id="795"/>
      </w:r>
      <w:r w:rsidRPr="00EC0229">
        <w:t xml:space="preserve"> was given some tangible support by a regular undulating surface perhaps representing furrows observed below the earliest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Pr="00EC0229">
        <w:t>-Age occupation at Hungate.’</w:t>
      </w:r>
      <w:r w:rsidRPr="00EC0229">
        <w:rPr>
          <w:rStyle w:val="FootnoteReference"/>
        </w:rPr>
        <w:footnoteReference w:id="796"/>
      </w:r>
    </w:p>
    <w:p w14:paraId="6682F273" w14:textId="77777777" w:rsidR="00B50049" w:rsidRPr="00EC0229" w:rsidRDefault="00B50049" w:rsidP="006C2237">
      <w:pPr>
        <w:pStyle w:val="NoSpacing"/>
      </w:pPr>
    </w:p>
    <w:p w14:paraId="543B06B8" w14:textId="6199B8DF" w:rsidR="00B50049" w:rsidRPr="00EC0229" w:rsidRDefault="00827469" w:rsidP="007600EA">
      <w:pPr>
        <w:pStyle w:val="Heading4"/>
        <w:spacing w:line="360" w:lineRule="auto"/>
      </w:pPr>
      <w:bookmarkStart w:id="515" w:name="_Toc468266852"/>
      <w:r w:rsidRPr="007A3166">
        <w:rPr>
          <w:b/>
        </w:rPr>
        <w:t>York</w:t>
      </w:r>
      <w:r w:rsidRPr="007A3166">
        <w:rPr>
          <w:b/>
        </w:rPr>
        <w:fldChar w:fldCharType="begin"/>
      </w:r>
      <w:r w:rsidRPr="007A3166">
        <w:rPr>
          <w:b/>
        </w:rPr>
        <w:instrText xml:space="preserve"> XE "</w:instrText>
      </w:r>
      <w:r w:rsidRPr="007A3166">
        <w:rPr>
          <w:rStyle w:val="Hyperlink"/>
          <w:b/>
          <w:noProof/>
          <w:u w:val="none"/>
        </w:rPr>
        <w:instrText>York</w:instrText>
      </w:r>
      <w:r w:rsidRPr="007A3166">
        <w:rPr>
          <w:b/>
        </w:rPr>
        <w:instrText xml:space="preserve">" </w:instrText>
      </w:r>
      <w:r w:rsidRPr="007A3166">
        <w:rPr>
          <w:b/>
        </w:rPr>
        <w:fldChar w:fldCharType="end"/>
      </w:r>
      <w:r w:rsidRPr="007A3166">
        <w:rPr>
          <w:b/>
        </w:rPr>
        <w:t xml:space="preserve"> Minster</w:t>
      </w:r>
      <w:r w:rsidRPr="00EC0229">
        <w:rPr>
          <w:rStyle w:val="FootnoteReference"/>
        </w:rPr>
        <w:footnoteReference w:id="797"/>
      </w:r>
      <w:bookmarkEnd w:id="515"/>
      <w:r w:rsidR="00E6156F" w:rsidRPr="00EC0229">
        <w:t xml:space="preserve"> </w:t>
      </w:r>
    </w:p>
    <w:p w14:paraId="5637EBAC" w14:textId="77777777" w:rsidR="00827469" w:rsidRPr="00EC0229" w:rsidRDefault="00827469" w:rsidP="007600EA">
      <w:pPr>
        <w:pStyle w:val="NoSpacing"/>
        <w:spacing w:line="360" w:lineRule="auto"/>
        <w:jc w:val="right"/>
        <w:rPr>
          <w:i/>
          <w:sz w:val="20"/>
          <w:szCs w:val="20"/>
          <w:lang w:eastAsia="en-GB"/>
        </w:rPr>
      </w:pPr>
      <w:r w:rsidRPr="00EC0229">
        <w:rPr>
          <w:i/>
          <w:sz w:val="20"/>
          <w:szCs w:val="20"/>
          <w:lang w:eastAsia="en-GB"/>
        </w:rPr>
        <w:t>And this beautiful salubrious place, with its noble setting,</w:t>
      </w:r>
    </w:p>
    <w:p w14:paraId="3A590D09" w14:textId="77777777" w:rsidR="00827469" w:rsidRPr="00EC0229" w:rsidRDefault="00827469" w:rsidP="007600EA">
      <w:pPr>
        <w:pStyle w:val="NoSpacing"/>
        <w:spacing w:line="360" w:lineRule="auto"/>
        <w:jc w:val="right"/>
        <w:rPr>
          <w:i/>
          <w:sz w:val="20"/>
          <w:szCs w:val="20"/>
          <w:lang w:eastAsia="en-GB"/>
        </w:rPr>
      </w:pPr>
      <w:r w:rsidRPr="00EC0229">
        <w:rPr>
          <w:i/>
          <w:sz w:val="20"/>
          <w:szCs w:val="20"/>
          <w:lang w:eastAsia="en-GB"/>
        </w:rPr>
        <w:t>Would have many settlers because of its fruitfulness.</w:t>
      </w:r>
    </w:p>
    <w:p w14:paraId="0555ED29" w14:textId="77777777" w:rsidR="00827469" w:rsidRPr="00EC0229" w:rsidRDefault="00827469" w:rsidP="007600EA">
      <w:pPr>
        <w:pStyle w:val="NoSpacing"/>
        <w:spacing w:line="360" w:lineRule="auto"/>
        <w:jc w:val="right"/>
        <w:rPr>
          <w:sz w:val="20"/>
          <w:szCs w:val="20"/>
        </w:rPr>
      </w:pPr>
      <w:r w:rsidRPr="00EC0229">
        <w:rPr>
          <w:sz w:val="20"/>
          <w:szCs w:val="20"/>
        </w:rPr>
        <w:t>Alcuin</w:t>
      </w:r>
      <w:r w:rsidRPr="00EC0229">
        <w:rPr>
          <w:sz w:val="20"/>
          <w:szCs w:val="20"/>
        </w:rPr>
        <w:fldChar w:fldCharType="begin"/>
      </w:r>
      <w:r w:rsidRPr="00EC0229">
        <w:instrText xml:space="preserve"> XE "</w:instrText>
      </w:r>
      <w:r w:rsidRPr="00EC0229">
        <w:rPr>
          <w:rFonts w:cs="Times New Roman"/>
          <w:szCs w:val="24"/>
        </w:rPr>
        <w:instrText>Alcuin</w:instrText>
      </w:r>
      <w:r w:rsidRPr="00EC0229">
        <w:instrText xml:space="preserve">" </w:instrText>
      </w:r>
      <w:r w:rsidRPr="00EC0229">
        <w:rPr>
          <w:sz w:val="20"/>
          <w:szCs w:val="20"/>
        </w:rPr>
        <w:fldChar w:fldCharType="end"/>
      </w:r>
      <w:r w:rsidRPr="00EC0229">
        <w:rPr>
          <w:rStyle w:val="FootnoteReference"/>
          <w:sz w:val="20"/>
          <w:szCs w:val="20"/>
        </w:rPr>
        <w:footnoteReference w:id="798"/>
      </w:r>
    </w:p>
    <w:p w14:paraId="7DB43CAC" w14:textId="5B67E4FC" w:rsidR="00BD53D4" w:rsidRPr="00EC0229" w:rsidRDefault="00DC386B" w:rsidP="006C2237">
      <w:pPr>
        <w:spacing w:line="360" w:lineRule="auto"/>
        <w:rPr>
          <w:szCs w:val="24"/>
        </w:rPr>
      </w:pPr>
      <w:r w:rsidRPr="00EC0229">
        <w:rPr>
          <w:szCs w:val="24"/>
        </w:rPr>
        <w:t>E</w:t>
      </w:r>
      <w:r w:rsidR="00BD53D4" w:rsidRPr="00EC0229">
        <w:rPr>
          <w:szCs w:val="24"/>
        </w:rPr>
        <w:t>vidence for the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00BD53D4" w:rsidRPr="00EC0229">
        <w:rPr>
          <w:szCs w:val="24"/>
        </w:rPr>
        <w:t xml:space="preserve"> occupation of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00BD53D4" w:rsidRPr="00EC0229">
        <w:rPr>
          <w:szCs w:val="24"/>
        </w:rPr>
        <w:t xml:space="preserve"> remains slender</w:t>
      </w:r>
      <w:r w:rsidR="006C2237" w:rsidRPr="00EC0229">
        <w:rPr>
          <w:szCs w:val="24"/>
        </w:rPr>
        <w:t xml:space="preserve">, </w:t>
      </w:r>
      <w:r w:rsidR="006C2237" w:rsidRPr="00EC0229">
        <w:t>(</w:t>
      </w:r>
      <w:r w:rsidR="006C2237" w:rsidRPr="00EC0229">
        <w:rPr>
          <w:i/>
        </w:rPr>
        <w:t>Map 8.09</w:t>
      </w:r>
      <w:r w:rsidR="006C2237" w:rsidRPr="00EC0229">
        <w:t>)</w:t>
      </w:r>
      <w:r w:rsidR="006C2237" w:rsidRPr="00EC0229">
        <w:fldChar w:fldCharType="begin"/>
      </w:r>
      <w:r w:rsidR="006C2237" w:rsidRPr="00EC0229">
        <w:instrText xml:space="preserve"> XE "</w:instrText>
      </w:r>
      <w:r w:rsidR="006C2237" w:rsidRPr="00EC0229">
        <w:rPr>
          <w:rStyle w:val="Hyperlink"/>
          <w:noProof/>
          <w:u w:val="none"/>
        </w:rPr>
        <w:instrText>York Minster</w:instrText>
      </w:r>
      <w:r w:rsidR="006C2237" w:rsidRPr="00EC0229">
        <w:instrText xml:space="preserve">" </w:instrText>
      </w:r>
      <w:r w:rsidR="006C2237" w:rsidRPr="00EC0229">
        <w:fldChar w:fldCharType="end"/>
      </w:r>
      <w:r w:rsidR="00BD53D4" w:rsidRPr="00EC0229">
        <w:rPr>
          <w:szCs w:val="24"/>
        </w:rPr>
        <w:t xml:space="preserve">. Stratification at the </w:t>
      </w:r>
      <w:r w:rsidR="00BD53D4" w:rsidRPr="00EC0229">
        <w:rPr>
          <w:i/>
          <w:szCs w:val="24"/>
        </w:rPr>
        <w:t>basilica</w:t>
      </w:r>
      <w:r w:rsidR="00BD53D4" w:rsidRPr="00EC0229">
        <w:rPr>
          <w:szCs w:val="24"/>
        </w:rPr>
        <w:t>, particularly in the layers between the mortar floor and the collapsed walls and roof, could have been diagnostic of the extent of Anglian activity. Regrettably, the picture is unclear and open to interpretation. A small number of York ware sherds could well be intrusions: ‘The post-Roman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00BD53D4" w:rsidRPr="00EC0229">
        <w:rPr>
          <w:szCs w:val="24"/>
        </w:rPr>
        <w:t xml:space="preserve"> events beneath the collapsed </w:t>
      </w:r>
      <w:r w:rsidR="00BD53D4" w:rsidRPr="00EC0229">
        <w:rPr>
          <w:i/>
          <w:szCs w:val="24"/>
        </w:rPr>
        <w:t>basilica</w:t>
      </w:r>
      <w:r w:rsidR="00BD53D4" w:rsidRPr="00EC0229">
        <w:rPr>
          <w:szCs w:val="24"/>
        </w:rPr>
        <w:t xml:space="preserve"> roof become more coherent the more closely they are placed in time to the abandoned 4</w:t>
      </w:r>
      <w:r w:rsidR="00BD53D4" w:rsidRPr="00EC0229">
        <w:rPr>
          <w:szCs w:val="24"/>
          <w:vertAlign w:val="superscript"/>
        </w:rPr>
        <w:t>th</w:t>
      </w:r>
      <w:r w:rsidR="00BD53D4" w:rsidRPr="00EC0229">
        <w:rPr>
          <w:szCs w:val="24"/>
        </w:rPr>
        <w:t xml:space="preserve">-century cultural assemblage which mainly </w:t>
      </w:r>
      <w:r w:rsidR="004504D2">
        <w:rPr>
          <w:szCs w:val="24"/>
        </w:rPr>
        <w:t>characterize</w:t>
      </w:r>
      <w:r w:rsidR="00BD53D4" w:rsidRPr="00EC0229">
        <w:rPr>
          <w:szCs w:val="24"/>
        </w:rPr>
        <w:t>s them.’</w:t>
      </w:r>
      <w:r w:rsidR="00BD53D4" w:rsidRPr="00EC0229">
        <w:rPr>
          <w:rStyle w:val="FootnoteReference"/>
          <w:szCs w:val="24"/>
        </w:rPr>
        <w:footnoteReference w:id="799"/>
      </w:r>
      <w:r w:rsidR="00BD53D4" w:rsidRPr="00EC0229">
        <w:rPr>
          <w:szCs w:val="24"/>
        </w:rPr>
        <w:t xml:space="preserve"> This is endorsed by radiocarbon dating of the unusual and substantial so-called ‘small pig horizon’, presumed to be the specialism of a community rearing animals within the fortress and slaughtering in the </w:t>
      </w:r>
      <w:r w:rsidR="00BD53D4" w:rsidRPr="00EC0229">
        <w:rPr>
          <w:i/>
          <w:szCs w:val="24"/>
        </w:rPr>
        <w:t>basilica</w:t>
      </w:r>
      <w:r w:rsidR="00BD53D4" w:rsidRPr="00EC0229">
        <w:rPr>
          <w:szCs w:val="24"/>
        </w:rPr>
        <w:t>.</w:t>
      </w:r>
      <w:r w:rsidR="00BD53D4" w:rsidRPr="00EC0229">
        <w:rPr>
          <w:rStyle w:val="FootnoteReference"/>
          <w:szCs w:val="24"/>
        </w:rPr>
        <w:footnoteReference w:id="800"/>
      </w:r>
      <w:r w:rsidR="00BD53D4" w:rsidRPr="00EC0229">
        <w:rPr>
          <w:szCs w:val="24"/>
        </w:rPr>
        <w:t xml:space="preserve"> </w:t>
      </w:r>
      <w:r w:rsidR="007E26D4" w:rsidRPr="00EC0229">
        <w:rPr>
          <w:szCs w:val="24"/>
        </w:rPr>
        <w:t>A f</w:t>
      </w:r>
      <w:r w:rsidR="00BD53D4" w:rsidRPr="00EC0229">
        <w:rPr>
          <w:szCs w:val="24"/>
        </w:rPr>
        <w:t xml:space="preserve">urther change of use is seen in the presence of metalworking in the area of the </w:t>
      </w:r>
      <w:r w:rsidR="00BD53D4" w:rsidRPr="00EC0229">
        <w:rPr>
          <w:i/>
          <w:szCs w:val="24"/>
        </w:rPr>
        <w:t>contubernia</w:t>
      </w:r>
      <w:r w:rsidR="00BD53D4" w:rsidRPr="00EC0229">
        <w:rPr>
          <w:szCs w:val="24"/>
        </w:rPr>
        <w:t>.</w:t>
      </w:r>
      <w:r w:rsidR="00BD53D4" w:rsidRPr="00EC0229">
        <w:rPr>
          <w:rStyle w:val="FootnoteReference"/>
          <w:szCs w:val="24"/>
        </w:rPr>
        <w:footnoteReference w:id="801"/>
      </w:r>
      <w:r w:rsidR="00BD53D4" w:rsidRPr="00EC0229">
        <w:rPr>
          <w:szCs w:val="24"/>
        </w:rPr>
        <w:t xml:space="preserve"> The </w:t>
      </w:r>
      <w:r w:rsidR="00BD53D4" w:rsidRPr="00EC0229">
        <w:rPr>
          <w:i/>
          <w:szCs w:val="24"/>
        </w:rPr>
        <w:t>basilica</w:t>
      </w:r>
      <w:r w:rsidR="00BD53D4" w:rsidRPr="00EC0229">
        <w:rPr>
          <w:szCs w:val="24"/>
        </w:rPr>
        <w:t xml:space="preserve"> may have been used as a market hall at this time.</w:t>
      </w:r>
      <w:r w:rsidR="00BD53D4" w:rsidRPr="00EC0229">
        <w:rPr>
          <w:rStyle w:val="FootnoteReference"/>
          <w:szCs w:val="24"/>
        </w:rPr>
        <w:footnoteReference w:id="802"/>
      </w:r>
      <w:r w:rsidR="00BD53D4" w:rsidRPr="00EC0229">
        <w:rPr>
          <w:szCs w:val="24"/>
        </w:rPr>
        <w:t xml:space="preserve"> Further degradation can be envisaged before the late seventh- </w:t>
      </w:r>
      <w:r w:rsidR="00BD53D4" w:rsidRPr="00EC0229">
        <w:rPr>
          <w:szCs w:val="24"/>
        </w:rPr>
        <w:lastRenderedPageBreak/>
        <w:t>or early eighth-century phase of grave cutting and inscribed stele</w:t>
      </w:r>
      <w:r w:rsidR="00BE48EF" w:rsidRPr="00EC0229">
        <w:rPr>
          <w:szCs w:val="24"/>
        </w:rPr>
        <w:t xml:space="preserve"> (</w:t>
      </w:r>
      <w:r w:rsidR="00BE48EF" w:rsidRPr="00EC0229">
        <w:rPr>
          <w:szCs w:val="24"/>
        </w:rPr>
        <w:fldChar w:fldCharType="begin"/>
      </w:r>
      <w:r w:rsidR="00BE48EF" w:rsidRPr="00EC0229">
        <w:rPr>
          <w:szCs w:val="24"/>
        </w:rPr>
        <w:instrText xml:space="preserve"> PAGEREF stele \h </w:instrText>
      </w:r>
      <w:r w:rsidR="00BE48EF" w:rsidRPr="00EC0229">
        <w:rPr>
          <w:szCs w:val="24"/>
        </w:rPr>
      </w:r>
      <w:r w:rsidR="00BE48EF" w:rsidRPr="00EC0229">
        <w:rPr>
          <w:szCs w:val="24"/>
        </w:rPr>
        <w:fldChar w:fldCharType="separate"/>
      </w:r>
      <w:r w:rsidR="0012026B">
        <w:rPr>
          <w:noProof/>
          <w:szCs w:val="24"/>
        </w:rPr>
        <w:t>99</w:t>
      </w:r>
      <w:r w:rsidR="00BE48EF" w:rsidRPr="00EC0229">
        <w:rPr>
          <w:szCs w:val="24"/>
        </w:rPr>
        <w:fldChar w:fldCharType="end"/>
      </w:r>
      <w:r w:rsidR="00BE48EF" w:rsidRPr="00EC0229">
        <w:rPr>
          <w:szCs w:val="24"/>
        </w:rPr>
        <w:t>)</w:t>
      </w:r>
      <w:r w:rsidR="00BD53D4" w:rsidRPr="00EC0229">
        <w:rPr>
          <w:szCs w:val="24"/>
        </w:rPr>
        <w:t>. From these, and Anglo-Scandinavian robber-trenches, it can be presumed that the ground had been levelled.</w:t>
      </w:r>
      <w:r w:rsidR="00BD53D4" w:rsidRPr="00EC0229">
        <w:rPr>
          <w:rStyle w:val="FootnoteReference"/>
          <w:szCs w:val="24"/>
        </w:rPr>
        <w:footnoteReference w:id="803"/>
      </w:r>
    </w:p>
    <w:p w14:paraId="06889FA7" w14:textId="77777777" w:rsidR="00BD53D4" w:rsidRPr="00EC0229" w:rsidRDefault="00BD53D4" w:rsidP="007600EA">
      <w:pPr>
        <w:pStyle w:val="NoSpacing"/>
        <w:spacing w:line="360" w:lineRule="auto"/>
        <w:rPr>
          <w:szCs w:val="24"/>
        </w:rPr>
      </w:pPr>
    </w:p>
    <w:p w14:paraId="4261853C" w14:textId="5F97B5C0" w:rsidR="00BD53D4" w:rsidRPr="00EC0229" w:rsidRDefault="00BD53D4" w:rsidP="007600EA">
      <w:pPr>
        <w:pStyle w:val="NoSpacing"/>
        <w:spacing w:line="360" w:lineRule="auto"/>
        <w:rPr>
          <w:szCs w:val="24"/>
        </w:rPr>
      </w:pPr>
      <w:r w:rsidRPr="00EC0229">
        <w:rPr>
          <w:szCs w:val="24"/>
        </w:rPr>
        <w:t xml:space="preserve">Contemporary with the hypothesised use of the </w:t>
      </w:r>
      <w:r w:rsidRPr="00EC0229">
        <w:rPr>
          <w:i/>
          <w:szCs w:val="24"/>
        </w:rPr>
        <w:t>basilica</w:t>
      </w:r>
      <w:r w:rsidRPr="00EC0229">
        <w:rPr>
          <w:szCs w:val="24"/>
        </w:rPr>
        <w:t xml:space="preserve"> as a market hall, the centurion’s quarter of Barrack 2, where e</w:t>
      </w:r>
      <w:r w:rsidRPr="00EC0229">
        <w:t>astern Mediterranean</w:t>
      </w:r>
      <w:r w:rsidRPr="00EC0229">
        <w:rPr>
          <w:szCs w:val="24"/>
        </w:rPr>
        <w:t xml:space="preserve"> </w:t>
      </w:r>
      <w:r w:rsidRPr="00EC0229">
        <w:rPr>
          <w:i/>
          <w:szCs w:val="24"/>
        </w:rPr>
        <w:t>amphor</w:t>
      </w:r>
      <w:r w:rsidRPr="00EC0229">
        <w:rPr>
          <w:rFonts w:cs="Times New Roman"/>
          <w:i/>
          <w:szCs w:val="24"/>
        </w:rPr>
        <w:t>æ</w:t>
      </w:r>
      <w:r w:rsidRPr="00EC0229">
        <w:rPr>
          <w:szCs w:val="24"/>
        </w:rPr>
        <w:t xml:space="preserve"> were found, may have been a villa. However, the stratification is unclear and ‘chronological stepping-stones are as few as ever’.</w:t>
      </w:r>
      <w:r w:rsidRPr="00EC0229">
        <w:rPr>
          <w:rStyle w:val="FootnoteReference"/>
          <w:szCs w:val="24"/>
        </w:rPr>
        <w:footnoteReference w:id="804"/>
      </w:r>
      <w:r w:rsidRPr="00EC0229">
        <w:rPr>
          <w:szCs w:val="24"/>
        </w:rPr>
        <w:t xml:space="preserve"> There is the bezel of a Merovingian</w:t>
      </w:r>
      <w:r w:rsidR="004C29A9" w:rsidRPr="00EC0229">
        <w:rPr>
          <w:szCs w:val="24"/>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szCs w:val="24"/>
        </w:rPr>
        <w:fldChar w:fldCharType="end"/>
      </w:r>
      <w:r w:rsidRPr="00EC0229">
        <w:rPr>
          <w:szCs w:val="24"/>
        </w:rPr>
        <w:t xml:space="preserve"> finger ring and a concentration of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Pr="00EC0229">
        <w:rPr>
          <w:szCs w:val="24"/>
        </w:rPr>
        <w:t xml:space="preserve"> material, in the dark soil above the collapsed structures, but some of this may have been transported.</w:t>
      </w:r>
      <w:r w:rsidRPr="00EC0229">
        <w:rPr>
          <w:rStyle w:val="FootnoteReference"/>
          <w:szCs w:val="24"/>
        </w:rPr>
        <w:footnoteReference w:id="805"/>
      </w:r>
      <w:r w:rsidRPr="00EC0229">
        <w:rPr>
          <w:szCs w:val="24"/>
        </w:rPr>
        <w:t xml:space="preserve"> </w:t>
      </w:r>
    </w:p>
    <w:p w14:paraId="32413826" w14:textId="77777777" w:rsidR="00BD53D4" w:rsidRPr="00EC0229" w:rsidRDefault="00BD53D4" w:rsidP="007600EA">
      <w:pPr>
        <w:pStyle w:val="NoSpacing"/>
        <w:spacing w:line="360" w:lineRule="auto"/>
        <w:rPr>
          <w:szCs w:val="24"/>
        </w:rPr>
      </w:pPr>
    </w:p>
    <w:p w14:paraId="0A4FBA14" w14:textId="74F23471" w:rsidR="00256D6A" w:rsidRPr="00EC0229" w:rsidRDefault="00256D6A" w:rsidP="007600EA">
      <w:pPr>
        <w:pStyle w:val="NoSpacing"/>
        <w:spacing w:line="360" w:lineRule="auto"/>
        <w:rPr>
          <w:color w:val="000000" w:themeColor="text1"/>
          <w:szCs w:val="24"/>
        </w:rPr>
      </w:pPr>
      <w:r w:rsidRPr="00EC0229">
        <w:rPr>
          <w:color w:val="000000" w:themeColor="text1"/>
          <w:szCs w:val="24"/>
        </w:rPr>
        <w:t xml:space="preserve">The animal bone assemblage in the </w:t>
      </w:r>
      <w:r w:rsidRPr="00EC0229">
        <w:rPr>
          <w:i/>
          <w:color w:val="000000" w:themeColor="text1"/>
          <w:szCs w:val="24"/>
        </w:rPr>
        <w:t>basilica</w:t>
      </w:r>
      <w:r w:rsidRPr="00EC0229">
        <w:rPr>
          <w:color w:val="000000" w:themeColor="text1"/>
          <w:szCs w:val="24"/>
        </w:rPr>
        <w:t xml:space="preserve"> has more sheep and older cattle than might be expected, leading Rackham to conclude that this is a modest subsistence farm supplying a small community with essentials, not a market operation with large holdings.</w:t>
      </w:r>
      <w:r w:rsidRPr="00EC0229">
        <w:rPr>
          <w:rStyle w:val="FootnoteReference"/>
          <w:color w:val="000000" w:themeColor="text1"/>
          <w:szCs w:val="24"/>
        </w:rPr>
        <w:t xml:space="preserve"> </w:t>
      </w:r>
      <w:r w:rsidRPr="00EC0229">
        <w:rPr>
          <w:rStyle w:val="FootnoteReference"/>
          <w:color w:val="000000" w:themeColor="text1"/>
          <w:szCs w:val="24"/>
        </w:rPr>
        <w:footnoteReference w:id="806"/>
      </w:r>
      <w:r w:rsidRPr="00EC0229">
        <w:rPr>
          <w:color w:val="000000" w:themeColor="text1"/>
          <w:szCs w:val="24"/>
        </w:rPr>
        <w:t xml:space="preserve">  The Anglian</w:t>
      </w:r>
      <w:r w:rsidRPr="00EC0229">
        <w:rPr>
          <w:color w:val="000000" w:themeColor="text1"/>
          <w:szCs w:val="24"/>
        </w:rPr>
        <w:fldChar w:fldCharType="begin"/>
      </w:r>
      <w:r w:rsidRPr="00EC0229">
        <w:instrText xml:space="preserve"> XE "Anglian" </w:instrText>
      </w:r>
      <w:r w:rsidRPr="00EC0229">
        <w:rPr>
          <w:color w:val="000000" w:themeColor="text1"/>
          <w:szCs w:val="24"/>
        </w:rPr>
        <w:fldChar w:fldCharType="end"/>
      </w:r>
      <w:r w:rsidRPr="00EC0229">
        <w:rPr>
          <w:color w:val="000000" w:themeColor="text1"/>
          <w:szCs w:val="24"/>
        </w:rPr>
        <w:t xml:space="preserve"> period shows an abundance of pigs in the ultimate phase of the </w:t>
      </w:r>
      <w:r w:rsidRPr="00EC0229">
        <w:rPr>
          <w:i/>
          <w:color w:val="000000" w:themeColor="text1"/>
          <w:szCs w:val="24"/>
        </w:rPr>
        <w:t>principia</w:t>
      </w:r>
      <w:r w:rsidRPr="00EC0229">
        <w:rPr>
          <w:color w:val="000000" w:themeColor="text1"/>
          <w:szCs w:val="24"/>
        </w:rPr>
        <w:t xml:space="preserve"> building, which, according to Rackham, signals a subsistence strategy rather than husbandry.</w:t>
      </w:r>
      <w:r w:rsidRPr="00EC0229">
        <w:rPr>
          <w:rStyle w:val="FootnoteReference"/>
          <w:color w:val="000000" w:themeColor="text1"/>
          <w:szCs w:val="24"/>
        </w:rPr>
        <w:footnoteReference w:id="807"/>
      </w:r>
      <w:r w:rsidRPr="00EC0229">
        <w:rPr>
          <w:color w:val="000000" w:themeColor="text1"/>
          <w:szCs w:val="24"/>
        </w:rPr>
        <w:t xml:space="preserve"> O’Connor used the near absence of pig phalanges and metapodials at Fishergate</w:t>
      </w:r>
      <w:r w:rsidRPr="00EC0229">
        <w:rPr>
          <w:color w:val="000000" w:themeColor="text1"/>
          <w:szCs w:val="24"/>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to propose that there was no backyard rearing there and prepared carcasses were brought in,</w:t>
      </w:r>
      <w:r w:rsidRPr="00EC0229">
        <w:rPr>
          <w:rStyle w:val="FootnoteReference"/>
          <w:color w:val="000000" w:themeColor="text1"/>
          <w:szCs w:val="24"/>
        </w:rPr>
        <w:footnoteReference w:id="808"/>
      </w:r>
      <w:r w:rsidR="00D56B0A" w:rsidRPr="00EC0229">
        <w:rPr>
          <w:color w:val="000000" w:themeColor="text1"/>
          <w:szCs w:val="24"/>
        </w:rPr>
        <w:t xml:space="preserve"> which infers</w:t>
      </w:r>
      <w:r w:rsidRPr="00EC0229">
        <w:rPr>
          <w:color w:val="000000" w:themeColor="text1"/>
          <w:szCs w:val="24"/>
        </w:rPr>
        <w:t xml:space="preserve"> that the activity at the </w:t>
      </w:r>
      <w:r w:rsidRPr="00EC0229">
        <w:rPr>
          <w:i/>
          <w:color w:val="000000" w:themeColor="text1"/>
          <w:szCs w:val="24"/>
        </w:rPr>
        <w:t>principia</w:t>
      </w:r>
      <w:r w:rsidRPr="00EC0229">
        <w:rPr>
          <w:color w:val="000000" w:themeColor="text1"/>
          <w:szCs w:val="24"/>
        </w:rPr>
        <w:t xml:space="preserve"> could be seen as specialisation</w:t>
      </w:r>
      <w:r w:rsidRPr="00EC0229">
        <w:rPr>
          <w:color w:val="000000" w:themeColor="text1"/>
          <w:szCs w:val="24"/>
        </w:rPr>
        <w:fldChar w:fldCharType="begin"/>
      </w:r>
      <w:r w:rsidRPr="00EC0229">
        <w:instrText xml:space="preserve"> XE "</w:instrText>
      </w:r>
      <w:r w:rsidRPr="00EC0229">
        <w:rPr>
          <w:rFonts w:cs="Times New Roman"/>
          <w:szCs w:val="24"/>
        </w:rPr>
        <w:instrText>specialisation</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not subsistence. </w:t>
      </w:r>
    </w:p>
    <w:p w14:paraId="0E09BC4F" w14:textId="461970B8" w:rsidR="00256D6A" w:rsidRPr="00EC0229" w:rsidRDefault="00256D6A" w:rsidP="007600EA">
      <w:pPr>
        <w:pStyle w:val="NoSpacing"/>
        <w:spacing w:line="360" w:lineRule="auto"/>
        <w:rPr>
          <w:szCs w:val="24"/>
        </w:rPr>
      </w:pPr>
    </w:p>
    <w:p w14:paraId="7CB78E09" w14:textId="43D44830" w:rsidR="00445D6E" w:rsidRPr="00EC0229" w:rsidRDefault="00445D6E" w:rsidP="007600EA">
      <w:pPr>
        <w:pStyle w:val="NoSpacing"/>
        <w:spacing w:line="360" w:lineRule="auto"/>
        <w:rPr>
          <w:szCs w:val="24"/>
        </w:rPr>
      </w:pPr>
      <w:r w:rsidRPr="00EC0229">
        <w:rPr>
          <w:szCs w:val="24"/>
        </w:rPr>
        <w:t>Replacement of the small wooden minster in stone,</w:t>
      </w:r>
      <w:r w:rsidRPr="00EC0229">
        <w:rPr>
          <w:rStyle w:val="FootnoteReference"/>
          <w:szCs w:val="24"/>
        </w:rPr>
        <w:footnoteReference w:id="809"/>
      </w:r>
      <w:r w:rsidRPr="00EC0229">
        <w:rPr>
          <w:szCs w:val="24"/>
        </w:rPr>
        <w:t xml:space="preserve"> was initiated in 627 by Edwin</w:t>
      </w:r>
      <w:r w:rsidRPr="00EC0229">
        <w:rPr>
          <w:szCs w:val="24"/>
        </w:rPr>
        <w:fldChar w:fldCharType="begin"/>
      </w:r>
      <w:r w:rsidRPr="00EC0229">
        <w:instrText xml:space="preserve"> XE "</w:instrText>
      </w:r>
      <w:r w:rsidRPr="00EC0229">
        <w:rPr>
          <w:rFonts w:cs="Times New Roman"/>
          <w:color w:val="000000" w:themeColor="text1"/>
          <w:szCs w:val="24"/>
        </w:rPr>
        <w:instrText>Edwin</w:instrText>
      </w:r>
      <w:r w:rsidRPr="00EC0229">
        <w:instrText xml:space="preserve">" </w:instrText>
      </w:r>
      <w:r w:rsidRPr="00EC0229">
        <w:rPr>
          <w:szCs w:val="24"/>
        </w:rPr>
        <w:fldChar w:fldCharType="end"/>
      </w:r>
      <w:r w:rsidRPr="00EC0229">
        <w:rPr>
          <w:szCs w:val="24"/>
        </w:rPr>
        <w:t xml:space="preserve"> (for which sculptured stone may provide evidence)</w:t>
      </w:r>
      <w:bookmarkStart w:id="516" w:name="_Ref428515500"/>
      <w:r w:rsidRPr="00EC0229">
        <w:rPr>
          <w:rStyle w:val="FootnoteReference"/>
          <w:szCs w:val="24"/>
        </w:rPr>
        <w:footnoteReference w:id="810"/>
      </w:r>
      <w:bookmarkEnd w:id="516"/>
      <w:r w:rsidRPr="00EC0229">
        <w:rPr>
          <w:szCs w:val="24"/>
        </w:rPr>
        <w:t xml:space="preserve"> and completed by Oswald</w:t>
      </w:r>
      <w:r w:rsidRPr="00EC0229">
        <w:rPr>
          <w:szCs w:val="24"/>
        </w:rPr>
        <w:fldChar w:fldCharType="begin"/>
      </w:r>
      <w:r w:rsidRPr="00EC0229">
        <w:instrText xml:space="preserve"> XE "</w:instrText>
      </w:r>
      <w:r w:rsidRPr="00EC0229">
        <w:rPr>
          <w:rFonts w:cs="Times New Roman"/>
          <w:szCs w:val="24"/>
        </w:rPr>
        <w:instrText>Oswald</w:instrText>
      </w:r>
      <w:r w:rsidRPr="00EC0229">
        <w:instrText xml:space="preserve">" </w:instrText>
      </w:r>
      <w:r w:rsidRPr="00EC0229">
        <w:rPr>
          <w:szCs w:val="24"/>
        </w:rPr>
        <w:fldChar w:fldCharType="end"/>
      </w:r>
      <w:r w:rsidRPr="00EC0229">
        <w:rPr>
          <w:szCs w:val="24"/>
        </w:rPr>
        <w:t xml:space="preserve">. But as early as </w:t>
      </w:r>
      <w:r w:rsidRPr="00EC0229">
        <w:rPr>
          <w:i/>
          <w:szCs w:val="24"/>
        </w:rPr>
        <w:t>c.</w:t>
      </w:r>
      <w:r w:rsidRPr="00EC0229">
        <w:rPr>
          <w:szCs w:val="24"/>
        </w:rPr>
        <w:t>670, Wilfrid and Chad needed to carry out repairs, possibly as Aidan and Colm</w:t>
      </w:r>
      <w:r w:rsidR="00E5341E" w:rsidRPr="00EC0229">
        <w:t>á</w:t>
      </w:r>
      <w:r w:rsidRPr="00EC0229">
        <w:rPr>
          <w:szCs w:val="24"/>
        </w:rPr>
        <w:t>n brought Lindisfarne</w:t>
      </w:r>
      <w:r w:rsidRPr="00EC0229">
        <w:rPr>
          <w:szCs w:val="24"/>
        </w:rPr>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rPr>
          <w:szCs w:val="24"/>
        </w:rPr>
        <w:fldChar w:fldCharType="end"/>
      </w:r>
      <w:r w:rsidRPr="00EC0229">
        <w:rPr>
          <w:szCs w:val="24"/>
        </w:rPr>
        <w:t xml:space="preserve"> to prominence, causing some diversion of resources, until Ecgberht</w:t>
      </w:r>
      <w:r w:rsidRPr="00EC0229">
        <w:rPr>
          <w:szCs w:val="24"/>
        </w:rPr>
        <w:fldChar w:fldCharType="begin"/>
      </w:r>
      <w:r w:rsidRPr="00EC0229">
        <w:instrText xml:space="preserve"> XE "Ecgberht" </w:instrText>
      </w:r>
      <w:r w:rsidRPr="00EC0229">
        <w:rPr>
          <w:szCs w:val="24"/>
        </w:rPr>
        <w:fldChar w:fldCharType="end"/>
      </w:r>
      <w:r w:rsidRPr="00EC0229">
        <w:rPr>
          <w:szCs w:val="24"/>
        </w:rPr>
        <w:t xml:space="preserve">’s acceptance of the </w:t>
      </w:r>
      <w:r w:rsidRPr="00EC0229">
        <w:rPr>
          <w:i/>
          <w:szCs w:val="24"/>
        </w:rPr>
        <w:t>pallium</w:t>
      </w:r>
      <w:r w:rsidRPr="00EC0229">
        <w:rPr>
          <w:szCs w:val="24"/>
        </w:rPr>
        <w:t>, in 735, restored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’s pre-eminence.</w:t>
      </w:r>
      <w:r w:rsidRPr="00EC0229">
        <w:rPr>
          <w:rStyle w:val="FootnoteReference"/>
          <w:szCs w:val="24"/>
        </w:rPr>
        <w:footnoteReference w:id="811"/>
      </w:r>
      <w:r w:rsidRPr="00EC0229">
        <w:rPr>
          <w:szCs w:val="24"/>
        </w:rPr>
        <w:t xml:space="preserve"> </w:t>
      </w:r>
    </w:p>
    <w:p w14:paraId="28D0FAF0" w14:textId="77777777" w:rsidR="00445D6E" w:rsidRPr="00EC0229" w:rsidRDefault="00445D6E" w:rsidP="007600EA">
      <w:pPr>
        <w:pStyle w:val="NoSpacing"/>
        <w:spacing w:line="360" w:lineRule="auto"/>
        <w:rPr>
          <w:szCs w:val="24"/>
        </w:rPr>
      </w:pPr>
    </w:p>
    <w:p w14:paraId="743792D7" w14:textId="77777777" w:rsidR="00445D6E" w:rsidRPr="00EC0229" w:rsidRDefault="00445D6E" w:rsidP="007600EA">
      <w:pPr>
        <w:pStyle w:val="NormalWeb"/>
        <w:spacing w:before="0" w:beforeAutospacing="0" w:after="0" w:afterAutospacing="0" w:line="360" w:lineRule="auto"/>
      </w:pPr>
      <w:bookmarkStart w:id="517" w:name="Arichis"/>
      <w:bookmarkEnd w:id="517"/>
      <w:r w:rsidRPr="00EC0229">
        <w:lastRenderedPageBreak/>
        <w:t>The Anglian</w:t>
      </w:r>
      <w:r w:rsidRPr="00EC0229">
        <w:fldChar w:fldCharType="begin"/>
      </w:r>
      <w:r w:rsidRPr="00EC0229">
        <w:instrText xml:space="preserve"> XE "Anglian" </w:instrText>
      </w:r>
      <w:r w:rsidRPr="00EC0229">
        <w:fldChar w:fldCharType="end"/>
      </w:r>
      <w:r w:rsidRPr="00EC0229">
        <w:t xml:space="preserve"> material at the Minster</w:t>
      </w:r>
      <w:r w:rsidRPr="00EC0229">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fldChar w:fldCharType="end"/>
      </w:r>
      <w:r w:rsidRPr="00EC0229">
        <w:t xml:space="preserve"> is probably the most important of that period found locally, demonstrating flourishing activity, despite the paucity of literary evidence.</w:t>
      </w:r>
      <w:r w:rsidRPr="00EC0229">
        <w:rPr>
          <w:rStyle w:val="FootnoteReference"/>
          <w:rFonts w:eastAsiaTheme="majorEastAsia"/>
        </w:rPr>
        <w:footnoteReference w:id="812"/>
      </w:r>
      <w:r w:rsidRPr="00EC0229">
        <w:t xml:space="preserve"> The carved stone finds match the number found elsewhere in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and have advanced understanding significantly. Though the majority are uninscribed Anglo-Scandinavian pieces, the Anglian stonework is of a form not known elsewhere in Northumbria</w:t>
      </w:r>
      <w:r w:rsidRPr="00EC0229">
        <w:fldChar w:fldCharType="begin"/>
      </w:r>
      <w:r w:rsidRPr="00EC0229">
        <w:instrText xml:space="preserve"> XE "</w:instrText>
      </w:r>
      <w:r w:rsidRPr="00EC0229">
        <w:rPr>
          <w:b/>
          <w:color w:val="000000" w:themeColor="text1"/>
          <w:sz w:val="56"/>
          <w:szCs w:val="56"/>
        </w:rPr>
        <w:instrText>Northumbria</w:instrText>
      </w:r>
      <w:r w:rsidRPr="00EC0229">
        <w:instrText xml:space="preserve">" </w:instrText>
      </w:r>
      <w:r w:rsidRPr="00EC0229">
        <w:fldChar w:fldCharType="end"/>
      </w:r>
      <w:r w:rsidRPr="00EC0229">
        <w:t xml:space="preserve"> – stele – incised crosses rather than free-standing cross-shafts. The crispness of these shows that they were erected internally. They are carved on pale Magnesian Limestone, have usually been re-used, and are, therefore, fragmentary and unstratified.</w:t>
      </w:r>
    </w:p>
    <w:p w14:paraId="62AF6022" w14:textId="77777777" w:rsidR="00445D6E" w:rsidRPr="00EC0229" w:rsidRDefault="00445D6E" w:rsidP="007600EA">
      <w:pPr>
        <w:pStyle w:val="NormalWeb"/>
        <w:spacing w:before="0" w:beforeAutospacing="0" w:after="0" w:afterAutospacing="0" w:line="360" w:lineRule="auto"/>
        <w:jc w:val="center"/>
      </w:pPr>
      <w:r w:rsidRPr="00EC0229">
        <w:rPr>
          <w:noProof/>
        </w:rPr>
        <w:drawing>
          <wp:inline distT="0" distB="0" distL="0" distR="0" wp14:anchorId="080CABAD" wp14:editId="6922BDE6">
            <wp:extent cx="2781300" cy="2093877"/>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York Minster - Wulfhere stele.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789317" cy="2099913"/>
                    </a:xfrm>
                    <a:prstGeom prst="rect">
                      <a:avLst/>
                    </a:prstGeom>
                  </pic:spPr>
                </pic:pic>
              </a:graphicData>
            </a:graphic>
          </wp:inline>
        </w:drawing>
      </w:r>
      <w:r w:rsidRPr="00EC0229">
        <w:tab/>
      </w:r>
      <w:r w:rsidRPr="00EC0229">
        <w:rPr>
          <w:noProof/>
        </w:rPr>
        <w:drawing>
          <wp:inline distT="0" distB="0" distL="0" distR="0" wp14:anchorId="74DC12C8" wp14:editId="39C96C4E">
            <wp:extent cx="1066494" cy="1041400"/>
            <wp:effectExtent l="0" t="0" r="635"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34-03 Y720.JPG"/>
                    <pic:cNvPicPr/>
                  </pic:nvPicPr>
                  <pic:blipFill>
                    <a:blip r:embed="rId230">
                      <a:extLst>
                        <a:ext uri="{28A0092B-C50C-407E-A947-70E740481C1C}">
                          <a14:useLocalDpi xmlns:a14="http://schemas.microsoft.com/office/drawing/2010/main" val="0"/>
                        </a:ext>
                      </a:extLst>
                    </a:blip>
                    <a:stretch>
                      <a:fillRect/>
                    </a:stretch>
                  </pic:blipFill>
                  <pic:spPr>
                    <a:xfrm>
                      <a:off x="0" y="0"/>
                      <a:ext cx="1071075" cy="1045874"/>
                    </a:xfrm>
                    <a:prstGeom prst="rect">
                      <a:avLst/>
                    </a:prstGeom>
                  </pic:spPr>
                </pic:pic>
              </a:graphicData>
            </a:graphic>
          </wp:inline>
        </w:drawing>
      </w:r>
    </w:p>
    <w:p w14:paraId="7D07F6AD" w14:textId="57A273EA" w:rsidR="00445D6E" w:rsidRPr="00EC0229" w:rsidRDefault="00445D6E" w:rsidP="007600EA">
      <w:pPr>
        <w:pStyle w:val="NoSpacing"/>
        <w:spacing w:line="360" w:lineRule="auto"/>
        <w:jc w:val="center"/>
        <w:rPr>
          <w:sz w:val="20"/>
          <w:szCs w:val="20"/>
        </w:rPr>
      </w:pPr>
      <w:bookmarkStart w:id="518" w:name="_Ref430247921"/>
      <w:bookmarkStart w:id="519" w:name="_Toc46826703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63</w:t>
      </w:r>
      <w:r w:rsidRPr="00EC0229">
        <w:rPr>
          <w:sz w:val="20"/>
          <w:szCs w:val="20"/>
        </w:rPr>
        <w:fldChar w:fldCharType="end"/>
      </w:r>
      <w:bookmarkEnd w:id="518"/>
      <w:r w:rsidRPr="00EC0229">
        <w:rPr>
          <w:sz w:val="20"/>
          <w:szCs w:val="20"/>
        </w:rPr>
        <w:t>: Headstone of Archbishop Wulfhere</w:t>
      </w:r>
      <w:r w:rsidRPr="00EC0229">
        <w:rPr>
          <w:sz w:val="20"/>
          <w:szCs w:val="20"/>
        </w:rPr>
        <w:fldChar w:fldCharType="begin"/>
      </w:r>
      <w:r w:rsidRPr="00EC0229">
        <w:rPr>
          <w:sz w:val="20"/>
          <w:szCs w:val="20"/>
        </w:rPr>
        <w:instrText xml:space="preserve"> XE "Wulfhere" </w:instrText>
      </w:r>
      <w:r w:rsidRPr="00EC0229">
        <w:rPr>
          <w:sz w:val="20"/>
          <w:szCs w:val="20"/>
        </w:rPr>
        <w:fldChar w:fldCharType="end"/>
      </w:r>
      <w:r w:rsidRPr="00EC0229">
        <w:rPr>
          <w:sz w:val="20"/>
          <w:szCs w:val="20"/>
        </w:rPr>
        <w:t>, 849/50-900</w:t>
      </w:r>
      <w:bookmarkEnd w:id="519"/>
    </w:p>
    <w:p w14:paraId="358F547E" w14:textId="77777777" w:rsidR="00445D6E" w:rsidRPr="00EC0229" w:rsidRDefault="00445D6E" w:rsidP="007600EA">
      <w:pPr>
        <w:pStyle w:val="NoSpacing"/>
        <w:spacing w:line="360" w:lineRule="auto"/>
        <w:rPr>
          <w:sz w:val="20"/>
          <w:szCs w:val="20"/>
        </w:rPr>
      </w:pPr>
      <w:r w:rsidRPr="00EC0229">
        <w:rPr>
          <w:sz w:val="20"/>
          <w:szCs w:val="20"/>
        </w:rPr>
        <w:t>L: York</w:t>
      </w:r>
      <w:r w:rsidRPr="00EC0229">
        <w:rPr>
          <w:sz w:val="20"/>
          <w:szCs w:val="20"/>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 w:val="20"/>
          <w:szCs w:val="20"/>
        </w:rPr>
        <w:fldChar w:fldCharType="end"/>
      </w:r>
      <w:r w:rsidRPr="00EC0229">
        <w:rPr>
          <w:sz w:val="20"/>
          <w:szCs w:val="20"/>
        </w:rPr>
        <w:t xml:space="preserve"> Minster</w:t>
      </w:r>
      <w:r w:rsidRPr="00EC0229">
        <w:rPr>
          <w:sz w:val="20"/>
          <w:szCs w:val="20"/>
        </w:rPr>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rPr>
          <w:sz w:val="20"/>
          <w:szCs w:val="20"/>
        </w:rPr>
        <w:fldChar w:fldCharType="end"/>
      </w:r>
      <w:r w:rsidRPr="00EC0229">
        <w:rPr>
          <w:sz w:val="20"/>
          <w:szCs w:val="20"/>
        </w:rPr>
        <w:t>, Anglian</w:t>
      </w:r>
      <w:r w:rsidRPr="00EC0229">
        <w:rPr>
          <w:sz w:val="20"/>
          <w:szCs w:val="20"/>
        </w:rPr>
        <w:fldChar w:fldCharType="begin"/>
      </w:r>
      <w:r w:rsidRPr="00EC0229">
        <w:instrText xml:space="preserve"> XE "Anglian" </w:instrText>
      </w:r>
      <w:r w:rsidRPr="00EC0229">
        <w:rPr>
          <w:sz w:val="20"/>
          <w:szCs w:val="20"/>
        </w:rPr>
        <w:fldChar w:fldCharType="end"/>
      </w:r>
      <w:r w:rsidRPr="00EC0229">
        <w:rPr>
          <w:sz w:val="20"/>
          <w:szCs w:val="20"/>
        </w:rPr>
        <w:t xml:space="preserve"> stele YM22, +HIC//CESPITE VVL</w:t>
      </w:r>
      <w:r w:rsidRPr="00EC0229">
        <w:rPr>
          <w:sz w:val="16"/>
          <w:szCs w:val="16"/>
        </w:rPr>
        <w:t>F</w:t>
      </w:r>
      <w:r w:rsidRPr="00EC0229">
        <w:rPr>
          <w:sz w:val="20"/>
          <w:szCs w:val="20"/>
        </w:rPr>
        <w:t>HER/…ERA/QVIESCVNT</w:t>
      </w:r>
    </w:p>
    <w:p w14:paraId="56A9332C" w14:textId="77777777" w:rsidR="00445D6E" w:rsidRPr="00EC0229" w:rsidRDefault="00445D6E" w:rsidP="007600EA">
      <w:pPr>
        <w:pStyle w:val="NoSpacing"/>
        <w:spacing w:line="360" w:lineRule="auto"/>
        <w:jc w:val="right"/>
        <w:rPr>
          <w:sz w:val="20"/>
          <w:szCs w:val="20"/>
        </w:rPr>
      </w:pPr>
      <w:r w:rsidRPr="00EC0229">
        <w:rPr>
          <w:sz w:val="20"/>
          <w:szCs w:val="20"/>
        </w:rPr>
        <w:t>R: Bronze styca,</w:t>
      </w:r>
      <w:r w:rsidRPr="00EC0229">
        <w:rPr>
          <w:sz w:val="20"/>
          <w:szCs w:val="20"/>
        </w:rPr>
        <w:fldChar w:fldCharType="begin"/>
      </w:r>
      <w:r w:rsidRPr="00EC0229">
        <w:instrText xml:space="preserve"> XE "styca" </w:instrText>
      </w:r>
      <w:r w:rsidRPr="00EC0229">
        <w:rPr>
          <w:sz w:val="20"/>
          <w:szCs w:val="20"/>
        </w:rPr>
        <w:fldChar w:fldCharType="end"/>
      </w:r>
      <w:r w:rsidRPr="00EC0229">
        <w:rPr>
          <w:sz w:val="20"/>
          <w:szCs w:val="20"/>
        </w:rPr>
        <w:t xml:space="preserve"> Period N10b</w:t>
      </w:r>
      <w:r w:rsidRPr="00EC0229">
        <w:rPr>
          <w:sz w:val="20"/>
          <w:szCs w:val="20"/>
        </w:rPr>
        <w:fldChar w:fldCharType="begin"/>
      </w:r>
      <w:r w:rsidRPr="00EC0229">
        <w:instrText xml:space="preserve"> XE "</w:instrText>
      </w:r>
      <w:r w:rsidRPr="00EC0229">
        <w:rPr>
          <w:color w:val="000000" w:themeColor="text1"/>
        </w:rPr>
        <w:instrText>Period N10b</w:instrText>
      </w:r>
      <w:r w:rsidRPr="00EC0229">
        <w:instrText xml:space="preserve">" </w:instrText>
      </w:r>
      <w:r w:rsidRPr="00EC0229">
        <w:rPr>
          <w:sz w:val="20"/>
          <w:szCs w:val="20"/>
        </w:rPr>
        <w:fldChar w:fldCharType="end"/>
      </w:r>
      <w:r w:rsidRPr="00EC0229">
        <w:rPr>
          <w:sz w:val="20"/>
          <w:szCs w:val="20"/>
        </w:rPr>
        <w:t>, VVLFHERE AREP, Thirsk.</w:t>
      </w:r>
    </w:p>
    <w:p w14:paraId="341D112D" w14:textId="77777777" w:rsidR="00445D6E" w:rsidRPr="00EC0229" w:rsidRDefault="00445D6E" w:rsidP="007600EA">
      <w:pPr>
        <w:pStyle w:val="NormalWeb"/>
        <w:spacing w:before="0" w:beforeAutospacing="0" w:after="0" w:afterAutospacing="0" w:line="360" w:lineRule="auto"/>
      </w:pPr>
    </w:p>
    <w:p w14:paraId="5A28BE4B" w14:textId="7ACC848E" w:rsidR="00445D6E" w:rsidRPr="00EC0229" w:rsidRDefault="00445D6E" w:rsidP="007600EA">
      <w:pPr>
        <w:pStyle w:val="NormalWeb"/>
        <w:spacing w:before="0" w:beforeAutospacing="0" w:after="0" w:afterAutospacing="0" w:line="360" w:lineRule="auto"/>
      </w:pPr>
      <w:r w:rsidRPr="00EC0229">
        <w:t>Lang claims 'the names engraved on the Anglian</w:t>
      </w:r>
      <w:r w:rsidRPr="00EC0229">
        <w:fldChar w:fldCharType="begin"/>
      </w:r>
      <w:r w:rsidRPr="00EC0229">
        <w:instrText xml:space="preserve"> XE "Anglian" </w:instrText>
      </w:r>
      <w:r w:rsidRPr="00EC0229">
        <w:fldChar w:fldCharType="end"/>
      </w:r>
      <w:r w:rsidRPr="00EC0229">
        <w:t xml:space="preserve"> pieces cannot be identified in the literary sources with known personages’,</w:t>
      </w:r>
      <w:r w:rsidRPr="00EC0229">
        <w:rPr>
          <w:rStyle w:val="FootnoteReference"/>
          <w:rFonts w:eastAsiaTheme="majorEastAsia"/>
        </w:rPr>
        <w:footnoteReference w:id="813"/>
      </w:r>
      <w:r w:rsidRPr="00EC0229">
        <w:t xml:space="preserve"> even though stele fragment, YM22,</w:t>
      </w:r>
      <w:r w:rsidRPr="00EC0229">
        <w:rPr>
          <w:rStyle w:val="FootnoteReference"/>
          <w:rFonts w:eastAsiaTheme="majorEastAsia"/>
        </w:rPr>
        <w:footnoteReference w:id="814"/>
      </w:r>
      <w:r w:rsidRPr="00EC0229">
        <w:t xml:space="preserve"> is clearly inscribed (</w:t>
      </w:r>
      <w:r w:rsidRPr="00EC0229">
        <w:fldChar w:fldCharType="begin"/>
      </w:r>
      <w:r w:rsidRPr="00EC0229">
        <w:instrText xml:space="preserve"> REF _Ref430247921 \h  \* MERGEFORMAT </w:instrText>
      </w:r>
      <w:r w:rsidRPr="00EC0229">
        <w:fldChar w:fldCharType="separate"/>
      </w:r>
      <w:r w:rsidR="0012026B" w:rsidRPr="0012026B">
        <w:rPr>
          <w:i/>
        </w:rPr>
        <w:t>Figure</w:t>
      </w:r>
      <w:r w:rsidR="0012026B" w:rsidRPr="0012026B">
        <w:t xml:space="preserve"> </w:t>
      </w:r>
      <w:r w:rsidR="0012026B" w:rsidRPr="0012026B">
        <w:rPr>
          <w:noProof/>
        </w:rPr>
        <w:t>63</w:t>
      </w:r>
      <w:r w:rsidRPr="00EC0229">
        <w:fldChar w:fldCharType="end"/>
      </w:r>
      <w:r w:rsidRPr="00EC0229">
        <w:t xml:space="preserve">). </w:t>
      </w:r>
    </w:p>
    <w:p w14:paraId="68192001" w14:textId="77777777" w:rsidR="00445D6E" w:rsidRPr="00EC0229" w:rsidRDefault="00445D6E" w:rsidP="007600EA">
      <w:pPr>
        <w:pStyle w:val="NormalWeb"/>
        <w:spacing w:before="0" w:beforeAutospacing="0" w:after="0" w:afterAutospacing="0" w:line="360" w:lineRule="auto"/>
        <w:rPr>
          <w:b/>
        </w:rPr>
      </w:pPr>
    </w:p>
    <w:p w14:paraId="26EDC19F" w14:textId="77777777" w:rsidR="00445D6E" w:rsidRPr="00EC0229" w:rsidRDefault="00445D6E" w:rsidP="007600EA">
      <w:pPr>
        <w:pStyle w:val="NormalWeb"/>
        <w:spacing w:before="0" w:beforeAutospacing="0" w:after="0" w:afterAutospacing="0" w:line="360" w:lineRule="auto"/>
      </w:pPr>
      <w:r w:rsidRPr="00EC0229">
        <w:t>Were this memorial stone to commemorate Archbishop Wulfhere</w:t>
      </w:r>
      <w:r w:rsidRPr="00EC0229">
        <w:fldChar w:fldCharType="begin"/>
      </w:r>
      <w:r w:rsidRPr="00EC0229">
        <w:instrText xml:space="preserve"> XE "Wulfhere" </w:instrText>
      </w:r>
      <w:r w:rsidRPr="00EC0229">
        <w:fldChar w:fldCharType="end"/>
      </w:r>
      <w:r w:rsidRPr="00EC0229">
        <w:t>, it would be of significance. This prospect is discussed by Abramson</w:t>
      </w:r>
      <w:r w:rsidRPr="00EC0229">
        <w:fldChar w:fldCharType="begin"/>
      </w:r>
      <w:r w:rsidRPr="00EC0229">
        <w:instrText xml:space="preserve"> XE "</w:instrText>
      </w:r>
      <w:r w:rsidRPr="00EC0229">
        <w:rPr>
          <w:b/>
          <w:sz w:val="40"/>
          <w:szCs w:val="40"/>
        </w:rPr>
        <w:instrText>Abramson</w:instrText>
      </w:r>
      <w:r w:rsidRPr="00EC0229">
        <w:instrText xml:space="preserve">" </w:instrText>
      </w:r>
      <w:r w:rsidRPr="00EC0229">
        <w:fldChar w:fldCharType="end"/>
      </w:r>
      <w:r w:rsidRPr="00EC0229">
        <w:t xml:space="preserve"> and Garrison (forthcoming), where, given the possibility of a subsequent inscriptional superimposition, we conclude ‘The case for the Archbishop must remain unproven but his claim is tantalising’.</w:t>
      </w:r>
    </w:p>
    <w:p w14:paraId="0A29C2E3" w14:textId="77777777" w:rsidR="00445D6E" w:rsidRPr="00EC0229" w:rsidRDefault="00445D6E" w:rsidP="007600EA">
      <w:pPr>
        <w:pStyle w:val="NoSpacing"/>
        <w:spacing w:line="360" w:lineRule="auto"/>
      </w:pPr>
    </w:p>
    <w:p w14:paraId="7F2634EF" w14:textId="4A9CC3A1" w:rsidR="00445D6E" w:rsidRPr="00EC0229" w:rsidRDefault="00445D6E" w:rsidP="007600EA">
      <w:pPr>
        <w:pStyle w:val="NoSpacing"/>
        <w:spacing w:line="360" w:lineRule="auto"/>
        <w:rPr>
          <w:rFonts w:cs="Times New Roman"/>
          <w:szCs w:val="24"/>
        </w:rPr>
      </w:pPr>
      <w:r w:rsidRPr="00EC0229">
        <w:rPr>
          <w:rFonts w:cs="Times New Roman"/>
          <w:szCs w:val="24"/>
        </w:rPr>
        <w:t xml:space="preserve">Stocker’s work on </w:t>
      </w:r>
      <w:r w:rsidRPr="00EC0229">
        <w:rPr>
          <w:rFonts w:cs="Times New Roman"/>
          <w:i/>
          <w:szCs w:val="24"/>
        </w:rPr>
        <w:t>spolia</w:t>
      </w:r>
      <w:r w:rsidRPr="00EC0229">
        <w:rPr>
          <w:rFonts w:cs="Times New Roman"/>
          <w:i/>
          <w:szCs w:val="24"/>
        </w:rPr>
        <w:fldChar w:fldCharType="begin"/>
      </w:r>
      <w:r w:rsidRPr="00EC0229">
        <w:instrText xml:space="preserve"> XE "</w:instrText>
      </w:r>
      <w:r w:rsidRPr="00EC0229">
        <w:rPr>
          <w:i/>
        </w:rPr>
        <w:instrText>spolia</w:instrText>
      </w:r>
      <w:r w:rsidRPr="00EC0229">
        <w:instrText xml:space="preserve">" </w:instrText>
      </w:r>
      <w:r w:rsidRPr="00EC0229">
        <w:rPr>
          <w:rFonts w:cs="Times New Roman"/>
          <w:i/>
          <w:szCs w:val="24"/>
        </w:rPr>
        <w:fldChar w:fldCharType="end"/>
      </w:r>
      <w:r w:rsidRPr="00EC0229">
        <w:rPr>
          <w:rFonts w:cs="Times New Roman"/>
          <w:szCs w:val="24"/>
        </w:rPr>
        <w:t>, demonstrated extensive re-use, both casual and functional, in medieval times, of dressed stone from the Minster</w:t>
      </w:r>
      <w:r w:rsidRPr="00EC0229">
        <w:rPr>
          <w:rFonts w:cs="Times New Roman"/>
          <w:szCs w:val="24"/>
        </w:rPr>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rPr>
          <w:rFonts w:cs="Times New Roman"/>
          <w:szCs w:val="24"/>
        </w:rPr>
        <w:fldChar w:fldCharType="end"/>
      </w:r>
      <w:r w:rsidRPr="00EC0229">
        <w:rPr>
          <w:rFonts w:cs="Times New Roman"/>
          <w:szCs w:val="24"/>
        </w:rPr>
        <w:t>.</w:t>
      </w:r>
      <w:r w:rsidRPr="00EC0229">
        <w:rPr>
          <w:rStyle w:val="FootnoteReference"/>
          <w:rFonts w:cs="Times New Roman"/>
          <w:szCs w:val="24"/>
        </w:rPr>
        <w:t xml:space="preserve"> </w:t>
      </w:r>
      <w:r w:rsidRPr="00EC0229">
        <w:rPr>
          <w:rStyle w:val="FootnoteReference"/>
          <w:rFonts w:cs="Times New Roman"/>
          <w:szCs w:val="24"/>
        </w:rPr>
        <w:footnoteReference w:id="815"/>
      </w:r>
      <w:r w:rsidRPr="00EC0229">
        <w:rPr>
          <w:rFonts w:cs="Times New Roman"/>
          <w:szCs w:val="24"/>
        </w:rPr>
        <w:t xml:space="preserve">  This occurred in both local and more </w:t>
      </w:r>
      <w:r w:rsidRPr="00EC0229">
        <w:rPr>
          <w:rFonts w:cs="Times New Roman"/>
          <w:szCs w:val="24"/>
        </w:rPr>
        <w:lastRenderedPageBreak/>
        <w:t>distant ecclesiastical premises under episcopal control.</w:t>
      </w:r>
      <w:r w:rsidRPr="00EC0229">
        <w:rPr>
          <w:rStyle w:val="FootnoteReference"/>
          <w:rFonts w:cs="Times New Roman"/>
          <w:szCs w:val="24"/>
        </w:rPr>
        <w:footnoteReference w:id="816"/>
      </w:r>
      <w:r w:rsidRPr="00EC0229">
        <w:rPr>
          <w:rFonts w:cs="Times New Roman"/>
          <w:szCs w:val="24"/>
        </w:rPr>
        <w:t xml:space="preserve"> Even were the ecclesiastical authorities distributing </w:t>
      </w:r>
      <w:r w:rsidRPr="00EC0229">
        <w:rPr>
          <w:rFonts w:cs="Times New Roman"/>
          <w:i/>
          <w:szCs w:val="24"/>
        </w:rPr>
        <w:t>spolia</w:t>
      </w:r>
      <w:r w:rsidRPr="00EC0229">
        <w:rPr>
          <w:rFonts w:cs="Times New Roman"/>
          <w:szCs w:val="24"/>
        </w:rPr>
        <w:t xml:space="preserve"> freely, there would still have been consequences for employment and transportation, let alone the investment in building with its potent economic leverage.</w:t>
      </w:r>
      <w:r w:rsidR="001D510F" w:rsidRPr="00EC0229">
        <w:rPr>
          <w:rStyle w:val="FootnoteReference"/>
          <w:rFonts w:cs="Times New Roman"/>
          <w:szCs w:val="24"/>
        </w:rPr>
        <w:footnoteReference w:id="817"/>
      </w:r>
    </w:p>
    <w:p w14:paraId="77C9B70C" w14:textId="77777777" w:rsidR="00445D6E" w:rsidRPr="00EC0229" w:rsidRDefault="00445D6E" w:rsidP="007600EA">
      <w:pPr>
        <w:pStyle w:val="NormalWeb"/>
        <w:spacing w:before="0" w:beforeAutospacing="0" w:after="0" w:afterAutospacing="0" w:line="360" w:lineRule="auto"/>
      </w:pPr>
    </w:p>
    <w:p w14:paraId="10803BE0" w14:textId="77777777" w:rsidR="00445D6E" w:rsidRPr="00EC0229" w:rsidRDefault="00445D6E" w:rsidP="007600EA">
      <w:pPr>
        <w:pStyle w:val="NoSpacing"/>
        <w:spacing w:line="360" w:lineRule="auto"/>
        <w:rPr>
          <w:color w:val="000000" w:themeColor="text1"/>
          <w:szCs w:val="24"/>
        </w:rPr>
      </w:pPr>
      <w:r w:rsidRPr="00EC0229">
        <w:rPr>
          <w:color w:val="000000" w:themeColor="text1"/>
          <w:szCs w:val="24"/>
        </w:rPr>
        <w:t>Close parallels with ecclesiastical stonework found elsewhere in Northumbria</w:t>
      </w:r>
      <w:r w:rsidRPr="00EC0229">
        <w:rPr>
          <w:color w:val="000000" w:themeColor="text1"/>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color w:val="000000" w:themeColor="text1"/>
          <w:szCs w:val="24"/>
        </w:rPr>
        <w:fldChar w:fldCharType="end"/>
      </w:r>
      <w:r w:rsidRPr="00EC0229">
        <w:rPr>
          <w:color w:val="000000" w:themeColor="text1"/>
          <w:szCs w:val="24"/>
        </w:rPr>
        <w:t>,</w:t>
      </w:r>
      <w:r w:rsidRPr="00EC0229">
        <w:rPr>
          <w:rStyle w:val="FootnoteReference"/>
          <w:color w:val="000000" w:themeColor="text1"/>
          <w:szCs w:val="24"/>
        </w:rPr>
        <w:footnoteReference w:id="818"/>
      </w:r>
      <w:r w:rsidRPr="00EC0229">
        <w:rPr>
          <w:color w:val="000000" w:themeColor="text1"/>
          <w:szCs w:val="24"/>
        </w:rPr>
        <w:t xml:space="preserve"> lead Lang to the conclusion that during the Anglian</w:t>
      </w:r>
      <w:r w:rsidRPr="00EC0229">
        <w:rPr>
          <w:color w:val="000000" w:themeColor="text1"/>
          <w:szCs w:val="24"/>
        </w:rPr>
        <w:fldChar w:fldCharType="begin"/>
      </w:r>
      <w:r w:rsidRPr="00EC0229">
        <w:instrText xml:space="preserve"> XE "Anglian" </w:instrText>
      </w:r>
      <w:r w:rsidRPr="00EC0229">
        <w:rPr>
          <w:color w:val="000000" w:themeColor="text1"/>
          <w:szCs w:val="24"/>
        </w:rPr>
        <w:fldChar w:fldCharType="end"/>
      </w:r>
      <w:r w:rsidRPr="00EC0229">
        <w:rPr>
          <w:color w:val="000000" w:themeColor="text1"/>
          <w:szCs w:val="24"/>
        </w:rPr>
        <w:t xml:space="preserve"> period and the fusion of Anglo-Scandinavian carving, the </w:t>
      </w:r>
      <w:r w:rsidRPr="00EC0229">
        <w:rPr>
          <w:i/>
          <w:color w:val="000000" w:themeColor="text1"/>
          <w:szCs w:val="24"/>
        </w:rPr>
        <w:t>atelier</w:t>
      </w:r>
      <w:r w:rsidRPr="00EC0229">
        <w:rPr>
          <w:color w:val="000000" w:themeColor="text1"/>
          <w:szCs w:val="24"/>
        </w:rPr>
        <w:t xml:space="preserve"> of the ‘York</w:t>
      </w:r>
      <w:r w:rsidRPr="00EC0229">
        <w:rPr>
          <w:color w:val="000000" w:themeColor="text1"/>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Metropolitan School’ exported its output widely in the north,</w:t>
      </w:r>
      <w:r w:rsidRPr="00EC0229">
        <w:rPr>
          <w:rStyle w:val="FootnoteReference"/>
          <w:color w:val="000000" w:themeColor="text1"/>
          <w:szCs w:val="24"/>
        </w:rPr>
        <w:footnoteReference w:id="819"/>
      </w:r>
      <w:r w:rsidRPr="00EC0229">
        <w:rPr>
          <w:color w:val="000000" w:themeColor="text1"/>
          <w:szCs w:val="24"/>
        </w:rPr>
        <w:t xml:space="preserve"> which undoubtedly would have made a considerable contribution to economic activity. Lang remarked on the profusion of later funerary sculpture in Ryedale compared to its near absence in the Wolds</w:t>
      </w:r>
      <w:r w:rsidRPr="00EC0229">
        <w:rPr>
          <w:color w:val="000000" w:themeColor="text1"/>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(apart from Sherburn</w:t>
      </w:r>
      <w:r w:rsidRPr="00EC0229">
        <w:rPr>
          <w:color w:val="000000" w:themeColor="text1"/>
          <w:szCs w:val="24"/>
        </w:rPr>
        <w:fldChar w:fldCharType="begin"/>
      </w:r>
      <w:r w:rsidRPr="00EC0229">
        <w:instrText xml:space="preserve"> XE "</w:instrText>
      </w:r>
      <w:r w:rsidRPr="00EC0229">
        <w:rPr>
          <w:rStyle w:val="Hyperlink"/>
          <w:noProof/>
          <w:u w:val="none"/>
        </w:rPr>
        <w:instrText>Sherburn</w:instrText>
      </w:r>
      <w:r w:rsidRPr="00EC0229">
        <w:instrText xml:space="preserve">" </w:instrText>
      </w:r>
      <w:r w:rsidRPr="00EC0229">
        <w:rPr>
          <w:color w:val="000000" w:themeColor="text1"/>
          <w:szCs w:val="24"/>
        </w:rPr>
        <w:fldChar w:fldCharType="end"/>
      </w:r>
      <w:r w:rsidRPr="00EC0229">
        <w:rPr>
          <w:color w:val="000000" w:themeColor="text1"/>
          <w:szCs w:val="24"/>
        </w:rPr>
        <w:t>),</w:t>
      </w:r>
      <w:r w:rsidRPr="00EC0229">
        <w:rPr>
          <w:rStyle w:val="FootnoteReference"/>
          <w:color w:val="000000" w:themeColor="text1"/>
          <w:szCs w:val="24"/>
        </w:rPr>
        <w:footnoteReference w:id="820"/>
      </w:r>
      <w:r w:rsidRPr="00EC0229">
        <w:rPr>
          <w:color w:val="000000" w:themeColor="text1"/>
          <w:szCs w:val="24"/>
        </w:rPr>
        <w:t xml:space="preserve"> a contrast to the numismatic material. </w:t>
      </w:r>
    </w:p>
    <w:p w14:paraId="2285C53C" w14:textId="77777777" w:rsidR="00445D6E" w:rsidRPr="00EC0229" w:rsidRDefault="00445D6E" w:rsidP="007600EA">
      <w:pPr>
        <w:pStyle w:val="NoSpacing"/>
        <w:spacing w:line="360" w:lineRule="auto"/>
        <w:rPr>
          <w:color w:val="000000" w:themeColor="text1"/>
          <w:szCs w:val="24"/>
        </w:rPr>
      </w:pPr>
    </w:p>
    <w:p w14:paraId="00EC65DE" w14:textId="75231431" w:rsidR="00445D6E" w:rsidRPr="00EC0229" w:rsidRDefault="00445D6E" w:rsidP="007600EA">
      <w:pPr>
        <w:pStyle w:val="FootnoteText"/>
        <w:spacing w:line="360" w:lineRule="auto"/>
        <w:rPr>
          <w:color w:val="000000" w:themeColor="text1"/>
          <w:sz w:val="24"/>
          <w:szCs w:val="24"/>
        </w:rPr>
      </w:pPr>
      <w:r w:rsidRPr="00EC0229">
        <w:rPr>
          <w:color w:val="000000" w:themeColor="text1"/>
          <w:sz w:val="24"/>
          <w:szCs w:val="24"/>
        </w:rPr>
        <w:t>Certainly, the variety of post-Roman</w:t>
      </w:r>
      <w:r w:rsidRPr="00EC0229">
        <w:rPr>
          <w:color w:val="000000" w:themeColor="text1"/>
          <w:sz w:val="24"/>
          <w:szCs w:val="24"/>
        </w:rPr>
        <w:fldChar w:fldCharType="begin"/>
      </w:r>
      <w:r w:rsidRPr="00EC0229">
        <w:instrText xml:space="preserve"> XE "Roman" </w:instrText>
      </w:r>
      <w:r w:rsidRPr="00EC0229">
        <w:rPr>
          <w:color w:val="000000" w:themeColor="text1"/>
          <w:sz w:val="24"/>
          <w:szCs w:val="24"/>
        </w:rPr>
        <w:fldChar w:fldCharType="end"/>
      </w:r>
      <w:r w:rsidRPr="00EC0229">
        <w:rPr>
          <w:color w:val="000000" w:themeColor="text1"/>
          <w:sz w:val="24"/>
          <w:szCs w:val="24"/>
        </w:rPr>
        <w:t xml:space="preserve"> pottery sherds found during the Minster</w:t>
      </w:r>
      <w:r w:rsidRPr="00EC0229">
        <w:rPr>
          <w:color w:val="000000" w:themeColor="text1"/>
          <w:sz w:val="24"/>
          <w:szCs w:val="24"/>
        </w:rPr>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rPr>
          <w:color w:val="000000" w:themeColor="text1"/>
          <w:sz w:val="24"/>
          <w:szCs w:val="24"/>
        </w:rPr>
        <w:fldChar w:fldCharType="end"/>
      </w:r>
      <w:r w:rsidRPr="00EC0229">
        <w:rPr>
          <w:color w:val="000000" w:themeColor="text1"/>
          <w:sz w:val="24"/>
          <w:szCs w:val="24"/>
        </w:rPr>
        <w:t xml:space="preserve"> excavations implies a wide communications network.</w:t>
      </w:r>
      <w:r w:rsidRPr="00EC0229">
        <w:rPr>
          <w:rStyle w:val="FootnoteReference"/>
          <w:color w:val="000000" w:themeColor="text1"/>
          <w:szCs w:val="24"/>
        </w:rPr>
        <w:footnoteReference w:id="821"/>
      </w:r>
      <w:r w:rsidRPr="00EC0229">
        <w:rPr>
          <w:color w:val="000000" w:themeColor="text1"/>
          <w:sz w:val="24"/>
          <w:szCs w:val="24"/>
        </w:rPr>
        <w:t xml:space="preserve"> There is a small number of hand-thrown pots dated between the fifth and eighth centuries and 171 sherds of the local, friable, York</w:t>
      </w:r>
      <w:r w:rsidRPr="00EC0229">
        <w:rPr>
          <w:color w:val="000000" w:themeColor="text1"/>
          <w:sz w:val="24"/>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color w:val="000000" w:themeColor="text1"/>
          <w:sz w:val="24"/>
          <w:szCs w:val="24"/>
        </w:rPr>
        <w:fldChar w:fldCharType="end"/>
      </w:r>
      <w:r w:rsidRPr="00EC0229">
        <w:rPr>
          <w:color w:val="000000" w:themeColor="text1"/>
          <w:sz w:val="24"/>
          <w:szCs w:val="24"/>
        </w:rPr>
        <w:t xml:space="preserve"> ware of the eighth to ninth centuries. These York ware fragments are exclusively from medium sized globular jars, which Holdsworth suggested may indicate a local commodity.</w:t>
      </w:r>
      <w:r w:rsidRPr="00EC0229">
        <w:rPr>
          <w:rStyle w:val="FootnoteReference"/>
          <w:color w:val="000000" w:themeColor="text1"/>
          <w:szCs w:val="24"/>
        </w:rPr>
        <w:footnoteReference w:id="822"/>
      </w:r>
      <w:r w:rsidRPr="00EC0229">
        <w:rPr>
          <w:color w:val="000000" w:themeColor="text1"/>
          <w:sz w:val="24"/>
          <w:szCs w:val="24"/>
        </w:rPr>
        <w:t xml:space="preserve"> </w:t>
      </w:r>
      <w:r w:rsidRPr="00EC0229">
        <w:rPr>
          <w:sz w:val="24"/>
          <w:szCs w:val="24"/>
        </w:rPr>
        <w:t xml:space="preserve">Holdsworth associated the first rough wheel-thrown York ware with Mayen wares inferring a Rhenish connection from the latter part of the eighth century - a </w:t>
      </w:r>
      <w:r w:rsidR="00AF4744" w:rsidRPr="00EC0229">
        <w:rPr>
          <w:sz w:val="24"/>
          <w:szCs w:val="24"/>
        </w:rPr>
        <w:t>seventy-five-year</w:t>
      </w:r>
      <w:r w:rsidRPr="00EC0229">
        <w:rPr>
          <w:sz w:val="24"/>
          <w:szCs w:val="24"/>
        </w:rPr>
        <w:t xml:space="preserve"> advance on previous estimates of the introduction of large-scale thrown-ware production. Rhenish pots were widely traded and occur in significant numbers, for example, at Dorestad.</w:t>
      </w:r>
      <w:r w:rsidRPr="00EC0229">
        <w:rPr>
          <w:rStyle w:val="FootnoteReference"/>
          <w:szCs w:val="24"/>
        </w:rPr>
        <w:t xml:space="preserve"> </w:t>
      </w:r>
      <w:r w:rsidRPr="00EC0229">
        <w:rPr>
          <w:rStyle w:val="FootnoteReference"/>
          <w:szCs w:val="24"/>
        </w:rPr>
        <w:footnoteReference w:id="823"/>
      </w:r>
      <w:r w:rsidRPr="00EC0229">
        <w:rPr>
          <w:sz w:val="24"/>
          <w:szCs w:val="24"/>
        </w:rPr>
        <w:t xml:space="preserve"> How specie flow supported trade in pots is not yet evident. </w:t>
      </w:r>
      <w:r w:rsidRPr="00EC0229">
        <w:rPr>
          <w:color w:val="000000" w:themeColor="text1"/>
          <w:sz w:val="24"/>
          <w:szCs w:val="24"/>
        </w:rPr>
        <w:t xml:space="preserve">Among the Anglo-Scandinavian pottery finds are sixty-five sherds of Torksey ware, </w:t>
      </w:r>
      <w:r w:rsidR="00BF0FB9" w:rsidRPr="00EC0229">
        <w:rPr>
          <w:color w:val="000000" w:themeColor="text1"/>
          <w:sz w:val="24"/>
          <w:szCs w:val="24"/>
        </w:rPr>
        <w:t xml:space="preserve">which </w:t>
      </w:r>
      <w:r w:rsidR="00BF0FB9" w:rsidRPr="00EC0229">
        <w:rPr>
          <w:sz w:val="24"/>
          <w:szCs w:val="24"/>
        </w:rPr>
        <w:t xml:space="preserve">post-date the </w:t>
      </w:r>
      <w:r w:rsidR="00BF0FB9" w:rsidRPr="00EC0229">
        <w:rPr>
          <w:i/>
          <w:sz w:val="24"/>
          <w:szCs w:val="24"/>
        </w:rPr>
        <w:t>micel</w:t>
      </w:r>
      <w:r w:rsidR="00BF0FB9" w:rsidRPr="00EC0229">
        <w:rPr>
          <w:sz w:val="24"/>
          <w:szCs w:val="24"/>
        </w:rPr>
        <w:t xml:space="preserve"> </w:t>
      </w:r>
      <w:r w:rsidR="00BF0FB9" w:rsidRPr="00EC0229">
        <w:rPr>
          <w:i/>
          <w:sz w:val="24"/>
          <w:szCs w:val="24"/>
        </w:rPr>
        <w:t>here’s</w:t>
      </w:r>
      <w:r w:rsidR="00BF0FB9" w:rsidRPr="00EC0229">
        <w:rPr>
          <w:sz w:val="24"/>
          <w:szCs w:val="24"/>
        </w:rPr>
        <w:t xml:space="preserve"> overwintering in Torksey,</w:t>
      </w:r>
      <w:r w:rsidRPr="00EC0229">
        <w:rPr>
          <w:color w:val="000000" w:themeColor="text1"/>
          <w:sz w:val="24"/>
          <w:szCs w:val="24"/>
        </w:rPr>
        <w:t xml:space="preserve"> 872/3.</w:t>
      </w:r>
    </w:p>
    <w:p w14:paraId="59061497" w14:textId="77777777" w:rsidR="00445D6E" w:rsidRPr="00EC0229" w:rsidRDefault="00445D6E" w:rsidP="007600EA">
      <w:pPr>
        <w:pStyle w:val="NoSpacing"/>
        <w:spacing w:line="360" w:lineRule="auto"/>
        <w:rPr>
          <w:szCs w:val="24"/>
        </w:rPr>
      </w:pPr>
    </w:p>
    <w:p w14:paraId="035D7742" w14:textId="77777777" w:rsidR="00F262FB" w:rsidRPr="00EC0229" w:rsidRDefault="00F262FB" w:rsidP="007600EA">
      <w:pPr>
        <w:pStyle w:val="NoSpacing"/>
        <w:spacing w:line="360" w:lineRule="auto"/>
        <w:rPr>
          <w:szCs w:val="24"/>
        </w:rPr>
      </w:pPr>
      <w:r w:rsidRPr="00EC0229">
        <w:rPr>
          <w:szCs w:val="24"/>
        </w:rPr>
        <w:t>Carver argued both for an Anglian</w:t>
      </w:r>
      <w:r w:rsidRPr="00EC0229">
        <w:rPr>
          <w:szCs w:val="24"/>
        </w:rPr>
        <w:fldChar w:fldCharType="begin"/>
      </w:r>
      <w:r w:rsidRPr="00EC0229">
        <w:instrText xml:space="preserve"> XE "Anglian" </w:instrText>
      </w:r>
      <w:r w:rsidRPr="00EC0229">
        <w:rPr>
          <w:szCs w:val="24"/>
        </w:rPr>
        <w:fldChar w:fldCharType="end"/>
      </w:r>
      <w:r w:rsidRPr="00EC0229">
        <w:rPr>
          <w:szCs w:val="24"/>
        </w:rPr>
        <w:t xml:space="preserve"> cemetery below that of the Anglo-Scandinavian phase and the placing of the Anglian church</w:t>
      </w:r>
      <w:r w:rsidRPr="00EC0229">
        <w:rPr>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szCs w:val="24"/>
        </w:rPr>
        <w:fldChar w:fldCharType="end"/>
      </w:r>
      <w:r w:rsidRPr="00EC0229">
        <w:rPr>
          <w:szCs w:val="24"/>
        </w:rPr>
        <w:t xml:space="preserve"> adjacent to this, which would be at the junction of </w:t>
      </w:r>
      <w:r w:rsidRPr="00EC0229">
        <w:rPr>
          <w:i/>
          <w:szCs w:val="24"/>
        </w:rPr>
        <w:t>via</w:t>
      </w:r>
      <w:r w:rsidRPr="00EC0229">
        <w:rPr>
          <w:szCs w:val="24"/>
        </w:rPr>
        <w:t xml:space="preserve"> </w:t>
      </w:r>
      <w:r w:rsidRPr="00EC0229">
        <w:rPr>
          <w:i/>
          <w:szCs w:val="24"/>
        </w:rPr>
        <w:t>principalis</w:t>
      </w:r>
      <w:r w:rsidRPr="00EC0229">
        <w:rPr>
          <w:szCs w:val="24"/>
        </w:rPr>
        <w:t xml:space="preserve"> and </w:t>
      </w:r>
      <w:r w:rsidRPr="00EC0229">
        <w:rPr>
          <w:i/>
          <w:szCs w:val="24"/>
        </w:rPr>
        <w:t>via</w:t>
      </w:r>
      <w:r w:rsidRPr="00EC0229">
        <w:rPr>
          <w:szCs w:val="24"/>
        </w:rPr>
        <w:t xml:space="preserve"> </w:t>
      </w:r>
      <w:r w:rsidRPr="00EC0229">
        <w:rPr>
          <w:i/>
          <w:szCs w:val="24"/>
        </w:rPr>
        <w:t>praetoria</w:t>
      </w:r>
      <w:r w:rsidRPr="00EC0229">
        <w:rPr>
          <w:szCs w:val="24"/>
        </w:rPr>
        <w:t xml:space="preserve">. He set out three models of activity from minimal to maximal, but </w:t>
      </w:r>
      <w:r w:rsidRPr="00EC0229">
        <w:rPr>
          <w:szCs w:val="24"/>
        </w:rPr>
        <w:lastRenderedPageBreak/>
        <w:t>it would be difficult to sustain any interpretation other than ‘fitful rather than continuous activity.’</w:t>
      </w:r>
      <w:r w:rsidRPr="00EC0229">
        <w:rPr>
          <w:rStyle w:val="FootnoteReference"/>
          <w:szCs w:val="24"/>
        </w:rPr>
        <w:footnoteReference w:id="824"/>
      </w:r>
    </w:p>
    <w:p w14:paraId="109E1A0E" w14:textId="77777777" w:rsidR="00F262FB" w:rsidRPr="00EC0229" w:rsidRDefault="00F262FB" w:rsidP="007600EA">
      <w:pPr>
        <w:pStyle w:val="NoSpacing"/>
        <w:spacing w:line="360" w:lineRule="auto"/>
        <w:rPr>
          <w:strike/>
          <w:szCs w:val="24"/>
        </w:rPr>
      </w:pPr>
    </w:p>
    <w:p w14:paraId="69AE93D9" w14:textId="285CF134" w:rsidR="00445D6E" w:rsidRPr="00EC0229" w:rsidRDefault="00445D6E" w:rsidP="007600EA">
      <w:pPr>
        <w:pStyle w:val="NoSpacing"/>
        <w:spacing w:line="360" w:lineRule="auto"/>
        <w:rPr>
          <w:color w:val="000000" w:themeColor="text1"/>
          <w:szCs w:val="24"/>
        </w:rPr>
      </w:pPr>
      <w:r w:rsidRPr="00EC0229">
        <w:rPr>
          <w:color w:val="000000" w:themeColor="text1"/>
          <w:szCs w:val="24"/>
        </w:rPr>
        <w:t>Over a hundred Anglo-Saxon</w:t>
      </w:r>
      <w:r w:rsidRPr="00EC0229">
        <w:rPr>
          <w:color w:val="000000" w:themeColor="text1"/>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graves have been excavated from below the Norman cathedral, of which thirteen have stone covers, thirteen are charcoal burials, five have elaborate coffin fittings and one is probably a Viking</w:t>
      </w:r>
      <w:r w:rsidRPr="00EC0229">
        <w:rPr>
          <w:color w:val="000000" w:themeColor="text1"/>
          <w:szCs w:val="24"/>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boat burial. These are high status burials from the late ninth and tenth century.</w:t>
      </w:r>
      <w:r w:rsidRPr="00EC0229">
        <w:rPr>
          <w:rStyle w:val="FootnoteReference"/>
          <w:color w:val="000000" w:themeColor="text1"/>
          <w:szCs w:val="24"/>
        </w:rPr>
        <w:footnoteReference w:id="825"/>
      </w:r>
    </w:p>
    <w:p w14:paraId="696AE4EA" w14:textId="77777777" w:rsidR="00445D6E" w:rsidRPr="00EC0229" w:rsidRDefault="00445D6E" w:rsidP="007600EA">
      <w:pPr>
        <w:pStyle w:val="NoSpacing"/>
        <w:spacing w:line="360" w:lineRule="auto"/>
        <w:rPr>
          <w:color w:val="000000" w:themeColor="text1"/>
          <w:szCs w:val="24"/>
        </w:rPr>
      </w:pPr>
    </w:p>
    <w:p w14:paraId="44DCD33A" w14:textId="6397C523" w:rsidR="00445D6E" w:rsidRPr="00EC0229" w:rsidRDefault="00445D6E" w:rsidP="007600EA">
      <w:pPr>
        <w:pStyle w:val="NoSpacing"/>
        <w:spacing w:line="360" w:lineRule="auto"/>
        <w:rPr>
          <w:rFonts w:cs="Times New Roman"/>
          <w:szCs w:val="24"/>
        </w:rPr>
      </w:pPr>
      <w:r w:rsidRPr="00EC0229">
        <w:rPr>
          <w:szCs w:val="24"/>
        </w:rPr>
        <w:t>Based on a careful reading of Alcuin</w:t>
      </w:r>
      <w:r w:rsidRPr="00EC0229">
        <w:rPr>
          <w:szCs w:val="24"/>
        </w:rPr>
        <w:fldChar w:fldCharType="begin"/>
      </w:r>
      <w:r w:rsidRPr="00EC0229">
        <w:instrText xml:space="preserve"> XE "</w:instrText>
      </w:r>
      <w:r w:rsidRPr="00EC0229">
        <w:rPr>
          <w:rFonts w:cs="Times New Roman"/>
          <w:szCs w:val="24"/>
        </w:rPr>
        <w:instrText>Alcuin</w:instrText>
      </w:r>
      <w:r w:rsidRPr="00EC0229">
        <w:instrText xml:space="preserve">" </w:instrText>
      </w:r>
      <w:r w:rsidRPr="00EC0229">
        <w:rPr>
          <w:szCs w:val="24"/>
        </w:rPr>
        <w:fldChar w:fldCharType="end"/>
      </w:r>
      <w:r w:rsidRPr="00EC0229">
        <w:rPr>
          <w:szCs w:val="24"/>
        </w:rPr>
        <w:t xml:space="preserve">, and the topography of royal and episcopal sites in contemporary centres, Morris has argued for the cathedral being separate from a </w:t>
      </w:r>
      <w:r w:rsidRPr="00EC0229">
        <w:rPr>
          <w:i/>
          <w:szCs w:val="24"/>
        </w:rPr>
        <w:t>monasterium</w:t>
      </w:r>
      <w:r w:rsidRPr="00EC0229">
        <w:rPr>
          <w:szCs w:val="24"/>
        </w:rPr>
        <w:t xml:space="preserve">, which he believed to have been situated in the </w:t>
      </w:r>
      <w:r w:rsidRPr="00EC0229">
        <w:rPr>
          <w:i/>
          <w:szCs w:val="24"/>
        </w:rPr>
        <w:t>Colonia</w:t>
      </w:r>
      <w:r w:rsidRPr="00EC0229">
        <w:rPr>
          <w:szCs w:val="24"/>
        </w:rPr>
        <w:t xml:space="preserve">, on the west bank of the </w:t>
      </w:r>
      <w:r w:rsidRPr="00EC0229">
        <w:rPr>
          <w:rFonts w:cs="Times New Roman"/>
          <w:szCs w:val="24"/>
        </w:rPr>
        <w:t xml:space="preserve">Ouse, </w:t>
      </w:r>
      <w:r w:rsidRPr="00EC0229">
        <w:rPr>
          <w:rFonts w:eastAsia="BookAntiqua" w:cs="Times New Roman"/>
          <w:szCs w:val="24"/>
        </w:rPr>
        <w:t>in the Bishophill area, viewing York</w:t>
      </w:r>
      <w:r w:rsidRPr="00EC0229">
        <w:rPr>
          <w:rFonts w:eastAsia="BookAntiqua"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eastAsia="BookAntiqua" w:cs="Times New Roman"/>
          <w:szCs w:val="24"/>
        </w:rPr>
        <w:fldChar w:fldCharType="end"/>
      </w:r>
      <w:r w:rsidRPr="00EC0229">
        <w:rPr>
          <w:rFonts w:eastAsia="BookAntiqua" w:cs="Times New Roman"/>
          <w:szCs w:val="24"/>
        </w:rPr>
        <w:t xml:space="preserve"> as a multifocal centre.</w:t>
      </w:r>
      <w:r w:rsidRPr="00EC0229">
        <w:rPr>
          <w:rStyle w:val="FootnoteReference"/>
          <w:rFonts w:cs="Times New Roman"/>
          <w:szCs w:val="24"/>
        </w:rPr>
        <w:footnoteReference w:id="826"/>
      </w:r>
      <w:r w:rsidRPr="00EC0229">
        <w:rPr>
          <w:rFonts w:cs="Times New Roman"/>
          <w:szCs w:val="24"/>
        </w:rPr>
        <w:t xml:space="preserve"> Morris noted, in connection with York’s supposedly thirty-altar </w:t>
      </w:r>
      <w:r w:rsidRPr="00EC0229">
        <w:rPr>
          <w:rFonts w:cs="Times New Roman"/>
          <w:i/>
          <w:szCs w:val="24"/>
        </w:rPr>
        <w:t>Alma Sophia</w:t>
      </w:r>
      <w:r w:rsidRPr="00EC0229">
        <w:rPr>
          <w:rFonts w:cs="Times New Roman"/>
          <w:szCs w:val="24"/>
        </w:rPr>
        <w:t xml:space="preserve">, that </w:t>
      </w:r>
      <w:r w:rsidRPr="00EC0229">
        <w:rPr>
          <w:rFonts w:eastAsia="BookAntiqua" w:cs="Times New Roman"/>
          <w:szCs w:val="24"/>
        </w:rPr>
        <w:t>the similarly-named churches at both Benevento</w:t>
      </w:r>
      <w:r w:rsidRPr="00EC0229">
        <w:rPr>
          <w:rStyle w:val="FootnoteReference"/>
          <w:rFonts w:eastAsia="BookAntiqua" w:cs="Times New Roman"/>
          <w:szCs w:val="24"/>
        </w:rPr>
        <w:footnoteReference w:id="827"/>
      </w:r>
      <w:r w:rsidRPr="00EC0229">
        <w:rPr>
          <w:rFonts w:eastAsia="BookAntiqua" w:cs="Times New Roman"/>
          <w:szCs w:val="24"/>
        </w:rPr>
        <w:t xml:space="preserve"> and Constantinople</w:t>
      </w:r>
      <w:r w:rsidRPr="00EC0229">
        <w:rPr>
          <w:rStyle w:val="FootnoteReference"/>
          <w:rFonts w:eastAsia="BookAntiqua" w:cs="Times New Roman"/>
          <w:szCs w:val="24"/>
        </w:rPr>
        <w:footnoteReference w:id="828"/>
      </w:r>
      <w:r w:rsidRPr="00EC0229">
        <w:rPr>
          <w:rFonts w:eastAsia="BookAntiqua" w:cs="Times New Roman"/>
          <w:szCs w:val="24"/>
        </w:rPr>
        <w:t xml:space="preserve"> stood adjacent to royal palaces.</w:t>
      </w:r>
      <w:r w:rsidRPr="00EC0229">
        <w:rPr>
          <w:rFonts w:cs="Times New Roman"/>
          <w:szCs w:val="24"/>
        </w:rPr>
        <w:t xml:space="preserve"> ‘</w:t>
      </w:r>
      <w:r w:rsidRPr="00EC0229">
        <w:rPr>
          <w:rFonts w:eastAsia="BookAntiqua" w:cs="Times New Roman"/>
          <w:szCs w:val="24"/>
        </w:rPr>
        <w:t>The sense of the dedication was in direct imitation of the prototype in Constantinople.’</w:t>
      </w:r>
      <w:r w:rsidRPr="00EC0229">
        <w:rPr>
          <w:rStyle w:val="FootnoteReference"/>
          <w:rFonts w:eastAsia="BookAntiqua" w:cs="Times New Roman"/>
          <w:szCs w:val="24"/>
        </w:rPr>
        <w:t xml:space="preserve"> </w:t>
      </w:r>
      <w:r w:rsidRPr="00EC0229">
        <w:rPr>
          <w:rStyle w:val="FootnoteReference"/>
          <w:rFonts w:eastAsia="BookAntiqua" w:cs="Times New Roman"/>
          <w:szCs w:val="24"/>
        </w:rPr>
        <w:footnoteReference w:id="829"/>
      </w:r>
      <w:r w:rsidRPr="00EC0229">
        <w:rPr>
          <w:rFonts w:eastAsia="BookAntiqua" w:cs="Times New Roman"/>
          <w:szCs w:val="24"/>
        </w:rPr>
        <w:t xml:space="preserve"> Certainly,</w:t>
      </w:r>
      <w:r w:rsidRPr="00EC0229">
        <w:rPr>
          <w:szCs w:val="24"/>
        </w:rPr>
        <w:t xml:space="preserve"> Alcuin and his mentor Ælberht had travelled in Italy but Garrison felt that Morris is wrong to elide the church</w:t>
      </w:r>
      <w:r w:rsidRPr="00EC0229">
        <w:rPr>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szCs w:val="24"/>
        </w:rPr>
        <w:fldChar w:fldCharType="end"/>
      </w:r>
      <w:r w:rsidRPr="00EC0229">
        <w:rPr>
          <w:szCs w:val="24"/>
        </w:rPr>
        <w:t xml:space="preserve"> dedications.</w:t>
      </w:r>
      <w:r w:rsidRPr="00EC0229">
        <w:rPr>
          <w:rStyle w:val="FootnoteReference"/>
          <w:szCs w:val="24"/>
        </w:rPr>
        <w:footnoteReference w:id="830"/>
      </w:r>
      <w:r w:rsidRPr="00EC0229">
        <w:rPr>
          <w:szCs w:val="24"/>
        </w:rPr>
        <w:t xml:space="preserve"> St. Willibald of Wessex (d. 787) spent several years in Beneventum</w:t>
      </w:r>
      <w:r w:rsidRPr="00EC0229">
        <w:rPr>
          <w:szCs w:val="24"/>
        </w:rPr>
        <w:fldChar w:fldCharType="begin"/>
      </w:r>
      <w:r w:rsidRPr="00EC0229">
        <w:instrText xml:space="preserve"> XE "</w:instrText>
      </w:r>
      <w:r w:rsidRPr="00EC0229">
        <w:rPr>
          <w:rFonts w:cs="Times New Roman"/>
        </w:rPr>
        <w:instrText>Beneventum</w:instrText>
      </w:r>
      <w:r w:rsidRPr="00EC0229">
        <w:instrText xml:space="preserve">" </w:instrText>
      </w:r>
      <w:r w:rsidRPr="00EC0229">
        <w:rPr>
          <w:szCs w:val="24"/>
        </w:rPr>
        <w:fldChar w:fldCharType="end"/>
      </w:r>
      <w:r w:rsidRPr="00EC0229">
        <w:rPr>
          <w:szCs w:val="24"/>
        </w:rPr>
        <w:t>.</w:t>
      </w:r>
      <w:r w:rsidRPr="00EC0229">
        <w:rPr>
          <w:rStyle w:val="FootnoteReference"/>
          <w:szCs w:val="24"/>
        </w:rPr>
        <w:footnoteReference w:id="831"/>
      </w:r>
      <w:r w:rsidRPr="00EC0229">
        <w:rPr>
          <w:szCs w:val="24"/>
        </w:rPr>
        <w:t xml:space="preserve"> Naismith</w:t>
      </w:r>
      <w:r w:rsidRPr="00EC0229">
        <w:rPr>
          <w:szCs w:val="24"/>
        </w:rPr>
        <w:fldChar w:fldCharType="begin"/>
      </w:r>
      <w:r w:rsidRPr="00EC0229">
        <w:instrText xml:space="preserve"> XE "</w:instrText>
      </w:r>
      <w:r w:rsidRPr="00EC0229">
        <w:rPr>
          <w:rFonts w:cs="Times New Roman"/>
          <w:szCs w:val="24"/>
        </w:rPr>
        <w:instrText>Naismith</w:instrText>
      </w:r>
      <w:r w:rsidRPr="00EC0229">
        <w:instrText xml:space="preserve">" </w:instrText>
      </w:r>
      <w:r w:rsidRPr="00EC0229">
        <w:rPr>
          <w:szCs w:val="24"/>
        </w:rPr>
        <w:fldChar w:fldCharType="end"/>
      </w:r>
      <w:r w:rsidRPr="00EC0229">
        <w:rPr>
          <w:szCs w:val="24"/>
        </w:rPr>
        <w:t xml:space="preserve"> </w:t>
      </w:r>
      <w:r w:rsidRPr="00EC0229">
        <w:rPr>
          <w:rFonts w:cs="Times New Roman"/>
          <w:szCs w:val="24"/>
        </w:rPr>
        <w:t>augmented this putative link</w:t>
      </w:r>
      <w:r w:rsidRPr="00EC0229">
        <w:rPr>
          <w:szCs w:val="24"/>
        </w:rPr>
        <w:t>:</w:t>
      </w:r>
      <w:r w:rsidRPr="00EC0229">
        <w:rPr>
          <w:rStyle w:val="FootnoteReference"/>
          <w:rFonts w:cs="Times New Roman"/>
          <w:szCs w:val="24"/>
        </w:rPr>
        <w:t xml:space="preserve"> </w:t>
      </w:r>
      <w:r w:rsidRPr="00EC0229">
        <w:rPr>
          <w:szCs w:val="24"/>
        </w:rPr>
        <w:t>Arichis II was one of very few western European rulers to have evaded Charlesmagne’s conquests,</w:t>
      </w:r>
      <w:r w:rsidRPr="00EC0229">
        <w:rPr>
          <w:rStyle w:val="FootnoteReference"/>
          <w:rFonts w:cs="Times New Roman"/>
          <w:szCs w:val="24"/>
        </w:rPr>
        <w:footnoteReference w:id="832"/>
      </w:r>
      <w:r w:rsidRPr="00EC0229">
        <w:rPr>
          <w:szCs w:val="24"/>
        </w:rPr>
        <w:t xml:space="preserve"> so it is not surprising that he may have tried to forge contacts with other independent </w:t>
      </w:r>
      <w:r w:rsidRPr="00EC0229">
        <w:rPr>
          <w:rFonts w:cs="Times New Roman"/>
          <w:szCs w:val="24"/>
        </w:rPr>
        <w:t>kingdoms as suggested by the loss of a test-marked solidus</w:t>
      </w:r>
      <w:r w:rsidRPr="00EC0229">
        <w:rPr>
          <w:rFonts w:cs="Times New Roman"/>
          <w:szCs w:val="24"/>
        </w:rPr>
        <w:fldChar w:fldCharType="begin"/>
      </w:r>
      <w:r w:rsidRPr="00EC0229">
        <w:instrText xml:space="preserve"> XE "</w:instrText>
      </w:r>
      <w:r w:rsidRPr="00EC0229">
        <w:rPr>
          <w:rFonts w:eastAsia="Times New Roman" w:cs="Times New Roman"/>
          <w:szCs w:val="24"/>
          <w:lang w:eastAsia="en-GB"/>
        </w:rPr>
        <w:instrText>solidus</w:instrText>
      </w:r>
      <w:r w:rsidRPr="00EC0229">
        <w:instrText xml:space="preserve">" </w:instrText>
      </w:r>
      <w:r w:rsidRPr="00EC0229">
        <w:rPr>
          <w:rFonts w:cs="Times New Roman"/>
          <w:szCs w:val="24"/>
        </w:rPr>
        <w:fldChar w:fldCharType="end"/>
      </w:r>
      <w:r w:rsidRPr="00EC0229">
        <w:rPr>
          <w:rFonts w:cs="Times New Roman"/>
          <w:szCs w:val="24"/>
        </w:rPr>
        <w:t xml:space="preserve"> of his at Alnwick (</w:t>
      </w:r>
      <w:r w:rsidRPr="00EC0229">
        <w:rPr>
          <w:rFonts w:cs="Times New Roman"/>
          <w:szCs w:val="24"/>
        </w:rPr>
        <w:fldChar w:fldCharType="begin"/>
      </w:r>
      <w:r w:rsidRPr="00EC0229">
        <w:rPr>
          <w:rFonts w:cs="Times New Roman"/>
          <w:szCs w:val="24"/>
        </w:rPr>
        <w:instrText xml:space="preserve"> REF _Ref430246874 \h  \* MERGEFORMAT </w:instrText>
      </w:r>
      <w:r w:rsidRPr="00EC0229">
        <w:rPr>
          <w:rFonts w:cs="Times New Roman"/>
          <w:szCs w:val="24"/>
        </w:rPr>
      </w:r>
      <w:r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64</w:t>
      </w:r>
      <w:r w:rsidRPr="00EC0229">
        <w:rPr>
          <w:rFonts w:cs="Times New Roman"/>
          <w:szCs w:val="24"/>
        </w:rPr>
        <w:fldChar w:fldCharType="end"/>
      </w:r>
      <w:r w:rsidRPr="00EC0229">
        <w:rPr>
          <w:rFonts w:cs="Times New Roman"/>
          <w:szCs w:val="24"/>
        </w:rPr>
        <w:t>).</w:t>
      </w:r>
    </w:p>
    <w:p w14:paraId="66A03953" w14:textId="77777777" w:rsidR="00445D6E" w:rsidRPr="00EC0229" w:rsidRDefault="00445D6E" w:rsidP="007600EA">
      <w:pPr>
        <w:pStyle w:val="NoSpacing"/>
        <w:spacing w:line="360" w:lineRule="auto"/>
        <w:rPr>
          <w:rFonts w:cs="Times New Roman"/>
          <w:szCs w:val="24"/>
        </w:rPr>
      </w:pPr>
    </w:p>
    <w:p w14:paraId="2BC41C84" w14:textId="77777777" w:rsidR="00445D6E" w:rsidRPr="00EC0229" w:rsidRDefault="00445D6E" w:rsidP="007600EA">
      <w:pPr>
        <w:pStyle w:val="NoSpacing"/>
        <w:spacing w:line="360" w:lineRule="auto"/>
        <w:jc w:val="center"/>
        <w:rPr>
          <w:rFonts w:cs="Times New Roman"/>
          <w:szCs w:val="24"/>
        </w:rPr>
      </w:pPr>
      <w:r w:rsidRPr="00EC0229">
        <w:rPr>
          <w:rFonts w:cs="Times New Roman"/>
          <w:noProof/>
          <w:szCs w:val="24"/>
          <w:lang w:eastAsia="en-GB"/>
        </w:rPr>
        <w:drawing>
          <wp:inline distT="0" distB="0" distL="0" distR="0" wp14:anchorId="486919E5" wp14:editId="031346C7">
            <wp:extent cx="862072" cy="855980"/>
            <wp:effectExtent l="0" t="0" r="0"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62 S.01.JPG"/>
                    <pic:cNvPicPr/>
                  </pic:nvPicPr>
                  <pic:blipFill>
                    <a:blip r:embed="rId231" cstate="print">
                      <a:extLst>
                        <a:ext uri="{28A0092B-C50C-407E-A947-70E740481C1C}">
                          <a14:useLocalDpi xmlns:a14="http://schemas.microsoft.com/office/drawing/2010/main" val="0"/>
                        </a:ext>
                      </a:extLst>
                    </a:blip>
                    <a:stretch>
                      <a:fillRect/>
                    </a:stretch>
                  </pic:blipFill>
                  <pic:spPr>
                    <a:xfrm flipH="1">
                      <a:off x="0" y="0"/>
                      <a:ext cx="883210" cy="876969"/>
                    </a:xfrm>
                    <a:prstGeom prst="rect">
                      <a:avLst/>
                    </a:prstGeom>
                  </pic:spPr>
                </pic:pic>
              </a:graphicData>
            </a:graphic>
          </wp:inline>
        </w:drawing>
      </w:r>
      <w:r w:rsidRPr="00EC0229">
        <w:rPr>
          <w:rFonts w:cs="Times New Roman"/>
          <w:noProof/>
          <w:szCs w:val="24"/>
          <w:lang w:eastAsia="en-GB"/>
        </w:rPr>
        <w:drawing>
          <wp:inline distT="0" distB="0" distL="0" distR="0" wp14:anchorId="158EF8F1" wp14:editId="28F0F552">
            <wp:extent cx="867646" cy="858448"/>
            <wp:effectExtent l="0" t="0" r="889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62 S.01R.JPG"/>
                    <pic:cNvPicPr/>
                  </pic:nvPicPr>
                  <pic:blipFill>
                    <a:blip r:embed="rId232" cstate="print">
                      <a:extLst>
                        <a:ext uri="{28A0092B-C50C-407E-A947-70E740481C1C}">
                          <a14:useLocalDpi xmlns:a14="http://schemas.microsoft.com/office/drawing/2010/main" val="0"/>
                        </a:ext>
                      </a:extLst>
                    </a:blip>
                    <a:stretch>
                      <a:fillRect/>
                    </a:stretch>
                  </pic:blipFill>
                  <pic:spPr>
                    <a:xfrm flipH="1">
                      <a:off x="0" y="0"/>
                      <a:ext cx="903166" cy="893591"/>
                    </a:xfrm>
                    <a:prstGeom prst="rect">
                      <a:avLst/>
                    </a:prstGeom>
                  </pic:spPr>
                </pic:pic>
              </a:graphicData>
            </a:graphic>
          </wp:inline>
        </w:drawing>
      </w:r>
    </w:p>
    <w:p w14:paraId="1D86B4FE" w14:textId="3E0550FD" w:rsidR="00445D6E" w:rsidRPr="00EC0229" w:rsidRDefault="00445D6E" w:rsidP="007600EA">
      <w:pPr>
        <w:pStyle w:val="NoSpacing"/>
        <w:spacing w:line="360" w:lineRule="auto"/>
        <w:jc w:val="center"/>
        <w:rPr>
          <w:sz w:val="20"/>
          <w:szCs w:val="20"/>
        </w:rPr>
      </w:pPr>
      <w:bookmarkStart w:id="521" w:name="_Ref430246874"/>
      <w:bookmarkStart w:id="522" w:name="_Toc468267036"/>
      <w:r w:rsidRPr="00EC0229">
        <w:rPr>
          <w:i/>
          <w:sz w:val="20"/>
          <w:szCs w:val="20"/>
        </w:rPr>
        <w:lastRenderedPageBreak/>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64</w:t>
      </w:r>
      <w:r w:rsidRPr="00EC0229">
        <w:rPr>
          <w:sz w:val="20"/>
          <w:szCs w:val="20"/>
        </w:rPr>
        <w:fldChar w:fldCharType="end"/>
      </w:r>
      <w:bookmarkEnd w:id="521"/>
      <w:r w:rsidRPr="00EC0229">
        <w:rPr>
          <w:sz w:val="20"/>
          <w:szCs w:val="20"/>
        </w:rPr>
        <w:t>: Solidus of Arichis II (758-87), Beneventum</w:t>
      </w:r>
      <w:r w:rsidRPr="00EC0229">
        <w:rPr>
          <w:sz w:val="20"/>
          <w:szCs w:val="20"/>
        </w:rPr>
        <w:fldChar w:fldCharType="begin"/>
      </w:r>
      <w:r w:rsidRPr="00EC0229">
        <w:rPr>
          <w:sz w:val="20"/>
          <w:szCs w:val="20"/>
        </w:rPr>
        <w:instrText xml:space="preserve"> XE "</w:instrText>
      </w:r>
      <w:r w:rsidRPr="00EC0229">
        <w:rPr>
          <w:rFonts w:cs="Times New Roman"/>
          <w:sz w:val="20"/>
          <w:szCs w:val="20"/>
        </w:rPr>
        <w:instrText>Beneventum</w:instrText>
      </w:r>
      <w:r w:rsidRPr="00EC0229">
        <w:rPr>
          <w:sz w:val="20"/>
          <w:szCs w:val="20"/>
        </w:rPr>
        <w:instrText xml:space="preserve">" </w:instrText>
      </w:r>
      <w:r w:rsidRPr="00EC0229">
        <w:rPr>
          <w:sz w:val="20"/>
          <w:szCs w:val="20"/>
        </w:rPr>
        <w:fldChar w:fldCharType="end"/>
      </w:r>
      <w:r w:rsidRPr="00EC0229">
        <w:rPr>
          <w:sz w:val="20"/>
          <w:szCs w:val="20"/>
        </w:rPr>
        <w:t xml:space="preserve">, </w:t>
      </w:r>
      <w:r w:rsidR="002132F1">
        <w:rPr>
          <w:i/>
          <w:sz w:val="20"/>
          <w:szCs w:val="20"/>
        </w:rPr>
        <w:t>c.</w:t>
      </w:r>
      <w:r w:rsidRPr="00EC0229">
        <w:rPr>
          <w:sz w:val="20"/>
          <w:szCs w:val="20"/>
        </w:rPr>
        <w:t>774, found Alnwick.</w:t>
      </w:r>
      <w:bookmarkEnd w:id="522"/>
      <w:r w:rsidRPr="00EC0229">
        <w:rPr>
          <w:sz w:val="20"/>
          <w:szCs w:val="20"/>
        </w:rPr>
        <w:t xml:space="preserve"> </w:t>
      </w:r>
    </w:p>
    <w:p w14:paraId="53DA4139" w14:textId="77777777" w:rsidR="00445D6E" w:rsidRPr="00EC0229" w:rsidRDefault="00445D6E" w:rsidP="007600EA">
      <w:pPr>
        <w:pStyle w:val="NoSpacing"/>
        <w:spacing w:line="360" w:lineRule="auto"/>
        <w:jc w:val="center"/>
        <w:rPr>
          <w:rFonts w:cs="Times New Roman"/>
          <w:sz w:val="20"/>
          <w:szCs w:val="20"/>
        </w:rPr>
      </w:pPr>
      <w:r w:rsidRPr="00EC0229">
        <w:rPr>
          <w:sz w:val="20"/>
          <w:szCs w:val="20"/>
        </w:rPr>
        <w:t>Test marks imply use in trade.</w:t>
      </w:r>
    </w:p>
    <w:p w14:paraId="77051673" w14:textId="77777777" w:rsidR="00445D6E" w:rsidRPr="00EC0229" w:rsidRDefault="00445D6E" w:rsidP="007600EA">
      <w:pPr>
        <w:pStyle w:val="NoSpacing"/>
        <w:spacing w:line="360" w:lineRule="auto"/>
        <w:rPr>
          <w:color w:val="000000" w:themeColor="text1"/>
          <w:szCs w:val="24"/>
        </w:rPr>
      </w:pPr>
    </w:p>
    <w:p w14:paraId="193B2574" w14:textId="77777777" w:rsidR="00445D6E" w:rsidRPr="00EC0229" w:rsidRDefault="00445D6E" w:rsidP="007600EA">
      <w:pPr>
        <w:pStyle w:val="NoSpacing"/>
        <w:spacing w:line="360" w:lineRule="auto"/>
        <w:rPr>
          <w:szCs w:val="24"/>
        </w:rPr>
      </w:pPr>
      <w:r w:rsidRPr="00EC0229">
        <w:rPr>
          <w:rFonts w:cs="Times New Roman"/>
          <w:szCs w:val="24"/>
        </w:rPr>
        <w:t xml:space="preserve">Other possible seventh- and eighth-century churches include </w:t>
      </w:r>
      <w:r w:rsidRPr="00EC0229">
        <w:t>St Peter the Little, All Saints Pavement, St Mary Castlegate, St Michael, St Stephen, St Gregory, St Mary Bishophill Senior and Junior, where there are grave monuments, and St Martin which has a sculptural frieze.</w:t>
      </w:r>
      <w:r w:rsidRPr="00EC0229">
        <w:rPr>
          <w:szCs w:val="24"/>
        </w:rPr>
        <w:t xml:space="preserve"> This impressive rate of construction indicates a prolific expansion unachievable without a substantial and reliable flow of </w:t>
      </w:r>
      <w:r w:rsidRPr="00EC0229">
        <w:rPr>
          <w:i/>
          <w:szCs w:val="24"/>
        </w:rPr>
        <w:t>materiel</w:t>
      </w:r>
      <w:r w:rsidRPr="00EC0229">
        <w:rPr>
          <w:szCs w:val="24"/>
        </w:rPr>
        <w:t xml:space="preserve"> and finance. </w:t>
      </w:r>
    </w:p>
    <w:p w14:paraId="0D18875E" w14:textId="77777777" w:rsidR="00445D6E" w:rsidRPr="00EC0229" w:rsidRDefault="00445D6E" w:rsidP="007600EA">
      <w:pPr>
        <w:pStyle w:val="NoSpacing"/>
        <w:spacing w:line="360" w:lineRule="auto"/>
        <w:rPr>
          <w:color w:val="000000" w:themeColor="text1"/>
          <w:szCs w:val="24"/>
        </w:rPr>
      </w:pPr>
    </w:p>
    <w:p w14:paraId="010DEBC8" w14:textId="50FCC2BA" w:rsidR="00445D6E" w:rsidRPr="007A3166" w:rsidRDefault="00445D6E" w:rsidP="007600EA">
      <w:pPr>
        <w:pStyle w:val="Heading4"/>
        <w:spacing w:line="360" w:lineRule="auto"/>
        <w:rPr>
          <w:b/>
        </w:rPr>
      </w:pPr>
      <w:bookmarkStart w:id="523" w:name="Fishergate"/>
      <w:bookmarkStart w:id="524" w:name="_Toc468266853"/>
      <w:bookmarkEnd w:id="523"/>
      <w:r w:rsidRPr="007A3166">
        <w:rPr>
          <w:b/>
        </w:rPr>
        <w:t>The Anglian</w:t>
      </w:r>
      <w:r w:rsidRPr="007A3166">
        <w:rPr>
          <w:b/>
        </w:rPr>
        <w:fldChar w:fldCharType="begin"/>
      </w:r>
      <w:r w:rsidRPr="007A3166">
        <w:rPr>
          <w:b/>
        </w:rPr>
        <w:instrText xml:space="preserve"> XE "Anglian" </w:instrText>
      </w:r>
      <w:r w:rsidRPr="007A3166">
        <w:rPr>
          <w:b/>
        </w:rPr>
        <w:fldChar w:fldCharType="end"/>
      </w:r>
      <w:r w:rsidRPr="007A3166">
        <w:rPr>
          <w:b/>
        </w:rPr>
        <w:t xml:space="preserve"> Settlement at Fishergate</w:t>
      </w:r>
      <w:bookmarkEnd w:id="524"/>
      <w:r w:rsidRPr="007A3166">
        <w:rPr>
          <w:b/>
        </w:rPr>
        <w:fldChar w:fldCharType="begin"/>
      </w:r>
      <w:r w:rsidRPr="007A3166">
        <w:rPr>
          <w:b/>
        </w:rPr>
        <w:instrText xml:space="preserve"> XE "</w:instrText>
      </w:r>
      <w:r w:rsidRPr="007A3166">
        <w:rPr>
          <w:rStyle w:val="Hyperlink"/>
          <w:b/>
          <w:noProof/>
          <w:u w:val="none"/>
        </w:rPr>
        <w:instrText>Fishergate</w:instrText>
      </w:r>
      <w:r w:rsidRPr="007A3166">
        <w:rPr>
          <w:b/>
        </w:rPr>
        <w:instrText xml:space="preserve">" </w:instrText>
      </w:r>
      <w:r w:rsidRPr="007A3166">
        <w:rPr>
          <w:b/>
        </w:rPr>
        <w:fldChar w:fldCharType="end"/>
      </w:r>
    </w:p>
    <w:p w14:paraId="0E1B07D7" w14:textId="77777777" w:rsidR="00445D6E" w:rsidRPr="00EC0229" w:rsidRDefault="00445D6E" w:rsidP="007600EA">
      <w:pPr>
        <w:pStyle w:val="NoSpacing"/>
        <w:spacing w:line="360" w:lineRule="auto"/>
        <w:jc w:val="right"/>
        <w:rPr>
          <w:i/>
          <w:sz w:val="20"/>
          <w:szCs w:val="20"/>
          <w:lang w:eastAsia="en-GB"/>
        </w:rPr>
      </w:pPr>
      <w:r w:rsidRPr="00EC0229">
        <w:rPr>
          <w:i/>
          <w:sz w:val="20"/>
          <w:szCs w:val="20"/>
          <w:lang w:eastAsia="en-GB"/>
        </w:rPr>
        <w:t>To York</w:t>
      </w:r>
      <w:r w:rsidRPr="00EC0229">
        <w:rPr>
          <w:i/>
          <w:sz w:val="20"/>
          <w:szCs w:val="20"/>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i/>
          <w:sz w:val="20"/>
          <w:szCs w:val="20"/>
          <w:lang w:eastAsia="en-GB"/>
        </w:rPr>
        <w:fldChar w:fldCharType="end"/>
      </w:r>
      <w:r w:rsidRPr="00EC0229">
        <w:rPr>
          <w:i/>
          <w:sz w:val="20"/>
          <w:szCs w:val="20"/>
          <w:lang w:eastAsia="en-GB"/>
        </w:rPr>
        <w:t>, gathered from many kingdoms they come,</w:t>
      </w:r>
    </w:p>
    <w:p w14:paraId="3E086EB7" w14:textId="77777777" w:rsidR="00445D6E" w:rsidRPr="00EC0229" w:rsidRDefault="00445D6E" w:rsidP="007600EA">
      <w:pPr>
        <w:pStyle w:val="NoSpacing"/>
        <w:spacing w:line="360" w:lineRule="auto"/>
        <w:jc w:val="right"/>
        <w:rPr>
          <w:i/>
          <w:sz w:val="20"/>
          <w:szCs w:val="20"/>
          <w:lang w:eastAsia="en-GB"/>
        </w:rPr>
      </w:pPr>
      <w:r w:rsidRPr="00EC0229">
        <w:rPr>
          <w:i/>
          <w:sz w:val="20"/>
          <w:szCs w:val="20"/>
          <w:lang w:eastAsia="en-GB"/>
        </w:rPr>
        <w:t>With hope of gain, seeking for themselves the riches of the rich land:</w:t>
      </w:r>
    </w:p>
    <w:p w14:paraId="648C3CE1" w14:textId="77777777" w:rsidR="00445D6E" w:rsidRPr="00EC0229" w:rsidRDefault="00445D6E" w:rsidP="007600EA">
      <w:pPr>
        <w:pStyle w:val="NoSpacing"/>
        <w:spacing w:line="360" w:lineRule="auto"/>
        <w:jc w:val="right"/>
        <w:rPr>
          <w:i/>
          <w:sz w:val="20"/>
          <w:szCs w:val="20"/>
          <w:lang w:eastAsia="en-GB"/>
        </w:rPr>
      </w:pPr>
      <w:r w:rsidRPr="00EC0229">
        <w:rPr>
          <w:i/>
          <w:sz w:val="20"/>
          <w:szCs w:val="20"/>
          <w:lang w:eastAsia="en-GB"/>
        </w:rPr>
        <w:t>Fortune, home and hearth</w:t>
      </w:r>
    </w:p>
    <w:p w14:paraId="73087687" w14:textId="77777777" w:rsidR="00445D6E" w:rsidRPr="00EC0229" w:rsidRDefault="00445D6E" w:rsidP="007600EA">
      <w:pPr>
        <w:pStyle w:val="NoSpacing"/>
        <w:spacing w:line="360" w:lineRule="auto"/>
        <w:jc w:val="right"/>
        <w:rPr>
          <w:sz w:val="20"/>
          <w:szCs w:val="20"/>
        </w:rPr>
      </w:pPr>
      <w:r w:rsidRPr="00EC0229">
        <w:rPr>
          <w:sz w:val="20"/>
          <w:szCs w:val="20"/>
        </w:rPr>
        <w:t>Alcuin</w:t>
      </w:r>
      <w:r w:rsidRPr="00EC0229">
        <w:rPr>
          <w:sz w:val="20"/>
          <w:szCs w:val="20"/>
        </w:rPr>
        <w:fldChar w:fldCharType="begin"/>
      </w:r>
      <w:r w:rsidRPr="00EC0229">
        <w:instrText xml:space="preserve"> XE "</w:instrText>
      </w:r>
      <w:r w:rsidRPr="00EC0229">
        <w:rPr>
          <w:rFonts w:cs="Times New Roman"/>
          <w:szCs w:val="24"/>
        </w:rPr>
        <w:instrText>Alcuin</w:instrText>
      </w:r>
      <w:r w:rsidRPr="00EC0229">
        <w:instrText xml:space="preserve">" </w:instrText>
      </w:r>
      <w:r w:rsidRPr="00EC0229">
        <w:rPr>
          <w:sz w:val="20"/>
          <w:szCs w:val="20"/>
        </w:rPr>
        <w:fldChar w:fldCharType="end"/>
      </w:r>
      <w:r w:rsidRPr="00EC0229">
        <w:rPr>
          <w:rStyle w:val="FootnoteReference"/>
          <w:sz w:val="20"/>
          <w:szCs w:val="20"/>
        </w:rPr>
        <w:footnoteReference w:id="833"/>
      </w:r>
      <w:r w:rsidRPr="00EC0229">
        <w:rPr>
          <w:sz w:val="20"/>
          <w:szCs w:val="20"/>
        </w:rPr>
        <w:t xml:space="preserve"> </w:t>
      </w:r>
    </w:p>
    <w:p w14:paraId="26B7FD60" w14:textId="2F1447FB" w:rsidR="00445D6E" w:rsidRPr="00EC0229" w:rsidRDefault="00445D6E"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Between February 1985 and September 1986, YAT examined the site at 46-54 Fishergate</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formerly occupied by Redfearn National Glass Factory. </w:t>
      </w:r>
      <w:r w:rsidRPr="00EC0229">
        <w:rPr>
          <w:szCs w:val="24"/>
        </w:rPr>
        <w:t>Fishergate lies on a Roman</w:t>
      </w:r>
      <w:r w:rsidRPr="00EC0229">
        <w:rPr>
          <w:szCs w:val="24"/>
        </w:rPr>
        <w:fldChar w:fldCharType="begin"/>
      </w:r>
      <w:r w:rsidRPr="00EC0229">
        <w:instrText xml:space="preserve"> XE "Roman" </w:instrText>
      </w:r>
      <w:r w:rsidRPr="00EC0229">
        <w:rPr>
          <w:szCs w:val="24"/>
        </w:rPr>
        <w:fldChar w:fldCharType="end"/>
      </w:r>
      <w:r w:rsidRPr="00EC0229">
        <w:rPr>
          <w:szCs w:val="24"/>
        </w:rPr>
        <w:t xml:space="preserve"> road outside the main area of activity, south-east of the fortress, on elevated ground east of the confluence of the Ouse and Foss.</w:t>
      </w:r>
      <w:r w:rsidRPr="00EC0229">
        <w:rPr>
          <w:rStyle w:val="FootnoteReference"/>
          <w:szCs w:val="24"/>
        </w:rPr>
        <w:footnoteReference w:id="834"/>
      </w:r>
      <w:r w:rsidRPr="00EC0229">
        <w:rPr>
          <w:szCs w:val="24"/>
        </w:rPr>
        <w:t xml:space="preserve"> The excavation </w:t>
      </w:r>
      <w:r w:rsidRPr="00EC0229">
        <w:rPr>
          <w:rFonts w:eastAsia="Times New Roman" w:cs="Times New Roman"/>
          <w:szCs w:val="24"/>
          <w:lang w:eastAsia="en-GB"/>
        </w:rPr>
        <w:t>produced over 9,700 finds including domestic and personal items (</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_Ref430248050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65</w: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evidence of craft and industrial workings, though no </w:t>
      </w:r>
      <w:r w:rsidRPr="00EC0229">
        <w:rPr>
          <w:rFonts w:eastAsia="Times New Roman" w:cs="Times New Roman"/>
          <w:i/>
          <w:szCs w:val="24"/>
          <w:lang w:eastAsia="en-GB"/>
        </w:rPr>
        <w:t>foci</w:t>
      </w:r>
      <w:r w:rsidRPr="00EC0229">
        <w:rPr>
          <w:rFonts w:eastAsia="Times New Roman" w:cs="Times New Roman"/>
          <w:szCs w:val="24"/>
          <w:lang w:eastAsia="en-GB"/>
        </w:rPr>
        <w:t xml:space="preserve"> for these activities were identified.</w:t>
      </w:r>
      <w:r w:rsidRPr="00EC0229">
        <w:rPr>
          <w:rStyle w:val="FootnoteReference"/>
          <w:rFonts w:eastAsia="Times New Roman" w:cs="Times New Roman"/>
          <w:szCs w:val="24"/>
          <w:lang w:eastAsia="en-GB"/>
        </w:rPr>
        <w:footnoteReference w:id="835"/>
      </w:r>
      <w:r w:rsidRPr="00EC0229">
        <w:rPr>
          <w:rFonts w:eastAsia="Times New Roman" w:cs="Times New Roman"/>
          <w:szCs w:val="24"/>
          <w:lang w:eastAsia="en-GB"/>
        </w:rPr>
        <w:t xml:space="preserve"> Total excavation of a site of around 2,500m</w:t>
      </w:r>
      <w:r w:rsidRPr="00EC0229">
        <w:rPr>
          <w:rFonts w:eastAsia="Times New Roman" w:cs="Times New Roman"/>
          <w:szCs w:val="24"/>
          <w:vertAlign w:val="superscript"/>
          <w:lang w:eastAsia="en-GB"/>
        </w:rPr>
        <w:t>2</w:t>
      </w:r>
      <w:r w:rsidRPr="00EC0229">
        <w:rPr>
          <w:rFonts w:eastAsia="Times New Roman" w:cs="Times New Roman"/>
          <w:szCs w:val="24"/>
          <w:lang w:eastAsia="en-GB"/>
        </w:rPr>
        <w:t xml:space="preserve"> (0.25ha) took place using recovery techniques of coarse-, site- and bulk-sieving to secure artefacts of 1mm. There is no mention of metal detection.</w:t>
      </w:r>
    </w:p>
    <w:p w14:paraId="7B8007BD" w14:textId="77777777" w:rsidR="00445D6E" w:rsidRPr="00EC0229" w:rsidRDefault="00445D6E" w:rsidP="007600EA">
      <w:pPr>
        <w:pStyle w:val="NoSpacing"/>
        <w:spacing w:line="360" w:lineRule="auto"/>
        <w:rPr>
          <w:rFonts w:eastAsia="Times New Roman" w:cs="Times New Roman"/>
          <w:szCs w:val="24"/>
          <w:lang w:eastAsia="en-GB"/>
        </w:rPr>
      </w:pPr>
    </w:p>
    <w:p w14:paraId="79B5E2E1" w14:textId="77777777" w:rsidR="00445D6E" w:rsidRPr="00EC0229" w:rsidRDefault="00445D6E" w:rsidP="007600EA">
      <w:pPr>
        <w:pStyle w:val="NoSpacing"/>
        <w:spacing w:line="360" w:lineRule="auto"/>
        <w:rPr>
          <w:szCs w:val="24"/>
        </w:rPr>
      </w:pPr>
      <w:r w:rsidRPr="00EC0229">
        <w:rPr>
          <w:szCs w:val="24"/>
        </w:rPr>
        <w:t>The site revealed a ‘period 3’ (Anglian</w:t>
      </w:r>
      <w:r w:rsidRPr="00EC0229">
        <w:rPr>
          <w:szCs w:val="24"/>
        </w:rPr>
        <w:fldChar w:fldCharType="begin"/>
      </w:r>
      <w:r w:rsidRPr="00EC0229">
        <w:instrText xml:space="preserve"> XE "Anglian" </w:instrText>
      </w:r>
      <w:r w:rsidRPr="00EC0229">
        <w:rPr>
          <w:szCs w:val="24"/>
        </w:rPr>
        <w:fldChar w:fldCharType="end"/>
      </w:r>
      <w:r w:rsidRPr="00EC0229">
        <w:rPr>
          <w:szCs w:val="24"/>
        </w:rPr>
        <w:t>, late seventh to mid-ninth century) settlement</w:t>
      </w:r>
      <w:r w:rsidRPr="00EC0229">
        <w:rPr>
          <w:szCs w:val="24"/>
        </w:rPr>
        <w:fldChar w:fldCharType="begin"/>
      </w:r>
      <w:r w:rsidRPr="00EC0229">
        <w:instrText xml:space="preserve"> XE "settlement" </w:instrText>
      </w:r>
      <w:r w:rsidRPr="00EC0229">
        <w:rPr>
          <w:szCs w:val="24"/>
        </w:rPr>
        <w:fldChar w:fldCharType="end"/>
      </w:r>
      <w:r w:rsidRPr="00EC0229">
        <w:rPr>
          <w:szCs w:val="24"/>
        </w:rPr>
        <w:t xml:space="preserve"> consisting of an early, planned, phase, 3a, of large properties, followed by a more limited settlement, 3b, extending into the late ninth century. The two phases are separated by a distinct charcoal-laden layer, including unburnt animal bones, across the site.</w:t>
      </w:r>
      <w:r w:rsidRPr="00EC0229">
        <w:rPr>
          <w:rStyle w:val="FootnoteReference"/>
          <w:szCs w:val="24"/>
        </w:rPr>
        <w:footnoteReference w:id="836"/>
      </w:r>
      <w:r w:rsidRPr="00EC0229">
        <w:rPr>
          <w:szCs w:val="24"/>
        </w:rPr>
        <w:t xml:space="preserve"> </w:t>
      </w:r>
    </w:p>
    <w:p w14:paraId="51CDD071" w14:textId="77777777" w:rsidR="00445D6E" w:rsidRPr="00EC0229" w:rsidRDefault="00445D6E" w:rsidP="007600EA">
      <w:pPr>
        <w:pStyle w:val="NoSpacing"/>
        <w:spacing w:line="360" w:lineRule="auto"/>
        <w:jc w:val="center"/>
        <w:rPr>
          <w:rFonts w:eastAsia="Times New Roman" w:cs="Times New Roman"/>
          <w:szCs w:val="24"/>
          <w:lang w:eastAsia="en-GB"/>
        </w:rPr>
      </w:pPr>
      <w:r w:rsidRPr="00EC0229">
        <w:rPr>
          <w:rFonts w:eastAsia="Times New Roman" w:cs="Times New Roman"/>
          <w:szCs w:val="24"/>
          <w:lang w:eastAsia="en-GB"/>
        </w:rPr>
        <w:lastRenderedPageBreak/>
        <w:tab/>
      </w:r>
      <w:r w:rsidRPr="00EC0229">
        <w:rPr>
          <w:rFonts w:eastAsia="Times New Roman" w:cs="Times New Roman"/>
          <w:noProof/>
          <w:szCs w:val="24"/>
          <w:lang w:eastAsia="en-GB"/>
        </w:rPr>
        <w:drawing>
          <wp:inline distT="0" distB="0" distL="0" distR="0" wp14:anchorId="3F000502" wp14:editId="7ECCFCBB">
            <wp:extent cx="2603639" cy="1416685"/>
            <wp:effectExtent l="0" t="0" r="635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Fishergate ring v2.jpg"/>
                    <pic:cNvPicPr/>
                  </pic:nvPicPr>
                  <pic:blipFill>
                    <a:blip r:embed="rId233">
                      <a:extLst>
                        <a:ext uri="{28A0092B-C50C-407E-A947-70E740481C1C}">
                          <a14:useLocalDpi xmlns:a14="http://schemas.microsoft.com/office/drawing/2010/main" val="0"/>
                        </a:ext>
                      </a:extLst>
                    </a:blip>
                    <a:stretch>
                      <a:fillRect/>
                    </a:stretch>
                  </pic:blipFill>
                  <pic:spPr>
                    <a:xfrm>
                      <a:off x="0" y="0"/>
                      <a:ext cx="2629333" cy="1430666"/>
                    </a:xfrm>
                    <a:prstGeom prst="rect">
                      <a:avLst/>
                    </a:prstGeom>
                  </pic:spPr>
                </pic:pic>
              </a:graphicData>
            </a:graphic>
          </wp:inline>
        </w:drawing>
      </w:r>
      <w:r w:rsidRPr="00EC0229">
        <w:rPr>
          <w:rFonts w:eastAsia="Times New Roman" w:cs="Times New Roman"/>
          <w:szCs w:val="24"/>
          <w:lang w:eastAsia="en-GB"/>
        </w:rPr>
        <w:tab/>
      </w:r>
      <w:r w:rsidRPr="00EC0229">
        <w:rPr>
          <w:rFonts w:eastAsia="Times New Roman" w:cs="Times New Roman"/>
          <w:szCs w:val="24"/>
          <w:lang w:eastAsia="en-GB"/>
        </w:rPr>
        <w:tab/>
      </w:r>
      <w:r w:rsidRPr="00EC0229">
        <w:rPr>
          <w:rFonts w:eastAsia="Times New Roman" w:cs="Times New Roman"/>
          <w:noProof/>
          <w:szCs w:val="24"/>
          <w:lang w:eastAsia="en-GB"/>
        </w:rPr>
        <w:drawing>
          <wp:inline distT="0" distB="0" distL="0" distR="0" wp14:anchorId="19089E6D" wp14:editId="7AB28540">
            <wp:extent cx="1501140" cy="1551178"/>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2-40 Z200.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502834" cy="1552929"/>
                    </a:xfrm>
                    <a:prstGeom prst="rect">
                      <a:avLst/>
                    </a:prstGeom>
                  </pic:spPr>
                </pic:pic>
              </a:graphicData>
            </a:graphic>
          </wp:inline>
        </w:drawing>
      </w:r>
    </w:p>
    <w:p w14:paraId="5FC25EE2" w14:textId="33478FAB" w:rsidR="00445D6E" w:rsidRPr="00EC0229" w:rsidRDefault="00445D6E" w:rsidP="007600EA">
      <w:pPr>
        <w:pStyle w:val="NoSpacing"/>
        <w:spacing w:line="360" w:lineRule="auto"/>
        <w:jc w:val="center"/>
        <w:rPr>
          <w:sz w:val="20"/>
          <w:szCs w:val="20"/>
          <w:lang w:eastAsia="en-GB"/>
        </w:rPr>
      </w:pPr>
      <w:bookmarkStart w:id="525" w:name="_Ref430248050"/>
      <w:bookmarkStart w:id="526" w:name="_Toc46826703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65</w:t>
      </w:r>
      <w:r w:rsidRPr="00EC0229">
        <w:rPr>
          <w:sz w:val="20"/>
          <w:szCs w:val="20"/>
        </w:rPr>
        <w:fldChar w:fldCharType="end"/>
      </w:r>
      <w:bookmarkEnd w:id="525"/>
      <w:r w:rsidRPr="00EC0229">
        <w:rPr>
          <w:sz w:val="20"/>
          <w:szCs w:val="20"/>
          <w:lang w:eastAsia="en-GB"/>
        </w:rPr>
        <w:t>: The Fishergate</w:t>
      </w:r>
      <w:r w:rsidRPr="00EC0229">
        <w:rPr>
          <w:sz w:val="20"/>
          <w:szCs w:val="20"/>
          <w:lang w:eastAsia="en-GB"/>
        </w:rPr>
        <w:fldChar w:fldCharType="begin"/>
      </w:r>
      <w:r w:rsidRPr="00EC0229">
        <w:rPr>
          <w:sz w:val="20"/>
          <w:szCs w:val="20"/>
        </w:rPr>
        <w:instrText xml:space="preserve"> XE "</w:instrText>
      </w:r>
      <w:r w:rsidRPr="00EC0229">
        <w:rPr>
          <w:rStyle w:val="Hyperlink"/>
          <w:noProof/>
          <w:sz w:val="20"/>
          <w:szCs w:val="20"/>
          <w:u w:val="none"/>
        </w:rPr>
        <w:instrText>Fishergate</w:instrText>
      </w:r>
      <w:r w:rsidRPr="00EC0229">
        <w:rPr>
          <w:sz w:val="20"/>
          <w:szCs w:val="20"/>
        </w:rPr>
        <w:instrText xml:space="preserve">" </w:instrText>
      </w:r>
      <w:r w:rsidRPr="00EC0229">
        <w:rPr>
          <w:sz w:val="20"/>
          <w:szCs w:val="20"/>
          <w:lang w:eastAsia="en-GB"/>
        </w:rPr>
        <w:fldChar w:fldCharType="end"/>
      </w:r>
      <w:r w:rsidRPr="00EC0229">
        <w:rPr>
          <w:sz w:val="20"/>
          <w:szCs w:val="20"/>
          <w:lang w:eastAsia="en-GB"/>
        </w:rPr>
        <w:t xml:space="preserve"> Ring</w:t>
      </w:r>
      <w:r w:rsidRPr="00EC0229">
        <w:rPr>
          <w:rStyle w:val="FootnoteReference"/>
          <w:rFonts w:eastAsia="Times New Roman" w:cs="Times New Roman"/>
          <w:sz w:val="20"/>
          <w:szCs w:val="20"/>
          <w:lang w:eastAsia="en-GB"/>
        </w:rPr>
        <w:footnoteReference w:id="837"/>
      </w:r>
      <w:r w:rsidRPr="00EC0229">
        <w:rPr>
          <w:sz w:val="20"/>
          <w:szCs w:val="20"/>
          <w:lang w:eastAsia="en-GB"/>
        </w:rPr>
        <w:t xml:space="preserve"> </w:t>
      </w:r>
      <w:r w:rsidRPr="00EC0229">
        <w:rPr>
          <w:i/>
          <w:sz w:val="20"/>
          <w:szCs w:val="20"/>
          <w:lang w:eastAsia="en-GB"/>
        </w:rPr>
        <w:t>cf</w:t>
      </w:r>
      <w:r w:rsidRPr="00EC0229">
        <w:rPr>
          <w:sz w:val="20"/>
          <w:szCs w:val="20"/>
          <w:lang w:eastAsia="en-GB"/>
        </w:rPr>
        <w:t xml:space="preserve"> facing bust on Series</w:t>
      </w:r>
      <w:r w:rsidRPr="00EC0229">
        <w:rPr>
          <w:sz w:val="20"/>
          <w:szCs w:val="20"/>
          <w:lang w:eastAsia="en-GB"/>
        </w:rPr>
        <w:fldChar w:fldCharType="begin"/>
      </w:r>
      <w:r w:rsidRPr="00EC0229">
        <w:rPr>
          <w:sz w:val="20"/>
          <w:szCs w:val="20"/>
        </w:rPr>
        <w:instrText xml:space="preserve"> XE "Series" </w:instrText>
      </w:r>
      <w:r w:rsidRPr="00EC0229">
        <w:rPr>
          <w:sz w:val="20"/>
          <w:szCs w:val="20"/>
          <w:lang w:eastAsia="en-GB"/>
        </w:rPr>
        <w:fldChar w:fldCharType="end"/>
      </w:r>
      <w:r w:rsidRPr="00EC0229">
        <w:rPr>
          <w:sz w:val="20"/>
          <w:szCs w:val="20"/>
          <w:lang w:eastAsia="en-GB"/>
        </w:rPr>
        <w:t xml:space="preserve"> Z sceat.</w:t>
      </w:r>
      <w:bookmarkEnd w:id="526"/>
      <w:r w:rsidRPr="00EC0229">
        <w:rPr>
          <w:sz w:val="20"/>
          <w:szCs w:val="20"/>
          <w:lang w:eastAsia="en-GB"/>
        </w:rPr>
        <w:t xml:space="preserve"> </w:t>
      </w:r>
    </w:p>
    <w:p w14:paraId="3EBEEA28" w14:textId="77777777" w:rsidR="00445D6E" w:rsidRPr="00EC0229" w:rsidRDefault="00445D6E" w:rsidP="007600EA">
      <w:pPr>
        <w:pStyle w:val="NoSpacing"/>
        <w:spacing w:line="360" w:lineRule="auto"/>
        <w:jc w:val="center"/>
        <w:rPr>
          <w:sz w:val="20"/>
          <w:szCs w:val="20"/>
          <w:lang w:eastAsia="en-GB"/>
        </w:rPr>
      </w:pPr>
      <w:r w:rsidRPr="00EC0229">
        <w:rPr>
          <w:sz w:val="20"/>
          <w:szCs w:val="20"/>
          <w:lang w:eastAsia="en-GB"/>
        </w:rPr>
        <w:t>From Driffield</w:t>
      </w:r>
      <w:r w:rsidRPr="00EC0229">
        <w:rPr>
          <w:sz w:val="20"/>
          <w:szCs w:val="20"/>
          <w:lang w:eastAsia="en-GB"/>
        </w:rPr>
        <w:fldChar w:fldCharType="begin"/>
      </w:r>
      <w:r w:rsidRPr="00EC0229">
        <w:rPr>
          <w:sz w:val="20"/>
          <w:szCs w:val="20"/>
        </w:rPr>
        <w:instrText xml:space="preserve"> XE "</w:instrText>
      </w:r>
      <w:r w:rsidRPr="00EC0229">
        <w:rPr>
          <w:rStyle w:val="Hyperlink"/>
          <w:rFonts w:eastAsia="Times New Roman"/>
          <w:noProof/>
          <w:sz w:val="20"/>
          <w:szCs w:val="20"/>
          <w:u w:val="none"/>
          <w:lang w:eastAsia="en-GB"/>
        </w:rPr>
        <w:instrText>Driffield</w:instrText>
      </w:r>
      <w:r w:rsidRPr="00EC0229">
        <w:rPr>
          <w:sz w:val="20"/>
          <w:szCs w:val="20"/>
        </w:rPr>
        <w:instrText xml:space="preserve">" </w:instrText>
      </w:r>
      <w:r w:rsidRPr="00EC0229">
        <w:rPr>
          <w:sz w:val="20"/>
          <w:szCs w:val="20"/>
          <w:lang w:eastAsia="en-GB"/>
        </w:rPr>
        <w:fldChar w:fldCharType="end"/>
      </w:r>
      <w:r w:rsidRPr="00EC0229">
        <w:rPr>
          <w:sz w:val="20"/>
          <w:szCs w:val="20"/>
          <w:lang w:eastAsia="en-GB"/>
        </w:rPr>
        <w:t xml:space="preserve"> (</w:t>
      </w:r>
      <w:r w:rsidRPr="00EC0229">
        <w:rPr>
          <w:i/>
          <w:sz w:val="20"/>
          <w:szCs w:val="20"/>
          <w:lang w:eastAsia="en-GB"/>
        </w:rPr>
        <w:t>SL</w:t>
      </w:r>
      <w:r w:rsidRPr="00EC0229">
        <w:rPr>
          <w:sz w:val="20"/>
          <w:szCs w:val="20"/>
          <w:lang w:eastAsia="en-GB"/>
        </w:rPr>
        <w:t xml:space="preserve"> 102-40)</w:t>
      </w:r>
    </w:p>
    <w:p w14:paraId="3D29C325" w14:textId="77777777" w:rsidR="00445D6E" w:rsidRPr="00EC0229" w:rsidRDefault="00445D6E" w:rsidP="007600EA">
      <w:pPr>
        <w:pStyle w:val="NoSpacing"/>
        <w:spacing w:line="360" w:lineRule="auto"/>
        <w:rPr>
          <w:rFonts w:eastAsia="Times New Roman" w:cs="Times New Roman"/>
          <w:sz w:val="20"/>
          <w:szCs w:val="20"/>
          <w:lang w:eastAsia="en-GB"/>
        </w:rPr>
      </w:pPr>
    </w:p>
    <w:p w14:paraId="06302847" w14:textId="32FADC4E" w:rsidR="00445D6E" w:rsidRPr="00EC0229" w:rsidRDefault="00445D6E" w:rsidP="007600EA">
      <w:pPr>
        <w:pStyle w:val="NoSpacing"/>
        <w:spacing w:line="360" w:lineRule="auto"/>
        <w:rPr>
          <w:rFonts w:eastAsia="Times New Roman" w:cs="Times New Roman"/>
          <w:szCs w:val="24"/>
          <w:lang w:eastAsia="en-GB"/>
        </w:rPr>
      </w:pPr>
      <w:r w:rsidRPr="00EC0229">
        <w:rPr>
          <w:rFonts w:eastAsia="Times New Roman" w:cs="Times New Roman"/>
          <w:iCs/>
          <w:szCs w:val="24"/>
          <w:lang w:eastAsia="en-GB"/>
        </w:rPr>
        <w:t>Looking first at the non-numismatic evidence, t</w:t>
      </w:r>
      <w:r w:rsidRPr="00EC0229">
        <w:rPr>
          <w:rFonts w:eastAsia="Times New Roman" w:cs="Times New Roman"/>
          <w:szCs w:val="24"/>
          <w:lang w:eastAsia="en-GB"/>
        </w:rPr>
        <w:t>he nearby inhumation cemetery for this early medieval population dates from the early eighth century, possibly earlier.</w:t>
      </w:r>
      <w:r w:rsidRPr="00EC0229">
        <w:rPr>
          <w:rStyle w:val="FootnoteReference"/>
          <w:rFonts w:eastAsia="Times New Roman" w:cs="Times New Roman"/>
          <w:iCs/>
          <w:szCs w:val="24"/>
          <w:lang w:eastAsia="en-GB"/>
        </w:rPr>
        <w:footnoteReference w:id="838"/>
      </w:r>
      <w:r w:rsidRPr="00EC0229">
        <w:rPr>
          <w:rFonts w:eastAsia="Times New Roman" w:cs="Times New Roman"/>
          <w:szCs w:val="24"/>
          <w:lang w:eastAsia="en-GB"/>
        </w:rPr>
        <w:t xml:space="preserve"> </w:t>
      </w:r>
      <w:r w:rsidRPr="00EC0229">
        <w:rPr>
          <w:szCs w:val="24"/>
        </w:rPr>
        <w:t>Burials have been revealed including four intact cremations at Fishergate</w:t>
      </w:r>
      <w:r w:rsidRPr="00EC0229">
        <w:rPr>
          <w:szCs w:val="24"/>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szCs w:val="24"/>
        </w:rPr>
        <w:fldChar w:fldCharType="end"/>
      </w:r>
      <w:r w:rsidRPr="00EC0229">
        <w:rPr>
          <w:szCs w:val="24"/>
        </w:rPr>
        <w:t xml:space="preserve"> House, and a fifth on Blue Bridge Lane. </w:t>
      </w:r>
      <w:r w:rsidRPr="00EC0229">
        <w:rPr>
          <w:rFonts w:eastAsia="Times New Roman" w:cs="Times New Roman"/>
          <w:szCs w:val="24"/>
          <w:lang w:eastAsia="en-GB"/>
        </w:rPr>
        <w:t>Architectural features included post- and stake-holes, ditches and pits evidencing domestic occupation and craft-working. Southumbrian and Continental artefacts demonstrated long-distance exchange. Pits, for the disposal of craft and pottery waste and animal bones seem to be aligned, possibly to partition the settlement</w:t>
      </w:r>
      <w:r w:rsidRPr="00EC0229">
        <w:rPr>
          <w:rFonts w:eastAsia="Times New Roman" w:cs="Times New Roman"/>
          <w:szCs w:val="24"/>
          <w:lang w:eastAsia="en-GB"/>
        </w:rPr>
        <w:fldChar w:fldCharType="begin"/>
      </w:r>
      <w:r w:rsidRPr="00EC0229">
        <w:instrText xml:space="preserve"> XE "settlement" </w:instrText>
      </w:r>
      <w:r w:rsidRPr="00EC0229">
        <w:rPr>
          <w:rFonts w:eastAsia="Times New Roman" w:cs="Times New Roman"/>
          <w:szCs w:val="24"/>
          <w:lang w:eastAsia="en-GB"/>
        </w:rPr>
        <w:fldChar w:fldCharType="end"/>
      </w:r>
      <w:r w:rsidRPr="00EC0229">
        <w:rPr>
          <w:rFonts w:eastAsia="Times New Roman" w:cs="Times New Roman"/>
          <w:szCs w:val="24"/>
          <w:lang w:eastAsia="en-GB"/>
        </w:rPr>
        <w:t>. Metallic waste - lead, copper alloy and iron slag - indicate the level of technology.</w:t>
      </w:r>
      <w:r w:rsidRPr="00EC0229">
        <w:rPr>
          <w:rFonts w:eastAsia="Times New Roman" w:cs="Times New Roman"/>
          <w:szCs w:val="24"/>
          <w:vertAlign w:val="superscript"/>
          <w:lang w:eastAsia="en-GB"/>
        </w:rPr>
        <w:t xml:space="preserve"> </w:t>
      </w:r>
      <w:r w:rsidRPr="00EC0229">
        <w:rPr>
          <w:rFonts w:eastAsia="Times New Roman" w:cs="Times New Roman"/>
          <w:szCs w:val="24"/>
          <w:lang w:eastAsia="en-GB"/>
        </w:rPr>
        <w:t xml:space="preserve">Animal waste products may be from the manufacture of pins and combs. Wool working is evidenced by finds of needles and shears, clay </w:t>
      </w:r>
      <w:r w:rsidR="004B2D2B" w:rsidRPr="00EC0229">
        <w:rPr>
          <w:rFonts w:eastAsia="Times New Roman" w:cs="Times New Roman"/>
          <w:szCs w:val="24"/>
          <w:lang w:eastAsia="en-GB"/>
        </w:rPr>
        <w:t>loom-weights</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weights</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spindle whorls.</w:t>
      </w:r>
      <w:r w:rsidRPr="00EC0229">
        <w:rPr>
          <w:rStyle w:val="FootnoteReference"/>
          <w:szCs w:val="24"/>
        </w:rPr>
        <w:footnoteReference w:id="839"/>
      </w:r>
      <w:r w:rsidRPr="00EC0229">
        <w:rPr>
          <w:rFonts w:eastAsia="Times New Roman" w:cs="Times New Roman"/>
          <w:szCs w:val="24"/>
          <w:lang w:eastAsia="en-GB"/>
        </w:rPr>
        <w:t xml:space="preserve"> Tweddle believed an animal-engraved bone knife-handle fragment to date from around 700 (</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_Ref430248132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66</w:t>
      </w:r>
      <w:r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840"/>
      </w:r>
      <w:r w:rsidRPr="00EC0229">
        <w:rPr>
          <w:rFonts w:eastAsia="Times New Roman" w:cs="Times New Roman"/>
          <w:szCs w:val="24"/>
          <w:lang w:eastAsia="en-GB"/>
        </w:rPr>
        <w:t xml:space="preserve"> </w:t>
      </w:r>
    </w:p>
    <w:p w14:paraId="0085EA5D" w14:textId="77777777" w:rsidR="00445D6E" w:rsidRPr="00EC0229" w:rsidRDefault="00445D6E" w:rsidP="007600EA">
      <w:pPr>
        <w:pStyle w:val="NoSpacing"/>
        <w:spacing w:line="360" w:lineRule="auto"/>
        <w:jc w:val="center"/>
        <w:rPr>
          <w:rFonts w:eastAsia="Times New Roman" w:cs="Times New Roman"/>
          <w:szCs w:val="24"/>
          <w:lang w:eastAsia="en-GB"/>
        </w:rPr>
      </w:pPr>
      <w:r w:rsidRPr="00EC0229">
        <w:rPr>
          <w:rFonts w:eastAsia="Times New Roman" w:cs="Times New Roman"/>
          <w:noProof/>
          <w:szCs w:val="24"/>
          <w:lang w:eastAsia="en-GB"/>
        </w:rPr>
        <w:drawing>
          <wp:inline distT="0" distB="0" distL="0" distR="0" wp14:anchorId="2DAED74C" wp14:editId="27863994">
            <wp:extent cx="3326082" cy="1173435"/>
            <wp:effectExtent l="0" t="0" r="8255"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gers Fig 633 p 1309.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334437" cy="1176382"/>
                    </a:xfrm>
                    <a:prstGeom prst="rect">
                      <a:avLst/>
                    </a:prstGeom>
                  </pic:spPr>
                </pic:pic>
              </a:graphicData>
            </a:graphic>
          </wp:inline>
        </w:drawing>
      </w:r>
    </w:p>
    <w:p w14:paraId="2C7C9899" w14:textId="5DE8C112" w:rsidR="00445D6E" w:rsidRPr="00EC0229" w:rsidRDefault="00445D6E" w:rsidP="007600EA">
      <w:pPr>
        <w:pStyle w:val="NoSpacing"/>
        <w:spacing w:line="360" w:lineRule="auto"/>
        <w:jc w:val="center"/>
        <w:rPr>
          <w:sz w:val="20"/>
          <w:szCs w:val="20"/>
          <w:lang w:eastAsia="en-GB"/>
        </w:rPr>
      </w:pPr>
      <w:bookmarkStart w:id="527" w:name="_Ref430248132"/>
      <w:bookmarkStart w:id="528" w:name="_Toc46826703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66</w:t>
      </w:r>
      <w:r w:rsidRPr="00EC0229">
        <w:rPr>
          <w:sz w:val="20"/>
          <w:szCs w:val="20"/>
        </w:rPr>
        <w:fldChar w:fldCharType="end"/>
      </w:r>
      <w:bookmarkEnd w:id="527"/>
      <w:r w:rsidRPr="00EC0229">
        <w:rPr>
          <w:sz w:val="20"/>
          <w:szCs w:val="20"/>
          <w:lang w:eastAsia="en-GB"/>
        </w:rPr>
        <w:t>: Bone knife handle fragment, 36.5mm</w:t>
      </w:r>
      <w:bookmarkEnd w:id="528"/>
    </w:p>
    <w:p w14:paraId="42F702DE" w14:textId="77777777" w:rsidR="00445D6E" w:rsidRPr="00EC0229" w:rsidRDefault="00445D6E" w:rsidP="007600EA">
      <w:pPr>
        <w:pStyle w:val="NoSpacing"/>
        <w:spacing w:line="360" w:lineRule="auto"/>
        <w:jc w:val="center"/>
        <w:rPr>
          <w:sz w:val="20"/>
          <w:szCs w:val="20"/>
          <w:lang w:eastAsia="en-GB"/>
        </w:rPr>
      </w:pPr>
      <w:r w:rsidRPr="00EC0229">
        <w:rPr>
          <w:sz w:val="20"/>
          <w:szCs w:val="20"/>
          <w:lang w:eastAsia="en-GB"/>
        </w:rPr>
        <w:t>Rogers, Figure 633 (item 5528) 1309</w:t>
      </w:r>
    </w:p>
    <w:p w14:paraId="1935E976" w14:textId="77777777" w:rsidR="00445D6E" w:rsidRPr="00EC0229" w:rsidRDefault="00445D6E" w:rsidP="007600EA">
      <w:pPr>
        <w:pStyle w:val="NoSpacing"/>
        <w:spacing w:line="360" w:lineRule="auto"/>
        <w:jc w:val="center"/>
        <w:rPr>
          <w:rFonts w:eastAsia="Times New Roman" w:cs="Times New Roman"/>
          <w:sz w:val="20"/>
          <w:szCs w:val="20"/>
          <w:lang w:eastAsia="en-GB"/>
        </w:rPr>
      </w:pPr>
    </w:p>
    <w:p w14:paraId="444A17C1" w14:textId="77777777" w:rsidR="00445D6E" w:rsidRPr="00EC0229" w:rsidRDefault="00445D6E"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Regarding glassware, Hunter and Jackson concluded that ‘Evidence of quality craftsmanship…places York</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within the mainstream of north-west Europe’.</w:t>
      </w:r>
      <w:r w:rsidRPr="00EC0229">
        <w:rPr>
          <w:rStyle w:val="FootnoteReference"/>
          <w:rFonts w:eastAsia="Times New Roman" w:cs="Times New Roman"/>
          <w:szCs w:val="24"/>
          <w:lang w:eastAsia="en-GB"/>
        </w:rPr>
        <w:footnoteReference w:id="841"/>
      </w:r>
      <w:r w:rsidRPr="00EC0229">
        <w:rPr>
          <w:rFonts w:eastAsia="Times New Roman" w:cs="Times New Roman"/>
          <w:szCs w:val="24"/>
          <w:lang w:eastAsia="en-GB"/>
        </w:rPr>
        <w:t xml:space="preserve">  The Mayen lava </w:t>
      </w:r>
      <w:r w:rsidRPr="00EC0229">
        <w:rPr>
          <w:rFonts w:eastAsia="Times New Roman" w:cs="Times New Roman"/>
          <w:szCs w:val="24"/>
          <w:lang w:eastAsia="en-GB"/>
        </w:rPr>
        <w:lastRenderedPageBreak/>
        <w:t>quern-stone is thought to have been shipped down the Rhine to be finished at Dorestad for export.</w:t>
      </w:r>
      <w:r w:rsidRPr="00EC0229">
        <w:rPr>
          <w:rStyle w:val="FootnoteReference"/>
          <w:rFonts w:eastAsia="Times New Roman" w:cs="Times New Roman"/>
          <w:szCs w:val="24"/>
          <w:lang w:eastAsia="en-GB"/>
        </w:rPr>
        <w:footnoteReference w:id="842"/>
      </w:r>
      <w:r w:rsidRPr="00EC0229">
        <w:rPr>
          <w:rFonts w:eastAsia="Times New Roman" w:cs="Times New Roman"/>
          <w:szCs w:val="24"/>
          <w:lang w:eastAsia="en-GB"/>
        </w:rPr>
        <w:t xml:space="preserve"> It appears that a colony of Frisian merchants left York in 773,</w:t>
      </w:r>
      <w:r w:rsidRPr="00EC0229">
        <w:rPr>
          <w:rStyle w:val="FootnoteReference"/>
          <w:rFonts w:eastAsia="Times New Roman" w:cs="Times New Roman"/>
          <w:szCs w:val="24"/>
          <w:lang w:eastAsia="en-GB"/>
        </w:rPr>
        <w:footnoteReference w:id="843"/>
      </w:r>
      <w:r w:rsidRPr="00EC0229">
        <w:rPr>
          <w:rFonts w:eastAsia="Times New Roman" w:cs="Times New Roman"/>
          <w:szCs w:val="24"/>
          <w:lang w:eastAsia="en-GB"/>
        </w:rPr>
        <w:t xml:space="preserve"> however Hall over-interpreted the presence of a Frisian sceat at Coppergate as ‘confirming contact between the two areas.’</w:t>
      </w:r>
      <w:r w:rsidRPr="00EC0229">
        <w:rPr>
          <w:rStyle w:val="FootnoteReference"/>
          <w:rFonts w:eastAsia="Times New Roman" w:cs="Times New Roman"/>
          <w:szCs w:val="24"/>
          <w:lang w:eastAsia="en-GB"/>
        </w:rPr>
        <w:footnoteReference w:id="844"/>
      </w:r>
    </w:p>
    <w:p w14:paraId="697E1051" w14:textId="77777777" w:rsidR="00445D6E" w:rsidRPr="00EC0229" w:rsidRDefault="00445D6E" w:rsidP="007600EA">
      <w:pPr>
        <w:pStyle w:val="NoSpacing"/>
        <w:spacing w:line="360" w:lineRule="auto"/>
        <w:rPr>
          <w:rFonts w:eastAsia="Times New Roman" w:cs="Times New Roman"/>
          <w:szCs w:val="24"/>
          <w:lang w:eastAsia="en-GB"/>
        </w:rPr>
      </w:pPr>
    </w:p>
    <w:p w14:paraId="2444DF06" w14:textId="36B67399" w:rsidR="00445D6E" w:rsidRPr="00EC0229" w:rsidRDefault="00445D6E" w:rsidP="007600EA">
      <w:pPr>
        <w:pStyle w:val="NoSpacing"/>
        <w:spacing w:line="360" w:lineRule="auto"/>
        <w:rPr>
          <w:rFonts w:eastAsia="Times New Roman" w:cs="Times New Roman"/>
          <w:iCs/>
          <w:szCs w:val="24"/>
          <w:lang w:eastAsia="en-GB"/>
        </w:rPr>
      </w:pPr>
      <w:r w:rsidRPr="00EC0229">
        <w:rPr>
          <w:rFonts w:eastAsia="Times New Roman" w:cs="Times New Roman"/>
          <w:iCs/>
          <w:szCs w:val="24"/>
          <w:lang w:eastAsia="en-GB"/>
        </w:rPr>
        <w:t>The conventional interpretation of the excavation is that the seat of royal and ecclesiastical power, if these coexisted in close proximity, were probably based in the Roman</w:t>
      </w:r>
      <w:r w:rsidRPr="00EC0229">
        <w:rPr>
          <w:rFonts w:eastAsia="Times New Roman" w:cs="Times New Roman"/>
          <w:iCs/>
          <w:szCs w:val="24"/>
          <w:lang w:eastAsia="en-GB"/>
        </w:rPr>
        <w:fldChar w:fldCharType="begin"/>
      </w:r>
      <w:r w:rsidRPr="00EC0229">
        <w:instrText xml:space="preserve"> XE "Roman"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Legionary fortress.</w:t>
      </w:r>
      <w:r w:rsidRPr="00EC0229">
        <w:rPr>
          <w:rStyle w:val="FootnoteReference"/>
          <w:rFonts w:eastAsia="Times New Roman" w:cs="Times New Roman"/>
          <w:iCs/>
          <w:szCs w:val="24"/>
          <w:lang w:eastAsia="en-GB"/>
        </w:rPr>
        <w:footnoteReference w:id="845"/>
      </w:r>
      <w:r w:rsidRPr="00EC0229">
        <w:rPr>
          <w:rFonts w:eastAsia="Times New Roman" w:cs="Times New Roman"/>
          <w:iCs/>
          <w:szCs w:val="24"/>
          <w:lang w:eastAsia="en-GB"/>
        </w:rPr>
        <w:t xml:space="preserve"> The Fishergate</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community may have been geographically distinct from this centre, but served it economically, as a </w:t>
      </w:r>
      <w:r w:rsidRPr="00EC0229">
        <w:rPr>
          <w:rFonts w:eastAsia="Times New Roman" w:cs="Times New Roman"/>
          <w:i/>
          <w:iCs/>
          <w:szCs w:val="24"/>
          <w:lang w:eastAsia="en-GB"/>
        </w:rPr>
        <w:t>wic</w:t>
      </w:r>
      <w:r w:rsidRPr="00EC0229">
        <w:rPr>
          <w:rFonts w:eastAsia="Times New Roman" w:cs="Times New Roman"/>
          <w:i/>
          <w:iCs/>
          <w:szCs w:val="24"/>
          <w:lang w:eastAsia="en-GB"/>
        </w:rPr>
        <w:fldChar w:fldCharType="begin"/>
      </w:r>
      <w:r w:rsidRPr="00EC0229">
        <w:instrText xml:space="preserve"> XE "wic" </w:instrText>
      </w:r>
      <w:r w:rsidRPr="00EC0229">
        <w:rPr>
          <w:rFonts w:eastAsia="Times New Roman" w:cs="Times New Roman"/>
          <w:i/>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iCs/>
          <w:szCs w:val="24"/>
          <w:lang w:eastAsia="en-GB"/>
        </w:rPr>
        <w:footnoteReference w:id="846"/>
      </w:r>
      <w:r w:rsidRPr="00EC0229">
        <w:rPr>
          <w:rFonts w:eastAsia="Times New Roman" w:cs="Times New Roman"/>
          <w:iCs/>
          <w:szCs w:val="24"/>
          <w:lang w:eastAsia="en-GB"/>
        </w:rPr>
        <w:t xml:space="preserve"> ‘The range and proportion of continental pottery found with the local and regional wares at Fishergate places the site in the same class as the large contemporary trading sites of Hamwic</w:t>
      </w:r>
      <w:r w:rsidRPr="00EC0229">
        <w:rPr>
          <w:rFonts w:eastAsia="Times New Roman" w:cs="Times New Roman"/>
          <w:iCs/>
          <w:szCs w:val="24"/>
          <w:lang w:eastAsia="en-GB"/>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Ipswich and London.’</w:t>
      </w:r>
      <w:r w:rsidRPr="00EC0229">
        <w:rPr>
          <w:rStyle w:val="FootnoteReference"/>
          <w:rFonts w:eastAsia="Times New Roman" w:cs="Times New Roman"/>
          <w:iCs/>
          <w:szCs w:val="24"/>
          <w:lang w:eastAsia="en-GB"/>
        </w:rPr>
        <w:footnoteReference w:id="847"/>
      </w:r>
      <w:r w:rsidRPr="00EC0229">
        <w:rPr>
          <w:rFonts w:eastAsia="Times New Roman" w:cs="Times New Roman"/>
          <w:iCs/>
          <w:szCs w:val="24"/>
          <w:lang w:eastAsia="en-GB"/>
        </w:rPr>
        <w:t xml:space="preserve"> Biological analysis shows a specific and restricted food supply indicating that the putative </w:t>
      </w:r>
      <w:r w:rsidRPr="00EC0229">
        <w:rPr>
          <w:rFonts w:eastAsia="Times New Roman" w:cs="Times New Roman"/>
          <w:i/>
          <w:iCs/>
          <w:szCs w:val="24"/>
          <w:lang w:eastAsia="en-GB"/>
        </w:rPr>
        <w:t>wic</w:t>
      </w:r>
      <w:r w:rsidRPr="00EC0229">
        <w:rPr>
          <w:rFonts w:eastAsia="Times New Roman" w:cs="Times New Roman"/>
          <w:iCs/>
          <w:szCs w:val="24"/>
          <w:lang w:eastAsia="en-GB"/>
        </w:rPr>
        <w:t xml:space="preserve"> was provisioned by the centre from food rents lacking diversity.</w:t>
      </w:r>
      <w:r w:rsidRPr="00EC0229">
        <w:rPr>
          <w:rStyle w:val="FootnoteReference"/>
          <w:rFonts w:eastAsia="Times New Roman" w:cs="Times New Roman"/>
          <w:iCs/>
          <w:szCs w:val="24"/>
          <w:lang w:eastAsia="en-GB"/>
        </w:rPr>
        <w:footnoteReference w:id="848"/>
      </w:r>
      <w:r w:rsidRPr="00EC0229">
        <w:rPr>
          <w:rFonts w:eastAsia="Times New Roman" w:cs="Times New Roman"/>
          <w:iCs/>
          <w:szCs w:val="24"/>
          <w:lang w:eastAsia="en-GB"/>
        </w:rPr>
        <w:t xml:space="preserve"> ‘The suite of biological remains recovered was, however, impoverished when compared to the deep, waterlogged sites elsewhere in York</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iCs/>
          <w:szCs w:val="24"/>
          <w:lang w:eastAsia="en-GB"/>
        </w:rPr>
        <w:footnoteReference w:id="849"/>
      </w:r>
      <w:r w:rsidRPr="00EC0229">
        <w:rPr>
          <w:rFonts w:eastAsia="Times New Roman" w:cs="Times New Roman"/>
          <w:iCs/>
          <w:szCs w:val="24"/>
          <w:lang w:eastAsia="en-GB"/>
        </w:rPr>
        <w:t xml:space="preserve"> Dobney </w:t>
      </w:r>
      <w:r w:rsidRPr="00EC0229">
        <w:rPr>
          <w:rFonts w:eastAsia="Times New Roman" w:cs="Times New Roman"/>
          <w:i/>
          <w:iCs/>
          <w:szCs w:val="24"/>
          <w:lang w:eastAsia="en-GB"/>
        </w:rPr>
        <w:t>et al</w:t>
      </w:r>
      <w:r w:rsidRPr="00EC0229">
        <w:rPr>
          <w:rFonts w:eastAsia="Times New Roman" w:cs="Times New Roman"/>
          <w:iCs/>
          <w:szCs w:val="24"/>
          <w:lang w:eastAsia="en-GB"/>
        </w:rPr>
        <w:t>,</w:t>
      </w:r>
      <w:r w:rsidRPr="00EC0229">
        <w:t xml:space="preserve"> report that the site ‘gave disappointingly little evidence for invertebrates, despite extensive sampling….there were rare occurrences here of a limited fauna associated with human occupation.’ They also found that ‘plant remains were sparse…the rarity of [weeds] is remarkable for an occupation site.’ Unless waste failed to be preserved, was thrown into the river or hauled to nearby farms, they concluded that the density of occupation was low.</w:t>
      </w:r>
      <w:r w:rsidRPr="00EC0229">
        <w:rPr>
          <w:rStyle w:val="FootnoteReference"/>
          <w:rFonts w:eastAsia="Times New Roman" w:cs="Times New Roman"/>
          <w:iCs/>
          <w:szCs w:val="24"/>
          <w:lang w:eastAsia="en-GB"/>
        </w:rPr>
        <w:t xml:space="preserve"> </w:t>
      </w:r>
      <w:r w:rsidRPr="00EC0229">
        <w:rPr>
          <w:rStyle w:val="FootnoteReference"/>
          <w:rFonts w:eastAsia="Times New Roman" w:cs="Times New Roman"/>
          <w:iCs/>
          <w:szCs w:val="24"/>
          <w:lang w:eastAsia="en-GB"/>
        </w:rPr>
        <w:footnoteReference w:id="850"/>
      </w:r>
      <w:r w:rsidRPr="00EC0229">
        <w:rPr>
          <w:rFonts w:eastAsia="Times New Roman" w:cs="Times New Roman"/>
          <w:iCs/>
          <w:szCs w:val="24"/>
          <w:lang w:eastAsia="en-GB"/>
        </w:rPr>
        <w:t xml:space="preserve"> Smith concluded that ‘it may be unsafe to use the absence of neo-natal bones to </w:t>
      </w:r>
      <w:r w:rsidR="004504D2">
        <w:rPr>
          <w:rFonts w:eastAsia="Times New Roman" w:cs="Times New Roman"/>
          <w:iCs/>
          <w:szCs w:val="24"/>
          <w:lang w:eastAsia="en-GB"/>
        </w:rPr>
        <w:t>characterize</w:t>
      </w:r>
      <w:r w:rsidRPr="00EC0229">
        <w:rPr>
          <w:rFonts w:eastAsia="Times New Roman" w:cs="Times New Roman"/>
          <w:iCs/>
          <w:szCs w:val="24"/>
          <w:lang w:eastAsia="en-GB"/>
        </w:rPr>
        <w:t xml:space="preserve"> the Fishergate site as a ‘consumer’ settlement</w:t>
      </w:r>
      <w:r w:rsidRPr="00EC0229">
        <w:rPr>
          <w:rFonts w:eastAsia="Times New Roman" w:cs="Times New Roman"/>
          <w:iCs/>
          <w:szCs w:val="24"/>
          <w:lang w:eastAsia="en-GB"/>
        </w:rPr>
        <w:fldChar w:fldCharType="begin"/>
      </w:r>
      <w:r w:rsidRPr="00EC0229">
        <w:instrText xml:space="preserve"> XE "settlement"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iCs/>
          <w:szCs w:val="24"/>
          <w:lang w:eastAsia="en-GB"/>
        </w:rPr>
        <w:footnoteReference w:id="851"/>
      </w:r>
    </w:p>
    <w:p w14:paraId="012CBCBB" w14:textId="77777777" w:rsidR="00445D6E" w:rsidRPr="00EC0229" w:rsidRDefault="00445D6E" w:rsidP="007600EA">
      <w:pPr>
        <w:pStyle w:val="NoSpacing"/>
        <w:spacing w:line="360" w:lineRule="auto"/>
        <w:rPr>
          <w:rFonts w:eastAsia="Times New Roman" w:cs="Times New Roman"/>
          <w:iCs/>
          <w:szCs w:val="24"/>
          <w:lang w:eastAsia="en-GB"/>
        </w:rPr>
      </w:pPr>
    </w:p>
    <w:p w14:paraId="2C50F35A" w14:textId="77777777" w:rsidR="00445D6E" w:rsidRPr="00EC0229" w:rsidRDefault="00445D6E" w:rsidP="007600EA">
      <w:pPr>
        <w:pStyle w:val="NoSpacing"/>
        <w:spacing w:line="360" w:lineRule="auto"/>
        <w:rPr>
          <w:rFonts w:eastAsia="Times New Roman" w:cs="Times New Roman"/>
          <w:iCs/>
          <w:szCs w:val="24"/>
          <w:lang w:eastAsia="en-GB"/>
        </w:rPr>
      </w:pPr>
      <w:r w:rsidRPr="00EC0229">
        <w:rPr>
          <w:rFonts w:eastAsia="Times New Roman" w:cs="Times New Roman"/>
          <w:iCs/>
          <w:szCs w:val="24"/>
          <w:lang w:eastAsia="en-GB"/>
        </w:rPr>
        <w:t>This description does not seem to signify a busy trading station where merchants from afar would exchange goods. Moreover, the lack of biodiversity may hint at a managed micro-</w:t>
      </w:r>
      <w:r w:rsidRPr="00EC0229">
        <w:rPr>
          <w:rFonts w:eastAsia="Times New Roman" w:cs="Times New Roman"/>
          <w:iCs/>
          <w:szCs w:val="24"/>
          <w:lang w:eastAsia="en-GB"/>
        </w:rPr>
        <w:lastRenderedPageBreak/>
        <w:t>economy</w:t>
      </w:r>
      <w:r w:rsidRPr="00EC0229">
        <w:rPr>
          <w:rFonts w:eastAsia="Times New Roman" w:cs="Times New Roman"/>
          <w:iCs/>
          <w:szCs w:val="24"/>
          <w:lang w:eastAsia="en-GB"/>
        </w:rPr>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iCs/>
          <w:szCs w:val="24"/>
          <w:lang w:eastAsia="en-GB"/>
        </w:rPr>
        <w:footnoteReference w:id="852"/>
      </w:r>
      <w:r w:rsidRPr="00EC0229">
        <w:rPr>
          <w:rFonts w:eastAsia="Times New Roman" w:cs="Times New Roman"/>
          <w:iCs/>
          <w:szCs w:val="24"/>
          <w:lang w:eastAsia="en-GB"/>
        </w:rPr>
        <w:t xml:space="preserve"> While pigs seem to have been prepared elsewhere, other livestock arrived on the hoof, though minor sources of meat are few.</w:t>
      </w:r>
      <w:r w:rsidRPr="00EC0229">
        <w:rPr>
          <w:rStyle w:val="FootnoteReference"/>
          <w:rFonts w:eastAsia="Times New Roman" w:cs="Times New Roman"/>
          <w:iCs/>
          <w:szCs w:val="24"/>
          <w:lang w:eastAsia="en-GB"/>
        </w:rPr>
        <w:footnoteReference w:id="853"/>
      </w:r>
      <w:r w:rsidRPr="00EC0229">
        <w:rPr>
          <w:rFonts w:eastAsia="Times New Roman" w:cs="Times New Roman"/>
          <w:iCs/>
          <w:szCs w:val="24"/>
          <w:lang w:eastAsia="en-GB"/>
        </w:rPr>
        <w:t xml:space="preserve"> </w:t>
      </w:r>
    </w:p>
    <w:p w14:paraId="38949DFC" w14:textId="77777777" w:rsidR="00445D6E" w:rsidRPr="00EC0229" w:rsidRDefault="00445D6E" w:rsidP="007600EA">
      <w:pPr>
        <w:pStyle w:val="NoSpacing"/>
        <w:spacing w:line="360" w:lineRule="auto"/>
        <w:rPr>
          <w:rFonts w:eastAsia="Times New Roman" w:cs="Times New Roman"/>
          <w:iCs/>
          <w:szCs w:val="24"/>
          <w:lang w:eastAsia="en-GB"/>
        </w:rPr>
      </w:pPr>
    </w:p>
    <w:p w14:paraId="387DAD2B" w14:textId="77777777" w:rsidR="00445D6E" w:rsidRPr="00EC0229" w:rsidRDefault="00445D6E" w:rsidP="007600EA">
      <w:pPr>
        <w:pStyle w:val="NoSpacing"/>
        <w:spacing w:line="360" w:lineRule="auto"/>
        <w:rPr>
          <w:rFonts w:eastAsia="Times New Roman" w:cs="Times New Roman"/>
          <w:iCs/>
          <w:color w:val="000000" w:themeColor="text1"/>
          <w:szCs w:val="24"/>
          <w:lang w:eastAsia="en-GB"/>
        </w:rPr>
      </w:pPr>
      <w:r w:rsidRPr="00EC0229">
        <w:rPr>
          <w:rFonts w:eastAsia="Times New Roman" w:cs="Times New Roman"/>
          <w:iCs/>
          <w:color w:val="000000" w:themeColor="text1"/>
          <w:szCs w:val="24"/>
          <w:lang w:eastAsia="en-GB"/>
        </w:rPr>
        <w:t>O’Connor, based on the segregation of a property-owing ruling élite</w:t>
      </w:r>
      <w:r w:rsidRPr="00EC0229">
        <w:rPr>
          <w:rFonts w:eastAsia="Times New Roman" w:cs="Times New Roman"/>
          <w:iCs/>
          <w:color w:val="000000" w:themeColor="text1"/>
          <w:szCs w:val="24"/>
          <w:lang w:eastAsia="en-GB"/>
        </w:rPr>
        <w:fldChar w:fldCharType="begin"/>
      </w:r>
      <w:r w:rsidRPr="00EC0229">
        <w:instrText xml:space="preserve"> XE "</w:instrText>
      </w:r>
      <w:r w:rsidRPr="00EC0229">
        <w:rPr>
          <w:szCs w:val="24"/>
        </w:rPr>
        <w:instrText>élite</w:instrText>
      </w:r>
      <w:r w:rsidRPr="00EC0229">
        <w:instrText xml:space="preserve">" </w:instrTex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 xml:space="preserve"> from the residents,</w:t>
      </w:r>
      <w:r w:rsidRPr="00EC0229">
        <w:rPr>
          <w:rStyle w:val="FootnoteReference"/>
          <w:rFonts w:eastAsia="Times New Roman" w:cs="Times New Roman"/>
          <w:iCs/>
          <w:color w:val="000000" w:themeColor="text1"/>
          <w:szCs w:val="24"/>
          <w:lang w:eastAsia="en-GB"/>
        </w:rPr>
        <w:footnoteReference w:id="854"/>
      </w:r>
      <w:r w:rsidRPr="00EC0229">
        <w:rPr>
          <w:rFonts w:eastAsia="Times New Roman" w:cs="Times New Roman"/>
          <w:iCs/>
          <w:szCs w:val="24"/>
          <w:lang w:eastAsia="en-GB"/>
        </w:rPr>
        <w:t xml:space="preserve"> proposed that the occupants of Fishergate</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were somehow inhibited from exploiting a wider range of resources.</w:t>
      </w:r>
      <w:r w:rsidRPr="00EC0229">
        <w:rPr>
          <w:rStyle w:val="FootnoteReference"/>
          <w:rFonts w:eastAsia="Times New Roman" w:cs="Times New Roman"/>
          <w:iCs/>
          <w:szCs w:val="24"/>
          <w:lang w:eastAsia="en-GB"/>
        </w:rPr>
        <w:footnoteReference w:id="855"/>
      </w:r>
      <w:r w:rsidRPr="00EC0229">
        <w:rPr>
          <w:rFonts w:eastAsia="Times New Roman" w:cs="Times New Roman"/>
          <w:iCs/>
          <w:szCs w:val="24"/>
          <w:lang w:eastAsia="en-GB"/>
        </w:rPr>
        <w:t xml:space="preserve"> Could an élite control, through institutional or other mechanisms, the distribution of prestige or even everyday items at a port-of-call? This would have been a considerable achievement given the rich diversity, and porous borders, of the hinterland</w:t>
      </w:r>
      <w:r w:rsidRPr="00EC0229">
        <w:rPr>
          <w:rFonts w:eastAsia="Times New Roman" w:cs="Times New Roman"/>
          <w:iCs/>
          <w:szCs w:val="24"/>
          <w:lang w:eastAsia="en-GB"/>
        </w:rPr>
        <w:fldChar w:fldCharType="begin"/>
      </w:r>
      <w:r w:rsidRPr="00EC0229">
        <w:instrText xml:space="preserve"> XE "</w:instrText>
      </w:r>
      <w:r w:rsidRPr="00EC0229">
        <w:rPr>
          <w:rFonts w:cs="Times New Roman"/>
          <w:szCs w:val="24"/>
        </w:rPr>
        <w:instrText>hinterland</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in addition to the assumedly high level of economic activity in a </w:t>
      </w:r>
      <w:r w:rsidRPr="00EC0229">
        <w:rPr>
          <w:rFonts w:eastAsia="Times New Roman" w:cs="Times New Roman"/>
          <w:i/>
          <w:iCs/>
          <w:szCs w:val="24"/>
          <w:lang w:eastAsia="en-GB"/>
        </w:rPr>
        <w:t>wic</w:t>
      </w:r>
      <w:r w:rsidRPr="00EC0229">
        <w:rPr>
          <w:rFonts w:eastAsia="Times New Roman" w:cs="Times New Roman"/>
          <w:i/>
          <w:iCs/>
          <w:szCs w:val="24"/>
          <w:lang w:eastAsia="en-GB"/>
        </w:rPr>
        <w:fldChar w:fldCharType="begin"/>
      </w:r>
      <w:r w:rsidRPr="00EC0229">
        <w:instrText xml:space="preserve"> XE "wic" </w:instrText>
      </w:r>
      <w:r w:rsidRPr="00EC0229">
        <w:rPr>
          <w:rFonts w:eastAsia="Times New Roman" w:cs="Times New Roman"/>
          <w:i/>
          <w:iCs/>
          <w:szCs w:val="24"/>
          <w:lang w:eastAsia="en-GB"/>
        </w:rPr>
        <w:fldChar w:fldCharType="end"/>
      </w:r>
      <w:r w:rsidRPr="00EC0229">
        <w:rPr>
          <w:rFonts w:eastAsia="Times New Roman" w:cs="Times New Roman"/>
          <w:iCs/>
          <w:color w:val="000000" w:themeColor="text1"/>
          <w:szCs w:val="24"/>
          <w:lang w:eastAsia="en-GB"/>
        </w:rPr>
        <w:t xml:space="preserve"> and concomitant ready access to goods and produce. Moreover, inhabitants of an emporium are very likely to be enterprising individuals who seek creative alternatives if supressed.</w:t>
      </w:r>
    </w:p>
    <w:p w14:paraId="75F01ED1" w14:textId="77777777" w:rsidR="00445D6E" w:rsidRPr="00EC0229" w:rsidRDefault="00445D6E" w:rsidP="007600EA">
      <w:pPr>
        <w:pStyle w:val="NoSpacing"/>
        <w:spacing w:line="360" w:lineRule="auto"/>
        <w:rPr>
          <w:szCs w:val="24"/>
        </w:rPr>
      </w:pPr>
    </w:p>
    <w:p w14:paraId="330C8D70" w14:textId="326EC667" w:rsidR="00E80C1D" w:rsidRPr="00EC0229" w:rsidRDefault="00E80C1D" w:rsidP="007600EA">
      <w:pPr>
        <w:pStyle w:val="Heading4"/>
        <w:spacing w:line="360" w:lineRule="auto"/>
        <w:rPr>
          <w:color w:val="000000" w:themeColor="text1"/>
        </w:rPr>
      </w:pPr>
      <w:bookmarkStart w:id="529" w:name="_Toc468266854"/>
      <w:r w:rsidRPr="007A3166">
        <w:rPr>
          <w:b/>
        </w:rPr>
        <w:t>Dixon Lane</w:t>
      </w:r>
      <w:r w:rsidRPr="007A3166">
        <w:rPr>
          <w:b/>
        </w:rPr>
        <w:fldChar w:fldCharType="begin"/>
      </w:r>
      <w:r w:rsidRPr="007A3166">
        <w:rPr>
          <w:b/>
        </w:rPr>
        <w:instrText xml:space="preserve"> XE "</w:instrText>
      </w:r>
      <w:r w:rsidRPr="007A3166">
        <w:rPr>
          <w:rStyle w:val="Hyperlink"/>
          <w:b/>
          <w:noProof/>
          <w:u w:val="none"/>
        </w:rPr>
        <w:instrText>Dixon Lane</w:instrText>
      </w:r>
      <w:r w:rsidRPr="007A3166">
        <w:rPr>
          <w:b/>
        </w:rPr>
        <w:instrText xml:space="preserve">" </w:instrText>
      </w:r>
      <w:r w:rsidRPr="007A3166">
        <w:rPr>
          <w:b/>
        </w:rPr>
        <w:fldChar w:fldCharType="end"/>
      </w:r>
      <w:r w:rsidRPr="007A3166">
        <w:rPr>
          <w:b/>
        </w:rPr>
        <w:t xml:space="preserve"> and George Street</w:t>
      </w:r>
      <w:r w:rsidRPr="007A3166">
        <w:rPr>
          <w:b/>
        </w:rPr>
        <w:fldChar w:fldCharType="begin"/>
      </w:r>
      <w:r w:rsidRPr="007A3166">
        <w:rPr>
          <w:b/>
        </w:rPr>
        <w:instrText xml:space="preserve"> XE "</w:instrText>
      </w:r>
      <w:r w:rsidRPr="007A3166">
        <w:rPr>
          <w:rStyle w:val="Hyperlink"/>
          <w:b/>
          <w:noProof/>
          <w:u w:val="none"/>
        </w:rPr>
        <w:instrText>George Street</w:instrText>
      </w:r>
      <w:r w:rsidRPr="007A3166">
        <w:rPr>
          <w:b/>
        </w:rPr>
        <w:instrText xml:space="preserve">" </w:instrText>
      </w:r>
      <w:r w:rsidRPr="007A3166">
        <w:rPr>
          <w:b/>
        </w:rPr>
        <w:fldChar w:fldCharType="end"/>
      </w:r>
      <w:r w:rsidRPr="00EC0229">
        <w:rPr>
          <w:color w:val="000000" w:themeColor="text1"/>
        </w:rPr>
        <w:t xml:space="preserve"> </w:t>
      </w:r>
      <w:r w:rsidRPr="00EC0229">
        <w:rPr>
          <w:rStyle w:val="FootnoteReference"/>
          <w:color w:val="000000" w:themeColor="text1"/>
        </w:rPr>
        <w:footnoteReference w:id="856"/>
      </w:r>
      <w:bookmarkEnd w:id="529"/>
    </w:p>
    <w:p w14:paraId="039AC713" w14:textId="77777777" w:rsidR="00E80C1D" w:rsidRPr="00EC0229" w:rsidRDefault="00E80C1D" w:rsidP="007600EA">
      <w:pPr>
        <w:pStyle w:val="NoSpacing"/>
        <w:spacing w:line="360" w:lineRule="auto"/>
      </w:pPr>
      <w:r w:rsidRPr="00EC0229">
        <w:t>This site, only three hundred meters from 46-54 Fishergate</w:t>
      </w:r>
      <w:r w:rsidRPr="00EC0229">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fldChar w:fldCharType="end"/>
      </w:r>
      <w:r w:rsidRPr="00EC0229">
        <w:t>, may be of significance in establishing the status of Fishergate. A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ring of the late fourth or fifth century found here may indicate activity around the time of the Roman</w:t>
      </w:r>
      <w:r w:rsidRPr="00EC0229">
        <w:fldChar w:fldCharType="begin"/>
      </w:r>
      <w:r w:rsidRPr="00EC0229">
        <w:instrText xml:space="preserve"> XE "Roman" </w:instrText>
      </w:r>
      <w:r w:rsidRPr="00EC0229">
        <w:fldChar w:fldCharType="end"/>
      </w:r>
      <w:r w:rsidRPr="00EC0229">
        <w:t xml:space="preserve"> withdrawal, though, like other local sites, the stratigraphic evidence for sub-Roman</w:t>
      </w:r>
      <w:r w:rsidRPr="00EC0229">
        <w:fldChar w:fldCharType="begin"/>
      </w:r>
      <w:r w:rsidRPr="00EC0229">
        <w:instrText xml:space="preserve"> XE "</w:instrText>
      </w:r>
      <w:r w:rsidRPr="00EC0229">
        <w:rPr>
          <w:rStyle w:val="Hyperlink"/>
          <w:noProof/>
          <w:u w:val="none"/>
        </w:rPr>
        <w:instrText>sub-Roman</w:instrText>
      </w:r>
      <w:r w:rsidRPr="00EC0229">
        <w:instrText xml:space="preserve">" </w:instrText>
      </w:r>
      <w:r w:rsidRPr="00EC0229">
        <w:fldChar w:fldCharType="end"/>
      </w:r>
      <w:r w:rsidRPr="00EC0229">
        <w:t xml:space="preserve"> continuity is virtually absent. </w:t>
      </w:r>
      <w:r w:rsidRPr="00EC0229">
        <w:br/>
      </w:r>
      <w:r w:rsidRPr="00EC0229">
        <w:br/>
        <w:t>Topographic evidence of the occupation of the site in the late seventh century, common between here and Fishergate, include a boundary ditch, timber buildings, one (maybe two) SFBs and rubbish pits. Artefacts in common include copper-alloy dress pins, glass beads and fragments. Shared crafts are indicated by antler and bone and antler comb components and loom-weights</w:t>
      </w:r>
      <w:r w:rsidRPr="00EC0229">
        <w:fldChar w:fldCharType="begin"/>
      </w:r>
      <w:r w:rsidRPr="00EC0229">
        <w:instrText xml:space="preserve"> XE "</w:instrText>
      </w:r>
      <w:r w:rsidRPr="00EC0229">
        <w:rPr>
          <w:rStyle w:val="Hyperlink"/>
          <w:noProof/>
          <w:u w:val="none"/>
        </w:rPr>
        <w:instrText>weights</w:instrText>
      </w:r>
      <w:r w:rsidRPr="00EC0229">
        <w:instrText xml:space="preserve">" </w:instrText>
      </w:r>
      <w:r w:rsidRPr="00EC0229">
        <w:fldChar w:fldCharType="end"/>
      </w:r>
      <w:r w:rsidRPr="00EC0229">
        <w:t xml:space="preserve"> used in textile manufacture.</w:t>
      </w:r>
      <w:r w:rsidRPr="00EC0229">
        <w:rPr>
          <w:rStyle w:val="FootnoteReference"/>
        </w:rPr>
        <w:footnoteReference w:id="857"/>
      </w:r>
      <w:r w:rsidRPr="00EC0229">
        <w:t xml:space="preserve"> These topographic, artefactual and craft-working </w:t>
      </w:r>
      <w:r w:rsidRPr="00EC0229">
        <w:lastRenderedPageBreak/>
        <w:t xml:space="preserve">similarities with Fishergate led the site investigators to conclude that these may have been part of the same </w:t>
      </w:r>
      <w:r w:rsidRPr="00EC0229">
        <w:rPr>
          <w:i/>
        </w:rPr>
        <w:t>wic</w:t>
      </w:r>
      <w:r w:rsidRPr="00EC0229">
        <w:rPr>
          <w:i/>
        </w:rPr>
        <w:fldChar w:fldCharType="begin"/>
      </w:r>
      <w:r w:rsidRPr="00EC0229">
        <w:instrText xml:space="preserve"> XE "wic" </w:instrText>
      </w:r>
      <w:r w:rsidRPr="00EC0229">
        <w:rPr>
          <w:i/>
        </w:rPr>
        <w:fldChar w:fldCharType="end"/>
      </w:r>
      <w:r w:rsidRPr="00EC0229">
        <w:t xml:space="preserve">. </w:t>
      </w:r>
    </w:p>
    <w:p w14:paraId="63D3DF05" w14:textId="77777777" w:rsidR="00E80C1D" w:rsidRPr="00EC0229" w:rsidRDefault="00E80C1D" w:rsidP="007600EA">
      <w:pPr>
        <w:pStyle w:val="NoSpacing"/>
        <w:spacing w:line="360" w:lineRule="auto"/>
      </w:pPr>
    </w:p>
    <w:p w14:paraId="521FA8B8" w14:textId="77777777" w:rsidR="00E80C1D" w:rsidRPr="00EC0229" w:rsidRDefault="00E80C1D" w:rsidP="007600EA">
      <w:pPr>
        <w:pStyle w:val="NoSpacing"/>
        <w:spacing w:line="360" w:lineRule="auto"/>
      </w:pPr>
      <w:r w:rsidRPr="00EC0229">
        <w:t>Significantly, unlike Fishergate</w:t>
      </w:r>
      <w:r w:rsidRPr="00EC0229">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fldChar w:fldCharType="end"/>
      </w:r>
      <w:r w:rsidRPr="00EC0229">
        <w:t>, personal items from the Anglo-Scandinavian period were also found comprising bone dress pins, a twisted wire ring, an arm ring and more comb-making debris. Such spatial continuity ‘is of significance for our understanding of how that political and economic transition affected the topography of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w:t>
      </w:r>
      <w:r w:rsidRPr="00EC0229">
        <w:rPr>
          <w:rStyle w:val="FootnoteReference"/>
        </w:rPr>
        <w:footnoteReference w:id="858"/>
      </w:r>
      <w:r w:rsidRPr="00EC0229">
        <w:br/>
      </w:r>
    </w:p>
    <w:p w14:paraId="070A25F7" w14:textId="77777777" w:rsidR="00E80C1D" w:rsidRPr="00EC0229" w:rsidRDefault="00E80C1D" w:rsidP="007600EA">
      <w:pPr>
        <w:pStyle w:val="NoSpacing"/>
        <w:spacing w:line="360" w:lineRule="auto"/>
        <w:rPr>
          <w:szCs w:val="24"/>
        </w:rPr>
      </w:pPr>
      <w:r w:rsidRPr="00EC0229">
        <w:rPr>
          <w:szCs w:val="24"/>
        </w:rPr>
        <w:t>Other York sites</w:t>
      </w:r>
    </w:p>
    <w:p w14:paraId="39652AF4" w14:textId="3714DBBC" w:rsidR="00E80C1D" w:rsidRPr="00EC0229" w:rsidRDefault="00E80C1D" w:rsidP="007600EA">
      <w:pPr>
        <w:pStyle w:val="NoSpacing"/>
        <w:spacing w:line="360" w:lineRule="auto"/>
        <w:rPr>
          <w:strike/>
          <w:szCs w:val="24"/>
        </w:rPr>
      </w:pPr>
      <w:r w:rsidRPr="00EC0229">
        <w:rPr>
          <w:szCs w:val="24"/>
        </w:rPr>
        <w:t>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’s archaeological</w:t>
      </w:r>
      <w:r w:rsidRPr="00EC0229">
        <w:rPr>
          <w:szCs w:val="24"/>
        </w:rPr>
        <w:fldChar w:fldCharType="begin"/>
      </w:r>
      <w:r w:rsidRPr="00EC0229">
        <w:instrText xml:space="preserve"> XE "</w:instrText>
      </w:r>
      <w:r w:rsidRPr="00EC0229">
        <w:rPr>
          <w:rFonts w:eastAsia="Times New Roman" w:cs="Times New Roman"/>
          <w:szCs w:val="24"/>
          <w:lang w:eastAsia="en-GB"/>
        </w:rPr>
        <w:instrText>archaeological</w:instrText>
      </w:r>
      <w:r w:rsidRPr="00EC0229">
        <w:instrText xml:space="preserve">" </w:instrText>
      </w:r>
      <w:r w:rsidRPr="00EC0229">
        <w:rPr>
          <w:szCs w:val="24"/>
        </w:rPr>
        <w:fldChar w:fldCharType="end"/>
      </w:r>
      <w:r w:rsidRPr="00EC0229">
        <w:rPr>
          <w:szCs w:val="24"/>
        </w:rPr>
        <w:t xml:space="preserve"> sites have been described, in summary, by Tweddle, </w:t>
      </w:r>
      <w:r w:rsidRPr="00EC0229">
        <w:rPr>
          <w:i/>
          <w:szCs w:val="24"/>
        </w:rPr>
        <w:t>et al,</w:t>
      </w:r>
      <w:r w:rsidRPr="00EC0229">
        <w:rPr>
          <w:szCs w:val="24"/>
        </w:rPr>
        <w:t xml:space="preserve"> 1999 and Naylor</w:t>
      </w:r>
      <w:r w:rsidRPr="00EC0229">
        <w:rPr>
          <w:szCs w:val="24"/>
        </w:rPr>
        <w:fldChar w:fldCharType="begin"/>
      </w:r>
      <w:r w:rsidRPr="00EC0229">
        <w:instrText xml:space="preserve"> XE "</w:instrText>
      </w:r>
      <w:r w:rsidRPr="00EC0229">
        <w:rPr>
          <w:rFonts w:cs="Times New Roman"/>
          <w:szCs w:val="24"/>
        </w:rPr>
        <w:instrText>Naylor</w:instrText>
      </w:r>
      <w:r w:rsidRPr="00EC0229">
        <w:instrText xml:space="preserve">" </w:instrText>
      </w:r>
      <w:r w:rsidRPr="00EC0229">
        <w:rPr>
          <w:szCs w:val="24"/>
        </w:rPr>
        <w:fldChar w:fldCharType="end"/>
      </w:r>
      <w:r w:rsidRPr="00EC0229">
        <w:rPr>
          <w:szCs w:val="24"/>
        </w:rPr>
        <w:t xml:space="preserve">, 2002. </w:t>
      </w:r>
    </w:p>
    <w:p w14:paraId="46111E45" w14:textId="77777777" w:rsidR="00E80C1D" w:rsidRPr="00EC0229" w:rsidRDefault="00E80C1D" w:rsidP="007600EA">
      <w:pPr>
        <w:pStyle w:val="NoSpacing"/>
        <w:spacing w:line="360" w:lineRule="auto"/>
        <w:rPr>
          <w:szCs w:val="24"/>
        </w:rPr>
      </w:pPr>
    </w:p>
    <w:p w14:paraId="064038C3" w14:textId="19615546" w:rsidR="00BD53D4" w:rsidRPr="00EC0229" w:rsidRDefault="00BD53D4" w:rsidP="007600EA">
      <w:pPr>
        <w:pStyle w:val="NoSpacing"/>
        <w:spacing w:line="360" w:lineRule="auto"/>
        <w:rPr>
          <w:szCs w:val="24"/>
        </w:rPr>
      </w:pPr>
      <w:r w:rsidRPr="00EC0229">
        <w:rPr>
          <w:szCs w:val="24"/>
        </w:rPr>
        <w:t xml:space="preserve">Modifications to the topography, especially roads and rivers with their fundamental </w:t>
      </w:r>
      <w:r w:rsidR="00A972E7" w:rsidRPr="00EC0229">
        <w:rPr>
          <w:szCs w:val="24"/>
        </w:rPr>
        <w:t>rôle</w:t>
      </w:r>
      <w:r w:rsidRPr="00EC0229">
        <w:rPr>
          <w:szCs w:val="24"/>
        </w:rPr>
        <w:t xml:space="preserve"> in transport and trade, could be diagnostic in interpreting post-Roman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 xml:space="preserve">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Re-alignment, via Monk Bar and Goodramgate, of the Roman </w:t>
      </w:r>
      <w:r w:rsidRPr="00EC0229">
        <w:rPr>
          <w:i/>
        </w:rPr>
        <w:t>porta decumana</w:t>
      </w:r>
      <w:r w:rsidRPr="00EC0229">
        <w:t>, as early as mid-eighth century,</w:t>
      </w:r>
      <w:r w:rsidRPr="00EC0229">
        <w:rPr>
          <w:szCs w:val="24"/>
        </w:rPr>
        <w:t xml:space="preserve"> could have been initiated by ecclesiastical authority. In this connection, Aldwark, bears the only street name of Old English derivation.</w:t>
      </w:r>
      <w:r w:rsidRPr="00EC0229">
        <w:rPr>
          <w:rStyle w:val="FootnoteReference"/>
          <w:szCs w:val="24"/>
        </w:rPr>
        <w:footnoteReference w:id="859"/>
      </w:r>
      <w:r w:rsidRPr="00EC0229">
        <w:rPr>
          <w:szCs w:val="24"/>
        </w:rPr>
        <w:t xml:space="preserve"> Evidence for various water-management schemes protecting some areas and inundating others,</w:t>
      </w:r>
      <w:r w:rsidRPr="00EC0229">
        <w:rPr>
          <w:rStyle w:val="FootnoteReference"/>
          <w:szCs w:val="24"/>
        </w:rPr>
        <w:footnoteReference w:id="860"/>
      </w:r>
      <w:r w:rsidRPr="00EC0229">
        <w:rPr>
          <w:szCs w:val="24"/>
        </w:rPr>
        <w:t xml:space="preserve"> is starting to accumulate.</w:t>
      </w:r>
      <w:r w:rsidRPr="00EC0229">
        <w:rPr>
          <w:rStyle w:val="FootnoteReference"/>
          <w:szCs w:val="24"/>
        </w:rPr>
        <w:footnoteReference w:id="861"/>
      </w:r>
    </w:p>
    <w:p w14:paraId="25E740C5" w14:textId="77777777" w:rsidR="0040258B" w:rsidRPr="00EC0229" w:rsidRDefault="0040258B" w:rsidP="007600EA">
      <w:pPr>
        <w:pStyle w:val="NoSpacing"/>
        <w:spacing w:line="360" w:lineRule="auto"/>
        <w:rPr>
          <w:szCs w:val="24"/>
        </w:rPr>
      </w:pPr>
    </w:p>
    <w:p w14:paraId="68CE3627" w14:textId="5E62BA4A" w:rsidR="00BD53D4" w:rsidRPr="00EC0229" w:rsidRDefault="00941DFC" w:rsidP="007600EA">
      <w:pPr>
        <w:pStyle w:val="NoSpacing"/>
        <w:spacing w:line="360" w:lineRule="auto"/>
        <w:rPr>
          <w:szCs w:val="24"/>
        </w:rPr>
      </w:pPr>
      <w:r w:rsidRPr="00EC0229">
        <w:rPr>
          <w:szCs w:val="24"/>
        </w:rPr>
        <w:t xml:space="preserve">The </w:t>
      </w:r>
      <w:r w:rsidR="0040258B" w:rsidRPr="00EC0229">
        <w:rPr>
          <w:szCs w:val="24"/>
        </w:rPr>
        <w:t>Roman</w:t>
      </w:r>
      <w:r w:rsidR="0040258B" w:rsidRPr="00EC0229">
        <w:rPr>
          <w:szCs w:val="24"/>
        </w:rPr>
        <w:fldChar w:fldCharType="begin"/>
      </w:r>
      <w:r w:rsidR="0040258B" w:rsidRPr="00EC0229">
        <w:instrText xml:space="preserve"> XE "Roman" </w:instrText>
      </w:r>
      <w:r w:rsidR="0040258B" w:rsidRPr="00EC0229">
        <w:rPr>
          <w:szCs w:val="24"/>
        </w:rPr>
        <w:fldChar w:fldCharType="end"/>
      </w:r>
      <w:r w:rsidR="0040258B" w:rsidRPr="00EC0229">
        <w:rPr>
          <w:szCs w:val="24"/>
        </w:rPr>
        <w:t xml:space="preserve"> cemeteries at Heworth, </w:t>
      </w:r>
      <w:r w:rsidR="0040258B" w:rsidRPr="00EC0229">
        <w:t>half a mile north-east of the fortress,</w:t>
      </w:r>
      <w:r w:rsidR="0040258B" w:rsidRPr="00EC0229">
        <w:rPr>
          <w:szCs w:val="24"/>
        </w:rPr>
        <w:t xml:space="preserve"> continued in use into the fifth and sixth centuries.</w:t>
      </w:r>
      <w:r w:rsidR="0040258B" w:rsidRPr="00EC0229">
        <w:rPr>
          <w:rStyle w:val="FootnoteReference"/>
          <w:szCs w:val="24"/>
        </w:rPr>
        <w:t xml:space="preserve"> </w:t>
      </w:r>
      <w:r w:rsidR="0040258B" w:rsidRPr="00EC0229">
        <w:rPr>
          <w:rStyle w:val="FootnoteReference"/>
          <w:szCs w:val="24"/>
        </w:rPr>
        <w:footnoteReference w:id="862"/>
      </w:r>
      <w:r w:rsidR="0040258B" w:rsidRPr="00EC0229">
        <w:t xml:space="preserve"> Decorated cremation urns have been found here </w:t>
      </w:r>
      <w:r w:rsidR="0040258B" w:rsidRPr="00EC0229">
        <w:rPr>
          <w:szCs w:val="24"/>
        </w:rPr>
        <w:t>(</w:t>
      </w:r>
      <w:r w:rsidR="0040258B" w:rsidRPr="00EC0229">
        <w:rPr>
          <w:szCs w:val="24"/>
        </w:rPr>
        <w:fldChar w:fldCharType="begin"/>
      </w:r>
      <w:r w:rsidR="0040258B" w:rsidRPr="00EC0229">
        <w:rPr>
          <w:szCs w:val="24"/>
        </w:rPr>
        <w:instrText xml:space="preserve"> REF _Ref430246903 \h  \* MERGEFORMAT </w:instrText>
      </w:r>
      <w:r w:rsidR="0040258B" w:rsidRPr="00EC0229">
        <w:rPr>
          <w:szCs w:val="24"/>
        </w:rPr>
      </w:r>
      <w:r w:rsidR="0040258B"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67</w:t>
      </w:r>
      <w:r w:rsidR="0040258B" w:rsidRPr="00EC0229">
        <w:rPr>
          <w:szCs w:val="24"/>
        </w:rPr>
        <w:fldChar w:fldCharType="end"/>
      </w:r>
      <w:r w:rsidR="0040258B" w:rsidRPr="00EC0229">
        <w:t>) and at The Mount.</w:t>
      </w:r>
      <w:r w:rsidR="0040258B" w:rsidRPr="00EC0229">
        <w:rPr>
          <w:rStyle w:val="FootnoteReference"/>
          <w:szCs w:val="24"/>
        </w:rPr>
        <w:footnoteReference w:id="863"/>
      </w:r>
      <w:r w:rsidR="0040258B" w:rsidRPr="00EC0229">
        <w:rPr>
          <w:szCs w:val="24"/>
        </w:rPr>
        <w:t xml:space="preserve"> </w:t>
      </w:r>
      <w:r w:rsidR="0040258B" w:rsidRPr="00EC0229">
        <w:t>Burials at 1–9 Micklegate, 7-17 Spurriergate, 16–22 Coppergate and near St Helen’s church</w:t>
      </w:r>
      <w:r w:rsidR="0040258B" w:rsidRPr="00EC0229">
        <w:fldChar w:fldCharType="begin"/>
      </w:r>
      <w:r w:rsidR="0040258B" w:rsidRPr="00EC0229">
        <w:instrText xml:space="preserve"> XE "</w:instrText>
      </w:r>
      <w:r w:rsidR="0040258B" w:rsidRPr="00EC0229">
        <w:rPr>
          <w:rFonts w:cs="Times New Roman"/>
          <w:szCs w:val="24"/>
        </w:rPr>
        <w:instrText>church</w:instrText>
      </w:r>
      <w:r w:rsidR="0040258B" w:rsidRPr="00EC0229">
        <w:instrText xml:space="preserve">" </w:instrText>
      </w:r>
      <w:r w:rsidR="0040258B" w:rsidRPr="00EC0229">
        <w:fldChar w:fldCharType="end"/>
      </w:r>
      <w:r w:rsidR="0040258B" w:rsidRPr="00EC0229">
        <w:t xml:space="preserve"> provide further evidence of Anglian</w:t>
      </w:r>
      <w:r w:rsidR="0040258B" w:rsidRPr="00EC0229">
        <w:fldChar w:fldCharType="begin"/>
      </w:r>
      <w:r w:rsidR="0040258B" w:rsidRPr="00EC0229">
        <w:instrText xml:space="preserve"> XE "Anglian" </w:instrText>
      </w:r>
      <w:r w:rsidR="0040258B" w:rsidRPr="00EC0229">
        <w:fldChar w:fldCharType="end"/>
      </w:r>
      <w:r w:rsidR="0040258B" w:rsidRPr="00EC0229">
        <w:t xml:space="preserve"> activity </w:t>
      </w:r>
      <w:r w:rsidR="0040258B" w:rsidRPr="00EC0229">
        <w:rPr>
          <w:szCs w:val="24"/>
        </w:rPr>
        <w:t>(</w:t>
      </w:r>
      <w:r w:rsidR="0040258B" w:rsidRPr="00EC0229">
        <w:rPr>
          <w:szCs w:val="24"/>
        </w:rPr>
        <w:fldChar w:fldCharType="begin"/>
      </w:r>
      <w:r w:rsidR="0040258B" w:rsidRPr="00EC0229">
        <w:rPr>
          <w:szCs w:val="24"/>
        </w:rPr>
        <w:instrText xml:space="preserve"> REF _Ref430247851 \h  \* MERGEFORMAT </w:instrText>
      </w:r>
      <w:r w:rsidR="0040258B" w:rsidRPr="00EC0229">
        <w:rPr>
          <w:szCs w:val="24"/>
        </w:rPr>
      </w:r>
      <w:r w:rsidR="0040258B"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68</w:t>
      </w:r>
      <w:r w:rsidR="0040258B" w:rsidRPr="00EC0229">
        <w:rPr>
          <w:szCs w:val="24"/>
        </w:rPr>
        <w:fldChar w:fldCharType="end"/>
      </w:r>
      <w:r w:rsidR="0040258B" w:rsidRPr="00EC0229">
        <w:t xml:space="preserve">, </w:t>
      </w:r>
      <w:r w:rsidR="0040258B" w:rsidRPr="00EC0229">
        <w:fldChar w:fldCharType="begin"/>
      </w:r>
      <w:r w:rsidR="0040258B" w:rsidRPr="00EC0229">
        <w:instrText xml:space="preserve"> REF _Ref430247858 \h  \* MERGEFORMAT </w:instrText>
      </w:r>
      <w:r w:rsidR="0040258B" w:rsidRPr="00EC0229">
        <w:fldChar w:fldCharType="separate"/>
      </w:r>
      <w:r w:rsidR="0012026B" w:rsidRPr="0012026B">
        <w:rPr>
          <w:i/>
          <w:szCs w:val="24"/>
        </w:rPr>
        <w:t>Figure</w:t>
      </w:r>
      <w:r w:rsidR="0012026B" w:rsidRPr="00EC0229">
        <w:rPr>
          <w:sz w:val="20"/>
          <w:szCs w:val="20"/>
        </w:rPr>
        <w:t xml:space="preserve"> </w:t>
      </w:r>
      <w:r w:rsidR="0012026B" w:rsidRPr="0012026B">
        <w:rPr>
          <w:noProof/>
          <w:szCs w:val="24"/>
        </w:rPr>
        <w:t>69</w:t>
      </w:r>
      <w:r w:rsidR="0040258B" w:rsidRPr="00EC0229">
        <w:fldChar w:fldCharType="end"/>
      </w:r>
      <w:r w:rsidR="0040258B" w:rsidRPr="00EC0229">
        <w:t>).</w:t>
      </w:r>
      <w:r w:rsidR="0040258B" w:rsidRPr="00EC0229">
        <w:rPr>
          <w:rStyle w:val="FootnoteReference"/>
        </w:rPr>
        <w:t xml:space="preserve"> </w:t>
      </w:r>
      <w:r w:rsidR="0040258B" w:rsidRPr="00EC0229">
        <w:rPr>
          <w:rStyle w:val="FootnoteReference"/>
        </w:rPr>
        <w:footnoteReference w:id="864"/>
      </w:r>
    </w:p>
    <w:p w14:paraId="70A7A7C5" w14:textId="77777777" w:rsidR="00BD53D4" w:rsidRPr="00EC0229" w:rsidRDefault="00BD53D4" w:rsidP="007600EA">
      <w:pPr>
        <w:pStyle w:val="NoSpacing"/>
        <w:spacing w:line="360" w:lineRule="auto"/>
        <w:jc w:val="center"/>
        <w:rPr>
          <w:szCs w:val="24"/>
        </w:rPr>
      </w:pPr>
      <w:r w:rsidRPr="00EC0229">
        <w:rPr>
          <w:noProof/>
          <w:szCs w:val="24"/>
          <w:lang w:eastAsia="en-GB"/>
        </w:rPr>
        <w:lastRenderedPageBreak/>
        <w:drawing>
          <wp:inline distT="0" distB="0" distL="0" distR="0" wp14:anchorId="34222F7F" wp14:editId="1E84F295">
            <wp:extent cx="2882837" cy="253599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eworth urn.jpg"/>
                    <pic:cNvPicPr/>
                  </pic:nvPicPr>
                  <pic:blipFill>
                    <a:blip r:embed="rId236">
                      <a:extLst>
                        <a:ext uri="{28A0092B-C50C-407E-A947-70E740481C1C}">
                          <a14:useLocalDpi xmlns:a14="http://schemas.microsoft.com/office/drawing/2010/main" val="0"/>
                        </a:ext>
                      </a:extLst>
                    </a:blip>
                    <a:stretch>
                      <a:fillRect/>
                    </a:stretch>
                  </pic:blipFill>
                  <pic:spPr>
                    <a:xfrm>
                      <a:off x="0" y="0"/>
                      <a:ext cx="2882837" cy="2535996"/>
                    </a:xfrm>
                    <a:prstGeom prst="rect">
                      <a:avLst/>
                    </a:prstGeom>
                  </pic:spPr>
                </pic:pic>
              </a:graphicData>
            </a:graphic>
          </wp:inline>
        </w:drawing>
      </w:r>
    </w:p>
    <w:p w14:paraId="6ADC1AD0" w14:textId="68A2C036" w:rsidR="00BD53D4" w:rsidRPr="00EC0229" w:rsidRDefault="002A206F" w:rsidP="007600EA">
      <w:pPr>
        <w:pStyle w:val="NoSpacing"/>
        <w:spacing w:line="360" w:lineRule="auto"/>
        <w:jc w:val="center"/>
        <w:rPr>
          <w:sz w:val="20"/>
          <w:szCs w:val="20"/>
        </w:rPr>
      </w:pPr>
      <w:bookmarkStart w:id="530" w:name="_Ref430246903"/>
      <w:bookmarkStart w:id="531" w:name="_Toc468267039"/>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67</w:t>
      </w:r>
      <w:r w:rsidRPr="00EC0229">
        <w:rPr>
          <w:sz w:val="20"/>
          <w:szCs w:val="20"/>
        </w:rPr>
        <w:fldChar w:fldCharType="end"/>
      </w:r>
      <w:bookmarkEnd w:id="530"/>
      <w:r w:rsidR="00693AB7" w:rsidRPr="00EC0229">
        <w:rPr>
          <w:sz w:val="20"/>
          <w:szCs w:val="20"/>
        </w:rPr>
        <w:t xml:space="preserve">: </w:t>
      </w:r>
      <w:r w:rsidR="00BD53D4" w:rsidRPr="00EC0229">
        <w:rPr>
          <w:sz w:val="20"/>
          <w:szCs w:val="20"/>
        </w:rPr>
        <w:t>The Heworth Urn</w:t>
      </w:r>
      <w:r w:rsidR="00BD53D4" w:rsidRPr="00EC0229">
        <w:rPr>
          <w:rStyle w:val="FootnoteReference"/>
          <w:sz w:val="20"/>
          <w:szCs w:val="20"/>
        </w:rPr>
        <w:footnoteReference w:id="865"/>
      </w:r>
      <w:bookmarkEnd w:id="531"/>
    </w:p>
    <w:p w14:paraId="78FFBDC2" w14:textId="77777777" w:rsidR="001124AF" w:rsidRPr="00EC0229" w:rsidRDefault="001124AF" w:rsidP="007600EA">
      <w:pPr>
        <w:pStyle w:val="NoSpacing"/>
        <w:spacing w:line="360" w:lineRule="auto"/>
        <w:jc w:val="center"/>
        <w:rPr>
          <w:sz w:val="20"/>
          <w:szCs w:val="20"/>
        </w:rPr>
      </w:pPr>
    </w:p>
    <w:p w14:paraId="18FD8D49" w14:textId="1824B630" w:rsidR="00BD53D4" w:rsidRPr="00EC0229" w:rsidRDefault="00BD53D4" w:rsidP="007600EA">
      <w:pPr>
        <w:pStyle w:val="NoSpacing"/>
        <w:spacing w:line="360" w:lineRule="auto"/>
        <w:rPr>
          <w:rFonts w:cs="Times New Roman"/>
          <w:szCs w:val="24"/>
        </w:rPr>
      </w:pPr>
      <w:r w:rsidRPr="00EC0229">
        <w:t>Two kilometres south-east of the centre, the cemetery at Lamel Hill, on the moraine from Heslington Hill towards Fishergate</w:t>
      </w:r>
      <w:r w:rsidR="006B1593" w:rsidRPr="00EC0229">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fldChar w:fldCharType="end"/>
      </w:r>
      <w:r w:rsidRPr="00EC0229">
        <w:t xml:space="preserve">, revealed seventy, probably Christian, burials, though there appears not to be an associated church. At nearby Bellevue House on Heslington Road, YAT excavations </w:t>
      </w:r>
      <w:r w:rsidRPr="00EC0229">
        <w:rPr>
          <w:szCs w:val="24"/>
        </w:rPr>
        <w:t xml:space="preserve">exposed a further fifty burials carbon-dated </w:t>
      </w:r>
      <w:r w:rsidR="00C44B02">
        <w:rPr>
          <w:rFonts w:cs="Times New Roman"/>
          <w:szCs w:val="24"/>
        </w:rPr>
        <w:t xml:space="preserve">to the late seventh or eighth </w:t>
      </w:r>
      <w:r w:rsidRPr="00EC0229">
        <w:rPr>
          <w:rFonts w:cs="Times New Roman"/>
          <w:szCs w:val="24"/>
        </w:rPr>
        <w:t>centuries.</w:t>
      </w:r>
      <w:r w:rsidRPr="00EC0229">
        <w:rPr>
          <w:rStyle w:val="FootnoteReference"/>
          <w:rFonts w:cs="Times New Roman"/>
          <w:szCs w:val="24"/>
        </w:rPr>
        <w:footnoteReference w:id="866"/>
      </w:r>
    </w:p>
    <w:p w14:paraId="5221D667" w14:textId="77777777" w:rsidR="00BD53D4" w:rsidRPr="00EC0229" w:rsidRDefault="00BD53D4" w:rsidP="007600EA">
      <w:pPr>
        <w:pStyle w:val="NoSpacing"/>
        <w:spacing w:line="360" w:lineRule="auto"/>
        <w:rPr>
          <w:sz w:val="20"/>
          <w:szCs w:val="20"/>
        </w:rPr>
      </w:pPr>
      <w:r w:rsidRPr="00EC0229">
        <w:rPr>
          <w:noProof/>
          <w:szCs w:val="24"/>
          <w:lang w:eastAsia="en-GB"/>
        </w:rPr>
        <w:drawing>
          <wp:anchor distT="0" distB="0" distL="114300" distR="114300" simplePos="0" relativeHeight="251663360" behindDoc="1" locked="0" layoutInCell="1" allowOverlap="1" wp14:anchorId="6D5AF0A1" wp14:editId="54CE3AA9">
            <wp:simplePos x="0" y="0"/>
            <wp:positionH relativeFrom="column">
              <wp:posOffset>137160</wp:posOffset>
            </wp:positionH>
            <wp:positionV relativeFrom="paragraph">
              <wp:posOffset>167640</wp:posOffset>
            </wp:positionV>
            <wp:extent cx="2044700" cy="1840230"/>
            <wp:effectExtent l="0" t="0" r="0" b="7620"/>
            <wp:wrapTight wrapText="bothSides">
              <wp:wrapPolygon edited="0">
                <wp:start x="0" y="0"/>
                <wp:lineTo x="0" y="21466"/>
                <wp:lineTo x="21332" y="21466"/>
                <wp:lineTo x="21332"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rmside bowl BM.JPG"/>
                    <pic:cNvPicPr/>
                  </pic:nvPicPr>
                  <pic:blipFill>
                    <a:blip r:embed="rId237">
                      <a:extLst>
                        <a:ext uri="{28A0092B-C50C-407E-A947-70E740481C1C}">
                          <a14:useLocalDpi xmlns:a14="http://schemas.microsoft.com/office/drawing/2010/main" val="0"/>
                        </a:ext>
                      </a:extLst>
                    </a:blip>
                    <a:stretch>
                      <a:fillRect/>
                    </a:stretch>
                  </pic:blipFill>
                  <pic:spPr>
                    <a:xfrm>
                      <a:off x="0" y="0"/>
                      <a:ext cx="2044700" cy="1840230"/>
                    </a:xfrm>
                    <a:prstGeom prst="rect">
                      <a:avLst/>
                    </a:prstGeom>
                  </pic:spPr>
                </pic:pic>
              </a:graphicData>
            </a:graphic>
            <wp14:sizeRelH relativeFrom="page">
              <wp14:pctWidth>0</wp14:pctWidth>
            </wp14:sizeRelH>
            <wp14:sizeRelV relativeFrom="page">
              <wp14:pctHeight>0</wp14:pctHeight>
            </wp14:sizeRelV>
          </wp:anchor>
        </w:drawing>
      </w:r>
    </w:p>
    <w:p w14:paraId="44723B34" w14:textId="43E25A76" w:rsidR="00BD53D4" w:rsidRPr="00EC0229" w:rsidRDefault="002A206F" w:rsidP="007600EA">
      <w:pPr>
        <w:pStyle w:val="NoSpacing"/>
        <w:spacing w:line="360" w:lineRule="auto"/>
        <w:rPr>
          <w:sz w:val="20"/>
          <w:szCs w:val="20"/>
        </w:rPr>
      </w:pPr>
      <w:bookmarkStart w:id="532" w:name="_Ref430247851"/>
      <w:bookmarkStart w:id="533" w:name="_Toc46826704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68</w:t>
      </w:r>
      <w:r w:rsidRPr="00EC0229">
        <w:rPr>
          <w:sz w:val="20"/>
          <w:szCs w:val="20"/>
        </w:rPr>
        <w:fldChar w:fldCharType="end"/>
      </w:r>
      <w:bookmarkEnd w:id="532"/>
      <w:r w:rsidR="00693AB7" w:rsidRPr="00EC0229">
        <w:rPr>
          <w:sz w:val="20"/>
          <w:szCs w:val="20"/>
        </w:rPr>
        <w:t>:</w:t>
      </w:r>
      <w:r w:rsidR="00BD53D4" w:rsidRPr="00EC0229">
        <w:rPr>
          <w:sz w:val="20"/>
          <w:szCs w:val="20"/>
        </w:rPr>
        <w:t xml:space="preserve"> The Ormside bowl found in 1823 near a Viking</w:t>
      </w:r>
      <w:bookmarkEnd w:id="533"/>
      <w:r w:rsidR="00F204A1" w:rsidRPr="00EC0229">
        <w:rPr>
          <w:sz w:val="20"/>
          <w:szCs w:val="20"/>
        </w:rPr>
        <w:fldChar w:fldCharType="begin"/>
      </w:r>
      <w:r w:rsidR="00F204A1" w:rsidRPr="00EC0229">
        <w:rPr>
          <w:sz w:val="20"/>
          <w:szCs w:val="20"/>
        </w:rPr>
        <w:instrText xml:space="preserve"> XE "</w:instrText>
      </w:r>
      <w:r w:rsidR="00F204A1" w:rsidRPr="00EC0229">
        <w:rPr>
          <w:rStyle w:val="Hyperlink"/>
          <w:noProof/>
          <w:sz w:val="20"/>
          <w:szCs w:val="20"/>
          <w:u w:val="none"/>
        </w:rPr>
        <w:instrText>Viking</w:instrText>
      </w:r>
      <w:r w:rsidR="00F204A1" w:rsidRPr="00EC0229">
        <w:rPr>
          <w:sz w:val="20"/>
          <w:szCs w:val="20"/>
        </w:rPr>
        <w:instrText xml:space="preserve">" </w:instrText>
      </w:r>
      <w:r w:rsidR="00F204A1" w:rsidRPr="00EC0229">
        <w:rPr>
          <w:sz w:val="20"/>
          <w:szCs w:val="20"/>
        </w:rPr>
        <w:fldChar w:fldCharType="end"/>
      </w:r>
    </w:p>
    <w:p w14:paraId="2B6E8DE6" w14:textId="28D5F74C" w:rsidR="00565E13" w:rsidRPr="00EC0229" w:rsidRDefault="00BD53D4" w:rsidP="007600EA">
      <w:pPr>
        <w:pStyle w:val="NoSpacing"/>
        <w:spacing w:line="360" w:lineRule="auto"/>
        <w:rPr>
          <w:sz w:val="20"/>
          <w:szCs w:val="20"/>
        </w:rPr>
      </w:pPr>
      <w:r w:rsidRPr="00EC0229">
        <w:rPr>
          <w:sz w:val="20"/>
          <w:szCs w:val="20"/>
        </w:rPr>
        <w:t>warrior grave and presumed to have been looted from York</w:t>
      </w:r>
      <w:r w:rsidR="006B1593" w:rsidRPr="00EC0229">
        <w:rPr>
          <w:sz w:val="20"/>
          <w:szCs w:val="20"/>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 w:val="20"/>
          <w:szCs w:val="20"/>
        </w:rPr>
        <w:fldChar w:fldCharType="end"/>
      </w:r>
      <w:r w:rsidRPr="00EC0229">
        <w:rPr>
          <w:sz w:val="20"/>
          <w:szCs w:val="20"/>
        </w:rPr>
        <w:t>.</w:t>
      </w:r>
    </w:p>
    <w:p w14:paraId="69DF5164" w14:textId="77777777" w:rsidR="00565E13" w:rsidRPr="00EC0229" w:rsidRDefault="00565E13" w:rsidP="007600EA">
      <w:pPr>
        <w:pStyle w:val="NoSpacing"/>
        <w:spacing w:line="360" w:lineRule="auto"/>
        <w:rPr>
          <w:sz w:val="20"/>
          <w:szCs w:val="20"/>
        </w:rPr>
      </w:pPr>
    </w:p>
    <w:p w14:paraId="37425407" w14:textId="77777777" w:rsidR="00565E13" w:rsidRPr="00EC0229" w:rsidRDefault="00565E13" w:rsidP="007600EA">
      <w:pPr>
        <w:pStyle w:val="NoSpacing"/>
        <w:spacing w:line="360" w:lineRule="auto"/>
        <w:rPr>
          <w:sz w:val="20"/>
          <w:szCs w:val="20"/>
        </w:rPr>
      </w:pPr>
    </w:p>
    <w:p w14:paraId="337CD6A8" w14:textId="77777777" w:rsidR="000510D7" w:rsidRPr="00EC0229" w:rsidRDefault="000510D7" w:rsidP="007600EA">
      <w:pPr>
        <w:pStyle w:val="NoSpacing"/>
        <w:spacing w:line="360" w:lineRule="auto"/>
        <w:rPr>
          <w:sz w:val="20"/>
          <w:szCs w:val="20"/>
        </w:rPr>
      </w:pPr>
    </w:p>
    <w:p w14:paraId="5D20F97A" w14:textId="77777777" w:rsidR="000510D7" w:rsidRPr="00EC0229" w:rsidRDefault="000510D7" w:rsidP="007600EA">
      <w:pPr>
        <w:pStyle w:val="NoSpacing"/>
        <w:spacing w:line="360" w:lineRule="auto"/>
        <w:rPr>
          <w:sz w:val="20"/>
          <w:szCs w:val="20"/>
        </w:rPr>
      </w:pPr>
    </w:p>
    <w:p w14:paraId="069E5D33" w14:textId="77777777" w:rsidR="00565E13" w:rsidRPr="00EC0229" w:rsidRDefault="00565E13" w:rsidP="007600EA">
      <w:pPr>
        <w:pStyle w:val="NoSpacing"/>
        <w:spacing w:line="360" w:lineRule="auto"/>
        <w:rPr>
          <w:sz w:val="20"/>
          <w:szCs w:val="20"/>
        </w:rPr>
      </w:pPr>
    </w:p>
    <w:p w14:paraId="19A76576" w14:textId="4B467ABC" w:rsidR="00BD53D4" w:rsidRPr="00EC0229" w:rsidRDefault="00565E13" w:rsidP="007600EA">
      <w:pPr>
        <w:pStyle w:val="NoSpacing"/>
        <w:spacing w:line="360" w:lineRule="auto"/>
        <w:jc w:val="right"/>
        <w:rPr>
          <w:sz w:val="20"/>
          <w:szCs w:val="20"/>
        </w:rPr>
      </w:pPr>
      <w:r w:rsidRPr="00EC0229">
        <w:rPr>
          <w:noProof/>
          <w:sz w:val="20"/>
          <w:szCs w:val="20"/>
          <w:lang w:eastAsia="en-GB"/>
        </w:rPr>
        <w:drawing>
          <wp:inline distT="0" distB="0" distL="0" distR="0" wp14:anchorId="10B0D6D4" wp14:editId="6B2E3BF5">
            <wp:extent cx="2509520" cy="1394178"/>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York - The Mount - glass bowl.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532009" cy="1406672"/>
                    </a:xfrm>
                    <a:prstGeom prst="rect">
                      <a:avLst/>
                    </a:prstGeom>
                  </pic:spPr>
                </pic:pic>
              </a:graphicData>
            </a:graphic>
          </wp:inline>
        </w:drawing>
      </w:r>
    </w:p>
    <w:p w14:paraId="7575A10F" w14:textId="215936E1" w:rsidR="00565E13" w:rsidRPr="00EC0229" w:rsidRDefault="00E80E91" w:rsidP="007600EA">
      <w:pPr>
        <w:pStyle w:val="NoSpacing"/>
        <w:spacing w:line="360" w:lineRule="auto"/>
        <w:jc w:val="right"/>
        <w:rPr>
          <w:sz w:val="20"/>
          <w:szCs w:val="20"/>
        </w:rPr>
      </w:pPr>
      <w:r w:rsidRPr="00EC0229">
        <w:rPr>
          <w:sz w:val="20"/>
          <w:szCs w:val="20"/>
        </w:rPr>
        <w:t xml:space="preserve">     </w:t>
      </w:r>
      <w:bookmarkStart w:id="534" w:name="_Ref430247858"/>
      <w:bookmarkStart w:id="535" w:name="_Toc46826704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69</w:t>
      </w:r>
      <w:r w:rsidRPr="00EC0229">
        <w:rPr>
          <w:sz w:val="20"/>
          <w:szCs w:val="20"/>
        </w:rPr>
        <w:fldChar w:fldCharType="end"/>
      </w:r>
      <w:bookmarkEnd w:id="534"/>
      <w:r w:rsidRPr="00EC0229">
        <w:rPr>
          <w:sz w:val="20"/>
          <w:szCs w:val="20"/>
        </w:rPr>
        <w:t>: C5th-6</w:t>
      </w:r>
      <w:r w:rsidRPr="00EC0229">
        <w:rPr>
          <w:sz w:val="20"/>
          <w:szCs w:val="20"/>
          <w:vertAlign w:val="superscript"/>
        </w:rPr>
        <w:t>th</w:t>
      </w:r>
      <w:r w:rsidRPr="00EC0229">
        <w:rPr>
          <w:sz w:val="20"/>
          <w:szCs w:val="20"/>
        </w:rPr>
        <w:t xml:space="preserve"> glass bowl, The Mount</w:t>
      </w:r>
      <w:bookmarkEnd w:id="535"/>
    </w:p>
    <w:p w14:paraId="45EC2D91" w14:textId="3CB0BBD4" w:rsidR="00BD53D4" w:rsidRPr="00EC0229" w:rsidRDefault="00E80E91" w:rsidP="007600EA">
      <w:pPr>
        <w:pStyle w:val="NoSpacing"/>
        <w:spacing w:line="360" w:lineRule="auto"/>
        <w:jc w:val="right"/>
        <w:rPr>
          <w:sz w:val="20"/>
          <w:szCs w:val="20"/>
        </w:rPr>
      </w:pPr>
      <w:r w:rsidRPr="00EC0229">
        <w:rPr>
          <w:sz w:val="20"/>
          <w:szCs w:val="20"/>
        </w:rPr>
        <w:t>(Courtesy YMT 1992.203)</w:t>
      </w:r>
    </w:p>
    <w:p w14:paraId="59DE5918" w14:textId="77777777" w:rsidR="00565E13" w:rsidRPr="00EC0229" w:rsidRDefault="00565E13" w:rsidP="007600EA">
      <w:pPr>
        <w:pStyle w:val="NoSpacing"/>
        <w:spacing w:line="360" w:lineRule="auto"/>
        <w:rPr>
          <w:rFonts w:cs="Times New Roman"/>
          <w:szCs w:val="24"/>
        </w:rPr>
      </w:pPr>
    </w:p>
    <w:p w14:paraId="109CFB61" w14:textId="73E4B3FE" w:rsidR="00BD53D4" w:rsidRPr="00EC0229" w:rsidRDefault="00BD53D4" w:rsidP="007600EA">
      <w:pPr>
        <w:pStyle w:val="NoSpacing"/>
        <w:spacing w:line="360" w:lineRule="auto"/>
        <w:rPr>
          <w:szCs w:val="24"/>
        </w:rPr>
      </w:pPr>
      <w:r w:rsidRPr="00EC0229">
        <w:rPr>
          <w:szCs w:val="24"/>
        </w:rPr>
        <w:lastRenderedPageBreak/>
        <w:t>Hall argued that the several hundred hand-made fragments of pottery at Coppergate evince a ‘tradition of ceramic production’ pre-dating the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xml:space="preserve"> period.</w:t>
      </w:r>
      <w:r w:rsidRPr="00EC0229">
        <w:rPr>
          <w:rStyle w:val="FootnoteReference"/>
          <w:szCs w:val="24"/>
        </w:rPr>
        <w:footnoteReference w:id="867"/>
      </w:r>
      <w:r w:rsidRPr="00EC0229">
        <w:rPr>
          <w:szCs w:val="24"/>
        </w:rPr>
        <w:t xml:space="preserve"> </w:t>
      </w:r>
      <w:r w:rsidR="00224345" w:rsidRPr="00EC0229">
        <w:rPr>
          <w:szCs w:val="24"/>
        </w:rPr>
        <w:t>This</w:t>
      </w:r>
      <w:r w:rsidRPr="00EC0229">
        <w:rPr>
          <w:szCs w:val="24"/>
        </w:rPr>
        <w:t xml:space="preserve"> logic, that the relative sophistication of Coppergate did not spring fully-fledged from nowhere, implies pre-exist</w:t>
      </w:r>
      <w:r w:rsidR="00514888" w:rsidRPr="00EC0229">
        <w:rPr>
          <w:szCs w:val="24"/>
        </w:rPr>
        <w:t>ing activity awaiting discovery. T</w:t>
      </w:r>
      <w:r w:rsidRPr="00EC0229">
        <w:rPr>
          <w:szCs w:val="24"/>
        </w:rPr>
        <w:t>hough the Minster</w:t>
      </w:r>
      <w:r w:rsidR="006B1593" w:rsidRPr="00EC0229">
        <w:rPr>
          <w:szCs w:val="24"/>
        </w:rPr>
        <w:fldChar w:fldCharType="begin"/>
      </w:r>
      <w:r w:rsidR="006B1593" w:rsidRPr="00EC0229">
        <w:instrText xml:space="preserve"> XE "</w:instrText>
      </w:r>
      <w:r w:rsidR="006B1593" w:rsidRPr="00EC0229">
        <w:rPr>
          <w:rStyle w:val="Hyperlink"/>
          <w:noProof/>
          <w:u w:val="none"/>
        </w:rPr>
        <w:instrText>York Minster</w:instrText>
      </w:r>
      <w:r w:rsidR="006B1593" w:rsidRPr="00EC0229">
        <w:instrText xml:space="preserve">" </w:instrText>
      </w:r>
      <w:r w:rsidR="006B1593" w:rsidRPr="00EC0229">
        <w:rPr>
          <w:szCs w:val="24"/>
        </w:rPr>
        <w:fldChar w:fldCharType="end"/>
      </w:r>
      <w:r w:rsidRPr="00EC0229">
        <w:rPr>
          <w:szCs w:val="24"/>
        </w:rPr>
        <w:t xml:space="preserve"> and St. Mary Bishophill demonstrate that the degree of continuity from sub-Roman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 xml:space="preserve"> times is speculative, it is more certain that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’s growing ecclesiastical wealth was built on commercial success: ‘Alcuin</w:t>
      </w:r>
      <w:r w:rsidR="004C29A9" w:rsidRPr="00EC0229">
        <w:rPr>
          <w:szCs w:val="24"/>
        </w:rPr>
        <w:fldChar w:fldCharType="begin"/>
      </w:r>
      <w:r w:rsidR="004C29A9" w:rsidRPr="00EC0229">
        <w:instrText xml:space="preserve"> XE "</w:instrText>
      </w:r>
      <w:r w:rsidR="004C29A9" w:rsidRPr="00EC0229">
        <w:rPr>
          <w:rFonts w:cs="Times New Roman"/>
          <w:szCs w:val="24"/>
        </w:rPr>
        <w:instrText>Alcuin</w:instrText>
      </w:r>
      <w:r w:rsidR="004C29A9" w:rsidRPr="00EC0229">
        <w:instrText xml:space="preserve">" </w:instrText>
      </w:r>
      <w:r w:rsidR="004C29A9" w:rsidRPr="00EC0229">
        <w:rPr>
          <w:szCs w:val="24"/>
        </w:rPr>
        <w:fldChar w:fldCharType="end"/>
      </w:r>
      <w:r w:rsidRPr="00EC0229">
        <w:rPr>
          <w:szCs w:val="24"/>
        </w:rPr>
        <w:t xml:space="preserve"> (adopting Bede</w:t>
      </w:r>
      <w:r w:rsidR="00F66CEB" w:rsidRPr="00EC0229">
        <w:rPr>
          <w:szCs w:val="24"/>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szCs w:val="24"/>
        </w:rPr>
        <w:fldChar w:fldCharType="end"/>
      </w:r>
      <w:r w:rsidRPr="00EC0229">
        <w:rPr>
          <w:szCs w:val="24"/>
        </w:rPr>
        <w:t>’s description of London) called York an emporium – “a general seat of commerce by land and sea alike.” ’</w:t>
      </w:r>
      <w:r w:rsidRPr="00EC0229">
        <w:rPr>
          <w:rStyle w:val="FootnoteReference"/>
          <w:szCs w:val="24"/>
        </w:rPr>
        <w:footnoteReference w:id="868"/>
      </w:r>
    </w:p>
    <w:p w14:paraId="71647AB2" w14:textId="77777777" w:rsidR="00BD53D4" w:rsidRPr="00EC0229" w:rsidRDefault="00BD53D4" w:rsidP="007600EA">
      <w:pPr>
        <w:pStyle w:val="NoSpacing"/>
        <w:spacing w:line="360" w:lineRule="auto"/>
        <w:rPr>
          <w:szCs w:val="24"/>
        </w:rPr>
      </w:pPr>
    </w:p>
    <w:p w14:paraId="723C84BD" w14:textId="47F7265C" w:rsidR="00BD53D4" w:rsidRPr="00EC0229" w:rsidRDefault="00BD53D4" w:rsidP="007600EA">
      <w:pPr>
        <w:pStyle w:val="NoSpacing"/>
        <w:spacing w:line="360" w:lineRule="auto"/>
        <w:rPr>
          <w:szCs w:val="24"/>
        </w:rPr>
      </w:pPr>
      <w:bookmarkStart w:id="536" w:name="Rollason"/>
      <w:bookmarkStart w:id="537" w:name="siteshiftHHFG"/>
      <w:bookmarkEnd w:id="536"/>
      <w:bookmarkEnd w:id="537"/>
      <w:r w:rsidRPr="00EC0229">
        <w:rPr>
          <w:szCs w:val="24"/>
        </w:rPr>
        <w:t>In a recent study, Spall and Toop have described 2001-2 excavations at Heslington Hill and Fishergate</w:t>
      </w:r>
      <w:r w:rsidR="006B1593" w:rsidRPr="00EC0229">
        <w:rPr>
          <w:szCs w:val="24"/>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szCs w:val="24"/>
        </w:rPr>
        <w:fldChar w:fldCharType="end"/>
      </w:r>
      <w:r w:rsidRPr="00EC0229">
        <w:rPr>
          <w:szCs w:val="24"/>
        </w:rPr>
        <w:t xml:space="preserve"> with reference to ‘the elusive transition between the 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 xml:space="preserve"> and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xml:space="preserve"> city.’</w:t>
      </w:r>
      <w:bookmarkStart w:id="538" w:name="_Ref467662522"/>
      <w:r w:rsidRPr="00EC0229">
        <w:rPr>
          <w:rStyle w:val="FootnoteReference"/>
          <w:szCs w:val="24"/>
        </w:rPr>
        <w:footnoteReference w:id="869"/>
      </w:r>
      <w:bookmarkEnd w:id="538"/>
      <w:r w:rsidRPr="00EC0229">
        <w:rPr>
          <w:szCs w:val="24"/>
        </w:rPr>
        <w:t xml:space="preserve">  Both local and non-local ceramics</w:t>
      </w:r>
      <w:r w:rsidR="008960AE" w:rsidRPr="00EC0229">
        <w:rPr>
          <w:szCs w:val="24"/>
        </w:rPr>
        <w:fldChar w:fldCharType="begin"/>
      </w:r>
      <w:r w:rsidR="008960AE" w:rsidRPr="00EC0229">
        <w:instrText xml:space="preserve"> XE "</w:instrText>
      </w:r>
      <w:r w:rsidR="008960AE" w:rsidRPr="00EC0229">
        <w:rPr>
          <w:szCs w:val="24"/>
        </w:rPr>
        <w:instrText>ceramics</w:instrText>
      </w:r>
      <w:r w:rsidR="008960AE" w:rsidRPr="00EC0229">
        <w:instrText xml:space="preserve">" </w:instrText>
      </w:r>
      <w:r w:rsidR="008960AE" w:rsidRPr="00EC0229">
        <w:rPr>
          <w:szCs w:val="24"/>
        </w:rPr>
        <w:fldChar w:fldCharType="end"/>
      </w:r>
      <w:r w:rsidRPr="00EC0229">
        <w:rPr>
          <w:szCs w:val="24"/>
        </w:rPr>
        <w:t xml:space="preserve"> at these two sites, dating to </w:t>
      </w:r>
      <w:r w:rsidRPr="00EC0229">
        <w:rPr>
          <w:i/>
        </w:rPr>
        <w:t>c.</w:t>
      </w:r>
      <w:r w:rsidRPr="00EC0229">
        <w:t>550–650,</w:t>
      </w:r>
      <w:r w:rsidRPr="00EC0229">
        <w:rPr>
          <w:szCs w:val="24"/>
        </w:rPr>
        <w:t xml:space="preserve"> are similar in character which seems a sufficiently strong link for the authors to </w:t>
      </w:r>
      <w:r w:rsidR="00261903" w:rsidRPr="00EC0229">
        <w:rPr>
          <w:szCs w:val="24"/>
        </w:rPr>
        <w:t xml:space="preserve">have </w:t>
      </w:r>
      <w:r w:rsidRPr="00EC0229">
        <w:rPr>
          <w:szCs w:val="24"/>
        </w:rPr>
        <w:t>see</w:t>
      </w:r>
      <w:r w:rsidR="00261903" w:rsidRPr="00EC0229">
        <w:rPr>
          <w:szCs w:val="24"/>
        </w:rPr>
        <w:t>n</w:t>
      </w:r>
      <w:r w:rsidRPr="00EC0229">
        <w:rPr>
          <w:szCs w:val="24"/>
        </w:rPr>
        <w:t xml:space="preserve"> the abandonment of the former coincident with the expansion of the latter, less than two kilometres along the same gravel terrace, as part of a contemporary pattern of movement from upland settlements to more productive, lower-lying land</w:t>
      </w:r>
      <w:r w:rsidR="00261903" w:rsidRPr="00EC0229">
        <w:rPr>
          <w:szCs w:val="24"/>
        </w:rPr>
        <w:t xml:space="preserve"> (</w:t>
      </w:r>
      <w:r w:rsidR="00261903" w:rsidRPr="00EC0229">
        <w:rPr>
          <w:i/>
          <w:szCs w:val="24"/>
        </w:rPr>
        <w:t xml:space="preserve">Table </w:t>
      </w:r>
      <w:r w:rsidR="005755EC" w:rsidRPr="00EC0229">
        <w:rPr>
          <w:i/>
          <w:szCs w:val="24"/>
        </w:rPr>
        <w:t>7.08</w:t>
      </w:r>
      <w:r w:rsidR="00261903" w:rsidRPr="00EC0229">
        <w:rPr>
          <w:i/>
          <w:szCs w:val="24"/>
        </w:rPr>
        <w:t>,</w:t>
      </w:r>
      <w:r w:rsidR="00261903" w:rsidRPr="00EC0229">
        <w:rPr>
          <w:szCs w:val="24"/>
        </w:rPr>
        <w:t xml:space="preserve"> </w:t>
      </w:r>
      <w:r w:rsidR="00261903" w:rsidRPr="00EC0229">
        <w:rPr>
          <w:szCs w:val="24"/>
        </w:rPr>
        <w:fldChar w:fldCharType="begin"/>
      </w:r>
      <w:r w:rsidR="00261903" w:rsidRPr="00EC0229">
        <w:rPr>
          <w:szCs w:val="24"/>
        </w:rPr>
        <w:instrText xml:space="preserve"> PAGEREF siteshifts \h </w:instrText>
      </w:r>
      <w:r w:rsidR="00261903" w:rsidRPr="00EC0229">
        <w:rPr>
          <w:szCs w:val="24"/>
        </w:rPr>
      </w:r>
      <w:r w:rsidR="00261903" w:rsidRPr="00EC0229">
        <w:rPr>
          <w:szCs w:val="24"/>
        </w:rPr>
        <w:fldChar w:fldCharType="separate"/>
      </w:r>
      <w:r w:rsidR="0012026B">
        <w:rPr>
          <w:noProof/>
          <w:szCs w:val="24"/>
        </w:rPr>
        <w:t>218</w:t>
      </w:r>
      <w:r w:rsidR="00261903" w:rsidRPr="00EC0229">
        <w:rPr>
          <w:szCs w:val="24"/>
        </w:rPr>
        <w:fldChar w:fldCharType="end"/>
      </w:r>
      <w:r w:rsidR="00261903" w:rsidRPr="00EC0229">
        <w:rPr>
          <w:szCs w:val="24"/>
        </w:rPr>
        <w:t>)</w:t>
      </w:r>
      <w:r w:rsidRPr="00EC0229">
        <w:rPr>
          <w:szCs w:val="24"/>
        </w:rPr>
        <w:t>.</w:t>
      </w:r>
      <w:r w:rsidRPr="00EC0229">
        <w:rPr>
          <w:rStyle w:val="FootnoteReference"/>
          <w:szCs w:val="24"/>
        </w:rPr>
        <w:footnoteReference w:id="870"/>
      </w:r>
      <w:r w:rsidRPr="00EC0229">
        <w:rPr>
          <w:szCs w:val="24"/>
        </w:rPr>
        <w:t xml:space="preserve"> ‘The shift closer to the fortress reflects the general increase in investment and economic activity concomitant with the establishment of the major ecclesiastical centre.’</w:t>
      </w:r>
      <w:r w:rsidRPr="00EC0229">
        <w:rPr>
          <w:rStyle w:val="FootnoteReference"/>
          <w:szCs w:val="24"/>
        </w:rPr>
        <w:footnoteReference w:id="871"/>
      </w:r>
      <w:r w:rsidRPr="00EC0229">
        <w:rPr>
          <w:szCs w:val="24"/>
        </w:rPr>
        <w:t xml:space="preserve"> </w:t>
      </w:r>
    </w:p>
    <w:p w14:paraId="16BD4298" w14:textId="77777777" w:rsidR="00BD53D4" w:rsidRPr="00EC0229" w:rsidRDefault="00BD53D4" w:rsidP="007600EA">
      <w:pPr>
        <w:pStyle w:val="NoSpacing"/>
        <w:spacing w:line="360" w:lineRule="auto"/>
        <w:rPr>
          <w:szCs w:val="24"/>
        </w:rPr>
      </w:pPr>
    </w:p>
    <w:p w14:paraId="75B0857A" w14:textId="56019EE7" w:rsidR="00BD53D4" w:rsidRPr="00EC0229" w:rsidRDefault="00BD53D4" w:rsidP="007600EA">
      <w:pPr>
        <w:pStyle w:val="NoSpacing"/>
        <w:spacing w:line="360" w:lineRule="auto"/>
        <w:rPr>
          <w:szCs w:val="24"/>
        </w:rPr>
      </w:pPr>
      <w:r w:rsidRPr="00EC0229">
        <w:rPr>
          <w:szCs w:val="24"/>
        </w:rPr>
        <w:t>The spring-line to the east of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00AF4744">
        <w:rPr>
          <w:szCs w:val="24"/>
        </w:rPr>
        <w:t xml:space="preserve"> would have had </w:t>
      </w:r>
      <w:r w:rsidRPr="00EC0229">
        <w:rPr>
          <w:szCs w:val="24"/>
        </w:rPr>
        <w:t>significance for dwellers in the dry chalk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At Heslington East, i</w:t>
      </w:r>
      <w:r w:rsidR="00043AA4" w:rsidRPr="00EC0229">
        <w:rPr>
          <w:szCs w:val="24"/>
        </w:rPr>
        <w:t xml:space="preserve">n the second half of the fourth </w:t>
      </w:r>
      <w:r w:rsidRPr="00EC0229">
        <w:rPr>
          <w:szCs w:val="24"/>
        </w:rPr>
        <w:t>century, the monumentalisation of the 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 xml:space="preserve"> well, re-using masonry to access a subterranean source, signifies its importance for both functional and ritualistic purposes. Infill included </w:t>
      </w:r>
      <w:r w:rsidRPr="00EC0229">
        <w:t>ceramics</w:t>
      </w:r>
      <w:r w:rsidR="008960AE" w:rsidRPr="00EC0229">
        <w:fldChar w:fldCharType="begin"/>
      </w:r>
      <w:r w:rsidR="008960AE" w:rsidRPr="00EC0229">
        <w:instrText xml:space="preserve"> XE "</w:instrText>
      </w:r>
      <w:r w:rsidR="008960AE" w:rsidRPr="00EC0229">
        <w:rPr>
          <w:szCs w:val="24"/>
        </w:rPr>
        <w:instrText>ceramics</w:instrText>
      </w:r>
      <w:r w:rsidR="008960AE" w:rsidRPr="00EC0229">
        <w:instrText xml:space="preserve">" </w:instrText>
      </w:r>
      <w:r w:rsidR="008960AE" w:rsidRPr="00EC0229">
        <w:fldChar w:fldCharType="end"/>
      </w:r>
      <w:r w:rsidRPr="00EC0229">
        <w:t xml:space="preserve">, a discarded bucket, fauna </w:t>
      </w:r>
      <w:r w:rsidR="00862F15" w:rsidRPr="00EC0229">
        <w:t>and</w:t>
      </w:r>
      <w:r w:rsidRPr="00EC0229">
        <w:t xml:space="preserve"> flora, </w:t>
      </w:r>
      <w:r w:rsidRPr="00EC0229">
        <w:rPr>
          <w:i/>
        </w:rPr>
        <w:t>spolia</w:t>
      </w:r>
      <w:r w:rsidR="008960AE" w:rsidRPr="00EC0229">
        <w:rPr>
          <w:i/>
        </w:rPr>
        <w:fldChar w:fldCharType="begin"/>
      </w:r>
      <w:r w:rsidR="008960AE" w:rsidRPr="00EC0229">
        <w:instrText xml:space="preserve"> XE "</w:instrText>
      </w:r>
      <w:r w:rsidR="008960AE" w:rsidRPr="00EC0229">
        <w:rPr>
          <w:i/>
        </w:rPr>
        <w:instrText>spolia</w:instrText>
      </w:r>
      <w:r w:rsidR="008960AE" w:rsidRPr="00EC0229">
        <w:instrText xml:space="preserve">" </w:instrText>
      </w:r>
      <w:r w:rsidR="008960AE" w:rsidRPr="00EC0229">
        <w:rPr>
          <w:i/>
        </w:rPr>
        <w:fldChar w:fldCharType="end"/>
      </w:r>
      <w:r w:rsidRPr="00EC0229">
        <w:t xml:space="preserve"> (e.g. a finial) but mainly silt and stones.</w:t>
      </w:r>
      <w:r w:rsidRPr="00EC0229">
        <w:rPr>
          <w:rStyle w:val="FootnoteReference"/>
        </w:rPr>
        <w:footnoteReference w:id="872"/>
      </w:r>
      <w:r w:rsidRPr="00EC0229">
        <w:t xml:space="preserve"> Intentional contamination of a potable and revered water supply by butchered sacrifices (fill 2093), can be discounted early in the well’s life, unless a collapse of masonry had occurred and the well failed quickly.</w:t>
      </w:r>
      <w:r w:rsidR="003F6760" w:rsidRPr="00EC0229">
        <w:rPr>
          <w:rStyle w:val="FootnoteReference"/>
        </w:rPr>
        <w:footnoteReference w:id="873"/>
      </w:r>
    </w:p>
    <w:p w14:paraId="2ACA315A" w14:textId="77777777" w:rsidR="0040258B" w:rsidRPr="00EC0229" w:rsidRDefault="0040258B" w:rsidP="007600EA">
      <w:pPr>
        <w:pStyle w:val="NoSpacing"/>
        <w:spacing w:line="360" w:lineRule="auto"/>
        <w:rPr>
          <w:rFonts w:cs="Times New Roman"/>
          <w:szCs w:val="24"/>
        </w:rPr>
      </w:pPr>
    </w:p>
    <w:p w14:paraId="29D4178C" w14:textId="474A6548" w:rsidR="0040258B" w:rsidRPr="00EC0229" w:rsidRDefault="0040258B" w:rsidP="007600EA">
      <w:pPr>
        <w:pStyle w:val="NoSpacing"/>
        <w:spacing w:line="360" w:lineRule="auto"/>
        <w:rPr>
          <w:rFonts w:cs="Times New Roman"/>
          <w:szCs w:val="24"/>
        </w:rPr>
      </w:pPr>
      <w:r w:rsidRPr="00EC0229">
        <w:rPr>
          <w:rFonts w:cs="Times New Roman"/>
          <w:szCs w:val="24"/>
        </w:rPr>
        <w:lastRenderedPageBreak/>
        <w:t>Roman</w:t>
      </w:r>
      <w:r w:rsidRPr="00EC0229">
        <w:rPr>
          <w:rFonts w:cs="Times New Roman"/>
          <w:szCs w:val="24"/>
        </w:rPr>
        <w:fldChar w:fldCharType="begin"/>
      </w:r>
      <w:r w:rsidRPr="00EC0229">
        <w:instrText xml:space="preserve"> XE "Roman" </w:instrText>
      </w:r>
      <w:r w:rsidRPr="00EC0229">
        <w:rPr>
          <w:rFonts w:cs="Times New Roman"/>
          <w:szCs w:val="24"/>
        </w:rPr>
        <w:fldChar w:fldCharType="end"/>
      </w:r>
      <w:r w:rsidR="00D56B0A" w:rsidRPr="00EC0229">
        <w:rPr>
          <w:rFonts w:cs="Times New Roman"/>
          <w:szCs w:val="24"/>
        </w:rPr>
        <w:t xml:space="preserve"> buildings were</w:t>
      </w:r>
      <w:r w:rsidRPr="00EC0229">
        <w:rPr>
          <w:rFonts w:cs="Times New Roman"/>
          <w:szCs w:val="24"/>
        </w:rPr>
        <w:t xml:space="preserve"> ‘robbed out’ in the twelfth century so that the topography of Anglian</w:t>
      </w:r>
      <w:r w:rsidRPr="00EC0229">
        <w:rPr>
          <w:rFonts w:cs="Times New Roman"/>
          <w:szCs w:val="24"/>
        </w:rPr>
        <w:fldChar w:fldCharType="begin"/>
      </w:r>
      <w:r w:rsidRPr="00EC0229">
        <w:instrText xml:space="preserve"> XE "Anglian" </w:instrText>
      </w:r>
      <w:r w:rsidRPr="00EC0229">
        <w:rPr>
          <w:rFonts w:cs="Times New Roman"/>
          <w:szCs w:val="24"/>
        </w:rPr>
        <w:fldChar w:fldCharType="end"/>
      </w:r>
      <w:r w:rsidRPr="00EC0229">
        <w:rPr>
          <w:rFonts w:cs="Times New Roman"/>
          <w:szCs w:val="24"/>
        </w:rPr>
        <w:t xml:space="preserve"> York</w:t>
      </w:r>
      <w:r w:rsidRPr="00EC0229">
        <w:rPr>
          <w:rFonts w:cs="Times New Roman"/>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szCs w:val="24"/>
        </w:rPr>
        <w:fldChar w:fldCharType="end"/>
      </w:r>
      <w:r w:rsidRPr="00EC0229">
        <w:rPr>
          <w:rFonts w:cs="Times New Roman"/>
          <w:szCs w:val="24"/>
        </w:rPr>
        <w:t xml:space="preserve"> may well have appeared as Roman York, but in disrepair. The Roman infrastructure encompassed defences, civic and communal buildings, dwellings, bridges, streets, sewers, wharves and cemeteries. All were neglected. ‘</w:t>
      </w:r>
      <w:r w:rsidRPr="00EC0229">
        <w:t xml:space="preserve">On the north-west side of the fortress, however, investigations have revealed a sequence of late/post-Roman and early medieval repair and rebuilding. After an initial renovation with a </w:t>
      </w:r>
      <w:r w:rsidR="002E3BB3" w:rsidRPr="00EC0229">
        <w:t>dry-stone</w:t>
      </w:r>
      <w:r w:rsidRPr="00EC0229">
        <w:t xml:space="preserve"> wall and cobbled sentry walk, successive earthen ramparts topped with a timber palisade enveloped and oversailed the Roman wall.’</w:t>
      </w:r>
      <w:r w:rsidRPr="00EC0229">
        <w:rPr>
          <w:rStyle w:val="FootnoteReference"/>
        </w:rPr>
        <w:footnoteReference w:id="874"/>
      </w:r>
      <w:r w:rsidRPr="00EC0229">
        <w:t xml:space="preserve"> </w:t>
      </w:r>
      <w:r w:rsidRPr="00EC0229">
        <w:rPr>
          <w:rFonts w:cs="Times New Roman"/>
          <w:szCs w:val="24"/>
        </w:rPr>
        <w:t xml:space="preserve">Residues of structural timber dating after </w:t>
      </w:r>
      <w:r w:rsidRPr="00EC0229">
        <w:rPr>
          <w:rFonts w:cs="Times New Roman"/>
          <w:i/>
          <w:szCs w:val="24"/>
        </w:rPr>
        <w:t>c.</w:t>
      </w:r>
      <w:r w:rsidRPr="00EC0229">
        <w:rPr>
          <w:rFonts w:cs="Times New Roman"/>
          <w:szCs w:val="24"/>
        </w:rPr>
        <w:t>375-400 have been found in remains of buildings on the south-west bank of the River Ouse.</w:t>
      </w:r>
      <w:r w:rsidRPr="00EC0229">
        <w:rPr>
          <w:rStyle w:val="FootnoteReference"/>
          <w:rFonts w:cs="Times New Roman"/>
          <w:szCs w:val="24"/>
        </w:rPr>
        <w:footnoteReference w:id="875"/>
      </w:r>
      <w:r w:rsidRPr="00EC0229">
        <w:rPr>
          <w:rFonts w:cs="Times New Roman"/>
          <w:szCs w:val="24"/>
        </w:rPr>
        <w:t xml:space="preserve"> </w:t>
      </w:r>
      <w:r w:rsidRPr="00EC0229">
        <w:t>The corner tower at Feasegate and wall excavations between Stonegate and Coney Street suggest surviving Roman topography into the ninth century and later.</w:t>
      </w:r>
      <w:r w:rsidRPr="00EC0229">
        <w:rPr>
          <w:rStyle w:val="FootnoteReference"/>
        </w:rPr>
        <w:footnoteReference w:id="876"/>
      </w:r>
      <w:r w:rsidRPr="00EC0229">
        <w:t xml:space="preserve"> </w:t>
      </w:r>
    </w:p>
    <w:p w14:paraId="144DC14E" w14:textId="51574E65" w:rsidR="00256D6A" w:rsidRPr="00EC0229" w:rsidRDefault="00256D6A" w:rsidP="007600EA">
      <w:pPr>
        <w:pStyle w:val="NoSpacing"/>
        <w:spacing w:line="360" w:lineRule="auto"/>
      </w:pPr>
    </w:p>
    <w:p w14:paraId="78D3D2B7" w14:textId="269D3322" w:rsidR="002C388C" w:rsidRDefault="002979EC" w:rsidP="007600EA">
      <w:pPr>
        <w:pStyle w:val="Heading3"/>
        <w:spacing w:line="360" w:lineRule="auto"/>
      </w:pPr>
      <w:bookmarkStart w:id="540" w:name="OuterYork"/>
      <w:bookmarkStart w:id="541" w:name="InnerYork"/>
      <w:bookmarkStart w:id="542" w:name="_Toc468266855"/>
      <w:bookmarkEnd w:id="540"/>
      <w:bookmarkEnd w:id="541"/>
      <w:r>
        <w:t>8.2.1.2</w:t>
      </w:r>
      <w:r w:rsidR="00736C9E">
        <w:tab/>
      </w:r>
      <w:r w:rsidR="002C388C" w:rsidRPr="00EC0229">
        <w:t>Coinage</w:t>
      </w:r>
      <w:bookmarkEnd w:id="542"/>
    </w:p>
    <w:p w14:paraId="50620BF6" w14:textId="5D516549" w:rsidR="00A07A08" w:rsidRPr="00A07A08" w:rsidRDefault="00A07A08" w:rsidP="00A07A08">
      <w:pPr>
        <w:spacing w:line="360" w:lineRule="auto"/>
      </w:pPr>
      <w:r w:rsidRPr="00A07A08">
        <w:rPr>
          <w:i/>
        </w:rPr>
        <w:t xml:space="preserve">Graphs 7.02 </w:t>
      </w:r>
      <w:r w:rsidR="000E5334">
        <w:t>illustrate</w:t>
      </w:r>
      <w:r>
        <w:t xml:space="preserve"> the chronological dispersal of site finds and hoards, showing that apart from Fishergate where the finds span the silver and base phases, stycas predominate.</w:t>
      </w:r>
    </w:p>
    <w:p w14:paraId="2A15DAB8" w14:textId="21D9B2BD" w:rsidR="001C3EC5" w:rsidRPr="007A3166" w:rsidRDefault="001C3EC5" w:rsidP="007600EA">
      <w:pPr>
        <w:pStyle w:val="Heading4"/>
        <w:spacing w:line="360" w:lineRule="auto"/>
        <w:rPr>
          <w:b/>
        </w:rPr>
      </w:pPr>
      <w:bookmarkStart w:id="543" w:name="_Toc468266856"/>
      <w:r w:rsidRPr="007A3166">
        <w:rPr>
          <w:b/>
        </w:rPr>
        <w:t>York Minster</w:t>
      </w:r>
      <w:bookmarkEnd w:id="543"/>
    </w:p>
    <w:p w14:paraId="27747206" w14:textId="161DA432" w:rsidR="001C3EC5" w:rsidRPr="00EC0229" w:rsidRDefault="001C3EC5" w:rsidP="007600EA">
      <w:pPr>
        <w:pStyle w:val="NoSpacing"/>
        <w:spacing w:line="360" w:lineRule="auto"/>
        <w:rPr>
          <w:color w:val="000000" w:themeColor="text1"/>
          <w:szCs w:val="24"/>
        </w:rPr>
      </w:pPr>
      <w:r w:rsidRPr="00EC0229">
        <w:t xml:space="preserve">Of the sites in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w:t>
      </w:r>
      <w:r w:rsidR="00276BC8" w:rsidRPr="00EC0229">
        <w:rPr>
          <w:i/>
        </w:rPr>
        <w:t>8.01</w:t>
      </w:r>
      <w:r w:rsidRPr="00EC0229">
        <w:t>, Coppergate and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Minster</w:t>
      </w:r>
      <w:r w:rsidRPr="00EC0229">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fldChar w:fldCharType="end"/>
      </w:r>
      <w:r w:rsidRPr="00EC0229">
        <w:t xml:space="preserve"> both contribute thirteen specimens. While the former is predominantly a Viking</w:t>
      </w:r>
      <w:r w:rsidRPr="00EC0229">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fldChar w:fldCharType="end"/>
      </w:r>
      <w:r w:rsidRPr="00EC0229">
        <w:t xml:space="preserve"> site, excavations at the Minster</w:t>
      </w:r>
      <w:r w:rsidRPr="00EC0229">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fldChar w:fldCharType="end"/>
      </w:r>
      <w:r w:rsidRPr="00EC0229">
        <w:t xml:space="preserve"> produced Roman</w:t>
      </w:r>
      <w:r w:rsidRPr="00EC0229">
        <w:fldChar w:fldCharType="begin"/>
      </w:r>
      <w:r w:rsidRPr="00EC0229">
        <w:instrText xml:space="preserve"> XE "Roman" </w:instrText>
      </w:r>
      <w:r w:rsidRPr="00EC0229">
        <w:fldChar w:fldCharType="end"/>
      </w:r>
      <w:r w:rsidRPr="00EC0229">
        <w:t>, Anglian</w:t>
      </w:r>
      <w:r w:rsidRPr="00EC0229">
        <w:fldChar w:fldCharType="begin"/>
      </w:r>
      <w:r w:rsidRPr="00EC0229">
        <w:instrText xml:space="preserve"> XE "Anglian" </w:instrText>
      </w:r>
      <w:r w:rsidRPr="00EC0229">
        <w:fldChar w:fldCharType="end"/>
      </w:r>
      <w:r w:rsidRPr="00EC0229">
        <w:t xml:space="preserve">, Anglo-Scandinavian and later finds. </w:t>
      </w:r>
      <w:r w:rsidRPr="00EC0229">
        <w:rPr>
          <w:color w:val="000000" w:themeColor="text1"/>
          <w:szCs w:val="24"/>
        </w:rPr>
        <w:t>The sceat and styca finds from the Minster</w:t>
      </w:r>
      <w:r w:rsidRPr="00EC0229">
        <w:rPr>
          <w:color w:val="000000" w:themeColor="text1"/>
          <w:szCs w:val="24"/>
        </w:rPr>
        <w:fldChar w:fldCharType="begin"/>
      </w:r>
      <w:r w:rsidRPr="00EC0229">
        <w:instrText xml:space="preserve"> XE "</w:instrText>
      </w:r>
      <w:r w:rsidRPr="00EC0229">
        <w:rPr>
          <w:rStyle w:val="Hyperlink"/>
          <w:noProof/>
          <w:u w:val="none"/>
        </w:rPr>
        <w:instrText>York Minster</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are unexceptional and few; conceivably, commerce </w:t>
      </w:r>
      <w:r w:rsidR="00BF0FB9" w:rsidRPr="00EC0229">
        <w:rPr>
          <w:color w:val="000000" w:themeColor="text1"/>
          <w:szCs w:val="24"/>
        </w:rPr>
        <w:t>was discouraged on</w:t>
      </w:r>
      <w:r w:rsidRPr="00EC0229">
        <w:rPr>
          <w:color w:val="000000" w:themeColor="text1"/>
          <w:szCs w:val="24"/>
        </w:rPr>
        <w:t xml:space="preserve"> sacred ground,</w:t>
      </w:r>
      <w:r w:rsidRPr="00EC0229">
        <w:rPr>
          <w:rStyle w:val="FootnoteReference"/>
          <w:color w:val="000000" w:themeColor="text1"/>
          <w:szCs w:val="24"/>
        </w:rPr>
        <w:footnoteReference w:id="877"/>
      </w:r>
      <w:r w:rsidRPr="00EC0229">
        <w:rPr>
          <w:color w:val="000000" w:themeColor="text1"/>
          <w:szCs w:val="24"/>
        </w:rPr>
        <w:t xml:space="preserve"> irrespective of coin issuance by ecclesiastical authorities. Of the three sceats the earliest is a Series</w:t>
      </w:r>
      <w:r w:rsidRPr="00EC0229">
        <w:rPr>
          <w:color w:val="000000" w:themeColor="text1"/>
          <w:szCs w:val="24"/>
        </w:rPr>
        <w:fldChar w:fldCharType="begin"/>
      </w:r>
      <w:r w:rsidRPr="00EC0229">
        <w:instrText xml:space="preserve"> XE "Series" </w:instrText>
      </w:r>
      <w:r w:rsidRPr="00EC0229">
        <w:rPr>
          <w:color w:val="000000" w:themeColor="text1"/>
          <w:szCs w:val="24"/>
        </w:rPr>
        <w:fldChar w:fldCharType="end"/>
      </w:r>
      <w:r w:rsidRPr="00EC0229">
        <w:rPr>
          <w:color w:val="000000" w:themeColor="text1"/>
          <w:szCs w:val="24"/>
        </w:rPr>
        <w:t xml:space="preserve"> J coin in poor condition and possibly imitative [5a]. The Eadberht</w:t>
      </w:r>
      <w:r w:rsidRPr="00EC0229">
        <w:rPr>
          <w:color w:val="000000" w:themeColor="text1"/>
          <w:szCs w:val="24"/>
        </w:rPr>
        <w:fldChar w:fldCharType="begin"/>
      </w:r>
      <w:r w:rsidRPr="00EC0229">
        <w:instrText xml:space="preserve"> XE "Eadberht" </w:instrText>
      </w:r>
      <w:r w:rsidRPr="00EC0229">
        <w:rPr>
          <w:color w:val="000000" w:themeColor="text1"/>
          <w:szCs w:val="24"/>
        </w:rPr>
        <w:fldChar w:fldCharType="end"/>
      </w:r>
      <w:r w:rsidRPr="00EC0229">
        <w:rPr>
          <w:color w:val="000000" w:themeColor="text1"/>
          <w:szCs w:val="24"/>
        </w:rPr>
        <w:t xml:space="preserve"> sceat [N6] has an unusual central device (triskeles); the </w:t>
      </w:r>
      <w:r w:rsidRPr="00EC0229">
        <w:rPr>
          <w:rFonts w:cs="Times New Roman"/>
          <w:color w:val="000000" w:themeColor="text1"/>
          <w:szCs w:val="24"/>
        </w:rPr>
        <w:t>Æ</w:t>
      </w:r>
      <w:r w:rsidRPr="00EC0229">
        <w:rPr>
          <w:color w:val="000000" w:themeColor="text1"/>
          <w:szCs w:val="24"/>
        </w:rPr>
        <w:t>thelred</w:t>
      </w:r>
      <w:r w:rsidRPr="00EC0229">
        <w:rPr>
          <w:color w:val="000000" w:themeColor="text1"/>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color w:val="000000" w:themeColor="text1"/>
          <w:szCs w:val="24"/>
        </w:rPr>
        <w:fldChar w:fldCharType="end"/>
      </w:r>
      <w:r w:rsidRPr="00EC0229">
        <w:rPr>
          <w:color w:val="000000" w:themeColor="text1"/>
          <w:szCs w:val="24"/>
        </w:rPr>
        <w:t xml:space="preserve"> I sceat is by Ceolbald [N8]. The earliest of the ten ninth-century coins is a silver-alloy</w:t>
      </w:r>
      <w:r w:rsidRPr="00EC0229">
        <w:rPr>
          <w:color w:val="000000" w:themeColor="text1"/>
          <w:szCs w:val="24"/>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coin of Eanred</w:t>
      </w:r>
      <w:r w:rsidRPr="00EC0229">
        <w:rPr>
          <w:color w:val="000000" w:themeColor="text1"/>
          <w:szCs w:val="24"/>
        </w:rPr>
        <w:fldChar w:fldCharType="begin"/>
      </w:r>
      <w:r w:rsidRPr="00EC0229">
        <w:instrText xml:space="preserve"> XE "Eanred" </w:instrText>
      </w:r>
      <w:r w:rsidRPr="00EC0229">
        <w:rPr>
          <w:color w:val="000000" w:themeColor="text1"/>
          <w:szCs w:val="24"/>
        </w:rPr>
        <w:fldChar w:fldCharType="end"/>
      </w:r>
      <w:r w:rsidRPr="00EC0229">
        <w:rPr>
          <w:color w:val="000000" w:themeColor="text1"/>
          <w:szCs w:val="24"/>
        </w:rPr>
        <w:t xml:space="preserve"> of the moneyer Eadwine [N9]. There are also brass stycas [N10a] of Eanred, </w:t>
      </w:r>
      <w:r w:rsidRPr="00EC0229">
        <w:rPr>
          <w:rFonts w:cs="Times New Roman"/>
          <w:color w:val="000000" w:themeColor="text1"/>
          <w:szCs w:val="24"/>
        </w:rPr>
        <w:t>Æ</w:t>
      </w:r>
      <w:r w:rsidRPr="00EC0229">
        <w:rPr>
          <w:color w:val="000000" w:themeColor="text1"/>
          <w:szCs w:val="24"/>
        </w:rPr>
        <w:t>thelred II (both reigns) and Osberht</w:t>
      </w:r>
      <w:r w:rsidRPr="00EC0229">
        <w:rPr>
          <w:color w:val="000000" w:themeColor="text1"/>
          <w:szCs w:val="24"/>
        </w:rPr>
        <w:fldChar w:fldCharType="begin"/>
      </w:r>
      <w:r w:rsidRPr="00EC0229">
        <w:instrText xml:space="preserve"> XE "Osberht" </w:instrText>
      </w:r>
      <w:r w:rsidRPr="00EC0229">
        <w:rPr>
          <w:color w:val="000000" w:themeColor="text1"/>
          <w:szCs w:val="24"/>
        </w:rPr>
        <w:fldChar w:fldCharType="end"/>
      </w:r>
      <w:r w:rsidRPr="00EC0229">
        <w:rPr>
          <w:color w:val="000000" w:themeColor="text1"/>
          <w:szCs w:val="24"/>
        </w:rPr>
        <w:t xml:space="preserve"> [N10b] but none of Redwulf or, counter-intuitively for the site of the Minster, of the ninth century Archbishops.</w:t>
      </w:r>
      <w:r w:rsidRPr="00EC0229">
        <w:rPr>
          <w:rStyle w:val="FootnoteReference"/>
          <w:color w:val="000000" w:themeColor="text1"/>
          <w:szCs w:val="24"/>
        </w:rPr>
        <w:footnoteReference w:id="878"/>
      </w:r>
      <w:r w:rsidRPr="00EC0229">
        <w:rPr>
          <w:color w:val="000000" w:themeColor="text1"/>
          <w:szCs w:val="24"/>
        </w:rPr>
        <w:t xml:space="preserve"> Archibald estimated the date of deposition of a corroded, fragmentary, broad penny</w:t>
      </w:r>
      <w:r w:rsidRPr="00EC0229">
        <w:rPr>
          <w:color w:val="000000" w:themeColor="text1"/>
          <w:szCs w:val="24"/>
        </w:rPr>
        <w:fldChar w:fldCharType="begin"/>
      </w:r>
      <w:r w:rsidRPr="00EC0229">
        <w:instrText xml:space="preserve"> XE "penny" </w:instrText>
      </w:r>
      <w:r w:rsidRPr="00EC0229">
        <w:rPr>
          <w:color w:val="000000" w:themeColor="text1"/>
          <w:szCs w:val="24"/>
        </w:rPr>
        <w:fldChar w:fldCharType="end"/>
      </w:r>
      <w:r w:rsidRPr="00EC0229">
        <w:rPr>
          <w:color w:val="000000" w:themeColor="text1"/>
          <w:szCs w:val="24"/>
        </w:rPr>
        <w:t xml:space="preserve"> of Egbert of Wessex (802-39), [S9], minted at Canterbury by Tidbearht, to be </w:t>
      </w:r>
      <w:r w:rsidR="002132F1">
        <w:rPr>
          <w:i/>
          <w:color w:val="000000" w:themeColor="text1"/>
          <w:szCs w:val="24"/>
        </w:rPr>
        <w:t>c.</w:t>
      </w:r>
      <w:r w:rsidRPr="00EC0229">
        <w:rPr>
          <w:color w:val="000000" w:themeColor="text1"/>
          <w:szCs w:val="24"/>
        </w:rPr>
        <w:t>830-60, speculating that it denoted an ecclesiastical relationship.</w:t>
      </w:r>
      <w:r w:rsidRPr="00EC0229">
        <w:rPr>
          <w:rStyle w:val="FootnoteReference"/>
          <w:color w:val="000000" w:themeColor="text1"/>
          <w:szCs w:val="24"/>
        </w:rPr>
        <w:t xml:space="preserve"> </w:t>
      </w:r>
      <w:r w:rsidRPr="00EC0229">
        <w:rPr>
          <w:rStyle w:val="FootnoteReference"/>
          <w:color w:val="000000" w:themeColor="text1"/>
          <w:szCs w:val="24"/>
        </w:rPr>
        <w:footnoteReference w:id="879"/>
      </w:r>
      <w:r w:rsidRPr="00EC0229">
        <w:rPr>
          <w:color w:val="000000" w:themeColor="text1"/>
          <w:szCs w:val="24"/>
        </w:rPr>
        <w:t xml:space="preserve"> However, in discussing a find of a </w:t>
      </w:r>
      <w:r w:rsidRPr="00EC0229">
        <w:rPr>
          <w:color w:val="000000" w:themeColor="text1"/>
          <w:szCs w:val="24"/>
        </w:rPr>
        <w:lastRenderedPageBreak/>
        <w:t>denier</w:t>
      </w:r>
      <w:r w:rsidRPr="00EC0229">
        <w:rPr>
          <w:color w:val="000000" w:themeColor="text1"/>
          <w:szCs w:val="24"/>
        </w:rPr>
        <w:fldChar w:fldCharType="begin"/>
      </w:r>
      <w:r w:rsidRPr="00EC0229">
        <w:instrText xml:space="preserve"> XE "</w:instrText>
      </w:r>
      <w:r w:rsidRPr="00EC0229">
        <w:rPr>
          <w:rFonts w:cs="Times New Roman"/>
          <w:szCs w:val="24"/>
        </w:rPr>
        <w:instrText>denier</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of Charles the Bald, from Quentovic, issued in large numbers from 864 after the Edict of </w:t>
      </w:r>
      <w:proofErr w:type="spellStart"/>
      <w:r w:rsidRPr="00EC0229">
        <w:rPr>
          <w:color w:val="000000" w:themeColor="text1"/>
          <w:szCs w:val="24"/>
        </w:rPr>
        <w:t>P</w:t>
      </w:r>
      <w:r w:rsidRPr="00EC0229">
        <w:rPr>
          <w:rFonts w:cs="Times New Roman"/>
          <w:color w:val="000000" w:themeColor="text1"/>
          <w:szCs w:val="24"/>
        </w:rPr>
        <w:t>ȋ</w:t>
      </w:r>
      <w:r w:rsidRPr="00EC0229">
        <w:rPr>
          <w:color w:val="000000" w:themeColor="text1"/>
          <w:szCs w:val="24"/>
        </w:rPr>
        <w:t>tres</w:t>
      </w:r>
      <w:proofErr w:type="spellEnd"/>
      <w:r w:rsidRPr="00EC0229">
        <w:rPr>
          <w:color w:val="000000" w:themeColor="text1"/>
          <w:szCs w:val="24"/>
        </w:rPr>
        <w:t>, she revised this, in view of the absence of peck marks, suggesting that coins were deposited together in Barrack Two of the centurion’s quarter, in 864</w:t>
      </w:r>
      <w:r w:rsidR="00BF0FB9" w:rsidRPr="00EC0229">
        <w:rPr>
          <w:color w:val="000000" w:themeColor="text1"/>
          <w:szCs w:val="24"/>
        </w:rPr>
        <w:t>-7, prior to the Viking victory, though pecking is not necessarily associated with Viking incursions this early.</w:t>
      </w:r>
      <w:r w:rsidR="00BF0FB9" w:rsidRPr="00EC0229">
        <w:rPr>
          <w:rStyle w:val="FootnoteReference"/>
          <w:color w:val="000000" w:themeColor="text1"/>
          <w:szCs w:val="24"/>
        </w:rPr>
        <w:footnoteReference w:id="880"/>
      </w:r>
    </w:p>
    <w:p w14:paraId="4B857E9A" w14:textId="77777777" w:rsidR="002C388C" w:rsidRPr="00EC0229" w:rsidRDefault="002C388C" w:rsidP="007600EA">
      <w:pPr>
        <w:pStyle w:val="NoSpacing"/>
        <w:spacing w:line="360" w:lineRule="auto"/>
      </w:pPr>
    </w:p>
    <w:p w14:paraId="0DF9B170" w14:textId="1D4E58E9" w:rsidR="00BD53D4" w:rsidRPr="007A3166" w:rsidRDefault="002C388C" w:rsidP="007600EA">
      <w:pPr>
        <w:pStyle w:val="Heading4"/>
        <w:spacing w:line="360" w:lineRule="auto"/>
        <w:rPr>
          <w:b/>
        </w:rPr>
      </w:pPr>
      <w:bookmarkStart w:id="544" w:name="_Toc468266857"/>
      <w:r w:rsidRPr="007A3166">
        <w:rPr>
          <w:b/>
        </w:rPr>
        <w:t>Fishergate</w:t>
      </w:r>
      <w:bookmarkEnd w:id="544"/>
    </w:p>
    <w:p w14:paraId="0104A672" w14:textId="77777777" w:rsidR="00921BC6" w:rsidRPr="00EC0229" w:rsidRDefault="00921BC6" w:rsidP="007600EA">
      <w:pPr>
        <w:pStyle w:val="NoSpacing"/>
        <w:spacing w:line="360" w:lineRule="auto"/>
        <w:jc w:val="right"/>
        <w:rPr>
          <w:sz w:val="20"/>
          <w:szCs w:val="20"/>
        </w:rPr>
      </w:pPr>
      <w:r w:rsidRPr="00EC0229">
        <w:rPr>
          <w:sz w:val="20"/>
          <w:szCs w:val="20"/>
        </w:rPr>
        <w:t xml:space="preserve">‘The World is run…not from castle walls but from counting houses’ </w:t>
      </w:r>
    </w:p>
    <w:p w14:paraId="2A720A27" w14:textId="77777777" w:rsidR="00921BC6" w:rsidRPr="00EC0229" w:rsidRDefault="00921BC6" w:rsidP="007600EA">
      <w:pPr>
        <w:pStyle w:val="NoSpacing"/>
        <w:spacing w:line="360" w:lineRule="auto"/>
        <w:jc w:val="right"/>
        <w:rPr>
          <w:sz w:val="20"/>
          <w:szCs w:val="20"/>
        </w:rPr>
      </w:pPr>
      <w:r w:rsidRPr="00EC0229">
        <w:rPr>
          <w:sz w:val="20"/>
          <w:szCs w:val="20"/>
        </w:rPr>
        <w:t xml:space="preserve">Hilary Mantel, </w:t>
      </w:r>
      <w:r w:rsidRPr="00EC0229">
        <w:rPr>
          <w:i/>
          <w:sz w:val="20"/>
          <w:szCs w:val="20"/>
        </w:rPr>
        <w:t>Wolf Hall</w:t>
      </w:r>
      <w:r w:rsidRPr="00EC0229">
        <w:rPr>
          <w:sz w:val="20"/>
          <w:szCs w:val="20"/>
        </w:rPr>
        <w:t xml:space="preserve"> (2010, 378).</w:t>
      </w:r>
    </w:p>
    <w:p w14:paraId="3F18C68B" w14:textId="0F5419AA" w:rsidR="00BD53D4" w:rsidRPr="00EC0229" w:rsidRDefault="00BD53D4" w:rsidP="007600EA">
      <w:pPr>
        <w:pStyle w:val="NoSpacing"/>
        <w:spacing w:line="360" w:lineRule="auto"/>
        <w:rPr>
          <w:rFonts w:cs="Times New Roman"/>
          <w:szCs w:val="24"/>
        </w:rPr>
      </w:pPr>
      <w:r w:rsidRPr="00EC0229">
        <w:rPr>
          <w:rFonts w:cs="Times New Roman"/>
          <w:szCs w:val="24"/>
        </w:rPr>
        <w:t>It is now possible to describe and interpret the coin finds in greater detail than achieved by Kemp.</w:t>
      </w:r>
      <w:r w:rsidRPr="00EC0229">
        <w:rPr>
          <w:rStyle w:val="FootnoteReference"/>
          <w:rFonts w:cs="Times New Roman"/>
          <w:szCs w:val="24"/>
        </w:rPr>
        <w:footnoteReference w:id="881"/>
      </w:r>
      <w:r w:rsidRPr="00EC0229">
        <w:rPr>
          <w:rFonts w:cs="Times New Roman"/>
          <w:szCs w:val="24"/>
        </w:rPr>
        <w:t xml:space="preserve"> </w:t>
      </w:r>
      <w:r w:rsidRPr="00EC0229">
        <w:t>My photographs of th</w:t>
      </w:r>
      <w:r w:rsidR="00C716D8" w:rsidRPr="00EC0229">
        <w:t>e YAT coins are attached (</w:t>
      </w:r>
      <w:r w:rsidR="00C716D8" w:rsidRPr="00EC0229">
        <w:rPr>
          <w:i/>
        </w:rPr>
        <w:t xml:space="preserve">Plates </w:t>
      </w:r>
      <w:r w:rsidR="003A3CF9" w:rsidRPr="00EC0229">
        <w:rPr>
          <w:i/>
        </w:rPr>
        <w:t>5-9</w:t>
      </w:r>
      <w:r w:rsidRPr="00EC0229">
        <w:t xml:space="preserve">) with a corpus at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276BC8" w:rsidRPr="00EC0229">
        <w:rPr>
          <w:i/>
        </w:rPr>
        <w:t>8.02</w:t>
      </w:r>
      <w:r w:rsidRPr="00EC0229">
        <w:t>, now reconciled to earlier, somewhat inaccurate, listings.</w:t>
      </w:r>
      <w:r w:rsidRPr="00EC0229">
        <w:rPr>
          <w:rFonts w:cs="Times New Roman"/>
          <w:szCs w:val="24"/>
        </w:rPr>
        <w:t xml:space="preserve"> </w:t>
      </w:r>
    </w:p>
    <w:p w14:paraId="34858675" w14:textId="77777777" w:rsidR="00BD53D4" w:rsidRPr="00EC0229" w:rsidRDefault="00BD53D4" w:rsidP="007600EA">
      <w:pPr>
        <w:pStyle w:val="NoSpacing"/>
        <w:spacing w:line="360" w:lineRule="auto"/>
        <w:rPr>
          <w:rFonts w:cs="Times New Roman"/>
          <w:szCs w:val="24"/>
        </w:rPr>
      </w:pPr>
    </w:p>
    <w:p w14:paraId="018406AE" w14:textId="34254B4C" w:rsidR="00BD53D4" w:rsidRPr="00EC0229" w:rsidRDefault="00BD53D4" w:rsidP="007600EA">
      <w:pPr>
        <w:pStyle w:val="NoSpacing"/>
        <w:spacing w:line="360" w:lineRule="auto"/>
        <w:rPr>
          <w:rFonts w:cs="Times New Roman"/>
          <w:szCs w:val="24"/>
        </w:rPr>
      </w:pPr>
      <w:r w:rsidRPr="00EC0229">
        <w:rPr>
          <w:rFonts w:cs="Times New Roman"/>
          <w:szCs w:val="24"/>
        </w:rPr>
        <w:t>The earliest of the coins chronologically,</w:t>
      </w:r>
      <w:r w:rsidRPr="00EC0229">
        <w:rPr>
          <w:rStyle w:val="FootnoteReference"/>
          <w:rFonts w:cs="Times New Roman"/>
          <w:szCs w:val="24"/>
        </w:rPr>
        <w:footnoteReference w:id="882"/>
      </w:r>
      <w:r w:rsidRPr="00EC0229">
        <w:rPr>
          <w:rFonts w:cs="Times New Roman"/>
          <w:szCs w:val="24"/>
        </w:rPr>
        <w:t xml:space="preserve"> are the primary phase emissions </w:t>
      </w:r>
      <w:r w:rsidR="00531141" w:rsidRPr="00EC0229">
        <w:rPr>
          <w:rFonts w:cs="Times New Roman"/>
          <w:szCs w:val="24"/>
        </w:rPr>
        <w:t xml:space="preserve">[4c] </w:t>
      </w:r>
      <w:r w:rsidRPr="00EC0229">
        <w:rPr>
          <w:rFonts w:cs="Times New Roman"/>
          <w:szCs w:val="24"/>
        </w:rPr>
        <w:t>from the Low Countries: two Series</w:t>
      </w:r>
      <w:r w:rsidR="00D142DC" w:rsidRPr="00EC0229">
        <w:rPr>
          <w:rFonts w:cs="Times New Roman"/>
          <w:szCs w:val="24"/>
        </w:rPr>
        <w:fldChar w:fldCharType="begin"/>
      </w:r>
      <w:r w:rsidR="00D142DC" w:rsidRPr="00EC0229">
        <w:instrText xml:space="preserve"> XE "Series" </w:instrText>
      </w:r>
      <w:r w:rsidR="00D142DC" w:rsidRPr="00EC0229">
        <w:rPr>
          <w:rFonts w:cs="Times New Roman"/>
          <w:szCs w:val="24"/>
        </w:rPr>
        <w:fldChar w:fldCharType="end"/>
      </w:r>
      <w:r w:rsidRPr="00EC0229">
        <w:rPr>
          <w:rFonts w:cs="Times New Roman"/>
          <w:szCs w:val="24"/>
        </w:rPr>
        <w:t xml:space="preserve"> D</w:t>
      </w:r>
      <w:r w:rsidR="008344F3" w:rsidRPr="00EC0229">
        <w:rPr>
          <w:rFonts w:cs="Times New Roman"/>
          <w:szCs w:val="24"/>
        </w:rPr>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rPr>
          <w:rFonts w:cs="Times New Roman"/>
          <w:szCs w:val="24"/>
        </w:rPr>
        <w:fldChar w:fldCharType="end"/>
      </w:r>
      <w:r w:rsidRPr="00EC0229">
        <w:rPr>
          <w:rFonts w:cs="Times New Roman"/>
          <w:szCs w:val="24"/>
        </w:rPr>
        <w:t xml:space="preserve"> sceats and what may be a Series E</w:t>
      </w:r>
      <w:r w:rsidR="008344F3" w:rsidRPr="00EC0229">
        <w:rPr>
          <w:rFonts w:cs="Times New Roman"/>
          <w:szCs w:val="24"/>
        </w:rPr>
        <w:fldChar w:fldCharType="begin"/>
      </w:r>
      <w:r w:rsidR="008344F3" w:rsidRPr="00EC0229">
        <w:instrText xml:space="preserve"> XE "Series E" </w:instrText>
      </w:r>
      <w:r w:rsidR="008344F3" w:rsidRPr="00EC0229">
        <w:rPr>
          <w:rFonts w:cs="Times New Roman"/>
          <w:szCs w:val="24"/>
        </w:rPr>
        <w:fldChar w:fldCharType="end"/>
      </w:r>
      <w:r w:rsidRPr="00EC0229">
        <w:rPr>
          <w:rFonts w:cs="Times New Roman"/>
          <w:szCs w:val="24"/>
        </w:rPr>
        <w:t>, variety G sceat. All are worn and corroded. One of the Series D coins has a laterally reversed bust, thought by Metcalf</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and Op den Velde to indicate a contemporary English imitation.</w:t>
      </w:r>
      <w:r w:rsidRPr="00EC0229">
        <w:rPr>
          <w:rStyle w:val="FootnoteReference"/>
          <w:rFonts w:cs="Times New Roman"/>
          <w:szCs w:val="24"/>
        </w:rPr>
        <w:footnoteReference w:id="883"/>
      </w:r>
      <w:r w:rsidRPr="00EC0229">
        <w:rPr>
          <w:rFonts w:cs="Times New Roman"/>
          <w:szCs w:val="24"/>
        </w:rPr>
        <w:t xml:space="preserve">  Clearly, all three have remained in circulation for a long period and cannot be taken as evidence of either economic activity on the site prior to </w:t>
      </w:r>
      <w:r w:rsidR="002132F1">
        <w:rPr>
          <w:rFonts w:cs="Times New Roman"/>
          <w:i/>
          <w:szCs w:val="24"/>
        </w:rPr>
        <w:t>c.</w:t>
      </w:r>
      <w:r w:rsidRPr="00EC0229">
        <w:rPr>
          <w:rFonts w:cs="Times New Roman"/>
          <w:szCs w:val="24"/>
        </w:rPr>
        <w:t>710 or direct trade with the Continent. Nor can two heavily worn Series G sceats</w:t>
      </w:r>
      <w:r w:rsidR="00531141" w:rsidRPr="00EC0229">
        <w:rPr>
          <w:rFonts w:cs="Times New Roman"/>
          <w:szCs w:val="24"/>
        </w:rPr>
        <w:t xml:space="preserve"> [5c]</w:t>
      </w:r>
      <w:r w:rsidRPr="00EC0229">
        <w:rPr>
          <w:rFonts w:cs="Times New Roman"/>
          <w:szCs w:val="24"/>
        </w:rPr>
        <w:t>, transitional from primary to secondary phases, be taken as evidence of anything but th</w:t>
      </w:r>
      <w:r w:rsidR="007A158F" w:rsidRPr="00EC0229">
        <w:rPr>
          <w:rFonts w:cs="Times New Roman"/>
          <w:szCs w:val="24"/>
        </w:rPr>
        <w:t>e longevi</w:t>
      </w:r>
      <w:r w:rsidR="001A1756" w:rsidRPr="00EC0229">
        <w:rPr>
          <w:rFonts w:cs="Times New Roman"/>
          <w:szCs w:val="24"/>
        </w:rPr>
        <w:t>ty and ubiquity of Quentovic’s</w:t>
      </w:r>
      <w:r w:rsidRPr="00EC0229">
        <w:rPr>
          <w:rFonts w:cs="Times New Roman"/>
          <w:szCs w:val="24"/>
        </w:rPr>
        <w:t xml:space="preserve"> curre</w:t>
      </w:r>
      <w:r w:rsidR="0044174D" w:rsidRPr="00EC0229">
        <w:rPr>
          <w:rFonts w:cs="Times New Roman"/>
          <w:szCs w:val="24"/>
        </w:rPr>
        <w:t>ncy. Of greater significance is the coin</w:t>
      </w:r>
      <w:r w:rsidRPr="00EC0229">
        <w:rPr>
          <w:rFonts w:cs="Times New Roman"/>
          <w:szCs w:val="24"/>
        </w:rPr>
        <w:t xml:space="preserve"> of late Series B (BIIIC)</w:t>
      </w:r>
      <w:r w:rsidRPr="00EC0229">
        <w:rPr>
          <w:rStyle w:val="FootnoteReference"/>
          <w:rFonts w:cs="Times New Roman"/>
          <w:szCs w:val="24"/>
        </w:rPr>
        <w:footnoteReference w:id="884"/>
      </w:r>
      <w:r w:rsidRPr="00EC0229">
        <w:rPr>
          <w:rFonts w:cs="Times New Roman"/>
          <w:szCs w:val="24"/>
        </w:rPr>
        <w:t xml:space="preserve"> </w:t>
      </w:r>
      <w:r w:rsidR="00531141" w:rsidRPr="00EC0229">
        <w:rPr>
          <w:rFonts w:cs="Times New Roman"/>
          <w:szCs w:val="24"/>
        </w:rPr>
        <w:t xml:space="preserve">[5b] </w:t>
      </w:r>
      <w:r w:rsidRPr="00EC0229">
        <w:rPr>
          <w:rFonts w:cs="Times New Roman"/>
          <w:szCs w:val="24"/>
        </w:rPr>
        <w:t xml:space="preserve">and </w:t>
      </w:r>
      <w:r w:rsidR="0044174D" w:rsidRPr="00EC0229">
        <w:rPr>
          <w:rFonts w:cs="Times New Roman"/>
          <w:szCs w:val="24"/>
        </w:rPr>
        <w:t xml:space="preserve">five of </w:t>
      </w:r>
      <w:r w:rsidRPr="00EC0229">
        <w:rPr>
          <w:rFonts w:cs="Times New Roman"/>
          <w:szCs w:val="24"/>
        </w:rPr>
        <w:t>Series J</w:t>
      </w:r>
      <w:r w:rsidR="00531141" w:rsidRPr="00EC0229">
        <w:rPr>
          <w:rFonts w:cs="Times New Roman"/>
          <w:szCs w:val="24"/>
        </w:rPr>
        <w:t xml:space="preserve"> [5a]</w:t>
      </w:r>
      <w:r w:rsidRPr="00EC0229">
        <w:rPr>
          <w:rFonts w:cs="Times New Roman"/>
          <w:szCs w:val="24"/>
        </w:rPr>
        <w:t>. The former shows few sign</w:t>
      </w:r>
      <w:r w:rsidR="0044174D" w:rsidRPr="00EC0229">
        <w:rPr>
          <w:rFonts w:cs="Times New Roman"/>
          <w:szCs w:val="24"/>
        </w:rPr>
        <w:t xml:space="preserve">s of wear and three of the </w:t>
      </w:r>
      <w:r w:rsidRPr="00EC0229">
        <w:rPr>
          <w:rFonts w:cs="Times New Roman"/>
          <w:szCs w:val="24"/>
        </w:rPr>
        <w:t xml:space="preserve">Series J specimens are close to pristine. The other two have an imitative appearance. Series J, popular during the native Northumbrian coinage </w:t>
      </w:r>
      <w:r w:rsidRPr="00EC0229">
        <w:rPr>
          <w:rFonts w:cs="Times New Roman"/>
          <w:i/>
          <w:szCs w:val="24"/>
        </w:rPr>
        <w:t>lacuna</w:t>
      </w:r>
      <w:r w:rsidRPr="00EC0229">
        <w:rPr>
          <w:rFonts w:cs="Times New Roman"/>
          <w:szCs w:val="24"/>
        </w:rPr>
        <w:t xml:space="preserve"> between Aldfrith</w:t>
      </w:r>
      <w:r w:rsidR="00D142DC" w:rsidRPr="00EC0229">
        <w:rPr>
          <w:rFonts w:cs="Times New Roman"/>
          <w:szCs w:val="24"/>
        </w:rPr>
        <w:fldChar w:fldCharType="begin"/>
      </w:r>
      <w:r w:rsidR="00D142DC" w:rsidRPr="00EC0229">
        <w:instrText xml:space="preserve"> XE "Aldfrith" </w:instrText>
      </w:r>
      <w:r w:rsidR="00D142DC" w:rsidRPr="00EC0229">
        <w:rPr>
          <w:rFonts w:cs="Times New Roman"/>
          <w:szCs w:val="24"/>
        </w:rPr>
        <w:fldChar w:fldCharType="end"/>
      </w:r>
      <w:r w:rsidRPr="00EC0229">
        <w:rPr>
          <w:rFonts w:cs="Times New Roman"/>
          <w:szCs w:val="24"/>
        </w:rPr>
        <w:t xml:space="preserve"> and Eadberht</w:t>
      </w:r>
      <w:r w:rsidR="00D142DC" w:rsidRPr="00EC0229">
        <w:rPr>
          <w:rFonts w:cs="Times New Roman"/>
          <w:szCs w:val="24"/>
        </w:rPr>
        <w:fldChar w:fldCharType="begin"/>
      </w:r>
      <w:r w:rsidR="00D142DC" w:rsidRPr="00EC0229">
        <w:instrText xml:space="preserve"> XE "Eadberht" </w:instrText>
      </w:r>
      <w:r w:rsidR="00D142DC" w:rsidRPr="00EC0229">
        <w:rPr>
          <w:rFonts w:cs="Times New Roman"/>
          <w:szCs w:val="24"/>
        </w:rPr>
        <w:fldChar w:fldCharType="end"/>
      </w:r>
      <w:r w:rsidRPr="00EC0229">
        <w:rPr>
          <w:rFonts w:cs="Times New Roman"/>
          <w:szCs w:val="24"/>
        </w:rPr>
        <w:t>, is regarded, especially with the iconography</w:t>
      </w:r>
      <w:r w:rsidR="004C29A9" w:rsidRPr="00EC0229">
        <w:rPr>
          <w:rFonts w:cs="Times New Roman"/>
          <w:szCs w:val="24"/>
        </w:rPr>
        <w:fldChar w:fldCharType="begin"/>
      </w:r>
      <w:r w:rsidR="004C29A9" w:rsidRPr="00EC0229">
        <w:instrText xml:space="preserve"> XE "iconography" </w:instrText>
      </w:r>
      <w:r w:rsidR="004C29A9" w:rsidRPr="00EC0229">
        <w:rPr>
          <w:rFonts w:cs="Times New Roman"/>
          <w:szCs w:val="24"/>
        </w:rPr>
        <w:fldChar w:fldCharType="end"/>
      </w:r>
      <w:r w:rsidRPr="00EC0229">
        <w:rPr>
          <w:rFonts w:cs="Times New Roman"/>
          <w:szCs w:val="24"/>
        </w:rPr>
        <w:t xml:space="preserve"> of the facing heads, as a putative northern emission. The relatively unblemished appearance of these three coins supports that view and provides evidence of the use of coinage at Fishergate</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by the 720s</w:t>
      </w:r>
      <w:r w:rsidR="009071D2" w:rsidRPr="00EC0229">
        <w:rPr>
          <w:rFonts w:cs="Times New Roman"/>
          <w:szCs w:val="24"/>
        </w:rPr>
        <w:t xml:space="preserve"> </w:t>
      </w:r>
      <w:r w:rsidR="009071D2" w:rsidRPr="00EC0229">
        <w:rPr>
          <w:rFonts w:eastAsia="Times New Roman" w:cs="Times New Roman"/>
          <w:szCs w:val="24"/>
          <w:lang w:eastAsia="en-GB"/>
        </w:rPr>
        <w:t>(</w:t>
      </w:r>
      <w:r w:rsidR="00B151DA" w:rsidRPr="00EC0229">
        <w:rPr>
          <w:rFonts w:eastAsia="Times New Roman" w:cs="Times New Roman"/>
          <w:szCs w:val="24"/>
          <w:lang w:eastAsia="en-GB"/>
        </w:rPr>
        <w:fldChar w:fldCharType="begin"/>
      </w:r>
      <w:r w:rsidR="00B151DA" w:rsidRPr="00EC0229">
        <w:rPr>
          <w:rFonts w:eastAsia="Times New Roman" w:cs="Times New Roman"/>
          <w:szCs w:val="24"/>
          <w:lang w:eastAsia="en-GB"/>
        </w:rPr>
        <w:instrText xml:space="preserve"> REF _Ref430248147 \h </w:instrText>
      </w:r>
      <w:r w:rsidR="00A5530A" w:rsidRPr="00EC0229">
        <w:rPr>
          <w:rFonts w:eastAsia="Times New Roman" w:cs="Times New Roman"/>
          <w:szCs w:val="24"/>
          <w:lang w:eastAsia="en-GB"/>
        </w:rPr>
        <w:instrText xml:space="preserve"> \* MERGEFORMAT </w:instrText>
      </w:r>
      <w:r w:rsidR="00B151DA" w:rsidRPr="00EC0229">
        <w:rPr>
          <w:rFonts w:eastAsia="Times New Roman" w:cs="Times New Roman"/>
          <w:szCs w:val="24"/>
          <w:lang w:eastAsia="en-GB"/>
        </w:rPr>
      </w:r>
      <w:r w:rsidR="00B151DA"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70</w:t>
      </w:r>
      <w:r w:rsidR="00B151DA" w:rsidRPr="00EC0229">
        <w:rPr>
          <w:rFonts w:eastAsia="Times New Roman" w:cs="Times New Roman"/>
          <w:szCs w:val="24"/>
          <w:lang w:eastAsia="en-GB"/>
        </w:rPr>
        <w:fldChar w:fldCharType="end"/>
      </w:r>
      <w:r w:rsidR="009071D2" w:rsidRPr="00EC0229">
        <w:rPr>
          <w:rFonts w:eastAsia="Times New Roman" w:cs="Times New Roman"/>
          <w:szCs w:val="24"/>
          <w:lang w:eastAsia="en-GB"/>
        </w:rPr>
        <w:t>)</w:t>
      </w:r>
      <w:r w:rsidRPr="00EC0229">
        <w:rPr>
          <w:rFonts w:cs="Times New Roman"/>
          <w:szCs w:val="24"/>
        </w:rPr>
        <w:t>.</w:t>
      </w:r>
    </w:p>
    <w:p w14:paraId="41010253" w14:textId="77777777" w:rsidR="00BD53D4" w:rsidRPr="00EC0229" w:rsidRDefault="00BD53D4" w:rsidP="007600EA">
      <w:pPr>
        <w:pStyle w:val="NoSpacing"/>
        <w:spacing w:line="360" w:lineRule="auto"/>
        <w:rPr>
          <w:rFonts w:cs="Times New Roman"/>
          <w:szCs w:val="24"/>
        </w:rPr>
      </w:pPr>
      <w:r w:rsidRPr="00EC0229">
        <w:rPr>
          <w:rFonts w:cs="Times New Roman"/>
          <w:noProof/>
          <w:szCs w:val="24"/>
          <w:lang w:eastAsia="en-GB"/>
        </w:rPr>
        <w:lastRenderedPageBreak/>
        <w:drawing>
          <wp:inline distT="0" distB="0" distL="0" distR="0" wp14:anchorId="51F46868" wp14:editId="2856427D">
            <wp:extent cx="800727" cy="78188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80 Fishergate (44) 4312.JPG"/>
                    <pic:cNvPicPr/>
                  </pic:nvPicPr>
                  <pic:blipFill>
                    <a:blip r:embed="rId239">
                      <a:extLst>
                        <a:ext uri="{28A0092B-C50C-407E-A947-70E740481C1C}">
                          <a14:useLocalDpi xmlns:a14="http://schemas.microsoft.com/office/drawing/2010/main" val="0"/>
                        </a:ext>
                      </a:extLst>
                    </a:blip>
                    <a:stretch>
                      <a:fillRect/>
                    </a:stretch>
                  </pic:blipFill>
                  <pic:spPr>
                    <a:xfrm>
                      <a:off x="0" y="0"/>
                      <a:ext cx="826128" cy="806690"/>
                    </a:xfrm>
                    <a:prstGeom prst="rect">
                      <a:avLst/>
                    </a:prstGeom>
                  </pic:spPr>
                </pic:pic>
              </a:graphicData>
            </a:graphic>
          </wp:inline>
        </w:drawing>
      </w:r>
      <w:r w:rsidRPr="00EC0229">
        <w:rPr>
          <w:rFonts w:cs="Times New Roman"/>
          <w:noProof/>
          <w:szCs w:val="24"/>
          <w:lang w:eastAsia="en-GB"/>
        </w:rPr>
        <w:drawing>
          <wp:inline distT="0" distB="0" distL="0" distR="0" wp14:anchorId="10416DAF" wp14:editId="391995DC">
            <wp:extent cx="817880" cy="817880"/>
            <wp:effectExtent l="0" t="0" r="1270"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80 Fishergate (45) 4312.JPG"/>
                    <pic:cNvPicPr/>
                  </pic:nvPicPr>
                  <pic:blipFill>
                    <a:blip r:embed="rId240">
                      <a:extLst>
                        <a:ext uri="{28A0092B-C50C-407E-A947-70E740481C1C}">
                          <a14:useLocalDpi xmlns:a14="http://schemas.microsoft.com/office/drawing/2010/main" val="0"/>
                        </a:ext>
                      </a:extLst>
                    </a:blip>
                    <a:stretch>
                      <a:fillRect/>
                    </a:stretch>
                  </pic:blipFill>
                  <pic:spPr>
                    <a:xfrm>
                      <a:off x="0" y="0"/>
                      <a:ext cx="817880" cy="817880"/>
                    </a:xfrm>
                    <a:prstGeom prst="rect">
                      <a:avLst/>
                    </a:prstGeom>
                  </pic:spPr>
                </pic:pic>
              </a:graphicData>
            </a:graphic>
          </wp:inline>
        </w:drawing>
      </w:r>
      <w:r w:rsidRPr="00EC0229">
        <w:rPr>
          <w:rFonts w:cs="Times New Roman"/>
          <w:szCs w:val="24"/>
        </w:rPr>
        <w:tab/>
        <w:t xml:space="preserve">    </w:t>
      </w:r>
      <w:r w:rsidRPr="00EC0229">
        <w:rPr>
          <w:rFonts w:cs="Times New Roman"/>
          <w:noProof/>
          <w:szCs w:val="24"/>
          <w:lang w:eastAsia="en-GB"/>
        </w:rPr>
        <w:drawing>
          <wp:inline distT="0" distB="0" distL="0" distR="0" wp14:anchorId="2596F71C" wp14:editId="2B92AD03">
            <wp:extent cx="840189" cy="8204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8-20 Fishergate (38) 1658a.JPG"/>
                    <pic:cNvPicPr/>
                  </pic:nvPicPr>
                  <pic:blipFill>
                    <a:blip r:embed="rId241">
                      <a:extLst>
                        <a:ext uri="{28A0092B-C50C-407E-A947-70E740481C1C}">
                          <a14:useLocalDpi xmlns:a14="http://schemas.microsoft.com/office/drawing/2010/main" val="0"/>
                        </a:ext>
                      </a:extLst>
                    </a:blip>
                    <a:stretch>
                      <a:fillRect/>
                    </a:stretch>
                  </pic:blipFill>
                  <pic:spPr>
                    <a:xfrm>
                      <a:off x="0" y="0"/>
                      <a:ext cx="864718" cy="844372"/>
                    </a:xfrm>
                    <a:prstGeom prst="rect">
                      <a:avLst/>
                    </a:prstGeom>
                  </pic:spPr>
                </pic:pic>
              </a:graphicData>
            </a:graphic>
          </wp:inline>
        </w:drawing>
      </w:r>
      <w:r w:rsidRPr="00EC0229">
        <w:rPr>
          <w:rFonts w:cs="Times New Roman"/>
          <w:noProof/>
          <w:szCs w:val="24"/>
          <w:lang w:eastAsia="en-GB"/>
        </w:rPr>
        <w:drawing>
          <wp:inline distT="0" distB="0" distL="0" distR="0" wp14:anchorId="35041CA4" wp14:editId="79CB7D2A">
            <wp:extent cx="822960" cy="783081"/>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8-20 Fishergate (39) 1658a.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880416" cy="837753"/>
                    </a:xfrm>
                    <a:prstGeom prst="rect">
                      <a:avLst/>
                    </a:prstGeom>
                  </pic:spPr>
                </pic:pic>
              </a:graphicData>
            </a:graphic>
          </wp:inline>
        </w:drawing>
      </w:r>
      <w:r w:rsidRPr="00EC0229">
        <w:rPr>
          <w:rFonts w:cs="Times New Roman"/>
          <w:szCs w:val="24"/>
        </w:rPr>
        <w:tab/>
        <w:t xml:space="preserve">     </w:t>
      </w:r>
      <w:r w:rsidRPr="00EC0229">
        <w:rPr>
          <w:rFonts w:cs="Times New Roman"/>
          <w:noProof/>
          <w:szCs w:val="24"/>
          <w:lang w:eastAsia="en-GB"/>
        </w:rPr>
        <w:drawing>
          <wp:inline distT="0" distB="0" distL="0" distR="0" wp14:anchorId="0E8DC04D" wp14:editId="6F17102E">
            <wp:extent cx="775549" cy="799465"/>
            <wp:effectExtent l="0" t="0" r="5715"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8-25  (new var) Fishergate (40) 1658b.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800702" cy="825394"/>
                    </a:xfrm>
                    <a:prstGeom prst="rect">
                      <a:avLst/>
                    </a:prstGeom>
                  </pic:spPr>
                </pic:pic>
              </a:graphicData>
            </a:graphic>
          </wp:inline>
        </w:drawing>
      </w:r>
      <w:r w:rsidRPr="00EC0229">
        <w:rPr>
          <w:rFonts w:cs="Times New Roman"/>
          <w:noProof/>
          <w:szCs w:val="24"/>
          <w:lang w:eastAsia="en-GB"/>
        </w:rPr>
        <w:drawing>
          <wp:inline distT="0" distB="0" distL="0" distR="0" wp14:anchorId="62D4961E" wp14:editId="108FDBD6">
            <wp:extent cx="809306" cy="80454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8-25 (new var) Fishergate (41) 1658b.JPG"/>
                    <pic:cNvPicPr/>
                  </pic:nvPicPr>
                  <pic:blipFill>
                    <a:blip r:embed="rId244">
                      <a:extLst>
                        <a:ext uri="{28A0092B-C50C-407E-A947-70E740481C1C}">
                          <a14:useLocalDpi xmlns:a14="http://schemas.microsoft.com/office/drawing/2010/main" val="0"/>
                        </a:ext>
                      </a:extLst>
                    </a:blip>
                    <a:stretch>
                      <a:fillRect/>
                    </a:stretch>
                  </pic:blipFill>
                  <pic:spPr>
                    <a:xfrm>
                      <a:off x="0" y="0"/>
                      <a:ext cx="845750" cy="840775"/>
                    </a:xfrm>
                    <a:prstGeom prst="rect">
                      <a:avLst/>
                    </a:prstGeom>
                  </pic:spPr>
                </pic:pic>
              </a:graphicData>
            </a:graphic>
          </wp:inline>
        </w:drawing>
      </w:r>
    </w:p>
    <w:p w14:paraId="5EC2FE12" w14:textId="6D158431" w:rsidR="00BD53D4" w:rsidRPr="00EC0229" w:rsidRDefault="002A206F" w:rsidP="007600EA">
      <w:pPr>
        <w:pStyle w:val="NoSpacing"/>
        <w:spacing w:line="360" w:lineRule="auto"/>
        <w:jc w:val="center"/>
        <w:rPr>
          <w:rFonts w:cs="Times New Roman"/>
          <w:sz w:val="20"/>
          <w:szCs w:val="20"/>
        </w:rPr>
      </w:pPr>
      <w:bookmarkStart w:id="545" w:name="_Ref430248147"/>
      <w:bookmarkStart w:id="546" w:name="_Toc46826704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70</w:t>
      </w:r>
      <w:r w:rsidRPr="00EC0229">
        <w:rPr>
          <w:sz w:val="20"/>
          <w:szCs w:val="20"/>
        </w:rPr>
        <w:fldChar w:fldCharType="end"/>
      </w:r>
      <w:bookmarkEnd w:id="545"/>
      <w:r w:rsidR="009071D2" w:rsidRPr="00EC0229">
        <w:rPr>
          <w:rFonts w:cs="Times New Roman"/>
          <w:sz w:val="20"/>
          <w:szCs w:val="20"/>
        </w:rPr>
        <w:t xml:space="preserve">: </w:t>
      </w:r>
      <w:r w:rsidR="00BD53D4" w:rsidRPr="00EC0229">
        <w:rPr>
          <w:rFonts w:cs="Times New Roman"/>
          <w:sz w:val="20"/>
          <w:szCs w:val="20"/>
        </w:rPr>
        <w:t>Fishergate</w:t>
      </w:r>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Fishergate</w:instrText>
      </w:r>
      <w:r w:rsidR="006B1593" w:rsidRPr="00EC0229">
        <w:rPr>
          <w:sz w:val="20"/>
          <w:szCs w:val="20"/>
        </w:rPr>
        <w:instrText xml:space="preserve">" </w:instrText>
      </w:r>
      <w:r w:rsidR="006B1593" w:rsidRPr="00EC0229">
        <w:rPr>
          <w:rFonts w:cs="Times New Roman"/>
          <w:sz w:val="20"/>
          <w:szCs w:val="20"/>
        </w:rPr>
        <w:fldChar w:fldCharType="end"/>
      </w:r>
      <w:r w:rsidR="00BD53D4" w:rsidRPr="00EC0229">
        <w:rPr>
          <w:rFonts w:cs="Times New Roman"/>
          <w:sz w:val="20"/>
          <w:szCs w:val="20"/>
        </w:rPr>
        <w:t xml:space="preserve"> specimens, sceats:</w:t>
      </w:r>
      <w:bookmarkEnd w:id="546"/>
    </w:p>
    <w:p w14:paraId="7999EE9F" w14:textId="595C36C2" w:rsidR="00BD53D4" w:rsidRPr="00EC0229" w:rsidRDefault="00BD53D4" w:rsidP="007600EA">
      <w:pPr>
        <w:pStyle w:val="NoSpacing"/>
        <w:spacing w:line="360" w:lineRule="auto"/>
        <w:rPr>
          <w:rFonts w:cs="Times New Roman"/>
          <w:sz w:val="20"/>
          <w:szCs w:val="20"/>
        </w:rPr>
      </w:pPr>
      <w:r w:rsidRPr="00EC0229">
        <w:rPr>
          <w:rFonts w:cs="Times New Roman"/>
          <w:sz w:val="20"/>
          <w:szCs w:val="20"/>
        </w:rPr>
        <w:t xml:space="preserve">         Series</w:t>
      </w:r>
      <w:r w:rsidR="00D142DC" w:rsidRPr="00EC0229">
        <w:rPr>
          <w:rFonts w:cs="Times New Roman"/>
          <w:sz w:val="20"/>
          <w:szCs w:val="20"/>
        </w:rPr>
        <w:fldChar w:fldCharType="begin"/>
      </w:r>
      <w:r w:rsidR="00D142DC" w:rsidRPr="00EC0229">
        <w:instrText xml:space="preserve"> XE "Series" </w:instrText>
      </w:r>
      <w:r w:rsidR="00D142DC" w:rsidRPr="00EC0229">
        <w:rPr>
          <w:rFonts w:cs="Times New Roman"/>
          <w:sz w:val="20"/>
          <w:szCs w:val="20"/>
        </w:rPr>
        <w:fldChar w:fldCharType="end"/>
      </w:r>
      <w:r w:rsidRPr="00EC0229">
        <w:rPr>
          <w:rFonts w:cs="Times New Roman"/>
          <w:sz w:val="20"/>
          <w:szCs w:val="20"/>
        </w:rPr>
        <w:t xml:space="preserve"> BIII</w:t>
      </w:r>
      <w:r w:rsidR="005B7558" w:rsidRPr="00EC0229">
        <w:rPr>
          <w:rFonts w:cs="Times New Roman"/>
          <w:sz w:val="20"/>
          <w:szCs w:val="20"/>
        </w:rPr>
        <w:t xml:space="preserve">c </w:t>
      </w:r>
      <w:r w:rsidRPr="00EC0229">
        <w:rPr>
          <w:rFonts w:cs="Times New Roman"/>
          <w:sz w:val="20"/>
          <w:szCs w:val="20"/>
        </w:rPr>
        <w:t>(</w:t>
      </w:r>
      <w:r w:rsidRPr="00EC0229">
        <w:rPr>
          <w:rFonts w:cs="Times New Roman"/>
          <w:i/>
          <w:sz w:val="20"/>
          <w:szCs w:val="20"/>
        </w:rPr>
        <w:t>SL</w:t>
      </w:r>
      <w:r w:rsidRPr="00EC0229">
        <w:rPr>
          <w:rFonts w:cs="Times New Roman"/>
          <w:sz w:val="20"/>
          <w:szCs w:val="20"/>
        </w:rPr>
        <w:t>16-80)                      Series J, type 85 (</w:t>
      </w:r>
      <w:r w:rsidRPr="00EC0229">
        <w:rPr>
          <w:rFonts w:cs="Times New Roman"/>
          <w:i/>
          <w:sz w:val="20"/>
          <w:szCs w:val="20"/>
        </w:rPr>
        <w:t>SL</w:t>
      </w:r>
      <w:r w:rsidRPr="00EC0229">
        <w:rPr>
          <w:rFonts w:cs="Times New Roman"/>
          <w:sz w:val="20"/>
          <w:szCs w:val="20"/>
        </w:rPr>
        <w:t xml:space="preserve"> 18-20)             Series J, type 85 (</w:t>
      </w:r>
      <w:r w:rsidRPr="00EC0229">
        <w:rPr>
          <w:rFonts w:cs="Times New Roman"/>
          <w:i/>
          <w:sz w:val="20"/>
          <w:szCs w:val="20"/>
        </w:rPr>
        <w:t>SL</w:t>
      </w:r>
      <w:r w:rsidRPr="00EC0229">
        <w:rPr>
          <w:rFonts w:cs="Times New Roman"/>
          <w:sz w:val="20"/>
          <w:szCs w:val="20"/>
        </w:rPr>
        <w:t xml:space="preserve"> 18-25)</w:t>
      </w:r>
    </w:p>
    <w:p w14:paraId="21645428" w14:textId="77777777" w:rsidR="00BD53D4" w:rsidRPr="00EC0229" w:rsidRDefault="00BD53D4" w:rsidP="007600EA">
      <w:pPr>
        <w:pStyle w:val="NoSpacing"/>
        <w:spacing w:line="360" w:lineRule="auto"/>
        <w:jc w:val="center"/>
        <w:rPr>
          <w:rFonts w:cs="Times New Roman"/>
          <w:sz w:val="20"/>
          <w:szCs w:val="20"/>
        </w:rPr>
      </w:pPr>
    </w:p>
    <w:p w14:paraId="20FD48E4" w14:textId="3B5DA385" w:rsidR="00BD53D4" w:rsidRPr="00EC0229" w:rsidRDefault="00BD53D4" w:rsidP="007600EA">
      <w:pPr>
        <w:pStyle w:val="NoSpacing"/>
        <w:spacing w:line="360" w:lineRule="auto"/>
        <w:rPr>
          <w:rFonts w:cs="Times New Roman"/>
          <w:szCs w:val="24"/>
        </w:rPr>
      </w:pPr>
      <w:r w:rsidRPr="00EC0229">
        <w:rPr>
          <w:rFonts w:cs="Times New Roman"/>
          <w:szCs w:val="24"/>
        </w:rPr>
        <w:t>A sceat of early Series</w:t>
      </w:r>
      <w:r w:rsidR="00D142DC" w:rsidRPr="00EC0229">
        <w:rPr>
          <w:rFonts w:cs="Times New Roman"/>
          <w:szCs w:val="24"/>
        </w:rPr>
        <w:fldChar w:fldCharType="begin"/>
      </w:r>
      <w:r w:rsidR="00D142DC" w:rsidRPr="00EC0229">
        <w:instrText xml:space="preserve"> XE "Series" </w:instrText>
      </w:r>
      <w:r w:rsidR="00D142DC" w:rsidRPr="00EC0229">
        <w:rPr>
          <w:rFonts w:cs="Times New Roman"/>
          <w:szCs w:val="24"/>
        </w:rPr>
        <w:fldChar w:fldCharType="end"/>
      </w:r>
      <w:r w:rsidRPr="00EC0229">
        <w:rPr>
          <w:rFonts w:cs="Times New Roman"/>
          <w:szCs w:val="24"/>
        </w:rPr>
        <w:t xml:space="preserve"> R</w:t>
      </w:r>
      <w:r w:rsidR="00531141" w:rsidRPr="00EC0229">
        <w:rPr>
          <w:rFonts w:cs="Times New Roman"/>
          <w:szCs w:val="24"/>
        </w:rPr>
        <w:t xml:space="preserve"> [4b]</w:t>
      </w:r>
      <w:r w:rsidRPr="00EC0229">
        <w:rPr>
          <w:rFonts w:cs="Times New Roman"/>
          <w:szCs w:val="24"/>
        </w:rPr>
        <w:t xml:space="preserve">, whose finds focus favours Ipswich, is again heavily worn and corroded. Although trade between </w:t>
      </w:r>
      <w:r w:rsidRPr="00EC0229">
        <w:rPr>
          <w:rFonts w:cs="Times New Roman"/>
          <w:i/>
          <w:szCs w:val="24"/>
        </w:rPr>
        <w:t>Eoforwic</w:t>
      </w:r>
      <w:r w:rsidRPr="00EC0229">
        <w:rPr>
          <w:rFonts w:cs="Times New Roman"/>
          <w:szCs w:val="24"/>
        </w:rPr>
        <w:t xml:space="preserve"> and </w:t>
      </w:r>
      <w:r w:rsidRPr="00EC0229">
        <w:rPr>
          <w:rFonts w:cs="Times New Roman"/>
          <w:i/>
          <w:szCs w:val="24"/>
        </w:rPr>
        <w:t>Gipeswic</w:t>
      </w:r>
      <w:r w:rsidR="008960AE" w:rsidRPr="00EC0229">
        <w:rPr>
          <w:rFonts w:cs="Times New Roman"/>
          <w:i/>
          <w:szCs w:val="24"/>
        </w:rPr>
        <w:fldChar w:fldCharType="begin"/>
      </w:r>
      <w:r w:rsidR="008960AE" w:rsidRPr="00EC0229">
        <w:instrText xml:space="preserve"> XE "</w:instrText>
      </w:r>
      <w:r w:rsidR="008960AE" w:rsidRPr="00EC0229">
        <w:rPr>
          <w:rFonts w:cs="Times New Roman"/>
          <w:i/>
          <w:color w:val="000000" w:themeColor="text1"/>
          <w:szCs w:val="24"/>
        </w:rPr>
        <w:instrText>Gipeswic</w:instrText>
      </w:r>
      <w:r w:rsidR="008960AE" w:rsidRPr="00EC0229">
        <w:instrText xml:space="preserve">" </w:instrText>
      </w:r>
      <w:r w:rsidR="008960AE" w:rsidRPr="00EC0229">
        <w:rPr>
          <w:rFonts w:cs="Times New Roman"/>
          <w:i/>
          <w:szCs w:val="24"/>
        </w:rPr>
        <w:fldChar w:fldCharType="end"/>
      </w:r>
      <w:r w:rsidRPr="00EC0229">
        <w:rPr>
          <w:rFonts w:cs="Times New Roman"/>
          <w:i/>
          <w:szCs w:val="24"/>
        </w:rPr>
        <w:t xml:space="preserve"> </w:t>
      </w:r>
      <w:r w:rsidRPr="00EC0229">
        <w:rPr>
          <w:rFonts w:cs="Times New Roman"/>
          <w:szCs w:val="24"/>
        </w:rPr>
        <w:t>is evidenced by pottery,</w:t>
      </w:r>
      <w:r w:rsidRPr="00EC0229">
        <w:rPr>
          <w:rStyle w:val="FootnoteReference"/>
          <w:rFonts w:cs="Times New Roman"/>
          <w:szCs w:val="24"/>
        </w:rPr>
        <w:footnoteReference w:id="885"/>
      </w:r>
      <w:r w:rsidRPr="00EC0229">
        <w:rPr>
          <w:rFonts w:cs="Times New Roman"/>
          <w:color w:val="FF0000"/>
          <w:szCs w:val="24"/>
        </w:rPr>
        <w:t xml:space="preserve"> </w:t>
      </w:r>
      <w:r w:rsidRPr="00EC0229">
        <w:rPr>
          <w:rFonts w:cs="Times New Roman"/>
          <w:szCs w:val="24"/>
        </w:rPr>
        <w:t xml:space="preserve">this specimen is likely to have been in heavy use and does not corroborate direct trade. </w:t>
      </w:r>
    </w:p>
    <w:p w14:paraId="2FE21BCF" w14:textId="77777777" w:rsidR="00BD53D4" w:rsidRPr="00EC0229" w:rsidRDefault="00BD53D4" w:rsidP="007600EA">
      <w:pPr>
        <w:pStyle w:val="NoSpacing"/>
        <w:spacing w:line="360" w:lineRule="auto"/>
        <w:jc w:val="center"/>
        <w:rPr>
          <w:rFonts w:cs="Times New Roman"/>
          <w:szCs w:val="24"/>
        </w:rPr>
      </w:pPr>
      <w:r w:rsidRPr="00EC0229">
        <w:rPr>
          <w:rFonts w:cs="Times New Roman"/>
          <w:noProof/>
          <w:szCs w:val="24"/>
          <w:lang w:eastAsia="en-GB"/>
        </w:rPr>
        <w:drawing>
          <wp:inline distT="0" distB="0" distL="0" distR="0" wp14:anchorId="79F15989" wp14:editId="3B04D0D6">
            <wp:extent cx="800325" cy="796799"/>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0-60 Fishergate (34) 1360a.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834309" cy="830634"/>
                    </a:xfrm>
                    <a:prstGeom prst="rect">
                      <a:avLst/>
                    </a:prstGeom>
                  </pic:spPr>
                </pic:pic>
              </a:graphicData>
            </a:graphic>
          </wp:inline>
        </w:drawing>
      </w:r>
      <w:r w:rsidRPr="00EC0229">
        <w:rPr>
          <w:rFonts w:cs="Times New Roman"/>
          <w:noProof/>
          <w:szCs w:val="24"/>
          <w:lang w:eastAsia="en-GB"/>
        </w:rPr>
        <w:drawing>
          <wp:inline distT="0" distB="0" distL="0" distR="0" wp14:anchorId="42CC6328" wp14:editId="3604BEF6">
            <wp:extent cx="851104" cy="817359"/>
            <wp:effectExtent l="0" t="0" r="6350"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0-60 Fishergate (35) 1360a.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871034" cy="836499"/>
                    </a:xfrm>
                    <a:prstGeom prst="rect">
                      <a:avLst/>
                    </a:prstGeom>
                  </pic:spPr>
                </pic:pic>
              </a:graphicData>
            </a:graphic>
          </wp:inline>
        </w:drawing>
      </w:r>
    </w:p>
    <w:p w14:paraId="1051AAE5" w14:textId="2B55CFB6" w:rsidR="00BD53D4" w:rsidRPr="00EC0229" w:rsidRDefault="002A206F" w:rsidP="007600EA">
      <w:pPr>
        <w:pStyle w:val="NoSpacing"/>
        <w:spacing w:line="360" w:lineRule="auto"/>
        <w:jc w:val="center"/>
        <w:rPr>
          <w:rFonts w:cs="Times New Roman"/>
          <w:sz w:val="20"/>
          <w:szCs w:val="20"/>
        </w:rPr>
      </w:pPr>
      <w:bookmarkStart w:id="547" w:name="_Ref430248159"/>
      <w:bookmarkStart w:id="548" w:name="_Toc46826704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71</w:t>
      </w:r>
      <w:r w:rsidRPr="00EC0229">
        <w:rPr>
          <w:sz w:val="20"/>
          <w:szCs w:val="20"/>
        </w:rPr>
        <w:fldChar w:fldCharType="end"/>
      </w:r>
      <w:bookmarkEnd w:id="547"/>
      <w:r w:rsidR="009071D2" w:rsidRPr="00EC0229">
        <w:rPr>
          <w:rFonts w:cs="Times New Roman"/>
          <w:sz w:val="20"/>
          <w:szCs w:val="20"/>
        </w:rPr>
        <w:t xml:space="preserve">: </w:t>
      </w:r>
      <w:r w:rsidR="00BD53D4" w:rsidRPr="00EC0229">
        <w:rPr>
          <w:rFonts w:cs="Times New Roman"/>
          <w:sz w:val="20"/>
          <w:szCs w:val="20"/>
        </w:rPr>
        <w:t>Exotic species from Fishergate</w:t>
      </w:r>
      <w:bookmarkEnd w:id="548"/>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Fishergate</w:instrText>
      </w:r>
      <w:r w:rsidR="006B1593" w:rsidRPr="00EC0229">
        <w:rPr>
          <w:sz w:val="20"/>
          <w:szCs w:val="20"/>
        </w:rPr>
        <w:instrText xml:space="preserve">" </w:instrText>
      </w:r>
      <w:r w:rsidR="006B1593" w:rsidRPr="00EC0229">
        <w:rPr>
          <w:rFonts w:cs="Times New Roman"/>
          <w:sz w:val="20"/>
          <w:szCs w:val="20"/>
        </w:rPr>
        <w:fldChar w:fldCharType="end"/>
      </w:r>
    </w:p>
    <w:p w14:paraId="2815CCBD" w14:textId="77777777" w:rsidR="00BD53D4" w:rsidRPr="00EC0229" w:rsidRDefault="00BD53D4" w:rsidP="007600EA">
      <w:pPr>
        <w:pStyle w:val="NoSpacing"/>
        <w:spacing w:line="360" w:lineRule="auto"/>
        <w:jc w:val="center"/>
        <w:rPr>
          <w:rFonts w:cs="Times New Roman"/>
          <w:sz w:val="20"/>
          <w:szCs w:val="20"/>
        </w:rPr>
      </w:pPr>
      <w:r w:rsidRPr="00EC0229">
        <w:rPr>
          <w:rFonts w:cs="Times New Roman"/>
          <w:sz w:val="20"/>
          <w:szCs w:val="20"/>
        </w:rPr>
        <w:t>Triquetras type sceat (</w:t>
      </w:r>
      <w:r w:rsidRPr="00EC0229">
        <w:rPr>
          <w:rFonts w:cs="Times New Roman"/>
          <w:i/>
          <w:sz w:val="20"/>
          <w:szCs w:val="20"/>
        </w:rPr>
        <w:t>SL</w:t>
      </w:r>
      <w:r w:rsidRPr="00EC0229">
        <w:rPr>
          <w:rFonts w:cs="Times New Roman"/>
          <w:sz w:val="20"/>
          <w:szCs w:val="20"/>
        </w:rPr>
        <w:t>110-60)</w:t>
      </w:r>
    </w:p>
    <w:p w14:paraId="675C3551" w14:textId="77777777" w:rsidR="00BD53D4" w:rsidRPr="00EC0229" w:rsidRDefault="00BD53D4" w:rsidP="007600EA">
      <w:pPr>
        <w:pStyle w:val="NoSpacing"/>
        <w:spacing w:line="360" w:lineRule="auto"/>
        <w:jc w:val="center"/>
        <w:rPr>
          <w:rFonts w:cs="Times New Roman"/>
          <w:sz w:val="20"/>
          <w:szCs w:val="20"/>
        </w:rPr>
      </w:pPr>
    </w:p>
    <w:p w14:paraId="57764947" w14:textId="7595714F" w:rsidR="00BD53D4" w:rsidRPr="00EC0229" w:rsidRDefault="00BD53D4" w:rsidP="007600EA">
      <w:pPr>
        <w:pStyle w:val="NoSpacing"/>
        <w:spacing w:line="360" w:lineRule="auto"/>
        <w:rPr>
          <w:rFonts w:cs="Times New Roman"/>
          <w:szCs w:val="24"/>
        </w:rPr>
      </w:pPr>
      <w:r w:rsidRPr="00EC0229">
        <w:rPr>
          <w:rFonts w:cs="Times New Roman"/>
          <w:szCs w:val="24"/>
        </w:rPr>
        <w:t>With the exception of a very rare ‘triquetras’ type</w:t>
      </w:r>
      <w:r w:rsidR="009071D2" w:rsidRPr="00EC0229">
        <w:rPr>
          <w:rFonts w:cs="Times New Roman"/>
          <w:szCs w:val="24"/>
        </w:rPr>
        <w:t xml:space="preserve"> </w:t>
      </w:r>
      <w:r w:rsidR="009071D2" w:rsidRPr="00EC0229">
        <w:rPr>
          <w:rFonts w:eastAsia="Times New Roman" w:cs="Times New Roman"/>
          <w:szCs w:val="24"/>
          <w:lang w:eastAsia="en-GB"/>
        </w:rPr>
        <w:t>(</w:t>
      </w:r>
      <w:r w:rsidR="00B151DA" w:rsidRPr="00EC0229">
        <w:rPr>
          <w:rFonts w:eastAsia="Times New Roman" w:cs="Times New Roman"/>
          <w:szCs w:val="24"/>
          <w:lang w:eastAsia="en-GB"/>
        </w:rPr>
        <w:fldChar w:fldCharType="begin"/>
      </w:r>
      <w:r w:rsidR="00B151DA" w:rsidRPr="00EC0229">
        <w:rPr>
          <w:rFonts w:eastAsia="Times New Roman" w:cs="Times New Roman"/>
          <w:szCs w:val="24"/>
          <w:lang w:eastAsia="en-GB"/>
        </w:rPr>
        <w:instrText xml:space="preserve"> REF _Ref430248159 \h </w:instrText>
      </w:r>
      <w:r w:rsidR="00A5530A" w:rsidRPr="00EC0229">
        <w:rPr>
          <w:rFonts w:eastAsia="Times New Roman" w:cs="Times New Roman"/>
          <w:szCs w:val="24"/>
          <w:lang w:eastAsia="en-GB"/>
        </w:rPr>
        <w:instrText xml:space="preserve"> \* MERGEFORMAT </w:instrText>
      </w:r>
      <w:r w:rsidR="00B151DA" w:rsidRPr="00EC0229">
        <w:rPr>
          <w:rFonts w:eastAsia="Times New Roman" w:cs="Times New Roman"/>
          <w:szCs w:val="24"/>
          <w:lang w:eastAsia="en-GB"/>
        </w:rPr>
      </w:r>
      <w:r w:rsidR="00B151DA"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71</w:t>
      </w:r>
      <w:r w:rsidR="00B151DA" w:rsidRPr="00EC0229">
        <w:rPr>
          <w:rFonts w:eastAsia="Times New Roman" w:cs="Times New Roman"/>
          <w:szCs w:val="24"/>
          <w:lang w:eastAsia="en-GB"/>
        </w:rPr>
        <w:fldChar w:fldCharType="end"/>
      </w:r>
      <w:r w:rsidR="009071D2" w:rsidRPr="00EC0229">
        <w:rPr>
          <w:rFonts w:eastAsia="Times New Roman" w:cs="Times New Roman"/>
          <w:szCs w:val="24"/>
          <w:lang w:eastAsia="en-GB"/>
        </w:rPr>
        <w:t>)</w:t>
      </w:r>
      <w:r w:rsidR="00531141" w:rsidRPr="00EC0229">
        <w:rPr>
          <w:rFonts w:eastAsia="Times New Roman" w:cs="Times New Roman"/>
          <w:szCs w:val="24"/>
          <w:lang w:eastAsia="en-GB"/>
        </w:rPr>
        <w:t>, [5b]</w:t>
      </w:r>
      <w:r w:rsidRPr="00EC0229">
        <w:rPr>
          <w:rFonts w:cs="Times New Roman"/>
          <w:szCs w:val="24"/>
        </w:rPr>
        <w:t>, late in the coinage,</w:t>
      </w:r>
      <w:r w:rsidRPr="00EC0229">
        <w:rPr>
          <w:rStyle w:val="FootnoteReference"/>
          <w:rFonts w:cs="Times New Roman"/>
          <w:szCs w:val="24"/>
        </w:rPr>
        <w:footnoteReference w:id="886"/>
      </w:r>
      <w:r w:rsidRPr="00EC0229">
        <w:rPr>
          <w:rFonts w:cs="Times New Roman"/>
          <w:szCs w:val="24"/>
        </w:rPr>
        <w:t xml:space="preserve"> the remaining coins fall into two groups: seven specimens each of secondary Series</w:t>
      </w:r>
      <w:r w:rsidR="00D142DC" w:rsidRPr="00EC0229">
        <w:rPr>
          <w:rFonts w:cs="Times New Roman"/>
          <w:szCs w:val="24"/>
        </w:rPr>
        <w:fldChar w:fldCharType="begin"/>
      </w:r>
      <w:r w:rsidR="00D142DC" w:rsidRPr="00EC0229">
        <w:instrText xml:space="preserve"> XE "Series" </w:instrText>
      </w:r>
      <w:r w:rsidR="00D142DC" w:rsidRPr="00EC0229">
        <w:rPr>
          <w:rFonts w:cs="Times New Roman"/>
          <w:szCs w:val="24"/>
        </w:rPr>
        <w:fldChar w:fldCharType="end"/>
      </w:r>
      <w:r w:rsidRPr="00EC0229">
        <w:rPr>
          <w:rFonts w:cs="Times New Roman"/>
          <w:szCs w:val="24"/>
        </w:rPr>
        <w:t xml:space="preserve"> E</w:t>
      </w:r>
      <w:r w:rsidR="008344F3" w:rsidRPr="00EC0229">
        <w:rPr>
          <w:rFonts w:cs="Times New Roman"/>
          <w:szCs w:val="24"/>
        </w:rPr>
        <w:fldChar w:fldCharType="begin"/>
      </w:r>
      <w:r w:rsidR="008344F3" w:rsidRPr="00EC0229">
        <w:instrText xml:space="preserve"> XE "Series E" </w:instrText>
      </w:r>
      <w:r w:rsidR="008344F3" w:rsidRPr="00EC0229">
        <w:rPr>
          <w:rFonts w:cs="Times New Roman"/>
          <w:szCs w:val="24"/>
        </w:rPr>
        <w:fldChar w:fldCharType="end"/>
      </w:r>
      <w:r w:rsidRPr="00EC0229">
        <w:rPr>
          <w:rFonts w:cs="Times New Roman"/>
          <w:szCs w:val="24"/>
        </w:rPr>
        <w:t xml:space="preserve"> </w:t>
      </w:r>
      <w:r w:rsidR="00531141" w:rsidRPr="00EC0229">
        <w:rPr>
          <w:rFonts w:cs="Times New Roman"/>
          <w:szCs w:val="24"/>
        </w:rPr>
        <w:t xml:space="preserve">[5c] </w:t>
      </w:r>
      <w:r w:rsidRPr="00EC0229">
        <w:rPr>
          <w:rFonts w:cs="Times New Roman"/>
          <w:szCs w:val="24"/>
        </w:rPr>
        <w:t>and the local Series Y</w:t>
      </w:r>
      <w:r w:rsidR="00531141" w:rsidRPr="00EC0229">
        <w:rPr>
          <w:rFonts w:cs="Times New Roman"/>
          <w:szCs w:val="24"/>
        </w:rPr>
        <w:t xml:space="preserve"> [N6-8]</w:t>
      </w:r>
      <w:r w:rsidRPr="00EC0229">
        <w:rPr>
          <w:rFonts w:cs="Times New Roman"/>
          <w:szCs w:val="24"/>
        </w:rPr>
        <w:t>. While only one of the Series E sceats is sufficiently well preserved to support a direct trading link,</w:t>
      </w:r>
      <w:r w:rsidRPr="00EC0229">
        <w:rPr>
          <w:rStyle w:val="FootnoteReference"/>
          <w:rFonts w:cs="Times New Roman"/>
          <w:szCs w:val="24"/>
        </w:rPr>
        <w:footnoteReference w:id="887"/>
      </w:r>
      <w:r w:rsidRPr="00EC0229">
        <w:rPr>
          <w:rFonts w:cs="Times New Roman"/>
          <w:szCs w:val="24"/>
        </w:rPr>
        <w:t xml:space="preserve"> the fact that these have not been recycled into local coinage may be an indication that, together with Series J and G, they were tolerated locally, as evidenced by the composition of finds at other northern ‘productive sites’,</w:t>
      </w:r>
      <w:r w:rsidRPr="00EC0229">
        <w:rPr>
          <w:rStyle w:val="FootnoteReference"/>
          <w:rFonts w:cs="Times New Roman"/>
          <w:szCs w:val="24"/>
        </w:rPr>
        <w:footnoteReference w:id="888"/>
      </w:r>
      <w:r w:rsidRPr="00EC0229">
        <w:rPr>
          <w:rFonts w:cs="Times New Roman"/>
          <w:szCs w:val="24"/>
        </w:rPr>
        <w:t xml:space="preserve"> possibly indicative of weak local control.</w:t>
      </w:r>
    </w:p>
    <w:p w14:paraId="6FE6155D" w14:textId="77777777" w:rsidR="00BD53D4" w:rsidRPr="00EC0229" w:rsidRDefault="00BD53D4" w:rsidP="007600EA">
      <w:pPr>
        <w:pStyle w:val="NoSpacing"/>
        <w:spacing w:line="360" w:lineRule="auto"/>
        <w:rPr>
          <w:rFonts w:cs="Times New Roman"/>
          <w:szCs w:val="24"/>
        </w:rPr>
      </w:pPr>
    </w:p>
    <w:p w14:paraId="68CE7231" w14:textId="1F77BB61" w:rsidR="00BD53D4" w:rsidRPr="00EC0229" w:rsidRDefault="00BD53D4" w:rsidP="007600EA">
      <w:pPr>
        <w:pStyle w:val="NoSpacing"/>
        <w:spacing w:line="360" w:lineRule="auto"/>
        <w:rPr>
          <w:rFonts w:cs="Times New Roman"/>
          <w:szCs w:val="24"/>
        </w:rPr>
      </w:pPr>
      <w:r w:rsidRPr="00EC0229">
        <w:rPr>
          <w:rFonts w:cs="Times New Roman"/>
          <w:szCs w:val="24"/>
        </w:rPr>
        <w:t>The Series</w:t>
      </w:r>
      <w:r w:rsidR="00D142DC" w:rsidRPr="00EC0229">
        <w:rPr>
          <w:rFonts w:cs="Times New Roman"/>
          <w:szCs w:val="24"/>
        </w:rPr>
        <w:fldChar w:fldCharType="begin"/>
      </w:r>
      <w:r w:rsidR="00D142DC" w:rsidRPr="00EC0229">
        <w:instrText xml:space="preserve"> XE "Series" </w:instrText>
      </w:r>
      <w:r w:rsidR="00D142DC" w:rsidRPr="00EC0229">
        <w:rPr>
          <w:rFonts w:cs="Times New Roman"/>
          <w:szCs w:val="24"/>
        </w:rPr>
        <w:fldChar w:fldCharType="end"/>
      </w:r>
      <w:r w:rsidRPr="00EC0229">
        <w:rPr>
          <w:rFonts w:cs="Times New Roman"/>
          <w:szCs w:val="24"/>
        </w:rPr>
        <w:t xml:space="preserve"> Y sceats inclu</w:t>
      </w:r>
      <w:r w:rsidR="00A50B11">
        <w:rPr>
          <w:rFonts w:cs="Times New Roman"/>
          <w:szCs w:val="24"/>
        </w:rPr>
        <w:t xml:space="preserve">de four fantastic animal types </w:t>
      </w:r>
      <w:r w:rsidRPr="00EC0229">
        <w:rPr>
          <w:rFonts w:cs="Times New Roman"/>
          <w:szCs w:val="24"/>
        </w:rPr>
        <w:t>of Eadberht</w:t>
      </w:r>
      <w:r w:rsidR="00D142DC" w:rsidRPr="00EC0229">
        <w:rPr>
          <w:rFonts w:cs="Times New Roman"/>
          <w:szCs w:val="24"/>
        </w:rPr>
        <w:fldChar w:fldCharType="begin"/>
      </w:r>
      <w:r w:rsidR="00D142DC" w:rsidRPr="00EC0229">
        <w:instrText xml:space="preserve"> XE "Eadberht" </w:instrText>
      </w:r>
      <w:r w:rsidR="00D142DC" w:rsidRPr="00EC0229">
        <w:rPr>
          <w:rFonts w:cs="Times New Roman"/>
          <w:szCs w:val="24"/>
        </w:rPr>
        <w:fldChar w:fldCharType="end"/>
      </w:r>
      <w:r w:rsidRPr="00EC0229">
        <w:rPr>
          <w:rFonts w:cs="Times New Roman"/>
          <w:szCs w:val="24"/>
        </w:rPr>
        <w:t xml:space="preserve"> </w:t>
      </w:r>
      <w:r w:rsidR="00531141" w:rsidRPr="00EC0229">
        <w:rPr>
          <w:rFonts w:cs="Times New Roman"/>
          <w:szCs w:val="24"/>
        </w:rPr>
        <w:t>[N6]</w:t>
      </w:r>
      <w:r w:rsidR="00AF4744">
        <w:rPr>
          <w:rFonts w:cs="Times New Roman"/>
          <w:szCs w:val="24"/>
        </w:rPr>
        <w:t>,</w:t>
      </w:r>
      <w:r w:rsidRPr="00EC0229">
        <w:rPr>
          <w:rFonts w:cs="Times New Roman"/>
          <w:szCs w:val="24"/>
        </w:rPr>
        <w:t xml:space="preserve"> and three inscriptional types</w:t>
      </w:r>
      <w:r w:rsidR="00531141" w:rsidRPr="00EC0229">
        <w:rPr>
          <w:rFonts w:cs="Times New Roman"/>
          <w:szCs w:val="24"/>
        </w:rPr>
        <w:t xml:space="preserve"> [N8]</w:t>
      </w:r>
      <w:r w:rsidRPr="00EC0229">
        <w:rPr>
          <w:rFonts w:cs="Times New Roman"/>
          <w:szCs w:val="24"/>
        </w:rPr>
        <w:t>. One of the fantastic animal types is in a condition which may suggest it has not travelled far from its minting place, the other is so worn that it could be imagined to be an East Anglian</w:t>
      </w:r>
      <w:r w:rsidR="00D142DC" w:rsidRPr="00EC0229">
        <w:rPr>
          <w:rFonts w:cs="Times New Roman"/>
          <w:szCs w:val="24"/>
        </w:rPr>
        <w:fldChar w:fldCharType="begin"/>
      </w:r>
      <w:r w:rsidR="00D142DC" w:rsidRPr="00EC0229">
        <w:instrText xml:space="preserve"> XE "Anglian" </w:instrText>
      </w:r>
      <w:r w:rsidR="00D142DC" w:rsidRPr="00EC0229">
        <w:rPr>
          <w:rFonts w:cs="Times New Roman"/>
          <w:szCs w:val="24"/>
        </w:rPr>
        <w:fldChar w:fldCharType="end"/>
      </w:r>
      <w:r w:rsidRPr="00EC0229">
        <w:rPr>
          <w:rFonts w:cs="Times New Roman"/>
          <w:szCs w:val="24"/>
        </w:rPr>
        <w:t xml:space="preserve"> coin of Series Q</w:t>
      </w:r>
      <w:r w:rsidR="008344F3" w:rsidRPr="00EC0229">
        <w:rPr>
          <w:rFonts w:cs="Times New Roman"/>
          <w:szCs w:val="24"/>
        </w:rPr>
        <w:fldChar w:fldCharType="begin"/>
      </w:r>
      <w:r w:rsidR="008344F3" w:rsidRPr="00EC0229">
        <w:instrText xml:space="preserve"> XE "Series Q" </w:instrText>
      </w:r>
      <w:r w:rsidR="008344F3"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889"/>
      </w:r>
      <w:r w:rsidRPr="00EC0229">
        <w:rPr>
          <w:rFonts w:cs="Times New Roman"/>
          <w:szCs w:val="24"/>
        </w:rPr>
        <w:t xml:space="preserve"> a Series </w:t>
      </w:r>
      <w:r w:rsidR="00CE43FD" w:rsidRPr="00EC0229">
        <w:rPr>
          <w:rFonts w:cs="Times New Roman"/>
          <w:szCs w:val="24"/>
        </w:rPr>
        <w:t>with affinities</w:t>
      </w:r>
      <w:r w:rsidRPr="00EC0229">
        <w:rPr>
          <w:rFonts w:cs="Times New Roman"/>
          <w:szCs w:val="24"/>
        </w:rPr>
        <w:t xml:space="preserve"> to Series Y.</w:t>
      </w:r>
      <w:r w:rsidRPr="00EC0229">
        <w:rPr>
          <w:rStyle w:val="FootnoteReference"/>
          <w:rFonts w:cs="Times New Roman"/>
          <w:szCs w:val="24"/>
        </w:rPr>
        <w:footnoteReference w:id="890"/>
      </w:r>
      <w:r w:rsidRPr="00EC0229">
        <w:rPr>
          <w:rFonts w:cs="Times New Roman"/>
          <w:szCs w:val="24"/>
        </w:rPr>
        <w:t xml:space="preserve"> Two of the inscriptional </w:t>
      </w:r>
      <w:r w:rsidRPr="00EC0229">
        <w:rPr>
          <w:rFonts w:cs="Times New Roman"/>
          <w:szCs w:val="24"/>
        </w:rPr>
        <w:lastRenderedPageBreak/>
        <w:t xml:space="preserve">types </w:t>
      </w:r>
      <w:r w:rsidR="00531141" w:rsidRPr="00EC0229">
        <w:rPr>
          <w:rFonts w:cs="Times New Roman"/>
          <w:szCs w:val="24"/>
        </w:rPr>
        <w:t xml:space="preserve">[N8] </w:t>
      </w:r>
      <w:r w:rsidRPr="00EC0229">
        <w:rPr>
          <w:rFonts w:cs="Times New Roman"/>
          <w:szCs w:val="24"/>
        </w:rPr>
        <w:t>are joint regal/archiepiscopal issues, for Eadberht with Archbishop Ecgberht</w:t>
      </w:r>
      <w:r w:rsidR="00D142DC" w:rsidRPr="00EC0229">
        <w:rPr>
          <w:rFonts w:cs="Times New Roman"/>
          <w:szCs w:val="24"/>
        </w:rPr>
        <w:fldChar w:fldCharType="begin"/>
      </w:r>
      <w:r w:rsidR="00D142DC" w:rsidRPr="00EC0229">
        <w:instrText xml:space="preserve"> XE "Ecgberht" </w:instrText>
      </w:r>
      <w:r w:rsidR="00D142DC" w:rsidRPr="00EC0229">
        <w:rPr>
          <w:rFonts w:cs="Times New Roman"/>
          <w:szCs w:val="24"/>
        </w:rPr>
        <w:fldChar w:fldCharType="end"/>
      </w:r>
      <w:r w:rsidRPr="00EC0229">
        <w:rPr>
          <w:rFonts w:cs="Times New Roman"/>
          <w:szCs w:val="24"/>
        </w:rPr>
        <w:t>, and Alchred</w:t>
      </w:r>
      <w:r w:rsidR="004C29A9" w:rsidRPr="00EC0229">
        <w:rPr>
          <w:rFonts w:cs="Times New Roman"/>
          <w:szCs w:val="24"/>
        </w:rPr>
        <w:fldChar w:fldCharType="begin"/>
      </w:r>
      <w:r w:rsidR="004C29A9" w:rsidRPr="00EC0229">
        <w:instrText xml:space="preserve"> XE "</w:instrText>
      </w:r>
      <w:r w:rsidR="004C29A9" w:rsidRPr="00EC0229">
        <w:rPr>
          <w:rFonts w:cs="Times New Roman"/>
          <w:szCs w:val="24"/>
        </w:rPr>
        <w:instrText>Alchred</w:instrText>
      </w:r>
      <w:r w:rsidR="004C29A9" w:rsidRPr="00EC0229">
        <w:instrText xml:space="preserve">" </w:instrText>
      </w:r>
      <w:r w:rsidR="004C29A9" w:rsidRPr="00EC0229">
        <w:rPr>
          <w:rFonts w:cs="Times New Roman"/>
          <w:szCs w:val="24"/>
        </w:rPr>
        <w:fldChar w:fldCharType="end"/>
      </w:r>
      <w:r w:rsidRPr="00EC0229">
        <w:rPr>
          <w:rFonts w:cs="Times New Roman"/>
          <w:szCs w:val="24"/>
        </w:rPr>
        <w:t xml:space="preserve"> also with Ecgberht. The third inscriptional type, mistaken by Pirie</w:t>
      </w:r>
      <w:r w:rsidR="00716433" w:rsidRPr="00EC0229">
        <w:rPr>
          <w:rFonts w:cs="Times New Roman"/>
          <w:szCs w:val="24"/>
        </w:rPr>
        <w:fldChar w:fldCharType="begin"/>
      </w:r>
      <w:r w:rsidR="00716433" w:rsidRPr="00EC0229">
        <w:instrText xml:space="preserve"> XE "Pirie" </w:instrText>
      </w:r>
      <w:r w:rsidR="00716433" w:rsidRPr="00EC0229">
        <w:rPr>
          <w:rFonts w:cs="Times New Roman"/>
          <w:szCs w:val="24"/>
        </w:rPr>
        <w:fldChar w:fldCharType="end"/>
      </w:r>
      <w:r w:rsidRPr="00EC0229">
        <w:rPr>
          <w:rFonts w:cs="Times New Roman"/>
          <w:szCs w:val="24"/>
        </w:rPr>
        <w:t xml:space="preserve"> for a styca,</w:t>
      </w:r>
      <w:r w:rsidR="00D142DC" w:rsidRPr="00EC0229">
        <w:rPr>
          <w:rFonts w:cs="Times New Roman"/>
          <w:szCs w:val="24"/>
        </w:rPr>
        <w:fldChar w:fldCharType="begin"/>
      </w:r>
      <w:r w:rsidR="00D142DC" w:rsidRPr="00EC0229">
        <w:instrText xml:space="preserve"> XE "styca" </w:instrText>
      </w:r>
      <w:r w:rsidR="00D142DC" w:rsidRPr="00EC0229">
        <w:rPr>
          <w:rFonts w:cs="Times New Roman"/>
          <w:szCs w:val="24"/>
        </w:rPr>
        <w:fldChar w:fldCharType="end"/>
      </w:r>
      <w:r w:rsidRPr="00EC0229">
        <w:rPr>
          <w:rFonts w:cs="Times New Roman"/>
          <w:szCs w:val="24"/>
        </w:rPr>
        <w:t xml:space="preserve"> is for Æthelred</w:t>
      </w:r>
      <w:r w:rsidR="00D142DC" w:rsidRPr="00EC0229">
        <w:rPr>
          <w:rFonts w:cs="Times New Roman"/>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szCs w:val="24"/>
        </w:rPr>
        <w:fldChar w:fldCharType="end"/>
      </w:r>
      <w:r w:rsidRPr="00EC0229">
        <w:rPr>
          <w:rFonts w:cs="Times New Roman"/>
          <w:szCs w:val="24"/>
        </w:rPr>
        <w:t xml:space="preserve"> I by the long-serving moneyer </w:t>
      </w:r>
      <w:r w:rsidR="002226A8" w:rsidRPr="00EC0229">
        <w:rPr>
          <w:rFonts w:cs="Times New Roman"/>
          <w:szCs w:val="24"/>
        </w:rPr>
        <w:t>Cuth</w:t>
      </w:r>
      <w:r w:rsidRPr="00EC0229">
        <w:rPr>
          <w:rFonts w:cs="Times New Roman"/>
          <w:szCs w:val="24"/>
        </w:rPr>
        <w:t>heart, which extends the use of sceats at this site, into the 790s</w:t>
      </w:r>
      <w:r w:rsidR="009071D2" w:rsidRPr="00EC0229">
        <w:rPr>
          <w:rFonts w:cs="Times New Roman"/>
          <w:szCs w:val="24"/>
        </w:rPr>
        <w:t xml:space="preserve"> </w:t>
      </w:r>
      <w:r w:rsidR="009071D2" w:rsidRPr="00EC0229">
        <w:rPr>
          <w:rFonts w:eastAsia="Times New Roman" w:cs="Times New Roman"/>
          <w:szCs w:val="24"/>
          <w:lang w:eastAsia="en-GB"/>
        </w:rPr>
        <w:t>(</w:t>
      </w:r>
      <w:r w:rsidR="00B151DA" w:rsidRPr="00EC0229">
        <w:rPr>
          <w:rFonts w:eastAsia="Times New Roman" w:cs="Times New Roman"/>
          <w:szCs w:val="24"/>
          <w:lang w:eastAsia="en-GB"/>
        </w:rPr>
        <w:fldChar w:fldCharType="begin"/>
      </w:r>
      <w:r w:rsidR="00B151DA" w:rsidRPr="00EC0229">
        <w:rPr>
          <w:rFonts w:eastAsia="Times New Roman" w:cs="Times New Roman"/>
          <w:szCs w:val="24"/>
          <w:lang w:eastAsia="en-GB"/>
        </w:rPr>
        <w:instrText xml:space="preserve"> REF _Ref430248171 \h </w:instrText>
      </w:r>
      <w:r w:rsidR="00A5530A" w:rsidRPr="00EC0229">
        <w:rPr>
          <w:rFonts w:eastAsia="Times New Roman" w:cs="Times New Roman"/>
          <w:szCs w:val="24"/>
          <w:lang w:eastAsia="en-GB"/>
        </w:rPr>
        <w:instrText xml:space="preserve"> \* MERGEFORMAT </w:instrText>
      </w:r>
      <w:r w:rsidR="00B151DA" w:rsidRPr="00EC0229">
        <w:rPr>
          <w:rFonts w:eastAsia="Times New Roman" w:cs="Times New Roman"/>
          <w:szCs w:val="24"/>
          <w:lang w:eastAsia="en-GB"/>
        </w:rPr>
      </w:r>
      <w:r w:rsidR="00B151DA"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72</w:t>
      </w:r>
      <w:r w:rsidR="00B151DA" w:rsidRPr="00EC0229">
        <w:rPr>
          <w:rFonts w:eastAsia="Times New Roman" w:cs="Times New Roman"/>
          <w:szCs w:val="24"/>
          <w:lang w:eastAsia="en-GB"/>
        </w:rPr>
        <w:fldChar w:fldCharType="end"/>
      </w:r>
      <w:r w:rsidR="009071D2" w:rsidRPr="00EC0229">
        <w:rPr>
          <w:rFonts w:eastAsia="Times New Roman" w:cs="Times New Roman"/>
          <w:szCs w:val="24"/>
          <w:lang w:eastAsia="en-GB"/>
        </w:rPr>
        <w:t>)</w:t>
      </w:r>
      <w:r w:rsidRPr="00EC0229">
        <w:rPr>
          <w:rFonts w:cs="Times New Roman"/>
          <w:szCs w:val="24"/>
        </w:rPr>
        <w:t>.</w:t>
      </w:r>
    </w:p>
    <w:p w14:paraId="52FFA0BC" w14:textId="77777777" w:rsidR="00BD53D4" w:rsidRPr="00EC0229" w:rsidRDefault="00BD53D4" w:rsidP="007600EA">
      <w:pPr>
        <w:spacing w:after="0" w:line="360" w:lineRule="auto"/>
        <w:rPr>
          <w:rFonts w:eastAsia="Times New Roman" w:cs="Times New Roman"/>
          <w:color w:val="000000"/>
          <w:szCs w:val="24"/>
          <w:lang w:eastAsia="en-GB"/>
        </w:rPr>
      </w:pPr>
      <w:r w:rsidRPr="00EC0229">
        <w:rPr>
          <w:rFonts w:eastAsia="Times New Roman" w:cs="Times New Roman"/>
          <w:noProof/>
          <w:color w:val="000000"/>
          <w:szCs w:val="24"/>
          <w:lang w:eastAsia="en-GB"/>
        </w:rPr>
        <w:drawing>
          <wp:inline distT="0" distB="0" distL="0" distR="0" wp14:anchorId="6F1EBD81" wp14:editId="0958EB6A">
            <wp:extent cx="831811" cy="812239"/>
            <wp:effectExtent l="0" t="0" r="6985" b="698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0-50 Fishergate (69) 5936.JPG"/>
                    <pic:cNvPicPr/>
                  </pic:nvPicPr>
                  <pic:blipFill>
                    <a:blip r:embed="rId247">
                      <a:extLst>
                        <a:ext uri="{28A0092B-C50C-407E-A947-70E740481C1C}">
                          <a14:useLocalDpi xmlns:a14="http://schemas.microsoft.com/office/drawing/2010/main" val="0"/>
                        </a:ext>
                      </a:extLst>
                    </a:blip>
                    <a:stretch>
                      <a:fillRect/>
                    </a:stretch>
                  </pic:blipFill>
                  <pic:spPr>
                    <a:xfrm>
                      <a:off x="0" y="0"/>
                      <a:ext cx="838858" cy="819120"/>
                    </a:xfrm>
                    <a:prstGeom prst="rect">
                      <a:avLst/>
                    </a:prstGeom>
                  </pic:spPr>
                </pic:pic>
              </a:graphicData>
            </a:graphic>
          </wp:inline>
        </w:drawing>
      </w:r>
      <w:r w:rsidRPr="00EC0229">
        <w:rPr>
          <w:rFonts w:eastAsia="Times New Roman" w:cs="Times New Roman"/>
          <w:noProof/>
          <w:color w:val="000000"/>
          <w:szCs w:val="24"/>
          <w:lang w:eastAsia="en-GB"/>
        </w:rPr>
        <w:drawing>
          <wp:inline distT="0" distB="0" distL="0" distR="0" wp14:anchorId="334BE433" wp14:editId="017E5631">
            <wp:extent cx="825500" cy="8255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0-50 Fishergate (70) 5936.JPG"/>
                    <pic:cNvPicPr/>
                  </pic:nvPicPr>
                  <pic:blipFill>
                    <a:blip r:embed="rId248">
                      <a:extLst>
                        <a:ext uri="{28A0092B-C50C-407E-A947-70E740481C1C}">
                          <a14:useLocalDpi xmlns:a14="http://schemas.microsoft.com/office/drawing/2010/main" val="0"/>
                        </a:ext>
                      </a:extLst>
                    </a:blip>
                    <a:stretch>
                      <a:fillRect/>
                    </a:stretch>
                  </pic:blipFill>
                  <pic:spPr>
                    <a:xfrm>
                      <a:off x="0" y="0"/>
                      <a:ext cx="825500" cy="825500"/>
                    </a:xfrm>
                    <a:prstGeom prst="rect">
                      <a:avLst/>
                    </a:prstGeom>
                  </pic:spPr>
                </pic:pic>
              </a:graphicData>
            </a:graphic>
          </wp:inline>
        </w:drawing>
      </w:r>
      <w:r w:rsidRPr="00EC0229">
        <w:rPr>
          <w:rFonts w:eastAsia="Times New Roman" w:cs="Times New Roman"/>
          <w:color w:val="000000"/>
          <w:szCs w:val="24"/>
          <w:lang w:eastAsia="en-GB"/>
        </w:rPr>
        <w:tab/>
        <w:t xml:space="preserve">        </w:t>
      </w:r>
      <w:r w:rsidRPr="00EC0229">
        <w:rPr>
          <w:rFonts w:eastAsia="Times New Roman" w:cs="Times New Roman"/>
          <w:noProof/>
          <w:color w:val="000000"/>
          <w:szCs w:val="24"/>
          <w:lang w:eastAsia="en-GB"/>
        </w:rPr>
        <w:drawing>
          <wp:inline distT="0" distB="0" distL="0" distR="0" wp14:anchorId="66BD4B39" wp14:editId="06FBB71B">
            <wp:extent cx="768973" cy="80962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5-10 Fishergate (20) 6404.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780130" cy="821372"/>
                    </a:xfrm>
                    <a:prstGeom prst="rect">
                      <a:avLst/>
                    </a:prstGeom>
                  </pic:spPr>
                </pic:pic>
              </a:graphicData>
            </a:graphic>
          </wp:inline>
        </w:drawing>
      </w:r>
      <w:r w:rsidRPr="00EC0229">
        <w:rPr>
          <w:rFonts w:eastAsia="Times New Roman" w:cs="Times New Roman"/>
          <w:noProof/>
          <w:color w:val="000000"/>
          <w:szCs w:val="24"/>
          <w:lang w:eastAsia="en-GB"/>
        </w:rPr>
        <w:drawing>
          <wp:inline distT="0" distB="0" distL="0" distR="0" wp14:anchorId="01AC4D3F" wp14:editId="4A1C1379">
            <wp:extent cx="833361" cy="781964"/>
            <wp:effectExtent l="0" t="0" r="508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5-10 Fishergate (21) 6404.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850529" cy="798073"/>
                    </a:xfrm>
                    <a:prstGeom prst="rect">
                      <a:avLst/>
                    </a:prstGeom>
                  </pic:spPr>
                </pic:pic>
              </a:graphicData>
            </a:graphic>
          </wp:inline>
        </w:drawing>
      </w:r>
      <w:r w:rsidRPr="00EC0229">
        <w:rPr>
          <w:rFonts w:eastAsia="Times New Roman" w:cs="Times New Roman"/>
          <w:color w:val="000000"/>
          <w:szCs w:val="24"/>
          <w:lang w:eastAsia="en-GB"/>
        </w:rPr>
        <w:t xml:space="preserve">         </w:t>
      </w:r>
      <w:r w:rsidRPr="00EC0229">
        <w:rPr>
          <w:rFonts w:eastAsia="Times New Roman" w:cs="Times New Roman"/>
          <w:noProof/>
          <w:color w:val="000000"/>
          <w:szCs w:val="24"/>
          <w:lang w:eastAsia="en-GB"/>
        </w:rPr>
        <w:drawing>
          <wp:inline distT="0" distB="0" distL="0" distR="0" wp14:anchorId="3223DB88" wp14:editId="24A9C155">
            <wp:extent cx="859079" cy="8477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3-20 Fishergate (16) 6214.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869732" cy="858237"/>
                    </a:xfrm>
                    <a:prstGeom prst="rect">
                      <a:avLst/>
                    </a:prstGeom>
                  </pic:spPr>
                </pic:pic>
              </a:graphicData>
            </a:graphic>
          </wp:inline>
        </w:drawing>
      </w:r>
      <w:r w:rsidRPr="00EC0229">
        <w:rPr>
          <w:rFonts w:eastAsia="Times New Roman" w:cs="Times New Roman"/>
          <w:noProof/>
          <w:color w:val="000000"/>
          <w:szCs w:val="24"/>
          <w:lang w:eastAsia="en-GB"/>
        </w:rPr>
        <w:drawing>
          <wp:inline distT="0" distB="0" distL="0" distR="0" wp14:anchorId="1F6A93F3" wp14:editId="56BAA259">
            <wp:extent cx="855547" cy="870645"/>
            <wp:effectExtent l="0" t="0" r="1905"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3-20 Fishergate (17) 6214.JPG"/>
                    <pic:cNvPicPr/>
                  </pic:nvPicPr>
                  <pic:blipFill>
                    <a:blip r:embed="rId252">
                      <a:extLst>
                        <a:ext uri="{28A0092B-C50C-407E-A947-70E740481C1C}">
                          <a14:useLocalDpi xmlns:a14="http://schemas.microsoft.com/office/drawing/2010/main" val="0"/>
                        </a:ext>
                      </a:extLst>
                    </a:blip>
                    <a:stretch>
                      <a:fillRect/>
                    </a:stretch>
                  </pic:blipFill>
                  <pic:spPr>
                    <a:xfrm>
                      <a:off x="0" y="0"/>
                      <a:ext cx="862206" cy="877421"/>
                    </a:xfrm>
                    <a:prstGeom prst="rect">
                      <a:avLst/>
                    </a:prstGeom>
                  </pic:spPr>
                </pic:pic>
              </a:graphicData>
            </a:graphic>
          </wp:inline>
        </w:drawing>
      </w:r>
    </w:p>
    <w:p w14:paraId="33C62B75" w14:textId="792A4178" w:rsidR="00BD53D4" w:rsidRPr="00EC0229" w:rsidRDefault="002A206F" w:rsidP="007600EA">
      <w:pPr>
        <w:pStyle w:val="NoSpacing"/>
        <w:spacing w:line="360" w:lineRule="auto"/>
        <w:jc w:val="center"/>
        <w:rPr>
          <w:rFonts w:cs="Times New Roman"/>
          <w:sz w:val="20"/>
          <w:szCs w:val="20"/>
        </w:rPr>
      </w:pPr>
      <w:bookmarkStart w:id="549" w:name="_Ref430248171"/>
      <w:bookmarkStart w:id="550" w:name="_Toc46826704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72</w:t>
      </w:r>
      <w:r w:rsidRPr="00EC0229">
        <w:rPr>
          <w:sz w:val="20"/>
          <w:szCs w:val="20"/>
        </w:rPr>
        <w:fldChar w:fldCharType="end"/>
      </w:r>
      <w:bookmarkEnd w:id="549"/>
      <w:r w:rsidR="009071D2" w:rsidRPr="00EC0229">
        <w:rPr>
          <w:rFonts w:cs="Times New Roman"/>
          <w:sz w:val="20"/>
          <w:szCs w:val="20"/>
        </w:rPr>
        <w:t xml:space="preserve">: </w:t>
      </w:r>
      <w:r w:rsidR="00BD53D4" w:rsidRPr="00EC0229">
        <w:rPr>
          <w:rFonts w:cs="Times New Roman"/>
          <w:sz w:val="20"/>
          <w:szCs w:val="20"/>
        </w:rPr>
        <w:t>Fishergate</w:t>
      </w:r>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Fishergate</w:instrText>
      </w:r>
      <w:r w:rsidR="006B1593" w:rsidRPr="00EC0229">
        <w:rPr>
          <w:sz w:val="20"/>
          <w:szCs w:val="20"/>
        </w:rPr>
        <w:instrText xml:space="preserve">" </w:instrText>
      </w:r>
      <w:r w:rsidR="006B1593" w:rsidRPr="00EC0229">
        <w:rPr>
          <w:rFonts w:cs="Times New Roman"/>
          <w:sz w:val="20"/>
          <w:szCs w:val="20"/>
        </w:rPr>
        <w:fldChar w:fldCharType="end"/>
      </w:r>
      <w:r w:rsidR="00BD53D4" w:rsidRPr="00EC0229">
        <w:rPr>
          <w:rFonts w:cs="Times New Roman"/>
          <w:sz w:val="20"/>
          <w:szCs w:val="20"/>
        </w:rPr>
        <w:t xml:space="preserve"> specimens, Series</w:t>
      </w:r>
      <w:r w:rsidR="00D142DC" w:rsidRPr="00EC0229">
        <w:rPr>
          <w:rFonts w:cs="Times New Roman"/>
          <w:sz w:val="20"/>
          <w:szCs w:val="20"/>
        </w:rPr>
        <w:fldChar w:fldCharType="begin"/>
      </w:r>
      <w:r w:rsidR="00D142DC" w:rsidRPr="00EC0229">
        <w:rPr>
          <w:sz w:val="20"/>
          <w:szCs w:val="20"/>
        </w:rPr>
        <w:instrText xml:space="preserve"> XE "Series" </w:instrText>
      </w:r>
      <w:r w:rsidR="00D142DC" w:rsidRPr="00EC0229">
        <w:rPr>
          <w:rFonts w:cs="Times New Roman"/>
          <w:sz w:val="20"/>
          <w:szCs w:val="20"/>
        </w:rPr>
        <w:fldChar w:fldCharType="end"/>
      </w:r>
      <w:r w:rsidR="00BD53D4" w:rsidRPr="00EC0229">
        <w:rPr>
          <w:rFonts w:cs="Times New Roman"/>
          <w:sz w:val="20"/>
          <w:szCs w:val="20"/>
        </w:rPr>
        <w:t xml:space="preserve"> Y sceats:</w:t>
      </w:r>
      <w:bookmarkEnd w:id="550"/>
    </w:p>
    <w:p w14:paraId="547DF534" w14:textId="137C38E0" w:rsidR="00BD53D4" w:rsidRPr="00EC0229" w:rsidRDefault="00BD53D4" w:rsidP="007600EA">
      <w:pPr>
        <w:pStyle w:val="NoSpacing"/>
        <w:spacing w:line="360" w:lineRule="auto"/>
        <w:rPr>
          <w:rFonts w:cs="Times New Roman"/>
          <w:sz w:val="20"/>
          <w:szCs w:val="20"/>
        </w:rPr>
      </w:pPr>
      <w:r w:rsidRPr="00EC0229">
        <w:rPr>
          <w:rFonts w:cs="Times New Roman"/>
          <w:sz w:val="20"/>
          <w:szCs w:val="20"/>
        </w:rPr>
        <w:t>Eadberht</w:t>
      </w:r>
      <w:r w:rsidR="00D142DC" w:rsidRPr="00EC0229">
        <w:rPr>
          <w:rFonts w:cs="Times New Roman"/>
          <w:sz w:val="20"/>
          <w:szCs w:val="20"/>
        </w:rPr>
        <w:fldChar w:fldCharType="begin"/>
      </w:r>
      <w:r w:rsidR="00D142DC" w:rsidRPr="00EC0229">
        <w:instrText xml:space="preserve"> XE "Eadberht" </w:instrText>
      </w:r>
      <w:r w:rsidR="00D142DC" w:rsidRPr="00EC0229">
        <w:rPr>
          <w:rFonts w:cs="Times New Roman"/>
          <w:sz w:val="20"/>
          <w:szCs w:val="20"/>
        </w:rPr>
        <w:fldChar w:fldCharType="end"/>
      </w:r>
      <w:r w:rsidRPr="00EC0229">
        <w:rPr>
          <w:rFonts w:cs="Times New Roman"/>
          <w:sz w:val="20"/>
          <w:szCs w:val="20"/>
        </w:rPr>
        <w:t xml:space="preserve"> Booth class B (</w:t>
      </w:r>
      <w:r w:rsidRPr="00EC0229">
        <w:rPr>
          <w:rFonts w:cs="Times New Roman"/>
          <w:i/>
          <w:sz w:val="20"/>
          <w:szCs w:val="20"/>
        </w:rPr>
        <w:t>SL</w:t>
      </w:r>
      <w:r w:rsidRPr="00EC0229">
        <w:rPr>
          <w:rFonts w:cs="Times New Roman"/>
          <w:sz w:val="20"/>
          <w:szCs w:val="20"/>
        </w:rPr>
        <w:t>70-50)              Alchred</w:t>
      </w:r>
      <w:r w:rsidR="004C29A9" w:rsidRPr="00EC0229">
        <w:rPr>
          <w:rFonts w:cs="Times New Roman"/>
          <w:sz w:val="20"/>
          <w:szCs w:val="20"/>
        </w:rPr>
        <w:fldChar w:fldCharType="begin"/>
      </w:r>
      <w:r w:rsidR="004C29A9" w:rsidRPr="00EC0229">
        <w:instrText xml:space="preserve"> XE "</w:instrText>
      </w:r>
      <w:r w:rsidR="004C29A9" w:rsidRPr="00EC0229">
        <w:rPr>
          <w:rFonts w:cs="Times New Roman"/>
          <w:szCs w:val="24"/>
        </w:rPr>
        <w:instrText>Alchred</w:instrText>
      </w:r>
      <w:r w:rsidR="004C29A9" w:rsidRPr="00EC0229">
        <w:instrText xml:space="preserve">" </w:instrText>
      </w:r>
      <w:r w:rsidR="004C29A9" w:rsidRPr="00EC0229">
        <w:rPr>
          <w:rFonts w:cs="Times New Roman"/>
          <w:sz w:val="20"/>
          <w:szCs w:val="20"/>
        </w:rPr>
        <w:fldChar w:fldCharType="end"/>
      </w:r>
      <w:r w:rsidRPr="00EC0229">
        <w:rPr>
          <w:rFonts w:cs="Times New Roman"/>
          <w:sz w:val="20"/>
          <w:szCs w:val="20"/>
        </w:rPr>
        <w:t xml:space="preserve"> with Ecgberht</w:t>
      </w:r>
      <w:r w:rsidR="00D142DC" w:rsidRPr="00EC0229">
        <w:rPr>
          <w:rFonts w:cs="Times New Roman"/>
          <w:sz w:val="20"/>
          <w:szCs w:val="20"/>
        </w:rPr>
        <w:fldChar w:fldCharType="begin"/>
      </w:r>
      <w:r w:rsidR="00D142DC" w:rsidRPr="00EC0229">
        <w:instrText xml:space="preserve"> XE "Ecgberht" </w:instrText>
      </w:r>
      <w:r w:rsidR="00D142DC" w:rsidRPr="00EC0229">
        <w:rPr>
          <w:rFonts w:cs="Times New Roman"/>
          <w:sz w:val="20"/>
          <w:szCs w:val="20"/>
        </w:rPr>
        <w:fldChar w:fldCharType="end"/>
      </w:r>
      <w:r w:rsidRPr="00EC0229">
        <w:rPr>
          <w:rFonts w:cs="Times New Roman"/>
          <w:sz w:val="20"/>
          <w:szCs w:val="20"/>
        </w:rPr>
        <w:t xml:space="preserve"> (</w:t>
      </w:r>
      <w:r w:rsidRPr="00EC0229">
        <w:rPr>
          <w:rFonts w:cs="Times New Roman"/>
          <w:i/>
          <w:sz w:val="20"/>
          <w:szCs w:val="20"/>
        </w:rPr>
        <w:t>SL</w:t>
      </w:r>
      <w:r w:rsidRPr="00EC0229">
        <w:rPr>
          <w:rFonts w:cs="Times New Roman"/>
          <w:sz w:val="20"/>
          <w:szCs w:val="20"/>
        </w:rPr>
        <w:t>75-10)     Æthelred</w:t>
      </w:r>
      <w:r w:rsidR="00D142DC" w:rsidRPr="00EC0229">
        <w:rPr>
          <w:rFonts w:cs="Times New Roman"/>
          <w:sz w:val="20"/>
          <w:szCs w:val="20"/>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cs="Times New Roman"/>
          <w:sz w:val="20"/>
          <w:szCs w:val="20"/>
        </w:rPr>
        <w:fldChar w:fldCharType="end"/>
      </w:r>
      <w:r w:rsidR="002226A8" w:rsidRPr="00EC0229">
        <w:rPr>
          <w:rFonts w:cs="Times New Roman"/>
          <w:sz w:val="20"/>
          <w:szCs w:val="20"/>
        </w:rPr>
        <w:t xml:space="preserve"> I, Cuth</w:t>
      </w:r>
      <w:r w:rsidRPr="00EC0229">
        <w:rPr>
          <w:rFonts w:cs="Times New Roman"/>
          <w:sz w:val="20"/>
          <w:szCs w:val="20"/>
        </w:rPr>
        <w:t>heart (</w:t>
      </w:r>
      <w:r w:rsidRPr="00EC0229">
        <w:rPr>
          <w:rFonts w:cs="Times New Roman"/>
          <w:i/>
          <w:sz w:val="20"/>
          <w:szCs w:val="20"/>
        </w:rPr>
        <w:t>SL</w:t>
      </w:r>
      <w:r w:rsidRPr="00EC0229">
        <w:rPr>
          <w:rFonts w:cs="Times New Roman"/>
          <w:sz w:val="20"/>
          <w:szCs w:val="20"/>
        </w:rPr>
        <w:t>83-20)</w:t>
      </w:r>
    </w:p>
    <w:p w14:paraId="7F34B396" w14:textId="77777777" w:rsidR="00BD53D4" w:rsidRPr="00EC0229" w:rsidRDefault="00BD53D4" w:rsidP="007600EA">
      <w:pPr>
        <w:pStyle w:val="NoSpacing"/>
        <w:spacing w:line="360" w:lineRule="auto"/>
        <w:rPr>
          <w:lang w:eastAsia="en-GB"/>
        </w:rPr>
      </w:pPr>
    </w:p>
    <w:p w14:paraId="23DA90AF" w14:textId="13870C55" w:rsidR="00BD53D4" w:rsidRPr="00EC0229" w:rsidRDefault="00BD53D4" w:rsidP="007600EA">
      <w:pPr>
        <w:pStyle w:val="NoSpacing"/>
        <w:spacing w:line="360" w:lineRule="auto"/>
        <w:rPr>
          <w:lang w:eastAsia="en-GB"/>
        </w:rPr>
      </w:pPr>
      <w:r w:rsidRPr="00EC0229">
        <w:rPr>
          <w:lang w:eastAsia="en-GB"/>
        </w:rPr>
        <w:t>Seven of the nineteen ninth-century finds are rendered of limited use as they are worn, corroded or blundered</w:t>
      </w:r>
      <w:r w:rsidR="00531141" w:rsidRPr="00EC0229">
        <w:rPr>
          <w:lang w:eastAsia="en-GB"/>
        </w:rPr>
        <w:t xml:space="preserve"> [N10c]</w:t>
      </w:r>
      <w:r w:rsidRPr="00EC0229">
        <w:rPr>
          <w:lang w:eastAsia="en-GB"/>
        </w:rPr>
        <w:t xml:space="preserve">. The others, as in </w:t>
      </w:r>
      <w:r w:rsidRPr="00EC0229">
        <w:rPr>
          <w:i/>
          <w:lang w:eastAsia="en-GB"/>
        </w:rPr>
        <w:t>Table</w:t>
      </w:r>
      <w:r w:rsidR="000832B9" w:rsidRPr="00EC0229">
        <w:rPr>
          <w:i/>
          <w:lang w:eastAsia="en-GB"/>
        </w:rPr>
        <w:t>s</w:t>
      </w:r>
      <w:r w:rsidR="00584C42" w:rsidRPr="00EC0229">
        <w:rPr>
          <w:i/>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lang w:eastAsia="en-GB"/>
        </w:rPr>
        <w:fldChar w:fldCharType="end"/>
      </w:r>
      <w:r w:rsidRPr="00EC0229">
        <w:rPr>
          <w:i/>
          <w:lang w:eastAsia="en-GB"/>
        </w:rPr>
        <w:t xml:space="preserve"> </w:t>
      </w:r>
      <w:r w:rsidR="00276BC8" w:rsidRPr="00EC0229">
        <w:rPr>
          <w:i/>
          <w:lang w:eastAsia="en-GB"/>
        </w:rPr>
        <w:t>8.02</w:t>
      </w:r>
      <w:r w:rsidR="00746B7C" w:rsidRPr="00EC0229">
        <w:rPr>
          <w:i/>
          <w:lang w:eastAsia="en-GB"/>
        </w:rPr>
        <w:t>-8.03</w:t>
      </w:r>
      <w:r w:rsidRPr="00EC0229">
        <w:rPr>
          <w:lang w:eastAsia="en-GB"/>
        </w:rPr>
        <w:t xml:space="preserve"> </w:t>
      </w:r>
      <w:r w:rsidR="009071D2" w:rsidRPr="00EC0229">
        <w:rPr>
          <w:rFonts w:eastAsia="Times New Roman" w:cs="Times New Roman"/>
          <w:szCs w:val="24"/>
          <w:lang w:eastAsia="en-GB"/>
        </w:rPr>
        <w:t>(</w:t>
      </w:r>
      <w:r w:rsidR="00B151DA" w:rsidRPr="00EC0229">
        <w:rPr>
          <w:rFonts w:eastAsia="Times New Roman" w:cs="Times New Roman"/>
          <w:szCs w:val="24"/>
          <w:lang w:eastAsia="en-GB"/>
        </w:rPr>
        <w:fldChar w:fldCharType="begin"/>
      </w:r>
      <w:r w:rsidR="00B151DA" w:rsidRPr="00EC0229">
        <w:rPr>
          <w:rFonts w:eastAsia="Times New Roman" w:cs="Times New Roman"/>
          <w:szCs w:val="24"/>
          <w:lang w:eastAsia="en-GB"/>
        </w:rPr>
        <w:instrText xml:space="preserve"> REF _Ref430248187 \h </w:instrText>
      </w:r>
      <w:r w:rsidR="00A5530A" w:rsidRPr="00EC0229">
        <w:rPr>
          <w:rFonts w:eastAsia="Times New Roman" w:cs="Times New Roman"/>
          <w:szCs w:val="24"/>
          <w:lang w:eastAsia="en-GB"/>
        </w:rPr>
        <w:instrText xml:space="preserve"> \* MERGEFORMAT </w:instrText>
      </w:r>
      <w:r w:rsidR="00B151DA" w:rsidRPr="00EC0229">
        <w:rPr>
          <w:rFonts w:eastAsia="Times New Roman" w:cs="Times New Roman"/>
          <w:szCs w:val="24"/>
          <w:lang w:eastAsia="en-GB"/>
        </w:rPr>
      </w:r>
      <w:r w:rsidR="00B151DA"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73</w:t>
      </w:r>
      <w:r w:rsidR="00B151DA" w:rsidRPr="00EC0229">
        <w:rPr>
          <w:rFonts w:eastAsia="Times New Roman" w:cs="Times New Roman"/>
          <w:szCs w:val="24"/>
          <w:lang w:eastAsia="en-GB"/>
        </w:rPr>
        <w:fldChar w:fldCharType="end"/>
      </w:r>
      <w:r w:rsidR="009071D2" w:rsidRPr="00EC0229">
        <w:rPr>
          <w:rFonts w:eastAsia="Times New Roman" w:cs="Times New Roman"/>
          <w:szCs w:val="24"/>
          <w:lang w:eastAsia="en-GB"/>
        </w:rPr>
        <w:t xml:space="preserve">), </w:t>
      </w:r>
      <w:r w:rsidRPr="00EC0229">
        <w:rPr>
          <w:lang w:eastAsia="en-GB"/>
        </w:rPr>
        <w:t>include a silver-alloy</w:t>
      </w:r>
      <w:r w:rsidR="008960AE" w:rsidRPr="00EC0229">
        <w:rPr>
          <w:lang w:eastAsia="en-GB"/>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lang w:eastAsia="en-GB"/>
        </w:rPr>
        <w:fldChar w:fldCharType="end"/>
      </w:r>
      <w:r w:rsidRPr="00EC0229">
        <w:rPr>
          <w:lang w:eastAsia="en-GB"/>
        </w:rPr>
        <w:t xml:space="preserve"> coin of Eanred</w:t>
      </w:r>
      <w:r w:rsidR="00D142DC" w:rsidRPr="00EC0229">
        <w:rPr>
          <w:lang w:eastAsia="en-GB"/>
        </w:rPr>
        <w:fldChar w:fldCharType="begin"/>
      </w:r>
      <w:r w:rsidR="00D142DC" w:rsidRPr="00EC0229">
        <w:instrText xml:space="preserve"> XE "Eanred" </w:instrText>
      </w:r>
      <w:r w:rsidR="00D142DC" w:rsidRPr="00EC0229">
        <w:rPr>
          <w:lang w:eastAsia="en-GB"/>
        </w:rPr>
        <w:fldChar w:fldCharType="end"/>
      </w:r>
      <w:r w:rsidRPr="00EC0229">
        <w:rPr>
          <w:lang w:eastAsia="en-GB"/>
        </w:rPr>
        <w:t xml:space="preserve"> </w:t>
      </w:r>
      <w:r w:rsidR="00531141" w:rsidRPr="00EC0229">
        <w:rPr>
          <w:lang w:eastAsia="en-GB"/>
        </w:rPr>
        <w:t xml:space="preserve">[N9] </w:t>
      </w:r>
      <w:r w:rsidRPr="00EC0229">
        <w:rPr>
          <w:lang w:eastAsia="en-GB"/>
        </w:rPr>
        <w:t xml:space="preserve">and stycas </w:t>
      </w:r>
      <w:r w:rsidR="00531141" w:rsidRPr="00EC0229">
        <w:rPr>
          <w:lang w:eastAsia="en-GB"/>
        </w:rPr>
        <w:t xml:space="preserve">[N10a] </w:t>
      </w:r>
      <w:r w:rsidRPr="00EC0229">
        <w:rPr>
          <w:lang w:eastAsia="en-GB"/>
        </w:rPr>
        <w:t>of Eanred, Æthelred</w:t>
      </w:r>
      <w:r w:rsidR="00D142DC" w:rsidRPr="00EC0229">
        <w:rPr>
          <w:lang w:eastAsia="en-GB"/>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lang w:eastAsia="en-GB"/>
        </w:rPr>
        <w:fldChar w:fldCharType="end"/>
      </w:r>
      <w:r w:rsidRPr="00EC0229">
        <w:rPr>
          <w:lang w:eastAsia="en-GB"/>
        </w:rPr>
        <w:t xml:space="preserve"> II (both reigns) and Archbishop Wigmund</w:t>
      </w:r>
      <w:r w:rsidR="00D142DC" w:rsidRPr="00EC0229">
        <w:rPr>
          <w:lang w:eastAsia="en-GB"/>
        </w:rPr>
        <w:fldChar w:fldCharType="begin"/>
      </w:r>
      <w:r w:rsidR="00D142DC" w:rsidRPr="00EC0229">
        <w:instrText xml:space="preserve"> XE "Wigmund" </w:instrText>
      </w:r>
      <w:r w:rsidR="00D142DC" w:rsidRPr="00EC0229">
        <w:rPr>
          <w:lang w:eastAsia="en-GB"/>
        </w:rPr>
        <w:fldChar w:fldCharType="end"/>
      </w:r>
      <w:r w:rsidRPr="00EC0229">
        <w:rPr>
          <w:lang w:eastAsia="en-GB"/>
        </w:rPr>
        <w:t xml:space="preserve">. </w:t>
      </w:r>
      <w:r w:rsidRPr="00EC0229">
        <w:t xml:space="preserve">The presence of the silver-alloy coin </w:t>
      </w:r>
      <w:r w:rsidR="007A158F" w:rsidRPr="00EC0229">
        <w:t>shows</w:t>
      </w:r>
      <w:r w:rsidRPr="00EC0229">
        <w:t xml:space="preserve"> re-adoption of coinage after the post-Lindisfarne</w:t>
      </w:r>
      <w:r w:rsidR="006B1593" w:rsidRPr="00EC0229">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fldChar w:fldCharType="end"/>
      </w:r>
      <w:r w:rsidRPr="00EC0229">
        <w:t xml:space="preserve"> depression but the absence of coins by Osberht</w:t>
      </w:r>
      <w:r w:rsidR="00D142DC" w:rsidRPr="00EC0229">
        <w:fldChar w:fldCharType="begin"/>
      </w:r>
      <w:r w:rsidR="00D142DC" w:rsidRPr="00EC0229">
        <w:instrText xml:space="preserve"> XE "Osberht" </w:instrText>
      </w:r>
      <w:r w:rsidR="00D142DC" w:rsidRPr="00EC0229">
        <w:fldChar w:fldCharType="end"/>
      </w:r>
      <w:r w:rsidRPr="00EC0229">
        <w:rPr>
          <w:lang w:eastAsia="en-GB"/>
        </w:rPr>
        <w:t xml:space="preserve"> and Archbishop Wulfhere</w:t>
      </w:r>
      <w:r w:rsidR="00D142DC" w:rsidRPr="00EC0229">
        <w:rPr>
          <w:lang w:eastAsia="en-GB"/>
        </w:rPr>
        <w:fldChar w:fldCharType="begin"/>
      </w:r>
      <w:r w:rsidR="00D142DC" w:rsidRPr="00EC0229">
        <w:instrText xml:space="preserve"> XE "Wulfhere" </w:instrText>
      </w:r>
      <w:r w:rsidR="00D142DC" w:rsidRPr="00EC0229">
        <w:rPr>
          <w:lang w:eastAsia="en-GB"/>
        </w:rPr>
        <w:fldChar w:fldCharType="end"/>
      </w:r>
      <w:r w:rsidRPr="00EC0229">
        <w:rPr>
          <w:rStyle w:val="FootnoteReference"/>
          <w:rFonts w:eastAsia="Times New Roman" w:cs="Times New Roman"/>
          <w:color w:val="000000"/>
          <w:szCs w:val="24"/>
          <w:lang w:eastAsia="en-GB"/>
        </w:rPr>
        <w:footnoteReference w:id="891"/>
      </w:r>
      <w:r w:rsidRPr="00EC0229">
        <w:rPr>
          <w:lang w:eastAsia="en-GB"/>
        </w:rPr>
        <w:t xml:space="preserve"> </w:t>
      </w:r>
      <w:r w:rsidR="00531141" w:rsidRPr="00EC0229">
        <w:rPr>
          <w:lang w:eastAsia="en-GB"/>
        </w:rPr>
        <w:t xml:space="preserve">[N10c] </w:t>
      </w:r>
      <w:r w:rsidRPr="00EC0229">
        <w:rPr>
          <w:lang w:eastAsia="en-GB"/>
        </w:rPr>
        <w:t>shows a potential decline before the fall of York</w:t>
      </w:r>
      <w:r w:rsidR="006B1593" w:rsidRPr="00EC0229">
        <w:rPr>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lang w:eastAsia="en-GB"/>
        </w:rPr>
        <w:fldChar w:fldCharType="end"/>
      </w:r>
      <w:r w:rsidRPr="00EC0229">
        <w:rPr>
          <w:lang w:eastAsia="en-GB"/>
        </w:rPr>
        <w:t xml:space="preserve"> to the Vikings.</w:t>
      </w:r>
    </w:p>
    <w:p w14:paraId="12ED418C" w14:textId="77777777" w:rsidR="00BD53D4" w:rsidRPr="00EC0229" w:rsidRDefault="00BD53D4" w:rsidP="007600EA">
      <w:pPr>
        <w:spacing w:after="0" w:line="360" w:lineRule="auto"/>
        <w:jc w:val="center"/>
        <w:rPr>
          <w:rFonts w:eastAsia="Times New Roman" w:cs="Times New Roman"/>
          <w:color w:val="000000"/>
          <w:szCs w:val="24"/>
          <w:lang w:eastAsia="en-GB"/>
        </w:rPr>
      </w:pPr>
      <w:r w:rsidRPr="00EC0229">
        <w:rPr>
          <w:rFonts w:eastAsia="Times New Roman" w:cs="Times New Roman"/>
          <w:noProof/>
          <w:color w:val="000000"/>
          <w:szCs w:val="24"/>
          <w:lang w:eastAsia="en-GB"/>
        </w:rPr>
        <w:drawing>
          <wp:inline distT="0" distB="0" distL="0" distR="0" wp14:anchorId="50F31EB3" wp14:editId="19EDA839">
            <wp:extent cx="937260" cy="975853"/>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2-19 Fishergate (8) 5607.JPG"/>
                    <pic:cNvPicPr/>
                  </pic:nvPicPr>
                  <pic:blipFill>
                    <a:blip r:embed="rId253">
                      <a:extLst>
                        <a:ext uri="{28A0092B-C50C-407E-A947-70E740481C1C}">
                          <a14:useLocalDpi xmlns:a14="http://schemas.microsoft.com/office/drawing/2010/main" val="0"/>
                        </a:ext>
                      </a:extLst>
                    </a:blip>
                    <a:stretch>
                      <a:fillRect/>
                    </a:stretch>
                  </pic:blipFill>
                  <pic:spPr>
                    <a:xfrm>
                      <a:off x="0" y="0"/>
                      <a:ext cx="960800" cy="1000362"/>
                    </a:xfrm>
                    <a:prstGeom prst="rect">
                      <a:avLst/>
                    </a:prstGeom>
                  </pic:spPr>
                </pic:pic>
              </a:graphicData>
            </a:graphic>
          </wp:inline>
        </w:drawing>
      </w:r>
      <w:r w:rsidRPr="00EC0229">
        <w:rPr>
          <w:rFonts w:eastAsia="Times New Roman" w:cs="Times New Roman"/>
          <w:noProof/>
          <w:color w:val="000000"/>
          <w:szCs w:val="24"/>
          <w:lang w:eastAsia="en-GB"/>
        </w:rPr>
        <w:drawing>
          <wp:inline distT="0" distB="0" distL="0" distR="0" wp14:anchorId="4D5B5B76" wp14:editId="44D0A604">
            <wp:extent cx="891540" cy="943982"/>
            <wp:effectExtent l="0" t="0" r="3810" b="88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19 Fishergate (7) 5607.JPG"/>
                    <pic:cNvPicPr/>
                  </pic:nvPicPr>
                  <pic:blipFill>
                    <a:blip r:embed="rId254">
                      <a:extLst>
                        <a:ext uri="{28A0092B-C50C-407E-A947-70E740481C1C}">
                          <a14:useLocalDpi xmlns:a14="http://schemas.microsoft.com/office/drawing/2010/main" val="0"/>
                        </a:ext>
                      </a:extLst>
                    </a:blip>
                    <a:stretch>
                      <a:fillRect/>
                    </a:stretch>
                  </pic:blipFill>
                  <pic:spPr>
                    <a:xfrm>
                      <a:off x="0" y="0"/>
                      <a:ext cx="911192" cy="964790"/>
                    </a:xfrm>
                    <a:prstGeom prst="rect">
                      <a:avLst/>
                    </a:prstGeom>
                  </pic:spPr>
                </pic:pic>
              </a:graphicData>
            </a:graphic>
          </wp:inline>
        </w:drawing>
      </w:r>
      <w:r w:rsidRPr="00EC0229">
        <w:rPr>
          <w:rFonts w:eastAsia="Times New Roman" w:cs="Times New Roman"/>
          <w:color w:val="000000"/>
          <w:szCs w:val="24"/>
          <w:lang w:eastAsia="en-GB"/>
        </w:rPr>
        <w:tab/>
        <w:t xml:space="preserve">   </w:t>
      </w:r>
      <w:r w:rsidRPr="00EC0229">
        <w:rPr>
          <w:rFonts w:eastAsia="Times New Roman" w:cs="Times New Roman"/>
          <w:color w:val="000000"/>
          <w:szCs w:val="24"/>
          <w:lang w:eastAsia="en-GB"/>
        </w:rPr>
        <w:tab/>
      </w:r>
      <w:r w:rsidRPr="00EC0229">
        <w:rPr>
          <w:rFonts w:eastAsia="Times New Roman" w:cs="Times New Roman"/>
          <w:color w:val="000000"/>
          <w:szCs w:val="24"/>
          <w:lang w:eastAsia="en-GB"/>
        </w:rPr>
        <w:tab/>
      </w:r>
      <w:r w:rsidRPr="00EC0229">
        <w:rPr>
          <w:rFonts w:eastAsia="Times New Roman" w:cs="Times New Roman"/>
          <w:noProof/>
          <w:color w:val="000000"/>
          <w:szCs w:val="24"/>
          <w:lang w:eastAsia="en-GB"/>
        </w:rPr>
        <w:drawing>
          <wp:inline distT="0" distB="0" distL="0" distR="0" wp14:anchorId="137DD3BA" wp14:editId="5D304C1A">
            <wp:extent cx="924092" cy="951926"/>
            <wp:effectExtent l="0" t="0" r="9525" b="63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3-15 Fishergate (1) 4444.JPG"/>
                    <pic:cNvPicPr/>
                  </pic:nvPicPr>
                  <pic:blipFill>
                    <a:blip r:embed="rId255">
                      <a:extLst>
                        <a:ext uri="{28A0092B-C50C-407E-A947-70E740481C1C}">
                          <a14:useLocalDpi xmlns:a14="http://schemas.microsoft.com/office/drawing/2010/main" val="0"/>
                        </a:ext>
                      </a:extLst>
                    </a:blip>
                    <a:stretch>
                      <a:fillRect/>
                    </a:stretch>
                  </pic:blipFill>
                  <pic:spPr>
                    <a:xfrm>
                      <a:off x="0" y="0"/>
                      <a:ext cx="931992" cy="960064"/>
                    </a:xfrm>
                    <a:prstGeom prst="rect">
                      <a:avLst/>
                    </a:prstGeom>
                  </pic:spPr>
                </pic:pic>
              </a:graphicData>
            </a:graphic>
          </wp:inline>
        </w:drawing>
      </w:r>
      <w:r w:rsidRPr="00EC0229">
        <w:rPr>
          <w:rFonts w:eastAsia="Times New Roman" w:cs="Times New Roman"/>
          <w:noProof/>
          <w:color w:val="000000"/>
          <w:szCs w:val="24"/>
          <w:lang w:eastAsia="en-GB"/>
        </w:rPr>
        <w:drawing>
          <wp:inline distT="0" distB="0" distL="0" distR="0" wp14:anchorId="20E470DE" wp14:editId="76CAABF1">
            <wp:extent cx="962533" cy="1013193"/>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3-15 Fishergate (2) 4444.JPG"/>
                    <pic:cNvPicPr/>
                  </pic:nvPicPr>
                  <pic:blipFill>
                    <a:blip r:embed="rId256">
                      <a:extLst>
                        <a:ext uri="{28A0092B-C50C-407E-A947-70E740481C1C}">
                          <a14:useLocalDpi xmlns:a14="http://schemas.microsoft.com/office/drawing/2010/main" val="0"/>
                        </a:ext>
                      </a:extLst>
                    </a:blip>
                    <a:stretch>
                      <a:fillRect/>
                    </a:stretch>
                  </pic:blipFill>
                  <pic:spPr>
                    <a:xfrm>
                      <a:off x="0" y="0"/>
                      <a:ext cx="977264" cy="1028699"/>
                    </a:xfrm>
                    <a:prstGeom prst="rect">
                      <a:avLst/>
                    </a:prstGeom>
                  </pic:spPr>
                </pic:pic>
              </a:graphicData>
            </a:graphic>
          </wp:inline>
        </w:drawing>
      </w:r>
    </w:p>
    <w:p w14:paraId="32F865A3" w14:textId="1D393786" w:rsidR="00BD53D4" w:rsidRPr="00EC0229" w:rsidRDefault="002A206F" w:rsidP="007600EA">
      <w:pPr>
        <w:pStyle w:val="NoSpacing"/>
        <w:spacing w:line="360" w:lineRule="auto"/>
        <w:jc w:val="center"/>
        <w:rPr>
          <w:rFonts w:eastAsia="Times New Roman" w:cs="Times New Roman"/>
          <w:color w:val="000000"/>
          <w:sz w:val="20"/>
          <w:szCs w:val="20"/>
          <w:lang w:eastAsia="en-GB"/>
        </w:rPr>
      </w:pPr>
      <w:bookmarkStart w:id="551" w:name="_Ref430248187"/>
      <w:bookmarkStart w:id="552" w:name="_Toc46826704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73</w:t>
      </w:r>
      <w:r w:rsidRPr="00EC0229">
        <w:rPr>
          <w:sz w:val="20"/>
          <w:szCs w:val="20"/>
        </w:rPr>
        <w:fldChar w:fldCharType="end"/>
      </w:r>
      <w:bookmarkEnd w:id="551"/>
      <w:r w:rsidR="009071D2" w:rsidRPr="00EC0229">
        <w:rPr>
          <w:rFonts w:eastAsia="Times New Roman" w:cs="Times New Roman"/>
          <w:color w:val="000000"/>
          <w:sz w:val="20"/>
          <w:szCs w:val="20"/>
          <w:lang w:eastAsia="en-GB"/>
        </w:rPr>
        <w:t xml:space="preserve">: </w:t>
      </w:r>
      <w:r w:rsidR="00BD53D4" w:rsidRPr="00EC0229">
        <w:rPr>
          <w:rFonts w:eastAsia="Times New Roman" w:cs="Times New Roman"/>
          <w:color w:val="000000"/>
          <w:sz w:val="20"/>
          <w:szCs w:val="20"/>
          <w:lang w:eastAsia="en-GB"/>
        </w:rPr>
        <w:t>Fishergate</w:t>
      </w:r>
      <w:r w:rsidR="006B1593" w:rsidRPr="00EC0229">
        <w:rPr>
          <w:rFonts w:eastAsia="Times New Roman" w:cs="Times New Roman"/>
          <w:color w:val="000000"/>
          <w:sz w:val="20"/>
          <w:szCs w:val="20"/>
          <w:lang w:eastAsia="en-GB"/>
        </w:rPr>
        <w:fldChar w:fldCharType="begin"/>
      </w:r>
      <w:r w:rsidR="006B1593" w:rsidRPr="00EC0229">
        <w:rPr>
          <w:sz w:val="20"/>
          <w:szCs w:val="20"/>
        </w:rPr>
        <w:instrText xml:space="preserve"> XE "</w:instrText>
      </w:r>
      <w:r w:rsidR="006B1593" w:rsidRPr="00EC0229">
        <w:rPr>
          <w:rStyle w:val="Hyperlink"/>
          <w:noProof/>
          <w:sz w:val="20"/>
          <w:szCs w:val="20"/>
          <w:u w:val="none"/>
        </w:rPr>
        <w:instrText>Fishergate</w:instrText>
      </w:r>
      <w:r w:rsidR="006B1593" w:rsidRPr="00EC0229">
        <w:rPr>
          <w:sz w:val="20"/>
          <w:szCs w:val="20"/>
        </w:rPr>
        <w:instrText xml:space="preserve">" </w:instrText>
      </w:r>
      <w:r w:rsidR="006B1593" w:rsidRPr="00EC0229">
        <w:rPr>
          <w:rFonts w:eastAsia="Times New Roman" w:cs="Times New Roman"/>
          <w:color w:val="000000"/>
          <w:sz w:val="20"/>
          <w:szCs w:val="20"/>
          <w:lang w:eastAsia="en-GB"/>
        </w:rPr>
        <w:fldChar w:fldCharType="end"/>
      </w:r>
      <w:r w:rsidR="00BD53D4" w:rsidRPr="00EC0229">
        <w:rPr>
          <w:rFonts w:eastAsia="Times New Roman" w:cs="Times New Roman"/>
          <w:color w:val="000000"/>
          <w:sz w:val="20"/>
          <w:szCs w:val="20"/>
          <w:lang w:eastAsia="en-GB"/>
        </w:rPr>
        <w:t xml:space="preserve"> stycas</w:t>
      </w:r>
      <w:bookmarkEnd w:id="552"/>
    </w:p>
    <w:p w14:paraId="7E5FE684" w14:textId="4840EBF5" w:rsidR="00BD53D4" w:rsidRPr="00EC0229" w:rsidRDefault="00BD53D4" w:rsidP="007600EA">
      <w:pPr>
        <w:spacing w:after="0" w:line="360" w:lineRule="auto"/>
        <w:jc w:val="center"/>
        <w:rPr>
          <w:rFonts w:eastAsia="Times New Roman" w:cs="Times New Roman"/>
          <w:color w:val="000000"/>
          <w:sz w:val="20"/>
          <w:szCs w:val="20"/>
          <w:lang w:eastAsia="en-GB"/>
        </w:rPr>
      </w:pPr>
      <w:r w:rsidRPr="00EC0229">
        <w:rPr>
          <w:rFonts w:eastAsia="Times New Roman" w:cs="Times New Roman"/>
          <w:color w:val="000000"/>
          <w:sz w:val="20"/>
          <w:szCs w:val="20"/>
          <w:lang w:eastAsia="en-GB"/>
        </w:rPr>
        <w:t>Eanred</w:t>
      </w:r>
      <w:r w:rsidR="00D142DC" w:rsidRPr="00EC0229">
        <w:rPr>
          <w:rFonts w:eastAsia="Times New Roman" w:cs="Times New Roman"/>
          <w:color w:val="000000"/>
          <w:sz w:val="20"/>
          <w:szCs w:val="20"/>
          <w:lang w:eastAsia="en-GB"/>
        </w:rPr>
        <w:fldChar w:fldCharType="begin"/>
      </w:r>
      <w:r w:rsidR="00D142DC" w:rsidRPr="00EC0229">
        <w:instrText xml:space="preserve"> XE "Eanred" </w:instrText>
      </w:r>
      <w:r w:rsidR="00D142DC" w:rsidRPr="00EC0229">
        <w:rPr>
          <w:rFonts w:eastAsia="Times New Roman" w:cs="Times New Roman"/>
          <w:color w:val="000000"/>
          <w:sz w:val="20"/>
          <w:szCs w:val="20"/>
          <w:lang w:eastAsia="en-GB"/>
        </w:rPr>
        <w:fldChar w:fldCharType="end"/>
      </w:r>
      <w:r w:rsidRPr="00EC0229">
        <w:rPr>
          <w:rFonts w:eastAsia="Times New Roman" w:cs="Times New Roman"/>
          <w:color w:val="000000"/>
          <w:sz w:val="20"/>
          <w:szCs w:val="20"/>
          <w:lang w:eastAsia="en-GB"/>
        </w:rPr>
        <w:t>, by Forthred (</w:t>
      </w:r>
      <w:r w:rsidRPr="00EC0229">
        <w:rPr>
          <w:rFonts w:eastAsia="Times New Roman" w:cs="Times New Roman"/>
          <w:i/>
          <w:color w:val="000000"/>
          <w:sz w:val="20"/>
          <w:szCs w:val="20"/>
          <w:lang w:eastAsia="en-GB"/>
        </w:rPr>
        <w:t>SL</w:t>
      </w:r>
      <w:r w:rsidRPr="00EC0229">
        <w:rPr>
          <w:rFonts w:eastAsia="Times New Roman" w:cs="Times New Roman"/>
          <w:color w:val="000000"/>
          <w:sz w:val="20"/>
          <w:szCs w:val="20"/>
          <w:lang w:eastAsia="en-GB"/>
        </w:rPr>
        <w:t>02-19)</w:t>
      </w:r>
      <w:r w:rsidRPr="00EC0229">
        <w:rPr>
          <w:rFonts w:eastAsia="Times New Roman" w:cs="Times New Roman"/>
          <w:color w:val="000000"/>
          <w:sz w:val="20"/>
          <w:szCs w:val="20"/>
          <w:lang w:eastAsia="en-GB"/>
        </w:rPr>
        <w:tab/>
      </w:r>
      <w:r w:rsidRPr="00EC0229">
        <w:rPr>
          <w:rFonts w:eastAsia="Times New Roman" w:cs="Times New Roman"/>
          <w:color w:val="000000"/>
          <w:sz w:val="20"/>
          <w:szCs w:val="20"/>
          <w:lang w:eastAsia="en-GB"/>
        </w:rPr>
        <w:tab/>
      </w:r>
      <w:r w:rsidRPr="00EC0229">
        <w:rPr>
          <w:rFonts w:eastAsia="Times New Roman" w:cs="Times New Roman"/>
          <w:color w:val="000000"/>
          <w:sz w:val="20"/>
          <w:szCs w:val="20"/>
          <w:lang w:eastAsia="en-GB"/>
        </w:rPr>
        <w:tab/>
        <w:t xml:space="preserve">     </w:t>
      </w:r>
      <w:r w:rsidR="005018F5" w:rsidRPr="00EC0229">
        <w:rPr>
          <w:rFonts w:eastAsia="Times New Roman" w:cs="Times New Roman"/>
          <w:color w:val="000000"/>
          <w:sz w:val="20"/>
          <w:szCs w:val="20"/>
          <w:lang w:eastAsia="en-GB"/>
        </w:rPr>
        <w:t>Æ</w:t>
      </w:r>
      <w:r w:rsidRPr="00EC0229">
        <w:rPr>
          <w:rFonts w:eastAsia="Times New Roman" w:cs="Times New Roman"/>
          <w:color w:val="000000"/>
          <w:sz w:val="20"/>
          <w:szCs w:val="20"/>
          <w:lang w:eastAsia="en-GB"/>
        </w:rPr>
        <w:t>thelred II, by Eardwulf (</w:t>
      </w:r>
      <w:r w:rsidRPr="00EC0229">
        <w:rPr>
          <w:rFonts w:eastAsia="Times New Roman" w:cs="Times New Roman"/>
          <w:i/>
          <w:color w:val="000000"/>
          <w:sz w:val="20"/>
          <w:szCs w:val="20"/>
          <w:lang w:eastAsia="en-GB"/>
        </w:rPr>
        <w:t>SL</w:t>
      </w:r>
      <w:r w:rsidRPr="00EC0229">
        <w:rPr>
          <w:rFonts w:eastAsia="Times New Roman" w:cs="Times New Roman"/>
          <w:color w:val="000000"/>
          <w:sz w:val="20"/>
          <w:szCs w:val="20"/>
          <w:lang w:eastAsia="en-GB"/>
        </w:rPr>
        <w:t xml:space="preserve"> 02-33)</w:t>
      </w:r>
    </w:p>
    <w:p w14:paraId="401B6105" w14:textId="77777777" w:rsidR="00BD53D4" w:rsidRPr="00EC0229" w:rsidRDefault="00BD53D4" w:rsidP="007600EA">
      <w:pPr>
        <w:spacing w:after="0" w:line="360" w:lineRule="auto"/>
        <w:rPr>
          <w:rFonts w:eastAsia="Times New Roman" w:cs="Times New Roman"/>
          <w:color w:val="000000"/>
          <w:szCs w:val="24"/>
          <w:lang w:eastAsia="en-GB"/>
        </w:rPr>
      </w:pPr>
    </w:p>
    <w:p w14:paraId="7565DB73" w14:textId="5E34569B" w:rsidR="00BD53D4" w:rsidRPr="00EC0229" w:rsidRDefault="00BD53D4" w:rsidP="007600EA">
      <w:pPr>
        <w:spacing w:after="0" w:line="360" w:lineRule="auto"/>
        <w:rPr>
          <w:rFonts w:cs="Times New Roman"/>
          <w:szCs w:val="24"/>
        </w:rPr>
      </w:pPr>
      <w:r w:rsidRPr="00EC0229">
        <w:rPr>
          <w:rFonts w:cs="Times New Roman"/>
          <w:szCs w:val="24"/>
        </w:rPr>
        <w:t>It is curious that a penny</w:t>
      </w:r>
      <w:r w:rsidR="00D142DC" w:rsidRPr="00EC0229">
        <w:rPr>
          <w:rFonts w:cs="Times New Roman"/>
          <w:szCs w:val="24"/>
        </w:rPr>
        <w:fldChar w:fldCharType="begin"/>
      </w:r>
      <w:r w:rsidR="00D142DC" w:rsidRPr="00EC0229">
        <w:instrText xml:space="preserve"> XE "penny" </w:instrText>
      </w:r>
      <w:r w:rsidR="00D142DC" w:rsidRPr="00EC0229">
        <w:rPr>
          <w:rFonts w:cs="Times New Roman"/>
          <w:szCs w:val="24"/>
        </w:rPr>
        <w:fldChar w:fldCharType="end"/>
      </w:r>
      <w:r w:rsidRPr="00EC0229">
        <w:rPr>
          <w:rFonts w:cs="Times New Roman"/>
          <w:szCs w:val="24"/>
        </w:rPr>
        <w:t xml:space="preserve"> of Æthelberht of Wessex </w:t>
      </w:r>
      <w:r w:rsidR="00531141" w:rsidRPr="00EC0229">
        <w:rPr>
          <w:rFonts w:cs="Times New Roman"/>
          <w:szCs w:val="24"/>
        </w:rPr>
        <w:t xml:space="preserve">(860-5, </w:t>
      </w:r>
      <w:r w:rsidR="00B151DA" w:rsidRPr="00EC0229">
        <w:rPr>
          <w:rFonts w:eastAsia="Times New Roman" w:cs="Times New Roman"/>
          <w:szCs w:val="24"/>
          <w:lang w:eastAsia="en-GB"/>
        </w:rPr>
        <w:fldChar w:fldCharType="begin"/>
      </w:r>
      <w:r w:rsidR="00B151DA" w:rsidRPr="00EC0229">
        <w:rPr>
          <w:rFonts w:eastAsia="Times New Roman" w:cs="Times New Roman"/>
          <w:szCs w:val="24"/>
          <w:lang w:eastAsia="en-GB"/>
        </w:rPr>
        <w:instrText xml:space="preserve"> REF _Ref430248200 \h </w:instrText>
      </w:r>
      <w:r w:rsidR="00A5530A" w:rsidRPr="00EC0229">
        <w:rPr>
          <w:rFonts w:eastAsia="Times New Roman" w:cs="Times New Roman"/>
          <w:szCs w:val="24"/>
          <w:lang w:eastAsia="en-GB"/>
        </w:rPr>
        <w:instrText xml:space="preserve"> \* MERGEFORMAT </w:instrText>
      </w:r>
      <w:r w:rsidR="00B151DA" w:rsidRPr="00EC0229">
        <w:rPr>
          <w:rFonts w:eastAsia="Times New Roman" w:cs="Times New Roman"/>
          <w:szCs w:val="24"/>
          <w:lang w:eastAsia="en-GB"/>
        </w:rPr>
      </w:r>
      <w:r w:rsidR="00B151DA"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74</w:t>
      </w:r>
      <w:r w:rsidR="00B151DA" w:rsidRPr="00EC0229">
        <w:rPr>
          <w:rFonts w:eastAsia="Times New Roman" w:cs="Times New Roman"/>
          <w:szCs w:val="24"/>
          <w:lang w:eastAsia="en-GB"/>
        </w:rPr>
        <w:fldChar w:fldCharType="end"/>
      </w:r>
      <w:r w:rsidR="009071D2" w:rsidRPr="00EC0229">
        <w:rPr>
          <w:rFonts w:eastAsia="Times New Roman" w:cs="Times New Roman"/>
          <w:szCs w:val="24"/>
          <w:lang w:eastAsia="en-GB"/>
        </w:rPr>
        <w:t>)</w:t>
      </w:r>
      <w:r w:rsidR="00531141" w:rsidRPr="00EC0229">
        <w:rPr>
          <w:rFonts w:eastAsia="Times New Roman" w:cs="Times New Roman"/>
          <w:szCs w:val="24"/>
          <w:lang w:eastAsia="en-GB"/>
        </w:rPr>
        <w:t>, [S9],</w:t>
      </w:r>
      <w:r w:rsidR="009071D2" w:rsidRPr="00EC0229">
        <w:rPr>
          <w:rFonts w:eastAsia="Times New Roman" w:cs="Times New Roman"/>
          <w:szCs w:val="24"/>
          <w:lang w:eastAsia="en-GB"/>
        </w:rPr>
        <w:t xml:space="preserve"> </w:t>
      </w:r>
      <w:r w:rsidRPr="00EC0229">
        <w:rPr>
          <w:rFonts w:cs="Times New Roman"/>
          <w:szCs w:val="24"/>
        </w:rPr>
        <w:t>should also have been found in the pit at Cottam</w:t>
      </w:r>
      <w:r w:rsidR="006B1593" w:rsidRPr="00EC0229">
        <w:rPr>
          <w:rFonts w:cs="Times New Roman"/>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Cottam</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‘B’ near the jaw-less female skull – could they both have been brought by the </w:t>
      </w:r>
      <w:r w:rsidRPr="00EC0229">
        <w:rPr>
          <w:rFonts w:cs="Times New Roman"/>
          <w:i/>
          <w:szCs w:val="24"/>
        </w:rPr>
        <w:t>micel here</w:t>
      </w:r>
      <w:r w:rsidR="008960AE" w:rsidRPr="00EC0229">
        <w:rPr>
          <w:rFonts w:cs="Times New Roman"/>
          <w:i/>
          <w:szCs w:val="24"/>
        </w:rPr>
        <w:fldChar w:fldCharType="begin"/>
      </w:r>
      <w:r w:rsidR="008960AE" w:rsidRPr="00EC0229">
        <w:instrText xml:space="preserve"> XE "</w:instrText>
      </w:r>
      <w:r w:rsidR="008960AE" w:rsidRPr="00EC0229">
        <w:rPr>
          <w:rFonts w:cs="Times New Roman"/>
          <w:i/>
          <w:color w:val="000000" w:themeColor="text1"/>
          <w:szCs w:val="24"/>
        </w:rPr>
        <w:instrText>micel here</w:instrText>
      </w:r>
      <w:r w:rsidR="008960AE" w:rsidRPr="00EC0229">
        <w:instrText xml:space="preserve">" </w:instrText>
      </w:r>
      <w:r w:rsidR="008960AE" w:rsidRPr="00EC0229">
        <w:rPr>
          <w:rFonts w:cs="Times New Roman"/>
          <w:i/>
          <w:szCs w:val="24"/>
        </w:rPr>
        <w:fldChar w:fldCharType="end"/>
      </w:r>
      <w:r w:rsidRPr="00EC0229">
        <w:rPr>
          <w:rFonts w:cs="Times New Roman"/>
          <w:szCs w:val="24"/>
        </w:rPr>
        <w:t xml:space="preserve">? </w:t>
      </w:r>
      <w:r w:rsidRPr="00EC0229">
        <w:rPr>
          <w:rStyle w:val="FootnoteReference"/>
          <w:rFonts w:cs="Times New Roman"/>
          <w:szCs w:val="24"/>
        </w:rPr>
        <w:footnoteReference w:id="892"/>
      </w:r>
      <w:r w:rsidRPr="00EC0229">
        <w:rPr>
          <w:rFonts w:cs="Times New Roman"/>
          <w:szCs w:val="24"/>
        </w:rPr>
        <w:t xml:space="preserve"> Certainly, this is an historical marker as the site seems to have </w:t>
      </w:r>
      <w:r w:rsidRPr="00EC0229">
        <w:rPr>
          <w:rFonts w:cs="Times New Roman"/>
          <w:szCs w:val="24"/>
        </w:rPr>
        <w:lastRenderedPageBreak/>
        <w:t>been abandoned around this time as indicated by the absence of Torksey, York</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w:t>
      </w:r>
      <w:r w:rsidR="00862F15" w:rsidRPr="00EC0229">
        <w:rPr>
          <w:rFonts w:cs="Times New Roman"/>
          <w:szCs w:val="24"/>
        </w:rPr>
        <w:t>and</w:t>
      </w:r>
      <w:r w:rsidRPr="00EC0229">
        <w:rPr>
          <w:rFonts w:cs="Times New Roman"/>
          <w:szCs w:val="24"/>
        </w:rPr>
        <w:t xml:space="preserve"> ‘York d’ ware and Anglo-Scandinavian shelly pottery.</w:t>
      </w:r>
      <w:r w:rsidRPr="00EC0229">
        <w:rPr>
          <w:rStyle w:val="FootnoteReference"/>
          <w:rFonts w:cs="Times New Roman"/>
          <w:szCs w:val="24"/>
        </w:rPr>
        <w:footnoteReference w:id="893"/>
      </w:r>
    </w:p>
    <w:p w14:paraId="1C7EB8FD" w14:textId="77777777" w:rsidR="009773B7" w:rsidRPr="00EC0229" w:rsidRDefault="009773B7" w:rsidP="007600EA">
      <w:pPr>
        <w:spacing w:after="0" w:line="360" w:lineRule="auto"/>
        <w:rPr>
          <w:rFonts w:cs="Times New Roman"/>
          <w:szCs w:val="24"/>
        </w:rPr>
      </w:pPr>
    </w:p>
    <w:p w14:paraId="5ED02C77" w14:textId="77777777" w:rsidR="009071D2" w:rsidRPr="00EC0229" w:rsidRDefault="009071D2" w:rsidP="007600EA">
      <w:pPr>
        <w:spacing w:after="0" w:line="360" w:lineRule="auto"/>
        <w:rPr>
          <w:rFonts w:cs="Times New Roman"/>
          <w:szCs w:val="24"/>
        </w:rPr>
      </w:pPr>
    </w:p>
    <w:p w14:paraId="7346C9DD" w14:textId="77777777" w:rsidR="009071D2" w:rsidRPr="00EC0229" w:rsidRDefault="009071D2" w:rsidP="007600EA">
      <w:pPr>
        <w:spacing w:after="0" w:line="360" w:lineRule="auto"/>
        <w:rPr>
          <w:rFonts w:cs="Times New Roman"/>
          <w:szCs w:val="24"/>
        </w:rPr>
      </w:pPr>
    </w:p>
    <w:p w14:paraId="5FA0B46D" w14:textId="77777777" w:rsidR="00BD53D4" w:rsidRPr="00EC0229" w:rsidRDefault="00BD53D4" w:rsidP="007600EA">
      <w:pPr>
        <w:spacing w:after="0" w:line="360" w:lineRule="auto"/>
        <w:jc w:val="center"/>
        <w:rPr>
          <w:rFonts w:eastAsia="Times New Roman" w:cs="Times New Roman"/>
          <w:color w:val="000000"/>
          <w:szCs w:val="24"/>
          <w:lang w:eastAsia="en-GB"/>
        </w:rPr>
      </w:pPr>
      <w:r w:rsidRPr="00EC0229">
        <w:rPr>
          <w:rFonts w:eastAsia="Times New Roman" w:cs="Times New Roman"/>
          <w:noProof/>
          <w:color w:val="000000"/>
          <w:szCs w:val="24"/>
          <w:lang w:eastAsia="en-GB"/>
        </w:rPr>
        <w:drawing>
          <wp:inline distT="0" distB="0" distL="0" distR="0" wp14:anchorId="58333EB3" wp14:editId="40F9467F">
            <wp:extent cx="1253276" cy="1195705"/>
            <wp:effectExtent l="0" t="0" r="4445"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ethelbearht of Wessex Fishergate (64i).JPG"/>
                    <pic:cNvPicPr/>
                  </pic:nvPicPr>
                  <pic:blipFill>
                    <a:blip r:embed="rId257">
                      <a:extLst>
                        <a:ext uri="{28A0092B-C50C-407E-A947-70E740481C1C}">
                          <a14:useLocalDpi xmlns:a14="http://schemas.microsoft.com/office/drawing/2010/main" val="0"/>
                        </a:ext>
                      </a:extLst>
                    </a:blip>
                    <a:stretch>
                      <a:fillRect/>
                    </a:stretch>
                  </pic:blipFill>
                  <pic:spPr>
                    <a:xfrm>
                      <a:off x="0" y="0"/>
                      <a:ext cx="1272872" cy="1214400"/>
                    </a:xfrm>
                    <a:prstGeom prst="rect">
                      <a:avLst/>
                    </a:prstGeom>
                  </pic:spPr>
                </pic:pic>
              </a:graphicData>
            </a:graphic>
          </wp:inline>
        </w:drawing>
      </w:r>
      <w:r w:rsidRPr="00EC0229">
        <w:rPr>
          <w:rFonts w:eastAsia="Times New Roman" w:cs="Times New Roman"/>
          <w:noProof/>
          <w:color w:val="000000"/>
          <w:szCs w:val="24"/>
          <w:lang w:eastAsia="en-GB"/>
        </w:rPr>
        <w:drawing>
          <wp:inline distT="0" distB="0" distL="0" distR="0" wp14:anchorId="36125E70" wp14:editId="79BDC287">
            <wp:extent cx="1246041" cy="1193205"/>
            <wp:effectExtent l="0" t="0" r="0" b="698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ethelbearht of Wessex Fishergate (65).JPG"/>
                    <pic:cNvPicPr/>
                  </pic:nvPicPr>
                  <pic:blipFill>
                    <a:blip r:embed="rId258">
                      <a:extLst>
                        <a:ext uri="{28A0092B-C50C-407E-A947-70E740481C1C}">
                          <a14:useLocalDpi xmlns:a14="http://schemas.microsoft.com/office/drawing/2010/main" val="0"/>
                        </a:ext>
                      </a:extLst>
                    </a:blip>
                    <a:stretch>
                      <a:fillRect/>
                    </a:stretch>
                  </pic:blipFill>
                  <pic:spPr>
                    <a:xfrm>
                      <a:off x="0" y="0"/>
                      <a:ext cx="1268103" cy="1214332"/>
                    </a:xfrm>
                    <a:prstGeom prst="rect">
                      <a:avLst/>
                    </a:prstGeom>
                  </pic:spPr>
                </pic:pic>
              </a:graphicData>
            </a:graphic>
          </wp:inline>
        </w:drawing>
      </w:r>
    </w:p>
    <w:p w14:paraId="333697EF" w14:textId="184E54A0" w:rsidR="00BD53D4" w:rsidRPr="00EC0229" w:rsidRDefault="002A206F" w:rsidP="007600EA">
      <w:pPr>
        <w:pStyle w:val="NoSpacing"/>
        <w:spacing w:line="360" w:lineRule="auto"/>
        <w:jc w:val="center"/>
        <w:rPr>
          <w:rFonts w:eastAsia="Times New Roman" w:cs="Times New Roman"/>
          <w:color w:val="000000"/>
          <w:sz w:val="20"/>
          <w:szCs w:val="20"/>
          <w:lang w:eastAsia="en-GB"/>
        </w:rPr>
      </w:pPr>
      <w:bookmarkStart w:id="553" w:name="_Ref430248200"/>
      <w:bookmarkStart w:id="554" w:name="_Toc46826704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74</w:t>
      </w:r>
      <w:r w:rsidRPr="00EC0229">
        <w:rPr>
          <w:sz w:val="20"/>
          <w:szCs w:val="20"/>
        </w:rPr>
        <w:fldChar w:fldCharType="end"/>
      </w:r>
      <w:bookmarkEnd w:id="553"/>
      <w:r w:rsidR="009071D2" w:rsidRPr="00EC0229">
        <w:rPr>
          <w:rFonts w:eastAsia="Times New Roman" w:cs="Times New Roman"/>
          <w:color w:val="000000"/>
          <w:sz w:val="20"/>
          <w:szCs w:val="20"/>
          <w:lang w:eastAsia="en-GB"/>
        </w:rPr>
        <w:t xml:space="preserve">: </w:t>
      </w:r>
      <w:r w:rsidR="00BD53D4" w:rsidRPr="00EC0229">
        <w:rPr>
          <w:rFonts w:eastAsia="Times New Roman" w:cs="Times New Roman"/>
          <w:color w:val="000000"/>
          <w:sz w:val="20"/>
          <w:szCs w:val="20"/>
          <w:lang w:eastAsia="en-GB"/>
        </w:rPr>
        <w:t>Fishergate</w:t>
      </w:r>
      <w:r w:rsidR="006B1593" w:rsidRPr="00EC0229">
        <w:rPr>
          <w:rFonts w:eastAsia="Times New Roman" w:cs="Times New Roman"/>
          <w:color w:val="000000"/>
          <w:sz w:val="20"/>
          <w:szCs w:val="20"/>
          <w:lang w:eastAsia="en-GB"/>
        </w:rPr>
        <w:fldChar w:fldCharType="begin"/>
      </w:r>
      <w:r w:rsidR="006B1593" w:rsidRPr="00EC0229">
        <w:rPr>
          <w:sz w:val="20"/>
          <w:szCs w:val="20"/>
        </w:rPr>
        <w:instrText xml:space="preserve"> XE "</w:instrText>
      </w:r>
      <w:r w:rsidR="006B1593" w:rsidRPr="00EC0229">
        <w:rPr>
          <w:rStyle w:val="Hyperlink"/>
          <w:noProof/>
          <w:sz w:val="20"/>
          <w:szCs w:val="20"/>
          <w:u w:val="none"/>
        </w:rPr>
        <w:instrText>Fishergate</w:instrText>
      </w:r>
      <w:r w:rsidR="006B1593" w:rsidRPr="00EC0229">
        <w:rPr>
          <w:sz w:val="20"/>
          <w:szCs w:val="20"/>
        </w:rPr>
        <w:instrText xml:space="preserve">" </w:instrText>
      </w:r>
      <w:r w:rsidR="006B1593" w:rsidRPr="00EC0229">
        <w:rPr>
          <w:rFonts w:eastAsia="Times New Roman" w:cs="Times New Roman"/>
          <w:color w:val="000000"/>
          <w:sz w:val="20"/>
          <w:szCs w:val="20"/>
          <w:lang w:eastAsia="en-GB"/>
        </w:rPr>
        <w:fldChar w:fldCharType="end"/>
      </w:r>
      <w:r w:rsidR="00BD53D4" w:rsidRPr="00EC0229">
        <w:rPr>
          <w:rFonts w:eastAsia="Times New Roman" w:cs="Times New Roman"/>
          <w:color w:val="000000"/>
          <w:sz w:val="20"/>
          <w:szCs w:val="20"/>
          <w:lang w:eastAsia="en-GB"/>
        </w:rPr>
        <w:t xml:space="preserve"> penny</w:t>
      </w:r>
      <w:r w:rsidR="00D142DC" w:rsidRPr="00EC0229">
        <w:rPr>
          <w:rFonts w:eastAsia="Times New Roman" w:cs="Times New Roman"/>
          <w:color w:val="000000"/>
          <w:sz w:val="20"/>
          <w:szCs w:val="20"/>
          <w:lang w:eastAsia="en-GB"/>
        </w:rPr>
        <w:fldChar w:fldCharType="begin"/>
      </w:r>
      <w:r w:rsidR="00D142DC" w:rsidRPr="00EC0229">
        <w:rPr>
          <w:sz w:val="20"/>
          <w:szCs w:val="20"/>
        </w:rPr>
        <w:instrText xml:space="preserve"> XE "penny" </w:instrText>
      </w:r>
      <w:r w:rsidR="00D142DC" w:rsidRPr="00EC0229">
        <w:rPr>
          <w:rFonts w:eastAsia="Times New Roman" w:cs="Times New Roman"/>
          <w:color w:val="000000"/>
          <w:sz w:val="20"/>
          <w:szCs w:val="20"/>
          <w:lang w:eastAsia="en-GB"/>
        </w:rPr>
        <w:fldChar w:fldCharType="end"/>
      </w:r>
      <w:r w:rsidR="00BD53D4" w:rsidRPr="00EC0229">
        <w:rPr>
          <w:rFonts w:eastAsia="Times New Roman" w:cs="Times New Roman"/>
          <w:color w:val="000000"/>
          <w:sz w:val="20"/>
          <w:szCs w:val="20"/>
          <w:lang w:eastAsia="en-GB"/>
        </w:rPr>
        <w:t>:</w:t>
      </w:r>
      <w:bookmarkEnd w:id="554"/>
    </w:p>
    <w:p w14:paraId="506F7999" w14:textId="77777777" w:rsidR="00BD53D4" w:rsidRPr="00EC0229" w:rsidRDefault="00BD53D4" w:rsidP="007600EA">
      <w:pPr>
        <w:spacing w:after="0" w:line="360" w:lineRule="auto"/>
        <w:jc w:val="center"/>
        <w:rPr>
          <w:rFonts w:eastAsia="Times New Roman" w:cs="Times New Roman"/>
          <w:color w:val="000000"/>
          <w:sz w:val="20"/>
          <w:szCs w:val="20"/>
          <w:lang w:eastAsia="en-GB"/>
        </w:rPr>
      </w:pPr>
      <w:r w:rsidRPr="00EC0229">
        <w:rPr>
          <w:rFonts w:eastAsia="Times New Roman" w:cs="Times New Roman"/>
          <w:color w:val="000000"/>
          <w:sz w:val="20"/>
          <w:szCs w:val="20"/>
          <w:lang w:eastAsia="en-GB"/>
        </w:rPr>
        <w:t>Æthelberht of Wessex, moneyer Winiberht</w:t>
      </w:r>
    </w:p>
    <w:p w14:paraId="3BD1B700" w14:textId="77777777" w:rsidR="00A16E60" w:rsidRPr="00EC0229" w:rsidRDefault="00A16E60" w:rsidP="007600EA">
      <w:pPr>
        <w:spacing w:after="0" w:line="360" w:lineRule="auto"/>
        <w:rPr>
          <w:rFonts w:eastAsia="Times New Roman" w:cs="Times New Roman"/>
          <w:szCs w:val="24"/>
          <w:lang w:eastAsia="en-GB"/>
        </w:rPr>
      </w:pPr>
    </w:p>
    <w:p w14:paraId="79406213" w14:textId="5FE2973E"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szCs w:val="24"/>
          <w:lang w:eastAsia="en-GB"/>
        </w:rPr>
        <w:t>To recapitulate the main features of the coinage at 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atypically, sceats outnumber stycas 3:2, and among the twenty-seven sceats, imported Continental coins (twelve) dominate with only seven indisputably Northumbrian </w:t>
      </w:r>
      <w:r w:rsidR="00CE43FD" w:rsidRPr="00EC0229">
        <w:rPr>
          <w:rFonts w:eastAsia="Times New Roman" w:cs="Times New Roman"/>
          <w:szCs w:val="24"/>
          <w:lang w:eastAsia="en-GB"/>
        </w:rPr>
        <w:t>coins</w:t>
      </w:r>
      <w:r w:rsidRPr="00EC0229">
        <w:rPr>
          <w:rFonts w:eastAsia="Times New Roman" w:cs="Times New Roman"/>
          <w:szCs w:val="24"/>
          <w:lang w:eastAsia="en-GB"/>
        </w:rPr>
        <w:t xml:space="preserve">, from </w:t>
      </w:r>
      <w:r w:rsidR="002132F1">
        <w:rPr>
          <w:rFonts w:eastAsia="Times New Roman" w:cs="Times New Roman"/>
          <w:i/>
          <w:szCs w:val="24"/>
          <w:lang w:eastAsia="en-GB"/>
        </w:rPr>
        <w:t>c.</w:t>
      </w:r>
      <w:r w:rsidRPr="00EC0229">
        <w:rPr>
          <w:rFonts w:eastAsia="Times New Roman" w:cs="Times New Roman"/>
          <w:szCs w:val="24"/>
          <w:lang w:eastAsia="en-GB"/>
        </w:rPr>
        <w:t>737 to the 790s, though the source of the five Series</w:t>
      </w:r>
      <w:r w:rsidR="00D142DC" w:rsidRPr="00EC0229">
        <w:rPr>
          <w:rFonts w:eastAsia="Times New Roman" w:cs="Times New Roman"/>
          <w:szCs w:val="24"/>
          <w:lang w:eastAsia="en-GB"/>
        </w:rPr>
        <w:fldChar w:fldCharType="begin"/>
      </w:r>
      <w:r w:rsidR="00D142DC" w:rsidRPr="00EC0229">
        <w:instrText xml:space="preserve"> XE "Series"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J </w:t>
      </w:r>
      <w:r w:rsidR="00CE43FD" w:rsidRPr="00EC0229">
        <w:rPr>
          <w:rFonts w:eastAsia="Times New Roman" w:cs="Times New Roman"/>
          <w:szCs w:val="24"/>
          <w:lang w:eastAsia="en-GB"/>
        </w:rPr>
        <w:t xml:space="preserve">specimens </w:t>
      </w:r>
      <w:r w:rsidR="004110D9" w:rsidRPr="00EC0229">
        <w:rPr>
          <w:rFonts w:eastAsia="Times New Roman" w:cs="Times New Roman"/>
          <w:szCs w:val="24"/>
          <w:lang w:eastAsia="en-GB"/>
        </w:rPr>
        <w:t>is assumed</w:t>
      </w:r>
      <w:r w:rsidRPr="00EC0229">
        <w:rPr>
          <w:rFonts w:eastAsia="Times New Roman" w:cs="Times New Roman"/>
          <w:szCs w:val="24"/>
          <w:lang w:eastAsia="en-GB"/>
        </w:rPr>
        <w:t xml:space="preserve"> northern</w:t>
      </w:r>
      <w:r w:rsidR="004110D9" w:rsidRPr="00EC0229">
        <w:rPr>
          <w:rFonts w:eastAsia="Times New Roman" w:cs="Times New Roman"/>
          <w:szCs w:val="24"/>
          <w:lang w:eastAsia="en-GB"/>
        </w:rPr>
        <w:t xml:space="preserve"> [5a]</w:t>
      </w:r>
      <w:r w:rsidRPr="00EC0229">
        <w:rPr>
          <w:rFonts w:eastAsia="Times New Roman" w:cs="Times New Roman"/>
          <w:szCs w:val="24"/>
          <w:lang w:eastAsia="en-GB"/>
        </w:rPr>
        <w:t xml:space="preserve">. </w:t>
      </w:r>
      <w:r w:rsidR="004110D9" w:rsidRPr="00EC0229">
        <w:rPr>
          <w:rFonts w:eastAsia="Times New Roman" w:cs="Times New Roman"/>
          <w:szCs w:val="24"/>
          <w:lang w:eastAsia="en-GB"/>
        </w:rPr>
        <w:t xml:space="preserve">The primary phase sceats [4] are worn so cannot be used to argue for an early transactional date. </w:t>
      </w:r>
      <w:r w:rsidRPr="00EC0229">
        <w:rPr>
          <w:rFonts w:eastAsia="Times New Roman" w:cs="Times New Roman"/>
          <w:szCs w:val="24"/>
          <w:lang w:eastAsia="en-GB"/>
        </w:rPr>
        <w:t xml:space="preserve">There are only two </w:t>
      </w:r>
      <w:r w:rsidR="00572E51" w:rsidRPr="00EC0229">
        <w:rPr>
          <w:rFonts w:eastAsia="Times New Roman" w:cs="Times New Roman"/>
          <w:szCs w:val="24"/>
          <w:lang w:eastAsia="en-GB"/>
        </w:rPr>
        <w:t>Southumbria</w:t>
      </w:r>
      <w:r w:rsidRPr="00EC0229">
        <w:rPr>
          <w:rFonts w:eastAsia="Times New Roman" w:cs="Times New Roman"/>
          <w:szCs w:val="24"/>
          <w:lang w:eastAsia="en-GB"/>
        </w:rPr>
        <w:t>n sceats, one East Anglian</w:t>
      </w:r>
      <w:r w:rsidR="00D142DC" w:rsidRPr="00EC0229">
        <w:rPr>
          <w:rFonts w:eastAsia="Times New Roman" w:cs="Times New Roman"/>
          <w:szCs w:val="24"/>
          <w:lang w:eastAsia="en-GB"/>
        </w:rPr>
        <w:fldChar w:fldCharType="begin"/>
      </w:r>
      <w:r w:rsidR="00D142DC" w:rsidRPr="00EC0229">
        <w:instrText xml:space="preserve"> XE "Anglian"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the other an exotic species</w:t>
      </w:r>
      <w:r w:rsidR="004110D9" w:rsidRPr="00EC0229">
        <w:rPr>
          <w:rFonts w:eastAsia="Times New Roman" w:cs="Times New Roman"/>
          <w:szCs w:val="24"/>
          <w:lang w:eastAsia="en-GB"/>
        </w:rPr>
        <w:t xml:space="preserve"> [5b]</w:t>
      </w:r>
      <w:r w:rsidRPr="00EC0229">
        <w:rPr>
          <w:rFonts w:eastAsia="Times New Roman" w:cs="Times New Roman"/>
          <w:szCs w:val="24"/>
          <w:lang w:eastAsia="en-GB"/>
        </w:rPr>
        <w:t xml:space="preserve">. </w:t>
      </w:r>
    </w:p>
    <w:p w14:paraId="35FF7774" w14:textId="77777777" w:rsidR="00BD53D4" w:rsidRPr="00EC0229" w:rsidRDefault="00BD53D4" w:rsidP="007600EA">
      <w:pPr>
        <w:spacing w:after="0" w:line="360" w:lineRule="auto"/>
        <w:rPr>
          <w:rFonts w:eastAsia="Times New Roman" w:cs="Times New Roman"/>
          <w:szCs w:val="24"/>
          <w:lang w:eastAsia="en-GB"/>
        </w:rPr>
      </w:pPr>
    </w:p>
    <w:p w14:paraId="24965D0E" w14:textId="42986F45"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szCs w:val="24"/>
          <w:lang w:eastAsia="en-GB"/>
        </w:rPr>
        <w:t xml:space="preserve">Among </w:t>
      </w:r>
      <w:r w:rsidR="00F139AF" w:rsidRPr="00EC0229">
        <w:rPr>
          <w:rFonts w:eastAsia="Times New Roman" w:cs="Times New Roman"/>
          <w:szCs w:val="24"/>
          <w:lang w:eastAsia="en-GB"/>
        </w:rPr>
        <w:t>the ninth century</w:t>
      </w:r>
      <w:r w:rsidRPr="00EC0229">
        <w:rPr>
          <w:rFonts w:eastAsia="Times New Roman" w:cs="Times New Roman"/>
          <w:szCs w:val="24"/>
          <w:lang w:eastAsia="en-GB"/>
        </w:rPr>
        <w:t xml:space="preserve"> coins, there is only one silver-alloy</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emission of Eanred</w:t>
      </w:r>
      <w:r w:rsidR="009773B7" w:rsidRPr="00EC0229">
        <w:rPr>
          <w:rFonts w:eastAsia="Times New Roman" w:cs="Times New Roman"/>
          <w:szCs w:val="24"/>
          <w:lang w:eastAsia="en-GB"/>
        </w:rPr>
        <w:t xml:space="preserve"> [N9]</w:t>
      </w:r>
      <w:r w:rsidR="00D142DC" w:rsidRPr="00EC0229">
        <w:rPr>
          <w:rFonts w:eastAsia="Times New Roman" w:cs="Times New Roman"/>
          <w:szCs w:val="24"/>
          <w:lang w:eastAsia="en-GB"/>
        </w:rPr>
        <w:fldChar w:fldCharType="begin"/>
      </w:r>
      <w:r w:rsidR="00D142DC" w:rsidRPr="00EC0229">
        <w:instrText xml:space="preserve"> XE "Eanred"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none for Eanbald</w:t>
      </w:r>
      <w:r w:rsidR="00D142DC" w:rsidRPr="00EC0229">
        <w:rPr>
          <w:rFonts w:eastAsia="Times New Roman" w:cs="Times New Roman"/>
          <w:szCs w:val="24"/>
          <w:lang w:eastAsia="en-GB"/>
        </w:rPr>
        <w:fldChar w:fldCharType="begin"/>
      </w:r>
      <w:r w:rsidR="00D142DC" w:rsidRPr="00EC0229">
        <w:instrText xml:space="preserve"> XE "Eanbald"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II, eleven brass stycas </w:t>
      </w:r>
      <w:r w:rsidR="009773B7" w:rsidRPr="00EC0229">
        <w:rPr>
          <w:rFonts w:eastAsia="Times New Roman" w:cs="Times New Roman"/>
          <w:szCs w:val="24"/>
          <w:lang w:eastAsia="en-GB"/>
        </w:rPr>
        <w:t xml:space="preserve">[N10a] </w:t>
      </w:r>
      <w:r w:rsidRPr="00EC0229">
        <w:rPr>
          <w:rFonts w:eastAsia="Times New Roman" w:cs="Times New Roman"/>
          <w:szCs w:val="24"/>
          <w:lang w:eastAsia="en-GB"/>
        </w:rPr>
        <w:t>and seven blundered</w:t>
      </w:r>
      <w:r w:rsidR="009773B7" w:rsidRPr="00EC0229">
        <w:rPr>
          <w:rFonts w:eastAsia="Times New Roman" w:cs="Times New Roman"/>
          <w:szCs w:val="24"/>
          <w:lang w:eastAsia="en-GB"/>
        </w:rPr>
        <w:t xml:space="preserve"> [N10c]</w:t>
      </w:r>
      <w:r w:rsidRPr="00EC0229">
        <w:rPr>
          <w:rFonts w:eastAsia="Times New Roman" w:cs="Times New Roman"/>
          <w:szCs w:val="24"/>
          <w:lang w:eastAsia="en-GB"/>
        </w:rPr>
        <w:t>. There are no coins of Osberht</w:t>
      </w:r>
      <w:r w:rsidR="00D142DC" w:rsidRPr="00EC0229">
        <w:rPr>
          <w:rFonts w:eastAsia="Times New Roman" w:cs="Times New Roman"/>
          <w:szCs w:val="24"/>
          <w:lang w:eastAsia="en-GB"/>
        </w:rPr>
        <w:fldChar w:fldCharType="begin"/>
      </w:r>
      <w:r w:rsidR="00D142DC" w:rsidRPr="00EC0229">
        <w:instrText xml:space="preserve"> XE "Osberht"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or Wulfhere</w:t>
      </w:r>
      <w:r w:rsidR="00D142DC" w:rsidRPr="00EC0229">
        <w:rPr>
          <w:rFonts w:eastAsia="Times New Roman" w:cs="Times New Roman"/>
          <w:szCs w:val="24"/>
          <w:lang w:eastAsia="en-GB"/>
        </w:rPr>
        <w:fldChar w:fldCharType="begin"/>
      </w:r>
      <w:r w:rsidR="00D142DC" w:rsidRPr="00EC0229">
        <w:instrText xml:space="preserve"> XE "Wulfhere"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w:t>
      </w:r>
      <w:r w:rsidR="009773B7" w:rsidRPr="00EC0229">
        <w:rPr>
          <w:rFonts w:eastAsia="Times New Roman" w:cs="Times New Roman"/>
          <w:szCs w:val="24"/>
          <w:lang w:eastAsia="en-GB"/>
        </w:rPr>
        <w:t xml:space="preserve">[N10b] </w:t>
      </w:r>
      <w:r w:rsidRPr="00EC0229">
        <w:rPr>
          <w:rFonts w:eastAsia="Times New Roman" w:cs="Times New Roman"/>
          <w:szCs w:val="24"/>
          <w:lang w:eastAsia="en-GB"/>
        </w:rPr>
        <w:t>indicating decline before the fall of York</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w:t>
      </w:r>
    </w:p>
    <w:p w14:paraId="377CB99A" w14:textId="77777777" w:rsidR="00BD53D4" w:rsidRPr="00EC0229" w:rsidRDefault="00BD53D4" w:rsidP="007600EA">
      <w:pPr>
        <w:spacing w:after="0" w:line="360" w:lineRule="auto"/>
        <w:rPr>
          <w:rFonts w:eastAsia="Times New Roman" w:cs="Times New Roman"/>
          <w:szCs w:val="24"/>
          <w:lang w:eastAsia="en-GB"/>
        </w:rPr>
      </w:pPr>
    </w:p>
    <w:p w14:paraId="46E928C7" w14:textId="664C4EF2"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szCs w:val="24"/>
          <w:lang w:eastAsia="en-GB"/>
        </w:rPr>
        <w:t>The penny</w:t>
      </w:r>
      <w:r w:rsidR="00D142DC" w:rsidRPr="00EC0229">
        <w:rPr>
          <w:rFonts w:eastAsia="Times New Roman" w:cs="Times New Roman"/>
          <w:szCs w:val="24"/>
          <w:lang w:eastAsia="en-GB"/>
        </w:rPr>
        <w:fldChar w:fldCharType="begin"/>
      </w:r>
      <w:r w:rsidR="00D142DC" w:rsidRPr="00EC0229">
        <w:instrText xml:space="preserve"> XE "penny"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of Æthelberht of Wessex, 858-865/6, </w:t>
      </w:r>
      <w:r w:rsidR="009773B7" w:rsidRPr="00EC0229">
        <w:rPr>
          <w:rFonts w:eastAsia="Times New Roman" w:cs="Times New Roman"/>
          <w:szCs w:val="24"/>
          <w:lang w:eastAsia="en-GB"/>
        </w:rPr>
        <w:t xml:space="preserve">[S9] </w:t>
      </w:r>
      <w:r w:rsidRPr="00EC0229">
        <w:rPr>
          <w:rFonts w:eastAsia="Times New Roman" w:cs="Times New Roman"/>
          <w:szCs w:val="24"/>
          <w:lang w:eastAsia="en-GB"/>
        </w:rPr>
        <w:t>may have accompanied the Vikings as small numbers of similar pennies are thinly but widely distributed in the north.</w:t>
      </w:r>
    </w:p>
    <w:p w14:paraId="79CE4058" w14:textId="724E7D12" w:rsidR="00BD53D4" w:rsidRPr="00EC0229" w:rsidRDefault="00BD53D4" w:rsidP="007600EA">
      <w:pPr>
        <w:spacing w:after="0" w:line="360" w:lineRule="auto"/>
        <w:rPr>
          <w:rFonts w:eastAsia="Times New Roman" w:cs="Times New Roman"/>
          <w:color w:val="000000"/>
          <w:szCs w:val="24"/>
          <w:lang w:eastAsia="en-GB"/>
        </w:rPr>
      </w:pPr>
    </w:p>
    <w:p w14:paraId="788758F1" w14:textId="66570321" w:rsidR="00BD53D4" w:rsidRPr="007A3166" w:rsidRDefault="00BD53D4" w:rsidP="002979EC">
      <w:pPr>
        <w:pStyle w:val="Heading7"/>
        <w:ind w:left="0" w:firstLine="720"/>
        <w:rPr>
          <w:rFonts w:eastAsia="Times New Roman"/>
          <w:b/>
          <w:lang w:eastAsia="en-GB"/>
        </w:rPr>
      </w:pPr>
      <w:r w:rsidRPr="007A3166">
        <w:rPr>
          <w:rFonts w:eastAsia="Times New Roman"/>
          <w:b/>
          <w:lang w:eastAsia="en-GB"/>
        </w:rPr>
        <w:t xml:space="preserve">Comparison with </w:t>
      </w:r>
      <w:r w:rsidR="004F5EA7" w:rsidRPr="007A3166">
        <w:rPr>
          <w:rFonts w:eastAsia="Times New Roman"/>
          <w:b/>
          <w:lang w:eastAsia="en-GB"/>
        </w:rPr>
        <w:t>Normal Distribution</w:t>
      </w:r>
      <w:r w:rsidRPr="007A3166">
        <w:rPr>
          <w:rFonts w:eastAsia="Times New Roman"/>
          <w:b/>
          <w:lang w:eastAsia="en-GB"/>
        </w:rPr>
        <w:t xml:space="preserve"> </w:t>
      </w:r>
    </w:p>
    <w:p w14:paraId="7B6C01D2" w14:textId="4BB6E1A2" w:rsidR="00BD53D4" w:rsidRPr="009B2444" w:rsidRDefault="009A3EEF" w:rsidP="007600EA">
      <w:pPr>
        <w:spacing w:after="0" w:line="360" w:lineRule="auto"/>
        <w:rPr>
          <w:rFonts w:eastAsia="Times New Roman" w:cs="Times New Roman"/>
          <w:color w:val="000000"/>
          <w:szCs w:val="24"/>
          <w:lang w:eastAsia="en-GB"/>
        </w:rPr>
      </w:pPr>
      <w:r w:rsidRPr="00EC0229">
        <w:rPr>
          <w:rFonts w:eastAsia="Times New Roman" w:cs="Times New Roman"/>
          <w:i/>
          <w:color w:val="000000"/>
          <w:szCs w:val="24"/>
          <w:lang w:eastAsia="en-GB"/>
        </w:rPr>
        <w:t>Database 1</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noProof/>
        </w:rPr>
        <w:instrText>Database</w:instrText>
      </w:r>
      <w:r w:rsidR="00584C42" w:rsidRPr="00EC0229">
        <w:instrText xml:space="preserve">" </w:instrText>
      </w:r>
      <w:r w:rsidR="00584C42" w:rsidRPr="00EC0229">
        <w:rPr>
          <w:rFonts w:eastAsia="Times New Roman" w:cs="Times New Roman"/>
          <w:szCs w:val="24"/>
          <w:lang w:eastAsia="en-GB"/>
        </w:rPr>
        <w:fldChar w:fldCharType="end"/>
      </w:r>
      <w:r w:rsidR="00BD53D4" w:rsidRPr="00EC0229">
        <w:rPr>
          <w:rFonts w:eastAsia="Times New Roman" w:cs="Times New Roman"/>
          <w:color w:val="000000"/>
          <w:szCs w:val="24"/>
          <w:lang w:eastAsia="en-GB"/>
        </w:rPr>
        <w:t xml:space="preserve"> gives data for periods 4a to N10c covering only sceats and stycas. Tempering Metcalf</w:t>
      </w:r>
      <w:r w:rsidR="00F204A1" w:rsidRPr="00EC0229">
        <w:rPr>
          <w:rFonts w:eastAsia="Times New Roman" w:cs="Times New Roman"/>
          <w:color w:val="000000"/>
          <w:szCs w:val="24"/>
          <w:lang w:eastAsia="en-GB"/>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eastAsia="Times New Roman" w:cs="Times New Roman"/>
          <w:color w:val="000000"/>
          <w:szCs w:val="24"/>
          <w:lang w:eastAsia="en-GB"/>
        </w:rPr>
        <w:fldChar w:fldCharType="end"/>
      </w:r>
      <w:r w:rsidR="00BD53D4" w:rsidRPr="00EC0229">
        <w:rPr>
          <w:rFonts w:eastAsia="Times New Roman" w:cs="Times New Roman"/>
          <w:color w:val="000000"/>
          <w:szCs w:val="24"/>
          <w:lang w:eastAsia="en-GB"/>
        </w:rPr>
        <w:t xml:space="preserve">’s </w:t>
      </w:r>
      <w:r w:rsidR="00BD53D4" w:rsidRPr="00EC0229">
        <w:rPr>
          <w:rFonts w:eastAsia="Times New Roman" w:cs="Times New Roman"/>
          <w:i/>
          <w:color w:val="000000"/>
          <w:szCs w:val="24"/>
          <w:lang w:eastAsia="en-GB"/>
        </w:rPr>
        <w:t>dictum</w:t>
      </w:r>
      <w:r w:rsidR="00BD53D4" w:rsidRPr="00EC0229">
        <w:rPr>
          <w:rFonts w:eastAsia="Times New Roman" w:cs="Times New Roman"/>
          <w:color w:val="000000"/>
          <w:szCs w:val="24"/>
          <w:lang w:eastAsia="en-GB"/>
        </w:rPr>
        <w:t xml:space="preserve"> ‘randomness is all’ with sample size, </w:t>
      </w:r>
      <w:r w:rsidR="00BD53D4" w:rsidRPr="00EC0229">
        <w:rPr>
          <w:rFonts w:eastAsia="Times New Roman" w:cs="Times New Roman"/>
          <w:i/>
          <w:szCs w:val="24"/>
          <w:lang w:eastAsia="en-GB"/>
        </w:rPr>
        <w:t>Table</w:t>
      </w:r>
      <w:r w:rsidR="00584C42" w:rsidRPr="00EC0229">
        <w:rPr>
          <w:rFonts w:eastAsia="Times New Roman" w:cs="Times New Roman"/>
          <w:i/>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i/>
          <w:szCs w:val="24"/>
          <w:lang w:eastAsia="en-GB"/>
        </w:rPr>
        <w:fldChar w:fldCharType="end"/>
      </w:r>
      <w:r w:rsidR="00BD53D4" w:rsidRPr="00EC0229">
        <w:rPr>
          <w:rFonts w:eastAsia="Times New Roman" w:cs="Times New Roman"/>
          <w:i/>
          <w:szCs w:val="24"/>
          <w:lang w:eastAsia="en-GB"/>
        </w:rPr>
        <w:t xml:space="preserve"> </w:t>
      </w:r>
      <w:r w:rsidR="00276BC8" w:rsidRPr="00EC0229">
        <w:rPr>
          <w:rFonts w:eastAsia="Times New Roman" w:cs="Times New Roman"/>
          <w:i/>
          <w:szCs w:val="24"/>
          <w:lang w:eastAsia="en-GB"/>
        </w:rPr>
        <w:t>5.01</w:t>
      </w:r>
      <w:r w:rsidR="00BD53D4" w:rsidRPr="00EC0229">
        <w:rPr>
          <w:rFonts w:eastAsia="Times New Roman" w:cs="Times New Roman"/>
          <w:color w:val="000000"/>
          <w:szCs w:val="24"/>
          <w:lang w:eastAsia="en-GB"/>
        </w:rPr>
        <w:t xml:space="preserve"> </w:t>
      </w:r>
      <w:r w:rsidR="001E532E" w:rsidRPr="00EC0229">
        <w:rPr>
          <w:rFonts w:eastAsia="Times New Roman" w:cs="Times New Roman"/>
          <w:color w:val="000000"/>
          <w:szCs w:val="24"/>
          <w:lang w:eastAsia="en-GB"/>
        </w:rPr>
        <w:t>selection F</w:t>
      </w:r>
      <w:r w:rsidR="00BD53D4" w:rsidRPr="00EC0229">
        <w:rPr>
          <w:rFonts w:eastAsia="Times New Roman" w:cs="Times New Roman"/>
          <w:color w:val="000000"/>
          <w:szCs w:val="24"/>
          <w:lang w:eastAsia="en-GB"/>
        </w:rPr>
        <w:t xml:space="preserve">, </w:t>
      </w:r>
      <w:r w:rsidR="001E532E" w:rsidRPr="00EC0229">
        <w:rPr>
          <w:rFonts w:eastAsia="Times New Roman" w:cs="Times New Roman"/>
          <w:color w:val="000000"/>
          <w:szCs w:val="24"/>
          <w:lang w:eastAsia="en-GB"/>
        </w:rPr>
        <w:t>‘Provenanced, not hoard’</w:t>
      </w:r>
      <w:r w:rsidR="00BD53D4" w:rsidRPr="00EC0229">
        <w:rPr>
          <w:rFonts w:eastAsia="Times New Roman" w:cs="Times New Roman"/>
          <w:color w:val="000000"/>
          <w:szCs w:val="24"/>
          <w:lang w:eastAsia="en-GB"/>
        </w:rPr>
        <w:t xml:space="preserve"> (</w:t>
      </w:r>
      <w:r w:rsidR="001E532E" w:rsidRPr="00EC0229">
        <w:rPr>
          <w:rFonts w:eastAsia="Times New Roman" w:cs="Times New Roman"/>
          <w:color w:val="000000"/>
          <w:szCs w:val="24"/>
          <w:lang w:eastAsia="en-GB"/>
        </w:rPr>
        <w:t>1,242</w:t>
      </w:r>
      <w:r w:rsidR="00BD53D4" w:rsidRPr="00EC0229">
        <w:rPr>
          <w:rFonts w:eastAsia="Times New Roman" w:cs="Times New Roman"/>
          <w:color w:val="000000"/>
          <w:szCs w:val="24"/>
          <w:lang w:eastAsia="en-GB"/>
        </w:rPr>
        <w:t xml:space="preserve"> coins), was deemed the most appropriate base for extrapolation.</w:t>
      </w:r>
      <w:r w:rsidR="00BD53D4" w:rsidRPr="00EC0229">
        <w:rPr>
          <w:rStyle w:val="FootnoteReference"/>
          <w:rFonts w:eastAsia="Times New Roman" w:cs="Times New Roman"/>
          <w:color w:val="000000"/>
          <w:szCs w:val="24"/>
          <w:lang w:eastAsia="en-GB"/>
        </w:rPr>
        <w:footnoteReference w:id="894"/>
      </w:r>
      <w:r w:rsidR="00BD53D4" w:rsidRPr="00EC0229">
        <w:rPr>
          <w:rFonts w:eastAsia="Times New Roman" w:cs="Times New Roman"/>
          <w:color w:val="000000"/>
          <w:szCs w:val="24"/>
          <w:lang w:eastAsia="en-GB"/>
        </w:rPr>
        <w:t xml:space="preserve"> In </w:t>
      </w:r>
      <w:r w:rsidR="00BD53D4" w:rsidRPr="00EC0229">
        <w:rPr>
          <w:rFonts w:cs="Times New Roman"/>
          <w:i/>
          <w:szCs w:val="24"/>
          <w:lang w:eastAsia="en-GB"/>
        </w:rPr>
        <w:t xml:space="preserve">Table </w:t>
      </w:r>
      <w:r w:rsidR="00276BC8" w:rsidRPr="00EC0229">
        <w:rPr>
          <w:rFonts w:cs="Times New Roman"/>
          <w:i/>
          <w:szCs w:val="24"/>
          <w:lang w:eastAsia="en-GB"/>
        </w:rPr>
        <w:t>8.0</w:t>
      </w:r>
      <w:r w:rsidR="005755EC" w:rsidRPr="00EC0229">
        <w:rPr>
          <w:rFonts w:cs="Times New Roman"/>
          <w:i/>
          <w:szCs w:val="24"/>
          <w:lang w:eastAsia="en-GB"/>
        </w:rPr>
        <w:t>4</w:t>
      </w:r>
      <w:r w:rsidR="00BD53D4" w:rsidRPr="00EC0229">
        <w:rPr>
          <w:rFonts w:cs="Times New Roman"/>
          <w:szCs w:val="24"/>
          <w:lang w:eastAsia="en-GB"/>
        </w:rPr>
        <w:t>,</w:t>
      </w:r>
      <w:r w:rsidR="00BD53D4" w:rsidRPr="00EC0229">
        <w:rPr>
          <w:rFonts w:eastAsia="Times New Roman" w:cs="Times New Roman"/>
          <w:color w:val="000000"/>
          <w:szCs w:val="24"/>
          <w:lang w:eastAsia="en-GB"/>
        </w:rPr>
        <w:t xml:space="preserve"> the distribution of this selection is compared to the number of finds at Fishergate</w:t>
      </w:r>
      <w:r w:rsidR="006B1593" w:rsidRPr="00EC0229">
        <w:rPr>
          <w:rFonts w:eastAsia="Times New Roman" w:cs="Times New Roman"/>
          <w:color w:val="000000"/>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color w:val="000000"/>
          <w:szCs w:val="24"/>
          <w:lang w:eastAsia="en-GB"/>
        </w:rPr>
        <w:fldChar w:fldCharType="end"/>
      </w:r>
      <w:r w:rsidR="00313800" w:rsidRPr="00EC0229">
        <w:rPr>
          <w:rFonts w:eastAsia="Times New Roman" w:cs="Times New Roman"/>
          <w:color w:val="000000"/>
          <w:szCs w:val="24"/>
          <w:lang w:eastAsia="en-GB"/>
        </w:rPr>
        <w:t xml:space="preserve"> (48</w:t>
      </w:r>
      <w:r w:rsidR="00BD53D4" w:rsidRPr="00EC0229">
        <w:rPr>
          <w:rFonts w:eastAsia="Times New Roman" w:cs="Times New Roman"/>
          <w:color w:val="000000"/>
          <w:szCs w:val="24"/>
          <w:lang w:eastAsia="en-GB"/>
        </w:rPr>
        <w:t xml:space="preserve"> </w:t>
      </w:r>
      <w:r w:rsidR="00BD53D4" w:rsidRPr="00EC0229">
        <w:rPr>
          <w:rFonts w:eastAsia="Times New Roman" w:cs="Times New Roman"/>
          <w:color w:val="000000"/>
          <w:szCs w:val="24"/>
          <w:lang w:eastAsia="en-GB"/>
        </w:rPr>
        <w:lastRenderedPageBreak/>
        <w:t xml:space="preserve">coins) and to </w:t>
      </w:r>
      <w:r w:rsidR="00313800" w:rsidRPr="00EC0229">
        <w:rPr>
          <w:rFonts w:eastAsia="Times New Roman" w:cs="Times New Roman"/>
          <w:color w:val="000000"/>
          <w:szCs w:val="24"/>
          <w:lang w:eastAsia="en-GB"/>
        </w:rPr>
        <w:t xml:space="preserve">all </w:t>
      </w:r>
      <w:r w:rsidR="00BD53D4" w:rsidRPr="00EC0229">
        <w:rPr>
          <w:rFonts w:eastAsia="Times New Roman" w:cs="Times New Roman"/>
          <w:color w:val="000000"/>
          <w:szCs w:val="24"/>
          <w:lang w:eastAsia="en-GB"/>
        </w:rPr>
        <w:t>York</w:t>
      </w:r>
      <w:r w:rsidR="006B1593" w:rsidRPr="00EC0229">
        <w:rPr>
          <w:rFonts w:eastAsia="Times New Roman" w:cs="Times New Roman"/>
          <w:color w:val="000000"/>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color w:val="000000"/>
          <w:szCs w:val="24"/>
          <w:lang w:eastAsia="en-GB"/>
        </w:rPr>
        <w:fldChar w:fldCharType="end"/>
      </w:r>
      <w:r w:rsidR="00BD53D4" w:rsidRPr="00EC0229">
        <w:rPr>
          <w:rFonts w:eastAsia="Times New Roman" w:cs="Times New Roman"/>
          <w:color w:val="000000"/>
          <w:szCs w:val="24"/>
          <w:lang w:eastAsia="en-GB"/>
        </w:rPr>
        <w:t xml:space="preserve"> (</w:t>
      </w:r>
      <w:r w:rsidR="00313800" w:rsidRPr="00EC0229">
        <w:rPr>
          <w:rFonts w:eastAsia="Times New Roman" w:cs="Times New Roman"/>
          <w:color w:val="000000"/>
          <w:szCs w:val="24"/>
          <w:lang w:eastAsia="en-GB"/>
        </w:rPr>
        <w:t>16</w:t>
      </w:r>
      <w:r w:rsidR="00BD53D4" w:rsidRPr="00EC0229">
        <w:rPr>
          <w:rFonts w:eastAsia="Times New Roman" w:cs="Times New Roman"/>
          <w:color w:val="000000"/>
          <w:szCs w:val="24"/>
          <w:lang w:eastAsia="en-GB"/>
        </w:rPr>
        <w:t>4 coins). The correlation</w:t>
      </w:r>
      <w:r w:rsidR="00313800" w:rsidRPr="00EC0229">
        <w:rPr>
          <w:rFonts w:eastAsia="Times New Roman" w:cs="Times New Roman"/>
          <w:color w:val="000000"/>
          <w:szCs w:val="24"/>
          <w:lang w:eastAsia="en-GB"/>
        </w:rPr>
        <w:t>s</w:t>
      </w:r>
      <w:r w:rsidR="00BD53D4" w:rsidRPr="00EC0229">
        <w:rPr>
          <w:rStyle w:val="FootnoteReference"/>
          <w:rFonts w:eastAsia="Times New Roman" w:cs="Times New Roman"/>
          <w:color w:val="000000"/>
          <w:szCs w:val="24"/>
          <w:lang w:eastAsia="en-GB"/>
        </w:rPr>
        <w:footnoteReference w:id="895"/>
      </w:r>
      <w:r w:rsidR="00BD53D4" w:rsidRPr="00EC0229">
        <w:rPr>
          <w:rFonts w:eastAsia="Times New Roman" w:cs="Times New Roman"/>
          <w:color w:val="000000"/>
          <w:szCs w:val="24"/>
          <w:lang w:eastAsia="en-GB"/>
        </w:rPr>
        <w:t xml:space="preserve"> </w:t>
      </w:r>
      <w:r w:rsidR="00313800" w:rsidRPr="00EC0229">
        <w:rPr>
          <w:rFonts w:eastAsia="Times New Roman" w:cs="Times New Roman"/>
          <w:color w:val="000000"/>
          <w:szCs w:val="24"/>
          <w:lang w:eastAsia="en-GB"/>
        </w:rPr>
        <w:t>for sceats at all York and stycas at both all York and Fishergate are strong but there is no correlation to norm for sceats at Fishergate, which</w:t>
      </w:r>
      <w:r w:rsidR="00313800" w:rsidRPr="00EC0229">
        <w:rPr>
          <w:rFonts w:eastAsia="Times New Roman" w:cs="Times New Roman"/>
          <w:color w:val="000000"/>
          <w:szCs w:val="24"/>
          <w:lang w:eastAsia="en-GB"/>
        </w:rPr>
        <w:fldChar w:fldCharType="begin"/>
      </w:r>
      <w:r w:rsidR="00313800" w:rsidRPr="00EC0229">
        <w:instrText xml:space="preserve"> XE "</w:instrText>
      </w:r>
      <w:r w:rsidR="00313800" w:rsidRPr="00EC0229">
        <w:rPr>
          <w:rStyle w:val="Hyperlink"/>
          <w:noProof/>
          <w:u w:val="none"/>
        </w:rPr>
        <w:instrText>Fishergate</w:instrText>
      </w:r>
      <w:r w:rsidR="00313800" w:rsidRPr="00EC0229">
        <w:instrText xml:space="preserve">" </w:instrText>
      </w:r>
      <w:r w:rsidR="00313800" w:rsidRPr="00EC0229">
        <w:rPr>
          <w:rFonts w:eastAsia="Times New Roman" w:cs="Times New Roman"/>
          <w:color w:val="000000"/>
          <w:szCs w:val="24"/>
          <w:lang w:eastAsia="en-GB"/>
        </w:rPr>
        <w:fldChar w:fldCharType="end"/>
      </w:r>
      <w:r w:rsidR="00313800" w:rsidRPr="00EC0229">
        <w:rPr>
          <w:rFonts w:eastAsia="Times New Roman" w:cs="Times New Roman"/>
          <w:color w:val="000000"/>
          <w:szCs w:val="24"/>
          <w:lang w:eastAsia="en-GB"/>
        </w:rPr>
        <w:t xml:space="preserve"> remains anomalous, displaying a counterintuitive preference for Continental sceats over local issues.</w:t>
      </w:r>
      <w:r w:rsidR="009B2444">
        <w:rPr>
          <w:rFonts w:eastAsia="Times New Roman" w:cs="Times New Roman"/>
          <w:color w:val="000000"/>
          <w:szCs w:val="24"/>
          <w:lang w:eastAsia="en-GB"/>
        </w:rPr>
        <w:t xml:space="preserve"> </w:t>
      </w:r>
      <w:r w:rsidR="00057F2E">
        <w:t>See</w:t>
      </w:r>
      <w:r w:rsidR="009B2444">
        <w:t xml:space="preserve"> </w:t>
      </w:r>
      <w:r w:rsidR="009B2444" w:rsidRPr="00A07A08">
        <w:rPr>
          <w:i/>
        </w:rPr>
        <w:t>Graph</w:t>
      </w:r>
      <w:r w:rsidR="00EF7AC3">
        <w:rPr>
          <w:i/>
        </w:rPr>
        <w:t>s</w:t>
      </w:r>
      <w:r w:rsidR="009B2444" w:rsidRPr="00A07A08">
        <w:rPr>
          <w:i/>
        </w:rPr>
        <w:t xml:space="preserve"> 7.</w:t>
      </w:r>
      <w:r w:rsidR="009B2444">
        <w:rPr>
          <w:i/>
        </w:rPr>
        <w:t>02 no. 13</w:t>
      </w:r>
      <w:r w:rsidR="00EF7AC3">
        <w:t xml:space="preserve"> and </w:t>
      </w:r>
      <w:r w:rsidR="00EF7AC3" w:rsidRPr="00EF7AC3">
        <w:rPr>
          <w:i/>
        </w:rPr>
        <w:t>8.01.</w:t>
      </w:r>
    </w:p>
    <w:p w14:paraId="798EC142" w14:textId="77777777" w:rsidR="00BD53D4" w:rsidRPr="00EC0229" w:rsidRDefault="00BD53D4" w:rsidP="007600EA">
      <w:pPr>
        <w:spacing w:after="0" w:line="360" w:lineRule="auto"/>
        <w:rPr>
          <w:rFonts w:eastAsia="Times New Roman" w:cs="Times New Roman"/>
          <w:color w:val="000000"/>
          <w:szCs w:val="24"/>
          <w:lang w:eastAsia="en-GB"/>
        </w:rPr>
      </w:pPr>
    </w:p>
    <w:p w14:paraId="7498F76F" w14:textId="7C514C62" w:rsidR="00BD53D4" w:rsidRPr="00EC0229" w:rsidRDefault="00BD53D4" w:rsidP="007600EA">
      <w:p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The sample at Fishergate</w:t>
      </w:r>
      <w:r w:rsidR="006B1593" w:rsidRPr="00EC0229">
        <w:rPr>
          <w:rFonts w:eastAsia="Times New Roman" w:cs="Times New Roman"/>
          <w:color w:val="000000"/>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may be unrepresentative. However, it may be concluded, subject to future finds at adjacent sites that Fishergate is, relative to the norm, strong in imported Continental sceats and deficient in stycas.</w:t>
      </w:r>
    </w:p>
    <w:p w14:paraId="6D230253" w14:textId="77777777" w:rsidR="00BD53D4" w:rsidRPr="00EC0229" w:rsidRDefault="00BD53D4" w:rsidP="007600EA">
      <w:pPr>
        <w:spacing w:after="0" w:line="360" w:lineRule="auto"/>
        <w:rPr>
          <w:rFonts w:eastAsia="Times New Roman" w:cs="Times New Roman"/>
          <w:color w:val="000000"/>
          <w:szCs w:val="24"/>
          <w:lang w:eastAsia="en-GB"/>
        </w:rPr>
      </w:pPr>
    </w:p>
    <w:p w14:paraId="731D0BEF" w14:textId="0B19412D" w:rsidR="00BD53D4" w:rsidRPr="00EC0229" w:rsidRDefault="00BD53D4" w:rsidP="007600EA">
      <w:pPr>
        <w:spacing w:after="0" w:line="360" w:lineRule="auto"/>
        <w:rPr>
          <w:rFonts w:eastAsia="Times New Roman" w:cs="Times New Roman"/>
          <w:color w:val="000000"/>
          <w:szCs w:val="24"/>
          <w:lang w:eastAsia="en-GB"/>
        </w:rPr>
      </w:pPr>
      <w:r w:rsidRPr="00EC0229">
        <w:rPr>
          <w:rFonts w:eastAsia="Times New Roman" w:cs="Times New Roman"/>
          <w:color w:val="000000"/>
          <w:szCs w:val="24"/>
          <w:lang w:eastAsia="en-GB"/>
        </w:rPr>
        <w:t>With due concern for statistical validity, it may be surmised that Fishergate</w:t>
      </w:r>
      <w:r w:rsidR="006B1593" w:rsidRPr="00EC0229">
        <w:rPr>
          <w:rFonts w:eastAsia="Times New Roman" w:cs="Times New Roman"/>
          <w:color w:val="000000"/>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was engaged in international trade in </w:t>
      </w:r>
      <w:r w:rsidR="00F139AF" w:rsidRPr="00EC0229">
        <w:rPr>
          <w:rFonts w:eastAsia="Times New Roman" w:cs="Times New Roman"/>
          <w:color w:val="000000"/>
          <w:szCs w:val="24"/>
          <w:lang w:eastAsia="en-GB"/>
        </w:rPr>
        <w:t>the eighth century</w:t>
      </w:r>
      <w:r w:rsidRPr="00EC0229">
        <w:rPr>
          <w:rFonts w:eastAsia="Times New Roman" w:cs="Times New Roman"/>
          <w:color w:val="000000"/>
          <w:szCs w:val="24"/>
          <w:lang w:eastAsia="en-GB"/>
        </w:rPr>
        <w:t xml:space="preserve"> but domestic transactions were deficient in the ninth. Given the size of the sample, one may speculate, only with great caution (and specific caveats on indirect specie flow and recovery patterns), that the site seems to be showing a healthy balance of trade in both the primary and secondary sceatta</w:t>
      </w:r>
      <w:r w:rsidR="00D142DC" w:rsidRPr="00EC0229">
        <w:rPr>
          <w:rFonts w:eastAsia="Times New Roman" w:cs="Times New Roman"/>
          <w:color w:val="000000"/>
          <w:szCs w:val="24"/>
          <w:lang w:eastAsia="en-GB"/>
        </w:rPr>
        <w:fldChar w:fldCharType="begin"/>
      </w:r>
      <w:r w:rsidR="00D142DC" w:rsidRPr="00EC0229">
        <w:instrText xml:space="preserve"> XE "sceatta" </w:instrText>
      </w:r>
      <w:r w:rsidR="00D142DC"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periods.</w:t>
      </w:r>
    </w:p>
    <w:p w14:paraId="7B2F1A4F" w14:textId="77777777" w:rsidR="005B7558" w:rsidRPr="00EC0229" w:rsidRDefault="005B7558" w:rsidP="007600EA">
      <w:pPr>
        <w:pStyle w:val="NoSpacing"/>
        <w:spacing w:line="360" w:lineRule="auto"/>
        <w:jc w:val="center"/>
        <w:rPr>
          <w:sz w:val="18"/>
          <w:szCs w:val="18"/>
          <w:lang w:eastAsia="en-GB"/>
        </w:rPr>
      </w:pPr>
    </w:p>
    <w:p w14:paraId="749A545D" w14:textId="752A3A35" w:rsidR="004F5EA7" w:rsidRPr="00EC0229" w:rsidRDefault="002979EC" w:rsidP="007600EA">
      <w:pPr>
        <w:spacing w:after="0" w:line="360" w:lineRule="auto"/>
        <w:rPr>
          <w:rFonts w:eastAsia="Times New Roman" w:cs="Times New Roman"/>
          <w:color w:val="000000"/>
          <w:szCs w:val="24"/>
          <w:lang w:eastAsia="en-GB"/>
        </w:rPr>
      </w:pPr>
      <w:r w:rsidRPr="002979EC">
        <w:rPr>
          <w:rFonts w:eastAsia="Times New Roman" w:cs="Times New Roman"/>
          <w:i/>
          <w:color w:val="000000"/>
          <w:szCs w:val="24"/>
          <w:lang w:eastAsia="en-GB"/>
        </w:rPr>
        <w:t>G</w:t>
      </w:r>
      <w:r w:rsidR="00BD53D4" w:rsidRPr="002979EC">
        <w:rPr>
          <w:rFonts w:eastAsia="Times New Roman" w:cs="Times New Roman"/>
          <w:i/>
          <w:color w:val="000000"/>
          <w:szCs w:val="24"/>
          <w:lang w:eastAsia="en-GB"/>
        </w:rPr>
        <w:t>raph</w:t>
      </w:r>
      <w:r w:rsidRPr="002979EC">
        <w:rPr>
          <w:rFonts w:eastAsia="Times New Roman" w:cs="Times New Roman"/>
          <w:i/>
          <w:color w:val="000000"/>
          <w:szCs w:val="24"/>
          <w:lang w:eastAsia="en-GB"/>
        </w:rPr>
        <w:t xml:space="preserve"> 8.01</w:t>
      </w:r>
      <w:r>
        <w:rPr>
          <w:rFonts w:eastAsia="Times New Roman" w:cs="Times New Roman"/>
          <w:color w:val="000000"/>
          <w:szCs w:val="24"/>
          <w:lang w:eastAsia="en-GB"/>
        </w:rPr>
        <w:t xml:space="preserve"> shows</w:t>
      </w:r>
      <w:r w:rsidR="00BD53D4" w:rsidRPr="00EC0229">
        <w:rPr>
          <w:rFonts w:eastAsia="Times New Roman" w:cs="Times New Roman"/>
          <w:color w:val="000000"/>
          <w:szCs w:val="24"/>
          <w:lang w:eastAsia="en-GB"/>
        </w:rPr>
        <w:t xml:space="preserve"> the Fishergate</w:t>
      </w:r>
      <w:r w:rsidR="006B1593" w:rsidRPr="00EC0229">
        <w:rPr>
          <w:rFonts w:eastAsia="Times New Roman" w:cs="Times New Roman"/>
          <w:color w:val="000000"/>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color w:val="000000"/>
          <w:szCs w:val="24"/>
          <w:lang w:eastAsia="en-GB"/>
        </w:rPr>
        <w:fldChar w:fldCharType="end"/>
      </w:r>
      <w:r w:rsidR="00BD53D4" w:rsidRPr="00EC0229">
        <w:rPr>
          <w:rFonts w:eastAsia="Times New Roman" w:cs="Times New Roman"/>
          <w:color w:val="000000"/>
          <w:szCs w:val="24"/>
          <w:lang w:eastAsia="en-GB"/>
        </w:rPr>
        <w:t xml:space="preserve"> assemblage </w:t>
      </w:r>
      <w:r>
        <w:rPr>
          <w:rFonts w:eastAsia="Times New Roman" w:cs="Times New Roman"/>
          <w:color w:val="000000"/>
          <w:szCs w:val="24"/>
          <w:lang w:eastAsia="en-GB"/>
        </w:rPr>
        <w:t>to provide</w:t>
      </w:r>
      <w:r w:rsidR="00BD53D4" w:rsidRPr="00EC0229">
        <w:rPr>
          <w:rFonts w:eastAsia="Times New Roman" w:cs="Times New Roman"/>
          <w:color w:val="000000"/>
          <w:szCs w:val="24"/>
          <w:lang w:eastAsia="en-GB"/>
        </w:rPr>
        <w:t xml:space="preserve"> a marked contrast to </w:t>
      </w:r>
      <w:r w:rsidR="009A3EEF" w:rsidRPr="00EC0229">
        <w:rPr>
          <w:rFonts w:eastAsia="Times New Roman" w:cs="Times New Roman"/>
          <w:i/>
          <w:color w:val="000000"/>
          <w:szCs w:val="24"/>
          <w:lang w:eastAsia="en-GB"/>
        </w:rPr>
        <w:t>Database 1</w:t>
      </w:r>
      <w:r w:rsidR="00584C42" w:rsidRPr="00EC0229">
        <w:rPr>
          <w:rFonts w:eastAsia="Times New Roman" w:cs="Times New Roman"/>
          <w:color w:val="000000"/>
          <w:szCs w:val="24"/>
          <w:lang w:eastAsia="en-GB"/>
        </w:rPr>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rPr>
          <w:rFonts w:eastAsia="Times New Roman" w:cs="Times New Roman"/>
          <w:color w:val="000000"/>
          <w:szCs w:val="24"/>
          <w:lang w:eastAsia="en-GB"/>
        </w:rPr>
        <w:fldChar w:fldCharType="end"/>
      </w:r>
      <w:r w:rsidR="00BD53D4" w:rsidRPr="00EC0229">
        <w:rPr>
          <w:rFonts w:eastAsia="Times New Roman" w:cs="Times New Roman"/>
          <w:color w:val="000000"/>
          <w:szCs w:val="24"/>
          <w:lang w:eastAsia="en-GB"/>
        </w:rPr>
        <w:t xml:space="preserve"> excluding hoards in the sceatta</w:t>
      </w:r>
      <w:r w:rsidR="00D142DC" w:rsidRPr="00EC0229">
        <w:rPr>
          <w:rFonts w:eastAsia="Times New Roman" w:cs="Times New Roman"/>
          <w:color w:val="000000"/>
          <w:szCs w:val="24"/>
          <w:lang w:eastAsia="en-GB"/>
        </w:rPr>
        <w:fldChar w:fldCharType="begin"/>
      </w:r>
      <w:r w:rsidR="00D142DC" w:rsidRPr="00EC0229">
        <w:instrText xml:space="preserve"> XE "sceatta" </w:instrText>
      </w:r>
      <w:r w:rsidR="00D142DC" w:rsidRPr="00EC0229">
        <w:rPr>
          <w:rFonts w:eastAsia="Times New Roman" w:cs="Times New Roman"/>
          <w:color w:val="000000"/>
          <w:szCs w:val="24"/>
          <w:lang w:eastAsia="en-GB"/>
        </w:rPr>
        <w:fldChar w:fldCharType="end"/>
      </w:r>
      <w:r w:rsidR="00BD53D4" w:rsidRPr="00EC0229">
        <w:rPr>
          <w:rFonts w:eastAsia="Times New Roman" w:cs="Times New Roman"/>
          <w:color w:val="000000"/>
          <w:szCs w:val="24"/>
          <w:lang w:eastAsia="en-GB"/>
        </w:rPr>
        <w:t xml:space="preserve"> Periods 4a-5d which are overly represented at Fishergate. Given the small </w:t>
      </w:r>
      <w:r w:rsidR="00B3488A" w:rsidRPr="00EC0229">
        <w:rPr>
          <w:rFonts w:eastAsia="Times New Roman" w:cs="Times New Roman"/>
          <w:color w:val="000000"/>
          <w:szCs w:val="24"/>
          <w:lang w:eastAsia="en-GB"/>
        </w:rPr>
        <w:t>sample</w:t>
      </w:r>
      <w:r w:rsidR="00BD53D4" w:rsidRPr="00EC0229">
        <w:rPr>
          <w:rFonts w:eastAsia="Times New Roman" w:cs="Times New Roman"/>
          <w:color w:val="000000"/>
          <w:szCs w:val="24"/>
          <w:lang w:eastAsia="en-GB"/>
        </w:rPr>
        <w:t xml:space="preserve"> of stycas at Fishergate</w:t>
      </w:r>
      <w:r w:rsidR="00B3488A" w:rsidRPr="00EC0229">
        <w:rPr>
          <w:rFonts w:eastAsia="Times New Roman" w:cs="Times New Roman"/>
          <w:color w:val="000000"/>
          <w:szCs w:val="24"/>
          <w:lang w:eastAsia="en-GB"/>
        </w:rPr>
        <w:t>,</w:t>
      </w:r>
      <w:r w:rsidR="00BD53D4" w:rsidRPr="00EC0229">
        <w:rPr>
          <w:rFonts w:eastAsia="Times New Roman" w:cs="Times New Roman"/>
          <w:color w:val="000000"/>
          <w:szCs w:val="24"/>
          <w:lang w:eastAsia="en-GB"/>
        </w:rPr>
        <w:t xml:space="preserve"> </w:t>
      </w:r>
      <w:r w:rsidR="00F139AF" w:rsidRPr="00EC0229">
        <w:rPr>
          <w:rFonts w:eastAsia="Times New Roman" w:cs="Times New Roman"/>
          <w:color w:val="000000"/>
          <w:szCs w:val="24"/>
          <w:lang w:eastAsia="en-GB"/>
        </w:rPr>
        <w:t>the ninth century</w:t>
      </w:r>
      <w:r w:rsidR="00BD53D4" w:rsidRPr="00EC0229">
        <w:rPr>
          <w:rFonts w:eastAsia="Times New Roman" w:cs="Times New Roman"/>
          <w:color w:val="000000"/>
          <w:szCs w:val="24"/>
          <w:lang w:eastAsia="en-GB"/>
        </w:rPr>
        <w:t xml:space="preserve"> di</w:t>
      </w:r>
      <w:r w:rsidR="00B3488A" w:rsidRPr="00EC0229">
        <w:rPr>
          <w:rFonts w:eastAsia="Times New Roman" w:cs="Times New Roman"/>
          <w:color w:val="000000"/>
          <w:szCs w:val="24"/>
          <w:lang w:eastAsia="en-GB"/>
        </w:rPr>
        <w:t>stribution is a close</w:t>
      </w:r>
      <w:r w:rsidR="00BD53D4" w:rsidRPr="00EC0229">
        <w:rPr>
          <w:rFonts w:eastAsia="Times New Roman" w:cs="Times New Roman"/>
          <w:color w:val="000000"/>
          <w:szCs w:val="24"/>
          <w:lang w:eastAsia="en-GB"/>
        </w:rPr>
        <w:t xml:space="preserve"> fit to the norm</w:t>
      </w:r>
      <w:bookmarkStart w:id="555" w:name="representative"/>
      <w:bookmarkEnd w:id="555"/>
      <w:r w:rsidR="00B3488A" w:rsidRPr="00EC0229">
        <w:rPr>
          <w:rFonts w:eastAsia="Times New Roman" w:cs="Times New Roman"/>
          <w:color w:val="000000"/>
          <w:szCs w:val="24"/>
          <w:lang w:eastAsia="en-GB"/>
        </w:rPr>
        <w:t>.</w:t>
      </w:r>
    </w:p>
    <w:p w14:paraId="630F1F7B" w14:textId="77777777" w:rsidR="004A4EC7" w:rsidRPr="00EC0229" w:rsidRDefault="004A4EC7" w:rsidP="007600EA">
      <w:pPr>
        <w:pStyle w:val="NoSpacing"/>
        <w:spacing w:line="360" w:lineRule="auto"/>
      </w:pPr>
    </w:p>
    <w:p w14:paraId="56378E72" w14:textId="638387A3" w:rsidR="004A4EC7" w:rsidRPr="007A3166" w:rsidRDefault="004A4EC7" w:rsidP="007600EA">
      <w:pPr>
        <w:pStyle w:val="Heading7"/>
        <w:spacing w:line="360" w:lineRule="auto"/>
        <w:rPr>
          <w:b/>
        </w:rPr>
      </w:pPr>
      <w:r w:rsidRPr="007A3166">
        <w:rPr>
          <w:b/>
        </w:rPr>
        <w:t>Comparison to Roman Finds</w:t>
      </w:r>
    </w:p>
    <w:p w14:paraId="42553205" w14:textId="52330F47" w:rsidR="004A4EC7" w:rsidRPr="00EC0229" w:rsidRDefault="004A4EC7" w:rsidP="007600EA">
      <w:pPr>
        <w:spacing w:line="360" w:lineRule="auto"/>
      </w:pPr>
      <w:r w:rsidRPr="00EC0229">
        <w:t xml:space="preserve">For both coins and artefacts, York appears to be relatively more significant in the Anglian period, </w:t>
      </w:r>
      <w:r w:rsidRPr="00EC0229">
        <w:rPr>
          <w:i/>
        </w:rPr>
        <w:t xml:space="preserve">Table </w:t>
      </w:r>
      <w:r w:rsidR="0078141C" w:rsidRPr="00EC0229">
        <w:rPr>
          <w:i/>
        </w:rPr>
        <w:t>7.02</w:t>
      </w:r>
      <w:r w:rsidRPr="00EC0229">
        <w:t xml:space="preserve">. Numerically, artefacts are comparable but Roman coins are a magnitude more plentiful, demonstrating far stronger </w:t>
      </w:r>
      <w:r w:rsidR="003F2041" w:rsidRPr="00EC0229">
        <w:t>monetiz</w:t>
      </w:r>
      <w:r w:rsidRPr="00EC0229">
        <w:t>ation.</w:t>
      </w:r>
    </w:p>
    <w:p w14:paraId="781162AB" w14:textId="77777777" w:rsidR="004F5EA7" w:rsidRPr="00EC0229" w:rsidRDefault="004F5EA7" w:rsidP="007600EA">
      <w:pPr>
        <w:pStyle w:val="NoSpacing"/>
        <w:spacing w:line="360" w:lineRule="auto"/>
        <w:rPr>
          <w:rFonts w:eastAsia="Times New Roman"/>
          <w:lang w:eastAsia="en-GB"/>
        </w:rPr>
      </w:pPr>
    </w:p>
    <w:p w14:paraId="3BC95C26" w14:textId="7621F590" w:rsidR="00921BC6" w:rsidRPr="007A3166" w:rsidRDefault="006343EC" w:rsidP="007600EA">
      <w:pPr>
        <w:pStyle w:val="Heading7"/>
        <w:spacing w:line="360" w:lineRule="auto"/>
        <w:rPr>
          <w:rFonts w:eastAsia="Times New Roman"/>
          <w:b/>
          <w:lang w:eastAsia="en-GB"/>
        </w:rPr>
      </w:pPr>
      <w:r w:rsidRPr="007A3166">
        <w:rPr>
          <w:rFonts w:eastAsia="Times New Roman"/>
          <w:b/>
          <w:lang w:eastAsia="en-GB"/>
        </w:rPr>
        <w:t>Comparison with Hamwic</w:t>
      </w:r>
    </w:p>
    <w:p w14:paraId="58CC50E7" w14:textId="77777777" w:rsidR="00921BC6" w:rsidRPr="00EC0229" w:rsidRDefault="00921BC6" w:rsidP="007600EA">
      <w:pPr>
        <w:pStyle w:val="NoSpacing"/>
        <w:spacing w:line="360" w:lineRule="auto"/>
        <w:jc w:val="right"/>
        <w:rPr>
          <w:sz w:val="20"/>
          <w:szCs w:val="20"/>
        </w:rPr>
      </w:pPr>
      <w:r w:rsidRPr="00EC0229">
        <w:rPr>
          <w:sz w:val="20"/>
          <w:szCs w:val="20"/>
        </w:rPr>
        <w:t>‘Hamwic</w:t>
      </w:r>
      <w:r w:rsidRPr="00EC0229">
        <w:rPr>
          <w:sz w:val="20"/>
          <w:szCs w:val="20"/>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sz w:val="20"/>
          <w:szCs w:val="20"/>
        </w:rPr>
        <w:fldChar w:fldCharType="end"/>
      </w:r>
      <w:r w:rsidRPr="00EC0229">
        <w:rPr>
          <w:sz w:val="20"/>
          <w:szCs w:val="20"/>
        </w:rPr>
        <w:t xml:space="preserve"> pioneered relatively large-scale artisanal production in Britain’, </w:t>
      </w:r>
    </w:p>
    <w:p w14:paraId="31488A75" w14:textId="77777777" w:rsidR="00921BC6" w:rsidRPr="00EC0229" w:rsidRDefault="00921BC6" w:rsidP="007600EA">
      <w:pPr>
        <w:pStyle w:val="NoSpacing"/>
        <w:spacing w:line="360" w:lineRule="auto"/>
        <w:jc w:val="right"/>
        <w:rPr>
          <w:sz w:val="20"/>
          <w:szCs w:val="20"/>
        </w:rPr>
      </w:pPr>
      <w:r w:rsidRPr="00EC0229">
        <w:rPr>
          <w:sz w:val="20"/>
          <w:szCs w:val="20"/>
        </w:rPr>
        <w:t>Chris Wickham (2005, 809).</w:t>
      </w:r>
    </w:p>
    <w:p w14:paraId="244494A1" w14:textId="642AB494" w:rsidR="00115AD9" w:rsidRPr="00EC0229" w:rsidRDefault="00115AD9" w:rsidP="007600EA">
      <w:pPr>
        <w:spacing w:after="0" w:line="360" w:lineRule="auto"/>
      </w:pPr>
      <w:r w:rsidRPr="00EC0229">
        <w:t>Through a collaboration of excavation and metal detection, a small number of highly significant, coin-rich, early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sites have been explored. </w:t>
      </w:r>
      <w:r w:rsidR="00A50B11" w:rsidRPr="00EC0229">
        <w:t>Consequently</w:t>
      </w:r>
      <w:r w:rsidRPr="00EC0229">
        <w:t>, understanding of the chronology, metallurgy, metrology</w:t>
      </w:r>
      <w:r w:rsidRPr="00EC0229">
        <w:fldChar w:fldCharType="begin"/>
      </w:r>
      <w:r w:rsidRPr="00EC0229">
        <w:instrText xml:space="preserve"> XE "metrology" </w:instrText>
      </w:r>
      <w:r w:rsidRPr="00EC0229">
        <w:fldChar w:fldCharType="end"/>
      </w:r>
      <w:r w:rsidRPr="00EC0229">
        <w:t>, distribution and iconography</w:t>
      </w:r>
      <w:r w:rsidRPr="00EC0229">
        <w:fldChar w:fldCharType="begin"/>
      </w:r>
      <w:r w:rsidRPr="00EC0229">
        <w:instrText xml:space="preserve"> XE "iconography" </w:instrText>
      </w:r>
      <w:r w:rsidRPr="00EC0229">
        <w:fldChar w:fldCharType="end"/>
      </w:r>
      <w:r w:rsidRPr="00EC0229">
        <w:t xml:space="preserve"> of this </w:t>
      </w:r>
      <w:r w:rsidRPr="00EC0229">
        <w:lastRenderedPageBreak/>
        <w:t xml:space="preserve">numismatic material has evolved rapidly. Indeed, coinage of this period is now able to fulfil the same diagnostic rôle conventionally reserved for numismatic material in other periods. </w:t>
      </w:r>
    </w:p>
    <w:p w14:paraId="760698DC" w14:textId="77777777" w:rsidR="00115AD9" w:rsidRPr="00EC0229" w:rsidRDefault="00115AD9" w:rsidP="007600EA">
      <w:pPr>
        <w:spacing w:after="0" w:line="360" w:lineRule="auto"/>
      </w:pPr>
    </w:p>
    <w:p w14:paraId="76232ED9" w14:textId="1F1FE660" w:rsidR="00115AD9" w:rsidRPr="00EC0229" w:rsidRDefault="00115AD9" w:rsidP="007600EA">
      <w:pPr>
        <w:spacing w:after="0" w:line="360" w:lineRule="auto"/>
        <w:rPr>
          <w:rFonts w:eastAsia="Times New Roman" w:cs="Times New Roman"/>
          <w:szCs w:val="24"/>
          <w:lang w:eastAsia="en-GB"/>
        </w:rPr>
      </w:pPr>
      <w:r w:rsidRPr="00EC0229">
        <w:t>Such w</w:t>
      </w:r>
      <w:r w:rsidRPr="00EC0229">
        <w:rPr>
          <w:szCs w:val="24"/>
        </w:rPr>
        <w:t>ics include Hamwic</w:t>
      </w:r>
      <w:r w:rsidRPr="00EC0229">
        <w:rPr>
          <w:szCs w:val="24"/>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szCs w:val="24"/>
        </w:rPr>
        <w:fldChar w:fldCharType="end"/>
      </w:r>
      <w:r w:rsidRPr="00EC0229">
        <w:rPr>
          <w:szCs w:val="24"/>
        </w:rPr>
        <w:t>, Gipeswic</w:t>
      </w:r>
      <w:r w:rsidRPr="00EC0229">
        <w:rPr>
          <w:szCs w:val="24"/>
        </w:rPr>
        <w:fldChar w:fldCharType="begin"/>
      </w:r>
      <w:r w:rsidRPr="00EC0229">
        <w:instrText xml:space="preserve"> XE "</w:instrText>
      </w:r>
      <w:r w:rsidRPr="00EC0229">
        <w:rPr>
          <w:rFonts w:cs="Times New Roman"/>
          <w:i/>
          <w:color w:val="000000" w:themeColor="text1"/>
          <w:szCs w:val="24"/>
        </w:rPr>
        <w:instrText>Gipeswic</w:instrText>
      </w:r>
      <w:r w:rsidRPr="00EC0229">
        <w:instrText xml:space="preserve">" </w:instrText>
      </w:r>
      <w:r w:rsidRPr="00EC0229">
        <w:rPr>
          <w:szCs w:val="24"/>
        </w:rPr>
        <w:fldChar w:fldCharType="end"/>
      </w:r>
      <w:r w:rsidRPr="00EC0229">
        <w:rPr>
          <w:szCs w:val="24"/>
        </w:rPr>
        <w:t xml:space="preserve">, Lundonwic and Quentovic. </w:t>
      </w:r>
      <w:r w:rsidRPr="00EC0229">
        <w:rPr>
          <w:rFonts w:eastAsia="Times New Roman" w:cs="Times New Roman"/>
          <w:color w:val="000000"/>
          <w:szCs w:val="24"/>
          <w:lang w:eastAsia="en-GB"/>
        </w:rPr>
        <w:t>Comparisons can also be drawn with the volume and mix of finds at other prolific local sites, such as South Newbald</w:t>
      </w:r>
      <w:r w:rsidRPr="00EC0229">
        <w:rPr>
          <w:rFonts w:eastAsia="Times New Roman" w:cs="Times New Roman"/>
          <w:color w:val="000000"/>
          <w:szCs w:val="24"/>
          <w:lang w:eastAsia="en-GB"/>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and Sledmere</w:t>
      </w:r>
      <w:r w:rsidRPr="00EC0229">
        <w:rPr>
          <w:rFonts w:eastAsia="Times New Roman" w:cs="Times New Roman"/>
          <w:color w:val="000000"/>
          <w:szCs w:val="24"/>
          <w:lang w:eastAsia="en-GB"/>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w:t>
      </w:r>
      <w:r w:rsidRPr="00EC0229">
        <w:rPr>
          <w:rFonts w:eastAsia="Times New Roman" w:cs="Times New Roman"/>
          <w:color w:val="FF0000"/>
          <w:szCs w:val="24"/>
          <w:lang w:eastAsia="en-GB"/>
        </w:rPr>
        <w:t xml:space="preserve"> </w:t>
      </w:r>
      <w:r w:rsidRPr="00EC0229">
        <w:rPr>
          <w:rFonts w:eastAsia="Times New Roman" w:cs="Times New Roman"/>
          <w:i/>
          <w:szCs w:val="24"/>
          <w:lang w:eastAsia="en-GB"/>
        </w:rPr>
        <w:t>Table</w:t>
      </w:r>
      <w:r w:rsidRPr="00EC0229">
        <w:rPr>
          <w:rFonts w:eastAsia="Times New Roman" w:cs="Times New Roman"/>
          <w:i/>
          <w:szCs w:val="24"/>
          <w:lang w:eastAsia="en-GB"/>
        </w:rPr>
        <w:fldChar w:fldCharType="begin"/>
      </w:r>
      <w:r w:rsidRPr="00EC0229">
        <w:instrText xml:space="preserve"> XE "</w:instrText>
      </w:r>
      <w:r w:rsidRPr="00EC0229">
        <w:rPr>
          <w:noProof/>
        </w:rPr>
        <w:instrText>Table</w:instrText>
      </w:r>
      <w:r w:rsidRPr="00EC0229">
        <w:instrText xml:space="preserve">" </w:instrText>
      </w:r>
      <w:r w:rsidRPr="00EC0229">
        <w:rPr>
          <w:rFonts w:eastAsia="Times New Roman" w:cs="Times New Roman"/>
          <w:i/>
          <w:szCs w:val="24"/>
          <w:lang w:eastAsia="en-GB"/>
        </w:rPr>
        <w:fldChar w:fldCharType="end"/>
      </w:r>
      <w:r w:rsidR="00276BC8" w:rsidRPr="00EC0229">
        <w:rPr>
          <w:rFonts w:eastAsia="Times New Roman" w:cs="Times New Roman"/>
          <w:i/>
          <w:szCs w:val="24"/>
          <w:lang w:eastAsia="en-GB"/>
        </w:rPr>
        <w:t xml:space="preserve"> 8.0</w:t>
      </w:r>
      <w:r w:rsidR="005755EC" w:rsidRPr="00EC0229">
        <w:rPr>
          <w:rFonts w:eastAsia="Times New Roman" w:cs="Times New Roman"/>
          <w:i/>
          <w:szCs w:val="24"/>
          <w:lang w:eastAsia="en-GB"/>
        </w:rPr>
        <w:t>5</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896"/>
      </w:r>
      <w:r w:rsidRPr="00EC0229">
        <w:rPr>
          <w:rFonts w:eastAsia="Times New Roman" w:cs="Times New Roman"/>
          <w:szCs w:val="24"/>
          <w:lang w:eastAsia="en-GB"/>
        </w:rPr>
        <w:t xml:space="preserve"> </w:t>
      </w:r>
      <w:r w:rsidR="00276BC8" w:rsidRPr="00EC0229">
        <w:rPr>
          <w:rFonts w:eastAsia="Times New Roman" w:cs="Times New Roman"/>
          <w:i/>
          <w:szCs w:val="24"/>
          <w:lang w:eastAsia="en-GB"/>
        </w:rPr>
        <w:t>Table 8.0</w:t>
      </w:r>
      <w:r w:rsidR="005755EC" w:rsidRPr="00EC0229">
        <w:rPr>
          <w:rFonts w:eastAsia="Times New Roman" w:cs="Times New Roman"/>
          <w:i/>
          <w:szCs w:val="24"/>
          <w:lang w:eastAsia="en-GB"/>
        </w:rPr>
        <w:t>6</w:t>
      </w:r>
      <w:r w:rsidRPr="00EC0229">
        <w:rPr>
          <w:rFonts w:eastAsia="Times New Roman" w:cs="Times New Roman"/>
          <w:color w:val="000000"/>
          <w:szCs w:val="24"/>
          <w:lang w:eastAsia="en-GB"/>
        </w:rPr>
        <w:t xml:space="preserve"> compares coin volumes and mix at Fishergate</w:t>
      </w:r>
      <w:r w:rsidRPr="00EC0229">
        <w:rPr>
          <w:rFonts w:eastAsia="Times New Roman" w:cs="Times New Roman"/>
          <w:color w:val="000000"/>
          <w:szCs w:val="24"/>
          <w:lang w:eastAsia="en-GB"/>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Hamwic, Rendlesham and Sledmere.</w:t>
      </w:r>
      <w:r w:rsidR="004767D0" w:rsidRPr="00EC0229">
        <w:rPr>
          <w:rStyle w:val="FootnoteReference"/>
          <w:rFonts w:eastAsia="Times New Roman" w:cs="Times New Roman"/>
          <w:color w:val="000000"/>
          <w:szCs w:val="24"/>
          <w:lang w:eastAsia="en-GB"/>
        </w:rPr>
        <w:footnoteReference w:id="897"/>
      </w:r>
      <w:r w:rsidRPr="00EC0229">
        <w:rPr>
          <w:rFonts w:eastAsia="Times New Roman" w:cs="Times New Roman"/>
          <w:color w:val="000000"/>
          <w:szCs w:val="24"/>
          <w:lang w:eastAsia="en-GB"/>
        </w:rPr>
        <w:t xml:space="preserve"> </w:t>
      </w:r>
      <w:r w:rsidRPr="00EC0229">
        <w:rPr>
          <w:rFonts w:eastAsia="Times New Roman" w:cs="Times New Roman"/>
          <w:szCs w:val="24"/>
          <w:lang w:eastAsia="en-GB"/>
        </w:rPr>
        <w:t xml:space="preserve">The assemblages here exclude earlier and later stray finds and include only the finds of the period </w:t>
      </w:r>
      <w:r w:rsidRPr="00EC0229">
        <w:rPr>
          <w:rFonts w:eastAsia="Times New Roman" w:cs="Times New Roman"/>
          <w:i/>
          <w:szCs w:val="24"/>
          <w:lang w:eastAsia="en-GB"/>
        </w:rPr>
        <w:t>c</w:t>
      </w:r>
      <w:r w:rsidRPr="00EC0229">
        <w:rPr>
          <w:rFonts w:eastAsia="Times New Roman" w:cs="Times New Roman"/>
          <w:szCs w:val="24"/>
          <w:lang w:eastAsia="en-GB"/>
        </w:rPr>
        <w:t>.685-866/7. Ribe and South Newbald</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show a significant concentration on the local coinage type(s); this is far less marked at Fishergate</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Sledmere</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Hamwic</w:t>
      </w:r>
      <w:r w:rsidRPr="00EC0229">
        <w:rPr>
          <w:rFonts w:eastAsia="Times New Roman" w:cs="Times New Roman"/>
          <w:szCs w:val="24"/>
          <w:lang w:eastAsia="en-GB"/>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w:t>
      </w:r>
    </w:p>
    <w:p w14:paraId="286C94DC" w14:textId="77777777" w:rsidR="00115AD9" w:rsidRPr="00EC0229" w:rsidRDefault="00115AD9" w:rsidP="007600EA">
      <w:pPr>
        <w:spacing w:after="0" w:line="360" w:lineRule="auto"/>
      </w:pPr>
    </w:p>
    <w:p w14:paraId="780310D7" w14:textId="39BF8E93" w:rsidR="00BD53D4" w:rsidRPr="00EC0229" w:rsidRDefault="006343EC" w:rsidP="007600EA">
      <w:pPr>
        <w:spacing w:line="360" w:lineRule="auto"/>
        <w:rPr>
          <w:rFonts w:eastAsia="Times New Roman" w:cstheme="majorBidi"/>
          <w:lang w:eastAsia="en-GB"/>
        </w:rPr>
      </w:pPr>
      <w:r w:rsidRPr="00EC0229">
        <w:rPr>
          <w:rFonts w:eastAsia="Times New Roman"/>
          <w:lang w:eastAsia="en-GB"/>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rFonts w:eastAsia="Times New Roman"/>
          <w:lang w:eastAsia="en-GB"/>
        </w:rPr>
        <w:fldChar w:fldCharType="end"/>
      </w:r>
      <w:r w:rsidRPr="00EC0229">
        <w:rPr>
          <w:rFonts w:eastAsia="Times New Roman"/>
          <w:lang w:eastAsia="en-GB"/>
        </w:rPr>
        <w:t>F</w:t>
      </w:r>
      <w:r w:rsidR="00BD53D4" w:rsidRPr="00EC0229">
        <w:rPr>
          <w:rFonts w:eastAsia="Times New Roman"/>
          <w:lang w:eastAsia="en-GB"/>
        </w:rPr>
        <w:t>or a site in the heartland of economic activity in Northumbria</w:t>
      </w:r>
      <w:r w:rsidR="00584C42" w:rsidRPr="00EC0229">
        <w:rPr>
          <w:rFonts w:eastAsia="Times New Roman"/>
          <w:lang w:eastAsia="en-GB"/>
        </w:rPr>
        <w:fldChar w:fldCharType="begin"/>
      </w:r>
      <w:r w:rsidR="00584C42" w:rsidRPr="00EC0229">
        <w:instrText xml:space="preserve"> XE "</w:instrText>
      </w:r>
      <w:r w:rsidR="00584C42" w:rsidRPr="00EC0229">
        <w:rPr>
          <w:b/>
          <w:color w:val="000000" w:themeColor="text1"/>
          <w:sz w:val="56"/>
          <w:szCs w:val="56"/>
        </w:rPr>
        <w:instrText>Northumbria</w:instrText>
      </w:r>
      <w:r w:rsidR="00584C42" w:rsidRPr="00EC0229">
        <w:instrText xml:space="preserve">" </w:instrText>
      </w:r>
      <w:r w:rsidR="00584C42" w:rsidRPr="00EC0229">
        <w:rPr>
          <w:rFonts w:eastAsia="Times New Roman"/>
          <w:lang w:eastAsia="en-GB"/>
        </w:rPr>
        <w:fldChar w:fldCharType="end"/>
      </w:r>
      <w:r w:rsidR="00BD53D4" w:rsidRPr="00EC0229">
        <w:rPr>
          <w:rFonts w:eastAsia="Times New Roman"/>
          <w:lang w:eastAsia="en-GB"/>
        </w:rPr>
        <w:t xml:space="preserve">, given how extensively </w:t>
      </w:r>
      <w:r w:rsidRPr="00EC0229">
        <w:rPr>
          <w:rFonts w:eastAsia="Times New Roman"/>
          <w:lang w:eastAsia="en-GB"/>
        </w:rPr>
        <w:t>Fishergate</w:t>
      </w:r>
      <w:r w:rsidR="00BD53D4" w:rsidRPr="00EC0229">
        <w:rPr>
          <w:rFonts w:eastAsia="Times New Roman"/>
          <w:lang w:eastAsia="en-GB"/>
        </w:rPr>
        <w:t xml:space="preserve"> has been excavated, it is surprising </w:t>
      </w:r>
      <w:r w:rsidRPr="00EC0229">
        <w:rPr>
          <w:rFonts w:eastAsia="Times New Roman"/>
          <w:lang w:eastAsia="en-GB"/>
        </w:rPr>
        <w:t>how</w:t>
      </w:r>
      <w:r w:rsidR="00BD53D4" w:rsidRPr="00EC0229">
        <w:rPr>
          <w:rFonts w:eastAsia="Times New Roman"/>
          <w:lang w:eastAsia="en-GB"/>
        </w:rPr>
        <w:t xml:space="preserve"> few coi</w:t>
      </w:r>
      <w:r w:rsidRPr="00EC0229">
        <w:rPr>
          <w:rFonts w:eastAsia="Times New Roman"/>
          <w:lang w:eastAsia="en-GB"/>
        </w:rPr>
        <w:t>ns have been discovered. C</w:t>
      </w:r>
      <w:r w:rsidR="00BD53D4" w:rsidRPr="00EC0229">
        <w:rPr>
          <w:rFonts w:eastAsia="Times New Roman"/>
          <w:lang w:eastAsia="en-GB"/>
        </w:rPr>
        <w:t xml:space="preserve">omparisons </w:t>
      </w:r>
      <w:r w:rsidRPr="00EC0229">
        <w:rPr>
          <w:rFonts w:eastAsia="Times New Roman"/>
          <w:lang w:eastAsia="en-GB"/>
        </w:rPr>
        <w:t xml:space="preserve">can be drawn </w:t>
      </w:r>
      <w:r w:rsidR="00BD53D4" w:rsidRPr="00EC0229">
        <w:rPr>
          <w:rFonts w:eastAsia="Times New Roman"/>
          <w:lang w:eastAsia="en-GB"/>
        </w:rPr>
        <w:t xml:space="preserve">with numismatically better endowed </w:t>
      </w:r>
      <w:r w:rsidR="00BD53D4" w:rsidRPr="00EC0229">
        <w:rPr>
          <w:rFonts w:eastAsia="Times New Roman"/>
          <w:i/>
          <w:lang w:eastAsia="en-GB"/>
        </w:rPr>
        <w:t>wics</w:t>
      </w:r>
      <w:r w:rsidR="00BD53D4" w:rsidRPr="00EC0229">
        <w:rPr>
          <w:rFonts w:eastAsia="Times New Roman"/>
          <w:lang w:eastAsia="en-GB"/>
        </w:rPr>
        <w:t xml:space="preserve">, which have been similarly </w:t>
      </w:r>
      <w:r w:rsidR="004504D2">
        <w:rPr>
          <w:rFonts w:eastAsia="Times New Roman"/>
          <w:lang w:eastAsia="en-GB"/>
        </w:rPr>
        <w:t>characterize</w:t>
      </w:r>
      <w:r w:rsidR="00BD53D4" w:rsidRPr="00EC0229">
        <w:rPr>
          <w:rFonts w:eastAsia="Times New Roman"/>
          <w:lang w:eastAsia="en-GB"/>
        </w:rPr>
        <w:t>d as probably the mints of specific sceatta</w:t>
      </w:r>
      <w:r w:rsidR="00D142DC" w:rsidRPr="00EC0229">
        <w:rPr>
          <w:rFonts w:eastAsia="Times New Roman"/>
          <w:lang w:eastAsia="en-GB"/>
        </w:rPr>
        <w:fldChar w:fldCharType="begin"/>
      </w:r>
      <w:r w:rsidR="00D142DC" w:rsidRPr="00EC0229">
        <w:instrText xml:space="preserve"> XE "sceatta" </w:instrText>
      </w:r>
      <w:r w:rsidR="00D142DC" w:rsidRPr="00EC0229">
        <w:rPr>
          <w:rFonts w:eastAsia="Times New Roman"/>
          <w:lang w:eastAsia="en-GB"/>
        </w:rPr>
        <w:fldChar w:fldCharType="end"/>
      </w:r>
      <w:r w:rsidR="00BD53D4" w:rsidRPr="00EC0229">
        <w:rPr>
          <w:rFonts w:eastAsia="Times New Roman"/>
          <w:lang w:eastAsia="en-GB"/>
        </w:rPr>
        <w:t xml:space="preserve"> types where the degree of control is determined by the extent of recycling of incoming types,</w:t>
      </w:r>
      <w:r w:rsidR="00BD53D4" w:rsidRPr="00EC0229">
        <w:rPr>
          <w:rStyle w:val="FootnoteReference"/>
          <w:rFonts w:eastAsia="Times New Roman" w:cs="Times New Roman"/>
          <w:color w:val="000000"/>
          <w:szCs w:val="24"/>
          <w:lang w:eastAsia="en-GB"/>
        </w:rPr>
        <w:footnoteReference w:id="898"/>
      </w:r>
      <w:r w:rsidR="00BD53D4" w:rsidRPr="00EC0229">
        <w:rPr>
          <w:rFonts w:eastAsia="Times New Roman"/>
          <w:lang w:eastAsia="en-GB"/>
        </w:rPr>
        <w:t xml:space="preserve"> for example, at Hamwic</w:t>
      </w:r>
      <w:r w:rsidR="006B1593" w:rsidRPr="00EC0229">
        <w:rPr>
          <w:rFonts w:eastAsia="Times New Roman"/>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lang w:eastAsia="en-GB"/>
        </w:rPr>
        <w:fldChar w:fldCharType="end"/>
      </w:r>
      <w:r w:rsidR="00BD53D4" w:rsidRPr="00EC0229">
        <w:rPr>
          <w:rFonts w:eastAsia="Times New Roman"/>
          <w:lang w:eastAsia="en-GB"/>
        </w:rPr>
        <w:t xml:space="preserve"> (Series</w:t>
      </w:r>
      <w:r w:rsidR="00D142DC" w:rsidRPr="00EC0229">
        <w:rPr>
          <w:rFonts w:eastAsia="Times New Roman"/>
          <w:lang w:eastAsia="en-GB"/>
        </w:rPr>
        <w:fldChar w:fldCharType="begin"/>
      </w:r>
      <w:r w:rsidR="00D142DC" w:rsidRPr="00EC0229">
        <w:instrText xml:space="preserve"> XE "Series" </w:instrText>
      </w:r>
      <w:r w:rsidR="00D142DC" w:rsidRPr="00EC0229">
        <w:rPr>
          <w:rFonts w:eastAsia="Times New Roman"/>
          <w:lang w:eastAsia="en-GB"/>
        </w:rPr>
        <w:fldChar w:fldCharType="end"/>
      </w:r>
      <w:r w:rsidR="00BD53D4" w:rsidRPr="00EC0229">
        <w:rPr>
          <w:rFonts w:eastAsia="Times New Roman"/>
          <w:lang w:eastAsia="en-GB"/>
        </w:rPr>
        <w:t xml:space="preserve"> H) and Ribe (Series X</w:t>
      </w:r>
      <w:r w:rsidR="008344F3" w:rsidRPr="00EC0229">
        <w:rPr>
          <w:rFonts w:eastAsia="Times New Roman"/>
          <w:lang w:eastAsia="en-GB"/>
        </w:rPr>
        <w:fldChar w:fldCharType="begin"/>
      </w:r>
      <w:r w:rsidR="008344F3" w:rsidRPr="00EC0229">
        <w:instrText xml:space="preserve"> XE "Series X" </w:instrText>
      </w:r>
      <w:r w:rsidR="008344F3" w:rsidRPr="00EC0229">
        <w:rPr>
          <w:rFonts w:eastAsia="Times New Roman"/>
          <w:lang w:eastAsia="en-GB"/>
        </w:rPr>
        <w:fldChar w:fldCharType="end"/>
      </w:r>
      <w:r w:rsidR="00BD53D4" w:rsidRPr="00EC0229">
        <w:rPr>
          <w:rFonts w:eastAsia="Times New Roman"/>
          <w:lang w:eastAsia="en-GB"/>
        </w:rPr>
        <w:t xml:space="preserve">). </w:t>
      </w:r>
      <w:r w:rsidR="00115AD9" w:rsidRPr="00EC0229">
        <w:rPr>
          <w:rFonts w:eastAsia="Times New Roman" w:cs="Times New Roman"/>
          <w:szCs w:val="24"/>
          <w:lang w:eastAsia="en-GB"/>
        </w:rPr>
        <w:t xml:space="preserve">As a template for assessing other </w:t>
      </w:r>
      <w:r w:rsidR="00115AD9" w:rsidRPr="00EC0229">
        <w:rPr>
          <w:rFonts w:eastAsia="Times New Roman" w:cs="Times New Roman"/>
          <w:i/>
          <w:szCs w:val="24"/>
          <w:lang w:eastAsia="en-GB"/>
        </w:rPr>
        <w:t>wics</w:t>
      </w:r>
      <w:r w:rsidR="00115AD9" w:rsidRPr="00EC0229">
        <w:rPr>
          <w:rFonts w:eastAsia="Times New Roman" w:cs="Times New Roman"/>
          <w:szCs w:val="24"/>
          <w:lang w:eastAsia="en-GB"/>
        </w:rPr>
        <w:t>, Hamwic merits further consideration.</w:t>
      </w:r>
    </w:p>
    <w:p w14:paraId="6E3206D1" w14:textId="77777777" w:rsidR="00673CA2" w:rsidRPr="00EC0229" w:rsidRDefault="00673CA2" w:rsidP="007600EA">
      <w:pPr>
        <w:pStyle w:val="NoSpacing"/>
        <w:spacing w:line="360" w:lineRule="auto"/>
        <w:rPr>
          <w:highlight w:val="yellow"/>
        </w:rPr>
      </w:pPr>
    </w:p>
    <w:p w14:paraId="0D0725FE" w14:textId="01787273" w:rsidR="00673CA2" w:rsidRPr="00EC0229" w:rsidRDefault="00673CA2" w:rsidP="007600EA">
      <w:pPr>
        <w:pStyle w:val="NoSpacing"/>
        <w:spacing w:line="360" w:lineRule="auto"/>
        <w:rPr>
          <w:color w:val="FF0000"/>
          <w:szCs w:val="24"/>
        </w:rPr>
      </w:pPr>
      <w:r w:rsidRPr="00EC0229">
        <w:rPr>
          <w:rFonts w:eastAsia="Times New Roman" w:cs="Times New Roman"/>
          <w:color w:val="000000" w:themeColor="text1"/>
          <w:szCs w:val="24"/>
          <w:lang w:eastAsia="en-GB"/>
        </w:rPr>
        <w:t>The carefully recorded excavation of the Hamwic</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rFonts w:eastAsia="Times New Roman"/>
          <w:noProof/>
          <w:u w:val="none"/>
          <w:lang w:eastAsia="en-GB"/>
        </w:rPr>
        <w:instrText>Hamwic</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site,</w:t>
      </w:r>
      <w:r w:rsidRPr="00EC0229">
        <w:rPr>
          <w:rStyle w:val="FootnoteReference"/>
          <w:rFonts w:eastAsia="Times New Roman" w:cs="Times New Roman"/>
          <w:color w:val="000000" w:themeColor="text1"/>
          <w:szCs w:val="24"/>
          <w:lang w:eastAsia="en-GB"/>
        </w:rPr>
        <w:footnoteReference w:id="899"/>
      </w:r>
      <w:r w:rsidRPr="00EC0229">
        <w:rPr>
          <w:rFonts w:eastAsia="Times New Roman" w:cs="Times New Roman"/>
          <w:color w:val="000000" w:themeColor="text1"/>
          <w:szCs w:val="24"/>
          <w:lang w:eastAsia="en-GB"/>
        </w:rPr>
        <w:t xml:space="preserve"> rich in coins, pottery and other artefacts, provides a yardstick against which other prospective </w:t>
      </w:r>
      <w:r w:rsidRPr="00EC0229">
        <w:rPr>
          <w:rFonts w:eastAsia="Times New Roman" w:cs="Times New Roman"/>
          <w:i/>
          <w:color w:val="000000" w:themeColor="text1"/>
          <w:szCs w:val="24"/>
          <w:lang w:eastAsia="en-GB"/>
        </w:rPr>
        <w:t>wics</w:t>
      </w:r>
      <w:r w:rsidRPr="00EC0229">
        <w:rPr>
          <w:rFonts w:eastAsia="Times New Roman" w:cs="Times New Roman"/>
          <w:color w:val="000000" w:themeColor="text1"/>
          <w:szCs w:val="24"/>
          <w:lang w:eastAsia="en-GB"/>
        </w:rPr>
        <w:t xml:space="preserve"> can be assessed. A clear choice of contender as the </w:t>
      </w:r>
      <w:r w:rsidRPr="00EC0229">
        <w:rPr>
          <w:rFonts w:eastAsia="Times New Roman" w:cs="Times New Roman"/>
          <w:i/>
          <w:color w:val="000000" w:themeColor="text1"/>
          <w:szCs w:val="24"/>
          <w:lang w:eastAsia="en-GB"/>
        </w:rPr>
        <w:t>wic</w:t>
      </w:r>
      <w:r w:rsidRPr="00EC0229">
        <w:rPr>
          <w:rFonts w:eastAsia="Times New Roman" w:cs="Times New Roman"/>
          <w:i/>
          <w:color w:val="000000" w:themeColor="text1"/>
          <w:szCs w:val="24"/>
          <w:lang w:eastAsia="en-GB"/>
        </w:rPr>
        <w:fldChar w:fldCharType="begin"/>
      </w:r>
      <w:r w:rsidRPr="00EC0229">
        <w:instrText xml:space="preserve"> XE "wic" </w:instrText>
      </w:r>
      <w:r w:rsidRPr="00EC0229">
        <w:rPr>
          <w:rFonts w:eastAsia="Times New Roman" w:cs="Times New Roman"/>
          <w:i/>
          <w:color w:val="000000" w:themeColor="text1"/>
          <w:szCs w:val="24"/>
          <w:lang w:eastAsia="en-GB"/>
        </w:rPr>
        <w:fldChar w:fldCharType="end"/>
      </w:r>
      <w:r w:rsidRPr="00EC0229">
        <w:rPr>
          <w:rFonts w:eastAsia="Times New Roman" w:cs="Times New Roman"/>
          <w:color w:val="000000" w:themeColor="text1"/>
          <w:szCs w:val="24"/>
          <w:lang w:eastAsia="en-GB"/>
        </w:rPr>
        <w:t xml:space="preserve"> of York</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w:t>
      </w:r>
      <w:r w:rsidRPr="00EC0229">
        <w:rPr>
          <w:rFonts w:eastAsia="Times New Roman" w:cs="Times New Roman"/>
          <w:i/>
          <w:color w:val="000000" w:themeColor="text1"/>
          <w:szCs w:val="24"/>
          <w:lang w:eastAsia="en-GB"/>
        </w:rPr>
        <w:t>Eoforwic</w:t>
      </w:r>
      <w:r w:rsidRPr="00EC0229">
        <w:rPr>
          <w:rFonts w:eastAsia="Times New Roman" w:cs="Times New Roman"/>
          <w:color w:val="000000" w:themeColor="text1"/>
          <w:szCs w:val="24"/>
          <w:lang w:eastAsia="en-GB"/>
        </w:rPr>
        <w:t>, is Fishergate</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w:t>
      </w:r>
      <w:r w:rsidR="001B5F5E" w:rsidRPr="00EC0229">
        <w:rPr>
          <w:rStyle w:val="FootnoteReference"/>
          <w:rFonts w:eastAsia="Times New Roman" w:cs="Times New Roman"/>
          <w:color w:val="000000" w:themeColor="text1"/>
          <w:szCs w:val="24"/>
          <w:lang w:eastAsia="en-GB"/>
        </w:rPr>
        <w:footnoteReference w:id="900"/>
      </w:r>
      <w:r w:rsidRPr="00EC0229">
        <w:rPr>
          <w:rFonts w:eastAsia="Times New Roman" w:cs="Times New Roman"/>
          <w:color w:val="000000" w:themeColor="text1"/>
          <w:szCs w:val="24"/>
          <w:lang w:eastAsia="en-GB"/>
        </w:rPr>
        <w:t xml:space="preserve"> The methodology of the excavation and recording of this site was comparable to Hamwic, and the artefacts, </w:t>
      </w:r>
      <w:r w:rsidR="00A50B11" w:rsidRPr="00EC0229">
        <w:rPr>
          <w:rFonts w:eastAsia="Times New Roman" w:cs="Times New Roman"/>
          <w:color w:val="000000" w:themeColor="text1"/>
          <w:szCs w:val="24"/>
          <w:lang w:eastAsia="en-GB"/>
        </w:rPr>
        <w:t>except for</w:t>
      </w:r>
      <w:r w:rsidRPr="00EC0229">
        <w:rPr>
          <w:rFonts w:eastAsia="Times New Roman" w:cs="Times New Roman"/>
          <w:color w:val="000000" w:themeColor="text1"/>
          <w:szCs w:val="24"/>
          <w:lang w:eastAsia="en-GB"/>
        </w:rPr>
        <w:t xml:space="preserve"> the coins, have been published.</w:t>
      </w:r>
      <w:r w:rsidR="00921BC6" w:rsidRPr="00EC0229">
        <w:rPr>
          <w:rStyle w:val="FootnoteReference"/>
          <w:rFonts w:eastAsia="Times New Roman" w:cs="Times New Roman"/>
          <w:color w:val="000000" w:themeColor="text1"/>
          <w:szCs w:val="24"/>
          <w:lang w:eastAsia="en-GB"/>
        </w:rPr>
        <w:footnoteReference w:id="901"/>
      </w:r>
      <w:r w:rsidRPr="00EC0229">
        <w:rPr>
          <w:rFonts w:eastAsia="Times New Roman" w:cs="Times New Roman"/>
          <w:color w:val="000000" w:themeColor="text1"/>
          <w:szCs w:val="24"/>
          <w:lang w:eastAsia="en-GB"/>
        </w:rPr>
        <w:t xml:space="preserve"> </w:t>
      </w:r>
    </w:p>
    <w:p w14:paraId="1BC511C0" w14:textId="77777777" w:rsidR="009071D2" w:rsidRPr="00EC0229" w:rsidRDefault="009071D2" w:rsidP="007600EA">
      <w:pPr>
        <w:pStyle w:val="NoSpacing"/>
        <w:spacing w:line="360" w:lineRule="auto"/>
      </w:pPr>
    </w:p>
    <w:p w14:paraId="5651312F" w14:textId="7489DF23" w:rsidR="00BD53D4" w:rsidRPr="00EC0229" w:rsidRDefault="00BD53D4" w:rsidP="007600EA">
      <w:pPr>
        <w:spacing w:after="0" w:line="360" w:lineRule="auto"/>
        <w:rPr>
          <w:rFonts w:eastAsia="Times New Roman" w:cs="Times New Roman"/>
          <w:szCs w:val="24"/>
          <w:lang w:eastAsia="en-GB"/>
        </w:rPr>
      </w:pPr>
      <w:bookmarkStart w:id="556" w:name="Hamwic"/>
      <w:bookmarkEnd w:id="556"/>
      <w:r w:rsidRPr="00EC0229">
        <w:rPr>
          <w:rFonts w:eastAsia="Times New Roman" w:cs="Times New Roman"/>
          <w:szCs w:val="24"/>
          <w:lang w:eastAsia="en-GB"/>
        </w:rPr>
        <w:lastRenderedPageBreak/>
        <w:t>The entire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site extends to around 49ha,</w:t>
      </w:r>
      <w:r w:rsidRPr="00EC0229">
        <w:rPr>
          <w:rStyle w:val="FootnoteReference"/>
          <w:rFonts w:eastAsia="Times New Roman" w:cs="Times New Roman"/>
          <w:szCs w:val="24"/>
          <w:lang w:eastAsia="en-GB"/>
        </w:rPr>
        <w:footnoteReference w:id="902"/>
      </w:r>
      <w:r w:rsidRPr="00EC0229">
        <w:rPr>
          <w:rFonts w:eastAsia="Times New Roman" w:cs="Times New Roman"/>
          <w:szCs w:val="24"/>
          <w:lang w:eastAsia="en-GB"/>
        </w:rPr>
        <w:t xml:space="preserve"> and though only a modest proportion has been excavated,</w:t>
      </w:r>
      <w:r w:rsidRPr="00EC0229">
        <w:rPr>
          <w:rStyle w:val="FootnoteReference"/>
          <w:rFonts w:eastAsia="Times New Roman" w:cs="Times New Roman"/>
          <w:szCs w:val="24"/>
          <w:lang w:eastAsia="en-GB"/>
        </w:rPr>
        <w:footnoteReference w:id="903"/>
      </w:r>
      <w:r w:rsidR="00361C8C" w:rsidRPr="00EC0229">
        <w:rPr>
          <w:rFonts w:eastAsia="Times New Roman" w:cs="Times New Roman"/>
          <w:szCs w:val="24"/>
          <w:lang w:eastAsia="en-GB"/>
        </w:rPr>
        <w:t xml:space="preserve"> this still represents an </w:t>
      </w:r>
      <w:r w:rsidR="00E36F2D" w:rsidRPr="00EC0229">
        <w:rPr>
          <w:rFonts w:eastAsia="Times New Roman" w:cs="Times New Roman"/>
          <w:szCs w:val="24"/>
          <w:lang w:eastAsia="en-GB"/>
        </w:rPr>
        <w:t xml:space="preserve">expanse </w:t>
      </w:r>
      <w:r w:rsidRPr="00EC0229">
        <w:rPr>
          <w:rFonts w:eastAsia="Times New Roman" w:cs="Times New Roman"/>
          <w:szCs w:val="24"/>
          <w:lang w:eastAsia="en-GB"/>
        </w:rPr>
        <w:t>between six and ten times that of 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except that the excavators at Hamwic employed a conservative extraction policy, possibly due to resource constraints. Most of the material was taken from rubbish pits but these were divided vertically and only half the content removed, as a deliberate sampling policy, and the rest left for posterity.</w:t>
      </w:r>
      <w:r w:rsidRPr="00EC0229">
        <w:rPr>
          <w:rStyle w:val="FootnoteReference"/>
          <w:rFonts w:eastAsia="Times New Roman" w:cs="Times New Roman"/>
          <w:szCs w:val="24"/>
          <w:lang w:eastAsia="en-GB"/>
        </w:rPr>
        <w:footnoteReference w:id="904"/>
      </w:r>
      <w:r w:rsidRPr="00EC0229">
        <w:rPr>
          <w:rFonts w:eastAsia="Times New Roman" w:cs="Times New Roman"/>
          <w:szCs w:val="24"/>
          <w:lang w:eastAsia="en-GB"/>
        </w:rPr>
        <w:t xml:space="preserve"> </w:t>
      </w:r>
    </w:p>
    <w:p w14:paraId="03D8C865" w14:textId="77777777" w:rsidR="00BD53D4" w:rsidRPr="00EC0229" w:rsidRDefault="00BD53D4" w:rsidP="007600EA">
      <w:pPr>
        <w:spacing w:after="0" w:line="360" w:lineRule="auto"/>
        <w:rPr>
          <w:rFonts w:eastAsia="Times New Roman" w:cs="Times New Roman"/>
          <w:szCs w:val="24"/>
          <w:lang w:eastAsia="en-GB"/>
        </w:rPr>
      </w:pPr>
    </w:p>
    <w:p w14:paraId="2E8C88E2" w14:textId="5FD3B4D1"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szCs w:val="24"/>
          <w:lang w:eastAsia="en-GB"/>
        </w:rPr>
        <w:t>As regards methodology, riddling techniques similar to 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were used and again metal detecting was absent. In the mid-nineteenth century, Saxon deposits were removed from the central area by brickwork diggers and few str</w:t>
      </w:r>
      <w:r w:rsidR="00D80C61" w:rsidRPr="00EC0229">
        <w:rPr>
          <w:rFonts w:eastAsia="Times New Roman" w:cs="Times New Roman"/>
          <w:szCs w:val="24"/>
          <w:lang w:eastAsia="en-GB"/>
        </w:rPr>
        <w:t xml:space="preserve">atified deposits remained. </w:t>
      </w:r>
      <w:r w:rsidRPr="00EC0229">
        <w:rPr>
          <w:rFonts w:eastAsia="Times New Roman" w:cs="Times New Roman"/>
          <w:szCs w:val="24"/>
          <w:lang w:eastAsia="en-GB"/>
        </w:rPr>
        <w:t>Pagan has forensically reconstructed the corpus of older finds from the site, including eight reports of individual or groups of sceats.</w:t>
      </w:r>
      <w:r w:rsidRPr="00EC0229">
        <w:rPr>
          <w:rStyle w:val="FootnoteReference"/>
          <w:rFonts w:eastAsia="Times New Roman" w:cs="Times New Roman"/>
          <w:szCs w:val="24"/>
          <w:lang w:eastAsia="en-GB"/>
        </w:rPr>
        <w:footnoteReference w:id="905"/>
      </w:r>
      <w:r w:rsidRPr="00EC0229">
        <w:rPr>
          <w:rFonts w:eastAsia="Times New Roman" w:cs="Times New Roman"/>
          <w:szCs w:val="24"/>
          <w:lang w:eastAsia="en-GB"/>
        </w:rPr>
        <w:t xml:space="preserve"> It is difficult to be precise but these may total around </w:t>
      </w:r>
      <w:r w:rsidR="009773B7" w:rsidRPr="00EC0229">
        <w:rPr>
          <w:rFonts w:eastAsia="Times New Roman" w:cs="Times New Roman"/>
          <w:szCs w:val="24"/>
          <w:lang w:eastAsia="en-GB"/>
        </w:rPr>
        <w:t xml:space="preserve">thirty-three </w:t>
      </w:r>
      <w:r w:rsidRPr="00EC0229">
        <w:rPr>
          <w:rFonts w:eastAsia="Times New Roman" w:cs="Times New Roman"/>
          <w:szCs w:val="24"/>
          <w:lang w:eastAsia="en-GB"/>
        </w:rPr>
        <w:t>specimens, though one may presume that there were also an unascertainable number of undisclosed finds. Other recovery factors come into play such as the likelihood that further excavation adjacent to Fishergate would be productiv</w:t>
      </w:r>
      <w:r w:rsidR="001F7377" w:rsidRPr="00EC0229">
        <w:rPr>
          <w:rFonts w:eastAsia="Times New Roman" w:cs="Times New Roman"/>
          <w:szCs w:val="24"/>
          <w:lang w:eastAsia="en-GB"/>
        </w:rPr>
        <w:t xml:space="preserve">e. Nevertheless, one may </w:t>
      </w:r>
      <w:r w:rsidRPr="00EC0229">
        <w:rPr>
          <w:rFonts w:eastAsia="Times New Roman" w:cs="Times New Roman"/>
          <w:szCs w:val="24"/>
          <w:lang w:eastAsia="en-GB"/>
        </w:rPr>
        <w:t>conclude</w:t>
      </w:r>
      <w:r w:rsidR="001F7377" w:rsidRPr="00EC0229">
        <w:rPr>
          <w:rFonts w:eastAsia="Times New Roman" w:cs="Times New Roman"/>
          <w:szCs w:val="24"/>
          <w:lang w:eastAsia="en-GB"/>
        </w:rPr>
        <w:t>, taking these earlier finds into account,</w:t>
      </w:r>
      <w:r w:rsidRPr="00EC0229">
        <w:rPr>
          <w:rFonts w:eastAsia="Times New Roman" w:cs="Times New Roman"/>
          <w:szCs w:val="24"/>
          <w:lang w:eastAsia="en-GB"/>
        </w:rPr>
        <w:t xml:space="preserve"> that the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006A592E" w:rsidRPr="00EC0229">
        <w:rPr>
          <w:rFonts w:eastAsia="Times New Roman" w:cs="Times New Roman"/>
          <w:szCs w:val="24"/>
          <w:lang w:eastAsia="en-GB"/>
        </w:rPr>
        <w:t xml:space="preserve"> site is, proportionately, </w:t>
      </w:r>
      <w:r w:rsidR="009D0C59" w:rsidRPr="00EC0229">
        <w:rPr>
          <w:rFonts w:eastAsia="Times New Roman" w:cs="Times New Roman"/>
          <w:szCs w:val="24"/>
          <w:lang w:eastAsia="en-GB"/>
        </w:rPr>
        <w:t xml:space="preserve">somewhat </w:t>
      </w:r>
      <w:r w:rsidRPr="00EC0229">
        <w:rPr>
          <w:rFonts w:eastAsia="Times New Roman" w:cs="Times New Roman"/>
          <w:szCs w:val="24"/>
          <w:lang w:eastAsia="en-GB"/>
        </w:rPr>
        <w:t>more productive of sceats than Fishergate.</w:t>
      </w:r>
      <w:r w:rsidR="001F7377" w:rsidRPr="00EC0229">
        <w:rPr>
          <w:rFonts w:eastAsia="Times New Roman" w:cs="Times New Roman"/>
          <w:szCs w:val="24"/>
          <w:lang w:eastAsia="en-GB"/>
        </w:rPr>
        <w:t xml:space="preserve"> However, as argued below, it is mix not volume which is crucial.</w:t>
      </w:r>
    </w:p>
    <w:p w14:paraId="606C16CC" w14:textId="77777777" w:rsidR="00BD53D4" w:rsidRPr="00EC0229" w:rsidRDefault="00BD53D4" w:rsidP="007600EA">
      <w:pPr>
        <w:spacing w:after="0" w:line="360" w:lineRule="auto"/>
        <w:rPr>
          <w:rFonts w:eastAsia="Times New Roman" w:cs="Times New Roman"/>
          <w:szCs w:val="24"/>
          <w:lang w:eastAsia="en-GB"/>
        </w:rPr>
      </w:pPr>
    </w:p>
    <w:p w14:paraId="2DB38200" w14:textId="4426571C"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szCs w:val="24"/>
          <w:lang w:eastAsia="en-GB"/>
        </w:rPr>
        <w:t>Referring only to those of which we have certain knowledge, Metcalf</w:t>
      </w:r>
      <w:r w:rsidR="00F204A1" w:rsidRPr="00EC0229">
        <w:rPr>
          <w:rFonts w:eastAsia="Times New Roman" w:cs="Times New Roman"/>
          <w:szCs w:val="24"/>
          <w:lang w:eastAsia="en-GB"/>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eastAsia="Times New Roman" w:cs="Times New Roman"/>
          <w:szCs w:val="24"/>
          <w:lang w:eastAsia="en-GB"/>
        </w:rPr>
        <w:fldChar w:fldCharType="end"/>
      </w:r>
      <w:r w:rsidRPr="00EC0229">
        <w:rPr>
          <w:rFonts w:eastAsia="Times New Roman" w:cs="Times New Roman"/>
          <w:szCs w:val="24"/>
          <w:lang w:eastAsia="en-GB"/>
        </w:rPr>
        <w:t xml:space="preserve"> was able to state: ‘Since we must assume that many coins changed hands safely for every one that was accidentally lost, the finds offer evidence of a very large number of transactions...The number of transactions rather than the number of coins is therefore the key statistic which measures how active the urban monetary system was.’</w:t>
      </w:r>
      <w:r w:rsidRPr="00EC0229">
        <w:rPr>
          <w:rStyle w:val="FootnoteReference"/>
          <w:rFonts w:eastAsia="Times New Roman" w:cs="Times New Roman"/>
          <w:szCs w:val="24"/>
          <w:lang w:eastAsia="en-GB"/>
        </w:rPr>
        <w:footnoteReference w:id="906"/>
      </w:r>
      <w:r w:rsidRPr="00EC0229">
        <w:rPr>
          <w:rFonts w:eastAsia="Times New Roman" w:cs="Times New Roman"/>
          <w:szCs w:val="24"/>
          <w:lang w:eastAsia="en-GB"/>
        </w:rPr>
        <w:t xml:space="preserve"> Of the 129 sceats found at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006A592E" w:rsidRPr="00EC0229">
        <w:rPr>
          <w:rFonts w:eastAsia="Times New Roman" w:cs="Times New Roman"/>
          <w:szCs w:val="24"/>
          <w:lang w:eastAsia="en-GB"/>
        </w:rPr>
        <w:t>, sixty-one</w:t>
      </w:r>
      <w:r w:rsidRPr="00EC0229">
        <w:rPr>
          <w:rFonts w:eastAsia="Times New Roman" w:cs="Times New Roman"/>
          <w:szCs w:val="24"/>
          <w:lang w:eastAsia="en-GB"/>
        </w:rPr>
        <w:t xml:space="preserve"> (47%) were of the local Series</w:t>
      </w:r>
      <w:r w:rsidR="00D142DC" w:rsidRPr="00EC0229">
        <w:rPr>
          <w:rFonts w:eastAsia="Times New Roman" w:cs="Times New Roman"/>
          <w:szCs w:val="24"/>
          <w:lang w:eastAsia="en-GB"/>
        </w:rPr>
        <w:fldChar w:fldCharType="begin"/>
      </w:r>
      <w:r w:rsidR="00D142DC" w:rsidRPr="00EC0229">
        <w:instrText xml:space="preserve"> XE "Series"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H type</w:t>
      </w:r>
      <w:r w:rsidR="009071D2" w:rsidRPr="00EC0229">
        <w:rPr>
          <w:rFonts w:eastAsia="Times New Roman" w:cs="Times New Roman"/>
          <w:szCs w:val="24"/>
          <w:lang w:eastAsia="en-GB"/>
        </w:rPr>
        <w:t xml:space="preserve"> (</w:t>
      </w:r>
      <w:r w:rsidR="00B151DA" w:rsidRPr="00EC0229">
        <w:rPr>
          <w:rFonts w:eastAsia="Times New Roman" w:cs="Times New Roman"/>
          <w:szCs w:val="24"/>
          <w:lang w:eastAsia="en-GB"/>
        </w:rPr>
        <w:fldChar w:fldCharType="begin"/>
      </w:r>
      <w:r w:rsidR="00B151DA" w:rsidRPr="00EC0229">
        <w:rPr>
          <w:rFonts w:eastAsia="Times New Roman" w:cs="Times New Roman"/>
          <w:szCs w:val="24"/>
          <w:lang w:eastAsia="en-GB"/>
        </w:rPr>
        <w:instrText xml:space="preserve"> REF _Ref430248214 \h </w:instrText>
      </w:r>
      <w:r w:rsidR="00A5530A" w:rsidRPr="00EC0229">
        <w:rPr>
          <w:rFonts w:eastAsia="Times New Roman" w:cs="Times New Roman"/>
          <w:szCs w:val="24"/>
          <w:lang w:eastAsia="en-GB"/>
        </w:rPr>
        <w:instrText xml:space="preserve"> \* MERGEFORMAT </w:instrText>
      </w:r>
      <w:r w:rsidR="00B151DA" w:rsidRPr="00EC0229">
        <w:rPr>
          <w:rFonts w:eastAsia="Times New Roman" w:cs="Times New Roman"/>
          <w:szCs w:val="24"/>
          <w:lang w:eastAsia="en-GB"/>
        </w:rPr>
      </w:r>
      <w:r w:rsidR="00B151DA"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75</w:t>
      </w:r>
      <w:r w:rsidR="00B151DA" w:rsidRPr="00EC0229">
        <w:rPr>
          <w:rFonts w:eastAsia="Times New Roman" w:cs="Times New Roman"/>
          <w:szCs w:val="24"/>
          <w:lang w:eastAsia="en-GB"/>
        </w:rPr>
        <w:fldChar w:fldCharType="end"/>
      </w:r>
      <w:r w:rsidR="009071D2" w:rsidRPr="00EC0229">
        <w:rPr>
          <w:rFonts w:eastAsia="Times New Roman" w:cs="Times New Roman"/>
          <w:szCs w:val="24"/>
          <w:lang w:eastAsia="en-GB"/>
        </w:rPr>
        <w:t>)</w:t>
      </w:r>
      <w:r w:rsidR="009773B7" w:rsidRPr="00EC0229">
        <w:rPr>
          <w:rFonts w:eastAsia="Times New Roman" w:cs="Times New Roman"/>
          <w:szCs w:val="24"/>
          <w:lang w:eastAsia="en-GB"/>
        </w:rPr>
        <w:t>, [5b]</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907"/>
      </w:r>
      <w:r w:rsidRPr="00EC0229">
        <w:rPr>
          <w:rFonts w:eastAsia="Times New Roman" w:cs="Times New Roman"/>
          <w:szCs w:val="24"/>
          <w:lang w:eastAsia="en-GB"/>
        </w:rPr>
        <w:t xml:space="preserve"> What may be gleaned from this near equivalence is that trade in the </w:t>
      </w:r>
      <w:r w:rsidRPr="00EC0229">
        <w:rPr>
          <w:rFonts w:eastAsia="Times New Roman" w:cs="Times New Roman"/>
          <w:i/>
          <w:szCs w:val="24"/>
          <w:lang w:eastAsia="en-GB"/>
        </w:rPr>
        <w:t>wic</w:t>
      </w:r>
      <w:r w:rsidR="00D142DC" w:rsidRPr="00EC0229">
        <w:rPr>
          <w:rFonts w:eastAsia="Times New Roman" w:cs="Times New Roman"/>
          <w:i/>
          <w:szCs w:val="24"/>
          <w:lang w:eastAsia="en-GB"/>
        </w:rPr>
        <w:fldChar w:fldCharType="begin"/>
      </w:r>
      <w:r w:rsidR="00D142DC" w:rsidRPr="00EC0229">
        <w:instrText xml:space="preserve"> XE "wic" </w:instrText>
      </w:r>
      <w:r w:rsidR="00D142DC" w:rsidRPr="00EC0229">
        <w:rPr>
          <w:rFonts w:eastAsia="Times New Roman" w:cs="Times New Roman"/>
          <w:i/>
          <w:szCs w:val="24"/>
          <w:lang w:eastAsia="en-GB"/>
        </w:rPr>
        <w:fldChar w:fldCharType="end"/>
      </w:r>
      <w:r w:rsidRPr="00EC0229">
        <w:rPr>
          <w:rFonts w:eastAsia="Times New Roman" w:cs="Times New Roman"/>
          <w:szCs w:val="24"/>
          <w:lang w:eastAsia="en-GB"/>
        </w:rPr>
        <w:t xml:space="preserve"> was, roughly, balanced. Hamwic bought from its hinterland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hinterland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paying in coin and, from the mix of other sceatta</w:t>
      </w:r>
      <w:r w:rsidR="00D142DC" w:rsidRPr="00EC0229">
        <w:rPr>
          <w:rFonts w:eastAsia="Times New Roman" w:cs="Times New Roman"/>
          <w:szCs w:val="24"/>
          <w:lang w:eastAsia="en-GB"/>
        </w:rPr>
        <w:fldChar w:fldCharType="begin"/>
      </w:r>
      <w:r w:rsidR="00D142DC" w:rsidRPr="00EC0229">
        <w:instrText xml:space="preserve"> XE "sceatta"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w:t>
      </w:r>
      <w:r w:rsidR="006A592E" w:rsidRPr="00EC0229">
        <w:rPr>
          <w:rFonts w:eastAsia="Times New Roman" w:cs="Times New Roman"/>
          <w:szCs w:val="24"/>
          <w:lang w:eastAsia="en-GB"/>
        </w:rPr>
        <w:t xml:space="preserve">types found, sold to most sceatta </w:t>
      </w:r>
      <w:r w:rsidRPr="00EC0229">
        <w:rPr>
          <w:rFonts w:eastAsia="Times New Roman" w:cs="Times New Roman"/>
          <w:szCs w:val="24"/>
          <w:lang w:eastAsia="en-GB"/>
        </w:rPr>
        <w:t>producing areas with the strongest presence being</w:t>
      </w:r>
      <w:r w:rsidR="006A592E" w:rsidRPr="00EC0229">
        <w:rPr>
          <w:rFonts w:eastAsia="Times New Roman" w:cs="Times New Roman"/>
          <w:szCs w:val="24"/>
          <w:lang w:eastAsia="en-GB"/>
        </w:rPr>
        <w:t xml:space="preserve"> sceats of the Low Countries (nineteen</w:t>
      </w:r>
      <w:r w:rsidRPr="00EC0229">
        <w:rPr>
          <w:rFonts w:eastAsia="Times New Roman" w:cs="Times New Roman"/>
          <w:szCs w:val="24"/>
          <w:lang w:eastAsia="en-GB"/>
        </w:rPr>
        <w:t xml:space="preserve"> of the 129 sceats are Series </w:t>
      </w:r>
      <w:r w:rsidRPr="00EC0229">
        <w:rPr>
          <w:rFonts w:eastAsia="Times New Roman" w:cs="Times New Roman"/>
          <w:szCs w:val="24"/>
          <w:lang w:eastAsia="en-GB"/>
        </w:rPr>
        <w:lastRenderedPageBreak/>
        <w:t>E</w:t>
      </w:r>
      <w:r w:rsidR="008344F3" w:rsidRPr="00EC0229">
        <w:rPr>
          <w:rFonts w:eastAsia="Times New Roman" w:cs="Times New Roman"/>
          <w:szCs w:val="24"/>
          <w:lang w:eastAsia="en-GB"/>
        </w:rPr>
        <w:fldChar w:fldCharType="begin"/>
      </w:r>
      <w:r w:rsidR="008344F3" w:rsidRPr="00EC0229">
        <w:instrText xml:space="preserve"> XE "Series E" </w:instrText>
      </w:r>
      <w:r w:rsidR="008344F3" w:rsidRPr="00EC0229">
        <w:rPr>
          <w:rFonts w:eastAsia="Times New Roman" w:cs="Times New Roman"/>
          <w:szCs w:val="24"/>
          <w:lang w:eastAsia="en-GB"/>
        </w:rPr>
        <w:fldChar w:fldCharType="end"/>
      </w:r>
      <w:r w:rsidRPr="00EC0229">
        <w:rPr>
          <w:rStyle w:val="FootnoteReference"/>
          <w:rFonts w:eastAsia="Times New Roman" w:cs="Times New Roman"/>
          <w:szCs w:val="24"/>
          <w:lang w:eastAsia="en-GB"/>
        </w:rPr>
        <w:footnoteReference w:id="908"/>
      </w:r>
      <w:r w:rsidR="006A592E" w:rsidRPr="00EC0229">
        <w:rPr>
          <w:rFonts w:eastAsia="Times New Roman" w:cs="Times New Roman"/>
          <w:szCs w:val="24"/>
          <w:lang w:eastAsia="en-GB"/>
        </w:rPr>
        <w:t>) and Ribe (eleven</w:t>
      </w:r>
      <w:r w:rsidRPr="00EC0229">
        <w:rPr>
          <w:rFonts w:eastAsia="Times New Roman" w:cs="Times New Roman"/>
          <w:szCs w:val="24"/>
          <w:lang w:eastAsia="en-GB"/>
        </w:rPr>
        <w:t xml:space="preserve"> are Series X</w:t>
      </w:r>
      <w:r w:rsidR="008344F3" w:rsidRPr="00EC0229">
        <w:rPr>
          <w:rFonts w:eastAsia="Times New Roman" w:cs="Times New Roman"/>
          <w:szCs w:val="24"/>
          <w:lang w:eastAsia="en-GB"/>
        </w:rPr>
        <w:fldChar w:fldCharType="begin"/>
      </w:r>
      <w:r w:rsidR="008344F3" w:rsidRPr="00EC0229">
        <w:instrText xml:space="preserve"> XE "</w:instrText>
      </w:r>
      <w:r w:rsidR="008344F3" w:rsidRPr="00EC0229">
        <w:rPr>
          <w:szCs w:val="24"/>
        </w:rPr>
        <w:instrText>Series X</w:instrText>
      </w:r>
      <w:r w:rsidR="008344F3" w:rsidRPr="00EC0229">
        <w:instrText xml:space="preserve">" </w:instrText>
      </w:r>
      <w:r w:rsidR="008344F3" w:rsidRPr="00EC0229">
        <w:rPr>
          <w:rFonts w:eastAsia="Times New Roman" w:cs="Times New Roman"/>
          <w:szCs w:val="24"/>
          <w:lang w:eastAsia="en-GB"/>
        </w:rPr>
        <w:fldChar w:fldCharType="end"/>
      </w:r>
      <w:r w:rsidRPr="00EC0229">
        <w:rPr>
          <w:rFonts w:eastAsia="Times New Roman" w:cs="Times New Roman"/>
          <w:szCs w:val="24"/>
          <w:lang w:eastAsia="en-GB"/>
        </w:rPr>
        <w:t>, though four of these are imitative, now considered ‘insular’ – i.e. English - emissions.).</w:t>
      </w:r>
      <w:r w:rsidRPr="00EC0229">
        <w:rPr>
          <w:rStyle w:val="FootnoteReference"/>
          <w:rFonts w:eastAsia="Times New Roman" w:cs="Times New Roman"/>
          <w:szCs w:val="24"/>
          <w:lang w:eastAsia="en-GB"/>
        </w:rPr>
        <w:footnoteReference w:id="909"/>
      </w:r>
    </w:p>
    <w:p w14:paraId="5A8F176F" w14:textId="77777777"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noProof/>
          <w:szCs w:val="24"/>
          <w:lang w:eastAsia="en-GB"/>
        </w:rPr>
        <w:drawing>
          <wp:inline distT="0" distB="0" distL="0" distR="0" wp14:anchorId="58FDDFC4" wp14:editId="1E7E4004">
            <wp:extent cx="784860" cy="798709"/>
            <wp:effectExtent l="0" t="0" r="0" b="190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6-10 H070 Cc1.2.jpg"/>
                    <pic:cNvPicPr/>
                  </pic:nvPicPr>
                  <pic:blipFill>
                    <a:blip r:embed="rId259">
                      <a:extLst>
                        <a:ext uri="{28A0092B-C50C-407E-A947-70E740481C1C}">
                          <a14:useLocalDpi xmlns:a14="http://schemas.microsoft.com/office/drawing/2010/main" val="0"/>
                        </a:ext>
                      </a:extLst>
                    </a:blip>
                    <a:stretch>
                      <a:fillRect/>
                    </a:stretch>
                  </pic:blipFill>
                  <pic:spPr>
                    <a:xfrm>
                      <a:off x="0" y="0"/>
                      <a:ext cx="813915" cy="828277"/>
                    </a:xfrm>
                    <a:prstGeom prst="rect">
                      <a:avLst/>
                    </a:prstGeom>
                  </pic:spPr>
                </pic:pic>
              </a:graphicData>
            </a:graphic>
          </wp:inline>
        </w:drawing>
      </w:r>
      <w:r w:rsidRPr="00EC0229">
        <w:rPr>
          <w:rFonts w:eastAsia="Times New Roman" w:cs="Times New Roman"/>
          <w:noProof/>
          <w:szCs w:val="24"/>
          <w:lang w:eastAsia="en-GB"/>
        </w:rPr>
        <w:drawing>
          <wp:inline distT="0" distB="0" distL="0" distR="0" wp14:anchorId="6C6A9CD0" wp14:editId="510EBCB7">
            <wp:extent cx="830146" cy="786198"/>
            <wp:effectExtent l="0" t="0" r="825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6-10 H070 Cc1.2 R.jpg"/>
                    <pic:cNvPicPr/>
                  </pic:nvPicPr>
                  <pic:blipFill>
                    <a:blip r:embed="rId260">
                      <a:extLst>
                        <a:ext uri="{28A0092B-C50C-407E-A947-70E740481C1C}">
                          <a14:useLocalDpi xmlns:a14="http://schemas.microsoft.com/office/drawing/2010/main" val="0"/>
                        </a:ext>
                      </a:extLst>
                    </a:blip>
                    <a:stretch>
                      <a:fillRect/>
                    </a:stretch>
                  </pic:blipFill>
                  <pic:spPr>
                    <a:xfrm>
                      <a:off x="0" y="0"/>
                      <a:ext cx="868920" cy="822920"/>
                    </a:xfrm>
                    <a:prstGeom prst="rect">
                      <a:avLst/>
                    </a:prstGeom>
                  </pic:spPr>
                </pic:pic>
              </a:graphicData>
            </a:graphic>
          </wp:inline>
        </w:drawing>
      </w:r>
      <w:r w:rsidRPr="00EC0229">
        <w:rPr>
          <w:rFonts w:eastAsia="Times New Roman" w:cs="Times New Roman"/>
          <w:szCs w:val="24"/>
          <w:lang w:eastAsia="en-GB"/>
        </w:rPr>
        <w:tab/>
        <w:t xml:space="preserve">    </w:t>
      </w:r>
      <w:r w:rsidRPr="00EC0229">
        <w:rPr>
          <w:rFonts w:eastAsia="Times New Roman" w:cs="Times New Roman"/>
          <w:noProof/>
          <w:szCs w:val="24"/>
          <w:lang w:eastAsia="en-GB"/>
        </w:rPr>
        <w:drawing>
          <wp:inline distT="0" distB="0" distL="0" distR="0" wp14:anchorId="3D6A9AB6" wp14:editId="3DBE16FA">
            <wp:extent cx="807720" cy="78871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7-20 H120.JPG"/>
                    <pic:cNvPicPr/>
                  </pic:nvPicPr>
                  <pic:blipFill>
                    <a:blip r:embed="rId261">
                      <a:extLst>
                        <a:ext uri="{28A0092B-C50C-407E-A947-70E740481C1C}">
                          <a14:useLocalDpi xmlns:a14="http://schemas.microsoft.com/office/drawing/2010/main" val="0"/>
                        </a:ext>
                      </a:extLst>
                    </a:blip>
                    <a:stretch>
                      <a:fillRect/>
                    </a:stretch>
                  </pic:blipFill>
                  <pic:spPr>
                    <a:xfrm>
                      <a:off x="0" y="0"/>
                      <a:ext cx="834923" cy="815278"/>
                    </a:xfrm>
                    <a:prstGeom prst="rect">
                      <a:avLst/>
                    </a:prstGeom>
                  </pic:spPr>
                </pic:pic>
              </a:graphicData>
            </a:graphic>
          </wp:inline>
        </w:drawing>
      </w:r>
      <w:r w:rsidRPr="00EC0229">
        <w:rPr>
          <w:rFonts w:eastAsia="Times New Roman" w:cs="Times New Roman"/>
          <w:noProof/>
          <w:szCs w:val="24"/>
          <w:lang w:eastAsia="en-GB"/>
        </w:rPr>
        <w:drawing>
          <wp:inline distT="0" distB="0" distL="0" distR="0" wp14:anchorId="40844D03" wp14:editId="2E8B3DEA">
            <wp:extent cx="815340" cy="791360"/>
            <wp:effectExtent l="0" t="0" r="381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7-20 H120R.JPG"/>
                    <pic:cNvPicPr/>
                  </pic:nvPicPr>
                  <pic:blipFill>
                    <a:blip r:embed="rId262">
                      <a:extLst>
                        <a:ext uri="{28A0092B-C50C-407E-A947-70E740481C1C}">
                          <a14:useLocalDpi xmlns:a14="http://schemas.microsoft.com/office/drawing/2010/main" val="0"/>
                        </a:ext>
                      </a:extLst>
                    </a:blip>
                    <a:stretch>
                      <a:fillRect/>
                    </a:stretch>
                  </pic:blipFill>
                  <pic:spPr>
                    <a:xfrm>
                      <a:off x="0" y="0"/>
                      <a:ext cx="835522" cy="810949"/>
                    </a:xfrm>
                    <a:prstGeom prst="rect">
                      <a:avLst/>
                    </a:prstGeom>
                  </pic:spPr>
                </pic:pic>
              </a:graphicData>
            </a:graphic>
          </wp:inline>
        </w:drawing>
      </w:r>
      <w:r w:rsidRPr="00EC0229">
        <w:rPr>
          <w:rFonts w:eastAsia="Times New Roman" w:cs="Times New Roman"/>
          <w:szCs w:val="24"/>
          <w:lang w:eastAsia="en-GB"/>
        </w:rPr>
        <w:t xml:space="preserve">   </w:t>
      </w:r>
      <w:r w:rsidRPr="00EC0229">
        <w:rPr>
          <w:rFonts w:eastAsia="Times New Roman" w:cs="Times New Roman"/>
          <w:szCs w:val="24"/>
          <w:lang w:eastAsia="en-GB"/>
        </w:rPr>
        <w:tab/>
      </w:r>
      <w:r w:rsidRPr="00EC0229">
        <w:rPr>
          <w:rFonts w:eastAsia="Times New Roman" w:cs="Times New Roman"/>
          <w:noProof/>
          <w:szCs w:val="24"/>
          <w:lang w:eastAsia="en-GB"/>
        </w:rPr>
        <w:drawing>
          <wp:inline distT="0" distB="0" distL="0" distR="0" wp14:anchorId="2ED2FAF9" wp14:editId="6EF2E870">
            <wp:extent cx="815340" cy="805747"/>
            <wp:effectExtent l="0" t="0" r="381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8-920 H900.JPG"/>
                    <pic:cNvPicPr/>
                  </pic:nvPicPr>
                  <pic:blipFill>
                    <a:blip r:embed="rId263">
                      <a:extLst>
                        <a:ext uri="{28A0092B-C50C-407E-A947-70E740481C1C}">
                          <a14:useLocalDpi xmlns:a14="http://schemas.microsoft.com/office/drawing/2010/main" val="0"/>
                        </a:ext>
                      </a:extLst>
                    </a:blip>
                    <a:stretch>
                      <a:fillRect/>
                    </a:stretch>
                  </pic:blipFill>
                  <pic:spPr>
                    <a:xfrm>
                      <a:off x="0" y="0"/>
                      <a:ext cx="831758" cy="821971"/>
                    </a:xfrm>
                    <a:prstGeom prst="rect">
                      <a:avLst/>
                    </a:prstGeom>
                  </pic:spPr>
                </pic:pic>
              </a:graphicData>
            </a:graphic>
          </wp:inline>
        </w:drawing>
      </w:r>
      <w:r w:rsidRPr="00EC0229">
        <w:rPr>
          <w:rFonts w:eastAsia="Times New Roman" w:cs="Times New Roman"/>
          <w:noProof/>
          <w:szCs w:val="24"/>
          <w:lang w:eastAsia="en-GB"/>
        </w:rPr>
        <w:drawing>
          <wp:inline distT="0" distB="0" distL="0" distR="0" wp14:anchorId="77CC038D" wp14:editId="68B12398">
            <wp:extent cx="784860" cy="775626"/>
            <wp:effectExtent l="0" t="0" r="0"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8-920 H900R.JPG"/>
                    <pic:cNvPicPr/>
                  </pic:nvPicPr>
                  <pic:blipFill>
                    <a:blip r:embed="rId264">
                      <a:extLst>
                        <a:ext uri="{28A0092B-C50C-407E-A947-70E740481C1C}">
                          <a14:useLocalDpi xmlns:a14="http://schemas.microsoft.com/office/drawing/2010/main" val="0"/>
                        </a:ext>
                      </a:extLst>
                    </a:blip>
                    <a:stretch>
                      <a:fillRect/>
                    </a:stretch>
                  </pic:blipFill>
                  <pic:spPr>
                    <a:xfrm flipH="1">
                      <a:off x="0" y="0"/>
                      <a:ext cx="808729" cy="799214"/>
                    </a:xfrm>
                    <a:prstGeom prst="rect">
                      <a:avLst/>
                    </a:prstGeom>
                  </pic:spPr>
                </pic:pic>
              </a:graphicData>
            </a:graphic>
          </wp:inline>
        </w:drawing>
      </w:r>
    </w:p>
    <w:p w14:paraId="3E82EA92" w14:textId="1A48D4F6" w:rsidR="00BD53D4" w:rsidRPr="00EC0229" w:rsidRDefault="00F34EBF" w:rsidP="007600EA">
      <w:pPr>
        <w:pStyle w:val="NoSpacing"/>
        <w:spacing w:line="360" w:lineRule="auto"/>
        <w:jc w:val="center"/>
        <w:rPr>
          <w:rFonts w:eastAsia="Times New Roman" w:cs="Times New Roman"/>
          <w:sz w:val="20"/>
          <w:szCs w:val="20"/>
          <w:lang w:eastAsia="en-GB"/>
        </w:rPr>
      </w:pPr>
      <w:bookmarkStart w:id="557" w:name="_Ref430248214"/>
      <w:bookmarkStart w:id="558" w:name="_Toc46826704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75</w:t>
      </w:r>
      <w:r w:rsidRPr="00EC0229">
        <w:rPr>
          <w:sz w:val="20"/>
          <w:szCs w:val="20"/>
        </w:rPr>
        <w:fldChar w:fldCharType="end"/>
      </w:r>
      <w:bookmarkEnd w:id="557"/>
      <w:r w:rsidR="009071D2" w:rsidRPr="00EC0229">
        <w:rPr>
          <w:rFonts w:eastAsia="Times New Roman" w:cs="Times New Roman"/>
          <w:sz w:val="20"/>
          <w:szCs w:val="20"/>
          <w:lang w:eastAsia="en-GB"/>
        </w:rPr>
        <w:t xml:space="preserve">: </w:t>
      </w:r>
      <w:r w:rsidR="00BD53D4" w:rsidRPr="00EC0229">
        <w:rPr>
          <w:rFonts w:eastAsia="Times New Roman" w:cs="Times New Roman"/>
          <w:sz w:val="20"/>
          <w:szCs w:val="20"/>
          <w:lang w:eastAsia="en-GB"/>
        </w:rPr>
        <w:t>The three main types of Series</w:t>
      </w:r>
      <w:r w:rsidR="00D142DC" w:rsidRPr="00EC0229">
        <w:rPr>
          <w:rFonts w:eastAsia="Times New Roman" w:cs="Times New Roman"/>
          <w:sz w:val="20"/>
          <w:szCs w:val="20"/>
          <w:lang w:eastAsia="en-GB"/>
        </w:rPr>
        <w:fldChar w:fldCharType="begin"/>
      </w:r>
      <w:r w:rsidR="00D142DC" w:rsidRPr="00EC0229">
        <w:rPr>
          <w:sz w:val="20"/>
          <w:szCs w:val="20"/>
        </w:rPr>
        <w:instrText xml:space="preserve"> XE "Series" </w:instrText>
      </w:r>
      <w:r w:rsidR="00D142DC" w:rsidRPr="00EC0229">
        <w:rPr>
          <w:rFonts w:eastAsia="Times New Roman" w:cs="Times New Roman"/>
          <w:sz w:val="20"/>
          <w:szCs w:val="20"/>
          <w:lang w:eastAsia="en-GB"/>
        </w:rPr>
        <w:fldChar w:fldCharType="end"/>
      </w:r>
      <w:r w:rsidR="00BD53D4" w:rsidRPr="00EC0229">
        <w:rPr>
          <w:rFonts w:eastAsia="Times New Roman" w:cs="Times New Roman"/>
          <w:sz w:val="20"/>
          <w:szCs w:val="20"/>
          <w:lang w:eastAsia="en-GB"/>
        </w:rPr>
        <w:t xml:space="preserve"> H:</w:t>
      </w:r>
      <w:bookmarkEnd w:id="558"/>
    </w:p>
    <w:p w14:paraId="3F6DB66F" w14:textId="79F51EBA" w:rsidR="00BD53D4" w:rsidRPr="00EC0229" w:rsidRDefault="00BD53D4" w:rsidP="007600EA">
      <w:pPr>
        <w:spacing w:after="0" w:line="360" w:lineRule="auto"/>
        <w:jc w:val="center"/>
        <w:rPr>
          <w:rFonts w:eastAsia="Times New Roman" w:cs="Times New Roman"/>
          <w:sz w:val="19"/>
          <w:szCs w:val="19"/>
          <w:lang w:eastAsia="en-GB"/>
        </w:rPr>
      </w:pPr>
      <w:r w:rsidRPr="00EC0229">
        <w:rPr>
          <w:rFonts w:eastAsia="Times New Roman" w:cs="Times New Roman"/>
          <w:sz w:val="19"/>
          <w:szCs w:val="19"/>
          <w:lang w:eastAsia="en-GB"/>
        </w:rPr>
        <w:t xml:space="preserve">Peacock/Celtic cross (type 39, </w:t>
      </w:r>
      <w:r w:rsidRPr="00EC0229">
        <w:rPr>
          <w:rFonts w:eastAsia="Times New Roman" w:cs="Times New Roman"/>
          <w:i/>
          <w:sz w:val="19"/>
          <w:szCs w:val="19"/>
          <w:lang w:eastAsia="en-GB"/>
        </w:rPr>
        <w:t>SL</w:t>
      </w:r>
      <w:r w:rsidRPr="00EC0229">
        <w:rPr>
          <w:rFonts w:eastAsia="Times New Roman" w:cs="Times New Roman"/>
          <w:sz w:val="19"/>
          <w:szCs w:val="19"/>
          <w:lang w:eastAsia="en-GB"/>
        </w:rPr>
        <w:t xml:space="preserve">46-10). Serpents/Celtic cross (type 48, </w:t>
      </w:r>
      <w:r w:rsidRPr="00EC0229">
        <w:rPr>
          <w:rFonts w:eastAsia="Times New Roman" w:cs="Times New Roman"/>
          <w:i/>
          <w:sz w:val="19"/>
          <w:szCs w:val="19"/>
          <w:lang w:eastAsia="en-GB"/>
        </w:rPr>
        <w:t>SL</w:t>
      </w:r>
      <w:r w:rsidRPr="00EC0229">
        <w:rPr>
          <w:rFonts w:eastAsia="Times New Roman" w:cs="Times New Roman"/>
          <w:sz w:val="19"/>
          <w:szCs w:val="19"/>
          <w:lang w:eastAsia="en-GB"/>
        </w:rPr>
        <w:t>47-20).</w:t>
      </w:r>
      <w:r w:rsidR="00DE0BC8" w:rsidRPr="00EC0229">
        <w:rPr>
          <w:rFonts w:eastAsia="Times New Roman" w:cs="Times New Roman"/>
          <w:sz w:val="19"/>
          <w:szCs w:val="19"/>
          <w:lang w:eastAsia="en-GB"/>
        </w:rPr>
        <w:t xml:space="preserve"> </w:t>
      </w:r>
      <w:r w:rsidRPr="00EC0229">
        <w:rPr>
          <w:rFonts w:eastAsia="Times New Roman" w:cs="Times New Roman"/>
          <w:sz w:val="19"/>
          <w:szCs w:val="19"/>
          <w:lang w:eastAsia="en-GB"/>
        </w:rPr>
        <w:t xml:space="preserve">Face/Peacock (type 49, </w:t>
      </w:r>
      <w:r w:rsidRPr="00EC0229">
        <w:rPr>
          <w:rFonts w:eastAsia="Times New Roman" w:cs="Times New Roman"/>
          <w:i/>
          <w:sz w:val="19"/>
          <w:szCs w:val="19"/>
          <w:lang w:eastAsia="en-GB"/>
        </w:rPr>
        <w:t>SL</w:t>
      </w:r>
      <w:r w:rsidRPr="00EC0229">
        <w:rPr>
          <w:rFonts w:eastAsia="Times New Roman" w:cs="Times New Roman"/>
          <w:sz w:val="19"/>
          <w:szCs w:val="19"/>
          <w:lang w:eastAsia="en-GB"/>
        </w:rPr>
        <w:t>48)</w:t>
      </w:r>
    </w:p>
    <w:p w14:paraId="6EFCA088" w14:textId="77777777" w:rsidR="00BD53D4" w:rsidRPr="00EC0229" w:rsidRDefault="00BD53D4" w:rsidP="007600EA">
      <w:pPr>
        <w:spacing w:after="0" w:line="360" w:lineRule="auto"/>
        <w:rPr>
          <w:rFonts w:eastAsia="Times New Roman" w:cs="Times New Roman"/>
          <w:szCs w:val="24"/>
          <w:lang w:eastAsia="en-GB"/>
        </w:rPr>
      </w:pPr>
    </w:p>
    <w:p w14:paraId="6CA763EF" w14:textId="490433C3" w:rsidR="00BD53D4" w:rsidRPr="00EC0229" w:rsidRDefault="00BD53D4" w:rsidP="007600EA">
      <w:pPr>
        <w:spacing w:after="0" w:line="360" w:lineRule="auto"/>
        <w:rPr>
          <w:rFonts w:eastAsia="Times New Roman" w:cs="Times New Roman"/>
          <w:szCs w:val="24"/>
          <w:lang w:eastAsia="en-GB"/>
        </w:rPr>
      </w:pPr>
      <w:bookmarkStart w:id="559" w:name="dielongevity"/>
      <w:bookmarkEnd w:id="559"/>
      <w:r w:rsidRPr="00EC0229">
        <w:rPr>
          <w:rFonts w:eastAsia="Times New Roman" w:cs="Times New Roman"/>
          <w:szCs w:val="24"/>
          <w:lang w:eastAsia="en-GB"/>
        </w:rPr>
        <w:t>Metcalf</w:t>
      </w:r>
      <w:r w:rsidR="00F204A1" w:rsidRPr="00EC0229">
        <w:rPr>
          <w:rFonts w:eastAsia="Times New Roman" w:cs="Times New Roman"/>
          <w:szCs w:val="24"/>
          <w:lang w:eastAsia="en-GB"/>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rFonts w:eastAsia="Times New Roman" w:cs="Times New Roman"/>
          <w:szCs w:val="24"/>
          <w:lang w:eastAsia="en-GB"/>
        </w:rPr>
        <w:fldChar w:fldCharType="end"/>
      </w:r>
      <w:r w:rsidRPr="00EC0229">
        <w:rPr>
          <w:rFonts w:eastAsia="Times New Roman" w:cs="Times New Roman"/>
          <w:szCs w:val="24"/>
          <w:lang w:eastAsia="en-GB"/>
        </w:rPr>
        <w:t xml:space="preserve"> noted only five occurrences of die duplication of Series</w:t>
      </w:r>
      <w:r w:rsidR="00D142DC" w:rsidRPr="00EC0229">
        <w:rPr>
          <w:rFonts w:eastAsia="Times New Roman" w:cs="Times New Roman"/>
          <w:szCs w:val="24"/>
          <w:lang w:eastAsia="en-GB"/>
        </w:rPr>
        <w:fldChar w:fldCharType="begin"/>
      </w:r>
      <w:r w:rsidR="00D142DC" w:rsidRPr="00EC0229">
        <w:instrText xml:space="preserve"> XE "Series"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H at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from the estimated 170-260 obverse d</w:t>
      </w:r>
      <w:r w:rsidR="00617E33" w:rsidRPr="00EC0229">
        <w:rPr>
          <w:rFonts w:eastAsia="Times New Roman" w:cs="Times New Roman"/>
          <w:szCs w:val="24"/>
          <w:lang w:eastAsia="en-GB"/>
        </w:rPr>
        <w:t>ies and around 400 reverse dies,</w:t>
      </w:r>
      <w:r w:rsidRPr="00EC0229">
        <w:rPr>
          <w:rStyle w:val="FootnoteReference"/>
          <w:rFonts w:eastAsia="Times New Roman" w:cs="Times New Roman"/>
          <w:szCs w:val="24"/>
          <w:lang w:eastAsia="en-GB"/>
        </w:rPr>
        <w:footnoteReference w:id="910"/>
      </w:r>
      <w:r w:rsidRPr="00EC0229">
        <w:rPr>
          <w:rFonts w:eastAsia="Times New Roman" w:cs="Times New Roman"/>
          <w:szCs w:val="24"/>
          <w:lang w:eastAsia="en-GB"/>
        </w:rPr>
        <w:t xml:space="preserve"> </w:t>
      </w:r>
      <w:r w:rsidR="00617E33" w:rsidRPr="00EC0229">
        <w:rPr>
          <w:rFonts w:eastAsia="Times New Roman" w:cs="Times New Roman"/>
          <w:szCs w:val="24"/>
          <w:lang w:eastAsia="en-GB"/>
        </w:rPr>
        <w:t>from which he</w:t>
      </w:r>
      <w:r w:rsidRPr="00EC0229">
        <w:rPr>
          <w:rFonts w:eastAsia="Times New Roman" w:cs="Times New Roman"/>
          <w:szCs w:val="24"/>
          <w:lang w:eastAsia="en-GB"/>
        </w:rPr>
        <w:t xml:space="preserve"> projected production of five million sceats, ‘the implications for the social structure of the town deserve careful thought.’</w:t>
      </w:r>
      <w:r w:rsidRPr="00EC0229">
        <w:rPr>
          <w:rStyle w:val="FootnoteReference"/>
          <w:rFonts w:eastAsia="Times New Roman" w:cs="Times New Roman"/>
          <w:szCs w:val="24"/>
          <w:lang w:eastAsia="en-GB"/>
        </w:rPr>
        <w:footnoteReference w:id="911"/>
      </w:r>
      <w:r w:rsidRPr="00EC0229">
        <w:rPr>
          <w:rFonts w:eastAsia="Times New Roman" w:cs="Times New Roman"/>
          <w:szCs w:val="24"/>
          <w:lang w:eastAsia="en-GB"/>
        </w:rPr>
        <w:t xml:space="preserve"> This can be compared with Bude’s estimate of </w:t>
      </w:r>
      <w:r w:rsidR="002132F1">
        <w:rPr>
          <w:rFonts w:eastAsia="Times New Roman" w:cs="Times New Roman"/>
          <w:i/>
          <w:szCs w:val="24"/>
          <w:lang w:eastAsia="en-GB"/>
        </w:rPr>
        <w:t>c.</w:t>
      </w:r>
      <w:r w:rsidR="00573A79" w:rsidRPr="00EC0229">
        <w:rPr>
          <w:rFonts w:eastAsia="Times New Roman" w:cs="Times New Roman"/>
          <w:szCs w:val="24"/>
          <w:lang w:eastAsia="en-GB"/>
        </w:rPr>
        <w:t>367</w:t>
      </w:r>
      <w:r w:rsidRPr="00EC0229">
        <w:rPr>
          <w:rFonts w:eastAsia="Times New Roman" w:cs="Times New Roman"/>
          <w:szCs w:val="24"/>
          <w:lang w:eastAsia="en-GB"/>
        </w:rPr>
        <w:t xml:space="preserve"> reverse dies for Eadberht</w:t>
      </w:r>
      <w:r w:rsidR="009773B7" w:rsidRPr="00EC0229">
        <w:rPr>
          <w:rFonts w:eastAsia="Times New Roman" w:cs="Times New Roman"/>
          <w:szCs w:val="24"/>
          <w:lang w:eastAsia="en-GB"/>
        </w:rPr>
        <w:t xml:space="preserve"> [N6]</w:t>
      </w:r>
      <w:r w:rsidR="0083253D" w:rsidRPr="00EC0229">
        <w:rPr>
          <w:rFonts w:eastAsia="Times New Roman" w:cs="Times New Roman"/>
          <w:szCs w:val="24"/>
          <w:lang w:eastAsia="en-GB"/>
        </w:rPr>
        <w:t>, a substantial corpus</w:t>
      </w:r>
      <w:r w:rsidR="00276BC8" w:rsidRPr="00EC0229">
        <w:rPr>
          <w:rFonts w:eastAsia="Times New Roman" w:cs="Times New Roman"/>
          <w:szCs w:val="24"/>
          <w:lang w:eastAsia="en-GB"/>
        </w:rPr>
        <w:t>.</w:t>
      </w:r>
      <w:r w:rsidR="00D142DC" w:rsidRPr="00EC0229">
        <w:rPr>
          <w:rFonts w:eastAsia="Times New Roman" w:cs="Times New Roman"/>
          <w:szCs w:val="24"/>
          <w:lang w:eastAsia="en-GB"/>
        </w:rPr>
        <w:fldChar w:fldCharType="begin"/>
      </w:r>
      <w:r w:rsidR="00D142DC" w:rsidRPr="00EC0229">
        <w:instrText xml:space="preserve"> XE "Eadberht" </w:instrText>
      </w:r>
      <w:r w:rsidR="00D142DC" w:rsidRPr="00EC0229">
        <w:rPr>
          <w:rFonts w:eastAsia="Times New Roman" w:cs="Times New Roman"/>
          <w:szCs w:val="24"/>
          <w:lang w:eastAsia="en-GB"/>
        </w:rPr>
        <w:fldChar w:fldCharType="end"/>
      </w:r>
      <w:r w:rsidRPr="00EC0229">
        <w:rPr>
          <w:rStyle w:val="FootnoteReference"/>
          <w:rFonts w:eastAsia="Times New Roman" w:cs="Times New Roman"/>
          <w:szCs w:val="24"/>
          <w:lang w:eastAsia="en-GB"/>
        </w:rPr>
        <w:footnoteReference w:id="912"/>
      </w:r>
      <w:r w:rsidR="0083253D" w:rsidRPr="00EC0229">
        <w:rPr>
          <w:rFonts w:eastAsia="Times New Roman" w:cs="Times New Roman"/>
          <w:szCs w:val="24"/>
          <w:lang w:eastAsia="en-GB"/>
        </w:rPr>
        <w:t xml:space="preserve"> Mapping Bude’s distribution, </w:t>
      </w:r>
      <w:r w:rsidR="0083253D" w:rsidRPr="00EC0229">
        <w:rPr>
          <w:rFonts w:eastAsia="Times New Roman" w:cs="Times New Roman"/>
          <w:i/>
          <w:szCs w:val="24"/>
          <w:lang w:eastAsia="en-GB"/>
        </w:rPr>
        <w:t>Map</w:t>
      </w:r>
      <w:r w:rsidR="0083253D" w:rsidRPr="00EC0229">
        <w:rPr>
          <w:rFonts w:eastAsia="Times New Roman" w:cs="Times New Roman"/>
          <w:i/>
          <w:szCs w:val="24"/>
          <w:lang w:eastAsia="en-GB"/>
        </w:rPr>
        <w:fldChar w:fldCharType="begin"/>
      </w:r>
      <w:r w:rsidR="0083253D" w:rsidRPr="00EC0229">
        <w:instrText xml:space="preserve"> XE "</w:instrText>
      </w:r>
      <w:r w:rsidR="0083253D" w:rsidRPr="00EC0229">
        <w:rPr>
          <w:noProof/>
        </w:rPr>
        <w:instrText>Map</w:instrText>
      </w:r>
      <w:r w:rsidR="0083253D" w:rsidRPr="00EC0229">
        <w:instrText xml:space="preserve">" </w:instrText>
      </w:r>
      <w:r w:rsidR="0083253D" w:rsidRPr="00EC0229">
        <w:rPr>
          <w:rFonts w:eastAsia="Times New Roman" w:cs="Times New Roman"/>
          <w:i/>
          <w:szCs w:val="24"/>
          <w:lang w:eastAsia="en-GB"/>
        </w:rPr>
        <w:fldChar w:fldCharType="end"/>
      </w:r>
      <w:r w:rsidR="0083253D" w:rsidRPr="00EC0229">
        <w:rPr>
          <w:rFonts w:eastAsia="Times New Roman" w:cs="Times New Roman"/>
          <w:i/>
          <w:szCs w:val="24"/>
          <w:lang w:eastAsia="en-GB"/>
        </w:rPr>
        <w:t xml:space="preserve"> </w:t>
      </w:r>
      <w:r w:rsidR="004048E5" w:rsidRPr="00EC0229">
        <w:rPr>
          <w:rFonts w:eastAsia="Times New Roman" w:cs="Times New Roman"/>
          <w:i/>
          <w:szCs w:val="24"/>
          <w:lang w:eastAsia="en-GB"/>
        </w:rPr>
        <w:t>7.05</w:t>
      </w:r>
      <w:r w:rsidR="0083253D" w:rsidRPr="00EC0229">
        <w:rPr>
          <w:rFonts w:eastAsia="Times New Roman" w:cs="Times New Roman"/>
          <w:szCs w:val="24"/>
          <w:lang w:eastAsia="en-GB"/>
        </w:rPr>
        <w:t xml:space="preserve">, gives a findspot </w:t>
      </w:r>
      <w:r w:rsidRPr="00EC0229">
        <w:rPr>
          <w:rFonts w:eastAsia="Times New Roman" w:cs="Times New Roman"/>
          <w:i/>
          <w:szCs w:val="24"/>
          <w:lang w:eastAsia="en-GB"/>
        </w:rPr>
        <w:t xml:space="preserve">locus </w:t>
      </w:r>
      <w:r w:rsidRPr="00EC0229">
        <w:rPr>
          <w:rFonts w:eastAsia="Times New Roman" w:cs="Times New Roman"/>
          <w:szCs w:val="24"/>
          <w:lang w:eastAsia="en-GB"/>
        </w:rPr>
        <w:t>well east of York</w:t>
      </w:r>
      <w:r w:rsidR="0083253D" w:rsidRPr="00EC0229">
        <w:rPr>
          <w:rFonts w:eastAsia="Times New Roman" w:cs="Times New Roman"/>
          <w:szCs w:val="24"/>
          <w:lang w:eastAsia="en-GB"/>
        </w:rPr>
        <w:t>, reflecting usage not production.</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Other than the twenty-three Series H sceats constituting the Kingsland (Southampton) hoard, all eighth- and ninth-century coins unearthed at both Hamwic and 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are stray losses or single finds.</w:t>
      </w:r>
      <w:r w:rsidRPr="00EC0229">
        <w:rPr>
          <w:rStyle w:val="FootnoteReference"/>
          <w:rFonts w:eastAsia="Times New Roman" w:cs="Times New Roman"/>
          <w:szCs w:val="24"/>
          <w:lang w:eastAsia="en-GB"/>
        </w:rPr>
        <w:footnoteReference w:id="913"/>
      </w:r>
    </w:p>
    <w:p w14:paraId="6CB1C2A1" w14:textId="77777777" w:rsidR="00BD53D4" w:rsidRPr="00EC0229" w:rsidRDefault="00BD53D4" w:rsidP="007600EA">
      <w:pPr>
        <w:spacing w:after="0" w:line="360" w:lineRule="auto"/>
        <w:rPr>
          <w:rFonts w:eastAsia="Times New Roman" w:cs="Times New Roman"/>
          <w:szCs w:val="24"/>
          <w:lang w:eastAsia="en-GB"/>
        </w:rPr>
      </w:pPr>
    </w:p>
    <w:p w14:paraId="7A848F99" w14:textId="4F94FB44" w:rsidR="00BD53D4" w:rsidRPr="00EC0229" w:rsidRDefault="00BD53D4" w:rsidP="007600EA">
      <w:pPr>
        <w:spacing w:after="0" w:line="360" w:lineRule="auto"/>
        <w:rPr>
          <w:rFonts w:eastAsia="Times New Roman" w:cs="Times New Roman"/>
          <w:color w:val="FF0000"/>
          <w:szCs w:val="24"/>
          <w:lang w:eastAsia="en-GB"/>
        </w:rPr>
      </w:pPr>
      <w:r w:rsidRPr="00EC0229">
        <w:rPr>
          <w:rFonts w:eastAsia="Times New Roman" w:cs="Times New Roman"/>
          <w:szCs w:val="24"/>
          <w:lang w:eastAsia="en-GB"/>
        </w:rPr>
        <w:t>The earliest specimens at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are two Merovingian</w:t>
      </w:r>
      <w:r w:rsidR="004C29A9" w:rsidRPr="00EC0229">
        <w:rPr>
          <w:rFonts w:eastAsia="Times New Roman" w:cs="Times New Roman"/>
          <w:szCs w:val="24"/>
          <w:lang w:eastAsia="en-GB"/>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rFonts w:eastAsia="Times New Roman" w:cs="Times New Roman"/>
          <w:szCs w:val="24"/>
          <w:lang w:eastAsia="en-GB"/>
        </w:rPr>
        <w:fldChar w:fldCharType="end"/>
      </w:r>
      <w:r w:rsidRPr="00EC0229">
        <w:rPr>
          <w:rFonts w:eastAsia="Times New Roman" w:cs="Times New Roman"/>
          <w:szCs w:val="24"/>
          <w:lang w:eastAsia="en-GB"/>
        </w:rPr>
        <w:t xml:space="preserve"> coins</w:t>
      </w:r>
      <w:r w:rsidRPr="00EC0229">
        <w:rPr>
          <w:rStyle w:val="FootnoteReference"/>
          <w:rFonts w:eastAsia="Times New Roman" w:cs="Times New Roman"/>
          <w:szCs w:val="24"/>
          <w:lang w:eastAsia="en-GB"/>
        </w:rPr>
        <w:footnoteReference w:id="914"/>
      </w:r>
      <w:r w:rsidRPr="00EC0229">
        <w:rPr>
          <w:rFonts w:eastAsia="Times New Roman" w:cs="Times New Roman"/>
          <w:szCs w:val="24"/>
          <w:lang w:eastAsia="en-GB"/>
        </w:rPr>
        <w:t xml:space="preserve"> and the earliest sceat a coin of Aldfrith</w:t>
      </w:r>
      <w:r w:rsidR="009773B7" w:rsidRPr="00EC0229">
        <w:rPr>
          <w:rFonts w:eastAsia="Times New Roman" w:cs="Times New Roman"/>
          <w:szCs w:val="24"/>
          <w:lang w:eastAsia="en-GB"/>
        </w:rPr>
        <w:t xml:space="preserve"> [4a]</w:t>
      </w:r>
      <w:r w:rsidR="00D142DC" w:rsidRPr="00EC0229">
        <w:rPr>
          <w:rFonts w:eastAsia="Times New Roman" w:cs="Times New Roman"/>
          <w:szCs w:val="24"/>
          <w:lang w:eastAsia="en-GB"/>
        </w:rPr>
        <w:fldChar w:fldCharType="begin"/>
      </w:r>
      <w:r w:rsidR="00D142DC" w:rsidRPr="00EC0229">
        <w:instrText xml:space="preserve"> XE "Aldfrith"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915"/>
      </w:r>
      <w:r w:rsidRPr="00EC0229">
        <w:rPr>
          <w:rFonts w:eastAsia="Times New Roman" w:cs="Times New Roman"/>
          <w:szCs w:val="24"/>
          <w:lang w:eastAsia="en-GB"/>
        </w:rPr>
        <w:t xml:space="preserve"> In common with 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among the earliest sceats, coins of primary Series</w:t>
      </w:r>
      <w:r w:rsidR="00D142DC" w:rsidRPr="00EC0229">
        <w:rPr>
          <w:rFonts w:eastAsia="Times New Roman" w:cs="Times New Roman"/>
          <w:szCs w:val="24"/>
          <w:lang w:eastAsia="en-GB"/>
        </w:rPr>
        <w:fldChar w:fldCharType="begin"/>
      </w:r>
      <w:r w:rsidR="00D142DC" w:rsidRPr="00EC0229">
        <w:instrText xml:space="preserve"> XE "Series"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E</w:t>
      </w:r>
      <w:r w:rsidR="008344F3" w:rsidRPr="00EC0229">
        <w:rPr>
          <w:rFonts w:eastAsia="Times New Roman" w:cs="Times New Roman"/>
          <w:szCs w:val="24"/>
          <w:lang w:eastAsia="en-GB"/>
        </w:rPr>
        <w:fldChar w:fldCharType="begin"/>
      </w:r>
      <w:r w:rsidR="008344F3" w:rsidRPr="00EC0229">
        <w:instrText xml:space="preserve"> XE "Series E" </w:instrText>
      </w:r>
      <w:r w:rsidR="008344F3"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Series D</w:t>
      </w:r>
      <w:r w:rsidR="008344F3" w:rsidRPr="00EC0229">
        <w:rPr>
          <w:rFonts w:eastAsia="Times New Roman" w:cs="Times New Roman"/>
          <w:szCs w:val="24"/>
          <w:lang w:eastAsia="en-GB"/>
        </w:rPr>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rPr>
          <w:rFonts w:eastAsia="Times New Roman" w:cs="Times New Roman"/>
          <w:szCs w:val="24"/>
          <w:lang w:eastAsia="en-GB"/>
        </w:rPr>
        <w:fldChar w:fldCharType="end"/>
      </w:r>
      <w:r w:rsidRPr="00EC0229">
        <w:rPr>
          <w:rFonts w:eastAsia="Times New Roman" w:cs="Times New Roman"/>
          <w:szCs w:val="24"/>
          <w:lang w:eastAsia="en-GB"/>
        </w:rPr>
        <w:t xml:space="preserve"> </w:t>
      </w:r>
      <w:r w:rsidR="009773B7" w:rsidRPr="00EC0229">
        <w:rPr>
          <w:rFonts w:eastAsia="Times New Roman" w:cs="Times New Roman"/>
          <w:szCs w:val="24"/>
          <w:lang w:eastAsia="en-GB"/>
        </w:rPr>
        <w:t xml:space="preserve">[4c] </w:t>
      </w:r>
      <w:r w:rsidRPr="00EC0229">
        <w:rPr>
          <w:rFonts w:eastAsia="Times New Roman" w:cs="Times New Roman"/>
          <w:szCs w:val="24"/>
          <w:lang w:eastAsia="en-GB"/>
        </w:rPr>
        <w:t>are worn and corroded.</w:t>
      </w:r>
      <w:r w:rsidRPr="00EC0229">
        <w:rPr>
          <w:rStyle w:val="FootnoteReference"/>
          <w:rFonts w:eastAsia="Times New Roman" w:cs="Times New Roman"/>
          <w:szCs w:val="24"/>
          <w:lang w:eastAsia="en-GB"/>
        </w:rPr>
        <w:footnoteReference w:id="916"/>
      </w:r>
      <w:r w:rsidRPr="00EC0229">
        <w:rPr>
          <w:rFonts w:eastAsia="Times New Roman" w:cs="Times New Roman"/>
          <w:szCs w:val="24"/>
          <w:lang w:eastAsia="en-GB"/>
        </w:rPr>
        <w:t xml:space="preserve"> The Ribe types could date from the 710s. A primary Series C sceat, of the rare CZ variety, </w:t>
      </w:r>
      <w:r w:rsidR="0086428C" w:rsidRPr="00EC0229">
        <w:rPr>
          <w:rFonts w:eastAsia="Times New Roman" w:cs="Times New Roman"/>
          <w:szCs w:val="24"/>
          <w:lang w:eastAsia="en-GB"/>
        </w:rPr>
        <w:t xml:space="preserve">[4b], </w:t>
      </w:r>
      <w:r w:rsidRPr="00EC0229">
        <w:rPr>
          <w:rFonts w:eastAsia="Times New Roman" w:cs="Times New Roman"/>
          <w:szCs w:val="24"/>
          <w:lang w:eastAsia="en-GB"/>
        </w:rPr>
        <w:t>appears imitative.</w:t>
      </w:r>
      <w:r w:rsidRPr="00EC0229">
        <w:rPr>
          <w:rStyle w:val="FootnoteReference"/>
          <w:rFonts w:eastAsia="Times New Roman" w:cs="Times New Roman"/>
          <w:szCs w:val="24"/>
          <w:lang w:eastAsia="en-GB"/>
        </w:rPr>
        <w:footnoteReference w:id="917"/>
      </w:r>
      <w:r w:rsidRPr="00EC0229">
        <w:rPr>
          <w:rFonts w:eastAsia="Times New Roman" w:cs="Times New Roman"/>
          <w:szCs w:val="24"/>
          <w:lang w:eastAsia="en-GB"/>
        </w:rPr>
        <w:t xml:space="preserve"> An </w:t>
      </w:r>
      <w:r w:rsidRPr="00EC0229">
        <w:rPr>
          <w:rFonts w:eastAsia="Times New Roman" w:cs="Times New Roman"/>
          <w:i/>
          <w:szCs w:val="24"/>
          <w:lang w:eastAsia="en-GB"/>
        </w:rPr>
        <w:t xml:space="preserve">Æthiliræd </w:t>
      </w:r>
      <w:r w:rsidRPr="00EC0229">
        <w:rPr>
          <w:rFonts w:eastAsia="Times New Roman" w:cs="Times New Roman"/>
          <w:szCs w:val="24"/>
          <w:lang w:eastAsia="en-GB"/>
        </w:rPr>
        <w:t>sceat, in fresh condition may also be early in the coinage</w:t>
      </w:r>
      <w:r w:rsidR="0086428C" w:rsidRPr="00EC0229">
        <w:rPr>
          <w:rFonts w:eastAsia="Times New Roman" w:cs="Times New Roman"/>
          <w:szCs w:val="24"/>
          <w:lang w:eastAsia="en-GB"/>
        </w:rPr>
        <w:t xml:space="preserve"> [4b?]</w:t>
      </w:r>
      <w:r w:rsidRPr="00EC0229">
        <w:rPr>
          <w:rFonts w:eastAsia="Times New Roman" w:cs="Times New Roman"/>
          <w:szCs w:val="24"/>
          <w:lang w:eastAsia="en-GB"/>
        </w:rPr>
        <w:t>.</w:t>
      </w:r>
      <w:r w:rsidRPr="00EC0229">
        <w:rPr>
          <w:rStyle w:val="FootnoteReference"/>
          <w:rFonts w:eastAsia="Times New Roman" w:cs="Times New Roman"/>
          <w:szCs w:val="24"/>
          <w:lang w:eastAsia="en-GB"/>
        </w:rPr>
        <w:t xml:space="preserve"> </w:t>
      </w:r>
      <w:r w:rsidRPr="00EC0229">
        <w:rPr>
          <w:rStyle w:val="FootnoteReference"/>
          <w:rFonts w:eastAsia="Times New Roman" w:cs="Times New Roman"/>
          <w:szCs w:val="24"/>
          <w:lang w:eastAsia="en-GB"/>
        </w:rPr>
        <w:footnoteReference w:id="918"/>
      </w:r>
      <w:r w:rsidRPr="00EC0229">
        <w:rPr>
          <w:rFonts w:eastAsia="Times New Roman" w:cs="Times New Roman"/>
          <w:szCs w:val="24"/>
          <w:lang w:eastAsia="en-GB"/>
        </w:rPr>
        <w:t xml:space="preserve">  However, there is currently insufficient evidence of </w:t>
      </w:r>
      <w:r w:rsidR="003F2041" w:rsidRPr="00EC0229">
        <w:rPr>
          <w:rFonts w:eastAsia="Times New Roman" w:cs="Times New Roman"/>
          <w:szCs w:val="24"/>
          <w:lang w:eastAsia="en-GB"/>
        </w:rPr>
        <w:t>monetiz</w:t>
      </w:r>
      <w:r w:rsidRPr="00EC0229">
        <w:rPr>
          <w:rFonts w:eastAsia="Times New Roman" w:cs="Times New Roman"/>
          <w:szCs w:val="24"/>
          <w:lang w:eastAsia="en-GB"/>
        </w:rPr>
        <w:t>ation</w:t>
      </w:r>
      <w:r w:rsidR="008960AE" w:rsidRPr="00EC0229">
        <w:rPr>
          <w:rFonts w:eastAsia="Times New Roman" w:cs="Times New Roman"/>
          <w:szCs w:val="24"/>
          <w:lang w:eastAsia="en-GB"/>
        </w:rPr>
        <w:fldChar w:fldCharType="begin"/>
      </w:r>
      <w:r w:rsidR="008960AE" w:rsidRPr="00EC0229">
        <w:instrText xml:space="preserve"> XE "monetization"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in the primary sceatta</w:t>
      </w:r>
      <w:r w:rsidR="00D142DC" w:rsidRPr="00EC0229">
        <w:rPr>
          <w:rFonts w:eastAsia="Times New Roman" w:cs="Times New Roman"/>
          <w:szCs w:val="24"/>
          <w:lang w:eastAsia="en-GB"/>
        </w:rPr>
        <w:fldChar w:fldCharType="begin"/>
      </w:r>
      <w:r w:rsidR="00D142DC" w:rsidRPr="00EC0229">
        <w:instrText xml:space="preserve"> XE "sceatta"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phase. The relative chronology of </w:t>
      </w:r>
      <w:r w:rsidRPr="00EC0229">
        <w:rPr>
          <w:rFonts w:eastAsia="Times New Roman" w:cs="Times New Roman"/>
          <w:szCs w:val="24"/>
          <w:lang w:eastAsia="en-GB"/>
        </w:rPr>
        <w:lastRenderedPageBreak/>
        <w:t xml:space="preserve">the various Hamwic varieties is matricized in </w:t>
      </w:r>
      <w:r w:rsidRPr="00EC0229">
        <w:rPr>
          <w:rFonts w:eastAsia="Times New Roman" w:cs="Times New Roman"/>
          <w:i/>
          <w:szCs w:val="24"/>
          <w:lang w:eastAsia="en-GB"/>
        </w:rPr>
        <w:t>SL</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919"/>
      </w:r>
      <w:r w:rsidRPr="00EC0229">
        <w:rPr>
          <w:rFonts w:eastAsia="Times New Roman" w:cs="Times New Roman"/>
          <w:szCs w:val="24"/>
          <w:lang w:eastAsia="en-GB"/>
        </w:rPr>
        <w:t xml:space="preserve"> The ubiquitous Series J, G and R, are common to Hamwic and Fishergate,</w:t>
      </w:r>
      <w:r w:rsidRPr="00EC0229">
        <w:rPr>
          <w:rStyle w:val="FootnoteReference"/>
          <w:rFonts w:eastAsia="Times New Roman" w:cs="Times New Roman"/>
          <w:szCs w:val="24"/>
          <w:lang w:eastAsia="en-GB"/>
        </w:rPr>
        <w:footnoteReference w:id="920"/>
      </w:r>
      <w:r w:rsidRPr="00EC0229">
        <w:rPr>
          <w:rFonts w:eastAsia="Times New Roman" w:cs="Times New Roman"/>
          <w:szCs w:val="24"/>
          <w:lang w:eastAsia="en-GB"/>
        </w:rPr>
        <w:t xml:space="preserve"> otherwise</w:t>
      </w:r>
      <w:r w:rsidR="001F7377" w:rsidRPr="00EC0229">
        <w:rPr>
          <w:rFonts w:eastAsia="Times New Roman" w:cs="Times New Roman"/>
          <w:szCs w:val="24"/>
          <w:lang w:eastAsia="en-GB"/>
        </w:rPr>
        <w:t>, crucially,</w:t>
      </w:r>
      <w:r w:rsidRPr="00EC0229">
        <w:rPr>
          <w:rFonts w:eastAsia="Times New Roman" w:cs="Times New Roman"/>
          <w:szCs w:val="24"/>
          <w:lang w:eastAsia="en-GB"/>
        </w:rPr>
        <w:t xml:space="preserve"> Hamwic displays a </w:t>
      </w:r>
      <w:r w:rsidRPr="00EC0229">
        <w:rPr>
          <w:rFonts w:eastAsia="Times New Roman" w:cs="Times New Roman"/>
          <w:i/>
          <w:szCs w:val="24"/>
          <w:lang w:eastAsia="en-GB"/>
        </w:rPr>
        <w:t>far</w:t>
      </w:r>
      <w:r w:rsidRPr="00EC0229">
        <w:rPr>
          <w:rFonts w:eastAsia="Times New Roman" w:cs="Times New Roman"/>
          <w:szCs w:val="24"/>
          <w:lang w:eastAsia="en-GB"/>
        </w:rPr>
        <w:t xml:space="preserve"> greater variety of secondary types </w:t>
      </w:r>
      <w:r w:rsidR="0086428C" w:rsidRPr="00EC0229">
        <w:rPr>
          <w:rFonts w:eastAsia="Times New Roman" w:cs="Times New Roman"/>
          <w:szCs w:val="24"/>
          <w:lang w:eastAsia="en-GB"/>
        </w:rPr>
        <w:t xml:space="preserve">[5b] </w:t>
      </w:r>
      <w:r w:rsidRPr="00EC0229">
        <w:rPr>
          <w:rFonts w:eastAsia="Times New Roman" w:cs="Times New Roman"/>
          <w:szCs w:val="24"/>
          <w:lang w:eastAsia="en-GB"/>
        </w:rPr>
        <w:t xml:space="preserve">– L, M, N, O, U, V and W, demonstrating Hamwic’s full participation in the network of urban </w:t>
      </w:r>
      <w:r w:rsidR="003F2041" w:rsidRPr="00EC0229">
        <w:rPr>
          <w:rFonts w:eastAsia="Times New Roman" w:cs="Times New Roman"/>
          <w:szCs w:val="24"/>
          <w:lang w:eastAsia="en-GB"/>
        </w:rPr>
        <w:t>monetiz</w:t>
      </w:r>
      <w:r w:rsidRPr="00EC0229">
        <w:rPr>
          <w:rFonts w:eastAsia="Times New Roman" w:cs="Times New Roman"/>
          <w:szCs w:val="24"/>
          <w:lang w:eastAsia="en-GB"/>
        </w:rPr>
        <w:t>ation in the secondary phase and, as a likely consequence, permeation into the hinterland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hinterland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w:t>
      </w:r>
      <w:r w:rsidR="00617E33" w:rsidRPr="00EC0229">
        <w:rPr>
          <w:rFonts w:eastAsia="Times New Roman" w:cs="Times New Roman"/>
          <w:szCs w:val="24"/>
          <w:lang w:eastAsia="en-GB"/>
        </w:rPr>
        <w:t xml:space="preserve"> </w:t>
      </w:r>
    </w:p>
    <w:p w14:paraId="4A85DD30" w14:textId="77777777" w:rsidR="00BD53D4" w:rsidRPr="00EC0229" w:rsidRDefault="00BD53D4" w:rsidP="007600EA">
      <w:pPr>
        <w:spacing w:after="0" w:line="360" w:lineRule="auto"/>
        <w:rPr>
          <w:rFonts w:eastAsia="Times New Roman" w:cs="Times New Roman"/>
          <w:color w:val="FF0000"/>
          <w:szCs w:val="24"/>
          <w:lang w:eastAsia="en-GB"/>
        </w:rPr>
      </w:pPr>
    </w:p>
    <w:p w14:paraId="0C8356FA" w14:textId="3397F607" w:rsidR="00BD53D4" w:rsidRPr="00EC0229" w:rsidRDefault="00BD53D4"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As remarked earlier, the occurrence of imitative solidi may be indicative of an attempt at a bi-metallic domestic currency or part of a bullion</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system. At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there are three Carolingian</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Carolingian</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coins including a gold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imitative solidus</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solidus</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of Louis the Pious</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Louis the Pious</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(Andrews </w:t>
      </w:r>
      <w:r w:rsidR="00662400" w:rsidRPr="00EC0229">
        <w:rPr>
          <w:rFonts w:eastAsia="Times New Roman" w:cs="Times New Roman"/>
          <w:szCs w:val="24"/>
          <w:lang w:eastAsia="en-GB"/>
        </w:rPr>
        <w:t>no.</w:t>
      </w:r>
      <w:r w:rsidRPr="00EC0229">
        <w:rPr>
          <w:rFonts w:eastAsia="Times New Roman" w:cs="Times New Roman"/>
          <w:szCs w:val="24"/>
          <w:lang w:eastAsia="en-GB"/>
        </w:rPr>
        <w:t>148)</w:t>
      </w:r>
      <w:r w:rsidR="001F41C6" w:rsidRPr="00EC0229">
        <w:rPr>
          <w:rFonts w:eastAsia="Times New Roman" w:cs="Times New Roman"/>
          <w:szCs w:val="24"/>
          <w:lang w:eastAsia="en-GB"/>
        </w:rPr>
        <w:t xml:space="preserve"> (</w:t>
      </w:r>
      <w:r w:rsidR="001F41C6" w:rsidRPr="00EC0229">
        <w:rPr>
          <w:rFonts w:eastAsia="Times New Roman" w:cs="Times New Roman"/>
          <w:szCs w:val="24"/>
          <w:lang w:eastAsia="en-GB"/>
        </w:rPr>
        <w:fldChar w:fldCharType="begin"/>
      </w:r>
      <w:r w:rsidR="001F41C6" w:rsidRPr="00EC0229">
        <w:rPr>
          <w:rFonts w:eastAsia="Times New Roman" w:cs="Times New Roman"/>
          <w:szCs w:val="24"/>
          <w:lang w:eastAsia="en-GB"/>
        </w:rPr>
        <w:instrText xml:space="preserve"> PAGEREF LoiusthePious \h </w:instrText>
      </w:r>
      <w:r w:rsidR="001F41C6" w:rsidRPr="00EC0229">
        <w:rPr>
          <w:rFonts w:eastAsia="Times New Roman" w:cs="Times New Roman"/>
          <w:szCs w:val="24"/>
          <w:lang w:eastAsia="en-GB"/>
        </w:rPr>
      </w:r>
      <w:r w:rsidR="001F41C6" w:rsidRPr="00EC0229">
        <w:rPr>
          <w:rFonts w:eastAsia="Times New Roman" w:cs="Times New Roman"/>
          <w:szCs w:val="24"/>
          <w:lang w:eastAsia="en-GB"/>
        </w:rPr>
        <w:fldChar w:fldCharType="separate"/>
      </w:r>
      <w:r w:rsidR="0012026B">
        <w:rPr>
          <w:rFonts w:eastAsia="Times New Roman" w:cs="Times New Roman"/>
          <w:noProof/>
          <w:szCs w:val="24"/>
          <w:lang w:eastAsia="en-GB"/>
        </w:rPr>
        <w:t>303</w:t>
      </w:r>
      <w:r w:rsidR="001F41C6" w:rsidRPr="00EC0229">
        <w:rPr>
          <w:rFonts w:eastAsia="Times New Roman" w:cs="Times New Roman"/>
          <w:szCs w:val="24"/>
          <w:lang w:eastAsia="en-GB"/>
        </w:rPr>
        <w:fldChar w:fldCharType="end"/>
      </w:r>
      <w:r w:rsidR="001F41C6" w:rsidRPr="00EC0229">
        <w:rPr>
          <w:rFonts w:eastAsia="Times New Roman" w:cs="Times New Roman"/>
          <w:szCs w:val="24"/>
          <w:lang w:eastAsia="en-GB"/>
        </w:rPr>
        <w:t>)</w:t>
      </w:r>
      <w:r w:rsidRPr="00EC0229">
        <w:rPr>
          <w:rFonts w:eastAsia="Times New Roman" w:cs="Times New Roman"/>
          <w:szCs w:val="24"/>
          <w:lang w:eastAsia="en-GB"/>
        </w:rPr>
        <w:t>.</w:t>
      </w:r>
    </w:p>
    <w:p w14:paraId="1F39D3B1" w14:textId="77777777" w:rsidR="00003A6F" w:rsidRPr="00EC0229" w:rsidRDefault="00003A6F" w:rsidP="007600EA">
      <w:pPr>
        <w:spacing w:after="0" w:line="360" w:lineRule="auto"/>
        <w:rPr>
          <w:rFonts w:eastAsia="Times New Roman" w:cs="Times New Roman"/>
          <w:szCs w:val="24"/>
          <w:lang w:eastAsia="en-GB"/>
        </w:rPr>
      </w:pPr>
    </w:p>
    <w:p w14:paraId="640A07AF" w14:textId="01225E0C"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szCs w:val="24"/>
          <w:lang w:eastAsia="en-GB"/>
        </w:rPr>
        <w:t>Specific contrasts can be drawn between major emporia</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i/>
          <w:szCs w:val="24"/>
        </w:rPr>
        <w:instrText>emporia</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and 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from </w:t>
      </w:r>
      <w:r w:rsidRPr="00EC0229">
        <w:rPr>
          <w:rFonts w:eastAsia="Times New Roman" w:cs="Times New Roman"/>
          <w:i/>
          <w:szCs w:val="24"/>
          <w:lang w:eastAsia="en-GB"/>
        </w:rPr>
        <w:t>Table</w:t>
      </w:r>
      <w:r w:rsidR="00584C42" w:rsidRPr="00EC0229">
        <w:rPr>
          <w:rFonts w:eastAsia="Times New Roman" w:cs="Times New Roman"/>
          <w:i/>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i/>
          <w:szCs w:val="24"/>
          <w:lang w:eastAsia="en-GB"/>
        </w:rPr>
        <w:fldChar w:fldCharType="end"/>
      </w:r>
      <w:r w:rsidR="007C1577" w:rsidRPr="00EC0229">
        <w:rPr>
          <w:rFonts w:eastAsia="Times New Roman" w:cs="Times New Roman"/>
          <w:i/>
          <w:szCs w:val="24"/>
          <w:lang w:eastAsia="en-GB"/>
        </w:rPr>
        <w:t xml:space="preserve"> </w:t>
      </w:r>
      <w:r w:rsidR="00276BC8" w:rsidRPr="00EC0229">
        <w:rPr>
          <w:rFonts w:eastAsia="Times New Roman" w:cs="Times New Roman"/>
          <w:i/>
          <w:szCs w:val="24"/>
          <w:lang w:eastAsia="en-GB"/>
        </w:rPr>
        <w:t>8.0</w:t>
      </w:r>
      <w:r w:rsidR="005755EC" w:rsidRPr="00EC0229">
        <w:rPr>
          <w:rFonts w:eastAsia="Times New Roman" w:cs="Times New Roman"/>
          <w:i/>
          <w:szCs w:val="24"/>
          <w:lang w:eastAsia="en-GB"/>
        </w:rPr>
        <w:t>6</w:t>
      </w:r>
      <w:r w:rsidRPr="00EC0229">
        <w:rPr>
          <w:rFonts w:eastAsia="Times New Roman" w:cs="Times New Roman"/>
          <w:szCs w:val="24"/>
          <w:lang w:eastAsia="en-GB"/>
        </w:rPr>
        <w:t>. The presence of an Aldfrith</w:t>
      </w:r>
      <w:r w:rsidR="00D142DC" w:rsidRPr="00EC0229">
        <w:rPr>
          <w:rFonts w:eastAsia="Times New Roman" w:cs="Times New Roman"/>
          <w:szCs w:val="24"/>
          <w:lang w:eastAsia="en-GB"/>
        </w:rPr>
        <w:fldChar w:fldCharType="begin"/>
      </w:r>
      <w:r w:rsidR="00D142DC" w:rsidRPr="00EC0229">
        <w:instrText xml:space="preserve"> XE "Aldfrith"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sceat </w:t>
      </w:r>
      <w:r w:rsidR="00003A6F" w:rsidRPr="00EC0229">
        <w:rPr>
          <w:rFonts w:eastAsia="Times New Roman" w:cs="Times New Roman"/>
          <w:szCs w:val="24"/>
          <w:lang w:eastAsia="en-GB"/>
        </w:rPr>
        <w:t xml:space="preserve">[4a] </w:t>
      </w:r>
      <w:r w:rsidRPr="00EC0229">
        <w:rPr>
          <w:rFonts w:eastAsia="Times New Roman" w:cs="Times New Roman"/>
          <w:szCs w:val="24"/>
          <w:lang w:eastAsia="en-GB"/>
        </w:rPr>
        <w:t>at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but not at Fishergate is contrary to expectations. </w:t>
      </w:r>
      <w:r w:rsidR="00952208" w:rsidRPr="00EC0229">
        <w:rPr>
          <w:rFonts w:eastAsia="Times New Roman" w:cs="Times New Roman"/>
          <w:szCs w:val="24"/>
          <w:lang w:eastAsia="en-GB"/>
        </w:rPr>
        <w:t xml:space="preserve">In the Primary phase, at both sites, there is a paucity of domestic coinage outweighed by primary Continental sceats [4c]. </w:t>
      </w:r>
      <w:r w:rsidRPr="00EC0229">
        <w:rPr>
          <w:rFonts w:eastAsia="Times New Roman" w:cs="Times New Roman"/>
          <w:szCs w:val="24"/>
          <w:lang w:eastAsia="en-GB"/>
        </w:rPr>
        <w:t>In the secondary phase</w:t>
      </w:r>
      <w:r w:rsidR="0094620A" w:rsidRPr="00EC0229">
        <w:rPr>
          <w:rFonts w:eastAsia="Times New Roman" w:cs="Times New Roman"/>
          <w:szCs w:val="24"/>
          <w:lang w:eastAsia="en-GB"/>
        </w:rPr>
        <w:t xml:space="preserve"> [5]</w:t>
      </w:r>
      <w:r w:rsidRPr="00EC0229">
        <w:rPr>
          <w:rFonts w:eastAsia="Times New Roman" w:cs="Times New Roman"/>
          <w:szCs w:val="24"/>
          <w:lang w:eastAsia="en-GB"/>
        </w:rPr>
        <w:t xml:space="preserve">, </w:t>
      </w:r>
      <w:r w:rsidR="00952208" w:rsidRPr="00EC0229">
        <w:rPr>
          <w:rFonts w:eastAsia="Times New Roman" w:cs="Times New Roman"/>
          <w:szCs w:val="24"/>
          <w:lang w:eastAsia="en-GB"/>
        </w:rPr>
        <w:t>The proportion of local coinage at Hamwic is high, but surprisingly low at Fishergate;</w:t>
      </w:r>
      <w:r w:rsidR="00952208" w:rsidRPr="00EC0229">
        <w:rPr>
          <w:rStyle w:val="FootnoteReference"/>
          <w:rFonts w:eastAsia="Times New Roman" w:cs="Times New Roman"/>
          <w:szCs w:val="24"/>
          <w:lang w:eastAsia="en-GB"/>
        </w:rPr>
        <w:footnoteReference w:id="921"/>
      </w:r>
      <w:r w:rsidR="00952208" w:rsidRPr="00EC0229">
        <w:rPr>
          <w:rFonts w:eastAsia="Times New Roman" w:cs="Times New Roman"/>
          <w:szCs w:val="24"/>
          <w:lang w:eastAsia="en-GB"/>
        </w:rPr>
        <w:t xml:space="preserve"> </w:t>
      </w:r>
      <w:r w:rsidRPr="00EC0229">
        <w:rPr>
          <w:rFonts w:eastAsia="Times New Roman" w:cs="Times New Roman"/>
          <w:szCs w:val="24"/>
          <w:lang w:eastAsia="en-GB"/>
        </w:rPr>
        <w:t>growth of local currency is greater than imported coinage</w:t>
      </w:r>
      <w:r w:rsidR="00003A6F" w:rsidRPr="00EC0229">
        <w:rPr>
          <w:rFonts w:eastAsia="Times New Roman" w:cs="Times New Roman"/>
          <w:szCs w:val="24"/>
          <w:lang w:eastAsia="en-GB"/>
        </w:rPr>
        <w:t xml:space="preserve"> [5c]</w:t>
      </w:r>
      <w:r w:rsidRPr="00EC0229">
        <w:rPr>
          <w:rFonts w:eastAsia="Times New Roman" w:cs="Times New Roman"/>
          <w:szCs w:val="24"/>
          <w:lang w:eastAsia="en-GB"/>
        </w:rPr>
        <w:t>, perhaps demonstrating at Hamwic that more produce was being sold into the local economy</w:t>
      </w:r>
      <w:r w:rsidR="00584C42" w:rsidRPr="00EC0229">
        <w:rPr>
          <w:rFonts w:eastAsia="Times New Roman" w:cs="Times New Roman"/>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rFonts w:eastAsia="Times New Roman" w:cs="Times New Roman"/>
          <w:szCs w:val="24"/>
          <w:lang w:eastAsia="en-GB"/>
        </w:rPr>
        <w:fldChar w:fldCharType="end"/>
      </w:r>
      <w:r w:rsidRPr="00EC0229">
        <w:rPr>
          <w:rFonts w:eastAsia="Times New Roman" w:cs="Times New Roman"/>
          <w:szCs w:val="24"/>
          <w:lang w:eastAsia="en-GB"/>
        </w:rPr>
        <w:t xml:space="preserve"> even if Frisia and Ribe are well represented. At Fishergate, the numbers are too small to support speculative interpretations but the absence of sceats from Ribe, when they occur in numbers at Hamwic, again indicates that Fishergate is </w:t>
      </w:r>
      <w:r w:rsidR="00307465" w:rsidRPr="00EC0229">
        <w:rPr>
          <w:rFonts w:eastAsia="Times New Roman" w:cs="Times New Roman"/>
          <w:szCs w:val="24"/>
          <w:lang w:eastAsia="en-GB"/>
        </w:rPr>
        <w:t xml:space="preserve">not </w:t>
      </w:r>
      <w:r w:rsidRPr="00EC0229">
        <w:rPr>
          <w:rFonts w:eastAsia="Times New Roman" w:cs="Times New Roman"/>
          <w:szCs w:val="24"/>
          <w:lang w:eastAsia="en-GB"/>
        </w:rPr>
        <w:t xml:space="preserve">functioning </w:t>
      </w:r>
      <w:r w:rsidR="00307465" w:rsidRPr="00EC0229">
        <w:rPr>
          <w:rFonts w:eastAsia="Times New Roman" w:cs="Times New Roman"/>
          <w:szCs w:val="24"/>
          <w:lang w:eastAsia="en-GB"/>
        </w:rPr>
        <w:t xml:space="preserve">freely </w:t>
      </w:r>
      <w:r w:rsidRPr="00EC0229">
        <w:rPr>
          <w:rFonts w:eastAsia="Times New Roman" w:cs="Times New Roman"/>
          <w:szCs w:val="24"/>
          <w:lang w:eastAsia="en-GB"/>
        </w:rPr>
        <w:t xml:space="preserve">as a </w:t>
      </w:r>
      <w:r w:rsidRPr="00EC0229">
        <w:rPr>
          <w:rFonts w:eastAsia="Times New Roman" w:cs="Times New Roman"/>
          <w:i/>
          <w:szCs w:val="24"/>
          <w:lang w:eastAsia="en-GB"/>
        </w:rPr>
        <w:t>wic</w:t>
      </w:r>
      <w:r w:rsidR="00D142DC" w:rsidRPr="00EC0229">
        <w:rPr>
          <w:rFonts w:eastAsia="Times New Roman" w:cs="Times New Roman"/>
          <w:i/>
          <w:szCs w:val="24"/>
          <w:lang w:eastAsia="en-GB"/>
        </w:rPr>
        <w:fldChar w:fldCharType="begin"/>
      </w:r>
      <w:r w:rsidR="00D142DC" w:rsidRPr="00EC0229">
        <w:instrText xml:space="preserve"> XE "wic" </w:instrText>
      </w:r>
      <w:r w:rsidR="00D142DC" w:rsidRPr="00EC0229">
        <w:rPr>
          <w:rFonts w:eastAsia="Times New Roman" w:cs="Times New Roman"/>
          <w:i/>
          <w:szCs w:val="24"/>
          <w:lang w:eastAsia="en-GB"/>
        </w:rPr>
        <w:fldChar w:fldCharType="end"/>
      </w:r>
      <w:r w:rsidRPr="00EC0229">
        <w:rPr>
          <w:rFonts w:eastAsia="Times New Roman" w:cs="Times New Roman"/>
          <w:szCs w:val="24"/>
          <w:lang w:eastAsia="en-GB"/>
        </w:rPr>
        <w:t>.</w:t>
      </w:r>
      <w:r w:rsidR="00952208" w:rsidRPr="00EC0229">
        <w:rPr>
          <w:rFonts w:eastAsia="Times New Roman" w:cs="Times New Roman"/>
          <w:szCs w:val="24"/>
          <w:lang w:eastAsia="en-GB"/>
        </w:rPr>
        <w:t xml:space="preserve"> This implies that Fishergate is distanced, organisationally more than geographically, from the economic hub of York</w:t>
      </w:r>
      <w:r w:rsidR="00952208" w:rsidRPr="00EC0229">
        <w:rPr>
          <w:rFonts w:eastAsia="Times New Roman" w:cs="Times New Roman"/>
          <w:szCs w:val="24"/>
          <w:lang w:eastAsia="en-GB"/>
        </w:rPr>
        <w:fldChar w:fldCharType="begin"/>
      </w:r>
      <w:r w:rsidR="00952208" w:rsidRPr="00EC0229">
        <w:instrText xml:space="preserve"> XE "</w:instrText>
      </w:r>
      <w:r w:rsidR="00952208" w:rsidRPr="00EC0229">
        <w:rPr>
          <w:rStyle w:val="Hyperlink"/>
          <w:noProof/>
          <w:u w:val="none"/>
        </w:rPr>
        <w:instrText>York</w:instrText>
      </w:r>
      <w:r w:rsidR="00952208" w:rsidRPr="00EC0229">
        <w:instrText xml:space="preserve">" </w:instrText>
      </w:r>
      <w:r w:rsidR="00952208" w:rsidRPr="00EC0229">
        <w:rPr>
          <w:rFonts w:eastAsia="Times New Roman" w:cs="Times New Roman"/>
          <w:szCs w:val="24"/>
          <w:lang w:eastAsia="en-GB"/>
        </w:rPr>
        <w:fldChar w:fldCharType="end"/>
      </w:r>
      <w:r w:rsidR="00952208" w:rsidRPr="00EC0229">
        <w:rPr>
          <w:rFonts w:eastAsia="Times New Roman" w:cs="Times New Roman"/>
          <w:szCs w:val="24"/>
          <w:lang w:eastAsia="en-GB"/>
        </w:rPr>
        <w:t>.</w:t>
      </w:r>
    </w:p>
    <w:p w14:paraId="6FD5A049" w14:textId="0E220CA9" w:rsidR="00BD53D4" w:rsidRPr="00EC0229" w:rsidRDefault="00BD53D4" w:rsidP="007600EA">
      <w:pPr>
        <w:spacing w:after="0" w:line="360" w:lineRule="auto"/>
        <w:rPr>
          <w:rFonts w:eastAsia="Times New Roman" w:cs="Times New Roman"/>
          <w:sz w:val="20"/>
          <w:szCs w:val="20"/>
          <w:lang w:eastAsia="en-GB"/>
        </w:rPr>
      </w:pPr>
    </w:p>
    <w:p w14:paraId="256475AF" w14:textId="28E0340E" w:rsidR="00633774" w:rsidRPr="00EC0229" w:rsidRDefault="00633774" w:rsidP="007600EA">
      <w:pPr>
        <w:pStyle w:val="NoSpacing"/>
        <w:spacing w:line="360" w:lineRule="auto"/>
        <w:rPr>
          <w:rFonts w:eastAsia="Times New Roman" w:cs="Times New Roman"/>
          <w:szCs w:val="24"/>
          <w:lang w:eastAsia="en-GB"/>
        </w:rPr>
      </w:pPr>
      <w:r w:rsidRPr="00EC0229">
        <w:t>Andrews discussed the chronology of the pottery finds at Hamwic.</w:t>
      </w:r>
      <w:r w:rsidRPr="00EC0229">
        <w:rPr>
          <w:rStyle w:val="FootnoteReference"/>
        </w:rPr>
        <w:footnoteReference w:id="922"/>
      </w:r>
      <w:r w:rsidRPr="00EC0229">
        <w:t xml:space="preserve"> However, the absolute chronology is indistinct due to difficulties of dating discard and conservatism in design, even in imported wares. As regards distribution,</w:t>
      </w:r>
      <w:r w:rsidRPr="00EC0229">
        <w:rPr>
          <w:rStyle w:val="FootnoteReference"/>
        </w:rPr>
        <w:footnoteReference w:id="923"/>
      </w:r>
      <w:r w:rsidRPr="00EC0229">
        <w:t xml:space="preserve"> there is a hint that earlier deposits contain a higher number of imported vessels – perhaps foreign traders brought these to the waterfront. This type of economic activity is likely to accelerate growth. The imported pottery occurred mainly in periods 3a and 3b, which correlates with finds of sceats. Analysis of black burnished </w:t>
      </w:r>
      <w:r w:rsidRPr="00EC0229">
        <w:lastRenderedPageBreak/>
        <w:t xml:space="preserve">wares </w:t>
      </w:r>
      <w:r w:rsidR="00AC1273" w:rsidRPr="00EC0229">
        <w:t xml:space="preserve">at </w:t>
      </w:r>
      <w:r w:rsidRPr="00EC0229">
        <w:t>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and Ipswich </w:t>
      </w:r>
      <w:r w:rsidR="00AC1273" w:rsidRPr="00EC0229">
        <w:t xml:space="preserve">indicates that they </w:t>
      </w:r>
      <w:r w:rsidRPr="00EC0229">
        <w:t>received the same material as was passing through Quentovic.</w:t>
      </w:r>
      <w:r w:rsidRPr="00EC0229">
        <w:rPr>
          <w:rStyle w:val="FootnoteReference"/>
        </w:rPr>
        <w:footnoteReference w:id="924"/>
      </w:r>
    </w:p>
    <w:p w14:paraId="16419E65" w14:textId="77777777" w:rsidR="00633774" w:rsidRPr="00EC0229" w:rsidRDefault="00633774" w:rsidP="007600EA">
      <w:pPr>
        <w:spacing w:after="0" w:line="360" w:lineRule="auto"/>
        <w:rPr>
          <w:rFonts w:eastAsia="Times New Roman" w:cs="Times New Roman"/>
          <w:sz w:val="20"/>
          <w:szCs w:val="20"/>
          <w:lang w:eastAsia="en-GB"/>
        </w:rPr>
      </w:pPr>
    </w:p>
    <w:p w14:paraId="7172F6F2" w14:textId="64977652" w:rsidR="00BD53D4" w:rsidRPr="00EC0229" w:rsidRDefault="00BD53D4" w:rsidP="007600EA">
      <w:pPr>
        <w:spacing w:after="0" w:line="360" w:lineRule="auto"/>
        <w:rPr>
          <w:rFonts w:eastAsia="Times New Roman" w:cs="Times New Roman"/>
          <w:szCs w:val="24"/>
          <w:lang w:eastAsia="en-GB"/>
        </w:rPr>
      </w:pPr>
      <w:r w:rsidRPr="00EC0229">
        <w:rPr>
          <w:rFonts w:eastAsia="Times New Roman" w:cs="Times New Roman"/>
          <w:szCs w:val="24"/>
          <w:lang w:eastAsia="en-GB"/>
        </w:rPr>
        <w:t>Given that the Hamwic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excavations is many times larger than that at 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the volume of finds is not </w:t>
      </w:r>
      <w:r w:rsidR="00B759B9" w:rsidRPr="00EC0229">
        <w:rPr>
          <w:rFonts w:eastAsia="Times New Roman" w:cs="Times New Roman"/>
          <w:szCs w:val="24"/>
          <w:lang w:eastAsia="en-GB"/>
        </w:rPr>
        <w:t xml:space="preserve">grossly </w:t>
      </w:r>
      <w:r w:rsidRPr="00EC0229">
        <w:rPr>
          <w:rFonts w:eastAsia="Times New Roman" w:cs="Times New Roman"/>
          <w:szCs w:val="24"/>
          <w:lang w:eastAsia="en-GB"/>
        </w:rPr>
        <w:t>disproportionate, but of more significance is the rich mix of coins at Hamwic, including several exotic species, in contrast to the limited number and diversity at Fishergate.</w:t>
      </w:r>
      <w:r w:rsidRPr="00EC0229">
        <w:rPr>
          <w:rStyle w:val="FootnoteReference"/>
          <w:rFonts w:eastAsia="Times New Roman" w:cs="Times New Roman"/>
          <w:szCs w:val="24"/>
          <w:lang w:eastAsia="en-GB"/>
        </w:rPr>
        <w:footnoteReference w:id="925"/>
      </w:r>
      <w:r w:rsidRPr="00EC0229">
        <w:rPr>
          <w:rFonts w:eastAsia="Times New Roman" w:cs="Times New Roman"/>
          <w:szCs w:val="24"/>
          <w:lang w:eastAsia="en-GB"/>
        </w:rPr>
        <w:t xml:space="preserve"> Indeed, the lack of variety at the latter contrasts with the abundant array of both the hinterland</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cs="Times New Roman"/>
          <w:szCs w:val="24"/>
        </w:rPr>
        <w:instrText>hinterland</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produce and incoming trade.</w:t>
      </w:r>
      <w:r w:rsidR="001C4437" w:rsidRPr="00EC0229">
        <w:rPr>
          <w:rStyle w:val="FootnoteReference"/>
          <w:rFonts w:eastAsia="Times New Roman" w:cs="Times New Roman"/>
          <w:szCs w:val="24"/>
          <w:lang w:eastAsia="en-GB"/>
        </w:rPr>
        <w:footnoteReference w:id="926"/>
      </w:r>
      <w:r w:rsidRPr="00EC0229">
        <w:rPr>
          <w:rFonts w:eastAsia="Times New Roman" w:cs="Times New Roman"/>
          <w:szCs w:val="24"/>
          <w:lang w:eastAsia="en-GB"/>
        </w:rPr>
        <w:t xml:space="preserve"> Perhaps the causal factor is the motivation of the controlling authority. Fishergate</w:t>
      </w:r>
      <w:r w:rsidR="00CB7019" w:rsidRPr="00EC0229">
        <w:rPr>
          <w:rFonts w:eastAsia="Times New Roman" w:cs="Times New Roman"/>
          <w:szCs w:val="24"/>
          <w:lang w:eastAsia="en-GB"/>
        </w:rPr>
        <w:t xml:space="preserve"> may be oppressed by an austere, presumably </w:t>
      </w:r>
      <w:r w:rsidRPr="00EC0229">
        <w:rPr>
          <w:rFonts w:eastAsia="Times New Roman" w:cs="Times New Roman"/>
          <w:szCs w:val="24"/>
          <w:lang w:eastAsia="en-GB"/>
        </w:rPr>
        <w:t>ecclesiastical</w:t>
      </w:r>
      <w:r w:rsidR="00CB7019" w:rsidRPr="00EC0229">
        <w:rPr>
          <w:rFonts w:eastAsia="Times New Roman" w:cs="Times New Roman"/>
          <w:szCs w:val="24"/>
          <w:lang w:eastAsia="en-GB"/>
        </w:rPr>
        <w:t>,</w:t>
      </w:r>
      <w:r w:rsidRPr="00EC0229">
        <w:rPr>
          <w:rFonts w:eastAsia="Times New Roman" w:cs="Times New Roman"/>
          <w:szCs w:val="24"/>
          <w:lang w:eastAsia="en-GB"/>
        </w:rPr>
        <w:t xml:space="preserve"> authority with little interest in exploiting economic resources; there is no evidence of such restrictive behaviour at Hamwic,</w:t>
      </w:r>
      <w:r w:rsidRPr="00EC0229">
        <w:rPr>
          <w:rStyle w:val="FootnoteReference"/>
          <w:rFonts w:eastAsia="Times New Roman" w:cs="Times New Roman"/>
          <w:szCs w:val="24"/>
          <w:lang w:eastAsia="en-GB"/>
        </w:rPr>
        <w:footnoteReference w:id="927"/>
      </w:r>
      <w:r w:rsidRPr="00EC0229">
        <w:rPr>
          <w:rFonts w:eastAsia="Times New Roman" w:cs="Times New Roman"/>
          <w:szCs w:val="24"/>
          <w:lang w:eastAsia="en-GB"/>
        </w:rPr>
        <w:t xml:space="preserve"> on the contrary, it is likely that a regal power wished to enhance its wealth by participating in broadly based domestic and Continental trade, though </w:t>
      </w:r>
      <w:r w:rsidR="00632883" w:rsidRPr="00EC0229">
        <w:rPr>
          <w:rFonts w:eastAsia="Times New Roman" w:cs="Times New Roman"/>
          <w:szCs w:val="24"/>
          <w:lang w:eastAsia="en-GB"/>
        </w:rPr>
        <w:t>this should not be</w:t>
      </w:r>
      <w:r w:rsidRPr="00EC0229">
        <w:rPr>
          <w:rFonts w:eastAsia="Times New Roman" w:cs="Times New Roman"/>
          <w:szCs w:val="24"/>
          <w:lang w:eastAsia="en-GB"/>
        </w:rPr>
        <w:t xml:space="preserve"> </w:t>
      </w:r>
      <w:r w:rsidR="001563FD" w:rsidRPr="00EC0229">
        <w:rPr>
          <w:rFonts w:eastAsia="Times New Roman" w:cs="Times New Roman"/>
          <w:szCs w:val="24"/>
          <w:lang w:eastAsia="en-GB"/>
        </w:rPr>
        <w:t>interpret</w:t>
      </w:r>
      <w:r w:rsidR="00632883" w:rsidRPr="00EC0229">
        <w:rPr>
          <w:rFonts w:eastAsia="Times New Roman" w:cs="Times New Roman"/>
          <w:szCs w:val="24"/>
          <w:lang w:eastAsia="en-GB"/>
        </w:rPr>
        <w:t>ed</w:t>
      </w:r>
      <w:r w:rsidRPr="00EC0229">
        <w:rPr>
          <w:rFonts w:eastAsia="Times New Roman" w:cs="Times New Roman"/>
          <w:szCs w:val="24"/>
          <w:lang w:eastAsia="en-GB"/>
        </w:rPr>
        <w:t xml:space="preserve"> </w:t>
      </w:r>
      <w:r w:rsidR="001563FD" w:rsidRPr="00EC0229">
        <w:rPr>
          <w:rFonts w:eastAsia="Times New Roman" w:cs="Times New Roman"/>
          <w:szCs w:val="24"/>
          <w:lang w:eastAsia="en-GB"/>
        </w:rPr>
        <w:t xml:space="preserve">in terms of a </w:t>
      </w:r>
      <w:r w:rsidRPr="00EC0229">
        <w:rPr>
          <w:rFonts w:eastAsia="Times New Roman" w:cs="Times New Roman"/>
          <w:szCs w:val="24"/>
          <w:lang w:eastAsia="en-GB"/>
        </w:rPr>
        <w:t xml:space="preserve">substantivist </w:t>
      </w:r>
      <w:r w:rsidR="001563FD" w:rsidRPr="00EC0229">
        <w:rPr>
          <w:rFonts w:eastAsia="Times New Roman" w:cs="Times New Roman"/>
          <w:szCs w:val="24"/>
          <w:lang w:eastAsia="en-GB"/>
        </w:rPr>
        <w:t>York</w:t>
      </w:r>
      <w:r w:rsidR="001563FD" w:rsidRPr="00EC0229">
        <w:rPr>
          <w:rFonts w:eastAsia="Times New Roman" w:cs="Times New Roman"/>
          <w:szCs w:val="24"/>
          <w:lang w:eastAsia="en-GB"/>
        </w:rPr>
        <w:fldChar w:fldCharType="begin"/>
      </w:r>
      <w:r w:rsidR="001563FD" w:rsidRPr="00EC0229">
        <w:instrText xml:space="preserve"> XE "</w:instrText>
      </w:r>
      <w:r w:rsidR="001563FD" w:rsidRPr="00EC0229">
        <w:rPr>
          <w:rStyle w:val="Hyperlink"/>
          <w:noProof/>
          <w:u w:val="none"/>
        </w:rPr>
        <w:instrText>York</w:instrText>
      </w:r>
      <w:r w:rsidR="001563FD" w:rsidRPr="00EC0229">
        <w:instrText xml:space="preserve">" </w:instrText>
      </w:r>
      <w:r w:rsidR="001563FD" w:rsidRPr="00EC0229">
        <w:rPr>
          <w:rFonts w:eastAsia="Times New Roman" w:cs="Times New Roman"/>
          <w:szCs w:val="24"/>
          <w:lang w:eastAsia="en-GB"/>
        </w:rPr>
        <w:fldChar w:fldCharType="end"/>
      </w:r>
      <w:r w:rsidR="001563FD" w:rsidRPr="00EC0229">
        <w:rPr>
          <w:rFonts w:eastAsia="Times New Roman" w:cs="Times New Roman"/>
          <w:szCs w:val="24"/>
          <w:lang w:eastAsia="en-GB"/>
        </w:rPr>
        <w:t xml:space="preserve"> </w:t>
      </w:r>
      <w:r w:rsidRPr="00EC0229">
        <w:rPr>
          <w:rFonts w:eastAsia="Times New Roman" w:cs="Times New Roman"/>
          <w:szCs w:val="24"/>
          <w:lang w:eastAsia="en-GB"/>
        </w:rPr>
        <w:t xml:space="preserve">and </w:t>
      </w:r>
      <w:r w:rsidR="001563FD" w:rsidRPr="00EC0229">
        <w:rPr>
          <w:rFonts w:eastAsia="Times New Roman" w:cs="Times New Roman"/>
          <w:szCs w:val="24"/>
          <w:lang w:eastAsia="en-GB"/>
        </w:rPr>
        <w:t xml:space="preserve">formalist </w:t>
      </w:r>
      <w:r w:rsidRPr="00EC0229">
        <w:rPr>
          <w:rFonts w:eastAsia="Times New Roman" w:cs="Times New Roman"/>
          <w:szCs w:val="24"/>
          <w:lang w:eastAsia="en-GB"/>
        </w:rPr>
        <w:t xml:space="preserve">Hamwic - York’s cultural strength grew from territorial affluence as much as transcendental conviction. </w:t>
      </w:r>
    </w:p>
    <w:p w14:paraId="62788771" w14:textId="77777777" w:rsidR="00BD53D4" w:rsidRPr="00EC0229" w:rsidRDefault="00BD53D4" w:rsidP="007600EA">
      <w:pPr>
        <w:pStyle w:val="NoSpacing"/>
        <w:spacing w:line="360" w:lineRule="auto"/>
        <w:rPr>
          <w:lang w:eastAsia="en-GB"/>
        </w:rPr>
      </w:pPr>
    </w:p>
    <w:p w14:paraId="7C6B8C07" w14:textId="08CEDA78" w:rsidR="00BD53D4" w:rsidRPr="00EC0229" w:rsidRDefault="00633E12" w:rsidP="007600EA">
      <w:pPr>
        <w:pStyle w:val="NoSpacing"/>
        <w:spacing w:line="360" w:lineRule="auto"/>
      </w:pPr>
      <w:r w:rsidRPr="00EC0229">
        <w:t xml:space="preserve">Of the other prolific sites </w:t>
      </w:r>
      <w:r w:rsidR="008960AE" w:rsidRPr="00EC0229">
        <w:fldChar w:fldCharType="begin"/>
      </w:r>
      <w:r w:rsidR="008960AE" w:rsidRPr="00EC0229">
        <w:instrText xml:space="preserve"> XE "</w:instrText>
      </w:r>
      <w:r w:rsidR="008960AE" w:rsidRPr="00EC0229">
        <w:rPr>
          <w:rFonts w:cs="Times New Roman"/>
          <w:i/>
          <w:szCs w:val="24"/>
        </w:rPr>
        <w:instrText>emporia</w:instrText>
      </w:r>
      <w:r w:rsidR="008960AE" w:rsidRPr="00EC0229">
        <w:instrText xml:space="preserve">" </w:instrText>
      </w:r>
      <w:r w:rsidR="008960AE" w:rsidRPr="00EC0229">
        <w:fldChar w:fldCharType="end"/>
      </w:r>
      <w:r w:rsidR="00BD53D4" w:rsidRPr="00EC0229">
        <w:t xml:space="preserve">included in </w:t>
      </w:r>
      <w:r w:rsidR="00BD53D4"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313400" w:rsidRPr="00EC0229">
        <w:rPr>
          <w:i/>
        </w:rPr>
        <w:t xml:space="preserve"> </w:t>
      </w:r>
      <w:r w:rsidR="00276BC8" w:rsidRPr="00EC0229">
        <w:rPr>
          <w:i/>
        </w:rPr>
        <w:t>8.0</w:t>
      </w:r>
      <w:r w:rsidR="005755EC" w:rsidRPr="00EC0229">
        <w:rPr>
          <w:i/>
        </w:rPr>
        <w:t>6</w:t>
      </w:r>
      <w:r w:rsidR="00BD53D4" w:rsidRPr="00EC0229">
        <w:t xml:space="preserve">, </w:t>
      </w:r>
      <w:r w:rsidRPr="00EC0229">
        <w:rPr>
          <w:lang w:eastAsia="en-GB"/>
        </w:rPr>
        <w:t>the array at Rendlesham with its distinctly early start for Anglo-Saxon</w:t>
      </w:r>
      <w:r w:rsidRPr="00EC0229">
        <w:rPr>
          <w:lang w:eastAsia="en-GB"/>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lang w:eastAsia="en-GB"/>
        </w:rPr>
        <w:fldChar w:fldCharType="end"/>
      </w:r>
      <w:r w:rsidRPr="00EC0229">
        <w:rPr>
          <w:lang w:eastAsia="en-GB"/>
        </w:rPr>
        <w:t xml:space="preserve"> activity, resembles that at Coddenham, and the conclusion, that this is an area far richer and more long-lived economically than Northumbria</w:t>
      </w:r>
      <w:r w:rsidRPr="00EC0229">
        <w:rPr>
          <w:lang w:eastAsia="en-GB"/>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lang w:eastAsia="en-GB"/>
        </w:rPr>
        <w:fldChar w:fldCharType="end"/>
      </w:r>
      <w:r w:rsidRPr="00EC0229">
        <w:rPr>
          <w:lang w:eastAsia="en-GB"/>
        </w:rPr>
        <w:t xml:space="preserve">, is reinforced. </w:t>
      </w:r>
      <w:r w:rsidR="00BD53D4" w:rsidRPr="00EC0229">
        <w:t>Heckington</w:t>
      </w:r>
      <w:r w:rsidR="00234E02" w:rsidRPr="00EC0229">
        <w:rPr>
          <w:rStyle w:val="FootnoteReference"/>
          <w:rFonts w:eastAsia="Times New Roman" w:cs="Times New Roman"/>
          <w:color w:val="000000" w:themeColor="text1"/>
          <w:szCs w:val="24"/>
          <w:lang w:eastAsia="en-GB"/>
        </w:rPr>
        <w:footnoteReference w:id="928"/>
      </w:r>
      <w:r w:rsidR="00234E02" w:rsidRPr="00EC0229">
        <w:t xml:space="preserve"> </w:t>
      </w:r>
      <w:r w:rsidR="00BD53D4" w:rsidRPr="00EC0229">
        <w:t>is active in local and overseas trade throughout the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00BD53D4" w:rsidRPr="00EC0229">
        <w:t xml:space="preserve"> and silver phases, </w:t>
      </w:r>
      <w:r w:rsidRPr="00EC0229">
        <w:t>and the mix is similar to</w:t>
      </w:r>
      <w:r w:rsidR="00BD53D4" w:rsidRPr="00EC0229">
        <w:t xml:space="preserve"> </w:t>
      </w:r>
      <w:r w:rsidRPr="00EC0229">
        <w:t>th</w:t>
      </w:r>
      <w:r w:rsidR="00BD53D4" w:rsidRPr="00EC0229">
        <w:t>at Rendlesham except that Heckington does not have its own local coinage and lacks those of Hamwic</w:t>
      </w:r>
      <w:r w:rsidR="006B1593" w:rsidRPr="00EC0229">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fldChar w:fldCharType="end"/>
      </w:r>
      <w:r w:rsidR="00BD53D4" w:rsidRPr="00EC0229">
        <w:t>, Ipswich</w:t>
      </w:r>
      <w:r w:rsidR="00BD53D4" w:rsidRPr="00EC0229">
        <w:rPr>
          <w:rStyle w:val="FootnoteReference"/>
        </w:rPr>
        <w:footnoteReference w:id="929"/>
      </w:r>
      <w:r w:rsidR="00BD53D4" w:rsidRPr="00EC0229">
        <w:t xml:space="preserve"> and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005E392F" w:rsidRPr="00EC0229">
        <w:t>. Heckington</w:t>
      </w:r>
      <w:r w:rsidR="00BD53D4" w:rsidRPr="00EC0229">
        <w:t xml:space="preserve"> is more diverse </w:t>
      </w:r>
      <w:r w:rsidR="005E392F" w:rsidRPr="00EC0229">
        <w:t xml:space="preserve">than Fishergate throughout; and </w:t>
      </w:r>
      <w:r w:rsidR="00BD53D4" w:rsidRPr="00EC0229">
        <w:t xml:space="preserve">in the Primary phase </w:t>
      </w:r>
      <w:r w:rsidR="005E392F" w:rsidRPr="00EC0229">
        <w:t xml:space="preserve">more diverse </w:t>
      </w:r>
      <w:r w:rsidR="00BD53D4" w:rsidRPr="00EC0229">
        <w:t>than Hamwic, but less so later. Royston had wide domestic and overseas trading relationships but an absence of local control, i.e. there is little recyclin</w:t>
      </w:r>
      <w:r w:rsidR="00AA4054" w:rsidRPr="00EC0229">
        <w:t>g, probably because there is no</w:t>
      </w:r>
      <w:r w:rsidR="00BD53D4" w:rsidRPr="00EC0229">
        <w:t xml:space="preserve"> specific emission associated with this area. </w:t>
      </w:r>
      <w:r w:rsidR="00AA4054" w:rsidRPr="00EC0229">
        <w:rPr>
          <w:rFonts w:eastAsia="Times New Roman" w:cs="Times New Roman"/>
          <w:color w:val="000000" w:themeColor="text1"/>
          <w:szCs w:val="24"/>
          <w:lang w:eastAsia="en-GB"/>
        </w:rPr>
        <w:t>T</w:t>
      </w:r>
      <w:r w:rsidR="00AA4054" w:rsidRPr="00EC0229">
        <w:rPr>
          <w:rFonts w:eastAsia="Times New Roman" w:cs="Times New Roman"/>
          <w:szCs w:val="24"/>
          <w:lang w:eastAsia="en-GB"/>
        </w:rPr>
        <w:t xml:space="preserve">here is no clear export product at Fishergate comparable with the pottery export of Ipswich. </w:t>
      </w:r>
      <w:r w:rsidR="00ED563F" w:rsidRPr="00EC0229">
        <w:t xml:space="preserve">Each of these prolific </w:t>
      </w:r>
      <w:r w:rsidR="00AA4054" w:rsidRPr="00EC0229">
        <w:t xml:space="preserve">southern </w:t>
      </w:r>
      <w:r w:rsidR="00ED563F" w:rsidRPr="00EC0229">
        <w:t>sites can be assumed to have had an economic purpose and</w:t>
      </w:r>
      <w:r w:rsidR="00BD53D4" w:rsidRPr="00EC0229">
        <w:t xml:space="preserve"> the contrast with Fishergate</w:t>
      </w:r>
      <w:r w:rsidR="006B1593" w:rsidRPr="00EC0229">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fldChar w:fldCharType="end"/>
      </w:r>
      <w:r w:rsidR="00ED563F" w:rsidRPr="00EC0229">
        <w:t xml:space="preserve"> is stark.</w:t>
      </w:r>
      <w:r w:rsidR="00AA4054" w:rsidRPr="00EC0229">
        <w:rPr>
          <w:rFonts w:eastAsia="Times New Roman" w:cs="Times New Roman"/>
          <w:color w:val="000000" w:themeColor="text1"/>
          <w:szCs w:val="24"/>
          <w:lang w:eastAsia="en-GB"/>
        </w:rPr>
        <w:t xml:space="preserve"> </w:t>
      </w:r>
    </w:p>
    <w:p w14:paraId="0E74492C" w14:textId="77777777" w:rsidR="00BD53D4" w:rsidRPr="00EC0229" w:rsidRDefault="00BD53D4" w:rsidP="007600EA">
      <w:pPr>
        <w:pStyle w:val="NoSpacing"/>
        <w:spacing w:line="360" w:lineRule="auto"/>
      </w:pPr>
    </w:p>
    <w:p w14:paraId="072D51D0" w14:textId="656A7CFA" w:rsidR="005740FF" w:rsidRPr="00EC0229" w:rsidRDefault="005740FF" w:rsidP="007600EA">
      <w:pPr>
        <w:spacing w:after="0" w:line="360" w:lineRule="auto"/>
        <w:rPr>
          <w:rFonts w:eastAsia="Times New Roman" w:cs="Times New Roman"/>
          <w:color w:val="000000" w:themeColor="text1"/>
          <w:szCs w:val="24"/>
          <w:lang w:eastAsia="en-GB"/>
        </w:rPr>
      </w:pPr>
      <w:r w:rsidRPr="00EC0229">
        <w:rPr>
          <w:rFonts w:eastAsia="Times New Roman" w:cs="Times New Roman"/>
          <w:szCs w:val="24"/>
          <w:lang w:eastAsia="en-GB"/>
        </w:rPr>
        <w:lastRenderedPageBreak/>
        <w:t>Fishergate’s relationship with the other Anglian</w:t>
      </w:r>
      <w:r w:rsidRPr="00EC0229">
        <w:rPr>
          <w:rFonts w:eastAsia="Times New Roman" w:cs="Times New Roman"/>
          <w:szCs w:val="24"/>
          <w:lang w:eastAsia="en-GB"/>
        </w:rPr>
        <w:fldChar w:fldCharType="begin"/>
      </w:r>
      <w:r w:rsidRPr="00EC0229">
        <w:instrText xml:space="preserve"> XE "Anglian"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sites in York, at Bootham Bar, Clifford Street, Tanner Row and Skeldergate, is uncertain.</w:t>
      </w:r>
      <w:r w:rsidRPr="00EC0229">
        <w:rPr>
          <w:rFonts w:eastAsia="Times New Roman" w:cs="Times New Roman"/>
          <w:color w:val="000000" w:themeColor="text1"/>
          <w:szCs w:val="24"/>
          <w:lang w:eastAsia="en-GB"/>
        </w:rPr>
        <w:t xml:space="preserve"> </w:t>
      </w:r>
      <w:r w:rsidRPr="00EC0229">
        <w:rPr>
          <w:rFonts w:eastAsia="Times New Roman" w:cs="Times New Roman"/>
          <w:szCs w:val="24"/>
          <w:lang w:eastAsia="en-GB"/>
        </w:rPr>
        <w:t xml:space="preserve">Economically, </w:t>
      </w:r>
      <w:r w:rsidRPr="00EC0229">
        <w:rPr>
          <w:rFonts w:eastAsia="Times New Roman" w:cs="Times New Roman"/>
          <w:color w:val="000000" w:themeColor="text1"/>
          <w:szCs w:val="24"/>
          <w:lang w:eastAsia="en-GB"/>
        </w:rPr>
        <w:t xml:space="preserve">Fishergate compares unfavourably with other prolific northern sites such as </w:t>
      </w:r>
      <w:r w:rsidRPr="00EC0229">
        <w:rPr>
          <w:rFonts w:eastAsia="Times New Roman" w:cs="Times New Roman"/>
          <w:szCs w:val="24"/>
          <w:lang w:eastAsia="en-GB"/>
        </w:rPr>
        <w:t>South Newbald,</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szCs w:val="24"/>
          <w:lang w:eastAsia="en-GB"/>
        </w:rPr>
        <w:t xml:space="preserve"> Sledmere and even Hayton</w:t>
      </w:r>
      <w:r w:rsidRPr="00EC0229">
        <w:rPr>
          <w:rFonts w:eastAsia="Times New Roman" w:cs="Times New Roman"/>
          <w:szCs w:val="24"/>
          <w:lang w:eastAsia="en-GB"/>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rFonts w:eastAsia="Times New Roman" w:cs="Times New Roman"/>
          <w:szCs w:val="24"/>
          <w:lang w:eastAsia="en-GB"/>
        </w:rPr>
        <w:fldChar w:fldCharType="end"/>
      </w:r>
      <w:r w:rsidRPr="00EC0229">
        <w:rPr>
          <w:rFonts w:eastAsia="Times New Roman" w:cs="Times New Roman"/>
          <w:color w:val="000000" w:themeColor="text1"/>
          <w:szCs w:val="24"/>
          <w:lang w:eastAsia="en-GB"/>
        </w:rPr>
        <w:t>, as well as the Lincolnshire sites at Flixborough</w:t>
      </w:r>
      <w:r w:rsidRPr="00EC0229">
        <w:rPr>
          <w:rFonts w:eastAsia="Times New Roman" w:cs="Times New Roman"/>
          <w:color w:val="000000" w:themeColor="text1"/>
          <w:szCs w:val="24"/>
          <w:lang w:eastAsia="en-GB"/>
        </w:rPr>
        <w:fldChar w:fldCharType="begin"/>
      </w:r>
      <w:r w:rsidRPr="00EC0229">
        <w:instrText xml:space="preserve"> XE "</w:instrText>
      </w:r>
      <w:r w:rsidRPr="00EC0229">
        <w:rPr>
          <w:rStyle w:val="Hyperlink"/>
          <w:noProof/>
          <w:u w:val="none"/>
        </w:rPr>
        <w:instrText>Flixborough</w:instrText>
      </w:r>
      <w:r w:rsidRPr="00EC0229">
        <w:instrText xml:space="preserve">" </w:instrText>
      </w:r>
      <w:r w:rsidRPr="00EC0229">
        <w:rPr>
          <w:rFonts w:eastAsia="Times New Roman" w:cs="Times New Roman"/>
          <w:color w:val="000000" w:themeColor="text1"/>
          <w:szCs w:val="24"/>
          <w:lang w:eastAsia="en-GB"/>
        </w:rPr>
        <w:fldChar w:fldCharType="end"/>
      </w:r>
      <w:r w:rsidRPr="00EC0229">
        <w:rPr>
          <w:rFonts w:eastAsia="Times New Roman" w:cs="Times New Roman"/>
          <w:color w:val="000000" w:themeColor="text1"/>
          <w:szCs w:val="24"/>
          <w:lang w:eastAsia="en-GB"/>
        </w:rPr>
        <w:t xml:space="preserve"> (</w:t>
      </w:r>
      <w:r w:rsidR="007355E5" w:rsidRPr="00EC0229">
        <w:rPr>
          <w:rFonts w:eastAsia="Times New Roman" w:cs="Times New Roman"/>
          <w:color w:val="000000" w:themeColor="text1"/>
          <w:szCs w:val="24"/>
          <w:lang w:eastAsia="en-GB"/>
        </w:rPr>
        <w:t xml:space="preserve">Riby </w:t>
      </w:r>
      <w:r w:rsidRPr="00EC0229">
        <w:rPr>
          <w:rFonts w:eastAsia="Times New Roman" w:cs="Times New Roman"/>
          <w:color w:val="000000" w:themeColor="text1"/>
          <w:szCs w:val="24"/>
          <w:lang w:eastAsia="en-GB"/>
        </w:rPr>
        <w:t>and Heckington),</w:t>
      </w:r>
      <w:r w:rsidRPr="00EC0229">
        <w:rPr>
          <w:rStyle w:val="FootnoteReference"/>
          <w:rFonts w:eastAsia="Times New Roman" w:cs="Times New Roman"/>
          <w:color w:val="000000" w:themeColor="text1"/>
          <w:szCs w:val="24"/>
          <w:lang w:eastAsia="en-GB"/>
        </w:rPr>
        <w:footnoteReference w:id="930"/>
      </w:r>
      <w:r w:rsidRPr="00EC0229">
        <w:rPr>
          <w:rFonts w:eastAsia="Times New Roman" w:cs="Times New Roman"/>
          <w:color w:val="000000" w:themeColor="text1"/>
          <w:szCs w:val="24"/>
          <w:lang w:eastAsia="en-GB"/>
        </w:rPr>
        <w:t xml:space="preserve"> within reach of the northern sphere of influence. </w:t>
      </w:r>
    </w:p>
    <w:p w14:paraId="1AABA8A3" w14:textId="77777777" w:rsidR="005740FF" w:rsidRPr="00EC0229" w:rsidRDefault="005740FF" w:rsidP="007600EA">
      <w:pPr>
        <w:spacing w:after="0" w:line="360" w:lineRule="auto"/>
        <w:rPr>
          <w:rFonts w:eastAsia="Times New Roman" w:cs="Times New Roman"/>
          <w:color w:val="000000" w:themeColor="text1"/>
          <w:szCs w:val="24"/>
          <w:lang w:eastAsia="en-GB"/>
        </w:rPr>
      </w:pPr>
    </w:p>
    <w:p w14:paraId="55E73CC9" w14:textId="2EA8BBE0" w:rsidR="00BD53D4" w:rsidRDefault="00BD53D4" w:rsidP="00EF7AC3">
      <w:pPr>
        <w:spacing w:after="0" w:line="360" w:lineRule="auto"/>
        <w:rPr>
          <w:rFonts w:eastAsia="Times New Roman" w:cs="Times New Roman"/>
          <w:szCs w:val="24"/>
          <w:lang w:eastAsia="en-GB"/>
        </w:rPr>
      </w:pPr>
      <w:r w:rsidRPr="00EC0229">
        <w:rPr>
          <w:rFonts w:eastAsia="Times New Roman" w:cs="Times New Roman"/>
          <w:szCs w:val="24"/>
          <w:lang w:eastAsia="en-GB"/>
        </w:rPr>
        <w:t>Fishergate</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may not be the </w:t>
      </w:r>
      <w:r w:rsidRPr="00EC0229">
        <w:rPr>
          <w:rFonts w:eastAsia="Times New Roman" w:cs="Times New Roman"/>
          <w:i/>
          <w:szCs w:val="24"/>
          <w:lang w:eastAsia="en-GB"/>
        </w:rPr>
        <w:t>wic</w:t>
      </w:r>
      <w:r w:rsidR="00D142DC" w:rsidRPr="00EC0229">
        <w:rPr>
          <w:rFonts w:eastAsia="Times New Roman" w:cs="Times New Roman"/>
          <w:i/>
          <w:szCs w:val="24"/>
          <w:lang w:eastAsia="en-GB"/>
        </w:rPr>
        <w:fldChar w:fldCharType="begin"/>
      </w:r>
      <w:r w:rsidR="00D142DC" w:rsidRPr="00EC0229">
        <w:instrText xml:space="preserve"> XE "wic" </w:instrText>
      </w:r>
      <w:r w:rsidR="00D142DC" w:rsidRPr="00EC0229">
        <w:rPr>
          <w:rFonts w:eastAsia="Times New Roman" w:cs="Times New Roman"/>
          <w:i/>
          <w:szCs w:val="24"/>
          <w:lang w:eastAsia="en-GB"/>
        </w:rPr>
        <w:fldChar w:fldCharType="end"/>
      </w:r>
      <w:r w:rsidRPr="00EC0229">
        <w:rPr>
          <w:rFonts w:eastAsia="Times New Roman" w:cs="Times New Roman"/>
          <w:szCs w:val="24"/>
          <w:lang w:eastAsia="en-GB"/>
        </w:rPr>
        <w:t xml:space="preserve"> of York</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w:t>
      </w:r>
      <w:r w:rsidRPr="00EC0229">
        <w:rPr>
          <w:rFonts w:eastAsia="Times New Roman" w:cs="Times New Roman"/>
          <w:i/>
          <w:szCs w:val="24"/>
          <w:lang w:eastAsia="en-GB"/>
        </w:rPr>
        <w:t>Eoforwic</w:t>
      </w:r>
      <w:r w:rsidRPr="00EC0229">
        <w:rPr>
          <w:rFonts w:eastAsia="Times New Roman" w:cs="Times New Roman"/>
          <w:szCs w:val="24"/>
          <w:lang w:eastAsia="en-GB"/>
        </w:rPr>
        <w:t>,</w:t>
      </w:r>
      <w:r w:rsidR="00E616C5" w:rsidRPr="00EC0229">
        <w:rPr>
          <w:rStyle w:val="FootnoteReference"/>
          <w:rFonts w:eastAsia="Times New Roman" w:cs="Times New Roman"/>
          <w:szCs w:val="24"/>
          <w:lang w:eastAsia="en-GB"/>
        </w:rPr>
        <w:footnoteReference w:id="931"/>
      </w:r>
      <w:r w:rsidRPr="00EC0229">
        <w:rPr>
          <w:rFonts w:eastAsia="Times New Roman" w:cs="Times New Roman"/>
          <w:szCs w:val="24"/>
          <w:lang w:eastAsia="en-GB"/>
        </w:rPr>
        <w:t xml:space="preserve"> but, based on the artefactual fingerprint, a subsidiary site of restricted use, for example, for processing, manufacturing or bo</w:t>
      </w:r>
      <w:r w:rsidR="005740FF" w:rsidRPr="00EC0229">
        <w:rPr>
          <w:rFonts w:eastAsia="Times New Roman" w:cs="Times New Roman"/>
          <w:szCs w:val="24"/>
          <w:lang w:eastAsia="en-GB"/>
        </w:rPr>
        <w:t xml:space="preserve">nding goods, or, as </w:t>
      </w:r>
      <w:r w:rsidRPr="00EC0229">
        <w:rPr>
          <w:rFonts w:eastAsia="Times New Roman" w:cs="Times New Roman"/>
          <w:szCs w:val="24"/>
          <w:lang w:eastAsia="en-GB"/>
        </w:rPr>
        <w:t>suggested by the comparison of sceatta</w:t>
      </w:r>
      <w:r w:rsidR="00D142DC" w:rsidRPr="00EC0229">
        <w:rPr>
          <w:rFonts w:eastAsia="Times New Roman" w:cs="Times New Roman"/>
          <w:szCs w:val="24"/>
          <w:lang w:eastAsia="en-GB"/>
        </w:rPr>
        <w:fldChar w:fldCharType="begin"/>
      </w:r>
      <w:r w:rsidR="00D142DC" w:rsidRPr="00EC0229">
        <w:instrText xml:space="preserve"> XE "sceatta"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volumes</w:t>
      </w:r>
      <w:r w:rsidR="005740FF" w:rsidRPr="00EC0229">
        <w:rPr>
          <w:rFonts w:eastAsia="Times New Roman" w:cs="Times New Roman"/>
          <w:szCs w:val="24"/>
          <w:lang w:eastAsia="en-GB"/>
        </w:rPr>
        <w:t xml:space="preserve"> and mixes</w:t>
      </w:r>
      <w:r w:rsidRPr="00EC0229">
        <w:rPr>
          <w:rFonts w:eastAsia="Times New Roman" w:cs="Times New Roman"/>
          <w:szCs w:val="24"/>
          <w:lang w:eastAsia="en-GB"/>
        </w:rPr>
        <w:t xml:space="preserve"> with other sites, a p</w:t>
      </w:r>
      <w:r w:rsidR="00EF7AC3">
        <w:rPr>
          <w:rFonts w:eastAsia="Times New Roman" w:cs="Times New Roman"/>
          <w:szCs w:val="24"/>
          <w:lang w:eastAsia="en-GB"/>
        </w:rPr>
        <w:t xml:space="preserve">oint of departure for exports. </w:t>
      </w:r>
    </w:p>
    <w:p w14:paraId="1A3C5E7D" w14:textId="77777777" w:rsidR="00EF7AC3" w:rsidRPr="00EF7AC3" w:rsidRDefault="00EF7AC3" w:rsidP="00EF7AC3">
      <w:pPr>
        <w:spacing w:after="0" w:line="360" w:lineRule="auto"/>
        <w:rPr>
          <w:rFonts w:eastAsia="Times New Roman" w:cs="Times New Roman"/>
          <w:szCs w:val="24"/>
          <w:lang w:eastAsia="en-GB"/>
        </w:rPr>
      </w:pPr>
    </w:p>
    <w:p w14:paraId="2313BDF8" w14:textId="126DDE20" w:rsidR="00BD53D4" w:rsidRPr="00EC0229" w:rsidRDefault="00F139AF"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The eighth century</w:t>
      </w:r>
      <w:r w:rsidR="00BD53D4" w:rsidRPr="00EC0229">
        <w:rPr>
          <w:rFonts w:eastAsia="Times New Roman" w:cs="Times New Roman"/>
          <w:szCs w:val="24"/>
          <w:lang w:eastAsia="en-GB"/>
        </w:rPr>
        <w:t xml:space="preserve"> patterns for </w:t>
      </w:r>
      <w:r w:rsidR="00BD53D4" w:rsidRPr="00EC0229">
        <w:rPr>
          <w:rFonts w:eastAsia="Times New Roman" w:cs="Times New Roman"/>
          <w:i/>
          <w:szCs w:val="24"/>
          <w:lang w:eastAsia="en-GB"/>
        </w:rPr>
        <w:t>Hamwic</w:t>
      </w:r>
      <w:r w:rsidR="006B1593" w:rsidRPr="00EC0229">
        <w:rPr>
          <w:rFonts w:eastAsia="Times New Roman" w:cs="Times New Roman"/>
          <w:i/>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Hamwic</w:instrText>
      </w:r>
      <w:r w:rsidR="006B1593" w:rsidRPr="00EC0229">
        <w:instrText xml:space="preserve">" </w:instrText>
      </w:r>
      <w:r w:rsidR="006B1593" w:rsidRPr="00EC0229">
        <w:rPr>
          <w:rFonts w:eastAsia="Times New Roman" w:cs="Times New Roman"/>
          <w:i/>
          <w:szCs w:val="24"/>
          <w:lang w:eastAsia="en-GB"/>
        </w:rPr>
        <w:fldChar w:fldCharType="end"/>
      </w:r>
      <w:r w:rsidR="00BD53D4" w:rsidRPr="00EC0229">
        <w:rPr>
          <w:rFonts w:eastAsia="Times New Roman" w:cs="Times New Roman"/>
          <w:szCs w:val="24"/>
          <w:lang w:eastAsia="en-GB"/>
        </w:rPr>
        <w:t xml:space="preserve"> and </w:t>
      </w:r>
      <w:r w:rsidR="00BD53D4" w:rsidRPr="00EC0229">
        <w:rPr>
          <w:rFonts w:eastAsia="Times New Roman" w:cs="Times New Roman"/>
          <w:i/>
          <w:szCs w:val="24"/>
          <w:lang w:eastAsia="en-GB"/>
        </w:rPr>
        <w:t>Lundenwic</w:t>
      </w:r>
      <w:r w:rsidR="008960AE" w:rsidRPr="00EC0229">
        <w:rPr>
          <w:rFonts w:eastAsia="Times New Roman" w:cs="Times New Roman"/>
          <w:i/>
          <w:szCs w:val="24"/>
          <w:lang w:eastAsia="en-GB"/>
        </w:rPr>
        <w:fldChar w:fldCharType="begin"/>
      </w:r>
      <w:r w:rsidR="008960AE" w:rsidRPr="00EC0229">
        <w:instrText xml:space="preserve"> XE "</w:instrText>
      </w:r>
      <w:r w:rsidR="008960AE" w:rsidRPr="00EC0229">
        <w:rPr>
          <w:rFonts w:cs="Times New Roman"/>
          <w:i/>
          <w:color w:val="000000" w:themeColor="text1"/>
          <w:szCs w:val="24"/>
        </w:rPr>
        <w:instrText>Lundenwic</w:instrText>
      </w:r>
      <w:r w:rsidR="008960AE" w:rsidRPr="00EC0229">
        <w:instrText xml:space="preserve">" </w:instrText>
      </w:r>
      <w:r w:rsidR="008960AE" w:rsidRPr="00EC0229">
        <w:rPr>
          <w:rFonts w:eastAsia="Times New Roman" w:cs="Times New Roman"/>
          <w:i/>
          <w:szCs w:val="24"/>
          <w:lang w:eastAsia="en-GB"/>
        </w:rPr>
        <w:fldChar w:fldCharType="end"/>
      </w:r>
      <w:r w:rsidR="00BD53D4" w:rsidRPr="00EC0229">
        <w:rPr>
          <w:rFonts w:eastAsia="Times New Roman" w:cs="Times New Roman"/>
          <w:szCs w:val="24"/>
          <w:lang w:eastAsia="en-GB"/>
        </w:rPr>
        <w:t xml:space="preserve"> are similar but the former has almost lapsed by the time that Lincoln is active, towards the end of the period of study. </w:t>
      </w:r>
      <w:r w:rsidR="00BD53D4" w:rsidRPr="00EC0229">
        <w:rPr>
          <w:rFonts w:eastAsia="Times New Roman" w:cs="Times New Roman"/>
          <w:i/>
          <w:szCs w:val="24"/>
          <w:lang w:eastAsia="en-GB"/>
        </w:rPr>
        <w:t>Lundenwic</w:t>
      </w:r>
      <w:r w:rsidR="00BD53D4" w:rsidRPr="00EC0229">
        <w:rPr>
          <w:rFonts w:eastAsia="Times New Roman" w:cs="Times New Roman"/>
          <w:szCs w:val="24"/>
          <w:lang w:eastAsia="en-GB"/>
        </w:rPr>
        <w:t xml:space="preserve"> remains active throughout but well below the peak of the first half of </w:t>
      </w:r>
      <w:r w:rsidRPr="00EC0229">
        <w:rPr>
          <w:rFonts w:eastAsia="Times New Roman" w:cs="Times New Roman"/>
          <w:szCs w:val="24"/>
          <w:lang w:eastAsia="en-GB"/>
        </w:rPr>
        <w:t>the eighth century</w:t>
      </w:r>
      <w:r w:rsidR="00EF7AC3">
        <w:rPr>
          <w:rFonts w:eastAsia="Times New Roman" w:cs="Times New Roman"/>
          <w:szCs w:val="24"/>
          <w:lang w:eastAsia="en-GB"/>
        </w:rPr>
        <w:t xml:space="preserve">, </w:t>
      </w:r>
      <w:r w:rsidR="00EF7AC3" w:rsidRPr="00EF7AC3">
        <w:rPr>
          <w:rFonts w:eastAsia="Times New Roman" w:cs="Times New Roman"/>
          <w:i/>
          <w:szCs w:val="24"/>
          <w:lang w:eastAsia="en-GB"/>
        </w:rPr>
        <w:t>Graphs 8.02a-c</w:t>
      </w:r>
      <w:r w:rsidR="00BD53D4" w:rsidRPr="00EC0229">
        <w:rPr>
          <w:rFonts w:eastAsia="Times New Roman" w:cs="Times New Roman"/>
          <w:szCs w:val="24"/>
          <w:lang w:eastAsia="en-GB"/>
        </w:rPr>
        <w:t>.</w:t>
      </w:r>
      <w:r w:rsidR="00BD53D4" w:rsidRPr="00EC0229">
        <w:rPr>
          <w:rStyle w:val="FootnoteReference"/>
          <w:rFonts w:eastAsia="Times New Roman" w:cs="Times New Roman"/>
          <w:szCs w:val="24"/>
          <w:lang w:eastAsia="en-GB"/>
        </w:rPr>
        <w:footnoteReference w:id="932"/>
      </w:r>
    </w:p>
    <w:p w14:paraId="476B897E" w14:textId="77777777" w:rsidR="00BD53D4" w:rsidRPr="00EC0229" w:rsidRDefault="00BD53D4" w:rsidP="007600EA">
      <w:pPr>
        <w:pStyle w:val="NoSpacing"/>
        <w:spacing w:line="360" w:lineRule="auto"/>
        <w:rPr>
          <w:szCs w:val="24"/>
        </w:rPr>
      </w:pPr>
    </w:p>
    <w:p w14:paraId="747E1FE0" w14:textId="236498FF" w:rsidR="004F15CD" w:rsidRPr="00EC0229" w:rsidRDefault="004F15CD" w:rsidP="007600EA">
      <w:pPr>
        <w:pStyle w:val="NoSpacing"/>
        <w:spacing w:line="360" w:lineRule="auto"/>
      </w:pPr>
      <w:r w:rsidRPr="00EC0229">
        <w:t>The purpose of reviewing these southern emporia</w:t>
      </w:r>
      <w:r w:rsidRPr="00EC0229">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fldChar w:fldCharType="end"/>
      </w:r>
      <w:r w:rsidRPr="00EC0229">
        <w:t xml:space="preserve"> was to provide a comparison for the Fishergate</w:t>
      </w:r>
      <w:r w:rsidRPr="00EC0229">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fldChar w:fldCharType="end"/>
      </w:r>
      <w:r w:rsidRPr="00EC0229">
        <w:t xml:space="preserve"> accumulation. These sites present a cohesive and consistent picture distinct from the narrower context of </w:t>
      </w:r>
      <w:r w:rsidR="00D12AAD" w:rsidRPr="00EC0229">
        <w:t>Fishergate. The results endorse</w:t>
      </w:r>
      <w:r w:rsidRPr="00EC0229">
        <w:t xml:space="preserve"> the conclusion that Fishergate is not convincing as a </w:t>
      </w:r>
      <w:r w:rsidRPr="00EC0229">
        <w:rPr>
          <w:i/>
        </w:rPr>
        <w:t>wic</w:t>
      </w:r>
      <w:r w:rsidRPr="00EC0229">
        <w:fldChar w:fldCharType="begin"/>
      </w:r>
      <w:r w:rsidRPr="00EC0229">
        <w:instrText xml:space="preserve"> XE "wic" </w:instrText>
      </w:r>
      <w:r w:rsidRPr="00EC0229">
        <w:fldChar w:fldCharType="end"/>
      </w:r>
      <w:r w:rsidRPr="00EC0229">
        <w:t>.</w:t>
      </w:r>
      <w:r w:rsidRPr="00EC0229">
        <w:rPr>
          <w:rStyle w:val="FootnoteReference"/>
        </w:rPr>
        <w:footnoteReference w:id="933"/>
      </w:r>
    </w:p>
    <w:p w14:paraId="6EE8D36C" w14:textId="77777777" w:rsidR="004F15CD" w:rsidRPr="00EC0229" w:rsidRDefault="004F15CD" w:rsidP="007600EA">
      <w:pPr>
        <w:pStyle w:val="NoSpacing"/>
        <w:spacing w:line="360" w:lineRule="auto"/>
      </w:pPr>
    </w:p>
    <w:p w14:paraId="1D8C9029" w14:textId="78A91488" w:rsidR="00C57DCF" w:rsidRPr="007A3166" w:rsidRDefault="00CF62CA" w:rsidP="007600EA">
      <w:pPr>
        <w:pStyle w:val="Heading4"/>
        <w:spacing w:line="360" w:lineRule="auto"/>
        <w:rPr>
          <w:b/>
        </w:rPr>
      </w:pPr>
      <w:bookmarkStart w:id="560" w:name="local"/>
      <w:bookmarkStart w:id="561" w:name="_Toc468266858"/>
      <w:bookmarkEnd w:id="560"/>
      <w:r w:rsidRPr="007A3166">
        <w:rPr>
          <w:b/>
        </w:rPr>
        <w:t>Inner York</w:t>
      </w:r>
      <w:bookmarkEnd w:id="561"/>
      <w:r w:rsidR="00AA0ED2" w:rsidRPr="007A3166">
        <w:rPr>
          <w:b/>
        </w:rPr>
        <w:t xml:space="preserve"> </w:t>
      </w:r>
    </w:p>
    <w:p w14:paraId="28934526" w14:textId="05A8F8E3" w:rsidR="00465C83" w:rsidRPr="00EC0229" w:rsidRDefault="00465C83" w:rsidP="006C2237">
      <w:pPr>
        <w:spacing w:line="360" w:lineRule="auto"/>
      </w:pPr>
      <w:r w:rsidRPr="00EC0229">
        <w:t xml:space="preserve">At Dixon Lane and George Street, craft-working implies trade with </w:t>
      </w:r>
      <w:r w:rsidR="00572E51" w:rsidRPr="00EC0229">
        <w:t>Southumbria</w:t>
      </w:r>
      <w:r w:rsidRPr="00EC0229">
        <w:t xml:space="preserve"> and the Continent though the coin evidence is slender – just one ‘shrine’ type sceat of </w:t>
      </w:r>
      <w:r w:rsidRPr="00EC0229">
        <w:rPr>
          <w:rFonts w:cs="Times New Roman"/>
        </w:rPr>
        <w:t>Æ</w:t>
      </w:r>
      <w:r w:rsidRPr="00EC0229">
        <w:t xml:space="preserve">thelred I and a styca of </w:t>
      </w:r>
      <w:r w:rsidRPr="00EC0229">
        <w:rPr>
          <w:rFonts w:cs="Times New Roman"/>
        </w:rPr>
        <w:t>Æ</w:t>
      </w:r>
      <w:r w:rsidRPr="00EC0229">
        <w:t>thelred II’s moneyer Monne</w:t>
      </w:r>
      <w:r w:rsidR="006C2237" w:rsidRPr="00EC0229">
        <w:t>, (</w:t>
      </w:r>
      <w:r w:rsidR="006C2237" w:rsidRPr="00EC0229">
        <w:rPr>
          <w:i/>
        </w:rPr>
        <w:t>Map 8.10</w:t>
      </w:r>
      <w:r w:rsidR="006C2237" w:rsidRPr="00EC0229">
        <w:t>)</w:t>
      </w:r>
      <w:r w:rsidR="006C2237" w:rsidRPr="00EC0229">
        <w:fldChar w:fldCharType="begin"/>
      </w:r>
      <w:r w:rsidR="006C2237" w:rsidRPr="00EC0229">
        <w:instrText xml:space="preserve"> XE "</w:instrText>
      </w:r>
      <w:r w:rsidR="006C2237" w:rsidRPr="00EC0229">
        <w:rPr>
          <w:rStyle w:val="Hyperlink"/>
          <w:noProof/>
          <w:u w:val="none"/>
        </w:rPr>
        <w:instrText>York</w:instrText>
      </w:r>
      <w:r w:rsidR="006C2237" w:rsidRPr="00EC0229">
        <w:instrText xml:space="preserve">" </w:instrText>
      </w:r>
      <w:r w:rsidR="006C2237" w:rsidRPr="00EC0229">
        <w:fldChar w:fldCharType="end"/>
      </w:r>
      <w:r w:rsidRPr="00EC0229">
        <w:t>.</w:t>
      </w:r>
      <w:r w:rsidRPr="00EC0229">
        <w:rPr>
          <w:rStyle w:val="FootnoteReference"/>
          <w:szCs w:val="24"/>
        </w:rPr>
        <w:footnoteReference w:id="934"/>
      </w:r>
    </w:p>
    <w:p w14:paraId="083F18B5" w14:textId="77777777" w:rsidR="00CF62CA" w:rsidRPr="00EC0229" w:rsidRDefault="00CF62CA" w:rsidP="007600EA">
      <w:pPr>
        <w:pStyle w:val="NoSpacing"/>
        <w:spacing w:line="360" w:lineRule="auto"/>
        <w:rPr>
          <w:szCs w:val="24"/>
        </w:rPr>
      </w:pPr>
    </w:p>
    <w:p w14:paraId="77A39F9B" w14:textId="3E61F5EC" w:rsidR="00CF62CA" w:rsidRPr="00EC0229" w:rsidRDefault="00CF62CA" w:rsidP="007600EA">
      <w:pPr>
        <w:pStyle w:val="NoSpacing"/>
        <w:spacing w:line="360" w:lineRule="auto"/>
        <w:rPr>
          <w:szCs w:val="24"/>
        </w:rPr>
      </w:pPr>
      <w:r w:rsidRPr="00EC0229">
        <w:rPr>
          <w:szCs w:val="24"/>
        </w:rPr>
        <w:lastRenderedPageBreak/>
        <w:t>A putative hoard, consequent on landscaping in Parliament Street, of at least three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gold</w:t>
      </w:r>
      <w:r w:rsidRPr="00EC0229">
        <w:rPr>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szCs w:val="24"/>
        </w:rPr>
        <w:fldChar w:fldCharType="end"/>
      </w:r>
      <w:r w:rsidRPr="00EC0229">
        <w:rPr>
          <w:szCs w:val="24"/>
        </w:rPr>
        <w:t xml:space="preserve"> shillings [3b], from the same dies, and possibly as many as six specimens, was deposited before 1846. These are recorded by Sutherland (75a-c) but may include specimens associated with Hall and Clarkson (</w:t>
      </w:r>
      <w:r w:rsidRPr="00EC0229">
        <w:rPr>
          <w:szCs w:val="24"/>
        </w:rPr>
        <w:fldChar w:fldCharType="begin"/>
      </w:r>
      <w:r w:rsidRPr="00EC0229">
        <w:rPr>
          <w:szCs w:val="24"/>
        </w:rPr>
        <w:instrText xml:space="preserve"> REF _Ref430247906 \h  \* MERGEFORMAT </w:instrText>
      </w:r>
      <w:r w:rsidRPr="00EC0229">
        <w:rPr>
          <w:szCs w:val="24"/>
        </w:rPr>
      </w:r>
      <w:r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76</w:t>
      </w:r>
      <w:r w:rsidRPr="00EC0229">
        <w:rPr>
          <w:szCs w:val="24"/>
        </w:rPr>
        <w:fldChar w:fldCharType="end"/>
      </w:r>
      <w:r w:rsidRPr="00EC0229">
        <w:t>)</w:t>
      </w:r>
      <w:r w:rsidRPr="00EC0229">
        <w:rPr>
          <w:szCs w:val="24"/>
        </w:rPr>
        <w:t>.</w:t>
      </w:r>
      <w:r w:rsidRPr="00EC0229">
        <w:rPr>
          <w:rStyle w:val="FootnoteReference"/>
          <w:szCs w:val="24"/>
        </w:rPr>
        <w:footnoteReference w:id="935"/>
      </w:r>
      <w:r w:rsidRPr="00EC0229">
        <w:rPr>
          <w:szCs w:val="24"/>
        </w:rPr>
        <w:t xml:space="preserve"> For my reclassification and interpretation of this important gold coinage see Abramson</w:t>
      </w:r>
      <w:r w:rsidRPr="00EC0229">
        <w:rPr>
          <w:szCs w:val="24"/>
        </w:rPr>
        <w:fldChar w:fldCharType="begin"/>
      </w:r>
      <w:r w:rsidRPr="00EC0229">
        <w:instrText xml:space="preserve"> XE "</w:instrText>
      </w:r>
      <w:r w:rsidRPr="00EC0229">
        <w:rPr>
          <w:rFonts w:cs="Times New Roman"/>
          <w:b/>
          <w:sz w:val="40"/>
          <w:szCs w:val="40"/>
        </w:rPr>
        <w:instrText>Abramson</w:instrText>
      </w:r>
      <w:r w:rsidRPr="00EC0229">
        <w:instrText xml:space="preserve">" </w:instrText>
      </w:r>
      <w:r w:rsidRPr="00EC0229">
        <w:rPr>
          <w:szCs w:val="24"/>
        </w:rPr>
        <w:fldChar w:fldCharType="end"/>
      </w:r>
      <w:r w:rsidRPr="00EC0229">
        <w:rPr>
          <w:szCs w:val="24"/>
        </w:rPr>
        <w:t xml:space="preserve"> and Garrison (forthcoming).</w:t>
      </w:r>
    </w:p>
    <w:p w14:paraId="5B2F04ED" w14:textId="77777777" w:rsidR="00CF62CA" w:rsidRPr="00EC0229" w:rsidRDefault="00CF62CA" w:rsidP="007600EA">
      <w:pPr>
        <w:pStyle w:val="NoSpacing"/>
        <w:spacing w:line="360" w:lineRule="auto"/>
        <w:rPr>
          <w:szCs w:val="24"/>
        </w:rPr>
      </w:pPr>
    </w:p>
    <w:p w14:paraId="35DCEF9C" w14:textId="77777777" w:rsidR="00CF62CA" w:rsidRPr="00EC0229" w:rsidRDefault="00CF62CA" w:rsidP="007600EA">
      <w:pPr>
        <w:spacing w:line="360" w:lineRule="auto"/>
        <w:jc w:val="center"/>
        <w:rPr>
          <w:rFonts w:cs="Times New Roman"/>
          <w:szCs w:val="24"/>
        </w:rPr>
      </w:pPr>
      <w:r w:rsidRPr="00EC0229">
        <w:rPr>
          <w:rFonts w:cs="Times New Roman"/>
          <w:noProof/>
          <w:szCs w:val="24"/>
          <w:lang w:eastAsia="en-GB"/>
        </w:rPr>
        <w:drawing>
          <wp:inline distT="0" distB="0" distL="0" distR="0" wp14:anchorId="2EC18C09" wp14:editId="52260F1C">
            <wp:extent cx="815340" cy="846699"/>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948_00751obv.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823841" cy="855527"/>
                    </a:xfrm>
                    <a:prstGeom prst="rect">
                      <a:avLst/>
                    </a:prstGeom>
                  </pic:spPr>
                </pic:pic>
              </a:graphicData>
            </a:graphic>
          </wp:inline>
        </w:drawing>
      </w:r>
      <w:r w:rsidRPr="00EC0229">
        <w:rPr>
          <w:rFonts w:cs="Times New Roman"/>
          <w:noProof/>
          <w:szCs w:val="24"/>
          <w:lang w:eastAsia="en-GB"/>
        </w:rPr>
        <w:drawing>
          <wp:inline distT="0" distB="0" distL="0" distR="0" wp14:anchorId="191E76D9" wp14:editId="40C215DC">
            <wp:extent cx="762000" cy="831802"/>
            <wp:effectExtent l="0" t="0" r="0"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York Sutherland 75a missing.jpg"/>
                    <pic:cNvPicPr/>
                  </pic:nvPicPr>
                  <pic:blipFill>
                    <a:blip r:embed="rId266">
                      <a:extLst>
                        <a:ext uri="{28A0092B-C50C-407E-A947-70E740481C1C}">
                          <a14:useLocalDpi xmlns:a14="http://schemas.microsoft.com/office/drawing/2010/main" val="0"/>
                        </a:ext>
                      </a:extLst>
                    </a:blip>
                    <a:stretch>
                      <a:fillRect/>
                    </a:stretch>
                  </pic:blipFill>
                  <pic:spPr>
                    <a:xfrm>
                      <a:off x="0" y="0"/>
                      <a:ext cx="772527" cy="843293"/>
                    </a:xfrm>
                    <a:prstGeom prst="rect">
                      <a:avLst/>
                    </a:prstGeom>
                  </pic:spPr>
                </pic:pic>
              </a:graphicData>
            </a:graphic>
          </wp:inline>
        </w:drawing>
      </w:r>
      <w:r w:rsidRPr="00EC0229">
        <w:rPr>
          <w:rFonts w:cs="Times New Roman"/>
          <w:szCs w:val="24"/>
        </w:rPr>
        <w:tab/>
      </w:r>
      <w:r w:rsidRPr="00EC0229">
        <w:rPr>
          <w:rFonts w:cs="Times New Roman"/>
          <w:noProof/>
          <w:szCs w:val="24"/>
          <w:lang w:eastAsia="en-GB"/>
        </w:rPr>
        <w:drawing>
          <wp:inline distT="0" distB="0" distL="0" distR="0" wp14:anchorId="70CD6725" wp14:editId="12FAE88F">
            <wp:extent cx="861060" cy="854821"/>
            <wp:effectExtent l="0" t="0" r="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993_9076rev.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876250" cy="869901"/>
                    </a:xfrm>
                    <a:prstGeom prst="rect">
                      <a:avLst/>
                    </a:prstGeom>
                  </pic:spPr>
                </pic:pic>
              </a:graphicData>
            </a:graphic>
          </wp:inline>
        </w:drawing>
      </w:r>
      <w:r w:rsidRPr="00EC0229">
        <w:rPr>
          <w:rFonts w:cs="Times New Roman"/>
          <w:noProof/>
          <w:szCs w:val="24"/>
          <w:lang w:eastAsia="en-GB"/>
        </w:rPr>
        <w:drawing>
          <wp:inline distT="0" distB="0" distL="0" distR="0" wp14:anchorId="3EB88200" wp14:editId="476021DA">
            <wp:extent cx="804672" cy="795528"/>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shmolean T&amp;S 76 Sutherland 75b R.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804672" cy="795528"/>
                    </a:xfrm>
                    <a:prstGeom prst="rect">
                      <a:avLst/>
                    </a:prstGeom>
                  </pic:spPr>
                </pic:pic>
              </a:graphicData>
            </a:graphic>
          </wp:inline>
        </w:drawing>
      </w:r>
      <w:r w:rsidRPr="00EC0229">
        <w:rPr>
          <w:rFonts w:cs="Times New Roman"/>
          <w:szCs w:val="24"/>
        </w:rPr>
        <w:tab/>
      </w:r>
      <w:r w:rsidRPr="00EC0229">
        <w:rPr>
          <w:rFonts w:cs="Times New Roman"/>
          <w:noProof/>
          <w:szCs w:val="24"/>
          <w:lang w:eastAsia="en-GB"/>
        </w:rPr>
        <w:drawing>
          <wp:inline distT="0" distB="0" distL="0" distR="0" wp14:anchorId="4DFF7898" wp14:editId="5CC2353C">
            <wp:extent cx="831483" cy="837688"/>
            <wp:effectExtent l="0" t="0" r="6985"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M 0016_obv.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840795" cy="847069"/>
                    </a:xfrm>
                    <a:prstGeom prst="rect">
                      <a:avLst/>
                    </a:prstGeom>
                  </pic:spPr>
                </pic:pic>
              </a:graphicData>
            </a:graphic>
          </wp:inline>
        </w:drawing>
      </w:r>
      <w:r w:rsidRPr="00EC0229">
        <w:rPr>
          <w:rFonts w:cs="Times New Roman"/>
          <w:noProof/>
          <w:szCs w:val="24"/>
          <w:lang w:eastAsia="en-GB"/>
        </w:rPr>
        <w:drawing>
          <wp:inline distT="0" distB="0" distL="0" distR="0" wp14:anchorId="21812CB8" wp14:editId="739D5439">
            <wp:extent cx="857285" cy="835543"/>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M 0016_rev.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874718" cy="852534"/>
                    </a:xfrm>
                    <a:prstGeom prst="rect">
                      <a:avLst/>
                    </a:prstGeom>
                  </pic:spPr>
                </pic:pic>
              </a:graphicData>
            </a:graphic>
          </wp:inline>
        </w:drawing>
      </w:r>
    </w:p>
    <w:p w14:paraId="77E102A5" w14:textId="26ECC92A" w:rsidR="00CF62CA" w:rsidRPr="00EC0229" w:rsidRDefault="00CF62CA" w:rsidP="007600EA">
      <w:pPr>
        <w:pStyle w:val="NoSpacing"/>
        <w:spacing w:line="360" w:lineRule="auto"/>
        <w:jc w:val="center"/>
        <w:rPr>
          <w:sz w:val="20"/>
          <w:szCs w:val="20"/>
        </w:rPr>
      </w:pPr>
      <w:bookmarkStart w:id="562" w:name="_Ref430247906"/>
      <w:bookmarkStart w:id="563" w:name="_Toc46826704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76</w:t>
      </w:r>
      <w:r w:rsidRPr="00EC0229">
        <w:rPr>
          <w:sz w:val="20"/>
          <w:szCs w:val="20"/>
        </w:rPr>
        <w:fldChar w:fldCharType="end"/>
      </w:r>
      <w:bookmarkEnd w:id="562"/>
      <w:r w:rsidRPr="00EC0229">
        <w:rPr>
          <w:sz w:val="20"/>
          <w:szCs w:val="20"/>
        </w:rPr>
        <w:t>: York</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York</w:instrText>
      </w:r>
      <w:r w:rsidRPr="00EC0229">
        <w:rPr>
          <w:sz w:val="20"/>
          <w:szCs w:val="20"/>
        </w:rPr>
        <w:instrText xml:space="preserve">" </w:instrText>
      </w:r>
      <w:r w:rsidRPr="00EC0229">
        <w:rPr>
          <w:sz w:val="20"/>
          <w:szCs w:val="20"/>
        </w:rPr>
        <w:fldChar w:fldCharType="end"/>
      </w:r>
      <w:r w:rsidRPr="00EC0229">
        <w:rPr>
          <w:sz w:val="20"/>
          <w:szCs w:val="20"/>
        </w:rPr>
        <w:t xml:space="preserve"> gold</w:t>
      </w:r>
      <w:r w:rsidRPr="00EC0229">
        <w:rPr>
          <w:sz w:val="20"/>
          <w:szCs w:val="20"/>
        </w:rPr>
        <w:fldChar w:fldCharType="begin"/>
      </w:r>
      <w:r w:rsidRPr="00EC0229">
        <w:rPr>
          <w:sz w:val="20"/>
          <w:szCs w:val="20"/>
        </w:rPr>
        <w:instrText xml:space="preserve"> XE "</w:instrText>
      </w:r>
      <w:r w:rsidRPr="00EC0229">
        <w:rPr>
          <w:rFonts w:eastAsia="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shillings associated with Parliament Street landscaping before 1846</w:t>
      </w:r>
      <w:bookmarkEnd w:id="563"/>
    </w:p>
    <w:p w14:paraId="0E2F5F04" w14:textId="77777777" w:rsidR="00CF62CA" w:rsidRPr="00EC0229" w:rsidRDefault="00CF62CA" w:rsidP="007600EA">
      <w:pPr>
        <w:pStyle w:val="NoSpacing"/>
        <w:spacing w:line="360" w:lineRule="auto"/>
        <w:jc w:val="center"/>
        <w:rPr>
          <w:rFonts w:cs="Times New Roman"/>
          <w:sz w:val="20"/>
          <w:szCs w:val="20"/>
        </w:rPr>
      </w:pPr>
      <w:r w:rsidRPr="00EC0229">
        <w:rPr>
          <w:sz w:val="20"/>
          <w:szCs w:val="20"/>
        </w:rPr>
        <w:t xml:space="preserve">Sutherland 75a-c. </w:t>
      </w:r>
      <w:r w:rsidRPr="00EC0229">
        <w:rPr>
          <w:rFonts w:cs="Times New Roman"/>
          <w:sz w:val="20"/>
          <w:szCs w:val="20"/>
        </w:rPr>
        <w:t>Locations (L to R): Yorkshire Museum (stolen), Ashmolean and British Museums.</w:t>
      </w:r>
    </w:p>
    <w:p w14:paraId="4A5CE5A8" w14:textId="77777777" w:rsidR="00CF62CA" w:rsidRPr="00EC0229" w:rsidRDefault="00CF62CA" w:rsidP="007600EA">
      <w:pPr>
        <w:pStyle w:val="NoSpacing"/>
        <w:spacing w:line="360" w:lineRule="auto"/>
        <w:rPr>
          <w:szCs w:val="24"/>
        </w:rPr>
      </w:pPr>
    </w:p>
    <w:p w14:paraId="68E349A0" w14:textId="42B673D9" w:rsidR="00CF62CA" w:rsidRPr="00EC0229" w:rsidRDefault="00CF62CA" w:rsidP="007600EA">
      <w:pPr>
        <w:pStyle w:val="NoSpacing"/>
        <w:spacing w:line="360" w:lineRule="auto"/>
        <w:rPr>
          <w:szCs w:val="24"/>
        </w:rPr>
      </w:pP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Pr="00EC0229">
        <w:rPr>
          <w:i/>
          <w:szCs w:val="24"/>
        </w:rPr>
        <w:t xml:space="preserve"> </w:t>
      </w:r>
      <w:r w:rsidR="005755EC" w:rsidRPr="00EC0229">
        <w:rPr>
          <w:i/>
          <w:szCs w:val="24"/>
        </w:rPr>
        <w:t>8.01</w:t>
      </w:r>
      <w:r w:rsidRPr="00EC0229">
        <w:rPr>
          <w:szCs w:val="24"/>
        </w:rPr>
        <w:t xml:space="preserve"> has been compiled from two sources of single finds of sceats and stycas in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with specific site details: specimens listed in Pirie</w:t>
      </w:r>
      <w:r w:rsidRPr="00EC0229">
        <w:rPr>
          <w:szCs w:val="24"/>
        </w:rPr>
        <w:fldChar w:fldCharType="begin"/>
      </w:r>
      <w:r w:rsidRPr="00EC0229">
        <w:instrText xml:space="preserve"> XE "Pirie" </w:instrText>
      </w:r>
      <w:r w:rsidRPr="00EC0229">
        <w:rPr>
          <w:szCs w:val="24"/>
        </w:rPr>
        <w:fldChar w:fldCharType="end"/>
      </w:r>
      <w:r w:rsidRPr="00EC0229">
        <w:rPr>
          <w:szCs w:val="24"/>
        </w:rPr>
        <w:t>’s inventory,</w:t>
      </w:r>
      <w:r w:rsidRPr="00EC0229">
        <w:rPr>
          <w:rStyle w:val="FootnoteReference"/>
          <w:szCs w:val="24"/>
        </w:rPr>
        <w:footnoteReference w:id="936"/>
      </w:r>
      <w:r w:rsidRPr="00EC0229">
        <w:rPr>
          <w:szCs w:val="24"/>
        </w:rPr>
        <w:t xml:space="preserve"> but not elsewhere, have been augmented by items in the thesis </w:t>
      </w:r>
      <w:r w:rsidR="005D0690" w:rsidRPr="00EC0229">
        <w:rPr>
          <w:szCs w:val="24"/>
        </w:rPr>
        <w:t>database</w:t>
      </w:r>
      <w:r w:rsidRPr="00EC0229">
        <w:rPr>
          <w:szCs w:val="24"/>
        </w:rPr>
        <w:t>. The hoards are excluded.</w:t>
      </w:r>
      <w:r w:rsidR="00057F2E">
        <w:rPr>
          <w:szCs w:val="24"/>
        </w:rPr>
        <w:t xml:space="preserve"> </w:t>
      </w:r>
      <w:r w:rsidR="00057F2E">
        <w:t xml:space="preserve">See </w:t>
      </w:r>
      <w:r w:rsidR="00057F2E" w:rsidRPr="00A07A08">
        <w:rPr>
          <w:i/>
        </w:rPr>
        <w:t>Graph 7.</w:t>
      </w:r>
      <w:r w:rsidR="00057F2E">
        <w:rPr>
          <w:i/>
        </w:rPr>
        <w:t>02 no. 23</w:t>
      </w:r>
      <w:r w:rsidR="00057F2E">
        <w:t>.</w:t>
      </w:r>
    </w:p>
    <w:p w14:paraId="728C7908" w14:textId="77777777" w:rsidR="00CF62CA" w:rsidRPr="00EC0229" w:rsidRDefault="00CF62CA" w:rsidP="007600EA">
      <w:pPr>
        <w:pStyle w:val="NoSpacing"/>
        <w:spacing w:line="360" w:lineRule="auto"/>
        <w:rPr>
          <w:color w:val="000000" w:themeColor="text1"/>
          <w:szCs w:val="24"/>
        </w:rPr>
      </w:pPr>
    </w:p>
    <w:p w14:paraId="120C160E" w14:textId="39D7E561" w:rsidR="00CF62CA" w:rsidRPr="00EC0229" w:rsidRDefault="00CF62CA" w:rsidP="007600EA">
      <w:pPr>
        <w:pStyle w:val="NoSpacing"/>
        <w:spacing w:line="360" w:lineRule="auto"/>
        <w:rPr>
          <w:color w:val="000000" w:themeColor="text1"/>
          <w:szCs w:val="24"/>
        </w:rPr>
      </w:pPr>
      <w:r w:rsidRPr="00EC0229">
        <w:rPr>
          <w:color w:val="000000" w:themeColor="text1"/>
          <w:szCs w:val="24"/>
        </w:rPr>
        <w:t xml:space="preserve">In respect of the Coppergate finds, Hall remarked on the irregular context in the second half of the ninth century </w:t>
      </w:r>
      <w:r w:rsidRPr="00EC0229">
        <w:rPr>
          <w:i/>
          <w:color w:val="000000" w:themeColor="text1"/>
          <w:szCs w:val="24"/>
        </w:rPr>
        <w:t>above</w:t>
      </w:r>
      <w:r w:rsidRPr="00EC0229">
        <w:rPr>
          <w:color w:val="000000" w:themeColor="text1"/>
          <w:szCs w:val="24"/>
        </w:rPr>
        <w:t xml:space="preserve"> the fired surfaces and associated human remains archaeo-magnetically dated to around the time of the fall of </w:t>
      </w:r>
      <w:r w:rsidRPr="00EC0229">
        <w:rPr>
          <w:rFonts w:cs="Times New Roman"/>
          <w:color w:val="000000" w:themeColor="text1"/>
          <w:szCs w:val="24"/>
        </w:rPr>
        <w:t>York</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860</w:t>
      </w:r>
      <m:oMath>
        <m:r>
          <w:rPr>
            <w:rFonts w:ascii="Cambria Math" w:hAnsi="Cambria Math" w:cs="Times New Roman"/>
            <w:color w:val="000000" w:themeColor="text1"/>
            <w:szCs w:val="24"/>
          </w:rPr>
          <m:t>±20</m:t>
        </m:r>
      </m:oMath>
      <w:r w:rsidRPr="00EC0229">
        <w:rPr>
          <w:rFonts w:cs="Times New Roman"/>
          <w:color w:val="000000" w:themeColor="text1"/>
          <w:szCs w:val="24"/>
        </w:rPr>
        <w:t>. The</w:t>
      </w:r>
      <w:r w:rsidRPr="00EC0229">
        <w:rPr>
          <w:color w:val="000000" w:themeColor="text1"/>
          <w:szCs w:val="24"/>
        </w:rPr>
        <w:t xml:space="preserve"> inf</w:t>
      </w:r>
      <w:r w:rsidR="00E1065A" w:rsidRPr="00EC0229">
        <w:rPr>
          <w:color w:val="000000" w:themeColor="text1"/>
          <w:szCs w:val="24"/>
        </w:rPr>
        <w:t xml:space="preserve">erence is that the ‘coins were </w:t>
      </w:r>
      <w:r w:rsidRPr="00EC0229">
        <w:rPr>
          <w:color w:val="000000" w:themeColor="text1"/>
          <w:szCs w:val="24"/>
        </w:rPr>
        <w:t>deposited in contexts that apparently accumulated appreciably later than their striking…This difficulty in interpretation at the 16-22 Coppergate site represents in microcosm the problem of discussing generally whether stycas continued in circulation in the later 9</w:t>
      </w:r>
      <w:r w:rsidRPr="00EC0229">
        <w:rPr>
          <w:color w:val="000000" w:themeColor="text1"/>
          <w:szCs w:val="24"/>
          <w:vertAlign w:val="superscript"/>
        </w:rPr>
        <w:t>th</w:t>
      </w:r>
      <w:r w:rsidRPr="00EC0229">
        <w:rPr>
          <w:color w:val="000000" w:themeColor="text1"/>
          <w:szCs w:val="24"/>
        </w:rPr>
        <w:t xml:space="preserve"> century.’</w:t>
      </w:r>
      <w:r w:rsidRPr="00EC0229">
        <w:rPr>
          <w:rStyle w:val="FootnoteReference"/>
          <w:color w:val="000000" w:themeColor="text1"/>
          <w:szCs w:val="24"/>
        </w:rPr>
        <w:t xml:space="preserve"> </w:t>
      </w:r>
      <w:r w:rsidRPr="00EC0229">
        <w:rPr>
          <w:rStyle w:val="FootnoteReference"/>
          <w:color w:val="000000" w:themeColor="text1"/>
          <w:szCs w:val="24"/>
        </w:rPr>
        <w:footnoteReference w:id="937"/>
      </w:r>
      <w:r w:rsidRPr="00EC0229">
        <w:rPr>
          <w:color w:val="000000" w:themeColor="text1"/>
          <w:szCs w:val="24"/>
        </w:rPr>
        <w:t xml:space="preserve"> (See </w:t>
      </w:r>
      <w:r w:rsidRPr="00EC0229">
        <w:rPr>
          <w:color w:val="000000" w:themeColor="text1"/>
          <w:szCs w:val="24"/>
        </w:rPr>
        <w:fldChar w:fldCharType="begin"/>
      </w:r>
      <w:r w:rsidRPr="00EC0229">
        <w:rPr>
          <w:color w:val="000000" w:themeColor="text1"/>
          <w:szCs w:val="24"/>
        </w:rPr>
        <w:instrText xml:space="preserve"> PAGEREF Torksey \h </w:instrText>
      </w:r>
      <w:r w:rsidRPr="00EC0229">
        <w:rPr>
          <w:color w:val="000000" w:themeColor="text1"/>
          <w:szCs w:val="24"/>
        </w:rPr>
      </w:r>
      <w:r w:rsidRPr="00EC0229">
        <w:rPr>
          <w:color w:val="000000" w:themeColor="text1"/>
          <w:szCs w:val="24"/>
        </w:rPr>
        <w:fldChar w:fldCharType="separate"/>
      </w:r>
      <w:r w:rsidR="0012026B">
        <w:rPr>
          <w:noProof/>
          <w:color w:val="000000" w:themeColor="text1"/>
          <w:szCs w:val="24"/>
        </w:rPr>
        <w:t>307</w:t>
      </w:r>
      <w:r w:rsidRPr="00EC0229">
        <w:rPr>
          <w:color w:val="000000" w:themeColor="text1"/>
          <w:szCs w:val="24"/>
        </w:rPr>
        <w:fldChar w:fldCharType="end"/>
      </w:r>
      <w:r w:rsidRPr="00EC0229">
        <w:rPr>
          <w:color w:val="000000" w:themeColor="text1"/>
          <w:szCs w:val="24"/>
        </w:rPr>
        <w:t>, Torksey).</w:t>
      </w:r>
    </w:p>
    <w:p w14:paraId="74B6CB29" w14:textId="77777777" w:rsidR="00CF62CA" w:rsidRPr="00EC0229" w:rsidRDefault="00CF62CA" w:rsidP="007600EA">
      <w:pPr>
        <w:pStyle w:val="NoSpacing"/>
        <w:spacing w:line="360" w:lineRule="auto"/>
        <w:rPr>
          <w:color w:val="000000" w:themeColor="text1"/>
          <w:szCs w:val="24"/>
        </w:rPr>
      </w:pPr>
    </w:p>
    <w:p w14:paraId="239CC6F4" w14:textId="2D70FEA3" w:rsidR="00CF62CA" w:rsidRPr="00EC0229" w:rsidRDefault="00CF62CA" w:rsidP="007600EA">
      <w:pPr>
        <w:pStyle w:val="NoSpacing"/>
        <w:spacing w:line="360" w:lineRule="auto"/>
        <w:rPr>
          <w:color w:val="000000" w:themeColor="text1"/>
          <w:szCs w:val="24"/>
        </w:rPr>
      </w:pPr>
      <w:r w:rsidRPr="00EC0229">
        <w:rPr>
          <w:color w:val="000000" w:themeColor="text1"/>
          <w:szCs w:val="24"/>
        </w:rPr>
        <w:t>However, of greater importance is the relative frequency of single finds; they may not be imposing in volume but this is more than compensated for by the widespread distribution</w:t>
      </w:r>
      <w:r w:rsidRPr="00EC0229">
        <w:rPr>
          <w:rStyle w:val="FootnoteReference"/>
          <w:color w:val="000000" w:themeColor="text1"/>
          <w:szCs w:val="24"/>
        </w:rPr>
        <w:footnoteReference w:id="938"/>
      </w:r>
      <w:r w:rsidRPr="00EC0229">
        <w:rPr>
          <w:color w:val="000000" w:themeColor="text1"/>
          <w:szCs w:val="24"/>
        </w:rPr>
        <w:t xml:space="preserve"> demonstrated by twenty-six individual findspots in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Pr="00EC0229">
        <w:rPr>
          <w:i/>
          <w:szCs w:val="24"/>
        </w:rPr>
        <w:t xml:space="preserve"> </w:t>
      </w:r>
      <w:r w:rsidR="00276BC8" w:rsidRPr="00EC0229">
        <w:rPr>
          <w:i/>
          <w:szCs w:val="24"/>
        </w:rPr>
        <w:t>8.01</w:t>
      </w:r>
      <w:r w:rsidRPr="00EC0229">
        <w:rPr>
          <w:szCs w:val="24"/>
        </w:rPr>
        <w:t>. Pottery sherds of the period are distributed over at least three dozen inner-York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sites. </w:t>
      </w:r>
      <w:r w:rsidRPr="00EC0229">
        <w:rPr>
          <w:color w:val="000000" w:themeColor="text1"/>
          <w:szCs w:val="24"/>
        </w:rPr>
        <w:t>Crucially, these scattered finds are mere pinpricks in the archaeological</w:t>
      </w:r>
      <w:r w:rsidRPr="00EC0229">
        <w:rPr>
          <w:color w:val="000000" w:themeColor="text1"/>
          <w:szCs w:val="24"/>
        </w:rPr>
        <w:fldChar w:fldCharType="begin"/>
      </w:r>
      <w:r w:rsidRPr="00EC0229">
        <w:instrText xml:space="preserve"> XE "</w:instrText>
      </w:r>
      <w:r w:rsidRPr="00EC0229">
        <w:rPr>
          <w:rFonts w:eastAsia="Times New Roman" w:cs="Times New Roman"/>
          <w:szCs w:val="24"/>
          <w:lang w:eastAsia="en-GB"/>
        </w:rPr>
        <w:instrText>archaeological</w:instrText>
      </w:r>
      <w:r w:rsidRPr="00EC0229">
        <w:instrText xml:space="preserve">" </w:instrText>
      </w:r>
      <w:r w:rsidRPr="00EC0229">
        <w:rPr>
          <w:color w:val="000000" w:themeColor="text1"/>
          <w:szCs w:val="24"/>
        </w:rPr>
        <w:fldChar w:fldCharType="end"/>
      </w:r>
      <w:r w:rsidRPr="00EC0229">
        <w:rPr>
          <w:color w:val="000000" w:themeColor="text1"/>
          <w:szCs w:val="24"/>
        </w:rPr>
        <w:t xml:space="preserve"> fabric giving a highly restricted view into the densely developed </w:t>
      </w:r>
      <w:r w:rsidRPr="00EC0229">
        <w:rPr>
          <w:color w:val="000000" w:themeColor="text1"/>
          <w:szCs w:val="24"/>
        </w:rPr>
        <w:lastRenderedPageBreak/>
        <w:t>Anglian</w:t>
      </w:r>
      <w:r w:rsidRPr="00EC0229">
        <w:rPr>
          <w:color w:val="000000" w:themeColor="text1"/>
          <w:szCs w:val="24"/>
        </w:rPr>
        <w:fldChar w:fldCharType="begin"/>
      </w:r>
      <w:r w:rsidRPr="00EC0229">
        <w:instrText xml:space="preserve"> XE "Anglian" </w:instrText>
      </w:r>
      <w:r w:rsidRPr="00EC0229">
        <w:rPr>
          <w:color w:val="000000" w:themeColor="text1"/>
          <w:szCs w:val="24"/>
        </w:rPr>
        <w:fldChar w:fldCharType="end"/>
      </w:r>
      <w:r w:rsidRPr="00EC0229">
        <w:rPr>
          <w:color w:val="000000" w:themeColor="text1"/>
          <w:szCs w:val="24"/>
        </w:rPr>
        <w:t xml:space="preserve"> urban landscape</w:t>
      </w:r>
      <w:r w:rsidRPr="00EC0229">
        <w:rPr>
          <w:color w:val="000000" w:themeColor="text1"/>
          <w:szCs w:val="24"/>
        </w:rPr>
        <w:fldChar w:fldCharType="begin"/>
      </w:r>
      <w:r w:rsidRPr="00EC0229">
        <w:instrText xml:space="preserve"> XE "</w:instrText>
      </w:r>
      <w:r w:rsidRPr="00EC0229">
        <w:rPr>
          <w:rFonts w:cs="Times New Roman"/>
          <w:b/>
          <w:color w:val="000000" w:themeColor="text1"/>
          <w:sz w:val="56"/>
          <w:szCs w:val="56"/>
        </w:rPr>
        <w:instrText>landscape</w:instrText>
      </w:r>
      <w:r w:rsidRPr="00EC0229">
        <w:instrText xml:space="preserve">" </w:instrText>
      </w:r>
      <w:r w:rsidRPr="00EC0229">
        <w:rPr>
          <w:color w:val="000000" w:themeColor="text1"/>
          <w:szCs w:val="24"/>
        </w:rPr>
        <w:fldChar w:fldCharType="end"/>
      </w:r>
      <w:r w:rsidRPr="00EC0229">
        <w:rPr>
          <w:color w:val="000000" w:themeColor="text1"/>
          <w:szCs w:val="24"/>
        </w:rPr>
        <w:t>. That these single coin finds, augmented by the nine larger hoards in Pirie</w:t>
      </w:r>
      <w:r w:rsidRPr="00EC0229">
        <w:rPr>
          <w:color w:val="000000" w:themeColor="text1"/>
          <w:szCs w:val="24"/>
        </w:rPr>
        <w:fldChar w:fldCharType="begin"/>
      </w:r>
      <w:r w:rsidRPr="00EC0229">
        <w:instrText xml:space="preserve"> XE "Pirie" </w:instrText>
      </w:r>
      <w:r w:rsidRPr="00EC0229">
        <w:rPr>
          <w:color w:val="000000" w:themeColor="text1"/>
          <w:szCs w:val="24"/>
        </w:rPr>
        <w:fldChar w:fldCharType="end"/>
      </w:r>
      <w:r w:rsidRPr="00EC0229">
        <w:rPr>
          <w:color w:val="000000" w:themeColor="text1"/>
          <w:szCs w:val="24"/>
        </w:rPr>
        <w:t xml:space="preserve">’s 2000 inventory, give an abundant volume of circulating stycas in York, is uncontested. We, therefore, now have a solid basis to argue that stycas were ubiquitous in the economic environs of York and </w:t>
      </w:r>
      <w:r w:rsidR="003F2041" w:rsidRPr="00EC0229">
        <w:rPr>
          <w:color w:val="000000" w:themeColor="text1"/>
          <w:szCs w:val="24"/>
        </w:rPr>
        <w:t>monetiz</w:t>
      </w:r>
      <w:r w:rsidRPr="00EC0229">
        <w:rPr>
          <w:color w:val="000000" w:themeColor="text1"/>
          <w:szCs w:val="24"/>
        </w:rPr>
        <w:t>ation, as here defined (</w:t>
      </w:r>
      <w:r w:rsidRPr="00EC0229">
        <w:rPr>
          <w:color w:val="000000" w:themeColor="text1"/>
          <w:szCs w:val="24"/>
        </w:rPr>
        <w:fldChar w:fldCharType="begin"/>
      </w:r>
      <w:r w:rsidRPr="00EC0229">
        <w:rPr>
          <w:color w:val="000000" w:themeColor="text1"/>
          <w:szCs w:val="24"/>
        </w:rPr>
        <w:instrText xml:space="preserve"> PAGEREF monetization \h </w:instrText>
      </w:r>
      <w:r w:rsidRPr="00EC0229">
        <w:rPr>
          <w:color w:val="000000" w:themeColor="text1"/>
          <w:szCs w:val="24"/>
        </w:rPr>
      </w:r>
      <w:r w:rsidRPr="00EC0229">
        <w:rPr>
          <w:color w:val="000000" w:themeColor="text1"/>
          <w:szCs w:val="24"/>
        </w:rPr>
        <w:fldChar w:fldCharType="separate"/>
      </w:r>
      <w:r w:rsidR="0012026B">
        <w:rPr>
          <w:noProof/>
          <w:color w:val="000000" w:themeColor="text1"/>
          <w:szCs w:val="24"/>
        </w:rPr>
        <w:t>74</w:t>
      </w:r>
      <w:r w:rsidRPr="00EC0229">
        <w:rPr>
          <w:color w:val="000000" w:themeColor="text1"/>
          <w:szCs w:val="24"/>
        </w:rPr>
        <w:fldChar w:fldCharType="end"/>
      </w:r>
      <w:r w:rsidRPr="00EC0229">
        <w:rPr>
          <w:color w:val="000000" w:themeColor="text1"/>
          <w:szCs w:val="24"/>
        </w:rPr>
        <w:t>)</w:t>
      </w:r>
      <w:r w:rsidRPr="00EC0229">
        <w:rPr>
          <w:color w:val="000000" w:themeColor="text1"/>
          <w:szCs w:val="24"/>
        </w:rPr>
        <w:fldChar w:fldCharType="begin"/>
      </w:r>
      <w:r w:rsidRPr="00EC0229">
        <w:instrText xml:space="preserve"> XE "monetization" </w:instrText>
      </w:r>
      <w:r w:rsidRPr="00EC0229">
        <w:rPr>
          <w:color w:val="000000" w:themeColor="text1"/>
          <w:szCs w:val="24"/>
        </w:rPr>
        <w:fldChar w:fldCharType="end"/>
      </w:r>
      <w:r w:rsidRPr="00EC0229">
        <w:rPr>
          <w:color w:val="000000" w:themeColor="text1"/>
          <w:szCs w:val="24"/>
        </w:rPr>
        <w:t xml:space="preserve"> is an irresistible conclusion. However, it is important to establish that this was not merely an urban phenomenon as has been claimed for </w:t>
      </w:r>
      <w:r w:rsidR="003F2041" w:rsidRPr="00EC0229">
        <w:rPr>
          <w:color w:val="000000" w:themeColor="text1"/>
          <w:szCs w:val="24"/>
        </w:rPr>
        <w:t>monetiz</w:t>
      </w:r>
      <w:r w:rsidRPr="00EC0229">
        <w:rPr>
          <w:color w:val="000000" w:themeColor="text1"/>
          <w:szCs w:val="24"/>
        </w:rPr>
        <w:t>ation in Roman</w:t>
      </w:r>
      <w:r w:rsidRPr="00EC0229">
        <w:rPr>
          <w:color w:val="000000" w:themeColor="text1"/>
          <w:szCs w:val="24"/>
        </w:rPr>
        <w:fldChar w:fldCharType="begin"/>
      </w:r>
      <w:r w:rsidRPr="00EC0229">
        <w:instrText xml:space="preserve"> XE "Roman" </w:instrText>
      </w:r>
      <w:r w:rsidRPr="00EC0229">
        <w:rPr>
          <w:color w:val="000000" w:themeColor="text1"/>
          <w:szCs w:val="24"/>
        </w:rPr>
        <w:fldChar w:fldCharType="end"/>
      </w:r>
      <w:r w:rsidRPr="00EC0229">
        <w:rPr>
          <w:color w:val="000000" w:themeColor="text1"/>
          <w:szCs w:val="24"/>
        </w:rPr>
        <w:t xml:space="preserve"> Britain.</w:t>
      </w:r>
      <w:r w:rsidRPr="00EC0229">
        <w:rPr>
          <w:rStyle w:val="FootnoteReference"/>
          <w:color w:val="000000" w:themeColor="text1"/>
          <w:szCs w:val="24"/>
        </w:rPr>
        <w:footnoteReference w:id="939"/>
      </w:r>
      <w:r w:rsidRPr="00EC0229">
        <w:rPr>
          <w:color w:val="000000" w:themeColor="text1"/>
          <w:szCs w:val="24"/>
        </w:rPr>
        <w:t xml:space="preserve"> That volumes of Roman coinage were very substantially higher does not detract from Anglian </w:t>
      </w:r>
      <w:r w:rsidR="003F2041" w:rsidRPr="00EC0229">
        <w:rPr>
          <w:color w:val="000000" w:themeColor="text1"/>
          <w:szCs w:val="24"/>
        </w:rPr>
        <w:t>monetiz</w:t>
      </w:r>
      <w:r w:rsidRPr="00EC0229">
        <w:rPr>
          <w:color w:val="000000" w:themeColor="text1"/>
          <w:szCs w:val="24"/>
        </w:rPr>
        <w:t>ation, as a threshold has been crossed when routine transactions depend on the use of coin.</w:t>
      </w:r>
    </w:p>
    <w:p w14:paraId="50893736" w14:textId="5A5F6831" w:rsidR="00CF62CA" w:rsidRPr="00EC0229" w:rsidRDefault="00CF62CA" w:rsidP="007600EA">
      <w:pPr>
        <w:pStyle w:val="NoSpacing"/>
        <w:spacing w:line="360" w:lineRule="auto"/>
        <w:rPr>
          <w:color w:val="000000" w:themeColor="text1"/>
          <w:szCs w:val="24"/>
        </w:rPr>
      </w:pPr>
    </w:p>
    <w:p w14:paraId="3B17F1C7" w14:textId="1BB33FCD" w:rsidR="00CF62CA" w:rsidRPr="007A3166" w:rsidRDefault="00CF62CA" w:rsidP="007600EA">
      <w:pPr>
        <w:pStyle w:val="Heading4"/>
        <w:spacing w:line="360" w:lineRule="auto"/>
        <w:rPr>
          <w:b/>
        </w:rPr>
      </w:pPr>
      <w:bookmarkStart w:id="564" w:name="YorkMinster"/>
      <w:bookmarkStart w:id="565" w:name="_Toc468266859"/>
      <w:bookmarkEnd w:id="564"/>
      <w:r w:rsidRPr="007A3166">
        <w:rPr>
          <w:b/>
        </w:rPr>
        <w:t>Outer York</w:t>
      </w:r>
      <w:bookmarkEnd w:id="565"/>
      <w:r w:rsidRPr="007A3166">
        <w:rPr>
          <w:b/>
        </w:rPr>
        <w:fldChar w:fldCharType="begin"/>
      </w:r>
      <w:r w:rsidRPr="007A3166">
        <w:rPr>
          <w:b/>
        </w:rPr>
        <w:instrText xml:space="preserve"> XE "</w:instrText>
      </w:r>
      <w:r w:rsidRPr="007A3166">
        <w:rPr>
          <w:rStyle w:val="Hyperlink"/>
          <w:b/>
          <w:noProof/>
          <w:u w:val="none"/>
        </w:rPr>
        <w:instrText>York</w:instrText>
      </w:r>
      <w:r w:rsidRPr="007A3166">
        <w:rPr>
          <w:b/>
        </w:rPr>
        <w:instrText xml:space="preserve">" </w:instrText>
      </w:r>
      <w:r w:rsidRPr="007A3166">
        <w:rPr>
          <w:b/>
        </w:rPr>
        <w:fldChar w:fldCharType="end"/>
      </w:r>
    </w:p>
    <w:p w14:paraId="20A32CFF" w14:textId="74CDE371" w:rsidR="00CF62CA" w:rsidRPr="00EC0229" w:rsidRDefault="00CF62CA" w:rsidP="007600EA">
      <w:pPr>
        <w:pStyle w:val="NoSpacing"/>
        <w:spacing w:line="360" w:lineRule="auto"/>
      </w:pPr>
      <w:r w:rsidRPr="00EC0229">
        <w:t>The small number of finds on the periphery of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w:t>
      </w:r>
      <w:r w:rsidR="00103FB3">
        <w:t>summarize</w:t>
      </w:r>
      <w:r w:rsidRPr="00EC0229">
        <w:t xml:space="preserve">d by issuer in </w:t>
      </w:r>
      <w:r w:rsidRPr="00EC0229">
        <w:rPr>
          <w:i/>
        </w:rPr>
        <w:t xml:space="preserve">Table </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00276BC8" w:rsidRPr="00EC0229">
        <w:rPr>
          <w:i/>
        </w:rPr>
        <w:t>8.</w:t>
      </w:r>
      <w:r w:rsidRPr="00EC0229">
        <w:rPr>
          <w:i/>
        </w:rPr>
        <w:t>0</w:t>
      </w:r>
      <w:r w:rsidR="005755EC" w:rsidRPr="00EC0229">
        <w:rPr>
          <w:i/>
        </w:rPr>
        <w:t>7</w:t>
      </w:r>
      <w:r w:rsidRPr="00EC0229">
        <w:rPr>
          <w:i/>
        </w:rPr>
        <w:t xml:space="preserve"> </w:t>
      </w:r>
      <w:r w:rsidRPr="00EC0229">
        <w:t xml:space="preserve">are of limited value as the sites, and probably a large number of other finds, are undisclosed. </w:t>
      </w:r>
      <w:r w:rsidR="004F5492">
        <w:t xml:space="preserve">See </w:t>
      </w:r>
      <w:r w:rsidR="004F5492" w:rsidRPr="00A07A08">
        <w:rPr>
          <w:i/>
        </w:rPr>
        <w:t>Graph 7.</w:t>
      </w:r>
      <w:r w:rsidR="004F5492">
        <w:rPr>
          <w:i/>
        </w:rPr>
        <w:t>02 no. 27</w:t>
      </w:r>
      <w:r w:rsidR="004F5492">
        <w:t xml:space="preserve">. </w:t>
      </w:r>
      <w:r w:rsidRPr="00EC0229">
        <w:t>Pirie</w:t>
      </w:r>
      <w:r w:rsidRPr="00EC0229">
        <w:fldChar w:fldCharType="begin"/>
      </w:r>
      <w:r w:rsidRPr="00EC0229">
        <w:instrText xml:space="preserve"> XE "Pirie" </w:instrText>
      </w:r>
      <w:r w:rsidRPr="00EC0229">
        <w:fldChar w:fldCharType="end"/>
      </w:r>
      <w:r w:rsidRPr="00EC0229">
        <w:t xml:space="preserve"> lists three such sites,</w:t>
      </w:r>
      <w:r w:rsidRPr="00EC0229">
        <w:rPr>
          <w:rStyle w:val="FootnoteReference"/>
        </w:rPr>
        <w:footnoteReference w:id="940"/>
      </w:r>
      <w:r w:rsidRPr="00EC0229">
        <w:t xml:space="preserve"> the largest, referred to as the ‘near York productive site’ and explored in 1987-8, produced a sceat of Eadberht</w:t>
      </w:r>
      <w:r w:rsidRPr="00EC0229">
        <w:fldChar w:fldCharType="begin"/>
      </w:r>
      <w:r w:rsidRPr="00EC0229">
        <w:instrText xml:space="preserve"> XE "Eadberht" </w:instrText>
      </w:r>
      <w:r w:rsidRPr="00EC0229">
        <w:fldChar w:fldCharType="end"/>
      </w:r>
      <w:r w:rsidRPr="00EC0229">
        <w:t xml:space="preserve"> and nine brass stycas. A silver-alloy</w:t>
      </w:r>
      <w:r w:rsidRPr="00EC0229">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fldChar w:fldCharType="end"/>
      </w:r>
      <w:r w:rsidRPr="00EC0229">
        <w:t xml:space="preserve"> coin of Eanred</w:t>
      </w:r>
      <w:r w:rsidRPr="00EC0229">
        <w:fldChar w:fldCharType="begin"/>
      </w:r>
      <w:r w:rsidRPr="00EC0229">
        <w:instrText xml:space="preserve"> XE "Eanred" </w:instrText>
      </w:r>
      <w:r w:rsidRPr="00EC0229">
        <w:fldChar w:fldCharType="end"/>
      </w:r>
      <w:r w:rsidRPr="00EC0229">
        <w:t xml:space="preserve"> by Cynewulf was found at Dunnington church</w:t>
      </w:r>
      <w:r w:rsidRPr="00EC0229">
        <w:fldChar w:fldCharType="begin"/>
      </w:r>
      <w:r w:rsidRPr="00EC0229">
        <w:instrText xml:space="preserve"> XE "</w:instrText>
      </w:r>
      <w:r w:rsidRPr="00EC0229">
        <w:rPr>
          <w:rFonts w:cs="Times New Roman"/>
          <w:szCs w:val="24"/>
        </w:rPr>
        <w:instrText>church</w:instrText>
      </w:r>
      <w:r w:rsidRPr="00EC0229">
        <w:instrText xml:space="preserve">" </w:instrText>
      </w:r>
      <w:r w:rsidRPr="00EC0229">
        <w:fldChar w:fldCharType="end"/>
      </w:r>
      <w:r w:rsidRPr="00EC0229">
        <w:t xml:space="preserve"> in 1991 and Dunnington has also yielded a variety Ai York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shilling </w:t>
      </w:r>
      <w:r w:rsidRPr="00EC0229">
        <w:rPr>
          <w:szCs w:val="24"/>
        </w:rPr>
        <w:t>(</w:t>
      </w:r>
      <w:r w:rsidRPr="00EC0229">
        <w:rPr>
          <w:szCs w:val="24"/>
        </w:rPr>
        <w:fldChar w:fldCharType="begin"/>
      </w:r>
      <w:r w:rsidRPr="00EC0229">
        <w:rPr>
          <w:szCs w:val="24"/>
        </w:rPr>
        <w:instrText xml:space="preserve"> REF _Ref430247879 \h  \* MERGEFORMAT </w:instrText>
      </w:r>
      <w:r w:rsidRPr="00EC0229">
        <w:rPr>
          <w:szCs w:val="24"/>
        </w:rPr>
      </w:r>
      <w:r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77</w:t>
      </w:r>
      <w:r w:rsidRPr="00EC0229">
        <w:rPr>
          <w:szCs w:val="24"/>
        </w:rPr>
        <w:fldChar w:fldCharType="end"/>
      </w:r>
      <w:r w:rsidRPr="00EC0229">
        <w:t>), [3b], a sceat of Aldfrith [4a]</w:t>
      </w:r>
      <w:r w:rsidRPr="00EC0229">
        <w:fldChar w:fldCharType="begin"/>
      </w:r>
      <w:r w:rsidRPr="00EC0229">
        <w:instrText xml:space="preserve"> XE "Aldfrith" </w:instrText>
      </w:r>
      <w:r w:rsidRPr="00EC0229">
        <w:fldChar w:fldCharType="end"/>
      </w:r>
      <w:r w:rsidRPr="00EC0229">
        <w:t>, a secondary Series</w:t>
      </w:r>
      <w:r w:rsidRPr="00EC0229">
        <w:fldChar w:fldCharType="begin"/>
      </w:r>
      <w:r w:rsidRPr="00EC0229">
        <w:instrText xml:space="preserve"> XE "Series" </w:instrText>
      </w:r>
      <w:r w:rsidRPr="00EC0229">
        <w:fldChar w:fldCharType="end"/>
      </w:r>
      <w:r w:rsidRPr="00EC0229">
        <w:t xml:space="preserve"> E</w:t>
      </w:r>
      <w:r w:rsidRPr="00EC0229">
        <w:fldChar w:fldCharType="begin"/>
      </w:r>
      <w:r w:rsidRPr="00EC0229">
        <w:instrText xml:space="preserve"> XE "Series E" </w:instrText>
      </w:r>
      <w:r w:rsidRPr="00EC0229">
        <w:fldChar w:fldCharType="end"/>
      </w:r>
      <w:r w:rsidRPr="00EC0229">
        <w:t xml:space="preserve"> sceat [5c] and a styca of Osberht [N10b]</w:t>
      </w:r>
      <w:r w:rsidRPr="00EC0229">
        <w:fldChar w:fldCharType="begin"/>
      </w:r>
      <w:r w:rsidRPr="00EC0229">
        <w:instrText xml:space="preserve"> XE "Osberht" </w:instrText>
      </w:r>
      <w:r w:rsidRPr="00EC0229">
        <w:fldChar w:fldCharType="end"/>
      </w:r>
      <w:r w:rsidRPr="00EC0229">
        <w:t>. Another Aldfrith sceat was found at Osbaldwick. Entries in EMC</w:t>
      </w:r>
      <w:r w:rsidRPr="00EC0229">
        <w:fldChar w:fldCharType="begin"/>
      </w:r>
      <w:r w:rsidRPr="00EC0229">
        <w:instrText xml:space="preserve"> XE "EMC" </w:instrText>
      </w:r>
      <w:r w:rsidRPr="00EC0229">
        <w:fldChar w:fldCharType="end"/>
      </w:r>
      <w:r w:rsidRPr="00EC0229">
        <w:t xml:space="preserve"> described as ‘near York’ include eight sceats of Eadberht [N6], one of Alchred</w:t>
      </w:r>
      <w:r w:rsidRPr="00EC0229">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fldChar w:fldCharType="end"/>
      </w:r>
      <w:r w:rsidRPr="00EC0229">
        <w:t xml:space="preserve"> [N6] and eight brass stycas [N10a/c]. Two extremely rare styca moneyers in my own collection, Badigils and Fulcnoth [N10a], described as found ‘near York’ support York as the main, if not sole, styca mint. </w:t>
      </w:r>
    </w:p>
    <w:p w14:paraId="0BE4EF6F" w14:textId="77777777" w:rsidR="00B7034B" w:rsidRPr="00EC0229" w:rsidRDefault="00B7034B" w:rsidP="007600EA">
      <w:pPr>
        <w:pStyle w:val="NoSpacing"/>
        <w:spacing w:line="360" w:lineRule="auto"/>
      </w:pPr>
    </w:p>
    <w:p w14:paraId="2F01F3FA" w14:textId="77777777" w:rsidR="00CF62CA" w:rsidRPr="00EC0229" w:rsidRDefault="00CF62CA" w:rsidP="007600EA">
      <w:pPr>
        <w:pStyle w:val="NoSpacing"/>
        <w:spacing w:line="360" w:lineRule="auto"/>
        <w:jc w:val="center"/>
        <w:rPr>
          <w:sz w:val="20"/>
          <w:szCs w:val="20"/>
        </w:rPr>
      </w:pPr>
      <w:r w:rsidRPr="00EC0229">
        <w:rPr>
          <w:noProof/>
          <w:sz w:val="20"/>
          <w:szCs w:val="20"/>
          <w:lang w:eastAsia="en-GB"/>
        </w:rPr>
        <w:drawing>
          <wp:inline distT="0" distB="0" distL="0" distR="0" wp14:anchorId="75B5168D" wp14:editId="3F2F0533">
            <wp:extent cx="804480" cy="829310"/>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unnington shilling 2010_0154obv.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819342" cy="844630"/>
                    </a:xfrm>
                    <a:prstGeom prst="rect">
                      <a:avLst/>
                    </a:prstGeom>
                  </pic:spPr>
                </pic:pic>
              </a:graphicData>
            </a:graphic>
          </wp:inline>
        </w:drawing>
      </w:r>
      <w:r w:rsidRPr="00EC0229">
        <w:rPr>
          <w:noProof/>
          <w:sz w:val="20"/>
          <w:szCs w:val="20"/>
          <w:lang w:eastAsia="en-GB"/>
        </w:rPr>
        <w:drawing>
          <wp:inline distT="0" distB="0" distL="0" distR="0" wp14:anchorId="09E7579D" wp14:editId="0B18CC99">
            <wp:extent cx="815340" cy="830164"/>
            <wp:effectExtent l="0" t="0" r="3810"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unnington shilling 2010_0154rev.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826070" cy="841089"/>
                    </a:xfrm>
                    <a:prstGeom prst="rect">
                      <a:avLst/>
                    </a:prstGeom>
                  </pic:spPr>
                </pic:pic>
              </a:graphicData>
            </a:graphic>
          </wp:inline>
        </w:drawing>
      </w:r>
    </w:p>
    <w:p w14:paraId="11AD5204" w14:textId="51412189" w:rsidR="00161418" w:rsidRDefault="00CF62CA" w:rsidP="007600EA">
      <w:pPr>
        <w:pStyle w:val="NoSpacing"/>
        <w:spacing w:line="360" w:lineRule="auto"/>
        <w:jc w:val="center"/>
        <w:rPr>
          <w:sz w:val="20"/>
          <w:szCs w:val="20"/>
        </w:rPr>
      </w:pPr>
      <w:bookmarkStart w:id="566" w:name="_Ref430247879"/>
      <w:bookmarkStart w:id="567" w:name="_Toc468267049"/>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77</w:t>
      </w:r>
      <w:r w:rsidRPr="00EC0229">
        <w:rPr>
          <w:sz w:val="20"/>
          <w:szCs w:val="20"/>
        </w:rPr>
        <w:fldChar w:fldCharType="end"/>
      </w:r>
      <w:bookmarkEnd w:id="566"/>
      <w:r w:rsidRPr="00EC0229">
        <w:rPr>
          <w:sz w:val="20"/>
          <w:szCs w:val="20"/>
        </w:rPr>
        <w:t>: Dunnington</w:t>
      </w:r>
      <w:r w:rsidR="00161418">
        <w:rPr>
          <w:sz w:val="20"/>
          <w:szCs w:val="20"/>
        </w:rPr>
        <w:t xml:space="preserve">: </w:t>
      </w:r>
      <w:r w:rsidRPr="00EC0229">
        <w:rPr>
          <w:sz w:val="20"/>
          <w:szCs w:val="20"/>
        </w:rPr>
        <w:t>variety A York</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York</w:instrText>
      </w:r>
      <w:r w:rsidRPr="00EC0229">
        <w:rPr>
          <w:sz w:val="20"/>
          <w:szCs w:val="20"/>
        </w:rPr>
        <w:instrText xml:space="preserve">" </w:instrText>
      </w:r>
      <w:r w:rsidRPr="00EC0229">
        <w:rPr>
          <w:sz w:val="20"/>
          <w:szCs w:val="20"/>
        </w:rPr>
        <w:fldChar w:fldCharType="end"/>
      </w:r>
      <w:r w:rsidRPr="00EC0229">
        <w:rPr>
          <w:sz w:val="20"/>
          <w:szCs w:val="20"/>
        </w:rPr>
        <w:t xml:space="preserve"> gold</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shilling</w:t>
      </w:r>
      <w:bookmarkEnd w:id="567"/>
      <w:r w:rsidRPr="00EC0229">
        <w:rPr>
          <w:sz w:val="20"/>
          <w:szCs w:val="20"/>
        </w:rPr>
        <w:t xml:space="preserve"> </w:t>
      </w:r>
    </w:p>
    <w:p w14:paraId="78F98047" w14:textId="2CD565C0" w:rsidR="00CF62CA" w:rsidRPr="00EC0229" w:rsidRDefault="00CF62CA" w:rsidP="007600EA">
      <w:pPr>
        <w:pStyle w:val="NoSpacing"/>
        <w:spacing w:line="360" w:lineRule="auto"/>
        <w:jc w:val="center"/>
        <w:rPr>
          <w:sz w:val="20"/>
          <w:szCs w:val="20"/>
        </w:rPr>
      </w:pPr>
      <w:r w:rsidRPr="00EC0229">
        <w:rPr>
          <w:sz w:val="20"/>
          <w:szCs w:val="20"/>
        </w:rPr>
        <w:t>(Courtesy EMC</w:t>
      </w:r>
      <w:r w:rsidRPr="00EC0229">
        <w:rPr>
          <w:sz w:val="20"/>
          <w:szCs w:val="20"/>
        </w:rPr>
        <w:fldChar w:fldCharType="begin"/>
      </w:r>
      <w:r w:rsidRPr="00EC0229">
        <w:rPr>
          <w:sz w:val="20"/>
          <w:szCs w:val="20"/>
        </w:rPr>
        <w:instrText xml:space="preserve"> XE "EMC" </w:instrText>
      </w:r>
      <w:r w:rsidRPr="00EC0229">
        <w:rPr>
          <w:sz w:val="20"/>
          <w:szCs w:val="20"/>
        </w:rPr>
        <w:fldChar w:fldCharType="end"/>
      </w:r>
      <w:r w:rsidRPr="00EC0229">
        <w:rPr>
          <w:sz w:val="20"/>
          <w:szCs w:val="20"/>
        </w:rPr>
        <w:t>)</w:t>
      </w:r>
      <w:r w:rsidRPr="00EC0229">
        <w:rPr>
          <w:rStyle w:val="FootnoteReference"/>
          <w:sz w:val="20"/>
          <w:szCs w:val="20"/>
        </w:rPr>
        <w:footnoteReference w:id="941"/>
      </w:r>
    </w:p>
    <w:p w14:paraId="16BB286B" w14:textId="77777777" w:rsidR="00CF62CA" w:rsidRPr="00EC0229" w:rsidRDefault="00CF62CA" w:rsidP="007600EA">
      <w:pPr>
        <w:pStyle w:val="NoSpacing"/>
        <w:spacing w:line="360" w:lineRule="auto"/>
      </w:pPr>
    </w:p>
    <w:p w14:paraId="250A57D5" w14:textId="77777777" w:rsidR="00CF62CA" w:rsidRPr="00EC0229" w:rsidRDefault="00CF62CA" w:rsidP="007600EA">
      <w:pPr>
        <w:pStyle w:val="NoSpacing"/>
        <w:spacing w:line="360" w:lineRule="auto"/>
      </w:pPr>
      <w:r w:rsidRPr="00EC0229">
        <w:lastRenderedPageBreak/>
        <w:t>Reported finds for ‘outer’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can be assumed not to have come from a single site and to be a gross underreporting. Given that the perimeter of York is less urbanised but becoming more intensively developed, there have been greater opportunities than in the centre for metal-detection and new building sites should have been productive. Therefore, this slight accumulation is paradoxical. The mitigation of a wide, if thin, distribution cannot be demonstrated and the likely explanation is the inadequacy of formal reporting channels.</w:t>
      </w:r>
    </w:p>
    <w:p w14:paraId="18D83A62" w14:textId="77777777" w:rsidR="00CF62CA" w:rsidRPr="00EC0229" w:rsidRDefault="00CF62CA" w:rsidP="007600EA">
      <w:pPr>
        <w:pStyle w:val="NoSpacing"/>
        <w:spacing w:line="360" w:lineRule="auto"/>
      </w:pPr>
    </w:p>
    <w:p w14:paraId="3A447753" w14:textId="4FBBECA6" w:rsidR="00CF62CA" w:rsidRPr="00EC0229" w:rsidRDefault="00CF62CA" w:rsidP="007600EA">
      <w:pPr>
        <w:pStyle w:val="NoSpacing"/>
        <w:spacing w:line="360" w:lineRule="auto"/>
      </w:pPr>
      <w:r w:rsidRPr="00EC0229">
        <w:t>A further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shilling, of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variety Aii, now in the British Museum, is known from “near York” </w:t>
      </w:r>
      <w:r w:rsidRPr="00EC0229">
        <w:rPr>
          <w:szCs w:val="24"/>
        </w:rPr>
        <w:t>(</w:t>
      </w:r>
      <w:r w:rsidRPr="00EC0229">
        <w:rPr>
          <w:szCs w:val="24"/>
        </w:rPr>
        <w:fldChar w:fldCharType="begin"/>
      </w:r>
      <w:r w:rsidRPr="00EC0229">
        <w:rPr>
          <w:szCs w:val="24"/>
        </w:rPr>
        <w:instrText xml:space="preserve"> REF _Ref430247894 \h  \* MERGEFORMAT </w:instrText>
      </w:r>
      <w:r w:rsidRPr="00EC0229">
        <w:rPr>
          <w:szCs w:val="24"/>
        </w:rPr>
      </w:r>
      <w:r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78</w:t>
      </w:r>
      <w:r w:rsidRPr="00EC0229">
        <w:rPr>
          <w:szCs w:val="24"/>
        </w:rPr>
        <w:fldChar w:fldCharType="end"/>
      </w:r>
      <w:r w:rsidRPr="00EC0229">
        <w:t>), [3b].</w:t>
      </w:r>
    </w:p>
    <w:p w14:paraId="6FA28E0E" w14:textId="77777777" w:rsidR="00CF62CA" w:rsidRPr="00EC0229" w:rsidRDefault="00CF62CA" w:rsidP="007600EA">
      <w:pPr>
        <w:spacing w:after="0" w:line="360" w:lineRule="auto"/>
        <w:jc w:val="center"/>
        <w:rPr>
          <w:rFonts w:cs="Times New Roman"/>
          <w:i/>
          <w:szCs w:val="24"/>
        </w:rPr>
      </w:pPr>
      <w:r w:rsidRPr="00EC0229">
        <w:rPr>
          <w:rFonts w:cs="Times New Roman"/>
          <w:noProof/>
          <w:szCs w:val="24"/>
          <w:lang w:eastAsia="en-GB"/>
        </w:rPr>
        <w:drawing>
          <wp:inline distT="0" distB="0" distL="0" distR="0" wp14:anchorId="516DC3A7" wp14:editId="7AF7AEBD">
            <wp:extent cx="822960" cy="80790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09_0268obv.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833561" cy="818312"/>
                    </a:xfrm>
                    <a:prstGeom prst="rect">
                      <a:avLst/>
                    </a:prstGeom>
                  </pic:spPr>
                </pic:pic>
              </a:graphicData>
            </a:graphic>
          </wp:inline>
        </w:drawing>
      </w:r>
      <w:r w:rsidRPr="00EC0229">
        <w:rPr>
          <w:rFonts w:cs="Times New Roman"/>
          <w:noProof/>
          <w:szCs w:val="24"/>
          <w:lang w:eastAsia="en-GB"/>
        </w:rPr>
        <w:drawing>
          <wp:inline distT="0" distB="0" distL="0" distR="0" wp14:anchorId="0AF77708" wp14:editId="529E36D0">
            <wp:extent cx="876300" cy="830179"/>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09_0268rev.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882663" cy="836207"/>
                    </a:xfrm>
                    <a:prstGeom prst="rect">
                      <a:avLst/>
                    </a:prstGeom>
                  </pic:spPr>
                </pic:pic>
              </a:graphicData>
            </a:graphic>
          </wp:inline>
        </w:drawing>
      </w:r>
    </w:p>
    <w:p w14:paraId="4A30A64C" w14:textId="065B69F0" w:rsidR="00CF62CA" w:rsidRPr="00EC0229" w:rsidRDefault="00CF62CA" w:rsidP="007600EA">
      <w:pPr>
        <w:pStyle w:val="NoSpacing"/>
        <w:spacing w:line="360" w:lineRule="auto"/>
        <w:jc w:val="center"/>
        <w:rPr>
          <w:i/>
          <w:sz w:val="20"/>
          <w:szCs w:val="20"/>
        </w:rPr>
      </w:pPr>
      <w:bookmarkStart w:id="568" w:name="_Ref430247894"/>
      <w:bookmarkStart w:id="569" w:name="_Toc46826705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78</w:t>
      </w:r>
      <w:r w:rsidRPr="00EC0229">
        <w:rPr>
          <w:sz w:val="20"/>
          <w:szCs w:val="20"/>
        </w:rPr>
        <w:fldChar w:fldCharType="end"/>
      </w:r>
      <w:bookmarkEnd w:id="568"/>
      <w:r w:rsidRPr="00EC0229">
        <w:rPr>
          <w:sz w:val="20"/>
          <w:szCs w:val="20"/>
        </w:rPr>
        <w:t>: York</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York</w:instrText>
      </w:r>
      <w:r w:rsidRPr="00EC0229">
        <w:rPr>
          <w:sz w:val="20"/>
          <w:szCs w:val="20"/>
        </w:rPr>
        <w:instrText xml:space="preserve">" </w:instrText>
      </w:r>
      <w:r w:rsidRPr="00EC0229">
        <w:rPr>
          <w:sz w:val="20"/>
          <w:szCs w:val="20"/>
        </w:rPr>
        <w:fldChar w:fldCharType="end"/>
      </w:r>
      <w:r w:rsidRPr="00EC0229">
        <w:rPr>
          <w:sz w:val="20"/>
          <w:szCs w:val="20"/>
        </w:rPr>
        <w:t xml:space="preserve"> gold</w:t>
      </w:r>
      <w:r w:rsidRPr="00EC0229">
        <w:rPr>
          <w:sz w:val="20"/>
          <w:szCs w:val="20"/>
        </w:rPr>
        <w:fldChar w:fldCharType="begin"/>
      </w:r>
      <w:r w:rsidRPr="00EC0229">
        <w:rPr>
          <w:sz w:val="20"/>
          <w:szCs w:val="20"/>
        </w:rPr>
        <w:instrText xml:space="preserve"> XE "</w:instrText>
      </w:r>
      <w:r w:rsidRPr="00EC0229">
        <w:rPr>
          <w:rFonts w:eastAsia="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shilling, var. found by Stuart Hodgson, near York.</w:t>
      </w:r>
      <w:bookmarkEnd w:id="569"/>
      <w:r w:rsidRPr="00EC0229">
        <w:rPr>
          <w:i/>
          <w:sz w:val="20"/>
          <w:szCs w:val="20"/>
        </w:rPr>
        <w:t xml:space="preserve"> </w:t>
      </w:r>
    </w:p>
    <w:p w14:paraId="47688B26" w14:textId="77777777" w:rsidR="00CF62CA" w:rsidRPr="00EC0229" w:rsidRDefault="00CF62CA" w:rsidP="007600EA">
      <w:pPr>
        <w:pStyle w:val="NoSpacing"/>
        <w:spacing w:line="360" w:lineRule="auto"/>
        <w:jc w:val="center"/>
        <w:rPr>
          <w:sz w:val="20"/>
          <w:szCs w:val="20"/>
        </w:rPr>
      </w:pPr>
      <w:r w:rsidRPr="00EC0229">
        <w:rPr>
          <w:sz w:val="20"/>
          <w:szCs w:val="20"/>
        </w:rPr>
        <w:t xml:space="preserve">(Courtesy BM, </w:t>
      </w:r>
      <w:r w:rsidRPr="00EC0229">
        <w:rPr>
          <w:i/>
          <w:sz w:val="20"/>
          <w:szCs w:val="20"/>
        </w:rPr>
        <w:t>SCBI</w:t>
      </w:r>
      <w:r w:rsidRPr="00EC0229">
        <w:rPr>
          <w:sz w:val="20"/>
          <w:szCs w:val="20"/>
        </w:rPr>
        <w:t>63 18. EMC</w:t>
      </w:r>
      <w:r w:rsidRPr="00EC0229">
        <w:rPr>
          <w:sz w:val="20"/>
          <w:szCs w:val="20"/>
        </w:rPr>
        <w:fldChar w:fldCharType="begin"/>
      </w:r>
      <w:r w:rsidRPr="00EC0229">
        <w:rPr>
          <w:sz w:val="20"/>
          <w:szCs w:val="20"/>
        </w:rPr>
        <w:instrText xml:space="preserve"> XE "EMC" </w:instrText>
      </w:r>
      <w:r w:rsidRPr="00EC0229">
        <w:rPr>
          <w:sz w:val="20"/>
          <w:szCs w:val="20"/>
        </w:rPr>
        <w:fldChar w:fldCharType="end"/>
      </w:r>
      <w:r w:rsidRPr="00EC0229">
        <w:rPr>
          <w:sz w:val="20"/>
          <w:szCs w:val="20"/>
        </w:rPr>
        <w:t xml:space="preserve"> 2009.0268.)</w:t>
      </w:r>
    </w:p>
    <w:p w14:paraId="10AF0CF8" w14:textId="77777777" w:rsidR="00CF62CA" w:rsidRPr="00EC0229" w:rsidRDefault="00CF62CA" w:rsidP="007600EA">
      <w:pPr>
        <w:pStyle w:val="NoSpacing"/>
        <w:spacing w:line="360" w:lineRule="auto"/>
      </w:pPr>
    </w:p>
    <w:p w14:paraId="2691499B" w14:textId="0D9A7D0F" w:rsidR="00CF62CA" w:rsidRPr="00EC0229" w:rsidRDefault="00CF62CA" w:rsidP="007600EA">
      <w:pPr>
        <w:pStyle w:val="NoSpacing"/>
        <w:spacing w:line="360" w:lineRule="auto"/>
      </w:pPr>
      <w:r w:rsidRPr="00EC0229">
        <w:t xml:space="preserve">The paucity of these finds suggests that some adverse recovery phenomenon, either access or reporting, could be at work. As revealed below, finds in the </w:t>
      </w:r>
      <w:r w:rsidR="00D859E7"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 xml:space="preserve"> (</w:t>
      </w:r>
      <w:r w:rsidRPr="00EC0229">
        <w:fldChar w:fldCharType="begin"/>
      </w:r>
      <w:r w:rsidRPr="00EC0229">
        <w:instrText xml:space="preserve"> PAGEREF TheValeofYork \h </w:instrText>
      </w:r>
      <w:r w:rsidRPr="00EC0229">
        <w:fldChar w:fldCharType="separate"/>
      </w:r>
      <w:r w:rsidR="0012026B">
        <w:rPr>
          <w:noProof/>
        </w:rPr>
        <w:t>211</w:t>
      </w:r>
      <w:r w:rsidRPr="00EC0229">
        <w:fldChar w:fldCharType="end"/>
      </w:r>
      <w:r w:rsidRPr="00EC0229">
        <w:t xml:space="preserve">) and </w:t>
      </w:r>
      <w:r w:rsidR="00D859E7" w:rsidRPr="00EC0229">
        <w:t xml:space="preserve">Vale of </w:t>
      </w:r>
      <w:r w:rsidRPr="00EC0229">
        <w:t>Pickering (</w:t>
      </w:r>
      <w:r w:rsidRPr="00EC0229">
        <w:fldChar w:fldCharType="begin"/>
      </w:r>
      <w:r w:rsidRPr="00EC0229">
        <w:instrText xml:space="preserve"> PAGEREF TheValeofPickering \h </w:instrText>
      </w:r>
      <w:r w:rsidRPr="00EC0229">
        <w:fldChar w:fldCharType="separate"/>
      </w:r>
      <w:r w:rsidR="0012026B">
        <w:rPr>
          <w:noProof/>
        </w:rPr>
        <w:t>266</w:t>
      </w:r>
      <w:r w:rsidRPr="00EC0229">
        <w:fldChar w:fldCharType="end"/>
      </w:r>
      <w:r w:rsidRPr="00EC0229">
        <w:t>) are sparse, though the wide spread support</w:t>
      </w:r>
      <w:r w:rsidR="00BB355B" w:rsidRPr="00EC0229">
        <w:t xml:space="preserve">s the case for extensive </w:t>
      </w:r>
      <w:r w:rsidR="003F2041" w:rsidRPr="00EC0229">
        <w:t>monetiz</w:t>
      </w:r>
      <w:r w:rsidRPr="00EC0229">
        <w:t>ation. The Wolds</w:t>
      </w:r>
      <w:r w:rsidRPr="00EC0229">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fldChar w:fldCharType="end"/>
      </w:r>
      <w:r w:rsidRPr="00EC0229">
        <w:t xml:space="preserve"> present a stronger case in terms of frequency, distribution and mix (</w:t>
      </w:r>
      <w:r w:rsidRPr="00EC0229">
        <w:fldChar w:fldCharType="begin"/>
      </w:r>
      <w:r w:rsidRPr="00EC0229">
        <w:instrText xml:space="preserve"> PAGEREF TheYorkshireWolds \h </w:instrText>
      </w:r>
      <w:r w:rsidRPr="00EC0229">
        <w:fldChar w:fldCharType="separate"/>
      </w:r>
      <w:r w:rsidR="0012026B">
        <w:rPr>
          <w:noProof/>
        </w:rPr>
        <w:t>221</w:t>
      </w:r>
      <w:r w:rsidRPr="00EC0229">
        <w:fldChar w:fldCharType="end"/>
      </w:r>
      <w:r w:rsidRPr="00EC0229">
        <w:t>).</w:t>
      </w:r>
    </w:p>
    <w:p w14:paraId="57005737" w14:textId="77777777" w:rsidR="001C3EC5" w:rsidRPr="00EC0229" w:rsidRDefault="001C3EC5" w:rsidP="007600EA">
      <w:pPr>
        <w:spacing w:line="360" w:lineRule="auto"/>
      </w:pPr>
    </w:p>
    <w:p w14:paraId="7D93C2B3" w14:textId="5BDF7535" w:rsidR="00BD53D4" w:rsidRPr="00EC0229" w:rsidRDefault="002979EC" w:rsidP="007600EA">
      <w:pPr>
        <w:pStyle w:val="Heading3"/>
        <w:spacing w:line="360" w:lineRule="auto"/>
      </w:pPr>
      <w:bookmarkStart w:id="570" w:name="_Toc468266860"/>
      <w:r>
        <w:t>8.2.1.3</w:t>
      </w:r>
      <w:r w:rsidR="00736C9E">
        <w:tab/>
      </w:r>
      <w:r w:rsidR="00BD53D4" w:rsidRPr="00EC0229">
        <w:t>Artefact</w:t>
      </w:r>
      <w:r w:rsidR="006B1593" w:rsidRPr="00EC0229">
        <w:fldChar w:fldCharType="begin"/>
      </w:r>
      <w:r w:rsidR="006B1593" w:rsidRPr="00EC0229">
        <w:instrText xml:space="preserve"> XE "</w:instrText>
      </w:r>
      <w:r w:rsidR="006B1593" w:rsidRPr="00EC0229">
        <w:rPr>
          <w:rStyle w:val="Hyperlink"/>
          <w:noProof/>
          <w:u w:val="none"/>
        </w:rPr>
        <w:instrText>Artefact</w:instrText>
      </w:r>
      <w:r w:rsidR="006B1593" w:rsidRPr="00EC0229">
        <w:instrText xml:space="preserve">" </w:instrText>
      </w:r>
      <w:r w:rsidR="006B1593" w:rsidRPr="00EC0229">
        <w:fldChar w:fldCharType="end"/>
      </w:r>
      <w:r w:rsidR="00BD53D4" w:rsidRPr="00EC0229">
        <w:t xml:space="preserve"> Data</w:t>
      </w:r>
      <w:r w:rsidR="00497AC3" w:rsidRPr="00EC0229">
        <w:t>set</w:t>
      </w:r>
      <w:bookmarkEnd w:id="570"/>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p>
    <w:p w14:paraId="28A139FA" w14:textId="0711BB00" w:rsidR="00BD53D4" w:rsidRPr="00EC0229" w:rsidRDefault="00BD53D4" w:rsidP="007600EA">
      <w:pPr>
        <w:pStyle w:val="NoSpacing"/>
        <w:spacing w:line="360" w:lineRule="auto"/>
        <w:rPr>
          <w:szCs w:val="24"/>
        </w:rPr>
      </w:pPr>
      <w:r w:rsidRPr="00EC0229">
        <w:rPr>
          <w:szCs w:val="24"/>
        </w:rPr>
        <w:t>Unfortunately, other than the finds for Fishergate</w:t>
      </w:r>
      <w:r w:rsidR="006B1593" w:rsidRPr="00EC0229">
        <w:rPr>
          <w:szCs w:val="24"/>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szCs w:val="24"/>
        </w:rPr>
        <w:fldChar w:fldCharType="end"/>
      </w:r>
      <w:r w:rsidRPr="00EC0229">
        <w:rPr>
          <w:szCs w:val="24"/>
        </w:rPr>
        <w:t xml:space="preserve"> imported from </w:t>
      </w:r>
      <w:r w:rsidRPr="00EC0229">
        <w:rPr>
          <w:i/>
          <w:szCs w:val="24"/>
        </w:rPr>
        <w:t>VASLE</w:t>
      </w:r>
      <w:r w:rsidR="008960AE" w:rsidRPr="00EC0229">
        <w:rPr>
          <w:szCs w:val="24"/>
        </w:rPr>
        <w:fldChar w:fldCharType="begin"/>
      </w:r>
      <w:r w:rsidR="008960AE" w:rsidRPr="00EC0229">
        <w:instrText xml:space="preserve"> XE "VASLE" </w:instrText>
      </w:r>
      <w:r w:rsidR="008960AE" w:rsidRPr="00EC0229">
        <w:rPr>
          <w:szCs w:val="24"/>
        </w:rPr>
        <w:fldChar w:fldCharType="end"/>
      </w:r>
      <w:r w:rsidRPr="00EC0229">
        <w:rPr>
          <w:szCs w:val="24"/>
        </w:rPr>
        <w:t>, the artefactual dataset for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Pr="00EC0229">
        <w:rPr>
          <w:szCs w:val="24"/>
        </w:rPr>
        <w:t xml:space="preserve">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is virtually absent. PAS</w:t>
      </w:r>
      <w:r w:rsidR="008960AE" w:rsidRPr="00EC0229">
        <w:rPr>
          <w:szCs w:val="24"/>
        </w:rPr>
        <w:fldChar w:fldCharType="begin"/>
      </w:r>
      <w:r w:rsidR="008960AE" w:rsidRPr="00EC0229">
        <w:instrText xml:space="preserve"> XE "PAS" </w:instrText>
      </w:r>
      <w:r w:rsidR="008960AE" w:rsidRPr="00EC0229">
        <w:rPr>
          <w:szCs w:val="24"/>
        </w:rPr>
        <w:fldChar w:fldCharType="end"/>
      </w:r>
      <w:r w:rsidRPr="00EC0229">
        <w:rPr>
          <w:szCs w:val="24"/>
        </w:rPr>
        <w:t xml:space="preserve"> (EY) includes a Borre style disc brooch, but this is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The search on York produced only nine objects from seven locations, most</w:t>
      </w:r>
      <w:r w:rsidR="00632883" w:rsidRPr="00EC0229">
        <w:rPr>
          <w:szCs w:val="24"/>
        </w:rPr>
        <w:t>ly</w:t>
      </w:r>
      <w:r w:rsidRPr="00EC0229">
        <w:rPr>
          <w:szCs w:val="24"/>
        </w:rPr>
        <w:t xml:space="preserve"> treated as </w:t>
      </w:r>
      <w:r w:rsidR="00C7553E" w:rsidRPr="00EC0229">
        <w:rPr>
          <w:szCs w:val="24"/>
        </w:rPr>
        <w:t>Central Lowlands</w:t>
      </w:r>
      <w:r w:rsidR="0030553B" w:rsidRPr="00EC0229">
        <w:rPr>
          <w:szCs w:val="24"/>
        </w:rPr>
        <w:fldChar w:fldCharType="begin"/>
      </w:r>
      <w:r w:rsidR="0030553B" w:rsidRPr="00EC0229">
        <w:instrText xml:space="preserve"> XE "Central Lowlands" </w:instrText>
      </w:r>
      <w:r w:rsidR="0030553B" w:rsidRPr="00EC0229">
        <w:rPr>
          <w:szCs w:val="24"/>
        </w:rPr>
        <w:fldChar w:fldCharType="end"/>
      </w:r>
      <w:r w:rsidRPr="00EC0229">
        <w:rPr>
          <w:szCs w:val="24"/>
        </w:rPr>
        <w:t xml:space="preserve"> rather than outer York. </w:t>
      </w:r>
      <w:r w:rsidRPr="00EC0229">
        <w:rPr>
          <w:i/>
          <w:szCs w:val="24"/>
        </w:rPr>
        <w:t>Prima facie</w:t>
      </w:r>
      <w:r w:rsidRPr="00EC0229">
        <w:rPr>
          <w:szCs w:val="24"/>
        </w:rPr>
        <w:t>, this paucity is a flaw in interrogation or recording, though conceivably no Anglian finds have occurred during the PAS regime.</w:t>
      </w:r>
    </w:p>
    <w:p w14:paraId="689C755A" w14:textId="77777777" w:rsidR="00D226E8" w:rsidRPr="00EC0229" w:rsidRDefault="00D226E8" w:rsidP="007600EA">
      <w:pPr>
        <w:pStyle w:val="NoSpacing"/>
        <w:spacing w:line="360" w:lineRule="auto"/>
        <w:rPr>
          <w:szCs w:val="24"/>
        </w:rPr>
      </w:pPr>
    </w:p>
    <w:p w14:paraId="4C39E37E" w14:textId="77777777" w:rsidR="00BD53D4" w:rsidRPr="00EC0229" w:rsidRDefault="00BD53D4" w:rsidP="007600EA">
      <w:pPr>
        <w:pStyle w:val="NoSpacing"/>
        <w:spacing w:line="360" w:lineRule="auto"/>
        <w:rPr>
          <w:szCs w:val="24"/>
        </w:rPr>
      </w:pPr>
    </w:p>
    <w:p w14:paraId="5E178370" w14:textId="5A03AF8C" w:rsidR="00BD53D4" w:rsidRPr="00EC0229" w:rsidRDefault="00BD53D4" w:rsidP="007600EA">
      <w:pPr>
        <w:pStyle w:val="NoSpacing"/>
        <w:spacing w:line="360" w:lineRule="auto"/>
        <w:rPr>
          <w:szCs w:val="24"/>
        </w:rPr>
      </w:pPr>
      <w:r w:rsidRPr="00EC0229">
        <w:rPr>
          <w:szCs w:val="24"/>
        </w:rPr>
        <w:t>The artefactual fingerprint for Fishergate</w:t>
      </w:r>
      <w:r w:rsidR="006B1593" w:rsidRPr="00EC0229">
        <w:rPr>
          <w:szCs w:val="24"/>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szCs w:val="24"/>
        </w:rPr>
        <w:fldChar w:fldCharType="end"/>
      </w:r>
      <w:r w:rsidRPr="00EC0229">
        <w:rPr>
          <w:szCs w:val="24"/>
        </w:rPr>
        <w:t xml:space="preserve">, extracted from </w:t>
      </w:r>
      <w:r w:rsidRPr="00EC0229">
        <w:rPr>
          <w:i/>
          <w:szCs w:val="24"/>
        </w:rPr>
        <w:t>VASLE</w:t>
      </w:r>
      <w:r w:rsidR="008960AE" w:rsidRPr="00EC0229">
        <w:rPr>
          <w:szCs w:val="24"/>
        </w:rPr>
        <w:fldChar w:fldCharType="begin"/>
      </w:r>
      <w:r w:rsidR="008960AE" w:rsidRPr="00EC0229">
        <w:instrText xml:space="preserve"> XE "VASLE" </w:instrText>
      </w:r>
      <w:r w:rsidR="008960AE" w:rsidRPr="00EC0229">
        <w:rPr>
          <w:szCs w:val="24"/>
        </w:rPr>
        <w:fldChar w:fldCharType="end"/>
      </w:r>
      <w:r w:rsidRPr="00EC0229">
        <w:rPr>
          <w:szCs w:val="24"/>
        </w:rPr>
        <w:t>, is at</w:t>
      </w:r>
      <w:r w:rsidRPr="00EC0229">
        <w:rPr>
          <w:i/>
          <w:sz w:val="20"/>
          <w:szCs w:val="20"/>
        </w:rPr>
        <w:t xml:space="preserve">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00313400" w:rsidRPr="00EC0229">
        <w:rPr>
          <w:i/>
          <w:szCs w:val="24"/>
        </w:rPr>
        <w:t xml:space="preserve"> </w:t>
      </w:r>
      <w:r w:rsidR="00276BC8" w:rsidRPr="00EC0229">
        <w:rPr>
          <w:i/>
          <w:szCs w:val="24"/>
        </w:rPr>
        <w:t>8.0</w:t>
      </w:r>
      <w:r w:rsidR="005755EC" w:rsidRPr="00EC0229">
        <w:rPr>
          <w:i/>
          <w:szCs w:val="24"/>
        </w:rPr>
        <w:t>8</w:t>
      </w:r>
      <w:r w:rsidRPr="00EC0229">
        <w:rPr>
          <w:szCs w:val="24"/>
        </w:rPr>
        <w:t>. Further analyses for Fishergate and York</w:t>
      </w:r>
      <w:r w:rsidR="00DE1C04" w:rsidRPr="00EC0229">
        <w:rPr>
          <w:szCs w:val="24"/>
        </w:rPr>
        <w:t xml:space="preserve"> sites, combined with the </w:t>
      </w:r>
      <w:r w:rsidR="00C7553E" w:rsidRPr="00EC0229">
        <w:rPr>
          <w:szCs w:val="24"/>
        </w:rPr>
        <w:t>Central Lowlands</w:t>
      </w:r>
      <w:r w:rsidR="0030553B" w:rsidRPr="00EC0229">
        <w:rPr>
          <w:szCs w:val="24"/>
        </w:rPr>
        <w:fldChar w:fldCharType="begin"/>
      </w:r>
      <w:r w:rsidR="0030553B" w:rsidRPr="00EC0229">
        <w:instrText xml:space="preserve"> XE "Central Lowlands" </w:instrText>
      </w:r>
      <w:r w:rsidR="0030553B" w:rsidRPr="00EC0229">
        <w:rPr>
          <w:szCs w:val="24"/>
        </w:rPr>
        <w:fldChar w:fldCharType="end"/>
      </w:r>
      <w:r w:rsidR="00DE1C04" w:rsidRPr="00EC0229">
        <w:rPr>
          <w:szCs w:val="24"/>
        </w:rPr>
        <w:t>,</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are at </w:t>
      </w:r>
      <w:hyperlink r:id="rId275" w:history="1">
        <w:r w:rsidRPr="00EC0229">
          <w:rPr>
            <w:rStyle w:val="Hyperlink"/>
            <w:i/>
            <w:color w:val="000000" w:themeColor="text1"/>
            <w:szCs w:val="24"/>
            <w:u w:val="none"/>
          </w:rPr>
          <w:t xml:space="preserve">Tables </w:t>
        </w:r>
      </w:hyperlink>
      <w:r w:rsidR="00B15422" w:rsidRPr="00EC0229">
        <w:rPr>
          <w:rStyle w:val="Hyperlink"/>
          <w:i/>
          <w:color w:val="000000" w:themeColor="text1"/>
          <w:szCs w:val="24"/>
          <w:u w:val="none"/>
        </w:rPr>
        <w:t>8.0</w:t>
      </w:r>
      <w:r w:rsidR="005755EC" w:rsidRPr="00EC0229">
        <w:rPr>
          <w:rStyle w:val="Hyperlink"/>
          <w:i/>
          <w:color w:val="000000" w:themeColor="text1"/>
          <w:szCs w:val="24"/>
          <w:u w:val="none"/>
        </w:rPr>
        <w:t>9</w:t>
      </w:r>
      <w:r w:rsidR="00B15422" w:rsidRPr="00EC0229">
        <w:rPr>
          <w:rStyle w:val="Hyperlink"/>
          <w:i/>
          <w:color w:val="000000" w:themeColor="text1"/>
          <w:szCs w:val="24"/>
          <w:u w:val="none"/>
        </w:rPr>
        <w:t>-8.1</w:t>
      </w:r>
      <w:r w:rsidR="005755EC" w:rsidRPr="00EC0229">
        <w:rPr>
          <w:rStyle w:val="Hyperlink"/>
          <w:i/>
          <w:color w:val="000000" w:themeColor="text1"/>
          <w:szCs w:val="24"/>
          <w:u w:val="none"/>
        </w:rPr>
        <w:t>5</w:t>
      </w:r>
      <w:r w:rsidRPr="00EC0229">
        <w:rPr>
          <w:color w:val="000000" w:themeColor="text1"/>
          <w:szCs w:val="24"/>
        </w:rPr>
        <w:t>.</w:t>
      </w:r>
      <w:r w:rsidR="00D6377A" w:rsidRPr="00EC0229">
        <w:rPr>
          <w:szCs w:val="24"/>
        </w:rPr>
        <w:t xml:space="preserve"> </w:t>
      </w:r>
      <w:r w:rsidRPr="00EC0229">
        <w:rPr>
          <w:szCs w:val="24"/>
        </w:rPr>
        <w:t>Compared to other regional functional fingerprints, Fishergate</w:t>
      </w:r>
      <w:r w:rsidR="006B1593" w:rsidRPr="00EC0229">
        <w:rPr>
          <w:szCs w:val="24"/>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szCs w:val="24"/>
        </w:rPr>
        <w:fldChar w:fldCharType="end"/>
      </w:r>
      <w:r w:rsidRPr="00EC0229">
        <w:rPr>
          <w:szCs w:val="24"/>
        </w:rPr>
        <w:t xml:space="preserve"> is quite different in character, indeed the proportions are reversed: tools and work-related items constitute 66.7%, </w:t>
      </w:r>
      <w:r w:rsidRPr="00EC0229">
        <w:rPr>
          <w:szCs w:val="24"/>
        </w:rPr>
        <w:lastRenderedPageBreak/>
        <w:t>compared to a norm of 17.9%, whereas dress accessories</w:t>
      </w:r>
      <w:r w:rsidR="008960AE" w:rsidRPr="00EC0229">
        <w:rPr>
          <w:szCs w:val="24"/>
        </w:rPr>
        <w:fldChar w:fldCharType="begin"/>
      </w:r>
      <w:r w:rsidR="008960AE" w:rsidRPr="00EC0229">
        <w:instrText xml:space="preserve"> XE "dress accessories" </w:instrText>
      </w:r>
      <w:r w:rsidR="008960AE" w:rsidRPr="00EC0229">
        <w:rPr>
          <w:szCs w:val="24"/>
        </w:rPr>
        <w:fldChar w:fldCharType="end"/>
      </w:r>
      <w:r w:rsidRPr="00EC0229">
        <w:rPr>
          <w:szCs w:val="24"/>
        </w:rPr>
        <w:t xml:space="preserve"> compose only 21.3% (</w:t>
      </w:r>
      <w:r w:rsidRPr="00EC0229">
        <w:rPr>
          <w:i/>
          <w:szCs w:val="24"/>
        </w:rPr>
        <w:t>cf</w:t>
      </w:r>
      <w:r w:rsidRPr="00EC0229">
        <w:rPr>
          <w:szCs w:val="24"/>
        </w:rPr>
        <w:t xml:space="preserve"> 67.3%). There are no burial or clerical artefacts and no weapons; but perhaps more significant is the presence of only one artefact classified as mercantile</w:t>
      </w:r>
      <w:r w:rsidR="00366CE5" w:rsidRPr="00EC0229">
        <w:rPr>
          <w:szCs w:val="24"/>
        </w:rPr>
        <w:t xml:space="preserve">, as defined in </w:t>
      </w:r>
      <w:r w:rsidR="00B15422" w:rsidRPr="00EC0229">
        <w:rPr>
          <w:i/>
          <w:szCs w:val="24"/>
        </w:rPr>
        <w:t xml:space="preserve">Table </w:t>
      </w:r>
      <w:r w:rsidR="0058373E">
        <w:rPr>
          <w:i/>
          <w:szCs w:val="24"/>
        </w:rPr>
        <w:t>6.09</w:t>
      </w:r>
      <w:r w:rsidRPr="00EC0229">
        <w:rPr>
          <w:szCs w:val="24"/>
        </w:rPr>
        <w:t>. This supports my view that Fishergate was not itself an emporium but perhaps subsidiary to the emporium of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providing industrial and craft activities.</w:t>
      </w:r>
    </w:p>
    <w:p w14:paraId="471A4C69" w14:textId="77777777" w:rsidR="00BD53D4" w:rsidRPr="00EC0229" w:rsidRDefault="00BD53D4" w:rsidP="007600EA">
      <w:pPr>
        <w:pStyle w:val="NoSpacing"/>
        <w:spacing w:line="360" w:lineRule="auto"/>
        <w:rPr>
          <w:szCs w:val="24"/>
        </w:rPr>
      </w:pPr>
    </w:p>
    <w:p w14:paraId="56F22120" w14:textId="2B49FC84" w:rsidR="00BD53D4" w:rsidRPr="00EC0229" w:rsidRDefault="00736C9E" w:rsidP="007600EA">
      <w:pPr>
        <w:pStyle w:val="Heading3"/>
        <w:spacing w:line="360" w:lineRule="auto"/>
      </w:pPr>
      <w:bookmarkStart w:id="571" w:name="_Toc468266861"/>
      <w:r>
        <w:t>8.2.1.4</w:t>
      </w:r>
      <w:r>
        <w:tab/>
      </w:r>
      <w:r w:rsidR="00BD53D4" w:rsidRPr="00EC0229">
        <w:t>Conclusion</w:t>
      </w:r>
      <w:bookmarkEnd w:id="571"/>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p>
    <w:p w14:paraId="21ED9F52" w14:textId="26814BE2" w:rsidR="00BD53D4" w:rsidRPr="00EC0229" w:rsidRDefault="00BD53D4" w:rsidP="007600EA">
      <w:pPr>
        <w:pStyle w:val="NoSpacing"/>
        <w:spacing w:line="360" w:lineRule="auto"/>
        <w:rPr>
          <w:color w:val="000000" w:themeColor="text1"/>
          <w:szCs w:val="24"/>
        </w:rPr>
      </w:pPr>
      <w:r w:rsidRPr="00EC0229">
        <w:rPr>
          <w:color w:val="000000" w:themeColor="text1"/>
          <w:szCs w:val="24"/>
        </w:rPr>
        <w:t>Our understanding of the organisation and topography of early Anglian</w:t>
      </w:r>
      <w:r w:rsidR="00D142DC" w:rsidRPr="00EC0229">
        <w:rPr>
          <w:color w:val="000000" w:themeColor="text1"/>
          <w:szCs w:val="24"/>
        </w:rPr>
        <w:fldChar w:fldCharType="begin"/>
      </w:r>
      <w:r w:rsidR="00D142DC" w:rsidRPr="00EC0229">
        <w:instrText xml:space="preserve"> XE "Anglian" </w:instrText>
      </w:r>
      <w:r w:rsidR="00D142DC" w:rsidRPr="00EC0229">
        <w:rPr>
          <w:color w:val="000000" w:themeColor="text1"/>
          <w:szCs w:val="24"/>
        </w:rPr>
        <w:fldChar w:fldCharType="end"/>
      </w:r>
      <w:r w:rsidRPr="00EC0229">
        <w:rPr>
          <w:color w:val="000000" w:themeColor="text1"/>
          <w:szCs w:val="24"/>
        </w:rPr>
        <w:t xml:space="preserve"> York</w:t>
      </w:r>
      <w:r w:rsidR="006B1593" w:rsidRPr="00EC0229">
        <w:rPr>
          <w:color w:val="000000" w:themeColor="text1"/>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color w:val="000000" w:themeColor="text1"/>
          <w:szCs w:val="24"/>
        </w:rPr>
        <w:fldChar w:fldCharType="end"/>
      </w:r>
      <w:r w:rsidRPr="00EC0229">
        <w:rPr>
          <w:color w:val="000000" w:themeColor="text1"/>
          <w:szCs w:val="24"/>
        </w:rPr>
        <w:t xml:space="preserve"> is hampered by the limited artefactual evidence. While, in the south, the Patching hoard provides evidence of the urban transition from coinage to bullion</w:t>
      </w:r>
      <w:r w:rsidR="008960AE" w:rsidRPr="00EC0229">
        <w:rPr>
          <w:color w:val="000000" w:themeColor="text1"/>
          <w:szCs w:val="24"/>
        </w:rPr>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rPr>
          <w:color w:val="000000" w:themeColor="text1"/>
          <w:szCs w:val="24"/>
        </w:rPr>
        <w:fldChar w:fldCharType="end"/>
      </w:r>
      <w:r w:rsidRPr="00EC0229">
        <w:rPr>
          <w:color w:val="000000" w:themeColor="text1"/>
          <w:szCs w:val="24"/>
        </w:rPr>
        <w:t xml:space="preserve"> as late as the 470s,</w:t>
      </w:r>
      <w:r w:rsidRPr="00EC0229">
        <w:rPr>
          <w:rStyle w:val="FootnoteReference"/>
          <w:color w:val="000000" w:themeColor="text1"/>
          <w:szCs w:val="24"/>
        </w:rPr>
        <w:footnoteReference w:id="942"/>
      </w:r>
      <w:r w:rsidRPr="00EC0229">
        <w:rPr>
          <w:color w:val="000000" w:themeColor="text1"/>
          <w:szCs w:val="24"/>
        </w:rPr>
        <w:t xml:space="preserve"> the nature of post Roman</w:t>
      </w:r>
      <w:r w:rsidR="00D142DC" w:rsidRPr="00EC0229">
        <w:rPr>
          <w:color w:val="000000" w:themeColor="text1"/>
          <w:szCs w:val="24"/>
        </w:rPr>
        <w:fldChar w:fldCharType="begin"/>
      </w:r>
      <w:r w:rsidR="00D142DC" w:rsidRPr="00EC0229">
        <w:instrText xml:space="preserve"> XE "Roman" </w:instrText>
      </w:r>
      <w:r w:rsidR="00D142DC" w:rsidRPr="00EC0229">
        <w:rPr>
          <w:color w:val="000000" w:themeColor="text1"/>
          <w:szCs w:val="24"/>
        </w:rPr>
        <w:fldChar w:fldCharType="end"/>
      </w:r>
      <w:r w:rsidRPr="00EC0229">
        <w:rPr>
          <w:color w:val="000000" w:themeColor="text1"/>
          <w:szCs w:val="24"/>
        </w:rPr>
        <w:t xml:space="preserve"> authority at York, the balance between political </w:t>
      </w:r>
      <w:r w:rsidR="00862F15" w:rsidRPr="00EC0229">
        <w:rPr>
          <w:color w:val="000000" w:themeColor="text1"/>
          <w:szCs w:val="24"/>
        </w:rPr>
        <w:t>and</w:t>
      </w:r>
      <w:r w:rsidRPr="00EC0229">
        <w:rPr>
          <w:color w:val="000000" w:themeColor="text1"/>
          <w:szCs w:val="24"/>
        </w:rPr>
        <w:t xml:space="preserve"> ecclesiastical power and the extent of urban development, all remain unclear until the rise of the Idings</w:t>
      </w:r>
      <w:r w:rsidR="00234E02" w:rsidRPr="00EC0229">
        <w:rPr>
          <w:color w:val="000000" w:themeColor="text1"/>
          <w:szCs w:val="24"/>
        </w:rPr>
        <w:t xml:space="preserve"> (</w:t>
      </w:r>
      <w:r w:rsidR="00234E02" w:rsidRPr="00EC0229">
        <w:rPr>
          <w:color w:val="000000" w:themeColor="text1"/>
          <w:szCs w:val="24"/>
        </w:rPr>
        <w:fldChar w:fldCharType="begin"/>
      </w:r>
      <w:r w:rsidR="00234E02" w:rsidRPr="00EC0229">
        <w:rPr>
          <w:color w:val="000000" w:themeColor="text1"/>
          <w:szCs w:val="24"/>
        </w:rPr>
        <w:instrText xml:space="preserve"> PAGEREF Idings \h </w:instrText>
      </w:r>
      <w:r w:rsidR="00234E02" w:rsidRPr="00EC0229">
        <w:rPr>
          <w:color w:val="000000" w:themeColor="text1"/>
          <w:szCs w:val="24"/>
        </w:rPr>
      </w:r>
      <w:r w:rsidR="00234E02" w:rsidRPr="00EC0229">
        <w:rPr>
          <w:color w:val="000000" w:themeColor="text1"/>
          <w:szCs w:val="24"/>
        </w:rPr>
        <w:fldChar w:fldCharType="separate"/>
      </w:r>
      <w:r w:rsidR="0012026B">
        <w:rPr>
          <w:noProof/>
          <w:color w:val="000000" w:themeColor="text1"/>
          <w:szCs w:val="24"/>
        </w:rPr>
        <w:t>86</w:t>
      </w:r>
      <w:r w:rsidR="00234E02" w:rsidRPr="00EC0229">
        <w:rPr>
          <w:color w:val="000000" w:themeColor="text1"/>
          <w:szCs w:val="24"/>
        </w:rPr>
        <w:fldChar w:fldCharType="end"/>
      </w:r>
      <w:r w:rsidR="00234E02" w:rsidRPr="00EC0229">
        <w:rPr>
          <w:color w:val="000000" w:themeColor="text1"/>
          <w:szCs w:val="24"/>
        </w:rPr>
        <w:t>)</w:t>
      </w:r>
      <w:r w:rsidRPr="00EC0229">
        <w:rPr>
          <w:color w:val="000000" w:themeColor="text1"/>
          <w:szCs w:val="24"/>
        </w:rPr>
        <w:t>. To their dynasty, territorial expansionism, underpinned, if not driven, by adoption of a new faith, was foremost, as recorded historically from the perspectives of Bede</w:t>
      </w:r>
      <w:r w:rsidR="00F66CEB" w:rsidRPr="00EC0229">
        <w:rPr>
          <w:color w:val="000000" w:themeColor="text1"/>
          <w:szCs w:val="24"/>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color w:val="000000" w:themeColor="text1"/>
          <w:szCs w:val="24"/>
        </w:rPr>
        <w:fldChar w:fldCharType="end"/>
      </w:r>
      <w:r w:rsidRPr="00EC0229">
        <w:rPr>
          <w:color w:val="000000" w:themeColor="text1"/>
          <w:szCs w:val="24"/>
        </w:rPr>
        <w:t xml:space="preserve"> and Alcuin</w:t>
      </w:r>
      <w:r w:rsidR="004C29A9" w:rsidRPr="00EC0229">
        <w:rPr>
          <w:color w:val="000000" w:themeColor="text1"/>
          <w:szCs w:val="24"/>
        </w:rPr>
        <w:fldChar w:fldCharType="begin"/>
      </w:r>
      <w:r w:rsidR="004C29A9" w:rsidRPr="00EC0229">
        <w:instrText xml:space="preserve"> XE "</w:instrText>
      </w:r>
      <w:r w:rsidR="004C29A9" w:rsidRPr="00EC0229">
        <w:rPr>
          <w:rFonts w:cs="Times New Roman"/>
          <w:szCs w:val="24"/>
        </w:rPr>
        <w:instrText>Alcuin</w:instrText>
      </w:r>
      <w:r w:rsidR="004C29A9" w:rsidRPr="00EC0229">
        <w:instrText xml:space="preserve">" </w:instrText>
      </w:r>
      <w:r w:rsidR="004C29A9" w:rsidRPr="00EC0229">
        <w:rPr>
          <w:color w:val="000000" w:themeColor="text1"/>
          <w:szCs w:val="24"/>
        </w:rPr>
        <w:fldChar w:fldCharType="end"/>
      </w:r>
      <w:r w:rsidRPr="00EC0229">
        <w:rPr>
          <w:color w:val="000000" w:themeColor="text1"/>
          <w:szCs w:val="24"/>
        </w:rPr>
        <w:t>. ‘</w:t>
      </w:r>
      <w:r w:rsidRPr="00EC0229">
        <w:t>It has long been suggested that Anglian York was a polyfocal settlement</w:t>
      </w:r>
      <w:r w:rsidR="00D142DC" w:rsidRPr="00EC0229">
        <w:fldChar w:fldCharType="begin"/>
      </w:r>
      <w:r w:rsidR="00D142DC" w:rsidRPr="00EC0229">
        <w:instrText xml:space="preserve"> XE "settlement" </w:instrText>
      </w:r>
      <w:r w:rsidR="00D142DC" w:rsidRPr="00EC0229">
        <w:fldChar w:fldCharType="end"/>
      </w:r>
      <w:r w:rsidRPr="00EC0229">
        <w:t xml:space="preserve">, with separate areas for royal, religious, secular and trading/industrial use. York is recorded as both </w:t>
      </w:r>
      <w:r w:rsidRPr="00EC0229">
        <w:rPr>
          <w:i/>
          <w:iCs/>
        </w:rPr>
        <w:t>Eoforwicceastre</w:t>
      </w:r>
      <w:r w:rsidRPr="00EC0229">
        <w:t xml:space="preserve"> and </w:t>
      </w:r>
      <w:r w:rsidRPr="00EC0229">
        <w:rPr>
          <w:i/>
          <w:iCs/>
        </w:rPr>
        <w:t>Eoforwic</w:t>
      </w:r>
      <w:r w:rsidRPr="00EC0229">
        <w:t>.’</w:t>
      </w:r>
      <w:r w:rsidRPr="00EC0229">
        <w:rPr>
          <w:rStyle w:val="FootnoteReference"/>
        </w:rPr>
        <w:footnoteReference w:id="943"/>
      </w:r>
      <w:r w:rsidRPr="00EC0229">
        <w:t xml:space="preserve"> </w:t>
      </w:r>
      <w:r w:rsidRPr="00EC0229">
        <w:rPr>
          <w:color w:val="000000" w:themeColor="text1"/>
          <w:szCs w:val="24"/>
        </w:rPr>
        <w:t>Economic history demonstrates that military aggression can be a driver of growth and, even in adversity, Northumbria</w:t>
      </w:r>
      <w:r w:rsidR="00584C42" w:rsidRPr="00EC0229">
        <w:rPr>
          <w:color w:val="000000" w:themeColor="text1"/>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color w:val="000000" w:themeColor="text1"/>
          <w:szCs w:val="24"/>
        </w:rPr>
        <w:fldChar w:fldCharType="end"/>
      </w:r>
      <w:r w:rsidRPr="00EC0229">
        <w:rPr>
          <w:color w:val="000000" w:themeColor="text1"/>
          <w:szCs w:val="24"/>
        </w:rPr>
        <w:t xml:space="preserve"> was sufficiently well-endowed to recover, albeit gradually, from serious setbacks of 685 and 793, dates which bracket the success of the sceat.</w:t>
      </w:r>
    </w:p>
    <w:p w14:paraId="3405C656" w14:textId="77777777" w:rsidR="00BD53D4" w:rsidRPr="00EC0229" w:rsidRDefault="00BD53D4" w:rsidP="007600EA">
      <w:pPr>
        <w:pStyle w:val="NoSpacing"/>
        <w:spacing w:line="360" w:lineRule="auto"/>
        <w:rPr>
          <w:color w:val="000000" w:themeColor="text1"/>
          <w:szCs w:val="24"/>
        </w:rPr>
      </w:pPr>
    </w:p>
    <w:p w14:paraId="5C9697E6" w14:textId="5BED2CB7" w:rsidR="00BD53D4" w:rsidRPr="00EC0229" w:rsidRDefault="00BD53D4" w:rsidP="007600EA">
      <w:pPr>
        <w:pStyle w:val="NoSpacing"/>
        <w:spacing w:line="360" w:lineRule="auto"/>
        <w:rPr>
          <w:color w:val="000000" w:themeColor="text1"/>
          <w:szCs w:val="24"/>
        </w:rPr>
      </w:pPr>
      <w:r w:rsidRPr="00EC0229">
        <w:rPr>
          <w:color w:val="000000" w:themeColor="text1"/>
          <w:szCs w:val="24"/>
        </w:rPr>
        <w:t>The iconography</w:t>
      </w:r>
      <w:r w:rsidR="004C29A9" w:rsidRPr="00EC0229">
        <w:rPr>
          <w:color w:val="000000" w:themeColor="text1"/>
          <w:szCs w:val="24"/>
        </w:rPr>
        <w:fldChar w:fldCharType="begin"/>
      </w:r>
      <w:r w:rsidR="004C29A9" w:rsidRPr="00EC0229">
        <w:instrText xml:space="preserve"> XE "iconography" </w:instrText>
      </w:r>
      <w:r w:rsidR="004C29A9" w:rsidRPr="00EC0229">
        <w:rPr>
          <w:color w:val="000000" w:themeColor="text1"/>
          <w:szCs w:val="24"/>
        </w:rPr>
        <w:fldChar w:fldCharType="end"/>
      </w:r>
      <w:r w:rsidRPr="00EC0229">
        <w:rPr>
          <w:color w:val="000000" w:themeColor="text1"/>
          <w:szCs w:val="24"/>
        </w:rPr>
        <w:t xml:space="preserve"> of the gold</w:t>
      </w:r>
      <w:r w:rsidR="008960AE" w:rsidRPr="00EC0229">
        <w:rPr>
          <w:color w:val="000000" w:themeColor="text1"/>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color w:val="000000" w:themeColor="text1"/>
          <w:szCs w:val="24"/>
        </w:rPr>
        <w:fldChar w:fldCharType="end"/>
      </w:r>
      <w:r w:rsidRPr="00EC0229">
        <w:rPr>
          <w:color w:val="000000" w:themeColor="text1"/>
          <w:szCs w:val="24"/>
        </w:rPr>
        <w:t xml:space="preserve"> coinage </w:t>
      </w:r>
      <w:r w:rsidR="00003A6F" w:rsidRPr="00EC0229">
        <w:rPr>
          <w:color w:val="000000" w:themeColor="text1"/>
          <w:szCs w:val="24"/>
        </w:rPr>
        <w:t>[3b]</w:t>
      </w:r>
      <w:r w:rsidRPr="00EC0229">
        <w:rPr>
          <w:color w:val="000000" w:themeColor="text1"/>
          <w:szCs w:val="24"/>
        </w:rPr>
        <w:t>and joint emissions of silver</w:t>
      </w:r>
      <w:r w:rsidR="00003A6F" w:rsidRPr="00EC0229">
        <w:rPr>
          <w:color w:val="000000" w:themeColor="text1"/>
          <w:szCs w:val="24"/>
        </w:rPr>
        <w:t xml:space="preserve"> [N7]</w:t>
      </w:r>
      <w:r w:rsidRPr="00EC0229">
        <w:rPr>
          <w:color w:val="000000" w:themeColor="text1"/>
          <w:szCs w:val="24"/>
        </w:rPr>
        <w:t xml:space="preserve">, despite the internecine strife of </w:t>
      </w:r>
      <w:r w:rsidR="00F139AF" w:rsidRPr="00EC0229">
        <w:rPr>
          <w:color w:val="000000" w:themeColor="text1"/>
          <w:szCs w:val="24"/>
        </w:rPr>
        <w:t>the eighth century</w:t>
      </w:r>
      <w:r w:rsidRPr="00EC0229">
        <w:rPr>
          <w:color w:val="000000" w:themeColor="text1"/>
          <w:szCs w:val="24"/>
        </w:rPr>
        <w:t>, allow us to address some of these questions with more conviction. Cohesion was provided by the church</w:t>
      </w:r>
      <w:r w:rsidR="008960AE" w:rsidRPr="00EC0229">
        <w:rPr>
          <w:color w:val="000000" w:themeColor="text1"/>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color w:val="000000" w:themeColor="text1"/>
          <w:szCs w:val="24"/>
        </w:rPr>
        <w:fldChar w:fldCharType="end"/>
      </w:r>
      <w:r w:rsidRPr="00EC0229">
        <w:rPr>
          <w:color w:val="000000" w:themeColor="text1"/>
          <w:szCs w:val="24"/>
        </w:rPr>
        <w:t xml:space="preserve"> who, a generous interpretation may suggest, re-directed political friction into economic and cultural wealth. While the Archbishops may have remained in their stronghold, possibly still in the Fortress, delegating spiritual matters - such as pastoral care, conversion and reinforcement of their theology - to their peripatetic priests, the monarchs had more worldly concerns and needed to travel the kingdom constantly to secure their terrestrial and fiscal wellbeing. Numismatic finds not only help to identify royal palaces but convey this balance of power favouring the ecclesiastical authorities who kept warring dynasts in check. Assessing the pace of economic, particularly urban, development remains a matter of conjecture except to the extent that the number of coin-revealing sites, </w:t>
      </w:r>
      <w:r w:rsidRPr="00EC0229">
        <w:rPr>
          <w:color w:val="000000" w:themeColor="text1"/>
          <w:szCs w:val="24"/>
        </w:rPr>
        <w:lastRenderedPageBreak/>
        <w:t xml:space="preserve">rather than the number of coins revealed, gives a clear impression of eighth-century </w:t>
      </w:r>
      <w:r w:rsidR="003F2041" w:rsidRPr="00EC0229">
        <w:rPr>
          <w:color w:val="000000" w:themeColor="text1"/>
          <w:szCs w:val="24"/>
        </w:rPr>
        <w:t>monetiz</w:t>
      </w:r>
      <w:r w:rsidRPr="00EC0229">
        <w:rPr>
          <w:color w:val="000000" w:themeColor="text1"/>
          <w:szCs w:val="24"/>
        </w:rPr>
        <w:t>ation</w:t>
      </w:r>
      <w:r w:rsidR="008960AE" w:rsidRPr="00EC0229">
        <w:rPr>
          <w:color w:val="000000" w:themeColor="text1"/>
          <w:szCs w:val="24"/>
        </w:rPr>
        <w:fldChar w:fldCharType="begin"/>
      </w:r>
      <w:r w:rsidR="008960AE" w:rsidRPr="00EC0229">
        <w:instrText xml:space="preserve"> XE "monetization" </w:instrText>
      </w:r>
      <w:r w:rsidR="008960AE" w:rsidRPr="00EC0229">
        <w:rPr>
          <w:color w:val="000000" w:themeColor="text1"/>
          <w:szCs w:val="24"/>
        </w:rPr>
        <w:fldChar w:fldCharType="end"/>
      </w:r>
      <w:r w:rsidRPr="00EC0229">
        <w:rPr>
          <w:color w:val="000000" w:themeColor="text1"/>
          <w:szCs w:val="24"/>
        </w:rPr>
        <w:t xml:space="preserve"> under Eadberht</w:t>
      </w:r>
      <w:r w:rsidR="00003A6F" w:rsidRPr="00EC0229">
        <w:rPr>
          <w:color w:val="000000" w:themeColor="text1"/>
          <w:szCs w:val="24"/>
        </w:rPr>
        <w:t xml:space="preserve"> [N6]</w:t>
      </w:r>
      <w:r w:rsidR="00D142DC" w:rsidRPr="00EC0229">
        <w:rPr>
          <w:color w:val="000000" w:themeColor="text1"/>
          <w:szCs w:val="24"/>
        </w:rPr>
        <w:fldChar w:fldCharType="begin"/>
      </w:r>
      <w:r w:rsidR="00D142DC" w:rsidRPr="00EC0229">
        <w:instrText xml:space="preserve"> XE "Eadberht" </w:instrText>
      </w:r>
      <w:r w:rsidR="00D142DC" w:rsidRPr="00EC0229">
        <w:rPr>
          <w:color w:val="000000" w:themeColor="text1"/>
          <w:szCs w:val="24"/>
        </w:rPr>
        <w:fldChar w:fldCharType="end"/>
      </w:r>
      <w:r w:rsidRPr="00EC0229">
        <w:rPr>
          <w:color w:val="000000" w:themeColor="text1"/>
          <w:szCs w:val="24"/>
        </w:rPr>
        <w:t xml:space="preserve">, even if other issuers were less energetic. Furthermore, at times in </w:t>
      </w:r>
      <w:r w:rsidR="00F139AF" w:rsidRPr="00EC0229">
        <w:rPr>
          <w:color w:val="000000" w:themeColor="text1"/>
          <w:szCs w:val="24"/>
        </w:rPr>
        <w:t>the ninth century</w:t>
      </w:r>
      <w:r w:rsidRPr="00EC0229">
        <w:rPr>
          <w:color w:val="000000" w:themeColor="text1"/>
          <w:szCs w:val="24"/>
        </w:rPr>
        <w:t>, there was an almos</w:t>
      </w:r>
      <w:r w:rsidR="00B451E4" w:rsidRPr="00EC0229">
        <w:rPr>
          <w:color w:val="000000" w:themeColor="text1"/>
          <w:szCs w:val="24"/>
        </w:rPr>
        <w:t>t frenetic tempo to minting with</w:t>
      </w:r>
      <w:r w:rsidRPr="00EC0229">
        <w:rPr>
          <w:color w:val="000000" w:themeColor="text1"/>
          <w:szCs w:val="24"/>
        </w:rPr>
        <w:t xml:space="preserve"> the resultant deterioration i</w:t>
      </w:r>
      <w:r w:rsidR="00B451E4" w:rsidRPr="00EC0229">
        <w:rPr>
          <w:color w:val="000000" w:themeColor="text1"/>
          <w:szCs w:val="24"/>
        </w:rPr>
        <w:t>n production standards reflecting</w:t>
      </w:r>
      <w:r w:rsidRPr="00EC0229">
        <w:rPr>
          <w:color w:val="000000" w:themeColor="text1"/>
          <w:szCs w:val="24"/>
        </w:rPr>
        <w:t xml:space="preserve"> the miniscule </w:t>
      </w:r>
      <w:r w:rsidRPr="00EC0229">
        <w:rPr>
          <w:i/>
          <w:color w:val="000000" w:themeColor="text1"/>
          <w:szCs w:val="24"/>
        </w:rPr>
        <w:t>seigniorage</w:t>
      </w:r>
      <w:r w:rsidRPr="00EC0229">
        <w:rPr>
          <w:color w:val="000000" w:themeColor="text1"/>
          <w:szCs w:val="24"/>
        </w:rPr>
        <w:t xml:space="preserve"> on such a base denomination available as profit to the management.</w:t>
      </w:r>
    </w:p>
    <w:p w14:paraId="184E3769" w14:textId="6FA5076D" w:rsidR="00BD53D4" w:rsidRPr="00EC0229" w:rsidRDefault="00BD53D4" w:rsidP="007600EA">
      <w:pPr>
        <w:pStyle w:val="NoSpacing"/>
        <w:spacing w:line="360" w:lineRule="auto"/>
        <w:rPr>
          <w:color w:val="000000" w:themeColor="text1"/>
          <w:szCs w:val="24"/>
        </w:rPr>
      </w:pPr>
    </w:p>
    <w:p w14:paraId="42FF9492" w14:textId="01772EE0" w:rsidR="00782187" w:rsidRPr="00EC0229" w:rsidRDefault="00782187" w:rsidP="007600EA">
      <w:pPr>
        <w:pStyle w:val="NoSpacing"/>
        <w:spacing w:line="360" w:lineRule="auto"/>
        <w:rPr>
          <w:szCs w:val="24"/>
        </w:rPr>
      </w:pPr>
      <w:r w:rsidRPr="00EC0229">
        <w:rPr>
          <w:szCs w:val="24"/>
        </w:rPr>
        <w:t>In assessing the balance of royal and aristocratic power and the status of the church</w:t>
      </w:r>
      <w:r w:rsidRPr="00EC0229">
        <w:rPr>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szCs w:val="24"/>
        </w:rPr>
        <w:fldChar w:fldCharType="end"/>
      </w:r>
      <w:r w:rsidRPr="00EC0229">
        <w:rPr>
          <w:szCs w:val="24"/>
        </w:rPr>
        <w:t xml:space="preserve"> in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Rollason</w:t>
      </w:r>
      <w:r w:rsidRPr="00EC0229">
        <w:rPr>
          <w:rStyle w:val="FootnoteReference"/>
          <w:szCs w:val="24"/>
        </w:rPr>
        <w:footnoteReference w:id="944"/>
      </w:r>
      <w:r w:rsidRPr="00EC0229">
        <w:rPr>
          <w:szCs w:val="24"/>
        </w:rPr>
        <w:t xml:space="preserve"> contrasted ‘the sparsity of evidence for York as a royal centre’ with ‘a clear picture of it as an ecclesiastical centre’ illustrating his argument by reference to the inscription on the Coppergate helmet (</w:t>
      </w:r>
      <w:r w:rsidRPr="00EC0229">
        <w:rPr>
          <w:szCs w:val="24"/>
        </w:rPr>
        <w:fldChar w:fldCharType="begin"/>
      </w:r>
      <w:r w:rsidRPr="00EC0229">
        <w:rPr>
          <w:szCs w:val="24"/>
        </w:rPr>
        <w:instrText xml:space="preserve"> REF _Ref430247792 \h  \* MERGEFORMAT </w:instrText>
      </w:r>
      <w:r w:rsidRPr="00EC0229">
        <w:rPr>
          <w:szCs w:val="24"/>
        </w:rPr>
      </w:r>
      <w:r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79</w:t>
      </w:r>
      <w:r w:rsidRPr="00EC0229">
        <w:rPr>
          <w:szCs w:val="24"/>
        </w:rPr>
        <w:fldChar w:fldCharType="end"/>
      </w:r>
      <w:r w:rsidRPr="00EC0229">
        <w:t>)</w:t>
      </w:r>
      <w:r w:rsidRPr="00EC0229">
        <w:rPr>
          <w:szCs w:val="24"/>
        </w:rPr>
        <w:t>.</w:t>
      </w:r>
      <w:r w:rsidRPr="00EC0229">
        <w:rPr>
          <w:rStyle w:val="FootnoteReference"/>
          <w:szCs w:val="24"/>
        </w:rPr>
        <w:footnoteReference w:id="945"/>
      </w:r>
      <w:r w:rsidRPr="00EC0229">
        <w:rPr>
          <w:szCs w:val="24"/>
        </w:rPr>
        <w:t xml:space="preserve"> </w:t>
      </w:r>
      <w:r w:rsidR="006E171F" w:rsidRPr="00EC0229">
        <w:rPr>
          <w:szCs w:val="24"/>
        </w:rPr>
        <w:t>T</w:t>
      </w:r>
      <w:r w:rsidRPr="00EC0229">
        <w:rPr>
          <w:szCs w:val="24"/>
        </w:rPr>
        <w:t xml:space="preserve">he successive joint coinage emissions were a clear statement of episcopal </w:t>
      </w:r>
      <w:r w:rsidRPr="00EC0229">
        <w:rPr>
          <w:color w:val="000000" w:themeColor="text1"/>
          <w:szCs w:val="24"/>
        </w:rPr>
        <w:t>power. The sibling issue of Eadberht</w:t>
      </w:r>
      <w:r w:rsidRPr="00EC0229">
        <w:rPr>
          <w:color w:val="000000" w:themeColor="text1"/>
          <w:szCs w:val="24"/>
        </w:rPr>
        <w:fldChar w:fldCharType="begin"/>
      </w:r>
      <w:r w:rsidRPr="00EC0229">
        <w:instrText xml:space="preserve"> XE "Eadberht" </w:instrText>
      </w:r>
      <w:r w:rsidRPr="00EC0229">
        <w:rPr>
          <w:color w:val="000000" w:themeColor="text1"/>
          <w:szCs w:val="24"/>
        </w:rPr>
        <w:fldChar w:fldCharType="end"/>
      </w:r>
      <w:r w:rsidRPr="00EC0229">
        <w:rPr>
          <w:color w:val="000000" w:themeColor="text1"/>
          <w:szCs w:val="24"/>
        </w:rPr>
        <w:t xml:space="preserve"> and Ecgberht</w:t>
      </w:r>
      <w:r w:rsidRPr="00EC0229">
        <w:rPr>
          <w:color w:val="000000" w:themeColor="text1"/>
          <w:szCs w:val="24"/>
        </w:rPr>
        <w:fldChar w:fldCharType="begin"/>
      </w:r>
      <w:r w:rsidRPr="00EC0229">
        <w:instrText xml:space="preserve"> XE "Ecgberht" </w:instrText>
      </w:r>
      <w:r w:rsidRPr="00EC0229">
        <w:rPr>
          <w:color w:val="000000" w:themeColor="text1"/>
          <w:szCs w:val="24"/>
        </w:rPr>
        <w:fldChar w:fldCharType="end"/>
      </w:r>
      <w:r w:rsidRPr="00EC0229">
        <w:rPr>
          <w:color w:val="000000" w:themeColor="text1"/>
          <w:szCs w:val="24"/>
        </w:rPr>
        <w:t xml:space="preserve"> may denote an equivalence of authority. However, it is the archiepiscopal sibling, who came to office first, who is portrayed.</w:t>
      </w:r>
      <w:r w:rsidRPr="00EC0229">
        <w:rPr>
          <w:rStyle w:val="FootnoteReference"/>
          <w:color w:val="000000" w:themeColor="text1"/>
          <w:szCs w:val="24"/>
        </w:rPr>
        <w:footnoteReference w:id="946"/>
      </w:r>
      <w:r w:rsidRPr="00EC0229">
        <w:rPr>
          <w:color w:val="000000" w:themeColor="text1"/>
          <w:szCs w:val="24"/>
        </w:rPr>
        <w:t xml:space="preserve"> Bude’s die study demonstrates that there are no die-links between the regal and ecclesiastical sceats at this time;</w:t>
      </w:r>
      <w:r w:rsidRPr="00EC0229">
        <w:rPr>
          <w:rStyle w:val="FootnoteReference"/>
          <w:color w:val="000000" w:themeColor="text1"/>
          <w:szCs w:val="24"/>
        </w:rPr>
        <w:footnoteReference w:id="947"/>
      </w:r>
      <w:r w:rsidRPr="00EC0229">
        <w:rPr>
          <w:color w:val="000000" w:themeColor="text1"/>
          <w:szCs w:val="24"/>
        </w:rPr>
        <w:t xml:space="preserve"> separate, episodic, production could imply independent minting and one would expect the ecclesiastical mint to be in York.  Continuation of joint issues to successive rival monarchs seems to be an astute archiepiscopal initiative - and a regal concession to an equal or superior power. </w:t>
      </w:r>
      <w:r w:rsidRPr="00EC0229">
        <w:rPr>
          <w:szCs w:val="24"/>
        </w:rPr>
        <w:t>While it was a royal imperative to mint it was not an episcopal necessity. Hence, regal issues predominate numerically</w:t>
      </w:r>
      <w:r w:rsidRPr="00EC0229">
        <w:rPr>
          <w:rStyle w:val="FootnoteReference"/>
          <w:szCs w:val="24"/>
        </w:rPr>
        <w:footnoteReference w:id="948"/>
      </w:r>
      <w:r w:rsidRPr="00EC0229">
        <w:rPr>
          <w:szCs w:val="24"/>
        </w:rPr>
        <w:t xml:space="preserve"> but the joint sceats indicate that real power lay with the church.</w:t>
      </w:r>
      <w:r w:rsidRPr="00EC0229">
        <w:rPr>
          <w:rStyle w:val="FootnoteReference"/>
          <w:sz w:val="20"/>
          <w:szCs w:val="20"/>
        </w:rPr>
        <w:footnoteReference w:id="949"/>
      </w:r>
    </w:p>
    <w:p w14:paraId="61F36E51" w14:textId="77777777" w:rsidR="00782187" w:rsidRPr="00EC0229" w:rsidRDefault="00782187" w:rsidP="007600EA">
      <w:pPr>
        <w:pStyle w:val="NoSpacing"/>
        <w:spacing w:line="360" w:lineRule="auto"/>
        <w:jc w:val="center"/>
        <w:rPr>
          <w:szCs w:val="24"/>
        </w:rPr>
      </w:pPr>
      <w:r w:rsidRPr="00EC0229">
        <w:rPr>
          <w:noProof/>
          <w:szCs w:val="24"/>
          <w:lang w:eastAsia="en-GB"/>
        </w:rPr>
        <w:drawing>
          <wp:inline distT="0" distB="0" distL="0" distR="0" wp14:anchorId="3BF17ED7" wp14:editId="3A9BE4FC">
            <wp:extent cx="1801187" cy="2351314"/>
            <wp:effectExtent l="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oppergate helmet Hall (1996) col. pl 5.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801187" cy="2351314"/>
                    </a:xfrm>
                    <a:prstGeom prst="rect">
                      <a:avLst/>
                    </a:prstGeom>
                  </pic:spPr>
                </pic:pic>
              </a:graphicData>
            </a:graphic>
          </wp:inline>
        </w:drawing>
      </w:r>
    </w:p>
    <w:p w14:paraId="52DC0BFE" w14:textId="6EA90BC3" w:rsidR="00782187" w:rsidRPr="00EC0229" w:rsidRDefault="00782187" w:rsidP="007600EA">
      <w:pPr>
        <w:pStyle w:val="NoSpacing"/>
        <w:spacing w:line="360" w:lineRule="auto"/>
        <w:jc w:val="center"/>
        <w:rPr>
          <w:sz w:val="20"/>
          <w:szCs w:val="20"/>
        </w:rPr>
      </w:pPr>
      <w:bookmarkStart w:id="572" w:name="_Ref430247792"/>
      <w:bookmarkStart w:id="573" w:name="_Toc468267051"/>
      <w:r w:rsidRPr="00EC0229">
        <w:rPr>
          <w:i/>
          <w:sz w:val="20"/>
          <w:szCs w:val="20"/>
        </w:rPr>
        <w:lastRenderedPageBreak/>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79</w:t>
      </w:r>
      <w:r w:rsidRPr="00EC0229">
        <w:rPr>
          <w:sz w:val="20"/>
          <w:szCs w:val="20"/>
        </w:rPr>
        <w:fldChar w:fldCharType="end"/>
      </w:r>
      <w:bookmarkEnd w:id="572"/>
      <w:r w:rsidRPr="00EC0229">
        <w:rPr>
          <w:sz w:val="20"/>
          <w:szCs w:val="20"/>
        </w:rPr>
        <w:t xml:space="preserve">: Coppergate helmet </w:t>
      </w:r>
      <w:r w:rsidRPr="00EC0229">
        <w:rPr>
          <w:i/>
          <w:sz w:val="20"/>
          <w:szCs w:val="20"/>
        </w:rPr>
        <w:t>c.</w:t>
      </w:r>
      <w:r w:rsidRPr="00EC0229">
        <w:rPr>
          <w:sz w:val="20"/>
          <w:szCs w:val="20"/>
        </w:rPr>
        <w:t>750-75</w:t>
      </w:r>
      <w:bookmarkEnd w:id="573"/>
    </w:p>
    <w:p w14:paraId="5EC4DEB2" w14:textId="77777777" w:rsidR="00782187" w:rsidRPr="00EC0229" w:rsidRDefault="00782187" w:rsidP="007600EA">
      <w:pPr>
        <w:pStyle w:val="NoSpacing"/>
        <w:spacing w:line="360" w:lineRule="auto"/>
        <w:jc w:val="center"/>
        <w:rPr>
          <w:szCs w:val="24"/>
        </w:rPr>
      </w:pPr>
    </w:p>
    <w:p w14:paraId="41A0412F" w14:textId="4CDCE30B" w:rsidR="00782187" w:rsidRPr="00EC0229" w:rsidRDefault="00782187" w:rsidP="007600EA">
      <w:pPr>
        <w:pStyle w:val="NoSpacing"/>
        <w:spacing w:line="360" w:lineRule="auto"/>
        <w:rPr>
          <w:szCs w:val="24"/>
        </w:rPr>
      </w:pPr>
      <w:r w:rsidRPr="00EC0229">
        <w:rPr>
          <w:szCs w:val="24"/>
        </w:rPr>
        <w:t xml:space="preserve">That the king led an itinerant lifestyle attempting to collect renders, but the archbishop’s revenues were submitted, presumably without need for him to travel, may further demonstrate the balance of power. The view is supported by the consideration of early law described at page </w:t>
      </w:r>
      <w:r w:rsidRPr="00EC0229">
        <w:rPr>
          <w:szCs w:val="24"/>
        </w:rPr>
        <w:fldChar w:fldCharType="begin"/>
      </w:r>
      <w:r w:rsidRPr="00EC0229">
        <w:rPr>
          <w:szCs w:val="24"/>
        </w:rPr>
        <w:instrText xml:space="preserve"> PAGEREF Law \h </w:instrText>
      </w:r>
      <w:r w:rsidRPr="00EC0229">
        <w:rPr>
          <w:szCs w:val="24"/>
        </w:rPr>
      </w:r>
      <w:r w:rsidRPr="00EC0229">
        <w:rPr>
          <w:szCs w:val="24"/>
        </w:rPr>
        <w:fldChar w:fldCharType="separate"/>
      </w:r>
      <w:r w:rsidR="0012026B">
        <w:rPr>
          <w:noProof/>
          <w:szCs w:val="24"/>
        </w:rPr>
        <w:t>60</w:t>
      </w:r>
      <w:r w:rsidRPr="00EC0229">
        <w:rPr>
          <w:szCs w:val="24"/>
        </w:rPr>
        <w:fldChar w:fldCharType="end"/>
      </w:r>
      <w:r w:rsidRPr="00EC0229">
        <w:rPr>
          <w:szCs w:val="24"/>
        </w:rPr>
        <w:t>.</w:t>
      </w:r>
      <w:r w:rsidRPr="00EC0229">
        <w:rPr>
          <w:rStyle w:val="FootnoteReference"/>
          <w:szCs w:val="24"/>
        </w:rPr>
        <w:footnoteReference w:id="950"/>
      </w:r>
      <w:r w:rsidRPr="00EC0229">
        <w:rPr>
          <w:szCs w:val="24"/>
        </w:rPr>
        <w:t xml:space="preserve"> </w:t>
      </w:r>
    </w:p>
    <w:p w14:paraId="3BAC7E93" w14:textId="77777777" w:rsidR="00782187" w:rsidRPr="00EC0229" w:rsidRDefault="00782187" w:rsidP="007600EA">
      <w:pPr>
        <w:pStyle w:val="NoSpacing"/>
        <w:spacing w:line="360" w:lineRule="auto"/>
        <w:rPr>
          <w:color w:val="000000" w:themeColor="text1"/>
          <w:szCs w:val="24"/>
        </w:rPr>
      </w:pPr>
    </w:p>
    <w:p w14:paraId="33B8B9A5" w14:textId="1B197D16" w:rsidR="000E33DB" w:rsidRPr="00EC0229" w:rsidRDefault="00BD53D4" w:rsidP="007600EA">
      <w:pPr>
        <w:pStyle w:val="NoSpacing"/>
        <w:spacing w:line="360" w:lineRule="auto"/>
      </w:pPr>
      <w:r w:rsidRPr="00EC0229">
        <w:t xml:space="preserve">The </w:t>
      </w:r>
      <w:r w:rsidR="00CF45AD" w:rsidRPr="00EC0229">
        <w:t>Golden Age</w:t>
      </w:r>
      <w:r w:rsidRPr="00EC0229">
        <w:t xml:space="preserve"> of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 encompassed the rich culture </w:t>
      </w:r>
      <w:r w:rsidR="007B16A9" w:rsidRPr="00EC0229">
        <w:t xml:space="preserve">and powerful influence </w:t>
      </w:r>
      <w:r w:rsidRPr="00EC0229">
        <w:t>of Benjamin Biscop, Cuthbert, Bede</w:t>
      </w:r>
      <w:r w:rsidR="00F66CEB" w:rsidRPr="00EC0229">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fldChar w:fldCharType="end"/>
      </w:r>
      <w:r w:rsidRPr="00EC0229">
        <w:t>, Alcuin</w:t>
      </w:r>
      <w:r w:rsidR="004C29A9" w:rsidRPr="00EC0229">
        <w:fldChar w:fldCharType="begin"/>
      </w:r>
      <w:r w:rsidR="004C29A9" w:rsidRPr="00EC0229">
        <w:instrText xml:space="preserve"> XE "</w:instrText>
      </w:r>
      <w:r w:rsidR="004C29A9" w:rsidRPr="00EC0229">
        <w:rPr>
          <w:rFonts w:cs="Times New Roman"/>
          <w:szCs w:val="24"/>
        </w:rPr>
        <w:instrText>Alcuin</w:instrText>
      </w:r>
      <w:r w:rsidR="004C29A9" w:rsidRPr="00EC0229">
        <w:instrText xml:space="preserve">" </w:instrText>
      </w:r>
      <w:r w:rsidR="004C29A9" w:rsidRPr="00EC0229">
        <w:fldChar w:fldCharType="end"/>
      </w:r>
      <w:r w:rsidRPr="00EC0229">
        <w:t xml:space="preserve">, </w:t>
      </w:r>
      <w:r w:rsidR="00FD2A09" w:rsidRPr="00EC0229">
        <w:t>Wilfrid</w:t>
      </w:r>
      <w:r w:rsidRPr="00EC0229">
        <w:t xml:space="preserve"> </w:t>
      </w:r>
      <w:r w:rsidR="00862F15" w:rsidRPr="00EC0229">
        <w:t>and</w:t>
      </w:r>
      <w:r w:rsidRPr="00EC0229">
        <w:t xml:space="preserve"> Willibrord, the illuminated manuscripts of Lindisfarne</w:t>
      </w:r>
      <w:r w:rsidR="006B1593" w:rsidRPr="00EC0229">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fldChar w:fldCharType="end"/>
      </w:r>
      <w:r w:rsidRPr="00EC0229">
        <w:t xml:space="preserve"> </w:t>
      </w:r>
      <w:r w:rsidR="00862F15" w:rsidRPr="00EC0229">
        <w:t>and</w:t>
      </w:r>
      <w:r w:rsidRPr="00EC0229">
        <w:t xml:space="preserve"> Durham, the Echternach Gospels, the Codex Amiatinus and the Bewcastle, Ruthwell </w:t>
      </w:r>
      <w:r w:rsidR="00862F15" w:rsidRPr="00EC0229">
        <w:t>and</w:t>
      </w:r>
      <w:r w:rsidRPr="00EC0229">
        <w:t xml:space="preserve"> Hexham</w:t>
      </w:r>
      <w:r w:rsidR="00D142DC" w:rsidRPr="00EC0229">
        <w:fldChar w:fldCharType="begin"/>
      </w:r>
      <w:r w:rsidR="00D142DC" w:rsidRPr="00EC0229">
        <w:instrText xml:space="preserve"> XE "Hexham" </w:instrText>
      </w:r>
      <w:r w:rsidR="00D142DC" w:rsidRPr="00EC0229">
        <w:fldChar w:fldCharType="end"/>
      </w:r>
      <w:r w:rsidRPr="00EC0229">
        <w:t xml:space="preserve"> crosses. The Coppergate helmet and Ormside bowl are representative of substantial Anglian</w:t>
      </w:r>
      <w:r w:rsidR="00D142DC" w:rsidRPr="00EC0229">
        <w:fldChar w:fldCharType="begin"/>
      </w:r>
      <w:r w:rsidR="00D142DC" w:rsidRPr="00EC0229">
        <w:instrText xml:space="preserve"> XE "Anglian" </w:instrText>
      </w:r>
      <w:r w:rsidR="00D142DC" w:rsidRPr="00EC0229">
        <w:fldChar w:fldCharType="end"/>
      </w:r>
      <w:r w:rsidRPr="00EC0229">
        <w:t xml:space="preserve"> wealth. This was the period when the great Northumbrian monasteries and numerous minsters were established in the richly diverse countryside. </w:t>
      </w:r>
      <w:r w:rsidR="00F73FA4" w:rsidRPr="00EC0229">
        <w:t xml:space="preserve">Northumbrian missionaries made deep inroads on the Continent. </w:t>
      </w:r>
      <w:r w:rsidRPr="00EC0229">
        <w:t>It is inconceivable that this profusion of artistic culture could blossom without the economic foundations of a truly international emporium, the rival of any Continental trade centre. It would be difficult to argue that, with its appearance of impoverishment, Fishergate</w:t>
      </w:r>
      <w:r w:rsidR="006B1593" w:rsidRPr="00EC0229">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fldChar w:fldCharType="end"/>
      </w:r>
      <w:r w:rsidRPr="00EC0229">
        <w:t xml:space="preserve"> fulfils this crucial </w:t>
      </w:r>
      <w:r w:rsidR="00A972E7" w:rsidRPr="00EC0229">
        <w:t>rôle</w:t>
      </w:r>
      <w:r w:rsidRPr="00EC0229">
        <w:t>. That only fifteen sceats and thirty-nine non-hoard stycas are listed does not auger well for Fishergate as the economic hub supporting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w:t>
      </w:r>
      <w:r w:rsidR="000E33DB" w:rsidRPr="00EC0229">
        <w:t>s glorious Anglian credentials. U</w:t>
      </w:r>
      <w:r w:rsidR="000E33DB" w:rsidRPr="00EC0229">
        <w:rPr>
          <w:rFonts w:eastAsia="Times New Roman" w:cs="Times New Roman"/>
          <w:szCs w:val="24"/>
          <w:lang w:eastAsia="en-GB"/>
        </w:rPr>
        <w:t>ntil a numismatically more productive emporium is located in York</w:t>
      </w:r>
      <w:r w:rsidR="000E33DB" w:rsidRPr="00EC0229">
        <w:rPr>
          <w:rFonts w:eastAsia="Times New Roman" w:cs="Times New Roman"/>
          <w:szCs w:val="24"/>
          <w:lang w:eastAsia="en-GB"/>
        </w:rPr>
        <w:fldChar w:fldCharType="begin"/>
      </w:r>
      <w:r w:rsidR="000E33DB" w:rsidRPr="00EC0229">
        <w:instrText xml:space="preserve"> XE "</w:instrText>
      </w:r>
      <w:r w:rsidR="000E33DB" w:rsidRPr="00EC0229">
        <w:rPr>
          <w:rStyle w:val="Hyperlink"/>
          <w:noProof/>
          <w:u w:val="none"/>
        </w:rPr>
        <w:instrText>York</w:instrText>
      </w:r>
      <w:r w:rsidR="000E33DB" w:rsidRPr="00EC0229">
        <w:instrText xml:space="preserve">" </w:instrText>
      </w:r>
      <w:r w:rsidR="000E33DB" w:rsidRPr="00EC0229">
        <w:rPr>
          <w:rFonts w:eastAsia="Times New Roman" w:cs="Times New Roman"/>
          <w:szCs w:val="24"/>
          <w:lang w:eastAsia="en-GB"/>
        </w:rPr>
        <w:fldChar w:fldCharType="end"/>
      </w:r>
      <w:r w:rsidR="000E33DB" w:rsidRPr="00EC0229">
        <w:rPr>
          <w:rFonts w:eastAsia="Times New Roman" w:cs="Times New Roman"/>
          <w:szCs w:val="24"/>
          <w:lang w:eastAsia="en-GB"/>
        </w:rPr>
        <w:t xml:space="preserve">, the initial phase of </w:t>
      </w:r>
      <w:r w:rsidR="003F2041" w:rsidRPr="00EC0229">
        <w:rPr>
          <w:rFonts w:eastAsia="Times New Roman" w:cs="Times New Roman"/>
          <w:szCs w:val="24"/>
          <w:lang w:eastAsia="en-GB"/>
        </w:rPr>
        <w:t>monetiz</w:t>
      </w:r>
      <w:r w:rsidR="000E33DB" w:rsidRPr="00EC0229">
        <w:rPr>
          <w:rFonts w:eastAsia="Times New Roman" w:cs="Times New Roman"/>
          <w:szCs w:val="24"/>
          <w:lang w:eastAsia="en-GB"/>
        </w:rPr>
        <w:t>ation</w:t>
      </w:r>
      <w:r w:rsidR="000E33DB" w:rsidRPr="00EC0229">
        <w:rPr>
          <w:rFonts w:eastAsia="Times New Roman" w:cs="Times New Roman"/>
          <w:szCs w:val="24"/>
          <w:lang w:eastAsia="en-GB"/>
        </w:rPr>
        <w:fldChar w:fldCharType="begin"/>
      </w:r>
      <w:r w:rsidR="000E33DB" w:rsidRPr="00EC0229">
        <w:instrText xml:space="preserve"> XE "monetization" </w:instrText>
      </w:r>
      <w:r w:rsidR="000E33DB" w:rsidRPr="00EC0229">
        <w:rPr>
          <w:rFonts w:eastAsia="Times New Roman" w:cs="Times New Roman"/>
          <w:szCs w:val="24"/>
          <w:lang w:eastAsia="en-GB"/>
        </w:rPr>
        <w:fldChar w:fldCharType="end"/>
      </w:r>
      <w:r w:rsidR="000E33DB" w:rsidRPr="00EC0229">
        <w:rPr>
          <w:rFonts w:eastAsia="Times New Roman" w:cs="Times New Roman"/>
          <w:szCs w:val="24"/>
          <w:lang w:eastAsia="en-GB"/>
        </w:rPr>
        <w:t xml:space="preserve"> in Northumbria</w:t>
      </w:r>
      <w:r w:rsidR="000E33DB" w:rsidRPr="00EC0229">
        <w:rPr>
          <w:rFonts w:eastAsia="Times New Roman" w:cs="Times New Roman"/>
          <w:szCs w:val="24"/>
          <w:lang w:eastAsia="en-GB"/>
        </w:rPr>
        <w:fldChar w:fldCharType="begin"/>
      </w:r>
      <w:r w:rsidR="000E33DB" w:rsidRPr="00EC0229">
        <w:instrText xml:space="preserve"> XE "</w:instrText>
      </w:r>
      <w:r w:rsidR="000E33DB" w:rsidRPr="00EC0229">
        <w:rPr>
          <w:rFonts w:cs="Times New Roman"/>
          <w:b/>
          <w:color w:val="000000" w:themeColor="text1"/>
          <w:sz w:val="56"/>
          <w:szCs w:val="56"/>
        </w:rPr>
        <w:instrText>Northumbria</w:instrText>
      </w:r>
      <w:r w:rsidR="000E33DB" w:rsidRPr="00EC0229">
        <w:instrText xml:space="preserve">" </w:instrText>
      </w:r>
      <w:r w:rsidR="000E33DB" w:rsidRPr="00EC0229">
        <w:rPr>
          <w:rFonts w:eastAsia="Times New Roman" w:cs="Times New Roman"/>
          <w:szCs w:val="24"/>
          <w:lang w:eastAsia="en-GB"/>
        </w:rPr>
        <w:fldChar w:fldCharType="end"/>
      </w:r>
      <w:r w:rsidR="000E33DB" w:rsidRPr="00EC0229">
        <w:rPr>
          <w:rFonts w:eastAsia="Times New Roman" w:cs="Times New Roman"/>
          <w:szCs w:val="24"/>
          <w:lang w:eastAsia="en-GB"/>
        </w:rPr>
        <w:t xml:space="preserve"> should not be regarded as an urban phenomenon, but more as characteristic of royal sites.</w:t>
      </w:r>
    </w:p>
    <w:p w14:paraId="2C05F70E" w14:textId="77777777" w:rsidR="000E33DB" w:rsidRPr="00EC0229" w:rsidRDefault="000E33DB" w:rsidP="007600EA">
      <w:pPr>
        <w:pStyle w:val="NoSpacing"/>
        <w:spacing w:line="360" w:lineRule="auto"/>
      </w:pPr>
    </w:p>
    <w:p w14:paraId="1A740F62" w14:textId="72A4E53E" w:rsidR="00BD53D4" w:rsidRPr="00EC0229" w:rsidRDefault="00BD53D4" w:rsidP="007600EA">
      <w:pPr>
        <w:pStyle w:val="NoSpacing"/>
        <w:spacing w:line="360" w:lineRule="auto"/>
      </w:pPr>
      <w:r w:rsidRPr="00EC0229">
        <w:t>Looking more broadly at the territory under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’s influence there can be little doubt that the economic growth was inversely related to the monetary denomination. While sceats signify domestic and Continental mercantile penetration into the wealth-producing hinterland</w:t>
      </w:r>
      <w:r w:rsidR="008960AE" w:rsidRPr="00EC0229">
        <w:fldChar w:fldCharType="begin"/>
      </w:r>
      <w:r w:rsidR="008960AE" w:rsidRPr="00EC0229">
        <w:instrText xml:space="preserve"> XE "</w:instrText>
      </w:r>
      <w:r w:rsidR="008960AE" w:rsidRPr="00EC0229">
        <w:rPr>
          <w:rFonts w:cs="Times New Roman"/>
          <w:szCs w:val="24"/>
        </w:rPr>
        <w:instrText>hinterland</w:instrText>
      </w:r>
      <w:r w:rsidR="008960AE" w:rsidRPr="00EC0229">
        <w:instrText xml:space="preserve">" </w:instrText>
      </w:r>
      <w:r w:rsidR="008960AE" w:rsidRPr="00EC0229">
        <w:fldChar w:fldCharType="end"/>
      </w:r>
      <w:r w:rsidRPr="00EC0229">
        <w:t>, witnessed by a thin but widespread distribution of finds, it is the base stycas, in their millions, which facilitated economic exploitation of resources through greater specialisation</w:t>
      </w:r>
      <w:r w:rsidR="008960AE" w:rsidRPr="00EC0229">
        <w:fldChar w:fldCharType="begin"/>
      </w:r>
      <w:r w:rsidR="008960AE" w:rsidRPr="00EC0229">
        <w:instrText xml:space="preserve"> XE "</w:instrText>
      </w:r>
      <w:r w:rsidR="008960AE" w:rsidRPr="00EC0229">
        <w:rPr>
          <w:rFonts w:cs="Times New Roman"/>
          <w:szCs w:val="24"/>
        </w:rPr>
        <w:instrText>specialisation</w:instrText>
      </w:r>
      <w:r w:rsidR="008960AE" w:rsidRPr="00EC0229">
        <w:instrText xml:space="preserve">" </w:instrText>
      </w:r>
      <w:r w:rsidR="008960AE" w:rsidRPr="00EC0229">
        <w:fldChar w:fldCharType="end"/>
      </w:r>
      <w:r w:rsidR="00F73FA4" w:rsidRPr="00EC0229">
        <w:t>,</w:t>
      </w:r>
      <w:r w:rsidRPr="00EC0229">
        <w:t xml:space="preserve"> market organisation</w:t>
      </w:r>
      <w:r w:rsidR="00F73FA4" w:rsidRPr="00EC0229">
        <w:t xml:space="preserve"> and surplus extraction</w:t>
      </w:r>
      <w:r w:rsidRPr="00EC0229">
        <w:t xml:space="preserve">. </w:t>
      </w:r>
    </w:p>
    <w:p w14:paraId="717EDB65" w14:textId="77777777" w:rsidR="00BD53D4" w:rsidRPr="00EC0229" w:rsidRDefault="00BD53D4" w:rsidP="007600EA">
      <w:pPr>
        <w:pStyle w:val="NoSpacing"/>
        <w:spacing w:line="360" w:lineRule="auto"/>
      </w:pPr>
    </w:p>
    <w:p w14:paraId="7064D800" w14:textId="623C7271" w:rsidR="00996895" w:rsidRPr="00EC0229" w:rsidRDefault="00BD53D4" w:rsidP="007600EA">
      <w:pPr>
        <w:pStyle w:val="NoSpacing"/>
        <w:spacing w:line="360" w:lineRule="auto"/>
      </w:pPr>
      <w:r w:rsidRPr="00EC0229">
        <w:t>Having explored the relatively meagre coinage of the city of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which provides tantalising glimpses into the urban heart of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00BB355B" w:rsidRPr="00EC0229">
        <w:t xml:space="preserve">, the above claim of </w:t>
      </w:r>
      <w:r w:rsidR="003F2041" w:rsidRPr="00EC0229">
        <w:t>monetiz</w:t>
      </w:r>
      <w:r w:rsidRPr="00EC0229">
        <w:t xml:space="preserve">ation can now be substantiated in the interconnected, rural settlements stretching across 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 xml:space="preserve"> </w:t>
      </w:r>
      <w:r w:rsidR="00D00704" w:rsidRPr="00EC0229">
        <w:lastRenderedPageBreak/>
        <w:t>(</w:t>
      </w:r>
      <w:r w:rsidR="004E7EFE" w:rsidRPr="00EC0229">
        <w:fldChar w:fldCharType="begin"/>
      </w:r>
      <w:r w:rsidR="004E7EFE" w:rsidRPr="00EC0229">
        <w:instrText xml:space="preserve"> PAGEREF TheCentralLowlands \h </w:instrText>
      </w:r>
      <w:r w:rsidR="004E7EFE" w:rsidRPr="00EC0229">
        <w:fldChar w:fldCharType="separate"/>
      </w:r>
      <w:r w:rsidR="0012026B">
        <w:rPr>
          <w:noProof/>
        </w:rPr>
        <w:t>211</w:t>
      </w:r>
      <w:r w:rsidR="004E7EFE" w:rsidRPr="00EC0229">
        <w:fldChar w:fldCharType="end"/>
      </w:r>
      <w:r w:rsidR="00D00704" w:rsidRPr="00EC0229">
        <w:t xml:space="preserve">) </w:t>
      </w:r>
      <w:r w:rsidRPr="00EC0229">
        <w:t>and the dry-chalk Yorkshire Wolds</w:t>
      </w:r>
      <w:r w:rsidR="006B1593" w:rsidRPr="00EC0229">
        <w:fldChar w:fldCharType="begin"/>
      </w:r>
      <w:r w:rsidR="006B1593" w:rsidRPr="00EC0229">
        <w:instrText xml:space="preserve"> XE "</w:instrText>
      </w:r>
      <w:r w:rsidR="006B1593" w:rsidRPr="00EC0229">
        <w:rPr>
          <w:rFonts w:cs="Times New Roman"/>
          <w:noProof/>
        </w:rPr>
        <w:instrText>Yorkshire Wolds</w:instrText>
      </w:r>
      <w:r w:rsidR="006B1593" w:rsidRPr="00EC0229">
        <w:instrText xml:space="preserve">" </w:instrText>
      </w:r>
      <w:r w:rsidR="006B1593" w:rsidRPr="00EC0229">
        <w:fldChar w:fldCharType="end"/>
      </w:r>
      <w:r w:rsidR="00D00704" w:rsidRPr="00EC0229">
        <w:t xml:space="preserve"> (</w:t>
      </w:r>
      <w:r w:rsidR="00125E73" w:rsidRPr="00EC0229">
        <w:fldChar w:fldCharType="begin"/>
      </w:r>
      <w:r w:rsidR="00125E73" w:rsidRPr="00EC0229">
        <w:instrText xml:space="preserve"> PAGEREF TheYorkshireWolds \h </w:instrText>
      </w:r>
      <w:r w:rsidR="00125E73" w:rsidRPr="00EC0229">
        <w:fldChar w:fldCharType="separate"/>
      </w:r>
      <w:r w:rsidR="0012026B">
        <w:rPr>
          <w:noProof/>
        </w:rPr>
        <w:t>221</w:t>
      </w:r>
      <w:r w:rsidR="00125E73" w:rsidRPr="00EC0229">
        <w:fldChar w:fldCharType="end"/>
      </w:r>
      <w:r w:rsidR="00D00704" w:rsidRPr="00EC0229">
        <w:t>).</w:t>
      </w:r>
      <w:r w:rsidRPr="00EC0229">
        <w:t xml:space="preserve"> The coin and artefactual recoveries attest the wealth of these strategically sited communities and the extent of their trading relationships, </w:t>
      </w:r>
      <w:r w:rsidR="001F244B" w:rsidRPr="00EC0229">
        <w:t>though</w:t>
      </w:r>
      <w:r w:rsidR="00814D1C" w:rsidRPr="00EC0229">
        <w:t xml:space="preserve">, in the Vale, </w:t>
      </w:r>
      <w:r w:rsidRPr="00EC0229">
        <w:t>the accumulated evidence is thinly dispersed with comparatively few archaeological</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fldChar w:fldCharType="end"/>
      </w:r>
      <w:r w:rsidRPr="00EC0229">
        <w:t xml:space="preserve"> anchors.</w:t>
      </w:r>
      <w:bookmarkStart w:id="574" w:name="Chapter13"/>
      <w:bookmarkStart w:id="575" w:name="TheValeofYork"/>
      <w:bookmarkEnd w:id="574"/>
      <w:bookmarkEnd w:id="575"/>
    </w:p>
    <w:p w14:paraId="3708D980" w14:textId="77777777" w:rsidR="00996895" w:rsidRPr="00EC0229" w:rsidRDefault="00996895" w:rsidP="007600EA">
      <w:pPr>
        <w:pStyle w:val="NoSpacing"/>
        <w:spacing w:line="360" w:lineRule="auto"/>
      </w:pPr>
    </w:p>
    <w:p w14:paraId="7138CF1A" w14:textId="77777777" w:rsidR="00F91183" w:rsidRDefault="00F91183">
      <w:pPr>
        <w:spacing w:line="259" w:lineRule="auto"/>
        <w:jc w:val="left"/>
        <w:rPr>
          <w:b/>
          <w:sz w:val="28"/>
          <w:szCs w:val="26"/>
        </w:rPr>
      </w:pPr>
      <w:bookmarkStart w:id="576" w:name="TheCentralLowlands"/>
      <w:bookmarkEnd w:id="576"/>
      <w:r>
        <w:br w:type="page"/>
      </w:r>
    </w:p>
    <w:p w14:paraId="71902841" w14:textId="3D98ABF0" w:rsidR="005F66F0" w:rsidRPr="00EC0229" w:rsidRDefault="002979EC" w:rsidP="007600EA">
      <w:pPr>
        <w:pStyle w:val="Heading2"/>
        <w:spacing w:line="360" w:lineRule="auto"/>
      </w:pPr>
      <w:bookmarkStart w:id="577" w:name="_Toc468266862"/>
      <w:r>
        <w:lastRenderedPageBreak/>
        <w:t>8.2.2</w:t>
      </w:r>
      <w:r w:rsidR="00736C9E">
        <w:tab/>
      </w:r>
      <w:r w:rsidR="005F66F0" w:rsidRPr="00EC0229">
        <w:t xml:space="preserve">The </w:t>
      </w:r>
      <w:r w:rsidR="00C7553E" w:rsidRPr="00EC0229">
        <w:t>Central Lowlands</w:t>
      </w:r>
      <w:bookmarkEnd w:id="577"/>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p>
    <w:p w14:paraId="4265461E" w14:textId="77777777" w:rsidR="005F66F0" w:rsidRPr="00EC0229" w:rsidRDefault="005F66F0" w:rsidP="007600EA">
      <w:pPr>
        <w:pStyle w:val="NoSpacing"/>
        <w:spacing w:line="360" w:lineRule="auto"/>
        <w:jc w:val="right"/>
        <w:rPr>
          <w:sz w:val="20"/>
          <w:szCs w:val="20"/>
        </w:rPr>
      </w:pPr>
      <w:r w:rsidRPr="00EC0229">
        <w:rPr>
          <w:sz w:val="20"/>
          <w:szCs w:val="20"/>
        </w:rPr>
        <w:t xml:space="preserve">‘…your diocese is too extensive’, </w:t>
      </w:r>
    </w:p>
    <w:p w14:paraId="423FB428" w14:textId="07B0C7F9" w:rsidR="005F66F0" w:rsidRPr="00EC0229" w:rsidRDefault="005F66F0" w:rsidP="007600EA">
      <w:pPr>
        <w:pStyle w:val="NoSpacing"/>
        <w:spacing w:line="360" w:lineRule="auto"/>
        <w:jc w:val="right"/>
        <w:rPr>
          <w:b/>
          <w:sz w:val="28"/>
          <w:szCs w:val="28"/>
        </w:rPr>
      </w:pPr>
      <w:r w:rsidRPr="00EC0229">
        <w:rPr>
          <w:bCs/>
          <w:noProof/>
          <w:sz w:val="20"/>
          <w:szCs w:val="20"/>
        </w:rPr>
        <w:t>Bede</w:t>
      </w:r>
      <w:r w:rsidR="00F66CEB" w:rsidRPr="00EC0229">
        <w:rPr>
          <w:bCs/>
          <w:noProof/>
          <w:sz w:val="20"/>
          <w:szCs w:val="20"/>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bCs/>
          <w:noProof/>
          <w:sz w:val="20"/>
          <w:szCs w:val="20"/>
        </w:rPr>
        <w:fldChar w:fldCharType="end"/>
      </w:r>
      <w:r w:rsidR="00483EAF" w:rsidRPr="00EC0229">
        <w:rPr>
          <w:bCs/>
          <w:noProof/>
          <w:sz w:val="20"/>
          <w:szCs w:val="20"/>
        </w:rPr>
        <w:t>’s letter to Ecgberht</w:t>
      </w:r>
      <w:r w:rsidR="00D142DC" w:rsidRPr="00EC0229">
        <w:rPr>
          <w:bCs/>
          <w:noProof/>
          <w:sz w:val="20"/>
          <w:szCs w:val="20"/>
        </w:rPr>
        <w:fldChar w:fldCharType="begin"/>
      </w:r>
      <w:r w:rsidR="00D142DC" w:rsidRPr="00EC0229">
        <w:instrText xml:space="preserve"> XE "Ecgberht" </w:instrText>
      </w:r>
      <w:r w:rsidR="00D142DC" w:rsidRPr="00EC0229">
        <w:rPr>
          <w:bCs/>
          <w:noProof/>
          <w:sz w:val="20"/>
          <w:szCs w:val="20"/>
        </w:rPr>
        <w:fldChar w:fldCharType="end"/>
      </w:r>
      <w:r w:rsidR="0072677C" w:rsidRPr="00EC0229">
        <w:rPr>
          <w:bCs/>
          <w:sz w:val="20"/>
          <w:szCs w:val="20"/>
        </w:rPr>
        <w:t xml:space="preserve"> (</w:t>
      </w:r>
      <w:r w:rsidRPr="00EC0229">
        <w:rPr>
          <w:bCs/>
          <w:sz w:val="20"/>
          <w:szCs w:val="20"/>
        </w:rPr>
        <w:t xml:space="preserve">734, </w:t>
      </w:r>
      <w:r w:rsidR="0072677C" w:rsidRPr="00EC0229">
        <w:rPr>
          <w:sz w:val="20"/>
          <w:szCs w:val="20"/>
        </w:rPr>
        <w:t>§</w:t>
      </w:r>
      <w:r w:rsidRPr="00EC0229">
        <w:rPr>
          <w:sz w:val="20"/>
          <w:szCs w:val="20"/>
        </w:rPr>
        <w:t>5</w:t>
      </w:r>
      <w:r w:rsidR="0072677C" w:rsidRPr="00EC0229">
        <w:rPr>
          <w:sz w:val="20"/>
          <w:szCs w:val="20"/>
        </w:rPr>
        <w:t>)</w:t>
      </w:r>
    </w:p>
    <w:p w14:paraId="20EF3268" w14:textId="334FA3F9" w:rsidR="005F66F0" w:rsidRPr="00EC0229" w:rsidRDefault="005F66F0" w:rsidP="007600EA">
      <w:pPr>
        <w:pStyle w:val="NoSpacing"/>
        <w:spacing w:line="360" w:lineRule="auto"/>
      </w:pPr>
      <w:r w:rsidRPr="00EC0229">
        <w:t>Possibly of greater interest than the sparse ‘outer’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sites </w:t>
      </w:r>
      <w:r w:rsidR="00C95ABA" w:rsidRPr="00EC0229">
        <w:t>(</w:t>
      </w:r>
      <w:r w:rsidR="00125E73" w:rsidRPr="00EC0229">
        <w:fldChar w:fldCharType="begin"/>
      </w:r>
      <w:r w:rsidR="00125E73" w:rsidRPr="00EC0229">
        <w:instrText xml:space="preserve"> PAGEREF OuterYork \h </w:instrText>
      </w:r>
      <w:r w:rsidR="00125E73" w:rsidRPr="00EC0229">
        <w:fldChar w:fldCharType="separate"/>
      </w:r>
      <w:r w:rsidR="0012026B">
        <w:rPr>
          <w:noProof/>
        </w:rPr>
        <w:t>193</w:t>
      </w:r>
      <w:r w:rsidR="00125E73" w:rsidRPr="00EC0229">
        <w:fldChar w:fldCharType="end"/>
      </w:r>
      <w:r w:rsidR="00C95ABA" w:rsidRPr="00EC0229">
        <w:t xml:space="preserve">) </w:t>
      </w:r>
      <w:r w:rsidRPr="00EC0229">
        <w:t xml:space="preserve">is the dispersal of finds in 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 xml:space="preserve">, </w:t>
      </w:r>
      <w:r w:rsidR="00EA485D" w:rsidRPr="00EC0229">
        <w:t xml:space="preserve">here defined as a broader </w:t>
      </w:r>
      <w:r w:rsidR="00F45D68" w:rsidRPr="00EC0229">
        <w:t xml:space="preserve">lowland </w:t>
      </w:r>
      <w:r w:rsidR="00EA485D" w:rsidRPr="00EC0229">
        <w:t xml:space="preserve">area than </w:t>
      </w:r>
      <w:r w:rsidR="00F45D68" w:rsidRPr="00EC0229">
        <w:t>the Vale of York</w:t>
      </w:r>
      <w:r w:rsidR="00EA485D" w:rsidRPr="00EC0229">
        <w:t>. T</w:t>
      </w:r>
      <w:r w:rsidRPr="00EC0229">
        <w:t xml:space="preserve">he lowland area </w:t>
      </w:r>
      <w:r w:rsidR="009F3E5C" w:rsidRPr="00EC0229">
        <w:t xml:space="preserve">framed by the higher ground of the Pennines to the west and the </w:t>
      </w:r>
      <w:r w:rsidR="00430B5B" w:rsidRPr="00EC0229">
        <w:t>North York Moors</w:t>
      </w:r>
      <w:r w:rsidR="009F3E5C" w:rsidRPr="00EC0229">
        <w:t xml:space="preserve"> and Wolds to the east</w:t>
      </w:r>
      <w:r w:rsidR="00EA485D" w:rsidRPr="00EC0229">
        <w:t xml:space="preserve">, </w:t>
      </w:r>
      <w:r w:rsidR="009F3E5C" w:rsidRPr="00EC0229">
        <w:t>funnels</w:t>
      </w:r>
      <w:r w:rsidRPr="00EC0229">
        <w:t xml:space="preserve"> the tributaries of the Rivers Ouse and Wharfe</w:t>
      </w:r>
      <w:r w:rsidR="00C95ABA" w:rsidRPr="00EC0229">
        <w:t xml:space="preserve">, </w:t>
      </w:r>
      <w:r w:rsidR="00C95ABA" w:rsidRPr="00EC0229">
        <w:rPr>
          <w:i/>
        </w:rPr>
        <w:t>Map</w:t>
      </w:r>
      <w:r w:rsidR="00C95ABA" w:rsidRPr="00EC0229">
        <w:t xml:space="preserve"> </w:t>
      </w:r>
      <w:r w:rsidR="004048E5" w:rsidRPr="00EC0229">
        <w:rPr>
          <w:i/>
        </w:rPr>
        <w:t>8.05</w:t>
      </w:r>
      <w:r w:rsidR="009F3E5C" w:rsidRPr="00EC0229">
        <w:rPr>
          <w:i/>
        </w:rPr>
        <w:t>,</w:t>
      </w:r>
      <w:r w:rsidR="009F3E5C" w:rsidRPr="00EC0229">
        <w:t xml:space="preserve"> encompasses</w:t>
      </w:r>
      <w:r w:rsidRPr="00EC0229">
        <w:t xml:space="preserve"> th</w:t>
      </w:r>
      <w:r w:rsidR="00460D37" w:rsidRPr="00EC0229">
        <w:t>e ancient polities of western D</w:t>
      </w:r>
      <w:r w:rsidRPr="00EC0229">
        <w:t>e</w:t>
      </w:r>
      <w:r w:rsidR="00460D37" w:rsidRPr="00EC0229">
        <w:t>i</w:t>
      </w:r>
      <w:r w:rsidRPr="00EC0229">
        <w:t>ra and Elmet</w:t>
      </w:r>
      <w:r w:rsidR="00C95ABA" w:rsidRPr="00EC0229">
        <w:t xml:space="preserve">, </w:t>
      </w:r>
      <w:r w:rsidR="00C95ABA" w:rsidRPr="00EC0229">
        <w:rPr>
          <w:i/>
        </w:rPr>
        <w:t>Map</w:t>
      </w:r>
      <w:r w:rsidR="00C95ABA" w:rsidRPr="00EC0229">
        <w:t xml:space="preserve"> </w:t>
      </w:r>
      <w:r w:rsidR="004048E5" w:rsidRPr="00EC0229">
        <w:rPr>
          <w:i/>
        </w:rPr>
        <w:t>2.05</w:t>
      </w:r>
      <w:r w:rsidR="009F3E5C" w:rsidRPr="00EC0229">
        <w:t xml:space="preserve">, and provides the channel for the communications spine of the Great North Road. </w:t>
      </w:r>
      <w:r w:rsidR="00EA485D" w:rsidRPr="00EC0229">
        <w:t>This forms an area eighty miles nor</w:t>
      </w:r>
      <w:r w:rsidR="001A7283" w:rsidRPr="00EC0229">
        <w:t>th to south, from Darlington to</w:t>
      </w:r>
      <w:r w:rsidR="00EA485D" w:rsidRPr="00EC0229">
        <w:t xml:space="preserve"> Doncaster, and widening southward from twenty to fifty miles - over 2,800 square miles. </w:t>
      </w:r>
      <w:r w:rsidR="009F3E5C" w:rsidRPr="00EC0229">
        <w:t>Though t</w:t>
      </w:r>
      <w:r w:rsidRPr="00EC0229">
        <w:t>o modern eyes</w:t>
      </w:r>
      <w:r w:rsidR="009F3E5C" w:rsidRPr="00EC0229">
        <w:t xml:space="preserve">, the </w:t>
      </w:r>
      <w:r w:rsidR="001A7283" w:rsidRPr="00EC0229">
        <w:t>Central Lowlands</w:t>
      </w:r>
      <w:r w:rsidR="009F3E5C" w:rsidRPr="00EC0229">
        <w:t xml:space="preserve"> </w:t>
      </w:r>
      <w:r w:rsidRPr="00EC0229">
        <w:t xml:space="preserve">consist of rich agricultural land, the predominant soil type, </w:t>
      </w:r>
      <w:r w:rsidRPr="00EC0229">
        <w:rPr>
          <w:i/>
        </w:rPr>
        <w:t>gleys</w:t>
      </w:r>
      <w:r w:rsidRPr="00EC0229">
        <w:t xml:space="preserve">, </w:t>
      </w:r>
      <w:r w:rsidRPr="00EC0229">
        <w:rPr>
          <w:i/>
        </w:rPr>
        <w:t>Map</w:t>
      </w:r>
      <w:r w:rsidR="00344DFD" w:rsidRPr="00EC0229">
        <w:rPr>
          <w:i/>
        </w:rPr>
        <w:t>s</w:t>
      </w:r>
      <w:r w:rsidR="00584C42" w:rsidRPr="00EC0229">
        <w:rPr>
          <w:i/>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rPr>
        <w:fldChar w:fldCharType="end"/>
      </w:r>
      <w:r w:rsidR="00B43745" w:rsidRPr="00EC0229">
        <w:rPr>
          <w:i/>
        </w:rPr>
        <w:t xml:space="preserve"> 8.03 </w:t>
      </w:r>
      <w:r w:rsidR="00B43745" w:rsidRPr="00EC0229">
        <w:t>and</w:t>
      </w:r>
      <w:r w:rsidR="00B43745" w:rsidRPr="00EC0229">
        <w:rPr>
          <w:i/>
        </w:rPr>
        <w:t xml:space="preserve"> 8.07</w:t>
      </w:r>
      <w:r w:rsidR="001A7283" w:rsidRPr="00EC0229">
        <w:t>, are naturally</w:t>
      </w:r>
      <w:r w:rsidRPr="00EC0229">
        <w:t xml:space="preserve"> poor in fertility and porosity, especially when compacted by settlement</w:t>
      </w:r>
      <w:r w:rsidR="00D142DC" w:rsidRPr="00EC0229">
        <w:fldChar w:fldCharType="begin"/>
      </w:r>
      <w:r w:rsidR="00D142DC" w:rsidRPr="00EC0229">
        <w:instrText xml:space="preserve"> XE "settlement" </w:instrText>
      </w:r>
      <w:r w:rsidR="00D142DC" w:rsidRPr="00EC0229">
        <w:fldChar w:fldCharType="end"/>
      </w:r>
      <w:r w:rsidRPr="00EC0229">
        <w:t>.</w:t>
      </w:r>
    </w:p>
    <w:p w14:paraId="136D8B63" w14:textId="77777777" w:rsidR="005F66F0" w:rsidRPr="00EC0229" w:rsidRDefault="005F66F0" w:rsidP="007600EA">
      <w:pPr>
        <w:pStyle w:val="NoSpacing"/>
        <w:spacing w:line="360" w:lineRule="auto"/>
      </w:pPr>
    </w:p>
    <w:p w14:paraId="3E59EB81" w14:textId="43213DF2" w:rsidR="003738BC" w:rsidRPr="00EC0229" w:rsidRDefault="005F66F0" w:rsidP="007600EA">
      <w:pPr>
        <w:pStyle w:val="NoSpacing"/>
        <w:spacing w:line="360" w:lineRule="auto"/>
      </w:pP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1D7C9D" w:rsidRPr="00EC0229">
        <w:rPr>
          <w:i/>
        </w:rPr>
        <w:t xml:space="preserve"> </w:t>
      </w:r>
      <w:r w:rsidR="005755EC" w:rsidRPr="00EC0229">
        <w:rPr>
          <w:i/>
        </w:rPr>
        <w:t>8.15</w:t>
      </w:r>
      <w:r w:rsidRPr="00EC0229">
        <w:rPr>
          <w:i/>
        </w:rPr>
        <w:t xml:space="preserve"> </w:t>
      </w:r>
      <w:r w:rsidR="003738BC" w:rsidRPr="00EC0229">
        <w:t xml:space="preserve">analyses, from the northernmost, </w:t>
      </w:r>
      <w:r w:rsidRPr="00EC0229">
        <w:t xml:space="preserve">217 silver and copper Northumbrian finds and fifty-one other coins from eighty sites, including seventy-two coins from Ryther. </w:t>
      </w:r>
      <w:r w:rsidR="003738BC" w:rsidRPr="00EC0229">
        <w:t>The majority of sites have one or two Northumbrian finds, only Ripon</w:t>
      </w:r>
      <w:r w:rsidR="003738BC" w:rsidRPr="00EC0229">
        <w:fldChar w:fldCharType="begin"/>
      </w:r>
      <w:r w:rsidR="003738BC" w:rsidRPr="00EC0229">
        <w:instrText xml:space="preserve"> XE "</w:instrText>
      </w:r>
      <w:r w:rsidR="003738BC" w:rsidRPr="00EC0229">
        <w:rPr>
          <w:rStyle w:val="Hyperlink"/>
          <w:noProof/>
          <w:u w:val="none"/>
        </w:rPr>
        <w:instrText>Ripon</w:instrText>
      </w:r>
      <w:r w:rsidR="003738BC" w:rsidRPr="00EC0229">
        <w:instrText xml:space="preserve">" </w:instrText>
      </w:r>
      <w:r w:rsidR="003738BC" w:rsidRPr="00EC0229">
        <w:fldChar w:fldCharType="end"/>
      </w:r>
      <w:r w:rsidR="003738BC" w:rsidRPr="00EC0229">
        <w:t xml:space="preserve"> (ten coins), </w:t>
      </w:r>
      <w:r w:rsidR="003738BC" w:rsidRPr="00EC0229">
        <w:rPr>
          <w:szCs w:val="24"/>
        </w:rPr>
        <w:t xml:space="preserve">Stamford Bridge (seven), </w:t>
      </w:r>
      <w:r w:rsidR="003738BC" w:rsidRPr="00EC0229">
        <w:t xml:space="preserve">Wetherby (seven), Carthorpe (five) and </w:t>
      </w:r>
      <w:r w:rsidR="003738BC" w:rsidRPr="00EC0229">
        <w:rPr>
          <w:szCs w:val="24"/>
        </w:rPr>
        <w:t>Spofforth</w:t>
      </w:r>
      <w:r w:rsidR="003738BC" w:rsidRPr="00EC0229">
        <w:rPr>
          <w:szCs w:val="24"/>
        </w:rPr>
        <w:fldChar w:fldCharType="begin"/>
      </w:r>
      <w:r w:rsidR="003738BC" w:rsidRPr="00EC0229">
        <w:instrText xml:space="preserve"> XE "</w:instrText>
      </w:r>
      <w:r w:rsidR="003738BC" w:rsidRPr="00EC0229">
        <w:rPr>
          <w:rStyle w:val="Hyperlink"/>
          <w:noProof/>
          <w:u w:val="none"/>
        </w:rPr>
        <w:instrText>Spofforth</w:instrText>
      </w:r>
      <w:r w:rsidR="003738BC" w:rsidRPr="00EC0229">
        <w:instrText xml:space="preserve">" </w:instrText>
      </w:r>
      <w:r w:rsidR="003738BC" w:rsidRPr="00EC0229">
        <w:rPr>
          <w:szCs w:val="24"/>
        </w:rPr>
        <w:fldChar w:fldCharType="end"/>
      </w:r>
      <w:r w:rsidR="003738BC" w:rsidRPr="00EC0229">
        <w:rPr>
          <w:szCs w:val="24"/>
        </w:rPr>
        <w:t xml:space="preserve"> (four) </w:t>
      </w:r>
      <w:r w:rsidR="003738BC" w:rsidRPr="00EC0229">
        <w:t xml:space="preserve">have more. A few of the coins in </w:t>
      </w:r>
      <w:r w:rsidR="003738BC" w:rsidRPr="00EC0229">
        <w:rPr>
          <w:i/>
        </w:rPr>
        <w:t xml:space="preserve">Table </w:t>
      </w:r>
      <w:r w:rsidR="00B15422" w:rsidRPr="00EC0229">
        <w:rPr>
          <w:i/>
        </w:rPr>
        <w:t>8.1</w:t>
      </w:r>
      <w:r w:rsidR="00914CF8" w:rsidRPr="00EC0229">
        <w:rPr>
          <w:i/>
        </w:rPr>
        <w:t>5</w:t>
      </w:r>
      <w:r w:rsidR="003738BC" w:rsidRPr="00EC0229">
        <w:rPr>
          <w:i/>
        </w:rPr>
        <w:t xml:space="preserve"> </w:t>
      </w:r>
      <w:r w:rsidR="003738BC" w:rsidRPr="00EC0229">
        <w:t>are of numismatic interest, including a singleton of Series</w:t>
      </w:r>
      <w:r w:rsidR="003738BC" w:rsidRPr="00EC0229">
        <w:fldChar w:fldCharType="begin"/>
      </w:r>
      <w:r w:rsidR="003738BC" w:rsidRPr="00EC0229">
        <w:instrText xml:space="preserve"> XE "Series" </w:instrText>
      </w:r>
      <w:r w:rsidR="003738BC" w:rsidRPr="00EC0229">
        <w:fldChar w:fldCharType="end"/>
      </w:r>
      <w:r w:rsidR="003738BC" w:rsidRPr="00EC0229">
        <w:t xml:space="preserve"> Q</w:t>
      </w:r>
      <w:r w:rsidR="003738BC" w:rsidRPr="00EC0229">
        <w:fldChar w:fldCharType="begin"/>
      </w:r>
      <w:r w:rsidR="003738BC" w:rsidRPr="00EC0229">
        <w:instrText xml:space="preserve"> XE "Series Q" </w:instrText>
      </w:r>
      <w:r w:rsidR="003738BC" w:rsidRPr="00EC0229">
        <w:fldChar w:fldCharType="end"/>
      </w:r>
      <w:r w:rsidR="003738BC" w:rsidRPr="00EC0229">
        <w:t xml:space="preserve"> from Lotherton, </w:t>
      </w:r>
      <w:r w:rsidR="003738BC" w:rsidRPr="00EC0229">
        <w:rPr>
          <w:szCs w:val="24"/>
        </w:rPr>
        <w:t>(</w:t>
      </w:r>
      <w:r w:rsidR="003738BC" w:rsidRPr="00EC0229">
        <w:rPr>
          <w:szCs w:val="24"/>
        </w:rPr>
        <w:fldChar w:fldCharType="begin"/>
      </w:r>
      <w:r w:rsidR="003738BC" w:rsidRPr="00EC0229">
        <w:rPr>
          <w:szCs w:val="24"/>
        </w:rPr>
        <w:instrText xml:space="preserve"> REF _Ref430248261 \h  \* MERGEFORMAT </w:instrText>
      </w:r>
      <w:r w:rsidR="003738BC" w:rsidRPr="00EC0229">
        <w:rPr>
          <w:szCs w:val="24"/>
        </w:rPr>
      </w:r>
      <w:r w:rsidR="003738BC"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80</w:t>
      </w:r>
      <w:r w:rsidR="003738BC" w:rsidRPr="00EC0229">
        <w:rPr>
          <w:szCs w:val="24"/>
        </w:rPr>
        <w:fldChar w:fldCharType="end"/>
      </w:r>
      <w:r w:rsidR="003738BC" w:rsidRPr="00EC0229">
        <w:t>), [5b]:</w:t>
      </w:r>
    </w:p>
    <w:p w14:paraId="1AAC9772" w14:textId="77777777" w:rsidR="003738BC" w:rsidRPr="00EC0229" w:rsidRDefault="003738BC" w:rsidP="007600EA">
      <w:pPr>
        <w:pStyle w:val="NoSpacing"/>
        <w:spacing w:line="360" w:lineRule="auto"/>
        <w:jc w:val="center"/>
      </w:pPr>
      <w:r w:rsidRPr="00EC0229">
        <w:rPr>
          <w:noProof/>
          <w:lang w:eastAsia="en-GB"/>
        </w:rPr>
        <w:drawing>
          <wp:inline distT="0" distB="0" distL="0" distR="0" wp14:anchorId="68FB78FC" wp14:editId="125D5A7A">
            <wp:extent cx="721047" cy="721047"/>
            <wp:effectExtent l="0" t="0" r="3175" b="31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therton Series Q1H SWYOR-3B48D5.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721047" cy="721047"/>
                    </a:xfrm>
                    <a:prstGeom prst="rect">
                      <a:avLst/>
                    </a:prstGeom>
                  </pic:spPr>
                </pic:pic>
              </a:graphicData>
            </a:graphic>
          </wp:inline>
        </w:drawing>
      </w:r>
      <w:r w:rsidRPr="00EC0229">
        <w:rPr>
          <w:noProof/>
          <w:lang w:eastAsia="en-GB"/>
        </w:rPr>
        <w:drawing>
          <wp:inline distT="0" distB="0" distL="0" distR="0" wp14:anchorId="2264C89F" wp14:editId="0F714E7C">
            <wp:extent cx="721185" cy="682992"/>
            <wp:effectExtent l="0" t="0" r="3175" b="31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therton Series Q1H R SWYOR-3B48D5.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721185" cy="682992"/>
                    </a:xfrm>
                    <a:prstGeom prst="rect">
                      <a:avLst/>
                    </a:prstGeom>
                  </pic:spPr>
                </pic:pic>
              </a:graphicData>
            </a:graphic>
          </wp:inline>
        </w:drawing>
      </w:r>
    </w:p>
    <w:p w14:paraId="70CE5D24" w14:textId="379D4A1A" w:rsidR="00161418" w:rsidRDefault="003738BC" w:rsidP="007600EA">
      <w:pPr>
        <w:pStyle w:val="NoSpacing"/>
        <w:spacing w:line="360" w:lineRule="auto"/>
        <w:jc w:val="center"/>
        <w:rPr>
          <w:sz w:val="20"/>
          <w:szCs w:val="20"/>
        </w:rPr>
      </w:pPr>
      <w:bookmarkStart w:id="578" w:name="_Ref430248261"/>
      <w:bookmarkStart w:id="579" w:name="_Toc46826705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80</w:t>
      </w:r>
      <w:r w:rsidRPr="00EC0229">
        <w:rPr>
          <w:sz w:val="20"/>
          <w:szCs w:val="20"/>
        </w:rPr>
        <w:fldChar w:fldCharType="end"/>
      </w:r>
      <w:bookmarkEnd w:id="578"/>
      <w:r w:rsidRPr="00EC0229">
        <w:rPr>
          <w:sz w:val="20"/>
          <w:szCs w:val="20"/>
        </w:rPr>
        <w:t>: Lotherton: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Q1H</w:t>
      </w:r>
      <w:bookmarkEnd w:id="579"/>
      <w:r w:rsidRPr="00EC0229">
        <w:rPr>
          <w:sz w:val="20"/>
          <w:szCs w:val="20"/>
        </w:rPr>
        <w:t xml:space="preserve"> </w:t>
      </w:r>
    </w:p>
    <w:p w14:paraId="6A3AB33F" w14:textId="2927A414" w:rsidR="003738BC" w:rsidRPr="00EC0229" w:rsidRDefault="003738BC" w:rsidP="007600EA">
      <w:pPr>
        <w:pStyle w:val="NoSpacing"/>
        <w:spacing w:line="360" w:lineRule="auto"/>
        <w:jc w:val="center"/>
        <w:rPr>
          <w:sz w:val="20"/>
          <w:szCs w:val="20"/>
        </w:rPr>
      </w:pPr>
      <w:r w:rsidRPr="00EC0229">
        <w:rPr>
          <w:sz w:val="20"/>
          <w:szCs w:val="20"/>
        </w:rPr>
        <w:t>(PAS</w:t>
      </w:r>
      <w:r w:rsidRPr="00EC0229">
        <w:rPr>
          <w:sz w:val="20"/>
          <w:szCs w:val="20"/>
        </w:rPr>
        <w:fldChar w:fldCharType="begin"/>
      </w:r>
      <w:r w:rsidRPr="00EC0229">
        <w:rPr>
          <w:sz w:val="20"/>
          <w:szCs w:val="20"/>
        </w:rPr>
        <w:instrText xml:space="preserve"> XE "PAS" </w:instrText>
      </w:r>
      <w:r w:rsidRPr="00EC0229">
        <w:rPr>
          <w:sz w:val="20"/>
          <w:szCs w:val="20"/>
        </w:rPr>
        <w:fldChar w:fldCharType="end"/>
      </w:r>
      <w:r w:rsidRPr="00EC0229">
        <w:rPr>
          <w:sz w:val="20"/>
          <w:szCs w:val="20"/>
        </w:rPr>
        <w:t xml:space="preserve"> SWYOR-3B48D5)</w:t>
      </w:r>
    </w:p>
    <w:p w14:paraId="6C891301" w14:textId="7DDD5103" w:rsidR="005F66F0" w:rsidRDefault="005F66F0" w:rsidP="007600EA">
      <w:pPr>
        <w:pStyle w:val="NoSpacing"/>
        <w:spacing w:line="360" w:lineRule="auto"/>
      </w:pPr>
      <w:r w:rsidRPr="00EC0229">
        <w:t xml:space="preserve">However, this sample is somewhat distorted as much of the data, other than Ryther, has been extracted from my own, selective collection. Had other sites been as scrupulously researched as Ryther, one could reasonably extrapolate a far higher penetration of coinage generally. Again, it is the widespread and even distribution over a substantial area – </w:t>
      </w:r>
      <w:r w:rsidR="004504D2">
        <w:t>characterize</w:t>
      </w:r>
      <w:r w:rsidRPr="00EC0229">
        <w:t xml:space="preserve">d as </w:t>
      </w:r>
      <w:r w:rsidRPr="00EC0229">
        <w:rPr>
          <w:rFonts w:eastAsia="Times New Roman" w:cs="Times New Roman"/>
          <w:iCs/>
          <w:szCs w:val="24"/>
          <w:lang w:eastAsia="en-GB"/>
        </w:rPr>
        <w:t>a distributed network of settlements -</w:t>
      </w:r>
      <w:r w:rsidRPr="00EC0229">
        <w:t xml:space="preserve"> which is more indicative of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than the volume of finds or the reported number of find sites.</w:t>
      </w:r>
      <w:r w:rsidR="001E57F2" w:rsidRPr="00EC0229">
        <w:t xml:space="preserve"> </w:t>
      </w:r>
      <w:r w:rsidR="00BF6095">
        <w:t>Several</w:t>
      </w:r>
      <w:r w:rsidR="003738BC" w:rsidRPr="00EC0229">
        <w:t xml:space="preserve"> sites, arranged by volume of recorded finds, are described below.</w:t>
      </w:r>
    </w:p>
    <w:p w14:paraId="2E79D14F" w14:textId="245CBBB5" w:rsidR="00F91183" w:rsidRPr="00EC0229" w:rsidRDefault="002979EC" w:rsidP="00F91183">
      <w:pPr>
        <w:pStyle w:val="Heading3"/>
      </w:pPr>
      <w:bookmarkStart w:id="580" w:name="_Toc468266863"/>
      <w:r>
        <w:lastRenderedPageBreak/>
        <w:t>8.2.2.1</w:t>
      </w:r>
      <w:r w:rsidR="00F91183">
        <w:t xml:space="preserve"> Site studies</w:t>
      </w:r>
      <w:bookmarkEnd w:id="580"/>
    </w:p>
    <w:p w14:paraId="4123E5A2" w14:textId="5F16EC3F" w:rsidR="005F66F0" w:rsidRPr="00EC0229" w:rsidRDefault="005F66F0" w:rsidP="00F91183">
      <w:pPr>
        <w:pStyle w:val="Heading3"/>
        <w:spacing w:line="360" w:lineRule="auto"/>
        <w:ind w:firstLine="720"/>
        <w:rPr>
          <w:lang w:val="en"/>
        </w:rPr>
      </w:pPr>
      <w:bookmarkStart w:id="581" w:name="Ryther"/>
      <w:bookmarkStart w:id="582" w:name="_Toc468266864"/>
      <w:bookmarkEnd w:id="581"/>
      <w:r w:rsidRPr="00EC0229">
        <w:t xml:space="preserve">Ryther </w:t>
      </w:r>
      <w:r w:rsidRPr="00EC0229">
        <w:rPr>
          <w:lang w:val="en"/>
        </w:rPr>
        <w:t>cum Ossendyke</w:t>
      </w:r>
      <w:bookmarkEnd w:id="582"/>
      <w:r w:rsidR="006B1593" w:rsidRPr="00EC0229">
        <w:rPr>
          <w:lang w:val="en"/>
        </w:rPr>
        <w:fldChar w:fldCharType="begin"/>
      </w:r>
      <w:r w:rsidR="006B1593" w:rsidRPr="00EC0229">
        <w:instrText xml:space="preserve"> XE "</w:instrText>
      </w:r>
      <w:r w:rsidR="006B1593" w:rsidRPr="00EC0229">
        <w:rPr>
          <w:rStyle w:val="Hyperlink"/>
          <w:noProof/>
          <w:u w:val="none"/>
        </w:rPr>
        <w:instrText xml:space="preserve">Ryther </w:instrText>
      </w:r>
      <w:r w:rsidR="006B1593" w:rsidRPr="00EC0229">
        <w:rPr>
          <w:rStyle w:val="Hyperlink"/>
          <w:noProof/>
          <w:u w:val="none"/>
          <w:lang w:val="en"/>
        </w:rPr>
        <w:instrText>cum Ossendyke</w:instrText>
      </w:r>
      <w:r w:rsidR="006B1593" w:rsidRPr="00EC0229">
        <w:instrText xml:space="preserve">" </w:instrText>
      </w:r>
      <w:r w:rsidR="006B1593" w:rsidRPr="00EC0229">
        <w:rPr>
          <w:lang w:val="en"/>
        </w:rPr>
        <w:fldChar w:fldCharType="end"/>
      </w:r>
    </w:p>
    <w:p w14:paraId="192D4E3F" w14:textId="5A009AE0" w:rsidR="005F66F0" w:rsidRPr="00EC0229" w:rsidRDefault="005F66F0" w:rsidP="007600EA">
      <w:pPr>
        <w:pStyle w:val="NoSpacing"/>
        <w:spacing w:line="360" w:lineRule="auto"/>
      </w:pPr>
      <w:r w:rsidRPr="00EC0229">
        <w:t xml:space="preserve">Ryther </w:t>
      </w:r>
      <w:r w:rsidR="00AE0A5B" w:rsidRPr="00EC0229">
        <w:t xml:space="preserve">lies </w:t>
      </w:r>
      <w:r w:rsidRPr="00EC0229">
        <w:t>south of a bend in the Wharfe</w:t>
      </w:r>
      <w:r w:rsidR="00AE0A5B" w:rsidRPr="00EC0229">
        <w:t>,</w:t>
      </w:r>
      <w:r w:rsidRPr="00EC0229">
        <w:t xml:space="preserve"> one mile west of Cawood. There are three productive zones in Ryther: the village, the Church and the ‘castle’, though at the latter the soil was heavily contaminated with iron, of which seven thousand pieces were removed,</w:t>
      </w:r>
      <w:r w:rsidRPr="00EC0229">
        <w:rPr>
          <w:rStyle w:val="FootnoteReference"/>
        </w:rPr>
        <w:footnoteReference w:id="951"/>
      </w:r>
      <w:r w:rsidRPr="00EC0229">
        <w:t xml:space="preserve"> presumably the result of metal-working.</w:t>
      </w:r>
    </w:p>
    <w:p w14:paraId="7A1F8AEB" w14:textId="77777777" w:rsidR="005F66F0" w:rsidRPr="00EC0229" w:rsidRDefault="005F66F0" w:rsidP="007600EA">
      <w:pPr>
        <w:pStyle w:val="NoSpacing"/>
        <w:spacing w:line="360" w:lineRule="auto"/>
      </w:pPr>
    </w:p>
    <w:p w14:paraId="2F976F4B" w14:textId="04A412E9" w:rsidR="00205FE6" w:rsidRPr="00EC0229" w:rsidRDefault="00AE0A5B" w:rsidP="007600EA">
      <w:pPr>
        <w:pStyle w:val="NoSpacing"/>
        <w:spacing w:line="360" w:lineRule="auto"/>
      </w:pPr>
      <w:r w:rsidRPr="00EC0229">
        <w:t>T</w:t>
      </w:r>
      <w:r w:rsidR="005F66F0" w:rsidRPr="00EC0229">
        <w:t>hree primary sceats were detected in the mid-90s; all the others are ninth-century Northumbrian coins registered in 2001, clearly the result of some diligent detection and reporting.</w:t>
      </w:r>
      <w:r w:rsidR="00F01C1C">
        <w:rPr>
          <w:rStyle w:val="FootnoteReference"/>
        </w:rPr>
        <w:footnoteReference w:id="952"/>
      </w:r>
      <w:r w:rsidR="005F66F0" w:rsidRPr="00EC0229">
        <w:t xml:space="preserve"> Private correspondence in the Pirie</w:t>
      </w:r>
      <w:r w:rsidR="00716433" w:rsidRPr="00EC0229">
        <w:fldChar w:fldCharType="begin"/>
      </w:r>
      <w:r w:rsidR="00716433" w:rsidRPr="00EC0229">
        <w:instrText xml:space="preserve"> XE "Pirie" </w:instrText>
      </w:r>
      <w:r w:rsidR="00716433" w:rsidRPr="00EC0229">
        <w:fldChar w:fldCharType="end"/>
      </w:r>
      <w:r w:rsidR="005F66F0" w:rsidRPr="00EC0229">
        <w:t xml:space="preserve"> archive, from detectorist Stephen Pickles, show this to be the case, even though he was active two decades prior to the reporting date.</w:t>
      </w:r>
      <w:r w:rsidR="005F66F0" w:rsidRPr="00EC0229">
        <w:rPr>
          <w:rStyle w:val="FootnoteReference"/>
        </w:rPr>
        <w:footnoteReference w:id="953"/>
      </w:r>
      <w:r w:rsidR="005F66F0" w:rsidRPr="00EC0229">
        <w:t xml:space="preserve">  </w:t>
      </w:r>
    </w:p>
    <w:p w14:paraId="066B8779" w14:textId="77777777" w:rsidR="00205FE6" w:rsidRPr="00EC0229" w:rsidRDefault="00205FE6" w:rsidP="007600EA">
      <w:pPr>
        <w:pStyle w:val="NoSpacing"/>
        <w:spacing w:line="360" w:lineRule="auto"/>
      </w:pPr>
      <w:bookmarkStart w:id="583" w:name="BoltonPercy"/>
    </w:p>
    <w:p w14:paraId="59C6395D" w14:textId="3AEE0B8C" w:rsidR="003738BC" w:rsidRPr="00EC0229" w:rsidRDefault="003738BC" w:rsidP="00F91183">
      <w:pPr>
        <w:pStyle w:val="Heading3"/>
        <w:spacing w:line="360" w:lineRule="auto"/>
        <w:ind w:firstLine="720"/>
      </w:pPr>
      <w:bookmarkStart w:id="584" w:name="_Toc468266865"/>
      <w:bookmarkStart w:id="585" w:name="Spofforth"/>
      <w:bookmarkStart w:id="586" w:name="Ripon"/>
      <w:r w:rsidRPr="00EC0229">
        <w:t>Spofforth</w:t>
      </w:r>
      <w:bookmarkEnd w:id="584"/>
      <w:r w:rsidRPr="00EC0229">
        <w:fldChar w:fldCharType="begin"/>
      </w:r>
      <w:r w:rsidRPr="00EC0229">
        <w:instrText xml:space="preserve"> XE "</w:instrText>
      </w:r>
      <w:r w:rsidRPr="00EC0229">
        <w:rPr>
          <w:rStyle w:val="Hyperlink"/>
          <w:noProof/>
          <w:u w:val="none"/>
        </w:rPr>
        <w:instrText>Spofforth</w:instrText>
      </w:r>
      <w:r w:rsidRPr="00EC0229">
        <w:instrText xml:space="preserve">" </w:instrText>
      </w:r>
      <w:r w:rsidRPr="00EC0229">
        <w:fldChar w:fldCharType="end"/>
      </w:r>
    </w:p>
    <w:bookmarkEnd w:id="585"/>
    <w:p w14:paraId="24939CBF" w14:textId="4E537E47" w:rsidR="003738BC" w:rsidRPr="00EC0229" w:rsidRDefault="003738BC" w:rsidP="007600EA">
      <w:pPr>
        <w:pStyle w:val="NoSpacing"/>
        <w:spacing w:line="360" w:lineRule="auto"/>
      </w:pPr>
      <w:r w:rsidRPr="00EC0229">
        <w:t>The site of an unfurnished inhumation has produced an Æthelred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 sceat found close to the new variety of the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Gold</w:t>
      </w:r>
      <w:r w:rsidRPr="00EC0229">
        <w:fldChar w:fldCharType="begin"/>
      </w:r>
      <w:r w:rsidRPr="00EC0229">
        <w:instrText xml:space="preserve"> XE "</w:instrText>
      </w:r>
      <w:r w:rsidRPr="00EC0229">
        <w:rPr>
          <w:rStyle w:val="Hyperlink"/>
          <w:rFonts w:cs="Times New Roman"/>
          <w:noProof/>
          <w:u w:val="none"/>
        </w:rPr>
        <w:instrText>Gold</w:instrText>
      </w:r>
      <w:r w:rsidRPr="00EC0229">
        <w:instrText xml:space="preserve">" </w:instrText>
      </w:r>
      <w:r w:rsidRPr="00EC0229">
        <w:fldChar w:fldCharType="end"/>
      </w:r>
      <w:r w:rsidRPr="00EC0229">
        <w:t xml:space="preserve"> shilling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_Ref430248379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rPr>
        <w:t>Figure</w:t>
      </w:r>
      <w:r w:rsidR="0012026B" w:rsidRPr="0012026B">
        <w:t xml:space="preserve"> </w:t>
      </w:r>
      <w:r w:rsidR="0012026B" w:rsidRPr="0012026B">
        <w:rPr>
          <w:noProof/>
        </w:rPr>
        <w:t>81</w:t>
      </w:r>
      <w:r w:rsidRPr="00EC0229">
        <w:rPr>
          <w:rFonts w:eastAsia="Times New Roman" w:cs="Times New Roman"/>
          <w:szCs w:val="24"/>
          <w:lang w:eastAsia="en-GB"/>
        </w:rPr>
        <w:fldChar w:fldCharType="end"/>
      </w:r>
      <w:r w:rsidRPr="00EC0229">
        <w:rPr>
          <w:rFonts w:eastAsia="Times New Roman" w:cs="Times New Roman"/>
          <w:szCs w:val="24"/>
          <w:lang w:eastAsia="en-GB"/>
        </w:rPr>
        <w:t>), [3b]</w:t>
      </w:r>
      <w:r w:rsidRPr="00EC0229">
        <w:t>.</w:t>
      </w:r>
      <w:r w:rsidRPr="00EC0229">
        <w:rPr>
          <w:rStyle w:val="FootnoteReference"/>
        </w:rPr>
        <w:footnoteReference w:id="954"/>
      </w:r>
      <w:r w:rsidRPr="00EC0229">
        <w:t xml:space="preserve"> </w:t>
      </w:r>
    </w:p>
    <w:p w14:paraId="4DF11DCF" w14:textId="77777777" w:rsidR="003738BC" w:rsidRPr="00EC0229" w:rsidRDefault="003738BC" w:rsidP="007600EA">
      <w:pPr>
        <w:pStyle w:val="NoSpacing"/>
        <w:spacing w:line="360" w:lineRule="auto"/>
        <w:jc w:val="center"/>
      </w:pPr>
      <w:r w:rsidRPr="00EC0229">
        <w:rPr>
          <w:noProof/>
          <w:lang w:eastAsia="en-GB"/>
        </w:rPr>
        <w:drawing>
          <wp:inline distT="0" distB="0" distL="0" distR="0" wp14:anchorId="5A0992F4" wp14:editId="3C576F4F">
            <wp:extent cx="899160" cy="836151"/>
            <wp:effectExtent l="0" t="0" r="0" b="254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ork shilling find Jan 2012 obv var D.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906747" cy="843206"/>
                    </a:xfrm>
                    <a:prstGeom prst="rect">
                      <a:avLst/>
                    </a:prstGeom>
                  </pic:spPr>
                </pic:pic>
              </a:graphicData>
            </a:graphic>
          </wp:inline>
        </w:drawing>
      </w:r>
      <w:r w:rsidRPr="00EC0229">
        <w:rPr>
          <w:noProof/>
          <w:lang w:eastAsia="en-GB"/>
        </w:rPr>
        <w:drawing>
          <wp:inline distT="0" distB="0" distL="0" distR="0" wp14:anchorId="01560D48" wp14:editId="5D4845FE">
            <wp:extent cx="834176" cy="828675"/>
            <wp:effectExtent l="0" t="0" r="444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ork shilling find Jan 2012 rev var D.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846186" cy="840606"/>
                    </a:xfrm>
                    <a:prstGeom prst="rect">
                      <a:avLst/>
                    </a:prstGeom>
                  </pic:spPr>
                </pic:pic>
              </a:graphicData>
            </a:graphic>
          </wp:inline>
        </w:drawing>
      </w:r>
    </w:p>
    <w:p w14:paraId="7B342E57" w14:textId="2AF6BDF6" w:rsidR="00161418" w:rsidRDefault="003738BC" w:rsidP="007600EA">
      <w:pPr>
        <w:spacing w:line="360" w:lineRule="auto"/>
        <w:jc w:val="center"/>
        <w:rPr>
          <w:sz w:val="20"/>
          <w:szCs w:val="20"/>
        </w:rPr>
      </w:pPr>
      <w:bookmarkStart w:id="587" w:name="_Ref430248379"/>
      <w:bookmarkStart w:id="588" w:name="_Toc46826705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81</w:t>
      </w:r>
      <w:r w:rsidRPr="00EC0229">
        <w:rPr>
          <w:noProof/>
          <w:sz w:val="20"/>
          <w:szCs w:val="20"/>
        </w:rPr>
        <w:fldChar w:fldCharType="end"/>
      </w:r>
      <w:bookmarkEnd w:id="587"/>
      <w:r w:rsidRPr="00EC0229">
        <w:rPr>
          <w:sz w:val="20"/>
          <w:szCs w:val="20"/>
        </w:rPr>
        <w:t>: Spofforth</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Spofforth</w:instrText>
      </w:r>
      <w:r w:rsidRPr="00EC0229">
        <w:rPr>
          <w:sz w:val="20"/>
          <w:szCs w:val="20"/>
        </w:rPr>
        <w:instrText xml:space="preserve">" </w:instrText>
      </w:r>
      <w:r w:rsidRPr="00EC0229">
        <w:rPr>
          <w:sz w:val="20"/>
          <w:szCs w:val="20"/>
        </w:rPr>
        <w:fldChar w:fldCharType="end"/>
      </w:r>
      <w:r w:rsidRPr="00EC0229">
        <w:rPr>
          <w:sz w:val="20"/>
          <w:szCs w:val="20"/>
        </w:rPr>
        <w:t>: new variety D of York</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York</w:instrText>
      </w:r>
      <w:r w:rsidRPr="00EC0229">
        <w:rPr>
          <w:sz w:val="20"/>
          <w:szCs w:val="20"/>
        </w:rPr>
        <w:instrText xml:space="preserve">" </w:instrText>
      </w:r>
      <w:r w:rsidRPr="00EC0229">
        <w:rPr>
          <w:sz w:val="20"/>
          <w:szCs w:val="20"/>
        </w:rPr>
        <w:fldChar w:fldCharType="end"/>
      </w:r>
      <w:r w:rsidRPr="00EC0229">
        <w:rPr>
          <w:sz w:val="20"/>
          <w:szCs w:val="20"/>
        </w:rPr>
        <w:t xml:space="preserve"> gold</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shilling</w:t>
      </w:r>
      <w:bookmarkEnd w:id="588"/>
      <w:r w:rsidRPr="00EC0229">
        <w:rPr>
          <w:sz w:val="20"/>
          <w:szCs w:val="20"/>
        </w:rPr>
        <w:t xml:space="preserve"> </w:t>
      </w:r>
    </w:p>
    <w:p w14:paraId="3611608C" w14:textId="6A8E9698" w:rsidR="003738BC" w:rsidRPr="00EC0229" w:rsidRDefault="003738BC" w:rsidP="007600EA">
      <w:pPr>
        <w:spacing w:line="360" w:lineRule="auto"/>
        <w:jc w:val="center"/>
        <w:rPr>
          <w:sz w:val="20"/>
          <w:szCs w:val="20"/>
        </w:rPr>
      </w:pPr>
      <w:r w:rsidRPr="00EC0229">
        <w:rPr>
          <w:sz w:val="20"/>
          <w:szCs w:val="20"/>
        </w:rPr>
        <w:t>(Courtesy Ricky Brelsford)</w:t>
      </w:r>
    </w:p>
    <w:p w14:paraId="614341A8" w14:textId="6763EDC2" w:rsidR="003738BC" w:rsidRPr="00EC0229" w:rsidRDefault="003738BC" w:rsidP="007600EA">
      <w:pPr>
        <w:pStyle w:val="NoSpacing"/>
        <w:spacing w:line="360" w:lineRule="auto"/>
        <w:rPr>
          <w:szCs w:val="24"/>
        </w:rPr>
      </w:pPr>
      <w:r w:rsidRPr="00EC0229">
        <w:rPr>
          <w:szCs w:val="24"/>
        </w:rPr>
        <w:t>In April 2015, I identified a second specimen of variety D, probably from the same dies</w:t>
      </w:r>
      <w:r w:rsidRPr="00EC0229">
        <w:t xml:space="preserve">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_Ref430248387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rPr>
        <w:t>Figure</w:t>
      </w:r>
      <w:r w:rsidR="0012026B" w:rsidRPr="0012026B">
        <w:t xml:space="preserve"> </w:t>
      </w:r>
      <w:r w:rsidR="0012026B" w:rsidRPr="0012026B">
        <w:rPr>
          <w:noProof/>
        </w:rPr>
        <w:t>82</w:t>
      </w:r>
      <w:r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rPr>
          <w:szCs w:val="24"/>
        </w:rPr>
        <w:t>.</w:t>
      </w:r>
    </w:p>
    <w:p w14:paraId="6C3ABF84" w14:textId="77777777" w:rsidR="003738BC" w:rsidRPr="00EC0229" w:rsidRDefault="003738BC" w:rsidP="007600EA">
      <w:pPr>
        <w:pStyle w:val="NoSpacing"/>
        <w:spacing w:line="360" w:lineRule="auto"/>
        <w:jc w:val="center"/>
        <w:rPr>
          <w:szCs w:val="24"/>
        </w:rPr>
      </w:pPr>
      <w:r w:rsidRPr="00EC0229">
        <w:rPr>
          <w:noProof/>
          <w:szCs w:val="24"/>
          <w:lang w:eastAsia="en-GB"/>
        </w:rPr>
        <w:drawing>
          <wp:inline distT="0" distB="0" distL="0" distR="0" wp14:anchorId="38B1FC03" wp14:editId="1F1DE31F">
            <wp:extent cx="850229" cy="865277"/>
            <wp:effectExtent l="0" t="0" r="762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York D2 obv small.jpg"/>
                    <pic:cNvPicPr/>
                  </pic:nvPicPr>
                  <pic:blipFill>
                    <a:blip r:embed="rId281">
                      <a:extLst>
                        <a:ext uri="{28A0092B-C50C-407E-A947-70E740481C1C}">
                          <a14:useLocalDpi xmlns:a14="http://schemas.microsoft.com/office/drawing/2010/main" val="0"/>
                        </a:ext>
                      </a:extLst>
                    </a:blip>
                    <a:stretch>
                      <a:fillRect/>
                    </a:stretch>
                  </pic:blipFill>
                  <pic:spPr>
                    <a:xfrm>
                      <a:off x="0" y="0"/>
                      <a:ext cx="889943" cy="905694"/>
                    </a:xfrm>
                    <a:prstGeom prst="rect">
                      <a:avLst/>
                    </a:prstGeom>
                  </pic:spPr>
                </pic:pic>
              </a:graphicData>
            </a:graphic>
          </wp:inline>
        </w:drawing>
      </w:r>
      <w:r w:rsidRPr="00EC0229">
        <w:rPr>
          <w:noProof/>
          <w:szCs w:val="24"/>
          <w:lang w:eastAsia="en-GB"/>
        </w:rPr>
        <w:drawing>
          <wp:inline distT="0" distB="0" distL="0" distR="0" wp14:anchorId="589EE28B" wp14:editId="6265D6DF">
            <wp:extent cx="924438" cy="84263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ork D2 rev small.jpg"/>
                    <pic:cNvPicPr/>
                  </pic:nvPicPr>
                  <pic:blipFill>
                    <a:blip r:embed="rId282">
                      <a:extLst>
                        <a:ext uri="{28A0092B-C50C-407E-A947-70E740481C1C}">
                          <a14:useLocalDpi xmlns:a14="http://schemas.microsoft.com/office/drawing/2010/main" val="0"/>
                        </a:ext>
                      </a:extLst>
                    </a:blip>
                    <a:stretch>
                      <a:fillRect/>
                    </a:stretch>
                  </pic:blipFill>
                  <pic:spPr>
                    <a:xfrm>
                      <a:off x="0" y="0"/>
                      <a:ext cx="971479" cy="885509"/>
                    </a:xfrm>
                    <a:prstGeom prst="rect">
                      <a:avLst/>
                    </a:prstGeom>
                  </pic:spPr>
                </pic:pic>
              </a:graphicData>
            </a:graphic>
          </wp:inline>
        </w:drawing>
      </w:r>
    </w:p>
    <w:p w14:paraId="24D223F7" w14:textId="59593FDD" w:rsidR="003738BC" w:rsidRPr="00EC0229" w:rsidRDefault="003738BC" w:rsidP="007600EA">
      <w:pPr>
        <w:pStyle w:val="NoSpacing"/>
        <w:spacing w:line="360" w:lineRule="auto"/>
        <w:jc w:val="center"/>
        <w:rPr>
          <w:sz w:val="20"/>
          <w:szCs w:val="20"/>
        </w:rPr>
      </w:pPr>
      <w:bookmarkStart w:id="589" w:name="_Ref430248387"/>
      <w:bookmarkStart w:id="590" w:name="_Toc46826705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82</w:t>
      </w:r>
      <w:r w:rsidRPr="00EC0229">
        <w:rPr>
          <w:noProof/>
          <w:sz w:val="20"/>
          <w:szCs w:val="20"/>
        </w:rPr>
        <w:fldChar w:fldCharType="end"/>
      </w:r>
      <w:bookmarkEnd w:id="589"/>
      <w:r w:rsidRPr="00EC0229">
        <w:rPr>
          <w:sz w:val="20"/>
          <w:szCs w:val="20"/>
        </w:rPr>
        <w:t>: Spofforth</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Spofforth</w:instrText>
      </w:r>
      <w:r w:rsidRPr="00EC0229">
        <w:rPr>
          <w:sz w:val="20"/>
          <w:szCs w:val="20"/>
        </w:rPr>
        <w:instrText xml:space="preserve">" </w:instrText>
      </w:r>
      <w:r w:rsidRPr="00EC0229">
        <w:rPr>
          <w:sz w:val="20"/>
          <w:szCs w:val="20"/>
        </w:rPr>
        <w:fldChar w:fldCharType="end"/>
      </w:r>
      <w:r w:rsidRPr="00EC0229">
        <w:rPr>
          <w:sz w:val="20"/>
          <w:szCs w:val="20"/>
        </w:rPr>
        <w:t>: second known variety D of York</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York</w:instrText>
      </w:r>
      <w:r w:rsidRPr="00EC0229">
        <w:rPr>
          <w:sz w:val="20"/>
          <w:szCs w:val="20"/>
        </w:rPr>
        <w:instrText xml:space="preserve">" </w:instrText>
      </w:r>
      <w:r w:rsidRPr="00EC0229">
        <w:rPr>
          <w:sz w:val="20"/>
          <w:szCs w:val="20"/>
        </w:rPr>
        <w:fldChar w:fldCharType="end"/>
      </w:r>
      <w:r w:rsidRPr="00EC0229">
        <w:rPr>
          <w:sz w:val="20"/>
          <w:szCs w:val="20"/>
        </w:rPr>
        <w:t xml:space="preserve"> gold</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shilling</w:t>
      </w:r>
      <w:bookmarkEnd w:id="590"/>
    </w:p>
    <w:p w14:paraId="2CBA7BB2" w14:textId="77777777" w:rsidR="003738BC" w:rsidRPr="00EC0229" w:rsidRDefault="003738BC" w:rsidP="007600EA">
      <w:pPr>
        <w:spacing w:line="360" w:lineRule="auto"/>
        <w:jc w:val="center"/>
        <w:rPr>
          <w:sz w:val="20"/>
          <w:szCs w:val="20"/>
        </w:rPr>
      </w:pPr>
      <w:r w:rsidRPr="00EC0229">
        <w:rPr>
          <w:sz w:val="20"/>
          <w:szCs w:val="20"/>
        </w:rPr>
        <w:t>(Courtesy Ian Briggs)</w:t>
      </w:r>
      <w:r w:rsidRPr="00EC0229">
        <w:rPr>
          <w:rStyle w:val="FootnoteReference"/>
          <w:sz w:val="20"/>
          <w:szCs w:val="20"/>
        </w:rPr>
        <w:footnoteReference w:id="955"/>
      </w:r>
    </w:p>
    <w:p w14:paraId="092821A7" w14:textId="77777777" w:rsidR="003738BC" w:rsidRPr="00EC0229" w:rsidRDefault="003738BC" w:rsidP="007600EA">
      <w:pPr>
        <w:pStyle w:val="NoSpacing"/>
        <w:spacing w:line="360" w:lineRule="auto"/>
        <w:rPr>
          <w:sz w:val="20"/>
          <w:szCs w:val="20"/>
        </w:rPr>
      </w:pPr>
    </w:p>
    <w:p w14:paraId="639FA9CE" w14:textId="77777777" w:rsidR="003738BC" w:rsidRPr="00EC0229" w:rsidRDefault="003738BC" w:rsidP="007600EA">
      <w:pPr>
        <w:pStyle w:val="NoSpacing"/>
        <w:spacing w:line="360" w:lineRule="auto"/>
        <w:rPr>
          <w:szCs w:val="24"/>
        </w:rPr>
      </w:pPr>
      <w:r w:rsidRPr="00EC0229">
        <w:rPr>
          <w:szCs w:val="24"/>
        </w:rPr>
        <w:t>That a second specimen should have been detected within a quarter mile of the first is quite remarkable and might suggest local minting except that the second is worn to the point of being almost unrecognisable. It is almost inconceivable that this degree of wear was caused by circulation. A more likely interpretation would be secondary use as jewellery held in an unattached mount which has not survived, although were this worn by a local person, then the possibility of a local minting is not ruled out.</w:t>
      </w:r>
    </w:p>
    <w:p w14:paraId="7F422F21" w14:textId="77777777" w:rsidR="003738BC" w:rsidRPr="00EC0229" w:rsidRDefault="003738BC" w:rsidP="007600EA">
      <w:pPr>
        <w:pStyle w:val="NoSpacing"/>
        <w:spacing w:line="360" w:lineRule="auto"/>
        <w:rPr>
          <w:szCs w:val="24"/>
        </w:rPr>
      </w:pPr>
    </w:p>
    <w:p w14:paraId="29170963" w14:textId="77777777" w:rsidR="003738BC" w:rsidRPr="00EC0229" w:rsidRDefault="003738BC" w:rsidP="007600EA">
      <w:pPr>
        <w:pStyle w:val="NoSpacing"/>
        <w:spacing w:line="360" w:lineRule="auto"/>
        <w:jc w:val="center"/>
      </w:pPr>
      <w:r w:rsidRPr="00EC0229">
        <w:rPr>
          <w:noProof/>
          <w:lang w:eastAsia="en-GB"/>
        </w:rPr>
        <w:drawing>
          <wp:inline distT="0" distB="0" distL="0" distR="0" wp14:anchorId="77F103D2" wp14:editId="742C952F">
            <wp:extent cx="695542" cy="647700"/>
            <wp:effectExtent l="0" t="0" r="952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exagram Tadcaster Feb 2014.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719431" cy="669946"/>
                    </a:xfrm>
                    <a:prstGeom prst="rect">
                      <a:avLst/>
                    </a:prstGeom>
                  </pic:spPr>
                </pic:pic>
              </a:graphicData>
            </a:graphic>
          </wp:inline>
        </w:drawing>
      </w:r>
      <w:r w:rsidRPr="00EC0229">
        <w:rPr>
          <w:noProof/>
          <w:lang w:eastAsia="en-GB"/>
        </w:rPr>
        <w:drawing>
          <wp:inline distT="0" distB="0" distL="0" distR="0" wp14:anchorId="6D641CB0" wp14:editId="34AD8C71">
            <wp:extent cx="621602" cy="637540"/>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exagram Tadcaster Feb 2014 R.JPG"/>
                    <pic:cNvPicPr/>
                  </pic:nvPicPr>
                  <pic:blipFill>
                    <a:blip r:embed="rId284">
                      <a:extLst>
                        <a:ext uri="{28A0092B-C50C-407E-A947-70E740481C1C}">
                          <a14:useLocalDpi xmlns:a14="http://schemas.microsoft.com/office/drawing/2010/main" val="0"/>
                        </a:ext>
                      </a:extLst>
                    </a:blip>
                    <a:stretch>
                      <a:fillRect/>
                    </a:stretch>
                  </pic:blipFill>
                  <pic:spPr>
                    <a:xfrm>
                      <a:off x="0" y="0"/>
                      <a:ext cx="649439" cy="666090"/>
                    </a:xfrm>
                    <a:prstGeom prst="rect">
                      <a:avLst/>
                    </a:prstGeom>
                  </pic:spPr>
                </pic:pic>
              </a:graphicData>
            </a:graphic>
          </wp:inline>
        </w:drawing>
      </w:r>
    </w:p>
    <w:p w14:paraId="27A28D19" w14:textId="19803738" w:rsidR="00161418" w:rsidRDefault="003738BC" w:rsidP="007600EA">
      <w:pPr>
        <w:spacing w:line="360" w:lineRule="auto"/>
        <w:jc w:val="center"/>
        <w:rPr>
          <w:sz w:val="20"/>
          <w:szCs w:val="20"/>
        </w:rPr>
      </w:pPr>
      <w:bookmarkStart w:id="591" w:name="_Ref430248400"/>
      <w:bookmarkStart w:id="592" w:name="_Toc46826705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83</w:t>
      </w:r>
      <w:r w:rsidRPr="00EC0229">
        <w:rPr>
          <w:noProof/>
          <w:sz w:val="20"/>
          <w:szCs w:val="20"/>
        </w:rPr>
        <w:fldChar w:fldCharType="end"/>
      </w:r>
      <w:bookmarkEnd w:id="591"/>
      <w:r w:rsidRPr="00EC0229">
        <w:rPr>
          <w:sz w:val="20"/>
          <w:szCs w:val="20"/>
        </w:rPr>
        <w:t>: Hexagram sceat, found Tadcaster</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Tadcaster</w:instrText>
      </w:r>
      <w:r w:rsidRPr="00EC0229">
        <w:rPr>
          <w:sz w:val="20"/>
          <w:szCs w:val="20"/>
        </w:rPr>
        <w:instrText xml:space="preserve">" </w:instrText>
      </w:r>
      <w:r w:rsidRPr="00EC0229">
        <w:rPr>
          <w:sz w:val="20"/>
          <w:szCs w:val="20"/>
        </w:rPr>
        <w:fldChar w:fldCharType="end"/>
      </w:r>
      <w:r w:rsidRPr="00EC0229">
        <w:rPr>
          <w:sz w:val="20"/>
          <w:szCs w:val="20"/>
        </w:rPr>
        <w:t>.</w:t>
      </w:r>
      <w:bookmarkEnd w:id="592"/>
      <w:r w:rsidRPr="00EC0229">
        <w:rPr>
          <w:sz w:val="20"/>
          <w:szCs w:val="20"/>
        </w:rPr>
        <w:t xml:space="preserve"> </w:t>
      </w:r>
    </w:p>
    <w:p w14:paraId="73CFF34D" w14:textId="0A328025" w:rsidR="003738BC" w:rsidRPr="00EC0229" w:rsidRDefault="00161418" w:rsidP="007600EA">
      <w:pPr>
        <w:spacing w:line="360" w:lineRule="auto"/>
        <w:jc w:val="center"/>
        <w:rPr>
          <w:sz w:val="20"/>
          <w:szCs w:val="20"/>
        </w:rPr>
      </w:pPr>
      <w:r>
        <w:rPr>
          <w:sz w:val="20"/>
          <w:szCs w:val="20"/>
        </w:rPr>
        <w:t>(</w:t>
      </w:r>
      <w:r w:rsidR="003738BC" w:rsidRPr="00EC0229">
        <w:rPr>
          <w:sz w:val="20"/>
          <w:szCs w:val="20"/>
        </w:rPr>
        <w:t>Courtesy C. Best</w:t>
      </w:r>
      <w:r>
        <w:rPr>
          <w:sz w:val="20"/>
          <w:szCs w:val="20"/>
        </w:rPr>
        <w:t xml:space="preserve">, </w:t>
      </w:r>
      <w:r w:rsidR="003738BC" w:rsidRPr="00EC0229">
        <w:rPr>
          <w:sz w:val="20"/>
          <w:szCs w:val="20"/>
        </w:rPr>
        <w:t>February 2015)</w:t>
      </w:r>
    </w:p>
    <w:p w14:paraId="0BB5D719" w14:textId="3876D364" w:rsidR="003738BC" w:rsidRPr="00EC0229" w:rsidRDefault="003738BC" w:rsidP="007600EA">
      <w:pPr>
        <w:pStyle w:val="NoSpacing"/>
        <w:spacing w:line="360" w:lineRule="auto"/>
      </w:pPr>
      <w:r w:rsidRPr="00EC0229">
        <w:t>A hexagram sceat has recently surfaced at Tadcaster</w:t>
      </w:r>
      <w:r w:rsidRPr="00EC0229">
        <w:fldChar w:fldCharType="begin"/>
      </w:r>
      <w:r w:rsidRPr="00EC0229">
        <w:instrText xml:space="preserve"> XE "</w:instrText>
      </w:r>
      <w:r w:rsidRPr="00EC0229">
        <w:rPr>
          <w:rStyle w:val="Hyperlink"/>
          <w:noProof/>
          <w:u w:val="none"/>
        </w:rPr>
        <w:instrText>Tadcaster</w:instrText>
      </w:r>
      <w:r w:rsidRPr="00EC0229">
        <w:instrText xml:space="preserve">" </w:instrText>
      </w:r>
      <w:r w:rsidRPr="00EC0229">
        <w:fldChar w:fldCharType="end"/>
      </w:r>
      <w:r w:rsidRPr="00EC0229">
        <w:t xml:space="preserve">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_Ref430248400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rPr>
        <w:t>Figure</w:t>
      </w:r>
      <w:r w:rsidR="0012026B" w:rsidRPr="0012026B">
        <w:t xml:space="preserve"> </w:t>
      </w:r>
      <w:r w:rsidR="0012026B" w:rsidRPr="0012026B">
        <w:rPr>
          <w:noProof/>
        </w:rPr>
        <w:t>83</w:t>
      </w:r>
      <w:r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t>. This crude denier</w:t>
      </w:r>
      <w:r w:rsidRPr="00EC0229">
        <w:fldChar w:fldCharType="begin"/>
      </w:r>
      <w:r w:rsidRPr="00EC0229">
        <w:instrText xml:space="preserve"> XE "</w:instrText>
      </w:r>
      <w:r w:rsidRPr="00EC0229">
        <w:rPr>
          <w:rFonts w:cs="Times New Roman"/>
          <w:szCs w:val="24"/>
        </w:rPr>
        <w:instrText>denier</w:instrText>
      </w:r>
      <w:r w:rsidRPr="00EC0229">
        <w:instrText xml:space="preserve">" </w:instrText>
      </w:r>
      <w:r w:rsidRPr="00EC0229">
        <w:fldChar w:fldCharType="end"/>
      </w:r>
      <w:r w:rsidRPr="00EC0229">
        <w:t>-like coin [5c], currently thought to be from the lower Meuse,</w:t>
      </w:r>
      <w:r w:rsidRPr="00EC0229">
        <w:rPr>
          <w:rStyle w:val="FootnoteReference"/>
        </w:rPr>
        <w:footnoteReference w:id="956"/>
      </w:r>
      <w:r w:rsidRPr="00EC0229">
        <w:t xml:space="preserve"> is not pristine, so may not have travelled directly from source, but is a significant loss on a busy route.</w:t>
      </w:r>
    </w:p>
    <w:p w14:paraId="7F34E6BE" w14:textId="77777777" w:rsidR="003738BC" w:rsidRPr="00EC0229" w:rsidRDefault="003738BC" w:rsidP="007600EA">
      <w:pPr>
        <w:spacing w:line="360" w:lineRule="auto"/>
      </w:pPr>
    </w:p>
    <w:p w14:paraId="3AF1CC1D" w14:textId="68196F0A" w:rsidR="003738BC" w:rsidRPr="00EC0229" w:rsidRDefault="003738BC" w:rsidP="00F91183">
      <w:pPr>
        <w:pStyle w:val="Heading3"/>
        <w:spacing w:line="360" w:lineRule="auto"/>
        <w:ind w:firstLine="720"/>
      </w:pPr>
      <w:bookmarkStart w:id="593" w:name="_Toc468266866"/>
      <w:r w:rsidRPr="00EC0229">
        <w:t>Ripon</w:t>
      </w:r>
      <w:r w:rsidRPr="00EC0229">
        <w:rPr>
          <w:rStyle w:val="FootnoteReference"/>
          <w:b w:val="0"/>
        </w:rPr>
        <w:footnoteReference w:id="957"/>
      </w:r>
      <w:bookmarkEnd w:id="593"/>
      <w:r w:rsidRPr="00EC0229">
        <w:fldChar w:fldCharType="begin"/>
      </w:r>
      <w:r w:rsidRPr="00EC0229">
        <w:instrText xml:space="preserve"> XE "</w:instrText>
      </w:r>
      <w:r w:rsidRPr="00EC0229">
        <w:rPr>
          <w:rStyle w:val="Hyperlink"/>
          <w:noProof/>
          <w:u w:val="none"/>
        </w:rPr>
        <w:instrText>Ripon</w:instrText>
      </w:r>
      <w:r w:rsidRPr="00EC0229">
        <w:instrText xml:space="preserve">" </w:instrText>
      </w:r>
      <w:r w:rsidRPr="00EC0229">
        <w:fldChar w:fldCharType="end"/>
      </w:r>
    </w:p>
    <w:bookmarkEnd w:id="586"/>
    <w:p w14:paraId="45376E02" w14:textId="3663827C" w:rsidR="00C35C45" w:rsidRPr="00EC0229" w:rsidRDefault="00E5412E" w:rsidP="007600EA">
      <w:pPr>
        <w:pStyle w:val="NoSpacing"/>
        <w:spacing w:line="360" w:lineRule="auto"/>
      </w:pPr>
      <w:r w:rsidRPr="00EC0229">
        <w:t>Ripon is on the Magnesian Limestone ridge (</w:t>
      </w:r>
      <w:r w:rsidRPr="00EC0229">
        <w:rPr>
          <w:i/>
        </w:rPr>
        <w:t xml:space="preserve">Maps </w:t>
      </w:r>
      <w:r w:rsidR="00B43745" w:rsidRPr="00EC0229">
        <w:rPr>
          <w:i/>
        </w:rPr>
        <w:t>8.01-</w:t>
      </w:r>
      <w:r w:rsidRPr="00EC0229">
        <w:rPr>
          <w:i/>
        </w:rPr>
        <w:t>2</w:t>
      </w:r>
      <w:r w:rsidRPr="00EC0229">
        <w:t xml:space="preserve">) near the confluence of the Ure and Skell. </w:t>
      </w:r>
      <w:r w:rsidR="00324854" w:rsidRPr="00EC0229">
        <w:t>After the Synod of Whitby,</w:t>
      </w:r>
      <w:r w:rsidR="00324854" w:rsidRPr="00EC0229">
        <w:rPr>
          <w:i/>
        </w:rPr>
        <w:t xml:space="preserve"> Inhyrpum</w:t>
      </w:r>
      <w:r w:rsidR="00324854" w:rsidRPr="00EC0229">
        <w:t xml:space="preserve"> was abandoned by Eata of Melrose and reallocated to Wilfrid who constructed a church of dressed stone similar to that at Hexham.</w:t>
      </w:r>
      <w:r w:rsidR="00324854" w:rsidRPr="00EC0229">
        <w:rPr>
          <w:rStyle w:val="FootnoteReference"/>
        </w:rPr>
        <w:footnoteReference w:id="958"/>
      </w:r>
      <w:r w:rsidR="008A5E43" w:rsidRPr="00EC0229">
        <w:t xml:space="preserve"> A cluster of associated early ecclesiastical sites</w:t>
      </w:r>
      <w:r w:rsidR="00C75AD2" w:rsidRPr="00EC0229">
        <w:t xml:space="preserve"> has</w:t>
      </w:r>
      <w:r w:rsidR="008A5E43" w:rsidRPr="00EC0229">
        <w:t xml:space="preserve"> been excavated, notably Ailcy </w:t>
      </w:r>
      <w:r w:rsidR="00C75AD2" w:rsidRPr="00EC0229">
        <w:t>H</w:t>
      </w:r>
      <w:r w:rsidR="009C46A4" w:rsidRPr="00EC0229">
        <w:t>ill cemetery</w:t>
      </w:r>
      <w:r w:rsidR="00CF4903" w:rsidRPr="00EC0229">
        <w:t>, 200 metres from Wilfred’</w:t>
      </w:r>
      <w:r w:rsidR="00F2521E" w:rsidRPr="00EC0229">
        <w:t>s church</w:t>
      </w:r>
      <w:r w:rsidR="009C46A4" w:rsidRPr="00EC0229">
        <w:t xml:space="preserve">. </w:t>
      </w:r>
      <w:r w:rsidR="00194F9B" w:rsidRPr="00EC0229">
        <w:t xml:space="preserve">Radiocarbon dating has established that </w:t>
      </w:r>
      <w:r w:rsidR="0072650D" w:rsidRPr="00EC0229">
        <w:t>burials in</w:t>
      </w:r>
      <w:r w:rsidR="009C46A4" w:rsidRPr="00EC0229">
        <w:t xml:space="preserve"> the century before the transfer to Wilfrid are </w:t>
      </w:r>
      <w:r w:rsidR="00F2521E" w:rsidRPr="00EC0229">
        <w:t>largely unfurnished</w:t>
      </w:r>
      <w:r w:rsidR="0072650D" w:rsidRPr="00EC0229">
        <w:t xml:space="preserve"> and</w:t>
      </w:r>
      <w:r w:rsidR="00F2521E" w:rsidRPr="00EC0229">
        <w:t xml:space="preserve"> of </w:t>
      </w:r>
      <w:r w:rsidR="009C46A4" w:rsidRPr="00EC0229">
        <w:t>mixed gender and age; thereafter they are predominantly adult males</w:t>
      </w:r>
      <w:r w:rsidR="00F2521E" w:rsidRPr="00EC0229">
        <w:t xml:space="preserve"> in iron-bound wooden chests</w:t>
      </w:r>
      <w:r w:rsidR="00F834EB" w:rsidRPr="00EC0229">
        <w:t xml:space="preserve">, taken to </w:t>
      </w:r>
      <w:r w:rsidR="009C46A4" w:rsidRPr="00EC0229">
        <w:t xml:space="preserve">mark a shift from communal to </w:t>
      </w:r>
      <w:r w:rsidR="00F2521E" w:rsidRPr="00EC0229">
        <w:t>monastic</w:t>
      </w:r>
      <w:r w:rsidR="009C46A4" w:rsidRPr="00EC0229">
        <w:t xml:space="preserve"> use.</w:t>
      </w:r>
      <w:r w:rsidR="00F2521E" w:rsidRPr="00EC0229">
        <w:rPr>
          <w:rStyle w:val="FootnoteReference"/>
        </w:rPr>
        <w:footnoteReference w:id="959"/>
      </w:r>
    </w:p>
    <w:p w14:paraId="461C042A" w14:textId="77777777" w:rsidR="00C35C45" w:rsidRPr="00EC0229" w:rsidRDefault="00C35C45" w:rsidP="007600EA">
      <w:pPr>
        <w:pStyle w:val="NoSpacing"/>
        <w:spacing w:line="360" w:lineRule="auto"/>
      </w:pPr>
    </w:p>
    <w:p w14:paraId="69305B1C" w14:textId="5AA2C2E6" w:rsidR="003738BC" w:rsidRPr="00EC0229" w:rsidRDefault="00E92801" w:rsidP="007600EA">
      <w:pPr>
        <w:pStyle w:val="NoSpacing"/>
        <w:spacing w:line="360" w:lineRule="auto"/>
      </w:pPr>
      <w:r w:rsidRPr="00EC0229">
        <w:t>Though only two sceats are known from Ripon, one is the extremely rare Eardwulf.</w:t>
      </w:r>
      <w:r w:rsidR="00C35C45" w:rsidRPr="00EC0229">
        <w:t xml:space="preserve"> </w:t>
      </w:r>
      <w:r w:rsidR="00E01BF2" w:rsidRPr="00EC0229">
        <w:t>However, f</w:t>
      </w:r>
      <w:r w:rsidR="003738BC" w:rsidRPr="00EC0229">
        <w:t>rom the river bank at Ripon</w:t>
      </w:r>
      <w:r w:rsidR="003738BC" w:rsidRPr="00EC0229">
        <w:fldChar w:fldCharType="begin"/>
      </w:r>
      <w:r w:rsidR="003738BC" w:rsidRPr="00EC0229">
        <w:instrText xml:space="preserve"> XE "</w:instrText>
      </w:r>
      <w:r w:rsidR="003738BC" w:rsidRPr="00EC0229">
        <w:rPr>
          <w:rStyle w:val="Hyperlink"/>
          <w:noProof/>
          <w:u w:val="none"/>
        </w:rPr>
        <w:instrText>Ripon</w:instrText>
      </w:r>
      <w:r w:rsidR="003738BC" w:rsidRPr="00EC0229">
        <w:instrText xml:space="preserve">" </w:instrText>
      </w:r>
      <w:r w:rsidR="003738BC" w:rsidRPr="00EC0229">
        <w:fldChar w:fldCharType="end"/>
      </w:r>
      <w:r w:rsidR="003738BC" w:rsidRPr="00EC0229">
        <w:t xml:space="preserve">, a mile from the </w:t>
      </w:r>
      <w:r w:rsidR="00E01BF2" w:rsidRPr="00EC0229">
        <w:t>St Wilfrid’s church</w:t>
      </w:r>
      <w:r w:rsidR="003738BC" w:rsidRPr="00EC0229">
        <w:t xml:space="preserve">, comes a </w:t>
      </w:r>
      <w:r w:rsidR="00E01BF2" w:rsidRPr="00EC0229">
        <w:t>lead impress</w:t>
      </w:r>
      <w:r w:rsidR="00E679B2" w:rsidRPr="00EC0229">
        <w:t xml:space="preserve"> </w:t>
      </w:r>
      <w:r w:rsidR="003738BC" w:rsidRPr="00EC0229">
        <w:t>of the East Anglian</w:t>
      </w:r>
      <w:r w:rsidR="003738BC" w:rsidRPr="00EC0229">
        <w:fldChar w:fldCharType="begin"/>
      </w:r>
      <w:r w:rsidR="003738BC" w:rsidRPr="00EC0229">
        <w:instrText xml:space="preserve"> XE "Anglian" </w:instrText>
      </w:r>
      <w:r w:rsidR="003738BC" w:rsidRPr="00EC0229">
        <w:fldChar w:fldCharType="end"/>
      </w:r>
      <w:r w:rsidR="003738BC" w:rsidRPr="00EC0229">
        <w:t xml:space="preserve"> king Beonna</w:t>
      </w:r>
      <w:r w:rsidR="003738BC" w:rsidRPr="00EC0229">
        <w:fldChar w:fldCharType="begin"/>
      </w:r>
      <w:r w:rsidR="003738BC" w:rsidRPr="00EC0229">
        <w:instrText xml:space="preserve"> XE "</w:instrText>
      </w:r>
      <w:r w:rsidR="003738BC" w:rsidRPr="00EC0229">
        <w:rPr>
          <w:rFonts w:cs="Times New Roman"/>
        </w:rPr>
        <w:instrText>Beonna</w:instrText>
      </w:r>
      <w:r w:rsidR="003738BC" w:rsidRPr="00EC0229">
        <w:instrText xml:space="preserve">" </w:instrText>
      </w:r>
      <w:r w:rsidR="003738BC" w:rsidRPr="00EC0229">
        <w:fldChar w:fldCharType="end"/>
      </w:r>
      <w:r w:rsidR="003738BC" w:rsidRPr="00EC0229">
        <w:t xml:space="preserve"> with the rare interlace reverse </w:t>
      </w:r>
      <w:r w:rsidR="003738BC" w:rsidRPr="00EC0229">
        <w:rPr>
          <w:rFonts w:eastAsia="Times New Roman" w:cs="Times New Roman"/>
          <w:szCs w:val="24"/>
          <w:lang w:eastAsia="en-GB"/>
        </w:rPr>
        <w:t>(</w:t>
      </w:r>
      <w:r w:rsidR="003738BC" w:rsidRPr="00EC0229">
        <w:rPr>
          <w:rFonts w:eastAsia="Times New Roman" w:cs="Times New Roman"/>
          <w:szCs w:val="24"/>
          <w:lang w:eastAsia="en-GB"/>
        </w:rPr>
        <w:fldChar w:fldCharType="begin"/>
      </w:r>
      <w:r w:rsidR="003738BC" w:rsidRPr="00EC0229">
        <w:rPr>
          <w:rFonts w:eastAsia="Times New Roman" w:cs="Times New Roman"/>
          <w:szCs w:val="24"/>
          <w:lang w:eastAsia="en-GB"/>
        </w:rPr>
        <w:instrText xml:space="preserve"> REF _Ref430248280 \h  \* MERGEFORMAT </w:instrText>
      </w:r>
      <w:r w:rsidR="003738BC" w:rsidRPr="00EC0229">
        <w:rPr>
          <w:rFonts w:eastAsia="Times New Roman" w:cs="Times New Roman"/>
          <w:szCs w:val="24"/>
          <w:lang w:eastAsia="en-GB"/>
        </w:rPr>
      </w:r>
      <w:r w:rsidR="003738BC"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84</w:t>
      </w:r>
      <w:r w:rsidR="003738BC" w:rsidRPr="00EC0229">
        <w:rPr>
          <w:rFonts w:eastAsia="Times New Roman" w:cs="Times New Roman"/>
          <w:szCs w:val="24"/>
          <w:lang w:eastAsia="en-GB"/>
        </w:rPr>
        <w:fldChar w:fldCharType="end"/>
      </w:r>
      <w:r w:rsidR="003738BC" w:rsidRPr="00EC0229">
        <w:rPr>
          <w:rFonts w:eastAsia="Times New Roman" w:cs="Times New Roman"/>
          <w:szCs w:val="24"/>
          <w:lang w:eastAsia="en-GB"/>
        </w:rPr>
        <w:t>)</w:t>
      </w:r>
      <w:r w:rsidR="003738BC" w:rsidRPr="00EC0229">
        <w:t xml:space="preserve">, a most unexpected and </w:t>
      </w:r>
      <w:r w:rsidR="003738BC" w:rsidRPr="00EC0229">
        <w:lastRenderedPageBreak/>
        <w:t>intriguing find in this northerly location</w:t>
      </w:r>
      <w:r w:rsidR="00E679B2" w:rsidRPr="00EC0229">
        <w:t xml:space="preserve"> </w:t>
      </w:r>
      <w:r w:rsidR="00E01BF2" w:rsidRPr="00EC0229">
        <w:t xml:space="preserve">when a </w:t>
      </w:r>
      <w:r w:rsidR="00E679B2" w:rsidRPr="00EC0229">
        <w:t>trial piece of dies</w:t>
      </w:r>
      <w:r w:rsidR="00E01BF2" w:rsidRPr="00EC0229">
        <w:t xml:space="preserve"> would normally be found at the originating mint</w:t>
      </w:r>
      <w:r w:rsidR="003738BC" w:rsidRPr="00EC0229">
        <w:t xml:space="preserve">. The outer flan is roughly holed possibly for </w:t>
      </w:r>
      <w:r w:rsidR="00E01BF2" w:rsidRPr="00EC0229">
        <w:t xml:space="preserve">cancellation or for </w:t>
      </w:r>
      <w:r w:rsidR="003738BC" w:rsidRPr="00EC0229">
        <w:t>tying as a customs receipt for goods from East Anglia, taxe</w:t>
      </w:r>
      <w:r w:rsidR="00161ABF" w:rsidRPr="00EC0229">
        <w:t>d on arrival at the riverside</w:t>
      </w:r>
      <w:r w:rsidR="00E01BF2" w:rsidRPr="00EC0229">
        <w:t>.</w:t>
      </w:r>
      <w:r w:rsidR="00161ABF" w:rsidRPr="00EC0229">
        <w:t xml:space="preserve"> Piercing for </w:t>
      </w:r>
      <w:r w:rsidR="003738BC" w:rsidRPr="00EC0229">
        <w:t>suspension for ornamentation is considered unlikely.</w:t>
      </w:r>
    </w:p>
    <w:p w14:paraId="7F24348F" w14:textId="77777777" w:rsidR="003738BC" w:rsidRPr="00EC0229" w:rsidRDefault="003738BC" w:rsidP="007600EA">
      <w:pPr>
        <w:pStyle w:val="NoSpacing"/>
        <w:spacing w:line="360" w:lineRule="auto"/>
        <w:rPr>
          <w:sz w:val="20"/>
          <w:szCs w:val="20"/>
        </w:rPr>
      </w:pPr>
    </w:p>
    <w:p w14:paraId="2B0147AA" w14:textId="15303873" w:rsidR="003738BC" w:rsidRPr="00EC0229" w:rsidRDefault="00921952" w:rsidP="007600EA">
      <w:pPr>
        <w:pStyle w:val="NoSpacing"/>
        <w:spacing w:line="360" w:lineRule="auto"/>
        <w:jc w:val="center"/>
        <w:rPr>
          <w:sz w:val="20"/>
          <w:szCs w:val="20"/>
        </w:rPr>
      </w:pPr>
      <w:r w:rsidRPr="00EC0229">
        <w:rPr>
          <w:noProof/>
          <w:sz w:val="20"/>
          <w:szCs w:val="20"/>
          <w:lang w:eastAsia="en-GB"/>
        </w:rPr>
        <w:drawing>
          <wp:inline distT="0" distB="0" distL="0" distR="0" wp14:anchorId="6EA941AF" wp14:editId="31AB41EE">
            <wp:extent cx="1292702" cy="1301115"/>
            <wp:effectExtent l="0" t="0" r="317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eonna interlace obv.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298957" cy="1307411"/>
                    </a:xfrm>
                    <a:prstGeom prst="rect">
                      <a:avLst/>
                    </a:prstGeom>
                  </pic:spPr>
                </pic:pic>
              </a:graphicData>
            </a:graphic>
          </wp:inline>
        </w:drawing>
      </w:r>
      <w:r w:rsidR="003738BC" w:rsidRPr="00EC0229">
        <w:rPr>
          <w:sz w:val="20"/>
          <w:szCs w:val="20"/>
        </w:rPr>
        <w:tab/>
      </w:r>
      <w:r w:rsidRPr="00EC0229">
        <w:rPr>
          <w:noProof/>
          <w:sz w:val="20"/>
          <w:szCs w:val="20"/>
          <w:lang w:eastAsia="en-GB"/>
        </w:rPr>
        <w:drawing>
          <wp:inline distT="0" distB="0" distL="0" distR="0" wp14:anchorId="05946AA7" wp14:editId="7C2306B2">
            <wp:extent cx="1324638" cy="1301750"/>
            <wp:effectExtent l="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eonna interlace rev.jpg"/>
                    <pic:cNvPicPr/>
                  </pic:nvPicPr>
                  <pic:blipFill>
                    <a:blip r:embed="rId286" cstate="print">
                      <a:extLst>
                        <a:ext uri="{28A0092B-C50C-407E-A947-70E740481C1C}">
                          <a14:useLocalDpi xmlns:a14="http://schemas.microsoft.com/office/drawing/2010/main" val="0"/>
                        </a:ext>
                      </a:extLst>
                    </a:blip>
                    <a:stretch>
                      <a:fillRect/>
                    </a:stretch>
                  </pic:blipFill>
                  <pic:spPr>
                    <a:xfrm flipH="1">
                      <a:off x="0" y="0"/>
                      <a:ext cx="1336083" cy="1312997"/>
                    </a:xfrm>
                    <a:prstGeom prst="rect">
                      <a:avLst/>
                    </a:prstGeom>
                  </pic:spPr>
                </pic:pic>
              </a:graphicData>
            </a:graphic>
          </wp:inline>
        </w:drawing>
      </w:r>
      <w:r w:rsidR="003738BC" w:rsidRPr="00EC0229">
        <w:rPr>
          <w:sz w:val="20"/>
          <w:szCs w:val="20"/>
        </w:rPr>
        <w:tab/>
      </w:r>
      <w:r w:rsidRPr="00EC0229">
        <w:rPr>
          <w:sz w:val="20"/>
          <w:szCs w:val="20"/>
        </w:rPr>
        <w:tab/>
      </w:r>
      <w:r w:rsidRPr="00EC0229">
        <w:rPr>
          <w:sz w:val="20"/>
          <w:szCs w:val="20"/>
        </w:rPr>
        <w:tab/>
      </w:r>
      <w:r w:rsidR="003738BC" w:rsidRPr="00EC0229">
        <w:rPr>
          <w:sz w:val="20"/>
          <w:szCs w:val="20"/>
        </w:rPr>
        <w:tab/>
      </w:r>
      <w:r w:rsidR="003738BC" w:rsidRPr="00EC0229">
        <w:rPr>
          <w:noProof/>
          <w:sz w:val="20"/>
          <w:szCs w:val="20"/>
          <w:lang w:eastAsia="en-GB"/>
        </w:rPr>
        <w:drawing>
          <wp:inline distT="0" distB="0" distL="0" distR="0" wp14:anchorId="3CCA2D45" wp14:editId="33377B4C">
            <wp:extent cx="1165860" cy="1180515"/>
            <wp:effectExtent l="0" t="0" r="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ork - Castle Yard - copper hanging bowl.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173129" cy="1187875"/>
                    </a:xfrm>
                    <a:prstGeom prst="rect">
                      <a:avLst/>
                    </a:prstGeom>
                  </pic:spPr>
                </pic:pic>
              </a:graphicData>
            </a:graphic>
          </wp:inline>
        </w:drawing>
      </w:r>
    </w:p>
    <w:p w14:paraId="6B270605" w14:textId="0C3C4FEF" w:rsidR="003738BC" w:rsidRPr="00EC0229" w:rsidRDefault="003738BC" w:rsidP="007600EA">
      <w:pPr>
        <w:pStyle w:val="NoSpacing"/>
        <w:spacing w:line="360" w:lineRule="auto"/>
        <w:ind w:firstLine="720"/>
        <w:rPr>
          <w:sz w:val="20"/>
          <w:szCs w:val="20"/>
        </w:rPr>
      </w:pPr>
      <w:bookmarkStart w:id="594" w:name="_Ref430248280"/>
      <w:bookmarkStart w:id="595" w:name="_Toc46826705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84</w:t>
      </w:r>
      <w:r w:rsidRPr="00EC0229">
        <w:rPr>
          <w:sz w:val="20"/>
          <w:szCs w:val="20"/>
        </w:rPr>
        <w:fldChar w:fldCharType="end"/>
      </w:r>
      <w:bookmarkEnd w:id="594"/>
      <w:r w:rsidRPr="00EC0229">
        <w:rPr>
          <w:sz w:val="20"/>
          <w:szCs w:val="20"/>
        </w:rPr>
        <w:t>: Ripon</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Ripon</w:instrText>
      </w:r>
      <w:r w:rsidRPr="00EC0229">
        <w:rPr>
          <w:sz w:val="20"/>
          <w:szCs w:val="20"/>
        </w:rPr>
        <w:instrText xml:space="preserve">" </w:instrText>
      </w:r>
      <w:r w:rsidRPr="00EC0229">
        <w:rPr>
          <w:sz w:val="20"/>
          <w:szCs w:val="20"/>
        </w:rPr>
        <w:fldChar w:fldCharType="end"/>
      </w:r>
      <w:r w:rsidRPr="00EC0229">
        <w:rPr>
          <w:sz w:val="20"/>
          <w:szCs w:val="20"/>
        </w:rPr>
        <w:t>: Beonna</w:t>
      </w:r>
      <w:r w:rsidRPr="00EC0229">
        <w:rPr>
          <w:sz w:val="20"/>
          <w:szCs w:val="20"/>
        </w:rPr>
        <w:fldChar w:fldCharType="begin"/>
      </w:r>
      <w:r w:rsidRPr="00EC0229">
        <w:rPr>
          <w:sz w:val="20"/>
          <w:szCs w:val="20"/>
        </w:rPr>
        <w:instrText xml:space="preserve"> XE "</w:instrText>
      </w:r>
      <w:r w:rsidRPr="00EC0229">
        <w:rPr>
          <w:rFonts w:cs="Times New Roman"/>
          <w:sz w:val="20"/>
          <w:szCs w:val="20"/>
        </w:rPr>
        <w:instrText>Beonna</w:instrText>
      </w:r>
      <w:r w:rsidRPr="00EC0229">
        <w:rPr>
          <w:sz w:val="20"/>
          <w:szCs w:val="20"/>
        </w:rPr>
        <w:instrText xml:space="preserve">" </w:instrText>
      </w:r>
      <w:r w:rsidRPr="00EC0229">
        <w:rPr>
          <w:sz w:val="20"/>
          <w:szCs w:val="20"/>
        </w:rPr>
        <w:fldChar w:fldCharType="end"/>
      </w:r>
      <w:r w:rsidRPr="00EC0229">
        <w:rPr>
          <w:sz w:val="20"/>
          <w:szCs w:val="20"/>
        </w:rPr>
        <w:t xml:space="preserve"> lead trial piece</w:t>
      </w:r>
      <w:bookmarkEnd w:id="595"/>
      <w:r w:rsidRPr="00EC0229">
        <w:rPr>
          <w:sz w:val="20"/>
          <w:szCs w:val="20"/>
        </w:rPr>
        <w:t xml:space="preserve">     </w:t>
      </w:r>
      <w:r w:rsidRPr="00EC0229">
        <w:rPr>
          <w:sz w:val="20"/>
          <w:szCs w:val="20"/>
        </w:rPr>
        <w:tab/>
      </w:r>
      <w:r w:rsidRPr="00EC0229">
        <w:rPr>
          <w:sz w:val="20"/>
          <w:szCs w:val="20"/>
        </w:rPr>
        <w:tab/>
      </w:r>
      <w:r w:rsidRPr="00EC0229">
        <w:rPr>
          <w:sz w:val="20"/>
          <w:szCs w:val="20"/>
        </w:rPr>
        <w:tab/>
        <w:t xml:space="preserve">   </w:t>
      </w:r>
      <w:r w:rsidRPr="00EC0229">
        <w:rPr>
          <w:sz w:val="20"/>
          <w:szCs w:val="20"/>
        </w:rPr>
        <w:tab/>
      </w:r>
    </w:p>
    <w:p w14:paraId="531ECFAC" w14:textId="1B8FA7EE" w:rsidR="003738BC" w:rsidRPr="00EC0229" w:rsidRDefault="003738BC" w:rsidP="007600EA">
      <w:pPr>
        <w:pStyle w:val="NoSpacing"/>
        <w:spacing w:line="360" w:lineRule="auto"/>
        <w:jc w:val="right"/>
        <w:rPr>
          <w:sz w:val="20"/>
          <w:szCs w:val="20"/>
        </w:rPr>
      </w:pPr>
      <w:bookmarkStart w:id="596" w:name="_Ref430248328"/>
      <w:bookmarkStart w:id="597" w:name="_Toc46826705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85</w:t>
      </w:r>
      <w:r w:rsidRPr="00EC0229">
        <w:rPr>
          <w:sz w:val="20"/>
          <w:szCs w:val="20"/>
        </w:rPr>
        <w:fldChar w:fldCharType="end"/>
      </w:r>
      <w:bookmarkEnd w:id="596"/>
      <w:r w:rsidRPr="00EC0229">
        <w:rPr>
          <w:sz w:val="20"/>
          <w:szCs w:val="20"/>
        </w:rPr>
        <w:t>: Interlace decoration, hanging bowl base,</w:t>
      </w:r>
      <w:bookmarkEnd w:id="597"/>
      <w:r w:rsidRPr="00EC0229">
        <w:rPr>
          <w:sz w:val="20"/>
          <w:szCs w:val="20"/>
        </w:rPr>
        <w:t xml:space="preserve"> </w:t>
      </w:r>
    </w:p>
    <w:p w14:paraId="6011DC03" w14:textId="77777777" w:rsidR="003738BC" w:rsidRPr="00EC0229" w:rsidRDefault="003738BC" w:rsidP="007600EA">
      <w:pPr>
        <w:pStyle w:val="NoSpacing"/>
        <w:spacing w:line="360" w:lineRule="auto"/>
        <w:jc w:val="right"/>
        <w:rPr>
          <w:sz w:val="20"/>
          <w:szCs w:val="20"/>
        </w:rPr>
      </w:pPr>
      <w:r w:rsidRPr="00EC0229">
        <w:rPr>
          <w:sz w:val="20"/>
          <w:szCs w:val="20"/>
        </w:rPr>
        <w:t>Castle Yard, York</w:t>
      </w:r>
      <w:r w:rsidRPr="00EC0229">
        <w:rPr>
          <w:sz w:val="20"/>
          <w:szCs w:val="20"/>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 w:val="20"/>
          <w:szCs w:val="20"/>
        </w:rPr>
        <w:fldChar w:fldCharType="end"/>
      </w:r>
      <w:r w:rsidRPr="00EC0229">
        <w:rPr>
          <w:sz w:val="20"/>
          <w:szCs w:val="20"/>
        </w:rPr>
        <w:t>. (YAT 7/2, Fig. 64)</w:t>
      </w:r>
    </w:p>
    <w:p w14:paraId="283259D3" w14:textId="3C7F61E9" w:rsidR="003738BC" w:rsidRPr="00EC0229" w:rsidRDefault="003738BC" w:rsidP="007600EA">
      <w:pPr>
        <w:pStyle w:val="NoSpacing"/>
        <w:spacing w:line="360" w:lineRule="auto"/>
        <w:rPr>
          <w:szCs w:val="24"/>
        </w:rPr>
      </w:pPr>
      <w:r w:rsidRPr="00EC0229">
        <w:t xml:space="preserve">The reverse design has a similar interlace to the engraving on the base of the hanging bowl </w:t>
      </w:r>
      <w:r w:rsidRPr="00EC0229">
        <w:rPr>
          <w:szCs w:val="24"/>
        </w:rPr>
        <w:t>from Castle Yard,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t xml:space="preserve">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_Ref430248328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85</w:t>
      </w:r>
      <w:r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rPr>
          <w:szCs w:val="24"/>
        </w:rPr>
        <w:t>.</w:t>
      </w:r>
    </w:p>
    <w:p w14:paraId="4833D835" w14:textId="77777777" w:rsidR="00E92801" w:rsidRPr="00EC0229" w:rsidRDefault="00E92801" w:rsidP="007600EA">
      <w:pPr>
        <w:pStyle w:val="NoSpacing"/>
        <w:spacing w:line="360" w:lineRule="auto"/>
      </w:pPr>
    </w:p>
    <w:p w14:paraId="4A7C97FA" w14:textId="611B0C81" w:rsidR="00E92801" w:rsidRPr="00EC0229" w:rsidRDefault="00E92801" w:rsidP="007600EA">
      <w:pPr>
        <w:pStyle w:val="NoSpacing"/>
        <w:spacing w:line="360" w:lineRule="auto"/>
      </w:pPr>
      <w:r w:rsidRPr="00EC0229">
        <w:t xml:space="preserve">Around 150 stycas from the Ripon hoard of 1695, </w:t>
      </w:r>
      <w:r w:rsidR="00836098" w:rsidRPr="00EC0229">
        <w:t xml:space="preserve">found at </w:t>
      </w:r>
      <w:r w:rsidR="00C35C45" w:rsidRPr="00EC0229">
        <w:t xml:space="preserve">Ailcy </w:t>
      </w:r>
      <w:r w:rsidRPr="00EC0229">
        <w:t>Hill cemetery</w:t>
      </w:r>
      <w:r w:rsidR="00836098" w:rsidRPr="00EC0229">
        <w:t xml:space="preserve"> according to Thoresby</w:t>
      </w:r>
      <w:r w:rsidRPr="00EC0229">
        <w:t xml:space="preserve">, were divided between </w:t>
      </w:r>
      <w:r w:rsidR="00836098" w:rsidRPr="00EC0229">
        <w:t xml:space="preserve">him and </w:t>
      </w:r>
      <w:r w:rsidRPr="00EC0229">
        <w:t>Arc</w:t>
      </w:r>
      <w:r w:rsidR="00836098" w:rsidRPr="00EC0229">
        <w:t>hbishop Sharp</w:t>
      </w:r>
      <w:r w:rsidRPr="00EC0229">
        <w:t>.</w:t>
      </w:r>
      <w:r w:rsidRPr="00EC0229">
        <w:rPr>
          <w:rStyle w:val="FootnoteReference"/>
        </w:rPr>
        <w:footnoteReference w:id="960"/>
      </w:r>
      <w:r w:rsidRPr="00EC0229">
        <w:t xml:space="preserve"> Apart from two stycas of Wigmund and one of Wulfhere, all are regal, </w:t>
      </w:r>
      <w:r w:rsidR="00A1390F" w:rsidRPr="00EC0229">
        <w:t>m</w:t>
      </w:r>
      <w:r w:rsidRPr="00EC0229">
        <w:t xml:space="preserve">ostly </w:t>
      </w:r>
      <w:r w:rsidRPr="00EC0229">
        <w:rPr>
          <w:rFonts w:cs="Times New Roman"/>
        </w:rPr>
        <w:t>Æ</w:t>
      </w:r>
      <w:r w:rsidRPr="00EC0229">
        <w:t>thelred II with Osberht well represented.</w:t>
      </w:r>
      <w:r w:rsidR="00FE5E9C" w:rsidRPr="00EC0229">
        <w:rPr>
          <w:rStyle w:val="FootnoteReference"/>
        </w:rPr>
        <w:footnoteReference w:id="961"/>
      </w:r>
      <w:r w:rsidR="00A1390F" w:rsidRPr="00EC0229">
        <w:t xml:space="preserve"> Pirie reasonably postulated </w:t>
      </w:r>
      <w:r w:rsidR="00383011" w:rsidRPr="00EC0229">
        <w:t xml:space="preserve">both </w:t>
      </w:r>
      <w:r w:rsidR="00A1390F" w:rsidRPr="00EC0229">
        <w:t xml:space="preserve">concealment at the time of the </w:t>
      </w:r>
      <w:r w:rsidR="00A1390F" w:rsidRPr="00EC0229">
        <w:rPr>
          <w:i/>
        </w:rPr>
        <w:t>micel here</w:t>
      </w:r>
      <w:r w:rsidR="00383011" w:rsidRPr="00EC0229">
        <w:t xml:space="preserve"> and the likelihood that the hoard may have been larger: ‘Thoresby’s own parcel was small.’</w:t>
      </w:r>
      <w:r w:rsidR="00383011" w:rsidRPr="00EC0229">
        <w:rPr>
          <w:rStyle w:val="FootnoteReference"/>
        </w:rPr>
        <w:footnoteReference w:id="962"/>
      </w:r>
      <w:r w:rsidR="00383011" w:rsidRPr="00EC0229">
        <w:t xml:space="preserve"> Certainly, the hoard </w:t>
      </w:r>
      <w:r w:rsidR="009D473C" w:rsidRPr="00EC0229">
        <w:t xml:space="preserve">indicates broad </w:t>
      </w:r>
      <w:r w:rsidR="003F2041" w:rsidRPr="00EC0229">
        <w:t>monetiz</w:t>
      </w:r>
      <w:r w:rsidR="009D473C" w:rsidRPr="00EC0229">
        <w:t>ation in the mid- ninth century.</w:t>
      </w:r>
    </w:p>
    <w:p w14:paraId="734FCFC1" w14:textId="77777777" w:rsidR="003738BC" w:rsidRPr="00EC0229" w:rsidRDefault="003738BC" w:rsidP="007600EA">
      <w:pPr>
        <w:spacing w:line="360" w:lineRule="auto"/>
      </w:pPr>
    </w:p>
    <w:p w14:paraId="47503098" w14:textId="535E37BA" w:rsidR="003738BC" w:rsidRPr="00EC0229" w:rsidRDefault="003738BC" w:rsidP="00F91183">
      <w:pPr>
        <w:pStyle w:val="Heading3"/>
        <w:spacing w:line="360" w:lineRule="auto"/>
        <w:ind w:firstLine="720"/>
      </w:pPr>
      <w:bookmarkStart w:id="598" w:name="_Toc468266867"/>
      <w:bookmarkStart w:id="599" w:name="SheriffHutton"/>
      <w:r w:rsidRPr="00EC0229">
        <w:t>Sheriff Hutton</w:t>
      </w:r>
      <w:bookmarkEnd w:id="598"/>
      <w:r w:rsidRPr="00EC0229">
        <w:fldChar w:fldCharType="begin"/>
      </w:r>
      <w:r w:rsidRPr="00EC0229">
        <w:instrText xml:space="preserve"> XE "</w:instrText>
      </w:r>
      <w:r w:rsidRPr="00EC0229">
        <w:rPr>
          <w:rStyle w:val="Hyperlink"/>
          <w:noProof/>
          <w:u w:val="none"/>
        </w:rPr>
        <w:instrText>Sheriff Hutton</w:instrText>
      </w:r>
      <w:r w:rsidRPr="00EC0229">
        <w:instrText xml:space="preserve">" </w:instrText>
      </w:r>
      <w:r w:rsidRPr="00EC0229">
        <w:fldChar w:fldCharType="end"/>
      </w:r>
    </w:p>
    <w:bookmarkEnd w:id="599"/>
    <w:p w14:paraId="6A651BEC" w14:textId="16CD60A4" w:rsidR="003738BC" w:rsidRPr="00EC0229" w:rsidRDefault="003738BC" w:rsidP="007600EA">
      <w:pPr>
        <w:pStyle w:val="NoSpacing"/>
        <w:spacing w:line="360" w:lineRule="auto"/>
      </w:pPr>
      <w:r w:rsidRPr="00EC0229">
        <w:t>Sheriff Hutton</w:t>
      </w:r>
      <w:r w:rsidRPr="00EC0229">
        <w:fldChar w:fldCharType="begin"/>
      </w:r>
      <w:r w:rsidRPr="00EC0229">
        <w:instrText xml:space="preserve"> XE "</w:instrText>
      </w:r>
      <w:r w:rsidRPr="00EC0229">
        <w:rPr>
          <w:rStyle w:val="Hyperlink"/>
          <w:noProof/>
          <w:u w:val="none"/>
        </w:rPr>
        <w:instrText>Sheriff Hutton</w:instrText>
      </w:r>
      <w:r w:rsidRPr="00EC0229">
        <w:instrText xml:space="preserve">" </w:instrText>
      </w:r>
      <w:r w:rsidRPr="00EC0229">
        <w:fldChar w:fldCharType="end"/>
      </w:r>
      <w:r w:rsidRPr="00EC0229">
        <w:t xml:space="preserve"> has produced a Frisian sceat, considered primary [4c], with an undeciphered reverse legend, only the third known of this variety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_Ref430248347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86</w:t>
      </w:r>
      <w:r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t xml:space="preserve">. </w:t>
      </w:r>
    </w:p>
    <w:p w14:paraId="43ED0B5E" w14:textId="77777777" w:rsidR="003738BC" w:rsidRPr="00EC0229" w:rsidRDefault="003738BC" w:rsidP="007600EA">
      <w:pPr>
        <w:pStyle w:val="NoSpacing"/>
        <w:spacing w:line="360" w:lineRule="auto"/>
        <w:jc w:val="center"/>
      </w:pPr>
      <w:r w:rsidRPr="00EC0229">
        <w:rPr>
          <w:noProof/>
          <w:lang w:eastAsia="en-GB"/>
        </w:rPr>
        <w:drawing>
          <wp:inline distT="0" distB="0" distL="0" distR="0" wp14:anchorId="7868900F" wp14:editId="5E6B8A68">
            <wp:extent cx="830963" cy="840740"/>
            <wp:effectExtent l="0" t="0" r="762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6 E660.JPG"/>
                    <pic:cNvPicPr/>
                  </pic:nvPicPr>
                  <pic:blipFill>
                    <a:blip r:embed="rId288">
                      <a:extLst>
                        <a:ext uri="{28A0092B-C50C-407E-A947-70E740481C1C}">
                          <a14:useLocalDpi xmlns:a14="http://schemas.microsoft.com/office/drawing/2010/main" val="0"/>
                        </a:ext>
                      </a:extLst>
                    </a:blip>
                    <a:stretch>
                      <a:fillRect/>
                    </a:stretch>
                  </pic:blipFill>
                  <pic:spPr>
                    <a:xfrm>
                      <a:off x="0" y="0"/>
                      <a:ext cx="856922" cy="867004"/>
                    </a:xfrm>
                    <a:prstGeom prst="rect">
                      <a:avLst/>
                    </a:prstGeom>
                  </pic:spPr>
                </pic:pic>
              </a:graphicData>
            </a:graphic>
          </wp:inline>
        </w:drawing>
      </w:r>
      <w:r w:rsidRPr="00EC0229">
        <w:rPr>
          <w:noProof/>
          <w:lang w:eastAsia="en-GB"/>
        </w:rPr>
        <w:drawing>
          <wp:inline distT="0" distB="0" distL="0" distR="0" wp14:anchorId="5EA99477" wp14:editId="2AB18D85">
            <wp:extent cx="904336" cy="84582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6 E660R.JPG"/>
                    <pic:cNvPicPr/>
                  </pic:nvPicPr>
                  <pic:blipFill>
                    <a:blip r:embed="rId289">
                      <a:extLst>
                        <a:ext uri="{28A0092B-C50C-407E-A947-70E740481C1C}">
                          <a14:useLocalDpi xmlns:a14="http://schemas.microsoft.com/office/drawing/2010/main" val="0"/>
                        </a:ext>
                      </a:extLst>
                    </a:blip>
                    <a:stretch>
                      <a:fillRect/>
                    </a:stretch>
                  </pic:blipFill>
                  <pic:spPr>
                    <a:xfrm>
                      <a:off x="0" y="0"/>
                      <a:ext cx="917904" cy="858510"/>
                    </a:xfrm>
                    <a:prstGeom prst="rect">
                      <a:avLst/>
                    </a:prstGeom>
                  </pic:spPr>
                </pic:pic>
              </a:graphicData>
            </a:graphic>
          </wp:inline>
        </w:drawing>
      </w:r>
    </w:p>
    <w:p w14:paraId="77D9FECB" w14:textId="48D7739D" w:rsidR="003738BC" w:rsidRPr="00EC0229" w:rsidRDefault="003738BC" w:rsidP="007600EA">
      <w:pPr>
        <w:pStyle w:val="NoSpacing"/>
        <w:spacing w:line="360" w:lineRule="auto"/>
        <w:jc w:val="center"/>
        <w:rPr>
          <w:sz w:val="20"/>
          <w:szCs w:val="20"/>
        </w:rPr>
      </w:pPr>
      <w:bookmarkStart w:id="600" w:name="_Ref430248347"/>
      <w:bookmarkStart w:id="601" w:name="_Toc468267058"/>
      <w:r w:rsidRPr="00EC0229">
        <w:rPr>
          <w:i/>
          <w:sz w:val="20"/>
          <w:szCs w:val="20"/>
        </w:rPr>
        <w:lastRenderedPageBreak/>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86</w:t>
      </w:r>
      <w:r w:rsidRPr="00EC0229">
        <w:rPr>
          <w:sz w:val="20"/>
          <w:szCs w:val="20"/>
        </w:rPr>
        <w:fldChar w:fldCharType="end"/>
      </w:r>
      <w:bookmarkEnd w:id="600"/>
      <w:r w:rsidRPr="00EC0229">
        <w:rPr>
          <w:sz w:val="20"/>
          <w:szCs w:val="20"/>
        </w:rPr>
        <w:t>: Sherriff Hutton,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E</w:t>
      </w:r>
      <w:r w:rsidRPr="00EC0229">
        <w:rPr>
          <w:sz w:val="20"/>
          <w:szCs w:val="20"/>
        </w:rPr>
        <w:fldChar w:fldCharType="begin"/>
      </w:r>
      <w:r w:rsidRPr="00EC0229">
        <w:rPr>
          <w:sz w:val="20"/>
          <w:szCs w:val="20"/>
        </w:rPr>
        <w:instrText xml:space="preserve"> XE "Series E" </w:instrText>
      </w:r>
      <w:r w:rsidRPr="00EC0229">
        <w:rPr>
          <w:sz w:val="20"/>
          <w:szCs w:val="20"/>
        </w:rPr>
        <w:fldChar w:fldCharType="end"/>
      </w:r>
      <w:r w:rsidRPr="00EC0229">
        <w:rPr>
          <w:sz w:val="20"/>
          <w:szCs w:val="20"/>
        </w:rPr>
        <w:t>, variety G, one of three known</w:t>
      </w:r>
      <w:bookmarkEnd w:id="601"/>
    </w:p>
    <w:p w14:paraId="0110B64C" w14:textId="77777777" w:rsidR="003738BC" w:rsidRPr="00EC0229" w:rsidRDefault="003738BC" w:rsidP="007600EA">
      <w:pPr>
        <w:pStyle w:val="NoSpacing"/>
        <w:spacing w:line="360" w:lineRule="auto"/>
        <w:rPr>
          <w:sz w:val="22"/>
        </w:rPr>
      </w:pPr>
    </w:p>
    <w:p w14:paraId="792E4185" w14:textId="13BC24BC" w:rsidR="003738BC" w:rsidRPr="00EC0229" w:rsidRDefault="003738BC" w:rsidP="007600EA">
      <w:pPr>
        <w:pStyle w:val="NoSpacing"/>
        <w:spacing w:line="360" w:lineRule="auto"/>
        <w:rPr>
          <w:szCs w:val="24"/>
        </w:rPr>
      </w:pPr>
      <w:r w:rsidRPr="00EC0229">
        <w:rPr>
          <w:szCs w:val="24"/>
        </w:rPr>
        <w:t>There is also a typically imitative annulet type [5b], similar to that found at Garton</w:t>
      </w:r>
      <w:r w:rsidRPr="00EC0229">
        <w:rPr>
          <w:szCs w:val="24"/>
        </w:rPr>
        <w:fldChar w:fldCharType="begin"/>
      </w:r>
      <w:r w:rsidRPr="00EC0229">
        <w:instrText xml:space="preserve"> XE "</w:instrText>
      </w:r>
      <w:r w:rsidRPr="00EC0229">
        <w:rPr>
          <w:rStyle w:val="Hyperlink"/>
          <w:noProof/>
          <w:u w:val="none"/>
        </w:rPr>
        <w:instrText>Garton</w:instrText>
      </w:r>
      <w:r w:rsidRPr="00EC0229">
        <w:instrText xml:space="preserve">" </w:instrText>
      </w:r>
      <w:r w:rsidRPr="00EC0229">
        <w:rPr>
          <w:szCs w:val="24"/>
        </w:rPr>
        <w:fldChar w:fldCharType="end"/>
      </w:r>
      <w:r w:rsidRPr="00EC0229">
        <w:rPr>
          <w:szCs w:val="24"/>
        </w:rPr>
        <w:t>-on-the Wolds</w:t>
      </w:r>
      <w:r w:rsidRPr="00EC0229">
        <w:rPr>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szCs w:val="24"/>
        </w:rPr>
        <w:fldChar w:fldCharType="end"/>
      </w:r>
      <w:r w:rsidRPr="00EC0229">
        <w:t xml:space="preserve">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_Ref430248358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87</w:t>
      </w:r>
      <w:r w:rsidRPr="00EC0229">
        <w:rPr>
          <w:rFonts w:eastAsia="Times New Roman" w:cs="Times New Roman"/>
          <w:szCs w:val="24"/>
          <w:lang w:eastAsia="en-GB"/>
        </w:rPr>
        <w:fldChar w:fldCharType="end"/>
      </w:r>
      <w:r w:rsidRPr="00EC0229">
        <w:rPr>
          <w:rFonts w:eastAsia="Times New Roman" w:cs="Times New Roman"/>
          <w:szCs w:val="24"/>
          <w:lang w:eastAsia="en-GB"/>
        </w:rPr>
        <w:t>)</w:t>
      </w:r>
      <w:r w:rsidRPr="00EC0229">
        <w:rPr>
          <w:szCs w:val="24"/>
        </w:rPr>
        <w:t>.</w:t>
      </w:r>
      <w:r w:rsidRPr="00EC0229">
        <w:rPr>
          <w:rStyle w:val="FootnoteReference"/>
          <w:szCs w:val="24"/>
        </w:rPr>
        <w:footnoteReference w:id="963"/>
      </w:r>
    </w:p>
    <w:p w14:paraId="7E948932" w14:textId="77777777" w:rsidR="003738BC" w:rsidRPr="00EC0229" w:rsidRDefault="003738BC" w:rsidP="007600EA">
      <w:pPr>
        <w:pStyle w:val="NoSpacing"/>
        <w:spacing w:line="360" w:lineRule="auto"/>
        <w:jc w:val="center"/>
        <w:rPr>
          <w:sz w:val="22"/>
        </w:rPr>
      </w:pPr>
    </w:p>
    <w:p w14:paraId="23602E8A" w14:textId="77777777" w:rsidR="003738BC" w:rsidRPr="00EC0229" w:rsidRDefault="003738BC" w:rsidP="007600EA">
      <w:pPr>
        <w:pStyle w:val="NoSpacing"/>
        <w:spacing w:line="360" w:lineRule="auto"/>
        <w:jc w:val="center"/>
        <w:rPr>
          <w:sz w:val="22"/>
        </w:rPr>
      </w:pPr>
      <w:r w:rsidRPr="00EC0229">
        <w:rPr>
          <w:noProof/>
          <w:sz w:val="22"/>
          <w:lang w:eastAsia="en-GB"/>
        </w:rPr>
        <w:drawing>
          <wp:inline distT="0" distB="0" distL="0" distR="0" wp14:anchorId="788EFD8E" wp14:editId="20A2336A">
            <wp:extent cx="1976118" cy="914400"/>
            <wp:effectExtent l="0" t="0" r="571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offorth PAS YORYM-9A8ED1.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005450" cy="927973"/>
                    </a:xfrm>
                    <a:prstGeom prst="rect">
                      <a:avLst/>
                    </a:prstGeom>
                  </pic:spPr>
                </pic:pic>
              </a:graphicData>
            </a:graphic>
          </wp:inline>
        </w:drawing>
      </w:r>
    </w:p>
    <w:p w14:paraId="0AE8C6D3" w14:textId="54B9CC17" w:rsidR="00161418" w:rsidRDefault="003738BC" w:rsidP="007600EA">
      <w:pPr>
        <w:pStyle w:val="NoSpacing"/>
        <w:spacing w:line="360" w:lineRule="auto"/>
        <w:jc w:val="center"/>
        <w:rPr>
          <w:sz w:val="20"/>
          <w:szCs w:val="20"/>
        </w:rPr>
      </w:pPr>
      <w:bookmarkStart w:id="602" w:name="_Ref430248358"/>
      <w:bookmarkStart w:id="603" w:name="_Toc468267059"/>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87</w:t>
      </w:r>
      <w:r w:rsidRPr="00EC0229">
        <w:rPr>
          <w:sz w:val="20"/>
          <w:szCs w:val="20"/>
        </w:rPr>
        <w:fldChar w:fldCharType="end"/>
      </w:r>
      <w:bookmarkEnd w:id="602"/>
      <w:r w:rsidR="00161418">
        <w:rPr>
          <w:sz w:val="20"/>
          <w:szCs w:val="20"/>
        </w:rPr>
        <w:t>: Annulet type</w:t>
      </w:r>
      <w:bookmarkEnd w:id="603"/>
    </w:p>
    <w:p w14:paraId="3BE622D9" w14:textId="1AFA2EF9" w:rsidR="003738BC" w:rsidRPr="00EC0229" w:rsidRDefault="003738BC" w:rsidP="007600EA">
      <w:pPr>
        <w:pStyle w:val="NoSpacing"/>
        <w:spacing w:line="360" w:lineRule="auto"/>
        <w:jc w:val="center"/>
        <w:rPr>
          <w:sz w:val="20"/>
          <w:szCs w:val="20"/>
        </w:rPr>
      </w:pPr>
      <w:r w:rsidRPr="00EC0229">
        <w:rPr>
          <w:sz w:val="20"/>
          <w:szCs w:val="20"/>
        </w:rPr>
        <w:t>PAS</w:t>
      </w:r>
      <w:r w:rsidRPr="00EC0229">
        <w:rPr>
          <w:sz w:val="20"/>
          <w:szCs w:val="20"/>
        </w:rPr>
        <w:fldChar w:fldCharType="begin"/>
      </w:r>
      <w:r w:rsidRPr="00EC0229">
        <w:rPr>
          <w:sz w:val="20"/>
          <w:szCs w:val="20"/>
        </w:rPr>
        <w:instrText xml:space="preserve"> XE "PAS" </w:instrText>
      </w:r>
      <w:r w:rsidRPr="00EC0229">
        <w:rPr>
          <w:sz w:val="20"/>
          <w:szCs w:val="20"/>
        </w:rPr>
        <w:fldChar w:fldCharType="end"/>
      </w:r>
      <w:r w:rsidRPr="00EC0229">
        <w:rPr>
          <w:sz w:val="20"/>
          <w:szCs w:val="20"/>
        </w:rPr>
        <w:t xml:space="preserve"> YORYM-9A8ED1</w:t>
      </w:r>
    </w:p>
    <w:p w14:paraId="06D3B9F3" w14:textId="77777777" w:rsidR="003738BC" w:rsidRPr="00EC0229" w:rsidRDefault="003738BC" w:rsidP="007600EA">
      <w:pPr>
        <w:pStyle w:val="NoSpacing"/>
        <w:spacing w:line="360" w:lineRule="auto"/>
        <w:rPr>
          <w:szCs w:val="24"/>
        </w:rPr>
      </w:pPr>
    </w:p>
    <w:p w14:paraId="03914DF6" w14:textId="77777777" w:rsidR="003738BC" w:rsidRPr="00EC0229" w:rsidRDefault="003738BC" w:rsidP="007600EA">
      <w:pPr>
        <w:pStyle w:val="NoSpacing"/>
        <w:spacing w:line="360" w:lineRule="auto"/>
        <w:rPr>
          <w:szCs w:val="24"/>
        </w:rPr>
      </w:pPr>
      <w:r w:rsidRPr="00EC0229">
        <w:rPr>
          <w:szCs w:val="24"/>
        </w:rPr>
        <w:t>Single sceats of the Low Countries also occur at Stamford Bridge, Wilberfoss, Upper Poppleton</w:t>
      </w:r>
      <w:r w:rsidRPr="00EC0229">
        <w:rPr>
          <w:szCs w:val="24"/>
        </w:rPr>
        <w:fldChar w:fldCharType="begin"/>
      </w:r>
      <w:r w:rsidRPr="00EC0229">
        <w:instrText xml:space="preserve"> XE "</w:instrText>
      </w:r>
      <w:r w:rsidRPr="00EC0229">
        <w:rPr>
          <w:rStyle w:val="Hyperlink"/>
          <w:noProof/>
          <w:u w:val="none"/>
        </w:rPr>
        <w:instrText>Upper Poppleton</w:instrText>
      </w:r>
      <w:r w:rsidRPr="00EC0229">
        <w:instrText xml:space="preserve">" </w:instrText>
      </w:r>
      <w:r w:rsidRPr="00EC0229">
        <w:rPr>
          <w:szCs w:val="24"/>
        </w:rPr>
        <w:fldChar w:fldCharType="end"/>
      </w:r>
      <w:r w:rsidRPr="00EC0229">
        <w:rPr>
          <w:szCs w:val="24"/>
        </w:rPr>
        <w:t xml:space="preserve"> and Ryther</w:t>
      </w:r>
    </w:p>
    <w:p w14:paraId="50AB43A7" w14:textId="77777777" w:rsidR="003738BC" w:rsidRPr="00EC0229" w:rsidRDefault="003738BC" w:rsidP="007600EA">
      <w:pPr>
        <w:spacing w:line="360" w:lineRule="auto"/>
      </w:pPr>
    </w:p>
    <w:p w14:paraId="29DDB576" w14:textId="31E744E1" w:rsidR="003738BC" w:rsidRPr="00EC0229" w:rsidRDefault="003738BC" w:rsidP="00F91183">
      <w:pPr>
        <w:pStyle w:val="Heading3"/>
        <w:spacing w:line="360" w:lineRule="auto"/>
        <w:ind w:firstLine="720"/>
      </w:pPr>
      <w:bookmarkStart w:id="604" w:name="_Toc468266868"/>
      <w:bookmarkStart w:id="605" w:name="UpperPoppleton"/>
      <w:r w:rsidRPr="00EC0229">
        <w:t>Upper Poppleton</w:t>
      </w:r>
      <w:bookmarkEnd w:id="604"/>
      <w:r w:rsidRPr="00EC0229">
        <w:fldChar w:fldCharType="begin"/>
      </w:r>
      <w:r w:rsidRPr="00EC0229">
        <w:instrText xml:space="preserve"> XE "</w:instrText>
      </w:r>
      <w:r w:rsidRPr="00EC0229">
        <w:rPr>
          <w:rStyle w:val="Hyperlink"/>
          <w:noProof/>
          <w:u w:val="none"/>
        </w:rPr>
        <w:instrText>Upper Poppleton</w:instrText>
      </w:r>
      <w:r w:rsidRPr="00EC0229">
        <w:instrText xml:space="preserve">" </w:instrText>
      </w:r>
      <w:r w:rsidRPr="00EC0229">
        <w:fldChar w:fldCharType="end"/>
      </w:r>
    </w:p>
    <w:bookmarkEnd w:id="605"/>
    <w:p w14:paraId="3987395F" w14:textId="29D3078A" w:rsidR="003738BC" w:rsidRPr="00EC0229" w:rsidRDefault="003738BC" w:rsidP="007600EA">
      <w:pPr>
        <w:pStyle w:val="NoSpacing"/>
        <w:spacing w:line="360" w:lineRule="auto"/>
        <w:rPr>
          <w:szCs w:val="24"/>
        </w:rPr>
      </w:pPr>
      <w:r w:rsidRPr="00EC0229">
        <w:rPr>
          <w:szCs w:val="24"/>
        </w:rPr>
        <w:t>Non-Northumbrian sceats at Upper Poppleton</w:t>
      </w:r>
      <w:r w:rsidRPr="00EC0229">
        <w:rPr>
          <w:szCs w:val="24"/>
        </w:rPr>
        <w:fldChar w:fldCharType="begin"/>
      </w:r>
      <w:r w:rsidRPr="00EC0229">
        <w:instrText xml:space="preserve"> XE "</w:instrText>
      </w:r>
      <w:r w:rsidRPr="00EC0229">
        <w:rPr>
          <w:rStyle w:val="Hyperlink"/>
          <w:noProof/>
          <w:u w:val="none"/>
        </w:rPr>
        <w:instrText>Upper Poppleton</w:instrText>
      </w:r>
      <w:r w:rsidRPr="00EC0229">
        <w:instrText xml:space="preserve">" </w:instrText>
      </w:r>
      <w:r w:rsidRPr="00EC0229">
        <w:rPr>
          <w:szCs w:val="24"/>
        </w:rPr>
        <w:fldChar w:fldCharType="end"/>
      </w:r>
      <w:r w:rsidRPr="00EC0229">
        <w:rPr>
          <w:szCs w:val="24"/>
        </w:rPr>
        <w:t xml:space="preserve">, include the primary Frisian type inscribed </w:t>
      </w:r>
      <w:r w:rsidRPr="00EC0229">
        <w:rPr>
          <w:i/>
          <w:szCs w:val="24"/>
        </w:rPr>
        <w:t>VICO</w:t>
      </w:r>
      <w:r w:rsidRPr="00EC0229">
        <w:rPr>
          <w:szCs w:val="24"/>
        </w:rPr>
        <w:t xml:space="preserve"> [4c], a secondary </w:t>
      </w:r>
      <w:r w:rsidR="00572E51" w:rsidRPr="00EC0229">
        <w:rPr>
          <w:szCs w:val="24"/>
        </w:rPr>
        <w:t>Southumbria</w:t>
      </w:r>
      <w:r w:rsidRPr="00EC0229">
        <w:rPr>
          <w:szCs w:val="24"/>
        </w:rPr>
        <w:t>n sceat of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O [5b] and a Northumbria</w:t>
      </w:r>
      <w:r w:rsidRPr="00EC0229">
        <w:rPr>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szCs w:val="24"/>
        </w:rPr>
        <w:fldChar w:fldCharType="end"/>
      </w:r>
      <w:r w:rsidRPr="00EC0229">
        <w:rPr>
          <w:szCs w:val="24"/>
        </w:rPr>
        <w:t xml:space="preserve"> sceat of </w:t>
      </w:r>
      <w:r w:rsidRPr="00EC0229">
        <w:rPr>
          <w:rFonts w:cs="Times New Roman"/>
          <w:szCs w:val="24"/>
        </w:rPr>
        <w:t>Æ</w:t>
      </w:r>
      <w:r w:rsidRPr="00EC0229">
        <w:rPr>
          <w:szCs w:val="24"/>
        </w:rPr>
        <w:t>lfwald</w:t>
      </w:r>
      <w:r w:rsidRPr="00EC0229">
        <w:rPr>
          <w:szCs w:val="24"/>
        </w:rPr>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rPr>
          <w:szCs w:val="24"/>
        </w:rPr>
        <w:fldChar w:fldCharType="end"/>
      </w:r>
      <w:r w:rsidRPr="00EC0229">
        <w:rPr>
          <w:szCs w:val="24"/>
        </w:rPr>
        <w:t xml:space="preserve"> I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_Ref430248368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88</w:t>
      </w:r>
      <w:r w:rsidRPr="00EC0229">
        <w:rPr>
          <w:rFonts w:eastAsia="Times New Roman" w:cs="Times New Roman"/>
          <w:szCs w:val="24"/>
          <w:lang w:eastAsia="en-GB"/>
        </w:rPr>
        <w:fldChar w:fldCharType="end"/>
      </w:r>
      <w:r w:rsidRPr="00EC0229">
        <w:rPr>
          <w:rFonts w:eastAsia="Times New Roman" w:cs="Times New Roman"/>
          <w:szCs w:val="24"/>
          <w:lang w:eastAsia="en-GB"/>
        </w:rPr>
        <w:t>), [N6]</w:t>
      </w:r>
      <w:r w:rsidRPr="00EC0229">
        <w:rPr>
          <w:szCs w:val="24"/>
        </w:rPr>
        <w:t>.</w:t>
      </w:r>
    </w:p>
    <w:p w14:paraId="13B0D29F" w14:textId="77777777" w:rsidR="003738BC" w:rsidRPr="00EC0229" w:rsidRDefault="003738BC" w:rsidP="007600EA">
      <w:pPr>
        <w:pStyle w:val="NoSpacing"/>
        <w:spacing w:line="360" w:lineRule="auto"/>
        <w:jc w:val="center"/>
        <w:rPr>
          <w:szCs w:val="24"/>
        </w:rPr>
      </w:pPr>
      <w:r w:rsidRPr="00EC0229">
        <w:rPr>
          <w:noProof/>
          <w:szCs w:val="24"/>
          <w:lang w:eastAsia="en-GB"/>
        </w:rPr>
        <w:drawing>
          <wp:inline distT="0" distB="0" distL="0" distR="0" wp14:anchorId="1499C7EF" wp14:editId="6A97E806">
            <wp:extent cx="818840" cy="789940"/>
            <wp:effectExtent l="0" t="0" r="63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pper Poppleton 20 E820.JPG"/>
                    <pic:cNvPicPr/>
                  </pic:nvPicPr>
                  <pic:blipFill>
                    <a:blip r:embed="rId291">
                      <a:extLst>
                        <a:ext uri="{28A0092B-C50C-407E-A947-70E740481C1C}">
                          <a14:useLocalDpi xmlns:a14="http://schemas.microsoft.com/office/drawing/2010/main" val="0"/>
                        </a:ext>
                      </a:extLst>
                    </a:blip>
                    <a:stretch>
                      <a:fillRect/>
                    </a:stretch>
                  </pic:blipFill>
                  <pic:spPr>
                    <a:xfrm>
                      <a:off x="0" y="0"/>
                      <a:ext cx="829910" cy="800620"/>
                    </a:xfrm>
                    <a:prstGeom prst="rect">
                      <a:avLst/>
                    </a:prstGeom>
                  </pic:spPr>
                </pic:pic>
              </a:graphicData>
            </a:graphic>
          </wp:inline>
        </w:drawing>
      </w:r>
      <w:r w:rsidRPr="00EC0229">
        <w:rPr>
          <w:noProof/>
          <w:szCs w:val="24"/>
          <w:lang w:eastAsia="en-GB"/>
        </w:rPr>
        <w:drawing>
          <wp:inline distT="0" distB="0" distL="0" distR="0" wp14:anchorId="60AD2F77" wp14:editId="6F02E55C">
            <wp:extent cx="792480" cy="801804"/>
            <wp:effectExtent l="0" t="0" r="762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pper Poppleton 20 E820R.JPG"/>
                    <pic:cNvPicPr/>
                  </pic:nvPicPr>
                  <pic:blipFill>
                    <a:blip r:embed="rId292">
                      <a:extLst>
                        <a:ext uri="{28A0092B-C50C-407E-A947-70E740481C1C}">
                          <a14:useLocalDpi xmlns:a14="http://schemas.microsoft.com/office/drawing/2010/main" val="0"/>
                        </a:ext>
                      </a:extLst>
                    </a:blip>
                    <a:stretch>
                      <a:fillRect/>
                    </a:stretch>
                  </pic:blipFill>
                  <pic:spPr>
                    <a:xfrm>
                      <a:off x="0" y="0"/>
                      <a:ext cx="805432" cy="814908"/>
                    </a:xfrm>
                    <a:prstGeom prst="rect">
                      <a:avLst/>
                    </a:prstGeom>
                  </pic:spPr>
                </pic:pic>
              </a:graphicData>
            </a:graphic>
          </wp:inline>
        </w:drawing>
      </w:r>
      <w:r w:rsidRPr="00EC0229">
        <w:rPr>
          <w:szCs w:val="24"/>
        </w:rPr>
        <w:tab/>
      </w:r>
      <w:r w:rsidRPr="00EC0229">
        <w:rPr>
          <w:noProof/>
          <w:szCs w:val="24"/>
          <w:lang w:eastAsia="en-GB"/>
        </w:rPr>
        <w:drawing>
          <wp:inline distT="0" distB="0" distL="0" distR="0" wp14:anchorId="5D25E14C" wp14:editId="11410996">
            <wp:extent cx="807720" cy="80772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pper Poppleton 58-20 O120.JPG"/>
                    <pic:cNvPicPr/>
                  </pic:nvPicPr>
                  <pic:blipFill>
                    <a:blip r:embed="rId293">
                      <a:extLst>
                        <a:ext uri="{28A0092B-C50C-407E-A947-70E740481C1C}">
                          <a14:useLocalDpi xmlns:a14="http://schemas.microsoft.com/office/drawing/2010/main" val="0"/>
                        </a:ext>
                      </a:extLst>
                    </a:blip>
                    <a:stretch>
                      <a:fillRect/>
                    </a:stretch>
                  </pic:blipFill>
                  <pic:spPr>
                    <a:xfrm>
                      <a:off x="0" y="0"/>
                      <a:ext cx="807720" cy="807720"/>
                    </a:xfrm>
                    <a:prstGeom prst="rect">
                      <a:avLst/>
                    </a:prstGeom>
                  </pic:spPr>
                </pic:pic>
              </a:graphicData>
            </a:graphic>
          </wp:inline>
        </w:drawing>
      </w:r>
      <w:r w:rsidRPr="00EC0229">
        <w:rPr>
          <w:noProof/>
          <w:szCs w:val="24"/>
          <w:lang w:eastAsia="en-GB"/>
        </w:rPr>
        <w:drawing>
          <wp:inline distT="0" distB="0" distL="0" distR="0" wp14:anchorId="07198554" wp14:editId="791CA614">
            <wp:extent cx="816791" cy="807182"/>
            <wp:effectExtent l="0" t="0" r="254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pper Poppleton 58-20 O120R.JPG"/>
                    <pic:cNvPicPr/>
                  </pic:nvPicPr>
                  <pic:blipFill>
                    <a:blip r:embed="rId294">
                      <a:extLst>
                        <a:ext uri="{28A0092B-C50C-407E-A947-70E740481C1C}">
                          <a14:useLocalDpi xmlns:a14="http://schemas.microsoft.com/office/drawing/2010/main" val="0"/>
                        </a:ext>
                      </a:extLst>
                    </a:blip>
                    <a:stretch>
                      <a:fillRect/>
                    </a:stretch>
                  </pic:blipFill>
                  <pic:spPr>
                    <a:xfrm>
                      <a:off x="0" y="0"/>
                      <a:ext cx="823401" cy="813715"/>
                    </a:xfrm>
                    <a:prstGeom prst="rect">
                      <a:avLst/>
                    </a:prstGeom>
                  </pic:spPr>
                </pic:pic>
              </a:graphicData>
            </a:graphic>
          </wp:inline>
        </w:drawing>
      </w:r>
      <w:r w:rsidRPr="00EC0229">
        <w:rPr>
          <w:szCs w:val="24"/>
        </w:rPr>
        <w:tab/>
      </w:r>
      <w:r w:rsidRPr="00EC0229">
        <w:rPr>
          <w:noProof/>
          <w:szCs w:val="24"/>
          <w:lang w:eastAsia="en-GB"/>
        </w:rPr>
        <w:drawing>
          <wp:inline distT="0" distB="0" distL="0" distR="0" wp14:anchorId="5B1C40CE" wp14:editId="65EEFC45">
            <wp:extent cx="829784" cy="810260"/>
            <wp:effectExtent l="0" t="0" r="889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Upper Poppleton 60 Y200.JPG"/>
                    <pic:cNvPicPr/>
                  </pic:nvPicPr>
                  <pic:blipFill>
                    <a:blip r:embed="rId295">
                      <a:extLst>
                        <a:ext uri="{28A0092B-C50C-407E-A947-70E740481C1C}">
                          <a14:useLocalDpi xmlns:a14="http://schemas.microsoft.com/office/drawing/2010/main" val="0"/>
                        </a:ext>
                      </a:extLst>
                    </a:blip>
                    <a:stretch>
                      <a:fillRect/>
                    </a:stretch>
                  </pic:blipFill>
                  <pic:spPr>
                    <a:xfrm>
                      <a:off x="0" y="0"/>
                      <a:ext cx="834769" cy="815128"/>
                    </a:xfrm>
                    <a:prstGeom prst="rect">
                      <a:avLst/>
                    </a:prstGeom>
                  </pic:spPr>
                </pic:pic>
              </a:graphicData>
            </a:graphic>
          </wp:inline>
        </w:drawing>
      </w:r>
      <w:r w:rsidRPr="00EC0229">
        <w:rPr>
          <w:noProof/>
          <w:szCs w:val="24"/>
          <w:lang w:eastAsia="en-GB"/>
        </w:rPr>
        <w:drawing>
          <wp:inline distT="0" distB="0" distL="0" distR="0" wp14:anchorId="1C50D050" wp14:editId="63546075">
            <wp:extent cx="825046" cy="815340"/>
            <wp:effectExtent l="0" t="0" r="0" b="381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pper Poppleton 60 Y200R.JPG"/>
                    <pic:cNvPicPr/>
                  </pic:nvPicPr>
                  <pic:blipFill>
                    <a:blip r:embed="rId296">
                      <a:extLst>
                        <a:ext uri="{28A0092B-C50C-407E-A947-70E740481C1C}">
                          <a14:useLocalDpi xmlns:a14="http://schemas.microsoft.com/office/drawing/2010/main" val="0"/>
                        </a:ext>
                      </a:extLst>
                    </a:blip>
                    <a:stretch>
                      <a:fillRect/>
                    </a:stretch>
                  </pic:blipFill>
                  <pic:spPr>
                    <a:xfrm>
                      <a:off x="0" y="0"/>
                      <a:ext cx="831116" cy="821339"/>
                    </a:xfrm>
                    <a:prstGeom prst="rect">
                      <a:avLst/>
                    </a:prstGeom>
                  </pic:spPr>
                </pic:pic>
              </a:graphicData>
            </a:graphic>
          </wp:inline>
        </w:drawing>
      </w:r>
    </w:p>
    <w:p w14:paraId="018CE0D4" w14:textId="4822DD79" w:rsidR="003738BC" w:rsidRPr="00EC0229" w:rsidRDefault="003738BC" w:rsidP="007600EA">
      <w:pPr>
        <w:pStyle w:val="NoSpacing"/>
        <w:spacing w:line="360" w:lineRule="auto"/>
        <w:jc w:val="center"/>
        <w:rPr>
          <w:sz w:val="20"/>
          <w:szCs w:val="20"/>
        </w:rPr>
      </w:pPr>
      <w:bookmarkStart w:id="606" w:name="_Ref430248368"/>
      <w:bookmarkStart w:id="607" w:name="_Toc46826706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88</w:t>
      </w:r>
      <w:r w:rsidRPr="00EC0229">
        <w:rPr>
          <w:sz w:val="20"/>
          <w:szCs w:val="20"/>
        </w:rPr>
        <w:fldChar w:fldCharType="end"/>
      </w:r>
      <w:bookmarkEnd w:id="606"/>
      <w:r w:rsidRPr="00EC0229">
        <w:rPr>
          <w:sz w:val="20"/>
          <w:szCs w:val="20"/>
        </w:rPr>
        <w:t>: Upper Poppleton</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Upper Poppleton</w:instrText>
      </w:r>
      <w:r w:rsidRPr="00EC0229">
        <w:rPr>
          <w:sz w:val="20"/>
          <w:szCs w:val="20"/>
        </w:rPr>
        <w:instrText xml:space="preserve">" </w:instrText>
      </w:r>
      <w:r w:rsidRPr="00EC0229">
        <w:rPr>
          <w:sz w:val="20"/>
          <w:szCs w:val="20"/>
        </w:rPr>
        <w:fldChar w:fldCharType="end"/>
      </w:r>
      <w:r w:rsidRPr="00EC0229">
        <w:rPr>
          <w:sz w:val="20"/>
          <w:szCs w:val="20"/>
        </w:rPr>
        <w:t>: Primary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E</w:t>
      </w:r>
      <w:r w:rsidRPr="00EC0229">
        <w:rPr>
          <w:sz w:val="20"/>
          <w:szCs w:val="20"/>
        </w:rPr>
        <w:fldChar w:fldCharType="begin"/>
      </w:r>
      <w:r w:rsidRPr="00EC0229">
        <w:rPr>
          <w:sz w:val="20"/>
          <w:szCs w:val="20"/>
        </w:rPr>
        <w:instrText xml:space="preserve"> XE "Series E" </w:instrText>
      </w:r>
      <w:r w:rsidRPr="00EC0229">
        <w:rPr>
          <w:sz w:val="20"/>
          <w:szCs w:val="20"/>
        </w:rPr>
        <w:fldChar w:fldCharType="end"/>
      </w:r>
      <w:r w:rsidRPr="00EC0229">
        <w:rPr>
          <w:sz w:val="20"/>
          <w:szCs w:val="20"/>
        </w:rPr>
        <w:t xml:space="preserve">, Series O and </w:t>
      </w:r>
      <w:r w:rsidRPr="00EC0229">
        <w:rPr>
          <w:rFonts w:cs="Times New Roman"/>
          <w:sz w:val="20"/>
          <w:szCs w:val="20"/>
        </w:rPr>
        <w:t>Æ</w:t>
      </w:r>
      <w:r w:rsidRPr="00EC0229">
        <w:rPr>
          <w:sz w:val="20"/>
          <w:szCs w:val="20"/>
        </w:rPr>
        <w:t>lfwald</w:t>
      </w:r>
      <w:r w:rsidRPr="00EC0229">
        <w:rPr>
          <w:sz w:val="20"/>
          <w:szCs w:val="20"/>
        </w:rPr>
        <w:fldChar w:fldCharType="begin"/>
      </w:r>
      <w:r w:rsidRPr="00EC0229">
        <w:rPr>
          <w:sz w:val="20"/>
          <w:szCs w:val="20"/>
        </w:rPr>
        <w:instrText xml:space="preserve"> XE "</w:instrText>
      </w:r>
      <w:r w:rsidRPr="00EC0229">
        <w:rPr>
          <w:rFonts w:cs="Times New Roman"/>
          <w:sz w:val="20"/>
          <w:szCs w:val="20"/>
        </w:rPr>
        <w:instrText>Ælfwald</w:instrText>
      </w:r>
      <w:r w:rsidRPr="00EC0229">
        <w:rPr>
          <w:sz w:val="20"/>
          <w:szCs w:val="20"/>
        </w:rPr>
        <w:instrText xml:space="preserve">" </w:instrText>
      </w:r>
      <w:r w:rsidRPr="00EC0229">
        <w:rPr>
          <w:sz w:val="20"/>
          <w:szCs w:val="20"/>
        </w:rPr>
        <w:fldChar w:fldCharType="end"/>
      </w:r>
      <w:r w:rsidRPr="00EC0229">
        <w:rPr>
          <w:sz w:val="20"/>
          <w:szCs w:val="20"/>
        </w:rPr>
        <w:t xml:space="preserve"> sceat</w:t>
      </w:r>
      <w:bookmarkEnd w:id="607"/>
    </w:p>
    <w:p w14:paraId="2DAA2723" w14:textId="77777777" w:rsidR="003738BC" w:rsidRPr="00EC0229" w:rsidRDefault="003738BC" w:rsidP="007600EA">
      <w:pPr>
        <w:spacing w:line="360" w:lineRule="auto"/>
      </w:pPr>
    </w:p>
    <w:p w14:paraId="5C6DD6E4" w14:textId="71850C76" w:rsidR="00205FE6" w:rsidRPr="00EC0229" w:rsidRDefault="00205FE6" w:rsidP="00F91183">
      <w:pPr>
        <w:pStyle w:val="Heading3"/>
        <w:spacing w:line="360" w:lineRule="auto"/>
        <w:ind w:firstLine="720"/>
      </w:pPr>
      <w:bookmarkStart w:id="608" w:name="_Toc468266869"/>
      <w:r w:rsidRPr="00EC0229">
        <w:t>Bolton</w:t>
      </w:r>
      <w:r w:rsidRPr="00EC0229">
        <w:fldChar w:fldCharType="begin"/>
      </w:r>
      <w:r w:rsidRPr="00EC0229">
        <w:instrText xml:space="preserve"> XE "</w:instrText>
      </w:r>
      <w:r w:rsidRPr="00EC0229">
        <w:rPr>
          <w:rStyle w:val="Hyperlink"/>
          <w:rFonts w:eastAsia="Times New Roman"/>
          <w:noProof/>
          <w:u w:val="none"/>
          <w:lang w:eastAsia="en-GB"/>
        </w:rPr>
        <w:instrText>Bolton</w:instrText>
      </w:r>
      <w:r w:rsidRPr="00EC0229">
        <w:instrText xml:space="preserve">" </w:instrText>
      </w:r>
      <w:r w:rsidRPr="00EC0229">
        <w:fldChar w:fldCharType="end"/>
      </w:r>
      <w:r w:rsidRPr="00EC0229">
        <w:t xml:space="preserve"> Percy</w:t>
      </w:r>
      <w:bookmarkEnd w:id="608"/>
      <w:r w:rsidRPr="00EC0229">
        <w:fldChar w:fldCharType="begin"/>
      </w:r>
      <w:r w:rsidRPr="00EC0229">
        <w:instrText xml:space="preserve"> XE "</w:instrText>
      </w:r>
      <w:r w:rsidRPr="00EC0229">
        <w:rPr>
          <w:rStyle w:val="Hyperlink"/>
          <w:noProof/>
          <w:u w:val="none"/>
        </w:rPr>
        <w:instrText>Bolton Percy</w:instrText>
      </w:r>
      <w:r w:rsidRPr="00EC0229">
        <w:instrText xml:space="preserve">" </w:instrText>
      </w:r>
      <w:r w:rsidRPr="00EC0229">
        <w:fldChar w:fldCharType="end"/>
      </w:r>
    </w:p>
    <w:bookmarkEnd w:id="583"/>
    <w:p w14:paraId="4D596851" w14:textId="6443F8A9" w:rsidR="00205FE6" w:rsidRPr="00EC0229" w:rsidRDefault="00205FE6" w:rsidP="007600EA">
      <w:pPr>
        <w:pStyle w:val="NoSpacing"/>
        <w:spacing w:line="360" w:lineRule="auto"/>
      </w:pPr>
      <w:r w:rsidRPr="00EC0229">
        <w:t>The only recorded sceatta find from this site is a Series</w:t>
      </w:r>
      <w:r w:rsidRPr="00EC0229">
        <w:fldChar w:fldCharType="begin"/>
      </w:r>
      <w:r w:rsidRPr="00EC0229">
        <w:instrText xml:space="preserve"> XE "Series" </w:instrText>
      </w:r>
      <w:r w:rsidRPr="00EC0229">
        <w:fldChar w:fldCharType="end"/>
      </w:r>
      <w:r w:rsidRPr="00EC0229">
        <w:t xml:space="preserve"> F sceat, now attributed to Canterbury </w:t>
      </w:r>
      <w:r w:rsidRPr="00EC0229">
        <w:rPr>
          <w:rFonts w:eastAsia="Times New Roman" w:cs="Times New Roman"/>
          <w:szCs w:val="24"/>
          <w:lang w:eastAsia="en-GB"/>
        </w:rPr>
        <w:t>(</w:t>
      </w:r>
      <w:r w:rsidRPr="00EC0229">
        <w:rPr>
          <w:rFonts w:eastAsia="Times New Roman" w:cs="Times New Roman"/>
          <w:szCs w:val="24"/>
          <w:lang w:eastAsia="en-GB"/>
        </w:rPr>
        <w:fldChar w:fldCharType="begin"/>
      </w:r>
      <w:r w:rsidRPr="00EC0229">
        <w:rPr>
          <w:rFonts w:eastAsia="Times New Roman" w:cs="Times New Roman"/>
          <w:szCs w:val="24"/>
          <w:lang w:eastAsia="en-GB"/>
        </w:rPr>
        <w:instrText xml:space="preserve"> REF _Ref430248474 \h  \* MERGEFORMAT </w:instrText>
      </w:r>
      <w:r w:rsidRPr="00EC0229">
        <w:rPr>
          <w:rFonts w:eastAsia="Times New Roman" w:cs="Times New Roman"/>
          <w:szCs w:val="24"/>
          <w:lang w:eastAsia="en-GB"/>
        </w:rPr>
      </w:r>
      <w:r w:rsidRPr="00EC0229">
        <w:rPr>
          <w:rFonts w:eastAsia="Times New Roman" w:cs="Times New Roman"/>
          <w:szCs w:val="24"/>
          <w:lang w:eastAsia="en-GB"/>
        </w:rPr>
        <w:fldChar w:fldCharType="separate"/>
      </w:r>
      <w:r w:rsidR="0012026B" w:rsidRPr="0012026B">
        <w:rPr>
          <w:i/>
        </w:rPr>
        <w:t>Figure</w:t>
      </w:r>
      <w:r w:rsidR="0012026B" w:rsidRPr="0012026B">
        <w:t xml:space="preserve"> </w:t>
      </w:r>
      <w:r w:rsidR="0012026B" w:rsidRPr="0012026B">
        <w:rPr>
          <w:noProof/>
        </w:rPr>
        <w:t>89</w:t>
      </w:r>
      <w:r w:rsidRPr="00EC0229">
        <w:rPr>
          <w:rFonts w:eastAsia="Times New Roman" w:cs="Times New Roman"/>
          <w:szCs w:val="24"/>
          <w:lang w:eastAsia="en-GB"/>
        </w:rPr>
        <w:fldChar w:fldCharType="end"/>
      </w:r>
      <w:r w:rsidRPr="00EC0229">
        <w:rPr>
          <w:rFonts w:eastAsia="Times New Roman" w:cs="Times New Roman"/>
          <w:szCs w:val="24"/>
          <w:lang w:eastAsia="en-GB"/>
        </w:rPr>
        <w:t>), [4b]</w:t>
      </w:r>
      <w:r w:rsidRPr="00EC0229">
        <w:t>.</w:t>
      </w:r>
      <w:r w:rsidRPr="00EC0229">
        <w:rPr>
          <w:rStyle w:val="FootnoteReference"/>
        </w:rPr>
        <w:footnoteReference w:id="964"/>
      </w:r>
      <w:r w:rsidRPr="00EC0229">
        <w:t xml:space="preserve"> In stark contrast to Ryther, the Bolton</w:t>
      </w:r>
      <w:r w:rsidRPr="00EC0229">
        <w:fldChar w:fldCharType="begin"/>
      </w:r>
      <w:r w:rsidRPr="00EC0229">
        <w:instrText xml:space="preserve"> XE "</w:instrText>
      </w:r>
      <w:r w:rsidRPr="00EC0229">
        <w:rPr>
          <w:rStyle w:val="Hyperlink"/>
          <w:rFonts w:eastAsia="Times New Roman"/>
          <w:noProof/>
          <w:u w:val="none"/>
          <w:lang w:eastAsia="en-GB"/>
        </w:rPr>
        <w:instrText>Bolton</w:instrText>
      </w:r>
      <w:r w:rsidRPr="00EC0229">
        <w:instrText xml:space="preserve">" </w:instrText>
      </w:r>
      <w:r w:rsidRPr="00EC0229">
        <w:fldChar w:fldCharType="end"/>
      </w:r>
      <w:r w:rsidRPr="00EC0229">
        <w:t xml:space="preserve"> Percy</w:t>
      </w:r>
      <w:r w:rsidRPr="00EC0229">
        <w:fldChar w:fldCharType="begin"/>
      </w:r>
      <w:r w:rsidRPr="00EC0229">
        <w:instrText xml:space="preserve"> XE "</w:instrText>
      </w:r>
      <w:r w:rsidRPr="00EC0229">
        <w:rPr>
          <w:rStyle w:val="Hyperlink"/>
          <w:noProof/>
          <w:u w:val="none"/>
        </w:rPr>
        <w:instrText>Bolton Percy</w:instrText>
      </w:r>
      <w:r w:rsidRPr="00EC0229">
        <w:instrText xml:space="preserve">" </w:instrText>
      </w:r>
      <w:r w:rsidRPr="00EC0229">
        <w:fldChar w:fldCharType="end"/>
      </w:r>
      <w:r w:rsidRPr="00EC0229">
        <w:t xml:space="preserve"> styca in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w:t>
      </w:r>
      <w:r w:rsidR="00B15422" w:rsidRPr="00EC0229">
        <w:rPr>
          <w:i/>
        </w:rPr>
        <w:t>8.1</w:t>
      </w:r>
      <w:r w:rsidR="00914CF8" w:rsidRPr="00EC0229">
        <w:rPr>
          <w:i/>
        </w:rPr>
        <w:t>5</w:t>
      </w:r>
      <w:r w:rsidRPr="00EC0229">
        <w:t>, again found by Pickles, is likely to be the only one reported of hundreds found at the site in recent years.</w:t>
      </w:r>
      <w:r w:rsidRPr="00EC0229">
        <w:rPr>
          <w:rStyle w:val="FootnoteReference"/>
        </w:rPr>
        <w:footnoteReference w:id="965"/>
      </w:r>
    </w:p>
    <w:p w14:paraId="4C388753" w14:textId="77777777" w:rsidR="00205FE6" w:rsidRPr="00EC0229" w:rsidRDefault="00205FE6" w:rsidP="007600EA">
      <w:pPr>
        <w:pStyle w:val="NoSpacing"/>
        <w:spacing w:line="360" w:lineRule="auto"/>
        <w:jc w:val="center"/>
      </w:pPr>
      <w:r w:rsidRPr="00EC0229">
        <w:rPr>
          <w:noProof/>
          <w:lang w:eastAsia="en-GB"/>
        </w:rPr>
        <w:lastRenderedPageBreak/>
        <w:drawing>
          <wp:inline distT="0" distB="0" distL="0" distR="0" wp14:anchorId="7F84FA1E" wp14:editId="2B7C475D">
            <wp:extent cx="676656" cy="691896"/>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lton Percy F 1996_0097obv.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676656" cy="691896"/>
                    </a:xfrm>
                    <a:prstGeom prst="rect">
                      <a:avLst/>
                    </a:prstGeom>
                  </pic:spPr>
                </pic:pic>
              </a:graphicData>
            </a:graphic>
          </wp:inline>
        </w:drawing>
      </w:r>
      <w:r w:rsidRPr="00EC0229">
        <w:rPr>
          <w:noProof/>
          <w:lang w:eastAsia="en-GB"/>
        </w:rPr>
        <w:drawing>
          <wp:inline distT="0" distB="0" distL="0" distR="0" wp14:anchorId="59CA7501" wp14:editId="46F7865F">
            <wp:extent cx="691896" cy="6858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lton Percy F 1996_0097rev.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691896" cy="685800"/>
                    </a:xfrm>
                    <a:prstGeom prst="rect">
                      <a:avLst/>
                    </a:prstGeom>
                  </pic:spPr>
                </pic:pic>
              </a:graphicData>
            </a:graphic>
          </wp:inline>
        </w:drawing>
      </w:r>
    </w:p>
    <w:p w14:paraId="2FAC494E" w14:textId="52308D4D" w:rsidR="00205FE6" w:rsidRPr="00EC0229" w:rsidRDefault="00205FE6" w:rsidP="007600EA">
      <w:pPr>
        <w:spacing w:line="360" w:lineRule="auto"/>
        <w:jc w:val="center"/>
        <w:rPr>
          <w:sz w:val="20"/>
          <w:szCs w:val="20"/>
        </w:rPr>
      </w:pPr>
      <w:bookmarkStart w:id="609" w:name="_Ref430248474"/>
      <w:bookmarkStart w:id="610" w:name="_Toc468267061"/>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89</w:t>
      </w:r>
      <w:r w:rsidR="00B609E3" w:rsidRPr="00EC0229">
        <w:rPr>
          <w:noProof/>
          <w:sz w:val="20"/>
          <w:szCs w:val="20"/>
        </w:rPr>
        <w:fldChar w:fldCharType="end"/>
      </w:r>
      <w:bookmarkEnd w:id="609"/>
      <w:r w:rsidRPr="00EC0229">
        <w:rPr>
          <w:sz w:val="20"/>
          <w:szCs w:val="20"/>
        </w:rPr>
        <w:t>: Bolton</w:t>
      </w:r>
      <w:r w:rsidRPr="00EC0229">
        <w:rPr>
          <w:sz w:val="20"/>
          <w:szCs w:val="20"/>
        </w:rPr>
        <w:fldChar w:fldCharType="begin"/>
      </w:r>
      <w:r w:rsidRPr="00EC0229">
        <w:rPr>
          <w:sz w:val="20"/>
          <w:szCs w:val="20"/>
        </w:rPr>
        <w:instrText xml:space="preserve"> XE "</w:instrText>
      </w:r>
      <w:r w:rsidRPr="00EC0229">
        <w:rPr>
          <w:rStyle w:val="Hyperlink"/>
          <w:rFonts w:eastAsia="Times New Roman"/>
          <w:noProof/>
          <w:sz w:val="20"/>
          <w:szCs w:val="20"/>
          <w:u w:val="none"/>
          <w:lang w:eastAsia="en-GB"/>
        </w:rPr>
        <w:instrText>Bolton</w:instrText>
      </w:r>
      <w:r w:rsidRPr="00EC0229">
        <w:rPr>
          <w:sz w:val="20"/>
          <w:szCs w:val="20"/>
        </w:rPr>
        <w:instrText xml:space="preserve">" </w:instrText>
      </w:r>
      <w:r w:rsidRPr="00EC0229">
        <w:rPr>
          <w:sz w:val="20"/>
          <w:szCs w:val="20"/>
        </w:rPr>
        <w:fldChar w:fldCharType="end"/>
      </w:r>
      <w:r w:rsidRPr="00EC0229">
        <w:rPr>
          <w:sz w:val="20"/>
          <w:szCs w:val="20"/>
        </w:rPr>
        <w:t xml:space="preserve"> Percy</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Bolton Percy</w:instrText>
      </w:r>
      <w:r w:rsidRPr="00EC0229">
        <w:rPr>
          <w:sz w:val="20"/>
          <w:szCs w:val="20"/>
        </w:rPr>
        <w:instrText xml:space="preserve">" </w:instrText>
      </w:r>
      <w:r w:rsidRPr="00EC0229">
        <w:rPr>
          <w:sz w:val="20"/>
          <w:szCs w:val="20"/>
        </w:rPr>
        <w:fldChar w:fldCharType="end"/>
      </w:r>
      <w:r w:rsidRPr="00EC0229">
        <w:rPr>
          <w:sz w:val="20"/>
          <w:szCs w:val="20"/>
        </w:rPr>
        <w:t>: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F</w:t>
      </w:r>
      <w:bookmarkEnd w:id="610"/>
    </w:p>
    <w:p w14:paraId="5FEE6419" w14:textId="0E238A3F" w:rsidR="005F66F0" w:rsidRPr="00EC0229" w:rsidRDefault="00EE0389" w:rsidP="007600EA">
      <w:pPr>
        <w:pStyle w:val="NoSpacing"/>
        <w:spacing w:line="360" w:lineRule="auto"/>
      </w:pPr>
      <w:r w:rsidRPr="00EC0229">
        <w:t xml:space="preserve">The presence of </w:t>
      </w:r>
      <w:r w:rsidR="005F66F0" w:rsidRPr="00EC0229">
        <w:t>substantial hoards</w:t>
      </w:r>
      <w:r w:rsidRPr="00EC0229">
        <w:t>,</w:t>
      </w:r>
      <w:r w:rsidRPr="00EC0229">
        <w:rPr>
          <w:rStyle w:val="FootnoteReference"/>
        </w:rPr>
        <w:footnoteReference w:id="966"/>
      </w:r>
      <w:r w:rsidRPr="00EC0229">
        <w:t xml:space="preserve"> </w:t>
      </w:r>
      <w:r w:rsidR="005F66F0" w:rsidRPr="00EC0229">
        <w:t>at Bolton</w:t>
      </w:r>
      <w:r w:rsidR="006B1593" w:rsidRPr="00EC0229">
        <w:fldChar w:fldCharType="begin"/>
      </w:r>
      <w:r w:rsidR="006B1593" w:rsidRPr="00EC0229">
        <w:instrText xml:space="preserve"> XE "</w:instrText>
      </w:r>
      <w:r w:rsidR="006B1593" w:rsidRPr="00EC0229">
        <w:rPr>
          <w:rStyle w:val="Hyperlink"/>
          <w:rFonts w:eastAsia="Times New Roman"/>
          <w:noProof/>
          <w:u w:val="none"/>
          <w:lang w:eastAsia="en-GB"/>
        </w:rPr>
        <w:instrText>Bolton</w:instrText>
      </w:r>
      <w:r w:rsidR="006B1593" w:rsidRPr="00EC0229">
        <w:instrText xml:space="preserve">" </w:instrText>
      </w:r>
      <w:r w:rsidR="006B1593" w:rsidRPr="00EC0229">
        <w:fldChar w:fldCharType="end"/>
      </w:r>
      <w:r w:rsidR="005F66F0" w:rsidRPr="00EC0229">
        <w:t xml:space="preserve"> Percy</w:t>
      </w:r>
      <w:r w:rsidR="006B1593" w:rsidRPr="00EC0229">
        <w:fldChar w:fldCharType="begin"/>
      </w:r>
      <w:r w:rsidR="006B1593" w:rsidRPr="00EC0229">
        <w:instrText xml:space="preserve"> XE "</w:instrText>
      </w:r>
      <w:r w:rsidR="006B1593" w:rsidRPr="00EC0229">
        <w:rPr>
          <w:rStyle w:val="Hyperlink"/>
          <w:noProof/>
          <w:u w:val="none"/>
        </w:rPr>
        <w:instrText>Bolton Percy</w:instrText>
      </w:r>
      <w:r w:rsidR="006B1593" w:rsidRPr="00EC0229">
        <w:instrText xml:space="preserve">" </w:instrText>
      </w:r>
      <w:r w:rsidR="006B1593" w:rsidRPr="00EC0229">
        <w:fldChar w:fldCharType="end"/>
      </w:r>
      <w:r w:rsidR="005F66F0" w:rsidRPr="00EC0229">
        <w:t xml:space="preserve"> show that there was no commercial separation of Elmet during </w:t>
      </w:r>
      <w:r w:rsidR="003F2041" w:rsidRPr="00EC0229">
        <w:t>monetiz</w:t>
      </w:r>
      <w:r w:rsidR="005F66F0" w:rsidRPr="00EC0229">
        <w:t>ation</w:t>
      </w:r>
      <w:r w:rsidR="008960AE" w:rsidRPr="00EC0229">
        <w:fldChar w:fldCharType="begin"/>
      </w:r>
      <w:r w:rsidR="008960AE" w:rsidRPr="00EC0229">
        <w:instrText xml:space="preserve"> XE "monetization" </w:instrText>
      </w:r>
      <w:r w:rsidR="008960AE" w:rsidRPr="00EC0229">
        <w:fldChar w:fldCharType="end"/>
      </w:r>
      <w:r w:rsidR="005F66F0" w:rsidRPr="00EC0229">
        <w:t>, and this polity may have been subsumed into greater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005F66F0" w:rsidRPr="00EC0229">
        <w:t>.</w:t>
      </w:r>
    </w:p>
    <w:p w14:paraId="5782F610" w14:textId="77777777" w:rsidR="005F66F0" w:rsidRPr="00EC0229" w:rsidRDefault="005F66F0" w:rsidP="007600EA">
      <w:pPr>
        <w:pStyle w:val="NoSpacing"/>
        <w:spacing w:line="360" w:lineRule="auto"/>
      </w:pPr>
    </w:p>
    <w:p w14:paraId="45E521D6" w14:textId="243771A4" w:rsidR="003738BC" w:rsidRPr="00EC0229" w:rsidRDefault="003738BC" w:rsidP="00F91183">
      <w:pPr>
        <w:pStyle w:val="Heading3"/>
        <w:spacing w:line="360" w:lineRule="auto"/>
        <w:ind w:firstLine="720"/>
      </w:pPr>
      <w:bookmarkStart w:id="611" w:name="_Toc468266870"/>
      <w:bookmarkStart w:id="612" w:name="Middleham"/>
      <w:r w:rsidRPr="00EC0229">
        <w:t>Middleham</w:t>
      </w:r>
      <w:bookmarkEnd w:id="611"/>
      <w:r w:rsidRPr="00EC0229">
        <w:fldChar w:fldCharType="begin"/>
      </w:r>
      <w:r w:rsidRPr="00EC0229">
        <w:instrText xml:space="preserve"> XE "</w:instrText>
      </w:r>
      <w:r w:rsidRPr="00EC0229">
        <w:rPr>
          <w:rStyle w:val="Hyperlink"/>
          <w:noProof/>
          <w:u w:val="none"/>
        </w:rPr>
        <w:instrText>Middleham</w:instrText>
      </w:r>
      <w:r w:rsidRPr="00EC0229">
        <w:instrText xml:space="preserve">" </w:instrText>
      </w:r>
      <w:r w:rsidRPr="00EC0229">
        <w:fldChar w:fldCharType="end"/>
      </w:r>
    </w:p>
    <w:bookmarkEnd w:id="612"/>
    <w:p w14:paraId="024FFB2B" w14:textId="0AD4ADA6" w:rsidR="003738BC" w:rsidRPr="00EC0229" w:rsidRDefault="003738BC" w:rsidP="007600EA">
      <w:pPr>
        <w:pStyle w:val="NoSpacing"/>
        <w:spacing w:line="360" w:lineRule="auto"/>
        <w:rPr>
          <w:lang w:eastAsia="en-GB"/>
        </w:rPr>
      </w:pPr>
      <w:r w:rsidRPr="00EC0229">
        <w:rPr>
          <w:szCs w:val="24"/>
        </w:rPr>
        <w:t>Middleham</w:t>
      </w:r>
      <w:r w:rsidRPr="00EC0229">
        <w:rPr>
          <w:szCs w:val="24"/>
        </w:rPr>
        <w:fldChar w:fldCharType="begin"/>
      </w:r>
      <w:r w:rsidRPr="00EC0229">
        <w:instrText xml:space="preserve"> XE "</w:instrText>
      </w:r>
      <w:r w:rsidRPr="00EC0229">
        <w:rPr>
          <w:rStyle w:val="Hyperlink"/>
          <w:noProof/>
          <w:u w:val="none"/>
        </w:rPr>
        <w:instrText>Middleham</w:instrText>
      </w:r>
      <w:r w:rsidRPr="00EC0229">
        <w:instrText xml:space="preserve">" </w:instrText>
      </w:r>
      <w:r w:rsidRPr="00EC0229">
        <w:rPr>
          <w:szCs w:val="24"/>
        </w:rPr>
        <w:fldChar w:fldCharType="end"/>
      </w:r>
      <w:r w:rsidRPr="00EC0229">
        <w:rPr>
          <w:szCs w:val="24"/>
        </w:rPr>
        <w:t>, on the River Ure in Wensleydale, rises into the Dales two miles south of Leyburn.  In 2011, a high-status furnished burial was revealed by metal detection,</w:t>
      </w:r>
      <w:r w:rsidRPr="00EC0229">
        <w:rPr>
          <w:rStyle w:val="FootnoteReference"/>
          <w:szCs w:val="24"/>
        </w:rPr>
        <w:footnoteReference w:id="967"/>
      </w:r>
      <w:r w:rsidRPr="00EC0229">
        <w:rPr>
          <w:szCs w:val="24"/>
        </w:rPr>
        <w:t xml:space="preserve"> with finds scattered over a relatively confined area. Together with a gold</w:t>
      </w:r>
      <w:r w:rsidRPr="00EC0229">
        <w:rPr>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szCs w:val="24"/>
        </w:rPr>
        <w:fldChar w:fldCharType="end"/>
      </w:r>
      <w:r w:rsidRPr="00EC0229">
        <w:rPr>
          <w:szCs w:val="24"/>
        </w:rPr>
        <w:t xml:space="preserve"> shilling of York</w:t>
      </w:r>
      <w:r w:rsidRPr="00EC0229">
        <w:rPr>
          <w:szCs w:val="24"/>
        </w:rPr>
        <w:fldChar w:fldCharType="begin"/>
      </w:r>
      <w:r w:rsidRPr="00EC0229">
        <w:instrText xml:space="preserve"> XE "</w:instrText>
      </w:r>
      <w:r w:rsidRPr="00EC0229">
        <w:rPr>
          <w:rStyle w:val="Hyperlink"/>
          <w:noProof/>
          <w:u w:val="none"/>
        </w:rPr>
        <w:instrText>gold shilling of York</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REF _Ref430248224 \h  \* MERGEFORMAT </w:instrText>
      </w:r>
      <w:r w:rsidRPr="00EC0229">
        <w:rPr>
          <w:szCs w:val="24"/>
        </w:rPr>
      </w:r>
      <w:r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90</w:t>
      </w:r>
      <w:r w:rsidRPr="00EC0229">
        <w:rPr>
          <w:szCs w:val="24"/>
        </w:rPr>
        <w:fldChar w:fldCharType="end"/>
      </w:r>
      <w:r w:rsidRPr="00EC0229">
        <w:rPr>
          <w:szCs w:val="24"/>
        </w:rPr>
        <w:t>), [3b], there are the accoutrements of a warrior including a decorated s</w:t>
      </w:r>
      <w:r w:rsidRPr="00EC0229">
        <w:rPr>
          <w:lang w:eastAsia="en-GB"/>
        </w:rPr>
        <w:t xml:space="preserve">word pommel, sword </w:t>
      </w:r>
      <w:r w:rsidRPr="00EC0229">
        <w:rPr>
          <w:szCs w:val="24"/>
          <w:lang w:eastAsia="en-GB"/>
        </w:rPr>
        <w:t>(</w:t>
      </w:r>
      <w:r w:rsidRPr="00EC0229">
        <w:rPr>
          <w:szCs w:val="24"/>
          <w:lang w:eastAsia="en-GB"/>
        </w:rPr>
        <w:fldChar w:fldCharType="begin"/>
      </w:r>
      <w:r w:rsidRPr="00EC0229">
        <w:rPr>
          <w:szCs w:val="24"/>
          <w:lang w:eastAsia="en-GB"/>
        </w:rPr>
        <w:instrText xml:space="preserve"> REF _Ref430248252 \h  \* MERGEFORMAT </w:instrText>
      </w:r>
      <w:r w:rsidRPr="00EC0229">
        <w:rPr>
          <w:szCs w:val="24"/>
          <w:lang w:eastAsia="en-GB"/>
        </w:rPr>
      </w:r>
      <w:r w:rsidRPr="00EC0229">
        <w:rPr>
          <w:szCs w:val="24"/>
          <w:lang w:eastAsia="en-GB"/>
        </w:rPr>
        <w:fldChar w:fldCharType="separate"/>
      </w:r>
      <w:r w:rsidR="0012026B" w:rsidRPr="0012026B">
        <w:rPr>
          <w:i/>
          <w:szCs w:val="24"/>
        </w:rPr>
        <w:t>Figure</w:t>
      </w:r>
      <w:r w:rsidR="0012026B" w:rsidRPr="0012026B">
        <w:rPr>
          <w:szCs w:val="24"/>
        </w:rPr>
        <w:t xml:space="preserve"> </w:t>
      </w:r>
      <w:r w:rsidR="0012026B" w:rsidRPr="0012026B">
        <w:rPr>
          <w:noProof/>
          <w:szCs w:val="24"/>
        </w:rPr>
        <w:t>91</w:t>
      </w:r>
      <w:r w:rsidRPr="00EC0229">
        <w:rPr>
          <w:szCs w:val="24"/>
          <w:lang w:eastAsia="en-GB"/>
        </w:rPr>
        <w:fldChar w:fldCharType="end"/>
      </w:r>
      <w:r w:rsidRPr="00EC0229">
        <w:rPr>
          <w:lang w:eastAsia="en-GB"/>
        </w:rPr>
        <w:t xml:space="preserve">), spearhead, knife, and remnants of a hanging bowl. There are </w:t>
      </w:r>
      <w:r w:rsidR="00BF6095">
        <w:rPr>
          <w:lang w:eastAsia="en-GB"/>
        </w:rPr>
        <w:t>several</w:t>
      </w:r>
      <w:r w:rsidRPr="00EC0229">
        <w:rPr>
          <w:lang w:eastAsia="en-GB"/>
        </w:rPr>
        <w:t xml:space="preserve"> contemporary, comparable weapon-burials.</w:t>
      </w:r>
    </w:p>
    <w:p w14:paraId="51634DBA" w14:textId="77777777" w:rsidR="003738BC" w:rsidRPr="00EC0229" w:rsidRDefault="003738BC" w:rsidP="007600EA">
      <w:pPr>
        <w:spacing w:after="0" w:line="360" w:lineRule="auto"/>
        <w:jc w:val="center"/>
        <w:rPr>
          <w:rFonts w:cs="Times New Roman"/>
          <w:szCs w:val="24"/>
        </w:rPr>
      </w:pPr>
      <w:r w:rsidRPr="00EC0229">
        <w:rPr>
          <w:rFonts w:cs="Times New Roman"/>
          <w:noProof/>
          <w:szCs w:val="24"/>
          <w:lang w:eastAsia="en-GB"/>
        </w:rPr>
        <w:drawing>
          <wp:inline distT="0" distB="0" distL="0" distR="0" wp14:anchorId="14A1236E" wp14:editId="04D8E7CA">
            <wp:extent cx="846138" cy="85915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1_0105obv.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863820" cy="877109"/>
                    </a:xfrm>
                    <a:prstGeom prst="rect">
                      <a:avLst/>
                    </a:prstGeom>
                  </pic:spPr>
                </pic:pic>
              </a:graphicData>
            </a:graphic>
          </wp:inline>
        </w:drawing>
      </w:r>
      <w:r w:rsidRPr="00EC0229">
        <w:rPr>
          <w:rFonts w:cs="Times New Roman"/>
          <w:noProof/>
          <w:szCs w:val="24"/>
          <w:lang w:eastAsia="en-GB"/>
        </w:rPr>
        <w:drawing>
          <wp:inline distT="0" distB="0" distL="0" distR="0" wp14:anchorId="1040E609" wp14:editId="24C59CD8">
            <wp:extent cx="906780" cy="860890"/>
            <wp:effectExtent l="0" t="0" r="762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4 find - Middleham - 2014R.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921007" cy="874397"/>
                    </a:xfrm>
                    <a:prstGeom prst="rect">
                      <a:avLst/>
                    </a:prstGeom>
                  </pic:spPr>
                </pic:pic>
              </a:graphicData>
            </a:graphic>
          </wp:inline>
        </w:drawing>
      </w:r>
      <w:r w:rsidRPr="00EC0229">
        <w:rPr>
          <w:rFonts w:cs="Times New Roman"/>
          <w:szCs w:val="24"/>
        </w:rPr>
        <w:tab/>
      </w:r>
      <w:r w:rsidRPr="00EC0229">
        <w:rPr>
          <w:rFonts w:cs="Times New Roman"/>
          <w:szCs w:val="24"/>
        </w:rPr>
        <w:tab/>
      </w:r>
      <w:r w:rsidRPr="00EC0229">
        <w:rPr>
          <w:noProof/>
          <w:szCs w:val="24"/>
          <w:lang w:eastAsia="en-GB"/>
        </w:rPr>
        <w:drawing>
          <wp:inline distT="0" distB="0" distL="0" distR="0" wp14:anchorId="4C1EDF70" wp14:editId="576EA4C7">
            <wp:extent cx="2319641" cy="449580"/>
            <wp:effectExtent l="0" t="0" r="508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ddleham BM-7C4457 2011T300 pommel v2.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345129" cy="454520"/>
                    </a:xfrm>
                    <a:prstGeom prst="rect">
                      <a:avLst/>
                    </a:prstGeom>
                  </pic:spPr>
                </pic:pic>
              </a:graphicData>
            </a:graphic>
          </wp:inline>
        </w:drawing>
      </w:r>
    </w:p>
    <w:p w14:paraId="69A9BFBF" w14:textId="1579E7AF" w:rsidR="003738BC" w:rsidRPr="00EC0229" w:rsidRDefault="003738BC" w:rsidP="007600EA">
      <w:pPr>
        <w:pStyle w:val="NoSpacing"/>
        <w:spacing w:line="360" w:lineRule="auto"/>
        <w:rPr>
          <w:sz w:val="20"/>
          <w:szCs w:val="20"/>
        </w:rPr>
      </w:pPr>
      <w:bookmarkStart w:id="613" w:name="_Ref430248224"/>
      <w:bookmarkStart w:id="614" w:name="_Toc46826706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90</w:t>
      </w:r>
      <w:r w:rsidRPr="00EC0229">
        <w:rPr>
          <w:sz w:val="20"/>
          <w:szCs w:val="20"/>
        </w:rPr>
        <w:fldChar w:fldCharType="end"/>
      </w:r>
      <w:bookmarkEnd w:id="613"/>
      <w:r w:rsidRPr="00EC0229">
        <w:rPr>
          <w:sz w:val="20"/>
          <w:szCs w:val="20"/>
        </w:rPr>
        <w:t>: Middleham</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Middleham</w:instrText>
      </w:r>
      <w:r w:rsidRPr="00EC0229">
        <w:rPr>
          <w:sz w:val="20"/>
          <w:szCs w:val="20"/>
        </w:rPr>
        <w:instrText xml:space="preserve">" </w:instrText>
      </w:r>
      <w:r w:rsidRPr="00EC0229">
        <w:rPr>
          <w:sz w:val="20"/>
          <w:szCs w:val="20"/>
        </w:rPr>
        <w:fldChar w:fldCharType="end"/>
      </w:r>
      <w:r w:rsidR="00941A45">
        <w:rPr>
          <w:sz w:val="20"/>
          <w:szCs w:val="20"/>
        </w:rPr>
        <w:t xml:space="preserve">: </w:t>
      </w:r>
      <w:r w:rsidRPr="00EC0229">
        <w:rPr>
          <w:sz w:val="20"/>
          <w:szCs w:val="20"/>
        </w:rPr>
        <w:t>York</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York</w:instrText>
      </w:r>
      <w:r w:rsidRPr="00EC0229">
        <w:rPr>
          <w:sz w:val="20"/>
          <w:szCs w:val="20"/>
        </w:rPr>
        <w:instrText xml:space="preserve">" </w:instrText>
      </w:r>
      <w:r w:rsidRPr="00EC0229">
        <w:rPr>
          <w:sz w:val="20"/>
          <w:szCs w:val="20"/>
        </w:rPr>
        <w:fldChar w:fldCharType="end"/>
      </w:r>
      <w:r w:rsidRPr="00EC0229">
        <w:rPr>
          <w:sz w:val="20"/>
          <w:szCs w:val="20"/>
        </w:rPr>
        <w:t xml:space="preserve"> gold</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shilling</w:t>
      </w:r>
      <w:bookmarkEnd w:id="614"/>
    </w:p>
    <w:p w14:paraId="302DF7CD" w14:textId="678903D3" w:rsidR="003738BC" w:rsidRPr="00EC0229" w:rsidRDefault="003738BC" w:rsidP="007600EA">
      <w:pPr>
        <w:pStyle w:val="NoSpacing"/>
        <w:spacing w:line="360" w:lineRule="auto"/>
        <w:jc w:val="right"/>
        <w:rPr>
          <w:sz w:val="20"/>
          <w:szCs w:val="20"/>
          <w:lang w:eastAsia="en-GB"/>
        </w:rPr>
      </w:pPr>
      <w:bookmarkStart w:id="615" w:name="_Ref430248252"/>
      <w:bookmarkStart w:id="616" w:name="_Toc46826706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91</w:t>
      </w:r>
      <w:r w:rsidRPr="00EC0229">
        <w:rPr>
          <w:sz w:val="20"/>
          <w:szCs w:val="20"/>
        </w:rPr>
        <w:fldChar w:fldCharType="end"/>
      </w:r>
      <w:bookmarkEnd w:id="615"/>
      <w:r w:rsidR="00941A45">
        <w:rPr>
          <w:sz w:val="20"/>
          <w:szCs w:val="20"/>
        </w:rPr>
        <w:t>: S</w:t>
      </w:r>
      <w:r w:rsidRPr="00EC0229">
        <w:rPr>
          <w:sz w:val="20"/>
          <w:szCs w:val="20"/>
          <w:lang w:eastAsia="en-GB"/>
        </w:rPr>
        <w:t>word pommel with filigree and rope-twist</w:t>
      </w:r>
      <w:bookmarkEnd w:id="616"/>
    </w:p>
    <w:p w14:paraId="6E883F26" w14:textId="77777777" w:rsidR="003738BC" w:rsidRPr="00EC0229" w:rsidRDefault="003738BC" w:rsidP="007600EA">
      <w:pPr>
        <w:pStyle w:val="NoSpacing"/>
        <w:spacing w:line="360" w:lineRule="auto"/>
      </w:pPr>
    </w:p>
    <w:p w14:paraId="7BEB802C" w14:textId="77777777" w:rsidR="003738BC" w:rsidRPr="00EC0229" w:rsidRDefault="003738BC" w:rsidP="007600EA">
      <w:pPr>
        <w:pStyle w:val="NoSpacing"/>
        <w:spacing w:line="360" w:lineRule="auto"/>
        <w:rPr>
          <w:lang w:eastAsia="en-GB"/>
        </w:rPr>
      </w:pPr>
      <w:r w:rsidRPr="00EC0229">
        <w:rPr>
          <w:lang w:eastAsia="en-GB"/>
        </w:rPr>
        <w:t xml:space="preserve">While this may be the remains of a powerful individual there is insufficient evidence to class this strategic site as a </w:t>
      </w:r>
      <w:r w:rsidRPr="00EC0229">
        <w:rPr>
          <w:i/>
          <w:lang w:eastAsia="en-GB"/>
        </w:rPr>
        <w:t>vicus regius.</w:t>
      </w:r>
      <w:r w:rsidRPr="00EC0229">
        <w:rPr>
          <w:rStyle w:val="FootnoteReference"/>
          <w:lang w:eastAsia="en-GB"/>
        </w:rPr>
        <w:footnoteReference w:id="968"/>
      </w:r>
      <w:r w:rsidRPr="00EC0229">
        <w:rPr>
          <w:lang w:eastAsia="en-GB"/>
        </w:rPr>
        <w:t xml:space="preserve"> It does demonstrate that Middleham</w:t>
      </w:r>
      <w:r w:rsidRPr="00EC0229">
        <w:rPr>
          <w:lang w:eastAsia="en-GB"/>
        </w:rPr>
        <w:fldChar w:fldCharType="begin"/>
      </w:r>
      <w:r w:rsidRPr="00EC0229">
        <w:instrText xml:space="preserve"> XE "</w:instrText>
      </w:r>
      <w:r w:rsidRPr="00EC0229">
        <w:rPr>
          <w:rStyle w:val="Hyperlink"/>
          <w:noProof/>
          <w:u w:val="none"/>
        </w:rPr>
        <w:instrText>Middleham</w:instrText>
      </w:r>
      <w:r w:rsidRPr="00EC0229">
        <w:instrText xml:space="preserve">" </w:instrText>
      </w:r>
      <w:r w:rsidRPr="00EC0229">
        <w:rPr>
          <w:lang w:eastAsia="en-GB"/>
        </w:rPr>
        <w:fldChar w:fldCharType="end"/>
      </w:r>
      <w:r w:rsidRPr="00EC0229">
        <w:rPr>
          <w:lang w:eastAsia="en-GB"/>
        </w:rPr>
        <w:t xml:space="preserve"> lay on an important route from York</w:t>
      </w:r>
      <w:r w:rsidRPr="00EC0229">
        <w:rPr>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lang w:eastAsia="en-GB"/>
        </w:rPr>
        <w:fldChar w:fldCharType="end"/>
      </w:r>
      <w:r w:rsidRPr="00EC0229">
        <w:rPr>
          <w:lang w:eastAsia="en-GB"/>
        </w:rPr>
        <w:t xml:space="preserve"> to the North-West.</w:t>
      </w:r>
    </w:p>
    <w:p w14:paraId="0E7CBC03" w14:textId="77777777" w:rsidR="003738BC" w:rsidRPr="00EC0229" w:rsidRDefault="003738BC" w:rsidP="007600EA">
      <w:pPr>
        <w:pStyle w:val="NoSpacing"/>
        <w:spacing w:line="360" w:lineRule="auto"/>
      </w:pPr>
    </w:p>
    <w:p w14:paraId="4BCCEEFE" w14:textId="297AA9E6" w:rsidR="004F5EA7" w:rsidRPr="00EC0229" w:rsidRDefault="00C97BF2" w:rsidP="007600EA">
      <w:pPr>
        <w:pStyle w:val="Heading3"/>
        <w:spacing w:line="360" w:lineRule="auto"/>
      </w:pPr>
      <w:bookmarkStart w:id="617" w:name="_Toc468266871"/>
      <w:r>
        <w:t>8.2.2.2.</w:t>
      </w:r>
      <w:r>
        <w:tab/>
      </w:r>
      <w:r w:rsidR="004F5EA7" w:rsidRPr="00EC0229">
        <w:t>Comparison to Normal Distribution</w:t>
      </w:r>
      <w:bookmarkEnd w:id="617"/>
    </w:p>
    <w:p w14:paraId="34F32006" w14:textId="7F0557BA" w:rsidR="004F5EA7" w:rsidRPr="00EC0229" w:rsidRDefault="003A43BF" w:rsidP="007600EA">
      <w:pPr>
        <w:spacing w:line="360" w:lineRule="auto"/>
        <w:rPr>
          <w:rStyle w:val="NoSpacingChar"/>
        </w:rPr>
      </w:pPr>
      <w:r w:rsidRPr="00EC0229">
        <w:t xml:space="preserve">The </w:t>
      </w:r>
      <w:r w:rsidR="004F5EA7" w:rsidRPr="00EC0229">
        <w:t>correlation</w:t>
      </w:r>
      <w:r w:rsidRPr="00EC0229">
        <w:t xml:space="preserve"> to norm,</w:t>
      </w:r>
      <w:r w:rsidR="00B15422" w:rsidRPr="00EC0229">
        <w:t xml:space="preserve"> </w:t>
      </w:r>
      <w:r w:rsidR="00B15422" w:rsidRPr="00EC0229">
        <w:rPr>
          <w:i/>
        </w:rPr>
        <w:t>T</w:t>
      </w:r>
      <w:r w:rsidR="007D27F9" w:rsidRPr="00EC0229">
        <w:rPr>
          <w:i/>
        </w:rPr>
        <w:t>able 5.01</w:t>
      </w:r>
      <w:r w:rsidR="00B15422" w:rsidRPr="00EC0229">
        <w:t xml:space="preserve">, </w:t>
      </w:r>
      <w:r w:rsidRPr="00EC0229">
        <w:t xml:space="preserve">based on </w:t>
      </w:r>
      <w:r w:rsidR="00FD75D2" w:rsidRPr="00EC0229">
        <w:t xml:space="preserve">the more detailed </w:t>
      </w:r>
      <w:r w:rsidRPr="00EC0229">
        <w:rPr>
          <w:i/>
        </w:rPr>
        <w:t xml:space="preserve">Table </w:t>
      </w:r>
      <w:r w:rsidR="00B15422" w:rsidRPr="00EC0229">
        <w:rPr>
          <w:i/>
        </w:rPr>
        <w:t>8.1</w:t>
      </w:r>
      <w:r w:rsidR="00914CF8" w:rsidRPr="00EC0229">
        <w:rPr>
          <w:i/>
        </w:rPr>
        <w:t>5</w:t>
      </w:r>
      <w:r w:rsidRPr="00EC0229">
        <w:t xml:space="preserve">, is high. </w:t>
      </w:r>
      <w:r w:rsidR="00867DB1" w:rsidRPr="00EC0229">
        <w:t xml:space="preserve"> </w:t>
      </w:r>
      <w:r w:rsidRPr="00EC0229">
        <w:t xml:space="preserve">Given the thin but wide spread veneer of single finds across the substantial area of 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 xml:space="preserve">, this is not surprising. </w:t>
      </w:r>
      <w:r w:rsidR="00867DB1" w:rsidRPr="00EC0229">
        <w:t xml:space="preserve">For </w:t>
      </w:r>
      <w:r w:rsidRPr="00EC0229">
        <w:t xml:space="preserve">the more significant </w:t>
      </w:r>
      <w:r w:rsidR="00867DB1" w:rsidRPr="00EC0229">
        <w:t xml:space="preserve">individual sites, Ryther, with three primary </w:t>
      </w:r>
      <w:r w:rsidR="00867DB1" w:rsidRPr="00EC0229">
        <w:lastRenderedPageBreak/>
        <w:t xml:space="preserve">sceats, [4b&amp;c], and mainly Period N10 stycas, shows a poor correlation of 70% </w:t>
      </w:r>
      <w:r w:rsidR="00867DB1" w:rsidRPr="00EC0229">
        <w:rPr>
          <w:rStyle w:val="NoSpacingChar"/>
        </w:rPr>
        <w:t xml:space="preserve">and Ripon, with a </w:t>
      </w:r>
      <w:r w:rsidR="00EF01E4" w:rsidRPr="00EC0229">
        <w:rPr>
          <w:rStyle w:val="NoSpacingChar"/>
        </w:rPr>
        <w:t xml:space="preserve">narrow </w:t>
      </w:r>
      <w:r w:rsidR="00867DB1" w:rsidRPr="00EC0229">
        <w:rPr>
          <w:rStyle w:val="NoSpacingChar"/>
        </w:rPr>
        <w:t>spread [5b to N10c],</w:t>
      </w:r>
      <w:r w:rsidR="00EF01E4" w:rsidRPr="00EC0229">
        <w:rPr>
          <w:rStyle w:val="NoSpacingChar"/>
        </w:rPr>
        <w:t xml:space="preserve"> no correlation at all, which perhaps shows that intense activity may no</w:t>
      </w:r>
      <w:r w:rsidR="00FD75D2" w:rsidRPr="00EC0229">
        <w:rPr>
          <w:rStyle w:val="NoSpacingChar"/>
        </w:rPr>
        <w:t>t</w:t>
      </w:r>
      <w:r w:rsidR="00EF01E4" w:rsidRPr="00EC0229">
        <w:rPr>
          <w:rStyle w:val="NoSpacingChar"/>
        </w:rPr>
        <w:t xml:space="preserve"> reflect broader patterns.</w:t>
      </w:r>
      <w:r w:rsidR="00DE1C04" w:rsidRPr="00EC0229">
        <w:rPr>
          <w:rStyle w:val="NoSpacingChar"/>
        </w:rPr>
        <w:t xml:space="preserve"> Further analyses are detailed below.</w:t>
      </w:r>
    </w:p>
    <w:p w14:paraId="7E07EAD1" w14:textId="77777777" w:rsidR="00BA4B73" w:rsidRPr="00EC0229" w:rsidRDefault="00BA4B73" w:rsidP="007600EA">
      <w:pPr>
        <w:pStyle w:val="NoSpacing"/>
        <w:spacing w:line="360" w:lineRule="auto"/>
      </w:pPr>
    </w:p>
    <w:p w14:paraId="48BB6C8B" w14:textId="738CBC69" w:rsidR="009149D3" w:rsidRPr="00EC0229" w:rsidRDefault="00C97BF2" w:rsidP="007600EA">
      <w:pPr>
        <w:pStyle w:val="Heading3"/>
        <w:spacing w:line="360" w:lineRule="auto"/>
      </w:pPr>
      <w:bookmarkStart w:id="618" w:name="_Toc468266872"/>
      <w:r>
        <w:t>8.2.2.3.</w:t>
      </w:r>
      <w:r>
        <w:tab/>
      </w:r>
      <w:r w:rsidR="009149D3" w:rsidRPr="00EC0229">
        <w:t>Comparison to Roman Finds</w:t>
      </w:r>
      <w:bookmarkEnd w:id="618"/>
    </w:p>
    <w:p w14:paraId="68BCE452" w14:textId="0ECAA7B9" w:rsidR="00867DB1" w:rsidRPr="00EC0229" w:rsidRDefault="009149D3" w:rsidP="007600EA">
      <w:pPr>
        <w:pStyle w:val="NoSpacing"/>
        <w:spacing w:line="360" w:lineRule="auto"/>
      </w:pPr>
      <w:r w:rsidRPr="00EC0229">
        <w:t xml:space="preserve">The region accounts for over 25% of Roman coin finds and 36% of artefacts, </w:t>
      </w:r>
      <w:r w:rsidRPr="00EC0229">
        <w:rPr>
          <w:i/>
        </w:rPr>
        <w:t xml:space="preserve">Table </w:t>
      </w:r>
      <w:r w:rsidR="0078141C" w:rsidRPr="00EC0229">
        <w:rPr>
          <w:i/>
        </w:rPr>
        <w:t>7.02</w:t>
      </w:r>
      <w:r w:rsidRPr="00EC0229">
        <w:t>. For the Anglian period, the proportions are 15% and 11%, reinforcing the controlled nature of agriculture during the later period.</w:t>
      </w:r>
    </w:p>
    <w:p w14:paraId="26758368" w14:textId="77777777" w:rsidR="009149D3" w:rsidRPr="00EC0229" w:rsidRDefault="009149D3" w:rsidP="007600EA">
      <w:pPr>
        <w:pStyle w:val="NoSpacing"/>
        <w:spacing w:line="360" w:lineRule="auto"/>
      </w:pPr>
    </w:p>
    <w:p w14:paraId="093E170C" w14:textId="29F8C5DA" w:rsidR="005F66F0" w:rsidRPr="00EC0229" w:rsidRDefault="00C97BF2" w:rsidP="007600EA">
      <w:pPr>
        <w:pStyle w:val="Heading3"/>
        <w:spacing w:line="360" w:lineRule="auto"/>
      </w:pPr>
      <w:bookmarkStart w:id="619" w:name="_Toc468266873"/>
      <w:r>
        <w:t>8.2.2.4.</w:t>
      </w:r>
      <w:r>
        <w:tab/>
      </w:r>
      <w:r w:rsidR="005F66F0" w:rsidRPr="00EC0229">
        <w:t>The Artefactual</w:t>
      </w:r>
      <w:r w:rsidR="006B1593" w:rsidRPr="00EC0229">
        <w:fldChar w:fldCharType="begin"/>
      </w:r>
      <w:r w:rsidR="006B1593" w:rsidRPr="00EC0229">
        <w:instrText xml:space="preserve"> XE "</w:instrText>
      </w:r>
      <w:r w:rsidR="006B1593" w:rsidRPr="00EC0229">
        <w:rPr>
          <w:rStyle w:val="Hyperlink"/>
          <w:noProof/>
          <w:u w:val="none"/>
        </w:rPr>
        <w:instrText>Artefactual</w:instrText>
      </w:r>
      <w:r w:rsidR="006B1593" w:rsidRPr="00EC0229">
        <w:instrText xml:space="preserve">" </w:instrText>
      </w:r>
      <w:r w:rsidR="006B1593" w:rsidRPr="00EC0229">
        <w:fldChar w:fldCharType="end"/>
      </w:r>
      <w:r w:rsidR="005F66F0" w:rsidRPr="00EC0229">
        <w:t xml:space="preserve"> Data</w:t>
      </w:r>
      <w:r w:rsidR="00497AC3" w:rsidRPr="00EC0229">
        <w:t>set</w:t>
      </w:r>
      <w:bookmarkEnd w:id="619"/>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p>
    <w:p w14:paraId="5B36A651" w14:textId="5C17FB7B" w:rsidR="00E6352B" w:rsidRPr="00EC0229" w:rsidRDefault="00E6352B" w:rsidP="007600EA">
      <w:pPr>
        <w:pStyle w:val="NoSpacing"/>
        <w:spacing w:line="360" w:lineRule="auto"/>
        <w:rPr>
          <w:szCs w:val="24"/>
        </w:rPr>
      </w:pPr>
      <w:r w:rsidRPr="00EC0229">
        <w:rPr>
          <w:i/>
        </w:rPr>
        <w:t>Table</w:t>
      </w:r>
      <w:r w:rsidR="00584C42" w:rsidRPr="00EC0229">
        <w:rPr>
          <w:i/>
        </w:rPr>
        <w:fldChar w:fldCharType="begin"/>
      </w:r>
      <w:r w:rsidR="00584C42" w:rsidRPr="00EC0229">
        <w:instrText xml:space="preserve"> XE "</w:instrText>
      </w:r>
      <w:r w:rsidR="00584C42" w:rsidRPr="00EC0229">
        <w:rPr>
          <w:rStyle w:val="Hyperlink"/>
          <w:noProof/>
          <w:u w:val="none"/>
        </w:rPr>
        <w:instrText>Table</w:instrText>
      </w:r>
      <w:r w:rsidR="00584C42" w:rsidRPr="00EC0229">
        <w:instrText xml:space="preserve">" </w:instrText>
      </w:r>
      <w:r w:rsidR="00584C42" w:rsidRPr="00EC0229">
        <w:rPr>
          <w:i/>
        </w:rPr>
        <w:fldChar w:fldCharType="end"/>
      </w:r>
      <w:r w:rsidR="00B15422" w:rsidRPr="00EC0229">
        <w:rPr>
          <w:i/>
        </w:rPr>
        <w:t xml:space="preserve"> 8.0</w:t>
      </w:r>
      <w:r w:rsidR="00914CF8" w:rsidRPr="00EC0229">
        <w:rPr>
          <w:i/>
        </w:rPr>
        <w:t>9</w:t>
      </w:r>
      <w:r w:rsidRPr="00EC0229">
        <w:rPr>
          <w:i/>
        </w:rPr>
        <w:t xml:space="preserve"> </w:t>
      </w:r>
      <w:r w:rsidRPr="00EC0229">
        <w:t xml:space="preserve">summarizes finds for the region. </w:t>
      </w:r>
      <w:r w:rsidRPr="00EC0229">
        <w:rPr>
          <w:szCs w:val="24"/>
        </w:rPr>
        <w:t>The ratio of coined to ar</w:t>
      </w:r>
      <w:r w:rsidR="00320D79" w:rsidRPr="00EC0229">
        <w:rPr>
          <w:szCs w:val="24"/>
        </w:rPr>
        <w:t xml:space="preserve">tefactual sites for the </w:t>
      </w:r>
      <w:r w:rsidR="00C7553E" w:rsidRPr="00EC0229">
        <w:rPr>
          <w:szCs w:val="24"/>
        </w:rPr>
        <w:t>Central Lowlands</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is a rather low 39% and needs to be view</w:t>
      </w:r>
      <w:r w:rsidR="00B90395" w:rsidRPr="00EC0229">
        <w:rPr>
          <w:szCs w:val="24"/>
        </w:rPr>
        <w:t>ed</w:t>
      </w:r>
      <w:r w:rsidRPr="00EC0229">
        <w:rPr>
          <w:szCs w:val="24"/>
        </w:rPr>
        <w:t xml:space="preserve"> in the context of the sheer number of locations involved, </w:t>
      </w:r>
      <w:r w:rsidR="00B90395" w:rsidRPr="00EC0229">
        <w:rPr>
          <w:szCs w:val="24"/>
        </w:rPr>
        <w:t xml:space="preserve">for </w:t>
      </w:r>
      <w:r w:rsidRPr="00EC0229">
        <w:rPr>
          <w:szCs w:val="24"/>
        </w:rPr>
        <w:t>either coins or artefacts. Clearly, coins are in widespread use but the formally recorded association with artefact sites is a little weaker than expected.</w:t>
      </w:r>
    </w:p>
    <w:p w14:paraId="5A97675D" w14:textId="77777777" w:rsidR="00E6352B" w:rsidRPr="00EC0229" w:rsidRDefault="00E6352B" w:rsidP="007600EA">
      <w:pPr>
        <w:pStyle w:val="NoSpacing"/>
        <w:spacing w:line="360" w:lineRule="auto"/>
        <w:rPr>
          <w:szCs w:val="24"/>
        </w:rPr>
      </w:pPr>
    </w:p>
    <w:p w14:paraId="7D6530E0" w14:textId="00613C94" w:rsidR="00E6352B" w:rsidRPr="00EC0229" w:rsidRDefault="00E6352B" w:rsidP="007600EA">
      <w:pPr>
        <w:pStyle w:val="NoSpacing"/>
        <w:spacing w:line="360" w:lineRule="auto"/>
        <w:rPr>
          <w:szCs w:val="24"/>
        </w:rPr>
      </w:pPr>
      <w:r w:rsidRPr="00EC0229">
        <w:rPr>
          <w:szCs w:val="24"/>
        </w:rPr>
        <w:t xml:space="preserve">For sites with both coins and artefacts,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B15422" w:rsidRPr="00EC0229">
        <w:rPr>
          <w:i/>
          <w:szCs w:val="24"/>
        </w:rPr>
        <w:t>8.1</w:t>
      </w:r>
      <w:r w:rsidR="00914CF8" w:rsidRPr="00EC0229">
        <w:rPr>
          <w:i/>
          <w:szCs w:val="24"/>
        </w:rPr>
        <w:t>3</w:t>
      </w:r>
      <w:r w:rsidRPr="00EC0229">
        <w:rPr>
          <w:szCs w:val="24"/>
        </w:rPr>
        <w:t xml:space="preserve"> shows the mix of coin metal on artefact sites. Lest this regional summation, showing heal</w:t>
      </w:r>
      <w:r w:rsidR="00C44B02">
        <w:rPr>
          <w:szCs w:val="24"/>
        </w:rPr>
        <w:t>thy coin use in both the eighth</w:t>
      </w:r>
      <w:r w:rsidRPr="00EC0229">
        <w:rPr>
          <w:szCs w:val="24"/>
        </w:rPr>
        <w:t xml:space="preserve"> and ninth</w:t>
      </w:r>
      <w:r w:rsidR="00C44B02">
        <w:rPr>
          <w:szCs w:val="24"/>
        </w:rPr>
        <w:t xml:space="preserve"> </w:t>
      </w:r>
      <w:r w:rsidRPr="00EC0229">
        <w:rPr>
          <w:szCs w:val="24"/>
        </w:rPr>
        <w:t>centuries, disguise site variations, the age mixes of coin (ignoring gold</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szCs w:val="24"/>
        </w:rPr>
        <w:fldChar w:fldCharType="end"/>
      </w:r>
      <w:r w:rsidRPr="00EC0229">
        <w:rPr>
          <w:rStyle w:val="FootnoteReference"/>
          <w:szCs w:val="24"/>
        </w:rPr>
        <w:footnoteReference w:id="969"/>
      </w:r>
      <w:r w:rsidRPr="00EC0229">
        <w:rPr>
          <w:szCs w:val="24"/>
        </w:rPr>
        <w:t>) at sites with artefacts</w:t>
      </w:r>
      <w:r w:rsidR="00EA2684" w:rsidRPr="00EC0229">
        <w:rPr>
          <w:szCs w:val="24"/>
        </w:rPr>
        <w:t>,</w:t>
      </w:r>
      <w:r w:rsidRPr="00EC0229">
        <w:rPr>
          <w:szCs w:val="24"/>
        </w:rPr>
        <w:t xml:space="preserve"> </w:t>
      </w:r>
      <w:r w:rsidR="00EA2684" w:rsidRPr="00EC0229">
        <w:rPr>
          <w:i/>
          <w:szCs w:val="24"/>
        </w:rPr>
        <w:t>prima facie</w:t>
      </w:r>
      <w:r w:rsidR="00EA2684" w:rsidRPr="00EC0229">
        <w:rPr>
          <w:szCs w:val="24"/>
        </w:rPr>
        <w:t xml:space="preserve">, favours site migration over continuity, </w:t>
      </w:r>
      <w:r w:rsidR="00EA2684" w:rsidRPr="00EC0229">
        <w:rPr>
          <w:i/>
          <w:szCs w:val="24"/>
        </w:rPr>
        <w:t xml:space="preserve">Table </w:t>
      </w:r>
      <w:r w:rsidR="00B15422" w:rsidRPr="00EC0229">
        <w:rPr>
          <w:i/>
          <w:szCs w:val="24"/>
        </w:rPr>
        <w:t>8.1</w:t>
      </w:r>
      <w:r w:rsidR="00914CF8" w:rsidRPr="00EC0229">
        <w:rPr>
          <w:i/>
          <w:szCs w:val="24"/>
        </w:rPr>
        <w:t>4</w:t>
      </w:r>
      <w:r w:rsidR="008470BC" w:rsidRPr="00EC0229">
        <w:rPr>
          <w:szCs w:val="24"/>
        </w:rPr>
        <w:t>. This may be</w:t>
      </w:r>
      <w:r w:rsidR="00EA2684" w:rsidRPr="00EC0229">
        <w:rPr>
          <w:szCs w:val="24"/>
        </w:rPr>
        <w:t xml:space="preserve"> attributable to the underlying </w:t>
      </w:r>
      <w:r w:rsidR="00EA2684" w:rsidRPr="00EC0229">
        <w:rPr>
          <w:i/>
          <w:szCs w:val="24"/>
        </w:rPr>
        <w:t>gleys</w:t>
      </w:r>
      <w:r w:rsidR="00EA2684" w:rsidRPr="00EC0229">
        <w:rPr>
          <w:szCs w:val="24"/>
        </w:rPr>
        <w:t xml:space="preserve">, </w:t>
      </w:r>
      <w:r w:rsidRPr="00EC0229">
        <w:rPr>
          <w:szCs w:val="24"/>
        </w:rPr>
        <w:t xml:space="preserve">though recoveries at individual site are </w:t>
      </w:r>
      <w:r w:rsidR="00B90395" w:rsidRPr="00EC0229">
        <w:rPr>
          <w:szCs w:val="24"/>
        </w:rPr>
        <w:t xml:space="preserve">too </w:t>
      </w:r>
      <w:r w:rsidRPr="00EC0229">
        <w:rPr>
          <w:szCs w:val="24"/>
        </w:rPr>
        <w:t>low for reliable statistical extrapolation</w:t>
      </w:r>
      <w:r w:rsidR="00EA2684" w:rsidRPr="00EC0229">
        <w:rPr>
          <w:szCs w:val="24"/>
        </w:rPr>
        <w:t>.</w:t>
      </w:r>
      <w:r w:rsidRPr="00EC0229">
        <w:rPr>
          <w:szCs w:val="24"/>
        </w:rPr>
        <w:t xml:space="preserve"> Potential </w:t>
      </w:r>
      <w:bookmarkStart w:id="620" w:name="siteshifts"/>
      <w:r w:rsidR="00784E25" w:rsidRPr="00EC0229">
        <w:rPr>
          <w:szCs w:val="24"/>
        </w:rPr>
        <w:t>site-shift</w:t>
      </w:r>
      <w:r w:rsidRPr="00EC0229">
        <w:rPr>
          <w:szCs w:val="24"/>
        </w:rPr>
        <w:t xml:space="preserve">s </w:t>
      </w:r>
      <w:bookmarkEnd w:id="620"/>
      <w:r w:rsidRPr="00EC0229">
        <w:rPr>
          <w:szCs w:val="24"/>
        </w:rPr>
        <w:t>between the eighth and ni</w:t>
      </w:r>
      <w:r w:rsidR="00B90395" w:rsidRPr="00EC0229">
        <w:rPr>
          <w:szCs w:val="24"/>
        </w:rPr>
        <w:t>nth centuries are conjectured in</w:t>
      </w:r>
      <w:r w:rsidRPr="00EC0229">
        <w:rPr>
          <w:szCs w:val="24"/>
        </w:rPr>
        <w:t xml:space="preserve"> </w:t>
      </w:r>
      <w:r w:rsidRPr="00EC0229">
        <w:rPr>
          <w:i/>
          <w:szCs w:val="24"/>
        </w:rPr>
        <w:t xml:space="preserve">Table </w:t>
      </w:r>
      <w:r w:rsidR="00B15422" w:rsidRPr="00EC0229">
        <w:rPr>
          <w:i/>
          <w:szCs w:val="24"/>
        </w:rPr>
        <w:t>7.08</w:t>
      </w:r>
      <w:r w:rsidRPr="00EC0229">
        <w:rPr>
          <w:szCs w:val="24"/>
        </w:rPr>
        <w:t>.</w:t>
      </w:r>
      <w:r w:rsidR="00F766DD" w:rsidRPr="00EC0229">
        <w:rPr>
          <w:rStyle w:val="FootnoteReference"/>
          <w:szCs w:val="24"/>
        </w:rPr>
        <w:footnoteReference w:id="970"/>
      </w:r>
    </w:p>
    <w:p w14:paraId="2E10F644" w14:textId="77777777" w:rsidR="00E6352B" w:rsidRPr="00EC0229" w:rsidRDefault="00E6352B" w:rsidP="007600EA">
      <w:pPr>
        <w:pStyle w:val="NoSpacing"/>
        <w:spacing w:line="360" w:lineRule="auto"/>
        <w:rPr>
          <w:szCs w:val="24"/>
        </w:rPr>
      </w:pPr>
    </w:p>
    <w:p w14:paraId="5BC44FF7" w14:textId="7F8DEAAE" w:rsidR="00E6352B" w:rsidRPr="00EC0229" w:rsidRDefault="00E6352B" w:rsidP="007600EA">
      <w:pPr>
        <w:pStyle w:val="NoSpacing"/>
        <w:spacing w:line="360" w:lineRule="auto"/>
        <w:rPr>
          <w:sz w:val="20"/>
          <w:szCs w:val="20"/>
        </w:rPr>
      </w:pPr>
      <w:r w:rsidRPr="00EC0229">
        <w:rPr>
          <w:szCs w:val="24"/>
        </w:rPr>
        <w:t>The picture presented for Fishergate</w:t>
      </w:r>
      <w:r w:rsidR="006B1593" w:rsidRPr="00EC0229">
        <w:rPr>
          <w:szCs w:val="24"/>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szCs w:val="24"/>
        </w:rPr>
        <w:fldChar w:fldCharType="end"/>
      </w:r>
      <w:r w:rsidRPr="00EC0229">
        <w:rPr>
          <w:szCs w:val="24"/>
        </w:rPr>
        <w:t xml:space="preserve"> contrasts sharply with that for the </w:t>
      </w:r>
      <w:r w:rsidR="00C7553E" w:rsidRPr="00EC0229">
        <w:rPr>
          <w:szCs w:val="24"/>
        </w:rPr>
        <w:t>Central Lowlands</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self-evidently the former is convergent, with occupations focussed on a single site whereas the latter is divergent, with activity spread evenly over a very large territory. The contrast is further revealed by comparing functional activity </w:t>
      </w:r>
      <w:r w:rsidR="009B5C5C" w:rsidRPr="00EC0229">
        <w:rPr>
          <w:szCs w:val="24"/>
        </w:rPr>
        <w:t xml:space="preserve">to norm </w:t>
      </w:r>
      <w:r w:rsidRPr="00EC0229">
        <w:rPr>
          <w:szCs w:val="24"/>
        </w:rPr>
        <w:t>at</w:t>
      </w:r>
      <w:r w:rsidRPr="00EC0229">
        <w:rPr>
          <w:i/>
          <w:sz w:val="20"/>
          <w:szCs w:val="20"/>
        </w:rPr>
        <w:t xml:space="preserve">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B15422" w:rsidRPr="00EC0229">
        <w:rPr>
          <w:i/>
          <w:szCs w:val="24"/>
        </w:rPr>
        <w:t>8.</w:t>
      </w:r>
      <w:r w:rsidR="00914CF8" w:rsidRPr="00EC0229">
        <w:rPr>
          <w:i/>
          <w:szCs w:val="24"/>
        </w:rPr>
        <w:t>1</w:t>
      </w:r>
      <w:r w:rsidR="00B15422" w:rsidRPr="00EC0229">
        <w:rPr>
          <w:i/>
          <w:szCs w:val="24"/>
        </w:rPr>
        <w:t>0</w:t>
      </w:r>
      <w:r w:rsidR="009B5C5C" w:rsidRPr="00EC0229">
        <w:rPr>
          <w:szCs w:val="24"/>
        </w:rPr>
        <w:t xml:space="preserve">, with the </w:t>
      </w:r>
      <w:r w:rsidR="001A7283" w:rsidRPr="00EC0229">
        <w:rPr>
          <w:szCs w:val="24"/>
        </w:rPr>
        <w:t xml:space="preserve">Lowlands </w:t>
      </w:r>
      <w:r w:rsidR="009B5C5C" w:rsidRPr="00EC0229">
        <w:rPr>
          <w:szCs w:val="24"/>
        </w:rPr>
        <w:t>disproportionately favouring dress accessories and Fishergate, work-related artefacts and tools.</w:t>
      </w:r>
    </w:p>
    <w:p w14:paraId="2F662AA7" w14:textId="77777777" w:rsidR="00E6352B" w:rsidRPr="00EC0229" w:rsidRDefault="00E6352B" w:rsidP="007600EA">
      <w:pPr>
        <w:pStyle w:val="NoSpacing"/>
        <w:spacing w:line="360" w:lineRule="auto"/>
      </w:pPr>
    </w:p>
    <w:p w14:paraId="3F36ABB6" w14:textId="41B32EBE" w:rsidR="00E6352B" w:rsidRPr="00EC0229" w:rsidRDefault="00E6352B" w:rsidP="007600EA">
      <w:pPr>
        <w:pStyle w:val="NoSpacing"/>
        <w:spacing w:line="360" w:lineRule="auto"/>
      </w:pPr>
      <w:r w:rsidRPr="00EC0229">
        <w:lastRenderedPageBreak/>
        <w:t>Again, the usual caveats apply to PAS</w:t>
      </w:r>
      <w:r w:rsidR="008960AE" w:rsidRPr="00EC0229">
        <w:fldChar w:fldCharType="begin"/>
      </w:r>
      <w:r w:rsidR="008960AE" w:rsidRPr="00EC0229">
        <w:instrText xml:space="preserve"> XE "PAS" </w:instrText>
      </w:r>
      <w:r w:rsidR="008960AE" w:rsidRPr="00EC0229">
        <w:fldChar w:fldCharType="end"/>
      </w:r>
      <w:r w:rsidRPr="00EC0229">
        <w:t xml:space="preserve"> data, which is neither a comprehensive, nor indeed an entirely reliable, record. </w:t>
      </w:r>
      <w:r w:rsidR="005A423D" w:rsidRPr="00EC0229">
        <w:t xml:space="preserve">Two hanging bowls </w:t>
      </w:r>
      <w:r w:rsidR="00B90395" w:rsidRPr="00EC0229">
        <w:t>from Finningley predate the data</w:t>
      </w:r>
      <w:r w:rsidR="005A423D" w:rsidRPr="00EC0229">
        <w:t>base.</w:t>
      </w:r>
      <w:r w:rsidR="005A423D" w:rsidRPr="00EC0229">
        <w:rPr>
          <w:rStyle w:val="FootnoteReference"/>
        </w:rPr>
        <w:footnoteReference w:id="971"/>
      </w:r>
      <w:r w:rsidR="005A423D" w:rsidRPr="00EC0229">
        <w:t xml:space="preserve"> </w:t>
      </w:r>
      <w:r w:rsidRPr="00EC0229">
        <w:t xml:space="preserve">Nevertheless, were one to give credence to the record, the </w:t>
      </w:r>
      <w:r w:rsidR="00C7553E" w:rsidRPr="00EC0229">
        <w:t>Central Lowlands</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assemblage, as shown in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B15422" w:rsidRPr="00EC0229">
        <w:rPr>
          <w:i/>
        </w:rPr>
        <w:t>8.</w:t>
      </w:r>
      <w:r w:rsidR="00914CF8" w:rsidRPr="00EC0229">
        <w:rPr>
          <w:i/>
        </w:rPr>
        <w:t>1</w:t>
      </w:r>
      <w:r w:rsidR="00B15422" w:rsidRPr="00EC0229">
        <w:rPr>
          <w:i/>
        </w:rPr>
        <w:t>0</w:t>
      </w:r>
      <w:r w:rsidRPr="00EC0229">
        <w:rPr>
          <w:color w:val="000000" w:themeColor="text1"/>
        </w:rPr>
        <w:t>,</w:t>
      </w:r>
      <w:r w:rsidRPr="00EC0229">
        <w:rPr>
          <w:i/>
          <w:color w:val="000000" w:themeColor="text1"/>
        </w:rPr>
        <w:t xml:space="preserve"> </w:t>
      </w:r>
      <w:r w:rsidRPr="00EC0229">
        <w:t>is dominated by items of personal dress (</w:t>
      </w:r>
      <w:r w:rsidR="003852DA" w:rsidRPr="00EC0229">
        <w:fldChar w:fldCharType="begin"/>
      </w:r>
      <w:r w:rsidR="003852DA" w:rsidRPr="00EC0229">
        <w:instrText xml:space="preserve"> REF _Ref430248539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92</w:t>
      </w:r>
      <w:r w:rsidR="003852DA" w:rsidRPr="00EC0229">
        <w:fldChar w:fldCharType="end"/>
      </w:r>
      <w:r w:rsidR="003852DA" w:rsidRPr="00EC0229">
        <w:t xml:space="preserve">, </w:t>
      </w:r>
      <w:r w:rsidR="003852DA" w:rsidRPr="00EC0229">
        <w:fldChar w:fldCharType="begin"/>
      </w:r>
      <w:r w:rsidR="003852DA" w:rsidRPr="00EC0229">
        <w:instrText xml:space="preserve"> REF _Ref430248546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93</w:t>
      </w:r>
      <w:r w:rsidR="003852DA" w:rsidRPr="00EC0229">
        <w:fldChar w:fldCharType="end"/>
      </w:r>
      <w:r w:rsidRPr="00EC0229">
        <w:t xml:space="preserve">): fastenings and other accessories make up 81%. Admittedly the composition, as detailed </w:t>
      </w:r>
      <w:r w:rsidRPr="00EC0229">
        <w:rPr>
          <w:szCs w:val="24"/>
        </w:rPr>
        <w:t xml:space="preserve">in </w:t>
      </w:r>
      <w:r w:rsidRPr="00EC0229">
        <w:rPr>
          <w:i/>
          <w:szCs w:val="24"/>
        </w:rPr>
        <w:t xml:space="preserve">Table </w:t>
      </w:r>
      <w:r w:rsidR="00B15422" w:rsidRPr="00EC0229">
        <w:rPr>
          <w:i/>
          <w:szCs w:val="24"/>
        </w:rPr>
        <w:t>8.</w:t>
      </w:r>
      <w:r w:rsidR="00914CF8" w:rsidRPr="00EC0229">
        <w:rPr>
          <w:i/>
          <w:szCs w:val="24"/>
        </w:rPr>
        <w:t>1</w:t>
      </w:r>
      <w:r w:rsidR="00B15422" w:rsidRPr="00EC0229">
        <w:rPr>
          <w:i/>
          <w:szCs w:val="24"/>
        </w:rPr>
        <w:t>1</w:t>
      </w:r>
      <w:r w:rsidRPr="00EC0229">
        <w:rPr>
          <w:szCs w:val="24"/>
        </w:rPr>
        <w:t>,</w:t>
      </w:r>
      <w:r w:rsidRPr="00EC0229">
        <w:t xml:space="preserve"> differs somewhat from the overall picture - more sleeve clasps, hooked tags and brooches locally, but half the number of pins and virtually no strap ends - but this may be the result of communal fashion, allowing for the extent that these fastenings are substitutable. </w:t>
      </w:r>
    </w:p>
    <w:p w14:paraId="2E06CD0D" w14:textId="77777777" w:rsidR="005F66F0" w:rsidRPr="00EC0229" w:rsidRDefault="005F66F0" w:rsidP="007600EA">
      <w:pPr>
        <w:pStyle w:val="NoSpacing"/>
        <w:spacing w:line="360" w:lineRule="auto"/>
        <w:jc w:val="center"/>
        <w:rPr>
          <w:b/>
          <w:szCs w:val="24"/>
        </w:rPr>
      </w:pPr>
      <w:r w:rsidRPr="00EC0229">
        <w:rPr>
          <w:b/>
          <w:noProof/>
          <w:szCs w:val="24"/>
          <w:lang w:eastAsia="en-GB"/>
        </w:rPr>
        <w:drawing>
          <wp:inline distT="0" distB="0" distL="0" distR="0" wp14:anchorId="2537F865" wp14:editId="6F4111C1">
            <wp:extent cx="1165860" cy="1048491"/>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scrick ring Michael Greenhorn image Kippa Matthews.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184244" cy="1065025"/>
                    </a:xfrm>
                    <a:prstGeom prst="rect">
                      <a:avLst/>
                    </a:prstGeom>
                  </pic:spPr>
                </pic:pic>
              </a:graphicData>
            </a:graphic>
          </wp:inline>
        </w:drawing>
      </w:r>
    </w:p>
    <w:p w14:paraId="113B6911" w14:textId="292326DD" w:rsidR="00941A45" w:rsidRDefault="00AC78C3" w:rsidP="007600EA">
      <w:pPr>
        <w:spacing w:line="360" w:lineRule="auto"/>
        <w:jc w:val="center"/>
        <w:rPr>
          <w:sz w:val="20"/>
          <w:szCs w:val="20"/>
        </w:rPr>
      </w:pPr>
      <w:bookmarkStart w:id="621" w:name="_Ref430248539"/>
      <w:bookmarkStart w:id="622" w:name="_Toc468267064"/>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92</w:t>
      </w:r>
      <w:r w:rsidR="00B609E3" w:rsidRPr="00EC0229">
        <w:rPr>
          <w:sz w:val="20"/>
          <w:szCs w:val="20"/>
        </w:rPr>
        <w:fldChar w:fldCharType="end"/>
      </w:r>
      <w:bookmarkEnd w:id="621"/>
      <w:r w:rsidR="00FD363D" w:rsidRPr="00EC0229">
        <w:rPr>
          <w:sz w:val="20"/>
          <w:szCs w:val="20"/>
        </w:rPr>
        <w:t xml:space="preserve">: </w:t>
      </w:r>
      <w:r w:rsidR="005F66F0" w:rsidRPr="00EC0229">
        <w:rPr>
          <w:sz w:val="20"/>
          <w:szCs w:val="20"/>
        </w:rPr>
        <w:t>Escrick ring found by Michael Greenhorn, 2009</w:t>
      </w:r>
      <w:bookmarkEnd w:id="622"/>
      <w:r w:rsidR="005F66F0" w:rsidRPr="00EC0229">
        <w:rPr>
          <w:sz w:val="20"/>
          <w:szCs w:val="20"/>
        </w:rPr>
        <w:t xml:space="preserve"> </w:t>
      </w:r>
    </w:p>
    <w:p w14:paraId="55F52D35" w14:textId="38FA4F9D" w:rsidR="005F66F0" w:rsidRPr="00EC0229" w:rsidRDefault="00941A45" w:rsidP="007600EA">
      <w:pPr>
        <w:spacing w:line="360" w:lineRule="auto"/>
        <w:jc w:val="center"/>
        <w:rPr>
          <w:i/>
          <w:sz w:val="20"/>
          <w:szCs w:val="20"/>
        </w:rPr>
      </w:pPr>
      <w:r>
        <w:rPr>
          <w:sz w:val="20"/>
          <w:szCs w:val="20"/>
        </w:rPr>
        <w:t>(I</w:t>
      </w:r>
      <w:r w:rsidR="005F66F0" w:rsidRPr="00EC0229">
        <w:rPr>
          <w:sz w:val="20"/>
          <w:szCs w:val="20"/>
        </w:rPr>
        <w:t xml:space="preserve">mage </w:t>
      </w:r>
      <w:r>
        <w:rPr>
          <w:sz w:val="20"/>
          <w:szCs w:val="20"/>
        </w:rPr>
        <w:t xml:space="preserve">courtesy </w:t>
      </w:r>
      <w:r w:rsidR="005F66F0" w:rsidRPr="00EC0229">
        <w:rPr>
          <w:sz w:val="20"/>
          <w:szCs w:val="20"/>
        </w:rPr>
        <w:t>K. Matthews)</w:t>
      </w:r>
    </w:p>
    <w:p w14:paraId="39D44104" w14:textId="77777777" w:rsidR="005F66F0" w:rsidRPr="00EC0229" w:rsidRDefault="005F66F0" w:rsidP="007600EA">
      <w:pPr>
        <w:pStyle w:val="NoSpacing"/>
        <w:spacing w:line="360" w:lineRule="auto"/>
        <w:jc w:val="center"/>
        <w:rPr>
          <w:sz w:val="20"/>
          <w:szCs w:val="20"/>
        </w:rPr>
      </w:pPr>
    </w:p>
    <w:p w14:paraId="1ECF0C79" w14:textId="6614AD20" w:rsidR="005F66F0" w:rsidRPr="00EC0229" w:rsidRDefault="005F66F0" w:rsidP="007600EA">
      <w:pPr>
        <w:pStyle w:val="NoSpacing"/>
        <w:spacing w:line="360" w:lineRule="auto"/>
        <w:jc w:val="center"/>
      </w:pPr>
      <w:r w:rsidRPr="00EC0229">
        <w:rPr>
          <w:i/>
          <w:noProof/>
          <w:lang w:eastAsia="en-GB"/>
        </w:rPr>
        <w:drawing>
          <wp:inline distT="0" distB="0" distL="0" distR="0" wp14:anchorId="2E531BDD" wp14:editId="4560C5C7">
            <wp:extent cx="1441041" cy="1123279"/>
            <wp:effectExtent l="0" t="0" r="6985" b="127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eeds ring hoard 2008 T553.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441041" cy="1123279"/>
                    </a:xfrm>
                    <a:prstGeom prst="rect">
                      <a:avLst/>
                    </a:prstGeom>
                  </pic:spPr>
                </pic:pic>
              </a:graphicData>
            </a:graphic>
          </wp:inline>
        </w:drawing>
      </w:r>
      <w:r w:rsidR="005422A8" w:rsidRPr="00EC0229">
        <w:tab/>
      </w:r>
      <w:r w:rsidR="005422A8" w:rsidRPr="00EC0229">
        <w:tab/>
      </w:r>
      <w:r w:rsidRPr="00EC0229">
        <w:rPr>
          <w:noProof/>
          <w:lang w:eastAsia="en-GB"/>
        </w:rPr>
        <w:drawing>
          <wp:inline distT="0" distB="0" distL="0" distR="0" wp14:anchorId="2C902AA0" wp14:editId="31C012F8">
            <wp:extent cx="1721211" cy="11144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eeds ring hoard addendum 2009 T221.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732431" cy="1121690"/>
                    </a:xfrm>
                    <a:prstGeom prst="rect">
                      <a:avLst/>
                    </a:prstGeom>
                  </pic:spPr>
                </pic:pic>
              </a:graphicData>
            </a:graphic>
          </wp:inline>
        </w:drawing>
      </w:r>
    </w:p>
    <w:p w14:paraId="081E4584" w14:textId="08253E11" w:rsidR="005F66F0" w:rsidRPr="00EC0229" w:rsidRDefault="00AC78C3" w:rsidP="007600EA">
      <w:pPr>
        <w:spacing w:line="360" w:lineRule="auto"/>
        <w:jc w:val="center"/>
        <w:rPr>
          <w:sz w:val="20"/>
          <w:szCs w:val="20"/>
        </w:rPr>
      </w:pPr>
      <w:bookmarkStart w:id="623" w:name="_Ref430248546"/>
      <w:bookmarkStart w:id="624" w:name="_Toc468267065"/>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93</w:t>
      </w:r>
      <w:r w:rsidR="00B609E3" w:rsidRPr="00EC0229">
        <w:rPr>
          <w:sz w:val="20"/>
          <w:szCs w:val="20"/>
        </w:rPr>
        <w:fldChar w:fldCharType="end"/>
      </w:r>
      <w:bookmarkEnd w:id="623"/>
      <w:r w:rsidR="00FD363D" w:rsidRPr="00EC0229">
        <w:rPr>
          <w:sz w:val="20"/>
          <w:szCs w:val="20"/>
        </w:rPr>
        <w:t xml:space="preserve">: </w:t>
      </w:r>
      <w:r w:rsidR="005422A8" w:rsidRPr="00EC0229">
        <w:rPr>
          <w:sz w:val="20"/>
          <w:szCs w:val="20"/>
        </w:rPr>
        <w:t xml:space="preserve">Two views of the </w:t>
      </w:r>
      <w:r w:rsidR="005F66F0" w:rsidRPr="00EC0229">
        <w:rPr>
          <w:sz w:val="20"/>
          <w:szCs w:val="20"/>
        </w:rPr>
        <w:t>‘Leeds’ ring hoard, c.700-1100, found Aberford</w:t>
      </w:r>
      <w:r w:rsidR="005F66F0" w:rsidRPr="00EC0229">
        <w:rPr>
          <w:sz w:val="20"/>
          <w:vertAlign w:val="superscript"/>
        </w:rPr>
        <w:footnoteReference w:id="972"/>
      </w:r>
      <w:bookmarkEnd w:id="624"/>
    </w:p>
    <w:p w14:paraId="0CF92687" w14:textId="77777777" w:rsidR="005F66F0" w:rsidRPr="00EC0229" w:rsidRDefault="005F66F0" w:rsidP="007600EA">
      <w:pPr>
        <w:pStyle w:val="NoSpacing"/>
        <w:spacing w:line="360" w:lineRule="auto"/>
        <w:rPr>
          <w:sz w:val="20"/>
          <w:szCs w:val="20"/>
        </w:rPr>
      </w:pPr>
    </w:p>
    <w:p w14:paraId="4D47C8CE" w14:textId="10DA3F74" w:rsidR="005F66F0" w:rsidRPr="00EC0229" w:rsidRDefault="005F66F0" w:rsidP="007600EA">
      <w:pPr>
        <w:pStyle w:val="NoSpacing"/>
        <w:spacing w:line="360" w:lineRule="auto"/>
      </w:pPr>
      <w:r w:rsidRPr="00EC0229">
        <w:t>Tools and work related accessories constitute only 5% of the total, and on closer inspection this includes: ingots (4), nails (3), rings (3), die stamps (2), spindle whorl (2) and trial piece (1) – direct evidence of processing (e.g. slag) is unrecorded. The majority of occupations were agrarian leaving little evidence of work practices in the archaeological</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fldChar w:fldCharType="end"/>
      </w:r>
      <w:r w:rsidRPr="00EC0229">
        <w:t xml:space="preserve"> record. There are no styli.</w:t>
      </w:r>
    </w:p>
    <w:p w14:paraId="1FC0F758" w14:textId="77777777" w:rsidR="00E90F75" w:rsidRPr="00EC0229" w:rsidRDefault="00E90F75" w:rsidP="007600EA">
      <w:pPr>
        <w:pStyle w:val="NoSpacing"/>
        <w:spacing w:line="360" w:lineRule="auto"/>
      </w:pPr>
    </w:p>
    <w:p w14:paraId="55EF76C7" w14:textId="77777777" w:rsidR="005F66F0" w:rsidRPr="00EC0229" w:rsidRDefault="005F66F0" w:rsidP="007600EA">
      <w:pPr>
        <w:pStyle w:val="NoSpacing"/>
        <w:spacing w:line="360" w:lineRule="auto"/>
      </w:pPr>
    </w:p>
    <w:p w14:paraId="5EAC985E" w14:textId="68F86D70" w:rsidR="005F66F0" w:rsidRPr="00EC0229" w:rsidRDefault="005F66F0" w:rsidP="007600EA">
      <w:pPr>
        <w:pStyle w:val="NoSpacing"/>
        <w:spacing w:line="360" w:lineRule="auto"/>
      </w:pPr>
      <w:r w:rsidRPr="00EC0229">
        <w:t>What may be regarded as non-personal items make up a small proportion of finds and many of these are bells and weights</w:t>
      </w:r>
      <w:r w:rsidR="00F204A1" w:rsidRPr="00EC0229">
        <w:fldChar w:fldCharType="begin"/>
      </w:r>
      <w:r w:rsidR="00F204A1" w:rsidRPr="00EC0229">
        <w:instrText xml:space="preserve"> XE "</w:instrText>
      </w:r>
      <w:r w:rsidR="00F204A1" w:rsidRPr="00EC0229">
        <w:rPr>
          <w:rStyle w:val="Hyperlink"/>
          <w:noProof/>
          <w:u w:val="none"/>
        </w:rPr>
        <w:instrText>weights</w:instrText>
      </w:r>
      <w:r w:rsidR="00F204A1" w:rsidRPr="00EC0229">
        <w:instrText xml:space="preserve">" </w:instrText>
      </w:r>
      <w:r w:rsidR="00F204A1" w:rsidRPr="00EC0229">
        <w:fldChar w:fldCharType="end"/>
      </w:r>
      <w:r w:rsidRPr="00EC0229">
        <w:t xml:space="preserve">. The only hint of commercial activity is that five of the seven </w:t>
      </w:r>
      <w:r w:rsidRPr="00EC0229">
        <w:lastRenderedPageBreak/>
        <w:t>weights are from Wilberfoss.</w:t>
      </w:r>
      <w:r w:rsidRPr="00EC0229">
        <w:rPr>
          <w:rStyle w:val="FootnoteReference"/>
        </w:rPr>
        <w:footnoteReference w:id="973"/>
      </w:r>
      <w:r w:rsidRPr="00EC0229">
        <w:t xml:space="preserve"> Only thirty-eight of the 127 artefact types are present in the Vale,</w:t>
      </w:r>
      <w:r w:rsidRPr="00EC0229">
        <w:rPr>
          <w:rStyle w:val="FootnoteReference"/>
        </w:rPr>
        <w:footnoteReference w:id="974"/>
      </w:r>
      <w:r w:rsidRPr="00EC0229">
        <w:t xml:space="preserve"> </w:t>
      </w:r>
      <w:r w:rsidR="009F52E8" w:rsidRPr="00EC0229">
        <w:t>a lack of variety possibly indicating a controlling regime.</w:t>
      </w:r>
    </w:p>
    <w:p w14:paraId="1E5E3374" w14:textId="77777777" w:rsidR="005F66F0" w:rsidRPr="00EC0229" w:rsidRDefault="005F66F0" w:rsidP="007600EA">
      <w:pPr>
        <w:pStyle w:val="NoSpacing"/>
        <w:spacing w:line="360" w:lineRule="auto"/>
      </w:pPr>
    </w:p>
    <w:p w14:paraId="1EE8B2CC" w14:textId="1E08FA4B" w:rsidR="005F66F0" w:rsidRPr="00EC0229" w:rsidRDefault="005F66F0" w:rsidP="007600EA">
      <w:pPr>
        <w:pStyle w:val="NoSpacing"/>
        <w:spacing w:line="360" w:lineRule="auto"/>
      </w:pPr>
      <w:r w:rsidRPr="00EC0229">
        <w:t xml:space="preserve">Eight locations just south of the Humber,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B15422" w:rsidRPr="00EC0229">
        <w:rPr>
          <w:i/>
        </w:rPr>
        <w:t xml:space="preserve"> </w:t>
      </w:r>
      <w:r w:rsidR="001641C3" w:rsidRPr="00EC0229">
        <w:rPr>
          <w:i/>
        </w:rPr>
        <w:t>6</w:t>
      </w:r>
      <w:r w:rsidR="00B15422" w:rsidRPr="00EC0229">
        <w:rPr>
          <w:i/>
        </w:rPr>
        <w:t>.03</w:t>
      </w:r>
      <w:r w:rsidRPr="00EC0229">
        <w:t>, producing a dozen artefacts are excluded from this analysis. None has produced coins.</w:t>
      </w:r>
    </w:p>
    <w:p w14:paraId="602004CA" w14:textId="77777777" w:rsidR="005F66F0" w:rsidRPr="00EC0229" w:rsidRDefault="005F66F0" w:rsidP="007600EA">
      <w:pPr>
        <w:pStyle w:val="NoSpacing"/>
        <w:spacing w:line="360" w:lineRule="auto"/>
      </w:pPr>
    </w:p>
    <w:p w14:paraId="47649A91" w14:textId="5D47EFAA" w:rsidR="005F66F0" w:rsidRPr="00EC0229" w:rsidRDefault="00C97BF2" w:rsidP="007600EA">
      <w:pPr>
        <w:pStyle w:val="Heading3"/>
        <w:spacing w:line="360" w:lineRule="auto"/>
      </w:pPr>
      <w:bookmarkStart w:id="625" w:name="_Toc468266874"/>
      <w:r>
        <w:t>8.2.2.5.</w:t>
      </w:r>
      <w:r>
        <w:tab/>
      </w:r>
      <w:r w:rsidR="005F66F0" w:rsidRPr="00EC0229">
        <w:t>Conclusion</w:t>
      </w:r>
      <w:bookmarkEnd w:id="625"/>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p>
    <w:p w14:paraId="798A76B4" w14:textId="1652BC06" w:rsidR="005F66F0" w:rsidRPr="00EC0229" w:rsidRDefault="005F66F0" w:rsidP="007600EA">
      <w:pPr>
        <w:pStyle w:val="NoSpacing"/>
        <w:spacing w:line="360" w:lineRule="auto"/>
      </w:pPr>
      <w:r w:rsidRPr="00EC0229">
        <w:t xml:space="preserve">The overall picture presented by the dispersal of coins and artefacts in the </w:t>
      </w:r>
      <w:r w:rsidR="00C7553E" w:rsidRPr="00EC0229">
        <w:t>Central Lowlands</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is a settled, bucolic scene with low levels of technology but sufficiently widespread and routine use of coin, often in association with artefacts, to regard this as a </w:t>
      </w:r>
      <w:r w:rsidR="003F2041" w:rsidRPr="00EC0229">
        <w:t>monetiz</w:t>
      </w:r>
      <w:r w:rsidRPr="00EC0229">
        <w:t>ed region from the time of Aldfrith</w:t>
      </w:r>
      <w:r w:rsidR="00D142DC" w:rsidRPr="00EC0229">
        <w:fldChar w:fldCharType="begin"/>
      </w:r>
      <w:r w:rsidR="00D142DC" w:rsidRPr="00EC0229">
        <w:instrText xml:space="preserve"> XE "Aldfrith" </w:instrText>
      </w:r>
      <w:r w:rsidR="00D142DC" w:rsidRPr="00EC0229">
        <w:fldChar w:fldCharType="end"/>
      </w:r>
      <w:r w:rsidRPr="00EC0229">
        <w:t xml:space="preserve"> to the fall of York. </w:t>
      </w:r>
      <w:r w:rsidR="00EF09E3" w:rsidRPr="00EC0229">
        <w:t xml:space="preserve">In essence, the picture of single finds is similar in York and </w:t>
      </w:r>
      <w:r w:rsidR="001A7283" w:rsidRPr="00EC0229">
        <w:t>the Central Lowlands</w:t>
      </w:r>
      <w:r w:rsidR="0030553B" w:rsidRPr="00EC0229">
        <w:fldChar w:fldCharType="begin"/>
      </w:r>
      <w:r w:rsidR="0030553B" w:rsidRPr="00EC0229">
        <w:instrText xml:space="preserve"> XE "Central Lowlands" </w:instrText>
      </w:r>
      <w:r w:rsidR="0030553B" w:rsidRPr="00EC0229">
        <w:fldChar w:fldCharType="end"/>
      </w:r>
      <w:r w:rsidR="00EF09E3" w:rsidRPr="00EC0229">
        <w:t xml:space="preserve"> – a veneer of </w:t>
      </w:r>
      <w:r w:rsidR="003F2041" w:rsidRPr="00EC0229">
        <w:t>monetiz</w:t>
      </w:r>
      <w:r w:rsidR="00EF09E3" w:rsidRPr="00EC0229">
        <w:t>ation</w:t>
      </w:r>
      <w:r w:rsidR="00EF09E3" w:rsidRPr="00EC0229">
        <w:fldChar w:fldCharType="begin"/>
      </w:r>
      <w:r w:rsidR="00EF09E3" w:rsidRPr="00EC0229">
        <w:instrText xml:space="preserve"> XE "monetization" </w:instrText>
      </w:r>
      <w:r w:rsidR="00EF09E3" w:rsidRPr="00EC0229">
        <w:fldChar w:fldCharType="end"/>
      </w:r>
      <w:r w:rsidR="00EF09E3" w:rsidRPr="00EC0229">
        <w:t xml:space="preserve"> – though the density of locations is greater in the town. </w:t>
      </w:r>
      <w:r w:rsidRPr="00EC0229">
        <w:t xml:space="preserve">The relatively low number of both coins </w:t>
      </w:r>
      <w:r w:rsidR="00862F15" w:rsidRPr="00EC0229">
        <w:t>and</w:t>
      </w:r>
      <w:r w:rsidRPr="00EC0229">
        <w:t xml:space="preserve"> artefacts per location and the lack of diversity of artefact types, in contrast to the picture from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supports the view that the </w:t>
      </w:r>
      <w:r w:rsidR="001A7283" w:rsidRPr="00EC0229">
        <w:t>Central Lowlands</w:t>
      </w:r>
      <w:r w:rsidR="005B6FBE" w:rsidRPr="00EC0229">
        <w:t xml:space="preserve"> continued as a managed estate,</w:t>
      </w:r>
      <w:r w:rsidR="005B6FBE" w:rsidRPr="00EC0229">
        <w:rPr>
          <w:rStyle w:val="FootnoteReference"/>
        </w:rPr>
        <w:footnoteReference w:id="975"/>
      </w:r>
      <w:r w:rsidR="005B6FBE" w:rsidRPr="00EC0229">
        <w:t xml:space="preserve"> assuming that management varied little whether the owner was regal or monastic.</w:t>
      </w:r>
      <w:r w:rsidRPr="00EC0229">
        <w:t xml:space="preserve"> </w:t>
      </w:r>
      <w:r w:rsidR="00603368" w:rsidRPr="00EC0229">
        <w:t xml:space="preserve">Regrettably, the historical evidence is slender; </w:t>
      </w:r>
      <w:r w:rsidR="00EF09E3" w:rsidRPr="00EC0229">
        <w:t>Woodman lamented the paucity of surviving, contem</w:t>
      </w:r>
      <w:r w:rsidR="00603368" w:rsidRPr="00EC0229">
        <w:t>porary, northern documentation,</w:t>
      </w:r>
      <w:r w:rsidR="00EF09E3" w:rsidRPr="00EC0229">
        <w:t xml:space="preserve"> a mere twenty-one </w:t>
      </w:r>
      <w:r w:rsidR="00FC611F" w:rsidRPr="00EC0229">
        <w:t xml:space="preserve">pre-Norman </w:t>
      </w:r>
      <w:r w:rsidR="00EF09E3" w:rsidRPr="00EC0229">
        <w:t>charters covering York (eleven), Beverley (three), Ripon (two), Durham (four) and Lowther Ca</w:t>
      </w:r>
      <w:r w:rsidR="00414ECB" w:rsidRPr="00EC0229">
        <w:t>s</w:t>
      </w:r>
      <w:r w:rsidR="00EF09E3" w:rsidRPr="00EC0229">
        <w:t>tle (one)</w:t>
      </w:r>
      <w:r w:rsidR="00FC611F" w:rsidRPr="00EC0229">
        <w:t>,</w:t>
      </w:r>
      <w:r w:rsidR="00FC611F" w:rsidRPr="00EC0229">
        <w:rPr>
          <w:rStyle w:val="FootnoteReference"/>
        </w:rPr>
        <w:t xml:space="preserve"> </w:t>
      </w:r>
      <w:r w:rsidR="00FC611F" w:rsidRPr="00EC0229">
        <w:rPr>
          <w:rStyle w:val="FootnoteReference"/>
        </w:rPr>
        <w:footnoteReference w:id="976"/>
      </w:r>
      <w:r w:rsidR="00FC611F" w:rsidRPr="00EC0229">
        <w:t xml:space="preserve"> only one of which falls in the study period</w:t>
      </w:r>
      <w:r w:rsidR="00EF09E3" w:rsidRPr="00EC0229">
        <w:t>.</w:t>
      </w:r>
      <w:r w:rsidR="00FC611F" w:rsidRPr="00EC0229">
        <w:rPr>
          <w:rStyle w:val="FootnoteReference"/>
        </w:rPr>
        <w:footnoteReference w:id="977"/>
      </w:r>
    </w:p>
    <w:p w14:paraId="4FF8C2E9" w14:textId="77777777" w:rsidR="005F66F0" w:rsidRPr="00EC0229" w:rsidRDefault="005F66F0" w:rsidP="007600EA">
      <w:pPr>
        <w:pStyle w:val="NoSpacing"/>
        <w:spacing w:line="360" w:lineRule="auto"/>
      </w:pPr>
    </w:p>
    <w:p w14:paraId="155A57AA" w14:textId="11AD12EA" w:rsidR="00854613" w:rsidRPr="00EC0229" w:rsidRDefault="005F66F0" w:rsidP="007600EA">
      <w:pPr>
        <w:pStyle w:val="NoSpacing"/>
        <w:spacing w:line="360" w:lineRule="auto"/>
      </w:pPr>
      <w:r w:rsidRPr="00EC0229">
        <w:t>Recovery factors bear directly on the find</w:t>
      </w:r>
      <w:r w:rsidR="0039425F" w:rsidRPr="00EC0229">
        <w:t>s</w:t>
      </w:r>
      <w:r w:rsidRPr="00EC0229">
        <w:t xml:space="preserve"> density especially regarding objects with the </w:t>
      </w:r>
      <w:r w:rsidR="0039425F" w:rsidRPr="00EC0229">
        <w:t xml:space="preserve">slender </w:t>
      </w:r>
      <w:r w:rsidRPr="00EC0229">
        <w:t xml:space="preserve">profile of a sceat or styca. </w:t>
      </w:r>
      <w:r w:rsidR="0039425F" w:rsidRPr="00EC0229">
        <w:t>Roman losses, with their larger flans, have proportionately fared better in the Vale</w:t>
      </w:r>
      <w:r w:rsidR="0039425F" w:rsidRPr="00EC0229">
        <w:rPr>
          <w:rStyle w:val="FootnoteReference"/>
        </w:rPr>
        <w:footnoteReference w:id="978"/>
      </w:r>
      <w:r w:rsidR="0039425F" w:rsidRPr="00EC0229">
        <w:t xml:space="preserve"> than early Anglo-Saxon coins, the former producing 23% of northern finds compared to 15% for the latter, </w:t>
      </w:r>
      <w:r w:rsidR="0039425F" w:rsidRPr="00EC0229">
        <w:rPr>
          <w:i/>
        </w:rPr>
        <w:t xml:space="preserve">Table </w:t>
      </w:r>
      <w:r w:rsidR="0078141C" w:rsidRPr="00EC0229">
        <w:rPr>
          <w:i/>
        </w:rPr>
        <w:t>7.02</w:t>
      </w:r>
      <w:r w:rsidR="00B15422" w:rsidRPr="00EC0229">
        <w:rPr>
          <w:i/>
        </w:rPr>
        <w:t>.</w:t>
      </w:r>
      <w:r w:rsidR="0039425F" w:rsidRPr="00EC0229">
        <w:t xml:space="preserve"> Generally</w:t>
      </w:r>
      <w:r w:rsidRPr="00EC0229">
        <w:t xml:space="preserve">, the soil type in the Vale, predominantly </w:t>
      </w:r>
      <w:r w:rsidRPr="00EC0229">
        <w:rPr>
          <w:i/>
        </w:rPr>
        <w:t>gleys</w:t>
      </w:r>
      <w:r w:rsidRPr="00EC0229">
        <w:t>,</w:t>
      </w:r>
      <w:r w:rsidRPr="00EC0229">
        <w:rPr>
          <w:rStyle w:val="FootnoteReference"/>
        </w:rPr>
        <w:footnoteReference w:id="979"/>
      </w:r>
      <w:r w:rsidRPr="00EC0229">
        <w:t xml:space="preserve"> is less conducive to revealing finds than the dry chalk of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Gleys are restricted in fertility and drainage. </w:t>
      </w:r>
      <w:r w:rsidR="000D77CB"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367541" w:rsidRPr="00EC0229">
        <w:rPr>
          <w:i/>
        </w:rPr>
        <w:t xml:space="preserve"> </w:t>
      </w:r>
      <w:r w:rsidR="00B15422" w:rsidRPr="00EC0229">
        <w:rPr>
          <w:i/>
        </w:rPr>
        <w:t>7.09</w:t>
      </w:r>
      <w:r w:rsidRPr="00EC0229">
        <w:t xml:space="preserve"> analyses sites active in </w:t>
      </w:r>
      <w:r w:rsidRPr="00EC0229">
        <w:rPr>
          <w:i/>
        </w:rPr>
        <w:t>either</w:t>
      </w:r>
      <w:r w:rsidR="009E3BEA" w:rsidRPr="00EC0229">
        <w:t xml:space="preserve"> the eighth</w:t>
      </w:r>
      <w:r w:rsidRPr="00EC0229">
        <w:t xml:space="preserve"> or ninth</w:t>
      </w:r>
      <w:r w:rsidR="009E3BEA" w:rsidRPr="00EC0229">
        <w:t xml:space="preserve"> </w:t>
      </w:r>
      <w:r w:rsidRPr="00EC0229">
        <w:t>century to suggest prospective shifts.</w:t>
      </w:r>
    </w:p>
    <w:p w14:paraId="5A3436B9" w14:textId="271B073C" w:rsidR="00205FE6" w:rsidRPr="00EC0229" w:rsidRDefault="00205FE6" w:rsidP="007600EA">
      <w:pPr>
        <w:pStyle w:val="NoSpacing"/>
        <w:spacing w:line="360" w:lineRule="auto"/>
      </w:pPr>
    </w:p>
    <w:p w14:paraId="1F1E4818" w14:textId="21DF8CA7" w:rsidR="00205FE6" w:rsidRPr="00EC0229" w:rsidRDefault="00205FE6" w:rsidP="007600EA">
      <w:pPr>
        <w:pStyle w:val="NoSpacing"/>
        <w:spacing w:line="360" w:lineRule="auto"/>
        <w:rPr>
          <w:szCs w:val="24"/>
        </w:rPr>
      </w:pPr>
      <w:r w:rsidRPr="00EC0229">
        <w:rPr>
          <w:szCs w:val="24"/>
        </w:rPr>
        <w:t xml:space="preserve">The above finds demonstrate not only widespread use of coinage from all three phases of </w:t>
      </w:r>
      <w:r w:rsidR="003F2041" w:rsidRPr="00EC0229">
        <w:rPr>
          <w:szCs w:val="24"/>
        </w:rPr>
        <w:t>monetiz</w:t>
      </w:r>
      <w:r w:rsidRPr="00EC0229">
        <w:rPr>
          <w:szCs w:val="24"/>
        </w:rPr>
        <w:t>ation</w:t>
      </w:r>
      <w:r w:rsidRPr="00EC0229">
        <w:rPr>
          <w:szCs w:val="24"/>
        </w:rPr>
        <w:fldChar w:fldCharType="begin"/>
      </w:r>
      <w:r w:rsidRPr="00EC0229">
        <w:instrText xml:space="preserve"> XE "monetization" </w:instrText>
      </w:r>
      <w:r w:rsidRPr="00EC0229">
        <w:rPr>
          <w:szCs w:val="24"/>
        </w:rPr>
        <w:fldChar w:fldCharType="end"/>
      </w:r>
      <w:r w:rsidRPr="00EC0229">
        <w:rPr>
          <w:szCs w:val="24"/>
        </w:rPr>
        <w:t xml:space="preserve"> but also long-distance trading contacts throughout the region.</w:t>
      </w:r>
    </w:p>
    <w:p w14:paraId="52F13F58" w14:textId="77777777" w:rsidR="00205FE6" w:rsidRPr="00EC0229" w:rsidRDefault="00205FE6" w:rsidP="007600EA">
      <w:pPr>
        <w:pStyle w:val="NoSpacing"/>
        <w:spacing w:line="360" w:lineRule="auto"/>
      </w:pPr>
    </w:p>
    <w:p w14:paraId="5080A443" w14:textId="77777777" w:rsidR="00544BE6" w:rsidRPr="00EC0229" w:rsidRDefault="00544BE6" w:rsidP="007600EA">
      <w:pPr>
        <w:pStyle w:val="NoSpacing"/>
        <w:spacing w:line="360" w:lineRule="auto"/>
      </w:pPr>
      <w:bookmarkStart w:id="626" w:name="Chapter14"/>
      <w:bookmarkEnd w:id="626"/>
    </w:p>
    <w:p w14:paraId="31FC045C" w14:textId="77777777" w:rsidR="00F91183" w:rsidRDefault="00F91183">
      <w:pPr>
        <w:spacing w:line="259" w:lineRule="auto"/>
        <w:jc w:val="left"/>
        <w:rPr>
          <w:b/>
          <w:sz w:val="28"/>
          <w:szCs w:val="26"/>
        </w:rPr>
      </w:pPr>
      <w:bookmarkStart w:id="627" w:name="TheYorkshireWolds"/>
      <w:bookmarkEnd w:id="627"/>
      <w:r>
        <w:br w:type="page"/>
      </w:r>
    </w:p>
    <w:p w14:paraId="00C02380" w14:textId="1CD4FD09" w:rsidR="00854613" w:rsidRPr="00EC0229" w:rsidRDefault="00736C9E" w:rsidP="007600EA">
      <w:pPr>
        <w:pStyle w:val="Heading2"/>
        <w:spacing w:line="360" w:lineRule="auto"/>
      </w:pPr>
      <w:bookmarkStart w:id="628" w:name="_Toc468266875"/>
      <w:r>
        <w:lastRenderedPageBreak/>
        <w:t>8.2.3.</w:t>
      </w:r>
      <w:r>
        <w:tab/>
      </w:r>
      <w:r w:rsidR="00854613" w:rsidRPr="00EC0229">
        <w:t>The Yorkshire Wolds</w:t>
      </w:r>
      <w:bookmarkEnd w:id="628"/>
      <w:r w:rsidR="006B1593" w:rsidRPr="00EC0229">
        <w:fldChar w:fldCharType="begin"/>
      </w:r>
      <w:r w:rsidR="006B1593" w:rsidRPr="00EC0229">
        <w:instrText xml:space="preserve"> XE "</w:instrText>
      </w:r>
      <w:r w:rsidR="006B1593" w:rsidRPr="00EC0229">
        <w:rPr>
          <w:rStyle w:val="Hyperlink"/>
          <w:rFonts w:cs="Times New Roman"/>
          <w:noProof/>
          <w:u w:val="none"/>
        </w:rPr>
        <w:instrText>Yorkshire Wolds</w:instrText>
      </w:r>
      <w:r w:rsidR="006B1593" w:rsidRPr="00EC0229">
        <w:instrText xml:space="preserve">" </w:instrText>
      </w:r>
      <w:r w:rsidR="006B1593" w:rsidRPr="00EC0229">
        <w:fldChar w:fldCharType="end"/>
      </w:r>
    </w:p>
    <w:p w14:paraId="661E9826" w14:textId="77777777" w:rsidR="00854613" w:rsidRPr="00EC0229" w:rsidRDefault="00854613" w:rsidP="007600EA">
      <w:pPr>
        <w:pStyle w:val="NoSpacing"/>
        <w:spacing w:line="360" w:lineRule="auto"/>
        <w:jc w:val="right"/>
        <w:rPr>
          <w:sz w:val="20"/>
          <w:szCs w:val="20"/>
        </w:rPr>
      </w:pPr>
      <w:r w:rsidRPr="00EC0229">
        <w:rPr>
          <w:sz w:val="20"/>
          <w:szCs w:val="20"/>
        </w:rPr>
        <w:t>‘The answer lies in the soil!’</w:t>
      </w:r>
    </w:p>
    <w:p w14:paraId="3EBFE1EB" w14:textId="77777777" w:rsidR="00854613" w:rsidRPr="00EC0229" w:rsidRDefault="00854613" w:rsidP="007600EA">
      <w:pPr>
        <w:pStyle w:val="NoSpacing"/>
        <w:spacing w:line="360" w:lineRule="auto"/>
        <w:jc w:val="right"/>
        <w:rPr>
          <w:sz w:val="20"/>
          <w:szCs w:val="20"/>
        </w:rPr>
      </w:pPr>
      <w:r w:rsidRPr="00EC0229">
        <w:rPr>
          <w:sz w:val="20"/>
          <w:szCs w:val="20"/>
        </w:rPr>
        <w:t xml:space="preserve"> Arthur Fallowfield, </w:t>
      </w:r>
      <w:r w:rsidRPr="00EC0229">
        <w:rPr>
          <w:bCs/>
          <w:i/>
          <w:iCs/>
          <w:sz w:val="20"/>
          <w:szCs w:val="20"/>
        </w:rPr>
        <w:t>Beyond Our Ken</w:t>
      </w:r>
      <w:r w:rsidRPr="00EC0229">
        <w:rPr>
          <w:sz w:val="20"/>
          <w:szCs w:val="20"/>
        </w:rPr>
        <w:t xml:space="preserve"> (1958–1964), </w:t>
      </w:r>
    </w:p>
    <w:p w14:paraId="624AB9D4" w14:textId="77777777" w:rsidR="00854613" w:rsidRPr="00EC0229" w:rsidRDefault="00854613" w:rsidP="007600EA">
      <w:pPr>
        <w:pStyle w:val="NoSpacing"/>
        <w:spacing w:line="360" w:lineRule="auto"/>
        <w:jc w:val="right"/>
        <w:rPr>
          <w:sz w:val="20"/>
          <w:szCs w:val="20"/>
        </w:rPr>
      </w:pPr>
      <w:r w:rsidRPr="00EC0229">
        <w:rPr>
          <w:sz w:val="20"/>
          <w:szCs w:val="20"/>
        </w:rPr>
        <w:t>BBC Radio, Home Service.</w:t>
      </w:r>
    </w:p>
    <w:p w14:paraId="67C7E277" w14:textId="31D7F5F0" w:rsidR="00854613" w:rsidRPr="00EC0229" w:rsidRDefault="00854613" w:rsidP="007600EA">
      <w:pPr>
        <w:pStyle w:val="NoSpacing"/>
        <w:spacing w:line="360" w:lineRule="auto"/>
      </w:pPr>
      <w:r w:rsidRPr="00EC0229">
        <w:t>It is difficult to discern patterns of abandonment or continuity at the end of the Roman</w:t>
      </w:r>
      <w:r w:rsidR="00D142DC" w:rsidRPr="00EC0229">
        <w:fldChar w:fldCharType="begin"/>
      </w:r>
      <w:r w:rsidR="00D142DC" w:rsidRPr="00EC0229">
        <w:instrText xml:space="preserve"> XE "Roman" </w:instrText>
      </w:r>
      <w:r w:rsidR="00D142DC" w:rsidRPr="00EC0229">
        <w:fldChar w:fldCharType="end"/>
      </w:r>
      <w:r w:rsidRPr="00EC0229">
        <w:t xml:space="preserve"> occupation.</w:t>
      </w:r>
      <w:r w:rsidRPr="00EC0229">
        <w:rPr>
          <w:rStyle w:val="FootnoteReference"/>
        </w:rPr>
        <w:footnoteReference w:id="980"/>
      </w:r>
      <w:r w:rsidRPr="00EC0229">
        <w:t xml:space="preserve"> The system of villas and towns fell into disrepair, possibly replaced by locally organised rural estates, sometimes referred to as ‘multiple estates’</w:t>
      </w:r>
      <w:r w:rsidR="00F66CEB" w:rsidRPr="00EC0229">
        <w:fldChar w:fldCharType="begin"/>
      </w:r>
      <w:r w:rsidR="00F66CEB" w:rsidRPr="00EC0229">
        <w:instrText xml:space="preserve"> XE "</w:instrText>
      </w:r>
      <w:r w:rsidR="00F66CEB" w:rsidRPr="00EC0229">
        <w:rPr>
          <w:rFonts w:cs="Times New Roman"/>
          <w:szCs w:val="24"/>
        </w:rPr>
        <w:instrText>multiple estates</w:instrText>
      </w:r>
      <w:r w:rsidR="00F66CEB" w:rsidRPr="00EC0229">
        <w:instrText xml:space="preserve">" </w:instrText>
      </w:r>
      <w:r w:rsidR="00F66CEB" w:rsidRPr="00EC0229">
        <w:fldChar w:fldCharType="end"/>
      </w:r>
      <w:r w:rsidRPr="00EC0229">
        <w:t xml:space="preserve"> at the edges of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Satellite dependencies were</w:t>
      </w:r>
      <w:r w:rsidR="00661129" w:rsidRPr="00EC0229">
        <w:t xml:space="preserve"> subsequently, perhaps anachronistically,</w:t>
      </w:r>
      <w:r w:rsidRPr="00EC0229">
        <w:t xml:space="preserve"> described as </w:t>
      </w:r>
      <w:r w:rsidRPr="00EC0229">
        <w:rPr>
          <w:i/>
        </w:rPr>
        <w:t>sokeland</w:t>
      </w:r>
      <w:r w:rsidRPr="00EC0229">
        <w:t xml:space="preserve"> or </w:t>
      </w:r>
      <w:r w:rsidRPr="00EC0229">
        <w:rPr>
          <w:i/>
        </w:rPr>
        <w:t>berewick</w:t>
      </w:r>
      <w:r w:rsidRPr="00EC0229">
        <w:t>, and extensive tracts on higher or marginal land served as common pastures.</w:t>
      </w:r>
      <w:r w:rsidRPr="00EC0229">
        <w:rPr>
          <w:rStyle w:val="FootnoteReference"/>
        </w:rPr>
        <w:footnoteReference w:id="981"/>
      </w:r>
      <w:r w:rsidRPr="00EC0229">
        <w:t xml:space="preserve"> The conventional wisdom among detectorists is that all coin producing Anglian</w:t>
      </w:r>
      <w:r w:rsidR="00D142DC" w:rsidRPr="00EC0229">
        <w:fldChar w:fldCharType="begin"/>
      </w:r>
      <w:r w:rsidR="00D142DC" w:rsidRPr="00EC0229">
        <w:instrText xml:space="preserve"> XE "Anglian" </w:instrText>
      </w:r>
      <w:r w:rsidR="00D142DC" w:rsidRPr="00EC0229">
        <w:fldChar w:fldCharType="end"/>
      </w:r>
      <w:r w:rsidRPr="00EC0229">
        <w:t xml:space="preserve"> sites also reveal Roman coins. </w:t>
      </w:r>
    </w:p>
    <w:p w14:paraId="7A47D102" w14:textId="77777777" w:rsidR="00854613" w:rsidRPr="00EC0229" w:rsidRDefault="00854613" w:rsidP="007600EA">
      <w:pPr>
        <w:pStyle w:val="NoSpacing"/>
        <w:spacing w:line="360" w:lineRule="auto"/>
        <w:rPr>
          <w:szCs w:val="24"/>
        </w:rPr>
      </w:pPr>
    </w:p>
    <w:p w14:paraId="302A3B81" w14:textId="734B6C97" w:rsidR="00854613" w:rsidRPr="00EC0229" w:rsidRDefault="00854613" w:rsidP="007600EA">
      <w:pPr>
        <w:pStyle w:val="NoSpacing"/>
        <w:spacing w:line="360" w:lineRule="auto"/>
      </w:pPr>
      <w:r w:rsidRPr="00EC0229">
        <w:t>Attention may now be turned to the characterisation and explanation of the coin-rich sites in the Yorkshire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Yorkshire Wolds</w:instrText>
      </w:r>
      <w:r w:rsidR="006B1593" w:rsidRPr="00EC0229">
        <w:instrText xml:space="preserve">" </w:instrText>
      </w:r>
      <w:r w:rsidR="006B1593" w:rsidRPr="00EC0229">
        <w:fldChar w:fldCharType="end"/>
      </w:r>
      <w:r w:rsidRPr="00EC0229">
        <w:t xml:space="preserve">. These are tabulated by </w:t>
      </w:r>
      <w:r w:rsidR="002F0962" w:rsidRPr="00EC0229">
        <w:t xml:space="preserve">period and </w:t>
      </w:r>
      <w:r w:rsidRPr="00EC0229">
        <w:t xml:space="preserve">issuer in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B15422" w:rsidRPr="00EC0229">
        <w:rPr>
          <w:i/>
        </w:rPr>
        <w:t xml:space="preserve"> 8.1</w:t>
      </w:r>
      <w:r w:rsidR="00914CF8" w:rsidRPr="00EC0229">
        <w:rPr>
          <w:i/>
        </w:rPr>
        <w:t>6</w:t>
      </w:r>
      <w:r w:rsidRPr="00EC0229">
        <w:rPr>
          <w:i/>
        </w:rPr>
        <w:t xml:space="preserve"> </w:t>
      </w:r>
      <w:r w:rsidRPr="00EC0229">
        <w:t xml:space="preserve">and are significantly higher in number than in the </w:t>
      </w:r>
      <w:r w:rsidR="00C7553E" w:rsidRPr="00EC0229">
        <w:t>Central Lowlands</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due to the human and geographical recovery factors at play. The soil of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is more amenable to detection and access is less inhibited due to land use. While it is difficult to quantify this influence, find volumes at major Wolds locations such as South Newbald</w:t>
      </w:r>
      <w:r w:rsidR="006B1593" w:rsidRPr="00EC0229">
        <w:fldChar w:fldCharType="begin"/>
      </w:r>
      <w:r w:rsidR="006B1593" w:rsidRPr="00EC0229">
        <w:instrText xml:space="preserve"> XE "</w:instrText>
      </w:r>
      <w:r w:rsidR="006B1593" w:rsidRPr="00EC0229">
        <w:rPr>
          <w:noProof/>
        </w:rPr>
        <w:instrText>South Newbald</w:instrText>
      </w:r>
      <w:r w:rsidR="006B1593" w:rsidRPr="00EC0229">
        <w:instrText xml:space="preserve">" </w:instrText>
      </w:r>
      <w:r w:rsidR="006B1593" w:rsidRPr="00EC0229">
        <w:fldChar w:fldCharType="end"/>
      </w:r>
      <w:r w:rsidRPr="00EC0229">
        <w:t xml:space="preserve"> </w:t>
      </w:r>
      <w:r w:rsidR="004B1D74" w:rsidRPr="00EC0229">
        <w:t>(</w:t>
      </w:r>
      <w:r w:rsidR="00125E73" w:rsidRPr="00EC0229">
        <w:fldChar w:fldCharType="begin"/>
      </w:r>
      <w:r w:rsidR="00125E73" w:rsidRPr="00EC0229">
        <w:instrText xml:space="preserve"> PAGEREF SouthNewbald \h </w:instrText>
      </w:r>
      <w:r w:rsidR="00125E73" w:rsidRPr="00EC0229">
        <w:fldChar w:fldCharType="separate"/>
      </w:r>
      <w:r w:rsidR="0012026B">
        <w:rPr>
          <w:noProof/>
        </w:rPr>
        <w:t>232</w:t>
      </w:r>
      <w:r w:rsidR="00125E73" w:rsidRPr="00EC0229">
        <w:fldChar w:fldCharType="end"/>
      </w:r>
      <w:r w:rsidR="004B1D74" w:rsidRPr="00EC0229">
        <w:t xml:space="preserve">) </w:t>
      </w:r>
      <w:r w:rsidRPr="00EC0229">
        <w:t>and Sledmere</w:t>
      </w:r>
      <w:r w:rsidR="006B1593" w:rsidRPr="00EC0229">
        <w:fldChar w:fldCharType="begin"/>
      </w:r>
      <w:r w:rsidR="006B1593" w:rsidRPr="00EC0229">
        <w:instrText xml:space="preserve"> XE "</w:instrText>
      </w:r>
      <w:r w:rsidR="006B1593" w:rsidRPr="00EC0229">
        <w:rPr>
          <w:noProof/>
        </w:rPr>
        <w:instrText>Sledmere</w:instrText>
      </w:r>
      <w:r w:rsidR="006B1593" w:rsidRPr="00EC0229">
        <w:instrText xml:space="preserve">" </w:instrText>
      </w:r>
      <w:r w:rsidR="006B1593" w:rsidRPr="00EC0229">
        <w:fldChar w:fldCharType="end"/>
      </w:r>
      <w:r w:rsidRPr="00EC0229">
        <w:t xml:space="preserve"> </w:t>
      </w:r>
      <w:r w:rsidR="00EC3149" w:rsidRPr="00EC0229">
        <w:t>(</w:t>
      </w:r>
      <w:r w:rsidR="00125E73" w:rsidRPr="00EC0229">
        <w:fldChar w:fldCharType="begin"/>
      </w:r>
      <w:r w:rsidR="00125E73" w:rsidRPr="00EC0229">
        <w:instrText xml:space="preserve"> PAGEREF Sledmere \h </w:instrText>
      </w:r>
      <w:r w:rsidR="00125E73" w:rsidRPr="00EC0229">
        <w:fldChar w:fldCharType="separate"/>
      </w:r>
      <w:r w:rsidR="0012026B">
        <w:rPr>
          <w:noProof/>
        </w:rPr>
        <w:t>243</w:t>
      </w:r>
      <w:r w:rsidR="00125E73" w:rsidRPr="00EC0229">
        <w:fldChar w:fldCharType="end"/>
      </w:r>
      <w:r w:rsidR="004B1D74" w:rsidRPr="00EC0229">
        <w:t xml:space="preserve">) </w:t>
      </w:r>
      <w:r w:rsidRPr="00EC0229">
        <w:t>compare favourably to Fishergate</w:t>
      </w:r>
      <w:r w:rsidR="006B1593" w:rsidRPr="00EC0229">
        <w:fldChar w:fldCharType="begin"/>
      </w:r>
      <w:r w:rsidR="006B1593" w:rsidRPr="00EC0229">
        <w:instrText xml:space="preserve"> XE "</w:instrText>
      </w:r>
      <w:r w:rsidR="006B1593" w:rsidRPr="00EC0229">
        <w:rPr>
          <w:noProof/>
        </w:rPr>
        <w:instrText>Fishergate</w:instrText>
      </w:r>
      <w:r w:rsidR="006B1593" w:rsidRPr="00EC0229">
        <w:instrText xml:space="preserve">" </w:instrText>
      </w:r>
      <w:r w:rsidR="006B1593" w:rsidRPr="00EC0229">
        <w:fldChar w:fldCharType="end"/>
      </w:r>
      <w:r w:rsidR="004B1D74" w:rsidRPr="00EC0229">
        <w:t xml:space="preserve"> (</w:t>
      </w:r>
      <w:r w:rsidR="00125E73" w:rsidRPr="00EC0229">
        <w:fldChar w:fldCharType="begin"/>
      </w:r>
      <w:r w:rsidR="00125E73" w:rsidRPr="00EC0229">
        <w:instrText xml:space="preserve"> PAGEREF Fishergate \h </w:instrText>
      </w:r>
      <w:r w:rsidR="00125E73" w:rsidRPr="00EC0229">
        <w:fldChar w:fldCharType="separate"/>
      </w:r>
      <w:r w:rsidR="0012026B">
        <w:rPr>
          <w:noProof/>
        </w:rPr>
        <w:t>186</w:t>
      </w:r>
      <w:r w:rsidR="00125E73" w:rsidRPr="00EC0229">
        <w:fldChar w:fldCharType="end"/>
      </w:r>
      <w:r w:rsidR="004B1D74" w:rsidRPr="00EC0229">
        <w:t>).</w:t>
      </w:r>
      <w:r w:rsidRPr="00EC0229">
        <w:t xml:space="preserve"> </w:t>
      </w:r>
      <w:r w:rsidR="00E220F5" w:rsidRPr="00EC0229">
        <w:t>In b</w:t>
      </w:r>
      <w:r w:rsidRPr="00EC0229">
        <w:t xml:space="preserve">oth </w:t>
      </w:r>
      <w:r w:rsidR="00E220F5" w:rsidRPr="00EC0229">
        <w:t xml:space="preserve">the </w:t>
      </w:r>
      <w:r w:rsidRPr="00EC0229">
        <w:t>Roman</w:t>
      </w:r>
      <w:r w:rsidR="00D142DC" w:rsidRPr="00EC0229">
        <w:fldChar w:fldCharType="begin"/>
      </w:r>
      <w:r w:rsidR="00D142DC" w:rsidRPr="00EC0229">
        <w:instrText xml:space="preserve"> XE "Roman" </w:instrText>
      </w:r>
      <w:r w:rsidR="00D142DC" w:rsidRPr="00EC0229">
        <w:fldChar w:fldCharType="end"/>
      </w:r>
      <w:r w:rsidRPr="00EC0229">
        <w:t xml:space="preserve"> </w:t>
      </w:r>
      <w:r w:rsidR="00E220F5" w:rsidRPr="00EC0229">
        <w:t xml:space="preserve">and early Anglo-Saxon </w:t>
      </w:r>
      <w:r w:rsidRPr="00EC0229">
        <w:t xml:space="preserve">period </w:t>
      </w:r>
      <w:r w:rsidR="00E220F5" w:rsidRPr="00EC0229">
        <w:t xml:space="preserve">the Wolds contribute around 55% of northern coin </w:t>
      </w:r>
      <w:r w:rsidRPr="00EC0229">
        <w:t>finds</w:t>
      </w:r>
      <w:r w:rsidR="00E220F5" w:rsidRPr="00EC0229">
        <w:t>,</w:t>
      </w:r>
      <w:r w:rsidRPr="00EC0229">
        <w:t xml:space="preserve"> leading to the conclusion that the Wolds </w:t>
      </w:r>
      <w:r w:rsidR="00E220F5" w:rsidRPr="00EC0229">
        <w:t>remained</w:t>
      </w:r>
      <w:r w:rsidRPr="00EC0229">
        <w:t xml:space="preserve"> economically more active</w:t>
      </w:r>
      <w:r w:rsidR="00E220F5" w:rsidRPr="00EC0229">
        <w:t xml:space="preserve"> than 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w:t>
      </w:r>
    </w:p>
    <w:p w14:paraId="5F398E6A" w14:textId="77777777" w:rsidR="00854613" w:rsidRPr="00EC0229" w:rsidRDefault="00854613" w:rsidP="007600EA">
      <w:pPr>
        <w:pStyle w:val="NoSpacing"/>
        <w:spacing w:line="360" w:lineRule="auto"/>
      </w:pPr>
    </w:p>
    <w:p w14:paraId="70AEE181" w14:textId="382749C4" w:rsidR="00854613" w:rsidRPr="00EC0229" w:rsidRDefault="00E220F5" w:rsidP="007600EA">
      <w:pPr>
        <w:pStyle w:val="NoSpacing"/>
        <w:spacing w:line="360" w:lineRule="auto"/>
      </w:pPr>
      <w:r w:rsidRPr="00EC0229">
        <w:t>T</w:t>
      </w:r>
      <w:r w:rsidR="00854613" w:rsidRPr="00EC0229">
        <w:t>hree spheres</w:t>
      </w:r>
      <w:r w:rsidRPr="00EC0229">
        <w:t xml:space="preserve"> of activity,</w:t>
      </w:r>
      <w:r w:rsidR="00854613" w:rsidRPr="00EC0229">
        <w:t xml:space="preserve"> largely determined by the clustering of reported finds</w:t>
      </w:r>
      <w:r w:rsidR="006E171F" w:rsidRPr="00EC0229">
        <w:t>, have been identified</w:t>
      </w:r>
      <w:r w:rsidR="00922796" w:rsidRPr="00EC0229">
        <w:t xml:space="preserve"> (</w:t>
      </w:r>
      <w:r w:rsidR="00922796" w:rsidRPr="00EC0229">
        <w:rPr>
          <w:i/>
        </w:rPr>
        <w:t xml:space="preserve">Map </w:t>
      </w:r>
      <w:r w:rsidR="004048E5" w:rsidRPr="00EC0229">
        <w:rPr>
          <w:i/>
        </w:rPr>
        <w:t>8.11</w:t>
      </w:r>
      <w:r w:rsidR="00922796" w:rsidRPr="00EC0229">
        <w:t>)</w:t>
      </w:r>
      <w:r w:rsidR="00854613" w:rsidRPr="00EC0229">
        <w:t>:</w:t>
      </w:r>
    </w:p>
    <w:p w14:paraId="000E06C1" w14:textId="5B1144EF" w:rsidR="00854613" w:rsidRPr="00EC0229" w:rsidRDefault="00854613" w:rsidP="00387063">
      <w:pPr>
        <w:pStyle w:val="NoSpacing"/>
        <w:numPr>
          <w:ilvl w:val="0"/>
          <w:numId w:val="8"/>
        </w:numPr>
        <w:spacing w:line="360" w:lineRule="auto"/>
        <w:rPr>
          <w:szCs w:val="24"/>
        </w:rPr>
      </w:pPr>
      <w:r w:rsidRPr="00EC0229">
        <w:t>Wolds</w:t>
      </w:r>
      <w:r w:rsidR="00F755CE" w:rsidRPr="00EC0229">
        <w:t>,</w:t>
      </w:r>
      <w:r w:rsidR="006B1593" w:rsidRPr="00EC0229">
        <w:fldChar w:fldCharType="begin"/>
      </w:r>
      <w:r w:rsidR="006B1593" w:rsidRPr="00EC0229">
        <w:instrText xml:space="preserve"> XE "</w:instrText>
      </w:r>
      <w:r w:rsidR="006B1593" w:rsidRPr="00EC0229">
        <w:rPr>
          <w:rFonts w:cs="Times New Roman"/>
          <w:noProof/>
        </w:rPr>
        <w:instrText>Wolds</w:instrText>
      </w:r>
      <w:r w:rsidR="006B1593" w:rsidRPr="00EC0229">
        <w:instrText xml:space="preserve">" </w:instrText>
      </w:r>
      <w:r w:rsidR="006B1593" w:rsidRPr="00EC0229">
        <w:fldChar w:fldCharType="end"/>
      </w:r>
      <w:r w:rsidRPr="00EC0229">
        <w:t xml:space="preserve"> west</w:t>
      </w:r>
      <w:r w:rsidR="004B1D74" w:rsidRPr="00EC0229">
        <w:t xml:space="preserve"> (</w:t>
      </w:r>
      <w:r w:rsidR="00B00A25" w:rsidRPr="00EC0229">
        <w:fldChar w:fldCharType="begin"/>
      </w:r>
      <w:r w:rsidR="00B00A25" w:rsidRPr="00EC0229">
        <w:instrText xml:space="preserve"> PAGEREF Woldswest \h </w:instrText>
      </w:r>
      <w:r w:rsidR="00B00A25" w:rsidRPr="00EC0229">
        <w:fldChar w:fldCharType="separate"/>
      </w:r>
      <w:r w:rsidR="0012026B">
        <w:rPr>
          <w:noProof/>
        </w:rPr>
        <w:t>223</w:t>
      </w:r>
      <w:r w:rsidR="00B00A25" w:rsidRPr="00EC0229">
        <w:fldChar w:fldCharType="end"/>
      </w:r>
      <w:r w:rsidR="004B1D74" w:rsidRPr="00EC0229">
        <w:t>)</w:t>
      </w:r>
      <w:r w:rsidR="00511F76" w:rsidRPr="00EC0229">
        <w:rPr>
          <w:rStyle w:val="FootnoteReference"/>
        </w:rPr>
        <w:t xml:space="preserve"> </w:t>
      </w:r>
      <w:r w:rsidR="00511F76" w:rsidRPr="00EC0229">
        <w:rPr>
          <w:rStyle w:val="FootnoteReference"/>
        </w:rPr>
        <w:footnoteReference w:id="982"/>
      </w:r>
      <w:r w:rsidR="004B1D74" w:rsidRPr="00EC0229">
        <w:t>:</w:t>
      </w:r>
      <w:r w:rsidRPr="00EC0229">
        <w:t xml:space="preserve"> </w:t>
      </w:r>
      <w:r w:rsidR="00A33D33" w:rsidRPr="00EC0229">
        <w:t xml:space="preserve">deemed to include locations on the western periphery of the wolds, </w:t>
      </w:r>
      <w:r w:rsidR="000E2E31" w:rsidRPr="00EC0229">
        <w:t>d</w:t>
      </w:r>
      <w:r w:rsidR="00A33D33" w:rsidRPr="00EC0229">
        <w:t xml:space="preserve">escending into 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00A33D33" w:rsidRPr="00EC0229">
        <w:t xml:space="preserve"> and</w:t>
      </w:r>
      <w:r w:rsidR="000E2E31" w:rsidRPr="00EC0229">
        <w:t xml:space="preserve"> </w:t>
      </w:r>
      <w:r w:rsidR="00A33D33" w:rsidRPr="00EC0229">
        <w:t>running</w:t>
      </w:r>
      <w:r w:rsidRPr="00EC0229">
        <w:t xml:space="preserve"> south from Buttercrambe </w:t>
      </w:r>
      <w:r w:rsidR="004B1D74" w:rsidRPr="00EC0229">
        <w:t>(</w:t>
      </w:r>
      <w:r w:rsidR="00B00A25" w:rsidRPr="00EC0229">
        <w:fldChar w:fldCharType="begin"/>
      </w:r>
      <w:r w:rsidR="00B00A25" w:rsidRPr="00EC0229">
        <w:instrText xml:space="preserve"> PAGEREF Buttercrambe \h </w:instrText>
      </w:r>
      <w:r w:rsidR="00B00A25" w:rsidRPr="00EC0229">
        <w:fldChar w:fldCharType="separate"/>
      </w:r>
      <w:r w:rsidR="0012026B">
        <w:rPr>
          <w:noProof/>
        </w:rPr>
        <w:t>223</w:t>
      </w:r>
      <w:r w:rsidR="00B00A25" w:rsidRPr="00EC0229">
        <w:fldChar w:fldCharType="end"/>
      </w:r>
      <w:r w:rsidR="00B00A25" w:rsidRPr="00EC0229">
        <w:t>)</w:t>
      </w:r>
      <w:r w:rsidR="004B1D74" w:rsidRPr="00EC0229">
        <w:t xml:space="preserve"> </w:t>
      </w:r>
      <w:r w:rsidRPr="00EC0229">
        <w:t>to North Ferriby</w:t>
      </w:r>
      <w:r w:rsidR="004B1D74" w:rsidRPr="00EC0229">
        <w:t xml:space="preserve"> (</w:t>
      </w:r>
      <w:r w:rsidR="00603F01" w:rsidRPr="00EC0229">
        <w:fldChar w:fldCharType="begin"/>
      </w:r>
      <w:r w:rsidR="00603F01" w:rsidRPr="00EC0229">
        <w:instrText xml:space="preserve"> PAGEREF NorthFerriby \h </w:instrText>
      </w:r>
      <w:r w:rsidR="00603F01" w:rsidRPr="00EC0229">
        <w:fldChar w:fldCharType="separate"/>
      </w:r>
      <w:r w:rsidR="0012026B">
        <w:rPr>
          <w:noProof/>
        </w:rPr>
        <w:t>232</w:t>
      </w:r>
      <w:r w:rsidR="00603F01" w:rsidRPr="00EC0229">
        <w:fldChar w:fldCharType="end"/>
      </w:r>
      <w:r w:rsidR="004B1D74" w:rsidRPr="00EC0229">
        <w:t>)</w:t>
      </w:r>
      <w:r w:rsidR="00511F76" w:rsidRPr="00EC0229">
        <w:t xml:space="preserve"> and linked by ancient trackways</w:t>
      </w:r>
      <w:r w:rsidR="004B1D74" w:rsidRPr="00EC0229">
        <w:t>.</w:t>
      </w:r>
      <w:r w:rsidRPr="00EC0229">
        <w:t xml:space="preserve"> </w:t>
      </w:r>
      <w:r w:rsidRPr="00EC0229">
        <w:rPr>
          <w:szCs w:val="24"/>
        </w:rPr>
        <w:t>Given that Flixborough</w:t>
      </w:r>
      <w:r w:rsidR="006B1593" w:rsidRPr="00EC0229">
        <w:rPr>
          <w:szCs w:val="24"/>
        </w:rPr>
        <w:fldChar w:fldCharType="begin"/>
      </w:r>
      <w:r w:rsidR="006B1593" w:rsidRPr="00EC0229">
        <w:instrText xml:space="preserve"> XE "</w:instrText>
      </w:r>
      <w:r w:rsidR="006B1593" w:rsidRPr="00EC0229">
        <w:rPr>
          <w:noProof/>
        </w:rPr>
        <w:instrText>Flixborough</w:instrText>
      </w:r>
      <w:r w:rsidR="006B1593" w:rsidRPr="00EC0229">
        <w:instrText xml:space="preserve">" </w:instrText>
      </w:r>
      <w:r w:rsidR="006B1593" w:rsidRPr="00EC0229">
        <w:rPr>
          <w:szCs w:val="24"/>
        </w:rPr>
        <w:fldChar w:fldCharType="end"/>
      </w:r>
      <w:r w:rsidRPr="00EC0229">
        <w:rPr>
          <w:szCs w:val="24"/>
        </w:rPr>
        <w:t xml:space="preserve"> </w:t>
      </w:r>
      <w:r w:rsidRPr="00EC0229">
        <w:rPr>
          <w:szCs w:val="24"/>
        </w:rPr>
        <w:lastRenderedPageBreak/>
        <w:t xml:space="preserve">is on the Lincolnshire continuation of the Wolds, a brief description of </w:t>
      </w:r>
      <w:r w:rsidR="00D84865" w:rsidRPr="00EC0229">
        <w:rPr>
          <w:szCs w:val="24"/>
        </w:rPr>
        <w:t xml:space="preserve">that site is also included </w:t>
      </w:r>
      <w:r w:rsidRPr="00EC0229">
        <w:rPr>
          <w:szCs w:val="24"/>
        </w:rPr>
        <w:t>for comparative purposes</w:t>
      </w:r>
      <w:r w:rsidR="00D84865" w:rsidRPr="00EC0229">
        <w:rPr>
          <w:szCs w:val="24"/>
        </w:rPr>
        <w:t xml:space="preserve"> (</w:t>
      </w:r>
      <w:r w:rsidR="00603F01" w:rsidRPr="00EC0229">
        <w:rPr>
          <w:szCs w:val="24"/>
        </w:rPr>
        <w:fldChar w:fldCharType="begin"/>
      </w:r>
      <w:r w:rsidR="00603F01" w:rsidRPr="00EC0229">
        <w:rPr>
          <w:szCs w:val="24"/>
        </w:rPr>
        <w:instrText xml:space="preserve"> PAGEREF Flixborough \h </w:instrText>
      </w:r>
      <w:r w:rsidR="00603F01" w:rsidRPr="00EC0229">
        <w:rPr>
          <w:szCs w:val="24"/>
        </w:rPr>
      </w:r>
      <w:r w:rsidR="00603F01" w:rsidRPr="00EC0229">
        <w:rPr>
          <w:szCs w:val="24"/>
        </w:rPr>
        <w:fldChar w:fldCharType="separate"/>
      </w:r>
      <w:r w:rsidR="0012026B">
        <w:rPr>
          <w:noProof/>
          <w:szCs w:val="24"/>
        </w:rPr>
        <w:t>233</w:t>
      </w:r>
      <w:r w:rsidR="00603F01" w:rsidRPr="00EC0229">
        <w:rPr>
          <w:szCs w:val="24"/>
        </w:rPr>
        <w:fldChar w:fldCharType="end"/>
      </w:r>
      <w:r w:rsidR="00D84865" w:rsidRPr="00EC0229">
        <w:rPr>
          <w:szCs w:val="24"/>
        </w:rPr>
        <w:t>)</w:t>
      </w:r>
      <w:r w:rsidRPr="00EC0229">
        <w:rPr>
          <w:szCs w:val="24"/>
        </w:rPr>
        <w:t>.</w:t>
      </w:r>
    </w:p>
    <w:p w14:paraId="3525DB60" w14:textId="5CA24496" w:rsidR="00854613" w:rsidRPr="00EC0229" w:rsidRDefault="00DD208B" w:rsidP="00387063">
      <w:pPr>
        <w:pStyle w:val="NoSpacing"/>
        <w:numPr>
          <w:ilvl w:val="0"/>
          <w:numId w:val="8"/>
        </w:numPr>
        <w:spacing w:line="360" w:lineRule="auto"/>
      </w:pPr>
      <w:r w:rsidRPr="00EC0229">
        <w:t>Wolds</w:t>
      </w:r>
      <w:r w:rsidR="00F755CE" w:rsidRPr="00EC0229">
        <w:t>,</w:t>
      </w:r>
      <w:r w:rsidR="006B1593" w:rsidRPr="00EC0229">
        <w:fldChar w:fldCharType="begin"/>
      </w:r>
      <w:r w:rsidR="006B1593" w:rsidRPr="00EC0229">
        <w:instrText xml:space="preserve"> XE "</w:instrText>
      </w:r>
      <w:r w:rsidR="006B1593" w:rsidRPr="00EC0229">
        <w:rPr>
          <w:rFonts w:cs="Times New Roman"/>
          <w:noProof/>
        </w:rPr>
        <w:instrText>Wolds</w:instrText>
      </w:r>
      <w:r w:rsidR="006B1593" w:rsidRPr="00EC0229">
        <w:instrText xml:space="preserve">" </w:instrText>
      </w:r>
      <w:r w:rsidR="006B1593" w:rsidRPr="00EC0229">
        <w:fldChar w:fldCharType="end"/>
      </w:r>
      <w:r w:rsidR="00F755CE" w:rsidRPr="00EC0229">
        <w:t xml:space="preserve"> </w:t>
      </w:r>
      <w:r w:rsidR="00854613" w:rsidRPr="00EC0229">
        <w:t xml:space="preserve">central </w:t>
      </w:r>
      <w:r w:rsidR="004B1D74" w:rsidRPr="00EC0229">
        <w:t>(</w:t>
      </w:r>
      <w:r w:rsidR="00636C27" w:rsidRPr="00EC0229">
        <w:fldChar w:fldCharType="begin"/>
      </w:r>
      <w:r w:rsidR="00636C27" w:rsidRPr="00EC0229">
        <w:instrText xml:space="preserve"> PAGEREF Woldscentral \h </w:instrText>
      </w:r>
      <w:r w:rsidR="00636C27" w:rsidRPr="00EC0229">
        <w:fldChar w:fldCharType="separate"/>
      </w:r>
      <w:r w:rsidR="0012026B">
        <w:rPr>
          <w:noProof/>
        </w:rPr>
        <w:t>237</w:t>
      </w:r>
      <w:r w:rsidR="00636C27" w:rsidRPr="00EC0229">
        <w:fldChar w:fldCharType="end"/>
      </w:r>
      <w:r w:rsidR="004B1D74" w:rsidRPr="00EC0229">
        <w:t xml:space="preserve">): </w:t>
      </w:r>
      <w:r w:rsidR="00A33D33" w:rsidRPr="00EC0229">
        <w:t xml:space="preserve">locations on and </w:t>
      </w:r>
      <w:r w:rsidR="00854613" w:rsidRPr="00EC0229">
        <w:t>north of the A166 and west of the B1249, this central area encompasses a roughly triangular zone, though the active centre is defined by Weaverthorpe, Fridaythorpe and Great Driffield</w:t>
      </w:r>
      <w:r w:rsidR="006B1593" w:rsidRPr="00EC0229">
        <w:fldChar w:fldCharType="begin"/>
      </w:r>
      <w:r w:rsidR="006B1593" w:rsidRPr="00EC0229">
        <w:instrText xml:space="preserve"> XE "</w:instrText>
      </w:r>
      <w:r w:rsidR="006B1593" w:rsidRPr="00EC0229">
        <w:rPr>
          <w:rFonts w:eastAsia="Times New Roman"/>
          <w:noProof/>
          <w:lang w:eastAsia="en-GB"/>
        </w:rPr>
        <w:instrText>Driffield</w:instrText>
      </w:r>
      <w:r w:rsidR="006B1593" w:rsidRPr="00EC0229">
        <w:instrText xml:space="preserve">" </w:instrText>
      </w:r>
      <w:r w:rsidR="006B1593" w:rsidRPr="00EC0229">
        <w:fldChar w:fldCharType="end"/>
      </w:r>
      <w:r w:rsidR="004B1D74" w:rsidRPr="00EC0229">
        <w:t xml:space="preserve"> (</w:t>
      </w:r>
      <w:r w:rsidR="00603F01" w:rsidRPr="00EC0229">
        <w:fldChar w:fldCharType="begin"/>
      </w:r>
      <w:r w:rsidR="00603F01" w:rsidRPr="00EC0229">
        <w:instrText xml:space="preserve"> PAGEREF Driffield \h </w:instrText>
      </w:r>
      <w:r w:rsidR="00603F01" w:rsidRPr="00EC0229">
        <w:fldChar w:fldCharType="separate"/>
      </w:r>
      <w:r w:rsidR="0012026B">
        <w:rPr>
          <w:noProof/>
        </w:rPr>
        <w:t>251</w:t>
      </w:r>
      <w:r w:rsidR="00603F01" w:rsidRPr="00EC0229">
        <w:fldChar w:fldCharType="end"/>
      </w:r>
      <w:r w:rsidR="004B1D74" w:rsidRPr="00EC0229">
        <w:t>).</w:t>
      </w:r>
    </w:p>
    <w:p w14:paraId="085DD3BD" w14:textId="7DA88102" w:rsidR="00854613" w:rsidRPr="00EC0229" w:rsidRDefault="00854613" w:rsidP="00387063">
      <w:pPr>
        <w:pStyle w:val="NoSpacing"/>
        <w:numPr>
          <w:ilvl w:val="0"/>
          <w:numId w:val="8"/>
        </w:numPr>
        <w:spacing w:line="360" w:lineRule="auto"/>
      </w:pPr>
      <w:r w:rsidRPr="00EC0229">
        <w:t>Wolds</w:t>
      </w:r>
      <w:r w:rsidR="00F755CE" w:rsidRPr="00EC0229">
        <w:t>,</w:t>
      </w:r>
      <w:r w:rsidR="006B1593" w:rsidRPr="00EC0229">
        <w:fldChar w:fldCharType="begin"/>
      </w:r>
      <w:r w:rsidR="006B1593" w:rsidRPr="00EC0229">
        <w:instrText xml:space="preserve"> XE "</w:instrText>
      </w:r>
      <w:r w:rsidR="006B1593" w:rsidRPr="00EC0229">
        <w:rPr>
          <w:rFonts w:cs="Times New Roman"/>
          <w:noProof/>
        </w:rPr>
        <w:instrText>Wolds</w:instrText>
      </w:r>
      <w:r w:rsidR="006B1593" w:rsidRPr="00EC0229">
        <w:instrText xml:space="preserve">" </w:instrText>
      </w:r>
      <w:r w:rsidR="006B1593" w:rsidRPr="00EC0229">
        <w:fldChar w:fldCharType="end"/>
      </w:r>
      <w:r w:rsidRPr="00EC0229">
        <w:t xml:space="preserve"> east </w:t>
      </w:r>
      <w:r w:rsidR="004B1D74" w:rsidRPr="00EC0229">
        <w:t>(</w:t>
      </w:r>
      <w:r w:rsidR="00603F01" w:rsidRPr="00EC0229">
        <w:fldChar w:fldCharType="begin"/>
      </w:r>
      <w:r w:rsidR="00603F01" w:rsidRPr="00EC0229">
        <w:instrText xml:space="preserve"> PAGEREF Woldseast \h </w:instrText>
      </w:r>
      <w:r w:rsidR="00603F01" w:rsidRPr="00EC0229">
        <w:fldChar w:fldCharType="separate"/>
      </w:r>
      <w:r w:rsidR="0012026B">
        <w:rPr>
          <w:noProof/>
        </w:rPr>
        <w:t>253</w:t>
      </w:r>
      <w:r w:rsidR="00603F01" w:rsidRPr="00EC0229">
        <w:fldChar w:fldCharType="end"/>
      </w:r>
      <w:r w:rsidR="004B1D74" w:rsidRPr="00EC0229">
        <w:t xml:space="preserve">): </w:t>
      </w:r>
      <w:r w:rsidRPr="00EC0229">
        <w:t>east of the B1249. Routes crossing this north-south road, from Hull to Scarborough, converge on Bridlington.</w:t>
      </w:r>
    </w:p>
    <w:p w14:paraId="002C5C58" w14:textId="350E8148" w:rsidR="0028657F" w:rsidRPr="00EC0229" w:rsidRDefault="0028657F" w:rsidP="007600EA">
      <w:pPr>
        <w:pStyle w:val="NoSpacing"/>
        <w:spacing w:line="360" w:lineRule="auto"/>
      </w:pPr>
      <w:r w:rsidRPr="00EC0229">
        <w:t>This division is inevitably somewhat arbitrary, and does not imply these were restricted zones. Indeed, there are clear trackways throughout the Wolds</w:t>
      </w:r>
      <w:r w:rsidRPr="00EC0229">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fldChar w:fldCharType="end"/>
      </w:r>
      <w:r w:rsidRPr="00EC0229">
        <w:t xml:space="preserve"> connecting settlements to each other and to the larger centres</w:t>
      </w:r>
      <w:r w:rsidR="00A83D4B" w:rsidRPr="00EC0229">
        <w:t>, though this is a non-nucleated region</w:t>
      </w:r>
      <w:r w:rsidRPr="00EC0229">
        <w:t>.</w:t>
      </w:r>
      <w:r w:rsidR="006D4B1B" w:rsidRPr="00EC0229">
        <w:t xml:space="preserve"> </w:t>
      </w:r>
      <w:r w:rsidR="00071F47" w:rsidRPr="00EC0229">
        <w:t xml:space="preserve">Significant sites, ranked by volume are discussed below. </w:t>
      </w:r>
      <w:r w:rsidR="006D4B1B" w:rsidRPr="00EC0229">
        <w:t xml:space="preserve">Beverley and Holderness are considered separately at page </w:t>
      </w:r>
      <w:r w:rsidR="006D4B1B" w:rsidRPr="00EC0229">
        <w:fldChar w:fldCharType="begin"/>
      </w:r>
      <w:r w:rsidR="006D4B1B" w:rsidRPr="00EC0229">
        <w:instrText xml:space="preserve"> PAGEREF Beverley \h </w:instrText>
      </w:r>
      <w:r w:rsidR="006D4B1B" w:rsidRPr="00EC0229">
        <w:fldChar w:fldCharType="separate"/>
      </w:r>
      <w:r w:rsidR="0012026B">
        <w:rPr>
          <w:noProof/>
        </w:rPr>
        <w:t>262</w:t>
      </w:r>
      <w:r w:rsidR="006D4B1B" w:rsidRPr="00EC0229">
        <w:fldChar w:fldCharType="end"/>
      </w:r>
      <w:r w:rsidR="006D4B1B" w:rsidRPr="00EC0229">
        <w:t>.</w:t>
      </w:r>
    </w:p>
    <w:p w14:paraId="09F2FBFA" w14:textId="77777777" w:rsidR="00854613" w:rsidRPr="00EC0229" w:rsidRDefault="00854613" w:rsidP="007600EA">
      <w:pPr>
        <w:pStyle w:val="NoSpacing"/>
        <w:spacing w:line="360" w:lineRule="auto"/>
      </w:pPr>
    </w:p>
    <w:p w14:paraId="49B9497C" w14:textId="29DFB457" w:rsidR="00854613" w:rsidRPr="00EC0229" w:rsidRDefault="00854613" w:rsidP="007600EA">
      <w:pPr>
        <w:pStyle w:val="NoSpacing"/>
        <w:spacing w:line="360" w:lineRule="auto"/>
        <w:rPr>
          <w:szCs w:val="24"/>
        </w:rPr>
      </w:pP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EE212E" w:rsidRPr="00EC0229">
        <w:rPr>
          <w:i/>
          <w:szCs w:val="24"/>
        </w:rPr>
        <w:t>8.</w:t>
      </w:r>
      <w:r w:rsidR="002860F6" w:rsidRPr="00EC0229">
        <w:rPr>
          <w:i/>
          <w:szCs w:val="24"/>
        </w:rPr>
        <w:t>21</w:t>
      </w:r>
      <w:r w:rsidRPr="00EC0229">
        <w:rPr>
          <w:color w:val="000000" w:themeColor="text1"/>
          <w:szCs w:val="24"/>
        </w:rPr>
        <w:t xml:space="preserve"> details all artefacts. </w:t>
      </w:r>
      <w:r w:rsidRPr="00EC0229">
        <w:rPr>
          <w:i/>
          <w:color w:val="000000" w:themeColor="text1"/>
          <w:szCs w:val="24"/>
        </w:rPr>
        <w:t xml:space="preserve">Table </w:t>
      </w:r>
      <w:r w:rsidR="00EE212E" w:rsidRPr="00EC0229">
        <w:rPr>
          <w:i/>
          <w:color w:val="000000" w:themeColor="text1"/>
          <w:szCs w:val="24"/>
        </w:rPr>
        <w:t>8.</w:t>
      </w:r>
      <w:r w:rsidR="002860F6" w:rsidRPr="00EC0229">
        <w:rPr>
          <w:i/>
          <w:color w:val="000000" w:themeColor="text1"/>
          <w:szCs w:val="24"/>
        </w:rPr>
        <w:t>22</w:t>
      </w:r>
      <w:r w:rsidRPr="00EC0229">
        <w:rPr>
          <w:color w:val="000000" w:themeColor="text1"/>
          <w:szCs w:val="24"/>
        </w:rPr>
        <w:t xml:space="preserve"> </w:t>
      </w:r>
      <w:r w:rsidRPr="00EC0229">
        <w:rPr>
          <w:szCs w:val="24"/>
        </w:rPr>
        <w:t>gives coin metallurgy showing that the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saw similar l</w:t>
      </w:r>
      <w:r w:rsidR="00C44B02">
        <w:rPr>
          <w:szCs w:val="24"/>
        </w:rPr>
        <w:t>evels of activity in the eighth</w:t>
      </w:r>
      <w:r w:rsidRPr="00EC0229">
        <w:rPr>
          <w:szCs w:val="24"/>
        </w:rPr>
        <w:t xml:space="preserve"> and ninth</w:t>
      </w:r>
      <w:r w:rsidR="00C44B02">
        <w:rPr>
          <w:szCs w:val="24"/>
        </w:rPr>
        <w:t xml:space="preserve"> </w:t>
      </w:r>
      <w:r w:rsidRPr="00EC0229">
        <w:rPr>
          <w:szCs w:val="24"/>
        </w:rPr>
        <w:t xml:space="preserve">centuries, and </w:t>
      </w:r>
      <w:r w:rsidRPr="00EC0229">
        <w:rPr>
          <w:i/>
          <w:szCs w:val="24"/>
        </w:rPr>
        <w:t xml:space="preserve">Table </w:t>
      </w:r>
      <w:r w:rsidR="00EE212E" w:rsidRPr="00EC0229">
        <w:rPr>
          <w:i/>
          <w:szCs w:val="24"/>
        </w:rPr>
        <w:t>8.</w:t>
      </w:r>
      <w:r w:rsidR="00914CF8" w:rsidRPr="00EC0229">
        <w:rPr>
          <w:i/>
          <w:szCs w:val="24"/>
        </w:rPr>
        <w:t>2</w:t>
      </w:r>
      <w:r w:rsidR="002860F6" w:rsidRPr="00EC0229">
        <w:rPr>
          <w:i/>
          <w:szCs w:val="24"/>
        </w:rPr>
        <w:t>3</w:t>
      </w:r>
      <w:r w:rsidRPr="00EC0229">
        <w:rPr>
          <w:color w:val="000000" w:themeColor="text1"/>
          <w:szCs w:val="24"/>
        </w:rPr>
        <w:t xml:space="preserve">, </w:t>
      </w:r>
      <w:r w:rsidR="006E7B5D" w:rsidRPr="00EC0229">
        <w:rPr>
          <w:szCs w:val="24"/>
        </w:rPr>
        <w:t>coin age mix, demonstrating</w:t>
      </w:r>
      <w:r w:rsidRPr="00EC0229">
        <w:rPr>
          <w:szCs w:val="24"/>
        </w:rPr>
        <w:t xml:space="preserve"> relative stability rather than mobility.</w:t>
      </w:r>
    </w:p>
    <w:p w14:paraId="64450591" w14:textId="77777777" w:rsidR="00854613" w:rsidRPr="00EC0229" w:rsidRDefault="00854613" w:rsidP="007600EA">
      <w:pPr>
        <w:pStyle w:val="NoSpacing"/>
        <w:spacing w:line="360" w:lineRule="auto"/>
      </w:pPr>
    </w:p>
    <w:p w14:paraId="5C8246E3" w14:textId="6EE01488" w:rsidR="00854613" w:rsidRPr="00EC0229" w:rsidRDefault="002979EC" w:rsidP="007600EA">
      <w:pPr>
        <w:pStyle w:val="Heading3"/>
        <w:spacing w:line="360" w:lineRule="auto"/>
      </w:pPr>
      <w:bookmarkStart w:id="629" w:name="Woldswest"/>
      <w:bookmarkStart w:id="630" w:name="_Toc468266876"/>
      <w:bookmarkEnd w:id="629"/>
      <w:r>
        <w:t>8.2.3.1</w:t>
      </w:r>
      <w:r w:rsidR="00C97BF2">
        <w:tab/>
      </w:r>
      <w:r w:rsidR="00854613" w:rsidRPr="00EC0229">
        <w:t>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00854613" w:rsidRPr="00EC0229">
        <w:t xml:space="preserve"> west</w:t>
      </w:r>
      <w:r w:rsidR="00F91183">
        <w:t xml:space="preserve"> – Site Studies</w:t>
      </w:r>
      <w:bookmarkEnd w:id="630"/>
      <w:r w:rsidR="006B1593" w:rsidRPr="00EC0229">
        <w:fldChar w:fldCharType="begin"/>
      </w:r>
      <w:r w:rsidR="006B1593" w:rsidRPr="00EC0229">
        <w:instrText xml:space="preserve"> XE "</w:instrText>
      </w:r>
      <w:r w:rsidR="006B1593" w:rsidRPr="00EC0229">
        <w:rPr>
          <w:rStyle w:val="Hyperlink"/>
          <w:noProof/>
          <w:u w:val="none"/>
        </w:rPr>
        <w:instrText>Wolds west</w:instrText>
      </w:r>
      <w:r w:rsidR="006B1593" w:rsidRPr="00EC0229">
        <w:instrText xml:space="preserve">" </w:instrText>
      </w:r>
      <w:r w:rsidR="006B1593" w:rsidRPr="00EC0229">
        <w:fldChar w:fldCharType="end"/>
      </w:r>
    </w:p>
    <w:p w14:paraId="0CE64B1C" w14:textId="1D36E025" w:rsidR="00854613" w:rsidRPr="00EC0229" w:rsidRDefault="0028657F" w:rsidP="007600EA">
      <w:pPr>
        <w:pStyle w:val="NoSpacing"/>
        <w:spacing w:line="360" w:lineRule="auto"/>
      </w:pPr>
      <w:r w:rsidRPr="00EC0229">
        <w:t>Significant numbers of early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coins are clustered around Pocklington</w:t>
      </w:r>
      <w:r w:rsidRPr="00EC0229">
        <w:fldChar w:fldCharType="begin"/>
      </w:r>
      <w:r w:rsidRPr="00EC0229">
        <w:instrText xml:space="preserve"> XE "</w:instrText>
      </w:r>
      <w:r w:rsidRPr="00EC0229">
        <w:rPr>
          <w:rStyle w:val="Hyperlink"/>
          <w:noProof/>
          <w:u w:val="none"/>
        </w:rPr>
        <w:instrText>Pocklington</w:instrText>
      </w:r>
      <w:r w:rsidRPr="00EC0229">
        <w:instrText xml:space="preserve">" </w:instrText>
      </w:r>
      <w:r w:rsidRPr="00EC0229">
        <w:fldChar w:fldCharType="end"/>
      </w:r>
      <w:r w:rsidRPr="00EC0229">
        <w:t xml:space="preserve">, north of Market Weighton, and at </w:t>
      </w:r>
      <w:r w:rsidR="00BF6095">
        <w:t>several</w:t>
      </w:r>
      <w:r w:rsidRPr="00EC0229">
        <w:t xml:space="preserve"> southerly sites, notably South Newbald</w:t>
      </w:r>
      <w:r w:rsidRPr="00EC0229">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fldChar w:fldCharType="end"/>
      </w:r>
      <w:r w:rsidRPr="00EC0229">
        <w:t>.</w:t>
      </w:r>
    </w:p>
    <w:p w14:paraId="79DC2013" w14:textId="77777777" w:rsidR="00854613" w:rsidRPr="00EC0229" w:rsidRDefault="00854613" w:rsidP="007600EA">
      <w:pPr>
        <w:pStyle w:val="NoSpacing"/>
        <w:spacing w:line="360" w:lineRule="auto"/>
      </w:pPr>
    </w:p>
    <w:p w14:paraId="21601216" w14:textId="469A8264" w:rsidR="00D677E7" w:rsidRPr="00EC0229" w:rsidRDefault="00D677E7" w:rsidP="00C97BF2">
      <w:pPr>
        <w:pStyle w:val="Heading4"/>
        <w:spacing w:line="360" w:lineRule="auto"/>
      </w:pPr>
      <w:bookmarkStart w:id="631" w:name="Buttercrambe"/>
      <w:bookmarkStart w:id="632" w:name="_Toc468266877"/>
      <w:bookmarkEnd w:id="631"/>
      <w:r w:rsidRPr="007A3166">
        <w:rPr>
          <w:b/>
        </w:rPr>
        <w:t>South Newbald</w:t>
      </w:r>
      <w:r w:rsidRPr="007A3166">
        <w:rPr>
          <w:b/>
        </w:rPr>
        <w:fldChar w:fldCharType="begin"/>
      </w:r>
      <w:r w:rsidRPr="007A3166">
        <w:rPr>
          <w:b/>
        </w:rPr>
        <w:instrText xml:space="preserve"> XE "</w:instrText>
      </w:r>
      <w:r w:rsidRPr="007A3166">
        <w:rPr>
          <w:rStyle w:val="Hyperlink"/>
          <w:b/>
          <w:noProof/>
          <w:u w:val="none"/>
        </w:rPr>
        <w:instrText>South Newbald</w:instrText>
      </w:r>
      <w:r w:rsidRPr="007A3166">
        <w:rPr>
          <w:b/>
        </w:rPr>
        <w:instrText xml:space="preserve">" </w:instrText>
      </w:r>
      <w:r w:rsidRPr="007A3166">
        <w:rPr>
          <w:b/>
        </w:rPr>
        <w:fldChar w:fldCharType="end"/>
      </w:r>
      <w:r w:rsidRPr="007A3166">
        <w:rPr>
          <w:b/>
        </w:rPr>
        <w:t xml:space="preserve"> </w:t>
      </w:r>
      <w:r w:rsidRPr="00EC0229">
        <w:rPr>
          <w:rStyle w:val="FootnoteReference"/>
        </w:rPr>
        <w:footnoteReference w:id="983"/>
      </w:r>
      <w:bookmarkEnd w:id="632"/>
    </w:p>
    <w:p w14:paraId="7DA28BDD" w14:textId="77777777" w:rsidR="00D677E7" w:rsidRPr="00EC0229" w:rsidRDefault="00D677E7" w:rsidP="007600EA">
      <w:pPr>
        <w:pStyle w:val="NoSpacing"/>
        <w:spacing w:line="360" w:lineRule="auto"/>
        <w:rPr>
          <w:szCs w:val="24"/>
        </w:rPr>
      </w:pPr>
      <w:r w:rsidRPr="00EC0229">
        <w:rPr>
          <w:szCs w:val="24"/>
        </w:rPr>
        <w:t>South Newbald</w:t>
      </w:r>
      <w:r w:rsidRPr="00EC0229">
        <w:rPr>
          <w:szCs w:val="24"/>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szCs w:val="24"/>
        </w:rPr>
        <w:fldChar w:fldCharType="end"/>
      </w:r>
      <w:r w:rsidRPr="00EC0229">
        <w:rPr>
          <w:szCs w:val="24"/>
        </w:rPr>
        <w:t xml:space="preserve"> nestles to the west of the Wolds</w:t>
      </w:r>
      <w:r w:rsidRPr="00EC0229">
        <w:rPr>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szCs w:val="24"/>
        </w:rPr>
        <w:fldChar w:fldCharType="end"/>
      </w:r>
      <w:r w:rsidRPr="00EC0229">
        <w:rPr>
          <w:szCs w:val="24"/>
        </w:rPr>
        <w:t xml:space="preserve"> and was well served by the Roman</w:t>
      </w:r>
      <w:r w:rsidRPr="00EC0229">
        <w:rPr>
          <w:szCs w:val="24"/>
        </w:rPr>
        <w:fldChar w:fldCharType="begin"/>
      </w:r>
      <w:r w:rsidRPr="00EC0229">
        <w:instrText xml:space="preserve"> XE "Roman" </w:instrText>
      </w:r>
      <w:r w:rsidRPr="00EC0229">
        <w:rPr>
          <w:szCs w:val="24"/>
        </w:rPr>
        <w:fldChar w:fldCharType="end"/>
      </w:r>
      <w:r w:rsidRPr="00EC0229">
        <w:rPr>
          <w:szCs w:val="24"/>
        </w:rPr>
        <w:t xml:space="preserve"> roads running from Brough to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and to Malton</w:t>
      </w:r>
      <w:r w:rsidRPr="00EC0229">
        <w:rPr>
          <w:szCs w:val="24"/>
        </w:rPr>
        <w:fldChar w:fldCharType="begin"/>
      </w:r>
      <w:r w:rsidRPr="00EC0229">
        <w:instrText xml:space="preserve"> XE "</w:instrText>
      </w:r>
      <w:r w:rsidRPr="00EC0229">
        <w:rPr>
          <w:rStyle w:val="Hyperlink"/>
          <w:noProof/>
          <w:u w:val="none"/>
        </w:rPr>
        <w:instrText>Malton</w:instrText>
      </w:r>
      <w:r w:rsidRPr="00EC0229">
        <w:instrText xml:space="preserve">" </w:instrText>
      </w:r>
      <w:r w:rsidRPr="00EC0229">
        <w:rPr>
          <w:szCs w:val="24"/>
        </w:rPr>
        <w:fldChar w:fldCharType="end"/>
      </w:r>
      <w:r w:rsidRPr="00EC0229">
        <w:rPr>
          <w:szCs w:val="24"/>
        </w:rPr>
        <w:t>. The finds area, on an inhumation site south of Hotham Beck,</w:t>
      </w:r>
      <w:r w:rsidRPr="00EC0229">
        <w:rPr>
          <w:rStyle w:val="FootnoteReference"/>
          <w:szCs w:val="24"/>
        </w:rPr>
        <w:footnoteReference w:id="984"/>
      </w:r>
      <w:r w:rsidRPr="00EC0229">
        <w:rPr>
          <w:szCs w:val="24"/>
        </w:rPr>
        <w:t xml:space="preserve"> is on unstratified sandy soil over Jurassic limestone north-west of a Romano-British villa. Not only is the area rich in Roman artefacts, but a major Anglo-Saxon</w:t>
      </w:r>
      <w:r w:rsidRPr="00EC0229">
        <w:rPr>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Cs w:val="24"/>
        </w:rPr>
        <w:fldChar w:fldCharType="end"/>
      </w:r>
      <w:r w:rsidRPr="00EC0229">
        <w:rPr>
          <w:szCs w:val="24"/>
        </w:rPr>
        <w:t xml:space="preserve"> pagan cemetery is close by at Sancton. Indeed, numismatic finds were initially attributed to Sancton. Leahy discussed the causes and complexities of the irregular parish boundaries.</w:t>
      </w:r>
      <w:r w:rsidRPr="00EC0229">
        <w:rPr>
          <w:rStyle w:val="FootnoteReference"/>
          <w:szCs w:val="24"/>
        </w:rPr>
        <w:footnoteReference w:id="985"/>
      </w:r>
    </w:p>
    <w:p w14:paraId="5FDC8E20" w14:textId="77777777" w:rsidR="00D677E7" w:rsidRPr="00EC0229" w:rsidRDefault="00D677E7" w:rsidP="007600EA">
      <w:pPr>
        <w:pStyle w:val="NoSpacing"/>
        <w:spacing w:line="360" w:lineRule="auto"/>
        <w:rPr>
          <w:szCs w:val="24"/>
        </w:rPr>
      </w:pPr>
    </w:p>
    <w:p w14:paraId="2B4550BF" w14:textId="77777777" w:rsidR="00D677E7" w:rsidRPr="00EC0229" w:rsidRDefault="00D677E7" w:rsidP="007600EA">
      <w:pPr>
        <w:pStyle w:val="NoSpacing"/>
        <w:spacing w:line="360" w:lineRule="auto"/>
        <w:rPr>
          <w:szCs w:val="24"/>
        </w:rPr>
      </w:pPr>
      <w:r w:rsidRPr="00EC0229">
        <w:rPr>
          <w:szCs w:val="24"/>
        </w:rPr>
        <w:lastRenderedPageBreak/>
        <w:t>Leahy reported 240 finds from South Newbald</w:t>
      </w:r>
      <w:r w:rsidRPr="00EC0229">
        <w:rPr>
          <w:szCs w:val="24"/>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szCs w:val="24"/>
        </w:rPr>
        <w:fldChar w:fldCharType="end"/>
      </w:r>
      <w:r w:rsidRPr="00EC0229">
        <w:rPr>
          <w:szCs w:val="24"/>
        </w:rPr>
        <w:t xml:space="preserve"> including twenty-five strap ends and eighty-one pins, many shaftless. In comparing this to other local ‘productive sites’, he concluded ‘the analysis of pins failed to give any useful results’</w:t>
      </w:r>
      <w:r w:rsidRPr="00EC0229">
        <w:rPr>
          <w:rStyle w:val="FootnoteReference"/>
          <w:szCs w:val="24"/>
        </w:rPr>
        <w:footnoteReference w:id="986"/>
      </w:r>
      <w:r w:rsidRPr="00EC0229">
        <w:rPr>
          <w:szCs w:val="24"/>
        </w:rPr>
        <w:t xml:space="preserve">  and differences in the ratio of pin to strap end losses ‘might be attributable to different forms of attire’.</w:t>
      </w:r>
      <w:r w:rsidRPr="00EC0229">
        <w:rPr>
          <w:rStyle w:val="FootnoteReference"/>
          <w:szCs w:val="24"/>
        </w:rPr>
        <w:footnoteReference w:id="987"/>
      </w:r>
      <w:r w:rsidRPr="00EC0229">
        <w:rPr>
          <w:szCs w:val="24"/>
        </w:rPr>
        <w:t xml:space="preserve"> Despite this significant number of metal finds, there are few of high quality and domestic artefacts are surprisingly scarce. Such austerity may suggest a monastery were it not for the absence of stone, stele and styli. The considerable coin assemblage better supports site interpretation as a market or fair,</w:t>
      </w:r>
      <w:r w:rsidRPr="00EC0229">
        <w:rPr>
          <w:rStyle w:val="FootnoteReference"/>
          <w:szCs w:val="24"/>
        </w:rPr>
        <w:footnoteReference w:id="988"/>
      </w:r>
      <w:r w:rsidRPr="00EC0229">
        <w:rPr>
          <w:szCs w:val="24"/>
        </w:rPr>
        <w:t xml:space="preserve"> but given the skeletal remains and royal status of Newbald by 963,</w:t>
      </w:r>
      <w:r w:rsidRPr="00EC0229">
        <w:rPr>
          <w:rStyle w:val="FootnoteReference"/>
          <w:szCs w:val="24"/>
        </w:rPr>
        <w:footnoteReference w:id="989"/>
      </w:r>
      <w:r w:rsidRPr="00EC0229">
        <w:rPr>
          <w:szCs w:val="24"/>
        </w:rPr>
        <w:t xml:space="preserve"> perhaps a minster site where a reeve oversaw transactions, and justice was dispensed, is a better description yet.</w:t>
      </w:r>
      <w:r w:rsidRPr="00EC0229">
        <w:rPr>
          <w:rStyle w:val="FootnoteReference"/>
          <w:szCs w:val="24"/>
        </w:rPr>
        <w:footnoteReference w:id="990"/>
      </w:r>
    </w:p>
    <w:p w14:paraId="1D37712D" w14:textId="77777777" w:rsidR="00D677E7" w:rsidRPr="00EC0229" w:rsidRDefault="00D677E7" w:rsidP="007600EA">
      <w:pPr>
        <w:pStyle w:val="NoSpacing"/>
        <w:spacing w:line="360" w:lineRule="auto"/>
        <w:rPr>
          <w:szCs w:val="24"/>
        </w:rPr>
      </w:pPr>
    </w:p>
    <w:p w14:paraId="72FD9141" w14:textId="7257084B" w:rsidR="00D677E7" w:rsidRPr="00EC0229" w:rsidRDefault="00D677E7" w:rsidP="007600EA">
      <w:pPr>
        <w:pStyle w:val="NoSpacing"/>
        <w:spacing w:line="360" w:lineRule="auto"/>
        <w:rPr>
          <w:szCs w:val="24"/>
        </w:rPr>
      </w:pPr>
      <w:r w:rsidRPr="00EC0229">
        <w:rPr>
          <w:szCs w:val="24"/>
        </w:rPr>
        <w:t>Coin finds from the South Newbald</w:t>
      </w:r>
      <w:r w:rsidRPr="00EC0229">
        <w:rPr>
          <w:szCs w:val="24"/>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szCs w:val="24"/>
        </w:rPr>
        <w:fldChar w:fldCharType="end"/>
      </w:r>
      <w:r w:rsidRPr="00EC0229">
        <w:rPr>
          <w:szCs w:val="24"/>
        </w:rPr>
        <w:t xml:space="preserve"> site have been covered in two articles,</w:t>
      </w:r>
      <w:r w:rsidRPr="00EC0229">
        <w:rPr>
          <w:rStyle w:val="FootnoteReference"/>
          <w:szCs w:val="24"/>
        </w:rPr>
        <w:footnoteReference w:id="991"/>
      </w:r>
      <w:r w:rsidRPr="00EC0229">
        <w:rPr>
          <w:szCs w:val="24"/>
        </w:rPr>
        <w:t xml:space="preserve"> which present a total of 124 Northumbrian </w:t>
      </w:r>
      <w:r w:rsidR="00677914" w:rsidRPr="00EC0229">
        <w:rPr>
          <w:szCs w:val="24"/>
        </w:rPr>
        <w:t xml:space="preserve">equally divided between </w:t>
      </w:r>
      <w:r w:rsidRPr="00EC0229">
        <w:rPr>
          <w:szCs w:val="24"/>
        </w:rPr>
        <w:t>sceats and stycas</w:t>
      </w:r>
      <w:r w:rsidR="000832B9" w:rsidRPr="00EC0229">
        <w:rPr>
          <w:szCs w:val="24"/>
        </w:rPr>
        <w:t xml:space="preserve">, </w:t>
      </w:r>
      <w:r w:rsidR="00914CF8" w:rsidRPr="00EC0229">
        <w:rPr>
          <w:i/>
          <w:szCs w:val="24"/>
        </w:rPr>
        <w:t>Table 8.2</w:t>
      </w:r>
      <w:r w:rsidR="00A76448" w:rsidRPr="00EC0229">
        <w:rPr>
          <w:i/>
          <w:szCs w:val="24"/>
        </w:rPr>
        <w:t>4</w:t>
      </w:r>
      <w:r w:rsidR="00FB0FD9">
        <w:rPr>
          <w:i/>
          <w:szCs w:val="24"/>
        </w:rPr>
        <w:t>,</w:t>
      </w:r>
      <w:r w:rsidR="00FB0FD9" w:rsidRPr="00FB0FD9">
        <w:t xml:space="preserve"> </w:t>
      </w:r>
      <w:r w:rsidR="00FB0FD9" w:rsidRPr="00A07A08">
        <w:rPr>
          <w:i/>
        </w:rPr>
        <w:t>Graph 7.</w:t>
      </w:r>
      <w:r w:rsidR="00FB0FD9">
        <w:rPr>
          <w:i/>
        </w:rPr>
        <w:t>03 no. 25</w:t>
      </w:r>
      <w:r w:rsidR="00FB0FD9">
        <w:t>.</w:t>
      </w:r>
      <w:r w:rsidRPr="00EC0229">
        <w:rPr>
          <w:szCs w:val="24"/>
        </w:rPr>
        <w:t xml:space="preserve"> (</w:t>
      </w:r>
      <w:r w:rsidRPr="00EC0229">
        <w:rPr>
          <w:szCs w:val="24"/>
        </w:rPr>
        <w:fldChar w:fldCharType="begin"/>
      </w:r>
      <w:r w:rsidRPr="00EC0229">
        <w:rPr>
          <w:szCs w:val="24"/>
        </w:rPr>
        <w:instrText xml:space="preserve"> REF _Ref430248736 \h  \* MERGEFORMAT </w:instrText>
      </w:r>
      <w:r w:rsidRPr="00EC0229">
        <w:rPr>
          <w:szCs w:val="24"/>
        </w:rPr>
      </w:r>
      <w:r w:rsidRPr="00EC0229">
        <w:rPr>
          <w:szCs w:val="24"/>
        </w:rPr>
        <w:fldChar w:fldCharType="separate"/>
      </w:r>
      <w:r w:rsidR="0012026B" w:rsidRPr="0012026B">
        <w:rPr>
          <w:i/>
        </w:rPr>
        <w:t>Figure</w:t>
      </w:r>
      <w:r w:rsidR="0012026B" w:rsidRPr="0012026B">
        <w:t xml:space="preserve"> </w:t>
      </w:r>
      <w:r w:rsidR="0012026B" w:rsidRPr="0012026B">
        <w:rPr>
          <w:noProof/>
        </w:rPr>
        <w:t>94</w: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REF _Ref430248742 \h  \* MERGEFORMAT </w:instrText>
      </w:r>
      <w:r w:rsidRPr="00EC0229">
        <w:rPr>
          <w:szCs w:val="24"/>
        </w:rPr>
      </w:r>
      <w:r w:rsidRPr="00EC0229">
        <w:rPr>
          <w:szCs w:val="24"/>
        </w:rPr>
        <w:fldChar w:fldCharType="separate"/>
      </w:r>
      <w:r w:rsidR="0012026B" w:rsidRPr="0012026B">
        <w:rPr>
          <w:i/>
        </w:rPr>
        <w:t>Figure</w:t>
      </w:r>
      <w:r w:rsidR="0012026B" w:rsidRPr="0012026B">
        <w:t xml:space="preserve"> </w:t>
      </w:r>
      <w:r w:rsidR="0012026B" w:rsidRPr="0012026B">
        <w:rPr>
          <w:noProof/>
        </w:rPr>
        <w:t>95</w:t>
      </w:r>
      <w:r w:rsidRPr="00EC0229">
        <w:rPr>
          <w:szCs w:val="24"/>
        </w:rPr>
        <w:fldChar w:fldCharType="end"/>
      </w:r>
      <w:r w:rsidRPr="00EC0229">
        <w:rPr>
          <w:szCs w:val="24"/>
        </w:rPr>
        <w:t xml:space="preserve">). My </w:t>
      </w:r>
      <w:r w:rsidR="005D0690" w:rsidRPr="00EC0229">
        <w:rPr>
          <w:szCs w:val="24"/>
        </w:rPr>
        <w:t>database</w:t>
      </w:r>
      <w:r w:rsidRPr="00EC0229">
        <w:rPr>
          <w:szCs w:val="24"/>
        </w:rPr>
        <w:t xml:space="preserve"> augments this by fifty-six specimens adding two further issuers. Quite exceptionally, there are only two Continental coins: a sceat of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E</w:t>
      </w:r>
      <w:r w:rsidRPr="00EC0229">
        <w:rPr>
          <w:szCs w:val="24"/>
        </w:rPr>
        <w:fldChar w:fldCharType="begin"/>
      </w:r>
      <w:r w:rsidRPr="00EC0229">
        <w:instrText xml:space="preserve"> XE "Series E" </w:instrText>
      </w:r>
      <w:r w:rsidRPr="00EC0229">
        <w:rPr>
          <w:szCs w:val="24"/>
        </w:rPr>
        <w:fldChar w:fldCharType="end"/>
      </w:r>
      <w:r w:rsidRPr="00EC0229">
        <w:rPr>
          <w:szCs w:val="24"/>
        </w:rPr>
        <w:t xml:space="preserve"> and a single denier</w:t>
      </w:r>
      <w:r w:rsidRPr="00EC0229">
        <w:rPr>
          <w:szCs w:val="24"/>
        </w:rPr>
        <w:fldChar w:fldCharType="begin"/>
      </w:r>
      <w:r w:rsidRPr="00EC0229">
        <w:instrText xml:space="preserve"> XE "</w:instrText>
      </w:r>
      <w:r w:rsidRPr="00EC0229">
        <w:rPr>
          <w:rFonts w:cs="Times New Roman"/>
          <w:szCs w:val="24"/>
        </w:rPr>
        <w:instrText>denier</w:instrText>
      </w:r>
      <w:r w:rsidRPr="00EC0229">
        <w:instrText xml:space="preserve">" </w:instrText>
      </w:r>
      <w:r w:rsidRPr="00EC0229">
        <w:rPr>
          <w:szCs w:val="24"/>
        </w:rPr>
        <w:fldChar w:fldCharType="end"/>
      </w:r>
      <w:r w:rsidRPr="00EC0229">
        <w:rPr>
          <w:szCs w:val="24"/>
        </w:rPr>
        <w:t xml:space="preserve"> of Charlemagne</w:t>
      </w:r>
      <w:r w:rsidRPr="00EC0229">
        <w:rPr>
          <w:szCs w:val="24"/>
        </w:rPr>
        <w:fldChar w:fldCharType="begin"/>
      </w:r>
      <w:r w:rsidRPr="00EC0229">
        <w:instrText xml:space="preserve"> XE "</w:instrText>
      </w:r>
      <w:r w:rsidRPr="00EC0229">
        <w:rPr>
          <w:rFonts w:cs="Times New Roman"/>
          <w:color w:val="000000" w:themeColor="text1"/>
          <w:szCs w:val="24"/>
        </w:rPr>
        <w:instrText>Charlemagne</w:instrText>
      </w:r>
      <w:r w:rsidRPr="00EC0229">
        <w:instrText xml:space="preserve">" </w:instrText>
      </w:r>
      <w:r w:rsidRPr="00EC0229">
        <w:rPr>
          <w:szCs w:val="24"/>
        </w:rPr>
        <w:fldChar w:fldCharType="end"/>
      </w:r>
      <w:r w:rsidRPr="00EC0229">
        <w:rPr>
          <w:szCs w:val="24"/>
        </w:rPr>
        <w:t xml:space="preserve"> (768-814). There is a single </w:t>
      </w:r>
      <w:r w:rsidR="00572E51" w:rsidRPr="00EC0229">
        <w:rPr>
          <w:szCs w:val="24"/>
        </w:rPr>
        <w:t>Southumbria</w:t>
      </w:r>
      <w:r w:rsidRPr="00EC0229">
        <w:rPr>
          <w:szCs w:val="24"/>
        </w:rPr>
        <w:t>n specimen, a penny</w:t>
      </w:r>
      <w:r w:rsidRPr="00EC0229">
        <w:rPr>
          <w:szCs w:val="24"/>
        </w:rPr>
        <w:fldChar w:fldCharType="begin"/>
      </w:r>
      <w:r w:rsidRPr="00EC0229">
        <w:instrText xml:space="preserve"> XE "penny" </w:instrText>
      </w:r>
      <w:r w:rsidRPr="00EC0229">
        <w:rPr>
          <w:szCs w:val="24"/>
        </w:rPr>
        <w:fldChar w:fldCharType="end"/>
      </w:r>
      <w:r w:rsidRPr="00EC0229">
        <w:rPr>
          <w:szCs w:val="24"/>
        </w:rPr>
        <w:t xml:space="preserve"> of Wulfred, Archbishop of Canterbury (805-32), [S9].</w:t>
      </w:r>
      <w:r w:rsidRPr="00EC0229">
        <w:rPr>
          <w:rStyle w:val="FootnoteReference"/>
          <w:szCs w:val="24"/>
        </w:rPr>
        <w:footnoteReference w:id="992"/>
      </w:r>
      <w:r w:rsidR="00076744">
        <w:rPr>
          <w:szCs w:val="24"/>
        </w:rPr>
        <w:t xml:space="preserve"> All</w:t>
      </w:r>
      <w:r w:rsidRPr="00EC0229">
        <w:rPr>
          <w:szCs w:val="24"/>
        </w:rPr>
        <w:t xml:space="preserve"> the finds are apparently singletons, condition is variable and the regnal distribution for the northern types is representative of the coinage from </w:t>
      </w:r>
      <w:r w:rsidR="002132F1">
        <w:rPr>
          <w:i/>
          <w:szCs w:val="24"/>
        </w:rPr>
        <w:t>c.</w:t>
      </w:r>
      <w:r w:rsidRPr="00EC0229">
        <w:rPr>
          <w:szCs w:val="24"/>
        </w:rPr>
        <w:t>740 to the fall of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00EE212E" w:rsidRPr="00EC0229">
        <w:rPr>
          <w:i/>
          <w:szCs w:val="24"/>
        </w:rPr>
        <w:t xml:space="preserve"> 8.1</w:t>
      </w:r>
      <w:r w:rsidR="00914CF8" w:rsidRPr="00EC0229">
        <w:rPr>
          <w:i/>
          <w:szCs w:val="24"/>
        </w:rPr>
        <w:t>6</w:t>
      </w:r>
      <w:r w:rsidRPr="00EC0229">
        <w:rPr>
          <w:szCs w:val="24"/>
        </w:rPr>
        <w:t>. This clearly indicates a steady rate of accidental loss sustained over the period of occupation. Moreover, the sceats listed by Booth are represented by eighty-nine different dies. This remarkable paucity of die duplications implies both a low survival rate and a substantial coinage when compared to mid-ninth century emissions of pennies.</w:t>
      </w:r>
      <w:r w:rsidR="004A29A7" w:rsidRPr="00EC0229">
        <w:rPr>
          <w:szCs w:val="24"/>
        </w:rPr>
        <w:t xml:space="preserve"> Alternatively, die longevity may have been restricted with consequences for estimates of volume.</w:t>
      </w:r>
    </w:p>
    <w:p w14:paraId="04BA5684" w14:textId="77777777" w:rsidR="00D677E7" w:rsidRPr="00EC0229" w:rsidRDefault="00D677E7" w:rsidP="007600EA">
      <w:pPr>
        <w:pStyle w:val="NoSpacing"/>
        <w:spacing w:line="360" w:lineRule="auto"/>
        <w:rPr>
          <w:b/>
          <w:color w:val="FF0000"/>
          <w:szCs w:val="24"/>
        </w:rPr>
      </w:pPr>
    </w:p>
    <w:p w14:paraId="7B95A8A4" w14:textId="6E109A9F" w:rsidR="00D677E7" w:rsidRPr="00EC0229" w:rsidRDefault="00D677E7" w:rsidP="007600EA">
      <w:pPr>
        <w:pStyle w:val="NoSpacing"/>
        <w:spacing w:line="360" w:lineRule="auto"/>
        <w:rPr>
          <w:szCs w:val="24"/>
        </w:rPr>
      </w:pPr>
      <w:r w:rsidRPr="00EC0229">
        <w:rPr>
          <w:szCs w:val="24"/>
        </w:rPr>
        <w:lastRenderedPageBreak/>
        <w:t>The sceatta</w:t>
      </w:r>
      <w:r w:rsidRPr="00EC0229">
        <w:rPr>
          <w:szCs w:val="24"/>
        </w:rPr>
        <w:fldChar w:fldCharType="begin"/>
      </w:r>
      <w:r w:rsidRPr="00EC0229">
        <w:instrText xml:space="preserve"> XE "sceatta" </w:instrText>
      </w:r>
      <w:r w:rsidRPr="00EC0229">
        <w:rPr>
          <w:szCs w:val="24"/>
        </w:rPr>
        <w:fldChar w:fldCharType="end"/>
      </w:r>
      <w:r w:rsidRPr="00EC0229">
        <w:rPr>
          <w:szCs w:val="24"/>
        </w:rPr>
        <w:t xml:space="preserve"> conspectus,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00635D9A" w:rsidRPr="00EC0229">
        <w:rPr>
          <w:i/>
          <w:szCs w:val="24"/>
        </w:rPr>
        <w:t xml:space="preserve"> 8.1</w:t>
      </w:r>
      <w:r w:rsidR="00914CF8" w:rsidRPr="00EC0229">
        <w:rPr>
          <w:i/>
          <w:szCs w:val="24"/>
        </w:rPr>
        <w:t>6</w:t>
      </w:r>
      <w:r w:rsidRPr="00EC0229">
        <w:rPr>
          <w:szCs w:val="24"/>
        </w:rPr>
        <w:t>,</w:t>
      </w:r>
      <w:r w:rsidRPr="00EC0229">
        <w:rPr>
          <w:i/>
          <w:szCs w:val="24"/>
        </w:rPr>
        <w:t xml:space="preserve"> </w:t>
      </w:r>
      <w:r w:rsidRPr="00EC0229">
        <w:rPr>
          <w:szCs w:val="24"/>
        </w:rPr>
        <w:t>excludes only the great rarities of</w:t>
      </w:r>
      <w:r w:rsidRPr="00EC0229">
        <w:rPr>
          <w:rFonts w:cs="Times New Roman"/>
          <w:szCs w:val="24"/>
        </w:rPr>
        <w:t xml:space="preserve"> Æ</w:t>
      </w:r>
      <w:r w:rsidRPr="00EC0229">
        <w:rPr>
          <w:szCs w:val="24"/>
        </w:rPr>
        <w:t>thelwald Moll and Eardwulf. The stycas include only one Wulfhere</w:t>
      </w:r>
      <w:r w:rsidRPr="00EC0229">
        <w:rPr>
          <w:szCs w:val="24"/>
        </w:rPr>
        <w:fldChar w:fldCharType="begin"/>
      </w:r>
      <w:r w:rsidRPr="00EC0229">
        <w:instrText xml:space="preserve"> XE "Wulfhere" </w:instrText>
      </w:r>
      <w:r w:rsidRPr="00EC0229">
        <w:rPr>
          <w:szCs w:val="24"/>
        </w:rPr>
        <w:fldChar w:fldCharType="end"/>
      </w:r>
      <w:r w:rsidRPr="00EC0229">
        <w:rPr>
          <w:szCs w:val="24"/>
        </w:rPr>
        <w:t xml:space="preserve"> and exclude Eanbald</w:t>
      </w:r>
      <w:r w:rsidRPr="00EC0229">
        <w:rPr>
          <w:szCs w:val="24"/>
        </w:rPr>
        <w:fldChar w:fldCharType="begin"/>
      </w:r>
      <w:r w:rsidRPr="00EC0229">
        <w:instrText xml:space="preserve"> XE "Eanbald" </w:instrText>
      </w:r>
      <w:r w:rsidRPr="00EC0229">
        <w:rPr>
          <w:szCs w:val="24"/>
        </w:rPr>
        <w:fldChar w:fldCharType="end"/>
      </w:r>
      <w:r w:rsidRPr="00EC0229">
        <w:rPr>
          <w:szCs w:val="24"/>
        </w:rPr>
        <w:t xml:space="preserve"> II and Redwulf. Only a fifth of the stycas are blundered or illegible.</w:t>
      </w:r>
    </w:p>
    <w:p w14:paraId="37739F9A" w14:textId="77777777" w:rsidR="00D677E7" w:rsidRPr="00EC0229" w:rsidRDefault="00D677E7" w:rsidP="007600EA">
      <w:pPr>
        <w:pStyle w:val="NoSpacing"/>
        <w:spacing w:line="360" w:lineRule="auto"/>
      </w:pPr>
    </w:p>
    <w:p w14:paraId="69BEB2E1" w14:textId="53BAA01C" w:rsidR="00D677E7" w:rsidRPr="00EC0229" w:rsidRDefault="00D677E7" w:rsidP="007600EA">
      <w:pPr>
        <w:pStyle w:val="NoSpacing"/>
        <w:spacing w:line="360" w:lineRule="auto"/>
        <w:rPr>
          <w:szCs w:val="24"/>
        </w:rPr>
      </w:pPr>
      <w:r w:rsidRPr="00EC0229">
        <w:rPr>
          <w:szCs w:val="24"/>
        </w:rPr>
        <w:t>Can anything be gleaned by comparing South Newbald</w:t>
      </w:r>
      <w:r w:rsidRPr="00EC0229">
        <w:rPr>
          <w:szCs w:val="24"/>
        </w:rPr>
        <w:fldChar w:fldCharType="begin"/>
      </w:r>
      <w:r w:rsidRPr="00EC0229">
        <w:instrText xml:space="preserve"> XE "</w:instrText>
      </w:r>
      <w:r w:rsidRPr="00EC0229">
        <w:rPr>
          <w:noProof/>
        </w:rPr>
        <w:instrText>South Newbald</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SouthNewbald \h </w:instrText>
      </w:r>
      <w:r w:rsidRPr="00EC0229">
        <w:rPr>
          <w:szCs w:val="24"/>
        </w:rPr>
      </w:r>
      <w:r w:rsidRPr="00EC0229">
        <w:rPr>
          <w:szCs w:val="24"/>
        </w:rPr>
        <w:fldChar w:fldCharType="separate"/>
      </w:r>
      <w:r w:rsidR="0012026B">
        <w:rPr>
          <w:noProof/>
          <w:szCs w:val="24"/>
        </w:rPr>
        <w:t>232</w:t>
      </w:r>
      <w:r w:rsidRPr="00EC0229">
        <w:rPr>
          <w:szCs w:val="24"/>
        </w:rPr>
        <w:fldChar w:fldCharType="end"/>
      </w:r>
      <w:r w:rsidRPr="00EC0229">
        <w:rPr>
          <w:szCs w:val="24"/>
        </w:rPr>
        <w:t>) with Fishergate</w:t>
      </w:r>
      <w:r w:rsidRPr="00EC0229">
        <w:rPr>
          <w:szCs w:val="24"/>
        </w:rPr>
        <w:fldChar w:fldCharType="begin"/>
      </w:r>
      <w:r w:rsidRPr="00EC0229">
        <w:instrText xml:space="preserve"> XE "</w:instrText>
      </w:r>
      <w:r w:rsidRPr="00EC0229">
        <w:rPr>
          <w:noProof/>
        </w:rPr>
        <w:instrText>Fishergate</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Fishergate \h </w:instrText>
      </w:r>
      <w:r w:rsidRPr="00EC0229">
        <w:rPr>
          <w:szCs w:val="24"/>
        </w:rPr>
      </w:r>
      <w:r w:rsidRPr="00EC0229">
        <w:rPr>
          <w:szCs w:val="24"/>
        </w:rPr>
        <w:fldChar w:fldCharType="separate"/>
      </w:r>
      <w:r w:rsidR="0012026B">
        <w:rPr>
          <w:noProof/>
          <w:szCs w:val="24"/>
        </w:rPr>
        <w:t>186</w:t>
      </w:r>
      <w:r w:rsidRPr="00EC0229">
        <w:rPr>
          <w:szCs w:val="24"/>
        </w:rPr>
        <w:fldChar w:fldCharType="end"/>
      </w:r>
      <w:r w:rsidRPr="00EC0229">
        <w:rPr>
          <w:szCs w:val="24"/>
        </w:rPr>
        <w:t xml:space="preserve">)? </w:t>
      </w:r>
      <w:bookmarkStart w:id="633" w:name="siteshiftNFSN"/>
      <w:bookmarkEnd w:id="633"/>
      <w:r w:rsidRPr="00EC0229">
        <w:rPr>
          <w:szCs w:val="24"/>
        </w:rPr>
        <w:t xml:space="preserve">Redolent of the probable </w:t>
      </w:r>
      <w:bookmarkStart w:id="634" w:name="siteshift1"/>
      <w:bookmarkEnd w:id="634"/>
      <w:r w:rsidRPr="00EC0229">
        <w:rPr>
          <w:szCs w:val="24"/>
        </w:rPr>
        <w:t>site-shift, from Heslington Hill to Fishergate, mentioned above, Booth asked: ‘Is it too wildly speculative to suggest that the North Ferriby site was abandoned at the beginning of Eadberht</w:t>
      </w:r>
      <w:r w:rsidRPr="00EC0229">
        <w:rPr>
          <w:szCs w:val="24"/>
        </w:rPr>
        <w:fldChar w:fldCharType="begin"/>
      </w:r>
      <w:r w:rsidRPr="00EC0229">
        <w:instrText xml:space="preserve"> XE "Eadberht" </w:instrText>
      </w:r>
      <w:r w:rsidRPr="00EC0229">
        <w:rPr>
          <w:szCs w:val="24"/>
        </w:rPr>
        <w:fldChar w:fldCharType="end"/>
      </w:r>
      <w:r w:rsidRPr="00EC0229">
        <w:rPr>
          <w:szCs w:val="24"/>
        </w:rPr>
        <w:t xml:space="preserve">’s reign, and its activities moved to the safer inland location of Newbald?’ The find of a </w:t>
      </w:r>
      <w:r w:rsidR="00572E51" w:rsidRPr="00EC0229">
        <w:rPr>
          <w:szCs w:val="24"/>
        </w:rPr>
        <w:t>Southumbria</w:t>
      </w:r>
      <w:r w:rsidRPr="00EC0229">
        <w:rPr>
          <w:szCs w:val="24"/>
        </w:rPr>
        <w:t>n penny</w:t>
      </w:r>
      <w:r w:rsidRPr="00EC0229">
        <w:rPr>
          <w:szCs w:val="24"/>
        </w:rPr>
        <w:fldChar w:fldCharType="begin"/>
      </w:r>
      <w:r w:rsidRPr="00EC0229">
        <w:instrText xml:space="preserve"> XE "penny" </w:instrText>
      </w:r>
      <w:r w:rsidRPr="00EC0229">
        <w:rPr>
          <w:szCs w:val="24"/>
        </w:rPr>
        <w:fldChar w:fldCharType="end"/>
      </w:r>
      <w:r w:rsidRPr="00EC0229">
        <w:rPr>
          <w:szCs w:val="24"/>
        </w:rPr>
        <w:t xml:space="preserve"> replicates the same phenomenon at Cottam</w:t>
      </w:r>
      <w:r w:rsidRPr="00EC0229">
        <w:rPr>
          <w:szCs w:val="24"/>
        </w:rPr>
        <w:fldChar w:fldCharType="begin"/>
      </w:r>
      <w:r w:rsidRPr="00EC0229">
        <w:instrText xml:space="preserve"> XE "</w:instrText>
      </w:r>
      <w:r w:rsidRPr="00EC0229">
        <w:rPr>
          <w:rFonts w:eastAsia="Times New Roman"/>
          <w:noProof/>
          <w:lang w:eastAsia="en-GB"/>
        </w:rPr>
        <w:instrText>Cottam</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Cottam \h </w:instrText>
      </w:r>
      <w:r w:rsidRPr="00EC0229">
        <w:rPr>
          <w:szCs w:val="24"/>
        </w:rPr>
      </w:r>
      <w:r w:rsidRPr="00EC0229">
        <w:rPr>
          <w:szCs w:val="24"/>
        </w:rPr>
        <w:fldChar w:fldCharType="separate"/>
      </w:r>
      <w:r w:rsidR="0012026B">
        <w:rPr>
          <w:noProof/>
          <w:szCs w:val="24"/>
        </w:rPr>
        <w:t>240</w:t>
      </w:r>
      <w:r w:rsidRPr="00EC0229">
        <w:rPr>
          <w:szCs w:val="24"/>
        </w:rPr>
        <w:fldChar w:fldCharType="end"/>
      </w:r>
      <w:r w:rsidRPr="00EC0229">
        <w:rPr>
          <w:szCs w:val="24"/>
        </w:rPr>
        <w:t>) and Fishergate but it is safe to assume that this is coincidental in its singularity though possibly evidences a fleeting Viking</w:t>
      </w:r>
      <w:r w:rsidRPr="00EC0229">
        <w:rPr>
          <w:szCs w:val="24"/>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szCs w:val="24"/>
        </w:rPr>
        <w:fldChar w:fldCharType="end"/>
      </w:r>
      <w:r w:rsidRPr="00EC0229">
        <w:rPr>
          <w:szCs w:val="24"/>
        </w:rPr>
        <w:t xml:space="preserve"> presence. Certainly, the highly distinctive near absence of non-local coins at South Newbald differentiates the two sites and implies that there was more long-distance traffic at Fishergate but more control at South Newbald. The simultaneous abandonment is part of a pattern indicating widespread dislocation at the passage of the </w:t>
      </w:r>
      <w:r w:rsidRPr="00EC0229">
        <w:rPr>
          <w:i/>
          <w:szCs w:val="24"/>
        </w:rPr>
        <w:t>micel here</w:t>
      </w:r>
      <w:r w:rsidRPr="00EC0229">
        <w:rPr>
          <w:i/>
          <w:szCs w:val="24"/>
        </w:rPr>
        <w:fldChar w:fldCharType="begin"/>
      </w:r>
      <w:r w:rsidRPr="00EC0229">
        <w:instrText xml:space="preserve"> XE "</w:instrText>
      </w:r>
      <w:r w:rsidRPr="00EC0229">
        <w:rPr>
          <w:rFonts w:cs="Times New Roman"/>
          <w:i/>
          <w:color w:val="000000" w:themeColor="text1"/>
          <w:szCs w:val="24"/>
        </w:rPr>
        <w:instrText>micel here</w:instrText>
      </w:r>
      <w:r w:rsidRPr="00EC0229">
        <w:instrText xml:space="preserve">" </w:instrText>
      </w:r>
      <w:r w:rsidRPr="00EC0229">
        <w:rPr>
          <w:i/>
          <w:szCs w:val="24"/>
        </w:rPr>
        <w:fldChar w:fldCharType="end"/>
      </w:r>
      <w:r w:rsidRPr="00EC0229">
        <w:rPr>
          <w:i/>
          <w:szCs w:val="24"/>
        </w:rPr>
        <w:t>.</w:t>
      </w:r>
    </w:p>
    <w:p w14:paraId="53E15D12" w14:textId="77777777" w:rsidR="00D677E7" w:rsidRPr="00EC0229" w:rsidRDefault="00D677E7" w:rsidP="007600EA">
      <w:pPr>
        <w:pStyle w:val="NoSpacing"/>
        <w:spacing w:line="360" w:lineRule="auto"/>
        <w:jc w:val="center"/>
        <w:rPr>
          <w:noProof/>
          <w:lang w:eastAsia="en-GB"/>
        </w:rPr>
      </w:pPr>
      <w:r w:rsidRPr="00EC0229">
        <w:rPr>
          <w:noProof/>
          <w:lang w:eastAsia="en-GB"/>
        </w:rPr>
        <w:drawing>
          <wp:inline distT="0" distB="0" distL="0" distR="0" wp14:anchorId="4E83E88F" wp14:editId="357DA033">
            <wp:extent cx="790491" cy="771892"/>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outh Newbald Y110.JPG"/>
                    <pic:cNvPicPr/>
                  </pic:nvPicPr>
                  <pic:blipFill>
                    <a:blip r:embed="rId305">
                      <a:extLst>
                        <a:ext uri="{28A0092B-C50C-407E-A947-70E740481C1C}">
                          <a14:useLocalDpi xmlns:a14="http://schemas.microsoft.com/office/drawing/2010/main" val="0"/>
                        </a:ext>
                      </a:extLst>
                    </a:blip>
                    <a:stretch>
                      <a:fillRect/>
                    </a:stretch>
                  </pic:blipFill>
                  <pic:spPr>
                    <a:xfrm>
                      <a:off x="0" y="0"/>
                      <a:ext cx="798573" cy="779783"/>
                    </a:xfrm>
                    <a:prstGeom prst="rect">
                      <a:avLst/>
                    </a:prstGeom>
                  </pic:spPr>
                </pic:pic>
              </a:graphicData>
            </a:graphic>
          </wp:inline>
        </w:drawing>
      </w:r>
      <w:r w:rsidRPr="00EC0229">
        <w:rPr>
          <w:noProof/>
          <w:lang w:eastAsia="en-GB"/>
        </w:rPr>
        <w:drawing>
          <wp:inline distT="0" distB="0" distL="0" distR="0" wp14:anchorId="2F778DBC" wp14:editId="18852A89">
            <wp:extent cx="759351" cy="777218"/>
            <wp:effectExtent l="0" t="0" r="3175"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outh Newbald Y110R.JPG"/>
                    <pic:cNvPicPr/>
                  </pic:nvPicPr>
                  <pic:blipFill>
                    <a:blip r:embed="rId306">
                      <a:extLst>
                        <a:ext uri="{28A0092B-C50C-407E-A947-70E740481C1C}">
                          <a14:useLocalDpi xmlns:a14="http://schemas.microsoft.com/office/drawing/2010/main" val="0"/>
                        </a:ext>
                      </a:extLst>
                    </a:blip>
                    <a:stretch>
                      <a:fillRect/>
                    </a:stretch>
                  </pic:blipFill>
                  <pic:spPr>
                    <a:xfrm>
                      <a:off x="0" y="0"/>
                      <a:ext cx="769026" cy="787121"/>
                    </a:xfrm>
                    <a:prstGeom prst="rect">
                      <a:avLst/>
                    </a:prstGeom>
                  </pic:spPr>
                </pic:pic>
              </a:graphicData>
            </a:graphic>
          </wp:inline>
        </w:drawing>
      </w:r>
      <w:r w:rsidRPr="00EC0229">
        <w:rPr>
          <w:noProof/>
          <w:lang w:eastAsia="en-GB"/>
        </w:rPr>
        <w:tab/>
      </w:r>
      <w:r w:rsidRPr="00EC0229">
        <w:rPr>
          <w:noProof/>
          <w:lang w:eastAsia="en-GB"/>
        </w:rPr>
        <w:tab/>
      </w:r>
      <w:r w:rsidRPr="00EC0229">
        <w:rPr>
          <w:noProof/>
          <w:lang w:eastAsia="en-GB"/>
        </w:rPr>
        <w:drawing>
          <wp:inline distT="0" distB="0" distL="0" distR="0" wp14:anchorId="47BD76F3" wp14:editId="4A89366C">
            <wp:extent cx="754380" cy="860881"/>
            <wp:effectExtent l="0" t="0" r="762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outh Newbald Y118.JPG"/>
                    <pic:cNvPicPr/>
                  </pic:nvPicPr>
                  <pic:blipFill>
                    <a:blip r:embed="rId307">
                      <a:extLst>
                        <a:ext uri="{28A0092B-C50C-407E-A947-70E740481C1C}">
                          <a14:useLocalDpi xmlns:a14="http://schemas.microsoft.com/office/drawing/2010/main" val="0"/>
                        </a:ext>
                      </a:extLst>
                    </a:blip>
                    <a:stretch>
                      <a:fillRect/>
                    </a:stretch>
                  </pic:blipFill>
                  <pic:spPr>
                    <a:xfrm>
                      <a:off x="0" y="0"/>
                      <a:ext cx="757718" cy="864690"/>
                    </a:xfrm>
                    <a:prstGeom prst="rect">
                      <a:avLst/>
                    </a:prstGeom>
                  </pic:spPr>
                </pic:pic>
              </a:graphicData>
            </a:graphic>
          </wp:inline>
        </w:drawing>
      </w:r>
      <w:r w:rsidRPr="00EC0229">
        <w:rPr>
          <w:noProof/>
          <w:lang w:eastAsia="en-GB"/>
        </w:rPr>
        <w:drawing>
          <wp:inline distT="0" distB="0" distL="0" distR="0" wp14:anchorId="0CF9A787" wp14:editId="609C94CC">
            <wp:extent cx="913199" cy="795020"/>
            <wp:effectExtent l="0" t="0" r="1270" b="508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outh Newbald Y118R.JPG"/>
                    <pic:cNvPicPr/>
                  </pic:nvPicPr>
                  <pic:blipFill>
                    <a:blip r:embed="rId308">
                      <a:extLst>
                        <a:ext uri="{28A0092B-C50C-407E-A947-70E740481C1C}">
                          <a14:useLocalDpi xmlns:a14="http://schemas.microsoft.com/office/drawing/2010/main" val="0"/>
                        </a:ext>
                      </a:extLst>
                    </a:blip>
                    <a:stretch>
                      <a:fillRect/>
                    </a:stretch>
                  </pic:blipFill>
                  <pic:spPr>
                    <a:xfrm>
                      <a:off x="0" y="0"/>
                      <a:ext cx="918455" cy="799596"/>
                    </a:xfrm>
                    <a:prstGeom prst="rect">
                      <a:avLst/>
                    </a:prstGeom>
                  </pic:spPr>
                </pic:pic>
              </a:graphicData>
            </a:graphic>
          </wp:inline>
        </w:drawing>
      </w:r>
    </w:p>
    <w:p w14:paraId="07BC54A2" w14:textId="77777777" w:rsidR="00D677E7" w:rsidRPr="00EC0229" w:rsidRDefault="00D677E7" w:rsidP="007600EA">
      <w:pPr>
        <w:pStyle w:val="NoSpacing"/>
        <w:spacing w:line="360" w:lineRule="auto"/>
        <w:jc w:val="center"/>
        <w:rPr>
          <w:noProof/>
          <w:sz w:val="20"/>
          <w:szCs w:val="20"/>
          <w:lang w:eastAsia="en-GB"/>
        </w:rPr>
      </w:pPr>
      <w:r w:rsidRPr="00EC0229">
        <w:rPr>
          <w:noProof/>
          <w:sz w:val="20"/>
          <w:szCs w:val="20"/>
          <w:lang w:eastAsia="en-GB"/>
        </w:rPr>
        <w:t>Eadberht</w:t>
      </w:r>
      <w:r w:rsidRPr="00EC0229">
        <w:rPr>
          <w:noProof/>
          <w:sz w:val="20"/>
          <w:szCs w:val="20"/>
          <w:lang w:eastAsia="en-GB"/>
        </w:rPr>
        <w:fldChar w:fldCharType="begin"/>
      </w:r>
      <w:r w:rsidRPr="00EC0229">
        <w:instrText xml:space="preserve"> XE "Eadberht" </w:instrText>
      </w:r>
      <w:r w:rsidRPr="00EC0229">
        <w:rPr>
          <w:noProof/>
          <w:sz w:val="20"/>
          <w:szCs w:val="20"/>
          <w:lang w:eastAsia="en-GB"/>
        </w:rPr>
        <w:fldChar w:fldCharType="end"/>
      </w:r>
    </w:p>
    <w:p w14:paraId="5F077D34" w14:textId="77777777" w:rsidR="00D677E7" w:rsidRPr="00EC0229" w:rsidRDefault="00D677E7" w:rsidP="007600EA">
      <w:pPr>
        <w:pStyle w:val="NoSpacing"/>
        <w:spacing w:line="360" w:lineRule="auto"/>
        <w:jc w:val="center"/>
        <w:rPr>
          <w:sz w:val="20"/>
          <w:szCs w:val="20"/>
        </w:rPr>
      </w:pPr>
      <w:r w:rsidRPr="00EC0229">
        <w:rPr>
          <w:noProof/>
          <w:sz w:val="20"/>
          <w:szCs w:val="20"/>
          <w:lang w:eastAsia="en-GB"/>
        </w:rPr>
        <w:drawing>
          <wp:inline distT="0" distB="0" distL="0" distR="0" wp14:anchorId="72053D22" wp14:editId="4E073830">
            <wp:extent cx="835660" cy="835660"/>
            <wp:effectExtent l="0" t="0" r="2540" b="254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uth Newbald Y610.JPG"/>
                    <pic:cNvPicPr/>
                  </pic:nvPicPr>
                  <pic:blipFill>
                    <a:blip r:embed="rId309">
                      <a:extLst>
                        <a:ext uri="{28A0092B-C50C-407E-A947-70E740481C1C}">
                          <a14:useLocalDpi xmlns:a14="http://schemas.microsoft.com/office/drawing/2010/main" val="0"/>
                        </a:ext>
                      </a:extLst>
                    </a:blip>
                    <a:stretch>
                      <a:fillRect/>
                    </a:stretch>
                  </pic:blipFill>
                  <pic:spPr>
                    <a:xfrm>
                      <a:off x="0" y="0"/>
                      <a:ext cx="835660" cy="835660"/>
                    </a:xfrm>
                    <a:prstGeom prst="rect">
                      <a:avLst/>
                    </a:prstGeom>
                  </pic:spPr>
                </pic:pic>
              </a:graphicData>
            </a:graphic>
          </wp:inline>
        </w:drawing>
      </w:r>
      <w:r w:rsidRPr="00EC0229">
        <w:rPr>
          <w:noProof/>
          <w:sz w:val="20"/>
          <w:szCs w:val="20"/>
          <w:lang w:eastAsia="en-GB"/>
        </w:rPr>
        <w:drawing>
          <wp:inline distT="0" distB="0" distL="0" distR="0" wp14:anchorId="06036694" wp14:editId="4B82E6C6">
            <wp:extent cx="876300" cy="855682"/>
            <wp:effectExtent l="0" t="0" r="0" b="190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outh Newbald Y610R.JPG"/>
                    <pic:cNvPicPr/>
                  </pic:nvPicPr>
                  <pic:blipFill>
                    <a:blip r:embed="rId310">
                      <a:extLst>
                        <a:ext uri="{28A0092B-C50C-407E-A947-70E740481C1C}">
                          <a14:useLocalDpi xmlns:a14="http://schemas.microsoft.com/office/drawing/2010/main" val="0"/>
                        </a:ext>
                      </a:extLst>
                    </a:blip>
                    <a:stretch>
                      <a:fillRect/>
                    </a:stretch>
                  </pic:blipFill>
                  <pic:spPr>
                    <a:xfrm>
                      <a:off x="0" y="0"/>
                      <a:ext cx="883086" cy="862309"/>
                    </a:xfrm>
                    <a:prstGeom prst="rect">
                      <a:avLst/>
                    </a:prstGeom>
                  </pic:spPr>
                </pic:pic>
              </a:graphicData>
            </a:graphic>
          </wp:inline>
        </w:drawing>
      </w:r>
    </w:p>
    <w:p w14:paraId="3D5B1021" w14:textId="77777777" w:rsidR="00D677E7" w:rsidRPr="00EC0229" w:rsidRDefault="00D677E7" w:rsidP="007600EA">
      <w:pPr>
        <w:pStyle w:val="NoSpacing"/>
        <w:spacing w:line="360" w:lineRule="auto"/>
        <w:jc w:val="center"/>
        <w:rPr>
          <w:sz w:val="20"/>
          <w:szCs w:val="20"/>
        </w:rPr>
      </w:pPr>
      <w:r w:rsidRPr="00EC0229">
        <w:rPr>
          <w:sz w:val="20"/>
          <w:szCs w:val="20"/>
        </w:rPr>
        <w:t>Alchred</w:t>
      </w:r>
      <w:r w:rsidRPr="00EC0229">
        <w:rPr>
          <w:sz w:val="20"/>
          <w:szCs w:val="20"/>
        </w:rPr>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rPr>
          <w:sz w:val="20"/>
          <w:szCs w:val="20"/>
        </w:rPr>
        <w:fldChar w:fldCharType="end"/>
      </w:r>
      <w:r w:rsidRPr="00EC0229">
        <w:rPr>
          <w:sz w:val="20"/>
          <w:szCs w:val="20"/>
        </w:rPr>
        <w:t xml:space="preserve"> with Ecgberht</w:t>
      </w:r>
      <w:r w:rsidRPr="00EC0229">
        <w:rPr>
          <w:sz w:val="20"/>
          <w:szCs w:val="20"/>
        </w:rPr>
        <w:fldChar w:fldCharType="begin"/>
      </w:r>
      <w:r w:rsidRPr="00EC0229">
        <w:instrText xml:space="preserve"> XE "Ecgberht" </w:instrText>
      </w:r>
      <w:r w:rsidRPr="00EC0229">
        <w:rPr>
          <w:sz w:val="20"/>
          <w:szCs w:val="20"/>
        </w:rPr>
        <w:fldChar w:fldCharType="end"/>
      </w:r>
    </w:p>
    <w:p w14:paraId="69868C77" w14:textId="77777777" w:rsidR="00D677E7" w:rsidRPr="00EC0229" w:rsidRDefault="00D677E7" w:rsidP="007600EA">
      <w:pPr>
        <w:pStyle w:val="NoSpacing"/>
        <w:spacing w:line="360" w:lineRule="auto"/>
        <w:jc w:val="center"/>
        <w:rPr>
          <w:sz w:val="20"/>
          <w:szCs w:val="20"/>
        </w:rPr>
      </w:pPr>
      <w:r w:rsidRPr="00EC0229">
        <w:rPr>
          <w:noProof/>
          <w:sz w:val="20"/>
          <w:szCs w:val="20"/>
          <w:lang w:eastAsia="en-GB"/>
        </w:rPr>
        <w:drawing>
          <wp:inline distT="0" distB="0" distL="0" distR="0" wp14:anchorId="77DC1DCE" wp14:editId="52706CE8">
            <wp:extent cx="909320" cy="855830"/>
            <wp:effectExtent l="0" t="0" r="5080" b="190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outh Newbald Y310.JPG"/>
                    <pic:cNvPicPr/>
                  </pic:nvPicPr>
                  <pic:blipFill>
                    <a:blip r:embed="rId311">
                      <a:extLst>
                        <a:ext uri="{28A0092B-C50C-407E-A947-70E740481C1C}">
                          <a14:useLocalDpi xmlns:a14="http://schemas.microsoft.com/office/drawing/2010/main" val="0"/>
                        </a:ext>
                      </a:extLst>
                    </a:blip>
                    <a:stretch>
                      <a:fillRect/>
                    </a:stretch>
                  </pic:blipFill>
                  <pic:spPr>
                    <a:xfrm>
                      <a:off x="0" y="0"/>
                      <a:ext cx="915432" cy="861582"/>
                    </a:xfrm>
                    <a:prstGeom prst="rect">
                      <a:avLst/>
                    </a:prstGeom>
                  </pic:spPr>
                </pic:pic>
              </a:graphicData>
            </a:graphic>
          </wp:inline>
        </w:drawing>
      </w:r>
      <w:r w:rsidRPr="00EC0229">
        <w:rPr>
          <w:noProof/>
          <w:sz w:val="20"/>
          <w:szCs w:val="20"/>
          <w:lang w:eastAsia="en-GB"/>
        </w:rPr>
        <w:drawing>
          <wp:inline distT="0" distB="0" distL="0" distR="0" wp14:anchorId="3E0EF0E6" wp14:editId="5E3C819E">
            <wp:extent cx="817445" cy="855914"/>
            <wp:effectExtent l="0" t="0" r="1905" b="190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outh Newbald Y310R.JPG"/>
                    <pic:cNvPicPr/>
                  </pic:nvPicPr>
                  <pic:blipFill>
                    <a:blip r:embed="rId312">
                      <a:extLst>
                        <a:ext uri="{28A0092B-C50C-407E-A947-70E740481C1C}">
                          <a14:useLocalDpi xmlns:a14="http://schemas.microsoft.com/office/drawing/2010/main" val="0"/>
                        </a:ext>
                      </a:extLst>
                    </a:blip>
                    <a:stretch>
                      <a:fillRect/>
                    </a:stretch>
                  </pic:blipFill>
                  <pic:spPr>
                    <a:xfrm>
                      <a:off x="0" y="0"/>
                      <a:ext cx="827958" cy="866921"/>
                    </a:xfrm>
                    <a:prstGeom prst="rect">
                      <a:avLst/>
                    </a:prstGeom>
                  </pic:spPr>
                </pic:pic>
              </a:graphicData>
            </a:graphic>
          </wp:inline>
        </w:drawing>
      </w:r>
      <w:r w:rsidRPr="00EC0229">
        <w:rPr>
          <w:sz w:val="20"/>
          <w:szCs w:val="20"/>
        </w:rPr>
        <w:tab/>
      </w:r>
      <w:r w:rsidRPr="00EC0229">
        <w:rPr>
          <w:sz w:val="20"/>
          <w:szCs w:val="20"/>
        </w:rPr>
        <w:tab/>
      </w:r>
      <w:r w:rsidRPr="00EC0229">
        <w:rPr>
          <w:noProof/>
          <w:sz w:val="20"/>
          <w:szCs w:val="20"/>
          <w:lang w:eastAsia="en-GB"/>
        </w:rPr>
        <w:drawing>
          <wp:inline distT="0" distB="0" distL="0" distR="0" wp14:anchorId="524570F9" wp14:editId="4D0BF3D9">
            <wp:extent cx="800100" cy="875405"/>
            <wp:effectExtent l="0" t="0" r="0" b="127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outh Newbald Y300.JPG"/>
                    <pic:cNvPicPr/>
                  </pic:nvPicPr>
                  <pic:blipFill>
                    <a:blip r:embed="rId313">
                      <a:extLst>
                        <a:ext uri="{28A0092B-C50C-407E-A947-70E740481C1C}">
                          <a14:useLocalDpi xmlns:a14="http://schemas.microsoft.com/office/drawing/2010/main" val="0"/>
                        </a:ext>
                      </a:extLst>
                    </a:blip>
                    <a:stretch>
                      <a:fillRect/>
                    </a:stretch>
                  </pic:blipFill>
                  <pic:spPr>
                    <a:xfrm>
                      <a:off x="0" y="0"/>
                      <a:ext cx="807179" cy="883150"/>
                    </a:xfrm>
                    <a:prstGeom prst="rect">
                      <a:avLst/>
                    </a:prstGeom>
                  </pic:spPr>
                </pic:pic>
              </a:graphicData>
            </a:graphic>
          </wp:inline>
        </w:drawing>
      </w:r>
      <w:r w:rsidRPr="00EC0229">
        <w:rPr>
          <w:noProof/>
          <w:sz w:val="20"/>
          <w:szCs w:val="20"/>
          <w:lang w:eastAsia="en-GB"/>
        </w:rPr>
        <w:drawing>
          <wp:inline distT="0" distB="0" distL="0" distR="0" wp14:anchorId="5E969B2E" wp14:editId="52CC1B43">
            <wp:extent cx="779212" cy="870883"/>
            <wp:effectExtent l="0" t="0" r="1905" b="571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outh Newbald Y300R.JPG"/>
                    <pic:cNvPicPr/>
                  </pic:nvPicPr>
                  <pic:blipFill>
                    <a:blip r:embed="rId314">
                      <a:extLst>
                        <a:ext uri="{28A0092B-C50C-407E-A947-70E740481C1C}">
                          <a14:useLocalDpi xmlns:a14="http://schemas.microsoft.com/office/drawing/2010/main" val="0"/>
                        </a:ext>
                      </a:extLst>
                    </a:blip>
                    <a:stretch>
                      <a:fillRect/>
                    </a:stretch>
                  </pic:blipFill>
                  <pic:spPr>
                    <a:xfrm>
                      <a:off x="0" y="0"/>
                      <a:ext cx="785950" cy="878414"/>
                    </a:xfrm>
                    <a:prstGeom prst="rect">
                      <a:avLst/>
                    </a:prstGeom>
                  </pic:spPr>
                </pic:pic>
              </a:graphicData>
            </a:graphic>
          </wp:inline>
        </w:drawing>
      </w:r>
    </w:p>
    <w:p w14:paraId="69C7A032" w14:textId="77777777" w:rsidR="00D677E7" w:rsidRPr="00EC0229" w:rsidRDefault="00D677E7" w:rsidP="007600EA">
      <w:pPr>
        <w:pStyle w:val="NoSpacing"/>
        <w:spacing w:line="360" w:lineRule="auto"/>
        <w:jc w:val="center"/>
        <w:rPr>
          <w:sz w:val="20"/>
          <w:szCs w:val="20"/>
        </w:rPr>
      </w:pPr>
      <w:r w:rsidRPr="00EC0229">
        <w:rPr>
          <w:sz w:val="20"/>
          <w:szCs w:val="20"/>
        </w:rPr>
        <w:t>Æthelred</w:t>
      </w:r>
      <w:r w:rsidRPr="00EC0229">
        <w:rPr>
          <w:sz w:val="20"/>
          <w:szCs w:val="20"/>
        </w:rPr>
        <w:fldChar w:fldCharType="begin"/>
      </w:r>
      <w:r w:rsidRPr="00EC0229">
        <w:instrText xml:space="preserve"> XE "</w:instrText>
      </w:r>
      <w:r w:rsidRPr="00EC0229">
        <w:rPr>
          <w:rFonts w:cs="Times New Roman"/>
        </w:rPr>
        <w:instrText>Æ</w:instrText>
      </w:r>
      <w:r w:rsidRPr="00EC0229">
        <w:instrText xml:space="preserve">thelred" </w:instrText>
      </w:r>
      <w:r w:rsidRPr="00EC0229">
        <w:rPr>
          <w:sz w:val="20"/>
          <w:szCs w:val="20"/>
        </w:rPr>
        <w:fldChar w:fldCharType="end"/>
      </w:r>
      <w:r w:rsidRPr="00EC0229">
        <w:rPr>
          <w:sz w:val="20"/>
          <w:szCs w:val="20"/>
        </w:rPr>
        <w:t xml:space="preserve"> I:  L: shrine issue of Cuthgils, R: rare ‘double obverse’</w:t>
      </w:r>
    </w:p>
    <w:p w14:paraId="2A599EBE" w14:textId="7BC394E9" w:rsidR="00D677E7" w:rsidRPr="00EC0229" w:rsidRDefault="00D677E7" w:rsidP="007600EA">
      <w:pPr>
        <w:pStyle w:val="NoSpacing"/>
        <w:spacing w:line="360" w:lineRule="auto"/>
        <w:jc w:val="center"/>
        <w:rPr>
          <w:sz w:val="20"/>
          <w:szCs w:val="20"/>
        </w:rPr>
      </w:pPr>
      <w:bookmarkStart w:id="635" w:name="_Ref430248736"/>
      <w:bookmarkStart w:id="636" w:name="_Toc468267066"/>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94</w:t>
      </w:r>
      <w:r w:rsidRPr="00EC0229">
        <w:rPr>
          <w:sz w:val="20"/>
          <w:szCs w:val="20"/>
        </w:rPr>
        <w:fldChar w:fldCharType="end"/>
      </w:r>
      <w:bookmarkEnd w:id="635"/>
      <w:r w:rsidRPr="00EC0229">
        <w:rPr>
          <w:sz w:val="20"/>
          <w:szCs w:val="20"/>
        </w:rPr>
        <w:t>: Some sceatta</w:t>
      </w:r>
      <w:r w:rsidRPr="00EC0229">
        <w:rPr>
          <w:sz w:val="20"/>
          <w:szCs w:val="20"/>
        </w:rPr>
        <w:fldChar w:fldCharType="begin"/>
      </w:r>
      <w:r w:rsidRPr="00EC0229">
        <w:rPr>
          <w:sz w:val="20"/>
          <w:szCs w:val="20"/>
        </w:rPr>
        <w:instrText xml:space="preserve"> XE "sceatta" </w:instrText>
      </w:r>
      <w:r w:rsidRPr="00EC0229">
        <w:rPr>
          <w:sz w:val="20"/>
          <w:szCs w:val="20"/>
        </w:rPr>
        <w:fldChar w:fldCharType="end"/>
      </w:r>
      <w:r w:rsidRPr="00EC0229">
        <w:rPr>
          <w:sz w:val="20"/>
          <w:szCs w:val="20"/>
        </w:rPr>
        <w:t xml:space="preserve"> finds from South Newbald</w:t>
      </w:r>
      <w:bookmarkEnd w:id="636"/>
      <w:r w:rsidRPr="00EC0229">
        <w:rPr>
          <w:sz w:val="20"/>
          <w:szCs w:val="20"/>
        </w:rPr>
        <w:fldChar w:fldCharType="begin"/>
      </w:r>
      <w:r w:rsidRPr="00EC0229">
        <w:rPr>
          <w:sz w:val="20"/>
          <w:szCs w:val="20"/>
        </w:rPr>
        <w:instrText xml:space="preserve"> XE "South Newbald" </w:instrText>
      </w:r>
      <w:r w:rsidRPr="00EC0229">
        <w:rPr>
          <w:sz w:val="20"/>
          <w:szCs w:val="20"/>
        </w:rPr>
        <w:fldChar w:fldCharType="end"/>
      </w:r>
    </w:p>
    <w:p w14:paraId="4B2BAD2C" w14:textId="77777777" w:rsidR="00D677E7" w:rsidRPr="00EC0229" w:rsidRDefault="00D677E7" w:rsidP="007600EA">
      <w:pPr>
        <w:pStyle w:val="NoSpacing"/>
        <w:spacing w:line="360" w:lineRule="auto"/>
        <w:jc w:val="center"/>
        <w:rPr>
          <w:sz w:val="20"/>
          <w:szCs w:val="20"/>
        </w:rPr>
      </w:pPr>
    </w:p>
    <w:p w14:paraId="659F5C21" w14:textId="77777777" w:rsidR="00D677E7" w:rsidRPr="00EC0229" w:rsidRDefault="00D677E7" w:rsidP="007600EA">
      <w:pPr>
        <w:pStyle w:val="NoSpacing"/>
        <w:spacing w:line="360" w:lineRule="auto"/>
        <w:jc w:val="center"/>
        <w:rPr>
          <w:sz w:val="20"/>
          <w:szCs w:val="20"/>
        </w:rPr>
      </w:pPr>
      <w:r w:rsidRPr="00EC0229">
        <w:rPr>
          <w:noProof/>
          <w:sz w:val="20"/>
          <w:szCs w:val="20"/>
          <w:lang w:eastAsia="en-GB"/>
        </w:rPr>
        <w:drawing>
          <wp:inline distT="0" distB="0" distL="0" distR="0" wp14:anchorId="7B3EB439" wp14:editId="2F94FB93">
            <wp:extent cx="909320" cy="845132"/>
            <wp:effectExtent l="0" t="0" r="508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outh Newbald Y345.JPG"/>
                    <pic:cNvPicPr/>
                  </pic:nvPicPr>
                  <pic:blipFill>
                    <a:blip r:embed="rId315">
                      <a:extLst>
                        <a:ext uri="{28A0092B-C50C-407E-A947-70E740481C1C}">
                          <a14:useLocalDpi xmlns:a14="http://schemas.microsoft.com/office/drawing/2010/main" val="0"/>
                        </a:ext>
                      </a:extLst>
                    </a:blip>
                    <a:stretch>
                      <a:fillRect/>
                    </a:stretch>
                  </pic:blipFill>
                  <pic:spPr>
                    <a:xfrm>
                      <a:off x="0" y="0"/>
                      <a:ext cx="915450" cy="850829"/>
                    </a:xfrm>
                    <a:prstGeom prst="rect">
                      <a:avLst/>
                    </a:prstGeom>
                  </pic:spPr>
                </pic:pic>
              </a:graphicData>
            </a:graphic>
          </wp:inline>
        </w:drawing>
      </w:r>
      <w:r w:rsidRPr="00EC0229">
        <w:rPr>
          <w:noProof/>
          <w:sz w:val="20"/>
          <w:szCs w:val="20"/>
          <w:lang w:eastAsia="en-GB"/>
        </w:rPr>
        <w:drawing>
          <wp:inline distT="0" distB="0" distL="0" distR="0" wp14:anchorId="0183FC77" wp14:editId="3F790E56">
            <wp:extent cx="907061" cy="843033"/>
            <wp:effectExtent l="0" t="0" r="762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outh Newbald Y345R.JPG"/>
                    <pic:cNvPicPr/>
                  </pic:nvPicPr>
                  <pic:blipFill>
                    <a:blip r:embed="rId316">
                      <a:extLst>
                        <a:ext uri="{28A0092B-C50C-407E-A947-70E740481C1C}">
                          <a14:useLocalDpi xmlns:a14="http://schemas.microsoft.com/office/drawing/2010/main" val="0"/>
                        </a:ext>
                      </a:extLst>
                    </a:blip>
                    <a:stretch>
                      <a:fillRect/>
                    </a:stretch>
                  </pic:blipFill>
                  <pic:spPr>
                    <a:xfrm>
                      <a:off x="0" y="0"/>
                      <a:ext cx="912098" cy="847714"/>
                    </a:xfrm>
                    <a:prstGeom prst="rect">
                      <a:avLst/>
                    </a:prstGeom>
                  </pic:spPr>
                </pic:pic>
              </a:graphicData>
            </a:graphic>
          </wp:inline>
        </w:drawing>
      </w:r>
    </w:p>
    <w:p w14:paraId="2D9E5474" w14:textId="39F90B8F" w:rsidR="00D677E7" w:rsidRPr="00EC0229" w:rsidRDefault="00D677E7" w:rsidP="007600EA">
      <w:pPr>
        <w:pStyle w:val="NoSpacing"/>
        <w:spacing w:line="360" w:lineRule="auto"/>
        <w:jc w:val="center"/>
        <w:rPr>
          <w:sz w:val="20"/>
          <w:szCs w:val="20"/>
        </w:rPr>
      </w:pPr>
      <w:bookmarkStart w:id="637" w:name="_Ref430248742"/>
      <w:bookmarkStart w:id="638" w:name="_Toc468267067"/>
      <w:r w:rsidRPr="00EC0229">
        <w:rPr>
          <w:i/>
          <w:sz w:val="20"/>
          <w:szCs w:val="20"/>
        </w:rPr>
        <w:lastRenderedPageBreak/>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95</w:t>
      </w:r>
      <w:r w:rsidRPr="00EC0229">
        <w:rPr>
          <w:sz w:val="20"/>
          <w:szCs w:val="20"/>
        </w:rPr>
        <w:fldChar w:fldCharType="end"/>
      </w:r>
      <w:bookmarkEnd w:id="637"/>
      <w:r w:rsidRPr="00EC0229">
        <w:rPr>
          <w:sz w:val="20"/>
          <w:szCs w:val="20"/>
        </w:rPr>
        <w:t>: Eardwulf by Cuthheard</w:t>
      </w:r>
      <w:bookmarkEnd w:id="638"/>
      <w:r w:rsidRPr="00EC0229">
        <w:rPr>
          <w:sz w:val="20"/>
          <w:szCs w:val="20"/>
        </w:rPr>
        <w:fldChar w:fldCharType="begin"/>
      </w:r>
      <w:r w:rsidRPr="00EC0229">
        <w:rPr>
          <w:sz w:val="20"/>
          <w:szCs w:val="20"/>
        </w:rPr>
        <w:instrText xml:space="preserve"> XE "Cuthheard" </w:instrText>
      </w:r>
      <w:r w:rsidRPr="00EC0229">
        <w:rPr>
          <w:sz w:val="20"/>
          <w:szCs w:val="20"/>
        </w:rPr>
        <w:fldChar w:fldCharType="end"/>
      </w:r>
    </w:p>
    <w:p w14:paraId="2E1AA049" w14:textId="77777777" w:rsidR="00D677E7" w:rsidRPr="00EC0229" w:rsidRDefault="00D677E7" w:rsidP="007600EA">
      <w:pPr>
        <w:pStyle w:val="NoSpacing"/>
        <w:spacing w:line="360" w:lineRule="auto"/>
        <w:jc w:val="center"/>
        <w:rPr>
          <w:sz w:val="20"/>
          <w:szCs w:val="20"/>
        </w:rPr>
      </w:pPr>
      <w:r w:rsidRPr="00EC0229">
        <w:rPr>
          <w:sz w:val="20"/>
          <w:szCs w:val="20"/>
        </w:rPr>
        <w:t>Found ‘Newbald side of Sancton’</w:t>
      </w:r>
    </w:p>
    <w:p w14:paraId="4BCE0808" w14:textId="77777777" w:rsidR="00D677E7" w:rsidRPr="00EC0229" w:rsidRDefault="00D677E7" w:rsidP="007600EA">
      <w:pPr>
        <w:spacing w:line="360" w:lineRule="auto"/>
      </w:pPr>
    </w:p>
    <w:p w14:paraId="0D1CD41B" w14:textId="38D090C1" w:rsidR="00D677E7" w:rsidRPr="007A3166" w:rsidRDefault="00D677E7" w:rsidP="00C97BF2">
      <w:pPr>
        <w:pStyle w:val="Heading4"/>
        <w:spacing w:line="360" w:lineRule="auto"/>
        <w:rPr>
          <w:b/>
        </w:rPr>
      </w:pPr>
      <w:bookmarkStart w:id="639" w:name="_Toc468266878"/>
      <w:r w:rsidRPr="007A3166">
        <w:rPr>
          <w:b/>
        </w:rPr>
        <w:t>Hayton</w:t>
      </w:r>
      <w:bookmarkEnd w:id="639"/>
      <w:r w:rsidRPr="007A3166">
        <w:rPr>
          <w:b/>
        </w:rPr>
        <w:fldChar w:fldCharType="begin"/>
      </w:r>
      <w:r w:rsidRPr="007A3166">
        <w:rPr>
          <w:b/>
        </w:rPr>
        <w:instrText xml:space="preserve"> XE "</w:instrText>
      </w:r>
      <w:r w:rsidRPr="007A3166">
        <w:rPr>
          <w:rStyle w:val="Hyperlink"/>
          <w:b/>
          <w:noProof/>
          <w:u w:val="none"/>
        </w:rPr>
        <w:instrText>Hayton</w:instrText>
      </w:r>
      <w:r w:rsidRPr="007A3166">
        <w:rPr>
          <w:b/>
        </w:rPr>
        <w:instrText xml:space="preserve">" </w:instrText>
      </w:r>
      <w:r w:rsidRPr="007A3166">
        <w:rPr>
          <w:b/>
        </w:rPr>
        <w:fldChar w:fldCharType="end"/>
      </w:r>
      <w:r w:rsidRPr="007A3166">
        <w:rPr>
          <w:b/>
        </w:rPr>
        <w:t xml:space="preserve"> </w:t>
      </w:r>
    </w:p>
    <w:p w14:paraId="2601CDED" w14:textId="3F9198E9" w:rsidR="00D677E7" w:rsidRPr="00EC0229" w:rsidRDefault="00D677E7" w:rsidP="007600EA">
      <w:pPr>
        <w:pStyle w:val="NoSpacing"/>
        <w:spacing w:line="360" w:lineRule="auto"/>
      </w:pPr>
      <w:r w:rsidRPr="00EC0229">
        <w:t>Hayton</w:t>
      </w:r>
      <w:r w:rsidRPr="00EC0229">
        <w:fldChar w:fldCharType="begin"/>
      </w:r>
      <w:r w:rsidRPr="00EC0229">
        <w:instrText xml:space="preserve"> XE "</w:instrText>
      </w:r>
      <w:r w:rsidRPr="00EC0229">
        <w:rPr>
          <w:rStyle w:val="Hyperlink"/>
          <w:noProof/>
          <w:u w:val="none"/>
        </w:rPr>
        <w:instrText>Hayton</w:instrText>
      </w:r>
      <w:r w:rsidRPr="00EC0229">
        <w:instrText xml:space="preserve">" </w:instrText>
      </w:r>
      <w:r w:rsidRPr="00EC0229">
        <w:fldChar w:fldCharType="end"/>
      </w:r>
      <w:r w:rsidRPr="00EC0229">
        <w:t>, a ladder settlement at the site of a Roman</w:t>
      </w:r>
      <w:r w:rsidRPr="00EC0229">
        <w:fldChar w:fldCharType="begin"/>
      </w:r>
      <w:r w:rsidRPr="00EC0229">
        <w:instrText xml:space="preserve"> XE "Roman" </w:instrText>
      </w:r>
      <w:r w:rsidRPr="00EC0229">
        <w:fldChar w:fldCharType="end"/>
      </w:r>
      <w:r w:rsidRPr="00EC0229">
        <w:t xml:space="preserve"> fort,</w:t>
      </w:r>
      <w:r w:rsidRPr="00EC0229">
        <w:rPr>
          <w:rStyle w:val="FootnoteReference"/>
        </w:rPr>
        <w:footnoteReference w:id="993"/>
      </w:r>
      <w:r w:rsidRPr="00EC0229">
        <w:t xml:space="preserve"> straddles the Roman Road at Hayton Beck two miles to the south-east of Pocklington</w:t>
      </w:r>
      <w:r w:rsidRPr="00EC0229">
        <w:fldChar w:fldCharType="begin"/>
      </w:r>
      <w:r w:rsidRPr="00EC0229">
        <w:instrText xml:space="preserve"> XE "</w:instrText>
      </w:r>
      <w:r w:rsidRPr="00EC0229">
        <w:rPr>
          <w:rStyle w:val="Hyperlink"/>
          <w:noProof/>
          <w:u w:val="none"/>
        </w:rPr>
        <w:instrText>Pocklington</w:instrText>
      </w:r>
      <w:r w:rsidRPr="00EC0229">
        <w:instrText xml:space="preserve">" </w:instrText>
      </w:r>
      <w:r w:rsidRPr="00EC0229">
        <w:fldChar w:fldCharType="end"/>
      </w:r>
      <w:r w:rsidRPr="00EC0229">
        <w:t>. According to the formal record, save a single secondary Series</w:t>
      </w:r>
      <w:r w:rsidRPr="00EC0229">
        <w:fldChar w:fldCharType="begin"/>
      </w:r>
      <w:r w:rsidRPr="00EC0229">
        <w:instrText xml:space="preserve"> XE "Series" </w:instrText>
      </w:r>
      <w:r w:rsidRPr="00EC0229">
        <w:fldChar w:fldCharType="end"/>
      </w:r>
      <w:r w:rsidRPr="00EC0229">
        <w:t xml:space="preserve"> E</w:t>
      </w:r>
      <w:r w:rsidRPr="00EC0229">
        <w:fldChar w:fldCharType="begin"/>
      </w:r>
      <w:r w:rsidRPr="00EC0229">
        <w:instrText xml:space="preserve"> XE "Series E" </w:instrText>
      </w:r>
      <w:r w:rsidRPr="00EC0229">
        <w:fldChar w:fldCharType="end"/>
      </w:r>
      <w:r w:rsidRPr="00EC0229">
        <w:t xml:space="preserve"> from the Low Countries [5c], the coin finds are Northumbrian: four fantastic animal sceats [N6], being two of Eadberht</w:t>
      </w:r>
      <w:r w:rsidRPr="00EC0229">
        <w:fldChar w:fldCharType="begin"/>
      </w:r>
      <w:r w:rsidRPr="00EC0229">
        <w:instrText xml:space="preserve"> XE "Eadberht" </w:instrText>
      </w:r>
      <w:r w:rsidRPr="00EC0229">
        <w:fldChar w:fldCharType="end"/>
      </w:r>
      <w:r w:rsidRPr="00EC0229">
        <w:t xml:space="preserve"> and one each of Alchred</w:t>
      </w:r>
      <w:r w:rsidRPr="00EC0229">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fldChar w:fldCharType="end"/>
      </w:r>
      <w:r w:rsidRPr="00EC0229">
        <w:t xml:space="preserve"> and </w:t>
      </w:r>
      <w:r w:rsidRPr="00EC0229">
        <w:rPr>
          <w:rFonts w:cs="Times New Roman"/>
        </w:rPr>
        <w:t>Æ</w:t>
      </w:r>
      <w:r w:rsidRPr="00EC0229">
        <w:t>lfwald</w:t>
      </w:r>
      <w:r w:rsidRPr="00EC0229">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fldChar w:fldCharType="end"/>
      </w:r>
      <w:r w:rsidRPr="00EC0229">
        <w:t xml:space="preserve"> I, and seven ninth-century coins including two of Eanred</w:t>
      </w:r>
      <w:r w:rsidRPr="00EC0229">
        <w:fldChar w:fldCharType="begin"/>
      </w:r>
      <w:r w:rsidRPr="00EC0229">
        <w:instrText xml:space="preserve"> XE "Eanred" </w:instrText>
      </w:r>
      <w:r w:rsidRPr="00EC0229">
        <w:fldChar w:fldCharType="end"/>
      </w:r>
      <w:r w:rsidRPr="00EC0229">
        <w:t>’s silver-alloy</w:t>
      </w:r>
      <w:r w:rsidRPr="00EC0229">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fldChar w:fldCharType="end"/>
      </w:r>
      <w:r w:rsidRPr="00EC0229">
        <w:t xml:space="preserve"> coinage [N9], one by a rare moneyer Æthelheah, and brass stycas of Eanred, Æthelred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II (both reigns) and Osberht</w:t>
      </w:r>
      <w:r w:rsidRPr="00EC0229">
        <w:fldChar w:fldCharType="begin"/>
      </w:r>
      <w:r w:rsidRPr="00EC0229">
        <w:instrText xml:space="preserve"> XE "Osberht" </w:instrText>
      </w:r>
      <w:r w:rsidRPr="00EC0229">
        <w:fldChar w:fldCharType="end"/>
      </w:r>
      <w:r w:rsidRPr="00EC0229">
        <w:t xml:space="preserve"> [N10a] but no episcopal coins. This presents a diverse but unexceptional cross-section, lost between the 730s and 860s at a likely watering hole for travellers.</w:t>
      </w:r>
      <w:r w:rsidR="00FB0FD9">
        <w:rPr>
          <w:rStyle w:val="FootnoteReference"/>
        </w:rPr>
        <w:footnoteReference w:id="994"/>
      </w:r>
      <w:r w:rsidRPr="00EC0229">
        <w:t xml:space="preserve"> Additionally, Pirie</w:t>
      </w:r>
      <w:r w:rsidRPr="00EC0229">
        <w:fldChar w:fldCharType="begin"/>
      </w:r>
      <w:r w:rsidRPr="00EC0229">
        <w:instrText xml:space="preserve"> XE "Pirie" </w:instrText>
      </w:r>
      <w:r w:rsidRPr="00EC0229">
        <w:fldChar w:fldCharType="end"/>
      </w:r>
      <w:r w:rsidRPr="00EC0229">
        <w:t xml:space="preserve"> has recorded a sceatta</w:t>
      </w:r>
      <w:r w:rsidRPr="00EC0229">
        <w:fldChar w:fldCharType="begin"/>
      </w:r>
      <w:r w:rsidRPr="00EC0229">
        <w:instrText xml:space="preserve"> XE "sceatta" </w:instrText>
      </w:r>
      <w:r w:rsidRPr="00EC0229">
        <w:fldChar w:fldCharType="end"/>
      </w:r>
      <w:r w:rsidRPr="00EC0229">
        <w:t>-like object, possibly contemporary, with a radiate bust on one side and what looks like a writhing serpent on the other (</w:t>
      </w:r>
      <w:r w:rsidRPr="00EC0229">
        <w:fldChar w:fldCharType="begin"/>
      </w:r>
      <w:r w:rsidRPr="00EC0229">
        <w:instrText xml:space="preserve"> REF _Ref430248701 \h  \* MERGEFORMAT </w:instrText>
      </w:r>
      <w:r w:rsidRPr="00EC0229">
        <w:fldChar w:fldCharType="separate"/>
      </w:r>
      <w:r w:rsidR="0012026B" w:rsidRPr="0012026B">
        <w:rPr>
          <w:i/>
        </w:rPr>
        <w:t>Figure</w:t>
      </w:r>
      <w:r w:rsidR="0012026B" w:rsidRPr="0012026B">
        <w:t xml:space="preserve"> </w:t>
      </w:r>
      <w:r w:rsidR="0012026B" w:rsidRPr="0012026B">
        <w:rPr>
          <w:noProof/>
        </w:rPr>
        <w:t>96</w:t>
      </w:r>
      <w:r w:rsidRPr="00EC0229">
        <w:fldChar w:fldCharType="end"/>
      </w:r>
      <w:r w:rsidRPr="00EC0229">
        <w:t>).</w:t>
      </w:r>
    </w:p>
    <w:p w14:paraId="2E45C6D4" w14:textId="77777777" w:rsidR="00D677E7" w:rsidRPr="00EC0229" w:rsidRDefault="00D677E7" w:rsidP="007600EA">
      <w:pPr>
        <w:pStyle w:val="NoSpacing"/>
        <w:spacing w:line="360" w:lineRule="auto"/>
        <w:jc w:val="center"/>
      </w:pPr>
      <w:r w:rsidRPr="00EC0229">
        <w:rPr>
          <w:noProof/>
          <w:lang w:eastAsia="en-GB"/>
        </w:rPr>
        <w:drawing>
          <wp:inline distT="0" distB="0" distL="0" distR="0" wp14:anchorId="52F4ECD8" wp14:editId="192EF908">
            <wp:extent cx="2209800" cy="99441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yton brooch.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227882" cy="1002547"/>
                    </a:xfrm>
                    <a:prstGeom prst="rect">
                      <a:avLst/>
                    </a:prstGeom>
                  </pic:spPr>
                </pic:pic>
              </a:graphicData>
            </a:graphic>
          </wp:inline>
        </w:drawing>
      </w:r>
    </w:p>
    <w:p w14:paraId="45E982AA" w14:textId="08886C7E" w:rsidR="00D677E7" w:rsidRPr="00EC0229" w:rsidRDefault="00D677E7" w:rsidP="007600EA">
      <w:pPr>
        <w:pStyle w:val="NoSpacing"/>
        <w:spacing w:line="360" w:lineRule="auto"/>
        <w:jc w:val="center"/>
        <w:rPr>
          <w:sz w:val="20"/>
          <w:szCs w:val="20"/>
        </w:rPr>
      </w:pPr>
      <w:bookmarkStart w:id="640" w:name="_Ref430248701"/>
      <w:bookmarkStart w:id="641" w:name="_Toc468267068"/>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96</w:t>
      </w:r>
      <w:r w:rsidRPr="00EC0229">
        <w:rPr>
          <w:sz w:val="20"/>
          <w:szCs w:val="20"/>
        </w:rPr>
        <w:fldChar w:fldCharType="end"/>
      </w:r>
      <w:bookmarkEnd w:id="640"/>
      <w:r w:rsidRPr="00EC0229">
        <w:rPr>
          <w:sz w:val="20"/>
          <w:szCs w:val="20"/>
        </w:rPr>
        <w:t>: Hayton</w:t>
      </w:r>
      <w:r w:rsidRPr="00EC0229">
        <w:rPr>
          <w:sz w:val="20"/>
          <w:szCs w:val="20"/>
        </w:rPr>
        <w:fldChar w:fldCharType="begin"/>
      </w:r>
      <w:r w:rsidRPr="00EC0229">
        <w:rPr>
          <w:sz w:val="20"/>
          <w:szCs w:val="20"/>
        </w:rPr>
        <w:instrText xml:space="preserve"> XE "Hayton" </w:instrText>
      </w:r>
      <w:r w:rsidRPr="00EC0229">
        <w:rPr>
          <w:sz w:val="20"/>
          <w:szCs w:val="20"/>
        </w:rPr>
        <w:fldChar w:fldCharType="end"/>
      </w:r>
      <w:r w:rsidRPr="00EC0229">
        <w:rPr>
          <w:sz w:val="20"/>
          <w:szCs w:val="20"/>
        </w:rPr>
        <w:t>: radiate bust obverse with decorative serpent reverse.</w:t>
      </w:r>
      <w:bookmarkEnd w:id="641"/>
    </w:p>
    <w:p w14:paraId="2A4690D2" w14:textId="77777777" w:rsidR="00D677E7" w:rsidRPr="00EC0229" w:rsidRDefault="00D677E7" w:rsidP="007600EA">
      <w:pPr>
        <w:pStyle w:val="NoSpacing"/>
        <w:spacing w:line="360" w:lineRule="auto"/>
        <w:jc w:val="center"/>
        <w:rPr>
          <w:sz w:val="20"/>
          <w:szCs w:val="20"/>
        </w:rPr>
      </w:pPr>
      <w:r w:rsidRPr="00EC0229">
        <w:rPr>
          <w:sz w:val="20"/>
          <w:szCs w:val="20"/>
        </w:rPr>
        <w:t>Artefact or sceat?</w:t>
      </w:r>
    </w:p>
    <w:p w14:paraId="702E92B1" w14:textId="77777777" w:rsidR="00D677E7" w:rsidRPr="00EC0229" w:rsidRDefault="00D677E7" w:rsidP="007600EA">
      <w:pPr>
        <w:spacing w:line="360" w:lineRule="auto"/>
      </w:pPr>
    </w:p>
    <w:p w14:paraId="45BE784D" w14:textId="0018F4AE" w:rsidR="00D677E7" w:rsidRPr="00EC0229" w:rsidRDefault="00D677E7" w:rsidP="007600EA">
      <w:pPr>
        <w:pStyle w:val="NoSpacing"/>
        <w:spacing w:line="360" w:lineRule="auto"/>
      </w:pPr>
      <w:r w:rsidRPr="00EC0229">
        <w:t>However, informal sources suggest something far more significant. A ‘productive site’ in the vicinity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w:t>
      </w:r>
      <w:r w:rsidR="00914CF8" w:rsidRPr="00EC0229">
        <w:rPr>
          <w:i/>
        </w:rPr>
        <w:t>8.2</w:t>
      </w:r>
      <w:r w:rsidR="00A76448" w:rsidRPr="00EC0229">
        <w:rPr>
          <w:i/>
        </w:rPr>
        <w:t>5</w:t>
      </w:r>
      <w:r w:rsidRPr="00EC0229">
        <w:rPr>
          <w:i/>
        </w:rPr>
        <w:t>, Map</w:t>
      </w:r>
      <w:r w:rsidRPr="00EC0229">
        <w:rPr>
          <w:i/>
        </w:rPr>
        <w:fldChar w:fldCharType="begin"/>
      </w:r>
      <w:r w:rsidRPr="00EC0229">
        <w:instrText xml:space="preserve"> XE "</w:instrText>
      </w:r>
      <w:r w:rsidRPr="00EC0229">
        <w:rPr>
          <w:noProof/>
        </w:rPr>
        <w:instrText>Map</w:instrText>
      </w:r>
      <w:r w:rsidRPr="00EC0229">
        <w:instrText xml:space="preserve">" </w:instrText>
      </w:r>
      <w:r w:rsidRPr="00EC0229">
        <w:rPr>
          <w:i/>
        </w:rPr>
        <w:fldChar w:fldCharType="end"/>
      </w:r>
      <w:r w:rsidRPr="00EC0229">
        <w:rPr>
          <w:i/>
        </w:rPr>
        <w:t xml:space="preserve"> </w:t>
      </w:r>
      <w:r w:rsidR="004048E5" w:rsidRPr="00EC0229">
        <w:rPr>
          <w:i/>
        </w:rPr>
        <w:t>8.12</w:t>
      </w:r>
      <w:r w:rsidRPr="00EC0229">
        <w:rPr>
          <w:i/>
        </w:rPr>
        <w:t xml:space="preserve">, Plates </w:t>
      </w:r>
      <w:r w:rsidR="003A3CF9" w:rsidRPr="00EC0229">
        <w:rPr>
          <w:i/>
        </w:rPr>
        <w:t>10i-ii</w:t>
      </w:r>
      <w:r w:rsidRPr="00EC0229">
        <w:rPr>
          <w:i/>
        </w:rPr>
        <w:t xml:space="preserve"> </w:t>
      </w:r>
      <w:r w:rsidR="003A3CF9" w:rsidRPr="00EC0229">
        <w:t>and</w:t>
      </w:r>
      <w:r w:rsidRPr="00EC0229">
        <w:rPr>
          <w:i/>
        </w:rPr>
        <w:t xml:space="preserve"> </w:t>
      </w:r>
      <w:r w:rsidR="003A3CF9" w:rsidRPr="00EC0229">
        <w:rPr>
          <w:i/>
        </w:rPr>
        <w:t>11i-ii</w:t>
      </w:r>
      <w:r w:rsidR="008E1E1E" w:rsidRPr="00EC0229">
        <w:rPr>
          <w:i/>
        </w:rPr>
        <w:t xml:space="preserve">, Graph </w:t>
      </w:r>
      <w:r w:rsidR="00DB5E4B" w:rsidRPr="00EC0229">
        <w:rPr>
          <w:i/>
        </w:rPr>
        <w:t>8.03</w:t>
      </w:r>
      <w:r w:rsidRPr="00EC0229">
        <w:t>) on slightly raised ground or trackway and next to a beck, has been worked extensively by two brothers from Hull who have unearthed at least eighty-six fully attested sceats with a predominance of secondary Series</w:t>
      </w:r>
      <w:r w:rsidRPr="00EC0229">
        <w:fldChar w:fldCharType="begin"/>
      </w:r>
      <w:r w:rsidRPr="00EC0229">
        <w:instrText xml:space="preserve"> XE "Series" </w:instrText>
      </w:r>
      <w:r w:rsidRPr="00EC0229">
        <w:fldChar w:fldCharType="end"/>
      </w:r>
      <w:r w:rsidRPr="00EC0229">
        <w:t xml:space="preserve"> E [5c]</w:t>
      </w:r>
      <w:r w:rsidRPr="00EC0229">
        <w:fldChar w:fldCharType="begin"/>
      </w:r>
      <w:r w:rsidRPr="00EC0229">
        <w:instrText xml:space="preserve"> XE "Series E" </w:instrText>
      </w:r>
      <w:r w:rsidRPr="00EC0229">
        <w:fldChar w:fldCharType="end"/>
      </w:r>
      <w:r w:rsidRPr="00EC0229">
        <w:t>, though there are three worn English [4b] and eleven Continental primary sceats [4c].</w:t>
      </w:r>
      <w:r w:rsidRPr="00EC0229">
        <w:rPr>
          <w:rStyle w:val="FootnoteReference"/>
        </w:rPr>
        <w:footnoteReference w:id="995"/>
      </w:r>
      <w:r w:rsidRPr="00EC0229">
        <w:t xml:space="preserve"> A series G-like coin has a reverse inscription related to </w:t>
      </w:r>
      <w:r w:rsidRPr="00EC0229">
        <w:rPr>
          <w:i/>
        </w:rPr>
        <w:t>Monita Scorvm</w:t>
      </w:r>
      <w:r w:rsidRPr="00EC0229">
        <w:t xml:space="preserve"> sceat (</w:t>
      </w:r>
      <w:r w:rsidRPr="00EC0229">
        <w:fldChar w:fldCharType="begin"/>
      </w:r>
      <w:r w:rsidRPr="00EC0229">
        <w:instrText xml:space="preserve"> REF _Ref430248711 \h  \* MERGEFORMAT </w:instrText>
      </w:r>
      <w:r w:rsidRPr="00EC0229">
        <w:fldChar w:fldCharType="separate"/>
      </w:r>
      <w:r w:rsidR="0012026B" w:rsidRPr="0012026B">
        <w:rPr>
          <w:i/>
        </w:rPr>
        <w:t>Figure</w:t>
      </w:r>
      <w:r w:rsidR="0012026B" w:rsidRPr="0012026B">
        <w:t xml:space="preserve"> </w:t>
      </w:r>
      <w:r w:rsidR="0012026B" w:rsidRPr="0012026B">
        <w:rPr>
          <w:noProof/>
        </w:rPr>
        <w:t>97</w:t>
      </w:r>
      <w:r w:rsidRPr="00EC0229">
        <w:fldChar w:fldCharType="end"/>
      </w:r>
      <w:r w:rsidRPr="00EC0229">
        <w:t>). There are no local Series Y coins.</w:t>
      </w:r>
    </w:p>
    <w:p w14:paraId="371A004F" w14:textId="77777777" w:rsidR="00D677E7" w:rsidRPr="00EC0229" w:rsidRDefault="00D677E7" w:rsidP="007600EA">
      <w:pPr>
        <w:pStyle w:val="NoSpacing"/>
        <w:spacing w:line="360" w:lineRule="auto"/>
        <w:jc w:val="center"/>
      </w:pPr>
      <w:r w:rsidRPr="00EC0229">
        <w:rPr>
          <w:noProof/>
          <w:lang w:eastAsia="en-GB"/>
        </w:rPr>
        <w:lastRenderedPageBreak/>
        <w:drawing>
          <wp:inline distT="0" distB="0" distL="0" distR="0" wp14:anchorId="3A146FB0" wp14:editId="3D0D8D3A">
            <wp:extent cx="962954" cy="986790"/>
            <wp:effectExtent l="0" t="0" r="8890" b="381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B - Series G or denier.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968064" cy="992026"/>
                    </a:xfrm>
                    <a:prstGeom prst="rect">
                      <a:avLst/>
                    </a:prstGeom>
                  </pic:spPr>
                </pic:pic>
              </a:graphicData>
            </a:graphic>
          </wp:inline>
        </w:drawing>
      </w:r>
      <w:r w:rsidRPr="00EC0229">
        <w:rPr>
          <w:noProof/>
          <w:lang w:eastAsia="en-GB"/>
        </w:rPr>
        <w:drawing>
          <wp:inline distT="0" distB="0" distL="0" distR="0" wp14:anchorId="4BEFBF30" wp14:editId="47867B77">
            <wp:extent cx="967740" cy="995194"/>
            <wp:effectExtent l="0" t="0" r="381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B - Series G or denier R.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985291" cy="1013243"/>
                    </a:xfrm>
                    <a:prstGeom prst="rect">
                      <a:avLst/>
                    </a:prstGeom>
                  </pic:spPr>
                </pic:pic>
              </a:graphicData>
            </a:graphic>
          </wp:inline>
        </w:drawing>
      </w:r>
    </w:p>
    <w:p w14:paraId="7B8AA479" w14:textId="4582B768" w:rsidR="00D677E7" w:rsidRPr="00EC0229" w:rsidRDefault="00D677E7" w:rsidP="007600EA">
      <w:pPr>
        <w:pStyle w:val="NoSpacing"/>
        <w:spacing w:line="360" w:lineRule="auto"/>
        <w:jc w:val="center"/>
        <w:rPr>
          <w:sz w:val="20"/>
          <w:szCs w:val="20"/>
        </w:rPr>
      </w:pPr>
      <w:bookmarkStart w:id="642" w:name="_Ref430248711"/>
      <w:bookmarkStart w:id="643" w:name="_Toc468267069"/>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97</w:t>
      </w:r>
      <w:r w:rsidRPr="00EC0229">
        <w:rPr>
          <w:sz w:val="20"/>
          <w:szCs w:val="20"/>
        </w:rPr>
        <w:fldChar w:fldCharType="end"/>
      </w:r>
      <w:bookmarkEnd w:id="642"/>
      <w:r w:rsidRPr="00EC0229">
        <w:rPr>
          <w:sz w:val="20"/>
          <w:szCs w:val="20"/>
        </w:rPr>
        <w:t>: Hayton</w:t>
      </w:r>
      <w:r w:rsidRPr="00EC0229">
        <w:rPr>
          <w:sz w:val="20"/>
          <w:szCs w:val="20"/>
        </w:rPr>
        <w:fldChar w:fldCharType="begin"/>
      </w:r>
      <w:r w:rsidRPr="00EC0229">
        <w:rPr>
          <w:sz w:val="20"/>
          <w:szCs w:val="20"/>
        </w:rPr>
        <w:instrText xml:space="preserve"> XE "Hayton" </w:instrText>
      </w:r>
      <w:r w:rsidRPr="00EC0229">
        <w:rPr>
          <w:sz w:val="20"/>
          <w:szCs w:val="20"/>
        </w:rPr>
        <w:fldChar w:fldCharType="end"/>
      </w:r>
      <w:r w:rsidRPr="00EC0229">
        <w:rPr>
          <w:sz w:val="20"/>
          <w:szCs w:val="20"/>
        </w:rPr>
        <w:t>, Merovingian</w:t>
      </w:r>
      <w:r w:rsidRPr="00EC0229">
        <w:rPr>
          <w:sz w:val="20"/>
          <w:szCs w:val="20"/>
        </w:rPr>
        <w:fldChar w:fldCharType="begin"/>
      </w:r>
      <w:r w:rsidRPr="00EC0229">
        <w:rPr>
          <w:sz w:val="20"/>
          <w:szCs w:val="20"/>
        </w:rPr>
        <w:instrText xml:space="preserve"> XE "Merovingian" </w:instrText>
      </w:r>
      <w:r w:rsidRPr="00EC0229">
        <w:rPr>
          <w:sz w:val="20"/>
          <w:szCs w:val="20"/>
        </w:rPr>
        <w:fldChar w:fldCharType="end"/>
      </w:r>
      <w:r w:rsidRPr="00EC0229">
        <w:rPr>
          <w:sz w:val="20"/>
          <w:szCs w:val="20"/>
        </w:rPr>
        <w:t xml:space="preserve"> denier</w:t>
      </w:r>
      <w:r w:rsidRPr="00EC0229">
        <w:rPr>
          <w:sz w:val="20"/>
          <w:szCs w:val="20"/>
        </w:rPr>
        <w:fldChar w:fldCharType="begin"/>
      </w:r>
      <w:r w:rsidRPr="00EC0229">
        <w:rPr>
          <w:sz w:val="20"/>
          <w:szCs w:val="20"/>
        </w:rPr>
        <w:instrText xml:space="preserve"> XE "denier" </w:instrText>
      </w:r>
      <w:r w:rsidRPr="00EC0229">
        <w:rPr>
          <w:sz w:val="20"/>
          <w:szCs w:val="20"/>
        </w:rPr>
        <w:fldChar w:fldCharType="end"/>
      </w:r>
      <w:r w:rsidRPr="00EC0229">
        <w:rPr>
          <w:sz w:val="20"/>
          <w:szCs w:val="20"/>
        </w:rPr>
        <w:t xml:space="preserve"> of Martinus or Mariae, N. France</w:t>
      </w:r>
      <w:r w:rsidRPr="00EC0229">
        <w:rPr>
          <w:sz w:val="20"/>
          <w:szCs w:val="20"/>
        </w:rPr>
        <w:footnoteReference w:id="996"/>
      </w:r>
      <w:bookmarkEnd w:id="643"/>
    </w:p>
    <w:p w14:paraId="10D4A4A1" w14:textId="77777777" w:rsidR="00D677E7" w:rsidRPr="00EC0229" w:rsidRDefault="00D677E7" w:rsidP="007600EA">
      <w:pPr>
        <w:pStyle w:val="NoSpacing"/>
        <w:spacing w:line="360" w:lineRule="auto"/>
        <w:jc w:val="center"/>
        <w:rPr>
          <w:sz w:val="20"/>
          <w:szCs w:val="20"/>
        </w:rPr>
      </w:pPr>
      <w:r w:rsidRPr="00EC0229">
        <w:rPr>
          <w:sz w:val="20"/>
          <w:szCs w:val="20"/>
        </w:rPr>
        <w:t>(Courtesy R. Bude)</w:t>
      </w:r>
    </w:p>
    <w:p w14:paraId="48BC72E7" w14:textId="77777777" w:rsidR="00D677E7" w:rsidRPr="00EC0229" w:rsidRDefault="00D677E7" w:rsidP="007600EA">
      <w:pPr>
        <w:pStyle w:val="NoSpacing"/>
        <w:spacing w:line="360" w:lineRule="auto"/>
      </w:pPr>
    </w:p>
    <w:p w14:paraId="0090ED86" w14:textId="77777777" w:rsidR="00D677E7" w:rsidRPr="00EC0229" w:rsidRDefault="00D677E7" w:rsidP="007600EA">
      <w:pPr>
        <w:pStyle w:val="NoSpacing"/>
        <w:spacing w:line="360" w:lineRule="auto"/>
      </w:pPr>
      <w:r w:rsidRPr="00EC0229">
        <w:t>Such a skewed assemblage implies either a scattered hoard, the finds being concentrated in the corner of a field between two telegraph posts, or a temporary market engaged in direct trade with the Low Countries, plausibly in fleeces from the Wolds</w:t>
      </w:r>
      <w:r w:rsidRPr="00EC0229">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fldChar w:fldCharType="end"/>
      </w:r>
      <w:r w:rsidRPr="00EC0229">
        <w:t>. The relatively fresh appearance of some of the primary Series</w:t>
      </w:r>
      <w:r w:rsidRPr="00EC0229">
        <w:fldChar w:fldCharType="begin"/>
      </w:r>
      <w:r w:rsidRPr="00EC0229">
        <w:instrText xml:space="preserve"> XE "Series" </w:instrText>
      </w:r>
      <w:r w:rsidRPr="00EC0229">
        <w:fldChar w:fldCharType="end"/>
      </w:r>
      <w:r w:rsidRPr="00EC0229">
        <w:t xml:space="preserve"> E</w:t>
      </w:r>
      <w:r w:rsidRPr="00EC0229">
        <w:fldChar w:fldCharType="begin"/>
      </w:r>
      <w:r w:rsidRPr="00EC0229">
        <w:instrText xml:space="preserve"> XE "Series E" </w:instrText>
      </w:r>
      <w:r w:rsidRPr="00EC0229">
        <w:fldChar w:fldCharType="end"/>
      </w:r>
      <w:r w:rsidRPr="00EC0229">
        <w:t xml:space="preserve"> sceats and lack of copper carbonate deposits associated with hoarded material,</w:t>
      </w:r>
      <w:r w:rsidRPr="00EC0229">
        <w:rPr>
          <w:rStyle w:val="FootnoteReference"/>
        </w:rPr>
        <w:footnoteReference w:id="997"/>
      </w:r>
      <w:r w:rsidRPr="00EC0229">
        <w:t xml:space="preserve"> argues against the hoard hypothesis suggesting activity between </w:t>
      </w:r>
      <w:r w:rsidRPr="00EC0229">
        <w:rPr>
          <w:i/>
        </w:rPr>
        <w:t>c</w:t>
      </w:r>
      <w:r w:rsidRPr="00EC0229">
        <w:t xml:space="preserve">.700 and </w:t>
      </w:r>
      <w:r w:rsidRPr="00EC0229">
        <w:rPr>
          <w:i/>
        </w:rPr>
        <w:t>c.</w:t>
      </w:r>
      <w:r w:rsidRPr="00EC0229">
        <w:t xml:space="preserve">750. No artefacts have been reported in connection with these coins. </w:t>
      </w:r>
    </w:p>
    <w:p w14:paraId="568DA7A8" w14:textId="77777777" w:rsidR="00D677E7" w:rsidRPr="00EC0229" w:rsidRDefault="00D677E7" w:rsidP="007600EA">
      <w:pPr>
        <w:pStyle w:val="NoSpacing"/>
        <w:spacing w:line="360" w:lineRule="auto"/>
      </w:pPr>
    </w:p>
    <w:p w14:paraId="0CC76DDE" w14:textId="17730AEE" w:rsidR="00854613" w:rsidRPr="007A3166" w:rsidRDefault="00854613" w:rsidP="00C97BF2">
      <w:pPr>
        <w:pStyle w:val="Heading4"/>
        <w:spacing w:line="360" w:lineRule="auto"/>
        <w:rPr>
          <w:b/>
        </w:rPr>
      </w:pPr>
      <w:bookmarkStart w:id="644" w:name="_Toc468266879"/>
      <w:r w:rsidRPr="007A3166">
        <w:rPr>
          <w:b/>
        </w:rPr>
        <w:t>Buttercrambe with Bossall</w:t>
      </w:r>
      <w:bookmarkEnd w:id="644"/>
      <w:r w:rsidR="006B1593" w:rsidRPr="007A3166">
        <w:rPr>
          <w:b/>
        </w:rPr>
        <w:fldChar w:fldCharType="begin"/>
      </w:r>
      <w:r w:rsidR="006B1593" w:rsidRPr="007A3166">
        <w:rPr>
          <w:b/>
        </w:rPr>
        <w:instrText xml:space="preserve"> XE "</w:instrText>
      </w:r>
      <w:r w:rsidR="006B1593" w:rsidRPr="007A3166">
        <w:rPr>
          <w:rStyle w:val="Hyperlink"/>
          <w:b/>
          <w:noProof/>
          <w:u w:val="none"/>
        </w:rPr>
        <w:instrText>Buttercrambe with Bossall</w:instrText>
      </w:r>
      <w:r w:rsidR="006B1593" w:rsidRPr="007A3166">
        <w:rPr>
          <w:b/>
        </w:rPr>
        <w:instrText xml:space="preserve">" </w:instrText>
      </w:r>
      <w:r w:rsidR="006B1593" w:rsidRPr="007A3166">
        <w:rPr>
          <w:b/>
        </w:rPr>
        <w:fldChar w:fldCharType="end"/>
      </w:r>
    </w:p>
    <w:p w14:paraId="59CEA5F4" w14:textId="29D7FC22" w:rsidR="00854613" w:rsidRPr="00EC0229" w:rsidRDefault="00854613" w:rsidP="007600EA">
      <w:pPr>
        <w:pStyle w:val="NoSpacing"/>
        <w:spacing w:line="360" w:lineRule="auto"/>
      </w:pPr>
      <w:r w:rsidRPr="00EC0229">
        <w:t xml:space="preserve">A hoard of seventeen Primary sceats </w:t>
      </w:r>
      <w:r w:rsidR="00F006AF" w:rsidRPr="00EC0229">
        <w:t xml:space="preserve">[4] </w:t>
      </w:r>
      <w:r w:rsidRPr="00EC0229">
        <w:t>is attributed to this settlement</w:t>
      </w:r>
      <w:r w:rsidR="00D142DC" w:rsidRPr="00EC0229">
        <w:fldChar w:fldCharType="begin"/>
      </w:r>
      <w:r w:rsidR="00D142DC" w:rsidRPr="00EC0229">
        <w:instrText xml:space="preserve"> XE "settlement" </w:instrText>
      </w:r>
      <w:r w:rsidR="00D142DC" w:rsidRPr="00EC0229">
        <w:fldChar w:fldCharType="end"/>
      </w:r>
      <w:r w:rsidRPr="00EC0229">
        <w:t xml:space="preserve">, where the Derwent flows into the </w:t>
      </w:r>
      <w:r w:rsidR="00C7553E" w:rsidRPr="00EC0229">
        <w:t>Central Lowlands</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008A3BF9" w:rsidRPr="00EC0229">
        <w:t xml:space="preserve"> (</w:t>
      </w:r>
      <w:r w:rsidR="003852DA" w:rsidRPr="00EC0229">
        <w:fldChar w:fldCharType="begin"/>
      </w:r>
      <w:r w:rsidR="003852DA" w:rsidRPr="00EC0229">
        <w:instrText xml:space="preserve"> REF _Ref430248488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98</w:t>
      </w:r>
      <w:r w:rsidR="003852DA" w:rsidRPr="00EC0229">
        <w:fldChar w:fldCharType="end"/>
      </w:r>
      <w:r w:rsidR="008A3BF9" w:rsidRPr="00EC0229">
        <w:t>)</w:t>
      </w:r>
      <w:r w:rsidRPr="00EC0229">
        <w:t xml:space="preserve">. </w:t>
      </w:r>
    </w:p>
    <w:p w14:paraId="67C16658"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30A47B94" wp14:editId="31259B2F">
            <wp:extent cx="5173980" cy="1296781"/>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uttercrambe with Bossal LVPL-E80948 V2.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195220" cy="1302104"/>
                    </a:xfrm>
                    <a:prstGeom prst="rect">
                      <a:avLst/>
                    </a:prstGeom>
                  </pic:spPr>
                </pic:pic>
              </a:graphicData>
            </a:graphic>
          </wp:inline>
        </w:drawing>
      </w:r>
    </w:p>
    <w:p w14:paraId="492A1FCB" w14:textId="787A7CB4" w:rsidR="00941A45" w:rsidRDefault="00AC78C3" w:rsidP="007600EA">
      <w:pPr>
        <w:spacing w:line="360" w:lineRule="auto"/>
        <w:jc w:val="center"/>
        <w:rPr>
          <w:sz w:val="20"/>
          <w:szCs w:val="20"/>
        </w:rPr>
      </w:pPr>
      <w:bookmarkStart w:id="645" w:name="_Ref430248488"/>
      <w:bookmarkStart w:id="646" w:name="_Toc468267070"/>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98</w:t>
      </w:r>
      <w:r w:rsidR="00B609E3" w:rsidRPr="00EC0229">
        <w:rPr>
          <w:sz w:val="20"/>
          <w:szCs w:val="20"/>
        </w:rPr>
        <w:fldChar w:fldCharType="end"/>
      </w:r>
      <w:bookmarkEnd w:id="645"/>
      <w:r w:rsidR="008A3BF9" w:rsidRPr="00EC0229">
        <w:rPr>
          <w:sz w:val="20"/>
          <w:szCs w:val="20"/>
        </w:rPr>
        <w:t xml:space="preserve">: </w:t>
      </w:r>
      <w:r w:rsidR="00854613" w:rsidRPr="00EC0229">
        <w:rPr>
          <w:sz w:val="20"/>
          <w:szCs w:val="20"/>
        </w:rPr>
        <w:t>Buttercrambe with Bossall</w:t>
      </w:r>
      <w:r w:rsidR="006B1593" w:rsidRPr="00EC0229">
        <w:rPr>
          <w:sz w:val="20"/>
          <w:szCs w:val="20"/>
        </w:rPr>
        <w:fldChar w:fldCharType="begin"/>
      </w:r>
      <w:r w:rsidR="006B1593" w:rsidRPr="00EC0229">
        <w:rPr>
          <w:sz w:val="20"/>
          <w:szCs w:val="20"/>
        </w:rPr>
        <w:instrText xml:space="preserve"> XE "Buttercrambe with Bossall" </w:instrText>
      </w:r>
      <w:r w:rsidR="006B1593" w:rsidRPr="00EC0229">
        <w:rPr>
          <w:sz w:val="20"/>
          <w:szCs w:val="20"/>
        </w:rPr>
        <w:fldChar w:fldCharType="end"/>
      </w:r>
      <w:r w:rsidR="00854613" w:rsidRPr="00EC0229">
        <w:rPr>
          <w:sz w:val="20"/>
          <w:szCs w:val="20"/>
        </w:rPr>
        <w:t>, hoard.</w:t>
      </w:r>
      <w:bookmarkEnd w:id="646"/>
      <w:r w:rsidR="00854613" w:rsidRPr="00EC0229">
        <w:rPr>
          <w:sz w:val="20"/>
          <w:szCs w:val="20"/>
        </w:rPr>
        <w:t xml:space="preserve"> </w:t>
      </w:r>
    </w:p>
    <w:p w14:paraId="01801C9B" w14:textId="4EF286CC" w:rsidR="00854613" w:rsidRPr="00EC0229" w:rsidRDefault="00854613" w:rsidP="007600EA">
      <w:pPr>
        <w:spacing w:line="360" w:lineRule="auto"/>
        <w:jc w:val="center"/>
        <w:rPr>
          <w:sz w:val="20"/>
        </w:rPr>
      </w:pPr>
      <w:r w:rsidRPr="00EC0229">
        <w:rPr>
          <w:sz w:val="20"/>
          <w:szCs w:val="20"/>
        </w:rPr>
        <w:t>(Courtesy PAS</w:t>
      </w:r>
      <w:r w:rsidR="008960AE" w:rsidRPr="00EC0229">
        <w:rPr>
          <w:sz w:val="20"/>
          <w:szCs w:val="20"/>
        </w:rPr>
        <w:fldChar w:fldCharType="begin"/>
      </w:r>
      <w:r w:rsidR="008960AE" w:rsidRPr="00EC0229">
        <w:rPr>
          <w:sz w:val="20"/>
          <w:szCs w:val="20"/>
        </w:rPr>
        <w:instrText xml:space="preserve"> XE "PAS" </w:instrText>
      </w:r>
      <w:r w:rsidR="008960AE" w:rsidRPr="00EC0229">
        <w:rPr>
          <w:sz w:val="20"/>
          <w:szCs w:val="20"/>
        </w:rPr>
        <w:fldChar w:fldCharType="end"/>
      </w:r>
      <w:r w:rsidRPr="00EC0229">
        <w:rPr>
          <w:sz w:val="20"/>
          <w:szCs w:val="20"/>
        </w:rPr>
        <w:t xml:space="preserve">, </w:t>
      </w:r>
      <w:r w:rsidRPr="00EC0229">
        <w:rPr>
          <w:sz w:val="20"/>
        </w:rPr>
        <w:t>LVPL-E80948)</w:t>
      </w:r>
    </w:p>
    <w:p w14:paraId="2AD62999" w14:textId="77777777" w:rsidR="00854613" w:rsidRPr="00EC0229" w:rsidRDefault="00854613" w:rsidP="007600EA">
      <w:pPr>
        <w:pStyle w:val="NoSpacing"/>
        <w:spacing w:line="360" w:lineRule="auto"/>
        <w:jc w:val="center"/>
        <w:rPr>
          <w:sz w:val="20"/>
          <w:szCs w:val="20"/>
        </w:rPr>
      </w:pPr>
    </w:p>
    <w:p w14:paraId="75068A67" w14:textId="1A0AD159" w:rsidR="00854613" w:rsidRPr="00EC0229" w:rsidRDefault="0030224D" w:rsidP="007600EA">
      <w:pPr>
        <w:spacing w:before="120" w:line="360" w:lineRule="auto"/>
        <w:rPr>
          <w:rStyle w:val="NoSpacingChar"/>
        </w:rPr>
      </w:pPr>
      <w:r w:rsidRPr="00EC0229">
        <w:t>Naylor</w:t>
      </w:r>
      <w:r w:rsidR="008960AE" w:rsidRPr="00EC0229">
        <w:fldChar w:fldCharType="begin"/>
      </w:r>
      <w:r w:rsidR="008960AE" w:rsidRPr="00EC0229">
        <w:instrText xml:space="preserve"> XE "</w:instrText>
      </w:r>
      <w:r w:rsidR="008960AE" w:rsidRPr="00EC0229">
        <w:rPr>
          <w:rFonts w:cs="Times New Roman"/>
          <w:szCs w:val="24"/>
        </w:rPr>
        <w:instrText>Naylor</w:instrText>
      </w:r>
      <w:r w:rsidR="008960AE" w:rsidRPr="00EC0229">
        <w:instrText xml:space="preserve">" </w:instrText>
      </w:r>
      <w:r w:rsidR="008960AE" w:rsidRPr="00EC0229">
        <w:fldChar w:fldCharType="end"/>
      </w:r>
      <w:r w:rsidR="00854613" w:rsidRPr="00EC0229">
        <w:t>’s report included one Series</w:t>
      </w:r>
      <w:r w:rsidR="00D142DC" w:rsidRPr="00EC0229">
        <w:fldChar w:fldCharType="begin"/>
      </w:r>
      <w:r w:rsidR="00D142DC" w:rsidRPr="00EC0229">
        <w:instrText xml:space="preserve"> XE "Series" </w:instrText>
      </w:r>
      <w:r w:rsidR="00D142DC" w:rsidRPr="00EC0229">
        <w:fldChar w:fldCharType="end"/>
      </w:r>
      <w:r w:rsidR="00854613" w:rsidRPr="00EC0229">
        <w:t xml:space="preserve"> B</w:t>
      </w:r>
      <w:r w:rsidR="00173172" w:rsidRPr="00EC0229">
        <w:t xml:space="preserve"> [4b]</w:t>
      </w:r>
      <w:r w:rsidR="00854613" w:rsidRPr="00EC0229">
        <w:t>, two Series E</w:t>
      </w:r>
      <w:r w:rsidR="008344F3" w:rsidRPr="00EC0229">
        <w:fldChar w:fldCharType="begin"/>
      </w:r>
      <w:r w:rsidR="008344F3" w:rsidRPr="00EC0229">
        <w:instrText xml:space="preserve"> XE "Series E" </w:instrText>
      </w:r>
      <w:r w:rsidR="008344F3" w:rsidRPr="00EC0229">
        <w:fldChar w:fldCharType="end"/>
      </w:r>
      <w:r w:rsidR="00854613" w:rsidRPr="00EC0229">
        <w:t xml:space="preserve"> </w:t>
      </w:r>
      <w:r w:rsidR="00173172" w:rsidRPr="00EC0229">
        <w:t xml:space="preserve">[4c] </w:t>
      </w:r>
      <w:r w:rsidR="00854613" w:rsidRPr="00EC0229">
        <w:t>and he described ten of the fourteen Series D</w:t>
      </w:r>
      <w:r w:rsidR="008344F3" w:rsidRPr="00EC0229">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fldChar w:fldCharType="end"/>
      </w:r>
      <w:r w:rsidR="00854613" w:rsidRPr="00EC0229">
        <w:t xml:space="preserve"> sceats </w:t>
      </w:r>
      <w:r w:rsidR="00173172" w:rsidRPr="00EC0229">
        <w:t xml:space="preserve">[4c] </w:t>
      </w:r>
      <w:r w:rsidR="00854613" w:rsidRPr="00EC0229">
        <w:t>as die linked.</w:t>
      </w:r>
      <w:r w:rsidR="00854613" w:rsidRPr="00EC0229">
        <w:rPr>
          <w:rStyle w:val="FootnoteReference"/>
        </w:rPr>
        <w:footnoteReference w:id="998"/>
      </w:r>
      <w:r w:rsidR="00040D87" w:rsidRPr="00EC0229">
        <w:t xml:space="preserve"> He concluded</w:t>
      </w:r>
      <w:r w:rsidR="00854613" w:rsidRPr="00EC0229">
        <w:t xml:space="preserve"> that, on the balance of probability, this is a scattered hoard.</w:t>
      </w:r>
      <w:r w:rsidR="00854613" w:rsidRPr="00EC0229">
        <w:rPr>
          <w:rStyle w:val="FootnoteReference"/>
        </w:rPr>
        <w:footnoteReference w:id="999"/>
      </w:r>
      <w:r w:rsidR="00854613" w:rsidRPr="00EC0229">
        <w:t xml:space="preserve"> </w:t>
      </w:r>
      <w:r w:rsidR="00040D87" w:rsidRPr="00EC0229">
        <w:t>Accepting</w:t>
      </w:r>
      <w:r w:rsidR="00854613" w:rsidRPr="00EC0229">
        <w:t xml:space="preserve"> this die-linking, one may surmise that they are from the same Frisian source presenting direct evidence of either an incoming Frisian trader or a </w:t>
      </w:r>
      <w:r w:rsidR="00854613" w:rsidRPr="00EC0229">
        <w:lastRenderedPageBreak/>
        <w:t xml:space="preserve">returning local merchant in the period </w:t>
      </w:r>
      <w:r w:rsidR="002132F1">
        <w:rPr>
          <w:i/>
        </w:rPr>
        <w:t>c.</w:t>
      </w:r>
      <w:r w:rsidR="00854613" w:rsidRPr="00EC0229">
        <w:t>670</w:t>
      </w:r>
      <w:r w:rsidR="00AB6635">
        <w:t>-</w:t>
      </w:r>
      <w:r w:rsidR="00854613" w:rsidRPr="00EC0229">
        <w:rPr>
          <w:i/>
        </w:rPr>
        <w:t>c.</w:t>
      </w:r>
      <w:r w:rsidR="00854613" w:rsidRPr="00EC0229">
        <w:t>710.</w:t>
      </w:r>
      <w:r w:rsidR="00C73C10" w:rsidRPr="00EC0229">
        <w:t xml:space="preserve"> A rare joint issue sceat of </w:t>
      </w:r>
      <w:r w:rsidR="00C73C10" w:rsidRPr="00EC0229">
        <w:rPr>
          <w:rStyle w:val="NoSpacingChar"/>
        </w:rPr>
        <w:t>Alchred with Archbishop Ecgberht [N7],</w:t>
      </w:r>
      <w:r w:rsidR="00C73C10" w:rsidRPr="00EC0229">
        <w:rPr>
          <w:rStyle w:val="FootnoteReference"/>
        </w:rPr>
        <w:footnoteReference w:id="1000"/>
      </w:r>
      <w:r w:rsidR="00C73C10" w:rsidRPr="00EC0229">
        <w:rPr>
          <w:rStyle w:val="NoSpacingChar"/>
        </w:rPr>
        <w:t xml:space="preserve"> shows activity into the </w:t>
      </w:r>
      <w:r w:rsidR="00076744" w:rsidRPr="00EC0229">
        <w:rPr>
          <w:rStyle w:val="NoSpacingChar"/>
        </w:rPr>
        <w:t>mid-760s</w:t>
      </w:r>
      <w:r w:rsidR="00C73C10" w:rsidRPr="00EC0229">
        <w:rPr>
          <w:rStyle w:val="NoSpacingChar"/>
        </w:rPr>
        <w:t>.</w:t>
      </w:r>
    </w:p>
    <w:p w14:paraId="16F88320" w14:textId="77777777" w:rsidR="00854613" w:rsidRPr="00EC0229" w:rsidRDefault="00854613" w:rsidP="007600EA">
      <w:pPr>
        <w:pStyle w:val="NoSpacing"/>
        <w:spacing w:line="360" w:lineRule="auto"/>
      </w:pPr>
    </w:p>
    <w:p w14:paraId="6B7FD78C" w14:textId="77777777" w:rsidR="005F1EAF" w:rsidRDefault="005F1EAF" w:rsidP="00760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heme="majorBidi"/>
          <w:b/>
          <w:iCs/>
          <w:szCs w:val="24"/>
          <w:lang w:eastAsia="en-GB"/>
        </w:rPr>
      </w:pPr>
      <w:bookmarkStart w:id="647" w:name="Bolton"/>
      <w:bookmarkEnd w:id="647"/>
      <w:r w:rsidRPr="005F1EAF">
        <w:rPr>
          <w:rFonts w:eastAsia="Times New Roman" w:cstheme="majorBidi"/>
          <w:b/>
          <w:iCs/>
          <w:szCs w:val="24"/>
          <w:lang w:eastAsia="en-GB"/>
        </w:rPr>
        <w:t>‘Site C’</w:t>
      </w:r>
    </w:p>
    <w:p w14:paraId="48EAABCE" w14:textId="752293CD" w:rsidR="00854613" w:rsidRPr="00EC0229" w:rsidRDefault="00854613" w:rsidP="00760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imes New Roman"/>
          <w:szCs w:val="24"/>
          <w:lang w:eastAsia="en-GB"/>
        </w:rPr>
      </w:pPr>
      <w:r w:rsidRPr="00EC0229">
        <w:rPr>
          <w:rFonts w:cs="Times New Roman"/>
          <w:color w:val="000000" w:themeColor="text1"/>
          <w:szCs w:val="24"/>
        </w:rPr>
        <w:t xml:space="preserve">Diligent detectorists working </w:t>
      </w:r>
      <w:r w:rsidR="005F1EAF">
        <w:rPr>
          <w:rFonts w:cs="Times New Roman"/>
          <w:color w:val="000000" w:themeColor="text1"/>
          <w:szCs w:val="24"/>
        </w:rPr>
        <w:t xml:space="preserve">at </w:t>
      </w:r>
      <w:r w:rsidR="005F1EAF" w:rsidRPr="005F1EAF">
        <w:rPr>
          <w:rFonts w:cs="Times New Roman"/>
          <w:color w:val="000000" w:themeColor="text1"/>
          <w:szCs w:val="24"/>
        </w:rPr>
        <w:t>‘Site C’</w:t>
      </w:r>
      <w:r w:rsidR="005F1EAF">
        <w:rPr>
          <w:rFonts w:cs="Times New Roman"/>
          <w:color w:val="000000" w:themeColor="text1"/>
          <w:szCs w:val="24"/>
        </w:rPr>
        <w:t xml:space="preserve"> </w:t>
      </w:r>
      <w:r w:rsidRPr="00EC0229">
        <w:rPr>
          <w:rFonts w:cs="Times New Roman"/>
          <w:color w:val="000000" w:themeColor="text1"/>
          <w:szCs w:val="24"/>
        </w:rPr>
        <w:t xml:space="preserve">have found sceats and stycas </w:t>
      </w:r>
      <w:r w:rsidR="008A3BF9" w:rsidRPr="00EC0229">
        <w:t>(</w:t>
      </w:r>
      <w:r w:rsidR="003852DA" w:rsidRPr="00EC0229">
        <w:fldChar w:fldCharType="begin"/>
      </w:r>
      <w:r w:rsidR="003852DA" w:rsidRPr="00EC0229">
        <w:instrText xml:space="preserve"> REF _Ref430248585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99</w:t>
      </w:r>
      <w:r w:rsidR="003852DA" w:rsidRPr="00EC0229">
        <w:fldChar w:fldCharType="end"/>
      </w:r>
      <w:r w:rsidR="008A3BF9" w:rsidRPr="00EC0229">
        <w:t xml:space="preserve">) </w:t>
      </w:r>
      <w:r w:rsidRPr="00EC0229">
        <w:rPr>
          <w:rFonts w:cs="Times New Roman"/>
          <w:color w:val="000000" w:themeColor="text1"/>
          <w:szCs w:val="24"/>
        </w:rPr>
        <w:t xml:space="preserve">in a field strewn with pieces of lead </w:t>
      </w:r>
      <w:r w:rsidR="00EE160E" w:rsidRPr="00EC0229">
        <w:rPr>
          <w:rFonts w:cs="Times New Roman"/>
          <w:color w:val="000000" w:themeColor="text1"/>
          <w:szCs w:val="24"/>
        </w:rPr>
        <w:t xml:space="preserve">– ingots, </w:t>
      </w:r>
      <w:proofErr w:type="gramStart"/>
      <w:r w:rsidR="00EE160E" w:rsidRPr="00EC0229">
        <w:rPr>
          <w:rFonts w:cs="Times New Roman"/>
          <w:color w:val="000000" w:themeColor="text1"/>
          <w:szCs w:val="24"/>
        </w:rPr>
        <w:t>weights</w:t>
      </w:r>
      <w:proofErr w:type="gramEnd"/>
      <w:r w:rsidR="00EE160E" w:rsidRPr="00EC0229">
        <w:rPr>
          <w:rFonts w:cs="Times New Roman"/>
          <w:color w:val="000000" w:themeColor="text1"/>
          <w:szCs w:val="24"/>
        </w:rPr>
        <w:t xml:space="preserve"> and waste</w:t>
      </w:r>
      <w:r w:rsidR="00185231" w:rsidRPr="00EC0229">
        <w:rPr>
          <w:rFonts w:cs="Times New Roman"/>
          <w:color w:val="000000" w:themeColor="text1"/>
          <w:szCs w:val="24"/>
        </w:rPr>
        <w:t xml:space="preserve"> </w:t>
      </w:r>
      <w:r w:rsidR="00EE160E" w:rsidRPr="00EC0229">
        <w:rPr>
          <w:rFonts w:cs="Times New Roman"/>
          <w:color w:val="000000" w:themeColor="text1"/>
          <w:szCs w:val="24"/>
        </w:rPr>
        <w:t xml:space="preserve">– </w:t>
      </w:r>
      <w:r w:rsidR="00185231" w:rsidRPr="00EC0229">
        <w:rPr>
          <w:rFonts w:cs="Times New Roman"/>
          <w:color w:val="000000" w:themeColor="text1"/>
          <w:szCs w:val="24"/>
        </w:rPr>
        <w:t xml:space="preserve">and </w:t>
      </w:r>
      <w:r w:rsidR="00EE160E" w:rsidRPr="00EC0229">
        <w:rPr>
          <w:rFonts w:cs="Times New Roman"/>
          <w:color w:val="000000" w:themeColor="text1"/>
          <w:szCs w:val="24"/>
        </w:rPr>
        <w:t xml:space="preserve">sharpening stones of </w:t>
      </w:r>
      <w:r w:rsidR="00EE160E" w:rsidRPr="00EC0229">
        <w:rPr>
          <w:rFonts w:eastAsia="Times New Roman" w:cs="Times New Roman"/>
          <w:szCs w:val="24"/>
          <w:lang w:eastAsia="en-GB"/>
        </w:rPr>
        <w:t>continental (Northern) micas,</w:t>
      </w:r>
      <w:r w:rsidR="00EE160E" w:rsidRPr="00EC0229">
        <w:rPr>
          <w:rFonts w:cs="Times New Roman"/>
          <w:color w:val="000000" w:themeColor="text1"/>
          <w:szCs w:val="24"/>
        </w:rPr>
        <w:t xml:space="preserve"> </w:t>
      </w:r>
      <w:r w:rsidRPr="00EC0229">
        <w:rPr>
          <w:rFonts w:cs="Times New Roman"/>
          <w:color w:val="000000" w:themeColor="text1"/>
          <w:szCs w:val="24"/>
        </w:rPr>
        <w:t>suggesting metalworking.</w:t>
      </w:r>
      <w:r w:rsidRPr="00EC0229">
        <w:rPr>
          <w:szCs w:val="24"/>
        </w:rPr>
        <w:t xml:space="preserve"> </w:t>
      </w:r>
    </w:p>
    <w:p w14:paraId="4F82627E" w14:textId="77777777" w:rsidR="00854613" w:rsidRPr="00EC0229" w:rsidRDefault="00854613" w:rsidP="007600EA">
      <w:pPr>
        <w:pStyle w:val="NoSpacing"/>
        <w:spacing w:line="360" w:lineRule="auto"/>
        <w:jc w:val="center"/>
        <w:rPr>
          <w:sz w:val="20"/>
          <w:szCs w:val="20"/>
        </w:rPr>
      </w:pPr>
      <w:r w:rsidRPr="00EC0229">
        <w:rPr>
          <w:noProof/>
          <w:sz w:val="20"/>
          <w:szCs w:val="20"/>
          <w:lang w:eastAsia="en-GB"/>
        </w:rPr>
        <w:drawing>
          <wp:inline distT="0" distB="0" distL="0" distR="0" wp14:anchorId="51393A6A" wp14:editId="1B82D731">
            <wp:extent cx="932180" cy="932180"/>
            <wp:effectExtent l="0" t="0" r="1270" b="127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10 Y540.JPG"/>
                    <pic:cNvPicPr/>
                  </pic:nvPicPr>
                  <pic:blipFill>
                    <a:blip r:embed="rId321">
                      <a:extLst>
                        <a:ext uri="{28A0092B-C50C-407E-A947-70E740481C1C}">
                          <a14:useLocalDpi xmlns:a14="http://schemas.microsoft.com/office/drawing/2010/main" val="0"/>
                        </a:ext>
                      </a:extLst>
                    </a:blip>
                    <a:stretch>
                      <a:fillRect/>
                    </a:stretch>
                  </pic:blipFill>
                  <pic:spPr>
                    <a:xfrm>
                      <a:off x="0" y="0"/>
                      <a:ext cx="932180" cy="932180"/>
                    </a:xfrm>
                    <a:prstGeom prst="rect">
                      <a:avLst/>
                    </a:prstGeom>
                  </pic:spPr>
                </pic:pic>
              </a:graphicData>
            </a:graphic>
          </wp:inline>
        </w:drawing>
      </w:r>
      <w:r w:rsidRPr="00EC0229">
        <w:rPr>
          <w:noProof/>
          <w:sz w:val="20"/>
          <w:szCs w:val="20"/>
          <w:lang w:eastAsia="en-GB"/>
        </w:rPr>
        <w:drawing>
          <wp:inline distT="0" distB="0" distL="0" distR="0" wp14:anchorId="05862EBF" wp14:editId="07BC14DB">
            <wp:extent cx="1021776" cy="931619"/>
            <wp:effectExtent l="0" t="0" r="6985" b="190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10 Y540R.JPG"/>
                    <pic:cNvPicPr/>
                  </pic:nvPicPr>
                  <pic:blipFill>
                    <a:blip r:embed="rId322">
                      <a:extLst>
                        <a:ext uri="{28A0092B-C50C-407E-A947-70E740481C1C}">
                          <a14:useLocalDpi xmlns:a14="http://schemas.microsoft.com/office/drawing/2010/main" val="0"/>
                        </a:ext>
                      </a:extLst>
                    </a:blip>
                    <a:stretch>
                      <a:fillRect/>
                    </a:stretch>
                  </pic:blipFill>
                  <pic:spPr>
                    <a:xfrm>
                      <a:off x="0" y="0"/>
                      <a:ext cx="1035633" cy="944253"/>
                    </a:xfrm>
                    <a:prstGeom prst="rect">
                      <a:avLst/>
                    </a:prstGeom>
                  </pic:spPr>
                </pic:pic>
              </a:graphicData>
            </a:graphic>
          </wp:inline>
        </w:drawing>
      </w:r>
      <w:r w:rsidRPr="00EC0229">
        <w:rPr>
          <w:sz w:val="20"/>
          <w:szCs w:val="20"/>
        </w:rPr>
        <w:tab/>
      </w:r>
      <w:r w:rsidRPr="00EC0229">
        <w:rPr>
          <w:sz w:val="20"/>
          <w:szCs w:val="20"/>
        </w:rPr>
        <w:tab/>
      </w:r>
      <w:r w:rsidRPr="00EC0229">
        <w:rPr>
          <w:noProof/>
          <w:sz w:val="20"/>
          <w:szCs w:val="20"/>
          <w:lang w:eastAsia="en-GB"/>
        </w:rPr>
        <w:drawing>
          <wp:inline distT="0" distB="0" distL="0" distR="0" wp14:anchorId="5578C344" wp14:editId="14E7D9E7">
            <wp:extent cx="928872" cy="939800"/>
            <wp:effectExtent l="0" t="0" r="508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5s-09 Y1895.JPG"/>
                    <pic:cNvPicPr/>
                  </pic:nvPicPr>
                  <pic:blipFill>
                    <a:blip r:embed="rId323">
                      <a:extLst>
                        <a:ext uri="{28A0092B-C50C-407E-A947-70E740481C1C}">
                          <a14:useLocalDpi xmlns:a14="http://schemas.microsoft.com/office/drawing/2010/main" val="0"/>
                        </a:ext>
                      </a:extLst>
                    </a:blip>
                    <a:stretch>
                      <a:fillRect/>
                    </a:stretch>
                  </pic:blipFill>
                  <pic:spPr>
                    <a:xfrm>
                      <a:off x="0" y="0"/>
                      <a:ext cx="938699" cy="949743"/>
                    </a:xfrm>
                    <a:prstGeom prst="rect">
                      <a:avLst/>
                    </a:prstGeom>
                  </pic:spPr>
                </pic:pic>
              </a:graphicData>
            </a:graphic>
          </wp:inline>
        </w:drawing>
      </w:r>
      <w:r w:rsidRPr="00EC0229">
        <w:rPr>
          <w:noProof/>
          <w:sz w:val="20"/>
          <w:szCs w:val="20"/>
          <w:lang w:eastAsia="en-GB"/>
        </w:rPr>
        <w:drawing>
          <wp:inline distT="0" distB="0" distL="0" distR="0" wp14:anchorId="1D9F305D" wp14:editId="7F0F1129">
            <wp:extent cx="934720" cy="93472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3-25s-09 Y1895R.JPG"/>
                    <pic:cNvPicPr/>
                  </pic:nvPicPr>
                  <pic:blipFill>
                    <a:blip r:embed="rId324">
                      <a:extLst>
                        <a:ext uri="{28A0092B-C50C-407E-A947-70E740481C1C}">
                          <a14:useLocalDpi xmlns:a14="http://schemas.microsoft.com/office/drawing/2010/main" val="0"/>
                        </a:ext>
                      </a:extLst>
                    </a:blip>
                    <a:stretch>
                      <a:fillRect/>
                    </a:stretch>
                  </pic:blipFill>
                  <pic:spPr>
                    <a:xfrm>
                      <a:off x="0" y="0"/>
                      <a:ext cx="934720" cy="934720"/>
                    </a:xfrm>
                    <a:prstGeom prst="rect">
                      <a:avLst/>
                    </a:prstGeom>
                  </pic:spPr>
                </pic:pic>
              </a:graphicData>
            </a:graphic>
          </wp:inline>
        </w:drawing>
      </w:r>
    </w:p>
    <w:p w14:paraId="22894DCD" w14:textId="20B9B639" w:rsidR="00565E13" w:rsidRPr="00EC0229" w:rsidRDefault="00AC78C3" w:rsidP="007600EA">
      <w:pPr>
        <w:pStyle w:val="NoSpacing"/>
        <w:spacing w:line="360" w:lineRule="auto"/>
        <w:jc w:val="center"/>
        <w:rPr>
          <w:sz w:val="20"/>
          <w:szCs w:val="20"/>
        </w:rPr>
      </w:pPr>
      <w:bookmarkStart w:id="648" w:name="_Ref430248585"/>
      <w:bookmarkStart w:id="649" w:name="_Toc468267071"/>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99</w:t>
      </w:r>
      <w:r w:rsidR="00B609E3" w:rsidRPr="00EC0229">
        <w:rPr>
          <w:sz w:val="20"/>
          <w:szCs w:val="20"/>
        </w:rPr>
        <w:fldChar w:fldCharType="end"/>
      </w:r>
      <w:bookmarkEnd w:id="648"/>
      <w:r w:rsidR="008A3BF9" w:rsidRPr="00EC0229">
        <w:rPr>
          <w:sz w:val="20"/>
          <w:szCs w:val="20"/>
        </w:rPr>
        <w:t xml:space="preserve">: </w:t>
      </w:r>
      <w:r w:rsidR="005F1EAF" w:rsidRPr="005F1EAF">
        <w:rPr>
          <w:sz w:val="20"/>
          <w:szCs w:val="20"/>
        </w:rPr>
        <w:t>‘Site C’</w:t>
      </w:r>
      <w:r w:rsidR="00854613" w:rsidRPr="00EC0229">
        <w:rPr>
          <w:sz w:val="20"/>
          <w:szCs w:val="20"/>
        </w:rPr>
        <w:t>:</w:t>
      </w:r>
      <w:bookmarkEnd w:id="649"/>
    </w:p>
    <w:p w14:paraId="58095456" w14:textId="087A63D4" w:rsidR="00854613" w:rsidRPr="00EC0229" w:rsidRDefault="00854613" w:rsidP="007600EA">
      <w:pPr>
        <w:pStyle w:val="NoSpacing"/>
        <w:spacing w:line="360" w:lineRule="auto"/>
        <w:rPr>
          <w:sz w:val="20"/>
          <w:szCs w:val="20"/>
        </w:rPr>
      </w:pPr>
      <w:r w:rsidRPr="00EC0229">
        <w:rPr>
          <w:sz w:val="20"/>
          <w:szCs w:val="20"/>
        </w:rPr>
        <w:t>L: Unusual 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Pr="00EC0229">
        <w:rPr>
          <w:sz w:val="20"/>
          <w:szCs w:val="20"/>
        </w:rPr>
        <w:t>/Ecgberht</w:t>
      </w:r>
      <w:r w:rsidR="00D142DC" w:rsidRPr="00EC0229">
        <w:rPr>
          <w:sz w:val="20"/>
          <w:szCs w:val="20"/>
        </w:rPr>
        <w:fldChar w:fldCharType="begin"/>
      </w:r>
      <w:r w:rsidR="00D142DC" w:rsidRPr="00EC0229">
        <w:rPr>
          <w:sz w:val="20"/>
          <w:szCs w:val="20"/>
        </w:rPr>
        <w:instrText xml:space="preserve"> XE "Ecgberht" </w:instrText>
      </w:r>
      <w:r w:rsidR="00D142DC" w:rsidRPr="00EC0229">
        <w:rPr>
          <w:sz w:val="20"/>
          <w:szCs w:val="20"/>
        </w:rPr>
        <w:fldChar w:fldCharType="end"/>
      </w:r>
      <w:r w:rsidRPr="00EC0229">
        <w:rPr>
          <w:sz w:val="20"/>
          <w:szCs w:val="20"/>
        </w:rPr>
        <w:t xml:space="preserve"> joint issue sceat with two croziers on reverse.</w:t>
      </w:r>
    </w:p>
    <w:p w14:paraId="6591998C" w14:textId="2640528D" w:rsidR="008A3BF9" w:rsidRPr="00EC0229" w:rsidRDefault="00854613" w:rsidP="007600EA">
      <w:pPr>
        <w:pStyle w:val="NoSpacing"/>
        <w:spacing w:line="360" w:lineRule="auto"/>
        <w:jc w:val="right"/>
        <w:rPr>
          <w:sz w:val="20"/>
          <w:szCs w:val="20"/>
        </w:rPr>
      </w:pPr>
      <w:r w:rsidRPr="00EC0229">
        <w:rPr>
          <w:sz w:val="20"/>
          <w:szCs w:val="20"/>
        </w:rPr>
        <w:t xml:space="preserve"> R: ‘Special motif’ styca of Æthelred</w:t>
      </w:r>
      <w:r w:rsidR="00D142DC" w:rsidRPr="00EC0229">
        <w:rPr>
          <w:sz w:val="20"/>
          <w:szCs w:val="20"/>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 w:val="20"/>
          <w:szCs w:val="20"/>
        </w:rPr>
        <w:fldChar w:fldCharType="end"/>
      </w:r>
      <w:r w:rsidRPr="00EC0229">
        <w:rPr>
          <w:sz w:val="20"/>
          <w:szCs w:val="20"/>
        </w:rPr>
        <w:t xml:space="preserve"> II by Leofthegn</w:t>
      </w:r>
    </w:p>
    <w:p w14:paraId="05C9864F" w14:textId="77777777" w:rsidR="008A3BF9" w:rsidRPr="00EC0229" w:rsidRDefault="008A3BF9" w:rsidP="007600EA">
      <w:pPr>
        <w:pStyle w:val="NoSpacing"/>
        <w:spacing w:line="360" w:lineRule="auto"/>
        <w:jc w:val="center"/>
        <w:rPr>
          <w:sz w:val="20"/>
          <w:szCs w:val="20"/>
        </w:rPr>
      </w:pPr>
      <w:r w:rsidRPr="00EC0229">
        <w:rPr>
          <w:noProof/>
          <w:szCs w:val="24"/>
          <w:lang w:eastAsia="en-GB"/>
        </w:rPr>
        <w:drawing>
          <wp:inline distT="0" distB="0" distL="0" distR="0" wp14:anchorId="3E8EAA92" wp14:editId="02327A7C">
            <wp:extent cx="1499616" cy="963168"/>
            <wp:effectExtent l="0" t="0" r="5715" b="889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olton, Snake Lane, garnet brooch.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499616" cy="963168"/>
                    </a:xfrm>
                    <a:prstGeom prst="rect">
                      <a:avLst/>
                    </a:prstGeom>
                  </pic:spPr>
                </pic:pic>
              </a:graphicData>
            </a:graphic>
          </wp:inline>
        </w:drawing>
      </w:r>
      <w:r w:rsidRPr="00EC0229">
        <w:rPr>
          <w:sz w:val="20"/>
          <w:szCs w:val="20"/>
        </w:rPr>
        <w:t xml:space="preserve"> </w:t>
      </w:r>
    </w:p>
    <w:p w14:paraId="68AAAF6B" w14:textId="72650C35" w:rsidR="008A3BF9" w:rsidRPr="00EC0229" w:rsidRDefault="00AC78C3" w:rsidP="007600EA">
      <w:pPr>
        <w:spacing w:line="360" w:lineRule="auto"/>
        <w:jc w:val="center"/>
        <w:rPr>
          <w:i/>
          <w:sz w:val="20"/>
          <w:szCs w:val="20"/>
        </w:rPr>
      </w:pPr>
      <w:bookmarkStart w:id="650" w:name="_Ref430248609"/>
      <w:bookmarkStart w:id="651" w:name="_Toc468267072"/>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100</w:t>
      </w:r>
      <w:r w:rsidR="00B609E3" w:rsidRPr="00EC0229">
        <w:rPr>
          <w:sz w:val="20"/>
          <w:szCs w:val="20"/>
        </w:rPr>
        <w:fldChar w:fldCharType="end"/>
      </w:r>
      <w:bookmarkEnd w:id="650"/>
      <w:r w:rsidR="008A3BF9" w:rsidRPr="00EC0229">
        <w:rPr>
          <w:sz w:val="20"/>
          <w:szCs w:val="20"/>
        </w:rPr>
        <w:t xml:space="preserve">: </w:t>
      </w:r>
      <w:r w:rsidR="005F1EAF" w:rsidRPr="005F1EAF">
        <w:rPr>
          <w:sz w:val="20"/>
          <w:szCs w:val="20"/>
        </w:rPr>
        <w:t>‘Site C’</w:t>
      </w:r>
      <w:r w:rsidR="008A3BF9" w:rsidRPr="00EC0229">
        <w:rPr>
          <w:sz w:val="20"/>
          <w:szCs w:val="20"/>
        </w:rPr>
        <w:t>: an early Anglian</w:t>
      </w:r>
      <w:r w:rsidR="00D142DC" w:rsidRPr="00EC0229">
        <w:rPr>
          <w:sz w:val="20"/>
          <w:szCs w:val="20"/>
        </w:rPr>
        <w:fldChar w:fldCharType="begin"/>
      </w:r>
      <w:r w:rsidR="00D142DC" w:rsidRPr="00EC0229">
        <w:rPr>
          <w:sz w:val="20"/>
          <w:szCs w:val="20"/>
        </w:rPr>
        <w:instrText xml:space="preserve"> XE "Anglian" </w:instrText>
      </w:r>
      <w:r w:rsidR="00D142DC" w:rsidRPr="00EC0229">
        <w:rPr>
          <w:sz w:val="20"/>
          <w:szCs w:val="20"/>
        </w:rPr>
        <w:fldChar w:fldCharType="end"/>
      </w:r>
      <w:r w:rsidR="008A3BF9" w:rsidRPr="00EC0229">
        <w:rPr>
          <w:sz w:val="20"/>
          <w:szCs w:val="20"/>
        </w:rPr>
        <w:t xml:space="preserve"> gold</w:t>
      </w:r>
      <w:r w:rsidR="008960AE" w:rsidRPr="00EC0229">
        <w:rPr>
          <w:sz w:val="20"/>
          <w:szCs w:val="20"/>
        </w:rPr>
        <w:fldChar w:fldCharType="begin"/>
      </w:r>
      <w:r w:rsidR="008960AE" w:rsidRPr="00EC0229">
        <w:rPr>
          <w:sz w:val="20"/>
          <w:szCs w:val="20"/>
        </w:rPr>
        <w:instrText xml:space="preserve"> XE "gold" </w:instrText>
      </w:r>
      <w:r w:rsidR="008960AE" w:rsidRPr="00EC0229">
        <w:rPr>
          <w:sz w:val="20"/>
          <w:szCs w:val="20"/>
        </w:rPr>
        <w:fldChar w:fldCharType="end"/>
      </w:r>
      <w:r w:rsidR="008A3BF9" w:rsidRPr="00EC0229">
        <w:rPr>
          <w:sz w:val="20"/>
          <w:szCs w:val="20"/>
        </w:rPr>
        <w:t xml:space="preserve"> and garnet cloisonné trapezoidal panel</w:t>
      </w:r>
      <w:bookmarkEnd w:id="651"/>
    </w:p>
    <w:p w14:paraId="78F55BE7" w14:textId="1DBC7A0A" w:rsidR="00854613" w:rsidRPr="00EC0229" w:rsidRDefault="00854613" w:rsidP="007600EA">
      <w:pPr>
        <w:pStyle w:val="NoSpacing"/>
        <w:spacing w:line="360" w:lineRule="auto"/>
        <w:jc w:val="center"/>
        <w:rPr>
          <w:sz w:val="20"/>
          <w:szCs w:val="20"/>
        </w:rPr>
      </w:pPr>
    </w:p>
    <w:p w14:paraId="77D3A600" w14:textId="7ECC3607" w:rsidR="00854613" w:rsidRPr="00EC0229" w:rsidRDefault="00854613" w:rsidP="007600EA">
      <w:pPr>
        <w:pStyle w:val="NoSpacing"/>
        <w:spacing w:line="360" w:lineRule="auto"/>
        <w:rPr>
          <w:szCs w:val="24"/>
        </w:rPr>
      </w:pPr>
      <w:r w:rsidRPr="00EC0229">
        <w:rPr>
          <w:szCs w:val="24"/>
        </w:rPr>
        <w:t xml:space="preserve">The site, which merits formal excavation, has also produced </w:t>
      </w:r>
      <w:r w:rsidR="008A3BF9" w:rsidRPr="00EC0229">
        <w:rPr>
          <w:szCs w:val="24"/>
        </w:rPr>
        <w:t xml:space="preserve">a </w:t>
      </w:r>
      <w:r w:rsidR="008A3BF9" w:rsidRPr="00EC0229">
        <w:rPr>
          <w:rFonts w:eastAsia="Times New Roman" w:cs="Times New Roman"/>
          <w:szCs w:val="24"/>
          <w:lang w:eastAsia="en-GB"/>
        </w:rPr>
        <w:t>cloisonné</w:t>
      </w:r>
      <w:r w:rsidRPr="00EC0229">
        <w:rPr>
          <w:szCs w:val="24"/>
        </w:rPr>
        <w:t xml:space="preserve"> panel</w:t>
      </w:r>
      <w:r w:rsidR="008A3BF9" w:rsidRPr="00EC0229">
        <w:rPr>
          <w:szCs w:val="24"/>
        </w:rPr>
        <w:t xml:space="preserve"> </w:t>
      </w:r>
      <w:r w:rsidR="008A3BF9" w:rsidRPr="00EC0229">
        <w:t>(</w:t>
      </w:r>
      <w:r w:rsidR="003852DA" w:rsidRPr="00EC0229">
        <w:fldChar w:fldCharType="begin"/>
      </w:r>
      <w:r w:rsidR="003852DA" w:rsidRPr="00EC0229">
        <w:instrText xml:space="preserve"> REF _Ref430248609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100</w:t>
      </w:r>
      <w:r w:rsidR="003852DA" w:rsidRPr="00EC0229">
        <w:fldChar w:fldCharType="end"/>
      </w:r>
      <w:r w:rsidR="008A3BF9" w:rsidRPr="00EC0229">
        <w:t>)</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1001"/>
      </w:r>
      <w:r w:rsidRPr="00EC0229">
        <w:rPr>
          <w:rFonts w:eastAsia="Times New Roman" w:cs="Times New Roman"/>
          <w:szCs w:val="24"/>
          <w:lang w:eastAsia="en-GB"/>
        </w:rPr>
        <w:t xml:space="preserve"> among other élite</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xml:space="preserve"> artefacts,</w:t>
      </w:r>
      <w:r w:rsidRPr="00EC0229">
        <w:rPr>
          <w:szCs w:val="24"/>
        </w:rPr>
        <w:t xml:space="preserve"> and shows </w:t>
      </w:r>
      <w:r w:rsidR="00A33D33" w:rsidRPr="00EC0229">
        <w:rPr>
          <w:szCs w:val="24"/>
        </w:rPr>
        <w:t>continuity</w:t>
      </w:r>
      <w:r w:rsidRPr="00EC0229">
        <w:rPr>
          <w:szCs w:val="24"/>
        </w:rPr>
        <w:t xml:space="preserve"> as demonstrated by </w:t>
      </w:r>
      <w:r w:rsidR="00626F81" w:rsidRPr="00EC0229">
        <w:rPr>
          <w:szCs w:val="24"/>
        </w:rPr>
        <w:t>a fragmentary dirham an</w:t>
      </w:r>
      <w:r w:rsidR="00D30BA1" w:rsidRPr="00EC0229">
        <w:rPr>
          <w:szCs w:val="24"/>
        </w:rPr>
        <w:t xml:space="preserve">d </w:t>
      </w:r>
      <w:r w:rsidRPr="00EC0229">
        <w:rPr>
          <w:szCs w:val="24"/>
        </w:rPr>
        <w:t>the Raven type penny</w:t>
      </w:r>
      <w:r w:rsidR="00D142DC" w:rsidRPr="00EC0229">
        <w:rPr>
          <w:szCs w:val="24"/>
        </w:rPr>
        <w:fldChar w:fldCharType="begin"/>
      </w:r>
      <w:r w:rsidR="00D142DC" w:rsidRPr="00EC0229">
        <w:instrText xml:space="preserve"> XE "penny" </w:instrText>
      </w:r>
      <w:r w:rsidR="00D142DC" w:rsidRPr="00EC0229">
        <w:rPr>
          <w:szCs w:val="24"/>
        </w:rPr>
        <w:fldChar w:fldCharType="end"/>
      </w:r>
      <w:r w:rsidRPr="00EC0229">
        <w:rPr>
          <w:szCs w:val="24"/>
        </w:rPr>
        <w:t xml:space="preserve"> </w:t>
      </w:r>
      <w:r w:rsidR="008A3BF9" w:rsidRPr="00EC0229">
        <w:t>(</w:t>
      </w:r>
      <w:r w:rsidR="003852DA" w:rsidRPr="00EC0229">
        <w:fldChar w:fldCharType="begin"/>
      </w:r>
      <w:r w:rsidR="003852DA" w:rsidRPr="00EC0229">
        <w:instrText xml:space="preserve"> REF _Ref430248619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101</w:t>
      </w:r>
      <w:r w:rsidR="003852DA" w:rsidRPr="00EC0229">
        <w:fldChar w:fldCharType="end"/>
      </w:r>
      <w:r w:rsidR="008A3BF9" w:rsidRPr="00EC0229">
        <w:t>)</w:t>
      </w:r>
      <w:r w:rsidR="000066C3" w:rsidRPr="00EC0229">
        <w:rPr>
          <w:szCs w:val="24"/>
        </w:rPr>
        <w:t>,</w:t>
      </w:r>
      <w:r w:rsidRPr="00EC0229">
        <w:rPr>
          <w:szCs w:val="24"/>
        </w:rPr>
        <w:t xml:space="preserve"> </w:t>
      </w:r>
      <w:r w:rsidR="00FE104D" w:rsidRPr="00EC0229">
        <w:rPr>
          <w:szCs w:val="24"/>
        </w:rPr>
        <w:t>although there is</w:t>
      </w:r>
      <w:r w:rsidRPr="00EC0229">
        <w:rPr>
          <w:szCs w:val="24"/>
        </w:rPr>
        <w:t xml:space="preserve"> site migration between 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w:t>
      </w:r>
      <w:r w:rsidR="00A33D33" w:rsidRPr="00EC0229">
        <w:rPr>
          <w:rStyle w:val="FootnoteReference"/>
          <w:szCs w:val="24"/>
        </w:rPr>
        <w:footnoteReference w:id="1002"/>
      </w:r>
      <w:r w:rsidRPr="00EC0229">
        <w:rPr>
          <w:szCs w:val="24"/>
        </w:rPr>
        <w:t xml:space="preserve">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Pr="00EC0229">
        <w:rPr>
          <w:szCs w:val="24"/>
        </w:rPr>
        <w:t>,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xml:space="preserve"> and medieval occupation</w:t>
      </w:r>
      <w:r w:rsidR="00A33D33" w:rsidRPr="00EC0229">
        <w:rPr>
          <w:szCs w:val="24"/>
        </w:rPr>
        <w:t>s</w:t>
      </w:r>
      <w:r w:rsidRPr="00EC0229">
        <w:rPr>
          <w:szCs w:val="24"/>
        </w:rPr>
        <w:t xml:space="preserve">. </w:t>
      </w:r>
    </w:p>
    <w:p w14:paraId="0D943C39" w14:textId="77777777" w:rsidR="00854613" w:rsidRPr="00EC0229" w:rsidRDefault="00854613" w:rsidP="007600EA">
      <w:pPr>
        <w:pStyle w:val="NoSpacing"/>
        <w:spacing w:line="360" w:lineRule="auto"/>
        <w:jc w:val="center"/>
        <w:rPr>
          <w:szCs w:val="24"/>
        </w:rPr>
      </w:pPr>
      <w:r w:rsidRPr="00EC0229">
        <w:rPr>
          <w:noProof/>
          <w:szCs w:val="24"/>
          <w:lang w:eastAsia="en-GB"/>
        </w:rPr>
        <w:drawing>
          <wp:inline distT="0" distB="0" distL="0" distR="0" wp14:anchorId="001246A3" wp14:editId="582C8EB0">
            <wp:extent cx="964039" cy="1021515"/>
            <wp:effectExtent l="0" t="0" r="7620" b="76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Raven, Anlaf Guthfrithsson R 2015-03-23.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964039" cy="1021515"/>
                    </a:xfrm>
                    <a:prstGeom prst="rect">
                      <a:avLst/>
                    </a:prstGeom>
                  </pic:spPr>
                </pic:pic>
              </a:graphicData>
            </a:graphic>
          </wp:inline>
        </w:drawing>
      </w:r>
      <w:r w:rsidRPr="00EC0229">
        <w:rPr>
          <w:noProof/>
          <w:szCs w:val="24"/>
          <w:lang w:eastAsia="en-GB"/>
        </w:rPr>
        <w:drawing>
          <wp:inline distT="0" distB="0" distL="0" distR="0" wp14:anchorId="406AEDF9" wp14:editId="6138507B">
            <wp:extent cx="1005840" cy="1030195"/>
            <wp:effectExtent l="0" t="0" r="381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Raven, Anlaf Guthfrithsson 2015-03-23.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008483" cy="1032902"/>
                    </a:xfrm>
                    <a:prstGeom prst="rect">
                      <a:avLst/>
                    </a:prstGeom>
                  </pic:spPr>
                </pic:pic>
              </a:graphicData>
            </a:graphic>
          </wp:inline>
        </w:drawing>
      </w:r>
    </w:p>
    <w:p w14:paraId="1A6E4424" w14:textId="4187F4CE" w:rsidR="00C531DD" w:rsidRPr="00EC0229" w:rsidRDefault="003977B6" w:rsidP="007600EA">
      <w:pPr>
        <w:spacing w:line="360" w:lineRule="auto"/>
        <w:jc w:val="center"/>
        <w:rPr>
          <w:sz w:val="20"/>
          <w:szCs w:val="20"/>
        </w:rPr>
      </w:pPr>
      <w:bookmarkStart w:id="652" w:name="_Ref430248619"/>
      <w:bookmarkStart w:id="653" w:name="_Toc468267073"/>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101</w:t>
      </w:r>
      <w:r w:rsidR="00B609E3" w:rsidRPr="00EC0229">
        <w:rPr>
          <w:sz w:val="20"/>
          <w:szCs w:val="20"/>
        </w:rPr>
        <w:fldChar w:fldCharType="end"/>
      </w:r>
      <w:bookmarkEnd w:id="652"/>
      <w:r w:rsidR="008A3BF9" w:rsidRPr="00EC0229">
        <w:rPr>
          <w:sz w:val="20"/>
          <w:szCs w:val="20"/>
        </w:rPr>
        <w:t xml:space="preserve">: </w:t>
      </w:r>
      <w:r w:rsidR="00854613" w:rsidRPr="00EC0229">
        <w:rPr>
          <w:sz w:val="20"/>
          <w:szCs w:val="20"/>
        </w:rPr>
        <w:t>Raven</w:t>
      </w:r>
      <w:r w:rsidR="00565E13" w:rsidRPr="00EC0229">
        <w:rPr>
          <w:sz w:val="20"/>
          <w:szCs w:val="20"/>
        </w:rPr>
        <w:t xml:space="preserve"> </w:t>
      </w:r>
      <w:r w:rsidR="00854613" w:rsidRPr="00EC0229">
        <w:rPr>
          <w:sz w:val="20"/>
          <w:szCs w:val="20"/>
        </w:rPr>
        <w:t>penny</w:t>
      </w:r>
      <w:r w:rsidR="00D142DC" w:rsidRPr="00EC0229">
        <w:rPr>
          <w:sz w:val="20"/>
          <w:szCs w:val="20"/>
        </w:rPr>
        <w:fldChar w:fldCharType="begin"/>
      </w:r>
      <w:r w:rsidR="00D142DC" w:rsidRPr="00EC0229">
        <w:rPr>
          <w:sz w:val="20"/>
          <w:szCs w:val="20"/>
        </w:rPr>
        <w:instrText xml:space="preserve"> XE "penny" </w:instrText>
      </w:r>
      <w:r w:rsidR="00D142DC" w:rsidRPr="00EC0229">
        <w:rPr>
          <w:sz w:val="20"/>
          <w:szCs w:val="20"/>
        </w:rPr>
        <w:fldChar w:fldCharType="end"/>
      </w:r>
      <w:r w:rsidR="00854613" w:rsidRPr="00EC0229">
        <w:rPr>
          <w:sz w:val="20"/>
          <w:szCs w:val="20"/>
        </w:rPr>
        <w:t xml:space="preserve"> of Anlaf Guthfrithsson, Hiberno-Norse king of York</w:t>
      </w:r>
      <w:r w:rsidR="006B1593" w:rsidRPr="00EC0229">
        <w:rPr>
          <w:sz w:val="20"/>
          <w:szCs w:val="20"/>
        </w:rPr>
        <w:fldChar w:fldCharType="begin"/>
      </w:r>
      <w:r w:rsidR="006B1593" w:rsidRPr="00EC0229">
        <w:rPr>
          <w:sz w:val="20"/>
          <w:szCs w:val="20"/>
        </w:rPr>
        <w:instrText xml:space="preserve"> XE "York" </w:instrText>
      </w:r>
      <w:r w:rsidR="006B1593" w:rsidRPr="00EC0229">
        <w:rPr>
          <w:sz w:val="20"/>
          <w:szCs w:val="20"/>
        </w:rPr>
        <w:fldChar w:fldCharType="end"/>
      </w:r>
      <w:r w:rsidR="00854613" w:rsidRPr="00EC0229">
        <w:rPr>
          <w:sz w:val="20"/>
          <w:szCs w:val="20"/>
        </w:rPr>
        <w:t>, 939-41</w:t>
      </w:r>
      <w:bookmarkEnd w:id="653"/>
    </w:p>
    <w:p w14:paraId="0AD711AE" w14:textId="4B039BBC" w:rsidR="00854613" w:rsidRPr="00EC0229" w:rsidRDefault="00361C8C" w:rsidP="007600EA">
      <w:pPr>
        <w:spacing w:line="360" w:lineRule="auto"/>
        <w:jc w:val="center"/>
        <w:rPr>
          <w:sz w:val="20"/>
          <w:szCs w:val="20"/>
        </w:rPr>
      </w:pPr>
      <w:r w:rsidRPr="00EC0229">
        <w:rPr>
          <w:sz w:val="20"/>
          <w:szCs w:val="20"/>
        </w:rPr>
        <w:t>M</w:t>
      </w:r>
      <w:r w:rsidR="00C531DD" w:rsidRPr="00EC0229">
        <w:rPr>
          <w:sz w:val="20"/>
          <w:szCs w:val="20"/>
        </w:rPr>
        <w:t xml:space="preserve">oneyer Adeler, </w:t>
      </w:r>
      <w:r w:rsidR="00854613" w:rsidRPr="00EC0229">
        <w:rPr>
          <w:sz w:val="20"/>
          <w:szCs w:val="20"/>
        </w:rPr>
        <w:t>(N</w:t>
      </w:r>
      <w:r w:rsidR="001750F2" w:rsidRPr="00EC0229">
        <w:rPr>
          <w:sz w:val="20"/>
          <w:szCs w:val="20"/>
        </w:rPr>
        <w:t xml:space="preserve"> </w:t>
      </w:r>
      <w:r w:rsidR="00854613" w:rsidRPr="00EC0229">
        <w:rPr>
          <w:sz w:val="20"/>
          <w:szCs w:val="20"/>
        </w:rPr>
        <w:t>537)</w:t>
      </w:r>
    </w:p>
    <w:p w14:paraId="77CDF1CF" w14:textId="77777777" w:rsidR="00854613" w:rsidRPr="00EC0229" w:rsidRDefault="00854613" w:rsidP="007600EA">
      <w:pPr>
        <w:pStyle w:val="NoSpacing"/>
        <w:spacing w:line="360" w:lineRule="auto"/>
      </w:pPr>
    </w:p>
    <w:p w14:paraId="32C29BD8" w14:textId="2C2E5023" w:rsidR="00854613" w:rsidRPr="00EC0229" w:rsidRDefault="00854613" w:rsidP="007600EA">
      <w:pPr>
        <w:pStyle w:val="NoSpacing"/>
        <w:spacing w:line="360" w:lineRule="auto"/>
        <w:rPr>
          <w:rFonts w:ascii="Calibri" w:hAnsi="Calibri"/>
          <w:sz w:val="20"/>
          <w:szCs w:val="20"/>
        </w:rPr>
      </w:pPr>
      <w:r w:rsidRPr="00EC0229">
        <w:t>The broad mix of sceatta</w:t>
      </w:r>
      <w:r w:rsidR="00D142DC" w:rsidRPr="00EC0229">
        <w:fldChar w:fldCharType="begin"/>
      </w:r>
      <w:r w:rsidR="00D142DC" w:rsidRPr="00EC0229">
        <w:instrText xml:space="preserve"> XE "sceatta" </w:instrText>
      </w:r>
      <w:r w:rsidR="00D142DC" w:rsidRPr="00EC0229">
        <w:fldChar w:fldCharType="end"/>
      </w:r>
      <w:r w:rsidRPr="00EC0229">
        <w:t xml:space="preserve"> types among the </w:t>
      </w:r>
      <w:r w:rsidR="00EE160E" w:rsidRPr="00EC0229">
        <w:t>fifty-seven</w:t>
      </w:r>
      <w:r w:rsidRPr="00EC0229">
        <w:t xml:space="preserve"> finds includes primary phase southern coins </w:t>
      </w:r>
      <w:r w:rsidR="00173172" w:rsidRPr="00EC0229">
        <w:t xml:space="preserve">[4b] </w:t>
      </w:r>
      <w:r w:rsidRPr="00EC0229">
        <w:t>of Series</w:t>
      </w:r>
      <w:r w:rsidR="00D142DC" w:rsidRPr="00EC0229">
        <w:fldChar w:fldCharType="begin"/>
      </w:r>
      <w:r w:rsidR="00D142DC" w:rsidRPr="00EC0229">
        <w:instrText xml:space="preserve"> XE "Series" </w:instrText>
      </w:r>
      <w:r w:rsidR="00D142DC" w:rsidRPr="00EC0229">
        <w:fldChar w:fldCharType="end"/>
      </w:r>
      <w:r w:rsidRPr="00EC0229">
        <w:t xml:space="preserve"> </w:t>
      </w:r>
      <w:r w:rsidR="00EE160E" w:rsidRPr="00EC0229">
        <w:t xml:space="preserve">A, </w:t>
      </w:r>
      <w:r w:rsidRPr="00EC0229">
        <w:t>B</w:t>
      </w:r>
      <w:r w:rsidR="002A2776" w:rsidRPr="00EC0229">
        <w:t xml:space="preserve"> (two</w:t>
      </w:r>
      <w:r w:rsidR="00EE160E" w:rsidRPr="00EC0229">
        <w:t>)</w:t>
      </w:r>
      <w:r w:rsidRPr="00EC0229">
        <w:t xml:space="preserve"> </w:t>
      </w:r>
      <w:r w:rsidR="00862F15" w:rsidRPr="00EC0229">
        <w:t>and</w:t>
      </w:r>
      <w:r w:rsidR="00EE160E" w:rsidRPr="00EC0229">
        <w:t xml:space="preserve"> F (</w:t>
      </w:r>
      <w:r w:rsidR="002A2776" w:rsidRPr="00EC0229">
        <w:t>two</w:t>
      </w:r>
      <w:r w:rsidR="00EE160E" w:rsidRPr="00EC0229">
        <w:t>), and Continental D (</w:t>
      </w:r>
      <w:r w:rsidR="002A2776" w:rsidRPr="00EC0229">
        <w:t>five</w:t>
      </w:r>
      <w:r w:rsidR="00EE160E" w:rsidRPr="00EC0229">
        <w:t>), E (</w:t>
      </w:r>
      <w:r w:rsidR="002A2776" w:rsidRPr="00EC0229">
        <w:t>four</w:t>
      </w:r>
      <w:r w:rsidRPr="00EC0229">
        <w:t>)</w:t>
      </w:r>
      <w:r w:rsidR="00EE160E" w:rsidRPr="00EC0229">
        <w:t>, X</w:t>
      </w:r>
      <w:r w:rsidRPr="00EC0229">
        <w:t xml:space="preserve"> </w:t>
      </w:r>
      <w:r w:rsidR="00862F15" w:rsidRPr="00EC0229">
        <w:t>and</w:t>
      </w:r>
      <w:r w:rsidRPr="00EC0229">
        <w:t xml:space="preserve"> G</w:t>
      </w:r>
      <w:r w:rsidR="00EE160E" w:rsidRPr="00EC0229">
        <w:t xml:space="preserve"> (</w:t>
      </w:r>
      <w:r w:rsidR="002A2776" w:rsidRPr="00EC0229">
        <w:t>two</w:t>
      </w:r>
      <w:r w:rsidR="00EE160E" w:rsidRPr="00EC0229">
        <w:t>)</w:t>
      </w:r>
      <w:r w:rsidR="00173172" w:rsidRPr="00EC0229">
        <w:t>, [4c/5c]</w:t>
      </w:r>
      <w:r w:rsidR="00EE160E" w:rsidRPr="00EC0229">
        <w:t>. There are six</w:t>
      </w:r>
      <w:r w:rsidRPr="00EC0229">
        <w:t xml:space="preserve"> Series J coins</w:t>
      </w:r>
      <w:r w:rsidR="00EE160E" w:rsidRPr="00EC0229">
        <w:t xml:space="preserve"> (types 85 &amp; 37)</w:t>
      </w:r>
      <w:r w:rsidR="00173172" w:rsidRPr="00EC0229">
        <w:t>, [5a]</w:t>
      </w:r>
      <w:r w:rsidRPr="00EC0229">
        <w:t>, one in near pristine condition</w:t>
      </w:r>
      <w:r w:rsidR="00DD2F24" w:rsidRPr="00EC0229">
        <w:t>, possibly indicating proximity to source</w:t>
      </w:r>
      <w:r w:rsidRPr="00EC0229">
        <w:t xml:space="preserve">. Represented among the secondary phase sceats are </w:t>
      </w:r>
      <w:r w:rsidR="00EE160E" w:rsidRPr="00EC0229">
        <w:t xml:space="preserve">Continental </w:t>
      </w:r>
      <w:r w:rsidRPr="00EC0229">
        <w:t>Series E</w:t>
      </w:r>
      <w:r w:rsidR="008344F3" w:rsidRPr="00EC0229">
        <w:fldChar w:fldCharType="begin"/>
      </w:r>
      <w:r w:rsidR="008344F3" w:rsidRPr="00EC0229">
        <w:instrText xml:space="preserve"> XE "Series E" </w:instrText>
      </w:r>
      <w:r w:rsidR="008344F3" w:rsidRPr="00EC0229">
        <w:fldChar w:fldCharType="end"/>
      </w:r>
      <w:r w:rsidRPr="00EC0229">
        <w:t xml:space="preserve"> (</w:t>
      </w:r>
      <w:r w:rsidR="002A2776" w:rsidRPr="00EC0229">
        <w:t>five</w:t>
      </w:r>
      <w:r w:rsidR="00EE160E" w:rsidRPr="00EC0229">
        <w:t>)</w:t>
      </w:r>
      <w:r w:rsidR="00173172" w:rsidRPr="00EC0229">
        <w:t>, [5c],</w:t>
      </w:r>
      <w:r w:rsidR="00EE160E" w:rsidRPr="00EC0229">
        <w:t xml:space="preserve"> an</w:t>
      </w:r>
      <w:r w:rsidR="002A2776" w:rsidRPr="00EC0229">
        <w:t xml:space="preserve">d </w:t>
      </w:r>
      <w:r w:rsidR="00572E51" w:rsidRPr="00EC0229">
        <w:t>Southumbria</w:t>
      </w:r>
      <w:r w:rsidR="002A2776" w:rsidRPr="00EC0229">
        <w:t>n N (two</w:t>
      </w:r>
      <w:r w:rsidR="00EE160E" w:rsidRPr="00EC0229">
        <w:t>), N/W</w:t>
      </w:r>
      <w:r w:rsidR="005515D8" w:rsidRPr="00EC0229">
        <w:rPr>
          <w:rStyle w:val="FootnoteReference"/>
        </w:rPr>
        <w:footnoteReference w:id="1003"/>
      </w:r>
      <w:r w:rsidR="002A2776" w:rsidRPr="00EC0229">
        <w:t>, R (three</w:t>
      </w:r>
      <w:r w:rsidR="00EE160E" w:rsidRPr="00EC0229">
        <w:t xml:space="preserve">), K/R and </w:t>
      </w:r>
      <w:r w:rsidRPr="00EC0229">
        <w:t>S</w:t>
      </w:r>
      <w:r w:rsidR="005515D8" w:rsidRPr="00EC0229">
        <w:rPr>
          <w:i/>
          <w:iCs/>
          <w:szCs w:val="24"/>
        </w:rPr>
        <w:t xml:space="preserve"> Plate</w:t>
      </w:r>
      <w:r w:rsidR="005515D8" w:rsidRPr="00EC0229">
        <w:rPr>
          <w:i/>
          <w:iCs/>
          <w:szCs w:val="24"/>
        </w:rPr>
        <w:fldChar w:fldCharType="begin"/>
      </w:r>
      <w:r w:rsidR="005515D8" w:rsidRPr="00EC0229">
        <w:instrText xml:space="preserve"> XE "</w:instrText>
      </w:r>
      <w:r w:rsidR="005515D8" w:rsidRPr="00EC0229">
        <w:rPr>
          <w:noProof/>
        </w:rPr>
        <w:instrText>Plate</w:instrText>
      </w:r>
      <w:r w:rsidR="005515D8" w:rsidRPr="00EC0229">
        <w:instrText xml:space="preserve">" </w:instrText>
      </w:r>
      <w:r w:rsidR="005515D8" w:rsidRPr="00EC0229">
        <w:rPr>
          <w:i/>
          <w:iCs/>
          <w:szCs w:val="24"/>
        </w:rPr>
        <w:fldChar w:fldCharType="end"/>
      </w:r>
      <w:r w:rsidR="005515D8" w:rsidRPr="00EC0229">
        <w:rPr>
          <w:i/>
          <w:iCs/>
          <w:szCs w:val="24"/>
        </w:rPr>
        <w:t xml:space="preserve"> </w:t>
      </w:r>
      <w:r w:rsidR="003A3CF9" w:rsidRPr="00EC0229">
        <w:rPr>
          <w:i/>
          <w:iCs/>
          <w:szCs w:val="24"/>
        </w:rPr>
        <w:t>12</w:t>
      </w:r>
      <w:r w:rsidR="00173172" w:rsidRPr="00EC0229">
        <w:rPr>
          <w:iCs/>
          <w:szCs w:val="24"/>
        </w:rPr>
        <w:t>, [5b]</w:t>
      </w:r>
      <w:r w:rsidR="005515D8" w:rsidRPr="00EC0229">
        <w:rPr>
          <w:i/>
          <w:iCs/>
          <w:szCs w:val="24"/>
        </w:rPr>
        <w:t>.</w:t>
      </w:r>
      <w:r w:rsidR="005515D8" w:rsidRPr="00EC0229">
        <w:t xml:space="preserve"> Two of these exotic species, both typically poor, are at </w:t>
      </w:r>
      <w:r w:rsidR="005515D8" w:rsidRPr="00EC0229">
        <w:fldChar w:fldCharType="begin"/>
      </w:r>
      <w:r w:rsidR="005515D8" w:rsidRPr="00EC0229">
        <w:instrText xml:space="preserve"> REF _Ref430248635 \h  \* MERGEFORMAT </w:instrText>
      </w:r>
      <w:r w:rsidR="005515D8" w:rsidRPr="00EC0229">
        <w:fldChar w:fldCharType="separate"/>
      </w:r>
      <w:r w:rsidR="0012026B" w:rsidRPr="00EC0229">
        <w:rPr>
          <w:i/>
        </w:rPr>
        <w:t>Figure</w:t>
      </w:r>
      <w:r w:rsidR="0012026B" w:rsidRPr="0012026B">
        <w:t xml:space="preserve"> </w:t>
      </w:r>
      <w:r w:rsidR="0012026B" w:rsidRPr="0012026B">
        <w:rPr>
          <w:noProof/>
        </w:rPr>
        <w:t>102</w:t>
      </w:r>
      <w:r w:rsidR="005515D8" w:rsidRPr="00EC0229">
        <w:fldChar w:fldCharType="end"/>
      </w:r>
      <w:r w:rsidR="005515D8" w:rsidRPr="00EC0229">
        <w:t xml:space="preserve">. The twenty-one Northumbrian sceats include </w:t>
      </w:r>
      <w:r w:rsidRPr="00EC0229">
        <w:t>Eadberht</w:t>
      </w:r>
      <w:r w:rsidR="00D142DC" w:rsidRPr="00EC0229">
        <w:fldChar w:fldCharType="begin"/>
      </w:r>
      <w:r w:rsidR="00D142DC" w:rsidRPr="00EC0229">
        <w:instrText xml:space="preserve"> XE "Eadberht" </w:instrText>
      </w:r>
      <w:r w:rsidR="00D142DC" w:rsidRPr="00EC0229">
        <w:fldChar w:fldCharType="end"/>
      </w:r>
      <w:r w:rsidRPr="00EC0229">
        <w:t xml:space="preserve"> </w:t>
      </w:r>
      <w:r w:rsidR="002A2776" w:rsidRPr="00EC0229">
        <w:t>(nine</w:t>
      </w:r>
      <w:r w:rsidR="005515D8" w:rsidRPr="00EC0229">
        <w:t>), Ead</w:t>
      </w:r>
      <w:r w:rsidR="002A2776" w:rsidRPr="00EC0229">
        <w:t>berht &amp; Ecgberht (one</w:t>
      </w:r>
      <w:r w:rsidR="005515D8" w:rsidRPr="00EC0229">
        <w:t xml:space="preserve">) </w:t>
      </w:r>
      <w:r w:rsidRPr="00EC0229">
        <w:t>and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II </w:t>
      </w:r>
      <w:r w:rsidR="002A2776" w:rsidRPr="00EC0229">
        <w:t>(eleven</w:t>
      </w:r>
      <w:r w:rsidR="005515D8" w:rsidRPr="00EC0229">
        <w:t>)</w:t>
      </w:r>
      <w:r w:rsidR="00173172" w:rsidRPr="00EC0229">
        <w:t>, [N6-8]</w:t>
      </w:r>
      <w:r w:rsidRPr="00EC0229">
        <w:t xml:space="preserve">. </w:t>
      </w:r>
    </w:p>
    <w:p w14:paraId="5B3388D6"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48747585" wp14:editId="36CD4C4E">
            <wp:extent cx="1645920" cy="70710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W-N mule.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673475" cy="718945"/>
                    </a:xfrm>
                    <a:prstGeom prst="rect">
                      <a:avLst/>
                    </a:prstGeom>
                  </pic:spPr>
                </pic:pic>
              </a:graphicData>
            </a:graphic>
          </wp:inline>
        </w:drawing>
      </w:r>
      <w:r w:rsidRPr="00EC0229">
        <w:tab/>
      </w:r>
      <w:r w:rsidRPr="00EC0229">
        <w:tab/>
      </w:r>
      <w:r w:rsidRPr="00EC0229">
        <w:rPr>
          <w:noProof/>
          <w:lang w:eastAsia="en-GB"/>
        </w:rPr>
        <w:drawing>
          <wp:inline distT="0" distB="0" distL="0" distR="0" wp14:anchorId="7CF50FC5" wp14:editId="606AE4B0">
            <wp:extent cx="754380" cy="758350"/>
            <wp:effectExtent l="0" t="0" r="762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erpent o.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769983" cy="774035"/>
                    </a:xfrm>
                    <a:prstGeom prst="rect">
                      <a:avLst/>
                    </a:prstGeom>
                  </pic:spPr>
                </pic:pic>
              </a:graphicData>
            </a:graphic>
          </wp:inline>
        </w:drawing>
      </w:r>
      <w:r w:rsidRPr="00EC0229">
        <w:rPr>
          <w:noProof/>
          <w:lang w:eastAsia="en-GB"/>
        </w:rPr>
        <w:drawing>
          <wp:inline distT="0" distB="0" distL="0" distR="0" wp14:anchorId="7FD411F8" wp14:editId="05C255BA">
            <wp:extent cx="747117" cy="763628"/>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erpent r.jpg"/>
                    <pic:cNvPicPr/>
                  </pic:nvPicPr>
                  <pic:blipFill>
                    <a:blip r:embed="rId330">
                      <a:extLst>
                        <a:ext uri="{28A0092B-C50C-407E-A947-70E740481C1C}">
                          <a14:useLocalDpi xmlns:a14="http://schemas.microsoft.com/office/drawing/2010/main" val="0"/>
                        </a:ext>
                      </a:extLst>
                    </a:blip>
                    <a:stretch>
                      <a:fillRect/>
                    </a:stretch>
                  </pic:blipFill>
                  <pic:spPr>
                    <a:xfrm>
                      <a:off x="0" y="0"/>
                      <a:ext cx="769189" cy="786187"/>
                    </a:xfrm>
                    <a:prstGeom prst="rect">
                      <a:avLst/>
                    </a:prstGeom>
                  </pic:spPr>
                </pic:pic>
              </a:graphicData>
            </a:graphic>
          </wp:inline>
        </w:drawing>
      </w:r>
    </w:p>
    <w:p w14:paraId="0C6903D6" w14:textId="6AE949DC" w:rsidR="00565E13" w:rsidRPr="00EC0229" w:rsidRDefault="00C531DD" w:rsidP="007600EA">
      <w:pPr>
        <w:pStyle w:val="NoSpacing"/>
        <w:spacing w:line="360" w:lineRule="auto"/>
        <w:jc w:val="center"/>
        <w:rPr>
          <w:sz w:val="20"/>
          <w:szCs w:val="20"/>
        </w:rPr>
      </w:pPr>
      <w:bookmarkStart w:id="654" w:name="_Ref430248635"/>
      <w:bookmarkStart w:id="655" w:name="_Toc468267074"/>
      <w:r w:rsidRPr="00EC0229">
        <w:rPr>
          <w:i/>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102</w:t>
      </w:r>
      <w:r w:rsidR="00B609E3" w:rsidRPr="00EC0229">
        <w:rPr>
          <w:sz w:val="20"/>
          <w:szCs w:val="20"/>
        </w:rPr>
        <w:fldChar w:fldCharType="end"/>
      </w:r>
      <w:bookmarkEnd w:id="654"/>
      <w:r w:rsidR="008A3BF9" w:rsidRPr="00EC0229">
        <w:rPr>
          <w:sz w:val="20"/>
          <w:szCs w:val="20"/>
        </w:rPr>
        <w:t xml:space="preserve">: </w:t>
      </w:r>
      <w:r w:rsidR="00854613" w:rsidRPr="00EC0229">
        <w:rPr>
          <w:sz w:val="20"/>
          <w:szCs w:val="20"/>
        </w:rPr>
        <w:t xml:space="preserve">Exotic species from </w:t>
      </w:r>
      <w:r w:rsidR="005F1EAF" w:rsidRPr="005F1EAF">
        <w:rPr>
          <w:sz w:val="20"/>
          <w:szCs w:val="20"/>
        </w:rPr>
        <w:t>‘Site C’</w:t>
      </w:r>
      <w:r w:rsidR="006B1593" w:rsidRPr="00EC0229">
        <w:rPr>
          <w:sz w:val="20"/>
          <w:szCs w:val="20"/>
        </w:rPr>
        <w:fldChar w:fldCharType="begin"/>
      </w:r>
      <w:r w:rsidR="006B1593" w:rsidRPr="00EC0229">
        <w:rPr>
          <w:sz w:val="20"/>
          <w:szCs w:val="20"/>
        </w:rPr>
        <w:instrText xml:space="preserve"> XE "Bolton" </w:instrText>
      </w:r>
      <w:r w:rsidR="006B1593" w:rsidRPr="00EC0229">
        <w:rPr>
          <w:sz w:val="20"/>
          <w:szCs w:val="20"/>
        </w:rPr>
        <w:fldChar w:fldCharType="end"/>
      </w:r>
      <w:r w:rsidR="00854613" w:rsidRPr="00EC0229">
        <w:rPr>
          <w:sz w:val="20"/>
          <w:szCs w:val="20"/>
        </w:rPr>
        <w:t>: L: W/N mule. R: Serpent type</w:t>
      </w:r>
      <w:bookmarkEnd w:id="655"/>
    </w:p>
    <w:p w14:paraId="6315730D" w14:textId="5544E23F" w:rsidR="00854613" w:rsidRPr="00EC0229" w:rsidRDefault="00011DE7" w:rsidP="007600EA">
      <w:pPr>
        <w:pStyle w:val="NoSpacing"/>
        <w:spacing w:line="360" w:lineRule="auto"/>
        <w:jc w:val="center"/>
        <w:rPr>
          <w:i/>
          <w:sz w:val="20"/>
          <w:szCs w:val="20"/>
        </w:rPr>
      </w:pPr>
      <w:r w:rsidRPr="00EC0229">
        <w:rPr>
          <w:sz w:val="20"/>
          <w:szCs w:val="20"/>
        </w:rPr>
        <w:t>(Courtesy</w:t>
      </w:r>
      <w:r w:rsidR="00EC3149" w:rsidRPr="00EC0229">
        <w:rPr>
          <w:sz w:val="20"/>
          <w:szCs w:val="20"/>
        </w:rPr>
        <w:t xml:space="preserve"> A.</w:t>
      </w:r>
      <w:r w:rsidR="00854613" w:rsidRPr="00EC0229">
        <w:rPr>
          <w:sz w:val="20"/>
          <w:szCs w:val="20"/>
        </w:rPr>
        <w:t xml:space="preserve"> Laverack)</w:t>
      </w:r>
    </w:p>
    <w:p w14:paraId="70D249E8" w14:textId="77777777" w:rsidR="00C531DD" w:rsidRPr="00EC0229" w:rsidRDefault="00C531DD" w:rsidP="007600EA">
      <w:pPr>
        <w:pStyle w:val="NoSpacing"/>
        <w:spacing w:line="360" w:lineRule="auto"/>
      </w:pPr>
    </w:p>
    <w:p w14:paraId="48EB967C" w14:textId="20EDDB4E" w:rsidR="00854613" w:rsidRPr="00EC0229" w:rsidRDefault="00854613" w:rsidP="007600EA">
      <w:pPr>
        <w:pStyle w:val="NoSpacing"/>
        <w:spacing w:line="360" w:lineRule="auto"/>
        <w:rPr>
          <w:szCs w:val="24"/>
        </w:rPr>
      </w:pPr>
      <w:r w:rsidRPr="00EC0229">
        <w:rPr>
          <w:szCs w:val="24"/>
        </w:rPr>
        <w:t xml:space="preserve">This </w:t>
      </w:r>
      <w:r w:rsidR="00673D3A" w:rsidRPr="00EC0229">
        <w:rPr>
          <w:szCs w:val="24"/>
        </w:rPr>
        <w:t xml:space="preserve">volume and </w:t>
      </w:r>
      <w:r w:rsidRPr="00EC0229">
        <w:rPr>
          <w:szCs w:val="24"/>
        </w:rPr>
        <w:t>wide mix of varieties</w:t>
      </w:r>
      <w:r w:rsidR="00437124" w:rsidRPr="00EC0229">
        <w:rPr>
          <w:szCs w:val="24"/>
        </w:rPr>
        <w:t xml:space="preserve"> </w:t>
      </w:r>
      <w:r w:rsidRPr="00EC0229">
        <w:rPr>
          <w:szCs w:val="24"/>
        </w:rPr>
        <w:t>shows that this settlement</w:t>
      </w:r>
      <w:r w:rsidR="00D142DC" w:rsidRPr="00EC0229">
        <w:rPr>
          <w:szCs w:val="24"/>
        </w:rPr>
        <w:fldChar w:fldCharType="begin"/>
      </w:r>
      <w:r w:rsidR="00D142DC" w:rsidRPr="00EC0229">
        <w:instrText xml:space="preserve"> XE "settlement" </w:instrText>
      </w:r>
      <w:r w:rsidR="00D142DC" w:rsidRPr="00EC0229">
        <w:rPr>
          <w:szCs w:val="24"/>
        </w:rPr>
        <w:fldChar w:fldCharType="end"/>
      </w:r>
      <w:r w:rsidRPr="00EC0229">
        <w:rPr>
          <w:szCs w:val="24"/>
        </w:rPr>
        <w:t xml:space="preserve"> enjoyed active and wide trading relationships. This is a site of no obvious strategic advantage. That it should have produced such a rich variety of finds is instructive.</w:t>
      </w:r>
      <w:r w:rsidR="00437124" w:rsidRPr="00EC0229">
        <w:rPr>
          <w:szCs w:val="24"/>
        </w:rPr>
        <w:t xml:space="preserve"> </w:t>
      </w:r>
      <w:r w:rsidR="00626F81" w:rsidRPr="00EC0229">
        <w:rPr>
          <w:szCs w:val="24"/>
        </w:rPr>
        <w:t>Curiously only sixteen stycas have been found</w:t>
      </w:r>
      <w:r w:rsidR="009D0C59" w:rsidRPr="00EC0229">
        <w:rPr>
          <w:szCs w:val="24"/>
        </w:rPr>
        <w:t>, probably all dating to before 850,</w:t>
      </w:r>
      <w:r w:rsidR="009D0C59" w:rsidRPr="00EC0229">
        <w:rPr>
          <w:rStyle w:val="FootnoteReference"/>
          <w:szCs w:val="24"/>
        </w:rPr>
        <w:footnoteReference w:id="1004"/>
      </w:r>
      <w:r w:rsidR="00626F81" w:rsidRPr="00EC0229">
        <w:rPr>
          <w:szCs w:val="24"/>
        </w:rPr>
        <w:t xml:space="preserve"> but c</w:t>
      </w:r>
      <w:r w:rsidR="00437124" w:rsidRPr="00EC0229">
        <w:rPr>
          <w:szCs w:val="24"/>
        </w:rPr>
        <w:t xml:space="preserve">ontinuity </w:t>
      </w:r>
      <w:r w:rsidR="00626F81" w:rsidRPr="00EC0229">
        <w:rPr>
          <w:szCs w:val="24"/>
        </w:rPr>
        <w:t xml:space="preserve">of use </w:t>
      </w:r>
      <w:r w:rsidR="00437124" w:rsidRPr="00EC0229">
        <w:rPr>
          <w:szCs w:val="24"/>
        </w:rPr>
        <w:t xml:space="preserve">is also apparent as finds </w:t>
      </w:r>
      <w:r w:rsidR="009D0C59" w:rsidRPr="00EC0229">
        <w:rPr>
          <w:szCs w:val="24"/>
        </w:rPr>
        <w:t>include</w:t>
      </w:r>
      <w:r w:rsidR="00437124" w:rsidRPr="00EC0229">
        <w:rPr>
          <w:szCs w:val="24"/>
        </w:rPr>
        <w:t xml:space="preserve"> late Anglo-Saxon, Viking and Norman periods to the twelfth century.</w:t>
      </w:r>
    </w:p>
    <w:p w14:paraId="10F8E7F2" w14:textId="77777777" w:rsidR="00854613" w:rsidRPr="00EC0229" w:rsidRDefault="00854613" w:rsidP="007600EA">
      <w:pPr>
        <w:pStyle w:val="NoSpacing"/>
        <w:spacing w:line="360" w:lineRule="auto"/>
      </w:pPr>
    </w:p>
    <w:p w14:paraId="44994DAC" w14:textId="4E453EA6" w:rsidR="00D677E7" w:rsidRPr="007A3166" w:rsidRDefault="00D677E7" w:rsidP="00C97BF2">
      <w:pPr>
        <w:pStyle w:val="Heading4"/>
        <w:spacing w:line="360" w:lineRule="auto"/>
        <w:rPr>
          <w:b/>
        </w:rPr>
      </w:pPr>
      <w:bookmarkStart w:id="656" w:name="_Toc468266881"/>
      <w:bookmarkStart w:id="657" w:name="Yapham"/>
      <w:r w:rsidRPr="007A3166">
        <w:rPr>
          <w:b/>
        </w:rPr>
        <w:t>Pocklington</w:t>
      </w:r>
      <w:bookmarkEnd w:id="656"/>
      <w:r w:rsidRPr="007A3166">
        <w:rPr>
          <w:b/>
        </w:rPr>
        <w:fldChar w:fldCharType="begin"/>
      </w:r>
      <w:r w:rsidRPr="007A3166">
        <w:rPr>
          <w:b/>
        </w:rPr>
        <w:instrText xml:space="preserve"> XE "</w:instrText>
      </w:r>
      <w:r w:rsidRPr="007A3166">
        <w:rPr>
          <w:rStyle w:val="Hyperlink"/>
          <w:b/>
          <w:noProof/>
          <w:u w:val="none"/>
        </w:rPr>
        <w:instrText>Pocklington</w:instrText>
      </w:r>
      <w:r w:rsidRPr="007A3166">
        <w:rPr>
          <w:b/>
        </w:rPr>
        <w:instrText xml:space="preserve">" </w:instrText>
      </w:r>
      <w:r w:rsidRPr="007A3166">
        <w:rPr>
          <w:b/>
        </w:rPr>
        <w:fldChar w:fldCharType="end"/>
      </w:r>
    </w:p>
    <w:p w14:paraId="48459880" w14:textId="29EA6208" w:rsidR="00D677E7" w:rsidRPr="00EC0229" w:rsidRDefault="00D677E7" w:rsidP="007600EA">
      <w:pPr>
        <w:pStyle w:val="NoSpacing"/>
        <w:spacing w:line="360" w:lineRule="auto"/>
      </w:pPr>
      <w:r w:rsidRPr="00EC0229">
        <w:t>Pocklington</w:t>
      </w:r>
      <w:r w:rsidRPr="00EC0229">
        <w:fldChar w:fldCharType="begin"/>
      </w:r>
      <w:r w:rsidRPr="00EC0229">
        <w:instrText xml:space="preserve"> XE "</w:instrText>
      </w:r>
      <w:r w:rsidRPr="00EC0229">
        <w:rPr>
          <w:rStyle w:val="Hyperlink"/>
          <w:noProof/>
          <w:u w:val="none"/>
        </w:rPr>
        <w:instrText>Pocklington</w:instrText>
      </w:r>
      <w:r w:rsidRPr="00EC0229">
        <w:instrText xml:space="preserve">" </w:instrText>
      </w:r>
      <w:r w:rsidRPr="00EC0229">
        <w:fldChar w:fldCharType="end"/>
      </w:r>
      <w:r w:rsidRPr="00EC0229">
        <w:t xml:space="preserve"> lies on the western edge of the Wolds</w:t>
      </w:r>
      <w:r w:rsidRPr="00EC0229">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fldChar w:fldCharType="end"/>
      </w:r>
      <w:r w:rsidRPr="00EC0229">
        <w:t>, north of the Roman</w:t>
      </w:r>
      <w:r w:rsidRPr="00EC0229">
        <w:fldChar w:fldCharType="begin"/>
      </w:r>
      <w:r w:rsidRPr="00EC0229">
        <w:instrText xml:space="preserve"> XE "Roman" </w:instrText>
      </w:r>
      <w:r w:rsidRPr="00EC0229">
        <w:fldChar w:fldCharType="end"/>
      </w:r>
      <w:r w:rsidRPr="00EC0229">
        <w:t xml:space="preserve"> Road from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to Beverley</w:t>
      </w:r>
      <w:r w:rsidRPr="00EC0229">
        <w:fldChar w:fldCharType="begin"/>
      </w:r>
      <w:r w:rsidRPr="00EC0229">
        <w:instrText xml:space="preserve"> XE "</w:instrText>
      </w:r>
      <w:r w:rsidRPr="00EC0229">
        <w:rPr>
          <w:rStyle w:val="Hyperlink"/>
          <w:noProof/>
          <w:u w:val="none"/>
        </w:rPr>
        <w:instrText>Beverley</w:instrText>
      </w:r>
      <w:r w:rsidRPr="00EC0229">
        <w:instrText xml:space="preserve">" </w:instrText>
      </w:r>
      <w:r w:rsidRPr="00EC0229">
        <w:fldChar w:fldCharType="end"/>
      </w:r>
      <w:r w:rsidRPr="00EC0229">
        <w:t>. Productive fields on the northern edge of the modern town, between The Mile and Pocklington Beck have produced significant numbers of sceats and stycas, not all of which have yet permeated the formal recording system. Two entries to PAS</w:t>
      </w:r>
      <w:r w:rsidRPr="00EC0229">
        <w:fldChar w:fldCharType="begin"/>
      </w:r>
      <w:r w:rsidRPr="00EC0229">
        <w:instrText xml:space="preserve"> XE "PAS" </w:instrText>
      </w:r>
      <w:r w:rsidRPr="00EC0229">
        <w:fldChar w:fldCharType="end"/>
      </w:r>
      <w:r w:rsidRPr="00EC0229">
        <w:t xml:space="preserve"> of a primary Series</w:t>
      </w:r>
      <w:r w:rsidRPr="00EC0229">
        <w:fldChar w:fldCharType="begin"/>
      </w:r>
      <w:r w:rsidRPr="00EC0229">
        <w:instrText xml:space="preserve"> XE "Series" </w:instrText>
      </w:r>
      <w:r w:rsidRPr="00EC0229">
        <w:fldChar w:fldCharType="end"/>
      </w:r>
      <w:r w:rsidRPr="00EC0229">
        <w:t xml:space="preserve"> D</w:t>
      </w:r>
      <w:r w:rsidRPr="00EC0229">
        <w:fldChar w:fldCharType="begin"/>
      </w:r>
      <w:r w:rsidRPr="00EC0229">
        <w:instrText xml:space="preserve"> XE "</w:instrText>
      </w:r>
      <w:r w:rsidRPr="00EC0229">
        <w:rPr>
          <w:szCs w:val="24"/>
        </w:rPr>
        <w:instrText>Series D</w:instrText>
      </w:r>
      <w:r w:rsidRPr="00EC0229">
        <w:instrText xml:space="preserve">" </w:instrText>
      </w:r>
      <w:r w:rsidRPr="00EC0229">
        <w:fldChar w:fldCharType="end"/>
      </w:r>
      <w:r w:rsidRPr="00EC0229">
        <w:t xml:space="preserve"> and a secondary </w:t>
      </w:r>
      <w:r w:rsidR="00572E51" w:rsidRPr="00EC0229">
        <w:t>Southumbria</w:t>
      </w:r>
      <w:r w:rsidRPr="00EC0229">
        <w:t>n Series O sceat are confused and have been discounted. This leaves four fantastic animal sceats (Eadberht</w:t>
      </w:r>
      <w:r w:rsidRPr="00EC0229">
        <w:fldChar w:fldCharType="begin"/>
      </w:r>
      <w:r w:rsidRPr="00EC0229">
        <w:instrText xml:space="preserve"> XE "Eadberht" </w:instrText>
      </w:r>
      <w:r w:rsidRPr="00EC0229">
        <w:fldChar w:fldCharType="end"/>
      </w:r>
      <w:r w:rsidRPr="00EC0229">
        <w:t xml:space="preserve"> three, Ælfwald</w:t>
      </w:r>
      <w:r w:rsidRPr="00EC0229">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fldChar w:fldCharType="end"/>
      </w:r>
      <w:r w:rsidRPr="00EC0229">
        <w:t xml:space="preserve"> I, one), [N6] and an Æthelred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 sceat by Tidwulf [N8] as the only specimens in the formal record. </w:t>
      </w:r>
      <w:bookmarkStart w:id="658" w:name="AR"/>
      <w:bookmarkEnd w:id="658"/>
      <w:r w:rsidRPr="00EC0229">
        <w:t xml:space="preserve">One of the Eadberht’s sceats was the first known of the variety with </w:t>
      </w:r>
      <w:r w:rsidRPr="00EC0229">
        <w:rPr>
          <w:i/>
        </w:rPr>
        <w:t>AR</w:t>
      </w:r>
      <w:r w:rsidRPr="00EC0229">
        <w:t xml:space="preserve"> on the reverse (</w:t>
      </w:r>
      <w:r w:rsidRPr="00EC0229">
        <w:fldChar w:fldCharType="begin"/>
      </w:r>
      <w:r w:rsidRPr="00EC0229">
        <w:instrText xml:space="preserve"> REF _Ref430248671 \h  \* MERGEFORMAT </w:instrText>
      </w:r>
      <w:r w:rsidRPr="00EC0229">
        <w:fldChar w:fldCharType="separate"/>
      </w:r>
      <w:r w:rsidR="0012026B" w:rsidRPr="0012026B">
        <w:rPr>
          <w:i/>
        </w:rPr>
        <w:t>Figure</w:t>
      </w:r>
      <w:r w:rsidR="0012026B" w:rsidRPr="0012026B">
        <w:t xml:space="preserve"> </w:t>
      </w:r>
      <w:r w:rsidR="0012026B" w:rsidRPr="0012026B">
        <w:rPr>
          <w:noProof/>
        </w:rPr>
        <w:t>103</w:t>
      </w:r>
      <w:r w:rsidRPr="00EC0229">
        <w:fldChar w:fldCharType="end"/>
      </w:r>
      <w:r w:rsidRPr="00EC0229">
        <w:t>),</w:t>
      </w:r>
      <w:r w:rsidRPr="00EC0229">
        <w:rPr>
          <w:rStyle w:val="FootnoteReference"/>
        </w:rPr>
        <w:footnoteReference w:id="1005"/>
      </w:r>
      <w:r w:rsidRPr="00EC0229">
        <w:t xml:space="preserve"> the only other specimen is from Rillington (</w:t>
      </w:r>
      <w:r w:rsidRPr="00EC0229">
        <w:fldChar w:fldCharType="begin"/>
      </w:r>
      <w:r w:rsidRPr="00EC0229">
        <w:instrText xml:space="preserve"> PAGEREF Rillington \h </w:instrText>
      </w:r>
      <w:r w:rsidRPr="00EC0229">
        <w:fldChar w:fldCharType="separate"/>
      </w:r>
      <w:r w:rsidR="0012026B">
        <w:rPr>
          <w:noProof/>
        </w:rPr>
        <w:t>269</w:t>
      </w:r>
      <w:r w:rsidRPr="00EC0229">
        <w:fldChar w:fldCharType="end"/>
      </w:r>
      <w:r w:rsidRPr="00EC0229">
        <w:t>)</w:t>
      </w:r>
      <w:r w:rsidRPr="00EC0229">
        <w:fldChar w:fldCharType="begin"/>
      </w:r>
      <w:r w:rsidRPr="00EC0229">
        <w:instrText xml:space="preserve"> XE "</w:instrText>
      </w:r>
      <w:r w:rsidRPr="00EC0229">
        <w:rPr>
          <w:rStyle w:val="Hyperlink"/>
          <w:noProof/>
          <w:u w:val="none"/>
        </w:rPr>
        <w:instrText>Rillington</w:instrText>
      </w:r>
      <w:r w:rsidRPr="00EC0229">
        <w:instrText xml:space="preserve">" </w:instrText>
      </w:r>
      <w:r w:rsidRPr="00EC0229">
        <w:fldChar w:fldCharType="end"/>
      </w:r>
      <w:r w:rsidRPr="00EC0229">
        <w:t>.</w:t>
      </w:r>
    </w:p>
    <w:p w14:paraId="30F8383F" w14:textId="77777777" w:rsidR="00D677E7" w:rsidRPr="00EC0229" w:rsidRDefault="00D677E7" w:rsidP="007600EA">
      <w:pPr>
        <w:spacing w:line="360" w:lineRule="auto"/>
        <w:jc w:val="center"/>
      </w:pPr>
      <w:r w:rsidRPr="00EC0229">
        <w:rPr>
          <w:noProof/>
          <w:lang w:eastAsia="en-GB"/>
        </w:rPr>
        <w:lastRenderedPageBreak/>
        <w:drawing>
          <wp:inline distT="0" distB="0" distL="0" distR="0" wp14:anchorId="476FDB0D" wp14:editId="293363A8">
            <wp:extent cx="807720" cy="801624"/>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ocklington 1996_0130obv.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807720" cy="801624"/>
                    </a:xfrm>
                    <a:prstGeom prst="rect">
                      <a:avLst/>
                    </a:prstGeom>
                  </pic:spPr>
                </pic:pic>
              </a:graphicData>
            </a:graphic>
          </wp:inline>
        </w:drawing>
      </w:r>
      <w:r w:rsidRPr="00EC0229">
        <w:rPr>
          <w:noProof/>
          <w:lang w:eastAsia="en-GB"/>
        </w:rPr>
        <w:drawing>
          <wp:inline distT="0" distB="0" distL="0" distR="0" wp14:anchorId="3382E705" wp14:editId="3FE56D21">
            <wp:extent cx="752856" cy="758952"/>
            <wp:effectExtent l="0" t="0" r="9525" b="317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ocklington 1996_0130rev.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752856" cy="758952"/>
                    </a:xfrm>
                    <a:prstGeom prst="rect">
                      <a:avLst/>
                    </a:prstGeom>
                  </pic:spPr>
                </pic:pic>
              </a:graphicData>
            </a:graphic>
          </wp:inline>
        </w:drawing>
      </w:r>
    </w:p>
    <w:p w14:paraId="3D92A93F" w14:textId="137DC74C" w:rsidR="00D677E7" w:rsidRPr="00EC0229" w:rsidRDefault="00D677E7" w:rsidP="007600EA">
      <w:pPr>
        <w:pStyle w:val="NoSpacing"/>
        <w:spacing w:line="360" w:lineRule="auto"/>
        <w:jc w:val="center"/>
        <w:rPr>
          <w:sz w:val="20"/>
          <w:szCs w:val="20"/>
        </w:rPr>
      </w:pPr>
      <w:bookmarkStart w:id="659" w:name="_Ref430248671"/>
      <w:bookmarkStart w:id="660" w:name="_Toc46826707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103</w:t>
      </w:r>
      <w:r w:rsidRPr="00EC0229">
        <w:rPr>
          <w:sz w:val="20"/>
          <w:szCs w:val="20"/>
        </w:rPr>
        <w:fldChar w:fldCharType="end"/>
      </w:r>
      <w:bookmarkEnd w:id="659"/>
      <w:r w:rsidRPr="00EC0229">
        <w:rPr>
          <w:sz w:val="20"/>
          <w:szCs w:val="20"/>
        </w:rPr>
        <w:t>: Pocklington</w:t>
      </w:r>
      <w:r w:rsidRPr="00EC0229">
        <w:rPr>
          <w:sz w:val="20"/>
          <w:szCs w:val="20"/>
        </w:rPr>
        <w:fldChar w:fldCharType="begin"/>
      </w:r>
      <w:r w:rsidRPr="00EC0229">
        <w:rPr>
          <w:sz w:val="20"/>
          <w:szCs w:val="20"/>
        </w:rPr>
        <w:instrText xml:space="preserve"> XE "Pocklington" </w:instrText>
      </w:r>
      <w:r w:rsidRPr="00EC0229">
        <w:rPr>
          <w:sz w:val="20"/>
          <w:szCs w:val="20"/>
        </w:rPr>
        <w:fldChar w:fldCharType="end"/>
      </w:r>
      <w:r w:rsidRPr="00EC0229">
        <w:rPr>
          <w:sz w:val="20"/>
          <w:szCs w:val="20"/>
        </w:rPr>
        <w:t>: AR variety</w:t>
      </w:r>
      <w:bookmarkEnd w:id="660"/>
    </w:p>
    <w:p w14:paraId="3E739FFE" w14:textId="77777777" w:rsidR="00D677E7" w:rsidRPr="00EC0229" w:rsidRDefault="00D677E7" w:rsidP="007600EA">
      <w:pPr>
        <w:pStyle w:val="NoSpacing"/>
        <w:spacing w:line="360" w:lineRule="auto"/>
      </w:pPr>
      <w:r w:rsidRPr="00EC0229">
        <w:t>A Series</w:t>
      </w:r>
      <w:r w:rsidRPr="00EC0229">
        <w:fldChar w:fldCharType="begin"/>
      </w:r>
      <w:r w:rsidRPr="00EC0229">
        <w:instrText xml:space="preserve"> XE "Series" </w:instrText>
      </w:r>
      <w:r w:rsidRPr="00EC0229">
        <w:fldChar w:fldCharType="end"/>
      </w:r>
      <w:r w:rsidRPr="00EC0229">
        <w:t xml:space="preserve"> Q</w:t>
      </w:r>
      <w:r w:rsidRPr="00EC0229">
        <w:fldChar w:fldCharType="begin"/>
      </w:r>
      <w:r w:rsidRPr="00EC0229">
        <w:instrText xml:space="preserve"> XE "Series Q" </w:instrText>
      </w:r>
      <w:r w:rsidRPr="00EC0229">
        <w:fldChar w:fldCharType="end"/>
      </w:r>
      <w:r w:rsidRPr="00EC0229">
        <w:t xml:space="preserve"> [5b] is thought to be from this site. Finds also include silver rich emissions of Eanred</w:t>
      </w:r>
      <w:r w:rsidRPr="00EC0229">
        <w:fldChar w:fldCharType="begin"/>
      </w:r>
      <w:r w:rsidRPr="00EC0229">
        <w:instrText xml:space="preserve"> XE "Eanred" </w:instrText>
      </w:r>
      <w:r w:rsidRPr="00EC0229">
        <w:fldChar w:fldCharType="end"/>
      </w:r>
      <w:r w:rsidRPr="00EC0229">
        <w:t xml:space="preserve"> [N9] and brass stycas of Eanred, Æthelred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II and Redwulf [N10a] but none of Osberht</w:t>
      </w:r>
      <w:r w:rsidRPr="00EC0229">
        <w:fldChar w:fldCharType="begin"/>
      </w:r>
      <w:r w:rsidRPr="00EC0229">
        <w:instrText xml:space="preserve"> XE "Osberht" </w:instrText>
      </w:r>
      <w:r w:rsidRPr="00EC0229">
        <w:fldChar w:fldCharType="end"/>
      </w:r>
      <w:r w:rsidRPr="00EC0229">
        <w:t xml:space="preserve"> and no legible episcopal issues.</w:t>
      </w:r>
    </w:p>
    <w:p w14:paraId="74CD9F66" w14:textId="77777777" w:rsidR="00D677E7" w:rsidRPr="00EC0229" w:rsidRDefault="00D677E7" w:rsidP="007600EA">
      <w:pPr>
        <w:pStyle w:val="NoSpacing"/>
        <w:spacing w:line="360" w:lineRule="auto"/>
        <w:ind w:firstLine="720"/>
        <w:jc w:val="center"/>
      </w:pPr>
      <w:r w:rsidRPr="00EC0229">
        <w:rPr>
          <w:noProof/>
          <w:lang w:eastAsia="en-GB"/>
        </w:rPr>
        <w:drawing>
          <wp:inline distT="0" distB="0" distL="0" distR="0" wp14:anchorId="5F985B4F" wp14:editId="72F3DB1C">
            <wp:extent cx="770422" cy="777240"/>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 v.g1 EMC 2015.0075.JPG"/>
                    <pic:cNvPicPr/>
                  </pic:nvPicPr>
                  <pic:blipFill>
                    <a:blip r:embed="rId333">
                      <a:extLst>
                        <a:ext uri="{28A0092B-C50C-407E-A947-70E740481C1C}">
                          <a14:useLocalDpi xmlns:a14="http://schemas.microsoft.com/office/drawing/2010/main" val="0"/>
                        </a:ext>
                      </a:extLst>
                    </a:blip>
                    <a:stretch>
                      <a:fillRect/>
                    </a:stretch>
                  </pic:blipFill>
                  <pic:spPr>
                    <a:xfrm>
                      <a:off x="0" y="0"/>
                      <a:ext cx="776603" cy="783476"/>
                    </a:xfrm>
                    <a:prstGeom prst="rect">
                      <a:avLst/>
                    </a:prstGeom>
                  </pic:spPr>
                </pic:pic>
              </a:graphicData>
            </a:graphic>
          </wp:inline>
        </w:drawing>
      </w:r>
      <w:r w:rsidRPr="00EC0229">
        <w:rPr>
          <w:noProof/>
          <w:lang w:eastAsia="en-GB"/>
        </w:rPr>
        <w:drawing>
          <wp:inline distT="0" distB="0" distL="0" distR="0" wp14:anchorId="1029B337" wp14:editId="2ACD0A24">
            <wp:extent cx="740463" cy="779780"/>
            <wp:effectExtent l="0" t="0" r="2540" b="127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 v.g1 R EMC 2015.0075.JPG"/>
                    <pic:cNvPicPr/>
                  </pic:nvPicPr>
                  <pic:blipFill>
                    <a:blip r:embed="rId334">
                      <a:extLst>
                        <a:ext uri="{28A0092B-C50C-407E-A947-70E740481C1C}">
                          <a14:useLocalDpi xmlns:a14="http://schemas.microsoft.com/office/drawing/2010/main" val="0"/>
                        </a:ext>
                      </a:extLst>
                    </a:blip>
                    <a:stretch>
                      <a:fillRect/>
                    </a:stretch>
                  </pic:blipFill>
                  <pic:spPr>
                    <a:xfrm>
                      <a:off x="0" y="0"/>
                      <a:ext cx="748167" cy="787893"/>
                    </a:xfrm>
                    <a:prstGeom prst="rect">
                      <a:avLst/>
                    </a:prstGeom>
                  </pic:spPr>
                </pic:pic>
              </a:graphicData>
            </a:graphic>
          </wp:inline>
        </w:drawing>
      </w:r>
      <w:r w:rsidRPr="00EC0229">
        <w:tab/>
      </w:r>
      <w:r w:rsidRPr="00EC0229">
        <w:rPr>
          <w:noProof/>
          <w:lang w:eastAsia="en-GB"/>
        </w:rPr>
        <w:drawing>
          <wp:inline distT="0" distB="0" distL="0" distR="0" wp14:anchorId="170AD3A8" wp14:editId="15669FF0">
            <wp:extent cx="836458" cy="777240"/>
            <wp:effectExtent l="0" t="0" r="1905"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X EMC 2015.0074.jpg"/>
                    <pic:cNvPicPr/>
                  </pic:nvPicPr>
                  <pic:blipFill>
                    <a:blip r:embed="rId335">
                      <a:extLst>
                        <a:ext uri="{28A0092B-C50C-407E-A947-70E740481C1C}">
                          <a14:useLocalDpi xmlns:a14="http://schemas.microsoft.com/office/drawing/2010/main" val="0"/>
                        </a:ext>
                      </a:extLst>
                    </a:blip>
                    <a:stretch>
                      <a:fillRect/>
                    </a:stretch>
                  </pic:blipFill>
                  <pic:spPr>
                    <a:xfrm>
                      <a:off x="0" y="0"/>
                      <a:ext cx="842538" cy="782890"/>
                    </a:xfrm>
                    <a:prstGeom prst="rect">
                      <a:avLst/>
                    </a:prstGeom>
                  </pic:spPr>
                </pic:pic>
              </a:graphicData>
            </a:graphic>
          </wp:inline>
        </w:drawing>
      </w:r>
      <w:r w:rsidRPr="00EC0229">
        <w:rPr>
          <w:noProof/>
          <w:lang w:eastAsia="en-GB"/>
        </w:rPr>
        <w:drawing>
          <wp:inline distT="0" distB="0" distL="0" distR="0" wp14:anchorId="1D126DBE" wp14:editId="6708C44C">
            <wp:extent cx="781617" cy="774700"/>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X R EMC 2015.0074.jpg"/>
                    <pic:cNvPicPr/>
                  </pic:nvPicPr>
                  <pic:blipFill>
                    <a:blip r:embed="rId336">
                      <a:extLst>
                        <a:ext uri="{28A0092B-C50C-407E-A947-70E740481C1C}">
                          <a14:useLocalDpi xmlns:a14="http://schemas.microsoft.com/office/drawing/2010/main" val="0"/>
                        </a:ext>
                      </a:extLst>
                    </a:blip>
                    <a:stretch>
                      <a:fillRect/>
                    </a:stretch>
                  </pic:blipFill>
                  <pic:spPr>
                    <a:xfrm>
                      <a:off x="0" y="0"/>
                      <a:ext cx="792679" cy="785664"/>
                    </a:xfrm>
                    <a:prstGeom prst="rect">
                      <a:avLst/>
                    </a:prstGeom>
                  </pic:spPr>
                </pic:pic>
              </a:graphicData>
            </a:graphic>
          </wp:inline>
        </w:drawing>
      </w:r>
      <w:r w:rsidRPr="00EC0229">
        <w:tab/>
      </w:r>
      <w:r w:rsidRPr="00EC0229">
        <w:rPr>
          <w:noProof/>
          <w:lang w:eastAsia="en-GB"/>
        </w:rPr>
        <w:drawing>
          <wp:inline distT="0" distB="0" distL="0" distR="0" wp14:anchorId="565F933D" wp14:editId="2BA08020">
            <wp:extent cx="823506" cy="779780"/>
            <wp:effectExtent l="0" t="0" r="0" b="127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 11-40v EMC 2015.0076.JPG"/>
                    <pic:cNvPicPr/>
                  </pic:nvPicPr>
                  <pic:blipFill>
                    <a:blip r:embed="rId337">
                      <a:extLst>
                        <a:ext uri="{28A0092B-C50C-407E-A947-70E740481C1C}">
                          <a14:useLocalDpi xmlns:a14="http://schemas.microsoft.com/office/drawing/2010/main" val="0"/>
                        </a:ext>
                      </a:extLst>
                    </a:blip>
                    <a:stretch>
                      <a:fillRect/>
                    </a:stretch>
                  </pic:blipFill>
                  <pic:spPr>
                    <a:xfrm>
                      <a:off x="0" y="0"/>
                      <a:ext cx="832442" cy="788241"/>
                    </a:xfrm>
                    <a:prstGeom prst="rect">
                      <a:avLst/>
                    </a:prstGeom>
                  </pic:spPr>
                </pic:pic>
              </a:graphicData>
            </a:graphic>
          </wp:inline>
        </w:drawing>
      </w:r>
      <w:r w:rsidRPr="00EC0229">
        <w:rPr>
          <w:noProof/>
          <w:lang w:eastAsia="en-GB"/>
        </w:rPr>
        <w:drawing>
          <wp:inline distT="0" distB="0" distL="0" distR="0" wp14:anchorId="476013DB" wp14:editId="4BE6964B">
            <wp:extent cx="788741" cy="753841"/>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R 11-40v R EMC 2015.0076.JPG"/>
                    <pic:cNvPicPr/>
                  </pic:nvPicPr>
                  <pic:blipFill>
                    <a:blip r:embed="rId338">
                      <a:extLst>
                        <a:ext uri="{28A0092B-C50C-407E-A947-70E740481C1C}">
                          <a14:useLocalDpi xmlns:a14="http://schemas.microsoft.com/office/drawing/2010/main" val="0"/>
                        </a:ext>
                      </a:extLst>
                    </a:blip>
                    <a:stretch>
                      <a:fillRect/>
                    </a:stretch>
                  </pic:blipFill>
                  <pic:spPr>
                    <a:xfrm>
                      <a:off x="0" y="0"/>
                      <a:ext cx="794719" cy="759555"/>
                    </a:xfrm>
                    <a:prstGeom prst="rect">
                      <a:avLst/>
                    </a:prstGeom>
                  </pic:spPr>
                </pic:pic>
              </a:graphicData>
            </a:graphic>
          </wp:inline>
        </w:drawing>
      </w:r>
    </w:p>
    <w:p w14:paraId="0F68FAE0" w14:textId="2733071F" w:rsidR="00D677E7" w:rsidRPr="00EC0229" w:rsidRDefault="00D677E7" w:rsidP="007600EA">
      <w:pPr>
        <w:spacing w:line="360" w:lineRule="auto"/>
        <w:jc w:val="center"/>
        <w:rPr>
          <w:i/>
          <w:sz w:val="20"/>
          <w:szCs w:val="20"/>
        </w:rPr>
      </w:pPr>
      <w:bookmarkStart w:id="661" w:name="_Ref430248686"/>
      <w:bookmarkStart w:id="662" w:name="_Toc468267076"/>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104</w:t>
      </w:r>
      <w:r w:rsidRPr="00EC0229">
        <w:rPr>
          <w:sz w:val="20"/>
          <w:szCs w:val="20"/>
        </w:rPr>
        <w:fldChar w:fldCharType="end"/>
      </w:r>
      <w:bookmarkEnd w:id="661"/>
      <w:r w:rsidRPr="00EC0229">
        <w:rPr>
          <w:sz w:val="20"/>
          <w:szCs w:val="20"/>
        </w:rPr>
        <w:t>: Pocklington</w:t>
      </w:r>
      <w:r w:rsidRPr="00EC0229">
        <w:rPr>
          <w:sz w:val="20"/>
          <w:szCs w:val="20"/>
        </w:rPr>
        <w:fldChar w:fldCharType="begin"/>
      </w:r>
      <w:r w:rsidRPr="00EC0229">
        <w:rPr>
          <w:sz w:val="20"/>
          <w:szCs w:val="20"/>
        </w:rPr>
        <w:instrText xml:space="preserve"> XE "Pocklington" </w:instrText>
      </w:r>
      <w:r w:rsidRPr="00EC0229">
        <w:rPr>
          <w:sz w:val="20"/>
          <w:szCs w:val="20"/>
        </w:rPr>
        <w:fldChar w:fldCharType="end"/>
      </w:r>
      <w:r w:rsidRPr="00EC0229">
        <w:rPr>
          <w:sz w:val="20"/>
          <w:szCs w:val="20"/>
        </w:rPr>
        <w:t>: Primary Continental and East Anglian</w:t>
      </w:r>
      <w:r w:rsidRPr="00EC0229">
        <w:rPr>
          <w:sz w:val="20"/>
          <w:szCs w:val="20"/>
        </w:rPr>
        <w:fldChar w:fldCharType="begin"/>
      </w:r>
      <w:r w:rsidRPr="00EC0229">
        <w:rPr>
          <w:sz w:val="20"/>
          <w:szCs w:val="20"/>
        </w:rPr>
        <w:instrText xml:space="preserve"> XE "Anglian" </w:instrText>
      </w:r>
      <w:r w:rsidRPr="00EC0229">
        <w:rPr>
          <w:sz w:val="20"/>
          <w:szCs w:val="20"/>
        </w:rPr>
        <w:fldChar w:fldCharType="end"/>
      </w:r>
      <w:r w:rsidRPr="00EC0229">
        <w:rPr>
          <w:sz w:val="20"/>
          <w:szCs w:val="20"/>
        </w:rPr>
        <w:t xml:space="preserve"> sceats</w:t>
      </w:r>
      <w:bookmarkEnd w:id="662"/>
    </w:p>
    <w:p w14:paraId="496D2FBA" w14:textId="4D9FFF6B" w:rsidR="00D677E7" w:rsidRPr="00EC0229" w:rsidRDefault="00D677E7" w:rsidP="007600EA">
      <w:pPr>
        <w:pStyle w:val="NoSpacing"/>
        <w:spacing w:line="360" w:lineRule="auto"/>
      </w:pPr>
      <w:r w:rsidRPr="00EC0229">
        <w:t>Non-local finds in March 2015 include Series</w:t>
      </w:r>
      <w:r w:rsidRPr="00EC0229">
        <w:fldChar w:fldCharType="begin"/>
      </w:r>
      <w:r w:rsidRPr="00EC0229">
        <w:instrText xml:space="preserve"> XE "Series" </w:instrText>
      </w:r>
      <w:r w:rsidRPr="00EC0229">
        <w:fldChar w:fldCharType="end"/>
      </w:r>
      <w:r w:rsidRPr="00EC0229">
        <w:t xml:space="preserve"> E</w:t>
      </w:r>
      <w:r w:rsidRPr="00EC0229">
        <w:fldChar w:fldCharType="begin"/>
      </w:r>
      <w:r w:rsidRPr="00EC0229">
        <w:instrText xml:space="preserve"> XE "Series E" </w:instrText>
      </w:r>
      <w:r w:rsidRPr="00EC0229">
        <w:fldChar w:fldCharType="end"/>
      </w:r>
      <w:r w:rsidRPr="00EC0229">
        <w:t xml:space="preserve"> (primary, variety G1), [4c], X and R [5b] all in fine condition (</w:t>
      </w:r>
      <w:r w:rsidRPr="00EC0229">
        <w:fldChar w:fldCharType="begin"/>
      </w:r>
      <w:r w:rsidRPr="00EC0229">
        <w:instrText xml:space="preserve"> REF _Ref430248686 \h  \* MERGEFORMAT </w:instrText>
      </w:r>
      <w:r w:rsidRPr="00EC0229">
        <w:fldChar w:fldCharType="separate"/>
      </w:r>
      <w:r w:rsidR="0012026B" w:rsidRPr="0012026B">
        <w:rPr>
          <w:i/>
        </w:rPr>
        <w:t>Figure</w:t>
      </w:r>
      <w:r w:rsidR="0012026B" w:rsidRPr="0012026B">
        <w:t xml:space="preserve"> </w:t>
      </w:r>
      <w:r w:rsidR="0012026B" w:rsidRPr="0012026B">
        <w:rPr>
          <w:noProof/>
        </w:rPr>
        <w:t>104</w:t>
      </w:r>
      <w:r w:rsidRPr="00EC0229">
        <w:fldChar w:fldCharType="end"/>
      </w:r>
      <w:r w:rsidRPr="00EC0229">
        <w:t>), a unique mule (</w:t>
      </w:r>
      <w:r w:rsidRPr="00EC0229">
        <w:fldChar w:fldCharType="begin"/>
      </w:r>
      <w:r w:rsidRPr="00EC0229">
        <w:instrText xml:space="preserve"> REF _Ref430248693 \h  \* MERGEFORMAT </w:instrText>
      </w:r>
      <w:r w:rsidRPr="00EC0229">
        <w:fldChar w:fldCharType="separate"/>
      </w:r>
      <w:r w:rsidR="0012026B" w:rsidRPr="0012026B">
        <w:rPr>
          <w:i/>
        </w:rPr>
        <w:t>Figure</w:t>
      </w:r>
      <w:r w:rsidR="0012026B" w:rsidRPr="0012026B">
        <w:t xml:space="preserve"> </w:t>
      </w:r>
      <w:r w:rsidR="0012026B" w:rsidRPr="0012026B">
        <w:rPr>
          <w:noProof/>
        </w:rPr>
        <w:t>105</w:t>
      </w:r>
      <w:r w:rsidRPr="00EC0229">
        <w:fldChar w:fldCharType="end"/>
      </w:r>
      <w:r w:rsidRPr="00EC0229">
        <w:t xml:space="preserve">), [5b] and </w:t>
      </w:r>
      <w:r w:rsidR="00BF6095">
        <w:t>several</w:t>
      </w:r>
      <w:r w:rsidRPr="00EC0229">
        <w:t xml:space="preserve"> silver-alloy</w:t>
      </w:r>
      <w:r w:rsidRPr="00EC0229">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fldChar w:fldCharType="end"/>
      </w:r>
      <w:r w:rsidRPr="00EC0229">
        <w:t xml:space="preserve"> [N9] and brass stycas [N10a].</w:t>
      </w:r>
      <w:r w:rsidR="00FB0FD9">
        <w:rPr>
          <w:rStyle w:val="FootnoteReference"/>
        </w:rPr>
        <w:footnoteReference w:id="1006"/>
      </w:r>
    </w:p>
    <w:p w14:paraId="7CCCCFED" w14:textId="77777777" w:rsidR="00D677E7" w:rsidRPr="00EC0229" w:rsidRDefault="00D677E7" w:rsidP="007600EA">
      <w:pPr>
        <w:pStyle w:val="NoSpacing"/>
        <w:spacing w:line="360" w:lineRule="auto"/>
        <w:jc w:val="center"/>
      </w:pPr>
      <w:r w:rsidRPr="00EC0229">
        <w:rPr>
          <w:noProof/>
          <w:lang w:eastAsia="en-GB"/>
        </w:rPr>
        <w:drawing>
          <wp:inline distT="0" distB="0" distL="0" distR="0" wp14:anchorId="68209E00" wp14:editId="465A4F46">
            <wp:extent cx="863600" cy="8636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37-60 K-J mule.jpg"/>
                    <pic:cNvPicPr/>
                  </pic:nvPicPr>
                  <pic:blipFill>
                    <a:blip r:embed="rId339">
                      <a:extLst>
                        <a:ext uri="{28A0092B-C50C-407E-A947-70E740481C1C}">
                          <a14:useLocalDpi xmlns:a14="http://schemas.microsoft.com/office/drawing/2010/main" val="0"/>
                        </a:ext>
                      </a:extLst>
                    </a:blip>
                    <a:stretch>
                      <a:fillRect/>
                    </a:stretch>
                  </pic:blipFill>
                  <pic:spPr>
                    <a:xfrm>
                      <a:off x="0" y="0"/>
                      <a:ext cx="863600" cy="863600"/>
                    </a:xfrm>
                    <a:prstGeom prst="rect">
                      <a:avLst/>
                    </a:prstGeom>
                  </pic:spPr>
                </pic:pic>
              </a:graphicData>
            </a:graphic>
          </wp:inline>
        </w:drawing>
      </w:r>
      <w:r w:rsidRPr="00EC0229">
        <w:rPr>
          <w:noProof/>
          <w:lang w:eastAsia="en-GB"/>
        </w:rPr>
        <w:drawing>
          <wp:inline distT="0" distB="0" distL="0" distR="0" wp14:anchorId="11A01224" wp14:editId="44E49D29">
            <wp:extent cx="876128" cy="860622"/>
            <wp:effectExtent l="0" t="0" r="63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37-60R K-J mule.jpg"/>
                    <pic:cNvPicPr/>
                  </pic:nvPicPr>
                  <pic:blipFill>
                    <a:blip r:embed="rId340">
                      <a:extLst>
                        <a:ext uri="{28A0092B-C50C-407E-A947-70E740481C1C}">
                          <a14:useLocalDpi xmlns:a14="http://schemas.microsoft.com/office/drawing/2010/main" val="0"/>
                        </a:ext>
                      </a:extLst>
                    </a:blip>
                    <a:stretch>
                      <a:fillRect/>
                    </a:stretch>
                  </pic:blipFill>
                  <pic:spPr>
                    <a:xfrm>
                      <a:off x="0" y="0"/>
                      <a:ext cx="879516" cy="863950"/>
                    </a:xfrm>
                    <a:prstGeom prst="rect">
                      <a:avLst/>
                    </a:prstGeom>
                  </pic:spPr>
                </pic:pic>
              </a:graphicData>
            </a:graphic>
          </wp:inline>
        </w:drawing>
      </w:r>
    </w:p>
    <w:p w14:paraId="5851C3BD" w14:textId="67E50CE1" w:rsidR="00D677E7" w:rsidRPr="00EC0229" w:rsidRDefault="00D677E7" w:rsidP="007600EA">
      <w:pPr>
        <w:pStyle w:val="NoSpacing"/>
        <w:spacing w:line="360" w:lineRule="auto"/>
        <w:jc w:val="center"/>
        <w:rPr>
          <w:sz w:val="20"/>
          <w:szCs w:val="20"/>
        </w:rPr>
      </w:pPr>
      <w:bookmarkStart w:id="663" w:name="_Ref430248693"/>
      <w:bookmarkStart w:id="664" w:name="_Toc468267077"/>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105</w:t>
      </w:r>
      <w:r w:rsidRPr="00EC0229">
        <w:rPr>
          <w:sz w:val="20"/>
          <w:szCs w:val="20"/>
        </w:rPr>
        <w:fldChar w:fldCharType="end"/>
      </w:r>
      <w:bookmarkEnd w:id="663"/>
      <w:r w:rsidRPr="00EC0229">
        <w:rPr>
          <w:sz w:val="20"/>
          <w:szCs w:val="20"/>
        </w:rPr>
        <w:t>: Pocklington</w:t>
      </w:r>
      <w:r w:rsidRPr="00EC0229">
        <w:rPr>
          <w:sz w:val="20"/>
          <w:szCs w:val="20"/>
        </w:rPr>
        <w:fldChar w:fldCharType="begin"/>
      </w:r>
      <w:r w:rsidRPr="00EC0229">
        <w:rPr>
          <w:sz w:val="20"/>
          <w:szCs w:val="20"/>
        </w:rPr>
        <w:instrText xml:space="preserve"> XE "Pocklington" </w:instrText>
      </w:r>
      <w:r w:rsidRPr="00EC0229">
        <w:rPr>
          <w:sz w:val="20"/>
          <w:szCs w:val="20"/>
        </w:rPr>
        <w:fldChar w:fldCharType="end"/>
      </w:r>
      <w:r w:rsidRPr="00EC0229">
        <w:rPr>
          <w:sz w:val="20"/>
          <w:szCs w:val="20"/>
        </w:rPr>
        <w:t>: Unique mule of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K and J</w:t>
      </w:r>
      <w:bookmarkEnd w:id="664"/>
    </w:p>
    <w:p w14:paraId="53CF0140" w14:textId="77777777" w:rsidR="00D677E7" w:rsidRPr="00EC0229" w:rsidRDefault="00D677E7" w:rsidP="007600EA">
      <w:pPr>
        <w:pStyle w:val="NoSpacing"/>
        <w:spacing w:line="360" w:lineRule="auto"/>
        <w:jc w:val="center"/>
        <w:rPr>
          <w:sz w:val="20"/>
          <w:szCs w:val="20"/>
        </w:rPr>
      </w:pPr>
      <w:r w:rsidRPr="00EC0229">
        <w:rPr>
          <w:sz w:val="20"/>
          <w:szCs w:val="20"/>
        </w:rPr>
        <w:t>(Courtesy R. Last, April 2015, SL 37-60)</w:t>
      </w:r>
    </w:p>
    <w:p w14:paraId="3D341460" w14:textId="77777777" w:rsidR="00D677E7" w:rsidRPr="00EC0229" w:rsidRDefault="00D677E7" w:rsidP="007600EA">
      <w:pPr>
        <w:pStyle w:val="NoSpacing"/>
        <w:spacing w:line="360" w:lineRule="auto"/>
      </w:pPr>
    </w:p>
    <w:p w14:paraId="5C57CD13" w14:textId="48A3F732" w:rsidR="00D677E7" w:rsidRPr="007A3166" w:rsidRDefault="00D677E7" w:rsidP="00C97BF2">
      <w:pPr>
        <w:pStyle w:val="Heading4"/>
        <w:spacing w:line="360" w:lineRule="auto"/>
        <w:rPr>
          <w:b/>
        </w:rPr>
      </w:pPr>
      <w:bookmarkStart w:id="665" w:name="Barmby"/>
      <w:bookmarkStart w:id="666" w:name="_Toc468266882"/>
      <w:r w:rsidRPr="007A3166">
        <w:rPr>
          <w:b/>
        </w:rPr>
        <w:t>Barmby</w:t>
      </w:r>
      <w:bookmarkEnd w:id="665"/>
      <w:r w:rsidRPr="007A3166">
        <w:rPr>
          <w:b/>
        </w:rPr>
        <w:t xml:space="preserve"> Moor</w:t>
      </w:r>
      <w:bookmarkEnd w:id="666"/>
      <w:r w:rsidRPr="007A3166">
        <w:rPr>
          <w:b/>
        </w:rPr>
        <w:fldChar w:fldCharType="begin"/>
      </w:r>
      <w:r w:rsidRPr="007A3166">
        <w:rPr>
          <w:b/>
        </w:rPr>
        <w:instrText xml:space="preserve"> XE "</w:instrText>
      </w:r>
      <w:r w:rsidRPr="007A3166">
        <w:rPr>
          <w:rStyle w:val="Hyperlink"/>
          <w:b/>
          <w:noProof/>
          <w:u w:val="none"/>
        </w:rPr>
        <w:instrText>Barmby Moor</w:instrText>
      </w:r>
      <w:r w:rsidRPr="007A3166">
        <w:rPr>
          <w:b/>
        </w:rPr>
        <w:instrText xml:space="preserve">" </w:instrText>
      </w:r>
      <w:r w:rsidRPr="007A3166">
        <w:rPr>
          <w:b/>
        </w:rPr>
        <w:fldChar w:fldCharType="end"/>
      </w:r>
    </w:p>
    <w:p w14:paraId="2F6333C3" w14:textId="12932EEF" w:rsidR="00D677E7" w:rsidRPr="00EC0229" w:rsidRDefault="00D677E7" w:rsidP="007600EA">
      <w:pPr>
        <w:pStyle w:val="NoSpacing"/>
        <w:spacing w:line="360" w:lineRule="auto"/>
      </w:pPr>
      <w:r w:rsidRPr="00EC0229">
        <w:t>Barmby Moor</w:t>
      </w:r>
      <w:r w:rsidRPr="00EC0229">
        <w:fldChar w:fldCharType="begin"/>
      </w:r>
      <w:r w:rsidRPr="00EC0229">
        <w:instrText xml:space="preserve"> XE "</w:instrText>
      </w:r>
      <w:r w:rsidRPr="00EC0229">
        <w:rPr>
          <w:rStyle w:val="Hyperlink"/>
          <w:noProof/>
          <w:u w:val="none"/>
        </w:rPr>
        <w:instrText>Barmby Moor</w:instrText>
      </w:r>
      <w:r w:rsidRPr="00EC0229">
        <w:instrText xml:space="preserve">" </w:instrText>
      </w:r>
      <w:r w:rsidRPr="00EC0229">
        <w:fldChar w:fldCharType="end"/>
      </w:r>
      <w:r w:rsidRPr="00EC0229">
        <w:t xml:space="preserve"> is a hamlet one mile west of Pocklington</w:t>
      </w:r>
      <w:r w:rsidRPr="00EC0229">
        <w:fldChar w:fldCharType="begin"/>
      </w:r>
      <w:r w:rsidRPr="00EC0229">
        <w:instrText xml:space="preserve"> XE "</w:instrText>
      </w:r>
      <w:r w:rsidRPr="00EC0229">
        <w:rPr>
          <w:rStyle w:val="Hyperlink"/>
          <w:noProof/>
          <w:u w:val="none"/>
        </w:rPr>
        <w:instrText>Pocklington</w:instrText>
      </w:r>
      <w:r w:rsidRPr="00EC0229">
        <w:instrText xml:space="preserve">" </w:instrText>
      </w:r>
      <w:r w:rsidRPr="00EC0229">
        <w:fldChar w:fldCharType="end"/>
      </w:r>
      <w:r w:rsidRPr="00EC0229">
        <w:t xml:space="preserve"> on the western track to the Roman</w:t>
      </w:r>
      <w:r w:rsidRPr="00EC0229">
        <w:fldChar w:fldCharType="begin"/>
      </w:r>
      <w:r w:rsidRPr="00EC0229">
        <w:instrText xml:space="preserve"> XE "Roman" </w:instrText>
      </w:r>
      <w:r w:rsidRPr="00EC0229">
        <w:fldChar w:fldCharType="end"/>
      </w:r>
      <w:r w:rsidRPr="00EC0229">
        <w:t xml:space="preserve"> Road. A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shilling (</w:t>
      </w:r>
      <w:r w:rsidRPr="00EC0229">
        <w:fldChar w:fldCharType="begin"/>
      </w:r>
      <w:r w:rsidRPr="00EC0229">
        <w:instrText xml:space="preserve"> REF _Ref430248660 \h  \* MERGEFORMAT </w:instrText>
      </w:r>
      <w:r w:rsidRPr="00EC0229">
        <w:fldChar w:fldCharType="separate"/>
      </w:r>
      <w:r w:rsidR="0012026B" w:rsidRPr="0012026B">
        <w:rPr>
          <w:i/>
        </w:rPr>
        <w:t>Figure</w:t>
      </w:r>
      <w:r w:rsidR="0012026B" w:rsidRPr="0012026B">
        <w:t xml:space="preserve"> </w:t>
      </w:r>
      <w:r w:rsidR="0012026B" w:rsidRPr="0012026B">
        <w:rPr>
          <w:noProof/>
        </w:rPr>
        <w:t>106</w:t>
      </w:r>
      <w:r w:rsidRPr="00EC0229">
        <w:fldChar w:fldCharType="end"/>
      </w:r>
      <w:r w:rsidRPr="00EC0229">
        <w:t>), [3a],</w:t>
      </w:r>
      <w:r w:rsidRPr="00EC0229">
        <w:rPr>
          <w:rStyle w:val="FootnoteReference"/>
        </w:rPr>
        <w:footnoteReference w:id="1007"/>
      </w:r>
      <w:r w:rsidRPr="00EC0229">
        <w:t xml:space="preserve"> five sceats and seven brass stycas [N10a] are recorded, the earliest sceats being of Aldfrith</w:t>
      </w:r>
      <w:r w:rsidRPr="00EC0229">
        <w:fldChar w:fldCharType="begin"/>
      </w:r>
      <w:r w:rsidRPr="00EC0229">
        <w:instrText xml:space="preserve"> XE "Aldfrith" </w:instrText>
      </w:r>
      <w:r w:rsidRPr="00EC0229">
        <w:fldChar w:fldCharType="end"/>
      </w:r>
      <w:r w:rsidRPr="00EC0229">
        <w:t xml:space="preserve"> [4a] and a primary Series</w:t>
      </w:r>
      <w:r w:rsidRPr="00EC0229">
        <w:fldChar w:fldCharType="begin"/>
      </w:r>
      <w:r w:rsidRPr="00EC0229">
        <w:instrText xml:space="preserve"> XE "Series" </w:instrText>
      </w:r>
      <w:r w:rsidRPr="00EC0229">
        <w:fldChar w:fldCharType="end"/>
      </w:r>
      <w:r w:rsidRPr="00EC0229">
        <w:t xml:space="preserve"> Z coin, [4b],</w:t>
      </w:r>
      <w:r w:rsidRPr="00EC0229">
        <w:rPr>
          <w:rStyle w:val="FootnoteReference"/>
        </w:rPr>
        <w:footnoteReference w:id="1008"/>
      </w:r>
      <w:r w:rsidRPr="00EC0229">
        <w:t xml:space="preserve"> which hint at a busy thoroughfare. Fantastic animal sceats of Eadberht</w:t>
      </w:r>
      <w:r w:rsidRPr="00EC0229">
        <w:fldChar w:fldCharType="begin"/>
      </w:r>
      <w:r w:rsidRPr="00EC0229">
        <w:instrText xml:space="preserve"> XE "Eadberht" </w:instrText>
      </w:r>
      <w:r w:rsidRPr="00EC0229">
        <w:fldChar w:fldCharType="end"/>
      </w:r>
      <w:r w:rsidRPr="00EC0229">
        <w:t xml:space="preserve"> and Alchred [N6]</w:t>
      </w:r>
      <w:r w:rsidRPr="00EC0229">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fldChar w:fldCharType="end"/>
      </w:r>
      <w:r w:rsidRPr="00EC0229">
        <w:t>, and an Æthelred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 sceat by Tidwulf [N8], accompany stycas of Eanred</w:t>
      </w:r>
      <w:r w:rsidRPr="00EC0229">
        <w:fldChar w:fldCharType="begin"/>
      </w:r>
      <w:r w:rsidRPr="00EC0229">
        <w:instrText xml:space="preserve"> XE "Eanred" </w:instrText>
      </w:r>
      <w:r w:rsidRPr="00EC0229">
        <w:fldChar w:fldCharType="end"/>
      </w:r>
      <w:r w:rsidRPr="00EC0229">
        <w:t>, Æthelred II and Wigmund [N10]</w:t>
      </w:r>
      <w:r w:rsidRPr="00EC0229">
        <w:fldChar w:fldCharType="begin"/>
      </w:r>
      <w:r w:rsidRPr="00EC0229">
        <w:instrText xml:space="preserve"> XE "Wigmund" </w:instrText>
      </w:r>
      <w:r w:rsidRPr="00EC0229">
        <w:fldChar w:fldCharType="end"/>
      </w:r>
      <w:r w:rsidRPr="00EC0229">
        <w:t xml:space="preserve">. </w:t>
      </w:r>
      <w:r w:rsidR="00FB0FD9">
        <w:t xml:space="preserve">See </w:t>
      </w:r>
      <w:r w:rsidR="00FB0FD9" w:rsidRPr="00A07A08">
        <w:rPr>
          <w:i/>
        </w:rPr>
        <w:t>Graph 7.</w:t>
      </w:r>
      <w:r w:rsidR="00FB0FD9">
        <w:rPr>
          <w:i/>
        </w:rPr>
        <w:t>03 no. 14</w:t>
      </w:r>
      <w:r w:rsidR="00FB0FD9">
        <w:t>.</w:t>
      </w:r>
    </w:p>
    <w:p w14:paraId="0BC57BDC" w14:textId="77777777" w:rsidR="00D677E7" w:rsidRPr="00EC0229" w:rsidRDefault="00D677E7" w:rsidP="007600EA">
      <w:pPr>
        <w:pStyle w:val="NoSpacing"/>
        <w:spacing w:line="360" w:lineRule="auto"/>
        <w:jc w:val="center"/>
      </w:pPr>
      <w:r w:rsidRPr="00EC0229">
        <w:rPr>
          <w:noProof/>
          <w:lang w:eastAsia="en-GB"/>
        </w:rPr>
        <w:lastRenderedPageBreak/>
        <w:drawing>
          <wp:inline distT="0" distB="0" distL="0" distR="0" wp14:anchorId="4C2CF2E4" wp14:editId="736EFE53">
            <wp:extent cx="956003" cy="875802"/>
            <wp:effectExtent l="0" t="0" r="0"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York 1.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959412" cy="878925"/>
                    </a:xfrm>
                    <a:prstGeom prst="rect">
                      <a:avLst/>
                    </a:prstGeom>
                  </pic:spPr>
                </pic:pic>
              </a:graphicData>
            </a:graphic>
          </wp:inline>
        </w:drawing>
      </w:r>
      <w:r w:rsidRPr="00EC0229">
        <w:rPr>
          <w:noProof/>
          <w:lang w:eastAsia="en-GB"/>
        </w:rPr>
        <w:drawing>
          <wp:inline distT="0" distB="0" distL="0" distR="0" wp14:anchorId="041FACC5" wp14:editId="4E33A35C">
            <wp:extent cx="923290" cy="1011002"/>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York 1 R.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941100" cy="1030504"/>
                    </a:xfrm>
                    <a:prstGeom prst="rect">
                      <a:avLst/>
                    </a:prstGeom>
                  </pic:spPr>
                </pic:pic>
              </a:graphicData>
            </a:graphic>
          </wp:inline>
        </w:drawing>
      </w:r>
    </w:p>
    <w:p w14:paraId="322D6D5B" w14:textId="047440E5" w:rsidR="00D677E7" w:rsidRPr="00EC0229" w:rsidRDefault="00D677E7" w:rsidP="007600EA">
      <w:pPr>
        <w:spacing w:line="360" w:lineRule="auto"/>
        <w:jc w:val="center"/>
        <w:rPr>
          <w:i/>
          <w:sz w:val="20"/>
          <w:szCs w:val="20"/>
        </w:rPr>
      </w:pPr>
      <w:bookmarkStart w:id="667" w:name="_Ref430248660"/>
      <w:bookmarkStart w:id="668" w:name="_Toc468267078"/>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106</w:t>
      </w:r>
      <w:r w:rsidRPr="00EC0229">
        <w:rPr>
          <w:sz w:val="20"/>
          <w:szCs w:val="20"/>
        </w:rPr>
        <w:fldChar w:fldCharType="end"/>
      </w:r>
      <w:bookmarkEnd w:id="667"/>
      <w:r w:rsidRPr="00EC0229">
        <w:rPr>
          <w:sz w:val="20"/>
          <w:szCs w:val="20"/>
        </w:rPr>
        <w:t>: Barmby Moor</w:t>
      </w:r>
      <w:r w:rsidRPr="00EC0229">
        <w:rPr>
          <w:sz w:val="20"/>
          <w:szCs w:val="20"/>
        </w:rPr>
        <w:fldChar w:fldCharType="begin"/>
      </w:r>
      <w:r w:rsidRPr="00EC0229">
        <w:rPr>
          <w:sz w:val="20"/>
          <w:szCs w:val="20"/>
        </w:rPr>
        <w:instrText xml:space="preserve"> XE "Barmby Moor" </w:instrText>
      </w:r>
      <w:r w:rsidRPr="00EC0229">
        <w:rPr>
          <w:sz w:val="20"/>
          <w:szCs w:val="20"/>
        </w:rPr>
        <w:fldChar w:fldCharType="end"/>
      </w:r>
      <w:r w:rsidRPr="00EC0229">
        <w:rPr>
          <w:sz w:val="20"/>
          <w:szCs w:val="20"/>
        </w:rPr>
        <w:t>: York</w:t>
      </w:r>
      <w:r w:rsidRPr="00EC0229">
        <w:rPr>
          <w:sz w:val="20"/>
          <w:szCs w:val="20"/>
        </w:rPr>
        <w:fldChar w:fldCharType="begin"/>
      </w:r>
      <w:r w:rsidRPr="00EC0229">
        <w:rPr>
          <w:sz w:val="20"/>
          <w:szCs w:val="20"/>
        </w:rPr>
        <w:instrText xml:space="preserve"> XE "York" </w:instrText>
      </w:r>
      <w:r w:rsidRPr="00EC0229">
        <w:rPr>
          <w:sz w:val="20"/>
          <w:szCs w:val="20"/>
        </w:rPr>
        <w:fldChar w:fldCharType="end"/>
      </w:r>
      <w:r w:rsidRPr="00EC0229">
        <w:rPr>
          <w:sz w:val="20"/>
          <w:szCs w:val="20"/>
        </w:rPr>
        <w:t xml:space="preserve"> gold</w:t>
      </w:r>
      <w:r w:rsidRPr="00EC0229">
        <w:rPr>
          <w:sz w:val="20"/>
          <w:szCs w:val="20"/>
        </w:rPr>
        <w:fldChar w:fldCharType="begin"/>
      </w:r>
      <w:r w:rsidRPr="00EC0229">
        <w:rPr>
          <w:sz w:val="20"/>
          <w:szCs w:val="20"/>
        </w:rPr>
        <w:instrText xml:space="preserve"> XE "gold" </w:instrText>
      </w:r>
      <w:r w:rsidRPr="00EC0229">
        <w:rPr>
          <w:sz w:val="20"/>
          <w:szCs w:val="20"/>
        </w:rPr>
        <w:fldChar w:fldCharType="end"/>
      </w:r>
      <w:r w:rsidRPr="00EC0229">
        <w:rPr>
          <w:sz w:val="20"/>
          <w:szCs w:val="20"/>
        </w:rPr>
        <w:t xml:space="preserve"> shilling</w:t>
      </w:r>
      <w:bookmarkEnd w:id="668"/>
    </w:p>
    <w:p w14:paraId="13C90C03" w14:textId="77777777" w:rsidR="00D677E7" w:rsidRPr="00EC0229" w:rsidRDefault="00D677E7" w:rsidP="007600EA">
      <w:pPr>
        <w:pStyle w:val="NoSpacing"/>
        <w:spacing w:line="360" w:lineRule="auto"/>
        <w:jc w:val="center"/>
        <w:rPr>
          <w:sz w:val="20"/>
          <w:szCs w:val="20"/>
        </w:rPr>
      </w:pPr>
    </w:p>
    <w:p w14:paraId="22DE7B4D" w14:textId="77777777" w:rsidR="00D677E7" w:rsidRPr="00EC0229" w:rsidRDefault="00D677E7" w:rsidP="007600EA">
      <w:pPr>
        <w:pStyle w:val="NoSpacing"/>
        <w:spacing w:line="360" w:lineRule="auto"/>
      </w:pPr>
      <w:r w:rsidRPr="00EC0229">
        <w:t>That a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shilling in excellent condition, [3b], and rumours of a second,</w:t>
      </w:r>
      <w:r w:rsidRPr="00EC0229">
        <w:rPr>
          <w:rStyle w:val="FootnoteReference"/>
        </w:rPr>
        <w:footnoteReference w:id="1009"/>
      </w:r>
      <w:r w:rsidRPr="00EC0229">
        <w:t xml:space="preserve"> should be uncovered at such a small settlement</w:t>
      </w:r>
      <w:r w:rsidRPr="00EC0229">
        <w:fldChar w:fldCharType="begin"/>
      </w:r>
      <w:r w:rsidRPr="00EC0229">
        <w:instrText xml:space="preserve"> XE "settlement" </w:instrText>
      </w:r>
      <w:r w:rsidRPr="00EC0229">
        <w:fldChar w:fldCharType="end"/>
      </w:r>
      <w:r w:rsidRPr="00EC0229">
        <w:t xml:space="preserve"> is again indicative of both the thriving seventh-century economy</w:t>
      </w:r>
      <w:r w:rsidRPr="00EC0229">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fldChar w:fldCharType="end"/>
      </w:r>
      <w:r w:rsidRPr="00EC0229">
        <w:t xml:space="preserve"> of the area and the widespread use of coin, despite being of evident high value.</w:t>
      </w:r>
    </w:p>
    <w:p w14:paraId="60AC0D7E" w14:textId="77777777" w:rsidR="00D677E7" w:rsidRPr="00EC0229" w:rsidRDefault="00D677E7" w:rsidP="007600EA">
      <w:pPr>
        <w:pStyle w:val="NoSpacing"/>
        <w:spacing w:line="360" w:lineRule="auto"/>
      </w:pPr>
    </w:p>
    <w:p w14:paraId="37E6DAAC" w14:textId="0DA3A829" w:rsidR="00854613" w:rsidRPr="007A3166" w:rsidRDefault="00854613" w:rsidP="00C97BF2">
      <w:pPr>
        <w:pStyle w:val="Heading4"/>
        <w:spacing w:line="360" w:lineRule="auto"/>
        <w:rPr>
          <w:b/>
        </w:rPr>
      </w:pPr>
      <w:bookmarkStart w:id="669" w:name="_Toc468266883"/>
      <w:r w:rsidRPr="007A3166">
        <w:rPr>
          <w:b/>
        </w:rPr>
        <w:t>Yapham</w:t>
      </w:r>
      <w:bookmarkEnd w:id="669"/>
      <w:r w:rsidR="006B1593" w:rsidRPr="007A3166">
        <w:rPr>
          <w:b/>
        </w:rPr>
        <w:fldChar w:fldCharType="begin"/>
      </w:r>
      <w:r w:rsidR="006B1593" w:rsidRPr="007A3166">
        <w:rPr>
          <w:b/>
        </w:rPr>
        <w:instrText xml:space="preserve"> XE "</w:instrText>
      </w:r>
      <w:r w:rsidR="006B1593" w:rsidRPr="007A3166">
        <w:rPr>
          <w:rStyle w:val="Hyperlink"/>
          <w:b/>
          <w:noProof/>
          <w:u w:val="none"/>
        </w:rPr>
        <w:instrText>Yapham</w:instrText>
      </w:r>
      <w:r w:rsidR="006B1593" w:rsidRPr="007A3166">
        <w:rPr>
          <w:b/>
        </w:rPr>
        <w:instrText xml:space="preserve">" </w:instrText>
      </w:r>
      <w:r w:rsidR="006B1593" w:rsidRPr="007A3166">
        <w:rPr>
          <w:b/>
        </w:rPr>
        <w:fldChar w:fldCharType="end"/>
      </w:r>
    </w:p>
    <w:bookmarkEnd w:id="657"/>
    <w:p w14:paraId="2E5FD552" w14:textId="32669BF5" w:rsidR="00854613" w:rsidRPr="00EC0229" w:rsidRDefault="00854613" w:rsidP="007600EA">
      <w:pPr>
        <w:pStyle w:val="NoSpacing"/>
        <w:spacing w:line="360" w:lineRule="auto"/>
      </w:pPr>
      <w:r w:rsidRPr="00EC0229">
        <w:t>Yapham</w:t>
      </w:r>
      <w:r w:rsidR="006B1593" w:rsidRPr="00EC0229">
        <w:fldChar w:fldCharType="begin"/>
      </w:r>
      <w:r w:rsidR="006B1593" w:rsidRPr="00EC0229">
        <w:instrText xml:space="preserve"> XE "</w:instrText>
      </w:r>
      <w:r w:rsidR="006B1593" w:rsidRPr="00EC0229">
        <w:rPr>
          <w:rStyle w:val="Hyperlink"/>
          <w:noProof/>
          <w:u w:val="none"/>
        </w:rPr>
        <w:instrText>Yapham</w:instrText>
      </w:r>
      <w:r w:rsidR="006B1593" w:rsidRPr="00EC0229">
        <w:instrText xml:space="preserve">" </w:instrText>
      </w:r>
      <w:r w:rsidR="006B1593" w:rsidRPr="00EC0229">
        <w:fldChar w:fldCharType="end"/>
      </w:r>
      <w:r w:rsidRPr="00EC0229">
        <w:t xml:space="preserve"> is yet another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edge hamlet that has yielded a scattering of commonplace sceats and stycas</w:t>
      </w:r>
      <w:r w:rsidR="00FB0FD9">
        <w:rPr>
          <w:rStyle w:val="FootnoteReference"/>
        </w:rPr>
        <w:footnoteReference w:id="1010"/>
      </w:r>
      <w:r w:rsidRPr="00EC0229">
        <w:t xml:space="preserve"> - but with one significant difference. A gilded copper-core imitation Pseudo-Imperial </w:t>
      </w:r>
      <w:r w:rsidRPr="00EC0229">
        <w:rPr>
          <w:i/>
        </w:rPr>
        <w:t>Victory</w:t>
      </w:r>
      <w:r w:rsidRPr="00EC0229">
        <w:t xml:space="preserve"> type tremisses in the name of Justinian I (527-565) was uncovered in 2006</w:t>
      </w:r>
      <w:r w:rsidR="008A3BF9" w:rsidRPr="00EC0229">
        <w:t xml:space="preserve"> (</w:t>
      </w:r>
      <w:r w:rsidR="003852DA" w:rsidRPr="00EC0229">
        <w:fldChar w:fldCharType="begin"/>
      </w:r>
      <w:r w:rsidR="003852DA" w:rsidRPr="00EC0229">
        <w:instrText xml:space="preserve"> REF _Ref430248645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107</w:t>
      </w:r>
      <w:r w:rsidR="003852DA" w:rsidRPr="00EC0229">
        <w:fldChar w:fldCharType="end"/>
      </w:r>
      <w:r w:rsidR="008A3BF9" w:rsidRPr="00EC0229">
        <w:t>)</w:t>
      </w:r>
      <w:r w:rsidR="00173172" w:rsidRPr="00EC0229">
        <w:t>, [2]</w:t>
      </w:r>
      <w:r w:rsidRPr="00EC0229">
        <w:t>.</w:t>
      </w:r>
      <w:r w:rsidRPr="00EC0229">
        <w:rPr>
          <w:rStyle w:val="FootnoteReference"/>
        </w:rPr>
        <w:footnoteReference w:id="1011"/>
      </w:r>
      <w:r w:rsidRPr="00EC0229">
        <w:t xml:space="preserve"> This counterfeit</w:t>
      </w:r>
      <w:r w:rsidR="00D142DC" w:rsidRPr="00EC0229">
        <w:fldChar w:fldCharType="begin"/>
      </w:r>
      <w:r w:rsidR="00D142DC" w:rsidRPr="00EC0229">
        <w:instrText xml:space="preserve"> XE "counterfeit" </w:instrText>
      </w:r>
      <w:r w:rsidR="00D142DC" w:rsidRPr="00EC0229">
        <w:fldChar w:fldCharType="end"/>
      </w:r>
      <w:r w:rsidRPr="00EC0229">
        <w:t xml:space="preserve"> would have been slipped into the circu</w:t>
      </w:r>
      <w:r w:rsidR="00043AA4" w:rsidRPr="00EC0229">
        <w:t xml:space="preserve">lating medium in the late sixth </w:t>
      </w:r>
      <w:r w:rsidRPr="00EC0229">
        <w:t xml:space="preserve">century but is enigmatic in its lack of context. The find location is neither a focal nor a transit point. The coin has a test mark and may well have been discarded as worthless when revealed, though perhaps one </w:t>
      </w:r>
      <w:r w:rsidR="0080129E" w:rsidRPr="00EC0229">
        <w:t>would</w:t>
      </w:r>
      <w:r w:rsidRPr="00EC0229">
        <w:t xml:space="preserve"> expect a greater degree of destruction. </w:t>
      </w:r>
      <w:r w:rsidR="0080129E" w:rsidRPr="00EC0229">
        <w:t xml:space="preserve">Both the perpetration and rejection suggest advancing </w:t>
      </w:r>
      <w:r w:rsidR="003F2041" w:rsidRPr="00EC0229">
        <w:t>monetiz</w:t>
      </w:r>
      <w:r w:rsidR="0080129E" w:rsidRPr="00EC0229">
        <w:t>ation.</w:t>
      </w:r>
      <w:r w:rsidRPr="00EC0229">
        <w:t xml:space="preserve"> </w:t>
      </w:r>
    </w:p>
    <w:p w14:paraId="2D8786A7"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0B5F7327" wp14:editId="67D14395">
            <wp:extent cx="859118" cy="8763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apham imitation Pseudo-Imperial tremissis.jpg"/>
                    <pic:cNvPicPr/>
                  </pic:nvPicPr>
                  <pic:blipFill>
                    <a:blip r:embed="rId343">
                      <a:extLst>
                        <a:ext uri="{28A0092B-C50C-407E-A947-70E740481C1C}">
                          <a14:useLocalDpi xmlns:a14="http://schemas.microsoft.com/office/drawing/2010/main" val="0"/>
                        </a:ext>
                      </a:extLst>
                    </a:blip>
                    <a:stretch>
                      <a:fillRect/>
                    </a:stretch>
                  </pic:blipFill>
                  <pic:spPr>
                    <a:xfrm>
                      <a:off x="0" y="0"/>
                      <a:ext cx="880677" cy="898290"/>
                    </a:xfrm>
                    <a:prstGeom prst="rect">
                      <a:avLst/>
                    </a:prstGeom>
                  </pic:spPr>
                </pic:pic>
              </a:graphicData>
            </a:graphic>
          </wp:inline>
        </w:drawing>
      </w:r>
      <w:r w:rsidRPr="00EC0229">
        <w:rPr>
          <w:noProof/>
          <w:lang w:eastAsia="en-GB"/>
        </w:rPr>
        <w:drawing>
          <wp:inline distT="0" distB="0" distL="0" distR="0" wp14:anchorId="621A8F9B" wp14:editId="30041D67">
            <wp:extent cx="870139" cy="878840"/>
            <wp:effectExtent l="0" t="0" r="635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Yapham imitation Pseudo-Imperial tremissis R.jpg"/>
                    <pic:cNvPicPr/>
                  </pic:nvPicPr>
                  <pic:blipFill>
                    <a:blip r:embed="rId344">
                      <a:extLst>
                        <a:ext uri="{28A0092B-C50C-407E-A947-70E740481C1C}">
                          <a14:useLocalDpi xmlns:a14="http://schemas.microsoft.com/office/drawing/2010/main" val="0"/>
                        </a:ext>
                      </a:extLst>
                    </a:blip>
                    <a:stretch>
                      <a:fillRect/>
                    </a:stretch>
                  </pic:blipFill>
                  <pic:spPr>
                    <a:xfrm>
                      <a:off x="0" y="0"/>
                      <a:ext cx="892788" cy="901715"/>
                    </a:xfrm>
                    <a:prstGeom prst="rect">
                      <a:avLst/>
                    </a:prstGeom>
                  </pic:spPr>
                </pic:pic>
              </a:graphicData>
            </a:graphic>
          </wp:inline>
        </w:drawing>
      </w:r>
    </w:p>
    <w:p w14:paraId="434582AB" w14:textId="631D3C8F" w:rsidR="00854613" w:rsidRPr="00EC0229" w:rsidRDefault="003977B6" w:rsidP="007600EA">
      <w:pPr>
        <w:spacing w:line="360" w:lineRule="auto"/>
        <w:jc w:val="center"/>
        <w:rPr>
          <w:i/>
          <w:sz w:val="20"/>
          <w:szCs w:val="20"/>
        </w:rPr>
      </w:pPr>
      <w:bookmarkStart w:id="670" w:name="_Ref430248645"/>
      <w:bookmarkStart w:id="671" w:name="_Toc468267079"/>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107</w:t>
      </w:r>
      <w:r w:rsidR="00B609E3" w:rsidRPr="00EC0229">
        <w:rPr>
          <w:sz w:val="20"/>
          <w:szCs w:val="20"/>
        </w:rPr>
        <w:fldChar w:fldCharType="end"/>
      </w:r>
      <w:bookmarkEnd w:id="670"/>
      <w:r w:rsidR="008A3BF9" w:rsidRPr="00EC0229">
        <w:rPr>
          <w:sz w:val="20"/>
          <w:szCs w:val="20"/>
        </w:rPr>
        <w:t xml:space="preserve">: </w:t>
      </w:r>
      <w:r w:rsidR="00854613" w:rsidRPr="00EC0229">
        <w:rPr>
          <w:sz w:val="20"/>
          <w:szCs w:val="20"/>
        </w:rPr>
        <w:t>Yapham</w:t>
      </w:r>
      <w:r w:rsidR="006B1593" w:rsidRPr="00EC0229">
        <w:rPr>
          <w:sz w:val="20"/>
          <w:szCs w:val="20"/>
        </w:rPr>
        <w:fldChar w:fldCharType="begin"/>
      </w:r>
      <w:r w:rsidR="006B1593" w:rsidRPr="00EC0229">
        <w:rPr>
          <w:sz w:val="20"/>
          <w:szCs w:val="20"/>
        </w:rPr>
        <w:instrText xml:space="preserve"> XE "Yapham" </w:instrText>
      </w:r>
      <w:r w:rsidR="006B1593" w:rsidRPr="00EC0229">
        <w:rPr>
          <w:sz w:val="20"/>
          <w:szCs w:val="20"/>
        </w:rPr>
        <w:fldChar w:fldCharType="end"/>
      </w:r>
      <w:r w:rsidR="00854613" w:rsidRPr="00EC0229">
        <w:rPr>
          <w:sz w:val="20"/>
          <w:szCs w:val="20"/>
        </w:rPr>
        <w:t>: copy of an imitative Victory type tremisses</w:t>
      </w:r>
      <w:bookmarkEnd w:id="671"/>
    </w:p>
    <w:p w14:paraId="5CB2B755" w14:textId="77777777" w:rsidR="00854613" w:rsidRPr="00EC0229" w:rsidRDefault="00854613" w:rsidP="007600EA">
      <w:pPr>
        <w:pStyle w:val="NoSpacing"/>
        <w:spacing w:line="360" w:lineRule="auto"/>
        <w:rPr>
          <w:rFonts w:cs="Times New Roman"/>
          <w:szCs w:val="24"/>
        </w:rPr>
      </w:pPr>
    </w:p>
    <w:p w14:paraId="4F301038" w14:textId="26F93A92" w:rsidR="00854613" w:rsidRPr="00EC0229" w:rsidRDefault="00854613" w:rsidP="00760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imes New Roman"/>
          <w:szCs w:val="24"/>
          <w:lang w:eastAsia="en-GB"/>
        </w:rPr>
      </w:pPr>
      <w:r w:rsidRPr="00EC0229">
        <w:rPr>
          <w:rFonts w:eastAsia="Times New Roman" w:cs="Times New Roman"/>
          <w:szCs w:val="24"/>
          <w:lang w:eastAsia="en-GB"/>
        </w:rPr>
        <w:t>It probably originates from Francia</w:t>
      </w:r>
      <w:r w:rsidR="00F204A1" w:rsidRPr="00EC0229">
        <w:rPr>
          <w:rFonts w:eastAsia="Times New Roman" w:cs="Times New Roman"/>
          <w:szCs w:val="24"/>
          <w:lang w:eastAsia="en-GB"/>
        </w:rPr>
        <w:fldChar w:fldCharType="begin"/>
      </w:r>
      <w:r w:rsidR="00F204A1" w:rsidRPr="00EC0229">
        <w:instrText xml:space="preserve"> XE "</w:instrText>
      </w:r>
      <w:r w:rsidR="00F204A1" w:rsidRPr="00EC0229">
        <w:rPr>
          <w:rStyle w:val="Hyperlink"/>
          <w:rFonts w:cs="Times New Roman"/>
          <w:noProof/>
          <w:u w:val="none"/>
        </w:rPr>
        <w:instrText>Francia</w:instrText>
      </w:r>
      <w:r w:rsidR="00F204A1" w:rsidRPr="00EC0229">
        <w:instrText xml:space="preserve">" </w:instrText>
      </w:r>
      <w:r w:rsidR="00F204A1" w:rsidRPr="00EC0229">
        <w:rPr>
          <w:rFonts w:eastAsia="Times New Roman" w:cs="Times New Roman"/>
          <w:szCs w:val="24"/>
          <w:lang w:eastAsia="en-GB"/>
        </w:rPr>
        <w:fldChar w:fldCharType="end"/>
      </w:r>
      <w:r w:rsidRPr="00EC0229">
        <w:rPr>
          <w:rFonts w:eastAsia="Times New Roman" w:cs="Times New Roman"/>
          <w:szCs w:val="24"/>
          <w:lang w:eastAsia="en-GB"/>
        </w:rPr>
        <w:t xml:space="preserve"> though there is no means of attributing the original or forgery to a particular region. The obverse legend can be reconstructed as DNVSTINIANV...PPI...</w:t>
      </w:r>
      <w:r w:rsidR="002226A8" w:rsidRPr="00EC0229">
        <w:rPr>
          <w:rFonts w:eastAsia="Times New Roman" w:cs="Times New Roman"/>
          <w:szCs w:val="24"/>
          <w:lang w:eastAsia="en-GB"/>
        </w:rPr>
        <w:t xml:space="preserve"> which, according to </w:t>
      </w:r>
      <w:r w:rsidRPr="00EC0229">
        <w:rPr>
          <w:rFonts w:eastAsia="Times New Roman" w:cs="Times New Roman"/>
          <w:szCs w:val="24"/>
          <w:lang w:eastAsia="en-GB"/>
        </w:rPr>
        <w:t xml:space="preserve">Pol, probably dates the original to the third quarter of </w:t>
      </w:r>
      <w:r w:rsidR="00F139AF" w:rsidRPr="00EC0229">
        <w:rPr>
          <w:rFonts w:eastAsia="Times New Roman" w:cs="Times New Roman"/>
          <w:szCs w:val="24"/>
          <w:lang w:eastAsia="en-GB"/>
        </w:rPr>
        <w:t>the sixth century</w:t>
      </w:r>
      <w:r w:rsidRPr="00EC0229">
        <w:rPr>
          <w:rFonts w:cs="Times New Roman"/>
          <w:szCs w:val="24"/>
        </w:rPr>
        <w:t>, though it could</w:t>
      </w:r>
      <w:r w:rsidRPr="00EC0229">
        <w:rPr>
          <w:rFonts w:eastAsia="Times New Roman" w:cs="Times New Roman"/>
          <w:szCs w:val="24"/>
          <w:lang w:eastAsia="en-GB"/>
        </w:rPr>
        <w:t xml:space="preserve"> have been produced later.</w:t>
      </w:r>
      <w:r w:rsidRPr="00EC0229">
        <w:rPr>
          <w:rStyle w:val="FootnoteReference"/>
          <w:rFonts w:eastAsia="Times New Roman" w:cs="Times New Roman"/>
          <w:szCs w:val="24"/>
          <w:lang w:eastAsia="en-GB"/>
        </w:rPr>
        <w:t xml:space="preserve"> </w:t>
      </w:r>
      <w:r w:rsidRPr="00EC0229">
        <w:rPr>
          <w:rFonts w:eastAsia="Times New Roman" w:cs="Times New Roman"/>
          <w:szCs w:val="24"/>
          <w:lang w:eastAsia="en-GB"/>
        </w:rPr>
        <w:t xml:space="preserve">There are very few Pseudo-Imperial coins that show the emperor's name without the initial ‘I’ and among the other </w:t>
      </w:r>
      <w:r w:rsidRPr="00EC0229">
        <w:rPr>
          <w:rFonts w:eastAsia="Times New Roman" w:cs="Times New Roman"/>
          <w:szCs w:val="24"/>
          <w:lang w:eastAsia="en-GB"/>
        </w:rPr>
        <w:lastRenderedPageBreak/>
        <w:t>such coins recorded by Pol (three tremisses and one solidus</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solidus</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 there is no close parallel for this copy.</w:t>
      </w:r>
      <w:r w:rsidRPr="00EC0229">
        <w:rPr>
          <w:rStyle w:val="FootnoteReference"/>
          <w:rFonts w:eastAsia="Times New Roman" w:cs="Times New Roman"/>
          <w:szCs w:val="24"/>
          <w:lang w:eastAsia="en-GB"/>
        </w:rPr>
        <w:footnoteReference w:id="1012"/>
      </w:r>
      <w:r w:rsidRPr="00EC0229">
        <w:rPr>
          <w:rFonts w:eastAsia="Times New Roman" w:cs="Times New Roman"/>
          <w:szCs w:val="24"/>
          <w:lang w:eastAsia="en-GB"/>
        </w:rPr>
        <w:t xml:space="preserve">  The presence of an imitative coin implies wide acceptance of the original.</w:t>
      </w:r>
    </w:p>
    <w:p w14:paraId="01EB141B" w14:textId="77777777" w:rsidR="00854613" w:rsidRPr="00EC0229" w:rsidRDefault="00854613" w:rsidP="00760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imes New Roman"/>
          <w:szCs w:val="24"/>
          <w:lang w:eastAsia="en-GB"/>
        </w:rPr>
      </w:pPr>
    </w:p>
    <w:p w14:paraId="326F0888" w14:textId="108621E5" w:rsidR="00854613" w:rsidRPr="00EC0229" w:rsidRDefault="00854613" w:rsidP="007600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imes New Roman"/>
          <w:szCs w:val="24"/>
          <w:lang w:eastAsia="en-GB"/>
        </w:rPr>
      </w:pPr>
      <w:r w:rsidRPr="00EC0229">
        <w:rPr>
          <w:rFonts w:eastAsia="Times New Roman" w:cs="Times New Roman"/>
          <w:szCs w:val="24"/>
          <w:lang w:eastAsia="en-GB"/>
        </w:rPr>
        <w:t>Forgeries are usually seen as a vehicle of deception, but, in common with numerous obsolete Roman</w:t>
      </w:r>
      <w:r w:rsidR="00D142DC" w:rsidRPr="00EC0229">
        <w:rPr>
          <w:rFonts w:eastAsia="Times New Roman" w:cs="Times New Roman"/>
          <w:szCs w:val="24"/>
          <w:lang w:eastAsia="en-GB"/>
        </w:rPr>
        <w:fldChar w:fldCharType="begin"/>
      </w:r>
      <w:r w:rsidR="00D142DC" w:rsidRPr="00EC0229">
        <w:instrText xml:space="preserve"> XE "Roman"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w:t>
      </w:r>
      <w:r w:rsidRPr="00EC0229">
        <w:rPr>
          <w:rFonts w:eastAsia="Times New Roman" w:cs="Times New Roman"/>
          <w:i/>
          <w:szCs w:val="24"/>
          <w:lang w:eastAsia="en-GB"/>
        </w:rPr>
        <w:t>nummi</w:t>
      </w:r>
      <w:r w:rsidRPr="00EC0229">
        <w:rPr>
          <w:rFonts w:eastAsia="Times New Roman" w:cs="Times New Roman"/>
          <w:szCs w:val="24"/>
          <w:lang w:eastAsia="en-GB"/>
        </w:rPr>
        <w:t>, they are often found in Merovingian</w:t>
      </w:r>
      <w:r w:rsidR="004C29A9" w:rsidRPr="00EC0229">
        <w:rPr>
          <w:rFonts w:eastAsia="Times New Roman" w:cs="Times New Roman"/>
          <w:szCs w:val="24"/>
          <w:lang w:eastAsia="en-GB"/>
        </w:rPr>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rPr>
          <w:rFonts w:eastAsia="Times New Roman" w:cs="Times New Roman"/>
          <w:szCs w:val="24"/>
          <w:lang w:eastAsia="en-GB"/>
        </w:rPr>
        <w:fldChar w:fldCharType="end"/>
      </w:r>
      <w:r w:rsidRPr="00EC0229">
        <w:rPr>
          <w:rFonts w:eastAsia="Times New Roman" w:cs="Times New Roman"/>
          <w:szCs w:val="24"/>
          <w:lang w:eastAsia="en-GB"/>
        </w:rPr>
        <w:t xml:space="preserve"> graves, so one may also postulate a </w:t>
      </w:r>
      <w:r w:rsidR="00B156C9" w:rsidRPr="00EC0229">
        <w:rPr>
          <w:rFonts w:eastAsia="Times New Roman" w:cs="Times New Roman"/>
          <w:szCs w:val="24"/>
          <w:lang w:eastAsia="en-GB"/>
        </w:rPr>
        <w:t>funerary purpose.</w:t>
      </w:r>
    </w:p>
    <w:p w14:paraId="7E7A6DF0" w14:textId="77777777" w:rsidR="0061558F" w:rsidRPr="00EC0229" w:rsidRDefault="0061558F" w:rsidP="007600EA">
      <w:pPr>
        <w:pStyle w:val="NoSpacing"/>
        <w:spacing w:line="360" w:lineRule="auto"/>
      </w:pPr>
      <w:bookmarkStart w:id="672" w:name="Pocklington"/>
      <w:bookmarkEnd w:id="672"/>
    </w:p>
    <w:p w14:paraId="1E694224" w14:textId="194DC738" w:rsidR="00854613" w:rsidRPr="007A3166" w:rsidRDefault="00854613" w:rsidP="00C97BF2">
      <w:pPr>
        <w:pStyle w:val="Heading4"/>
        <w:spacing w:line="360" w:lineRule="auto"/>
        <w:rPr>
          <w:b/>
        </w:rPr>
      </w:pPr>
      <w:bookmarkStart w:id="673" w:name="Hayton"/>
      <w:bookmarkStart w:id="674" w:name="SouthNewbald"/>
      <w:bookmarkStart w:id="675" w:name="_Toc468266884"/>
      <w:bookmarkStart w:id="676" w:name="NorthCave"/>
      <w:bookmarkEnd w:id="673"/>
      <w:bookmarkEnd w:id="674"/>
      <w:r w:rsidRPr="007A3166">
        <w:rPr>
          <w:b/>
        </w:rPr>
        <w:t>North Cave</w:t>
      </w:r>
      <w:bookmarkEnd w:id="675"/>
      <w:r w:rsidR="006B1593" w:rsidRPr="007A3166">
        <w:rPr>
          <w:b/>
        </w:rPr>
        <w:fldChar w:fldCharType="begin"/>
      </w:r>
      <w:r w:rsidR="006B1593" w:rsidRPr="007A3166">
        <w:rPr>
          <w:b/>
        </w:rPr>
        <w:instrText xml:space="preserve"> XE "</w:instrText>
      </w:r>
      <w:r w:rsidR="006B1593" w:rsidRPr="007A3166">
        <w:rPr>
          <w:rStyle w:val="Hyperlink"/>
          <w:b/>
          <w:noProof/>
          <w:u w:val="none"/>
        </w:rPr>
        <w:instrText>North Cave</w:instrText>
      </w:r>
      <w:r w:rsidR="006B1593" w:rsidRPr="007A3166">
        <w:rPr>
          <w:b/>
        </w:rPr>
        <w:instrText xml:space="preserve">" </w:instrText>
      </w:r>
      <w:r w:rsidR="006B1593" w:rsidRPr="007A3166">
        <w:rPr>
          <w:b/>
        </w:rPr>
        <w:fldChar w:fldCharType="end"/>
      </w:r>
    </w:p>
    <w:bookmarkEnd w:id="676"/>
    <w:p w14:paraId="471B188C"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07E4D38B" wp14:editId="709423E1">
            <wp:extent cx="876300" cy="851958"/>
            <wp:effectExtent l="0" t="0" r="0" b="57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orth Cave Mero trem PAS Record ID SWYOR-236F00.tif"/>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885056" cy="860471"/>
                    </a:xfrm>
                    <a:prstGeom prst="rect">
                      <a:avLst/>
                    </a:prstGeom>
                  </pic:spPr>
                </pic:pic>
              </a:graphicData>
            </a:graphic>
          </wp:inline>
        </w:drawing>
      </w:r>
      <w:r w:rsidRPr="00EC0229">
        <w:rPr>
          <w:noProof/>
          <w:lang w:eastAsia="en-GB"/>
        </w:rPr>
        <w:drawing>
          <wp:inline distT="0" distB="0" distL="0" distR="0" wp14:anchorId="7E316B44" wp14:editId="48ED0BB6">
            <wp:extent cx="855219" cy="886460"/>
            <wp:effectExtent l="0" t="0" r="2540" b="889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North Cave Mero trem R PAS Record ID SWYOR-236F00.tif"/>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866004" cy="897639"/>
                    </a:xfrm>
                    <a:prstGeom prst="rect">
                      <a:avLst/>
                    </a:prstGeom>
                  </pic:spPr>
                </pic:pic>
              </a:graphicData>
            </a:graphic>
          </wp:inline>
        </w:drawing>
      </w:r>
    </w:p>
    <w:p w14:paraId="5FD3CBB9" w14:textId="6F506B0A" w:rsidR="003852DA" w:rsidRPr="00EC0229" w:rsidRDefault="003852DA" w:rsidP="007600EA">
      <w:pPr>
        <w:pStyle w:val="NoSpacing"/>
        <w:spacing w:line="360" w:lineRule="auto"/>
        <w:jc w:val="center"/>
        <w:rPr>
          <w:sz w:val="20"/>
          <w:szCs w:val="20"/>
        </w:rPr>
      </w:pPr>
      <w:bookmarkStart w:id="677" w:name="_Ref430248794"/>
      <w:bookmarkStart w:id="678" w:name="_Toc46826708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108</w:t>
      </w:r>
      <w:r w:rsidRPr="00EC0229">
        <w:rPr>
          <w:sz w:val="20"/>
          <w:szCs w:val="20"/>
        </w:rPr>
        <w:fldChar w:fldCharType="end"/>
      </w:r>
      <w:bookmarkEnd w:id="677"/>
      <w:r w:rsidR="0061558F" w:rsidRPr="00EC0229">
        <w:rPr>
          <w:sz w:val="20"/>
          <w:szCs w:val="20"/>
        </w:rPr>
        <w:t xml:space="preserve">: </w:t>
      </w:r>
      <w:r w:rsidR="00854613" w:rsidRPr="00EC0229">
        <w:rPr>
          <w:sz w:val="20"/>
          <w:szCs w:val="20"/>
        </w:rPr>
        <w:t>North Cave</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North Cave</w:instrText>
      </w:r>
      <w:r w:rsidR="006B1593" w:rsidRPr="00EC0229">
        <w:rPr>
          <w:sz w:val="20"/>
          <w:szCs w:val="20"/>
        </w:rPr>
        <w:instrText xml:space="preserve">" </w:instrText>
      </w:r>
      <w:r w:rsidR="006B1593" w:rsidRPr="00EC0229">
        <w:rPr>
          <w:sz w:val="20"/>
          <w:szCs w:val="20"/>
        </w:rPr>
        <w:fldChar w:fldCharType="end"/>
      </w:r>
      <w:r w:rsidR="00854613" w:rsidRPr="00EC0229">
        <w:rPr>
          <w:sz w:val="20"/>
          <w:szCs w:val="20"/>
        </w:rPr>
        <w:t xml:space="preserve"> find: Possibly Frankish tremissis</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rPr>
        <w:instrText>tremissis</w:instrText>
      </w:r>
      <w:r w:rsidR="008960AE" w:rsidRPr="00EC0229">
        <w:rPr>
          <w:sz w:val="20"/>
          <w:szCs w:val="20"/>
        </w:rPr>
        <w:instrText xml:space="preserve">" </w:instrText>
      </w:r>
      <w:r w:rsidR="008960AE" w:rsidRPr="00EC0229">
        <w:rPr>
          <w:sz w:val="20"/>
          <w:szCs w:val="20"/>
        </w:rPr>
        <w:fldChar w:fldCharType="end"/>
      </w:r>
      <w:r w:rsidR="00854613" w:rsidRPr="00EC0229">
        <w:rPr>
          <w:sz w:val="20"/>
          <w:szCs w:val="20"/>
        </w:rPr>
        <w:t>.</w:t>
      </w:r>
      <w:bookmarkEnd w:id="678"/>
      <w:r w:rsidR="00854613" w:rsidRPr="00EC0229">
        <w:rPr>
          <w:sz w:val="20"/>
          <w:szCs w:val="20"/>
        </w:rPr>
        <w:t xml:space="preserve"> </w:t>
      </w:r>
    </w:p>
    <w:p w14:paraId="758998E9" w14:textId="5B3B5A70" w:rsidR="00854613" w:rsidRPr="00EC0229" w:rsidRDefault="00854613" w:rsidP="007600EA">
      <w:pPr>
        <w:pStyle w:val="NoSpacing"/>
        <w:spacing w:line="360" w:lineRule="auto"/>
        <w:jc w:val="center"/>
        <w:rPr>
          <w:sz w:val="20"/>
          <w:szCs w:val="20"/>
        </w:rPr>
      </w:pPr>
      <w:r w:rsidRPr="00EC0229">
        <w:rPr>
          <w:sz w:val="20"/>
          <w:szCs w:val="20"/>
        </w:rPr>
        <w:t>(PAS</w:t>
      </w:r>
      <w:r w:rsidR="008960AE" w:rsidRPr="00EC0229">
        <w:rPr>
          <w:sz w:val="20"/>
          <w:szCs w:val="20"/>
        </w:rPr>
        <w:fldChar w:fldCharType="begin"/>
      </w:r>
      <w:r w:rsidR="008960AE" w:rsidRPr="00EC0229">
        <w:rPr>
          <w:sz w:val="20"/>
          <w:szCs w:val="20"/>
        </w:rPr>
        <w:instrText xml:space="preserve"> XE "PAS" </w:instrText>
      </w:r>
      <w:r w:rsidR="008960AE" w:rsidRPr="00EC0229">
        <w:rPr>
          <w:sz w:val="20"/>
          <w:szCs w:val="20"/>
        </w:rPr>
        <w:fldChar w:fldCharType="end"/>
      </w:r>
      <w:r w:rsidRPr="00EC0229">
        <w:rPr>
          <w:sz w:val="20"/>
          <w:szCs w:val="20"/>
        </w:rPr>
        <w:t xml:space="preserve"> SWYOR-236F00)</w:t>
      </w:r>
    </w:p>
    <w:p w14:paraId="0F09598D" w14:textId="77777777" w:rsidR="003852DA" w:rsidRPr="00EC0229" w:rsidRDefault="003852DA" w:rsidP="007600EA">
      <w:pPr>
        <w:pStyle w:val="NoSpacing"/>
        <w:spacing w:line="360" w:lineRule="auto"/>
        <w:jc w:val="center"/>
        <w:rPr>
          <w:sz w:val="20"/>
          <w:szCs w:val="20"/>
        </w:rPr>
      </w:pPr>
    </w:p>
    <w:p w14:paraId="3ABC0B9F" w14:textId="2E6DEED3" w:rsidR="00854613" w:rsidRPr="00EC0229" w:rsidRDefault="00854613" w:rsidP="007600EA">
      <w:pPr>
        <w:pStyle w:val="NoSpacing"/>
        <w:spacing w:line="360" w:lineRule="auto"/>
      </w:pPr>
      <w:r w:rsidRPr="00EC0229">
        <w:t>A tremissis</w:t>
      </w:r>
      <w:r w:rsidR="008960AE" w:rsidRPr="00EC0229">
        <w:fldChar w:fldCharType="begin"/>
      </w:r>
      <w:r w:rsidR="008960AE" w:rsidRPr="00EC0229">
        <w:instrText xml:space="preserve"> XE "</w:instrText>
      </w:r>
      <w:r w:rsidR="008960AE" w:rsidRPr="00EC0229">
        <w:rPr>
          <w:rFonts w:eastAsia="Times New Roman" w:cs="Times New Roman"/>
        </w:rPr>
        <w:instrText>tremissis</w:instrText>
      </w:r>
      <w:r w:rsidR="008960AE" w:rsidRPr="00EC0229">
        <w:instrText xml:space="preserve">" </w:instrText>
      </w:r>
      <w:r w:rsidR="008960AE" w:rsidRPr="00EC0229">
        <w:fldChar w:fldCharType="end"/>
      </w:r>
      <w:r w:rsidRPr="00EC0229">
        <w:t>-like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coin </w:t>
      </w:r>
      <w:r w:rsidR="00AE3115" w:rsidRPr="00EC0229">
        <w:rPr>
          <w:szCs w:val="24"/>
        </w:rPr>
        <w:t>(</w:t>
      </w:r>
      <w:r w:rsidR="003852DA" w:rsidRPr="00EC0229">
        <w:rPr>
          <w:szCs w:val="24"/>
        </w:rPr>
        <w:fldChar w:fldCharType="begin"/>
      </w:r>
      <w:r w:rsidR="003852DA" w:rsidRPr="00EC0229">
        <w:rPr>
          <w:szCs w:val="24"/>
        </w:rPr>
        <w:instrText xml:space="preserve"> REF _Ref430248794 \h </w:instrText>
      </w:r>
      <w:r w:rsidR="00C6481E" w:rsidRPr="00EC0229">
        <w:rPr>
          <w:szCs w:val="24"/>
        </w:rPr>
        <w:instrText xml:space="preserve"> \* MERGEFORMAT </w:instrText>
      </w:r>
      <w:r w:rsidR="003852DA" w:rsidRPr="00EC0229">
        <w:rPr>
          <w:szCs w:val="24"/>
        </w:rPr>
      </w:r>
      <w:r w:rsidR="003852DA"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108</w:t>
      </w:r>
      <w:r w:rsidR="003852DA" w:rsidRPr="00EC0229">
        <w:rPr>
          <w:szCs w:val="24"/>
        </w:rPr>
        <w:fldChar w:fldCharType="end"/>
      </w:r>
      <w:r w:rsidR="00AE3115" w:rsidRPr="00EC0229">
        <w:t xml:space="preserve">) </w:t>
      </w:r>
      <w:r w:rsidRPr="00EC0229">
        <w:t>of uncertain origin and struck from dies substantially larger than the flan, was found at North Cave</w:t>
      </w:r>
      <w:r w:rsidR="006B1593" w:rsidRPr="00EC0229">
        <w:fldChar w:fldCharType="begin"/>
      </w:r>
      <w:r w:rsidR="006B1593" w:rsidRPr="00EC0229">
        <w:instrText xml:space="preserve"> XE "</w:instrText>
      </w:r>
      <w:r w:rsidR="006B1593" w:rsidRPr="00EC0229">
        <w:rPr>
          <w:rStyle w:val="Hyperlink"/>
          <w:noProof/>
          <w:u w:val="none"/>
        </w:rPr>
        <w:instrText>North Cave</w:instrText>
      </w:r>
      <w:r w:rsidR="006B1593" w:rsidRPr="00EC0229">
        <w:instrText xml:space="preserve">" </w:instrText>
      </w:r>
      <w:r w:rsidR="006B1593" w:rsidRPr="00EC0229">
        <w:fldChar w:fldCharType="end"/>
      </w:r>
      <w:r w:rsidRPr="00EC0229">
        <w:t xml:space="preserve">, which is on the ancient western track from Ferriby, a trade route inland from the Humber crossing. This was </w:t>
      </w:r>
      <w:r w:rsidR="002226A8" w:rsidRPr="00EC0229">
        <w:t xml:space="preserve">referred to </w:t>
      </w:r>
      <w:r w:rsidRPr="00EC0229">
        <w:t>Pol, a leading expert on this material, but he was unable to give any specific identification other than hinting that it may well have been struck unofficially. Sceats of Series</w:t>
      </w:r>
      <w:r w:rsidR="00D142DC" w:rsidRPr="00EC0229">
        <w:fldChar w:fldCharType="begin"/>
      </w:r>
      <w:r w:rsidR="00D142DC" w:rsidRPr="00EC0229">
        <w:instrText xml:space="preserve"> XE "Series" </w:instrText>
      </w:r>
      <w:r w:rsidR="00D142DC" w:rsidRPr="00EC0229">
        <w:fldChar w:fldCharType="end"/>
      </w:r>
      <w:r w:rsidRPr="00EC0229">
        <w:t xml:space="preserve"> J </w:t>
      </w:r>
      <w:r w:rsidR="00B86B98" w:rsidRPr="00EC0229">
        <w:t xml:space="preserve">[5a] </w:t>
      </w:r>
      <w:r w:rsidR="00862F15" w:rsidRPr="00EC0229">
        <w:t>and</w:t>
      </w:r>
      <w:r w:rsidRPr="00EC0229">
        <w:t xml:space="preserve"> </w:t>
      </w:r>
      <w:r w:rsidR="00B86B98" w:rsidRPr="00EC0229">
        <w:t xml:space="preserve">secondary </w:t>
      </w:r>
      <w:r w:rsidRPr="00EC0229">
        <w:t>E</w:t>
      </w:r>
      <w:r w:rsidR="00B86B98" w:rsidRPr="00EC0229">
        <w:t xml:space="preserve"> [5c]</w:t>
      </w:r>
      <w:r w:rsidRPr="00EC0229">
        <w:t>, have also been recorded.</w:t>
      </w:r>
    </w:p>
    <w:p w14:paraId="5B1698AB" w14:textId="77777777" w:rsidR="00854613" w:rsidRPr="00EC0229" w:rsidRDefault="00854613" w:rsidP="007600EA">
      <w:pPr>
        <w:pStyle w:val="NoSpacing"/>
        <w:spacing w:line="360" w:lineRule="auto"/>
      </w:pPr>
    </w:p>
    <w:p w14:paraId="0CEBC405" w14:textId="3631556A" w:rsidR="00854613" w:rsidRPr="007A3166" w:rsidRDefault="00854613" w:rsidP="00C97BF2">
      <w:pPr>
        <w:pStyle w:val="Heading4"/>
        <w:spacing w:line="360" w:lineRule="auto"/>
        <w:rPr>
          <w:b/>
        </w:rPr>
      </w:pPr>
      <w:bookmarkStart w:id="679" w:name="_Toc468266885"/>
      <w:r w:rsidRPr="007A3166">
        <w:rPr>
          <w:b/>
        </w:rPr>
        <w:t>Small Finds</w:t>
      </w:r>
      <w:bookmarkEnd w:id="679"/>
      <w:r w:rsidR="006B1593" w:rsidRPr="007A3166">
        <w:rPr>
          <w:b/>
        </w:rPr>
        <w:fldChar w:fldCharType="begin"/>
      </w:r>
      <w:r w:rsidR="006B1593" w:rsidRPr="007A3166">
        <w:rPr>
          <w:b/>
        </w:rPr>
        <w:instrText xml:space="preserve"> XE "</w:instrText>
      </w:r>
      <w:r w:rsidR="006B1593" w:rsidRPr="007A3166">
        <w:rPr>
          <w:rStyle w:val="Hyperlink"/>
          <w:b/>
          <w:noProof/>
          <w:u w:val="none"/>
        </w:rPr>
        <w:instrText>Small Finds</w:instrText>
      </w:r>
      <w:r w:rsidR="006B1593" w:rsidRPr="007A3166">
        <w:rPr>
          <w:b/>
        </w:rPr>
        <w:instrText xml:space="preserve">" </w:instrText>
      </w:r>
      <w:r w:rsidR="006B1593" w:rsidRPr="007A3166">
        <w:rPr>
          <w:b/>
        </w:rPr>
        <w:fldChar w:fldCharType="end"/>
      </w:r>
    </w:p>
    <w:p w14:paraId="4BCBBCDF" w14:textId="7EFA6B2A" w:rsidR="00854613" w:rsidRPr="00EC0229" w:rsidRDefault="00854613" w:rsidP="007600EA">
      <w:pPr>
        <w:pStyle w:val="NoSpacing"/>
        <w:spacing w:line="360" w:lineRule="auto"/>
      </w:pPr>
      <w:r w:rsidRPr="00EC0229">
        <w:t xml:space="preserve">Bronze Age boats have been excavated at </w:t>
      </w:r>
      <w:bookmarkStart w:id="680" w:name="NorthFerriby"/>
      <w:bookmarkEnd w:id="680"/>
      <w:r w:rsidRPr="00EC0229">
        <w:t>North Ferriby, the ancient north terminal of the Humber crossing.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finds include eleven sceats, mainly of the primary phase, of which </w:t>
      </w:r>
      <w:r w:rsidR="00960398" w:rsidRPr="00EC0229">
        <w:t>three are Aldfrith [4a]</w:t>
      </w:r>
      <w:r w:rsidR="00960398" w:rsidRPr="00EC0229">
        <w:fldChar w:fldCharType="begin"/>
      </w:r>
      <w:r w:rsidR="00960398" w:rsidRPr="00EC0229">
        <w:instrText xml:space="preserve"> XE "Aldfrith" </w:instrText>
      </w:r>
      <w:r w:rsidR="00960398" w:rsidRPr="00EC0229">
        <w:fldChar w:fldCharType="end"/>
      </w:r>
      <w:r w:rsidR="00960398" w:rsidRPr="00EC0229">
        <w:t xml:space="preserve">, two Kentish [4b] and </w:t>
      </w:r>
      <w:r w:rsidRPr="00EC0229">
        <w:t>five Continental types (from Ribe and the Low Countries)</w:t>
      </w:r>
      <w:r w:rsidR="00960398" w:rsidRPr="00EC0229">
        <w:t>, [4c]</w:t>
      </w:r>
      <w:r w:rsidRPr="00EC0229">
        <w:t>, reflecting the flows of a busy coastal site</w:t>
      </w:r>
      <w:r w:rsidR="00AE3115" w:rsidRPr="00EC0229">
        <w:t xml:space="preserve"> (</w:t>
      </w:r>
      <w:r w:rsidR="003852DA" w:rsidRPr="00EC0229">
        <w:fldChar w:fldCharType="begin"/>
      </w:r>
      <w:r w:rsidR="003852DA" w:rsidRPr="00EC0229">
        <w:instrText xml:space="preserve"> REF _Ref430248804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109</w:t>
      </w:r>
      <w:r w:rsidR="003852DA" w:rsidRPr="00EC0229">
        <w:fldChar w:fldCharType="end"/>
      </w:r>
      <w:r w:rsidR="00AE3115" w:rsidRPr="00EC0229">
        <w:t>)</w:t>
      </w:r>
      <w:r w:rsidRPr="00EC0229">
        <w:t xml:space="preserve">. </w:t>
      </w:r>
    </w:p>
    <w:p w14:paraId="621994AC"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48E71045" wp14:editId="63680806">
            <wp:extent cx="581763" cy="561975"/>
            <wp:effectExtent l="0" t="0" r="889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North Ferriby 1048_0151obv.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84120" cy="564252"/>
                    </a:xfrm>
                    <a:prstGeom prst="rect">
                      <a:avLst/>
                    </a:prstGeom>
                  </pic:spPr>
                </pic:pic>
              </a:graphicData>
            </a:graphic>
          </wp:inline>
        </w:drawing>
      </w:r>
      <w:r w:rsidRPr="00EC0229">
        <w:rPr>
          <w:noProof/>
          <w:lang w:eastAsia="en-GB"/>
        </w:rPr>
        <w:drawing>
          <wp:inline distT="0" distB="0" distL="0" distR="0" wp14:anchorId="2908A9AB" wp14:editId="4C61D6A5">
            <wp:extent cx="567400" cy="563376"/>
            <wp:effectExtent l="0" t="0" r="4445" b="825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North Ferriby 1048_0151rev.jp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569965" cy="565922"/>
                    </a:xfrm>
                    <a:prstGeom prst="rect">
                      <a:avLst/>
                    </a:prstGeom>
                  </pic:spPr>
                </pic:pic>
              </a:graphicData>
            </a:graphic>
          </wp:inline>
        </w:drawing>
      </w:r>
      <w:r w:rsidRPr="00EC0229">
        <w:tab/>
      </w:r>
      <w:r w:rsidRPr="00EC0229">
        <w:tab/>
      </w:r>
      <w:r w:rsidRPr="00EC0229">
        <w:rPr>
          <w:noProof/>
          <w:lang w:eastAsia="en-GB"/>
        </w:rPr>
        <w:drawing>
          <wp:inline distT="0" distB="0" distL="0" distR="0" wp14:anchorId="60744364" wp14:editId="674A5028">
            <wp:extent cx="556260" cy="606449"/>
            <wp:effectExtent l="0" t="0" r="0" b="317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North Ferriby 1048_0170obv.jp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561678" cy="612356"/>
                    </a:xfrm>
                    <a:prstGeom prst="rect">
                      <a:avLst/>
                    </a:prstGeom>
                  </pic:spPr>
                </pic:pic>
              </a:graphicData>
            </a:graphic>
          </wp:inline>
        </w:drawing>
      </w:r>
      <w:r w:rsidRPr="00EC0229">
        <w:rPr>
          <w:noProof/>
          <w:lang w:eastAsia="en-GB"/>
        </w:rPr>
        <w:drawing>
          <wp:inline distT="0" distB="0" distL="0" distR="0" wp14:anchorId="28F1FFE6" wp14:editId="66F2ED93">
            <wp:extent cx="624840" cy="633895"/>
            <wp:effectExtent l="0" t="0" r="381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North Ferriby 1048_0170rev.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631938" cy="641096"/>
                    </a:xfrm>
                    <a:prstGeom prst="rect">
                      <a:avLst/>
                    </a:prstGeom>
                  </pic:spPr>
                </pic:pic>
              </a:graphicData>
            </a:graphic>
          </wp:inline>
        </w:drawing>
      </w:r>
      <w:r w:rsidRPr="00EC0229">
        <w:tab/>
      </w:r>
      <w:r w:rsidRPr="00EC0229">
        <w:tab/>
      </w:r>
      <w:r w:rsidRPr="00EC0229">
        <w:rPr>
          <w:noProof/>
          <w:lang w:eastAsia="en-GB"/>
        </w:rPr>
        <w:drawing>
          <wp:inline distT="0" distB="0" distL="0" distR="0" wp14:anchorId="10910423" wp14:editId="26585D20">
            <wp:extent cx="647700" cy="598223"/>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North Ferriby 2006_0223obv.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658514" cy="608211"/>
                    </a:xfrm>
                    <a:prstGeom prst="rect">
                      <a:avLst/>
                    </a:prstGeom>
                  </pic:spPr>
                </pic:pic>
              </a:graphicData>
            </a:graphic>
          </wp:inline>
        </w:drawing>
      </w:r>
      <w:r w:rsidRPr="00EC0229">
        <w:rPr>
          <w:noProof/>
          <w:lang w:eastAsia="en-GB"/>
        </w:rPr>
        <w:drawing>
          <wp:inline distT="0" distB="0" distL="0" distR="0" wp14:anchorId="26F9671F" wp14:editId="48F5E993">
            <wp:extent cx="586740" cy="613614"/>
            <wp:effectExtent l="0" t="0" r="381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North Ferriby 2006_0223rev.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591961" cy="619074"/>
                    </a:xfrm>
                    <a:prstGeom prst="rect">
                      <a:avLst/>
                    </a:prstGeom>
                  </pic:spPr>
                </pic:pic>
              </a:graphicData>
            </a:graphic>
          </wp:inline>
        </w:drawing>
      </w:r>
    </w:p>
    <w:p w14:paraId="34715574" w14:textId="77DF6035" w:rsidR="00182EC1" w:rsidRPr="00EC0229" w:rsidRDefault="003977B6" w:rsidP="007600EA">
      <w:pPr>
        <w:pStyle w:val="NoSpacing"/>
        <w:spacing w:line="360" w:lineRule="auto"/>
        <w:jc w:val="center"/>
        <w:rPr>
          <w:sz w:val="20"/>
          <w:szCs w:val="20"/>
        </w:rPr>
      </w:pPr>
      <w:bookmarkStart w:id="681" w:name="_Ref430248804"/>
      <w:bookmarkStart w:id="682" w:name="_Toc468267081"/>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109</w:t>
      </w:r>
      <w:r w:rsidR="00B609E3" w:rsidRPr="00EC0229">
        <w:rPr>
          <w:sz w:val="20"/>
          <w:szCs w:val="20"/>
        </w:rPr>
        <w:fldChar w:fldCharType="end"/>
      </w:r>
      <w:bookmarkEnd w:id="681"/>
      <w:r w:rsidR="00AE3115" w:rsidRPr="00EC0229">
        <w:rPr>
          <w:sz w:val="20"/>
          <w:szCs w:val="20"/>
        </w:rPr>
        <w:t xml:space="preserve">: </w:t>
      </w:r>
      <w:r w:rsidR="00854613" w:rsidRPr="00EC0229">
        <w:rPr>
          <w:sz w:val="20"/>
          <w:szCs w:val="20"/>
        </w:rPr>
        <w:t>North Ferriby</w:t>
      </w:r>
      <w:r w:rsidR="00182EC1" w:rsidRPr="00EC0229">
        <w:rPr>
          <w:sz w:val="20"/>
          <w:szCs w:val="20"/>
        </w:rPr>
        <w:t xml:space="preserve"> sceats</w:t>
      </w:r>
      <w:bookmarkEnd w:id="682"/>
    </w:p>
    <w:p w14:paraId="0A696646" w14:textId="3D348410" w:rsidR="00854613" w:rsidRPr="00EC0229" w:rsidRDefault="00AE3115" w:rsidP="007600EA">
      <w:pPr>
        <w:pStyle w:val="NoSpacing"/>
        <w:spacing w:line="360" w:lineRule="auto"/>
        <w:jc w:val="center"/>
        <w:rPr>
          <w:sz w:val="20"/>
          <w:szCs w:val="20"/>
        </w:rPr>
      </w:pPr>
      <w:r w:rsidRPr="00EC0229">
        <w:rPr>
          <w:sz w:val="20"/>
          <w:szCs w:val="20"/>
        </w:rPr>
        <w:t xml:space="preserve">L-R: </w:t>
      </w:r>
      <w:r w:rsidR="00854613" w:rsidRPr="00EC0229">
        <w:rPr>
          <w:sz w:val="20"/>
          <w:szCs w:val="20"/>
        </w:rPr>
        <w:t>Primary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854613" w:rsidRPr="00EC0229">
        <w:rPr>
          <w:sz w:val="20"/>
          <w:szCs w:val="20"/>
        </w:rPr>
        <w:t xml:space="preserve"> E</w:t>
      </w:r>
      <w:r w:rsidR="008344F3" w:rsidRPr="00EC0229">
        <w:rPr>
          <w:sz w:val="20"/>
          <w:szCs w:val="20"/>
        </w:rPr>
        <w:fldChar w:fldCharType="begin"/>
      </w:r>
      <w:r w:rsidR="008344F3" w:rsidRPr="00EC0229">
        <w:rPr>
          <w:sz w:val="20"/>
          <w:szCs w:val="20"/>
        </w:rPr>
        <w:instrText xml:space="preserve"> XE "Series E" </w:instrText>
      </w:r>
      <w:r w:rsidR="008344F3" w:rsidRPr="00EC0229">
        <w:rPr>
          <w:sz w:val="20"/>
          <w:szCs w:val="20"/>
        </w:rPr>
        <w:fldChar w:fldCharType="end"/>
      </w:r>
      <w:r w:rsidR="00854613" w:rsidRPr="00EC0229">
        <w:rPr>
          <w:sz w:val="20"/>
          <w:szCs w:val="20"/>
        </w:rPr>
        <w:t>, ‘plumed bird’ variety, ‘Wodan’ type, and a pristine specimen of Aldfrith</w:t>
      </w:r>
      <w:r w:rsidR="00D142DC" w:rsidRPr="00EC0229">
        <w:rPr>
          <w:sz w:val="20"/>
          <w:szCs w:val="20"/>
        </w:rPr>
        <w:fldChar w:fldCharType="begin"/>
      </w:r>
      <w:r w:rsidR="00D142DC" w:rsidRPr="00EC0229">
        <w:rPr>
          <w:sz w:val="20"/>
          <w:szCs w:val="20"/>
        </w:rPr>
        <w:instrText xml:space="preserve"> XE "Aldfrith" </w:instrText>
      </w:r>
      <w:r w:rsidR="00D142DC" w:rsidRPr="00EC0229">
        <w:rPr>
          <w:sz w:val="20"/>
          <w:szCs w:val="20"/>
        </w:rPr>
        <w:fldChar w:fldCharType="end"/>
      </w:r>
      <w:r w:rsidR="00854613" w:rsidRPr="00EC0229">
        <w:rPr>
          <w:sz w:val="20"/>
          <w:szCs w:val="20"/>
        </w:rPr>
        <w:t xml:space="preserve"> </w:t>
      </w:r>
      <w:r w:rsidR="00011DE7" w:rsidRPr="00EC0229">
        <w:rPr>
          <w:sz w:val="20"/>
          <w:szCs w:val="20"/>
        </w:rPr>
        <w:t>(Courtesy</w:t>
      </w:r>
      <w:r w:rsidR="00854613" w:rsidRPr="00EC0229">
        <w:rPr>
          <w:sz w:val="20"/>
          <w:szCs w:val="20"/>
        </w:rPr>
        <w:t xml:space="preserve"> 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00854613" w:rsidRPr="00EC0229">
        <w:rPr>
          <w:sz w:val="20"/>
          <w:szCs w:val="20"/>
        </w:rPr>
        <w:t>)</w:t>
      </w:r>
    </w:p>
    <w:p w14:paraId="08855277" w14:textId="77777777" w:rsidR="00854613" w:rsidRPr="00EC0229" w:rsidRDefault="00854613" w:rsidP="007600EA">
      <w:pPr>
        <w:pStyle w:val="NoSpacing"/>
        <w:spacing w:line="360" w:lineRule="auto"/>
      </w:pPr>
    </w:p>
    <w:p w14:paraId="7DB95A32" w14:textId="24D728BF" w:rsidR="00854613" w:rsidRPr="00EC0229" w:rsidRDefault="00854613" w:rsidP="007600EA">
      <w:pPr>
        <w:pStyle w:val="NoSpacing"/>
        <w:spacing w:line="360" w:lineRule="auto"/>
      </w:pPr>
      <w:r w:rsidRPr="00EC0229">
        <w:t>Of comparable scale are finds from the parishes of Skipenbeck, Everingham, Thorpe-le-Street, Harswell and Market Weighton (including a sceat of Eardwulf) in the vicinity of which, continuation of sub-Roman</w:t>
      </w:r>
      <w:r w:rsidR="00D142DC" w:rsidRPr="00EC0229">
        <w:fldChar w:fldCharType="begin"/>
      </w:r>
      <w:r w:rsidR="00D142DC" w:rsidRPr="00EC0229">
        <w:instrText xml:space="preserve"> XE "Roman" </w:instrText>
      </w:r>
      <w:r w:rsidR="00D142DC" w:rsidRPr="00EC0229">
        <w:fldChar w:fldCharType="end"/>
      </w:r>
      <w:r w:rsidRPr="00EC0229">
        <w:t xml:space="preserve"> industrial activity</w:t>
      </w:r>
      <w:r w:rsidR="00807A18" w:rsidRPr="00EC0229">
        <w:t>,</w:t>
      </w:r>
      <w:r w:rsidRPr="00EC0229">
        <w:t xml:space="preserve"> is little in evidence.</w:t>
      </w:r>
      <w:r w:rsidRPr="00EC0229">
        <w:rPr>
          <w:rStyle w:val="FootnoteReference"/>
        </w:rPr>
        <w:footnoteReference w:id="1013"/>
      </w:r>
    </w:p>
    <w:p w14:paraId="4AC62E7E" w14:textId="77777777" w:rsidR="00854613" w:rsidRPr="00EC0229" w:rsidRDefault="00854613" w:rsidP="007600EA">
      <w:pPr>
        <w:pStyle w:val="NoSpacing"/>
        <w:spacing w:line="360" w:lineRule="auto"/>
      </w:pPr>
    </w:p>
    <w:p w14:paraId="2FF27B34" w14:textId="07321E0D" w:rsidR="00854613" w:rsidRPr="00EC0229" w:rsidRDefault="00B319D0" w:rsidP="007600EA">
      <w:pPr>
        <w:pStyle w:val="NoSpacing"/>
        <w:spacing w:line="360" w:lineRule="auto"/>
      </w:pPr>
      <w:r w:rsidRPr="00EC0229">
        <w:t>Finds from ten other sites demonstrate the widespread use of both silver and base coin in this area, albeit in modest numbers,</w:t>
      </w:r>
      <w:r w:rsidRPr="00EC0229">
        <w:rPr>
          <w:i/>
          <w:sz w:val="20"/>
          <w:szCs w:val="20"/>
        </w:rPr>
        <w:t xml:space="preserve">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Pr="00EC0229">
        <w:rPr>
          <w:i/>
          <w:szCs w:val="24"/>
        </w:rPr>
        <w:t xml:space="preserve"> </w:t>
      </w:r>
      <w:r w:rsidR="00635D9A" w:rsidRPr="00EC0229">
        <w:rPr>
          <w:i/>
          <w:szCs w:val="24"/>
        </w:rPr>
        <w:t>8.1</w:t>
      </w:r>
      <w:r w:rsidR="00914CF8" w:rsidRPr="00EC0229">
        <w:rPr>
          <w:i/>
          <w:szCs w:val="24"/>
        </w:rPr>
        <w:t>7</w:t>
      </w:r>
      <w:r w:rsidR="004640F9" w:rsidRPr="00EC0229">
        <w:rPr>
          <w:i/>
          <w:szCs w:val="24"/>
        </w:rPr>
        <w:t>i)</w:t>
      </w:r>
      <w:r w:rsidR="00E1065A" w:rsidRPr="00EC0229">
        <w:rPr>
          <w:i/>
          <w:szCs w:val="24"/>
        </w:rPr>
        <w:t xml:space="preserve"> west</w:t>
      </w:r>
      <w:r w:rsidR="00E1065A" w:rsidRPr="00EC0229">
        <w:rPr>
          <w:szCs w:val="24"/>
        </w:rPr>
        <w:t>.</w:t>
      </w:r>
      <w:r w:rsidRPr="00EC0229">
        <w:t xml:space="preserve"> This is merely the detectable tip of the iceberg, for instance, styca finds from Middleton-on-the-Wolds</w:t>
      </w:r>
      <w:r w:rsidRPr="00EC0229">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fldChar w:fldCharType="end"/>
      </w:r>
      <w:r w:rsidRPr="00EC0229">
        <w:t xml:space="preserve">, </w:t>
      </w:r>
      <w:r w:rsidR="00854613" w:rsidRPr="00EC0229">
        <w:t>a site rich in Roman</w:t>
      </w:r>
      <w:r w:rsidR="00D142DC" w:rsidRPr="00EC0229">
        <w:fldChar w:fldCharType="begin"/>
      </w:r>
      <w:r w:rsidR="00D142DC" w:rsidRPr="00EC0229">
        <w:instrText xml:space="preserve"> XE "Roman" </w:instrText>
      </w:r>
      <w:r w:rsidR="00D142DC" w:rsidRPr="00EC0229">
        <w:fldChar w:fldCharType="end"/>
      </w:r>
      <w:r w:rsidR="00854613" w:rsidRPr="00EC0229">
        <w:t xml:space="preserve"> and Iron Age coins, are reported informally.</w:t>
      </w:r>
      <w:r w:rsidR="00854613" w:rsidRPr="00EC0229">
        <w:rPr>
          <w:rStyle w:val="FootnoteReference"/>
        </w:rPr>
        <w:footnoteReference w:id="1014"/>
      </w:r>
    </w:p>
    <w:p w14:paraId="046D5528" w14:textId="77777777" w:rsidR="00854613" w:rsidRPr="00EC0229" w:rsidRDefault="00854613" w:rsidP="007600EA">
      <w:pPr>
        <w:pStyle w:val="NoSpacing"/>
        <w:spacing w:line="360" w:lineRule="auto"/>
      </w:pPr>
    </w:p>
    <w:p w14:paraId="71689C25" w14:textId="751B0C6D" w:rsidR="00854613" w:rsidRPr="007A3166" w:rsidRDefault="00854613" w:rsidP="00C97BF2">
      <w:pPr>
        <w:pStyle w:val="Heading4"/>
        <w:spacing w:line="360" w:lineRule="auto"/>
        <w:rPr>
          <w:b/>
        </w:rPr>
      </w:pPr>
      <w:bookmarkStart w:id="683" w:name="Flixborough"/>
      <w:bookmarkStart w:id="684" w:name="_Toc468266886"/>
      <w:bookmarkEnd w:id="683"/>
      <w:r w:rsidRPr="007A3166">
        <w:rPr>
          <w:b/>
        </w:rPr>
        <w:t>Flixborough</w:t>
      </w:r>
      <w:bookmarkEnd w:id="684"/>
      <w:r w:rsidR="006B1593" w:rsidRPr="007A3166">
        <w:rPr>
          <w:b/>
        </w:rPr>
        <w:fldChar w:fldCharType="begin"/>
      </w:r>
      <w:r w:rsidR="006B1593" w:rsidRPr="007A3166">
        <w:rPr>
          <w:b/>
        </w:rPr>
        <w:instrText xml:space="preserve"> XE "</w:instrText>
      </w:r>
      <w:r w:rsidR="006B1593" w:rsidRPr="007A3166">
        <w:rPr>
          <w:rStyle w:val="Hyperlink"/>
          <w:b/>
          <w:noProof/>
          <w:u w:val="none"/>
        </w:rPr>
        <w:instrText>Flixborough</w:instrText>
      </w:r>
      <w:r w:rsidR="006B1593" w:rsidRPr="007A3166">
        <w:rPr>
          <w:b/>
        </w:rPr>
        <w:instrText xml:space="preserve">" </w:instrText>
      </w:r>
      <w:r w:rsidR="006B1593" w:rsidRPr="007A3166">
        <w:rPr>
          <w:b/>
        </w:rPr>
        <w:fldChar w:fldCharType="end"/>
      </w:r>
    </w:p>
    <w:p w14:paraId="553B359F" w14:textId="06EA7036" w:rsidR="00854613" w:rsidRPr="00EC0229" w:rsidRDefault="00854613" w:rsidP="007600EA">
      <w:pPr>
        <w:pStyle w:val="NoSpacing"/>
        <w:spacing w:line="360" w:lineRule="auto"/>
      </w:pPr>
      <w:r w:rsidRPr="00EC0229">
        <w:t>A comparison with the findings of archaeological</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fldChar w:fldCharType="end"/>
      </w:r>
      <w:r w:rsidRPr="00EC0229">
        <w:t xml:space="preserve"> exploration at Flixborough</w:t>
      </w:r>
      <w:r w:rsidR="006B1593" w:rsidRPr="00EC0229">
        <w:fldChar w:fldCharType="begin"/>
      </w:r>
      <w:r w:rsidR="006B1593" w:rsidRPr="00EC0229">
        <w:instrText xml:space="preserve"> XE "</w:instrText>
      </w:r>
      <w:r w:rsidR="006B1593" w:rsidRPr="00EC0229">
        <w:rPr>
          <w:rStyle w:val="Hyperlink"/>
          <w:noProof/>
          <w:u w:val="none"/>
        </w:rPr>
        <w:instrText>Flixborough</w:instrText>
      </w:r>
      <w:r w:rsidR="006B1593" w:rsidRPr="00EC0229">
        <w:instrText xml:space="preserve">" </w:instrText>
      </w:r>
      <w:r w:rsidR="006B1593" w:rsidRPr="00EC0229">
        <w:fldChar w:fldCharType="end"/>
      </w:r>
      <w:r w:rsidRPr="00EC0229">
        <w:t xml:space="preserve"> may be helpful, especially as the site is located on the Lincolnshire continuation of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on a north-south axis across the Humber Gap, only eight miles south of the Humber. Anglo-Scandinavian influence is apparent and there are many medieval deserted villages. At Flixborough, the material culture is demonstrated by the rich variety of finds including an intact carpenter’s tool kit, a ring inscribed with the first half of the alphabet and many styli.</w:t>
      </w:r>
      <w:r w:rsidRPr="00EC0229">
        <w:rPr>
          <w:rStyle w:val="FootnoteReference"/>
        </w:rPr>
        <w:footnoteReference w:id="1015"/>
      </w:r>
      <w:r w:rsidRPr="00EC0229">
        <w:t xml:space="preserve"> Pollen and spore analysis has enable identification of rotational practices far earlier than previously thought. </w:t>
      </w:r>
    </w:p>
    <w:p w14:paraId="5B84EA1B" w14:textId="77777777" w:rsidR="00854613" w:rsidRPr="00EC0229" w:rsidRDefault="00854613" w:rsidP="007600EA">
      <w:pPr>
        <w:pStyle w:val="NoSpacing"/>
        <w:spacing w:line="360" w:lineRule="auto"/>
      </w:pPr>
    </w:p>
    <w:p w14:paraId="1515E361" w14:textId="3E8CEABE" w:rsidR="00854613" w:rsidRPr="00EC0229" w:rsidRDefault="00854613" w:rsidP="007600EA">
      <w:pPr>
        <w:pStyle w:val="NoSpacing"/>
        <w:spacing w:line="360" w:lineRule="auto"/>
      </w:pPr>
      <w:r w:rsidRPr="00EC0229">
        <w:t>At least fifty-six sceats and stycas have been unearthed at Flixborough</w:t>
      </w:r>
      <w:r w:rsidR="006B1593" w:rsidRPr="00EC0229">
        <w:fldChar w:fldCharType="begin"/>
      </w:r>
      <w:r w:rsidR="006B1593" w:rsidRPr="00EC0229">
        <w:instrText xml:space="preserve"> XE "</w:instrText>
      </w:r>
      <w:r w:rsidR="006B1593" w:rsidRPr="00EC0229">
        <w:rPr>
          <w:rStyle w:val="Hyperlink"/>
          <w:noProof/>
          <w:u w:val="none"/>
        </w:rPr>
        <w:instrText>Flixborough</w:instrText>
      </w:r>
      <w:r w:rsidR="006B1593" w:rsidRPr="00EC0229">
        <w:instrText xml:space="preserve">" </w:instrText>
      </w:r>
      <w:r w:rsidR="006B1593" w:rsidRPr="00EC0229">
        <w:fldChar w:fldCharType="end"/>
      </w:r>
      <w:r w:rsidRPr="00EC0229">
        <w:t>.</w:t>
      </w:r>
      <w:r w:rsidRPr="00EC0229">
        <w:rPr>
          <w:rStyle w:val="FootnoteReference"/>
        </w:rPr>
        <w:t xml:space="preserve"> </w:t>
      </w:r>
      <w:r w:rsidRPr="00EC0229">
        <w:rPr>
          <w:rStyle w:val="FootnoteReference"/>
        </w:rPr>
        <w:footnoteReference w:id="1016"/>
      </w:r>
      <w:r w:rsidRPr="00EC0229">
        <w:t xml:space="preserve"> The six primary sceats are all from the Low Countries,</w:t>
      </w:r>
      <w:r w:rsidRPr="00EC0229">
        <w:rPr>
          <w:rStyle w:val="FootnoteReference"/>
        </w:rPr>
        <w:footnoteReference w:id="1017"/>
      </w:r>
      <w:r w:rsidRPr="00EC0229">
        <w:t xml:space="preserve"> while the twenty-three secondary sceats are more mixed: there are </w:t>
      </w:r>
      <w:r w:rsidR="00723F6E" w:rsidRPr="00EC0229">
        <w:t>four Series</w:t>
      </w:r>
      <w:r w:rsidR="00723F6E" w:rsidRPr="00EC0229">
        <w:fldChar w:fldCharType="begin"/>
      </w:r>
      <w:r w:rsidR="00723F6E" w:rsidRPr="00EC0229">
        <w:instrText xml:space="preserve"> XE "Series" </w:instrText>
      </w:r>
      <w:r w:rsidR="00723F6E" w:rsidRPr="00EC0229">
        <w:fldChar w:fldCharType="end"/>
      </w:r>
      <w:r w:rsidR="00723F6E" w:rsidRPr="00EC0229">
        <w:t xml:space="preserve"> J varieties [5a],</w:t>
      </w:r>
      <w:r w:rsidR="00723F6E" w:rsidRPr="00EC0229">
        <w:rPr>
          <w:rStyle w:val="FootnoteReference"/>
        </w:rPr>
        <w:footnoteReference w:id="1018"/>
      </w:r>
      <w:r w:rsidR="00723F6E" w:rsidRPr="00EC0229">
        <w:t xml:space="preserve"> and </w:t>
      </w:r>
      <w:r w:rsidRPr="00EC0229">
        <w:t>two sceats of Eadberht</w:t>
      </w:r>
      <w:r w:rsidR="00723F6E" w:rsidRPr="00EC0229">
        <w:t xml:space="preserve"> [N6]</w:t>
      </w:r>
      <w:r w:rsidR="00D142DC" w:rsidRPr="00EC0229">
        <w:fldChar w:fldCharType="begin"/>
      </w:r>
      <w:r w:rsidR="00D142DC" w:rsidRPr="00EC0229">
        <w:instrText xml:space="preserve"> XE "Eadberht" </w:instrText>
      </w:r>
      <w:r w:rsidR="00D142DC" w:rsidRPr="00EC0229">
        <w:fldChar w:fldCharType="end"/>
      </w:r>
      <w:r w:rsidRPr="00EC0229">
        <w:t>, but Continental varieties, from Domburg, Dorestad and Quentovic</w:t>
      </w:r>
      <w:r w:rsidR="00723F6E" w:rsidRPr="00EC0229">
        <w:t xml:space="preserve"> [4c]</w:t>
      </w:r>
      <w:r w:rsidRPr="00EC0229">
        <w:t>, still constitute more than half the total.</w:t>
      </w:r>
      <w:r w:rsidRPr="00EC0229">
        <w:rPr>
          <w:rStyle w:val="FootnoteReference"/>
        </w:rPr>
        <w:footnoteReference w:id="1019"/>
      </w:r>
      <w:r w:rsidRPr="00EC0229">
        <w:t xml:space="preserve"> While this is not proof of direct trade, as none is pris</w:t>
      </w:r>
      <w:r w:rsidR="00A43EB9" w:rsidRPr="00EC0229">
        <w:t>tine, exports of wool from the W</w:t>
      </w:r>
      <w:r w:rsidRPr="00EC0229">
        <w:t>olds could be implied.</w:t>
      </w:r>
      <w:r w:rsidRPr="00EC0229">
        <w:rPr>
          <w:rStyle w:val="FootnoteReference"/>
        </w:rPr>
        <w:footnoteReference w:id="1020"/>
      </w:r>
      <w:r w:rsidRPr="00EC0229">
        <w:t xml:space="preserve"> Archibald surmises that imported sceats may not have been recycled as there was no mint nearby.</w:t>
      </w:r>
      <w:r w:rsidRPr="00EC0229">
        <w:rPr>
          <w:rStyle w:val="FootnoteReference"/>
        </w:rPr>
        <w:t xml:space="preserve"> </w:t>
      </w:r>
      <w:r w:rsidRPr="00EC0229">
        <w:rPr>
          <w:rStyle w:val="FootnoteReference"/>
        </w:rPr>
        <w:footnoteReference w:id="1021"/>
      </w:r>
      <w:r w:rsidRPr="00EC0229">
        <w:t xml:space="preserve"> The evidence from the Series J specimens is </w:t>
      </w:r>
      <w:r w:rsidRPr="00EC0229">
        <w:lastRenderedPageBreak/>
        <w:t>insufficient to sway the debate on the source of this Series.</w:t>
      </w:r>
      <w:r w:rsidRPr="00EC0229">
        <w:rPr>
          <w:rStyle w:val="FootnoteReference"/>
        </w:rPr>
        <w:footnoteReference w:id="1022"/>
      </w:r>
      <w:r w:rsidRPr="00EC0229">
        <w:t xml:space="preserve"> Again, Series Q</w:t>
      </w:r>
      <w:r w:rsidR="008344F3" w:rsidRPr="00EC0229">
        <w:fldChar w:fldCharType="begin"/>
      </w:r>
      <w:r w:rsidR="008344F3" w:rsidRPr="00EC0229">
        <w:instrText xml:space="preserve"> XE "Series Q" </w:instrText>
      </w:r>
      <w:r w:rsidR="008344F3" w:rsidRPr="00EC0229">
        <w:fldChar w:fldCharType="end"/>
      </w:r>
      <w:r w:rsidRPr="00EC0229">
        <w:t xml:space="preserve"> </w:t>
      </w:r>
      <w:r w:rsidR="00723F6E" w:rsidRPr="00EC0229">
        <w:t xml:space="preserve">[5b] </w:t>
      </w:r>
      <w:r w:rsidRPr="00EC0229">
        <w:t>has a sole representative, in common with other northern ‘productive sites’ such as Carlisle and Whitby</w:t>
      </w:r>
      <w:r w:rsidR="006B1593" w:rsidRPr="00EC0229">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fldChar w:fldCharType="end"/>
      </w:r>
      <w:r w:rsidRPr="00EC0229">
        <w:t xml:space="preserve">. This and two Series R sceats </w:t>
      </w:r>
      <w:r w:rsidR="00723F6E" w:rsidRPr="00EC0229">
        <w:t xml:space="preserve">[5b] </w:t>
      </w:r>
      <w:r w:rsidRPr="00EC0229">
        <w:t>may show contact with East Anglia.</w:t>
      </w:r>
      <w:r w:rsidRPr="00EC0229">
        <w:rPr>
          <w:rStyle w:val="FootnoteReference"/>
        </w:rPr>
        <w:footnoteReference w:id="1023"/>
      </w:r>
      <w:r w:rsidRPr="00EC0229">
        <w:t xml:space="preserve"> From this relatively small accumulation of coins it is difficult to be confident of the health of domestic trade at this site. Furthermore, what is evident is that coin finds are from a restricted time span of about half a century, commencing in the late seventh</w:t>
      </w:r>
      <w:r w:rsidR="007F14B7" w:rsidRPr="00EC0229">
        <w:t>-</w:t>
      </w:r>
      <w:r w:rsidR="00C44B02">
        <w:t xml:space="preserve"> or early eighth </w:t>
      </w:r>
      <w:r w:rsidRPr="00EC0229">
        <w:t>century, well after this high-status site had been established, and ceasing before the decline in alloy of secondary sceats.</w:t>
      </w:r>
      <w:r w:rsidRPr="00EC0229">
        <w:rPr>
          <w:rStyle w:val="FootnoteReference"/>
        </w:rPr>
        <w:footnoteReference w:id="1024"/>
      </w:r>
      <w:r w:rsidRPr="00EC0229">
        <w:t xml:space="preserve"> The delay in commencement may be attributable to gradually commercial evolution at the site. The early cessation may be illusory as sceatta</w:t>
      </w:r>
      <w:r w:rsidR="00D142DC" w:rsidRPr="00EC0229">
        <w:fldChar w:fldCharType="begin"/>
      </w:r>
      <w:r w:rsidR="00D142DC" w:rsidRPr="00EC0229">
        <w:instrText xml:space="preserve"> XE "sceatta" </w:instrText>
      </w:r>
      <w:r w:rsidR="00D142DC" w:rsidRPr="00EC0229">
        <w:fldChar w:fldCharType="end"/>
      </w:r>
      <w:r w:rsidRPr="00EC0229">
        <w:t xml:space="preserve"> usage possibly continued until, even beyond, the appearance of the Offan penny</w:t>
      </w:r>
      <w:r w:rsidR="00D142DC" w:rsidRPr="00EC0229">
        <w:fldChar w:fldCharType="begin"/>
      </w:r>
      <w:r w:rsidR="00D142DC" w:rsidRPr="00EC0229">
        <w:instrText xml:space="preserve"> XE "penny" </w:instrText>
      </w:r>
      <w:r w:rsidR="00D142DC" w:rsidRPr="00EC0229">
        <w:fldChar w:fldCharType="end"/>
      </w:r>
      <w:r w:rsidRPr="00EC0229">
        <w:t xml:space="preserve"> dated to the 760s.</w:t>
      </w:r>
    </w:p>
    <w:p w14:paraId="03C0C45A" w14:textId="77777777" w:rsidR="00854613" w:rsidRPr="00EC0229" w:rsidRDefault="00854613" w:rsidP="007600EA">
      <w:pPr>
        <w:pStyle w:val="NoSpacing"/>
        <w:spacing w:line="360" w:lineRule="auto"/>
      </w:pPr>
    </w:p>
    <w:p w14:paraId="15396872" w14:textId="78571226" w:rsidR="00854613" w:rsidRPr="00EC0229" w:rsidRDefault="00854613" w:rsidP="007600EA">
      <w:pPr>
        <w:pStyle w:val="NoSpacing"/>
        <w:spacing w:line="360" w:lineRule="auto"/>
      </w:pPr>
      <w:r w:rsidRPr="00EC0229">
        <w:t>Of the twenty-seven ninth-century Northumbrian coins, only nine have an identifiable issuer or moneyer, one of which is a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coin of Eanred</w:t>
      </w:r>
      <w:r w:rsidR="00723F6E" w:rsidRPr="00EC0229">
        <w:t xml:space="preserve"> [N9]</w:t>
      </w:r>
      <w:r w:rsidR="00D142DC" w:rsidRPr="00EC0229">
        <w:fldChar w:fldCharType="begin"/>
      </w:r>
      <w:r w:rsidR="00D142DC" w:rsidRPr="00EC0229">
        <w:instrText xml:space="preserve"> XE "Eanred" </w:instrText>
      </w:r>
      <w:r w:rsidR="00D142DC" w:rsidRPr="00EC0229">
        <w:fldChar w:fldCharType="end"/>
      </w:r>
      <w:r w:rsidRPr="00EC0229">
        <w:t>. The others are irregular brass stycas</w:t>
      </w:r>
      <w:r w:rsidR="00723F6E" w:rsidRPr="00EC0229">
        <w:t xml:space="preserve"> [N10c]</w:t>
      </w:r>
      <w:r w:rsidRPr="00EC0229">
        <w:t>, a disproportionately high number, with several dies unseen elsewhere. Archibald speculates that there are some stylistic similarities with the purse hoard from 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 xml:space="preserve">, hinting at an </w:t>
      </w:r>
      <w:r w:rsidRPr="00EC0229">
        <w:rPr>
          <w:i/>
        </w:rPr>
        <w:t>atelier</w:t>
      </w:r>
      <w:r w:rsidR="00A43EB9" w:rsidRPr="00EC0229">
        <w:t xml:space="preserve"> north of the Humber, resting her case</w:t>
      </w:r>
      <w:r w:rsidR="00277B3B" w:rsidRPr="00EC0229">
        <w:t xml:space="preserve"> on</w:t>
      </w:r>
      <w:r w:rsidRPr="00EC0229">
        <w:t xml:space="preserve"> the absence of types from the great styca hoards.</w:t>
      </w:r>
      <w:r w:rsidRPr="00EC0229">
        <w:rPr>
          <w:rStyle w:val="FootnoteReference"/>
        </w:rPr>
        <w:footnoteReference w:id="1025"/>
      </w:r>
      <w:r w:rsidRPr="00EC0229">
        <w:t xml:space="preserve">  The </w:t>
      </w:r>
      <w:r w:rsidR="00A43EB9" w:rsidRPr="00EC0229">
        <w:t>lack</w:t>
      </w:r>
      <w:r w:rsidRPr="00EC0229">
        <w:t xml:space="preserve"> of bronze stycas of Osberht</w:t>
      </w:r>
      <w:r w:rsidR="00D142DC" w:rsidRPr="00EC0229">
        <w:fldChar w:fldCharType="begin"/>
      </w:r>
      <w:r w:rsidR="00D142DC" w:rsidRPr="00EC0229">
        <w:instrText xml:space="preserve"> XE "Osberht" </w:instrText>
      </w:r>
      <w:r w:rsidR="00D142DC" w:rsidRPr="00EC0229">
        <w:fldChar w:fldCharType="end"/>
      </w:r>
      <w:r w:rsidRPr="00EC0229">
        <w:t xml:space="preserve"> or Wulfhere</w:t>
      </w:r>
      <w:r w:rsidR="00723F6E" w:rsidRPr="00EC0229">
        <w:t>, [N10b]</w:t>
      </w:r>
      <w:r w:rsidR="00D142DC" w:rsidRPr="00EC0229">
        <w:fldChar w:fldCharType="begin"/>
      </w:r>
      <w:r w:rsidR="00D142DC" w:rsidRPr="00EC0229">
        <w:instrText xml:space="preserve"> XE "Wulfhere" </w:instrText>
      </w:r>
      <w:r w:rsidR="00D142DC" w:rsidRPr="00EC0229">
        <w:fldChar w:fldCharType="end"/>
      </w:r>
      <w:r w:rsidRPr="00EC0229">
        <w:t>, as occurs in some other northern sites, leads her to venture that the irregular stycas here are a result of the disruption following Redwulf’s usurpation (i.e. they are from the first group of blundered stycas).</w:t>
      </w:r>
    </w:p>
    <w:p w14:paraId="56689649" w14:textId="77777777" w:rsidR="00854613" w:rsidRPr="00EC0229" w:rsidRDefault="00854613" w:rsidP="007600EA">
      <w:pPr>
        <w:pStyle w:val="NoSpacing"/>
        <w:spacing w:line="360" w:lineRule="auto"/>
      </w:pPr>
    </w:p>
    <w:p w14:paraId="055A4331" w14:textId="54FF718A" w:rsidR="00854613" w:rsidRPr="00EC0229" w:rsidRDefault="00A43EB9" w:rsidP="007600EA">
      <w:pPr>
        <w:pStyle w:val="NoSpacing"/>
        <w:spacing w:line="360" w:lineRule="auto"/>
        <w:rPr>
          <w:color w:val="FF0000"/>
        </w:rPr>
      </w:pPr>
      <w:r w:rsidRPr="00EC0229">
        <w:t>All the stycas</w:t>
      </w:r>
      <w:r w:rsidR="00854613" w:rsidRPr="00EC0229">
        <w:t xml:space="preserve"> are more worn than the sceats, suggesting a higher velocity of circulation or greater longevity. Nearly all were extracted from disturbed strata, such that the numismatic contribution to precise site chronology is limited. What is significant, at this south</w:t>
      </w:r>
      <w:r w:rsidRPr="00EC0229">
        <w:t xml:space="preserve">erly location, is that </w:t>
      </w:r>
      <w:r w:rsidR="00854613" w:rsidRPr="00EC0229">
        <w:t>stycas are present in similar numbers to the sceats. The stycas must be assessed in the context of finds of post-sceatta</w:t>
      </w:r>
      <w:r w:rsidR="00D142DC" w:rsidRPr="00EC0229">
        <w:fldChar w:fldCharType="begin"/>
      </w:r>
      <w:r w:rsidR="00D142DC" w:rsidRPr="00EC0229">
        <w:instrText xml:space="preserve"> XE "sceatta" </w:instrText>
      </w:r>
      <w:r w:rsidR="00D142DC" w:rsidRPr="00EC0229">
        <w:fldChar w:fldCharType="end"/>
      </w:r>
      <w:r w:rsidR="00854613" w:rsidRPr="00EC0229">
        <w:t xml:space="preserve"> silver coins, namely, two eighth-century specimens and eight ninth-century pennies. These include a broad denier</w:t>
      </w:r>
      <w:r w:rsidR="004C29A9" w:rsidRPr="00EC0229">
        <w:fldChar w:fldCharType="begin"/>
      </w:r>
      <w:r w:rsidR="004C29A9" w:rsidRPr="00EC0229">
        <w:instrText xml:space="preserve"> XE "</w:instrText>
      </w:r>
      <w:r w:rsidR="004C29A9" w:rsidRPr="00EC0229">
        <w:rPr>
          <w:rFonts w:cs="Times New Roman"/>
          <w:szCs w:val="24"/>
        </w:rPr>
        <w:instrText>denier</w:instrText>
      </w:r>
      <w:r w:rsidR="004C29A9" w:rsidRPr="00EC0229">
        <w:instrText xml:space="preserve">" </w:instrText>
      </w:r>
      <w:r w:rsidR="004C29A9" w:rsidRPr="00EC0229">
        <w:fldChar w:fldCharType="end"/>
      </w:r>
      <w:r w:rsidR="00854613" w:rsidRPr="00EC0229">
        <w:t xml:space="preserve"> of Pepin the Short (751-68),</w:t>
      </w:r>
      <w:r w:rsidR="00854613" w:rsidRPr="00EC0229">
        <w:rPr>
          <w:rStyle w:val="FootnoteReference"/>
        </w:rPr>
        <w:footnoteReference w:id="1026"/>
      </w:r>
      <w:r w:rsidR="00854613" w:rsidRPr="00EC0229">
        <w:t xml:space="preserve"> a light </w:t>
      </w:r>
      <w:r w:rsidR="00854613" w:rsidRPr="00EC0229">
        <w:lastRenderedPageBreak/>
        <w:t>penny</w:t>
      </w:r>
      <w:r w:rsidR="00D142DC" w:rsidRPr="00EC0229">
        <w:fldChar w:fldCharType="begin"/>
      </w:r>
      <w:r w:rsidR="00D142DC" w:rsidRPr="00EC0229">
        <w:instrText xml:space="preserve"> XE "penny" </w:instrText>
      </w:r>
      <w:r w:rsidR="00D142DC" w:rsidRPr="00EC0229">
        <w:fldChar w:fldCharType="end"/>
      </w:r>
      <w:r w:rsidR="00854613" w:rsidRPr="00EC0229">
        <w:t xml:space="preserve"> of Offa</w:t>
      </w:r>
      <w:r w:rsidR="00F66CEB" w:rsidRPr="00EC0229">
        <w:fldChar w:fldCharType="begin"/>
      </w:r>
      <w:r w:rsidR="00F66CEB" w:rsidRPr="00EC0229">
        <w:instrText xml:space="preserve"> XE "</w:instrText>
      </w:r>
      <w:r w:rsidR="00F66CEB" w:rsidRPr="00EC0229">
        <w:rPr>
          <w:rFonts w:cs="Times New Roman"/>
        </w:rPr>
        <w:instrText>Offa</w:instrText>
      </w:r>
      <w:r w:rsidR="00F66CEB" w:rsidRPr="00EC0229">
        <w:instrText xml:space="preserve">" </w:instrText>
      </w:r>
      <w:r w:rsidR="00F66CEB" w:rsidRPr="00EC0229">
        <w:fldChar w:fldCharType="end"/>
      </w:r>
      <w:r w:rsidR="00854613" w:rsidRPr="00EC0229">
        <w:t xml:space="preserve"> (one of the earliest known</w:t>
      </w:r>
      <w:r w:rsidR="00854613" w:rsidRPr="00EC0229">
        <w:rPr>
          <w:rStyle w:val="FootnoteReference"/>
        </w:rPr>
        <w:footnoteReference w:id="1027"/>
      </w:r>
      <w:r w:rsidR="00854613" w:rsidRPr="00EC0229">
        <w:t>)</w:t>
      </w:r>
      <w:r w:rsidR="00DD4AED" w:rsidRPr="00EC0229">
        <w:t>, [S8],</w:t>
      </w:r>
      <w:r w:rsidR="00854613" w:rsidRPr="00EC0229">
        <w:t xml:space="preserve"> and pennies of Archbishop Ceolnoth of Canterbury (833-77), Berhtwulf of Mercia (840-52), and for Wessex: </w:t>
      </w:r>
      <w:r w:rsidR="00854613" w:rsidRPr="00EC0229">
        <w:rPr>
          <w:rFonts w:cs="Times New Roman"/>
        </w:rPr>
        <w:t>Æ</w:t>
      </w:r>
      <w:r w:rsidR="00854613" w:rsidRPr="00EC0229">
        <w:t>thelwulf (</w:t>
      </w:r>
      <w:r w:rsidR="00854613" w:rsidRPr="00EC0229">
        <w:rPr>
          <w:i/>
        </w:rPr>
        <w:t>c.</w:t>
      </w:r>
      <w:r w:rsidR="00854613" w:rsidRPr="00EC0229">
        <w:t xml:space="preserve">855-8), </w:t>
      </w:r>
      <w:r w:rsidR="00854613" w:rsidRPr="00EC0229">
        <w:rPr>
          <w:rFonts w:cs="Times New Roman"/>
        </w:rPr>
        <w:t>Æ</w:t>
      </w:r>
      <w:r w:rsidR="00854613" w:rsidRPr="00EC0229">
        <w:t xml:space="preserve">thelberht </w:t>
      </w:r>
      <w:r w:rsidR="00603F01" w:rsidRPr="00EC0229">
        <w:t xml:space="preserve">(2) </w:t>
      </w:r>
      <w:r w:rsidR="00854613" w:rsidRPr="00EC0229">
        <w:t>(858-865) and Alfred (3) (871-5)</w:t>
      </w:r>
      <w:r w:rsidR="00DD4AED" w:rsidRPr="00EC0229">
        <w:t>, [S9]</w:t>
      </w:r>
      <w:r w:rsidR="00854613" w:rsidRPr="00EC0229">
        <w:t>.</w:t>
      </w:r>
      <w:r w:rsidR="00854613" w:rsidRPr="00EC0229">
        <w:rPr>
          <w:rStyle w:val="FootnoteReference"/>
        </w:rPr>
        <w:footnoteReference w:id="1028"/>
      </w:r>
    </w:p>
    <w:p w14:paraId="72D06C04" w14:textId="77777777" w:rsidR="00854613" w:rsidRPr="00EC0229" w:rsidRDefault="00854613" w:rsidP="007600EA">
      <w:pPr>
        <w:pStyle w:val="NoSpacing"/>
        <w:spacing w:line="360" w:lineRule="auto"/>
      </w:pPr>
    </w:p>
    <w:p w14:paraId="40CCBEA7" w14:textId="77DF107D" w:rsidR="00854613" w:rsidRPr="00EC0229" w:rsidRDefault="00854613" w:rsidP="007600EA">
      <w:pPr>
        <w:pStyle w:val="NoSpacing"/>
        <w:spacing w:line="360" w:lineRule="auto"/>
      </w:pPr>
      <w:r w:rsidRPr="00EC0229">
        <w:t>Archibald notes that these pennies were substantially higher i</w:t>
      </w:r>
      <w:r w:rsidR="00277B3B" w:rsidRPr="00EC0229">
        <w:t>n intrinsic value than the late</w:t>
      </w:r>
      <w:r w:rsidRPr="00EC0229">
        <w:t>, typically debased</w:t>
      </w:r>
      <w:r w:rsidR="00DD4AED" w:rsidRPr="00EC0229">
        <w:t>,</w:t>
      </w:r>
      <w:r w:rsidRPr="00EC0229">
        <w:t xml:space="preserve"> sceats and may indicate an increased sophistication in commodity production – perhaps a shift from export of wool to woollens.</w:t>
      </w:r>
      <w:r w:rsidRPr="00EC0229">
        <w:rPr>
          <w:rStyle w:val="FootnoteReference"/>
        </w:rPr>
        <w:footnoteReference w:id="1029"/>
      </w:r>
      <w:r w:rsidRPr="00EC0229">
        <w:t xml:space="preserve"> Cultural material from the rest of the site does not indicate an economic discontinuity</w:t>
      </w:r>
      <w:r w:rsidR="008960AE" w:rsidRPr="00EC0229">
        <w:fldChar w:fldCharType="begin"/>
      </w:r>
      <w:r w:rsidR="008960AE" w:rsidRPr="00EC0229">
        <w:instrText xml:space="preserve"> XE "discontinuity" </w:instrText>
      </w:r>
      <w:r w:rsidR="008960AE" w:rsidRPr="00EC0229">
        <w:fldChar w:fldCharType="end"/>
      </w:r>
      <w:r w:rsidRPr="00EC0229">
        <w:t>, despite the relatively early disappearance of sceats – none of the later varieties is present. Their replacement by higher value pennies, eventually accompanied by stycas, may show that a bimetallic system evolved in the mid-ninth century, suggesting a strong need for exchange.</w:t>
      </w:r>
    </w:p>
    <w:p w14:paraId="09BAE769" w14:textId="77777777" w:rsidR="00854613" w:rsidRPr="00EC0229" w:rsidRDefault="00854613" w:rsidP="007600EA">
      <w:pPr>
        <w:pStyle w:val="NoSpacing"/>
        <w:spacing w:line="360" w:lineRule="auto"/>
      </w:pPr>
    </w:p>
    <w:p w14:paraId="624C5958" w14:textId="5EC0F3C4" w:rsidR="00854613" w:rsidRPr="00EC0229" w:rsidRDefault="00854613" w:rsidP="007600EA">
      <w:pPr>
        <w:pStyle w:val="NoSpacing"/>
        <w:spacing w:line="360" w:lineRule="auto"/>
      </w:pPr>
      <w:r w:rsidRPr="00EC0229">
        <w:t>In common with Whitby</w:t>
      </w:r>
      <w:r w:rsidR="006B1593" w:rsidRPr="00EC0229">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fldChar w:fldCharType="end"/>
      </w:r>
      <w:r w:rsidRPr="00EC0229">
        <w:t>, Flixborough</w:t>
      </w:r>
      <w:r w:rsidR="006B1593" w:rsidRPr="00EC0229">
        <w:fldChar w:fldCharType="begin"/>
      </w:r>
      <w:r w:rsidR="006B1593" w:rsidRPr="00EC0229">
        <w:instrText xml:space="preserve"> XE "</w:instrText>
      </w:r>
      <w:r w:rsidR="006B1593" w:rsidRPr="00EC0229">
        <w:rPr>
          <w:rStyle w:val="Hyperlink"/>
          <w:noProof/>
          <w:u w:val="none"/>
        </w:rPr>
        <w:instrText>Flixborough</w:instrText>
      </w:r>
      <w:r w:rsidR="006B1593" w:rsidRPr="00EC0229">
        <w:instrText xml:space="preserve">" </w:instrText>
      </w:r>
      <w:r w:rsidR="006B1593" w:rsidRPr="00EC0229">
        <w:fldChar w:fldCharType="end"/>
      </w:r>
      <w:r w:rsidRPr="00EC0229">
        <w:t xml:space="preserve"> has a paucity of bronze stycas </w:t>
      </w:r>
      <w:r w:rsidR="00DD4AED" w:rsidRPr="00EC0229">
        <w:t xml:space="preserve">[N10b] </w:t>
      </w:r>
      <w:r w:rsidRPr="00EC0229">
        <w:t>and a relative abundance of blundered specimens</w:t>
      </w:r>
      <w:r w:rsidR="00DD4AED" w:rsidRPr="00EC0229">
        <w:t xml:space="preserve"> [N10c]</w:t>
      </w:r>
      <w:r w:rsidRPr="00EC0229">
        <w:t xml:space="preserve">, possibly from </w:t>
      </w:r>
      <w:r w:rsidRPr="00EC0229">
        <w:rPr>
          <w:rFonts w:cs="Times New Roman"/>
        </w:rPr>
        <w:t>Æ</w:t>
      </w:r>
      <w:r w:rsidRPr="00EC0229">
        <w:t>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’s restoration - the earlier occurrence of this phenomenon. What significance, if any, this </w:t>
      </w:r>
      <w:r w:rsidR="00505839" w:rsidRPr="00EC0229">
        <w:t xml:space="preserve">distribution </w:t>
      </w:r>
      <w:r w:rsidRPr="00EC0229">
        <w:t xml:space="preserve">has, is yet to be </w:t>
      </w:r>
      <w:r w:rsidR="00505839" w:rsidRPr="00EC0229">
        <w:t>determined</w:t>
      </w:r>
      <w:r w:rsidRPr="00EC0229">
        <w:t>.</w:t>
      </w:r>
    </w:p>
    <w:p w14:paraId="260C79A2" w14:textId="77777777" w:rsidR="00854613" w:rsidRPr="00EC0229" w:rsidRDefault="00854613" w:rsidP="007600EA">
      <w:pPr>
        <w:pStyle w:val="NoSpacing"/>
        <w:spacing w:line="360" w:lineRule="auto"/>
      </w:pPr>
    </w:p>
    <w:p w14:paraId="47A30E92" w14:textId="6A7A303A" w:rsidR="00854613" w:rsidRPr="007A3166" w:rsidRDefault="00854613" w:rsidP="00F91183">
      <w:pPr>
        <w:pStyle w:val="Heading3"/>
      </w:pPr>
      <w:bookmarkStart w:id="685" w:name="_Toc468266887"/>
      <w:r w:rsidRPr="007A3166">
        <w:t>Numismatic Summary</w:t>
      </w:r>
      <w:r w:rsidR="00F91183">
        <w:t xml:space="preserve"> – Wolds west</w:t>
      </w:r>
      <w:bookmarkEnd w:id="685"/>
    </w:p>
    <w:p w14:paraId="554D0098" w14:textId="0AA50CB0" w:rsidR="00080386" w:rsidRDefault="00080386" w:rsidP="007600EA">
      <w:pPr>
        <w:pStyle w:val="NoSpacing"/>
        <w:spacing w:line="360" w:lineRule="auto"/>
      </w:pPr>
      <w:r w:rsidRPr="00A07A08">
        <w:rPr>
          <w:i/>
        </w:rPr>
        <w:t>Graphs 7.0</w:t>
      </w:r>
      <w:r>
        <w:rPr>
          <w:i/>
        </w:rPr>
        <w:t>3</w:t>
      </w:r>
      <w:r w:rsidRPr="00A07A08">
        <w:rPr>
          <w:i/>
        </w:rPr>
        <w:t xml:space="preserve"> </w:t>
      </w:r>
      <w:r>
        <w:t xml:space="preserve">illustrate the chronological dispersal of finds at the main sites. Barmby Moor and Yapham have wider dispersals over all three phases of the coinage and South Newbald has solid representation from Eadberht’s </w:t>
      </w:r>
      <w:proofErr w:type="spellStart"/>
      <w:r w:rsidRPr="00080386">
        <w:rPr>
          <w:i/>
        </w:rPr>
        <w:t>renavtio</w:t>
      </w:r>
      <w:proofErr w:type="spellEnd"/>
      <w:r>
        <w:rPr>
          <w:i/>
        </w:rPr>
        <w:t xml:space="preserve"> </w:t>
      </w:r>
      <w:r w:rsidRPr="00080386">
        <w:t>onwards</w:t>
      </w:r>
      <w:r>
        <w:rPr>
          <w:i/>
        </w:rPr>
        <w:t>.</w:t>
      </w:r>
      <w:r>
        <w:t xml:space="preserve"> Other sites share a similar profile dominated by stycas.</w:t>
      </w:r>
    </w:p>
    <w:p w14:paraId="03E46C12" w14:textId="77777777" w:rsidR="00080386" w:rsidRPr="00080386" w:rsidRDefault="00080386" w:rsidP="007600EA">
      <w:pPr>
        <w:pStyle w:val="NoSpacing"/>
        <w:spacing w:line="360" w:lineRule="auto"/>
        <w:rPr>
          <w:szCs w:val="24"/>
        </w:rPr>
      </w:pPr>
    </w:p>
    <w:p w14:paraId="5572E542" w14:textId="3BE41AEE" w:rsidR="00854613" w:rsidRPr="00EC0229" w:rsidRDefault="00854613" w:rsidP="007600EA">
      <w:pPr>
        <w:pStyle w:val="NoSpacing"/>
        <w:spacing w:line="360" w:lineRule="auto"/>
        <w:rPr>
          <w:szCs w:val="24"/>
        </w:rPr>
      </w:pPr>
      <w:r w:rsidRPr="00EC0229">
        <w:rPr>
          <w:szCs w:val="24"/>
        </w:rPr>
        <w:t>A distinction can be drawn between the north of this area, including the cluster of sites around Pocklington</w:t>
      </w:r>
      <w:r w:rsidR="006B1593" w:rsidRPr="00EC0229">
        <w:rPr>
          <w:szCs w:val="24"/>
        </w:rPr>
        <w:fldChar w:fldCharType="begin"/>
      </w:r>
      <w:r w:rsidR="006B1593" w:rsidRPr="00EC0229">
        <w:instrText xml:space="preserve"> XE "</w:instrText>
      </w:r>
      <w:r w:rsidR="006B1593" w:rsidRPr="00EC0229">
        <w:rPr>
          <w:noProof/>
        </w:rPr>
        <w:instrText>Pocklington</w:instrText>
      </w:r>
      <w:r w:rsidR="006B1593" w:rsidRPr="00EC0229">
        <w:instrText xml:space="preserve">" </w:instrText>
      </w:r>
      <w:r w:rsidR="006B1593" w:rsidRPr="00EC0229">
        <w:rPr>
          <w:szCs w:val="24"/>
        </w:rPr>
        <w:fldChar w:fldCharType="end"/>
      </w:r>
      <w:r w:rsidRPr="00EC0229">
        <w:rPr>
          <w:szCs w:val="24"/>
        </w:rPr>
        <w:t xml:space="preserve"> </w:t>
      </w:r>
      <w:r w:rsidR="009B5820" w:rsidRPr="00EC0229">
        <w:rPr>
          <w:szCs w:val="24"/>
        </w:rPr>
        <w:t>(</w:t>
      </w:r>
      <w:r w:rsidR="00603F01" w:rsidRPr="00EC0229">
        <w:rPr>
          <w:szCs w:val="24"/>
        </w:rPr>
        <w:fldChar w:fldCharType="begin"/>
      </w:r>
      <w:r w:rsidR="00603F01" w:rsidRPr="00EC0229">
        <w:rPr>
          <w:szCs w:val="24"/>
        </w:rPr>
        <w:instrText xml:space="preserve"> PAGEREF Pocklington \h </w:instrText>
      </w:r>
      <w:r w:rsidR="00603F01" w:rsidRPr="00EC0229">
        <w:rPr>
          <w:szCs w:val="24"/>
        </w:rPr>
      </w:r>
      <w:r w:rsidR="00603F01" w:rsidRPr="00EC0229">
        <w:rPr>
          <w:szCs w:val="24"/>
        </w:rPr>
        <w:fldChar w:fldCharType="separate"/>
      </w:r>
      <w:r w:rsidR="0012026B">
        <w:rPr>
          <w:noProof/>
          <w:szCs w:val="24"/>
        </w:rPr>
        <w:t>232</w:t>
      </w:r>
      <w:r w:rsidR="00603F01" w:rsidRPr="00EC0229">
        <w:rPr>
          <w:szCs w:val="24"/>
        </w:rPr>
        <w:fldChar w:fldCharType="end"/>
      </w:r>
      <w:r w:rsidR="009B5820" w:rsidRPr="00EC0229">
        <w:rPr>
          <w:szCs w:val="24"/>
        </w:rPr>
        <w:t xml:space="preserve">), </w:t>
      </w:r>
      <w:r w:rsidRPr="00EC0229">
        <w:rPr>
          <w:szCs w:val="24"/>
        </w:rPr>
        <w:t>which have benefitted from diligent detecting, and the south, particularly South Newbald</w:t>
      </w:r>
      <w:r w:rsidR="006B1593" w:rsidRPr="00EC0229">
        <w:rPr>
          <w:szCs w:val="24"/>
        </w:rPr>
        <w:fldChar w:fldCharType="begin"/>
      </w:r>
      <w:r w:rsidR="006B1593" w:rsidRPr="00EC0229">
        <w:instrText xml:space="preserve"> XE "</w:instrText>
      </w:r>
      <w:r w:rsidR="006B1593" w:rsidRPr="00EC0229">
        <w:rPr>
          <w:noProof/>
        </w:rPr>
        <w:instrText>South Newbald</w:instrText>
      </w:r>
      <w:r w:rsidR="006B1593" w:rsidRPr="00EC0229">
        <w:instrText xml:space="preserve">" </w:instrText>
      </w:r>
      <w:r w:rsidR="006B1593" w:rsidRPr="00EC0229">
        <w:rPr>
          <w:szCs w:val="24"/>
        </w:rPr>
        <w:fldChar w:fldCharType="end"/>
      </w:r>
      <w:r w:rsidRPr="00EC0229">
        <w:rPr>
          <w:szCs w:val="24"/>
        </w:rPr>
        <w:t xml:space="preserve"> </w:t>
      </w:r>
      <w:r w:rsidR="009B5820" w:rsidRPr="00EC0229">
        <w:rPr>
          <w:szCs w:val="24"/>
        </w:rPr>
        <w:t>(</w:t>
      </w:r>
      <w:r w:rsidR="00603F01" w:rsidRPr="00EC0229">
        <w:rPr>
          <w:szCs w:val="24"/>
        </w:rPr>
        <w:fldChar w:fldCharType="begin"/>
      </w:r>
      <w:r w:rsidR="00603F01" w:rsidRPr="00EC0229">
        <w:rPr>
          <w:szCs w:val="24"/>
        </w:rPr>
        <w:instrText xml:space="preserve"> PAGEREF SouthNewbald \h </w:instrText>
      </w:r>
      <w:r w:rsidR="00603F01" w:rsidRPr="00EC0229">
        <w:rPr>
          <w:szCs w:val="24"/>
        </w:rPr>
      </w:r>
      <w:r w:rsidR="00603F01" w:rsidRPr="00EC0229">
        <w:rPr>
          <w:szCs w:val="24"/>
        </w:rPr>
        <w:fldChar w:fldCharType="separate"/>
      </w:r>
      <w:r w:rsidR="0012026B">
        <w:rPr>
          <w:noProof/>
          <w:szCs w:val="24"/>
        </w:rPr>
        <w:t>232</w:t>
      </w:r>
      <w:r w:rsidR="00603F01" w:rsidRPr="00EC0229">
        <w:rPr>
          <w:szCs w:val="24"/>
        </w:rPr>
        <w:fldChar w:fldCharType="end"/>
      </w:r>
      <w:r w:rsidR="009B5820" w:rsidRPr="00EC0229">
        <w:rPr>
          <w:szCs w:val="24"/>
        </w:rPr>
        <w:t xml:space="preserve">) </w:t>
      </w:r>
      <w:r w:rsidRPr="00EC0229">
        <w:rPr>
          <w:szCs w:val="24"/>
        </w:rPr>
        <w:t xml:space="preserve">with its dominant local element. In the former, drawing a line, perhaps arbitrarily, at Market Weighton, </w:t>
      </w:r>
      <w:r w:rsidRPr="00EC0229">
        <w:rPr>
          <w:i/>
          <w:szCs w:val="24"/>
        </w:rPr>
        <w:t>c.</w:t>
      </w:r>
      <w:r w:rsidRPr="00EC0229">
        <w:rPr>
          <w:szCs w:val="24"/>
        </w:rPr>
        <w:t xml:space="preserve">29% of the coins are not local, compared to 1.5% in the latter,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635D9A" w:rsidRPr="00EC0229">
        <w:rPr>
          <w:i/>
          <w:szCs w:val="24"/>
        </w:rPr>
        <w:t>8.1</w:t>
      </w:r>
      <w:r w:rsidR="00A06BD2" w:rsidRPr="00EC0229">
        <w:rPr>
          <w:i/>
          <w:szCs w:val="24"/>
        </w:rPr>
        <w:t>5</w:t>
      </w:r>
      <w:r w:rsidRPr="00EC0229">
        <w:rPr>
          <w:szCs w:val="24"/>
        </w:rPr>
        <w:t>.</w:t>
      </w:r>
      <w:r w:rsidRPr="00EC0229">
        <w:rPr>
          <w:rStyle w:val="FootnoteReference"/>
          <w:szCs w:val="24"/>
        </w:rPr>
        <w:footnoteReference w:id="1030"/>
      </w:r>
    </w:p>
    <w:p w14:paraId="33D1F63C" w14:textId="77777777" w:rsidR="009B5820" w:rsidRPr="00EC0229" w:rsidRDefault="009B5820" w:rsidP="007600EA">
      <w:pPr>
        <w:pStyle w:val="NoSpacing"/>
        <w:spacing w:line="360" w:lineRule="auto"/>
        <w:rPr>
          <w:szCs w:val="24"/>
        </w:rPr>
      </w:pPr>
    </w:p>
    <w:p w14:paraId="18E02CCC" w14:textId="2F94C3E5" w:rsidR="00854613" w:rsidRPr="00EC0229" w:rsidRDefault="00854613" w:rsidP="007600EA">
      <w:pPr>
        <w:pStyle w:val="NoSpacing"/>
        <w:spacing w:line="360" w:lineRule="auto"/>
        <w:rPr>
          <w:szCs w:val="24"/>
        </w:rPr>
      </w:pPr>
      <w:r w:rsidRPr="00EC0229">
        <w:rPr>
          <w:szCs w:val="24"/>
        </w:rPr>
        <w:t>However, bias against reporting common finds – such as the ineptly named ‘porky’ - may be apparent in the informal information from near Hayton</w:t>
      </w:r>
      <w:r w:rsidR="006B1593" w:rsidRPr="00EC0229">
        <w:rPr>
          <w:szCs w:val="24"/>
        </w:rPr>
        <w:fldChar w:fldCharType="begin"/>
      </w:r>
      <w:r w:rsidR="006B1593" w:rsidRPr="00EC0229">
        <w:instrText xml:space="preserve"> XE "</w:instrText>
      </w:r>
      <w:r w:rsidR="006B1593" w:rsidRPr="00EC0229">
        <w:rPr>
          <w:noProof/>
        </w:rPr>
        <w:instrText>Hayton</w:instrText>
      </w:r>
      <w:r w:rsidR="006B1593" w:rsidRPr="00EC0229">
        <w:instrText xml:space="preserve">" </w:instrText>
      </w:r>
      <w:r w:rsidR="006B1593" w:rsidRPr="00EC0229">
        <w:rPr>
          <w:szCs w:val="24"/>
        </w:rPr>
        <w:fldChar w:fldCharType="end"/>
      </w:r>
      <w:r w:rsidR="000832B9" w:rsidRPr="00EC0229">
        <w:rPr>
          <w:szCs w:val="24"/>
        </w:rPr>
        <w:t xml:space="preserve">, </w:t>
      </w:r>
      <w:r w:rsidR="000832B9" w:rsidRPr="00EC0229">
        <w:rPr>
          <w:i/>
          <w:szCs w:val="24"/>
        </w:rPr>
        <w:t>Table</w:t>
      </w:r>
      <w:r w:rsidR="00752347" w:rsidRPr="00EC0229">
        <w:rPr>
          <w:i/>
          <w:szCs w:val="24"/>
        </w:rPr>
        <w:t xml:space="preserve"> 8.2</w:t>
      </w:r>
      <w:r w:rsidR="00A76448" w:rsidRPr="00EC0229">
        <w:rPr>
          <w:i/>
          <w:szCs w:val="24"/>
        </w:rPr>
        <w:t>5</w:t>
      </w:r>
      <w:r w:rsidR="009B5820" w:rsidRPr="00EC0229">
        <w:rPr>
          <w:szCs w:val="24"/>
        </w:rPr>
        <w:t>.</w:t>
      </w:r>
      <w:r w:rsidRPr="00EC0229">
        <w:rPr>
          <w:szCs w:val="24"/>
        </w:rPr>
        <w:t xml:space="preserve"> Were this accumulation brought into account, then 39% of finds in the north of the area are non-local, almost entirely Continental. I</w:t>
      </w:r>
      <w:r w:rsidR="006E171F" w:rsidRPr="00EC0229">
        <w:rPr>
          <w:szCs w:val="24"/>
        </w:rPr>
        <w:t>n</w:t>
      </w:r>
      <w:r w:rsidRPr="00EC0229">
        <w:rPr>
          <w:szCs w:val="24"/>
        </w:rPr>
        <w:t xml:space="preserve"> conclu</w:t>
      </w:r>
      <w:r w:rsidR="006E171F" w:rsidRPr="00EC0229">
        <w:rPr>
          <w:szCs w:val="24"/>
        </w:rPr>
        <w:t>sion,</w:t>
      </w:r>
      <w:r w:rsidRPr="00EC0229">
        <w:rPr>
          <w:szCs w:val="24"/>
        </w:rPr>
        <w:t xml:space="preserve"> the regional generally was strongly engaged with non-local trade but South Newbald</w:t>
      </w:r>
      <w:r w:rsidR="006B1593" w:rsidRPr="00EC0229">
        <w:rPr>
          <w:szCs w:val="24"/>
        </w:rPr>
        <w:fldChar w:fldCharType="begin"/>
      </w:r>
      <w:r w:rsidR="006B1593" w:rsidRPr="00EC0229">
        <w:instrText xml:space="preserve"> XE "</w:instrText>
      </w:r>
      <w:r w:rsidR="006B1593" w:rsidRPr="00EC0229">
        <w:rPr>
          <w:rStyle w:val="Hyperlink"/>
          <w:noProof/>
          <w:u w:val="none"/>
        </w:rPr>
        <w:instrText>South Newbald</w:instrText>
      </w:r>
      <w:r w:rsidR="006B1593" w:rsidRPr="00EC0229">
        <w:instrText xml:space="preserve">" </w:instrText>
      </w:r>
      <w:r w:rsidR="006B1593" w:rsidRPr="00EC0229">
        <w:rPr>
          <w:szCs w:val="24"/>
        </w:rPr>
        <w:fldChar w:fldCharType="end"/>
      </w:r>
      <w:r w:rsidRPr="00EC0229">
        <w:rPr>
          <w:szCs w:val="24"/>
        </w:rPr>
        <w:t xml:space="preserve"> was a special-purpose, closely controlled location.</w:t>
      </w:r>
    </w:p>
    <w:p w14:paraId="6B234F25" w14:textId="77777777" w:rsidR="00854613" w:rsidRPr="00EC0229" w:rsidRDefault="00854613" w:rsidP="007600EA">
      <w:pPr>
        <w:pStyle w:val="NoSpacing"/>
        <w:spacing w:line="360" w:lineRule="auto"/>
        <w:rPr>
          <w:sz w:val="22"/>
        </w:rPr>
      </w:pPr>
    </w:p>
    <w:p w14:paraId="44A031C2" w14:textId="495A0F20" w:rsidR="00854613" w:rsidRPr="007A3166" w:rsidRDefault="00854613" w:rsidP="00F91183">
      <w:pPr>
        <w:pStyle w:val="Heading3"/>
      </w:pPr>
      <w:bookmarkStart w:id="686" w:name="_Toc468266888"/>
      <w:r w:rsidRPr="007A3166">
        <w:t>The Artefactual</w:t>
      </w:r>
      <w:r w:rsidR="006B1593" w:rsidRPr="007A3166">
        <w:fldChar w:fldCharType="begin"/>
      </w:r>
      <w:r w:rsidR="006B1593" w:rsidRPr="007A3166">
        <w:instrText xml:space="preserve"> XE "</w:instrText>
      </w:r>
      <w:r w:rsidR="006B1593" w:rsidRPr="007A3166">
        <w:rPr>
          <w:rStyle w:val="Hyperlink"/>
          <w:b w:val="0"/>
          <w:noProof/>
          <w:u w:val="none"/>
        </w:rPr>
        <w:instrText>Artefactual</w:instrText>
      </w:r>
      <w:r w:rsidR="006B1593" w:rsidRPr="007A3166">
        <w:instrText xml:space="preserve">" </w:instrText>
      </w:r>
      <w:r w:rsidR="006B1593" w:rsidRPr="007A3166">
        <w:fldChar w:fldCharType="end"/>
      </w:r>
      <w:r w:rsidR="00497AC3" w:rsidRPr="007A3166">
        <w:t xml:space="preserve"> Dataset</w:t>
      </w:r>
      <w:r w:rsidR="00F91183">
        <w:t xml:space="preserve"> – Wolds west</w:t>
      </w:r>
      <w:bookmarkEnd w:id="686"/>
      <w:r w:rsidR="00584C42" w:rsidRPr="007A3166">
        <w:fldChar w:fldCharType="begin"/>
      </w:r>
      <w:r w:rsidR="00584C42" w:rsidRPr="007A3166">
        <w:instrText xml:space="preserve"> XE "</w:instrText>
      </w:r>
      <w:r w:rsidR="00584C42" w:rsidRPr="007A3166">
        <w:rPr>
          <w:rStyle w:val="Hyperlink"/>
          <w:b w:val="0"/>
          <w:noProof/>
          <w:u w:val="none"/>
        </w:rPr>
        <w:instrText>Database</w:instrText>
      </w:r>
      <w:r w:rsidR="00584C42" w:rsidRPr="007A3166">
        <w:instrText xml:space="preserve">" </w:instrText>
      </w:r>
      <w:r w:rsidR="00584C42" w:rsidRPr="007A3166">
        <w:fldChar w:fldCharType="end"/>
      </w:r>
      <w:r w:rsidR="006B1593" w:rsidRPr="007A3166">
        <w:fldChar w:fldCharType="begin"/>
      </w:r>
      <w:r w:rsidR="006B1593" w:rsidRPr="007A3166">
        <w:instrText xml:space="preserve"> XE "</w:instrText>
      </w:r>
      <w:r w:rsidR="006B1593" w:rsidRPr="007A3166">
        <w:rPr>
          <w:rStyle w:val="Hyperlink"/>
          <w:rFonts w:cs="Times New Roman"/>
          <w:b w:val="0"/>
          <w:noProof/>
          <w:u w:val="none"/>
        </w:rPr>
        <w:instrText>Wolds</w:instrText>
      </w:r>
      <w:r w:rsidR="006B1593" w:rsidRPr="007A3166">
        <w:instrText xml:space="preserve">" </w:instrText>
      </w:r>
      <w:r w:rsidR="006B1593" w:rsidRPr="007A3166">
        <w:fldChar w:fldCharType="end"/>
      </w:r>
    </w:p>
    <w:p w14:paraId="50A1A7EE" w14:textId="203D1B5E" w:rsidR="00854613" w:rsidRPr="00EC0229" w:rsidRDefault="00854613" w:rsidP="007600EA">
      <w:pPr>
        <w:pStyle w:val="NoSpacing"/>
        <w:spacing w:line="360" w:lineRule="auto"/>
        <w:rPr>
          <w:szCs w:val="24"/>
        </w:rPr>
      </w:pP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00A06BD2" w:rsidRPr="00EC0229">
        <w:rPr>
          <w:i/>
          <w:szCs w:val="24"/>
        </w:rPr>
        <w:t xml:space="preserve"> </w:t>
      </w:r>
      <w:r w:rsidR="00367541" w:rsidRPr="00EC0229">
        <w:rPr>
          <w:rStyle w:val="Hyperlink"/>
          <w:i/>
          <w:color w:val="000000" w:themeColor="text1"/>
          <w:szCs w:val="24"/>
          <w:u w:val="none"/>
        </w:rPr>
        <w:t>8</w:t>
      </w:r>
      <w:r w:rsidR="00A06BD2" w:rsidRPr="00EC0229">
        <w:rPr>
          <w:rStyle w:val="Hyperlink"/>
          <w:i/>
          <w:color w:val="000000" w:themeColor="text1"/>
          <w:szCs w:val="24"/>
          <w:u w:val="none"/>
        </w:rPr>
        <w:t>.</w:t>
      </w:r>
      <w:r w:rsidR="002860F6" w:rsidRPr="00EC0229">
        <w:rPr>
          <w:rStyle w:val="Hyperlink"/>
          <w:i/>
          <w:color w:val="000000" w:themeColor="text1"/>
          <w:szCs w:val="24"/>
          <w:u w:val="none"/>
        </w:rPr>
        <w:t>21</w:t>
      </w:r>
      <w:r w:rsidRPr="00EC0229">
        <w:rPr>
          <w:szCs w:val="24"/>
        </w:rPr>
        <w:t xml:space="preserve"> tabulates 737 artefacts from twenty-nine </w:t>
      </w:r>
      <w:r w:rsidRPr="00EC0229">
        <w:rPr>
          <w:rFonts w:cs="Times New Roman"/>
          <w:color w:val="000000" w:themeColor="text1"/>
          <w:szCs w:val="24"/>
        </w:rPr>
        <w:t>locations,</w:t>
      </w:r>
      <w:r w:rsidRPr="00EC0229">
        <w:rPr>
          <w:szCs w:val="24"/>
        </w:rPr>
        <w:t xml:space="preserve"> nineteen of which have also produced coins.</w:t>
      </w:r>
      <w:r w:rsidRPr="00EC0229">
        <w:rPr>
          <w:rStyle w:val="FootnoteReference"/>
          <w:szCs w:val="24"/>
        </w:rPr>
        <w:footnoteReference w:id="1031"/>
      </w:r>
      <w:r w:rsidRPr="00EC0229">
        <w:rPr>
          <w:szCs w:val="24"/>
        </w:rPr>
        <w:t xml:space="preserve"> A further five locations have produced coins but no recorded artefacts. Of the twelve locations with artefacts but no coins, there is a total of only forty-one artefacts,</w:t>
      </w:r>
      <w:r w:rsidRPr="00EC0229">
        <w:rPr>
          <w:rStyle w:val="FootnoteReference"/>
          <w:szCs w:val="24"/>
        </w:rPr>
        <w:footnoteReference w:id="1032"/>
      </w:r>
      <w:r w:rsidRPr="00EC0229">
        <w:rPr>
          <w:szCs w:val="24"/>
        </w:rPr>
        <w:t xml:space="preserve"> such that these can be regarded as occasional losses. </w:t>
      </w:r>
    </w:p>
    <w:p w14:paraId="64B44819" w14:textId="77777777" w:rsidR="00854613" w:rsidRPr="00EC0229" w:rsidRDefault="00854613" w:rsidP="007600EA">
      <w:pPr>
        <w:pStyle w:val="NoSpacing"/>
        <w:spacing w:line="360" w:lineRule="auto"/>
        <w:rPr>
          <w:szCs w:val="24"/>
        </w:rPr>
      </w:pPr>
    </w:p>
    <w:p w14:paraId="733EE3D6" w14:textId="5EFC6D28" w:rsidR="00854613" w:rsidRPr="00EC0229" w:rsidRDefault="00854613" w:rsidP="007600EA">
      <w:pPr>
        <w:pStyle w:val="NoSpacing"/>
        <w:spacing w:line="360" w:lineRule="auto"/>
        <w:rPr>
          <w:szCs w:val="24"/>
        </w:rPr>
      </w:pPr>
      <w:r w:rsidRPr="00EC0229">
        <w:rPr>
          <w:szCs w:val="24"/>
        </w:rPr>
        <w:t>The overwhelming majority, 86%, of these 737 losses relate to personal items, mainly dress accessories</w:t>
      </w:r>
      <w:r w:rsidR="008960AE" w:rsidRPr="00EC0229">
        <w:rPr>
          <w:szCs w:val="24"/>
        </w:rPr>
        <w:fldChar w:fldCharType="begin"/>
      </w:r>
      <w:r w:rsidR="008960AE" w:rsidRPr="00EC0229">
        <w:instrText xml:space="preserve"> XE "dress accessories" </w:instrText>
      </w:r>
      <w:r w:rsidR="008960AE" w:rsidRPr="00EC0229">
        <w:rPr>
          <w:szCs w:val="24"/>
        </w:rPr>
        <w:fldChar w:fldCharType="end"/>
      </w:r>
      <w:r w:rsidRPr="00EC0229">
        <w:rPr>
          <w:szCs w:val="24"/>
        </w:rPr>
        <w:t xml:space="preserve">, of which there are twenty-six different types; see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635D9A" w:rsidRPr="00EC0229">
        <w:rPr>
          <w:rStyle w:val="Hyperlink"/>
          <w:i/>
          <w:color w:val="000000" w:themeColor="text1"/>
          <w:szCs w:val="24"/>
          <w:u w:val="none"/>
        </w:rPr>
        <w:t>8.1</w:t>
      </w:r>
      <w:r w:rsidR="00A06BD2" w:rsidRPr="00EC0229">
        <w:rPr>
          <w:rStyle w:val="Hyperlink"/>
          <w:i/>
          <w:color w:val="000000" w:themeColor="text1"/>
          <w:szCs w:val="24"/>
          <w:u w:val="none"/>
        </w:rPr>
        <w:t>5</w:t>
      </w:r>
      <w:r w:rsidRPr="00EC0229">
        <w:rPr>
          <w:color w:val="000000" w:themeColor="text1"/>
          <w:szCs w:val="24"/>
        </w:rPr>
        <w:t xml:space="preserve">. </w:t>
      </w:r>
      <w:r w:rsidRPr="00EC0229">
        <w:rPr>
          <w:szCs w:val="24"/>
        </w:rPr>
        <w:t>There are twenty-four items described as weights</w:t>
      </w:r>
      <w:r w:rsidR="00F204A1" w:rsidRPr="00EC0229">
        <w:rPr>
          <w:szCs w:val="24"/>
        </w:rPr>
        <w:fldChar w:fldCharType="begin"/>
      </w:r>
      <w:r w:rsidR="00F204A1" w:rsidRPr="00EC0229">
        <w:instrText xml:space="preserve"> XE "</w:instrText>
      </w:r>
      <w:r w:rsidR="00F204A1" w:rsidRPr="00EC0229">
        <w:rPr>
          <w:rStyle w:val="Hyperlink"/>
          <w:noProof/>
          <w:u w:val="none"/>
        </w:rPr>
        <w:instrText>weights</w:instrText>
      </w:r>
      <w:r w:rsidR="00F204A1" w:rsidRPr="00EC0229">
        <w:instrText xml:space="preserve">" </w:instrText>
      </w:r>
      <w:r w:rsidR="00F204A1" w:rsidRPr="00EC0229">
        <w:rPr>
          <w:szCs w:val="24"/>
        </w:rPr>
        <w:fldChar w:fldCharType="end"/>
      </w:r>
      <w:r w:rsidRPr="00EC0229">
        <w:rPr>
          <w:szCs w:val="24"/>
        </w:rPr>
        <w:t>, which, were this attribution accurate,</w:t>
      </w:r>
      <w:bookmarkStart w:id="687" w:name="_Ref443892316"/>
      <w:r w:rsidRPr="00EC0229">
        <w:rPr>
          <w:rStyle w:val="FootnoteReference"/>
          <w:szCs w:val="24"/>
        </w:rPr>
        <w:footnoteReference w:id="1033"/>
      </w:r>
      <w:bookmarkEnd w:id="687"/>
      <w:r w:rsidRPr="00EC0229">
        <w:rPr>
          <w:szCs w:val="24"/>
        </w:rPr>
        <w:t xml:space="preserve"> hints at commercial activity, or bullion</w:t>
      </w:r>
      <w:r w:rsidR="008960AE" w:rsidRPr="00EC0229">
        <w:rPr>
          <w:szCs w:val="24"/>
        </w:rPr>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rPr>
          <w:szCs w:val="24"/>
        </w:rPr>
        <w:fldChar w:fldCharType="end"/>
      </w:r>
      <w:r w:rsidRPr="00EC0229">
        <w:rPr>
          <w:szCs w:val="24"/>
        </w:rPr>
        <w:t xml:space="preserve"> exchange during the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xml:space="preserve"> period. Otherwise, the near absence of horse fittings, domestic articles, weapons, craft </w:t>
      </w:r>
      <w:r w:rsidR="00862F15" w:rsidRPr="00EC0229">
        <w:rPr>
          <w:szCs w:val="24"/>
        </w:rPr>
        <w:t>and</w:t>
      </w:r>
      <w:r w:rsidRPr="00EC0229">
        <w:rPr>
          <w:szCs w:val="24"/>
        </w:rPr>
        <w:t xml:space="preserve"> industrial produce, waste </w:t>
      </w:r>
      <w:r w:rsidR="00862F15" w:rsidRPr="00EC0229">
        <w:rPr>
          <w:szCs w:val="24"/>
        </w:rPr>
        <w:t>and</w:t>
      </w:r>
      <w:r w:rsidRPr="00EC0229">
        <w:rPr>
          <w:szCs w:val="24"/>
        </w:rPr>
        <w:t xml:space="preserve"> tools, may suggest that the populace were engaged solely in </w:t>
      </w:r>
      <w:r w:rsidR="00911C9D" w:rsidRPr="00EC0229">
        <w:rPr>
          <w:szCs w:val="24"/>
        </w:rPr>
        <w:t>sheep-rearing</w:t>
      </w:r>
      <w:r w:rsidRPr="00EC0229">
        <w:rPr>
          <w:szCs w:val="24"/>
        </w:rPr>
        <w:t xml:space="preserve"> and casting off clouts. Nevertheless, there are </w:t>
      </w:r>
      <w:r w:rsidR="00DE5A8D" w:rsidRPr="00EC0229">
        <w:rPr>
          <w:szCs w:val="24"/>
        </w:rPr>
        <w:t xml:space="preserve">fifty different object types, demonstrating greater </w:t>
      </w:r>
      <w:r w:rsidRPr="00EC0229">
        <w:rPr>
          <w:szCs w:val="24"/>
        </w:rPr>
        <w:t>diversity</w:t>
      </w:r>
      <w:r w:rsidR="00DE5A8D" w:rsidRPr="00EC0229">
        <w:rPr>
          <w:szCs w:val="24"/>
        </w:rPr>
        <w:t xml:space="preserve"> than found in the lowlands</w:t>
      </w:r>
      <w:r w:rsidRPr="00EC0229">
        <w:rPr>
          <w:szCs w:val="24"/>
        </w:rPr>
        <w:t>. There is one stylus (and a whetstone) among sixty-five artefacts, predominately dress fastenings, from Welton.</w:t>
      </w:r>
    </w:p>
    <w:p w14:paraId="4EB77324" w14:textId="77777777" w:rsidR="00854613" w:rsidRPr="00EC0229" w:rsidRDefault="00854613" w:rsidP="007600EA">
      <w:pPr>
        <w:pStyle w:val="NoSpacing"/>
        <w:spacing w:line="360" w:lineRule="auto"/>
        <w:rPr>
          <w:szCs w:val="24"/>
        </w:rPr>
      </w:pPr>
    </w:p>
    <w:p w14:paraId="6EC90338" w14:textId="1DA42DAC" w:rsidR="00854613" w:rsidRPr="00EC0229" w:rsidRDefault="00854613" w:rsidP="007600EA">
      <w:pPr>
        <w:pStyle w:val="NoSpacing"/>
        <w:spacing w:line="360" w:lineRule="auto"/>
        <w:rPr>
          <w:szCs w:val="24"/>
        </w:rPr>
      </w:pPr>
      <w:r w:rsidRPr="00EC0229">
        <w:rPr>
          <w:szCs w:val="24"/>
        </w:rPr>
        <w:t>However, PAS</w:t>
      </w:r>
      <w:r w:rsidR="008960AE" w:rsidRPr="00EC0229">
        <w:rPr>
          <w:szCs w:val="24"/>
        </w:rPr>
        <w:fldChar w:fldCharType="begin"/>
      </w:r>
      <w:r w:rsidR="008960AE" w:rsidRPr="00EC0229">
        <w:instrText xml:space="preserve"> XE "PAS" </w:instrText>
      </w:r>
      <w:r w:rsidR="008960AE" w:rsidRPr="00EC0229">
        <w:rPr>
          <w:szCs w:val="24"/>
        </w:rPr>
        <w:fldChar w:fldCharType="end"/>
      </w:r>
      <w:r w:rsidRPr="00EC0229">
        <w:rPr>
          <w:szCs w:val="24"/>
        </w:rPr>
        <w:t xml:space="preserve"> gives a partial view; there were clearly localized specialisms, as evident for example, by the numerous lead scraps and pottery sherds recovered from </w:t>
      </w:r>
      <w:r w:rsidR="005F1EAF" w:rsidRPr="005F1EAF">
        <w:rPr>
          <w:szCs w:val="24"/>
        </w:rPr>
        <w:t>‘Site C’</w:t>
      </w:r>
      <w:r w:rsidR="006B1593" w:rsidRPr="00EC0229">
        <w:rPr>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Bolton</w:instrText>
      </w:r>
      <w:r w:rsidR="006B1593" w:rsidRPr="00EC0229">
        <w:instrText xml:space="preserve">" </w:instrText>
      </w:r>
      <w:r w:rsidR="006B1593" w:rsidRPr="00EC0229">
        <w:rPr>
          <w:szCs w:val="24"/>
        </w:rPr>
        <w:fldChar w:fldCharType="end"/>
      </w:r>
      <w:r w:rsidRPr="00EC0229">
        <w:rPr>
          <w:szCs w:val="24"/>
        </w:rPr>
        <w:t xml:space="preserve"> and elsewhere.</w:t>
      </w:r>
      <w:r w:rsidRPr="00EC0229">
        <w:rPr>
          <w:rStyle w:val="FootnoteReference"/>
          <w:szCs w:val="24"/>
        </w:rPr>
        <w:footnoteReference w:id="1034"/>
      </w:r>
      <w:r w:rsidRPr="00EC0229">
        <w:rPr>
          <w:szCs w:val="24"/>
        </w:rPr>
        <w:t xml:space="preserve"> Such discard is too abundant and commercially valueless for the vast majority of detectorists to record. Presumably, other occupations left little trace in the physical record.</w:t>
      </w:r>
    </w:p>
    <w:p w14:paraId="308D5EB3" w14:textId="77777777" w:rsidR="00854613" w:rsidRPr="00EC0229" w:rsidRDefault="00854613" w:rsidP="007600EA">
      <w:pPr>
        <w:pStyle w:val="NoSpacing"/>
        <w:spacing w:line="360" w:lineRule="auto"/>
        <w:rPr>
          <w:szCs w:val="24"/>
        </w:rPr>
      </w:pPr>
    </w:p>
    <w:p w14:paraId="3A76CD79" w14:textId="7E6C4083" w:rsidR="00854613" w:rsidRPr="00EC0229" w:rsidRDefault="00944F5B" w:rsidP="007600EA">
      <w:pPr>
        <w:pStyle w:val="NoSpacing"/>
        <w:spacing w:line="360" w:lineRule="auto"/>
        <w:rPr>
          <w:szCs w:val="24"/>
        </w:rPr>
      </w:pPr>
      <w:r w:rsidRPr="00EC0229">
        <w:rPr>
          <w:szCs w:val="24"/>
        </w:rPr>
        <w:lastRenderedPageBreak/>
        <w:t>The artefact distribution in the west Wolds</w:t>
      </w:r>
      <w:r w:rsidRPr="00EC0229">
        <w:rPr>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szCs w:val="24"/>
        </w:rPr>
        <w:fldChar w:fldCharType="end"/>
      </w:r>
      <w:r w:rsidRPr="00EC0229">
        <w:rPr>
          <w:szCs w:val="24"/>
        </w:rPr>
        <w:t xml:space="preserve"> correlates</w:t>
      </w:r>
      <w:r w:rsidR="00497AC3" w:rsidRPr="00EC0229">
        <w:rPr>
          <w:szCs w:val="24"/>
        </w:rPr>
        <w:t xml:space="preserve"> closely with the overall data</w:t>
      </w:r>
      <w:r w:rsidRPr="00EC0229">
        <w:rPr>
          <w:szCs w:val="24"/>
        </w:rPr>
        <w:t>se</w:t>
      </w:r>
      <w:r w:rsidR="00497AC3" w:rsidRPr="00EC0229">
        <w:rPr>
          <w:szCs w:val="24"/>
        </w:rPr>
        <w:t>t</w:t>
      </w:r>
      <w:r w:rsidRPr="00EC0229">
        <w:rPr>
          <w:szCs w:val="24"/>
        </w:rPr>
        <w:t>, of which it constitutes 27.1%.</w:t>
      </w:r>
      <w:r w:rsidRPr="00EC0229">
        <w:rPr>
          <w:rStyle w:val="FootnoteReference"/>
          <w:szCs w:val="24"/>
        </w:rPr>
        <w:footnoteReference w:id="1035"/>
      </w:r>
      <w:r w:rsidRPr="00EC0229">
        <w:rPr>
          <w:szCs w:val="24"/>
        </w:rPr>
        <w:t xml:space="preserve"> </w:t>
      </w:r>
      <w:r w:rsidR="00854613" w:rsidRPr="00EC0229">
        <w:rPr>
          <w:szCs w:val="24"/>
        </w:rPr>
        <w:t xml:space="preserve">The overlap of coin- and artefact-rich locations is substantial, especially as two-thirds of artefacts arise from proven moneyed locations. </w:t>
      </w:r>
      <w:r w:rsidRPr="00EC0229">
        <w:rPr>
          <w:szCs w:val="24"/>
        </w:rPr>
        <w:t xml:space="preserve">This is a clear indication of </w:t>
      </w:r>
      <w:r w:rsidR="003F2041" w:rsidRPr="00EC0229">
        <w:rPr>
          <w:szCs w:val="24"/>
        </w:rPr>
        <w:t>monetiz</w:t>
      </w:r>
      <w:r w:rsidRPr="00EC0229">
        <w:rPr>
          <w:szCs w:val="24"/>
        </w:rPr>
        <w:t>ation.</w:t>
      </w:r>
    </w:p>
    <w:p w14:paraId="7AB569A1" w14:textId="77777777" w:rsidR="00854613" w:rsidRPr="00EC0229" w:rsidRDefault="00854613" w:rsidP="007600EA">
      <w:pPr>
        <w:pStyle w:val="NoSpacing"/>
        <w:spacing w:line="360" w:lineRule="auto"/>
        <w:rPr>
          <w:szCs w:val="24"/>
        </w:rPr>
      </w:pPr>
    </w:p>
    <w:p w14:paraId="67B4153E" w14:textId="77777777" w:rsidR="00854613" w:rsidRPr="00EC0229" w:rsidRDefault="00854613" w:rsidP="007600EA">
      <w:pPr>
        <w:pStyle w:val="NoSpacing"/>
        <w:spacing w:line="360" w:lineRule="auto"/>
        <w:rPr>
          <w:szCs w:val="24"/>
        </w:rPr>
      </w:pPr>
    </w:p>
    <w:p w14:paraId="029FCD29" w14:textId="2B73964D" w:rsidR="00854613" w:rsidRPr="00EC0229" w:rsidRDefault="00C97BF2" w:rsidP="007600EA">
      <w:pPr>
        <w:pStyle w:val="Heading3"/>
        <w:spacing w:line="360" w:lineRule="auto"/>
      </w:pPr>
      <w:bookmarkStart w:id="688" w:name="Woldscentral"/>
      <w:bookmarkStart w:id="689" w:name="_Toc468266889"/>
      <w:bookmarkEnd w:id="688"/>
      <w:r>
        <w:t>8.2.3.2</w:t>
      </w:r>
      <w:r>
        <w:tab/>
      </w:r>
      <w:r w:rsidR="00854613" w:rsidRPr="00EC0229">
        <w:t>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00854613" w:rsidRPr="00EC0229">
        <w:t xml:space="preserve"> central</w:t>
      </w:r>
      <w:r w:rsidR="00BD6F07">
        <w:t xml:space="preserve"> – Site Studies</w:t>
      </w:r>
      <w:bookmarkEnd w:id="689"/>
      <w:r w:rsidR="006B1593" w:rsidRPr="00EC0229">
        <w:fldChar w:fldCharType="begin"/>
      </w:r>
      <w:r w:rsidR="006B1593" w:rsidRPr="00EC0229">
        <w:instrText xml:space="preserve"> XE "</w:instrText>
      </w:r>
      <w:r w:rsidR="006B1593" w:rsidRPr="00EC0229">
        <w:rPr>
          <w:rStyle w:val="Hyperlink"/>
          <w:noProof/>
          <w:u w:val="none"/>
        </w:rPr>
        <w:instrText>Wolds central</w:instrText>
      </w:r>
      <w:r w:rsidR="006B1593" w:rsidRPr="00EC0229">
        <w:instrText xml:space="preserve">" </w:instrText>
      </w:r>
      <w:r w:rsidR="006B1593" w:rsidRPr="00EC0229">
        <w:fldChar w:fldCharType="end"/>
      </w:r>
    </w:p>
    <w:p w14:paraId="478E4502" w14:textId="4E7E4B1C" w:rsidR="00854613" w:rsidRPr="00EC0229" w:rsidRDefault="00854613" w:rsidP="007600EA">
      <w:pPr>
        <w:pStyle w:val="NoSpacing"/>
        <w:spacing w:line="360" w:lineRule="auto"/>
      </w:pPr>
      <w:r w:rsidRPr="00EC0229">
        <w:t>The northern sector of this undulating landscape</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landscape</w:instrText>
      </w:r>
      <w:r w:rsidR="00584C42" w:rsidRPr="00EC0229">
        <w:instrText xml:space="preserve">" </w:instrText>
      </w:r>
      <w:r w:rsidR="00584C42" w:rsidRPr="00EC0229">
        <w:fldChar w:fldCharType="end"/>
      </w:r>
      <w:r w:rsidRPr="00EC0229">
        <w:t xml:space="preserve"> is </w:t>
      </w:r>
      <w:r w:rsidR="004504D2">
        <w:t>characterize</w:t>
      </w:r>
      <w:r w:rsidRPr="00EC0229">
        <w:t>d by north-south droveways, coming up from the Vale of Pickering</w:t>
      </w:r>
      <w:r w:rsidR="006B1593" w:rsidRPr="00EC0229">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fldChar w:fldCharType="end"/>
      </w:r>
      <w:r w:rsidRPr="00EC0229">
        <w:t>, intersecting with west-eas</w:t>
      </w:r>
      <w:r w:rsidR="002B5D13" w:rsidRPr="00EC0229">
        <w:t>t trackways linking settlements. This communications network indicates a high level of economic activity and mobility.</w:t>
      </w:r>
    </w:p>
    <w:p w14:paraId="37FA3087" w14:textId="77777777" w:rsidR="00854613" w:rsidRPr="00EC0229" w:rsidRDefault="00854613" w:rsidP="007600EA">
      <w:pPr>
        <w:pStyle w:val="NoSpacing"/>
        <w:spacing w:line="360" w:lineRule="auto"/>
      </w:pPr>
    </w:p>
    <w:p w14:paraId="6EB35C6D" w14:textId="2DF1453A" w:rsidR="00071F47" w:rsidRPr="00EC0229" w:rsidRDefault="00071F47" w:rsidP="00C97BF2">
      <w:pPr>
        <w:pStyle w:val="Heading4"/>
        <w:spacing w:line="360" w:lineRule="auto"/>
      </w:pPr>
      <w:bookmarkStart w:id="690" w:name="WharramPercy"/>
      <w:bookmarkStart w:id="691" w:name="_Toc468266890"/>
      <w:bookmarkStart w:id="692" w:name="Burdale"/>
      <w:bookmarkEnd w:id="690"/>
      <w:r w:rsidRPr="007A3166">
        <w:rPr>
          <w:b/>
        </w:rPr>
        <w:t>Sledmere</w:t>
      </w:r>
      <w:r w:rsidRPr="007A3166">
        <w:rPr>
          <w:b/>
        </w:rPr>
        <w:fldChar w:fldCharType="begin"/>
      </w:r>
      <w:r w:rsidRPr="007A3166">
        <w:rPr>
          <w:b/>
        </w:rPr>
        <w:instrText xml:space="preserve"> XE "</w:instrText>
      </w:r>
      <w:r w:rsidRPr="007A3166">
        <w:rPr>
          <w:rStyle w:val="Hyperlink"/>
          <w:b/>
          <w:noProof/>
          <w:u w:val="none"/>
        </w:rPr>
        <w:instrText>Sledmere</w:instrText>
      </w:r>
      <w:r w:rsidRPr="007A3166">
        <w:rPr>
          <w:b/>
        </w:rPr>
        <w:instrText xml:space="preserve">" </w:instrText>
      </w:r>
      <w:r w:rsidRPr="007A3166">
        <w:rPr>
          <w:b/>
        </w:rPr>
        <w:fldChar w:fldCharType="end"/>
      </w:r>
      <w:r w:rsidRPr="007A3166">
        <w:rPr>
          <w:b/>
        </w:rPr>
        <w:t xml:space="preserve"> </w:t>
      </w:r>
      <w:r w:rsidRPr="00EC0229">
        <w:rPr>
          <w:rStyle w:val="FootnoteReference"/>
        </w:rPr>
        <w:footnoteReference w:id="1036"/>
      </w:r>
      <w:bookmarkEnd w:id="691"/>
    </w:p>
    <w:p w14:paraId="71EDC3E5" w14:textId="033312CB" w:rsidR="00071F47" w:rsidRPr="00EC0229" w:rsidRDefault="00071F47" w:rsidP="007600EA">
      <w:pPr>
        <w:pStyle w:val="NoSpacing"/>
        <w:spacing w:line="360" w:lineRule="auto"/>
        <w:rPr>
          <w:szCs w:val="24"/>
        </w:rPr>
      </w:pPr>
      <w:r w:rsidRPr="00EC0229">
        <w:rPr>
          <w:szCs w:val="24"/>
        </w:rPr>
        <w:t>Sledmere</w:t>
      </w:r>
      <w:r w:rsidRPr="00EC0229">
        <w:rPr>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szCs w:val="24"/>
        </w:rPr>
        <w:fldChar w:fldCharType="end"/>
      </w:r>
      <w:r w:rsidRPr="00EC0229">
        <w:rPr>
          <w:szCs w:val="24"/>
        </w:rPr>
        <w:t xml:space="preserve"> is in the centre of the Wolds</w:t>
      </w:r>
      <w:r w:rsidRPr="00EC0229">
        <w:rPr>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szCs w:val="24"/>
        </w:rPr>
        <w:fldChar w:fldCharType="end"/>
      </w:r>
      <w:r w:rsidRPr="00EC0229">
        <w:rPr>
          <w:szCs w:val="24"/>
        </w:rPr>
        <w:t xml:space="preserve"> about eight miles north-west of Driffield</w:t>
      </w:r>
      <w:r w:rsidRPr="00EC0229">
        <w:rPr>
          <w:szCs w:val="24"/>
        </w:rPr>
        <w:fldChar w:fldCharType="begin"/>
      </w:r>
      <w:r w:rsidRPr="00EC0229">
        <w:instrText xml:space="preserve"> XE "</w:instrText>
      </w:r>
      <w:r w:rsidRPr="00EC0229">
        <w:rPr>
          <w:rFonts w:eastAsia="Times New Roman"/>
          <w:noProof/>
          <w:lang w:eastAsia="en-GB"/>
        </w:rPr>
        <w:instrText>Driffield</w:instrText>
      </w:r>
      <w:r w:rsidRPr="00EC0229">
        <w:instrText xml:space="preserve">" </w:instrText>
      </w:r>
      <w:r w:rsidRPr="00EC0229">
        <w:rPr>
          <w:szCs w:val="24"/>
        </w:rPr>
        <w:fldChar w:fldCharType="end"/>
      </w:r>
      <w:r w:rsidRPr="00EC0229">
        <w:rPr>
          <w:szCs w:val="24"/>
        </w:rPr>
        <w:t xml:space="preserve"> (</w:t>
      </w:r>
      <w:hyperlink r:id="rId353" w:anchor="Driffield" w:history="1">
        <w:r w:rsidRPr="00EC0229">
          <w:rPr>
            <w:rStyle w:val="Hyperlink"/>
            <w:szCs w:val="24"/>
            <w:u w:val="none"/>
          </w:rPr>
          <w:fldChar w:fldCharType="begin"/>
        </w:r>
        <w:r w:rsidRPr="00EC0229">
          <w:instrText xml:space="preserve"> PAGEREF Driffield \h </w:instrText>
        </w:r>
        <w:r w:rsidRPr="00EC0229">
          <w:rPr>
            <w:rStyle w:val="Hyperlink"/>
            <w:szCs w:val="24"/>
            <w:u w:val="none"/>
          </w:rPr>
        </w:r>
        <w:r w:rsidRPr="00EC0229">
          <w:rPr>
            <w:rStyle w:val="Hyperlink"/>
            <w:szCs w:val="24"/>
            <w:u w:val="none"/>
          </w:rPr>
          <w:fldChar w:fldCharType="separate"/>
        </w:r>
        <w:r w:rsidR="0012026B">
          <w:rPr>
            <w:noProof/>
          </w:rPr>
          <w:t>251</w:t>
        </w:r>
        <w:r w:rsidRPr="00EC0229">
          <w:rPr>
            <w:rStyle w:val="Hyperlink"/>
            <w:szCs w:val="24"/>
            <w:u w:val="none"/>
          </w:rPr>
          <w:fldChar w:fldCharType="end"/>
        </w:r>
      </w:hyperlink>
      <w:r w:rsidRPr="00EC0229">
        <w:rPr>
          <w:szCs w:val="24"/>
        </w:rPr>
        <w:t>) where the main north-south route from the Humber crossing to Scarborough intersects the east-west route from Bridlington to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w:t>
      </w:r>
    </w:p>
    <w:p w14:paraId="49812399" w14:textId="77777777" w:rsidR="00071F47" w:rsidRPr="00EC0229" w:rsidRDefault="00071F47" w:rsidP="007600EA">
      <w:pPr>
        <w:pStyle w:val="NoSpacing"/>
        <w:spacing w:line="360" w:lineRule="auto"/>
        <w:rPr>
          <w:szCs w:val="24"/>
        </w:rPr>
      </w:pPr>
    </w:p>
    <w:p w14:paraId="7A3F84B6" w14:textId="2463C8B1" w:rsidR="00071F47" w:rsidRPr="00EC0229" w:rsidRDefault="00071F47" w:rsidP="007600EA">
      <w:pPr>
        <w:pStyle w:val="NoSpacing"/>
        <w:spacing w:line="360" w:lineRule="auto"/>
        <w:rPr>
          <w:szCs w:val="24"/>
        </w:rPr>
      </w:pPr>
      <w:r w:rsidRPr="00EC0229">
        <w:rPr>
          <w:szCs w:val="24"/>
        </w:rPr>
        <w:t xml:space="preserve">In his 1997 article in </w:t>
      </w:r>
      <w:r w:rsidRPr="00EC0229">
        <w:rPr>
          <w:i/>
          <w:szCs w:val="24"/>
        </w:rPr>
        <w:t>YN</w:t>
      </w:r>
      <w:r w:rsidR="00701B4F" w:rsidRPr="00EC0229">
        <w:rPr>
          <w:i/>
          <w:szCs w:val="24"/>
        </w:rPr>
        <w:t xml:space="preserve"> </w:t>
      </w:r>
      <w:r w:rsidRPr="00EC0229">
        <w:rPr>
          <w:szCs w:val="24"/>
        </w:rPr>
        <w:t>3, Bonser listed finds from an unidentified ‘North of England’ ‘productive site’.</w:t>
      </w:r>
      <w:r w:rsidRPr="00EC0229">
        <w:rPr>
          <w:rStyle w:val="FootnoteReference"/>
          <w:szCs w:val="24"/>
        </w:rPr>
        <w:footnoteReference w:id="1037"/>
      </w:r>
      <w:r w:rsidRPr="00EC0229">
        <w:rPr>
          <w:szCs w:val="24"/>
        </w:rPr>
        <w:t xml:space="preserve"> In his final article,</w:t>
      </w:r>
      <w:r w:rsidRPr="00EC0229">
        <w:rPr>
          <w:rStyle w:val="FootnoteReference"/>
          <w:szCs w:val="24"/>
        </w:rPr>
        <w:footnoteReference w:id="1038"/>
      </w:r>
      <w:r w:rsidRPr="00EC0229">
        <w:rPr>
          <w:szCs w:val="24"/>
        </w:rPr>
        <w:t xml:space="preserve"> he identified this as Sledmere</w:t>
      </w:r>
      <w:r w:rsidRPr="00EC0229">
        <w:rPr>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szCs w:val="24"/>
        </w:rPr>
        <w:fldChar w:fldCharType="end"/>
      </w:r>
      <w:r w:rsidRPr="00EC0229">
        <w:rPr>
          <w:szCs w:val="24"/>
        </w:rPr>
        <w:t xml:space="preserve"> and catalogued 155 of the ostensible one thousand coins extracted from the site, </w:t>
      </w:r>
      <w:r w:rsidRPr="00EC0229">
        <w:rPr>
          <w:i/>
          <w:szCs w:val="24"/>
        </w:rPr>
        <w:t>Tables 5</w:t>
      </w:r>
      <w:r w:rsidR="00746B7C" w:rsidRPr="00EC0229">
        <w:rPr>
          <w:i/>
          <w:szCs w:val="24"/>
        </w:rPr>
        <w:t>.01</w:t>
      </w:r>
      <w:r w:rsidRPr="00EC0229">
        <w:rPr>
          <w:i/>
          <w:szCs w:val="24"/>
        </w:rPr>
        <w:t xml:space="preserve"> </w:t>
      </w:r>
      <w:r w:rsidRPr="00EC0229">
        <w:rPr>
          <w:szCs w:val="24"/>
        </w:rPr>
        <w:t>and</w:t>
      </w:r>
      <w:r w:rsidRPr="00EC0229">
        <w:rPr>
          <w:i/>
          <w:szCs w:val="24"/>
        </w:rPr>
        <w:t xml:space="preserve"> </w:t>
      </w:r>
      <w:r w:rsidR="00746B7C" w:rsidRPr="00EC0229">
        <w:rPr>
          <w:i/>
          <w:szCs w:val="24"/>
        </w:rPr>
        <w:t>8.06</w:t>
      </w:r>
      <w:r w:rsidRPr="00EC0229">
        <w:rPr>
          <w:i/>
          <w:szCs w:val="24"/>
        </w:rPr>
        <w:t>.</w:t>
      </w:r>
      <w:r w:rsidRPr="00EC0229">
        <w:rPr>
          <w:rStyle w:val="FootnoteReference"/>
          <w:szCs w:val="24"/>
        </w:rPr>
        <w:footnoteReference w:id="1039"/>
      </w:r>
      <w:r w:rsidRPr="00EC0229">
        <w:rPr>
          <w:szCs w:val="24"/>
        </w:rPr>
        <w:t xml:space="preserve"> Metcalf</w:t>
      </w:r>
      <w:r w:rsidRPr="00EC0229">
        <w:rPr>
          <w:szCs w:val="24"/>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szCs w:val="24"/>
        </w:rPr>
        <w:fldChar w:fldCharType="end"/>
      </w:r>
      <w:r w:rsidRPr="00EC0229">
        <w:rPr>
          <w:szCs w:val="24"/>
        </w:rPr>
        <w:t>’s commentary provided a stark contrast to the composition of finds at South Newbald</w:t>
      </w:r>
      <w:r w:rsidRPr="00EC0229">
        <w:rPr>
          <w:szCs w:val="24"/>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szCs w:val="24"/>
        </w:rPr>
        <w:fldChar w:fldCharType="end"/>
      </w:r>
      <w:r w:rsidRPr="00EC0229">
        <w:rPr>
          <w:szCs w:val="24"/>
        </w:rPr>
        <w:t>. Sledmere yielded only seventeen Northumbrian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Y sceats (</w:t>
      </w:r>
      <w:r w:rsidRPr="00EC0229">
        <w:rPr>
          <w:szCs w:val="24"/>
        </w:rPr>
        <w:fldChar w:fldCharType="begin"/>
      </w:r>
      <w:r w:rsidRPr="00EC0229">
        <w:rPr>
          <w:szCs w:val="24"/>
        </w:rPr>
        <w:instrText xml:space="preserve"> REF _Ref430248859 \h  \* MERGEFORMAT </w:instrText>
      </w:r>
      <w:r w:rsidRPr="00EC0229">
        <w:rPr>
          <w:szCs w:val="24"/>
        </w:rPr>
      </w:r>
      <w:r w:rsidRPr="00EC0229">
        <w:rPr>
          <w:szCs w:val="24"/>
        </w:rPr>
        <w:fldChar w:fldCharType="separate"/>
      </w:r>
      <w:r w:rsidR="0012026B" w:rsidRPr="0012026B">
        <w:rPr>
          <w:i/>
        </w:rPr>
        <w:t>Figure</w:t>
      </w:r>
      <w:r w:rsidR="0012026B" w:rsidRPr="0012026B">
        <w:t xml:space="preserve"> </w:t>
      </w:r>
      <w:r w:rsidR="0012026B" w:rsidRPr="0012026B">
        <w:rPr>
          <w:noProof/>
        </w:rPr>
        <w:t>110</w:t>
      </w:r>
      <w:r w:rsidRPr="00EC0229">
        <w:rPr>
          <w:szCs w:val="24"/>
        </w:rPr>
        <w:fldChar w:fldCharType="end"/>
      </w:r>
      <w:proofErr w:type="gramStart"/>
      <w:r w:rsidRPr="00EC0229">
        <w:rPr>
          <w:szCs w:val="24"/>
        </w:rPr>
        <w:t>), but</w:t>
      </w:r>
      <w:proofErr w:type="gramEnd"/>
      <w:r w:rsidRPr="00EC0229">
        <w:rPr>
          <w:szCs w:val="24"/>
        </w:rPr>
        <w:t xml:space="preserve"> is abundant in Series G and J - together nearly a third of all finds from the site. </w:t>
      </w:r>
    </w:p>
    <w:p w14:paraId="71D33C0A" w14:textId="77777777" w:rsidR="00071F47" w:rsidRPr="00EC0229" w:rsidRDefault="00071F47" w:rsidP="007600EA">
      <w:pPr>
        <w:pStyle w:val="NoSpacing"/>
        <w:spacing w:line="360" w:lineRule="auto"/>
        <w:rPr>
          <w:szCs w:val="24"/>
        </w:rPr>
      </w:pPr>
    </w:p>
    <w:p w14:paraId="4FB34AA3" w14:textId="77777777" w:rsidR="00071F47" w:rsidRPr="00EC0229" w:rsidRDefault="00071F47" w:rsidP="007600EA">
      <w:pPr>
        <w:pStyle w:val="NoSpacing"/>
        <w:spacing w:line="360" w:lineRule="auto"/>
        <w:jc w:val="center"/>
        <w:rPr>
          <w:szCs w:val="24"/>
        </w:rPr>
      </w:pPr>
      <w:r w:rsidRPr="00EC0229">
        <w:rPr>
          <w:noProof/>
          <w:szCs w:val="24"/>
          <w:lang w:eastAsia="en-GB"/>
        </w:rPr>
        <w:drawing>
          <wp:inline distT="0" distB="0" distL="0" distR="0" wp14:anchorId="539351F5" wp14:editId="55BC1149">
            <wp:extent cx="738765" cy="751840"/>
            <wp:effectExtent l="0" t="0" r="444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Y297.JPG"/>
                    <pic:cNvPicPr/>
                  </pic:nvPicPr>
                  <pic:blipFill>
                    <a:blip r:embed="rId354">
                      <a:extLst>
                        <a:ext uri="{28A0092B-C50C-407E-A947-70E740481C1C}">
                          <a14:useLocalDpi xmlns:a14="http://schemas.microsoft.com/office/drawing/2010/main" val="0"/>
                        </a:ext>
                      </a:extLst>
                    </a:blip>
                    <a:stretch>
                      <a:fillRect/>
                    </a:stretch>
                  </pic:blipFill>
                  <pic:spPr>
                    <a:xfrm>
                      <a:off x="0" y="0"/>
                      <a:ext cx="750373" cy="763654"/>
                    </a:xfrm>
                    <a:prstGeom prst="rect">
                      <a:avLst/>
                    </a:prstGeom>
                  </pic:spPr>
                </pic:pic>
              </a:graphicData>
            </a:graphic>
          </wp:inline>
        </w:drawing>
      </w:r>
      <w:r w:rsidRPr="00EC0229">
        <w:rPr>
          <w:noProof/>
          <w:szCs w:val="24"/>
          <w:lang w:eastAsia="en-GB"/>
        </w:rPr>
        <w:drawing>
          <wp:inline distT="0" distB="0" distL="0" distR="0" wp14:anchorId="2AEFF09E" wp14:editId="51EEA1BB">
            <wp:extent cx="764540" cy="76454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Y297R.JPG"/>
                    <pic:cNvPicPr/>
                  </pic:nvPicPr>
                  <pic:blipFill>
                    <a:blip r:embed="rId355">
                      <a:extLst>
                        <a:ext uri="{28A0092B-C50C-407E-A947-70E740481C1C}">
                          <a14:useLocalDpi xmlns:a14="http://schemas.microsoft.com/office/drawing/2010/main" val="0"/>
                        </a:ext>
                      </a:extLst>
                    </a:blip>
                    <a:stretch>
                      <a:fillRect/>
                    </a:stretch>
                  </pic:blipFill>
                  <pic:spPr>
                    <a:xfrm>
                      <a:off x="0" y="0"/>
                      <a:ext cx="764540" cy="764540"/>
                    </a:xfrm>
                    <a:prstGeom prst="rect">
                      <a:avLst/>
                    </a:prstGeom>
                  </pic:spPr>
                </pic:pic>
              </a:graphicData>
            </a:graphic>
          </wp:inline>
        </w:drawing>
      </w:r>
      <w:r w:rsidRPr="00EC0229">
        <w:rPr>
          <w:szCs w:val="24"/>
        </w:rPr>
        <w:tab/>
        <w:t xml:space="preserve">           </w:t>
      </w:r>
      <w:r w:rsidRPr="00EC0229">
        <w:rPr>
          <w:noProof/>
          <w:szCs w:val="24"/>
          <w:lang w:eastAsia="en-GB"/>
        </w:rPr>
        <w:drawing>
          <wp:inline distT="0" distB="0" distL="0" distR="0" wp14:anchorId="4ABF75F3" wp14:editId="2E1CBE26">
            <wp:extent cx="800100" cy="736375"/>
            <wp:effectExtent l="0" t="0" r="0" b="698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Y311.JPG"/>
                    <pic:cNvPicPr/>
                  </pic:nvPicPr>
                  <pic:blipFill>
                    <a:blip r:embed="rId356">
                      <a:extLst>
                        <a:ext uri="{28A0092B-C50C-407E-A947-70E740481C1C}">
                          <a14:useLocalDpi xmlns:a14="http://schemas.microsoft.com/office/drawing/2010/main" val="0"/>
                        </a:ext>
                      </a:extLst>
                    </a:blip>
                    <a:stretch>
                      <a:fillRect/>
                    </a:stretch>
                  </pic:blipFill>
                  <pic:spPr>
                    <a:xfrm>
                      <a:off x="0" y="0"/>
                      <a:ext cx="818047" cy="752892"/>
                    </a:xfrm>
                    <a:prstGeom prst="rect">
                      <a:avLst/>
                    </a:prstGeom>
                  </pic:spPr>
                </pic:pic>
              </a:graphicData>
            </a:graphic>
          </wp:inline>
        </w:drawing>
      </w:r>
      <w:r w:rsidRPr="00EC0229">
        <w:rPr>
          <w:noProof/>
          <w:szCs w:val="24"/>
          <w:lang w:eastAsia="en-GB"/>
        </w:rPr>
        <w:drawing>
          <wp:inline distT="0" distB="0" distL="0" distR="0" wp14:anchorId="1FB78D9A" wp14:editId="5FBFFF98">
            <wp:extent cx="797413" cy="733903"/>
            <wp:effectExtent l="0" t="0" r="3175"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Y311R.JPG"/>
                    <pic:cNvPicPr/>
                  </pic:nvPicPr>
                  <pic:blipFill>
                    <a:blip r:embed="rId357">
                      <a:extLst>
                        <a:ext uri="{28A0092B-C50C-407E-A947-70E740481C1C}">
                          <a14:useLocalDpi xmlns:a14="http://schemas.microsoft.com/office/drawing/2010/main" val="0"/>
                        </a:ext>
                      </a:extLst>
                    </a:blip>
                    <a:stretch>
                      <a:fillRect/>
                    </a:stretch>
                  </pic:blipFill>
                  <pic:spPr>
                    <a:xfrm>
                      <a:off x="0" y="0"/>
                      <a:ext cx="817534" cy="752421"/>
                    </a:xfrm>
                    <a:prstGeom prst="rect">
                      <a:avLst/>
                    </a:prstGeom>
                  </pic:spPr>
                </pic:pic>
              </a:graphicData>
            </a:graphic>
          </wp:inline>
        </w:drawing>
      </w:r>
    </w:p>
    <w:p w14:paraId="2C43248F" w14:textId="54C9D8A1" w:rsidR="00071F47" w:rsidRPr="00EC0229" w:rsidRDefault="00071F47" w:rsidP="007600EA">
      <w:pPr>
        <w:pStyle w:val="NoSpacing"/>
        <w:spacing w:line="360" w:lineRule="auto"/>
        <w:jc w:val="center"/>
        <w:rPr>
          <w:sz w:val="20"/>
          <w:szCs w:val="20"/>
        </w:rPr>
      </w:pPr>
      <w:bookmarkStart w:id="693" w:name="_Ref430248859"/>
      <w:bookmarkStart w:id="694" w:name="_Toc468267082"/>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110</w:t>
      </w:r>
      <w:r w:rsidRPr="00EC0229">
        <w:rPr>
          <w:sz w:val="20"/>
          <w:szCs w:val="20"/>
        </w:rPr>
        <w:fldChar w:fldCharType="end"/>
      </w:r>
      <w:bookmarkEnd w:id="693"/>
      <w:r w:rsidRPr="00EC0229">
        <w:rPr>
          <w:sz w:val="20"/>
          <w:szCs w:val="20"/>
        </w:rPr>
        <w:t>: Named-moneyer Northumbrian sceats of Æthelred</w:t>
      </w:r>
      <w:r w:rsidRPr="00EC0229">
        <w:rPr>
          <w:sz w:val="20"/>
          <w:szCs w:val="20"/>
        </w:rPr>
        <w:fldChar w:fldCharType="begin"/>
      </w:r>
      <w:r w:rsidRPr="00EC0229">
        <w:rPr>
          <w:sz w:val="20"/>
          <w:szCs w:val="20"/>
        </w:rPr>
        <w:instrText xml:space="preserve"> XE "Æthelred" </w:instrText>
      </w:r>
      <w:r w:rsidRPr="00EC0229">
        <w:rPr>
          <w:sz w:val="20"/>
          <w:szCs w:val="20"/>
        </w:rPr>
        <w:fldChar w:fldCharType="end"/>
      </w:r>
      <w:r w:rsidRPr="00EC0229">
        <w:rPr>
          <w:sz w:val="20"/>
          <w:szCs w:val="20"/>
        </w:rPr>
        <w:t xml:space="preserve"> I from Sledmere</w:t>
      </w:r>
      <w:bookmarkEnd w:id="694"/>
      <w:r w:rsidRPr="00EC0229">
        <w:rPr>
          <w:sz w:val="20"/>
          <w:szCs w:val="20"/>
        </w:rPr>
        <w:fldChar w:fldCharType="begin"/>
      </w:r>
      <w:r w:rsidRPr="00EC0229">
        <w:rPr>
          <w:sz w:val="20"/>
          <w:szCs w:val="20"/>
        </w:rPr>
        <w:instrText xml:space="preserve"> XE "Sledmere" </w:instrText>
      </w:r>
      <w:r w:rsidRPr="00EC0229">
        <w:rPr>
          <w:sz w:val="20"/>
          <w:szCs w:val="20"/>
        </w:rPr>
        <w:fldChar w:fldCharType="end"/>
      </w:r>
    </w:p>
    <w:p w14:paraId="26DE5785" w14:textId="2A9EAD1B" w:rsidR="00071F47" w:rsidRPr="00EC0229" w:rsidRDefault="00071F47" w:rsidP="007600EA">
      <w:pPr>
        <w:pStyle w:val="NoSpacing"/>
        <w:spacing w:line="360" w:lineRule="auto"/>
        <w:jc w:val="center"/>
      </w:pPr>
      <w:r w:rsidRPr="00EC0229">
        <w:rPr>
          <w:sz w:val="20"/>
          <w:szCs w:val="20"/>
        </w:rPr>
        <w:lastRenderedPageBreak/>
        <w:t>L: Tidwulf</w:t>
      </w:r>
      <w:r w:rsidRPr="00EC0229">
        <w:rPr>
          <w:sz w:val="20"/>
          <w:szCs w:val="20"/>
        </w:rPr>
        <w:tab/>
      </w:r>
      <w:r w:rsidRPr="00EC0229">
        <w:rPr>
          <w:sz w:val="20"/>
          <w:szCs w:val="20"/>
        </w:rPr>
        <w:tab/>
      </w:r>
      <w:r w:rsidRPr="00EC0229">
        <w:rPr>
          <w:sz w:val="20"/>
          <w:szCs w:val="20"/>
        </w:rPr>
        <w:tab/>
      </w:r>
      <w:r w:rsidRPr="00EC0229">
        <w:rPr>
          <w:sz w:val="20"/>
          <w:szCs w:val="20"/>
        </w:rPr>
        <w:tab/>
        <w:t xml:space="preserve">   R:</w:t>
      </w:r>
      <w:r w:rsidR="005D4712" w:rsidRPr="00EC0229">
        <w:rPr>
          <w:sz w:val="20"/>
          <w:szCs w:val="20"/>
        </w:rPr>
        <w:t xml:space="preserve"> </w:t>
      </w:r>
      <w:r w:rsidRPr="00EC0229">
        <w:rPr>
          <w:sz w:val="20"/>
          <w:szCs w:val="20"/>
        </w:rPr>
        <w:t>‘Shrine issue’, Cudcils</w:t>
      </w:r>
      <w:r w:rsidRPr="00EC0229">
        <w:fldChar w:fldCharType="begin"/>
      </w:r>
      <w:r w:rsidRPr="00EC0229">
        <w:instrText xml:space="preserve"> XE "</w:instrText>
      </w:r>
      <w:r w:rsidRPr="00EC0229">
        <w:rPr>
          <w:rFonts w:cs="Times New Roman"/>
          <w:szCs w:val="24"/>
        </w:rPr>
        <w:instrText>Cudcils</w:instrText>
      </w:r>
      <w:r w:rsidRPr="00EC0229">
        <w:instrText xml:space="preserve">" </w:instrText>
      </w:r>
      <w:r w:rsidRPr="00EC0229">
        <w:fldChar w:fldCharType="end"/>
      </w:r>
    </w:p>
    <w:p w14:paraId="3AD04D6D" w14:textId="77777777" w:rsidR="00071F47" w:rsidRPr="00EC0229" w:rsidRDefault="00071F47" w:rsidP="007600EA">
      <w:pPr>
        <w:pStyle w:val="NoSpacing"/>
        <w:spacing w:line="360" w:lineRule="auto"/>
        <w:rPr>
          <w:szCs w:val="24"/>
        </w:rPr>
      </w:pPr>
    </w:p>
    <w:p w14:paraId="64372CB5" w14:textId="77777777" w:rsidR="00071F47" w:rsidRPr="00EC0229" w:rsidRDefault="00071F47" w:rsidP="007600EA">
      <w:pPr>
        <w:pStyle w:val="NoSpacing"/>
        <w:spacing w:line="360" w:lineRule="auto"/>
        <w:jc w:val="center"/>
        <w:rPr>
          <w:szCs w:val="24"/>
        </w:rPr>
      </w:pPr>
      <w:r w:rsidRPr="00EC0229">
        <w:rPr>
          <w:noProof/>
          <w:szCs w:val="24"/>
          <w:lang w:eastAsia="en-GB"/>
        </w:rPr>
        <w:drawing>
          <wp:inline distT="0" distB="0" distL="0" distR="0" wp14:anchorId="63BD6254" wp14:editId="737210DF">
            <wp:extent cx="887153" cy="863600"/>
            <wp:effectExtent l="0" t="0" r="825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255.jpg"/>
                    <pic:cNvPicPr/>
                  </pic:nvPicPr>
                  <pic:blipFill>
                    <a:blip r:embed="rId358">
                      <a:extLst>
                        <a:ext uri="{28A0092B-C50C-407E-A947-70E740481C1C}">
                          <a14:useLocalDpi xmlns:a14="http://schemas.microsoft.com/office/drawing/2010/main" val="0"/>
                        </a:ext>
                      </a:extLst>
                    </a:blip>
                    <a:stretch>
                      <a:fillRect/>
                    </a:stretch>
                  </pic:blipFill>
                  <pic:spPr>
                    <a:xfrm>
                      <a:off x="0" y="0"/>
                      <a:ext cx="903853" cy="879857"/>
                    </a:xfrm>
                    <a:prstGeom prst="rect">
                      <a:avLst/>
                    </a:prstGeom>
                  </pic:spPr>
                </pic:pic>
              </a:graphicData>
            </a:graphic>
          </wp:inline>
        </w:drawing>
      </w:r>
      <w:r w:rsidRPr="00EC0229">
        <w:rPr>
          <w:noProof/>
          <w:szCs w:val="24"/>
          <w:lang w:eastAsia="en-GB"/>
        </w:rPr>
        <w:drawing>
          <wp:inline distT="0" distB="0" distL="0" distR="0" wp14:anchorId="79FE2B7A" wp14:editId="26D6D9E3">
            <wp:extent cx="863534" cy="886460"/>
            <wp:effectExtent l="0" t="0" r="0" b="889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255R.jpg"/>
                    <pic:cNvPicPr/>
                  </pic:nvPicPr>
                  <pic:blipFill>
                    <a:blip r:embed="rId359">
                      <a:extLst>
                        <a:ext uri="{28A0092B-C50C-407E-A947-70E740481C1C}">
                          <a14:useLocalDpi xmlns:a14="http://schemas.microsoft.com/office/drawing/2010/main" val="0"/>
                        </a:ext>
                      </a:extLst>
                    </a:blip>
                    <a:stretch>
                      <a:fillRect/>
                    </a:stretch>
                  </pic:blipFill>
                  <pic:spPr>
                    <a:xfrm>
                      <a:off x="0" y="0"/>
                      <a:ext cx="876789" cy="900067"/>
                    </a:xfrm>
                    <a:prstGeom prst="rect">
                      <a:avLst/>
                    </a:prstGeom>
                  </pic:spPr>
                </pic:pic>
              </a:graphicData>
            </a:graphic>
          </wp:inline>
        </w:drawing>
      </w:r>
    </w:p>
    <w:p w14:paraId="33BAFAFD" w14:textId="5E395D4C" w:rsidR="00071F47" w:rsidRPr="00EC0229" w:rsidRDefault="00071F47" w:rsidP="007600EA">
      <w:pPr>
        <w:spacing w:line="360" w:lineRule="auto"/>
        <w:jc w:val="center"/>
        <w:rPr>
          <w:i/>
          <w:sz w:val="20"/>
          <w:szCs w:val="20"/>
        </w:rPr>
      </w:pPr>
      <w:bookmarkStart w:id="695" w:name="_Ref430248874"/>
      <w:bookmarkStart w:id="696" w:name="_Toc468267083"/>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111</w:t>
      </w:r>
      <w:r w:rsidRPr="00EC0229">
        <w:rPr>
          <w:sz w:val="20"/>
          <w:szCs w:val="20"/>
        </w:rPr>
        <w:fldChar w:fldCharType="end"/>
      </w:r>
      <w:bookmarkEnd w:id="695"/>
      <w:r w:rsidRPr="00EC0229">
        <w:rPr>
          <w:sz w:val="20"/>
          <w:szCs w:val="20"/>
        </w:rPr>
        <w:t>: Worn Merovingian</w:t>
      </w:r>
      <w:r w:rsidRPr="00EC0229">
        <w:rPr>
          <w:sz w:val="20"/>
          <w:szCs w:val="20"/>
        </w:rPr>
        <w:fldChar w:fldCharType="begin"/>
      </w:r>
      <w:r w:rsidRPr="00EC0229">
        <w:rPr>
          <w:sz w:val="20"/>
          <w:szCs w:val="20"/>
        </w:rPr>
        <w:instrText xml:space="preserve"> XE "Merovingian" </w:instrText>
      </w:r>
      <w:r w:rsidRPr="00EC0229">
        <w:rPr>
          <w:sz w:val="20"/>
          <w:szCs w:val="20"/>
        </w:rPr>
        <w:fldChar w:fldCharType="end"/>
      </w:r>
      <w:r w:rsidRPr="00EC0229">
        <w:rPr>
          <w:sz w:val="20"/>
          <w:szCs w:val="20"/>
        </w:rPr>
        <w:t xml:space="preserve"> denier</w:t>
      </w:r>
      <w:r w:rsidRPr="00EC0229">
        <w:rPr>
          <w:sz w:val="20"/>
          <w:szCs w:val="20"/>
        </w:rPr>
        <w:fldChar w:fldCharType="begin"/>
      </w:r>
      <w:r w:rsidRPr="00EC0229">
        <w:rPr>
          <w:sz w:val="20"/>
          <w:szCs w:val="20"/>
        </w:rPr>
        <w:instrText xml:space="preserve"> XE "denier" </w:instrText>
      </w:r>
      <w:r w:rsidRPr="00EC0229">
        <w:rPr>
          <w:sz w:val="20"/>
          <w:szCs w:val="20"/>
        </w:rPr>
        <w:fldChar w:fldCharType="end"/>
      </w:r>
      <w:r w:rsidRPr="00EC0229">
        <w:rPr>
          <w:sz w:val="20"/>
          <w:szCs w:val="20"/>
        </w:rPr>
        <w:t xml:space="preserve"> from Sledmere</w:t>
      </w:r>
      <w:bookmarkEnd w:id="696"/>
      <w:r w:rsidRPr="00EC0229">
        <w:rPr>
          <w:i/>
          <w:sz w:val="20"/>
          <w:szCs w:val="20"/>
        </w:rPr>
        <w:fldChar w:fldCharType="begin"/>
      </w:r>
      <w:r w:rsidRPr="00EC0229">
        <w:rPr>
          <w:i/>
          <w:sz w:val="20"/>
          <w:szCs w:val="20"/>
        </w:rPr>
        <w:instrText xml:space="preserve"> XE "Sledmere" </w:instrText>
      </w:r>
      <w:r w:rsidRPr="00EC0229">
        <w:rPr>
          <w:i/>
          <w:sz w:val="20"/>
          <w:szCs w:val="20"/>
        </w:rPr>
        <w:fldChar w:fldCharType="end"/>
      </w:r>
    </w:p>
    <w:p w14:paraId="273B9095" w14:textId="4C9F8CCE" w:rsidR="00071F47" w:rsidRPr="00EC0229" w:rsidRDefault="00071F47" w:rsidP="007600EA">
      <w:pPr>
        <w:pStyle w:val="NoSpacing"/>
        <w:spacing w:line="360" w:lineRule="auto"/>
        <w:rPr>
          <w:szCs w:val="24"/>
        </w:rPr>
      </w:pPr>
      <w:r w:rsidRPr="00EC0229">
        <w:rPr>
          <w:szCs w:val="24"/>
        </w:rPr>
        <w:t>However, the earliest specimens are two Merovingian</w:t>
      </w:r>
      <w:r w:rsidRPr="00EC0229">
        <w:rPr>
          <w:szCs w:val="24"/>
        </w:rPr>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rPr>
          <w:szCs w:val="24"/>
        </w:rPr>
        <w:fldChar w:fldCharType="end"/>
      </w:r>
      <w:r w:rsidRPr="00EC0229">
        <w:rPr>
          <w:szCs w:val="24"/>
        </w:rPr>
        <w:t xml:space="preserve"> deniers </w:t>
      </w:r>
      <w:r w:rsidRPr="00EC0229">
        <w:t>(</w:t>
      </w:r>
      <w:r w:rsidRPr="00EC0229">
        <w:fldChar w:fldCharType="begin"/>
      </w:r>
      <w:r w:rsidRPr="00EC0229">
        <w:instrText xml:space="preserve"> REF _Ref430248874 \h  \* MERGEFORMAT </w:instrText>
      </w:r>
      <w:r w:rsidRPr="00EC0229">
        <w:fldChar w:fldCharType="separate"/>
      </w:r>
      <w:r w:rsidR="0012026B" w:rsidRPr="0012026B">
        <w:rPr>
          <w:i/>
        </w:rPr>
        <w:t>Figure</w:t>
      </w:r>
      <w:r w:rsidR="0012026B" w:rsidRPr="0012026B">
        <w:t xml:space="preserve"> </w:t>
      </w:r>
      <w:r w:rsidR="0012026B" w:rsidRPr="0012026B">
        <w:rPr>
          <w:noProof/>
        </w:rPr>
        <w:t>111</w:t>
      </w:r>
      <w:r w:rsidRPr="00EC0229">
        <w:fldChar w:fldCharType="end"/>
      </w:r>
      <w:r w:rsidRPr="00EC0229">
        <w:t>)</w:t>
      </w:r>
      <w:r w:rsidRPr="00EC0229">
        <w:rPr>
          <w:szCs w:val="24"/>
        </w:rPr>
        <w:t>,</w:t>
      </w:r>
      <w:r w:rsidRPr="00EC0229">
        <w:rPr>
          <w:rStyle w:val="FootnoteReference"/>
          <w:szCs w:val="24"/>
        </w:rPr>
        <w:footnoteReference w:id="1040"/>
      </w:r>
      <w:r w:rsidRPr="00EC0229">
        <w:rPr>
          <w:szCs w:val="24"/>
        </w:rPr>
        <w:t xml:space="preserve"> [4d] sceats from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D</w:t>
      </w:r>
      <w:r w:rsidRPr="00EC0229">
        <w:rPr>
          <w:szCs w:val="24"/>
        </w:rPr>
        <w:fldChar w:fldCharType="begin"/>
      </w:r>
      <w:r w:rsidRPr="00EC0229">
        <w:instrText xml:space="preserve"> XE "</w:instrText>
      </w:r>
      <w:r w:rsidRPr="00EC0229">
        <w:rPr>
          <w:szCs w:val="24"/>
        </w:rPr>
        <w:instrText>Series D</w:instrText>
      </w:r>
      <w:r w:rsidRPr="00EC0229">
        <w:instrText xml:space="preserve">" </w:instrText>
      </w:r>
      <w:r w:rsidRPr="00EC0229">
        <w:rPr>
          <w:szCs w:val="24"/>
        </w:rPr>
        <w:fldChar w:fldCharType="end"/>
      </w:r>
      <w:r w:rsidRPr="00EC0229">
        <w:rPr>
          <w:szCs w:val="24"/>
        </w:rPr>
        <w:t xml:space="preserve"> and the primary phase of Series E [4c]</w:t>
      </w:r>
      <w:r w:rsidRPr="00EC0229">
        <w:rPr>
          <w:szCs w:val="24"/>
        </w:rPr>
        <w:fldChar w:fldCharType="begin"/>
      </w:r>
      <w:r w:rsidRPr="00EC0229">
        <w:instrText xml:space="preserve"> XE "Series E" </w:instrText>
      </w:r>
      <w:r w:rsidRPr="00EC0229">
        <w:rPr>
          <w:szCs w:val="24"/>
        </w:rPr>
        <w:fldChar w:fldCharType="end"/>
      </w:r>
      <w:r w:rsidRPr="00EC0229">
        <w:rPr>
          <w:szCs w:val="24"/>
        </w:rPr>
        <w:t xml:space="preserve">. It is plausible that the economic stimulus was provided by incoming traders buying local produce in exchange for their Continental coins. There are seven English primary sceats [4b] and an unusual number of exotic species [5b] - </w:t>
      </w:r>
      <w:r w:rsidRPr="00EC0229">
        <w:rPr>
          <w:rFonts w:cs="Times New Roman"/>
          <w:szCs w:val="24"/>
        </w:rPr>
        <w:t>Æ</w:t>
      </w:r>
      <w:r w:rsidRPr="00EC0229">
        <w:rPr>
          <w:szCs w:val="24"/>
        </w:rPr>
        <w:t>thilir</w:t>
      </w:r>
      <w:r w:rsidRPr="00EC0229">
        <w:rPr>
          <w:rFonts w:ascii="COINS010" w:hAnsi="COINS010"/>
          <w:szCs w:val="24"/>
        </w:rPr>
        <w:t>æ</w:t>
      </w:r>
      <w:r w:rsidRPr="00EC0229">
        <w:rPr>
          <w:szCs w:val="24"/>
        </w:rPr>
        <w:t xml:space="preserve">d, animal mask, </w:t>
      </w:r>
      <w:r w:rsidRPr="00EC0229">
        <w:rPr>
          <w:i/>
          <w:szCs w:val="24"/>
        </w:rPr>
        <w:t>MONITASCORVM</w:t>
      </w:r>
      <w:r w:rsidRPr="00EC0229">
        <w:rPr>
          <w:szCs w:val="24"/>
        </w:rPr>
        <w:t xml:space="preserve">, rosette, </w:t>
      </w:r>
      <w:r w:rsidRPr="00EC0229">
        <w:rPr>
          <w:i/>
          <w:szCs w:val="24"/>
        </w:rPr>
        <w:t>SAROALDO</w:t>
      </w:r>
      <w:r w:rsidRPr="00EC0229">
        <w:rPr>
          <w:szCs w:val="24"/>
        </w:rPr>
        <w:t xml:space="preserve"> </w:t>
      </w:r>
      <w:r w:rsidRPr="00EC0229">
        <w:t>(</w:t>
      </w:r>
      <w:r w:rsidRPr="00EC0229">
        <w:fldChar w:fldCharType="begin"/>
      </w:r>
      <w:r w:rsidRPr="00EC0229">
        <w:instrText xml:space="preserve"> REF _Ref430248892 \h  \* MERGEFORMAT </w:instrText>
      </w:r>
      <w:r w:rsidRPr="00EC0229">
        <w:fldChar w:fldCharType="separate"/>
      </w:r>
      <w:r w:rsidR="0012026B" w:rsidRPr="0012026B">
        <w:rPr>
          <w:i/>
        </w:rPr>
        <w:t>Figure</w:t>
      </w:r>
      <w:r w:rsidR="0012026B" w:rsidRPr="0012026B">
        <w:t xml:space="preserve"> 112</w:t>
      </w:r>
      <w:r w:rsidRPr="00EC0229">
        <w:fldChar w:fldCharType="end"/>
      </w:r>
      <w:r w:rsidRPr="00EC0229">
        <w:t xml:space="preserve">) </w:t>
      </w:r>
      <w:r w:rsidRPr="00EC0229">
        <w:rPr>
          <w:szCs w:val="24"/>
        </w:rPr>
        <w:t>and nine scarce varieties of ecclesiastical East Anglian</w:t>
      </w:r>
      <w:r w:rsidRPr="00EC0229">
        <w:rPr>
          <w:szCs w:val="24"/>
        </w:rPr>
        <w:fldChar w:fldCharType="begin"/>
      </w:r>
      <w:r w:rsidRPr="00EC0229">
        <w:instrText xml:space="preserve"> XE "Anglian" </w:instrText>
      </w:r>
      <w:r w:rsidRPr="00EC0229">
        <w:rPr>
          <w:szCs w:val="24"/>
        </w:rPr>
        <w:fldChar w:fldCharType="end"/>
      </w:r>
      <w:r w:rsidRPr="00EC0229">
        <w:rPr>
          <w:szCs w:val="24"/>
        </w:rPr>
        <w:t xml:space="preserve"> Series Q</w:t>
      </w:r>
      <w:r w:rsidRPr="00EC0229">
        <w:rPr>
          <w:szCs w:val="24"/>
        </w:rPr>
        <w:fldChar w:fldCharType="begin"/>
      </w:r>
      <w:r w:rsidRPr="00EC0229">
        <w:instrText xml:space="preserve"> XE "Series Q" </w:instrText>
      </w:r>
      <w:r w:rsidRPr="00EC0229">
        <w:rPr>
          <w:szCs w:val="24"/>
        </w:rPr>
        <w:fldChar w:fldCharType="end"/>
      </w:r>
      <w:r w:rsidRPr="00EC0229">
        <w:rPr>
          <w:szCs w:val="24"/>
        </w:rPr>
        <w:t xml:space="preserve"> </w:t>
      </w:r>
      <w:r w:rsidRPr="00EC0229">
        <w:t>(</w:t>
      </w:r>
      <w:r w:rsidRPr="00EC0229">
        <w:fldChar w:fldCharType="begin"/>
      </w:r>
      <w:r w:rsidRPr="00EC0229">
        <w:instrText xml:space="preserve"> REF _Ref430248902 \h  \* MERGEFORMAT </w:instrText>
      </w:r>
      <w:r w:rsidRPr="00EC0229">
        <w:fldChar w:fldCharType="separate"/>
      </w:r>
      <w:r w:rsidR="0012026B" w:rsidRPr="0012026B">
        <w:rPr>
          <w:i/>
        </w:rPr>
        <w:t>Figure</w:t>
      </w:r>
      <w:r w:rsidR="0012026B" w:rsidRPr="0012026B">
        <w:t xml:space="preserve"> </w:t>
      </w:r>
      <w:r w:rsidR="0012026B" w:rsidRPr="0012026B">
        <w:rPr>
          <w:noProof/>
        </w:rPr>
        <w:t>113</w:t>
      </w:r>
      <w:r w:rsidRPr="00EC0229">
        <w:fldChar w:fldCharType="end"/>
      </w:r>
      <w:r w:rsidRPr="00EC0229">
        <w:t>), [5b]</w:t>
      </w:r>
      <w:r w:rsidRPr="00EC0229">
        <w:rPr>
          <w:szCs w:val="24"/>
        </w:rPr>
        <w:t>. Curiously, there are more of the latter than the trading currency of East Anglia, Series R and secondary Frisian types are few, pointing to a possible redirection of trading relations.</w:t>
      </w:r>
      <w:r w:rsidR="00046C7B" w:rsidRPr="00046C7B">
        <w:t xml:space="preserve"> </w:t>
      </w:r>
      <w:r w:rsidR="00046C7B">
        <w:t xml:space="preserve">See </w:t>
      </w:r>
      <w:r w:rsidR="00046C7B" w:rsidRPr="00A07A08">
        <w:rPr>
          <w:i/>
        </w:rPr>
        <w:t>Graph 7.</w:t>
      </w:r>
      <w:r w:rsidR="00046C7B">
        <w:rPr>
          <w:i/>
        </w:rPr>
        <w:t>04 no. 8</w:t>
      </w:r>
      <w:r w:rsidR="00046C7B">
        <w:t>.</w:t>
      </w:r>
    </w:p>
    <w:p w14:paraId="33266159" w14:textId="77777777" w:rsidR="00071F47" w:rsidRPr="00EC0229" w:rsidRDefault="00071F47" w:rsidP="007600EA">
      <w:pPr>
        <w:pStyle w:val="NoSpacing"/>
        <w:spacing w:line="360" w:lineRule="auto"/>
        <w:rPr>
          <w:szCs w:val="24"/>
        </w:rPr>
      </w:pPr>
      <w:r w:rsidRPr="00EC0229">
        <w:rPr>
          <w:noProof/>
          <w:szCs w:val="24"/>
          <w:lang w:eastAsia="en-GB"/>
        </w:rPr>
        <w:drawing>
          <wp:inline distT="0" distB="0" distL="0" distR="0" wp14:anchorId="1B71A8F7" wp14:editId="726BDADA">
            <wp:extent cx="762000" cy="795717"/>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M5.JPG"/>
                    <pic:cNvPicPr/>
                  </pic:nvPicPr>
                  <pic:blipFill>
                    <a:blip r:embed="rId360">
                      <a:extLst>
                        <a:ext uri="{28A0092B-C50C-407E-A947-70E740481C1C}">
                          <a14:useLocalDpi xmlns:a14="http://schemas.microsoft.com/office/drawing/2010/main" val="0"/>
                        </a:ext>
                      </a:extLst>
                    </a:blip>
                    <a:stretch>
                      <a:fillRect/>
                    </a:stretch>
                  </pic:blipFill>
                  <pic:spPr>
                    <a:xfrm>
                      <a:off x="0" y="0"/>
                      <a:ext cx="769428" cy="803474"/>
                    </a:xfrm>
                    <a:prstGeom prst="rect">
                      <a:avLst/>
                    </a:prstGeom>
                  </pic:spPr>
                </pic:pic>
              </a:graphicData>
            </a:graphic>
          </wp:inline>
        </w:drawing>
      </w:r>
      <w:r w:rsidRPr="00EC0229">
        <w:rPr>
          <w:noProof/>
          <w:szCs w:val="24"/>
          <w:lang w:eastAsia="en-GB"/>
        </w:rPr>
        <w:drawing>
          <wp:inline distT="0" distB="0" distL="0" distR="0" wp14:anchorId="2EB7D635" wp14:editId="5DA17037">
            <wp:extent cx="861060" cy="8001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M5R.JPG"/>
                    <pic:cNvPicPr/>
                  </pic:nvPicPr>
                  <pic:blipFill>
                    <a:blip r:embed="rId361">
                      <a:extLst>
                        <a:ext uri="{28A0092B-C50C-407E-A947-70E740481C1C}">
                          <a14:useLocalDpi xmlns:a14="http://schemas.microsoft.com/office/drawing/2010/main" val="0"/>
                        </a:ext>
                      </a:extLst>
                    </a:blip>
                    <a:stretch>
                      <a:fillRect/>
                    </a:stretch>
                  </pic:blipFill>
                  <pic:spPr>
                    <a:xfrm>
                      <a:off x="0" y="0"/>
                      <a:ext cx="874128" cy="812243"/>
                    </a:xfrm>
                    <a:prstGeom prst="rect">
                      <a:avLst/>
                    </a:prstGeom>
                  </pic:spPr>
                </pic:pic>
              </a:graphicData>
            </a:graphic>
          </wp:inline>
        </w:drawing>
      </w:r>
      <w:r w:rsidRPr="00EC0229">
        <w:rPr>
          <w:szCs w:val="24"/>
        </w:rPr>
        <w:tab/>
        <w:t xml:space="preserve">      </w:t>
      </w:r>
      <w:r w:rsidRPr="00EC0229">
        <w:rPr>
          <w:noProof/>
          <w:szCs w:val="24"/>
          <w:lang w:eastAsia="en-GB"/>
        </w:rPr>
        <w:drawing>
          <wp:inline distT="0" distB="0" distL="0" distR="0" wp14:anchorId="155ADA54" wp14:editId="59769504">
            <wp:extent cx="792480" cy="785467"/>
            <wp:effectExtent l="0" t="0" r="762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o2b.JPG"/>
                    <pic:cNvPicPr/>
                  </pic:nvPicPr>
                  <pic:blipFill>
                    <a:blip r:embed="rId362">
                      <a:extLst>
                        <a:ext uri="{28A0092B-C50C-407E-A947-70E740481C1C}">
                          <a14:useLocalDpi xmlns:a14="http://schemas.microsoft.com/office/drawing/2010/main" val="0"/>
                        </a:ext>
                      </a:extLst>
                    </a:blip>
                    <a:stretch>
                      <a:fillRect/>
                    </a:stretch>
                  </pic:blipFill>
                  <pic:spPr>
                    <a:xfrm>
                      <a:off x="0" y="0"/>
                      <a:ext cx="810190" cy="803021"/>
                    </a:xfrm>
                    <a:prstGeom prst="rect">
                      <a:avLst/>
                    </a:prstGeom>
                  </pic:spPr>
                </pic:pic>
              </a:graphicData>
            </a:graphic>
          </wp:inline>
        </w:drawing>
      </w:r>
      <w:r w:rsidRPr="00EC0229">
        <w:rPr>
          <w:noProof/>
          <w:szCs w:val="24"/>
          <w:lang w:eastAsia="en-GB"/>
        </w:rPr>
        <w:drawing>
          <wp:inline distT="0" distB="0" distL="0" distR="0" wp14:anchorId="353FA5C0" wp14:editId="65C694C8">
            <wp:extent cx="792480" cy="792480"/>
            <wp:effectExtent l="0" t="0" r="762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o2bR.JPG"/>
                    <pic:cNvPicPr/>
                  </pic:nvPicPr>
                  <pic:blipFill>
                    <a:blip r:embed="rId363">
                      <a:extLst>
                        <a:ext uri="{28A0092B-C50C-407E-A947-70E740481C1C}">
                          <a14:useLocalDpi xmlns:a14="http://schemas.microsoft.com/office/drawing/2010/main" val="0"/>
                        </a:ext>
                      </a:extLst>
                    </a:blip>
                    <a:stretch>
                      <a:fillRect/>
                    </a:stretch>
                  </pic:blipFill>
                  <pic:spPr>
                    <a:xfrm>
                      <a:off x="0" y="0"/>
                      <a:ext cx="792480" cy="792480"/>
                    </a:xfrm>
                    <a:prstGeom prst="rect">
                      <a:avLst/>
                    </a:prstGeom>
                  </pic:spPr>
                </pic:pic>
              </a:graphicData>
            </a:graphic>
          </wp:inline>
        </w:drawing>
      </w:r>
      <w:r w:rsidRPr="00EC0229">
        <w:rPr>
          <w:szCs w:val="24"/>
        </w:rPr>
        <w:t xml:space="preserve">          </w:t>
      </w:r>
      <w:r w:rsidRPr="00EC0229">
        <w:rPr>
          <w:noProof/>
          <w:szCs w:val="24"/>
          <w:lang w:eastAsia="en-GB"/>
        </w:rPr>
        <w:drawing>
          <wp:inline distT="0" distB="0" distL="0" distR="0" wp14:anchorId="0E46BB4A" wp14:editId="4A8BB84F">
            <wp:extent cx="762000" cy="775487"/>
            <wp:effectExtent l="0" t="0" r="0" b="571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950.JPG"/>
                    <pic:cNvPicPr/>
                  </pic:nvPicPr>
                  <pic:blipFill>
                    <a:blip r:embed="rId364">
                      <a:extLst>
                        <a:ext uri="{28A0092B-C50C-407E-A947-70E740481C1C}">
                          <a14:useLocalDpi xmlns:a14="http://schemas.microsoft.com/office/drawing/2010/main" val="0"/>
                        </a:ext>
                      </a:extLst>
                    </a:blip>
                    <a:stretch>
                      <a:fillRect/>
                    </a:stretch>
                  </pic:blipFill>
                  <pic:spPr>
                    <a:xfrm>
                      <a:off x="0" y="0"/>
                      <a:ext cx="781457" cy="795289"/>
                    </a:xfrm>
                    <a:prstGeom prst="rect">
                      <a:avLst/>
                    </a:prstGeom>
                  </pic:spPr>
                </pic:pic>
              </a:graphicData>
            </a:graphic>
          </wp:inline>
        </w:drawing>
      </w:r>
      <w:r w:rsidRPr="00EC0229">
        <w:rPr>
          <w:noProof/>
          <w:szCs w:val="24"/>
          <w:lang w:eastAsia="en-GB"/>
        </w:rPr>
        <w:drawing>
          <wp:inline distT="0" distB="0" distL="0" distR="0" wp14:anchorId="6D2A91E7" wp14:editId="152C37A4">
            <wp:extent cx="799364" cy="756920"/>
            <wp:effectExtent l="0" t="0" r="1270" b="508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950R.JPG"/>
                    <pic:cNvPicPr/>
                  </pic:nvPicPr>
                  <pic:blipFill>
                    <a:blip r:embed="rId365">
                      <a:extLst>
                        <a:ext uri="{28A0092B-C50C-407E-A947-70E740481C1C}">
                          <a14:useLocalDpi xmlns:a14="http://schemas.microsoft.com/office/drawing/2010/main" val="0"/>
                        </a:ext>
                      </a:extLst>
                    </a:blip>
                    <a:stretch>
                      <a:fillRect/>
                    </a:stretch>
                  </pic:blipFill>
                  <pic:spPr>
                    <a:xfrm>
                      <a:off x="0" y="0"/>
                      <a:ext cx="820960" cy="777370"/>
                    </a:xfrm>
                    <a:prstGeom prst="rect">
                      <a:avLst/>
                    </a:prstGeom>
                  </pic:spPr>
                </pic:pic>
              </a:graphicData>
            </a:graphic>
          </wp:inline>
        </w:drawing>
      </w:r>
    </w:p>
    <w:p w14:paraId="6271562B" w14:textId="0034637D" w:rsidR="00071F47" w:rsidRPr="00EC0229" w:rsidRDefault="00071F47" w:rsidP="007600EA">
      <w:pPr>
        <w:pStyle w:val="NoSpacing"/>
        <w:spacing w:line="360" w:lineRule="auto"/>
        <w:jc w:val="center"/>
        <w:rPr>
          <w:i/>
          <w:sz w:val="20"/>
          <w:szCs w:val="20"/>
        </w:rPr>
      </w:pPr>
      <w:bookmarkStart w:id="697" w:name="_Ref430248892"/>
      <w:bookmarkStart w:id="698" w:name="_Toc468267084"/>
      <w:r w:rsidRPr="00EC0229">
        <w:rPr>
          <w:i/>
          <w:sz w:val="20"/>
          <w:szCs w:val="20"/>
        </w:rPr>
        <w:t xml:space="preserve">Figure </w:t>
      </w:r>
      <w:r w:rsidRPr="00EC0229">
        <w:rPr>
          <w:rStyle w:val="NoSpacingChar"/>
          <w:sz w:val="20"/>
          <w:szCs w:val="20"/>
        </w:rPr>
        <w:fldChar w:fldCharType="begin"/>
      </w:r>
      <w:r w:rsidRPr="00EC0229">
        <w:rPr>
          <w:rStyle w:val="NoSpacingChar"/>
          <w:sz w:val="20"/>
          <w:szCs w:val="20"/>
        </w:rPr>
        <w:instrText xml:space="preserve"> SEQ Figure \* ARABIC </w:instrText>
      </w:r>
      <w:r w:rsidRPr="00EC0229">
        <w:rPr>
          <w:rStyle w:val="NoSpacingChar"/>
          <w:sz w:val="20"/>
          <w:szCs w:val="20"/>
        </w:rPr>
        <w:fldChar w:fldCharType="separate"/>
      </w:r>
      <w:r w:rsidR="0012026B">
        <w:rPr>
          <w:rStyle w:val="NoSpacingChar"/>
          <w:noProof/>
          <w:sz w:val="20"/>
          <w:szCs w:val="20"/>
        </w:rPr>
        <w:t>112</w:t>
      </w:r>
      <w:r w:rsidRPr="00EC0229">
        <w:rPr>
          <w:rStyle w:val="NoSpacingChar"/>
          <w:sz w:val="20"/>
          <w:szCs w:val="20"/>
        </w:rPr>
        <w:fldChar w:fldCharType="end"/>
      </w:r>
      <w:bookmarkEnd w:id="697"/>
      <w:r w:rsidRPr="00EC0229">
        <w:rPr>
          <w:rStyle w:val="NoSpacingChar"/>
          <w:sz w:val="20"/>
          <w:szCs w:val="20"/>
        </w:rPr>
        <w:t>: Exotic species from Sledmere</w:t>
      </w:r>
      <w:bookmarkEnd w:id="698"/>
      <w:r w:rsidRPr="00EC0229">
        <w:rPr>
          <w:i/>
          <w:sz w:val="20"/>
          <w:szCs w:val="20"/>
        </w:rPr>
        <w:fldChar w:fldCharType="begin"/>
      </w:r>
      <w:r w:rsidRPr="00EC0229">
        <w:rPr>
          <w:i/>
          <w:sz w:val="20"/>
          <w:szCs w:val="20"/>
        </w:rPr>
        <w:instrText xml:space="preserve"> XE "Sledmere" </w:instrText>
      </w:r>
      <w:r w:rsidRPr="00EC0229">
        <w:rPr>
          <w:i/>
          <w:sz w:val="20"/>
          <w:szCs w:val="20"/>
        </w:rPr>
        <w:fldChar w:fldCharType="end"/>
      </w:r>
    </w:p>
    <w:p w14:paraId="31038A5C" w14:textId="77777777" w:rsidR="00071F47" w:rsidRPr="00EC0229" w:rsidRDefault="00071F47" w:rsidP="007600EA">
      <w:pPr>
        <w:pStyle w:val="NoSpacing"/>
        <w:spacing w:line="360" w:lineRule="auto"/>
        <w:jc w:val="center"/>
        <w:rPr>
          <w:sz w:val="20"/>
          <w:szCs w:val="20"/>
        </w:rPr>
      </w:pPr>
      <w:r w:rsidRPr="00EC0229">
        <w:rPr>
          <w:sz w:val="20"/>
          <w:szCs w:val="20"/>
        </w:rPr>
        <w:t>Animal mask type (</w:t>
      </w:r>
      <w:r w:rsidRPr="00EC0229">
        <w:rPr>
          <w:i/>
          <w:sz w:val="20"/>
          <w:szCs w:val="20"/>
        </w:rPr>
        <w:t>SL</w:t>
      </w:r>
      <w:r w:rsidRPr="00EC0229">
        <w:rPr>
          <w:sz w:val="20"/>
          <w:szCs w:val="20"/>
        </w:rPr>
        <w:t>112-50)</w:t>
      </w:r>
      <w:r w:rsidRPr="00EC0229">
        <w:rPr>
          <w:sz w:val="20"/>
          <w:szCs w:val="20"/>
        </w:rPr>
        <w:tab/>
        <w:t xml:space="preserve">           Rosette type 68 (</w:t>
      </w:r>
      <w:r w:rsidRPr="00EC0229">
        <w:rPr>
          <w:i/>
          <w:sz w:val="20"/>
          <w:szCs w:val="20"/>
        </w:rPr>
        <w:t>SL</w:t>
      </w:r>
      <w:r w:rsidRPr="00EC0229">
        <w:rPr>
          <w:sz w:val="20"/>
          <w:szCs w:val="20"/>
        </w:rPr>
        <w:t xml:space="preserve">32-30) </w:t>
      </w:r>
      <w:r w:rsidRPr="00EC0229">
        <w:rPr>
          <w:sz w:val="20"/>
          <w:szCs w:val="20"/>
        </w:rPr>
        <w:tab/>
      </w:r>
      <w:r w:rsidRPr="00EC0229">
        <w:rPr>
          <w:sz w:val="20"/>
          <w:szCs w:val="20"/>
        </w:rPr>
        <w:tab/>
      </w:r>
      <w:r w:rsidRPr="00EC0229">
        <w:rPr>
          <w:i/>
          <w:sz w:val="20"/>
          <w:szCs w:val="20"/>
        </w:rPr>
        <w:t>SAROALDO</w:t>
      </w:r>
      <w:r w:rsidRPr="00EC0229">
        <w:rPr>
          <w:sz w:val="20"/>
          <w:szCs w:val="20"/>
        </w:rPr>
        <w:t xml:space="preserve"> type 11 (</w:t>
      </w:r>
      <w:r w:rsidRPr="00EC0229">
        <w:rPr>
          <w:i/>
          <w:sz w:val="20"/>
          <w:szCs w:val="20"/>
        </w:rPr>
        <w:t>SL</w:t>
      </w:r>
      <w:r w:rsidRPr="00EC0229">
        <w:rPr>
          <w:sz w:val="20"/>
          <w:szCs w:val="20"/>
        </w:rPr>
        <w:t>7-40)</w:t>
      </w:r>
    </w:p>
    <w:p w14:paraId="6FDFC3FC" w14:textId="77777777" w:rsidR="00071F47" w:rsidRPr="00EC0229" w:rsidRDefault="00071F47" w:rsidP="007600EA">
      <w:pPr>
        <w:pStyle w:val="NoSpacing"/>
        <w:spacing w:line="360" w:lineRule="auto"/>
        <w:rPr>
          <w:szCs w:val="24"/>
        </w:rPr>
      </w:pPr>
    </w:p>
    <w:p w14:paraId="766E8F35" w14:textId="77777777" w:rsidR="00071F47" w:rsidRPr="00EC0229" w:rsidRDefault="00071F47" w:rsidP="007600EA">
      <w:pPr>
        <w:pStyle w:val="NoSpacing"/>
        <w:spacing w:line="360" w:lineRule="auto"/>
        <w:rPr>
          <w:szCs w:val="24"/>
        </w:rPr>
      </w:pPr>
      <w:r w:rsidRPr="00EC0229">
        <w:rPr>
          <w:szCs w:val="24"/>
        </w:rPr>
        <w:t>Overall this is an unusual assemblage leading Metcalf</w:t>
      </w:r>
      <w:r w:rsidRPr="00EC0229">
        <w:rPr>
          <w:szCs w:val="24"/>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szCs w:val="24"/>
        </w:rPr>
        <w:fldChar w:fldCharType="end"/>
      </w:r>
      <w:r w:rsidRPr="00EC0229">
        <w:rPr>
          <w:szCs w:val="24"/>
        </w:rPr>
        <w:t xml:space="preserve"> to speculate that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J [5a] is perhaps the commercial currency of the region whereas Series Y is the regal coinage – just as East Anglian</w:t>
      </w:r>
      <w:r w:rsidRPr="00EC0229">
        <w:rPr>
          <w:szCs w:val="24"/>
        </w:rPr>
        <w:fldChar w:fldCharType="begin"/>
      </w:r>
      <w:r w:rsidRPr="00EC0229">
        <w:instrText xml:space="preserve"> XE "Anglian" </w:instrText>
      </w:r>
      <w:r w:rsidRPr="00EC0229">
        <w:rPr>
          <w:szCs w:val="24"/>
        </w:rPr>
        <w:fldChar w:fldCharType="end"/>
      </w:r>
      <w:r w:rsidRPr="00EC0229">
        <w:rPr>
          <w:szCs w:val="24"/>
        </w:rPr>
        <w:t xml:space="preserve"> has Series Q</w:t>
      </w:r>
      <w:r w:rsidRPr="00EC0229">
        <w:rPr>
          <w:szCs w:val="24"/>
        </w:rPr>
        <w:fldChar w:fldCharType="begin"/>
      </w:r>
      <w:r w:rsidRPr="00EC0229">
        <w:instrText xml:space="preserve"> XE "Series Q" </w:instrText>
      </w:r>
      <w:r w:rsidRPr="00EC0229">
        <w:rPr>
          <w:szCs w:val="24"/>
        </w:rPr>
        <w:fldChar w:fldCharType="end"/>
      </w:r>
      <w:r w:rsidRPr="00EC0229">
        <w:rPr>
          <w:szCs w:val="24"/>
        </w:rPr>
        <w:t xml:space="preserve"> and R (the former understood as ecclesiastical, the latter royal/commercial). This represents Sledmere</w:t>
      </w:r>
      <w:r w:rsidRPr="00EC0229">
        <w:rPr>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szCs w:val="24"/>
        </w:rPr>
        <w:fldChar w:fldCharType="end"/>
      </w:r>
      <w:r w:rsidRPr="00EC0229">
        <w:rPr>
          <w:szCs w:val="24"/>
        </w:rPr>
        <w:t xml:space="preserve"> as the commercial centre and South Newbald</w:t>
      </w:r>
      <w:r w:rsidRPr="00EC0229">
        <w:rPr>
          <w:szCs w:val="24"/>
        </w:rPr>
        <w:fldChar w:fldCharType="begin"/>
      </w:r>
      <w:r w:rsidRPr="00EC0229">
        <w:instrText xml:space="preserve"> XE "</w:instrText>
      </w:r>
      <w:r w:rsidRPr="00EC0229">
        <w:rPr>
          <w:rStyle w:val="Hyperlink"/>
          <w:noProof/>
          <w:u w:val="none"/>
        </w:rPr>
        <w:instrText>South Newbald</w:instrText>
      </w:r>
      <w:r w:rsidRPr="00EC0229">
        <w:instrText xml:space="preserve">" </w:instrText>
      </w:r>
      <w:r w:rsidRPr="00EC0229">
        <w:rPr>
          <w:szCs w:val="24"/>
        </w:rPr>
        <w:fldChar w:fldCharType="end"/>
      </w:r>
      <w:r w:rsidRPr="00EC0229">
        <w:rPr>
          <w:szCs w:val="24"/>
        </w:rPr>
        <w:t xml:space="preserve"> as regal – a </w:t>
      </w:r>
      <w:r w:rsidRPr="00EC0229">
        <w:rPr>
          <w:i/>
          <w:szCs w:val="24"/>
        </w:rPr>
        <w:t>vicus regius</w:t>
      </w:r>
      <w:r w:rsidRPr="00EC0229">
        <w:rPr>
          <w:szCs w:val="24"/>
        </w:rPr>
        <w:t xml:space="preserve"> as is suggested for Rendlesham,</w:t>
      </w:r>
      <w:r w:rsidRPr="00EC0229">
        <w:rPr>
          <w:rStyle w:val="FootnoteReference"/>
          <w:szCs w:val="24"/>
        </w:rPr>
        <w:footnoteReference w:id="1041"/>
      </w:r>
      <w:r w:rsidRPr="00EC0229">
        <w:rPr>
          <w:szCs w:val="24"/>
        </w:rPr>
        <w:t xml:space="preserve"> another site with a rich mix of types. As there is no temporal overlap between Series Y and J, Metcalf’s speculation is unsafe.</w:t>
      </w:r>
    </w:p>
    <w:p w14:paraId="0A78DD6B" w14:textId="77777777" w:rsidR="00071F47" w:rsidRPr="00EC0229" w:rsidRDefault="00071F47" w:rsidP="007600EA">
      <w:pPr>
        <w:pStyle w:val="NoSpacing"/>
        <w:spacing w:line="360" w:lineRule="auto"/>
        <w:rPr>
          <w:szCs w:val="24"/>
        </w:rPr>
      </w:pPr>
    </w:p>
    <w:p w14:paraId="59D2FA68" w14:textId="77777777" w:rsidR="00071F47" w:rsidRPr="00EC0229" w:rsidRDefault="00071F47" w:rsidP="007600EA">
      <w:pPr>
        <w:pStyle w:val="NoSpacing"/>
        <w:spacing w:line="360" w:lineRule="auto"/>
        <w:jc w:val="center"/>
        <w:rPr>
          <w:szCs w:val="24"/>
        </w:rPr>
      </w:pPr>
      <w:r w:rsidRPr="00EC0229">
        <w:rPr>
          <w:noProof/>
          <w:szCs w:val="24"/>
          <w:lang w:eastAsia="en-GB"/>
        </w:rPr>
        <w:lastRenderedPageBreak/>
        <w:drawing>
          <wp:inline distT="0" distB="0" distL="0" distR="0" wp14:anchorId="5C5F57A2" wp14:editId="50B1BF83">
            <wp:extent cx="897925" cy="86614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Q080.JPG"/>
                    <pic:cNvPicPr/>
                  </pic:nvPicPr>
                  <pic:blipFill>
                    <a:blip r:embed="rId366">
                      <a:extLst>
                        <a:ext uri="{28A0092B-C50C-407E-A947-70E740481C1C}">
                          <a14:useLocalDpi xmlns:a14="http://schemas.microsoft.com/office/drawing/2010/main" val="0"/>
                        </a:ext>
                      </a:extLst>
                    </a:blip>
                    <a:stretch>
                      <a:fillRect/>
                    </a:stretch>
                  </pic:blipFill>
                  <pic:spPr>
                    <a:xfrm>
                      <a:off x="0" y="0"/>
                      <a:ext cx="909812" cy="877607"/>
                    </a:xfrm>
                    <a:prstGeom prst="rect">
                      <a:avLst/>
                    </a:prstGeom>
                  </pic:spPr>
                </pic:pic>
              </a:graphicData>
            </a:graphic>
          </wp:inline>
        </w:drawing>
      </w:r>
      <w:r w:rsidRPr="00EC0229">
        <w:rPr>
          <w:noProof/>
          <w:szCs w:val="24"/>
          <w:lang w:eastAsia="en-GB"/>
        </w:rPr>
        <w:drawing>
          <wp:inline distT="0" distB="0" distL="0" distR="0" wp14:anchorId="4E0CE060" wp14:editId="5F08B045">
            <wp:extent cx="853507" cy="861060"/>
            <wp:effectExtent l="0" t="0" r="381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Q080R.JPG"/>
                    <pic:cNvPicPr/>
                  </pic:nvPicPr>
                  <pic:blipFill>
                    <a:blip r:embed="rId367">
                      <a:extLst>
                        <a:ext uri="{28A0092B-C50C-407E-A947-70E740481C1C}">
                          <a14:useLocalDpi xmlns:a14="http://schemas.microsoft.com/office/drawing/2010/main" val="0"/>
                        </a:ext>
                      </a:extLst>
                    </a:blip>
                    <a:stretch>
                      <a:fillRect/>
                    </a:stretch>
                  </pic:blipFill>
                  <pic:spPr>
                    <a:xfrm>
                      <a:off x="0" y="0"/>
                      <a:ext cx="867806" cy="875486"/>
                    </a:xfrm>
                    <a:prstGeom prst="rect">
                      <a:avLst/>
                    </a:prstGeom>
                  </pic:spPr>
                </pic:pic>
              </a:graphicData>
            </a:graphic>
          </wp:inline>
        </w:drawing>
      </w:r>
    </w:p>
    <w:p w14:paraId="0DDD4BE4" w14:textId="3081F367" w:rsidR="00071F47" w:rsidRPr="00EC0229" w:rsidRDefault="00071F47" w:rsidP="007600EA">
      <w:pPr>
        <w:spacing w:line="360" w:lineRule="auto"/>
        <w:jc w:val="center"/>
        <w:rPr>
          <w:i/>
          <w:sz w:val="20"/>
          <w:szCs w:val="20"/>
        </w:rPr>
      </w:pPr>
      <w:bookmarkStart w:id="699" w:name="_Ref430248902"/>
      <w:bookmarkStart w:id="700" w:name="_Toc468267085"/>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113</w:t>
      </w:r>
      <w:r w:rsidRPr="00EC0229">
        <w:rPr>
          <w:sz w:val="20"/>
          <w:szCs w:val="20"/>
        </w:rPr>
        <w:fldChar w:fldCharType="end"/>
      </w:r>
      <w:bookmarkEnd w:id="699"/>
      <w:r w:rsidRPr="00EC0229">
        <w:rPr>
          <w:sz w:val="20"/>
          <w:szCs w:val="20"/>
        </w:rPr>
        <w:t>: Sledmere</w:t>
      </w:r>
      <w:r w:rsidRPr="00EC0229">
        <w:rPr>
          <w:sz w:val="20"/>
          <w:szCs w:val="20"/>
        </w:rPr>
        <w:fldChar w:fldCharType="begin"/>
      </w:r>
      <w:r w:rsidRPr="00EC0229">
        <w:rPr>
          <w:sz w:val="20"/>
          <w:szCs w:val="20"/>
        </w:rPr>
        <w:instrText xml:space="preserve"> XE "Sledmere" </w:instrText>
      </w:r>
      <w:r w:rsidRPr="00EC0229">
        <w:rPr>
          <w:sz w:val="20"/>
          <w:szCs w:val="20"/>
        </w:rPr>
        <w:fldChar w:fldCharType="end"/>
      </w:r>
      <w:r w:rsidRPr="00EC0229">
        <w:rPr>
          <w:sz w:val="20"/>
          <w:szCs w:val="20"/>
        </w:rPr>
        <w:t>, East Anglian</w:t>
      </w:r>
      <w:r w:rsidRPr="00EC0229">
        <w:rPr>
          <w:sz w:val="20"/>
          <w:szCs w:val="20"/>
        </w:rPr>
        <w:fldChar w:fldCharType="begin"/>
      </w:r>
      <w:r w:rsidRPr="00EC0229">
        <w:rPr>
          <w:sz w:val="20"/>
          <w:szCs w:val="20"/>
        </w:rPr>
        <w:instrText xml:space="preserve"> XE "Anglian" </w:instrText>
      </w:r>
      <w:r w:rsidRPr="00EC0229">
        <w:rPr>
          <w:sz w:val="20"/>
          <w:szCs w:val="20"/>
        </w:rPr>
        <w:fldChar w:fldCharType="end"/>
      </w:r>
      <w:r w:rsidRPr="00EC0229">
        <w:rPr>
          <w:sz w:val="20"/>
          <w:szCs w:val="20"/>
        </w:rPr>
        <w:t xml:space="preserve">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Q</w:t>
      </w:r>
      <w:r w:rsidRPr="00EC0229">
        <w:rPr>
          <w:sz w:val="20"/>
          <w:szCs w:val="20"/>
        </w:rPr>
        <w:fldChar w:fldCharType="begin"/>
      </w:r>
      <w:r w:rsidRPr="00EC0229">
        <w:rPr>
          <w:sz w:val="20"/>
          <w:szCs w:val="20"/>
        </w:rPr>
        <w:instrText xml:space="preserve"> XE "Series Q" </w:instrText>
      </w:r>
      <w:r w:rsidRPr="00EC0229">
        <w:rPr>
          <w:sz w:val="20"/>
          <w:szCs w:val="20"/>
        </w:rPr>
        <w:fldChar w:fldCharType="end"/>
      </w:r>
      <w:r w:rsidRPr="00EC0229">
        <w:rPr>
          <w:sz w:val="20"/>
          <w:szCs w:val="20"/>
        </w:rPr>
        <w:t>, type 98, (SL63-90)</w:t>
      </w:r>
      <w:bookmarkEnd w:id="700"/>
    </w:p>
    <w:p w14:paraId="7DB510B6" w14:textId="65499F11" w:rsidR="00071F47" w:rsidRPr="00EC0229" w:rsidRDefault="00071F47" w:rsidP="007600EA">
      <w:pPr>
        <w:pStyle w:val="NoSpacing"/>
        <w:spacing w:line="360" w:lineRule="auto"/>
        <w:rPr>
          <w:sz w:val="20"/>
          <w:szCs w:val="20"/>
        </w:rPr>
      </w:pPr>
      <w:r w:rsidRPr="00EC0229">
        <w:rPr>
          <w:szCs w:val="24"/>
        </w:rPr>
        <w:t>Arguably, the high level of exotic species at Sledmere</w:t>
      </w:r>
      <w:r w:rsidRPr="00EC0229">
        <w:rPr>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szCs w:val="24"/>
        </w:rPr>
        <w:fldChar w:fldCharType="end"/>
      </w:r>
      <w:r w:rsidRPr="00EC0229">
        <w:rPr>
          <w:szCs w:val="24"/>
        </w:rPr>
        <w:t xml:space="preserve"> should be discounted as metal detection was carried out by what Metcalf</w:t>
      </w:r>
      <w:r w:rsidRPr="00EC0229">
        <w:rPr>
          <w:szCs w:val="24"/>
        </w:rPr>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rPr>
          <w:szCs w:val="24"/>
        </w:rPr>
        <w:fldChar w:fldCharType="end"/>
      </w:r>
      <w:r w:rsidRPr="00EC0229">
        <w:rPr>
          <w:szCs w:val="24"/>
        </w:rPr>
        <w:t xml:space="preserve"> describes as ‘two rough characters (or so they were described at the time; hopefully they have mellowed).’ </w:t>
      </w:r>
      <w:r w:rsidRPr="00EC0229">
        <w:rPr>
          <w:rStyle w:val="FootnoteReference"/>
          <w:szCs w:val="24"/>
        </w:rPr>
        <w:footnoteReference w:id="1042"/>
      </w:r>
      <w:r w:rsidRPr="00EC0229">
        <w:rPr>
          <w:szCs w:val="24"/>
        </w:rPr>
        <w:t xml:space="preserve"> If the total finds are around one thousand coins, it is not surprising that these valuable ‘eclectic’ types were made available to collectors who subsequently reported them. There are twenty-four specimens for Periods N9-10c ranging from Eanred</w:t>
      </w:r>
      <w:r w:rsidRPr="00EC0229">
        <w:rPr>
          <w:szCs w:val="24"/>
        </w:rPr>
        <w:fldChar w:fldCharType="begin"/>
      </w:r>
      <w:r w:rsidRPr="00EC0229">
        <w:instrText xml:space="preserve"> XE "Eanred" </w:instrText>
      </w:r>
      <w:r w:rsidRPr="00EC0229">
        <w:rPr>
          <w:szCs w:val="24"/>
        </w:rPr>
        <w:fldChar w:fldCharType="end"/>
      </w:r>
      <w:r w:rsidRPr="00EC0229">
        <w:rPr>
          <w:szCs w:val="24"/>
        </w:rPr>
        <w:t>’s Group A</w:t>
      </w:r>
      <w:r w:rsidRPr="00EC0229">
        <w:rPr>
          <w:szCs w:val="24"/>
        </w:rPr>
        <w:fldChar w:fldCharType="begin"/>
      </w:r>
      <w:r w:rsidRPr="00EC0229">
        <w:instrText xml:space="preserve"> XE "Group A" </w:instrText>
      </w:r>
      <w:r w:rsidRPr="00EC0229">
        <w:rPr>
          <w:szCs w:val="24"/>
        </w:rPr>
        <w:fldChar w:fldCharType="end"/>
      </w:r>
      <w:r w:rsidRPr="00EC0229">
        <w:rPr>
          <w:szCs w:val="24"/>
        </w:rPr>
        <w:t xml:space="preserve"> moneyers to </w:t>
      </w:r>
      <w:r w:rsidRPr="00EC0229">
        <w:rPr>
          <w:rFonts w:cs="Times New Roman"/>
          <w:szCs w:val="24"/>
        </w:rPr>
        <w:t>Æ</w:t>
      </w:r>
      <w:r w:rsidRPr="00EC0229">
        <w:rPr>
          <w:szCs w:val="24"/>
        </w:rPr>
        <w:t xml:space="preserve">thelred II </w:t>
      </w:r>
      <w:r w:rsidRPr="00EC0229">
        <w:t>(</w:t>
      </w:r>
      <w:r w:rsidRPr="00EC0229">
        <w:fldChar w:fldCharType="begin"/>
      </w:r>
      <w:r w:rsidRPr="00EC0229">
        <w:instrText xml:space="preserve"> REF _Ref430248913 \h  \* MERGEFORMAT </w:instrText>
      </w:r>
      <w:r w:rsidRPr="00EC0229">
        <w:fldChar w:fldCharType="separate"/>
      </w:r>
      <w:r w:rsidR="0012026B" w:rsidRPr="0012026B">
        <w:rPr>
          <w:i/>
        </w:rPr>
        <w:t>Figure</w:t>
      </w:r>
      <w:r w:rsidR="0012026B" w:rsidRPr="0012026B">
        <w:t xml:space="preserve"> </w:t>
      </w:r>
      <w:r w:rsidR="0012026B" w:rsidRPr="0012026B">
        <w:rPr>
          <w:noProof/>
        </w:rPr>
        <w:t>114</w:t>
      </w:r>
      <w:r w:rsidRPr="00EC0229">
        <w:fldChar w:fldCharType="end"/>
      </w:r>
      <w:r w:rsidRPr="00EC0229">
        <w:t>)</w:t>
      </w:r>
      <w:r w:rsidRPr="00EC0229">
        <w:rPr>
          <w:szCs w:val="24"/>
        </w:rPr>
        <w:t>, Wigmund</w:t>
      </w:r>
      <w:r w:rsidRPr="00EC0229">
        <w:rPr>
          <w:szCs w:val="24"/>
        </w:rPr>
        <w:fldChar w:fldCharType="begin"/>
      </w:r>
      <w:r w:rsidRPr="00EC0229">
        <w:instrText xml:space="preserve"> XE "Wigmund" </w:instrText>
      </w:r>
      <w:r w:rsidRPr="00EC0229">
        <w:rPr>
          <w:szCs w:val="24"/>
        </w:rPr>
        <w:fldChar w:fldCharType="end"/>
      </w:r>
      <w:r w:rsidRPr="00EC0229">
        <w:rPr>
          <w:szCs w:val="24"/>
        </w:rPr>
        <w:t xml:space="preserve"> and Wulfhere</w:t>
      </w:r>
      <w:r w:rsidRPr="00EC0229">
        <w:rPr>
          <w:szCs w:val="24"/>
        </w:rPr>
        <w:fldChar w:fldCharType="begin"/>
      </w:r>
      <w:r w:rsidRPr="00EC0229">
        <w:instrText xml:space="preserve"> XE "Wulfhere" </w:instrText>
      </w:r>
      <w:r w:rsidRPr="00EC0229">
        <w:rPr>
          <w:szCs w:val="24"/>
        </w:rPr>
        <w:fldChar w:fldCharType="end"/>
      </w:r>
      <w:r w:rsidRPr="00EC0229">
        <w:rPr>
          <w:szCs w:val="24"/>
        </w:rPr>
        <w:t xml:space="preserve"> – but no Eanbald</w:t>
      </w:r>
      <w:r w:rsidRPr="00EC0229">
        <w:rPr>
          <w:szCs w:val="24"/>
        </w:rPr>
        <w:fldChar w:fldCharType="begin"/>
      </w:r>
      <w:r w:rsidRPr="00EC0229">
        <w:instrText xml:space="preserve"> XE "Eanbald" </w:instrText>
      </w:r>
      <w:r w:rsidRPr="00EC0229">
        <w:rPr>
          <w:szCs w:val="24"/>
        </w:rPr>
        <w:fldChar w:fldCharType="end"/>
      </w:r>
      <w:r w:rsidRPr="00EC0229">
        <w:rPr>
          <w:szCs w:val="24"/>
        </w:rPr>
        <w:t xml:space="preserve"> II, Redwulf,</w:t>
      </w:r>
      <w:r w:rsidRPr="00EC0229">
        <w:rPr>
          <w:szCs w:val="24"/>
        </w:rPr>
        <w:fldChar w:fldCharType="begin"/>
      </w:r>
      <w:r w:rsidRPr="00EC0229">
        <w:instrText xml:space="preserve"> XE "Redwulf" </w:instrText>
      </w:r>
      <w:r w:rsidRPr="00EC0229">
        <w:rPr>
          <w:szCs w:val="24"/>
        </w:rPr>
        <w:fldChar w:fldCharType="end"/>
      </w:r>
      <w:r w:rsidRPr="00EC0229">
        <w:rPr>
          <w:szCs w:val="24"/>
        </w:rPr>
        <w:t xml:space="preserve"> or Osberht</w:t>
      </w:r>
      <w:r w:rsidRPr="00EC0229">
        <w:rPr>
          <w:szCs w:val="24"/>
        </w:rPr>
        <w:fldChar w:fldCharType="begin"/>
      </w:r>
      <w:r w:rsidRPr="00EC0229">
        <w:instrText xml:space="preserve"> XE "Osberht" </w:instrText>
      </w:r>
      <w:r w:rsidRPr="00EC0229">
        <w:rPr>
          <w:szCs w:val="24"/>
        </w:rPr>
        <w:fldChar w:fldCharType="end"/>
      </w:r>
      <w:r w:rsidRPr="00EC0229">
        <w:rPr>
          <w:szCs w:val="24"/>
        </w:rPr>
        <w:t>. There is no knowledge of subsequent issues so determining cessation of activity is speculative, but unlikely to be beyond the 860s.</w:t>
      </w:r>
    </w:p>
    <w:p w14:paraId="264F20BD" w14:textId="77777777" w:rsidR="00071F47" w:rsidRPr="00EC0229" w:rsidRDefault="00071F47" w:rsidP="007600EA">
      <w:pPr>
        <w:pStyle w:val="NoSpacing"/>
        <w:spacing w:line="360" w:lineRule="auto"/>
        <w:jc w:val="center"/>
        <w:rPr>
          <w:sz w:val="20"/>
          <w:szCs w:val="20"/>
        </w:rPr>
      </w:pPr>
      <w:r w:rsidRPr="00EC0229">
        <w:rPr>
          <w:noProof/>
          <w:sz w:val="20"/>
          <w:szCs w:val="20"/>
          <w:lang w:eastAsia="en-GB"/>
        </w:rPr>
        <w:drawing>
          <wp:inline distT="0" distB="0" distL="0" distR="0" wp14:anchorId="6B5F2865" wp14:editId="3C9DA905">
            <wp:extent cx="716280" cy="754312"/>
            <wp:effectExtent l="0" t="0" r="7620" b="825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Y1420.JPG"/>
                    <pic:cNvPicPr/>
                  </pic:nvPicPr>
                  <pic:blipFill>
                    <a:blip r:embed="rId368">
                      <a:extLst>
                        <a:ext uri="{28A0092B-C50C-407E-A947-70E740481C1C}">
                          <a14:useLocalDpi xmlns:a14="http://schemas.microsoft.com/office/drawing/2010/main" val="0"/>
                        </a:ext>
                      </a:extLst>
                    </a:blip>
                    <a:stretch>
                      <a:fillRect/>
                    </a:stretch>
                  </pic:blipFill>
                  <pic:spPr>
                    <a:xfrm>
                      <a:off x="0" y="0"/>
                      <a:ext cx="748487" cy="788229"/>
                    </a:xfrm>
                    <a:prstGeom prst="rect">
                      <a:avLst/>
                    </a:prstGeom>
                  </pic:spPr>
                </pic:pic>
              </a:graphicData>
            </a:graphic>
          </wp:inline>
        </w:drawing>
      </w:r>
      <w:r w:rsidRPr="00EC0229">
        <w:rPr>
          <w:noProof/>
          <w:sz w:val="20"/>
          <w:szCs w:val="20"/>
          <w:lang w:eastAsia="en-GB"/>
        </w:rPr>
        <w:drawing>
          <wp:inline distT="0" distB="0" distL="0" distR="0" wp14:anchorId="076A0840" wp14:editId="09CB3427">
            <wp:extent cx="777240" cy="749727"/>
            <wp:effectExtent l="0" t="0" r="381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1420R.JPG"/>
                    <pic:cNvPicPr/>
                  </pic:nvPicPr>
                  <pic:blipFill>
                    <a:blip r:embed="rId369">
                      <a:extLst>
                        <a:ext uri="{28A0092B-C50C-407E-A947-70E740481C1C}">
                          <a14:useLocalDpi xmlns:a14="http://schemas.microsoft.com/office/drawing/2010/main" val="0"/>
                        </a:ext>
                      </a:extLst>
                    </a:blip>
                    <a:stretch>
                      <a:fillRect/>
                    </a:stretch>
                  </pic:blipFill>
                  <pic:spPr>
                    <a:xfrm>
                      <a:off x="0" y="0"/>
                      <a:ext cx="797967" cy="769720"/>
                    </a:xfrm>
                    <a:prstGeom prst="rect">
                      <a:avLst/>
                    </a:prstGeom>
                  </pic:spPr>
                </pic:pic>
              </a:graphicData>
            </a:graphic>
          </wp:inline>
        </w:drawing>
      </w:r>
      <w:r w:rsidRPr="00EC0229">
        <w:rPr>
          <w:sz w:val="20"/>
          <w:szCs w:val="20"/>
        </w:rPr>
        <w:tab/>
      </w:r>
      <w:r w:rsidRPr="00EC0229">
        <w:rPr>
          <w:sz w:val="20"/>
          <w:szCs w:val="20"/>
        </w:rPr>
        <w:tab/>
      </w:r>
      <w:r w:rsidRPr="00EC0229">
        <w:rPr>
          <w:noProof/>
          <w:sz w:val="20"/>
          <w:szCs w:val="20"/>
          <w:lang w:eastAsia="en-GB"/>
        </w:rPr>
        <w:drawing>
          <wp:inline distT="0" distB="0" distL="0" distR="0" wp14:anchorId="539C78C9" wp14:editId="34D28ED6">
            <wp:extent cx="784860" cy="74318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Y1750.JPG"/>
                    <pic:cNvPicPr/>
                  </pic:nvPicPr>
                  <pic:blipFill>
                    <a:blip r:embed="rId370">
                      <a:extLst>
                        <a:ext uri="{28A0092B-C50C-407E-A947-70E740481C1C}">
                          <a14:useLocalDpi xmlns:a14="http://schemas.microsoft.com/office/drawing/2010/main" val="0"/>
                        </a:ext>
                      </a:extLst>
                    </a:blip>
                    <a:stretch>
                      <a:fillRect/>
                    </a:stretch>
                  </pic:blipFill>
                  <pic:spPr>
                    <a:xfrm>
                      <a:off x="0" y="0"/>
                      <a:ext cx="800328" cy="757832"/>
                    </a:xfrm>
                    <a:prstGeom prst="rect">
                      <a:avLst/>
                    </a:prstGeom>
                  </pic:spPr>
                </pic:pic>
              </a:graphicData>
            </a:graphic>
          </wp:inline>
        </w:drawing>
      </w:r>
      <w:r w:rsidRPr="00EC0229">
        <w:rPr>
          <w:noProof/>
          <w:sz w:val="20"/>
          <w:szCs w:val="20"/>
          <w:lang w:eastAsia="en-GB"/>
        </w:rPr>
        <w:drawing>
          <wp:inline distT="0" distB="0" distL="0" distR="0" wp14:anchorId="0CBE7D17" wp14:editId="02D18A90">
            <wp:extent cx="747500" cy="760730"/>
            <wp:effectExtent l="0" t="0" r="0" b="127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Y1750R.JPG"/>
                    <pic:cNvPicPr/>
                  </pic:nvPicPr>
                  <pic:blipFill>
                    <a:blip r:embed="rId371">
                      <a:extLst>
                        <a:ext uri="{28A0092B-C50C-407E-A947-70E740481C1C}">
                          <a14:useLocalDpi xmlns:a14="http://schemas.microsoft.com/office/drawing/2010/main" val="0"/>
                        </a:ext>
                      </a:extLst>
                    </a:blip>
                    <a:stretch>
                      <a:fillRect/>
                    </a:stretch>
                  </pic:blipFill>
                  <pic:spPr>
                    <a:xfrm>
                      <a:off x="0" y="0"/>
                      <a:ext cx="768159" cy="781755"/>
                    </a:xfrm>
                    <a:prstGeom prst="rect">
                      <a:avLst/>
                    </a:prstGeom>
                  </pic:spPr>
                </pic:pic>
              </a:graphicData>
            </a:graphic>
          </wp:inline>
        </w:drawing>
      </w:r>
    </w:p>
    <w:p w14:paraId="44A7A7A2" w14:textId="4E0BBECB" w:rsidR="00071F47" w:rsidRPr="00EC0229" w:rsidRDefault="00071F47" w:rsidP="007600EA">
      <w:pPr>
        <w:pStyle w:val="NoSpacing"/>
        <w:spacing w:line="360" w:lineRule="auto"/>
        <w:jc w:val="center"/>
        <w:rPr>
          <w:sz w:val="20"/>
          <w:szCs w:val="20"/>
        </w:rPr>
      </w:pPr>
      <w:bookmarkStart w:id="701" w:name="_Ref430248913"/>
      <w:bookmarkStart w:id="702" w:name="_Toc468267086"/>
      <w:r w:rsidRPr="00EC0229">
        <w:rPr>
          <w:i/>
          <w:sz w:val="20"/>
          <w:szCs w:val="20"/>
        </w:rPr>
        <w:t>Figur</w:t>
      </w:r>
      <w:r w:rsidRPr="00EC0229">
        <w:rPr>
          <w:sz w:val="20"/>
          <w:szCs w:val="20"/>
        </w:rPr>
        <w:t xml:space="preserve">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114</w:t>
      </w:r>
      <w:r w:rsidRPr="00EC0229">
        <w:rPr>
          <w:sz w:val="20"/>
          <w:szCs w:val="20"/>
        </w:rPr>
        <w:fldChar w:fldCharType="end"/>
      </w:r>
      <w:bookmarkEnd w:id="701"/>
      <w:r w:rsidRPr="00EC0229">
        <w:rPr>
          <w:sz w:val="20"/>
          <w:szCs w:val="20"/>
        </w:rPr>
        <w:t>: Stycas from Sledmere</w:t>
      </w:r>
      <w:bookmarkEnd w:id="702"/>
      <w:r w:rsidRPr="00EC0229">
        <w:rPr>
          <w:sz w:val="20"/>
          <w:szCs w:val="20"/>
        </w:rPr>
        <w:fldChar w:fldCharType="begin"/>
      </w:r>
      <w:r w:rsidRPr="00EC0229">
        <w:rPr>
          <w:sz w:val="20"/>
          <w:szCs w:val="20"/>
        </w:rPr>
        <w:instrText xml:space="preserve"> XE "Sledmere" </w:instrText>
      </w:r>
      <w:r w:rsidRPr="00EC0229">
        <w:rPr>
          <w:sz w:val="20"/>
          <w:szCs w:val="20"/>
        </w:rPr>
        <w:fldChar w:fldCharType="end"/>
      </w:r>
    </w:p>
    <w:p w14:paraId="6ED6DBCC" w14:textId="77777777" w:rsidR="00071F47" w:rsidRPr="00EC0229" w:rsidRDefault="00071F47" w:rsidP="007600EA">
      <w:pPr>
        <w:pStyle w:val="NoSpacing"/>
        <w:spacing w:line="360" w:lineRule="auto"/>
        <w:jc w:val="center"/>
        <w:rPr>
          <w:sz w:val="20"/>
          <w:szCs w:val="20"/>
        </w:rPr>
      </w:pPr>
      <w:r w:rsidRPr="00EC0229">
        <w:rPr>
          <w:sz w:val="20"/>
          <w:szCs w:val="20"/>
        </w:rPr>
        <w:t>Eanred</w:t>
      </w:r>
      <w:r w:rsidRPr="00EC0229">
        <w:rPr>
          <w:sz w:val="20"/>
          <w:szCs w:val="20"/>
        </w:rPr>
        <w:fldChar w:fldCharType="begin"/>
      </w:r>
      <w:r w:rsidRPr="00EC0229">
        <w:rPr>
          <w:sz w:val="20"/>
          <w:szCs w:val="20"/>
        </w:rPr>
        <w:instrText xml:space="preserve"> XE "Eanred" </w:instrText>
      </w:r>
      <w:r w:rsidRPr="00EC0229">
        <w:rPr>
          <w:sz w:val="20"/>
          <w:szCs w:val="20"/>
        </w:rPr>
        <w:fldChar w:fldCharType="end"/>
      </w:r>
      <w:r w:rsidRPr="00EC0229">
        <w:rPr>
          <w:sz w:val="20"/>
          <w:szCs w:val="20"/>
        </w:rPr>
        <w:t>, Group A</w:t>
      </w:r>
      <w:r w:rsidRPr="00EC0229">
        <w:rPr>
          <w:sz w:val="20"/>
          <w:szCs w:val="20"/>
        </w:rPr>
        <w:fldChar w:fldCharType="begin"/>
      </w:r>
      <w:r w:rsidRPr="00EC0229">
        <w:rPr>
          <w:sz w:val="20"/>
          <w:szCs w:val="20"/>
        </w:rPr>
        <w:instrText xml:space="preserve"> XE "Group A" </w:instrText>
      </w:r>
      <w:r w:rsidRPr="00EC0229">
        <w:rPr>
          <w:sz w:val="20"/>
          <w:szCs w:val="20"/>
        </w:rPr>
        <w:fldChar w:fldCharType="end"/>
      </w:r>
      <w:r w:rsidRPr="00EC0229">
        <w:rPr>
          <w:sz w:val="20"/>
          <w:szCs w:val="20"/>
        </w:rPr>
        <w:t>, Cunewulf</w:t>
      </w:r>
      <w:r w:rsidRPr="00EC0229">
        <w:rPr>
          <w:sz w:val="20"/>
          <w:szCs w:val="20"/>
        </w:rPr>
        <w:tab/>
      </w:r>
      <w:r w:rsidRPr="00EC0229">
        <w:rPr>
          <w:sz w:val="20"/>
          <w:szCs w:val="20"/>
        </w:rPr>
        <w:tab/>
      </w:r>
      <w:r w:rsidRPr="00EC0229">
        <w:rPr>
          <w:rFonts w:cs="Times New Roman"/>
          <w:sz w:val="20"/>
          <w:szCs w:val="20"/>
        </w:rPr>
        <w:t>Æ</w:t>
      </w:r>
      <w:r w:rsidRPr="00EC0229">
        <w:rPr>
          <w:sz w:val="20"/>
          <w:szCs w:val="20"/>
        </w:rPr>
        <w:t>thelred II, Wendelberht</w:t>
      </w:r>
    </w:p>
    <w:p w14:paraId="43BB1B2B" w14:textId="77777777" w:rsidR="00071F47" w:rsidRPr="00EC0229" w:rsidRDefault="00071F47" w:rsidP="007600EA">
      <w:pPr>
        <w:pStyle w:val="NoSpacing"/>
        <w:spacing w:line="360" w:lineRule="auto"/>
      </w:pPr>
    </w:p>
    <w:p w14:paraId="7C0E1669" w14:textId="3AFA5020" w:rsidR="00071F47" w:rsidRPr="00EC0229" w:rsidRDefault="00071F47" w:rsidP="007600EA">
      <w:pPr>
        <w:pStyle w:val="NoSpacing"/>
        <w:spacing w:line="360" w:lineRule="auto"/>
        <w:rPr>
          <w:szCs w:val="24"/>
        </w:rPr>
      </w:pPr>
      <w:r w:rsidRPr="00EC0229">
        <w:rPr>
          <w:szCs w:val="24"/>
        </w:rPr>
        <w:t>How does Sledmere</w:t>
      </w:r>
      <w:r w:rsidRPr="00EC0229">
        <w:rPr>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szCs w:val="24"/>
        </w:rPr>
        <w:fldChar w:fldCharType="end"/>
      </w:r>
      <w:r w:rsidRPr="00EC0229">
        <w:rPr>
          <w:szCs w:val="24"/>
        </w:rPr>
        <w:t xml:space="preserve"> relate to Fishergate</w:t>
      </w:r>
      <w:r w:rsidRPr="00EC0229">
        <w:rPr>
          <w:szCs w:val="24"/>
        </w:rPr>
        <w:fldChar w:fldCharType="begin"/>
      </w:r>
      <w:r w:rsidRPr="00EC0229">
        <w:instrText xml:space="preserve"> XE "</w:instrText>
      </w:r>
      <w:r w:rsidRPr="00EC0229">
        <w:rPr>
          <w:noProof/>
        </w:rPr>
        <w:instrText>Fishergate</w:instrText>
      </w:r>
      <w:r w:rsidRPr="00EC0229">
        <w:instrText xml:space="preserve">"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Fishergate \h </w:instrText>
      </w:r>
      <w:r w:rsidRPr="00EC0229">
        <w:rPr>
          <w:szCs w:val="24"/>
        </w:rPr>
      </w:r>
      <w:r w:rsidRPr="00EC0229">
        <w:rPr>
          <w:szCs w:val="24"/>
        </w:rPr>
        <w:fldChar w:fldCharType="separate"/>
      </w:r>
      <w:r w:rsidR="0012026B">
        <w:rPr>
          <w:noProof/>
          <w:szCs w:val="24"/>
        </w:rPr>
        <w:t>186</w:t>
      </w:r>
      <w:r w:rsidRPr="00EC0229">
        <w:rPr>
          <w:szCs w:val="24"/>
        </w:rPr>
        <w:fldChar w:fldCharType="end"/>
      </w:r>
      <w:r w:rsidRPr="00EC0229">
        <w:rPr>
          <w:szCs w:val="24"/>
        </w:rPr>
        <w:t>)? One has to interpret Sledmere with care as the evidence has been reconstructed and there was no reliable local ‘gatekeeper’ to enhance the integrity of the data.</w:t>
      </w:r>
      <w:r w:rsidRPr="00EC0229">
        <w:rPr>
          <w:rStyle w:val="FootnoteReference"/>
          <w:szCs w:val="24"/>
        </w:rPr>
        <w:footnoteReference w:id="1043"/>
      </w:r>
      <w:r w:rsidRPr="00EC0229">
        <w:rPr>
          <w:szCs w:val="24"/>
        </w:rPr>
        <w:t xml:space="preserve"> However, overall the composition is not dissimilar to Fishergate though the volume of finds is very much greater at Sledmere and may well be indicative of the scale and range of losses that should be expected at a truly industrious site. There is only one specimen (the triquetras type) at Fishergate that could be described as an exotic species – an under-representation of the ‘eclectic’ types when compared to Sledmere and perhaps a further indication of the impoverished nature of Fishergate.</w:t>
      </w:r>
    </w:p>
    <w:p w14:paraId="437EB986" w14:textId="77777777" w:rsidR="00071F47" w:rsidRPr="00EC0229" w:rsidRDefault="00071F47" w:rsidP="007600EA">
      <w:pPr>
        <w:pStyle w:val="NoSpacing"/>
        <w:spacing w:line="360" w:lineRule="auto"/>
        <w:rPr>
          <w:rFonts w:eastAsia="Times New Roman" w:cs="Times New Roman"/>
          <w:iCs/>
          <w:color w:val="000000" w:themeColor="text1"/>
          <w:szCs w:val="24"/>
          <w:lang w:eastAsia="en-GB"/>
        </w:rPr>
      </w:pPr>
    </w:p>
    <w:p w14:paraId="1219D81B" w14:textId="08CC898A" w:rsidR="00C57DCF" w:rsidRPr="007A3166" w:rsidRDefault="00071F47" w:rsidP="00C97BF2">
      <w:pPr>
        <w:pStyle w:val="Heading4"/>
        <w:spacing w:line="360" w:lineRule="auto"/>
        <w:rPr>
          <w:rFonts w:eastAsia="Times New Roman"/>
          <w:b/>
          <w:lang w:eastAsia="en-GB"/>
        </w:rPr>
      </w:pPr>
      <w:bookmarkStart w:id="703" w:name="Cottam"/>
      <w:bookmarkStart w:id="704" w:name="_Toc468266891"/>
      <w:bookmarkEnd w:id="703"/>
      <w:r w:rsidRPr="007A3166">
        <w:rPr>
          <w:rFonts w:eastAsia="Times New Roman"/>
          <w:b/>
          <w:lang w:eastAsia="en-GB"/>
        </w:rPr>
        <w:lastRenderedPageBreak/>
        <w:t>Cottam</w:t>
      </w:r>
      <w:bookmarkEnd w:id="704"/>
      <w:r w:rsidR="00E6156F" w:rsidRPr="007A3166">
        <w:rPr>
          <w:rFonts w:eastAsia="Times New Roman"/>
          <w:b/>
          <w:lang w:eastAsia="en-GB"/>
        </w:rPr>
        <w:t xml:space="preserve"> </w:t>
      </w:r>
    </w:p>
    <w:p w14:paraId="6C4904F4" w14:textId="5A8D28AD" w:rsidR="00071F47" w:rsidRPr="00EC0229" w:rsidRDefault="00071F47" w:rsidP="006C2237">
      <w:pPr>
        <w:spacing w:line="360" w:lineRule="auto"/>
      </w:pPr>
      <w:r w:rsidRPr="00EC0229">
        <w:rPr>
          <w:rFonts w:eastAsia="Times New Roman" w:cs="Times New Roman"/>
          <w:iCs/>
          <w:szCs w:val="24"/>
          <w:lang w:eastAsia="en-GB"/>
        </w:rPr>
        <w:t>Two sites, A, south, and B, north, joined by an ancient trackway, have been excavated. These touch the west of the Beverley</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Beverley</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-Driffield</w:t>
      </w:r>
      <w:r w:rsidRPr="00EC0229">
        <w:rPr>
          <w:rFonts w:eastAsia="Times New Roman" w:cs="Times New Roman"/>
          <w:iCs/>
          <w:szCs w:val="24"/>
          <w:lang w:eastAsia="en-GB"/>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-Scarborough road and are served by dry valleys</w:t>
      </w:r>
      <w:r w:rsidR="006C2237" w:rsidRPr="00EC0229">
        <w:rPr>
          <w:rFonts w:eastAsia="Times New Roman" w:cs="Times New Roman"/>
          <w:iCs/>
          <w:szCs w:val="24"/>
          <w:lang w:eastAsia="en-GB"/>
        </w:rPr>
        <w:t xml:space="preserve">, </w:t>
      </w:r>
      <w:r w:rsidR="006C2237" w:rsidRPr="00EC0229">
        <w:rPr>
          <w:rFonts w:eastAsia="Times New Roman"/>
          <w:lang w:eastAsia="en-GB"/>
        </w:rPr>
        <w:t>(</w:t>
      </w:r>
      <w:r w:rsidR="006C2237" w:rsidRPr="00EC0229">
        <w:rPr>
          <w:i/>
        </w:rPr>
        <w:t>Map 8.13</w:t>
      </w:r>
      <w:r w:rsidR="006C2237" w:rsidRPr="00EC0229">
        <w:rPr>
          <w:rFonts w:eastAsia="Times New Roman"/>
          <w:lang w:eastAsia="en-GB"/>
        </w:rPr>
        <w:t>)</w:t>
      </w:r>
      <w:r w:rsidR="006C2237" w:rsidRPr="00EC0229">
        <w:rPr>
          <w:rFonts w:eastAsia="Times New Roman"/>
          <w:lang w:eastAsia="en-GB"/>
        </w:rPr>
        <w:fldChar w:fldCharType="begin"/>
      </w:r>
      <w:r w:rsidR="006C2237" w:rsidRPr="00EC0229">
        <w:instrText xml:space="preserve"> XE "</w:instrText>
      </w:r>
      <w:r w:rsidR="006C2237" w:rsidRPr="00EC0229">
        <w:rPr>
          <w:rStyle w:val="Hyperlink"/>
          <w:rFonts w:eastAsia="Times New Roman"/>
          <w:noProof/>
          <w:u w:val="none"/>
          <w:lang w:eastAsia="en-GB"/>
        </w:rPr>
        <w:instrText>Cottam</w:instrText>
      </w:r>
      <w:r w:rsidR="006C2237" w:rsidRPr="00EC0229">
        <w:instrText xml:space="preserve">" </w:instrText>
      </w:r>
      <w:r w:rsidR="006C2237" w:rsidRPr="00EC0229">
        <w:rPr>
          <w:rFonts w:eastAsia="Times New Roman"/>
          <w:lang w:eastAsia="en-GB"/>
        </w:rPr>
        <w:fldChar w:fldCharType="end"/>
      </w:r>
      <w:r w:rsidRPr="00EC0229">
        <w:rPr>
          <w:rFonts w:eastAsia="Times New Roman" w:cs="Times New Roman"/>
          <w:iCs/>
          <w:szCs w:val="24"/>
          <w:lang w:eastAsia="en-GB"/>
        </w:rPr>
        <w:t>. Site A is a ladder settlement</w:t>
      </w:r>
      <w:r w:rsidRPr="00EC0229">
        <w:rPr>
          <w:rFonts w:eastAsia="Times New Roman" w:cs="Times New Roman"/>
          <w:iCs/>
          <w:szCs w:val="24"/>
          <w:lang w:eastAsia="en-GB"/>
        </w:rPr>
        <w:fldChar w:fldCharType="begin"/>
      </w:r>
      <w:r w:rsidRPr="00EC0229">
        <w:instrText xml:space="preserve"> XE "settlement"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possibly for ephemeral grazing. </w:t>
      </w:r>
      <w:bookmarkStart w:id="705" w:name="siteshiftCb"/>
      <w:bookmarkEnd w:id="705"/>
      <w:r w:rsidRPr="00EC0229">
        <w:rPr>
          <w:rFonts w:eastAsia="Times New Roman" w:cs="Times New Roman"/>
          <w:iCs/>
          <w:szCs w:val="24"/>
          <w:lang w:eastAsia="en-GB"/>
        </w:rPr>
        <w:t>Site B</w:t>
      </w:r>
      <w:r w:rsidRPr="00EC0229">
        <w:t>, closer to Cowlam DMV,</w:t>
      </w:r>
      <w:r w:rsidRPr="00EC0229">
        <w:rPr>
          <w:rFonts w:eastAsia="Times New Roman" w:cs="Times New Roman"/>
          <w:iCs/>
          <w:szCs w:val="24"/>
          <w:lang w:eastAsia="en-GB"/>
        </w:rPr>
        <w:t xml:space="preserve"> seems to have been disrupted, probably by the Viking</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Great Army, with resettlement</w:t>
      </w:r>
      <w:r w:rsidR="00F030A8" w:rsidRPr="00EC0229">
        <w:rPr>
          <w:rFonts w:eastAsia="Times New Roman" w:cs="Times New Roman"/>
          <w:iCs/>
          <w:szCs w:val="24"/>
          <w:lang w:eastAsia="en-GB"/>
        </w:rPr>
        <w:t>,</w:t>
      </w:r>
      <w:r w:rsidRPr="00EC0229">
        <w:rPr>
          <w:rFonts w:eastAsia="Times New Roman" w:cs="Times New Roman"/>
          <w:iCs/>
          <w:szCs w:val="24"/>
          <w:lang w:eastAsia="en-GB"/>
        </w:rPr>
        <w:t xml:space="preserve"> </w:t>
      </w:r>
      <w:r w:rsidR="00F030A8" w:rsidRPr="00EC0229">
        <w:rPr>
          <w:rFonts w:eastAsia="Times New Roman" w:cs="Times New Roman"/>
          <w:iCs/>
          <w:szCs w:val="24"/>
          <w:lang w:eastAsia="en-GB"/>
        </w:rPr>
        <w:t xml:space="preserve">from the area of a Butterwick-type enclosure, </w:t>
      </w:r>
      <w:r w:rsidRPr="00EC0229">
        <w:rPr>
          <w:rFonts w:eastAsia="Times New Roman" w:cs="Times New Roman"/>
          <w:iCs/>
          <w:szCs w:val="24"/>
          <w:lang w:eastAsia="en-GB"/>
        </w:rPr>
        <w:t>a short distance northward</w:t>
      </w:r>
      <w:r w:rsidR="00E52271" w:rsidRPr="00EC0229">
        <w:rPr>
          <w:rFonts w:eastAsia="Times New Roman" w:cs="Times New Roman"/>
          <w:iCs/>
          <w:szCs w:val="24"/>
          <w:lang w:eastAsia="en-GB"/>
        </w:rPr>
        <w:t>, marking the transition from raiding to settlement</w:t>
      </w:r>
      <w:r w:rsidRPr="00EC0229">
        <w:rPr>
          <w:rFonts w:eastAsia="Times New Roman" w:cs="Times New Roman"/>
          <w:iCs/>
          <w:szCs w:val="24"/>
          <w:lang w:eastAsia="en-GB"/>
        </w:rPr>
        <w:t>.</w:t>
      </w:r>
      <w:r w:rsidRPr="00EC0229">
        <w:rPr>
          <w:rStyle w:val="FootnoteReference"/>
          <w:rFonts w:eastAsia="Times New Roman" w:cs="Times New Roman"/>
          <w:iCs/>
          <w:szCs w:val="24"/>
          <w:lang w:eastAsia="en-GB"/>
        </w:rPr>
        <w:footnoteReference w:id="1044"/>
      </w:r>
      <w:r w:rsidRPr="00EC0229">
        <w:rPr>
          <w:rFonts w:eastAsia="Times New Roman" w:cs="Times New Roman"/>
          <w:iCs/>
          <w:szCs w:val="24"/>
          <w:lang w:eastAsia="en-GB"/>
        </w:rPr>
        <w:t xml:space="preserve"> Richards suggested that an élite</w:t>
      </w:r>
      <w:r w:rsidRPr="00EC0229">
        <w:rPr>
          <w:rFonts w:eastAsia="Times New Roman" w:cs="Times New Roman"/>
          <w:iCs/>
          <w:szCs w:val="24"/>
          <w:lang w:eastAsia="en-GB"/>
        </w:rPr>
        <w:fldChar w:fldCharType="begin"/>
      </w:r>
      <w:r w:rsidRPr="00EC0229">
        <w:instrText xml:space="preserve"> XE "</w:instrText>
      </w:r>
      <w:r w:rsidRPr="00EC0229">
        <w:rPr>
          <w:szCs w:val="24"/>
        </w:rPr>
        <w:instrText>élite</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at the </w:t>
      </w:r>
      <w:r w:rsidRPr="00EC0229">
        <w:rPr>
          <w:rStyle w:val="Emphasis"/>
        </w:rPr>
        <w:t>villa regalis</w:t>
      </w:r>
      <w:r w:rsidRPr="00EC0229">
        <w:rPr>
          <w:rFonts w:eastAsia="Times New Roman" w:cs="Times New Roman"/>
          <w:iCs/>
          <w:szCs w:val="24"/>
          <w:lang w:eastAsia="en-GB"/>
        </w:rPr>
        <w:t xml:space="preserve"> of Driffield</w:t>
      </w:r>
      <w:r w:rsidRPr="00EC0229">
        <w:rPr>
          <w:rFonts w:eastAsia="Times New Roman" w:cs="Times New Roman"/>
          <w:iCs/>
          <w:szCs w:val="24"/>
          <w:lang w:eastAsia="en-GB"/>
        </w:rPr>
        <w:fldChar w:fldCharType="begin"/>
      </w:r>
      <w:r w:rsidRPr="00EC0229">
        <w:instrText xml:space="preserve"> XE "</w:instrText>
      </w:r>
      <w:r w:rsidRPr="00EC0229">
        <w:rPr>
          <w:rFonts w:eastAsia="Times New Roman"/>
          <w:noProof/>
          <w:lang w:eastAsia="en-GB"/>
        </w:rPr>
        <w:instrText>Driffield</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PAGEREF Driffield \h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251</w:t>
      </w:r>
      <w:r w:rsidRPr="00EC0229">
        <w:rPr>
          <w:rFonts w:eastAsia="Times New Roman" w:cs="Times New Roman"/>
          <w:iCs/>
          <w:szCs w:val="24"/>
          <w:lang w:eastAsia="en-GB"/>
        </w:rPr>
        <w:fldChar w:fldCharType="end"/>
      </w:r>
      <w:r w:rsidRPr="00EC0229">
        <w:rPr>
          <w:rFonts w:eastAsia="Times New Roman" w:cs="Times New Roman"/>
          <w:iCs/>
          <w:szCs w:val="24"/>
          <w:lang w:eastAsia="en-GB"/>
        </w:rPr>
        <w:t>), controlled the distribution of prestige items.</w:t>
      </w:r>
      <w:r w:rsidRPr="00EC0229">
        <w:rPr>
          <w:rStyle w:val="FootnoteReference"/>
          <w:rFonts w:eastAsia="Times New Roman" w:cs="Times New Roman"/>
          <w:szCs w:val="24"/>
          <w:lang w:eastAsia="en-GB"/>
        </w:rPr>
        <w:t xml:space="preserve"> </w:t>
      </w:r>
      <w:r w:rsidRPr="00EC0229">
        <w:rPr>
          <w:rStyle w:val="FootnoteReference"/>
          <w:rFonts w:eastAsia="Times New Roman" w:cs="Times New Roman"/>
          <w:szCs w:val="24"/>
          <w:lang w:eastAsia="en-GB"/>
        </w:rPr>
        <w:footnoteReference w:id="1045"/>
      </w:r>
      <w:r w:rsidRPr="00EC0229">
        <w:rPr>
          <w:rFonts w:eastAsia="Times New Roman" w:cs="Times New Roman"/>
          <w:iCs/>
          <w:szCs w:val="24"/>
          <w:lang w:eastAsia="en-GB"/>
        </w:rPr>
        <w:t xml:space="preserve"> </w:t>
      </w:r>
    </w:p>
    <w:p w14:paraId="484FF542" w14:textId="77777777" w:rsidR="00071F47" w:rsidRPr="00EC0229" w:rsidRDefault="00071F47" w:rsidP="007600EA">
      <w:pPr>
        <w:pStyle w:val="NoSpacing"/>
        <w:spacing w:line="360" w:lineRule="auto"/>
        <w:rPr>
          <w:rFonts w:eastAsia="Times New Roman" w:cs="Times New Roman"/>
          <w:iCs/>
          <w:szCs w:val="24"/>
          <w:lang w:eastAsia="en-GB"/>
        </w:rPr>
      </w:pPr>
    </w:p>
    <w:p w14:paraId="3E80BF1E" w14:textId="2BF9E2B6" w:rsidR="00071F47" w:rsidRPr="00EC0229" w:rsidRDefault="00071F47" w:rsidP="007600EA">
      <w:pPr>
        <w:pStyle w:val="NoSpacing"/>
        <w:spacing w:line="360" w:lineRule="auto"/>
        <w:rPr>
          <w:rFonts w:eastAsia="Times New Roman" w:cs="Times New Roman"/>
          <w:iCs/>
          <w:szCs w:val="24"/>
          <w:lang w:eastAsia="en-GB"/>
        </w:rPr>
      </w:pPr>
      <w:r w:rsidRPr="00EC0229">
        <w:rPr>
          <w:rFonts w:eastAsia="Times New Roman" w:cs="Times New Roman"/>
          <w:iCs/>
          <w:szCs w:val="24"/>
          <w:lang w:eastAsia="en-GB"/>
        </w:rPr>
        <w:t>In common with Ryther, Cottam</w:t>
      </w:r>
      <w:r w:rsidRPr="00EC0229">
        <w:rPr>
          <w:rFonts w:eastAsia="Times New Roman" w:cs="Times New Roman"/>
          <w:iCs/>
          <w:szCs w:val="24"/>
          <w:lang w:eastAsia="en-GB"/>
        </w:rPr>
        <w:fldChar w:fldCharType="begin"/>
      </w:r>
      <w:r w:rsidRPr="00EC0229">
        <w:instrText xml:space="preserve"> XE "</w:instrText>
      </w:r>
      <w:r w:rsidRPr="00EC0229">
        <w:rPr>
          <w:rStyle w:val="Hyperlink"/>
          <w:rFonts w:eastAsia="Times New Roman"/>
          <w:noProof/>
          <w:u w:val="none"/>
          <w:lang w:eastAsia="en-GB"/>
        </w:rPr>
        <w:instrText>Cottam</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shows what can be achieved by a dedicated detectorist in terms of demonstrating </w:t>
      </w:r>
      <w:r w:rsidR="003F2041" w:rsidRPr="00EC0229">
        <w:rPr>
          <w:rFonts w:eastAsia="Times New Roman" w:cs="Times New Roman"/>
          <w:iCs/>
          <w:szCs w:val="24"/>
          <w:lang w:eastAsia="en-GB"/>
        </w:rPr>
        <w:t>monetiz</w:t>
      </w:r>
      <w:r w:rsidRPr="00EC0229">
        <w:rPr>
          <w:rFonts w:eastAsia="Times New Roman" w:cs="Times New Roman"/>
          <w:iCs/>
          <w:szCs w:val="24"/>
          <w:lang w:eastAsia="en-GB"/>
        </w:rPr>
        <w:t>ation</w:t>
      </w:r>
      <w:r w:rsidRPr="00EC0229">
        <w:rPr>
          <w:rFonts w:eastAsia="Times New Roman" w:cs="Times New Roman"/>
          <w:iCs/>
          <w:szCs w:val="24"/>
          <w:lang w:eastAsia="en-GB"/>
        </w:rPr>
        <w:fldChar w:fldCharType="begin"/>
      </w:r>
      <w:r w:rsidRPr="00EC0229">
        <w:instrText xml:space="preserve"> XE "monetization"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szCs w:val="24"/>
          <w:lang w:eastAsia="en-GB"/>
        </w:rPr>
        <w:footnoteReference w:id="1046"/>
      </w:r>
      <w:r w:rsidRPr="00EC0229">
        <w:rPr>
          <w:rFonts w:eastAsia="Times New Roman" w:cs="Times New Roman"/>
          <w:iCs/>
          <w:szCs w:val="24"/>
          <w:lang w:eastAsia="en-GB"/>
        </w:rPr>
        <w:t xml:space="preserve"> Over eighty coins of the period have been unearthed</w:t>
      </w:r>
      <w:r w:rsidR="00235561" w:rsidRPr="00EC0229">
        <w:rPr>
          <w:rFonts w:eastAsia="Times New Roman" w:cs="Times New Roman"/>
          <w:iCs/>
          <w:szCs w:val="24"/>
          <w:lang w:eastAsia="en-GB"/>
        </w:rPr>
        <w:t>,</w:t>
      </w:r>
      <w:r w:rsidR="00235561" w:rsidRPr="00EC0229">
        <w:rPr>
          <w:rStyle w:val="FootnoteReference"/>
          <w:rFonts w:eastAsia="Times New Roman" w:cs="Times New Roman"/>
          <w:iCs/>
          <w:szCs w:val="24"/>
          <w:lang w:eastAsia="en-GB"/>
        </w:rPr>
        <w:footnoteReference w:id="1047"/>
      </w:r>
      <w:r w:rsidR="00235561" w:rsidRPr="00EC0229">
        <w:rPr>
          <w:rFonts w:eastAsia="Times New Roman" w:cs="Times New Roman"/>
          <w:iCs/>
          <w:szCs w:val="24"/>
          <w:lang w:eastAsia="en-GB"/>
        </w:rPr>
        <w:t xml:space="preserve"> </w:t>
      </w:r>
      <w:r w:rsidRPr="00EC0229">
        <w:rPr>
          <w:rFonts w:eastAsia="Times New Roman" w:cs="Times New Roman"/>
          <w:iCs/>
          <w:color w:val="000000" w:themeColor="text1"/>
          <w:szCs w:val="24"/>
          <w:lang w:eastAsia="en-GB"/>
        </w:rPr>
        <w:t xml:space="preserve">including five sceats </w:t>
      </w:r>
      <w:r w:rsidRPr="00EC0229">
        <w:rPr>
          <w:rFonts w:eastAsia="Times New Roman" w:cs="Times New Roman"/>
          <w:iCs/>
          <w:szCs w:val="24"/>
          <w:lang w:eastAsia="en-GB"/>
        </w:rPr>
        <w:t xml:space="preserve">- </w:t>
      </w:r>
      <w:r w:rsidRPr="00EC0229">
        <w:rPr>
          <w:rFonts w:eastAsia="Times New Roman" w:cs="Times New Roman"/>
          <w:iCs/>
          <w:color w:val="000000" w:themeColor="text1"/>
          <w:szCs w:val="24"/>
          <w:lang w:eastAsia="en-GB"/>
        </w:rPr>
        <w:t>all Series</w:t>
      </w:r>
      <w:r w:rsidRPr="00EC0229">
        <w:rPr>
          <w:rFonts w:eastAsia="Times New Roman" w:cs="Times New Roman"/>
          <w:iCs/>
          <w:color w:val="000000" w:themeColor="text1"/>
          <w:szCs w:val="24"/>
          <w:lang w:eastAsia="en-GB"/>
        </w:rPr>
        <w:fldChar w:fldCharType="begin"/>
      </w:r>
      <w:r w:rsidRPr="00EC0229">
        <w:instrText xml:space="preserve"> XE "Series" </w:instrTex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 xml:space="preserve"> Y</w:t>
      </w:r>
      <w:r w:rsidRPr="00EC0229">
        <w:rPr>
          <w:rFonts w:eastAsia="Times New Roman" w:cs="Times New Roman"/>
          <w:iCs/>
          <w:szCs w:val="24"/>
          <w:lang w:eastAsia="en-GB"/>
        </w:rPr>
        <w:t xml:space="preserve"> representing Eadberht</w:t>
      </w:r>
      <w:r w:rsidRPr="00EC0229">
        <w:rPr>
          <w:rFonts w:eastAsia="Times New Roman" w:cs="Times New Roman"/>
          <w:iCs/>
          <w:szCs w:val="24"/>
          <w:lang w:eastAsia="en-GB"/>
        </w:rPr>
        <w:fldChar w:fldCharType="begin"/>
      </w:r>
      <w:r w:rsidRPr="00EC0229">
        <w:instrText xml:space="preserve"> XE "Eadberht"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_Ref430248923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115</w:t>
      </w:r>
      <w:r w:rsidRPr="00EC0229">
        <w:rPr>
          <w:rFonts w:eastAsia="Times New Roman" w:cs="Times New Roman"/>
          <w:iCs/>
          <w:szCs w:val="24"/>
          <w:lang w:eastAsia="en-GB"/>
        </w:rPr>
        <w:fldChar w:fldCharType="end"/>
      </w:r>
      <w:r w:rsidRPr="00EC0229">
        <w:rPr>
          <w:rFonts w:eastAsia="Times New Roman" w:cs="Times New Roman"/>
          <w:iCs/>
          <w:szCs w:val="24"/>
          <w:lang w:eastAsia="en-GB"/>
        </w:rPr>
        <w:t>), Ælfwald</w:t>
      </w:r>
      <w:r w:rsidRPr="00EC0229">
        <w:rPr>
          <w:rFonts w:eastAsia="Times New Roman" w:cs="Times New Roman"/>
          <w:iCs/>
          <w:szCs w:val="24"/>
          <w:lang w:eastAsia="en-GB"/>
        </w:rPr>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Æthelred</w:t>
      </w:r>
      <w:r w:rsidRPr="00EC0229">
        <w:rPr>
          <w:rFonts w:eastAsia="Times New Roman" w:cs="Times New Roman"/>
          <w:iCs/>
          <w:szCs w:val="24"/>
          <w:lang w:eastAsia="en-GB"/>
        </w:rPr>
        <w:fldChar w:fldCharType="begin"/>
      </w:r>
      <w:r w:rsidRPr="00EC0229">
        <w:instrText xml:space="preserve"> XE "</w:instrText>
      </w:r>
      <w:r w:rsidRPr="00EC0229">
        <w:rPr>
          <w:rFonts w:cs="Times New Roman"/>
        </w:rPr>
        <w:instrText>Æ</w:instrText>
      </w:r>
      <w:r w:rsidRPr="00EC0229">
        <w:instrText xml:space="preserve">thelred"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I (second reign) and Æthelred I with Eanbald</w:t>
      </w:r>
      <w:r w:rsidRPr="00EC0229">
        <w:rPr>
          <w:rFonts w:eastAsia="Times New Roman" w:cs="Times New Roman"/>
          <w:iCs/>
          <w:szCs w:val="24"/>
          <w:lang w:eastAsia="en-GB"/>
        </w:rPr>
        <w:fldChar w:fldCharType="begin"/>
      </w:r>
      <w:r w:rsidRPr="00EC0229">
        <w:instrText xml:space="preserve"> XE "Eanbald"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I - and one broad penny</w:t>
      </w:r>
      <w:r w:rsidRPr="00EC0229">
        <w:rPr>
          <w:rFonts w:eastAsia="Times New Roman" w:cs="Times New Roman"/>
          <w:iCs/>
          <w:szCs w:val="24"/>
          <w:lang w:eastAsia="en-GB"/>
        </w:rPr>
        <w:fldChar w:fldCharType="begin"/>
      </w:r>
      <w:r w:rsidRPr="00EC0229">
        <w:instrText xml:space="preserve"> XE "penny"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szCs w:val="24"/>
          <w:lang w:eastAsia="en-GB"/>
        </w:rPr>
        <w:footnoteReference w:id="1048"/>
      </w:r>
    </w:p>
    <w:p w14:paraId="6C30A914" w14:textId="77777777" w:rsidR="00071F47" w:rsidRPr="00EC0229" w:rsidRDefault="00071F47" w:rsidP="007600EA">
      <w:pPr>
        <w:pStyle w:val="NoSpacing"/>
        <w:spacing w:line="360" w:lineRule="auto"/>
        <w:jc w:val="center"/>
        <w:rPr>
          <w:szCs w:val="24"/>
        </w:rPr>
      </w:pPr>
      <w:r w:rsidRPr="00EC0229">
        <w:rPr>
          <w:noProof/>
          <w:sz w:val="20"/>
          <w:szCs w:val="20"/>
          <w:lang w:eastAsia="en-GB"/>
        </w:rPr>
        <w:drawing>
          <wp:inline distT="0" distB="0" distL="0" distR="0" wp14:anchorId="3BBD7A6C" wp14:editId="6F0E5F58">
            <wp:extent cx="719593" cy="783203"/>
            <wp:effectExtent l="0" t="0" r="444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oustached bust obv.JP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719593" cy="783203"/>
                    </a:xfrm>
                    <a:prstGeom prst="rect">
                      <a:avLst/>
                    </a:prstGeom>
                  </pic:spPr>
                </pic:pic>
              </a:graphicData>
            </a:graphic>
          </wp:inline>
        </w:drawing>
      </w:r>
      <w:r w:rsidRPr="00EC0229">
        <w:rPr>
          <w:noProof/>
          <w:sz w:val="20"/>
          <w:szCs w:val="20"/>
          <w:lang w:eastAsia="en-GB"/>
        </w:rPr>
        <w:drawing>
          <wp:inline distT="0" distB="0" distL="0" distR="0" wp14:anchorId="156CA935" wp14:editId="04A42203">
            <wp:extent cx="895903" cy="772160"/>
            <wp:effectExtent l="0" t="0" r="0" b="889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oustached bust rev.JP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901145" cy="776678"/>
                    </a:xfrm>
                    <a:prstGeom prst="rect">
                      <a:avLst/>
                    </a:prstGeom>
                  </pic:spPr>
                </pic:pic>
              </a:graphicData>
            </a:graphic>
          </wp:inline>
        </w:drawing>
      </w:r>
    </w:p>
    <w:p w14:paraId="21D35389" w14:textId="1129867A" w:rsidR="00071F47" w:rsidRPr="00EC0229" w:rsidRDefault="00071F47" w:rsidP="007600EA">
      <w:pPr>
        <w:spacing w:line="360" w:lineRule="auto"/>
        <w:jc w:val="center"/>
        <w:rPr>
          <w:i/>
          <w:sz w:val="20"/>
          <w:szCs w:val="20"/>
        </w:rPr>
      </w:pPr>
      <w:bookmarkStart w:id="706" w:name="_Ref430248923"/>
      <w:bookmarkStart w:id="707" w:name="_Toc468267087"/>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115</w:t>
      </w:r>
      <w:r w:rsidRPr="00EC0229">
        <w:rPr>
          <w:sz w:val="20"/>
          <w:szCs w:val="20"/>
        </w:rPr>
        <w:fldChar w:fldCharType="end"/>
      </w:r>
      <w:bookmarkEnd w:id="706"/>
      <w:r w:rsidRPr="00EC0229">
        <w:rPr>
          <w:sz w:val="20"/>
          <w:szCs w:val="20"/>
        </w:rPr>
        <w:t>: Cottam</w:t>
      </w:r>
      <w:r w:rsidRPr="00EC0229">
        <w:rPr>
          <w:sz w:val="20"/>
          <w:szCs w:val="20"/>
        </w:rPr>
        <w:fldChar w:fldCharType="begin"/>
      </w:r>
      <w:r w:rsidRPr="00EC0229">
        <w:rPr>
          <w:sz w:val="20"/>
          <w:szCs w:val="20"/>
        </w:rPr>
        <w:instrText xml:space="preserve"> XE "Cottam" </w:instrText>
      </w:r>
      <w:r w:rsidRPr="00EC0229">
        <w:rPr>
          <w:sz w:val="20"/>
          <w:szCs w:val="20"/>
        </w:rPr>
        <w:fldChar w:fldCharType="end"/>
      </w:r>
      <w:r w:rsidRPr="00EC0229">
        <w:rPr>
          <w:sz w:val="20"/>
          <w:szCs w:val="20"/>
        </w:rPr>
        <w:t>: extremely rare sceat of Eadberht</w:t>
      </w:r>
      <w:bookmarkEnd w:id="707"/>
      <w:r w:rsidRPr="00EC0229">
        <w:rPr>
          <w:i/>
          <w:sz w:val="20"/>
          <w:szCs w:val="20"/>
        </w:rPr>
        <w:fldChar w:fldCharType="begin"/>
      </w:r>
      <w:r w:rsidRPr="00EC0229">
        <w:rPr>
          <w:i/>
          <w:sz w:val="20"/>
          <w:szCs w:val="20"/>
        </w:rPr>
        <w:instrText xml:space="preserve"> XE "Eadberht" </w:instrText>
      </w:r>
      <w:r w:rsidRPr="00EC0229">
        <w:rPr>
          <w:i/>
          <w:sz w:val="20"/>
          <w:szCs w:val="20"/>
        </w:rPr>
        <w:fldChar w:fldCharType="end"/>
      </w:r>
    </w:p>
    <w:p w14:paraId="43387E91" w14:textId="77777777" w:rsidR="00071F47" w:rsidRPr="00EC0229" w:rsidRDefault="00071F47" w:rsidP="007600EA">
      <w:pPr>
        <w:pStyle w:val="NoSpacing"/>
        <w:spacing w:line="360" w:lineRule="auto"/>
        <w:rPr>
          <w:sz w:val="20"/>
          <w:szCs w:val="20"/>
        </w:rPr>
      </w:pPr>
      <w:r w:rsidRPr="00EC0229">
        <w:rPr>
          <w:sz w:val="20"/>
          <w:szCs w:val="20"/>
        </w:rPr>
        <w:tab/>
      </w:r>
      <w:r w:rsidRPr="00EC0229">
        <w:rPr>
          <w:sz w:val="20"/>
          <w:szCs w:val="20"/>
        </w:rPr>
        <w:tab/>
      </w:r>
      <w:r w:rsidRPr="00EC0229">
        <w:rPr>
          <w:noProof/>
          <w:sz w:val="20"/>
          <w:szCs w:val="20"/>
          <w:lang w:eastAsia="en-GB"/>
        </w:rPr>
        <w:drawing>
          <wp:inline distT="0" distB="0" distL="0" distR="0" wp14:anchorId="27B972B5" wp14:editId="10724447">
            <wp:extent cx="754834" cy="777035"/>
            <wp:effectExtent l="0" t="0" r="7620" b="444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447 (2).JPG"/>
                    <pic:cNvPicPr/>
                  </pic:nvPicPr>
                  <pic:blipFill>
                    <a:blip r:embed="rId374">
                      <a:extLst>
                        <a:ext uri="{28A0092B-C50C-407E-A947-70E740481C1C}">
                          <a14:useLocalDpi xmlns:a14="http://schemas.microsoft.com/office/drawing/2010/main" val="0"/>
                        </a:ext>
                      </a:extLst>
                    </a:blip>
                    <a:stretch>
                      <a:fillRect/>
                    </a:stretch>
                  </pic:blipFill>
                  <pic:spPr>
                    <a:xfrm>
                      <a:off x="0" y="0"/>
                      <a:ext cx="773332" cy="796077"/>
                    </a:xfrm>
                    <a:prstGeom prst="rect">
                      <a:avLst/>
                    </a:prstGeom>
                  </pic:spPr>
                </pic:pic>
              </a:graphicData>
            </a:graphic>
          </wp:inline>
        </w:drawing>
      </w:r>
      <w:r w:rsidRPr="00EC0229">
        <w:rPr>
          <w:noProof/>
          <w:sz w:val="20"/>
          <w:szCs w:val="20"/>
          <w:lang w:eastAsia="en-GB"/>
        </w:rPr>
        <w:drawing>
          <wp:inline distT="0" distB="0" distL="0" distR="0" wp14:anchorId="0AB205F4" wp14:editId="6A9B10EB">
            <wp:extent cx="752504" cy="779063"/>
            <wp:effectExtent l="0" t="0" r="0" b="254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47 (1).JPG"/>
                    <pic:cNvPicPr/>
                  </pic:nvPicPr>
                  <pic:blipFill>
                    <a:blip r:embed="rId375">
                      <a:extLst>
                        <a:ext uri="{28A0092B-C50C-407E-A947-70E740481C1C}">
                          <a14:useLocalDpi xmlns:a14="http://schemas.microsoft.com/office/drawing/2010/main" val="0"/>
                        </a:ext>
                      </a:extLst>
                    </a:blip>
                    <a:stretch>
                      <a:fillRect/>
                    </a:stretch>
                  </pic:blipFill>
                  <pic:spPr>
                    <a:xfrm>
                      <a:off x="0" y="0"/>
                      <a:ext cx="775111" cy="802468"/>
                    </a:xfrm>
                    <a:prstGeom prst="rect">
                      <a:avLst/>
                    </a:prstGeom>
                  </pic:spPr>
                </pic:pic>
              </a:graphicData>
            </a:graphic>
          </wp:inline>
        </w:drawing>
      </w:r>
      <w:r w:rsidRPr="00EC0229">
        <w:rPr>
          <w:sz w:val="20"/>
          <w:szCs w:val="20"/>
        </w:rPr>
        <w:tab/>
      </w:r>
      <w:r w:rsidRPr="00EC0229">
        <w:rPr>
          <w:sz w:val="20"/>
          <w:szCs w:val="20"/>
        </w:rPr>
        <w:tab/>
      </w:r>
      <w:r w:rsidRPr="00EC0229">
        <w:rPr>
          <w:noProof/>
          <w:sz w:val="20"/>
          <w:szCs w:val="20"/>
          <w:lang w:eastAsia="en-GB"/>
        </w:rPr>
        <w:drawing>
          <wp:inline distT="0" distB="0" distL="0" distR="0" wp14:anchorId="59E4F8D0" wp14:editId="402A1D8D">
            <wp:extent cx="769458" cy="778510"/>
            <wp:effectExtent l="0" t="0" r="0" b="254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96 (1).JPG"/>
                    <pic:cNvPicPr/>
                  </pic:nvPicPr>
                  <pic:blipFill>
                    <a:blip r:embed="rId376">
                      <a:extLst>
                        <a:ext uri="{28A0092B-C50C-407E-A947-70E740481C1C}">
                          <a14:useLocalDpi xmlns:a14="http://schemas.microsoft.com/office/drawing/2010/main" val="0"/>
                        </a:ext>
                      </a:extLst>
                    </a:blip>
                    <a:stretch>
                      <a:fillRect/>
                    </a:stretch>
                  </pic:blipFill>
                  <pic:spPr>
                    <a:xfrm>
                      <a:off x="0" y="0"/>
                      <a:ext cx="789768" cy="799059"/>
                    </a:xfrm>
                    <a:prstGeom prst="rect">
                      <a:avLst/>
                    </a:prstGeom>
                  </pic:spPr>
                </pic:pic>
              </a:graphicData>
            </a:graphic>
          </wp:inline>
        </w:drawing>
      </w:r>
      <w:r w:rsidRPr="00EC0229">
        <w:rPr>
          <w:noProof/>
          <w:sz w:val="20"/>
          <w:szCs w:val="20"/>
          <w:lang w:eastAsia="en-GB"/>
        </w:rPr>
        <w:drawing>
          <wp:inline distT="0" distB="0" distL="0" distR="0" wp14:anchorId="2ABC89D5" wp14:editId="1E008187">
            <wp:extent cx="777240" cy="781812"/>
            <wp:effectExtent l="0" t="0" r="381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96 (2).JPG"/>
                    <pic:cNvPicPr/>
                  </pic:nvPicPr>
                  <pic:blipFill>
                    <a:blip r:embed="rId377">
                      <a:extLst>
                        <a:ext uri="{28A0092B-C50C-407E-A947-70E740481C1C}">
                          <a14:useLocalDpi xmlns:a14="http://schemas.microsoft.com/office/drawing/2010/main" val="0"/>
                        </a:ext>
                      </a:extLst>
                    </a:blip>
                    <a:stretch>
                      <a:fillRect/>
                    </a:stretch>
                  </pic:blipFill>
                  <pic:spPr>
                    <a:xfrm>
                      <a:off x="0" y="0"/>
                      <a:ext cx="788693" cy="793333"/>
                    </a:xfrm>
                    <a:prstGeom prst="rect">
                      <a:avLst/>
                    </a:prstGeom>
                  </pic:spPr>
                </pic:pic>
              </a:graphicData>
            </a:graphic>
          </wp:inline>
        </w:drawing>
      </w:r>
    </w:p>
    <w:p w14:paraId="695C6BAC" w14:textId="30C1F17D" w:rsidR="00071F47" w:rsidRPr="00EC0229" w:rsidRDefault="00071F47" w:rsidP="007600EA">
      <w:pPr>
        <w:pStyle w:val="NoSpacing"/>
        <w:spacing w:line="360" w:lineRule="auto"/>
        <w:jc w:val="center"/>
        <w:rPr>
          <w:i/>
          <w:sz w:val="20"/>
          <w:szCs w:val="20"/>
        </w:rPr>
      </w:pPr>
      <w:bookmarkStart w:id="708" w:name="_Ref430248942"/>
      <w:bookmarkStart w:id="709" w:name="_Toc468267088"/>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116</w:t>
      </w:r>
      <w:r w:rsidRPr="00EC0229">
        <w:rPr>
          <w:sz w:val="20"/>
          <w:szCs w:val="20"/>
        </w:rPr>
        <w:fldChar w:fldCharType="end"/>
      </w:r>
      <w:bookmarkEnd w:id="708"/>
      <w:r w:rsidRPr="00EC0229">
        <w:rPr>
          <w:sz w:val="20"/>
          <w:szCs w:val="20"/>
        </w:rPr>
        <w:t>: Cottam</w:t>
      </w:r>
      <w:r w:rsidRPr="00EC0229">
        <w:rPr>
          <w:sz w:val="20"/>
          <w:szCs w:val="20"/>
        </w:rPr>
        <w:fldChar w:fldCharType="begin"/>
      </w:r>
      <w:r w:rsidRPr="00EC0229">
        <w:rPr>
          <w:sz w:val="20"/>
          <w:szCs w:val="20"/>
        </w:rPr>
        <w:instrText xml:space="preserve"> XE "Cottam" </w:instrText>
      </w:r>
      <w:r w:rsidRPr="00EC0229">
        <w:rPr>
          <w:sz w:val="20"/>
          <w:szCs w:val="20"/>
        </w:rPr>
        <w:fldChar w:fldCharType="end"/>
      </w:r>
      <w:r w:rsidRPr="00EC0229">
        <w:rPr>
          <w:sz w:val="20"/>
          <w:szCs w:val="20"/>
        </w:rPr>
        <w:t>: L: silver-alloy</w:t>
      </w:r>
      <w:r w:rsidRPr="00EC0229">
        <w:rPr>
          <w:sz w:val="20"/>
          <w:szCs w:val="20"/>
        </w:rPr>
        <w:fldChar w:fldCharType="begin"/>
      </w:r>
      <w:r w:rsidRPr="00EC0229">
        <w:rPr>
          <w:sz w:val="20"/>
          <w:szCs w:val="20"/>
        </w:rPr>
        <w:instrText xml:space="preserve"> XE "silver-alloy" </w:instrText>
      </w:r>
      <w:r w:rsidRPr="00EC0229">
        <w:rPr>
          <w:sz w:val="20"/>
          <w:szCs w:val="20"/>
        </w:rPr>
        <w:fldChar w:fldCharType="end"/>
      </w:r>
      <w:r w:rsidRPr="00EC0229">
        <w:rPr>
          <w:sz w:val="20"/>
          <w:szCs w:val="20"/>
        </w:rPr>
        <w:t xml:space="preserve"> coin of Eanred</w:t>
      </w:r>
      <w:r w:rsidRPr="00EC0229">
        <w:rPr>
          <w:sz w:val="20"/>
          <w:szCs w:val="20"/>
        </w:rPr>
        <w:fldChar w:fldCharType="begin"/>
      </w:r>
      <w:r w:rsidRPr="00EC0229">
        <w:rPr>
          <w:sz w:val="20"/>
          <w:szCs w:val="20"/>
        </w:rPr>
        <w:instrText xml:space="preserve"> XE "Eanred" </w:instrText>
      </w:r>
      <w:r w:rsidRPr="00EC0229">
        <w:rPr>
          <w:sz w:val="20"/>
          <w:szCs w:val="20"/>
        </w:rPr>
        <w:fldChar w:fldCharType="end"/>
      </w:r>
      <w:r w:rsidR="00941A45">
        <w:rPr>
          <w:sz w:val="20"/>
          <w:szCs w:val="20"/>
        </w:rPr>
        <w:t xml:space="preserve"> R: </w:t>
      </w:r>
      <w:r w:rsidRPr="00EC0229">
        <w:rPr>
          <w:sz w:val="20"/>
          <w:szCs w:val="20"/>
        </w:rPr>
        <w:t>styca of Æthelred</w:t>
      </w:r>
      <w:r w:rsidRPr="00EC0229">
        <w:rPr>
          <w:sz w:val="20"/>
          <w:szCs w:val="20"/>
        </w:rPr>
        <w:fldChar w:fldCharType="begin"/>
      </w:r>
      <w:r w:rsidRPr="00EC0229">
        <w:rPr>
          <w:sz w:val="20"/>
          <w:szCs w:val="20"/>
        </w:rPr>
        <w:instrText xml:space="preserve"> XE "Æthelred" </w:instrText>
      </w:r>
      <w:r w:rsidRPr="00EC0229">
        <w:rPr>
          <w:sz w:val="20"/>
          <w:szCs w:val="20"/>
        </w:rPr>
        <w:fldChar w:fldCharType="end"/>
      </w:r>
      <w:r w:rsidRPr="00EC0229">
        <w:rPr>
          <w:sz w:val="20"/>
          <w:szCs w:val="20"/>
        </w:rPr>
        <w:t xml:space="preserve"> II, 2nd reign</w:t>
      </w:r>
      <w:bookmarkEnd w:id="709"/>
    </w:p>
    <w:p w14:paraId="199B8E03" w14:textId="77777777" w:rsidR="00071F47" w:rsidRPr="00EC0229" w:rsidRDefault="00071F47" w:rsidP="007600EA">
      <w:pPr>
        <w:pStyle w:val="NoSpacing"/>
        <w:spacing w:line="360" w:lineRule="auto"/>
        <w:jc w:val="center"/>
        <w:rPr>
          <w:sz w:val="20"/>
          <w:szCs w:val="20"/>
        </w:rPr>
      </w:pPr>
      <w:r w:rsidRPr="00EC0229">
        <w:rPr>
          <w:sz w:val="20"/>
          <w:szCs w:val="20"/>
        </w:rPr>
        <w:t>(Cottam images courtesy D. Haldenby &amp; Hull Museum)</w:t>
      </w:r>
    </w:p>
    <w:p w14:paraId="7FA3CB79" w14:textId="77777777" w:rsidR="00071F47" w:rsidRPr="00EC0229" w:rsidRDefault="00071F47" w:rsidP="007600EA">
      <w:pPr>
        <w:pStyle w:val="NoSpacing"/>
        <w:spacing w:line="360" w:lineRule="auto"/>
      </w:pPr>
    </w:p>
    <w:p w14:paraId="49C1DE9D" w14:textId="7908CF84" w:rsidR="00071F47" w:rsidRPr="00EC0229" w:rsidRDefault="00071F47" w:rsidP="007600EA">
      <w:pPr>
        <w:pStyle w:val="NoSpacing"/>
        <w:spacing w:line="360" w:lineRule="auto"/>
        <w:rPr>
          <w:szCs w:val="24"/>
        </w:rPr>
      </w:pPr>
      <w:r w:rsidRPr="00EC0229">
        <w:rPr>
          <w:szCs w:val="24"/>
        </w:rPr>
        <w:t>Eanred</w:t>
      </w:r>
      <w:r w:rsidRPr="00EC0229">
        <w:rPr>
          <w:szCs w:val="24"/>
        </w:rPr>
        <w:fldChar w:fldCharType="begin"/>
      </w:r>
      <w:r w:rsidRPr="00EC0229">
        <w:instrText xml:space="preserve"> XE "Eanred" </w:instrText>
      </w:r>
      <w:r w:rsidRPr="00EC0229">
        <w:rPr>
          <w:szCs w:val="24"/>
        </w:rPr>
        <w:fldChar w:fldCharType="end"/>
      </w:r>
      <w:r w:rsidRPr="00EC0229">
        <w:rPr>
          <w:szCs w:val="24"/>
        </w:rPr>
        <w:t>’s silver-alloy</w:t>
      </w:r>
      <w:r w:rsidRPr="00EC0229">
        <w:rPr>
          <w:szCs w:val="24"/>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szCs w:val="24"/>
        </w:rPr>
        <w:fldChar w:fldCharType="end"/>
      </w:r>
      <w:r w:rsidRPr="00EC0229">
        <w:rPr>
          <w:szCs w:val="24"/>
        </w:rPr>
        <w:t xml:space="preserve"> coins [N9] are well represented, but the vast majority of finds are base sceats, whose well-worn appearance is a sign of a healthy velocity of circulation (</w:t>
      </w:r>
      <w:r w:rsidRPr="00EC0229">
        <w:rPr>
          <w:szCs w:val="24"/>
        </w:rPr>
        <w:fldChar w:fldCharType="begin"/>
      </w:r>
      <w:r w:rsidRPr="00EC0229">
        <w:rPr>
          <w:szCs w:val="24"/>
        </w:rPr>
        <w:instrText xml:space="preserve"> REF _Ref430248942 \h  \* MERGEFORMAT </w:instrText>
      </w:r>
      <w:r w:rsidRPr="00EC0229">
        <w:rPr>
          <w:szCs w:val="24"/>
        </w:rPr>
      </w:r>
      <w:r w:rsidRPr="00EC0229">
        <w:rPr>
          <w:szCs w:val="24"/>
        </w:rPr>
        <w:fldChar w:fldCharType="separate"/>
      </w:r>
      <w:r w:rsidR="0012026B" w:rsidRPr="0012026B">
        <w:rPr>
          <w:i/>
        </w:rPr>
        <w:t>Figure</w:t>
      </w:r>
      <w:r w:rsidR="0012026B" w:rsidRPr="0012026B">
        <w:t xml:space="preserve"> </w:t>
      </w:r>
      <w:r w:rsidR="0012026B" w:rsidRPr="0012026B">
        <w:rPr>
          <w:noProof/>
        </w:rPr>
        <w:t>116</w:t>
      </w:r>
      <w:r w:rsidRPr="00EC0229">
        <w:rPr>
          <w:szCs w:val="24"/>
        </w:rPr>
        <w:fldChar w:fldCharType="end"/>
      </w:r>
      <w:r w:rsidRPr="00EC0229">
        <w:rPr>
          <w:szCs w:val="24"/>
        </w:rPr>
        <w:t>). A sceat of Eadberht [N6], is pecked, a rare phenomenon for sceats and likely to be a Viking test-mark.</w:t>
      </w:r>
      <w:r w:rsidRPr="00EC0229">
        <w:rPr>
          <w:rStyle w:val="FootnoteReference"/>
          <w:szCs w:val="24"/>
        </w:rPr>
        <w:footnoteReference w:id="1049"/>
      </w:r>
      <w:r w:rsidR="00D9456C" w:rsidRPr="00D9456C">
        <w:t xml:space="preserve"> </w:t>
      </w:r>
      <w:r w:rsidR="00D9456C">
        <w:t xml:space="preserve">See </w:t>
      </w:r>
      <w:r w:rsidR="00D9456C" w:rsidRPr="00A07A08">
        <w:rPr>
          <w:i/>
        </w:rPr>
        <w:t>Graph 7.</w:t>
      </w:r>
      <w:r w:rsidR="00D9456C">
        <w:rPr>
          <w:i/>
        </w:rPr>
        <w:t>04 no. 44</w:t>
      </w:r>
      <w:r w:rsidR="00D9456C">
        <w:t>.</w:t>
      </w:r>
    </w:p>
    <w:p w14:paraId="2D85F80A" w14:textId="77777777" w:rsidR="00071F47" w:rsidRPr="00EC0229" w:rsidRDefault="00071F47" w:rsidP="007600EA">
      <w:pPr>
        <w:pStyle w:val="NoSpacing"/>
        <w:spacing w:line="360" w:lineRule="auto"/>
        <w:rPr>
          <w:szCs w:val="24"/>
        </w:rPr>
      </w:pPr>
    </w:p>
    <w:p w14:paraId="07896AA8" w14:textId="77777777" w:rsidR="00071F47" w:rsidRPr="00EC0229" w:rsidRDefault="00071F47" w:rsidP="007600EA">
      <w:pPr>
        <w:pStyle w:val="NoSpacing"/>
        <w:spacing w:line="360" w:lineRule="auto"/>
        <w:jc w:val="center"/>
        <w:rPr>
          <w:rFonts w:cs="Times New Roman"/>
          <w:sz w:val="20"/>
          <w:szCs w:val="20"/>
        </w:rPr>
      </w:pPr>
      <w:r w:rsidRPr="00EC0229">
        <w:rPr>
          <w:rFonts w:cs="Times New Roman"/>
          <w:noProof/>
          <w:sz w:val="20"/>
          <w:szCs w:val="20"/>
          <w:lang w:eastAsia="en-GB"/>
        </w:rPr>
        <w:lastRenderedPageBreak/>
        <w:drawing>
          <wp:inline distT="0" distB="0" distL="0" distR="0" wp14:anchorId="1475E705" wp14:editId="0A2C6F87">
            <wp:extent cx="1076611" cy="661372"/>
            <wp:effectExtent l="0" t="0" r="0" b="571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Æthelberht of Wessex penny obv.jp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083842" cy="665814"/>
                    </a:xfrm>
                    <a:prstGeom prst="rect">
                      <a:avLst/>
                    </a:prstGeom>
                  </pic:spPr>
                </pic:pic>
              </a:graphicData>
            </a:graphic>
          </wp:inline>
        </w:drawing>
      </w:r>
      <w:r w:rsidRPr="00EC0229">
        <w:rPr>
          <w:rFonts w:cs="Times New Roman"/>
          <w:noProof/>
          <w:sz w:val="20"/>
          <w:szCs w:val="20"/>
          <w:lang w:eastAsia="en-GB"/>
        </w:rPr>
        <w:drawing>
          <wp:inline distT="0" distB="0" distL="0" distR="0" wp14:anchorId="65BF572C" wp14:editId="7880179C">
            <wp:extent cx="803275" cy="107039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Æthelberht of Wessex penny rev.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811147" cy="1080880"/>
                    </a:xfrm>
                    <a:prstGeom prst="rect">
                      <a:avLst/>
                    </a:prstGeom>
                  </pic:spPr>
                </pic:pic>
              </a:graphicData>
            </a:graphic>
          </wp:inline>
        </w:drawing>
      </w:r>
    </w:p>
    <w:p w14:paraId="3DCD6C66" w14:textId="739FA9D9" w:rsidR="00071F47" w:rsidRPr="00EC0229" w:rsidRDefault="00071F47" w:rsidP="007600EA">
      <w:pPr>
        <w:spacing w:line="360" w:lineRule="auto"/>
        <w:jc w:val="center"/>
        <w:rPr>
          <w:sz w:val="20"/>
          <w:szCs w:val="20"/>
        </w:rPr>
      </w:pPr>
      <w:bookmarkStart w:id="710" w:name="_Toc468267089"/>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117</w:t>
      </w:r>
      <w:r w:rsidRPr="00EC0229">
        <w:rPr>
          <w:sz w:val="20"/>
          <w:szCs w:val="20"/>
        </w:rPr>
        <w:fldChar w:fldCharType="end"/>
      </w:r>
      <w:r w:rsidRPr="00EC0229">
        <w:rPr>
          <w:sz w:val="20"/>
          <w:szCs w:val="20"/>
        </w:rPr>
        <w:t>: A penny</w:t>
      </w:r>
      <w:r w:rsidRPr="00EC0229">
        <w:rPr>
          <w:sz w:val="20"/>
          <w:szCs w:val="20"/>
        </w:rPr>
        <w:fldChar w:fldCharType="begin"/>
      </w:r>
      <w:r w:rsidRPr="00EC0229">
        <w:rPr>
          <w:sz w:val="20"/>
          <w:szCs w:val="20"/>
        </w:rPr>
        <w:instrText xml:space="preserve"> XE "penny" </w:instrText>
      </w:r>
      <w:r w:rsidRPr="00EC0229">
        <w:rPr>
          <w:sz w:val="20"/>
          <w:szCs w:val="20"/>
        </w:rPr>
        <w:fldChar w:fldCharType="end"/>
      </w:r>
      <w:r w:rsidRPr="00EC0229">
        <w:rPr>
          <w:sz w:val="20"/>
          <w:szCs w:val="20"/>
        </w:rPr>
        <w:t xml:space="preserve"> of Æthelberht of Wessex (860-5), by the moneyer Wulfheard</w:t>
      </w:r>
      <w:bookmarkEnd w:id="710"/>
    </w:p>
    <w:p w14:paraId="0CC455D5" w14:textId="77777777" w:rsidR="00071F47" w:rsidRPr="00EC0229" w:rsidRDefault="00071F47" w:rsidP="007600EA">
      <w:pPr>
        <w:pStyle w:val="NoSpacing"/>
        <w:spacing w:line="360" w:lineRule="auto"/>
        <w:jc w:val="center"/>
        <w:rPr>
          <w:rFonts w:cs="Times New Roman"/>
          <w:sz w:val="20"/>
          <w:szCs w:val="20"/>
        </w:rPr>
      </w:pPr>
    </w:p>
    <w:p w14:paraId="631D7883" w14:textId="7BC520B0" w:rsidR="00071F47" w:rsidRPr="00EC0229" w:rsidRDefault="00071F47" w:rsidP="007600EA">
      <w:pPr>
        <w:pStyle w:val="NoSpacing"/>
        <w:spacing w:line="360" w:lineRule="auto"/>
        <w:rPr>
          <w:szCs w:val="24"/>
        </w:rPr>
      </w:pPr>
      <w:r w:rsidRPr="00EC0229">
        <w:rPr>
          <w:rFonts w:cs="Times New Roman"/>
          <w:szCs w:val="24"/>
        </w:rPr>
        <w:t>The penny</w:t>
      </w:r>
      <w:r w:rsidRPr="00EC0229">
        <w:rPr>
          <w:rFonts w:cs="Times New Roman"/>
          <w:szCs w:val="24"/>
        </w:rPr>
        <w:fldChar w:fldCharType="begin"/>
      </w:r>
      <w:r w:rsidRPr="00EC0229">
        <w:instrText xml:space="preserve"> XE "penny" </w:instrText>
      </w:r>
      <w:r w:rsidRPr="00EC0229">
        <w:rPr>
          <w:rFonts w:cs="Times New Roman"/>
          <w:szCs w:val="24"/>
        </w:rPr>
        <w:fldChar w:fldCharType="end"/>
      </w:r>
      <w:r w:rsidRPr="00EC0229">
        <w:rPr>
          <w:rFonts w:cs="Times New Roman"/>
          <w:szCs w:val="24"/>
        </w:rPr>
        <w:t xml:space="preserve"> at </w:t>
      </w:r>
      <w:r w:rsidRPr="00EC0229">
        <w:rPr>
          <w:rFonts w:cs="Times New Roman"/>
          <w:i/>
          <w:szCs w:val="24"/>
        </w:rPr>
        <w:t>Figure</w:t>
      </w:r>
      <w:r w:rsidRPr="00EC0229">
        <w:rPr>
          <w:rFonts w:cs="Times New Roman"/>
          <w:szCs w:val="24"/>
        </w:rPr>
        <w:t xml:space="preserve"> 124</w:t>
      </w:r>
      <w:r w:rsidRPr="00EC0229">
        <w:t>,</w:t>
      </w:r>
      <w:r w:rsidRPr="00EC0229">
        <w:rPr>
          <w:rFonts w:cs="Times New Roman"/>
          <w:szCs w:val="24"/>
        </w:rPr>
        <w:t xml:space="preserve"> [S9], was found in the pit at Cottam</w:t>
      </w:r>
      <w:r w:rsidRPr="00EC0229">
        <w:rPr>
          <w:rFonts w:cs="Times New Roman"/>
          <w:szCs w:val="24"/>
        </w:rPr>
        <w:fldChar w:fldCharType="begin"/>
      </w:r>
      <w:r w:rsidRPr="00EC0229">
        <w:instrText xml:space="preserve"> XE "</w:instrText>
      </w:r>
      <w:r w:rsidRPr="00EC0229">
        <w:rPr>
          <w:rStyle w:val="Hyperlink"/>
          <w:rFonts w:eastAsia="Times New Roman"/>
          <w:noProof/>
          <w:u w:val="none"/>
          <w:lang w:eastAsia="en-GB"/>
        </w:rPr>
        <w:instrText>Cottam</w:instrText>
      </w:r>
      <w:r w:rsidRPr="00EC0229">
        <w:instrText xml:space="preserve">" </w:instrText>
      </w:r>
      <w:r w:rsidRPr="00EC0229">
        <w:rPr>
          <w:rFonts w:cs="Times New Roman"/>
          <w:szCs w:val="24"/>
        </w:rPr>
        <w:fldChar w:fldCharType="end"/>
      </w:r>
      <w:r w:rsidRPr="00EC0229">
        <w:rPr>
          <w:rFonts w:cs="Times New Roman"/>
          <w:szCs w:val="24"/>
        </w:rPr>
        <w:t xml:space="preserve"> ‘B’ near the jaw-less female skull,</w:t>
      </w:r>
      <w:r w:rsidRPr="00EC0229">
        <w:rPr>
          <w:rStyle w:val="FootnoteReference"/>
          <w:rFonts w:cs="Times New Roman"/>
          <w:szCs w:val="24"/>
        </w:rPr>
        <w:footnoteReference w:id="1050"/>
      </w:r>
      <w:r w:rsidRPr="00EC0229">
        <w:rPr>
          <w:rFonts w:cs="Times New Roman"/>
          <w:szCs w:val="24"/>
        </w:rPr>
        <w:t xml:space="preserve"> probably a valediction by invading Vikings rather than indicative of economic continuity or a votive</w:t>
      </w:r>
      <w:r w:rsidRPr="00EC0229">
        <w:rPr>
          <w:rFonts w:cs="Times New Roman"/>
          <w:szCs w:val="24"/>
        </w:rPr>
        <w:fldChar w:fldCharType="begin"/>
      </w:r>
      <w:r w:rsidRPr="00EC0229">
        <w:instrText xml:space="preserve"> XE "</w:instrText>
      </w:r>
      <w:r w:rsidRPr="00EC0229">
        <w:rPr>
          <w:rFonts w:cs="Times New Roman"/>
          <w:szCs w:val="24"/>
        </w:rPr>
        <w:instrText>votive</w:instrText>
      </w:r>
      <w:r w:rsidRPr="00EC0229">
        <w:instrText xml:space="preserve">" </w:instrText>
      </w:r>
      <w:r w:rsidRPr="00EC0229">
        <w:rPr>
          <w:rFonts w:cs="Times New Roman"/>
          <w:szCs w:val="24"/>
        </w:rPr>
        <w:fldChar w:fldCharType="end"/>
      </w:r>
      <w:r w:rsidRPr="00EC0229">
        <w:rPr>
          <w:rFonts w:cs="Times New Roman"/>
          <w:szCs w:val="24"/>
        </w:rPr>
        <w:t xml:space="preserve"> rite.</w:t>
      </w:r>
      <w:r w:rsidR="00D9456C">
        <w:rPr>
          <w:rFonts w:cs="Times New Roman"/>
          <w:szCs w:val="24"/>
        </w:rPr>
        <w:t xml:space="preserve"> </w:t>
      </w:r>
    </w:p>
    <w:p w14:paraId="7CA512E7" w14:textId="77777777" w:rsidR="00071F47" w:rsidRPr="00EC0229" w:rsidRDefault="00071F47" w:rsidP="007600EA">
      <w:pPr>
        <w:pStyle w:val="NoSpacing"/>
        <w:spacing w:line="360" w:lineRule="auto"/>
      </w:pPr>
    </w:p>
    <w:p w14:paraId="63D31589" w14:textId="1DC7BEAF" w:rsidR="00071F47" w:rsidRPr="00EC0229" w:rsidRDefault="00071F47" w:rsidP="00C97BF2">
      <w:pPr>
        <w:pStyle w:val="Heading4"/>
        <w:spacing w:line="360" w:lineRule="auto"/>
      </w:pPr>
      <w:bookmarkStart w:id="711" w:name="Cowlam"/>
      <w:bookmarkStart w:id="712" w:name="_Toc468266892"/>
      <w:r w:rsidRPr="007A3166">
        <w:rPr>
          <w:b/>
        </w:rPr>
        <w:t>Cowlam</w:t>
      </w:r>
      <w:bookmarkEnd w:id="711"/>
      <w:r w:rsidRPr="007A3166">
        <w:rPr>
          <w:b/>
        </w:rPr>
        <w:fldChar w:fldCharType="begin"/>
      </w:r>
      <w:r w:rsidRPr="007A3166">
        <w:rPr>
          <w:b/>
        </w:rPr>
        <w:instrText xml:space="preserve"> XE "</w:instrText>
      </w:r>
      <w:r w:rsidRPr="007A3166">
        <w:rPr>
          <w:rStyle w:val="Hyperlink"/>
          <w:b/>
          <w:noProof/>
          <w:u w:val="none"/>
        </w:rPr>
        <w:instrText>Cowlam</w:instrText>
      </w:r>
      <w:r w:rsidRPr="007A3166">
        <w:rPr>
          <w:b/>
        </w:rPr>
        <w:instrText xml:space="preserve">" </w:instrText>
      </w:r>
      <w:r w:rsidRPr="007A3166">
        <w:rPr>
          <w:b/>
        </w:rPr>
        <w:fldChar w:fldCharType="end"/>
      </w:r>
      <w:r w:rsidRPr="007A3166">
        <w:rPr>
          <w:b/>
        </w:rPr>
        <w:t xml:space="preserve"> </w:t>
      </w:r>
      <w:r w:rsidRPr="00EC0229">
        <w:rPr>
          <w:rStyle w:val="FootnoteReference"/>
        </w:rPr>
        <w:footnoteReference w:id="1051"/>
      </w:r>
      <w:bookmarkEnd w:id="712"/>
    </w:p>
    <w:p w14:paraId="33EE1F15" w14:textId="77777777" w:rsidR="00071F47" w:rsidRPr="00EC0229" w:rsidRDefault="00071F47" w:rsidP="007600EA">
      <w:pPr>
        <w:pStyle w:val="NoSpacing"/>
        <w:spacing w:line="360" w:lineRule="auto"/>
        <w:rPr>
          <w:rFonts w:eastAsia="Times New Roman" w:cs="Times New Roman"/>
          <w:color w:val="0000FF"/>
          <w:szCs w:val="24"/>
          <w:lang w:eastAsia="en-GB"/>
        </w:rPr>
      </w:pPr>
      <w:r w:rsidRPr="00EC0229">
        <w:t>This site, at Cowlam</w:t>
      </w:r>
      <w:r w:rsidRPr="00EC0229">
        <w:fldChar w:fldCharType="begin"/>
      </w:r>
      <w:r w:rsidRPr="00EC0229">
        <w:instrText xml:space="preserve"> XE "</w:instrText>
      </w:r>
      <w:r w:rsidRPr="00EC0229">
        <w:rPr>
          <w:rStyle w:val="Hyperlink"/>
          <w:noProof/>
          <w:u w:val="none"/>
        </w:rPr>
        <w:instrText>Cowlam</w:instrText>
      </w:r>
      <w:r w:rsidRPr="00EC0229">
        <w:instrText xml:space="preserve">" </w:instrText>
      </w:r>
      <w:r w:rsidRPr="00EC0229">
        <w:fldChar w:fldCharType="end"/>
      </w:r>
      <w:r w:rsidRPr="00EC0229">
        <w:t xml:space="preserve"> Well near the </w:t>
      </w:r>
      <w:r w:rsidRPr="00EC0229">
        <w:rPr>
          <w:i/>
        </w:rPr>
        <w:t>DMV</w:t>
      </w:r>
      <w:r w:rsidRPr="00EC0229">
        <w:t>, to the north-east of Cottam</w:t>
      </w:r>
      <w:r w:rsidRPr="00EC0229">
        <w:fldChar w:fldCharType="begin"/>
      </w:r>
      <w:r w:rsidRPr="00EC0229">
        <w:instrText xml:space="preserve"> XE "</w:instrText>
      </w:r>
      <w:r w:rsidRPr="00EC0229">
        <w:rPr>
          <w:rStyle w:val="Hyperlink"/>
          <w:rFonts w:eastAsia="Times New Roman"/>
          <w:noProof/>
          <w:u w:val="none"/>
          <w:lang w:eastAsia="en-GB"/>
        </w:rPr>
        <w:instrText>Cottam</w:instrText>
      </w:r>
      <w:r w:rsidRPr="00EC0229">
        <w:instrText xml:space="preserve">" </w:instrText>
      </w:r>
      <w:r w:rsidRPr="00EC0229">
        <w:fldChar w:fldCharType="end"/>
      </w:r>
      <w:r w:rsidRPr="00EC0229">
        <w:t>, is close to the junction of the Driffield</w:t>
      </w:r>
      <w:r w:rsidRPr="00EC0229">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fldChar w:fldCharType="end"/>
      </w:r>
      <w:r w:rsidRPr="00EC0229">
        <w:t>-West Heslerton</w:t>
      </w:r>
      <w:r w:rsidRPr="00EC0229">
        <w:fldChar w:fldCharType="begin"/>
      </w:r>
      <w:r w:rsidRPr="00EC0229">
        <w:instrText xml:space="preserve"> XE "</w:instrText>
      </w:r>
      <w:r w:rsidRPr="00EC0229">
        <w:rPr>
          <w:rStyle w:val="Hyperlink"/>
          <w:noProof/>
          <w:u w:val="none"/>
        </w:rPr>
        <w:instrText>West Heslerton</w:instrText>
      </w:r>
      <w:r w:rsidRPr="00EC0229">
        <w:instrText xml:space="preserve">" </w:instrText>
      </w:r>
      <w:r w:rsidRPr="00EC0229">
        <w:fldChar w:fldCharType="end"/>
      </w:r>
      <w:r w:rsidRPr="00EC0229">
        <w:t xml:space="preserve"> track and Roman</w:t>
      </w:r>
      <w:r w:rsidRPr="00EC0229">
        <w:fldChar w:fldCharType="begin"/>
      </w:r>
      <w:r w:rsidRPr="00EC0229">
        <w:instrText xml:space="preserve"> XE "Roman" </w:instrText>
      </w:r>
      <w:r w:rsidRPr="00EC0229">
        <w:fldChar w:fldCharType="end"/>
      </w:r>
      <w:r w:rsidRPr="00EC0229">
        <w:t xml:space="preserve"> High Street, from Sledmere</w:t>
      </w:r>
      <w:r w:rsidRPr="00EC0229">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fldChar w:fldCharType="end"/>
      </w:r>
      <w:r w:rsidRPr="00EC0229">
        <w:t xml:space="preserve"> to Langtoft (joining the </w:t>
      </w:r>
      <w:r w:rsidRPr="00EC0229">
        <w:rPr>
          <w:rFonts w:eastAsia="Times New Roman" w:cs="Times New Roman"/>
          <w:iCs/>
          <w:szCs w:val="24"/>
          <w:lang w:eastAsia="en-GB"/>
        </w:rPr>
        <w:t xml:space="preserve">Driffield-Scarborough road), along which there are ancient burial mounds. </w:t>
      </w:r>
    </w:p>
    <w:p w14:paraId="512B3B33" w14:textId="77777777" w:rsidR="00071F47" w:rsidRPr="00EC0229" w:rsidRDefault="00071F47" w:rsidP="007600EA">
      <w:pPr>
        <w:pStyle w:val="NoSpacing"/>
        <w:spacing w:line="360" w:lineRule="auto"/>
        <w:rPr>
          <w:rFonts w:eastAsia="Times New Roman" w:cs="Times New Roman"/>
          <w:iCs/>
          <w:szCs w:val="24"/>
          <w:lang w:eastAsia="en-GB"/>
        </w:rPr>
      </w:pPr>
    </w:p>
    <w:p w14:paraId="028AF3D0" w14:textId="795AE28A" w:rsidR="00071F47" w:rsidRPr="00EC0229" w:rsidRDefault="00071F47" w:rsidP="007600EA">
      <w:pPr>
        <w:pStyle w:val="NoSpacing"/>
        <w:spacing w:line="360" w:lineRule="auto"/>
        <w:rPr>
          <w:rFonts w:eastAsia="Times New Roman" w:cs="Times New Roman"/>
          <w:iCs/>
          <w:szCs w:val="24"/>
          <w:lang w:eastAsia="en-GB"/>
        </w:rPr>
      </w:pPr>
      <w:r w:rsidRPr="00EC0229">
        <w:rPr>
          <w:rFonts w:eastAsia="Times New Roman" w:cs="Times New Roman"/>
          <w:iCs/>
          <w:szCs w:val="24"/>
          <w:lang w:eastAsia="en-GB"/>
        </w:rPr>
        <w:t>The four sceats and fourteen stycas recorded on ADS have been augmented by recent detector finds some of which are recorded on PAS</w:t>
      </w:r>
      <w:r w:rsidRPr="00EC0229">
        <w:rPr>
          <w:rFonts w:eastAsia="Times New Roman" w:cs="Times New Roman"/>
          <w:iCs/>
          <w:szCs w:val="24"/>
          <w:lang w:eastAsia="en-GB"/>
        </w:rPr>
        <w:fldChar w:fldCharType="begin"/>
      </w:r>
      <w:r w:rsidRPr="00EC0229">
        <w:instrText xml:space="preserve"> XE "PAS"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szCs w:val="24"/>
          <w:lang w:eastAsia="en-GB"/>
        </w:rPr>
        <w:footnoteReference w:id="1052"/>
      </w:r>
      <w:r w:rsidRPr="00EC0229">
        <w:rPr>
          <w:rFonts w:eastAsia="Times New Roman" w:cs="Times New Roman"/>
          <w:iCs/>
          <w:szCs w:val="24"/>
          <w:lang w:eastAsia="en-GB"/>
        </w:rPr>
        <w:t xml:space="preserve"> This assemblage includes three Series J sceats (two of which are pristine), [5a], two secondary Series</w:t>
      </w:r>
      <w:r w:rsidRPr="00EC0229">
        <w:rPr>
          <w:rFonts w:eastAsia="Times New Roman" w:cs="Times New Roman"/>
          <w:iCs/>
          <w:szCs w:val="24"/>
          <w:lang w:eastAsia="en-GB"/>
        </w:rPr>
        <w:fldChar w:fldCharType="begin"/>
      </w:r>
      <w:r w:rsidRPr="00EC0229">
        <w:instrText xml:space="preserve"> XE "Series"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E</w:t>
      </w:r>
      <w:r w:rsidRPr="00EC0229">
        <w:rPr>
          <w:rFonts w:eastAsia="Times New Roman" w:cs="Times New Roman"/>
          <w:iCs/>
          <w:szCs w:val="24"/>
          <w:lang w:eastAsia="en-GB"/>
        </w:rPr>
        <w:fldChar w:fldCharType="begin"/>
      </w:r>
      <w:r w:rsidRPr="00EC0229">
        <w:instrText xml:space="preserve"> XE "Series 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rStyle w:val="FootnoteReference"/>
          <w:rFonts w:eastAsia="Times New Roman" w:cs="Times New Roman"/>
          <w:szCs w:val="24"/>
          <w:lang w:eastAsia="en-GB"/>
        </w:rPr>
        <w:footnoteReference w:id="1053"/>
      </w:r>
      <w:r w:rsidRPr="00EC0229">
        <w:rPr>
          <w:rFonts w:eastAsia="Times New Roman" w:cs="Times New Roman"/>
          <w:iCs/>
          <w:szCs w:val="24"/>
          <w:lang w:eastAsia="en-GB"/>
        </w:rPr>
        <w:t xml:space="preserve"> [5c], and the now customary single specimen of Series Q</w:t>
      </w:r>
      <w:r w:rsidRPr="00EC0229">
        <w:rPr>
          <w:rFonts w:eastAsia="Times New Roman" w:cs="Times New Roman"/>
          <w:iCs/>
          <w:szCs w:val="24"/>
          <w:lang w:eastAsia="en-GB"/>
        </w:rPr>
        <w:fldChar w:fldCharType="begin"/>
      </w:r>
      <w:r w:rsidRPr="00EC0229">
        <w:instrText xml:space="preserve"> XE "Series Q"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_Ref430248956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noProof/>
        </w:rPr>
        <w:t>Figure</w:t>
      </w:r>
      <w:r w:rsidR="0012026B" w:rsidRPr="0012026B">
        <w:t xml:space="preserve"> 118</w:t>
      </w:r>
      <w:r w:rsidRPr="00EC0229">
        <w:rPr>
          <w:rFonts w:eastAsia="Times New Roman" w:cs="Times New Roman"/>
          <w:iCs/>
          <w:szCs w:val="24"/>
          <w:lang w:eastAsia="en-GB"/>
        </w:rPr>
        <w:fldChar w:fldCharType="end"/>
      </w:r>
      <w:r w:rsidRPr="00EC0229">
        <w:rPr>
          <w:rFonts w:eastAsia="Times New Roman" w:cs="Times New Roman"/>
          <w:iCs/>
          <w:szCs w:val="24"/>
          <w:lang w:eastAsia="en-GB"/>
        </w:rPr>
        <w:t>), [5b], whose close affinities with the Series Y fantastic animal and rich iconography</w:t>
      </w:r>
      <w:r w:rsidRPr="00EC0229">
        <w:rPr>
          <w:rFonts w:eastAsia="Times New Roman" w:cs="Times New Roman"/>
          <w:iCs/>
          <w:szCs w:val="24"/>
          <w:lang w:eastAsia="en-GB"/>
        </w:rPr>
        <w:fldChar w:fldCharType="begin"/>
      </w:r>
      <w:r w:rsidRPr="00EC0229">
        <w:instrText xml:space="preserve"> XE "iconography"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shows its propaganda rôle to be at least as important as the economic. There is one exotic species – a scarce runic bust/annulet cross type (</w:t>
      </w:r>
      <w:r w:rsidRPr="00EC0229">
        <w:rPr>
          <w:rFonts w:eastAsia="Times New Roman" w:cs="Times New Roman"/>
          <w:i/>
          <w:iCs/>
          <w:szCs w:val="24"/>
          <w:lang w:eastAsia="en-GB"/>
        </w:rPr>
        <w:t>SL</w:t>
      </w:r>
      <w:r w:rsidRPr="00EC0229">
        <w:rPr>
          <w:rFonts w:eastAsia="Times New Roman" w:cs="Times New Roman"/>
          <w:iCs/>
          <w:szCs w:val="24"/>
          <w:lang w:eastAsia="en-GB"/>
        </w:rPr>
        <w:t xml:space="preserve"> 14-20), [5b], and only one Northumbrian sceat, of Eadberht, [N6]</w:t>
      </w:r>
      <w:r w:rsidRPr="00EC0229">
        <w:rPr>
          <w:rFonts w:eastAsia="Times New Roman" w:cs="Times New Roman"/>
          <w:iCs/>
          <w:szCs w:val="24"/>
          <w:lang w:eastAsia="en-GB"/>
        </w:rPr>
        <w:fldChar w:fldCharType="begin"/>
      </w:r>
      <w:r w:rsidRPr="00EC0229">
        <w:instrText xml:space="preserve"> XE "Eadberht"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This contrast with Cottam</w:t>
      </w:r>
      <w:r w:rsidRPr="00EC0229">
        <w:rPr>
          <w:rFonts w:eastAsia="Times New Roman" w:cs="Times New Roman"/>
          <w:iCs/>
          <w:szCs w:val="24"/>
          <w:lang w:eastAsia="en-GB"/>
        </w:rPr>
        <w:fldChar w:fldCharType="begin"/>
      </w:r>
      <w:r w:rsidRPr="00EC0229">
        <w:instrText xml:space="preserve"> XE "</w:instrText>
      </w:r>
      <w:r w:rsidRPr="00EC0229">
        <w:rPr>
          <w:rStyle w:val="Hyperlink"/>
          <w:rFonts w:eastAsia="Times New Roman"/>
          <w:noProof/>
          <w:u w:val="none"/>
          <w:lang w:eastAsia="en-GB"/>
        </w:rPr>
        <w:instrText>Cottam</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which is favoured with only Northumbrian sceats, may not be of consequence in such a small sample but could conceivably be construed as a difference in site function.</w:t>
      </w:r>
    </w:p>
    <w:p w14:paraId="27B835B3" w14:textId="77777777" w:rsidR="00071F47" w:rsidRPr="00EC0229" w:rsidRDefault="00071F47" w:rsidP="007600EA">
      <w:pPr>
        <w:pStyle w:val="NoSpacing"/>
        <w:spacing w:line="360" w:lineRule="auto"/>
        <w:jc w:val="center"/>
        <w:rPr>
          <w:rFonts w:eastAsia="Times New Roman" w:cs="Times New Roman"/>
          <w:color w:val="0000FF"/>
          <w:szCs w:val="24"/>
          <w:lang w:eastAsia="en-GB"/>
        </w:rPr>
      </w:pPr>
      <w:r w:rsidRPr="00EC0229">
        <w:rPr>
          <w:noProof/>
          <w:szCs w:val="24"/>
          <w:lang w:eastAsia="en-GB"/>
        </w:rPr>
        <w:drawing>
          <wp:inline distT="0" distB="0" distL="0" distR="0" wp14:anchorId="6516B9B3" wp14:editId="33DEF5F3">
            <wp:extent cx="762000" cy="778809"/>
            <wp:effectExtent l="0" t="0" r="0" b="254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eries Q 301366.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769466" cy="786440"/>
                    </a:xfrm>
                    <a:prstGeom prst="rect">
                      <a:avLst/>
                    </a:prstGeom>
                  </pic:spPr>
                </pic:pic>
              </a:graphicData>
            </a:graphic>
          </wp:inline>
        </w:drawing>
      </w:r>
      <w:r w:rsidRPr="00EC0229">
        <w:rPr>
          <w:noProof/>
          <w:szCs w:val="24"/>
          <w:lang w:eastAsia="en-GB"/>
        </w:rPr>
        <w:drawing>
          <wp:inline distT="0" distB="0" distL="0" distR="0" wp14:anchorId="0B8E30AA" wp14:editId="68EDA4E0">
            <wp:extent cx="784860" cy="796402"/>
            <wp:effectExtent l="0" t="0" r="0" b="381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eries Q 301366 r.jp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795767" cy="807470"/>
                    </a:xfrm>
                    <a:prstGeom prst="rect">
                      <a:avLst/>
                    </a:prstGeom>
                  </pic:spPr>
                </pic:pic>
              </a:graphicData>
            </a:graphic>
          </wp:inline>
        </w:drawing>
      </w:r>
    </w:p>
    <w:p w14:paraId="60F0E447" w14:textId="69B66073" w:rsidR="00071F47" w:rsidRPr="00EC0229" w:rsidRDefault="00071F47" w:rsidP="007600EA">
      <w:pPr>
        <w:pStyle w:val="NoSpacing"/>
        <w:spacing w:line="360" w:lineRule="auto"/>
        <w:jc w:val="center"/>
        <w:rPr>
          <w:sz w:val="20"/>
          <w:szCs w:val="20"/>
        </w:rPr>
      </w:pPr>
      <w:bookmarkStart w:id="713" w:name="_Ref430248956"/>
      <w:bookmarkStart w:id="714" w:name="_Toc46826709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118</w:t>
      </w:r>
      <w:r w:rsidRPr="00EC0229">
        <w:rPr>
          <w:sz w:val="20"/>
          <w:szCs w:val="20"/>
        </w:rPr>
        <w:fldChar w:fldCharType="end"/>
      </w:r>
      <w:bookmarkEnd w:id="713"/>
      <w:r w:rsidRPr="00EC0229">
        <w:rPr>
          <w:sz w:val="20"/>
          <w:szCs w:val="20"/>
        </w:rPr>
        <w:t>: Cowlam</w:t>
      </w:r>
      <w:r w:rsidRPr="00EC0229">
        <w:rPr>
          <w:sz w:val="20"/>
          <w:szCs w:val="20"/>
        </w:rPr>
        <w:fldChar w:fldCharType="begin"/>
      </w:r>
      <w:r w:rsidRPr="00EC0229">
        <w:rPr>
          <w:sz w:val="20"/>
          <w:szCs w:val="20"/>
        </w:rPr>
        <w:instrText xml:space="preserve"> XE "Cowlam" </w:instrText>
      </w:r>
      <w:r w:rsidRPr="00EC0229">
        <w:rPr>
          <w:sz w:val="20"/>
          <w:szCs w:val="20"/>
        </w:rPr>
        <w:fldChar w:fldCharType="end"/>
      </w:r>
      <w:r w:rsidRPr="00EC0229">
        <w:rPr>
          <w:sz w:val="20"/>
          <w:szCs w:val="20"/>
        </w:rPr>
        <w:t>: L: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Q</w:t>
      </w:r>
      <w:bookmarkEnd w:id="714"/>
      <w:r w:rsidRPr="00EC0229">
        <w:rPr>
          <w:sz w:val="20"/>
          <w:szCs w:val="20"/>
        </w:rPr>
        <w:fldChar w:fldCharType="begin"/>
      </w:r>
      <w:r w:rsidRPr="00EC0229">
        <w:rPr>
          <w:sz w:val="20"/>
          <w:szCs w:val="20"/>
        </w:rPr>
        <w:instrText xml:space="preserve"> XE "Series Q" </w:instrText>
      </w:r>
      <w:r w:rsidRPr="00EC0229">
        <w:rPr>
          <w:sz w:val="20"/>
          <w:szCs w:val="20"/>
        </w:rPr>
        <w:fldChar w:fldCharType="end"/>
      </w:r>
    </w:p>
    <w:p w14:paraId="147256E1" w14:textId="77777777" w:rsidR="00071F47" w:rsidRPr="00EC0229" w:rsidRDefault="00071F47" w:rsidP="007600EA">
      <w:pPr>
        <w:pStyle w:val="NoSpacing"/>
        <w:spacing w:line="360" w:lineRule="auto"/>
        <w:jc w:val="center"/>
        <w:rPr>
          <w:sz w:val="20"/>
          <w:szCs w:val="20"/>
        </w:rPr>
      </w:pPr>
      <w:r w:rsidRPr="00EC0229">
        <w:rPr>
          <w:sz w:val="20"/>
          <w:szCs w:val="20"/>
        </w:rPr>
        <w:lastRenderedPageBreak/>
        <w:t>(Courtesy PAS</w:t>
      </w:r>
      <w:r w:rsidRPr="00EC0229">
        <w:rPr>
          <w:sz w:val="20"/>
          <w:szCs w:val="20"/>
        </w:rPr>
        <w:fldChar w:fldCharType="begin"/>
      </w:r>
      <w:r w:rsidRPr="00EC0229">
        <w:rPr>
          <w:sz w:val="20"/>
          <w:szCs w:val="20"/>
        </w:rPr>
        <w:instrText xml:space="preserve"> XE "PAS" </w:instrText>
      </w:r>
      <w:r w:rsidRPr="00EC0229">
        <w:rPr>
          <w:sz w:val="20"/>
          <w:szCs w:val="20"/>
        </w:rPr>
        <w:fldChar w:fldCharType="end"/>
      </w:r>
      <w:r w:rsidRPr="00EC0229">
        <w:rPr>
          <w:sz w:val="20"/>
          <w:szCs w:val="20"/>
        </w:rPr>
        <w:t xml:space="preserve"> FAKL-166CD8), SL 64-110</w:t>
      </w:r>
    </w:p>
    <w:p w14:paraId="017BBC7A" w14:textId="77777777" w:rsidR="00071F47" w:rsidRPr="00EC0229" w:rsidRDefault="00071F47" w:rsidP="007600EA">
      <w:pPr>
        <w:pStyle w:val="NoSpacing"/>
        <w:spacing w:line="360" w:lineRule="auto"/>
      </w:pPr>
    </w:p>
    <w:p w14:paraId="02FA336B" w14:textId="319483FE" w:rsidR="00071F47" w:rsidRPr="00EC0229" w:rsidRDefault="00071F47" w:rsidP="007600EA">
      <w:pPr>
        <w:pStyle w:val="NoSpacing"/>
        <w:spacing w:line="360" w:lineRule="auto"/>
        <w:rPr>
          <w:color w:val="000000" w:themeColor="text1"/>
        </w:rPr>
      </w:pPr>
      <w:r w:rsidRPr="00EC0229">
        <w:rPr>
          <w:rFonts w:eastAsia="Times New Roman" w:cs="Times New Roman"/>
          <w:iCs/>
          <w:color w:val="000000" w:themeColor="text1"/>
          <w:szCs w:val="24"/>
          <w:lang w:eastAsia="en-GB"/>
        </w:rPr>
        <w:t>There are three silver-alloy</w:t>
      </w:r>
      <w:r w:rsidRPr="00EC0229">
        <w:rPr>
          <w:rFonts w:eastAsia="Times New Roman" w:cs="Times New Roman"/>
          <w:iCs/>
          <w:color w:val="000000" w:themeColor="text1"/>
          <w:szCs w:val="24"/>
          <w:lang w:eastAsia="en-GB"/>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 xml:space="preserve"> coins of Eanred</w:t>
      </w:r>
      <w:r w:rsidRPr="00EC0229">
        <w:rPr>
          <w:rFonts w:eastAsia="Times New Roman" w:cs="Times New Roman"/>
          <w:iCs/>
          <w:color w:val="000000" w:themeColor="text1"/>
          <w:szCs w:val="24"/>
          <w:lang w:eastAsia="en-GB"/>
        </w:rPr>
        <w:fldChar w:fldCharType="begin"/>
      </w:r>
      <w:r w:rsidRPr="00EC0229">
        <w:instrText xml:space="preserve"> XE "Eanred" </w:instrTex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 xml:space="preserve"> (but no Eanbald</w:t>
      </w:r>
      <w:r w:rsidRPr="00EC0229">
        <w:rPr>
          <w:rFonts w:eastAsia="Times New Roman" w:cs="Times New Roman"/>
          <w:iCs/>
          <w:color w:val="000000" w:themeColor="text1"/>
          <w:szCs w:val="24"/>
          <w:lang w:eastAsia="en-GB"/>
        </w:rPr>
        <w:fldChar w:fldCharType="begin"/>
      </w:r>
      <w:r w:rsidRPr="00EC0229">
        <w:instrText xml:space="preserve"> XE "Eanbald" </w:instrTex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 xml:space="preserve"> II), [N9], and the base stycas include all the issuers of these.</w:t>
      </w:r>
      <w:r w:rsidR="00D9456C">
        <w:rPr>
          <w:rFonts w:eastAsia="Times New Roman" w:cs="Times New Roman"/>
          <w:iCs/>
          <w:color w:val="000000" w:themeColor="text1"/>
          <w:szCs w:val="24"/>
          <w:lang w:eastAsia="en-GB"/>
        </w:rPr>
        <w:t xml:space="preserve"> </w:t>
      </w:r>
      <w:r w:rsidR="00D9456C">
        <w:t xml:space="preserve">See </w:t>
      </w:r>
      <w:r w:rsidR="00D9456C" w:rsidRPr="00A07A08">
        <w:rPr>
          <w:i/>
        </w:rPr>
        <w:t>Graph 7.</w:t>
      </w:r>
      <w:r w:rsidR="00D9456C">
        <w:rPr>
          <w:i/>
        </w:rPr>
        <w:t>04 no. 20</w:t>
      </w:r>
      <w:r w:rsidR="00D9456C">
        <w:t>.</w:t>
      </w:r>
    </w:p>
    <w:p w14:paraId="1A14C864" w14:textId="77777777" w:rsidR="00071F47" w:rsidRPr="00EC0229" w:rsidRDefault="00071F47" w:rsidP="007600EA">
      <w:pPr>
        <w:spacing w:line="360" w:lineRule="auto"/>
      </w:pPr>
    </w:p>
    <w:p w14:paraId="61BC7FCC" w14:textId="37853E64" w:rsidR="00854613" w:rsidRPr="007A3166" w:rsidRDefault="00854613" w:rsidP="00C97BF2">
      <w:pPr>
        <w:pStyle w:val="Heading4"/>
        <w:spacing w:line="360" w:lineRule="auto"/>
        <w:rPr>
          <w:b/>
        </w:rPr>
      </w:pPr>
      <w:bookmarkStart w:id="715" w:name="_Toc468266893"/>
      <w:r w:rsidRPr="007A3166">
        <w:rPr>
          <w:b/>
        </w:rPr>
        <w:t>Burdale</w:t>
      </w:r>
      <w:bookmarkEnd w:id="715"/>
      <w:r w:rsidR="006B1593" w:rsidRPr="007A3166">
        <w:rPr>
          <w:b/>
        </w:rPr>
        <w:fldChar w:fldCharType="begin"/>
      </w:r>
      <w:r w:rsidR="006B1593" w:rsidRPr="007A3166">
        <w:rPr>
          <w:b/>
        </w:rPr>
        <w:instrText xml:space="preserve"> XE "</w:instrText>
      </w:r>
      <w:r w:rsidR="006B1593" w:rsidRPr="007A3166">
        <w:rPr>
          <w:rStyle w:val="Hyperlink"/>
          <w:b/>
          <w:noProof/>
          <w:u w:val="none"/>
        </w:rPr>
        <w:instrText>Burdale</w:instrText>
      </w:r>
      <w:r w:rsidR="006B1593" w:rsidRPr="007A3166">
        <w:rPr>
          <w:b/>
        </w:rPr>
        <w:instrText xml:space="preserve">" </w:instrText>
      </w:r>
      <w:r w:rsidR="006B1593" w:rsidRPr="007A3166">
        <w:rPr>
          <w:b/>
        </w:rPr>
        <w:fldChar w:fldCharType="end"/>
      </w:r>
    </w:p>
    <w:bookmarkEnd w:id="692"/>
    <w:p w14:paraId="177F9445" w14:textId="61F72108" w:rsidR="00854613" w:rsidRPr="00EC0229" w:rsidRDefault="00854613" w:rsidP="007600EA">
      <w:pPr>
        <w:pStyle w:val="NoSpacing"/>
        <w:spacing w:line="360" w:lineRule="auto"/>
      </w:pPr>
      <w:r w:rsidRPr="00EC0229">
        <w:rPr>
          <w:rFonts w:cs="Times New Roman"/>
          <w:szCs w:val="24"/>
        </w:rPr>
        <w:t>Burdale</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Burdale</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is situated south of Wharram Percy</w:t>
      </w:r>
      <w:r w:rsidR="006B1593" w:rsidRPr="00EC0229">
        <w:rPr>
          <w:rFonts w:cs="Times New Roman"/>
          <w:szCs w:val="24"/>
        </w:rPr>
        <w:fldChar w:fldCharType="begin"/>
      </w:r>
      <w:r w:rsidR="006B1593" w:rsidRPr="00EC0229">
        <w:instrText xml:space="preserve"> XE "</w:instrText>
      </w:r>
      <w:r w:rsidR="006B1593" w:rsidRPr="00EC0229">
        <w:rPr>
          <w:rStyle w:val="Hyperlink"/>
          <w:noProof/>
          <w:u w:val="none"/>
        </w:rPr>
        <w:instrText>Wharram Percy</w:instrText>
      </w:r>
      <w:r w:rsidR="006B1593" w:rsidRPr="00EC0229">
        <w:instrText xml:space="preserve">" </w:instrText>
      </w:r>
      <w:r w:rsidR="006B1593" w:rsidRPr="00EC0229">
        <w:rPr>
          <w:rFonts w:cs="Times New Roman"/>
          <w:szCs w:val="24"/>
        </w:rPr>
        <w:fldChar w:fldCharType="end"/>
      </w:r>
      <w:r w:rsidRPr="00EC0229">
        <w:rPr>
          <w:rFonts w:cs="Times New Roman"/>
          <w:szCs w:val="24"/>
        </w:rPr>
        <w:t xml:space="preserve">, between two tributaries of the dry valley running from Thixendale to Fimber. </w:t>
      </w:r>
      <w:r w:rsidR="00C10566" w:rsidRPr="00EC0229">
        <w:rPr>
          <w:rFonts w:cs="Times New Roman"/>
          <w:szCs w:val="24"/>
        </w:rPr>
        <w:t>W</w:t>
      </w:r>
      <w:r w:rsidRPr="00EC0229">
        <w:rPr>
          <w:rFonts w:cs="Times New Roman"/>
          <w:szCs w:val="24"/>
        </w:rPr>
        <w:t>e are</w:t>
      </w:r>
      <w:r w:rsidR="00C10566" w:rsidRPr="00EC0229">
        <w:rPr>
          <w:rFonts w:cs="Times New Roman"/>
          <w:szCs w:val="24"/>
        </w:rPr>
        <w:t>, to too great an extent,</w:t>
      </w:r>
      <w:r w:rsidRPr="00EC0229">
        <w:rPr>
          <w:rFonts w:cs="Times New Roman"/>
          <w:szCs w:val="24"/>
        </w:rPr>
        <w:t xml:space="preserve"> relian</w:t>
      </w:r>
      <w:r w:rsidR="00C10566" w:rsidRPr="00EC0229">
        <w:rPr>
          <w:rFonts w:cs="Times New Roman"/>
          <w:szCs w:val="24"/>
        </w:rPr>
        <w:t xml:space="preserve">t on what can be reconstructed </w:t>
      </w:r>
      <w:r w:rsidRPr="00EC0229">
        <w:rPr>
          <w:rFonts w:cs="Times New Roman"/>
          <w:szCs w:val="24"/>
        </w:rPr>
        <w:t>of a rich site, after the depredations of illicit detec</w:t>
      </w:r>
      <w:r w:rsidR="003A7752" w:rsidRPr="00EC0229">
        <w:rPr>
          <w:rFonts w:cs="Times New Roman"/>
          <w:szCs w:val="24"/>
        </w:rPr>
        <w:t xml:space="preserve">ting activity over many years: </w:t>
      </w:r>
      <w:r w:rsidRPr="00EC0229">
        <w:rPr>
          <w:rFonts w:cs="Times New Roman"/>
          <w:szCs w:val="24"/>
        </w:rPr>
        <w:t>most of the metal detecting has been illegal 'night-hawking', focussed on the eastern end of the valley away from Bur</w:t>
      </w:r>
      <w:r w:rsidR="003A7752" w:rsidRPr="00EC0229">
        <w:rPr>
          <w:rFonts w:cs="Times New Roman"/>
          <w:szCs w:val="24"/>
        </w:rPr>
        <w:t>dale House Farm. It is alleged,</w:t>
      </w:r>
      <w:r w:rsidR="003A7752" w:rsidRPr="00EC0229">
        <w:rPr>
          <w:rStyle w:val="FootnoteReference"/>
          <w:rFonts w:cs="Times New Roman"/>
          <w:szCs w:val="24"/>
        </w:rPr>
        <w:footnoteReference w:id="1054"/>
      </w:r>
      <w:r w:rsidRPr="00EC0229">
        <w:rPr>
          <w:rFonts w:cs="Times New Roman"/>
          <w:szCs w:val="24"/>
        </w:rPr>
        <w:t xml:space="preserve"> that ‘this has produced material from the 1st century </w:t>
      </w:r>
      <w:r w:rsidRPr="00EC0229">
        <w:rPr>
          <w:rFonts w:cs="Times New Roman"/>
          <w:sz w:val="20"/>
          <w:szCs w:val="20"/>
        </w:rPr>
        <w:t>AD</w:t>
      </w:r>
      <w:r w:rsidRPr="00EC0229">
        <w:rPr>
          <w:rFonts w:cs="Times New Roman"/>
          <w:szCs w:val="24"/>
        </w:rPr>
        <w:t xml:space="preserve"> to the 8th century </w:t>
      </w:r>
      <w:r w:rsidRPr="00EC0229">
        <w:rPr>
          <w:rFonts w:cs="Times New Roman"/>
          <w:sz w:val="20"/>
          <w:szCs w:val="20"/>
        </w:rPr>
        <w:t>AD</w:t>
      </w:r>
      <w:r w:rsidRPr="00EC0229">
        <w:rPr>
          <w:rFonts w:cs="Times New Roman"/>
          <w:szCs w:val="24"/>
        </w:rPr>
        <w:t>, including large numbers of Anglo-Saxon</w:t>
      </w:r>
      <w:r w:rsidR="00F204A1" w:rsidRPr="00EC0229">
        <w:rPr>
          <w:rFonts w:cs="Times New Roman"/>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rFonts w:cs="Times New Roman"/>
          <w:szCs w:val="24"/>
        </w:rPr>
        <w:fldChar w:fldCharType="end"/>
      </w:r>
      <w:r w:rsidRPr="00EC0229">
        <w:rPr>
          <w:rFonts w:cs="Times New Roman"/>
          <w:szCs w:val="24"/>
        </w:rPr>
        <w:t xml:space="preserve"> silver sceatta</w:t>
      </w:r>
      <w:r w:rsidR="00D142DC" w:rsidRPr="00EC0229">
        <w:rPr>
          <w:rFonts w:cs="Times New Roman"/>
          <w:szCs w:val="24"/>
        </w:rPr>
        <w:fldChar w:fldCharType="begin"/>
      </w:r>
      <w:r w:rsidR="00D142DC" w:rsidRPr="00EC0229">
        <w:instrText xml:space="preserve"> XE "sceatta" </w:instrText>
      </w:r>
      <w:r w:rsidR="00D142DC" w:rsidRPr="00EC0229">
        <w:rPr>
          <w:rFonts w:cs="Times New Roman"/>
          <w:szCs w:val="24"/>
        </w:rPr>
        <w:fldChar w:fldCharType="end"/>
      </w:r>
      <w:r w:rsidRPr="00EC0229">
        <w:rPr>
          <w:rFonts w:cs="Times New Roman"/>
          <w:szCs w:val="24"/>
        </w:rPr>
        <w:t xml:space="preserve"> (sic), a dispersed styca hoard, and Anglo-Saxon gold</w:t>
      </w:r>
      <w:r w:rsidR="008960AE" w:rsidRPr="00EC0229">
        <w:rPr>
          <w:rFonts w:cs="Times New Roman"/>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rFonts w:cs="Times New Roman"/>
          <w:szCs w:val="24"/>
        </w:rPr>
        <w:fldChar w:fldCharType="end"/>
      </w:r>
      <w:r w:rsidRPr="00EC0229">
        <w:rPr>
          <w:rFonts w:cs="Times New Roman"/>
          <w:szCs w:val="24"/>
        </w:rPr>
        <w:t xml:space="preserve"> coins.’</w:t>
      </w:r>
      <w:r w:rsidRPr="00EC0229">
        <w:rPr>
          <w:rStyle w:val="FootnoteReference"/>
          <w:rFonts w:cs="Times New Roman"/>
          <w:szCs w:val="24"/>
        </w:rPr>
        <w:footnoteReference w:id="1055"/>
      </w:r>
      <w:r w:rsidRPr="00EC0229">
        <w:rPr>
          <w:rFonts w:cs="Times New Roman"/>
          <w:szCs w:val="24"/>
        </w:rPr>
        <w:t xml:space="preserve"> This loss to the formal record has been exacerbated by surreptitious disposal so that there is little informal data to be farmed. As</w:t>
      </w:r>
      <w:r w:rsidR="003A7752" w:rsidRPr="00EC0229">
        <w:rPr>
          <w:rFonts w:cs="Times New Roman"/>
          <w:szCs w:val="24"/>
        </w:rPr>
        <w:t xml:space="preserve"> regards the alleged gold coins: </w:t>
      </w:r>
      <w:r w:rsidRPr="00EC0229">
        <w:rPr>
          <w:rFonts w:eastAsia="Times New Roman" w:cs="Times New Roman"/>
          <w:szCs w:val="24"/>
          <w:lang w:eastAsia="en-GB"/>
        </w:rPr>
        <w:t>‘</w:t>
      </w:r>
      <w:r w:rsidRPr="00EC0229">
        <w:rPr>
          <w:lang w:eastAsia="en-GB"/>
        </w:rPr>
        <w:t>The illegal detecting was carried out by knowledgeable and proficient people…in the recent past something of significant importance has been unearthed.’</w:t>
      </w:r>
      <w:r w:rsidRPr="00EC0229">
        <w:rPr>
          <w:rStyle w:val="FootnoteReference"/>
          <w:rFonts w:eastAsia="Times New Roman" w:cs="Times New Roman"/>
          <w:szCs w:val="24"/>
          <w:lang w:eastAsia="en-GB"/>
        </w:rPr>
        <w:footnoteReference w:id="1056"/>
      </w:r>
    </w:p>
    <w:p w14:paraId="1467E8C5" w14:textId="77777777" w:rsidR="00854613" w:rsidRPr="00EC0229" w:rsidRDefault="00854613" w:rsidP="007600EA">
      <w:pPr>
        <w:pStyle w:val="NoSpacing"/>
        <w:spacing w:line="360" w:lineRule="auto"/>
      </w:pPr>
    </w:p>
    <w:p w14:paraId="71598EE7" w14:textId="02B2AEDE" w:rsidR="00854613" w:rsidRPr="00EC0229" w:rsidRDefault="00854613" w:rsidP="007600EA">
      <w:pPr>
        <w:pStyle w:val="NoSpacing"/>
        <w:spacing w:line="360" w:lineRule="auto"/>
        <w:rPr>
          <w:rFonts w:eastAsia="Times New Roman" w:cs="Times New Roman"/>
          <w:szCs w:val="24"/>
          <w:lang w:eastAsia="en-GB"/>
        </w:rPr>
      </w:pPr>
      <w:r w:rsidRPr="00EC0229">
        <w:t>Anglian</w:t>
      </w:r>
      <w:r w:rsidR="00D142DC" w:rsidRPr="00EC0229">
        <w:fldChar w:fldCharType="begin"/>
      </w:r>
      <w:r w:rsidR="00D142DC" w:rsidRPr="00EC0229">
        <w:instrText xml:space="preserve"> XE "Anglian" </w:instrText>
      </w:r>
      <w:r w:rsidR="00D142DC" w:rsidRPr="00EC0229">
        <w:fldChar w:fldCharType="end"/>
      </w:r>
      <w:r w:rsidR="003A7752" w:rsidRPr="00EC0229">
        <w:t xml:space="preserve"> occupation</w:t>
      </w:r>
      <w:r w:rsidRPr="00EC0229">
        <w:t xml:space="preserve"> seems to have commenced in the early eighth century before abandonment in the ninth. </w:t>
      </w:r>
      <w:r w:rsidRPr="00EC0229">
        <w:rPr>
          <w:rFonts w:eastAsia="Times New Roman" w:cs="Times New Roman"/>
          <w:szCs w:val="24"/>
          <w:lang w:eastAsia="en-GB"/>
        </w:rPr>
        <w:t>A worn Continental Primary phase sceat of Series</w:t>
      </w:r>
      <w:r w:rsidR="00D142DC" w:rsidRPr="00EC0229">
        <w:rPr>
          <w:rFonts w:eastAsia="Times New Roman" w:cs="Times New Roman"/>
          <w:szCs w:val="24"/>
          <w:lang w:eastAsia="en-GB"/>
        </w:rPr>
        <w:fldChar w:fldCharType="begin"/>
      </w:r>
      <w:r w:rsidR="00D142DC" w:rsidRPr="00EC0229">
        <w:instrText xml:space="preserve"> XE "Series"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D</w:t>
      </w:r>
      <w:r w:rsidR="008344F3" w:rsidRPr="00EC0229">
        <w:rPr>
          <w:rFonts w:eastAsia="Times New Roman" w:cs="Times New Roman"/>
          <w:szCs w:val="24"/>
          <w:lang w:eastAsia="en-GB"/>
        </w:rPr>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rPr>
          <w:rFonts w:eastAsia="Times New Roman" w:cs="Times New Roman"/>
          <w:szCs w:val="24"/>
          <w:lang w:eastAsia="en-GB"/>
        </w:rPr>
        <w:fldChar w:fldCharType="end"/>
      </w:r>
      <w:r w:rsidRPr="00EC0229">
        <w:rPr>
          <w:rFonts w:eastAsia="Times New Roman" w:cs="Times New Roman"/>
          <w:szCs w:val="24"/>
          <w:lang w:eastAsia="en-GB"/>
        </w:rPr>
        <w:t xml:space="preserve">, type 2c, </w:t>
      </w:r>
      <w:r w:rsidR="002132F1">
        <w:rPr>
          <w:rFonts w:eastAsia="Times New Roman" w:cs="Times New Roman"/>
          <w:i/>
          <w:szCs w:val="24"/>
          <w:lang w:eastAsia="en-GB"/>
        </w:rPr>
        <w:t>c.</w:t>
      </w:r>
      <w:r w:rsidRPr="00EC0229">
        <w:rPr>
          <w:rFonts w:eastAsia="Times New Roman" w:cs="Times New Roman"/>
          <w:szCs w:val="24"/>
          <w:lang w:eastAsia="en-GB"/>
        </w:rPr>
        <w:t xml:space="preserve">700-15, </w:t>
      </w:r>
      <w:r w:rsidR="008674A9" w:rsidRPr="00EC0229">
        <w:rPr>
          <w:rFonts w:eastAsia="Times New Roman" w:cs="Times New Roman"/>
          <w:szCs w:val="24"/>
          <w:lang w:eastAsia="en-GB"/>
        </w:rPr>
        <w:t xml:space="preserve">[4c], </w:t>
      </w:r>
      <w:r w:rsidRPr="00EC0229">
        <w:rPr>
          <w:rFonts w:eastAsia="Times New Roman" w:cs="Times New Roman"/>
          <w:szCs w:val="24"/>
          <w:lang w:eastAsia="en-GB"/>
        </w:rPr>
        <w:t>is accompanied by a Stepped Cross (Primary Series E</w:t>
      </w:r>
      <w:r w:rsidR="008344F3" w:rsidRPr="00EC0229">
        <w:rPr>
          <w:rFonts w:eastAsia="Times New Roman" w:cs="Times New Roman"/>
          <w:szCs w:val="24"/>
          <w:lang w:eastAsia="en-GB"/>
        </w:rPr>
        <w:fldChar w:fldCharType="begin"/>
      </w:r>
      <w:r w:rsidR="008344F3" w:rsidRPr="00EC0229">
        <w:instrText xml:space="preserve"> XE "Series E" </w:instrText>
      </w:r>
      <w:r w:rsidR="008344F3" w:rsidRPr="00EC0229">
        <w:rPr>
          <w:rFonts w:eastAsia="Times New Roman" w:cs="Times New Roman"/>
          <w:szCs w:val="24"/>
          <w:lang w:eastAsia="en-GB"/>
        </w:rPr>
        <w:fldChar w:fldCharType="end"/>
      </w:r>
      <w:r w:rsidRPr="00EC0229">
        <w:rPr>
          <w:rFonts w:eastAsia="Times New Roman" w:cs="Times New Roman"/>
          <w:szCs w:val="24"/>
          <w:lang w:eastAsia="en-GB"/>
        </w:rPr>
        <w:t xml:space="preserve">-related, </w:t>
      </w:r>
      <w:r w:rsidRPr="00EC0229">
        <w:rPr>
          <w:rFonts w:eastAsia="Times New Roman" w:cs="Times New Roman"/>
          <w:i/>
          <w:szCs w:val="24"/>
          <w:lang w:eastAsia="en-GB"/>
        </w:rPr>
        <w:t>SL</w:t>
      </w:r>
      <w:r w:rsidRPr="00EC0229">
        <w:rPr>
          <w:rFonts w:eastAsia="Times New Roman" w:cs="Times New Roman"/>
          <w:szCs w:val="24"/>
          <w:lang w:eastAsia="en-GB"/>
        </w:rPr>
        <w:t xml:space="preserve"> 91)</w:t>
      </w:r>
      <w:r w:rsidR="008674A9" w:rsidRPr="00EC0229">
        <w:rPr>
          <w:rFonts w:eastAsia="Times New Roman" w:cs="Times New Roman"/>
          <w:szCs w:val="24"/>
          <w:lang w:eastAsia="en-GB"/>
        </w:rPr>
        <w:t>, [4c],</w:t>
      </w:r>
      <w:r w:rsidRPr="00EC0229">
        <w:rPr>
          <w:rFonts w:eastAsia="Times New Roman" w:cs="Times New Roman"/>
          <w:szCs w:val="24"/>
          <w:lang w:eastAsia="en-GB"/>
        </w:rPr>
        <w:t xml:space="preserve"> in good condition to give an indicative start date of </w:t>
      </w:r>
      <w:r w:rsidR="002132F1">
        <w:rPr>
          <w:rFonts w:eastAsia="Times New Roman" w:cs="Times New Roman"/>
          <w:i/>
          <w:szCs w:val="24"/>
          <w:lang w:eastAsia="en-GB"/>
        </w:rPr>
        <w:t>c.</w:t>
      </w:r>
      <w:r w:rsidRPr="00EC0229">
        <w:rPr>
          <w:rFonts w:eastAsia="Times New Roman" w:cs="Times New Roman"/>
          <w:szCs w:val="24"/>
          <w:lang w:eastAsia="en-GB"/>
        </w:rPr>
        <w:t>710-20</w:t>
      </w:r>
      <w:r w:rsidR="00AE3115" w:rsidRPr="00EC0229">
        <w:rPr>
          <w:rFonts w:eastAsia="Times New Roman" w:cs="Times New Roman"/>
          <w:szCs w:val="24"/>
          <w:lang w:eastAsia="en-GB"/>
        </w:rPr>
        <w:t xml:space="preserve"> </w:t>
      </w:r>
      <w:r w:rsidR="00AE3115" w:rsidRPr="00EC0229">
        <w:t>(</w:t>
      </w:r>
      <w:r w:rsidR="003852DA" w:rsidRPr="00EC0229">
        <w:fldChar w:fldCharType="begin"/>
      </w:r>
      <w:r w:rsidR="003852DA" w:rsidRPr="00EC0229">
        <w:instrText xml:space="preserve"> REF _Ref430248838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119</w:t>
      </w:r>
      <w:r w:rsidR="003852DA" w:rsidRPr="00EC0229">
        <w:fldChar w:fldCharType="end"/>
      </w:r>
      <w:r w:rsidR="00AE3115" w:rsidRPr="00EC0229">
        <w:t>)</w:t>
      </w:r>
      <w:r w:rsidRPr="00EC0229">
        <w:rPr>
          <w:rFonts w:eastAsia="Times New Roman" w:cs="Times New Roman"/>
          <w:szCs w:val="24"/>
          <w:lang w:eastAsia="en-GB"/>
        </w:rPr>
        <w:t>, while a corroded, rather than worn, styca of Æthelred</w:t>
      </w:r>
      <w:r w:rsidR="00D142DC" w:rsidRPr="00EC0229">
        <w:rPr>
          <w:rFonts w:eastAsia="Times New Roman" w:cs="Times New Roman"/>
          <w:szCs w:val="24"/>
          <w:lang w:eastAsia="en-GB"/>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II is not </w:t>
      </w:r>
      <w:r w:rsidR="002132F1">
        <w:rPr>
          <w:rFonts w:eastAsia="Times New Roman" w:cs="Times New Roman"/>
          <w:i/>
          <w:szCs w:val="24"/>
          <w:lang w:eastAsia="en-GB"/>
        </w:rPr>
        <w:t>c.</w:t>
      </w:r>
      <w:r w:rsidRPr="00EC0229">
        <w:rPr>
          <w:rFonts w:eastAsia="Times New Roman" w:cs="Times New Roman"/>
          <w:szCs w:val="24"/>
          <w:lang w:eastAsia="en-GB"/>
        </w:rPr>
        <w:t xml:space="preserve">841-4 as reported, but by the restoration moneyer Eardwulf, </w:t>
      </w:r>
      <w:r w:rsidR="008674A9" w:rsidRPr="00EC0229">
        <w:rPr>
          <w:rFonts w:eastAsia="Times New Roman" w:cs="Times New Roman"/>
          <w:szCs w:val="24"/>
          <w:lang w:eastAsia="en-GB"/>
        </w:rPr>
        <w:t xml:space="preserve">[N10a], </w:t>
      </w:r>
      <w:r w:rsidRPr="00EC0229">
        <w:rPr>
          <w:rFonts w:eastAsia="Times New Roman" w:cs="Times New Roman"/>
          <w:szCs w:val="24"/>
          <w:lang w:eastAsia="en-GB"/>
        </w:rPr>
        <w:t xml:space="preserve">extending the likely dating up to </w:t>
      </w:r>
      <w:r w:rsidR="002132F1">
        <w:rPr>
          <w:rFonts w:eastAsia="Times New Roman" w:cs="Times New Roman"/>
          <w:i/>
          <w:szCs w:val="24"/>
          <w:lang w:eastAsia="en-GB"/>
        </w:rPr>
        <w:t>c.</w:t>
      </w:r>
      <w:r w:rsidRPr="00EC0229">
        <w:rPr>
          <w:rFonts w:eastAsia="Times New Roman" w:cs="Times New Roman"/>
          <w:szCs w:val="24"/>
          <w:lang w:eastAsia="en-GB"/>
        </w:rPr>
        <w:t xml:space="preserve">850. A fragmentary dirham </w:t>
      </w:r>
      <w:r w:rsidR="00A976A2" w:rsidRPr="00EC0229">
        <w:t>(BUR07: sf27)</w:t>
      </w:r>
      <w:r w:rsidRPr="00EC0229">
        <w:rPr>
          <w:rFonts w:eastAsia="Times New Roman" w:cs="Times New Roman"/>
          <w:szCs w:val="24"/>
          <w:lang w:eastAsia="en-GB"/>
        </w:rPr>
        <w:t xml:space="preserve"> from hacksilver </w:t>
      </w:r>
      <w:r w:rsidR="00A976A2" w:rsidRPr="00EC0229">
        <w:t>signals Anglo-Scandinavian activity</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1057"/>
      </w:r>
    </w:p>
    <w:p w14:paraId="13CC1CBF" w14:textId="77777777" w:rsidR="00854613" w:rsidRPr="00EC0229" w:rsidRDefault="00854613" w:rsidP="007600EA">
      <w:pPr>
        <w:pStyle w:val="NoSpacing"/>
        <w:spacing w:line="360" w:lineRule="auto"/>
        <w:rPr>
          <w:rFonts w:eastAsia="Times New Roman" w:cs="Times New Roman"/>
          <w:szCs w:val="24"/>
          <w:lang w:eastAsia="en-GB"/>
        </w:rPr>
      </w:pPr>
    </w:p>
    <w:p w14:paraId="1877835C" w14:textId="77777777" w:rsidR="00854613" w:rsidRPr="00EC0229" w:rsidRDefault="00854613" w:rsidP="007600EA">
      <w:pPr>
        <w:pStyle w:val="NoSpacing"/>
        <w:spacing w:line="360" w:lineRule="auto"/>
        <w:jc w:val="center"/>
        <w:rPr>
          <w:rFonts w:eastAsia="Times New Roman" w:cs="Times New Roman"/>
          <w:szCs w:val="24"/>
          <w:lang w:eastAsia="en-GB"/>
        </w:rPr>
      </w:pPr>
      <w:r w:rsidRPr="00EC0229">
        <w:rPr>
          <w:rFonts w:eastAsia="Times New Roman" w:cs="Times New Roman"/>
          <w:noProof/>
          <w:szCs w:val="24"/>
          <w:lang w:eastAsia="en-GB"/>
        </w:rPr>
        <w:lastRenderedPageBreak/>
        <w:drawing>
          <wp:inline distT="0" distB="0" distL="0" distR="0" wp14:anchorId="58FB1DE0" wp14:editId="34B60453">
            <wp:extent cx="877660" cy="873399"/>
            <wp:effectExtent l="0" t="0" r="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jpg"/>
                    <pic:cNvPicPr/>
                  </pic:nvPicPr>
                  <pic:blipFill>
                    <a:blip r:embed="rId382">
                      <a:extLst>
                        <a:ext uri="{28A0092B-C50C-407E-A947-70E740481C1C}">
                          <a14:useLocalDpi xmlns:a14="http://schemas.microsoft.com/office/drawing/2010/main" val="0"/>
                        </a:ext>
                      </a:extLst>
                    </a:blip>
                    <a:stretch>
                      <a:fillRect/>
                    </a:stretch>
                  </pic:blipFill>
                  <pic:spPr>
                    <a:xfrm>
                      <a:off x="0" y="0"/>
                      <a:ext cx="892568" cy="888235"/>
                    </a:xfrm>
                    <a:prstGeom prst="rect">
                      <a:avLst/>
                    </a:prstGeom>
                  </pic:spPr>
                </pic:pic>
              </a:graphicData>
            </a:graphic>
          </wp:inline>
        </w:drawing>
      </w:r>
      <w:r w:rsidRPr="00EC0229">
        <w:rPr>
          <w:rFonts w:eastAsia="Times New Roman" w:cs="Times New Roman"/>
          <w:noProof/>
          <w:szCs w:val="24"/>
          <w:lang w:eastAsia="en-GB"/>
        </w:rPr>
        <w:drawing>
          <wp:inline distT="0" distB="0" distL="0" distR="0" wp14:anchorId="45D0B7D9" wp14:editId="7329D58C">
            <wp:extent cx="876300" cy="891764"/>
            <wp:effectExtent l="0" t="0" r="0" b="381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 rev.jpg"/>
                    <pic:cNvPicPr/>
                  </pic:nvPicPr>
                  <pic:blipFill>
                    <a:blip r:embed="rId383">
                      <a:extLst>
                        <a:ext uri="{28A0092B-C50C-407E-A947-70E740481C1C}">
                          <a14:useLocalDpi xmlns:a14="http://schemas.microsoft.com/office/drawing/2010/main" val="0"/>
                        </a:ext>
                      </a:extLst>
                    </a:blip>
                    <a:stretch>
                      <a:fillRect/>
                    </a:stretch>
                  </pic:blipFill>
                  <pic:spPr>
                    <a:xfrm>
                      <a:off x="0" y="0"/>
                      <a:ext cx="887822" cy="903489"/>
                    </a:xfrm>
                    <a:prstGeom prst="rect">
                      <a:avLst/>
                    </a:prstGeom>
                  </pic:spPr>
                </pic:pic>
              </a:graphicData>
            </a:graphic>
          </wp:inline>
        </w:drawing>
      </w:r>
      <w:r w:rsidRPr="00EC0229">
        <w:rPr>
          <w:rFonts w:eastAsia="Times New Roman" w:cs="Times New Roman"/>
          <w:szCs w:val="24"/>
          <w:lang w:eastAsia="en-GB"/>
        </w:rPr>
        <w:tab/>
      </w:r>
      <w:r w:rsidRPr="00EC0229">
        <w:rPr>
          <w:rFonts w:eastAsia="Times New Roman" w:cs="Times New Roman"/>
          <w:szCs w:val="24"/>
          <w:lang w:eastAsia="en-GB"/>
        </w:rPr>
        <w:tab/>
      </w:r>
      <w:r w:rsidRPr="00EC0229">
        <w:rPr>
          <w:rFonts w:eastAsia="Times New Roman" w:cs="Times New Roman"/>
          <w:noProof/>
          <w:szCs w:val="24"/>
          <w:lang w:eastAsia="en-GB"/>
        </w:rPr>
        <w:drawing>
          <wp:inline distT="0" distB="0" distL="0" distR="0" wp14:anchorId="26F25445" wp14:editId="3997B103">
            <wp:extent cx="927382" cy="883740"/>
            <wp:effectExtent l="0" t="0" r="635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tepped cross.jpg"/>
                    <pic:cNvPicPr/>
                  </pic:nvPicPr>
                  <pic:blipFill>
                    <a:blip r:embed="rId384">
                      <a:extLst>
                        <a:ext uri="{28A0092B-C50C-407E-A947-70E740481C1C}">
                          <a14:useLocalDpi xmlns:a14="http://schemas.microsoft.com/office/drawing/2010/main" val="0"/>
                        </a:ext>
                      </a:extLst>
                    </a:blip>
                    <a:stretch>
                      <a:fillRect/>
                    </a:stretch>
                  </pic:blipFill>
                  <pic:spPr>
                    <a:xfrm>
                      <a:off x="0" y="0"/>
                      <a:ext cx="938790" cy="894612"/>
                    </a:xfrm>
                    <a:prstGeom prst="rect">
                      <a:avLst/>
                    </a:prstGeom>
                  </pic:spPr>
                </pic:pic>
              </a:graphicData>
            </a:graphic>
          </wp:inline>
        </w:drawing>
      </w:r>
      <w:r w:rsidRPr="00EC0229">
        <w:rPr>
          <w:rFonts w:eastAsia="Times New Roman" w:cs="Times New Roman"/>
          <w:noProof/>
          <w:szCs w:val="24"/>
          <w:lang w:eastAsia="en-GB"/>
        </w:rPr>
        <w:drawing>
          <wp:inline distT="0" distB="0" distL="0" distR="0" wp14:anchorId="0B6E80AE" wp14:editId="294B5CB8">
            <wp:extent cx="935308" cy="891293"/>
            <wp:effectExtent l="0" t="0" r="0" b="444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UR07_Coins_-_rev.jpg"/>
                    <pic:cNvPicPr/>
                  </pic:nvPicPr>
                  <pic:blipFill>
                    <a:blip r:embed="rId385">
                      <a:extLst>
                        <a:ext uri="{28A0092B-C50C-407E-A947-70E740481C1C}">
                          <a14:useLocalDpi xmlns:a14="http://schemas.microsoft.com/office/drawing/2010/main" val="0"/>
                        </a:ext>
                      </a:extLst>
                    </a:blip>
                    <a:stretch>
                      <a:fillRect/>
                    </a:stretch>
                  </pic:blipFill>
                  <pic:spPr>
                    <a:xfrm>
                      <a:off x="0" y="0"/>
                      <a:ext cx="950136" cy="905424"/>
                    </a:xfrm>
                    <a:prstGeom prst="rect">
                      <a:avLst/>
                    </a:prstGeom>
                  </pic:spPr>
                </pic:pic>
              </a:graphicData>
            </a:graphic>
          </wp:inline>
        </w:drawing>
      </w:r>
    </w:p>
    <w:p w14:paraId="3BF72E33" w14:textId="1D7F2A80" w:rsidR="00854613" w:rsidRPr="00EC0229" w:rsidRDefault="003977B6" w:rsidP="007600EA">
      <w:pPr>
        <w:pStyle w:val="NoSpacing"/>
        <w:spacing w:line="360" w:lineRule="auto"/>
        <w:jc w:val="center"/>
        <w:rPr>
          <w:sz w:val="20"/>
          <w:szCs w:val="20"/>
        </w:rPr>
      </w:pPr>
      <w:bookmarkStart w:id="716" w:name="_Ref430248838"/>
      <w:bookmarkStart w:id="717" w:name="_Toc468267091"/>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119</w:t>
      </w:r>
      <w:r w:rsidR="00B609E3" w:rsidRPr="00EC0229">
        <w:rPr>
          <w:sz w:val="20"/>
          <w:szCs w:val="20"/>
        </w:rPr>
        <w:fldChar w:fldCharType="end"/>
      </w:r>
      <w:bookmarkEnd w:id="716"/>
      <w:r w:rsidR="00AE3115" w:rsidRPr="00EC0229">
        <w:rPr>
          <w:sz w:val="20"/>
          <w:szCs w:val="20"/>
        </w:rPr>
        <w:t xml:space="preserve">: </w:t>
      </w:r>
      <w:r w:rsidR="00854613" w:rsidRPr="00EC0229">
        <w:rPr>
          <w:sz w:val="20"/>
          <w:szCs w:val="20"/>
        </w:rPr>
        <w:t>Burdale</w:t>
      </w:r>
      <w:r w:rsidR="006B1593" w:rsidRPr="00EC0229">
        <w:rPr>
          <w:sz w:val="20"/>
          <w:szCs w:val="20"/>
        </w:rPr>
        <w:fldChar w:fldCharType="begin"/>
      </w:r>
      <w:r w:rsidR="006B1593" w:rsidRPr="00EC0229">
        <w:rPr>
          <w:sz w:val="20"/>
          <w:szCs w:val="20"/>
        </w:rPr>
        <w:instrText xml:space="preserve"> XE "Burdale" </w:instrText>
      </w:r>
      <w:r w:rsidR="006B1593" w:rsidRPr="00EC0229">
        <w:rPr>
          <w:sz w:val="20"/>
          <w:szCs w:val="20"/>
        </w:rPr>
        <w:fldChar w:fldCharType="end"/>
      </w:r>
      <w:r w:rsidR="00854613" w:rsidRPr="00EC0229">
        <w:rPr>
          <w:sz w:val="20"/>
          <w:szCs w:val="20"/>
        </w:rPr>
        <w:t>: Primary Continental sceats,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854613" w:rsidRPr="00EC0229">
        <w:rPr>
          <w:sz w:val="20"/>
          <w:szCs w:val="20"/>
        </w:rPr>
        <w:t xml:space="preserve"> D</w:t>
      </w:r>
      <w:r w:rsidR="008344F3" w:rsidRPr="00EC0229">
        <w:rPr>
          <w:sz w:val="20"/>
          <w:szCs w:val="20"/>
        </w:rPr>
        <w:fldChar w:fldCharType="begin"/>
      </w:r>
      <w:r w:rsidR="008344F3" w:rsidRPr="00EC0229">
        <w:rPr>
          <w:sz w:val="20"/>
          <w:szCs w:val="20"/>
        </w:rPr>
        <w:instrText xml:space="preserve"> XE "Series D" </w:instrText>
      </w:r>
      <w:r w:rsidR="008344F3" w:rsidRPr="00EC0229">
        <w:rPr>
          <w:sz w:val="20"/>
          <w:szCs w:val="20"/>
        </w:rPr>
        <w:fldChar w:fldCharType="end"/>
      </w:r>
      <w:r w:rsidR="00854613" w:rsidRPr="00EC0229">
        <w:rPr>
          <w:sz w:val="20"/>
          <w:szCs w:val="20"/>
        </w:rPr>
        <w:t>, 2c and Stepped Cross</w:t>
      </w:r>
      <w:r w:rsidR="00854613" w:rsidRPr="00EC0229">
        <w:rPr>
          <w:sz w:val="20"/>
          <w:szCs w:val="20"/>
          <w:vertAlign w:val="superscript"/>
        </w:rPr>
        <w:footnoteReference w:id="1058"/>
      </w:r>
      <w:bookmarkEnd w:id="717"/>
    </w:p>
    <w:p w14:paraId="1A2A01FB" w14:textId="77777777" w:rsidR="00C531DD" w:rsidRPr="00EC0229" w:rsidRDefault="00C531DD" w:rsidP="007600EA">
      <w:pPr>
        <w:pStyle w:val="NoSpacing"/>
        <w:spacing w:line="360" w:lineRule="auto"/>
        <w:rPr>
          <w:lang w:eastAsia="en-GB"/>
        </w:rPr>
      </w:pPr>
    </w:p>
    <w:p w14:paraId="14B422D6" w14:textId="54A55CC9" w:rsidR="00854613" w:rsidRPr="00EC0229" w:rsidRDefault="00854613" w:rsidP="007600EA">
      <w:pPr>
        <w:pStyle w:val="NoSpacing"/>
        <w:spacing w:line="360" w:lineRule="auto"/>
      </w:pPr>
      <w:r w:rsidRPr="00EC0229">
        <w:t xml:space="preserve">In common with other northern sites, the ceramic assemblage is modest but, here, the animal bone accumulation is considerable. Re-cut enclosures, including some of </w:t>
      </w:r>
      <w:r w:rsidRPr="00EC0229">
        <w:rPr>
          <w:rFonts w:eastAsia="Times New Roman" w:cs="Times New Roman"/>
          <w:szCs w:val="24"/>
          <w:lang w:eastAsia="en-GB"/>
        </w:rPr>
        <w:t>'Butterwick-type',</w:t>
      </w:r>
      <w:r w:rsidRPr="00EC0229">
        <w:t xml:space="preserve"> and </w:t>
      </w:r>
      <w:r w:rsidRPr="00EC0229">
        <w:rPr>
          <w:rFonts w:eastAsia="Times New Roman" w:cs="Times New Roman"/>
          <w:i/>
          <w:szCs w:val="24"/>
          <w:lang w:eastAsia="en-GB"/>
        </w:rPr>
        <w:t>Grubenh</w:t>
      </w:r>
      <w:r w:rsidR="002226A8" w:rsidRPr="00EC0229">
        <w:rPr>
          <w:rFonts w:eastAsia="Times New Roman" w:cs="Times New Roman"/>
          <w:i/>
          <w:szCs w:val="24"/>
          <w:lang w:eastAsia="en-GB"/>
        </w:rPr>
        <w:t>ä</w:t>
      </w:r>
      <w:r w:rsidRPr="00EC0229">
        <w:rPr>
          <w:rFonts w:eastAsia="Times New Roman" w:cs="Times New Roman"/>
          <w:i/>
          <w:szCs w:val="24"/>
          <w:lang w:eastAsia="en-GB"/>
        </w:rPr>
        <w:t>user</w:t>
      </w:r>
      <w:r w:rsidRPr="00EC0229">
        <w:rPr>
          <w:rFonts w:eastAsia="Times New Roman" w:cs="Times New Roman"/>
          <w:szCs w:val="24"/>
          <w:lang w:eastAsia="en-GB"/>
        </w:rPr>
        <w:t>,</w:t>
      </w:r>
      <w:r w:rsidR="00F909E8" w:rsidRPr="00EC0229">
        <w:rPr>
          <w:rStyle w:val="FootnoteReference"/>
          <w:rFonts w:eastAsia="Times New Roman" w:cs="Times New Roman"/>
          <w:szCs w:val="24"/>
          <w:lang w:eastAsia="en-GB"/>
        </w:rPr>
        <w:footnoteReference w:id="1059"/>
      </w:r>
      <w:r w:rsidR="00F909E8" w:rsidRPr="00EC0229">
        <w:t xml:space="preserve"> </w:t>
      </w:r>
      <w:r w:rsidRPr="00EC0229">
        <w:rPr>
          <w:rFonts w:eastAsia="Times New Roman" w:cs="Times New Roman"/>
          <w:szCs w:val="24"/>
          <w:lang w:eastAsia="en-GB"/>
        </w:rPr>
        <w:t xml:space="preserve"> focussed in two groups, provide evidence of organised space and production, including metalworking with lead evident as at </w:t>
      </w:r>
      <w:r w:rsidR="005F1EAF" w:rsidRPr="005F1EAF">
        <w:rPr>
          <w:rFonts w:eastAsia="Times New Roman" w:cs="Times New Roman"/>
          <w:szCs w:val="24"/>
          <w:lang w:eastAsia="en-GB"/>
        </w:rPr>
        <w:t>‘Site C’</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rFonts w:eastAsia="Times New Roman"/>
          <w:noProof/>
          <w:u w:val="none"/>
          <w:lang w:eastAsia="en-GB"/>
        </w:rPr>
        <w:instrText>Bolton</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w:t>
      </w:r>
    </w:p>
    <w:p w14:paraId="5DA92A15"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4B30B996" wp14:editId="274C98EB">
            <wp:extent cx="2007852" cy="1140460"/>
            <wp:effectExtent l="0" t="0" r="0" b="254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comb.jpg"/>
                    <pic:cNvPicPr/>
                  </pic:nvPicPr>
                  <pic:blipFill>
                    <a:blip r:embed="rId386">
                      <a:extLst>
                        <a:ext uri="{28A0092B-C50C-407E-A947-70E740481C1C}">
                          <a14:useLocalDpi xmlns:a14="http://schemas.microsoft.com/office/drawing/2010/main" val="0"/>
                        </a:ext>
                      </a:extLst>
                    </a:blip>
                    <a:stretch>
                      <a:fillRect/>
                    </a:stretch>
                  </pic:blipFill>
                  <pic:spPr>
                    <a:xfrm>
                      <a:off x="0" y="0"/>
                      <a:ext cx="2028694" cy="1152298"/>
                    </a:xfrm>
                    <a:prstGeom prst="rect">
                      <a:avLst/>
                    </a:prstGeom>
                  </pic:spPr>
                </pic:pic>
              </a:graphicData>
            </a:graphic>
          </wp:inline>
        </w:drawing>
      </w:r>
    </w:p>
    <w:p w14:paraId="3DC04644" w14:textId="40CE8CB7" w:rsidR="00854613" w:rsidRPr="00EC0229" w:rsidRDefault="003977B6" w:rsidP="007600EA">
      <w:pPr>
        <w:spacing w:line="360" w:lineRule="auto"/>
        <w:jc w:val="center"/>
      </w:pPr>
      <w:bookmarkStart w:id="718" w:name="_Ref430248848"/>
      <w:bookmarkStart w:id="719" w:name="_Toc468267092"/>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120</w:t>
      </w:r>
      <w:r w:rsidR="00B609E3" w:rsidRPr="00EC0229">
        <w:rPr>
          <w:sz w:val="20"/>
          <w:szCs w:val="20"/>
        </w:rPr>
        <w:fldChar w:fldCharType="end"/>
      </w:r>
      <w:bookmarkEnd w:id="718"/>
      <w:r w:rsidR="00AE3115" w:rsidRPr="00EC0229">
        <w:rPr>
          <w:sz w:val="20"/>
          <w:szCs w:val="20"/>
        </w:rPr>
        <w:t xml:space="preserve">: </w:t>
      </w:r>
      <w:r w:rsidR="00854613" w:rsidRPr="00EC0229">
        <w:rPr>
          <w:sz w:val="20"/>
          <w:szCs w:val="20"/>
        </w:rPr>
        <w:t>Burdale</w:t>
      </w:r>
      <w:r w:rsidR="006B1593" w:rsidRPr="00EC0229">
        <w:rPr>
          <w:sz w:val="20"/>
          <w:szCs w:val="20"/>
        </w:rPr>
        <w:fldChar w:fldCharType="begin"/>
      </w:r>
      <w:r w:rsidR="006B1593" w:rsidRPr="00EC0229">
        <w:rPr>
          <w:sz w:val="20"/>
          <w:szCs w:val="20"/>
        </w:rPr>
        <w:instrText xml:space="preserve"> XE "Burdale" </w:instrText>
      </w:r>
      <w:r w:rsidR="006B1593" w:rsidRPr="00EC0229">
        <w:rPr>
          <w:sz w:val="20"/>
          <w:szCs w:val="20"/>
        </w:rPr>
        <w:fldChar w:fldCharType="end"/>
      </w:r>
      <w:r w:rsidR="00854613" w:rsidRPr="00EC0229">
        <w:rPr>
          <w:sz w:val="20"/>
          <w:szCs w:val="20"/>
        </w:rPr>
        <w:t>: Anglian</w:t>
      </w:r>
      <w:r w:rsidR="00D142DC" w:rsidRPr="00EC0229">
        <w:rPr>
          <w:sz w:val="20"/>
          <w:szCs w:val="20"/>
        </w:rPr>
        <w:fldChar w:fldCharType="begin"/>
      </w:r>
      <w:r w:rsidR="00D142DC" w:rsidRPr="00EC0229">
        <w:rPr>
          <w:sz w:val="20"/>
          <w:szCs w:val="20"/>
        </w:rPr>
        <w:instrText xml:space="preserve"> XE "Anglian" </w:instrText>
      </w:r>
      <w:r w:rsidR="00D142DC" w:rsidRPr="00EC0229">
        <w:rPr>
          <w:sz w:val="20"/>
          <w:szCs w:val="20"/>
        </w:rPr>
        <w:fldChar w:fldCharType="end"/>
      </w:r>
      <w:r w:rsidR="00854613" w:rsidRPr="00EC0229">
        <w:rPr>
          <w:sz w:val="20"/>
          <w:szCs w:val="20"/>
        </w:rPr>
        <w:t xml:space="preserve"> bone comb</w:t>
      </w:r>
      <w:r w:rsidR="00854613" w:rsidRPr="00EC0229">
        <w:rPr>
          <w:sz w:val="20"/>
          <w:szCs w:val="20"/>
          <w:vertAlign w:val="superscript"/>
        </w:rPr>
        <w:footnoteReference w:id="1060"/>
      </w:r>
      <w:bookmarkEnd w:id="719"/>
      <w:r w:rsidR="00854613" w:rsidRPr="00EC0229">
        <w:t xml:space="preserve"> </w:t>
      </w:r>
    </w:p>
    <w:p w14:paraId="589AAFE8" w14:textId="77777777" w:rsidR="00C531DD" w:rsidRPr="00EC0229" w:rsidRDefault="00C531DD" w:rsidP="007600EA">
      <w:pPr>
        <w:pStyle w:val="NoSpacing"/>
        <w:spacing w:line="360" w:lineRule="auto"/>
      </w:pPr>
    </w:p>
    <w:p w14:paraId="145461FE" w14:textId="134CCFD0" w:rsidR="00854613" w:rsidRPr="00EC0229" w:rsidRDefault="00854613" w:rsidP="007600EA">
      <w:pPr>
        <w:pStyle w:val="NoSpacing"/>
        <w:spacing w:line="360" w:lineRule="auto"/>
      </w:pPr>
      <w:r w:rsidRPr="00EC0229">
        <w:rPr>
          <w:rFonts w:eastAsia="Times New Roman" w:cs="Times New Roman"/>
          <w:szCs w:val="24"/>
          <w:lang w:eastAsia="en-GB"/>
        </w:rPr>
        <w:t>Anglian</w:t>
      </w:r>
      <w:r w:rsidR="00D142DC" w:rsidRPr="00EC0229">
        <w:rPr>
          <w:rFonts w:eastAsia="Times New Roman" w:cs="Times New Roman"/>
          <w:szCs w:val="24"/>
          <w:lang w:eastAsia="en-GB"/>
        </w:rPr>
        <w:fldChar w:fldCharType="begin"/>
      </w:r>
      <w:r w:rsidR="00D142DC" w:rsidRPr="00EC0229">
        <w:instrText xml:space="preserve"> XE "Anglian"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period finds include a comb</w:t>
      </w:r>
      <w:r w:rsidR="00AE3115" w:rsidRPr="00EC0229">
        <w:rPr>
          <w:rFonts w:eastAsia="Times New Roman" w:cs="Times New Roman"/>
          <w:szCs w:val="24"/>
          <w:lang w:eastAsia="en-GB"/>
        </w:rPr>
        <w:t xml:space="preserve"> </w:t>
      </w:r>
      <w:r w:rsidR="00AE3115" w:rsidRPr="00EC0229">
        <w:t>(</w:t>
      </w:r>
      <w:r w:rsidR="003852DA" w:rsidRPr="00EC0229">
        <w:fldChar w:fldCharType="begin"/>
      </w:r>
      <w:r w:rsidR="003852DA" w:rsidRPr="00EC0229">
        <w:instrText xml:space="preserve"> REF _Ref430248848 \h </w:instrText>
      </w:r>
      <w:r w:rsidR="00C6481E" w:rsidRPr="00EC0229">
        <w:instrText xml:space="preserve"> \* MERGEFORMAT </w:instrText>
      </w:r>
      <w:r w:rsidR="003852DA" w:rsidRPr="00EC0229">
        <w:fldChar w:fldCharType="separate"/>
      </w:r>
      <w:r w:rsidR="0012026B" w:rsidRPr="0012026B">
        <w:rPr>
          <w:i/>
        </w:rPr>
        <w:t>Figure</w:t>
      </w:r>
      <w:r w:rsidR="0012026B" w:rsidRPr="0012026B">
        <w:t xml:space="preserve"> </w:t>
      </w:r>
      <w:r w:rsidR="0012026B" w:rsidRPr="0012026B">
        <w:rPr>
          <w:noProof/>
        </w:rPr>
        <w:t>120</w:t>
      </w:r>
      <w:r w:rsidR="003852DA" w:rsidRPr="00EC0229">
        <w:fldChar w:fldCharType="end"/>
      </w:r>
      <w:r w:rsidR="00AE3115" w:rsidRPr="00EC0229">
        <w:t>)</w:t>
      </w:r>
      <w:r w:rsidRPr="00EC0229">
        <w:rPr>
          <w:rFonts w:eastAsia="Times New Roman" w:cs="Times New Roman"/>
          <w:szCs w:val="24"/>
          <w:lang w:eastAsia="en-GB"/>
        </w:rPr>
        <w:t xml:space="preserve">, tweezers, copper-alloy brooches </w:t>
      </w:r>
      <w:r w:rsidR="00862F15" w:rsidRPr="00EC0229">
        <w:rPr>
          <w:rFonts w:eastAsia="Times New Roman" w:cs="Times New Roman"/>
          <w:szCs w:val="24"/>
          <w:lang w:eastAsia="en-GB"/>
        </w:rPr>
        <w:t>and</w:t>
      </w:r>
      <w:r w:rsidRPr="00EC0229">
        <w:rPr>
          <w:rFonts w:eastAsia="Times New Roman" w:cs="Times New Roman"/>
          <w:szCs w:val="24"/>
          <w:lang w:eastAsia="en-GB"/>
        </w:rPr>
        <w:t xml:space="preserve"> pins, and a range of craft-wor</w:t>
      </w:r>
      <w:r w:rsidR="003A7752" w:rsidRPr="00EC0229">
        <w:rPr>
          <w:rFonts w:eastAsia="Times New Roman" w:cs="Times New Roman"/>
          <w:szCs w:val="24"/>
          <w:lang w:eastAsia="en-GB"/>
        </w:rPr>
        <w:t>king knives. A bell and pins,</w:t>
      </w:r>
      <w:r w:rsidRPr="00EC0229">
        <w:rPr>
          <w:rFonts w:eastAsia="Times New Roman" w:cs="Times New Roman"/>
          <w:szCs w:val="24"/>
          <w:lang w:eastAsia="en-GB"/>
        </w:rPr>
        <w:t xml:space="preserve"> similar to Coppergate finds from </w:t>
      </w:r>
      <w:r w:rsidRPr="00EC0229">
        <w:rPr>
          <w:i/>
        </w:rPr>
        <w:t>c.</w:t>
      </w:r>
      <w:r w:rsidRPr="00EC0229">
        <w:t>930/5-c.975, extend activity into the Anglo-Scandinavian period but changes in land-ownership with Scandinavian settlement</w:t>
      </w:r>
      <w:r w:rsidR="00D142DC" w:rsidRPr="00EC0229">
        <w:fldChar w:fldCharType="begin"/>
      </w:r>
      <w:r w:rsidR="00D142DC" w:rsidRPr="00EC0229">
        <w:instrText xml:space="preserve"> XE "settlement" </w:instrText>
      </w:r>
      <w:r w:rsidR="00D142DC" w:rsidRPr="00EC0229">
        <w:fldChar w:fldCharType="end"/>
      </w:r>
      <w:r w:rsidRPr="00EC0229">
        <w:t xml:space="preserve"> may have disrupted what seems to be a close relationship with Wharram Percy</w:t>
      </w:r>
      <w:r w:rsidR="00C10566" w:rsidRPr="00EC0229">
        <w:t>, though Richards regarded Burdale as richer</w:t>
      </w:r>
      <w:r w:rsidR="006B1593" w:rsidRPr="00EC0229">
        <w:fldChar w:fldCharType="begin"/>
      </w:r>
      <w:r w:rsidR="006B1593" w:rsidRPr="00EC0229">
        <w:instrText xml:space="preserve"> XE "</w:instrText>
      </w:r>
      <w:r w:rsidR="006B1593" w:rsidRPr="00EC0229">
        <w:rPr>
          <w:rStyle w:val="Hyperlink"/>
          <w:noProof/>
          <w:u w:val="none"/>
        </w:rPr>
        <w:instrText>Wharram Percy</w:instrText>
      </w:r>
      <w:r w:rsidR="006B1593" w:rsidRPr="00EC0229">
        <w:instrText xml:space="preserve">" </w:instrText>
      </w:r>
      <w:r w:rsidR="006B1593" w:rsidRPr="00EC0229">
        <w:fldChar w:fldCharType="end"/>
      </w:r>
      <w:r w:rsidRPr="00EC0229">
        <w:t>.</w:t>
      </w:r>
      <w:r w:rsidR="00C10566" w:rsidRPr="00EC0229">
        <w:rPr>
          <w:rStyle w:val="FootnoteReference"/>
        </w:rPr>
        <w:footnoteReference w:id="1061"/>
      </w:r>
    </w:p>
    <w:p w14:paraId="37D6E148" w14:textId="77777777" w:rsidR="00854613" w:rsidRPr="00EC0229" w:rsidRDefault="00854613" w:rsidP="007600EA">
      <w:pPr>
        <w:pStyle w:val="NoSpacing"/>
        <w:spacing w:line="360" w:lineRule="auto"/>
        <w:rPr>
          <w:szCs w:val="24"/>
        </w:rPr>
      </w:pPr>
      <w:bookmarkStart w:id="720" w:name="Sledmere"/>
    </w:p>
    <w:p w14:paraId="13C60B3F" w14:textId="3CE5896D" w:rsidR="00071F47" w:rsidRPr="007A3166" w:rsidRDefault="00071F47" w:rsidP="00C97BF2">
      <w:pPr>
        <w:pStyle w:val="Heading4"/>
        <w:spacing w:line="360" w:lineRule="auto"/>
        <w:rPr>
          <w:rFonts w:eastAsia="Times New Roman"/>
          <w:b/>
          <w:lang w:eastAsia="en-GB"/>
        </w:rPr>
      </w:pPr>
      <w:bookmarkStart w:id="721" w:name="_Toc468266894"/>
      <w:bookmarkStart w:id="722" w:name="Wetwang"/>
      <w:bookmarkEnd w:id="720"/>
      <w:r w:rsidRPr="007A3166">
        <w:rPr>
          <w:rFonts w:eastAsia="Times New Roman"/>
          <w:b/>
          <w:lang w:eastAsia="en-GB"/>
        </w:rPr>
        <w:t>Driffield</w:t>
      </w:r>
      <w:bookmarkEnd w:id="721"/>
      <w:r w:rsidRPr="007A3166">
        <w:rPr>
          <w:rFonts w:eastAsia="Times New Roman"/>
          <w:b/>
          <w:lang w:eastAsia="en-GB"/>
        </w:rPr>
        <w:fldChar w:fldCharType="begin"/>
      </w:r>
      <w:r w:rsidRPr="007A3166">
        <w:rPr>
          <w:b/>
        </w:rPr>
        <w:instrText xml:space="preserve"> XE "</w:instrText>
      </w:r>
      <w:r w:rsidRPr="007A3166">
        <w:rPr>
          <w:rStyle w:val="Hyperlink"/>
          <w:rFonts w:eastAsia="Times New Roman"/>
          <w:b/>
          <w:noProof/>
          <w:u w:val="none"/>
          <w:lang w:eastAsia="en-GB"/>
        </w:rPr>
        <w:instrText>Driffield</w:instrText>
      </w:r>
      <w:r w:rsidRPr="007A3166">
        <w:rPr>
          <w:b/>
        </w:rPr>
        <w:instrText xml:space="preserve">" </w:instrText>
      </w:r>
      <w:r w:rsidRPr="007A3166">
        <w:rPr>
          <w:rFonts w:eastAsia="Times New Roman"/>
          <w:b/>
          <w:lang w:eastAsia="en-GB"/>
        </w:rPr>
        <w:fldChar w:fldCharType="end"/>
      </w:r>
    </w:p>
    <w:p w14:paraId="2FAA3A38" w14:textId="49A46208" w:rsidR="00071F47" w:rsidRPr="00EC0229" w:rsidRDefault="00071F47" w:rsidP="007600EA">
      <w:pPr>
        <w:pStyle w:val="NoSpacing"/>
        <w:spacing w:line="360" w:lineRule="auto"/>
        <w:rPr>
          <w:color w:val="000000" w:themeColor="text1"/>
        </w:rPr>
      </w:pPr>
      <w:r w:rsidRPr="00EC0229">
        <w:rPr>
          <w:szCs w:val="24"/>
        </w:rPr>
        <w:t>Driffield</w:t>
      </w:r>
      <w:r w:rsidRPr="00EC0229">
        <w:rPr>
          <w:szCs w:val="24"/>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szCs w:val="24"/>
        </w:rPr>
        <w:fldChar w:fldCharType="end"/>
      </w:r>
      <w:r w:rsidRPr="00EC0229">
        <w:rPr>
          <w:szCs w:val="24"/>
        </w:rPr>
        <w:t xml:space="preserve"> nestles in the crook of the Wolds</w:t>
      </w:r>
      <w:r w:rsidRPr="00EC0229">
        <w:rPr>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szCs w:val="24"/>
        </w:rPr>
        <w:fldChar w:fldCharType="end"/>
      </w:r>
      <w:r w:rsidRPr="00EC0229">
        <w:rPr>
          <w:szCs w:val="24"/>
        </w:rPr>
        <w:t xml:space="preserve"> at the junction of the Hull-Scarborough and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-Bridlington roads, on land well-served by natural springs, many of which arise around the deserted medieval village of Elmswell (</w:t>
      </w:r>
      <w:r w:rsidRPr="00EC0229">
        <w:rPr>
          <w:szCs w:val="24"/>
        </w:rPr>
        <w:fldChar w:fldCharType="begin"/>
      </w:r>
      <w:r w:rsidRPr="00EC0229">
        <w:rPr>
          <w:szCs w:val="24"/>
        </w:rPr>
        <w:instrText xml:space="preserve"> PAGEREF Elmswell \h </w:instrText>
      </w:r>
      <w:r w:rsidRPr="00EC0229">
        <w:rPr>
          <w:szCs w:val="24"/>
        </w:rPr>
      </w:r>
      <w:r w:rsidRPr="00EC0229">
        <w:rPr>
          <w:szCs w:val="24"/>
        </w:rPr>
        <w:fldChar w:fldCharType="separate"/>
      </w:r>
      <w:r w:rsidR="0012026B">
        <w:rPr>
          <w:noProof/>
          <w:szCs w:val="24"/>
        </w:rPr>
        <w:t>252</w:t>
      </w:r>
      <w:r w:rsidRPr="00EC0229">
        <w:rPr>
          <w:szCs w:val="24"/>
        </w:rPr>
        <w:fldChar w:fldCharType="end"/>
      </w:r>
      <w:r w:rsidRPr="00EC0229">
        <w:rPr>
          <w:szCs w:val="24"/>
        </w:rPr>
        <w:t>), near Little Driffield.</w:t>
      </w:r>
      <w:r w:rsidRPr="00EC0229">
        <w:rPr>
          <w:rStyle w:val="FootnoteReference"/>
          <w:szCs w:val="24"/>
        </w:rPr>
        <w:footnoteReference w:id="1062"/>
      </w:r>
      <w:r w:rsidRPr="00EC0229">
        <w:rPr>
          <w:szCs w:val="24"/>
        </w:rPr>
        <w:t xml:space="preserve"> </w:t>
      </w:r>
      <w:r w:rsidRPr="00EC0229">
        <w:rPr>
          <w:color w:val="000000" w:themeColor="text1"/>
        </w:rPr>
        <w:t>Lovelock bases Driffield</w:t>
      </w:r>
      <w:r w:rsidRPr="00EC0229">
        <w:rPr>
          <w:color w:val="000000" w:themeColor="text1"/>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color w:val="000000" w:themeColor="text1"/>
        </w:rPr>
        <w:fldChar w:fldCharType="end"/>
      </w:r>
      <w:r w:rsidRPr="00EC0229">
        <w:rPr>
          <w:color w:val="000000" w:themeColor="text1"/>
        </w:rPr>
        <w:t>’s wealth on fertile land around the headwaters of the River Hull together with a local source of iron ore, with grave-goods providing evidence.</w:t>
      </w:r>
      <w:r w:rsidRPr="00EC0229">
        <w:rPr>
          <w:rStyle w:val="FootnoteReference"/>
          <w:color w:val="000000" w:themeColor="text1"/>
        </w:rPr>
        <w:footnoteReference w:id="1063"/>
      </w:r>
      <w:r w:rsidRPr="00EC0229">
        <w:rPr>
          <w:color w:val="000000" w:themeColor="text1"/>
        </w:rPr>
        <w:t xml:space="preserve"> </w:t>
      </w:r>
    </w:p>
    <w:p w14:paraId="30883104" w14:textId="77777777" w:rsidR="00071F47" w:rsidRPr="00EC0229" w:rsidRDefault="00071F47" w:rsidP="007600EA">
      <w:pPr>
        <w:pStyle w:val="NoSpacing"/>
        <w:spacing w:line="360" w:lineRule="auto"/>
        <w:rPr>
          <w:szCs w:val="24"/>
        </w:rPr>
      </w:pPr>
    </w:p>
    <w:p w14:paraId="73CD228B" w14:textId="2206AF9C" w:rsidR="00071F47" w:rsidRPr="00EC0229" w:rsidRDefault="00071F47" w:rsidP="007600EA">
      <w:pPr>
        <w:pStyle w:val="NoSpacing"/>
        <w:spacing w:line="360" w:lineRule="auto"/>
        <w:rPr>
          <w:szCs w:val="24"/>
        </w:rPr>
      </w:pPr>
      <w:r w:rsidRPr="00EC0229">
        <w:rPr>
          <w:szCs w:val="24"/>
        </w:rPr>
        <w:t>King Aldfrith</w:t>
      </w:r>
      <w:r w:rsidRPr="00EC0229">
        <w:rPr>
          <w:szCs w:val="24"/>
        </w:rPr>
        <w:fldChar w:fldCharType="begin"/>
      </w:r>
      <w:r w:rsidRPr="00EC0229">
        <w:instrText xml:space="preserve"> XE "Aldfrith" </w:instrText>
      </w:r>
      <w:r w:rsidRPr="00EC0229">
        <w:rPr>
          <w:szCs w:val="24"/>
        </w:rPr>
        <w:fldChar w:fldCharType="end"/>
      </w:r>
      <w:r w:rsidRPr="00EC0229">
        <w:rPr>
          <w:szCs w:val="24"/>
        </w:rPr>
        <w:t>’s memorial lies in St Mary’s church</w:t>
      </w:r>
      <w:r w:rsidRPr="00EC0229">
        <w:rPr>
          <w:szCs w:val="24"/>
        </w:rPr>
        <w:fldChar w:fldCharType="begin"/>
      </w:r>
      <w:r w:rsidRPr="00EC0229">
        <w:instrText xml:space="preserve"> XE "</w:instrText>
      </w:r>
      <w:r w:rsidRPr="00EC0229">
        <w:rPr>
          <w:rFonts w:cs="Times New Roman"/>
          <w:szCs w:val="24"/>
        </w:rPr>
        <w:instrText>church</w:instrText>
      </w:r>
      <w:r w:rsidRPr="00EC0229">
        <w:instrText xml:space="preserve">" </w:instrText>
      </w:r>
      <w:r w:rsidRPr="00EC0229">
        <w:rPr>
          <w:szCs w:val="24"/>
        </w:rPr>
        <w:fldChar w:fldCharType="end"/>
      </w:r>
      <w:r w:rsidRPr="00EC0229">
        <w:rPr>
          <w:szCs w:val="24"/>
        </w:rPr>
        <w:t xml:space="preserve"> in the south of Little Driffield. Given the frequency with which detectorists attribute finds to the Driffield area, it is surprising that fewer than three dozen are recorded in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00635D9A" w:rsidRPr="00EC0229">
        <w:rPr>
          <w:i/>
          <w:szCs w:val="24"/>
        </w:rPr>
        <w:t xml:space="preserve"> </w:t>
      </w:r>
      <w:r w:rsidRPr="00EC0229">
        <w:rPr>
          <w:i/>
          <w:szCs w:val="24"/>
        </w:rPr>
        <w:t>5</w:t>
      </w:r>
      <w:r w:rsidR="00635D9A" w:rsidRPr="00EC0229">
        <w:rPr>
          <w:i/>
          <w:szCs w:val="24"/>
        </w:rPr>
        <w:t>.01</w:t>
      </w:r>
      <w:r w:rsidRPr="00EC0229">
        <w:rPr>
          <w:szCs w:val="24"/>
        </w:rPr>
        <w:t>. Presumably, the royal site is under the present town. G</w:t>
      </w:r>
      <w:r w:rsidRPr="00EC0229">
        <w:rPr>
          <w:rFonts w:eastAsia="Times New Roman" w:cs="Times New Roman"/>
          <w:iCs/>
          <w:szCs w:val="24"/>
          <w:lang w:eastAsia="en-GB"/>
        </w:rPr>
        <w:t>iven the quality of high-status finds from Garton</w:t>
      </w:r>
      <w:r w:rsidRPr="00EC0229">
        <w:rPr>
          <w:rFonts w:eastAsia="Times New Roman" w:cs="Times New Roman"/>
          <w:iCs/>
          <w:szCs w:val="24"/>
          <w:lang w:eastAsia="en-GB"/>
        </w:rPr>
        <w:fldChar w:fldCharType="begin"/>
      </w:r>
      <w:r w:rsidRPr="00EC0229">
        <w:instrText xml:space="preserve"> XE "</w:instrText>
      </w:r>
      <w:r w:rsidRPr="00EC0229">
        <w:rPr>
          <w:rStyle w:val="Hyperlink"/>
          <w:noProof/>
          <w:u w:val="none"/>
        </w:rPr>
        <w:instrText>Garton</w:instrText>
      </w:r>
      <w:r w:rsidRPr="00EC0229">
        <w:instrText xml:space="preserve">" </w:instrText>
      </w:r>
      <w:r w:rsidRPr="00EC0229">
        <w:rPr>
          <w:rFonts w:eastAsia="Times New Roman" w:cs="Times New Roman"/>
          <w:iCs/>
          <w:szCs w:val="24"/>
          <w:lang w:eastAsia="en-GB"/>
        </w:rPr>
        <w:fldChar w:fldCharType="end"/>
      </w:r>
      <w:r w:rsidRPr="00EC0229">
        <w:rPr>
          <w:rFonts w:eastAsia="Times New Roman" w:cs="Times New Roman"/>
          <w:iCs/>
          <w:szCs w:val="24"/>
          <w:lang w:eastAsia="en-GB"/>
        </w:rPr>
        <w:t>, there seems to be a clear connection.</w:t>
      </w:r>
    </w:p>
    <w:p w14:paraId="1FB32243" w14:textId="77777777" w:rsidR="00071F47" w:rsidRPr="00EC0229" w:rsidRDefault="00071F47" w:rsidP="007600EA">
      <w:pPr>
        <w:pStyle w:val="NoSpacing"/>
        <w:spacing w:line="360" w:lineRule="auto"/>
        <w:rPr>
          <w:szCs w:val="24"/>
        </w:rPr>
      </w:pPr>
    </w:p>
    <w:p w14:paraId="3636303E" w14:textId="672A5DF7" w:rsidR="00071F47" w:rsidRPr="00EC0229" w:rsidRDefault="00071F47" w:rsidP="007600EA">
      <w:pPr>
        <w:pStyle w:val="NoSpacing"/>
        <w:spacing w:line="360" w:lineRule="auto"/>
        <w:rPr>
          <w:szCs w:val="24"/>
        </w:rPr>
      </w:pPr>
      <w:r w:rsidRPr="00EC0229">
        <w:rPr>
          <w:szCs w:val="24"/>
        </w:rPr>
        <w:t>The Lombardic tremissis</w:t>
      </w:r>
      <w:r w:rsidRPr="00EC0229">
        <w:rPr>
          <w:szCs w:val="24"/>
        </w:rPr>
        <w:fldChar w:fldCharType="begin"/>
      </w:r>
      <w:r w:rsidRPr="00EC0229">
        <w:instrText xml:space="preserve"> XE "</w:instrText>
      </w:r>
      <w:r w:rsidRPr="00EC0229">
        <w:rPr>
          <w:rFonts w:eastAsia="Times New Roman" w:cs="Times New Roman"/>
        </w:rPr>
        <w:instrText>tremissis</w:instrText>
      </w:r>
      <w:r w:rsidRPr="00EC0229">
        <w:instrText xml:space="preserve">" </w:instrText>
      </w:r>
      <w:r w:rsidRPr="00EC0229">
        <w:rPr>
          <w:szCs w:val="24"/>
        </w:rPr>
        <w:fldChar w:fldCharType="end"/>
      </w:r>
      <w:r w:rsidRPr="00EC0229">
        <w:rPr>
          <w:szCs w:val="24"/>
        </w:rPr>
        <w:t>, converted for secondary use (</w:t>
      </w:r>
      <w:r w:rsidRPr="00EC0229">
        <w:rPr>
          <w:szCs w:val="24"/>
        </w:rPr>
        <w:fldChar w:fldCharType="begin"/>
      </w:r>
      <w:r w:rsidRPr="00EC0229">
        <w:rPr>
          <w:szCs w:val="24"/>
        </w:rPr>
        <w:instrText xml:space="preserve"> REF _Ref430245884 \h  \* MERGEFORMAT </w:instrText>
      </w:r>
      <w:r w:rsidRPr="00EC0229">
        <w:rPr>
          <w:szCs w:val="24"/>
        </w:rPr>
      </w:r>
      <w:r w:rsidRPr="00EC0229">
        <w:rPr>
          <w:szCs w:val="24"/>
        </w:rPr>
        <w:fldChar w:fldCharType="separate"/>
      </w:r>
      <w:r w:rsidR="0012026B" w:rsidRPr="0012026B">
        <w:rPr>
          <w:i/>
          <w:color w:val="000000" w:themeColor="text1"/>
          <w:szCs w:val="24"/>
        </w:rPr>
        <w:t>Figure</w:t>
      </w:r>
      <w:r w:rsidR="0012026B" w:rsidRPr="0012026B">
        <w:rPr>
          <w:color w:val="000000" w:themeColor="text1"/>
          <w:szCs w:val="24"/>
        </w:rPr>
        <w:t xml:space="preserve"> </w:t>
      </w:r>
      <w:r w:rsidR="0012026B" w:rsidRPr="0012026B">
        <w:rPr>
          <w:noProof/>
          <w:color w:val="000000" w:themeColor="text1"/>
          <w:szCs w:val="24"/>
        </w:rPr>
        <w:t>1</w:t>
      </w:r>
      <w:r w:rsidRPr="00EC0229">
        <w:rPr>
          <w:szCs w:val="24"/>
        </w:rPr>
        <w:fldChar w:fldCharType="end"/>
      </w:r>
      <w:r w:rsidRPr="00EC0229">
        <w:rPr>
          <w:szCs w:val="24"/>
        </w:rPr>
        <w:t>),</w:t>
      </w:r>
      <w:r w:rsidRPr="00EC0229">
        <w:rPr>
          <w:rStyle w:val="FootnoteReference"/>
          <w:szCs w:val="24"/>
        </w:rPr>
        <w:footnoteReference w:id="1064"/>
      </w:r>
      <w:r w:rsidRPr="00EC0229">
        <w:rPr>
          <w:szCs w:val="24"/>
        </w:rPr>
        <w:t xml:space="preserve"> [2], is a near Driffield</w:t>
      </w:r>
      <w:r w:rsidRPr="00EC0229">
        <w:rPr>
          <w:szCs w:val="24"/>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szCs w:val="24"/>
        </w:rPr>
        <w:fldChar w:fldCharType="end"/>
      </w:r>
      <w:r w:rsidRPr="00EC0229">
        <w:rPr>
          <w:szCs w:val="24"/>
        </w:rPr>
        <w:t xml:space="preserve"> find. This élite</w:t>
      </w:r>
      <w:r w:rsidRPr="00EC0229">
        <w:rPr>
          <w:szCs w:val="24"/>
        </w:rPr>
        <w:fldChar w:fldCharType="begin"/>
      </w:r>
      <w:r w:rsidRPr="00EC0229">
        <w:instrText xml:space="preserve"> XE "</w:instrText>
      </w:r>
      <w:r w:rsidRPr="00EC0229">
        <w:rPr>
          <w:szCs w:val="24"/>
        </w:rPr>
        <w:instrText>élite</w:instrText>
      </w:r>
      <w:r w:rsidRPr="00EC0229">
        <w:instrText xml:space="preserve">" </w:instrText>
      </w:r>
      <w:r w:rsidRPr="00EC0229">
        <w:rPr>
          <w:szCs w:val="24"/>
        </w:rPr>
        <w:fldChar w:fldCharType="end"/>
      </w:r>
      <w:r w:rsidRPr="00EC0229">
        <w:rPr>
          <w:szCs w:val="24"/>
        </w:rPr>
        <w:t xml:space="preserve"> decorative piece marks the site as of high status.</w:t>
      </w:r>
    </w:p>
    <w:p w14:paraId="57E59470" w14:textId="77777777" w:rsidR="00071F47" w:rsidRPr="00EC0229" w:rsidRDefault="00071F47" w:rsidP="007600EA">
      <w:pPr>
        <w:pStyle w:val="NoSpacing"/>
        <w:spacing w:line="360" w:lineRule="auto"/>
        <w:rPr>
          <w:szCs w:val="24"/>
        </w:rPr>
      </w:pPr>
    </w:p>
    <w:p w14:paraId="1D7C6555" w14:textId="77777777" w:rsidR="00071F47" w:rsidRPr="00EC0229" w:rsidRDefault="00071F47" w:rsidP="007600EA">
      <w:pPr>
        <w:pStyle w:val="NoSpacing"/>
        <w:spacing w:line="360" w:lineRule="auto"/>
        <w:jc w:val="center"/>
        <w:rPr>
          <w:szCs w:val="24"/>
        </w:rPr>
      </w:pPr>
      <w:r w:rsidRPr="00EC0229">
        <w:rPr>
          <w:noProof/>
          <w:szCs w:val="24"/>
          <w:lang w:eastAsia="en-GB"/>
        </w:rPr>
        <w:drawing>
          <wp:inline distT="0" distB="0" distL="0" distR="0" wp14:anchorId="6D99F938" wp14:editId="46FABD00">
            <wp:extent cx="1136615" cy="1091749"/>
            <wp:effectExtent l="0" t="0" r="698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ldfrith Driffield 2006.0119obv.jp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163940" cy="1117996"/>
                    </a:xfrm>
                    <a:prstGeom prst="rect">
                      <a:avLst/>
                    </a:prstGeom>
                  </pic:spPr>
                </pic:pic>
              </a:graphicData>
            </a:graphic>
          </wp:inline>
        </w:drawing>
      </w:r>
      <w:r w:rsidRPr="00EC0229">
        <w:rPr>
          <w:noProof/>
          <w:szCs w:val="24"/>
          <w:lang w:eastAsia="en-GB"/>
        </w:rPr>
        <w:drawing>
          <wp:inline distT="0" distB="0" distL="0" distR="0" wp14:anchorId="1C3172F5" wp14:editId="3013DF32">
            <wp:extent cx="1040541" cy="1092200"/>
            <wp:effectExtent l="0" t="0" r="762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ldfrith Driffield 2006.0119rev.jp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1055268" cy="1107658"/>
                    </a:xfrm>
                    <a:prstGeom prst="rect">
                      <a:avLst/>
                    </a:prstGeom>
                  </pic:spPr>
                </pic:pic>
              </a:graphicData>
            </a:graphic>
          </wp:inline>
        </w:drawing>
      </w:r>
    </w:p>
    <w:p w14:paraId="2268C9BE" w14:textId="4478DA2E" w:rsidR="00941A45" w:rsidRDefault="00071F47" w:rsidP="007600EA">
      <w:pPr>
        <w:spacing w:line="360" w:lineRule="auto"/>
        <w:jc w:val="center"/>
        <w:rPr>
          <w:sz w:val="20"/>
          <w:szCs w:val="20"/>
        </w:rPr>
      </w:pPr>
      <w:bookmarkStart w:id="723" w:name="_Ref430249048"/>
      <w:bookmarkStart w:id="724" w:name="_Toc468267093"/>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121</w:t>
      </w:r>
      <w:r w:rsidRPr="00EC0229">
        <w:rPr>
          <w:sz w:val="20"/>
          <w:szCs w:val="20"/>
        </w:rPr>
        <w:fldChar w:fldCharType="end"/>
      </w:r>
      <w:bookmarkEnd w:id="723"/>
      <w:r w:rsidRPr="00EC0229">
        <w:rPr>
          <w:sz w:val="20"/>
          <w:szCs w:val="20"/>
        </w:rPr>
        <w:t>: Sceat of Aldfrith</w:t>
      </w:r>
      <w:r w:rsidRPr="00EC0229">
        <w:rPr>
          <w:sz w:val="20"/>
          <w:szCs w:val="20"/>
        </w:rPr>
        <w:fldChar w:fldCharType="begin"/>
      </w:r>
      <w:r w:rsidRPr="00EC0229">
        <w:rPr>
          <w:sz w:val="20"/>
          <w:szCs w:val="20"/>
        </w:rPr>
        <w:instrText xml:space="preserve"> XE "Aldfrith" </w:instrText>
      </w:r>
      <w:r w:rsidRPr="00EC0229">
        <w:rPr>
          <w:sz w:val="20"/>
          <w:szCs w:val="20"/>
        </w:rPr>
        <w:fldChar w:fldCharType="end"/>
      </w:r>
      <w:r w:rsidRPr="00EC0229">
        <w:rPr>
          <w:sz w:val="20"/>
          <w:szCs w:val="20"/>
        </w:rPr>
        <w:t>, found Driffield</w:t>
      </w:r>
      <w:bookmarkEnd w:id="724"/>
      <w:r w:rsidRPr="00EC0229">
        <w:rPr>
          <w:sz w:val="20"/>
          <w:szCs w:val="20"/>
        </w:rPr>
        <w:fldChar w:fldCharType="begin"/>
      </w:r>
      <w:r w:rsidRPr="00EC0229">
        <w:rPr>
          <w:sz w:val="20"/>
          <w:szCs w:val="20"/>
        </w:rPr>
        <w:instrText xml:space="preserve"> XE "Driffield" </w:instrText>
      </w:r>
      <w:r w:rsidRPr="00EC0229">
        <w:rPr>
          <w:sz w:val="20"/>
          <w:szCs w:val="20"/>
        </w:rPr>
        <w:fldChar w:fldCharType="end"/>
      </w:r>
      <w:r w:rsidRPr="00EC0229">
        <w:rPr>
          <w:sz w:val="20"/>
          <w:szCs w:val="20"/>
        </w:rPr>
        <w:t xml:space="preserve"> </w:t>
      </w:r>
    </w:p>
    <w:p w14:paraId="48481CC9" w14:textId="4A044F73" w:rsidR="00071F47" w:rsidRPr="00EC0229" w:rsidRDefault="00071F47" w:rsidP="007600EA">
      <w:pPr>
        <w:spacing w:line="360" w:lineRule="auto"/>
        <w:jc w:val="center"/>
        <w:rPr>
          <w:i/>
          <w:sz w:val="20"/>
          <w:szCs w:val="20"/>
        </w:rPr>
      </w:pPr>
      <w:r w:rsidRPr="00EC0229">
        <w:rPr>
          <w:sz w:val="20"/>
          <w:szCs w:val="20"/>
        </w:rPr>
        <w:t>(EMC</w:t>
      </w:r>
      <w:r w:rsidRPr="00EC0229">
        <w:rPr>
          <w:sz w:val="20"/>
          <w:szCs w:val="20"/>
        </w:rPr>
        <w:fldChar w:fldCharType="begin"/>
      </w:r>
      <w:r w:rsidRPr="00EC0229">
        <w:rPr>
          <w:sz w:val="20"/>
          <w:szCs w:val="20"/>
        </w:rPr>
        <w:instrText xml:space="preserve"> XE "EMC" </w:instrText>
      </w:r>
      <w:r w:rsidRPr="00EC0229">
        <w:rPr>
          <w:sz w:val="20"/>
          <w:szCs w:val="20"/>
        </w:rPr>
        <w:fldChar w:fldCharType="end"/>
      </w:r>
      <w:r w:rsidRPr="00EC0229">
        <w:rPr>
          <w:sz w:val="20"/>
          <w:szCs w:val="20"/>
        </w:rPr>
        <w:t xml:space="preserve"> 2006.0119)</w:t>
      </w:r>
    </w:p>
    <w:p w14:paraId="1185199F" w14:textId="39907CD0" w:rsidR="00071F47" w:rsidRPr="00EC0229" w:rsidRDefault="00071F47" w:rsidP="007600EA">
      <w:pPr>
        <w:pStyle w:val="NoSpacing"/>
        <w:spacing w:line="360" w:lineRule="auto"/>
        <w:rPr>
          <w:szCs w:val="24"/>
        </w:rPr>
      </w:pPr>
      <w:r w:rsidRPr="00EC0229">
        <w:rPr>
          <w:szCs w:val="24"/>
        </w:rPr>
        <w:t>Four primary period sceats are recorded from this site, including, appropriately, one of Aldfrith</w:t>
      </w:r>
      <w:r w:rsidRPr="00EC0229">
        <w:rPr>
          <w:szCs w:val="24"/>
        </w:rPr>
        <w:fldChar w:fldCharType="begin"/>
      </w:r>
      <w:r w:rsidRPr="00EC0229">
        <w:instrText xml:space="preserve"> XE "Aldfrith" </w:instrText>
      </w:r>
      <w:r w:rsidRPr="00EC0229">
        <w:rPr>
          <w:szCs w:val="24"/>
        </w:rPr>
        <w:fldChar w:fldCharType="end"/>
      </w:r>
      <w:r w:rsidRPr="00EC0229">
        <w:rPr>
          <w:szCs w:val="24"/>
        </w:rPr>
        <w:t xml:space="preserve">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_Ref430249048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121</w: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szCs w:val="24"/>
        </w:rPr>
        <w:t>, [4a], who died here, and two from the Low Countries, [4c]. If genuine, the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Z facing bust, [4b], is of exceptional quality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_Ref431884983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color w:val="000000" w:themeColor="text1"/>
          <w:szCs w:val="24"/>
        </w:rPr>
        <w:t xml:space="preserve">Figure </w:t>
      </w:r>
      <w:r w:rsidR="0012026B" w:rsidRPr="0012026B">
        <w:rPr>
          <w:i/>
          <w:noProof/>
          <w:color w:val="000000" w:themeColor="text1"/>
          <w:szCs w:val="24"/>
        </w:rPr>
        <w:t>122</w: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szCs w:val="24"/>
        </w:rPr>
        <w:t>. Based on this specimen, the reverse should be interpreted not as a hound but as a foraging, long-snouted, curly-tailed boar, a feast animal held in some esteem in both Roman</w:t>
      </w:r>
      <w:r w:rsidRPr="00EC0229">
        <w:rPr>
          <w:szCs w:val="24"/>
        </w:rPr>
        <w:fldChar w:fldCharType="begin"/>
      </w:r>
      <w:r w:rsidRPr="00EC0229">
        <w:instrText xml:space="preserve"> XE "Roman" </w:instrText>
      </w:r>
      <w:r w:rsidRPr="00EC0229">
        <w:rPr>
          <w:szCs w:val="24"/>
        </w:rPr>
        <w:fldChar w:fldCharType="end"/>
      </w:r>
      <w:r w:rsidRPr="00EC0229">
        <w:rPr>
          <w:szCs w:val="24"/>
        </w:rPr>
        <w:t xml:space="preserve"> and Germanic cultures.</w:t>
      </w:r>
      <w:r w:rsidRPr="00EC0229">
        <w:rPr>
          <w:rStyle w:val="FootnoteReference"/>
          <w:szCs w:val="24"/>
        </w:rPr>
        <w:footnoteReference w:id="1065"/>
      </w:r>
    </w:p>
    <w:p w14:paraId="3A34B0FE" w14:textId="77777777" w:rsidR="00071F47" w:rsidRPr="00EC0229" w:rsidRDefault="00071F47" w:rsidP="007600EA">
      <w:pPr>
        <w:pStyle w:val="NoSpacing"/>
        <w:spacing w:line="360" w:lineRule="auto"/>
        <w:jc w:val="center"/>
        <w:rPr>
          <w:szCs w:val="24"/>
        </w:rPr>
      </w:pPr>
      <w:r w:rsidRPr="00EC0229">
        <w:rPr>
          <w:noProof/>
          <w:szCs w:val="24"/>
          <w:lang w:eastAsia="en-GB"/>
        </w:rPr>
        <w:drawing>
          <wp:inline distT="0" distB="0" distL="0" distR="0" wp14:anchorId="056651DE" wp14:editId="415F56D0">
            <wp:extent cx="1000177" cy="964773"/>
            <wp:effectExtent l="0" t="0" r="0" b="698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Driffield finds - Alan Hunt (1).JPG"/>
                    <pic:cNvPicPr/>
                  </pic:nvPicPr>
                  <pic:blipFill>
                    <a:blip r:embed="rId389">
                      <a:extLst>
                        <a:ext uri="{28A0092B-C50C-407E-A947-70E740481C1C}">
                          <a14:useLocalDpi xmlns:a14="http://schemas.microsoft.com/office/drawing/2010/main" val="0"/>
                        </a:ext>
                      </a:extLst>
                    </a:blip>
                    <a:stretch>
                      <a:fillRect/>
                    </a:stretch>
                  </pic:blipFill>
                  <pic:spPr>
                    <a:xfrm>
                      <a:off x="0" y="0"/>
                      <a:ext cx="1008622" cy="972919"/>
                    </a:xfrm>
                    <a:prstGeom prst="rect">
                      <a:avLst/>
                    </a:prstGeom>
                  </pic:spPr>
                </pic:pic>
              </a:graphicData>
            </a:graphic>
          </wp:inline>
        </w:drawing>
      </w:r>
      <w:r w:rsidRPr="00EC0229">
        <w:rPr>
          <w:noProof/>
          <w:szCs w:val="24"/>
          <w:lang w:eastAsia="en-GB"/>
        </w:rPr>
        <w:drawing>
          <wp:inline distT="0" distB="0" distL="0" distR="0" wp14:anchorId="01924701" wp14:editId="63BA91E1">
            <wp:extent cx="977419" cy="96012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Driffield finds - Alan Hunt (2).JPG"/>
                    <pic:cNvPicPr/>
                  </pic:nvPicPr>
                  <pic:blipFill>
                    <a:blip r:embed="rId390">
                      <a:extLst>
                        <a:ext uri="{28A0092B-C50C-407E-A947-70E740481C1C}">
                          <a14:useLocalDpi xmlns:a14="http://schemas.microsoft.com/office/drawing/2010/main" val="0"/>
                        </a:ext>
                      </a:extLst>
                    </a:blip>
                    <a:stretch>
                      <a:fillRect/>
                    </a:stretch>
                  </pic:blipFill>
                  <pic:spPr>
                    <a:xfrm>
                      <a:off x="0" y="0"/>
                      <a:ext cx="986665" cy="969203"/>
                    </a:xfrm>
                    <a:prstGeom prst="rect">
                      <a:avLst/>
                    </a:prstGeom>
                  </pic:spPr>
                </pic:pic>
              </a:graphicData>
            </a:graphic>
          </wp:inline>
        </w:drawing>
      </w:r>
      <w:r w:rsidRPr="00EC0229">
        <w:rPr>
          <w:szCs w:val="24"/>
        </w:rPr>
        <w:tab/>
      </w:r>
      <w:r w:rsidRPr="00EC0229">
        <w:rPr>
          <w:szCs w:val="24"/>
        </w:rPr>
        <w:tab/>
      </w:r>
      <w:r w:rsidRPr="00EC0229">
        <w:rPr>
          <w:noProof/>
          <w:szCs w:val="24"/>
          <w:lang w:eastAsia="en-GB"/>
        </w:rPr>
        <w:drawing>
          <wp:inline distT="0" distB="0" distL="0" distR="0" wp14:anchorId="077B5E80" wp14:editId="22E519D0">
            <wp:extent cx="934085" cy="975417"/>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Driffield finds - Alan Hunt (6).JPG"/>
                    <pic:cNvPicPr/>
                  </pic:nvPicPr>
                  <pic:blipFill>
                    <a:blip r:embed="rId391">
                      <a:extLst>
                        <a:ext uri="{28A0092B-C50C-407E-A947-70E740481C1C}">
                          <a14:useLocalDpi xmlns:a14="http://schemas.microsoft.com/office/drawing/2010/main" val="0"/>
                        </a:ext>
                      </a:extLst>
                    </a:blip>
                    <a:stretch>
                      <a:fillRect/>
                    </a:stretch>
                  </pic:blipFill>
                  <pic:spPr>
                    <a:xfrm>
                      <a:off x="0" y="0"/>
                      <a:ext cx="943574" cy="985326"/>
                    </a:xfrm>
                    <a:prstGeom prst="rect">
                      <a:avLst/>
                    </a:prstGeom>
                  </pic:spPr>
                </pic:pic>
              </a:graphicData>
            </a:graphic>
          </wp:inline>
        </w:drawing>
      </w:r>
      <w:r w:rsidRPr="00EC0229">
        <w:rPr>
          <w:noProof/>
          <w:szCs w:val="24"/>
          <w:lang w:eastAsia="en-GB"/>
        </w:rPr>
        <w:drawing>
          <wp:inline distT="0" distB="0" distL="0" distR="0" wp14:anchorId="4A1BF4B6" wp14:editId="2D87D424">
            <wp:extent cx="992097" cy="956979"/>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Driffield finds - Alan Hunt (7).JPG"/>
                    <pic:cNvPicPr/>
                  </pic:nvPicPr>
                  <pic:blipFill>
                    <a:blip r:embed="rId392">
                      <a:extLst>
                        <a:ext uri="{28A0092B-C50C-407E-A947-70E740481C1C}">
                          <a14:useLocalDpi xmlns:a14="http://schemas.microsoft.com/office/drawing/2010/main" val="0"/>
                        </a:ext>
                      </a:extLst>
                    </a:blip>
                    <a:stretch>
                      <a:fillRect/>
                    </a:stretch>
                  </pic:blipFill>
                  <pic:spPr>
                    <a:xfrm>
                      <a:off x="0" y="0"/>
                      <a:ext cx="1002069" cy="966598"/>
                    </a:xfrm>
                    <a:prstGeom prst="rect">
                      <a:avLst/>
                    </a:prstGeom>
                  </pic:spPr>
                </pic:pic>
              </a:graphicData>
            </a:graphic>
          </wp:inline>
        </w:drawing>
      </w:r>
    </w:p>
    <w:p w14:paraId="48D21A4F" w14:textId="4F7EF0EA" w:rsidR="00941A45" w:rsidRDefault="00071F47" w:rsidP="007600EA">
      <w:pPr>
        <w:spacing w:line="360" w:lineRule="auto"/>
        <w:jc w:val="center"/>
        <w:rPr>
          <w:sz w:val="20"/>
          <w:szCs w:val="20"/>
        </w:rPr>
      </w:pPr>
      <w:bookmarkStart w:id="725" w:name="_Ref431884983"/>
      <w:bookmarkStart w:id="726" w:name="_Toc468267094"/>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122</w:t>
      </w:r>
      <w:r w:rsidRPr="00EC0229">
        <w:rPr>
          <w:sz w:val="20"/>
          <w:szCs w:val="20"/>
        </w:rPr>
        <w:fldChar w:fldCharType="end"/>
      </w:r>
      <w:bookmarkEnd w:id="725"/>
      <w:r w:rsidRPr="00EC0229">
        <w:rPr>
          <w:sz w:val="20"/>
          <w:szCs w:val="20"/>
        </w:rPr>
        <w:t>: ‘Driffield’, Series J, type 85</w:t>
      </w:r>
      <w:bookmarkEnd w:id="726"/>
      <w:r w:rsidRPr="00EC0229">
        <w:rPr>
          <w:sz w:val="20"/>
          <w:szCs w:val="20"/>
        </w:rPr>
        <w:t xml:space="preserve"> </w:t>
      </w:r>
    </w:p>
    <w:p w14:paraId="1276DE03" w14:textId="238F3ADE" w:rsidR="00071F47" w:rsidRPr="00EC0229" w:rsidRDefault="00071F47" w:rsidP="007600EA">
      <w:pPr>
        <w:spacing w:line="360" w:lineRule="auto"/>
        <w:jc w:val="center"/>
        <w:rPr>
          <w:i/>
          <w:sz w:val="20"/>
          <w:szCs w:val="20"/>
        </w:rPr>
      </w:pPr>
      <w:r w:rsidRPr="00EC0229">
        <w:rPr>
          <w:sz w:val="20"/>
          <w:szCs w:val="20"/>
        </w:rPr>
        <w:t>(Courtesy A. Hunt)</w:t>
      </w:r>
    </w:p>
    <w:p w14:paraId="752FD57B" w14:textId="77777777" w:rsidR="00071F47" w:rsidRPr="00EC0229" w:rsidRDefault="00071F47" w:rsidP="007600EA">
      <w:pPr>
        <w:pStyle w:val="NoSpacing"/>
        <w:spacing w:line="360" w:lineRule="auto"/>
        <w:jc w:val="center"/>
        <w:rPr>
          <w:szCs w:val="24"/>
        </w:rPr>
      </w:pPr>
      <w:r w:rsidRPr="00EC0229">
        <w:rPr>
          <w:noProof/>
          <w:szCs w:val="24"/>
          <w:lang w:eastAsia="en-GB"/>
        </w:rPr>
        <w:drawing>
          <wp:inline distT="0" distB="0" distL="0" distR="0" wp14:anchorId="4EE243BE" wp14:editId="594DA19E">
            <wp:extent cx="918688" cy="949325"/>
            <wp:effectExtent l="0" t="0" r="0" b="317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0 Z200.JPG"/>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940497" cy="971862"/>
                    </a:xfrm>
                    <a:prstGeom prst="rect">
                      <a:avLst/>
                    </a:prstGeom>
                  </pic:spPr>
                </pic:pic>
              </a:graphicData>
            </a:graphic>
          </wp:inline>
        </w:drawing>
      </w:r>
      <w:r w:rsidRPr="00EC0229">
        <w:rPr>
          <w:noProof/>
          <w:szCs w:val="24"/>
          <w:lang w:eastAsia="en-GB"/>
        </w:rPr>
        <w:drawing>
          <wp:inline distT="0" distB="0" distL="0" distR="0" wp14:anchorId="123E2330" wp14:editId="74D8946B">
            <wp:extent cx="896472" cy="944245"/>
            <wp:effectExtent l="0" t="0" r="0" b="825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0 Z200R.JPG"/>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920408" cy="969457"/>
                    </a:xfrm>
                    <a:prstGeom prst="rect">
                      <a:avLst/>
                    </a:prstGeom>
                  </pic:spPr>
                </pic:pic>
              </a:graphicData>
            </a:graphic>
          </wp:inline>
        </w:drawing>
      </w:r>
    </w:p>
    <w:p w14:paraId="471DB8F5" w14:textId="25AD99C4" w:rsidR="00071F47" w:rsidRPr="00EC0229" w:rsidRDefault="00071F47" w:rsidP="007600EA">
      <w:pPr>
        <w:spacing w:line="360" w:lineRule="auto"/>
        <w:jc w:val="center"/>
        <w:rPr>
          <w:sz w:val="20"/>
          <w:szCs w:val="20"/>
        </w:rPr>
      </w:pPr>
      <w:bookmarkStart w:id="727" w:name="_Ref430249056"/>
      <w:bookmarkStart w:id="728" w:name="_Toc468267095"/>
      <w:r w:rsidRPr="00EC0229">
        <w:rPr>
          <w:i/>
          <w:sz w:val="20"/>
          <w:szCs w:val="20"/>
        </w:rPr>
        <w:lastRenderedPageBreak/>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123</w:t>
      </w:r>
      <w:r w:rsidRPr="00EC0229">
        <w:rPr>
          <w:sz w:val="20"/>
          <w:szCs w:val="20"/>
        </w:rPr>
        <w:fldChar w:fldCharType="end"/>
      </w:r>
      <w:bookmarkEnd w:id="727"/>
      <w:r w:rsidRPr="00EC0229">
        <w:rPr>
          <w:sz w:val="20"/>
          <w:szCs w:val="20"/>
        </w:rPr>
        <w:t>: Driffield</w:t>
      </w:r>
      <w:r w:rsidRPr="00EC0229">
        <w:rPr>
          <w:sz w:val="20"/>
          <w:szCs w:val="20"/>
        </w:rPr>
        <w:fldChar w:fldCharType="begin"/>
      </w:r>
      <w:r w:rsidRPr="00EC0229">
        <w:rPr>
          <w:sz w:val="20"/>
          <w:szCs w:val="20"/>
        </w:rPr>
        <w:instrText xml:space="preserve"> XE "Driffield" </w:instrText>
      </w:r>
      <w:r w:rsidRPr="00EC0229">
        <w:rPr>
          <w:sz w:val="20"/>
          <w:szCs w:val="20"/>
        </w:rPr>
        <w:fldChar w:fldCharType="end"/>
      </w:r>
      <w:r w:rsidRPr="00EC0229">
        <w:rPr>
          <w:sz w:val="20"/>
          <w:szCs w:val="20"/>
        </w:rPr>
        <w:t>: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Z (SL 102-20)</w:t>
      </w:r>
      <w:bookmarkEnd w:id="728"/>
    </w:p>
    <w:p w14:paraId="5A4D70C9" w14:textId="77777777" w:rsidR="00071F47" w:rsidRPr="00EC0229" w:rsidRDefault="00071F47" w:rsidP="007600EA">
      <w:pPr>
        <w:pStyle w:val="NoSpacing"/>
        <w:spacing w:line="360" w:lineRule="auto"/>
      </w:pPr>
    </w:p>
    <w:p w14:paraId="67ECAA6E" w14:textId="17B9A571" w:rsidR="00071F47" w:rsidRPr="00EC0229" w:rsidRDefault="00071F47" w:rsidP="007600EA">
      <w:pPr>
        <w:pStyle w:val="NoSpacing"/>
        <w:spacing w:line="360" w:lineRule="auto"/>
        <w:rPr>
          <w:i/>
        </w:rPr>
      </w:pPr>
      <w:r w:rsidRPr="00EC0229">
        <w:rPr>
          <w:szCs w:val="24"/>
        </w:rPr>
        <w:t>A specimen of the wide-spread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G heads the secondary phase sceats. There are seven secondary Series E</w:t>
      </w:r>
      <w:r w:rsidRPr="00EC0229">
        <w:rPr>
          <w:szCs w:val="24"/>
        </w:rPr>
        <w:fldChar w:fldCharType="begin"/>
      </w:r>
      <w:r w:rsidRPr="00EC0229">
        <w:instrText xml:space="preserve"> XE "Series E" </w:instrText>
      </w:r>
      <w:r w:rsidRPr="00EC0229">
        <w:rPr>
          <w:szCs w:val="24"/>
        </w:rPr>
        <w:fldChar w:fldCharType="end"/>
      </w:r>
      <w:r w:rsidRPr="00EC0229">
        <w:rPr>
          <w:szCs w:val="24"/>
        </w:rPr>
        <w:t xml:space="preserve"> sceats, [5c], such that the Continental proportion is high. A Series J coin, [5a], is marked it out as imitative by the mirror-image reverse, though two others in crisp condition are reported (</w:t>
      </w:r>
      <w:r w:rsidRPr="00EC0229">
        <w:rPr>
          <w:i/>
          <w:szCs w:val="24"/>
        </w:rPr>
        <w:fldChar w:fldCharType="begin"/>
      </w:r>
      <w:r w:rsidRPr="00EC0229">
        <w:rPr>
          <w:i/>
          <w:szCs w:val="24"/>
        </w:rPr>
        <w:instrText xml:space="preserve"> REF _Ref431884983 \h  \* MERGEFORMAT </w:instrText>
      </w:r>
      <w:r w:rsidRPr="00EC0229">
        <w:rPr>
          <w:i/>
          <w:szCs w:val="24"/>
        </w:rPr>
      </w:r>
      <w:r w:rsidRPr="00EC0229">
        <w:rPr>
          <w:i/>
          <w:szCs w:val="24"/>
        </w:rPr>
        <w:fldChar w:fldCharType="separate"/>
      </w:r>
      <w:r w:rsidR="0012026B" w:rsidRPr="0012026B">
        <w:rPr>
          <w:i/>
        </w:rPr>
        <w:t xml:space="preserve">Figure </w:t>
      </w:r>
      <w:r w:rsidR="0012026B" w:rsidRPr="0012026B">
        <w:rPr>
          <w:noProof/>
        </w:rPr>
        <w:t>122</w:t>
      </w:r>
      <w:r w:rsidRPr="00EC0229">
        <w:rPr>
          <w:i/>
          <w:szCs w:val="24"/>
        </w:rPr>
        <w:fldChar w:fldCharType="end"/>
      </w:r>
      <w:r w:rsidRPr="00EC0229">
        <w:rPr>
          <w:szCs w:val="24"/>
        </w:rPr>
        <w:t xml:space="preserve">). Southern sceats show a good mix of Series K, N, Q and U, [5b]; the last is in good condition, and of unusual style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_Ref430249082 \h </w:instrText>
      </w:r>
      <w:r w:rsidR="007600EA" w:rsidRPr="00EC0229">
        <w:rPr>
          <w:rFonts w:eastAsia="Times New Roman" w:cs="Times New Roman"/>
          <w:iCs/>
          <w:szCs w:val="24"/>
          <w:lang w:eastAsia="en-GB"/>
        </w:rPr>
        <w:instrText xml:space="preserve">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EC0229">
        <w:rPr>
          <w:i/>
          <w:sz w:val="20"/>
          <w:szCs w:val="20"/>
        </w:rPr>
        <w:t xml:space="preserve">Figure </w:t>
      </w:r>
      <w:r w:rsidR="0012026B">
        <w:rPr>
          <w:noProof/>
          <w:sz w:val="20"/>
          <w:szCs w:val="20"/>
        </w:rPr>
        <w:t>125</w: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szCs w:val="24"/>
        </w:rPr>
        <w:t xml:space="preserve"> </w:t>
      </w:r>
    </w:p>
    <w:p w14:paraId="7D532EE0" w14:textId="77777777" w:rsidR="00071F47" w:rsidRPr="00EC0229" w:rsidRDefault="00071F47" w:rsidP="007600EA">
      <w:pPr>
        <w:pStyle w:val="NoSpacing"/>
        <w:spacing w:line="360" w:lineRule="auto"/>
        <w:rPr>
          <w:szCs w:val="24"/>
        </w:rPr>
      </w:pPr>
    </w:p>
    <w:p w14:paraId="7B3A3D4F" w14:textId="77777777" w:rsidR="00071F47" w:rsidRPr="00EC0229" w:rsidRDefault="00071F47" w:rsidP="007600EA">
      <w:pPr>
        <w:pStyle w:val="NoSpacing"/>
        <w:spacing w:line="360" w:lineRule="auto"/>
        <w:jc w:val="center"/>
        <w:rPr>
          <w:i/>
        </w:rPr>
      </w:pPr>
      <w:r w:rsidRPr="00EC0229">
        <w:rPr>
          <w:noProof/>
          <w:szCs w:val="24"/>
          <w:lang w:eastAsia="en-GB"/>
        </w:rPr>
        <w:drawing>
          <wp:inline distT="0" distB="0" distL="0" distR="0" wp14:anchorId="33C2BE9D" wp14:editId="51175CAF">
            <wp:extent cx="1051192" cy="1124777"/>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iffield 45-10 U040.JPG"/>
                    <pic:cNvPicPr/>
                  </pic:nvPicPr>
                  <pic:blipFill>
                    <a:blip r:embed="rId395">
                      <a:extLst>
                        <a:ext uri="{28A0092B-C50C-407E-A947-70E740481C1C}">
                          <a14:useLocalDpi xmlns:a14="http://schemas.microsoft.com/office/drawing/2010/main" val="0"/>
                        </a:ext>
                      </a:extLst>
                    </a:blip>
                    <a:stretch>
                      <a:fillRect/>
                    </a:stretch>
                  </pic:blipFill>
                  <pic:spPr>
                    <a:xfrm>
                      <a:off x="0" y="0"/>
                      <a:ext cx="1073081" cy="1148198"/>
                    </a:xfrm>
                    <a:prstGeom prst="rect">
                      <a:avLst/>
                    </a:prstGeom>
                  </pic:spPr>
                </pic:pic>
              </a:graphicData>
            </a:graphic>
          </wp:inline>
        </w:drawing>
      </w:r>
      <w:r w:rsidRPr="00EC0229">
        <w:rPr>
          <w:noProof/>
          <w:szCs w:val="24"/>
          <w:lang w:eastAsia="en-GB"/>
        </w:rPr>
        <w:drawing>
          <wp:inline distT="0" distB="0" distL="0" distR="0" wp14:anchorId="084B82A4" wp14:editId="53DF719E">
            <wp:extent cx="1176020" cy="1128979"/>
            <wp:effectExtent l="0" t="0" r="508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iffield 45-10 U040R.JPG"/>
                    <pic:cNvPicPr/>
                  </pic:nvPicPr>
                  <pic:blipFill>
                    <a:blip r:embed="rId396">
                      <a:extLst>
                        <a:ext uri="{28A0092B-C50C-407E-A947-70E740481C1C}">
                          <a14:useLocalDpi xmlns:a14="http://schemas.microsoft.com/office/drawing/2010/main" val="0"/>
                        </a:ext>
                      </a:extLst>
                    </a:blip>
                    <a:stretch>
                      <a:fillRect/>
                    </a:stretch>
                  </pic:blipFill>
                  <pic:spPr>
                    <a:xfrm>
                      <a:off x="0" y="0"/>
                      <a:ext cx="1189417" cy="1141840"/>
                    </a:xfrm>
                    <a:prstGeom prst="rect">
                      <a:avLst/>
                    </a:prstGeom>
                  </pic:spPr>
                </pic:pic>
              </a:graphicData>
            </a:graphic>
          </wp:inline>
        </w:drawing>
      </w:r>
      <w:bookmarkStart w:id="729" w:name="_Ref430249069"/>
    </w:p>
    <w:p w14:paraId="044EFC4F" w14:textId="405DD889" w:rsidR="00071F47" w:rsidRPr="00EC0229" w:rsidRDefault="00071F47" w:rsidP="007600EA">
      <w:pPr>
        <w:spacing w:line="360" w:lineRule="auto"/>
        <w:jc w:val="center"/>
        <w:rPr>
          <w:i/>
          <w:sz w:val="20"/>
          <w:szCs w:val="20"/>
        </w:rPr>
      </w:pPr>
      <w:bookmarkStart w:id="730" w:name="_Toc468267096"/>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124</w:t>
      </w:r>
      <w:r w:rsidRPr="00EC0229">
        <w:rPr>
          <w:sz w:val="20"/>
          <w:szCs w:val="20"/>
        </w:rPr>
        <w:fldChar w:fldCharType="end"/>
      </w:r>
      <w:bookmarkEnd w:id="729"/>
      <w:r w:rsidRPr="00EC0229">
        <w:rPr>
          <w:sz w:val="20"/>
          <w:szCs w:val="20"/>
        </w:rPr>
        <w:t>: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U, found Driffield</w:t>
      </w:r>
      <w:bookmarkEnd w:id="730"/>
      <w:r w:rsidRPr="00EC0229">
        <w:rPr>
          <w:i/>
          <w:sz w:val="20"/>
          <w:szCs w:val="20"/>
        </w:rPr>
        <w:fldChar w:fldCharType="begin"/>
      </w:r>
      <w:r w:rsidRPr="00EC0229">
        <w:rPr>
          <w:i/>
          <w:sz w:val="20"/>
          <w:szCs w:val="20"/>
        </w:rPr>
        <w:instrText xml:space="preserve"> XE "</w:instrText>
      </w:r>
      <w:r w:rsidRPr="00EC0229">
        <w:rPr>
          <w:i/>
        </w:rPr>
        <w:instrText>Driffield</w:instrText>
      </w:r>
      <w:r w:rsidRPr="00EC0229">
        <w:rPr>
          <w:i/>
          <w:sz w:val="20"/>
          <w:szCs w:val="20"/>
        </w:rPr>
        <w:instrText xml:space="preserve">" </w:instrText>
      </w:r>
      <w:r w:rsidRPr="00EC0229">
        <w:rPr>
          <w:i/>
          <w:sz w:val="20"/>
          <w:szCs w:val="20"/>
        </w:rPr>
        <w:fldChar w:fldCharType="end"/>
      </w:r>
    </w:p>
    <w:p w14:paraId="653218DF" w14:textId="77777777" w:rsidR="00071F47" w:rsidRPr="00EC0229" w:rsidRDefault="00071F47" w:rsidP="007600EA">
      <w:pPr>
        <w:pStyle w:val="NoSpacing"/>
        <w:spacing w:line="360" w:lineRule="auto"/>
      </w:pPr>
      <w:r w:rsidRPr="00EC0229">
        <w:rPr>
          <w:noProof/>
          <w:lang w:eastAsia="en-GB"/>
        </w:rPr>
        <w:drawing>
          <wp:anchor distT="0" distB="0" distL="114300" distR="114300" simplePos="0" relativeHeight="251672576" behindDoc="1" locked="0" layoutInCell="1" allowOverlap="1" wp14:anchorId="3E16A266" wp14:editId="05610165">
            <wp:simplePos x="0" y="0"/>
            <wp:positionH relativeFrom="column">
              <wp:posOffset>1379220</wp:posOffset>
            </wp:positionH>
            <wp:positionV relativeFrom="paragraph">
              <wp:posOffset>172720</wp:posOffset>
            </wp:positionV>
            <wp:extent cx="2903220" cy="1983105"/>
            <wp:effectExtent l="0" t="0" r="0" b="0"/>
            <wp:wrapTight wrapText="bothSides">
              <wp:wrapPolygon edited="0">
                <wp:start x="0" y="0"/>
                <wp:lineTo x="0" y="21372"/>
                <wp:lineTo x="21402" y="21372"/>
                <wp:lineTo x="21402" y="0"/>
                <wp:lineTo x="0" y="0"/>
              </wp:wrapPolygon>
            </wp:wrapTight>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racteates cf 65-20, Q363 and I210, 220, 225.jpg"/>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903220" cy="1983105"/>
                    </a:xfrm>
                    <a:prstGeom prst="rect">
                      <a:avLst/>
                    </a:prstGeom>
                  </pic:spPr>
                </pic:pic>
              </a:graphicData>
            </a:graphic>
            <wp14:sizeRelH relativeFrom="page">
              <wp14:pctWidth>0</wp14:pctWidth>
            </wp14:sizeRelH>
            <wp14:sizeRelV relativeFrom="page">
              <wp14:pctHeight>0</wp14:pctHeight>
            </wp14:sizeRelV>
          </wp:anchor>
        </w:drawing>
      </w:r>
    </w:p>
    <w:p w14:paraId="4DF1095D" w14:textId="77777777" w:rsidR="00071F47" w:rsidRPr="00EC0229" w:rsidRDefault="00071F47" w:rsidP="007600EA">
      <w:pPr>
        <w:pStyle w:val="NoSpacing"/>
        <w:spacing w:line="360" w:lineRule="auto"/>
      </w:pPr>
    </w:p>
    <w:p w14:paraId="33011345" w14:textId="77777777" w:rsidR="00071F47" w:rsidRPr="00EC0229" w:rsidRDefault="00071F47" w:rsidP="007600EA">
      <w:pPr>
        <w:pStyle w:val="NoSpacing"/>
        <w:spacing w:line="360" w:lineRule="auto"/>
      </w:pPr>
    </w:p>
    <w:p w14:paraId="4B4D19C7" w14:textId="77777777" w:rsidR="00071F47" w:rsidRPr="00EC0229" w:rsidRDefault="00071F47" w:rsidP="007600EA">
      <w:pPr>
        <w:pStyle w:val="NoSpacing"/>
        <w:spacing w:line="360" w:lineRule="auto"/>
      </w:pPr>
    </w:p>
    <w:p w14:paraId="67E2CDB8" w14:textId="77777777" w:rsidR="00071F47" w:rsidRPr="00EC0229" w:rsidRDefault="00071F47" w:rsidP="007600EA">
      <w:pPr>
        <w:pStyle w:val="NoSpacing"/>
        <w:spacing w:line="360" w:lineRule="auto"/>
      </w:pPr>
    </w:p>
    <w:p w14:paraId="02FAF14D" w14:textId="77777777" w:rsidR="00071F47" w:rsidRPr="00EC0229" w:rsidRDefault="00071F47" w:rsidP="007600EA">
      <w:pPr>
        <w:pStyle w:val="NoSpacing"/>
        <w:spacing w:line="360" w:lineRule="auto"/>
      </w:pPr>
    </w:p>
    <w:p w14:paraId="7007C833" w14:textId="77777777" w:rsidR="00071F47" w:rsidRPr="00EC0229" w:rsidRDefault="00071F47" w:rsidP="007600EA">
      <w:pPr>
        <w:pStyle w:val="NoSpacing"/>
        <w:spacing w:line="360" w:lineRule="auto"/>
      </w:pPr>
    </w:p>
    <w:p w14:paraId="75983354" w14:textId="77777777" w:rsidR="00071F47" w:rsidRPr="00EC0229" w:rsidRDefault="00071F47" w:rsidP="007600EA">
      <w:pPr>
        <w:pStyle w:val="NoSpacing"/>
        <w:spacing w:line="360" w:lineRule="auto"/>
      </w:pPr>
    </w:p>
    <w:p w14:paraId="6EE5E4C8" w14:textId="77777777" w:rsidR="00071F47" w:rsidRPr="00EC0229" w:rsidRDefault="00071F47" w:rsidP="007600EA">
      <w:pPr>
        <w:pStyle w:val="NoSpacing"/>
        <w:spacing w:line="360" w:lineRule="auto"/>
      </w:pPr>
    </w:p>
    <w:p w14:paraId="0486C692" w14:textId="77777777" w:rsidR="00071F47" w:rsidRPr="00EC0229" w:rsidRDefault="00071F47" w:rsidP="007600EA">
      <w:pPr>
        <w:pStyle w:val="NoSpacing"/>
        <w:spacing w:line="360" w:lineRule="auto"/>
        <w:jc w:val="center"/>
      </w:pPr>
      <w:r w:rsidRPr="00EC0229">
        <w:rPr>
          <w:noProof/>
          <w:lang w:eastAsia="en-GB"/>
        </w:rPr>
        <w:drawing>
          <wp:inline distT="0" distB="0" distL="0" distR="0" wp14:anchorId="757F271A" wp14:editId="2A0BFF1E">
            <wp:extent cx="1158888" cy="1170476"/>
            <wp:effectExtent l="0" t="0" r="3175"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iffield 63-90 Q080R.JPG"/>
                    <pic:cNvPicPr/>
                  </pic:nvPicPr>
                  <pic:blipFill>
                    <a:blip r:embed="rId398">
                      <a:extLst>
                        <a:ext uri="{28A0092B-C50C-407E-A947-70E740481C1C}">
                          <a14:useLocalDpi xmlns:a14="http://schemas.microsoft.com/office/drawing/2010/main" val="0"/>
                        </a:ext>
                      </a:extLst>
                    </a:blip>
                    <a:stretch>
                      <a:fillRect/>
                    </a:stretch>
                  </pic:blipFill>
                  <pic:spPr>
                    <a:xfrm>
                      <a:off x="0" y="0"/>
                      <a:ext cx="1179957" cy="1191756"/>
                    </a:xfrm>
                    <a:prstGeom prst="rect">
                      <a:avLst/>
                    </a:prstGeom>
                  </pic:spPr>
                </pic:pic>
              </a:graphicData>
            </a:graphic>
          </wp:inline>
        </w:drawing>
      </w:r>
      <w:r w:rsidRPr="00EC0229">
        <w:tab/>
      </w:r>
      <w:r w:rsidRPr="00EC0229">
        <w:tab/>
      </w:r>
      <w:r w:rsidRPr="00EC0229">
        <w:tab/>
      </w:r>
      <w:r w:rsidRPr="00EC0229">
        <w:rPr>
          <w:noProof/>
          <w:lang w:eastAsia="en-GB"/>
        </w:rPr>
        <w:drawing>
          <wp:inline distT="0" distB="0" distL="0" distR="0" wp14:anchorId="2946E051" wp14:editId="1F1842AB">
            <wp:extent cx="1200411" cy="11684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acteate Doddington Lincs I210R.jpg"/>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213668" cy="1181303"/>
                    </a:xfrm>
                    <a:prstGeom prst="rect">
                      <a:avLst/>
                    </a:prstGeom>
                  </pic:spPr>
                </pic:pic>
              </a:graphicData>
            </a:graphic>
          </wp:inline>
        </w:drawing>
      </w:r>
    </w:p>
    <w:p w14:paraId="417C7088" w14:textId="2F67998B" w:rsidR="00071F47" w:rsidRPr="00EC0229" w:rsidRDefault="00071F47" w:rsidP="007600EA">
      <w:pPr>
        <w:pStyle w:val="NoSpacing"/>
        <w:spacing w:line="360" w:lineRule="auto"/>
        <w:jc w:val="center"/>
        <w:rPr>
          <w:i/>
          <w:sz w:val="20"/>
          <w:szCs w:val="20"/>
        </w:rPr>
      </w:pPr>
      <w:bookmarkStart w:id="731" w:name="_Ref430249082"/>
      <w:bookmarkStart w:id="732" w:name="_Toc468267097"/>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125</w:t>
      </w:r>
      <w:r w:rsidRPr="00EC0229">
        <w:rPr>
          <w:sz w:val="20"/>
          <w:szCs w:val="20"/>
        </w:rPr>
        <w:fldChar w:fldCharType="end"/>
      </w:r>
      <w:bookmarkEnd w:id="731"/>
      <w:r w:rsidRPr="00EC0229">
        <w:rPr>
          <w:sz w:val="20"/>
          <w:szCs w:val="20"/>
        </w:rPr>
        <w:t>: Two sceats of comparable designs to the above bracteates:</w:t>
      </w:r>
      <w:bookmarkEnd w:id="732"/>
    </w:p>
    <w:p w14:paraId="5DF5F2A9" w14:textId="77777777" w:rsidR="00071F47" w:rsidRPr="00EC0229" w:rsidRDefault="00071F47" w:rsidP="007600EA">
      <w:pPr>
        <w:pStyle w:val="NoSpacing"/>
        <w:spacing w:line="360" w:lineRule="auto"/>
        <w:jc w:val="center"/>
        <w:rPr>
          <w:sz w:val="20"/>
          <w:szCs w:val="20"/>
        </w:rPr>
      </w:pPr>
      <w:r w:rsidRPr="00EC0229">
        <w:rPr>
          <w:sz w:val="20"/>
          <w:szCs w:val="20"/>
        </w:rPr>
        <w:t>L: East Anglian</w:t>
      </w:r>
      <w:r w:rsidRPr="00EC0229">
        <w:rPr>
          <w:sz w:val="20"/>
          <w:szCs w:val="20"/>
        </w:rPr>
        <w:fldChar w:fldCharType="begin"/>
      </w:r>
      <w:r w:rsidRPr="00EC0229">
        <w:rPr>
          <w:sz w:val="20"/>
          <w:szCs w:val="20"/>
        </w:rPr>
        <w:instrText xml:space="preserve"> XE "Anglian" </w:instrText>
      </w:r>
      <w:r w:rsidRPr="00EC0229">
        <w:rPr>
          <w:sz w:val="20"/>
          <w:szCs w:val="20"/>
        </w:rPr>
        <w:fldChar w:fldCharType="end"/>
      </w:r>
      <w:r w:rsidRPr="00EC0229">
        <w:rPr>
          <w:sz w:val="20"/>
          <w:szCs w:val="20"/>
        </w:rPr>
        <w:t>, Series</w:t>
      </w:r>
      <w:r w:rsidRPr="00EC0229">
        <w:rPr>
          <w:sz w:val="20"/>
          <w:szCs w:val="20"/>
        </w:rPr>
        <w:fldChar w:fldCharType="begin"/>
      </w:r>
      <w:r w:rsidRPr="00EC0229">
        <w:rPr>
          <w:sz w:val="20"/>
          <w:szCs w:val="20"/>
        </w:rPr>
        <w:instrText xml:space="preserve"> XE "Series" </w:instrText>
      </w:r>
      <w:r w:rsidRPr="00EC0229">
        <w:rPr>
          <w:sz w:val="20"/>
          <w:szCs w:val="20"/>
        </w:rPr>
        <w:fldChar w:fldCharType="end"/>
      </w:r>
      <w:r w:rsidRPr="00EC0229">
        <w:rPr>
          <w:sz w:val="20"/>
          <w:szCs w:val="20"/>
        </w:rPr>
        <w:t xml:space="preserve"> Q1H, found Driffield</w:t>
      </w:r>
      <w:r w:rsidRPr="00EC0229">
        <w:rPr>
          <w:sz w:val="20"/>
          <w:szCs w:val="20"/>
        </w:rPr>
        <w:fldChar w:fldCharType="begin"/>
      </w:r>
      <w:r w:rsidRPr="00EC0229">
        <w:rPr>
          <w:sz w:val="20"/>
          <w:szCs w:val="20"/>
        </w:rPr>
        <w:instrText xml:space="preserve"> XE "</w:instrText>
      </w:r>
      <w:r w:rsidRPr="00EC0229">
        <w:rPr>
          <w:rStyle w:val="Hyperlink"/>
          <w:rFonts w:eastAsia="Times New Roman"/>
          <w:noProof/>
          <w:sz w:val="20"/>
          <w:szCs w:val="20"/>
          <w:u w:val="none"/>
          <w:lang w:eastAsia="en-GB"/>
        </w:rPr>
        <w:instrText>Driffield</w:instrText>
      </w:r>
      <w:r w:rsidRPr="00EC0229">
        <w:rPr>
          <w:sz w:val="20"/>
          <w:szCs w:val="20"/>
        </w:rPr>
        <w:instrText xml:space="preserve">" </w:instrText>
      </w:r>
      <w:r w:rsidRPr="00EC0229">
        <w:rPr>
          <w:sz w:val="20"/>
          <w:szCs w:val="20"/>
        </w:rPr>
        <w:fldChar w:fldCharType="end"/>
      </w:r>
      <w:r w:rsidRPr="00EC0229">
        <w:rPr>
          <w:sz w:val="20"/>
          <w:szCs w:val="20"/>
        </w:rPr>
        <w:t>. R: Merovingian</w:t>
      </w:r>
      <w:r w:rsidRPr="00EC0229">
        <w:rPr>
          <w:sz w:val="20"/>
          <w:szCs w:val="20"/>
        </w:rPr>
        <w:fldChar w:fldCharType="begin"/>
      </w:r>
      <w:r w:rsidRPr="00EC0229">
        <w:rPr>
          <w:sz w:val="20"/>
          <w:szCs w:val="20"/>
        </w:rPr>
        <w:instrText xml:space="preserve"> XE "</w:instrText>
      </w:r>
      <w:r w:rsidRPr="00EC0229">
        <w:rPr>
          <w:rStyle w:val="Hyperlink"/>
          <w:noProof/>
          <w:sz w:val="20"/>
          <w:szCs w:val="20"/>
          <w:u w:val="none"/>
        </w:rPr>
        <w:instrText>Merovingian</w:instrText>
      </w:r>
      <w:r w:rsidRPr="00EC0229">
        <w:rPr>
          <w:sz w:val="20"/>
          <w:szCs w:val="20"/>
        </w:rPr>
        <w:instrText xml:space="preserve">" </w:instrText>
      </w:r>
      <w:r w:rsidRPr="00EC0229">
        <w:rPr>
          <w:sz w:val="20"/>
          <w:szCs w:val="20"/>
        </w:rPr>
        <w:fldChar w:fldCharType="end"/>
      </w:r>
      <w:r w:rsidRPr="00EC0229">
        <w:rPr>
          <w:sz w:val="20"/>
          <w:szCs w:val="20"/>
        </w:rPr>
        <w:t xml:space="preserve"> denier</w:t>
      </w:r>
      <w:r w:rsidRPr="00EC0229">
        <w:rPr>
          <w:sz w:val="20"/>
          <w:szCs w:val="20"/>
        </w:rPr>
        <w:fldChar w:fldCharType="begin"/>
      </w:r>
      <w:r w:rsidRPr="00EC0229">
        <w:rPr>
          <w:sz w:val="20"/>
          <w:szCs w:val="20"/>
        </w:rPr>
        <w:instrText xml:space="preserve"> XE "</w:instrText>
      </w:r>
      <w:r w:rsidRPr="00EC0229">
        <w:rPr>
          <w:rFonts w:cs="Times New Roman"/>
          <w:sz w:val="20"/>
          <w:szCs w:val="20"/>
        </w:rPr>
        <w:instrText>denier</w:instrText>
      </w:r>
      <w:r w:rsidRPr="00EC0229">
        <w:rPr>
          <w:sz w:val="20"/>
          <w:szCs w:val="20"/>
        </w:rPr>
        <w:instrText xml:space="preserve">" </w:instrText>
      </w:r>
      <w:r w:rsidRPr="00EC0229">
        <w:rPr>
          <w:sz w:val="20"/>
          <w:szCs w:val="20"/>
        </w:rPr>
        <w:fldChar w:fldCharType="end"/>
      </w:r>
      <w:r w:rsidRPr="00EC0229">
        <w:rPr>
          <w:sz w:val="20"/>
          <w:szCs w:val="20"/>
        </w:rPr>
        <w:t>, found Doddington Lincolnshire.</w:t>
      </w:r>
    </w:p>
    <w:p w14:paraId="3F6B34C1" w14:textId="77777777" w:rsidR="00071F47" w:rsidRPr="00EC0229" w:rsidRDefault="00071F47" w:rsidP="007600EA">
      <w:pPr>
        <w:pStyle w:val="NoSpacing"/>
        <w:spacing w:line="360" w:lineRule="auto"/>
        <w:rPr>
          <w:rFonts w:cs="Times New Roman"/>
          <w:szCs w:val="24"/>
        </w:rPr>
      </w:pPr>
    </w:p>
    <w:p w14:paraId="0ED3B785" w14:textId="526CEA13" w:rsidR="00071F47" w:rsidRPr="00EC0229" w:rsidRDefault="00071F47" w:rsidP="007600EA">
      <w:pPr>
        <w:autoSpaceDE w:val="0"/>
        <w:autoSpaceDN w:val="0"/>
        <w:adjustRightInd w:val="0"/>
        <w:spacing w:after="0" w:line="360" w:lineRule="auto"/>
        <w:rPr>
          <w:rFonts w:cs="Times New Roman"/>
          <w:szCs w:val="24"/>
        </w:rPr>
      </w:pPr>
      <w:r w:rsidRPr="00EC0229">
        <w:rPr>
          <w:rFonts w:cs="Times New Roman"/>
          <w:szCs w:val="24"/>
        </w:rPr>
        <w:t>The bracteates illustrated (</w:t>
      </w:r>
      <w:r w:rsidRPr="00EC0229">
        <w:rPr>
          <w:rFonts w:cs="Times New Roman"/>
          <w:szCs w:val="24"/>
        </w:rPr>
        <w:fldChar w:fldCharType="begin"/>
      </w:r>
      <w:r w:rsidRPr="00EC0229">
        <w:rPr>
          <w:rFonts w:cs="Times New Roman"/>
          <w:szCs w:val="24"/>
        </w:rPr>
        <w:instrText xml:space="preserve"> REF _Ref430249082 \h  \* MERGEFORMAT </w:instrText>
      </w:r>
      <w:r w:rsidRPr="00EC0229">
        <w:rPr>
          <w:rFonts w:cs="Times New Roman"/>
          <w:szCs w:val="24"/>
        </w:rPr>
      </w:r>
      <w:r w:rsidRPr="00EC0229">
        <w:rPr>
          <w:rFonts w:cs="Times New Roman"/>
          <w:szCs w:val="24"/>
        </w:rPr>
        <w:fldChar w:fldCharType="separate"/>
      </w:r>
      <w:r w:rsidR="0012026B" w:rsidRPr="0012026B">
        <w:rPr>
          <w:i/>
        </w:rPr>
        <w:t>Figure</w:t>
      </w:r>
      <w:r w:rsidR="0012026B" w:rsidRPr="0012026B">
        <w:t xml:space="preserve"> </w:t>
      </w:r>
      <w:r w:rsidR="0012026B" w:rsidRPr="0012026B">
        <w:rPr>
          <w:noProof/>
        </w:rPr>
        <w:t>125</w:t>
      </w:r>
      <w:r w:rsidRPr="00EC0229">
        <w:rPr>
          <w:rFonts w:cs="Times New Roman"/>
          <w:szCs w:val="24"/>
        </w:rPr>
        <w:fldChar w:fldCharType="end"/>
      </w:r>
      <w:r w:rsidRPr="00EC0229">
        <w:rPr>
          <w:rFonts w:cs="Times New Roman"/>
          <w:szCs w:val="24"/>
        </w:rPr>
        <w:t xml:space="preserve">) exhibit design influences later reflected on coins. </w:t>
      </w:r>
      <w:r w:rsidRPr="00EC0229">
        <w:rPr>
          <w:rFonts w:cs="Times New Roman"/>
          <w:color w:val="292526"/>
          <w:szCs w:val="24"/>
        </w:rPr>
        <w:t>The presence of bracteates may provide evidence for élite</w:t>
      </w:r>
      <w:r w:rsidRPr="00EC0229">
        <w:rPr>
          <w:rFonts w:cs="Times New Roman"/>
          <w:color w:val="292526"/>
          <w:szCs w:val="24"/>
        </w:rPr>
        <w:fldChar w:fldCharType="begin"/>
      </w:r>
      <w:r w:rsidRPr="00EC0229">
        <w:instrText xml:space="preserve"> XE "</w:instrText>
      </w:r>
      <w:r w:rsidRPr="00EC0229">
        <w:rPr>
          <w:szCs w:val="24"/>
        </w:rPr>
        <w:instrText>élite</w:instrText>
      </w:r>
      <w:r w:rsidRPr="00EC0229">
        <w:instrText xml:space="preserve">" </w:instrText>
      </w:r>
      <w:r w:rsidRPr="00EC0229">
        <w:rPr>
          <w:rFonts w:cs="Times New Roman"/>
          <w:color w:val="292526"/>
          <w:szCs w:val="24"/>
        </w:rPr>
        <w:fldChar w:fldCharType="end"/>
      </w:r>
      <w:r w:rsidRPr="00EC0229">
        <w:rPr>
          <w:rFonts w:cs="Times New Roman"/>
          <w:color w:val="292526"/>
          <w:szCs w:val="24"/>
        </w:rPr>
        <w:t xml:space="preserve"> sites whose high-status inhabitants were </w:t>
      </w:r>
      <w:r w:rsidRPr="00EC0229">
        <w:rPr>
          <w:rFonts w:cs="Times New Roman"/>
          <w:color w:val="292526"/>
          <w:szCs w:val="24"/>
        </w:rPr>
        <w:lastRenderedPageBreak/>
        <w:t>part of an international trade network sharing ideas and iconography</w:t>
      </w:r>
      <w:r w:rsidRPr="00EC0229">
        <w:rPr>
          <w:rFonts w:cs="Times New Roman"/>
          <w:color w:val="292526"/>
          <w:szCs w:val="24"/>
        </w:rPr>
        <w:fldChar w:fldCharType="begin"/>
      </w:r>
      <w:r w:rsidRPr="00EC0229">
        <w:instrText xml:space="preserve"> XE "iconography" </w:instrText>
      </w:r>
      <w:r w:rsidRPr="00EC0229">
        <w:rPr>
          <w:rFonts w:cs="Times New Roman"/>
          <w:color w:val="292526"/>
          <w:szCs w:val="24"/>
        </w:rPr>
        <w:fldChar w:fldCharType="end"/>
      </w:r>
      <w:r w:rsidRPr="00EC0229">
        <w:rPr>
          <w:rFonts w:cs="Times New Roman"/>
          <w:color w:val="292526"/>
          <w:szCs w:val="24"/>
        </w:rPr>
        <w:t>.</w:t>
      </w:r>
      <w:r w:rsidRPr="00EC0229">
        <w:rPr>
          <w:rStyle w:val="FootnoteReference"/>
          <w:rFonts w:cs="Times New Roman"/>
          <w:color w:val="292526"/>
          <w:szCs w:val="24"/>
        </w:rPr>
        <w:footnoteReference w:id="1066"/>
      </w:r>
      <w:r w:rsidRPr="00EC0229">
        <w:rPr>
          <w:rFonts w:cs="Times New Roman"/>
          <w:color w:val="292526"/>
          <w:szCs w:val="24"/>
        </w:rPr>
        <w:t xml:space="preserve"> </w:t>
      </w:r>
      <w:r w:rsidRPr="00EC0229">
        <w:rPr>
          <w:rFonts w:cs="Times New Roman"/>
          <w:szCs w:val="24"/>
        </w:rPr>
        <w:t>The Series</w:t>
      </w:r>
      <w:r w:rsidRPr="00EC0229">
        <w:rPr>
          <w:rFonts w:cs="Times New Roman"/>
          <w:szCs w:val="24"/>
        </w:rPr>
        <w:fldChar w:fldCharType="begin"/>
      </w:r>
      <w:r w:rsidRPr="00EC0229">
        <w:instrText xml:space="preserve"> XE "Series" </w:instrText>
      </w:r>
      <w:r w:rsidRPr="00EC0229">
        <w:rPr>
          <w:rFonts w:cs="Times New Roman"/>
          <w:szCs w:val="24"/>
        </w:rPr>
        <w:fldChar w:fldCharType="end"/>
      </w:r>
      <w:r w:rsidRPr="00EC0229">
        <w:rPr>
          <w:rFonts w:cs="Times New Roman"/>
          <w:szCs w:val="24"/>
        </w:rPr>
        <w:t xml:space="preserve"> Q</w:t>
      </w:r>
      <w:r w:rsidRPr="00EC0229">
        <w:rPr>
          <w:rFonts w:cs="Times New Roman"/>
          <w:szCs w:val="24"/>
        </w:rPr>
        <w:fldChar w:fldCharType="begin"/>
      </w:r>
      <w:r w:rsidRPr="00EC0229">
        <w:instrText xml:space="preserve"> XE "Series Q" </w:instrText>
      </w:r>
      <w:r w:rsidRPr="00EC0229">
        <w:rPr>
          <w:rFonts w:cs="Times New Roman"/>
          <w:szCs w:val="24"/>
        </w:rPr>
        <w:fldChar w:fldCharType="end"/>
      </w:r>
      <w:r w:rsidRPr="00EC0229">
        <w:rPr>
          <w:rFonts w:cs="Times New Roman"/>
          <w:szCs w:val="24"/>
        </w:rPr>
        <w:t xml:space="preserve"> sceat, left, [5b], found at Driffield</w:t>
      </w:r>
      <w:r w:rsidRPr="00EC0229">
        <w:rPr>
          <w:rFonts w:cs="Times New Roman"/>
          <w:szCs w:val="24"/>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rFonts w:cs="Times New Roman"/>
          <w:szCs w:val="24"/>
        </w:rPr>
        <w:fldChar w:fldCharType="end"/>
      </w:r>
      <w:r w:rsidRPr="00EC0229">
        <w:rPr>
          <w:rFonts w:cs="Times New Roman"/>
          <w:szCs w:val="24"/>
        </w:rPr>
        <w:t>, dates from the second quarter of the eighth century and has much in common with contemporary, Northumbrian ‘fantastic animal’ types of Eadberht</w:t>
      </w:r>
      <w:r w:rsidRPr="00EC0229">
        <w:rPr>
          <w:rFonts w:cs="Times New Roman"/>
          <w:szCs w:val="24"/>
        </w:rPr>
        <w:fldChar w:fldCharType="begin"/>
      </w:r>
      <w:r w:rsidRPr="00EC0229">
        <w:instrText xml:space="preserve"> XE "Eadberht" </w:instrText>
      </w:r>
      <w:r w:rsidRPr="00EC0229">
        <w:rPr>
          <w:rFonts w:cs="Times New Roman"/>
          <w:szCs w:val="24"/>
        </w:rPr>
        <w:fldChar w:fldCharType="end"/>
      </w:r>
      <w:r w:rsidRPr="00EC0229">
        <w:rPr>
          <w:rFonts w:cs="Times New Roman"/>
          <w:szCs w:val="24"/>
        </w:rPr>
        <w:t>. The occurrence of single specimens of this series on northern sites as been noted previously. The Merovingian</w:t>
      </w:r>
      <w:r w:rsidRPr="00EC0229">
        <w:rPr>
          <w:rFonts w:cs="Times New Roman"/>
          <w:szCs w:val="24"/>
        </w:rPr>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rPr>
          <w:rFonts w:cs="Times New Roman"/>
          <w:szCs w:val="24"/>
        </w:rPr>
        <w:fldChar w:fldCharType="end"/>
      </w:r>
      <w:r w:rsidRPr="00EC0229">
        <w:rPr>
          <w:rFonts w:cs="Times New Roman"/>
          <w:szCs w:val="24"/>
        </w:rPr>
        <w:t xml:space="preserve"> denier</w:t>
      </w:r>
      <w:r w:rsidRPr="00EC0229">
        <w:rPr>
          <w:rFonts w:cs="Times New Roman"/>
          <w:szCs w:val="24"/>
        </w:rPr>
        <w:fldChar w:fldCharType="begin"/>
      </w:r>
      <w:r w:rsidRPr="00EC0229">
        <w:instrText xml:space="preserve"> XE "</w:instrText>
      </w:r>
      <w:r w:rsidRPr="00EC0229">
        <w:rPr>
          <w:rFonts w:cs="Times New Roman"/>
          <w:szCs w:val="24"/>
        </w:rPr>
        <w:instrText>denier</w:instrText>
      </w:r>
      <w:r w:rsidRPr="00EC0229">
        <w:instrText xml:space="preserve">" </w:instrText>
      </w:r>
      <w:r w:rsidRPr="00EC0229">
        <w:rPr>
          <w:rFonts w:cs="Times New Roman"/>
          <w:szCs w:val="24"/>
        </w:rPr>
        <w:fldChar w:fldCharType="end"/>
      </w:r>
      <w:r w:rsidRPr="00EC0229">
        <w:rPr>
          <w:rFonts w:cs="Times New Roman"/>
          <w:szCs w:val="24"/>
        </w:rPr>
        <w:t xml:space="preserve">, right, [4d], is probably late seventh century and the obverse is similar to Series G sceats (again hinting at a Frankish origin of the Constantinian style obverse portrait). </w:t>
      </w:r>
    </w:p>
    <w:p w14:paraId="6B340FE7" w14:textId="77777777" w:rsidR="00071F47" w:rsidRPr="00EC0229" w:rsidRDefault="00071F47" w:rsidP="007600EA">
      <w:pPr>
        <w:pStyle w:val="NoSpacing"/>
        <w:spacing w:line="360" w:lineRule="auto"/>
        <w:rPr>
          <w:szCs w:val="24"/>
        </w:rPr>
      </w:pPr>
    </w:p>
    <w:p w14:paraId="4752FFA9" w14:textId="27F38DDE" w:rsidR="00071F47" w:rsidRPr="00EC0229" w:rsidRDefault="00071F47" w:rsidP="007600EA">
      <w:pPr>
        <w:pStyle w:val="NoSpacing"/>
        <w:spacing w:line="360" w:lineRule="auto"/>
        <w:rPr>
          <w:szCs w:val="24"/>
        </w:rPr>
      </w:pPr>
      <w:r w:rsidRPr="00EC0229">
        <w:rPr>
          <w:szCs w:val="24"/>
        </w:rPr>
        <w:t>The Northumbrian sceats attributed to Driffield</w:t>
      </w:r>
      <w:r w:rsidRPr="00EC0229">
        <w:rPr>
          <w:szCs w:val="24"/>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szCs w:val="24"/>
        </w:rPr>
        <w:fldChar w:fldCharType="end"/>
      </w:r>
      <w:r w:rsidRPr="00EC0229">
        <w:rPr>
          <w:szCs w:val="24"/>
        </w:rPr>
        <w:t xml:space="preserve"> are quite exceptional in their rarity though small in number. Fantastic animal types, [N6], of Eadberht</w:t>
      </w:r>
      <w:r w:rsidRPr="00EC0229">
        <w:rPr>
          <w:szCs w:val="24"/>
        </w:rPr>
        <w:fldChar w:fldCharType="begin"/>
      </w:r>
      <w:r w:rsidRPr="00EC0229">
        <w:instrText xml:space="preserve"> XE "Eadberht" </w:instrText>
      </w:r>
      <w:r w:rsidRPr="00EC0229">
        <w:rPr>
          <w:szCs w:val="24"/>
        </w:rPr>
        <w:fldChar w:fldCharType="end"/>
      </w:r>
      <w:r w:rsidRPr="00EC0229">
        <w:rPr>
          <w:szCs w:val="24"/>
        </w:rPr>
        <w:t>, Alchred</w:t>
      </w:r>
      <w:r w:rsidRPr="00EC0229">
        <w:rPr>
          <w:szCs w:val="24"/>
        </w:rPr>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rPr>
          <w:szCs w:val="24"/>
        </w:rPr>
        <w:fldChar w:fldCharType="end"/>
      </w:r>
      <w:r w:rsidRPr="00EC0229">
        <w:rPr>
          <w:szCs w:val="24"/>
        </w:rPr>
        <w:t>, Æthelred</w:t>
      </w:r>
      <w:r w:rsidRPr="00EC0229">
        <w:rPr>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szCs w:val="24"/>
        </w:rPr>
        <w:fldChar w:fldCharType="end"/>
      </w:r>
      <w:r w:rsidRPr="00EC0229">
        <w:rPr>
          <w:szCs w:val="24"/>
        </w:rPr>
        <w:t xml:space="preserve"> I and Ælfwald</w:t>
      </w:r>
      <w:r w:rsidRPr="00EC0229">
        <w:rPr>
          <w:szCs w:val="24"/>
        </w:rPr>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rPr>
          <w:szCs w:val="24"/>
        </w:rPr>
        <w:fldChar w:fldCharType="end"/>
      </w:r>
      <w:r w:rsidRPr="00EC0229">
        <w:rPr>
          <w:szCs w:val="24"/>
        </w:rPr>
        <w:t xml:space="preserve"> I are accompanied by three inscriptional coins, [N8], of the highest rarity: a joint issue of Æthelwald Moll with Archbishop Ecgberht</w:t>
      </w:r>
      <w:r w:rsidRPr="00EC0229">
        <w:rPr>
          <w:szCs w:val="24"/>
        </w:rPr>
        <w:fldChar w:fldCharType="begin"/>
      </w:r>
      <w:r w:rsidRPr="00EC0229">
        <w:instrText xml:space="preserve"> XE "Ecgberht" </w:instrText>
      </w:r>
      <w:r w:rsidRPr="00EC0229">
        <w:rPr>
          <w:szCs w:val="24"/>
        </w:rPr>
        <w:fldChar w:fldCharType="end"/>
      </w:r>
      <w:r w:rsidRPr="00EC0229">
        <w:rPr>
          <w:szCs w:val="24"/>
        </w:rPr>
        <w:t xml:space="preserve"> and no less than two specimens, of the seven known, of Eardwulf’s sceat by Cuthheard</w:t>
      </w:r>
      <w:r w:rsidRPr="00EC0229">
        <w:rPr>
          <w:szCs w:val="24"/>
        </w:rPr>
        <w:fldChar w:fldCharType="begin"/>
      </w:r>
      <w:r w:rsidRPr="00EC0229">
        <w:instrText xml:space="preserve"> XE "Cuthheard" </w:instrText>
      </w:r>
      <w:r w:rsidRPr="00EC0229">
        <w:rPr>
          <w:szCs w:val="24"/>
        </w:rPr>
        <w:fldChar w:fldCharType="end"/>
      </w:r>
      <w:r w:rsidRPr="00EC0229">
        <w:rPr>
          <w:szCs w:val="24"/>
        </w:rPr>
        <w:t xml:space="preserve">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_Ref430249099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126</w: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szCs w:val="24"/>
        </w:rPr>
        <w:t>.</w:t>
      </w:r>
    </w:p>
    <w:p w14:paraId="5626E237" w14:textId="77777777" w:rsidR="00071F47" w:rsidRPr="00EC0229" w:rsidRDefault="00071F47" w:rsidP="007600EA">
      <w:pPr>
        <w:pStyle w:val="NoSpacing"/>
        <w:spacing w:line="360" w:lineRule="auto"/>
        <w:rPr>
          <w:szCs w:val="24"/>
        </w:rPr>
      </w:pPr>
      <w:r w:rsidRPr="00EC0229">
        <w:rPr>
          <w:noProof/>
          <w:szCs w:val="24"/>
          <w:lang w:eastAsia="en-GB"/>
        </w:rPr>
        <w:drawing>
          <wp:inline distT="0" distB="0" distL="0" distR="0" wp14:anchorId="00C2594A" wp14:editId="3AE82414">
            <wp:extent cx="1252891" cy="1209040"/>
            <wp:effectExtent l="0" t="0" r="444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iffield 76-10 Y145.JPG"/>
                    <pic:cNvPicPr/>
                  </pic:nvPicPr>
                  <pic:blipFill>
                    <a:blip r:embed="rId400">
                      <a:extLst>
                        <a:ext uri="{28A0092B-C50C-407E-A947-70E740481C1C}">
                          <a14:useLocalDpi xmlns:a14="http://schemas.microsoft.com/office/drawing/2010/main" val="0"/>
                        </a:ext>
                      </a:extLst>
                    </a:blip>
                    <a:stretch>
                      <a:fillRect/>
                    </a:stretch>
                  </pic:blipFill>
                  <pic:spPr>
                    <a:xfrm>
                      <a:off x="0" y="0"/>
                      <a:ext cx="1264968" cy="1220695"/>
                    </a:xfrm>
                    <a:prstGeom prst="rect">
                      <a:avLst/>
                    </a:prstGeom>
                  </pic:spPr>
                </pic:pic>
              </a:graphicData>
            </a:graphic>
          </wp:inline>
        </w:drawing>
      </w:r>
      <w:r w:rsidRPr="00EC0229">
        <w:rPr>
          <w:noProof/>
          <w:szCs w:val="24"/>
          <w:lang w:eastAsia="en-GB"/>
        </w:rPr>
        <w:drawing>
          <wp:inline distT="0" distB="0" distL="0" distR="0" wp14:anchorId="76BCF5F2" wp14:editId="4A3432AF">
            <wp:extent cx="1226820" cy="1196150"/>
            <wp:effectExtent l="0" t="0" r="0" b="444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iffield 76-10 Y145R.JPG"/>
                    <pic:cNvPicPr/>
                  </pic:nvPicPr>
                  <pic:blipFill>
                    <a:blip r:embed="rId401">
                      <a:extLst>
                        <a:ext uri="{28A0092B-C50C-407E-A947-70E740481C1C}">
                          <a14:useLocalDpi xmlns:a14="http://schemas.microsoft.com/office/drawing/2010/main" val="0"/>
                        </a:ext>
                      </a:extLst>
                    </a:blip>
                    <a:stretch>
                      <a:fillRect/>
                    </a:stretch>
                  </pic:blipFill>
                  <pic:spPr>
                    <a:xfrm>
                      <a:off x="0" y="0"/>
                      <a:ext cx="1241169" cy="1210140"/>
                    </a:xfrm>
                    <a:prstGeom prst="rect">
                      <a:avLst/>
                    </a:prstGeom>
                  </pic:spPr>
                </pic:pic>
              </a:graphicData>
            </a:graphic>
          </wp:inline>
        </w:drawing>
      </w:r>
      <w:r w:rsidRPr="00EC0229">
        <w:rPr>
          <w:szCs w:val="24"/>
        </w:rPr>
        <w:tab/>
      </w:r>
      <w:r w:rsidRPr="00EC0229">
        <w:rPr>
          <w:szCs w:val="24"/>
        </w:rPr>
        <w:tab/>
      </w:r>
      <w:r w:rsidRPr="00EC0229">
        <w:rPr>
          <w:noProof/>
          <w:szCs w:val="24"/>
          <w:lang w:eastAsia="en-GB"/>
        </w:rPr>
        <w:drawing>
          <wp:inline distT="0" distB="0" distL="0" distR="0" wp14:anchorId="4F894175" wp14:editId="5FA11632">
            <wp:extent cx="1174159" cy="1185900"/>
            <wp:effectExtent l="0" t="0" r="698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iffield 86-30 Y350.JPG"/>
                    <pic:cNvPicPr/>
                  </pic:nvPicPr>
                  <pic:blipFill>
                    <a:blip r:embed="rId402">
                      <a:extLst>
                        <a:ext uri="{28A0092B-C50C-407E-A947-70E740481C1C}">
                          <a14:useLocalDpi xmlns:a14="http://schemas.microsoft.com/office/drawing/2010/main" val="0"/>
                        </a:ext>
                      </a:extLst>
                    </a:blip>
                    <a:stretch>
                      <a:fillRect/>
                    </a:stretch>
                  </pic:blipFill>
                  <pic:spPr>
                    <a:xfrm>
                      <a:off x="0" y="0"/>
                      <a:ext cx="1196460" cy="1208424"/>
                    </a:xfrm>
                    <a:prstGeom prst="rect">
                      <a:avLst/>
                    </a:prstGeom>
                  </pic:spPr>
                </pic:pic>
              </a:graphicData>
            </a:graphic>
          </wp:inline>
        </w:drawing>
      </w:r>
      <w:r w:rsidRPr="00EC0229">
        <w:rPr>
          <w:noProof/>
          <w:szCs w:val="24"/>
          <w:lang w:eastAsia="en-GB"/>
        </w:rPr>
        <w:drawing>
          <wp:inline distT="0" distB="0" distL="0" distR="0" wp14:anchorId="41DD5D32" wp14:editId="644D299E">
            <wp:extent cx="1200439" cy="1188434"/>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iffield 86-30 Y350R.JPG"/>
                    <pic:cNvPicPr/>
                  </pic:nvPicPr>
                  <pic:blipFill>
                    <a:blip r:embed="rId403">
                      <a:extLst>
                        <a:ext uri="{28A0092B-C50C-407E-A947-70E740481C1C}">
                          <a14:useLocalDpi xmlns:a14="http://schemas.microsoft.com/office/drawing/2010/main" val="0"/>
                        </a:ext>
                      </a:extLst>
                    </a:blip>
                    <a:stretch>
                      <a:fillRect/>
                    </a:stretch>
                  </pic:blipFill>
                  <pic:spPr>
                    <a:xfrm>
                      <a:off x="0" y="0"/>
                      <a:ext cx="1226755" cy="1214487"/>
                    </a:xfrm>
                    <a:prstGeom prst="rect">
                      <a:avLst/>
                    </a:prstGeom>
                  </pic:spPr>
                </pic:pic>
              </a:graphicData>
            </a:graphic>
          </wp:inline>
        </w:drawing>
      </w:r>
    </w:p>
    <w:p w14:paraId="2CC1406F" w14:textId="2E1AD235" w:rsidR="00071F47" w:rsidRPr="00EC0229" w:rsidRDefault="00071F47" w:rsidP="007600EA">
      <w:pPr>
        <w:pStyle w:val="NoSpacing"/>
        <w:spacing w:line="360" w:lineRule="auto"/>
        <w:jc w:val="center"/>
        <w:rPr>
          <w:i/>
          <w:sz w:val="20"/>
          <w:szCs w:val="20"/>
        </w:rPr>
      </w:pPr>
      <w:bookmarkStart w:id="733" w:name="_Ref430249099"/>
      <w:bookmarkStart w:id="734" w:name="_Toc468267098"/>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126</w:t>
      </w:r>
      <w:r w:rsidRPr="00EC0229">
        <w:rPr>
          <w:sz w:val="20"/>
          <w:szCs w:val="20"/>
        </w:rPr>
        <w:fldChar w:fldCharType="end"/>
      </w:r>
      <w:bookmarkEnd w:id="733"/>
      <w:r w:rsidRPr="00EC0229">
        <w:rPr>
          <w:sz w:val="20"/>
          <w:szCs w:val="20"/>
        </w:rPr>
        <w:t>: Some rare finds attributed to Driffield</w:t>
      </w:r>
      <w:r w:rsidRPr="00EC0229">
        <w:rPr>
          <w:sz w:val="20"/>
          <w:szCs w:val="20"/>
        </w:rPr>
        <w:fldChar w:fldCharType="begin"/>
      </w:r>
      <w:r w:rsidRPr="00EC0229">
        <w:rPr>
          <w:sz w:val="20"/>
          <w:szCs w:val="20"/>
        </w:rPr>
        <w:instrText xml:space="preserve"> XE "Driffield" </w:instrText>
      </w:r>
      <w:r w:rsidRPr="00EC0229">
        <w:rPr>
          <w:sz w:val="20"/>
          <w:szCs w:val="20"/>
        </w:rPr>
        <w:fldChar w:fldCharType="end"/>
      </w:r>
      <w:r w:rsidRPr="00EC0229">
        <w:rPr>
          <w:sz w:val="20"/>
          <w:szCs w:val="20"/>
        </w:rPr>
        <w:t>:</w:t>
      </w:r>
      <w:bookmarkEnd w:id="734"/>
    </w:p>
    <w:p w14:paraId="0CD19DBF" w14:textId="77777777" w:rsidR="00071F47" w:rsidRPr="00EC0229" w:rsidRDefault="00071F47" w:rsidP="007600EA">
      <w:pPr>
        <w:pStyle w:val="NoSpacing"/>
        <w:spacing w:line="360" w:lineRule="auto"/>
        <w:jc w:val="center"/>
        <w:rPr>
          <w:sz w:val="20"/>
          <w:szCs w:val="20"/>
        </w:rPr>
      </w:pPr>
      <w:r w:rsidRPr="00EC0229">
        <w:rPr>
          <w:sz w:val="20"/>
          <w:szCs w:val="20"/>
        </w:rPr>
        <w:t>L: joint issue of Æthelwald Moll with Archbishop Ecgberht</w:t>
      </w:r>
      <w:r w:rsidRPr="00EC0229">
        <w:rPr>
          <w:sz w:val="20"/>
          <w:szCs w:val="20"/>
        </w:rPr>
        <w:fldChar w:fldCharType="begin"/>
      </w:r>
      <w:r w:rsidRPr="00EC0229">
        <w:rPr>
          <w:sz w:val="20"/>
          <w:szCs w:val="20"/>
        </w:rPr>
        <w:instrText xml:space="preserve"> XE "Ecgberht" </w:instrText>
      </w:r>
      <w:r w:rsidRPr="00EC0229">
        <w:rPr>
          <w:sz w:val="20"/>
          <w:szCs w:val="20"/>
        </w:rPr>
        <w:fldChar w:fldCharType="end"/>
      </w:r>
      <w:r w:rsidRPr="00EC0229">
        <w:rPr>
          <w:sz w:val="20"/>
          <w:szCs w:val="20"/>
        </w:rPr>
        <w:t>. R: of Eardwulf’s sceat by Cuthheard</w:t>
      </w:r>
      <w:r w:rsidRPr="00EC0229">
        <w:rPr>
          <w:sz w:val="20"/>
          <w:szCs w:val="20"/>
        </w:rPr>
        <w:fldChar w:fldCharType="begin"/>
      </w:r>
      <w:r w:rsidRPr="00EC0229">
        <w:rPr>
          <w:sz w:val="20"/>
          <w:szCs w:val="20"/>
        </w:rPr>
        <w:instrText xml:space="preserve"> XE "Cuthheard" </w:instrText>
      </w:r>
      <w:r w:rsidRPr="00EC0229">
        <w:rPr>
          <w:sz w:val="20"/>
          <w:szCs w:val="20"/>
        </w:rPr>
        <w:fldChar w:fldCharType="end"/>
      </w:r>
      <w:r w:rsidRPr="00EC0229">
        <w:rPr>
          <w:sz w:val="20"/>
          <w:szCs w:val="20"/>
        </w:rPr>
        <w:t>.</w:t>
      </w:r>
    </w:p>
    <w:p w14:paraId="609D5D6F" w14:textId="77777777" w:rsidR="00071F47" w:rsidRPr="00EC0229" w:rsidRDefault="00071F47" w:rsidP="007600EA">
      <w:pPr>
        <w:pStyle w:val="NoSpacing"/>
        <w:spacing w:line="360" w:lineRule="auto"/>
        <w:rPr>
          <w:sz w:val="20"/>
          <w:szCs w:val="20"/>
        </w:rPr>
      </w:pPr>
    </w:p>
    <w:p w14:paraId="10165C3F" w14:textId="521C53A5" w:rsidR="00071F47" w:rsidRPr="00EC0229" w:rsidRDefault="00071F47" w:rsidP="007600EA">
      <w:pPr>
        <w:pStyle w:val="NoSpacing"/>
        <w:spacing w:line="360" w:lineRule="auto"/>
        <w:rPr>
          <w:szCs w:val="24"/>
        </w:rPr>
      </w:pPr>
      <w:r w:rsidRPr="00EC0229">
        <w:rPr>
          <w:szCs w:val="24"/>
        </w:rPr>
        <w:t>This remarkable continuity is enhanced by a silver-alloy</w:t>
      </w:r>
      <w:r w:rsidRPr="00EC0229">
        <w:rPr>
          <w:szCs w:val="24"/>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szCs w:val="24"/>
        </w:rPr>
        <w:fldChar w:fldCharType="end"/>
      </w:r>
      <w:r w:rsidRPr="00EC0229">
        <w:rPr>
          <w:szCs w:val="24"/>
        </w:rPr>
        <w:t xml:space="preserve"> emission of Eanred</w:t>
      </w:r>
      <w:r w:rsidRPr="00EC0229">
        <w:rPr>
          <w:szCs w:val="24"/>
        </w:rPr>
        <w:fldChar w:fldCharType="begin"/>
      </w:r>
      <w:r w:rsidRPr="00EC0229">
        <w:instrText xml:space="preserve"> XE "Eanred" </w:instrText>
      </w:r>
      <w:r w:rsidRPr="00EC0229">
        <w:rPr>
          <w:szCs w:val="24"/>
        </w:rPr>
        <w:fldChar w:fldCharType="end"/>
      </w:r>
      <w:r w:rsidRPr="00EC0229">
        <w:rPr>
          <w:szCs w:val="24"/>
        </w:rPr>
        <w:t xml:space="preserve"> by Cynewulf, [N9]. There are no coins of Eanbald</w:t>
      </w:r>
      <w:r w:rsidRPr="00EC0229">
        <w:rPr>
          <w:szCs w:val="24"/>
        </w:rPr>
        <w:fldChar w:fldCharType="begin"/>
      </w:r>
      <w:r w:rsidRPr="00EC0229">
        <w:instrText xml:space="preserve"> XE "Eanbald" </w:instrText>
      </w:r>
      <w:r w:rsidRPr="00EC0229">
        <w:rPr>
          <w:szCs w:val="24"/>
        </w:rPr>
        <w:fldChar w:fldCharType="end"/>
      </w:r>
      <w:r w:rsidRPr="00EC0229">
        <w:rPr>
          <w:szCs w:val="24"/>
        </w:rPr>
        <w:t xml:space="preserve"> II but brass stycas, [N10a], are present for Æthelred</w:t>
      </w:r>
      <w:r w:rsidRPr="00EC0229">
        <w:rPr>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szCs w:val="24"/>
        </w:rPr>
        <w:fldChar w:fldCharType="end"/>
      </w:r>
      <w:r w:rsidRPr="00EC0229">
        <w:rPr>
          <w:szCs w:val="24"/>
        </w:rPr>
        <w:t xml:space="preserve"> II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_Ref430249113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127</w: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t>
      </w:r>
      <w:r w:rsidRPr="00EC0229">
        <w:rPr>
          <w:szCs w:val="24"/>
        </w:rPr>
        <w:t>and Wigmund</w:t>
      </w:r>
      <w:r w:rsidRPr="00EC0229">
        <w:rPr>
          <w:szCs w:val="24"/>
        </w:rPr>
        <w:fldChar w:fldCharType="begin"/>
      </w:r>
      <w:r w:rsidRPr="00EC0229">
        <w:instrText xml:space="preserve"> XE "Wigmund" </w:instrText>
      </w:r>
      <w:r w:rsidRPr="00EC0229">
        <w:rPr>
          <w:szCs w:val="24"/>
        </w:rPr>
        <w:fldChar w:fldCharType="end"/>
      </w:r>
      <w:r w:rsidRPr="00EC0229">
        <w:rPr>
          <w:szCs w:val="24"/>
        </w:rPr>
        <w:t xml:space="preserve"> and bronze coins [N10b], of Osberht</w:t>
      </w:r>
      <w:r w:rsidRPr="00EC0229">
        <w:rPr>
          <w:szCs w:val="24"/>
        </w:rPr>
        <w:fldChar w:fldCharType="begin"/>
      </w:r>
      <w:r w:rsidRPr="00EC0229">
        <w:instrText xml:space="preserve"> XE "Osberht" </w:instrText>
      </w:r>
      <w:r w:rsidRPr="00EC0229">
        <w:rPr>
          <w:szCs w:val="24"/>
        </w:rPr>
        <w:fldChar w:fldCharType="end"/>
      </w:r>
      <w:r w:rsidRPr="00EC0229">
        <w:rPr>
          <w:szCs w:val="24"/>
        </w:rPr>
        <w:t xml:space="preserve"> and Wulfhere</w:t>
      </w:r>
      <w:r w:rsidRPr="00EC0229">
        <w:rPr>
          <w:szCs w:val="24"/>
        </w:rPr>
        <w:fldChar w:fldCharType="begin"/>
      </w:r>
      <w:r w:rsidRPr="00EC0229">
        <w:instrText xml:space="preserve"> XE "Wulfhere" </w:instrText>
      </w:r>
      <w:r w:rsidRPr="00EC0229">
        <w:rPr>
          <w:szCs w:val="24"/>
        </w:rPr>
        <w:fldChar w:fldCharType="end"/>
      </w:r>
      <w:r w:rsidRPr="00EC0229">
        <w:rPr>
          <w:szCs w:val="24"/>
        </w:rPr>
        <w:t>. However, finds are numer</w:t>
      </w:r>
      <w:r w:rsidR="00C44B02">
        <w:rPr>
          <w:szCs w:val="24"/>
        </w:rPr>
        <w:t xml:space="preserve">ically far higher in the eighth </w:t>
      </w:r>
      <w:r w:rsidRPr="00EC0229">
        <w:rPr>
          <w:szCs w:val="24"/>
        </w:rPr>
        <w:t>than ninth</w:t>
      </w:r>
      <w:r w:rsidR="00C44B02">
        <w:rPr>
          <w:szCs w:val="24"/>
        </w:rPr>
        <w:t xml:space="preserve"> </w:t>
      </w:r>
      <w:r w:rsidRPr="00EC0229">
        <w:rPr>
          <w:szCs w:val="24"/>
        </w:rPr>
        <w:t xml:space="preserve">centuries,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00635D9A" w:rsidRPr="00EC0229">
        <w:rPr>
          <w:i/>
          <w:szCs w:val="24"/>
        </w:rPr>
        <w:t xml:space="preserve"> </w:t>
      </w:r>
      <w:r w:rsidRPr="00EC0229">
        <w:rPr>
          <w:i/>
          <w:szCs w:val="24"/>
        </w:rPr>
        <w:t>5</w:t>
      </w:r>
      <w:r w:rsidR="00635D9A" w:rsidRPr="00EC0229">
        <w:rPr>
          <w:i/>
          <w:szCs w:val="24"/>
        </w:rPr>
        <w:t>.01</w:t>
      </w:r>
      <w:r w:rsidRPr="00EC0229">
        <w:rPr>
          <w:szCs w:val="24"/>
        </w:rPr>
        <w:t>, which contrasts with Bamburgh</w:t>
      </w:r>
      <w:r w:rsidRPr="00EC0229">
        <w:rPr>
          <w:szCs w:val="24"/>
        </w:rPr>
        <w:fldChar w:fldCharType="begin"/>
      </w:r>
      <w:r w:rsidRPr="00EC0229">
        <w:instrText xml:space="preserve"> XE "</w:instrText>
      </w:r>
      <w:r w:rsidRPr="00EC0229">
        <w:rPr>
          <w:rStyle w:val="Hyperlink"/>
          <w:noProof/>
          <w:u w:val="none"/>
        </w:rPr>
        <w:instrText>Bamburgh</w:instrText>
      </w:r>
      <w:r w:rsidRPr="00EC0229">
        <w:instrText xml:space="preserve">" </w:instrText>
      </w:r>
      <w:r w:rsidRPr="00EC0229">
        <w:rPr>
          <w:szCs w:val="24"/>
        </w:rPr>
        <w:fldChar w:fldCharType="end"/>
      </w:r>
      <w:r w:rsidRPr="00EC0229">
        <w:rPr>
          <w:szCs w:val="24"/>
        </w:rPr>
        <w:t>’s absence of pre-ninth century coinage though a shift of the royal power base is unlikely.</w:t>
      </w:r>
    </w:p>
    <w:p w14:paraId="44DD8619" w14:textId="77777777" w:rsidR="00071F47" w:rsidRPr="00EC0229" w:rsidRDefault="00071F47" w:rsidP="007600EA">
      <w:pPr>
        <w:pStyle w:val="NoSpacing"/>
        <w:spacing w:line="360" w:lineRule="auto"/>
        <w:jc w:val="center"/>
        <w:rPr>
          <w:szCs w:val="24"/>
        </w:rPr>
      </w:pPr>
      <w:r w:rsidRPr="00EC0229">
        <w:rPr>
          <w:noProof/>
          <w:szCs w:val="24"/>
          <w:lang w:eastAsia="en-GB"/>
        </w:rPr>
        <w:drawing>
          <wp:inline distT="0" distB="0" distL="0" distR="0" wp14:anchorId="7F428629" wp14:editId="3621C516">
            <wp:extent cx="1140974" cy="1072515"/>
            <wp:effectExtent l="0" t="0" r="254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30-01 Y1750.JPG"/>
                    <pic:cNvPicPr/>
                  </pic:nvPicPr>
                  <pic:blipFill>
                    <a:blip r:embed="rId404">
                      <a:extLst>
                        <a:ext uri="{28A0092B-C50C-407E-A947-70E740481C1C}">
                          <a14:useLocalDpi xmlns:a14="http://schemas.microsoft.com/office/drawing/2010/main" val="0"/>
                        </a:ext>
                      </a:extLst>
                    </a:blip>
                    <a:stretch>
                      <a:fillRect/>
                    </a:stretch>
                  </pic:blipFill>
                  <pic:spPr>
                    <a:xfrm>
                      <a:off x="0" y="0"/>
                      <a:ext cx="1149229" cy="1080274"/>
                    </a:xfrm>
                    <a:prstGeom prst="rect">
                      <a:avLst/>
                    </a:prstGeom>
                  </pic:spPr>
                </pic:pic>
              </a:graphicData>
            </a:graphic>
          </wp:inline>
        </w:drawing>
      </w:r>
      <w:r w:rsidRPr="00EC0229">
        <w:rPr>
          <w:noProof/>
          <w:szCs w:val="24"/>
          <w:lang w:eastAsia="en-GB"/>
        </w:rPr>
        <w:drawing>
          <wp:inline distT="0" distB="0" distL="0" distR="0" wp14:anchorId="4892AFF0" wp14:editId="3E7466F3">
            <wp:extent cx="1060824" cy="1082040"/>
            <wp:effectExtent l="0" t="0" r="6350" b="381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30-01 Y1750R.JPG"/>
                    <pic:cNvPicPr/>
                  </pic:nvPicPr>
                  <pic:blipFill>
                    <a:blip r:embed="rId405">
                      <a:extLst>
                        <a:ext uri="{28A0092B-C50C-407E-A947-70E740481C1C}">
                          <a14:useLocalDpi xmlns:a14="http://schemas.microsoft.com/office/drawing/2010/main" val="0"/>
                        </a:ext>
                      </a:extLst>
                    </a:blip>
                    <a:stretch>
                      <a:fillRect/>
                    </a:stretch>
                  </pic:blipFill>
                  <pic:spPr>
                    <a:xfrm>
                      <a:off x="0" y="0"/>
                      <a:ext cx="1074155" cy="1095637"/>
                    </a:xfrm>
                    <a:prstGeom prst="rect">
                      <a:avLst/>
                    </a:prstGeom>
                  </pic:spPr>
                </pic:pic>
              </a:graphicData>
            </a:graphic>
          </wp:inline>
        </w:drawing>
      </w:r>
    </w:p>
    <w:p w14:paraId="016E432E" w14:textId="40442BA4" w:rsidR="00071F47" w:rsidRPr="00EC0229" w:rsidRDefault="00071F47" w:rsidP="007600EA">
      <w:pPr>
        <w:spacing w:line="360" w:lineRule="auto"/>
        <w:jc w:val="center"/>
        <w:rPr>
          <w:szCs w:val="20"/>
        </w:rPr>
      </w:pPr>
      <w:bookmarkStart w:id="735" w:name="_Ref430249113"/>
      <w:bookmarkStart w:id="736" w:name="_Toc468267099"/>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127</w:t>
      </w:r>
      <w:r w:rsidRPr="00EC0229">
        <w:rPr>
          <w:sz w:val="20"/>
          <w:szCs w:val="20"/>
        </w:rPr>
        <w:fldChar w:fldCharType="end"/>
      </w:r>
      <w:bookmarkEnd w:id="735"/>
      <w:r w:rsidRPr="00EC0229">
        <w:rPr>
          <w:sz w:val="20"/>
          <w:szCs w:val="20"/>
        </w:rPr>
        <w:t>: Styca of Æthelred</w:t>
      </w:r>
      <w:r w:rsidRPr="00EC0229">
        <w:rPr>
          <w:sz w:val="20"/>
          <w:szCs w:val="20"/>
        </w:rPr>
        <w:fldChar w:fldCharType="begin"/>
      </w:r>
      <w:r w:rsidRPr="00EC0229">
        <w:rPr>
          <w:sz w:val="20"/>
          <w:szCs w:val="20"/>
        </w:rPr>
        <w:instrText xml:space="preserve"> XE "Æthelred" </w:instrText>
      </w:r>
      <w:r w:rsidRPr="00EC0229">
        <w:rPr>
          <w:sz w:val="20"/>
          <w:szCs w:val="20"/>
        </w:rPr>
        <w:fldChar w:fldCharType="end"/>
      </w:r>
      <w:r w:rsidRPr="00EC0229">
        <w:rPr>
          <w:sz w:val="20"/>
          <w:szCs w:val="20"/>
        </w:rPr>
        <w:t xml:space="preserve"> II by Vendelberht, found Driffield</w:t>
      </w:r>
      <w:bookmarkEnd w:id="736"/>
      <w:r w:rsidRPr="00EC0229">
        <w:rPr>
          <w:szCs w:val="20"/>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szCs w:val="20"/>
        </w:rPr>
        <w:fldChar w:fldCharType="end"/>
      </w:r>
    </w:p>
    <w:p w14:paraId="7E13E3DE" w14:textId="77777777" w:rsidR="00071F47" w:rsidRPr="00EC0229" w:rsidRDefault="00071F47" w:rsidP="007600EA">
      <w:pPr>
        <w:pStyle w:val="NoSpacing"/>
        <w:spacing w:line="360" w:lineRule="auto"/>
      </w:pPr>
    </w:p>
    <w:p w14:paraId="5C19C9A3" w14:textId="6155A4EA" w:rsidR="00071F47" w:rsidRPr="00EC0229" w:rsidRDefault="00071F47" w:rsidP="007600EA">
      <w:pPr>
        <w:pStyle w:val="NoSpacing"/>
        <w:spacing w:line="360" w:lineRule="auto"/>
        <w:rPr>
          <w:szCs w:val="24"/>
        </w:rPr>
      </w:pPr>
      <w:r w:rsidRPr="00EC0229">
        <w:rPr>
          <w:szCs w:val="24"/>
        </w:rPr>
        <w:lastRenderedPageBreak/>
        <w:t>Cessation of coinage activity, at least temporarily,</w:t>
      </w:r>
      <w:r w:rsidRPr="00EC0229">
        <w:rPr>
          <w:rStyle w:val="FootnoteReference"/>
          <w:szCs w:val="24"/>
        </w:rPr>
        <w:footnoteReference w:id="1067"/>
      </w:r>
      <w:r w:rsidRPr="00EC0229">
        <w:rPr>
          <w:szCs w:val="24"/>
        </w:rPr>
        <w:t xml:space="preserve"> has been marked at </w:t>
      </w:r>
      <w:r w:rsidR="00BF6095">
        <w:rPr>
          <w:szCs w:val="24"/>
        </w:rPr>
        <w:t>several</w:t>
      </w:r>
      <w:r w:rsidRPr="00EC0229">
        <w:rPr>
          <w:szCs w:val="24"/>
        </w:rPr>
        <w:t xml:space="preserve"> other sites by the presence of a southern penny</w:t>
      </w:r>
      <w:r w:rsidRPr="00EC0229">
        <w:rPr>
          <w:szCs w:val="24"/>
        </w:rPr>
        <w:fldChar w:fldCharType="begin"/>
      </w:r>
      <w:r w:rsidRPr="00EC0229">
        <w:instrText xml:space="preserve"> XE "penny" </w:instrText>
      </w:r>
      <w:r w:rsidRPr="00EC0229">
        <w:rPr>
          <w:szCs w:val="24"/>
        </w:rPr>
        <w:fldChar w:fldCharType="end"/>
      </w:r>
      <w:r w:rsidRPr="00EC0229">
        <w:rPr>
          <w:szCs w:val="24"/>
        </w:rPr>
        <w:t xml:space="preserve"> very plausibly lost by Viking</w:t>
      </w:r>
      <w:r w:rsidRPr="00EC0229">
        <w:rPr>
          <w:szCs w:val="24"/>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szCs w:val="24"/>
        </w:rPr>
        <w:fldChar w:fldCharType="end"/>
      </w:r>
      <w:r w:rsidRPr="00EC0229">
        <w:rPr>
          <w:szCs w:val="24"/>
        </w:rPr>
        <w:t xml:space="preserve"> visitors around the time of the fall of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Here, a penny of Eadmund of East Anglia (855-69), [S9], is in that category.</w:t>
      </w:r>
    </w:p>
    <w:p w14:paraId="64595FAF" w14:textId="77777777" w:rsidR="00071F47" w:rsidRPr="00EC0229" w:rsidRDefault="00071F47" w:rsidP="007600EA">
      <w:pPr>
        <w:pStyle w:val="NoSpacing"/>
        <w:spacing w:line="360" w:lineRule="auto"/>
        <w:rPr>
          <w:szCs w:val="24"/>
        </w:rPr>
      </w:pPr>
    </w:p>
    <w:p w14:paraId="53B8A4E0" w14:textId="0E92F168" w:rsidR="00071F47" w:rsidRPr="00EC0229" w:rsidRDefault="00071F47" w:rsidP="007600EA">
      <w:pPr>
        <w:pStyle w:val="NoSpacing"/>
        <w:spacing w:line="360" w:lineRule="auto"/>
        <w:rPr>
          <w:szCs w:val="24"/>
        </w:rPr>
      </w:pPr>
      <w:r w:rsidRPr="00EC0229">
        <w:rPr>
          <w:szCs w:val="24"/>
        </w:rPr>
        <w:t>Despite the lack of volume – and one senses this is the tastiest tip of the iceberg – ‘Driffield</w:t>
      </w:r>
      <w:r w:rsidRPr="00EC0229">
        <w:rPr>
          <w:szCs w:val="24"/>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szCs w:val="24"/>
        </w:rPr>
        <w:fldChar w:fldCharType="end"/>
      </w:r>
      <w:r w:rsidRPr="00EC0229">
        <w:rPr>
          <w:szCs w:val="24"/>
        </w:rPr>
        <w:t>’ presents a near full run of Northumbrian issuers supported by a good selection of southern and Continental specimens. The spread is wider than other Wolds</w:t>
      </w:r>
      <w:r w:rsidRPr="00EC0229">
        <w:rPr>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szCs w:val="24"/>
        </w:rPr>
        <w:fldChar w:fldCharType="end"/>
      </w:r>
      <w:r w:rsidRPr="00EC0229">
        <w:rPr>
          <w:szCs w:val="24"/>
        </w:rPr>
        <w:t xml:space="preserve"> sites including Sledmere</w:t>
      </w:r>
      <w:r w:rsidRPr="00EC0229">
        <w:rPr>
          <w:szCs w:val="24"/>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szCs w:val="24"/>
        </w:rPr>
        <w:fldChar w:fldCharType="end"/>
      </w:r>
      <w:r w:rsidRPr="00EC0229">
        <w:rPr>
          <w:szCs w:val="24"/>
        </w:rPr>
        <w:t xml:space="preserve">, </w:t>
      </w:r>
      <w:r w:rsidRPr="00EC0229">
        <w:rPr>
          <w:i/>
          <w:szCs w:val="24"/>
        </w:rPr>
        <w:t>Graph</w:t>
      </w:r>
      <w:r w:rsidRPr="00EC0229">
        <w:rPr>
          <w:i/>
          <w:szCs w:val="24"/>
        </w:rPr>
        <w:fldChar w:fldCharType="begin"/>
      </w:r>
      <w:r w:rsidRPr="00EC0229">
        <w:instrText xml:space="preserve"> XE "</w:instrText>
      </w:r>
      <w:r w:rsidRPr="00EC0229">
        <w:rPr>
          <w:noProof/>
        </w:rPr>
        <w:instrText>Graph</w:instrText>
      </w:r>
      <w:r w:rsidRPr="00EC0229">
        <w:instrText xml:space="preserve">" </w:instrText>
      </w:r>
      <w:r w:rsidRPr="00EC0229">
        <w:rPr>
          <w:i/>
          <w:szCs w:val="24"/>
        </w:rPr>
        <w:fldChar w:fldCharType="end"/>
      </w:r>
      <w:r w:rsidRPr="00EC0229">
        <w:rPr>
          <w:i/>
          <w:szCs w:val="24"/>
        </w:rPr>
        <w:t xml:space="preserve"> </w:t>
      </w:r>
      <w:r w:rsidRPr="00EC0229">
        <w:rPr>
          <w:rStyle w:val="Hyperlink"/>
          <w:i/>
          <w:color w:val="auto"/>
          <w:szCs w:val="24"/>
          <w:u w:val="none"/>
        </w:rPr>
        <w:t>7</w:t>
      </w:r>
      <w:r w:rsidR="00D9456C">
        <w:rPr>
          <w:rStyle w:val="Hyperlink"/>
          <w:i/>
          <w:color w:val="auto"/>
          <w:szCs w:val="24"/>
          <w:u w:val="none"/>
        </w:rPr>
        <w:t>.04</w:t>
      </w:r>
      <w:r w:rsidRPr="00EC0229">
        <w:rPr>
          <w:szCs w:val="24"/>
        </w:rPr>
        <w:t>. With all the caveats and constraints on interpretation, that this location is so rich in rare coinage, implies that Driffield was a site of special, not merely economic, significance, as would be expected for the final resting place of Aldfrith</w:t>
      </w:r>
      <w:r w:rsidRPr="00EC0229">
        <w:rPr>
          <w:szCs w:val="24"/>
        </w:rPr>
        <w:fldChar w:fldCharType="begin"/>
      </w:r>
      <w:r w:rsidRPr="00EC0229">
        <w:instrText xml:space="preserve"> XE "Aldfrith" </w:instrText>
      </w:r>
      <w:r w:rsidRPr="00EC0229">
        <w:rPr>
          <w:szCs w:val="24"/>
        </w:rPr>
        <w:fldChar w:fldCharType="end"/>
      </w:r>
      <w:r w:rsidRPr="00EC0229">
        <w:rPr>
          <w:szCs w:val="24"/>
        </w:rPr>
        <w:t xml:space="preserve">. </w:t>
      </w:r>
    </w:p>
    <w:p w14:paraId="0E593889" w14:textId="77777777" w:rsidR="003A0206" w:rsidRPr="00EC0229" w:rsidRDefault="003A0206" w:rsidP="007600EA">
      <w:pPr>
        <w:pStyle w:val="NoSpacing"/>
        <w:spacing w:line="360" w:lineRule="auto"/>
        <w:rPr>
          <w:szCs w:val="24"/>
        </w:rPr>
      </w:pPr>
    </w:p>
    <w:p w14:paraId="18252587" w14:textId="4D971D6B" w:rsidR="00C57DCF" w:rsidRPr="007A3166" w:rsidRDefault="00071F47" w:rsidP="00C97BF2">
      <w:pPr>
        <w:pStyle w:val="Heading4"/>
        <w:spacing w:line="360" w:lineRule="auto"/>
        <w:rPr>
          <w:b/>
        </w:rPr>
      </w:pPr>
      <w:bookmarkStart w:id="737" w:name="_Toc468266895"/>
      <w:r w:rsidRPr="007A3166">
        <w:rPr>
          <w:b/>
        </w:rPr>
        <w:t>Wharram Percy</w:t>
      </w:r>
      <w:bookmarkEnd w:id="737"/>
      <w:r w:rsidRPr="007A3166">
        <w:rPr>
          <w:b/>
        </w:rPr>
        <w:fldChar w:fldCharType="begin"/>
      </w:r>
      <w:r w:rsidRPr="007A3166">
        <w:rPr>
          <w:b/>
        </w:rPr>
        <w:instrText xml:space="preserve"> XE "</w:instrText>
      </w:r>
      <w:r w:rsidRPr="007A3166">
        <w:rPr>
          <w:rStyle w:val="Hyperlink"/>
          <w:b/>
          <w:noProof/>
          <w:u w:val="none"/>
        </w:rPr>
        <w:instrText>Wharram Percy</w:instrText>
      </w:r>
      <w:r w:rsidRPr="007A3166">
        <w:rPr>
          <w:b/>
        </w:rPr>
        <w:instrText xml:space="preserve">" </w:instrText>
      </w:r>
      <w:r w:rsidRPr="007A3166">
        <w:rPr>
          <w:b/>
        </w:rPr>
        <w:fldChar w:fldCharType="end"/>
      </w:r>
      <w:r w:rsidRPr="007A3166">
        <w:rPr>
          <w:b/>
        </w:rPr>
        <w:t xml:space="preserve"> </w:t>
      </w:r>
    </w:p>
    <w:p w14:paraId="37BD137A" w14:textId="2A2EBD34" w:rsidR="00071F47" w:rsidRPr="00EC0229" w:rsidRDefault="00071F47" w:rsidP="006C2237">
      <w:pPr>
        <w:spacing w:line="360" w:lineRule="auto"/>
      </w:pPr>
      <w:r w:rsidRPr="00EC0229">
        <w:t xml:space="preserve">This most famous of English </w:t>
      </w:r>
      <w:r w:rsidRPr="00EC0229">
        <w:rPr>
          <w:i/>
        </w:rPr>
        <w:t>DMVs</w:t>
      </w:r>
      <w:r w:rsidRPr="00EC0229">
        <w:rPr>
          <w:rStyle w:val="FootnoteReference"/>
        </w:rPr>
        <w:footnoteReference w:id="1068"/>
      </w:r>
      <w:r w:rsidRPr="00EC0229">
        <w:t xml:space="preserve"> was first surveyed by Captain Bayly of the Ordnance Survey in 1851 but its origins were identified by Maurice Beresford in 1948</w:t>
      </w:r>
      <w:r w:rsidR="006C2237" w:rsidRPr="00EC0229">
        <w:t>, (</w:t>
      </w:r>
      <w:r w:rsidR="006C2237" w:rsidRPr="00EC0229">
        <w:rPr>
          <w:i/>
        </w:rPr>
        <w:t>Maps 8.15-16</w:t>
      </w:r>
      <w:r w:rsidR="006C2237" w:rsidRPr="00EC0229">
        <w:t>)</w:t>
      </w:r>
      <w:r w:rsidRPr="00EC0229">
        <w:t>.</w:t>
      </w:r>
      <w:r w:rsidRPr="00EC0229">
        <w:rPr>
          <w:rStyle w:val="FootnoteReference"/>
        </w:rPr>
        <w:footnoteReference w:id="1069"/>
      </w:r>
      <w:r w:rsidRPr="00EC0229">
        <w:t xml:space="preserve"> He and John Hurst subsequently directed annual excavations of the site with its rectilinear ‘tofts’ and ‘crofts’</w:t>
      </w:r>
      <w:r w:rsidRPr="00EC0229">
        <w:rPr>
          <w:rStyle w:val="FootnoteReference"/>
        </w:rPr>
        <w:footnoteReference w:id="1070"/>
      </w:r>
      <w:r w:rsidRPr="00EC0229">
        <w:t xml:space="preserve"> and surrounding furrows,</w:t>
      </w:r>
      <w:r w:rsidRPr="00EC0229">
        <w:rPr>
          <w:rStyle w:val="FootnoteReference"/>
        </w:rPr>
        <w:footnoteReference w:id="1071"/>
      </w:r>
      <w:r w:rsidRPr="00EC0229">
        <w:t xml:space="preserve"> which eventually stretched over four decades and formed an early attempt at an holistic approach to interpreting changes in the landscape</w:t>
      </w:r>
      <w:r w:rsidRPr="00EC0229">
        <w:fldChar w:fldCharType="begin"/>
      </w:r>
      <w:r w:rsidRPr="00EC0229">
        <w:instrText xml:space="preserve"> XE "</w:instrText>
      </w:r>
      <w:r w:rsidRPr="00EC0229">
        <w:rPr>
          <w:rFonts w:cs="Times New Roman"/>
          <w:b/>
          <w:color w:val="000000" w:themeColor="text1"/>
          <w:sz w:val="56"/>
          <w:szCs w:val="56"/>
        </w:rPr>
        <w:instrText>landscape</w:instrText>
      </w:r>
      <w:r w:rsidRPr="00EC0229">
        <w:instrText xml:space="preserve">" </w:instrText>
      </w:r>
      <w:r w:rsidRPr="00EC0229">
        <w:fldChar w:fldCharType="end"/>
      </w:r>
      <w:r w:rsidRPr="00EC0229">
        <w:t xml:space="preserve"> from the scatter of pre-historic material, through the more substantial Iron Age and Romano-British workings to the early and late medieval settlement</w:t>
      </w:r>
      <w:r w:rsidRPr="00EC0229">
        <w:fldChar w:fldCharType="begin"/>
      </w:r>
      <w:r w:rsidRPr="00EC0229">
        <w:instrText xml:space="preserve"> XE "settlement" </w:instrText>
      </w:r>
      <w:r w:rsidRPr="00EC0229">
        <w:fldChar w:fldCharType="end"/>
      </w:r>
      <w:r w:rsidRPr="00EC0229">
        <w:t>. The site is central to the north-east Wolds</w:t>
      </w:r>
      <w:r w:rsidRPr="00EC0229">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fldChar w:fldCharType="end"/>
      </w:r>
      <w:r w:rsidRPr="00EC0229">
        <w:t xml:space="preserve"> complex of Neolithic linear earthworks and trackside barrows, and sits on a major north-south route</w:t>
      </w:r>
      <w:r w:rsidRPr="00EC0229">
        <w:fldChar w:fldCharType="begin"/>
      </w:r>
      <w:r w:rsidRPr="00EC0229">
        <w:instrText xml:space="preserve"> XE "</w:instrText>
      </w:r>
      <w:r w:rsidRPr="00EC0229">
        <w:rPr>
          <w:rStyle w:val="Hyperlink"/>
          <w:noProof/>
          <w:u w:val="none"/>
        </w:rPr>
        <w:instrText>Wharram Percy</w:instrText>
      </w:r>
      <w:r w:rsidRPr="00EC0229">
        <w:instrText xml:space="preserve">" </w:instrText>
      </w:r>
      <w:r w:rsidRPr="00EC0229">
        <w:fldChar w:fldCharType="end"/>
      </w:r>
      <w:r w:rsidRPr="00EC0229">
        <w:t>,</w:t>
      </w:r>
      <w:r w:rsidRPr="00EC0229">
        <w:rPr>
          <w:i/>
          <w:szCs w:val="24"/>
        </w:rPr>
        <w:t xml:space="preserve"> Map</w:t>
      </w:r>
      <w:r w:rsidRPr="00EC0229">
        <w:rPr>
          <w:i/>
          <w:szCs w:val="24"/>
        </w:rPr>
        <w:fldChar w:fldCharType="begin"/>
      </w:r>
      <w:r w:rsidRPr="00EC0229">
        <w:instrText xml:space="preserve"> XE "</w:instrText>
      </w:r>
      <w:r w:rsidRPr="00EC0229">
        <w:rPr>
          <w:noProof/>
        </w:rPr>
        <w:instrText>Map</w:instrText>
      </w:r>
      <w:r w:rsidRPr="00EC0229">
        <w:instrText xml:space="preserve">" </w:instrText>
      </w:r>
      <w:r w:rsidRPr="00EC0229">
        <w:rPr>
          <w:i/>
          <w:szCs w:val="24"/>
        </w:rPr>
        <w:fldChar w:fldCharType="end"/>
      </w:r>
      <w:r w:rsidRPr="00EC0229">
        <w:rPr>
          <w:i/>
          <w:szCs w:val="24"/>
        </w:rPr>
        <w:t xml:space="preserve"> </w:t>
      </w:r>
      <w:r w:rsidR="004048E5" w:rsidRPr="00EC0229">
        <w:rPr>
          <w:i/>
          <w:szCs w:val="24"/>
        </w:rPr>
        <w:t>8.15</w:t>
      </w:r>
      <w:r w:rsidRPr="00EC0229">
        <w:t>.</w:t>
      </w:r>
      <w:r w:rsidRPr="00EC0229">
        <w:rPr>
          <w:rStyle w:val="FootnoteReference"/>
        </w:rPr>
        <w:footnoteReference w:id="1072"/>
      </w:r>
    </w:p>
    <w:p w14:paraId="6BA0F5FA" w14:textId="77777777" w:rsidR="00071F47" w:rsidRPr="00EC0229" w:rsidRDefault="00071F47" w:rsidP="007600EA">
      <w:pPr>
        <w:pStyle w:val="NoSpacing"/>
        <w:spacing w:line="360" w:lineRule="auto"/>
      </w:pPr>
    </w:p>
    <w:p w14:paraId="19095CAD" w14:textId="46A32F2C" w:rsidR="00071F47" w:rsidRPr="00EC0229" w:rsidRDefault="008841F1" w:rsidP="007600EA">
      <w:pPr>
        <w:pStyle w:val="NoSpacing"/>
        <w:spacing w:line="360" w:lineRule="auto"/>
      </w:pPr>
      <w:r w:rsidRPr="00EC0229">
        <w:t>One focus of Anglian</w:t>
      </w:r>
      <w:r w:rsidRPr="00EC0229">
        <w:fldChar w:fldCharType="begin"/>
      </w:r>
      <w:r w:rsidRPr="00EC0229">
        <w:instrText xml:space="preserve"> XE "Anglian" </w:instrText>
      </w:r>
      <w:r w:rsidRPr="00EC0229">
        <w:fldChar w:fldCharType="end"/>
      </w:r>
      <w:r w:rsidRPr="00EC0229">
        <w:t xml:space="preserve"> activity,</w:t>
      </w:r>
      <w:r w:rsidR="00071F47" w:rsidRPr="00EC0229">
        <w:t xml:space="preserve"> A</w:t>
      </w:r>
      <w:r w:rsidR="00440E7E" w:rsidRPr="00EC0229">
        <w:t xml:space="preserve">rea 10, enclosing Toft 10, </w:t>
      </w:r>
      <w:r w:rsidRPr="00EC0229">
        <w:t>provides evidence including</w:t>
      </w:r>
      <w:r w:rsidR="00071F47" w:rsidRPr="00EC0229">
        <w:t xml:space="preserve"> pottery, bone, slag, timber structures and a single sceat,</w:t>
      </w:r>
      <w:r w:rsidR="00071F47" w:rsidRPr="00EC0229">
        <w:rPr>
          <w:rStyle w:val="FootnoteReference"/>
        </w:rPr>
        <w:t xml:space="preserve"> </w:t>
      </w:r>
      <w:r w:rsidR="00071F47" w:rsidRPr="00EC0229">
        <w:rPr>
          <w:i/>
          <w:szCs w:val="24"/>
        </w:rPr>
        <w:t>Map</w:t>
      </w:r>
      <w:r w:rsidR="00071F47" w:rsidRPr="00EC0229">
        <w:rPr>
          <w:i/>
          <w:szCs w:val="24"/>
        </w:rPr>
        <w:fldChar w:fldCharType="begin"/>
      </w:r>
      <w:r w:rsidR="00071F47" w:rsidRPr="00EC0229">
        <w:instrText xml:space="preserve"> XE "</w:instrText>
      </w:r>
      <w:r w:rsidR="00071F47" w:rsidRPr="00EC0229">
        <w:rPr>
          <w:noProof/>
        </w:rPr>
        <w:instrText>Map</w:instrText>
      </w:r>
      <w:r w:rsidR="00071F47" w:rsidRPr="00EC0229">
        <w:instrText xml:space="preserve">" </w:instrText>
      </w:r>
      <w:r w:rsidR="00071F47" w:rsidRPr="00EC0229">
        <w:rPr>
          <w:i/>
          <w:szCs w:val="24"/>
        </w:rPr>
        <w:fldChar w:fldCharType="end"/>
      </w:r>
      <w:r w:rsidR="00071F47" w:rsidRPr="00EC0229">
        <w:rPr>
          <w:i/>
          <w:szCs w:val="24"/>
        </w:rPr>
        <w:t xml:space="preserve"> </w:t>
      </w:r>
      <w:r w:rsidR="004048E5" w:rsidRPr="00EC0229">
        <w:rPr>
          <w:i/>
          <w:szCs w:val="24"/>
        </w:rPr>
        <w:t>8.16</w:t>
      </w:r>
      <w:r w:rsidR="00071F47" w:rsidRPr="00EC0229">
        <w:rPr>
          <w:color w:val="000000" w:themeColor="text1"/>
          <w:szCs w:val="24"/>
        </w:rPr>
        <w:t>.</w:t>
      </w:r>
      <w:r w:rsidR="00071F47" w:rsidRPr="00EC0229">
        <w:rPr>
          <w:color w:val="000000" w:themeColor="text1"/>
          <w:sz w:val="20"/>
          <w:szCs w:val="20"/>
        </w:rPr>
        <w:t xml:space="preserve"> </w:t>
      </w:r>
      <w:r w:rsidR="00071F47" w:rsidRPr="00EC0229">
        <w:rPr>
          <w:rStyle w:val="FootnoteReference"/>
        </w:rPr>
        <w:footnoteReference w:id="1073"/>
      </w:r>
      <w:r w:rsidR="00071F47" w:rsidRPr="00EC0229">
        <w:t xml:space="preserve"> Black earth with unabraded sherds signifies a grassed area or orchard behind the toft.</w:t>
      </w:r>
      <w:r w:rsidR="00071F47" w:rsidRPr="00EC0229">
        <w:rPr>
          <w:rStyle w:val="FootnoteReference"/>
        </w:rPr>
        <w:footnoteReference w:id="1074"/>
      </w:r>
      <w:r w:rsidR="00071F47" w:rsidRPr="00EC0229">
        <w:t xml:space="preserve"> </w:t>
      </w:r>
      <w:r w:rsidR="00451504" w:rsidRPr="00EC0229">
        <w:t>A smithy was located in the South Manor Area.</w:t>
      </w:r>
      <w:r w:rsidR="00451504" w:rsidRPr="00EC0229">
        <w:rPr>
          <w:rStyle w:val="FootnoteReference"/>
        </w:rPr>
        <w:footnoteReference w:id="1075"/>
      </w:r>
      <w:r w:rsidR="00451504" w:rsidRPr="00EC0229">
        <w:t xml:space="preserve"> </w:t>
      </w:r>
      <w:r w:rsidR="00071F47" w:rsidRPr="00EC0229">
        <w:t xml:space="preserve">However, one would expect such an intensively investigated site, with clear </w:t>
      </w:r>
      <w:r w:rsidR="00071F47" w:rsidRPr="00EC0229">
        <w:lastRenderedPageBreak/>
        <w:t xml:space="preserve">Anglian features (such as two </w:t>
      </w:r>
      <w:r w:rsidR="00071F47" w:rsidRPr="00EC0229">
        <w:rPr>
          <w:i/>
        </w:rPr>
        <w:t>Grubenh</w:t>
      </w:r>
      <w:r w:rsidR="00071F47" w:rsidRPr="00EC0229">
        <w:rPr>
          <w:rFonts w:cs="Times New Roman"/>
          <w:i/>
        </w:rPr>
        <w:t>ä</w:t>
      </w:r>
      <w:r w:rsidR="00071F47" w:rsidRPr="00EC0229">
        <w:rPr>
          <w:i/>
        </w:rPr>
        <w:t>user</w:t>
      </w:r>
      <w:r w:rsidR="00F909E8" w:rsidRPr="00EC0229">
        <w:rPr>
          <w:rStyle w:val="FootnoteReference"/>
          <w:i/>
        </w:rPr>
        <w:footnoteReference w:id="1076"/>
      </w:r>
      <w:r w:rsidR="00071F47" w:rsidRPr="00EC0229">
        <w:t>) and having yielded two tremisses (</w:t>
      </w:r>
      <w:r w:rsidR="00071F47" w:rsidRPr="00EC0229">
        <w:fldChar w:fldCharType="begin"/>
      </w:r>
      <w:r w:rsidR="00071F47" w:rsidRPr="00EC0229">
        <w:instrText xml:space="preserve"> REF _Ref430248811 \h  \* MERGEFORMAT </w:instrText>
      </w:r>
      <w:r w:rsidR="00071F47" w:rsidRPr="00EC0229">
        <w:fldChar w:fldCharType="separate"/>
      </w:r>
      <w:r w:rsidR="0012026B" w:rsidRPr="0012026B">
        <w:rPr>
          <w:i/>
        </w:rPr>
        <w:t>Figure</w:t>
      </w:r>
      <w:r w:rsidR="0012026B" w:rsidRPr="0012026B">
        <w:t xml:space="preserve"> </w:t>
      </w:r>
      <w:r w:rsidR="0012026B" w:rsidRPr="0012026B">
        <w:rPr>
          <w:noProof/>
        </w:rPr>
        <w:t>128</w:t>
      </w:r>
      <w:r w:rsidR="00071F47" w:rsidRPr="00EC0229">
        <w:fldChar w:fldCharType="end"/>
      </w:r>
      <w:r w:rsidR="00071F47" w:rsidRPr="00EC0229">
        <w:t>), [2 &amp; 3a], to be rich in sceats and stycas. That the formal record amounts merely to three sceats of Eadberht</w:t>
      </w:r>
      <w:r w:rsidR="00071F47" w:rsidRPr="00EC0229">
        <w:fldChar w:fldCharType="begin"/>
      </w:r>
      <w:r w:rsidR="00071F47" w:rsidRPr="00EC0229">
        <w:instrText xml:space="preserve"> XE "Eadberht" </w:instrText>
      </w:r>
      <w:r w:rsidR="00071F47" w:rsidRPr="00EC0229">
        <w:fldChar w:fldCharType="end"/>
      </w:r>
      <w:r w:rsidR="00071F47" w:rsidRPr="00EC0229">
        <w:t xml:space="preserve"> [N6]</w:t>
      </w:r>
      <w:r w:rsidR="00354AC6" w:rsidRPr="00EC0229">
        <w:rPr>
          <w:rStyle w:val="FootnoteReference"/>
        </w:rPr>
        <w:footnoteReference w:id="1077"/>
      </w:r>
      <w:r w:rsidR="00071F47" w:rsidRPr="00EC0229">
        <w:t xml:space="preserve"> and four brass stycas [N10a] seems anomalous – especially when few northern sites can boast two early gold</w:t>
      </w:r>
      <w:r w:rsidR="00071F47" w:rsidRPr="00EC0229">
        <w:fldChar w:fldCharType="begin"/>
      </w:r>
      <w:r w:rsidR="00071F47" w:rsidRPr="00EC0229">
        <w:instrText xml:space="preserve"> XE "</w:instrText>
      </w:r>
      <w:r w:rsidR="00071F47" w:rsidRPr="00EC0229">
        <w:rPr>
          <w:rFonts w:eastAsia="Times New Roman" w:cs="Times New Roman"/>
          <w:szCs w:val="24"/>
          <w:lang w:eastAsia="en-GB"/>
        </w:rPr>
        <w:instrText>gold</w:instrText>
      </w:r>
      <w:r w:rsidR="00071F47" w:rsidRPr="00EC0229">
        <w:instrText xml:space="preserve">" </w:instrText>
      </w:r>
      <w:r w:rsidR="00071F47" w:rsidRPr="00EC0229">
        <w:fldChar w:fldCharType="end"/>
      </w:r>
      <w:r w:rsidR="00071F47" w:rsidRPr="00EC0229">
        <w:t xml:space="preserve"> coins.</w:t>
      </w:r>
      <w:r w:rsidR="00046C7B">
        <w:rPr>
          <w:rStyle w:val="FootnoteReference"/>
        </w:rPr>
        <w:footnoteReference w:id="1078"/>
      </w:r>
      <w:r w:rsidR="00A51BAC" w:rsidRPr="00EC0229">
        <w:t xml:space="preserve"> The presence of these contradicts Wrathmell’s hypothes</w:t>
      </w:r>
      <w:r w:rsidR="00277B5E" w:rsidRPr="00EC0229">
        <w:t xml:space="preserve">is of discontinuity in </w:t>
      </w:r>
      <w:r w:rsidR="001C6FC7" w:rsidRPr="00EC0229">
        <w:t xml:space="preserve">permanent </w:t>
      </w:r>
      <w:r w:rsidR="007237B5" w:rsidRPr="00EC0229">
        <w:t xml:space="preserve">Wolds </w:t>
      </w:r>
      <w:r w:rsidR="001C6FC7" w:rsidRPr="00EC0229">
        <w:t>settlement</w:t>
      </w:r>
      <w:r w:rsidR="00277B5E" w:rsidRPr="00EC0229">
        <w:t>,</w:t>
      </w:r>
      <w:r w:rsidR="00277B5E" w:rsidRPr="00EC0229">
        <w:rPr>
          <w:rStyle w:val="FootnoteReference"/>
        </w:rPr>
        <w:footnoteReference w:id="1079"/>
      </w:r>
      <w:r w:rsidR="00277B5E" w:rsidRPr="00EC0229">
        <w:t xml:space="preserve"> although the </w:t>
      </w:r>
      <w:r w:rsidR="00277B5E" w:rsidRPr="00EC0229">
        <w:rPr>
          <w:rStyle w:val="FootnoteReference"/>
        </w:rPr>
        <w:t xml:space="preserve"> </w:t>
      </w:r>
      <w:r w:rsidR="001C6FC7" w:rsidRPr="00EC0229">
        <w:t xml:space="preserve">subsequent </w:t>
      </w:r>
      <w:r w:rsidR="00277B5E" w:rsidRPr="00EC0229">
        <w:t>numismatic evidence (</w:t>
      </w:r>
      <w:r w:rsidR="00277B5E" w:rsidRPr="00EC0229">
        <w:rPr>
          <w:i/>
        </w:rPr>
        <w:t>Tables</w:t>
      </w:r>
      <w:r w:rsidR="00746B7C" w:rsidRPr="00EC0229">
        <w:rPr>
          <w:i/>
        </w:rPr>
        <w:t xml:space="preserve"> </w:t>
      </w:r>
      <w:r w:rsidR="00277B5E" w:rsidRPr="00EC0229">
        <w:rPr>
          <w:i/>
        </w:rPr>
        <w:t>5</w:t>
      </w:r>
      <w:r w:rsidR="00746B7C" w:rsidRPr="00EC0229">
        <w:rPr>
          <w:i/>
        </w:rPr>
        <w:t>.01</w:t>
      </w:r>
      <w:r w:rsidR="00277B5E" w:rsidRPr="00EC0229">
        <w:rPr>
          <w:i/>
        </w:rPr>
        <w:t xml:space="preserve"> </w:t>
      </w:r>
      <w:r w:rsidR="00277B5E" w:rsidRPr="00EC0229">
        <w:t>and</w:t>
      </w:r>
      <w:r w:rsidR="00277B5E" w:rsidRPr="00EC0229">
        <w:rPr>
          <w:i/>
        </w:rPr>
        <w:t xml:space="preserve"> </w:t>
      </w:r>
      <w:r w:rsidR="00746B7C" w:rsidRPr="00EC0229">
        <w:rPr>
          <w:i/>
        </w:rPr>
        <w:t>8.16</w:t>
      </w:r>
      <w:r w:rsidR="00277B5E" w:rsidRPr="00EC0229">
        <w:t xml:space="preserve">) contributes little to the </w:t>
      </w:r>
      <w:r w:rsidR="007237B5" w:rsidRPr="00EC0229">
        <w:t xml:space="preserve">hypothesis of mid to late seventh-century </w:t>
      </w:r>
      <w:r w:rsidR="00277B5E" w:rsidRPr="00EC0229">
        <w:t>resettlement.</w:t>
      </w:r>
      <w:r w:rsidR="00277B5E" w:rsidRPr="00EC0229">
        <w:rPr>
          <w:rStyle w:val="FootnoteReference"/>
        </w:rPr>
        <w:footnoteReference w:id="1080"/>
      </w:r>
    </w:p>
    <w:p w14:paraId="17351F35" w14:textId="3F0A6A40" w:rsidR="00071F47" w:rsidRPr="00EC0229" w:rsidRDefault="00071F47" w:rsidP="007600EA">
      <w:pPr>
        <w:pStyle w:val="NoSpacing"/>
        <w:spacing w:line="360" w:lineRule="auto"/>
        <w:jc w:val="center"/>
      </w:pPr>
      <w:r w:rsidRPr="00EC0229">
        <w:rPr>
          <w:noProof/>
          <w:lang w:eastAsia="en-GB"/>
        </w:rPr>
        <w:drawing>
          <wp:inline distT="0" distB="0" distL="0" distR="0" wp14:anchorId="6D61DC81" wp14:editId="5E554436">
            <wp:extent cx="855133" cy="895533"/>
            <wp:effectExtent l="0" t="0" r="254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rram Percy 2010_0172obv.jpg"/>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867301" cy="908276"/>
                    </a:xfrm>
                    <a:prstGeom prst="rect">
                      <a:avLst/>
                    </a:prstGeom>
                  </pic:spPr>
                </pic:pic>
              </a:graphicData>
            </a:graphic>
          </wp:inline>
        </w:drawing>
      </w:r>
      <w:r w:rsidRPr="00EC0229">
        <w:rPr>
          <w:noProof/>
          <w:lang w:eastAsia="en-GB"/>
        </w:rPr>
        <w:drawing>
          <wp:inline distT="0" distB="0" distL="0" distR="0" wp14:anchorId="0826B57F" wp14:editId="500D6F80">
            <wp:extent cx="855133" cy="880660"/>
            <wp:effectExtent l="0" t="0" r="254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rram Percy 2010_0172rev.jpg"/>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868696" cy="894628"/>
                    </a:xfrm>
                    <a:prstGeom prst="rect">
                      <a:avLst/>
                    </a:prstGeom>
                  </pic:spPr>
                </pic:pic>
              </a:graphicData>
            </a:graphic>
          </wp:inline>
        </w:drawing>
      </w:r>
      <w:r w:rsidRPr="00EC0229">
        <w:tab/>
      </w:r>
      <w:r w:rsidRPr="00EC0229">
        <w:tab/>
      </w:r>
      <w:r w:rsidRPr="00EC0229">
        <w:rPr>
          <w:noProof/>
          <w:lang w:eastAsia="en-GB"/>
        </w:rPr>
        <w:drawing>
          <wp:inline distT="0" distB="0" distL="0" distR="0" wp14:anchorId="2E7B5B57" wp14:editId="4D6BEA47">
            <wp:extent cx="977896" cy="88180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rram Percy MT12.jpg"/>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995574" cy="897744"/>
                    </a:xfrm>
                    <a:prstGeom prst="rect">
                      <a:avLst/>
                    </a:prstGeom>
                  </pic:spPr>
                </pic:pic>
              </a:graphicData>
            </a:graphic>
          </wp:inline>
        </w:drawing>
      </w:r>
      <w:r w:rsidRPr="00EC0229">
        <w:rPr>
          <w:noProof/>
          <w:lang w:eastAsia="en-GB"/>
        </w:rPr>
        <w:drawing>
          <wp:inline distT="0" distB="0" distL="0" distR="0" wp14:anchorId="40077F2F" wp14:editId="7AA6FC4C">
            <wp:extent cx="875665" cy="949908"/>
            <wp:effectExtent l="0" t="0" r="635"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rram Percy MT12R.jpg"/>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891939" cy="967562"/>
                    </a:xfrm>
                    <a:prstGeom prst="rect">
                      <a:avLst/>
                    </a:prstGeom>
                  </pic:spPr>
                </pic:pic>
              </a:graphicData>
            </a:graphic>
          </wp:inline>
        </w:drawing>
      </w:r>
    </w:p>
    <w:p w14:paraId="6BFAFD3B" w14:textId="107C060B" w:rsidR="00071F47" w:rsidRPr="00EC0229" w:rsidRDefault="00071F47" w:rsidP="007600EA">
      <w:pPr>
        <w:pStyle w:val="NoSpacing"/>
        <w:spacing w:line="360" w:lineRule="auto"/>
        <w:jc w:val="center"/>
        <w:rPr>
          <w:sz w:val="20"/>
          <w:szCs w:val="20"/>
        </w:rPr>
      </w:pPr>
      <w:bookmarkStart w:id="738" w:name="_Ref430248811"/>
      <w:bookmarkStart w:id="739" w:name="_Toc468267100"/>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128</w:t>
      </w:r>
      <w:r w:rsidRPr="00EC0229">
        <w:rPr>
          <w:sz w:val="20"/>
          <w:szCs w:val="20"/>
        </w:rPr>
        <w:fldChar w:fldCharType="end"/>
      </w:r>
      <w:bookmarkEnd w:id="738"/>
      <w:r w:rsidRPr="00EC0229">
        <w:rPr>
          <w:sz w:val="20"/>
          <w:szCs w:val="20"/>
        </w:rPr>
        <w:t>: Merovingian</w:t>
      </w:r>
      <w:r w:rsidRPr="00EC0229">
        <w:rPr>
          <w:sz w:val="20"/>
          <w:szCs w:val="20"/>
        </w:rPr>
        <w:fldChar w:fldCharType="begin"/>
      </w:r>
      <w:r w:rsidRPr="00EC0229">
        <w:rPr>
          <w:sz w:val="20"/>
          <w:szCs w:val="20"/>
        </w:rPr>
        <w:instrText xml:space="preserve"> XE "Merovingian" </w:instrText>
      </w:r>
      <w:r w:rsidRPr="00EC0229">
        <w:rPr>
          <w:sz w:val="20"/>
          <w:szCs w:val="20"/>
        </w:rPr>
        <w:fldChar w:fldCharType="end"/>
      </w:r>
      <w:r w:rsidRPr="00EC0229">
        <w:rPr>
          <w:sz w:val="20"/>
          <w:szCs w:val="20"/>
        </w:rPr>
        <w:t xml:space="preserve"> tremisses from Wharram Percy</w:t>
      </w:r>
      <w:bookmarkEnd w:id="739"/>
      <w:r w:rsidRPr="00EC0229">
        <w:rPr>
          <w:sz w:val="20"/>
          <w:szCs w:val="20"/>
        </w:rPr>
        <w:fldChar w:fldCharType="begin"/>
      </w:r>
      <w:r w:rsidRPr="00EC0229">
        <w:rPr>
          <w:sz w:val="20"/>
          <w:szCs w:val="20"/>
        </w:rPr>
        <w:instrText xml:space="preserve"> XE "Wharram Percy" </w:instrText>
      </w:r>
      <w:r w:rsidRPr="00EC0229">
        <w:rPr>
          <w:sz w:val="20"/>
          <w:szCs w:val="20"/>
        </w:rPr>
        <w:fldChar w:fldCharType="end"/>
      </w:r>
    </w:p>
    <w:p w14:paraId="16D1BD7E" w14:textId="01AF5F4E" w:rsidR="00071F47" w:rsidRPr="00EC0229" w:rsidRDefault="00071F47" w:rsidP="007600EA">
      <w:pPr>
        <w:pStyle w:val="NoSpacing"/>
        <w:spacing w:line="360" w:lineRule="auto"/>
        <w:jc w:val="center"/>
        <w:rPr>
          <w:sz w:val="20"/>
          <w:szCs w:val="20"/>
        </w:rPr>
      </w:pPr>
      <w:r w:rsidRPr="00EC0229">
        <w:rPr>
          <w:sz w:val="20"/>
          <w:szCs w:val="20"/>
        </w:rPr>
        <w:t xml:space="preserve">L: Pseudo-Imperial </w:t>
      </w:r>
      <w:r w:rsidRPr="00EC0229">
        <w:rPr>
          <w:i/>
          <w:sz w:val="20"/>
          <w:szCs w:val="20"/>
        </w:rPr>
        <w:t>Victory</w:t>
      </w:r>
      <w:r w:rsidRPr="00EC0229">
        <w:rPr>
          <w:sz w:val="20"/>
          <w:szCs w:val="20"/>
        </w:rPr>
        <w:t xml:space="preserve"> type, </w:t>
      </w:r>
      <w:r w:rsidR="002132F1">
        <w:rPr>
          <w:i/>
          <w:sz w:val="20"/>
          <w:szCs w:val="20"/>
        </w:rPr>
        <w:t>c.</w:t>
      </w:r>
      <w:r w:rsidRPr="00EC0229">
        <w:rPr>
          <w:sz w:val="20"/>
          <w:szCs w:val="20"/>
        </w:rPr>
        <w:t>650-680 (Belfort 5393var, Prou 17var), EMC</w:t>
      </w:r>
      <w:r w:rsidRPr="00EC0229">
        <w:rPr>
          <w:sz w:val="20"/>
          <w:szCs w:val="20"/>
        </w:rPr>
        <w:fldChar w:fldCharType="begin"/>
      </w:r>
      <w:r w:rsidRPr="00EC0229">
        <w:instrText xml:space="preserve"> XE "EMC" </w:instrText>
      </w:r>
      <w:r w:rsidRPr="00EC0229">
        <w:rPr>
          <w:sz w:val="20"/>
          <w:szCs w:val="20"/>
        </w:rPr>
        <w:fldChar w:fldCharType="end"/>
      </w:r>
      <w:r w:rsidRPr="00EC0229">
        <w:rPr>
          <w:sz w:val="20"/>
          <w:szCs w:val="20"/>
        </w:rPr>
        <w:t xml:space="preserve"> 2010.0172.</w:t>
      </w:r>
    </w:p>
    <w:p w14:paraId="075F4466" w14:textId="77777777" w:rsidR="00071F47" w:rsidRPr="00EC0229" w:rsidRDefault="00071F47" w:rsidP="007600EA">
      <w:pPr>
        <w:pStyle w:val="NoSpacing"/>
        <w:spacing w:line="360" w:lineRule="auto"/>
        <w:jc w:val="center"/>
        <w:rPr>
          <w:sz w:val="20"/>
          <w:szCs w:val="20"/>
        </w:rPr>
      </w:pPr>
      <w:r w:rsidRPr="00EC0229">
        <w:rPr>
          <w:sz w:val="20"/>
          <w:szCs w:val="20"/>
        </w:rPr>
        <w:t>R: National Series</w:t>
      </w:r>
      <w:r w:rsidRPr="00EC0229">
        <w:rPr>
          <w:sz w:val="20"/>
          <w:szCs w:val="20"/>
        </w:rPr>
        <w:fldChar w:fldCharType="begin"/>
      </w:r>
      <w:r w:rsidRPr="00EC0229">
        <w:instrText xml:space="preserve"> XE "</w:instrText>
      </w:r>
      <w:r w:rsidRPr="00EC0229">
        <w:rPr>
          <w:rStyle w:val="Hyperlink"/>
          <w:noProof/>
          <w:u w:val="none"/>
        </w:rPr>
        <w:instrText>National Series</w:instrText>
      </w:r>
      <w:r w:rsidRPr="00EC0229">
        <w:instrText xml:space="preserve">" </w:instrText>
      </w:r>
      <w:r w:rsidRPr="00EC0229">
        <w:rPr>
          <w:sz w:val="20"/>
          <w:szCs w:val="20"/>
        </w:rPr>
        <w:fldChar w:fldCharType="end"/>
      </w:r>
      <w:r w:rsidRPr="00EC0229">
        <w:rPr>
          <w:sz w:val="20"/>
          <w:szCs w:val="20"/>
        </w:rPr>
        <w:t xml:space="preserve">, Sacierge-Saint-Martin (Indre). Crude bust/cross pattée in circle, legend, </w:t>
      </w:r>
      <w:r w:rsidRPr="00EC0229">
        <w:rPr>
          <w:i/>
          <w:sz w:val="20"/>
          <w:szCs w:val="20"/>
        </w:rPr>
        <w:t>cf</w:t>
      </w:r>
      <w:r w:rsidRPr="00EC0229">
        <w:rPr>
          <w:sz w:val="20"/>
          <w:szCs w:val="20"/>
        </w:rPr>
        <w:t>. Belfort 1397-8 (obv.); Prou 1684 (obv.). EMC</w:t>
      </w:r>
      <w:r w:rsidRPr="00EC0229">
        <w:rPr>
          <w:sz w:val="20"/>
          <w:szCs w:val="20"/>
        </w:rPr>
        <w:fldChar w:fldCharType="begin"/>
      </w:r>
      <w:r w:rsidRPr="00EC0229">
        <w:instrText xml:space="preserve"> XE "EMC" </w:instrText>
      </w:r>
      <w:r w:rsidRPr="00EC0229">
        <w:rPr>
          <w:sz w:val="20"/>
          <w:szCs w:val="20"/>
        </w:rPr>
        <w:fldChar w:fldCharType="end"/>
      </w:r>
      <w:r w:rsidRPr="00EC0229">
        <w:rPr>
          <w:sz w:val="20"/>
          <w:szCs w:val="20"/>
        </w:rPr>
        <w:t xml:space="preserve"> 2010.0006. CR 2010, 49. TA MT12.</w:t>
      </w:r>
    </w:p>
    <w:p w14:paraId="6CCFA451" w14:textId="77777777" w:rsidR="00071F47" w:rsidRPr="00EC0229" w:rsidRDefault="00071F47" w:rsidP="007600EA">
      <w:pPr>
        <w:pStyle w:val="NoSpacing"/>
        <w:spacing w:line="360" w:lineRule="auto"/>
      </w:pPr>
    </w:p>
    <w:p w14:paraId="6A5B7F31" w14:textId="15CF911D" w:rsidR="00114B36" w:rsidRPr="00EC0229" w:rsidRDefault="00114B36" w:rsidP="007600EA">
      <w:pPr>
        <w:pStyle w:val="NoSpacing"/>
        <w:spacing w:line="360" w:lineRule="auto"/>
      </w:pPr>
      <w:r w:rsidRPr="00EC0229">
        <w:t>There is a small number of Merovingian artefacts on the site, possibly contemporary with these tremisses and therefore suggesting direct trading links.</w:t>
      </w:r>
      <w:r w:rsidR="00317050" w:rsidRPr="00EC0229">
        <w:rPr>
          <w:rStyle w:val="FootnoteReference"/>
        </w:rPr>
        <w:footnoteReference w:id="1081"/>
      </w:r>
    </w:p>
    <w:p w14:paraId="76027E50" w14:textId="77777777" w:rsidR="00114B36" w:rsidRPr="00EC0229" w:rsidRDefault="00114B36" w:rsidP="007600EA">
      <w:pPr>
        <w:pStyle w:val="NoSpacing"/>
        <w:spacing w:line="360" w:lineRule="auto"/>
      </w:pPr>
    </w:p>
    <w:p w14:paraId="74DF9828" w14:textId="18F831F3" w:rsidR="00071F47" w:rsidRPr="00EC0229" w:rsidRDefault="00071F47" w:rsidP="007600EA">
      <w:pPr>
        <w:pStyle w:val="NoSpacing"/>
        <w:spacing w:line="360" w:lineRule="auto"/>
      </w:pPr>
      <w:r w:rsidRPr="00EC0229">
        <w:t>Of the Eadberht</w:t>
      </w:r>
      <w:r w:rsidRPr="00EC0229">
        <w:fldChar w:fldCharType="begin"/>
      </w:r>
      <w:r w:rsidRPr="00EC0229">
        <w:instrText xml:space="preserve"> XE "Eadberht" </w:instrText>
      </w:r>
      <w:r w:rsidRPr="00EC0229">
        <w:fldChar w:fldCharType="end"/>
      </w:r>
      <w:r w:rsidRPr="00EC0229">
        <w:t xml:space="preserve"> fantastic animal sceats, one was found in disturbed graveyard soil, north of the north-east chapel, and another was found, with sherds of Tat</w:t>
      </w:r>
      <w:r w:rsidR="00DD34E8" w:rsidRPr="00EC0229">
        <w:t>ing ware,</w:t>
      </w:r>
      <w:r w:rsidR="00057E7E" w:rsidRPr="00EC0229">
        <w:rPr>
          <w:rStyle w:val="FootnoteReference"/>
        </w:rPr>
        <w:footnoteReference w:id="1082"/>
      </w:r>
      <w:r w:rsidR="00DD34E8" w:rsidRPr="00EC0229">
        <w:t xml:space="preserve"> in the fill in </w:t>
      </w:r>
      <w:r w:rsidRPr="00EC0229">
        <w:t xml:space="preserve">the </w:t>
      </w:r>
      <w:r w:rsidR="00DD34E8" w:rsidRPr="00EC0229">
        <w:t xml:space="preserve">northern </w:t>
      </w:r>
      <w:r w:rsidRPr="00EC0229">
        <w:rPr>
          <w:i/>
        </w:rPr>
        <w:t>Grubenh</w:t>
      </w:r>
      <w:r w:rsidRPr="00EC0229">
        <w:rPr>
          <w:rFonts w:cs="Times New Roman"/>
          <w:i/>
        </w:rPr>
        <w:t>ä</w:t>
      </w:r>
      <w:r w:rsidRPr="00EC0229">
        <w:rPr>
          <w:i/>
        </w:rPr>
        <w:t>user</w:t>
      </w:r>
      <w:r w:rsidRPr="00EC0229">
        <w:t xml:space="preserve">, </w:t>
      </w:r>
      <w:r w:rsidR="00016447" w:rsidRPr="00EC0229">
        <w:t xml:space="preserve">with a </w:t>
      </w:r>
      <w:r w:rsidRPr="00EC0229">
        <w:t>triangular-backed weaving comb of antler (</w:t>
      </w:r>
      <w:r w:rsidRPr="00EC0229">
        <w:fldChar w:fldCharType="begin"/>
      </w:r>
      <w:r w:rsidRPr="00EC0229">
        <w:instrText xml:space="preserve"> REF _Ref430248828 \h  \* MERGEFORMAT </w:instrText>
      </w:r>
      <w:r w:rsidRPr="00EC0229">
        <w:fldChar w:fldCharType="separate"/>
      </w:r>
      <w:r w:rsidR="0012026B" w:rsidRPr="0012026B">
        <w:rPr>
          <w:i/>
        </w:rPr>
        <w:t>Figure</w:t>
      </w:r>
      <w:r w:rsidR="0012026B" w:rsidRPr="0012026B">
        <w:t xml:space="preserve"> </w:t>
      </w:r>
      <w:r w:rsidR="0012026B" w:rsidRPr="0012026B">
        <w:rPr>
          <w:noProof/>
        </w:rPr>
        <w:t>129</w:t>
      </w:r>
      <w:r w:rsidRPr="00EC0229">
        <w:fldChar w:fldCharType="end"/>
      </w:r>
      <w:r w:rsidRPr="00EC0229">
        <w:t>).</w:t>
      </w:r>
      <w:r w:rsidRPr="00EC0229">
        <w:rPr>
          <w:rStyle w:val="FootnoteReference"/>
        </w:rPr>
        <w:footnoteReference w:id="1083"/>
      </w:r>
    </w:p>
    <w:p w14:paraId="7C2C6367" w14:textId="77777777" w:rsidR="00071F47" w:rsidRPr="00EC0229" w:rsidRDefault="00071F47" w:rsidP="007600EA">
      <w:pPr>
        <w:pStyle w:val="NoSpacing"/>
        <w:spacing w:line="360" w:lineRule="auto"/>
        <w:jc w:val="center"/>
      </w:pPr>
      <w:r w:rsidRPr="00EC0229">
        <w:rPr>
          <w:noProof/>
          <w:lang w:eastAsia="en-GB"/>
        </w:rPr>
        <w:drawing>
          <wp:inline distT="0" distB="0" distL="0" distR="0" wp14:anchorId="7329E1B9" wp14:editId="28C568A0">
            <wp:extent cx="1392936" cy="658368"/>
            <wp:effectExtent l="0" t="0" r="0" b="889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rram Percy SFB sceat.jpg"/>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392936" cy="658368"/>
                    </a:xfrm>
                    <a:prstGeom prst="rect">
                      <a:avLst/>
                    </a:prstGeom>
                  </pic:spPr>
                </pic:pic>
              </a:graphicData>
            </a:graphic>
          </wp:inline>
        </w:drawing>
      </w:r>
      <w:r w:rsidRPr="00EC0229">
        <w:tab/>
      </w:r>
      <w:r w:rsidRPr="00EC0229">
        <w:rPr>
          <w:noProof/>
          <w:lang w:eastAsia="en-GB"/>
        </w:rPr>
        <w:drawing>
          <wp:inline distT="0" distB="0" distL="0" distR="0" wp14:anchorId="384B83B0" wp14:editId="4407CE4E">
            <wp:extent cx="2598420" cy="693655"/>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rram Percy comb.jpg"/>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2603022" cy="694883"/>
                    </a:xfrm>
                    <a:prstGeom prst="rect">
                      <a:avLst/>
                    </a:prstGeom>
                  </pic:spPr>
                </pic:pic>
              </a:graphicData>
            </a:graphic>
          </wp:inline>
        </w:drawing>
      </w:r>
    </w:p>
    <w:p w14:paraId="4DEE53AA" w14:textId="3717070A" w:rsidR="00071F47" w:rsidRPr="00EC0229" w:rsidRDefault="00071F47" w:rsidP="007600EA">
      <w:pPr>
        <w:pStyle w:val="NoSpacing"/>
        <w:spacing w:line="360" w:lineRule="auto"/>
        <w:jc w:val="center"/>
        <w:rPr>
          <w:sz w:val="20"/>
          <w:szCs w:val="20"/>
        </w:rPr>
      </w:pPr>
      <w:bookmarkStart w:id="740" w:name="_Ref430248828"/>
      <w:bookmarkStart w:id="741" w:name="_Toc468267101"/>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129</w:t>
      </w:r>
      <w:r w:rsidRPr="00EC0229">
        <w:rPr>
          <w:sz w:val="20"/>
          <w:szCs w:val="20"/>
        </w:rPr>
        <w:fldChar w:fldCharType="end"/>
      </w:r>
      <w:bookmarkEnd w:id="740"/>
      <w:r w:rsidRPr="00EC0229">
        <w:rPr>
          <w:sz w:val="20"/>
          <w:szCs w:val="20"/>
        </w:rPr>
        <w:t>: Wharram Percy</w:t>
      </w:r>
      <w:r w:rsidRPr="00EC0229">
        <w:rPr>
          <w:sz w:val="20"/>
          <w:szCs w:val="20"/>
        </w:rPr>
        <w:fldChar w:fldCharType="begin"/>
      </w:r>
      <w:r w:rsidRPr="00EC0229">
        <w:rPr>
          <w:sz w:val="20"/>
          <w:szCs w:val="20"/>
        </w:rPr>
        <w:instrText xml:space="preserve"> XE "Wharram Percy" </w:instrText>
      </w:r>
      <w:r w:rsidRPr="00EC0229">
        <w:rPr>
          <w:sz w:val="20"/>
          <w:szCs w:val="20"/>
        </w:rPr>
        <w:fldChar w:fldCharType="end"/>
      </w:r>
      <w:r w:rsidRPr="00EC0229">
        <w:rPr>
          <w:sz w:val="20"/>
          <w:szCs w:val="20"/>
        </w:rPr>
        <w:t xml:space="preserve"> Grubenhäuser finds: Eadberht</w:t>
      </w:r>
      <w:r w:rsidRPr="00EC0229">
        <w:rPr>
          <w:sz w:val="20"/>
          <w:szCs w:val="20"/>
        </w:rPr>
        <w:fldChar w:fldCharType="begin"/>
      </w:r>
      <w:r w:rsidRPr="00EC0229">
        <w:rPr>
          <w:sz w:val="20"/>
          <w:szCs w:val="20"/>
        </w:rPr>
        <w:instrText xml:space="preserve"> XE "Eadberht" </w:instrText>
      </w:r>
      <w:r w:rsidRPr="00EC0229">
        <w:rPr>
          <w:sz w:val="20"/>
          <w:szCs w:val="20"/>
        </w:rPr>
        <w:fldChar w:fldCharType="end"/>
      </w:r>
      <w:r w:rsidRPr="00EC0229">
        <w:rPr>
          <w:sz w:val="20"/>
          <w:szCs w:val="20"/>
        </w:rPr>
        <w:t xml:space="preserve"> sceat</w:t>
      </w:r>
      <w:bookmarkEnd w:id="741"/>
    </w:p>
    <w:p w14:paraId="4B0C744D" w14:textId="77777777" w:rsidR="00071F47" w:rsidRPr="00EC0229" w:rsidRDefault="00071F47" w:rsidP="007600EA">
      <w:pPr>
        <w:pStyle w:val="NoSpacing"/>
        <w:spacing w:line="360" w:lineRule="auto"/>
        <w:jc w:val="center"/>
        <w:rPr>
          <w:sz w:val="20"/>
          <w:szCs w:val="20"/>
        </w:rPr>
      </w:pPr>
      <w:r w:rsidRPr="00EC0229">
        <w:rPr>
          <w:sz w:val="20"/>
          <w:szCs w:val="20"/>
        </w:rPr>
        <w:t>(Pirie</w:t>
      </w:r>
      <w:r w:rsidRPr="00EC0229">
        <w:rPr>
          <w:sz w:val="20"/>
          <w:szCs w:val="20"/>
        </w:rPr>
        <w:fldChar w:fldCharType="begin"/>
      </w:r>
      <w:r w:rsidRPr="00EC0229">
        <w:rPr>
          <w:sz w:val="20"/>
          <w:szCs w:val="20"/>
        </w:rPr>
        <w:instrText xml:space="preserve"> XE "Pirie" </w:instrText>
      </w:r>
      <w:r w:rsidRPr="00EC0229">
        <w:rPr>
          <w:sz w:val="20"/>
          <w:szCs w:val="20"/>
        </w:rPr>
        <w:fldChar w:fldCharType="end"/>
      </w:r>
      <w:r w:rsidRPr="00EC0229">
        <w:rPr>
          <w:sz w:val="20"/>
          <w:szCs w:val="20"/>
        </w:rPr>
        <w:t xml:space="preserve"> archive) (SL 70-150) and comb of antler.</w:t>
      </w:r>
      <w:r w:rsidRPr="00EC0229">
        <w:rPr>
          <w:sz w:val="20"/>
          <w:szCs w:val="20"/>
          <w:vertAlign w:val="superscript"/>
        </w:rPr>
        <w:footnoteReference w:id="1084"/>
      </w:r>
    </w:p>
    <w:p w14:paraId="37D69C1E" w14:textId="77777777" w:rsidR="00071F47" w:rsidRPr="00EC0229" w:rsidRDefault="00071F47" w:rsidP="007600EA">
      <w:pPr>
        <w:pStyle w:val="NoSpacing"/>
        <w:spacing w:line="360" w:lineRule="auto"/>
      </w:pPr>
    </w:p>
    <w:p w14:paraId="3F300530" w14:textId="7F71E26E" w:rsidR="00071F47" w:rsidRPr="00EC0229" w:rsidRDefault="00071F47" w:rsidP="007600EA">
      <w:pPr>
        <w:pStyle w:val="NoSpacing"/>
        <w:spacing w:line="360" w:lineRule="auto"/>
      </w:pPr>
      <w:r w:rsidRPr="00EC0229">
        <w:lastRenderedPageBreak/>
        <w:t xml:space="preserve">One </w:t>
      </w:r>
      <w:r w:rsidR="00AC2707" w:rsidRPr="00EC0229">
        <w:t xml:space="preserve">of the two Forthred stycas </w:t>
      </w:r>
      <w:r w:rsidRPr="00EC0229">
        <w:t>comes from House 6,</w:t>
      </w:r>
      <w:r w:rsidR="00AC2707" w:rsidRPr="00EC0229">
        <w:rPr>
          <w:rStyle w:val="FootnoteReference"/>
        </w:rPr>
        <w:footnoteReference w:id="1085"/>
      </w:r>
      <w:r w:rsidRPr="00EC0229">
        <w:t xml:space="preserve"> the Wigmund</w:t>
      </w:r>
      <w:r w:rsidRPr="00EC0229">
        <w:fldChar w:fldCharType="begin"/>
      </w:r>
      <w:r w:rsidRPr="00EC0229">
        <w:instrText xml:space="preserve"> XE "Wigmund" </w:instrText>
      </w:r>
      <w:r w:rsidRPr="00EC0229">
        <w:fldChar w:fldCharType="end"/>
      </w:r>
      <w:r w:rsidRPr="00EC0229">
        <w:t xml:space="preserve"> styca from the floor of the chancel and the Æthelred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styca from fill of the ‘charcoal’ burial, south of the present chancel.</w:t>
      </w:r>
      <w:r w:rsidR="00322D21" w:rsidRPr="00EC0229">
        <w:rPr>
          <w:rStyle w:val="FootnoteReference"/>
        </w:rPr>
        <w:footnoteReference w:id="1086"/>
      </w:r>
    </w:p>
    <w:p w14:paraId="3043D78F" w14:textId="77777777" w:rsidR="00071F47" w:rsidRPr="00EC0229" w:rsidRDefault="00071F47" w:rsidP="007600EA">
      <w:pPr>
        <w:pStyle w:val="NoSpacing"/>
        <w:spacing w:line="360" w:lineRule="auto"/>
      </w:pPr>
    </w:p>
    <w:p w14:paraId="35B1499D" w14:textId="72779BDB" w:rsidR="00071F47" w:rsidRPr="00EC0229" w:rsidRDefault="00071F47" w:rsidP="007600EA">
      <w:pPr>
        <w:pStyle w:val="NoSpacing"/>
        <w:spacing w:line="360" w:lineRule="auto"/>
      </w:pPr>
      <w:r w:rsidRPr="00EC0229">
        <w:t>The sixth- and seventh-century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coins, which display a reduction in precious metal content, and these few eighth-century silver and ninth-century base finds, mainly from around the church</w:t>
      </w:r>
      <w:r w:rsidRPr="00EC0229">
        <w:fldChar w:fldCharType="begin"/>
      </w:r>
      <w:r w:rsidRPr="00EC0229">
        <w:instrText xml:space="preserve"> XE "</w:instrText>
      </w:r>
      <w:r w:rsidRPr="00EC0229">
        <w:rPr>
          <w:rFonts w:cs="Times New Roman"/>
          <w:szCs w:val="24"/>
        </w:rPr>
        <w:instrText>church</w:instrText>
      </w:r>
      <w:r w:rsidRPr="00EC0229">
        <w:instrText xml:space="preserve">" </w:instrText>
      </w:r>
      <w:r w:rsidRPr="00EC0229">
        <w:fldChar w:fldCharType="end"/>
      </w:r>
      <w:r w:rsidRPr="00EC0229">
        <w:t>,</w:t>
      </w:r>
      <w:r w:rsidR="00E43BE3" w:rsidRPr="00EC0229">
        <w:rPr>
          <w:rStyle w:val="FootnoteReference"/>
        </w:rPr>
        <w:footnoteReference w:id="1087"/>
      </w:r>
      <w:r w:rsidRPr="00EC0229">
        <w:t xml:space="preserve"> could all be dismissed as stray trackway losses.</w:t>
      </w:r>
      <w:r w:rsidR="00E43BE3" w:rsidRPr="00EC0229">
        <w:rPr>
          <w:rStyle w:val="FootnoteReference"/>
        </w:rPr>
        <w:footnoteReference w:id="1088"/>
      </w:r>
      <w:r w:rsidRPr="00EC0229">
        <w:t xml:space="preserve"> </w:t>
      </w:r>
      <w:r w:rsidR="00440E7E" w:rsidRPr="00EC0229">
        <w:t xml:space="preserve">Alternatively, the half dozen find-spots may be scattered farms or the site could be </w:t>
      </w:r>
      <w:r w:rsidR="003A0206" w:rsidRPr="00EC0229">
        <w:t>a ‘small family monastic site’.</w:t>
      </w:r>
      <w:r w:rsidR="003A0206" w:rsidRPr="00EC0229">
        <w:rPr>
          <w:rStyle w:val="FootnoteReference"/>
        </w:rPr>
        <w:footnoteReference w:id="1089"/>
      </w:r>
      <w:r w:rsidR="003A0206" w:rsidRPr="00EC0229">
        <w:t xml:space="preserve"> </w:t>
      </w:r>
      <w:r w:rsidR="005906BB" w:rsidRPr="00EC0229">
        <w:t>L</w:t>
      </w:r>
      <w:r w:rsidR="001D23A1" w:rsidRPr="00EC0229">
        <w:t xml:space="preserve">ittle weight </w:t>
      </w:r>
      <w:r w:rsidR="005906BB" w:rsidRPr="00EC0229">
        <w:t xml:space="preserve">is given </w:t>
      </w:r>
      <w:r w:rsidR="001D23A1" w:rsidRPr="00EC0229">
        <w:t>to Everson and Stoker’s view of Wharram at this time as a ‘sheep-station and seasonal market’</w:t>
      </w:r>
      <w:r w:rsidR="005906BB" w:rsidRPr="00EC0229">
        <w:rPr>
          <w:rStyle w:val="FootnoteReference"/>
        </w:rPr>
        <w:footnoteReference w:id="1090"/>
      </w:r>
      <w:r w:rsidR="005906BB" w:rsidRPr="00EC0229">
        <w:t xml:space="preserve">  by either the modest numismatic assemblage, nor Richardson’s faunal analysis, which tempe</w:t>
      </w:r>
      <w:r w:rsidR="00E22DA3" w:rsidRPr="00EC0229">
        <w:t>red the predominance of sheep with</w:t>
      </w:r>
      <w:r w:rsidR="005906BB" w:rsidRPr="00EC0229">
        <w:t xml:space="preserve"> the ‘broad, multi-faceted economy</w:t>
      </w:r>
      <w:r w:rsidR="001D23A1" w:rsidRPr="00EC0229">
        <w:t>.</w:t>
      </w:r>
      <w:r w:rsidR="005906BB" w:rsidRPr="00EC0229">
        <w:rPr>
          <w:rStyle w:val="FootnoteReference"/>
        </w:rPr>
        <w:footnoteReference w:id="1091"/>
      </w:r>
      <w:r w:rsidR="001D23A1" w:rsidRPr="00EC0229">
        <w:t xml:space="preserve"> </w:t>
      </w:r>
      <w:r w:rsidRPr="00EC0229">
        <w:t xml:space="preserve">The only coherent story </w:t>
      </w:r>
      <w:r w:rsidR="005906BB" w:rsidRPr="00EC0229">
        <w:t>told</w:t>
      </w:r>
      <w:r w:rsidRPr="00EC0229">
        <w:t xml:space="preserve"> is </w:t>
      </w:r>
      <w:r w:rsidR="001D23A1" w:rsidRPr="00EC0229">
        <w:t xml:space="preserve">monetary - </w:t>
      </w:r>
      <w:r w:rsidRPr="00EC0229">
        <w:t>the gradual reduction in denominational value over the centuries.</w:t>
      </w:r>
      <w:r w:rsidRPr="00EC0229">
        <w:rPr>
          <w:rStyle w:val="FootnoteReference"/>
        </w:rPr>
        <w:footnoteReference w:id="1092"/>
      </w:r>
      <w:r w:rsidR="00992939" w:rsidRPr="00EC0229">
        <w:t xml:space="preserve"> Given the volume of nearby a</w:t>
      </w:r>
      <w:r w:rsidR="001D23A1" w:rsidRPr="00EC0229">
        <w:t>ccumulations</w:t>
      </w:r>
      <w:r w:rsidR="00992939" w:rsidRPr="00EC0229">
        <w:t>, the lack of coinage is not attributable to distance from the coast or York.</w:t>
      </w:r>
      <w:r w:rsidR="00992939" w:rsidRPr="00EC0229">
        <w:rPr>
          <w:rStyle w:val="FootnoteReference"/>
        </w:rPr>
        <w:footnoteReference w:id="1093"/>
      </w:r>
    </w:p>
    <w:p w14:paraId="4F0CED27" w14:textId="0B6456C4" w:rsidR="00854613" w:rsidRPr="007A3166" w:rsidRDefault="00854613" w:rsidP="00C97BF2">
      <w:pPr>
        <w:pStyle w:val="Heading4"/>
        <w:spacing w:line="360" w:lineRule="auto"/>
        <w:rPr>
          <w:b/>
        </w:rPr>
      </w:pPr>
      <w:bookmarkStart w:id="742" w:name="_Toc468266896"/>
      <w:bookmarkStart w:id="743" w:name="Garton"/>
      <w:bookmarkEnd w:id="722"/>
      <w:r w:rsidRPr="007A3166">
        <w:rPr>
          <w:b/>
        </w:rPr>
        <w:t>Garton</w:t>
      </w:r>
      <w:r w:rsidR="006B1593" w:rsidRPr="007A3166">
        <w:rPr>
          <w:b/>
        </w:rPr>
        <w:fldChar w:fldCharType="begin"/>
      </w:r>
      <w:r w:rsidR="006B1593" w:rsidRPr="007A3166">
        <w:rPr>
          <w:b/>
        </w:rPr>
        <w:instrText xml:space="preserve"> XE "</w:instrText>
      </w:r>
      <w:r w:rsidR="006B1593" w:rsidRPr="007A3166">
        <w:rPr>
          <w:rStyle w:val="Hyperlink"/>
          <w:b/>
          <w:noProof/>
          <w:u w:val="none"/>
        </w:rPr>
        <w:instrText>Garton</w:instrText>
      </w:r>
      <w:r w:rsidR="006B1593" w:rsidRPr="007A3166">
        <w:rPr>
          <w:b/>
        </w:rPr>
        <w:instrText xml:space="preserve">" </w:instrText>
      </w:r>
      <w:r w:rsidR="006B1593" w:rsidRPr="007A3166">
        <w:rPr>
          <w:b/>
        </w:rPr>
        <w:fldChar w:fldCharType="end"/>
      </w:r>
      <w:r w:rsidRPr="007A3166">
        <w:rPr>
          <w:b/>
        </w:rPr>
        <w:t>-on-the-Wolds</w:t>
      </w:r>
      <w:bookmarkEnd w:id="742"/>
      <w:r w:rsidR="006B1593" w:rsidRPr="007A3166">
        <w:rPr>
          <w:b/>
        </w:rPr>
        <w:fldChar w:fldCharType="begin"/>
      </w:r>
      <w:r w:rsidR="006B1593" w:rsidRPr="007A3166">
        <w:rPr>
          <w:b/>
        </w:rPr>
        <w:instrText xml:space="preserve"> XE "</w:instrText>
      </w:r>
      <w:r w:rsidR="006B1593" w:rsidRPr="007A3166">
        <w:rPr>
          <w:rStyle w:val="Hyperlink"/>
          <w:rFonts w:cs="Times New Roman"/>
          <w:b/>
          <w:noProof/>
          <w:u w:val="none"/>
        </w:rPr>
        <w:instrText>Wolds</w:instrText>
      </w:r>
      <w:r w:rsidR="006B1593" w:rsidRPr="007A3166">
        <w:rPr>
          <w:b/>
        </w:rPr>
        <w:instrText xml:space="preserve">" </w:instrText>
      </w:r>
      <w:r w:rsidR="006B1593" w:rsidRPr="007A3166">
        <w:rPr>
          <w:b/>
        </w:rPr>
        <w:fldChar w:fldCharType="end"/>
      </w:r>
    </w:p>
    <w:p w14:paraId="3DF2D546"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49442CB3" wp14:editId="5773AD83">
            <wp:extent cx="1081088" cy="1157288"/>
            <wp:effectExtent l="0" t="0" r="5080" b="508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arton grave goods pendant.jpg"/>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081088" cy="1157288"/>
                    </a:xfrm>
                    <a:prstGeom prst="rect">
                      <a:avLst/>
                    </a:prstGeom>
                  </pic:spPr>
                </pic:pic>
              </a:graphicData>
            </a:graphic>
          </wp:inline>
        </w:drawing>
      </w:r>
    </w:p>
    <w:p w14:paraId="27ECABAF" w14:textId="36E51968" w:rsidR="00854613" w:rsidRPr="00EC0229" w:rsidRDefault="003977B6" w:rsidP="007600EA">
      <w:pPr>
        <w:spacing w:line="360" w:lineRule="auto"/>
        <w:jc w:val="center"/>
        <w:rPr>
          <w:i/>
          <w:sz w:val="20"/>
          <w:szCs w:val="20"/>
        </w:rPr>
      </w:pPr>
      <w:bookmarkStart w:id="744" w:name="_Ref430248997"/>
      <w:bookmarkStart w:id="745" w:name="_Toc468267102"/>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130</w:t>
      </w:r>
      <w:r w:rsidR="00B609E3" w:rsidRPr="00EC0229">
        <w:rPr>
          <w:sz w:val="20"/>
          <w:szCs w:val="20"/>
        </w:rPr>
        <w:fldChar w:fldCharType="end"/>
      </w:r>
      <w:bookmarkEnd w:id="744"/>
      <w:r w:rsidR="004945A9" w:rsidRPr="00EC0229">
        <w:rPr>
          <w:sz w:val="20"/>
          <w:szCs w:val="20"/>
        </w:rPr>
        <w:t xml:space="preserve">: </w:t>
      </w:r>
      <w:r w:rsidR="00854613" w:rsidRPr="00EC0229">
        <w:rPr>
          <w:sz w:val="20"/>
          <w:szCs w:val="20"/>
        </w:rPr>
        <w:t>Garton</w:t>
      </w:r>
      <w:r w:rsidR="006B1593" w:rsidRPr="00EC0229">
        <w:rPr>
          <w:sz w:val="20"/>
          <w:szCs w:val="20"/>
        </w:rPr>
        <w:fldChar w:fldCharType="begin"/>
      </w:r>
      <w:r w:rsidR="006B1593" w:rsidRPr="00EC0229">
        <w:rPr>
          <w:sz w:val="20"/>
          <w:szCs w:val="20"/>
        </w:rPr>
        <w:instrText xml:space="preserve"> XE "Garton" </w:instrText>
      </w:r>
      <w:r w:rsidR="006B1593" w:rsidRPr="00EC0229">
        <w:rPr>
          <w:sz w:val="20"/>
          <w:szCs w:val="20"/>
        </w:rPr>
        <w:fldChar w:fldCharType="end"/>
      </w:r>
      <w:r w:rsidR="00854613" w:rsidRPr="00EC0229">
        <w:rPr>
          <w:sz w:val="20"/>
          <w:szCs w:val="20"/>
        </w:rPr>
        <w:t>-on-the-Wolds</w:t>
      </w:r>
      <w:r w:rsidR="006B1593" w:rsidRPr="00EC0229">
        <w:rPr>
          <w:sz w:val="20"/>
          <w:szCs w:val="20"/>
        </w:rPr>
        <w:fldChar w:fldCharType="begin"/>
      </w:r>
      <w:r w:rsidR="006B1593" w:rsidRPr="00EC0229">
        <w:rPr>
          <w:sz w:val="20"/>
          <w:szCs w:val="20"/>
        </w:rPr>
        <w:instrText xml:space="preserve"> XE "Wolds" </w:instrText>
      </w:r>
      <w:r w:rsidR="006B1593" w:rsidRPr="00EC0229">
        <w:rPr>
          <w:sz w:val="20"/>
          <w:szCs w:val="20"/>
        </w:rPr>
        <w:fldChar w:fldCharType="end"/>
      </w:r>
      <w:r w:rsidR="00854613" w:rsidRPr="00EC0229">
        <w:rPr>
          <w:sz w:val="20"/>
          <w:szCs w:val="20"/>
        </w:rPr>
        <w:t>, Green Lane Crossing, pendant grave find</w:t>
      </w:r>
      <w:r w:rsidR="00854613" w:rsidRPr="00EC0229">
        <w:rPr>
          <w:sz w:val="20"/>
          <w:vertAlign w:val="superscript"/>
        </w:rPr>
        <w:footnoteReference w:id="1094"/>
      </w:r>
      <w:bookmarkEnd w:id="745"/>
    </w:p>
    <w:p w14:paraId="0AD6C770" w14:textId="77777777" w:rsidR="00C531DD" w:rsidRPr="00EC0229" w:rsidRDefault="00C531DD" w:rsidP="007600EA">
      <w:pPr>
        <w:pStyle w:val="NoSpacing"/>
        <w:spacing w:line="360" w:lineRule="auto"/>
      </w:pPr>
    </w:p>
    <w:bookmarkEnd w:id="743"/>
    <w:p w14:paraId="3D831677" w14:textId="507D4670" w:rsidR="00854613" w:rsidRPr="00EC0229" w:rsidRDefault="00854613" w:rsidP="007600EA">
      <w:pPr>
        <w:pStyle w:val="NoSpacing"/>
        <w:spacing w:line="360" w:lineRule="auto"/>
      </w:pPr>
      <w:r w:rsidRPr="00EC0229">
        <w:t>This northern site of inhumations with grave goods</w:t>
      </w:r>
      <w:r w:rsidR="004945A9" w:rsidRPr="00EC0229">
        <w:t xml:space="preserve"> </w:t>
      </w:r>
      <w:r w:rsidR="004945A9"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_Ref430248997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130</w:t>
      </w:r>
      <w:r w:rsidR="00C44C51" w:rsidRPr="00EC0229">
        <w:rPr>
          <w:rFonts w:eastAsia="Times New Roman" w:cs="Times New Roman"/>
          <w:iCs/>
          <w:szCs w:val="24"/>
          <w:lang w:eastAsia="en-GB"/>
        </w:rPr>
        <w:fldChar w:fldCharType="end"/>
      </w:r>
      <w:r w:rsidR="00C44C51" w:rsidRPr="00EC0229">
        <w:rPr>
          <w:rFonts w:eastAsia="Times New Roman" w:cs="Times New Roman"/>
          <w:iCs/>
          <w:szCs w:val="24"/>
          <w:lang w:eastAsia="en-GB"/>
        </w:rPr>
        <w:t xml:space="preserve">), </w:t>
      </w:r>
      <w:r w:rsidRPr="00EC0229">
        <w:t>the only other being at Spofforth</w:t>
      </w:r>
      <w:r w:rsidR="006B1593" w:rsidRPr="00EC0229">
        <w:fldChar w:fldCharType="begin"/>
      </w:r>
      <w:r w:rsidR="006B1593" w:rsidRPr="00EC0229">
        <w:instrText xml:space="preserve"> XE "</w:instrText>
      </w:r>
      <w:r w:rsidR="006B1593" w:rsidRPr="00EC0229">
        <w:rPr>
          <w:rStyle w:val="Hyperlink"/>
          <w:noProof/>
          <w:u w:val="none"/>
        </w:rPr>
        <w:instrText>Spofforth</w:instrText>
      </w:r>
      <w:r w:rsidR="006B1593" w:rsidRPr="00EC0229">
        <w:instrText xml:space="preserve">" </w:instrText>
      </w:r>
      <w:r w:rsidR="006B1593" w:rsidRPr="00EC0229">
        <w:fldChar w:fldCharType="end"/>
      </w:r>
      <w:r w:rsidRPr="00EC0229">
        <w:t>, has a high proportion of exotic species among the relative few coin finds. Rigold</w:t>
      </w:r>
      <w:r w:rsidRPr="00EC0229">
        <w:rPr>
          <w:rStyle w:val="FootnoteReference"/>
        </w:rPr>
        <w:footnoteReference w:id="1095"/>
      </w:r>
      <w:r w:rsidRPr="00EC0229">
        <w:t xml:space="preserve"> </w:t>
      </w:r>
      <w:r w:rsidRPr="00EC0229">
        <w:lastRenderedPageBreak/>
        <w:t>reported as his hoard VIII sceats of Series</w:t>
      </w:r>
      <w:r w:rsidR="00D142DC" w:rsidRPr="00EC0229">
        <w:fldChar w:fldCharType="begin"/>
      </w:r>
      <w:r w:rsidR="00D142DC" w:rsidRPr="00EC0229">
        <w:instrText xml:space="preserve"> XE "Series" </w:instrText>
      </w:r>
      <w:r w:rsidR="00D142DC" w:rsidRPr="00EC0229">
        <w:fldChar w:fldCharType="end"/>
      </w:r>
      <w:r w:rsidR="002A2776" w:rsidRPr="00EC0229">
        <w:t xml:space="preserve"> J (four</w:t>
      </w:r>
      <w:r w:rsidRPr="00EC0229">
        <w:t>)</w:t>
      </w:r>
      <w:r w:rsidR="008674A9" w:rsidRPr="00EC0229">
        <w:t>, [5a]</w:t>
      </w:r>
      <w:r w:rsidRPr="00EC0229">
        <w:t>, G (</w:t>
      </w:r>
      <w:r w:rsidR="002A2776" w:rsidRPr="00EC0229">
        <w:t>two</w:t>
      </w:r>
      <w:r w:rsidRPr="00EC0229">
        <w:t>)</w:t>
      </w:r>
      <w:r w:rsidR="008674A9" w:rsidRPr="00EC0229">
        <w:t>, [4c/5c]</w:t>
      </w:r>
      <w:r w:rsidRPr="00EC0229">
        <w:t>, K/serpent (</w:t>
      </w:r>
      <w:r w:rsidRPr="00EC0229">
        <w:rPr>
          <w:i/>
        </w:rPr>
        <w:t>SL</w:t>
      </w:r>
      <w:r w:rsidRPr="00EC0229">
        <w:t xml:space="preserve"> 39-10)</w:t>
      </w:r>
      <w:r w:rsidR="008674A9" w:rsidRPr="00EC0229">
        <w:t>, [5b],</w:t>
      </w:r>
      <w:r w:rsidRPr="00EC0229">
        <w:t xml:space="preserve"> and an annulet cross type (</w:t>
      </w:r>
      <w:r w:rsidRPr="00EC0229">
        <w:rPr>
          <w:i/>
        </w:rPr>
        <w:t>SL</w:t>
      </w:r>
      <w:r w:rsidRPr="00EC0229">
        <w:t xml:space="preserve"> 14-10</w:t>
      </w:r>
      <w:r w:rsidR="004945A9" w:rsidRPr="00EC0229">
        <w:t xml:space="preserve">, </w:t>
      </w:r>
      <w:r w:rsidR="00C44C51" w:rsidRPr="00EC0229">
        <w:fldChar w:fldCharType="begin"/>
      </w:r>
      <w:r w:rsidR="00C44C51" w:rsidRPr="00EC0229">
        <w:instrText xml:space="preserve"> REF _Ref430249010 \h </w:instrText>
      </w:r>
      <w:r w:rsidR="00235629" w:rsidRPr="00EC0229">
        <w:instrText xml:space="preserve"> \* MERGEFORMAT </w:instrText>
      </w:r>
      <w:r w:rsidR="00C44C51" w:rsidRPr="00EC0229">
        <w:fldChar w:fldCharType="separate"/>
      </w:r>
      <w:r w:rsidR="0012026B" w:rsidRPr="0012026B">
        <w:rPr>
          <w:i/>
        </w:rPr>
        <w:t>Figure</w:t>
      </w:r>
      <w:r w:rsidR="0012026B" w:rsidRPr="0012026B">
        <w:t xml:space="preserve"> </w:t>
      </w:r>
      <w:r w:rsidR="0012026B" w:rsidRPr="0012026B">
        <w:rPr>
          <w:noProof/>
        </w:rPr>
        <w:t>131</w:t>
      </w:r>
      <w:r w:rsidR="00C44C51" w:rsidRPr="00EC0229">
        <w:fldChar w:fldCharType="end"/>
      </w:r>
      <w:r w:rsidRPr="00EC0229">
        <w:t>)</w:t>
      </w:r>
      <w:r w:rsidR="008674A9" w:rsidRPr="00EC0229">
        <w:t>, [5b],</w:t>
      </w:r>
      <w:r w:rsidRPr="00EC0229">
        <w:t xml:space="preserve"> similar to that found at Spofforth.</w:t>
      </w:r>
    </w:p>
    <w:p w14:paraId="6901AE6B"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0BD4564E" wp14:editId="6BFFAE66">
            <wp:extent cx="1290320" cy="1585204"/>
            <wp:effectExtent l="0" t="0" r="508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arton - hoard VIII - Rigold 1960  1-2.jpg"/>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291838" cy="1587069"/>
                    </a:xfrm>
                    <a:prstGeom prst="rect">
                      <a:avLst/>
                    </a:prstGeom>
                  </pic:spPr>
                </pic:pic>
              </a:graphicData>
            </a:graphic>
          </wp:inline>
        </w:drawing>
      </w:r>
      <w:r w:rsidRPr="00EC0229">
        <w:rPr>
          <w:noProof/>
          <w:lang w:eastAsia="en-GB"/>
        </w:rPr>
        <w:drawing>
          <wp:inline distT="0" distB="0" distL="0" distR="0" wp14:anchorId="4AD26482" wp14:editId="0466A6F9">
            <wp:extent cx="1211580" cy="1602412"/>
            <wp:effectExtent l="0" t="0" r="762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arton - hoard VIII - Rigold 1960  3-4.jpg"/>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1213550" cy="1605017"/>
                    </a:xfrm>
                    <a:prstGeom prst="rect">
                      <a:avLst/>
                    </a:prstGeom>
                  </pic:spPr>
                </pic:pic>
              </a:graphicData>
            </a:graphic>
          </wp:inline>
        </w:drawing>
      </w:r>
      <w:r w:rsidRPr="00EC0229">
        <w:rPr>
          <w:noProof/>
          <w:lang w:eastAsia="en-GB"/>
        </w:rPr>
        <w:drawing>
          <wp:inline distT="0" distB="0" distL="0" distR="0" wp14:anchorId="71204677" wp14:editId="7E3C4348">
            <wp:extent cx="2510994" cy="1595120"/>
            <wp:effectExtent l="0" t="0" r="3810" b="508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arton - hoard VIII - Rigold 1960  6-8.jpg"/>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516681" cy="1598733"/>
                    </a:xfrm>
                    <a:prstGeom prst="rect">
                      <a:avLst/>
                    </a:prstGeom>
                  </pic:spPr>
                </pic:pic>
              </a:graphicData>
            </a:graphic>
          </wp:inline>
        </w:drawing>
      </w:r>
      <w:r w:rsidRPr="00EC0229">
        <w:rPr>
          <w:noProof/>
          <w:lang w:eastAsia="en-GB"/>
        </w:rPr>
        <w:drawing>
          <wp:inline distT="0" distB="0" distL="0" distR="0" wp14:anchorId="68EE0B54" wp14:editId="0F357E32">
            <wp:extent cx="563880" cy="1655153"/>
            <wp:effectExtent l="0" t="0" r="7620" b="254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arton - hoard VIII - Rigold 1960  5.jpg"/>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565314" cy="1659361"/>
                    </a:xfrm>
                    <a:prstGeom prst="rect">
                      <a:avLst/>
                    </a:prstGeom>
                  </pic:spPr>
                </pic:pic>
              </a:graphicData>
            </a:graphic>
          </wp:inline>
        </w:drawing>
      </w:r>
    </w:p>
    <w:p w14:paraId="008D1AE3" w14:textId="3A1E81C3" w:rsidR="00854613" w:rsidRPr="00EC0229" w:rsidRDefault="003977B6" w:rsidP="007600EA">
      <w:pPr>
        <w:spacing w:line="360" w:lineRule="auto"/>
        <w:jc w:val="center"/>
        <w:rPr>
          <w:i/>
          <w:sz w:val="20"/>
          <w:szCs w:val="20"/>
        </w:rPr>
      </w:pPr>
      <w:bookmarkStart w:id="746" w:name="_Ref430249010"/>
      <w:bookmarkStart w:id="747" w:name="_Toc468267103"/>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131</w:t>
      </w:r>
      <w:r w:rsidR="00B609E3" w:rsidRPr="00EC0229">
        <w:rPr>
          <w:sz w:val="20"/>
          <w:szCs w:val="20"/>
        </w:rPr>
        <w:fldChar w:fldCharType="end"/>
      </w:r>
      <w:bookmarkEnd w:id="746"/>
      <w:r w:rsidR="004945A9" w:rsidRPr="00EC0229">
        <w:rPr>
          <w:sz w:val="20"/>
          <w:szCs w:val="20"/>
        </w:rPr>
        <w:t xml:space="preserve">: </w:t>
      </w:r>
      <w:r w:rsidR="00854613" w:rsidRPr="00EC0229">
        <w:rPr>
          <w:sz w:val="20"/>
          <w:szCs w:val="20"/>
        </w:rPr>
        <w:t>Rigold: Garton</w:t>
      </w:r>
      <w:r w:rsidR="006B1593" w:rsidRPr="00EC0229">
        <w:rPr>
          <w:sz w:val="20"/>
          <w:szCs w:val="20"/>
        </w:rPr>
        <w:fldChar w:fldCharType="begin"/>
      </w:r>
      <w:r w:rsidR="006B1593" w:rsidRPr="00EC0229">
        <w:rPr>
          <w:sz w:val="20"/>
          <w:szCs w:val="20"/>
        </w:rPr>
        <w:instrText xml:space="preserve"> XE "Garton" </w:instrText>
      </w:r>
      <w:r w:rsidR="006B1593" w:rsidRPr="00EC0229">
        <w:rPr>
          <w:sz w:val="20"/>
          <w:szCs w:val="20"/>
        </w:rPr>
        <w:fldChar w:fldCharType="end"/>
      </w:r>
      <w:r w:rsidR="00854613" w:rsidRPr="00EC0229">
        <w:rPr>
          <w:sz w:val="20"/>
          <w:szCs w:val="20"/>
        </w:rPr>
        <w:t>–on-the-Wold</w:t>
      </w:r>
      <w:r w:rsidR="00E1065A" w:rsidRPr="00EC0229">
        <w:rPr>
          <w:sz w:val="20"/>
          <w:szCs w:val="20"/>
        </w:rPr>
        <w:t>s</w:t>
      </w:r>
      <w:r w:rsidR="00854613" w:rsidRPr="00EC0229">
        <w:rPr>
          <w:sz w:val="20"/>
          <w:szCs w:val="20"/>
        </w:rPr>
        <w:t xml:space="preserve"> grave find</w:t>
      </w:r>
      <w:bookmarkEnd w:id="747"/>
    </w:p>
    <w:p w14:paraId="404D2C0A" w14:textId="77777777" w:rsidR="00854613" w:rsidRPr="00EC0229" w:rsidRDefault="00854613" w:rsidP="007600EA">
      <w:pPr>
        <w:pStyle w:val="NoSpacing"/>
        <w:spacing w:line="360" w:lineRule="auto"/>
        <w:jc w:val="center"/>
        <w:rPr>
          <w:sz w:val="20"/>
          <w:szCs w:val="20"/>
        </w:rPr>
      </w:pPr>
    </w:p>
    <w:p w14:paraId="6B9F509A" w14:textId="0400E481" w:rsidR="00854613" w:rsidRPr="00EC0229" w:rsidRDefault="00854613" w:rsidP="007600EA">
      <w:pPr>
        <w:pStyle w:val="NoSpacing"/>
        <w:spacing w:line="360" w:lineRule="auto"/>
      </w:pPr>
      <w:r w:rsidRPr="00EC0229">
        <w:t>Other local finds include a fine, well-centre,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shilling </w:t>
      </w:r>
      <w:r w:rsidR="007279FD" w:rsidRPr="00EC0229">
        <w:t xml:space="preserve">[3b] </w:t>
      </w:r>
      <w:r w:rsidRPr="00EC0229">
        <w:t xml:space="preserve">with a full if tantalising, </w:t>
      </w:r>
      <w:r w:rsidRPr="00EC0229">
        <w:rPr>
          <w:i/>
        </w:rPr>
        <w:t>nomina sacra</w:t>
      </w:r>
      <w:r w:rsidRPr="00EC0229">
        <w:t>, reverse inscription,</w:t>
      </w:r>
      <w:r w:rsidR="003E0027" w:rsidRPr="00EC0229">
        <w:rPr>
          <w:rStyle w:val="FootnoteReference"/>
        </w:rPr>
        <w:footnoteReference w:id="1096"/>
      </w:r>
      <w:r w:rsidRPr="00EC0229">
        <w:t xml:space="preserve"> a rare sceat of Eadberht</w:t>
      </w:r>
      <w:r w:rsidR="00D142DC" w:rsidRPr="00EC0229">
        <w:fldChar w:fldCharType="begin"/>
      </w:r>
      <w:r w:rsidR="00D142DC" w:rsidRPr="00EC0229">
        <w:instrText xml:space="preserve"> XE "Eadberht" </w:instrText>
      </w:r>
      <w:r w:rsidR="00D142DC" w:rsidRPr="00EC0229">
        <w:fldChar w:fldCharType="end"/>
      </w:r>
      <w:r w:rsidRPr="00EC0229">
        <w:t xml:space="preserve"> </w:t>
      </w:r>
      <w:r w:rsidR="007279FD" w:rsidRPr="00EC0229">
        <w:t xml:space="preserve">[N6] </w:t>
      </w:r>
      <w:r w:rsidRPr="00EC0229">
        <w:t>with a swastika below the animal, a sceat of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I’s restoration by Ceolbald</w:t>
      </w:r>
      <w:r w:rsidR="007279FD" w:rsidRPr="00EC0229">
        <w:t>,</w:t>
      </w:r>
      <w:r w:rsidRPr="00EC0229">
        <w:t xml:space="preserve"> </w:t>
      </w:r>
      <w:r w:rsidR="007279FD" w:rsidRPr="00EC0229">
        <w:t xml:space="preserve">[N8], </w:t>
      </w:r>
      <w:r w:rsidRPr="00EC0229">
        <w:t xml:space="preserve">and very rare </w:t>
      </w:r>
      <w:r w:rsidRPr="00EC0229">
        <w:rPr>
          <w:i/>
        </w:rPr>
        <w:t>SEDE</w:t>
      </w:r>
      <w:r w:rsidRPr="00EC0229">
        <w:t xml:space="preserve"> sceat </w:t>
      </w:r>
      <w:r w:rsidR="007279FD" w:rsidRPr="00EC0229">
        <w:t xml:space="preserve">[5b] </w:t>
      </w:r>
      <w:r w:rsidRPr="00EC0229">
        <w:t>with its radiant, protective, serpent adding to the sense of a high-status location</w:t>
      </w:r>
      <w:r w:rsidR="004945A9" w:rsidRPr="00EC0229">
        <w:t xml:space="preserve"> (</w:t>
      </w:r>
      <w:r w:rsidR="00C44C51" w:rsidRPr="00EC0229">
        <w:fldChar w:fldCharType="begin"/>
      </w:r>
      <w:r w:rsidR="00C44C51" w:rsidRPr="00EC0229">
        <w:instrText xml:space="preserve"> REF _Ref430249026 \h </w:instrText>
      </w:r>
      <w:r w:rsidR="00235629" w:rsidRPr="00EC0229">
        <w:instrText xml:space="preserve"> \* MERGEFORMAT </w:instrText>
      </w:r>
      <w:r w:rsidR="00C44C51" w:rsidRPr="00EC0229">
        <w:fldChar w:fldCharType="separate"/>
      </w:r>
      <w:r w:rsidR="0012026B" w:rsidRPr="0012026B">
        <w:rPr>
          <w:i/>
        </w:rPr>
        <w:t>Figure</w:t>
      </w:r>
      <w:r w:rsidR="0012026B" w:rsidRPr="0012026B">
        <w:t xml:space="preserve"> </w:t>
      </w:r>
      <w:r w:rsidR="0012026B" w:rsidRPr="0012026B">
        <w:rPr>
          <w:noProof/>
        </w:rPr>
        <w:t>132</w:t>
      </w:r>
      <w:r w:rsidR="00C44C51" w:rsidRPr="00EC0229">
        <w:fldChar w:fldCharType="end"/>
      </w:r>
      <w:r w:rsidR="004945A9" w:rsidRPr="00EC0229">
        <w:t>)</w:t>
      </w:r>
      <w:r w:rsidRPr="00EC0229">
        <w:t>.</w:t>
      </w:r>
      <w:r w:rsidR="004945A9" w:rsidRPr="00EC0229">
        <w:t xml:space="preserve"> Another singleton Q is present </w:t>
      </w:r>
      <w:r w:rsidR="004945A9"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_Ref430249035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133</w:t>
      </w:r>
      <w:r w:rsidR="00C44C51" w:rsidRPr="00EC0229">
        <w:rPr>
          <w:rFonts w:eastAsia="Times New Roman" w:cs="Times New Roman"/>
          <w:iCs/>
          <w:szCs w:val="24"/>
          <w:lang w:eastAsia="en-GB"/>
        </w:rPr>
        <w:fldChar w:fldCharType="end"/>
      </w:r>
      <w:r w:rsidR="004945A9" w:rsidRPr="00EC0229">
        <w:rPr>
          <w:rFonts w:eastAsia="Times New Roman" w:cs="Times New Roman"/>
          <w:iCs/>
          <w:szCs w:val="24"/>
          <w:lang w:eastAsia="en-GB"/>
        </w:rPr>
        <w:t>)</w:t>
      </w:r>
      <w:r w:rsidR="007279FD" w:rsidRPr="00EC0229">
        <w:rPr>
          <w:rFonts w:eastAsia="Times New Roman" w:cs="Times New Roman"/>
          <w:iCs/>
          <w:szCs w:val="24"/>
          <w:lang w:eastAsia="en-GB"/>
        </w:rPr>
        <w:t>, [5b]</w:t>
      </w:r>
      <w:r w:rsidR="004945A9" w:rsidRPr="00EC0229">
        <w:rPr>
          <w:rFonts w:eastAsia="Times New Roman" w:cs="Times New Roman"/>
          <w:iCs/>
          <w:szCs w:val="24"/>
          <w:lang w:eastAsia="en-GB"/>
        </w:rPr>
        <w:t>.</w:t>
      </w:r>
      <w:r w:rsidR="00EB6D40" w:rsidRPr="00EC0229">
        <w:rPr>
          <w:rFonts w:eastAsia="Times New Roman" w:cs="Times New Roman"/>
          <w:iCs/>
          <w:szCs w:val="24"/>
          <w:lang w:eastAsia="en-GB"/>
        </w:rPr>
        <w:t xml:space="preserve"> This rich mix of finds for the seventh and eighth centuries suggests a location better </w:t>
      </w:r>
      <w:r w:rsidR="004504D2">
        <w:rPr>
          <w:rFonts w:eastAsia="Times New Roman" w:cs="Times New Roman"/>
          <w:iCs/>
          <w:szCs w:val="24"/>
          <w:lang w:eastAsia="en-GB"/>
        </w:rPr>
        <w:t>characterize</w:t>
      </w:r>
      <w:r w:rsidR="00EB6D40" w:rsidRPr="00EC0229">
        <w:rPr>
          <w:rFonts w:eastAsia="Times New Roman" w:cs="Times New Roman"/>
          <w:iCs/>
          <w:szCs w:val="24"/>
          <w:lang w:eastAsia="en-GB"/>
        </w:rPr>
        <w:t>d as high status than economically dynamic.</w:t>
      </w:r>
      <w:r w:rsidR="00046C7B">
        <w:rPr>
          <w:rFonts w:eastAsia="Times New Roman" w:cs="Times New Roman"/>
          <w:iCs/>
          <w:szCs w:val="24"/>
          <w:lang w:eastAsia="en-GB"/>
        </w:rPr>
        <w:t xml:space="preserve"> </w:t>
      </w:r>
      <w:r w:rsidR="00046C7B">
        <w:t xml:space="preserve">See </w:t>
      </w:r>
      <w:r w:rsidR="00046C7B" w:rsidRPr="00A07A08">
        <w:rPr>
          <w:i/>
        </w:rPr>
        <w:t>Graph 7.</w:t>
      </w:r>
      <w:r w:rsidR="00046C7B">
        <w:rPr>
          <w:i/>
        </w:rPr>
        <w:t>04 no. 7</w:t>
      </w:r>
      <w:r w:rsidR="00046C7B">
        <w:t>.</w:t>
      </w:r>
    </w:p>
    <w:p w14:paraId="59E4087F"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1236EE21" wp14:editId="605A10AC">
            <wp:extent cx="952500" cy="930088"/>
            <wp:effectExtent l="0" t="0" r="0" b="381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rton York 2.jpg"/>
                    <pic:cNvPicPr/>
                  </pic:nvPicPr>
                  <pic:blipFill>
                    <a:blip r:embed="rId417">
                      <a:extLst>
                        <a:ext uri="{28A0092B-C50C-407E-A947-70E740481C1C}">
                          <a14:useLocalDpi xmlns:a14="http://schemas.microsoft.com/office/drawing/2010/main" val="0"/>
                        </a:ext>
                      </a:extLst>
                    </a:blip>
                    <a:stretch>
                      <a:fillRect/>
                    </a:stretch>
                  </pic:blipFill>
                  <pic:spPr>
                    <a:xfrm>
                      <a:off x="0" y="0"/>
                      <a:ext cx="957772" cy="935235"/>
                    </a:xfrm>
                    <a:prstGeom prst="rect">
                      <a:avLst/>
                    </a:prstGeom>
                  </pic:spPr>
                </pic:pic>
              </a:graphicData>
            </a:graphic>
          </wp:inline>
        </w:drawing>
      </w:r>
      <w:r w:rsidRPr="00EC0229">
        <w:rPr>
          <w:noProof/>
          <w:lang w:eastAsia="en-GB"/>
        </w:rPr>
        <w:drawing>
          <wp:inline distT="0" distB="0" distL="0" distR="0" wp14:anchorId="7A3E8886" wp14:editId="4C08680D">
            <wp:extent cx="975360" cy="952410"/>
            <wp:effectExtent l="0" t="0" r="0" b="63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rton York 2 R.jpg"/>
                    <pic:cNvPicPr/>
                  </pic:nvPicPr>
                  <pic:blipFill>
                    <a:blip r:embed="rId418">
                      <a:extLst>
                        <a:ext uri="{28A0092B-C50C-407E-A947-70E740481C1C}">
                          <a14:useLocalDpi xmlns:a14="http://schemas.microsoft.com/office/drawing/2010/main" val="0"/>
                        </a:ext>
                      </a:extLst>
                    </a:blip>
                    <a:stretch>
                      <a:fillRect/>
                    </a:stretch>
                  </pic:blipFill>
                  <pic:spPr>
                    <a:xfrm>
                      <a:off x="0" y="0"/>
                      <a:ext cx="980318" cy="957252"/>
                    </a:xfrm>
                    <a:prstGeom prst="rect">
                      <a:avLst/>
                    </a:prstGeom>
                  </pic:spPr>
                </pic:pic>
              </a:graphicData>
            </a:graphic>
          </wp:inline>
        </w:drawing>
      </w:r>
      <w:r w:rsidRPr="00EC0229">
        <w:tab/>
      </w:r>
      <w:r w:rsidRPr="00EC0229">
        <w:tab/>
      </w:r>
      <w:r w:rsidRPr="00EC0229">
        <w:rPr>
          <w:noProof/>
          <w:lang w:eastAsia="en-GB"/>
        </w:rPr>
        <w:drawing>
          <wp:inline distT="0" distB="0" distL="0" distR="0" wp14:anchorId="798C9FCC" wp14:editId="22DB5696">
            <wp:extent cx="960120" cy="937529"/>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arton 300 Y119.jpg"/>
                    <pic:cNvPicPr/>
                  </pic:nvPicPr>
                  <pic:blipFill>
                    <a:blip r:embed="rId419">
                      <a:extLst>
                        <a:ext uri="{28A0092B-C50C-407E-A947-70E740481C1C}">
                          <a14:useLocalDpi xmlns:a14="http://schemas.microsoft.com/office/drawing/2010/main" val="0"/>
                        </a:ext>
                      </a:extLst>
                    </a:blip>
                    <a:stretch>
                      <a:fillRect/>
                    </a:stretch>
                  </pic:blipFill>
                  <pic:spPr>
                    <a:xfrm>
                      <a:off x="0" y="0"/>
                      <a:ext cx="964328" cy="941638"/>
                    </a:xfrm>
                    <a:prstGeom prst="rect">
                      <a:avLst/>
                    </a:prstGeom>
                  </pic:spPr>
                </pic:pic>
              </a:graphicData>
            </a:graphic>
          </wp:inline>
        </w:drawing>
      </w:r>
      <w:r w:rsidRPr="00EC0229">
        <w:rPr>
          <w:noProof/>
          <w:lang w:eastAsia="en-GB"/>
        </w:rPr>
        <w:drawing>
          <wp:inline distT="0" distB="0" distL="0" distR="0" wp14:anchorId="53958D89" wp14:editId="2B63A0D4">
            <wp:extent cx="975360" cy="940936"/>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arton 300 Y119R.jpg"/>
                    <pic:cNvPicPr/>
                  </pic:nvPicPr>
                  <pic:blipFill>
                    <a:blip r:embed="rId420">
                      <a:extLst>
                        <a:ext uri="{28A0092B-C50C-407E-A947-70E740481C1C}">
                          <a14:useLocalDpi xmlns:a14="http://schemas.microsoft.com/office/drawing/2010/main" val="0"/>
                        </a:ext>
                      </a:extLst>
                    </a:blip>
                    <a:stretch>
                      <a:fillRect/>
                    </a:stretch>
                  </pic:blipFill>
                  <pic:spPr>
                    <a:xfrm>
                      <a:off x="0" y="0"/>
                      <a:ext cx="979995" cy="945407"/>
                    </a:xfrm>
                    <a:prstGeom prst="rect">
                      <a:avLst/>
                    </a:prstGeom>
                  </pic:spPr>
                </pic:pic>
              </a:graphicData>
            </a:graphic>
          </wp:inline>
        </w:drawing>
      </w:r>
    </w:p>
    <w:p w14:paraId="1C26E75A"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281DB99D" wp14:editId="17667249">
            <wp:extent cx="998538" cy="9398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arton 120 Y289.JPG"/>
                    <pic:cNvPicPr/>
                  </pic:nvPicPr>
                  <pic:blipFill>
                    <a:blip r:embed="rId421">
                      <a:extLst>
                        <a:ext uri="{28A0092B-C50C-407E-A947-70E740481C1C}">
                          <a14:useLocalDpi xmlns:a14="http://schemas.microsoft.com/office/drawing/2010/main" val="0"/>
                        </a:ext>
                      </a:extLst>
                    </a:blip>
                    <a:stretch>
                      <a:fillRect/>
                    </a:stretch>
                  </pic:blipFill>
                  <pic:spPr>
                    <a:xfrm>
                      <a:off x="0" y="0"/>
                      <a:ext cx="1000871" cy="941996"/>
                    </a:xfrm>
                    <a:prstGeom prst="rect">
                      <a:avLst/>
                    </a:prstGeom>
                  </pic:spPr>
                </pic:pic>
              </a:graphicData>
            </a:graphic>
          </wp:inline>
        </w:drawing>
      </w:r>
      <w:r w:rsidRPr="00EC0229">
        <w:rPr>
          <w:noProof/>
          <w:lang w:eastAsia="en-GB"/>
        </w:rPr>
        <w:drawing>
          <wp:inline distT="0" distB="0" distL="0" distR="0" wp14:anchorId="503B217A" wp14:editId="07801FB0">
            <wp:extent cx="954376" cy="988060"/>
            <wp:effectExtent l="0" t="0" r="0" b="254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rton 120 Y289R.JPG"/>
                    <pic:cNvPicPr/>
                  </pic:nvPicPr>
                  <pic:blipFill>
                    <a:blip r:embed="rId422">
                      <a:extLst>
                        <a:ext uri="{28A0092B-C50C-407E-A947-70E740481C1C}">
                          <a14:useLocalDpi xmlns:a14="http://schemas.microsoft.com/office/drawing/2010/main" val="0"/>
                        </a:ext>
                      </a:extLst>
                    </a:blip>
                    <a:stretch>
                      <a:fillRect/>
                    </a:stretch>
                  </pic:blipFill>
                  <pic:spPr>
                    <a:xfrm>
                      <a:off x="0" y="0"/>
                      <a:ext cx="962059" cy="996014"/>
                    </a:xfrm>
                    <a:prstGeom prst="rect">
                      <a:avLst/>
                    </a:prstGeom>
                  </pic:spPr>
                </pic:pic>
              </a:graphicData>
            </a:graphic>
          </wp:inline>
        </w:drawing>
      </w:r>
      <w:r w:rsidRPr="00EC0229">
        <w:tab/>
      </w:r>
      <w:r w:rsidRPr="00EC0229">
        <w:tab/>
      </w:r>
      <w:r w:rsidRPr="00EC0229">
        <w:rPr>
          <w:noProof/>
          <w:lang w:eastAsia="en-GB"/>
        </w:rPr>
        <w:drawing>
          <wp:inline distT="0" distB="0" distL="0" distR="0" wp14:anchorId="594C58A9" wp14:editId="60F22E4C">
            <wp:extent cx="935567" cy="9906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arton 10 E705.jpg"/>
                    <pic:cNvPicPr/>
                  </pic:nvPicPr>
                  <pic:blipFill>
                    <a:blip r:embed="rId423">
                      <a:extLst>
                        <a:ext uri="{28A0092B-C50C-407E-A947-70E740481C1C}">
                          <a14:useLocalDpi xmlns:a14="http://schemas.microsoft.com/office/drawing/2010/main" val="0"/>
                        </a:ext>
                      </a:extLst>
                    </a:blip>
                    <a:stretch>
                      <a:fillRect/>
                    </a:stretch>
                  </pic:blipFill>
                  <pic:spPr>
                    <a:xfrm>
                      <a:off x="0" y="0"/>
                      <a:ext cx="939416" cy="994675"/>
                    </a:xfrm>
                    <a:prstGeom prst="rect">
                      <a:avLst/>
                    </a:prstGeom>
                  </pic:spPr>
                </pic:pic>
              </a:graphicData>
            </a:graphic>
          </wp:inline>
        </w:drawing>
      </w:r>
      <w:r w:rsidRPr="00EC0229">
        <w:rPr>
          <w:noProof/>
          <w:lang w:eastAsia="en-GB"/>
        </w:rPr>
        <w:drawing>
          <wp:inline distT="0" distB="0" distL="0" distR="0" wp14:anchorId="45E710D2" wp14:editId="4C7D21C1">
            <wp:extent cx="899160" cy="962630"/>
            <wp:effectExtent l="0" t="0" r="0"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arton 10 E705R.jpg"/>
                    <pic:cNvPicPr/>
                  </pic:nvPicPr>
                  <pic:blipFill>
                    <a:blip r:embed="rId424">
                      <a:extLst>
                        <a:ext uri="{28A0092B-C50C-407E-A947-70E740481C1C}">
                          <a14:useLocalDpi xmlns:a14="http://schemas.microsoft.com/office/drawing/2010/main" val="0"/>
                        </a:ext>
                      </a:extLst>
                    </a:blip>
                    <a:stretch>
                      <a:fillRect/>
                    </a:stretch>
                  </pic:blipFill>
                  <pic:spPr>
                    <a:xfrm>
                      <a:off x="0" y="0"/>
                      <a:ext cx="905604" cy="969528"/>
                    </a:xfrm>
                    <a:prstGeom prst="rect">
                      <a:avLst/>
                    </a:prstGeom>
                  </pic:spPr>
                </pic:pic>
              </a:graphicData>
            </a:graphic>
          </wp:inline>
        </w:drawing>
      </w:r>
    </w:p>
    <w:p w14:paraId="1B861ACD" w14:textId="67458900" w:rsidR="00854613" w:rsidRPr="00EC0229" w:rsidRDefault="003977B6" w:rsidP="007600EA">
      <w:pPr>
        <w:spacing w:line="360" w:lineRule="auto"/>
        <w:jc w:val="center"/>
        <w:rPr>
          <w:i/>
          <w:sz w:val="20"/>
          <w:szCs w:val="20"/>
        </w:rPr>
      </w:pPr>
      <w:bookmarkStart w:id="748" w:name="_Ref430249026"/>
      <w:bookmarkStart w:id="749" w:name="_Toc468267104"/>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132</w:t>
      </w:r>
      <w:r w:rsidR="00B609E3" w:rsidRPr="00EC0229">
        <w:rPr>
          <w:sz w:val="20"/>
          <w:szCs w:val="20"/>
        </w:rPr>
        <w:fldChar w:fldCharType="end"/>
      </w:r>
      <w:bookmarkEnd w:id="748"/>
      <w:r w:rsidR="004945A9" w:rsidRPr="00EC0229">
        <w:rPr>
          <w:sz w:val="20"/>
          <w:szCs w:val="20"/>
        </w:rPr>
        <w:t xml:space="preserve">: </w:t>
      </w:r>
      <w:r w:rsidR="00854613" w:rsidRPr="00EC0229">
        <w:rPr>
          <w:sz w:val="20"/>
          <w:szCs w:val="20"/>
        </w:rPr>
        <w:t>Garton</w:t>
      </w:r>
      <w:r w:rsidR="006B1593" w:rsidRPr="00EC0229">
        <w:rPr>
          <w:sz w:val="20"/>
          <w:szCs w:val="20"/>
        </w:rPr>
        <w:fldChar w:fldCharType="begin"/>
      </w:r>
      <w:r w:rsidR="006B1593" w:rsidRPr="00EC0229">
        <w:rPr>
          <w:sz w:val="20"/>
          <w:szCs w:val="20"/>
        </w:rPr>
        <w:instrText xml:space="preserve"> XE "Garton" </w:instrText>
      </w:r>
      <w:r w:rsidR="006B1593" w:rsidRPr="00EC0229">
        <w:rPr>
          <w:sz w:val="20"/>
          <w:szCs w:val="20"/>
        </w:rPr>
        <w:fldChar w:fldCharType="end"/>
      </w:r>
      <w:r w:rsidR="00854613" w:rsidRPr="00EC0229">
        <w:rPr>
          <w:sz w:val="20"/>
          <w:szCs w:val="20"/>
        </w:rPr>
        <w:t>-on-the-Wolds</w:t>
      </w:r>
      <w:r w:rsidR="006B1593" w:rsidRPr="00EC0229">
        <w:rPr>
          <w:sz w:val="20"/>
          <w:szCs w:val="20"/>
        </w:rPr>
        <w:fldChar w:fldCharType="begin"/>
      </w:r>
      <w:r w:rsidR="006B1593" w:rsidRPr="00EC0229">
        <w:rPr>
          <w:sz w:val="20"/>
          <w:szCs w:val="20"/>
        </w:rPr>
        <w:instrText xml:space="preserve"> XE "Wolds" </w:instrText>
      </w:r>
      <w:r w:rsidR="006B1593" w:rsidRPr="00EC0229">
        <w:rPr>
          <w:sz w:val="20"/>
          <w:szCs w:val="20"/>
        </w:rPr>
        <w:fldChar w:fldCharType="end"/>
      </w:r>
      <w:r w:rsidR="00854613" w:rsidRPr="00EC0229">
        <w:rPr>
          <w:sz w:val="20"/>
          <w:szCs w:val="20"/>
        </w:rPr>
        <w:t>: some exotic species</w:t>
      </w:r>
      <w:bookmarkEnd w:id="749"/>
    </w:p>
    <w:p w14:paraId="2F27D29E" w14:textId="77777777" w:rsidR="00C531DD" w:rsidRPr="00EC0229" w:rsidRDefault="00C531DD" w:rsidP="007600EA">
      <w:pPr>
        <w:spacing w:line="360" w:lineRule="auto"/>
      </w:pPr>
    </w:p>
    <w:p w14:paraId="02BED94F" w14:textId="77777777" w:rsidR="00854613" w:rsidRPr="00EC0229" w:rsidRDefault="00854613" w:rsidP="007600EA">
      <w:pPr>
        <w:pStyle w:val="NoSpacing"/>
        <w:spacing w:line="360" w:lineRule="auto"/>
        <w:jc w:val="center"/>
        <w:rPr>
          <w:sz w:val="20"/>
          <w:szCs w:val="20"/>
        </w:rPr>
      </w:pPr>
      <w:r w:rsidRPr="00EC0229">
        <w:rPr>
          <w:noProof/>
          <w:sz w:val="20"/>
          <w:szCs w:val="20"/>
          <w:lang w:eastAsia="en-GB"/>
        </w:rPr>
        <w:lastRenderedPageBreak/>
        <w:drawing>
          <wp:inline distT="0" distB="0" distL="0" distR="0" wp14:anchorId="7784BE4E" wp14:editId="3A85A455">
            <wp:extent cx="845820" cy="913486"/>
            <wp:effectExtent l="0" t="0" r="0" b="127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arton Q EMC 2003.0153 67-20v.jpg"/>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869890" cy="939482"/>
                    </a:xfrm>
                    <a:prstGeom prst="rect">
                      <a:avLst/>
                    </a:prstGeom>
                  </pic:spPr>
                </pic:pic>
              </a:graphicData>
            </a:graphic>
          </wp:inline>
        </w:drawing>
      </w:r>
      <w:r w:rsidRPr="00EC0229">
        <w:rPr>
          <w:noProof/>
          <w:sz w:val="20"/>
          <w:szCs w:val="20"/>
          <w:lang w:eastAsia="en-GB"/>
        </w:rPr>
        <w:drawing>
          <wp:inline distT="0" distB="0" distL="0" distR="0" wp14:anchorId="33FE1D3B" wp14:editId="36B43DCC">
            <wp:extent cx="960928" cy="913765"/>
            <wp:effectExtent l="0" t="0" r="0" b="63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arton Qr EMC 2003.0153 67-20v.jpg"/>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988790" cy="940260"/>
                    </a:xfrm>
                    <a:prstGeom prst="rect">
                      <a:avLst/>
                    </a:prstGeom>
                  </pic:spPr>
                </pic:pic>
              </a:graphicData>
            </a:graphic>
          </wp:inline>
        </w:drawing>
      </w:r>
    </w:p>
    <w:p w14:paraId="605E3941" w14:textId="23EE9B82" w:rsidR="00941A45" w:rsidRDefault="003977B6" w:rsidP="007600EA">
      <w:pPr>
        <w:spacing w:line="360" w:lineRule="auto"/>
        <w:jc w:val="center"/>
        <w:rPr>
          <w:sz w:val="20"/>
          <w:szCs w:val="20"/>
        </w:rPr>
      </w:pPr>
      <w:bookmarkStart w:id="750" w:name="_Ref430249035"/>
      <w:bookmarkStart w:id="751" w:name="_Toc468267105"/>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133</w:t>
      </w:r>
      <w:r w:rsidR="00B609E3" w:rsidRPr="00EC0229">
        <w:rPr>
          <w:sz w:val="20"/>
          <w:szCs w:val="20"/>
        </w:rPr>
        <w:fldChar w:fldCharType="end"/>
      </w:r>
      <w:bookmarkEnd w:id="750"/>
      <w:r w:rsidR="004945A9" w:rsidRPr="00EC0229">
        <w:rPr>
          <w:sz w:val="20"/>
          <w:szCs w:val="20"/>
        </w:rPr>
        <w:t xml:space="preserve">: </w:t>
      </w:r>
      <w:r w:rsidR="00854613" w:rsidRPr="00EC0229">
        <w:rPr>
          <w:sz w:val="20"/>
          <w:szCs w:val="20"/>
        </w:rPr>
        <w:t>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854613" w:rsidRPr="00EC0229">
        <w:rPr>
          <w:sz w:val="20"/>
          <w:szCs w:val="20"/>
        </w:rPr>
        <w:t xml:space="preserve"> Q</w:t>
      </w:r>
      <w:r w:rsidR="008344F3" w:rsidRPr="00EC0229">
        <w:rPr>
          <w:sz w:val="20"/>
          <w:szCs w:val="20"/>
        </w:rPr>
        <w:fldChar w:fldCharType="begin"/>
      </w:r>
      <w:r w:rsidR="008344F3" w:rsidRPr="00EC0229">
        <w:rPr>
          <w:sz w:val="20"/>
          <w:szCs w:val="20"/>
        </w:rPr>
        <w:instrText xml:space="preserve"> XE "Series Q" </w:instrText>
      </w:r>
      <w:r w:rsidR="008344F3" w:rsidRPr="00EC0229">
        <w:rPr>
          <w:sz w:val="20"/>
          <w:szCs w:val="20"/>
        </w:rPr>
        <w:fldChar w:fldCharType="end"/>
      </w:r>
      <w:r w:rsidR="00941A45">
        <w:rPr>
          <w:sz w:val="20"/>
          <w:szCs w:val="20"/>
        </w:rPr>
        <w:t>-related sceat</w:t>
      </w:r>
      <w:bookmarkEnd w:id="751"/>
    </w:p>
    <w:p w14:paraId="6EA34CF7" w14:textId="32C23B00" w:rsidR="00854613" w:rsidRPr="00EC0229" w:rsidRDefault="00854613" w:rsidP="007600EA">
      <w:pPr>
        <w:spacing w:line="360" w:lineRule="auto"/>
        <w:jc w:val="center"/>
        <w:rPr>
          <w:i/>
          <w:sz w:val="20"/>
          <w:szCs w:val="20"/>
        </w:rPr>
      </w:pPr>
      <w:r w:rsidRPr="00EC0229">
        <w:rPr>
          <w:sz w:val="20"/>
          <w:szCs w:val="20"/>
        </w:rPr>
        <w:t>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Pr="00EC0229">
        <w:rPr>
          <w:sz w:val="20"/>
          <w:szCs w:val="20"/>
        </w:rPr>
        <w:t xml:space="preserve"> 2003.0153, (cf SL 67-20)</w:t>
      </w:r>
    </w:p>
    <w:p w14:paraId="6022A8F0" w14:textId="28983193" w:rsidR="00071F47" w:rsidRPr="007A3166" w:rsidRDefault="00071F47" w:rsidP="00C97BF2">
      <w:pPr>
        <w:pStyle w:val="Heading4"/>
        <w:spacing w:line="360" w:lineRule="auto"/>
        <w:rPr>
          <w:rFonts w:eastAsia="Times New Roman"/>
          <w:b/>
          <w:lang w:eastAsia="en-GB"/>
        </w:rPr>
      </w:pPr>
      <w:bookmarkStart w:id="752" w:name="_Toc468266897"/>
      <w:r w:rsidRPr="007A3166">
        <w:rPr>
          <w:rFonts w:eastAsia="Times New Roman"/>
          <w:b/>
          <w:lang w:eastAsia="en-GB"/>
        </w:rPr>
        <w:t>Wetwang</w:t>
      </w:r>
      <w:bookmarkEnd w:id="752"/>
      <w:r w:rsidRPr="007A3166">
        <w:rPr>
          <w:rFonts w:eastAsia="Times New Roman"/>
          <w:b/>
          <w:lang w:eastAsia="en-GB"/>
        </w:rPr>
        <w:fldChar w:fldCharType="begin"/>
      </w:r>
      <w:r w:rsidRPr="007A3166">
        <w:rPr>
          <w:b/>
        </w:rPr>
        <w:instrText xml:space="preserve"> XE "</w:instrText>
      </w:r>
      <w:r w:rsidRPr="007A3166">
        <w:rPr>
          <w:rStyle w:val="Hyperlink"/>
          <w:rFonts w:eastAsia="Times New Roman"/>
          <w:b/>
          <w:noProof/>
          <w:u w:val="none"/>
          <w:lang w:eastAsia="en-GB"/>
        </w:rPr>
        <w:instrText>Wetwang</w:instrText>
      </w:r>
      <w:r w:rsidRPr="007A3166">
        <w:rPr>
          <w:b/>
        </w:rPr>
        <w:instrText xml:space="preserve">" </w:instrText>
      </w:r>
      <w:r w:rsidRPr="007A3166">
        <w:rPr>
          <w:rFonts w:eastAsia="Times New Roman"/>
          <w:b/>
          <w:lang w:eastAsia="en-GB"/>
        </w:rPr>
        <w:fldChar w:fldCharType="end"/>
      </w:r>
    </w:p>
    <w:p w14:paraId="2CB7D761" w14:textId="77777777" w:rsidR="00071F47" w:rsidRPr="00EC0229" w:rsidRDefault="00071F47" w:rsidP="007600EA">
      <w:pPr>
        <w:pStyle w:val="NoSpacing"/>
        <w:spacing w:line="360" w:lineRule="auto"/>
        <w:jc w:val="center"/>
        <w:rPr>
          <w:rFonts w:eastAsia="Times New Roman" w:cs="Times New Roman"/>
          <w:iCs/>
          <w:color w:val="FF0000"/>
          <w:szCs w:val="24"/>
          <w:lang w:eastAsia="en-GB"/>
        </w:rPr>
      </w:pPr>
      <w:r w:rsidRPr="00EC0229">
        <w:rPr>
          <w:rFonts w:eastAsia="Times New Roman" w:cs="Times New Roman"/>
          <w:iCs/>
          <w:noProof/>
          <w:color w:val="FF0000"/>
          <w:szCs w:val="24"/>
          <w:lang w:eastAsia="en-GB"/>
        </w:rPr>
        <w:drawing>
          <wp:inline distT="0" distB="0" distL="0" distR="0" wp14:anchorId="554BCC4B" wp14:editId="57E9448B">
            <wp:extent cx="878824" cy="80645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etwang 10 Y311.JPG"/>
                    <pic:cNvPicPr/>
                  </pic:nvPicPr>
                  <pic:blipFill>
                    <a:blip r:embed="rId427">
                      <a:extLst>
                        <a:ext uri="{28A0092B-C50C-407E-A947-70E740481C1C}">
                          <a14:useLocalDpi xmlns:a14="http://schemas.microsoft.com/office/drawing/2010/main" val="0"/>
                        </a:ext>
                      </a:extLst>
                    </a:blip>
                    <a:stretch>
                      <a:fillRect/>
                    </a:stretch>
                  </pic:blipFill>
                  <pic:spPr>
                    <a:xfrm>
                      <a:off x="0" y="0"/>
                      <a:ext cx="892863" cy="819333"/>
                    </a:xfrm>
                    <a:prstGeom prst="rect">
                      <a:avLst/>
                    </a:prstGeom>
                  </pic:spPr>
                </pic:pic>
              </a:graphicData>
            </a:graphic>
          </wp:inline>
        </w:drawing>
      </w:r>
      <w:r w:rsidRPr="00EC0229">
        <w:rPr>
          <w:rFonts w:eastAsia="Times New Roman" w:cs="Times New Roman"/>
          <w:iCs/>
          <w:noProof/>
          <w:color w:val="FF0000"/>
          <w:szCs w:val="24"/>
          <w:lang w:eastAsia="en-GB"/>
        </w:rPr>
        <w:drawing>
          <wp:inline distT="0" distB="0" distL="0" distR="0" wp14:anchorId="2AF76688" wp14:editId="702547AB">
            <wp:extent cx="876300" cy="804134"/>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etwang 10 Y311R.JPG"/>
                    <pic:cNvPicPr/>
                  </pic:nvPicPr>
                  <pic:blipFill>
                    <a:blip r:embed="rId428">
                      <a:extLst>
                        <a:ext uri="{28A0092B-C50C-407E-A947-70E740481C1C}">
                          <a14:useLocalDpi xmlns:a14="http://schemas.microsoft.com/office/drawing/2010/main" val="0"/>
                        </a:ext>
                      </a:extLst>
                    </a:blip>
                    <a:stretch>
                      <a:fillRect/>
                    </a:stretch>
                  </pic:blipFill>
                  <pic:spPr>
                    <a:xfrm>
                      <a:off x="0" y="0"/>
                      <a:ext cx="881894" cy="809267"/>
                    </a:xfrm>
                    <a:prstGeom prst="rect">
                      <a:avLst/>
                    </a:prstGeom>
                  </pic:spPr>
                </pic:pic>
              </a:graphicData>
            </a:graphic>
          </wp:inline>
        </w:drawing>
      </w:r>
      <w:r w:rsidRPr="00EC0229">
        <w:rPr>
          <w:rFonts w:eastAsia="Times New Roman" w:cs="Times New Roman"/>
          <w:iCs/>
          <w:color w:val="FF0000"/>
          <w:szCs w:val="24"/>
          <w:lang w:eastAsia="en-GB"/>
        </w:rPr>
        <w:tab/>
        <w:t xml:space="preserve">  </w:t>
      </w:r>
      <w:r w:rsidRPr="00EC0229">
        <w:rPr>
          <w:rFonts w:eastAsia="Times New Roman" w:cs="Times New Roman"/>
          <w:iCs/>
          <w:noProof/>
          <w:color w:val="FF0000"/>
          <w:szCs w:val="24"/>
          <w:lang w:eastAsia="en-GB"/>
        </w:rPr>
        <w:drawing>
          <wp:inline distT="0" distB="0" distL="0" distR="0" wp14:anchorId="613B6A46" wp14:editId="3F68E2B6">
            <wp:extent cx="807720" cy="817223"/>
            <wp:effectExtent l="0" t="0" r="0" b="254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etwang 40 E950.JPG"/>
                    <pic:cNvPicPr/>
                  </pic:nvPicPr>
                  <pic:blipFill>
                    <a:blip r:embed="rId429">
                      <a:extLst>
                        <a:ext uri="{28A0092B-C50C-407E-A947-70E740481C1C}">
                          <a14:useLocalDpi xmlns:a14="http://schemas.microsoft.com/office/drawing/2010/main" val="0"/>
                        </a:ext>
                      </a:extLst>
                    </a:blip>
                    <a:stretch>
                      <a:fillRect/>
                    </a:stretch>
                  </pic:blipFill>
                  <pic:spPr>
                    <a:xfrm>
                      <a:off x="0" y="0"/>
                      <a:ext cx="815653" cy="825249"/>
                    </a:xfrm>
                    <a:prstGeom prst="rect">
                      <a:avLst/>
                    </a:prstGeom>
                  </pic:spPr>
                </pic:pic>
              </a:graphicData>
            </a:graphic>
          </wp:inline>
        </w:drawing>
      </w:r>
      <w:r w:rsidRPr="00EC0229">
        <w:rPr>
          <w:rFonts w:eastAsia="Times New Roman" w:cs="Times New Roman"/>
          <w:iCs/>
          <w:noProof/>
          <w:color w:val="FF0000"/>
          <w:szCs w:val="24"/>
          <w:lang w:eastAsia="en-GB"/>
        </w:rPr>
        <w:drawing>
          <wp:inline distT="0" distB="0" distL="0" distR="0" wp14:anchorId="35CE2D72" wp14:editId="41B23346">
            <wp:extent cx="868680" cy="827801"/>
            <wp:effectExtent l="0" t="0" r="762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etwang 40 E950R.JPG"/>
                    <pic:cNvPicPr/>
                  </pic:nvPicPr>
                  <pic:blipFill>
                    <a:blip r:embed="rId430">
                      <a:extLst>
                        <a:ext uri="{28A0092B-C50C-407E-A947-70E740481C1C}">
                          <a14:useLocalDpi xmlns:a14="http://schemas.microsoft.com/office/drawing/2010/main" val="0"/>
                        </a:ext>
                      </a:extLst>
                    </a:blip>
                    <a:stretch>
                      <a:fillRect/>
                    </a:stretch>
                  </pic:blipFill>
                  <pic:spPr>
                    <a:xfrm>
                      <a:off x="0" y="0"/>
                      <a:ext cx="875424" cy="834228"/>
                    </a:xfrm>
                    <a:prstGeom prst="rect">
                      <a:avLst/>
                    </a:prstGeom>
                  </pic:spPr>
                </pic:pic>
              </a:graphicData>
            </a:graphic>
          </wp:inline>
        </w:drawing>
      </w:r>
      <w:r w:rsidRPr="00EC0229">
        <w:rPr>
          <w:rFonts w:eastAsia="Times New Roman" w:cs="Times New Roman"/>
          <w:iCs/>
          <w:color w:val="FF0000"/>
          <w:szCs w:val="24"/>
          <w:lang w:eastAsia="en-GB"/>
        </w:rPr>
        <w:tab/>
        <w:t xml:space="preserve">   </w:t>
      </w:r>
      <w:r w:rsidRPr="00EC0229">
        <w:rPr>
          <w:rFonts w:eastAsia="Times New Roman" w:cs="Times New Roman"/>
          <w:iCs/>
          <w:noProof/>
          <w:color w:val="FF0000"/>
          <w:szCs w:val="24"/>
          <w:lang w:eastAsia="en-GB"/>
        </w:rPr>
        <w:drawing>
          <wp:inline distT="0" distB="0" distL="0" distR="0" wp14:anchorId="6C65DB7E" wp14:editId="1AA27387">
            <wp:extent cx="800100" cy="828339"/>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etwang 57-30 O610.JPG"/>
                    <pic:cNvPicPr/>
                  </pic:nvPicPr>
                  <pic:blipFill>
                    <a:blip r:embed="rId431">
                      <a:extLst>
                        <a:ext uri="{28A0092B-C50C-407E-A947-70E740481C1C}">
                          <a14:useLocalDpi xmlns:a14="http://schemas.microsoft.com/office/drawing/2010/main" val="0"/>
                        </a:ext>
                      </a:extLst>
                    </a:blip>
                    <a:stretch>
                      <a:fillRect/>
                    </a:stretch>
                  </pic:blipFill>
                  <pic:spPr>
                    <a:xfrm>
                      <a:off x="0" y="0"/>
                      <a:ext cx="809250" cy="837812"/>
                    </a:xfrm>
                    <a:prstGeom prst="rect">
                      <a:avLst/>
                    </a:prstGeom>
                  </pic:spPr>
                </pic:pic>
              </a:graphicData>
            </a:graphic>
          </wp:inline>
        </w:drawing>
      </w:r>
      <w:r w:rsidRPr="00EC0229">
        <w:rPr>
          <w:rFonts w:eastAsia="Times New Roman" w:cs="Times New Roman"/>
          <w:iCs/>
          <w:noProof/>
          <w:color w:val="FF0000"/>
          <w:szCs w:val="24"/>
          <w:lang w:eastAsia="en-GB"/>
        </w:rPr>
        <w:drawing>
          <wp:inline distT="0" distB="0" distL="0" distR="0" wp14:anchorId="6536B42B" wp14:editId="7EAAC350">
            <wp:extent cx="830580" cy="820808"/>
            <wp:effectExtent l="0" t="0" r="762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etwang 57-30 O610R.JPG"/>
                    <pic:cNvPicPr/>
                  </pic:nvPicPr>
                  <pic:blipFill>
                    <a:blip r:embed="rId432">
                      <a:extLst>
                        <a:ext uri="{28A0092B-C50C-407E-A947-70E740481C1C}">
                          <a14:useLocalDpi xmlns:a14="http://schemas.microsoft.com/office/drawing/2010/main" val="0"/>
                        </a:ext>
                      </a:extLst>
                    </a:blip>
                    <a:stretch>
                      <a:fillRect/>
                    </a:stretch>
                  </pic:blipFill>
                  <pic:spPr>
                    <a:xfrm>
                      <a:off x="0" y="0"/>
                      <a:ext cx="836673" cy="826829"/>
                    </a:xfrm>
                    <a:prstGeom prst="rect">
                      <a:avLst/>
                    </a:prstGeom>
                  </pic:spPr>
                </pic:pic>
              </a:graphicData>
            </a:graphic>
          </wp:inline>
        </w:drawing>
      </w:r>
    </w:p>
    <w:p w14:paraId="23CE7610" w14:textId="1B8383B7" w:rsidR="00071F47" w:rsidRPr="00EC0229" w:rsidRDefault="00071F47" w:rsidP="007600EA">
      <w:pPr>
        <w:spacing w:line="360" w:lineRule="auto"/>
        <w:jc w:val="center"/>
        <w:rPr>
          <w:i/>
          <w:sz w:val="20"/>
          <w:szCs w:val="20"/>
        </w:rPr>
      </w:pPr>
      <w:bookmarkStart w:id="753" w:name="_Ref430248975"/>
      <w:bookmarkStart w:id="754" w:name="_Toc468267106"/>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134</w:t>
      </w:r>
      <w:r w:rsidRPr="00EC0229">
        <w:rPr>
          <w:sz w:val="20"/>
          <w:szCs w:val="20"/>
        </w:rPr>
        <w:fldChar w:fldCharType="end"/>
      </w:r>
      <w:bookmarkEnd w:id="753"/>
      <w:r w:rsidRPr="00EC0229">
        <w:rPr>
          <w:sz w:val="20"/>
          <w:szCs w:val="20"/>
        </w:rPr>
        <w:t>: Some scarce sceats attributed to Wetwang</w:t>
      </w:r>
      <w:bookmarkEnd w:id="754"/>
    </w:p>
    <w:p w14:paraId="429404C7" w14:textId="77777777" w:rsidR="00071F47" w:rsidRPr="00EC0229" w:rsidRDefault="00071F47" w:rsidP="007600EA">
      <w:pPr>
        <w:pStyle w:val="NoSpacing"/>
        <w:spacing w:line="360" w:lineRule="auto"/>
        <w:rPr>
          <w:rFonts w:cs="Times New Roman"/>
          <w:iCs/>
          <w:szCs w:val="20"/>
          <w:lang w:eastAsia="en-GB"/>
        </w:rPr>
      </w:pPr>
      <w:r w:rsidRPr="00EC0229">
        <w:rPr>
          <w:rFonts w:cs="Times New Roman"/>
          <w:iCs/>
          <w:szCs w:val="20"/>
          <w:lang w:eastAsia="en-GB"/>
        </w:rPr>
        <w:fldChar w:fldCharType="begin"/>
      </w:r>
      <w:r w:rsidRPr="00EC0229">
        <w:instrText xml:space="preserve"> XE "</w:instrText>
      </w:r>
      <w:r w:rsidRPr="00EC0229">
        <w:rPr>
          <w:rStyle w:val="Hyperlink"/>
          <w:rFonts w:eastAsia="Times New Roman"/>
          <w:noProof/>
          <w:u w:val="none"/>
          <w:lang w:eastAsia="en-GB"/>
        </w:rPr>
        <w:instrText>Wetwang</w:instrText>
      </w:r>
      <w:r w:rsidRPr="00EC0229">
        <w:instrText xml:space="preserve">" </w:instrText>
      </w:r>
      <w:r w:rsidRPr="00EC0229">
        <w:rPr>
          <w:rFonts w:cs="Times New Roman"/>
          <w:iCs/>
          <w:szCs w:val="20"/>
          <w:lang w:eastAsia="en-GB"/>
        </w:rPr>
        <w:fldChar w:fldCharType="end"/>
      </w:r>
    </w:p>
    <w:p w14:paraId="43880C47" w14:textId="67F60F4D" w:rsidR="00071F47" w:rsidRPr="00EC0229" w:rsidRDefault="00071F47" w:rsidP="007600EA">
      <w:pPr>
        <w:pStyle w:val="NoSpacing"/>
        <w:spacing w:line="360" w:lineRule="auto"/>
        <w:rPr>
          <w:rFonts w:eastAsia="Times New Roman" w:cs="Times New Roman"/>
          <w:iCs/>
          <w:color w:val="000000" w:themeColor="text1"/>
          <w:sz w:val="20"/>
          <w:szCs w:val="20"/>
          <w:lang w:eastAsia="en-GB"/>
        </w:rPr>
      </w:pPr>
      <w:r w:rsidRPr="00EC0229">
        <w:rPr>
          <w:rFonts w:eastAsia="Times New Roman" w:cs="Times New Roman"/>
          <w:iCs/>
          <w:color w:val="000000" w:themeColor="text1"/>
          <w:szCs w:val="24"/>
          <w:lang w:eastAsia="en-GB"/>
        </w:rPr>
        <w:t xml:space="preserve">Due to nighthawking, there are many more finds here, especially in ‘Monument Field’, than have been officially recorded. Illustrated at </w:t>
      </w:r>
      <w:r w:rsidRPr="00EC0229">
        <w:rPr>
          <w:rFonts w:eastAsia="Times New Roman" w:cs="Times New Roman"/>
          <w:iCs/>
          <w:color w:val="000000" w:themeColor="text1"/>
          <w:szCs w:val="24"/>
          <w:lang w:eastAsia="en-GB"/>
        </w:rPr>
        <w:fldChar w:fldCharType="begin"/>
      </w:r>
      <w:r w:rsidRPr="00EC0229">
        <w:rPr>
          <w:rFonts w:eastAsia="Times New Roman" w:cs="Times New Roman"/>
          <w:iCs/>
          <w:color w:val="000000" w:themeColor="text1"/>
          <w:szCs w:val="24"/>
          <w:lang w:eastAsia="en-GB"/>
        </w:rPr>
        <w:instrText xml:space="preserve"> REF _Ref430248975 \h  \* MERGEFORMAT </w:instrText>
      </w:r>
      <w:r w:rsidRPr="00EC0229">
        <w:rPr>
          <w:rFonts w:eastAsia="Times New Roman" w:cs="Times New Roman"/>
          <w:iCs/>
          <w:color w:val="000000" w:themeColor="text1"/>
          <w:szCs w:val="24"/>
          <w:lang w:eastAsia="en-GB"/>
        </w:rPr>
      </w:r>
      <w:r w:rsidRPr="00EC0229">
        <w:rPr>
          <w:rFonts w:eastAsia="Times New Roman" w:cs="Times New Roman"/>
          <w:iCs/>
          <w:color w:val="000000" w:themeColor="text1"/>
          <w:szCs w:val="24"/>
          <w:lang w:eastAsia="en-GB"/>
        </w:rPr>
        <w:fldChar w:fldCharType="separate"/>
      </w:r>
      <w:r w:rsidR="0012026B" w:rsidRPr="0012026B">
        <w:rPr>
          <w:i/>
        </w:rPr>
        <w:t>Figure</w:t>
      </w:r>
      <w:r w:rsidR="0012026B" w:rsidRPr="0012026B">
        <w:t xml:space="preserve"> </w:t>
      </w:r>
      <w:r w:rsidR="0012026B" w:rsidRPr="0012026B">
        <w:rPr>
          <w:noProof/>
        </w:rPr>
        <w:t>134</w: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 xml:space="preserve"> are some scarce types and one can assume that the detecting biases and deceptions described for Sledmere</w:t>
      </w:r>
      <w:r w:rsidRPr="00EC0229">
        <w:rPr>
          <w:rFonts w:eastAsia="Times New Roman" w:cs="Times New Roman"/>
          <w:iCs/>
          <w:color w:val="000000" w:themeColor="text1"/>
          <w:szCs w:val="24"/>
          <w:lang w:eastAsia="en-GB"/>
        </w:rPr>
        <w:fldChar w:fldCharType="begin"/>
      </w:r>
      <w:r w:rsidRPr="00EC0229">
        <w:instrText xml:space="preserve"> XE "</w:instrText>
      </w:r>
      <w:r w:rsidRPr="00EC0229">
        <w:rPr>
          <w:rStyle w:val="Hyperlink"/>
          <w:noProof/>
          <w:u w:val="none"/>
        </w:rPr>
        <w:instrText>Sledmere</w:instrText>
      </w:r>
      <w:r w:rsidRPr="00EC0229">
        <w:instrText xml:space="preserve">" </w:instrTex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 xml:space="preserve"> also relate to Wetwang</w:t>
      </w:r>
      <w:r w:rsidRPr="00EC0229">
        <w:rPr>
          <w:rFonts w:eastAsia="Times New Roman" w:cs="Times New Roman"/>
          <w:iCs/>
          <w:color w:val="000000" w:themeColor="text1"/>
          <w:szCs w:val="24"/>
          <w:lang w:eastAsia="en-GB"/>
        </w:rPr>
        <w:fldChar w:fldCharType="begin"/>
      </w:r>
      <w:r w:rsidRPr="00EC0229">
        <w:instrText xml:space="preserve"> XE "</w:instrText>
      </w:r>
      <w:r w:rsidRPr="00EC0229">
        <w:rPr>
          <w:rStyle w:val="Hyperlink"/>
          <w:rFonts w:eastAsia="Times New Roman"/>
          <w:noProof/>
          <w:u w:val="none"/>
          <w:lang w:eastAsia="en-GB"/>
        </w:rPr>
        <w:instrText>Wetwang</w:instrText>
      </w:r>
      <w:r w:rsidRPr="00EC0229">
        <w:instrText xml:space="preserve">" </w:instrText>
      </w:r>
      <w:r w:rsidRPr="00EC0229">
        <w:rPr>
          <w:rFonts w:eastAsia="Times New Roman" w:cs="Times New Roman"/>
          <w:iCs/>
          <w:color w:val="000000" w:themeColor="text1"/>
          <w:szCs w:val="24"/>
          <w:lang w:eastAsia="en-GB"/>
        </w:rPr>
        <w:fldChar w:fldCharType="end"/>
      </w:r>
      <w:r w:rsidRPr="00EC0229">
        <w:rPr>
          <w:rFonts w:eastAsia="Times New Roman" w:cs="Times New Roman"/>
          <w:iCs/>
          <w:color w:val="000000" w:themeColor="text1"/>
          <w:szCs w:val="24"/>
          <w:lang w:eastAsia="en-GB"/>
        </w:rPr>
        <w:t>.</w:t>
      </w:r>
    </w:p>
    <w:p w14:paraId="4E514536" w14:textId="77777777" w:rsidR="00854613" w:rsidRPr="00EC0229" w:rsidRDefault="00854613" w:rsidP="007600EA">
      <w:pPr>
        <w:pStyle w:val="NoSpacing"/>
        <w:spacing w:line="360" w:lineRule="auto"/>
      </w:pPr>
      <w:bookmarkStart w:id="755" w:name="Driffield"/>
      <w:bookmarkEnd w:id="755"/>
    </w:p>
    <w:p w14:paraId="22021263" w14:textId="7782F3E0" w:rsidR="00854613" w:rsidRPr="007A3166" w:rsidRDefault="00854613" w:rsidP="00C97BF2">
      <w:pPr>
        <w:pStyle w:val="Heading4"/>
        <w:spacing w:line="360" w:lineRule="auto"/>
        <w:rPr>
          <w:b/>
        </w:rPr>
      </w:pPr>
      <w:bookmarkStart w:id="756" w:name="_Toc468266898"/>
      <w:r w:rsidRPr="007A3166">
        <w:rPr>
          <w:b/>
        </w:rPr>
        <w:t>Small Sites</w:t>
      </w:r>
      <w:bookmarkEnd w:id="756"/>
    </w:p>
    <w:p w14:paraId="448823C6" w14:textId="6BB42590" w:rsidR="00854613" w:rsidRPr="00EC0229" w:rsidRDefault="00854613" w:rsidP="007600EA">
      <w:pPr>
        <w:pStyle w:val="NoSpacing"/>
        <w:spacing w:line="360" w:lineRule="auto"/>
        <w:rPr>
          <w:szCs w:val="24"/>
        </w:rPr>
      </w:pPr>
      <w:r w:rsidRPr="00EC0229">
        <w:t>In addition to the more productive sites there are again a significant number of sites yielding small numbers of silver and base coins. Duggelby, the Luttons, and Weaverthorpe are on the Gypsey Race before it runs eastward, through Burton Fleming</w:t>
      </w:r>
      <w:r w:rsidR="006B1593" w:rsidRPr="00EC0229">
        <w:fldChar w:fldCharType="begin"/>
      </w:r>
      <w:r w:rsidR="006B1593" w:rsidRPr="00EC0229">
        <w:instrText xml:space="preserve"> XE "</w:instrText>
      </w:r>
      <w:r w:rsidR="006B1593" w:rsidRPr="00EC0229">
        <w:rPr>
          <w:rStyle w:val="Hyperlink"/>
          <w:noProof/>
          <w:u w:val="none"/>
        </w:rPr>
        <w:instrText>Burton Fleming</w:instrText>
      </w:r>
      <w:r w:rsidR="006B1593" w:rsidRPr="00EC0229">
        <w:instrText xml:space="preserve">" </w:instrText>
      </w:r>
      <w:r w:rsidR="006B1593" w:rsidRPr="00EC0229">
        <w:fldChar w:fldCharType="end"/>
      </w:r>
      <w:r w:rsidRPr="00EC0229">
        <w:t xml:space="preserve"> and Rudston</w:t>
      </w:r>
      <w:r w:rsidR="006B1593" w:rsidRPr="00EC0229">
        <w:fldChar w:fldCharType="begin"/>
      </w:r>
      <w:r w:rsidR="006B1593" w:rsidRPr="00EC0229">
        <w:instrText xml:space="preserve"> XE "</w:instrText>
      </w:r>
      <w:r w:rsidR="006B1593" w:rsidRPr="00EC0229">
        <w:rPr>
          <w:rStyle w:val="Hyperlink"/>
          <w:noProof/>
          <w:u w:val="none"/>
        </w:rPr>
        <w:instrText>Rudston</w:instrText>
      </w:r>
      <w:r w:rsidR="006B1593" w:rsidRPr="00EC0229">
        <w:instrText xml:space="preserve">" </w:instrText>
      </w:r>
      <w:r w:rsidR="006B1593" w:rsidRPr="00EC0229">
        <w:fldChar w:fldCharType="end"/>
      </w:r>
      <w:r w:rsidRPr="00EC0229">
        <w:t xml:space="preserve">, reaching the sea at Bridlington.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635D9A" w:rsidRPr="00EC0229">
        <w:rPr>
          <w:rStyle w:val="Hyperlink"/>
          <w:i/>
          <w:color w:val="000000" w:themeColor="text1"/>
          <w:szCs w:val="24"/>
          <w:u w:val="none"/>
        </w:rPr>
        <w:t>8.1</w:t>
      </w:r>
      <w:r w:rsidR="00A06BD2" w:rsidRPr="00EC0229">
        <w:rPr>
          <w:rStyle w:val="Hyperlink"/>
          <w:i/>
          <w:color w:val="000000" w:themeColor="text1"/>
          <w:szCs w:val="24"/>
          <w:u w:val="none"/>
        </w:rPr>
        <w:t>7</w:t>
      </w:r>
      <w:r w:rsidR="004640F9" w:rsidRPr="00EC0229">
        <w:rPr>
          <w:rStyle w:val="Hyperlink"/>
          <w:i/>
          <w:color w:val="000000" w:themeColor="text1"/>
          <w:szCs w:val="24"/>
          <w:u w:val="none"/>
        </w:rPr>
        <w:t>ii)</w:t>
      </w:r>
      <w:r w:rsidRPr="00EC0229">
        <w:rPr>
          <w:i/>
          <w:szCs w:val="24"/>
        </w:rPr>
        <w:t xml:space="preserve"> central</w:t>
      </w:r>
      <w:r w:rsidRPr="00EC0229">
        <w:rPr>
          <w:szCs w:val="24"/>
        </w:rPr>
        <w:t xml:space="preserve"> lists the small finds for the central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w:t>
      </w:r>
    </w:p>
    <w:p w14:paraId="35D14B88" w14:textId="77777777" w:rsidR="00854613" w:rsidRPr="00EC0229" w:rsidRDefault="00854613" w:rsidP="007600EA">
      <w:pPr>
        <w:pStyle w:val="NoSpacing"/>
        <w:spacing w:line="360" w:lineRule="auto"/>
      </w:pPr>
      <w:r w:rsidRPr="00EC0229">
        <w:rPr>
          <w:szCs w:val="24"/>
        </w:rPr>
        <w:t xml:space="preserve"> </w:t>
      </w:r>
    </w:p>
    <w:p w14:paraId="394B69C3" w14:textId="3B190620" w:rsidR="00854613" w:rsidRPr="00EC0229" w:rsidRDefault="00854613" w:rsidP="007600EA">
      <w:pPr>
        <w:pStyle w:val="NoSpacing"/>
        <w:spacing w:line="360" w:lineRule="auto"/>
      </w:pPr>
      <w:bookmarkStart w:id="757" w:name="Butterwick"/>
      <w:bookmarkEnd w:id="757"/>
      <w:r w:rsidRPr="00EC0229">
        <w:t xml:space="preserve">I have tested, among informal sources, the rumour that the absence of Butterwick from the formal record is due to night-hawking. It is reported that sceats of the Wodan type </w:t>
      </w:r>
      <w:r w:rsidR="00081982" w:rsidRPr="00EC0229">
        <w:t xml:space="preserve">[5b] </w:t>
      </w:r>
      <w:r w:rsidRPr="00EC0229">
        <w:t>along with many Series</w:t>
      </w:r>
      <w:r w:rsidR="00D142DC" w:rsidRPr="00EC0229">
        <w:fldChar w:fldCharType="begin"/>
      </w:r>
      <w:r w:rsidR="00D142DC" w:rsidRPr="00EC0229">
        <w:instrText xml:space="preserve"> XE "Series" </w:instrText>
      </w:r>
      <w:r w:rsidR="00D142DC" w:rsidRPr="00EC0229">
        <w:fldChar w:fldCharType="end"/>
      </w:r>
      <w:r w:rsidRPr="00EC0229">
        <w:t xml:space="preserve"> Y coins of Eadberht</w:t>
      </w:r>
      <w:r w:rsidR="00D142DC" w:rsidRPr="00EC0229">
        <w:fldChar w:fldCharType="begin"/>
      </w:r>
      <w:r w:rsidR="00D142DC" w:rsidRPr="00EC0229">
        <w:instrText xml:space="preserve"> XE "Eadberht" </w:instrText>
      </w:r>
      <w:r w:rsidR="00D142DC" w:rsidRPr="00EC0229">
        <w:fldChar w:fldCharType="end"/>
      </w:r>
      <w:r w:rsidRPr="00EC0229">
        <w:t xml:space="preserve"> and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 fantastic animal </w:t>
      </w:r>
      <w:r w:rsidR="00862F15" w:rsidRPr="00EC0229">
        <w:t>and</w:t>
      </w:r>
      <w:r w:rsidRPr="00EC0229">
        <w:t xml:space="preserve"> rare named-moneyer types have been found</w:t>
      </w:r>
      <w:r w:rsidR="003C538B" w:rsidRPr="00EC0229">
        <w:t xml:space="preserve"> </w:t>
      </w:r>
      <w:r w:rsidR="003C538B"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_Ref430249123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135</w:t>
      </w:r>
      <w:r w:rsidR="00C44C51" w:rsidRPr="00EC0229">
        <w:rPr>
          <w:rFonts w:eastAsia="Times New Roman" w:cs="Times New Roman"/>
          <w:iCs/>
          <w:szCs w:val="24"/>
          <w:lang w:eastAsia="en-GB"/>
        </w:rPr>
        <w:fldChar w:fldCharType="end"/>
      </w:r>
      <w:r w:rsidR="003C538B" w:rsidRPr="00EC0229">
        <w:rPr>
          <w:rFonts w:eastAsia="Times New Roman" w:cs="Times New Roman"/>
          <w:iCs/>
          <w:szCs w:val="24"/>
          <w:lang w:eastAsia="en-GB"/>
        </w:rPr>
        <w:t>)</w:t>
      </w:r>
      <w:r w:rsidR="00081982" w:rsidRPr="00EC0229">
        <w:rPr>
          <w:rFonts w:eastAsia="Times New Roman" w:cs="Times New Roman"/>
          <w:iCs/>
          <w:szCs w:val="24"/>
          <w:lang w:eastAsia="en-GB"/>
        </w:rPr>
        <w:t>, [N6-8]</w:t>
      </w:r>
      <w:r w:rsidRPr="00EC0229">
        <w:t>.</w:t>
      </w:r>
    </w:p>
    <w:p w14:paraId="1D253103" w14:textId="4CA63F3F" w:rsidR="00854613" w:rsidRPr="00EC0229" w:rsidRDefault="00854613" w:rsidP="007600EA">
      <w:pPr>
        <w:pStyle w:val="NoSpacing"/>
        <w:spacing w:line="360" w:lineRule="auto"/>
        <w:jc w:val="center"/>
      </w:pPr>
      <w:r w:rsidRPr="00EC0229">
        <w:rPr>
          <w:noProof/>
          <w:lang w:eastAsia="en-GB"/>
        </w:rPr>
        <w:drawing>
          <wp:inline distT="0" distB="0" distL="0" distR="0" wp14:anchorId="556A8A97" wp14:editId="7353B3C5">
            <wp:extent cx="937260" cy="93726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JPG"/>
                    <pic:cNvPicPr/>
                  </pic:nvPicPr>
                  <pic:blipFill>
                    <a:blip r:embed="rId433">
                      <a:extLst>
                        <a:ext uri="{28A0092B-C50C-407E-A947-70E740481C1C}">
                          <a14:useLocalDpi xmlns:a14="http://schemas.microsoft.com/office/drawing/2010/main" val="0"/>
                        </a:ext>
                      </a:extLst>
                    </a:blip>
                    <a:stretch>
                      <a:fillRect/>
                    </a:stretch>
                  </pic:blipFill>
                  <pic:spPr>
                    <a:xfrm>
                      <a:off x="0" y="0"/>
                      <a:ext cx="937260" cy="937260"/>
                    </a:xfrm>
                    <a:prstGeom prst="rect">
                      <a:avLst/>
                    </a:prstGeom>
                  </pic:spPr>
                </pic:pic>
              </a:graphicData>
            </a:graphic>
          </wp:inline>
        </w:drawing>
      </w:r>
      <w:r w:rsidRPr="00EC0229">
        <w:rPr>
          <w:noProof/>
          <w:lang w:eastAsia="en-GB"/>
        </w:rPr>
        <w:drawing>
          <wp:inline distT="0" distB="0" distL="0" distR="0" wp14:anchorId="6D248280" wp14:editId="2CAF651B">
            <wp:extent cx="899160" cy="932669"/>
            <wp:effectExtent l="0" t="0" r="0" b="127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JPG"/>
                    <pic:cNvPicPr/>
                  </pic:nvPicPr>
                  <pic:blipFill>
                    <a:blip r:embed="rId434">
                      <a:extLst>
                        <a:ext uri="{28A0092B-C50C-407E-A947-70E740481C1C}">
                          <a14:useLocalDpi xmlns:a14="http://schemas.microsoft.com/office/drawing/2010/main" val="0"/>
                        </a:ext>
                      </a:extLst>
                    </a:blip>
                    <a:stretch>
                      <a:fillRect/>
                    </a:stretch>
                  </pic:blipFill>
                  <pic:spPr>
                    <a:xfrm>
                      <a:off x="0" y="0"/>
                      <a:ext cx="915979" cy="950115"/>
                    </a:xfrm>
                    <a:prstGeom prst="rect">
                      <a:avLst/>
                    </a:prstGeom>
                  </pic:spPr>
                </pic:pic>
              </a:graphicData>
            </a:graphic>
          </wp:inline>
        </w:drawing>
      </w:r>
      <w:r w:rsidR="008E09D1" w:rsidRPr="00EC0229">
        <w:t xml:space="preserve">  </w:t>
      </w:r>
      <w:r w:rsidRPr="00EC0229">
        <w:rPr>
          <w:noProof/>
          <w:lang w:eastAsia="en-GB"/>
        </w:rPr>
        <w:drawing>
          <wp:inline distT="0" distB="0" distL="0" distR="0" wp14:anchorId="5FC69958" wp14:editId="60F5AB52">
            <wp:extent cx="853440" cy="907200"/>
            <wp:effectExtent l="0" t="0" r="3810" b="762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3.JPG"/>
                    <pic:cNvPicPr/>
                  </pic:nvPicPr>
                  <pic:blipFill>
                    <a:blip r:embed="rId435">
                      <a:extLst>
                        <a:ext uri="{28A0092B-C50C-407E-A947-70E740481C1C}">
                          <a14:useLocalDpi xmlns:a14="http://schemas.microsoft.com/office/drawing/2010/main" val="0"/>
                        </a:ext>
                      </a:extLst>
                    </a:blip>
                    <a:stretch>
                      <a:fillRect/>
                    </a:stretch>
                  </pic:blipFill>
                  <pic:spPr>
                    <a:xfrm>
                      <a:off x="0" y="0"/>
                      <a:ext cx="861258" cy="915511"/>
                    </a:xfrm>
                    <a:prstGeom prst="rect">
                      <a:avLst/>
                    </a:prstGeom>
                  </pic:spPr>
                </pic:pic>
              </a:graphicData>
            </a:graphic>
          </wp:inline>
        </w:drawing>
      </w:r>
      <w:r w:rsidRPr="00EC0229">
        <w:rPr>
          <w:noProof/>
          <w:lang w:eastAsia="en-GB"/>
        </w:rPr>
        <w:drawing>
          <wp:inline distT="0" distB="0" distL="0" distR="0" wp14:anchorId="4BBA4746" wp14:editId="444D2424">
            <wp:extent cx="936171" cy="9144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JPG"/>
                    <pic:cNvPicPr/>
                  </pic:nvPicPr>
                  <pic:blipFill>
                    <a:blip r:embed="rId436">
                      <a:extLst>
                        <a:ext uri="{28A0092B-C50C-407E-A947-70E740481C1C}">
                          <a14:useLocalDpi xmlns:a14="http://schemas.microsoft.com/office/drawing/2010/main" val="0"/>
                        </a:ext>
                      </a:extLst>
                    </a:blip>
                    <a:stretch>
                      <a:fillRect/>
                    </a:stretch>
                  </pic:blipFill>
                  <pic:spPr>
                    <a:xfrm>
                      <a:off x="0" y="0"/>
                      <a:ext cx="945239" cy="923257"/>
                    </a:xfrm>
                    <a:prstGeom prst="rect">
                      <a:avLst/>
                    </a:prstGeom>
                  </pic:spPr>
                </pic:pic>
              </a:graphicData>
            </a:graphic>
          </wp:inline>
        </w:drawing>
      </w:r>
      <w:r w:rsidR="008E09D1" w:rsidRPr="00EC0229">
        <w:t xml:space="preserve"> </w:t>
      </w:r>
      <w:r w:rsidR="008E09D1" w:rsidRPr="00EC0229">
        <w:rPr>
          <w:noProof/>
          <w:lang w:eastAsia="en-GB"/>
        </w:rPr>
        <w:drawing>
          <wp:inline distT="0" distB="0" distL="0" distR="0" wp14:anchorId="522B9BF6" wp14:editId="5A8814A2">
            <wp:extent cx="974408" cy="8661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35-01.JPG"/>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978611" cy="869876"/>
                    </a:xfrm>
                    <a:prstGeom prst="rect">
                      <a:avLst/>
                    </a:prstGeom>
                  </pic:spPr>
                </pic:pic>
              </a:graphicData>
            </a:graphic>
          </wp:inline>
        </w:drawing>
      </w:r>
      <w:r w:rsidR="008E09D1" w:rsidRPr="00EC0229">
        <w:rPr>
          <w:noProof/>
          <w:lang w:eastAsia="en-GB"/>
        </w:rPr>
        <w:drawing>
          <wp:inline distT="0" distB="0" distL="0" distR="0" wp14:anchorId="20D541E2" wp14:editId="3F95F469">
            <wp:extent cx="783596" cy="86249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3-35-01R.JPG"/>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793388" cy="873277"/>
                    </a:xfrm>
                    <a:prstGeom prst="rect">
                      <a:avLst/>
                    </a:prstGeom>
                  </pic:spPr>
                </pic:pic>
              </a:graphicData>
            </a:graphic>
          </wp:inline>
        </w:drawing>
      </w:r>
    </w:p>
    <w:p w14:paraId="2CF94A5E" w14:textId="398B6CF2" w:rsidR="0031167B" w:rsidRPr="00EC0229" w:rsidRDefault="003977B6" w:rsidP="007600EA">
      <w:pPr>
        <w:pStyle w:val="NoSpacing"/>
        <w:spacing w:line="360" w:lineRule="auto"/>
        <w:jc w:val="center"/>
        <w:rPr>
          <w:sz w:val="20"/>
          <w:szCs w:val="20"/>
        </w:rPr>
      </w:pPr>
      <w:bookmarkStart w:id="758" w:name="_Ref430249123"/>
      <w:bookmarkStart w:id="759" w:name="_Toc468267107"/>
      <w:r w:rsidRPr="00EC0229">
        <w:rPr>
          <w:i/>
          <w:sz w:val="20"/>
          <w:szCs w:val="20"/>
        </w:rPr>
        <w:t>Figure</w:t>
      </w:r>
      <w:r w:rsidRPr="00EC0229">
        <w:rPr>
          <w:sz w:val="20"/>
          <w:szCs w:val="20"/>
        </w:rPr>
        <w:t xml:space="preserve"> </w:t>
      </w:r>
      <w:r w:rsidR="006B5C29" w:rsidRPr="00EC0229">
        <w:rPr>
          <w:sz w:val="20"/>
          <w:szCs w:val="20"/>
        </w:rPr>
        <w:fldChar w:fldCharType="begin"/>
      </w:r>
      <w:r w:rsidR="006B5C29" w:rsidRPr="00EC0229">
        <w:rPr>
          <w:sz w:val="20"/>
          <w:szCs w:val="20"/>
        </w:rPr>
        <w:instrText xml:space="preserve"> SEQ Figure \* ARABIC </w:instrText>
      </w:r>
      <w:r w:rsidR="006B5C29" w:rsidRPr="00EC0229">
        <w:rPr>
          <w:sz w:val="20"/>
          <w:szCs w:val="20"/>
        </w:rPr>
        <w:fldChar w:fldCharType="separate"/>
      </w:r>
      <w:r w:rsidR="0012026B">
        <w:rPr>
          <w:noProof/>
          <w:sz w:val="20"/>
          <w:szCs w:val="20"/>
        </w:rPr>
        <w:t>135</w:t>
      </w:r>
      <w:r w:rsidR="006B5C29" w:rsidRPr="00EC0229">
        <w:rPr>
          <w:noProof/>
          <w:sz w:val="20"/>
          <w:szCs w:val="20"/>
        </w:rPr>
        <w:fldChar w:fldCharType="end"/>
      </w:r>
      <w:bookmarkEnd w:id="758"/>
      <w:r w:rsidRPr="00EC0229">
        <w:rPr>
          <w:sz w:val="20"/>
          <w:szCs w:val="20"/>
        </w:rPr>
        <w:t xml:space="preserve">: </w:t>
      </w:r>
      <w:r w:rsidR="00854613" w:rsidRPr="00EC0229">
        <w:rPr>
          <w:sz w:val="20"/>
          <w:szCs w:val="20"/>
        </w:rPr>
        <w:t>Butterwick</w:t>
      </w:r>
      <w:bookmarkEnd w:id="759"/>
    </w:p>
    <w:p w14:paraId="36D60B65" w14:textId="75DCA6D6" w:rsidR="00854613" w:rsidRPr="00EC0229" w:rsidRDefault="008E09D1" w:rsidP="007600EA">
      <w:pPr>
        <w:pStyle w:val="NoSpacing"/>
        <w:spacing w:line="360" w:lineRule="auto"/>
        <w:jc w:val="center"/>
        <w:rPr>
          <w:sz w:val="20"/>
          <w:szCs w:val="20"/>
        </w:rPr>
      </w:pPr>
      <w:r w:rsidRPr="00EC0229">
        <w:rPr>
          <w:sz w:val="20"/>
          <w:szCs w:val="20"/>
        </w:rPr>
        <w:t>L to R</w:t>
      </w:r>
      <w:r w:rsidR="00854613" w:rsidRPr="00EC0229">
        <w:rPr>
          <w:sz w:val="20"/>
          <w:szCs w:val="20"/>
        </w:rPr>
        <w:t>: Æthelred</w:t>
      </w:r>
      <w:r w:rsidR="00D142DC" w:rsidRPr="00EC0229">
        <w:rPr>
          <w:sz w:val="20"/>
          <w:szCs w:val="20"/>
        </w:rPr>
        <w:fldChar w:fldCharType="begin"/>
      </w:r>
      <w:r w:rsidR="00D142DC" w:rsidRPr="00EC0229">
        <w:rPr>
          <w:sz w:val="20"/>
          <w:szCs w:val="20"/>
        </w:rPr>
        <w:instrText xml:space="preserve"> XE "</w:instrText>
      </w:r>
      <w:r w:rsidR="00D142DC" w:rsidRPr="00EC0229">
        <w:rPr>
          <w:rFonts w:cs="Times New Roman"/>
          <w:sz w:val="20"/>
          <w:szCs w:val="20"/>
        </w:rPr>
        <w:instrText>Æ</w:instrText>
      </w:r>
      <w:r w:rsidR="00D142DC" w:rsidRPr="00EC0229">
        <w:rPr>
          <w:sz w:val="20"/>
          <w:szCs w:val="20"/>
        </w:rPr>
        <w:instrText xml:space="preserve">thelred" </w:instrText>
      </w:r>
      <w:r w:rsidR="00D142DC" w:rsidRPr="00EC0229">
        <w:rPr>
          <w:sz w:val="20"/>
          <w:szCs w:val="20"/>
        </w:rPr>
        <w:fldChar w:fldCharType="end"/>
      </w:r>
      <w:r w:rsidR="00854613" w:rsidRPr="00EC0229">
        <w:rPr>
          <w:sz w:val="20"/>
          <w:szCs w:val="20"/>
        </w:rPr>
        <w:t xml:space="preserve"> I, fan</w:t>
      </w:r>
      <w:r w:rsidRPr="00EC0229">
        <w:rPr>
          <w:sz w:val="20"/>
          <w:szCs w:val="20"/>
        </w:rPr>
        <w:t xml:space="preserve">tastic animal type; </w:t>
      </w:r>
      <w:r w:rsidR="00182EC1" w:rsidRPr="00EC0229">
        <w:rPr>
          <w:sz w:val="20"/>
          <w:szCs w:val="20"/>
        </w:rPr>
        <w:t>rare inscribed type,</w:t>
      </w:r>
      <w:r w:rsidR="00854613" w:rsidRPr="00EC0229">
        <w:rPr>
          <w:sz w:val="20"/>
          <w:szCs w:val="20"/>
        </w:rPr>
        <w:t xml:space="preserve"> Hnifula</w:t>
      </w:r>
      <w:r w:rsidRPr="00EC0229">
        <w:rPr>
          <w:sz w:val="20"/>
          <w:szCs w:val="20"/>
        </w:rPr>
        <w:t>; rare styca Aethelred II by Wulfsige</w:t>
      </w:r>
    </w:p>
    <w:p w14:paraId="4C7FEA39" w14:textId="77777777" w:rsidR="00854613" w:rsidRPr="00EC0229" w:rsidRDefault="00854613" w:rsidP="007600EA">
      <w:pPr>
        <w:pStyle w:val="NoSpacing"/>
        <w:spacing w:line="360" w:lineRule="auto"/>
        <w:rPr>
          <w:b/>
          <w:szCs w:val="24"/>
        </w:rPr>
      </w:pPr>
    </w:p>
    <w:p w14:paraId="62495FF3" w14:textId="54E913E8" w:rsidR="00854613" w:rsidRPr="007A3166" w:rsidRDefault="00854613" w:rsidP="00BD6F07">
      <w:pPr>
        <w:pStyle w:val="Heading3"/>
      </w:pPr>
      <w:bookmarkStart w:id="760" w:name="_Toc468266899"/>
      <w:r w:rsidRPr="007A3166">
        <w:lastRenderedPageBreak/>
        <w:t>Numismatic Summary</w:t>
      </w:r>
      <w:r w:rsidR="00BD6F07">
        <w:t xml:space="preserve"> - </w:t>
      </w:r>
      <w:r w:rsidR="00BD6F07" w:rsidRPr="00EC0229">
        <w:t>Wolds</w:t>
      </w:r>
      <w:r w:rsidR="00BD6F07" w:rsidRPr="00EC0229">
        <w:fldChar w:fldCharType="begin"/>
      </w:r>
      <w:r w:rsidR="00BD6F07" w:rsidRPr="00EC0229">
        <w:instrText xml:space="preserve"> XE "</w:instrText>
      </w:r>
      <w:r w:rsidR="00BD6F07" w:rsidRPr="00EC0229">
        <w:rPr>
          <w:rStyle w:val="Hyperlink"/>
          <w:rFonts w:cs="Times New Roman"/>
          <w:noProof/>
          <w:u w:val="none"/>
        </w:rPr>
        <w:instrText>Wolds</w:instrText>
      </w:r>
      <w:r w:rsidR="00BD6F07" w:rsidRPr="00EC0229">
        <w:instrText xml:space="preserve">" </w:instrText>
      </w:r>
      <w:r w:rsidR="00BD6F07" w:rsidRPr="00EC0229">
        <w:fldChar w:fldCharType="end"/>
      </w:r>
      <w:r w:rsidR="00BD6F07">
        <w:t xml:space="preserve"> central</w:t>
      </w:r>
      <w:bookmarkEnd w:id="760"/>
    </w:p>
    <w:p w14:paraId="0D43FCC8" w14:textId="0E05B845" w:rsidR="00080386" w:rsidRDefault="00854613" w:rsidP="007600EA">
      <w:pPr>
        <w:pStyle w:val="NoSpacing"/>
        <w:spacing w:line="360" w:lineRule="auto"/>
      </w:pPr>
      <w:r w:rsidRPr="00EC0229">
        <w:t>While the central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are graced with </w:t>
      </w:r>
      <w:r w:rsidR="00BF6095">
        <w:t>several</w:t>
      </w:r>
      <w:r w:rsidRPr="00EC0229">
        <w:t xml:space="preserve"> highly important sites, my suspicion is that </w:t>
      </w:r>
      <w:r w:rsidR="000E3DDF" w:rsidRPr="00EC0229">
        <w:t>attributions to</w:t>
      </w:r>
      <w:r w:rsidRPr="00EC0229">
        <w:t xml:space="preserve"> Weaverthorpe, Wetwang</w:t>
      </w:r>
      <w:r w:rsidR="006B1593" w:rsidRPr="00EC0229">
        <w:fldChar w:fldCharType="begin"/>
      </w:r>
      <w:r w:rsidR="006B1593" w:rsidRPr="00EC0229">
        <w:instrText xml:space="preserve"> XE "</w:instrText>
      </w:r>
      <w:r w:rsidR="006B1593" w:rsidRPr="00EC0229">
        <w:rPr>
          <w:rFonts w:eastAsia="Times New Roman"/>
          <w:noProof/>
          <w:lang w:eastAsia="en-GB"/>
        </w:rPr>
        <w:instrText>Wetwang</w:instrText>
      </w:r>
      <w:r w:rsidR="006B1593" w:rsidRPr="00EC0229">
        <w:instrText xml:space="preserve">" </w:instrText>
      </w:r>
      <w:r w:rsidR="006B1593" w:rsidRPr="00EC0229">
        <w:fldChar w:fldCharType="end"/>
      </w:r>
      <w:r w:rsidRPr="00EC0229">
        <w:t xml:space="preserve"> </w:t>
      </w:r>
      <w:r w:rsidR="00250E1E" w:rsidRPr="00EC0229">
        <w:t>(</w:t>
      </w:r>
      <w:r w:rsidR="00E91B37" w:rsidRPr="00EC0229">
        <w:fldChar w:fldCharType="begin"/>
      </w:r>
      <w:r w:rsidR="00E91B37" w:rsidRPr="00EC0229">
        <w:instrText xml:space="preserve"> PAGEREF Wetwang \h </w:instrText>
      </w:r>
      <w:r w:rsidR="00E91B37" w:rsidRPr="00EC0229">
        <w:fldChar w:fldCharType="separate"/>
      </w:r>
      <w:r w:rsidR="0012026B">
        <w:rPr>
          <w:noProof/>
        </w:rPr>
        <w:t>243</w:t>
      </w:r>
      <w:r w:rsidR="00E91B37" w:rsidRPr="00EC0229">
        <w:fldChar w:fldCharType="end"/>
      </w:r>
      <w:r w:rsidR="00250E1E" w:rsidRPr="00EC0229">
        <w:t xml:space="preserve">) </w:t>
      </w:r>
      <w:r w:rsidRPr="00EC0229">
        <w:t>and Driffield</w:t>
      </w:r>
      <w:r w:rsidR="006B1593" w:rsidRPr="00EC0229">
        <w:fldChar w:fldCharType="begin"/>
      </w:r>
      <w:r w:rsidR="006B1593" w:rsidRPr="00EC0229">
        <w:instrText xml:space="preserve"> XE "</w:instrText>
      </w:r>
      <w:r w:rsidR="006B1593" w:rsidRPr="00EC0229">
        <w:rPr>
          <w:rStyle w:val="Hyperlink"/>
          <w:rFonts w:eastAsia="Times New Roman"/>
          <w:noProof/>
          <w:u w:val="none"/>
          <w:lang w:eastAsia="en-GB"/>
        </w:rPr>
        <w:instrText>Driffield</w:instrText>
      </w:r>
      <w:r w:rsidR="006B1593" w:rsidRPr="00EC0229">
        <w:instrText xml:space="preserve">" </w:instrText>
      </w:r>
      <w:r w:rsidR="006B1593" w:rsidRPr="00EC0229">
        <w:fldChar w:fldCharType="end"/>
      </w:r>
      <w:r w:rsidRPr="00EC0229">
        <w:t>, disguise</w:t>
      </w:r>
      <w:r w:rsidR="000E3DDF" w:rsidRPr="00EC0229">
        <w:t>s</w:t>
      </w:r>
      <w:r w:rsidRPr="00EC0229">
        <w:t xml:space="preserve"> numerous illicit finds from Sledmere</w:t>
      </w:r>
      <w:r w:rsidR="006B1593" w:rsidRPr="00EC0229">
        <w:fldChar w:fldCharType="begin"/>
      </w:r>
      <w:r w:rsidR="006B1593" w:rsidRPr="00EC0229">
        <w:instrText xml:space="preserve"> XE "</w:instrText>
      </w:r>
      <w:r w:rsidR="006B1593" w:rsidRPr="00EC0229">
        <w:rPr>
          <w:noProof/>
        </w:rPr>
        <w:instrText>Sledmere</w:instrText>
      </w:r>
      <w:r w:rsidR="006B1593" w:rsidRPr="00EC0229">
        <w:instrText xml:space="preserve">" </w:instrText>
      </w:r>
      <w:r w:rsidR="006B1593" w:rsidRPr="00EC0229">
        <w:fldChar w:fldCharType="end"/>
      </w:r>
      <w:r w:rsidR="00250E1E" w:rsidRPr="00EC0229">
        <w:t xml:space="preserve"> (</w:t>
      </w:r>
      <w:r w:rsidR="00E91B37" w:rsidRPr="00EC0229">
        <w:fldChar w:fldCharType="begin"/>
      </w:r>
      <w:r w:rsidR="00E91B37" w:rsidRPr="00EC0229">
        <w:instrText xml:space="preserve"> PAGEREF Sledmere \h </w:instrText>
      </w:r>
      <w:r w:rsidR="00E91B37" w:rsidRPr="00EC0229">
        <w:fldChar w:fldCharType="separate"/>
      </w:r>
      <w:r w:rsidR="0012026B">
        <w:rPr>
          <w:noProof/>
        </w:rPr>
        <w:t>243</w:t>
      </w:r>
      <w:r w:rsidR="00E91B37" w:rsidRPr="00EC0229">
        <w:fldChar w:fldCharType="end"/>
      </w:r>
      <w:r w:rsidR="00250E1E" w:rsidRPr="00EC0229">
        <w:t>).</w:t>
      </w:r>
      <w:r w:rsidRPr="00EC0229">
        <w:t xml:space="preserve"> This contrasts with scrupulous treatment at Cottam</w:t>
      </w:r>
      <w:r w:rsidR="006B1593" w:rsidRPr="00EC0229">
        <w:fldChar w:fldCharType="begin"/>
      </w:r>
      <w:r w:rsidR="006B1593" w:rsidRPr="00EC0229">
        <w:instrText xml:space="preserve"> XE "</w:instrText>
      </w:r>
      <w:r w:rsidR="006B1593" w:rsidRPr="00EC0229">
        <w:rPr>
          <w:rFonts w:eastAsia="Times New Roman"/>
          <w:noProof/>
          <w:lang w:eastAsia="en-GB"/>
        </w:rPr>
        <w:instrText>Cottam</w:instrText>
      </w:r>
      <w:r w:rsidR="006B1593" w:rsidRPr="00EC0229">
        <w:instrText xml:space="preserve">" </w:instrText>
      </w:r>
      <w:r w:rsidR="006B1593" w:rsidRPr="00EC0229">
        <w:fldChar w:fldCharType="end"/>
      </w:r>
      <w:r w:rsidRPr="00EC0229">
        <w:t xml:space="preserve"> </w:t>
      </w:r>
      <w:r w:rsidR="00250E1E" w:rsidRPr="00EC0229">
        <w:t>(</w:t>
      </w:r>
      <w:r w:rsidR="00E91B37" w:rsidRPr="00EC0229">
        <w:fldChar w:fldCharType="begin"/>
      </w:r>
      <w:r w:rsidR="00E91B37" w:rsidRPr="00EC0229">
        <w:instrText xml:space="preserve"> PAGEREF Cottam \h </w:instrText>
      </w:r>
      <w:r w:rsidR="00E91B37" w:rsidRPr="00EC0229">
        <w:fldChar w:fldCharType="separate"/>
      </w:r>
      <w:r w:rsidR="0012026B">
        <w:rPr>
          <w:noProof/>
        </w:rPr>
        <w:t>240</w:t>
      </w:r>
      <w:r w:rsidR="00E91B37" w:rsidRPr="00EC0229">
        <w:fldChar w:fldCharType="end"/>
      </w:r>
      <w:r w:rsidR="00250E1E" w:rsidRPr="00EC0229">
        <w:t xml:space="preserve">) </w:t>
      </w:r>
      <w:r w:rsidRPr="00EC0229">
        <w:t>and Cowlam</w:t>
      </w:r>
      <w:r w:rsidR="006B1593" w:rsidRPr="00EC0229">
        <w:fldChar w:fldCharType="begin"/>
      </w:r>
      <w:r w:rsidR="006B1593" w:rsidRPr="00EC0229">
        <w:instrText xml:space="preserve"> XE "</w:instrText>
      </w:r>
      <w:r w:rsidR="006B1593" w:rsidRPr="00EC0229">
        <w:rPr>
          <w:noProof/>
        </w:rPr>
        <w:instrText>Cowlam</w:instrText>
      </w:r>
      <w:r w:rsidR="006B1593" w:rsidRPr="00EC0229">
        <w:instrText xml:space="preserve">" </w:instrText>
      </w:r>
      <w:r w:rsidR="006B1593" w:rsidRPr="00EC0229">
        <w:fldChar w:fldCharType="end"/>
      </w:r>
      <w:r w:rsidR="00250E1E" w:rsidRPr="00EC0229">
        <w:t xml:space="preserve"> (</w:t>
      </w:r>
      <w:r w:rsidR="00E91B37" w:rsidRPr="00EC0229">
        <w:fldChar w:fldCharType="begin"/>
      </w:r>
      <w:r w:rsidR="00E91B37" w:rsidRPr="00EC0229">
        <w:instrText xml:space="preserve"> PAGEREF Cowlam \h </w:instrText>
      </w:r>
      <w:r w:rsidR="00E91B37" w:rsidRPr="00EC0229">
        <w:fldChar w:fldCharType="separate"/>
      </w:r>
      <w:r w:rsidR="0012026B">
        <w:rPr>
          <w:noProof/>
        </w:rPr>
        <w:t>241</w:t>
      </w:r>
      <w:r w:rsidR="00E91B37" w:rsidRPr="00EC0229">
        <w:fldChar w:fldCharType="end"/>
      </w:r>
      <w:r w:rsidR="00250E1E" w:rsidRPr="00EC0229">
        <w:t>).</w:t>
      </w:r>
      <w:r w:rsidRPr="00EC0229">
        <w:t xml:space="preserve"> Despite these distortions, Sledmere with its substantial volume and rich mix, which vary over time but favour Series</w:t>
      </w:r>
      <w:r w:rsidR="00D142DC" w:rsidRPr="00EC0229">
        <w:fldChar w:fldCharType="begin"/>
      </w:r>
      <w:r w:rsidR="00D142DC" w:rsidRPr="00EC0229">
        <w:instrText xml:space="preserve"> XE "Series" </w:instrText>
      </w:r>
      <w:r w:rsidR="00D142DC" w:rsidRPr="00EC0229">
        <w:fldChar w:fldCharType="end"/>
      </w:r>
      <w:r w:rsidRPr="00EC0229">
        <w:t xml:space="preserve"> G </w:t>
      </w:r>
      <w:r w:rsidR="00862F15" w:rsidRPr="00EC0229">
        <w:t>and</w:t>
      </w:r>
      <w:r w:rsidRPr="00EC0229">
        <w:t xml:space="preserve"> J,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720DB7" w:rsidRPr="00EC0229">
        <w:rPr>
          <w:i/>
        </w:rPr>
        <w:t xml:space="preserve"> </w:t>
      </w:r>
      <w:r w:rsidR="00635D9A" w:rsidRPr="00EC0229">
        <w:rPr>
          <w:i/>
        </w:rPr>
        <w:t>8.1</w:t>
      </w:r>
      <w:r w:rsidR="00A06BD2" w:rsidRPr="00EC0229">
        <w:rPr>
          <w:i/>
        </w:rPr>
        <w:t>6</w:t>
      </w:r>
      <w:r w:rsidRPr="00EC0229">
        <w:t>, dominates and demonstrates the economi</w:t>
      </w:r>
      <w:r w:rsidR="00635D9A" w:rsidRPr="00EC0229">
        <w:t xml:space="preserve">c vibrancy of the central Wolds, </w:t>
      </w:r>
      <w:r w:rsidR="00635D9A" w:rsidRPr="00EC0229">
        <w:rPr>
          <w:i/>
        </w:rPr>
        <w:t>T</w:t>
      </w:r>
      <w:r w:rsidR="007D27F9" w:rsidRPr="00EC0229">
        <w:rPr>
          <w:i/>
        </w:rPr>
        <w:t>able 5.01</w:t>
      </w:r>
      <w:r w:rsidR="00635D9A" w:rsidRPr="00EC0229">
        <w:t>,</w:t>
      </w:r>
      <w:r w:rsidRPr="00EC0229">
        <w:t xml:space="preserve"> shows the strength of imported coinage particularly in the Primary sceatta</w:t>
      </w:r>
      <w:r w:rsidR="00D142DC" w:rsidRPr="00EC0229">
        <w:fldChar w:fldCharType="begin"/>
      </w:r>
      <w:r w:rsidR="00D142DC" w:rsidRPr="00EC0229">
        <w:instrText xml:space="preserve"> XE "sceatta" </w:instrText>
      </w:r>
      <w:r w:rsidR="00D142DC" w:rsidRPr="00EC0229">
        <w:fldChar w:fldCharType="end"/>
      </w:r>
      <w:r w:rsidRPr="00EC0229">
        <w:t xml:space="preserve"> phase.</w:t>
      </w:r>
      <w:r w:rsidR="00080386">
        <w:t xml:space="preserve"> </w:t>
      </w:r>
    </w:p>
    <w:p w14:paraId="209B1144" w14:textId="77777777" w:rsidR="00080386" w:rsidRDefault="00080386" w:rsidP="007600EA">
      <w:pPr>
        <w:pStyle w:val="NoSpacing"/>
        <w:spacing w:line="360" w:lineRule="auto"/>
      </w:pPr>
    </w:p>
    <w:p w14:paraId="33F2E5EA" w14:textId="3116D6CC" w:rsidR="00854613" w:rsidRPr="00EC0229" w:rsidRDefault="00080386" w:rsidP="007600EA">
      <w:pPr>
        <w:pStyle w:val="NoSpacing"/>
        <w:spacing w:line="360" w:lineRule="auto"/>
      </w:pPr>
      <w:r w:rsidRPr="00A07A08">
        <w:rPr>
          <w:i/>
        </w:rPr>
        <w:t>Graphs 7.0</w:t>
      </w:r>
      <w:r>
        <w:rPr>
          <w:i/>
        </w:rPr>
        <w:t>4</w:t>
      </w:r>
      <w:r w:rsidRPr="00A07A08">
        <w:rPr>
          <w:i/>
        </w:rPr>
        <w:t xml:space="preserve"> </w:t>
      </w:r>
      <w:r>
        <w:t>illustrate the chronological dispersal of finds at the main sites. Sledmere and Driffield display the greatest continuity but the former peaks earlier.</w:t>
      </w:r>
    </w:p>
    <w:p w14:paraId="086B066C" w14:textId="77777777" w:rsidR="00854613" w:rsidRPr="00EC0229" w:rsidRDefault="00854613" w:rsidP="007600EA">
      <w:pPr>
        <w:pStyle w:val="NoSpacing"/>
        <w:spacing w:line="360" w:lineRule="auto"/>
        <w:rPr>
          <w:b/>
          <w:szCs w:val="24"/>
        </w:rPr>
      </w:pPr>
    </w:p>
    <w:p w14:paraId="0CE20A7F" w14:textId="0D1E3F34" w:rsidR="00854613" w:rsidRPr="007A3166" w:rsidRDefault="00854613" w:rsidP="00BD6F07">
      <w:pPr>
        <w:pStyle w:val="Heading3"/>
      </w:pPr>
      <w:bookmarkStart w:id="761" w:name="_Toc468266900"/>
      <w:r w:rsidRPr="007A3166">
        <w:t>The Artefactual</w:t>
      </w:r>
      <w:r w:rsidR="006B1593" w:rsidRPr="007A3166">
        <w:fldChar w:fldCharType="begin"/>
      </w:r>
      <w:r w:rsidR="006B1593" w:rsidRPr="007A3166">
        <w:instrText xml:space="preserve"> XE "</w:instrText>
      </w:r>
      <w:r w:rsidR="006B1593" w:rsidRPr="007A3166">
        <w:rPr>
          <w:rStyle w:val="Hyperlink"/>
          <w:b w:val="0"/>
          <w:noProof/>
          <w:u w:val="none"/>
        </w:rPr>
        <w:instrText>Artefactual</w:instrText>
      </w:r>
      <w:r w:rsidR="006B1593" w:rsidRPr="007A3166">
        <w:instrText xml:space="preserve">" </w:instrText>
      </w:r>
      <w:r w:rsidR="006B1593" w:rsidRPr="007A3166">
        <w:fldChar w:fldCharType="end"/>
      </w:r>
      <w:r w:rsidR="00497AC3" w:rsidRPr="007A3166">
        <w:t xml:space="preserve"> Data</w:t>
      </w:r>
      <w:r w:rsidRPr="007A3166">
        <w:t>se</w:t>
      </w:r>
      <w:r w:rsidR="00497AC3" w:rsidRPr="007A3166">
        <w:t>t</w:t>
      </w:r>
      <w:r w:rsidR="00584C42" w:rsidRPr="007A3166">
        <w:fldChar w:fldCharType="begin"/>
      </w:r>
      <w:r w:rsidR="00584C42" w:rsidRPr="007A3166">
        <w:instrText xml:space="preserve"> XE "</w:instrText>
      </w:r>
      <w:r w:rsidR="00584C42" w:rsidRPr="007A3166">
        <w:rPr>
          <w:rStyle w:val="Hyperlink"/>
          <w:b w:val="0"/>
          <w:noProof/>
          <w:u w:val="none"/>
        </w:rPr>
        <w:instrText>Database</w:instrText>
      </w:r>
      <w:r w:rsidR="00584C42" w:rsidRPr="007A3166">
        <w:instrText xml:space="preserve">" </w:instrText>
      </w:r>
      <w:r w:rsidR="00584C42" w:rsidRPr="007A3166">
        <w:fldChar w:fldCharType="end"/>
      </w:r>
      <w:r w:rsidRPr="007A3166">
        <w:t xml:space="preserve"> </w:t>
      </w:r>
      <w:r w:rsidR="0041194D" w:rsidRPr="007A3166">
        <w:t xml:space="preserve">- </w:t>
      </w:r>
      <w:r w:rsidRPr="007A3166">
        <w:t>Wolds</w:t>
      </w:r>
      <w:r w:rsidR="0041194D" w:rsidRPr="007A3166">
        <w:t xml:space="preserve"> central</w:t>
      </w:r>
      <w:bookmarkEnd w:id="761"/>
      <w:r w:rsidR="0041194D" w:rsidRPr="007A3166">
        <w:t xml:space="preserve"> </w:t>
      </w:r>
      <w:r w:rsidR="006B1593" w:rsidRPr="007A3166">
        <w:fldChar w:fldCharType="begin"/>
      </w:r>
      <w:r w:rsidR="006B1593" w:rsidRPr="007A3166">
        <w:instrText xml:space="preserve"> XE "</w:instrText>
      </w:r>
      <w:r w:rsidR="006B1593" w:rsidRPr="007A3166">
        <w:rPr>
          <w:rStyle w:val="Hyperlink"/>
          <w:rFonts w:cs="Times New Roman"/>
          <w:b w:val="0"/>
          <w:noProof/>
          <w:u w:val="none"/>
        </w:rPr>
        <w:instrText>Wolds</w:instrText>
      </w:r>
      <w:r w:rsidR="006B1593" w:rsidRPr="007A3166">
        <w:instrText xml:space="preserve">" </w:instrText>
      </w:r>
      <w:r w:rsidR="006B1593" w:rsidRPr="007A3166">
        <w:fldChar w:fldCharType="end"/>
      </w:r>
    </w:p>
    <w:p w14:paraId="71E28F48" w14:textId="3D56C19E" w:rsidR="00B9673D" w:rsidRPr="00EC0229" w:rsidRDefault="00854613" w:rsidP="007600EA">
      <w:pPr>
        <w:pStyle w:val="NoSpacing"/>
        <w:spacing w:line="360" w:lineRule="auto"/>
        <w:rPr>
          <w:szCs w:val="24"/>
        </w:rPr>
      </w:pPr>
      <w:r w:rsidRPr="00EC0229">
        <w:rPr>
          <w:szCs w:val="24"/>
        </w:rPr>
        <w:t xml:space="preserve">Of the artefacts in the </w:t>
      </w:r>
      <w:r w:rsidR="00497AC3" w:rsidRPr="00EC0229">
        <w:rPr>
          <w:szCs w:val="24"/>
        </w:rPr>
        <w:t>dataset</w:t>
      </w:r>
      <w:r w:rsidRPr="00EC0229">
        <w:rPr>
          <w:szCs w:val="24"/>
        </w:rPr>
        <w:t xml:space="preserve"> for the central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w:t>
      </w:r>
      <w:r w:rsidR="00B80BF9" w:rsidRPr="00EC0229">
        <w:rPr>
          <w:i/>
          <w:szCs w:val="24"/>
        </w:rPr>
        <w:t xml:space="preserve">Table </w:t>
      </w:r>
      <w:r w:rsidR="001641C3" w:rsidRPr="00EC0229">
        <w:rPr>
          <w:i/>
          <w:szCs w:val="24"/>
        </w:rPr>
        <w:t>6</w:t>
      </w:r>
      <w:r w:rsidR="00635D9A" w:rsidRPr="00EC0229">
        <w:rPr>
          <w:i/>
          <w:szCs w:val="24"/>
        </w:rPr>
        <w:t>.03</w:t>
      </w:r>
      <w:r w:rsidR="00B80BF9" w:rsidRPr="00EC0229">
        <w:rPr>
          <w:szCs w:val="24"/>
        </w:rPr>
        <w:t xml:space="preserve">, </w:t>
      </w:r>
      <w:r w:rsidRPr="00EC0229">
        <w:rPr>
          <w:szCs w:val="24"/>
        </w:rPr>
        <w:t>64.0% emanate from Cottam</w:t>
      </w:r>
      <w:r w:rsidR="006B1593" w:rsidRPr="00EC0229">
        <w:rPr>
          <w:szCs w:val="24"/>
        </w:rPr>
        <w:fldChar w:fldCharType="begin"/>
      </w:r>
      <w:r w:rsidR="006B1593" w:rsidRPr="00EC0229">
        <w:instrText xml:space="preserve"> XE "</w:instrText>
      </w:r>
      <w:r w:rsidR="006B1593" w:rsidRPr="00EC0229">
        <w:rPr>
          <w:rFonts w:eastAsia="Times New Roman"/>
          <w:noProof/>
          <w:lang w:eastAsia="en-GB"/>
        </w:rPr>
        <w:instrText>Cottam</w:instrText>
      </w:r>
      <w:r w:rsidR="006B1593" w:rsidRPr="00EC0229">
        <w:instrText xml:space="preserve">" </w:instrText>
      </w:r>
      <w:r w:rsidR="006B1593" w:rsidRPr="00EC0229">
        <w:rPr>
          <w:szCs w:val="24"/>
        </w:rPr>
        <w:fldChar w:fldCharType="end"/>
      </w:r>
      <w:r w:rsidRPr="00EC0229">
        <w:rPr>
          <w:szCs w:val="24"/>
        </w:rPr>
        <w:t xml:space="preserve"> </w:t>
      </w:r>
      <w:r w:rsidR="005E5569" w:rsidRPr="00EC0229">
        <w:rPr>
          <w:szCs w:val="24"/>
        </w:rPr>
        <w:t>(</w:t>
      </w:r>
      <w:r w:rsidR="00E91B37" w:rsidRPr="00EC0229">
        <w:rPr>
          <w:szCs w:val="24"/>
        </w:rPr>
        <w:fldChar w:fldCharType="begin"/>
      </w:r>
      <w:r w:rsidR="00E91B37" w:rsidRPr="00EC0229">
        <w:rPr>
          <w:szCs w:val="24"/>
        </w:rPr>
        <w:instrText xml:space="preserve"> PAGEREF Cottam \h </w:instrText>
      </w:r>
      <w:r w:rsidR="00E91B37" w:rsidRPr="00EC0229">
        <w:rPr>
          <w:szCs w:val="24"/>
        </w:rPr>
      </w:r>
      <w:r w:rsidR="00E91B37" w:rsidRPr="00EC0229">
        <w:rPr>
          <w:szCs w:val="24"/>
        </w:rPr>
        <w:fldChar w:fldCharType="separate"/>
      </w:r>
      <w:r w:rsidR="0012026B">
        <w:rPr>
          <w:noProof/>
          <w:szCs w:val="24"/>
        </w:rPr>
        <w:t>240</w:t>
      </w:r>
      <w:r w:rsidR="00E91B37" w:rsidRPr="00EC0229">
        <w:rPr>
          <w:szCs w:val="24"/>
        </w:rPr>
        <w:fldChar w:fldCharType="end"/>
      </w:r>
      <w:r w:rsidR="005E5569" w:rsidRPr="00EC0229">
        <w:rPr>
          <w:szCs w:val="24"/>
        </w:rPr>
        <w:t xml:space="preserve">) </w:t>
      </w:r>
      <w:r w:rsidRPr="00EC0229">
        <w:rPr>
          <w:szCs w:val="24"/>
        </w:rPr>
        <w:t>and 31.3% from Wharram Percy</w:t>
      </w:r>
      <w:r w:rsidR="006B1593" w:rsidRPr="00EC0229">
        <w:rPr>
          <w:szCs w:val="24"/>
        </w:rPr>
        <w:fldChar w:fldCharType="begin"/>
      </w:r>
      <w:r w:rsidR="006B1593" w:rsidRPr="00EC0229">
        <w:instrText xml:space="preserve"> XE "</w:instrText>
      </w:r>
      <w:r w:rsidR="006B1593" w:rsidRPr="00EC0229">
        <w:rPr>
          <w:noProof/>
        </w:rPr>
        <w:instrText>Wharram Percy</w:instrText>
      </w:r>
      <w:r w:rsidR="006B1593" w:rsidRPr="00EC0229">
        <w:instrText xml:space="preserve">" </w:instrText>
      </w:r>
      <w:r w:rsidR="006B1593" w:rsidRPr="00EC0229">
        <w:rPr>
          <w:szCs w:val="24"/>
        </w:rPr>
        <w:fldChar w:fldCharType="end"/>
      </w:r>
      <w:r w:rsidRPr="00EC0229">
        <w:rPr>
          <w:szCs w:val="24"/>
        </w:rPr>
        <w:t xml:space="preserve"> </w:t>
      </w:r>
      <w:r w:rsidR="005E5569" w:rsidRPr="00EC0229">
        <w:rPr>
          <w:szCs w:val="24"/>
        </w:rPr>
        <w:t>(</w:t>
      </w:r>
      <w:r w:rsidR="00E91B37" w:rsidRPr="00EC0229">
        <w:rPr>
          <w:szCs w:val="24"/>
        </w:rPr>
        <w:fldChar w:fldCharType="begin"/>
      </w:r>
      <w:r w:rsidR="00E91B37" w:rsidRPr="00EC0229">
        <w:rPr>
          <w:szCs w:val="24"/>
        </w:rPr>
        <w:instrText xml:space="preserve"> PAGEREF WharramPercy \h </w:instrText>
      </w:r>
      <w:r w:rsidR="00E91B37" w:rsidRPr="00EC0229">
        <w:rPr>
          <w:szCs w:val="24"/>
        </w:rPr>
      </w:r>
      <w:r w:rsidR="00E91B37" w:rsidRPr="00EC0229">
        <w:rPr>
          <w:szCs w:val="24"/>
        </w:rPr>
        <w:fldChar w:fldCharType="separate"/>
      </w:r>
      <w:r w:rsidR="0012026B">
        <w:rPr>
          <w:noProof/>
          <w:szCs w:val="24"/>
        </w:rPr>
        <w:t>237</w:t>
      </w:r>
      <w:r w:rsidR="00E91B37" w:rsidRPr="00EC0229">
        <w:rPr>
          <w:szCs w:val="24"/>
        </w:rPr>
        <w:fldChar w:fldCharType="end"/>
      </w:r>
      <w:r w:rsidR="005E5569" w:rsidRPr="00EC0229">
        <w:rPr>
          <w:szCs w:val="24"/>
        </w:rPr>
        <w:t xml:space="preserve">), </w:t>
      </w:r>
      <w:r w:rsidRPr="00EC0229">
        <w:rPr>
          <w:szCs w:val="24"/>
        </w:rPr>
        <w:t xml:space="preserve">with the other ten locations contributing thirty-two recorded finds. All locations but Acklam (one brooch, one ingot), Birdsall (one book fitting) and Tibthorpe (one unidentified object) appear in the numismatic </w:t>
      </w:r>
      <w:r w:rsidR="00497AC3" w:rsidRPr="00EC0229">
        <w:rPr>
          <w:szCs w:val="24"/>
        </w:rPr>
        <w:t>dataset</w:t>
      </w:r>
      <w:r w:rsidRPr="00EC0229">
        <w:rPr>
          <w:szCs w:val="24"/>
        </w:rPr>
        <w:t xml:space="preserve"> – there are seventeen coin findspots in all. However, these statistics are unreliable as the artefactually underrepresented locations include Garton</w:t>
      </w:r>
      <w:r w:rsidR="006B1593" w:rsidRPr="00EC0229">
        <w:rPr>
          <w:szCs w:val="24"/>
        </w:rPr>
        <w:fldChar w:fldCharType="begin"/>
      </w:r>
      <w:r w:rsidR="006B1593" w:rsidRPr="00EC0229">
        <w:instrText xml:space="preserve"> XE "</w:instrText>
      </w:r>
      <w:r w:rsidR="006B1593" w:rsidRPr="00EC0229">
        <w:rPr>
          <w:noProof/>
        </w:rPr>
        <w:instrText>Garton</w:instrText>
      </w:r>
      <w:r w:rsidR="006B1593" w:rsidRPr="00EC0229">
        <w:instrText xml:space="preserve">" </w:instrText>
      </w:r>
      <w:r w:rsidR="006B1593" w:rsidRPr="00EC0229">
        <w:rPr>
          <w:szCs w:val="24"/>
        </w:rPr>
        <w:fldChar w:fldCharType="end"/>
      </w:r>
      <w:r w:rsidRPr="00EC0229">
        <w:rPr>
          <w:szCs w:val="24"/>
        </w:rPr>
        <w:t>-on-the-Wolds</w:t>
      </w:r>
      <w:r w:rsidR="006B1593" w:rsidRPr="00EC0229">
        <w:rPr>
          <w:szCs w:val="24"/>
        </w:rPr>
        <w:fldChar w:fldCharType="begin"/>
      </w:r>
      <w:r w:rsidR="006B1593" w:rsidRPr="00EC0229">
        <w:instrText xml:space="preserve"> XE "</w:instrText>
      </w:r>
      <w:r w:rsidR="006B1593" w:rsidRPr="00EC0229">
        <w:rPr>
          <w:noProof/>
        </w:rPr>
        <w:instrText>Garton-on-the-Wolds</w:instrText>
      </w:r>
      <w:r w:rsidR="006B1593" w:rsidRPr="00EC0229">
        <w:instrText xml:space="preserve">" </w:instrText>
      </w:r>
      <w:r w:rsidR="006B1593" w:rsidRPr="00EC0229">
        <w:rPr>
          <w:szCs w:val="24"/>
        </w:rPr>
        <w:fldChar w:fldCharType="end"/>
      </w:r>
      <w:r w:rsidR="005E5569" w:rsidRPr="00EC0229">
        <w:rPr>
          <w:szCs w:val="24"/>
        </w:rPr>
        <w:t xml:space="preserve">, </w:t>
      </w:r>
      <w:r w:rsidRPr="00EC0229">
        <w:rPr>
          <w:szCs w:val="24"/>
        </w:rPr>
        <w:t>Wetwang</w:t>
      </w:r>
      <w:r w:rsidR="006B1593" w:rsidRPr="00EC0229">
        <w:rPr>
          <w:szCs w:val="24"/>
        </w:rPr>
        <w:fldChar w:fldCharType="begin"/>
      </w:r>
      <w:r w:rsidR="006B1593" w:rsidRPr="00EC0229">
        <w:instrText xml:space="preserve"> XE "</w:instrText>
      </w:r>
      <w:r w:rsidR="006B1593" w:rsidRPr="00EC0229">
        <w:rPr>
          <w:rFonts w:eastAsia="Times New Roman"/>
          <w:noProof/>
          <w:lang w:eastAsia="en-GB"/>
        </w:rPr>
        <w:instrText>Wetwang</w:instrText>
      </w:r>
      <w:r w:rsidR="006B1593" w:rsidRPr="00EC0229">
        <w:instrText xml:space="preserve">" </w:instrText>
      </w:r>
      <w:r w:rsidR="006B1593" w:rsidRPr="00EC0229">
        <w:rPr>
          <w:szCs w:val="24"/>
        </w:rPr>
        <w:fldChar w:fldCharType="end"/>
      </w:r>
      <w:r w:rsidRPr="00EC0229">
        <w:rPr>
          <w:szCs w:val="24"/>
        </w:rPr>
        <w:t xml:space="preserve"> </w:t>
      </w:r>
      <w:r w:rsidR="005E5569" w:rsidRPr="00EC0229">
        <w:rPr>
          <w:szCs w:val="24"/>
        </w:rPr>
        <w:t>(</w:t>
      </w:r>
      <w:r w:rsidR="00E91B37" w:rsidRPr="00EC0229">
        <w:rPr>
          <w:szCs w:val="24"/>
        </w:rPr>
        <w:fldChar w:fldCharType="begin"/>
      </w:r>
      <w:r w:rsidR="00E91B37" w:rsidRPr="00EC0229">
        <w:rPr>
          <w:szCs w:val="24"/>
        </w:rPr>
        <w:instrText xml:space="preserve"> PAGEREF Wetwang \h </w:instrText>
      </w:r>
      <w:r w:rsidR="00E91B37" w:rsidRPr="00EC0229">
        <w:rPr>
          <w:szCs w:val="24"/>
        </w:rPr>
      </w:r>
      <w:r w:rsidR="00E91B37" w:rsidRPr="00EC0229">
        <w:rPr>
          <w:szCs w:val="24"/>
        </w:rPr>
        <w:fldChar w:fldCharType="separate"/>
      </w:r>
      <w:r w:rsidR="0012026B">
        <w:rPr>
          <w:noProof/>
          <w:szCs w:val="24"/>
        </w:rPr>
        <w:t>243</w:t>
      </w:r>
      <w:r w:rsidR="00E91B37" w:rsidRPr="00EC0229">
        <w:rPr>
          <w:szCs w:val="24"/>
        </w:rPr>
        <w:fldChar w:fldCharType="end"/>
      </w:r>
      <w:r w:rsidR="005E5569" w:rsidRPr="00EC0229">
        <w:rPr>
          <w:szCs w:val="24"/>
        </w:rPr>
        <w:t xml:space="preserve">) </w:t>
      </w:r>
      <w:r w:rsidRPr="00EC0229">
        <w:rPr>
          <w:szCs w:val="24"/>
        </w:rPr>
        <w:t>and Sledmere</w:t>
      </w:r>
      <w:r w:rsidR="006B1593" w:rsidRPr="00EC0229">
        <w:rPr>
          <w:szCs w:val="24"/>
        </w:rPr>
        <w:fldChar w:fldCharType="begin"/>
      </w:r>
      <w:r w:rsidR="006B1593" w:rsidRPr="00EC0229">
        <w:instrText xml:space="preserve"> XE "</w:instrText>
      </w:r>
      <w:r w:rsidR="006B1593" w:rsidRPr="00EC0229">
        <w:rPr>
          <w:noProof/>
        </w:rPr>
        <w:instrText>Sledmere</w:instrText>
      </w:r>
      <w:r w:rsidR="006B1593" w:rsidRPr="00EC0229">
        <w:instrText xml:space="preserve">" </w:instrText>
      </w:r>
      <w:r w:rsidR="006B1593" w:rsidRPr="00EC0229">
        <w:rPr>
          <w:szCs w:val="24"/>
        </w:rPr>
        <w:fldChar w:fldCharType="end"/>
      </w:r>
      <w:r w:rsidRPr="00EC0229">
        <w:rPr>
          <w:szCs w:val="24"/>
        </w:rPr>
        <w:t xml:space="preserve"> </w:t>
      </w:r>
      <w:r w:rsidR="005E5569" w:rsidRPr="00EC0229">
        <w:rPr>
          <w:szCs w:val="24"/>
        </w:rPr>
        <w:t>(</w:t>
      </w:r>
      <w:r w:rsidR="00E91B37" w:rsidRPr="00EC0229">
        <w:rPr>
          <w:szCs w:val="24"/>
        </w:rPr>
        <w:fldChar w:fldCharType="begin"/>
      </w:r>
      <w:r w:rsidR="00E91B37" w:rsidRPr="00EC0229">
        <w:rPr>
          <w:szCs w:val="24"/>
        </w:rPr>
        <w:instrText xml:space="preserve"> PAGEREF Sledmere \h </w:instrText>
      </w:r>
      <w:r w:rsidR="00E91B37" w:rsidRPr="00EC0229">
        <w:rPr>
          <w:szCs w:val="24"/>
        </w:rPr>
      </w:r>
      <w:r w:rsidR="00E91B37" w:rsidRPr="00EC0229">
        <w:rPr>
          <w:szCs w:val="24"/>
        </w:rPr>
        <w:fldChar w:fldCharType="separate"/>
      </w:r>
      <w:r w:rsidR="0012026B">
        <w:rPr>
          <w:noProof/>
          <w:szCs w:val="24"/>
        </w:rPr>
        <w:t>243</w:t>
      </w:r>
      <w:r w:rsidR="00E91B37" w:rsidRPr="00EC0229">
        <w:rPr>
          <w:szCs w:val="24"/>
        </w:rPr>
        <w:fldChar w:fldCharType="end"/>
      </w:r>
      <w:r w:rsidR="005E5569" w:rsidRPr="00EC0229">
        <w:rPr>
          <w:szCs w:val="24"/>
        </w:rPr>
        <w:t xml:space="preserve">), </w:t>
      </w:r>
      <w:r w:rsidRPr="00EC0229">
        <w:rPr>
          <w:szCs w:val="24"/>
        </w:rPr>
        <w:t>all of which are known to be object-rich. Indeed, the last two are also grossly underrepresented on the nu</w:t>
      </w:r>
      <w:r w:rsidR="008E09D1" w:rsidRPr="00EC0229">
        <w:rPr>
          <w:szCs w:val="24"/>
        </w:rPr>
        <w:t xml:space="preserve">mismatic </w:t>
      </w:r>
      <w:r w:rsidR="00497AC3" w:rsidRPr="00EC0229">
        <w:rPr>
          <w:szCs w:val="24"/>
        </w:rPr>
        <w:t>dataset</w:t>
      </w:r>
      <w:r w:rsidR="008E09D1" w:rsidRPr="00EC0229">
        <w:rPr>
          <w:szCs w:val="24"/>
        </w:rPr>
        <w:t xml:space="preserve"> to which </w:t>
      </w:r>
      <w:r w:rsidRPr="00EC0229">
        <w:rPr>
          <w:szCs w:val="24"/>
        </w:rPr>
        <w:t xml:space="preserve">Haldenby has contributed conscientiously for </w:t>
      </w:r>
      <w:r w:rsidR="006F747D" w:rsidRPr="00EC0229">
        <w:rPr>
          <w:szCs w:val="24"/>
        </w:rPr>
        <w:t>Cottam (</w:t>
      </w:r>
      <w:r w:rsidR="00E91B37" w:rsidRPr="00EC0229">
        <w:rPr>
          <w:szCs w:val="24"/>
        </w:rPr>
        <w:fldChar w:fldCharType="begin"/>
      </w:r>
      <w:r w:rsidR="00E91B37" w:rsidRPr="00EC0229">
        <w:rPr>
          <w:szCs w:val="24"/>
        </w:rPr>
        <w:instrText xml:space="preserve"> PAGEREF Cottam \h </w:instrText>
      </w:r>
      <w:r w:rsidR="00E91B37" w:rsidRPr="00EC0229">
        <w:rPr>
          <w:szCs w:val="24"/>
        </w:rPr>
      </w:r>
      <w:r w:rsidR="00E91B37" w:rsidRPr="00EC0229">
        <w:rPr>
          <w:szCs w:val="24"/>
        </w:rPr>
        <w:fldChar w:fldCharType="separate"/>
      </w:r>
      <w:r w:rsidR="0012026B">
        <w:rPr>
          <w:noProof/>
          <w:szCs w:val="24"/>
        </w:rPr>
        <w:t>240</w:t>
      </w:r>
      <w:r w:rsidR="00E91B37" w:rsidRPr="00EC0229">
        <w:rPr>
          <w:szCs w:val="24"/>
        </w:rPr>
        <w:fldChar w:fldCharType="end"/>
      </w:r>
      <w:r w:rsidR="006F747D" w:rsidRPr="00EC0229">
        <w:rPr>
          <w:szCs w:val="24"/>
        </w:rPr>
        <w:t xml:space="preserve">) and </w:t>
      </w:r>
      <w:r w:rsidRPr="00EC0229">
        <w:rPr>
          <w:szCs w:val="24"/>
        </w:rPr>
        <w:t>Cowlam</w:t>
      </w:r>
      <w:r w:rsidR="006B1593" w:rsidRPr="00EC0229">
        <w:rPr>
          <w:szCs w:val="24"/>
        </w:rPr>
        <w:fldChar w:fldCharType="begin"/>
      </w:r>
      <w:r w:rsidR="006B1593" w:rsidRPr="00EC0229">
        <w:instrText xml:space="preserve"> XE "</w:instrText>
      </w:r>
      <w:r w:rsidR="006B1593" w:rsidRPr="00EC0229">
        <w:rPr>
          <w:noProof/>
        </w:rPr>
        <w:instrText>Cowlam</w:instrText>
      </w:r>
      <w:r w:rsidR="006B1593" w:rsidRPr="00EC0229">
        <w:instrText xml:space="preserve">" </w:instrText>
      </w:r>
      <w:r w:rsidR="006B1593" w:rsidRPr="00EC0229">
        <w:rPr>
          <w:szCs w:val="24"/>
        </w:rPr>
        <w:fldChar w:fldCharType="end"/>
      </w:r>
      <w:r w:rsidRPr="00EC0229">
        <w:rPr>
          <w:szCs w:val="24"/>
        </w:rPr>
        <w:t xml:space="preserve"> </w:t>
      </w:r>
      <w:r w:rsidR="005E5569" w:rsidRPr="00EC0229">
        <w:rPr>
          <w:szCs w:val="24"/>
        </w:rPr>
        <w:t>(</w:t>
      </w:r>
      <w:r w:rsidR="00E91B37" w:rsidRPr="00EC0229">
        <w:rPr>
          <w:szCs w:val="24"/>
        </w:rPr>
        <w:fldChar w:fldCharType="begin"/>
      </w:r>
      <w:r w:rsidR="00E91B37" w:rsidRPr="00EC0229">
        <w:rPr>
          <w:szCs w:val="24"/>
        </w:rPr>
        <w:instrText xml:space="preserve"> PAGEREF Cowlam \h </w:instrText>
      </w:r>
      <w:r w:rsidR="00E91B37" w:rsidRPr="00EC0229">
        <w:rPr>
          <w:szCs w:val="24"/>
        </w:rPr>
      </w:r>
      <w:r w:rsidR="00E91B37" w:rsidRPr="00EC0229">
        <w:rPr>
          <w:szCs w:val="24"/>
        </w:rPr>
        <w:fldChar w:fldCharType="separate"/>
      </w:r>
      <w:r w:rsidR="0012026B">
        <w:rPr>
          <w:noProof/>
          <w:szCs w:val="24"/>
        </w:rPr>
        <w:t>241</w:t>
      </w:r>
      <w:r w:rsidR="00E91B37" w:rsidRPr="00EC0229">
        <w:rPr>
          <w:szCs w:val="24"/>
        </w:rPr>
        <w:fldChar w:fldCharType="end"/>
      </w:r>
      <w:r w:rsidR="005E5569" w:rsidRPr="00EC0229">
        <w:rPr>
          <w:szCs w:val="24"/>
        </w:rPr>
        <w:t>)</w:t>
      </w:r>
      <w:r w:rsidRPr="00EC0229">
        <w:rPr>
          <w:szCs w:val="24"/>
        </w:rPr>
        <w:t>. The latter distorts the object fingerprint, of fifty-five artefact types, such that pins and strap ends are far more common than normal, whereas brooches, buckles, mounts and sleeve clasps are far fewer. Conceivably dress fashions or availability varied locally.</w:t>
      </w:r>
      <w:r w:rsidR="00B9673D" w:rsidRPr="00EC0229">
        <w:rPr>
          <w:i/>
          <w:szCs w:val="24"/>
        </w:rPr>
        <w:t xml:space="preserve"> Table</w:t>
      </w:r>
      <w:r w:rsidR="00B9673D" w:rsidRPr="00EC0229">
        <w:rPr>
          <w:i/>
          <w:szCs w:val="24"/>
        </w:rPr>
        <w:fldChar w:fldCharType="begin"/>
      </w:r>
      <w:r w:rsidR="00B9673D" w:rsidRPr="00EC0229">
        <w:instrText xml:space="preserve"> XE "</w:instrText>
      </w:r>
      <w:r w:rsidR="00B9673D" w:rsidRPr="00EC0229">
        <w:rPr>
          <w:noProof/>
        </w:rPr>
        <w:instrText>Table</w:instrText>
      </w:r>
      <w:r w:rsidR="00B9673D" w:rsidRPr="00EC0229">
        <w:instrText xml:space="preserve">" </w:instrText>
      </w:r>
      <w:r w:rsidR="00B9673D" w:rsidRPr="00EC0229">
        <w:rPr>
          <w:i/>
          <w:szCs w:val="24"/>
        </w:rPr>
        <w:fldChar w:fldCharType="end"/>
      </w:r>
      <w:r w:rsidR="00B80BF9" w:rsidRPr="00EC0229">
        <w:rPr>
          <w:i/>
          <w:szCs w:val="24"/>
        </w:rPr>
        <w:t xml:space="preserve"> </w:t>
      </w:r>
      <w:r w:rsidR="00635D9A" w:rsidRPr="00EC0229">
        <w:rPr>
          <w:i/>
          <w:szCs w:val="24"/>
        </w:rPr>
        <w:t>8.</w:t>
      </w:r>
      <w:r w:rsidR="00A06BD2" w:rsidRPr="00EC0229">
        <w:rPr>
          <w:i/>
          <w:szCs w:val="24"/>
        </w:rPr>
        <w:t>2</w:t>
      </w:r>
      <w:r w:rsidR="00A76448" w:rsidRPr="00EC0229">
        <w:rPr>
          <w:i/>
          <w:szCs w:val="24"/>
        </w:rPr>
        <w:t>0</w:t>
      </w:r>
      <w:r w:rsidR="00B9673D" w:rsidRPr="00EC0229">
        <w:rPr>
          <w:szCs w:val="24"/>
        </w:rPr>
        <w:t xml:space="preserve"> shows that the central Wolds</w:t>
      </w:r>
      <w:r w:rsidR="00B9673D" w:rsidRPr="00EC0229">
        <w:rPr>
          <w:szCs w:val="24"/>
        </w:rPr>
        <w:fldChar w:fldCharType="begin"/>
      </w:r>
      <w:r w:rsidR="00B9673D" w:rsidRPr="00EC0229">
        <w:instrText xml:space="preserve"> XE "</w:instrText>
      </w:r>
      <w:r w:rsidR="00B9673D" w:rsidRPr="00EC0229">
        <w:rPr>
          <w:rStyle w:val="Hyperlink"/>
          <w:rFonts w:cs="Times New Roman"/>
          <w:noProof/>
          <w:u w:val="none"/>
        </w:rPr>
        <w:instrText>Wolds</w:instrText>
      </w:r>
      <w:r w:rsidR="00B9673D" w:rsidRPr="00EC0229">
        <w:instrText xml:space="preserve">" </w:instrText>
      </w:r>
      <w:r w:rsidR="00B9673D" w:rsidRPr="00EC0229">
        <w:rPr>
          <w:szCs w:val="24"/>
        </w:rPr>
        <w:fldChar w:fldCharType="end"/>
      </w:r>
      <w:r w:rsidR="00B9673D" w:rsidRPr="00EC0229">
        <w:rPr>
          <w:szCs w:val="24"/>
        </w:rPr>
        <w:t xml:space="preserve"> favour pins and strap ends but not quite as much as the west and there are fewer brooches and buckles.</w:t>
      </w:r>
    </w:p>
    <w:p w14:paraId="1E9FB4D9" w14:textId="77777777" w:rsidR="00854613" w:rsidRPr="00EC0229" w:rsidRDefault="00854613" w:rsidP="007600EA">
      <w:pPr>
        <w:pStyle w:val="NoSpacing"/>
        <w:spacing w:line="360" w:lineRule="auto"/>
        <w:rPr>
          <w:szCs w:val="24"/>
        </w:rPr>
      </w:pPr>
    </w:p>
    <w:p w14:paraId="6FE9BE53" w14:textId="16253F2C" w:rsidR="00854613" w:rsidRPr="00EC0229" w:rsidRDefault="00854613" w:rsidP="007600EA">
      <w:pPr>
        <w:pStyle w:val="NoSpacing"/>
        <w:spacing w:line="360" w:lineRule="auto"/>
        <w:rPr>
          <w:szCs w:val="24"/>
        </w:rPr>
      </w:pPr>
      <w:r w:rsidRPr="00EC0229">
        <w:rPr>
          <w:szCs w:val="24"/>
        </w:rPr>
        <w:t>Weights are somewhat more common than the norm at Cottam</w:t>
      </w:r>
      <w:r w:rsidR="006B1593" w:rsidRPr="00EC0229">
        <w:rPr>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Cottam</w:instrText>
      </w:r>
      <w:r w:rsidR="006B1593" w:rsidRPr="00EC0229">
        <w:instrText xml:space="preserve">" </w:instrText>
      </w:r>
      <w:r w:rsidR="006B1593" w:rsidRPr="00EC0229">
        <w:rPr>
          <w:szCs w:val="24"/>
        </w:rPr>
        <w:fldChar w:fldCharType="end"/>
      </w:r>
      <w:r w:rsidRPr="00EC0229">
        <w:rPr>
          <w:szCs w:val="24"/>
        </w:rPr>
        <w:t>, which may be indicative of a trading focus or detecting bias, but there is a near absence of domestic and industrial materials in the central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Reports of finds of four styli ‘within ten miles of Driffield</w:t>
      </w:r>
      <w:r w:rsidR="006B1593" w:rsidRPr="00EC0229">
        <w:rPr>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Driffield</w:instrText>
      </w:r>
      <w:r w:rsidR="006B1593" w:rsidRPr="00EC0229">
        <w:instrText xml:space="preserve">" </w:instrText>
      </w:r>
      <w:r w:rsidR="006B1593" w:rsidRPr="00EC0229">
        <w:rPr>
          <w:szCs w:val="24"/>
        </w:rPr>
        <w:fldChar w:fldCharType="end"/>
      </w:r>
      <w:r w:rsidRPr="00EC0229">
        <w:rPr>
          <w:szCs w:val="24"/>
        </w:rPr>
        <w:t>’ (</w:t>
      </w:r>
      <w:bookmarkStart w:id="762" w:name="Elmswell"/>
      <w:r w:rsidRPr="00EC0229">
        <w:rPr>
          <w:szCs w:val="24"/>
        </w:rPr>
        <w:t>Elmswell</w:t>
      </w:r>
      <w:bookmarkEnd w:id="762"/>
      <w:r w:rsidRPr="00EC0229">
        <w:rPr>
          <w:szCs w:val="24"/>
        </w:rPr>
        <w:t>?</w:t>
      </w:r>
      <w:r w:rsidR="005E5569" w:rsidRPr="00EC0229">
        <w:rPr>
          <w:szCs w:val="24"/>
        </w:rPr>
        <w:t xml:space="preserve"> (</w:t>
      </w:r>
      <w:r w:rsidR="00E91B37" w:rsidRPr="00EC0229">
        <w:rPr>
          <w:szCs w:val="24"/>
        </w:rPr>
        <w:fldChar w:fldCharType="begin"/>
      </w:r>
      <w:r w:rsidR="00E91B37" w:rsidRPr="00EC0229">
        <w:rPr>
          <w:szCs w:val="24"/>
        </w:rPr>
        <w:instrText xml:space="preserve"> PAGEREF Elmswell \h </w:instrText>
      </w:r>
      <w:r w:rsidR="00E91B37" w:rsidRPr="00EC0229">
        <w:rPr>
          <w:szCs w:val="24"/>
        </w:rPr>
      </w:r>
      <w:r w:rsidR="00E91B37" w:rsidRPr="00EC0229">
        <w:rPr>
          <w:szCs w:val="24"/>
        </w:rPr>
        <w:fldChar w:fldCharType="separate"/>
      </w:r>
      <w:r w:rsidR="0012026B">
        <w:rPr>
          <w:noProof/>
          <w:szCs w:val="24"/>
        </w:rPr>
        <w:t>252</w:t>
      </w:r>
      <w:r w:rsidR="00E91B37" w:rsidRPr="00EC0229">
        <w:rPr>
          <w:szCs w:val="24"/>
        </w:rPr>
        <w:fldChar w:fldCharType="end"/>
      </w:r>
      <w:r w:rsidR="005E5569" w:rsidRPr="00EC0229">
        <w:rPr>
          <w:szCs w:val="24"/>
        </w:rPr>
        <w:t>)</w:t>
      </w:r>
      <w:r w:rsidRPr="00EC0229">
        <w:rPr>
          <w:szCs w:val="24"/>
        </w:rPr>
        <w:t xml:space="preserve"> are shown on </w:t>
      </w:r>
      <w:r w:rsidRPr="00EC0229">
        <w:rPr>
          <w:i/>
          <w:szCs w:val="24"/>
        </w:rPr>
        <w:t>Map</w:t>
      </w:r>
      <w:r w:rsidR="00584C42" w:rsidRPr="00EC0229">
        <w:rPr>
          <w:i/>
          <w:szCs w:val="24"/>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szCs w:val="24"/>
        </w:rPr>
        <w:fldChar w:fldCharType="end"/>
      </w:r>
      <w:r w:rsidRPr="00EC0229">
        <w:rPr>
          <w:i/>
          <w:szCs w:val="24"/>
        </w:rPr>
        <w:t xml:space="preserve"> </w:t>
      </w:r>
      <w:r w:rsidR="004048E5" w:rsidRPr="00EC0229">
        <w:rPr>
          <w:i/>
          <w:szCs w:val="24"/>
        </w:rPr>
        <w:t>8.14</w:t>
      </w:r>
      <w:r w:rsidRPr="00EC0229">
        <w:rPr>
          <w:i/>
          <w:szCs w:val="24"/>
        </w:rPr>
        <w:t>.</w:t>
      </w:r>
    </w:p>
    <w:p w14:paraId="753759A7" w14:textId="6A75DEBB" w:rsidR="00854613" w:rsidRPr="00EC0229" w:rsidRDefault="00854613" w:rsidP="007600EA">
      <w:pPr>
        <w:pStyle w:val="NoSpacing"/>
        <w:spacing w:line="360" w:lineRule="auto"/>
        <w:rPr>
          <w:szCs w:val="24"/>
        </w:rPr>
      </w:pPr>
    </w:p>
    <w:p w14:paraId="46EEA1CC" w14:textId="6C91BAAA" w:rsidR="00B9673D" w:rsidRPr="00EC0229" w:rsidRDefault="00B9673D" w:rsidP="007600EA">
      <w:pPr>
        <w:pStyle w:val="NoSpacing"/>
        <w:spacing w:line="360" w:lineRule="auto"/>
        <w:rPr>
          <w:szCs w:val="24"/>
        </w:rPr>
      </w:pPr>
      <w:r w:rsidRPr="00EC0229">
        <w:rPr>
          <w:szCs w:val="24"/>
        </w:rPr>
        <w:t xml:space="preserve">Despite the above caveats, the analysis is more significant than </w:t>
      </w:r>
      <w:r w:rsidR="00B80BF9" w:rsidRPr="00EC0229">
        <w:rPr>
          <w:szCs w:val="24"/>
        </w:rPr>
        <w:t xml:space="preserve">revealing </w:t>
      </w:r>
      <w:r w:rsidRPr="00EC0229">
        <w:rPr>
          <w:szCs w:val="24"/>
        </w:rPr>
        <w:t xml:space="preserve">varying fashions in dress accessories. </w:t>
      </w:r>
      <w:r w:rsidR="00B80BF9" w:rsidRPr="00EC0229">
        <w:rPr>
          <w:szCs w:val="24"/>
        </w:rPr>
        <w:t xml:space="preserve">At 75%, </w:t>
      </w:r>
      <w:r w:rsidR="00B80BF9" w:rsidRPr="00EC0229">
        <w:rPr>
          <w:i/>
          <w:szCs w:val="24"/>
        </w:rPr>
        <w:t xml:space="preserve">Table </w:t>
      </w:r>
      <w:r w:rsidR="001641C3" w:rsidRPr="00EC0229">
        <w:rPr>
          <w:i/>
          <w:szCs w:val="24"/>
        </w:rPr>
        <w:t>6</w:t>
      </w:r>
      <w:r w:rsidR="00635D9A" w:rsidRPr="00EC0229">
        <w:rPr>
          <w:i/>
          <w:szCs w:val="24"/>
        </w:rPr>
        <w:t>.03</w:t>
      </w:r>
      <w:r w:rsidR="00B80BF9" w:rsidRPr="00EC0229">
        <w:rPr>
          <w:szCs w:val="24"/>
        </w:rPr>
        <w:t xml:space="preserve">, the </w:t>
      </w:r>
      <w:r w:rsidR="00B80BF9" w:rsidRPr="00EC0229">
        <w:rPr>
          <w:i/>
          <w:szCs w:val="24"/>
        </w:rPr>
        <w:t>CoM</w:t>
      </w:r>
      <w:r w:rsidR="00B80BF9" w:rsidRPr="00EC0229">
        <w:rPr>
          <w:szCs w:val="24"/>
        </w:rPr>
        <w:t xml:space="preserve"> for the central Wolds shows a convincing level </w:t>
      </w:r>
      <w:r w:rsidR="00B80BF9" w:rsidRPr="00EC0229">
        <w:rPr>
          <w:szCs w:val="24"/>
        </w:rPr>
        <w:lastRenderedPageBreak/>
        <w:t xml:space="preserve">of </w:t>
      </w:r>
      <w:r w:rsidR="003F2041" w:rsidRPr="00EC0229">
        <w:rPr>
          <w:szCs w:val="24"/>
        </w:rPr>
        <w:t>monetiz</w:t>
      </w:r>
      <w:r w:rsidR="00B80BF9" w:rsidRPr="00EC0229">
        <w:rPr>
          <w:szCs w:val="24"/>
        </w:rPr>
        <w:t xml:space="preserve">ation. Moreover, Sledmere is shown to be a major centre of economic activity, </w:t>
      </w:r>
      <w:r w:rsidR="00D34E39" w:rsidRPr="00EC0229">
        <w:rPr>
          <w:szCs w:val="24"/>
        </w:rPr>
        <w:t>Garton-in-the-</w:t>
      </w:r>
      <w:r w:rsidR="00B80BF9" w:rsidRPr="00EC0229">
        <w:rPr>
          <w:szCs w:val="24"/>
        </w:rPr>
        <w:t>Wolds and Driffield yield numismatically rich material</w:t>
      </w:r>
      <w:r w:rsidR="00D34E39" w:rsidRPr="00EC0229">
        <w:rPr>
          <w:szCs w:val="24"/>
        </w:rPr>
        <w:t xml:space="preserve"> showing their r</w:t>
      </w:r>
      <w:r w:rsidR="00D34E39" w:rsidRPr="00EC0229">
        <w:rPr>
          <w:rFonts w:cs="Times New Roman"/>
          <w:szCs w:val="24"/>
        </w:rPr>
        <w:t>ô</w:t>
      </w:r>
      <w:r w:rsidR="00D34E39" w:rsidRPr="00EC0229">
        <w:rPr>
          <w:szCs w:val="24"/>
        </w:rPr>
        <w:t xml:space="preserve">les to be socio-political </w:t>
      </w:r>
      <w:r w:rsidR="00BB530B" w:rsidRPr="00EC0229">
        <w:rPr>
          <w:szCs w:val="24"/>
        </w:rPr>
        <w:t xml:space="preserve">more than economic, whereas Cottam demonstrates that coinage was used routinely in the ninth century. Were the diligence shown at the last location applied elsewhere, there would be little doubt that </w:t>
      </w:r>
      <w:r w:rsidR="003F2041" w:rsidRPr="00EC0229">
        <w:rPr>
          <w:szCs w:val="24"/>
        </w:rPr>
        <w:t>monetiz</w:t>
      </w:r>
      <w:r w:rsidR="00BB530B" w:rsidRPr="00EC0229">
        <w:rPr>
          <w:szCs w:val="24"/>
        </w:rPr>
        <w:t>ation would be proved to be ubiquitous in the Wolds in the ninth century.</w:t>
      </w:r>
    </w:p>
    <w:p w14:paraId="56918596" w14:textId="77777777" w:rsidR="00854613" w:rsidRPr="00EC0229" w:rsidRDefault="00854613" w:rsidP="007600EA">
      <w:pPr>
        <w:pStyle w:val="NoSpacing"/>
        <w:spacing w:line="360" w:lineRule="auto"/>
        <w:rPr>
          <w:b/>
        </w:rPr>
      </w:pPr>
    </w:p>
    <w:p w14:paraId="27BEBF8F" w14:textId="2ED0F40D" w:rsidR="00854613" w:rsidRPr="00EC0229" w:rsidRDefault="002979EC" w:rsidP="007600EA">
      <w:pPr>
        <w:pStyle w:val="Heading3"/>
        <w:spacing w:line="360" w:lineRule="auto"/>
      </w:pPr>
      <w:bookmarkStart w:id="763" w:name="Woldseast"/>
      <w:bookmarkStart w:id="764" w:name="_Toc468266901"/>
      <w:bookmarkEnd w:id="763"/>
      <w:r>
        <w:t>8.2.3.3</w:t>
      </w:r>
      <w:r w:rsidR="00C97BF2">
        <w:tab/>
      </w:r>
      <w:r w:rsidR="00854613" w:rsidRPr="00EC0229">
        <w:t>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00854613" w:rsidRPr="00EC0229">
        <w:t xml:space="preserve"> east</w:t>
      </w:r>
      <w:r w:rsidR="00BD6F07">
        <w:t xml:space="preserve"> – Site Studies</w:t>
      </w:r>
      <w:bookmarkEnd w:id="764"/>
      <w:r w:rsidR="006B1593" w:rsidRPr="00EC0229">
        <w:fldChar w:fldCharType="begin"/>
      </w:r>
      <w:r w:rsidR="006B1593" w:rsidRPr="00EC0229">
        <w:instrText xml:space="preserve"> XE "</w:instrText>
      </w:r>
      <w:r w:rsidR="006B1593" w:rsidRPr="00EC0229">
        <w:rPr>
          <w:rStyle w:val="Hyperlink"/>
          <w:noProof/>
          <w:u w:val="none"/>
        </w:rPr>
        <w:instrText>Wolds east</w:instrText>
      </w:r>
      <w:r w:rsidR="006B1593" w:rsidRPr="00EC0229">
        <w:instrText xml:space="preserve">" </w:instrText>
      </w:r>
      <w:r w:rsidR="006B1593" w:rsidRPr="00EC0229">
        <w:fldChar w:fldCharType="end"/>
      </w:r>
    </w:p>
    <w:p w14:paraId="00329435" w14:textId="72C2068F" w:rsidR="00F21B7D" w:rsidRPr="007A3166" w:rsidRDefault="00F21B7D" w:rsidP="00C97BF2">
      <w:pPr>
        <w:pStyle w:val="Heading4"/>
        <w:spacing w:line="360" w:lineRule="auto"/>
        <w:rPr>
          <w:b/>
        </w:rPr>
      </w:pPr>
      <w:bookmarkStart w:id="765" w:name="_Toc468266902"/>
      <w:bookmarkStart w:id="766" w:name="Kilham"/>
      <w:bookmarkStart w:id="767" w:name="Thwing"/>
      <w:r w:rsidRPr="007A3166">
        <w:rPr>
          <w:b/>
        </w:rPr>
        <w:t>Kilham</w:t>
      </w:r>
      <w:bookmarkEnd w:id="765"/>
      <w:r w:rsidRPr="007A3166">
        <w:rPr>
          <w:b/>
        </w:rPr>
        <w:fldChar w:fldCharType="begin"/>
      </w:r>
      <w:r w:rsidRPr="007A3166">
        <w:rPr>
          <w:b/>
        </w:rPr>
        <w:instrText xml:space="preserve"> XE "</w:instrText>
      </w:r>
      <w:r w:rsidRPr="007A3166">
        <w:rPr>
          <w:rStyle w:val="Hyperlink"/>
          <w:b/>
          <w:noProof/>
          <w:u w:val="none"/>
        </w:rPr>
        <w:instrText>Kilham</w:instrText>
      </w:r>
      <w:r w:rsidRPr="007A3166">
        <w:rPr>
          <w:b/>
        </w:rPr>
        <w:instrText xml:space="preserve">" </w:instrText>
      </w:r>
      <w:r w:rsidRPr="007A3166">
        <w:rPr>
          <w:b/>
        </w:rPr>
        <w:fldChar w:fldCharType="end"/>
      </w:r>
    </w:p>
    <w:bookmarkEnd w:id="766"/>
    <w:p w14:paraId="2F6C6C2D" w14:textId="77777777" w:rsidR="00F21B7D" w:rsidRPr="00EC0229" w:rsidRDefault="00F21B7D" w:rsidP="007600EA">
      <w:pPr>
        <w:pStyle w:val="NoSpacing"/>
        <w:spacing w:line="360" w:lineRule="auto"/>
        <w:rPr>
          <w:szCs w:val="24"/>
        </w:rPr>
      </w:pPr>
      <w:r w:rsidRPr="00EC0229">
        <w:rPr>
          <w:szCs w:val="24"/>
        </w:rPr>
        <w:t>Kilham</w:t>
      </w:r>
      <w:r w:rsidRPr="00EC0229">
        <w:rPr>
          <w:szCs w:val="24"/>
        </w:rPr>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rPr>
          <w:szCs w:val="24"/>
        </w:rPr>
        <w:fldChar w:fldCharType="end"/>
      </w:r>
      <w:r w:rsidRPr="00EC0229">
        <w:rPr>
          <w:szCs w:val="24"/>
        </w:rPr>
        <w:t xml:space="preserve"> lies on the Roman</w:t>
      </w:r>
      <w:r w:rsidRPr="00EC0229">
        <w:rPr>
          <w:szCs w:val="24"/>
        </w:rPr>
        <w:fldChar w:fldCharType="begin"/>
      </w:r>
      <w:r w:rsidRPr="00EC0229">
        <w:instrText xml:space="preserve"> XE "Roman" </w:instrText>
      </w:r>
      <w:r w:rsidRPr="00EC0229">
        <w:rPr>
          <w:szCs w:val="24"/>
        </w:rPr>
        <w:fldChar w:fldCharType="end"/>
      </w:r>
      <w:r w:rsidRPr="00EC0229">
        <w:rPr>
          <w:szCs w:val="24"/>
        </w:rPr>
        <w:t xml:space="preserve"> Road from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to Bridlington in the Yorkshire Wolds</w:t>
      </w:r>
      <w:r w:rsidRPr="00EC0229">
        <w:rPr>
          <w:szCs w:val="24"/>
        </w:rPr>
        <w:fldChar w:fldCharType="begin"/>
      </w:r>
      <w:r w:rsidRPr="00EC0229">
        <w:instrText xml:space="preserve"> XE "</w:instrText>
      </w:r>
      <w:r w:rsidRPr="00EC0229">
        <w:rPr>
          <w:rStyle w:val="Hyperlink"/>
          <w:rFonts w:cs="Times New Roman"/>
          <w:noProof/>
          <w:u w:val="none"/>
        </w:rPr>
        <w:instrText>Yorkshire Wolds</w:instrText>
      </w:r>
      <w:r w:rsidRPr="00EC0229">
        <w:instrText xml:space="preserve">" </w:instrText>
      </w:r>
      <w:r w:rsidRPr="00EC0229">
        <w:rPr>
          <w:szCs w:val="24"/>
        </w:rPr>
        <w:fldChar w:fldCharType="end"/>
      </w:r>
      <w:r w:rsidRPr="00EC0229">
        <w:rPr>
          <w:szCs w:val="24"/>
        </w:rPr>
        <w:t>, at the confluence of Old Gypsey and Beck Head, six miles north-east of Driffield</w:t>
      </w:r>
      <w:r w:rsidRPr="00EC0229">
        <w:rPr>
          <w:szCs w:val="24"/>
        </w:rPr>
        <w:fldChar w:fldCharType="begin"/>
      </w:r>
      <w:r w:rsidRPr="00EC0229">
        <w:instrText xml:space="preserve"> XE "</w:instrText>
      </w:r>
      <w:r w:rsidRPr="00EC0229">
        <w:rPr>
          <w:rStyle w:val="Hyperlink"/>
          <w:rFonts w:eastAsia="Times New Roman"/>
          <w:noProof/>
          <w:u w:val="none"/>
          <w:lang w:eastAsia="en-GB"/>
        </w:rPr>
        <w:instrText>Driffield</w:instrText>
      </w:r>
      <w:r w:rsidRPr="00EC0229">
        <w:instrText xml:space="preserve">" </w:instrText>
      </w:r>
      <w:r w:rsidRPr="00EC0229">
        <w:rPr>
          <w:szCs w:val="24"/>
        </w:rPr>
        <w:fldChar w:fldCharType="end"/>
      </w:r>
      <w:r w:rsidRPr="00EC0229">
        <w:rPr>
          <w:szCs w:val="24"/>
        </w:rPr>
        <w:t>. An inhumation cemetery possibly dates from the fifth century and was first excavated in 1814, then in 1853. Metal detection finds of sceats and stycas surfaced in the 1990s. Trenching undertaken by YAT in September 2000 at Lowthorpe Beck, revealed settlement</w:t>
      </w:r>
      <w:r w:rsidRPr="00EC0229">
        <w:rPr>
          <w:szCs w:val="24"/>
        </w:rPr>
        <w:fldChar w:fldCharType="begin"/>
      </w:r>
      <w:r w:rsidRPr="00EC0229">
        <w:instrText xml:space="preserve"> XE "settlement" </w:instrText>
      </w:r>
      <w:r w:rsidRPr="00EC0229">
        <w:rPr>
          <w:szCs w:val="24"/>
        </w:rPr>
        <w:fldChar w:fldCharType="end"/>
      </w:r>
      <w:r w:rsidRPr="00EC0229">
        <w:rPr>
          <w:szCs w:val="24"/>
        </w:rPr>
        <w:t xml:space="preserve"> topography on gravelly chalk with a likely water source. A large animal bone assemblage seemed to have been deposited over a long period, but there are few artefactual finds (two Constantinian </w:t>
      </w:r>
      <w:r w:rsidRPr="00EC0229">
        <w:rPr>
          <w:i/>
          <w:szCs w:val="24"/>
        </w:rPr>
        <w:t>nummi</w:t>
      </w:r>
      <w:r w:rsidRPr="00EC0229">
        <w:rPr>
          <w:szCs w:val="24"/>
        </w:rPr>
        <w:t>).</w:t>
      </w:r>
    </w:p>
    <w:p w14:paraId="6D7ED9A8" w14:textId="77777777" w:rsidR="00F21B7D" w:rsidRPr="00EC0229" w:rsidRDefault="00F21B7D" w:rsidP="007600EA">
      <w:pPr>
        <w:pStyle w:val="NoSpacing"/>
        <w:spacing w:line="360" w:lineRule="auto"/>
      </w:pPr>
    </w:p>
    <w:p w14:paraId="3670EC0E" w14:textId="77777777" w:rsidR="00F21B7D" w:rsidRPr="00EC0229" w:rsidRDefault="00F21B7D" w:rsidP="007600EA">
      <w:pPr>
        <w:pStyle w:val="NoSpacing"/>
        <w:spacing w:line="360" w:lineRule="auto"/>
        <w:rPr>
          <w:szCs w:val="24"/>
        </w:rPr>
      </w:pPr>
      <w:r w:rsidRPr="00EC0229">
        <w:rPr>
          <w:szCs w:val="24"/>
        </w:rPr>
        <w:t>However, the range and duration of the metal-detected coin finds indicate that this was a settlement</w:t>
      </w:r>
      <w:r w:rsidRPr="00EC0229">
        <w:rPr>
          <w:szCs w:val="24"/>
        </w:rPr>
        <w:fldChar w:fldCharType="begin"/>
      </w:r>
      <w:r w:rsidRPr="00EC0229">
        <w:instrText xml:space="preserve"> XE "settlement" </w:instrText>
      </w:r>
      <w:r w:rsidRPr="00EC0229">
        <w:rPr>
          <w:szCs w:val="24"/>
        </w:rPr>
        <w:fldChar w:fldCharType="end"/>
      </w:r>
      <w:r w:rsidRPr="00EC0229">
        <w:rPr>
          <w:szCs w:val="24"/>
        </w:rPr>
        <w:t xml:space="preserve"> of some importance. The data has been gathered from three sources – PAS</w:t>
      </w:r>
      <w:r w:rsidRPr="00EC0229">
        <w:rPr>
          <w:szCs w:val="24"/>
        </w:rPr>
        <w:fldChar w:fldCharType="begin"/>
      </w:r>
      <w:r w:rsidRPr="00EC0229">
        <w:instrText xml:space="preserve"> XE "PAS" </w:instrText>
      </w:r>
      <w:r w:rsidRPr="00EC0229">
        <w:rPr>
          <w:szCs w:val="24"/>
        </w:rPr>
        <w:fldChar w:fldCharType="end"/>
      </w:r>
      <w:r w:rsidRPr="00EC0229">
        <w:rPr>
          <w:szCs w:val="24"/>
        </w:rPr>
        <w:t xml:space="preserve"> entries by FLOs, EMC</w:t>
      </w:r>
      <w:r w:rsidRPr="00EC0229">
        <w:rPr>
          <w:szCs w:val="24"/>
        </w:rPr>
        <w:fldChar w:fldCharType="begin"/>
      </w:r>
      <w:r w:rsidRPr="00EC0229">
        <w:instrText xml:space="preserve"> XE "EMC" </w:instrText>
      </w:r>
      <w:r w:rsidRPr="00EC0229">
        <w:rPr>
          <w:szCs w:val="24"/>
        </w:rPr>
        <w:fldChar w:fldCharType="end"/>
      </w:r>
      <w:r w:rsidRPr="00EC0229">
        <w:rPr>
          <w:szCs w:val="24"/>
        </w:rPr>
        <w:t xml:space="preserve"> and informal input from a productive detectorist.</w:t>
      </w:r>
      <w:r w:rsidRPr="00EC0229">
        <w:rPr>
          <w:rStyle w:val="FootnoteReference"/>
          <w:szCs w:val="24"/>
        </w:rPr>
        <w:footnoteReference w:id="1097"/>
      </w:r>
      <w:r w:rsidRPr="00EC0229">
        <w:rPr>
          <w:szCs w:val="24"/>
        </w:rPr>
        <w:t xml:space="preserve"> </w:t>
      </w:r>
    </w:p>
    <w:p w14:paraId="251CAFD3" w14:textId="77777777" w:rsidR="00F21B7D" w:rsidRPr="00EC0229" w:rsidRDefault="00F21B7D" w:rsidP="007600EA">
      <w:pPr>
        <w:pStyle w:val="NoSpacing"/>
        <w:spacing w:line="360" w:lineRule="auto"/>
        <w:jc w:val="center"/>
        <w:rPr>
          <w:szCs w:val="24"/>
        </w:rPr>
      </w:pPr>
      <w:r w:rsidRPr="00EC0229">
        <w:rPr>
          <w:noProof/>
          <w:szCs w:val="24"/>
          <w:lang w:eastAsia="en-GB"/>
        </w:rPr>
        <w:drawing>
          <wp:inline distT="0" distB="0" distL="0" distR="0" wp14:anchorId="3E4BC0D9" wp14:editId="7B320D82">
            <wp:extent cx="889000" cy="889000"/>
            <wp:effectExtent l="0" t="0" r="6350" b="635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ldfrith 69-20 Y065.JPG"/>
                    <pic:cNvPicPr/>
                  </pic:nvPicPr>
                  <pic:blipFill>
                    <a:blip r:embed="rId439">
                      <a:extLst>
                        <a:ext uri="{28A0092B-C50C-407E-A947-70E740481C1C}">
                          <a14:useLocalDpi xmlns:a14="http://schemas.microsoft.com/office/drawing/2010/main" val="0"/>
                        </a:ext>
                      </a:extLst>
                    </a:blip>
                    <a:stretch>
                      <a:fillRect/>
                    </a:stretch>
                  </pic:blipFill>
                  <pic:spPr>
                    <a:xfrm>
                      <a:off x="0" y="0"/>
                      <a:ext cx="889000" cy="889000"/>
                    </a:xfrm>
                    <a:prstGeom prst="rect">
                      <a:avLst/>
                    </a:prstGeom>
                  </pic:spPr>
                </pic:pic>
              </a:graphicData>
            </a:graphic>
          </wp:inline>
        </w:drawing>
      </w:r>
      <w:r w:rsidRPr="00EC0229">
        <w:rPr>
          <w:noProof/>
          <w:szCs w:val="24"/>
          <w:lang w:eastAsia="en-GB"/>
        </w:rPr>
        <w:drawing>
          <wp:inline distT="0" distB="0" distL="0" distR="0" wp14:anchorId="4A3D3BC6" wp14:editId="2A2AE509">
            <wp:extent cx="883920" cy="901599"/>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ldfrith 69-20 Y065R.JPG"/>
                    <pic:cNvPicPr/>
                  </pic:nvPicPr>
                  <pic:blipFill>
                    <a:blip r:embed="rId440">
                      <a:extLst>
                        <a:ext uri="{28A0092B-C50C-407E-A947-70E740481C1C}">
                          <a14:useLocalDpi xmlns:a14="http://schemas.microsoft.com/office/drawing/2010/main" val="0"/>
                        </a:ext>
                      </a:extLst>
                    </a:blip>
                    <a:stretch>
                      <a:fillRect/>
                    </a:stretch>
                  </pic:blipFill>
                  <pic:spPr>
                    <a:xfrm>
                      <a:off x="0" y="0"/>
                      <a:ext cx="898948" cy="916927"/>
                    </a:xfrm>
                    <a:prstGeom prst="rect">
                      <a:avLst/>
                    </a:prstGeom>
                  </pic:spPr>
                </pic:pic>
              </a:graphicData>
            </a:graphic>
          </wp:inline>
        </w:drawing>
      </w:r>
    </w:p>
    <w:p w14:paraId="58920A37" w14:textId="4F53ADEA" w:rsidR="00F21B7D" w:rsidRPr="00EC0229" w:rsidRDefault="00F21B7D" w:rsidP="007600EA">
      <w:pPr>
        <w:pStyle w:val="NoSpacing"/>
        <w:spacing w:line="360" w:lineRule="auto"/>
        <w:jc w:val="center"/>
        <w:rPr>
          <w:i/>
          <w:sz w:val="20"/>
          <w:szCs w:val="20"/>
        </w:rPr>
      </w:pPr>
      <w:bookmarkStart w:id="768" w:name="_Ref430249158"/>
      <w:bookmarkStart w:id="769" w:name="_Toc468267108"/>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136</w:t>
      </w:r>
      <w:r w:rsidRPr="00EC0229">
        <w:rPr>
          <w:sz w:val="20"/>
          <w:szCs w:val="20"/>
        </w:rPr>
        <w:fldChar w:fldCharType="end"/>
      </w:r>
      <w:bookmarkEnd w:id="768"/>
      <w:r w:rsidRPr="00EC0229">
        <w:rPr>
          <w:sz w:val="20"/>
          <w:szCs w:val="20"/>
        </w:rPr>
        <w:t>: Sceat of Aldfrith</w:t>
      </w:r>
      <w:r w:rsidRPr="00EC0229">
        <w:rPr>
          <w:sz w:val="20"/>
          <w:szCs w:val="20"/>
        </w:rPr>
        <w:fldChar w:fldCharType="begin"/>
      </w:r>
      <w:r w:rsidRPr="00EC0229">
        <w:rPr>
          <w:sz w:val="20"/>
          <w:szCs w:val="20"/>
        </w:rPr>
        <w:instrText xml:space="preserve"> XE "Aldfrith" </w:instrText>
      </w:r>
      <w:r w:rsidRPr="00EC0229">
        <w:rPr>
          <w:sz w:val="20"/>
          <w:szCs w:val="20"/>
        </w:rPr>
        <w:fldChar w:fldCharType="end"/>
      </w:r>
      <w:r w:rsidRPr="00EC0229">
        <w:rPr>
          <w:sz w:val="20"/>
          <w:szCs w:val="20"/>
        </w:rPr>
        <w:t>, found Kilham</w:t>
      </w:r>
      <w:bookmarkEnd w:id="769"/>
      <w:r w:rsidRPr="00EC0229">
        <w:rPr>
          <w:i/>
          <w:sz w:val="20"/>
          <w:szCs w:val="20"/>
        </w:rPr>
        <w:fldChar w:fldCharType="begin"/>
      </w:r>
      <w:r w:rsidRPr="00EC0229">
        <w:rPr>
          <w:i/>
          <w:sz w:val="20"/>
          <w:szCs w:val="20"/>
        </w:rPr>
        <w:instrText xml:space="preserve"> XE "Kilham" </w:instrText>
      </w:r>
      <w:r w:rsidRPr="00EC0229">
        <w:rPr>
          <w:i/>
          <w:sz w:val="20"/>
          <w:szCs w:val="20"/>
        </w:rPr>
        <w:fldChar w:fldCharType="end"/>
      </w:r>
    </w:p>
    <w:p w14:paraId="759ED4A4" w14:textId="77777777" w:rsidR="00F21B7D" w:rsidRPr="00EC0229" w:rsidRDefault="00F21B7D" w:rsidP="007600EA">
      <w:pPr>
        <w:pStyle w:val="NoSpacing"/>
        <w:spacing w:line="360" w:lineRule="auto"/>
      </w:pPr>
    </w:p>
    <w:p w14:paraId="695090A9" w14:textId="70609DD1" w:rsidR="00F21B7D" w:rsidRPr="00EC0229" w:rsidRDefault="00F21B7D" w:rsidP="007600EA">
      <w:pPr>
        <w:pStyle w:val="NoSpacing"/>
        <w:spacing w:line="360" w:lineRule="auto"/>
        <w:rPr>
          <w:szCs w:val="24"/>
        </w:rPr>
      </w:pPr>
      <w:r w:rsidRPr="00EC0229">
        <w:rPr>
          <w:szCs w:val="24"/>
        </w:rPr>
        <w:t>The earliest sceats the site has yielded are a sceat of Aldfrith</w:t>
      </w:r>
      <w:r w:rsidRPr="00EC0229">
        <w:rPr>
          <w:szCs w:val="24"/>
        </w:rPr>
        <w:fldChar w:fldCharType="begin"/>
      </w:r>
      <w:r w:rsidRPr="00EC0229">
        <w:instrText xml:space="preserve"> XE "Aldfrith" </w:instrText>
      </w:r>
      <w:r w:rsidRPr="00EC0229">
        <w:rPr>
          <w:szCs w:val="24"/>
        </w:rPr>
        <w:fldChar w:fldCharType="end"/>
      </w:r>
      <w:r w:rsidRPr="00EC0229">
        <w:rPr>
          <w:szCs w:val="24"/>
        </w:rPr>
        <w:t xml:space="preserve">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_Ref430249158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136</w:t>
      </w:r>
      <w:r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[4a], </w:t>
      </w:r>
      <w:r w:rsidRPr="00EC0229">
        <w:rPr>
          <w:szCs w:val="24"/>
        </w:rPr>
        <w:t>and two primary phase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E</w:t>
      </w:r>
      <w:r w:rsidRPr="00EC0229">
        <w:rPr>
          <w:szCs w:val="24"/>
        </w:rPr>
        <w:fldChar w:fldCharType="begin"/>
      </w:r>
      <w:r w:rsidRPr="00EC0229">
        <w:instrText xml:space="preserve"> XE "Series E" </w:instrText>
      </w:r>
      <w:r w:rsidRPr="00EC0229">
        <w:rPr>
          <w:szCs w:val="24"/>
        </w:rPr>
        <w:fldChar w:fldCharType="end"/>
      </w:r>
      <w:r w:rsidRPr="00EC0229">
        <w:rPr>
          <w:szCs w:val="24"/>
        </w:rPr>
        <w:t xml:space="preserve"> varieties, [4c], probably dating to the late seventh century. The fine condition of the last two plausibly implies direct trade with the Low Countries. There is also a specimen of the ubiquitous Series G [4c/5c]. </w:t>
      </w:r>
    </w:p>
    <w:p w14:paraId="52CA919D" w14:textId="77777777" w:rsidR="00F21B7D" w:rsidRPr="00EC0229" w:rsidRDefault="00F21B7D" w:rsidP="007600EA">
      <w:pPr>
        <w:pStyle w:val="NoSpacing"/>
        <w:spacing w:line="360" w:lineRule="auto"/>
      </w:pPr>
    </w:p>
    <w:p w14:paraId="4041154B" w14:textId="7DB17BBF" w:rsidR="00F21B7D" w:rsidRPr="00EC0229" w:rsidRDefault="00F21B7D" w:rsidP="007600EA">
      <w:pPr>
        <w:pStyle w:val="NoSpacing"/>
        <w:spacing w:line="360" w:lineRule="auto"/>
        <w:rPr>
          <w:szCs w:val="24"/>
        </w:rPr>
      </w:pPr>
      <w:r w:rsidRPr="00EC0229">
        <w:rPr>
          <w:szCs w:val="24"/>
        </w:rPr>
        <w:lastRenderedPageBreak/>
        <w:t>Of the secondary sceats, two Series</w:t>
      </w:r>
      <w:r w:rsidRPr="00EC0229">
        <w:rPr>
          <w:szCs w:val="24"/>
        </w:rPr>
        <w:fldChar w:fldCharType="begin"/>
      </w:r>
      <w:r w:rsidRPr="00EC0229">
        <w:instrText xml:space="preserve"> XE "Series" </w:instrText>
      </w:r>
      <w:r w:rsidRPr="00EC0229">
        <w:rPr>
          <w:szCs w:val="24"/>
        </w:rPr>
        <w:fldChar w:fldCharType="end"/>
      </w:r>
      <w:r w:rsidRPr="00EC0229">
        <w:rPr>
          <w:szCs w:val="24"/>
        </w:rPr>
        <w:t xml:space="preserve"> J varieties, [5a], are worn. The other </w:t>
      </w:r>
      <w:r w:rsidR="00572E51" w:rsidRPr="00EC0229">
        <w:rPr>
          <w:szCs w:val="24"/>
        </w:rPr>
        <w:t>Southumbria</w:t>
      </w:r>
      <w:r w:rsidRPr="00EC0229">
        <w:rPr>
          <w:szCs w:val="24"/>
        </w:rPr>
        <w:t xml:space="preserve">n sceats, [5b], show a pleasing diversity of types with representatives of Series K, N (two), O, U (two) and the accustomed solitary Q, implying broad trade with south-eastern, eastern and middle England. Continued healthy Continental export is indicated by the presence of four secondary sceats from the Low Countries and one each from Ribe and, tentatively, Quentovic, [5c]. A ‘saltire’ type, [5b], takes activity to the end of the </w:t>
      </w:r>
      <w:r w:rsidR="00572E51" w:rsidRPr="00EC0229">
        <w:rPr>
          <w:szCs w:val="24"/>
        </w:rPr>
        <w:t>Southumbria</w:t>
      </w:r>
      <w:r w:rsidRPr="00EC0229">
        <w:rPr>
          <w:szCs w:val="24"/>
        </w:rPr>
        <w:t>n sceatta</w:t>
      </w:r>
      <w:r w:rsidRPr="00EC0229">
        <w:rPr>
          <w:szCs w:val="24"/>
        </w:rPr>
        <w:fldChar w:fldCharType="begin"/>
      </w:r>
      <w:r w:rsidRPr="00EC0229">
        <w:instrText xml:space="preserve"> XE "sceatta" </w:instrText>
      </w:r>
      <w:r w:rsidRPr="00EC0229">
        <w:rPr>
          <w:szCs w:val="24"/>
        </w:rPr>
        <w:fldChar w:fldCharType="end"/>
      </w:r>
      <w:r w:rsidRPr="00EC0229">
        <w:rPr>
          <w:szCs w:val="24"/>
        </w:rPr>
        <w:t xml:space="preserve"> era and the presence of an exotic species, ‘fleeing biped’, confirms the legitimacy of this late, rare derivative variety.</w:t>
      </w:r>
      <w:r w:rsidRPr="00EC0229">
        <w:rPr>
          <w:rStyle w:val="FootnoteReference"/>
          <w:szCs w:val="24"/>
        </w:rPr>
        <w:footnoteReference w:id="1098"/>
      </w:r>
    </w:p>
    <w:p w14:paraId="1BDAAF3F" w14:textId="77777777" w:rsidR="00F21B7D" w:rsidRPr="00EC0229" w:rsidRDefault="00F21B7D" w:rsidP="007600EA">
      <w:pPr>
        <w:pStyle w:val="NoSpacing"/>
        <w:spacing w:line="360" w:lineRule="auto"/>
      </w:pPr>
    </w:p>
    <w:p w14:paraId="2F81C4ED" w14:textId="5C986EF9" w:rsidR="00F21B7D" w:rsidRPr="00EC0229" w:rsidRDefault="00F21B7D" w:rsidP="007600EA">
      <w:pPr>
        <w:pStyle w:val="NoSpacing"/>
        <w:spacing w:line="360" w:lineRule="auto"/>
        <w:rPr>
          <w:szCs w:val="24"/>
        </w:rPr>
      </w:pPr>
      <w:r w:rsidRPr="00EC0229">
        <w:rPr>
          <w:szCs w:val="24"/>
        </w:rPr>
        <w:t>Of the thirty-four sceats reported, thirteen are Northumbrian. The eight sceats of Eadberht, [N6],</w:t>
      </w:r>
      <w:r w:rsidRPr="00EC0229">
        <w:rPr>
          <w:szCs w:val="24"/>
        </w:rPr>
        <w:fldChar w:fldCharType="begin"/>
      </w:r>
      <w:r w:rsidRPr="00EC0229">
        <w:instrText xml:space="preserve"> XE "Eadberht" </w:instrText>
      </w:r>
      <w:r w:rsidRPr="00EC0229">
        <w:rPr>
          <w:szCs w:val="24"/>
        </w:rPr>
        <w:fldChar w:fldCharType="end"/>
      </w:r>
      <w:r w:rsidRPr="00EC0229">
        <w:rPr>
          <w:szCs w:val="24"/>
        </w:rPr>
        <w:t xml:space="preserve"> include one joint issue and both the early and late Booth Classes, but not the rarer Classes C, D or E. There are two more joint issues, [N7]: one Æthelred</w:t>
      </w:r>
      <w:r w:rsidRPr="00EC0229">
        <w:rPr>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szCs w:val="24"/>
        </w:rPr>
        <w:fldChar w:fldCharType="end"/>
      </w:r>
      <w:r w:rsidRPr="00EC0229">
        <w:rPr>
          <w:szCs w:val="24"/>
        </w:rPr>
        <w:t xml:space="preserve"> I with Eanbald</w:t>
      </w:r>
      <w:r w:rsidRPr="00EC0229">
        <w:rPr>
          <w:szCs w:val="24"/>
        </w:rPr>
        <w:fldChar w:fldCharType="begin"/>
      </w:r>
      <w:r w:rsidRPr="00EC0229">
        <w:instrText xml:space="preserve"> XE "Eanbald" </w:instrText>
      </w:r>
      <w:r w:rsidRPr="00EC0229">
        <w:rPr>
          <w:szCs w:val="24"/>
        </w:rPr>
        <w:fldChar w:fldCharType="end"/>
      </w:r>
      <w:r w:rsidRPr="00EC0229">
        <w:rPr>
          <w:szCs w:val="24"/>
        </w:rPr>
        <w:t xml:space="preserve"> I and the other the second-known specimen of the patrician Æthelwald Moll with his heir apparent Æthelred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_Ref430249167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137</w: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rPr>
          <w:szCs w:val="24"/>
        </w:rPr>
        <w:t>.</w:t>
      </w:r>
    </w:p>
    <w:p w14:paraId="206C850D" w14:textId="77777777" w:rsidR="00F21B7D" w:rsidRPr="00EC0229" w:rsidRDefault="00F21B7D" w:rsidP="007600EA">
      <w:pPr>
        <w:pStyle w:val="NoSpacing"/>
        <w:spacing w:line="360" w:lineRule="auto"/>
        <w:jc w:val="center"/>
        <w:rPr>
          <w:szCs w:val="24"/>
        </w:rPr>
      </w:pPr>
      <w:r w:rsidRPr="00EC0229">
        <w:rPr>
          <w:noProof/>
          <w:szCs w:val="24"/>
          <w:lang w:eastAsia="en-GB"/>
        </w:rPr>
        <w:drawing>
          <wp:inline distT="0" distB="0" distL="0" distR="0" wp14:anchorId="4AA15665" wp14:editId="2A7C4F83">
            <wp:extent cx="903903" cy="885825"/>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7-10 Y150.JPG"/>
                    <pic:cNvPicPr/>
                  </pic:nvPicPr>
                  <pic:blipFill>
                    <a:blip r:embed="rId441">
                      <a:extLst>
                        <a:ext uri="{28A0092B-C50C-407E-A947-70E740481C1C}">
                          <a14:useLocalDpi xmlns:a14="http://schemas.microsoft.com/office/drawing/2010/main" val="0"/>
                        </a:ext>
                      </a:extLst>
                    </a:blip>
                    <a:stretch>
                      <a:fillRect/>
                    </a:stretch>
                  </pic:blipFill>
                  <pic:spPr>
                    <a:xfrm>
                      <a:off x="0" y="0"/>
                      <a:ext cx="931835" cy="913199"/>
                    </a:xfrm>
                    <a:prstGeom prst="rect">
                      <a:avLst/>
                    </a:prstGeom>
                  </pic:spPr>
                </pic:pic>
              </a:graphicData>
            </a:graphic>
          </wp:inline>
        </w:drawing>
      </w:r>
      <w:r w:rsidRPr="00EC0229">
        <w:rPr>
          <w:noProof/>
          <w:szCs w:val="24"/>
          <w:lang w:eastAsia="en-GB"/>
        </w:rPr>
        <w:drawing>
          <wp:inline distT="0" distB="0" distL="0" distR="0" wp14:anchorId="7E0320DD" wp14:editId="5910BB0A">
            <wp:extent cx="930225" cy="888365"/>
            <wp:effectExtent l="0" t="0" r="3810" b="698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7-10 Y150R.JPG"/>
                    <pic:cNvPicPr/>
                  </pic:nvPicPr>
                  <pic:blipFill>
                    <a:blip r:embed="rId442">
                      <a:extLst>
                        <a:ext uri="{28A0092B-C50C-407E-A947-70E740481C1C}">
                          <a14:useLocalDpi xmlns:a14="http://schemas.microsoft.com/office/drawing/2010/main" val="0"/>
                        </a:ext>
                      </a:extLst>
                    </a:blip>
                    <a:stretch>
                      <a:fillRect/>
                    </a:stretch>
                  </pic:blipFill>
                  <pic:spPr>
                    <a:xfrm>
                      <a:off x="0" y="0"/>
                      <a:ext cx="969378" cy="925756"/>
                    </a:xfrm>
                    <a:prstGeom prst="rect">
                      <a:avLst/>
                    </a:prstGeom>
                  </pic:spPr>
                </pic:pic>
              </a:graphicData>
            </a:graphic>
          </wp:inline>
        </w:drawing>
      </w:r>
    </w:p>
    <w:p w14:paraId="7E390C1A" w14:textId="18EC8C52" w:rsidR="00F21B7D" w:rsidRPr="00EC0229" w:rsidRDefault="00F21B7D" w:rsidP="007600EA">
      <w:pPr>
        <w:pStyle w:val="NoSpacing"/>
        <w:spacing w:line="360" w:lineRule="auto"/>
        <w:jc w:val="center"/>
        <w:rPr>
          <w:i/>
          <w:sz w:val="20"/>
          <w:szCs w:val="20"/>
        </w:rPr>
      </w:pPr>
      <w:bookmarkStart w:id="770" w:name="_Ref430249167"/>
      <w:bookmarkStart w:id="771" w:name="_Toc468267109"/>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137</w:t>
      </w:r>
      <w:r w:rsidRPr="00EC0229">
        <w:rPr>
          <w:sz w:val="20"/>
          <w:szCs w:val="20"/>
        </w:rPr>
        <w:fldChar w:fldCharType="end"/>
      </w:r>
      <w:bookmarkEnd w:id="770"/>
      <w:r w:rsidRPr="00EC0229">
        <w:rPr>
          <w:sz w:val="20"/>
          <w:szCs w:val="20"/>
        </w:rPr>
        <w:t>: Æthelwald Moll with Æthelred</w:t>
      </w:r>
      <w:r w:rsidRPr="00EC0229">
        <w:rPr>
          <w:sz w:val="20"/>
          <w:szCs w:val="20"/>
        </w:rPr>
        <w:fldChar w:fldCharType="begin"/>
      </w:r>
      <w:r w:rsidRPr="00EC0229">
        <w:rPr>
          <w:sz w:val="20"/>
          <w:szCs w:val="20"/>
        </w:rPr>
        <w:instrText xml:space="preserve"> XE "Æthelred" </w:instrText>
      </w:r>
      <w:r w:rsidRPr="00EC0229">
        <w:rPr>
          <w:sz w:val="20"/>
          <w:szCs w:val="20"/>
        </w:rPr>
        <w:fldChar w:fldCharType="end"/>
      </w:r>
      <w:r w:rsidRPr="00EC0229">
        <w:rPr>
          <w:sz w:val="20"/>
          <w:szCs w:val="20"/>
        </w:rPr>
        <w:t>, found Kilham</w:t>
      </w:r>
      <w:bookmarkEnd w:id="771"/>
    </w:p>
    <w:p w14:paraId="6D922D1D" w14:textId="77777777" w:rsidR="00F21B7D" w:rsidRPr="00EC0229" w:rsidRDefault="00F21B7D" w:rsidP="007600EA">
      <w:pPr>
        <w:pStyle w:val="NoSpacing"/>
        <w:spacing w:line="360" w:lineRule="auto"/>
        <w:rPr>
          <w:szCs w:val="20"/>
        </w:rPr>
      </w:pPr>
      <w:r w:rsidRPr="00EC0229">
        <w:rPr>
          <w:szCs w:val="20"/>
        </w:rPr>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rPr>
          <w:szCs w:val="20"/>
        </w:rPr>
        <w:fldChar w:fldCharType="end"/>
      </w:r>
    </w:p>
    <w:p w14:paraId="1BD9B27D" w14:textId="77777777" w:rsidR="00F21B7D" w:rsidRPr="00EC0229" w:rsidRDefault="00F21B7D" w:rsidP="007600EA">
      <w:pPr>
        <w:pStyle w:val="NoSpacing"/>
        <w:spacing w:line="360" w:lineRule="auto"/>
        <w:rPr>
          <w:szCs w:val="24"/>
        </w:rPr>
      </w:pPr>
      <w:r w:rsidRPr="00EC0229">
        <w:rPr>
          <w:szCs w:val="24"/>
        </w:rPr>
        <w:t>While avoiding over-interpretation of the loss of such a rare coin, a plausible context would not diminish the dynastic propaganda heralded by the legend. Its deployment in Kilham</w:t>
      </w:r>
      <w:r w:rsidRPr="00EC0229">
        <w:rPr>
          <w:szCs w:val="24"/>
        </w:rPr>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rPr>
          <w:szCs w:val="24"/>
        </w:rPr>
        <w:fldChar w:fldCharType="end"/>
      </w:r>
      <w:r w:rsidRPr="00EC0229">
        <w:rPr>
          <w:szCs w:val="24"/>
        </w:rPr>
        <w:t xml:space="preserve"> signifies a strategic political influence locally. This is corroborated by the volume of finds in this location – matching the total for the twenty-six inner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sites combined and exceeding the produce of Whithorn</w:t>
      </w:r>
      <w:r w:rsidRPr="00EC0229">
        <w:rPr>
          <w:szCs w:val="24"/>
        </w:rPr>
        <w:fldChar w:fldCharType="begin"/>
      </w:r>
      <w:r w:rsidRPr="00EC0229">
        <w:instrText xml:space="preserve"> XE "</w:instrText>
      </w:r>
      <w:r w:rsidRPr="00EC0229">
        <w:rPr>
          <w:rStyle w:val="Hyperlink"/>
          <w:noProof/>
          <w:u w:val="none"/>
        </w:rPr>
        <w:instrText>Whithorn</w:instrText>
      </w:r>
      <w:r w:rsidRPr="00EC0229">
        <w:instrText xml:space="preserve">" </w:instrText>
      </w:r>
      <w:r w:rsidRPr="00EC0229">
        <w:rPr>
          <w:szCs w:val="24"/>
        </w:rPr>
        <w:fldChar w:fldCharType="end"/>
      </w:r>
      <w:r w:rsidRPr="00EC0229">
        <w:rPr>
          <w:szCs w:val="24"/>
        </w:rPr>
        <w:t>, Carlisle and Flixborough</w:t>
      </w:r>
      <w:r w:rsidRPr="00EC0229">
        <w:rPr>
          <w:szCs w:val="24"/>
        </w:rPr>
        <w:fldChar w:fldCharType="begin"/>
      </w:r>
      <w:r w:rsidRPr="00EC0229">
        <w:instrText xml:space="preserve"> XE "</w:instrText>
      </w:r>
      <w:r w:rsidRPr="00EC0229">
        <w:rPr>
          <w:rStyle w:val="Hyperlink"/>
          <w:noProof/>
          <w:u w:val="none"/>
        </w:rPr>
        <w:instrText>Flixborough</w:instrText>
      </w:r>
      <w:r w:rsidRPr="00EC0229">
        <w:instrText xml:space="preserve">" </w:instrText>
      </w:r>
      <w:r w:rsidRPr="00EC0229">
        <w:rPr>
          <w:szCs w:val="24"/>
        </w:rPr>
        <w:fldChar w:fldCharType="end"/>
      </w:r>
      <w:r w:rsidRPr="00EC0229">
        <w:rPr>
          <w:szCs w:val="24"/>
        </w:rPr>
        <w:t>.</w:t>
      </w:r>
    </w:p>
    <w:p w14:paraId="09A1301E" w14:textId="77777777" w:rsidR="00F21B7D" w:rsidRPr="00EC0229" w:rsidRDefault="00F21B7D" w:rsidP="007600EA">
      <w:pPr>
        <w:pStyle w:val="NoSpacing"/>
        <w:spacing w:line="360" w:lineRule="auto"/>
      </w:pPr>
    </w:p>
    <w:p w14:paraId="07BFA60D" w14:textId="77777777" w:rsidR="00F21B7D" w:rsidRPr="00EC0229" w:rsidRDefault="00F21B7D" w:rsidP="007600EA">
      <w:pPr>
        <w:pStyle w:val="NoSpacing"/>
        <w:spacing w:line="360" w:lineRule="auto"/>
        <w:rPr>
          <w:szCs w:val="24"/>
        </w:rPr>
      </w:pPr>
      <w:r w:rsidRPr="00EC0229">
        <w:rPr>
          <w:szCs w:val="24"/>
        </w:rPr>
        <w:t>A scarce fantastic beast sceat of Alchred,</w:t>
      </w:r>
      <w:r w:rsidRPr="00EC0229">
        <w:rPr>
          <w:szCs w:val="24"/>
        </w:rPr>
        <w:fldChar w:fldCharType="begin"/>
      </w:r>
      <w:r w:rsidRPr="00EC0229">
        <w:instrText xml:space="preserve"> XE "</w:instrText>
      </w:r>
      <w:r w:rsidRPr="00EC0229">
        <w:rPr>
          <w:rFonts w:cs="Times New Roman"/>
          <w:szCs w:val="24"/>
        </w:rPr>
        <w:instrText>Alchred</w:instrText>
      </w:r>
      <w:r w:rsidRPr="00EC0229">
        <w:instrText xml:space="preserve">" </w:instrText>
      </w:r>
      <w:r w:rsidRPr="00EC0229">
        <w:rPr>
          <w:szCs w:val="24"/>
        </w:rPr>
        <w:fldChar w:fldCharType="end"/>
      </w:r>
      <w:r w:rsidRPr="00EC0229">
        <w:rPr>
          <w:szCs w:val="24"/>
        </w:rPr>
        <w:t xml:space="preserve"> [N6], is present and an inscriptional coin of Æthelred</w:t>
      </w:r>
      <w:r w:rsidRPr="00EC0229">
        <w:rPr>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szCs w:val="24"/>
        </w:rPr>
        <w:fldChar w:fldCharType="end"/>
      </w:r>
      <w:r w:rsidRPr="00EC0229">
        <w:rPr>
          <w:szCs w:val="24"/>
        </w:rPr>
        <w:t xml:space="preserve"> I by Ceolbald, [N8], taking the northern sceatta</w:t>
      </w:r>
      <w:r w:rsidRPr="00EC0229">
        <w:rPr>
          <w:szCs w:val="24"/>
        </w:rPr>
        <w:fldChar w:fldCharType="begin"/>
      </w:r>
      <w:r w:rsidRPr="00EC0229">
        <w:instrText xml:space="preserve"> XE "sceatta" </w:instrText>
      </w:r>
      <w:r w:rsidRPr="00EC0229">
        <w:rPr>
          <w:szCs w:val="24"/>
        </w:rPr>
        <w:fldChar w:fldCharType="end"/>
      </w:r>
      <w:r w:rsidRPr="00EC0229">
        <w:rPr>
          <w:szCs w:val="24"/>
        </w:rPr>
        <w:t xml:space="preserve"> coverage into the 790s. </w:t>
      </w:r>
    </w:p>
    <w:p w14:paraId="5E51E835" w14:textId="77777777" w:rsidR="00F21B7D" w:rsidRPr="00EC0229" w:rsidRDefault="00F21B7D" w:rsidP="007600EA">
      <w:pPr>
        <w:pStyle w:val="NoSpacing"/>
        <w:spacing w:line="360" w:lineRule="auto"/>
      </w:pPr>
    </w:p>
    <w:p w14:paraId="07462EE5" w14:textId="75DBB01F" w:rsidR="00F21B7D" w:rsidRPr="00EC0229" w:rsidRDefault="00F21B7D" w:rsidP="007600EA">
      <w:pPr>
        <w:pStyle w:val="NoSpacing"/>
        <w:spacing w:line="360" w:lineRule="auto"/>
        <w:rPr>
          <w:szCs w:val="24"/>
        </w:rPr>
      </w:pPr>
      <w:r w:rsidRPr="00EC0229">
        <w:rPr>
          <w:szCs w:val="24"/>
        </w:rPr>
        <w:t>Continuity of activity, as best as it can be viewed through the prism of coinage, is demonstrated by the presence of four silver-alloy</w:t>
      </w:r>
      <w:r w:rsidRPr="00EC0229">
        <w:rPr>
          <w:szCs w:val="24"/>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szCs w:val="24"/>
        </w:rPr>
        <w:fldChar w:fldCharType="end"/>
      </w:r>
      <w:r w:rsidRPr="00EC0229">
        <w:rPr>
          <w:szCs w:val="24"/>
        </w:rPr>
        <w:t xml:space="preserve"> coins of Eanred, [N9]</w:t>
      </w:r>
      <w:r w:rsidRPr="00EC0229">
        <w:rPr>
          <w:szCs w:val="24"/>
        </w:rPr>
        <w:fldChar w:fldCharType="begin"/>
      </w:r>
      <w:r w:rsidRPr="00EC0229">
        <w:instrText xml:space="preserve"> XE "Eanred" </w:instrText>
      </w:r>
      <w:r w:rsidRPr="00EC0229">
        <w:rPr>
          <w:szCs w:val="24"/>
        </w:rPr>
        <w:fldChar w:fldCharType="end"/>
      </w:r>
      <w:r w:rsidRPr="00EC0229">
        <w:rPr>
          <w:szCs w:val="24"/>
        </w:rPr>
        <w:t xml:space="preserve">. Save detecting bias, the pattern for brass sceats, [N10a], differs from that seen elsewhere in that only two of the forty-two finds </w:t>
      </w:r>
      <w:r w:rsidRPr="00EC0229">
        <w:rPr>
          <w:szCs w:val="24"/>
        </w:rPr>
        <w:lastRenderedPageBreak/>
        <w:t>are irregular, [N10c], though even in these cases, ‘illegible’ would be a better description. Possibly, Kilham</w:t>
      </w:r>
      <w:r w:rsidRPr="00EC0229">
        <w:rPr>
          <w:szCs w:val="24"/>
        </w:rPr>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rPr>
          <w:szCs w:val="24"/>
        </w:rPr>
        <w:fldChar w:fldCharType="end"/>
      </w:r>
      <w:r w:rsidRPr="00EC0229">
        <w:rPr>
          <w:szCs w:val="24"/>
        </w:rPr>
        <w:t xml:space="preserve"> was more diligent in weeding out irregular stycas. The regular [N10a] stycas include: Eanred (twelve), Æthelred</w:t>
      </w:r>
      <w:r w:rsidRPr="00EC0229">
        <w:rPr>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szCs w:val="24"/>
        </w:rPr>
        <w:fldChar w:fldCharType="end"/>
      </w:r>
      <w:r w:rsidRPr="00EC0229">
        <w:rPr>
          <w:szCs w:val="24"/>
        </w:rPr>
        <w:t xml:space="preserve"> 1</w:t>
      </w:r>
      <w:r w:rsidRPr="00EC0229">
        <w:rPr>
          <w:szCs w:val="24"/>
          <w:vertAlign w:val="superscript"/>
        </w:rPr>
        <w:t>st</w:t>
      </w:r>
      <w:r w:rsidRPr="00EC0229">
        <w:rPr>
          <w:szCs w:val="24"/>
        </w:rPr>
        <w:t xml:space="preserve"> reign (fourteen), Redwulf (one), Æthelred II, 2</w:t>
      </w:r>
      <w:r w:rsidRPr="00EC0229">
        <w:rPr>
          <w:szCs w:val="24"/>
          <w:vertAlign w:val="superscript"/>
        </w:rPr>
        <w:t xml:space="preserve">nd </w:t>
      </w:r>
      <w:r w:rsidRPr="00EC0229">
        <w:rPr>
          <w:szCs w:val="24"/>
        </w:rPr>
        <w:t>reign (seven), Wigmund</w:t>
      </w:r>
      <w:r w:rsidRPr="00EC0229">
        <w:rPr>
          <w:szCs w:val="24"/>
        </w:rPr>
        <w:fldChar w:fldCharType="begin"/>
      </w:r>
      <w:r w:rsidRPr="00EC0229">
        <w:instrText xml:space="preserve"> XE "Wigmund" </w:instrText>
      </w:r>
      <w:r w:rsidRPr="00EC0229">
        <w:rPr>
          <w:szCs w:val="24"/>
        </w:rPr>
        <w:fldChar w:fldCharType="end"/>
      </w:r>
      <w:r w:rsidRPr="00EC0229">
        <w:rPr>
          <w:szCs w:val="24"/>
        </w:rPr>
        <w:t xml:space="preserve"> (five) and there is a solitary entry for Wulfhere, [N10b]</w:t>
      </w:r>
      <w:r w:rsidRPr="00EC0229">
        <w:rPr>
          <w:szCs w:val="24"/>
        </w:rPr>
        <w:fldChar w:fldCharType="begin"/>
      </w:r>
      <w:r w:rsidRPr="00EC0229">
        <w:instrText xml:space="preserve"> XE "Wulfhere" </w:instrText>
      </w:r>
      <w:r w:rsidRPr="00EC0229">
        <w:rPr>
          <w:szCs w:val="24"/>
        </w:rPr>
        <w:fldChar w:fldCharType="end"/>
      </w:r>
      <w:r w:rsidRPr="00EC0229">
        <w:rPr>
          <w:szCs w:val="24"/>
        </w:rPr>
        <w:t>. Osberht</w:t>
      </w:r>
      <w:r w:rsidRPr="00EC0229">
        <w:rPr>
          <w:szCs w:val="24"/>
        </w:rPr>
        <w:fldChar w:fldCharType="begin"/>
      </w:r>
      <w:r w:rsidRPr="00EC0229">
        <w:instrText xml:space="preserve"> XE "Osberht" </w:instrText>
      </w:r>
      <w:r w:rsidRPr="00EC0229">
        <w:rPr>
          <w:szCs w:val="24"/>
        </w:rPr>
        <w:fldChar w:fldCharType="end"/>
      </w:r>
      <w:r w:rsidRPr="00EC0229">
        <w:rPr>
          <w:szCs w:val="24"/>
        </w:rPr>
        <w:t xml:space="preserve"> is absent, a pattern that is seen elsewhere. It is less likely that coin handlers would be sufficiently discerning to reject blundered, bronze stycas than there being a politico-economic cause for a lapse preceding the Viking</w:t>
      </w:r>
      <w:r w:rsidRPr="00EC0229">
        <w:rPr>
          <w:szCs w:val="24"/>
        </w:rPr>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rPr>
          <w:szCs w:val="24"/>
        </w:rPr>
        <w:fldChar w:fldCharType="end"/>
      </w:r>
      <w:r w:rsidRPr="00EC0229">
        <w:rPr>
          <w:szCs w:val="24"/>
        </w:rPr>
        <w:t xml:space="preserve"> invasion.</w:t>
      </w:r>
      <w:r w:rsidR="00D9456C">
        <w:rPr>
          <w:szCs w:val="24"/>
        </w:rPr>
        <w:t xml:space="preserve"> </w:t>
      </w:r>
      <w:r w:rsidR="00D9456C">
        <w:t xml:space="preserve">See </w:t>
      </w:r>
      <w:r w:rsidR="00D9456C" w:rsidRPr="00A07A08">
        <w:rPr>
          <w:i/>
        </w:rPr>
        <w:t>Graph 7.</w:t>
      </w:r>
      <w:r w:rsidR="00D9456C">
        <w:rPr>
          <w:i/>
        </w:rPr>
        <w:t>05 no. 18</w:t>
      </w:r>
      <w:r w:rsidR="00D9456C">
        <w:t>.</w:t>
      </w:r>
    </w:p>
    <w:p w14:paraId="2A81C16A" w14:textId="77777777" w:rsidR="00F21B7D" w:rsidRPr="00EC0229" w:rsidRDefault="00F21B7D" w:rsidP="007600EA">
      <w:pPr>
        <w:pStyle w:val="NoSpacing"/>
        <w:spacing w:line="360" w:lineRule="auto"/>
      </w:pPr>
    </w:p>
    <w:p w14:paraId="4EE5B827" w14:textId="77777777" w:rsidR="00F21B7D" w:rsidRPr="00EC0229" w:rsidRDefault="00F21B7D" w:rsidP="007600EA">
      <w:pPr>
        <w:pStyle w:val="NoSpacing"/>
        <w:spacing w:line="360" w:lineRule="auto"/>
        <w:rPr>
          <w:szCs w:val="24"/>
        </w:rPr>
      </w:pPr>
      <w:r w:rsidRPr="00EC0229">
        <w:rPr>
          <w:szCs w:val="24"/>
        </w:rPr>
        <w:t>Continued coin exchange is evidenced by two deniers – of Louis the Pious</w:t>
      </w:r>
      <w:r w:rsidRPr="00EC0229">
        <w:rPr>
          <w:szCs w:val="24"/>
        </w:rPr>
        <w:fldChar w:fldCharType="begin"/>
      </w:r>
      <w:r w:rsidRPr="00EC0229">
        <w:instrText xml:space="preserve"> XE "</w:instrText>
      </w:r>
      <w:r w:rsidRPr="00EC0229">
        <w:rPr>
          <w:rFonts w:eastAsia="Times New Roman" w:cs="Times New Roman"/>
          <w:szCs w:val="24"/>
          <w:lang w:eastAsia="en-GB"/>
        </w:rPr>
        <w:instrText>Louis the Pious</w:instrText>
      </w:r>
      <w:r w:rsidRPr="00EC0229">
        <w:instrText xml:space="preserve">" </w:instrText>
      </w:r>
      <w:r w:rsidRPr="00EC0229">
        <w:rPr>
          <w:szCs w:val="24"/>
        </w:rPr>
        <w:fldChar w:fldCharType="end"/>
      </w:r>
      <w:r w:rsidRPr="00EC0229">
        <w:rPr>
          <w:szCs w:val="24"/>
        </w:rPr>
        <w:t xml:space="preserve"> (814-40) and Charles the Bald (840-77) from Troyes.</w:t>
      </w:r>
      <w:r w:rsidRPr="00EC0229">
        <w:rPr>
          <w:rStyle w:val="FootnoteReference"/>
          <w:szCs w:val="24"/>
        </w:rPr>
        <w:footnoteReference w:id="1099"/>
      </w:r>
      <w:r w:rsidRPr="00EC0229">
        <w:rPr>
          <w:szCs w:val="24"/>
        </w:rPr>
        <w:t xml:space="preserve"> Again, the occurrence of two Carolingian</w:t>
      </w:r>
      <w:r w:rsidRPr="00EC0229">
        <w:rPr>
          <w:szCs w:val="24"/>
        </w:rPr>
        <w:fldChar w:fldCharType="begin"/>
      </w:r>
      <w:r w:rsidRPr="00EC0229">
        <w:instrText xml:space="preserve"> XE "</w:instrText>
      </w:r>
      <w:r w:rsidRPr="00EC0229">
        <w:rPr>
          <w:rFonts w:cs="Times New Roman"/>
          <w:szCs w:val="24"/>
        </w:rPr>
        <w:instrText>Carolingian</w:instrText>
      </w:r>
      <w:r w:rsidRPr="00EC0229">
        <w:instrText xml:space="preserve">" </w:instrText>
      </w:r>
      <w:r w:rsidRPr="00EC0229">
        <w:rPr>
          <w:szCs w:val="24"/>
        </w:rPr>
        <w:fldChar w:fldCharType="end"/>
      </w:r>
      <w:r w:rsidRPr="00EC0229">
        <w:rPr>
          <w:szCs w:val="24"/>
        </w:rPr>
        <w:t xml:space="preserve"> coins at Kilham</w:t>
      </w:r>
      <w:r w:rsidRPr="00EC0229">
        <w:rPr>
          <w:szCs w:val="24"/>
        </w:rPr>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rPr>
          <w:szCs w:val="24"/>
        </w:rPr>
        <w:fldChar w:fldCharType="end"/>
      </w:r>
      <w:r w:rsidRPr="00EC0229">
        <w:rPr>
          <w:szCs w:val="24"/>
        </w:rPr>
        <w:t xml:space="preserve"> signifies its importance, duration and reach, despite the absence of southern pennies.</w:t>
      </w:r>
    </w:p>
    <w:p w14:paraId="5DD6964B" w14:textId="77777777" w:rsidR="00F21B7D" w:rsidRPr="00EC0229" w:rsidRDefault="00F21B7D" w:rsidP="007600EA">
      <w:pPr>
        <w:pStyle w:val="NoSpacing"/>
        <w:spacing w:line="360" w:lineRule="auto"/>
        <w:jc w:val="center"/>
        <w:rPr>
          <w:szCs w:val="24"/>
        </w:rPr>
      </w:pPr>
      <w:r w:rsidRPr="00EC0229">
        <w:rPr>
          <w:noProof/>
          <w:szCs w:val="24"/>
          <w:lang w:eastAsia="en-GB"/>
        </w:rPr>
        <w:drawing>
          <wp:anchor distT="0" distB="0" distL="114300" distR="114300" simplePos="0" relativeHeight="251674624" behindDoc="1" locked="0" layoutInCell="1" allowOverlap="1" wp14:anchorId="71E4591A" wp14:editId="603B3EEB">
            <wp:simplePos x="0" y="0"/>
            <wp:positionH relativeFrom="column">
              <wp:posOffset>3055620</wp:posOffset>
            </wp:positionH>
            <wp:positionV relativeFrom="paragraph">
              <wp:posOffset>9525</wp:posOffset>
            </wp:positionV>
            <wp:extent cx="1323340" cy="1834515"/>
            <wp:effectExtent l="0" t="0" r="0" b="0"/>
            <wp:wrapTight wrapText="bothSides">
              <wp:wrapPolygon edited="0">
                <wp:start x="0" y="0"/>
                <wp:lineTo x="0" y="21308"/>
                <wp:lineTo x="21144" y="21308"/>
                <wp:lineTo x="21144" y="0"/>
                <wp:lineTo x="0" y="0"/>
              </wp:wrapPolygon>
            </wp:wrapTight>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03T273 .jpg"/>
                    <pic:cNvPicPr/>
                  </pic:nvPicPr>
                  <pic:blipFill>
                    <a:blip r:embed="rId443">
                      <a:extLst>
                        <a:ext uri="{28A0092B-C50C-407E-A947-70E740481C1C}">
                          <a14:useLocalDpi xmlns:a14="http://schemas.microsoft.com/office/drawing/2010/main" val="0"/>
                        </a:ext>
                      </a:extLst>
                    </a:blip>
                    <a:stretch>
                      <a:fillRect/>
                    </a:stretch>
                  </pic:blipFill>
                  <pic:spPr>
                    <a:xfrm>
                      <a:off x="0" y="0"/>
                      <a:ext cx="1323340" cy="1834515"/>
                    </a:xfrm>
                    <a:prstGeom prst="rect">
                      <a:avLst/>
                    </a:prstGeom>
                  </pic:spPr>
                </pic:pic>
              </a:graphicData>
            </a:graphic>
            <wp14:sizeRelH relativeFrom="page">
              <wp14:pctWidth>0</wp14:pctWidth>
            </wp14:sizeRelH>
            <wp14:sizeRelV relativeFrom="page">
              <wp14:pctHeight>0</wp14:pctHeight>
            </wp14:sizeRelV>
          </wp:anchor>
        </w:drawing>
      </w:r>
      <w:r w:rsidRPr="00EC0229">
        <w:rPr>
          <w:noProof/>
          <w:szCs w:val="24"/>
          <w:lang w:eastAsia="en-GB"/>
        </w:rPr>
        <w:drawing>
          <wp:inline distT="0" distB="0" distL="0" distR="0" wp14:anchorId="5BE99C9B" wp14:editId="2C29BAFB">
            <wp:extent cx="1188720" cy="1817801"/>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 crossstdR.jpg"/>
                    <pic:cNvPicPr/>
                  </pic:nvPicPr>
                  <pic:blipFill>
                    <a:blip r:embed="rId444">
                      <a:extLst>
                        <a:ext uri="{28A0092B-C50C-407E-A947-70E740481C1C}">
                          <a14:useLocalDpi xmlns:a14="http://schemas.microsoft.com/office/drawing/2010/main" val="0"/>
                        </a:ext>
                      </a:extLst>
                    </a:blip>
                    <a:stretch>
                      <a:fillRect/>
                    </a:stretch>
                  </pic:blipFill>
                  <pic:spPr>
                    <a:xfrm>
                      <a:off x="0" y="0"/>
                      <a:ext cx="1224823" cy="1873010"/>
                    </a:xfrm>
                    <a:prstGeom prst="rect">
                      <a:avLst/>
                    </a:prstGeom>
                  </pic:spPr>
                </pic:pic>
              </a:graphicData>
            </a:graphic>
          </wp:inline>
        </w:drawing>
      </w:r>
    </w:p>
    <w:p w14:paraId="0C50AB31" w14:textId="1C6F336E" w:rsidR="00F21B7D" w:rsidRPr="00EC0229" w:rsidRDefault="00F21B7D" w:rsidP="007600EA">
      <w:pPr>
        <w:pStyle w:val="NoSpacing"/>
        <w:spacing w:line="360" w:lineRule="auto"/>
        <w:jc w:val="center"/>
        <w:rPr>
          <w:i/>
          <w:sz w:val="20"/>
          <w:szCs w:val="20"/>
        </w:rPr>
      </w:pPr>
      <w:bookmarkStart w:id="772" w:name="_Ref430249180"/>
      <w:bookmarkStart w:id="773" w:name="_Toc468267110"/>
      <w:r w:rsidRPr="00EC0229">
        <w:rPr>
          <w:i/>
          <w:sz w:val="20"/>
          <w:szCs w:val="20"/>
        </w:rPr>
        <w:t xml:space="preserve">Figure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138</w:t>
      </w:r>
      <w:r w:rsidRPr="00EC0229">
        <w:rPr>
          <w:sz w:val="20"/>
          <w:szCs w:val="20"/>
        </w:rPr>
        <w:fldChar w:fldCharType="end"/>
      </w:r>
      <w:bookmarkEnd w:id="772"/>
      <w:r w:rsidRPr="00EC0229">
        <w:rPr>
          <w:sz w:val="20"/>
          <w:szCs w:val="20"/>
        </w:rPr>
        <w:t>: Two early Anglo-Saxon</w:t>
      </w:r>
      <w:r w:rsidRPr="00EC0229">
        <w:rPr>
          <w:sz w:val="20"/>
          <w:szCs w:val="20"/>
        </w:rPr>
        <w:fldChar w:fldCharType="begin"/>
      </w:r>
      <w:r w:rsidRPr="00EC0229">
        <w:rPr>
          <w:sz w:val="20"/>
          <w:szCs w:val="20"/>
        </w:rPr>
        <w:instrText xml:space="preserve"> XE "Anglo-Saxon" </w:instrText>
      </w:r>
      <w:r w:rsidRPr="00EC0229">
        <w:rPr>
          <w:sz w:val="20"/>
          <w:szCs w:val="20"/>
        </w:rPr>
        <w:fldChar w:fldCharType="end"/>
      </w:r>
      <w:r w:rsidRPr="00EC0229">
        <w:rPr>
          <w:sz w:val="20"/>
          <w:szCs w:val="20"/>
        </w:rPr>
        <w:t xml:space="preserve"> artefacts from Kilham</w:t>
      </w:r>
      <w:bookmarkEnd w:id="773"/>
    </w:p>
    <w:p w14:paraId="0DC43884" w14:textId="77777777" w:rsidR="00F21B7D" w:rsidRPr="00EC0229" w:rsidRDefault="00F21B7D" w:rsidP="007600EA">
      <w:pPr>
        <w:pStyle w:val="NoSpacing"/>
        <w:spacing w:line="360" w:lineRule="auto"/>
        <w:rPr>
          <w:szCs w:val="20"/>
        </w:rPr>
      </w:pPr>
      <w:r w:rsidRPr="00EC0229">
        <w:rPr>
          <w:szCs w:val="20"/>
        </w:rPr>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rPr>
          <w:szCs w:val="20"/>
        </w:rPr>
        <w:fldChar w:fldCharType="end"/>
      </w:r>
    </w:p>
    <w:p w14:paraId="3BB8DEE5" w14:textId="409FE99A" w:rsidR="00F21B7D" w:rsidRPr="00EC0229" w:rsidRDefault="00F21B7D" w:rsidP="007600EA">
      <w:pPr>
        <w:pStyle w:val="NoSpacing"/>
        <w:spacing w:line="360" w:lineRule="auto"/>
      </w:pPr>
      <w:r w:rsidRPr="00EC0229">
        <w:t xml:space="preserve">The contemporary artefactual finds have been of </w:t>
      </w:r>
      <w:proofErr w:type="gramStart"/>
      <w:r w:rsidRPr="00EC0229">
        <w:t>high status</w:t>
      </w:r>
      <w:proofErr w:type="gramEnd"/>
      <w:r w:rsidRPr="00EC0229">
        <w:t xml:space="preserve"> items </w:t>
      </w:r>
      <w:r w:rsidRPr="00EC0229">
        <w:rPr>
          <w:rFonts w:eastAsia="Times New Roman" w:cs="Times New Roman"/>
          <w:iCs/>
          <w:szCs w:val="24"/>
          <w:lang w:eastAsia="en-GB"/>
        </w:rPr>
        <w:t>(</w:t>
      </w:r>
      <w:r w:rsidRPr="00EC0229">
        <w:rPr>
          <w:rFonts w:eastAsia="Times New Roman" w:cs="Times New Roman"/>
          <w:iCs/>
          <w:szCs w:val="24"/>
          <w:lang w:eastAsia="en-GB"/>
        </w:rPr>
        <w:fldChar w:fldCharType="begin"/>
      </w:r>
      <w:r w:rsidRPr="00EC0229">
        <w:rPr>
          <w:rFonts w:eastAsia="Times New Roman" w:cs="Times New Roman"/>
          <w:iCs/>
          <w:szCs w:val="24"/>
          <w:lang w:eastAsia="en-GB"/>
        </w:rPr>
        <w:instrText xml:space="preserve"> REF _Ref430249180 \h  \* MERGEFORMAT </w:instrText>
      </w:r>
      <w:r w:rsidRPr="00EC0229">
        <w:rPr>
          <w:rFonts w:eastAsia="Times New Roman" w:cs="Times New Roman"/>
          <w:iCs/>
          <w:szCs w:val="24"/>
          <w:lang w:eastAsia="en-GB"/>
        </w:rPr>
      </w:r>
      <w:r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138</w:t>
      </w:r>
      <w:r w:rsidRPr="00EC0229">
        <w:rPr>
          <w:rFonts w:eastAsia="Times New Roman" w:cs="Times New Roman"/>
          <w:iCs/>
          <w:szCs w:val="24"/>
          <w:lang w:eastAsia="en-GB"/>
        </w:rPr>
        <w:fldChar w:fldCharType="end"/>
      </w:r>
      <w:r w:rsidRPr="00EC0229">
        <w:rPr>
          <w:rFonts w:eastAsia="Times New Roman" w:cs="Times New Roman"/>
          <w:iCs/>
          <w:szCs w:val="24"/>
          <w:lang w:eastAsia="en-GB"/>
        </w:rPr>
        <w:t>)</w:t>
      </w:r>
      <w:r w:rsidRPr="00EC0229">
        <w:t>. It is feasible that Kilham</w:t>
      </w:r>
      <w:r w:rsidRPr="00EC0229">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fldChar w:fldCharType="end"/>
      </w:r>
      <w:r w:rsidRPr="00EC0229">
        <w:t xml:space="preserve"> was something more than a place of refuge and sustenance between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(35 miles west) and Bridlington (10 miles east), though it is on no clear north-south route and has no obvious geographical advantages. Hopefully, this somewhat enigmatic site will be resolved by further finds.</w:t>
      </w:r>
    </w:p>
    <w:p w14:paraId="25247C8E" w14:textId="77777777" w:rsidR="00F21B7D" w:rsidRPr="00EC0229" w:rsidRDefault="00F21B7D" w:rsidP="007600EA">
      <w:pPr>
        <w:spacing w:line="360" w:lineRule="auto"/>
      </w:pPr>
    </w:p>
    <w:p w14:paraId="5BC79249" w14:textId="4DCED4C3" w:rsidR="00854613" w:rsidRPr="007A3166" w:rsidRDefault="00854613" w:rsidP="00C97BF2">
      <w:pPr>
        <w:pStyle w:val="Heading4"/>
        <w:spacing w:line="360" w:lineRule="auto"/>
        <w:rPr>
          <w:b/>
        </w:rPr>
      </w:pPr>
      <w:bookmarkStart w:id="774" w:name="_Toc468266903"/>
      <w:r w:rsidRPr="007A3166">
        <w:rPr>
          <w:b/>
        </w:rPr>
        <w:t>Thwing</w:t>
      </w:r>
      <w:r w:rsidR="00A702A3" w:rsidRPr="007A3166">
        <w:rPr>
          <w:b/>
        </w:rPr>
        <w:t xml:space="preserve"> (Paddock Hill)</w:t>
      </w:r>
      <w:bookmarkEnd w:id="774"/>
      <w:r w:rsidR="00A702A3" w:rsidRPr="007A3166">
        <w:rPr>
          <w:b/>
        </w:rPr>
        <w:t xml:space="preserve"> </w:t>
      </w:r>
      <w:r w:rsidR="006B1593" w:rsidRPr="007A3166">
        <w:rPr>
          <w:b/>
        </w:rPr>
        <w:fldChar w:fldCharType="begin"/>
      </w:r>
      <w:r w:rsidR="006B1593" w:rsidRPr="007A3166">
        <w:rPr>
          <w:b/>
        </w:rPr>
        <w:instrText xml:space="preserve"> XE "</w:instrText>
      </w:r>
      <w:r w:rsidR="006B1593" w:rsidRPr="007A3166">
        <w:rPr>
          <w:rStyle w:val="Hyperlink"/>
          <w:b/>
          <w:noProof/>
          <w:u w:val="none"/>
        </w:rPr>
        <w:instrText>Thwing</w:instrText>
      </w:r>
      <w:r w:rsidR="006B1593" w:rsidRPr="007A3166">
        <w:rPr>
          <w:b/>
        </w:rPr>
        <w:instrText xml:space="preserve">" </w:instrText>
      </w:r>
      <w:r w:rsidR="006B1593" w:rsidRPr="007A3166">
        <w:rPr>
          <w:b/>
        </w:rPr>
        <w:fldChar w:fldCharType="end"/>
      </w:r>
    </w:p>
    <w:bookmarkEnd w:id="767"/>
    <w:p w14:paraId="1243E359" w14:textId="32907BFD" w:rsidR="00854613" w:rsidRPr="00EC0229" w:rsidRDefault="00854613" w:rsidP="007600EA">
      <w:pPr>
        <w:pStyle w:val="NoSpacing"/>
        <w:spacing w:line="360" w:lineRule="auto"/>
      </w:pPr>
      <w:r w:rsidRPr="00EC0229">
        <w:t>Thwing</w:t>
      </w:r>
      <w:r w:rsidR="006B1593" w:rsidRPr="00EC0229">
        <w:fldChar w:fldCharType="begin"/>
      </w:r>
      <w:r w:rsidR="006B1593" w:rsidRPr="00EC0229">
        <w:instrText xml:space="preserve"> XE "</w:instrText>
      </w:r>
      <w:r w:rsidR="006B1593" w:rsidRPr="00EC0229">
        <w:rPr>
          <w:rStyle w:val="Hyperlink"/>
          <w:noProof/>
          <w:u w:val="none"/>
        </w:rPr>
        <w:instrText>Thwing</w:instrText>
      </w:r>
      <w:r w:rsidR="006B1593" w:rsidRPr="00EC0229">
        <w:instrText xml:space="preserve">" </w:instrText>
      </w:r>
      <w:r w:rsidR="006B1593" w:rsidRPr="00EC0229">
        <w:fldChar w:fldCharType="end"/>
      </w:r>
      <w:r w:rsidRPr="00EC0229">
        <w:t xml:space="preserve"> rests between Bridlington (9m E) and Sledmere</w:t>
      </w:r>
      <w:r w:rsidR="006B1593" w:rsidRPr="00EC0229">
        <w:fldChar w:fldCharType="begin"/>
      </w:r>
      <w:r w:rsidR="006B1593" w:rsidRPr="00EC0229">
        <w:instrText xml:space="preserve"> XE "</w:instrText>
      </w:r>
      <w:r w:rsidR="006B1593" w:rsidRPr="00EC0229">
        <w:rPr>
          <w:rStyle w:val="Hyperlink"/>
          <w:noProof/>
          <w:u w:val="none"/>
        </w:rPr>
        <w:instrText>Sledmere</w:instrText>
      </w:r>
      <w:r w:rsidR="006B1593" w:rsidRPr="00EC0229">
        <w:instrText xml:space="preserve">" </w:instrText>
      </w:r>
      <w:r w:rsidR="006B1593" w:rsidRPr="00EC0229">
        <w:fldChar w:fldCharType="end"/>
      </w:r>
      <w:r w:rsidRPr="00EC0229">
        <w:t xml:space="preserve"> (9m W) in the eastern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overlooking the Great Wold Valley, four miles north of Kilham</w:t>
      </w:r>
      <w:r w:rsidR="006B1593" w:rsidRPr="00EC0229">
        <w:fldChar w:fldCharType="begin"/>
      </w:r>
      <w:r w:rsidR="006B1593" w:rsidRPr="00EC0229">
        <w:instrText xml:space="preserve"> XE "</w:instrText>
      </w:r>
      <w:r w:rsidR="006B1593" w:rsidRPr="00EC0229">
        <w:rPr>
          <w:rStyle w:val="Hyperlink"/>
          <w:noProof/>
          <w:u w:val="none"/>
        </w:rPr>
        <w:instrText>Kilham</w:instrText>
      </w:r>
      <w:r w:rsidR="006B1593" w:rsidRPr="00EC0229">
        <w:instrText xml:space="preserve">" </w:instrText>
      </w:r>
      <w:r w:rsidR="006B1593" w:rsidRPr="00EC0229">
        <w:fldChar w:fldCharType="end"/>
      </w:r>
      <w:r w:rsidRPr="00EC0229">
        <w:t xml:space="preserve">, and may have been a strategic location even though there is little to distinguish its location on current maps. The 120-metre diameter Bronze Age ringwork, which contains 132 tightly packed inhumations, many of high status, and was still in use to the early or mid-ninth century. There is evidence of timber </w:t>
      </w:r>
      <w:r w:rsidRPr="00EC0229">
        <w:lastRenderedPageBreak/>
        <w:t xml:space="preserve">structures, a palisaded enclosure, and a large </w:t>
      </w:r>
      <w:r w:rsidR="004A1F6B" w:rsidRPr="00EC0229">
        <w:rPr>
          <w:i/>
        </w:rPr>
        <w:t>Grübenhaus</w:t>
      </w:r>
      <w:r w:rsidRPr="00EC0229">
        <w:t xml:space="preserve">. Debris, dating up to </w:t>
      </w:r>
      <w:r w:rsidR="00F139AF" w:rsidRPr="00EC0229">
        <w:t>the tenth century</w:t>
      </w:r>
      <w:r w:rsidRPr="00EC0229">
        <w:t>, included metalwork, animal bone, lava quernstone fragments, pottery (some Continental) as well as the coinage described below. Manby interprets the site as an administration centre, possibly royal.</w:t>
      </w:r>
      <w:r w:rsidR="003A659C" w:rsidRPr="00EC0229">
        <w:rPr>
          <w:rStyle w:val="FootnoteReference"/>
        </w:rPr>
        <w:footnoteReference w:id="1100"/>
      </w:r>
    </w:p>
    <w:p w14:paraId="5175853A" w14:textId="77777777" w:rsidR="00854613" w:rsidRPr="00EC0229" w:rsidRDefault="00854613" w:rsidP="007600EA">
      <w:pPr>
        <w:pStyle w:val="NoSpacing"/>
        <w:spacing w:line="360" w:lineRule="auto"/>
      </w:pPr>
    </w:p>
    <w:p w14:paraId="2484EF3E" w14:textId="5C986697" w:rsidR="00854613" w:rsidRPr="00EC0229" w:rsidRDefault="00854613" w:rsidP="007600EA">
      <w:pPr>
        <w:pStyle w:val="NoSpacing"/>
        <w:spacing w:line="360" w:lineRule="auto"/>
      </w:pPr>
      <w:r w:rsidRPr="00EC0229">
        <w:t>There are two well-circulated primary sceats</w:t>
      </w:r>
      <w:r w:rsidR="00081982" w:rsidRPr="00EC0229">
        <w:t>,</w:t>
      </w:r>
      <w:r w:rsidRPr="00EC0229">
        <w:t xml:space="preserve"> </w:t>
      </w:r>
      <w:r w:rsidR="00081982" w:rsidRPr="00EC0229">
        <w:t xml:space="preserve">[4b], </w:t>
      </w:r>
      <w:r w:rsidRPr="00EC0229">
        <w:t>including a Series</w:t>
      </w:r>
      <w:r w:rsidR="00D142DC" w:rsidRPr="00EC0229">
        <w:fldChar w:fldCharType="begin"/>
      </w:r>
      <w:r w:rsidR="00D142DC" w:rsidRPr="00EC0229">
        <w:instrText xml:space="preserve"> XE "Series" </w:instrText>
      </w:r>
      <w:r w:rsidR="00D142DC" w:rsidRPr="00EC0229">
        <w:fldChar w:fldCharType="end"/>
      </w:r>
      <w:r w:rsidRPr="00EC0229">
        <w:t xml:space="preserve"> F now thought by Metcalf</w:t>
      </w:r>
      <w:r w:rsidR="00F204A1" w:rsidRPr="00EC0229">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fldChar w:fldCharType="end"/>
      </w:r>
      <w:r w:rsidRPr="00EC0229">
        <w:t xml:space="preserve"> to be the emission of Theodore of Canterbury (d. 690) and his successor Berhtwald,</w:t>
      </w:r>
      <w:r w:rsidRPr="00EC0229">
        <w:rPr>
          <w:rStyle w:val="FootnoteReference"/>
        </w:rPr>
        <w:footnoteReference w:id="1101"/>
      </w:r>
      <w:r w:rsidRPr="00EC0229">
        <w:t xml:space="preserve"> and a Series D</w:t>
      </w:r>
      <w:r w:rsidR="008344F3" w:rsidRPr="00EC0229">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fldChar w:fldCharType="end"/>
      </w:r>
      <w:r w:rsidRPr="00EC0229">
        <w:t xml:space="preserve"> from the Low Countries</w:t>
      </w:r>
      <w:r w:rsidR="00081982" w:rsidRPr="00EC0229">
        <w:t>, [4c]</w:t>
      </w:r>
      <w:r w:rsidRPr="00EC0229">
        <w:t>. The only other Continental import is a well-preserved secondary Series E</w:t>
      </w:r>
      <w:r w:rsidR="00081982" w:rsidRPr="00EC0229">
        <w:t>, [5c]</w:t>
      </w:r>
      <w:r w:rsidR="008344F3" w:rsidRPr="00EC0229">
        <w:fldChar w:fldCharType="begin"/>
      </w:r>
      <w:r w:rsidR="008344F3" w:rsidRPr="00EC0229">
        <w:instrText xml:space="preserve"> XE "Series E" </w:instrText>
      </w:r>
      <w:r w:rsidR="008344F3" w:rsidRPr="00EC0229">
        <w:fldChar w:fldCharType="end"/>
      </w:r>
      <w:r w:rsidRPr="00EC0229">
        <w:t>. There are thirteen Northumbrian sceats including fantastic animal reverses (six of Eadberht</w:t>
      </w:r>
      <w:r w:rsidR="00D142DC" w:rsidRPr="00EC0229">
        <w:fldChar w:fldCharType="begin"/>
      </w:r>
      <w:r w:rsidR="00D142DC" w:rsidRPr="00EC0229">
        <w:instrText xml:space="preserve"> XE "Eadberht" </w:instrText>
      </w:r>
      <w:r w:rsidR="00D142DC" w:rsidRPr="00EC0229">
        <w:fldChar w:fldCharType="end"/>
      </w:r>
      <w:r w:rsidRPr="00EC0229">
        <w:t xml:space="preserve"> and an Alchred</w:t>
      </w:r>
      <w:r w:rsidR="004C29A9" w:rsidRPr="00EC0229">
        <w:fldChar w:fldCharType="begin"/>
      </w:r>
      <w:r w:rsidR="004C29A9" w:rsidRPr="00EC0229">
        <w:instrText xml:space="preserve"> XE "</w:instrText>
      </w:r>
      <w:r w:rsidR="004C29A9" w:rsidRPr="00EC0229">
        <w:rPr>
          <w:rFonts w:cs="Times New Roman"/>
          <w:szCs w:val="24"/>
        </w:rPr>
        <w:instrText>Alchred</w:instrText>
      </w:r>
      <w:r w:rsidR="004C29A9" w:rsidRPr="00EC0229">
        <w:instrText xml:space="preserve">" </w:instrText>
      </w:r>
      <w:r w:rsidR="004C29A9" w:rsidRPr="00EC0229">
        <w:fldChar w:fldCharType="end"/>
      </w:r>
      <w:r w:rsidRPr="00EC0229">
        <w:t xml:space="preserve">), </w:t>
      </w:r>
      <w:r w:rsidR="00081982" w:rsidRPr="00EC0229">
        <w:t xml:space="preserve">[N6], </w:t>
      </w:r>
      <w:r w:rsidRPr="00EC0229">
        <w:t>two joint issues</w:t>
      </w:r>
      <w:r w:rsidR="00081982" w:rsidRPr="00EC0229">
        <w:t>,</w:t>
      </w:r>
      <w:r w:rsidRPr="00EC0229">
        <w:t xml:space="preserve"> </w:t>
      </w:r>
      <w:r w:rsidR="00081982" w:rsidRPr="00EC0229">
        <w:t xml:space="preserve">[N7], </w:t>
      </w:r>
      <w:r w:rsidRPr="00EC0229">
        <w:t>and four inscribed types</w:t>
      </w:r>
      <w:r w:rsidR="00081982" w:rsidRPr="00EC0229">
        <w:t>,</w:t>
      </w:r>
      <w:r w:rsidRPr="00EC0229">
        <w:t xml:space="preserve"> </w:t>
      </w:r>
      <w:r w:rsidR="00081982" w:rsidRPr="00EC0229">
        <w:t xml:space="preserve">[N8], </w:t>
      </w:r>
      <w:r w:rsidRPr="00EC0229">
        <w:t>covering Ælfwald</w:t>
      </w:r>
      <w:r w:rsidR="004C29A9" w:rsidRPr="00EC0229">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fldChar w:fldCharType="end"/>
      </w:r>
      <w:r w:rsidRPr="00EC0229">
        <w:t xml:space="preserve"> I (by </w:t>
      </w:r>
      <w:r w:rsidR="00666179" w:rsidRPr="00EC0229">
        <w:t>Cuthheard</w:t>
      </w:r>
      <w:r w:rsidR="00D142DC" w:rsidRPr="00EC0229">
        <w:fldChar w:fldCharType="begin"/>
      </w:r>
      <w:r w:rsidR="00D142DC" w:rsidRPr="00EC0229">
        <w:instrText xml:space="preserve"> XE "Cuthheard" </w:instrText>
      </w:r>
      <w:r w:rsidR="00D142DC" w:rsidRPr="00EC0229">
        <w:fldChar w:fldCharType="end"/>
      </w:r>
      <w:r w:rsidRPr="00EC0229">
        <w:t>),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 (by Tidwulf and Cuthgils) and, exceptionally, Eardwulf (again by </w:t>
      </w:r>
      <w:r w:rsidR="00666179" w:rsidRPr="00EC0229">
        <w:t>Cuthheard</w:t>
      </w:r>
      <w:r w:rsidRPr="00EC0229">
        <w:t>); this last being one of only seven known for this king</w:t>
      </w:r>
      <w:r w:rsidR="003C538B" w:rsidRPr="00EC0229">
        <w:t xml:space="preserve"> </w:t>
      </w:r>
      <w:r w:rsidR="003C538B"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_Ref430249132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139</w:t>
      </w:r>
      <w:r w:rsidR="00C44C51" w:rsidRPr="00EC0229">
        <w:rPr>
          <w:rFonts w:eastAsia="Times New Roman" w:cs="Times New Roman"/>
          <w:iCs/>
          <w:szCs w:val="24"/>
          <w:lang w:eastAsia="en-GB"/>
        </w:rPr>
        <w:fldChar w:fldCharType="end"/>
      </w:r>
      <w:r w:rsidR="002A2776" w:rsidRPr="00EC0229">
        <w:rPr>
          <w:rFonts w:eastAsia="Times New Roman" w:cs="Times New Roman"/>
          <w:iCs/>
          <w:szCs w:val="24"/>
          <w:lang w:eastAsia="en-GB"/>
        </w:rPr>
        <w:t xml:space="preserve">). </w:t>
      </w:r>
      <w:r w:rsidRPr="00EC0229">
        <w:t xml:space="preserve">The numismatic evidence </w:t>
      </w:r>
      <w:r w:rsidR="00CA0FFA" w:rsidRPr="00EC0229">
        <w:t>would point</w:t>
      </w:r>
      <w:r w:rsidRPr="00EC0229">
        <w:t xml:space="preserve"> to a date for commercial activity commencing in the secondary sceatta</w:t>
      </w:r>
      <w:r w:rsidR="00D142DC" w:rsidRPr="00EC0229">
        <w:fldChar w:fldCharType="begin"/>
      </w:r>
      <w:r w:rsidR="00D142DC" w:rsidRPr="00EC0229">
        <w:instrText xml:space="preserve"> XE "sceatta" </w:instrText>
      </w:r>
      <w:r w:rsidR="00D142DC" w:rsidRPr="00EC0229">
        <w:fldChar w:fldCharType="end"/>
      </w:r>
      <w:r w:rsidR="00CA0FFA" w:rsidRPr="00EC0229">
        <w:t xml:space="preserve"> phase but for the presence of the rare, probably early Primary, Valdoberhtus sceat </w:t>
      </w:r>
      <w:r w:rsidR="00CA0FFA" w:rsidRPr="00EC0229">
        <w:rPr>
          <w:szCs w:val="24"/>
        </w:rPr>
        <w:t>(</w:t>
      </w:r>
      <w:r w:rsidR="00CA0FFA" w:rsidRPr="00EC0229">
        <w:rPr>
          <w:szCs w:val="24"/>
        </w:rPr>
        <w:fldChar w:fldCharType="begin"/>
      </w:r>
      <w:r w:rsidR="00CA0FFA" w:rsidRPr="00EC0229">
        <w:rPr>
          <w:szCs w:val="24"/>
        </w:rPr>
        <w:instrText xml:space="preserve"> REF _Ref433102010 \h  \* MERGEFORMAT </w:instrText>
      </w:r>
      <w:r w:rsidR="00CA0FFA" w:rsidRPr="00EC0229">
        <w:rPr>
          <w:szCs w:val="24"/>
        </w:rPr>
      </w:r>
      <w:r w:rsidR="00CA0FFA"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25</w:t>
      </w:r>
      <w:r w:rsidR="00CA0FFA" w:rsidRPr="00EC0229">
        <w:rPr>
          <w:szCs w:val="24"/>
        </w:rPr>
        <w:fldChar w:fldCharType="end"/>
      </w:r>
      <w:r w:rsidR="00CA0FFA" w:rsidRPr="00EC0229">
        <w:rPr>
          <w:szCs w:val="24"/>
        </w:rPr>
        <w:t>).</w:t>
      </w:r>
    </w:p>
    <w:p w14:paraId="1ADAE9F4" w14:textId="77777777" w:rsidR="00854613" w:rsidRPr="00EC0229" w:rsidRDefault="00854613" w:rsidP="007600EA">
      <w:pPr>
        <w:pStyle w:val="NoSpacing"/>
        <w:spacing w:line="360" w:lineRule="auto"/>
      </w:pPr>
    </w:p>
    <w:p w14:paraId="5B4DF39B"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5E705F81" wp14:editId="180CBD52">
            <wp:extent cx="875810" cy="908654"/>
            <wp:effectExtent l="0" t="0" r="635" b="635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ardwulf 2008.0483obv.jp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889658" cy="923022"/>
                    </a:xfrm>
                    <a:prstGeom prst="rect">
                      <a:avLst/>
                    </a:prstGeom>
                  </pic:spPr>
                </pic:pic>
              </a:graphicData>
            </a:graphic>
          </wp:inline>
        </w:drawing>
      </w:r>
      <w:r w:rsidRPr="00EC0229">
        <w:rPr>
          <w:noProof/>
          <w:lang w:eastAsia="en-GB"/>
        </w:rPr>
        <w:drawing>
          <wp:inline distT="0" distB="0" distL="0" distR="0" wp14:anchorId="3BC7A404" wp14:editId="74EC1440">
            <wp:extent cx="829017" cy="904875"/>
            <wp:effectExtent l="0" t="0" r="952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ardwulf 2008.0483rev.jp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845079" cy="922406"/>
                    </a:xfrm>
                    <a:prstGeom prst="rect">
                      <a:avLst/>
                    </a:prstGeom>
                  </pic:spPr>
                </pic:pic>
              </a:graphicData>
            </a:graphic>
          </wp:inline>
        </w:drawing>
      </w:r>
    </w:p>
    <w:p w14:paraId="5D4669F0" w14:textId="203A0AE5" w:rsidR="00565E13" w:rsidRPr="00EC0229" w:rsidRDefault="003977B6" w:rsidP="007600EA">
      <w:pPr>
        <w:pStyle w:val="NoSpacing"/>
        <w:spacing w:line="360" w:lineRule="auto"/>
        <w:jc w:val="center"/>
        <w:rPr>
          <w:sz w:val="20"/>
          <w:szCs w:val="20"/>
        </w:rPr>
      </w:pPr>
      <w:bookmarkStart w:id="775" w:name="_Ref430249132"/>
      <w:bookmarkStart w:id="776" w:name="_Toc468267111"/>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139</w:t>
      </w:r>
      <w:r w:rsidR="00B609E3" w:rsidRPr="00EC0229">
        <w:rPr>
          <w:noProof/>
          <w:sz w:val="20"/>
          <w:szCs w:val="20"/>
        </w:rPr>
        <w:fldChar w:fldCharType="end"/>
      </w:r>
      <w:bookmarkEnd w:id="775"/>
      <w:r w:rsidR="003C538B" w:rsidRPr="00EC0229">
        <w:rPr>
          <w:sz w:val="20"/>
          <w:szCs w:val="20"/>
        </w:rPr>
        <w:t xml:space="preserve">: </w:t>
      </w:r>
      <w:r w:rsidR="00854613" w:rsidRPr="00EC0229">
        <w:rPr>
          <w:sz w:val="20"/>
          <w:szCs w:val="20"/>
        </w:rPr>
        <w:t>Sceat of Eardwulf with a ligate initial in the moneyer’s name on the reverse.</w:t>
      </w:r>
      <w:bookmarkEnd w:id="776"/>
    </w:p>
    <w:p w14:paraId="58876377" w14:textId="4537377D" w:rsidR="00854613" w:rsidRPr="00EC0229" w:rsidRDefault="00854613" w:rsidP="007600EA">
      <w:pPr>
        <w:pStyle w:val="NoSpacing"/>
        <w:spacing w:line="360" w:lineRule="auto"/>
        <w:jc w:val="center"/>
        <w:rPr>
          <w:sz w:val="20"/>
          <w:szCs w:val="20"/>
        </w:rPr>
      </w:pPr>
      <w:r w:rsidRPr="00EC0229">
        <w:rPr>
          <w:sz w:val="20"/>
          <w:szCs w:val="20"/>
        </w:rPr>
        <w:t>Found</w:t>
      </w:r>
      <w:r w:rsidR="003C538B" w:rsidRPr="00EC0229">
        <w:rPr>
          <w:sz w:val="20"/>
          <w:szCs w:val="20"/>
        </w:rPr>
        <w:t xml:space="preserve"> Thirsk</w:t>
      </w:r>
      <w:r w:rsidR="00565E13" w:rsidRPr="00EC0229">
        <w:rPr>
          <w:sz w:val="20"/>
          <w:szCs w:val="20"/>
        </w:rPr>
        <w:t xml:space="preserve"> </w:t>
      </w:r>
      <w:r w:rsidR="00011DE7" w:rsidRPr="00EC0229">
        <w:rPr>
          <w:sz w:val="20"/>
          <w:szCs w:val="20"/>
        </w:rPr>
        <w:t>(Courtesy</w:t>
      </w:r>
      <w:r w:rsidR="00565E13" w:rsidRPr="00EC0229">
        <w:rPr>
          <w:sz w:val="20"/>
          <w:szCs w:val="20"/>
        </w:rPr>
        <w:t xml:space="preserve"> R. Bude)</w:t>
      </w:r>
    </w:p>
    <w:p w14:paraId="5CFFA41F" w14:textId="77777777" w:rsidR="00854613" w:rsidRPr="00EC0229" w:rsidRDefault="00854613" w:rsidP="007600EA">
      <w:pPr>
        <w:pStyle w:val="NoSpacing"/>
        <w:spacing w:line="360" w:lineRule="auto"/>
      </w:pPr>
    </w:p>
    <w:p w14:paraId="56481593" w14:textId="1D490E10" w:rsidR="00854613" w:rsidRPr="00EC0229" w:rsidRDefault="00F139AF" w:rsidP="007600EA">
      <w:pPr>
        <w:pStyle w:val="NoSpacing"/>
        <w:spacing w:line="360" w:lineRule="auto"/>
      </w:pPr>
      <w:r w:rsidRPr="00EC0229">
        <w:t>The ninth century</w:t>
      </w:r>
      <w:r w:rsidR="00854613" w:rsidRPr="00EC0229">
        <w:t xml:space="preserve"> coins include six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00854613" w:rsidRPr="00EC0229">
        <w:t xml:space="preserve"> coins of Eanred</w:t>
      </w:r>
      <w:r w:rsidR="00081982" w:rsidRPr="00EC0229">
        <w:t>, [N9],</w:t>
      </w:r>
      <w:r w:rsidR="00D142DC" w:rsidRPr="00EC0229">
        <w:fldChar w:fldCharType="begin"/>
      </w:r>
      <w:r w:rsidR="00D142DC" w:rsidRPr="00EC0229">
        <w:instrText xml:space="preserve"> XE "Eanred" </w:instrText>
      </w:r>
      <w:r w:rsidR="00D142DC" w:rsidRPr="00EC0229">
        <w:fldChar w:fldCharType="end"/>
      </w:r>
      <w:r w:rsidR="002A2776" w:rsidRPr="00EC0229">
        <w:t xml:space="preserve"> and brass stycas of Eanred (three</w:t>
      </w:r>
      <w:r w:rsidR="00854613" w:rsidRPr="00EC0229">
        <w:t>),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00854613" w:rsidRPr="00EC0229">
        <w:t xml:space="preserve"> II</w:t>
      </w:r>
      <w:r w:rsidR="002A2776" w:rsidRPr="00EC0229">
        <w:t xml:space="preserve"> (two of each reign</w:t>
      </w:r>
      <w:r w:rsidR="00854613" w:rsidRPr="00EC0229">
        <w:t>), Redw</w:t>
      </w:r>
      <w:r w:rsidR="002A2776" w:rsidRPr="00EC0229">
        <w:t>ulf (one</w:t>
      </w:r>
      <w:r w:rsidR="00854613" w:rsidRPr="00EC0229">
        <w:t>)</w:t>
      </w:r>
      <w:r w:rsidR="00081982" w:rsidRPr="00EC0229">
        <w:t>, [N10a],</w:t>
      </w:r>
      <w:r w:rsidR="00854613" w:rsidRPr="00EC0229">
        <w:t xml:space="preserve"> and a bronze styca of Osberht</w:t>
      </w:r>
      <w:r w:rsidR="00D142DC" w:rsidRPr="00EC0229">
        <w:fldChar w:fldCharType="begin"/>
      </w:r>
      <w:r w:rsidR="00D142DC" w:rsidRPr="00EC0229">
        <w:instrText xml:space="preserve"> XE "Osberht" </w:instrText>
      </w:r>
      <w:r w:rsidR="00D142DC" w:rsidRPr="00EC0229">
        <w:fldChar w:fldCharType="end"/>
      </w:r>
      <w:r w:rsidR="00854613" w:rsidRPr="00EC0229">
        <w:t xml:space="preserve">, </w:t>
      </w:r>
      <w:r w:rsidR="00081982" w:rsidRPr="00EC0229">
        <w:t xml:space="preserve">[N10b], </w:t>
      </w:r>
      <w:r w:rsidR="00854613" w:rsidRPr="00EC0229">
        <w:t>but no coins of the archbishops</w:t>
      </w:r>
      <w:r w:rsidR="00705B66" w:rsidRPr="00EC0229">
        <w:t>. However</w:t>
      </w:r>
      <w:r w:rsidR="00854613" w:rsidRPr="00EC0229">
        <w:t>, cessation of activity prior to the arrival of the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00854613" w:rsidRPr="00EC0229">
        <w:t xml:space="preserve"> </w:t>
      </w:r>
      <w:r w:rsidR="00854613" w:rsidRPr="00EC0229">
        <w:rPr>
          <w:i/>
        </w:rPr>
        <w:t>micel here</w:t>
      </w:r>
      <w:r w:rsidR="00705B66" w:rsidRPr="00EC0229">
        <w:t xml:space="preserve"> is unlikely in view of a recent find of a Viking penny.</w:t>
      </w:r>
      <w:r w:rsidR="008960AE" w:rsidRPr="00D9456C">
        <w:fldChar w:fldCharType="begin"/>
      </w:r>
      <w:r w:rsidR="008960AE" w:rsidRPr="00D9456C">
        <w:instrText xml:space="preserve"> XE "</w:instrText>
      </w:r>
      <w:r w:rsidR="008960AE" w:rsidRPr="00D9456C">
        <w:rPr>
          <w:rFonts w:cs="Times New Roman"/>
          <w:color w:val="000000" w:themeColor="text1"/>
          <w:szCs w:val="24"/>
        </w:rPr>
        <w:instrText>micel here</w:instrText>
      </w:r>
      <w:r w:rsidR="008960AE" w:rsidRPr="00D9456C">
        <w:instrText xml:space="preserve">" </w:instrText>
      </w:r>
      <w:r w:rsidR="008960AE" w:rsidRPr="00D9456C">
        <w:fldChar w:fldCharType="end"/>
      </w:r>
      <w:r w:rsidR="00705B66" w:rsidRPr="00D9456C">
        <w:rPr>
          <w:rStyle w:val="FootnoteReference"/>
        </w:rPr>
        <w:footnoteReference w:id="1102"/>
      </w:r>
      <w:r w:rsidR="00D9456C">
        <w:t xml:space="preserve"> See </w:t>
      </w:r>
      <w:r w:rsidR="00D9456C" w:rsidRPr="00A07A08">
        <w:rPr>
          <w:i/>
        </w:rPr>
        <w:t>Graph 7.</w:t>
      </w:r>
      <w:r w:rsidR="00D9456C">
        <w:rPr>
          <w:i/>
        </w:rPr>
        <w:t>05 no. 19</w:t>
      </w:r>
      <w:r w:rsidR="00D9456C">
        <w:t>.</w:t>
      </w:r>
    </w:p>
    <w:p w14:paraId="267079DA" w14:textId="77777777" w:rsidR="00854613" w:rsidRPr="00EC0229" w:rsidRDefault="00854613" w:rsidP="007600EA">
      <w:pPr>
        <w:pStyle w:val="NoSpacing"/>
        <w:spacing w:line="360" w:lineRule="auto"/>
      </w:pPr>
    </w:p>
    <w:p w14:paraId="43FF64AE" w14:textId="0C62FF92" w:rsidR="00854613" w:rsidRPr="00EC0229" w:rsidRDefault="002A2776" w:rsidP="007600EA">
      <w:pPr>
        <w:pStyle w:val="NoSpacing"/>
        <w:spacing w:line="360" w:lineRule="auto"/>
      </w:pPr>
      <w:r w:rsidRPr="00EC0229">
        <w:lastRenderedPageBreak/>
        <w:t>M</w:t>
      </w:r>
      <w:r w:rsidR="00854613" w:rsidRPr="00EC0229">
        <w:t xml:space="preserve">any of the coin recoveries </w:t>
      </w:r>
      <w:r w:rsidRPr="00EC0229">
        <w:t xml:space="preserve">were </w:t>
      </w:r>
      <w:r w:rsidR="00854613" w:rsidRPr="00EC0229">
        <w:t>‘as struck’</w:t>
      </w:r>
      <w:r w:rsidRPr="00EC0229">
        <w:t xml:space="preserve"> according to Leahy</w:t>
      </w:r>
      <w:r w:rsidR="00854613" w:rsidRPr="00EC0229">
        <w:t>,</w:t>
      </w:r>
      <w:r w:rsidR="00854613" w:rsidRPr="00EC0229">
        <w:rPr>
          <w:rStyle w:val="FootnoteReference"/>
        </w:rPr>
        <w:footnoteReference w:id="1103"/>
      </w:r>
      <w:r w:rsidR="00854613" w:rsidRPr="00EC0229">
        <w:t xml:space="preserve"> though Pirie</w:t>
      </w:r>
      <w:r w:rsidR="00716433" w:rsidRPr="00EC0229">
        <w:fldChar w:fldCharType="begin"/>
      </w:r>
      <w:r w:rsidR="00716433" w:rsidRPr="00EC0229">
        <w:instrText xml:space="preserve"> XE "Pirie" </w:instrText>
      </w:r>
      <w:r w:rsidR="00716433" w:rsidRPr="00EC0229">
        <w:fldChar w:fldCharType="end"/>
      </w:r>
      <w:r w:rsidR="00854613" w:rsidRPr="00EC0229">
        <w:t>’s plate, be it of the same specimens, demonstrates this to be an exaggeration.</w:t>
      </w:r>
      <w:r w:rsidR="00854613" w:rsidRPr="00EC0229">
        <w:rPr>
          <w:rStyle w:val="FootnoteReference"/>
        </w:rPr>
        <w:footnoteReference w:id="1104"/>
      </w:r>
      <w:r w:rsidR="00854613" w:rsidRPr="00EC0229">
        <w:t xml:space="preserve"> Undoubtedly, the site is strong in higher quality coins – fantastic animal sceats and the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00854613" w:rsidRPr="00EC0229">
        <w:t xml:space="preserve"> coins of Eanred</w:t>
      </w:r>
      <w:r w:rsidR="00D142DC" w:rsidRPr="00EC0229">
        <w:fldChar w:fldCharType="begin"/>
      </w:r>
      <w:r w:rsidR="00D142DC" w:rsidRPr="00EC0229">
        <w:instrText xml:space="preserve"> XE "Eanred" </w:instrText>
      </w:r>
      <w:r w:rsidR="00D142DC" w:rsidRPr="00EC0229">
        <w:fldChar w:fldCharType="end"/>
      </w:r>
      <w:r w:rsidR="00854613" w:rsidRPr="00EC0229">
        <w:t xml:space="preserve"> – with good continuity provided by specimens from Ælfwald</w:t>
      </w:r>
      <w:r w:rsidR="004C29A9" w:rsidRPr="00EC0229">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fldChar w:fldCharType="end"/>
      </w:r>
      <w:r w:rsidR="00854613" w:rsidRPr="00EC0229">
        <w:t xml:space="preserve"> I,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00854613" w:rsidRPr="00EC0229">
        <w:t xml:space="preserve"> I and Eardwulf. This signals a </w:t>
      </w:r>
      <w:r w:rsidR="002E3BB3" w:rsidRPr="00EC0229">
        <w:t>high-status</w:t>
      </w:r>
      <w:r w:rsidR="00854613" w:rsidRPr="00EC0229">
        <w:t xml:space="preserve"> site, albeit short-lived.</w:t>
      </w:r>
    </w:p>
    <w:p w14:paraId="37C641CD" w14:textId="77777777" w:rsidR="00854613" w:rsidRPr="00EC0229" w:rsidRDefault="00854613" w:rsidP="007600EA">
      <w:pPr>
        <w:pStyle w:val="NoSpacing"/>
        <w:spacing w:line="360" w:lineRule="auto"/>
      </w:pPr>
    </w:p>
    <w:p w14:paraId="4BD7201A" w14:textId="0EBD75FD" w:rsidR="00854613" w:rsidRPr="007A3166" w:rsidRDefault="00854613" w:rsidP="00C97BF2">
      <w:pPr>
        <w:pStyle w:val="Heading4"/>
        <w:spacing w:line="360" w:lineRule="auto"/>
        <w:rPr>
          <w:b/>
        </w:rPr>
      </w:pPr>
      <w:bookmarkStart w:id="777" w:name="_Toc468266904"/>
      <w:bookmarkStart w:id="778" w:name="BurtonFleming"/>
      <w:r w:rsidRPr="007A3166">
        <w:rPr>
          <w:b/>
        </w:rPr>
        <w:t>Burton Fleming</w:t>
      </w:r>
      <w:bookmarkEnd w:id="777"/>
      <w:r w:rsidR="006B1593" w:rsidRPr="007A3166">
        <w:rPr>
          <w:b/>
        </w:rPr>
        <w:fldChar w:fldCharType="begin"/>
      </w:r>
      <w:r w:rsidR="006B1593" w:rsidRPr="007A3166">
        <w:rPr>
          <w:b/>
        </w:rPr>
        <w:instrText xml:space="preserve"> XE "</w:instrText>
      </w:r>
      <w:r w:rsidR="006B1593" w:rsidRPr="007A3166">
        <w:rPr>
          <w:rStyle w:val="Hyperlink"/>
          <w:b/>
          <w:noProof/>
          <w:u w:val="none"/>
        </w:rPr>
        <w:instrText>Burton Fleming</w:instrText>
      </w:r>
      <w:r w:rsidR="006B1593" w:rsidRPr="007A3166">
        <w:rPr>
          <w:b/>
        </w:rPr>
        <w:instrText xml:space="preserve">" </w:instrText>
      </w:r>
      <w:r w:rsidR="006B1593" w:rsidRPr="007A3166">
        <w:rPr>
          <w:b/>
        </w:rPr>
        <w:fldChar w:fldCharType="end"/>
      </w:r>
    </w:p>
    <w:bookmarkEnd w:id="778"/>
    <w:p w14:paraId="16F75BFE" w14:textId="66E55CE7" w:rsidR="00854613" w:rsidRPr="00EC0229" w:rsidRDefault="00854613" w:rsidP="007600EA">
      <w:pPr>
        <w:pStyle w:val="NoSpacing"/>
        <w:spacing w:line="360" w:lineRule="auto"/>
      </w:pPr>
      <w:r w:rsidRPr="00EC0229">
        <w:t>Burton Fleming</w:t>
      </w:r>
      <w:r w:rsidR="006B1593" w:rsidRPr="00EC0229">
        <w:fldChar w:fldCharType="begin"/>
      </w:r>
      <w:r w:rsidR="006B1593" w:rsidRPr="00EC0229">
        <w:instrText xml:space="preserve"> XE "</w:instrText>
      </w:r>
      <w:r w:rsidR="006B1593" w:rsidRPr="00EC0229">
        <w:rPr>
          <w:rStyle w:val="Hyperlink"/>
          <w:noProof/>
          <w:u w:val="none"/>
        </w:rPr>
        <w:instrText>Burton Fleming</w:instrText>
      </w:r>
      <w:r w:rsidR="006B1593" w:rsidRPr="00EC0229">
        <w:instrText xml:space="preserve">" </w:instrText>
      </w:r>
      <w:r w:rsidR="006B1593" w:rsidRPr="00EC0229">
        <w:fldChar w:fldCharType="end"/>
      </w:r>
      <w:r w:rsidRPr="00EC0229">
        <w:t xml:space="preserve"> is on one of the parallel east-west routes through the northern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running from North Grimston through several villages including Weaverthorpe and Wold Newton onto Bridlington. It lies in the Gypsey Race valley, seven miles west of Bridlington and north of Rudston</w:t>
      </w:r>
      <w:r w:rsidR="006B1593" w:rsidRPr="00EC0229">
        <w:fldChar w:fldCharType="begin"/>
      </w:r>
      <w:r w:rsidR="006B1593" w:rsidRPr="00EC0229">
        <w:instrText xml:space="preserve"> XE "</w:instrText>
      </w:r>
      <w:r w:rsidR="006B1593" w:rsidRPr="00EC0229">
        <w:rPr>
          <w:rStyle w:val="Hyperlink"/>
          <w:noProof/>
          <w:u w:val="none"/>
        </w:rPr>
        <w:instrText>Rudston</w:instrText>
      </w:r>
      <w:r w:rsidR="006B1593" w:rsidRPr="00EC0229">
        <w:instrText xml:space="preserve">" </w:instrText>
      </w:r>
      <w:r w:rsidR="006B1593" w:rsidRPr="00EC0229">
        <w:fldChar w:fldCharType="end"/>
      </w:r>
      <w:r w:rsidRPr="00EC0229">
        <w:t xml:space="preserve"> </w:t>
      </w:r>
      <w:r w:rsidR="00862F15" w:rsidRPr="00EC0229">
        <w:t>and</w:t>
      </w:r>
      <w:r w:rsidRPr="00EC0229">
        <w:t xml:space="preserve"> Thwing</w:t>
      </w:r>
      <w:r w:rsidR="006B1593" w:rsidRPr="00EC0229">
        <w:fldChar w:fldCharType="begin"/>
      </w:r>
      <w:r w:rsidR="006B1593" w:rsidRPr="00EC0229">
        <w:instrText xml:space="preserve"> XE "</w:instrText>
      </w:r>
      <w:r w:rsidR="006B1593" w:rsidRPr="00EC0229">
        <w:rPr>
          <w:rStyle w:val="Hyperlink"/>
          <w:noProof/>
          <w:u w:val="none"/>
        </w:rPr>
        <w:instrText>Thwing</w:instrText>
      </w:r>
      <w:r w:rsidR="006B1593" w:rsidRPr="00EC0229">
        <w:instrText xml:space="preserve">" </w:instrText>
      </w:r>
      <w:r w:rsidR="006B1593" w:rsidRPr="00EC0229">
        <w:fldChar w:fldCharType="end"/>
      </w:r>
      <w:r w:rsidRPr="00EC0229">
        <w:t>. This is the site of the first find of a sceat of king Eardwulf</w:t>
      </w:r>
      <w:r w:rsidR="003C538B" w:rsidRPr="00EC0229">
        <w:t xml:space="preserve"> </w:t>
      </w:r>
      <w:r w:rsidR="003C538B"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_Ref430249141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140</w:t>
      </w:r>
      <w:r w:rsidR="00C44C51" w:rsidRPr="00EC0229">
        <w:rPr>
          <w:rFonts w:eastAsia="Times New Roman" w:cs="Times New Roman"/>
          <w:iCs/>
          <w:szCs w:val="24"/>
          <w:lang w:eastAsia="en-GB"/>
        </w:rPr>
        <w:fldChar w:fldCharType="end"/>
      </w:r>
      <w:r w:rsidR="003C538B" w:rsidRPr="00EC0229">
        <w:rPr>
          <w:rFonts w:eastAsia="Times New Roman" w:cs="Times New Roman"/>
          <w:iCs/>
          <w:szCs w:val="24"/>
          <w:lang w:eastAsia="en-GB"/>
        </w:rPr>
        <w:t>)</w:t>
      </w:r>
      <w:r w:rsidR="00081982" w:rsidRPr="00EC0229">
        <w:rPr>
          <w:rFonts w:eastAsia="Times New Roman" w:cs="Times New Roman"/>
          <w:iCs/>
          <w:szCs w:val="24"/>
          <w:lang w:eastAsia="en-GB"/>
        </w:rPr>
        <w:t>, [N8]</w:t>
      </w:r>
      <w:r w:rsidRPr="00EC0229">
        <w:t>.</w:t>
      </w:r>
      <w:r w:rsidRPr="00EC0229">
        <w:rPr>
          <w:rStyle w:val="FootnoteReference"/>
        </w:rPr>
        <w:footnoteReference w:id="1105"/>
      </w:r>
      <w:r w:rsidRPr="00EC0229">
        <w:t xml:space="preserve"> </w:t>
      </w:r>
    </w:p>
    <w:p w14:paraId="2A90CAE2" w14:textId="77777777" w:rsidR="00854613" w:rsidRPr="00EC0229" w:rsidRDefault="00854613" w:rsidP="007600EA">
      <w:pPr>
        <w:pStyle w:val="NoSpacing"/>
        <w:spacing w:line="360" w:lineRule="auto"/>
      </w:pPr>
    </w:p>
    <w:p w14:paraId="0FC40F01"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1FD1E38C" wp14:editId="521334EB">
            <wp:extent cx="799599" cy="770654"/>
            <wp:effectExtent l="0" t="0" r="63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6-30 Burton Fleming 1995.6001obv.jpg"/>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805247" cy="776098"/>
                    </a:xfrm>
                    <a:prstGeom prst="rect">
                      <a:avLst/>
                    </a:prstGeom>
                  </pic:spPr>
                </pic:pic>
              </a:graphicData>
            </a:graphic>
          </wp:inline>
        </w:drawing>
      </w:r>
      <w:r w:rsidRPr="00EC0229">
        <w:rPr>
          <w:noProof/>
          <w:lang w:eastAsia="en-GB"/>
        </w:rPr>
        <w:drawing>
          <wp:inline distT="0" distB="0" distL="0" distR="0" wp14:anchorId="45E20B04" wp14:editId="0BCD64A9">
            <wp:extent cx="764540" cy="76454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6-30 Burton Fleming 1995.6001rev.jpg"/>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765130" cy="765130"/>
                    </a:xfrm>
                    <a:prstGeom prst="rect">
                      <a:avLst/>
                    </a:prstGeom>
                  </pic:spPr>
                </pic:pic>
              </a:graphicData>
            </a:graphic>
          </wp:inline>
        </w:drawing>
      </w:r>
    </w:p>
    <w:p w14:paraId="5876543A" w14:textId="6299D10C" w:rsidR="00941A45" w:rsidRDefault="003977B6" w:rsidP="007600EA">
      <w:pPr>
        <w:pStyle w:val="NoSpacing"/>
        <w:spacing w:line="360" w:lineRule="auto"/>
        <w:jc w:val="center"/>
        <w:rPr>
          <w:sz w:val="20"/>
          <w:szCs w:val="20"/>
        </w:rPr>
      </w:pPr>
      <w:bookmarkStart w:id="779" w:name="_Ref430249141"/>
      <w:bookmarkStart w:id="780" w:name="_Toc468267112"/>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140</w:t>
      </w:r>
      <w:r w:rsidR="00B609E3" w:rsidRPr="00EC0229">
        <w:rPr>
          <w:sz w:val="20"/>
          <w:szCs w:val="20"/>
        </w:rPr>
        <w:fldChar w:fldCharType="end"/>
      </w:r>
      <w:bookmarkEnd w:id="779"/>
      <w:r w:rsidR="003C538B" w:rsidRPr="00EC0229">
        <w:rPr>
          <w:sz w:val="20"/>
          <w:szCs w:val="20"/>
        </w:rPr>
        <w:t xml:space="preserve">: </w:t>
      </w:r>
      <w:r w:rsidR="00941A45">
        <w:rPr>
          <w:sz w:val="20"/>
          <w:szCs w:val="20"/>
        </w:rPr>
        <w:t>First known sceat of Eardwulf</w:t>
      </w:r>
      <w:bookmarkEnd w:id="780"/>
    </w:p>
    <w:p w14:paraId="6F80571A" w14:textId="33DA4ADA" w:rsidR="00854613" w:rsidRPr="00EC0229" w:rsidRDefault="00854613" w:rsidP="007600EA">
      <w:pPr>
        <w:pStyle w:val="NoSpacing"/>
        <w:spacing w:line="360" w:lineRule="auto"/>
        <w:jc w:val="center"/>
        <w:rPr>
          <w:sz w:val="20"/>
          <w:szCs w:val="20"/>
        </w:rPr>
      </w:pPr>
      <w:r w:rsidRPr="00EC0229">
        <w:rPr>
          <w:sz w:val="20"/>
          <w:szCs w:val="20"/>
        </w:rPr>
        <w:t>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Pr="00EC0229">
        <w:rPr>
          <w:sz w:val="20"/>
          <w:szCs w:val="20"/>
        </w:rPr>
        <w:t xml:space="preserve"> 1995.6001</w:t>
      </w:r>
    </w:p>
    <w:p w14:paraId="299A7410" w14:textId="77777777" w:rsidR="00854613" w:rsidRPr="00EC0229" w:rsidRDefault="00854613" w:rsidP="007600EA">
      <w:pPr>
        <w:pStyle w:val="NoSpacing"/>
        <w:spacing w:line="360" w:lineRule="auto"/>
        <w:jc w:val="center"/>
        <w:rPr>
          <w:sz w:val="20"/>
          <w:szCs w:val="20"/>
        </w:rPr>
      </w:pPr>
    </w:p>
    <w:p w14:paraId="256347C8" w14:textId="27F77CD6" w:rsidR="00854613" w:rsidRPr="00EC0229" w:rsidRDefault="00F23E31" w:rsidP="007600EA">
      <w:pPr>
        <w:pStyle w:val="NoSpacing"/>
        <w:spacing w:line="360" w:lineRule="auto"/>
      </w:pPr>
      <w:r w:rsidRPr="00EC0229">
        <w:t>All but one of the other twenty-</w:t>
      </w:r>
      <w:r w:rsidR="00854613" w:rsidRPr="00EC0229">
        <w:t>nine entries are from the concerted effort in the light of this then unique and significant find. All finds are Northumbrian. The eleven sceats include five fantastic animal types: Eadberht</w:t>
      </w:r>
      <w:r w:rsidR="00D142DC" w:rsidRPr="00EC0229">
        <w:fldChar w:fldCharType="begin"/>
      </w:r>
      <w:r w:rsidR="00D142DC" w:rsidRPr="00EC0229">
        <w:instrText xml:space="preserve"> XE "Eadberht" </w:instrText>
      </w:r>
      <w:r w:rsidR="00D142DC" w:rsidRPr="00EC0229">
        <w:fldChar w:fldCharType="end"/>
      </w:r>
      <w:r w:rsidR="00BD4B40" w:rsidRPr="00EC0229">
        <w:t xml:space="preserve"> (three</w:t>
      </w:r>
      <w:r w:rsidR="00854613" w:rsidRPr="00EC0229">
        <w:t>),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00854613" w:rsidRPr="00EC0229">
        <w:t xml:space="preserve"> I (</w:t>
      </w:r>
      <w:r w:rsidR="00BD4B40" w:rsidRPr="00EC0229">
        <w:t>one</w:t>
      </w:r>
      <w:r w:rsidR="00854613" w:rsidRPr="00EC0229">
        <w:t>) and Ælfwald</w:t>
      </w:r>
      <w:r w:rsidR="004C29A9" w:rsidRPr="00EC0229">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fldChar w:fldCharType="end"/>
      </w:r>
      <w:r w:rsidR="00854613" w:rsidRPr="00EC0229">
        <w:t xml:space="preserve"> I (</w:t>
      </w:r>
      <w:r w:rsidR="00BD4B40" w:rsidRPr="00EC0229">
        <w:t>one</w:t>
      </w:r>
      <w:r w:rsidR="00854613" w:rsidRPr="00EC0229">
        <w:t>)</w:t>
      </w:r>
      <w:r w:rsidR="00BD4B40" w:rsidRPr="00EC0229">
        <w:t>,</w:t>
      </w:r>
      <w:r w:rsidR="00081982" w:rsidRPr="00EC0229">
        <w:t xml:space="preserve"> [N6],</w:t>
      </w:r>
      <w:r w:rsidR="00854613" w:rsidRPr="00EC0229">
        <w:t xml:space="preserve"> three different joint issues</w:t>
      </w:r>
      <w:r w:rsidR="00081982" w:rsidRPr="00EC0229">
        <w:t xml:space="preserve">, [N7], </w:t>
      </w:r>
      <w:r w:rsidR="00854613" w:rsidRPr="00EC0229">
        <w:t>and three d</w:t>
      </w:r>
      <w:r w:rsidR="00BD4B40" w:rsidRPr="00EC0229">
        <w:t>ifferent inscriptional issues</w:t>
      </w:r>
      <w:r w:rsidR="00081982" w:rsidRPr="00EC0229">
        <w:t>, [N8],</w:t>
      </w:r>
      <w:r w:rsidR="00BD4B40" w:rsidRPr="00EC0229">
        <w:t xml:space="preserve"> </w:t>
      </w:r>
      <w:r w:rsidR="00854613" w:rsidRPr="00EC0229">
        <w:t>by the key moneyer Cuthheard</w:t>
      </w:r>
      <w:r w:rsidR="00D142DC" w:rsidRPr="00EC0229">
        <w:fldChar w:fldCharType="begin"/>
      </w:r>
      <w:r w:rsidR="00D142DC" w:rsidRPr="00EC0229">
        <w:instrText xml:space="preserve"> XE "Cuthheard" </w:instrText>
      </w:r>
      <w:r w:rsidR="00D142DC" w:rsidRPr="00EC0229">
        <w:fldChar w:fldCharType="end"/>
      </w:r>
      <w:r w:rsidR="00854613" w:rsidRPr="00EC0229">
        <w:t>. There are none of Eanred</w:t>
      </w:r>
      <w:r w:rsidR="00D142DC" w:rsidRPr="00EC0229">
        <w:fldChar w:fldCharType="begin"/>
      </w:r>
      <w:r w:rsidR="00D142DC" w:rsidRPr="00EC0229">
        <w:instrText xml:space="preserve"> XE "Eanred" </w:instrText>
      </w:r>
      <w:r w:rsidR="00D142DC" w:rsidRPr="00EC0229">
        <w:fldChar w:fldCharType="end"/>
      </w:r>
      <w:r w:rsidR="00854613" w:rsidRPr="00EC0229">
        <w:t xml:space="preserve">’s initial issue but brass stycas of Eanred, Æthelred II </w:t>
      </w:r>
      <w:r w:rsidR="00862F15" w:rsidRPr="00EC0229">
        <w:t>and</w:t>
      </w:r>
      <w:r w:rsidR="00854613" w:rsidRPr="00EC0229">
        <w:t xml:space="preserve"> Wigmund</w:t>
      </w:r>
      <w:r w:rsidR="00BD4B40" w:rsidRPr="00EC0229">
        <w:t>,</w:t>
      </w:r>
      <w:r w:rsidR="00D142DC" w:rsidRPr="00EC0229">
        <w:fldChar w:fldCharType="begin"/>
      </w:r>
      <w:r w:rsidR="00D142DC" w:rsidRPr="00EC0229">
        <w:instrText xml:space="preserve"> XE "Wigmund" </w:instrText>
      </w:r>
      <w:r w:rsidR="00D142DC" w:rsidRPr="00EC0229">
        <w:fldChar w:fldCharType="end"/>
      </w:r>
      <w:r w:rsidR="00854613" w:rsidRPr="00EC0229">
        <w:t xml:space="preserve"> </w:t>
      </w:r>
      <w:r w:rsidR="00081982" w:rsidRPr="00EC0229">
        <w:t xml:space="preserve">[N10a] </w:t>
      </w:r>
      <w:r w:rsidR="00854613" w:rsidRPr="00EC0229">
        <w:t>and eight illegible specimens</w:t>
      </w:r>
      <w:r w:rsidR="00081982" w:rsidRPr="00EC0229">
        <w:t>, [N10c]</w:t>
      </w:r>
      <w:r w:rsidR="00854613" w:rsidRPr="00EC0229">
        <w:t xml:space="preserve">. The silver coins </w:t>
      </w:r>
      <w:r w:rsidR="00BD4B40" w:rsidRPr="00EC0229">
        <w:t>are</w:t>
      </w:r>
      <w:r w:rsidR="00854613" w:rsidRPr="00EC0229">
        <w:t xml:space="preserve"> a more representative selection than the base issues.</w:t>
      </w:r>
      <w:r w:rsidR="00D9456C">
        <w:t xml:space="preserve"> See </w:t>
      </w:r>
      <w:r w:rsidR="00D9456C" w:rsidRPr="00A07A08">
        <w:rPr>
          <w:i/>
        </w:rPr>
        <w:t>Graph 7.</w:t>
      </w:r>
      <w:r w:rsidR="00D9456C">
        <w:rPr>
          <w:i/>
        </w:rPr>
        <w:t>05 no. 32</w:t>
      </w:r>
      <w:r w:rsidR="00D9456C">
        <w:t>.</w:t>
      </w:r>
    </w:p>
    <w:p w14:paraId="6CC57F72" w14:textId="77777777" w:rsidR="00854613" w:rsidRPr="00EC0229" w:rsidRDefault="00854613" w:rsidP="007600EA">
      <w:pPr>
        <w:pStyle w:val="NoSpacing"/>
        <w:spacing w:line="360" w:lineRule="auto"/>
        <w:rPr>
          <w:szCs w:val="24"/>
        </w:rPr>
      </w:pPr>
    </w:p>
    <w:p w14:paraId="2C40F7FE" w14:textId="77777777" w:rsidR="00854613" w:rsidRPr="00EC0229" w:rsidRDefault="00854613" w:rsidP="007600EA">
      <w:pPr>
        <w:spacing w:line="360" w:lineRule="auto"/>
      </w:pPr>
    </w:p>
    <w:p w14:paraId="53769CF2" w14:textId="5EA3A40B" w:rsidR="00854613" w:rsidRPr="007A3166" w:rsidRDefault="00854613" w:rsidP="00C97BF2">
      <w:pPr>
        <w:pStyle w:val="Heading4"/>
        <w:spacing w:line="360" w:lineRule="auto"/>
        <w:rPr>
          <w:b/>
        </w:rPr>
      </w:pPr>
      <w:bookmarkStart w:id="781" w:name="_Toc468266905"/>
      <w:bookmarkStart w:id="782" w:name="Rudston"/>
      <w:r w:rsidRPr="007A3166">
        <w:rPr>
          <w:b/>
        </w:rPr>
        <w:t>Rudston</w:t>
      </w:r>
      <w:bookmarkEnd w:id="781"/>
      <w:r w:rsidR="006B1593" w:rsidRPr="007A3166">
        <w:rPr>
          <w:b/>
        </w:rPr>
        <w:fldChar w:fldCharType="begin"/>
      </w:r>
      <w:r w:rsidR="006B1593" w:rsidRPr="007A3166">
        <w:rPr>
          <w:b/>
        </w:rPr>
        <w:instrText xml:space="preserve"> XE "</w:instrText>
      </w:r>
      <w:r w:rsidR="006B1593" w:rsidRPr="007A3166">
        <w:rPr>
          <w:rStyle w:val="Hyperlink"/>
          <w:b/>
          <w:noProof/>
          <w:u w:val="none"/>
        </w:rPr>
        <w:instrText>Rudston</w:instrText>
      </w:r>
      <w:r w:rsidR="006B1593" w:rsidRPr="007A3166">
        <w:rPr>
          <w:b/>
        </w:rPr>
        <w:instrText xml:space="preserve">" </w:instrText>
      </w:r>
      <w:r w:rsidR="006B1593" w:rsidRPr="007A3166">
        <w:rPr>
          <w:b/>
        </w:rPr>
        <w:fldChar w:fldCharType="end"/>
      </w:r>
    </w:p>
    <w:bookmarkEnd w:id="782"/>
    <w:p w14:paraId="086FC94F" w14:textId="7F08ABCF" w:rsidR="00854613" w:rsidRPr="00EC0229" w:rsidRDefault="00854613" w:rsidP="007600EA">
      <w:pPr>
        <w:pStyle w:val="NoSpacing"/>
        <w:spacing w:line="360" w:lineRule="auto"/>
        <w:rPr>
          <w:szCs w:val="24"/>
        </w:rPr>
      </w:pPr>
      <w:r w:rsidRPr="00EC0229">
        <w:t>The Neolithic cursus monuments for which Rudston</w:t>
      </w:r>
      <w:r w:rsidR="006B1593" w:rsidRPr="00EC0229">
        <w:fldChar w:fldCharType="begin"/>
      </w:r>
      <w:r w:rsidR="006B1593" w:rsidRPr="00EC0229">
        <w:instrText xml:space="preserve"> XE "</w:instrText>
      </w:r>
      <w:r w:rsidR="006B1593" w:rsidRPr="00EC0229">
        <w:rPr>
          <w:rStyle w:val="Hyperlink"/>
          <w:noProof/>
          <w:u w:val="none"/>
        </w:rPr>
        <w:instrText>Rudston</w:instrText>
      </w:r>
      <w:r w:rsidR="006B1593" w:rsidRPr="00EC0229">
        <w:instrText xml:space="preserve">" </w:instrText>
      </w:r>
      <w:r w:rsidR="006B1593" w:rsidRPr="00EC0229">
        <w:fldChar w:fldCharType="end"/>
      </w:r>
      <w:r w:rsidRPr="00EC0229">
        <w:t xml:space="preserve"> is famous lie close to the intermittent Gypsey </w:t>
      </w:r>
      <w:r w:rsidR="00BD4B40" w:rsidRPr="00EC0229">
        <w:t>Race in the Great Wold Valley, six</w:t>
      </w:r>
      <w:r w:rsidRPr="00EC0229">
        <w:t xml:space="preserve"> miles west of Bridlington. The Roman</w:t>
      </w:r>
      <w:r w:rsidR="00D142DC" w:rsidRPr="00EC0229">
        <w:fldChar w:fldCharType="begin"/>
      </w:r>
      <w:r w:rsidR="00D142DC" w:rsidRPr="00EC0229">
        <w:instrText xml:space="preserve"> XE "Roman" </w:instrText>
      </w:r>
      <w:r w:rsidR="00D142DC" w:rsidRPr="00EC0229">
        <w:fldChar w:fldCharType="end"/>
      </w:r>
      <w:r w:rsidR="00727C51" w:rsidRPr="00EC0229">
        <w:t xml:space="preserve"> v</w:t>
      </w:r>
      <w:r w:rsidRPr="00EC0229">
        <w:t xml:space="preserve">illa is noted </w:t>
      </w:r>
      <w:r w:rsidRPr="00EC0229">
        <w:lastRenderedPageBreak/>
        <w:t xml:space="preserve">for its mosaics. </w:t>
      </w:r>
      <w:r w:rsidRPr="00EC0229">
        <w:rPr>
          <w:szCs w:val="24"/>
        </w:rPr>
        <w:t>A small number of coins finds include a denier</w:t>
      </w:r>
      <w:r w:rsidR="004C29A9" w:rsidRPr="00EC0229">
        <w:rPr>
          <w:szCs w:val="24"/>
        </w:rPr>
        <w:fldChar w:fldCharType="begin"/>
      </w:r>
      <w:r w:rsidR="004C29A9" w:rsidRPr="00EC0229">
        <w:instrText xml:space="preserve"> XE "</w:instrText>
      </w:r>
      <w:r w:rsidR="004C29A9" w:rsidRPr="00EC0229">
        <w:rPr>
          <w:rFonts w:cs="Times New Roman"/>
          <w:szCs w:val="24"/>
        </w:rPr>
        <w:instrText>denier</w:instrText>
      </w:r>
      <w:r w:rsidR="004C29A9" w:rsidRPr="00EC0229">
        <w:instrText xml:space="preserve">" </w:instrText>
      </w:r>
      <w:r w:rsidR="004C29A9" w:rsidRPr="00EC0229">
        <w:rPr>
          <w:szCs w:val="24"/>
        </w:rPr>
        <w:fldChar w:fldCharType="end"/>
      </w:r>
      <w:r w:rsidRPr="00EC0229">
        <w:rPr>
          <w:szCs w:val="24"/>
        </w:rPr>
        <w:t xml:space="preserve"> of Lyon</w:t>
      </w:r>
      <w:r w:rsidR="00016A26" w:rsidRPr="00EC0229">
        <w:rPr>
          <w:szCs w:val="24"/>
        </w:rPr>
        <w:t>,</w:t>
      </w:r>
      <w:r w:rsidRPr="00EC0229">
        <w:rPr>
          <w:szCs w:val="24"/>
        </w:rPr>
        <w:t xml:space="preserve"> </w:t>
      </w:r>
      <w:r w:rsidR="00016A26" w:rsidRPr="00EC0229">
        <w:rPr>
          <w:szCs w:val="24"/>
        </w:rPr>
        <w:t xml:space="preserve">[4c], </w:t>
      </w:r>
      <w:r w:rsidRPr="00EC0229">
        <w:rPr>
          <w:szCs w:val="24"/>
        </w:rPr>
        <w:t>and a rare English version of the Interlace Cross type</w:t>
      </w:r>
      <w:r w:rsidR="009714C4" w:rsidRPr="00EC0229">
        <w:rPr>
          <w:szCs w:val="24"/>
        </w:rPr>
        <w:t xml:space="preserve"> </w:t>
      </w:r>
      <w:r w:rsidR="009714C4"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_Ref430249189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141</w:t>
      </w:r>
      <w:r w:rsidR="00C44C51" w:rsidRPr="00EC0229">
        <w:rPr>
          <w:rFonts w:eastAsia="Times New Roman" w:cs="Times New Roman"/>
          <w:iCs/>
          <w:szCs w:val="24"/>
          <w:lang w:eastAsia="en-GB"/>
        </w:rPr>
        <w:fldChar w:fldCharType="end"/>
      </w:r>
      <w:r w:rsidR="009714C4" w:rsidRPr="00EC0229">
        <w:rPr>
          <w:rFonts w:eastAsia="Times New Roman" w:cs="Times New Roman"/>
          <w:iCs/>
          <w:szCs w:val="24"/>
          <w:lang w:eastAsia="en-GB"/>
        </w:rPr>
        <w:t>)</w:t>
      </w:r>
      <w:r w:rsidR="00016A26" w:rsidRPr="00EC0229">
        <w:rPr>
          <w:rFonts w:eastAsia="Times New Roman" w:cs="Times New Roman"/>
          <w:iCs/>
          <w:szCs w:val="24"/>
          <w:lang w:eastAsia="en-GB"/>
        </w:rPr>
        <w:t>, [5c]</w:t>
      </w:r>
      <w:r w:rsidRPr="00EC0229">
        <w:rPr>
          <w:szCs w:val="24"/>
        </w:rPr>
        <w:t>. A silver-alloy</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szCs w:val="24"/>
        </w:rPr>
        <w:fldChar w:fldCharType="end"/>
      </w:r>
      <w:r w:rsidRPr="00EC0229">
        <w:rPr>
          <w:szCs w:val="24"/>
        </w:rPr>
        <w:t xml:space="preserve"> coins of Eanred</w:t>
      </w:r>
      <w:r w:rsidR="00D142DC" w:rsidRPr="00EC0229">
        <w:rPr>
          <w:szCs w:val="24"/>
        </w:rPr>
        <w:fldChar w:fldCharType="begin"/>
      </w:r>
      <w:r w:rsidR="00D142DC" w:rsidRPr="00EC0229">
        <w:instrText xml:space="preserve"> XE "Eanred" </w:instrText>
      </w:r>
      <w:r w:rsidR="00D142DC" w:rsidRPr="00EC0229">
        <w:rPr>
          <w:szCs w:val="24"/>
        </w:rPr>
        <w:fldChar w:fldCharType="end"/>
      </w:r>
      <w:r w:rsidRPr="00EC0229">
        <w:rPr>
          <w:szCs w:val="24"/>
        </w:rPr>
        <w:t xml:space="preserve"> was also detected</w:t>
      </w:r>
      <w:r w:rsidR="009714C4" w:rsidRPr="00EC0229">
        <w:rPr>
          <w:szCs w:val="24"/>
        </w:rPr>
        <w:t xml:space="preserve"> </w:t>
      </w:r>
      <w:r w:rsidR="009714C4"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_Ref430249198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142</w:t>
      </w:r>
      <w:r w:rsidR="00C44C51" w:rsidRPr="00EC0229">
        <w:rPr>
          <w:rFonts w:eastAsia="Times New Roman" w:cs="Times New Roman"/>
          <w:iCs/>
          <w:szCs w:val="24"/>
          <w:lang w:eastAsia="en-GB"/>
        </w:rPr>
        <w:fldChar w:fldCharType="end"/>
      </w:r>
      <w:r w:rsidR="00C44C51" w:rsidRPr="00EC0229">
        <w:rPr>
          <w:rFonts w:eastAsia="Times New Roman" w:cs="Times New Roman"/>
          <w:iCs/>
          <w:szCs w:val="24"/>
          <w:lang w:eastAsia="en-GB"/>
        </w:rPr>
        <w:t>)</w:t>
      </w:r>
      <w:r w:rsidR="00016A26" w:rsidRPr="00EC0229">
        <w:rPr>
          <w:rFonts w:eastAsia="Times New Roman" w:cs="Times New Roman"/>
          <w:iCs/>
          <w:szCs w:val="24"/>
          <w:lang w:eastAsia="en-GB"/>
        </w:rPr>
        <w:t>, [N9]</w:t>
      </w:r>
      <w:r w:rsidR="00C44C51" w:rsidRPr="00EC0229">
        <w:rPr>
          <w:rFonts w:eastAsia="Times New Roman" w:cs="Times New Roman"/>
          <w:iCs/>
          <w:szCs w:val="24"/>
          <w:lang w:eastAsia="en-GB"/>
        </w:rPr>
        <w:t>.</w:t>
      </w:r>
    </w:p>
    <w:p w14:paraId="438A8390" w14:textId="77777777" w:rsidR="00854613" w:rsidRPr="00EC0229" w:rsidRDefault="00854613" w:rsidP="007600EA">
      <w:pPr>
        <w:pStyle w:val="NoSpacing"/>
        <w:spacing w:line="360" w:lineRule="auto"/>
      </w:pPr>
    </w:p>
    <w:p w14:paraId="33E5F711"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3EC0FFBB" wp14:editId="0D1F7D4E">
            <wp:extent cx="886188" cy="875762"/>
            <wp:effectExtent l="0" t="0" r="9525" b="63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udston I245 Lyon.jpg"/>
                    <pic:cNvPicPr/>
                  </pic:nvPicPr>
                  <pic:blipFill>
                    <a:blip r:embed="rId449">
                      <a:extLst>
                        <a:ext uri="{28A0092B-C50C-407E-A947-70E740481C1C}">
                          <a14:useLocalDpi xmlns:a14="http://schemas.microsoft.com/office/drawing/2010/main" val="0"/>
                        </a:ext>
                      </a:extLst>
                    </a:blip>
                    <a:stretch>
                      <a:fillRect/>
                    </a:stretch>
                  </pic:blipFill>
                  <pic:spPr>
                    <a:xfrm>
                      <a:off x="0" y="0"/>
                      <a:ext cx="893603" cy="883090"/>
                    </a:xfrm>
                    <a:prstGeom prst="rect">
                      <a:avLst/>
                    </a:prstGeom>
                  </pic:spPr>
                </pic:pic>
              </a:graphicData>
            </a:graphic>
          </wp:inline>
        </w:drawing>
      </w:r>
      <w:r w:rsidRPr="00EC0229">
        <w:rPr>
          <w:noProof/>
          <w:lang w:eastAsia="en-GB"/>
        </w:rPr>
        <w:drawing>
          <wp:inline distT="0" distB="0" distL="0" distR="0" wp14:anchorId="0C16E10C" wp14:editId="64C43650">
            <wp:extent cx="899704" cy="868680"/>
            <wp:effectExtent l="0" t="0" r="0" b="762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Rudston I245R Lyon.jpg"/>
                    <pic:cNvPicPr/>
                  </pic:nvPicPr>
                  <pic:blipFill>
                    <a:blip r:embed="rId450">
                      <a:extLst>
                        <a:ext uri="{28A0092B-C50C-407E-A947-70E740481C1C}">
                          <a14:useLocalDpi xmlns:a14="http://schemas.microsoft.com/office/drawing/2010/main" val="0"/>
                        </a:ext>
                      </a:extLst>
                    </a:blip>
                    <a:stretch>
                      <a:fillRect/>
                    </a:stretch>
                  </pic:blipFill>
                  <pic:spPr>
                    <a:xfrm>
                      <a:off x="0" y="0"/>
                      <a:ext cx="905520" cy="874295"/>
                    </a:xfrm>
                    <a:prstGeom prst="rect">
                      <a:avLst/>
                    </a:prstGeom>
                  </pic:spPr>
                </pic:pic>
              </a:graphicData>
            </a:graphic>
          </wp:inline>
        </w:drawing>
      </w:r>
      <w:r w:rsidRPr="00EC0229">
        <w:tab/>
      </w:r>
      <w:r w:rsidRPr="00EC0229">
        <w:tab/>
      </w:r>
      <w:r w:rsidRPr="00EC0229">
        <w:rPr>
          <w:noProof/>
          <w:lang w:eastAsia="en-GB"/>
        </w:rPr>
        <w:drawing>
          <wp:inline distT="0" distB="0" distL="0" distR="0" wp14:anchorId="56649AAA" wp14:editId="6C8E5268">
            <wp:extent cx="891540" cy="902028"/>
            <wp:effectExtent l="0" t="0" r="381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udston 20 Int150.JPG"/>
                    <pic:cNvPicPr/>
                  </pic:nvPicPr>
                  <pic:blipFill>
                    <a:blip r:embed="rId451">
                      <a:extLst>
                        <a:ext uri="{28A0092B-C50C-407E-A947-70E740481C1C}">
                          <a14:useLocalDpi xmlns:a14="http://schemas.microsoft.com/office/drawing/2010/main" val="0"/>
                        </a:ext>
                      </a:extLst>
                    </a:blip>
                    <a:stretch>
                      <a:fillRect/>
                    </a:stretch>
                  </pic:blipFill>
                  <pic:spPr>
                    <a:xfrm>
                      <a:off x="0" y="0"/>
                      <a:ext cx="899143" cy="909721"/>
                    </a:xfrm>
                    <a:prstGeom prst="rect">
                      <a:avLst/>
                    </a:prstGeom>
                  </pic:spPr>
                </pic:pic>
              </a:graphicData>
            </a:graphic>
          </wp:inline>
        </w:drawing>
      </w:r>
      <w:r w:rsidRPr="00EC0229">
        <w:rPr>
          <w:noProof/>
          <w:lang w:eastAsia="en-GB"/>
        </w:rPr>
        <w:drawing>
          <wp:inline distT="0" distB="0" distL="0" distR="0" wp14:anchorId="2AFC5A24" wp14:editId="2E1AE262">
            <wp:extent cx="952500" cy="885264"/>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udston 20 Int150R.JPG"/>
                    <pic:cNvPicPr/>
                  </pic:nvPicPr>
                  <pic:blipFill>
                    <a:blip r:embed="rId452">
                      <a:extLst>
                        <a:ext uri="{28A0092B-C50C-407E-A947-70E740481C1C}">
                          <a14:useLocalDpi xmlns:a14="http://schemas.microsoft.com/office/drawing/2010/main" val="0"/>
                        </a:ext>
                      </a:extLst>
                    </a:blip>
                    <a:stretch>
                      <a:fillRect/>
                    </a:stretch>
                  </pic:blipFill>
                  <pic:spPr>
                    <a:xfrm>
                      <a:off x="0" y="0"/>
                      <a:ext cx="958029" cy="890402"/>
                    </a:xfrm>
                    <a:prstGeom prst="rect">
                      <a:avLst/>
                    </a:prstGeom>
                  </pic:spPr>
                </pic:pic>
              </a:graphicData>
            </a:graphic>
          </wp:inline>
        </w:drawing>
      </w:r>
    </w:p>
    <w:p w14:paraId="18441328" w14:textId="2FA5E705" w:rsidR="00854613" w:rsidRPr="00EC0229" w:rsidRDefault="003977B6" w:rsidP="007600EA">
      <w:pPr>
        <w:pStyle w:val="NoSpacing"/>
        <w:spacing w:line="360" w:lineRule="auto"/>
        <w:jc w:val="center"/>
        <w:rPr>
          <w:sz w:val="20"/>
          <w:szCs w:val="20"/>
        </w:rPr>
      </w:pPr>
      <w:bookmarkStart w:id="783" w:name="_Ref430249189"/>
      <w:bookmarkStart w:id="784" w:name="_Toc468267113"/>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141</w:t>
      </w:r>
      <w:r w:rsidR="00B609E3" w:rsidRPr="00EC0229">
        <w:rPr>
          <w:sz w:val="20"/>
          <w:szCs w:val="20"/>
        </w:rPr>
        <w:fldChar w:fldCharType="end"/>
      </w:r>
      <w:bookmarkEnd w:id="783"/>
      <w:r w:rsidR="009714C4" w:rsidRPr="00EC0229">
        <w:rPr>
          <w:sz w:val="20"/>
          <w:szCs w:val="20"/>
        </w:rPr>
        <w:t xml:space="preserve">: </w:t>
      </w:r>
      <w:r w:rsidR="00854613" w:rsidRPr="00EC0229">
        <w:rPr>
          <w:sz w:val="20"/>
          <w:szCs w:val="20"/>
        </w:rPr>
        <w:t>Rudston</w:t>
      </w:r>
      <w:r w:rsidR="006B1593" w:rsidRPr="00EC0229">
        <w:rPr>
          <w:sz w:val="20"/>
          <w:szCs w:val="20"/>
        </w:rPr>
        <w:fldChar w:fldCharType="begin"/>
      </w:r>
      <w:r w:rsidR="006B1593" w:rsidRPr="00EC0229">
        <w:rPr>
          <w:sz w:val="20"/>
          <w:szCs w:val="20"/>
        </w:rPr>
        <w:instrText xml:space="preserve"> XE "Rudston" </w:instrText>
      </w:r>
      <w:r w:rsidR="006B1593" w:rsidRPr="00EC0229">
        <w:rPr>
          <w:sz w:val="20"/>
          <w:szCs w:val="20"/>
        </w:rPr>
        <w:fldChar w:fldCharType="end"/>
      </w:r>
      <w:r w:rsidR="00854613" w:rsidRPr="00EC0229">
        <w:rPr>
          <w:sz w:val="20"/>
          <w:szCs w:val="20"/>
        </w:rPr>
        <w:t>: L: Merovingian</w:t>
      </w:r>
      <w:r w:rsidR="004C29A9" w:rsidRPr="00EC0229">
        <w:rPr>
          <w:sz w:val="20"/>
          <w:szCs w:val="20"/>
        </w:rPr>
        <w:fldChar w:fldCharType="begin"/>
      </w:r>
      <w:r w:rsidR="004C29A9" w:rsidRPr="00EC0229">
        <w:rPr>
          <w:sz w:val="20"/>
          <w:szCs w:val="20"/>
        </w:rPr>
        <w:instrText xml:space="preserve"> XE "Merovingian" </w:instrText>
      </w:r>
      <w:r w:rsidR="004C29A9" w:rsidRPr="00EC0229">
        <w:rPr>
          <w:sz w:val="20"/>
          <w:szCs w:val="20"/>
        </w:rPr>
        <w:fldChar w:fldCharType="end"/>
      </w:r>
      <w:r w:rsidR="00854613" w:rsidRPr="00EC0229">
        <w:rPr>
          <w:sz w:val="20"/>
          <w:szCs w:val="20"/>
        </w:rPr>
        <w:t xml:space="preserve"> denier</w:t>
      </w:r>
      <w:r w:rsidR="004C29A9" w:rsidRPr="00EC0229">
        <w:rPr>
          <w:sz w:val="20"/>
          <w:szCs w:val="20"/>
        </w:rPr>
        <w:fldChar w:fldCharType="begin"/>
      </w:r>
      <w:r w:rsidR="004C29A9" w:rsidRPr="00EC0229">
        <w:rPr>
          <w:sz w:val="20"/>
          <w:szCs w:val="20"/>
        </w:rPr>
        <w:instrText xml:space="preserve"> XE "denier" </w:instrText>
      </w:r>
      <w:r w:rsidR="004C29A9" w:rsidRPr="00EC0229">
        <w:rPr>
          <w:sz w:val="20"/>
          <w:szCs w:val="20"/>
        </w:rPr>
        <w:fldChar w:fldCharType="end"/>
      </w:r>
      <w:r w:rsidR="00854613" w:rsidRPr="00EC0229">
        <w:rPr>
          <w:sz w:val="20"/>
          <w:szCs w:val="20"/>
        </w:rPr>
        <w:t xml:space="preserve"> of Lyon</w:t>
      </w:r>
      <w:r w:rsidR="00854613" w:rsidRPr="00EC0229">
        <w:rPr>
          <w:sz w:val="20"/>
        </w:rPr>
        <w:footnoteReference w:id="1106"/>
      </w:r>
      <w:r w:rsidR="00854613" w:rsidRPr="00EC0229">
        <w:rPr>
          <w:sz w:val="20"/>
          <w:szCs w:val="20"/>
        </w:rPr>
        <w:t>, R: interlaced cross type sceat</w:t>
      </w:r>
      <w:bookmarkEnd w:id="784"/>
    </w:p>
    <w:p w14:paraId="069FA00E" w14:textId="77777777" w:rsidR="00854613" w:rsidRPr="00EC0229" w:rsidRDefault="00854613" w:rsidP="007600EA">
      <w:pPr>
        <w:pStyle w:val="NoSpacing"/>
        <w:spacing w:line="360" w:lineRule="auto"/>
        <w:jc w:val="center"/>
        <w:rPr>
          <w:sz w:val="20"/>
          <w:szCs w:val="20"/>
        </w:rPr>
      </w:pPr>
      <w:r w:rsidRPr="00EC0229">
        <w:rPr>
          <w:noProof/>
          <w:sz w:val="20"/>
          <w:szCs w:val="20"/>
          <w:lang w:eastAsia="en-GB"/>
        </w:rPr>
        <w:drawing>
          <wp:inline distT="0" distB="0" distL="0" distR="0" wp14:anchorId="586B9222" wp14:editId="31D1F599">
            <wp:extent cx="931461" cy="873760"/>
            <wp:effectExtent l="0" t="0" r="2540" b="254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Rudston Gordon Tomlinson 2013 Eanred.JPG"/>
                    <pic:cNvPicPr/>
                  </pic:nvPicPr>
                  <pic:blipFill>
                    <a:blip r:embed="rId453">
                      <a:extLst>
                        <a:ext uri="{28A0092B-C50C-407E-A947-70E740481C1C}">
                          <a14:useLocalDpi xmlns:a14="http://schemas.microsoft.com/office/drawing/2010/main" val="0"/>
                        </a:ext>
                      </a:extLst>
                    </a:blip>
                    <a:stretch>
                      <a:fillRect/>
                    </a:stretch>
                  </pic:blipFill>
                  <pic:spPr>
                    <a:xfrm>
                      <a:off x="0" y="0"/>
                      <a:ext cx="941598" cy="883269"/>
                    </a:xfrm>
                    <a:prstGeom prst="rect">
                      <a:avLst/>
                    </a:prstGeom>
                  </pic:spPr>
                </pic:pic>
              </a:graphicData>
            </a:graphic>
          </wp:inline>
        </w:drawing>
      </w:r>
      <w:r w:rsidRPr="00EC0229">
        <w:rPr>
          <w:noProof/>
          <w:sz w:val="20"/>
          <w:szCs w:val="20"/>
          <w:lang w:eastAsia="en-GB"/>
        </w:rPr>
        <w:drawing>
          <wp:inline distT="0" distB="0" distL="0" distR="0" wp14:anchorId="5EC7C0DA" wp14:editId="303E55F8">
            <wp:extent cx="908897" cy="868680"/>
            <wp:effectExtent l="0" t="0" r="5715" b="762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Rudston Gordon Tomlinson 2013 R.JPG"/>
                    <pic:cNvPicPr/>
                  </pic:nvPicPr>
                  <pic:blipFill>
                    <a:blip r:embed="rId454">
                      <a:extLst>
                        <a:ext uri="{28A0092B-C50C-407E-A947-70E740481C1C}">
                          <a14:useLocalDpi xmlns:a14="http://schemas.microsoft.com/office/drawing/2010/main" val="0"/>
                        </a:ext>
                      </a:extLst>
                    </a:blip>
                    <a:stretch>
                      <a:fillRect/>
                    </a:stretch>
                  </pic:blipFill>
                  <pic:spPr>
                    <a:xfrm>
                      <a:off x="0" y="0"/>
                      <a:ext cx="924610" cy="883697"/>
                    </a:xfrm>
                    <a:prstGeom prst="rect">
                      <a:avLst/>
                    </a:prstGeom>
                  </pic:spPr>
                </pic:pic>
              </a:graphicData>
            </a:graphic>
          </wp:inline>
        </w:drawing>
      </w:r>
    </w:p>
    <w:p w14:paraId="34CBE73E" w14:textId="2C94CE3C" w:rsidR="00854613" w:rsidRPr="00EC0229" w:rsidRDefault="003977B6" w:rsidP="007600EA">
      <w:pPr>
        <w:pStyle w:val="NoSpacing"/>
        <w:spacing w:line="360" w:lineRule="auto"/>
        <w:jc w:val="center"/>
        <w:rPr>
          <w:i/>
          <w:sz w:val="20"/>
          <w:szCs w:val="20"/>
        </w:rPr>
      </w:pPr>
      <w:bookmarkStart w:id="785" w:name="_Ref430249198"/>
      <w:bookmarkStart w:id="786" w:name="_Toc468267114"/>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142</w:t>
      </w:r>
      <w:r w:rsidR="00B609E3" w:rsidRPr="00EC0229">
        <w:rPr>
          <w:sz w:val="20"/>
          <w:szCs w:val="20"/>
        </w:rPr>
        <w:fldChar w:fldCharType="end"/>
      </w:r>
      <w:bookmarkEnd w:id="785"/>
      <w:r w:rsidR="009714C4" w:rsidRPr="00EC0229">
        <w:rPr>
          <w:sz w:val="20"/>
          <w:szCs w:val="20"/>
        </w:rPr>
        <w:t xml:space="preserve">: </w:t>
      </w:r>
      <w:r w:rsidR="00854613" w:rsidRPr="00EC0229">
        <w:rPr>
          <w:sz w:val="20"/>
          <w:szCs w:val="20"/>
        </w:rPr>
        <w:t>Silver</w:t>
      </w:r>
      <w:r w:rsidR="00F204A1" w:rsidRPr="00EC0229">
        <w:rPr>
          <w:sz w:val="20"/>
          <w:szCs w:val="20"/>
        </w:rPr>
        <w:fldChar w:fldCharType="begin"/>
      </w:r>
      <w:r w:rsidR="00F204A1" w:rsidRPr="00EC0229">
        <w:rPr>
          <w:sz w:val="20"/>
          <w:szCs w:val="20"/>
        </w:rPr>
        <w:instrText xml:space="preserve"> XE "Silver" </w:instrText>
      </w:r>
      <w:r w:rsidR="00F204A1" w:rsidRPr="00EC0229">
        <w:rPr>
          <w:sz w:val="20"/>
          <w:szCs w:val="20"/>
        </w:rPr>
        <w:fldChar w:fldCharType="end"/>
      </w:r>
      <w:r w:rsidR="00854613" w:rsidRPr="00EC0229">
        <w:rPr>
          <w:sz w:val="20"/>
          <w:szCs w:val="20"/>
        </w:rPr>
        <w:t>-alloy coin of Eanred</w:t>
      </w:r>
      <w:r w:rsidR="00D142DC" w:rsidRPr="00EC0229">
        <w:rPr>
          <w:sz w:val="20"/>
          <w:szCs w:val="20"/>
        </w:rPr>
        <w:fldChar w:fldCharType="begin"/>
      </w:r>
      <w:r w:rsidR="00D142DC" w:rsidRPr="00EC0229">
        <w:rPr>
          <w:sz w:val="20"/>
          <w:szCs w:val="20"/>
        </w:rPr>
        <w:instrText xml:space="preserve"> XE "Eanred" </w:instrText>
      </w:r>
      <w:r w:rsidR="00D142DC" w:rsidRPr="00EC0229">
        <w:rPr>
          <w:sz w:val="20"/>
          <w:szCs w:val="20"/>
        </w:rPr>
        <w:fldChar w:fldCharType="end"/>
      </w:r>
      <w:r w:rsidR="00854613" w:rsidRPr="00EC0229">
        <w:rPr>
          <w:sz w:val="20"/>
          <w:szCs w:val="20"/>
        </w:rPr>
        <w:t xml:space="preserve"> by Wilheah</w:t>
      </w:r>
      <w:bookmarkEnd w:id="786"/>
    </w:p>
    <w:p w14:paraId="47707EA7" w14:textId="77777777" w:rsidR="00C531DD" w:rsidRPr="00EC0229" w:rsidRDefault="00C531DD" w:rsidP="007600EA">
      <w:pPr>
        <w:spacing w:line="360" w:lineRule="auto"/>
      </w:pPr>
    </w:p>
    <w:p w14:paraId="0D730B2B" w14:textId="0075BDCA" w:rsidR="00854613" w:rsidRPr="00EC0229" w:rsidRDefault="00854613" w:rsidP="007600EA">
      <w:pPr>
        <w:pStyle w:val="NoSpacing"/>
        <w:spacing w:line="360" w:lineRule="auto"/>
        <w:rPr>
          <w:szCs w:val="24"/>
        </w:rPr>
      </w:pPr>
      <w:r w:rsidRPr="00EC0229">
        <w:rPr>
          <w:szCs w:val="24"/>
        </w:rPr>
        <w:t>That such a mix of coins should occur at this site is to be expected. The spectacular monolith in the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Pr="00EC0229">
        <w:rPr>
          <w:szCs w:val="24"/>
        </w:rPr>
        <w:t xml:space="preserve"> yard must have been a draw </w:t>
      </w:r>
      <w:r w:rsidR="00BB530B" w:rsidRPr="00EC0229">
        <w:rPr>
          <w:szCs w:val="24"/>
        </w:rPr>
        <w:t>for</w:t>
      </w:r>
      <w:r w:rsidRPr="00EC0229">
        <w:rPr>
          <w:szCs w:val="24"/>
        </w:rPr>
        <w:t xml:space="preserve"> inquisitive visitors from far afield over the centuries.</w:t>
      </w:r>
    </w:p>
    <w:p w14:paraId="11803BB4" w14:textId="77777777" w:rsidR="00854613" w:rsidRPr="00EC0229" w:rsidRDefault="00854613" w:rsidP="007600EA">
      <w:pPr>
        <w:pStyle w:val="NoSpacing"/>
        <w:spacing w:line="360" w:lineRule="auto"/>
        <w:rPr>
          <w:szCs w:val="24"/>
        </w:rPr>
      </w:pPr>
    </w:p>
    <w:p w14:paraId="7F7F1C03" w14:textId="4E2D2906" w:rsidR="00854613" w:rsidRPr="007A3166" w:rsidRDefault="00854613" w:rsidP="00C97BF2">
      <w:pPr>
        <w:pStyle w:val="Heading4"/>
        <w:spacing w:line="360" w:lineRule="auto"/>
        <w:rPr>
          <w:b/>
        </w:rPr>
      </w:pPr>
      <w:bookmarkStart w:id="787" w:name="_Toc468266906"/>
      <w:bookmarkStart w:id="788" w:name="Boynton"/>
      <w:r w:rsidRPr="007A3166">
        <w:rPr>
          <w:b/>
        </w:rPr>
        <w:t>Boynton</w:t>
      </w:r>
      <w:bookmarkEnd w:id="787"/>
      <w:r w:rsidR="006B1593" w:rsidRPr="007A3166">
        <w:rPr>
          <w:b/>
        </w:rPr>
        <w:fldChar w:fldCharType="begin"/>
      </w:r>
      <w:r w:rsidR="006B1593" w:rsidRPr="007A3166">
        <w:rPr>
          <w:b/>
        </w:rPr>
        <w:instrText xml:space="preserve"> XE "</w:instrText>
      </w:r>
      <w:r w:rsidR="006B1593" w:rsidRPr="007A3166">
        <w:rPr>
          <w:rStyle w:val="Hyperlink"/>
          <w:b/>
          <w:noProof/>
          <w:u w:val="none"/>
        </w:rPr>
        <w:instrText>Boynton</w:instrText>
      </w:r>
      <w:r w:rsidR="006B1593" w:rsidRPr="007A3166">
        <w:rPr>
          <w:b/>
        </w:rPr>
        <w:instrText xml:space="preserve">" </w:instrText>
      </w:r>
      <w:r w:rsidR="006B1593" w:rsidRPr="007A3166">
        <w:rPr>
          <w:b/>
        </w:rPr>
        <w:fldChar w:fldCharType="end"/>
      </w:r>
    </w:p>
    <w:bookmarkEnd w:id="788"/>
    <w:p w14:paraId="4A62A510" w14:textId="0D6CEB8A" w:rsidR="00854613" w:rsidRPr="00EC0229" w:rsidRDefault="00854613" w:rsidP="007600EA">
      <w:pPr>
        <w:pStyle w:val="NoSpacing"/>
        <w:spacing w:line="360" w:lineRule="auto"/>
      </w:pPr>
      <w:r w:rsidRPr="00EC0229">
        <w:t>Such travellers are very likely to have passed through Boynton</w:t>
      </w:r>
      <w:r w:rsidR="006B1593" w:rsidRPr="00EC0229">
        <w:fldChar w:fldCharType="begin"/>
      </w:r>
      <w:r w:rsidR="006B1593" w:rsidRPr="00EC0229">
        <w:instrText xml:space="preserve"> XE "</w:instrText>
      </w:r>
      <w:r w:rsidR="006B1593" w:rsidRPr="00EC0229">
        <w:rPr>
          <w:rStyle w:val="Hyperlink"/>
          <w:noProof/>
          <w:u w:val="none"/>
        </w:rPr>
        <w:instrText>Boynton</w:instrText>
      </w:r>
      <w:r w:rsidR="006B1593" w:rsidRPr="00EC0229">
        <w:instrText xml:space="preserve">" </w:instrText>
      </w:r>
      <w:r w:rsidR="006B1593" w:rsidRPr="00EC0229">
        <w:fldChar w:fldCharType="end"/>
      </w:r>
      <w:r w:rsidRPr="00EC0229">
        <w:t>, only 2.5 miles east of Rudston</w:t>
      </w:r>
      <w:r w:rsidR="006B1593" w:rsidRPr="00EC0229">
        <w:fldChar w:fldCharType="begin"/>
      </w:r>
      <w:r w:rsidR="006B1593" w:rsidRPr="00EC0229">
        <w:instrText xml:space="preserve"> XE "</w:instrText>
      </w:r>
      <w:r w:rsidR="006B1593" w:rsidRPr="00EC0229">
        <w:rPr>
          <w:rStyle w:val="Hyperlink"/>
          <w:noProof/>
          <w:u w:val="none"/>
        </w:rPr>
        <w:instrText>Rudston</w:instrText>
      </w:r>
      <w:r w:rsidR="006B1593" w:rsidRPr="00EC0229">
        <w:instrText xml:space="preserve">" </w:instrText>
      </w:r>
      <w:r w:rsidR="006B1593" w:rsidRPr="00EC0229">
        <w:fldChar w:fldCharType="end"/>
      </w:r>
      <w:r w:rsidRPr="00EC0229">
        <w:t>.</w:t>
      </w:r>
    </w:p>
    <w:p w14:paraId="456327F6" w14:textId="77777777" w:rsidR="00854613" w:rsidRPr="00EC0229" w:rsidRDefault="00854613" w:rsidP="007600EA">
      <w:pPr>
        <w:pStyle w:val="NoSpacing"/>
        <w:spacing w:line="360" w:lineRule="auto"/>
        <w:jc w:val="center"/>
      </w:pPr>
      <w:r w:rsidRPr="00EC0229">
        <w:rPr>
          <w:noProof/>
          <w:lang w:eastAsia="en-GB"/>
        </w:rPr>
        <w:drawing>
          <wp:inline distT="0" distB="0" distL="0" distR="0" wp14:anchorId="6274DEB6" wp14:editId="3890E13B">
            <wp:extent cx="797560" cy="797560"/>
            <wp:effectExtent l="0" t="0" r="2540" b="254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oynton 55-10 O320.JPG"/>
                    <pic:cNvPicPr/>
                  </pic:nvPicPr>
                  <pic:blipFill>
                    <a:blip r:embed="rId455">
                      <a:extLst>
                        <a:ext uri="{28A0092B-C50C-407E-A947-70E740481C1C}">
                          <a14:useLocalDpi xmlns:a14="http://schemas.microsoft.com/office/drawing/2010/main" val="0"/>
                        </a:ext>
                      </a:extLst>
                    </a:blip>
                    <a:stretch>
                      <a:fillRect/>
                    </a:stretch>
                  </pic:blipFill>
                  <pic:spPr>
                    <a:xfrm>
                      <a:off x="0" y="0"/>
                      <a:ext cx="797560" cy="797560"/>
                    </a:xfrm>
                    <a:prstGeom prst="rect">
                      <a:avLst/>
                    </a:prstGeom>
                  </pic:spPr>
                </pic:pic>
              </a:graphicData>
            </a:graphic>
          </wp:inline>
        </w:drawing>
      </w:r>
      <w:r w:rsidRPr="00EC0229">
        <w:rPr>
          <w:noProof/>
          <w:lang w:eastAsia="en-GB"/>
        </w:rPr>
        <w:drawing>
          <wp:inline distT="0" distB="0" distL="0" distR="0" wp14:anchorId="291D6A9A" wp14:editId="688F6B70">
            <wp:extent cx="838200" cy="818478"/>
            <wp:effectExtent l="0" t="0" r="0" b="127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oynton 55-10 O320R.JPG"/>
                    <pic:cNvPicPr/>
                  </pic:nvPicPr>
                  <pic:blipFill>
                    <a:blip r:embed="rId456">
                      <a:extLst>
                        <a:ext uri="{28A0092B-C50C-407E-A947-70E740481C1C}">
                          <a14:useLocalDpi xmlns:a14="http://schemas.microsoft.com/office/drawing/2010/main" val="0"/>
                        </a:ext>
                      </a:extLst>
                    </a:blip>
                    <a:stretch>
                      <a:fillRect/>
                    </a:stretch>
                  </pic:blipFill>
                  <pic:spPr>
                    <a:xfrm>
                      <a:off x="0" y="0"/>
                      <a:ext cx="846698" cy="826776"/>
                    </a:xfrm>
                    <a:prstGeom prst="rect">
                      <a:avLst/>
                    </a:prstGeom>
                  </pic:spPr>
                </pic:pic>
              </a:graphicData>
            </a:graphic>
          </wp:inline>
        </w:drawing>
      </w:r>
      <w:r w:rsidRPr="00EC0229">
        <w:t xml:space="preserve">    </w:t>
      </w:r>
      <w:r w:rsidRPr="00EC0229">
        <w:tab/>
      </w:r>
      <w:r w:rsidRPr="00EC0229">
        <w:rPr>
          <w:noProof/>
          <w:lang w:eastAsia="en-GB"/>
        </w:rPr>
        <w:drawing>
          <wp:inline distT="0" distB="0" distL="0" distR="0" wp14:anchorId="61198B31" wp14:editId="2BFDB909">
            <wp:extent cx="862965" cy="832507"/>
            <wp:effectExtent l="0" t="0" r="0" b="571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oynton 57-10 O195-Q090.JPG"/>
                    <pic:cNvPicPr/>
                  </pic:nvPicPr>
                  <pic:blipFill>
                    <a:blip r:embed="rId457">
                      <a:extLst>
                        <a:ext uri="{28A0092B-C50C-407E-A947-70E740481C1C}">
                          <a14:useLocalDpi xmlns:a14="http://schemas.microsoft.com/office/drawing/2010/main" val="0"/>
                        </a:ext>
                      </a:extLst>
                    </a:blip>
                    <a:stretch>
                      <a:fillRect/>
                    </a:stretch>
                  </pic:blipFill>
                  <pic:spPr>
                    <a:xfrm>
                      <a:off x="0" y="0"/>
                      <a:ext cx="871692" cy="840926"/>
                    </a:xfrm>
                    <a:prstGeom prst="rect">
                      <a:avLst/>
                    </a:prstGeom>
                  </pic:spPr>
                </pic:pic>
              </a:graphicData>
            </a:graphic>
          </wp:inline>
        </w:drawing>
      </w:r>
      <w:r w:rsidRPr="00EC0229">
        <w:rPr>
          <w:noProof/>
          <w:lang w:eastAsia="en-GB"/>
        </w:rPr>
        <w:drawing>
          <wp:inline distT="0" distB="0" distL="0" distR="0" wp14:anchorId="3FB046C4" wp14:editId="6897A564">
            <wp:extent cx="817245" cy="817245"/>
            <wp:effectExtent l="0" t="0" r="1905" b="190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oynton 57-10 O195-Q090 R.JPG"/>
                    <pic:cNvPicPr/>
                  </pic:nvPicPr>
                  <pic:blipFill>
                    <a:blip r:embed="rId458">
                      <a:extLst>
                        <a:ext uri="{28A0092B-C50C-407E-A947-70E740481C1C}">
                          <a14:useLocalDpi xmlns:a14="http://schemas.microsoft.com/office/drawing/2010/main" val="0"/>
                        </a:ext>
                      </a:extLst>
                    </a:blip>
                    <a:stretch>
                      <a:fillRect/>
                    </a:stretch>
                  </pic:blipFill>
                  <pic:spPr>
                    <a:xfrm>
                      <a:off x="0" y="0"/>
                      <a:ext cx="817245" cy="817245"/>
                    </a:xfrm>
                    <a:prstGeom prst="rect">
                      <a:avLst/>
                    </a:prstGeom>
                  </pic:spPr>
                </pic:pic>
              </a:graphicData>
            </a:graphic>
          </wp:inline>
        </w:drawing>
      </w:r>
      <w:r w:rsidRPr="00EC0229">
        <w:tab/>
        <w:t xml:space="preserve">  </w:t>
      </w:r>
      <w:r w:rsidRPr="00EC0229">
        <w:rPr>
          <w:noProof/>
          <w:lang w:eastAsia="en-GB"/>
        </w:rPr>
        <w:drawing>
          <wp:inline distT="0" distB="0" distL="0" distR="0" wp14:anchorId="1CB0E584" wp14:editId="4961B9EA">
            <wp:extent cx="838200" cy="8382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oynton 100 P915.JPG"/>
                    <pic:cNvPicPr/>
                  </pic:nvPicPr>
                  <pic:blipFill>
                    <a:blip r:embed="rId459">
                      <a:extLst>
                        <a:ext uri="{28A0092B-C50C-407E-A947-70E740481C1C}">
                          <a14:useLocalDpi xmlns:a14="http://schemas.microsoft.com/office/drawing/2010/main" val="0"/>
                        </a:ext>
                      </a:extLst>
                    </a:blip>
                    <a:stretch>
                      <a:fillRect/>
                    </a:stretch>
                  </pic:blipFill>
                  <pic:spPr>
                    <a:xfrm>
                      <a:off x="0" y="0"/>
                      <a:ext cx="838200" cy="838200"/>
                    </a:xfrm>
                    <a:prstGeom prst="rect">
                      <a:avLst/>
                    </a:prstGeom>
                  </pic:spPr>
                </pic:pic>
              </a:graphicData>
            </a:graphic>
          </wp:inline>
        </w:drawing>
      </w:r>
      <w:r w:rsidRPr="00EC0229">
        <w:rPr>
          <w:noProof/>
          <w:lang w:eastAsia="en-GB"/>
        </w:rPr>
        <w:drawing>
          <wp:inline distT="0" distB="0" distL="0" distR="0" wp14:anchorId="4526325B" wp14:editId="6566998F">
            <wp:extent cx="850900" cy="850900"/>
            <wp:effectExtent l="0" t="0" r="6350" b="635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oynton 100 P915R.JPG"/>
                    <pic:cNvPicPr/>
                  </pic:nvPicPr>
                  <pic:blipFill>
                    <a:blip r:embed="rId460">
                      <a:extLst>
                        <a:ext uri="{28A0092B-C50C-407E-A947-70E740481C1C}">
                          <a14:useLocalDpi xmlns:a14="http://schemas.microsoft.com/office/drawing/2010/main" val="0"/>
                        </a:ext>
                      </a:extLst>
                    </a:blip>
                    <a:stretch>
                      <a:fillRect/>
                    </a:stretch>
                  </pic:blipFill>
                  <pic:spPr>
                    <a:xfrm>
                      <a:off x="0" y="0"/>
                      <a:ext cx="850900" cy="850900"/>
                    </a:xfrm>
                    <a:prstGeom prst="rect">
                      <a:avLst/>
                    </a:prstGeom>
                  </pic:spPr>
                </pic:pic>
              </a:graphicData>
            </a:graphic>
          </wp:inline>
        </w:drawing>
      </w:r>
    </w:p>
    <w:p w14:paraId="0800D758" w14:textId="020D8587" w:rsidR="00854613" w:rsidRPr="00EC0229" w:rsidRDefault="003977B6" w:rsidP="007600EA">
      <w:pPr>
        <w:pStyle w:val="NoSpacing"/>
        <w:spacing w:line="360" w:lineRule="auto"/>
        <w:jc w:val="center"/>
        <w:rPr>
          <w:sz w:val="20"/>
          <w:szCs w:val="20"/>
        </w:rPr>
      </w:pPr>
      <w:bookmarkStart w:id="789" w:name="_Ref430249211"/>
      <w:bookmarkStart w:id="790" w:name="_Toc468267115"/>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143</w:t>
      </w:r>
      <w:r w:rsidR="00B609E3" w:rsidRPr="00EC0229">
        <w:rPr>
          <w:sz w:val="20"/>
          <w:szCs w:val="20"/>
        </w:rPr>
        <w:fldChar w:fldCharType="end"/>
      </w:r>
      <w:bookmarkEnd w:id="789"/>
      <w:r w:rsidR="009714C4" w:rsidRPr="00EC0229">
        <w:rPr>
          <w:sz w:val="20"/>
          <w:szCs w:val="20"/>
        </w:rPr>
        <w:t xml:space="preserve">: </w:t>
      </w:r>
      <w:r w:rsidR="00854613" w:rsidRPr="00EC0229">
        <w:rPr>
          <w:sz w:val="20"/>
          <w:szCs w:val="20"/>
        </w:rPr>
        <w:t>Boynton</w:t>
      </w:r>
      <w:r w:rsidR="006B1593" w:rsidRPr="00EC0229">
        <w:rPr>
          <w:sz w:val="20"/>
          <w:szCs w:val="20"/>
        </w:rPr>
        <w:fldChar w:fldCharType="begin"/>
      </w:r>
      <w:r w:rsidR="006B1593" w:rsidRPr="00EC0229">
        <w:rPr>
          <w:sz w:val="20"/>
          <w:szCs w:val="20"/>
        </w:rPr>
        <w:instrText xml:space="preserve"> XE "Boynton" </w:instrText>
      </w:r>
      <w:r w:rsidR="006B1593" w:rsidRPr="00EC0229">
        <w:rPr>
          <w:sz w:val="20"/>
          <w:szCs w:val="20"/>
        </w:rPr>
        <w:fldChar w:fldCharType="end"/>
      </w:r>
      <w:r w:rsidR="00854613" w:rsidRPr="00EC0229">
        <w:rPr>
          <w:sz w:val="20"/>
          <w:szCs w:val="20"/>
        </w:rPr>
        <w:t>: sceats of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854613" w:rsidRPr="00EC0229">
        <w:rPr>
          <w:sz w:val="20"/>
          <w:szCs w:val="20"/>
        </w:rPr>
        <w:t xml:space="preserve"> N, O and ‘Wodan’</w:t>
      </w:r>
      <w:bookmarkEnd w:id="790"/>
    </w:p>
    <w:p w14:paraId="41B796B3" w14:textId="77777777" w:rsidR="00C531DD" w:rsidRPr="00EC0229" w:rsidRDefault="00C531DD" w:rsidP="007600EA">
      <w:pPr>
        <w:spacing w:line="360" w:lineRule="auto"/>
      </w:pPr>
    </w:p>
    <w:p w14:paraId="23520FAE" w14:textId="77777777" w:rsidR="00854613" w:rsidRPr="00EC0229" w:rsidRDefault="00854613" w:rsidP="007600EA">
      <w:pPr>
        <w:pStyle w:val="NoSpacing"/>
        <w:spacing w:line="360" w:lineRule="auto"/>
        <w:jc w:val="center"/>
        <w:rPr>
          <w:sz w:val="20"/>
          <w:szCs w:val="20"/>
        </w:rPr>
      </w:pPr>
      <w:r w:rsidRPr="00EC0229">
        <w:rPr>
          <w:noProof/>
          <w:sz w:val="20"/>
          <w:szCs w:val="20"/>
          <w:lang w:eastAsia="en-GB"/>
        </w:rPr>
        <w:drawing>
          <wp:inline distT="0" distB="0" distL="0" distR="0" wp14:anchorId="2C1DEE40" wp14:editId="1349C4ED">
            <wp:extent cx="853115" cy="863151"/>
            <wp:effectExtent l="0" t="0" r="4445"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oynton 2-10-01 Y1465.JPG"/>
                    <pic:cNvPicPr/>
                  </pic:nvPicPr>
                  <pic:blipFill>
                    <a:blip r:embed="rId461">
                      <a:extLst>
                        <a:ext uri="{28A0092B-C50C-407E-A947-70E740481C1C}">
                          <a14:useLocalDpi xmlns:a14="http://schemas.microsoft.com/office/drawing/2010/main" val="0"/>
                        </a:ext>
                      </a:extLst>
                    </a:blip>
                    <a:stretch>
                      <a:fillRect/>
                    </a:stretch>
                  </pic:blipFill>
                  <pic:spPr>
                    <a:xfrm>
                      <a:off x="0" y="0"/>
                      <a:ext cx="862565" cy="872713"/>
                    </a:xfrm>
                    <a:prstGeom prst="rect">
                      <a:avLst/>
                    </a:prstGeom>
                  </pic:spPr>
                </pic:pic>
              </a:graphicData>
            </a:graphic>
          </wp:inline>
        </w:drawing>
      </w:r>
      <w:r w:rsidRPr="00EC0229">
        <w:rPr>
          <w:noProof/>
          <w:sz w:val="20"/>
          <w:szCs w:val="20"/>
          <w:lang w:eastAsia="en-GB"/>
        </w:rPr>
        <w:drawing>
          <wp:inline distT="0" distB="0" distL="0" distR="0" wp14:anchorId="10146A01" wp14:editId="7A335AC9">
            <wp:extent cx="884410" cy="86360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oynton 2-10-01 Y1465R.JPG"/>
                    <pic:cNvPicPr/>
                  </pic:nvPicPr>
                  <pic:blipFill>
                    <a:blip r:embed="rId462">
                      <a:extLst>
                        <a:ext uri="{28A0092B-C50C-407E-A947-70E740481C1C}">
                          <a14:useLocalDpi xmlns:a14="http://schemas.microsoft.com/office/drawing/2010/main" val="0"/>
                        </a:ext>
                      </a:extLst>
                    </a:blip>
                    <a:stretch>
                      <a:fillRect/>
                    </a:stretch>
                  </pic:blipFill>
                  <pic:spPr>
                    <a:xfrm>
                      <a:off x="0" y="0"/>
                      <a:ext cx="889640" cy="868707"/>
                    </a:xfrm>
                    <a:prstGeom prst="rect">
                      <a:avLst/>
                    </a:prstGeom>
                  </pic:spPr>
                </pic:pic>
              </a:graphicData>
            </a:graphic>
          </wp:inline>
        </w:drawing>
      </w:r>
      <w:r w:rsidRPr="00EC0229">
        <w:rPr>
          <w:sz w:val="20"/>
          <w:szCs w:val="20"/>
        </w:rPr>
        <w:tab/>
      </w:r>
      <w:r w:rsidRPr="00EC0229">
        <w:rPr>
          <w:sz w:val="20"/>
          <w:szCs w:val="20"/>
        </w:rPr>
        <w:tab/>
      </w:r>
      <w:r w:rsidRPr="00EC0229">
        <w:rPr>
          <w:noProof/>
          <w:sz w:val="20"/>
          <w:szCs w:val="20"/>
          <w:lang w:eastAsia="en-GB"/>
        </w:rPr>
        <w:drawing>
          <wp:inline distT="0" distB="0" distL="0" distR="0" wp14:anchorId="1F2EDA97" wp14:editId="63849936">
            <wp:extent cx="949286" cy="893445"/>
            <wp:effectExtent l="0" t="0" r="3810" b="190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oynton 3-25s-06 Y1870.JPG"/>
                    <pic:cNvPicPr/>
                  </pic:nvPicPr>
                  <pic:blipFill>
                    <a:blip r:embed="rId463">
                      <a:extLst>
                        <a:ext uri="{28A0092B-C50C-407E-A947-70E740481C1C}">
                          <a14:useLocalDpi xmlns:a14="http://schemas.microsoft.com/office/drawing/2010/main" val="0"/>
                        </a:ext>
                      </a:extLst>
                    </a:blip>
                    <a:stretch>
                      <a:fillRect/>
                    </a:stretch>
                  </pic:blipFill>
                  <pic:spPr>
                    <a:xfrm>
                      <a:off x="0" y="0"/>
                      <a:ext cx="961534" cy="904972"/>
                    </a:xfrm>
                    <a:prstGeom prst="rect">
                      <a:avLst/>
                    </a:prstGeom>
                  </pic:spPr>
                </pic:pic>
              </a:graphicData>
            </a:graphic>
          </wp:inline>
        </w:drawing>
      </w:r>
      <w:r w:rsidRPr="00EC0229">
        <w:rPr>
          <w:noProof/>
          <w:sz w:val="20"/>
          <w:szCs w:val="20"/>
          <w:lang w:eastAsia="en-GB"/>
        </w:rPr>
        <w:drawing>
          <wp:inline distT="0" distB="0" distL="0" distR="0" wp14:anchorId="70F69BF5" wp14:editId="3FCA030F">
            <wp:extent cx="825555" cy="893543"/>
            <wp:effectExtent l="0" t="0" r="0" b="190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oynton 3-25s-06 Y1870R.JPG"/>
                    <pic:cNvPicPr/>
                  </pic:nvPicPr>
                  <pic:blipFill>
                    <a:blip r:embed="rId464">
                      <a:extLst>
                        <a:ext uri="{28A0092B-C50C-407E-A947-70E740481C1C}">
                          <a14:useLocalDpi xmlns:a14="http://schemas.microsoft.com/office/drawing/2010/main" val="0"/>
                        </a:ext>
                      </a:extLst>
                    </a:blip>
                    <a:stretch>
                      <a:fillRect/>
                    </a:stretch>
                  </pic:blipFill>
                  <pic:spPr>
                    <a:xfrm>
                      <a:off x="0" y="0"/>
                      <a:ext cx="831336" cy="899800"/>
                    </a:xfrm>
                    <a:prstGeom prst="rect">
                      <a:avLst/>
                    </a:prstGeom>
                  </pic:spPr>
                </pic:pic>
              </a:graphicData>
            </a:graphic>
          </wp:inline>
        </w:drawing>
      </w:r>
    </w:p>
    <w:p w14:paraId="3F28A84A" w14:textId="62584D4F" w:rsidR="00182EC1" w:rsidRPr="00EC0229" w:rsidRDefault="003977B6" w:rsidP="007600EA">
      <w:pPr>
        <w:pStyle w:val="NoSpacing"/>
        <w:spacing w:line="360" w:lineRule="auto"/>
        <w:jc w:val="center"/>
        <w:rPr>
          <w:sz w:val="20"/>
          <w:szCs w:val="20"/>
        </w:rPr>
      </w:pPr>
      <w:bookmarkStart w:id="791" w:name="_Ref430249220"/>
      <w:bookmarkStart w:id="792" w:name="_Toc468267116"/>
      <w:r w:rsidRPr="00EC0229">
        <w:rPr>
          <w:i/>
          <w:sz w:val="20"/>
          <w:szCs w:val="20"/>
        </w:rPr>
        <w:t xml:space="preserve">Figure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144</w:t>
      </w:r>
      <w:r w:rsidR="00B609E3" w:rsidRPr="00EC0229">
        <w:rPr>
          <w:sz w:val="20"/>
          <w:szCs w:val="20"/>
        </w:rPr>
        <w:fldChar w:fldCharType="end"/>
      </w:r>
      <w:bookmarkEnd w:id="791"/>
      <w:r w:rsidR="009714C4" w:rsidRPr="00EC0229">
        <w:rPr>
          <w:sz w:val="20"/>
          <w:szCs w:val="20"/>
        </w:rPr>
        <w:t xml:space="preserve">: </w:t>
      </w:r>
      <w:r w:rsidR="00182EC1" w:rsidRPr="00EC0229">
        <w:rPr>
          <w:sz w:val="20"/>
          <w:szCs w:val="20"/>
        </w:rPr>
        <w:t xml:space="preserve">L: </w:t>
      </w:r>
      <w:r w:rsidR="00854613" w:rsidRPr="00EC0229">
        <w:rPr>
          <w:sz w:val="20"/>
          <w:szCs w:val="20"/>
        </w:rPr>
        <w:t>Silver</w:t>
      </w:r>
      <w:r w:rsidR="00F204A1" w:rsidRPr="00EC0229">
        <w:rPr>
          <w:sz w:val="20"/>
          <w:szCs w:val="20"/>
        </w:rPr>
        <w:fldChar w:fldCharType="begin"/>
      </w:r>
      <w:r w:rsidR="00F204A1" w:rsidRPr="00EC0229">
        <w:rPr>
          <w:sz w:val="20"/>
          <w:szCs w:val="20"/>
        </w:rPr>
        <w:instrText xml:space="preserve"> XE "Silver" </w:instrText>
      </w:r>
      <w:r w:rsidR="00F204A1" w:rsidRPr="00EC0229">
        <w:rPr>
          <w:sz w:val="20"/>
          <w:szCs w:val="20"/>
        </w:rPr>
        <w:fldChar w:fldCharType="end"/>
      </w:r>
      <w:r w:rsidR="00854613" w:rsidRPr="00EC0229">
        <w:rPr>
          <w:sz w:val="20"/>
          <w:szCs w:val="20"/>
        </w:rPr>
        <w:t>-alloy coin of Eanred</w:t>
      </w:r>
      <w:r w:rsidR="00D142DC" w:rsidRPr="00EC0229">
        <w:rPr>
          <w:sz w:val="20"/>
          <w:szCs w:val="20"/>
        </w:rPr>
        <w:fldChar w:fldCharType="begin"/>
      </w:r>
      <w:r w:rsidR="00D142DC" w:rsidRPr="00EC0229">
        <w:rPr>
          <w:sz w:val="20"/>
          <w:szCs w:val="20"/>
        </w:rPr>
        <w:instrText xml:space="preserve"> XE "Eanred" </w:instrText>
      </w:r>
      <w:r w:rsidR="00D142DC" w:rsidRPr="00EC0229">
        <w:rPr>
          <w:sz w:val="20"/>
          <w:szCs w:val="20"/>
        </w:rPr>
        <w:fldChar w:fldCharType="end"/>
      </w:r>
      <w:r w:rsidR="00182EC1" w:rsidRPr="00EC0229">
        <w:rPr>
          <w:sz w:val="20"/>
          <w:szCs w:val="20"/>
        </w:rPr>
        <w:t xml:space="preserve">. R: </w:t>
      </w:r>
      <w:r w:rsidR="00854613" w:rsidRPr="00EC0229">
        <w:rPr>
          <w:sz w:val="20"/>
          <w:szCs w:val="20"/>
        </w:rPr>
        <w:t>base styca of Æthelred</w:t>
      </w:r>
      <w:r w:rsidR="00D142DC" w:rsidRPr="00EC0229">
        <w:rPr>
          <w:sz w:val="20"/>
          <w:szCs w:val="20"/>
        </w:rPr>
        <w:fldChar w:fldCharType="begin"/>
      </w:r>
      <w:r w:rsidR="00D142DC" w:rsidRPr="00EC0229">
        <w:rPr>
          <w:sz w:val="20"/>
          <w:szCs w:val="20"/>
        </w:rPr>
        <w:instrText xml:space="preserve"> XE "Æthelred" </w:instrText>
      </w:r>
      <w:r w:rsidR="00D142DC" w:rsidRPr="00EC0229">
        <w:rPr>
          <w:sz w:val="20"/>
          <w:szCs w:val="20"/>
        </w:rPr>
        <w:fldChar w:fldCharType="end"/>
      </w:r>
      <w:r w:rsidR="00854613" w:rsidRPr="00EC0229">
        <w:rPr>
          <w:sz w:val="20"/>
          <w:szCs w:val="20"/>
        </w:rPr>
        <w:t xml:space="preserve"> II</w:t>
      </w:r>
      <w:r w:rsidR="00182EC1" w:rsidRPr="00EC0229">
        <w:rPr>
          <w:sz w:val="20"/>
          <w:szCs w:val="20"/>
        </w:rPr>
        <w:t>.</w:t>
      </w:r>
      <w:bookmarkEnd w:id="792"/>
    </w:p>
    <w:p w14:paraId="1E304F58" w14:textId="1C610CF3" w:rsidR="00854613" w:rsidRPr="00EC0229" w:rsidRDefault="00182EC1" w:rsidP="007600EA">
      <w:pPr>
        <w:pStyle w:val="NoSpacing"/>
        <w:spacing w:line="360" w:lineRule="auto"/>
        <w:jc w:val="center"/>
        <w:rPr>
          <w:sz w:val="20"/>
          <w:szCs w:val="20"/>
        </w:rPr>
      </w:pPr>
      <w:r w:rsidRPr="00EC0229">
        <w:rPr>
          <w:sz w:val="20"/>
          <w:szCs w:val="20"/>
        </w:rPr>
        <w:t>L: Dægberht. R: Leofthegn</w:t>
      </w:r>
    </w:p>
    <w:p w14:paraId="3E60A13C" w14:textId="77777777" w:rsidR="00854613" w:rsidRPr="00EC0229" w:rsidRDefault="00854613" w:rsidP="007600EA">
      <w:pPr>
        <w:pStyle w:val="NoSpacing"/>
        <w:spacing w:line="360" w:lineRule="auto"/>
        <w:rPr>
          <w:szCs w:val="24"/>
        </w:rPr>
      </w:pPr>
    </w:p>
    <w:p w14:paraId="1C165277" w14:textId="74ACDF1E" w:rsidR="00854613" w:rsidRPr="00EC0229" w:rsidRDefault="00854613" w:rsidP="007600EA">
      <w:pPr>
        <w:pStyle w:val="NoSpacing"/>
        <w:spacing w:line="360" w:lineRule="auto"/>
        <w:rPr>
          <w:szCs w:val="24"/>
        </w:rPr>
      </w:pPr>
      <w:r w:rsidRPr="00EC0229">
        <w:rPr>
          <w:szCs w:val="24"/>
        </w:rPr>
        <w:t xml:space="preserve">The site combines a mix of exotic sceats </w:t>
      </w:r>
      <w:r w:rsidR="009714C4"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_Ref430249211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143</w:t>
      </w:r>
      <w:r w:rsidR="00C44C51" w:rsidRPr="00EC0229">
        <w:rPr>
          <w:rFonts w:eastAsia="Times New Roman" w:cs="Times New Roman"/>
          <w:iCs/>
          <w:szCs w:val="24"/>
          <w:lang w:eastAsia="en-GB"/>
        </w:rPr>
        <w:fldChar w:fldCharType="end"/>
      </w:r>
      <w:r w:rsidR="009714C4" w:rsidRPr="00EC0229">
        <w:rPr>
          <w:rFonts w:eastAsia="Times New Roman" w:cs="Times New Roman"/>
          <w:iCs/>
          <w:szCs w:val="24"/>
          <w:lang w:eastAsia="en-GB"/>
        </w:rPr>
        <w:t xml:space="preserve">) </w:t>
      </w:r>
      <w:r w:rsidRPr="00EC0229">
        <w:rPr>
          <w:szCs w:val="24"/>
        </w:rPr>
        <w:t>and some of the scarcer stycas</w:t>
      </w:r>
      <w:r w:rsidR="009714C4" w:rsidRPr="00EC0229">
        <w:rPr>
          <w:szCs w:val="24"/>
        </w:rPr>
        <w:t xml:space="preserve"> </w:t>
      </w:r>
      <w:r w:rsidR="009714C4"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_Ref430249220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144</w:t>
      </w:r>
      <w:r w:rsidR="00C44C51" w:rsidRPr="00EC0229">
        <w:rPr>
          <w:rFonts w:eastAsia="Times New Roman" w:cs="Times New Roman"/>
          <w:iCs/>
          <w:szCs w:val="24"/>
          <w:lang w:eastAsia="en-GB"/>
        </w:rPr>
        <w:fldChar w:fldCharType="end"/>
      </w:r>
      <w:r w:rsidR="00C0244E" w:rsidRPr="00EC0229">
        <w:rPr>
          <w:rFonts w:eastAsia="Times New Roman" w:cs="Times New Roman"/>
          <w:iCs/>
          <w:szCs w:val="24"/>
          <w:lang w:eastAsia="en-GB"/>
        </w:rPr>
        <w:t xml:space="preserve">) </w:t>
      </w:r>
      <w:r w:rsidRPr="00EC0229">
        <w:rPr>
          <w:szCs w:val="24"/>
        </w:rPr>
        <w:t>conjecturally indicating a special purpose location.</w:t>
      </w:r>
    </w:p>
    <w:p w14:paraId="1F6666A4" w14:textId="77777777" w:rsidR="00854613" w:rsidRPr="00EC0229" w:rsidRDefault="00854613" w:rsidP="007600EA">
      <w:pPr>
        <w:pStyle w:val="NoSpacing"/>
        <w:spacing w:line="360" w:lineRule="auto"/>
        <w:rPr>
          <w:sz w:val="20"/>
          <w:szCs w:val="20"/>
        </w:rPr>
      </w:pPr>
    </w:p>
    <w:p w14:paraId="367C5907" w14:textId="77777777" w:rsidR="00854613" w:rsidRPr="00EC0229" w:rsidRDefault="00854613" w:rsidP="007600EA">
      <w:pPr>
        <w:pStyle w:val="NoSpacing"/>
        <w:spacing w:line="360" w:lineRule="auto"/>
        <w:rPr>
          <w:szCs w:val="24"/>
        </w:rPr>
      </w:pPr>
      <w:r w:rsidRPr="00EC0229">
        <w:rPr>
          <w:szCs w:val="24"/>
        </w:rPr>
        <w:t>Small Sites</w:t>
      </w:r>
    </w:p>
    <w:p w14:paraId="5B7024E7" w14:textId="397163BC" w:rsidR="00854613" w:rsidRPr="00EC0229" w:rsidRDefault="00854613" w:rsidP="007600EA">
      <w:pPr>
        <w:pStyle w:val="NoSpacing"/>
        <w:spacing w:line="360" w:lineRule="auto"/>
        <w:rPr>
          <w:szCs w:val="24"/>
        </w:rPr>
      </w:pPr>
      <w:r w:rsidRPr="00EC0229">
        <w:rPr>
          <w:szCs w:val="24"/>
        </w:rPr>
        <w:t>Langtoft, Nafferton and Bridlington (denier</w:t>
      </w:r>
      <w:r w:rsidR="004C29A9" w:rsidRPr="00EC0229">
        <w:rPr>
          <w:szCs w:val="24"/>
        </w:rPr>
        <w:fldChar w:fldCharType="begin"/>
      </w:r>
      <w:r w:rsidR="004C29A9" w:rsidRPr="00EC0229">
        <w:instrText xml:space="preserve"> XE "</w:instrText>
      </w:r>
      <w:r w:rsidR="004C29A9" w:rsidRPr="00EC0229">
        <w:rPr>
          <w:rFonts w:cs="Times New Roman"/>
          <w:szCs w:val="24"/>
        </w:rPr>
        <w:instrText>denier</w:instrText>
      </w:r>
      <w:r w:rsidR="004C29A9" w:rsidRPr="00EC0229">
        <w:instrText xml:space="preserve">" </w:instrText>
      </w:r>
      <w:r w:rsidR="004C29A9" w:rsidRPr="00EC0229">
        <w:rPr>
          <w:szCs w:val="24"/>
        </w:rPr>
        <w:fldChar w:fldCharType="end"/>
      </w:r>
      <w:r w:rsidRPr="00EC0229">
        <w:rPr>
          <w:szCs w:val="24"/>
        </w:rPr>
        <w:t xml:space="preserve"> of </w:t>
      </w:r>
      <w:r w:rsidR="00737A15" w:rsidRPr="00EC0229">
        <w:rPr>
          <w:szCs w:val="24"/>
        </w:rPr>
        <w:t>Reims</w:t>
      </w:r>
      <w:r w:rsidRPr="00EC0229">
        <w:rPr>
          <w:szCs w:val="24"/>
        </w:rPr>
        <w:t xml:space="preserve"> with facing heads</w:t>
      </w:r>
      <w:r w:rsidR="00016A26" w:rsidRPr="00EC0229">
        <w:rPr>
          <w:szCs w:val="24"/>
        </w:rPr>
        <w:t xml:space="preserve"> and a C-bracteate, </w:t>
      </w:r>
      <w:r w:rsidR="00C44C51" w:rsidRPr="00EC0229">
        <w:rPr>
          <w:szCs w:val="24"/>
        </w:rPr>
        <w:fldChar w:fldCharType="begin"/>
      </w:r>
      <w:r w:rsidR="00C44C51" w:rsidRPr="00EC0229">
        <w:rPr>
          <w:szCs w:val="24"/>
        </w:rPr>
        <w:instrText xml:space="preserve"> REF _Ref430249240 \h </w:instrText>
      </w:r>
      <w:r w:rsidR="00235629" w:rsidRPr="00EC0229">
        <w:rPr>
          <w:szCs w:val="24"/>
        </w:rPr>
        <w:instrText xml:space="preserve"> \* MERGEFORMAT </w:instrText>
      </w:r>
      <w:r w:rsidR="00C44C51" w:rsidRPr="00EC0229">
        <w:rPr>
          <w:szCs w:val="24"/>
        </w:rPr>
      </w:r>
      <w:r w:rsidR="00C44C51" w:rsidRPr="00EC0229">
        <w:rPr>
          <w:szCs w:val="24"/>
        </w:rPr>
        <w:fldChar w:fldCharType="separate"/>
      </w:r>
      <w:r w:rsidR="0012026B" w:rsidRPr="0012026B">
        <w:rPr>
          <w:i/>
        </w:rPr>
        <w:t>Figure</w:t>
      </w:r>
      <w:r w:rsidR="0012026B" w:rsidRPr="0012026B">
        <w:t xml:space="preserve"> </w:t>
      </w:r>
      <w:r w:rsidR="0012026B" w:rsidRPr="0012026B">
        <w:rPr>
          <w:noProof/>
        </w:rPr>
        <w:t>145</w:t>
      </w:r>
      <w:r w:rsidR="00C44C51" w:rsidRPr="00EC0229">
        <w:rPr>
          <w:szCs w:val="24"/>
        </w:rPr>
        <w:fldChar w:fldCharType="end"/>
      </w:r>
      <w:r w:rsidR="00016A26" w:rsidRPr="00EC0229">
        <w:rPr>
          <w:szCs w:val="24"/>
        </w:rPr>
        <w:t xml:space="preserve"> and a rare Wolf &amp; Twins sceat, </w:t>
      </w:r>
      <w:r w:rsidR="00016A26" w:rsidRPr="00EC0229">
        <w:rPr>
          <w:szCs w:val="24"/>
        </w:rPr>
        <w:fldChar w:fldCharType="begin"/>
      </w:r>
      <w:r w:rsidR="00016A26" w:rsidRPr="00EC0229">
        <w:rPr>
          <w:szCs w:val="24"/>
        </w:rPr>
        <w:instrText xml:space="preserve"> REF _Ref435695487 \h  \* MERGEFORMAT </w:instrText>
      </w:r>
      <w:r w:rsidR="00016A26" w:rsidRPr="00EC0229">
        <w:rPr>
          <w:szCs w:val="24"/>
        </w:rPr>
      </w:r>
      <w:r w:rsidR="00016A26" w:rsidRPr="00EC0229">
        <w:rPr>
          <w:szCs w:val="24"/>
        </w:rPr>
        <w:fldChar w:fldCharType="separate"/>
      </w:r>
      <w:r w:rsidR="0012026B" w:rsidRPr="0012026B">
        <w:rPr>
          <w:i/>
          <w:color w:val="000000" w:themeColor="text1"/>
          <w:szCs w:val="24"/>
        </w:rPr>
        <w:t xml:space="preserve">Figure </w:t>
      </w:r>
      <w:r w:rsidR="0012026B" w:rsidRPr="0012026B">
        <w:rPr>
          <w:i/>
          <w:noProof/>
          <w:color w:val="000000" w:themeColor="text1"/>
          <w:szCs w:val="24"/>
        </w:rPr>
        <w:t>146</w:t>
      </w:r>
      <w:r w:rsidR="00016A26" w:rsidRPr="00EC0229">
        <w:rPr>
          <w:szCs w:val="24"/>
        </w:rPr>
        <w:fldChar w:fldCharType="end"/>
      </w:r>
      <w:r w:rsidRPr="00EC0229">
        <w:rPr>
          <w:szCs w:val="24"/>
        </w:rPr>
        <w:t>) are among the lesser locations.</w:t>
      </w:r>
    </w:p>
    <w:p w14:paraId="78449711" w14:textId="77777777" w:rsidR="00854613" w:rsidRPr="00EC0229" w:rsidRDefault="00854613" w:rsidP="007600EA">
      <w:pPr>
        <w:pStyle w:val="NoSpacing"/>
        <w:spacing w:line="360" w:lineRule="auto"/>
        <w:jc w:val="center"/>
        <w:rPr>
          <w:szCs w:val="24"/>
        </w:rPr>
      </w:pPr>
      <w:r w:rsidRPr="00EC0229">
        <w:rPr>
          <w:noProof/>
          <w:szCs w:val="24"/>
          <w:lang w:eastAsia="en-GB"/>
        </w:rPr>
        <w:drawing>
          <wp:inline distT="0" distB="0" distL="0" distR="0" wp14:anchorId="43E4366F" wp14:editId="25090DF4">
            <wp:extent cx="3133344" cy="1700784"/>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04 T436c.jpg"/>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3133344" cy="1700784"/>
                    </a:xfrm>
                    <a:prstGeom prst="rect">
                      <a:avLst/>
                    </a:prstGeom>
                  </pic:spPr>
                </pic:pic>
              </a:graphicData>
            </a:graphic>
          </wp:inline>
        </w:drawing>
      </w:r>
    </w:p>
    <w:p w14:paraId="3C0F51D0" w14:textId="2B0C7676" w:rsidR="00565E13" w:rsidRPr="00EC0229" w:rsidRDefault="003977B6" w:rsidP="007600EA">
      <w:pPr>
        <w:pStyle w:val="NoSpacing"/>
        <w:spacing w:line="360" w:lineRule="auto"/>
        <w:jc w:val="center"/>
        <w:rPr>
          <w:sz w:val="20"/>
          <w:szCs w:val="20"/>
        </w:rPr>
      </w:pPr>
      <w:bookmarkStart w:id="793" w:name="_Ref430249240"/>
      <w:bookmarkStart w:id="794" w:name="_Toc468267117"/>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145</w:t>
      </w:r>
      <w:r w:rsidR="00B609E3" w:rsidRPr="00EC0229">
        <w:rPr>
          <w:noProof/>
          <w:sz w:val="20"/>
          <w:szCs w:val="20"/>
        </w:rPr>
        <w:fldChar w:fldCharType="end"/>
      </w:r>
      <w:bookmarkEnd w:id="793"/>
      <w:r w:rsidR="009714C4" w:rsidRPr="00EC0229">
        <w:rPr>
          <w:sz w:val="20"/>
          <w:szCs w:val="20"/>
        </w:rPr>
        <w:t xml:space="preserve">: </w:t>
      </w:r>
      <w:r w:rsidR="00854613" w:rsidRPr="00EC0229">
        <w:rPr>
          <w:sz w:val="20"/>
          <w:szCs w:val="20"/>
        </w:rPr>
        <w:t>C-bracteate, Near Bridlington, typically associated with élite</w:t>
      </w:r>
      <w:r w:rsidR="008960AE" w:rsidRPr="00EC0229">
        <w:rPr>
          <w:sz w:val="20"/>
          <w:szCs w:val="20"/>
        </w:rPr>
        <w:fldChar w:fldCharType="begin"/>
      </w:r>
      <w:r w:rsidR="008960AE" w:rsidRPr="00EC0229">
        <w:rPr>
          <w:sz w:val="20"/>
          <w:szCs w:val="20"/>
        </w:rPr>
        <w:instrText xml:space="preserve"> XE "élite" </w:instrText>
      </w:r>
      <w:r w:rsidR="008960AE" w:rsidRPr="00EC0229">
        <w:rPr>
          <w:sz w:val="20"/>
          <w:szCs w:val="20"/>
        </w:rPr>
        <w:fldChar w:fldCharType="end"/>
      </w:r>
      <w:r w:rsidR="00854613" w:rsidRPr="00EC0229">
        <w:rPr>
          <w:sz w:val="20"/>
          <w:szCs w:val="20"/>
        </w:rPr>
        <w:t xml:space="preserve"> sites</w:t>
      </w:r>
      <w:bookmarkEnd w:id="794"/>
    </w:p>
    <w:p w14:paraId="7A646F9E" w14:textId="32C26DA5" w:rsidR="00854613" w:rsidRPr="00EC0229" w:rsidRDefault="00854613" w:rsidP="007600EA">
      <w:pPr>
        <w:spacing w:line="360" w:lineRule="auto"/>
        <w:jc w:val="center"/>
        <w:rPr>
          <w:sz w:val="20"/>
          <w:szCs w:val="20"/>
        </w:rPr>
      </w:pPr>
      <w:r w:rsidRPr="00EC0229">
        <w:rPr>
          <w:sz w:val="20"/>
          <w:szCs w:val="20"/>
        </w:rPr>
        <w:t>(PAS</w:t>
      </w:r>
      <w:r w:rsidR="008960AE" w:rsidRPr="00EC0229">
        <w:rPr>
          <w:sz w:val="20"/>
          <w:szCs w:val="20"/>
        </w:rPr>
        <w:fldChar w:fldCharType="begin"/>
      </w:r>
      <w:r w:rsidR="008960AE" w:rsidRPr="00EC0229">
        <w:rPr>
          <w:sz w:val="20"/>
          <w:szCs w:val="20"/>
        </w:rPr>
        <w:instrText xml:space="preserve"> XE "PAS" </w:instrText>
      </w:r>
      <w:r w:rsidR="008960AE" w:rsidRPr="00EC0229">
        <w:rPr>
          <w:sz w:val="20"/>
          <w:szCs w:val="20"/>
        </w:rPr>
        <w:fldChar w:fldCharType="end"/>
      </w:r>
      <w:r w:rsidRPr="00EC0229">
        <w:rPr>
          <w:sz w:val="20"/>
          <w:szCs w:val="20"/>
        </w:rPr>
        <w:t xml:space="preserve"> </w:t>
      </w:r>
      <w:r w:rsidRPr="00EC0229">
        <w:rPr>
          <w:rStyle w:val="fourfigure"/>
          <w:sz w:val="20"/>
          <w:szCs w:val="20"/>
        </w:rPr>
        <w:t>YORYM-58B842). Intentionally folded and probably a single grave deposit.</w:t>
      </w:r>
      <w:r w:rsidRPr="00EC0229">
        <w:rPr>
          <w:rStyle w:val="FootnoteReference"/>
          <w:sz w:val="20"/>
          <w:szCs w:val="20"/>
        </w:rPr>
        <w:footnoteReference w:id="1107"/>
      </w:r>
    </w:p>
    <w:p w14:paraId="278B4E5E" w14:textId="77777777" w:rsidR="00B7034B" w:rsidRPr="00EC0229" w:rsidRDefault="00B7034B" w:rsidP="007600EA">
      <w:pPr>
        <w:pStyle w:val="NoSpacing"/>
        <w:spacing w:line="360" w:lineRule="auto"/>
        <w:jc w:val="center"/>
        <w:rPr>
          <w:b/>
          <w:color w:val="FF0000"/>
          <w:sz w:val="20"/>
          <w:szCs w:val="20"/>
        </w:rPr>
      </w:pPr>
    </w:p>
    <w:p w14:paraId="65A42D66" w14:textId="62E28814" w:rsidR="00016A26" w:rsidRPr="00EC0229" w:rsidRDefault="00016A26" w:rsidP="007600EA">
      <w:pPr>
        <w:pStyle w:val="NoSpacing"/>
        <w:spacing w:line="360" w:lineRule="auto"/>
        <w:jc w:val="center"/>
        <w:rPr>
          <w:b/>
          <w:color w:val="FF0000"/>
          <w:sz w:val="20"/>
          <w:szCs w:val="20"/>
        </w:rPr>
      </w:pPr>
      <w:r w:rsidRPr="00EC0229">
        <w:rPr>
          <w:b/>
          <w:noProof/>
          <w:color w:val="FF0000"/>
          <w:sz w:val="20"/>
          <w:szCs w:val="20"/>
          <w:lang w:eastAsia="en-GB"/>
        </w:rPr>
        <w:drawing>
          <wp:inline distT="0" distB="0" distL="0" distR="0" wp14:anchorId="533A5B5A" wp14:editId="7D2EB9B0">
            <wp:extent cx="885243" cy="822419"/>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Leigh Thompson v2.JPG"/>
                    <pic:cNvPicPr/>
                  </pic:nvPicPr>
                  <pic:blipFill>
                    <a:blip r:embed="rId466">
                      <a:extLst>
                        <a:ext uri="{28A0092B-C50C-407E-A947-70E740481C1C}">
                          <a14:useLocalDpi xmlns:a14="http://schemas.microsoft.com/office/drawing/2010/main" val="0"/>
                        </a:ext>
                      </a:extLst>
                    </a:blip>
                    <a:stretch>
                      <a:fillRect/>
                    </a:stretch>
                  </pic:blipFill>
                  <pic:spPr>
                    <a:xfrm>
                      <a:off x="0" y="0"/>
                      <a:ext cx="898063" cy="834329"/>
                    </a:xfrm>
                    <a:prstGeom prst="rect">
                      <a:avLst/>
                    </a:prstGeom>
                  </pic:spPr>
                </pic:pic>
              </a:graphicData>
            </a:graphic>
          </wp:inline>
        </w:drawing>
      </w:r>
      <w:r w:rsidRPr="00EC0229">
        <w:rPr>
          <w:b/>
          <w:noProof/>
          <w:color w:val="FF0000"/>
          <w:sz w:val="20"/>
          <w:szCs w:val="20"/>
          <w:lang w:eastAsia="en-GB"/>
        </w:rPr>
        <w:drawing>
          <wp:inline distT="0" distB="0" distL="0" distR="0" wp14:anchorId="33946A89" wp14:editId="2F02548B">
            <wp:extent cx="978301" cy="797315"/>
            <wp:effectExtent l="0" t="0" r="0" b="31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Leigh Thompson v2 R.JPG"/>
                    <pic:cNvPicPr/>
                  </pic:nvPicPr>
                  <pic:blipFill>
                    <a:blip r:embed="rId467">
                      <a:extLst>
                        <a:ext uri="{28A0092B-C50C-407E-A947-70E740481C1C}">
                          <a14:useLocalDpi xmlns:a14="http://schemas.microsoft.com/office/drawing/2010/main" val="0"/>
                        </a:ext>
                      </a:extLst>
                    </a:blip>
                    <a:stretch>
                      <a:fillRect/>
                    </a:stretch>
                  </pic:blipFill>
                  <pic:spPr>
                    <a:xfrm>
                      <a:off x="0" y="0"/>
                      <a:ext cx="995851" cy="811618"/>
                    </a:xfrm>
                    <a:prstGeom prst="rect">
                      <a:avLst/>
                    </a:prstGeom>
                  </pic:spPr>
                </pic:pic>
              </a:graphicData>
            </a:graphic>
          </wp:inline>
        </w:drawing>
      </w:r>
    </w:p>
    <w:p w14:paraId="7A1AF7C2" w14:textId="1E0819D8" w:rsidR="00854613" w:rsidRPr="00EC0229" w:rsidRDefault="00016A26" w:rsidP="007600EA">
      <w:pPr>
        <w:spacing w:line="360" w:lineRule="auto"/>
        <w:jc w:val="center"/>
        <w:rPr>
          <w:i/>
          <w:sz w:val="20"/>
          <w:szCs w:val="20"/>
        </w:rPr>
      </w:pPr>
      <w:bookmarkStart w:id="795" w:name="_Ref435695487"/>
      <w:bookmarkStart w:id="796" w:name="_Toc468267118"/>
      <w:r w:rsidRPr="00EC0229">
        <w:rPr>
          <w:i/>
          <w:sz w:val="20"/>
          <w:szCs w:val="20"/>
        </w:rPr>
        <w:t>Figure</w:t>
      </w:r>
      <w:r w:rsidRPr="00EC0229">
        <w:rPr>
          <w:sz w:val="20"/>
          <w:szCs w:val="20"/>
        </w:rPr>
        <w:t xml:space="preserve"> </w:t>
      </w:r>
      <w:r w:rsidRPr="00EC0229">
        <w:rPr>
          <w:i/>
          <w:sz w:val="20"/>
          <w:szCs w:val="20"/>
        </w:rPr>
        <w:fldChar w:fldCharType="begin"/>
      </w:r>
      <w:r w:rsidRPr="00EC0229">
        <w:rPr>
          <w:sz w:val="20"/>
          <w:szCs w:val="20"/>
        </w:rPr>
        <w:instrText xml:space="preserve"> SEQ Figure \* ARABIC </w:instrText>
      </w:r>
      <w:r w:rsidRPr="00EC0229">
        <w:rPr>
          <w:i/>
          <w:sz w:val="20"/>
          <w:szCs w:val="20"/>
        </w:rPr>
        <w:fldChar w:fldCharType="separate"/>
      </w:r>
      <w:r w:rsidR="0012026B">
        <w:rPr>
          <w:noProof/>
          <w:sz w:val="20"/>
          <w:szCs w:val="20"/>
        </w:rPr>
        <w:t>146</w:t>
      </w:r>
      <w:r w:rsidRPr="00EC0229">
        <w:rPr>
          <w:i/>
          <w:sz w:val="20"/>
          <w:szCs w:val="20"/>
        </w:rPr>
        <w:fldChar w:fldCharType="end"/>
      </w:r>
      <w:bookmarkEnd w:id="795"/>
      <w:r w:rsidRPr="00EC0229">
        <w:rPr>
          <w:sz w:val="20"/>
          <w:szCs w:val="20"/>
        </w:rPr>
        <w:t xml:space="preserve">: Wolf &amp; Twins sceat, found </w:t>
      </w:r>
      <w:r w:rsidR="00553842" w:rsidRPr="00EC0229">
        <w:rPr>
          <w:sz w:val="20"/>
          <w:szCs w:val="20"/>
        </w:rPr>
        <w:t>n</w:t>
      </w:r>
      <w:r w:rsidRPr="00EC0229">
        <w:rPr>
          <w:sz w:val="20"/>
          <w:szCs w:val="20"/>
        </w:rPr>
        <w:t>ear. Bridlington</w:t>
      </w:r>
      <w:bookmarkEnd w:id="796"/>
    </w:p>
    <w:p w14:paraId="779FB4F3" w14:textId="52558303" w:rsidR="00854613" w:rsidRPr="007A3166" w:rsidRDefault="00854613" w:rsidP="001662EF">
      <w:pPr>
        <w:pStyle w:val="Heading3"/>
      </w:pPr>
      <w:bookmarkStart w:id="797" w:name="_Toc468266907"/>
      <w:r w:rsidRPr="007A3166">
        <w:t>Grave Goods</w:t>
      </w:r>
      <w:r w:rsidR="006B1593" w:rsidRPr="007A3166">
        <w:fldChar w:fldCharType="begin"/>
      </w:r>
      <w:r w:rsidR="006B1593" w:rsidRPr="007A3166">
        <w:instrText xml:space="preserve"> XE "</w:instrText>
      </w:r>
      <w:r w:rsidR="006B1593" w:rsidRPr="007A3166">
        <w:rPr>
          <w:rStyle w:val="Hyperlink"/>
          <w:b w:val="0"/>
          <w:noProof/>
          <w:u w:val="none"/>
        </w:rPr>
        <w:instrText>Grave Goods</w:instrText>
      </w:r>
      <w:r w:rsidR="006B1593" w:rsidRPr="007A3166">
        <w:instrText xml:space="preserve">" </w:instrText>
      </w:r>
      <w:r w:rsidR="006B1593" w:rsidRPr="007A3166">
        <w:fldChar w:fldCharType="end"/>
      </w:r>
      <w:r w:rsidRPr="007A3166">
        <w:t xml:space="preserve"> and Small hoards</w:t>
      </w:r>
      <w:r w:rsidR="001662EF">
        <w:t xml:space="preserve"> – Wolds east</w:t>
      </w:r>
      <w:bookmarkEnd w:id="797"/>
    </w:p>
    <w:p w14:paraId="44EDC8A3" w14:textId="160C20B3" w:rsidR="00854613" w:rsidRPr="00EC0229" w:rsidRDefault="00854613" w:rsidP="007600EA">
      <w:pPr>
        <w:pStyle w:val="NoSpacing"/>
        <w:spacing w:line="360" w:lineRule="auto"/>
        <w:rPr>
          <w:szCs w:val="24"/>
        </w:rPr>
      </w:pPr>
      <w:r w:rsidRPr="00EC0229">
        <w:rPr>
          <w:szCs w:val="24"/>
        </w:rPr>
        <w:t>Coins have been found in association with burials at Garton</w:t>
      </w:r>
      <w:r w:rsidR="006B1593" w:rsidRPr="00EC0229">
        <w:rPr>
          <w:szCs w:val="24"/>
        </w:rPr>
        <w:fldChar w:fldCharType="begin"/>
      </w:r>
      <w:r w:rsidR="006B1593" w:rsidRPr="00EC0229">
        <w:instrText xml:space="preserve"> XE "</w:instrText>
      </w:r>
      <w:r w:rsidR="006B1593" w:rsidRPr="00EC0229">
        <w:rPr>
          <w:rStyle w:val="Hyperlink"/>
          <w:noProof/>
          <w:u w:val="none"/>
        </w:rPr>
        <w:instrText>Garton</w:instrText>
      </w:r>
      <w:r w:rsidR="006B1593" w:rsidRPr="00EC0229">
        <w:instrText xml:space="preserve">" </w:instrText>
      </w:r>
      <w:r w:rsidR="006B1593" w:rsidRPr="00EC0229">
        <w:rPr>
          <w:szCs w:val="24"/>
        </w:rPr>
        <w:fldChar w:fldCharType="end"/>
      </w:r>
      <w:r w:rsidRPr="00EC0229">
        <w:rPr>
          <w:szCs w:val="24"/>
        </w:rPr>
        <w:t>-on-the-Wolds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(eight sceats) and artefacts in association with human remains at Kilham</w:t>
      </w:r>
      <w:r w:rsidR="006B1593" w:rsidRPr="00EC0229">
        <w:rPr>
          <w:szCs w:val="24"/>
        </w:rPr>
        <w:fldChar w:fldCharType="begin"/>
      </w:r>
      <w:r w:rsidR="006B1593" w:rsidRPr="00EC0229">
        <w:instrText xml:space="preserve"> XE "</w:instrText>
      </w:r>
      <w:r w:rsidR="006B1593" w:rsidRPr="00EC0229">
        <w:rPr>
          <w:rStyle w:val="Hyperlink"/>
          <w:noProof/>
          <w:u w:val="none"/>
        </w:rPr>
        <w:instrText>Kilham</w:instrText>
      </w:r>
      <w:r w:rsidR="006B1593" w:rsidRPr="00EC0229">
        <w:instrText xml:space="preserve">" </w:instrText>
      </w:r>
      <w:r w:rsidR="006B1593" w:rsidRPr="00EC0229">
        <w:rPr>
          <w:szCs w:val="24"/>
        </w:rPr>
        <w:fldChar w:fldCharType="end"/>
      </w:r>
      <w:r w:rsidRPr="00EC0229">
        <w:rPr>
          <w:szCs w:val="24"/>
        </w:rPr>
        <w:t>.</w:t>
      </w:r>
      <w:r w:rsidR="00956154" w:rsidRPr="00EC0229">
        <w:rPr>
          <w:rStyle w:val="FootnoteReference"/>
          <w:szCs w:val="24"/>
        </w:rPr>
        <w:footnoteReference w:id="1108"/>
      </w:r>
      <w:r w:rsidRPr="00EC0229">
        <w:rPr>
          <w:szCs w:val="24"/>
        </w:rPr>
        <w:t xml:space="preserve"> Small hoards have been unearthed at Buttercrambe (</w:t>
      </w:r>
      <w:r w:rsidRPr="00EC0229">
        <w:t>seventeen Primary sceats)</w:t>
      </w:r>
      <w:r w:rsidRPr="00EC0229">
        <w:rPr>
          <w:szCs w:val="24"/>
        </w:rPr>
        <w:t>, Everingham (eleven stycas) and Burdale</w:t>
      </w:r>
      <w:r w:rsidR="006B1593" w:rsidRPr="00EC0229">
        <w:rPr>
          <w:szCs w:val="24"/>
        </w:rPr>
        <w:fldChar w:fldCharType="begin"/>
      </w:r>
      <w:r w:rsidR="006B1593" w:rsidRPr="00EC0229">
        <w:instrText xml:space="preserve"> XE "</w:instrText>
      </w:r>
      <w:r w:rsidR="006B1593" w:rsidRPr="00EC0229">
        <w:rPr>
          <w:rStyle w:val="Hyperlink"/>
          <w:noProof/>
          <w:u w:val="none"/>
        </w:rPr>
        <w:instrText>Burdale</w:instrText>
      </w:r>
      <w:r w:rsidR="006B1593" w:rsidRPr="00EC0229">
        <w:instrText xml:space="preserve">" </w:instrText>
      </w:r>
      <w:r w:rsidR="006B1593" w:rsidRPr="00EC0229">
        <w:rPr>
          <w:szCs w:val="24"/>
        </w:rPr>
        <w:fldChar w:fldCharType="end"/>
      </w:r>
      <w:r w:rsidRPr="00EC0229">
        <w:rPr>
          <w:szCs w:val="24"/>
        </w:rPr>
        <w:t xml:space="preserve"> (allegedly dispersed styca hoard). These are discussed in the respective site notes. </w:t>
      </w:r>
    </w:p>
    <w:p w14:paraId="7136E084" w14:textId="77777777" w:rsidR="00854613" w:rsidRPr="00EC0229" w:rsidRDefault="00854613" w:rsidP="007600EA">
      <w:pPr>
        <w:pStyle w:val="NoSpacing"/>
        <w:spacing w:line="360" w:lineRule="auto"/>
        <w:rPr>
          <w:b/>
          <w:szCs w:val="24"/>
        </w:rPr>
      </w:pPr>
    </w:p>
    <w:p w14:paraId="615016D8" w14:textId="130E953A" w:rsidR="00854613" w:rsidRPr="007A3166" w:rsidRDefault="00854613" w:rsidP="001662EF">
      <w:pPr>
        <w:pStyle w:val="Heading3"/>
      </w:pPr>
      <w:bookmarkStart w:id="798" w:name="_Toc468266908"/>
      <w:r w:rsidRPr="007A3166">
        <w:t>Numismat</w:t>
      </w:r>
      <w:r w:rsidRPr="007A3166">
        <w:rPr>
          <w:rStyle w:val="Heading2Char"/>
          <w:b/>
          <w:sz w:val="24"/>
          <w:szCs w:val="24"/>
        </w:rPr>
        <w:t>i</w:t>
      </w:r>
      <w:r w:rsidRPr="007A3166">
        <w:t>c Summary</w:t>
      </w:r>
      <w:r w:rsidR="001662EF">
        <w:t xml:space="preserve"> – Wolds east</w:t>
      </w:r>
      <w:bookmarkEnd w:id="798"/>
    </w:p>
    <w:p w14:paraId="58895614" w14:textId="7B885CDC" w:rsidR="00854613" w:rsidRPr="00EC0229" w:rsidRDefault="00854613" w:rsidP="007600EA">
      <w:pPr>
        <w:pStyle w:val="NoSpacing"/>
        <w:spacing w:line="360" w:lineRule="auto"/>
        <w:rPr>
          <w:szCs w:val="24"/>
        </w:rPr>
      </w:pPr>
      <w:r w:rsidRPr="00EC0229">
        <w:rPr>
          <w:szCs w:val="24"/>
        </w:rPr>
        <w:t>While the east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may lack the volume and variety found elsewhere in the Wolds, the picture remains one of a healthy range of local and imported coin varieties.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367541" w:rsidRPr="00EC0229">
        <w:rPr>
          <w:i/>
          <w:szCs w:val="24"/>
        </w:rPr>
        <w:t>5</w:t>
      </w:r>
      <w:r w:rsidR="00635D9A" w:rsidRPr="00EC0229">
        <w:rPr>
          <w:i/>
          <w:szCs w:val="24"/>
        </w:rPr>
        <w:t>.01</w:t>
      </w:r>
      <w:r w:rsidRPr="00EC0229">
        <w:rPr>
          <w:szCs w:val="24"/>
        </w:rPr>
        <w:t xml:space="preserve"> again shows the strength of imported coinages particularly in the Primary sceatta</w:t>
      </w:r>
      <w:r w:rsidR="00D142DC" w:rsidRPr="00EC0229">
        <w:rPr>
          <w:szCs w:val="24"/>
        </w:rPr>
        <w:fldChar w:fldCharType="begin"/>
      </w:r>
      <w:r w:rsidR="00D142DC" w:rsidRPr="00EC0229">
        <w:instrText xml:space="preserve"> XE "sceatta" </w:instrText>
      </w:r>
      <w:r w:rsidR="00D142DC" w:rsidRPr="00EC0229">
        <w:rPr>
          <w:szCs w:val="24"/>
        </w:rPr>
        <w:fldChar w:fldCharType="end"/>
      </w:r>
      <w:r w:rsidRPr="00EC0229">
        <w:rPr>
          <w:szCs w:val="24"/>
        </w:rPr>
        <w:t xml:space="preserve"> phase. </w:t>
      </w:r>
      <w:r w:rsidR="000E5334">
        <w:rPr>
          <w:i/>
          <w:szCs w:val="24"/>
        </w:rPr>
        <w:t xml:space="preserve">Graphs 7.05 </w:t>
      </w:r>
      <w:r w:rsidR="000E5334">
        <w:rPr>
          <w:szCs w:val="24"/>
        </w:rPr>
        <w:t xml:space="preserve">illustrate </w:t>
      </w:r>
      <w:r w:rsidR="000E5334" w:rsidRPr="00EC0229">
        <w:rPr>
          <w:szCs w:val="24"/>
        </w:rPr>
        <w:t xml:space="preserve">a healthy </w:t>
      </w:r>
      <w:r w:rsidR="000E5334">
        <w:rPr>
          <w:szCs w:val="24"/>
        </w:rPr>
        <w:t>continuity.</w:t>
      </w:r>
    </w:p>
    <w:p w14:paraId="27B80F8A" w14:textId="77777777" w:rsidR="00854613" w:rsidRPr="00EC0229" w:rsidRDefault="00854613" w:rsidP="007600EA">
      <w:pPr>
        <w:pStyle w:val="NoSpacing"/>
        <w:spacing w:line="360" w:lineRule="auto"/>
        <w:rPr>
          <w:b/>
          <w:szCs w:val="24"/>
        </w:rPr>
      </w:pPr>
    </w:p>
    <w:p w14:paraId="5B38E58A" w14:textId="0971652E" w:rsidR="00854613" w:rsidRPr="007A3166" w:rsidRDefault="00854613" w:rsidP="001662EF">
      <w:pPr>
        <w:pStyle w:val="Heading3"/>
      </w:pPr>
      <w:bookmarkStart w:id="799" w:name="_Toc468266909"/>
      <w:r w:rsidRPr="007A3166">
        <w:t>The Artefactual</w:t>
      </w:r>
      <w:r w:rsidR="006B1593" w:rsidRPr="007A3166">
        <w:fldChar w:fldCharType="begin"/>
      </w:r>
      <w:r w:rsidR="006B1593" w:rsidRPr="007A3166">
        <w:instrText xml:space="preserve"> XE "</w:instrText>
      </w:r>
      <w:r w:rsidR="006B1593" w:rsidRPr="007A3166">
        <w:rPr>
          <w:rStyle w:val="Hyperlink"/>
          <w:b w:val="0"/>
          <w:noProof/>
          <w:u w:val="none"/>
        </w:rPr>
        <w:instrText>Artefactual</w:instrText>
      </w:r>
      <w:r w:rsidR="006B1593" w:rsidRPr="007A3166">
        <w:instrText xml:space="preserve">" </w:instrText>
      </w:r>
      <w:r w:rsidR="006B1593" w:rsidRPr="007A3166">
        <w:fldChar w:fldCharType="end"/>
      </w:r>
      <w:r w:rsidR="00497AC3" w:rsidRPr="007A3166">
        <w:t xml:space="preserve"> Data</w:t>
      </w:r>
      <w:r w:rsidRPr="007A3166">
        <w:t>se</w:t>
      </w:r>
      <w:r w:rsidR="00497AC3" w:rsidRPr="007A3166">
        <w:t>t</w:t>
      </w:r>
      <w:r w:rsidR="00584C42" w:rsidRPr="007A3166">
        <w:fldChar w:fldCharType="begin"/>
      </w:r>
      <w:r w:rsidR="00584C42" w:rsidRPr="007A3166">
        <w:instrText xml:space="preserve"> XE "</w:instrText>
      </w:r>
      <w:r w:rsidR="00584C42" w:rsidRPr="007A3166">
        <w:rPr>
          <w:rStyle w:val="Hyperlink"/>
          <w:b w:val="0"/>
          <w:noProof/>
          <w:u w:val="none"/>
        </w:rPr>
        <w:instrText>Database</w:instrText>
      </w:r>
      <w:r w:rsidR="00584C42" w:rsidRPr="007A3166">
        <w:instrText xml:space="preserve">" </w:instrText>
      </w:r>
      <w:r w:rsidR="00584C42" w:rsidRPr="007A3166">
        <w:fldChar w:fldCharType="end"/>
      </w:r>
      <w:r w:rsidRPr="007A3166">
        <w:t xml:space="preserve"> </w:t>
      </w:r>
      <w:r w:rsidR="00A570B7" w:rsidRPr="007A3166">
        <w:t xml:space="preserve">- </w:t>
      </w:r>
      <w:r w:rsidRPr="007A3166">
        <w:t>Wolds</w:t>
      </w:r>
      <w:r w:rsidR="00A570B7" w:rsidRPr="007A3166">
        <w:t xml:space="preserve"> east</w:t>
      </w:r>
      <w:bookmarkEnd w:id="799"/>
      <w:r w:rsidR="006B1593" w:rsidRPr="007A3166">
        <w:fldChar w:fldCharType="begin"/>
      </w:r>
      <w:r w:rsidR="006B1593" w:rsidRPr="007A3166">
        <w:instrText xml:space="preserve"> XE "</w:instrText>
      </w:r>
      <w:r w:rsidR="006B1593" w:rsidRPr="007A3166">
        <w:rPr>
          <w:rStyle w:val="Hyperlink"/>
          <w:rFonts w:cs="Times New Roman"/>
          <w:b w:val="0"/>
          <w:noProof/>
          <w:u w:val="none"/>
        </w:rPr>
        <w:instrText>Wolds</w:instrText>
      </w:r>
      <w:r w:rsidR="006B1593" w:rsidRPr="007A3166">
        <w:instrText xml:space="preserve">" </w:instrText>
      </w:r>
      <w:r w:rsidR="006B1593" w:rsidRPr="007A3166">
        <w:fldChar w:fldCharType="end"/>
      </w:r>
    </w:p>
    <w:p w14:paraId="2856615A" w14:textId="5F93B14E" w:rsidR="000B7705" w:rsidRPr="00EC0229" w:rsidRDefault="000B7705" w:rsidP="007600EA">
      <w:pPr>
        <w:pStyle w:val="NoSpacing"/>
        <w:spacing w:line="360" w:lineRule="auto"/>
      </w:pPr>
      <w:r w:rsidRPr="00EC0229">
        <w:t>Two anomalies require explanations. First, the metal working debris at Rudston</w:t>
      </w:r>
      <w:r w:rsidRPr="00EC0229">
        <w:fldChar w:fldCharType="begin"/>
      </w:r>
      <w:r w:rsidRPr="00EC0229">
        <w:instrText xml:space="preserve"> XE "</w:instrText>
      </w:r>
      <w:r w:rsidRPr="00EC0229">
        <w:rPr>
          <w:rStyle w:val="Hyperlink"/>
          <w:noProof/>
          <w:u w:val="none"/>
        </w:rPr>
        <w:instrText>Rudston</w:instrText>
      </w:r>
      <w:r w:rsidRPr="00EC0229">
        <w:instrText xml:space="preserve">" </w:instrText>
      </w:r>
      <w:r w:rsidRPr="00EC0229">
        <w:fldChar w:fldCharType="end"/>
      </w:r>
      <w:r w:rsidRPr="00EC0229">
        <w:t xml:space="preserve"> is associated with burials rather than industrial processing. This accounts for all but one item of metal working debris in the </w:t>
      </w:r>
      <w:r w:rsidR="00D65946" w:rsidRPr="00EC0229">
        <w:t>dataset</w:t>
      </w:r>
      <w:r w:rsidRPr="00EC0229">
        <w:t xml:space="preserve"> – the other is a fragment of filigree-decorated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sheet from Aldbrough, which would better have been classified as jewellery. Second, the hoard of eleven items from a burial at Kilham</w:t>
      </w:r>
      <w:r w:rsidRPr="00EC0229">
        <w:fldChar w:fldCharType="begin"/>
      </w:r>
      <w:r w:rsidRPr="00EC0229">
        <w:instrText xml:space="preserve"> XE "</w:instrText>
      </w:r>
      <w:r w:rsidRPr="00EC0229">
        <w:rPr>
          <w:rStyle w:val="Hyperlink"/>
          <w:noProof/>
          <w:u w:val="none"/>
        </w:rPr>
        <w:instrText>Kilham</w:instrText>
      </w:r>
      <w:r w:rsidRPr="00EC0229">
        <w:instrText xml:space="preserve">" </w:instrText>
      </w:r>
      <w:r w:rsidRPr="00EC0229">
        <w:fldChar w:fldCharType="end"/>
      </w:r>
      <w:r w:rsidRPr="00EC0229">
        <w:t>, seems also to be included in the PAS</w:t>
      </w:r>
      <w:r w:rsidRPr="00EC0229">
        <w:fldChar w:fldCharType="begin"/>
      </w:r>
      <w:r w:rsidRPr="00EC0229">
        <w:instrText xml:space="preserve"> XE "PAS" </w:instrText>
      </w:r>
      <w:r w:rsidRPr="00EC0229">
        <w:fldChar w:fldCharType="end"/>
      </w:r>
      <w:r w:rsidRPr="00EC0229">
        <w:t xml:space="preserve"> extract as individual items.</w:t>
      </w:r>
      <w:r w:rsidRPr="00EC0229">
        <w:rPr>
          <w:rStyle w:val="FootnoteReference"/>
        </w:rPr>
        <w:footnoteReference w:id="1109"/>
      </w:r>
    </w:p>
    <w:p w14:paraId="4B7711F1" w14:textId="77777777" w:rsidR="000B7705" w:rsidRPr="00EC0229" w:rsidRDefault="000B7705" w:rsidP="007600EA">
      <w:pPr>
        <w:pStyle w:val="NoSpacing"/>
        <w:spacing w:line="360" w:lineRule="auto"/>
      </w:pPr>
    </w:p>
    <w:p w14:paraId="30CAD91E" w14:textId="1398D4B4" w:rsidR="00854613" w:rsidRPr="00EC0229" w:rsidRDefault="00854613" w:rsidP="007600EA">
      <w:pPr>
        <w:pStyle w:val="NoSpacing"/>
        <w:spacing w:line="360" w:lineRule="auto"/>
      </w:pPr>
      <w:r w:rsidRPr="00EC0229">
        <w:t>Of the dozen finds locations in the east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1641C3" w:rsidRPr="00EC0229">
        <w:rPr>
          <w:i/>
        </w:rPr>
        <w:t>6</w:t>
      </w:r>
      <w:r w:rsidR="00635D9A" w:rsidRPr="00EC0229">
        <w:rPr>
          <w:i/>
        </w:rPr>
        <w:t>.03</w:t>
      </w:r>
      <w:r w:rsidRPr="00EC0229">
        <w:rPr>
          <w:color w:val="000000" w:themeColor="text1"/>
        </w:rPr>
        <w:t xml:space="preserve">, </w:t>
      </w:r>
      <w:r w:rsidRPr="00EC0229">
        <w:t>the dominant two are Thwing</w:t>
      </w:r>
      <w:r w:rsidR="006B1593" w:rsidRPr="00EC0229">
        <w:fldChar w:fldCharType="begin"/>
      </w:r>
      <w:r w:rsidR="006B1593" w:rsidRPr="00EC0229">
        <w:instrText xml:space="preserve"> XE "</w:instrText>
      </w:r>
      <w:r w:rsidR="006B1593" w:rsidRPr="00EC0229">
        <w:rPr>
          <w:rStyle w:val="Hyperlink"/>
          <w:noProof/>
          <w:u w:val="none"/>
        </w:rPr>
        <w:instrText>Thwing</w:instrText>
      </w:r>
      <w:r w:rsidR="006B1593" w:rsidRPr="00EC0229">
        <w:instrText xml:space="preserve">" </w:instrText>
      </w:r>
      <w:r w:rsidR="006B1593" w:rsidRPr="00EC0229">
        <w:fldChar w:fldCharType="end"/>
      </w:r>
      <w:r w:rsidRPr="00EC0229">
        <w:t xml:space="preserve"> </w:t>
      </w:r>
      <w:r w:rsidR="006F747D" w:rsidRPr="00EC0229">
        <w:t>(</w:t>
      </w:r>
      <w:r w:rsidRPr="00EC0229">
        <w:t>134</w:t>
      </w:r>
      <w:r w:rsidR="006F747D" w:rsidRPr="00EC0229">
        <w:t xml:space="preserve"> artefacts)</w:t>
      </w:r>
      <w:r w:rsidRPr="00EC0229">
        <w:t xml:space="preserve"> and Rudston</w:t>
      </w:r>
      <w:r w:rsidR="006B1593" w:rsidRPr="00EC0229">
        <w:fldChar w:fldCharType="begin"/>
      </w:r>
      <w:r w:rsidR="006B1593" w:rsidRPr="00EC0229">
        <w:instrText xml:space="preserve"> XE "</w:instrText>
      </w:r>
      <w:r w:rsidR="006B1593" w:rsidRPr="00EC0229">
        <w:rPr>
          <w:rStyle w:val="Hyperlink"/>
          <w:noProof/>
          <w:u w:val="none"/>
        </w:rPr>
        <w:instrText>Rudston</w:instrText>
      </w:r>
      <w:r w:rsidR="006B1593" w:rsidRPr="00EC0229">
        <w:instrText xml:space="preserve">" </w:instrText>
      </w:r>
      <w:r w:rsidR="006B1593" w:rsidRPr="00EC0229">
        <w:fldChar w:fldCharType="end"/>
      </w:r>
      <w:r w:rsidRPr="00EC0229">
        <w:t xml:space="preserve"> </w:t>
      </w:r>
      <w:r w:rsidR="006F747D" w:rsidRPr="00EC0229">
        <w:t>(</w:t>
      </w:r>
      <w:r w:rsidRPr="00EC0229">
        <w:t>112</w:t>
      </w:r>
      <w:r w:rsidR="006F747D" w:rsidRPr="00EC0229">
        <w:t>)</w:t>
      </w:r>
      <w:r w:rsidRPr="00EC0229">
        <w:t xml:space="preserve"> </w:t>
      </w:r>
      <w:r w:rsidR="000B7705" w:rsidRPr="00EC0229">
        <w:t>with 71.9% of the 342 artefacts;</w:t>
      </w:r>
      <w:r w:rsidRPr="00EC0229">
        <w:t xml:space="preserve"> adding Kilham</w:t>
      </w:r>
      <w:r w:rsidR="006B1593" w:rsidRPr="00EC0229">
        <w:fldChar w:fldCharType="begin"/>
      </w:r>
      <w:r w:rsidR="006B1593" w:rsidRPr="00EC0229">
        <w:instrText xml:space="preserve"> XE "</w:instrText>
      </w:r>
      <w:r w:rsidR="006B1593" w:rsidRPr="00EC0229">
        <w:rPr>
          <w:rStyle w:val="Hyperlink"/>
          <w:noProof/>
          <w:u w:val="none"/>
        </w:rPr>
        <w:instrText>Kilham</w:instrText>
      </w:r>
      <w:r w:rsidR="006B1593" w:rsidRPr="00EC0229">
        <w:instrText xml:space="preserve">" </w:instrText>
      </w:r>
      <w:r w:rsidR="006B1593" w:rsidRPr="00EC0229">
        <w:fldChar w:fldCharType="end"/>
      </w:r>
      <w:r w:rsidRPr="00EC0229">
        <w:t xml:space="preserve"> </w:t>
      </w:r>
      <w:r w:rsidR="006F747D" w:rsidRPr="00EC0229">
        <w:t>(</w:t>
      </w:r>
      <w:r w:rsidRPr="00EC0229">
        <w:t>41</w:t>
      </w:r>
      <w:r w:rsidR="006F747D" w:rsidRPr="00EC0229">
        <w:t>)</w:t>
      </w:r>
      <w:r w:rsidRPr="00EC0229">
        <w:t xml:space="preserve"> takes this to 83.9%. The latter is also the most prolific numismatically and only three locations, all minor (fifteen artefacts), have not produced coins. There are ten coin findspots in all, nine also producing artefacts. Forty-five object types are represented, though the distribution is skewed towards brooches rathe</w:t>
      </w:r>
      <w:r w:rsidR="002D29A0" w:rsidRPr="00EC0229">
        <w:t>r than strap ends with</w:t>
      </w:r>
      <w:r w:rsidRPr="00EC0229">
        <w:t xml:space="preserve"> pins being well below norm. In common with neighbouring a</w:t>
      </w:r>
      <w:r w:rsidR="000B7705" w:rsidRPr="00EC0229">
        <w:t xml:space="preserve">reas, this may be mere fashion and is again of less significance than the </w:t>
      </w:r>
      <w:r w:rsidR="000B7705" w:rsidRPr="00EC0229">
        <w:rPr>
          <w:i/>
        </w:rPr>
        <w:t>CoM</w:t>
      </w:r>
      <w:r w:rsidR="000B7705" w:rsidRPr="00EC0229">
        <w:t xml:space="preserve"> of 75% in the east Wolds, showing a consistently high level of </w:t>
      </w:r>
      <w:r w:rsidR="003F2041" w:rsidRPr="00EC0229">
        <w:t>monetiz</w:t>
      </w:r>
      <w:r w:rsidR="000B7705" w:rsidRPr="00EC0229">
        <w:t>ation throughout the chalk upland.</w:t>
      </w:r>
    </w:p>
    <w:p w14:paraId="52C2C799" w14:textId="77777777" w:rsidR="00854613" w:rsidRPr="00EC0229" w:rsidRDefault="00854613" w:rsidP="007600EA">
      <w:pPr>
        <w:pStyle w:val="NoSpacing"/>
        <w:spacing w:line="360" w:lineRule="auto"/>
      </w:pPr>
    </w:p>
    <w:p w14:paraId="15702A1A" w14:textId="00E4A970" w:rsidR="00854613" w:rsidRPr="00EC0229" w:rsidRDefault="00C97BF2" w:rsidP="007600EA">
      <w:pPr>
        <w:pStyle w:val="Heading3"/>
        <w:spacing w:line="360" w:lineRule="auto"/>
      </w:pPr>
      <w:bookmarkStart w:id="800" w:name="_Toc468266910"/>
      <w:r>
        <w:t>8.2.3.4.</w:t>
      </w:r>
      <w:r>
        <w:tab/>
      </w:r>
      <w:r w:rsidR="0040182B" w:rsidRPr="00EC0229">
        <w:t>Comparison to Normal Distribution</w:t>
      </w:r>
      <w:r w:rsidR="008A2F13" w:rsidRPr="00EC0229">
        <w:t xml:space="preserve"> </w:t>
      </w:r>
      <w:r w:rsidR="0040182B" w:rsidRPr="00EC0229">
        <w:t>–</w:t>
      </w:r>
      <w:r w:rsidR="008A2F13" w:rsidRPr="00EC0229">
        <w:t xml:space="preserve"> </w:t>
      </w:r>
      <w:r w:rsidR="002D29A0" w:rsidRPr="00EC0229">
        <w:t>Wolds</w:t>
      </w:r>
      <w:bookmarkEnd w:id="800"/>
      <w:r w:rsidR="008A2F13" w:rsidRPr="00EC0229">
        <w:t xml:space="preserve"> </w:t>
      </w:r>
      <w:r w:rsidR="006B1593" w:rsidRPr="00EC0229">
        <w:fldChar w:fldCharType="begin"/>
      </w:r>
      <w:r w:rsidR="006B1593" w:rsidRPr="00EC0229">
        <w:instrText xml:space="preserve"> XE "</w:instrText>
      </w:r>
      <w:r w:rsidR="006B1593" w:rsidRPr="00EC0229">
        <w:rPr>
          <w:rStyle w:val="Hyperlink"/>
          <w:noProof/>
          <w:u w:val="none"/>
        </w:rPr>
        <w:instrText>Array Correlations</w:instrText>
      </w:r>
      <w:r w:rsidR="006B1593" w:rsidRPr="00EC0229">
        <w:instrText xml:space="preserve">" </w:instrText>
      </w:r>
      <w:r w:rsidR="006B1593" w:rsidRPr="00EC0229">
        <w:fldChar w:fldCharType="end"/>
      </w:r>
    </w:p>
    <w:p w14:paraId="0B0BE20B" w14:textId="21C0377F" w:rsidR="00854613" w:rsidRPr="00EC0229" w:rsidRDefault="00854613" w:rsidP="007600EA">
      <w:pPr>
        <w:pStyle w:val="NoSpacing"/>
        <w:spacing w:line="360" w:lineRule="auto"/>
        <w:rPr>
          <w:szCs w:val="24"/>
        </w:rPr>
      </w:pPr>
      <w:r w:rsidRPr="00EC0229">
        <w:rPr>
          <w:szCs w:val="24"/>
        </w:rPr>
        <w:t xml:space="preserve">As shown in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00635D9A" w:rsidRPr="00EC0229">
        <w:rPr>
          <w:i/>
          <w:szCs w:val="24"/>
        </w:rPr>
        <w:t xml:space="preserve"> </w:t>
      </w:r>
      <w:r w:rsidR="00367541" w:rsidRPr="00EC0229">
        <w:rPr>
          <w:i/>
          <w:szCs w:val="24"/>
        </w:rPr>
        <w:t>5</w:t>
      </w:r>
      <w:r w:rsidR="00635D9A" w:rsidRPr="00EC0229">
        <w:rPr>
          <w:i/>
          <w:szCs w:val="24"/>
        </w:rPr>
        <w:t>.01</w:t>
      </w:r>
      <w:r w:rsidRPr="00EC0229">
        <w:rPr>
          <w:szCs w:val="24"/>
        </w:rPr>
        <w:t>, the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are very close to norm for </w:t>
      </w:r>
      <w:r w:rsidR="00F139AF" w:rsidRPr="00EC0229">
        <w:rPr>
          <w:szCs w:val="24"/>
        </w:rPr>
        <w:t>the ninth century</w:t>
      </w:r>
      <w:r w:rsidRPr="00EC0229">
        <w:rPr>
          <w:szCs w:val="24"/>
        </w:rPr>
        <w:t xml:space="preserve"> but the corr</w:t>
      </w:r>
      <w:r w:rsidR="006C193B" w:rsidRPr="00EC0229">
        <w:rPr>
          <w:szCs w:val="24"/>
        </w:rPr>
        <w:t xml:space="preserve">elation for sceats is </w:t>
      </w:r>
      <w:r w:rsidRPr="00EC0229">
        <w:rPr>
          <w:szCs w:val="24"/>
        </w:rPr>
        <w:t>weaker</w:t>
      </w:r>
      <w:r w:rsidR="00916B6A" w:rsidRPr="00EC0229">
        <w:rPr>
          <w:szCs w:val="24"/>
        </w:rPr>
        <w:t>, especially in the central Wolds,</w:t>
      </w:r>
      <w:r w:rsidRPr="00EC0229">
        <w:rPr>
          <w:szCs w:val="24"/>
        </w:rPr>
        <w:t xml:space="preserve"> due to the relative dominance of non-local sceats in the Wolds, especially Sledmere</w:t>
      </w:r>
      <w:r w:rsidR="006B1593" w:rsidRPr="00EC0229">
        <w:rPr>
          <w:szCs w:val="24"/>
        </w:rPr>
        <w:fldChar w:fldCharType="begin"/>
      </w:r>
      <w:r w:rsidR="006B1593" w:rsidRPr="00EC0229">
        <w:instrText xml:space="preserve"> XE "</w:instrText>
      </w:r>
      <w:r w:rsidR="006B1593" w:rsidRPr="00EC0229">
        <w:rPr>
          <w:noProof/>
        </w:rPr>
        <w:instrText>Sledmere</w:instrText>
      </w:r>
      <w:r w:rsidR="006B1593" w:rsidRPr="00EC0229">
        <w:instrText xml:space="preserve">" </w:instrText>
      </w:r>
      <w:r w:rsidR="006B1593" w:rsidRPr="00EC0229">
        <w:rPr>
          <w:szCs w:val="24"/>
        </w:rPr>
        <w:fldChar w:fldCharType="end"/>
      </w:r>
      <w:r w:rsidR="005E5569" w:rsidRPr="00EC0229">
        <w:rPr>
          <w:szCs w:val="24"/>
        </w:rPr>
        <w:t xml:space="preserve"> (</w:t>
      </w:r>
      <w:r w:rsidR="00E91B37" w:rsidRPr="00EC0229">
        <w:rPr>
          <w:szCs w:val="24"/>
        </w:rPr>
        <w:fldChar w:fldCharType="begin"/>
      </w:r>
      <w:r w:rsidR="00E91B37" w:rsidRPr="00EC0229">
        <w:rPr>
          <w:szCs w:val="24"/>
        </w:rPr>
        <w:instrText xml:space="preserve"> PAGEREF Sledmere \h </w:instrText>
      </w:r>
      <w:r w:rsidR="00E91B37" w:rsidRPr="00EC0229">
        <w:rPr>
          <w:szCs w:val="24"/>
        </w:rPr>
      </w:r>
      <w:r w:rsidR="00E91B37" w:rsidRPr="00EC0229">
        <w:rPr>
          <w:szCs w:val="24"/>
        </w:rPr>
        <w:fldChar w:fldCharType="separate"/>
      </w:r>
      <w:r w:rsidR="0012026B">
        <w:rPr>
          <w:noProof/>
          <w:szCs w:val="24"/>
        </w:rPr>
        <w:t>243</w:t>
      </w:r>
      <w:r w:rsidR="00E91B37" w:rsidRPr="00EC0229">
        <w:rPr>
          <w:szCs w:val="24"/>
        </w:rPr>
        <w:fldChar w:fldCharType="end"/>
      </w:r>
      <w:r w:rsidR="005E5569" w:rsidRPr="00EC0229">
        <w:rPr>
          <w:szCs w:val="24"/>
        </w:rPr>
        <w:t>).</w:t>
      </w:r>
      <w:r w:rsidR="001852D4" w:rsidRPr="00EC0229">
        <w:rPr>
          <w:rStyle w:val="FootnoteReference"/>
          <w:szCs w:val="24"/>
        </w:rPr>
        <w:footnoteReference w:id="1110"/>
      </w:r>
      <w:r w:rsidRPr="00EC0229">
        <w:rPr>
          <w:szCs w:val="24"/>
        </w:rPr>
        <w:t xml:space="preserve"> This is despite the exclusivity of local finds at South Newbald</w:t>
      </w:r>
      <w:r w:rsidR="006B1593" w:rsidRPr="00EC0229">
        <w:rPr>
          <w:szCs w:val="24"/>
        </w:rPr>
        <w:fldChar w:fldCharType="begin"/>
      </w:r>
      <w:r w:rsidR="006B1593" w:rsidRPr="00EC0229">
        <w:instrText xml:space="preserve"> XE "</w:instrText>
      </w:r>
      <w:r w:rsidR="006B1593" w:rsidRPr="00EC0229">
        <w:rPr>
          <w:noProof/>
        </w:rPr>
        <w:instrText>South Newbald</w:instrText>
      </w:r>
      <w:r w:rsidR="006B1593" w:rsidRPr="00EC0229">
        <w:instrText xml:space="preserve">" </w:instrText>
      </w:r>
      <w:r w:rsidR="006B1593" w:rsidRPr="00EC0229">
        <w:rPr>
          <w:szCs w:val="24"/>
        </w:rPr>
        <w:fldChar w:fldCharType="end"/>
      </w:r>
      <w:r w:rsidR="005E5569" w:rsidRPr="00EC0229">
        <w:rPr>
          <w:szCs w:val="24"/>
        </w:rPr>
        <w:t xml:space="preserve"> (</w:t>
      </w:r>
      <w:r w:rsidR="00E91B37" w:rsidRPr="00EC0229">
        <w:rPr>
          <w:szCs w:val="24"/>
        </w:rPr>
        <w:fldChar w:fldCharType="begin"/>
      </w:r>
      <w:r w:rsidR="00E91B37" w:rsidRPr="00EC0229">
        <w:rPr>
          <w:szCs w:val="24"/>
        </w:rPr>
        <w:instrText xml:space="preserve"> PAGEREF SouthNewbald \h </w:instrText>
      </w:r>
      <w:r w:rsidR="00E91B37" w:rsidRPr="00EC0229">
        <w:rPr>
          <w:szCs w:val="24"/>
        </w:rPr>
      </w:r>
      <w:r w:rsidR="00E91B37" w:rsidRPr="00EC0229">
        <w:rPr>
          <w:szCs w:val="24"/>
        </w:rPr>
        <w:fldChar w:fldCharType="separate"/>
      </w:r>
      <w:r w:rsidR="0012026B">
        <w:rPr>
          <w:noProof/>
          <w:szCs w:val="24"/>
        </w:rPr>
        <w:t>232</w:t>
      </w:r>
      <w:r w:rsidR="00E91B37" w:rsidRPr="00EC0229">
        <w:rPr>
          <w:szCs w:val="24"/>
        </w:rPr>
        <w:fldChar w:fldCharType="end"/>
      </w:r>
      <w:r w:rsidR="005E5569" w:rsidRPr="00EC0229">
        <w:rPr>
          <w:szCs w:val="24"/>
        </w:rPr>
        <w:t>).</w:t>
      </w:r>
      <w:r w:rsidRPr="00EC0229">
        <w:rPr>
          <w:szCs w:val="24"/>
        </w:rPr>
        <w:t xml:space="preserve"> Clearly, other than special-purpose sites, the Wolds are distinctively outward looking.</w:t>
      </w:r>
      <w:r w:rsidR="00DE1C04" w:rsidRPr="00EC0229">
        <w:rPr>
          <w:szCs w:val="24"/>
        </w:rPr>
        <w:t xml:space="preserve"> Further analyses are detailed below.</w:t>
      </w:r>
    </w:p>
    <w:p w14:paraId="61EB751E" w14:textId="60513A40" w:rsidR="00854613" w:rsidRPr="00EC0229" w:rsidRDefault="00854613" w:rsidP="007600EA">
      <w:pPr>
        <w:pStyle w:val="NoSpacing"/>
        <w:spacing w:line="360" w:lineRule="auto"/>
        <w:rPr>
          <w:b/>
          <w:szCs w:val="24"/>
        </w:rPr>
      </w:pPr>
    </w:p>
    <w:p w14:paraId="243BBA44" w14:textId="115EE36D" w:rsidR="00C57DCF" w:rsidRPr="00EC0229" w:rsidRDefault="00C97BF2" w:rsidP="007600EA">
      <w:pPr>
        <w:pStyle w:val="Heading3"/>
        <w:spacing w:line="360" w:lineRule="auto"/>
        <w:rPr>
          <w:b w:val="0"/>
        </w:rPr>
      </w:pPr>
      <w:bookmarkStart w:id="801" w:name="_Toc468266911"/>
      <w:r>
        <w:t>8.2.3.5.</w:t>
      </w:r>
      <w:r>
        <w:tab/>
      </w:r>
      <w:r w:rsidR="00BA4B73" w:rsidRPr="00EC0229">
        <w:t>Comparison to Roman Finds</w:t>
      </w:r>
      <w:bookmarkEnd w:id="801"/>
      <w:r w:rsidR="00236670" w:rsidRPr="00EC0229">
        <w:rPr>
          <w:b w:val="0"/>
        </w:rPr>
        <w:t xml:space="preserve"> </w:t>
      </w:r>
    </w:p>
    <w:p w14:paraId="2734A45C" w14:textId="21FB3CC5" w:rsidR="00BA4B73" w:rsidRPr="00EC0229" w:rsidRDefault="00BA4B73" w:rsidP="006C2237">
      <w:pPr>
        <w:spacing w:line="360" w:lineRule="auto"/>
      </w:pPr>
      <w:r w:rsidRPr="00EC0229">
        <w:rPr>
          <w:szCs w:val="24"/>
        </w:rPr>
        <w:t>The relatively greater economic importance of the Wolds in the A</w:t>
      </w:r>
      <w:r w:rsidR="00171146" w:rsidRPr="00EC0229">
        <w:rPr>
          <w:szCs w:val="24"/>
        </w:rPr>
        <w:t>nglian period is demonstrated in</w:t>
      </w:r>
      <w:r w:rsidRPr="00EC0229">
        <w:rPr>
          <w:szCs w:val="24"/>
        </w:rPr>
        <w:t xml:space="preserve"> </w:t>
      </w:r>
      <w:r w:rsidR="00171146" w:rsidRPr="00EC0229">
        <w:rPr>
          <w:i/>
          <w:szCs w:val="24"/>
        </w:rPr>
        <w:t xml:space="preserve">Table </w:t>
      </w:r>
      <w:r w:rsidR="0078141C" w:rsidRPr="00EC0229">
        <w:rPr>
          <w:i/>
          <w:szCs w:val="24"/>
        </w:rPr>
        <w:t>7.02</w:t>
      </w:r>
      <w:r w:rsidR="006C2237" w:rsidRPr="00EC0229">
        <w:rPr>
          <w:i/>
          <w:szCs w:val="24"/>
        </w:rPr>
        <w:t xml:space="preserve">, </w:t>
      </w:r>
      <w:r w:rsidR="006C2237" w:rsidRPr="00EC0229">
        <w:t>(</w:t>
      </w:r>
      <w:r w:rsidR="006C2237" w:rsidRPr="00EC0229">
        <w:rPr>
          <w:i/>
        </w:rPr>
        <w:t>Map 8.17</w:t>
      </w:r>
      <w:r w:rsidR="006C2237" w:rsidRPr="00EC0229">
        <w:t>)</w:t>
      </w:r>
      <w:r w:rsidR="00171146" w:rsidRPr="00EC0229">
        <w:rPr>
          <w:szCs w:val="24"/>
        </w:rPr>
        <w:t xml:space="preserve">. Whereas the Wolds’ numismatic material accounts for over half the </w:t>
      </w:r>
      <w:r w:rsidR="00171146" w:rsidRPr="00EC0229">
        <w:rPr>
          <w:szCs w:val="24"/>
        </w:rPr>
        <w:lastRenderedPageBreak/>
        <w:t>northern total in both eras, the artefactual material constitutes 24% of Roman and 65% of Anglian finds. The incongruous ratio of coins to artefacts in the two periods requires further research (</w:t>
      </w:r>
      <w:r w:rsidR="00171146" w:rsidRPr="00EC0229">
        <w:rPr>
          <w:szCs w:val="24"/>
        </w:rPr>
        <w:fldChar w:fldCharType="begin"/>
      </w:r>
      <w:r w:rsidR="00171146" w:rsidRPr="00EC0229">
        <w:rPr>
          <w:szCs w:val="24"/>
        </w:rPr>
        <w:instrText xml:space="preserve"> PAGEREF Futureresearch \h </w:instrText>
      </w:r>
      <w:r w:rsidR="00171146" w:rsidRPr="00EC0229">
        <w:rPr>
          <w:szCs w:val="24"/>
        </w:rPr>
      </w:r>
      <w:r w:rsidR="00171146" w:rsidRPr="00EC0229">
        <w:rPr>
          <w:szCs w:val="24"/>
        </w:rPr>
        <w:fldChar w:fldCharType="separate"/>
      </w:r>
      <w:r w:rsidR="0012026B">
        <w:rPr>
          <w:noProof/>
          <w:szCs w:val="24"/>
        </w:rPr>
        <w:t>323</w:t>
      </w:r>
      <w:r w:rsidR="00171146" w:rsidRPr="00EC0229">
        <w:rPr>
          <w:szCs w:val="24"/>
        </w:rPr>
        <w:fldChar w:fldCharType="end"/>
      </w:r>
      <w:r w:rsidR="00171146" w:rsidRPr="00EC0229">
        <w:rPr>
          <w:szCs w:val="24"/>
        </w:rPr>
        <w:t>).</w:t>
      </w:r>
    </w:p>
    <w:p w14:paraId="7AA0FA8D" w14:textId="77777777" w:rsidR="00BA4B73" w:rsidRPr="00EC0229" w:rsidRDefault="00BA4B73" w:rsidP="007600EA">
      <w:pPr>
        <w:pStyle w:val="NoSpacing"/>
        <w:spacing w:line="360" w:lineRule="auto"/>
        <w:rPr>
          <w:b/>
          <w:szCs w:val="24"/>
        </w:rPr>
      </w:pPr>
    </w:p>
    <w:p w14:paraId="20F8F7C9" w14:textId="5CD1E403" w:rsidR="00854613" w:rsidRPr="00EC0229" w:rsidRDefault="00C97BF2" w:rsidP="007600EA">
      <w:pPr>
        <w:pStyle w:val="Heading3"/>
        <w:spacing w:line="360" w:lineRule="auto"/>
      </w:pPr>
      <w:bookmarkStart w:id="802" w:name="_Toc468266912"/>
      <w:r>
        <w:t>8.2.3.6.</w:t>
      </w:r>
      <w:r>
        <w:tab/>
      </w:r>
      <w:r w:rsidR="00854613" w:rsidRPr="00EC0229">
        <w:t>The Artefactual</w:t>
      </w:r>
      <w:r w:rsidR="006B1593" w:rsidRPr="00EC0229">
        <w:fldChar w:fldCharType="begin"/>
      </w:r>
      <w:r w:rsidR="006B1593" w:rsidRPr="00EC0229">
        <w:instrText xml:space="preserve"> XE "</w:instrText>
      </w:r>
      <w:r w:rsidR="006B1593" w:rsidRPr="00EC0229">
        <w:rPr>
          <w:rStyle w:val="Hyperlink"/>
          <w:noProof/>
          <w:u w:val="none"/>
        </w:rPr>
        <w:instrText>Artefactual</w:instrText>
      </w:r>
      <w:r w:rsidR="006B1593" w:rsidRPr="00EC0229">
        <w:instrText xml:space="preserve">" </w:instrText>
      </w:r>
      <w:r w:rsidR="006B1593" w:rsidRPr="00EC0229">
        <w:fldChar w:fldCharType="end"/>
      </w:r>
      <w:r w:rsidR="00497AC3" w:rsidRPr="00EC0229">
        <w:t xml:space="preserve"> Data</w:t>
      </w:r>
      <w:r w:rsidR="00854613" w:rsidRPr="00EC0229">
        <w:t>se</w:t>
      </w:r>
      <w:r w:rsidR="00497AC3" w:rsidRPr="00EC0229">
        <w:t>t</w:t>
      </w:r>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r w:rsidR="00854613" w:rsidRPr="00EC0229">
        <w:t xml:space="preserve"> - </w:t>
      </w:r>
      <w:r w:rsidR="002D29A0" w:rsidRPr="00EC0229">
        <w:t>Wolds</w:t>
      </w:r>
      <w:bookmarkEnd w:id="802"/>
    </w:p>
    <w:p w14:paraId="0A46A57A" w14:textId="44880BA8" w:rsidR="00854613" w:rsidRPr="00EC0229" w:rsidRDefault="00854613" w:rsidP="007600EA">
      <w:pPr>
        <w:pStyle w:val="NoSpacing"/>
        <w:spacing w:line="360" w:lineRule="auto"/>
      </w:pPr>
      <w:r w:rsidRPr="00EC0229">
        <w:t xml:space="preserve">Abandoning the artificial division between the west, central </w:t>
      </w:r>
      <w:r w:rsidR="00862F15" w:rsidRPr="00EC0229">
        <w:t>and</w:t>
      </w:r>
      <w:r w:rsidRPr="00EC0229">
        <w:t xml:space="preserve"> east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the analysis for the whole region is summarized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367541" w:rsidRPr="00EC0229">
        <w:rPr>
          <w:rStyle w:val="Hyperlink"/>
          <w:i/>
          <w:color w:val="000000" w:themeColor="text1"/>
          <w:szCs w:val="24"/>
          <w:u w:val="none"/>
        </w:rPr>
        <w:t>8</w:t>
      </w:r>
      <w:r w:rsidR="00E1090A" w:rsidRPr="00EC0229">
        <w:rPr>
          <w:rStyle w:val="Hyperlink"/>
          <w:i/>
          <w:color w:val="000000" w:themeColor="text1"/>
          <w:szCs w:val="24"/>
          <w:u w:val="none"/>
        </w:rPr>
        <w:t>.</w:t>
      </w:r>
      <w:r w:rsidR="002860F6" w:rsidRPr="00EC0229">
        <w:rPr>
          <w:rStyle w:val="Hyperlink"/>
          <w:i/>
          <w:color w:val="000000" w:themeColor="text1"/>
          <w:szCs w:val="24"/>
          <w:u w:val="none"/>
        </w:rPr>
        <w:t>21</w:t>
      </w:r>
      <w:r w:rsidRPr="00EC0229">
        <w:rPr>
          <w:color w:val="000000" w:themeColor="text1"/>
        </w:rPr>
        <w:t xml:space="preserve">. </w:t>
      </w:r>
      <w:r w:rsidRPr="00EC0229">
        <w:rPr>
          <w:szCs w:val="24"/>
        </w:rPr>
        <w:t xml:space="preserve">Nearly two-thirds of the artefact dataset is attributable to the Wolds and covers ninety different types of artefact. </w:t>
      </w:r>
      <w:r w:rsidR="00512E82" w:rsidRPr="00EC0229">
        <w:rPr>
          <w:szCs w:val="24"/>
        </w:rPr>
        <w:t>Seventy percent</w:t>
      </w:r>
      <w:r w:rsidRPr="00EC0229">
        <w:rPr>
          <w:szCs w:val="24"/>
        </w:rPr>
        <w:t xml:space="preserve"> of Wolds’ sites with artefacts are monied with the centre and east the strongest. Coins are found at a further fourteen sites. Variations are more likely to be a detection-reporting phenomenon, rather than real.</w:t>
      </w:r>
    </w:p>
    <w:p w14:paraId="5346E96C" w14:textId="77777777" w:rsidR="00854613" w:rsidRPr="00EC0229" w:rsidRDefault="00854613" w:rsidP="007600EA">
      <w:pPr>
        <w:pStyle w:val="NoSpacing"/>
        <w:spacing w:line="360" w:lineRule="auto"/>
        <w:rPr>
          <w:szCs w:val="24"/>
        </w:rPr>
      </w:pPr>
    </w:p>
    <w:p w14:paraId="6275C599" w14:textId="28A356BA" w:rsidR="00854613" w:rsidRPr="00EC0229" w:rsidRDefault="00854613" w:rsidP="007600EA">
      <w:pPr>
        <w:pStyle w:val="NoSpacing"/>
        <w:spacing w:line="360" w:lineRule="auto"/>
        <w:rPr>
          <w:rFonts w:eastAsia="Times New Roman" w:cs="Times New Roman"/>
          <w:color w:val="000000"/>
          <w:szCs w:val="24"/>
          <w:lang w:eastAsia="en-GB"/>
        </w:rPr>
      </w:pPr>
      <w:r w:rsidRPr="00EC0229">
        <w:rPr>
          <w:szCs w:val="24"/>
        </w:rPr>
        <w:t>Given the dominance of the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in the </w:t>
      </w:r>
      <w:r w:rsidR="00D65946" w:rsidRPr="00EC0229">
        <w:rPr>
          <w:szCs w:val="24"/>
        </w:rPr>
        <w:t>dataset</w:t>
      </w:r>
      <w:r w:rsidR="00584C42" w:rsidRPr="00EC0229">
        <w:rPr>
          <w:szCs w:val="24"/>
        </w:rPr>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rPr>
          <w:szCs w:val="24"/>
        </w:rPr>
        <w:fldChar w:fldCharType="end"/>
      </w:r>
      <w:r w:rsidRPr="00EC0229">
        <w:rPr>
          <w:szCs w:val="24"/>
        </w:rPr>
        <w:t xml:space="preserve">, the functional distribution will be close to the norm as shown in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E1090A" w:rsidRPr="00EC0229">
        <w:rPr>
          <w:i/>
          <w:szCs w:val="24"/>
        </w:rPr>
        <w:t>8.1</w:t>
      </w:r>
      <w:r w:rsidR="00A76448" w:rsidRPr="00EC0229">
        <w:rPr>
          <w:i/>
          <w:szCs w:val="24"/>
        </w:rPr>
        <w:t>9</w:t>
      </w:r>
      <w:r w:rsidRPr="00EC0229">
        <w:rPr>
          <w:i/>
          <w:szCs w:val="24"/>
        </w:rPr>
        <w:t xml:space="preserve">. </w:t>
      </w:r>
      <w:r w:rsidRPr="00EC0229">
        <w:rPr>
          <w:szCs w:val="24"/>
        </w:rPr>
        <w:t xml:space="preserve"> </w:t>
      </w:r>
      <w:r w:rsidRPr="00EC0229">
        <w:rPr>
          <w:rFonts w:eastAsia="Times New Roman" w:cs="Times New Roman"/>
          <w:color w:val="000000"/>
          <w:szCs w:val="24"/>
          <w:lang w:eastAsia="en-GB"/>
        </w:rPr>
        <w:t xml:space="preserve">However, variations between the different parts of the Wolds arise particularly as regards dress fasteners, </w:t>
      </w:r>
      <w:r w:rsidRPr="00EC0229">
        <w:rPr>
          <w:i/>
          <w:szCs w:val="24"/>
        </w:rPr>
        <w:t xml:space="preserve">Table </w:t>
      </w:r>
      <w:r w:rsidR="00E1090A" w:rsidRPr="00EC0229">
        <w:rPr>
          <w:i/>
          <w:szCs w:val="24"/>
        </w:rPr>
        <w:t>8.</w:t>
      </w:r>
      <w:r w:rsidR="003223CD" w:rsidRPr="00EC0229">
        <w:rPr>
          <w:i/>
          <w:szCs w:val="24"/>
        </w:rPr>
        <w:t>2</w:t>
      </w:r>
      <w:r w:rsidR="002860F6" w:rsidRPr="00EC0229">
        <w:rPr>
          <w:i/>
          <w:szCs w:val="24"/>
        </w:rPr>
        <w:t>0</w:t>
      </w:r>
      <w:r w:rsidRPr="00EC0229">
        <w:rPr>
          <w:rFonts w:eastAsia="Times New Roman" w:cs="Times New Roman"/>
          <w:color w:val="000000"/>
          <w:szCs w:val="24"/>
          <w:lang w:eastAsia="en-GB"/>
        </w:rPr>
        <w:t>. Given that the number of finds is not inconsiderable, this is more likely to be a r</w:t>
      </w:r>
      <w:r w:rsidR="00016447" w:rsidRPr="00EC0229">
        <w:rPr>
          <w:rFonts w:eastAsia="Times New Roman" w:cs="Times New Roman"/>
          <w:color w:val="000000"/>
          <w:szCs w:val="24"/>
          <w:lang w:eastAsia="en-GB"/>
        </w:rPr>
        <w:t>eal difference in local manufacture and usage</w:t>
      </w:r>
      <w:r w:rsidRPr="00EC0229">
        <w:rPr>
          <w:rFonts w:eastAsia="Times New Roman" w:cs="Times New Roman"/>
          <w:color w:val="000000"/>
          <w:szCs w:val="24"/>
          <w:lang w:eastAsia="en-GB"/>
        </w:rPr>
        <w:t xml:space="preserve"> than a detecting artifice. The east Wolds may prefer brooches to pins and strap ends but it is the prevalence of knife blades and metal working debris that distinguish it from the west and centre, even though there is less diversity of artefacts types.</w:t>
      </w:r>
    </w:p>
    <w:p w14:paraId="5B2A77F7" w14:textId="77777777" w:rsidR="00854613" w:rsidRPr="00EC0229" w:rsidRDefault="00854613" w:rsidP="007600EA">
      <w:pPr>
        <w:pStyle w:val="NoSpacing"/>
        <w:spacing w:line="360" w:lineRule="auto"/>
        <w:rPr>
          <w:rFonts w:eastAsia="Times New Roman" w:cs="Times New Roman"/>
          <w:color w:val="000000"/>
          <w:szCs w:val="24"/>
          <w:lang w:eastAsia="en-GB"/>
        </w:rPr>
      </w:pPr>
    </w:p>
    <w:p w14:paraId="07492277" w14:textId="5BD54547" w:rsidR="00854613" w:rsidRPr="00EC0229" w:rsidRDefault="00854613" w:rsidP="007600EA">
      <w:pPr>
        <w:pStyle w:val="NoSpacing"/>
        <w:spacing w:line="360" w:lineRule="auto"/>
        <w:rPr>
          <w:rFonts w:eastAsia="Times New Roman" w:cs="Times New Roman"/>
          <w:color w:val="000000"/>
          <w:szCs w:val="24"/>
          <w:lang w:eastAsia="en-GB"/>
        </w:rPr>
      </w:pPr>
      <w:r w:rsidRPr="00EC0229">
        <w:t>However, there is an enigma. Wickham remarked: ‘loom-weights</w:t>
      </w:r>
      <w:r w:rsidR="00F204A1" w:rsidRPr="00EC0229">
        <w:fldChar w:fldCharType="begin"/>
      </w:r>
      <w:r w:rsidR="00F204A1" w:rsidRPr="00EC0229">
        <w:instrText xml:space="preserve"> XE "</w:instrText>
      </w:r>
      <w:r w:rsidR="00F204A1" w:rsidRPr="00EC0229">
        <w:rPr>
          <w:rStyle w:val="Hyperlink"/>
          <w:noProof/>
          <w:u w:val="none"/>
        </w:rPr>
        <w:instrText>weights</w:instrText>
      </w:r>
      <w:r w:rsidR="00F204A1" w:rsidRPr="00EC0229">
        <w:instrText xml:space="preserve">" </w:instrText>
      </w:r>
      <w:r w:rsidR="00F204A1" w:rsidRPr="00EC0229">
        <w:fldChar w:fldCharType="end"/>
      </w:r>
      <w:r w:rsidRPr="00EC0229">
        <w:t xml:space="preserve"> are so common on settlement</w:t>
      </w:r>
      <w:r w:rsidR="00D142DC" w:rsidRPr="00EC0229">
        <w:fldChar w:fldCharType="begin"/>
      </w:r>
      <w:r w:rsidR="00D142DC" w:rsidRPr="00EC0229">
        <w:instrText xml:space="preserve"> XE "settlement" </w:instrText>
      </w:r>
      <w:r w:rsidR="00D142DC" w:rsidRPr="00EC0229">
        <w:fldChar w:fldCharType="end"/>
      </w:r>
      <w:r w:rsidRPr="00EC0229">
        <w:t xml:space="preserve"> sites that every household could be assumed to have made its own clothes.’</w:t>
      </w:r>
      <w:r w:rsidRPr="00EC0229">
        <w:rPr>
          <w:rStyle w:val="FootnoteReference"/>
        </w:rPr>
        <w:footnoteReference w:id="1111"/>
      </w:r>
      <w:r w:rsidRPr="00EC0229">
        <w:t xml:space="preserve"> This should certainly be the case in the wool-producing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However, </w:t>
      </w:r>
      <w:r w:rsidR="004B2D2B" w:rsidRPr="00EC0229">
        <w:t>loom-weights</w:t>
      </w:r>
      <w:r w:rsidRPr="00EC0229">
        <w:t xml:space="preserve"> do not feature as an artefact type in PAS</w:t>
      </w:r>
      <w:r w:rsidR="008960AE" w:rsidRPr="00EC0229">
        <w:fldChar w:fldCharType="begin"/>
      </w:r>
      <w:r w:rsidR="008960AE" w:rsidRPr="00EC0229">
        <w:instrText xml:space="preserve"> XE "PAS" </w:instrText>
      </w:r>
      <w:r w:rsidR="008960AE" w:rsidRPr="00EC0229">
        <w:fldChar w:fldCharType="end"/>
      </w:r>
      <w:r w:rsidR="008023AA" w:rsidRPr="00EC0229">
        <w:t>. It is more likely that</w:t>
      </w:r>
      <w:r w:rsidRPr="00EC0229">
        <w:t xml:space="preserve"> </w:t>
      </w:r>
      <w:r w:rsidR="008023AA" w:rsidRPr="00EC0229">
        <w:t xml:space="preserve">this is a recovery phenomenon, as they are non-metallic and escape metal-detection, rather than </w:t>
      </w:r>
      <w:r w:rsidRPr="00EC0229">
        <w:t xml:space="preserve">wool </w:t>
      </w:r>
      <w:r w:rsidR="008023AA" w:rsidRPr="00EC0229">
        <w:t>being</w:t>
      </w:r>
      <w:r w:rsidRPr="00EC0229">
        <w:t xml:space="preserve"> shipped in a raw state and clothes bought in.</w:t>
      </w:r>
    </w:p>
    <w:p w14:paraId="1BBBD9A4" w14:textId="77777777" w:rsidR="00854613" w:rsidRPr="00EC0229" w:rsidRDefault="00854613" w:rsidP="007600EA">
      <w:pPr>
        <w:pStyle w:val="NoSpacing"/>
        <w:spacing w:line="360" w:lineRule="auto"/>
        <w:rPr>
          <w:rFonts w:eastAsia="Times New Roman" w:cs="Times New Roman"/>
          <w:color w:val="000000"/>
          <w:szCs w:val="24"/>
          <w:lang w:eastAsia="en-GB"/>
        </w:rPr>
      </w:pPr>
    </w:p>
    <w:p w14:paraId="10993B14" w14:textId="4E339379" w:rsidR="00854613" w:rsidRPr="00EC0229" w:rsidRDefault="00854613" w:rsidP="007600EA">
      <w:pPr>
        <w:pStyle w:val="NoSpacing"/>
        <w:spacing w:line="360" w:lineRule="auto"/>
        <w:rPr>
          <w:sz w:val="20"/>
          <w:szCs w:val="20"/>
        </w:rPr>
      </w:pPr>
      <w:r w:rsidRPr="00EC0229">
        <w:rPr>
          <w:rFonts w:eastAsia="Times New Roman" w:cs="Times New Roman"/>
          <w:color w:val="000000"/>
          <w:szCs w:val="24"/>
          <w:lang w:eastAsia="en-GB"/>
        </w:rPr>
        <w:t xml:space="preserve">Not only is the study area prolific in artefacts, but the coin mix,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E1090A" w:rsidRPr="00EC0229">
        <w:rPr>
          <w:i/>
          <w:szCs w:val="24"/>
        </w:rPr>
        <w:t>8.</w:t>
      </w:r>
      <w:r w:rsidR="002860F6" w:rsidRPr="00EC0229">
        <w:rPr>
          <w:i/>
          <w:szCs w:val="24"/>
        </w:rPr>
        <w:t>22</w:t>
      </w:r>
      <w:r w:rsidRPr="00EC0229">
        <w:rPr>
          <w:color w:val="000000" w:themeColor="text1"/>
          <w:szCs w:val="24"/>
        </w:rPr>
        <w:t>,</w:t>
      </w:r>
      <w:r w:rsidRPr="00EC0229">
        <w:rPr>
          <w:i/>
          <w:color w:val="000000" w:themeColor="text1"/>
          <w:szCs w:val="24"/>
        </w:rPr>
        <w:t xml:space="preserve"> </w:t>
      </w:r>
      <w:r w:rsidRPr="00EC0229">
        <w:rPr>
          <w:rFonts w:eastAsia="Times New Roman" w:cs="Times New Roman"/>
          <w:color w:val="000000"/>
          <w:szCs w:val="24"/>
          <w:lang w:eastAsia="en-GB"/>
        </w:rPr>
        <w:t>shows that activity is significant throughout the sceatta</w:t>
      </w:r>
      <w:r w:rsidR="00D142DC" w:rsidRPr="00EC0229">
        <w:rPr>
          <w:rFonts w:eastAsia="Times New Roman" w:cs="Times New Roman"/>
          <w:color w:val="000000"/>
          <w:szCs w:val="24"/>
          <w:lang w:eastAsia="en-GB"/>
        </w:rPr>
        <w:fldChar w:fldCharType="begin"/>
      </w:r>
      <w:r w:rsidR="00D142DC" w:rsidRPr="00EC0229">
        <w:instrText xml:space="preserve"> XE "sceatta" </w:instrText>
      </w:r>
      <w:r w:rsidR="00D142DC" w:rsidRPr="00EC0229">
        <w:rPr>
          <w:rFonts w:eastAsia="Times New Roman" w:cs="Times New Roman"/>
          <w:color w:val="000000"/>
          <w:szCs w:val="24"/>
          <w:lang w:eastAsia="en-GB"/>
        </w:rPr>
        <w:fldChar w:fldCharType="end"/>
      </w:r>
      <w:r w:rsidRPr="00EC0229">
        <w:rPr>
          <w:rFonts w:eastAsia="Times New Roman" w:cs="Times New Roman"/>
          <w:color w:val="000000"/>
          <w:szCs w:val="24"/>
          <w:lang w:eastAsia="en-GB"/>
        </w:rPr>
        <w:t xml:space="preserve"> and styca periods. </w:t>
      </w:r>
      <w:r w:rsidRPr="00EC0229">
        <w:rPr>
          <w:szCs w:val="24"/>
        </w:rPr>
        <w:t xml:space="preserve">Unlike the </w:t>
      </w:r>
      <w:r w:rsidR="00C7553E" w:rsidRPr="00EC0229">
        <w:rPr>
          <w:szCs w:val="24"/>
        </w:rPr>
        <w:t>Central Lowlands</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which seems to exhibit as much site migration as continuity, </w:t>
      </w:r>
      <w:r w:rsidRPr="00EC0229">
        <w:rPr>
          <w:i/>
          <w:szCs w:val="24"/>
        </w:rPr>
        <w:t xml:space="preserve">Table </w:t>
      </w:r>
      <w:r w:rsidR="00E1090A" w:rsidRPr="00EC0229">
        <w:rPr>
          <w:i/>
          <w:szCs w:val="24"/>
        </w:rPr>
        <w:t>8.</w:t>
      </w:r>
      <w:r w:rsidR="003223CD" w:rsidRPr="00EC0229">
        <w:rPr>
          <w:i/>
          <w:szCs w:val="24"/>
        </w:rPr>
        <w:t>2</w:t>
      </w:r>
      <w:r w:rsidR="002860F6" w:rsidRPr="00EC0229">
        <w:rPr>
          <w:i/>
          <w:szCs w:val="24"/>
        </w:rPr>
        <w:t>3</w:t>
      </w:r>
      <w:r w:rsidRPr="00EC0229">
        <w:rPr>
          <w:i/>
          <w:szCs w:val="24"/>
        </w:rPr>
        <w:t xml:space="preserve"> </w:t>
      </w:r>
      <w:r w:rsidRPr="00EC0229">
        <w:rPr>
          <w:szCs w:val="24"/>
        </w:rPr>
        <w:t>shows that activity in over two-thirds of the sites in the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have longevity.</w:t>
      </w:r>
    </w:p>
    <w:p w14:paraId="617C2137" w14:textId="77777777" w:rsidR="00854613" w:rsidRPr="00EC0229" w:rsidRDefault="00854613" w:rsidP="007600EA">
      <w:pPr>
        <w:pStyle w:val="NoSpacing"/>
        <w:spacing w:line="360" w:lineRule="auto"/>
      </w:pPr>
    </w:p>
    <w:p w14:paraId="72132899" w14:textId="312EC848" w:rsidR="00854613" w:rsidRPr="00EC0229" w:rsidRDefault="00C97BF2" w:rsidP="007600EA">
      <w:pPr>
        <w:pStyle w:val="Heading3"/>
        <w:spacing w:line="360" w:lineRule="auto"/>
      </w:pPr>
      <w:bookmarkStart w:id="803" w:name="_Toc468266913"/>
      <w:r>
        <w:lastRenderedPageBreak/>
        <w:t>8.2.3.7.</w:t>
      </w:r>
      <w:r>
        <w:tab/>
      </w:r>
      <w:r w:rsidR="00854613" w:rsidRPr="00EC0229">
        <w:t>Conclusion</w:t>
      </w:r>
      <w:bookmarkEnd w:id="803"/>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p>
    <w:p w14:paraId="64096BD1" w14:textId="33328C52" w:rsidR="00854613" w:rsidRPr="00EC0229" w:rsidRDefault="00854613" w:rsidP="007600EA">
      <w:pPr>
        <w:pStyle w:val="NoSpacing"/>
        <w:spacing w:line="360" w:lineRule="auto"/>
      </w:pPr>
      <w:r w:rsidRPr="00EC0229">
        <w:t xml:space="preserve">Based on the widespread </w:t>
      </w:r>
      <w:r w:rsidR="00862F15" w:rsidRPr="00EC0229">
        <w:t>and</w:t>
      </w:r>
      <w:r w:rsidRPr="00EC0229">
        <w:t xml:space="preserve"> abundant distribution of both coins </w:t>
      </w:r>
      <w:r w:rsidR="00862F15" w:rsidRPr="00EC0229">
        <w:t>and</w:t>
      </w:r>
      <w:r w:rsidRPr="00EC0229">
        <w:t xml:space="preserve"> artefacts and their close association throughout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there can be no doubt about the routine </w:t>
      </w:r>
      <w:r w:rsidR="00862F15" w:rsidRPr="00EC0229">
        <w:t>and</w:t>
      </w:r>
      <w:r w:rsidRPr="00EC0229">
        <w:t xml:space="preserve"> regular use of both sceats </w:t>
      </w:r>
      <w:r w:rsidR="00862F15" w:rsidRPr="00EC0229">
        <w:t>and</w:t>
      </w:r>
      <w:r w:rsidR="00924E31" w:rsidRPr="00EC0229">
        <w:t xml:space="preserve"> stycas</w:t>
      </w:r>
      <w:r w:rsidRPr="00EC0229">
        <w:t xml:space="preserve">. Imported coinages show the strength of trading relationships. In comparison to the more limited range in the </w:t>
      </w:r>
      <w:r w:rsidR="00C7553E" w:rsidRPr="00EC0229">
        <w:t>Central Lowlands</w:t>
      </w:r>
      <w:r w:rsidR="006B1593" w:rsidRPr="00EC0229">
        <w:fldChar w:fldCharType="begin"/>
      </w:r>
      <w:r w:rsidR="006B1593" w:rsidRPr="00EC0229">
        <w:instrText xml:space="preserve"> XE "</w:instrText>
      </w:r>
      <w:r w:rsidR="006B1593" w:rsidRPr="00EC0229">
        <w:rPr>
          <w:noProof/>
        </w:rPr>
        <w:instrText>York</w:instrText>
      </w:r>
      <w:r w:rsidR="006B1593" w:rsidRPr="00EC0229">
        <w:instrText xml:space="preserve">" </w:instrText>
      </w:r>
      <w:r w:rsidR="006B1593" w:rsidRPr="00EC0229">
        <w:fldChar w:fldCharType="end"/>
      </w:r>
      <w:r w:rsidR="00397F1C" w:rsidRPr="00EC0229">
        <w:t xml:space="preserve"> (</w:t>
      </w:r>
      <w:r w:rsidR="004E7EFE" w:rsidRPr="00EC0229">
        <w:fldChar w:fldCharType="begin"/>
      </w:r>
      <w:r w:rsidR="004E7EFE" w:rsidRPr="00EC0229">
        <w:instrText xml:space="preserve"> PAGEREF TheCentralLowlands \h </w:instrText>
      </w:r>
      <w:r w:rsidR="004E7EFE" w:rsidRPr="00EC0229">
        <w:fldChar w:fldCharType="separate"/>
      </w:r>
      <w:r w:rsidR="0012026B">
        <w:rPr>
          <w:noProof/>
        </w:rPr>
        <w:t>211</w:t>
      </w:r>
      <w:r w:rsidR="004E7EFE" w:rsidRPr="00EC0229">
        <w:fldChar w:fldCharType="end"/>
      </w:r>
      <w:r w:rsidR="00397F1C" w:rsidRPr="00EC0229">
        <w:t>),</w:t>
      </w:r>
      <w:r w:rsidRPr="00EC0229">
        <w:t xml:space="preserve"> Metcalf</w:t>
      </w:r>
      <w:r w:rsidR="00F204A1" w:rsidRPr="00EC0229">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fldChar w:fldCharType="end"/>
      </w:r>
      <w:r w:rsidRPr="00EC0229">
        <w:t>’s suggestion ‘that the Wolds were not fully under Eadberht</w:t>
      </w:r>
      <w:r w:rsidR="00D142DC" w:rsidRPr="00EC0229">
        <w:fldChar w:fldCharType="begin"/>
      </w:r>
      <w:r w:rsidR="00D142DC" w:rsidRPr="00EC0229">
        <w:instrText xml:space="preserve"> XE "Eadberht" </w:instrText>
      </w:r>
      <w:r w:rsidR="00D142DC" w:rsidRPr="00EC0229">
        <w:fldChar w:fldCharType="end"/>
      </w:r>
      <w:r w:rsidRPr="00EC0229">
        <w:t>’s control’</w:t>
      </w:r>
      <w:r w:rsidRPr="00EC0229">
        <w:rPr>
          <w:rStyle w:val="FootnoteReference"/>
        </w:rPr>
        <w:footnoteReference w:id="1112"/>
      </w:r>
      <w:r w:rsidRPr="00EC0229">
        <w:t xml:space="preserve"> </w:t>
      </w:r>
      <w:r w:rsidR="006E171F" w:rsidRPr="00EC0229">
        <w:t>is endorsed. T</w:t>
      </w:r>
      <w:r w:rsidRPr="00EC0229">
        <w:t>he</w:t>
      </w:r>
      <w:r w:rsidR="006E171F" w:rsidRPr="00EC0229">
        <w:t xml:space="preserve"> resemblance of</w:t>
      </w:r>
      <w:r w:rsidRPr="00EC0229">
        <w:t xml:space="preserve"> Vale of Pickering</w:t>
      </w:r>
      <w:r w:rsidR="006B1593" w:rsidRPr="00EC0229">
        <w:fldChar w:fldCharType="begin"/>
      </w:r>
      <w:r w:rsidR="006B1593" w:rsidRPr="00EC0229">
        <w:instrText xml:space="preserve"> XE "</w:instrText>
      </w:r>
      <w:r w:rsidR="006B1593" w:rsidRPr="00EC0229">
        <w:rPr>
          <w:rFonts w:cs="Times New Roman"/>
          <w:noProof/>
        </w:rPr>
        <w:instrText>Vale of Pickering</w:instrText>
      </w:r>
      <w:r w:rsidR="006B1593" w:rsidRPr="00EC0229">
        <w:instrText xml:space="preserve">" </w:instrText>
      </w:r>
      <w:r w:rsidR="006B1593" w:rsidRPr="00EC0229">
        <w:fldChar w:fldCharType="end"/>
      </w:r>
      <w:r w:rsidRPr="00EC0229">
        <w:t xml:space="preserve"> </w:t>
      </w:r>
      <w:r w:rsidR="006E171F" w:rsidRPr="00EC0229">
        <w:t xml:space="preserve">more to </w:t>
      </w:r>
      <w:r w:rsidRPr="00EC0229">
        <w:t xml:space="preserve">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 xml:space="preserve"> </w:t>
      </w:r>
      <w:r w:rsidR="006E171F" w:rsidRPr="00EC0229">
        <w:t>(</w:t>
      </w:r>
      <w:r w:rsidR="004E7EFE" w:rsidRPr="00EC0229">
        <w:fldChar w:fldCharType="begin"/>
      </w:r>
      <w:r w:rsidR="004E7EFE" w:rsidRPr="00EC0229">
        <w:instrText xml:space="preserve"> PAGEREF TheCentralLowlands \h </w:instrText>
      </w:r>
      <w:r w:rsidR="004E7EFE" w:rsidRPr="00EC0229">
        <w:fldChar w:fldCharType="separate"/>
      </w:r>
      <w:r w:rsidR="0012026B">
        <w:rPr>
          <w:noProof/>
        </w:rPr>
        <w:t>211</w:t>
      </w:r>
      <w:r w:rsidR="004E7EFE" w:rsidRPr="00EC0229">
        <w:fldChar w:fldCharType="end"/>
      </w:r>
      <w:r w:rsidR="006E171F" w:rsidRPr="00EC0229">
        <w:t xml:space="preserve">) </w:t>
      </w:r>
      <w:r w:rsidRPr="00EC0229">
        <w:t xml:space="preserve">than </w:t>
      </w:r>
      <w:r w:rsidR="006E171F" w:rsidRPr="00EC0229">
        <w:t xml:space="preserve">to </w:t>
      </w:r>
      <w:r w:rsidRPr="00EC0229">
        <w:t>the Wolds</w:t>
      </w:r>
      <w:r w:rsidR="006E171F" w:rsidRPr="00EC0229">
        <w:t xml:space="preserve"> (</w:t>
      </w:r>
      <w:r w:rsidR="006E171F" w:rsidRPr="00EC0229">
        <w:fldChar w:fldCharType="begin"/>
      </w:r>
      <w:r w:rsidR="006E171F" w:rsidRPr="00EC0229">
        <w:instrText xml:space="preserve"> PAGEREF TheYorkshireWolds \h </w:instrText>
      </w:r>
      <w:r w:rsidR="006E171F" w:rsidRPr="00EC0229">
        <w:fldChar w:fldCharType="separate"/>
      </w:r>
      <w:r w:rsidR="0012026B">
        <w:rPr>
          <w:noProof/>
        </w:rPr>
        <w:t>221</w:t>
      </w:r>
      <w:r w:rsidR="006E171F" w:rsidRPr="00EC0229">
        <w:fldChar w:fldCharType="end"/>
      </w:r>
      <w:r w:rsidR="006E171F" w:rsidRPr="00EC0229">
        <w:t>) is considered below (</w:t>
      </w:r>
      <w:r w:rsidR="006E171F" w:rsidRPr="00EC0229">
        <w:fldChar w:fldCharType="begin"/>
      </w:r>
      <w:r w:rsidR="006E171F" w:rsidRPr="00EC0229">
        <w:instrText xml:space="preserve"> PAGEREF TheValeofPickering \h </w:instrText>
      </w:r>
      <w:r w:rsidR="006E171F" w:rsidRPr="00EC0229">
        <w:fldChar w:fldCharType="separate"/>
      </w:r>
      <w:r w:rsidR="0012026B">
        <w:rPr>
          <w:noProof/>
        </w:rPr>
        <w:t>266</w:t>
      </w:r>
      <w:r w:rsidR="006E171F" w:rsidRPr="00EC0229">
        <w:fldChar w:fldCharType="end"/>
      </w:r>
      <w:r w:rsidR="006E171F" w:rsidRPr="00EC0229">
        <w:t>)</w:t>
      </w:r>
      <w:r w:rsidRPr="00EC0229">
        <w:t>.</w:t>
      </w:r>
    </w:p>
    <w:p w14:paraId="587A230A" w14:textId="77777777" w:rsidR="00854613" w:rsidRPr="00EC0229" w:rsidRDefault="00854613" w:rsidP="007600EA">
      <w:pPr>
        <w:pStyle w:val="NoSpacing"/>
        <w:spacing w:line="360" w:lineRule="auto"/>
      </w:pPr>
    </w:p>
    <w:p w14:paraId="54F3B957" w14:textId="4A56E715" w:rsidR="00854613" w:rsidRPr="00EC0229" w:rsidRDefault="00736C9E" w:rsidP="007600EA">
      <w:pPr>
        <w:pStyle w:val="Heading2"/>
        <w:spacing w:line="360" w:lineRule="auto"/>
      </w:pPr>
      <w:bookmarkStart w:id="804" w:name="Beverley"/>
      <w:bookmarkStart w:id="805" w:name="_Toc468266914"/>
      <w:bookmarkEnd w:id="804"/>
      <w:r>
        <w:t>8.2.4</w:t>
      </w:r>
      <w:r>
        <w:tab/>
      </w:r>
      <w:r w:rsidR="00854613" w:rsidRPr="00EC0229">
        <w:t>Beverley</w:t>
      </w:r>
      <w:bookmarkEnd w:id="805"/>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p>
    <w:p w14:paraId="251A1320" w14:textId="77777777" w:rsidR="00854613" w:rsidRPr="00EC0229" w:rsidRDefault="00854613" w:rsidP="007600EA">
      <w:pPr>
        <w:pStyle w:val="NoSpacing"/>
        <w:spacing w:line="360" w:lineRule="auto"/>
        <w:jc w:val="right"/>
        <w:rPr>
          <w:sz w:val="20"/>
          <w:szCs w:val="20"/>
        </w:rPr>
      </w:pPr>
      <w:r w:rsidRPr="00EC0229">
        <w:rPr>
          <w:sz w:val="20"/>
          <w:szCs w:val="20"/>
        </w:rPr>
        <w:t>‘it is noised abroad concerning some bishops, that they have no men of religion or continence near them; but rather such as indulge in laughter and jests, revellings, and drunkenness and other temptations of an idle life, and who rather feed their bodies with carnal food than their minds on the heavenly sacrifice.’</w:t>
      </w:r>
    </w:p>
    <w:p w14:paraId="745C8844" w14:textId="2ECA197B" w:rsidR="00854613" w:rsidRPr="00EC0229" w:rsidRDefault="00854613" w:rsidP="007600EA">
      <w:pPr>
        <w:pStyle w:val="NoSpacing"/>
        <w:spacing w:line="360" w:lineRule="auto"/>
        <w:jc w:val="right"/>
        <w:rPr>
          <w:sz w:val="20"/>
          <w:szCs w:val="20"/>
        </w:rPr>
      </w:pPr>
      <w:r w:rsidRPr="00EC0229">
        <w:rPr>
          <w:bCs/>
          <w:sz w:val="20"/>
          <w:szCs w:val="20"/>
        </w:rPr>
        <w:t>Bede</w:t>
      </w:r>
      <w:r w:rsidR="00F66CEB" w:rsidRPr="00EC0229">
        <w:rPr>
          <w:bCs/>
          <w:sz w:val="20"/>
          <w:szCs w:val="20"/>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bCs/>
          <w:sz w:val="20"/>
          <w:szCs w:val="20"/>
        </w:rPr>
        <w:fldChar w:fldCharType="end"/>
      </w:r>
      <w:r w:rsidRPr="00EC0229">
        <w:rPr>
          <w:bCs/>
          <w:sz w:val="20"/>
          <w:szCs w:val="20"/>
        </w:rPr>
        <w:t>’s letter to Ecgberht</w:t>
      </w:r>
      <w:r w:rsidR="00D142DC" w:rsidRPr="00EC0229">
        <w:rPr>
          <w:bCs/>
          <w:sz w:val="20"/>
          <w:szCs w:val="20"/>
        </w:rPr>
        <w:fldChar w:fldCharType="begin"/>
      </w:r>
      <w:r w:rsidR="00D142DC" w:rsidRPr="00EC0229">
        <w:instrText xml:space="preserve"> XE "Ecgberht" </w:instrText>
      </w:r>
      <w:r w:rsidR="00D142DC" w:rsidRPr="00EC0229">
        <w:rPr>
          <w:bCs/>
          <w:sz w:val="20"/>
          <w:szCs w:val="20"/>
        </w:rPr>
        <w:fldChar w:fldCharType="end"/>
      </w:r>
      <w:r w:rsidRPr="00EC0229">
        <w:rPr>
          <w:bCs/>
          <w:sz w:val="20"/>
          <w:szCs w:val="20"/>
        </w:rPr>
        <w:t xml:space="preserve">, 734, </w:t>
      </w:r>
      <w:r w:rsidR="00013214" w:rsidRPr="00EC0229">
        <w:rPr>
          <w:bCs/>
          <w:sz w:val="20"/>
          <w:szCs w:val="20"/>
        </w:rPr>
        <w:t>§</w:t>
      </w:r>
      <w:r w:rsidRPr="00EC0229">
        <w:rPr>
          <w:bCs/>
          <w:sz w:val="20"/>
          <w:szCs w:val="20"/>
        </w:rPr>
        <w:t xml:space="preserve">4. </w:t>
      </w:r>
    </w:p>
    <w:p w14:paraId="1CE48A26" w14:textId="5A981B33" w:rsidR="00854613" w:rsidRPr="00EC0229" w:rsidRDefault="00854613" w:rsidP="007600EA">
      <w:pPr>
        <w:pStyle w:val="NoSpacing"/>
        <w:spacing w:line="360" w:lineRule="auto"/>
      </w:pPr>
      <w:r w:rsidRPr="00EC0229">
        <w:t>This episcopal settlement</w:t>
      </w:r>
      <w:r w:rsidR="00D142DC" w:rsidRPr="00EC0229">
        <w:fldChar w:fldCharType="begin"/>
      </w:r>
      <w:r w:rsidR="00D142DC" w:rsidRPr="00EC0229">
        <w:instrText xml:space="preserve"> XE "settlement" </w:instrText>
      </w:r>
      <w:r w:rsidR="00D142DC" w:rsidRPr="00EC0229">
        <w:fldChar w:fldCharType="end"/>
      </w:r>
      <w:r w:rsidRPr="00EC0229">
        <w:t>, between the Yorkshire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Yorkshire Wolds</w:instrText>
      </w:r>
      <w:r w:rsidR="006B1593" w:rsidRPr="00EC0229">
        <w:instrText xml:space="preserve">" </w:instrText>
      </w:r>
      <w:r w:rsidR="006B1593" w:rsidRPr="00EC0229">
        <w:fldChar w:fldCharType="end"/>
      </w:r>
      <w:r w:rsidRPr="00EC0229">
        <w:t xml:space="preserve"> and the River Hull, </w:t>
      </w:r>
      <w:r w:rsidR="00E40070" w:rsidRPr="00EC0229">
        <w:t xml:space="preserve">was founded in the early eighth </w:t>
      </w:r>
      <w:r w:rsidRPr="00EC0229">
        <w:t>century by the bishop of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John of Hexham</w:t>
      </w:r>
      <w:r w:rsidR="00D142DC" w:rsidRPr="00EC0229">
        <w:fldChar w:fldCharType="begin"/>
      </w:r>
      <w:r w:rsidR="00D142DC" w:rsidRPr="00EC0229">
        <w:instrText xml:space="preserve"> XE "Hexham" </w:instrText>
      </w:r>
      <w:r w:rsidR="00D142DC" w:rsidRPr="00EC0229">
        <w:fldChar w:fldCharType="end"/>
      </w:r>
      <w:r w:rsidRPr="00EC0229">
        <w:t>, later venerated as Saint John of 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w:t>
      </w:r>
      <w:r w:rsidRPr="00EC0229">
        <w:rPr>
          <w:rStyle w:val="FootnoteReference"/>
        </w:rPr>
        <w:footnoteReference w:id="1113"/>
      </w:r>
      <w:r w:rsidRPr="00EC0229">
        <w:t xml:space="preserve"> According to </w:t>
      </w:r>
      <w:r w:rsidRPr="00EC0229">
        <w:rPr>
          <w:i/>
        </w:rPr>
        <w:t>VASLE</w:t>
      </w:r>
      <w:r w:rsidR="008960AE" w:rsidRPr="00EC0229">
        <w:fldChar w:fldCharType="begin"/>
      </w:r>
      <w:r w:rsidR="008960AE" w:rsidRPr="00EC0229">
        <w:instrText xml:space="preserve"> XE "VASLE" </w:instrText>
      </w:r>
      <w:r w:rsidR="008960AE" w:rsidRPr="00EC0229">
        <w:fldChar w:fldCharType="end"/>
      </w:r>
      <w:r w:rsidRPr="00EC0229">
        <w:t xml:space="preserve"> ‘The site was interpreted by the excavators as the location of the monastery of </w:t>
      </w:r>
      <w:r w:rsidRPr="00EC0229">
        <w:rPr>
          <w:rStyle w:val="Emphasis"/>
        </w:rPr>
        <w:t>Inderauuda</w:t>
      </w:r>
      <w:r w:rsidRPr="00EC0229">
        <w:t xml:space="preserve"> 'in the wood of the men of Deira</w:t>
      </w:r>
      <w:r w:rsidR="00D142DC" w:rsidRPr="00EC0229">
        <w:fldChar w:fldCharType="begin"/>
      </w:r>
      <w:r w:rsidR="00D142DC" w:rsidRPr="00EC0229">
        <w:instrText xml:space="preserve"> XE "Deira" </w:instrText>
      </w:r>
      <w:r w:rsidR="00D142DC" w:rsidRPr="00EC0229">
        <w:fldChar w:fldCharType="end"/>
      </w:r>
      <w:r w:rsidRPr="00EC0229">
        <w:t>', where Bede</w:t>
      </w:r>
      <w:r w:rsidR="00F66CEB" w:rsidRPr="00EC0229">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fldChar w:fldCharType="end"/>
      </w:r>
      <w:r w:rsidRPr="00EC0229">
        <w:t xml:space="preserve"> says John of Hexham was buried in </w:t>
      </w:r>
      <w:r w:rsidRPr="00EC0229">
        <w:rPr>
          <w:sz w:val="20"/>
          <w:szCs w:val="20"/>
        </w:rPr>
        <w:t>AD</w:t>
      </w:r>
      <w:r w:rsidRPr="00EC0229">
        <w:t xml:space="preserve"> 721.’</w:t>
      </w:r>
      <w:r w:rsidRPr="00EC0229">
        <w:rPr>
          <w:rStyle w:val="FootnoteReference"/>
        </w:rPr>
        <w:footnoteReference w:id="1114"/>
      </w:r>
      <w:r w:rsidRPr="00EC0229">
        <w:t xml:space="preserve"> Beverley subsequently grew to some significance on the strength of the wool trade and construction of Beverley minster which is situated near the excavation site. Trenching in the intractable clays proved difficult and some anomalies of stratification occur. There was no metal detection. Some prehistoric and Roman</w:t>
      </w:r>
      <w:r w:rsidR="00D142DC" w:rsidRPr="00EC0229">
        <w:fldChar w:fldCharType="begin"/>
      </w:r>
      <w:r w:rsidR="00D142DC" w:rsidRPr="00EC0229">
        <w:instrText xml:space="preserve"> XE "Roman" </w:instrText>
      </w:r>
      <w:r w:rsidR="00D142DC" w:rsidRPr="00EC0229">
        <w:fldChar w:fldCharType="end"/>
      </w:r>
      <w:r w:rsidRPr="00EC0229">
        <w:t xml:space="preserve"> finds show early occupancy.</w:t>
      </w:r>
    </w:p>
    <w:p w14:paraId="06948795" w14:textId="77777777" w:rsidR="00854613" w:rsidRPr="00EC0229" w:rsidRDefault="00854613" w:rsidP="007600EA">
      <w:pPr>
        <w:pStyle w:val="NoSpacing"/>
        <w:spacing w:line="360" w:lineRule="auto"/>
      </w:pPr>
    </w:p>
    <w:p w14:paraId="0B222650" w14:textId="7D0A3570" w:rsidR="00854613" w:rsidRPr="00EC0229" w:rsidRDefault="00854613" w:rsidP="007600EA">
      <w:pPr>
        <w:pStyle w:val="NoSpacing"/>
        <w:spacing w:line="360" w:lineRule="auto"/>
      </w:pPr>
      <w:r w:rsidRPr="00EC0229">
        <w:t>In her 1991 paper on the Lurk Lane hoard, Pirie</w:t>
      </w:r>
      <w:r w:rsidR="00716433" w:rsidRPr="00EC0229">
        <w:fldChar w:fldCharType="begin"/>
      </w:r>
      <w:r w:rsidR="00716433" w:rsidRPr="00EC0229">
        <w:instrText xml:space="preserve"> XE "Pirie" </w:instrText>
      </w:r>
      <w:r w:rsidR="00716433" w:rsidRPr="00EC0229">
        <w:fldChar w:fldCharType="end"/>
      </w:r>
      <w:r w:rsidRPr="00EC0229">
        <w:t xml:space="preserve"> distinguishes between the great styca hoards accumulated over a lengthy period and ‘</w:t>
      </w:r>
      <w:r w:rsidRPr="00EC0229">
        <w:rPr>
          <w:i/>
        </w:rPr>
        <w:t>purse-hoards</w:t>
      </w:r>
      <w:r w:rsidRPr="00EC0229">
        <w:t>…savings on a more humble scale and veritable pocket money</w:t>
      </w:r>
      <w:r w:rsidR="008960AE" w:rsidRPr="00EC0229">
        <w:fldChar w:fldCharType="begin"/>
      </w:r>
      <w:r w:rsidR="008960AE" w:rsidRPr="00EC0229">
        <w:instrText xml:space="preserve"> XE "money" </w:instrText>
      </w:r>
      <w:r w:rsidR="008960AE" w:rsidRPr="00EC0229">
        <w:fldChar w:fldCharType="end"/>
      </w:r>
      <w:r w:rsidRPr="00EC0229">
        <w:t xml:space="preserve"> for current personal expenses.’</w:t>
      </w:r>
      <w:r w:rsidRPr="00EC0229">
        <w:rPr>
          <w:rStyle w:val="FootnoteReference"/>
        </w:rPr>
        <w:footnoteReference w:id="1115"/>
      </w:r>
      <w:r w:rsidRPr="00EC0229">
        <w:t xml:space="preserve"> Such was the recovery of twenty-three stycas compacted into a shallow pit near the occupation area. In common with the stycas at Flixborough</w:t>
      </w:r>
      <w:r w:rsidR="006B1593" w:rsidRPr="00EC0229">
        <w:fldChar w:fldCharType="begin"/>
      </w:r>
      <w:r w:rsidR="006B1593" w:rsidRPr="00EC0229">
        <w:instrText xml:space="preserve"> XE "</w:instrText>
      </w:r>
      <w:r w:rsidR="006B1593" w:rsidRPr="00EC0229">
        <w:rPr>
          <w:rStyle w:val="Hyperlink"/>
          <w:noProof/>
          <w:u w:val="none"/>
        </w:rPr>
        <w:instrText>Flixborough</w:instrText>
      </w:r>
      <w:r w:rsidR="006B1593" w:rsidRPr="00EC0229">
        <w:instrText xml:space="preserve">" </w:instrText>
      </w:r>
      <w:r w:rsidR="006B1593" w:rsidRPr="00EC0229">
        <w:fldChar w:fldCharType="end"/>
      </w:r>
      <w:r w:rsidRPr="00EC0229">
        <w:t xml:space="preserve">, there are some irregular types absent from the great hoards, which leads Pirie </w:t>
      </w:r>
      <w:r w:rsidRPr="00EC0229">
        <w:lastRenderedPageBreak/>
        <w:t>to speculate on unofficial emissions.</w:t>
      </w:r>
      <w:r w:rsidRPr="00EC0229">
        <w:rPr>
          <w:rStyle w:val="FootnoteReference"/>
        </w:rPr>
        <w:footnoteReference w:id="1116"/>
      </w:r>
      <w:r w:rsidRPr="00EC0229">
        <w:t xml:space="preserve"> There has been a small number of other single finds of sceats and stycas.</w:t>
      </w:r>
    </w:p>
    <w:p w14:paraId="382493F8" w14:textId="77777777" w:rsidR="00854613" w:rsidRPr="00EC0229" w:rsidRDefault="00854613" w:rsidP="007600EA">
      <w:pPr>
        <w:pStyle w:val="NoSpacing"/>
        <w:spacing w:line="360" w:lineRule="auto"/>
      </w:pPr>
    </w:p>
    <w:p w14:paraId="6E4D60D1" w14:textId="5B9B38D0" w:rsidR="00854613" w:rsidRPr="00EC0229" w:rsidRDefault="00854613" w:rsidP="007600EA">
      <w:pPr>
        <w:pStyle w:val="NoSpacing"/>
        <w:spacing w:line="360" w:lineRule="auto"/>
      </w:pPr>
      <w:r w:rsidRPr="00EC0229">
        <w:t xml:space="preserve">The earliest coin in the </w:t>
      </w:r>
      <w:r w:rsidR="00D65946" w:rsidRPr="00EC0229">
        <w:t>dataset</w:t>
      </w:r>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r w:rsidRPr="00EC0229">
        <w:t>, a secondary Series</w:t>
      </w:r>
      <w:r w:rsidR="00D142DC" w:rsidRPr="00EC0229">
        <w:fldChar w:fldCharType="begin"/>
      </w:r>
      <w:r w:rsidR="00D142DC" w:rsidRPr="00EC0229">
        <w:instrText xml:space="preserve"> XE "Series" </w:instrText>
      </w:r>
      <w:r w:rsidR="00D142DC" w:rsidRPr="00EC0229">
        <w:fldChar w:fldCharType="end"/>
      </w:r>
      <w:r w:rsidRPr="00EC0229">
        <w:t xml:space="preserve"> E</w:t>
      </w:r>
      <w:r w:rsidR="008344F3" w:rsidRPr="00EC0229">
        <w:fldChar w:fldCharType="begin"/>
      </w:r>
      <w:r w:rsidR="008344F3" w:rsidRPr="00EC0229">
        <w:instrText xml:space="preserve"> XE "Series E" </w:instrText>
      </w:r>
      <w:r w:rsidR="008344F3" w:rsidRPr="00EC0229">
        <w:fldChar w:fldCharType="end"/>
      </w:r>
      <w:r w:rsidRPr="00EC0229">
        <w:t xml:space="preserve"> </w:t>
      </w:r>
      <w:r w:rsidR="00F51BD2" w:rsidRPr="00EC0229">
        <w:t>[5c],</w:t>
      </w:r>
      <w:r w:rsidR="00E46CC5" w:rsidRPr="00EC0229">
        <w:rPr>
          <w:rStyle w:val="FootnoteReference"/>
        </w:rPr>
        <w:footnoteReference w:id="1117"/>
      </w:r>
      <w:r w:rsidR="00F51BD2" w:rsidRPr="00EC0229">
        <w:t xml:space="preserve"> </w:t>
      </w:r>
      <w:r w:rsidRPr="00EC0229">
        <w:t>was found between 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 xml:space="preserve"> and Woodmansey so may be more generally indicative of Frisian wool trade in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than diagnostic for Beverley.  Three early Eadberht</w:t>
      </w:r>
      <w:r w:rsidR="00D142DC" w:rsidRPr="00EC0229">
        <w:fldChar w:fldCharType="begin"/>
      </w:r>
      <w:r w:rsidR="00D142DC" w:rsidRPr="00EC0229">
        <w:instrText xml:space="preserve"> XE "Eadberht" </w:instrText>
      </w:r>
      <w:r w:rsidR="00D142DC" w:rsidRPr="00EC0229">
        <w:fldChar w:fldCharType="end"/>
      </w:r>
      <w:r w:rsidRPr="00EC0229">
        <w:t xml:space="preserve"> sceats</w:t>
      </w:r>
      <w:r w:rsidR="00F51BD2" w:rsidRPr="00EC0229">
        <w:t>, [N6],</w:t>
      </w:r>
      <w:r w:rsidRPr="00EC0229">
        <w:t xml:space="preserve"> and a joint issue with Ecgberht</w:t>
      </w:r>
      <w:r w:rsidR="00F51BD2" w:rsidRPr="00EC0229">
        <w:t xml:space="preserve">, [N7], </w:t>
      </w:r>
      <w:r w:rsidR="00D142DC" w:rsidRPr="00EC0229">
        <w:fldChar w:fldCharType="begin"/>
      </w:r>
      <w:r w:rsidR="00D142DC" w:rsidRPr="00EC0229">
        <w:instrText xml:space="preserve"> XE "Ecgberht" </w:instrText>
      </w:r>
      <w:r w:rsidR="00D142DC" w:rsidRPr="00EC0229">
        <w:fldChar w:fldCharType="end"/>
      </w:r>
      <w:r w:rsidRPr="00EC0229">
        <w:t xml:space="preserve"> mark the commencement of coin use at the site, possibly in the late 730s. While a fantastic animal sceat of </w:t>
      </w:r>
      <w:r w:rsidRPr="00EC0229">
        <w:rPr>
          <w:rFonts w:cs="Times New Roman"/>
        </w:rPr>
        <w:t>Æ</w:t>
      </w:r>
      <w:r w:rsidRPr="00EC0229">
        <w:t>lfwald</w:t>
      </w:r>
      <w:r w:rsidR="00F51BD2" w:rsidRPr="00EC0229">
        <w:t>,</w:t>
      </w:r>
      <w:r w:rsidR="004C29A9" w:rsidRPr="00EC0229">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fldChar w:fldCharType="end"/>
      </w:r>
      <w:r w:rsidRPr="00EC0229">
        <w:t xml:space="preserve"> </w:t>
      </w:r>
      <w:r w:rsidR="00F51BD2" w:rsidRPr="00EC0229">
        <w:t xml:space="preserve">[N6], </w:t>
      </w:r>
      <w:r w:rsidRPr="00EC0229">
        <w:t>is rare, the joint inscriptional issue of Æthelwald Moll with Ecgberht</w:t>
      </w:r>
      <w:r w:rsidR="00F51BD2" w:rsidRPr="00EC0229">
        <w:t>, [N8],</w:t>
      </w:r>
      <w:r w:rsidRPr="00EC0229">
        <w:t xml:space="preserve"> is one of only three known</w:t>
      </w:r>
      <w:r w:rsidR="009714C4" w:rsidRPr="00EC0229">
        <w:t xml:space="preserve"> </w:t>
      </w:r>
      <w:r w:rsidR="009714C4"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_Ref430249247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147</w:t>
      </w:r>
      <w:r w:rsidR="00C44C51" w:rsidRPr="00EC0229">
        <w:rPr>
          <w:rFonts w:eastAsia="Times New Roman" w:cs="Times New Roman"/>
          <w:iCs/>
          <w:szCs w:val="24"/>
          <w:lang w:eastAsia="en-GB"/>
        </w:rPr>
        <w:fldChar w:fldCharType="end"/>
      </w:r>
      <w:r w:rsidR="009714C4" w:rsidRPr="00EC0229">
        <w:rPr>
          <w:rFonts w:eastAsia="Times New Roman" w:cs="Times New Roman"/>
          <w:iCs/>
          <w:szCs w:val="24"/>
          <w:lang w:eastAsia="en-GB"/>
        </w:rPr>
        <w:t>)</w:t>
      </w:r>
      <w:r w:rsidRPr="00EC0229">
        <w:t>. It would be conjectural to endow such a rarity with episcopal significance.</w:t>
      </w:r>
    </w:p>
    <w:p w14:paraId="298815F5" w14:textId="77777777" w:rsidR="00854613" w:rsidRPr="00EC0229" w:rsidRDefault="00854613" w:rsidP="007600EA">
      <w:pPr>
        <w:pStyle w:val="NoSpacing"/>
        <w:spacing w:line="360" w:lineRule="auto"/>
        <w:jc w:val="center"/>
        <w:rPr>
          <w:sz w:val="20"/>
          <w:szCs w:val="20"/>
        </w:rPr>
      </w:pPr>
      <w:r w:rsidRPr="00EC0229">
        <w:rPr>
          <w:noProof/>
          <w:lang w:eastAsia="en-GB"/>
        </w:rPr>
        <w:drawing>
          <wp:inline distT="0" distB="0" distL="0" distR="0" wp14:anchorId="67690402" wp14:editId="42CBADAC">
            <wp:extent cx="649224" cy="65532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6-10 Moll 1999_0019obv.jpg"/>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649224" cy="655320"/>
                    </a:xfrm>
                    <a:prstGeom prst="rect">
                      <a:avLst/>
                    </a:prstGeom>
                  </pic:spPr>
                </pic:pic>
              </a:graphicData>
            </a:graphic>
          </wp:inline>
        </w:drawing>
      </w:r>
      <w:r w:rsidRPr="00EC0229">
        <w:rPr>
          <w:noProof/>
          <w:lang w:eastAsia="en-GB"/>
        </w:rPr>
        <w:drawing>
          <wp:inline distT="0" distB="0" distL="0" distR="0" wp14:anchorId="1AD27D5F" wp14:editId="18206FD8">
            <wp:extent cx="664464" cy="615696"/>
            <wp:effectExtent l="0" t="0" r="254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6-10 Moll 1999_0019rev.jpg"/>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664464" cy="615696"/>
                    </a:xfrm>
                    <a:prstGeom prst="rect">
                      <a:avLst/>
                    </a:prstGeom>
                  </pic:spPr>
                </pic:pic>
              </a:graphicData>
            </a:graphic>
          </wp:inline>
        </w:drawing>
      </w:r>
    </w:p>
    <w:p w14:paraId="0E4A9159" w14:textId="4150952C" w:rsidR="00941A45" w:rsidRDefault="003977B6" w:rsidP="007600EA">
      <w:pPr>
        <w:spacing w:line="360" w:lineRule="auto"/>
        <w:jc w:val="center"/>
        <w:rPr>
          <w:sz w:val="20"/>
          <w:szCs w:val="20"/>
        </w:rPr>
      </w:pPr>
      <w:bookmarkStart w:id="806" w:name="_Ref430249247"/>
      <w:bookmarkStart w:id="807" w:name="_Toc468267119"/>
      <w:r w:rsidRPr="00EC0229">
        <w:rPr>
          <w:i/>
          <w:sz w:val="20"/>
          <w:szCs w:val="20"/>
        </w:rPr>
        <w:t>Figure</w:t>
      </w:r>
      <w:r w:rsidRPr="00EC0229">
        <w:rPr>
          <w:sz w:val="20"/>
          <w:szCs w:val="20"/>
        </w:rPr>
        <w:t xml:space="preserve"> </w:t>
      </w:r>
      <w:r w:rsidR="00DE1C04" w:rsidRPr="00EC0229">
        <w:rPr>
          <w:sz w:val="20"/>
          <w:szCs w:val="20"/>
        </w:rPr>
        <w:fldChar w:fldCharType="begin"/>
      </w:r>
      <w:r w:rsidR="00DE1C04" w:rsidRPr="00EC0229">
        <w:rPr>
          <w:sz w:val="20"/>
          <w:szCs w:val="20"/>
        </w:rPr>
        <w:instrText xml:space="preserve"> SEQ Figure \* ARABIC </w:instrText>
      </w:r>
      <w:r w:rsidR="00DE1C04" w:rsidRPr="00EC0229">
        <w:rPr>
          <w:sz w:val="20"/>
          <w:szCs w:val="20"/>
        </w:rPr>
        <w:fldChar w:fldCharType="separate"/>
      </w:r>
      <w:r w:rsidR="0012026B">
        <w:rPr>
          <w:noProof/>
          <w:sz w:val="20"/>
          <w:szCs w:val="20"/>
        </w:rPr>
        <w:t>147</w:t>
      </w:r>
      <w:r w:rsidR="00DE1C04" w:rsidRPr="00EC0229">
        <w:rPr>
          <w:noProof/>
          <w:sz w:val="20"/>
          <w:szCs w:val="20"/>
        </w:rPr>
        <w:fldChar w:fldCharType="end"/>
      </w:r>
      <w:bookmarkEnd w:id="806"/>
      <w:r w:rsidR="009714C4" w:rsidRPr="00EC0229">
        <w:rPr>
          <w:sz w:val="20"/>
          <w:szCs w:val="20"/>
        </w:rPr>
        <w:t xml:space="preserve">: </w:t>
      </w:r>
      <w:r w:rsidR="00854613" w:rsidRPr="00EC0229">
        <w:rPr>
          <w:sz w:val="20"/>
          <w:szCs w:val="20"/>
        </w:rPr>
        <w:t>Beverley</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Beverley</w:instrText>
      </w:r>
      <w:r w:rsidR="006B1593" w:rsidRPr="00EC0229">
        <w:rPr>
          <w:sz w:val="20"/>
          <w:szCs w:val="20"/>
        </w:rPr>
        <w:instrText xml:space="preserve">" </w:instrText>
      </w:r>
      <w:r w:rsidR="006B1593" w:rsidRPr="00EC0229">
        <w:rPr>
          <w:sz w:val="20"/>
          <w:szCs w:val="20"/>
        </w:rPr>
        <w:fldChar w:fldCharType="end"/>
      </w:r>
      <w:r w:rsidR="00854613" w:rsidRPr="00EC0229">
        <w:rPr>
          <w:sz w:val="20"/>
          <w:szCs w:val="20"/>
        </w:rPr>
        <w:t>: sceat of Æthelwald Moll with Ecgberht</w:t>
      </w:r>
      <w:bookmarkEnd w:id="807"/>
      <w:r w:rsidR="00D142DC" w:rsidRPr="00EC0229">
        <w:rPr>
          <w:sz w:val="20"/>
          <w:szCs w:val="20"/>
        </w:rPr>
        <w:fldChar w:fldCharType="begin"/>
      </w:r>
      <w:r w:rsidR="00D142DC" w:rsidRPr="00EC0229">
        <w:rPr>
          <w:sz w:val="20"/>
          <w:szCs w:val="20"/>
        </w:rPr>
        <w:instrText xml:space="preserve"> XE "Ecgberht" </w:instrText>
      </w:r>
      <w:r w:rsidR="00D142DC" w:rsidRPr="00EC0229">
        <w:rPr>
          <w:sz w:val="20"/>
          <w:szCs w:val="20"/>
        </w:rPr>
        <w:fldChar w:fldCharType="end"/>
      </w:r>
    </w:p>
    <w:p w14:paraId="64BF1E5C" w14:textId="52D346A9" w:rsidR="00854613" w:rsidRPr="00EC0229" w:rsidRDefault="00854613" w:rsidP="007600EA">
      <w:pPr>
        <w:spacing w:line="360" w:lineRule="auto"/>
        <w:jc w:val="center"/>
        <w:rPr>
          <w:sz w:val="20"/>
          <w:szCs w:val="20"/>
        </w:rPr>
      </w:pPr>
      <w:r w:rsidRPr="00EC0229">
        <w:rPr>
          <w:sz w:val="20"/>
          <w:szCs w:val="20"/>
        </w:rPr>
        <w:t>EMC1999.0019,</w:t>
      </w:r>
      <w:r w:rsidRPr="00EC0229">
        <w:rPr>
          <w:i/>
          <w:sz w:val="20"/>
          <w:szCs w:val="20"/>
        </w:rPr>
        <w:t xml:space="preserve"> SL</w:t>
      </w:r>
      <w:r w:rsidRPr="00EC0229">
        <w:rPr>
          <w:sz w:val="20"/>
          <w:szCs w:val="20"/>
        </w:rPr>
        <w:t xml:space="preserve"> 76-10</w:t>
      </w:r>
    </w:p>
    <w:p w14:paraId="12FC9EC5" w14:textId="77777777" w:rsidR="00854613" w:rsidRPr="00EC0229" w:rsidRDefault="00854613" w:rsidP="007600EA">
      <w:pPr>
        <w:pStyle w:val="NoSpacing"/>
        <w:spacing w:line="360" w:lineRule="auto"/>
      </w:pPr>
    </w:p>
    <w:p w14:paraId="00639BE6" w14:textId="6679E0BB" w:rsidR="00854613" w:rsidRPr="00EC0229" w:rsidRDefault="00854613" w:rsidP="007600EA">
      <w:pPr>
        <w:pStyle w:val="NoSpacing"/>
        <w:spacing w:line="360" w:lineRule="auto"/>
      </w:pPr>
      <w:r w:rsidRPr="00EC0229">
        <w:rPr>
          <w:szCs w:val="24"/>
        </w:rPr>
        <w:t xml:space="preserve">There is also an inscriptional sceat of </w:t>
      </w:r>
      <w:r w:rsidRPr="00EC0229">
        <w:t>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 by Tidwulf, </w:t>
      </w:r>
      <w:r w:rsidR="00F51BD2" w:rsidRPr="00EC0229">
        <w:t xml:space="preserve">[N8], </w:t>
      </w:r>
      <w:r w:rsidRPr="00EC0229">
        <w:t>after which there is a considerable gap before two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coins of Eanred</w:t>
      </w:r>
      <w:r w:rsidR="00D142DC" w:rsidRPr="00EC0229">
        <w:fldChar w:fldCharType="begin"/>
      </w:r>
      <w:r w:rsidR="00D142DC" w:rsidRPr="00EC0229">
        <w:instrText xml:space="preserve"> XE "Eanred" </w:instrText>
      </w:r>
      <w:r w:rsidR="00D142DC" w:rsidRPr="00EC0229">
        <w:fldChar w:fldCharType="end"/>
      </w:r>
      <w:r w:rsidRPr="00EC0229">
        <w:t xml:space="preserve">, </w:t>
      </w:r>
      <w:r w:rsidR="00F51BD2" w:rsidRPr="00EC0229">
        <w:t xml:space="preserve">[N9], </w:t>
      </w:r>
      <w:r w:rsidRPr="00EC0229">
        <w:t>reflecting the production inactivity after the 793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Pr="00EC0229">
        <w:t xml:space="preserve"> attack, is of the order of thirty years, during which financial settlements would have been increasingly in commodity money</w:t>
      </w:r>
      <w:r w:rsidR="008960AE" w:rsidRPr="00EC0229">
        <w:fldChar w:fldCharType="begin"/>
      </w:r>
      <w:r w:rsidR="008960AE" w:rsidRPr="00EC0229">
        <w:instrText xml:space="preserve"> XE "</w:instrText>
      </w:r>
      <w:r w:rsidR="008960AE" w:rsidRPr="00EC0229">
        <w:rPr>
          <w:rFonts w:cs="Times New Roman"/>
          <w:szCs w:val="24"/>
        </w:rPr>
        <w:instrText>commodity money</w:instrText>
      </w:r>
      <w:r w:rsidR="008960AE" w:rsidRPr="00EC0229">
        <w:instrText xml:space="preserve">" </w:instrText>
      </w:r>
      <w:r w:rsidR="008960AE" w:rsidRPr="00EC0229">
        <w:fldChar w:fldCharType="end"/>
      </w:r>
      <w:r w:rsidRPr="00EC0229">
        <w:t>. There are fourteen brass stycas</w:t>
      </w:r>
      <w:r w:rsidR="00F51BD2" w:rsidRPr="00EC0229">
        <w:t>, [N10a],</w:t>
      </w:r>
      <w:r w:rsidRPr="00EC0229">
        <w:t xml:space="preserve"> of Eanred, Æthelred II and Wigmund</w:t>
      </w:r>
      <w:r w:rsidR="00D142DC" w:rsidRPr="00EC0229">
        <w:fldChar w:fldCharType="begin"/>
      </w:r>
      <w:r w:rsidR="00D142DC" w:rsidRPr="00EC0229">
        <w:instrText xml:space="preserve"> XE "Wigmund" </w:instrText>
      </w:r>
      <w:r w:rsidR="00D142DC" w:rsidRPr="00EC0229">
        <w:fldChar w:fldCharType="end"/>
      </w:r>
      <w:r w:rsidRPr="00EC0229">
        <w:t>, three bronze stycas</w:t>
      </w:r>
      <w:r w:rsidR="00F51BD2" w:rsidRPr="00EC0229">
        <w:t>, [N10b],</w:t>
      </w:r>
      <w:r w:rsidRPr="00EC0229">
        <w:t xml:space="preserve"> of Osberht</w:t>
      </w:r>
      <w:r w:rsidR="00D142DC" w:rsidRPr="00EC0229">
        <w:fldChar w:fldCharType="begin"/>
      </w:r>
      <w:r w:rsidR="00D142DC" w:rsidRPr="00EC0229">
        <w:instrText xml:space="preserve"> XE "Osberht" </w:instrText>
      </w:r>
      <w:r w:rsidR="00D142DC" w:rsidRPr="00EC0229">
        <w:fldChar w:fldCharType="end"/>
      </w:r>
      <w:r w:rsidRPr="00EC0229">
        <w:t xml:space="preserve"> (but none for Wulfhere</w:t>
      </w:r>
      <w:r w:rsidR="00D142DC" w:rsidRPr="00EC0229">
        <w:fldChar w:fldCharType="begin"/>
      </w:r>
      <w:r w:rsidR="00D142DC" w:rsidRPr="00EC0229">
        <w:instrText xml:space="preserve"> XE "Wulfhere" </w:instrText>
      </w:r>
      <w:r w:rsidR="00D142DC" w:rsidRPr="00EC0229">
        <w:fldChar w:fldCharType="end"/>
      </w:r>
      <w:r w:rsidRPr="00EC0229">
        <w:t>) and ten blundered specimens</w:t>
      </w:r>
      <w:r w:rsidR="00F51BD2" w:rsidRPr="00EC0229">
        <w:t>, [N10c]</w:t>
      </w:r>
      <w:r w:rsidRPr="00EC0229">
        <w:t>.</w:t>
      </w:r>
      <w:r w:rsidR="00F01C1C">
        <w:rPr>
          <w:rStyle w:val="FootnoteReference"/>
        </w:rPr>
        <w:footnoteReference w:id="1118"/>
      </w:r>
      <w:r w:rsidRPr="00EC0229">
        <w:t xml:space="preserve"> This distribution does not support Armstrong’s assertion of site abandonment </w:t>
      </w:r>
      <w:r w:rsidR="002132F1">
        <w:rPr>
          <w:i/>
        </w:rPr>
        <w:t>c.</w:t>
      </w:r>
      <w:r w:rsidRPr="00EC0229">
        <w:t>851.</w:t>
      </w:r>
      <w:r w:rsidRPr="00EC0229">
        <w:rPr>
          <w:rStyle w:val="FootnoteReference"/>
        </w:rPr>
        <w:footnoteReference w:id="1119"/>
      </w:r>
      <w:r w:rsidRPr="00EC0229">
        <w:t xml:space="preserve"> Traditionally, the minster is said to have been sacked by the Danes in 866/7 but there is no clear evidence of destruction. Five tenth-century pennies, three of the Vikings of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and two of the Kings of All England, demonstrate the resumed wealth of the site after the Viking incursions. </w:t>
      </w:r>
    </w:p>
    <w:p w14:paraId="0860801A" w14:textId="77777777" w:rsidR="00854613" w:rsidRPr="00EC0229" w:rsidRDefault="00854613" w:rsidP="007600EA">
      <w:pPr>
        <w:pStyle w:val="NoSpacing"/>
        <w:spacing w:line="360" w:lineRule="auto"/>
      </w:pPr>
    </w:p>
    <w:p w14:paraId="791F2C1A" w14:textId="3846B7FF" w:rsidR="00854613" w:rsidRPr="00EC0229" w:rsidRDefault="00736C9E" w:rsidP="007600EA">
      <w:pPr>
        <w:pStyle w:val="Heading2"/>
        <w:spacing w:line="360" w:lineRule="auto"/>
        <w:rPr>
          <w:sz w:val="24"/>
          <w:szCs w:val="24"/>
        </w:rPr>
      </w:pPr>
      <w:bookmarkStart w:id="808" w:name="Holderness"/>
      <w:bookmarkStart w:id="809" w:name="_Toc468266915"/>
      <w:bookmarkEnd w:id="808"/>
      <w:r>
        <w:t>8.2.5</w:t>
      </w:r>
      <w:r>
        <w:tab/>
      </w:r>
      <w:r w:rsidR="00854613" w:rsidRPr="00EC0229">
        <w:t>Holderness</w:t>
      </w:r>
      <w:r w:rsidR="006B1593" w:rsidRPr="00EC0229">
        <w:fldChar w:fldCharType="begin"/>
      </w:r>
      <w:r w:rsidR="006B1593" w:rsidRPr="00EC0229">
        <w:instrText xml:space="preserve"> XE "</w:instrText>
      </w:r>
      <w:r w:rsidR="006B1593" w:rsidRPr="00EC0229">
        <w:rPr>
          <w:rStyle w:val="Hyperlink"/>
          <w:noProof/>
          <w:u w:val="none"/>
        </w:rPr>
        <w:instrText>Holderness</w:instrText>
      </w:r>
      <w:r w:rsidR="006B1593" w:rsidRPr="00EC0229">
        <w:instrText xml:space="preserve">" </w:instrText>
      </w:r>
      <w:r w:rsidR="006B1593" w:rsidRPr="00EC0229">
        <w:fldChar w:fldCharType="end"/>
      </w:r>
      <w:r w:rsidR="00854613" w:rsidRPr="00EC0229">
        <w:t xml:space="preserve"> - East Yorkshire coastal plateau</w:t>
      </w:r>
      <w:bookmarkEnd w:id="809"/>
      <w:r w:rsidR="00344DFD" w:rsidRPr="00EC0229">
        <w:rPr>
          <w:b w:val="0"/>
          <w:sz w:val="24"/>
          <w:szCs w:val="24"/>
        </w:rPr>
        <w:t xml:space="preserve"> </w:t>
      </w:r>
      <w:r w:rsidR="006B1593" w:rsidRPr="00EC0229">
        <w:rPr>
          <w:sz w:val="24"/>
          <w:szCs w:val="24"/>
        </w:rPr>
        <w:fldChar w:fldCharType="begin"/>
      </w:r>
      <w:r w:rsidR="006B1593" w:rsidRPr="00EC0229">
        <w:rPr>
          <w:sz w:val="24"/>
          <w:szCs w:val="24"/>
        </w:rPr>
        <w:instrText xml:space="preserve"> XE "</w:instrText>
      </w:r>
      <w:r w:rsidR="006B1593" w:rsidRPr="00EC0229">
        <w:rPr>
          <w:rStyle w:val="Hyperlink"/>
          <w:noProof/>
          <w:sz w:val="24"/>
          <w:szCs w:val="24"/>
          <w:u w:val="none"/>
        </w:rPr>
        <w:instrText>East Yorkshire coastal plateau</w:instrText>
      </w:r>
      <w:r w:rsidR="006B1593" w:rsidRPr="00EC0229">
        <w:rPr>
          <w:sz w:val="24"/>
          <w:szCs w:val="24"/>
        </w:rPr>
        <w:instrText xml:space="preserve">" </w:instrText>
      </w:r>
      <w:r w:rsidR="006B1593" w:rsidRPr="00EC0229">
        <w:rPr>
          <w:sz w:val="24"/>
          <w:szCs w:val="24"/>
        </w:rPr>
        <w:fldChar w:fldCharType="end"/>
      </w:r>
    </w:p>
    <w:p w14:paraId="3BEBD4AD" w14:textId="185ABCD3" w:rsidR="00854613" w:rsidRPr="00EC0229" w:rsidRDefault="00854613" w:rsidP="007600EA">
      <w:pPr>
        <w:pStyle w:val="NoSpacing"/>
        <w:spacing w:line="360" w:lineRule="auto"/>
      </w:pPr>
      <w:r w:rsidRPr="00EC0229">
        <w:t>While the Doomsday Book records forty-five freeholders in Holderness</w:t>
      </w:r>
      <w:r w:rsidR="006B1593" w:rsidRPr="00EC0229">
        <w:fldChar w:fldCharType="begin"/>
      </w:r>
      <w:r w:rsidR="006B1593" w:rsidRPr="00EC0229">
        <w:instrText xml:space="preserve"> XE "</w:instrText>
      </w:r>
      <w:r w:rsidR="006B1593" w:rsidRPr="00EC0229">
        <w:rPr>
          <w:rStyle w:val="Hyperlink"/>
          <w:noProof/>
          <w:u w:val="none"/>
        </w:rPr>
        <w:instrText>Holderness</w:instrText>
      </w:r>
      <w:r w:rsidR="006B1593" w:rsidRPr="00EC0229">
        <w:instrText xml:space="preserve">" </w:instrText>
      </w:r>
      <w:r w:rsidR="006B1593" w:rsidRPr="00EC0229">
        <w:fldChar w:fldCharType="end"/>
      </w:r>
      <w:r w:rsidRPr="00EC0229">
        <w:t>, it was probably largely undrained marshland in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times. Other than at 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 xml:space="preserve">, finds are </w:t>
      </w:r>
      <w:r w:rsidRPr="00EC0229">
        <w:lastRenderedPageBreak/>
        <w:t>s</w:t>
      </w:r>
      <w:r w:rsidR="00F21D9B" w:rsidRPr="00EC0229">
        <w:t>carce; fif</w:t>
      </w:r>
      <w:r w:rsidRPr="00EC0229">
        <w:t xml:space="preserve">teen are shown in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F21D9B" w:rsidRPr="00EC0229">
        <w:rPr>
          <w:i/>
        </w:rPr>
        <w:t xml:space="preserve"> </w:t>
      </w:r>
      <w:r w:rsidR="00E1090A" w:rsidRPr="00EC0229">
        <w:rPr>
          <w:i/>
        </w:rPr>
        <w:t>8.2</w:t>
      </w:r>
      <w:r w:rsidR="003223CD" w:rsidRPr="00EC0229">
        <w:rPr>
          <w:i/>
        </w:rPr>
        <w:t>6</w:t>
      </w:r>
      <w:r w:rsidRPr="00EC0229">
        <w:rPr>
          <w:i/>
        </w:rPr>
        <w:t>.</w:t>
      </w:r>
      <w:r w:rsidR="005471A5" w:rsidRPr="00EC0229">
        <w:t xml:space="preserve"> The generally small cemeteries of the period probably represent the dispersed pattern of lowland settlement.</w:t>
      </w:r>
      <w:r w:rsidR="005471A5" w:rsidRPr="00EC0229">
        <w:rPr>
          <w:rStyle w:val="FootnoteReference"/>
        </w:rPr>
        <w:footnoteReference w:id="1120"/>
      </w:r>
    </w:p>
    <w:p w14:paraId="614AC97C" w14:textId="77777777" w:rsidR="00854613" w:rsidRPr="00EC0229" w:rsidRDefault="00854613" w:rsidP="007600EA">
      <w:pPr>
        <w:pStyle w:val="NoSpacing"/>
        <w:spacing w:line="360" w:lineRule="auto"/>
      </w:pPr>
    </w:p>
    <w:p w14:paraId="0D2095AF" w14:textId="4782A82D" w:rsidR="00854613" w:rsidRPr="00EC0229" w:rsidRDefault="00854613" w:rsidP="007600EA">
      <w:pPr>
        <w:pStyle w:val="NoSpacing"/>
        <w:spacing w:line="360" w:lineRule="auto"/>
      </w:pPr>
      <w:r w:rsidRPr="00EC0229">
        <w:t>A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shilling, of variety C, </w:t>
      </w:r>
      <w:r w:rsidR="00D436D7" w:rsidRPr="00EC0229">
        <w:t xml:space="preserve">[3a], </w:t>
      </w:r>
      <w:r w:rsidRPr="00EC0229">
        <w:t>is recorded on PAS</w:t>
      </w:r>
      <w:r w:rsidR="008960AE" w:rsidRPr="00EC0229">
        <w:fldChar w:fldCharType="begin"/>
      </w:r>
      <w:r w:rsidR="008960AE" w:rsidRPr="00EC0229">
        <w:instrText xml:space="preserve"> XE "PAS" </w:instrText>
      </w:r>
      <w:r w:rsidR="008960AE" w:rsidRPr="00EC0229">
        <w:fldChar w:fldCharType="end"/>
      </w:r>
      <w:r w:rsidRPr="00EC0229">
        <w:t xml:space="preserve"> as from Flinton</w:t>
      </w:r>
      <w:r w:rsidR="009E2FF9" w:rsidRPr="00EC0229">
        <w:t xml:space="preserve"> </w:t>
      </w:r>
      <w:r w:rsidR="009E2FF9" w:rsidRPr="00EC0229">
        <w:rPr>
          <w:rFonts w:eastAsia="Times New Roman" w:cs="Times New Roman"/>
          <w:iCs/>
          <w:szCs w:val="24"/>
          <w:lang w:eastAsia="en-GB"/>
        </w:rPr>
        <w:t>(</w:t>
      </w:r>
      <w:r w:rsidR="00C44C51" w:rsidRPr="00EC0229">
        <w:rPr>
          <w:rFonts w:eastAsia="Times New Roman" w:cs="Times New Roman"/>
          <w:iCs/>
          <w:szCs w:val="24"/>
          <w:lang w:eastAsia="en-GB"/>
        </w:rPr>
        <w:fldChar w:fldCharType="begin"/>
      </w:r>
      <w:r w:rsidR="00C44C51" w:rsidRPr="00EC0229">
        <w:rPr>
          <w:rFonts w:eastAsia="Times New Roman" w:cs="Times New Roman"/>
          <w:iCs/>
          <w:szCs w:val="24"/>
          <w:lang w:eastAsia="en-GB"/>
        </w:rPr>
        <w:instrText xml:space="preserve"> REF _Ref430249255 \h </w:instrText>
      </w:r>
      <w:r w:rsidR="00235629" w:rsidRPr="00EC0229">
        <w:rPr>
          <w:rFonts w:eastAsia="Times New Roman" w:cs="Times New Roman"/>
          <w:iCs/>
          <w:szCs w:val="24"/>
          <w:lang w:eastAsia="en-GB"/>
        </w:rPr>
        <w:instrText xml:space="preserve"> \* MERGEFORMAT </w:instrText>
      </w:r>
      <w:r w:rsidR="00C44C51" w:rsidRPr="00EC0229">
        <w:rPr>
          <w:rFonts w:eastAsia="Times New Roman" w:cs="Times New Roman"/>
          <w:iCs/>
          <w:szCs w:val="24"/>
          <w:lang w:eastAsia="en-GB"/>
        </w:rPr>
      </w:r>
      <w:r w:rsidR="00C44C51"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148</w:t>
      </w:r>
      <w:r w:rsidR="00C44C51" w:rsidRPr="00EC0229">
        <w:rPr>
          <w:rFonts w:eastAsia="Times New Roman" w:cs="Times New Roman"/>
          <w:iCs/>
          <w:szCs w:val="24"/>
          <w:lang w:eastAsia="en-GB"/>
        </w:rPr>
        <w:fldChar w:fldCharType="end"/>
      </w:r>
      <w:r w:rsidR="009E2FF9" w:rsidRPr="00EC0229">
        <w:rPr>
          <w:rFonts w:eastAsia="Times New Roman" w:cs="Times New Roman"/>
          <w:iCs/>
          <w:szCs w:val="24"/>
          <w:lang w:eastAsia="en-GB"/>
        </w:rPr>
        <w:t>)</w:t>
      </w:r>
      <w:r w:rsidRPr="00EC0229">
        <w:t>,</w:t>
      </w:r>
      <w:r w:rsidRPr="00EC0229">
        <w:rPr>
          <w:rStyle w:val="FootnoteReference"/>
        </w:rPr>
        <w:footnoteReference w:id="1121"/>
      </w:r>
      <w:r w:rsidRPr="00EC0229">
        <w:t xml:space="preserve"> an extraordinary finds for such a remote location with no obvious trading connections.</w:t>
      </w:r>
    </w:p>
    <w:p w14:paraId="361B02D0" w14:textId="5942C86A" w:rsidR="00854613" w:rsidRPr="00EC0229" w:rsidRDefault="002D29A0" w:rsidP="007600EA">
      <w:pPr>
        <w:pStyle w:val="NoSpacing"/>
        <w:spacing w:line="360" w:lineRule="auto"/>
        <w:jc w:val="center"/>
      </w:pPr>
      <w:r w:rsidRPr="00EC0229">
        <w:rPr>
          <w:noProof/>
          <w:lang w:eastAsia="en-GB"/>
        </w:rPr>
        <w:drawing>
          <wp:inline distT="0" distB="0" distL="0" distR="0" wp14:anchorId="613A8852" wp14:editId="720F6C83">
            <wp:extent cx="753265" cy="735330"/>
            <wp:effectExtent l="0" t="0" r="889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ii.4 2012_0179obv.jpg"/>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755433" cy="737447"/>
                    </a:xfrm>
                    <a:prstGeom prst="rect">
                      <a:avLst/>
                    </a:prstGeom>
                  </pic:spPr>
                </pic:pic>
              </a:graphicData>
            </a:graphic>
          </wp:inline>
        </w:drawing>
      </w:r>
      <w:r w:rsidRPr="00EC0229">
        <w:rPr>
          <w:noProof/>
          <w:lang w:eastAsia="en-GB"/>
        </w:rPr>
        <w:drawing>
          <wp:inline distT="0" distB="0" distL="0" distR="0" wp14:anchorId="6D3551B5" wp14:editId="4CE8F818">
            <wp:extent cx="744150" cy="740410"/>
            <wp:effectExtent l="0" t="0" r="0" b="25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ii.4 York shilling Flinton 386001 PAS YORYM 78A342 R.jpg"/>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751194" cy="747419"/>
                    </a:xfrm>
                    <a:prstGeom prst="rect">
                      <a:avLst/>
                    </a:prstGeom>
                  </pic:spPr>
                </pic:pic>
              </a:graphicData>
            </a:graphic>
          </wp:inline>
        </w:drawing>
      </w:r>
    </w:p>
    <w:p w14:paraId="0EA9B6C0" w14:textId="2F8BA45D" w:rsidR="00941A45" w:rsidRDefault="003977B6" w:rsidP="007600EA">
      <w:pPr>
        <w:spacing w:line="360" w:lineRule="auto"/>
        <w:jc w:val="center"/>
        <w:rPr>
          <w:sz w:val="20"/>
          <w:szCs w:val="20"/>
        </w:rPr>
      </w:pPr>
      <w:bookmarkStart w:id="810" w:name="_Ref430249255"/>
      <w:bookmarkStart w:id="811" w:name="_Toc468267120"/>
      <w:r w:rsidRPr="00EC0229">
        <w:rPr>
          <w:i/>
          <w:sz w:val="20"/>
          <w:szCs w:val="20"/>
        </w:rPr>
        <w:t>Figure</w:t>
      </w:r>
      <w:r w:rsidRPr="00EC0229">
        <w:rPr>
          <w:sz w:val="20"/>
          <w:szCs w:val="20"/>
        </w:rPr>
        <w:t xml:space="preserve"> </w:t>
      </w:r>
      <w:r w:rsidR="00DE1C04" w:rsidRPr="00EC0229">
        <w:rPr>
          <w:sz w:val="20"/>
          <w:szCs w:val="20"/>
        </w:rPr>
        <w:fldChar w:fldCharType="begin"/>
      </w:r>
      <w:r w:rsidR="00DE1C04" w:rsidRPr="00EC0229">
        <w:rPr>
          <w:sz w:val="20"/>
          <w:szCs w:val="20"/>
        </w:rPr>
        <w:instrText xml:space="preserve"> SEQ Figure \* ARABIC </w:instrText>
      </w:r>
      <w:r w:rsidR="00DE1C04" w:rsidRPr="00EC0229">
        <w:rPr>
          <w:sz w:val="20"/>
          <w:szCs w:val="20"/>
        </w:rPr>
        <w:fldChar w:fldCharType="separate"/>
      </w:r>
      <w:r w:rsidR="0012026B">
        <w:rPr>
          <w:noProof/>
          <w:sz w:val="20"/>
          <w:szCs w:val="20"/>
        </w:rPr>
        <w:t>148</w:t>
      </w:r>
      <w:r w:rsidR="00DE1C04" w:rsidRPr="00EC0229">
        <w:rPr>
          <w:noProof/>
          <w:sz w:val="20"/>
          <w:szCs w:val="20"/>
        </w:rPr>
        <w:fldChar w:fldCharType="end"/>
      </w:r>
      <w:bookmarkEnd w:id="810"/>
      <w:r w:rsidR="009E2FF9" w:rsidRPr="00EC0229">
        <w:rPr>
          <w:sz w:val="20"/>
          <w:szCs w:val="20"/>
        </w:rPr>
        <w:t xml:space="preserve">: </w:t>
      </w:r>
      <w:r w:rsidR="00854613" w:rsidRPr="00EC0229">
        <w:rPr>
          <w:sz w:val="20"/>
          <w:szCs w:val="20"/>
        </w:rPr>
        <w:t>Flinton: York</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York</w:instrText>
      </w:r>
      <w:r w:rsidR="006B1593" w:rsidRPr="00EC0229">
        <w:rPr>
          <w:sz w:val="20"/>
          <w:szCs w:val="20"/>
        </w:rPr>
        <w:instrText xml:space="preserve">" </w:instrText>
      </w:r>
      <w:r w:rsidR="006B1593" w:rsidRPr="00EC0229">
        <w:rPr>
          <w:sz w:val="20"/>
          <w:szCs w:val="20"/>
        </w:rPr>
        <w:fldChar w:fldCharType="end"/>
      </w:r>
      <w:r w:rsidR="00854613" w:rsidRPr="00EC0229">
        <w:rPr>
          <w:sz w:val="20"/>
          <w:szCs w:val="20"/>
        </w:rPr>
        <w:t xml:space="preserve"> gold</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gold</w:instrText>
      </w:r>
      <w:r w:rsidR="008960AE" w:rsidRPr="00EC0229">
        <w:rPr>
          <w:sz w:val="20"/>
          <w:szCs w:val="20"/>
        </w:rPr>
        <w:instrText xml:space="preserve">" </w:instrText>
      </w:r>
      <w:r w:rsidR="008960AE" w:rsidRPr="00EC0229">
        <w:rPr>
          <w:sz w:val="20"/>
          <w:szCs w:val="20"/>
        </w:rPr>
        <w:fldChar w:fldCharType="end"/>
      </w:r>
      <w:r w:rsidR="00941A45">
        <w:rPr>
          <w:sz w:val="20"/>
          <w:szCs w:val="20"/>
        </w:rPr>
        <w:t xml:space="preserve"> shilling</w:t>
      </w:r>
      <w:bookmarkEnd w:id="811"/>
    </w:p>
    <w:p w14:paraId="4547ADCB" w14:textId="5A37183D" w:rsidR="00854613" w:rsidRPr="00EC0229" w:rsidRDefault="00854613" w:rsidP="007600EA">
      <w:pPr>
        <w:spacing w:line="360" w:lineRule="auto"/>
        <w:jc w:val="center"/>
        <w:rPr>
          <w:sz w:val="20"/>
          <w:szCs w:val="20"/>
        </w:rPr>
      </w:pPr>
      <w:r w:rsidRPr="00EC0229">
        <w:rPr>
          <w:sz w:val="20"/>
          <w:szCs w:val="20"/>
        </w:rPr>
        <w:t>(Courtesy PAS</w:t>
      </w:r>
      <w:r w:rsidR="008960AE" w:rsidRPr="00EC0229">
        <w:rPr>
          <w:sz w:val="20"/>
          <w:szCs w:val="20"/>
        </w:rPr>
        <w:fldChar w:fldCharType="begin"/>
      </w:r>
      <w:r w:rsidR="008960AE" w:rsidRPr="00EC0229">
        <w:rPr>
          <w:sz w:val="20"/>
          <w:szCs w:val="20"/>
        </w:rPr>
        <w:instrText xml:space="preserve"> XE "PAS" </w:instrText>
      </w:r>
      <w:r w:rsidR="008960AE" w:rsidRPr="00EC0229">
        <w:rPr>
          <w:sz w:val="20"/>
          <w:szCs w:val="20"/>
        </w:rPr>
        <w:fldChar w:fldCharType="end"/>
      </w:r>
      <w:r w:rsidRPr="00EC0229">
        <w:rPr>
          <w:sz w:val="20"/>
          <w:szCs w:val="20"/>
        </w:rPr>
        <w:t>)</w:t>
      </w:r>
      <w:r w:rsidRPr="00EC0229">
        <w:rPr>
          <w:rStyle w:val="FootnoteReference"/>
          <w:sz w:val="20"/>
          <w:szCs w:val="20"/>
        </w:rPr>
        <w:footnoteReference w:id="1122"/>
      </w:r>
    </w:p>
    <w:p w14:paraId="3B1D1630" w14:textId="77777777" w:rsidR="00C531DD" w:rsidRPr="00EC0229" w:rsidRDefault="00C531DD" w:rsidP="007600EA">
      <w:pPr>
        <w:pStyle w:val="NoSpacing"/>
        <w:spacing w:line="360" w:lineRule="auto"/>
      </w:pPr>
    </w:p>
    <w:p w14:paraId="69E3227B" w14:textId="26098572" w:rsidR="00854613" w:rsidRPr="00EC0229" w:rsidRDefault="00854613" w:rsidP="007600EA">
      <w:pPr>
        <w:pStyle w:val="NoSpacing"/>
        <w:spacing w:line="360" w:lineRule="auto"/>
        <w:rPr>
          <w:b/>
        </w:rPr>
      </w:pPr>
      <w:r w:rsidRPr="00EC0229">
        <w:t>Bishop Burton, Kingston-upon-Hull and Roos</w:t>
      </w:r>
      <w:r w:rsidR="00D436D7" w:rsidRPr="00EC0229">
        <w:t xml:space="preserve"> have each</w:t>
      </w:r>
      <w:r w:rsidRPr="00EC0229">
        <w:t xml:space="preserve"> produced a single sceat of Eadberht</w:t>
      </w:r>
      <w:r w:rsidR="00D436D7" w:rsidRPr="00EC0229">
        <w:t>,</w:t>
      </w:r>
      <w:r w:rsidR="00D142DC" w:rsidRPr="00EC0229">
        <w:fldChar w:fldCharType="begin"/>
      </w:r>
      <w:r w:rsidR="00D142DC" w:rsidRPr="00EC0229">
        <w:instrText xml:space="preserve"> XE "Eadberht" </w:instrText>
      </w:r>
      <w:r w:rsidR="00D142DC" w:rsidRPr="00EC0229">
        <w:fldChar w:fldCharType="end"/>
      </w:r>
      <w:r w:rsidRPr="00EC0229">
        <w:t xml:space="preserve"> </w:t>
      </w:r>
      <w:r w:rsidR="00D436D7" w:rsidRPr="00EC0229">
        <w:t xml:space="preserve">[N6], </w:t>
      </w:r>
      <w:r w:rsidRPr="00EC0229">
        <w:t>and Cottingham a joint issue with Ecgberht</w:t>
      </w:r>
      <w:r w:rsidR="00D436D7" w:rsidRPr="00EC0229">
        <w:t>, [N7]</w:t>
      </w:r>
      <w:r w:rsidR="00D142DC" w:rsidRPr="00EC0229">
        <w:fldChar w:fldCharType="begin"/>
      </w:r>
      <w:r w:rsidR="00D142DC" w:rsidRPr="00EC0229">
        <w:instrText xml:space="preserve"> XE "Ecgberht" </w:instrText>
      </w:r>
      <w:r w:rsidR="00D142DC" w:rsidRPr="00EC0229">
        <w:fldChar w:fldCharType="end"/>
      </w:r>
      <w:r w:rsidRPr="00EC0229">
        <w:t>. Hornsea has yielded one of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w:t>
      </w:r>
      <w:r w:rsidR="00E1065A" w:rsidRPr="00EC0229">
        <w:t>, [N6]</w:t>
      </w:r>
      <w:r w:rsidRPr="00EC0229">
        <w:t>. The only Continental specimen is a primary Series</w:t>
      </w:r>
      <w:r w:rsidR="00D142DC" w:rsidRPr="00EC0229">
        <w:fldChar w:fldCharType="begin"/>
      </w:r>
      <w:r w:rsidR="00D142DC" w:rsidRPr="00EC0229">
        <w:instrText xml:space="preserve"> XE "Series" </w:instrText>
      </w:r>
      <w:r w:rsidR="00D142DC" w:rsidRPr="00EC0229">
        <w:fldChar w:fldCharType="end"/>
      </w:r>
      <w:r w:rsidRPr="00EC0229">
        <w:t xml:space="preserve"> E</w:t>
      </w:r>
      <w:r w:rsidR="00D436D7" w:rsidRPr="00EC0229">
        <w:t xml:space="preserve">, [4c], </w:t>
      </w:r>
      <w:r w:rsidR="008344F3" w:rsidRPr="00EC0229">
        <w:fldChar w:fldCharType="begin"/>
      </w:r>
      <w:r w:rsidR="008344F3" w:rsidRPr="00EC0229">
        <w:instrText xml:space="preserve"> XE "Series E" </w:instrText>
      </w:r>
      <w:r w:rsidR="008344F3" w:rsidRPr="00EC0229">
        <w:fldChar w:fldCharType="end"/>
      </w:r>
      <w:r w:rsidRPr="00EC0229">
        <w:t xml:space="preserve"> again from Bishop Burton.</w:t>
      </w:r>
    </w:p>
    <w:p w14:paraId="49AEAB70" w14:textId="77777777" w:rsidR="00854613" w:rsidRPr="00EC0229" w:rsidRDefault="00854613" w:rsidP="007600EA">
      <w:pPr>
        <w:pStyle w:val="NoSpacing"/>
        <w:spacing w:line="360" w:lineRule="auto"/>
        <w:jc w:val="center"/>
        <w:rPr>
          <w:szCs w:val="24"/>
        </w:rPr>
      </w:pPr>
      <w:r w:rsidRPr="00EC0229">
        <w:rPr>
          <w:noProof/>
          <w:szCs w:val="24"/>
          <w:lang w:eastAsia="en-GB"/>
        </w:rPr>
        <w:drawing>
          <wp:inline distT="0" distB="0" distL="0" distR="0" wp14:anchorId="36C72E63" wp14:editId="124B57CC">
            <wp:extent cx="640218" cy="760730"/>
            <wp:effectExtent l="0" t="0" r="7620" b="127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econfield 70 Y287.JPG"/>
                    <pic:cNvPicPr/>
                  </pic:nvPicPr>
                  <pic:blipFill>
                    <a:blip r:embed="rId472">
                      <a:extLst>
                        <a:ext uri="{28A0092B-C50C-407E-A947-70E740481C1C}">
                          <a14:useLocalDpi xmlns:a14="http://schemas.microsoft.com/office/drawing/2010/main" val="0"/>
                        </a:ext>
                      </a:extLst>
                    </a:blip>
                    <a:stretch>
                      <a:fillRect/>
                    </a:stretch>
                  </pic:blipFill>
                  <pic:spPr>
                    <a:xfrm>
                      <a:off x="0" y="0"/>
                      <a:ext cx="668118" cy="793882"/>
                    </a:xfrm>
                    <a:prstGeom prst="rect">
                      <a:avLst/>
                    </a:prstGeom>
                  </pic:spPr>
                </pic:pic>
              </a:graphicData>
            </a:graphic>
          </wp:inline>
        </w:drawing>
      </w:r>
      <w:r w:rsidRPr="00EC0229">
        <w:rPr>
          <w:noProof/>
          <w:szCs w:val="24"/>
          <w:lang w:eastAsia="en-GB"/>
        </w:rPr>
        <w:drawing>
          <wp:inline distT="0" distB="0" distL="0" distR="0" wp14:anchorId="6F73D9B0" wp14:editId="4A733810">
            <wp:extent cx="875256" cy="751691"/>
            <wp:effectExtent l="0" t="0" r="127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econfield 70 Y287R.JPG"/>
                    <pic:cNvPicPr/>
                  </pic:nvPicPr>
                  <pic:blipFill>
                    <a:blip r:embed="rId473">
                      <a:extLst>
                        <a:ext uri="{28A0092B-C50C-407E-A947-70E740481C1C}">
                          <a14:useLocalDpi xmlns:a14="http://schemas.microsoft.com/office/drawing/2010/main" val="0"/>
                        </a:ext>
                      </a:extLst>
                    </a:blip>
                    <a:stretch>
                      <a:fillRect/>
                    </a:stretch>
                  </pic:blipFill>
                  <pic:spPr>
                    <a:xfrm>
                      <a:off x="0" y="0"/>
                      <a:ext cx="892768" cy="766731"/>
                    </a:xfrm>
                    <a:prstGeom prst="rect">
                      <a:avLst/>
                    </a:prstGeom>
                  </pic:spPr>
                </pic:pic>
              </a:graphicData>
            </a:graphic>
          </wp:inline>
        </w:drawing>
      </w:r>
    </w:p>
    <w:p w14:paraId="4CF3D0F6" w14:textId="34EB1AA8" w:rsidR="00854613" w:rsidRPr="00EC0229" w:rsidRDefault="003977B6" w:rsidP="007600EA">
      <w:pPr>
        <w:spacing w:line="360" w:lineRule="auto"/>
        <w:jc w:val="center"/>
        <w:rPr>
          <w:sz w:val="20"/>
          <w:szCs w:val="20"/>
        </w:rPr>
      </w:pPr>
      <w:bookmarkStart w:id="812" w:name="_Ref430249264"/>
      <w:bookmarkStart w:id="813" w:name="_Toc468267121"/>
      <w:r w:rsidRPr="00EC0229">
        <w:rPr>
          <w:i/>
          <w:sz w:val="20"/>
          <w:szCs w:val="20"/>
        </w:rPr>
        <w:t>Figure</w:t>
      </w:r>
      <w:r w:rsidRPr="00EC0229">
        <w:rPr>
          <w:sz w:val="20"/>
          <w:szCs w:val="20"/>
        </w:rPr>
        <w:t xml:space="preserve"> </w:t>
      </w:r>
      <w:r w:rsidR="00DE1C04" w:rsidRPr="00EC0229">
        <w:rPr>
          <w:sz w:val="20"/>
          <w:szCs w:val="20"/>
        </w:rPr>
        <w:fldChar w:fldCharType="begin"/>
      </w:r>
      <w:r w:rsidR="00DE1C04" w:rsidRPr="00EC0229">
        <w:rPr>
          <w:sz w:val="20"/>
          <w:szCs w:val="20"/>
        </w:rPr>
        <w:instrText xml:space="preserve"> SEQ Figure \* ARABIC </w:instrText>
      </w:r>
      <w:r w:rsidR="00DE1C04" w:rsidRPr="00EC0229">
        <w:rPr>
          <w:sz w:val="20"/>
          <w:szCs w:val="20"/>
        </w:rPr>
        <w:fldChar w:fldCharType="separate"/>
      </w:r>
      <w:r w:rsidR="0012026B">
        <w:rPr>
          <w:noProof/>
          <w:sz w:val="20"/>
          <w:szCs w:val="20"/>
        </w:rPr>
        <w:t>149</w:t>
      </w:r>
      <w:r w:rsidR="00DE1C04" w:rsidRPr="00EC0229">
        <w:rPr>
          <w:noProof/>
          <w:sz w:val="20"/>
          <w:szCs w:val="20"/>
        </w:rPr>
        <w:fldChar w:fldCharType="end"/>
      </w:r>
      <w:bookmarkEnd w:id="812"/>
      <w:r w:rsidR="009E2FF9" w:rsidRPr="00EC0229">
        <w:rPr>
          <w:sz w:val="20"/>
          <w:szCs w:val="20"/>
        </w:rPr>
        <w:t xml:space="preserve">: </w:t>
      </w:r>
      <w:r w:rsidR="00854613" w:rsidRPr="00EC0229">
        <w:rPr>
          <w:sz w:val="20"/>
          <w:szCs w:val="20"/>
        </w:rPr>
        <w:t>Leconfield: sceat of Æthelred</w:t>
      </w:r>
      <w:r w:rsidR="00D142DC" w:rsidRPr="00EC0229">
        <w:rPr>
          <w:sz w:val="20"/>
          <w:szCs w:val="20"/>
        </w:rPr>
        <w:fldChar w:fldCharType="begin"/>
      </w:r>
      <w:r w:rsidR="00D142DC" w:rsidRPr="00EC0229">
        <w:rPr>
          <w:sz w:val="20"/>
          <w:szCs w:val="20"/>
        </w:rPr>
        <w:instrText xml:space="preserve"> XE "</w:instrText>
      </w:r>
      <w:r w:rsidR="00D142DC" w:rsidRPr="00EC0229">
        <w:rPr>
          <w:rFonts w:cs="Times New Roman"/>
          <w:sz w:val="20"/>
          <w:szCs w:val="20"/>
        </w:rPr>
        <w:instrText>Æ</w:instrText>
      </w:r>
      <w:r w:rsidR="00D142DC" w:rsidRPr="00EC0229">
        <w:rPr>
          <w:sz w:val="20"/>
          <w:szCs w:val="20"/>
        </w:rPr>
        <w:instrText xml:space="preserve">thelred" </w:instrText>
      </w:r>
      <w:r w:rsidR="00D142DC" w:rsidRPr="00EC0229">
        <w:rPr>
          <w:sz w:val="20"/>
          <w:szCs w:val="20"/>
        </w:rPr>
        <w:fldChar w:fldCharType="end"/>
      </w:r>
      <w:r w:rsidR="00854613" w:rsidRPr="00EC0229">
        <w:rPr>
          <w:sz w:val="20"/>
          <w:szCs w:val="20"/>
        </w:rPr>
        <w:t xml:space="preserve"> I by Ceolbald</w:t>
      </w:r>
      <w:bookmarkEnd w:id="813"/>
    </w:p>
    <w:p w14:paraId="65E8FC03" w14:textId="77777777" w:rsidR="00C531DD" w:rsidRPr="00EC0229" w:rsidRDefault="00C531DD" w:rsidP="007600EA">
      <w:pPr>
        <w:pStyle w:val="NoSpacing"/>
        <w:spacing w:line="360" w:lineRule="auto"/>
      </w:pPr>
    </w:p>
    <w:p w14:paraId="40A44F13" w14:textId="7871C1E5" w:rsidR="00854613" w:rsidRPr="00EC0229" w:rsidRDefault="00854613" w:rsidP="007600EA">
      <w:pPr>
        <w:pStyle w:val="NoSpacing"/>
        <w:spacing w:line="360" w:lineRule="auto"/>
      </w:pPr>
      <w:r w:rsidRPr="00EC0229">
        <w:rPr>
          <w:szCs w:val="24"/>
        </w:rPr>
        <w:t xml:space="preserve">The occurrence of the above sceat at Leconfield </w:t>
      </w:r>
      <w:r w:rsidR="009E2FF9" w:rsidRPr="00EC0229">
        <w:rPr>
          <w:rFonts w:eastAsia="Times New Roman" w:cs="Times New Roman"/>
          <w:iCs/>
          <w:szCs w:val="24"/>
          <w:lang w:eastAsia="en-GB"/>
        </w:rPr>
        <w:t>(</w:t>
      </w:r>
      <w:r w:rsidR="009E07B9" w:rsidRPr="00EC0229">
        <w:rPr>
          <w:rFonts w:eastAsia="Times New Roman" w:cs="Times New Roman"/>
          <w:iCs/>
          <w:szCs w:val="24"/>
          <w:lang w:eastAsia="en-GB"/>
        </w:rPr>
        <w:fldChar w:fldCharType="begin"/>
      </w:r>
      <w:r w:rsidR="009E07B9" w:rsidRPr="00EC0229">
        <w:rPr>
          <w:rFonts w:eastAsia="Times New Roman" w:cs="Times New Roman"/>
          <w:iCs/>
          <w:szCs w:val="24"/>
          <w:lang w:eastAsia="en-GB"/>
        </w:rPr>
        <w:instrText xml:space="preserve"> REF _Ref430249264 \h </w:instrText>
      </w:r>
      <w:r w:rsidR="00235629" w:rsidRPr="00EC0229">
        <w:rPr>
          <w:rFonts w:eastAsia="Times New Roman" w:cs="Times New Roman"/>
          <w:iCs/>
          <w:szCs w:val="24"/>
          <w:lang w:eastAsia="en-GB"/>
        </w:rPr>
        <w:instrText xml:space="preserve"> \* MERGEFORMAT </w:instrText>
      </w:r>
      <w:r w:rsidR="009E07B9" w:rsidRPr="00EC0229">
        <w:rPr>
          <w:rFonts w:eastAsia="Times New Roman" w:cs="Times New Roman"/>
          <w:iCs/>
          <w:szCs w:val="24"/>
          <w:lang w:eastAsia="en-GB"/>
        </w:rPr>
      </w:r>
      <w:r w:rsidR="009E07B9" w:rsidRPr="00EC0229">
        <w:rPr>
          <w:rFonts w:eastAsia="Times New Roman" w:cs="Times New Roman"/>
          <w:iCs/>
          <w:szCs w:val="24"/>
          <w:lang w:eastAsia="en-GB"/>
        </w:rPr>
        <w:fldChar w:fldCharType="separate"/>
      </w:r>
      <w:r w:rsidR="0012026B" w:rsidRPr="0012026B">
        <w:rPr>
          <w:i/>
        </w:rPr>
        <w:t>Figure</w:t>
      </w:r>
      <w:r w:rsidR="0012026B" w:rsidRPr="0012026B">
        <w:t xml:space="preserve"> </w:t>
      </w:r>
      <w:r w:rsidR="0012026B" w:rsidRPr="0012026B">
        <w:rPr>
          <w:noProof/>
        </w:rPr>
        <w:t>149</w:t>
      </w:r>
      <w:r w:rsidR="009E07B9" w:rsidRPr="00EC0229">
        <w:rPr>
          <w:rFonts w:eastAsia="Times New Roman" w:cs="Times New Roman"/>
          <w:iCs/>
          <w:szCs w:val="24"/>
          <w:lang w:eastAsia="en-GB"/>
        </w:rPr>
        <w:fldChar w:fldCharType="end"/>
      </w:r>
      <w:r w:rsidR="009E2FF9" w:rsidRPr="00EC0229">
        <w:rPr>
          <w:rFonts w:eastAsia="Times New Roman" w:cs="Times New Roman"/>
          <w:iCs/>
          <w:szCs w:val="24"/>
          <w:lang w:eastAsia="en-GB"/>
        </w:rPr>
        <w:t xml:space="preserve">) </w:t>
      </w:r>
      <w:r w:rsidRPr="00EC0229">
        <w:rPr>
          <w:szCs w:val="24"/>
        </w:rPr>
        <w:t>probably results from traffic on the Beverley</w:t>
      </w:r>
      <w:r w:rsidR="006B1593" w:rsidRPr="00EC0229">
        <w:rPr>
          <w:szCs w:val="24"/>
        </w:rPr>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rPr>
          <w:szCs w:val="24"/>
        </w:rPr>
        <w:fldChar w:fldCharType="end"/>
      </w:r>
      <w:r w:rsidRPr="00EC0229">
        <w:rPr>
          <w:szCs w:val="24"/>
        </w:rPr>
        <w:t>-Driffield</w:t>
      </w:r>
      <w:r w:rsidR="006B1593" w:rsidRPr="00EC0229">
        <w:rPr>
          <w:szCs w:val="24"/>
        </w:rPr>
        <w:fldChar w:fldCharType="begin"/>
      </w:r>
      <w:r w:rsidR="006B1593" w:rsidRPr="00EC0229">
        <w:instrText xml:space="preserve"> XE "</w:instrText>
      </w:r>
      <w:r w:rsidR="006B1593" w:rsidRPr="00EC0229">
        <w:rPr>
          <w:rStyle w:val="Hyperlink"/>
          <w:rFonts w:eastAsia="Times New Roman"/>
          <w:noProof/>
          <w:u w:val="none"/>
          <w:lang w:eastAsia="en-GB"/>
        </w:rPr>
        <w:instrText>Driffield</w:instrText>
      </w:r>
      <w:r w:rsidR="006B1593" w:rsidRPr="00EC0229">
        <w:instrText xml:space="preserve">" </w:instrText>
      </w:r>
      <w:r w:rsidR="006B1593" w:rsidRPr="00EC0229">
        <w:rPr>
          <w:szCs w:val="24"/>
        </w:rPr>
        <w:fldChar w:fldCharType="end"/>
      </w:r>
      <w:r w:rsidRPr="00EC0229">
        <w:rPr>
          <w:szCs w:val="24"/>
        </w:rPr>
        <w:t xml:space="preserve"> road, which presumably carried goods transported across the Humber at Ferriby. Leconfield also supplied two brass styca</w:t>
      </w:r>
      <w:r w:rsidR="00D436D7" w:rsidRPr="00EC0229">
        <w:rPr>
          <w:szCs w:val="24"/>
        </w:rPr>
        <w:t>s, [N10a],</w:t>
      </w:r>
      <w:r w:rsidRPr="00EC0229">
        <w:rPr>
          <w:szCs w:val="24"/>
        </w:rPr>
        <w:t xml:space="preserve"> and single specimens are recorded for Skerne</w:t>
      </w:r>
      <w:r w:rsidR="00C01657" w:rsidRPr="00EC0229">
        <w:rPr>
          <w:szCs w:val="24"/>
        </w:rPr>
        <w:t>,</w:t>
      </w:r>
      <w:r w:rsidRPr="00EC0229">
        <w:rPr>
          <w:szCs w:val="24"/>
        </w:rPr>
        <w:t xml:space="preserve"> Wansford,</w:t>
      </w:r>
      <w:r w:rsidRPr="00EC0229">
        <w:t xml:space="preserve"> Skidby and Hornsea.</w:t>
      </w:r>
    </w:p>
    <w:p w14:paraId="7A7A6058" w14:textId="20F159B2" w:rsidR="00854613" w:rsidRPr="00EC0229" w:rsidRDefault="00854613" w:rsidP="007600EA">
      <w:pPr>
        <w:pStyle w:val="NoSpacing"/>
        <w:spacing w:line="360" w:lineRule="auto"/>
      </w:pPr>
    </w:p>
    <w:p w14:paraId="1A6B5ABC" w14:textId="564D65CE" w:rsidR="00881B12" w:rsidRPr="00EC0229" w:rsidRDefault="00C97BF2" w:rsidP="007600EA">
      <w:pPr>
        <w:pStyle w:val="Heading3"/>
        <w:spacing w:line="360" w:lineRule="auto"/>
      </w:pPr>
      <w:bookmarkStart w:id="814" w:name="_Toc468266916"/>
      <w:r>
        <w:t>8.2.5.1</w:t>
      </w:r>
      <w:r>
        <w:tab/>
      </w:r>
      <w:r w:rsidR="00881B12" w:rsidRPr="00EC0229">
        <w:t>Comparison</w:t>
      </w:r>
      <w:r w:rsidR="002F0962" w:rsidRPr="00EC0229">
        <w:t>s</w:t>
      </w:r>
      <w:r w:rsidR="00881B12" w:rsidRPr="00EC0229">
        <w:t xml:space="preserve"> to </w:t>
      </w:r>
      <w:r w:rsidR="002F0962" w:rsidRPr="00EC0229">
        <w:t xml:space="preserve">Norm and </w:t>
      </w:r>
      <w:r w:rsidR="00881B12" w:rsidRPr="00EC0229">
        <w:t>Roman Finds</w:t>
      </w:r>
      <w:bookmarkEnd w:id="814"/>
    </w:p>
    <w:p w14:paraId="2759D99F" w14:textId="15E3EC92" w:rsidR="002F0962" w:rsidRPr="00EC0229" w:rsidRDefault="002F0962" w:rsidP="007600EA">
      <w:pPr>
        <w:pStyle w:val="NoSpacing"/>
        <w:spacing w:line="360" w:lineRule="auto"/>
      </w:pPr>
      <w:r w:rsidRPr="00EC0229">
        <w:rPr>
          <w:i/>
        </w:rPr>
        <w:t>Table</w:t>
      </w:r>
      <w:r w:rsidR="007E5995" w:rsidRPr="00EC0229">
        <w:rPr>
          <w:i/>
        </w:rPr>
        <w:t xml:space="preserve"> 8.2</w:t>
      </w:r>
      <w:r w:rsidR="003223CD" w:rsidRPr="00EC0229">
        <w:rPr>
          <w:i/>
        </w:rPr>
        <w:t>6</w:t>
      </w:r>
      <w:r w:rsidRPr="00EC0229">
        <w:t xml:space="preserve"> analyses the coin-rich sites of the area </w:t>
      </w:r>
      <w:r w:rsidRPr="00EC0229">
        <w:fldChar w:fldCharType="begin"/>
      </w:r>
      <w:r w:rsidRPr="00EC0229">
        <w:instrText xml:space="preserve"> XE "</w:instrText>
      </w:r>
      <w:r w:rsidRPr="00EC0229">
        <w:rPr>
          <w:rStyle w:val="Hyperlink"/>
          <w:rFonts w:cs="Times New Roman"/>
          <w:noProof/>
          <w:u w:val="none"/>
        </w:rPr>
        <w:instrText>Yorkshire Wolds</w:instrText>
      </w:r>
      <w:r w:rsidRPr="00EC0229">
        <w:instrText xml:space="preserve">" </w:instrText>
      </w:r>
      <w:r w:rsidRPr="00EC0229">
        <w:fldChar w:fldCharType="end"/>
      </w:r>
      <w:r w:rsidRPr="00EC0229">
        <w:t>by period and issuer.</w:t>
      </w:r>
    </w:p>
    <w:p w14:paraId="7CA9C4B0" w14:textId="77777777" w:rsidR="002F0962" w:rsidRPr="00EC0229" w:rsidRDefault="002F0962" w:rsidP="007600EA">
      <w:pPr>
        <w:pStyle w:val="NoSpacing"/>
        <w:spacing w:line="360" w:lineRule="auto"/>
      </w:pPr>
    </w:p>
    <w:p w14:paraId="660AD26F" w14:textId="1066DB37" w:rsidR="00881B12" w:rsidRDefault="00881B12" w:rsidP="007600EA">
      <w:pPr>
        <w:pStyle w:val="NoSpacing"/>
        <w:spacing w:line="360" w:lineRule="auto"/>
      </w:pPr>
      <w:r w:rsidRPr="00EC0229">
        <w:t>The comparably increased proportion of both coins and artefacts from the Roman to Anglian period are likely to be the consequence of better land usage and water management in the later period, probably reflecting the growing importance of Beverley.</w:t>
      </w:r>
    </w:p>
    <w:p w14:paraId="54F49283" w14:textId="64504A51" w:rsidR="00F929A6" w:rsidRPr="00EC0229" w:rsidRDefault="00F929A6" w:rsidP="007600EA">
      <w:pPr>
        <w:pStyle w:val="NoSpacing"/>
        <w:spacing w:line="360" w:lineRule="auto"/>
      </w:pPr>
      <w:r w:rsidRPr="00A07A08">
        <w:rPr>
          <w:i/>
        </w:rPr>
        <w:lastRenderedPageBreak/>
        <w:t>Graphs 7.0</w:t>
      </w:r>
      <w:r>
        <w:rPr>
          <w:i/>
        </w:rPr>
        <w:t>7</w:t>
      </w:r>
      <w:r w:rsidRPr="00A07A08">
        <w:rPr>
          <w:i/>
        </w:rPr>
        <w:t xml:space="preserve"> </w:t>
      </w:r>
      <w:r>
        <w:t>illustrate the chronological dispersal of finds at the main sites. North Ferriby show early activity</w:t>
      </w:r>
      <w:r w:rsidR="00E9134A">
        <w:t xml:space="preserve"> and Whitby shows good continuity, as does Beverley from the </w:t>
      </w:r>
      <w:proofErr w:type="spellStart"/>
      <w:r w:rsidR="00E9134A" w:rsidRPr="00E9134A">
        <w:rPr>
          <w:i/>
        </w:rPr>
        <w:t>renavtio</w:t>
      </w:r>
      <w:proofErr w:type="spellEnd"/>
      <w:r w:rsidR="00E9134A">
        <w:t xml:space="preserve"> onwards.</w:t>
      </w:r>
    </w:p>
    <w:p w14:paraId="048FE7E8" w14:textId="77777777" w:rsidR="00881B12" w:rsidRPr="00EC0229" w:rsidRDefault="00881B12" w:rsidP="007600EA">
      <w:pPr>
        <w:pStyle w:val="NoSpacing"/>
        <w:spacing w:line="360" w:lineRule="auto"/>
      </w:pPr>
    </w:p>
    <w:p w14:paraId="046D441A" w14:textId="2D5A68F1" w:rsidR="00884818" w:rsidRPr="00EC0229" w:rsidRDefault="00C97BF2" w:rsidP="007600EA">
      <w:pPr>
        <w:pStyle w:val="Heading3"/>
        <w:spacing w:line="360" w:lineRule="auto"/>
        <w:rPr>
          <w:b w:val="0"/>
        </w:rPr>
      </w:pPr>
      <w:bookmarkStart w:id="815" w:name="_Toc468266917"/>
      <w:r>
        <w:t xml:space="preserve">8.2.5.2 </w:t>
      </w:r>
      <w:r>
        <w:tab/>
      </w:r>
      <w:r w:rsidR="00854613" w:rsidRPr="00EC0229">
        <w:t>The Artefactual</w:t>
      </w:r>
      <w:r w:rsidR="006B1593" w:rsidRPr="00EC0229">
        <w:fldChar w:fldCharType="begin"/>
      </w:r>
      <w:r w:rsidR="006B1593" w:rsidRPr="00EC0229">
        <w:instrText xml:space="preserve"> XE "</w:instrText>
      </w:r>
      <w:r w:rsidR="006B1593" w:rsidRPr="00EC0229">
        <w:rPr>
          <w:rStyle w:val="Hyperlink"/>
          <w:noProof/>
          <w:u w:val="none"/>
        </w:rPr>
        <w:instrText>Artefactual</w:instrText>
      </w:r>
      <w:r w:rsidR="006B1593" w:rsidRPr="00EC0229">
        <w:instrText xml:space="preserve">" </w:instrText>
      </w:r>
      <w:r w:rsidR="006B1593" w:rsidRPr="00EC0229">
        <w:fldChar w:fldCharType="end"/>
      </w:r>
      <w:r w:rsidR="00854613" w:rsidRPr="00EC0229">
        <w:t xml:space="preserve"> </w:t>
      </w:r>
      <w:r w:rsidR="00497AC3" w:rsidRPr="00EC0229">
        <w:t>Data</w:t>
      </w:r>
      <w:r w:rsidR="00854613" w:rsidRPr="00EC0229">
        <w:t>se</w:t>
      </w:r>
      <w:r w:rsidR="00497AC3" w:rsidRPr="00EC0229">
        <w:t>t</w:t>
      </w:r>
      <w:bookmarkEnd w:id="815"/>
      <w:r w:rsidR="008757D8" w:rsidRPr="00EC0229">
        <w:rPr>
          <w:b w:val="0"/>
        </w:rPr>
        <w:t xml:space="preserve"> </w:t>
      </w:r>
    </w:p>
    <w:p w14:paraId="77FFED13" w14:textId="67935741" w:rsidR="00854613" w:rsidRPr="00EC0229" w:rsidRDefault="00854613" w:rsidP="00F929A6">
      <w:pPr>
        <w:spacing w:line="360" w:lineRule="auto"/>
      </w:pP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7E5995" w:rsidRPr="00EC0229">
        <w:rPr>
          <w:i/>
        </w:rPr>
        <w:t xml:space="preserve"> 8.2</w:t>
      </w:r>
      <w:r w:rsidR="003223CD" w:rsidRPr="00EC0229">
        <w:rPr>
          <w:i/>
        </w:rPr>
        <w:t>7</w:t>
      </w:r>
      <w:r w:rsidRPr="00EC0229">
        <w:rPr>
          <w:i/>
        </w:rPr>
        <w:t xml:space="preserve"> </w:t>
      </w:r>
      <w:r w:rsidRPr="00EC0229">
        <w:t>combines analyses of the 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 xml:space="preserve"> area, Holderness</w:t>
      </w:r>
      <w:r w:rsidR="006B1593" w:rsidRPr="00EC0229">
        <w:fldChar w:fldCharType="begin"/>
      </w:r>
      <w:r w:rsidR="006B1593" w:rsidRPr="00EC0229">
        <w:instrText xml:space="preserve"> XE "</w:instrText>
      </w:r>
      <w:r w:rsidR="006B1593" w:rsidRPr="00EC0229">
        <w:rPr>
          <w:rStyle w:val="Hyperlink"/>
          <w:noProof/>
          <w:u w:val="none"/>
        </w:rPr>
        <w:instrText>Holderness</w:instrText>
      </w:r>
      <w:r w:rsidR="006B1593" w:rsidRPr="00EC0229">
        <w:instrText xml:space="preserve">" </w:instrText>
      </w:r>
      <w:r w:rsidR="006B1593" w:rsidRPr="00EC0229">
        <w:fldChar w:fldCharType="end"/>
      </w:r>
      <w:r w:rsidRPr="00EC0229">
        <w:t xml:space="preserve"> and a scatter of northern and </w:t>
      </w:r>
      <w:r w:rsidR="00FD5326" w:rsidRPr="00EC0229">
        <w:t>north-</w:t>
      </w:r>
      <w:r w:rsidRPr="00EC0229">
        <w:t>western locations,</w:t>
      </w:r>
      <w:r w:rsidR="00F929A6" w:rsidRPr="00F929A6">
        <w:t xml:space="preserve"> </w:t>
      </w:r>
      <w:r w:rsidR="00F929A6" w:rsidRPr="00EC0229">
        <w:rPr>
          <w:i/>
        </w:rPr>
        <w:t>Map 8.18</w:t>
      </w:r>
      <w:r w:rsidR="00F929A6">
        <w:t>. H</w:t>
      </w:r>
      <w:r w:rsidRPr="00EC0229">
        <w:t>owever, where dissimilar</w:t>
      </w:r>
      <w:r w:rsidR="00FD5326" w:rsidRPr="00EC0229">
        <w:t>,</w:t>
      </w:r>
      <w:r w:rsidRPr="00EC0229">
        <w:t xml:space="preserve"> these regions must be assessed separately.</w:t>
      </w:r>
    </w:p>
    <w:p w14:paraId="3036D974" w14:textId="77777777" w:rsidR="00854613" w:rsidRPr="00EC0229" w:rsidRDefault="00854613" w:rsidP="007600EA">
      <w:pPr>
        <w:pStyle w:val="NoSpacing"/>
        <w:spacing w:line="360" w:lineRule="auto"/>
      </w:pPr>
    </w:p>
    <w:p w14:paraId="4341122E" w14:textId="017CDFDC" w:rsidR="00854613" w:rsidRPr="00EC0229" w:rsidRDefault="00854613" w:rsidP="007600EA">
      <w:pPr>
        <w:pStyle w:val="NoSpacing"/>
        <w:spacing w:line="360" w:lineRule="auto"/>
      </w:pPr>
      <w:r w:rsidRPr="00EC0229">
        <w:t>Nine locations in the vicinity of 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 xml:space="preserve"> have divulged fifty-four objects, but the assemblage is dominate</w:t>
      </w:r>
      <w:r w:rsidR="00C01746" w:rsidRPr="00EC0229">
        <w:t>d</w:t>
      </w:r>
      <w:r w:rsidRPr="00EC0229">
        <w:t xml:space="preserve"> by B</w:t>
      </w:r>
      <w:r w:rsidR="0034647B" w:rsidRPr="00EC0229">
        <w:t>everley (Lurk Lane, twenty</w:t>
      </w:r>
      <w:r w:rsidRPr="00EC0229">
        <w:t xml:space="preserve"> artefacts) and Bishop Burton</w:t>
      </w:r>
      <w:r w:rsidR="0034647B" w:rsidRPr="00EC0229">
        <w:t xml:space="preserve"> (nineteen artefacts</w:t>
      </w:r>
      <w:r w:rsidRPr="00EC0229">
        <w:t>)</w:t>
      </w:r>
      <w:r w:rsidR="00364C88" w:rsidRPr="00EC0229">
        <w:t xml:space="preserve">, </w:t>
      </w:r>
      <w:r w:rsidR="00E40C11" w:rsidRPr="00E40C11">
        <w:rPr>
          <w:i/>
        </w:rPr>
        <w:t>Data</w:t>
      </w:r>
      <w:r w:rsidR="00364C88" w:rsidRPr="00E40C11">
        <w:rPr>
          <w:i/>
        </w:rPr>
        <w:t>s</w:t>
      </w:r>
      <w:r w:rsidR="00E40C11" w:rsidRPr="00E40C11">
        <w:rPr>
          <w:i/>
        </w:rPr>
        <w:t>et</w:t>
      </w:r>
      <w:r w:rsidR="00364C88" w:rsidRPr="00EC0229">
        <w:rPr>
          <w:i/>
        </w:rPr>
        <w:t xml:space="preserve"> </w:t>
      </w:r>
      <w:r w:rsidR="00E40C11">
        <w:rPr>
          <w:i/>
        </w:rPr>
        <w:t>6.06</w:t>
      </w:r>
      <w:r w:rsidR="00746B7C" w:rsidRPr="00EC0229">
        <w:rPr>
          <w:i/>
        </w:rPr>
        <w:t xml:space="preserve"> </w:t>
      </w:r>
      <w:r w:rsidR="00E40C11">
        <w:rPr>
          <w:i/>
        </w:rPr>
        <w:t xml:space="preserve">and </w:t>
      </w:r>
      <w:r w:rsidR="00E40C11" w:rsidRPr="00EC0229">
        <w:rPr>
          <w:i/>
        </w:rPr>
        <w:t>Table</w:t>
      </w:r>
      <w:r w:rsidR="00364C88" w:rsidRPr="00EC0229">
        <w:rPr>
          <w:i/>
        </w:rPr>
        <w:t xml:space="preserve"> </w:t>
      </w:r>
      <w:r w:rsidR="00746B7C" w:rsidRPr="00EC0229">
        <w:rPr>
          <w:i/>
        </w:rPr>
        <w:t>8.2</w:t>
      </w:r>
      <w:r w:rsidR="00364C88" w:rsidRPr="00EC0229">
        <w:rPr>
          <w:i/>
        </w:rPr>
        <w:t>7</w:t>
      </w:r>
      <w:r w:rsidRPr="00EC0229">
        <w:t>. Five of these locations have produced forty-two coins, though thirty-five of these are from Beverley. As with the entire East Yorkshire extract from PAS</w:t>
      </w:r>
      <w:r w:rsidR="008960AE" w:rsidRPr="00EC0229">
        <w:fldChar w:fldCharType="begin"/>
      </w:r>
      <w:r w:rsidR="008960AE" w:rsidRPr="00EC0229">
        <w:instrText xml:space="preserve"> XE "PAS" </w:instrText>
      </w:r>
      <w:r w:rsidR="008960AE" w:rsidRPr="00EC0229">
        <w:fldChar w:fldCharType="end"/>
      </w:r>
      <w:r w:rsidRPr="00EC0229">
        <w:t>, the artefact types are dominated by items of personal dress (70.3%), including ten brooches, which are more popular than pins, and a near absence of production artefacts.</w:t>
      </w:r>
    </w:p>
    <w:p w14:paraId="32633CCA" w14:textId="77777777" w:rsidR="00854613" w:rsidRPr="00EC0229" w:rsidRDefault="00854613" w:rsidP="007600EA">
      <w:pPr>
        <w:pStyle w:val="NoSpacing"/>
        <w:spacing w:line="360" w:lineRule="auto"/>
        <w:rPr>
          <w:szCs w:val="24"/>
        </w:rPr>
      </w:pPr>
    </w:p>
    <w:p w14:paraId="241FCF33" w14:textId="49C426B7" w:rsidR="00854613" w:rsidRPr="00EC0229" w:rsidRDefault="00854613" w:rsidP="007600EA">
      <w:pPr>
        <w:pStyle w:val="NoSpacing"/>
        <w:spacing w:line="360" w:lineRule="auto"/>
      </w:pPr>
      <w:r w:rsidRPr="00EC0229">
        <w:rPr>
          <w:szCs w:val="24"/>
        </w:rPr>
        <w:t>There</w:t>
      </w:r>
      <w:r w:rsidR="00992AE4" w:rsidRPr="00EC0229">
        <w:rPr>
          <w:szCs w:val="24"/>
        </w:rPr>
        <w:t xml:space="preserve"> are sixteen other sites in </w:t>
      </w:r>
      <w:r w:rsidRPr="00EC0229">
        <w:t>Holderness</w:t>
      </w:r>
      <w:r w:rsidR="006B1593" w:rsidRPr="00EC0229">
        <w:fldChar w:fldCharType="begin"/>
      </w:r>
      <w:r w:rsidR="006B1593" w:rsidRPr="00EC0229">
        <w:instrText xml:space="preserve"> XE "</w:instrText>
      </w:r>
      <w:r w:rsidR="006B1593" w:rsidRPr="00EC0229">
        <w:rPr>
          <w:rStyle w:val="Hyperlink"/>
          <w:noProof/>
          <w:u w:val="none"/>
        </w:rPr>
        <w:instrText>Holderness</w:instrText>
      </w:r>
      <w:r w:rsidR="006B1593" w:rsidRPr="00EC0229">
        <w:instrText xml:space="preserve">" </w:instrText>
      </w:r>
      <w:r w:rsidR="006B1593" w:rsidRPr="00EC0229">
        <w:fldChar w:fldCharType="end"/>
      </w:r>
      <w:r w:rsidRPr="00EC0229">
        <w:t>, from which forty-nine objects are recorded: sixteen are from Paull (including five buckles) and thirteen are brooches, again much favoured over pins in this region. Aldbrough, near the coast in Holderness, has produced a fragment of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sheet with filigree decoration – classified as metal working debris. However, the numismatic evidence at these locations is scant - only two of these sites have produced coins - just a single sceat of Eadberht</w:t>
      </w:r>
      <w:r w:rsidR="00D142DC" w:rsidRPr="00EC0229">
        <w:fldChar w:fldCharType="begin"/>
      </w:r>
      <w:r w:rsidR="00D142DC" w:rsidRPr="00EC0229">
        <w:instrText xml:space="preserve"> XE "Eadberht" </w:instrText>
      </w:r>
      <w:r w:rsidR="00D142DC" w:rsidRPr="00EC0229">
        <w:fldChar w:fldCharType="end"/>
      </w:r>
      <w:r w:rsidRPr="00EC0229">
        <w:t xml:space="preserve"> at Roos and a styca from Aldbrough. There are three more non-artefact coin findspots, including Flinton, which produced a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xml:space="preserve"> shilling. In looking at the artefactual fingerprint a</w:t>
      </w:r>
      <w:r w:rsidR="00BD4128" w:rsidRPr="00EC0229">
        <w:t xml:space="preserve">nd associations with coins, </w:t>
      </w:r>
      <w:r w:rsidRPr="00EC0229">
        <w:t>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 xml:space="preserve"> and Holderness may be analysed together.</w:t>
      </w:r>
    </w:p>
    <w:p w14:paraId="735CABBE" w14:textId="77777777" w:rsidR="00854613" w:rsidRPr="00EC0229" w:rsidRDefault="00854613" w:rsidP="007600EA">
      <w:pPr>
        <w:pStyle w:val="NoSpacing"/>
        <w:spacing w:line="360" w:lineRule="auto"/>
      </w:pPr>
    </w:p>
    <w:p w14:paraId="45359E85" w14:textId="24720D43" w:rsidR="00854613" w:rsidRPr="00EC0229" w:rsidRDefault="0034647B" w:rsidP="007600EA">
      <w:pPr>
        <w:pStyle w:val="NoSpacing"/>
        <w:spacing w:line="360" w:lineRule="auto"/>
        <w:rPr>
          <w:i/>
        </w:rPr>
      </w:pPr>
      <w:r w:rsidRPr="00EC0229">
        <w:rPr>
          <w:i/>
          <w:szCs w:val="24"/>
        </w:rPr>
        <w:t>Table</w:t>
      </w:r>
      <w:r w:rsidR="00584C42" w:rsidRPr="00EC0229">
        <w:rPr>
          <w:i/>
          <w:szCs w:val="24"/>
        </w:rPr>
        <w:fldChar w:fldCharType="begin"/>
      </w:r>
      <w:r w:rsidR="00584C42" w:rsidRPr="00EC0229">
        <w:instrText xml:space="preserve"> XE "</w:instrText>
      </w:r>
      <w:r w:rsidR="00584C42" w:rsidRPr="00EC0229">
        <w:rPr>
          <w:rStyle w:val="Hyperlink"/>
          <w:noProof/>
          <w:u w:val="none"/>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7E5995" w:rsidRPr="00EC0229">
        <w:rPr>
          <w:i/>
          <w:szCs w:val="24"/>
        </w:rPr>
        <w:t>8.2</w:t>
      </w:r>
      <w:r w:rsidR="003223CD" w:rsidRPr="00EC0229">
        <w:rPr>
          <w:i/>
          <w:szCs w:val="24"/>
        </w:rPr>
        <w:t>7</w:t>
      </w:r>
      <w:r w:rsidR="00854613" w:rsidRPr="00EC0229">
        <w:rPr>
          <w:i/>
          <w:szCs w:val="24"/>
        </w:rPr>
        <w:t xml:space="preserve"> </w:t>
      </w:r>
      <w:r w:rsidR="00854613" w:rsidRPr="00EC0229">
        <w:rPr>
          <w:szCs w:val="24"/>
        </w:rPr>
        <w:t>summarizes</w:t>
      </w:r>
      <w:r w:rsidR="00854613" w:rsidRPr="00EC0229">
        <w:rPr>
          <w:rFonts w:eastAsia="Times New Roman" w:cs="Times New Roman"/>
          <w:bCs/>
          <w:i/>
          <w:color w:val="000000"/>
          <w:szCs w:val="24"/>
          <w:lang w:eastAsia="en-GB"/>
        </w:rPr>
        <w:t xml:space="preserve"> </w:t>
      </w:r>
      <w:r w:rsidR="00854613" w:rsidRPr="00EC0229">
        <w:rPr>
          <w:szCs w:val="24"/>
        </w:rPr>
        <w:t xml:space="preserve">the artefactual findings for </w:t>
      </w:r>
      <w:r w:rsidR="00854613" w:rsidRPr="00EC0229">
        <w:rPr>
          <w:rFonts w:eastAsia="Times New Roman" w:cs="Times New Roman"/>
          <w:bCs/>
          <w:color w:val="000000"/>
          <w:szCs w:val="24"/>
          <w:lang w:eastAsia="en-GB"/>
        </w:rPr>
        <w:t>Beverley</w:t>
      </w:r>
      <w:r w:rsidR="006B1593" w:rsidRPr="00EC0229">
        <w:rPr>
          <w:rFonts w:eastAsia="Times New Roman" w:cs="Times New Roman"/>
          <w:bCs/>
          <w:color w:val="000000"/>
          <w:szCs w:val="24"/>
          <w:lang w:eastAsia="en-GB"/>
        </w:rPr>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rPr>
          <w:rFonts w:eastAsia="Times New Roman" w:cs="Times New Roman"/>
          <w:bCs/>
          <w:color w:val="000000"/>
          <w:szCs w:val="24"/>
          <w:lang w:eastAsia="en-GB"/>
        </w:rPr>
        <w:fldChar w:fldCharType="end"/>
      </w:r>
      <w:r w:rsidR="00854613" w:rsidRPr="00EC0229">
        <w:rPr>
          <w:rFonts w:eastAsia="Times New Roman" w:cs="Times New Roman"/>
          <w:bCs/>
          <w:color w:val="000000"/>
          <w:szCs w:val="24"/>
          <w:lang w:eastAsia="en-GB"/>
        </w:rPr>
        <w:t>, Holderness</w:t>
      </w:r>
      <w:r w:rsidR="006B1593" w:rsidRPr="00EC0229">
        <w:rPr>
          <w:rFonts w:eastAsia="Times New Roman" w:cs="Times New Roman"/>
          <w:bCs/>
          <w:color w:val="000000"/>
          <w:szCs w:val="24"/>
          <w:lang w:eastAsia="en-GB"/>
        </w:rPr>
        <w:fldChar w:fldCharType="begin"/>
      </w:r>
      <w:r w:rsidR="006B1593" w:rsidRPr="00EC0229">
        <w:instrText xml:space="preserve"> XE "</w:instrText>
      </w:r>
      <w:r w:rsidR="006B1593" w:rsidRPr="00EC0229">
        <w:rPr>
          <w:rStyle w:val="Hyperlink"/>
          <w:noProof/>
          <w:u w:val="none"/>
        </w:rPr>
        <w:instrText>Holderness</w:instrText>
      </w:r>
      <w:r w:rsidR="006B1593" w:rsidRPr="00EC0229">
        <w:instrText xml:space="preserve">" </w:instrText>
      </w:r>
      <w:r w:rsidR="006B1593" w:rsidRPr="00EC0229">
        <w:rPr>
          <w:rFonts w:eastAsia="Times New Roman" w:cs="Times New Roman"/>
          <w:bCs/>
          <w:color w:val="000000"/>
          <w:szCs w:val="24"/>
          <w:lang w:eastAsia="en-GB"/>
        </w:rPr>
        <w:fldChar w:fldCharType="end"/>
      </w:r>
      <w:r w:rsidR="00854613" w:rsidRPr="00EC0229">
        <w:rPr>
          <w:rFonts w:eastAsia="Times New Roman" w:cs="Times New Roman"/>
          <w:bCs/>
          <w:color w:val="000000"/>
          <w:szCs w:val="24"/>
          <w:lang w:eastAsia="en-GB"/>
        </w:rPr>
        <w:t xml:space="preserve"> and other peripheral sites</w:t>
      </w:r>
      <w:r w:rsidR="00854613" w:rsidRPr="00EC0229">
        <w:rPr>
          <w:szCs w:val="24"/>
        </w:rPr>
        <w:t xml:space="preserve">. </w:t>
      </w:r>
      <w:r w:rsidR="00854613" w:rsidRPr="00EC0229">
        <w:rPr>
          <w:color w:val="000000" w:themeColor="text1"/>
        </w:rPr>
        <w:t xml:space="preserve">While the Beverley area, with a </w:t>
      </w:r>
      <w:r w:rsidR="00854613" w:rsidRPr="00EC0229">
        <w:rPr>
          <w:i/>
          <w:color w:val="000000" w:themeColor="text1"/>
        </w:rPr>
        <w:t>CoM</w:t>
      </w:r>
      <w:r w:rsidR="00854613" w:rsidRPr="00EC0229">
        <w:rPr>
          <w:color w:val="000000" w:themeColor="text1"/>
        </w:rPr>
        <w:t xml:space="preserve"> of 67%, is reasonably </w:t>
      </w:r>
      <w:r w:rsidR="003F2041" w:rsidRPr="00EC0229">
        <w:rPr>
          <w:color w:val="000000" w:themeColor="text1"/>
        </w:rPr>
        <w:t>monetiz</w:t>
      </w:r>
      <w:r w:rsidR="00854613" w:rsidRPr="00EC0229">
        <w:rPr>
          <w:color w:val="000000" w:themeColor="text1"/>
        </w:rPr>
        <w:t>e</w:t>
      </w:r>
      <w:r w:rsidR="00992AE4" w:rsidRPr="00EC0229">
        <w:rPr>
          <w:color w:val="000000" w:themeColor="text1"/>
        </w:rPr>
        <w:t xml:space="preserve">d, this is not the case for </w:t>
      </w:r>
      <w:r w:rsidR="00854613" w:rsidRPr="00EC0229">
        <w:rPr>
          <w:color w:val="000000" w:themeColor="text1"/>
        </w:rPr>
        <w:t xml:space="preserve">Holderness, which may well have been commercially remote. </w:t>
      </w:r>
    </w:p>
    <w:p w14:paraId="350F2FF4" w14:textId="77777777" w:rsidR="00854613" w:rsidRPr="00EC0229" w:rsidRDefault="00854613" w:rsidP="007600EA">
      <w:pPr>
        <w:pStyle w:val="NoSpacing"/>
        <w:spacing w:line="360" w:lineRule="auto"/>
      </w:pPr>
    </w:p>
    <w:p w14:paraId="22AF831A" w14:textId="082FB0C2" w:rsidR="00854613" w:rsidRPr="00EC0229" w:rsidRDefault="00854613" w:rsidP="007600EA">
      <w:pPr>
        <w:pStyle w:val="NoSpacing"/>
        <w:spacing w:line="360" w:lineRule="auto"/>
        <w:rPr>
          <w:szCs w:val="24"/>
        </w:rPr>
      </w:pPr>
      <w:r w:rsidRPr="00EC0229">
        <w:rPr>
          <w:szCs w:val="24"/>
        </w:rPr>
        <w:t>The dominance of dress accessories</w:t>
      </w:r>
      <w:r w:rsidR="008960AE" w:rsidRPr="00EC0229">
        <w:rPr>
          <w:szCs w:val="24"/>
        </w:rPr>
        <w:fldChar w:fldCharType="begin"/>
      </w:r>
      <w:r w:rsidR="008960AE" w:rsidRPr="00EC0229">
        <w:instrText xml:space="preserve"> XE "dress accessories" </w:instrText>
      </w:r>
      <w:r w:rsidR="008960AE" w:rsidRPr="00EC0229">
        <w:rPr>
          <w:szCs w:val="24"/>
        </w:rPr>
        <w:fldChar w:fldCharType="end"/>
      </w:r>
      <w:r w:rsidRPr="00EC0229">
        <w:rPr>
          <w:szCs w:val="24"/>
        </w:rPr>
        <w:t xml:space="preserve"> in the artefactual assemblage exceed the norm as shown in</w:t>
      </w:r>
      <w:r w:rsidRPr="00EC0229">
        <w:rPr>
          <w:i/>
          <w:szCs w:val="24"/>
        </w:rPr>
        <w:t xml:space="preserve"> Table</w:t>
      </w:r>
      <w:r w:rsidR="00364C88" w:rsidRPr="00EC0229">
        <w:rPr>
          <w:i/>
          <w:szCs w:val="24"/>
        </w:rPr>
        <w:t>s</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003223CD" w:rsidRPr="00EC0229">
        <w:rPr>
          <w:i/>
          <w:szCs w:val="24"/>
        </w:rPr>
        <w:t xml:space="preserve"> 8.28</w:t>
      </w:r>
      <w:r w:rsidRPr="00EC0229">
        <w:rPr>
          <w:i/>
          <w:szCs w:val="24"/>
        </w:rPr>
        <w:t xml:space="preserve"> </w:t>
      </w:r>
      <w:r w:rsidR="00862F15" w:rsidRPr="00EC0229">
        <w:rPr>
          <w:szCs w:val="24"/>
        </w:rPr>
        <w:t>and</w:t>
      </w:r>
      <w:r w:rsidR="00367541" w:rsidRPr="00EC0229">
        <w:rPr>
          <w:szCs w:val="24"/>
        </w:rPr>
        <w:t xml:space="preserve"> </w:t>
      </w:r>
      <w:r w:rsidR="007E5995" w:rsidRPr="00EC0229">
        <w:rPr>
          <w:i/>
          <w:szCs w:val="24"/>
        </w:rPr>
        <w:t>8.2</w:t>
      </w:r>
      <w:r w:rsidR="003223CD" w:rsidRPr="00EC0229">
        <w:rPr>
          <w:i/>
          <w:szCs w:val="24"/>
        </w:rPr>
        <w:t>9</w:t>
      </w:r>
      <w:r w:rsidRPr="00EC0229">
        <w:rPr>
          <w:szCs w:val="24"/>
        </w:rPr>
        <w:t>.</w:t>
      </w:r>
      <w:r w:rsidRPr="00EC0229">
        <w:rPr>
          <w:i/>
          <w:szCs w:val="24"/>
        </w:rPr>
        <w:t xml:space="preserve"> </w:t>
      </w:r>
      <w:r w:rsidRPr="00EC0229">
        <w:rPr>
          <w:szCs w:val="24"/>
        </w:rPr>
        <w:t xml:space="preserve"> In Beverley</w:t>
      </w:r>
      <w:r w:rsidR="006B1593" w:rsidRPr="00EC0229">
        <w:rPr>
          <w:szCs w:val="24"/>
        </w:rPr>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rPr>
          <w:szCs w:val="24"/>
        </w:rPr>
        <w:fldChar w:fldCharType="end"/>
      </w:r>
      <w:r w:rsidRPr="00EC0229">
        <w:rPr>
          <w:szCs w:val="24"/>
        </w:rPr>
        <w:t xml:space="preserve"> and Holderness</w:t>
      </w:r>
      <w:r w:rsidR="006B1593" w:rsidRPr="00EC0229">
        <w:rPr>
          <w:szCs w:val="24"/>
        </w:rPr>
        <w:fldChar w:fldCharType="begin"/>
      </w:r>
      <w:r w:rsidR="006B1593" w:rsidRPr="00EC0229">
        <w:instrText xml:space="preserve"> XE "</w:instrText>
      </w:r>
      <w:r w:rsidR="006B1593" w:rsidRPr="00EC0229">
        <w:rPr>
          <w:rStyle w:val="Hyperlink"/>
          <w:noProof/>
          <w:u w:val="none"/>
        </w:rPr>
        <w:instrText>Holderness</w:instrText>
      </w:r>
      <w:r w:rsidR="006B1593" w:rsidRPr="00EC0229">
        <w:instrText xml:space="preserve">" </w:instrText>
      </w:r>
      <w:r w:rsidR="006B1593" w:rsidRPr="00EC0229">
        <w:rPr>
          <w:szCs w:val="24"/>
        </w:rPr>
        <w:fldChar w:fldCharType="end"/>
      </w:r>
      <w:r w:rsidRPr="00EC0229">
        <w:rPr>
          <w:szCs w:val="24"/>
        </w:rPr>
        <w:t>, but more so in the northern regions, br</w:t>
      </w:r>
      <w:r w:rsidR="00C01657" w:rsidRPr="00EC0229">
        <w:rPr>
          <w:szCs w:val="24"/>
        </w:rPr>
        <w:t>ooches are favoured over pins. O</w:t>
      </w:r>
      <w:r w:rsidRPr="00EC0229">
        <w:rPr>
          <w:szCs w:val="24"/>
        </w:rPr>
        <w:t>n the west</w:t>
      </w:r>
      <w:r w:rsidR="00C01657" w:rsidRPr="00EC0229">
        <w:rPr>
          <w:szCs w:val="24"/>
        </w:rPr>
        <w:t xml:space="preserve"> coast</w:t>
      </w:r>
      <w:r w:rsidRPr="00EC0229">
        <w:rPr>
          <w:szCs w:val="24"/>
        </w:rPr>
        <w:t>, Meols strongly favours pins.</w:t>
      </w:r>
    </w:p>
    <w:p w14:paraId="42453FA8" w14:textId="77777777" w:rsidR="00854613" w:rsidRPr="00EC0229" w:rsidRDefault="00854613" w:rsidP="007600EA">
      <w:pPr>
        <w:pStyle w:val="NoSpacing"/>
        <w:spacing w:line="360" w:lineRule="auto"/>
        <w:rPr>
          <w:sz w:val="20"/>
          <w:szCs w:val="20"/>
        </w:rPr>
      </w:pPr>
    </w:p>
    <w:p w14:paraId="75A7E73F" w14:textId="02A0DB2C" w:rsidR="00854613" w:rsidRPr="00EC0229" w:rsidRDefault="00854613" w:rsidP="007600EA">
      <w:pPr>
        <w:pStyle w:val="NoSpacing"/>
        <w:spacing w:line="360" w:lineRule="auto"/>
        <w:rPr>
          <w:szCs w:val="24"/>
        </w:rPr>
      </w:pPr>
      <w:r w:rsidRPr="00EC0229">
        <w:rPr>
          <w:i/>
          <w:szCs w:val="24"/>
        </w:rPr>
        <w:lastRenderedPageBreak/>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7E5995" w:rsidRPr="00EC0229">
        <w:rPr>
          <w:rStyle w:val="Hyperlink"/>
          <w:i/>
          <w:color w:val="000000" w:themeColor="text1"/>
          <w:szCs w:val="24"/>
          <w:u w:val="none"/>
        </w:rPr>
        <w:t>8</w:t>
      </w:r>
      <w:r w:rsidR="003223CD" w:rsidRPr="00EC0229">
        <w:rPr>
          <w:rStyle w:val="Hyperlink"/>
          <w:i/>
          <w:color w:val="000000" w:themeColor="text1"/>
          <w:szCs w:val="24"/>
          <w:u w:val="none"/>
        </w:rPr>
        <w:t>.31</w:t>
      </w:r>
      <w:r w:rsidRPr="00EC0229">
        <w:rPr>
          <w:i/>
          <w:color w:val="000000" w:themeColor="text1"/>
          <w:szCs w:val="24"/>
        </w:rPr>
        <w:t xml:space="preserve"> </w:t>
      </w:r>
      <w:r w:rsidRPr="00EC0229">
        <w:rPr>
          <w:color w:val="000000" w:themeColor="text1"/>
          <w:szCs w:val="24"/>
        </w:rPr>
        <w:t>shows that both sceatta</w:t>
      </w:r>
      <w:r w:rsidR="00D142DC" w:rsidRPr="00EC0229">
        <w:rPr>
          <w:color w:val="000000" w:themeColor="text1"/>
          <w:szCs w:val="24"/>
        </w:rPr>
        <w:fldChar w:fldCharType="begin"/>
      </w:r>
      <w:r w:rsidR="00D142DC" w:rsidRPr="00EC0229">
        <w:rPr>
          <w:color w:val="000000" w:themeColor="text1"/>
        </w:rPr>
        <w:instrText xml:space="preserve"> XE "sceatta" </w:instrText>
      </w:r>
      <w:r w:rsidR="00D142DC" w:rsidRPr="00EC0229">
        <w:rPr>
          <w:color w:val="000000" w:themeColor="text1"/>
          <w:szCs w:val="24"/>
        </w:rPr>
        <w:fldChar w:fldCharType="end"/>
      </w:r>
      <w:r w:rsidRPr="00EC0229">
        <w:rPr>
          <w:color w:val="000000" w:themeColor="text1"/>
          <w:szCs w:val="24"/>
        </w:rPr>
        <w:t xml:space="preserve"> and styca coinage circulated in Beverley</w:t>
      </w:r>
      <w:r w:rsidR="006B1593" w:rsidRPr="00EC0229">
        <w:rPr>
          <w:color w:val="000000" w:themeColor="text1"/>
          <w:szCs w:val="24"/>
        </w:rPr>
        <w:fldChar w:fldCharType="begin"/>
      </w:r>
      <w:r w:rsidR="006B1593" w:rsidRPr="00EC0229">
        <w:rPr>
          <w:color w:val="000000" w:themeColor="text1"/>
        </w:rPr>
        <w:instrText xml:space="preserve"> XE "</w:instrText>
      </w:r>
      <w:r w:rsidR="006B1593" w:rsidRPr="00EC0229">
        <w:rPr>
          <w:rStyle w:val="Hyperlink"/>
          <w:noProof/>
          <w:color w:val="000000" w:themeColor="text1"/>
          <w:u w:val="none"/>
        </w:rPr>
        <w:instrText>Beverley</w:instrText>
      </w:r>
      <w:r w:rsidR="006B1593" w:rsidRPr="00EC0229">
        <w:rPr>
          <w:color w:val="000000" w:themeColor="text1"/>
        </w:rPr>
        <w:instrText xml:space="preserve">" </w:instrText>
      </w:r>
      <w:r w:rsidR="006B1593" w:rsidRPr="00EC0229">
        <w:rPr>
          <w:color w:val="000000" w:themeColor="text1"/>
          <w:szCs w:val="24"/>
        </w:rPr>
        <w:fldChar w:fldCharType="end"/>
      </w:r>
      <w:r w:rsidRPr="00EC0229">
        <w:rPr>
          <w:color w:val="000000" w:themeColor="text1"/>
          <w:szCs w:val="24"/>
        </w:rPr>
        <w:t xml:space="preserve"> and Holderness</w:t>
      </w:r>
      <w:r w:rsidR="006B1593" w:rsidRPr="00EC0229">
        <w:rPr>
          <w:color w:val="000000" w:themeColor="text1"/>
          <w:szCs w:val="24"/>
        </w:rPr>
        <w:fldChar w:fldCharType="begin"/>
      </w:r>
      <w:r w:rsidR="006B1593" w:rsidRPr="00EC0229">
        <w:rPr>
          <w:color w:val="000000" w:themeColor="text1"/>
        </w:rPr>
        <w:instrText xml:space="preserve"> XE "</w:instrText>
      </w:r>
      <w:r w:rsidR="006B1593" w:rsidRPr="00EC0229">
        <w:rPr>
          <w:rStyle w:val="Hyperlink"/>
          <w:noProof/>
          <w:color w:val="000000" w:themeColor="text1"/>
          <w:u w:val="none"/>
        </w:rPr>
        <w:instrText>Holderness</w:instrText>
      </w:r>
      <w:r w:rsidR="006B1593" w:rsidRPr="00EC0229">
        <w:rPr>
          <w:color w:val="000000" w:themeColor="text1"/>
        </w:rPr>
        <w:instrText xml:space="preserve">" </w:instrText>
      </w:r>
      <w:r w:rsidR="006B1593" w:rsidRPr="00EC0229">
        <w:rPr>
          <w:color w:val="000000" w:themeColor="text1"/>
          <w:szCs w:val="24"/>
        </w:rPr>
        <w:fldChar w:fldCharType="end"/>
      </w:r>
      <w:r w:rsidRPr="00EC0229">
        <w:rPr>
          <w:color w:val="000000" w:themeColor="text1"/>
          <w:szCs w:val="24"/>
        </w:rPr>
        <w:t xml:space="preserve"> with artefacts. Though there are few finds and sites in Beverley and Holderness, the semblance of a pattern arises in </w:t>
      </w:r>
      <w:r w:rsidRPr="00EC0229">
        <w:rPr>
          <w:i/>
          <w:color w:val="000000" w:themeColor="text1"/>
          <w:szCs w:val="24"/>
        </w:rPr>
        <w:t xml:space="preserve">Table </w:t>
      </w:r>
      <w:r w:rsidR="00367541" w:rsidRPr="00EC0229">
        <w:rPr>
          <w:rStyle w:val="Hyperlink"/>
          <w:i/>
          <w:color w:val="000000" w:themeColor="text1"/>
          <w:szCs w:val="24"/>
          <w:u w:val="none"/>
        </w:rPr>
        <w:t>8</w:t>
      </w:r>
      <w:r w:rsidR="003223CD" w:rsidRPr="00EC0229">
        <w:rPr>
          <w:rStyle w:val="Hyperlink"/>
          <w:i/>
          <w:color w:val="000000" w:themeColor="text1"/>
          <w:szCs w:val="24"/>
          <w:u w:val="none"/>
        </w:rPr>
        <w:t>.3</w:t>
      </w:r>
      <w:r w:rsidR="00E1090A" w:rsidRPr="00EC0229">
        <w:rPr>
          <w:rStyle w:val="Hyperlink"/>
          <w:i/>
          <w:color w:val="000000" w:themeColor="text1"/>
          <w:szCs w:val="24"/>
          <w:u w:val="none"/>
        </w:rPr>
        <w:t>2</w:t>
      </w:r>
      <w:r w:rsidRPr="00EC0229">
        <w:rPr>
          <w:i/>
          <w:color w:val="000000" w:themeColor="text1"/>
          <w:szCs w:val="24"/>
        </w:rPr>
        <w:t xml:space="preserve"> </w:t>
      </w:r>
      <w:r w:rsidR="009A0572" w:rsidRPr="00EC0229">
        <w:rPr>
          <w:color w:val="000000" w:themeColor="text1"/>
          <w:szCs w:val="24"/>
        </w:rPr>
        <w:t>marginally</w:t>
      </w:r>
      <w:r w:rsidR="00B96295" w:rsidRPr="00EC0229">
        <w:rPr>
          <w:color w:val="000000" w:themeColor="text1"/>
          <w:szCs w:val="24"/>
        </w:rPr>
        <w:t>, perhaps unexpectedly,</w:t>
      </w:r>
      <w:r w:rsidR="009A0572" w:rsidRPr="00EC0229">
        <w:rPr>
          <w:color w:val="000000" w:themeColor="text1"/>
          <w:szCs w:val="24"/>
        </w:rPr>
        <w:t xml:space="preserve"> favouring </w:t>
      </w:r>
      <w:r w:rsidR="009A0572" w:rsidRPr="00EC0229">
        <w:rPr>
          <w:szCs w:val="24"/>
        </w:rPr>
        <w:t>continuity over</w:t>
      </w:r>
      <w:r w:rsidRPr="00EC0229">
        <w:rPr>
          <w:szCs w:val="24"/>
        </w:rPr>
        <w:t xml:space="preserve"> site migration.</w:t>
      </w:r>
    </w:p>
    <w:p w14:paraId="731555DD" w14:textId="77777777" w:rsidR="00854613" w:rsidRPr="00EC0229" w:rsidRDefault="00854613" w:rsidP="007600EA">
      <w:pPr>
        <w:pStyle w:val="NoSpacing"/>
        <w:spacing w:line="360" w:lineRule="auto"/>
      </w:pPr>
    </w:p>
    <w:p w14:paraId="148BEDBC" w14:textId="0892F2A5" w:rsidR="00854613" w:rsidRPr="00EC0229" w:rsidRDefault="00C97BF2" w:rsidP="007600EA">
      <w:pPr>
        <w:pStyle w:val="Heading3"/>
        <w:spacing w:line="360" w:lineRule="auto"/>
      </w:pPr>
      <w:bookmarkStart w:id="816" w:name="_Toc468266918"/>
      <w:r>
        <w:t>8.2.5</w:t>
      </w:r>
      <w:r w:rsidR="002979EC">
        <w:t>.3</w:t>
      </w:r>
      <w:r>
        <w:tab/>
      </w:r>
      <w:r w:rsidR="00854613" w:rsidRPr="00EC0229">
        <w:t>Conclusion</w:t>
      </w:r>
      <w:bookmarkEnd w:id="816"/>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p>
    <w:p w14:paraId="572BEEE2" w14:textId="3FAEDB01" w:rsidR="00854613" w:rsidRPr="00EC0229" w:rsidRDefault="00854613" w:rsidP="007600EA">
      <w:pPr>
        <w:pStyle w:val="NoSpacing"/>
        <w:spacing w:line="360" w:lineRule="auto"/>
        <w:rPr>
          <w:szCs w:val="24"/>
        </w:rPr>
      </w:pPr>
      <w:r w:rsidRPr="00EC0229">
        <w:t>In comparison to sites in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Beverley</w:t>
      </w:r>
      <w:r w:rsidR="006B1593" w:rsidRPr="00EC0229">
        <w:fldChar w:fldCharType="begin"/>
      </w:r>
      <w:r w:rsidR="006B1593" w:rsidRPr="00EC0229">
        <w:instrText xml:space="preserve"> XE "</w:instrText>
      </w:r>
      <w:r w:rsidR="006B1593" w:rsidRPr="00EC0229">
        <w:rPr>
          <w:rStyle w:val="Hyperlink"/>
          <w:noProof/>
          <w:u w:val="none"/>
        </w:rPr>
        <w:instrText>Beverley</w:instrText>
      </w:r>
      <w:r w:rsidR="006B1593" w:rsidRPr="00EC0229">
        <w:instrText xml:space="preserve">" </w:instrText>
      </w:r>
      <w:r w:rsidR="006B1593" w:rsidRPr="00EC0229">
        <w:fldChar w:fldCharType="end"/>
      </w:r>
      <w:r w:rsidRPr="00EC0229">
        <w:t xml:space="preserve"> starts late but does not suffer cessation of urban trading and manufacture on arrival of the </w:t>
      </w:r>
      <w:r w:rsidRPr="00EC0229">
        <w:rPr>
          <w:i/>
        </w:rPr>
        <w:t>micel here</w:t>
      </w:r>
      <w:r w:rsidR="008960AE" w:rsidRPr="00EC0229">
        <w:rPr>
          <w:i/>
        </w:rPr>
        <w:fldChar w:fldCharType="begin"/>
      </w:r>
      <w:r w:rsidR="008960AE" w:rsidRPr="00EC0229">
        <w:instrText xml:space="preserve"> XE "</w:instrText>
      </w:r>
      <w:r w:rsidR="008960AE" w:rsidRPr="00EC0229">
        <w:rPr>
          <w:rFonts w:cs="Times New Roman"/>
          <w:i/>
          <w:color w:val="000000" w:themeColor="text1"/>
          <w:szCs w:val="24"/>
        </w:rPr>
        <w:instrText>micel here</w:instrText>
      </w:r>
      <w:r w:rsidR="008960AE" w:rsidRPr="00EC0229">
        <w:instrText xml:space="preserve">" </w:instrText>
      </w:r>
      <w:r w:rsidR="008960AE" w:rsidRPr="00EC0229">
        <w:rPr>
          <w:i/>
        </w:rPr>
        <w:fldChar w:fldCharType="end"/>
      </w:r>
      <w:r w:rsidRPr="00EC0229">
        <w:rPr>
          <w:i/>
        </w:rPr>
        <w:t>.</w:t>
      </w:r>
      <w:r w:rsidRPr="00EC0229">
        <w:t xml:space="preserve"> Presumably, this resilience is </w:t>
      </w:r>
      <w:r w:rsidR="00C53700" w:rsidRPr="00EC0229">
        <w:t>due to its attractions as an Anglo-Scandinavian settlement</w:t>
      </w:r>
      <w:r w:rsidR="00C53700" w:rsidRPr="00EC0229">
        <w:rPr>
          <w:szCs w:val="24"/>
        </w:rPr>
        <w:t>.</w:t>
      </w:r>
    </w:p>
    <w:p w14:paraId="4B7826AC" w14:textId="77777777" w:rsidR="00854613" w:rsidRPr="00EC0229" w:rsidRDefault="00854613" w:rsidP="007600EA">
      <w:pPr>
        <w:pStyle w:val="NoSpacing"/>
        <w:spacing w:line="360" w:lineRule="auto"/>
        <w:rPr>
          <w:szCs w:val="24"/>
        </w:rPr>
      </w:pPr>
    </w:p>
    <w:p w14:paraId="5B7074C4" w14:textId="4950834D" w:rsidR="00697BBB" w:rsidRPr="00EC0229" w:rsidRDefault="00854613" w:rsidP="007600EA">
      <w:pPr>
        <w:pStyle w:val="NoSpacing"/>
        <w:spacing w:line="360" w:lineRule="auto"/>
        <w:rPr>
          <w:szCs w:val="24"/>
        </w:rPr>
      </w:pPr>
      <w:r w:rsidRPr="00EC0229">
        <w:rPr>
          <w:szCs w:val="24"/>
        </w:rPr>
        <w:t>Coin and artefact discoveries in coastal Holderness</w:t>
      </w:r>
      <w:r w:rsidR="006B1593" w:rsidRPr="00EC0229">
        <w:rPr>
          <w:szCs w:val="24"/>
        </w:rPr>
        <w:fldChar w:fldCharType="begin"/>
      </w:r>
      <w:r w:rsidR="006B1593" w:rsidRPr="00EC0229">
        <w:instrText xml:space="preserve"> XE "</w:instrText>
      </w:r>
      <w:r w:rsidR="006B1593" w:rsidRPr="00EC0229">
        <w:rPr>
          <w:rStyle w:val="Hyperlink"/>
          <w:noProof/>
          <w:u w:val="none"/>
        </w:rPr>
        <w:instrText>Holderness</w:instrText>
      </w:r>
      <w:r w:rsidR="006B1593" w:rsidRPr="00EC0229">
        <w:instrText xml:space="preserve">" </w:instrText>
      </w:r>
      <w:r w:rsidR="006B1593" w:rsidRPr="00EC0229">
        <w:rPr>
          <w:szCs w:val="24"/>
        </w:rPr>
        <w:fldChar w:fldCharType="end"/>
      </w:r>
      <w:r w:rsidRPr="00EC0229">
        <w:rPr>
          <w:szCs w:val="24"/>
        </w:rPr>
        <w:t xml:space="preserve"> are less prolific than in the </w:t>
      </w:r>
      <w:r w:rsidR="00C7553E" w:rsidRPr="00EC0229">
        <w:rPr>
          <w:szCs w:val="24"/>
        </w:rPr>
        <w:t>Central Lowlands</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or the Yorkshire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Yorkshire Wolds</w:instrText>
      </w:r>
      <w:r w:rsidR="006B1593" w:rsidRPr="00EC0229">
        <w:instrText xml:space="preserve">" </w:instrText>
      </w:r>
      <w:r w:rsidR="006B1593" w:rsidRPr="00EC0229">
        <w:rPr>
          <w:szCs w:val="24"/>
        </w:rPr>
        <w:fldChar w:fldCharType="end"/>
      </w:r>
      <w:r w:rsidRPr="00EC0229">
        <w:rPr>
          <w:szCs w:val="24"/>
        </w:rPr>
        <w:t xml:space="preserve"> but still present a picture of widespread use of coins in associati</w:t>
      </w:r>
      <w:r w:rsidR="00C44B02">
        <w:rPr>
          <w:szCs w:val="24"/>
        </w:rPr>
        <w:t xml:space="preserve">on with artefacts in the eighth and ninth </w:t>
      </w:r>
      <w:r w:rsidRPr="00EC0229">
        <w:rPr>
          <w:szCs w:val="24"/>
        </w:rPr>
        <w:t xml:space="preserve">centuries. </w:t>
      </w:r>
    </w:p>
    <w:p w14:paraId="043C6CB5" w14:textId="2CB3445D" w:rsidR="00697BBB" w:rsidRPr="00EC0229" w:rsidRDefault="00697BBB" w:rsidP="007600EA">
      <w:pPr>
        <w:spacing w:line="360" w:lineRule="auto"/>
        <w:rPr>
          <w:szCs w:val="24"/>
        </w:rPr>
      </w:pPr>
    </w:p>
    <w:p w14:paraId="6368F501" w14:textId="77777777" w:rsidR="00F91183" w:rsidRDefault="00F91183">
      <w:pPr>
        <w:spacing w:line="259" w:lineRule="auto"/>
        <w:jc w:val="left"/>
        <w:rPr>
          <w:b/>
          <w:sz w:val="28"/>
          <w:szCs w:val="26"/>
        </w:rPr>
      </w:pPr>
      <w:bookmarkStart w:id="817" w:name="Chapter15"/>
      <w:bookmarkStart w:id="818" w:name="TheValeofPickering"/>
      <w:bookmarkEnd w:id="817"/>
      <w:bookmarkEnd w:id="818"/>
      <w:r>
        <w:br w:type="page"/>
      </w:r>
    </w:p>
    <w:p w14:paraId="1D2305A4" w14:textId="7E148E08" w:rsidR="00697BBB" w:rsidRPr="00EC0229" w:rsidRDefault="00736C9E" w:rsidP="007600EA">
      <w:pPr>
        <w:pStyle w:val="Heading2"/>
        <w:spacing w:line="360" w:lineRule="auto"/>
      </w:pPr>
      <w:bookmarkStart w:id="819" w:name="_Toc468266919"/>
      <w:r>
        <w:lastRenderedPageBreak/>
        <w:t>8.2.6</w:t>
      </w:r>
      <w:r>
        <w:tab/>
      </w:r>
      <w:r w:rsidR="00697BBB" w:rsidRPr="00EC0229">
        <w:t>The Vale of Pickering</w:t>
      </w:r>
      <w:bookmarkEnd w:id="819"/>
      <w:r w:rsidR="006B1593" w:rsidRPr="00EC0229">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fldChar w:fldCharType="end"/>
      </w:r>
    </w:p>
    <w:p w14:paraId="639C2CA8" w14:textId="77777777" w:rsidR="00697BBB" w:rsidRPr="00EC0229" w:rsidRDefault="00697BBB" w:rsidP="007600EA">
      <w:pPr>
        <w:pStyle w:val="NoSpacing"/>
        <w:spacing w:line="360" w:lineRule="auto"/>
        <w:jc w:val="right"/>
        <w:rPr>
          <w:sz w:val="20"/>
          <w:szCs w:val="20"/>
        </w:rPr>
      </w:pPr>
      <w:r w:rsidRPr="00EC0229">
        <w:rPr>
          <w:sz w:val="20"/>
          <w:szCs w:val="20"/>
        </w:rPr>
        <w:t>‘Worcester cathedral, for example, accumulated great quantities of land in the eighth century, thanks to royal and aristocratic grants…but this sort of landed hegemony does not translate into any identifiable concentrations of material wealth on the ground.’ Chris Wickham (2005) 814.</w:t>
      </w:r>
    </w:p>
    <w:p w14:paraId="796A1F31" w14:textId="77777777" w:rsidR="00697BBB" w:rsidRPr="00EC0229" w:rsidRDefault="00697BBB" w:rsidP="007600EA">
      <w:pPr>
        <w:pStyle w:val="NoSpacing"/>
        <w:spacing w:line="360" w:lineRule="auto"/>
      </w:pPr>
    </w:p>
    <w:p w14:paraId="773B85CC" w14:textId="25F8A4A6" w:rsidR="00697BBB" w:rsidRPr="00EC0229" w:rsidRDefault="00697BBB" w:rsidP="007600EA">
      <w:pPr>
        <w:pStyle w:val="NoSpacing"/>
        <w:spacing w:line="360" w:lineRule="auto"/>
      </w:pPr>
      <w:r w:rsidRPr="00EC0229">
        <w:t>The Vale of Pickering</w:t>
      </w:r>
      <w:r w:rsidR="006B1593" w:rsidRPr="00EC0229">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fldChar w:fldCharType="end"/>
      </w:r>
      <w:r w:rsidRPr="00EC0229">
        <w:t xml:space="preserve"> is the catchment area of the River Derwent, enclosed by the Yorkshire Moors and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with the Howardian Hills to the west. The southern Roman</w:t>
      </w:r>
      <w:r w:rsidR="00D142DC" w:rsidRPr="00EC0229">
        <w:fldChar w:fldCharType="begin"/>
      </w:r>
      <w:r w:rsidR="00D142DC" w:rsidRPr="00EC0229">
        <w:instrText xml:space="preserve"> XE "Roman" </w:instrText>
      </w:r>
      <w:r w:rsidR="00D142DC" w:rsidRPr="00EC0229">
        <w:fldChar w:fldCharType="end"/>
      </w:r>
      <w:r w:rsidR="00727C51" w:rsidRPr="00EC0229">
        <w:t xml:space="preserve"> r</w:t>
      </w:r>
      <w:r w:rsidRPr="00EC0229">
        <w:t>oad from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through the Derwent Gap to Malton</w:t>
      </w:r>
      <w:r w:rsidR="006B1593" w:rsidRPr="00EC0229">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fldChar w:fldCharType="end"/>
      </w:r>
      <w:r w:rsidRPr="00EC0229">
        <w:t>, skirts the Wolds to meet the coast at Filey. A northern route running from Ripon</w:t>
      </w:r>
      <w:r w:rsidR="006B1593" w:rsidRPr="00EC0229">
        <w:fldChar w:fldCharType="begin"/>
      </w:r>
      <w:r w:rsidR="006B1593" w:rsidRPr="00EC0229">
        <w:instrText xml:space="preserve"> XE "</w:instrText>
      </w:r>
      <w:r w:rsidR="006B1593" w:rsidRPr="00EC0229">
        <w:rPr>
          <w:rStyle w:val="Hyperlink"/>
          <w:noProof/>
          <w:u w:val="none"/>
        </w:rPr>
        <w:instrText>Ripon</w:instrText>
      </w:r>
      <w:r w:rsidR="006B1593" w:rsidRPr="00EC0229">
        <w:instrText xml:space="preserve">" </w:instrText>
      </w:r>
      <w:r w:rsidR="006B1593" w:rsidRPr="00EC0229">
        <w:fldChar w:fldCharType="end"/>
      </w:r>
      <w:r w:rsidRPr="00EC0229">
        <w:t xml:space="preserve"> through Thirsk and Pickering reaches the coast at Scarborough. Open pastures support intensive arable production in this former glacial lake. There are diverse areas of undulating land, but woodland is largely absent. The coastal belt is a </w:t>
      </w:r>
      <w:r w:rsidR="00076744" w:rsidRPr="00EC0229">
        <w:t>hillier</w:t>
      </w:r>
      <w:r w:rsidRPr="00EC0229">
        <w:t xml:space="preserve"> landscape</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landscape</w:instrText>
      </w:r>
      <w:r w:rsidR="00584C42" w:rsidRPr="00EC0229">
        <w:instrText xml:space="preserve">" </w:instrText>
      </w:r>
      <w:r w:rsidR="00584C42" w:rsidRPr="00EC0229">
        <w:fldChar w:fldCharType="end"/>
      </w:r>
      <w:r w:rsidRPr="00EC0229">
        <w:t xml:space="preserve"> with glacial features.</w:t>
      </w:r>
    </w:p>
    <w:p w14:paraId="4188CBA2" w14:textId="77777777" w:rsidR="00697BBB" w:rsidRPr="00EC0229" w:rsidRDefault="00697BBB" w:rsidP="007600EA">
      <w:pPr>
        <w:pStyle w:val="NoSpacing"/>
        <w:spacing w:line="360" w:lineRule="auto"/>
      </w:pPr>
    </w:p>
    <w:p w14:paraId="37F8EEAD" w14:textId="57BFFE59" w:rsidR="00697BBB" w:rsidRPr="00EC0229" w:rsidRDefault="00697BBB" w:rsidP="007600EA">
      <w:pPr>
        <w:pStyle w:val="NoSpacing"/>
        <w:spacing w:line="360" w:lineRule="auto"/>
      </w:pPr>
      <w:r w:rsidRPr="00EC0229">
        <w:t xml:space="preserve">In the </w:t>
      </w:r>
      <w:r w:rsidR="00C503A6" w:rsidRPr="00EC0229">
        <w:t>south (</w:t>
      </w:r>
      <w:r w:rsidR="00C503A6" w:rsidRPr="00EC0229">
        <w:fldChar w:fldCharType="begin"/>
      </w:r>
      <w:r w:rsidR="00C503A6" w:rsidRPr="00EC0229">
        <w:instrText xml:space="preserve"> PAGEREF Southtrack \h </w:instrText>
      </w:r>
      <w:r w:rsidR="00C503A6" w:rsidRPr="00EC0229">
        <w:fldChar w:fldCharType="separate"/>
      </w:r>
      <w:r w:rsidR="0012026B">
        <w:rPr>
          <w:noProof/>
        </w:rPr>
        <w:t>268</w:t>
      </w:r>
      <w:r w:rsidR="00C503A6" w:rsidRPr="00EC0229">
        <w:fldChar w:fldCharType="end"/>
      </w:r>
      <w:r w:rsidR="00C503A6" w:rsidRPr="00EC0229">
        <w:t xml:space="preserve">) and </w:t>
      </w:r>
      <w:r w:rsidRPr="00EC0229">
        <w:t xml:space="preserve">north </w:t>
      </w:r>
      <w:r w:rsidR="00214819" w:rsidRPr="00EC0229">
        <w:t>(</w:t>
      </w:r>
      <w:r w:rsidR="00E91B37" w:rsidRPr="00EC0229">
        <w:fldChar w:fldCharType="begin"/>
      </w:r>
      <w:r w:rsidR="00E91B37" w:rsidRPr="00EC0229">
        <w:instrText xml:space="preserve"> PAGEREF Northtrack \h </w:instrText>
      </w:r>
      <w:r w:rsidR="00E91B37" w:rsidRPr="00EC0229">
        <w:fldChar w:fldCharType="separate"/>
      </w:r>
      <w:r w:rsidR="0012026B">
        <w:rPr>
          <w:noProof/>
        </w:rPr>
        <w:t>273</w:t>
      </w:r>
      <w:r w:rsidR="00E91B37" w:rsidRPr="00EC0229">
        <w:fldChar w:fldCharType="end"/>
      </w:r>
      <w:r w:rsidR="00214819" w:rsidRPr="00EC0229">
        <w:t xml:space="preserve">) </w:t>
      </w:r>
      <w:r w:rsidRPr="00EC0229">
        <w:t>margins, starting from the spring-line near the lakeshore, ‘elongated parishes’,</w:t>
      </w:r>
      <w:r w:rsidRPr="00EC0229">
        <w:rPr>
          <w:rStyle w:val="FootnoteReference"/>
        </w:rPr>
        <w:footnoteReference w:id="1123"/>
      </w:r>
      <w:r w:rsidR="00C503A6" w:rsidRPr="00EC0229">
        <w:t xml:space="preserve"> </w:t>
      </w:r>
      <w:r w:rsidRPr="00EC0229">
        <w:rPr>
          <w:i/>
        </w:rPr>
        <w:t>Map</w:t>
      </w:r>
      <w:r w:rsidR="00584C42" w:rsidRPr="00EC0229">
        <w:rPr>
          <w:i/>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rPr>
        <w:fldChar w:fldCharType="end"/>
      </w:r>
      <w:r w:rsidRPr="00EC0229">
        <w:rPr>
          <w:i/>
        </w:rPr>
        <w:t xml:space="preserve"> </w:t>
      </w:r>
      <w:r w:rsidR="004048E5" w:rsidRPr="00EC0229">
        <w:rPr>
          <w:i/>
        </w:rPr>
        <w:t>8.19</w:t>
      </w:r>
      <w:r w:rsidRPr="00EC0229">
        <w:t>, run to higher ground, taking in the spectrum of soil types and elevations – ‘river frontage, marshland, arable, water, upland grazing’</w:t>
      </w:r>
      <w:r w:rsidRPr="00EC0229">
        <w:rPr>
          <w:rStyle w:val="FootnoteReference"/>
        </w:rPr>
        <w:footnoteReference w:id="1124"/>
      </w:r>
      <w:r w:rsidRPr="00EC0229">
        <w:t xml:space="preserve"> implying transhumance and self-sufficiency.</w:t>
      </w:r>
    </w:p>
    <w:p w14:paraId="63E9411B" w14:textId="77777777" w:rsidR="00697BBB" w:rsidRPr="00EC0229" w:rsidRDefault="00697BBB" w:rsidP="007600EA">
      <w:pPr>
        <w:pStyle w:val="NoSpacing"/>
        <w:spacing w:line="360" w:lineRule="auto"/>
      </w:pPr>
    </w:p>
    <w:p w14:paraId="067395FC" w14:textId="5CA4B550" w:rsidR="00697BBB" w:rsidRPr="00EC0229" w:rsidRDefault="00697BBB" w:rsidP="007600EA">
      <w:pPr>
        <w:pStyle w:val="NoSpacing"/>
        <w:spacing w:line="360" w:lineRule="auto"/>
      </w:pPr>
      <w:r w:rsidRPr="00EC0229">
        <w:t xml:space="preserve">Finds of Iron Age </w:t>
      </w:r>
      <w:r w:rsidR="004B2D2B" w:rsidRPr="00EC0229">
        <w:t>loom-weights</w:t>
      </w:r>
      <w:r w:rsidR="00F204A1" w:rsidRPr="00EC0229">
        <w:fldChar w:fldCharType="begin"/>
      </w:r>
      <w:r w:rsidR="00F204A1" w:rsidRPr="00EC0229">
        <w:instrText xml:space="preserve"> XE "</w:instrText>
      </w:r>
      <w:r w:rsidR="00F204A1" w:rsidRPr="00EC0229">
        <w:rPr>
          <w:rStyle w:val="Hyperlink"/>
          <w:noProof/>
          <w:u w:val="none"/>
        </w:rPr>
        <w:instrText>weights</w:instrText>
      </w:r>
      <w:r w:rsidR="00F204A1" w:rsidRPr="00EC0229">
        <w:instrText xml:space="preserve">" </w:instrText>
      </w:r>
      <w:r w:rsidR="00F204A1" w:rsidRPr="00EC0229">
        <w:fldChar w:fldCharType="end"/>
      </w:r>
      <w:r w:rsidR="006B58AC" w:rsidRPr="00EC0229">
        <w:t xml:space="preserve"> and weaving combs</w:t>
      </w:r>
      <w:r w:rsidRPr="00EC0229">
        <w:t>, show that wool production was the foundation of a strong local economy</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fldChar w:fldCharType="end"/>
      </w:r>
      <w:r w:rsidRPr="00EC0229">
        <w:t>. Ladder settlements followed the main trackways and it would have been straightforward for the Romans to exercise control from their forts at Malton</w:t>
      </w:r>
      <w:r w:rsidR="006B1593" w:rsidRPr="00EC0229">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fldChar w:fldCharType="end"/>
      </w:r>
      <w:r w:rsidRPr="00EC0229">
        <w:t xml:space="preserve"> and Scarborough, with minimal disruption. They introduced manufactured products and pottery kilns at Knapton, Norton and Crambeck. Coinage</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Coinage</w:instrText>
      </w:r>
      <w:r w:rsidR="00584C42" w:rsidRPr="00EC0229">
        <w:instrText xml:space="preserve">" </w:instrText>
      </w:r>
      <w:r w:rsidR="00584C42" w:rsidRPr="00EC0229">
        <w:fldChar w:fldCharType="end"/>
      </w:r>
      <w:r w:rsidRPr="00EC0229">
        <w:t>, and an improved plough, wo</w:t>
      </w:r>
      <w:r w:rsidR="006B58AC" w:rsidRPr="00EC0229">
        <w:t>uld have enhanced their tax revenue</w:t>
      </w:r>
      <w:r w:rsidRPr="00EC0229">
        <w:t>.</w:t>
      </w:r>
      <w:r w:rsidRPr="00EC0229">
        <w:rPr>
          <w:rStyle w:val="FootnoteReference"/>
        </w:rPr>
        <w:footnoteReference w:id="1125"/>
      </w:r>
      <w:r w:rsidRPr="00EC0229">
        <w:t xml:space="preserve"> Absence of Anglian</w:t>
      </w:r>
      <w:r w:rsidR="00D142DC" w:rsidRPr="00EC0229">
        <w:fldChar w:fldCharType="begin"/>
      </w:r>
      <w:r w:rsidR="00D142DC" w:rsidRPr="00EC0229">
        <w:instrText xml:space="preserve"> XE "Anglian" </w:instrText>
      </w:r>
      <w:r w:rsidR="00D142DC" w:rsidRPr="00EC0229">
        <w:fldChar w:fldCharType="end"/>
      </w:r>
      <w:r w:rsidRPr="00EC0229">
        <w:t xml:space="preserve"> coin and other artefactual evidence along the centre of the Vale suggests that marshy remnant</w:t>
      </w:r>
      <w:r w:rsidR="00C503A6" w:rsidRPr="00EC0229">
        <w:t>s</w:t>
      </w:r>
      <w:r w:rsidRPr="00EC0229">
        <w:t xml:space="preserve"> of Lake Pickering persisted.</w:t>
      </w:r>
    </w:p>
    <w:p w14:paraId="1B4D8A9D" w14:textId="77777777" w:rsidR="00697BBB" w:rsidRPr="00EC0229" w:rsidRDefault="00697BBB" w:rsidP="007600EA">
      <w:pPr>
        <w:pStyle w:val="NoSpacing"/>
        <w:spacing w:line="360" w:lineRule="auto"/>
        <w:rPr>
          <w:b/>
        </w:rPr>
      </w:pPr>
    </w:p>
    <w:p w14:paraId="08CB6701" w14:textId="7AADDA5C" w:rsidR="00697BBB" w:rsidRPr="00EC0229" w:rsidRDefault="00697BBB" w:rsidP="007600EA">
      <w:pPr>
        <w:pStyle w:val="NoSpacing"/>
        <w:spacing w:line="360" w:lineRule="auto"/>
        <w:rPr>
          <w:szCs w:val="24"/>
        </w:rPr>
      </w:pPr>
      <w:r w:rsidRPr="00EC0229">
        <w:rPr>
          <w:i/>
          <w:szCs w:val="24"/>
        </w:rPr>
        <w:t>Map</w:t>
      </w:r>
      <w:r w:rsidR="00584C42" w:rsidRPr="00EC0229">
        <w:rPr>
          <w:i/>
          <w:szCs w:val="24"/>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szCs w:val="24"/>
        </w:rPr>
        <w:fldChar w:fldCharType="end"/>
      </w:r>
      <w:r w:rsidRPr="00EC0229">
        <w:rPr>
          <w:i/>
          <w:szCs w:val="24"/>
        </w:rPr>
        <w:t xml:space="preserve"> </w:t>
      </w:r>
      <w:r w:rsidR="004048E5" w:rsidRPr="00EC0229">
        <w:rPr>
          <w:i/>
          <w:szCs w:val="24"/>
        </w:rPr>
        <w:t>8.20</w:t>
      </w:r>
      <w:r w:rsidR="004048E5" w:rsidRPr="00EC0229">
        <w:rPr>
          <w:szCs w:val="24"/>
        </w:rPr>
        <w:t>, shows the locations of early medieval religious houses.</w:t>
      </w:r>
    </w:p>
    <w:p w14:paraId="14213EA0" w14:textId="77777777" w:rsidR="00697BBB" w:rsidRPr="00EC0229" w:rsidRDefault="00697BBB" w:rsidP="007600EA">
      <w:pPr>
        <w:pStyle w:val="NoSpacing"/>
        <w:spacing w:line="360" w:lineRule="auto"/>
        <w:rPr>
          <w:b/>
        </w:rPr>
      </w:pPr>
    </w:p>
    <w:p w14:paraId="5A6C322D" w14:textId="1A08A891" w:rsidR="00697BBB" w:rsidRPr="00EC0229" w:rsidRDefault="00C97BF2" w:rsidP="007600EA">
      <w:pPr>
        <w:pStyle w:val="Heading3"/>
        <w:spacing w:line="360" w:lineRule="auto"/>
        <w:rPr>
          <w:color w:val="FF0000"/>
        </w:rPr>
      </w:pPr>
      <w:bookmarkStart w:id="820" w:name="Southtrack"/>
      <w:bookmarkStart w:id="821" w:name="_Toc468266920"/>
      <w:r>
        <w:lastRenderedPageBreak/>
        <w:t>8.2</w:t>
      </w:r>
      <w:r w:rsidR="002979EC">
        <w:t>.6.1</w:t>
      </w:r>
      <w:r>
        <w:tab/>
      </w:r>
      <w:r w:rsidR="00697BBB" w:rsidRPr="00EC0229">
        <w:t>South track</w:t>
      </w:r>
      <w:r w:rsidR="006B1593" w:rsidRPr="00EC0229">
        <w:fldChar w:fldCharType="begin"/>
      </w:r>
      <w:r w:rsidR="006B1593" w:rsidRPr="00EC0229">
        <w:instrText xml:space="preserve"> XE "</w:instrText>
      </w:r>
      <w:r w:rsidR="006B1593" w:rsidRPr="00EC0229">
        <w:rPr>
          <w:rStyle w:val="Hyperlink"/>
          <w:noProof/>
          <w:u w:val="none"/>
        </w:rPr>
        <w:instrText>South track</w:instrText>
      </w:r>
      <w:r w:rsidR="006B1593" w:rsidRPr="00EC0229">
        <w:instrText xml:space="preserve">" </w:instrText>
      </w:r>
      <w:r w:rsidR="006B1593" w:rsidRPr="00EC0229">
        <w:fldChar w:fldCharType="end"/>
      </w:r>
      <w:r w:rsidR="00697BBB" w:rsidRPr="00EC0229">
        <w:t xml:space="preserve"> </w:t>
      </w:r>
      <w:bookmarkEnd w:id="820"/>
      <w:r w:rsidR="00697BBB" w:rsidRPr="00EC0229">
        <w:t>(A64)</w:t>
      </w:r>
      <w:bookmarkEnd w:id="821"/>
      <w:r w:rsidR="00697BBB" w:rsidRPr="00EC0229">
        <w:rPr>
          <w:color w:val="FF0000"/>
        </w:rPr>
        <w:t xml:space="preserve"> </w:t>
      </w:r>
    </w:p>
    <w:p w14:paraId="03CDCF14" w14:textId="49198D66" w:rsidR="00697BBB" w:rsidRPr="00EC0229" w:rsidRDefault="00697BBB" w:rsidP="007600EA">
      <w:pPr>
        <w:pStyle w:val="NoSpacing"/>
        <w:spacing w:line="360" w:lineRule="auto"/>
        <w:rPr>
          <w:color w:val="000000" w:themeColor="text1"/>
        </w:rPr>
      </w:pPr>
      <w:r w:rsidRPr="00EC0229">
        <w:rPr>
          <w:color w:val="000000" w:themeColor="text1"/>
        </w:rPr>
        <w:t xml:space="preserve">Coins have been found at </w:t>
      </w:r>
      <w:r w:rsidRPr="00EC0229">
        <w:t>Malton</w:t>
      </w:r>
      <w:r w:rsidR="006B1593" w:rsidRPr="00EC0229">
        <w:fldChar w:fldCharType="begin"/>
      </w:r>
      <w:r w:rsidR="006B1593" w:rsidRPr="00EC0229">
        <w:instrText xml:space="preserve"> XE "</w:instrText>
      </w:r>
      <w:r w:rsidR="006B1593" w:rsidRPr="00EC0229">
        <w:rPr>
          <w:noProof/>
        </w:rPr>
        <w:instrText>Malton</w:instrText>
      </w:r>
      <w:r w:rsidR="006B1593" w:rsidRPr="00EC0229">
        <w:instrText xml:space="preserve">" </w:instrText>
      </w:r>
      <w:r w:rsidR="006B1593" w:rsidRPr="00EC0229">
        <w:fldChar w:fldCharType="end"/>
      </w:r>
      <w:r w:rsidR="00214819" w:rsidRPr="00EC0229">
        <w:rPr>
          <w:color w:val="000000" w:themeColor="text1"/>
        </w:rPr>
        <w:t>,</w:t>
      </w:r>
      <w:r w:rsidRPr="00EC0229">
        <w:rPr>
          <w:color w:val="000000" w:themeColor="text1"/>
        </w:rPr>
        <w:t xml:space="preserve"> Norton, </w:t>
      </w:r>
      <w:r w:rsidRPr="00EC0229">
        <w:t>Rillington</w:t>
      </w:r>
      <w:r w:rsidR="006B1593" w:rsidRPr="00EC0229">
        <w:fldChar w:fldCharType="begin"/>
      </w:r>
      <w:r w:rsidR="006B1593" w:rsidRPr="00EC0229">
        <w:instrText xml:space="preserve"> XE "</w:instrText>
      </w:r>
      <w:r w:rsidR="006B1593" w:rsidRPr="00EC0229">
        <w:rPr>
          <w:noProof/>
        </w:rPr>
        <w:instrText>Rillington</w:instrText>
      </w:r>
      <w:r w:rsidR="006B1593" w:rsidRPr="00EC0229">
        <w:instrText xml:space="preserve">" </w:instrText>
      </w:r>
      <w:r w:rsidR="006B1593" w:rsidRPr="00EC0229">
        <w:fldChar w:fldCharType="end"/>
      </w:r>
      <w:r w:rsidR="00214819" w:rsidRPr="00EC0229">
        <w:rPr>
          <w:color w:val="000000" w:themeColor="text1"/>
        </w:rPr>
        <w:t xml:space="preserve"> (</w:t>
      </w:r>
      <w:r w:rsidR="00E91B37" w:rsidRPr="00EC0229">
        <w:rPr>
          <w:color w:val="000000" w:themeColor="text1"/>
        </w:rPr>
        <w:fldChar w:fldCharType="begin"/>
      </w:r>
      <w:r w:rsidR="00E91B37" w:rsidRPr="00EC0229">
        <w:rPr>
          <w:color w:val="000000" w:themeColor="text1"/>
        </w:rPr>
        <w:instrText xml:space="preserve"> PAGEREF Rillington \h </w:instrText>
      </w:r>
      <w:r w:rsidR="00E91B37" w:rsidRPr="00EC0229">
        <w:rPr>
          <w:color w:val="000000" w:themeColor="text1"/>
        </w:rPr>
      </w:r>
      <w:r w:rsidR="00E91B37" w:rsidRPr="00EC0229">
        <w:rPr>
          <w:color w:val="000000" w:themeColor="text1"/>
        </w:rPr>
        <w:fldChar w:fldCharType="separate"/>
      </w:r>
      <w:r w:rsidR="0012026B">
        <w:rPr>
          <w:noProof/>
          <w:color w:val="000000" w:themeColor="text1"/>
        </w:rPr>
        <w:t>269</w:t>
      </w:r>
      <w:r w:rsidR="00E91B37" w:rsidRPr="00EC0229">
        <w:rPr>
          <w:color w:val="000000" w:themeColor="text1"/>
        </w:rPr>
        <w:fldChar w:fldCharType="end"/>
      </w:r>
      <w:r w:rsidR="00214819" w:rsidRPr="00EC0229">
        <w:rPr>
          <w:color w:val="000000" w:themeColor="text1"/>
        </w:rPr>
        <w:t>),</w:t>
      </w:r>
      <w:r w:rsidRPr="00EC0229">
        <w:rPr>
          <w:color w:val="000000" w:themeColor="text1"/>
        </w:rPr>
        <w:t xml:space="preserve"> </w:t>
      </w:r>
      <w:r w:rsidRPr="00EC0229">
        <w:t>West Heslerton</w:t>
      </w:r>
      <w:r w:rsidR="006B1593" w:rsidRPr="00EC0229">
        <w:fldChar w:fldCharType="begin"/>
      </w:r>
      <w:r w:rsidR="006B1593" w:rsidRPr="00EC0229">
        <w:instrText xml:space="preserve"> XE "</w:instrText>
      </w:r>
      <w:r w:rsidR="006B1593" w:rsidRPr="00EC0229">
        <w:rPr>
          <w:noProof/>
        </w:rPr>
        <w:instrText>West Heslerton</w:instrText>
      </w:r>
      <w:r w:rsidR="006B1593" w:rsidRPr="00EC0229">
        <w:instrText xml:space="preserve">" </w:instrText>
      </w:r>
      <w:r w:rsidR="006B1593" w:rsidRPr="00EC0229">
        <w:fldChar w:fldCharType="end"/>
      </w:r>
      <w:r w:rsidR="00214819" w:rsidRPr="00EC0229">
        <w:rPr>
          <w:color w:val="000000" w:themeColor="text1"/>
        </w:rPr>
        <w:t xml:space="preserve"> (</w:t>
      </w:r>
      <w:r w:rsidR="00E91B37" w:rsidRPr="00EC0229">
        <w:rPr>
          <w:color w:val="000000" w:themeColor="text1"/>
        </w:rPr>
        <w:fldChar w:fldCharType="begin"/>
      </w:r>
      <w:r w:rsidR="00E91B37" w:rsidRPr="00EC0229">
        <w:rPr>
          <w:color w:val="000000" w:themeColor="text1"/>
        </w:rPr>
        <w:instrText xml:space="preserve"> PAGEREF WestHeslerton \h </w:instrText>
      </w:r>
      <w:r w:rsidR="00E91B37" w:rsidRPr="00EC0229">
        <w:rPr>
          <w:color w:val="000000" w:themeColor="text1"/>
        </w:rPr>
      </w:r>
      <w:r w:rsidR="00E91B37" w:rsidRPr="00EC0229">
        <w:rPr>
          <w:color w:val="000000" w:themeColor="text1"/>
        </w:rPr>
        <w:fldChar w:fldCharType="separate"/>
      </w:r>
      <w:r w:rsidR="0012026B">
        <w:rPr>
          <w:noProof/>
          <w:color w:val="000000" w:themeColor="text1"/>
        </w:rPr>
        <w:t>270</w:t>
      </w:r>
      <w:r w:rsidR="00E91B37" w:rsidRPr="00EC0229">
        <w:rPr>
          <w:color w:val="000000" w:themeColor="text1"/>
        </w:rPr>
        <w:fldChar w:fldCharType="end"/>
      </w:r>
      <w:r w:rsidR="00214819" w:rsidRPr="00EC0229">
        <w:rPr>
          <w:color w:val="000000" w:themeColor="text1"/>
        </w:rPr>
        <w:t>)</w:t>
      </w:r>
      <w:r w:rsidRPr="00EC0229">
        <w:rPr>
          <w:color w:val="000000" w:themeColor="text1"/>
        </w:rPr>
        <w:t xml:space="preserve"> </w:t>
      </w:r>
      <w:r w:rsidRPr="00EC0229">
        <w:t>Sherburn</w:t>
      </w:r>
      <w:r w:rsidR="006B1593" w:rsidRPr="00EC0229">
        <w:fldChar w:fldCharType="begin"/>
      </w:r>
      <w:r w:rsidR="006B1593" w:rsidRPr="00EC0229">
        <w:instrText xml:space="preserve"> XE "</w:instrText>
      </w:r>
      <w:r w:rsidR="006B1593" w:rsidRPr="00EC0229">
        <w:rPr>
          <w:noProof/>
        </w:rPr>
        <w:instrText>Sherburn</w:instrText>
      </w:r>
      <w:r w:rsidR="006B1593" w:rsidRPr="00EC0229">
        <w:instrText xml:space="preserve">" </w:instrText>
      </w:r>
      <w:r w:rsidR="006B1593" w:rsidRPr="00EC0229">
        <w:fldChar w:fldCharType="end"/>
      </w:r>
      <w:r w:rsidR="00214819" w:rsidRPr="00EC0229">
        <w:rPr>
          <w:color w:val="000000" w:themeColor="text1"/>
        </w:rPr>
        <w:t xml:space="preserve"> (</w:t>
      </w:r>
      <w:r w:rsidR="00E91B37" w:rsidRPr="00EC0229">
        <w:rPr>
          <w:color w:val="000000" w:themeColor="text1"/>
        </w:rPr>
        <w:fldChar w:fldCharType="begin"/>
      </w:r>
      <w:r w:rsidR="00E91B37" w:rsidRPr="00EC0229">
        <w:rPr>
          <w:color w:val="000000" w:themeColor="text1"/>
        </w:rPr>
        <w:instrText xml:space="preserve"> PAGEREF Sherburn \h </w:instrText>
      </w:r>
      <w:r w:rsidR="00E91B37" w:rsidRPr="00EC0229">
        <w:rPr>
          <w:color w:val="000000" w:themeColor="text1"/>
        </w:rPr>
      </w:r>
      <w:r w:rsidR="00E91B37" w:rsidRPr="00EC0229">
        <w:rPr>
          <w:color w:val="000000" w:themeColor="text1"/>
        </w:rPr>
        <w:fldChar w:fldCharType="separate"/>
      </w:r>
      <w:r w:rsidR="0012026B">
        <w:rPr>
          <w:noProof/>
          <w:color w:val="000000" w:themeColor="text1"/>
        </w:rPr>
        <w:t>272</w:t>
      </w:r>
      <w:r w:rsidR="00E91B37" w:rsidRPr="00EC0229">
        <w:rPr>
          <w:color w:val="000000" w:themeColor="text1"/>
        </w:rPr>
        <w:fldChar w:fldCharType="end"/>
      </w:r>
      <w:r w:rsidR="00214819" w:rsidRPr="00EC0229">
        <w:rPr>
          <w:color w:val="000000" w:themeColor="text1"/>
        </w:rPr>
        <w:t>),</w:t>
      </w:r>
      <w:r w:rsidRPr="00EC0229">
        <w:rPr>
          <w:color w:val="000000" w:themeColor="text1"/>
        </w:rPr>
        <w:t xml:space="preserve"> </w:t>
      </w:r>
      <w:r w:rsidRPr="00EC0229">
        <w:t>Binnington</w:t>
      </w:r>
      <w:r w:rsidR="006B1593" w:rsidRPr="00EC0229">
        <w:fldChar w:fldCharType="begin"/>
      </w:r>
      <w:r w:rsidR="006B1593" w:rsidRPr="00EC0229">
        <w:instrText xml:space="preserve"> XE "</w:instrText>
      </w:r>
      <w:r w:rsidR="006B1593" w:rsidRPr="00EC0229">
        <w:rPr>
          <w:noProof/>
        </w:rPr>
        <w:instrText>Binnington</w:instrText>
      </w:r>
      <w:r w:rsidR="006B1593" w:rsidRPr="00EC0229">
        <w:instrText xml:space="preserve">" </w:instrText>
      </w:r>
      <w:r w:rsidR="006B1593" w:rsidRPr="00EC0229">
        <w:fldChar w:fldCharType="end"/>
      </w:r>
      <w:r w:rsidRPr="00EC0229">
        <w:rPr>
          <w:color w:val="000000" w:themeColor="text1"/>
        </w:rPr>
        <w:t xml:space="preserve"> </w:t>
      </w:r>
      <w:r w:rsidR="00214819" w:rsidRPr="00EC0229">
        <w:rPr>
          <w:color w:val="000000" w:themeColor="text1"/>
        </w:rPr>
        <w:t>(</w:t>
      </w:r>
      <w:r w:rsidR="00E91B37" w:rsidRPr="00EC0229">
        <w:rPr>
          <w:color w:val="000000" w:themeColor="text1"/>
        </w:rPr>
        <w:fldChar w:fldCharType="begin"/>
      </w:r>
      <w:r w:rsidR="00E91B37" w:rsidRPr="00EC0229">
        <w:rPr>
          <w:color w:val="000000" w:themeColor="text1"/>
        </w:rPr>
        <w:instrText xml:space="preserve"> PAGEREF Binnington \h </w:instrText>
      </w:r>
      <w:r w:rsidR="00E91B37" w:rsidRPr="00EC0229">
        <w:rPr>
          <w:color w:val="000000" w:themeColor="text1"/>
        </w:rPr>
      </w:r>
      <w:r w:rsidR="00E91B37" w:rsidRPr="00EC0229">
        <w:rPr>
          <w:color w:val="000000" w:themeColor="text1"/>
        </w:rPr>
        <w:fldChar w:fldCharType="separate"/>
      </w:r>
      <w:r w:rsidR="0012026B">
        <w:rPr>
          <w:noProof/>
          <w:color w:val="000000" w:themeColor="text1"/>
        </w:rPr>
        <w:t>272</w:t>
      </w:r>
      <w:r w:rsidR="00E91B37" w:rsidRPr="00EC0229">
        <w:rPr>
          <w:color w:val="000000" w:themeColor="text1"/>
        </w:rPr>
        <w:fldChar w:fldCharType="end"/>
      </w:r>
      <w:r w:rsidR="00214819" w:rsidRPr="00EC0229">
        <w:rPr>
          <w:color w:val="000000" w:themeColor="text1"/>
        </w:rPr>
        <w:t xml:space="preserve">) </w:t>
      </w:r>
      <w:r w:rsidRPr="00EC0229">
        <w:rPr>
          <w:color w:val="000000" w:themeColor="text1"/>
        </w:rPr>
        <w:t xml:space="preserve">and </w:t>
      </w:r>
      <w:r w:rsidRPr="00EC0229">
        <w:t>Staxton</w:t>
      </w:r>
      <w:r w:rsidR="006B1593" w:rsidRPr="00EC0229">
        <w:fldChar w:fldCharType="begin"/>
      </w:r>
      <w:r w:rsidR="006B1593" w:rsidRPr="00EC0229">
        <w:instrText xml:space="preserve"> XE "</w:instrText>
      </w:r>
      <w:r w:rsidR="006B1593" w:rsidRPr="00EC0229">
        <w:rPr>
          <w:noProof/>
        </w:rPr>
        <w:instrText>Staxton</w:instrText>
      </w:r>
      <w:r w:rsidR="006B1593" w:rsidRPr="00EC0229">
        <w:instrText xml:space="preserve">" </w:instrText>
      </w:r>
      <w:r w:rsidR="006B1593" w:rsidRPr="00EC0229">
        <w:fldChar w:fldCharType="end"/>
      </w:r>
      <w:r w:rsidR="00214819" w:rsidRPr="00EC0229">
        <w:rPr>
          <w:color w:val="000000" w:themeColor="text1"/>
        </w:rPr>
        <w:t xml:space="preserve"> (</w:t>
      </w:r>
      <w:r w:rsidR="00E91B37" w:rsidRPr="00EC0229">
        <w:rPr>
          <w:color w:val="000000" w:themeColor="text1"/>
        </w:rPr>
        <w:fldChar w:fldCharType="begin"/>
      </w:r>
      <w:r w:rsidR="00E91B37" w:rsidRPr="00EC0229">
        <w:rPr>
          <w:color w:val="000000" w:themeColor="text1"/>
        </w:rPr>
        <w:instrText xml:space="preserve"> PAGEREF Staxton \h </w:instrText>
      </w:r>
      <w:r w:rsidR="00E91B37" w:rsidRPr="00EC0229">
        <w:rPr>
          <w:color w:val="000000" w:themeColor="text1"/>
        </w:rPr>
      </w:r>
      <w:r w:rsidR="00E91B37" w:rsidRPr="00EC0229">
        <w:rPr>
          <w:color w:val="000000" w:themeColor="text1"/>
        </w:rPr>
        <w:fldChar w:fldCharType="separate"/>
      </w:r>
      <w:r w:rsidR="0012026B">
        <w:rPr>
          <w:noProof/>
          <w:color w:val="000000" w:themeColor="text1"/>
        </w:rPr>
        <w:t>273</w:t>
      </w:r>
      <w:r w:rsidR="00E91B37" w:rsidRPr="00EC0229">
        <w:rPr>
          <w:color w:val="000000" w:themeColor="text1"/>
        </w:rPr>
        <w:fldChar w:fldCharType="end"/>
      </w:r>
      <w:r w:rsidR="00214819" w:rsidRPr="00EC0229">
        <w:rPr>
          <w:color w:val="000000" w:themeColor="text1"/>
        </w:rPr>
        <w:t>),</w:t>
      </w:r>
      <w:r w:rsidRPr="00EC0229">
        <w:rPr>
          <w:color w:val="000000" w:themeColor="text1"/>
        </w:rPr>
        <w:t xml:space="preserve"> </w:t>
      </w:r>
      <w:r w:rsidR="006B58AC" w:rsidRPr="00EC0229">
        <w:rPr>
          <w:color w:val="000000" w:themeColor="text1"/>
        </w:rPr>
        <w:t>demonstrating that despite a likely concentration of detecting, there was economic activity along the length of this ancient trackway.</w:t>
      </w:r>
    </w:p>
    <w:p w14:paraId="10F7E90C" w14:textId="77777777" w:rsidR="00F61D16" w:rsidRPr="00EC0229" w:rsidRDefault="00F61D16" w:rsidP="007600EA">
      <w:pPr>
        <w:pStyle w:val="NoSpacing"/>
        <w:spacing w:line="360" w:lineRule="auto"/>
      </w:pPr>
    </w:p>
    <w:p w14:paraId="67CA10AD" w14:textId="75C1AC59" w:rsidR="00F61D16" w:rsidRPr="00EC0229" w:rsidRDefault="00697BBB" w:rsidP="00C97BF2">
      <w:pPr>
        <w:pStyle w:val="Heading4"/>
        <w:spacing w:line="360" w:lineRule="auto"/>
      </w:pPr>
      <w:bookmarkStart w:id="822" w:name="Malton"/>
      <w:bookmarkStart w:id="823" w:name="_Toc468266921"/>
      <w:bookmarkEnd w:id="822"/>
      <w:r w:rsidRPr="0087285A">
        <w:rPr>
          <w:b/>
        </w:rPr>
        <w:t>Malton</w:t>
      </w:r>
      <w:bookmarkEnd w:id="823"/>
      <w:r w:rsidR="006B1593" w:rsidRPr="00EC0229">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fldChar w:fldCharType="end"/>
      </w:r>
    </w:p>
    <w:p w14:paraId="0AE0419B" w14:textId="06B7F906" w:rsidR="00F61D16" w:rsidRPr="00EC0229" w:rsidRDefault="00F61D16" w:rsidP="007600EA">
      <w:pPr>
        <w:pStyle w:val="NoSpacing"/>
        <w:spacing w:line="360" w:lineRule="auto"/>
      </w:pPr>
      <w:r w:rsidRPr="00EC0229">
        <w:t>At least two Merovingian</w:t>
      </w:r>
      <w:r w:rsidR="004C29A9" w:rsidRPr="00EC0229">
        <w:fldChar w:fldCharType="begin"/>
      </w:r>
      <w:r w:rsidR="004C29A9" w:rsidRPr="00EC0229">
        <w:instrText xml:space="preserve"> XE "</w:instrText>
      </w:r>
      <w:r w:rsidR="004C29A9" w:rsidRPr="00EC0229">
        <w:rPr>
          <w:rStyle w:val="Hyperlink"/>
          <w:noProof/>
          <w:u w:val="none"/>
        </w:rPr>
        <w:instrText>Merovingian</w:instrText>
      </w:r>
      <w:r w:rsidR="004C29A9" w:rsidRPr="00EC0229">
        <w:instrText xml:space="preserve">" </w:instrText>
      </w:r>
      <w:r w:rsidR="004C29A9" w:rsidRPr="00EC0229">
        <w:fldChar w:fldCharType="end"/>
      </w:r>
      <w:r w:rsidRPr="00EC0229">
        <w:t xml:space="preserve"> tremisses have been attributed to the Malton</w:t>
      </w:r>
      <w:r w:rsidR="006B1593" w:rsidRPr="00EC0229">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fldChar w:fldCharType="end"/>
      </w:r>
      <w:r w:rsidRPr="00EC0229">
        <w:t xml:space="preserve"> area (</w:t>
      </w:r>
      <w:r w:rsidR="009E07B9" w:rsidRPr="00EC0229">
        <w:fldChar w:fldCharType="begin"/>
      </w:r>
      <w:r w:rsidR="009E07B9" w:rsidRPr="00EC0229">
        <w:instrText xml:space="preserve"> REF _Ref430249271 \h </w:instrText>
      </w:r>
      <w:r w:rsidR="00C503A6"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150</w:t>
      </w:r>
      <w:r w:rsidR="009E07B9" w:rsidRPr="00EC0229">
        <w:fldChar w:fldCharType="end"/>
      </w:r>
      <w:r w:rsidRPr="00EC0229">
        <w:t>). These may be the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coins referred to below as found near Rillington</w:t>
      </w:r>
      <w:r w:rsidR="00D84865" w:rsidRPr="00EC0229">
        <w:t xml:space="preserve"> (</w:t>
      </w:r>
      <w:r w:rsidR="00E91B37" w:rsidRPr="00EC0229">
        <w:fldChar w:fldCharType="begin"/>
      </w:r>
      <w:r w:rsidR="00E91B37" w:rsidRPr="00EC0229">
        <w:instrText xml:space="preserve"> PAGEREF Rillington \h </w:instrText>
      </w:r>
      <w:r w:rsidR="00E91B37" w:rsidRPr="00EC0229">
        <w:fldChar w:fldCharType="separate"/>
      </w:r>
      <w:r w:rsidR="0012026B">
        <w:rPr>
          <w:noProof/>
        </w:rPr>
        <w:t>269</w:t>
      </w:r>
      <w:r w:rsidR="00E91B37" w:rsidRPr="00EC0229">
        <w:fldChar w:fldCharType="end"/>
      </w:r>
      <w:r w:rsidR="00D84865" w:rsidRPr="00EC0229">
        <w:t>)</w:t>
      </w:r>
      <w:r w:rsidR="006B1593" w:rsidRPr="00EC0229">
        <w:fldChar w:fldCharType="begin"/>
      </w:r>
      <w:r w:rsidR="006B1593" w:rsidRPr="00EC0229">
        <w:instrText xml:space="preserve"> XE "</w:instrText>
      </w:r>
      <w:r w:rsidR="006B1593" w:rsidRPr="00EC0229">
        <w:rPr>
          <w:rStyle w:val="Hyperlink"/>
          <w:noProof/>
          <w:u w:val="none"/>
        </w:rPr>
        <w:instrText>Rillington</w:instrText>
      </w:r>
      <w:r w:rsidR="006B1593" w:rsidRPr="00EC0229">
        <w:instrText xml:space="preserve">" </w:instrText>
      </w:r>
      <w:r w:rsidR="006B1593" w:rsidRPr="00EC0229">
        <w:fldChar w:fldCharType="end"/>
      </w:r>
      <w:r w:rsidRPr="00EC0229">
        <w:t>.</w:t>
      </w:r>
      <w:r w:rsidRPr="00EC0229">
        <w:rPr>
          <w:rStyle w:val="FootnoteReference"/>
        </w:rPr>
        <w:footnoteReference w:id="1126"/>
      </w:r>
    </w:p>
    <w:p w14:paraId="0D931981" w14:textId="030F4B04" w:rsidR="00697BBB" w:rsidRPr="00EC0229" w:rsidRDefault="00697BBB" w:rsidP="007600EA">
      <w:pPr>
        <w:pStyle w:val="NoSpacing"/>
        <w:spacing w:line="360" w:lineRule="auto"/>
        <w:jc w:val="center"/>
      </w:pPr>
      <w:r w:rsidRPr="00EC0229">
        <w:rPr>
          <w:noProof/>
          <w:lang w:eastAsia="en-GB"/>
        </w:rPr>
        <w:drawing>
          <wp:inline distT="0" distB="0" distL="0" distR="0" wp14:anchorId="413A92DB" wp14:editId="7F20BB9D">
            <wp:extent cx="2011680" cy="1035674"/>
            <wp:effectExtent l="0" t="0" r="762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lton find - Spink March 2014 auction 14004 lot 1337.tif"/>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045988" cy="1053337"/>
                    </a:xfrm>
                    <a:prstGeom prst="rect">
                      <a:avLst/>
                    </a:prstGeom>
                  </pic:spPr>
                </pic:pic>
              </a:graphicData>
            </a:graphic>
          </wp:inline>
        </w:drawing>
      </w:r>
    </w:p>
    <w:p w14:paraId="757B8A6C" w14:textId="3DBAE3C1" w:rsidR="00C531DD" w:rsidRPr="00EC0229" w:rsidRDefault="003977B6" w:rsidP="007600EA">
      <w:pPr>
        <w:pStyle w:val="NoSpacing"/>
        <w:spacing w:line="360" w:lineRule="auto"/>
        <w:jc w:val="center"/>
        <w:rPr>
          <w:sz w:val="20"/>
          <w:szCs w:val="20"/>
        </w:rPr>
      </w:pPr>
      <w:bookmarkStart w:id="824" w:name="_Ref430249271"/>
      <w:bookmarkStart w:id="825" w:name="_Toc468267122"/>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150</w:t>
      </w:r>
      <w:r w:rsidR="00B609E3" w:rsidRPr="00EC0229">
        <w:rPr>
          <w:noProof/>
          <w:sz w:val="20"/>
          <w:szCs w:val="20"/>
        </w:rPr>
        <w:fldChar w:fldCharType="end"/>
      </w:r>
      <w:bookmarkEnd w:id="824"/>
      <w:r w:rsidR="00606994" w:rsidRPr="00EC0229">
        <w:rPr>
          <w:sz w:val="20"/>
          <w:szCs w:val="20"/>
        </w:rPr>
        <w:t xml:space="preserve">: </w:t>
      </w:r>
      <w:r w:rsidR="00697BBB" w:rsidRPr="00EC0229">
        <w:rPr>
          <w:sz w:val="20"/>
          <w:szCs w:val="20"/>
        </w:rPr>
        <w:t>Malton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Malton</w:instrText>
      </w:r>
      <w:r w:rsidR="006B1593" w:rsidRPr="00EC0229">
        <w:rPr>
          <w:sz w:val="20"/>
          <w:szCs w:val="20"/>
        </w:rPr>
        <w:instrText xml:space="preserve">" </w:instrText>
      </w:r>
      <w:r w:rsidR="006B1593" w:rsidRPr="00EC0229">
        <w:rPr>
          <w:sz w:val="20"/>
          <w:szCs w:val="20"/>
        </w:rPr>
        <w:fldChar w:fldCharType="end"/>
      </w:r>
      <w:r w:rsidR="00697BBB" w:rsidRPr="00EC0229">
        <w:rPr>
          <w:sz w:val="20"/>
          <w:szCs w:val="20"/>
        </w:rPr>
        <w:t xml:space="preserve"> finds of Merovingian</w:t>
      </w:r>
      <w:r w:rsidR="004C29A9" w:rsidRPr="00EC0229">
        <w:rPr>
          <w:sz w:val="20"/>
          <w:szCs w:val="20"/>
        </w:rPr>
        <w:fldChar w:fldCharType="begin"/>
      </w:r>
      <w:r w:rsidR="004C29A9" w:rsidRPr="00EC0229">
        <w:rPr>
          <w:sz w:val="20"/>
          <w:szCs w:val="20"/>
        </w:rPr>
        <w:instrText xml:space="preserve"> XE "</w:instrText>
      </w:r>
      <w:r w:rsidR="004C29A9" w:rsidRPr="00EC0229">
        <w:rPr>
          <w:rStyle w:val="Hyperlink"/>
          <w:noProof/>
          <w:sz w:val="20"/>
          <w:szCs w:val="20"/>
          <w:u w:val="none"/>
        </w:rPr>
        <w:instrText>Merovingian</w:instrText>
      </w:r>
      <w:r w:rsidR="004C29A9" w:rsidRPr="00EC0229">
        <w:rPr>
          <w:sz w:val="20"/>
          <w:szCs w:val="20"/>
        </w:rPr>
        <w:instrText xml:space="preserve">" </w:instrText>
      </w:r>
      <w:r w:rsidR="004C29A9" w:rsidRPr="00EC0229">
        <w:rPr>
          <w:sz w:val="20"/>
          <w:szCs w:val="20"/>
        </w:rPr>
        <w:fldChar w:fldCharType="end"/>
      </w:r>
      <w:r w:rsidR="00C531DD" w:rsidRPr="00EC0229">
        <w:rPr>
          <w:sz w:val="20"/>
          <w:szCs w:val="20"/>
        </w:rPr>
        <w:t xml:space="preserve"> tremisses</w:t>
      </w:r>
      <w:bookmarkEnd w:id="825"/>
    </w:p>
    <w:p w14:paraId="5F461A1E" w14:textId="1F7A4D2B" w:rsidR="00697BBB" w:rsidRPr="00EC0229" w:rsidRDefault="00697BBB" w:rsidP="007600EA">
      <w:pPr>
        <w:spacing w:line="360" w:lineRule="auto"/>
        <w:jc w:val="center"/>
        <w:rPr>
          <w:b/>
          <w:color w:val="FF0000"/>
          <w:sz w:val="20"/>
          <w:szCs w:val="20"/>
        </w:rPr>
      </w:pPr>
      <w:r w:rsidRPr="00EC0229">
        <w:rPr>
          <w:sz w:val="20"/>
          <w:szCs w:val="20"/>
        </w:rPr>
        <w:t>Spink March 2014 auction 14004 lot 1337</w:t>
      </w:r>
    </w:p>
    <w:p w14:paraId="78A007E1" w14:textId="77777777" w:rsidR="00697BBB" w:rsidRPr="00EC0229" w:rsidRDefault="00697BBB" w:rsidP="007600EA">
      <w:pPr>
        <w:pStyle w:val="NoSpacing"/>
        <w:spacing w:line="360" w:lineRule="auto"/>
      </w:pPr>
    </w:p>
    <w:p w14:paraId="2E5B4D95" w14:textId="6FBAE977" w:rsidR="00697BBB" w:rsidRPr="00EC0229" w:rsidRDefault="00697BBB" w:rsidP="007600EA">
      <w:pPr>
        <w:pStyle w:val="NoSpacing"/>
        <w:spacing w:line="360" w:lineRule="auto"/>
      </w:pPr>
      <w:bookmarkStart w:id="826" w:name="nearMalton"/>
      <w:bookmarkEnd w:id="826"/>
      <w:r w:rsidRPr="00EC0229">
        <w:t>Of the 102 coins tabulated for the Vale of Pickering</w:t>
      </w:r>
      <w:r w:rsidR="006B1593" w:rsidRPr="00EC0229">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fldChar w:fldCharType="end"/>
      </w:r>
      <w:r w:rsidRPr="00EC0229">
        <w:t xml:space="preserve">,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367541" w:rsidRPr="00EC0229">
        <w:rPr>
          <w:i/>
        </w:rPr>
        <w:t xml:space="preserve"> </w:t>
      </w:r>
      <w:r w:rsidR="00E1090A" w:rsidRPr="00EC0229">
        <w:rPr>
          <w:i/>
        </w:rPr>
        <w:t>8.</w:t>
      </w:r>
      <w:r w:rsidR="003223CD" w:rsidRPr="00EC0229">
        <w:rPr>
          <w:i/>
        </w:rPr>
        <w:t>3</w:t>
      </w:r>
      <w:r w:rsidR="00E1090A" w:rsidRPr="00EC0229">
        <w:rPr>
          <w:i/>
        </w:rPr>
        <w:t>3</w:t>
      </w:r>
      <w:r w:rsidRPr="00EC0229">
        <w:t>, fifty-one are ostensibly from ‘near’ Malton</w:t>
      </w:r>
      <w:r w:rsidR="006B1593" w:rsidRPr="00EC0229">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fldChar w:fldCharType="end"/>
      </w:r>
      <w:r w:rsidRPr="00EC0229">
        <w:t xml:space="preserve">. This includes, two ‘productive sites’ and </w:t>
      </w:r>
      <w:r w:rsidR="00BF6095">
        <w:t>several</w:t>
      </w:r>
      <w:r w:rsidRPr="00EC0229">
        <w:t xml:space="preserve"> single finds. However, the ticket of a </w:t>
      </w:r>
      <w:r w:rsidR="00C503A6" w:rsidRPr="00EC0229">
        <w:t>very rare specimen</w:t>
      </w:r>
      <w:r w:rsidR="00964F08" w:rsidRPr="00EC0229">
        <w:rPr>
          <w:rStyle w:val="FootnoteReference"/>
        </w:rPr>
        <w:footnoteReference w:id="1127"/>
      </w:r>
      <w:r w:rsidR="00C503A6" w:rsidRPr="00EC0229">
        <w:t xml:space="preserve"> found by </w:t>
      </w:r>
      <w:r w:rsidR="0080685F" w:rsidRPr="00EC0229">
        <w:t xml:space="preserve">Ian </w:t>
      </w:r>
      <w:r w:rsidRPr="00EC0229">
        <w:t>Postlethwaite at Binnington</w:t>
      </w:r>
      <w:r w:rsidR="006B1593" w:rsidRPr="00EC0229">
        <w:fldChar w:fldCharType="begin"/>
      </w:r>
      <w:r w:rsidR="006B1593" w:rsidRPr="00EC0229">
        <w:instrText xml:space="preserve"> XE "</w:instrText>
      </w:r>
      <w:r w:rsidR="006B1593" w:rsidRPr="00EC0229">
        <w:rPr>
          <w:rStyle w:val="Hyperlink"/>
          <w:noProof/>
          <w:u w:val="none"/>
        </w:rPr>
        <w:instrText>Binnington</w:instrText>
      </w:r>
      <w:r w:rsidR="006B1593" w:rsidRPr="00EC0229">
        <w:instrText xml:space="preserve">" </w:instrText>
      </w:r>
      <w:r w:rsidR="006B1593" w:rsidRPr="00EC0229">
        <w:fldChar w:fldCharType="end"/>
      </w:r>
      <w:r w:rsidRPr="00EC0229">
        <w:t xml:space="preserve"> in mid-1997 records ‘Binnington, situated at the Staxton</w:t>
      </w:r>
      <w:r w:rsidR="006B1593" w:rsidRPr="00EC0229">
        <w:fldChar w:fldCharType="begin"/>
      </w:r>
      <w:r w:rsidR="006B1593" w:rsidRPr="00EC0229">
        <w:instrText xml:space="preserve"> XE "</w:instrText>
      </w:r>
      <w:r w:rsidR="006B1593" w:rsidRPr="00EC0229">
        <w:rPr>
          <w:rStyle w:val="Hyperlink"/>
          <w:noProof/>
          <w:u w:val="none"/>
        </w:rPr>
        <w:instrText>Staxton</w:instrText>
      </w:r>
      <w:r w:rsidR="006B1593" w:rsidRPr="00EC0229">
        <w:instrText xml:space="preserve">" </w:instrText>
      </w:r>
      <w:r w:rsidR="006B1593" w:rsidRPr="00EC0229">
        <w:fldChar w:fldCharType="end"/>
      </w:r>
      <w:r w:rsidRPr="00EC0229">
        <w:t xml:space="preserve"> end of the A64 heading towards Scarborough. Grid Ref. SE 998 790. The site is</w:t>
      </w:r>
      <w:r w:rsidR="00C503A6" w:rsidRPr="00EC0229">
        <w:t xml:space="preserve"> referred to by </w:t>
      </w:r>
      <w:r w:rsidR="00662400" w:rsidRPr="00EC0229">
        <w:t>Bonser as ‘</w:t>
      </w:r>
      <w:r w:rsidRPr="00EC0229">
        <w:t>Near Malton Site 1</w:t>
      </w:r>
      <w:r w:rsidR="00662400" w:rsidRPr="00EC0229">
        <w:t>’</w:t>
      </w:r>
      <w:r w:rsidRPr="00EC0229">
        <w:t xml:space="preserve"> in The Yorkshire Nu</w:t>
      </w:r>
      <w:r w:rsidR="00C503A6" w:rsidRPr="00EC0229">
        <w:t xml:space="preserve">mismatist 3’. Moreover, </w:t>
      </w:r>
      <w:r w:rsidRPr="00EC0229">
        <w:t>Morris suggests that finds from West Heslerton</w:t>
      </w:r>
      <w:r w:rsidR="006B1593" w:rsidRPr="00EC0229">
        <w:fldChar w:fldCharType="begin"/>
      </w:r>
      <w:r w:rsidR="006B1593" w:rsidRPr="00EC0229">
        <w:instrText xml:space="preserve"> XE "</w:instrText>
      </w:r>
      <w:r w:rsidR="006B1593" w:rsidRPr="00EC0229">
        <w:rPr>
          <w:rStyle w:val="Hyperlink"/>
          <w:noProof/>
          <w:u w:val="none"/>
        </w:rPr>
        <w:instrText>West Heslerton</w:instrText>
      </w:r>
      <w:r w:rsidR="006B1593" w:rsidRPr="00EC0229">
        <w:instrText xml:space="preserve">" </w:instrText>
      </w:r>
      <w:r w:rsidR="006B1593" w:rsidRPr="00EC0229">
        <w:fldChar w:fldCharType="end"/>
      </w:r>
      <w:r w:rsidRPr="00EC0229">
        <w:t xml:space="preserve"> have been disguised as ‘near Malton’.</w:t>
      </w:r>
      <w:r w:rsidRPr="00EC0229">
        <w:rPr>
          <w:rStyle w:val="FootnoteReference"/>
        </w:rPr>
        <w:footnoteReference w:id="1128"/>
      </w:r>
      <w:r w:rsidR="006E171F" w:rsidRPr="00EC0229">
        <w:t xml:space="preserve"> T</w:t>
      </w:r>
      <w:r w:rsidRPr="00EC0229">
        <w:t xml:space="preserve">herefore, </w:t>
      </w:r>
      <w:r w:rsidR="00662400" w:rsidRPr="00EC0229">
        <w:t>‘</w:t>
      </w:r>
      <w:r w:rsidRPr="00EC0229">
        <w:t>Near Malton Site 2</w:t>
      </w:r>
      <w:r w:rsidR="00662400" w:rsidRPr="00EC0229">
        <w:t>’</w:t>
      </w:r>
      <w:r w:rsidRPr="00EC0229">
        <w:t xml:space="preserve"> </w:t>
      </w:r>
      <w:r w:rsidR="006E171F" w:rsidRPr="00EC0229">
        <w:t xml:space="preserve">is assumed </w:t>
      </w:r>
      <w:r w:rsidRPr="00EC0229">
        <w:t>to be West Heslerton.</w:t>
      </w:r>
      <w:r w:rsidRPr="00EC0229">
        <w:rPr>
          <w:rStyle w:val="FootnoteReference"/>
        </w:rPr>
        <w:footnoteReference w:id="1129"/>
      </w:r>
    </w:p>
    <w:p w14:paraId="7FBC16EE" w14:textId="77777777" w:rsidR="00697BBB" w:rsidRPr="00EC0229" w:rsidRDefault="00697BBB" w:rsidP="007600EA">
      <w:pPr>
        <w:pStyle w:val="NoSpacing"/>
        <w:spacing w:line="360" w:lineRule="auto"/>
      </w:pPr>
    </w:p>
    <w:p w14:paraId="6DC8A570" w14:textId="531E5347" w:rsidR="00697BBB" w:rsidRPr="00EC0229" w:rsidRDefault="00697BBB" w:rsidP="007600EA">
      <w:pPr>
        <w:pStyle w:val="NoSpacing"/>
        <w:spacing w:line="360" w:lineRule="auto"/>
      </w:pPr>
      <w:r w:rsidRPr="00EC0229">
        <w:t>The remaining Malton</w:t>
      </w:r>
      <w:r w:rsidR="006B1593" w:rsidRPr="00EC0229">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fldChar w:fldCharType="end"/>
      </w:r>
      <w:r w:rsidRPr="00EC0229">
        <w:t xml:space="preserve"> single finds exhibit some continuity in the types represented.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367541" w:rsidRPr="00EC0229">
        <w:rPr>
          <w:i/>
        </w:rPr>
        <w:t xml:space="preserve"> </w:t>
      </w:r>
      <w:r w:rsidR="003223CD" w:rsidRPr="00EC0229">
        <w:rPr>
          <w:i/>
        </w:rPr>
        <w:t>8.3</w:t>
      </w:r>
      <w:r w:rsidR="00E1090A" w:rsidRPr="00EC0229">
        <w:rPr>
          <w:i/>
        </w:rPr>
        <w:t>3</w:t>
      </w:r>
      <w:r w:rsidRPr="00EC0229">
        <w:rPr>
          <w:i/>
        </w:rPr>
        <w:t xml:space="preserve"> </w:t>
      </w:r>
      <w:r w:rsidRPr="00EC0229">
        <w:t>shows three of the seven sceats to be of Eadberht</w:t>
      </w:r>
      <w:r w:rsidR="00D142DC" w:rsidRPr="00EC0229">
        <w:fldChar w:fldCharType="begin"/>
      </w:r>
      <w:r w:rsidR="00D142DC" w:rsidRPr="00EC0229">
        <w:instrText xml:space="preserve"> XE "Eadberht" </w:instrText>
      </w:r>
      <w:r w:rsidR="00D142DC" w:rsidRPr="00EC0229">
        <w:fldChar w:fldCharType="end"/>
      </w:r>
      <w:r w:rsidRPr="00EC0229">
        <w:t xml:space="preserve"> (two more come from neighbouring Norton), </w:t>
      </w:r>
      <w:r w:rsidR="0080685F" w:rsidRPr="00EC0229">
        <w:t xml:space="preserve">[N6], </w:t>
      </w:r>
      <w:r w:rsidRPr="00EC0229">
        <w:t>three to be different styles of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w:t>
      </w:r>
      <w:r w:rsidR="0080685F" w:rsidRPr="00EC0229">
        <w:t>, [N6]</w:t>
      </w:r>
      <w:r w:rsidRPr="00EC0229">
        <w:t>, plus a rare and noteworthy Eardwulf by Cuthheard</w:t>
      </w:r>
      <w:r w:rsidR="0080685F" w:rsidRPr="00EC0229">
        <w:t xml:space="preserve"> [N8]</w:t>
      </w:r>
      <w:r w:rsidR="00D142DC" w:rsidRPr="00EC0229">
        <w:fldChar w:fldCharType="begin"/>
      </w:r>
      <w:r w:rsidR="00D142DC" w:rsidRPr="00EC0229">
        <w:instrText xml:space="preserve"> XE "Cuthheard" </w:instrText>
      </w:r>
      <w:r w:rsidR="00D142DC" w:rsidRPr="00EC0229">
        <w:fldChar w:fldCharType="end"/>
      </w:r>
      <w:r w:rsidRPr="00EC0229">
        <w:t>. There is a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emission of Eanred</w:t>
      </w:r>
      <w:r w:rsidR="0080685F" w:rsidRPr="00EC0229">
        <w:t>,</w:t>
      </w:r>
      <w:r w:rsidR="00D142DC" w:rsidRPr="00EC0229">
        <w:fldChar w:fldCharType="begin"/>
      </w:r>
      <w:r w:rsidR="00D142DC" w:rsidRPr="00EC0229">
        <w:instrText xml:space="preserve"> XE "Eanred" </w:instrText>
      </w:r>
      <w:r w:rsidR="00D142DC" w:rsidRPr="00EC0229">
        <w:fldChar w:fldCharType="end"/>
      </w:r>
      <w:r w:rsidRPr="00EC0229">
        <w:t xml:space="preserve"> </w:t>
      </w:r>
      <w:r w:rsidR="0080685F" w:rsidRPr="00EC0229">
        <w:t xml:space="preserve">[N9], </w:t>
      </w:r>
      <w:r w:rsidRPr="00EC0229">
        <w:t>and seven base stycas</w:t>
      </w:r>
      <w:r w:rsidR="0080685F" w:rsidRPr="00EC0229">
        <w:t xml:space="preserve">, </w:t>
      </w:r>
      <w:r w:rsidR="0080685F" w:rsidRPr="00EC0229">
        <w:lastRenderedPageBreak/>
        <w:t>[N10a]</w:t>
      </w:r>
      <w:r w:rsidRPr="00EC0229">
        <w:t>. While lacking in volume, the spread of silver and copper-alloy</w:t>
      </w:r>
      <w:r w:rsidR="006B58AC" w:rsidRPr="00EC0229">
        <w:t xml:space="preserve"> covers the period under review showing continued use of coin in economic transactions.</w:t>
      </w:r>
      <w:r w:rsidR="00530E34" w:rsidRPr="00530E34">
        <w:rPr>
          <w:i/>
        </w:rPr>
        <w:t xml:space="preserve"> </w:t>
      </w:r>
      <w:r w:rsidR="00530E34" w:rsidRPr="00A07A08">
        <w:rPr>
          <w:i/>
        </w:rPr>
        <w:t>Graph 7.</w:t>
      </w:r>
      <w:r w:rsidR="00530E34">
        <w:rPr>
          <w:i/>
        </w:rPr>
        <w:t>06 no. 22</w:t>
      </w:r>
      <w:r w:rsidR="00530E34">
        <w:t>.</w:t>
      </w:r>
    </w:p>
    <w:p w14:paraId="457FB8FE" w14:textId="77777777" w:rsidR="00697BBB" w:rsidRPr="00EC0229" w:rsidRDefault="00697BBB" w:rsidP="007600EA">
      <w:pPr>
        <w:pStyle w:val="NoSpacing"/>
        <w:spacing w:line="360" w:lineRule="auto"/>
        <w:jc w:val="center"/>
      </w:pPr>
      <w:r w:rsidRPr="00EC0229">
        <w:rPr>
          <w:noProof/>
          <w:lang w:eastAsia="en-GB"/>
        </w:rPr>
        <w:drawing>
          <wp:inline distT="0" distB="0" distL="0" distR="0" wp14:anchorId="25CA70FF" wp14:editId="625D9CF5">
            <wp:extent cx="1079500" cy="635000"/>
            <wp:effectExtent l="0" t="0" r="635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lton Abbasid, al-Mutawakkil as Mustai'in 854-64 R.JPG"/>
                    <pic:cNvPicPr/>
                  </pic:nvPicPr>
                  <pic:blipFill>
                    <a:blip r:embed="rId475">
                      <a:extLst>
                        <a:ext uri="{28A0092B-C50C-407E-A947-70E740481C1C}">
                          <a14:useLocalDpi xmlns:a14="http://schemas.microsoft.com/office/drawing/2010/main" val="0"/>
                        </a:ext>
                      </a:extLst>
                    </a:blip>
                    <a:stretch>
                      <a:fillRect/>
                    </a:stretch>
                  </pic:blipFill>
                  <pic:spPr>
                    <a:xfrm>
                      <a:off x="0" y="0"/>
                      <a:ext cx="1079500" cy="635000"/>
                    </a:xfrm>
                    <a:prstGeom prst="rect">
                      <a:avLst/>
                    </a:prstGeom>
                  </pic:spPr>
                </pic:pic>
              </a:graphicData>
            </a:graphic>
          </wp:inline>
        </w:drawing>
      </w:r>
      <w:r w:rsidRPr="00EC0229">
        <w:rPr>
          <w:noProof/>
          <w:lang w:eastAsia="en-GB"/>
        </w:rPr>
        <w:drawing>
          <wp:inline distT="0" distB="0" distL="0" distR="0" wp14:anchorId="3C5B574B" wp14:editId="1730AE7E">
            <wp:extent cx="713124" cy="830580"/>
            <wp:effectExtent l="0" t="0" r="0" b="762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lton Abbasid, al-Mutawakkil as Mustai'in 854-64.JPG"/>
                    <pic:cNvPicPr/>
                  </pic:nvPicPr>
                  <pic:blipFill>
                    <a:blip r:embed="rId476">
                      <a:extLst>
                        <a:ext uri="{28A0092B-C50C-407E-A947-70E740481C1C}">
                          <a14:useLocalDpi xmlns:a14="http://schemas.microsoft.com/office/drawing/2010/main" val="0"/>
                        </a:ext>
                      </a:extLst>
                    </a:blip>
                    <a:stretch>
                      <a:fillRect/>
                    </a:stretch>
                  </pic:blipFill>
                  <pic:spPr>
                    <a:xfrm>
                      <a:off x="0" y="0"/>
                      <a:ext cx="723466" cy="842626"/>
                    </a:xfrm>
                    <a:prstGeom prst="rect">
                      <a:avLst/>
                    </a:prstGeom>
                  </pic:spPr>
                </pic:pic>
              </a:graphicData>
            </a:graphic>
          </wp:inline>
        </w:drawing>
      </w:r>
    </w:p>
    <w:p w14:paraId="4FE8B320" w14:textId="32A40227" w:rsidR="00697BBB" w:rsidRPr="00EC0229" w:rsidRDefault="003977B6" w:rsidP="007600EA">
      <w:pPr>
        <w:spacing w:line="360" w:lineRule="auto"/>
        <w:jc w:val="center"/>
        <w:rPr>
          <w:sz w:val="20"/>
          <w:szCs w:val="20"/>
        </w:rPr>
      </w:pPr>
      <w:bookmarkStart w:id="827" w:name="_Ref430249280"/>
      <w:bookmarkStart w:id="828" w:name="_Toc468267123"/>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151</w:t>
      </w:r>
      <w:r w:rsidR="00B609E3" w:rsidRPr="00EC0229">
        <w:rPr>
          <w:noProof/>
          <w:sz w:val="20"/>
          <w:szCs w:val="20"/>
        </w:rPr>
        <w:fldChar w:fldCharType="end"/>
      </w:r>
      <w:bookmarkEnd w:id="827"/>
      <w:r w:rsidR="00606994" w:rsidRPr="00EC0229">
        <w:rPr>
          <w:sz w:val="20"/>
          <w:szCs w:val="20"/>
        </w:rPr>
        <w:t xml:space="preserve">: </w:t>
      </w:r>
      <w:r w:rsidR="00697BBB" w:rsidRPr="00EC0229">
        <w:rPr>
          <w:sz w:val="20"/>
          <w:szCs w:val="20"/>
        </w:rPr>
        <w:t>Malton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Malton</w:instrText>
      </w:r>
      <w:r w:rsidR="006B1593" w:rsidRPr="00EC0229">
        <w:rPr>
          <w:sz w:val="20"/>
          <w:szCs w:val="20"/>
        </w:rPr>
        <w:instrText xml:space="preserve">" </w:instrText>
      </w:r>
      <w:r w:rsidR="006B1593" w:rsidRPr="00EC0229">
        <w:rPr>
          <w:sz w:val="20"/>
          <w:szCs w:val="20"/>
        </w:rPr>
        <w:fldChar w:fldCharType="end"/>
      </w:r>
      <w:r w:rsidR="00697BBB" w:rsidRPr="00EC0229">
        <w:rPr>
          <w:sz w:val="20"/>
          <w:szCs w:val="20"/>
        </w:rPr>
        <w:t xml:space="preserve"> find: Abbasid, Caliph al-Mutawakkil or al Mustai'in, 854-64</w:t>
      </w:r>
      <w:bookmarkEnd w:id="828"/>
    </w:p>
    <w:p w14:paraId="7CBD8781" w14:textId="77777777" w:rsidR="00EE3FE5" w:rsidRPr="00EC0229" w:rsidRDefault="00EE3FE5" w:rsidP="007600EA">
      <w:pPr>
        <w:pStyle w:val="NoSpacing"/>
        <w:spacing w:line="360" w:lineRule="auto"/>
      </w:pPr>
    </w:p>
    <w:p w14:paraId="2D2CBE13" w14:textId="748CCD8E" w:rsidR="00697BBB" w:rsidRPr="00EC0229" w:rsidRDefault="00697BBB" w:rsidP="007600EA">
      <w:pPr>
        <w:pStyle w:val="NoSpacing"/>
        <w:spacing w:line="360" w:lineRule="auto"/>
        <w:rPr>
          <w:szCs w:val="24"/>
        </w:rPr>
      </w:pPr>
      <w:r w:rsidRPr="00EC0229">
        <w:rPr>
          <w:szCs w:val="24"/>
        </w:rPr>
        <w:t>Indeed, marking the end-date of this study, there is evidence of the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xml:space="preserve"> bullion</w:t>
      </w:r>
      <w:r w:rsidR="008960AE" w:rsidRPr="00EC0229">
        <w:rPr>
          <w:szCs w:val="24"/>
        </w:rPr>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rPr>
          <w:szCs w:val="24"/>
        </w:rPr>
        <w:fldChar w:fldCharType="end"/>
      </w:r>
      <w:r w:rsidRPr="00EC0229">
        <w:rPr>
          <w:szCs w:val="24"/>
        </w:rPr>
        <w:t xml:space="preserve"> economy</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szCs w:val="24"/>
        </w:rPr>
        <w:fldChar w:fldCharType="end"/>
      </w:r>
      <w:r w:rsidRPr="00EC0229">
        <w:rPr>
          <w:szCs w:val="24"/>
        </w:rPr>
        <w:t xml:space="preserve"> not only in the Malton</w:t>
      </w:r>
      <w:r w:rsidR="006B1593" w:rsidRPr="00EC0229">
        <w:rPr>
          <w:szCs w:val="24"/>
        </w:rPr>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rPr>
          <w:szCs w:val="24"/>
        </w:rPr>
        <w:fldChar w:fldCharType="end"/>
      </w:r>
      <w:r w:rsidRPr="00EC0229">
        <w:rPr>
          <w:szCs w:val="24"/>
        </w:rPr>
        <w:t xml:space="preserve"> area</w:t>
      </w:r>
      <w:r w:rsidR="00606994" w:rsidRPr="00EC0229">
        <w:rPr>
          <w:szCs w:val="24"/>
        </w:rPr>
        <w:t xml:space="preserve"> </w:t>
      </w:r>
      <w:r w:rsidR="00606994" w:rsidRPr="00EC0229">
        <w:t>(</w:t>
      </w:r>
      <w:r w:rsidR="009E07B9" w:rsidRPr="00EC0229">
        <w:fldChar w:fldCharType="begin"/>
      </w:r>
      <w:r w:rsidR="009E07B9" w:rsidRPr="00EC0229">
        <w:instrText xml:space="preserve"> REF _Ref430249280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151</w:t>
      </w:r>
      <w:r w:rsidR="009E07B9" w:rsidRPr="00EC0229">
        <w:fldChar w:fldCharType="end"/>
      </w:r>
      <w:r w:rsidR="00606994" w:rsidRPr="00EC0229">
        <w:t>)</w:t>
      </w:r>
      <w:r w:rsidRPr="00EC0229">
        <w:rPr>
          <w:szCs w:val="24"/>
        </w:rPr>
        <w:t>, but with the presence of fragmentary dirham</w:t>
      </w:r>
      <w:r w:rsidR="00C503A6" w:rsidRPr="00EC0229">
        <w:rPr>
          <w:szCs w:val="24"/>
        </w:rPr>
        <w:t>s</w:t>
      </w:r>
      <w:r w:rsidRPr="00EC0229">
        <w:rPr>
          <w:szCs w:val="24"/>
        </w:rPr>
        <w:t xml:space="preserve"> elsewhere, for example, </w:t>
      </w:r>
      <w:r w:rsidRPr="00EC0229">
        <w:rPr>
          <w:color w:val="000000" w:themeColor="text1"/>
          <w:szCs w:val="24"/>
        </w:rPr>
        <w:t>at Burdale</w:t>
      </w:r>
      <w:r w:rsidR="006B1593" w:rsidRPr="00EC0229">
        <w:rPr>
          <w:color w:val="000000" w:themeColor="text1"/>
          <w:szCs w:val="24"/>
        </w:rPr>
        <w:fldChar w:fldCharType="begin"/>
      </w:r>
      <w:r w:rsidR="006B1593" w:rsidRPr="00EC0229">
        <w:instrText xml:space="preserve"> XE "</w:instrText>
      </w:r>
      <w:r w:rsidR="006B1593" w:rsidRPr="00EC0229">
        <w:rPr>
          <w:rStyle w:val="Hyperlink"/>
          <w:noProof/>
          <w:u w:val="none"/>
        </w:rPr>
        <w:instrText>Burdale</w:instrText>
      </w:r>
      <w:r w:rsidR="006B1593" w:rsidRPr="00EC0229">
        <w:instrText xml:space="preserve">" </w:instrText>
      </w:r>
      <w:r w:rsidR="006B1593" w:rsidRPr="00EC0229">
        <w:rPr>
          <w:color w:val="000000" w:themeColor="text1"/>
          <w:szCs w:val="24"/>
        </w:rPr>
        <w:fldChar w:fldCharType="end"/>
      </w:r>
      <w:r w:rsidR="006B58AC" w:rsidRPr="00EC0229">
        <w:rPr>
          <w:color w:val="000000" w:themeColor="text1"/>
          <w:szCs w:val="24"/>
        </w:rPr>
        <w:t>, showing temporary reversion to a more primitive medium.</w:t>
      </w:r>
    </w:p>
    <w:p w14:paraId="2884A483" w14:textId="77777777" w:rsidR="00697BBB" w:rsidRPr="00EC0229" w:rsidRDefault="00697BBB" w:rsidP="007600EA">
      <w:pPr>
        <w:pStyle w:val="NoSpacing"/>
        <w:spacing w:line="360" w:lineRule="auto"/>
      </w:pPr>
    </w:p>
    <w:p w14:paraId="03A8059E" w14:textId="1B298990" w:rsidR="00697BBB" w:rsidRPr="0087285A" w:rsidRDefault="00697BBB" w:rsidP="00C97BF2">
      <w:pPr>
        <w:pStyle w:val="Heading4"/>
        <w:spacing w:line="360" w:lineRule="auto"/>
        <w:rPr>
          <w:b/>
        </w:rPr>
      </w:pPr>
      <w:bookmarkStart w:id="829" w:name="_Toc468266922"/>
      <w:bookmarkStart w:id="830" w:name="Rillington"/>
      <w:r w:rsidRPr="0087285A">
        <w:rPr>
          <w:b/>
        </w:rPr>
        <w:t>Rillington</w:t>
      </w:r>
      <w:bookmarkEnd w:id="829"/>
      <w:r w:rsidR="006B1593" w:rsidRPr="0087285A">
        <w:rPr>
          <w:b/>
        </w:rPr>
        <w:fldChar w:fldCharType="begin"/>
      </w:r>
      <w:r w:rsidR="006B1593" w:rsidRPr="0087285A">
        <w:rPr>
          <w:b/>
        </w:rPr>
        <w:instrText xml:space="preserve"> XE "</w:instrText>
      </w:r>
      <w:r w:rsidR="006B1593" w:rsidRPr="0087285A">
        <w:rPr>
          <w:rStyle w:val="Hyperlink"/>
          <w:b/>
          <w:noProof/>
          <w:u w:val="none"/>
        </w:rPr>
        <w:instrText>Rillington</w:instrText>
      </w:r>
      <w:r w:rsidR="006B1593" w:rsidRPr="0087285A">
        <w:rPr>
          <w:b/>
        </w:rPr>
        <w:instrText xml:space="preserve">" </w:instrText>
      </w:r>
      <w:r w:rsidR="006B1593" w:rsidRPr="0087285A">
        <w:rPr>
          <w:b/>
        </w:rPr>
        <w:fldChar w:fldCharType="end"/>
      </w:r>
    </w:p>
    <w:bookmarkEnd w:id="830"/>
    <w:p w14:paraId="5FEC3193" w14:textId="3EEE209D" w:rsidR="00697BBB" w:rsidRPr="00EC0229" w:rsidRDefault="00697BBB" w:rsidP="007600EA">
      <w:pPr>
        <w:pStyle w:val="NoSpacing"/>
        <w:spacing w:line="360" w:lineRule="auto"/>
      </w:pPr>
      <w:r w:rsidRPr="00EC0229">
        <w:t>The three detector finds tabulated include an extremely rare variety of the sceat of Eadberht</w:t>
      </w:r>
      <w:r w:rsidR="00D142DC" w:rsidRPr="00EC0229">
        <w:fldChar w:fldCharType="begin"/>
      </w:r>
      <w:r w:rsidR="00D142DC" w:rsidRPr="00EC0229">
        <w:instrText xml:space="preserve"> XE "Eadberht" </w:instrText>
      </w:r>
      <w:r w:rsidR="00D142DC" w:rsidRPr="00EC0229">
        <w:fldChar w:fldCharType="end"/>
      </w:r>
      <w:r w:rsidRPr="00EC0229">
        <w:t xml:space="preserve">, </w:t>
      </w:r>
      <w:r w:rsidR="00FA35F8" w:rsidRPr="00EC0229">
        <w:t xml:space="preserve">[N6], </w:t>
      </w:r>
      <w:r w:rsidRPr="00EC0229">
        <w:t xml:space="preserve">inscribed </w:t>
      </w:r>
      <w:r w:rsidR="00AB77C0" w:rsidRPr="00EC0229">
        <w:rPr>
          <w:rFonts w:ascii="COINS010" w:hAnsi="COINS010"/>
          <w:i/>
        </w:rPr>
        <w:t></w:t>
      </w:r>
      <w:r w:rsidR="00C93A4F" w:rsidRPr="00EC0229">
        <w:rPr>
          <w:rFonts w:ascii="COINS010" w:hAnsi="COINS010"/>
          <w:i/>
        </w:rPr>
        <w:t></w:t>
      </w:r>
      <w:r w:rsidRPr="00EC0229">
        <w:t xml:space="preserve"> on the reverse</w:t>
      </w:r>
      <w:r w:rsidR="00606994" w:rsidRPr="00EC0229">
        <w:t xml:space="preserve"> (</w:t>
      </w:r>
      <w:r w:rsidR="009E07B9" w:rsidRPr="00EC0229">
        <w:fldChar w:fldCharType="begin"/>
      </w:r>
      <w:r w:rsidR="009E07B9" w:rsidRPr="00EC0229">
        <w:instrText xml:space="preserve"> REF _Ref430249291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152</w:t>
      </w:r>
      <w:r w:rsidR="009E07B9" w:rsidRPr="00EC0229">
        <w:fldChar w:fldCharType="end"/>
      </w:r>
      <w:r w:rsidR="00606994" w:rsidRPr="00EC0229">
        <w:t>)</w:t>
      </w:r>
      <w:r w:rsidRPr="00EC0229">
        <w:t>,</w:t>
      </w:r>
      <w:r w:rsidRPr="00EC0229">
        <w:rPr>
          <w:rStyle w:val="FootnoteReference"/>
        </w:rPr>
        <w:footnoteReference w:id="1130"/>
      </w:r>
      <w:r w:rsidRPr="00EC0229">
        <w:t xml:space="preserve"> presumably denoting episcopal authority albeit it a regal issue, and two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coins of Eanred</w:t>
      </w:r>
      <w:r w:rsidR="00FA35F8" w:rsidRPr="00EC0229">
        <w:t>, [N9]</w:t>
      </w:r>
      <w:r w:rsidR="00D142DC" w:rsidRPr="00EC0229">
        <w:fldChar w:fldCharType="begin"/>
      </w:r>
      <w:r w:rsidR="00D142DC" w:rsidRPr="00EC0229">
        <w:instrText xml:space="preserve"> XE "Eanred" </w:instrText>
      </w:r>
      <w:r w:rsidR="00D142DC" w:rsidRPr="00EC0229">
        <w:fldChar w:fldCharType="end"/>
      </w:r>
      <w:r w:rsidRPr="00EC0229">
        <w:t xml:space="preserve">. </w:t>
      </w:r>
      <w:r w:rsidR="00662400" w:rsidRPr="00EC0229">
        <w:t xml:space="preserve">See page </w:t>
      </w:r>
      <w:r w:rsidR="00662400" w:rsidRPr="00EC0229">
        <w:fldChar w:fldCharType="begin"/>
      </w:r>
      <w:r w:rsidR="00662400" w:rsidRPr="00EC0229">
        <w:instrText xml:space="preserve"> PAGEREF AR \h </w:instrText>
      </w:r>
      <w:r w:rsidR="00662400" w:rsidRPr="00EC0229">
        <w:fldChar w:fldCharType="separate"/>
      </w:r>
      <w:r w:rsidR="0012026B">
        <w:rPr>
          <w:noProof/>
        </w:rPr>
        <w:t>230</w:t>
      </w:r>
      <w:r w:rsidR="00662400" w:rsidRPr="00EC0229">
        <w:fldChar w:fldCharType="end"/>
      </w:r>
      <w:r w:rsidR="00662400" w:rsidRPr="00EC0229">
        <w:t>.</w:t>
      </w:r>
    </w:p>
    <w:p w14:paraId="0336B091" w14:textId="77777777" w:rsidR="00697BBB" w:rsidRPr="00EC0229" w:rsidRDefault="00697BBB" w:rsidP="007600EA">
      <w:pPr>
        <w:pStyle w:val="NoSpacing"/>
        <w:spacing w:line="360" w:lineRule="auto"/>
        <w:jc w:val="center"/>
      </w:pPr>
      <w:r w:rsidRPr="00EC0229">
        <w:rPr>
          <w:noProof/>
          <w:lang w:eastAsia="en-GB"/>
        </w:rPr>
        <w:drawing>
          <wp:inline distT="0" distB="0" distL="0" distR="0" wp14:anchorId="41A2CDDF" wp14:editId="1DC0C366">
            <wp:extent cx="974198" cy="93408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67 Y105.JPG"/>
                    <pic:cNvPicPr/>
                  </pic:nvPicPr>
                  <pic:blipFill>
                    <a:blip r:embed="rId477">
                      <a:extLst>
                        <a:ext uri="{28A0092B-C50C-407E-A947-70E740481C1C}">
                          <a14:useLocalDpi xmlns:a14="http://schemas.microsoft.com/office/drawing/2010/main" val="0"/>
                        </a:ext>
                      </a:extLst>
                    </a:blip>
                    <a:stretch>
                      <a:fillRect/>
                    </a:stretch>
                  </pic:blipFill>
                  <pic:spPr>
                    <a:xfrm>
                      <a:off x="0" y="0"/>
                      <a:ext cx="991359" cy="950539"/>
                    </a:xfrm>
                    <a:prstGeom prst="rect">
                      <a:avLst/>
                    </a:prstGeom>
                  </pic:spPr>
                </pic:pic>
              </a:graphicData>
            </a:graphic>
          </wp:inline>
        </w:drawing>
      </w:r>
      <w:r w:rsidRPr="00EC0229">
        <w:rPr>
          <w:noProof/>
          <w:lang w:eastAsia="en-GB"/>
        </w:rPr>
        <w:drawing>
          <wp:inline distT="0" distB="0" distL="0" distR="0" wp14:anchorId="0714DC4D" wp14:editId="46542AF2">
            <wp:extent cx="960120" cy="926233"/>
            <wp:effectExtent l="0" t="0" r="0"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67 Y105R.JPG"/>
                    <pic:cNvPicPr/>
                  </pic:nvPicPr>
                  <pic:blipFill>
                    <a:blip r:embed="rId478">
                      <a:extLst>
                        <a:ext uri="{28A0092B-C50C-407E-A947-70E740481C1C}">
                          <a14:useLocalDpi xmlns:a14="http://schemas.microsoft.com/office/drawing/2010/main" val="0"/>
                        </a:ext>
                      </a:extLst>
                    </a:blip>
                    <a:stretch>
                      <a:fillRect/>
                    </a:stretch>
                  </pic:blipFill>
                  <pic:spPr>
                    <a:xfrm>
                      <a:off x="0" y="0"/>
                      <a:ext cx="992170" cy="957151"/>
                    </a:xfrm>
                    <a:prstGeom prst="rect">
                      <a:avLst/>
                    </a:prstGeom>
                  </pic:spPr>
                </pic:pic>
              </a:graphicData>
            </a:graphic>
          </wp:inline>
        </w:drawing>
      </w:r>
    </w:p>
    <w:p w14:paraId="64206E2F" w14:textId="17EFF8C7" w:rsidR="00697BBB" w:rsidRPr="00EC0229" w:rsidRDefault="003977B6" w:rsidP="007600EA">
      <w:pPr>
        <w:spacing w:line="360" w:lineRule="auto"/>
        <w:jc w:val="center"/>
        <w:rPr>
          <w:sz w:val="20"/>
          <w:szCs w:val="20"/>
        </w:rPr>
      </w:pPr>
      <w:bookmarkStart w:id="831" w:name="_Ref430249291"/>
      <w:bookmarkStart w:id="832" w:name="_Toc468267124"/>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152</w:t>
      </w:r>
      <w:r w:rsidR="00B609E3" w:rsidRPr="00EC0229">
        <w:rPr>
          <w:noProof/>
          <w:sz w:val="20"/>
          <w:szCs w:val="20"/>
        </w:rPr>
        <w:fldChar w:fldCharType="end"/>
      </w:r>
      <w:bookmarkEnd w:id="831"/>
      <w:r w:rsidR="00606994" w:rsidRPr="00EC0229">
        <w:rPr>
          <w:sz w:val="20"/>
          <w:szCs w:val="20"/>
        </w:rPr>
        <w:t xml:space="preserve">: </w:t>
      </w:r>
      <w:r w:rsidR="00697BBB" w:rsidRPr="00EC0229">
        <w:rPr>
          <w:sz w:val="20"/>
          <w:szCs w:val="20"/>
        </w:rPr>
        <w:t>Rillington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Rillington</w:instrText>
      </w:r>
      <w:r w:rsidR="006B1593" w:rsidRPr="00EC0229">
        <w:rPr>
          <w:sz w:val="20"/>
          <w:szCs w:val="20"/>
        </w:rPr>
        <w:instrText xml:space="preserve">" </w:instrText>
      </w:r>
      <w:r w:rsidR="006B1593" w:rsidRPr="00EC0229">
        <w:rPr>
          <w:sz w:val="20"/>
          <w:szCs w:val="20"/>
        </w:rPr>
        <w:fldChar w:fldCharType="end"/>
      </w:r>
      <w:r w:rsidR="00697BBB" w:rsidRPr="00EC0229">
        <w:rPr>
          <w:sz w:val="20"/>
          <w:szCs w:val="20"/>
        </w:rPr>
        <w:t xml:space="preserve">: rare </w:t>
      </w:r>
      <w:r w:rsidR="00A84D10" w:rsidRPr="00EC0229">
        <w:rPr>
          <w:sz w:val="20"/>
          <w:szCs w:val="20"/>
        </w:rPr>
        <w:t>‘</w:t>
      </w:r>
      <w:r w:rsidR="00AB77C0" w:rsidRPr="00EC0229">
        <w:rPr>
          <w:rFonts w:ascii="COINS010" w:hAnsi="COINS010"/>
          <w:i/>
          <w:sz w:val="20"/>
          <w:szCs w:val="20"/>
        </w:rPr>
        <w:t></w:t>
      </w:r>
      <w:r w:rsidR="0067476E" w:rsidRPr="00EC0229">
        <w:rPr>
          <w:rFonts w:ascii="COINS010" w:hAnsi="COINS010"/>
          <w:i/>
          <w:sz w:val="20"/>
          <w:szCs w:val="20"/>
        </w:rPr>
        <w:t xml:space="preserve"> </w:t>
      </w:r>
      <w:r w:rsidR="00A84D10" w:rsidRPr="00EC0229">
        <w:rPr>
          <w:sz w:val="20"/>
          <w:szCs w:val="20"/>
        </w:rPr>
        <w:t>’</w:t>
      </w:r>
      <w:r w:rsidR="0067476E" w:rsidRPr="00EC0229">
        <w:rPr>
          <w:sz w:val="20"/>
          <w:szCs w:val="20"/>
        </w:rPr>
        <w:t xml:space="preserve"> </w:t>
      </w:r>
      <w:r w:rsidR="00697BBB" w:rsidRPr="00EC0229">
        <w:rPr>
          <w:sz w:val="20"/>
          <w:szCs w:val="20"/>
        </w:rPr>
        <w:t>variety of 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00697BBB" w:rsidRPr="00EC0229">
        <w:rPr>
          <w:sz w:val="20"/>
          <w:szCs w:val="20"/>
        </w:rPr>
        <w:t xml:space="preserve"> sceat</w:t>
      </w:r>
      <w:bookmarkEnd w:id="832"/>
    </w:p>
    <w:p w14:paraId="0E0462C5" w14:textId="77777777" w:rsidR="00EE3FE5" w:rsidRPr="00EC0229" w:rsidRDefault="00EE3FE5" w:rsidP="00A84D10">
      <w:pPr>
        <w:pStyle w:val="NoSpacing"/>
      </w:pPr>
    </w:p>
    <w:p w14:paraId="4B2FF42B" w14:textId="2ACCD95F" w:rsidR="00697BBB" w:rsidRPr="00EC0229" w:rsidRDefault="00697BBB" w:rsidP="007600EA">
      <w:pPr>
        <w:pStyle w:val="NoSpacing"/>
        <w:spacing w:line="360" w:lineRule="auto"/>
      </w:pPr>
      <w:r w:rsidRPr="00EC0229">
        <w:t>However, even more intriguing is a note in the Bonser archive reporting the finding of three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coins, one a thrymsa</w:t>
      </w:r>
      <w:r w:rsidR="00D142DC" w:rsidRPr="00EC0229">
        <w:fldChar w:fldCharType="begin"/>
      </w:r>
      <w:r w:rsidR="00D142DC" w:rsidRPr="00EC0229">
        <w:instrText xml:space="preserve"> XE "thrymsa" </w:instrText>
      </w:r>
      <w:r w:rsidR="00D142DC" w:rsidRPr="00EC0229">
        <w:fldChar w:fldCharType="end"/>
      </w:r>
      <w:r w:rsidRPr="00EC0229">
        <w:t xml:space="preserve"> of the LONDUNIV type</w:t>
      </w:r>
      <w:r w:rsidR="00FA35F8" w:rsidRPr="00EC0229">
        <w:t xml:space="preserve"> [3b]</w:t>
      </w:r>
      <w:r w:rsidRPr="00EC0229">
        <w:t>, Viking</w:t>
      </w:r>
      <w:r w:rsidR="00F204A1" w:rsidRPr="00EC0229">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fldChar w:fldCharType="end"/>
      </w:r>
      <w:r w:rsidRPr="00EC0229">
        <w:t xml:space="preserve"> hack-silver, weights</w:t>
      </w:r>
      <w:r w:rsidR="00F204A1" w:rsidRPr="00EC0229">
        <w:fldChar w:fldCharType="begin"/>
      </w:r>
      <w:r w:rsidR="00F204A1" w:rsidRPr="00EC0229">
        <w:instrText xml:space="preserve"> XE "</w:instrText>
      </w:r>
      <w:r w:rsidR="00F204A1" w:rsidRPr="00EC0229">
        <w:rPr>
          <w:rStyle w:val="Hyperlink"/>
          <w:noProof/>
          <w:u w:val="none"/>
        </w:rPr>
        <w:instrText>weights</w:instrText>
      </w:r>
      <w:r w:rsidR="00F204A1" w:rsidRPr="00EC0229">
        <w:instrText xml:space="preserve">" </w:instrText>
      </w:r>
      <w:r w:rsidR="00F204A1" w:rsidRPr="00EC0229">
        <w:fldChar w:fldCharType="end"/>
      </w:r>
      <w:r w:rsidRPr="00EC0229">
        <w:t xml:space="preserve"> and a dirham fragment, thought to be from the Scampston-Rillington</w:t>
      </w:r>
      <w:r w:rsidR="006B1593" w:rsidRPr="00EC0229">
        <w:fldChar w:fldCharType="begin"/>
      </w:r>
      <w:r w:rsidR="006B1593" w:rsidRPr="00EC0229">
        <w:instrText xml:space="preserve"> XE "</w:instrText>
      </w:r>
      <w:r w:rsidR="006B1593" w:rsidRPr="00EC0229">
        <w:rPr>
          <w:rStyle w:val="Hyperlink"/>
          <w:noProof/>
          <w:u w:val="none"/>
        </w:rPr>
        <w:instrText>Rillington</w:instrText>
      </w:r>
      <w:r w:rsidR="006B1593" w:rsidRPr="00EC0229">
        <w:instrText xml:space="preserve">" </w:instrText>
      </w:r>
      <w:r w:rsidR="006B1593" w:rsidRPr="00EC0229">
        <w:fldChar w:fldCharType="end"/>
      </w:r>
      <w:r w:rsidRPr="00EC0229">
        <w:t xml:space="preserve"> area.</w:t>
      </w:r>
      <w:r w:rsidR="00C503A6" w:rsidRPr="00EC0229">
        <w:rPr>
          <w:rStyle w:val="FootnoteReference"/>
        </w:rPr>
        <w:footnoteReference w:id="1131"/>
      </w:r>
      <w:r w:rsidRPr="00EC0229">
        <w:t xml:space="preserve"> While this is a small, and somewhat uncertain, accumulation, there is an implication of continual economic activity from the earliest coinage through to the return to a bullion</w:t>
      </w:r>
      <w:r w:rsidR="008960AE" w:rsidRPr="00EC0229">
        <w:fldChar w:fldCharType="begin"/>
      </w:r>
      <w:r w:rsidR="008960AE" w:rsidRPr="00EC0229">
        <w:instrText xml:space="preserve"> XE "</w:instrText>
      </w:r>
      <w:r w:rsidR="008960AE" w:rsidRPr="00EC0229">
        <w:rPr>
          <w:rFonts w:cs="Times New Roman"/>
          <w:szCs w:val="24"/>
        </w:rPr>
        <w:instrText>bullion</w:instrText>
      </w:r>
      <w:r w:rsidR="008960AE" w:rsidRPr="00EC0229">
        <w:instrText xml:space="preserve">" </w:instrText>
      </w:r>
      <w:r w:rsidR="008960AE" w:rsidRPr="00EC0229">
        <w:fldChar w:fldCharType="end"/>
      </w:r>
      <w:r w:rsidRPr="00EC0229">
        <w:t xml:space="preserve"> system after the fall of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though this is beyond the scope of the present study.</w:t>
      </w:r>
    </w:p>
    <w:p w14:paraId="09B6E01A" w14:textId="77777777" w:rsidR="00697BBB" w:rsidRPr="00EC0229" w:rsidRDefault="00697BBB" w:rsidP="007600EA">
      <w:pPr>
        <w:pStyle w:val="NoSpacing"/>
        <w:spacing w:line="360" w:lineRule="auto"/>
      </w:pPr>
    </w:p>
    <w:p w14:paraId="47C00E0D" w14:textId="3E96DDA0" w:rsidR="00697BBB" w:rsidRPr="0087285A" w:rsidRDefault="00697BBB" w:rsidP="00C97BF2">
      <w:pPr>
        <w:pStyle w:val="Heading4"/>
        <w:spacing w:line="360" w:lineRule="auto"/>
        <w:rPr>
          <w:b/>
        </w:rPr>
      </w:pPr>
      <w:bookmarkStart w:id="833" w:name="WestHeslerton"/>
      <w:bookmarkStart w:id="834" w:name="_Toc468266923"/>
      <w:bookmarkEnd w:id="833"/>
      <w:r w:rsidRPr="0087285A">
        <w:rPr>
          <w:b/>
        </w:rPr>
        <w:lastRenderedPageBreak/>
        <w:t>West Heslerton</w:t>
      </w:r>
      <w:bookmarkEnd w:id="834"/>
      <w:r w:rsidR="006B1593" w:rsidRPr="0087285A">
        <w:rPr>
          <w:b/>
        </w:rPr>
        <w:fldChar w:fldCharType="begin"/>
      </w:r>
      <w:r w:rsidR="006B1593" w:rsidRPr="0087285A">
        <w:rPr>
          <w:b/>
        </w:rPr>
        <w:instrText xml:space="preserve"> XE "</w:instrText>
      </w:r>
      <w:r w:rsidR="006B1593" w:rsidRPr="0087285A">
        <w:rPr>
          <w:rStyle w:val="Hyperlink"/>
          <w:b/>
          <w:noProof/>
          <w:u w:val="none"/>
        </w:rPr>
        <w:instrText>West Heslerton</w:instrText>
      </w:r>
      <w:r w:rsidR="006B1593" w:rsidRPr="0087285A">
        <w:rPr>
          <w:b/>
        </w:rPr>
        <w:instrText xml:space="preserve">" </w:instrText>
      </w:r>
      <w:r w:rsidR="006B1593" w:rsidRPr="0087285A">
        <w:rPr>
          <w:b/>
        </w:rPr>
        <w:fldChar w:fldCharType="end"/>
      </w:r>
    </w:p>
    <w:p w14:paraId="2DE7E2F0" w14:textId="39DAB2A8" w:rsidR="00697BBB" w:rsidRPr="00EC0229" w:rsidRDefault="00697BBB" w:rsidP="007600EA">
      <w:pPr>
        <w:pStyle w:val="NoSpacing"/>
        <w:spacing w:line="360" w:lineRule="auto"/>
      </w:pPr>
      <w:r w:rsidRPr="00EC0229">
        <w:t>Space permits only a résumé of this well-documented excavation. This project pioneered recording methods enabling over 300,000 artefacts to be digitally documented.</w:t>
      </w:r>
      <w:r w:rsidRPr="00EC0229">
        <w:rPr>
          <w:rStyle w:val="FootnoteReference"/>
        </w:rPr>
        <w:footnoteReference w:id="1132"/>
      </w:r>
      <w:r w:rsidRPr="00EC0229">
        <w:t xml:space="preserve"> These included, </w:t>
      </w:r>
      <w:r w:rsidRPr="00EC0229">
        <w:rPr>
          <w:i/>
        </w:rPr>
        <w:t>inter alia</w:t>
      </w:r>
      <w:r w:rsidRPr="00EC0229">
        <w:t>, ceramics</w:t>
      </w:r>
      <w:r w:rsidR="008960AE" w:rsidRPr="00EC0229">
        <w:fldChar w:fldCharType="begin"/>
      </w:r>
      <w:r w:rsidR="008960AE" w:rsidRPr="00EC0229">
        <w:instrText xml:space="preserve"> XE "</w:instrText>
      </w:r>
      <w:r w:rsidR="008960AE" w:rsidRPr="00EC0229">
        <w:rPr>
          <w:szCs w:val="24"/>
        </w:rPr>
        <w:instrText>ceramics</w:instrText>
      </w:r>
      <w:r w:rsidR="008960AE" w:rsidRPr="00EC0229">
        <w:instrText xml:space="preserve">" </w:instrText>
      </w:r>
      <w:r w:rsidR="008960AE" w:rsidRPr="00EC0229">
        <w:fldChar w:fldCharType="end"/>
      </w:r>
      <w:r w:rsidRPr="00EC0229">
        <w:t>, textiles, coins, imported lava stones,</w:t>
      </w:r>
      <w:r w:rsidRPr="00EC0229">
        <w:rPr>
          <w:rStyle w:val="FootnoteReference"/>
        </w:rPr>
        <w:footnoteReference w:id="1133"/>
      </w:r>
      <w:r w:rsidRPr="00EC0229">
        <w:t xml:space="preserve"> and shells – including a cowrie from the Red Sea from the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period.</w:t>
      </w:r>
    </w:p>
    <w:p w14:paraId="33F9DF57" w14:textId="77777777" w:rsidR="00697BBB" w:rsidRPr="00EC0229" w:rsidRDefault="00697BBB" w:rsidP="007600EA">
      <w:pPr>
        <w:pStyle w:val="NoSpacing"/>
        <w:spacing w:line="360" w:lineRule="auto"/>
      </w:pPr>
    </w:p>
    <w:p w14:paraId="13F9D165" w14:textId="3158D3E5" w:rsidR="00697BBB" w:rsidRPr="00EC0229" w:rsidRDefault="00697BBB" w:rsidP="007600EA">
      <w:pPr>
        <w:pStyle w:val="NoSpacing"/>
        <w:spacing w:line="360" w:lineRule="auto"/>
      </w:pPr>
      <w:bookmarkStart w:id="835" w:name="rank"/>
      <w:bookmarkEnd w:id="835"/>
      <w:r w:rsidRPr="00EC0229">
        <w:t>What emer</w:t>
      </w:r>
      <w:r w:rsidR="00FF44EB" w:rsidRPr="00EC0229">
        <w:t xml:space="preserve">ged was a ladder of occupation, </w:t>
      </w:r>
      <w:r w:rsidRPr="00EC0229">
        <w:rPr>
          <w:i/>
        </w:rPr>
        <w:t>Map</w:t>
      </w:r>
      <w:r w:rsidR="00584C42" w:rsidRPr="00EC0229">
        <w:rPr>
          <w:i/>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rPr>
        <w:fldChar w:fldCharType="end"/>
      </w:r>
      <w:r w:rsidRPr="00EC0229">
        <w:rPr>
          <w:i/>
        </w:rPr>
        <w:t xml:space="preserve"> </w:t>
      </w:r>
      <w:r w:rsidR="004048E5" w:rsidRPr="00EC0229">
        <w:rPr>
          <w:i/>
        </w:rPr>
        <w:t>8.21</w:t>
      </w:r>
      <w:r w:rsidRPr="00EC0229">
        <w:t xml:space="preserve"> that was ‘blurred and disjointed…structures, corrals, fence-lines, and ditches were periodically redefined as buildings wore out and patches of ground became rank.’</w:t>
      </w:r>
      <w:r w:rsidRPr="00EC0229">
        <w:rPr>
          <w:rStyle w:val="FootnoteReference"/>
        </w:rPr>
        <w:footnoteReference w:id="1134"/>
      </w:r>
      <w:r w:rsidRPr="00EC0229">
        <w:t xml:space="preserve"> The ladder ran continuously for six miles and continually, west to Hovingham, for over twenty, ‘neither nucleated nor dispersed, but a filament of farms, a linear agricultural commune one building wide and tens of miles long’,</w:t>
      </w:r>
      <w:r w:rsidRPr="00EC0229">
        <w:rPr>
          <w:rStyle w:val="FootnoteReference"/>
        </w:rPr>
        <w:footnoteReference w:id="1135"/>
      </w:r>
      <w:r w:rsidRPr="00EC0229">
        <w:t xml:space="preserve"> originating around 500</w:t>
      </w:r>
      <w:r w:rsidRPr="00EC0229">
        <w:rPr>
          <w:sz w:val="20"/>
          <w:szCs w:val="20"/>
        </w:rPr>
        <w:t>BCE</w:t>
      </w:r>
      <w:r w:rsidRPr="00EC0229">
        <w:t xml:space="preserve"> and occupied for more than a millennium.</w:t>
      </w:r>
    </w:p>
    <w:p w14:paraId="71E2B96C" w14:textId="77777777" w:rsidR="00697BBB" w:rsidRPr="00EC0229" w:rsidRDefault="00697BBB" w:rsidP="007600EA">
      <w:pPr>
        <w:pStyle w:val="NoSpacing"/>
        <w:spacing w:line="360" w:lineRule="auto"/>
      </w:pPr>
    </w:p>
    <w:p w14:paraId="21F06B1C" w14:textId="290B1DE6" w:rsidR="00697BBB" w:rsidRPr="00EC0229" w:rsidRDefault="00697BBB" w:rsidP="007600EA">
      <w:pPr>
        <w:pStyle w:val="NoSpacing"/>
        <w:spacing w:line="360" w:lineRule="auto"/>
        <w:rPr>
          <w:vertAlign w:val="superscript"/>
        </w:rPr>
      </w:pPr>
      <w:r w:rsidRPr="00EC0229">
        <w:t>This is far from the conventional perception of post-Roman</w:t>
      </w:r>
      <w:r w:rsidR="00D142DC" w:rsidRPr="00EC0229">
        <w:fldChar w:fldCharType="begin"/>
      </w:r>
      <w:r w:rsidR="00D142DC" w:rsidRPr="00EC0229">
        <w:instrText xml:space="preserve"> XE "Roman" </w:instrText>
      </w:r>
      <w:r w:rsidR="00D142DC" w:rsidRPr="00EC0229">
        <w:fldChar w:fldCharType="end"/>
      </w:r>
      <w:r w:rsidRPr="00EC0229">
        <w:t xml:space="preserve"> demographic collapse,</w:t>
      </w:r>
      <w:r w:rsidRPr="00EC0229">
        <w:rPr>
          <w:rStyle w:val="FootnoteReference"/>
        </w:rPr>
        <w:t xml:space="preserve"> </w:t>
      </w:r>
      <w:r w:rsidRPr="00EC0229">
        <w:rPr>
          <w:rStyle w:val="FootnoteReference"/>
        </w:rPr>
        <w:footnoteReference w:id="1136"/>
      </w:r>
      <w:r w:rsidRPr="00EC0229">
        <w:t xml:space="preserve">  ‘rewilding’</w:t>
      </w:r>
      <w:r w:rsidRPr="00EC0229">
        <w:rPr>
          <w:rStyle w:val="FootnoteReference"/>
        </w:rPr>
        <w:footnoteReference w:id="1137"/>
      </w:r>
      <w:r w:rsidRPr="00EC0229">
        <w:t xml:space="preserve"> and the imagined sequence of migrations, conquests and associated land clearance. The evidence from Heslerton, undermines the conventional view that settlements were small and longevity limited. There may have been specific discontinuities – hand-made pottery replaced wheel-made pottery - and land-use may have changed, but this is likely to have been due to the expiration of Roman land-ownership presenting improved opportunities.</w:t>
      </w:r>
    </w:p>
    <w:p w14:paraId="1F49C2DA" w14:textId="406A7A12" w:rsidR="00697BBB" w:rsidRPr="00EC0229" w:rsidRDefault="00697BBB" w:rsidP="007600EA">
      <w:pPr>
        <w:pStyle w:val="NoSpacing"/>
        <w:spacing w:line="360" w:lineRule="auto"/>
      </w:pPr>
      <w:r w:rsidRPr="00EC0229">
        <w:t>Morris called to witness the wide scatter of single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coin finds: ‘the tempo of economic activity they imply is brisk.’</w:t>
      </w:r>
      <w:r w:rsidRPr="00EC0229">
        <w:rPr>
          <w:rStyle w:val="FootnoteReference"/>
        </w:rPr>
        <w:footnoteReference w:id="1138"/>
      </w:r>
    </w:p>
    <w:p w14:paraId="6BC4E914" w14:textId="77777777" w:rsidR="00697BBB" w:rsidRPr="00EC0229" w:rsidRDefault="00697BBB" w:rsidP="007600EA">
      <w:pPr>
        <w:pStyle w:val="NoSpacing"/>
        <w:spacing w:line="360" w:lineRule="auto"/>
      </w:pPr>
    </w:p>
    <w:p w14:paraId="7C2E93D5" w14:textId="43B3C40D" w:rsidR="00697BBB" w:rsidRPr="00EC0229" w:rsidRDefault="00697BBB" w:rsidP="007600EA">
      <w:pPr>
        <w:pStyle w:val="NoSpacing"/>
        <w:spacing w:line="360" w:lineRule="auto"/>
      </w:pPr>
      <w:r w:rsidRPr="00EC0229">
        <w:t>Between the fifth and seventh centuries, Anglo-Saxons reused prehistoric sites - as in the case of the Heslerton cemetery over the Neolithic henge and Bronze Age barrows - but thereafter, churches such as Sherburn</w:t>
      </w:r>
      <w:r w:rsidR="006B1593" w:rsidRPr="00EC0229">
        <w:fldChar w:fldCharType="begin"/>
      </w:r>
      <w:r w:rsidR="006B1593" w:rsidRPr="00EC0229">
        <w:instrText xml:space="preserve"> XE "</w:instrText>
      </w:r>
      <w:r w:rsidR="006B1593" w:rsidRPr="00EC0229">
        <w:rPr>
          <w:rStyle w:val="Hyperlink"/>
          <w:noProof/>
          <w:u w:val="none"/>
        </w:rPr>
        <w:instrText>Sherburn</w:instrText>
      </w:r>
      <w:r w:rsidR="006B1593" w:rsidRPr="00EC0229">
        <w:instrText xml:space="preserve">" </w:instrText>
      </w:r>
      <w:r w:rsidR="006B1593" w:rsidRPr="00EC0229">
        <w:fldChar w:fldCharType="end"/>
      </w:r>
      <w:r w:rsidRPr="00EC0229">
        <w:t xml:space="preserve"> reserved control over burial.</w:t>
      </w:r>
      <w:r w:rsidRPr="00EC0229">
        <w:rPr>
          <w:rStyle w:val="FootnoteReference"/>
        </w:rPr>
        <w:footnoteReference w:id="1139"/>
      </w:r>
      <w:r w:rsidRPr="00EC0229">
        <w:t xml:space="preserve"> Heslerton shows zoned activity into </w:t>
      </w:r>
      <w:r w:rsidR="00F139AF" w:rsidRPr="00EC0229">
        <w:lastRenderedPageBreak/>
        <w:t>the ninth century</w:t>
      </w:r>
      <w:r w:rsidRPr="00EC0229">
        <w:t>, from which time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architecture in the form </w:t>
      </w:r>
      <w:r w:rsidRPr="00EC0229">
        <w:rPr>
          <w:i/>
        </w:rPr>
        <w:t>Grubenh</w:t>
      </w:r>
      <w:r w:rsidRPr="00EC0229">
        <w:rPr>
          <w:rFonts w:cs="Times New Roman"/>
          <w:i/>
        </w:rPr>
        <w:t>ä</w:t>
      </w:r>
      <w:r w:rsidRPr="00EC0229">
        <w:rPr>
          <w:i/>
        </w:rPr>
        <w:t>user</w:t>
      </w:r>
      <w:r w:rsidRPr="00EC0229">
        <w:t>,</w:t>
      </w:r>
      <w:r w:rsidRPr="00EC0229">
        <w:rPr>
          <w:rStyle w:val="FootnoteReference"/>
        </w:rPr>
        <w:footnoteReference w:id="1140"/>
      </w:r>
      <w:r w:rsidRPr="00EC0229">
        <w:t xml:space="preserve"> of varying sizes, fulfil different functional, as opposed to domestic, </w:t>
      </w:r>
      <w:r w:rsidR="00A972E7" w:rsidRPr="00EC0229">
        <w:t>rôle</w:t>
      </w:r>
      <w:r w:rsidRPr="00EC0229">
        <w:t xml:space="preserve">s. </w:t>
      </w:r>
    </w:p>
    <w:p w14:paraId="21EA3E0E" w14:textId="77777777" w:rsidR="00697BBB" w:rsidRPr="00EC0229" w:rsidRDefault="00697BBB" w:rsidP="007600EA">
      <w:pPr>
        <w:pStyle w:val="NoSpacing"/>
        <w:spacing w:line="360" w:lineRule="auto"/>
      </w:pPr>
    </w:p>
    <w:p w14:paraId="325B5350" w14:textId="1CD26133" w:rsidR="00697BBB" w:rsidRPr="00EC0229" w:rsidRDefault="00697BBB" w:rsidP="007600EA">
      <w:pPr>
        <w:pStyle w:val="NoSpacing"/>
        <w:spacing w:line="360" w:lineRule="auto"/>
      </w:pPr>
      <w:r w:rsidRPr="00EC0229">
        <w:t xml:space="preserve">For the period </w:t>
      </w:r>
      <w:r w:rsidRPr="00EC0229">
        <w:rPr>
          <w:i/>
        </w:rPr>
        <w:t>c.</w:t>
      </w:r>
      <w:r w:rsidRPr="00EC0229">
        <w:t xml:space="preserve">650 to </w:t>
      </w:r>
      <w:r w:rsidRPr="00EC0229">
        <w:rPr>
          <w:i/>
        </w:rPr>
        <w:t>c</w:t>
      </w:r>
      <w:r w:rsidRPr="00EC0229">
        <w:t>.800, excavation produced a wealth of cultural material showing work in different materials – iron, bone, antler, ceramics</w:t>
      </w:r>
      <w:r w:rsidR="008960AE" w:rsidRPr="00EC0229">
        <w:fldChar w:fldCharType="begin"/>
      </w:r>
      <w:r w:rsidR="008960AE" w:rsidRPr="00EC0229">
        <w:instrText xml:space="preserve"> XE "</w:instrText>
      </w:r>
      <w:r w:rsidR="008960AE" w:rsidRPr="00EC0229">
        <w:rPr>
          <w:szCs w:val="24"/>
        </w:rPr>
        <w:instrText>ceramics</w:instrText>
      </w:r>
      <w:r w:rsidR="008960AE" w:rsidRPr="00EC0229">
        <w:instrText xml:space="preserve">" </w:instrText>
      </w:r>
      <w:r w:rsidR="008960AE" w:rsidRPr="00EC0229">
        <w:fldChar w:fldCharType="end"/>
      </w:r>
      <w:r w:rsidRPr="00EC0229">
        <w:t xml:space="preserve"> and wood. There may have been exchanges of animals and textiles for German lava quern-stones. Pigs, fowl and geese w</w:t>
      </w:r>
      <w:r w:rsidR="001707D4" w:rsidRPr="00EC0229">
        <w:t>ere kept and Powlesland commented</w:t>
      </w:r>
      <w:r w:rsidRPr="00EC0229">
        <w:t xml:space="preserve"> on the absence of cattle and sheep of ‘market age’ implying that these would have been traded or rendered as tax.</w:t>
      </w:r>
      <w:r w:rsidRPr="00EC0229">
        <w:rPr>
          <w:rStyle w:val="FootnoteReference"/>
        </w:rPr>
        <w:footnoteReference w:id="1141"/>
      </w:r>
      <w:r w:rsidRPr="00EC0229">
        <w:t xml:space="preserve"> </w:t>
      </w:r>
    </w:p>
    <w:p w14:paraId="7497EEB0" w14:textId="77777777" w:rsidR="00697BBB" w:rsidRPr="00EC0229" w:rsidRDefault="00697BBB" w:rsidP="007600EA">
      <w:pPr>
        <w:pStyle w:val="NoSpacing"/>
        <w:spacing w:line="360" w:lineRule="auto"/>
      </w:pPr>
    </w:p>
    <w:p w14:paraId="03ACD2D9" w14:textId="04425CDA" w:rsidR="00697BBB" w:rsidRPr="00EC0229" w:rsidRDefault="00697BBB" w:rsidP="007600EA">
      <w:pPr>
        <w:pStyle w:val="NoSpacing"/>
        <w:spacing w:line="360" w:lineRule="auto"/>
      </w:pPr>
      <w:r w:rsidRPr="00EC0229">
        <w:t>Rising groundwater, resulting from a wetter climate, may have caused a depopulation of the ‘ladder’ from around 850, according to numismatic evidence, with a move to West Heslerton</w:t>
      </w:r>
      <w:r w:rsidR="006B1593" w:rsidRPr="00EC0229">
        <w:fldChar w:fldCharType="begin"/>
      </w:r>
      <w:r w:rsidR="006B1593" w:rsidRPr="00EC0229">
        <w:instrText xml:space="preserve"> XE "</w:instrText>
      </w:r>
      <w:r w:rsidR="006B1593" w:rsidRPr="00EC0229">
        <w:rPr>
          <w:rStyle w:val="Hyperlink"/>
          <w:noProof/>
          <w:u w:val="none"/>
        </w:rPr>
        <w:instrText>West Heslerton</w:instrText>
      </w:r>
      <w:r w:rsidR="006B1593" w:rsidRPr="00EC0229">
        <w:instrText xml:space="preserve">" </w:instrText>
      </w:r>
      <w:r w:rsidR="006B1593" w:rsidRPr="00EC0229">
        <w:fldChar w:fldCharType="end"/>
      </w:r>
      <w:r w:rsidRPr="00EC0229">
        <w:t xml:space="preserve"> village</w:t>
      </w:r>
      <w:r w:rsidR="006B58AC" w:rsidRPr="00EC0229">
        <w:t xml:space="preserve"> reflecting</w:t>
      </w:r>
      <w:r w:rsidRPr="00EC0229">
        <w:t xml:space="preserve"> ‘an evolution from late prehistoric society that Rome had ruled and exploited but not significantly altered.’</w:t>
      </w:r>
      <w:r w:rsidRPr="00EC0229">
        <w:rPr>
          <w:rStyle w:val="FootnoteReference"/>
        </w:rPr>
        <w:footnoteReference w:id="1142"/>
      </w:r>
      <w:r w:rsidRPr="00EC0229">
        <w:t xml:space="preserve"> The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site was absorbed into the open fields of the village. Morris saw ‘not a systemic migration…but a bundle of sporadic episodes involving groupings of different size and varying composition.’</w:t>
      </w:r>
      <w:r w:rsidRPr="00EC0229">
        <w:rPr>
          <w:rStyle w:val="FootnoteReference"/>
        </w:rPr>
        <w:footnoteReference w:id="1143"/>
      </w:r>
      <w:r w:rsidRPr="00EC0229">
        <w:t xml:space="preserve"> </w:t>
      </w:r>
    </w:p>
    <w:p w14:paraId="18217A85" w14:textId="77777777" w:rsidR="00697BBB" w:rsidRPr="00EC0229" w:rsidRDefault="00697BBB" w:rsidP="007600EA">
      <w:pPr>
        <w:pStyle w:val="NoSpacing"/>
        <w:spacing w:line="360" w:lineRule="auto"/>
      </w:pPr>
    </w:p>
    <w:p w14:paraId="5765EFD2" w14:textId="76530AFD" w:rsidR="00697BBB" w:rsidRPr="00EC0229" w:rsidRDefault="00697BBB" w:rsidP="007600EA">
      <w:pPr>
        <w:pStyle w:val="NoSpacing"/>
        <w:spacing w:line="360" w:lineRule="auto"/>
        <w:rPr>
          <w:szCs w:val="24"/>
        </w:rPr>
      </w:pPr>
      <w:r w:rsidRPr="00EC0229">
        <w:t>However, reminiscent of both Fishergate</w:t>
      </w:r>
      <w:r w:rsidR="006B1593" w:rsidRPr="00EC0229">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fldChar w:fldCharType="end"/>
      </w:r>
      <w:r w:rsidRPr="00EC0229">
        <w:t xml:space="preserve"> and Wharram Percy</w:t>
      </w:r>
      <w:r w:rsidR="006B1593" w:rsidRPr="00EC0229">
        <w:fldChar w:fldCharType="begin"/>
      </w:r>
      <w:r w:rsidR="006B1593" w:rsidRPr="00EC0229">
        <w:instrText xml:space="preserve"> XE "</w:instrText>
      </w:r>
      <w:r w:rsidR="006B1593" w:rsidRPr="00EC0229">
        <w:rPr>
          <w:rStyle w:val="Hyperlink"/>
          <w:noProof/>
          <w:u w:val="none"/>
        </w:rPr>
        <w:instrText>Wharram Percy</w:instrText>
      </w:r>
      <w:r w:rsidR="006B1593" w:rsidRPr="00EC0229">
        <w:instrText xml:space="preserve">" </w:instrText>
      </w:r>
      <w:r w:rsidR="006B1593" w:rsidRPr="00EC0229">
        <w:fldChar w:fldCharType="end"/>
      </w:r>
      <w:r w:rsidRPr="00EC0229">
        <w:t>, the numismatic evidence is slender, especially here, in view of the intensive archaeological</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fldChar w:fldCharType="end"/>
      </w:r>
      <w:r w:rsidRPr="00EC0229">
        <w:t xml:space="preserve"> exploration of an unprecedentedly large area over many years. The </w:t>
      </w:r>
      <w:r w:rsidR="00497AC3" w:rsidRPr="00EC0229">
        <w:t>dataset</w:t>
      </w:r>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r w:rsidRPr="00EC0229">
        <w:t xml:space="preserve"> has a relatively modest forty-five specimens, including thirteen sceats, four of which are Frisian Series</w:t>
      </w:r>
      <w:r w:rsidR="00D142DC" w:rsidRPr="00EC0229">
        <w:fldChar w:fldCharType="begin"/>
      </w:r>
      <w:r w:rsidR="00D142DC" w:rsidRPr="00EC0229">
        <w:instrText xml:space="preserve"> XE "Series" </w:instrText>
      </w:r>
      <w:r w:rsidR="00D142DC" w:rsidRPr="00EC0229">
        <w:fldChar w:fldCharType="end"/>
      </w:r>
      <w:r w:rsidRPr="00EC0229">
        <w:t xml:space="preserve"> E</w:t>
      </w:r>
      <w:r w:rsidR="008344F3" w:rsidRPr="00EC0229">
        <w:fldChar w:fldCharType="begin"/>
      </w:r>
      <w:r w:rsidR="008344F3" w:rsidRPr="00EC0229">
        <w:instrText xml:space="preserve"> XE "Series E" </w:instrText>
      </w:r>
      <w:r w:rsidR="008344F3" w:rsidRPr="00EC0229">
        <w:fldChar w:fldCharType="end"/>
      </w:r>
      <w:r w:rsidRPr="00EC0229">
        <w:t>, divided equally between primary and secondary types</w:t>
      </w:r>
      <w:r w:rsidR="00662400" w:rsidRPr="00EC0229">
        <w:t xml:space="preserve"> (see </w:t>
      </w:r>
      <w:r w:rsidR="00662400" w:rsidRPr="00EC0229">
        <w:fldChar w:fldCharType="begin"/>
      </w:r>
      <w:r w:rsidR="00662400" w:rsidRPr="00EC0229">
        <w:instrText xml:space="preserve"> PAGEREF Malton \h </w:instrText>
      </w:r>
      <w:r w:rsidR="00662400" w:rsidRPr="00EC0229">
        <w:fldChar w:fldCharType="separate"/>
      </w:r>
      <w:r w:rsidR="0012026B">
        <w:rPr>
          <w:noProof/>
        </w:rPr>
        <w:t>268</w:t>
      </w:r>
      <w:r w:rsidR="00662400" w:rsidRPr="00EC0229">
        <w:fldChar w:fldCharType="end"/>
      </w:r>
      <w:r w:rsidR="00662400" w:rsidRPr="00EC0229">
        <w:t>)</w:t>
      </w:r>
      <w:r w:rsidR="00FA35F8" w:rsidRPr="00EC0229">
        <w:t>, [4c/5c]</w:t>
      </w:r>
      <w:r w:rsidRPr="00EC0229">
        <w:t>. At least this implies North Sea trade, possibly indirect, as none is pristine. The other sceats are Northumbrian issues of Eadberht</w:t>
      </w:r>
      <w:r w:rsidR="00D142DC" w:rsidRPr="00EC0229">
        <w:fldChar w:fldCharType="begin"/>
      </w:r>
      <w:r w:rsidR="00D142DC" w:rsidRPr="00EC0229">
        <w:instrText xml:space="preserve"> XE "Eadberht" </w:instrText>
      </w:r>
      <w:r w:rsidR="00D142DC" w:rsidRPr="00EC0229">
        <w:fldChar w:fldCharType="end"/>
      </w:r>
      <w:r w:rsidRPr="00EC0229">
        <w:t xml:space="preserve">, </w:t>
      </w:r>
      <w:r w:rsidR="00FA35F8" w:rsidRPr="00EC0229">
        <w:t xml:space="preserve">[N6], </w:t>
      </w:r>
      <w:r w:rsidRPr="00EC0229">
        <w:t>Eadberht with Ecgberht</w:t>
      </w:r>
      <w:r w:rsidR="00D142DC" w:rsidRPr="00EC0229">
        <w:fldChar w:fldCharType="begin"/>
      </w:r>
      <w:r w:rsidR="00D142DC" w:rsidRPr="00EC0229">
        <w:instrText xml:space="preserve"> XE "Ecgberht" </w:instrText>
      </w:r>
      <w:r w:rsidR="00D142DC" w:rsidRPr="00EC0229">
        <w:fldChar w:fldCharType="end"/>
      </w:r>
      <w:r w:rsidRPr="00EC0229">
        <w:t xml:space="preserve">, </w:t>
      </w:r>
      <w:r w:rsidR="00FA35F8" w:rsidRPr="00EC0229">
        <w:t xml:space="preserve">[N7], </w:t>
      </w:r>
      <w:r w:rsidRPr="00EC0229">
        <w:t xml:space="preserve">and </w:t>
      </w:r>
      <w:r w:rsidRPr="00EC0229">
        <w:rPr>
          <w:rFonts w:cs="Times New Roman"/>
        </w:rPr>
        <w:t>Æ</w:t>
      </w:r>
      <w:r w:rsidRPr="00EC0229">
        <w:t>lfwald</w:t>
      </w:r>
      <w:r w:rsidR="004C29A9" w:rsidRPr="00EC0229">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fldChar w:fldCharType="end"/>
      </w:r>
      <w:r w:rsidRPr="00EC0229">
        <w:t xml:space="preserve"> I</w:t>
      </w:r>
      <w:r w:rsidR="00FA35F8" w:rsidRPr="00EC0229">
        <w:t>,</w:t>
      </w:r>
      <w:r w:rsidRPr="00EC0229">
        <w:t xml:space="preserve"> </w:t>
      </w:r>
      <w:r w:rsidR="00FA35F8" w:rsidRPr="00EC0229">
        <w:t xml:space="preserve">[N6], </w:t>
      </w:r>
      <w:r w:rsidRPr="00EC0229">
        <w:t>and the brass stycas</w:t>
      </w:r>
      <w:r w:rsidR="00FA35F8" w:rsidRPr="00EC0229">
        <w:t>,</w:t>
      </w:r>
      <w:r w:rsidRPr="00EC0229">
        <w:t xml:space="preserve"> </w:t>
      </w:r>
      <w:r w:rsidR="00FA35F8" w:rsidRPr="00EC0229">
        <w:t xml:space="preserve">[N10a], </w:t>
      </w:r>
      <w:r w:rsidRPr="00EC0229">
        <w:t>are all well-used including one bronze issue of Osberht</w:t>
      </w:r>
      <w:r w:rsidR="00FA35F8" w:rsidRPr="00EC0229">
        <w:t>, [N10b]</w:t>
      </w:r>
      <w:r w:rsidR="00D142DC" w:rsidRPr="00EC0229">
        <w:fldChar w:fldCharType="begin"/>
      </w:r>
      <w:r w:rsidR="00D142DC" w:rsidRPr="00EC0229">
        <w:instrText xml:space="preserve"> XE "Osberht" </w:instrText>
      </w:r>
      <w:r w:rsidR="00D142DC" w:rsidRPr="00EC0229">
        <w:fldChar w:fldCharType="end"/>
      </w:r>
      <w:r w:rsidRPr="00EC0229">
        <w:t>.</w:t>
      </w:r>
      <w:r w:rsidR="005C0BF3" w:rsidRPr="00EC0229">
        <w:rPr>
          <w:szCs w:val="24"/>
        </w:rPr>
        <w:t xml:space="preserve"> Bonser also listed</w:t>
      </w:r>
      <w:r w:rsidRPr="00EC0229">
        <w:rPr>
          <w:szCs w:val="24"/>
        </w:rPr>
        <w:t xml:space="preserve"> sceatta</w:t>
      </w:r>
      <w:r w:rsidR="00D142DC" w:rsidRPr="00EC0229">
        <w:rPr>
          <w:szCs w:val="24"/>
        </w:rPr>
        <w:fldChar w:fldCharType="begin"/>
      </w:r>
      <w:r w:rsidR="00D142DC" w:rsidRPr="00EC0229">
        <w:instrText xml:space="preserve"> XE "sceatta" </w:instrText>
      </w:r>
      <w:r w:rsidR="00D142DC" w:rsidRPr="00EC0229">
        <w:rPr>
          <w:szCs w:val="24"/>
        </w:rPr>
        <w:fldChar w:fldCharType="end"/>
      </w:r>
      <w:r w:rsidR="005C0BF3" w:rsidRPr="00EC0229">
        <w:rPr>
          <w:szCs w:val="24"/>
        </w:rPr>
        <w:t xml:space="preserve"> specimens of Series </w:t>
      </w:r>
      <w:r w:rsidR="00FA35F8" w:rsidRPr="00EC0229">
        <w:rPr>
          <w:szCs w:val="24"/>
        </w:rPr>
        <w:t xml:space="preserve">G (Quentovic), and X (Ribe), [4c/5c], </w:t>
      </w:r>
      <w:r w:rsidR="005C0BF3" w:rsidRPr="00EC0229">
        <w:rPr>
          <w:szCs w:val="24"/>
        </w:rPr>
        <w:t>J (two</w:t>
      </w:r>
      <w:r w:rsidR="00FA35F8" w:rsidRPr="00EC0229">
        <w:rPr>
          <w:szCs w:val="24"/>
        </w:rPr>
        <w:t>),</w:t>
      </w:r>
      <w:r w:rsidRPr="00EC0229">
        <w:rPr>
          <w:szCs w:val="24"/>
        </w:rPr>
        <w:t xml:space="preserve"> </w:t>
      </w:r>
      <w:r w:rsidR="00FA35F8" w:rsidRPr="00EC0229">
        <w:rPr>
          <w:szCs w:val="24"/>
        </w:rPr>
        <w:t>[5a]</w:t>
      </w:r>
      <w:r w:rsidRPr="00EC0229">
        <w:rPr>
          <w:szCs w:val="24"/>
        </w:rPr>
        <w:t xml:space="preserve">, </w:t>
      </w:r>
      <w:r w:rsidR="00FA35F8" w:rsidRPr="00EC0229">
        <w:rPr>
          <w:szCs w:val="24"/>
        </w:rPr>
        <w:t xml:space="preserve">and L (London), [5b], </w:t>
      </w:r>
      <w:r w:rsidRPr="00EC0229">
        <w:rPr>
          <w:szCs w:val="24"/>
        </w:rPr>
        <w:t>which are not in my formal and lend the site a wider trading flavour.</w:t>
      </w:r>
      <w:r w:rsidRPr="00EC0229">
        <w:rPr>
          <w:rStyle w:val="FootnoteReference"/>
          <w:szCs w:val="24"/>
        </w:rPr>
        <w:footnoteReference w:id="1144"/>
      </w:r>
      <w:r w:rsidRPr="00EC0229">
        <w:rPr>
          <w:szCs w:val="24"/>
        </w:rPr>
        <w:t xml:space="preserve"> </w:t>
      </w:r>
      <w:r w:rsidR="00530E34" w:rsidRPr="00A07A08">
        <w:rPr>
          <w:i/>
        </w:rPr>
        <w:t>Graph 7.</w:t>
      </w:r>
      <w:r w:rsidR="00530E34">
        <w:rPr>
          <w:i/>
        </w:rPr>
        <w:t>06 no. 33</w:t>
      </w:r>
      <w:r w:rsidR="00530E34">
        <w:t>.</w:t>
      </w:r>
    </w:p>
    <w:p w14:paraId="7CAE2B45" w14:textId="77777777" w:rsidR="00697BBB" w:rsidRPr="00EC0229" w:rsidRDefault="00697BBB" w:rsidP="007600EA">
      <w:pPr>
        <w:pStyle w:val="NoSpacing"/>
        <w:spacing w:line="360" w:lineRule="auto"/>
        <w:rPr>
          <w:szCs w:val="24"/>
        </w:rPr>
      </w:pPr>
    </w:p>
    <w:p w14:paraId="40BEEA0E" w14:textId="361529D2" w:rsidR="00697BBB" w:rsidRPr="00EC0229" w:rsidRDefault="00697BBB" w:rsidP="007600EA">
      <w:pPr>
        <w:pStyle w:val="NoSpacing"/>
        <w:spacing w:line="360" w:lineRule="auto"/>
      </w:pPr>
      <w:r w:rsidRPr="00EC0229">
        <w:t>The failure to metal detect this substantial site and a reluctance to co-operate as privately recorded by Pirie</w:t>
      </w:r>
      <w:r w:rsidR="00716433" w:rsidRPr="00EC0229">
        <w:fldChar w:fldCharType="begin"/>
      </w:r>
      <w:r w:rsidR="00716433" w:rsidRPr="00EC0229">
        <w:instrText xml:space="preserve"> XE "Pirie" </w:instrText>
      </w:r>
      <w:r w:rsidR="00716433" w:rsidRPr="00EC0229">
        <w:fldChar w:fldCharType="end"/>
      </w:r>
      <w:r w:rsidRPr="00EC0229">
        <w:t>,</w:t>
      </w:r>
      <w:r w:rsidRPr="00EC0229">
        <w:rPr>
          <w:rStyle w:val="FootnoteReference"/>
        </w:rPr>
        <w:footnoteReference w:id="1145"/>
      </w:r>
      <w:r w:rsidRPr="00EC0229">
        <w:t xml:space="preserve"> causes a potentially serious omission from the numismatic and artefactual </w:t>
      </w:r>
      <w:r w:rsidRPr="00EC0229">
        <w:lastRenderedPageBreak/>
        <w:t>record, especially as nighthawking would have removed the prospect of repairing this deficiency.</w:t>
      </w:r>
      <w:r w:rsidRPr="00EC0229">
        <w:rPr>
          <w:rStyle w:val="FootnoteReference"/>
        </w:rPr>
        <w:footnoteReference w:id="1146"/>
      </w:r>
      <w:r w:rsidRPr="00EC0229">
        <w:t xml:space="preserve"> </w:t>
      </w:r>
      <w:r w:rsidR="00BB6B2C" w:rsidRPr="00EC0229">
        <w:t xml:space="preserve">The presumption, based on the volume of visually detected coin finds by area, is that coins were largely absent rather than missed. </w:t>
      </w:r>
      <w:r w:rsidRPr="00EC0229">
        <w:t>Powlesland remarked on the self-sufficiency of the settlement</w:t>
      </w:r>
      <w:r w:rsidR="00D142DC" w:rsidRPr="00EC0229">
        <w:fldChar w:fldCharType="begin"/>
      </w:r>
      <w:r w:rsidR="00D142DC" w:rsidRPr="00EC0229">
        <w:instrText xml:space="preserve"> XE "settlement" </w:instrText>
      </w:r>
      <w:r w:rsidR="00D142DC" w:rsidRPr="00EC0229">
        <w:fldChar w:fldCharType="end"/>
      </w:r>
      <w:r w:rsidRPr="00EC0229">
        <w:t>;</w:t>
      </w:r>
      <w:r w:rsidRPr="00EC0229">
        <w:rPr>
          <w:rStyle w:val="FootnoteReference"/>
        </w:rPr>
        <w:footnoteReference w:id="1147"/>
      </w:r>
      <w:r w:rsidRPr="00EC0229">
        <w:t xml:space="preserve"> perhaps this was of such an extent that coinage was not a necessity </w:t>
      </w:r>
      <w:r w:rsidR="00BB6B2C" w:rsidRPr="00EC0229">
        <w:t>here.</w:t>
      </w:r>
    </w:p>
    <w:p w14:paraId="7725FBD1" w14:textId="77777777" w:rsidR="00697BBB" w:rsidRPr="00EC0229" w:rsidRDefault="00697BBB" w:rsidP="007600EA">
      <w:pPr>
        <w:pStyle w:val="NoSpacing"/>
        <w:spacing w:line="360" w:lineRule="auto"/>
      </w:pPr>
    </w:p>
    <w:p w14:paraId="073A6DE0" w14:textId="08C239D3" w:rsidR="00697BBB" w:rsidRPr="0087285A" w:rsidRDefault="00697BBB" w:rsidP="00C97BF2">
      <w:pPr>
        <w:pStyle w:val="Heading4"/>
        <w:spacing w:line="360" w:lineRule="auto"/>
        <w:rPr>
          <w:b/>
        </w:rPr>
      </w:pPr>
      <w:bookmarkStart w:id="836" w:name="_Toc468266924"/>
      <w:bookmarkStart w:id="837" w:name="Sherburn"/>
      <w:r w:rsidRPr="0087285A">
        <w:rPr>
          <w:b/>
        </w:rPr>
        <w:t>Sherburn</w:t>
      </w:r>
      <w:bookmarkEnd w:id="836"/>
      <w:r w:rsidR="006B1593" w:rsidRPr="0087285A">
        <w:rPr>
          <w:b/>
        </w:rPr>
        <w:fldChar w:fldCharType="begin"/>
      </w:r>
      <w:r w:rsidR="006B1593" w:rsidRPr="0087285A">
        <w:rPr>
          <w:b/>
        </w:rPr>
        <w:instrText xml:space="preserve"> XE "</w:instrText>
      </w:r>
      <w:r w:rsidR="006B1593" w:rsidRPr="0087285A">
        <w:rPr>
          <w:rStyle w:val="Hyperlink"/>
          <w:b/>
          <w:noProof/>
          <w:u w:val="none"/>
        </w:rPr>
        <w:instrText>Sherburn</w:instrText>
      </w:r>
      <w:r w:rsidR="006B1593" w:rsidRPr="0087285A">
        <w:rPr>
          <w:b/>
        </w:rPr>
        <w:instrText xml:space="preserve">" </w:instrText>
      </w:r>
      <w:r w:rsidR="006B1593" w:rsidRPr="0087285A">
        <w:rPr>
          <w:b/>
        </w:rPr>
        <w:fldChar w:fldCharType="end"/>
      </w:r>
    </w:p>
    <w:bookmarkEnd w:id="837"/>
    <w:p w14:paraId="6795E20B" w14:textId="08697B34" w:rsidR="00697BBB" w:rsidRPr="00EC0229" w:rsidRDefault="00697BBB" w:rsidP="007600EA">
      <w:pPr>
        <w:pStyle w:val="NoSpacing"/>
        <w:spacing w:line="360" w:lineRule="auto"/>
      </w:pPr>
      <w:r w:rsidRPr="00EC0229">
        <w:t>As this is the site of a ladder settlement</w:t>
      </w:r>
      <w:r w:rsidR="00D142DC" w:rsidRPr="00EC0229">
        <w:fldChar w:fldCharType="begin"/>
      </w:r>
      <w:r w:rsidR="00D142DC" w:rsidRPr="00EC0229">
        <w:instrText xml:space="preserve"> XE "settlement" </w:instrText>
      </w:r>
      <w:r w:rsidR="00D142DC" w:rsidRPr="00EC0229">
        <w:fldChar w:fldCharType="end"/>
      </w:r>
      <w:r w:rsidRPr="00EC0229">
        <w:t xml:space="preserve"> and an early medieval religious house, that the scattering of ninth-century coins should be graced by the find of a handsome and rare, partially runic, pale-gold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portrait shilling of Pada</w:t>
      </w:r>
      <w:r w:rsidR="00695395" w:rsidRPr="00EC0229">
        <w:t xml:space="preserve"> (</w:t>
      </w:r>
      <w:r w:rsidR="009E07B9" w:rsidRPr="00EC0229">
        <w:fldChar w:fldCharType="begin"/>
      </w:r>
      <w:r w:rsidR="009E07B9" w:rsidRPr="00EC0229">
        <w:instrText xml:space="preserve"> REF _Ref430249299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153</w:t>
      </w:r>
      <w:r w:rsidR="009E07B9" w:rsidRPr="00EC0229">
        <w:fldChar w:fldCharType="end"/>
      </w:r>
      <w:r w:rsidR="00695395" w:rsidRPr="00EC0229">
        <w:t>)</w:t>
      </w:r>
      <w:r w:rsidRPr="00EC0229">
        <w:t xml:space="preserve">, </w:t>
      </w:r>
      <w:r w:rsidR="0086755B" w:rsidRPr="00EC0229">
        <w:t xml:space="preserve">[3c], </w:t>
      </w:r>
      <w:r w:rsidRPr="00EC0229">
        <w:t xml:space="preserve">should be no surprise. The wonder is that the many minsters </w:t>
      </w:r>
      <w:r w:rsidR="001004C4" w:rsidRPr="00EC0229">
        <w:t xml:space="preserve">of the area are not so endowed, </w:t>
      </w:r>
      <w:r w:rsidRPr="00EC0229">
        <w:rPr>
          <w:i/>
        </w:rPr>
        <w:t>Map</w:t>
      </w:r>
      <w:r w:rsidR="00584C42" w:rsidRPr="00EC0229">
        <w:rPr>
          <w:i/>
        </w:rPr>
        <w:fldChar w:fldCharType="begin"/>
      </w:r>
      <w:r w:rsidR="00584C42" w:rsidRPr="00EC0229">
        <w:rPr>
          <w:i/>
        </w:rPr>
        <w:instrText xml:space="preserve"> XE "</w:instrText>
      </w:r>
      <w:r w:rsidR="00584C42" w:rsidRPr="00EC0229">
        <w:rPr>
          <w:rStyle w:val="Hyperlink"/>
          <w:i/>
          <w:noProof/>
          <w:u w:val="none"/>
        </w:rPr>
        <w:instrText>Map</w:instrText>
      </w:r>
      <w:r w:rsidR="00584C42" w:rsidRPr="00EC0229">
        <w:rPr>
          <w:i/>
        </w:rPr>
        <w:instrText xml:space="preserve">" </w:instrText>
      </w:r>
      <w:r w:rsidR="00584C42" w:rsidRPr="00EC0229">
        <w:rPr>
          <w:i/>
        </w:rPr>
        <w:fldChar w:fldCharType="end"/>
      </w:r>
      <w:r w:rsidR="001004C4" w:rsidRPr="00EC0229">
        <w:rPr>
          <w:i/>
        </w:rPr>
        <w:t xml:space="preserve"> </w:t>
      </w:r>
      <w:r w:rsidR="004048E5" w:rsidRPr="00EC0229">
        <w:rPr>
          <w:i/>
        </w:rPr>
        <w:t>8.20</w:t>
      </w:r>
      <w:r w:rsidRPr="00EC0229">
        <w:t>.</w:t>
      </w:r>
      <w:r w:rsidR="00530E34">
        <w:t xml:space="preserve"> </w:t>
      </w:r>
      <w:r w:rsidR="00530E34" w:rsidRPr="00A07A08">
        <w:rPr>
          <w:i/>
        </w:rPr>
        <w:t>Graph 7.</w:t>
      </w:r>
      <w:r w:rsidR="00530E34">
        <w:rPr>
          <w:i/>
        </w:rPr>
        <w:t>06 no. 24</w:t>
      </w:r>
      <w:r w:rsidR="00530E34">
        <w:t>.</w:t>
      </w:r>
    </w:p>
    <w:p w14:paraId="7C0DBE9F" w14:textId="77777777" w:rsidR="00697BBB" w:rsidRPr="00EC0229" w:rsidRDefault="00697BBB" w:rsidP="007600EA">
      <w:pPr>
        <w:pStyle w:val="NoSpacing"/>
        <w:spacing w:line="360" w:lineRule="auto"/>
        <w:jc w:val="center"/>
      </w:pPr>
      <w:r w:rsidRPr="00EC0229">
        <w:rPr>
          <w:noProof/>
          <w:lang w:eastAsia="en-GB"/>
        </w:rPr>
        <w:drawing>
          <wp:inline distT="0" distB="0" distL="0" distR="0" wp14:anchorId="26006FDD" wp14:editId="79D044FA">
            <wp:extent cx="958908" cy="93345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da 1-10 Pa02 Sherburn.JPG"/>
                    <pic:cNvPicPr/>
                  </pic:nvPicPr>
                  <pic:blipFill>
                    <a:blip r:embed="rId479">
                      <a:extLst>
                        <a:ext uri="{28A0092B-C50C-407E-A947-70E740481C1C}">
                          <a14:useLocalDpi xmlns:a14="http://schemas.microsoft.com/office/drawing/2010/main" val="0"/>
                        </a:ext>
                      </a:extLst>
                    </a:blip>
                    <a:stretch>
                      <a:fillRect/>
                    </a:stretch>
                  </pic:blipFill>
                  <pic:spPr>
                    <a:xfrm>
                      <a:off x="0" y="0"/>
                      <a:ext cx="958908" cy="933450"/>
                    </a:xfrm>
                    <a:prstGeom prst="rect">
                      <a:avLst/>
                    </a:prstGeom>
                  </pic:spPr>
                </pic:pic>
              </a:graphicData>
            </a:graphic>
          </wp:inline>
        </w:drawing>
      </w:r>
      <w:r w:rsidRPr="00EC0229">
        <w:rPr>
          <w:noProof/>
          <w:lang w:eastAsia="en-GB"/>
        </w:rPr>
        <w:drawing>
          <wp:inline distT="0" distB="0" distL="0" distR="0" wp14:anchorId="45F326E7" wp14:editId="1C283DF8">
            <wp:extent cx="895113" cy="934720"/>
            <wp:effectExtent l="0" t="0" r="63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da 1-10 Pa02R Sherburn.JPG"/>
                    <pic:cNvPicPr/>
                  </pic:nvPicPr>
                  <pic:blipFill>
                    <a:blip r:embed="rId480">
                      <a:extLst>
                        <a:ext uri="{28A0092B-C50C-407E-A947-70E740481C1C}">
                          <a14:useLocalDpi xmlns:a14="http://schemas.microsoft.com/office/drawing/2010/main" val="0"/>
                        </a:ext>
                      </a:extLst>
                    </a:blip>
                    <a:stretch>
                      <a:fillRect/>
                    </a:stretch>
                  </pic:blipFill>
                  <pic:spPr>
                    <a:xfrm>
                      <a:off x="0" y="0"/>
                      <a:ext cx="907271" cy="947416"/>
                    </a:xfrm>
                    <a:prstGeom prst="rect">
                      <a:avLst/>
                    </a:prstGeom>
                  </pic:spPr>
                </pic:pic>
              </a:graphicData>
            </a:graphic>
          </wp:inline>
        </w:drawing>
      </w:r>
    </w:p>
    <w:p w14:paraId="3656D8EA" w14:textId="35452ABD" w:rsidR="00697BBB" w:rsidRPr="00EC0229" w:rsidRDefault="003977B6" w:rsidP="007600EA">
      <w:pPr>
        <w:spacing w:line="360" w:lineRule="auto"/>
        <w:jc w:val="center"/>
        <w:rPr>
          <w:sz w:val="20"/>
          <w:szCs w:val="20"/>
        </w:rPr>
      </w:pPr>
      <w:bookmarkStart w:id="838" w:name="_Ref430249299"/>
      <w:bookmarkStart w:id="839" w:name="_Toc468267125"/>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153</w:t>
      </w:r>
      <w:r w:rsidR="00B609E3" w:rsidRPr="00EC0229">
        <w:rPr>
          <w:noProof/>
          <w:sz w:val="20"/>
          <w:szCs w:val="20"/>
        </w:rPr>
        <w:fldChar w:fldCharType="end"/>
      </w:r>
      <w:bookmarkEnd w:id="838"/>
      <w:r w:rsidR="00606994" w:rsidRPr="00EC0229">
        <w:rPr>
          <w:sz w:val="20"/>
          <w:szCs w:val="20"/>
        </w:rPr>
        <w:t xml:space="preserve">: </w:t>
      </w:r>
      <w:r w:rsidR="00697BBB" w:rsidRPr="00EC0229">
        <w:rPr>
          <w:sz w:val="20"/>
          <w:szCs w:val="20"/>
        </w:rPr>
        <w:t>Pale-gold</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gold</w:instrText>
      </w:r>
      <w:r w:rsidR="008960AE" w:rsidRPr="00EC0229">
        <w:rPr>
          <w:sz w:val="20"/>
          <w:szCs w:val="20"/>
        </w:rPr>
        <w:instrText xml:space="preserve">" </w:instrText>
      </w:r>
      <w:r w:rsidR="008960AE" w:rsidRPr="00EC0229">
        <w:rPr>
          <w:sz w:val="20"/>
          <w:szCs w:val="20"/>
        </w:rPr>
        <w:fldChar w:fldCharType="end"/>
      </w:r>
      <w:r w:rsidR="00697BBB" w:rsidRPr="00EC0229">
        <w:rPr>
          <w:sz w:val="20"/>
          <w:szCs w:val="20"/>
        </w:rPr>
        <w:t xml:space="preserve"> shilling of Pada, runic reverse, found Sherburn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Sherburn</w:instrText>
      </w:r>
      <w:r w:rsidR="006B1593" w:rsidRPr="00EC0229">
        <w:rPr>
          <w:sz w:val="20"/>
          <w:szCs w:val="20"/>
        </w:rPr>
        <w:instrText xml:space="preserve">" </w:instrText>
      </w:r>
      <w:r w:rsidR="006B1593" w:rsidRPr="00EC0229">
        <w:rPr>
          <w:sz w:val="20"/>
          <w:szCs w:val="20"/>
        </w:rPr>
        <w:fldChar w:fldCharType="end"/>
      </w:r>
      <w:r w:rsidR="00697BBB" w:rsidRPr="00EC0229">
        <w:rPr>
          <w:rStyle w:val="FootnoteReference"/>
          <w:sz w:val="20"/>
          <w:szCs w:val="20"/>
        </w:rPr>
        <w:footnoteReference w:id="1148"/>
      </w:r>
      <w:bookmarkEnd w:id="839"/>
    </w:p>
    <w:p w14:paraId="367FA7AB" w14:textId="77777777" w:rsidR="00EE3FE5" w:rsidRPr="00EC0229" w:rsidRDefault="00EE3FE5" w:rsidP="007600EA">
      <w:pPr>
        <w:pStyle w:val="NoSpacing"/>
        <w:spacing w:line="360" w:lineRule="auto"/>
      </w:pPr>
    </w:p>
    <w:p w14:paraId="3CCC6C4A" w14:textId="1AFFE134" w:rsidR="00697BBB" w:rsidRPr="00EC0229" w:rsidRDefault="003178BE" w:rsidP="007600EA">
      <w:pPr>
        <w:pStyle w:val="NoSpacing"/>
        <w:spacing w:line="360" w:lineRule="auto"/>
        <w:rPr>
          <w:szCs w:val="24"/>
        </w:rPr>
      </w:pPr>
      <w:r w:rsidRPr="00EC0229">
        <w:rPr>
          <w:szCs w:val="24"/>
        </w:rPr>
        <w:t>A single</w:t>
      </w:r>
      <w:r w:rsidR="00697BBB" w:rsidRPr="00EC0229">
        <w:rPr>
          <w:szCs w:val="24"/>
        </w:rPr>
        <w:t xml:space="preserve"> find </w:t>
      </w:r>
      <w:r w:rsidRPr="00EC0229">
        <w:rPr>
          <w:szCs w:val="24"/>
        </w:rPr>
        <w:t>may be</w:t>
      </w:r>
      <w:r w:rsidR="00697BBB" w:rsidRPr="00EC0229">
        <w:rPr>
          <w:szCs w:val="24"/>
        </w:rPr>
        <w:t xml:space="preserve"> </w:t>
      </w:r>
      <w:r w:rsidRPr="00EC0229">
        <w:rPr>
          <w:szCs w:val="24"/>
        </w:rPr>
        <w:t>in</w:t>
      </w:r>
      <w:r w:rsidR="00697BBB" w:rsidRPr="00EC0229">
        <w:rPr>
          <w:szCs w:val="24"/>
        </w:rPr>
        <w:t>sufficient to validate the use of coin, in long-distance trade</w:t>
      </w:r>
      <w:r w:rsidR="008960AE" w:rsidRPr="00EC0229">
        <w:rPr>
          <w:szCs w:val="24"/>
        </w:rPr>
        <w:fldChar w:fldCharType="begin"/>
      </w:r>
      <w:r w:rsidR="008960AE" w:rsidRPr="00EC0229">
        <w:instrText xml:space="preserve"> XE "</w:instrText>
      </w:r>
      <w:r w:rsidR="008960AE" w:rsidRPr="00EC0229">
        <w:rPr>
          <w:rFonts w:cs="Times New Roman"/>
          <w:szCs w:val="24"/>
        </w:rPr>
        <w:instrText>long-distance trade</w:instrText>
      </w:r>
      <w:r w:rsidR="008960AE" w:rsidRPr="00EC0229">
        <w:instrText xml:space="preserve">" </w:instrText>
      </w:r>
      <w:r w:rsidR="008960AE" w:rsidRPr="00EC0229">
        <w:rPr>
          <w:szCs w:val="24"/>
        </w:rPr>
        <w:fldChar w:fldCharType="end"/>
      </w:r>
      <w:r w:rsidR="00697BBB" w:rsidRPr="00EC0229">
        <w:rPr>
          <w:szCs w:val="24"/>
        </w:rPr>
        <w:t xml:space="preserve">, in the final quarter of </w:t>
      </w:r>
      <w:r w:rsidR="00F139AF" w:rsidRPr="00EC0229">
        <w:rPr>
          <w:szCs w:val="24"/>
        </w:rPr>
        <w:t>the seventh century</w:t>
      </w:r>
      <w:r w:rsidR="00697BBB" w:rsidRPr="00EC0229">
        <w:rPr>
          <w:szCs w:val="24"/>
        </w:rPr>
        <w:t>, in the Vale of Pickering</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rPr>
          <w:szCs w:val="24"/>
        </w:rPr>
        <w:fldChar w:fldCharType="end"/>
      </w:r>
      <w:r w:rsidR="00697BBB" w:rsidRPr="00EC0229">
        <w:rPr>
          <w:szCs w:val="24"/>
        </w:rPr>
        <w:t xml:space="preserve">, </w:t>
      </w:r>
      <w:r w:rsidRPr="00EC0229">
        <w:rPr>
          <w:szCs w:val="24"/>
        </w:rPr>
        <w:t>but it is certainly indicative.</w:t>
      </w:r>
    </w:p>
    <w:p w14:paraId="65155242" w14:textId="77777777" w:rsidR="000F4E5A" w:rsidRPr="00EC0229" w:rsidRDefault="000F4E5A" w:rsidP="007600EA">
      <w:pPr>
        <w:spacing w:line="360" w:lineRule="auto"/>
      </w:pPr>
      <w:bookmarkStart w:id="840" w:name="Binnington"/>
      <w:bookmarkEnd w:id="840"/>
    </w:p>
    <w:p w14:paraId="3AD77C7A" w14:textId="4B9ACB89" w:rsidR="00697BBB" w:rsidRPr="0087285A" w:rsidRDefault="00697BBB" w:rsidP="00C97BF2">
      <w:pPr>
        <w:pStyle w:val="Heading4"/>
        <w:spacing w:line="360" w:lineRule="auto"/>
        <w:rPr>
          <w:b/>
        </w:rPr>
      </w:pPr>
      <w:bookmarkStart w:id="841" w:name="_Toc468266925"/>
      <w:r w:rsidRPr="0087285A">
        <w:rPr>
          <w:b/>
        </w:rPr>
        <w:t>Binnington</w:t>
      </w:r>
      <w:bookmarkEnd w:id="841"/>
      <w:r w:rsidR="006B1593" w:rsidRPr="0087285A">
        <w:rPr>
          <w:b/>
        </w:rPr>
        <w:fldChar w:fldCharType="begin"/>
      </w:r>
      <w:r w:rsidR="006B1593" w:rsidRPr="0087285A">
        <w:rPr>
          <w:b/>
        </w:rPr>
        <w:instrText xml:space="preserve"> XE "</w:instrText>
      </w:r>
      <w:r w:rsidR="006B1593" w:rsidRPr="0087285A">
        <w:rPr>
          <w:rStyle w:val="Hyperlink"/>
          <w:b/>
          <w:noProof/>
          <w:u w:val="none"/>
        </w:rPr>
        <w:instrText>Binnington</w:instrText>
      </w:r>
      <w:r w:rsidR="006B1593" w:rsidRPr="0087285A">
        <w:rPr>
          <w:b/>
        </w:rPr>
        <w:instrText xml:space="preserve">" </w:instrText>
      </w:r>
      <w:r w:rsidR="006B1593" w:rsidRPr="0087285A">
        <w:rPr>
          <w:b/>
        </w:rPr>
        <w:fldChar w:fldCharType="end"/>
      </w:r>
    </w:p>
    <w:p w14:paraId="66FFFF94" w14:textId="77777777" w:rsidR="0012026B" w:rsidRPr="0012026B" w:rsidRDefault="00697BBB" w:rsidP="0012026B">
      <w:pPr>
        <w:pStyle w:val="NoSpacing"/>
        <w:spacing w:line="360" w:lineRule="auto"/>
        <w:rPr>
          <w:szCs w:val="24"/>
        </w:rPr>
      </w:pPr>
      <w:r w:rsidRPr="00EC0229">
        <w:rPr>
          <w:szCs w:val="24"/>
        </w:rPr>
        <w:t>Now identified as Bonser’s ‘near Malton</w:t>
      </w:r>
      <w:r w:rsidR="006B1593" w:rsidRPr="00EC0229">
        <w:rPr>
          <w:szCs w:val="24"/>
        </w:rPr>
        <w:fldChar w:fldCharType="begin"/>
      </w:r>
      <w:r w:rsidR="006B1593" w:rsidRPr="00EC0229">
        <w:instrText xml:space="preserve"> XE "</w:instrText>
      </w:r>
      <w:r w:rsidR="006B1593" w:rsidRPr="00EC0229">
        <w:rPr>
          <w:rStyle w:val="Hyperlink"/>
          <w:noProof/>
          <w:u w:val="none"/>
        </w:rPr>
        <w:instrText>Malton</w:instrText>
      </w:r>
      <w:r w:rsidR="006B1593" w:rsidRPr="00EC0229">
        <w:instrText xml:space="preserve">" </w:instrText>
      </w:r>
      <w:r w:rsidR="006B1593" w:rsidRPr="00EC0229">
        <w:rPr>
          <w:szCs w:val="24"/>
        </w:rPr>
        <w:fldChar w:fldCharType="end"/>
      </w:r>
      <w:r w:rsidRPr="00EC0229">
        <w:rPr>
          <w:szCs w:val="24"/>
        </w:rPr>
        <w:t xml:space="preserve"> site 1’</w:t>
      </w:r>
      <w:r w:rsidR="00662400" w:rsidRPr="00EC0229">
        <w:rPr>
          <w:szCs w:val="24"/>
        </w:rPr>
        <w:t xml:space="preserve"> </w:t>
      </w:r>
      <w:r w:rsidR="002E03CF" w:rsidRPr="00EC0229">
        <w:rPr>
          <w:szCs w:val="24"/>
        </w:rPr>
        <w:t>(</w:t>
      </w:r>
      <w:r w:rsidR="002E03CF" w:rsidRPr="00EC0229">
        <w:rPr>
          <w:szCs w:val="24"/>
        </w:rPr>
        <w:fldChar w:fldCharType="begin"/>
      </w:r>
      <w:r w:rsidR="002E03CF" w:rsidRPr="00EC0229">
        <w:rPr>
          <w:szCs w:val="24"/>
        </w:rPr>
        <w:instrText xml:space="preserve"> PAGEREF nearMalton \h </w:instrText>
      </w:r>
      <w:r w:rsidR="002E03CF" w:rsidRPr="00EC0229">
        <w:rPr>
          <w:szCs w:val="24"/>
        </w:rPr>
      </w:r>
      <w:r w:rsidR="002E03CF" w:rsidRPr="00EC0229">
        <w:rPr>
          <w:szCs w:val="24"/>
        </w:rPr>
        <w:fldChar w:fldCharType="separate"/>
      </w:r>
      <w:r w:rsidR="0012026B">
        <w:rPr>
          <w:noProof/>
          <w:szCs w:val="24"/>
        </w:rPr>
        <w:t>268</w:t>
      </w:r>
      <w:r w:rsidR="002E03CF" w:rsidRPr="00EC0229">
        <w:rPr>
          <w:szCs w:val="24"/>
        </w:rPr>
        <w:fldChar w:fldCharType="end"/>
      </w:r>
      <w:r w:rsidR="002E03CF" w:rsidRPr="00EC0229">
        <w:rPr>
          <w:szCs w:val="24"/>
        </w:rPr>
        <w:t>)</w:t>
      </w:r>
      <w:r w:rsidRPr="00EC0229">
        <w:rPr>
          <w:szCs w:val="24"/>
        </w:rPr>
        <w:t>,</w:t>
      </w:r>
      <w:r w:rsidRPr="00EC0229">
        <w:rPr>
          <w:rStyle w:val="FootnoteReference"/>
          <w:szCs w:val="24"/>
        </w:rPr>
        <w:footnoteReference w:id="1149"/>
      </w:r>
      <w:r w:rsidRPr="00EC0229">
        <w:rPr>
          <w:szCs w:val="24"/>
        </w:rPr>
        <w:t xml:space="preserve"> an intriguing spread of coins has been unearthed at Binnington</w:t>
      </w:r>
      <w:r w:rsidR="006B1593" w:rsidRPr="00EC0229">
        <w:rPr>
          <w:szCs w:val="24"/>
        </w:rPr>
        <w:fldChar w:fldCharType="begin"/>
      </w:r>
      <w:r w:rsidR="006B1593" w:rsidRPr="00EC0229">
        <w:instrText xml:space="preserve"> XE "</w:instrText>
      </w:r>
      <w:r w:rsidR="006B1593" w:rsidRPr="00EC0229">
        <w:rPr>
          <w:rStyle w:val="Hyperlink"/>
          <w:noProof/>
          <w:u w:val="none"/>
        </w:rPr>
        <w:instrText>Binnington</w:instrText>
      </w:r>
      <w:r w:rsidR="006B1593" w:rsidRPr="00EC0229">
        <w:instrText xml:space="preserve">" </w:instrText>
      </w:r>
      <w:r w:rsidR="006B1593" w:rsidRPr="00EC0229">
        <w:rPr>
          <w:szCs w:val="24"/>
        </w:rPr>
        <w:fldChar w:fldCharType="end"/>
      </w:r>
      <w:r w:rsidRPr="00EC0229">
        <w:rPr>
          <w:szCs w:val="24"/>
        </w:rPr>
        <w:t>, to the west of Staxton</w:t>
      </w:r>
      <w:r w:rsidR="006B1593" w:rsidRPr="00EC0229">
        <w:rPr>
          <w:szCs w:val="24"/>
        </w:rPr>
        <w:fldChar w:fldCharType="begin"/>
      </w:r>
      <w:r w:rsidR="006B1593" w:rsidRPr="00EC0229">
        <w:instrText xml:space="preserve"> XE "</w:instrText>
      </w:r>
      <w:r w:rsidR="006B1593" w:rsidRPr="00EC0229">
        <w:rPr>
          <w:rStyle w:val="Hyperlink"/>
          <w:noProof/>
          <w:u w:val="none"/>
        </w:rPr>
        <w:instrText>Staxton</w:instrText>
      </w:r>
      <w:r w:rsidR="006B1593" w:rsidRPr="00EC0229">
        <w:instrText xml:space="preserve">" </w:instrText>
      </w:r>
      <w:r w:rsidR="006B1593" w:rsidRPr="00EC0229">
        <w:rPr>
          <w:szCs w:val="24"/>
        </w:rPr>
        <w:fldChar w:fldCharType="end"/>
      </w:r>
      <w:r w:rsidRPr="00EC0229">
        <w:rPr>
          <w:szCs w:val="24"/>
        </w:rPr>
        <w:t>. Sceats of Aldfrith</w:t>
      </w:r>
      <w:r w:rsidR="00D142DC" w:rsidRPr="00EC0229">
        <w:rPr>
          <w:szCs w:val="24"/>
        </w:rPr>
        <w:fldChar w:fldCharType="begin"/>
      </w:r>
      <w:r w:rsidR="00D142DC" w:rsidRPr="00EC0229">
        <w:instrText xml:space="preserve"> XE "Aldfrith" </w:instrText>
      </w:r>
      <w:r w:rsidR="00D142DC" w:rsidRPr="00EC0229">
        <w:rPr>
          <w:szCs w:val="24"/>
        </w:rPr>
        <w:fldChar w:fldCharType="end"/>
      </w:r>
      <w:r w:rsidRPr="00EC0229">
        <w:rPr>
          <w:szCs w:val="24"/>
        </w:rPr>
        <w:t>, Eadberht</w:t>
      </w:r>
      <w:r w:rsidR="00D142DC" w:rsidRPr="00EC0229">
        <w:rPr>
          <w:szCs w:val="24"/>
        </w:rPr>
        <w:fldChar w:fldCharType="begin"/>
      </w:r>
      <w:r w:rsidR="00D142DC" w:rsidRPr="00EC0229">
        <w:instrText xml:space="preserve"> XE "Eadberht" </w:instrText>
      </w:r>
      <w:r w:rsidR="00D142DC" w:rsidRPr="00EC0229">
        <w:rPr>
          <w:szCs w:val="24"/>
        </w:rPr>
        <w:fldChar w:fldCharType="end"/>
      </w:r>
      <w:r w:rsidRPr="00EC0229">
        <w:rPr>
          <w:szCs w:val="24"/>
        </w:rPr>
        <w:t>, Alchred</w:t>
      </w:r>
      <w:r w:rsidR="004C29A9" w:rsidRPr="00EC0229">
        <w:rPr>
          <w:szCs w:val="24"/>
        </w:rPr>
        <w:fldChar w:fldCharType="begin"/>
      </w:r>
      <w:r w:rsidR="004C29A9" w:rsidRPr="00EC0229">
        <w:instrText xml:space="preserve"> XE "</w:instrText>
      </w:r>
      <w:r w:rsidR="004C29A9" w:rsidRPr="00EC0229">
        <w:rPr>
          <w:rFonts w:cs="Times New Roman"/>
          <w:szCs w:val="24"/>
        </w:rPr>
        <w:instrText>Alchred</w:instrText>
      </w:r>
      <w:r w:rsidR="004C29A9" w:rsidRPr="00EC0229">
        <w:instrText xml:space="preserve">" </w:instrText>
      </w:r>
      <w:r w:rsidR="004C29A9" w:rsidRPr="00EC0229">
        <w:rPr>
          <w:szCs w:val="24"/>
        </w:rPr>
        <w:fldChar w:fldCharType="end"/>
      </w:r>
      <w:r w:rsidRPr="00EC0229">
        <w:rPr>
          <w:szCs w:val="24"/>
        </w:rPr>
        <w:t>, and Æthelred</w:t>
      </w:r>
      <w:r w:rsidR="00D142DC" w:rsidRPr="00EC0229">
        <w:rPr>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Cs w:val="24"/>
        </w:rPr>
        <w:fldChar w:fldCharType="end"/>
      </w:r>
      <w:r w:rsidRPr="00EC0229">
        <w:rPr>
          <w:szCs w:val="24"/>
        </w:rPr>
        <w:t xml:space="preserve"> I </w:t>
      </w:r>
      <w:r w:rsidR="0086755B" w:rsidRPr="00EC0229">
        <w:rPr>
          <w:szCs w:val="24"/>
        </w:rPr>
        <w:t xml:space="preserve">[4-N6] </w:t>
      </w:r>
      <w:r w:rsidR="00186CA5" w:rsidRPr="00EC0229">
        <w:rPr>
          <w:szCs w:val="24"/>
        </w:rPr>
        <w:t>are graced by the first recognised</w:t>
      </w:r>
      <w:r w:rsidR="00186CA5" w:rsidRPr="00EC0229">
        <w:rPr>
          <w:rStyle w:val="FootnoteReference"/>
          <w:szCs w:val="24"/>
        </w:rPr>
        <w:footnoteReference w:id="1150"/>
      </w:r>
      <w:r w:rsidRPr="00EC0229">
        <w:rPr>
          <w:szCs w:val="24"/>
        </w:rPr>
        <w:t xml:space="preserve"> spec</w:t>
      </w:r>
      <w:r w:rsidR="006E171F" w:rsidRPr="00EC0229">
        <w:rPr>
          <w:szCs w:val="24"/>
        </w:rPr>
        <w:t>imen of the exotic species, now</w:t>
      </w:r>
      <w:r w:rsidRPr="00EC0229">
        <w:rPr>
          <w:szCs w:val="24"/>
        </w:rPr>
        <w:t xml:space="preserve"> </w:t>
      </w:r>
      <w:r w:rsidR="006E171F" w:rsidRPr="00EC0229">
        <w:rPr>
          <w:szCs w:val="24"/>
        </w:rPr>
        <w:t>styled</w:t>
      </w:r>
      <w:r w:rsidR="006E171F" w:rsidRPr="00EC0229">
        <w:rPr>
          <w:i/>
          <w:szCs w:val="24"/>
        </w:rPr>
        <w:t xml:space="preserve"> </w:t>
      </w:r>
      <w:r w:rsidRPr="00EC0229">
        <w:rPr>
          <w:i/>
          <w:szCs w:val="24"/>
        </w:rPr>
        <w:t>the fledgling type</w:t>
      </w:r>
      <w:r w:rsidRPr="00EC0229">
        <w:rPr>
          <w:szCs w:val="24"/>
        </w:rPr>
        <w:t xml:space="preserve"> for its graceful depiction of a running bird with an elaborately knotted tail</w:t>
      </w:r>
      <w:r w:rsidR="00695395" w:rsidRPr="00EC0229">
        <w:rPr>
          <w:szCs w:val="24"/>
        </w:rPr>
        <w:t xml:space="preserve"> </w:t>
      </w:r>
      <w:r w:rsidR="00695395" w:rsidRPr="00EC0229">
        <w:t>(</w:t>
      </w:r>
      <w:r w:rsidR="00186CA5" w:rsidRPr="00EC0229">
        <w:fldChar w:fldCharType="begin"/>
      </w:r>
      <w:r w:rsidR="00186CA5" w:rsidRPr="00EC0229">
        <w:instrText xml:space="preserve"> REF _Ref430246344 \h  \* MERGEFORMAT </w:instrText>
      </w:r>
      <w:r w:rsidR="00186CA5" w:rsidRPr="00EC0229">
        <w:fldChar w:fldCharType="separate"/>
      </w:r>
    </w:p>
    <w:p w14:paraId="77CF2B62" w14:textId="49D3665A" w:rsidR="00697BBB" w:rsidRPr="00530E34" w:rsidRDefault="0012026B" w:rsidP="007600EA">
      <w:pPr>
        <w:pStyle w:val="NoSpacing"/>
        <w:spacing w:line="360" w:lineRule="auto"/>
        <w:rPr>
          <w:i/>
          <w:szCs w:val="24"/>
        </w:rPr>
      </w:pPr>
      <w:r w:rsidRPr="0012026B">
        <w:rPr>
          <w:noProof/>
          <w:szCs w:val="24"/>
        </w:rPr>
        <w:t>Figure</w:t>
      </w:r>
      <w:r w:rsidRPr="00EC0229">
        <w:rPr>
          <w:noProof/>
          <w:sz w:val="20"/>
          <w:szCs w:val="20"/>
        </w:rPr>
        <w:t xml:space="preserve"> </w:t>
      </w:r>
      <w:r>
        <w:rPr>
          <w:noProof/>
          <w:sz w:val="20"/>
          <w:szCs w:val="20"/>
        </w:rPr>
        <w:t>39</w:t>
      </w:r>
      <w:r w:rsidR="00186CA5" w:rsidRPr="00EC0229">
        <w:fldChar w:fldCharType="end"/>
      </w:r>
      <w:r w:rsidR="00186CA5" w:rsidRPr="00EC0229">
        <w:t xml:space="preserve">), </w:t>
      </w:r>
      <w:r w:rsidR="0086755B" w:rsidRPr="00EC0229">
        <w:t>[5a]</w:t>
      </w:r>
      <w:r w:rsidR="00697BBB" w:rsidRPr="00EC0229">
        <w:rPr>
          <w:szCs w:val="24"/>
        </w:rPr>
        <w:t xml:space="preserve">. </w:t>
      </w:r>
      <w:r w:rsidR="00530E34">
        <w:t xml:space="preserve">See </w:t>
      </w:r>
      <w:r w:rsidR="00530E34" w:rsidRPr="00A07A08">
        <w:rPr>
          <w:i/>
        </w:rPr>
        <w:t>Graph 7.</w:t>
      </w:r>
      <w:r w:rsidR="00530E34">
        <w:rPr>
          <w:i/>
        </w:rPr>
        <w:t>06 no. 17</w:t>
      </w:r>
      <w:r w:rsidR="00530E34">
        <w:t>.</w:t>
      </w:r>
    </w:p>
    <w:p w14:paraId="5A500B1C" w14:textId="77777777" w:rsidR="00EE3FE5" w:rsidRPr="00EC0229" w:rsidRDefault="00EE3FE5" w:rsidP="007600EA">
      <w:pPr>
        <w:pStyle w:val="NoSpacing"/>
        <w:spacing w:line="360" w:lineRule="auto"/>
      </w:pPr>
    </w:p>
    <w:p w14:paraId="070F72C6" w14:textId="2ADB68D4" w:rsidR="00697BBB" w:rsidRPr="00EC0229" w:rsidRDefault="00697BBB" w:rsidP="007600EA">
      <w:pPr>
        <w:pStyle w:val="NoSpacing"/>
        <w:spacing w:line="360" w:lineRule="auto"/>
        <w:rPr>
          <w:szCs w:val="24"/>
        </w:rPr>
      </w:pPr>
      <w:r w:rsidRPr="00EC0229">
        <w:rPr>
          <w:szCs w:val="24"/>
        </w:rPr>
        <w:lastRenderedPageBreak/>
        <w:t>Morris associated the iconography</w:t>
      </w:r>
      <w:r w:rsidR="004C29A9" w:rsidRPr="00EC0229">
        <w:rPr>
          <w:szCs w:val="24"/>
        </w:rPr>
        <w:fldChar w:fldCharType="begin"/>
      </w:r>
      <w:r w:rsidR="004C29A9" w:rsidRPr="00EC0229">
        <w:instrText xml:space="preserve"> XE "iconography" </w:instrText>
      </w:r>
      <w:r w:rsidR="004C29A9" w:rsidRPr="00EC0229">
        <w:rPr>
          <w:szCs w:val="24"/>
        </w:rPr>
        <w:fldChar w:fldCharType="end"/>
      </w:r>
      <w:r w:rsidRPr="00EC0229">
        <w:rPr>
          <w:szCs w:val="24"/>
        </w:rPr>
        <w:t xml:space="preserve"> with a story Bede</w:t>
      </w:r>
      <w:r w:rsidR="00F66CEB" w:rsidRPr="00EC0229">
        <w:rPr>
          <w:szCs w:val="24"/>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szCs w:val="24"/>
        </w:rPr>
        <w:fldChar w:fldCharType="end"/>
      </w:r>
      <w:r w:rsidRPr="00EC0229">
        <w:rPr>
          <w:szCs w:val="24"/>
        </w:rPr>
        <w:t xml:space="preserve">’s </w:t>
      </w:r>
      <w:r w:rsidRPr="00EC0229">
        <w:rPr>
          <w:i/>
          <w:szCs w:val="24"/>
        </w:rPr>
        <w:t>Life of Cuthbert</w:t>
      </w:r>
      <w:r w:rsidRPr="00EC0229">
        <w:rPr>
          <w:szCs w:val="24"/>
        </w:rPr>
        <w:t>,</w:t>
      </w:r>
      <w:r w:rsidRPr="00EC0229">
        <w:rPr>
          <w:rStyle w:val="FootnoteReference"/>
          <w:szCs w:val="24"/>
        </w:rPr>
        <w:footnoteReference w:id="1151"/>
      </w:r>
      <w:r w:rsidRPr="00EC0229">
        <w:rPr>
          <w:szCs w:val="24"/>
        </w:rPr>
        <w:t xml:space="preserve"> identifying the bird as an eagle, carrying a fish to sustain Cuthbert and his aide on their sojourn, as Cuthbert had prophesied. Of the ten coins known for this type, five have northern provenances justifying tentative attribution as a northern emission.</w:t>
      </w:r>
      <w:r w:rsidRPr="00EC0229">
        <w:rPr>
          <w:rStyle w:val="FootnoteReference"/>
          <w:szCs w:val="24"/>
        </w:rPr>
        <w:footnoteReference w:id="1152"/>
      </w:r>
      <w:r w:rsidRPr="00EC0229">
        <w:rPr>
          <w:szCs w:val="24"/>
        </w:rPr>
        <w:t xml:space="preserve"> Ninth-century finds include the silver-alloy</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szCs w:val="24"/>
        </w:rPr>
        <w:fldChar w:fldCharType="end"/>
      </w:r>
      <w:r w:rsidRPr="00EC0229">
        <w:rPr>
          <w:szCs w:val="24"/>
        </w:rPr>
        <w:t xml:space="preserve"> of Eanred</w:t>
      </w:r>
      <w:r w:rsidR="0086755B" w:rsidRPr="00EC0229">
        <w:rPr>
          <w:szCs w:val="24"/>
        </w:rPr>
        <w:t>,</w:t>
      </w:r>
      <w:r w:rsidR="00D142DC" w:rsidRPr="00EC0229">
        <w:rPr>
          <w:szCs w:val="24"/>
        </w:rPr>
        <w:fldChar w:fldCharType="begin"/>
      </w:r>
      <w:r w:rsidR="00D142DC" w:rsidRPr="00EC0229">
        <w:instrText xml:space="preserve"> XE "Eanred" </w:instrText>
      </w:r>
      <w:r w:rsidR="00D142DC" w:rsidRPr="00EC0229">
        <w:rPr>
          <w:szCs w:val="24"/>
        </w:rPr>
        <w:fldChar w:fldCharType="end"/>
      </w:r>
      <w:r w:rsidRPr="00EC0229">
        <w:rPr>
          <w:szCs w:val="24"/>
        </w:rPr>
        <w:t xml:space="preserve"> </w:t>
      </w:r>
      <w:r w:rsidR="0086755B" w:rsidRPr="00EC0229">
        <w:rPr>
          <w:szCs w:val="24"/>
        </w:rPr>
        <w:t xml:space="preserve">[N9], </w:t>
      </w:r>
      <w:r w:rsidRPr="00EC0229">
        <w:rPr>
          <w:szCs w:val="24"/>
        </w:rPr>
        <w:t xml:space="preserve">but nothing later than </w:t>
      </w:r>
      <w:r w:rsidRPr="00EC0229">
        <w:rPr>
          <w:rFonts w:cs="Times New Roman"/>
          <w:szCs w:val="24"/>
        </w:rPr>
        <w:t>Æ</w:t>
      </w:r>
      <w:r w:rsidRPr="00EC0229">
        <w:rPr>
          <w:szCs w:val="24"/>
        </w:rPr>
        <w:t>thelred</w:t>
      </w:r>
      <w:r w:rsidR="00D142DC" w:rsidRPr="00EC0229">
        <w:rPr>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Cs w:val="24"/>
        </w:rPr>
        <w:fldChar w:fldCharType="end"/>
      </w:r>
      <w:r w:rsidRPr="00EC0229">
        <w:rPr>
          <w:szCs w:val="24"/>
        </w:rPr>
        <w:t xml:space="preserve"> II’s second reign. </w:t>
      </w:r>
    </w:p>
    <w:p w14:paraId="76B2C668" w14:textId="77777777" w:rsidR="00697BBB" w:rsidRPr="00EC0229" w:rsidRDefault="00697BBB" w:rsidP="007600EA">
      <w:pPr>
        <w:pStyle w:val="NoSpacing"/>
        <w:spacing w:line="360" w:lineRule="auto"/>
        <w:rPr>
          <w:szCs w:val="24"/>
        </w:rPr>
      </w:pPr>
    </w:p>
    <w:p w14:paraId="437271A0" w14:textId="78D63FAF" w:rsidR="00697BBB" w:rsidRPr="00EC0229" w:rsidRDefault="000F4E5A" w:rsidP="007600EA">
      <w:pPr>
        <w:pStyle w:val="NoSpacing"/>
        <w:spacing w:line="360" w:lineRule="auto"/>
        <w:rPr>
          <w:bCs/>
        </w:rPr>
      </w:pPr>
      <w:r w:rsidRPr="00EC0229">
        <w:rPr>
          <w:szCs w:val="24"/>
        </w:rPr>
        <w:t>Bonser also recorded</w:t>
      </w:r>
      <w:r w:rsidR="00697BBB" w:rsidRPr="00EC0229">
        <w:rPr>
          <w:szCs w:val="24"/>
        </w:rPr>
        <w:t xml:space="preserve"> </w:t>
      </w:r>
      <w:r w:rsidR="0086755B" w:rsidRPr="00EC0229">
        <w:rPr>
          <w:szCs w:val="24"/>
        </w:rPr>
        <w:t>six Series E</w:t>
      </w:r>
      <w:r w:rsidR="0086755B" w:rsidRPr="00EC0229">
        <w:rPr>
          <w:szCs w:val="24"/>
        </w:rPr>
        <w:fldChar w:fldCharType="begin"/>
      </w:r>
      <w:r w:rsidR="0086755B" w:rsidRPr="00EC0229">
        <w:instrText xml:space="preserve"> XE "Series E" </w:instrText>
      </w:r>
      <w:r w:rsidR="0086755B" w:rsidRPr="00EC0229">
        <w:rPr>
          <w:szCs w:val="24"/>
        </w:rPr>
        <w:fldChar w:fldCharType="end"/>
      </w:r>
      <w:r w:rsidR="0086755B" w:rsidRPr="00EC0229">
        <w:rPr>
          <w:szCs w:val="24"/>
        </w:rPr>
        <w:t xml:space="preserve"> (Frisian),</w:t>
      </w:r>
      <w:r w:rsidR="0086755B" w:rsidRPr="00EC0229">
        <w:rPr>
          <w:rStyle w:val="FootnoteReference"/>
          <w:szCs w:val="24"/>
        </w:rPr>
        <w:t xml:space="preserve"> </w:t>
      </w:r>
      <w:r w:rsidR="00697BBB" w:rsidRPr="00EC0229">
        <w:rPr>
          <w:szCs w:val="24"/>
        </w:rPr>
        <w:t>specimens of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00697BBB" w:rsidRPr="00EC0229">
        <w:rPr>
          <w:szCs w:val="24"/>
        </w:rPr>
        <w:t xml:space="preserve"> J</w:t>
      </w:r>
      <w:r w:rsidR="0086755B" w:rsidRPr="00EC0229">
        <w:rPr>
          <w:szCs w:val="24"/>
        </w:rPr>
        <w:t>, [5a],</w:t>
      </w:r>
      <w:r w:rsidR="00697BBB" w:rsidRPr="00EC0229">
        <w:rPr>
          <w:szCs w:val="24"/>
        </w:rPr>
        <w:t xml:space="preserve"> </w:t>
      </w:r>
      <w:r w:rsidR="0086755B" w:rsidRPr="00EC0229">
        <w:rPr>
          <w:szCs w:val="24"/>
        </w:rPr>
        <w:t>K (Kentish) and</w:t>
      </w:r>
      <w:r w:rsidR="00697BBB" w:rsidRPr="00EC0229">
        <w:rPr>
          <w:szCs w:val="24"/>
        </w:rPr>
        <w:t xml:space="preserve"> N</w:t>
      </w:r>
      <w:r w:rsidR="00C519A7" w:rsidRPr="00EC0229">
        <w:rPr>
          <w:szCs w:val="24"/>
        </w:rPr>
        <w:t>, [5b].</w:t>
      </w:r>
      <w:r w:rsidR="00697BBB" w:rsidRPr="00EC0229">
        <w:rPr>
          <w:rStyle w:val="FootnoteReference"/>
          <w:szCs w:val="24"/>
        </w:rPr>
        <w:footnoteReference w:id="1153"/>
      </w:r>
      <w:r w:rsidR="00697BBB" w:rsidRPr="00EC0229">
        <w:rPr>
          <w:szCs w:val="24"/>
        </w:rPr>
        <w:t xml:space="preserve">  </w:t>
      </w:r>
      <w:r w:rsidR="00C519A7" w:rsidRPr="00EC0229">
        <w:rPr>
          <w:szCs w:val="24"/>
        </w:rPr>
        <w:t>These</w:t>
      </w:r>
      <w:r w:rsidR="00697BBB" w:rsidRPr="00EC0229">
        <w:rPr>
          <w:szCs w:val="24"/>
        </w:rPr>
        <w:t xml:space="preserve"> build on Metcalf</w:t>
      </w:r>
      <w:r w:rsidR="00F204A1" w:rsidRPr="00EC0229">
        <w:rPr>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szCs w:val="24"/>
        </w:rPr>
        <w:fldChar w:fldCharType="end"/>
      </w:r>
      <w:r w:rsidR="00697BBB" w:rsidRPr="00EC0229">
        <w:rPr>
          <w:szCs w:val="24"/>
        </w:rPr>
        <w:t>’s hypothesis</w:t>
      </w:r>
      <w:r w:rsidR="00697BBB" w:rsidRPr="00EC0229">
        <w:rPr>
          <w:color w:val="FF0000"/>
          <w:szCs w:val="24"/>
        </w:rPr>
        <w:t xml:space="preserve"> </w:t>
      </w:r>
      <w:r w:rsidR="00697BBB" w:rsidRPr="00EC0229">
        <w:rPr>
          <w:szCs w:val="24"/>
        </w:rPr>
        <w:t>of trade in wool as the driver of a prosperous local economy</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szCs w:val="24"/>
        </w:rPr>
        <w:fldChar w:fldCharType="end"/>
      </w:r>
      <w:r w:rsidR="00697BBB" w:rsidRPr="00EC0229">
        <w:rPr>
          <w:szCs w:val="24"/>
        </w:rPr>
        <w:t xml:space="preserve"> based on a fifth </w:t>
      </w:r>
      <w:r w:rsidR="00697BBB" w:rsidRPr="00EC0229">
        <w:t>of all primary sceats found in England being Frisian</w:t>
      </w:r>
      <w:r w:rsidR="00961224" w:rsidRPr="00EC0229">
        <w:t>, focussing on</w:t>
      </w:r>
      <w:r w:rsidR="00697BBB" w:rsidRPr="00EC0229">
        <w:rPr>
          <w:bCs/>
        </w:rPr>
        <w:t xml:space="preserve"> sheep</w:t>
      </w:r>
      <w:r w:rsidR="00961224" w:rsidRPr="00EC0229">
        <w:rPr>
          <w:bCs/>
        </w:rPr>
        <w:t>-rearing</w:t>
      </w:r>
      <w:r w:rsidR="00697BBB" w:rsidRPr="00EC0229">
        <w:rPr>
          <w:bCs/>
        </w:rPr>
        <w:t xml:space="preserve"> chalk upland</w:t>
      </w:r>
      <w:r w:rsidR="00961224" w:rsidRPr="00EC0229">
        <w:rPr>
          <w:bCs/>
        </w:rPr>
        <w:t>s</w:t>
      </w:r>
      <w:r w:rsidR="00697BBB" w:rsidRPr="00EC0229">
        <w:rPr>
          <w:bCs/>
        </w:rPr>
        <w:t>.’</w:t>
      </w:r>
      <w:r w:rsidR="00697BBB" w:rsidRPr="00EC0229">
        <w:rPr>
          <w:rStyle w:val="FootnoteReference"/>
          <w:szCs w:val="24"/>
        </w:rPr>
        <w:footnoteReference w:id="1154"/>
      </w:r>
    </w:p>
    <w:p w14:paraId="48CEE6AE" w14:textId="3490C0F5" w:rsidR="005611C1" w:rsidRPr="00EC0229" w:rsidRDefault="005611C1" w:rsidP="007600EA">
      <w:pPr>
        <w:pStyle w:val="NoSpacing"/>
        <w:spacing w:line="360" w:lineRule="auto"/>
        <w:rPr>
          <w:bCs/>
        </w:rPr>
      </w:pPr>
    </w:p>
    <w:p w14:paraId="31D5A243" w14:textId="19DA91A7" w:rsidR="00697BBB" w:rsidRPr="0087285A" w:rsidRDefault="00697BBB" w:rsidP="00C97BF2">
      <w:pPr>
        <w:pStyle w:val="Heading4"/>
        <w:spacing w:line="360" w:lineRule="auto"/>
        <w:rPr>
          <w:b/>
        </w:rPr>
      </w:pPr>
      <w:bookmarkStart w:id="842" w:name="_Toc468266926"/>
      <w:bookmarkStart w:id="843" w:name="Staxton"/>
      <w:r w:rsidRPr="0087285A">
        <w:rPr>
          <w:b/>
        </w:rPr>
        <w:t>Staxton</w:t>
      </w:r>
      <w:bookmarkEnd w:id="842"/>
      <w:r w:rsidR="006B1593" w:rsidRPr="0087285A">
        <w:rPr>
          <w:b/>
        </w:rPr>
        <w:fldChar w:fldCharType="begin"/>
      </w:r>
      <w:r w:rsidR="006B1593" w:rsidRPr="0087285A">
        <w:rPr>
          <w:b/>
        </w:rPr>
        <w:instrText xml:space="preserve"> XE "</w:instrText>
      </w:r>
      <w:r w:rsidR="006B1593" w:rsidRPr="0087285A">
        <w:rPr>
          <w:rStyle w:val="Hyperlink"/>
          <w:b/>
          <w:noProof/>
          <w:u w:val="none"/>
        </w:rPr>
        <w:instrText>Staxton</w:instrText>
      </w:r>
      <w:r w:rsidR="006B1593" w:rsidRPr="0087285A">
        <w:rPr>
          <w:b/>
        </w:rPr>
        <w:instrText xml:space="preserve">" </w:instrText>
      </w:r>
      <w:r w:rsidR="006B1593" w:rsidRPr="0087285A">
        <w:rPr>
          <w:b/>
        </w:rPr>
        <w:fldChar w:fldCharType="end"/>
      </w:r>
    </w:p>
    <w:bookmarkEnd w:id="843"/>
    <w:p w14:paraId="6BBEC1A0" w14:textId="4F5E2554" w:rsidR="00697BBB" w:rsidRPr="00EC0229" w:rsidRDefault="00697BBB" w:rsidP="007600EA">
      <w:pPr>
        <w:pStyle w:val="NoSpacing"/>
        <w:spacing w:line="360" w:lineRule="auto"/>
        <w:rPr>
          <w:szCs w:val="24"/>
        </w:rPr>
      </w:pPr>
      <w:r w:rsidRPr="00EC0229">
        <w:rPr>
          <w:szCs w:val="24"/>
        </w:rPr>
        <w:t>This site has evidence of an early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Pr="00EC0229">
        <w:rPr>
          <w:szCs w:val="24"/>
        </w:rPr>
        <w:t xml:space="preserve"> farmstead and cemetery. The </w:t>
      </w:r>
      <w:r w:rsidR="00D65946" w:rsidRPr="00EC0229">
        <w:rPr>
          <w:szCs w:val="24"/>
        </w:rPr>
        <w:t>dataset</w:t>
      </w:r>
      <w:r w:rsidR="00584C42" w:rsidRPr="00EC0229">
        <w:rPr>
          <w:szCs w:val="24"/>
        </w:rPr>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rPr>
          <w:szCs w:val="24"/>
        </w:rPr>
        <w:fldChar w:fldCharType="end"/>
      </w:r>
      <w:r w:rsidRPr="00EC0229">
        <w:rPr>
          <w:szCs w:val="24"/>
        </w:rPr>
        <w:t xml:space="preserve"> includes fourteen specimens including a joint-issue sceat of Æthelred</w:t>
      </w:r>
      <w:r w:rsidR="00D142DC" w:rsidRPr="00EC0229">
        <w:rPr>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Cs w:val="24"/>
        </w:rPr>
        <w:fldChar w:fldCharType="end"/>
      </w:r>
      <w:r w:rsidRPr="00EC0229">
        <w:rPr>
          <w:szCs w:val="24"/>
        </w:rPr>
        <w:t xml:space="preserve"> I with Eanbald</w:t>
      </w:r>
      <w:r w:rsidR="00D142DC" w:rsidRPr="00EC0229">
        <w:rPr>
          <w:szCs w:val="24"/>
        </w:rPr>
        <w:fldChar w:fldCharType="begin"/>
      </w:r>
      <w:r w:rsidR="00D142DC" w:rsidRPr="00EC0229">
        <w:instrText xml:space="preserve"> XE "Eanbald" </w:instrText>
      </w:r>
      <w:r w:rsidR="00D142DC" w:rsidRPr="00EC0229">
        <w:rPr>
          <w:szCs w:val="24"/>
        </w:rPr>
        <w:fldChar w:fldCharType="end"/>
      </w:r>
      <w:r w:rsidRPr="00EC0229">
        <w:rPr>
          <w:szCs w:val="24"/>
        </w:rPr>
        <w:t xml:space="preserve"> I</w:t>
      </w:r>
      <w:r w:rsidR="0086755B" w:rsidRPr="00EC0229">
        <w:rPr>
          <w:szCs w:val="24"/>
        </w:rPr>
        <w:t>, [N7]</w:t>
      </w:r>
      <w:r w:rsidRPr="00EC0229">
        <w:rPr>
          <w:szCs w:val="24"/>
        </w:rPr>
        <w:t>. There are two silver-alloy</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szCs w:val="24"/>
        </w:rPr>
        <w:fldChar w:fldCharType="end"/>
      </w:r>
      <w:r w:rsidRPr="00EC0229">
        <w:rPr>
          <w:szCs w:val="24"/>
        </w:rPr>
        <w:t xml:space="preserve"> coins of Eanred</w:t>
      </w:r>
      <w:r w:rsidR="00D142DC" w:rsidRPr="00EC0229">
        <w:rPr>
          <w:szCs w:val="24"/>
        </w:rPr>
        <w:fldChar w:fldCharType="begin"/>
      </w:r>
      <w:r w:rsidR="00D142DC" w:rsidRPr="00EC0229">
        <w:instrText xml:space="preserve"> XE "Eanred" </w:instrText>
      </w:r>
      <w:r w:rsidR="00D142DC" w:rsidRPr="00EC0229">
        <w:rPr>
          <w:szCs w:val="24"/>
        </w:rPr>
        <w:fldChar w:fldCharType="end"/>
      </w:r>
      <w:r w:rsidRPr="00EC0229">
        <w:rPr>
          <w:szCs w:val="24"/>
        </w:rPr>
        <w:t xml:space="preserve"> </w:t>
      </w:r>
      <w:r w:rsidR="0025240F" w:rsidRPr="00EC0229">
        <w:rPr>
          <w:szCs w:val="24"/>
        </w:rPr>
        <w:t xml:space="preserve">[N9], </w:t>
      </w:r>
      <w:r w:rsidRPr="00EC0229">
        <w:rPr>
          <w:szCs w:val="24"/>
        </w:rPr>
        <w:t>and specimens of both reigns of Æthelred II are divided by two stycas of Redwulf</w:t>
      </w:r>
      <w:r w:rsidR="0025240F" w:rsidRPr="00EC0229">
        <w:rPr>
          <w:szCs w:val="24"/>
        </w:rPr>
        <w:t>, [N10a]</w:t>
      </w:r>
      <w:r w:rsidRPr="00EC0229">
        <w:rPr>
          <w:szCs w:val="24"/>
        </w:rPr>
        <w:t>.</w:t>
      </w:r>
      <w:r w:rsidR="00530E34">
        <w:rPr>
          <w:szCs w:val="24"/>
        </w:rPr>
        <w:t xml:space="preserve"> See</w:t>
      </w:r>
      <w:r w:rsidRPr="00EC0229">
        <w:rPr>
          <w:szCs w:val="24"/>
        </w:rPr>
        <w:t xml:space="preserve"> </w:t>
      </w:r>
      <w:r w:rsidR="00530E34" w:rsidRPr="00A07A08">
        <w:rPr>
          <w:i/>
        </w:rPr>
        <w:t>Graph 7.</w:t>
      </w:r>
      <w:r w:rsidR="00530E34">
        <w:rPr>
          <w:i/>
        </w:rPr>
        <w:t>06 no. 41</w:t>
      </w:r>
      <w:r w:rsidR="00530E34">
        <w:t xml:space="preserve">. </w:t>
      </w:r>
      <w:r w:rsidRPr="00EC0229">
        <w:rPr>
          <w:szCs w:val="24"/>
        </w:rPr>
        <w:t>A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penny</w:t>
      </w:r>
      <w:r w:rsidR="00D142DC" w:rsidRPr="00EC0229">
        <w:rPr>
          <w:szCs w:val="24"/>
        </w:rPr>
        <w:fldChar w:fldCharType="begin"/>
      </w:r>
      <w:r w:rsidR="00D142DC" w:rsidRPr="00EC0229">
        <w:instrText xml:space="preserve"> XE "penny" </w:instrText>
      </w:r>
      <w:r w:rsidR="00D142DC" w:rsidRPr="00EC0229">
        <w:rPr>
          <w:szCs w:val="24"/>
        </w:rPr>
        <w:fldChar w:fldCharType="end"/>
      </w:r>
      <w:r w:rsidRPr="00EC0229">
        <w:rPr>
          <w:szCs w:val="24"/>
        </w:rPr>
        <w:t xml:space="preserve"> of the St Peter type, dating from 905-10, shows continuity of activity.</w:t>
      </w:r>
      <w:r w:rsidRPr="00EC0229">
        <w:rPr>
          <w:rStyle w:val="FootnoteReference"/>
          <w:szCs w:val="24"/>
        </w:rPr>
        <w:footnoteReference w:id="1155"/>
      </w:r>
    </w:p>
    <w:p w14:paraId="05CBCBC8" w14:textId="77777777" w:rsidR="00695395" w:rsidRPr="00EC0229" w:rsidRDefault="00695395" w:rsidP="007600EA">
      <w:pPr>
        <w:pStyle w:val="NoSpacing"/>
        <w:spacing w:line="360" w:lineRule="auto"/>
        <w:rPr>
          <w:szCs w:val="24"/>
        </w:rPr>
      </w:pPr>
    </w:p>
    <w:p w14:paraId="76555EC4" w14:textId="17A489C4" w:rsidR="00695395" w:rsidRPr="0087285A" w:rsidRDefault="00695395" w:rsidP="001662EF">
      <w:pPr>
        <w:pStyle w:val="Heading3"/>
      </w:pPr>
      <w:bookmarkStart w:id="844" w:name="SouthTrackConclusion"/>
      <w:bookmarkStart w:id="845" w:name="_Toc468266927"/>
      <w:bookmarkEnd w:id="844"/>
      <w:r w:rsidRPr="0087285A">
        <w:t>South Track - Conclusion</w:t>
      </w:r>
      <w:bookmarkEnd w:id="845"/>
      <w:r w:rsidR="00F204A1" w:rsidRPr="0087285A">
        <w:fldChar w:fldCharType="begin"/>
      </w:r>
      <w:r w:rsidR="00F204A1" w:rsidRPr="0087285A">
        <w:instrText xml:space="preserve"> XE "</w:instrText>
      </w:r>
      <w:r w:rsidR="00F204A1" w:rsidRPr="0087285A">
        <w:rPr>
          <w:rStyle w:val="Hyperlink"/>
          <w:b w:val="0"/>
          <w:noProof/>
          <w:u w:val="none"/>
        </w:rPr>
        <w:instrText>Conclusion</w:instrText>
      </w:r>
      <w:r w:rsidR="00F204A1" w:rsidRPr="0087285A">
        <w:instrText xml:space="preserve">" </w:instrText>
      </w:r>
      <w:r w:rsidR="00F204A1" w:rsidRPr="0087285A">
        <w:fldChar w:fldCharType="end"/>
      </w:r>
    </w:p>
    <w:p w14:paraId="5BF8DBF6" w14:textId="7DBD2496" w:rsidR="00697BBB" w:rsidRPr="00EC0229" w:rsidRDefault="00697BBB" w:rsidP="007600EA">
      <w:pPr>
        <w:pStyle w:val="NoSpacing"/>
        <w:spacing w:line="360" w:lineRule="auto"/>
        <w:rPr>
          <w:szCs w:val="24"/>
        </w:rPr>
      </w:pPr>
      <w:r w:rsidRPr="00EC0229">
        <w:rPr>
          <w:szCs w:val="24"/>
        </w:rPr>
        <w:t>In conclusion, that little over a hundred coins are tabulated for an area which includes many minsters</w:t>
      </w:r>
      <w:r w:rsidR="00601BBD" w:rsidRPr="00EC0229">
        <w:rPr>
          <w:szCs w:val="24"/>
        </w:rPr>
        <w:t>,</w:t>
      </w:r>
      <w:r w:rsidRPr="00EC0229">
        <w:rPr>
          <w:szCs w:val="24"/>
        </w:rPr>
        <w:t xml:space="preserve"> and one of the most extensive excavations ever undertaken</w:t>
      </w:r>
      <w:r w:rsidR="00601BBD" w:rsidRPr="00EC0229">
        <w:rPr>
          <w:szCs w:val="24"/>
        </w:rPr>
        <w:t>,</w:t>
      </w:r>
      <w:r w:rsidRPr="00EC0229">
        <w:rPr>
          <w:szCs w:val="24"/>
        </w:rPr>
        <w:t xml:space="preserve"> is contrary to expectations and challenges the aphorism that coins are found where they are sought. </w:t>
      </w:r>
      <w:r w:rsidR="001C3436" w:rsidRPr="00EC0229">
        <w:rPr>
          <w:szCs w:val="24"/>
        </w:rPr>
        <w:t>As demonstrated below</w:t>
      </w:r>
      <w:r w:rsidRPr="00EC0229">
        <w:rPr>
          <w:szCs w:val="24"/>
        </w:rPr>
        <w:t xml:space="preserve"> </w:t>
      </w:r>
      <w:r w:rsidR="001C3436" w:rsidRPr="00EC0229">
        <w:rPr>
          <w:szCs w:val="24"/>
        </w:rPr>
        <w:t>(</w:t>
      </w:r>
      <w:r w:rsidR="00031AF2" w:rsidRPr="00EC0229">
        <w:rPr>
          <w:szCs w:val="24"/>
        </w:rPr>
        <w:fldChar w:fldCharType="begin"/>
      </w:r>
      <w:r w:rsidR="00031AF2" w:rsidRPr="00EC0229">
        <w:rPr>
          <w:szCs w:val="24"/>
        </w:rPr>
        <w:instrText xml:space="preserve"> PAGEREF ComparisontoRomanFindsVale \h </w:instrText>
      </w:r>
      <w:r w:rsidR="00031AF2" w:rsidRPr="00EC0229">
        <w:rPr>
          <w:szCs w:val="24"/>
        </w:rPr>
      </w:r>
      <w:r w:rsidR="00031AF2" w:rsidRPr="00EC0229">
        <w:rPr>
          <w:szCs w:val="24"/>
        </w:rPr>
        <w:fldChar w:fldCharType="separate"/>
      </w:r>
      <w:r w:rsidR="0012026B">
        <w:rPr>
          <w:noProof/>
          <w:szCs w:val="24"/>
        </w:rPr>
        <w:t>275</w:t>
      </w:r>
      <w:r w:rsidR="00031AF2" w:rsidRPr="00EC0229">
        <w:rPr>
          <w:szCs w:val="24"/>
        </w:rPr>
        <w:fldChar w:fldCharType="end"/>
      </w:r>
      <w:r w:rsidR="001C3436" w:rsidRPr="00EC0229">
        <w:rPr>
          <w:szCs w:val="24"/>
        </w:rPr>
        <w:t xml:space="preserve">) </w:t>
      </w:r>
      <w:r w:rsidRPr="00EC0229">
        <w:rPr>
          <w:szCs w:val="24"/>
        </w:rPr>
        <w:t xml:space="preserve">under-reporting and lack of access </w:t>
      </w:r>
      <w:r w:rsidR="001C3436" w:rsidRPr="00EC0229">
        <w:rPr>
          <w:szCs w:val="24"/>
        </w:rPr>
        <w:t xml:space="preserve">are not convincing explanations, </w:t>
      </w:r>
      <w:r w:rsidR="00D24B5D" w:rsidRPr="00EC0229">
        <w:rPr>
          <w:i/>
          <w:szCs w:val="24"/>
        </w:rPr>
        <w:t>Tables 8.33 and 8.34</w:t>
      </w:r>
      <w:r w:rsidR="001C3436" w:rsidRPr="00EC0229">
        <w:rPr>
          <w:szCs w:val="24"/>
        </w:rPr>
        <w:t>.</w:t>
      </w:r>
    </w:p>
    <w:p w14:paraId="3D279933" w14:textId="77777777" w:rsidR="00697BBB" w:rsidRPr="00EC0229" w:rsidRDefault="00697BBB" w:rsidP="007600EA">
      <w:pPr>
        <w:pStyle w:val="NoSpacing"/>
        <w:spacing w:line="360" w:lineRule="auto"/>
        <w:rPr>
          <w:szCs w:val="24"/>
        </w:rPr>
      </w:pPr>
    </w:p>
    <w:p w14:paraId="332CFCD0" w14:textId="6859D67D" w:rsidR="00697BBB" w:rsidRPr="00EC0229" w:rsidRDefault="00C97BF2" w:rsidP="007600EA">
      <w:pPr>
        <w:pStyle w:val="Heading3"/>
        <w:spacing w:line="360" w:lineRule="auto"/>
        <w:rPr>
          <w:color w:val="FF0000"/>
        </w:rPr>
      </w:pPr>
      <w:bookmarkStart w:id="846" w:name="Northtrack"/>
      <w:bookmarkStart w:id="847" w:name="_Toc468266928"/>
      <w:r>
        <w:t>8.2.6.2</w:t>
      </w:r>
      <w:r>
        <w:tab/>
      </w:r>
      <w:r w:rsidR="00697BBB" w:rsidRPr="00EC0229">
        <w:t>North track</w:t>
      </w:r>
      <w:r w:rsidR="006B1593" w:rsidRPr="00EC0229">
        <w:fldChar w:fldCharType="begin"/>
      </w:r>
      <w:r w:rsidR="006B1593" w:rsidRPr="00EC0229">
        <w:instrText xml:space="preserve"> XE "</w:instrText>
      </w:r>
      <w:r w:rsidR="006B1593" w:rsidRPr="00EC0229">
        <w:rPr>
          <w:rStyle w:val="Hyperlink"/>
          <w:noProof/>
          <w:u w:val="none"/>
        </w:rPr>
        <w:instrText>North track</w:instrText>
      </w:r>
      <w:r w:rsidR="006B1593" w:rsidRPr="00EC0229">
        <w:instrText xml:space="preserve">" </w:instrText>
      </w:r>
      <w:r w:rsidR="006B1593" w:rsidRPr="00EC0229">
        <w:fldChar w:fldCharType="end"/>
      </w:r>
      <w:r w:rsidR="00697BBB" w:rsidRPr="00EC0229">
        <w:t xml:space="preserve"> </w:t>
      </w:r>
      <w:bookmarkEnd w:id="846"/>
      <w:r w:rsidR="00697BBB" w:rsidRPr="00EC0229">
        <w:t>(A170)</w:t>
      </w:r>
      <w:bookmarkEnd w:id="847"/>
    </w:p>
    <w:p w14:paraId="5FEB95BF" w14:textId="3860B143" w:rsidR="00697BBB" w:rsidRPr="00EC0229" w:rsidRDefault="002D686E" w:rsidP="007600EA">
      <w:pPr>
        <w:pStyle w:val="NoSpacing"/>
        <w:spacing w:line="360" w:lineRule="auto"/>
      </w:pPr>
      <w:r w:rsidRPr="00EC0229">
        <w:t>Morris described</w:t>
      </w:r>
      <w:r w:rsidR="00697BBB" w:rsidRPr="00EC0229">
        <w:t xml:space="preserve"> the liminal location of many early religious houses, where the </w:t>
      </w:r>
      <w:r w:rsidR="00430B5B" w:rsidRPr="00EC0229">
        <w:t>North York Moors</w:t>
      </w:r>
      <w:r w:rsidR="00697BBB" w:rsidRPr="00EC0229">
        <w:t xml:space="preserve"> descend into Ryedale.</w:t>
      </w:r>
      <w:r w:rsidR="00697BBB" w:rsidRPr="00EC0229">
        <w:rPr>
          <w:rStyle w:val="FootnoteReference"/>
        </w:rPr>
        <w:footnoteReference w:id="1156"/>
      </w:r>
      <w:r w:rsidR="00697BBB" w:rsidRPr="00EC0229">
        <w:t xml:space="preserve"> Blair</w:t>
      </w:r>
      <w:r w:rsidR="00D142DC" w:rsidRPr="00EC0229">
        <w:fldChar w:fldCharType="begin"/>
      </w:r>
      <w:r w:rsidR="00D142DC" w:rsidRPr="00EC0229">
        <w:instrText xml:space="preserve"> XE "Blair" </w:instrText>
      </w:r>
      <w:r w:rsidR="00D142DC" w:rsidRPr="00EC0229">
        <w:fldChar w:fldCharType="end"/>
      </w:r>
      <w:r w:rsidRPr="00EC0229">
        <w:t xml:space="preserve"> painted</w:t>
      </w:r>
      <w:r w:rsidR="00697BBB" w:rsidRPr="00EC0229">
        <w:t xml:space="preserve"> a convincing picture of these being the nuclei of </w:t>
      </w:r>
      <w:r w:rsidR="00697BBB" w:rsidRPr="00EC0229">
        <w:lastRenderedPageBreak/>
        <w:t>thriving local economies.</w:t>
      </w:r>
      <w:r w:rsidR="00697BBB" w:rsidRPr="00EC0229">
        <w:rPr>
          <w:rStyle w:val="FootnoteReference"/>
        </w:rPr>
        <w:footnoteReference w:id="1157"/>
      </w:r>
      <w:r w:rsidR="0048202E" w:rsidRPr="00EC0229">
        <w:t xml:space="preserve"> Moreover, t</w:t>
      </w:r>
      <w:r w:rsidR="00697BBB" w:rsidRPr="00EC0229">
        <w:t>he Vale is better served by waterways than the dry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00697BBB" w:rsidRPr="00EC0229">
        <w:t>. These factors hold much promise for rich findings.</w:t>
      </w:r>
    </w:p>
    <w:p w14:paraId="6BDCA696" w14:textId="77777777" w:rsidR="00697BBB" w:rsidRPr="00EC0229" w:rsidRDefault="00697BBB" w:rsidP="007600EA">
      <w:pPr>
        <w:pStyle w:val="NoSpacing"/>
        <w:spacing w:line="360" w:lineRule="auto"/>
      </w:pPr>
    </w:p>
    <w:p w14:paraId="0AEFBF68" w14:textId="39A905BC" w:rsidR="00697BBB" w:rsidRPr="00EC0229" w:rsidRDefault="00697BBB" w:rsidP="007600EA">
      <w:pPr>
        <w:pStyle w:val="NoSpacing"/>
        <w:spacing w:line="360" w:lineRule="auto"/>
        <w:rPr>
          <w:szCs w:val="24"/>
        </w:rPr>
      </w:pPr>
      <w:r w:rsidRPr="00EC0229">
        <w:rPr>
          <w:szCs w:val="24"/>
        </w:rPr>
        <w:t>From the west, local finds include single specimens at Kirkbymoorside (sceat</w:t>
      </w:r>
      <w:r w:rsidR="00EE192A" w:rsidRPr="00EC0229">
        <w:rPr>
          <w:szCs w:val="24"/>
        </w:rPr>
        <w:t xml:space="preserve">, </w:t>
      </w:r>
      <w:r w:rsidR="009E07B9" w:rsidRPr="00EC0229">
        <w:fldChar w:fldCharType="begin"/>
      </w:r>
      <w:r w:rsidR="009E07B9" w:rsidRPr="00EC0229">
        <w:rPr>
          <w:szCs w:val="24"/>
        </w:rPr>
        <w:instrText xml:space="preserve"> REF _Ref430249317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154</w:t>
      </w:r>
      <w:r w:rsidR="009E07B9" w:rsidRPr="00EC0229">
        <w:fldChar w:fldCharType="end"/>
      </w:r>
      <w:r w:rsidRPr="00EC0229">
        <w:rPr>
          <w:szCs w:val="24"/>
        </w:rPr>
        <w:t>), Snainton (brass styca</w:t>
      </w:r>
      <w:r w:rsidR="00394ED0" w:rsidRPr="00EC0229">
        <w:rPr>
          <w:szCs w:val="24"/>
        </w:rPr>
        <w:t>, [N10a]</w:t>
      </w:r>
      <w:r w:rsidRPr="00EC0229">
        <w:rPr>
          <w:szCs w:val="24"/>
        </w:rPr>
        <w:t>), Seamer (</w:t>
      </w:r>
      <w:r w:rsidRPr="00EC0229">
        <w:t>a ‘two-crozier’ Eadberht</w:t>
      </w:r>
      <w:r w:rsidR="00D142DC" w:rsidRPr="00EC0229">
        <w:fldChar w:fldCharType="begin"/>
      </w:r>
      <w:r w:rsidR="00D142DC" w:rsidRPr="00EC0229">
        <w:instrText xml:space="preserve"> XE "Eadberht" </w:instrText>
      </w:r>
      <w:r w:rsidR="00D142DC" w:rsidRPr="00EC0229">
        <w:fldChar w:fldCharType="end"/>
      </w:r>
      <w:r w:rsidRPr="00EC0229">
        <w:t>/Ecgberht</w:t>
      </w:r>
      <w:r w:rsidR="00D142DC" w:rsidRPr="00EC0229">
        <w:fldChar w:fldCharType="begin"/>
      </w:r>
      <w:r w:rsidR="00D142DC" w:rsidRPr="00EC0229">
        <w:instrText xml:space="preserve"> XE "Ecgberht" </w:instrText>
      </w:r>
      <w:r w:rsidR="00D142DC" w:rsidRPr="00EC0229">
        <w:fldChar w:fldCharType="end"/>
      </w:r>
      <w:r w:rsidRPr="00EC0229">
        <w:t xml:space="preserve"> sceat</w:t>
      </w:r>
      <w:r w:rsidR="00C0244E" w:rsidRPr="00EC0229">
        <w:t xml:space="preserve">, </w:t>
      </w:r>
      <w:r w:rsidR="009E07B9" w:rsidRPr="00EC0229">
        <w:fldChar w:fldCharType="begin"/>
      </w:r>
      <w:r w:rsidR="009E07B9" w:rsidRPr="00EC0229">
        <w:instrText xml:space="preserve"> REF _Ref430249336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155</w:t>
      </w:r>
      <w:r w:rsidR="009E07B9" w:rsidRPr="00EC0229">
        <w:fldChar w:fldCharType="end"/>
      </w:r>
      <w:r w:rsidR="00C0244E" w:rsidRPr="00EC0229">
        <w:t>,</w:t>
      </w:r>
      <w:r w:rsidRPr="00EC0229">
        <w:t xml:space="preserve"> </w:t>
      </w:r>
      <w:r w:rsidR="00394ED0" w:rsidRPr="00EC0229">
        <w:t xml:space="preserve">[N7], </w:t>
      </w:r>
      <w:r w:rsidRPr="00EC0229">
        <w:t xml:space="preserve">similar to that found at </w:t>
      </w:r>
      <w:r w:rsidR="005F1EAF" w:rsidRPr="005F1EAF">
        <w:t>‘Site C’</w:t>
      </w:r>
      <w:r w:rsidR="006B1593" w:rsidRPr="00EC0229">
        <w:fldChar w:fldCharType="begin"/>
      </w:r>
      <w:r w:rsidR="006B1593" w:rsidRPr="00EC0229">
        <w:instrText xml:space="preserve"> XE "</w:instrText>
      </w:r>
      <w:r w:rsidR="006B1593" w:rsidRPr="00EC0229">
        <w:rPr>
          <w:rStyle w:val="Hyperlink"/>
          <w:rFonts w:eastAsia="Times New Roman"/>
          <w:noProof/>
          <w:u w:val="none"/>
          <w:lang w:eastAsia="en-GB"/>
        </w:rPr>
        <w:instrText>Bolton</w:instrText>
      </w:r>
      <w:r w:rsidR="006B1593" w:rsidRPr="00EC0229">
        <w:instrText xml:space="preserve">" </w:instrText>
      </w:r>
      <w:r w:rsidR="006B1593" w:rsidRPr="00EC0229">
        <w:fldChar w:fldCharType="end"/>
      </w:r>
      <w:r w:rsidRPr="00EC0229">
        <w:rPr>
          <w:szCs w:val="24"/>
        </w:rPr>
        <w:t xml:space="preserve">) and </w:t>
      </w:r>
      <w:r w:rsidR="002D686E" w:rsidRPr="00EC0229">
        <w:rPr>
          <w:szCs w:val="24"/>
        </w:rPr>
        <w:t>near Scarborough</w:t>
      </w:r>
      <w:r w:rsidRPr="00EC0229">
        <w:rPr>
          <w:szCs w:val="24"/>
        </w:rPr>
        <w:t xml:space="preserve"> (a secondary, cruciform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Pr="00EC0229">
        <w:rPr>
          <w:szCs w:val="24"/>
        </w:rPr>
        <w:t xml:space="preserve"> E</w:t>
      </w:r>
      <w:r w:rsidR="00394ED0" w:rsidRPr="00EC0229">
        <w:rPr>
          <w:szCs w:val="24"/>
        </w:rPr>
        <w:t>, [5c]</w:t>
      </w:r>
      <w:r w:rsidR="008344F3" w:rsidRPr="00EC0229">
        <w:rPr>
          <w:szCs w:val="24"/>
        </w:rPr>
        <w:fldChar w:fldCharType="begin"/>
      </w:r>
      <w:r w:rsidR="008344F3" w:rsidRPr="00EC0229">
        <w:instrText xml:space="preserve"> XE "Series E" </w:instrText>
      </w:r>
      <w:r w:rsidR="008344F3" w:rsidRPr="00EC0229">
        <w:rPr>
          <w:szCs w:val="24"/>
        </w:rPr>
        <w:fldChar w:fldCharType="end"/>
      </w:r>
      <w:r w:rsidRPr="00EC0229">
        <w:rPr>
          <w:szCs w:val="24"/>
        </w:rPr>
        <w:t>)</w:t>
      </w:r>
      <w:r w:rsidR="002D686E" w:rsidRPr="00EC0229">
        <w:rPr>
          <w:szCs w:val="24"/>
        </w:rPr>
        <w:t>.</w:t>
      </w:r>
    </w:p>
    <w:p w14:paraId="2A8EB673" w14:textId="77777777" w:rsidR="00697BBB" w:rsidRPr="00EC0229" w:rsidRDefault="00697BBB" w:rsidP="007600EA">
      <w:pPr>
        <w:pStyle w:val="NoSpacing"/>
        <w:spacing w:line="360" w:lineRule="auto"/>
        <w:jc w:val="center"/>
      </w:pPr>
      <w:r w:rsidRPr="00EC0229">
        <w:rPr>
          <w:noProof/>
          <w:lang w:eastAsia="en-GB"/>
        </w:rPr>
        <w:drawing>
          <wp:inline distT="0" distB="0" distL="0" distR="0" wp14:anchorId="442FD356" wp14:editId="79CB6820">
            <wp:extent cx="867957" cy="838200"/>
            <wp:effectExtent l="0" t="0" r="889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irkbymoorside 1997.8204 obv.jpg"/>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886917" cy="856510"/>
                    </a:xfrm>
                    <a:prstGeom prst="rect">
                      <a:avLst/>
                    </a:prstGeom>
                  </pic:spPr>
                </pic:pic>
              </a:graphicData>
            </a:graphic>
          </wp:inline>
        </w:drawing>
      </w:r>
      <w:r w:rsidRPr="00EC0229">
        <w:rPr>
          <w:noProof/>
          <w:lang w:eastAsia="en-GB"/>
        </w:rPr>
        <w:drawing>
          <wp:inline distT="0" distB="0" distL="0" distR="0" wp14:anchorId="0B668452" wp14:editId="76EEF874">
            <wp:extent cx="819016" cy="838173"/>
            <wp:effectExtent l="0" t="0" r="635" b="63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irkbymoorside 1997.8204 rev.jpg"/>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846925" cy="866735"/>
                    </a:xfrm>
                    <a:prstGeom prst="rect">
                      <a:avLst/>
                    </a:prstGeom>
                  </pic:spPr>
                </pic:pic>
              </a:graphicData>
            </a:graphic>
          </wp:inline>
        </w:drawing>
      </w:r>
    </w:p>
    <w:p w14:paraId="2B150DA7" w14:textId="19F9AF85" w:rsidR="00941A45" w:rsidRDefault="003977B6" w:rsidP="007600EA">
      <w:pPr>
        <w:spacing w:line="360" w:lineRule="auto"/>
        <w:jc w:val="center"/>
        <w:rPr>
          <w:sz w:val="20"/>
          <w:szCs w:val="20"/>
        </w:rPr>
      </w:pPr>
      <w:bookmarkStart w:id="848" w:name="_Ref430249317"/>
      <w:bookmarkStart w:id="849" w:name="_Toc468267126"/>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154</w:t>
      </w:r>
      <w:r w:rsidR="00B609E3" w:rsidRPr="00EC0229">
        <w:rPr>
          <w:noProof/>
          <w:sz w:val="20"/>
          <w:szCs w:val="20"/>
        </w:rPr>
        <w:fldChar w:fldCharType="end"/>
      </w:r>
      <w:bookmarkEnd w:id="848"/>
      <w:r w:rsidR="00EE192A" w:rsidRPr="00EC0229">
        <w:rPr>
          <w:sz w:val="20"/>
          <w:szCs w:val="20"/>
        </w:rPr>
        <w:t xml:space="preserve">: </w:t>
      </w:r>
      <w:r w:rsidR="00697BBB" w:rsidRPr="00EC0229">
        <w:rPr>
          <w:sz w:val="20"/>
          <w:szCs w:val="20"/>
        </w:rPr>
        <w:t>Kirkbymoorside: iconic ‘shrine issue’ sceat of Æthelred</w:t>
      </w:r>
      <w:r w:rsidR="00D142DC" w:rsidRPr="00EC0229">
        <w:rPr>
          <w:sz w:val="20"/>
          <w:szCs w:val="20"/>
        </w:rPr>
        <w:fldChar w:fldCharType="begin"/>
      </w:r>
      <w:r w:rsidR="00D142DC" w:rsidRPr="00EC0229">
        <w:rPr>
          <w:sz w:val="20"/>
          <w:szCs w:val="20"/>
        </w:rPr>
        <w:instrText xml:space="preserve"> XE "</w:instrText>
      </w:r>
      <w:r w:rsidR="00D142DC" w:rsidRPr="00EC0229">
        <w:rPr>
          <w:rFonts w:cs="Times New Roman"/>
          <w:sz w:val="20"/>
          <w:szCs w:val="20"/>
        </w:rPr>
        <w:instrText>Æ</w:instrText>
      </w:r>
      <w:r w:rsidR="00D142DC" w:rsidRPr="00EC0229">
        <w:rPr>
          <w:sz w:val="20"/>
          <w:szCs w:val="20"/>
        </w:rPr>
        <w:instrText xml:space="preserve">thelred" </w:instrText>
      </w:r>
      <w:r w:rsidR="00D142DC" w:rsidRPr="00EC0229">
        <w:rPr>
          <w:sz w:val="20"/>
          <w:szCs w:val="20"/>
        </w:rPr>
        <w:fldChar w:fldCharType="end"/>
      </w:r>
      <w:r w:rsidR="00697BBB" w:rsidRPr="00EC0229">
        <w:rPr>
          <w:sz w:val="20"/>
          <w:szCs w:val="20"/>
        </w:rPr>
        <w:t xml:space="preserve"> I</w:t>
      </w:r>
      <w:bookmarkEnd w:id="849"/>
      <w:r w:rsidR="00697BBB" w:rsidRPr="00EC0229">
        <w:rPr>
          <w:sz w:val="20"/>
          <w:szCs w:val="20"/>
        </w:rPr>
        <w:t xml:space="preserve"> </w:t>
      </w:r>
    </w:p>
    <w:p w14:paraId="3FFA200F" w14:textId="69318054" w:rsidR="00697BBB" w:rsidRPr="00EC0229" w:rsidRDefault="00697BBB" w:rsidP="007600EA">
      <w:pPr>
        <w:spacing w:line="360" w:lineRule="auto"/>
        <w:jc w:val="center"/>
        <w:rPr>
          <w:sz w:val="20"/>
          <w:szCs w:val="20"/>
        </w:rPr>
      </w:pPr>
      <w:r w:rsidRPr="00EC0229">
        <w:rPr>
          <w:sz w:val="20"/>
          <w:szCs w:val="20"/>
        </w:rPr>
        <w:t>(Courtesy 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Pr="00EC0229">
        <w:rPr>
          <w:sz w:val="20"/>
          <w:szCs w:val="20"/>
        </w:rPr>
        <w:t>)</w:t>
      </w:r>
      <w:r w:rsidRPr="00EC0229">
        <w:rPr>
          <w:rStyle w:val="FootnoteReference"/>
          <w:sz w:val="20"/>
          <w:szCs w:val="20"/>
        </w:rPr>
        <w:footnoteReference w:id="1158"/>
      </w:r>
    </w:p>
    <w:p w14:paraId="79ACC7D2" w14:textId="77777777" w:rsidR="00697BBB" w:rsidRPr="00EC0229" w:rsidRDefault="00697BBB" w:rsidP="007600EA">
      <w:pPr>
        <w:pStyle w:val="NoSpacing"/>
        <w:spacing w:line="360" w:lineRule="auto"/>
        <w:jc w:val="center"/>
      </w:pPr>
    </w:p>
    <w:p w14:paraId="747AC476" w14:textId="77777777" w:rsidR="00697BBB" w:rsidRPr="00EC0229" w:rsidRDefault="00697BBB" w:rsidP="007600EA">
      <w:pPr>
        <w:pStyle w:val="NoSpacing"/>
        <w:spacing w:line="360" w:lineRule="auto"/>
        <w:jc w:val="center"/>
      </w:pPr>
      <w:r w:rsidRPr="00EC0229">
        <w:rPr>
          <w:noProof/>
          <w:lang w:eastAsia="en-GB"/>
        </w:rPr>
        <w:drawing>
          <wp:inline distT="0" distB="0" distL="0" distR="0" wp14:anchorId="48BE82F6" wp14:editId="4FB2E4EB">
            <wp:extent cx="792480" cy="785467"/>
            <wp:effectExtent l="0" t="0" r="762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amer 15 Y550.JPG"/>
                    <pic:cNvPicPr/>
                  </pic:nvPicPr>
                  <pic:blipFill>
                    <a:blip r:embed="rId483">
                      <a:extLst>
                        <a:ext uri="{28A0092B-C50C-407E-A947-70E740481C1C}">
                          <a14:useLocalDpi xmlns:a14="http://schemas.microsoft.com/office/drawing/2010/main" val="0"/>
                        </a:ext>
                      </a:extLst>
                    </a:blip>
                    <a:stretch>
                      <a:fillRect/>
                    </a:stretch>
                  </pic:blipFill>
                  <pic:spPr>
                    <a:xfrm>
                      <a:off x="0" y="0"/>
                      <a:ext cx="816816" cy="809588"/>
                    </a:xfrm>
                    <a:prstGeom prst="rect">
                      <a:avLst/>
                    </a:prstGeom>
                  </pic:spPr>
                </pic:pic>
              </a:graphicData>
            </a:graphic>
          </wp:inline>
        </w:drawing>
      </w:r>
      <w:r w:rsidRPr="00EC0229">
        <w:rPr>
          <w:noProof/>
          <w:lang w:eastAsia="en-GB"/>
        </w:rPr>
        <w:drawing>
          <wp:inline distT="0" distB="0" distL="0" distR="0" wp14:anchorId="1D04E523" wp14:editId="5FD73A6B">
            <wp:extent cx="832630" cy="781050"/>
            <wp:effectExtent l="0" t="0" r="571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eamer 15 Y550R.JPG"/>
                    <pic:cNvPicPr/>
                  </pic:nvPicPr>
                  <pic:blipFill>
                    <a:blip r:embed="rId484">
                      <a:extLst>
                        <a:ext uri="{28A0092B-C50C-407E-A947-70E740481C1C}">
                          <a14:useLocalDpi xmlns:a14="http://schemas.microsoft.com/office/drawing/2010/main" val="0"/>
                        </a:ext>
                      </a:extLst>
                    </a:blip>
                    <a:stretch>
                      <a:fillRect/>
                    </a:stretch>
                  </pic:blipFill>
                  <pic:spPr>
                    <a:xfrm>
                      <a:off x="0" y="0"/>
                      <a:ext cx="856640" cy="803573"/>
                    </a:xfrm>
                    <a:prstGeom prst="rect">
                      <a:avLst/>
                    </a:prstGeom>
                  </pic:spPr>
                </pic:pic>
              </a:graphicData>
            </a:graphic>
          </wp:inline>
        </w:drawing>
      </w:r>
    </w:p>
    <w:p w14:paraId="24CFE8C4" w14:textId="65328D7C" w:rsidR="00697BBB" w:rsidRPr="00EC0229" w:rsidRDefault="003977B6" w:rsidP="007600EA">
      <w:pPr>
        <w:spacing w:line="360" w:lineRule="auto"/>
        <w:jc w:val="center"/>
        <w:rPr>
          <w:sz w:val="20"/>
          <w:szCs w:val="20"/>
        </w:rPr>
      </w:pPr>
      <w:bookmarkStart w:id="850" w:name="_Ref430249336"/>
      <w:bookmarkStart w:id="851" w:name="_Toc468267127"/>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155</w:t>
      </w:r>
      <w:r w:rsidR="00B609E3" w:rsidRPr="00EC0229">
        <w:rPr>
          <w:noProof/>
          <w:sz w:val="20"/>
          <w:szCs w:val="20"/>
        </w:rPr>
        <w:fldChar w:fldCharType="end"/>
      </w:r>
      <w:bookmarkEnd w:id="850"/>
      <w:r w:rsidR="00EE192A" w:rsidRPr="00EC0229">
        <w:rPr>
          <w:sz w:val="20"/>
          <w:szCs w:val="20"/>
        </w:rPr>
        <w:t xml:space="preserve">: </w:t>
      </w:r>
      <w:r w:rsidR="00697BBB" w:rsidRPr="00EC0229">
        <w:rPr>
          <w:sz w:val="20"/>
          <w:szCs w:val="20"/>
        </w:rPr>
        <w:t>Seamer: rare ‘two-crozier’ joint issue sceat</w:t>
      </w:r>
      <w:bookmarkEnd w:id="851"/>
    </w:p>
    <w:p w14:paraId="57217175" w14:textId="77777777" w:rsidR="00697BBB" w:rsidRPr="00EC0229" w:rsidRDefault="00697BBB" w:rsidP="007600EA">
      <w:pPr>
        <w:pStyle w:val="NoSpacing"/>
        <w:spacing w:line="360" w:lineRule="auto"/>
      </w:pPr>
    </w:p>
    <w:p w14:paraId="390A6F92" w14:textId="0EED9602" w:rsidR="00697BBB" w:rsidRPr="00EC0229" w:rsidRDefault="00697BBB" w:rsidP="007600EA">
      <w:pPr>
        <w:pStyle w:val="NoSpacing"/>
        <w:spacing w:line="360" w:lineRule="auto"/>
      </w:pPr>
      <w:r w:rsidRPr="00EC0229">
        <w:t>Tha</w:t>
      </w:r>
      <w:r w:rsidR="00031AF2" w:rsidRPr="00EC0229">
        <w:t xml:space="preserve">t so </w:t>
      </w:r>
      <w:r w:rsidRPr="00EC0229">
        <w:t>few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coin have been disclosed - with nothing reported at Pickering or any of the minster sites - is wholly unexpected, particularly as the uncovering of other artefacts,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1641C3" w:rsidRPr="00EC0229">
        <w:rPr>
          <w:i/>
        </w:rPr>
        <w:t>6</w:t>
      </w:r>
      <w:r w:rsidR="00E1090A" w:rsidRPr="00EC0229">
        <w:rPr>
          <w:i/>
        </w:rPr>
        <w:t>.03</w:t>
      </w:r>
      <w:r w:rsidRPr="00EC0229">
        <w:rPr>
          <w:i/>
        </w:rPr>
        <w:t>,</w:t>
      </w:r>
      <w:r w:rsidRPr="00EC0229">
        <w:t xml:space="preserve"> shows that access is not restricted.</w:t>
      </w:r>
    </w:p>
    <w:p w14:paraId="6066F440" w14:textId="77777777" w:rsidR="00697BBB" w:rsidRPr="00EC0229" w:rsidRDefault="00697BBB" w:rsidP="007600EA">
      <w:pPr>
        <w:pStyle w:val="NoSpacing"/>
        <w:spacing w:line="360" w:lineRule="auto"/>
        <w:rPr>
          <w:sz w:val="20"/>
          <w:szCs w:val="20"/>
        </w:rPr>
      </w:pPr>
    </w:p>
    <w:p w14:paraId="68B52EA3" w14:textId="2027770D" w:rsidR="00697BBB" w:rsidRPr="00EC0229" w:rsidRDefault="00697BBB" w:rsidP="007600EA">
      <w:pPr>
        <w:pStyle w:val="NoSpacing"/>
        <w:spacing w:line="360" w:lineRule="auto"/>
        <w:rPr>
          <w:szCs w:val="24"/>
        </w:rPr>
      </w:pPr>
      <w:r w:rsidRPr="00EC0229">
        <w:rPr>
          <w:szCs w:val="24"/>
        </w:rPr>
        <w:t>There could be two causes; this is due either to recovery phenomena or social-economic agents. While the paucity of finds is stark for this north track, the contrast with the south track could be explained geographically. The south track serves the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 xml:space="preserve">, economically active and demonstrated to be increasingly </w:t>
      </w:r>
      <w:r w:rsidR="003F2041" w:rsidRPr="00EC0229">
        <w:rPr>
          <w:szCs w:val="24"/>
        </w:rPr>
        <w:t>monetiz</w:t>
      </w:r>
      <w:r w:rsidRPr="00EC0229">
        <w:rPr>
          <w:szCs w:val="24"/>
        </w:rPr>
        <w:t xml:space="preserve">ed throughout the study period, whereas the north track serves the </w:t>
      </w:r>
      <w:r w:rsidR="00430B5B" w:rsidRPr="00EC0229">
        <w:rPr>
          <w:szCs w:val="24"/>
        </w:rPr>
        <w:t>North York Moors</w:t>
      </w:r>
      <w:r w:rsidRPr="00EC0229">
        <w:rPr>
          <w:szCs w:val="24"/>
        </w:rPr>
        <w:t xml:space="preserve"> much of which is above the plough zone, inhibiting recovery, and the conditions are less conducive to agricultural development. Nevertheless, the </w:t>
      </w:r>
      <w:r w:rsidR="002D686E" w:rsidRPr="00EC0229">
        <w:rPr>
          <w:szCs w:val="24"/>
        </w:rPr>
        <w:t>outcome</w:t>
      </w:r>
      <w:r w:rsidRPr="00EC0229">
        <w:rPr>
          <w:szCs w:val="24"/>
        </w:rPr>
        <w:t xml:space="preserve"> for both tracks is </w:t>
      </w:r>
      <w:r w:rsidR="00031AF2" w:rsidRPr="00EC0229">
        <w:rPr>
          <w:szCs w:val="24"/>
        </w:rPr>
        <w:t>curious.</w:t>
      </w:r>
    </w:p>
    <w:p w14:paraId="09CB18EE" w14:textId="77777777" w:rsidR="00697BBB" w:rsidRPr="00EC0229" w:rsidRDefault="00697BBB" w:rsidP="007600EA">
      <w:pPr>
        <w:pStyle w:val="NoSpacing"/>
        <w:spacing w:line="360" w:lineRule="auto"/>
        <w:rPr>
          <w:szCs w:val="24"/>
        </w:rPr>
      </w:pPr>
    </w:p>
    <w:p w14:paraId="4F8823A6" w14:textId="5697B36C" w:rsidR="00697BBB" w:rsidRPr="00EC0229" w:rsidRDefault="00697BBB" w:rsidP="007600EA">
      <w:pPr>
        <w:pStyle w:val="NoSpacing"/>
        <w:spacing w:line="360" w:lineRule="auto"/>
        <w:rPr>
          <w:szCs w:val="24"/>
        </w:rPr>
      </w:pPr>
      <w:r w:rsidRPr="00EC0229">
        <w:rPr>
          <w:szCs w:val="24"/>
        </w:rPr>
        <w:lastRenderedPageBreak/>
        <w:t xml:space="preserve">Adverse recovery factors could include restricted access, poor recording, soil conditions, ploughing practices and alluvium. None is entirely convincing other than the first in the immediate vicinity of minsters. At the time of loss, the </w:t>
      </w:r>
      <w:r w:rsidR="00076572" w:rsidRPr="00EC0229">
        <w:rPr>
          <w:szCs w:val="24"/>
        </w:rPr>
        <w:t xml:space="preserve">soil and </w:t>
      </w:r>
      <w:r w:rsidRPr="00EC0229">
        <w:rPr>
          <w:szCs w:val="24"/>
        </w:rPr>
        <w:t>grassy pastures of the Vale would better conceal minute coins than would</w:t>
      </w:r>
      <w:r w:rsidR="002D686E" w:rsidRPr="00EC0229">
        <w:rPr>
          <w:szCs w:val="24"/>
        </w:rPr>
        <w:t>, say,</w:t>
      </w:r>
      <w:r w:rsidRPr="00EC0229">
        <w:rPr>
          <w:szCs w:val="24"/>
        </w:rPr>
        <w:t xml:space="preserve"> the dry chalk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Pr="00EC0229">
        <w:rPr>
          <w:szCs w:val="24"/>
        </w:rPr>
        <w:t>.</w:t>
      </w:r>
    </w:p>
    <w:p w14:paraId="34CC7232" w14:textId="77777777" w:rsidR="00697BBB" w:rsidRPr="00EC0229" w:rsidRDefault="00697BBB" w:rsidP="007600EA">
      <w:pPr>
        <w:pStyle w:val="NoSpacing"/>
        <w:spacing w:line="360" w:lineRule="auto"/>
        <w:rPr>
          <w:szCs w:val="24"/>
        </w:rPr>
      </w:pPr>
    </w:p>
    <w:p w14:paraId="2245A84E" w14:textId="09E13AA3" w:rsidR="00697BBB" w:rsidRPr="00EC0229" w:rsidRDefault="00697BBB" w:rsidP="007600EA">
      <w:pPr>
        <w:pStyle w:val="NoSpacing"/>
        <w:spacing w:line="360" w:lineRule="auto"/>
        <w:rPr>
          <w:szCs w:val="24"/>
        </w:rPr>
      </w:pPr>
      <w:r w:rsidRPr="00EC0229">
        <w:rPr>
          <w:szCs w:val="24"/>
        </w:rPr>
        <w:t xml:space="preserve">Of the possible socio-economic </w:t>
      </w:r>
      <w:r w:rsidR="00B32F71" w:rsidRPr="00EC0229">
        <w:rPr>
          <w:szCs w:val="24"/>
        </w:rPr>
        <w:t>explanations,</w:t>
      </w:r>
      <w:r w:rsidRPr="00EC0229">
        <w:rPr>
          <w:szCs w:val="24"/>
        </w:rPr>
        <w:t xml:space="preserve"> the less appealing is that austere monastic practices inhibited the free flow of coinage. While there may have been some reserve on sacred ground, it would have been accepted that money</w:t>
      </w:r>
      <w:r w:rsidR="008960AE" w:rsidRPr="00EC0229">
        <w:rPr>
          <w:szCs w:val="24"/>
        </w:rPr>
        <w:fldChar w:fldCharType="begin"/>
      </w:r>
      <w:r w:rsidR="008960AE" w:rsidRPr="00EC0229">
        <w:instrText xml:space="preserve"> XE "money" </w:instrText>
      </w:r>
      <w:r w:rsidR="008960AE" w:rsidRPr="00EC0229">
        <w:rPr>
          <w:szCs w:val="24"/>
        </w:rPr>
        <w:fldChar w:fldCharType="end"/>
      </w:r>
      <w:r w:rsidRPr="00EC0229">
        <w:rPr>
          <w:szCs w:val="24"/>
        </w:rPr>
        <w:t xml:space="preserve"> lubricated the habitual transactions of daily life. Little more convincing is the proposition that the dominance of minsters in the region meant that goods were imported to support religious communities such that coinage flowed out. This would not prevent the loss of either coins or artefacts locally. Of possibly political explanations in </w:t>
      </w:r>
      <w:r w:rsidR="00F139AF" w:rsidRPr="00EC0229">
        <w:rPr>
          <w:szCs w:val="24"/>
        </w:rPr>
        <w:t>the ninth century</w:t>
      </w:r>
      <w:r w:rsidRPr="00EC0229">
        <w:rPr>
          <w:szCs w:val="24"/>
        </w:rPr>
        <w:t>, it is inconceivable that Bernician influence or a continuing Celtic isolationism adversely affected the Vale, which was in the heart of Deira</w:t>
      </w:r>
      <w:r w:rsidR="00D142DC" w:rsidRPr="00EC0229">
        <w:rPr>
          <w:szCs w:val="24"/>
        </w:rPr>
        <w:fldChar w:fldCharType="begin"/>
      </w:r>
      <w:r w:rsidR="00D142DC" w:rsidRPr="00EC0229">
        <w:instrText xml:space="preserve"> XE "Deira" </w:instrText>
      </w:r>
      <w:r w:rsidR="00D142DC" w:rsidRPr="00EC0229">
        <w:rPr>
          <w:szCs w:val="24"/>
        </w:rPr>
        <w:fldChar w:fldCharType="end"/>
      </w:r>
      <w:r w:rsidRPr="00EC0229">
        <w:rPr>
          <w:szCs w:val="24"/>
        </w:rPr>
        <w:t>.</w:t>
      </w:r>
    </w:p>
    <w:p w14:paraId="65567E64" w14:textId="77777777" w:rsidR="00697BBB" w:rsidRPr="00EC0229" w:rsidRDefault="00697BBB" w:rsidP="007600EA">
      <w:pPr>
        <w:pStyle w:val="NoSpacing"/>
        <w:spacing w:line="360" w:lineRule="auto"/>
        <w:rPr>
          <w:szCs w:val="24"/>
        </w:rPr>
      </w:pPr>
    </w:p>
    <w:p w14:paraId="423BBC29" w14:textId="37DD5750" w:rsidR="00697BBB" w:rsidRPr="00EC0229" w:rsidRDefault="00697BBB" w:rsidP="007600EA">
      <w:pPr>
        <w:pStyle w:val="NoSpacing"/>
        <w:spacing w:line="360" w:lineRule="auto"/>
        <w:rPr>
          <w:szCs w:val="24"/>
        </w:rPr>
      </w:pPr>
      <w:r w:rsidRPr="00EC0229">
        <w:rPr>
          <w:szCs w:val="24"/>
        </w:rPr>
        <w:t>In the absence of adequate explanation, one must hope that future finds and improved access will show this discrepancy to be apparent not real. Until then, and given that ‘the management for profit of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Pr="00EC0229">
        <w:rPr>
          <w:szCs w:val="24"/>
        </w:rPr>
        <w:t xml:space="preserve"> estates was a requirement of canon law’,</w:t>
      </w:r>
      <w:r w:rsidRPr="00EC0229">
        <w:rPr>
          <w:rStyle w:val="FootnoteReference"/>
          <w:szCs w:val="24"/>
        </w:rPr>
        <w:footnoteReference w:id="1159"/>
      </w:r>
      <w:r w:rsidRPr="00EC0229">
        <w:rPr>
          <w:szCs w:val="24"/>
        </w:rPr>
        <w:t xml:space="preserve"> the ‘minster hypothesis’ lacks substantive economic evidence in Ryedale despite the prevalence of religious houses.</w:t>
      </w:r>
    </w:p>
    <w:p w14:paraId="08AE5813" w14:textId="720D3792" w:rsidR="00697BBB" w:rsidRPr="00EC0229" w:rsidRDefault="00697BBB" w:rsidP="007600EA">
      <w:pPr>
        <w:pStyle w:val="NoSpacing"/>
        <w:spacing w:line="360" w:lineRule="auto"/>
        <w:rPr>
          <w:szCs w:val="24"/>
        </w:rPr>
      </w:pPr>
    </w:p>
    <w:p w14:paraId="0019C40B" w14:textId="12D7DDF6" w:rsidR="00DD31A9" w:rsidRPr="00EC0229" w:rsidRDefault="002979EC" w:rsidP="007600EA">
      <w:pPr>
        <w:pStyle w:val="Heading3"/>
        <w:spacing w:line="360" w:lineRule="auto"/>
      </w:pPr>
      <w:bookmarkStart w:id="852" w:name="_Toc468266929"/>
      <w:r>
        <w:t>8.2.6.3</w:t>
      </w:r>
      <w:r w:rsidR="005D7097">
        <w:tab/>
      </w:r>
      <w:r w:rsidR="00DD31A9" w:rsidRPr="00EC0229">
        <w:t>Comparison to Normal Distribution</w:t>
      </w:r>
      <w:bookmarkEnd w:id="852"/>
    </w:p>
    <w:p w14:paraId="76C4EB96" w14:textId="36E6870B" w:rsidR="00DD31A9" w:rsidRPr="00EC0229" w:rsidRDefault="00DD31A9" w:rsidP="007600EA">
      <w:pPr>
        <w:spacing w:line="360" w:lineRule="auto"/>
      </w:pPr>
      <w:r w:rsidRPr="00EC0229">
        <w:t>For both eighth and ninth centuries, the Vale correlates closely (96%,</w:t>
      </w:r>
      <w:r w:rsidR="00E6452D" w:rsidRPr="00EC0229">
        <w:t xml:space="preserve"> </w:t>
      </w:r>
      <w:r w:rsidR="00E6452D" w:rsidRPr="00EC0229">
        <w:rPr>
          <w:i/>
        </w:rPr>
        <w:t>T</w:t>
      </w:r>
      <w:r w:rsidR="007D27F9" w:rsidRPr="00EC0229">
        <w:rPr>
          <w:i/>
        </w:rPr>
        <w:t>able 5.01</w:t>
      </w:r>
      <w:r w:rsidRPr="00EC0229">
        <w:t xml:space="preserve">) </w:t>
      </w:r>
      <w:r w:rsidR="000D7F18" w:rsidRPr="00EC0229">
        <w:t xml:space="preserve">with the </w:t>
      </w:r>
      <w:r w:rsidR="00076572" w:rsidRPr="00EC0229">
        <w:t xml:space="preserve">numismatic </w:t>
      </w:r>
      <w:r w:rsidR="000D7F18" w:rsidRPr="00EC0229">
        <w:t>norm. While the corpus is unexpectedly small it is not temporally skewed.</w:t>
      </w:r>
      <w:r w:rsidR="00C8219D" w:rsidRPr="00EC0229">
        <w:rPr>
          <w:rStyle w:val="FootnoteReference"/>
        </w:rPr>
        <w:footnoteReference w:id="1160"/>
      </w:r>
      <w:r w:rsidR="00364C88" w:rsidRPr="00EC0229">
        <w:t xml:space="preserve"> </w:t>
      </w:r>
      <w:r w:rsidR="004B5C8A" w:rsidRPr="00A07A08">
        <w:rPr>
          <w:i/>
        </w:rPr>
        <w:t>Graphs 7.0</w:t>
      </w:r>
      <w:r w:rsidR="004B5C8A">
        <w:rPr>
          <w:i/>
        </w:rPr>
        <w:t>6</w:t>
      </w:r>
      <w:r w:rsidR="004B5C8A" w:rsidRPr="00A07A08">
        <w:rPr>
          <w:i/>
        </w:rPr>
        <w:t xml:space="preserve"> </w:t>
      </w:r>
      <w:r w:rsidR="004B5C8A">
        <w:t>illustrate the chronological dispersal of finds at the main sites. While there are hints of early monetary activity, the dispersal is sparse with only Malton and West Heslerton suggesting continuity.</w:t>
      </w:r>
    </w:p>
    <w:p w14:paraId="4237F439" w14:textId="77777777" w:rsidR="00DD31A9" w:rsidRPr="00EC0229" w:rsidRDefault="00DD31A9" w:rsidP="007600EA">
      <w:pPr>
        <w:pStyle w:val="NoSpacing"/>
        <w:spacing w:line="360" w:lineRule="auto"/>
      </w:pPr>
    </w:p>
    <w:p w14:paraId="07B12789" w14:textId="6B3D0E71" w:rsidR="001C3436" w:rsidRPr="00EC0229" w:rsidRDefault="005D7097" w:rsidP="007600EA">
      <w:pPr>
        <w:pStyle w:val="Heading3"/>
        <w:spacing w:line="360" w:lineRule="auto"/>
      </w:pPr>
      <w:bookmarkStart w:id="853" w:name="ComparisontoRomanFindsVale"/>
      <w:bookmarkStart w:id="854" w:name="_Toc468266930"/>
      <w:bookmarkEnd w:id="853"/>
      <w:r>
        <w:t>8.2.6.4</w:t>
      </w:r>
      <w:r>
        <w:tab/>
      </w:r>
      <w:r w:rsidR="001C3436" w:rsidRPr="00EC0229">
        <w:t>Comparison to Roman Finds</w:t>
      </w:r>
      <w:bookmarkEnd w:id="854"/>
    </w:p>
    <w:p w14:paraId="146A3FD8" w14:textId="36E802FB" w:rsidR="001C3436" w:rsidRPr="00EC0229" w:rsidRDefault="001C3436" w:rsidP="007600EA">
      <w:pPr>
        <w:pStyle w:val="NoSpacing"/>
        <w:spacing w:line="360" w:lineRule="auto"/>
        <w:rPr>
          <w:szCs w:val="24"/>
        </w:rPr>
      </w:pPr>
      <w:r w:rsidRPr="00EC0229">
        <w:rPr>
          <w:szCs w:val="24"/>
        </w:rPr>
        <w:t xml:space="preserve">The relative proportions of </w:t>
      </w:r>
      <w:bookmarkStart w:id="855" w:name="coinsfortheRomanperiod"/>
      <w:r w:rsidRPr="00EC0229">
        <w:rPr>
          <w:szCs w:val="24"/>
        </w:rPr>
        <w:t>finds for the Roman</w:t>
      </w:r>
      <w:r w:rsidRPr="00EC0229">
        <w:rPr>
          <w:szCs w:val="24"/>
        </w:rPr>
        <w:fldChar w:fldCharType="begin"/>
      </w:r>
      <w:r w:rsidRPr="00EC0229">
        <w:instrText xml:space="preserve"> XE "Roman" </w:instrText>
      </w:r>
      <w:r w:rsidRPr="00EC0229">
        <w:rPr>
          <w:szCs w:val="24"/>
        </w:rPr>
        <w:fldChar w:fldCharType="end"/>
      </w:r>
      <w:r w:rsidRPr="00EC0229">
        <w:rPr>
          <w:szCs w:val="24"/>
        </w:rPr>
        <w:t xml:space="preserve"> period </w:t>
      </w:r>
      <w:bookmarkEnd w:id="855"/>
      <w:r w:rsidRPr="00EC0229">
        <w:rPr>
          <w:szCs w:val="24"/>
        </w:rPr>
        <w:t>are indicative (</w:t>
      </w:r>
      <w:r w:rsidRPr="00EC0229">
        <w:rPr>
          <w:szCs w:val="24"/>
        </w:rPr>
        <w:fldChar w:fldCharType="begin"/>
      </w:r>
      <w:r w:rsidRPr="00EC0229">
        <w:rPr>
          <w:szCs w:val="24"/>
        </w:rPr>
        <w:instrText xml:space="preserve"> PAGEREF RomanFinds \h </w:instrText>
      </w:r>
      <w:r w:rsidRPr="00EC0229">
        <w:rPr>
          <w:szCs w:val="24"/>
        </w:rPr>
      </w:r>
      <w:r w:rsidRPr="00EC0229">
        <w:rPr>
          <w:szCs w:val="24"/>
        </w:rPr>
        <w:fldChar w:fldCharType="separate"/>
      </w:r>
      <w:r w:rsidR="0012026B">
        <w:rPr>
          <w:noProof/>
          <w:szCs w:val="24"/>
        </w:rPr>
        <w:t>164</w:t>
      </w:r>
      <w:r w:rsidRPr="00EC0229">
        <w:rPr>
          <w:szCs w:val="24"/>
        </w:rPr>
        <w:fldChar w:fldCharType="end"/>
      </w:r>
      <w:r w:rsidRPr="00EC0229">
        <w:rPr>
          <w:szCs w:val="24"/>
        </w:rPr>
        <w:t>). With PAS</w:t>
      </w:r>
      <w:r w:rsidRPr="00EC0229">
        <w:rPr>
          <w:szCs w:val="24"/>
        </w:rPr>
        <w:fldChar w:fldCharType="begin"/>
      </w:r>
      <w:r w:rsidRPr="00EC0229">
        <w:instrText xml:space="preserve"> XE "PAS" </w:instrText>
      </w:r>
      <w:r w:rsidRPr="00EC0229">
        <w:rPr>
          <w:szCs w:val="24"/>
        </w:rPr>
        <w:fldChar w:fldCharType="end"/>
      </w:r>
      <w:r w:rsidR="002F26E3" w:rsidRPr="00EC0229">
        <w:rPr>
          <w:szCs w:val="24"/>
        </w:rPr>
        <w:t xml:space="preserve"> showing over 85</w:t>
      </w:r>
      <w:r w:rsidR="00C200AD" w:rsidRPr="00EC0229">
        <w:rPr>
          <w:szCs w:val="24"/>
        </w:rPr>
        <w:t>0</w:t>
      </w:r>
      <w:r w:rsidRPr="00EC0229">
        <w:rPr>
          <w:szCs w:val="24"/>
        </w:rPr>
        <w:t xml:space="preserve"> coin finds for the Vale, including </w:t>
      </w:r>
      <w:r w:rsidR="002F26E3" w:rsidRPr="00EC0229">
        <w:rPr>
          <w:i/>
          <w:szCs w:val="24"/>
        </w:rPr>
        <w:t>c</w:t>
      </w:r>
      <w:r w:rsidR="002F26E3" w:rsidRPr="00EC0229">
        <w:rPr>
          <w:szCs w:val="24"/>
        </w:rPr>
        <w:t>.</w:t>
      </w:r>
      <w:r w:rsidRPr="00EC0229">
        <w:rPr>
          <w:szCs w:val="24"/>
        </w:rPr>
        <w:t xml:space="preserve">130 from the Cawton area at the west end, this represents </w:t>
      </w:r>
      <w:r w:rsidR="00C200AD" w:rsidRPr="00EC0229">
        <w:rPr>
          <w:szCs w:val="24"/>
        </w:rPr>
        <w:t>4.8</w:t>
      </w:r>
      <w:r w:rsidRPr="00EC0229">
        <w:rPr>
          <w:szCs w:val="24"/>
        </w:rPr>
        <w:t>% of over 17</w:t>
      </w:r>
      <w:r w:rsidR="00C200AD" w:rsidRPr="00EC0229">
        <w:rPr>
          <w:szCs w:val="24"/>
        </w:rPr>
        <w:t>,5</w:t>
      </w:r>
      <w:r w:rsidRPr="00EC0229">
        <w:rPr>
          <w:szCs w:val="24"/>
        </w:rPr>
        <w:t>00 Roman coin finds for the north,</w:t>
      </w:r>
      <w:r w:rsidRPr="00EC0229">
        <w:rPr>
          <w:rStyle w:val="FootnoteReference"/>
          <w:szCs w:val="24"/>
        </w:rPr>
        <w:footnoteReference w:id="1161"/>
      </w:r>
      <w:r w:rsidRPr="00EC0229">
        <w:rPr>
          <w:szCs w:val="24"/>
        </w:rPr>
        <w:t xml:space="preserve"> compared to 6</w:t>
      </w:r>
      <w:r w:rsidR="00C200AD" w:rsidRPr="00EC0229">
        <w:rPr>
          <w:szCs w:val="24"/>
        </w:rPr>
        <w:t>.1</w:t>
      </w:r>
      <w:r w:rsidRPr="00EC0229">
        <w:rPr>
          <w:szCs w:val="24"/>
        </w:rPr>
        <w:t xml:space="preserve">% for the </w:t>
      </w:r>
      <w:r w:rsidRPr="00EC0229">
        <w:rPr>
          <w:szCs w:val="24"/>
        </w:rPr>
        <w:lastRenderedPageBreak/>
        <w:t>Anglo-Saxon</w:t>
      </w:r>
      <w:r w:rsidRPr="00EC0229">
        <w:rPr>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Cs w:val="24"/>
        </w:rPr>
        <w:fldChar w:fldCharType="end"/>
      </w:r>
      <w:r w:rsidRPr="00EC0229">
        <w:rPr>
          <w:szCs w:val="24"/>
        </w:rPr>
        <w:t xml:space="preserve"> period</w:t>
      </w:r>
      <w:r w:rsidR="00C200AD" w:rsidRPr="00EC0229">
        <w:rPr>
          <w:szCs w:val="24"/>
        </w:rPr>
        <w:t>, from a total of 1,168</w:t>
      </w:r>
      <w:r w:rsidRPr="00EC0229">
        <w:rPr>
          <w:szCs w:val="24"/>
        </w:rPr>
        <w:t xml:space="preserve">. Finds are well, and fairly evenly, spread throughout the north and south </w:t>
      </w:r>
      <w:r w:rsidR="002F26E3" w:rsidRPr="00EC0229">
        <w:rPr>
          <w:szCs w:val="24"/>
        </w:rPr>
        <w:t>tracks in</w:t>
      </w:r>
      <w:r w:rsidRPr="00EC0229">
        <w:rPr>
          <w:szCs w:val="24"/>
        </w:rPr>
        <w:t xml:space="preserve"> the Vale of Pickering</w:t>
      </w:r>
      <w:r w:rsidRPr="00EC0229">
        <w:rPr>
          <w:szCs w:val="24"/>
        </w:rPr>
        <w:fldChar w:fldCharType="begin"/>
      </w:r>
      <w:r w:rsidRPr="00EC0229">
        <w:instrText xml:space="preserve"> XE "</w:instrText>
      </w:r>
      <w:r w:rsidRPr="00EC0229">
        <w:rPr>
          <w:rStyle w:val="Hyperlink"/>
          <w:rFonts w:cs="Times New Roman"/>
          <w:noProof/>
          <w:u w:val="none"/>
        </w:rPr>
        <w:instrText>Vale of Pickering</w:instrText>
      </w:r>
      <w:r w:rsidRPr="00EC0229">
        <w:instrText xml:space="preserve">" </w:instrText>
      </w:r>
      <w:r w:rsidRPr="00EC0229">
        <w:rPr>
          <w:szCs w:val="24"/>
        </w:rPr>
        <w:fldChar w:fldCharType="end"/>
      </w:r>
      <w:r w:rsidR="00EF7EC2">
        <w:rPr>
          <w:szCs w:val="24"/>
        </w:rPr>
        <w:t xml:space="preserve">, </w:t>
      </w:r>
      <w:r w:rsidR="00EF7EC2" w:rsidRPr="00EF7EC2">
        <w:rPr>
          <w:i/>
          <w:szCs w:val="24"/>
        </w:rPr>
        <w:t>Table</w:t>
      </w:r>
      <w:r w:rsidR="00EF7EC2" w:rsidRPr="00EF7EC2">
        <w:rPr>
          <w:i/>
          <w:szCs w:val="24"/>
        </w:rPr>
        <w:fldChar w:fldCharType="begin"/>
      </w:r>
      <w:r w:rsidR="00EF7EC2" w:rsidRPr="00EF7EC2">
        <w:rPr>
          <w:i/>
          <w:szCs w:val="24"/>
        </w:rPr>
        <w:instrText xml:space="preserve"> XE "</w:instrText>
      </w:r>
      <w:r w:rsidR="00EF7EC2" w:rsidRPr="00EF7EC2">
        <w:rPr>
          <w:rStyle w:val="Hyperlink"/>
          <w:i/>
          <w:noProof/>
          <w:szCs w:val="24"/>
          <w:u w:val="none"/>
        </w:rPr>
        <w:instrText>Table</w:instrText>
      </w:r>
      <w:r w:rsidR="00EF7EC2" w:rsidRPr="00EF7EC2">
        <w:rPr>
          <w:i/>
          <w:szCs w:val="24"/>
        </w:rPr>
        <w:instrText xml:space="preserve">" </w:instrText>
      </w:r>
      <w:r w:rsidR="00EF7EC2" w:rsidRPr="00EF7EC2">
        <w:rPr>
          <w:i/>
          <w:szCs w:val="24"/>
        </w:rPr>
        <w:fldChar w:fldCharType="end"/>
      </w:r>
      <w:r w:rsidR="00EF7EC2" w:rsidRPr="00EF7EC2">
        <w:rPr>
          <w:i/>
          <w:szCs w:val="24"/>
        </w:rPr>
        <w:t xml:space="preserve"> 8.34</w:t>
      </w:r>
      <w:r w:rsidR="00EF7EC2" w:rsidRPr="00EF7EC2">
        <w:rPr>
          <w:szCs w:val="24"/>
        </w:rPr>
        <w:t>.</w:t>
      </w:r>
    </w:p>
    <w:p w14:paraId="5517AB96" w14:textId="77777777" w:rsidR="001C3436" w:rsidRPr="00EC0229" w:rsidRDefault="001C3436" w:rsidP="007600EA">
      <w:pPr>
        <w:pStyle w:val="NoSpacing"/>
        <w:spacing w:line="360" w:lineRule="auto"/>
        <w:rPr>
          <w:szCs w:val="24"/>
        </w:rPr>
      </w:pPr>
    </w:p>
    <w:p w14:paraId="081E69E5" w14:textId="271B8A60" w:rsidR="001C3436" w:rsidRPr="00EC0229" w:rsidRDefault="001C3436" w:rsidP="007600EA">
      <w:pPr>
        <w:pStyle w:val="NoSpacing"/>
        <w:spacing w:line="360" w:lineRule="auto"/>
        <w:rPr>
          <w:szCs w:val="24"/>
        </w:rPr>
      </w:pPr>
      <w:r w:rsidRPr="00EC0229">
        <w:rPr>
          <w:szCs w:val="24"/>
        </w:rPr>
        <w:t>This demonstrates that in antiquity the Vale was undistinguished (by paucity) in its monetary activity and, more significantly, that Roman</w:t>
      </w:r>
      <w:r w:rsidRPr="00EC0229">
        <w:rPr>
          <w:szCs w:val="24"/>
        </w:rPr>
        <w:fldChar w:fldCharType="begin"/>
      </w:r>
      <w:r w:rsidRPr="00EC0229">
        <w:instrText xml:space="preserve"> XE "Roman" </w:instrText>
      </w:r>
      <w:r w:rsidRPr="00EC0229">
        <w:rPr>
          <w:szCs w:val="24"/>
        </w:rPr>
        <w:fldChar w:fldCharType="end"/>
      </w:r>
      <w:r w:rsidRPr="00EC0229">
        <w:rPr>
          <w:szCs w:val="24"/>
        </w:rPr>
        <w:t xml:space="preserve"> detecting finds are reasonably unrestricted in distribution – neither under-reporting nor denial of access should be an inhibi</w:t>
      </w:r>
      <w:r w:rsidR="00F50B3E" w:rsidRPr="00EC0229">
        <w:rPr>
          <w:szCs w:val="24"/>
        </w:rPr>
        <w:t>tion on finds from later periods,</w:t>
      </w:r>
      <w:r w:rsidR="00F50B3E" w:rsidRPr="00EC0229">
        <w:rPr>
          <w:rStyle w:val="FootnoteReference"/>
          <w:color w:val="000000" w:themeColor="text1"/>
        </w:rPr>
        <w:footnoteReference w:id="1162"/>
      </w:r>
      <w:r w:rsidR="002F26E3" w:rsidRPr="00EC0229">
        <w:rPr>
          <w:szCs w:val="24"/>
        </w:rPr>
        <w:t xml:space="preserve"> The numismatic proportions for the two periods are comparable</w:t>
      </w:r>
      <w:r w:rsidR="00F7143B" w:rsidRPr="00EC0229">
        <w:rPr>
          <w:szCs w:val="24"/>
        </w:rPr>
        <w:t xml:space="preserve"> and do</w:t>
      </w:r>
      <w:r w:rsidR="002F26E3" w:rsidRPr="00EC0229">
        <w:rPr>
          <w:szCs w:val="24"/>
        </w:rPr>
        <w:t xml:space="preserve"> not detract from the conclusion that the Anglian religious houses </w:t>
      </w:r>
      <w:r w:rsidR="0074579F" w:rsidRPr="00EC0229">
        <w:rPr>
          <w:szCs w:val="24"/>
        </w:rPr>
        <w:t xml:space="preserve">appear not to have enhanced local  </w:t>
      </w:r>
      <w:r w:rsidR="002F26E3" w:rsidRPr="00EC0229">
        <w:rPr>
          <w:szCs w:val="24"/>
        </w:rPr>
        <w:t>economic activity.</w:t>
      </w:r>
    </w:p>
    <w:p w14:paraId="11D125D9" w14:textId="77777777" w:rsidR="001C3436" w:rsidRPr="00EC0229" w:rsidRDefault="001C3436" w:rsidP="007600EA">
      <w:pPr>
        <w:pStyle w:val="NoSpacing"/>
        <w:spacing w:line="360" w:lineRule="auto"/>
        <w:rPr>
          <w:szCs w:val="24"/>
        </w:rPr>
      </w:pPr>
    </w:p>
    <w:p w14:paraId="1FA5BD64" w14:textId="5674F10C" w:rsidR="001C3436" w:rsidRPr="00EC0229" w:rsidRDefault="001C3436" w:rsidP="007600EA">
      <w:pPr>
        <w:pStyle w:val="NoSpacing"/>
        <w:spacing w:line="360" w:lineRule="auto"/>
        <w:rPr>
          <w:szCs w:val="24"/>
        </w:rPr>
      </w:pPr>
      <w:r w:rsidRPr="00EC0229">
        <w:rPr>
          <w:szCs w:val="24"/>
        </w:rPr>
        <w:t xml:space="preserve">However, the artefactual pattern differs from the numismatic, </w:t>
      </w:r>
      <w:r w:rsidRPr="00EC0229">
        <w:rPr>
          <w:i/>
          <w:szCs w:val="24"/>
        </w:rPr>
        <w:t xml:space="preserve">Table </w:t>
      </w:r>
      <w:r w:rsidR="0078141C" w:rsidRPr="00EC0229">
        <w:rPr>
          <w:i/>
          <w:szCs w:val="24"/>
        </w:rPr>
        <w:t>7.02</w:t>
      </w:r>
      <w:r w:rsidRPr="00EC0229">
        <w:rPr>
          <w:szCs w:val="24"/>
        </w:rPr>
        <w:t xml:space="preserve">. While Roman objects </w:t>
      </w:r>
      <w:r w:rsidR="002F26E3" w:rsidRPr="00EC0229">
        <w:rPr>
          <w:szCs w:val="24"/>
        </w:rPr>
        <w:t>account for 4.3</w:t>
      </w:r>
      <w:r w:rsidR="005F58E8" w:rsidRPr="00EC0229">
        <w:rPr>
          <w:szCs w:val="24"/>
        </w:rPr>
        <w:t>%</w:t>
      </w:r>
      <w:r w:rsidRPr="00EC0229">
        <w:rPr>
          <w:szCs w:val="24"/>
        </w:rPr>
        <w:t xml:space="preserve"> of the Roman corpus for the north, the proportion of early Anglo-Saxon artefacts is only 1.6%.</w:t>
      </w:r>
      <w:r w:rsidR="00561490" w:rsidRPr="00EC0229">
        <w:rPr>
          <w:rStyle w:val="FootnoteReference"/>
          <w:szCs w:val="24"/>
        </w:rPr>
        <w:footnoteReference w:id="1163"/>
      </w:r>
      <w:r w:rsidR="00B10AAE" w:rsidRPr="00EC0229">
        <w:rPr>
          <w:szCs w:val="24"/>
        </w:rPr>
        <w:t xml:space="preserve"> Access can be eliminated as an explanation. Furthermore, while slender shillings, sceats and stycas are far harder to find than the bulkier Roman denominations, this is unli</w:t>
      </w:r>
      <w:r w:rsidR="007F0E50" w:rsidRPr="00EC0229">
        <w:rPr>
          <w:szCs w:val="24"/>
        </w:rPr>
        <w:t>kely to hold for artefacts.</w:t>
      </w:r>
      <w:r w:rsidR="007F0E50" w:rsidRPr="00EC0229">
        <w:rPr>
          <w:rStyle w:val="FootnoteReference"/>
          <w:szCs w:val="24"/>
        </w:rPr>
        <w:footnoteReference w:id="1164"/>
      </w:r>
      <w:r w:rsidR="007F0E50" w:rsidRPr="00EC0229">
        <w:rPr>
          <w:szCs w:val="24"/>
        </w:rPr>
        <w:t xml:space="preserve"> </w:t>
      </w:r>
      <w:r w:rsidR="00B10AAE" w:rsidRPr="00EC0229">
        <w:rPr>
          <w:szCs w:val="24"/>
        </w:rPr>
        <w:t xml:space="preserve">Moreover, it is unlikely that there will be bias in reporting as typically the finder will lack chronological discrimination. Therefore, the </w:t>
      </w:r>
      <w:r w:rsidR="005F58E8" w:rsidRPr="00EC0229">
        <w:rPr>
          <w:szCs w:val="24"/>
        </w:rPr>
        <w:t xml:space="preserve">Anglian </w:t>
      </w:r>
      <w:r w:rsidR="007F0E50" w:rsidRPr="00EC0229">
        <w:rPr>
          <w:szCs w:val="24"/>
        </w:rPr>
        <w:t xml:space="preserve">artefactual </w:t>
      </w:r>
      <w:r w:rsidR="00B10AAE" w:rsidRPr="00EC0229">
        <w:rPr>
          <w:szCs w:val="24"/>
        </w:rPr>
        <w:t>paucity seems real.</w:t>
      </w:r>
    </w:p>
    <w:p w14:paraId="0C560750" w14:textId="7EC2FD78" w:rsidR="001C3436" w:rsidRPr="00EC0229" w:rsidRDefault="001C3436" w:rsidP="007600EA">
      <w:pPr>
        <w:pStyle w:val="NoSpacing"/>
        <w:spacing w:line="360" w:lineRule="auto"/>
      </w:pPr>
    </w:p>
    <w:p w14:paraId="2B30F8AE" w14:textId="12697311" w:rsidR="00571D56" w:rsidRPr="00EC0229" w:rsidRDefault="005D7097" w:rsidP="007600EA">
      <w:pPr>
        <w:pStyle w:val="Heading3"/>
        <w:spacing w:line="360" w:lineRule="auto"/>
      </w:pPr>
      <w:bookmarkStart w:id="856" w:name="_Toc468266931"/>
      <w:r>
        <w:t>8.2.6.5</w:t>
      </w:r>
      <w:r>
        <w:tab/>
      </w:r>
      <w:r w:rsidR="00571D56" w:rsidRPr="00EC0229">
        <w:t>The Artefactual</w:t>
      </w:r>
      <w:r w:rsidR="00571D56" w:rsidRPr="00EC0229">
        <w:fldChar w:fldCharType="begin"/>
      </w:r>
      <w:r w:rsidR="00571D56" w:rsidRPr="00EC0229">
        <w:instrText xml:space="preserve"> XE "</w:instrText>
      </w:r>
      <w:r w:rsidR="00571D56" w:rsidRPr="00EC0229">
        <w:rPr>
          <w:rStyle w:val="Hyperlink"/>
          <w:noProof/>
          <w:u w:val="none"/>
        </w:rPr>
        <w:instrText>Artefactual</w:instrText>
      </w:r>
      <w:r w:rsidR="00571D56" w:rsidRPr="00EC0229">
        <w:instrText xml:space="preserve">" </w:instrText>
      </w:r>
      <w:r w:rsidR="00571D56" w:rsidRPr="00EC0229">
        <w:fldChar w:fldCharType="end"/>
      </w:r>
      <w:r w:rsidR="00571D56" w:rsidRPr="00EC0229">
        <w:t xml:space="preserve"> </w:t>
      </w:r>
      <w:r w:rsidR="00497AC3" w:rsidRPr="00EC0229">
        <w:t>Dataset</w:t>
      </w:r>
      <w:bookmarkEnd w:id="856"/>
      <w:r w:rsidR="00571D56" w:rsidRPr="00EC0229">
        <w:fldChar w:fldCharType="begin"/>
      </w:r>
      <w:r w:rsidR="00571D56" w:rsidRPr="00EC0229">
        <w:instrText xml:space="preserve"> XE "</w:instrText>
      </w:r>
      <w:r w:rsidR="00571D56" w:rsidRPr="00EC0229">
        <w:rPr>
          <w:rStyle w:val="Hyperlink"/>
          <w:noProof/>
          <w:u w:val="none"/>
        </w:rPr>
        <w:instrText>Database</w:instrText>
      </w:r>
      <w:r w:rsidR="00571D56" w:rsidRPr="00EC0229">
        <w:instrText xml:space="preserve">" </w:instrText>
      </w:r>
      <w:r w:rsidR="00571D56" w:rsidRPr="00EC0229">
        <w:fldChar w:fldCharType="end"/>
      </w:r>
    </w:p>
    <w:p w14:paraId="6DA0F227" w14:textId="0DBC2226" w:rsidR="00DF0062" w:rsidRPr="00EC0229" w:rsidRDefault="00DF0062" w:rsidP="00DF0062">
      <w:pPr>
        <w:pStyle w:val="NoSpacing"/>
        <w:spacing w:line="360" w:lineRule="auto"/>
        <w:rPr>
          <w:szCs w:val="24"/>
        </w:rPr>
      </w:pPr>
      <w:r w:rsidRPr="00EC0229">
        <w:rPr>
          <w:szCs w:val="24"/>
        </w:rPr>
        <w:t xml:space="preserve">Although the sample in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Pr="00EC0229">
        <w:rPr>
          <w:i/>
          <w:szCs w:val="24"/>
        </w:rPr>
        <w:t xml:space="preserve"> 8.</w:t>
      </w:r>
      <w:r w:rsidR="003223CD" w:rsidRPr="00EC0229">
        <w:rPr>
          <w:i/>
          <w:szCs w:val="24"/>
        </w:rPr>
        <w:t>3</w:t>
      </w:r>
      <w:r w:rsidR="00C105D5" w:rsidRPr="00EC0229">
        <w:rPr>
          <w:i/>
          <w:szCs w:val="24"/>
        </w:rPr>
        <w:t>5</w:t>
      </w:r>
      <w:r w:rsidRPr="00EC0229">
        <w:rPr>
          <w:i/>
          <w:szCs w:val="24"/>
        </w:rPr>
        <w:t xml:space="preserve"> </w:t>
      </w:r>
      <w:r w:rsidRPr="00EC0229">
        <w:rPr>
          <w:szCs w:val="24"/>
        </w:rPr>
        <w:t>is too small to make safe assessments – there are forty-four artefacts of only fourteen types – mounts, sleeve clasps, buckles and brooches are far more common than norm and pins far less common. There are no strap ends. Yet again there seems to be regional variation in fastener use. See</w:t>
      </w:r>
      <w:r w:rsidRPr="00EC0229">
        <w:rPr>
          <w:i/>
          <w:szCs w:val="24"/>
        </w:rPr>
        <w:t xml:space="preserve"> Table 8.</w:t>
      </w:r>
      <w:r w:rsidR="003223CD" w:rsidRPr="00EC0229">
        <w:rPr>
          <w:i/>
          <w:szCs w:val="24"/>
        </w:rPr>
        <w:t>3</w:t>
      </w:r>
      <w:r w:rsidR="00C105D5" w:rsidRPr="00EC0229">
        <w:rPr>
          <w:i/>
          <w:szCs w:val="24"/>
        </w:rPr>
        <w:t>7</w:t>
      </w:r>
      <w:r w:rsidRPr="00EC0229">
        <w:rPr>
          <w:szCs w:val="24"/>
        </w:rPr>
        <w:t xml:space="preserve">. </w:t>
      </w:r>
    </w:p>
    <w:p w14:paraId="48A750A7" w14:textId="77777777" w:rsidR="00DF0062" w:rsidRPr="00EC0229" w:rsidRDefault="00DF0062" w:rsidP="00DF0062">
      <w:pPr>
        <w:pStyle w:val="NoSpacing"/>
        <w:spacing w:line="360" w:lineRule="auto"/>
        <w:rPr>
          <w:szCs w:val="24"/>
        </w:rPr>
      </w:pPr>
    </w:p>
    <w:p w14:paraId="10C0F851" w14:textId="16CED305" w:rsidR="00571D56" w:rsidRPr="00EC0229" w:rsidRDefault="00DF0062" w:rsidP="007600EA">
      <w:pPr>
        <w:pStyle w:val="NoSpacing"/>
        <w:spacing w:line="360" w:lineRule="auto"/>
        <w:rPr>
          <w:szCs w:val="24"/>
        </w:rPr>
      </w:pPr>
      <w:r w:rsidRPr="00EC0229">
        <w:rPr>
          <w:szCs w:val="24"/>
        </w:rPr>
        <w:t xml:space="preserve">The detailed artefactual evidence for the north and south tracks is in </w:t>
      </w:r>
      <w:r w:rsidR="00571D56" w:rsidRPr="00EC0229">
        <w:rPr>
          <w:i/>
          <w:szCs w:val="24"/>
        </w:rPr>
        <w:t>Table</w:t>
      </w:r>
      <w:r w:rsidR="00571D56" w:rsidRPr="00EC0229">
        <w:rPr>
          <w:i/>
          <w:szCs w:val="24"/>
        </w:rPr>
        <w:fldChar w:fldCharType="begin"/>
      </w:r>
      <w:r w:rsidR="00571D56" w:rsidRPr="00EC0229">
        <w:instrText xml:space="preserve"> XE "</w:instrText>
      </w:r>
      <w:r w:rsidR="00571D56" w:rsidRPr="00EC0229">
        <w:rPr>
          <w:noProof/>
        </w:rPr>
        <w:instrText>Table</w:instrText>
      </w:r>
      <w:r w:rsidR="00571D56" w:rsidRPr="00EC0229">
        <w:instrText xml:space="preserve">" </w:instrText>
      </w:r>
      <w:r w:rsidR="00571D56" w:rsidRPr="00EC0229">
        <w:rPr>
          <w:i/>
          <w:szCs w:val="24"/>
        </w:rPr>
        <w:fldChar w:fldCharType="end"/>
      </w:r>
      <w:r w:rsidRPr="00EC0229">
        <w:rPr>
          <w:i/>
          <w:szCs w:val="24"/>
        </w:rPr>
        <w:t xml:space="preserve"> 8.</w:t>
      </w:r>
      <w:r w:rsidR="003223CD" w:rsidRPr="00EC0229">
        <w:rPr>
          <w:i/>
          <w:szCs w:val="24"/>
        </w:rPr>
        <w:t>3</w:t>
      </w:r>
      <w:r w:rsidR="00C105D5" w:rsidRPr="00EC0229">
        <w:rPr>
          <w:i/>
          <w:szCs w:val="24"/>
        </w:rPr>
        <w:t>8</w:t>
      </w:r>
      <w:r w:rsidRPr="00EC0229">
        <w:rPr>
          <w:szCs w:val="24"/>
        </w:rPr>
        <w:t>,</w:t>
      </w:r>
      <w:r w:rsidR="00571D56" w:rsidRPr="00EC0229">
        <w:rPr>
          <w:i/>
          <w:szCs w:val="24"/>
        </w:rPr>
        <w:t xml:space="preserve"> </w:t>
      </w:r>
      <w:r w:rsidR="003223CD" w:rsidRPr="00EC0229">
        <w:rPr>
          <w:szCs w:val="24"/>
        </w:rPr>
        <w:t>summarize</w:t>
      </w:r>
      <w:r w:rsidRPr="00EC0229">
        <w:rPr>
          <w:szCs w:val="24"/>
        </w:rPr>
        <w:t xml:space="preserve">d in </w:t>
      </w:r>
      <w:r w:rsidRPr="00EC0229">
        <w:rPr>
          <w:i/>
          <w:szCs w:val="24"/>
        </w:rPr>
        <w:t>Table 8.</w:t>
      </w:r>
      <w:r w:rsidR="003223CD" w:rsidRPr="00EC0229">
        <w:rPr>
          <w:i/>
          <w:szCs w:val="24"/>
        </w:rPr>
        <w:t>3</w:t>
      </w:r>
      <w:r w:rsidR="00C105D5" w:rsidRPr="00EC0229">
        <w:rPr>
          <w:i/>
          <w:szCs w:val="24"/>
        </w:rPr>
        <w:t>5</w:t>
      </w:r>
      <w:r w:rsidRPr="00EC0229">
        <w:rPr>
          <w:szCs w:val="24"/>
        </w:rPr>
        <w:t>.</w:t>
      </w:r>
    </w:p>
    <w:p w14:paraId="5602EB61" w14:textId="77777777" w:rsidR="00571D56" w:rsidRPr="00EC0229" w:rsidRDefault="00571D56" w:rsidP="007600EA">
      <w:pPr>
        <w:pStyle w:val="NoSpacing"/>
        <w:spacing w:line="360" w:lineRule="auto"/>
        <w:rPr>
          <w:sz w:val="20"/>
          <w:szCs w:val="20"/>
        </w:rPr>
      </w:pPr>
    </w:p>
    <w:p w14:paraId="490CCBAB" w14:textId="24C78946" w:rsidR="00571D56" w:rsidRPr="00EC0229" w:rsidRDefault="00571D56" w:rsidP="007600EA">
      <w:pPr>
        <w:pStyle w:val="NoSpacing"/>
        <w:spacing w:line="360" w:lineRule="auto"/>
        <w:rPr>
          <w:szCs w:val="24"/>
        </w:rPr>
      </w:pPr>
      <w:r w:rsidRPr="00EC0229">
        <w:rPr>
          <w:szCs w:val="24"/>
        </w:rPr>
        <w:t>The PAS</w:t>
      </w:r>
      <w:r w:rsidRPr="00EC0229">
        <w:rPr>
          <w:szCs w:val="24"/>
        </w:rPr>
        <w:fldChar w:fldCharType="begin"/>
      </w:r>
      <w:r w:rsidRPr="00EC0229">
        <w:instrText xml:space="preserve"> XE "PAS" </w:instrText>
      </w:r>
      <w:r w:rsidRPr="00EC0229">
        <w:rPr>
          <w:szCs w:val="24"/>
        </w:rPr>
        <w:fldChar w:fldCharType="end"/>
      </w:r>
      <w:r w:rsidRPr="00EC0229">
        <w:rPr>
          <w:szCs w:val="24"/>
        </w:rPr>
        <w:t xml:space="preserve"> extract falls well short of comprehensive recording of finds, especially in view of the prolific material from West Heslerton</w:t>
      </w:r>
      <w:r w:rsidRPr="00EC0229">
        <w:rPr>
          <w:szCs w:val="24"/>
        </w:rPr>
        <w:fldChar w:fldCharType="begin"/>
      </w:r>
      <w:r w:rsidRPr="00EC0229">
        <w:instrText xml:space="preserve"> XE "</w:instrText>
      </w:r>
      <w:r w:rsidRPr="00EC0229">
        <w:rPr>
          <w:rStyle w:val="Hyperlink"/>
          <w:noProof/>
          <w:u w:val="none"/>
        </w:rPr>
        <w:instrText>West Heslerton</w:instrText>
      </w:r>
      <w:r w:rsidRPr="00EC0229">
        <w:instrText xml:space="preserve">" </w:instrText>
      </w:r>
      <w:r w:rsidRPr="00EC0229">
        <w:rPr>
          <w:szCs w:val="24"/>
        </w:rPr>
        <w:fldChar w:fldCharType="end"/>
      </w:r>
      <w:r w:rsidRPr="00EC0229">
        <w:rPr>
          <w:szCs w:val="24"/>
        </w:rPr>
        <w:t xml:space="preserve">. Nearly two-thirds of sites have produced three or fewer artefacts. The </w:t>
      </w:r>
      <w:r w:rsidRPr="00EC0229">
        <w:rPr>
          <w:i/>
          <w:szCs w:val="24"/>
        </w:rPr>
        <w:t xml:space="preserve">Coefficient of </w:t>
      </w:r>
      <w:r w:rsidR="003F2041" w:rsidRPr="00EC0229">
        <w:rPr>
          <w:i/>
          <w:szCs w:val="24"/>
        </w:rPr>
        <w:t>Monetiz</w:t>
      </w:r>
      <w:r w:rsidRPr="00EC0229">
        <w:rPr>
          <w:i/>
          <w:szCs w:val="24"/>
        </w:rPr>
        <w:t>ation</w:t>
      </w:r>
      <w:r w:rsidRPr="00EC0229">
        <w:rPr>
          <w:i/>
          <w:szCs w:val="24"/>
        </w:rPr>
        <w:fldChar w:fldCharType="begin"/>
      </w:r>
      <w:r w:rsidRPr="00EC0229">
        <w:instrText xml:space="preserve"> XE "</w:instrText>
      </w:r>
      <w:r w:rsidRPr="00EC0229">
        <w:rPr>
          <w:rStyle w:val="Hyperlink"/>
          <w:rFonts w:cs="Times New Roman"/>
          <w:noProof/>
          <w:u w:val="none"/>
        </w:rPr>
        <w:instrText>Monetization</w:instrText>
      </w:r>
      <w:r w:rsidRPr="00EC0229">
        <w:instrText xml:space="preserve">" </w:instrText>
      </w:r>
      <w:r w:rsidRPr="00EC0229">
        <w:rPr>
          <w:i/>
          <w:szCs w:val="24"/>
        </w:rPr>
        <w:fldChar w:fldCharType="end"/>
      </w:r>
      <w:r w:rsidRPr="00EC0229">
        <w:rPr>
          <w:szCs w:val="24"/>
        </w:rPr>
        <w:t xml:space="preserve"> for the Vale is 53% - more than half the sites with </w:t>
      </w:r>
      <w:r w:rsidRPr="00EC0229">
        <w:rPr>
          <w:szCs w:val="24"/>
        </w:rPr>
        <w:lastRenderedPageBreak/>
        <w:t>artefacts also have coins. This lies between the results for the Wolds</w:t>
      </w:r>
      <w:r w:rsidRPr="00EC0229">
        <w:rPr>
          <w:szCs w:val="24"/>
        </w:rPr>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rPr>
          <w:szCs w:val="24"/>
        </w:rPr>
        <w:fldChar w:fldCharType="end"/>
      </w:r>
      <w:r w:rsidRPr="00EC0229">
        <w:rPr>
          <w:szCs w:val="24"/>
        </w:rPr>
        <w:t xml:space="preserve"> (70%) and the Central Lowlands</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(39%). This statistical profile defines rather than resolves the anomalous situation in the Vale of Pickering</w:t>
      </w:r>
      <w:r w:rsidRPr="00EC0229">
        <w:rPr>
          <w:szCs w:val="24"/>
        </w:rPr>
        <w:fldChar w:fldCharType="begin"/>
      </w:r>
      <w:r w:rsidRPr="00EC0229">
        <w:instrText xml:space="preserve"> XE "</w:instrText>
      </w:r>
      <w:r w:rsidRPr="00EC0229">
        <w:rPr>
          <w:rStyle w:val="Hyperlink"/>
          <w:rFonts w:cs="Times New Roman"/>
          <w:noProof/>
          <w:u w:val="none"/>
        </w:rPr>
        <w:instrText>Vale of Pickering</w:instrText>
      </w:r>
      <w:r w:rsidRPr="00EC0229">
        <w:instrText xml:space="preserve">" </w:instrText>
      </w:r>
      <w:r w:rsidRPr="00EC0229">
        <w:rPr>
          <w:szCs w:val="24"/>
        </w:rPr>
        <w:fldChar w:fldCharType="end"/>
      </w:r>
      <w:r w:rsidRPr="00EC0229">
        <w:rPr>
          <w:szCs w:val="24"/>
        </w:rPr>
        <w:t>. Just where one would expect to find the engine of economic growth there is a near void. The less fertile dry chalk Wolds are considerably more fecund economically.</w:t>
      </w:r>
    </w:p>
    <w:p w14:paraId="2FDDA038" w14:textId="4D708221" w:rsidR="00571D56" w:rsidRPr="00EC0229" w:rsidRDefault="00571D56" w:rsidP="00810052">
      <w:pPr>
        <w:pStyle w:val="NoSpacing"/>
        <w:spacing w:line="360" w:lineRule="auto"/>
      </w:pPr>
    </w:p>
    <w:p w14:paraId="64585BDC" w14:textId="19300A4C" w:rsidR="00571D56" w:rsidRPr="00EC0229" w:rsidRDefault="00571D56" w:rsidP="007600EA">
      <w:pPr>
        <w:pStyle w:val="NoSpacing"/>
        <w:spacing w:line="360" w:lineRule="auto"/>
        <w:rPr>
          <w:rFonts w:cs="Times New Roman"/>
          <w:szCs w:val="24"/>
        </w:rPr>
      </w:pPr>
      <w:r w:rsidRPr="00EC0229">
        <w:rPr>
          <w:rFonts w:cs="Times New Roman"/>
          <w:i/>
          <w:szCs w:val="24"/>
        </w:rPr>
        <w:t>Table</w:t>
      </w:r>
      <w:r w:rsidRPr="00EC0229">
        <w:rPr>
          <w:rFonts w:cs="Times New Roman"/>
          <w:i/>
          <w:szCs w:val="24"/>
        </w:rPr>
        <w:fldChar w:fldCharType="begin"/>
      </w:r>
      <w:r w:rsidRPr="00EC0229">
        <w:instrText xml:space="preserve"> XE "</w:instrText>
      </w:r>
      <w:r w:rsidRPr="00EC0229">
        <w:rPr>
          <w:noProof/>
        </w:rPr>
        <w:instrText>Table</w:instrText>
      </w:r>
      <w:r w:rsidRPr="00EC0229">
        <w:instrText xml:space="preserve">" </w:instrText>
      </w:r>
      <w:r w:rsidRPr="00EC0229">
        <w:rPr>
          <w:rFonts w:cs="Times New Roman"/>
          <w:i/>
          <w:szCs w:val="24"/>
        </w:rPr>
        <w:fldChar w:fldCharType="end"/>
      </w:r>
      <w:r w:rsidRPr="00EC0229">
        <w:rPr>
          <w:rFonts w:cs="Times New Roman"/>
          <w:i/>
          <w:szCs w:val="24"/>
        </w:rPr>
        <w:t xml:space="preserve"> </w:t>
      </w:r>
      <w:r w:rsidR="003223CD" w:rsidRPr="00EC0229">
        <w:rPr>
          <w:rStyle w:val="Hyperlink"/>
          <w:rFonts w:cs="Times New Roman"/>
          <w:i/>
          <w:color w:val="000000" w:themeColor="text1"/>
          <w:szCs w:val="24"/>
          <w:u w:val="none"/>
        </w:rPr>
        <w:t>8.</w:t>
      </w:r>
      <w:r w:rsidR="00752347" w:rsidRPr="00EC0229">
        <w:rPr>
          <w:rStyle w:val="Hyperlink"/>
          <w:rFonts w:cs="Times New Roman"/>
          <w:i/>
          <w:color w:val="000000" w:themeColor="text1"/>
          <w:szCs w:val="24"/>
          <w:u w:val="none"/>
        </w:rPr>
        <w:t>3</w:t>
      </w:r>
      <w:r w:rsidR="003223CD" w:rsidRPr="00EC0229">
        <w:rPr>
          <w:rStyle w:val="Hyperlink"/>
          <w:rFonts w:cs="Times New Roman"/>
          <w:i/>
          <w:color w:val="000000" w:themeColor="text1"/>
          <w:szCs w:val="24"/>
          <w:u w:val="none"/>
        </w:rPr>
        <w:t>9</w:t>
      </w:r>
      <w:r w:rsidRPr="00EC0229">
        <w:rPr>
          <w:rFonts w:cs="Times New Roman"/>
          <w:i/>
          <w:szCs w:val="24"/>
        </w:rPr>
        <w:t xml:space="preserve"> </w:t>
      </w:r>
      <w:r w:rsidRPr="00EC0229">
        <w:rPr>
          <w:rFonts w:cs="Times New Roman"/>
          <w:szCs w:val="24"/>
        </w:rPr>
        <w:t>shows t</w:t>
      </w:r>
      <w:r w:rsidRPr="00EC0229">
        <w:rPr>
          <w:rFonts w:cs="Times New Roman"/>
        </w:rPr>
        <w:t xml:space="preserve">ransactions to have been settled with both sceats and stycas. </w:t>
      </w:r>
      <w:r w:rsidRPr="00EC0229">
        <w:rPr>
          <w:rFonts w:cs="Times New Roman"/>
          <w:szCs w:val="24"/>
        </w:rPr>
        <w:t xml:space="preserve">Even though this region is poorly represented numismatically, there is a convincing spatial and temporal proximity of coin and artefact finds to evidence </w:t>
      </w:r>
      <w:r w:rsidR="003F2041" w:rsidRPr="00EC0229">
        <w:rPr>
          <w:rFonts w:cs="Times New Roman"/>
          <w:szCs w:val="24"/>
        </w:rPr>
        <w:t>monetiz</w:t>
      </w:r>
      <w:r w:rsidRPr="00EC0229">
        <w:rPr>
          <w:rFonts w:cs="Times New Roman"/>
          <w:szCs w:val="24"/>
        </w:rPr>
        <w:t>ation</w:t>
      </w:r>
      <w:r w:rsidRPr="00EC0229">
        <w:rPr>
          <w:rFonts w:cs="Times New Roman"/>
          <w:szCs w:val="24"/>
        </w:rPr>
        <w:fldChar w:fldCharType="begin"/>
      </w:r>
      <w:r w:rsidRPr="00EC0229">
        <w:instrText xml:space="preserve"> XE "monetization" </w:instrText>
      </w:r>
      <w:r w:rsidRPr="00EC0229">
        <w:rPr>
          <w:rFonts w:cs="Times New Roman"/>
          <w:szCs w:val="24"/>
        </w:rPr>
        <w:fldChar w:fldCharType="end"/>
      </w:r>
      <w:r w:rsidRPr="00EC0229">
        <w:rPr>
          <w:rFonts w:cs="Times New Roman"/>
          <w:szCs w:val="24"/>
        </w:rPr>
        <w:t xml:space="preserve">, though the sample is too small for statistical confidence. </w:t>
      </w:r>
      <w:r w:rsidRPr="00EC0229">
        <w:rPr>
          <w:rFonts w:cs="Times New Roman"/>
          <w:i/>
          <w:color w:val="000000" w:themeColor="text1"/>
          <w:szCs w:val="24"/>
        </w:rPr>
        <w:t xml:space="preserve">Table </w:t>
      </w:r>
      <w:r w:rsidR="0009732D" w:rsidRPr="00EC0229">
        <w:rPr>
          <w:rFonts w:cs="Times New Roman"/>
          <w:i/>
          <w:color w:val="000000" w:themeColor="text1"/>
          <w:szCs w:val="24"/>
        </w:rPr>
        <w:t>8.</w:t>
      </w:r>
      <w:r w:rsidR="00DF0062" w:rsidRPr="00EC0229">
        <w:rPr>
          <w:rFonts w:cs="Times New Roman"/>
          <w:i/>
          <w:color w:val="000000" w:themeColor="text1"/>
          <w:szCs w:val="24"/>
        </w:rPr>
        <w:t>4</w:t>
      </w:r>
      <w:r w:rsidR="003223CD" w:rsidRPr="00EC0229">
        <w:rPr>
          <w:rFonts w:cs="Times New Roman"/>
          <w:i/>
          <w:color w:val="000000" w:themeColor="text1"/>
          <w:szCs w:val="24"/>
        </w:rPr>
        <w:t>0</w:t>
      </w:r>
      <w:r w:rsidRPr="00EC0229">
        <w:rPr>
          <w:rFonts w:cs="Times New Roman"/>
          <w:color w:val="000000" w:themeColor="text1"/>
          <w:szCs w:val="24"/>
        </w:rPr>
        <w:t xml:space="preserve"> </w:t>
      </w:r>
      <w:r w:rsidRPr="00EC0229">
        <w:rPr>
          <w:rFonts w:cs="Times New Roman"/>
          <w:szCs w:val="24"/>
        </w:rPr>
        <w:t>is inconclusive on site mobility and stability.</w:t>
      </w:r>
    </w:p>
    <w:p w14:paraId="1982DEBB" w14:textId="77777777" w:rsidR="00571D56" w:rsidRPr="00EC0229" w:rsidRDefault="00571D56" w:rsidP="007600EA">
      <w:pPr>
        <w:pStyle w:val="NoSpacing"/>
        <w:spacing w:line="360" w:lineRule="auto"/>
      </w:pPr>
    </w:p>
    <w:p w14:paraId="43C11E8F" w14:textId="254F6FF5" w:rsidR="00697BBB" w:rsidRPr="00EC0229" w:rsidRDefault="005D7097" w:rsidP="007600EA">
      <w:pPr>
        <w:pStyle w:val="Heading3"/>
        <w:spacing w:line="360" w:lineRule="auto"/>
      </w:pPr>
      <w:bookmarkStart w:id="857" w:name="PickeringConclusion"/>
      <w:bookmarkStart w:id="858" w:name="_Ref463969877"/>
      <w:bookmarkStart w:id="859" w:name="_Toc468266932"/>
      <w:bookmarkEnd w:id="857"/>
      <w:r>
        <w:t>8.2.6</w:t>
      </w:r>
      <w:r w:rsidR="002979EC">
        <w:t>.6</w:t>
      </w:r>
      <w:r>
        <w:tab/>
      </w:r>
      <w:r w:rsidR="00697BBB" w:rsidRPr="00EC0229">
        <w:t>Conclusion</w:t>
      </w:r>
      <w:bookmarkEnd w:id="858"/>
      <w:bookmarkEnd w:id="859"/>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p>
    <w:p w14:paraId="62BE3355" w14:textId="4D91B442" w:rsidR="00697BBB" w:rsidRPr="00EC0229" w:rsidRDefault="00697BBB" w:rsidP="007600EA">
      <w:pPr>
        <w:pStyle w:val="NoSpacing"/>
        <w:spacing w:line="360" w:lineRule="auto"/>
        <w:rPr>
          <w:szCs w:val="24"/>
        </w:rPr>
      </w:pPr>
      <w:r w:rsidRPr="00EC0229">
        <w:t xml:space="preserve">In terms of </w:t>
      </w:r>
      <w:r w:rsidRPr="00EC0229">
        <w:rPr>
          <w:szCs w:val="24"/>
        </w:rPr>
        <w:t xml:space="preserve">periodic distribution of coinage,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0009732D" w:rsidRPr="00EC0229">
        <w:rPr>
          <w:i/>
          <w:szCs w:val="24"/>
        </w:rPr>
        <w:t xml:space="preserve"> </w:t>
      </w:r>
      <w:r w:rsidR="00367541" w:rsidRPr="00EC0229">
        <w:rPr>
          <w:i/>
          <w:szCs w:val="24"/>
        </w:rPr>
        <w:t>5</w:t>
      </w:r>
      <w:r w:rsidR="0009732D" w:rsidRPr="00EC0229">
        <w:rPr>
          <w:i/>
          <w:szCs w:val="24"/>
        </w:rPr>
        <w:t>.01</w:t>
      </w:r>
      <w:r w:rsidR="007F6CD4" w:rsidRPr="00EC0229">
        <w:rPr>
          <w:rStyle w:val="Hyperlink"/>
          <w:i/>
          <w:szCs w:val="24"/>
          <w:u w:val="none"/>
        </w:rPr>
        <w:t xml:space="preserve"> </w:t>
      </w:r>
      <w:r w:rsidRPr="00EC0229">
        <w:rPr>
          <w:szCs w:val="24"/>
        </w:rPr>
        <w:t>shows the Vale of Pickering</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rPr>
          <w:szCs w:val="24"/>
        </w:rPr>
        <w:fldChar w:fldCharType="end"/>
      </w:r>
      <w:r w:rsidRPr="00EC0229">
        <w:rPr>
          <w:szCs w:val="24"/>
        </w:rPr>
        <w:t xml:space="preserve"> to be close to the norm. </w:t>
      </w:r>
    </w:p>
    <w:p w14:paraId="35C4267C" w14:textId="77777777" w:rsidR="00697BBB" w:rsidRPr="00EC0229" w:rsidRDefault="00697BBB" w:rsidP="007600EA">
      <w:pPr>
        <w:pStyle w:val="NoSpacing"/>
        <w:spacing w:line="360" w:lineRule="auto"/>
      </w:pPr>
    </w:p>
    <w:p w14:paraId="41053E62" w14:textId="213BA025" w:rsidR="00697BBB" w:rsidRPr="00EC0229" w:rsidRDefault="00697BBB" w:rsidP="007600EA">
      <w:pPr>
        <w:pStyle w:val="NoSpacing"/>
        <w:spacing w:line="360" w:lineRule="auto"/>
      </w:pPr>
      <w:r w:rsidRPr="00EC0229">
        <w:t>All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coin finds, typically alongside more prolific Roman</w:t>
      </w:r>
      <w:r w:rsidR="00D142DC" w:rsidRPr="00EC0229">
        <w:fldChar w:fldCharType="begin"/>
      </w:r>
      <w:r w:rsidR="00D142DC" w:rsidRPr="00EC0229">
        <w:instrText xml:space="preserve"> XE "Roman" </w:instrText>
      </w:r>
      <w:r w:rsidR="00D142DC" w:rsidRPr="00EC0229">
        <w:fldChar w:fldCharType="end"/>
      </w:r>
      <w:r w:rsidRPr="00EC0229">
        <w:t xml:space="preserve"> finds, are near the north and south routes, signifying either absence of contemporary commercial activity </w:t>
      </w:r>
      <w:r w:rsidR="005D0C44" w:rsidRPr="00EC0229">
        <w:t xml:space="preserve">in the lower lying marshy Vale </w:t>
      </w:r>
      <w:r w:rsidRPr="00EC0229">
        <w:t>or restricted current</w:t>
      </w:r>
      <w:r w:rsidR="005D0C44" w:rsidRPr="00EC0229">
        <w:t xml:space="preserve"> access.</w:t>
      </w:r>
    </w:p>
    <w:p w14:paraId="01371F8E" w14:textId="77777777" w:rsidR="00697BBB" w:rsidRPr="00EC0229" w:rsidRDefault="00697BBB" w:rsidP="007600EA">
      <w:pPr>
        <w:pStyle w:val="NoSpacing"/>
        <w:spacing w:line="360" w:lineRule="auto"/>
      </w:pPr>
    </w:p>
    <w:p w14:paraId="7AA71043" w14:textId="604CF6BA" w:rsidR="00662400" w:rsidRPr="00EC0229" w:rsidRDefault="00697BBB" w:rsidP="007600EA">
      <w:pPr>
        <w:pStyle w:val="NoSpacing"/>
        <w:spacing w:line="360" w:lineRule="auto"/>
        <w:rPr>
          <w:szCs w:val="24"/>
        </w:rPr>
      </w:pPr>
      <w:r w:rsidRPr="00EC0229">
        <w:rPr>
          <w:szCs w:val="24"/>
        </w:rPr>
        <w:t>The quantum of recoveries of both artefacts and coins, separately and in association, fails to meet expectations that the Vale of Pickering</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rPr>
          <w:szCs w:val="24"/>
        </w:rPr>
        <w:fldChar w:fldCharType="end"/>
      </w:r>
      <w:r w:rsidRPr="00EC0229">
        <w:rPr>
          <w:szCs w:val="24"/>
        </w:rPr>
        <w:t xml:space="preserve">, with its numerous religious houses, was a focus of economic activity as predicted by the </w:t>
      </w:r>
      <w:r w:rsidR="00A903D7" w:rsidRPr="00EC0229">
        <w:rPr>
          <w:szCs w:val="24"/>
        </w:rPr>
        <w:t>min</w:t>
      </w:r>
      <w:r w:rsidRPr="00EC0229">
        <w:rPr>
          <w:szCs w:val="24"/>
        </w:rPr>
        <w:t xml:space="preserve">ster hypothesis. Woods argued for strong royal connections to the Vale of Pickering, seeing its monasteries as playing a dominant </w:t>
      </w:r>
      <w:r w:rsidR="00A972E7" w:rsidRPr="00EC0229">
        <w:rPr>
          <w:szCs w:val="24"/>
        </w:rPr>
        <w:t>rôle</w:t>
      </w:r>
      <w:r w:rsidRPr="00EC0229">
        <w:rPr>
          <w:szCs w:val="24"/>
        </w:rPr>
        <w:t xml:space="preserve"> in Deira</w:t>
      </w:r>
      <w:r w:rsidR="00D142DC" w:rsidRPr="00EC0229">
        <w:rPr>
          <w:szCs w:val="24"/>
        </w:rPr>
        <w:fldChar w:fldCharType="begin"/>
      </w:r>
      <w:r w:rsidR="00D142DC" w:rsidRPr="00EC0229">
        <w:instrText xml:space="preserve"> XE "Deira" </w:instrText>
      </w:r>
      <w:r w:rsidR="00D142DC" w:rsidRPr="00EC0229">
        <w:rPr>
          <w:szCs w:val="24"/>
        </w:rPr>
        <w:fldChar w:fldCharType="end"/>
      </w:r>
      <w:r w:rsidRPr="00EC0229">
        <w:rPr>
          <w:szCs w:val="24"/>
        </w:rPr>
        <w:t xml:space="preserve"> until the School of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developed.</w:t>
      </w:r>
      <w:r w:rsidRPr="00EC0229">
        <w:rPr>
          <w:rStyle w:val="FootnoteReference"/>
          <w:szCs w:val="24"/>
        </w:rPr>
        <w:footnoteReference w:id="1165"/>
      </w:r>
      <w:r w:rsidRPr="00EC0229">
        <w:rPr>
          <w:szCs w:val="24"/>
        </w:rPr>
        <w:t xml:space="preserve">  </w:t>
      </w:r>
      <w:r w:rsidR="0009732D" w:rsidRPr="00EC0229">
        <w:rPr>
          <w:szCs w:val="24"/>
        </w:rPr>
        <w:t>Powlesland warned of water-</w:t>
      </w:r>
      <w:r w:rsidR="00754208" w:rsidRPr="00EC0229">
        <w:rPr>
          <w:szCs w:val="24"/>
        </w:rPr>
        <w:t>table problems, which may be a causal factor.</w:t>
      </w:r>
      <w:r w:rsidR="00754208" w:rsidRPr="00EC0229">
        <w:rPr>
          <w:rStyle w:val="FootnoteReference"/>
          <w:szCs w:val="24"/>
        </w:rPr>
        <w:footnoteReference w:id="1166"/>
      </w:r>
      <w:r w:rsidR="00754208" w:rsidRPr="00EC0229">
        <w:rPr>
          <w:szCs w:val="24"/>
        </w:rPr>
        <w:t xml:space="preserve"> </w:t>
      </w:r>
      <w:r w:rsidRPr="00EC0229">
        <w:rPr>
          <w:szCs w:val="24"/>
        </w:rPr>
        <w:t xml:space="preserve">Plausibly, lack of access is a </w:t>
      </w:r>
      <w:r w:rsidR="00754208" w:rsidRPr="00EC0229">
        <w:rPr>
          <w:szCs w:val="24"/>
        </w:rPr>
        <w:t xml:space="preserve">recovery </w:t>
      </w:r>
      <w:r w:rsidRPr="00EC0229">
        <w:rPr>
          <w:szCs w:val="24"/>
        </w:rPr>
        <w:t>factor preventing accumulation of convincing evidence, but the distribution of 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 xml:space="preserve"> finds undermines this. How this picture compares to northern royal and minster locations is discussed </w:t>
      </w:r>
      <w:r w:rsidR="005D2679" w:rsidRPr="00EC0229">
        <w:rPr>
          <w:szCs w:val="24"/>
        </w:rPr>
        <w:t>below.</w:t>
      </w:r>
      <w:bookmarkStart w:id="860" w:name="Chapter16"/>
      <w:bookmarkStart w:id="861" w:name="Bernicia"/>
      <w:bookmarkEnd w:id="860"/>
      <w:bookmarkEnd w:id="861"/>
    </w:p>
    <w:p w14:paraId="6FA1F324" w14:textId="77777777" w:rsidR="00662400" w:rsidRPr="00EC0229" w:rsidRDefault="00662400" w:rsidP="007600EA">
      <w:pPr>
        <w:pStyle w:val="NoSpacing"/>
        <w:spacing w:line="360" w:lineRule="auto"/>
        <w:rPr>
          <w:szCs w:val="24"/>
        </w:rPr>
      </w:pPr>
    </w:p>
    <w:p w14:paraId="32F999B3" w14:textId="77777777" w:rsidR="00662400" w:rsidRPr="00EC0229" w:rsidRDefault="00662400" w:rsidP="007600EA">
      <w:pPr>
        <w:pStyle w:val="NoSpacing"/>
        <w:spacing w:line="360" w:lineRule="auto"/>
        <w:rPr>
          <w:szCs w:val="24"/>
        </w:rPr>
      </w:pPr>
    </w:p>
    <w:p w14:paraId="78040E6F" w14:textId="77777777" w:rsidR="00F91183" w:rsidRDefault="00F91183">
      <w:pPr>
        <w:spacing w:line="259" w:lineRule="auto"/>
        <w:jc w:val="left"/>
        <w:rPr>
          <w:b/>
          <w:sz w:val="28"/>
          <w:szCs w:val="26"/>
        </w:rPr>
      </w:pPr>
      <w:r>
        <w:br w:type="page"/>
      </w:r>
    </w:p>
    <w:p w14:paraId="2B8B37DE" w14:textId="1F9093B9" w:rsidR="00582C52" w:rsidRPr="00EC0229" w:rsidRDefault="00736C9E" w:rsidP="007600EA">
      <w:pPr>
        <w:pStyle w:val="Heading2"/>
        <w:spacing w:line="360" w:lineRule="auto"/>
      </w:pPr>
      <w:bookmarkStart w:id="862" w:name="_Toc468266933"/>
      <w:r>
        <w:lastRenderedPageBreak/>
        <w:t>8.2.7</w:t>
      </w:r>
      <w:r>
        <w:tab/>
      </w:r>
      <w:r w:rsidR="00582C52" w:rsidRPr="00EC0229">
        <w:t>Bernicia</w:t>
      </w:r>
      <w:r w:rsidR="006B1593" w:rsidRPr="00EC0229">
        <w:fldChar w:fldCharType="begin"/>
      </w:r>
      <w:r w:rsidR="006B1593" w:rsidRPr="00EC0229">
        <w:instrText xml:space="preserve"> XE "</w:instrText>
      </w:r>
      <w:r w:rsidR="006B1593" w:rsidRPr="00EC0229">
        <w:rPr>
          <w:rStyle w:val="Hyperlink"/>
          <w:rFonts w:cs="Times New Roman"/>
          <w:noProof/>
          <w:u w:val="none"/>
        </w:rPr>
        <w:instrText>Bernicia</w:instrText>
      </w:r>
      <w:r w:rsidR="006B1593" w:rsidRPr="00EC0229">
        <w:instrText xml:space="preserve">" </w:instrText>
      </w:r>
      <w:r w:rsidR="006B1593" w:rsidRPr="00EC0229">
        <w:fldChar w:fldCharType="end"/>
      </w:r>
      <w:r w:rsidR="00582C52" w:rsidRPr="00EC0229">
        <w:t xml:space="preserve"> </w:t>
      </w:r>
      <w:r w:rsidR="00862F15" w:rsidRPr="00EC0229">
        <w:t>and</w:t>
      </w:r>
      <w:r w:rsidR="00582C52" w:rsidRPr="00EC0229">
        <w:t xml:space="preserve"> the North</w:t>
      </w:r>
      <w:bookmarkEnd w:id="862"/>
    </w:p>
    <w:p w14:paraId="16EB0D80" w14:textId="231658B4" w:rsidR="00582C52" w:rsidRPr="00EC0229" w:rsidRDefault="005D2679" w:rsidP="007600EA">
      <w:pPr>
        <w:pStyle w:val="NoSpacing"/>
        <w:spacing w:line="360" w:lineRule="auto"/>
        <w:rPr>
          <w:szCs w:val="24"/>
        </w:rPr>
      </w:pPr>
      <w:r w:rsidRPr="00EC0229">
        <w:rPr>
          <w:szCs w:val="24"/>
        </w:rPr>
        <w:t xml:space="preserve">This </w:t>
      </w:r>
      <w:r w:rsidR="00582C52" w:rsidRPr="00EC0229">
        <w:rPr>
          <w:szCs w:val="24"/>
        </w:rPr>
        <w:t xml:space="preserve">is the final case study and considers the northerly regal </w:t>
      </w:r>
      <w:r w:rsidR="002E03CF" w:rsidRPr="00EC0229">
        <w:rPr>
          <w:szCs w:val="24"/>
        </w:rPr>
        <w:t>(</w:t>
      </w:r>
      <w:r w:rsidR="002E03CF" w:rsidRPr="00EC0229">
        <w:rPr>
          <w:szCs w:val="24"/>
        </w:rPr>
        <w:fldChar w:fldCharType="begin"/>
      </w:r>
      <w:r w:rsidR="002E03CF" w:rsidRPr="00EC0229">
        <w:rPr>
          <w:szCs w:val="24"/>
        </w:rPr>
        <w:instrText xml:space="preserve"> PAGEREF Regal \h </w:instrText>
      </w:r>
      <w:r w:rsidR="002E03CF" w:rsidRPr="00EC0229">
        <w:rPr>
          <w:szCs w:val="24"/>
        </w:rPr>
      </w:r>
      <w:r w:rsidR="002E03CF" w:rsidRPr="00EC0229">
        <w:rPr>
          <w:szCs w:val="24"/>
        </w:rPr>
        <w:fldChar w:fldCharType="separate"/>
      </w:r>
      <w:r w:rsidR="0012026B">
        <w:rPr>
          <w:noProof/>
          <w:szCs w:val="24"/>
        </w:rPr>
        <w:t>278</w:t>
      </w:r>
      <w:r w:rsidR="002E03CF" w:rsidRPr="00EC0229">
        <w:rPr>
          <w:szCs w:val="24"/>
        </w:rPr>
        <w:fldChar w:fldCharType="end"/>
      </w:r>
      <w:r w:rsidR="002E03CF" w:rsidRPr="00EC0229">
        <w:rPr>
          <w:szCs w:val="24"/>
        </w:rPr>
        <w:t xml:space="preserve">) </w:t>
      </w:r>
      <w:r w:rsidR="00582C52" w:rsidRPr="00EC0229">
        <w:rPr>
          <w:szCs w:val="24"/>
        </w:rPr>
        <w:t xml:space="preserve">and ecclesiastical </w:t>
      </w:r>
      <w:r w:rsidR="00834FF2" w:rsidRPr="00EC0229">
        <w:rPr>
          <w:szCs w:val="24"/>
        </w:rPr>
        <w:t>(</w:t>
      </w:r>
      <w:r w:rsidR="002E03CF" w:rsidRPr="00EC0229">
        <w:rPr>
          <w:szCs w:val="24"/>
        </w:rPr>
        <w:fldChar w:fldCharType="begin"/>
      </w:r>
      <w:r w:rsidR="002E03CF" w:rsidRPr="00EC0229">
        <w:rPr>
          <w:szCs w:val="24"/>
        </w:rPr>
        <w:instrText xml:space="preserve"> PAGEREF Ecclesiastical \h </w:instrText>
      </w:r>
      <w:r w:rsidR="002E03CF" w:rsidRPr="00EC0229">
        <w:rPr>
          <w:szCs w:val="24"/>
        </w:rPr>
      </w:r>
      <w:r w:rsidR="002E03CF" w:rsidRPr="00EC0229">
        <w:rPr>
          <w:szCs w:val="24"/>
        </w:rPr>
        <w:fldChar w:fldCharType="separate"/>
      </w:r>
      <w:r w:rsidR="0012026B">
        <w:rPr>
          <w:noProof/>
          <w:szCs w:val="24"/>
        </w:rPr>
        <w:t>283</w:t>
      </w:r>
      <w:r w:rsidR="002E03CF" w:rsidRPr="00EC0229">
        <w:rPr>
          <w:szCs w:val="24"/>
        </w:rPr>
        <w:fldChar w:fldCharType="end"/>
      </w:r>
      <w:r w:rsidR="00834FF2" w:rsidRPr="00EC0229">
        <w:rPr>
          <w:szCs w:val="24"/>
        </w:rPr>
        <w:t xml:space="preserve">) </w:t>
      </w:r>
      <w:r w:rsidR="00582C52" w:rsidRPr="00EC0229">
        <w:rPr>
          <w:szCs w:val="24"/>
        </w:rPr>
        <w:t>sites: the royal palaces of Yeavering</w:t>
      </w:r>
      <w:r w:rsidR="006B1593" w:rsidRPr="00EC0229">
        <w:rPr>
          <w:szCs w:val="24"/>
        </w:rPr>
        <w:fldChar w:fldCharType="begin"/>
      </w:r>
      <w:r w:rsidR="006B1593" w:rsidRPr="00EC0229">
        <w:instrText xml:space="preserve"> XE "</w:instrText>
      </w:r>
      <w:r w:rsidR="006B1593" w:rsidRPr="00EC0229">
        <w:rPr>
          <w:noProof/>
        </w:rPr>
        <w:instrText>Yeavering</w:instrText>
      </w:r>
      <w:r w:rsidR="006B1593" w:rsidRPr="00EC0229">
        <w:instrText xml:space="preserve">" </w:instrText>
      </w:r>
      <w:r w:rsidR="006B1593" w:rsidRPr="00EC0229">
        <w:rPr>
          <w:szCs w:val="24"/>
        </w:rPr>
        <w:fldChar w:fldCharType="end"/>
      </w:r>
      <w:r w:rsidR="00582C52" w:rsidRPr="00EC0229">
        <w:rPr>
          <w:szCs w:val="24"/>
        </w:rPr>
        <w:t xml:space="preserve"> </w:t>
      </w:r>
      <w:r w:rsidR="00834FF2" w:rsidRPr="00EC0229">
        <w:rPr>
          <w:szCs w:val="24"/>
        </w:rPr>
        <w:t>(</w:t>
      </w:r>
      <w:r w:rsidR="002E03CF" w:rsidRPr="00EC0229">
        <w:rPr>
          <w:szCs w:val="24"/>
        </w:rPr>
        <w:fldChar w:fldCharType="begin"/>
      </w:r>
      <w:r w:rsidR="002E03CF" w:rsidRPr="00EC0229">
        <w:rPr>
          <w:szCs w:val="24"/>
        </w:rPr>
        <w:instrText xml:space="preserve"> PAGEREF Yeavering \h </w:instrText>
      </w:r>
      <w:r w:rsidR="002E03CF" w:rsidRPr="00EC0229">
        <w:rPr>
          <w:szCs w:val="24"/>
        </w:rPr>
      </w:r>
      <w:r w:rsidR="002E03CF" w:rsidRPr="00EC0229">
        <w:rPr>
          <w:szCs w:val="24"/>
        </w:rPr>
        <w:fldChar w:fldCharType="separate"/>
      </w:r>
      <w:r w:rsidR="0012026B">
        <w:rPr>
          <w:noProof/>
          <w:szCs w:val="24"/>
        </w:rPr>
        <w:t>278</w:t>
      </w:r>
      <w:r w:rsidR="002E03CF" w:rsidRPr="00EC0229">
        <w:rPr>
          <w:szCs w:val="24"/>
        </w:rPr>
        <w:fldChar w:fldCharType="end"/>
      </w:r>
      <w:r w:rsidR="00834FF2" w:rsidRPr="00EC0229">
        <w:rPr>
          <w:szCs w:val="24"/>
        </w:rPr>
        <w:t xml:space="preserve">) </w:t>
      </w:r>
      <w:r w:rsidR="00582C52" w:rsidRPr="00EC0229">
        <w:rPr>
          <w:szCs w:val="24"/>
        </w:rPr>
        <w:t>and Bamburgh</w:t>
      </w:r>
      <w:r w:rsidR="006B1593" w:rsidRPr="00EC0229">
        <w:rPr>
          <w:szCs w:val="24"/>
        </w:rPr>
        <w:fldChar w:fldCharType="begin"/>
      </w:r>
      <w:r w:rsidR="006B1593" w:rsidRPr="00EC0229">
        <w:instrText xml:space="preserve"> XE "</w:instrText>
      </w:r>
      <w:r w:rsidR="006B1593" w:rsidRPr="00EC0229">
        <w:rPr>
          <w:noProof/>
        </w:rPr>
        <w:instrText>Bamburgh</w:instrText>
      </w:r>
      <w:r w:rsidR="006B1593" w:rsidRPr="00EC0229">
        <w:instrText xml:space="preserve">" </w:instrText>
      </w:r>
      <w:r w:rsidR="006B1593" w:rsidRPr="00EC0229">
        <w:rPr>
          <w:szCs w:val="24"/>
        </w:rPr>
        <w:fldChar w:fldCharType="end"/>
      </w:r>
      <w:r w:rsidR="00582C52" w:rsidRPr="00EC0229">
        <w:rPr>
          <w:szCs w:val="24"/>
        </w:rPr>
        <w:t xml:space="preserve"> </w:t>
      </w:r>
      <w:r w:rsidR="00834FF2" w:rsidRPr="00EC0229">
        <w:rPr>
          <w:szCs w:val="24"/>
        </w:rPr>
        <w:t>(</w:t>
      </w:r>
      <w:r w:rsidR="002E03CF" w:rsidRPr="00EC0229">
        <w:rPr>
          <w:szCs w:val="24"/>
        </w:rPr>
        <w:fldChar w:fldCharType="begin"/>
      </w:r>
      <w:r w:rsidR="002E03CF" w:rsidRPr="00EC0229">
        <w:rPr>
          <w:szCs w:val="24"/>
        </w:rPr>
        <w:instrText xml:space="preserve"> PAGEREF Bamburgh \h </w:instrText>
      </w:r>
      <w:r w:rsidR="002E03CF" w:rsidRPr="00EC0229">
        <w:rPr>
          <w:szCs w:val="24"/>
        </w:rPr>
      </w:r>
      <w:r w:rsidR="002E03CF" w:rsidRPr="00EC0229">
        <w:rPr>
          <w:szCs w:val="24"/>
        </w:rPr>
        <w:fldChar w:fldCharType="separate"/>
      </w:r>
      <w:r w:rsidR="0012026B">
        <w:rPr>
          <w:noProof/>
          <w:szCs w:val="24"/>
        </w:rPr>
        <w:t>280</w:t>
      </w:r>
      <w:r w:rsidR="002E03CF" w:rsidRPr="00EC0229">
        <w:rPr>
          <w:szCs w:val="24"/>
        </w:rPr>
        <w:fldChar w:fldCharType="end"/>
      </w:r>
      <w:r w:rsidR="00834FF2" w:rsidRPr="00EC0229">
        <w:rPr>
          <w:szCs w:val="24"/>
        </w:rPr>
        <w:t xml:space="preserve">) </w:t>
      </w:r>
      <w:r w:rsidR="00582C52" w:rsidRPr="00EC0229">
        <w:rPr>
          <w:szCs w:val="24"/>
        </w:rPr>
        <w:t xml:space="preserve">first then the </w:t>
      </w:r>
      <w:r w:rsidR="00582C52" w:rsidRPr="00EC0229">
        <w:rPr>
          <w:rFonts w:cs="Times New Roman"/>
        </w:rPr>
        <w:t>religious/minster</w:t>
      </w:r>
      <w:r w:rsidR="00582C52" w:rsidRPr="00EC0229">
        <w:rPr>
          <w:szCs w:val="24"/>
        </w:rPr>
        <w:t xml:space="preserve"> locations of Whithorn</w:t>
      </w:r>
      <w:r w:rsidR="006B1593" w:rsidRPr="00EC0229">
        <w:rPr>
          <w:szCs w:val="24"/>
        </w:rPr>
        <w:fldChar w:fldCharType="begin"/>
      </w:r>
      <w:r w:rsidR="006B1593" w:rsidRPr="00EC0229">
        <w:instrText xml:space="preserve"> XE "</w:instrText>
      </w:r>
      <w:r w:rsidR="006B1593" w:rsidRPr="00EC0229">
        <w:rPr>
          <w:noProof/>
        </w:rPr>
        <w:instrText>Whithorn</w:instrText>
      </w:r>
      <w:r w:rsidR="006B1593" w:rsidRPr="00EC0229">
        <w:instrText xml:space="preserve">" </w:instrText>
      </w:r>
      <w:r w:rsidR="006B1593" w:rsidRPr="00EC0229">
        <w:rPr>
          <w:szCs w:val="24"/>
        </w:rPr>
        <w:fldChar w:fldCharType="end"/>
      </w:r>
      <w:r w:rsidR="00834FF2" w:rsidRPr="00EC0229">
        <w:rPr>
          <w:szCs w:val="24"/>
        </w:rPr>
        <w:t xml:space="preserve"> (</w:t>
      </w:r>
      <w:r w:rsidR="002E03CF" w:rsidRPr="00EC0229">
        <w:rPr>
          <w:szCs w:val="24"/>
        </w:rPr>
        <w:fldChar w:fldCharType="begin"/>
      </w:r>
      <w:r w:rsidR="002E03CF" w:rsidRPr="00EC0229">
        <w:rPr>
          <w:szCs w:val="24"/>
        </w:rPr>
        <w:instrText xml:space="preserve"> PAGEREF Whithorn \h </w:instrText>
      </w:r>
      <w:r w:rsidR="002E03CF" w:rsidRPr="00EC0229">
        <w:rPr>
          <w:szCs w:val="24"/>
        </w:rPr>
      </w:r>
      <w:r w:rsidR="002E03CF" w:rsidRPr="00EC0229">
        <w:rPr>
          <w:szCs w:val="24"/>
        </w:rPr>
        <w:fldChar w:fldCharType="separate"/>
      </w:r>
      <w:r w:rsidR="0012026B">
        <w:rPr>
          <w:noProof/>
          <w:szCs w:val="24"/>
        </w:rPr>
        <w:t>283</w:t>
      </w:r>
      <w:r w:rsidR="002E03CF" w:rsidRPr="00EC0229">
        <w:rPr>
          <w:szCs w:val="24"/>
        </w:rPr>
        <w:fldChar w:fldCharType="end"/>
      </w:r>
      <w:r w:rsidR="00834FF2" w:rsidRPr="00EC0229">
        <w:rPr>
          <w:szCs w:val="24"/>
        </w:rPr>
        <w:t>),</w:t>
      </w:r>
      <w:r w:rsidR="00582C52" w:rsidRPr="00EC0229">
        <w:rPr>
          <w:szCs w:val="24"/>
        </w:rPr>
        <w:t xml:space="preserve"> Whitby</w:t>
      </w:r>
      <w:r w:rsidR="006B1593" w:rsidRPr="00EC0229">
        <w:rPr>
          <w:szCs w:val="24"/>
        </w:rPr>
        <w:fldChar w:fldCharType="begin"/>
      </w:r>
      <w:r w:rsidR="006B1593" w:rsidRPr="00EC0229">
        <w:instrText xml:space="preserve"> XE "</w:instrText>
      </w:r>
      <w:r w:rsidR="006B1593" w:rsidRPr="00EC0229">
        <w:rPr>
          <w:noProof/>
        </w:rPr>
        <w:instrText>Whitby</w:instrText>
      </w:r>
      <w:r w:rsidR="006B1593" w:rsidRPr="00EC0229">
        <w:instrText xml:space="preserve">" </w:instrText>
      </w:r>
      <w:r w:rsidR="006B1593" w:rsidRPr="00EC0229">
        <w:rPr>
          <w:szCs w:val="24"/>
        </w:rPr>
        <w:fldChar w:fldCharType="end"/>
      </w:r>
      <w:r w:rsidR="00834FF2" w:rsidRPr="00EC0229">
        <w:rPr>
          <w:szCs w:val="24"/>
        </w:rPr>
        <w:t xml:space="preserve"> (</w:t>
      </w:r>
      <w:r w:rsidR="002E03CF" w:rsidRPr="00EC0229">
        <w:rPr>
          <w:szCs w:val="24"/>
        </w:rPr>
        <w:fldChar w:fldCharType="begin"/>
      </w:r>
      <w:r w:rsidR="002E03CF" w:rsidRPr="00EC0229">
        <w:rPr>
          <w:szCs w:val="24"/>
        </w:rPr>
        <w:instrText xml:space="preserve"> PAGEREF Whitby \h </w:instrText>
      </w:r>
      <w:r w:rsidR="002E03CF" w:rsidRPr="00EC0229">
        <w:rPr>
          <w:szCs w:val="24"/>
        </w:rPr>
      </w:r>
      <w:r w:rsidR="002E03CF" w:rsidRPr="00EC0229">
        <w:rPr>
          <w:szCs w:val="24"/>
        </w:rPr>
        <w:fldChar w:fldCharType="separate"/>
      </w:r>
      <w:r w:rsidR="0012026B">
        <w:rPr>
          <w:noProof/>
          <w:szCs w:val="24"/>
        </w:rPr>
        <w:t>291</w:t>
      </w:r>
      <w:r w:rsidR="002E03CF" w:rsidRPr="00EC0229">
        <w:rPr>
          <w:szCs w:val="24"/>
        </w:rPr>
        <w:fldChar w:fldCharType="end"/>
      </w:r>
      <w:r w:rsidR="00834FF2" w:rsidRPr="00EC0229">
        <w:rPr>
          <w:szCs w:val="24"/>
        </w:rPr>
        <w:t>),</w:t>
      </w:r>
      <w:r w:rsidR="00582C52" w:rsidRPr="00EC0229">
        <w:rPr>
          <w:szCs w:val="24"/>
        </w:rPr>
        <w:t xml:space="preserve"> and Lindisfarne</w:t>
      </w:r>
      <w:r w:rsidR="006B1593" w:rsidRPr="00EC0229">
        <w:rPr>
          <w:szCs w:val="24"/>
        </w:rPr>
        <w:fldChar w:fldCharType="begin"/>
      </w:r>
      <w:r w:rsidR="006B1593" w:rsidRPr="00EC0229">
        <w:instrText xml:space="preserve"> XE "</w:instrText>
      </w:r>
      <w:r w:rsidR="006B1593" w:rsidRPr="00EC0229">
        <w:rPr>
          <w:noProof/>
        </w:rPr>
        <w:instrText>Lindisfarne</w:instrText>
      </w:r>
      <w:r w:rsidR="006B1593" w:rsidRPr="00EC0229">
        <w:instrText xml:space="preserve">" </w:instrText>
      </w:r>
      <w:r w:rsidR="006B1593" w:rsidRPr="00EC0229">
        <w:rPr>
          <w:szCs w:val="24"/>
        </w:rPr>
        <w:fldChar w:fldCharType="end"/>
      </w:r>
      <w:r w:rsidR="00834FF2" w:rsidRPr="00EC0229">
        <w:rPr>
          <w:szCs w:val="24"/>
        </w:rPr>
        <w:t xml:space="preserve"> (</w:t>
      </w:r>
      <w:r w:rsidR="002E03CF" w:rsidRPr="00EC0229">
        <w:rPr>
          <w:szCs w:val="24"/>
        </w:rPr>
        <w:fldChar w:fldCharType="begin"/>
      </w:r>
      <w:r w:rsidR="002E03CF" w:rsidRPr="00EC0229">
        <w:rPr>
          <w:szCs w:val="24"/>
        </w:rPr>
        <w:instrText xml:space="preserve"> PAGEREF Lindisfarne \h </w:instrText>
      </w:r>
      <w:r w:rsidR="002E03CF" w:rsidRPr="00EC0229">
        <w:rPr>
          <w:szCs w:val="24"/>
        </w:rPr>
      </w:r>
      <w:r w:rsidR="002E03CF" w:rsidRPr="00EC0229">
        <w:rPr>
          <w:szCs w:val="24"/>
        </w:rPr>
        <w:fldChar w:fldCharType="separate"/>
      </w:r>
      <w:r w:rsidR="0012026B">
        <w:rPr>
          <w:noProof/>
          <w:szCs w:val="24"/>
        </w:rPr>
        <w:t>294</w:t>
      </w:r>
      <w:r w:rsidR="002E03CF" w:rsidRPr="00EC0229">
        <w:rPr>
          <w:szCs w:val="24"/>
        </w:rPr>
        <w:fldChar w:fldCharType="end"/>
      </w:r>
      <w:r w:rsidR="00834FF2" w:rsidRPr="00EC0229">
        <w:rPr>
          <w:szCs w:val="24"/>
        </w:rPr>
        <w:t>),</w:t>
      </w:r>
      <w:r w:rsidR="00582C52" w:rsidRPr="00EC0229">
        <w:rPr>
          <w:szCs w:val="24"/>
        </w:rPr>
        <w:t xml:space="preserve"> </w:t>
      </w:r>
      <w:r w:rsidR="00582C52" w:rsidRPr="00EC0229">
        <w:rPr>
          <w:i/>
          <w:szCs w:val="24"/>
        </w:rPr>
        <w:t>Map</w:t>
      </w:r>
      <w:r w:rsidR="00584C42" w:rsidRPr="00EC0229">
        <w:rPr>
          <w:i/>
          <w:szCs w:val="24"/>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szCs w:val="24"/>
        </w:rPr>
        <w:fldChar w:fldCharType="end"/>
      </w:r>
      <w:r w:rsidR="001004C4" w:rsidRPr="00EC0229">
        <w:rPr>
          <w:i/>
          <w:szCs w:val="24"/>
        </w:rPr>
        <w:t xml:space="preserve"> </w:t>
      </w:r>
      <w:r w:rsidR="004048E5" w:rsidRPr="00EC0229">
        <w:rPr>
          <w:i/>
          <w:szCs w:val="24"/>
        </w:rPr>
        <w:t>8.22</w:t>
      </w:r>
      <w:r w:rsidR="00582C52" w:rsidRPr="00EC0229">
        <w:rPr>
          <w:szCs w:val="24"/>
        </w:rPr>
        <w:t>. There are numerous other minster sites devoid of finds</w:t>
      </w:r>
      <w:r w:rsidR="00582C52" w:rsidRPr="00EC0229">
        <w:rPr>
          <w:rStyle w:val="FootnoteReference"/>
          <w:szCs w:val="24"/>
        </w:rPr>
        <w:footnoteReference w:id="1167"/>
      </w:r>
      <w:r w:rsidR="00582C52" w:rsidRPr="00EC0229">
        <w:rPr>
          <w:szCs w:val="24"/>
        </w:rPr>
        <w:t xml:space="preserve"> but to ensure that sites where no coins are present are considered, the unusual cemetery at Street House</w:t>
      </w:r>
      <w:r w:rsidR="006B1593" w:rsidRPr="00EC0229">
        <w:rPr>
          <w:szCs w:val="24"/>
        </w:rPr>
        <w:fldChar w:fldCharType="begin"/>
      </w:r>
      <w:r w:rsidR="006B1593" w:rsidRPr="00EC0229">
        <w:instrText xml:space="preserve"> XE "</w:instrText>
      </w:r>
      <w:r w:rsidR="006B1593" w:rsidRPr="00EC0229">
        <w:rPr>
          <w:noProof/>
        </w:rPr>
        <w:instrText>Street House</w:instrText>
      </w:r>
      <w:r w:rsidR="006B1593" w:rsidRPr="00EC0229">
        <w:instrText xml:space="preserve">" </w:instrText>
      </w:r>
      <w:r w:rsidR="006B1593" w:rsidRPr="00EC0229">
        <w:rPr>
          <w:szCs w:val="24"/>
        </w:rPr>
        <w:fldChar w:fldCharType="end"/>
      </w:r>
      <w:r w:rsidR="00582C52" w:rsidRPr="00EC0229">
        <w:rPr>
          <w:szCs w:val="24"/>
        </w:rPr>
        <w:t xml:space="preserve"> </w:t>
      </w:r>
      <w:r w:rsidR="00834FF2" w:rsidRPr="00EC0229">
        <w:rPr>
          <w:szCs w:val="24"/>
        </w:rPr>
        <w:t>(</w:t>
      </w:r>
      <w:r w:rsidR="002E03CF" w:rsidRPr="00EC0229">
        <w:rPr>
          <w:szCs w:val="24"/>
        </w:rPr>
        <w:fldChar w:fldCharType="begin"/>
      </w:r>
      <w:r w:rsidR="002E03CF" w:rsidRPr="00EC0229">
        <w:rPr>
          <w:szCs w:val="24"/>
        </w:rPr>
        <w:instrText xml:space="preserve"> PAGEREF StreetHouse \h </w:instrText>
      </w:r>
      <w:r w:rsidR="002E03CF" w:rsidRPr="00EC0229">
        <w:rPr>
          <w:szCs w:val="24"/>
        </w:rPr>
      </w:r>
      <w:r w:rsidR="002E03CF" w:rsidRPr="00EC0229">
        <w:rPr>
          <w:szCs w:val="24"/>
        </w:rPr>
        <w:fldChar w:fldCharType="separate"/>
      </w:r>
      <w:r w:rsidR="0012026B">
        <w:rPr>
          <w:noProof/>
          <w:szCs w:val="24"/>
        </w:rPr>
        <w:t>282</w:t>
      </w:r>
      <w:r w:rsidR="002E03CF" w:rsidRPr="00EC0229">
        <w:rPr>
          <w:szCs w:val="24"/>
        </w:rPr>
        <w:fldChar w:fldCharType="end"/>
      </w:r>
      <w:r w:rsidR="00834FF2" w:rsidRPr="00EC0229">
        <w:rPr>
          <w:szCs w:val="24"/>
        </w:rPr>
        <w:t xml:space="preserve">) </w:t>
      </w:r>
      <w:r w:rsidR="00582C52" w:rsidRPr="00EC0229">
        <w:rPr>
          <w:szCs w:val="24"/>
        </w:rPr>
        <w:t xml:space="preserve">is described. </w:t>
      </w:r>
    </w:p>
    <w:p w14:paraId="03F78F81" w14:textId="0B591AE2" w:rsidR="007F6CD4" w:rsidRPr="00EC0229" w:rsidRDefault="007F6CD4" w:rsidP="007600EA">
      <w:pPr>
        <w:pStyle w:val="NoSpacing"/>
        <w:spacing w:line="360" w:lineRule="auto"/>
        <w:rPr>
          <w:szCs w:val="24"/>
        </w:rPr>
      </w:pPr>
    </w:p>
    <w:p w14:paraId="7469169B" w14:textId="2D10701F" w:rsidR="005D0C44" w:rsidRPr="00EC0229" w:rsidRDefault="00BC75D4" w:rsidP="007600EA">
      <w:pPr>
        <w:pStyle w:val="NoSpacing"/>
        <w:spacing w:line="360" w:lineRule="auto"/>
        <w:rPr>
          <w:szCs w:val="24"/>
        </w:rPr>
      </w:pPr>
      <w:r w:rsidRPr="00EC0229">
        <w:rPr>
          <w:szCs w:val="24"/>
        </w:rPr>
        <w:t>The historical and economic backg</w:t>
      </w:r>
      <w:r w:rsidR="005D0C44" w:rsidRPr="00EC0229">
        <w:rPr>
          <w:szCs w:val="24"/>
        </w:rPr>
        <w:t>r</w:t>
      </w:r>
      <w:r w:rsidRPr="00EC0229">
        <w:rPr>
          <w:szCs w:val="24"/>
        </w:rPr>
        <w:t>o</w:t>
      </w:r>
      <w:r w:rsidR="005D0C44" w:rsidRPr="00EC0229">
        <w:rPr>
          <w:szCs w:val="24"/>
        </w:rPr>
        <w:t>und</w:t>
      </w:r>
      <w:r w:rsidRPr="00EC0229">
        <w:rPr>
          <w:szCs w:val="24"/>
        </w:rPr>
        <w:t xml:space="preserve"> is described at pages </w:t>
      </w:r>
      <w:r w:rsidRPr="00EC0229">
        <w:rPr>
          <w:szCs w:val="24"/>
        </w:rPr>
        <w:fldChar w:fldCharType="begin"/>
      </w:r>
      <w:r w:rsidRPr="00EC0229">
        <w:rPr>
          <w:szCs w:val="24"/>
        </w:rPr>
        <w:instrText xml:space="preserve"> PAGEREF BernicianHistory \h </w:instrText>
      </w:r>
      <w:r w:rsidRPr="00EC0229">
        <w:rPr>
          <w:szCs w:val="24"/>
        </w:rPr>
      </w:r>
      <w:r w:rsidRPr="00EC0229">
        <w:rPr>
          <w:szCs w:val="24"/>
        </w:rPr>
        <w:fldChar w:fldCharType="separate"/>
      </w:r>
      <w:r w:rsidR="0012026B">
        <w:rPr>
          <w:noProof/>
          <w:szCs w:val="24"/>
        </w:rPr>
        <w:t>86</w:t>
      </w:r>
      <w:r w:rsidRPr="00EC0229">
        <w:rPr>
          <w:szCs w:val="24"/>
        </w:rPr>
        <w:fldChar w:fldCharType="end"/>
      </w:r>
      <w:r w:rsidRPr="00EC0229">
        <w:rPr>
          <w:szCs w:val="24"/>
        </w:rPr>
        <w:t xml:space="preserve"> and </w:t>
      </w:r>
      <w:r w:rsidRPr="00EC0229">
        <w:rPr>
          <w:szCs w:val="24"/>
        </w:rPr>
        <w:fldChar w:fldCharType="begin"/>
      </w:r>
      <w:r w:rsidRPr="00EC0229">
        <w:rPr>
          <w:szCs w:val="24"/>
        </w:rPr>
        <w:instrText xml:space="preserve"> PAGEREF EconomicBackground \h </w:instrText>
      </w:r>
      <w:r w:rsidRPr="00EC0229">
        <w:rPr>
          <w:szCs w:val="24"/>
        </w:rPr>
      </w:r>
      <w:r w:rsidRPr="00EC0229">
        <w:rPr>
          <w:szCs w:val="24"/>
        </w:rPr>
        <w:fldChar w:fldCharType="separate"/>
      </w:r>
      <w:r w:rsidR="0012026B">
        <w:rPr>
          <w:noProof/>
          <w:szCs w:val="24"/>
        </w:rPr>
        <w:t>83</w:t>
      </w:r>
      <w:r w:rsidRPr="00EC0229">
        <w:rPr>
          <w:szCs w:val="24"/>
        </w:rPr>
        <w:fldChar w:fldCharType="end"/>
      </w:r>
      <w:r w:rsidRPr="00EC0229">
        <w:rPr>
          <w:szCs w:val="24"/>
        </w:rPr>
        <w:t>.</w:t>
      </w:r>
    </w:p>
    <w:p w14:paraId="6A2F01CE" w14:textId="77777777" w:rsidR="005D0C44" w:rsidRPr="00EC0229" w:rsidRDefault="005D0C44" w:rsidP="007600EA">
      <w:pPr>
        <w:pStyle w:val="NoSpacing"/>
        <w:spacing w:line="360" w:lineRule="auto"/>
        <w:rPr>
          <w:szCs w:val="24"/>
        </w:rPr>
      </w:pPr>
    </w:p>
    <w:p w14:paraId="5271B6C6" w14:textId="4874FC9B" w:rsidR="00582C52" w:rsidRPr="00EC0229" w:rsidRDefault="00736C9E" w:rsidP="007600EA">
      <w:pPr>
        <w:pStyle w:val="Heading3"/>
        <w:spacing w:line="360" w:lineRule="auto"/>
      </w:pPr>
      <w:bookmarkStart w:id="863" w:name="Regal"/>
      <w:bookmarkStart w:id="864" w:name="_Toc468266934"/>
      <w:bookmarkEnd w:id="863"/>
      <w:r>
        <w:t>8.2.7.1</w:t>
      </w:r>
      <w:r>
        <w:tab/>
      </w:r>
      <w:r w:rsidR="00582C52" w:rsidRPr="00EC0229">
        <w:rPr>
          <w:i/>
        </w:rPr>
        <w:t>Vicii Regius</w:t>
      </w:r>
      <w:r w:rsidR="00582C52" w:rsidRPr="00EC0229">
        <w:t xml:space="preserve"> - Regal Sites</w:t>
      </w:r>
      <w:bookmarkEnd w:id="864"/>
      <w:r w:rsidR="006B1593" w:rsidRPr="00EC0229">
        <w:fldChar w:fldCharType="begin"/>
      </w:r>
      <w:r w:rsidR="006B1593" w:rsidRPr="00EC0229">
        <w:instrText xml:space="preserve"> XE "</w:instrText>
      </w:r>
      <w:r w:rsidR="006B1593" w:rsidRPr="00EC0229">
        <w:rPr>
          <w:rStyle w:val="Hyperlink"/>
          <w:noProof/>
          <w:u w:val="none"/>
        </w:rPr>
        <w:instrText>Regal Sites</w:instrText>
      </w:r>
      <w:r w:rsidR="006B1593" w:rsidRPr="00EC0229">
        <w:instrText xml:space="preserve">" </w:instrText>
      </w:r>
      <w:r w:rsidR="006B1593" w:rsidRPr="00EC0229">
        <w:fldChar w:fldCharType="end"/>
      </w:r>
      <w:r w:rsidR="00582C52" w:rsidRPr="00EC0229">
        <w:t xml:space="preserve"> </w:t>
      </w:r>
    </w:p>
    <w:p w14:paraId="65910576" w14:textId="77777777" w:rsidR="00A50075" w:rsidRPr="00EC0229" w:rsidRDefault="00582C52" w:rsidP="007600EA">
      <w:pPr>
        <w:pStyle w:val="NoSpacing"/>
        <w:spacing w:line="360" w:lineRule="auto"/>
        <w:jc w:val="right"/>
        <w:rPr>
          <w:sz w:val="20"/>
          <w:szCs w:val="20"/>
        </w:rPr>
      </w:pPr>
      <w:bookmarkStart w:id="865" w:name="Royal"/>
      <w:r w:rsidRPr="00EC0229">
        <w:rPr>
          <w:sz w:val="20"/>
          <w:szCs w:val="20"/>
        </w:rPr>
        <w:t xml:space="preserve"> ‘It was aristocratic demand that mattered.’ </w:t>
      </w:r>
    </w:p>
    <w:p w14:paraId="6F7DAA82" w14:textId="1066AA03" w:rsidR="00582C52" w:rsidRPr="00EC0229" w:rsidRDefault="0086286C" w:rsidP="007600EA">
      <w:pPr>
        <w:pStyle w:val="NoSpacing"/>
        <w:spacing w:line="360" w:lineRule="auto"/>
        <w:jc w:val="right"/>
        <w:rPr>
          <w:sz w:val="20"/>
          <w:szCs w:val="20"/>
        </w:rPr>
      </w:pPr>
      <w:r w:rsidRPr="00EC0229">
        <w:rPr>
          <w:sz w:val="20"/>
          <w:szCs w:val="20"/>
        </w:rPr>
        <w:t>Chris Wickham (2005,</w:t>
      </w:r>
      <w:r w:rsidR="00582C52" w:rsidRPr="00EC0229">
        <w:rPr>
          <w:sz w:val="20"/>
          <w:szCs w:val="20"/>
        </w:rPr>
        <w:t xml:space="preserve"> 824</w:t>
      </w:r>
      <w:r w:rsidRPr="00EC0229">
        <w:rPr>
          <w:sz w:val="20"/>
          <w:szCs w:val="20"/>
        </w:rPr>
        <w:t>)</w:t>
      </w:r>
      <w:r w:rsidR="00582C52" w:rsidRPr="00EC0229">
        <w:rPr>
          <w:sz w:val="20"/>
          <w:szCs w:val="20"/>
        </w:rPr>
        <w:t>.</w:t>
      </w:r>
    </w:p>
    <w:p w14:paraId="43034299" w14:textId="1F9BF4B5" w:rsidR="00582C52" w:rsidRPr="00624DF5" w:rsidRDefault="00582C52" w:rsidP="00770D99">
      <w:pPr>
        <w:pStyle w:val="Heading4"/>
        <w:spacing w:line="360" w:lineRule="auto"/>
        <w:rPr>
          <w:b/>
        </w:rPr>
      </w:pPr>
      <w:bookmarkStart w:id="866" w:name="Yeavering"/>
      <w:bookmarkStart w:id="867" w:name="_Toc468266935"/>
      <w:bookmarkEnd w:id="865"/>
      <w:bookmarkEnd w:id="866"/>
      <w:r w:rsidRPr="00624DF5">
        <w:rPr>
          <w:b/>
        </w:rPr>
        <w:t>Yeavering</w:t>
      </w:r>
      <w:bookmarkEnd w:id="867"/>
      <w:r w:rsidR="006B1593" w:rsidRPr="00624DF5">
        <w:rPr>
          <w:b/>
        </w:rPr>
        <w:fldChar w:fldCharType="begin"/>
      </w:r>
      <w:r w:rsidR="006B1593" w:rsidRPr="00624DF5">
        <w:rPr>
          <w:b/>
        </w:rPr>
        <w:instrText xml:space="preserve"> XE "</w:instrText>
      </w:r>
      <w:r w:rsidR="006B1593" w:rsidRPr="00624DF5">
        <w:rPr>
          <w:rStyle w:val="Hyperlink"/>
          <w:b/>
          <w:noProof/>
          <w:u w:val="none"/>
        </w:rPr>
        <w:instrText>Yeavering</w:instrText>
      </w:r>
      <w:r w:rsidR="006B1593" w:rsidRPr="00624DF5">
        <w:rPr>
          <w:b/>
        </w:rPr>
        <w:instrText xml:space="preserve">" </w:instrText>
      </w:r>
      <w:r w:rsidR="006B1593" w:rsidRPr="00624DF5">
        <w:rPr>
          <w:b/>
        </w:rPr>
        <w:fldChar w:fldCharType="end"/>
      </w:r>
    </w:p>
    <w:p w14:paraId="6F1ECDB5" w14:textId="77777777" w:rsidR="00582C52" w:rsidRPr="00EC0229" w:rsidRDefault="00582C52" w:rsidP="007600EA">
      <w:pPr>
        <w:pStyle w:val="NoSpacing"/>
        <w:spacing w:line="360" w:lineRule="auto"/>
        <w:jc w:val="right"/>
        <w:rPr>
          <w:sz w:val="19"/>
          <w:szCs w:val="19"/>
        </w:rPr>
      </w:pPr>
      <w:r w:rsidRPr="00EC0229">
        <w:rPr>
          <w:sz w:val="19"/>
          <w:szCs w:val="19"/>
        </w:rPr>
        <w:t>‘the number of believers has so increased that it has lately become an episcopal see with Pehthelm as its first Bishop.’</w:t>
      </w:r>
    </w:p>
    <w:p w14:paraId="0BC688B3" w14:textId="76577E6F" w:rsidR="00582C52" w:rsidRPr="00EC0229" w:rsidRDefault="00582C52" w:rsidP="007600EA">
      <w:pPr>
        <w:pStyle w:val="NoSpacing"/>
        <w:spacing w:line="360" w:lineRule="auto"/>
        <w:jc w:val="right"/>
        <w:rPr>
          <w:sz w:val="20"/>
          <w:szCs w:val="20"/>
        </w:rPr>
      </w:pPr>
      <w:r w:rsidRPr="00EC0229">
        <w:rPr>
          <w:sz w:val="20"/>
          <w:szCs w:val="20"/>
        </w:rPr>
        <w:t>Bede</w:t>
      </w:r>
      <w:r w:rsidR="00F66CEB" w:rsidRPr="00EC0229">
        <w:rPr>
          <w:sz w:val="20"/>
          <w:szCs w:val="20"/>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sz w:val="20"/>
          <w:szCs w:val="20"/>
        </w:rPr>
        <w:fldChar w:fldCharType="end"/>
      </w:r>
      <w:r w:rsidRPr="00EC0229">
        <w:rPr>
          <w:sz w:val="20"/>
          <w:szCs w:val="20"/>
        </w:rPr>
        <w:t>, V, 23.</w:t>
      </w:r>
    </w:p>
    <w:p w14:paraId="5A76FCE3" w14:textId="5B33D39C" w:rsidR="00582C52" w:rsidRPr="00EC0229" w:rsidRDefault="00582C52" w:rsidP="007600EA">
      <w:pPr>
        <w:pStyle w:val="NoSpacing"/>
        <w:spacing w:line="360" w:lineRule="auto"/>
      </w:pPr>
      <w:r w:rsidRPr="00EC0229">
        <w:t xml:space="preserve">According to Hope-Taylor it is the ‘long series of correspondences between events recorded in history and the physical results of human activity on the site of </w:t>
      </w:r>
      <w:r w:rsidRPr="00EC0229">
        <w:rPr>
          <w:i/>
        </w:rPr>
        <w:t>Ad Gefrin</w:t>
      </w:r>
      <w:r w:rsidRPr="00EC0229">
        <w:t>’</w:t>
      </w:r>
      <w:r w:rsidRPr="00EC0229">
        <w:rPr>
          <w:rStyle w:val="FootnoteReference"/>
        </w:rPr>
        <w:footnoteReference w:id="1168"/>
      </w:r>
      <w:r w:rsidRPr="00EC0229">
        <w:t xml:space="preserve"> which give confidence to the conventional description of Bernician evolution. O’Brien </w:t>
      </w:r>
      <w:r w:rsidR="00103FB3">
        <w:t>summarize</w:t>
      </w:r>
      <w:r w:rsidRPr="00EC0229">
        <w:t>d recent scholarship on Hope-Taylor’s view of a hybrid culture.</w:t>
      </w:r>
      <w:r w:rsidRPr="00EC0229">
        <w:rPr>
          <w:rStyle w:val="FootnoteReference"/>
        </w:rPr>
        <w:footnoteReference w:id="1169"/>
      </w:r>
      <w:r w:rsidRPr="00EC0229">
        <w:t xml:space="preserve"> This is the site of the ‘grandstand’, or auditorium, from which Edwin</w:t>
      </w:r>
      <w:r w:rsidR="00F66CEB" w:rsidRPr="00EC0229">
        <w:fldChar w:fldCharType="begin"/>
      </w:r>
      <w:r w:rsidR="00F66CEB" w:rsidRPr="00EC0229">
        <w:instrText xml:space="preserve"> XE "</w:instrText>
      </w:r>
      <w:r w:rsidR="00F66CEB" w:rsidRPr="00EC0229">
        <w:rPr>
          <w:rFonts w:cs="Times New Roman"/>
          <w:color w:val="000000" w:themeColor="text1"/>
          <w:szCs w:val="24"/>
        </w:rPr>
        <w:instrText>Edwin</w:instrText>
      </w:r>
      <w:r w:rsidR="00F66CEB" w:rsidRPr="00EC0229">
        <w:instrText xml:space="preserve">" </w:instrText>
      </w:r>
      <w:r w:rsidR="00F66CEB" w:rsidRPr="00EC0229">
        <w:fldChar w:fldCharType="end"/>
      </w:r>
      <w:r w:rsidRPr="00EC0229">
        <w:t xml:space="preserve"> addressed hundreds according to Bede</w:t>
      </w:r>
      <w:r w:rsidR="00F66CEB" w:rsidRPr="00EC0229">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fldChar w:fldCharType="end"/>
      </w:r>
      <w:r w:rsidRPr="00EC0229">
        <w:t>.</w:t>
      </w:r>
      <w:r w:rsidRPr="00EC0229">
        <w:rPr>
          <w:rStyle w:val="FootnoteReference"/>
        </w:rPr>
        <w:footnoteReference w:id="1170"/>
      </w:r>
      <w:r w:rsidRPr="00EC0229">
        <w:t xml:space="preserve"> Other features include the palisaded Great Enclosure, The Great and Lesser Halls, and the inhumations including a battle cemetery.</w:t>
      </w:r>
      <w:r w:rsidRPr="00EC0229">
        <w:rPr>
          <w:rStyle w:val="FootnoteReference"/>
        </w:rPr>
        <w:footnoteReference w:id="1171"/>
      </w:r>
    </w:p>
    <w:p w14:paraId="21D083B5" w14:textId="77777777" w:rsidR="00582C52" w:rsidRPr="00EC0229" w:rsidRDefault="00582C52" w:rsidP="007600EA">
      <w:pPr>
        <w:pStyle w:val="NoSpacing"/>
        <w:spacing w:line="360" w:lineRule="auto"/>
      </w:pPr>
    </w:p>
    <w:p w14:paraId="5759782A" w14:textId="57FDD978" w:rsidR="00582C52" w:rsidRPr="00EC0229" w:rsidRDefault="00582C52" w:rsidP="007600EA">
      <w:pPr>
        <w:pStyle w:val="NoSpacing"/>
        <w:spacing w:line="360" w:lineRule="auto"/>
      </w:pPr>
      <w:r w:rsidRPr="00EC0229">
        <w:t>Yeavering</w:t>
      </w:r>
      <w:r w:rsidR="006B1593" w:rsidRPr="00EC0229">
        <w:fldChar w:fldCharType="begin"/>
      </w:r>
      <w:r w:rsidR="006B1593" w:rsidRPr="00EC0229">
        <w:instrText xml:space="preserve"> XE "</w:instrText>
      </w:r>
      <w:r w:rsidR="006B1593" w:rsidRPr="00EC0229">
        <w:rPr>
          <w:rStyle w:val="Hyperlink"/>
          <w:noProof/>
          <w:u w:val="none"/>
        </w:rPr>
        <w:instrText>Yeavering</w:instrText>
      </w:r>
      <w:r w:rsidR="006B1593" w:rsidRPr="00EC0229">
        <w:instrText xml:space="preserve">" </w:instrText>
      </w:r>
      <w:r w:rsidR="006B1593" w:rsidRPr="00EC0229">
        <w:fldChar w:fldCharType="end"/>
      </w:r>
      <w:r w:rsidRPr="00EC0229">
        <w:t xml:space="preserve">, more </w:t>
      </w:r>
      <w:r w:rsidRPr="00EC0229">
        <w:rPr>
          <w:i/>
        </w:rPr>
        <w:t>Thing</w:t>
      </w:r>
      <w:r w:rsidRPr="00EC0229">
        <w:t xml:space="preserve"> than </w:t>
      </w:r>
      <w:r w:rsidRPr="00EC0229">
        <w:rPr>
          <w:i/>
        </w:rPr>
        <w:t>villa regia</w:t>
      </w:r>
      <w:r w:rsidRPr="00EC0229">
        <w:t>,</w:t>
      </w:r>
      <w:r w:rsidRPr="00EC0229">
        <w:rPr>
          <w:rStyle w:val="FootnoteReference"/>
        </w:rPr>
        <w:footnoteReference w:id="1172"/>
      </w:r>
      <w:r w:rsidRPr="00EC0229">
        <w:t xml:space="preserve"> lies a day’s walk inland from Bamburgh</w:t>
      </w:r>
      <w:r w:rsidR="006B1593" w:rsidRPr="00EC0229">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fldChar w:fldCharType="end"/>
      </w:r>
      <w:r w:rsidRPr="00EC0229">
        <w:t xml:space="preserve"> and Lindisfarne</w:t>
      </w:r>
      <w:r w:rsidR="006B1593" w:rsidRPr="00EC0229">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fldChar w:fldCharType="end"/>
      </w:r>
      <w:r w:rsidRPr="00EC0229">
        <w:t xml:space="preserve">. It was an early native British centre before the Romans built an </w:t>
      </w:r>
      <w:r w:rsidRPr="00EC0229">
        <w:rPr>
          <w:i/>
        </w:rPr>
        <w:t>oppidum</w:t>
      </w:r>
      <w:r w:rsidRPr="00EC0229">
        <w:t xml:space="preserve"> on the Bell. </w:t>
      </w:r>
      <w:bookmarkStart w:id="868" w:name="siteshift2"/>
      <w:bookmarkStart w:id="869" w:name="siteshiftYM"/>
      <w:bookmarkEnd w:id="868"/>
      <w:bookmarkEnd w:id="869"/>
      <w:r w:rsidRPr="00EC0229">
        <w:t xml:space="preserve">Yeavering was abandoned in favour of Milfield, </w:t>
      </w:r>
      <w:r w:rsidRPr="00EC0229">
        <w:rPr>
          <w:i/>
        </w:rPr>
        <w:t>M</w:t>
      </w:r>
      <w:r w:rsidRPr="00EC0229">
        <w:rPr>
          <w:rFonts w:cs="Times New Roman"/>
          <w:i/>
        </w:rPr>
        <w:t>æ</w:t>
      </w:r>
      <w:r w:rsidRPr="00EC0229">
        <w:rPr>
          <w:i/>
        </w:rPr>
        <w:t>lmin</w:t>
      </w:r>
      <w:r w:rsidR="0032146F" w:rsidRPr="00EC0229">
        <w:t>.</w:t>
      </w:r>
      <w:r w:rsidR="0032146F" w:rsidRPr="00EC0229">
        <w:rPr>
          <w:rStyle w:val="FootnoteReference"/>
        </w:rPr>
        <w:footnoteReference w:id="1173"/>
      </w:r>
      <w:r w:rsidRPr="00EC0229">
        <w:t xml:space="preserve"> This occurred well before Bede</w:t>
      </w:r>
      <w:r w:rsidR="00F66CEB" w:rsidRPr="00EC0229">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fldChar w:fldCharType="end"/>
      </w:r>
      <w:r w:rsidRPr="00EC0229">
        <w:t xml:space="preserve"> recorded the abandonment in 731 and after the loss of an imitation </w:t>
      </w:r>
      <w:r w:rsidR="00E40070" w:rsidRPr="00EC0229">
        <w:t>tremissis</w:t>
      </w:r>
      <w:r w:rsidR="008960AE" w:rsidRPr="00EC0229">
        <w:fldChar w:fldCharType="begin"/>
      </w:r>
      <w:r w:rsidR="008960AE" w:rsidRPr="00EC0229">
        <w:instrText xml:space="preserve"> XE "</w:instrText>
      </w:r>
      <w:r w:rsidR="008960AE" w:rsidRPr="00EC0229">
        <w:rPr>
          <w:rFonts w:eastAsia="Times New Roman" w:cs="Times New Roman"/>
        </w:rPr>
        <w:instrText>tremissis</w:instrText>
      </w:r>
      <w:r w:rsidR="008960AE" w:rsidRPr="00EC0229">
        <w:instrText xml:space="preserve">" </w:instrText>
      </w:r>
      <w:r w:rsidR="008960AE" w:rsidRPr="00EC0229">
        <w:fldChar w:fldCharType="end"/>
      </w:r>
      <w:r w:rsidR="00E40070" w:rsidRPr="00EC0229">
        <w:t xml:space="preserve">, </w:t>
      </w:r>
      <w:r w:rsidR="00394ED0" w:rsidRPr="00EC0229">
        <w:t xml:space="preserve">[3a], </w:t>
      </w:r>
      <w:r w:rsidR="00E40070" w:rsidRPr="00EC0229">
        <w:t xml:space="preserve">dated to mid-seventh </w:t>
      </w:r>
      <w:r w:rsidRPr="00EC0229">
        <w:t>century</w:t>
      </w:r>
      <w:r w:rsidR="00EE192A" w:rsidRPr="00EC0229">
        <w:t xml:space="preserve"> (</w:t>
      </w:r>
      <w:r w:rsidR="009E07B9" w:rsidRPr="00EC0229">
        <w:fldChar w:fldCharType="begin"/>
      </w:r>
      <w:r w:rsidR="009E07B9" w:rsidRPr="00EC0229">
        <w:instrText xml:space="preserve"> REF _Ref430249391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156</w:t>
      </w:r>
      <w:r w:rsidR="009E07B9" w:rsidRPr="00EC0229">
        <w:fldChar w:fldCharType="end"/>
      </w:r>
      <w:r w:rsidR="00EE192A" w:rsidRPr="00EC0229">
        <w:t>)</w:t>
      </w:r>
      <w:r w:rsidRPr="00EC0229">
        <w:t xml:space="preserve">. </w:t>
      </w:r>
    </w:p>
    <w:p w14:paraId="1E63D30E" w14:textId="77777777" w:rsidR="00582C52" w:rsidRPr="00EC0229" w:rsidRDefault="00582C52" w:rsidP="007600EA">
      <w:pPr>
        <w:pStyle w:val="NoSpacing"/>
        <w:spacing w:line="360" w:lineRule="auto"/>
        <w:jc w:val="center"/>
      </w:pPr>
      <w:r w:rsidRPr="00EC0229">
        <w:rPr>
          <w:noProof/>
          <w:lang w:eastAsia="en-GB"/>
        </w:rPr>
        <w:lastRenderedPageBreak/>
        <w:drawing>
          <wp:inline distT="0" distB="0" distL="0" distR="0" wp14:anchorId="5EE8F861" wp14:editId="2A8D9574">
            <wp:extent cx="818656" cy="839470"/>
            <wp:effectExtent l="0" t="0" r="63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avering find obv.jpg"/>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825689" cy="846682"/>
                    </a:xfrm>
                    <a:prstGeom prst="rect">
                      <a:avLst/>
                    </a:prstGeom>
                  </pic:spPr>
                </pic:pic>
              </a:graphicData>
            </a:graphic>
          </wp:inline>
        </w:drawing>
      </w:r>
      <w:r w:rsidRPr="00EC0229">
        <w:rPr>
          <w:noProof/>
          <w:lang w:eastAsia="en-GB"/>
        </w:rPr>
        <w:drawing>
          <wp:inline distT="0" distB="0" distL="0" distR="0" wp14:anchorId="14AB526B" wp14:editId="0B858D18">
            <wp:extent cx="828008" cy="835025"/>
            <wp:effectExtent l="0" t="0" r="0" b="317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eavering find rev.jpg"/>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844202" cy="851356"/>
                    </a:xfrm>
                    <a:prstGeom prst="rect">
                      <a:avLst/>
                    </a:prstGeom>
                  </pic:spPr>
                </pic:pic>
              </a:graphicData>
            </a:graphic>
          </wp:inline>
        </w:drawing>
      </w:r>
    </w:p>
    <w:p w14:paraId="76A473DC" w14:textId="145A19EE" w:rsidR="00582C52" w:rsidRPr="00EC0229" w:rsidRDefault="003977B6" w:rsidP="007600EA">
      <w:pPr>
        <w:spacing w:line="360" w:lineRule="auto"/>
        <w:jc w:val="center"/>
        <w:rPr>
          <w:sz w:val="20"/>
          <w:szCs w:val="20"/>
        </w:rPr>
      </w:pPr>
      <w:bookmarkStart w:id="870" w:name="_Ref430249391"/>
      <w:bookmarkStart w:id="871" w:name="_Toc468267128"/>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156</w:t>
      </w:r>
      <w:r w:rsidR="00B609E3" w:rsidRPr="00EC0229">
        <w:rPr>
          <w:noProof/>
          <w:sz w:val="20"/>
          <w:szCs w:val="20"/>
        </w:rPr>
        <w:fldChar w:fldCharType="end"/>
      </w:r>
      <w:bookmarkEnd w:id="870"/>
      <w:r w:rsidR="00EE192A" w:rsidRPr="00EC0229">
        <w:rPr>
          <w:sz w:val="20"/>
          <w:szCs w:val="20"/>
        </w:rPr>
        <w:t xml:space="preserve">: </w:t>
      </w:r>
      <w:r w:rsidR="00582C52" w:rsidRPr="00EC0229">
        <w:rPr>
          <w:sz w:val="20"/>
          <w:szCs w:val="20"/>
        </w:rPr>
        <w:t>L: Yeavering</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Yeavering</w:instrText>
      </w:r>
      <w:r w:rsidR="006B1593" w:rsidRPr="00EC0229">
        <w:rPr>
          <w:sz w:val="20"/>
          <w:szCs w:val="20"/>
        </w:rPr>
        <w:instrText xml:space="preserve">" </w:instrText>
      </w:r>
      <w:r w:rsidR="006B1593" w:rsidRPr="00EC0229">
        <w:rPr>
          <w:sz w:val="20"/>
          <w:szCs w:val="20"/>
        </w:rPr>
        <w:fldChar w:fldCharType="end"/>
      </w:r>
      <w:r w:rsidR="00582C52" w:rsidRPr="00EC0229">
        <w:rPr>
          <w:sz w:val="20"/>
          <w:szCs w:val="20"/>
        </w:rPr>
        <w:t>’s only coin find: gold</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gold</w:instrText>
      </w:r>
      <w:r w:rsidR="008960AE" w:rsidRPr="00EC0229">
        <w:rPr>
          <w:sz w:val="20"/>
          <w:szCs w:val="20"/>
        </w:rPr>
        <w:instrText xml:space="preserve">" </w:instrText>
      </w:r>
      <w:r w:rsidR="008960AE" w:rsidRPr="00EC0229">
        <w:rPr>
          <w:sz w:val="20"/>
          <w:szCs w:val="20"/>
        </w:rPr>
        <w:fldChar w:fldCharType="end"/>
      </w:r>
      <w:r w:rsidR="00582C52" w:rsidRPr="00EC0229">
        <w:rPr>
          <w:sz w:val="20"/>
          <w:szCs w:val="20"/>
        </w:rPr>
        <w:t xml:space="preserve"> washed imitation on copper core.</w:t>
      </w:r>
      <w:bookmarkEnd w:id="871"/>
    </w:p>
    <w:p w14:paraId="1F10C0A6" w14:textId="77777777" w:rsidR="00EE3FE5" w:rsidRPr="00EC0229" w:rsidRDefault="00EE3FE5" w:rsidP="007600EA">
      <w:pPr>
        <w:spacing w:line="360" w:lineRule="auto"/>
      </w:pPr>
    </w:p>
    <w:p w14:paraId="1DFDAC78" w14:textId="77777777" w:rsidR="00582C52" w:rsidRPr="00EC0229" w:rsidRDefault="00582C52" w:rsidP="007600EA">
      <w:pPr>
        <w:pStyle w:val="NoSpacing"/>
        <w:spacing w:line="360" w:lineRule="auto"/>
        <w:jc w:val="center"/>
        <w:rPr>
          <w:sz w:val="20"/>
          <w:szCs w:val="20"/>
        </w:rPr>
      </w:pPr>
      <w:r w:rsidRPr="00EC0229">
        <w:rPr>
          <w:noProof/>
          <w:lang w:eastAsia="en-GB"/>
        </w:rPr>
        <w:drawing>
          <wp:inline distT="0" distB="0" distL="0" distR="0" wp14:anchorId="1D828A5E" wp14:editId="3402F7EA">
            <wp:extent cx="1752065" cy="786117"/>
            <wp:effectExtent l="0" t="0" r="63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eavering find.jpg"/>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1790310" cy="803277"/>
                    </a:xfrm>
                    <a:prstGeom prst="rect">
                      <a:avLst/>
                    </a:prstGeom>
                  </pic:spPr>
                </pic:pic>
              </a:graphicData>
            </a:graphic>
          </wp:inline>
        </w:drawing>
      </w:r>
      <w:r w:rsidRPr="00EC0229">
        <w:rPr>
          <w:noProof/>
          <w:lang w:eastAsia="en-GB"/>
        </w:rPr>
        <w:drawing>
          <wp:inline distT="0" distB="0" distL="0" distR="0" wp14:anchorId="70ED9596" wp14:editId="65908391">
            <wp:extent cx="1689210" cy="782955"/>
            <wp:effectExtent l="0" t="0" r="635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eavering - runic tremissis.jpg"/>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1696449" cy="786311"/>
                    </a:xfrm>
                    <a:prstGeom prst="rect">
                      <a:avLst/>
                    </a:prstGeom>
                  </pic:spPr>
                </pic:pic>
              </a:graphicData>
            </a:graphic>
          </wp:inline>
        </w:drawing>
      </w:r>
    </w:p>
    <w:p w14:paraId="46647929" w14:textId="54647A17" w:rsidR="00941A45" w:rsidRDefault="003977B6" w:rsidP="007600EA">
      <w:pPr>
        <w:pStyle w:val="NoSpacing"/>
        <w:spacing w:line="360" w:lineRule="auto"/>
        <w:jc w:val="center"/>
        <w:rPr>
          <w:sz w:val="20"/>
          <w:szCs w:val="20"/>
        </w:rPr>
      </w:pPr>
      <w:bookmarkStart w:id="872" w:name="_Ref430249472"/>
      <w:bookmarkStart w:id="873" w:name="_Toc468267129"/>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157</w:t>
      </w:r>
      <w:r w:rsidR="00B609E3" w:rsidRPr="00EC0229">
        <w:rPr>
          <w:noProof/>
          <w:sz w:val="20"/>
          <w:szCs w:val="20"/>
        </w:rPr>
        <w:fldChar w:fldCharType="end"/>
      </w:r>
      <w:bookmarkEnd w:id="872"/>
      <w:r w:rsidR="00EE192A" w:rsidRPr="00EC0229">
        <w:rPr>
          <w:sz w:val="20"/>
          <w:szCs w:val="20"/>
        </w:rPr>
        <w:t xml:space="preserve">: </w:t>
      </w:r>
      <w:r w:rsidR="00582C52" w:rsidRPr="00EC0229">
        <w:rPr>
          <w:sz w:val="20"/>
          <w:szCs w:val="20"/>
        </w:rPr>
        <w:t xml:space="preserve">For comparison only: </w:t>
      </w:r>
      <w:r w:rsidR="00941A45">
        <w:rPr>
          <w:sz w:val="20"/>
          <w:szCs w:val="20"/>
        </w:rPr>
        <w:t>Tremisse</w:t>
      </w:r>
      <w:r w:rsidR="00582C52" w:rsidRPr="00EC0229">
        <w:rPr>
          <w:sz w:val="20"/>
          <w:szCs w:val="20"/>
        </w:rPr>
        <w:t>s of Huy</w:t>
      </w:r>
      <w:bookmarkEnd w:id="873"/>
      <w:r w:rsidR="00582C52" w:rsidRPr="00EC0229">
        <w:rPr>
          <w:sz w:val="20"/>
          <w:szCs w:val="20"/>
        </w:rPr>
        <w:t xml:space="preserve"> </w:t>
      </w:r>
    </w:p>
    <w:p w14:paraId="2E92FDF7" w14:textId="04F8344C" w:rsidR="00582C52" w:rsidRPr="00EC0229" w:rsidRDefault="00941A45" w:rsidP="00941A45">
      <w:pPr>
        <w:pStyle w:val="NoSpacing"/>
        <w:spacing w:line="360" w:lineRule="auto"/>
        <w:jc w:val="center"/>
        <w:rPr>
          <w:sz w:val="20"/>
          <w:szCs w:val="20"/>
        </w:rPr>
      </w:pPr>
      <w:r>
        <w:rPr>
          <w:sz w:val="20"/>
          <w:szCs w:val="20"/>
        </w:rPr>
        <w:t xml:space="preserve">Centre: </w:t>
      </w:r>
      <w:r w:rsidR="00582C52" w:rsidRPr="00EC0229">
        <w:rPr>
          <w:sz w:val="20"/>
          <w:szCs w:val="20"/>
        </w:rPr>
        <w:t>by Bertoaldus (Belfort 1535)</w:t>
      </w:r>
      <w:r>
        <w:rPr>
          <w:sz w:val="20"/>
          <w:szCs w:val="20"/>
        </w:rPr>
        <w:t xml:space="preserve">, </w:t>
      </w:r>
      <w:r w:rsidR="00582C52" w:rsidRPr="00EC0229">
        <w:rPr>
          <w:sz w:val="20"/>
          <w:szCs w:val="20"/>
        </w:rPr>
        <w:t>R: Runic tremissis</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rPr>
        <w:instrText>tremissis</w:instrText>
      </w:r>
      <w:r w:rsidR="008960AE" w:rsidRPr="00EC0229">
        <w:rPr>
          <w:sz w:val="20"/>
          <w:szCs w:val="20"/>
        </w:rPr>
        <w:instrText xml:space="preserve">" </w:instrText>
      </w:r>
      <w:r w:rsidR="008960AE" w:rsidRPr="00EC0229">
        <w:rPr>
          <w:sz w:val="20"/>
          <w:szCs w:val="20"/>
        </w:rPr>
        <w:fldChar w:fldCharType="end"/>
      </w:r>
      <w:r w:rsidR="00582C52" w:rsidRPr="00EC0229">
        <w:rPr>
          <w:sz w:val="20"/>
          <w:szCs w:val="20"/>
        </w:rPr>
        <w:t xml:space="preserve"> of Huy (Belfort 1523)</w:t>
      </w:r>
    </w:p>
    <w:p w14:paraId="5825C884" w14:textId="77777777" w:rsidR="00582C52" w:rsidRPr="00EC0229" w:rsidRDefault="00582C52" w:rsidP="007600EA">
      <w:pPr>
        <w:pStyle w:val="NoSpacing"/>
        <w:spacing w:line="360" w:lineRule="auto"/>
        <w:jc w:val="center"/>
        <w:rPr>
          <w:sz w:val="20"/>
          <w:szCs w:val="20"/>
        </w:rPr>
      </w:pPr>
    </w:p>
    <w:p w14:paraId="3C8A5D59" w14:textId="2C94D5B6" w:rsidR="00582C52" w:rsidRPr="00EC0229" w:rsidRDefault="00582C52" w:rsidP="007600EA">
      <w:pPr>
        <w:pStyle w:val="NoSpacing"/>
        <w:spacing w:line="360" w:lineRule="auto"/>
        <w:rPr>
          <w:szCs w:val="24"/>
        </w:rPr>
      </w:pPr>
      <w:r w:rsidRPr="00EC0229">
        <w:rPr>
          <w:szCs w:val="24"/>
        </w:rPr>
        <w:t>The identification of Bertoaldus by Lafaurie, confirmed by Kent,</w:t>
      </w:r>
      <w:r w:rsidRPr="00EC0229">
        <w:rPr>
          <w:rStyle w:val="FootnoteReference"/>
          <w:szCs w:val="24"/>
        </w:rPr>
        <w:footnoteReference w:id="1174"/>
      </w:r>
      <w:r w:rsidRPr="00EC0229">
        <w:rPr>
          <w:szCs w:val="24"/>
        </w:rPr>
        <w:t xml:space="preserve"> is doubtful.</w:t>
      </w:r>
      <w:r w:rsidR="00A50075" w:rsidRPr="00EC0229">
        <w:rPr>
          <w:rStyle w:val="FootnoteReference"/>
          <w:szCs w:val="24"/>
        </w:rPr>
        <w:footnoteReference w:id="1175"/>
      </w:r>
      <w:r w:rsidRPr="00EC0229">
        <w:rPr>
          <w:szCs w:val="24"/>
        </w:rPr>
        <w:t xml:space="preserve"> </w:t>
      </w:r>
      <w:r w:rsidR="00A50075" w:rsidRPr="00EC0229">
        <w:rPr>
          <w:szCs w:val="24"/>
        </w:rPr>
        <w:t>(</w:t>
      </w:r>
      <w:r w:rsidR="00A50075" w:rsidRPr="00EC0229">
        <w:rPr>
          <w:szCs w:val="24"/>
        </w:rPr>
        <w:fldChar w:fldCharType="begin"/>
      </w:r>
      <w:r w:rsidR="00A50075" w:rsidRPr="00EC0229">
        <w:rPr>
          <w:szCs w:val="24"/>
        </w:rPr>
        <w:instrText xml:space="preserve"> REF _Ref430249472 \h </w:instrText>
      </w:r>
      <w:r w:rsidR="00235629" w:rsidRPr="00EC0229">
        <w:rPr>
          <w:szCs w:val="24"/>
        </w:rPr>
        <w:instrText xml:space="preserve"> \* MERGEFORMAT </w:instrText>
      </w:r>
      <w:r w:rsidR="00A50075" w:rsidRPr="00EC0229">
        <w:rPr>
          <w:szCs w:val="24"/>
        </w:rPr>
      </w:r>
      <w:r w:rsidR="00A50075" w:rsidRPr="00EC0229">
        <w:rPr>
          <w:szCs w:val="24"/>
        </w:rPr>
        <w:fldChar w:fldCharType="separate"/>
      </w:r>
      <w:r w:rsidR="0012026B" w:rsidRPr="0012026B">
        <w:rPr>
          <w:i/>
        </w:rPr>
        <w:t>Figure</w:t>
      </w:r>
      <w:r w:rsidR="0012026B" w:rsidRPr="0012026B">
        <w:t xml:space="preserve"> </w:t>
      </w:r>
      <w:r w:rsidR="0012026B" w:rsidRPr="0012026B">
        <w:rPr>
          <w:noProof/>
        </w:rPr>
        <w:t>157</w:t>
      </w:r>
      <w:r w:rsidR="00A50075" w:rsidRPr="00EC0229">
        <w:rPr>
          <w:szCs w:val="24"/>
        </w:rPr>
        <w:fldChar w:fldCharType="end"/>
      </w:r>
      <w:r w:rsidR="00A50075" w:rsidRPr="00EC0229">
        <w:rPr>
          <w:szCs w:val="24"/>
        </w:rPr>
        <w:t xml:space="preserve">). </w:t>
      </w:r>
      <w:r w:rsidRPr="00EC0229">
        <w:rPr>
          <w:szCs w:val="24"/>
        </w:rPr>
        <w:t>Nor is Kent’s argument that Bertoaldus issued in pale gold</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szCs w:val="24"/>
        </w:rPr>
        <w:fldChar w:fldCharType="end"/>
      </w:r>
      <w:r w:rsidRPr="00EC0229">
        <w:rPr>
          <w:szCs w:val="24"/>
        </w:rPr>
        <w:t xml:space="preserve">, such that his emissions date from the 630s or 640s, reliable in the case of a base, blundered, imitation. Lafaurie’s date of </w:t>
      </w:r>
      <w:r w:rsidRPr="00EC0229">
        <w:rPr>
          <w:i/>
          <w:szCs w:val="24"/>
        </w:rPr>
        <w:t>c</w:t>
      </w:r>
      <w:r w:rsidRPr="00EC0229">
        <w:rPr>
          <w:szCs w:val="24"/>
        </w:rPr>
        <w:t xml:space="preserve">.650-60 </w:t>
      </w:r>
      <w:r w:rsidRPr="00EC0229">
        <w:rPr>
          <w:i/>
          <w:szCs w:val="24"/>
        </w:rPr>
        <w:t>may</w:t>
      </w:r>
      <w:r w:rsidRPr="00EC0229">
        <w:rPr>
          <w:szCs w:val="24"/>
        </w:rPr>
        <w:t>, by chance, be more accurate</w:t>
      </w:r>
      <w:r w:rsidR="00C0244E" w:rsidRPr="00EC0229">
        <w:rPr>
          <w:szCs w:val="24"/>
        </w:rPr>
        <w:t xml:space="preserve">. </w:t>
      </w:r>
      <w:r w:rsidRPr="00EC0229">
        <w:rPr>
          <w:szCs w:val="24"/>
        </w:rPr>
        <w:t>This is the only recorded coin find, though the site is pockmarked by night-hawkers. Assuming there are no other finds</w:t>
      </w:r>
      <w:r w:rsidR="000405F0" w:rsidRPr="00EC0229">
        <w:rPr>
          <w:szCs w:val="24"/>
        </w:rPr>
        <w:t>, this single Continental plated-</w:t>
      </w:r>
      <w:r w:rsidRPr="00EC0229">
        <w:rPr>
          <w:szCs w:val="24"/>
        </w:rPr>
        <w:t>gold find may represent élite</w:t>
      </w:r>
      <w:r w:rsidR="008960AE" w:rsidRPr="00EC0229">
        <w:rPr>
          <w:szCs w:val="24"/>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szCs w:val="24"/>
        </w:rPr>
        <w:fldChar w:fldCharType="end"/>
      </w:r>
      <w:r w:rsidRPr="00EC0229">
        <w:rPr>
          <w:szCs w:val="24"/>
        </w:rPr>
        <w:t xml:space="preserve"> gift exchange</w:t>
      </w:r>
      <w:r w:rsidR="008960AE" w:rsidRPr="00EC0229">
        <w:rPr>
          <w:szCs w:val="24"/>
        </w:rPr>
        <w:fldChar w:fldCharType="begin"/>
      </w:r>
      <w:r w:rsidR="008960AE" w:rsidRPr="00EC0229">
        <w:instrText xml:space="preserve"> XE "gift exchange" </w:instrText>
      </w:r>
      <w:r w:rsidR="008960AE" w:rsidRPr="00EC0229">
        <w:rPr>
          <w:szCs w:val="24"/>
        </w:rPr>
        <w:fldChar w:fldCharType="end"/>
      </w:r>
      <w:r w:rsidRPr="00EC0229">
        <w:rPr>
          <w:szCs w:val="24"/>
        </w:rPr>
        <w:t xml:space="preserve">, albeit duplicitous, rather than early </w:t>
      </w:r>
      <w:r w:rsidR="003F2041" w:rsidRPr="00EC0229">
        <w:rPr>
          <w:szCs w:val="24"/>
        </w:rPr>
        <w:t>monetiz</w:t>
      </w:r>
      <w:r w:rsidRPr="00EC0229">
        <w:rPr>
          <w:szCs w:val="24"/>
        </w:rPr>
        <w:t>ation</w:t>
      </w:r>
      <w:r w:rsidR="008960AE" w:rsidRPr="00EC0229">
        <w:rPr>
          <w:szCs w:val="24"/>
        </w:rPr>
        <w:fldChar w:fldCharType="begin"/>
      </w:r>
      <w:r w:rsidR="008960AE" w:rsidRPr="00EC0229">
        <w:instrText xml:space="preserve"> XE "monetization" </w:instrText>
      </w:r>
      <w:r w:rsidR="008960AE" w:rsidRPr="00EC0229">
        <w:rPr>
          <w:szCs w:val="24"/>
        </w:rPr>
        <w:fldChar w:fldCharType="end"/>
      </w:r>
      <w:r w:rsidRPr="00EC0229">
        <w:rPr>
          <w:szCs w:val="24"/>
        </w:rPr>
        <w:t>, and early abandonment which contrasts to the absence of pre-ninth century coins at Bamburgh</w:t>
      </w:r>
      <w:r w:rsidR="006B1593" w:rsidRPr="00EC0229">
        <w:rPr>
          <w:szCs w:val="24"/>
        </w:rPr>
        <w:fldChar w:fldCharType="begin"/>
      </w:r>
      <w:r w:rsidR="006B1593" w:rsidRPr="00EC0229">
        <w:instrText xml:space="preserve"> XE "</w:instrText>
      </w:r>
      <w:r w:rsidR="006B1593" w:rsidRPr="00EC0229">
        <w:rPr>
          <w:noProof/>
        </w:rPr>
        <w:instrText>Bamburgh</w:instrText>
      </w:r>
      <w:r w:rsidR="006B1593" w:rsidRPr="00EC0229">
        <w:instrText xml:space="preserve">" </w:instrText>
      </w:r>
      <w:r w:rsidR="006B1593" w:rsidRPr="00EC0229">
        <w:rPr>
          <w:szCs w:val="24"/>
        </w:rPr>
        <w:fldChar w:fldCharType="end"/>
      </w:r>
      <w:r w:rsidR="006368ED" w:rsidRPr="00EC0229">
        <w:rPr>
          <w:szCs w:val="24"/>
        </w:rPr>
        <w:t xml:space="preserve"> (</w:t>
      </w:r>
      <w:r w:rsidR="002E03CF" w:rsidRPr="00EC0229">
        <w:rPr>
          <w:szCs w:val="24"/>
        </w:rPr>
        <w:fldChar w:fldCharType="begin"/>
      </w:r>
      <w:r w:rsidR="002E03CF" w:rsidRPr="00EC0229">
        <w:rPr>
          <w:szCs w:val="24"/>
        </w:rPr>
        <w:instrText xml:space="preserve"> PAGEREF Bamburgh \h </w:instrText>
      </w:r>
      <w:r w:rsidR="002E03CF" w:rsidRPr="00EC0229">
        <w:rPr>
          <w:szCs w:val="24"/>
        </w:rPr>
      </w:r>
      <w:r w:rsidR="002E03CF" w:rsidRPr="00EC0229">
        <w:rPr>
          <w:szCs w:val="24"/>
        </w:rPr>
        <w:fldChar w:fldCharType="separate"/>
      </w:r>
      <w:r w:rsidR="0012026B">
        <w:rPr>
          <w:noProof/>
          <w:szCs w:val="24"/>
        </w:rPr>
        <w:t>280</w:t>
      </w:r>
      <w:r w:rsidR="002E03CF" w:rsidRPr="00EC0229">
        <w:rPr>
          <w:szCs w:val="24"/>
        </w:rPr>
        <w:fldChar w:fldCharType="end"/>
      </w:r>
      <w:r w:rsidR="006368ED" w:rsidRPr="00EC0229">
        <w:rPr>
          <w:szCs w:val="24"/>
        </w:rPr>
        <w:t>).</w:t>
      </w:r>
      <w:r w:rsidRPr="00EC0229">
        <w:rPr>
          <w:szCs w:val="24"/>
        </w:rPr>
        <w:t xml:space="preserve"> The considerable interval abjures a </w:t>
      </w:r>
      <w:r w:rsidR="00784E25" w:rsidRPr="00EC0229">
        <w:rPr>
          <w:szCs w:val="24"/>
        </w:rPr>
        <w:t>site-shift</w:t>
      </w:r>
      <w:r w:rsidRPr="00EC0229">
        <w:rPr>
          <w:szCs w:val="24"/>
        </w:rPr>
        <w:t>. No coins are reported from Milfield.</w:t>
      </w:r>
    </w:p>
    <w:p w14:paraId="232C00AA" w14:textId="77777777" w:rsidR="00582C52" w:rsidRPr="00EC0229" w:rsidRDefault="00582C52" w:rsidP="007600EA">
      <w:pPr>
        <w:pStyle w:val="NoSpacing"/>
        <w:spacing w:line="360" w:lineRule="auto"/>
      </w:pPr>
    </w:p>
    <w:p w14:paraId="6A2251B9" w14:textId="1A467A78" w:rsidR="00582C52" w:rsidRPr="00EC0229" w:rsidRDefault="00582C52" w:rsidP="007600EA">
      <w:pPr>
        <w:pStyle w:val="NoSpacing"/>
        <w:spacing w:line="360" w:lineRule="auto"/>
      </w:pPr>
      <w:r w:rsidRPr="00EC0229">
        <w:t>In the context of the number of Northumbrian sites where a specimen of East Anglian</w:t>
      </w:r>
      <w:r w:rsidR="00D142DC" w:rsidRPr="00EC0229">
        <w:fldChar w:fldCharType="begin"/>
      </w:r>
      <w:r w:rsidR="00D142DC" w:rsidRPr="00EC0229">
        <w:instrText xml:space="preserve"> XE "Anglian" </w:instrText>
      </w:r>
      <w:r w:rsidR="00D142DC" w:rsidRPr="00EC0229">
        <w:fldChar w:fldCharType="end"/>
      </w:r>
      <w:r w:rsidRPr="00EC0229">
        <w:t xml:space="preserve"> Series</w:t>
      </w:r>
      <w:r w:rsidR="00D142DC" w:rsidRPr="00EC0229">
        <w:fldChar w:fldCharType="begin"/>
      </w:r>
      <w:r w:rsidR="00D142DC" w:rsidRPr="00EC0229">
        <w:instrText xml:space="preserve"> XE "Series" </w:instrText>
      </w:r>
      <w:r w:rsidR="00D142DC" w:rsidRPr="00EC0229">
        <w:fldChar w:fldCharType="end"/>
      </w:r>
      <w:r w:rsidRPr="00EC0229">
        <w:t xml:space="preserve"> Q</w:t>
      </w:r>
      <w:r w:rsidR="008344F3" w:rsidRPr="00EC0229">
        <w:fldChar w:fldCharType="begin"/>
      </w:r>
      <w:r w:rsidR="008344F3" w:rsidRPr="00EC0229">
        <w:instrText xml:space="preserve"> XE "Series Q" </w:instrText>
      </w:r>
      <w:r w:rsidR="008344F3" w:rsidRPr="00EC0229">
        <w:fldChar w:fldCharType="end"/>
      </w:r>
      <w:r w:rsidRPr="00EC0229">
        <w:t xml:space="preserve"> ha</w:t>
      </w:r>
      <w:r w:rsidR="003847EB" w:rsidRPr="00EC0229">
        <w:t xml:space="preserve">s been found, it is worth </w:t>
      </w:r>
      <w:r w:rsidRPr="00EC0229">
        <w:t>quoting Hope-Taylor: ‘The idea of an East Anglian-Northumbrian political and cultural axis under Raewald and Edwin</w:t>
      </w:r>
      <w:r w:rsidR="00F66CEB" w:rsidRPr="00EC0229">
        <w:fldChar w:fldCharType="begin"/>
      </w:r>
      <w:r w:rsidR="00F66CEB" w:rsidRPr="00EC0229">
        <w:instrText xml:space="preserve"> XE "</w:instrText>
      </w:r>
      <w:r w:rsidR="00F66CEB" w:rsidRPr="00EC0229">
        <w:rPr>
          <w:rFonts w:cs="Times New Roman"/>
          <w:color w:val="000000" w:themeColor="text1"/>
          <w:szCs w:val="24"/>
        </w:rPr>
        <w:instrText>Edwin</w:instrText>
      </w:r>
      <w:r w:rsidR="00F66CEB" w:rsidRPr="00EC0229">
        <w:instrText xml:space="preserve">" </w:instrText>
      </w:r>
      <w:r w:rsidR="00F66CEB" w:rsidRPr="00EC0229">
        <w:fldChar w:fldCharType="end"/>
      </w:r>
      <w:r w:rsidRPr="00EC0229">
        <w:t xml:space="preserve"> is entirely in harmony with the historical facts: it could account for several remarkable points of correspondence between the decorative arts of Rendlesham and Lindisfarne</w:t>
      </w:r>
      <w:r w:rsidR="006B1593" w:rsidRPr="00EC0229">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fldChar w:fldCharType="end"/>
      </w:r>
      <w:r w:rsidRPr="00EC0229">
        <w:t>.’</w:t>
      </w:r>
      <w:r w:rsidRPr="00EC0229">
        <w:rPr>
          <w:rStyle w:val="FootnoteReference"/>
        </w:rPr>
        <w:footnoteReference w:id="1176"/>
      </w:r>
    </w:p>
    <w:p w14:paraId="41A6097D" w14:textId="77777777" w:rsidR="00582C52" w:rsidRPr="00EC0229" w:rsidRDefault="00582C52" w:rsidP="007600EA">
      <w:pPr>
        <w:pStyle w:val="NoSpacing"/>
        <w:spacing w:line="360" w:lineRule="auto"/>
      </w:pPr>
    </w:p>
    <w:p w14:paraId="19C6CDBD" w14:textId="63B7539B" w:rsidR="00582C52" w:rsidRPr="00EC0229" w:rsidRDefault="00582C52" w:rsidP="007600EA">
      <w:pPr>
        <w:pStyle w:val="NoSpacing"/>
        <w:spacing w:line="360" w:lineRule="auto"/>
      </w:pPr>
      <w:r w:rsidRPr="00EC0229">
        <w:lastRenderedPageBreak/>
        <w:t>In respect of Northumberland, Loveluck suggests that large enclosures may show that livestock as opposed to luxuries were ‘a medium of expressing wealth and rank’.</w:t>
      </w:r>
      <w:r w:rsidRPr="00EC0229">
        <w:rPr>
          <w:rStyle w:val="FootnoteReference"/>
        </w:rPr>
        <w:footnoteReference w:id="1177"/>
      </w:r>
      <w:r w:rsidR="00EE5E79" w:rsidRPr="00EC0229">
        <w:t xml:space="preserve"> The implication here is that use of commodity money, livestock, obviated coinage.</w:t>
      </w:r>
    </w:p>
    <w:p w14:paraId="7ACF9084" w14:textId="77777777" w:rsidR="00582C52" w:rsidRPr="00EC0229" w:rsidRDefault="00582C52" w:rsidP="007600EA">
      <w:pPr>
        <w:pStyle w:val="NoSpacing"/>
        <w:spacing w:line="360" w:lineRule="auto"/>
      </w:pPr>
    </w:p>
    <w:p w14:paraId="07E81563" w14:textId="034200C9" w:rsidR="00582C52" w:rsidRPr="00624DF5" w:rsidRDefault="00582C52" w:rsidP="00770D99">
      <w:pPr>
        <w:pStyle w:val="Heading4"/>
        <w:spacing w:line="360" w:lineRule="auto"/>
        <w:rPr>
          <w:b/>
        </w:rPr>
      </w:pPr>
      <w:bookmarkStart w:id="874" w:name="Bamburgh"/>
      <w:bookmarkStart w:id="875" w:name="_Toc468266936"/>
      <w:bookmarkEnd w:id="874"/>
      <w:r w:rsidRPr="00624DF5">
        <w:rPr>
          <w:b/>
        </w:rPr>
        <w:t>Bamburgh</w:t>
      </w:r>
      <w:bookmarkEnd w:id="875"/>
      <w:r w:rsidR="006B1593" w:rsidRPr="00624DF5">
        <w:rPr>
          <w:b/>
        </w:rPr>
        <w:fldChar w:fldCharType="begin"/>
      </w:r>
      <w:r w:rsidR="006B1593" w:rsidRPr="00624DF5">
        <w:rPr>
          <w:b/>
        </w:rPr>
        <w:instrText xml:space="preserve"> XE "</w:instrText>
      </w:r>
      <w:r w:rsidR="006B1593" w:rsidRPr="00624DF5">
        <w:rPr>
          <w:rStyle w:val="Hyperlink"/>
          <w:b/>
          <w:noProof/>
          <w:u w:val="none"/>
        </w:rPr>
        <w:instrText>Bamburgh</w:instrText>
      </w:r>
      <w:r w:rsidR="006B1593" w:rsidRPr="00624DF5">
        <w:rPr>
          <w:b/>
        </w:rPr>
        <w:instrText xml:space="preserve">" </w:instrText>
      </w:r>
      <w:r w:rsidR="006B1593" w:rsidRPr="00624DF5">
        <w:rPr>
          <w:b/>
        </w:rPr>
        <w:fldChar w:fldCharType="end"/>
      </w:r>
    </w:p>
    <w:p w14:paraId="6D892D23" w14:textId="3802A521" w:rsidR="00582C52" w:rsidRPr="00EC0229" w:rsidRDefault="00582C52" w:rsidP="007600EA">
      <w:pPr>
        <w:pStyle w:val="NoSpacing"/>
        <w:spacing w:line="360" w:lineRule="auto"/>
        <w:rPr>
          <w:color w:val="0000FF"/>
        </w:rPr>
      </w:pPr>
      <w:r w:rsidRPr="00EC0229">
        <w:rPr>
          <w:i/>
          <w:iCs/>
        </w:rPr>
        <w:t>Din Guardi</w:t>
      </w:r>
      <w:r w:rsidRPr="00EC0229">
        <w:t>, ancient capital of the Brythonic kingdom of Brynaich, was taken by Anglian</w:t>
      </w:r>
      <w:r w:rsidR="00D142DC" w:rsidRPr="00EC0229">
        <w:fldChar w:fldCharType="begin"/>
      </w:r>
      <w:r w:rsidR="00D142DC" w:rsidRPr="00EC0229">
        <w:instrText xml:space="preserve"> XE "Anglian" </w:instrText>
      </w:r>
      <w:r w:rsidR="00D142DC" w:rsidRPr="00EC0229">
        <w:fldChar w:fldCharType="end"/>
      </w:r>
      <w:r w:rsidRPr="00EC0229">
        <w:t xml:space="preserve"> forces, led by Ida, around 547</w:t>
      </w:r>
      <w:r w:rsidR="003847EB" w:rsidRPr="00EC0229">
        <w:t xml:space="preserve"> (</w:t>
      </w:r>
      <w:r w:rsidR="003847EB" w:rsidRPr="00EC0229">
        <w:fldChar w:fldCharType="begin"/>
      </w:r>
      <w:r w:rsidR="003847EB" w:rsidRPr="00EC0229">
        <w:instrText xml:space="preserve"> PAGEREF Idings \h </w:instrText>
      </w:r>
      <w:r w:rsidR="003847EB" w:rsidRPr="00EC0229">
        <w:fldChar w:fldCharType="separate"/>
      </w:r>
      <w:r w:rsidR="0012026B">
        <w:rPr>
          <w:noProof/>
        </w:rPr>
        <w:t>86</w:t>
      </w:r>
      <w:r w:rsidR="003847EB" w:rsidRPr="00EC0229">
        <w:fldChar w:fldCharType="end"/>
      </w:r>
      <w:r w:rsidR="003847EB" w:rsidRPr="00EC0229">
        <w:t>)</w:t>
      </w:r>
      <w:r w:rsidRPr="00EC0229">
        <w:t xml:space="preserve">. As </w:t>
      </w:r>
      <w:r w:rsidRPr="00EC0229">
        <w:rPr>
          <w:bCs/>
        </w:rPr>
        <w:t xml:space="preserve">Bebbanburgh, renamed for </w:t>
      </w:r>
      <w:r w:rsidRPr="00EC0229">
        <w:rPr>
          <w:rFonts w:cs="Times New Roman"/>
          <w:bCs/>
        </w:rPr>
        <w:t>Æ</w:t>
      </w:r>
      <w:r w:rsidRPr="00EC0229">
        <w:rPr>
          <w:bCs/>
        </w:rPr>
        <w:t>thelfrith’s wife Bebba, it was the capital of Bernicia</w:t>
      </w:r>
      <w:r w:rsidR="006B1593" w:rsidRPr="00EC0229">
        <w:rPr>
          <w:bCs/>
        </w:rPr>
        <w:fldChar w:fldCharType="begin"/>
      </w:r>
      <w:r w:rsidR="006B1593" w:rsidRPr="00EC0229">
        <w:instrText xml:space="preserve"> XE "</w:instrText>
      </w:r>
      <w:r w:rsidR="006B1593" w:rsidRPr="00EC0229">
        <w:rPr>
          <w:rStyle w:val="Hyperlink"/>
          <w:rFonts w:cs="Times New Roman"/>
          <w:noProof/>
          <w:u w:val="none"/>
        </w:rPr>
        <w:instrText>Bernicia</w:instrText>
      </w:r>
      <w:r w:rsidR="006B1593" w:rsidRPr="00EC0229">
        <w:instrText xml:space="preserve">" </w:instrText>
      </w:r>
      <w:r w:rsidR="006B1593" w:rsidRPr="00EC0229">
        <w:rPr>
          <w:bCs/>
        </w:rPr>
        <w:fldChar w:fldCharType="end"/>
      </w:r>
      <w:r w:rsidRPr="00EC0229">
        <w:rPr>
          <w:bCs/>
        </w:rPr>
        <w:t>, which was merged with Deira</w:t>
      </w:r>
      <w:r w:rsidR="00D142DC" w:rsidRPr="00EC0229">
        <w:rPr>
          <w:bCs/>
        </w:rPr>
        <w:fldChar w:fldCharType="begin"/>
      </w:r>
      <w:r w:rsidR="00D142DC" w:rsidRPr="00EC0229">
        <w:instrText xml:space="preserve"> XE "Deira" </w:instrText>
      </w:r>
      <w:r w:rsidR="00D142DC" w:rsidRPr="00EC0229">
        <w:rPr>
          <w:bCs/>
        </w:rPr>
        <w:fldChar w:fldCharType="end"/>
      </w:r>
      <w:r w:rsidRPr="00EC0229">
        <w:rPr>
          <w:bCs/>
        </w:rPr>
        <w:t xml:space="preserve"> in 634, to form Northumbria</w:t>
      </w:r>
      <w:r w:rsidR="00584C42" w:rsidRPr="00EC0229">
        <w:rPr>
          <w:bCs/>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bCs/>
        </w:rPr>
        <w:fldChar w:fldCharType="end"/>
      </w:r>
      <w:r w:rsidRPr="00EC0229">
        <w:rPr>
          <w:bCs/>
        </w:rPr>
        <w:t xml:space="preserve"> with its capital at York</w:t>
      </w:r>
      <w:r w:rsidR="006B1593" w:rsidRPr="00EC0229">
        <w:rPr>
          <w:bCs/>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bCs/>
        </w:rPr>
        <w:fldChar w:fldCharType="end"/>
      </w:r>
      <w:r w:rsidRPr="00EC0229">
        <w:rPr>
          <w:bCs/>
        </w:rPr>
        <w:t>.</w:t>
      </w:r>
      <w:r w:rsidR="00C646F2" w:rsidRPr="00EC0229">
        <w:rPr>
          <w:rStyle w:val="FootnoteReference"/>
          <w:bCs/>
        </w:rPr>
        <w:footnoteReference w:id="1178"/>
      </w:r>
      <w:r w:rsidRPr="00EC0229">
        <w:rPr>
          <w:bCs/>
        </w:rPr>
        <w:t xml:space="preserve"> Bamburgh</w:t>
      </w:r>
      <w:r w:rsidR="006B1593" w:rsidRPr="00EC0229">
        <w:rPr>
          <w:bCs/>
        </w:rPr>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rPr>
          <w:bCs/>
        </w:rPr>
        <w:fldChar w:fldCharType="end"/>
      </w:r>
      <w:r w:rsidRPr="00EC0229">
        <w:rPr>
          <w:bCs/>
        </w:rPr>
        <w:t xml:space="preserve"> regained some importance when York fell to the Vikings in 867. The ancient royal Bamburgh Castle occupies a well defended dolerite coastal prominence.</w:t>
      </w:r>
      <w:r w:rsidR="00B00F8A" w:rsidRPr="00EC0229">
        <w:rPr>
          <w:rStyle w:val="FootnoteReference"/>
          <w:bCs/>
        </w:rPr>
        <w:footnoteReference w:id="1179"/>
      </w:r>
    </w:p>
    <w:p w14:paraId="42957E11" w14:textId="77777777" w:rsidR="00582C52" w:rsidRPr="00EC0229" w:rsidRDefault="00582C52" w:rsidP="007600EA">
      <w:pPr>
        <w:pStyle w:val="NoSpacing"/>
        <w:spacing w:line="360" w:lineRule="auto"/>
        <w:rPr>
          <w:bCs/>
        </w:rPr>
      </w:pPr>
    </w:p>
    <w:p w14:paraId="7C1230CF" w14:textId="788E2529" w:rsidR="00582C52" w:rsidRPr="00EC0229" w:rsidRDefault="00582C52" w:rsidP="007600EA">
      <w:pPr>
        <w:pStyle w:val="NoSpacing"/>
        <w:spacing w:line="360" w:lineRule="auto"/>
        <w:rPr>
          <w:bCs/>
        </w:rPr>
      </w:pPr>
      <w:r w:rsidRPr="00EC0229">
        <w:rPr>
          <w:bCs/>
        </w:rPr>
        <w:t>Were one to judge from the material in EMC</w:t>
      </w:r>
      <w:r w:rsidR="008960AE" w:rsidRPr="00EC0229">
        <w:rPr>
          <w:bCs/>
        </w:rPr>
        <w:fldChar w:fldCharType="begin"/>
      </w:r>
      <w:r w:rsidR="008960AE" w:rsidRPr="00EC0229">
        <w:instrText xml:space="preserve"> XE "EMC" </w:instrText>
      </w:r>
      <w:r w:rsidR="008960AE" w:rsidRPr="00EC0229">
        <w:rPr>
          <w:bCs/>
        </w:rPr>
        <w:fldChar w:fldCharType="end"/>
      </w:r>
      <w:r w:rsidRPr="00EC0229">
        <w:rPr>
          <w:bCs/>
        </w:rPr>
        <w:t>, consisting of the sixt</w:t>
      </w:r>
      <w:r w:rsidR="003272C7" w:rsidRPr="00EC0229">
        <w:rPr>
          <w:bCs/>
        </w:rPr>
        <w:t xml:space="preserve">y-seven single finds from </w:t>
      </w:r>
      <w:r w:rsidRPr="00EC0229">
        <w:rPr>
          <w:bCs/>
        </w:rPr>
        <w:t xml:space="preserve">Hope-Taylor’s excavations of 1960-1 </w:t>
      </w:r>
      <w:r w:rsidR="00862F15" w:rsidRPr="00EC0229">
        <w:rPr>
          <w:bCs/>
        </w:rPr>
        <w:t>and</w:t>
      </w:r>
      <w:r w:rsidRPr="00EC0229">
        <w:rPr>
          <w:bCs/>
        </w:rPr>
        <w:t xml:space="preserve"> 1970-4 and a few stray finds since, one would form the opinion that the seventy-two well-used coins recovered from this site comprise an undistinguished group balanced between brass (thirty-five)</w:t>
      </w:r>
      <w:r w:rsidR="00394ED0" w:rsidRPr="00EC0229">
        <w:rPr>
          <w:bCs/>
        </w:rPr>
        <w:t>, [N10a],</w:t>
      </w:r>
      <w:r w:rsidRPr="00EC0229">
        <w:rPr>
          <w:bCs/>
        </w:rPr>
        <w:t xml:space="preserve"> and blundered/illegible (thirty-seven</w:t>
      </w:r>
      <w:r w:rsidR="00394ED0" w:rsidRPr="00EC0229">
        <w:rPr>
          <w:bCs/>
        </w:rPr>
        <w:t xml:space="preserve">), [N10c], stycas </w:t>
      </w:r>
      <w:r w:rsidRPr="00EC0229">
        <w:rPr>
          <w:bCs/>
        </w:rPr>
        <w:t>separated by a single bronze specimen of Wulfhere</w:t>
      </w:r>
      <w:r w:rsidR="00D142DC" w:rsidRPr="00EC0229">
        <w:rPr>
          <w:bCs/>
        </w:rPr>
        <w:fldChar w:fldCharType="begin"/>
      </w:r>
      <w:r w:rsidR="00D142DC" w:rsidRPr="00EC0229">
        <w:instrText xml:space="preserve"> XE "Wulfhere" </w:instrText>
      </w:r>
      <w:r w:rsidR="00D142DC" w:rsidRPr="00EC0229">
        <w:rPr>
          <w:bCs/>
        </w:rPr>
        <w:fldChar w:fldCharType="end"/>
      </w:r>
      <w:r w:rsidRPr="00EC0229">
        <w:rPr>
          <w:bCs/>
        </w:rPr>
        <w:t xml:space="preserve"> (N10b). </w:t>
      </w:r>
      <w:r w:rsidR="00BD7E97" w:rsidRPr="00EC0229">
        <w:rPr>
          <w:bCs/>
        </w:rPr>
        <w:t>The silver-alloy</w:t>
      </w:r>
      <w:r w:rsidRPr="00EC0229">
        <w:rPr>
          <w:bCs/>
        </w:rPr>
        <w:t xml:space="preserve"> coins of Eanred</w:t>
      </w:r>
      <w:r w:rsidR="00D142DC" w:rsidRPr="00EC0229">
        <w:rPr>
          <w:bCs/>
        </w:rPr>
        <w:fldChar w:fldCharType="begin"/>
      </w:r>
      <w:r w:rsidR="00D142DC" w:rsidRPr="00EC0229">
        <w:instrText xml:space="preserve"> XE "Eanred" </w:instrText>
      </w:r>
      <w:r w:rsidR="00D142DC" w:rsidRPr="00EC0229">
        <w:rPr>
          <w:bCs/>
        </w:rPr>
        <w:fldChar w:fldCharType="end"/>
      </w:r>
      <w:r w:rsidRPr="00EC0229">
        <w:rPr>
          <w:bCs/>
        </w:rPr>
        <w:t xml:space="preserve"> and Eanbald</w:t>
      </w:r>
      <w:r w:rsidR="00D142DC" w:rsidRPr="00EC0229">
        <w:rPr>
          <w:bCs/>
        </w:rPr>
        <w:fldChar w:fldCharType="begin"/>
      </w:r>
      <w:r w:rsidR="00D142DC" w:rsidRPr="00EC0229">
        <w:instrText xml:space="preserve"> XE "Eanbald" </w:instrText>
      </w:r>
      <w:r w:rsidR="00D142DC" w:rsidRPr="00EC0229">
        <w:rPr>
          <w:bCs/>
        </w:rPr>
        <w:fldChar w:fldCharType="end"/>
      </w:r>
      <w:r w:rsidRPr="00EC0229">
        <w:rPr>
          <w:bCs/>
        </w:rPr>
        <w:t xml:space="preserve"> II, the brass stycas of Redwulf and the bronze of Osberht</w:t>
      </w:r>
      <w:r w:rsidR="00D142DC" w:rsidRPr="00EC0229">
        <w:rPr>
          <w:bCs/>
        </w:rPr>
        <w:fldChar w:fldCharType="begin"/>
      </w:r>
      <w:r w:rsidR="00D142DC" w:rsidRPr="00EC0229">
        <w:instrText xml:space="preserve"> XE "Osberht" </w:instrText>
      </w:r>
      <w:r w:rsidR="00D142DC" w:rsidRPr="00EC0229">
        <w:rPr>
          <w:bCs/>
        </w:rPr>
        <w:fldChar w:fldCharType="end"/>
      </w:r>
      <w:r w:rsidRPr="00EC0229">
        <w:rPr>
          <w:bCs/>
        </w:rPr>
        <w:t>, are not represented. In summary, this modest and unexceptional accumulation of finds shows activity restricted to perhaps only twenty or so years before, say, the mid 850s.</w:t>
      </w:r>
      <w:r w:rsidR="00CD3327">
        <w:rPr>
          <w:rStyle w:val="FootnoteReference"/>
          <w:bCs/>
        </w:rPr>
        <w:footnoteReference w:id="1180"/>
      </w:r>
      <w:r w:rsidRPr="00EC0229">
        <w:rPr>
          <w:bCs/>
        </w:rPr>
        <w:t xml:space="preserve"> There is no case for Bamburgh</w:t>
      </w:r>
      <w:r w:rsidR="006B1593" w:rsidRPr="00EC0229">
        <w:rPr>
          <w:bCs/>
        </w:rPr>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rPr>
          <w:bCs/>
        </w:rPr>
        <w:fldChar w:fldCharType="end"/>
      </w:r>
      <w:r w:rsidRPr="00EC0229">
        <w:rPr>
          <w:bCs/>
        </w:rPr>
        <w:t xml:space="preserve"> as a mint and little sign of commercial,</w:t>
      </w:r>
      <w:r w:rsidRPr="00EC0229">
        <w:rPr>
          <w:rStyle w:val="FootnoteReference"/>
          <w:bCs/>
        </w:rPr>
        <w:footnoteReference w:id="1181"/>
      </w:r>
      <w:r w:rsidRPr="00EC0229">
        <w:rPr>
          <w:bCs/>
        </w:rPr>
        <w:t xml:space="preserve"> ecclesiastical or even royal endeavour. However, when the hoard of 312 coins subsequently found by local metal-detectorists is assessed,</w:t>
      </w:r>
      <w:r w:rsidRPr="00EC0229">
        <w:rPr>
          <w:rStyle w:val="FootnoteReference"/>
          <w:bCs/>
        </w:rPr>
        <w:footnoteReference w:id="1182"/>
      </w:r>
      <w:r w:rsidRPr="00EC0229">
        <w:rPr>
          <w:bCs/>
        </w:rPr>
        <w:t xml:space="preserve"> does a different picture emerge? </w:t>
      </w:r>
    </w:p>
    <w:p w14:paraId="60E75ED9" w14:textId="77777777" w:rsidR="00582C52" w:rsidRPr="00EC0229" w:rsidRDefault="00582C52" w:rsidP="007600EA">
      <w:pPr>
        <w:pStyle w:val="NoSpacing"/>
        <w:spacing w:line="360" w:lineRule="auto"/>
      </w:pPr>
    </w:p>
    <w:p w14:paraId="272E892B" w14:textId="436A3F5B" w:rsidR="00582C52" w:rsidRPr="00EC0229" w:rsidRDefault="00582C52" w:rsidP="007600EA">
      <w:pPr>
        <w:pStyle w:val="NoSpacing"/>
        <w:spacing w:line="360" w:lineRule="auto"/>
      </w:pPr>
      <w:r w:rsidRPr="00EC0229">
        <w:rPr>
          <w:szCs w:val="24"/>
        </w:rPr>
        <w:t xml:space="preserve">As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367541" w:rsidRPr="00EC0229">
        <w:rPr>
          <w:i/>
          <w:szCs w:val="24"/>
        </w:rPr>
        <w:t>8</w:t>
      </w:r>
      <w:r w:rsidR="0009732D" w:rsidRPr="00EC0229">
        <w:rPr>
          <w:i/>
          <w:szCs w:val="24"/>
        </w:rPr>
        <w:t>.</w:t>
      </w:r>
      <w:r w:rsidR="00A26538" w:rsidRPr="00EC0229">
        <w:rPr>
          <w:i/>
          <w:szCs w:val="24"/>
        </w:rPr>
        <w:t>41</w:t>
      </w:r>
      <w:r w:rsidRPr="00EC0229">
        <w:t xml:space="preserve"> shows the chronology is confirmed rather than widened by this new material, which is again well used; a sole representative of Eanred</w:t>
      </w:r>
      <w:r w:rsidR="00D142DC" w:rsidRPr="00EC0229">
        <w:fldChar w:fldCharType="begin"/>
      </w:r>
      <w:r w:rsidR="00D142DC" w:rsidRPr="00EC0229">
        <w:instrText xml:space="preserve"> XE "Eanred" </w:instrText>
      </w:r>
      <w:r w:rsidR="00D142DC" w:rsidRPr="00EC0229">
        <w:fldChar w:fldCharType="end"/>
      </w:r>
      <w:r w:rsidRPr="00EC0229">
        <w:t>’s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Pr="00EC0229">
        <w:t xml:space="preserve"> coinage cannot be taken as diagnostic, though the presence of more bronze stycas corroborates deposition relatively early in the reign of Osberht</w:t>
      </w:r>
      <w:r w:rsidR="00D142DC" w:rsidRPr="00EC0229">
        <w:fldChar w:fldCharType="begin"/>
      </w:r>
      <w:r w:rsidR="00D142DC" w:rsidRPr="00EC0229">
        <w:instrText xml:space="preserve"> XE "Osberht" </w:instrText>
      </w:r>
      <w:r w:rsidR="00D142DC" w:rsidRPr="00EC0229">
        <w:fldChar w:fldCharType="end"/>
      </w:r>
      <w:r w:rsidRPr="00EC0229">
        <w:t xml:space="preserve">. A single specimen of Redwulf has no bearing on the date of </w:t>
      </w:r>
      <w:r w:rsidRPr="00EC0229">
        <w:lastRenderedPageBreak/>
        <w:t>deposition or site use. The higher than normal proportion of unidentifiable coins may merely reflect corrosive soil conditions. Pirie</w:t>
      </w:r>
      <w:r w:rsidR="00716433" w:rsidRPr="00EC0229">
        <w:fldChar w:fldCharType="begin"/>
      </w:r>
      <w:r w:rsidR="00716433" w:rsidRPr="00EC0229">
        <w:instrText xml:space="preserve"> XE "Pirie" </w:instrText>
      </w:r>
      <w:r w:rsidR="00716433" w:rsidRPr="00EC0229">
        <w:fldChar w:fldCharType="end"/>
      </w:r>
      <w:r w:rsidRPr="00EC0229">
        <w:t xml:space="preserve"> noted that </w:t>
      </w:r>
      <w:r w:rsidR="00BF6095">
        <w:t>several</w:t>
      </w:r>
      <w:r w:rsidRPr="00EC0229">
        <w:t xml:space="preserve"> other sites exhibit early evidence of cessation – Wearmouth, Jarrow, Newcastle Black Gate,</w:t>
      </w:r>
      <w:r w:rsidR="00CD3327">
        <w:rPr>
          <w:rStyle w:val="FootnoteReference"/>
        </w:rPr>
        <w:footnoteReference w:id="1183"/>
      </w:r>
      <w:r w:rsidRPr="00EC0229">
        <w:t xml:space="preserve"> Lindisfarne</w:t>
      </w:r>
      <w:r w:rsidR="006B1593" w:rsidRPr="00EC0229">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fldChar w:fldCharType="end"/>
      </w:r>
      <w:r w:rsidRPr="00EC0229">
        <w:t>, Dunbar and Aberlady.</w:t>
      </w:r>
      <w:r w:rsidRPr="00EC0229">
        <w:rPr>
          <w:rStyle w:val="FootnoteReference"/>
        </w:rPr>
        <w:footnoteReference w:id="1184"/>
      </w:r>
      <w:r w:rsidRPr="00EC0229">
        <w:t xml:space="preserve"> It could well be that all suffered related insecurity.</w:t>
      </w:r>
    </w:p>
    <w:p w14:paraId="3F510466" w14:textId="77777777" w:rsidR="00582C52" w:rsidRPr="00EC0229" w:rsidRDefault="00582C52" w:rsidP="007600EA">
      <w:pPr>
        <w:pStyle w:val="NoSpacing"/>
        <w:spacing w:line="360" w:lineRule="auto"/>
        <w:jc w:val="center"/>
      </w:pPr>
      <w:r w:rsidRPr="00EC0229">
        <w:rPr>
          <w:noProof/>
          <w:lang w:eastAsia="en-GB"/>
        </w:rPr>
        <w:drawing>
          <wp:inline distT="0" distB="0" distL="0" distR="0" wp14:anchorId="7414370D" wp14:editId="4690E4B5">
            <wp:extent cx="2075688" cy="1005840"/>
            <wp:effectExtent l="0" t="0" r="1270" b="381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mburgh  - Eanred-Wulfheard.jpg"/>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2075688" cy="1005840"/>
                    </a:xfrm>
                    <a:prstGeom prst="rect">
                      <a:avLst/>
                    </a:prstGeom>
                  </pic:spPr>
                </pic:pic>
              </a:graphicData>
            </a:graphic>
          </wp:inline>
        </w:drawing>
      </w:r>
    </w:p>
    <w:p w14:paraId="61A72B8A" w14:textId="1F36C468" w:rsidR="00941A45" w:rsidRDefault="003977B6" w:rsidP="007600EA">
      <w:pPr>
        <w:spacing w:line="360" w:lineRule="auto"/>
        <w:jc w:val="center"/>
        <w:rPr>
          <w:sz w:val="20"/>
          <w:szCs w:val="20"/>
        </w:rPr>
      </w:pPr>
      <w:bookmarkStart w:id="876" w:name="_Ref430249429"/>
      <w:bookmarkStart w:id="877" w:name="_Toc468267130"/>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158</w:t>
      </w:r>
      <w:r w:rsidR="00B609E3" w:rsidRPr="00EC0229">
        <w:rPr>
          <w:noProof/>
          <w:sz w:val="20"/>
          <w:szCs w:val="20"/>
        </w:rPr>
        <w:fldChar w:fldCharType="end"/>
      </w:r>
      <w:bookmarkEnd w:id="876"/>
      <w:r w:rsidR="00EE192A" w:rsidRPr="00EC0229">
        <w:rPr>
          <w:sz w:val="20"/>
          <w:szCs w:val="20"/>
        </w:rPr>
        <w:t xml:space="preserve">: </w:t>
      </w:r>
      <w:r w:rsidR="00582C52" w:rsidRPr="00EC0229">
        <w:rPr>
          <w:sz w:val="20"/>
          <w:szCs w:val="20"/>
        </w:rPr>
        <w:t>Bamburgh</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Bamburgh</w:instrText>
      </w:r>
      <w:r w:rsidR="006B1593" w:rsidRPr="00EC0229">
        <w:rPr>
          <w:sz w:val="20"/>
          <w:szCs w:val="20"/>
        </w:rPr>
        <w:instrText xml:space="preserve">" </w:instrText>
      </w:r>
      <w:r w:rsidR="006B1593" w:rsidRPr="00EC0229">
        <w:rPr>
          <w:sz w:val="20"/>
          <w:szCs w:val="20"/>
        </w:rPr>
        <w:fldChar w:fldCharType="end"/>
      </w:r>
      <w:r w:rsidR="00582C52" w:rsidRPr="00EC0229">
        <w:rPr>
          <w:sz w:val="20"/>
          <w:szCs w:val="20"/>
        </w:rPr>
        <w:t>: silver-alloy</w:t>
      </w:r>
      <w:r w:rsidR="008960AE" w:rsidRPr="00EC0229">
        <w:rPr>
          <w:sz w:val="20"/>
          <w:szCs w:val="20"/>
        </w:rPr>
        <w:fldChar w:fldCharType="begin"/>
      </w:r>
      <w:r w:rsidR="008960AE" w:rsidRPr="00EC0229">
        <w:rPr>
          <w:sz w:val="20"/>
          <w:szCs w:val="20"/>
        </w:rPr>
        <w:instrText xml:space="preserve"> XE "</w:instrText>
      </w:r>
      <w:r w:rsidR="008960AE" w:rsidRPr="00EC0229">
        <w:rPr>
          <w:rFonts w:eastAsia="Times New Roman" w:cs="Times New Roman"/>
          <w:sz w:val="20"/>
          <w:szCs w:val="20"/>
          <w:lang w:eastAsia="en-GB"/>
        </w:rPr>
        <w:instrText>silver-alloy</w:instrText>
      </w:r>
      <w:r w:rsidR="008960AE" w:rsidRPr="00EC0229">
        <w:rPr>
          <w:sz w:val="20"/>
          <w:szCs w:val="20"/>
        </w:rPr>
        <w:instrText xml:space="preserve">" </w:instrText>
      </w:r>
      <w:r w:rsidR="008960AE" w:rsidRPr="00EC0229">
        <w:rPr>
          <w:sz w:val="20"/>
          <w:szCs w:val="20"/>
        </w:rPr>
        <w:fldChar w:fldCharType="end"/>
      </w:r>
      <w:r w:rsidR="00582C52" w:rsidRPr="00EC0229">
        <w:rPr>
          <w:sz w:val="20"/>
          <w:szCs w:val="20"/>
        </w:rPr>
        <w:t xml:space="preserve"> coin of Eanred</w:t>
      </w:r>
      <w:r w:rsidR="00D142DC" w:rsidRPr="00EC0229">
        <w:rPr>
          <w:sz w:val="20"/>
          <w:szCs w:val="20"/>
        </w:rPr>
        <w:fldChar w:fldCharType="begin"/>
      </w:r>
      <w:r w:rsidR="00D142DC" w:rsidRPr="00EC0229">
        <w:rPr>
          <w:sz w:val="20"/>
          <w:szCs w:val="20"/>
        </w:rPr>
        <w:instrText xml:space="preserve"> XE "Eanred" </w:instrText>
      </w:r>
      <w:r w:rsidR="00D142DC" w:rsidRPr="00EC0229">
        <w:rPr>
          <w:sz w:val="20"/>
          <w:szCs w:val="20"/>
        </w:rPr>
        <w:fldChar w:fldCharType="end"/>
      </w:r>
      <w:r w:rsidR="00941A45">
        <w:rPr>
          <w:sz w:val="20"/>
          <w:szCs w:val="20"/>
        </w:rPr>
        <w:t xml:space="preserve"> by Wulfheard</w:t>
      </w:r>
      <w:bookmarkEnd w:id="877"/>
    </w:p>
    <w:p w14:paraId="2222855D" w14:textId="2822FF41" w:rsidR="00582C52" w:rsidRPr="00EC0229" w:rsidRDefault="00582C52" w:rsidP="007600EA">
      <w:pPr>
        <w:spacing w:line="360" w:lineRule="auto"/>
        <w:jc w:val="center"/>
        <w:rPr>
          <w:sz w:val="20"/>
          <w:szCs w:val="20"/>
        </w:rPr>
      </w:pPr>
      <w:r w:rsidRPr="00EC0229">
        <w:rPr>
          <w:sz w:val="20"/>
          <w:szCs w:val="20"/>
        </w:rPr>
        <w:t>(Pirie</w:t>
      </w:r>
      <w:r w:rsidR="00716433" w:rsidRPr="00EC0229">
        <w:rPr>
          <w:sz w:val="20"/>
          <w:szCs w:val="20"/>
        </w:rPr>
        <w:fldChar w:fldCharType="begin"/>
      </w:r>
      <w:r w:rsidR="00716433" w:rsidRPr="00EC0229">
        <w:rPr>
          <w:sz w:val="20"/>
          <w:szCs w:val="20"/>
        </w:rPr>
        <w:instrText xml:space="preserve"> XE "Pirie" </w:instrText>
      </w:r>
      <w:r w:rsidR="00716433" w:rsidRPr="00EC0229">
        <w:rPr>
          <w:sz w:val="20"/>
          <w:szCs w:val="20"/>
        </w:rPr>
        <w:fldChar w:fldCharType="end"/>
      </w:r>
      <w:r w:rsidRPr="00EC0229">
        <w:rPr>
          <w:sz w:val="20"/>
          <w:szCs w:val="20"/>
        </w:rPr>
        <w:t>, 2004, A1)</w:t>
      </w:r>
    </w:p>
    <w:p w14:paraId="6DE24D42" w14:textId="131473F7" w:rsidR="00582C52" w:rsidRPr="00EC0229" w:rsidRDefault="00582C52" w:rsidP="007600EA">
      <w:pPr>
        <w:pStyle w:val="NoSpacing"/>
        <w:spacing w:line="360" w:lineRule="auto"/>
      </w:pPr>
      <w:r w:rsidRPr="00EC0229">
        <w:t>Recent archaeology has unearthed a further hoard of seventy-seven fused and corroded stycas with residues of both vegetable fibres and textiles.</w:t>
      </w:r>
      <w:r w:rsidRPr="00EC0229">
        <w:rPr>
          <w:rStyle w:val="FootnoteReference"/>
        </w:rPr>
        <w:footnoteReference w:id="1185"/>
      </w:r>
      <w:r w:rsidRPr="00EC0229">
        <w:t xml:space="preserve"> Only around forty of the coins have been identified, the others being blundered or uncertain.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 xml:space="preserve"> II (twenty-six)</w:t>
      </w:r>
      <w:r w:rsidR="00394ED0" w:rsidRPr="00EC0229">
        <w:t>, [N10a]</w:t>
      </w:r>
      <w:r w:rsidRPr="00EC0229">
        <w:t xml:space="preserve"> predominates with seven coins attributable to each of Eanred</w:t>
      </w:r>
      <w:r w:rsidR="00D142DC" w:rsidRPr="00EC0229">
        <w:fldChar w:fldCharType="begin"/>
      </w:r>
      <w:r w:rsidR="00D142DC" w:rsidRPr="00EC0229">
        <w:instrText xml:space="preserve"> XE "Eanred" </w:instrText>
      </w:r>
      <w:r w:rsidR="00D142DC" w:rsidRPr="00EC0229">
        <w:fldChar w:fldCharType="end"/>
      </w:r>
      <w:r w:rsidRPr="00EC0229">
        <w:t xml:space="preserve"> </w:t>
      </w:r>
      <w:r w:rsidR="00EE192A" w:rsidRPr="00EC0229">
        <w:t>(</w:t>
      </w:r>
      <w:r w:rsidR="009E07B9" w:rsidRPr="00EC0229">
        <w:fldChar w:fldCharType="begin"/>
      </w:r>
      <w:r w:rsidR="009E07B9" w:rsidRPr="00EC0229">
        <w:instrText xml:space="preserve"> REF _Ref430249429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158</w:t>
      </w:r>
      <w:r w:rsidR="009E07B9" w:rsidRPr="00EC0229">
        <w:fldChar w:fldCharType="end"/>
      </w:r>
      <w:r w:rsidR="00EE192A" w:rsidRPr="00EC0229">
        <w:t xml:space="preserve">) </w:t>
      </w:r>
      <w:r w:rsidRPr="00EC0229">
        <w:t>and Wigmund</w:t>
      </w:r>
      <w:r w:rsidR="00D142DC" w:rsidRPr="00EC0229">
        <w:fldChar w:fldCharType="begin"/>
      </w:r>
      <w:r w:rsidR="00D142DC" w:rsidRPr="00EC0229">
        <w:instrText xml:space="preserve"> XE "Wigmund" </w:instrText>
      </w:r>
      <w:r w:rsidR="00D142DC" w:rsidRPr="00EC0229">
        <w:fldChar w:fldCharType="end"/>
      </w:r>
      <w:r w:rsidRPr="00EC0229">
        <w:t>. There are no certain coins of Osberht</w:t>
      </w:r>
      <w:r w:rsidR="00D142DC" w:rsidRPr="00EC0229">
        <w:fldChar w:fldCharType="begin"/>
      </w:r>
      <w:r w:rsidR="00D142DC" w:rsidRPr="00EC0229">
        <w:instrText xml:space="preserve"> XE "Osberht" </w:instrText>
      </w:r>
      <w:r w:rsidR="00D142DC" w:rsidRPr="00EC0229">
        <w:fldChar w:fldCharType="end"/>
      </w:r>
      <w:r w:rsidRPr="00EC0229">
        <w:t xml:space="preserve"> or Wulfhere</w:t>
      </w:r>
      <w:r w:rsidR="00394ED0" w:rsidRPr="00EC0229">
        <w:t>, [N10b],</w:t>
      </w:r>
      <w:r w:rsidR="00D142DC" w:rsidRPr="00EC0229">
        <w:fldChar w:fldCharType="begin"/>
      </w:r>
      <w:r w:rsidR="00D142DC" w:rsidRPr="00EC0229">
        <w:instrText xml:space="preserve"> XE "Wulfhere" </w:instrText>
      </w:r>
      <w:r w:rsidR="00D142DC" w:rsidRPr="00EC0229">
        <w:fldChar w:fldCharType="end"/>
      </w:r>
      <w:r w:rsidRPr="00EC0229">
        <w:t xml:space="preserve"> suggesting a deposition date, subject to further identifications, in the 840s rather than the 850s as suggested by the Treasure Report. This neither disturbs the chronology of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367541" w:rsidRPr="00EC0229">
        <w:rPr>
          <w:i/>
        </w:rPr>
        <w:t>8</w:t>
      </w:r>
      <w:r w:rsidR="0009732D" w:rsidRPr="00EC0229">
        <w:rPr>
          <w:i/>
        </w:rPr>
        <w:t>.</w:t>
      </w:r>
      <w:r w:rsidR="00A26538" w:rsidRPr="00EC0229">
        <w:rPr>
          <w:i/>
        </w:rPr>
        <w:t>41</w:t>
      </w:r>
      <w:r w:rsidRPr="00EC0229">
        <w:rPr>
          <w:i/>
        </w:rPr>
        <w:t xml:space="preserve"> </w:t>
      </w:r>
      <w:r w:rsidRPr="00EC0229">
        <w:t xml:space="preserve">nor suggests the hoard was brought by the </w:t>
      </w:r>
      <w:r w:rsidR="00452559" w:rsidRPr="00EC0229">
        <w:rPr>
          <w:i/>
        </w:rPr>
        <w:t>micel h</w:t>
      </w:r>
      <w:r w:rsidRPr="00EC0229">
        <w:rPr>
          <w:i/>
        </w:rPr>
        <w:t>ere</w:t>
      </w:r>
      <w:r w:rsidRPr="00EC0229">
        <w:t>.</w:t>
      </w:r>
    </w:p>
    <w:p w14:paraId="1DBAC6A1" w14:textId="77777777" w:rsidR="00582C52" w:rsidRPr="00EC0229" w:rsidRDefault="00582C52" w:rsidP="007600EA">
      <w:pPr>
        <w:pStyle w:val="NoSpacing"/>
        <w:spacing w:line="360" w:lineRule="auto"/>
      </w:pPr>
    </w:p>
    <w:p w14:paraId="2162C676" w14:textId="5CBC921C" w:rsidR="00582C52" w:rsidRPr="00EC0229" w:rsidRDefault="00582C52" w:rsidP="007600EA">
      <w:pPr>
        <w:pStyle w:val="NoSpacing"/>
        <w:spacing w:line="360" w:lineRule="auto"/>
      </w:pPr>
      <w:r w:rsidRPr="00EC0229">
        <w:t>In summary, while the brief duration of the coinage at Bamburgh</w:t>
      </w:r>
      <w:r w:rsidR="006B1593" w:rsidRPr="00EC0229">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fldChar w:fldCharType="end"/>
      </w:r>
      <w:r w:rsidRPr="00EC0229">
        <w:t xml:space="preserve"> is perhaps unexpected given its royal status, it is the very ordinariness of the coinage and lack of diversity which are positive indications of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albeit brief. The absence of any type of imported </w:t>
      </w:r>
      <w:r w:rsidR="00572E51" w:rsidRPr="00EC0229">
        <w:t>Southumbria</w:t>
      </w:r>
      <w:r w:rsidRPr="00EC0229">
        <w:t>n or Continental coinage demonstrates that the site was a closely controlled military stronghold, rather than engaged in secular or religious activity. That there is a relative abundance of coinage must be viewed in the context of the high proportion (84%) of hoard coins, reinforcing the control rather than economic function of the site.</w:t>
      </w:r>
    </w:p>
    <w:p w14:paraId="65646AA4" w14:textId="77777777" w:rsidR="00582C52" w:rsidRPr="00EC0229" w:rsidRDefault="00582C52" w:rsidP="007600EA">
      <w:pPr>
        <w:pStyle w:val="NoSpacing"/>
        <w:spacing w:line="360" w:lineRule="auto"/>
      </w:pPr>
    </w:p>
    <w:p w14:paraId="585C043F" w14:textId="56D76F16" w:rsidR="00582C52" w:rsidRPr="00EC0229" w:rsidRDefault="00582C52" w:rsidP="001662EF">
      <w:pPr>
        <w:pStyle w:val="Heading3"/>
      </w:pPr>
      <w:bookmarkStart w:id="878" w:name="_Toc468266937"/>
      <w:r w:rsidRPr="00624DF5">
        <w:lastRenderedPageBreak/>
        <w:t>Conclusion</w:t>
      </w:r>
      <w:bookmarkEnd w:id="878"/>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p>
    <w:p w14:paraId="5D1BC997" w14:textId="08143177" w:rsidR="00582C52" w:rsidRPr="00EC0229" w:rsidRDefault="00582C52" w:rsidP="007600EA">
      <w:pPr>
        <w:pStyle w:val="NoSpacing"/>
        <w:spacing w:line="360" w:lineRule="auto"/>
        <w:rPr>
          <w:szCs w:val="24"/>
        </w:rPr>
      </w:pPr>
      <w:r w:rsidRPr="00EC0229">
        <w:rPr>
          <w:szCs w:val="24"/>
        </w:rPr>
        <w:t>These sites again emphasise the contrast between Bernician and Deiran locations. Bamburgh</w:t>
      </w:r>
      <w:r w:rsidR="006B1593" w:rsidRPr="00EC0229">
        <w:rPr>
          <w:szCs w:val="24"/>
        </w:rPr>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rPr>
          <w:szCs w:val="24"/>
        </w:rPr>
        <w:fldChar w:fldCharType="end"/>
      </w:r>
      <w:r w:rsidRPr="00EC0229">
        <w:rPr>
          <w:szCs w:val="24"/>
        </w:rPr>
        <w:t xml:space="preserve"> and Yeavering</w:t>
      </w:r>
      <w:r w:rsidR="006B1593" w:rsidRPr="00EC0229">
        <w:rPr>
          <w:szCs w:val="24"/>
        </w:rPr>
        <w:fldChar w:fldCharType="begin"/>
      </w:r>
      <w:r w:rsidR="006B1593" w:rsidRPr="00EC0229">
        <w:instrText xml:space="preserve"> XE "</w:instrText>
      </w:r>
      <w:r w:rsidR="006B1593" w:rsidRPr="00EC0229">
        <w:rPr>
          <w:rStyle w:val="Hyperlink"/>
          <w:noProof/>
          <w:u w:val="none"/>
        </w:rPr>
        <w:instrText>Yeavering</w:instrText>
      </w:r>
      <w:r w:rsidR="006B1593" w:rsidRPr="00EC0229">
        <w:instrText xml:space="preserve">" </w:instrText>
      </w:r>
      <w:r w:rsidR="006B1593" w:rsidRPr="00EC0229">
        <w:rPr>
          <w:szCs w:val="24"/>
        </w:rPr>
        <w:fldChar w:fldCharType="end"/>
      </w:r>
      <w:r w:rsidRPr="00EC0229">
        <w:rPr>
          <w:szCs w:val="24"/>
        </w:rPr>
        <w:t xml:space="preserve"> show that Bernician finds are largely the result of formal excavations with access to other areas inhibited, rather than the absence of stray finds being attributable to low occupancy. The Roman</w:t>
      </w:r>
      <w:r w:rsidR="00D142DC" w:rsidRPr="00EC0229">
        <w:rPr>
          <w:szCs w:val="24"/>
        </w:rPr>
        <w:fldChar w:fldCharType="begin"/>
      </w:r>
      <w:r w:rsidR="00D142DC" w:rsidRPr="00EC0229">
        <w:instrText xml:space="preserve"> XE "Roman" </w:instrText>
      </w:r>
      <w:r w:rsidR="00D142DC" w:rsidRPr="00EC0229">
        <w:rPr>
          <w:szCs w:val="24"/>
        </w:rPr>
        <w:fldChar w:fldCharType="end"/>
      </w:r>
      <w:r w:rsidRPr="00EC0229">
        <w:rPr>
          <w:szCs w:val="24"/>
        </w:rPr>
        <w:t xml:space="preserve"> finds distribution, </w:t>
      </w:r>
      <w:r w:rsidRPr="00EC0229">
        <w:rPr>
          <w:i/>
          <w:szCs w:val="24"/>
        </w:rPr>
        <w:t>Map</w:t>
      </w:r>
      <w:r w:rsidR="00584C42" w:rsidRPr="00EC0229">
        <w:rPr>
          <w:i/>
          <w:szCs w:val="24"/>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szCs w:val="24"/>
        </w:rPr>
        <w:fldChar w:fldCharType="end"/>
      </w:r>
      <w:r w:rsidRPr="00EC0229">
        <w:rPr>
          <w:i/>
          <w:szCs w:val="24"/>
        </w:rPr>
        <w:t xml:space="preserve"> </w:t>
      </w:r>
      <w:r w:rsidR="004048E5" w:rsidRPr="00EC0229">
        <w:rPr>
          <w:i/>
          <w:szCs w:val="24"/>
        </w:rPr>
        <w:t>6.01</w:t>
      </w:r>
      <w:r w:rsidRPr="00EC0229">
        <w:rPr>
          <w:szCs w:val="24"/>
        </w:rPr>
        <w:t>, confirms the paucity of finds in the north, other than along Hadrian’s Wall.</w:t>
      </w:r>
    </w:p>
    <w:p w14:paraId="0E11847E" w14:textId="77777777" w:rsidR="00582C52" w:rsidRPr="00EC0229" w:rsidRDefault="00582C52" w:rsidP="007600EA">
      <w:pPr>
        <w:pStyle w:val="NoSpacing"/>
        <w:spacing w:line="360" w:lineRule="auto"/>
        <w:rPr>
          <w:szCs w:val="24"/>
        </w:rPr>
      </w:pPr>
    </w:p>
    <w:p w14:paraId="5114990F" w14:textId="51503158" w:rsidR="00582C52" w:rsidRPr="00EC0229" w:rsidRDefault="00582C52" w:rsidP="007600EA">
      <w:pPr>
        <w:pStyle w:val="NoSpacing"/>
        <w:spacing w:line="360" w:lineRule="auto"/>
        <w:rPr>
          <w:szCs w:val="24"/>
        </w:rPr>
      </w:pPr>
      <w:r w:rsidRPr="00EC0229">
        <w:rPr>
          <w:szCs w:val="24"/>
        </w:rPr>
        <w:t>Yeavering</w:t>
      </w:r>
      <w:r w:rsidR="006B1593" w:rsidRPr="00EC0229">
        <w:rPr>
          <w:szCs w:val="24"/>
        </w:rPr>
        <w:fldChar w:fldCharType="begin"/>
      </w:r>
      <w:r w:rsidR="006B1593" w:rsidRPr="00EC0229">
        <w:instrText xml:space="preserve"> XE "</w:instrText>
      </w:r>
      <w:r w:rsidR="006B1593" w:rsidRPr="00EC0229">
        <w:rPr>
          <w:rStyle w:val="Hyperlink"/>
          <w:noProof/>
          <w:u w:val="none"/>
        </w:rPr>
        <w:instrText>Yeavering</w:instrText>
      </w:r>
      <w:r w:rsidR="006B1593" w:rsidRPr="00EC0229">
        <w:instrText xml:space="preserve">" </w:instrText>
      </w:r>
      <w:r w:rsidR="006B1593" w:rsidRPr="00EC0229">
        <w:rPr>
          <w:szCs w:val="24"/>
        </w:rPr>
        <w:fldChar w:fldCharType="end"/>
      </w:r>
      <w:r w:rsidRPr="00EC0229">
        <w:rPr>
          <w:szCs w:val="24"/>
        </w:rPr>
        <w:t>’s lack of Anglo-Saxon</w:t>
      </w:r>
      <w:r w:rsidR="00F204A1" w:rsidRPr="00EC0229">
        <w:rPr>
          <w:szCs w:val="24"/>
        </w:rPr>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rPr>
          <w:szCs w:val="24"/>
        </w:rPr>
        <w:fldChar w:fldCharType="end"/>
      </w:r>
      <w:r w:rsidRPr="00EC0229">
        <w:rPr>
          <w:szCs w:val="24"/>
        </w:rPr>
        <w:t xml:space="preserve"> coinage contrasts with Bamburgh</w:t>
      </w:r>
      <w:r w:rsidR="006B1593" w:rsidRPr="00EC0229">
        <w:rPr>
          <w:szCs w:val="24"/>
        </w:rPr>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rPr>
          <w:szCs w:val="24"/>
        </w:rPr>
        <w:fldChar w:fldCharType="end"/>
      </w:r>
      <w:r w:rsidRPr="00EC0229">
        <w:rPr>
          <w:szCs w:val="24"/>
        </w:rPr>
        <w:t>’s abundance of stycas, whereas the relatively prolific sceatta</w:t>
      </w:r>
      <w:r w:rsidR="00D142DC" w:rsidRPr="00EC0229">
        <w:rPr>
          <w:szCs w:val="24"/>
        </w:rPr>
        <w:fldChar w:fldCharType="begin"/>
      </w:r>
      <w:r w:rsidR="00D142DC" w:rsidRPr="00EC0229">
        <w:instrText xml:space="preserve"> XE "sceatta" </w:instrText>
      </w:r>
      <w:r w:rsidR="00D142DC" w:rsidRPr="00EC0229">
        <w:rPr>
          <w:szCs w:val="24"/>
        </w:rPr>
        <w:fldChar w:fldCharType="end"/>
      </w:r>
      <w:r w:rsidRPr="00EC0229">
        <w:rPr>
          <w:szCs w:val="24"/>
        </w:rPr>
        <w:t xml:space="preserve"> finds at the other royal palace, Driffield</w:t>
      </w:r>
      <w:r w:rsidR="006B1593" w:rsidRPr="00EC0229">
        <w:rPr>
          <w:szCs w:val="24"/>
        </w:rPr>
        <w:fldChar w:fldCharType="begin"/>
      </w:r>
      <w:r w:rsidR="006B1593" w:rsidRPr="00EC0229">
        <w:instrText xml:space="preserve"> XE "</w:instrText>
      </w:r>
      <w:r w:rsidR="006B1593" w:rsidRPr="00EC0229">
        <w:rPr>
          <w:rFonts w:eastAsia="Times New Roman"/>
          <w:noProof/>
          <w:lang w:eastAsia="en-GB"/>
        </w:rPr>
        <w:instrText>Driffield</w:instrText>
      </w:r>
      <w:r w:rsidR="006B1593" w:rsidRPr="00EC0229">
        <w:instrText xml:space="preserve">" </w:instrText>
      </w:r>
      <w:r w:rsidR="006B1593" w:rsidRPr="00EC0229">
        <w:rPr>
          <w:szCs w:val="24"/>
        </w:rPr>
        <w:fldChar w:fldCharType="end"/>
      </w:r>
      <w:r w:rsidRPr="00EC0229">
        <w:rPr>
          <w:szCs w:val="24"/>
        </w:rPr>
        <w:t xml:space="preserve"> </w:t>
      </w:r>
      <w:r w:rsidR="00574FA4" w:rsidRPr="00EC0229">
        <w:rPr>
          <w:szCs w:val="24"/>
        </w:rPr>
        <w:t>(</w:t>
      </w:r>
      <w:r w:rsidR="00B827E2" w:rsidRPr="00EC0229">
        <w:rPr>
          <w:szCs w:val="24"/>
        </w:rPr>
        <w:fldChar w:fldCharType="begin"/>
      </w:r>
      <w:r w:rsidR="00B827E2" w:rsidRPr="00EC0229">
        <w:rPr>
          <w:szCs w:val="24"/>
        </w:rPr>
        <w:instrText xml:space="preserve"> PAGEREF Driffield \h </w:instrText>
      </w:r>
      <w:r w:rsidR="00B827E2" w:rsidRPr="00EC0229">
        <w:rPr>
          <w:szCs w:val="24"/>
        </w:rPr>
      </w:r>
      <w:r w:rsidR="00B827E2" w:rsidRPr="00EC0229">
        <w:rPr>
          <w:szCs w:val="24"/>
        </w:rPr>
        <w:fldChar w:fldCharType="separate"/>
      </w:r>
      <w:r w:rsidR="0012026B">
        <w:rPr>
          <w:noProof/>
          <w:szCs w:val="24"/>
        </w:rPr>
        <w:t>251</w:t>
      </w:r>
      <w:r w:rsidR="00B827E2" w:rsidRPr="00EC0229">
        <w:rPr>
          <w:szCs w:val="24"/>
        </w:rPr>
        <w:fldChar w:fldCharType="end"/>
      </w:r>
      <w:r w:rsidR="00574FA4" w:rsidRPr="00EC0229">
        <w:rPr>
          <w:szCs w:val="24"/>
        </w:rPr>
        <w:t xml:space="preserve">), </w:t>
      </w:r>
      <w:r w:rsidRPr="00EC0229">
        <w:rPr>
          <w:szCs w:val="24"/>
        </w:rPr>
        <w:t>are typical for the Wolds</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rPr>
          <w:szCs w:val="24"/>
        </w:rPr>
        <w:fldChar w:fldCharType="end"/>
      </w:r>
      <w:r w:rsidR="003272C7" w:rsidRPr="00EC0229">
        <w:rPr>
          <w:szCs w:val="24"/>
        </w:rPr>
        <w:t>. Wood advocated</w:t>
      </w:r>
      <w:r w:rsidRPr="00EC0229">
        <w:rPr>
          <w:szCs w:val="24"/>
        </w:rPr>
        <w:t xml:space="preserve"> a </w:t>
      </w:r>
      <w:r w:rsidR="00A972E7" w:rsidRPr="00EC0229">
        <w:rPr>
          <w:szCs w:val="24"/>
        </w:rPr>
        <w:t>rôle</w:t>
      </w:r>
      <w:r w:rsidRPr="00EC0229">
        <w:rPr>
          <w:szCs w:val="24"/>
        </w:rPr>
        <w:t xml:space="preserve"> for the cluster of minsters in the Lower Tyne from the late seventh century,</w:t>
      </w:r>
      <w:r w:rsidRPr="00EC0229">
        <w:rPr>
          <w:rStyle w:val="FootnoteReference"/>
          <w:szCs w:val="24"/>
        </w:rPr>
        <w:footnoteReference w:id="1186"/>
      </w:r>
      <w:r w:rsidRPr="00EC0229">
        <w:rPr>
          <w:szCs w:val="24"/>
        </w:rPr>
        <w:t xml:space="preserve"> but numismatic evidence for this is absent from the coin record discussed below</w:t>
      </w:r>
      <w:r w:rsidR="004F58C0" w:rsidRPr="00EC0229">
        <w:rPr>
          <w:szCs w:val="24"/>
        </w:rPr>
        <w:t xml:space="preserve"> (</w:t>
      </w:r>
      <w:r w:rsidR="00B827E2" w:rsidRPr="00EC0229">
        <w:rPr>
          <w:szCs w:val="24"/>
        </w:rPr>
        <w:fldChar w:fldCharType="begin"/>
      </w:r>
      <w:r w:rsidR="00B827E2" w:rsidRPr="00EC0229">
        <w:rPr>
          <w:szCs w:val="24"/>
        </w:rPr>
        <w:instrText xml:space="preserve"> PAGEREF Ecclesiastical \h </w:instrText>
      </w:r>
      <w:r w:rsidR="00B827E2" w:rsidRPr="00EC0229">
        <w:rPr>
          <w:szCs w:val="24"/>
        </w:rPr>
      </w:r>
      <w:r w:rsidR="00B827E2" w:rsidRPr="00EC0229">
        <w:rPr>
          <w:szCs w:val="24"/>
        </w:rPr>
        <w:fldChar w:fldCharType="separate"/>
      </w:r>
      <w:r w:rsidR="0012026B">
        <w:rPr>
          <w:noProof/>
          <w:szCs w:val="24"/>
        </w:rPr>
        <w:t>283</w:t>
      </w:r>
      <w:r w:rsidR="00B827E2" w:rsidRPr="00EC0229">
        <w:rPr>
          <w:szCs w:val="24"/>
        </w:rPr>
        <w:fldChar w:fldCharType="end"/>
      </w:r>
      <w:r w:rsidR="004F58C0" w:rsidRPr="00EC0229">
        <w:rPr>
          <w:szCs w:val="24"/>
        </w:rPr>
        <w:t>)</w:t>
      </w:r>
      <w:r w:rsidRPr="00EC0229">
        <w:rPr>
          <w:szCs w:val="24"/>
        </w:rPr>
        <w:t>.</w:t>
      </w:r>
    </w:p>
    <w:p w14:paraId="1E40B2A3" w14:textId="77777777" w:rsidR="00582C52" w:rsidRPr="00EC0229" w:rsidRDefault="00582C52" w:rsidP="007600EA">
      <w:pPr>
        <w:pStyle w:val="NoSpacing"/>
        <w:spacing w:line="360" w:lineRule="auto"/>
        <w:rPr>
          <w:rFonts w:cs="Times New Roman"/>
        </w:rPr>
      </w:pPr>
    </w:p>
    <w:p w14:paraId="3311D70E" w14:textId="08213183" w:rsidR="00582C52" w:rsidRPr="00624DF5" w:rsidRDefault="00582C52" w:rsidP="00770D99">
      <w:pPr>
        <w:pStyle w:val="Heading4"/>
        <w:spacing w:line="360" w:lineRule="auto"/>
        <w:rPr>
          <w:b/>
        </w:rPr>
      </w:pPr>
      <w:bookmarkStart w:id="879" w:name="StreetHouse"/>
      <w:bookmarkStart w:id="880" w:name="_Toc468266938"/>
      <w:bookmarkEnd w:id="879"/>
      <w:r w:rsidRPr="00624DF5">
        <w:rPr>
          <w:b/>
        </w:rPr>
        <w:t>Street House</w:t>
      </w:r>
      <w:r w:rsidR="006B1593" w:rsidRPr="00624DF5">
        <w:rPr>
          <w:b/>
        </w:rPr>
        <w:fldChar w:fldCharType="begin"/>
      </w:r>
      <w:r w:rsidR="006B1593" w:rsidRPr="00624DF5">
        <w:rPr>
          <w:b/>
        </w:rPr>
        <w:instrText xml:space="preserve"> XE "</w:instrText>
      </w:r>
      <w:r w:rsidR="006B1593" w:rsidRPr="00624DF5">
        <w:rPr>
          <w:rStyle w:val="Hyperlink"/>
          <w:b/>
          <w:noProof/>
          <w:u w:val="none"/>
        </w:rPr>
        <w:instrText>Street House</w:instrText>
      </w:r>
      <w:r w:rsidR="006B1593" w:rsidRPr="00624DF5">
        <w:rPr>
          <w:b/>
        </w:rPr>
        <w:instrText xml:space="preserve">" </w:instrText>
      </w:r>
      <w:r w:rsidR="006B1593" w:rsidRPr="00624DF5">
        <w:rPr>
          <w:b/>
        </w:rPr>
        <w:fldChar w:fldCharType="end"/>
      </w:r>
      <w:r w:rsidRPr="00624DF5">
        <w:rPr>
          <w:b/>
        </w:rPr>
        <w:t xml:space="preserve"> Cemetery</w:t>
      </w:r>
      <w:bookmarkEnd w:id="880"/>
    </w:p>
    <w:p w14:paraId="4E7404A2" w14:textId="77777777" w:rsidR="00582C52" w:rsidRPr="00EC0229" w:rsidRDefault="00582C52" w:rsidP="007600EA">
      <w:pPr>
        <w:pStyle w:val="NoSpacing"/>
        <w:spacing w:line="360" w:lineRule="auto"/>
        <w:jc w:val="center"/>
        <w:rPr>
          <w:rFonts w:cs="Times New Roman"/>
        </w:rPr>
      </w:pPr>
      <w:r w:rsidRPr="00EC0229">
        <w:rPr>
          <w:rFonts w:cs="Times New Roman"/>
          <w:noProof/>
          <w:lang w:eastAsia="en-GB"/>
        </w:rPr>
        <w:drawing>
          <wp:inline distT="0" distB="0" distL="0" distR="0" wp14:anchorId="3FA2DEAD" wp14:editId="66457467">
            <wp:extent cx="1501140" cy="2161969"/>
            <wp:effectExtent l="0" t="0" r="381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reet House pendant.jpg"/>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1514009" cy="2180504"/>
                    </a:xfrm>
                    <a:prstGeom prst="rect">
                      <a:avLst/>
                    </a:prstGeom>
                  </pic:spPr>
                </pic:pic>
              </a:graphicData>
            </a:graphic>
          </wp:inline>
        </w:drawing>
      </w:r>
    </w:p>
    <w:p w14:paraId="53E29ECE" w14:textId="16CD8A38" w:rsidR="00582C52" w:rsidRPr="00EC0229" w:rsidRDefault="003977B6" w:rsidP="007600EA">
      <w:pPr>
        <w:spacing w:line="360" w:lineRule="auto"/>
        <w:jc w:val="center"/>
        <w:rPr>
          <w:rFonts w:cs="Times New Roman"/>
          <w:sz w:val="20"/>
          <w:szCs w:val="20"/>
        </w:rPr>
      </w:pPr>
      <w:bookmarkStart w:id="881" w:name="_Ref430249545"/>
      <w:bookmarkStart w:id="882" w:name="_Toc468267131"/>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159</w:t>
      </w:r>
      <w:r w:rsidR="00B609E3" w:rsidRPr="00EC0229">
        <w:rPr>
          <w:noProof/>
          <w:sz w:val="20"/>
          <w:szCs w:val="20"/>
        </w:rPr>
        <w:fldChar w:fldCharType="end"/>
      </w:r>
      <w:bookmarkEnd w:id="881"/>
      <w:r w:rsidR="00EE192A" w:rsidRPr="00EC0229">
        <w:rPr>
          <w:rFonts w:cs="Times New Roman"/>
          <w:sz w:val="20"/>
          <w:szCs w:val="20"/>
        </w:rPr>
        <w:t xml:space="preserve">: </w:t>
      </w:r>
      <w:r w:rsidR="00582C52" w:rsidRPr="00EC0229">
        <w:rPr>
          <w:rFonts w:cs="Times New Roman"/>
          <w:sz w:val="20"/>
          <w:szCs w:val="20"/>
        </w:rPr>
        <w:t>Street House</w:t>
      </w:r>
      <w:r w:rsidR="006B1593" w:rsidRPr="00EC0229">
        <w:rPr>
          <w:rFonts w:cs="Times New Roma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Street House</w:instrText>
      </w:r>
      <w:r w:rsidR="006B1593" w:rsidRPr="00EC0229">
        <w:rPr>
          <w:sz w:val="20"/>
          <w:szCs w:val="20"/>
        </w:rPr>
        <w:instrText xml:space="preserve">" </w:instrText>
      </w:r>
      <w:r w:rsidR="006B1593" w:rsidRPr="00EC0229">
        <w:rPr>
          <w:rFonts w:cs="Times New Roman"/>
          <w:sz w:val="20"/>
          <w:szCs w:val="20"/>
        </w:rPr>
        <w:fldChar w:fldCharType="end"/>
      </w:r>
      <w:r w:rsidR="00582C52" w:rsidRPr="00EC0229">
        <w:rPr>
          <w:rFonts w:cs="Times New Roman"/>
          <w:sz w:val="20"/>
          <w:szCs w:val="20"/>
        </w:rPr>
        <w:t>: pendant grave finds</w:t>
      </w:r>
      <w:r w:rsidR="00582C52" w:rsidRPr="00EC0229">
        <w:rPr>
          <w:rStyle w:val="FootnoteReference"/>
          <w:rFonts w:cs="Times New Roman"/>
          <w:sz w:val="20"/>
          <w:szCs w:val="20"/>
        </w:rPr>
        <w:footnoteReference w:id="1187"/>
      </w:r>
      <w:bookmarkEnd w:id="882"/>
    </w:p>
    <w:p w14:paraId="37F32A84" w14:textId="7FD78558" w:rsidR="00582C52" w:rsidRPr="00EC0229" w:rsidRDefault="00582C52" w:rsidP="007600EA">
      <w:pPr>
        <w:pStyle w:val="NoSpacing"/>
        <w:spacing w:line="360" w:lineRule="auto"/>
        <w:rPr>
          <w:rFonts w:cs="Times New Roman"/>
        </w:rPr>
      </w:pPr>
      <w:r w:rsidRPr="00EC0229">
        <w:rPr>
          <w:rFonts w:cs="Times New Roman"/>
        </w:rPr>
        <w:t xml:space="preserve">This unique, high status, square cemetery, </w:t>
      </w:r>
      <w:r w:rsidR="009F250E" w:rsidRPr="00EC0229">
        <w:rPr>
          <w:rFonts w:cs="Times New Roman"/>
        </w:rPr>
        <w:t xml:space="preserve">between Redcar and Whitby, is </w:t>
      </w:r>
      <w:r w:rsidRPr="00EC0229">
        <w:rPr>
          <w:rFonts w:cs="Times New Roman"/>
        </w:rPr>
        <w:t xml:space="preserve">rich in Kentish-influenced grave-goods </w:t>
      </w:r>
      <w:r w:rsidR="00EE192A" w:rsidRPr="00EC0229">
        <w:t>(</w:t>
      </w:r>
      <w:r w:rsidR="009E07B9" w:rsidRPr="00EC0229">
        <w:fldChar w:fldCharType="begin"/>
      </w:r>
      <w:r w:rsidR="009E07B9" w:rsidRPr="00EC0229">
        <w:instrText xml:space="preserve"> REF _Ref430249545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159</w:t>
      </w:r>
      <w:r w:rsidR="009E07B9" w:rsidRPr="00EC0229">
        <w:fldChar w:fldCharType="end"/>
      </w:r>
      <w:r w:rsidR="00EE192A" w:rsidRPr="00EC0229">
        <w:t xml:space="preserve">) </w:t>
      </w:r>
      <w:r w:rsidR="009F250E" w:rsidRPr="00EC0229">
        <w:rPr>
          <w:rFonts w:cs="Times New Roman"/>
        </w:rPr>
        <w:t>with</w:t>
      </w:r>
      <w:r w:rsidRPr="00EC0229">
        <w:rPr>
          <w:rFonts w:cs="Times New Roman"/>
        </w:rPr>
        <w:t xml:space="preserve"> over a hundred inhumations surrounding the bed-burial of a princess in a </w:t>
      </w:r>
      <w:r w:rsidR="004A1F6B" w:rsidRPr="00EC0229">
        <w:rPr>
          <w:rFonts w:cs="Times New Roman"/>
          <w:i/>
        </w:rPr>
        <w:t>Grübenhaus</w:t>
      </w:r>
      <w:r w:rsidRPr="00EC0229">
        <w:rPr>
          <w:rFonts w:cs="Times New Roman"/>
          <w:i/>
        </w:rPr>
        <w:t>, Map</w:t>
      </w:r>
      <w:r w:rsidR="00584C42" w:rsidRPr="00EC0229">
        <w:rPr>
          <w:rFonts w:cs="Times New Roman"/>
          <w:i/>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rFonts w:cs="Times New Roman"/>
          <w:i/>
        </w:rPr>
        <w:fldChar w:fldCharType="end"/>
      </w:r>
      <w:r w:rsidRPr="00EC0229">
        <w:rPr>
          <w:rFonts w:cs="Times New Roman"/>
          <w:i/>
        </w:rPr>
        <w:t xml:space="preserve"> </w:t>
      </w:r>
      <w:r w:rsidR="004048E5" w:rsidRPr="00EC0229">
        <w:rPr>
          <w:rFonts w:cs="Times New Roman"/>
          <w:i/>
        </w:rPr>
        <w:t>8.23</w:t>
      </w:r>
      <w:r w:rsidRPr="00EC0229">
        <w:rPr>
          <w:rFonts w:cs="Times New Roman"/>
          <w:i/>
        </w:rPr>
        <w:t xml:space="preserve">. </w:t>
      </w:r>
      <w:r w:rsidRPr="00EC0229">
        <w:rPr>
          <w:rFonts w:cs="Times New Roman"/>
        </w:rPr>
        <w:t>This precise, contemporaneous arrangement suggests a single catastrophe.</w:t>
      </w:r>
      <w:r w:rsidRPr="00EC0229">
        <w:rPr>
          <w:rStyle w:val="FootnoteReference"/>
          <w:rFonts w:cs="Times New Roman"/>
        </w:rPr>
        <w:t xml:space="preserve"> </w:t>
      </w:r>
      <w:r w:rsidRPr="00EC0229">
        <w:rPr>
          <w:rStyle w:val="FootnoteReference"/>
          <w:rFonts w:cs="Times New Roman"/>
        </w:rPr>
        <w:footnoteReference w:id="1188"/>
      </w:r>
      <w:r w:rsidRPr="00EC0229">
        <w:rPr>
          <w:rFonts w:cs="Times New Roman"/>
        </w:rPr>
        <w:t xml:space="preserve">  Other than two Iron Age coins, the absence of later coinage is notable in such an élite</w:t>
      </w:r>
      <w:r w:rsidR="008960AE" w:rsidRPr="00EC0229">
        <w:rPr>
          <w:rFonts w:cs="Times New Roman"/>
        </w:rPr>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rPr>
          <w:rFonts w:cs="Times New Roman"/>
        </w:rPr>
        <w:fldChar w:fldCharType="end"/>
      </w:r>
      <w:r w:rsidRPr="00EC0229">
        <w:rPr>
          <w:rFonts w:cs="Times New Roman"/>
        </w:rPr>
        <w:t xml:space="preserve"> site, especially in view of the Kentish influence.</w:t>
      </w:r>
    </w:p>
    <w:p w14:paraId="06B2D017" w14:textId="77777777" w:rsidR="00582C52" w:rsidRPr="00EC0229" w:rsidRDefault="00582C52" w:rsidP="007600EA">
      <w:pPr>
        <w:pStyle w:val="NoSpacing"/>
        <w:spacing w:line="360" w:lineRule="auto"/>
        <w:rPr>
          <w:rFonts w:cs="Times New Roman"/>
        </w:rPr>
      </w:pPr>
    </w:p>
    <w:p w14:paraId="3BB5738D" w14:textId="66D56F65" w:rsidR="00C0244E" w:rsidRPr="00EC0229" w:rsidRDefault="00C0244E" w:rsidP="007600EA">
      <w:pPr>
        <w:pStyle w:val="NoSpacing"/>
        <w:spacing w:line="360" w:lineRule="auto"/>
        <w:rPr>
          <w:rFonts w:cs="Times New Roman"/>
        </w:rPr>
      </w:pPr>
      <w:r w:rsidRPr="00EC0229">
        <w:rPr>
          <w:rFonts w:cs="Times New Roman"/>
        </w:rPr>
        <w:lastRenderedPageBreak/>
        <w:t>Occasional finds (</w:t>
      </w:r>
      <w:r w:rsidR="009E07B9" w:rsidRPr="00EC0229">
        <w:rPr>
          <w:rFonts w:cs="Times New Roman"/>
        </w:rPr>
        <w:fldChar w:fldCharType="begin"/>
      </w:r>
      <w:r w:rsidR="009E07B9" w:rsidRPr="00EC0229">
        <w:rPr>
          <w:rFonts w:cs="Times New Roman"/>
        </w:rPr>
        <w:instrText xml:space="preserve"> REF _Ref431891320 \h </w:instrText>
      </w:r>
      <w:r w:rsidR="00394ED0" w:rsidRPr="00EC0229">
        <w:rPr>
          <w:rFonts w:cs="Times New Roman"/>
        </w:rPr>
        <w:instrText xml:space="preserve"> \* MERGEFORMAT </w:instrText>
      </w:r>
      <w:r w:rsidR="009E07B9" w:rsidRPr="00EC0229">
        <w:rPr>
          <w:rFonts w:cs="Times New Roman"/>
        </w:rPr>
      </w:r>
      <w:r w:rsidR="009E07B9" w:rsidRPr="00EC0229">
        <w:rPr>
          <w:rFonts w:cs="Times New Roman"/>
        </w:rPr>
        <w:fldChar w:fldCharType="separate"/>
      </w:r>
      <w:r w:rsidR="0012026B" w:rsidRPr="0012026B">
        <w:rPr>
          <w:i/>
        </w:rPr>
        <w:t>Figure</w:t>
      </w:r>
      <w:r w:rsidR="0012026B" w:rsidRPr="0012026B">
        <w:t xml:space="preserve"> </w:t>
      </w:r>
      <w:r w:rsidR="0012026B" w:rsidRPr="0012026B">
        <w:rPr>
          <w:noProof/>
        </w:rPr>
        <w:t>160</w:t>
      </w:r>
      <w:r w:rsidR="009E07B9" w:rsidRPr="00EC0229">
        <w:rPr>
          <w:rFonts w:cs="Times New Roman"/>
        </w:rPr>
        <w:fldChar w:fldCharType="end"/>
      </w:r>
      <w:r w:rsidRPr="00EC0229">
        <w:rPr>
          <w:rFonts w:cs="Times New Roman"/>
        </w:rPr>
        <w:t>)</w:t>
      </w:r>
      <w:r w:rsidR="00394ED0" w:rsidRPr="00EC0229">
        <w:rPr>
          <w:rFonts w:cs="Times New Roman"/>
        </w:rPr>
        <w:t>, [3a],</w:t>
      </w:r>
      <w:r w:rsidRPr="00EC0229">
        <w:rPr>
          <w:rFonts w:cs="Times New Roman"/>
        </w:rPr>
        <w:t xml:space="preserve"> indicate long distance contacts</w:t>
      </w:r>
      <w:r w:rsidR="00AA4C4C" w:rsidRPr="00EC0229">
        <w:rPr>
          <w:rFonts w:cs="Times New Roman"/>
        </w:rPr>
        <w:t xml:space="preserve"> but out of context and without accompanying material, all that can be concluded is that Continental merchants travelled widely and beyond recognised </w:t>
      </w:r>
      <w:r w:rsidR="00AA4C4C" w:rsidRPr="00EC0229">
        <w:rPr>
          <w:rFonts w:cs="Times New Roman"/>
          <w:i/>
        </w:rPr>
        <w:t>wics</w:t>
      </w:r>
      <w:r w:rsidR="00AA4C4C" w:rsidRPr="00EC0229">
        <w:rPr>
          <w:rFonts w:cs="Times New Roman"/>
        </w:rPr>
        <w:t>.</w:t>
      </w:r>
    </w:p>
    <w:p w14:paraId="5F4CA30D" w14:textId="77777777" w:rsidR="00C0244E" w:rsidRPr="00EC0229" w:rsidRDefault="00C0244E" w:rsidP="007600EA">
      <w:pPr>
        <w:pStyle w:val="NoSpacing"/>
        <w:spacing w:line="360" w:lineRule="auto"/>
        <w:jc w:val="center"/>
        <w:rPr>
          <w:sz w:val="20"/>
          <w:szCs w:val="20"/>
        </w:rPr>
      </w:pPr>
      <w:r w:rsidRPr="00EC0229">
        <w:rPr>
          <w:noProof/>
          <w:sz w:val="20"/>
          <w:szCs w:val="20"/>
          <w:lang w:eastAsia="en-GB"/>
        </w:rPr>
        <w:drawing>
          <wp:inline distT="0" distB="0" distL="0" distR="0" wp14:anchorId="294CFA75" wp14:editId="093119BF">
            <wp:extent cx="2019300" cy="980189"/>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urton-in-Kendal Dronrijp tremissis LANCUM-3E51D8.jpg"/>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2042438" cy="991420"/>
                    </a:xfrm>
                    <a:prstGeom prst="rect">
                      <a:avLst/>
                    </a:prstGeom>
                  </pic:spPr>
                </pic:pic>
              </a:graphicData>
            </a:graphic>
          </wp:inline>
        </w:drawing>
      </w:r>
    </w:p>
    <w:p w14:paraId="2A695F9C" w14:textId="6357A302" w:rsidR="00941A45" w:rsidRDefault="00C0244E" w:rsidP="007600EA">
      <w:pPr>
        <w:spacing w:line="360" w:lineRule="auto"/>
        <w:jc w:val="center"/>
        <w:rPr>
          <w:sz w:val="20"/>
          <w:szCs w:val="20"/>
        </w:rPr>
      </w:pPr>
      <w:bookmarkStart w:id="883" w:name="_Ref431891320"/>
      <w:bookmarkStart w:id="884" w:name="_Toc468267132"/>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160</w:t>
      </w:r>
      <w:r w:rsidR="00B609E3" w:rsidRPr="00EC0229">
        <w:rPr>
          <w:noProof/>
          <w:sz w:val="20"/>
          <w:szCs w:val="20"/>
        </w:rPr>
        <w:fldChar w:fldCharType="end"/>
      </w:r>
      <w:bookmarkEnd w:id="883"/>
      <w:r w:rsidRPr="00EC0229">
        <w:rPr>
          <w:sz w:val="20"/>
          <w:szCs w:val="20"/>
        </w:rPr>
        <w:t>: Burton-in-Kendal: Dronrijp tremissis</w:t>
      </w:r>
      <w:bookmarkEnd w:id="884"/>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rPr>
        <w:instrText>tremissis</w:instrText>
      </w:r>
      <w:r w:rsidRPr="00EC0229">
        <w:rPr>
          <w:sz w:val="20"/>
          <w:szCs w:val="20"/>
        </w:rPr>
        <w:instrText xml:space="preserve">" </w:instrText>
      </w:r>
      <w:r w:rsidRPr="00EC0229">
        <w:rPr>
          <w:sz w:val="20"/>
          <w:szCs w:val="20"/>
        </w:rPr>
        <w:fldChar w:fldCharType="end"/>
      </w:r>
      <w:r w:rsidRPr="00EC0229">
        <w:rPr>
          <w:sz w:val="20"/>
          <w:szCs w:val="20"/>
        </w:rPr>
        <w:t xml:space="preserve"> </w:t>
      </w:r>
    </w:p>
    <w:p w14:paraId="1A181792" w14:textId="749F9D7B" w:rsidR="00C0244E" w:rsidRPr="00EC0229" w:rsidRDefault="00C0244E" w:rsidP="007600EA">
      <w:pPr>
        <w:spacing w:line="360" w:lineRule="auto"/>
        <w:jc w:val="center"/>
        <w:rPr>
          <w:sz w:val="20"/>
          <w:szCs w:val="20"/>
        </w:rPr>
      </w:pPr>
      <w:r w:rsidRPr="00EC0229">
        <w:rPr>
          <w:sz w:val="20"/>
          <w:szCs w:val="20"/>
        </w:rPr>
        <w:t>(PAS</w:t>
      </w:r>
      <w:r w:rsidRPr="00EC0229">
        <w:rPr>
          <w:sz w:val="20"/>
          <w:szCs w:val="20"/>
        </w:rPr>
        <w:fldChar w:fldCharType="begin"/>
      </w:r>
      <w:r w:rsidRPr="00EC0229">
        <w:rPr>
          <w:sz w:val="20"/>
          <w:szCs w:val="20"/>
        </w:rPr>
        <w:instrText xml:space="preserve"> XE "PAS" </w:instrText>
      </w:r>
      <w:r w:rsidRPr="00EC0229">
        <w:rPr>
          <w:sz w:val="20"/>
          <w:szCs w:val="20"/>
        </w:rPr>
        <w:fldChar w:fldCharType="end"/>
      </w:r>
      <w:r w:rsidRPr="00EC0229">
        <w:rPr>
          <w:sz w:val="20"/>
          <w:szCs w:val="20"/>
        </w:rPr>
        <w:t xml:space="preserve"> LANCUM-3E51D8)</w:t>
      </w:r>
    </w:p>
    <w:p w14:paraId="7AB7373D" w14:textId="77777777" w:rsidR="00C0244E" w:rsidRPr="00EC0229" w:rsidRDefault="00C0244E" w:rsidP="007600EA">
      <w:pPr>
        <w:pStyle w:val="NoSpacing"/>
        <w:spacing w:line="360" w:lineRule="auto"/>
        <w:rPr>
          <w:rFonts w:cs="Times New Roman"/>
        </w:rPr>
      </w:pPr>
    </w:p>
    <w:p w14:paraId="14E5B66F" w14:textId="3D0C2B0D" w:rsidR="00582C52" w:rsidRPr="00EC0229" w:rsidRDefault="00736C9E" w:rsidP="007600EA">
      <w:pPr>
        <w:pStyle w:val="Heading3"/>
        <w:spacing w:line="360" w:lineRule="auto"/>
        <w:rPr>
          <w:szCs w:val="28"/>
        </w:rPr>
      </w:pPr>
      <w:bookmarkStart w:id="885" w:name="Ecclesiastical"/>
      <w:bookmarkStart w:id="886" w:name="_Toc468266939"/>
      <w:bookmarkEnd w:id="885"/>
      <w:r>
        <w:t>8.2.7.2</w:t>
      </w:r>
      <w:r>
        <w:tab/>
      </w:r>
      <w:r w:rsidR="00582C52" w:rsidRPr="00EC0229">
        <w:t>Ecclesiastical</w:t>
      </w:r>
      <w:r w:rsidR="006B1593" w:rsidRPr="00EC0229">
        <w:rPr>
          <w:rFonts w:cs="Times New Roman"/>
        </w:rPr>
        <w:t xml:space="preserve"> S</w:t>
      </w:r>
      <w:r w:rsidR="00582C52" w:rsidRPr="00EC0229">
        <w:rPr>
          <w:rFonts w:cs="Times New Roman"/>
        </w:rPr>
        <w:t>ites</w:t>
      </w:r>
      <w:bookmarkEnd w:id="886"/>
      <w:r w:rsidR="006B1593" w:rsidRPr="00EC0229">
        <w:rPr>
          <w:rFonts w:cs="Times New Roman"/>
        </w:rPr>
        <w:fldChar w:fldCharType="begin"/>
      </w:r>
      <w:r w:rsidR="006B1593" w:rsidRPr="00EC0229">
        <w:instrText xml:space="preserve"> XE "</w:instrText>
      </w:r>
      <w:r w:rsidR="006B1593" w:rsidRPr="00EC0229">
        <w:rPr>
          <w:rStyle w:val="Hyperlink"/>
          <w:noProof/>
          <w:u w:val="none"/>
        </w:rPr>
        <w:instrText>Ecclesiastical</w:instrText>
      </w:r>
      <w:r w:rsidR="006B1593" w:rsidRPr="00EC0229">
        <w:rPr>
          <w:rStyle w:val="Hyperlink"/>
          <w:rFonts w:cs="Times New Roman"/>
          <w:noProof/>
          <w:u w:val="none"/>
        </w:rPr>
        <w:instrText xml:space="preserve"> Sites</w:instrText>
      </w:r>
      <w:r w:rsidR="006B1593" w:rsidRPr="00EC0229">
        <w:instrText xml:space="preserve">" </w:instrText>
      </w:r>
      <w:r w:rsidR="006B1593" w:rsidRPr="00EC0229">
        <w:rPr>
          <w:rFonts w:cs="Times New Roman"/>
        </w:rPr>
        <w:fldChar w:fldCharType="end"/>
      </w:r>
    </w:p>
    <w:p w14:paraId="4B947D04" w14:textId="77777777" w:rsidR="00582C52" w:rsidRPr="00EC0229" w:rsidRDefault="00582C52" w:rsidP="007600EA">
      <w:pPr>
        <w:pStyle w:val="NoSpacing"/>
        <w:spacing w:line="360" w:lineRule="auto"/>
        <w:jc w:val="right"/>
        <w:rPr>
          <w:sz w:val="20"/>
          <w:szCs w:val="20"/>
        </w:rPr>
      </w:pPr>
      <w:r w:rsidRPr="00EC0229">
        <w:rPr>
          <w:sz w:val="20"/>
          <w:szCs w:val="20"/>
        </w:rPr>
        <w:t xml:space="preserve"> ‘</w:t>
      </w:r>
      <w:r w:rsidRPr="00EC0229">
        <w:rPr>
          <w:i/>
          <w:sz w:val="20"/>
          <w:szCs w:val="20"/>
        </w:rPr>
        <w:t>Scot-free</w:t>
      </w:r>
      <w:r w:rsidRPr="00EC0229">
        <w:rPr>
          <w:sz w:val="20"/>
          <w:szCs w:val="20"/>
        </w:rPr>
        <w:t xml:space="preserve"> the Poets drank and ate; </w:t>
      </w:r>
    </w:p>
    <w:p w14:paraId="1A8CE13D" w14:textId="77777777" w:rsidR="00582C52" w:rsidRPr="00EC0229" w:rsidRDefault="00582C52" w:rsidP="007600EA">
      <w:pPr>
        <w:pStyle w:val="NoSpacing"/>
        <w:spacing w:line="360" w:lineRule="auto"/>
        <w:jc w:val="right"/>
        <w:rPr>
          <w:sz w:val="20"/>
          <w:szCs w:val="20"/>
        </w:rPr>
      </w:pPr>
      <w:r w:rsidRPr="00EC0229">
        <w:rPr>
          <w:sz w:val="20"/>
          <w:szCs w:val="20"/>
        </w:rPr>
        <w:t xml:space="preserve">They paid no taxes to the State!’ </w:t>
      </w:r>
    </w:p>
    <w:p w14:paraId="29A9B262" w14:textId="7D8767C2" w:rsidR="00582C52" w:rsidRPr="00EC0229" w:rsidRDefault="00582C52" w:rsidP="007600EA">
      <w:pPr>
        <w:pStyle w:val="NoSpacing"/>
        <w:spacing w:line="360" w:lineRule="auto"/>
        <w:jc w:val="right"/>
        <w:rPr>
          <w:sz w:val="20"/>
          <w:szCs w:val="20"/>
        </w:rPr>
      </w:pPr>
      <w:r w:rsidRPr="00EC0229">
        <w:rPr>
          <w:sz w:val="20"/>
          <w:szCs w:val="20"/>
        </w:rPr>
        <w:t xml:space="preserve">John Wolcot, </w:t>
      </w:r>
      <w:r w:rsidRPr="00EC0229">
        <w:rPr>
          <w:rStyle w:val="Emphasis"/>
          <w:sz w:val="20"/>
          <w:szCs w:val="20"/>
        </w:rPr>
        <w:t xml:space="preserve">Odes of Condolence, </w:t>
      </w:r>
      <w:r w:rsidRPr="00EC0229">
        <w:rPr>
          <w:sz w:val="20"/>
          <w:szCs w:val="20"/>
        </w:rPr>
        <w:t>1792.</w:t>
      </w:r>
      <w:r w:rsidR="00952365" w:rsidRPr="00EC0229">
        <w:rPr>
          <w:rStyle w:val="FootnoteReference"/>
          <w:sz w:val="20"/>
          <w:szCs w:val="20"/>
        </w:rPr>
        <w:footnoteReference w:id="1189"/>
      </w:r>
    </w:p>
    <w:p w14:paraId="6E2D2F8B" w14:textId="577A0AA0" w:rsidR="00582C52" w:rsidRPr="00EC0229" w:rsidRDefault="00582C52" w:rsidP="007600EA">
      <w:pPr>
        <w:pStyle w:val="NoSpacing"/>
        <w:spacing w:line="360" w:lineRule="auto"/>
        <w:rPr>
          <w:color w:val="000000" w:themeColor="text1"/>
          <w:szCs w:val="24"/>
        </w:rPr>
      </w:pPr>
      <w:r w:rsidRPr="00EC0229">
        <w:rPr>
          <w:color w:val="000000" w:themeColor="text1"/>
          <w:szCs w:val="24"/>
        </w:rPr>
        <w:t xml:space="preserve">In </w:t>
      </w:r>
      <w:r w:rsidR="00AB2D49" w:rsidRPr="00EC0229">
        <w:rPr>
          <w:szCs w:val="24"/>
        </w:rPr>
        <w:t xml:space="preserve">chapter </w:t>
      </w:r>
      <w:r w:rsidR="00AB2D49" w:rsidRPr="00EC0229">
        <w:rPr>
          <w:color w:val="000000" w:themeColor="text1"/>
          <w:szCs w:val="24"/>
        </w:rPr>
        <w:t>2</w:t>
      </w:r>
      <w:r w:rsidRPr="00EC0229">
        <w:rPr>
          <w:color w:val="000000" w:themeColor="text1"/>
          <w:szCs w:val="24"/>
        </w:rPr>
        <w:t xml:space="preserve">, the </w:t>
      </w:r>
      <w:r w:rsidR="00A972E7" w:rsidRPr="00EC0229">
        <w:rPr>
          <w:color w:val="000000" w:themeColor="text1"/>
          <w:szCs w:val="24"/>
        </w:rPr>
        <w:t>rôle</w:t>
      </w:r>
      <w:r w:rsidRPr="00EC0229">
        <w:rPr>
          <w:color w:val="000000" w:themeColor="text1"/>
          <w:szCs w:val="24"/>
        </w:rPr>
        <w:t xml:space="preserve"> of minsters, largely as expounded by </w:t>
      </w:r>
      <w:r w:rsidR="000C778B" w:rsidRPr="00EC0229">
        <w:rPr>
          <w:color w:val="000000" w:themeColor="text1"/>
          <w:szCs w:val="24"/>
        </w:rPr>
        <w:t>Blair</w:t>
      </w:r>
      <w:r w:rsidR="00D142DC" w:rsidRPr="00EC0229">
        <w:rPr>
          <w:color w:val="000000" w:themeColor="text1"/>
          <w:szCs w:val="24"/>
        </w:rPr>
        <w:fldChar w:fldCharType="begin"/>
      </w:r>
      <w:r w:rsidR="00D142DC" w:rsidRPr="00EC0229">
        <w:instrText xml:space="preserve"> XE "Blair" </w:instrText>
      </w:r>
      <w:r w:rsidR="00D142DC" w:rsidRPr="00EC0229">
        <w:rPr>
          <w:color w:val="000000" w:themeColor="text1"/>
          <w:szCs w:val="24"/>
        </w:rPr>
        <w:fldChar w:fldCharType="end"/>
      </w:r>
      <w:r w:rsidR="00DF5F51" w:rsidRPr="00EC0229">
        <w:rPr>
          <w:color w:val="000000" w:themeColor="text1"/>
          <w:szCs w:val="24"/>
        </w:rPr>
        <w:t xml:space="preserve"> and </w:t>
      </w:r>
      <w:r w:rsidRPr="00EC0229">
        <w:rPr>
          <w:color w:val="000000" w:themeColor="text1"/>
          <w:szCs w:val="24"/>
        </w:rPr>
        <w:t>Foot</w:t>
      </w:r>
      <w:r w:rsidR="00DF5F51" w:rsidRPr="00EC0229">
        <w:rPr>
          <w:color w:val="000000" w:themeColor="text1"/>
          <w:szCs w:val="24"/>
        </w:rPr>
        <w:t xml:space="preserve"> (</w:t>
      </w:r>
      <w:r w:rsidR="00DF5F51" w:rsidRPr="00EC0229">
        <w:rPr>
          <w:color w:val="000000" w:themeColor="text1"/>
          <w:szCs w:val="24"/>
        </w:rPr>
        <w:fldChar w:fldCharType="begin"/>
      </w:r>
      <w:r w:rsidR="00DF5F51" w:rsidRPr="00EC0229">
        <w:rPr>
          <w:color w:val="000000" w:themeColor="text1"/>
          <w:szCs w:val="24"/>
        </w:rPr>
        <w:instrText xml:space="preserve"> PAGEREF MinsterHypothesis \h </w:instrText>
      </w:r>
      <w:r w:rsidR="00DF5F51" w:rsidRPr="00EC0229">
        <w:rPr>
          <w:color w:val="000000" w:themeColor="text1"/>
          <w:szCs w:val="24"/>
        </w:rPr>
      </w:r>
      <w:r w:rsidR="00DF5F51" w:rsidRPr="00EC0229">
        <w:rPr>
          <w:color w:val="000000" w:themeColor="text1"/>
          <w:szCs w:val="24"/>
        </w:rPr>
        <w:fldChar w:fldCharType="separate"/>
      </w:r>
      <w:r w:rsidR="0012026B">
        <w:rPr>
          <w:noProof/>
          <w:color w:val="000000" w:themeColor="text1"/>
          <w:szCs w:val="24"/>
        </w:rPr>
        <w:t>35</w:t>
      </w:r>
      <w:r w:rsidR="00DF5F51" w:rsidRPr="00EC0229">
        <w:rPr>
          <w:color w:val="000000" w:themeColor="text1"/>
          <w:szCs w:val="24"/>
        </w:rPr>
        <w:fldChar w:fldCharType="end"/>
      </w:r>
      <w:r w:rsidR="00DF5F51" w:rsidRPr="00EC0229">
        <w:rPr>
          <w:color w:val="000000" w:themeColor="text1"/>
          <w:szCs w:val="24"/>
        </w:rPr>
        <w:t>)</w:t>
      </w:r>
      <w:r w:rsidR="002E5552" w:rsidRPr="00EC0229">
        <w:rPr>
          <w:color w:val="000000" w:themeColor="text1"/>
          <w:szCs w:val="24"/>
        </w:rPr>
        <w:t xml:space="preserve">, were discussed in broad terms. </w:t>
      </w:r>
      <w:r w:rsidR="00DF5F51" w:rsidRPr="00EC0229">
        <w:rPr>
          <w:color w:val="000000" w:themeColor="text1"/>
          <w:szCs w:val="24"/>
        </w:rPr>
        <w:t>Three</w:t>
      </w:r>
      <w:r w:rsidRPr="00EC0229">
        <w:rPr>
          <w:color w:val="000000" w:themeColor="text1"/>
          <w:szCs w:val="24"/>
        </w:rPr>
        <w:t xml:space="preserve"> northern, coin-rich, monastic sites</w:t>
      </w:r>
      <w:r w:rsidRPr="00EC0229">
        <w:t>, Whithorn</w:t>
      </w:r>
      <w:r w:rsidR="006B1593" w:rsidRPr="00EC0229">
        <w:fldChar w:fldCharType="begin"/>
      </w:r>
      <w:r w:rsidR="006B1593" w:rsidRPr="00EC0229">
        <w:instrText xml:space="preserve"> XE "</w:instrText>
      </w:r>
      <w:r w:rsidR="006B1593" w:rsidRPr="00EC0229">
        <w:rPr>
          <w:noProof/>
        </w:rPr>
        <w:instrText>Whithorn</w:instrText>
      </w:r>
      <w:r w:rsidR="006B1593" w:rsidRPr="00EC0229">
        <w:instrText xml:space="preserve">" </w:instrText>
      </w:r>
      <w:r w:rsidR="006B1593" w:rsidRPr="00EC0229">
        <w:fldChar w:fldCharType="end"/>
      </w:r>
      <w:r w:rsidR="00574FA4" w:rsidRPr="00EC0229">
        <w:t xml:space="preserve"> (</w:t>
      </w:r>
      <w:r w:rsidR="00B827E2" w:rsidRPr="00EC0229">
        <w:fldChar w:fldCharType="begin"/>
      </w:r>
      <w:r w:rsidR="00B827E2" w:rsidRPr="00EC0229">
        <w:instrText xml:space="preserve"> PAGEREF Whithorn \h </w:instrText>
      </w:r>
      <w:r w:rsidR="00B827E2" w:rsidRPr="00EC0229">
        <w:fldChar w:fldCharType="separate"/>
      </w:r>
      <w:r w:rsidR="0012026B">
        <w:rPr>
          <w:noProof/>
        </w:rPr>
        <w:t>283</w:t>
      </w:r>
      <w:r w:rsidR="00B827E2" w:rsidRPr="00EC0229">
        <w:fldChar w:fldCharType="end"/>
      </w:r>
      <w:r w:rsidR="00574FA4" w:rsidRPr="00EC0229">
        <w:t>),</w:t>
      </w:r>
      <w:r w:rsidRPr="00EC0229">
        <w:t xml:space="preserve"> Whitby</w:t>
      </w:r>
      <w:r w:rsidR="006B1593" w:rsidRPr="00EC0229">
        <w:fldChar w:fldCharType="begin"/>
      </w:r>
      <w:r w:rsidR="006B1593" w:rsidRPr="00EC0229">
        <w:instrText xml:space="preserve"> XE "</w:instrText>
      </w:r>
      <w:r w:rsidR="006B1593" w:rsidRPr="00EC0229">
        <w:rPr>
          <w:noProof/>
        </w:rPr>
        <w:instrText>Whitby</w:instrText>
      </w:r>
      <w:r w:rsidR="006B1593" w:rsidRPr="00EC0229">
        <w:instrText xml:space="preserve">" </w:instrText>
      </w:r>
      <w:r w:rsidR="006B1593" w:rsidRPr="00EC0229">
        <w:fldChar w:fldCharType="end"/>
      </w:r>
      <w:r w:rsidR="00574FA4" w:rsidRPr="00EC0229">
        <w:t xml:space="preserve"> (</w:t>
      </w:r>
      <w:r w:rsidR="00B827E2" w:rsidRPr="00EC0229">
        <w:fldChar w:fldCharType="begin"/>
      </w:r>
      <w:r w:rsidR="00B827E2" w:rsidRPr="00EC0229">
        <w:instrText xml:space="preserve"> PAGEREF Whitby \h </w:instrText>
      </w:r>
      <w:r w:rsidR="00B827E2" w:rsidRPr="00EC0229">
        <w:fldChar w:fldCharType="separate"/>
      </w:r>
      <w:r w:rsidR="0012026B">
        <w:rPr>
          <w:noProof/>
        </w:rPr>
        <w:t>291</w:t>
      </w:r>
      <w:r w:rsidR="00B827E2" w:rsidRPr="00EC0229">
        <w:fldChar w:fldCharType="end"/>
      </w:r>
      <w:r w:rsidR="00574FA4" w:rsidRPr="00EC0229">
        <w:t xml:space="preserve">), </w:t>
      </w:r>
      <w:r w:rsidRPr="00EC0229">
        <w:t>Lindisfarne</w:t>
      </w:r>
      <w:r w:rsidR="006B1593" w:rsidRPr="00EC0229">
        <w:fldChar w:fldCharType="begin"/>
      </w:r>
      <w:r w:rsidR="006B1593" w:rsidRPr="00EC0229">
        <w:instrText xml:space="preserve"> XE "</w:instrText>
      </w:r>
      <w:r w:rsidR="006B1593" w:rsidRPr="00EC0229">
        <w:rPr>
          <w:noProof/>
        </w:rPr>
        <w:instrText>Lindisfarne</w:instrText>
      </w:r>
      <w:r w:rsidR="006B1593" w:rsidRPr="00EC0229">
        <w:instrText xml:space="preserve">" </w:instrText>
      </w:r>
      <w:r w:rsidR="006B1593" w:rsidRPr="00EC0229">
        <w:fldChar w:fldCharType="end"/>
      </w:r>
      <w:r w:rsidRPr="00EC0229">
        <w:t xml:space="preserve"> </w:t>
      </w:r>
      <w:r w:rsidR="00574FA4" w:rsidRPr="00EC0229">
        <w:t>(</w:t>
      </w:r>
      <w:r w:rsidR="00B827E2" w:rsidRPr="00EC0229">
        <w:fldChar w:fldCharType="begin"/>
      </w:r>
      <w:r w:rsidR="00B827E2" w:rsidRPr="00EC0229">
        <w:instrText xml:space="preserve"> PAGEREF Lindisfarne \h </w:instrText>
      </w:r>
      <w:r w:rsidR="00B827E2" w:rsidRPr="00EC0229">
        <w:fldChar w:fldCharType="separate"/>
      </w:r>
      <w:r w:rsidR="0012026B">
        <w:rPr>
          <w:noProof/>
        </w:rPr>
        <w:t>294</w:t>
      </w:r>
      <w:r w:rsidR="00B827E2" w:rsidRPr="00EC0229">
        <w:fldChar w:fldCharType="end"/>
      </w:r>
      <w:r w:rsidR="00574FA4" w:rsidRPr="00EC0229">
        <w:t>),</w:t>
      </w:r>
      <w:r w:rsidR="00DF5F51" w:rsidRPr="00EC0229">
        <w:rPr>
          <w:rStyle w:val="FootnoteReference"/>
        </w:rPr>
        <w:footnoteReference w:id="1190"/>
      </w:r>
      <w:r w:rsidRPr="00EC0229">
        <w:t xml:space="preserve"> all </w:t>
      </w:r>
      <w:r w:rsidRPr="00EC0229">
        <w:rPr>
          <w:color w:val="000000" w:themeColor="text1"/>
          <w:szCs w:val="24"/>
        </w:rPr>
        <w:t xml:space="preserve">subjected to formal excavations, will now be contrasted to the paucity of sites in the </w:t>
      </w:r>
      <w:r w:rsidRPr="00EC0229">
        <w:rPr>
          <w:szCs w:val="24"/>
        </w:rPr>
        <w:t>Vale of Pickering</w:t>
      </w:r>
      <w:r w:rsidR="006B1593" w:rsidRPr="00EC0229">
        <w:rPr>
          <w:szCs w:val="24"/>
        </w:rPr>
        <w:fldChar w:fldCharType="begin"/>
      </w:r>
      <w:r w:rsidR="006B1593" w:rsidRPr="00EC0229">
        <w:instrText xml:space="preserve"> XE "</w:instrText>
      </w:r>
      <w:r w:rsidR="006B1593" w:rsidRPr="00EC0229">
        <w:rPr>
          <w:rFonts w:cs="Times New Roman"/>
          <w:noProof/>
        </w:rPr>
        <w:instrText>Vale of Pickering</w:instrText>
      </w:r>
      <w:r w:rsidR="006B1593" w:rsidRPr="00EC0229">
        <w:instrText xml:space="preserve">" </w:instrText>
      </w:r>
      <w:r w:rsidR="006B1593" w:rsidRPr="00EC0229">
        <w:rPr>
          <w:szCs w:val="24"/>
        </w:rPr>
        <w:fldChar w:fldCharType="end"/>
      </w:r>
      <w:r w:rsidR="00574FA4" w:rsidRPr="00EC0229">
        <w:rPr>
          <w:color w:val="000000" w:themeColor="text1"/>
          <w:szCs w:val="24"/>
        </w:rPr>
        <w:t xml:space="preserve"> (</w:t>
      </w:r>
      <w:r w:rsidR="00B827E2" w:rsidRPr="00EC0229">
        <w:rPr>
          <w:color w:val="000000" w:themeColor="text1"/>
          <w:szCs w:val="24"/>
        </w:rPr>
        <w:fldChar w:fldCharType="begin"/>
      </w:r>
      <w:r w:rsidR="00B827E2" w:rsidRPr="00EC0229">
        <w:rPr>
          <w:color w:val="000000" w:themeColor="text1"/>
          <w:szCs w:val="24"/>
        </w:rPr>
        <w:instrText xml:space="preserve"> PAGEREF TheValeofPickering \h </w:instrText>
      </w:r>
      <w:r w:rsidR="00B827E2" w:rsidRPr="00EC0229">
        <w:rPr>
          <w:color w:val="000000" w:themeColor="text1"/>
          <w:szCs w:val="24"/>
        </w:rPr>
      </w:r>
      <w:r w:rsidR="00B827E2" w:rsidRPr="00EC0229">
        <w:rPr>
          <w:color w:val="000000" w:themeColor="text1"/>
          <w:szCs w:val="24"/>
        </w:rPr>
        <w:fldChar w:fldCharType="separate"/>
      </w:r>
      <w:r w:rsidR="0012026B">
        <w:rPr>
          <w:noProof/>
          <w:color w:val="000000" w:themeColor="text1"/>
          <w:szCs w:val="24"/>
        </w:rPr>
        <w:t>266</w:t>
      </w:r>
      <w:r w:rsidR="00B827E2" w:rsidRPr="00EC0229">
        <w:rPr>
          <w:color w:val="000000" w:themeColor="text1"/>
          <w:szCs w:val="24"/>
        </w:rPr>
        <w:fldChar w:fldCharType="end"/>
      </w:r>
      <w:r w:rsidR="00574FA4" w:rsidRPr="00EC0229">
        <w:rPr>
          <w:color w:val="000000" w:themeColor="text1"/>
          <w:szCs w:val="24"/>
        </w:rPr>
        <w:t>).</w:t>
      </w:r>
      <w:r w:rsidRPr="00EC0229">
        <w:rPr>
          <w:color w:val="000000" w:themeColor="text1"/>
          <w:szCs w:val="24"/>
        </w:rPr>
        <w:t xml:space="preserve"> </w:t>
      </w:r>
      <w:r w:rsidR="002E5552" w:rsidRPr="00EC0229">
        <w:rPr>
          <w:color w:val="000000" w:themeColor="text1"/>
          <w:szCs w:val="24"/>
        </w:rPr>
        <w:t xml:space="preserve">No </w:t>
      </w:r>
      <w:r w:rsidRPr="00EC0229">
        <w:rPr>
          <w:color w:val="000000" w:themeColor="text1"/>
          <w:szCs w:val="24"/>
        </w:rPr>
        <w:t>separate study of western Northumbria</w:t>
      </w:r>
      <w:r w:rsidR="00584C42" w:rsidRPr="00EC0229">
        <w:rPr>
          <w:color w:val="000000" w:themeColor="text1"/>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color w:val="000000" w:themeColor="text1"/>
          <w:szCs w:val="24"/>
        </w:rPr>
        <w:fldChar w:fldCharType="end"/>
      </w:r>
      <w:r w:rsidRPr="00EC0229">
        <w:rPr>
          <w:color w:val="000000" w:themeColor="text1"/>
          <w:szCs w:val="24"/>
        </w:rPr>
        <w:t xml:space="preserve"> </w:t>
      </w:r>
      <w:r w:rsidR="002E5552" w:rsidRPr="00EC0229">
        <w:rPr>
          <w:color w:val="000000" w:themeColor="text1"/>
          <w:szCs w:val="24"/>
        </w:rPr>
        <w:t xml:space="preserve">has been made </w:t>
      </w:r>
      <w:r w:rsidRPr="00EC0229">
        <w:rPr>
          <w:color w:val="000000" w:themeColor="text1"/>
          <w:szCs w:val="24"/>
        </w:rPr>
        <w:t xml:space="preserve">but </w:t>
      </w:r>
      <w:r w:rsidRPr="00EC0229">
        <w:rPr>
          <w:szCs w:val="24"/>
        </w:rPr>
        <w:t>artefact finds</w:t>
      </w:r>
      <w:r w:rsidRPr="00EC0229">
        <w:rPr>
          <w:color w:val="000000" w:themeColor="text1"/>
          <w:szCs w:val="24"/>
        </w:rPr>
        <w:t xml:space="preserve"> </w:t>
      </w:r>
      <w:r w:rsidR="002E5552" w:rsidRPr="00EC0229">
        <w:rPr>
          <w:color w:val="000000" w:themeColor="text1"/>
          <w:szCs w:val="24"/>
        </w:rPr>
        <w:t xml:space="preserve">are discussed </w:t>
      </w:r>
      <w:r w:rsidRPr="00EC0229">
        <w:rPr>
          <w:color w:val="000000" w:themeColor="text1"/>
          <w:szCs w:val="24"/>
        </w:rPr>
        <w:t>below</w:t>
      </w:r>
      <w:r w:rsidR="002C0856" w:rsidRPr="00EC0229">
        <w:rPr>
          <w:color w:val="000000" w:themeColor="text1"/>
          <w:szCs w:val="24"/>
        </w:rPr>
        <w:t xml:space="preserve"> (</w:t>
      </w:r>
      <w:r w:rsidR="000D3746" w:rsidRPr="00EC0229">
        <w:rPr>
          <w:color w:val="000000" w:themeColor="text1"/>
          <w:szCs w:val="24"/>
        </w:rPr>
        <w:fldChar w:fldCharType="begin"/>
      </w:r>
      <w:r w:rsidR="000D3746" w:rsidRPr="00EC0229">
        <w:rPr>
          <w:color w:val="000000" w:themeColor="text1"/>
          <w:szCs w:val="24"/>
        </w:rPr>
        <w:instrText xml:space="preserve"> PAGEREF BernicianArtefactualDatabase \h </w:instrText>
      </w:r>
      <w:r w:rsidR="000D3746" w:rsidRPr="00EC0229">
        <w:rPr>
          <w:color w:val="000000" w:themeColor="text1"/>
          <w:szCs w:val="24"/>
        </w:rPr>
      </w:r>
      <w:r w:rsidR="000D3746" w:rsidRPr="00EC0229">
        <w:rPr>
          <w:color w:val="000000" w:themeColor="text1"/>
          <w:szCs w:val="24"/>
        </w:rPr>
        <w:fldChar w:fldCharType="separate"/>
      </w:r>
      <w:r w:rsidR="0012026B">
        <w:rPr>
          <w:noProof/>
          <w:color w:val="000000" w:themeColor="text1"/>
          <w:szCs w:val="24"/>
        </w:rPr>
        <w:t>296</w:t>
      </w:r>
      <w:r w:rsidR="000D3746" w:rsidRPr="00EC0229">
        <w:rPr>
          <w:color w:val="000000" w:themeColor="text1"/>
          <w:szCs w:val="24"/>
        </w:rPr>
        <w:fldChar w:fldCharType="end"/>
      </w:r>
      <w:r w:rsidR="002C0856" w:rsidRPr="00EC0229">
        <w:rPr>
          <w:color w:val="000000" w:themeColor="text1"/>
          <w:szCs w:val="24"/>
        </w:rPr>
        <w:t>)</w:t>
      </w:r>
      <w:r w:rsidRPr="00EC0229">
        <w:rPr>
          <w:color w:val="000000" w:themeColor="text1"/>
          <w:szCs w:val="24"/>
        </w:rPr>
        <w:t>.</w:t>
      </w:r>
      <w:r w:rsidRPr="00EC0229">
        <w:rPr>
          <w:rStyle w:val="FootnoteReference"/>
          <w:color w:val="000000" w:themeColor="text1"/>
          <w:szCs w:val="24"/>
        </w:rPr>
        <w:footnoteReference w:id="1191"/>
      </w:r>
    </w:p>
    <w:p w14:paraId="5685CE72" w14:textId="77777777" w:rsidR="00582C52" w:rsidRPr="00EC0229" w:rsidRDefault="00582C52" w:rsidP="007600EA">
      <w:pPr>
        <w:pStyle w:val="NoSpacing"/>
        <w:spacing w:line="360" w:lineRule="auto"/>
      </w:pPr>
    </w:p>
    <w:p w14:paraId="7EBAF0D1" w14:textId="5C72D01D" w:rsidR="006E47ED" w:rsidRPr="00624DF5" w:rsidRDefault="00582C52" w:rsidP="00770D99">
      <w:pPr>
        <w:pStyle w:val="Heading4"/>
        <w:spacing w:line="360" w:lineRule="auto"/>
        <w:rPr>
          <w:b/>
        </w:rPr>
      </w:pPr>
      <w:bookmarkStart w:id="887" w:name="Whithorn"/>
      <w:bookmarkStart w:id="888" w:name="_Toc468266940"/>
      <w:bookmarkEnd w:id="887"/>
      <w:r w:rsidRPr="00624DF5">
        <w:rPr>
          <w:b/>
        </w:rPr>
        <w:t>Whithorn</w:t>
      </w:r>
      <w:bookmarkEnd w:id="888"/>
      <w:r w:rsidR="006B1593" w:rsidRPr="00624DF5">
        <w:rPr>
          <w:b/>
        </w:rPr>
        <w:fldChar w:fldCharType="begin"/>
      </w:r>
      <w:r w:rsidR="006B1593" w:rsidRPr="00624DF5">
        <w:rPr>
          <w:b/>
        </w:rPr>
        <w:instrText xml:space="preserve"> XE "</w:instrText>
      </w:r>
      <w:r w:rsidR="006B1593" w:rsidRPr="00624DF5">
        <w:rPr>
          <w:rStyle w:val="Hyperlink"/>
          <w:b/>
          <w:noProof/>
          <w:u w:val="none"/>
        </w:rPr>
        <w:instrText>Whithorn</w:instrText>
      </w:r>
      <w:r w:rsidR="006B1593" w:rsidRPr="00624DF5">
        <w:rPr>
          <w:b/>
        </w:rPr>
        <w:instrText xml:space="preserve">" </w:instrText>
      </w:r>
      <w:r w:rsidR="006B1593" w:rsidRPr="00624DF5">
        <w:rPr>
          <w:b/>
        </w:rPr>
        <w:fldChar w:fldCharType="end"/>
      </w:r>
    </w:p>
    <w:p w14:paraId="664DDB6E" w14:textId="3D134E9F" w:rsidR="00582C52" w:rsidRPr="00624DF5" w:rsidRDefault="006E47ED" w:rsidP="00770D99">
      <w:pPr>
        <w:pStyle w:val="Heading7"/>
        <w:spacing w:line="360" w:lineRule="auto"/>
        <w:ind w:left="0"/>
        <w:rPr>
          <w:b/>
        </w:rPr>
      </w:pPr>
      <w:r w:rsidRPr="00624DF5">
        <w:rPr>
          <w:b/>
        </w:rPr>
        <w:t>B</w:t>
      </w:r>
      <w:r w:rsidR="00582C52" w:rsidRPr="00624DF5">
        <w:rPr>
          <w:b/>
        </w:rPr>
        <w:t>ackground</w:t>
      </w:r>
    </w:p>
    <w:p w14:paraId="53E7FA01" w14:textId="18297AA7" w:rsidR="00582C52" w:rsidRPr="00EC0229" w:rsidRDefault="00582C52" w:rsidP="007600EA">
      <w:pPr>
        <w:pStyle w:val="NoSpacing"/>
        <w:spacing w:line="360" w:lineRule="auto"/>
        <w:jc w:val="right"/>
        <w:rPr>
          <w:sz w:val="20"/>
          <w:szCs w:val="20"/>
        </w:rPr>
      </w:pPr>
      <w:r w:rsidRPr="00EC0229">
        <w:rPr>
          <w:sz w:val="20"/>
          <w:szCs w:val="20"/>
        </w:rPr>
        <w:t>‘The Whithorn</w:t>
      </w:r>
      <w:r w:rsidR="006B1593" w:rsidRPr="00EC0229">
        <w:rPr>
          <w:sz w:val="20"/>
          <w:szCs w:val="20"/>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 w:val="20"/>
          <w:szCs w:val="20"/>
        </w:rPr>
        <w:fldChar w:fldCharType="end"/>
      </w:r>
      <w:r w:rsidRPr="00EC0229">
        <w:rPr>
          <w:sz w:val="20"/>
          <w:szCs w:val="20"/>
        </w:rPr>
        <w:t xml:space="preserve"> finds make a vital contribution to the study of Northumbrian coins.’</w:t>
      </w:r>
    </w:p>
    <w:p w14:paraId="056ED98D" w14:textId="0855E97F" w:rsidR="00582C52" w:rsidRPr="00EC0229" w:rsidRDefault="00582C52" w:rsidP="007600EA">
      <w:pPr>
        <w:pStyle w:val="NoSpacing"/>
        <w:spacing w:line="360" w:lineRule="auto"/>
        <w:jc w:val="right"/>
        <w:rPr>
          <w:sz w:val="20"/>
          <w:szCs w:val="20"/>
        </w:rPr>
      </w:pPr>
      <w:r w:rsidRPr="00EC0229">
        <w:rPr>
          <w:sz w:val="20"/>
          <w:szCs w:val="20"/>
        </w:rPr>
        <w:t>Peter Hill, The Whithorn</w:t>
      </w:r>
      <w:r w:rsidR="006B1593" w:rsidRPr="00EC0229">
        <w:rPr>
          <w:sz w:val="20"/>
          <w:szCs w:val="20"/>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 w:val="20"/>
          <w:szCs w:val="20"/>
        </w:rPr>
        <w:fldChar w:fldCharType="end"/>
      </w:r>
      <w:r w:rsidRPr="00EC0229">
        <w:rPr>
          <w:sz w:val="20"/>
          <w:szCs w:val="20"/>
        </w:rPr>
        <w:t xml:space="preserve"> Excavations, </w:t>
      </w:r>
      <w:r w:rsidR="00DE573F" w:rsidRPr="00EC0229">
        <w:rPr>
          <w:sz w:val="20"/>
          <w:szCs w:val="20"/>
        </w:rPr>
        <w:t>(</w:t>
      </w:r>
      <w:r w:rsidR="00173788" w:rsidRPr="00EC0229">
        <w:rPr>
          <w:sz w:val="20"/>
          <w:szCs w:val="20"/>
        </w:rPr>
        <w:t>1990b,</w:t>
      </w:r>
      <w:r w:rsidR="00DE573F" w:rsidRPr="00EC0229">
        <w:rPr>
          <w:sz w:val="20"/>
          <w:szCs w:val="20"/>
        </w:rPr>
        <w:t xml:space="preserve"> Supplement,</w:t>
      </w:r>
      <w:r w:rsidRPr="00EC0229">
        <w:rPr>
          <w:sz w:val="20"/>
          <w:szCs w:val="20"/>
        </w:rPr>
        <w:t xml:space="preserve"> 12</w:t>
      </w:r>
      <w:r w:rsidR="00DE573F" w:rsidRPr="00EC0229">
        <w:rPr>
          <w:sz w:val="20"/>
          <w:szCs w:val="20"/>
        </w:rPr>
        <w:t>)</w:t>
      </w:r>
      <w:r w:rsidRPr="00EC0229">
        <w:rPr>
          <w:sz w:val="20"/>
          <w:szCs w:val="20"/>
        </w:rPr>
        <w:t>.</w:t>
      </w:r>
    </w:p>
    <w:p w14:paraId="089C99E4" w14:textId="6370B48A" w:rsidR="00582C52" w:rsidRPr="00EC0229" w:rsidRDefault="00582C52" w:rsidP="007600EA">
      <w:pPr>
        <w:pStyle w:val="NoSpacing"/>
        <w:spacing w:line="360" w:lineRule="auto"/>
        <w:rPr>
          <w:szCs w:val="24"/>
        </w:rPr>
      </w:pPr>
      <w:r w:rsidRPr="00EC0229">
        <w:rPr>
          <w:szCs w:val="24"/>
        </w:rPr>
        <w:t>The excavation, sponsored by the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Pr="00EC0229">
        <w:rPr>
          <w:szCs w:val="24"/>
        </w:rPr>
        <w:t xml:space="preserve"> Trust, was carried out mainly between 1984 and 19</w:t>
      </w:r>
      <w:r w:rsidR="007A5081" w:rsidRPr="00EC0229">
        <w:rPr>
          <w:szCs w:val="24"/>
        </w:rPr>
        <w:t xml:space="preserve">90 under the direction of </w:t>
      </w:r>
      <w:r w:rsidRPr="00EC0229">
        <w:rPr>
          <w:szCs w:val="24"/>
        </w:rPr>
        <w:t>Hill. The site was the south slope of the small hill topped by the medieval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Pr="00EC0229">
        <w:rPr>
          <w:szCs w:val="24"/>
        </w:rPr>
        <w:t>.</w:t>
      </w:r>
    </w:p>
    <w:p w14:paraId="7AC884FC" w14:textId="77777777" w:rsidR="00582C52" w:rsidRPr="00EC0229" w:rsidRDefault="00582C52" w:rsidP="007600EA">
      <w:pPr>
        <w:pStyle w:val="NoSpacing"/>
        <w:spacing w:line="360" w:lineRule="auto"/>
        <w:rPr>
          <w:szCs w:val="24"/>
        </w:rPr>
      </w:pPr>
      <w:r w:rsidRPr="00EC0229">
        <w:rPr>
          <w:szCs w:val="24"/>
        </w:rPr>
        <w:t xml:space="preserve"> </w:t>
      </w:r>
    </w:p>
    <w:p w14:paraId="79A2AA7C" w14:textId="737FC4B9" w:rsidR="00582C52" w:rsidRPr="00EC0229" w:rsidRDefault="00582C52" w:rsidP="007600EA">
      <w:pPr>
        <w:pStyle w:val="NoSpacing"/>
        <w:spacing w:line="360" w:lineRule="auto"/>
        <w:rPr>
          <w:szCs w:val="24"/>
        </w:rPr>
      </w:pPr>
      <w:r w:rsidRPr="00EC0229">
        <w:rPr>
          <w:szCs w:val="24"/>
        </w:rPr>
        <w:t>It is thought that the origin of the name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Pr="00EC0229">
        <w:rPr>
          <w:szCs w:val="24"/>
        </w:rPr>
        <w:t xml:space="preserve">, </w:t>
      </w:r>
      <w:r w:rsidRPr="00EC0229">
        <w:rPr>
          <w:i/>
          <w:szCs w:val="24"/>
        </w:rPr>
        <w:t>Candida Casa</w:t>
      </w:r>
      <w:r w:rsidRPr="00EC0229">
        <w:rPr>
          <w:szCs w:val="24"/>
        </w:rPr>
        <w:t>, has ancient roots, connected with lime-washed buildings,</w:t>
      </w:r>
      <w:r w:rsidRPr="00EC0229">
        <w:rPr>
          <w:rStyle w:val="FootnoteReference"/>
          <w:szCs w:val="24"/>
        </w:rPr>
        <w:footnoteReference w:id="1192"/>
      </w:r>
      <w:r w:rsidRPr="00EC0229">
        <w:rPr>
          <w:szCs w:val="24"/>
        </w:rPr>
        <w:t xml:space="preserve"> which predate the arrival </w:t>
      </w:r>
      <w:r w:rsidR="00E40070" w:rsidRPr="00EC0229">
        <w:rPr>
          <w:szCs w:val="24"/>
        </w:rPr>
        <w:t xml:space="preserve">of St Ninian in the late fourth </w:t>
      </w:r>
      <w:r w:rsidR="00E40070" w:rsidRPr="00EC0229">
        <w:rPr>
          <w:szCs w:val="24"/>
        </w:rPr>
        <w:lastRenderedPageBreak/>
        <w:t>century</w:t>
      </w:r>
      <w:r w:rsidRPr="00EC0229">
        <w:rPr>
          <w:szCs w:val="24"/>
        </w:rPr>
        <w:t>.</w:t>
      </w:r>
      <w:r w:rsidRPr="00EC0229">
        <w:rPr>
          <w:rStyle w:val="FootnoteReference"/>
          <w:szCs w:val="24"/>
        </w:rPr>
        <w:footnoteReference w:id="1193"/>
      </w:r>
      <w:r w:rsidRPr="00EC0229">
        <w:rPr>
          <w:szCs w:val="24"/>
        </w:rPr>
        <w:t xml:space="preserve"> The site of the earliest Christian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Pr="00EC0229">
        <w:rPr>
          <w:szCs w:val="24"/>
        </w:rPr>
        <w:t xml:space="preserve"> in Scotland, as attested by the </w:t>
      </w:r>
      <w:r w:rsidRPr="00EC0229">
        <w:rPr>
          <w:i/>
          <w:szCs w:val="24"/>
        </w:rPr>
        <w:t>Latinus</w:t>
      </w:r>
      <w:r w:rsidRPr="00EC0229">
        <w:rPr>
          <w:szCs w:val="24"/>
        </w:rPr>
        <w:t xml:space="preserve"> stone found in the 1880s,</w:t>
      </w:r>
      <w:r w:rsidRPr="00EC0229">
        <w:rPr>
          <w:rStyle w:val="FootnoteReference"/>
          <w:szCs w:val="24"/>
        </w:rPr>
        <w:footnoteReference w:id="1194"/>
      </w:r>
      <w:r w:rsidRPr="00EC0229">
        <w:rPr>
          <w:szCs w:val="24"/>
        </w:rPr>
        <w:t xml:space="preserve"> was under the influence of Bernicia</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Bernicia</w:instrText>
      </w:r>
      <w:r w:rsidR="006B1593" w:rsidRPr="00EC0229">
        <w:instrText xml:space="preserve">" </w:instrText>
      </w:r>
      <w:r w:rsidR="006B1593" w:rsidRPr="00EC0229">
        <w:rPr>
          <w:szCs w:val="24"/>
        </w:rPr>
        <w:fldChar w:fldCharType="end"/>
      </w:r>
      <w:r w:rsidRPr="00EC0229">
        <w:rPr>
          <w:szCs w:val="24"/>
        </w:rPr>
        <w:t xml:space="preserve"> by the sixth and seventh centuries.</w:t>
      </w:r>
      <w:r w:rsidRPr="00EC0229">
        <w:rPr>
          <w:rStyle w:val="FootnoteReference"/>
          <w:szCs w:val="24"/>
        </w:rPr>
        <w:footnoteReference w:id="1195"/>
      </w:r>
      <w:r w:rsidRPr="00EC0229">
        <w:rPr>
          <w:szCs w:val="24"/>
        </w:rPr>
        <w:t xml:space="preserve"> Whithorn grew into a full monastic community with Irish contacts as signified by pottery </w:t>
      </w:r>
      <w:r w:rsidR="00862F15" w:rsidRPr="00EC0229">
        <w:rPr>
          <w:szCs w:val="24"/>
        </w:rPr>
        <w:t>and</w:t>
      </w:r>
      <w:r w:rsidRPr="00EC0229">
        <w:rPr>
          <w:szCs w:val="24"/>
        </w:rPr>
        <w:t xml:space="preserve"> glass finds, burial practices, double-walled wattle buildings and some elements of church architecture (though others have a wider currency,</w:t>
      </w:r>
      <w:r w:rsidRPr="00EC0229">
        <w:rPr>
          <w:rStyle w:val="FootnoteReference"/>
          <w:szCs w:val="24"/>
        </w:rPr>
        <w:footnoteReference w:id="1196"/>
      </w:r>
      <w:r w:rsidRPr="00EC0229">
        <w:rPr>
          <w:szCs w:val="24"/>
        </w:rPr>
        <w:t xml:space="preserve"> and the greatest influence is Northumbrian</w:t>
      </w:r>
      <w:r w:rsidRPr="00EC0229">
        <w:rPr>
          <w:rStyle w:val="FootnoteReference"/>
          <w:szCs w:val="24"/>
        </w:rPr>
        <w:footnoteReference w:id="1197"/>
      </w:r>
      <w:r w:rsidRPr="00EC0229">
        <w:rPr>
          <w:szCs w:val="24"/>
        </w:rPr>
        <w:t>). Despite the defeat at Nechtansmere</w:t>
      </w:r>
      <w:r w:rsidR="00F204A1" w:rsidRPr="00EC0229">
        <w:rPr>
          <w:szCs w:val="24"/>
        </w:rPr>
        <w:fldChar w:fldCharType="begin"/>
      </w:r>
      <w:r w:rsidR="00F204A1" w:rsidRPr="00EC0229">
        <w:instrText xml:space="preserve"> XE "</w:instrText>
      </w:r>
      <w:r w:rsidR="00F204A1" w:rsidRPr="00EC0229">
        <w:rPr>
          <w:rStyle w:val="Hyperlink"/>
          <w:noProof/>
          <w:u w:val="none"/>
        </w:rPr>
        <w:instrText>Nechtansmere</w:instrText>
      </w:r>
      <w:r w:rsidR="00F204A1" w:rsidRPr="00EC0229">
        <w:instrText xml:space="preserve">" </w:instrText>
      </w:r>
      <w:r w:rsidR="00F204A1" w:rsidRPr="00EC0229">
        <w:rPr>
          <w:szCs w:val="24"/>
        </w:rPr>
        <w:fldChar w:fldCharType="end"/>
      </w:r>
      <w:r w:rsidRPr="00EC0229">
        <w:rPr>
          <w:szCs w:val="24"/>
        </w:rPr>
        <w:t>, Northumbrian influence seems to have continued as, by the time of Bede</w:t>
      </w:r>
      <w:r w:rsidR="00F66CEB" w:rsidRPr="00EC0229">
        <w:rPr>
          <w:szCs w:val="24"/>
        </w:rPr>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rPr>
          <w:szCs w:val="24"/>
        </w:rPr>
        <w:fldChar w:fldCharType="end"/>
      </w:r>
      <w:r w:rsidRPr="00EC0229">
        <w:rPr>
          <w:szCs w:val="24"/>
        </w:rPr>
        <w:t xml:space="preserve">’s </w:t>
      </w:r>
      <w:r w:rsidRPr="00EC0229">
        <w:rPr>
          <w:i/>
          <w:iCs/>
          <w:szCs w:val="24"/>
        </w:rPr>
        <w:t xml:space="preserve">Ecclesiastical History </w:t>
      </w:r>
      <w:r w:rsidRPr="00EC0229">
        <w:rPr>
          <w:iCs/>
          <w:szCs w:val="24"/>
        </w:rPr>
        <w:t>(</w:t>
      </w:r>
      <w:r w:rsidRPr="00EC0229">
        <w:rPr>
          <w:i/>
          <w:iCs/>
          <w:szCs w:val="24"/>
        </w:rPr>
        <w:t>c</w:t>
      </w:r>
      <w:r w:rsidRPr="00EC0229">
        <w:rPr>
          <w:iCs/>
          <w:szCs w:val="24"/>
        </w:rPr>
        <w:t>.</w:t>
      </w:r>
      <w:r w:rsidRPr="00EC0229">
        <w:rPr>
          <w:szCs w:val="24"/>
        </w:rPr>
        <w:t>731), a No</w:t>
      </w:r>
      <w:r w:rsidR="002226A8" w:rsidRPr="00EC0229">
        <w:rPr>
          <w:szCs w:val="24"/>
        </w:rPr>
        <w:t>rthumbrian bishopric, under Pec</w:t>
      </w:r>
      <w:r w:rsidRPr="00EC0229">
        <w:rPr>
          <w:szCs w:val="24"/>
        </w:rPr>
        <w:t>thelm, had been established to administer western domains.</w:t>
      </w:r>
      <w:r w:rsidRPr="00EC0229">
        <w:rPr>
          <w:rStyle w:val="FootnoteReference"/>
          <w:szCs w:val="24"/>
        </w:rPr>
        <w:footnoteReference w:id="1198"/>
      </w:r>
      <w:r w:rsidRPr="00EC0229">
        <w:rPr>
          <w:szCs w:val="24"/>
        </w:rPr>
        <w:t xml:space="preserve"> </w:t>
      </w:r>
    </w:p>
    <w:p w14:paraId="70734976" w14:textId="77777777" w:rsidR="00582C52" w:rsidRPr="00EC0229" w:rsidRDefault="00582C52" w:rsidP="007600EA">
      <w:pPr>
        <w:pStyle w:val="NoSpacing"/>
        <w:spacing w:line="360" w:lineRule="auto"/>
        <w:rPr>
          <w:szCs w:val="24"/>
        </w:rPr>
      </w:pPr>
    </w:p>
    <w:p w14:paraId="11D61BCC" w14:textId="28F8F02E" w:rsidR="00582C52" w:rsidRPr="00EC0229" w:rsidRDefault="00582C52" w:rsidP="007600EA">
      <w:pPr>
        <w:pStyle w:val="NoSpacing"/>
        <w:spacing w:line="360" w:lineRule="auto"/>
        <w:rPr>
          <w:szCs w:val="24"/>
        </w:rPr>
      </w:pPr>
      <w:r w:rsidRPr="00EC0229">
        <w:rPr>
          <w:szCs w:val="24"/>
        </w:rPr>
        <w:t>The Isle of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Pr="00EC0229">
        <w:rPr>
          <w:szCs w:val="24"/>
        </w:rPr>
        <w:t xml:space="preserve"> afforded a natural harbour and the Galloway hinterland</w:t>
      </w:r>
      <w:r w:rsidR="008960AE" w:rsidRPr="00EC0229">
        <w:rPr>
          <w:szCs w:val="24"/>
        </w:rPr>
        <w:fldChar w:fldCharType="begin"/>
      </w:r>
      <w:r w:rsidR="008960AE" w:rsidRPr="00EC0229">
        <w:instrText xml:space="preserve"> XE "</w:instrText>
      </w:r>
      <w:r w:rsidR="008960AE" w:rsidRPr="00EC0229">
        <w:rPr>
          <w:rFonts w:cs="Times New Roman"/>
          <w:szCs w:val="24"/>
        </w:rPr>
        <w:instrText>hinterland</w:instrText>
      </w:r>
      <w:r w:rsidR="008960AE" w:rsidRPr="00EC0229">
        <w:instrText xml:space="preserve">" </w:instrText>
      </w:r>
      <w:r w:rsidR="008960AE" w:rsidRPr="00EC0229">
        <w:rPr>
          <w:szCs w:val="24"/>
        </w:rPr>
        <w:fldChar w:fldCharType="end"/>
      </w:r>
      <w:r w:rsidRPr="00EC0229">
        <w:rPr>
          <w:szCs w:val="24"/>
        </w:rPr>
        <w:t xml:space="preserve"> provided the favourably-sited Whithorn with raw materials including red deer antler, leather, iron and lead. These were worked locally</w:t>
      </w:r>
      <w:r w:rsidRPr="00EC0229">
        <w:rPr>
          <w:rStyle w:val="FootnoteReference"/>
          <w:szCs w:val="24"/>
        </w:rPr>
        <w:footnoteReference w:id="1199"/>
      </w:r>
      <w:r w:rsidRPr="00EC0229">
        <w:rPr>
          <w:szCs w:val="24"/>
        </w:rPr>
        <w:t xml:space="preserve"> and traded with merchants from Gaul and the Mediterranean for glassware, bronze pins, soapstone and whetstone.</w:t>
      </w:r>
      <w:r w:rsidR="00396BF0" w:rsidRPr="00EC0229">
        <w:rPr>
          <w:rStyle w:val="FootnoteReference"/>
          <w:szCs w:val="24"/>
        </w:rPr>
        <w:footnoteReference w:id="1200"/>
      </w:r>
      <w:r w:rsidRPr="00EC0229">
        <w:rPr>
          <w:szCs w:val="24"/>
        </w:rPr>
        <w:t xml:space="preserve"> Later, Whithorn became a Hiberno-Norse trading post and place names reveal limited Norse settlement</w:t>
      </w:r>
      <w:r w:rsidR="00D142DC" w:rsidRPr="00EC0229">
        <w:rPr>
          <w:szCs w:val="24"/>
        </w:rPr>
        <w:fldChar w:fldCharType="begin"/>
      </w:r>
      <w:r w:rsidR="00D142DC" w:rsidRPr="00EC0229">
        <w:instrText xml:space="preserve"> XE "settlement" </w:instrText>
      </w:r>
      <w:r w:rsidR="00D142DC" w:rsidRPr="00EC0229">
        <w:rPr>
          <w:szCs w:val="24"/>
        </w:rPr>
        <w:fldChar w:fldCharType="end"/>
      </w:r>
      <w:r w:rsidRPr="00EC0229">
        <w:rPr>
          <w:szCs w:val="24"/>
        </w:rPr>
        <w:t>.</w:t>
      </w:r>
      <w:r w:rsidRPr="00EC0229">
        <w:rPr>
          <w:rStyle w:val="FootnoteReference"/>
          <w:szCs w:val="24"/>
        </w:rPr>
        <w:footnoteReference w:id="1201"/>
      </w:r>
    </w:p>
    <w:p w14:paraId="5DF51230" w14:textId="77777777" w:rsidR="00582C52" w:rsidRPr="00EC0229" w:rsidRDefault="00582C52" w:rsidP="007600EA">
      <w:pPr>
        <w:pStyle w:val="NoSpacing"/>
        <w:spacing w:line="360" w:lineRule="auto"/>
        <w:rPr>
          <w:szCs w:val="24"/>
        </w:rPr>
      </w:pPr>
    </w:p>
    <w:p w14:paraId="1DC7944E" w14:textId="5BBF4ED7" w:rsidR="00582C52" w:rsidRPr="00EC0229" w:rsidRDefault="00582C52" w:rsidP="007600EA">
      <w:pPr>
        <w:pStyle w:val="NoSpacing"/>
        <w:spacing w:line="360" w:lineRule="auto"/>
        <w:rPr>
          <w:szCs w:val="24"/>
        </w:rPr>
      </w:pPr>
      <w:r w:rsidRPr="00EC0229">
        <w:rPr>
          <w:szCs w:val="24"/>
        </w:rPr>
        <w:t>The periodic sequence of coin finds corresponds neatly with the stratigraphy.</w:t>
      </w:r>
      <w:r w:rsidRPr="00EC0229">
        <w:rPr>
          <w:rStyle w:val="FootnoteReference"/>
          <w:szCs w:val="24"/>
        </w:rPr>
        <w:footnoteReference w:id="1202"/>
      </w:r>
      <w:r w:rsidR="00056A2B" w:rsidRPr="00EC0229">
        <w:rPr>
          <w:szCs w:val="24"/>
        </w:rPr>
        <w:t xml:space="preserve"> A children’s</w:t>
      </w:r>
      <w:r w:rsidRPr="00EC0229">
        <w:rPr>
          <w:szCs w:val="24"/>
        </w:rPr>
        <w:t xml:space="preserve"> graveyard within the precinct signifies a lay population alongside the monastery, which was probably also a shrine to St. Ninian. Food debris is interpreted as evidence that the royal entourage visited to collect renders. Archaeology from the Northumbrian period is well preserved but the settlement</w:t>
      </w:r>
      <w:r w:rsidR="00D142DC" w:rsidRPr="00EC0229">
        <w:rPr>
          <w:szCs w:val="24"/>
        </w:rPr>
        <w:fldChar w:fldCharType="begin"/>
      </w:r>
      <w:r w:rsidR="00D142DC" w:rsidRPr="00EC0229">
        <w:instrText xml:space="preserve"> XE "settlement" </w:instrText>
      </w:r>
      <w:r w:rsidR="00D142DC" w:rsidRPr="00EC0229">
        <w:rPr>
          <w:szCs w:val="24"/>
        </w:rPr>
        <w:fldChar w:fldCharType="end"/>
      </w:r>
      <w:r w:rsidRPr="00EC0229">
        <w:rPr>
          <w:szCs w:val="24"/>
        </w:rPr>
        <w:t xml:space="preserve"> is far from fully explored. There is little penetration of coinage rurally, just a few finds of Northumbrian coins at Barhobble (Mochrum) and Luce Sands,</w:t>
      </w:r>
      <w:r w:rsidRPr="00EC0229">
        <w:rPr>
          <w:rStyle w:val="FootnoteReference"/>
          <w:szCs w:val="24"/>
        </w:rPr>
        <w:footnoteReference w:id="1203"/>
      </w:r>
      <w:r w:rsidRPr="00EC0229">
        <w:rPr>
          <w:szCs w:val="24"/>
        </w:rPr>
        <w:t xml:space="preserve"> possibly a beach market similar to Meols.</w:t>
      </w:r>
      <w:r w:rsidRPr="00EC0229">
        <w:rPr>
          <w:rStyle w:val="FootnoteReference"/>
          <w:szCs w:val="24"/>
        </w:rPr>
        <w:footnoteReference w:id="1204"/>
      </w:r>
      <w:r w:rsidRPr="00EC0229">
        <w:rPr>
          <w:szCs w:val="24"/>
        </w:rPr>
        <w:t xml:space="preserve"> However, the impressive volume of coin recoveries should not be interpreted so</w:t>
      </w:r>
      <w:r w:rsidR="00FA5D4F" w:rsidRPr="00EC0229">
        <w:rPr>
          <w:szCs w:val="24"/>
        </w:rPr>
        <w:t xml:space="preserve">lely as market activity, but </w:t>
      </w:r>
      <w:r w:rsidRPr="00EC0229">
        <w:rPr>
          <w:szCs w:val="24"/>
        </w:rPr>
        <w:t xml:space="preserve">probably also </w:t>
      </w:r>
      <w:r w:rsidR="00FA5D4F" w:rsidRPr="00EC0229">
        <w:rPr>
          <w:szCs w:val="24"/>
        </w:rPr>
        <w:t xml:space="preserve">as </w:t>
      </w:r>
      <w:r w:rsidRPr="00EC0229">
        <w:rPr>
          <w:szCs w:val="24"/>
        </w:rPr>
        <w:t>cultic.</w:t>
      </w:r>
    </w:p>
    <w:p w14:paraId="0C913826" w14:textId="77777777" w:rsidR="00582C52" w:rsidRPr="00EC0229" w:rsidRDefault="00582C52" w:rsidP="007600EA">
      <w:pPr>
        <w:pStyle w:val="NoSpacing"/>
        <w:spacing w:line="360" w:lineRule="auto"/>
        <w:rPr>
          <w:szCs w:val="24"/>
        </w:rPr>
      </w:pPr>
    </w:p>
    <w:p w14:paraId="3A23CC0B" w14:textId="6E967125" w:rsidR="00582C52" w:rsidRPr="00EC0229" w:rsidRDefault="00582C52" w:rsidP="007600EA">
      <w:pPr>
        <w:pStyle w:val="NoSpacing"/>
        <w:spacing w:line="360" w:lineRule="auto"/>
        <w:rPr>
          <w:szCs w:val="24"/>
        </w:rPr>
      </w:pPr>
      <w:r w:rsidRPr="00EC0229">
        <w:rPr>
          <w:szCs w:val="24"/>
        </w:rPr>
        <w:lastRenderedPageBreak/>
        <w:t>Moreo</w:t>
      </w:r>
      <w:r w:rsidR="00FA5D4F" w:rsidRPr="00EC0229">
        <w:rPr>
          <w:szCs w:val="24"/>
        </w:rPr>
        <w:t>ver, as Brooke said</w:t>
      </w:r>
      <w:r w:rsidRPr="00EC0229">
        <w:rPr>
          <w:szCs w:val="24"/>
        </w:rPr>
        <w:t>: ‘The Christian settlement</w:t>
      </w:r>
      <w:r w:rsidR="00D142DC" w:rsidRPr="00EC0229">
        <w:rPr>
          <w:szCs w:val="24"/>
        </w:rPr>
        <w:fldChar w:fldCharType="begin"/>
      </w:r>
      <w:r w:rsidR="00D142DC" w:rsidRPr="00EC0229">
        <w:instrText xml:space="preserve"> XE "settlement" </w:instrText>
      </w:r>
      <w:r w:rsidR="00D142DC" w:rsidRPr="00EC0229">
        <w:rPr>
          <w:szCs w:val="24"/>
        </w:rPr>
        <w:fldChar w:fldCharType="end"/>
      </w:r>
      <w:r w:rsidRPr="00EC0229">
        <w:rPr>
          <w:szCs w:val="24"/>
        </w:rPr>
        <w:t xml:space="preserve"> at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Pr="00EC0229">
        <w:rPr>
          <w:szCs w:val="24"/>
        </w:rPr>
        <w:t xml:space="preserve"> has now to be seen, not as a retreat for contemplation and personal soul-saving, but as a resolute intrusion into the religious core of a tribal society.’</w:t>
      </w:r>
      <w:r w:rsidRPr="00EC0229">
        <w:rPr>
          <w:rStyle w:val="FootnoteReference"/>
          <w:szCs w:val="24"/>
        </w:rPr>
        <w:footnoteReference w:id="1205"/>
      </w:r>
      <w:r w:rsidRPr="00EC0229">
        <w:rPr>
          <w:szCs w:val="24"/>
        </w:rPr>
        <w:t xml:space="preserve"> Pagan practices are represented by nearby rock carvings. </w:t>
      </w:r>
    </w:p>
    <w:p w14:paraId="0A578B5B" w14:textId="77777777" w:rsidR="00582C52" w:rsidRPr="00EC0229" w:rsidRDefault="00582C52" w:rsidP="007600EA">
      <w:pPr>
        <w:pStyle w:val="NoSpacing"/>
        <w:spacing w:line="360" w:lineRule="auto"/>
        <w:jc w:val="center"/>
        <w:rPr>
          <w:szCs w:val="24"/>
        </w:rPr>
      </w:pPr>
      <w:r w:rsidRPr="00EC0229">
        <w:rPr>
          <w:noProof/>
          <w:szCs w:val="24"/>
          <w:lang w:eastAsia="en-GB"/>
        </w:rPr>
        <w:drawing>
          <wp:inline distT="0" distB="0" distL="0" distR="0" wp14:anchorId="118F804B" wp14:editId="49396DCD">
            <wp:extent cx="758499" cy="1095375"/>
            <wp:effectExtent l="0" t="0" r="381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ithorn rock carving.jpg"/>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773378" cy="1116862"/>
                    </a:xfrm>
                    <a:prstGeom prst="rect">
                      <a:avLst/>
                    </a:prstGeom>
                  </pic:spPr>
                </pic:pic>
              </a:graphicData>
            </a:graphic>
          </wp:inline>
        </w:drawing>
      </w:r>
      <w:r w:rsidRPr="00EC0229">
        <w:rPr>
          <w:szCs w:val="24"/>
        </w:rPr>
        <w:tab/>
      </w:r>
      <w:r w:rsidRPr="00EC0229">
        <w:rPr>
          <w:noProof/>
          <w:szCs w:val="24"/>
          <w:lang w:eastAsia="en-GB"/>
        </w:rPr>
        <w:drawing>
          <wp:inline distT="0" distB="0" distL="0" distR="0" wp14:anchorId="3B361FEC" wp14:editId="26738165">
            <wp:extent cx="908987" cy="869950"/>
            <wp:effectExtent l="0" t="0" r="5715" b="635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ithorn EMC 1997.0404R.jpg"/>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939440" cy="899095"/>
                    </a:xfrm>
                    <a:prstGeom prst="rect">
                      <a:avLst/>
                    </a:prstGeom>
                  </pic:spPr>
                </pic:pic>
              </a:graphicData>
            </a:graphic>
          </wp:inline>
        </w:drawing>
      </w:r>
    </w:p>
    <w:p w14:paraId="79D14C71" w14:textId="386958FC" w:rsidR="00941A45" w:rsidRDefault="003977B6" w:rsidP="007600EA">
      <w:pPr>
        <w:pStyle w:val="NoSpacing"/>
        <w:spacing w:line="360" w:lineRule="auto"/>
        <w:jc w:val="center"/>
        <w:rPr>
          <w:sz w:val="20"/>
          <w:szCs w:val="20"/>
        </w:rPr>
      </w:pPr>
      <w:bookmarkStart w:id="889" w:name="_Ref430249558"/>
      <w:bookmarkStart w:id="890" w:name="_Toc468267133"/>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161</w:t>
      </w:r>
      <w:r w:rsidR="00B609E3" w:rsidRPr="00EC0229">
        <w:rPr>
          <w:noProof/>
          <w:sz w:val="20"/>
          <w:szCs w:val="20"/>
        </w:rPr>
        <w:fldChar w:fldCharType="end"/>
      </w:r>
      <w:bookmarkEnd w:id="889"/>
      <w:r w:rsidR="00EE192A" w:rsidRPr="00EC0229">
        <w:rPr>
          <w:sz w:val="20"/>
          <w:szCs w:val="20"/>
        </w:rPr>
        <w:t xml:space="preserve">: </w:t>
      </w:r>
      <w:r w:rsidR="00582C52" w:rsidRPr="00EC0229">
        <w:rPr>
          <w:sz w:val="20"/>
          <w:szCs w:val="20"/>
        </w:rPr>
        <w:t>L: Carvings from Egg</w:t>
      </w:r>
      <w:r w:rsidR="00565E13" w:rsidRPr="00EC0229">
        <w:rPr>
          <w:sz w:val="20"/>
          <w:szCs w:val="20"/>
        </w:rPr>
        <w:t>erness Peninsula</w:t>
      </w:r>
      <w:bookmarkEnd w:id="890"/>
      <w:r w:rsidR="00565E13" w:rsidRPr="00EC0229">
        <w:rPr>
          <w:sz w:val="20"/>
          <w:szCs w:val="20"/>
        </w:rPr>
        <w:t xml:space="preserve"> </w:t>
      </w:r>
    </w:p>
    <w:p w14:paraId="67F52343" w14:textId="785541FC" w:rsidR="00565E13" w:rsidRPr="00EC0229" w:rsidRDefault="00565E13" w:rsidP="007600EA">
      <w:pPr>
        <w:pStyle w:val="NoSpacing"/>
        <w:spacing w:line="360" w:lineRule="auto"/>
        <w:jc w:val="center"/>
        <w:rPr>
          <w:sz w:val="20"/>
          <w:szCs w:val="20"/>
        </w:rPr>
      </w:pPr>
      <w:r w:rsidRPr="00EC0229">
        <w:rPr>
          <w:sz w:val="20"/>
          <w:szCs w:val="20"/>
        </w:rPr>
        <w:t>(Brooke, fig. 2</w:t>
      </w:r>
      <w:r w:rsidR="00582C52" w:rsidRPr="00EC0229">
        <w:rPr>
          <w:sz w:val="20"/>
          <w:szCs w:val="20"/>
        </w:rPr>
        <w:t>B).</w:t>
      </w:r>
    </w:p>
    <w:p w14:paraId="5B89CEDD" w14:textId="76EB964A" w:rsidR="00582C52" w:rsidRPr="00EC0229" w:rsidRDefault="00582C52" w:rsidP="007600EA">
      <w:pPr>
        <w:pStyle w:val="NoSpacing"/>
        <w:spacing w:line="360" w:lineRule="auto"/>
        <w:jc w:val="center"/>
        <w:rPr>
          <w:sz w:val="20"/>
          <w:szCs w:val="20"/>
        </w:rPr>
      </w:pPr>
      <w:r w:rsidRPr="00EC0229">
        <w:rPr>
          <w:sz w:val="20"/>
          <w:szCs w:val="20"/>
        </w:rPr>
        <w:t>R: Sceat of 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Pr="00EC0229">
        <w:rPr>
          <w:sz w:val="20"/>
          <w:szCs w:val="20"/>
        </w:rPr>
        <w:t>, Whithorn</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Whithorn</w:instrText>
      </w:r>
      <w:r w:rsidR="006B1593" w:rsidRPr="00EC0229">
        <w:rPr>
          <w:sz w:val="20"/>
          <w:szCs w:val="20"/>
        </w:rPr>
        <w:instrText xml:space="preserve">" </w:instrText>
      </w:r>
      <w:r w:rsidR="006B1593" w:rsidRPr="00EC0229">
        <w:rPr>
          <w:sz w:val="20"/>
          <w:szCs w:val="20"/>
        </w:rPr>
        <w:fldChar w:fldCharType="end"/>
      </w:r>
      <w:r w:rsidRPr="00EC0229">
        <w:rPr>
          <w:sz w:val="20"/>
          <w:szCs w:val="20"/>
        </w:rPr>
        <w:t xml:space="preserve"> (EMC1997.0404)</w:t>
      </w:r>
      <w:bookmarkStart w:id="891" w:name="_Ref468089439"/>
      <w:r w:rsidR="00F46707">
        <w:rPr>
          <w:rStyle w:val="FootnoteReference"/>
          <w:sz w:val="20"/>
          <w:szCs w:val="20"/>
        </w:rPr>
        <w:footnoteReference w:id="1206"/>
      </w:r>
      <w:bookmarkEnd w:id="891"/>
    </w:p>
    <w:p w14:paraId="50D1E5F3" w14:textId="77777777" w:rsidR="00582C52" w:rsidRPr="00EC0229" w:rsidRDefault="00582C52" w:rsidP="007600EA">
      <w:pPr>
        <w:pStyle w:val="NoSpacing"/>
        <w:spacing w:line="360" w:lineRule="auto"/>
        <w:rPr>
          <w:szCs w:val="24"/>
        </w:rPr>
      </w:pPr>
    </w:p>
    <w:p w14:paraId="1F6F8A2C" w14:textId="6A9E708B" w:rsidR="00582C52" w:rsidRPr="00EC0229" w:rsidRDefault="002E5552" w:rsidP="007600EA">
      <w:pPr>
        <w:pStyle w:val="NoSpacing"/>
        <w:spacing w:line="360" w:lineRule="auto"/>
        <w:rPr>
          <w:szCs w:val="24"/>
        </w:rPr>
      </w:pPr>
      <w:r w:rsidRPr="00EC0229">
        <w:rPr>
          <w:szCs w:val="24"/>
        </w:rPr>
        <w:t xml:space="preserve">As </w:t>
      </w:r>
      <w:r w:rsidR="00582C52" w:rsidRPr="00EC0229">
        <w:rPr>
          <w:szCs w:val="24"/>
        </w:rPr>
        <w:t>remarked earlier,</w:t>
      </w:r>
      <w:r w:rsidRPr="00EC0229">
        <w:rPr>
          <w:rStyle w:val="FootnoteReference"/>
          <w:szCs w:val="24"/>
        </w:rPr>
        <w:footnoteReference w:id="1207"/>
      </w:r>
      <w:r w:rsidR="00582C52" w:rsidRPr="00EC0229">
        <w:rPr>
          <w:szCs w:val="24"/>
        </w:rPr>
        <w:t xml:space="preserve"> the conflation of such a horned deity into the Northumbrian leonine crest may be intentionally ambiguous</w:t>
      </w:r>
      <w:r w:rsidR="00EE192A" w:rsidRPr="00EC0229">
        <w:rPr>
          <w:szCs w:val="24"/>
        </w:rPr>
        <w:t xml:space="preserve"> </w:t>
      </w:r>
      <w:r w:rsidR="00EE192A" w:rsidRPr="00EC0229">
        <w:t>(</w:t>
      </w:r>
      <w:r w:rsidR="009E07B9" w:rsidRPr="00EC0229">
        <w:fldChar w:fldCharType="begin"/>
      </w:r>
      <w:r w:rsidR="009E07B9" w:rsidRPr="00EC0229">
        <w:instrText xml:space="preserve"> REF _Ref430249558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161</w:t>
      </w:r>
      <w:r w:rsidR="009E07B9" w:rsidRPr="00EC0229">
        <w:fldChar w:fldCharType="end"/>
      </w:r>
      <w:r w:rsidR="00EE192A" w:rsidRPr="00EC0229">
        <w:t>)</w:t>
      </w:r>
      <w:r w:rsidR="00FA5D4F" w:rsidRPr="00EC0229">
        <w:rPr>
          <w:szCs w:val="24"/>
        </w:rPr>
        <w:t>. Brooke added</w:t>
      </w:r>
      <w:r w:rsidR="00582C52" w:rsidRPr="00EC0229">
        <w:rPr>
          <w:szCs w:val="24"/>
        </w:rPr>
        <w:t>: ‘How benign was that compromise between the new faith and the old religion.’</w:t>
      </w:r>
      <w:r w:rsidR="00582C52" w:rsidRPr="00EC0229">
        <w:rPr>
          <w:rStyle w:val="FootnoteReference"/>
          <w:szCs w:val="24"/>
        </w:rPr>
        <w:footnoteReference w:id="1208"/>
      </w:r>
      <w:r w:rsidR="00582C52" w:rsidRPr="00EC0229">
        <w:rPr>
          <w:szCs w:val="24"/>
        </w:rPr>
        <w:t xml:space="preserve"> The tenacity of cults should not be underestimated.</w:t>
      </w:r>
    </w:p>
    <w:p w14:paraId="15148D3C" w14:textId="77777777" w:rsidR="00582C52" w:rsidRPr="00EC0229" w:rsidRDefault="00582C52" w:rsidP="007600EA">
      <w:pPr>
        <w:pStyle w:val="NoSpacing"/>
        <w:spacing w:line="360" w:lineRule="auto"/>
      </w:pPr>
    </w:p>
    <w:p w14:paraId="507AE2B4" w14:textId="33327348" w:rsidR="00582C52" w:rsidRPr="00EC0229" w:rsidRDefault="006E47ED" w:rsidP="00770D99">
      <w:pPr>
        <w:pStyle w:val="Heading7"/>
        <w:spacing w:line="360" w:lineRule="auto"/>
        <w:ind w:left="0"/>
      </w:pPr>
      <w:r w:rsidRPr="00624DF5">
        <w:rPr>
          <w:b/>
        </w:rPr>
        <w:t>C</w:t>
      </w:r>
      <w:r w:rsidR="00582C52" w:rsidRPr="00624DF5">
        <w:rPr>
          <w:b/>
        </w:rPr>
        <w:t>oinage</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Coinage</w:instrText>
      </w:r>
      <w:r w:rsidR="00584C42" w:rsidRPr="00EC0229">
        <w:instrText xml:space="preserve">" </w:instrText>
      </w:r>
      <w:r w:rsidR="00584C42" w:rsidRPr="00EC0229">
        <w:fldChar w:fldCharType="end"/>
      </w:r>
    </w:p>
    <w:p w14:paraId="1557FE2B" w14:textId="50BE2BAA" w:rsidR="00582C52" w:rsidRPr="00EC0229" w:rsidRDefault="00582C52" w:rsidP="007600EA">
      <w:pPr>
        <w:pStyle w:val="NoSpacing"/>
        <w:spacing w:line="360" w:lineRule="auto"/>
        <w:rPr>
          <w:szCs w:val="24"/>
        </w:rPr>
      </w:pPr>
      <w:r w:rsidRPr="00EC0229">
        <w:rPr>
          <w:szCs w:val="24"/>
        </w:rPr>
        <w:t>Given the antiquity of the site and the clear indications of early trading activity, the absence of any coinage before Period 5</w:t>
      </w:r>
      <w:r w:rsidR="00F204A1" w:rsidRPr="00EC0229">
        <w:rPr>
          <w:szCs w:val="24"/>
        </w:rPr>
        <w:fldChar w:fldCharType="begin"/>
      </w:r>
      <w:r w:rsidR="00F204A1" w:rsidRPr="00EC0229">
        <w:instrText xml:space="preserve"> XE "</w:instrText>
      </w:r>
      <w:r w:rsidR="00F204A1" w:rsidRPr="00EC0229">
        <w:rPr>
          <w:rStyle w:val="Hyperlink"/>
          <w:noProof/>
          <w:u w:val="none"/>
        </w:rPr>
        <w:instrText>Period 5</w:instrText>
      </w:r>
      <w:r w:rsidR="00F204A1" w:rsidRPr="00EC0229">
        <w:instrText xml:space="preserve">" </w:instrText>
      </w:r>
      <w:r w:rsidR="00F204A1" w:rsidRPr="00EC0229">
        <w:rPr>
          <w:szCs w:val="24"/>
        </w:rPr>
        <w:fldChar w:fldCharType="end"/>
      </w:r>
      <w:r w:rsidRPr="00EC0229">
        <w:rPr>
          <w:szCs w:val="24"/>
        </w:rPr>
        <w:t xml:space="preserve"> is a little surprising. Possibly, this is due to the relatively restricted excavation, so that early finds are yet to be exposed. The earliest specimen, in excellent condition</w:t>
      </w:r>
      <w:r w:rsidR="00CC1494" w:rsidRPr="00EC0229">
        <w:rPr>
          <w:szCs w:val="24"/>
        </w:rPr>
        <w:t xml:space="preserve"> (</w:t>
      </w:r>
      <w:r w:rsidR="00CC1494" w:rsidRPr="00EC0229">
        <w:rPr>
          <w:szCs w:val="24"/>
        </w:rPr>
        <w:fldChar w:fldCharType="begin"/>
      </w:r>
      <w:r w:rsidR="00CC1494" w:rsidRPr="00EC0229">
        <w:rPr>
          <w:szCs w:val="24"/>
        </w:rPr>
        <w:instrText xml:space="preserve"> REF _Ref430249567 \h </w:instrText>
      </w:r>
      <w:r w:rsidR="007600EA" w:rsidRPr="00EC0229">
        <w:rPr>
          <w:szCs w:val="24"/>
        </w:rPr>
        <w:instrText xml:space="preserve"> \* MERGEFORMAT </w:instrText>
      </w:r>
      <w:r w:rsidR="00CC1494" w:rsidRPr="00EC0229">
        <w:rPr>
          <w:szCs w:val="24"/>
        </w:rPr>
      </w:r>
      <w:r w:rsidR="00CC1494" w:rsidRPr="00EC0229">
        <w:rPr>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162</w:t>
      </w:r>
      <w:r w:rsidR="00CC1494" w:rsidRPr="00EC0229">
        <w:rPr>
          <w:szCs w:val="24"/>
        </w:rPr>
        <w:fldChar w:fldCharType="end"/>
      </w:r>
      <w:r w:rsidR="00CC1494" w:rsidRPr="00EC0229">
        <w:rPr>
          <w:szCs w:val="24"/>
        </w:rPr>
        <w:t>L)</w:t>
      </w:r>
      <w:r w:rsidRPr="00EC0229">
        <w:rPr>
          <w:szCs w:val="24"/>
        </w:rPr>
        <w:t>, lends weight to a northern source for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Pr="00EC0229">
        <w:rPr>
          <w:szCs w:val="24"/>
        </w:rPr>
        <w:t xml:space="preserve"> J</w:t>
      </w:r>
      <w:r w:rsidR="00EE0EF1" w:rsidRPr="00EC0229">
        <w:rPr>
          <w:szCs w:val="24"/>
        </w:rPr>
        <w:t>, [5a]</w:t>
      </w:r>
      <w:r w:rsidRPr="00EC0229">
        <w:rPr>
          <w:szCs w:val="24"/>
        </w:rPr>
        <w:t>. This sits comfortably alongside the regal and ecclesiastical issues of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present here in numbers. The sceats of Eadberht</w:t>
      </w:r>
      <w:r w:rsidR="00D142DC" w:rsidRPr="00EC0229">
        <w:rPr>
          <w:szCs w:val="24"/>
        </w:rPr>
        <w:fldChar w:fldCharType="begin"/>
      </w:r>
      <w:r w:rsidR="00D142DC" w:rsidRPr="00EC0229">
        <w:instrText xml:space="preserve"> XE "Eadberht" </w:instrText>
      </w:r>
      <w:r w:rsidR="00D142DC" w:rsidRPr="00EC0229">
        <w:rPr>
          <w:szCs w:val="24"/>
        </w:rPr>
        <w:fldChar w:fldCharType="end"/>
      </w:r>
      <w:r w:rsidRPr="00EC0229">
        <w:rPr>
          <w:szCs w:val="24"/>
        </w:rPr>
        <w:t xml:space="preserve"> are well represented, </w:t>
      </w:r>
      <w:r w:rsidR="00EE0EF1" w:rsidRPr="00EC0229">
        <w:rPr>
          <w:szCs w:val="24"/>
        </w:rPr>
        <w:t xml:space="preserve">[N6], </w:t>
      </w:r>
      <w:r w:rsidRPr="00EC0229">
        <w:rPr>
          <w:szCs w:val="24"/>
        </w:rPr>
        <w:t>showing the rich variety of types. Conditions vary, demonstrating the replenishment of well-worn specimens; a joint issue sceat of Eadberht and Ecgberht</w:t>
      </w:r>
      <w:r w:rsidR="00D142DC" w:rsidRPr="00EC0229">
        <w:rPr>
          <w:szCs w:val="24"/>
        </w:rPr>
        <w:fldChar w:fldCharType="begin"/>
      </w:r>
      <w:r w:rsidR="00D142DC" w:rsidRPr="00EC0229">
        <w:instrText xml:space="preserve"> XE "Ecgberht" </w:instrText>
      </w:r>
      <w:r w:rsidR="00D142DC" w:rsidRPr="00EC0229">
        <w:rPr>
          <w:szCs w:val="24"/>
        </w:rPr>
        <w:fldChar w:fldCharType="end"/>
      </w:r>
      <w:r w:rsidRPr="00EC0229">
        <w:rPr>
          <w:szCs w:val="24"/>
        </w:rPr>
        <w:t xml:space="preserve"> is beautifully preserved</w:t>
      </w:r>
      <w:r w:rsidR="00EE192A" w:rsidRPr="00EC0229">
        <w:rPr>
          <w:szCs w:val="24"/>
        </w:rPr>
        <w:t xml:space="preserve"> </w:t>
      </w:r>
      <w:r w:rsidR="00EE192A" w:rsidRPr="00EC0229">
        <w:t>(</w:t>
      </w:r>
      <w:r w:rsidR="009E07B9" w:rsidRPr="00EC0229">
        <w:fldChar w:fldCharType="begin"/>
      </w:r>
      <w:r w:rsidR="009E07B9" w:rsidRPr="00EC0229">
        <w:instrText xml:space="preserve"> REF _Ref430249567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162</w:t>
      </w:r>
      <w:r w:rsidR="009E07B9" w:rsidRPr="00EC0229">
        <w:fldChar w:fldCharType="end"/>
      </w:r>
      <w:r w:rsidR="00CC1494" w:rsidRPr="00EC0229">
        <w:t>R</w:t>
      </w:r>
      <w:r w:rsidR="00EE192A" w:rsidRPr="00EC0229">
        <w:t>)</w:t>
      </w:r>
      <w:r w:rsidR="00EE0EF1" w:rsidRPr="00EC0229">
        <w:t>, [N7]</w:t>
      </w:r>
      <w:r w:rsidRPr="00EC0229">
        <w:rPr>
          <w:szCs w:val="24"/>
        </w:rPr>
        <w:t xml:space="preserve">. </w:t>
      </w:r>
    </w:p>
    <w:p w14:paraId="6BBE64E0" w14:textId="02FF1050" w:rsidR="00582C52" w:rsidRPr="00EC0229" w:rsidRDefault="00CC1494" w:rsidP="007600EA">
      <w:pPr>
        <w:pStyle w:val="NoSpacing"/>
        <w:spacing w:line="360" w:lineRule="auto"/>
        <w:jc w:val="center"/>
        <w:rPr>
          <w:rFonts w:eastAsia="Times New Roman" w:cs="Times New Roman"/>
          <w:szCs w:val="24"/>
          <w:lang w:eastAsia="en-GB"/>
        </w:rPr>
      </w:pPr>
      <w:r w:rsidRPr="00EC0229">
        <w:rPr>
          <w:rFonts w:eastAsia="Times New Roman" w:cs="Times New Roman"/>
          <w:noProof/>
          <w:szCs w:val="24"/>
          <w:lang w:eastAsia="en-GB"/>
        </w:rPr>
        <w:drawing>
          <wp:inline distT="0" distB="0" distL="0" distR="0" wp14:anchorId="5791267F" wp14:editId="09C854EF">
            <wp:extent cx="772160" cy="792615"/>
            <wp:effectExtent l="0" t="0" r="889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J, 85.jpg"/>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779633" cy="800286"/>
                    </a:xfrm>
                    <a:prstGeom prst="rect">
                      <a:avLst/>
                    </a:prstGeom>
                  </pic:spPr>
                </pic:pic>
              </a:graphicData>
            </a:graphic>
          </wp:inline>
        </w:drawing>
      </w:r>
      <w:r w:rsidRPr="00EC0229">
        <w:rPr>
          <w:rFonts w:eastAsia="Times New Roman" w:cs="Times New Roman"/>
          <w:noProof/>
          <w:szCs w:val="24"/>
          <w:lang w:eastAsia="en-GB"/>
        </w:rPr>
        <w:drawing>
          <wp:inline distT="0" distB="0" distL="0" distR="0" wp14:anchorId="73E9A41D" wp14:editId="378F67D3">
            <wp:extent cx="831874" cy="795020"/>
            <wp:effectExtent l="0" t="0" r="6350" b="508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J, 85 R.jpg"/>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834823" cy="797838"/>
                    </a:xfrm>
                    <a:prstGeom prst="rect">
                      <a:avLst/>
                    </a:prstGeom>
                  </pic:spPr>
                </pic:pic>
              </a:graphicData>
            </a:graphic>
          </wp:inline>
        </w:drawing>
      </w:r>
      <w:r w:rsidRPr="00EC0229">
        <w:rPr>
          <w:rFonts w:eastAsia="Times New Roman" w:cs="Times New Roman"/>
          <w:szCs w:val="24"/>
          <w:lang w:eastAsia="en-GB"/>
        </w:rPr>
        <w:tab/>
      </w:r>
      <w:r w:rsidRPr="00EC0229">
        <w:rPr>
          <w:rFonts w:eastAsia="Times New Roman" w:cs="Times New Roman"/>
          <w:szCs w:val="24"/>
          <w:lang w:eastAsia="en-GB"/>
        </w:rPr>
        <w:tab/>
      </w:r>
      <w:r w:rsidR="00582C52" w:rsidRPr="00EC0229">
        <w:rPr>
          <w:rFonts w:eastAsia="Times New Roman" w:cs="Times New Roman"/>
          <w:noProof/>
          <w:szCs w:val="24"/>
          <w:lang w:eastAsia="en-GB"/>
        </w:rPr>
        <w:drawing>
          <wp:inline distT="0" distB="0" distL="0" distR="0" wp14:anchorId="3837BF4E" wp14:editId="4DB2F557">
            <wp:extent cx="762000" cy="838200"/>
            <wp:effectExtent l="0" t="0" r="0" b="0"/>
            <wp:docPr id="467" name="Picture 467" descr="http://www-img.fitzmuseum.cam.ac.uk/img/emc/300jpg/1997_0406o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img.fitzmuseum.cam.ac.uk/img/emc/300jpg/1997_0406obv.jpg"/>
                    <pic:cNvPicPr>
                      <a:picLocks noChangeAspect="1" noChangeArrowheads="1"/>
                    </pic:cNvPicPr>
                  </pic:nvPicPr>
                  <pic:blipFill rotWithShape="1">
                    <a:blip r:embed="rId496">
                      <a:extLst>
                        <a:ext uri="{28A0092B-C50C-407E-A947-70E740481C1C}">
                          <a14:useLocalDpi xmlns:a14="http://schemas.microsoft.com/office/drawing/2010/main" val="0"/>
                        </a:ext>
                      </a:extLst>
                    </a:blip>
                    <a:srcRect l="24469" t="21809" r="22340" b="19681"/>
                    <a:stretch/>
                  </pic:blipFill>
                  <pic:spPr bwMode="auto">
                    <a:xfrm>
                      <a:off x="0" y="0"/>
                      <a:ext cx="762000" cy="838200"/>
                    </a:xfrm>
                    <a:prstGeom prst="rect">
                      <a:avLst/>
                    </a:prstGeom>
                    <a:noFill/>
                    <a:ln>
                      <a:noFill/>
                    </a:ln>
                    <a:extLst>
                      <a:ext uri="{53640926-AAD7-44D8-BBD7-CCE9431645EC}">
                        <a14:shadowObscured xmlns:a14="http://schemas.microsoft.com/office/drawing/2010/main"/>
                      </a:ext>
                    </a:extLst>
                  </pic:spPr>
                </pic:pic>
              </a:graphicData>
            </a:graphic>
          </wp:inline>
        </w:drawing>
      </w:r>
      <w:r w:rsidR="00582C52" w:rsidRPr="00EC0229">
        <w:rPr>
          <w:rFonts w:eastAsia="Times New Roman" w:cs="Times New Roman"/>
          <w:noProof/>
          <w:szCs w:val="24"/>
          <w:lang w:eastAsia="en-GB"/>
        </w:rPr>
        <w:drawing>
          <wp:inline distT="0" distB="0" distL="0" distR="0" wp14:anchorId="657AFAEC" wp14:editId="39F9144A">
            <wp:extent cx="762000" cy="838200"/>
            <wp:effectExtent l="0" t="0" r="0" b="0"/>
            <wp:docPr id="468" name="Picture 468" descr="http://www-img.fitzmuseum.cam.ac.uk/img/emc/300jpg/1997_0406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img.fitzmuseum.cam.ac.uk/img/emc/300jpg/1997_0406rev.jpg"/>
                    <pic:cNvPicPr>
                      <a:picLocks noChangeAspect="1" noChangeArrowheads="1"/>
                    </pic:cNvPicPr>
                  </pic:nvPicPr>
                  <pic:blipFill rotWithShape="1">
                    <a:blip r:embed="rId497">
                      <a:extLst>
                        <a:ext uri="{28A0092B-C50C-407E-A947-70E740481C1C}">
                          <a14:useLocalDpi xmlns:a14="http://schemas.microsoft.com/office/drawing/2010/main" val="0"/>
                        </a:ext>
                      </a:extLst>
                    </a:blip>
                    <a:srcRect l="23937" t="20213" r="22872" b="21277"/>
                    <a:stretch/>
                  </pic:blipFill>
                  <pic:spPr bwMode="auto">
                    <a:xfrm>
                      <a:off x="0" y="0"/>
                      <a:ext cx="762000" cy="838200"/>
                    </a:xfrm>
                    <a:prstGeom prst="rect">
                      <a:avLst/>
                    </a:prstGeom>
                    <a:noFill/>
                    <a:ln>
                      <a:noFill/>
                    </a:ln>
                    <a:extLst>
                      <a:ext uri="{53640926-AAD7-44D8-BBD7-CCE9431645EC}">
                        <a14:shadowObscured xmlns:a14="http://schemas.microsoft.com/office/drawing/2010/main"/>
                      </a:ext>
                    </a:extLst>
                  </pic:spPr>
                </pic:pic>
              </a:graphicData>
            </a:graphic>
          </wp:inline>
        </w:drawing>
      </w:r>
    </w:p>
    <w:p w14:paraId="1E450CF2" w14:textId="7B23978E" w:rsidR="00CC1494" w:rsidRPr="00EC0229" w:rsidRDefault="003977B6" w:rsidP="007600EA">
      <w:pPr>
        <w:pStyle w:val="NoSpacing"/>
        <w:spacing w:line="360" w:lineRule="auto"/>
        <w:jc w:val="center"/>
        <w:rPr>
          <w:rFonts w:eastAsia="Times New Roman" w:cs="Times New Roman"/>
          <w:sz w:val="20"/>
          <w:szCs w:val="20"/>
          <w:lang w:eastAsia="en-GB"/>
        </w:rPr>
      </w:pPr>
      <w:bookmarkStart w:id="892" w:name="_Ref430249567"/>
      <w:bookmarkStart w:id="893" w:name="_Toc468267134"/>
      <w:r w:rsidRPr="00EC0229">
        <w:rPr>
          <w:i/>
          <w:sz w:val="20"/>
          <w:szCs w:val="20"/>
        </w:rPr>
        <w:lastRenderedPageBreak/>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162</w:t>
      </w:r>
      <w:r w:rsidR="00B609E3" w:rsidRPr="00EC0229">
        <w:rPr>
          <w:noProof/>
          <w:sz w:val="20"/>
          <w:szCs w:val="20"/>
        </w:rPr>
        <w:fldChar w:fldCharType="end"/>
      </w:r>
      <w:bookmarkEnd w:id="892"/>
      <w:r w:rsidR="00EE192A" w:rsidRPr="00EC0229">
        <w:rPr>
          <w:rFonts w:eastAsia="Times New Roman" w:cs="Times New Roman"/>
          <w:sz w:val="20"/>
          <w:szCs w:val="20"/>
          <w:lang w:eastAsia="en-GB"/>
        </w:rPr>
        <w:t xml:space="preserve">: </w:t>
      </w:r>
      <w:r w:rsidR="00CC1494" w:rsidRPr="00EC0229">
        <w:rPr>
          <w:rFonts w:eastAsia="Times New Roman" w:cs="Times New Roman"/>
          <w:sz w:val="20"/>
          <w:szCs w:val="20"/>
          <w:lang w:eastAsia="en-GB"/>
        </w:rPr>
        <w:t xml:space="preserve">Whithorn, </w:t>
      </w:r>
      <w:r w:rsidR="00CC1494" w:rsidRPr="00EC0229">
        <w:rPr>
          <w:sz w:val="20"/>
          <w:szCs w:val="20"/>
        </w:rPr>
        <w:t xml:space="preserve">sceats. L: Series J, 85. R: </w:t>
      </w:r>
      <w:r w:rsidR="00582C52" w:rsidRPr="00EC0229">
        <w:rPr>
          <w:sz w:val="20"/>
          <w:szCs w:val="20"/>
        </w:rPr>
        <w:t>Eadberht</w:t>
      </w:r>
      <w:r w:rsidR="00D142DC" w:rsidRPr="00EC0229">
        <w:rPr>
          <w:sz w:val="20"/>
          <w:szCs w:val="20"/>
        </w:rPr>
        <w:fldChar w:fldCharType="begin"/>
      </w:r>
      <w:r w:rsidR="00D142DC" w:rsidRPr="00EC0229">
        <w:rPr>
          <w:sz w:val="20"/>
          <w:szCs w:val="20"/>
        </w:rPr>
        <w:instrText xml:space="preserve"> XE "Eadberht" </w:instrText>
      </w:r>
      <w:r w:rsidR="00D142DC" w:rsidRPr="00EC0229">
        <w:rPr>
          <w:sz w:val="20"/>
          <w:szCs w:val="20"/>
        </w:rPr>
        <w:fldChar w:fldCharType="end"/>
      </w:r>
      <w:r w:rsidR="00CC1494" w:rsidRPr="00EC0229">
        <w:rPr>
          <w:sz w:val="20"/>
          <w:szCs w:val="20"/>
        </w:rPr>
        <w:t xml:space="preserve"> with</w:t>
      </w:r>
      <w:r w:rsidR="00582C52" w:rsidRPr="00EC0229">
        <w:rPr>
          <w:sz w:val="20"/>
          <w:szCs w:val="20"/>
        </w:rPr>
        <w:t xml:space="preserve"> Ecgberht</w:t>
      </w:r>
      <w:r w:rsidR="00D142DC" w:rsidRPr="00EC0229">
        <w:rPr>
          <w:sz w:val="20"/>
          <w:szCs w:val="20"/>
        </w:rPr>
        <w:fldChar w:fldCharType="begin"/>
      </w:r>
      <w:r w:rsidR="00D142DC" w:rsidRPr="00EC0229">
        <w:rPr>
          <w:sz w:val="20"/>
          <w:szCs w:val="20"/>
        </w:rPr>
        <w:instrText xml:space="preserve"> XE "Ecgberht" </w:instrText>
      </w:r>
      <w:r w:rsidR="00D142DC" w:rsidRPr="00EC0229">
        <w:rPr>
          <w:sz w:val="20"/>
          <w:szCs w:val="20"/>
        </w:rPr>
        <w:fldChar w:fldCharType="end"/>
      </w:r>
      <w:r w:rsidR="00582C52" w:rsidRPr="00EC0229">
        <w:rPr>
          <w:sz w:val="20"/>
          <w:szCs w:val="20"/>
        </w:rPr>
        <w:t>, 737-58</w:t>
      </w:r>
      <w:r w:rsidR="00EE192A" w:rsidRPr="00EC0229">
        <w:rPr>
          <w:sz w:val="20"/>
          <w:szCs w:val="20"/>
        </w:rPr>
        <w:t>.</w:t>
      </w:r>
      <w:bookmarkEnd w:id="893"/>
    </w:p>
    <w:p w14:paraId="0230DA7E" w14:textId="3EA014A6" w:rsidR="00582C52" w:rsidRPr="00EC0229" w:rsidRDefault="00EE192A" w:rsidP="007600EA">
      <w:pPr>
        <w:pStyle w:val="NoSpacing"/>
        <w:spacing w:line="360" w:lineRule="auto"/>
        <w:jc w:val="center"/>
        <w:rPr>
          <w:sz w:val="20"/>
          <w:szCs w:val="20"/>
        </w:rPr>
      </w:pPr>
      <w:r w:rsidRPr="00EC0229">
        <w:rPr>
          <w:rFonts w:eastAsia="Times New Roman" w:cs="Times New Roman"/>
          <w:sz w:val="20"/>
          <w:szCs w:val="20"/>
          <w:lang w:eastAsia="en-GB"/>
        </w:rPr>
        <w:t>EMC</w:t>
      </w:r>
      <w:r w:rsidR="008960AE" w:rsidRPr="00EC0229">
        <w:rPr>
          <w:rFonts w:eastAsia="Times New Roman" w:cs="Times New Roman"/>
          <w:sz w:val="20"/>
          <w:szCs w:val="20"/>
          <w:lang w:eastAsia="en-GB"/>
        </w:rPr>
        <w:fldChar w:fldCharType="begin"/>
      </w:r>
      <w:r w:rsidR="008960AE" w:rsidRPr="00EC0229">
        <w:rPr>
          <w:sz w:val="20"/>
          <w:szCs w:val="20"/>
        </w:rPr>
        <w:instrText xml:space="preserve"> XE "EMC" </w:instrText>
      </w:r>
      <w:r w:rsidR="008960AE" w:rsidRPr="00EC0229">
        <w:rPr>
          <w:rFonts w:eastAsia="Times New Roman" w:cs="Times New Roman"/>
          <w:sz w:val="20"/>
          <w:szCs w:val="20"/>
          <w:lang w:eastAsia="en-GB"/>
        </w:rPr>
        <w:fldChar w:fldCharType="end"/>
      </w:r>
      <w:r w:rsidRPr="00EC0229">
        <w:rPr>
          <w:rFonts w:eastAsia="Times New Roman" w:cs="Times New Roman"/>
          <w:sz w:val="20"/>
          <w:szCs w:val="20"/>
          <w:lang w:eastAsia="en-GB"/>
        </w:rPr>
        <w:t xml:space="preserve"> 1997.</w:t>
      </w:r>
      <w:r w:rsidR="00CC1494" w:rsidRPr="00EC0229">
        <w:rPr>
          <w:rFonts w:eastAsia="Times New Roman" w:cs="Times New Roman"/>
          <w:sz w:val="20"/>
          <w:szCs w:val="20"/>
          <w:lang w:eastAsia="en-GB"/>
        </w:rPr>
        <w:t xml:space="preserve">0461 &amp; </w:t>
      </w:r>
      <w:r w:rsidRPr="00EC0229">
        <w:rPr>
          <w:rFonts w:eastAsia="Times New Roman" w:cs="Times New Roman"/>
          <w:sz w:val="20"/>
          <w:szCs w:val="20"/>
          <w:lang w:eastAsia="en-GB"/>
        </w:rPr>
        <w:t>0406 (Whithorn</w:t>
      </w:r>
      <w:r w:rsidR="006B1593" w:rsidRPr="00EC0229">
        <w:rPr>
          <w:rFonts w:eastAsia="Times New Roman" w:cs="Times New Roman"/>
          <w:sz w:val="20"/>
          <w:szCs w:val="20"/>
          <w:lang w:eastAsia="en-GB"/>
        </w:rPr>
        <w:fldChar w:fldCharType="begin"/>
      </w:r>
      <w:r w:rsidR="006B1593" w:rsidRPr="00EC0229">
        <w:rPr>
          <w:sz w:val="20"/>
          <w:szCs w:val="20"/>
        </w:rPr>
        <w:instrText xml:space="preserve"> XE "</w:instrText>
      </w:r>
      <w:r w:rsidR="006B1593" w:rsidRPr="00EC0229">
        <w:rPr>
          <w:rStyle w:val="Hyperlink"/>
          <w:noProof/>
          <w:sz w:val="20"/>
          <w:szCs w:val="20"/>
          <w:u w:val="none"/>
        </w:rPr>
        <w:instrText>Whithorn</w:instrText>
      </w:r>
      <w:r w:rsidR="006B1593" w:rsidRPr="00EC0229">
        <w:rPr>
          <w:sz w:val="20"/>
          <w:szCs w:val="20"/>
        </w:rPr>
        <w:instrText xml:space="preserve">" </w:instrText>
      </w:r>
      <w:r w:rsidR="006B1593" w:rsidRPr="00EC0229">
        <w:rPr>
          <w:rFonts w:eastAsia="Times New Roman" w:cs="Times New Roman"/>
          <w:sz w:val="20"/>
          <w:szCs w:val="20"/>
          <w:lang w:eastAsia="en-GB"/>
        </w:rPr>
        <w:fldChar w:fldCharType="end"/>
      </w:r>
      <w:r w:rsidRPr="00EC0229">
        <w:rPr>
          <w:rFonts w:eastAsia="Times New Roman" w:cs="Times New Roman"/>
          <w:sz w:val="20"/>
          <w:szCs w:val="20"/>
          <w:lang w:eastAsia="en-GB"/>
        </w:rPr>
        <w:t xml:space="preserve"> </w:t>
      </w:r>
      <w:r w:rsidR="00CC1494" w:rsidRPr="00EC0229">
        <w:rPr>
          <w:rFonts w:eastAsia="Times New Roman" w:cs="Times New Roman"/>
          <w:sz w:val="20"/>
          <w:szCs w:val="20"/>
          <w:lang w:eastAsia="en-GB"/>
        </w:rPr>
        <w:t xml:space="preserve">61 &amp; </w:t>
      </w:r>
      <w:r w:rsidRPr="00EC0229">
        <w:rPr>
          <w:rFonts w:eastAsia="Times New Roman" w:cs="Times New Roman"/>
          <w:sz w:val="20"/>
          <w:szCs w:val="20"/>
          <w:lang w:eastAsia="en-GB"/>
        </w:rPr>
        <w:t>6).</w:t>
      </w:r>
    </w:p>
    <w:p w14:paraId="273AC3A8" w14:textId="77777777" w:rsidR="00582C52" w:rsidRPr="00EC0229" w:rsidRDefault="00582C52" w:rsidP="007600EA">
      <w:pPr>
        <w:pStyle w:val="NoSpacing"/>
        <w:spacing w:line="360" w:lineRule="auto"/>
      </w:pPr>
    </w:p>
    <w:p w14:paraId="1470BA23" w14:textId="710EE773" w:rsidR="00582C52" w:rsidRPr="00EC0229" w:rsidRDefault="00582C52" w:rsidP="007600EA">
      <w:pPr>
        <w:pStyle w:val="NoSpacing"/>
        <w:spacing w:line="360" w:lineRule="auto"/>
        <w:rPr>
          <w:rFonts w:eastAsia="Times New Roman" w:cs="Times New Roman"/>
          <w:szCs w:val="24"/>
          <w:lang w:eastAsia="en-GB"/>
        </w:rPr>
      </w:pPr>
      <w:r w:rsidRPr="00EC0229">
        <w:rPr>
          <w:szCs w:val="24"/>
        </w:rPr>
        <w:t>The contemporary sceat of King Beonna</w:t>
      </w:r>
      <w:r w:rsidR="004C29A9" w:rsidRPr="00EC0229">
        <w:rPr>
          <w:szCs w:val="24"/>
        </w:rPr>
        <w:fldChar w:fldCharType="begin"/>
      </w:r>
      <w:r w:rsidR="004C29A9" w:rsidRPr="00EC0229">
        <w:instrText xml:space="preserve"> XE "</w:instrText>
      </w:r>
      <w:r w:rsidR="004C29A9" w:rsidRPr="00EC0229">
        <w:rPr>
          <w:rFonts w:cs="Times New Roman"/>
        </w:rPr>
        <w:instrText>Beonna</w:instrText>
      </w:r>
      <w:r w:rsidR="004C29A9" w:rsidRPr="00EC0229">
        <w:instrText xml:space="preserve">" </w:instrText>
      </w:r>
      <w:r w:rsidR="004C29A9" w:rsidRPr="00EC0229">
        <w:rPr>
          <w:szCs w:val="24"/>
        </w:rPr>
        <w:fldChar w:fldCharType="end"/>
      </w:r>
      <w:r w:rsidRPr="00EC0229">
        <w:rPr>
          <w:szCs w:val="24"/>
        </w:rPr>
        <w:t>,</w:t>
      </w:r>
      <w:r w:rsidR="00EE0EF1" w:rsidRPr="00EC0229">
        <w:rPr>
          <w:szCs w:val="24"/>
        </w:rPr>
        <w:t xml:space="preserve"> [S7],</w:t>
      </w:r>
      <w:r w:rsidRPr="00EC0229">
        <w:rPr>
          <w:szCs w:val="24"/>
        </w:rPr>
        <w:t xml:space="preserve"> is a remarkable and territorially distant survivor of this typically tightly-distributed East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Pr="00EC0229">
        <w:rPr>
          <w:szCs w:val="24"/>
        </w:rPr>
        <w:t xml:space="preserve"> coin. Might there be a connection with the lead trial piece of Beonna’s interlace type recently found not far from Ripon</w:t>
      </w:r>
      <w:r w:rsidR="006B1593" w:rsidRPr="00EC0229">
        <w:rPr>
          <w:szCs w:val="24"/>
        </w:rPr>
        <w:fldChar w:fldCharType="begin"/>
      </w:r>
      <w:r w:rsidR="006B1593" w:rsidRPr="00EC0229">
        <w:instrText xml:space="preserve"> XE "</w:instrText>
      </w:r>
      <w:r w:rsidR="006B1593" w:rsidRPr="00EC0229">
        <w:rPr>
          <w:rStyle w:val="Hyperlink"/>
          <w:noProof/>
          <w:u w:val="none"/>
        </w:rPr>
        <w:instrText>Ripon</w:instrText>
      </w:r>
      <w:r w:rsidR="006B1593" w:rsidRPr="00EC0229">
        <w:instrText xml:space="preserve">" </w:instrText>
      </w:r>
      <w:r w:rsidR="006B1593" w:rsidRPr="00EC0229">
        <w:rPr>
          <w:szCs w:val="24"/>
        </w:rPr>
        <w:fldChar w:fldCharType="end"/>
      </w:r>
      <w:r w:rsidRPr="00EC0229">
        <w:rPr>
          <w:szCs w:val="24"/>
        </w:rPr>
        <w:t xml:space="preserve"> Cathedral.</w:t>
      </w:r>
      <w:r w:rsidRPr="00EC0229">
        <w:rPr>
          <w:rStyle w:val="FootnoteReference"/>
          <w:szCs w:val="24"/>
        </w:rPr>
        <w:footnoteReference w:id="1209"/>
      </w:r>
      <w:r w:rsidRPr="00EC0229">
        <w:rPr>
          <w:szCs w:val="24"/>
        </w:rPr>
        <w:t xml:space="preserve">  The scarce successor emissions of the fantastic beast type</w:t>
      </w:r>
      <w:r w:rsidR="00EE0EF1" w:rsidRPr="00EC0229">
        <w:rPr>
          <w:szCs w:val="24"/>
        </w:rPr>
        <w:t>,</w:t>
      </w:r>
      <w:r w:rsidRPr="00EC0229">
        <w:rPr>
          <w:szCs w:val="24"/>
        </w:rPr>
        <w:t xml:space="preserve"> </w:t>
      </w:r>
      <w:r w:rsidR="00EE0EF1" w:rsidRPr="00EC0229">
        <w:rPr>
          <w:szCs w:val="24"/>
        </w:rPr>
        <w:t xml:space="preserve">[N6], </w:t>
      </w:r>
      <w:r w:rsidRPr="00EC0229">
        <w:rPr>
          <w:szCs w:val="24"/>
        </w:rPr>
        <w:t>are represented only by a sceat of Alchred</w:t>
      </w:r>
      <w:r w:rsidR="004C29A9" w:rsidRPr="00EC0229">
        <w:rPr>
          <w:szCs w:val="24"/>
        </w:rPr>
        <w:fldChar w:fldCharType="begin"/>
      </w:r>
      <w:r w:rsidR="004C29A9" w:rsidRPr="00EC0229">
        <w:instrText xml:space="preserve"> XE "</w:instrText>
      </w:r>
      <w:r w:rsidR="004C29A9" w:rsidRPr="00EC0229">
        <w:rPr>
          <w:rFonts w:cs="Times New Roman"/>
          <w:szCs w:val="24"/>
        </w:rPr>
        <w:instrText>Alchred</w:instrText>
      </w:r>
      <w:r w:rsidR="004C29A9" w:rsidRPr="00EC0229">
        <w:instrText xml:space="preserve">" </w:instrText>
      </w:r>
      <w:r w:rsidR="004C29A9" w:rsidRPr="00EC0229">
        <w:rPr>
          <w:szCs w:val="24"/>
        </w:rPr>
        <w:fldChar w:fldCharType="end"/>
      </w:r>
      <w:r w:rsidRPr="00EC0229">
        <w:rPr>
          <w:szCs w:val="24"/>
        </w:rPr>
        <w:t xml:space="preserve">, showing continuity into the economically difficult third and early fourth quarters of </w:t>
      </w:r>
      <w:r w:rsidR="00F139AF" w:rsidRPr="00EC0229">
        <w:rPr>
          <w:szCs w:val="24"/>
        </w:rPr>
        <w:t>the eighth century</w:t>
      </w:r>
      <w:r w:rsidRPr="00EC0229">
        <w:rPr>
          <w:szCs w:val="24"/>
        </w:rPr>
        <w:t xml:space="preserve">. A joint issue sceat of </w:t>
      </w:r>
      <w:r w:rsidRPr="00EC0229">
        <w:rPr>
          <w:rFonts w:eastAsia="Times New Roman" w:cs="Times New Roman"/>
          <w:szCs w:val="24"/>
          <w:lang w:eastAsia="en-GB"/>
        </w:rPr>
        <w:t>Æthelred</w:t>
      </w:r>
      <w:r w:rsidR="00D142DC" w:rsidRPr="00EC0229">
        <w:rPr>
          <w:rFonts w:eastAsia="Times New Roman" w:cs="Times New Roman"/>
          <w:szCs w:val="24"/>
          <w:lang w:eastAsia="en-GB"/>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I with Archbishop Eanbald</w:t>
      </w:r>
      <w:r w:rsidR="00D142DC" w:rsidRPr="00EC0229">
        <w:rPr>
          <w:rFonts w:eastAsia="Times New Roman" w:cs="Times New Roman"/>
          <w:szCs w:val="24"/>
          <w:lang w:eastAsia="en-GB"/>
        </w:rPr>
        <w:fldChar w:fldCharType="begin"/>
      </w:r>
      <w:r w:rsidR="00D142DC" w:rsidRPr="00EC0229">
        <w:instrText xml:space="preserve"> XE "Eanbald"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 xml:space="preserve"> I (790-6)</w:t>
      </w:r>
      <w:r w:rsidR="00EE0EF1" w:rsidRPr="00EC0229">
        <w:rPr>
          <w:rFonts w:eastAsia="Times New Roman" w:cs="Times New Roman"/>
          <w:szCs w:val="24"/>
          <w:lang w:eastAsia="en-GB"/>
        </w:rPr>
        <w:t>, [N7],</w:t>
      </w:r>
      <w:r w:rsidRPr="00EC0229">
        <w:rPr>
          <w:rFonts w:eastAsia="Times New Roman" w:cs="Times New Roman"/>
          <w:szCs w:val="24"/>
          <w:lang w:eastAsia="en-GB"/>
        </w:rPr>
        <w:t xml:space="preserve"> and four specimens of Æthelred I’s named moneyer issues</w:t>
      </w:r>
      <w:r w:rsidR="00EE0EF1" w:rsidRPr="00EC0229">
        <w:rPr>
          <w:rFonts w:eastAsia="Times New Roman" w:cs="Times New Roman"/>
          <w:szCs w:val="24"/>
          <w:lang w:eastAsia="en-GB"/>
        </w:rPr>
        <w:t xml:space="preserve">, [N8], </w:t>
      </w:r>
      <w:r w:rsidRPr="00EC0229">
        <w:rPr>
          <w:rFonts w:eastAsia="Times New Roman" w:cs="Times New Roman"/>
          <w:szCs w:val="24"/>
          <w:lang w:eastAsia="en-GB"/>
        </w:rPr>
        <w:t>carr</w:t>
      </w:r>
      <w:r w:rsidR="00E40070" w:rsidRPr="00EC0229">
        <w:rPr>
          <w:rFonts w:eastAsia="Times New Roman" w:cs="Times New Roman"/>
          <w:szCs w:val="24"/>
          <w:lang w:eastAsia="en-GB"/>
        </w:rPr>
        <w:t xml:space="preserve">y coin use into the late eighth </w:t>
      </w:r>
      <w:r w:rsidRPr="00EC0229">
        <w:rPr>
          <w:rFonts w:eastAsia="Times New Roman" w:cs="Times New Roman"/>
          <w:szCs w:val="24"/>
          <w:lang w:eastAsia="en-GB"/>
        </w:rPr>
        <w:t xml:space="preserve">century. The latter cover three of the five moneyers, all are rare varieties including a unique new type for Tidwulf. </w:t>
      </w:r>
      <w:r w:rsidRPr="00EC0229">
        <w:rPr>
          <w:rStyle w:val="FootnoteReference"/>
          <w:rFonts w:eastAsia="Times New Roman" w:cs="Times New Roman"/>
          <w:szCs w:val="24"/>
          <w:lang w:eastAsia="en-GB"/>
        </w:rPr>
        <w:footnoteReference w:id="1210"/>
      </w:r>
    </w:p>
    <w:p w14:paraId="43A17A60" w14:textId="77777777" w:rsidR="00582C52" w:rsidRPr="00EC0229" w:rsidRDefault="00582C52" w:rsidP="007600EA">
      <w:pPr>
        <w:pStyle w:val="NoSpacing"/>
        <w:spacing w:line="360" w:lineRule="auto"/>
        <w:rPr>
          <w:rFonts w:eastAsia="Times New Roman" w:cs="Times New Roman"/>
          <w:szCs w:val="24"/>
          <w:lang w:eastAsia="en-GB"/>
        </w:rPr>
      </w:pPr>
    </w:p>
    <w:p w14:paraId="24E08E6B" w14:textId="0A6FB3B5" w:rsidR="00582C52" w:rsidRPr="00EC0229" w:rsidRDefault="00582C52" w:rsidP="007600EA">
      <w:pPr>
        <w:pStyle w:val="NoSpacing"/>
        <w:spacing w:line="360" w:lineRule="auto"/>
        <w:rPr>
          <w:rFonts w:eastAsia="Times New Roman" w:cs="Times New Roman"/>
          <w:szCs w:val="24"/>
          <w:lang w:eastAsia="en-GB"/>
        </w:rPr>
      </w:pPr>
      <w:r w:rsidRPr="00EC0229">
        <w:rPr>
          <w:rFonts w:eastAsia="Times New Roman" w:cs="Times New Roman"/>
          <w:szCs w:val="24"/>
          <w:lang w:eastAsia="en-GB"/>
        </w:rPr>
        <w:t>The impression of this precious mix of rare types, particularly the sceat of Beonna</w:t>
      </w:r>
      <w:r w:rsidR="004C29A9" w:rsidRPr="00EC0229">
        <w:rPr>
          <w:rFonts w:eastAsia="Times New Roman" w:cs="Times New Roman"/>
          <w:szCs w:val="24"/>
          <w:lang w:eastAsia="en-GB"/>
        </w:rPr>
        <w:fldChar w:fldCharType="begin"/>
      </w:r>
      <w:r w:rsidR="004C29A9" w:rsidRPr="00EC0229">
        <w:instrText xml:space="preserve"> XE "</w:instrText>
      </w:r>
      <w:r w:rsidR="004C29A9" w:rsidRPr="00EC0229">
        <w:rPr>
          <w:rFonts w:cs="Times New Roman"/>
        </w:rPr>
        <w:instrText>Beonna</w:instrText>
      </w:r>
      <w:r w:rsidR="004C29A9" w:rsidRPr="00EC0229">
        <w:instrText xml:space="preserve">" </w:instrText>
      </w:r>
      <w:r w:rsidR="004C29A9" w:rsidRPr="00EC0229">
        <w:rPr>
          <w:rFonts w:eastAsia="Times New Roman" w:cs="Times New Roman"/>
          <w:szCs w:val="24"/>
          <w:lang w:eastAsia="en-GB"/>
        </w:rPr>
        <w:fldChar w:fldCharType="end"/>
      </w:r>
      <w:r w:rsidRPr="00EC0229">
        <w:rPr>
          <w:rFonts w:eastAsia="Times New Roman" w:cs="Times New Roman"/>
          <w:szCs w:val="24"/>
          <w:lang w:eastAsia="en-GB"/>
        </w:rPr>
        <w:t>, is enhanced by the presence of no less t</w:t>
      </w:r>
      <w:r w:rsidR="00EE0EF1" w:rsidRPr="00EC0229">
        <w:rPr>
          <w:rFonts w:eastAsia="Times New Roman" w:cs="Times New Roman"/>
          <w:szCs w:val="24"/>
          <w:lang w:eastAsia="en-GB"/>
        </w:rPr>
        <w:t xml:space="preserve">han twenty-two specimens of </w:t>
      </w:r>
      <w:r w:rsidRPr="00EC0229">
        <w:rPr>
          <w:rFonts w:eastAsia="Times New Roman" w:cs="Times New Roman"/>
          <w:szCs w:val="24"/>
          <w:lang w:eastAsia="en-GB"/>
        </w:rPr>
        <w:t>silver-alloy</w:t>
      </w:r>
      <w:r w:rsidR="00EE0EF1" w:rsidRPr="00EC0229">
        <w:rPr>
          <w:rFonts w:eastAsia="Times New Roman" w:cs="Times New Roman"/>
          <w:szCs w:val="24"/>
          <w:lang w:eastAsia="en-GB"/>
        </w:rPr>
        <w:t>, [</w:t>
      </w:r>
      <w:r w:rsidR="008960AE" w:rsidRPr="00EC0229">
        <w:rPr>
          <w:rFonts w:eastAsia="Times New Roman" w:cs="Times New Roman"/>
          <w:szCs w:val="24"/>
          <w:lang w:eastAsia="en-GB"/>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rFonts w:eastAsia="Times New Roman" w:cs="Times New Roman"/>
          <w:szCs w:val="24"/>
          <w:lang w:eastAsia="en-GB"/>
        </w:rPr>
        <w:fldChar w:fldCharType="end"/>
      </w:r>
      <w:r w:rsidRPr="00EC0229">
        <w:rPr>
          <w:rFonts w:eastAsia="Times New Roman" w:cs="Times New Roman"/>
          <w:szCs w:val="24"/>
          <w:lang w:eastAsia="en-GB"/>
        </w:rPr>
        <w:t>N9</w:t>
      </w:r>
      <w:r w:rsidR="00EE0EF1" w:rsidRPr="00EC0229">
        <w:rPr>
          <w:rFonts w:eastAsia="Times New Roman" w:cs="Times New Roman"/>
          <w:szCs w:val="24"/>
          <w:lang w:eastAsia="en-GB"/>
        </w:rPr>
        <w:t>]</w:t>
      </w:r>
      <w:r w:rsidR="00135FD1" w:rsidRPr="00EC0229">
        <w:rPr>
          <w:rFonts w:eastAsia="Times New Roman" w:cs="Times New Roman"/>
          <w:szCs w:val="24"/>
          <w:lang w:eastAsia="en-GB"/>
        </w:rPr>
        <w:fldChar w:fldCharType="begin"/>
      </w:r>
      <w:r w:rsidR="00135FD1" w:rsidRPr="00EC0229">
        <w:instrText xml:space="preserve"> XE "</w:instrText>
      </w:r>
      <w:r w:rsidR="00135FD1" w:rsidRPr="00EC0229">
        <w:rPr>
          <w:rFonts w:cs="Times New Roman"/>
        </w:rPr>
        <w:instrText>Period N9</w:instrText>
      </w:r>
      <w:r w:rsidR="00135FD1" w:rsidRPr="00EC0229">
        <w:instrText xml:space="preserve">" </w:instrText>
      </w:r>
      <w:r w:rsidR="00135FD1" w:rsidRPr="00EC0229">
        <w:rPr>
          <w:rFonts w:eastAsia="Times New Roman" w:cs="Times New Roman"/>
          <w:szCs w:val="24"/>
          <w:lang w:eastAsia="en-GB"/>
        </w:rPr>
        <w:fldChar w:fldCharType="end"/>
      </w:r>
      <w:r w:rsidRPr="00EC0229">
        <w:rPr>
          <w:rFonts w:eastAsia="Times New Roman" w:cs="Times New Roman"/>
          <w:szCs w:val="24"/>
          <w:lang w:eastAsia="en-GB"/>
        </w:rPr>
        <w:t xml:space="preserve"> – including a strikingly rare Tidwine – many in an excellent state. Perhaps this impressive assemblage is related to the healing cult of St Ninian and the payment of tribute in coin</w:t>
      </w:r>
      <w:r w:rsidR="00613297" w:rsidRPr="00EC0229">
        <w:rPr>
          <w:rStyle w:val="FootnoteReference"/>
          <w:rFonts w:eastAsia="Times New Roman" w:cs="Times New Roman"/>
          <w:szCs w:val="24"/>
          <w:lang w:eastAsia="en-GB"/>
        </w:rPr>
        <w:footnoteReference w:id="1211"/>
      </w:r>
      <w:r w:rsidRPr="00EC0229">
        <w:rPr>
          <w:rFonts w:eastAsia="Times New Roman" w:cs="Times New Roman"/>
          <w:szCs w:val="24"/>
          <w:lang w:eastAsia="en-GB"/>
        </w:rPr>
        <w:t xml:space="preserve"> may have afforded some artefactual conspicuous consumption.</w:t>
      </w:r>
      <w:r w:rsidRPr="00EC0229">
        <w:rPr>
          <w:rStyle w:val="FootnoteReference"/>
          <w:rFonts w:eastAsia="Times New Roman" w:cs="Times New Roman"/>
          <w:szCs w:val="24"/>
          <w:lang w:eastAsia="en-GB"/>
        </w:rPr>
        <w:footnoteReference w:id="1212"/>
      </w:r>
      <w:r w:rsidRPr="00EC0229">
        <w:rPr>
          <w:rFonts w:eastAsia="Times New Roman" w:cs="Times New Roman"/>
          <w:szCs w:val="24"/>
          <w:lang w:eastAsia="en-GB"/>
        </w:rPr>
        <w:t xml:space="preserve"> Coincidentally, there are a</w:t>
      </w:r>
      <w:r w:rsidR="00EE0EF1" w:rsidRPr="00EC0229">
        <w:rPr>
          <w:rFonts w:eastAsia="Times New Roman" w:cs="Times New Roman"/>
          <w:szCs w:val="24"/>
          <w:lang w:eastAsia="en-GB"/>
        </w:rPr>
        <w:t>lso twenty-two base stycas, [</w:t>
      </w:r>
      <w:r w:rsidRPr="00EC0229">
        <w:rPr>
          <w:rFonts w:eastAsia="Times New Roman" w:cs="Times New Roman"/>
          <w:szCs w:val="24"/>
          <w:lang w:eastAsia="en-GB"/>
        </w:rPr>
        <w:t>N10a</w:t>
      </w:r>
      <w:r w:rsidR="00EE0EF1" w:rsidRPr="00EC0229">
        <w:rPr>
          <w:rFonts w:eastAsia="Times New Roman" w:cs="Times New Roman"/>
          <w:szCs w:val="24"/>
          <w:lang w:eastAsia="en-GB"/>
        </w:rPr>
        <w:t>]</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1213"/>
      </w:r>
      <w:r w:rsidRPr="00EC0229">
        <w:rPr>
          <w:rFonts w:eastAsia="Times New Roman" w:cs="Times New Roman"/>
          <w:szCs w:val="24"/>
          <w:lang w:eastAsia="en-GB"/>
        </w:rPr>
        <w:t xml:space="preserve"> </w:t>
      </w:r>
      <w:r w:rsidRPr="00EC0229">
        <w:rPr>
          <w:rFonts w:eastAsia="Times New Roman" w:cs="Times New Roman"/>
          <w:i/>
          <w:szCs w:val="24"/>
          <w:lang w:eastAsia="en-GB"/>
        </w:rPr>
        <w:t>Table</w:t>
      </w:r>
      <w:r w:rsidR="00584C42" w:rsidRPr="00EC0229">
        <w:rPr>
          <w:rFonts w:eastAsia="Times New Roman" w:cs="Times New Roman"/>
          <w:i/>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i/>
          <w:szCs w:val="24"/>
          <w:lang w:eastAsia="en-GB"/>
        </w:rPr>
        <w:fldChar w:fldCharType="end"/>
      </w:r>
      <w:r w:rsidR="0009732D" w:rsidRPr="00EC0229">
        <w:rPr>
          <w:rFonts w:eastAsia="Times New Roman" w:cs="Times New Roman"/>
          <w:i/>
          <w:szCs w:val="24"/>
          <w:lang w:eastAsia="en-GB"/>
        </w:rPr>
        <w:t xml:space="preserve"> </w:t>
      </w:r>
      <w:r w:rsidR="00367541" w:rsidRPr="00EC0229">
        <w:rPr>
          <w:rFonts w:eastAsia="Times New Roman" w:cs="Times New Roman"/>
          <w:i/>
          <w:szCs w:val="24"/>
          <w:lang w:eastAsia="en-GB"/>
        </w:rPr>
        <w:t>5</w:t>
      </w:r>
      <w:r w:rsidR="0009732D" w:rsidRPr="00EC0229">
        <w:rPr>
          <w:rFonts w:eastAsia="Times New Roman" w:cs="Times New Roman"/>
          <w:i/>
          <w:szCs w:val="24"/>
          <w:lang w:eastAsia="en-GB"/>
        </w:rPr>
        <w:t>.01</w:t>
      </w:r>
      <w:r w:rsidRPr="00EC0229">
        <w:rPr>
          <w:rFonts w:eastAsia="Times New Roman" w:cs="Times New Roman"/>
          <w:szCs w:val="24"/>
          <w:lang w:eastAsia="en-GB"/>
        </w:rPr>
        <w:t>, shows that, in the normal distribution</w:t>
      </w:r>
      <w:r w:rsidR="00F204A1" w:rsidRPr="00EC0229">
        <w:rPr>
          <w:rFonts w:eastAsia="Times New Roman" w:cs="Times New Roman"/>
          <w:szCs w:val="24"/>
          <w:lang w:eastAsia="en-GB"/>
        </w:rPr>
        <w:fldChar w:fldCharType="begin"/>
      </w:r>
      <w:r w:rsidR="00F204A1" w:rsidRPr="00EC0229">
        <w:instrText xml:space="preserve"> XE "</w:instrText>
      </w:r>
      <w:r w:rsidR="00F204A1" w:rsidRPr="00EC0229">
        <w:rPr>
          <w:rStyle w:val="Hyperlink"/>
          <w:noProof/>
          <w:u w:val="none"/>
        </w:rPr>
        <w:instrText>normal distribution</w:instrText>
      </w:r>
      <w:r w:rsidR="00F204A1" w:rsidRPr="00EC0229">
        <w:instrText xml:space="preserve">" </w:instrText>
      </w:r>
      <w:r w:rsidR="00F204A1" w:rsidRPr="00EC0229">
        <w:rPr>
          <w:rFonts w:eastAsia="Times New Roman" w:cs="Times New Roman"/>
          <w:szCs w:val="24"/>
          <w:lang w:eastAsia="en-GB"/>
        </w:rPr>
        <w:fldChar w:fldCharType="end"/>
      </w:r>
      <w:r w:rsidRPr="00EC0229">
        <w:rPr>
          <w:rFonts w:eastAsia="Times New Roman" w:cs="Times New Roman"/>
          <w:szCs w:val="24"/>
          <w:lang w:eastAsia="en-GB"/>
        </w:rPr>
        <w:t>, the brass stycas</w:t>
      </w:r>
      <w:r w:rsidR="00EE0EF1" w:rsidRPr="00EC0229">
        <w:rPr>
          <w:rFonts w:eastAsia="Times New Roman" w:cs="Times New Roman"/>
          <w:szCs w:val="24"/>
          <w:lang w:eastAsia="en-GB"/>
        </w:rPr>
        <w:t>,</w:t>
      </w:r>
      <w:r w:rsidRPr="00EC0229">
        <w:rPr>
          <w:rFonts w:eastAsia="Times New Roman" w:cs="Times New Roman"/>
          <w:szCs w:val="24"/>
          <w:lang w:eastAsia="en-GB"/>
        </w:rPr>
        <w:t xml:space="preserve"> </w:t>
      </w:r>
      <w:r w:rsidR="00EE0EF1" w:rsidRPr="00EC0229">
        <w:rPr>
          <w:rFonts w:eastAsia="Times New Roman" w:cs="Times New Roman"/>
          <w:szCs w:val="24"/>
          <w:lang w:eastAsia="en-GB"/>
        </w:rPr>
        <w:t xml:space="preserve">[N10a], </w:t>
      </w:r>
      <w:r w:rsidRPr="00EC0229">
        <w:rPr>
          <w:rFonts w:eastAsia="Times New Roman" w:cs="Times New Roman"/>
          <w:szCs w:val="24"/>
          <w:lang w:eastAsia="en-GB"/>
        </w:rPr>
        <w:t>very substantially exceeded the silver-alloy coins</w:t>
      </w:r>
      <w:r w:rsidR="00EE0EF1" w:rsidRPr="00EC0229">
        <w:rPr>
          <w:rFonts w:eastAsia="Times New Roman" w:cs="Times New Roman"/>
          <w:szCs w:val="24"/>
          <w:lang w:eastAsia="en-GB"/>
        </w:rPr>
        <w:t xml:space="preserve"> [N9]</w:t>
      </w:r>
      <w:r w:rsidRPr="00EC0229">
        <w:rPr>
          <w:rFonts w:eastAsia="Times New Roman" w:cs="Times New Roman"/>
          <w:szCs w:val="24"/>
          <w:lang w:eastAsia="en-GB"/>
        </w:rPr>
        <w:t>.</w:t>
      </w:r>
      <w:r w:rsidRPr="00EC0229">
        <w:rPr>
          <w:rStyle w:val="FootnoteReference"/>
          <w:rFonts w:eastAsia="Times New Roman" w:cs="Times New Roman"/>
          <w:szCs w:val="24"/>
          <w:lang w:eastAsia="en-GB"/>
        </w:rPr>
        <w:footnoteReference w:id="1214"/>
      </w:r>
      <w:r w:rsidRPr="00EC0229">
        <w:rPr>
          <w:rFonts w:eastAsia="Times New Roman" w:cs="Times New Roman"/>
          <w:szCs w:val="24"/>
          <w:lang w:eastAsia="en-GB"/>
        </w:rPr>
        <w:t xml:space="preserve"> However, Whithorn</w:t>
      </w:r>
      <w:r w:rsidR="006B1593" w:rsidRPr="00EC0229">
        <w:rPr>
          <w:rFonts w:eastAsia="Times New Roman" w:cs="Times New Roman"/>
          <w:szCs w:val="24"/>
          <w:lang w:eastAsia="en-GB"/>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rFonts w:eastAsia="Times New Roman" w:cs="Times New Roman"/>
          <w:szCs w:val="24"/>
          <w:lang w:eastAsia="en-GB"/>
        </w:rPr>
        <w:fldChar w:fldCharType="end"/>
      </w:r>
      <w:r w:rsidRPr="00EC0229">
        <w:rPr>
          <w:rFonts w:eastAsia="Times New Roman" w:cs="Times New Roman"/>
          <w:szCs w:val="24"/>
          <w:lang w:eastAsia="en-GB"/>
        </w:rPr>
        <w:t xml:space="preserve"> has a unique and short profile and, given that there is only one bronze styca of Osberht</w:t>
      </w:r>
      <w:r w:rsidR="00D142DC" w:rsidRPr="00EC0229">
        <w:rPr>
          <w:rFonts w:eastAsia="Times New Roman" w:cs="Times New Roman"/>
          <w:szCs w:val="24"/>
          <w:lang w:eastAsia="en-GB"/>
        </w:rPr>
        <w:fldChar w:fldCharType="begin"/>
      </w:r>
      <w:r w:rsidR="00D142DC" w:rsidRPr="00EC0229">
        <w:instrText xml:space="preserve"> XE "Osberht" </w:instrText>
      </w:r>
      <w:r w:rsidR="00D142DC" w:rsidRPr="00EC0229">
        <w:rPr>
          <w:rFonts w:eastAsia="Times New Roman" w:cs="Times New Roman"/>
          <w:szCs w:val="24"/>
          <w:lang w:eastAsia="en-GB"/>
        </w:rPr>
        <w:fldChar w:fldCharType="end"/>
      </w:r>
      <w:r w:rsidRPr="00EC0229">
        <w:rPr>
          <w:rFonts w:eastAsia="Times New Roman" w:cs="Times New Roman"/>
          <w:szCs w:val="24"/>
          <w:lang w:eastAsia="en-GB"/>
        </w:rPr>
        <w:t>,</w:t>
      </w:r>
      <w:r w:rsidR="00EE0EF1" w:rsidRPr="00EC0229">
        <w:rPr>
          <w:rFonts w:eastAsia="Times New Roman" w:cs="Times New Roman"/>
          <w:szCs w:val="24"/>
          <w:lang w:eastAsia="en-GB"/>
        </w:rPr>
        <w:t xml:space="preserve"> [N10b],</w:t>
      </w:r>
      <w:r w:rsidRPr="00EC0229">
        <w:rPr>
          <w:rStyle w:val="FootnoteReference"/>
          <w:rFonts w:eastAsia="Times New Roman" w:cs="Times New Roman"/>
          <w:szCs w:val="24"/>
          <w:lang w:eastAsia="en-GB"/>
        </w:rPr>
        <w:footnoteReference w:id="1215"/>
      </w:r>
      <w:r w:rsidRPr="00EC0229">
        <w:rPr>
          <w:rFonts w:eastAsia="Times New Roman" w:cs="Times New Roman"/>
          <w:szCs w:val="24"/>
          <w:lang w:eastAsia="en-GB"/>
        </w:rPr>
        <w:t xml:space="preserve"> clearly, the site suffered a marked reversal, at least in terms of coin circulation, early in the period of Eanred</w:t>
      </w:r>
      <w:r w:rsidR="00D142DC" w:rsidRPr="00EC0229">
        <w:rPr>
          <w:rFonts w:eastAsia="Times New Roman" w:cs="Times New Roman"/>
          <w:szCs w:val="24"/>
          <w:lang w:eastAsia="en-GB"/>
        </w:rPr>
        <w:fldChar w:fldCharType="begin"/>
      </w:r>
      <w:r w:rsidR="00D142DC" w:rsidRPr="00EC0229">
        <w:instrText xml:space="preserve"> XE "Eanred" </w:instrText>
      </w:r>
      <w:r w:rsidR="00D142DC" w:rsidRPr="00EC0229">
        <w:rPr>
          <w:rFonts w:eastAsia="Times New Roman" w:cs="Times New Roman"/>
          <w:szCs w:val="24"/>
          <w:lang w:eastAsia="en-GB"/>
        </w:rPr>
        <w:fldChar w:fldCharType="end"/>
      </w:r>
      <w:r w:rsidR="00EE0EF1" w:rsidRPr="00EC0229">
        <w:rPr>
          <w:rFonts w:eastAsia="Times New Roman" w:cs="Times New Roman"/>
          <w:szCs w:val="24"/>
          <w:lang w:eastAsia="en-GB"/>
        </w:rPr>
        <w:t>’s production of brass coins, [N10a]</w:t>
      </w:r>
      <w:r w:rsidRPr="00EC0229">
        <w:rPr>
          <w:rFonts w:eastAsia="Times New Roman" w:cs="Times New Roman"/>
          <w:szCs w:val="24"/>
          <w:lang w:eastAsia="en-GB"/>
        </w:rPr>
        <w:t>.</w:t>
      </w:r>
      <w:r w:rsidR="00D0613F">
        <w:rPr>
          <w:rStyle w:val="FootnoteReference"/>
          <w:rFonts w:eastAsia="Times New Roman" w:cs="Times New Roman"/>
          <w:szCs w:val="24"/>
          <w:lang w:eastAsia="en-GB"/>
        </w:rPr>
        <w:footnoteReference w:id="1216"/>
      </w:r>
      <w:r w:rsidRPr="00EC0229">
        <w:rPr>
          <w:rFonts w:eastAsia="Times New Roman" w:cs="Times New Roman"/>
          <w:szCs w:val="24"/>
          <w:lang w:eastAsia="en-GB"/>
        </w:rPr>
        <w:t xml:space="preserve"> Perhaps, a scatter of medieval pennies define</w:t>
      </w:r>
      <w:r w:rsidR="00B32F71" w:rsidRPr="00EC0229">
        <w:rPr>
          <w:rFonts w:eastAsia="Times New Roman" w:cs="Times New Roman"/>
          <w:szCs w:val="24"/>
          <w:lang w:eastAsia="en-GB"/>
        </w:rPr>
        <w:t>s</w:t>
      </w:r>
      <w:r w:rsidRPr="00EC0229">
        <w:rPr>
          <w:rFonts w:eastAsia="Times New Roman" w:cs="Times New Roman"/>
          <w:szCs w:val="24"/>
          <w:lang w:eastAsia="en-GB"/>
        </w:rPr>
        <w:t xml:space="preserve"> the delay in recovery – noteworthy is the mix: two of these are Hiberno-Norse (995-1150), one Scottish (1124-53) and two southern (Edgar </w:t>
      </w:r>
      <w:r w:rsidR="00862F15" w:rsidRPr="00EC0229">
        <w:rPr>
          <w:rFonts w:eastAsia="Times New Roman" w:cs="Times New Roman"/>
          <w:szCs w:val="24"/>
          <w:lang w:eastAsia="en-GB"/>
        </w:rPr>
        <w:t>and</w:t>
      </w:r>
      <w:r w:rsidR="00C84722" w:rsidRPr="00EC0229">
        <w:rPr>
          <w:rFonts w:eastAsia="Times New Roman" w:cs="Times New Roman"/>
          <w:szCs w:val="24"/>
          <w:lang w:eastAsia="en-GB"/>
        </w:rPr>
        <w:t xml:space="preserve"> Cnut). The a</w:t>
      </w:r>
      <w:r w:rsidRPr="00EC0229">
        <w:rPr>
          <w:rFonts w:eastAsia="Times New Roman" w:cs="Times New Roman"/>
          <w:szCs w:val="24"/>
          <w:lang w:eastAsia="en-GB"/>
        </w:rPr>
        <w:t>rchaeological report appropriately describes this period as ‘The Hidden Years (</w:t>
      </w:r>
      <w:r w:rsidR="002132F1">
        <w:rPr>
          <w:rFonts w:eastAsia="Times New Roman" w:cs="Times New Roman"/>
          <w:i/>
          <w:szCs w:val="24"/>
          <w:lang w:eastAsia="en-GB"/>
        </w:rPr>
        <w:t>c.</w:t>
      </w:r>
      <w:r w:rsidR="00724D08" w:rsidRPr="00EC0229">
        <w:rPr>
          <w:rFonts w:eastAsia="Times New Roman" w:cs="Times New Roman"/>
          <w:szCs w:val="24"/>
          <w:lang w:eastAsia="en-GB"/>
        </w:rPr>
        <w:t>850-1250</w:t>
      </w:r>
      <w:r w:rsidRPr="00EC0229">
        <w:rPr>
          <w:rFonts w:eastAsia="Times New Roman" w:cs="Times New Roman"/>
          <w:szCs w:val="24"/>
          <w:lang w:eastAsia="en-GB"/>
        </w:rPr>
        <w:t>)’ after which activity is more evident.</w:t>
      </w:r>
      <w:r w:rsidRPr="00EC0229">
        <w:rPr>
          <w:rStyle w:val="FootnoteReference"/>
          <w:rFonts w:eastAsia="Times New Roman" w:cs="Times New Roman"/>
          <w:szCs w:val="24"/>
          <w:lang w:eastAsia="en-GB"/>
        </w:rPr>
        <w:footnoteReference w:id="1217"/>
      </w:r>
    </w:p>
    <w:p w14:paraId="55C454AB" w14:textId="77777777" w:rsidR="00582C52" w:rsidRPr="00EC0229" w:rsidRDefault="00582C52" w:rsidP="007600EA">
      <w:pPr>
        <w:pStyle w:val="NoSpacing"/>
        <w:spacing w:line="360" w:lineRule="auto"/>
        <w:rPr>
          <w:rFonts w:eastAsia="Times New Roman" w:cs="Times New Roman"/>
          <w:szCs w:val="24"/>
          <w:lang w:eastAsia="en-GB"/>
        </w:rPr>
      </w:pPr>
    </w:p>
    <w:p w14:paraId="67F10DFE" w14:textId="75F041AC" w:rsidR="00582C52" w:rsidRPr="00EC0229" w:rsidRDefault="006E47ED" w:rsidP="00770D99">
      <w:pPr>
        <w:pStyle w:val="Heading7"/>
        <w:spacing w:line="360" w:lineRule="auto"/>
        <w:ind w:left="0"/>
      </w:pPr>
      <w:r w:rsidRPr="00624DF5">
        <w:rPr>
          <w:b/>
        </w:rPr>
        <w:t>D</w:t>
      </w:r>
      <w:r w:rsidR="00582C52" w:rsidRPr="00624DF5">
        <w:rPr>
          <w:b/>
        </w:rPr>
        <w:t>iscussion</w:t>
      </w:r>
    </w:p>
    <w:p w14:paraId="25B2BC5D" w14:textId="62D2C916" w:rsidR="00582C52" w:rsidRPr="00EC0229" w:rsidRDefault="00BF6095" w:rsidP="007600EA">
      <w:pPr>
        <w:pStyle w:val="NoSpacing"/>
        <w:spacing w:line="360" w:lineRule="auto"/>
        <w:rPr>
          <w:color w:val="000000" w:themeColor="text1"/>
          <w:szCs w:val="24"/>
        </w:rPr>
      </w:pPr>
      <w:r>
        <w:rPr>
          <w:szCs w:val="24"/>
        </w:rPr>
        <w:t>Several</w:t>
      </w:r>
      <w:r w:rsidR="006A2F09" w:rsidRPr="00EC0229">
        <w:rPr>
          <w:szCs w:val="24"/>
        </w:rPr>
        <w:t xml:space="preserve"> theories can be advanced </w:t>
      </w:r>
      <w:r w:rsidR="002E5552" w:rsidRPr="00EC0229">
        <w:rPr>
          <w:szCs w:val="24"/>
        </w:rPr>
        <w:t>for</w:t>
      </w:r>
      <w:r w:rsidR="00582C52" w:rsidRPr="00EC0229">
        <w:rPr>
          <w:szCs w:val="24"/>
        </w:rPr>
        <w:t xml:space="preserve">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00582C52" w:rsidRPr="00EC0229">
        <w:rPr>
          <w:szCs w:val="24"/>
        </w:rPr>
        <w:t xml:space="preserve">’s decline. </w:t>
      </w:r>
      <w:bookmarkStart w:id="894" w:name="siteshift3"/>
      <w:bookmarkStart w:id="895" w:name="siteshiftW"/>
      <w:bookmarkEnd w:id="894"/>
      <w:bookmarkEnd w:id="895"/>
      <w:r w:rsidR="00582C52" w:rsidRPr="00EC0229">
        <w:rPr>
          <w:szCs w:val="24"/>
        </w:rPr>
        <w:t>First, could there have been the Anglian</w:t>
      </w:r>
      <w:r w:rsidR="00D142DC" w:rsidRPr="00EC0229">
        <w:rPr>
          <w:szCs w:val="24"/>
        </w:rPr>
        <w:fldChar w:fldCharType="begin"/>
      </w:r>
      <w:r w:rsidR="00D142DC" w:rsidRPr="00EC0229">
        <w:instrText xml:space="preserve"> XE "Anglian" </w:instrText>
      </w:r>
      <w:r w:rsidR="00D142DC" w:rsidRPr="00EC0229">
        <w:rPr>
          <w:szCs w:val="24"/>
        </w:rPr>
        <w:fldChar w:fldCharType="end"/>
      </w:r>
      <w:r w:rsidR="00582C52" w:rsidRPr="00EC0229">
        <w:rPr>
          <w:szCs w:val="24"/>
        </w:rPr>
        <w:t xml:space="preserve"> ‘</w:t>
      </w:r>
      <w:r w:rsidR="00784E25" w:rsidRPr="00EC0229">
        <w:rPr>
          <w:szCs w:val="24"/>
        </w:rPr>
        <w:t>site-shift</w:t>
      </w:r>
      <w:r w:rsidR="00582C52" w:rsidRPr="00EC0229">
        <w:rPr>
          <w:szCs w:val="24"/>
        </w:rPr>
        <w:t>’ which seems to occur elsewhere - from Heslington Hill to Fishergate</w:t>
      </w:r>
      <w:r w:rsidR="006B1593" w:rsidRPr="00EC0229">
        <w:rPr>
          <w:szCs w:val="24"/>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szCs w:val="24"/>
        </w:rPr>
        <w:fldChar w:fldCharType="end"/>
      </w:r>
      <w:r w:rsidR="00582C52" w:rsidRPr="00EC0229">
        <w:rPr>
          <w:szCs w:val="24"/>
        </w:rPr>
        <w:t>,</w:t>
      </w:r>
      <w:r w:rsidR="00B5133B" w:rsidRPr="00EC0229">
        <w:rPr>
          <w:rStyle w:val="FootnoteReference"/>
          <w:szCs w:val="24"/>
        </w:rPr>
        <w:footnoteReference w:id="1218"/>
      </w:r>
      <w:r w:rsidR="00582C52" w:rsidRPr="00EC0229">
        <w:rPr>
          <w:szCs w:val="24"/>
        </w:rPr>
        <w:t xml:space="preserve"> and North Ferriby to Newbald?</w:t>
      </w:r>
      <w:bookmarkStart w:id="896" w:name="_Ref433381737"/>
      <w:r w:rsidR="00956A5E" w:rsidRPr="00EC0229">
        <w:rPr>
          <w:rStyle w:val="FootnoteReference"/>
          <w:szCs w:val="24"/>
        </w:rPr>
        <w:footnoteReference w:id="1219"/>
      </w:r>
      <w:bookmarkEnd w:id="896"/>
      <w:r w:rsidR="00582C52" w:rsidRPr="00EC0229">
        <w:rPr>
          <w:szCs w:val="24"/>
        </w:rPr>
        <w:t xml:space="preserve"> Candidates include Barhobble (Mochrum) and Luce Sands. The former, a monastic site, has produce only one coin – a sceat of Eadberht</w:t>
      </w:r>
      <w:r w:rsidR="00BF228F" w:rsidRPr="00EC0229">
        <w:rPr>
          <w:szCs w:val="24"/>
        </w:rPr>
        <w:t>, [N6],</w:t>
      </w:r>
      <w:r w:rsidR="00D142DC" w:rsidRPr="00EC0229">
        <w:rPr>
          <w:szCs w:val="24"/>
        </w:rPr>
        <w:fldChar w:fldCharType="begin"/>
      </w:r>
      <w:r w:rsidR="00D142DC" w:rsidRPr="00EC0229">
        <w:instrText xml:space="preserve"> XE "Eadberht" </w:instrText>
      </w:r>
      <w:r w:rsidR="00D142DC" w:rsidRPr="00EC0229">
        <w:rPr>
          <w:szCs w:val="24"/>
        </w:rPr>
        <w:fldChar w:fldCharType="end"/>
      </w:r>
      <w:r w:rsidR="00582C52" w:rsidRPr="00EC0229">
        <w:rPr>
          <w:szCs w:val="24"/>
        </w:rPr>
        <w:t xml:space="preserve"> and the latter, thirteen coins consisting of Periods N8 (</w:t>
      </w:r>
      <w:r w:rsidR="000D3746" w:rsidRPr="00EC0229">
        <w:rPr>
          <w:szCs w:val="24"/>
        </w:rPr>
        <w:fldChar w:fldCharType="begin"/>
      </w:r>
      <w:r w:rsidR="000D3746" w:rsidRPr="00EC0229">
        <w:rPr>
          <w:szCs w:val="24"/>
        </w:rPr>
        <w:instrText xml:space="preserve"> PAGEREF PeriodN8 \h </w:instrText>
      </w:r>
      <w:r w:rsidR="000D3746" w:rsidRPr="00EC0229">
        <w:rPr>
          <w:szCs w:val="24"/>
        </w:rPr>
      </w:r>
      <w:r w:rsidR="000D3746" w:rsidRPr="00EC0229">
        <w:rPr>
          <w:szCs w:val="24"/>
        </w:rPr>
        <w:fldChar w:fldCharType="separate"/>
      </w:r>
      <w:r w:rsidR="0012026B">
        <w:rPr>
          <w:noProof/>
          <w:szCs w:val="24"/>
        </w:rPr>
        <w:t>127</w:t>
      </w:r>
      <w:r w:rsidR="000D3746" w:rsidRPr="00EC0229">
        <w:rPr>
          <w:szCs w:val="24"/>
        </w:rPr>
        <w:fldChar w:fldCharType="end"/>
      </w:r>
      <w:r w:rsidR="00582C52" w:rsidRPr="00EC0229">
        <w:rPr>
          <w:szCs w:val="24"/>
        </w:rPr>
        <w:t>), N9 (</w:t>
      </w:r>
      <w:r w:rsidR="000D3746" w:rsidRPr="00EC0229">
        <w:rPr>
          <w:szCs w:val="24"/>
        </w:rPr>
        <w:fldChar w:fldCharType="begin"/>
      </w:r>
      <w:r w:rsidR="000D3746" w:rsidRPr="00EC0229">
        <w:rPr>
          <w:szCs w:val="24"/>
        </w:rPr>
        <w:instrText xml:space="preserve"> PAGEREF PeriodN9 \h </w:instrText>
      </w:r>
      <w:r w:rsidR="000D3746" w:rsidRPr="00EC0229">
        <w:rPr>
          <w:szCs w:val="24"/>
        </w:rPr>
      </w:r>
      <w:r w:rsidR="000D3746" w:rsidRPr="00EC0229">
        <w:rPr>
          <w:szCs w:val="24"/>
        </w:rPr>
        <w:fldChar w:fldCharType="separate"/>
      </w:r>
      <w:r w:rsidR="0012026B">
        <w:rPr>
          <w:noProof/>
          <w:szCs w:val="24"/>
        </w:rPr>
        <w:t>135</w:t>
      </w:r>
      <w:r w:rsidR="000D3746" w:rsidRPr="00EC0229">
        <w:rPr>
          <w:szCs w:val="24"/>
        </w:rPr>
        <w:fldChar w:fldCharType="end"/>
      </w:r>
      <w:r w:rsidR="00582C52" w:rsidRPr="00EC0229">
        <w:rPr>
          <w:szCs w:val="24"/>
        </w:rPr>
        <w:t>), N10a</w:t>
      </w:r>
      <w:r w:rsidR="000D3746" w:rsidRPr="00EC0229">
        <w:rPr>
          <w:szCs w:val="24"/>
        </w:rPr>
        <w:t xml:space="preserve"> and N10c</w:t>
      </w:r>
      <w:r w:rsidR="00582C52" w:rsidRPr="00EC0229">
        <w:rPr>
          <w:szCs w:val="24"/>
        </w:rPr>
        <w:t xml:space="preserve"> (</w:t>
      </w:r>
      <w:r w:rsidR="000D3746" w:rsidRPr="00EC0229">
        <w:rPr>
          <w:szCs w:val="24"/>
        </w:rPr>
        <w:fldChar w:fldCharType="begin"/>
      </w:r>
      <w:r w:rsidR="000D3746" w:rsidRPr="00EC0229">
        <w:rPr>
          <w:szCs w:val="24"/>
        </w:rPr>
        <w:instrText xml:space="preserve"> PAGEREF PeriodN10 \h </w:instrText>
      </w:r>
      <w:r w:rsidR="000D3746" w:rsidRPr="00EC0229">
        <w:rPr>
          <w:szCs w:val="24"/>
        </w:rPr>
      </w:r>
      <w:r w:rsidR="000D3746" w:rsidRPr="00EC0229">
        <w:rPr>
          <w:szCs w:val="24"/>
        </w:rPr>
        <w:fldChar w:fldCharType="separate"/>
      </w:r>
      <w:r w:rsidR="0012026B">
        <w:rPr>
          <w:noProof/>
          <w:szCs w:val="24"/>
        </w:rPr>
        <w:t>141</w:t>
      </w:r>
      <w:r w:rsidR="000D3746" w:rsidRPr="00EC0229">
        <w:rPr>
          <w:szCs w:val="24"/>
        </w:rPr>
        <w:fldChar w:fldCharType="end"/>
      </w:r>
      <w:r w:rsidR="000D3746" w:rsidRPr="00EC0229">
        <w:rPr>
          <w:szCs w:val="24"/>
        </w:rPr>
        <w:t>)</w:t>
      </w:r>
      <w:r w:rsidR="00582C52" w:rsidRPr="00EC0229">
        <w:rPr>
          <w:szCs w:val="24"/>
        </w:rPr>
        <w:t xml:space="preserve">. The latter is a more typical profile but there is nothing here to suggest a </w:t>
      </w:r>
      <w:r w:rsidR="00784E25" w:rsidRPr="00EC0229">
        <w:rPr>
          <w:szCs w:val="24"/>
        </w:rPr>
        <w:t>site-shift</w:t>
      </w:r>
      <w:r w:rsidR="00582C52" w:rsidRPr="00EC0229">
        <w:rPr>
          <w:szCs w:val="24"/>
        </w:rPr>
        <w:t>. Indeed, at a slightly later date, the reverse seems to be the case - the clergy of Lindisfarne</w:t>
      </w:r>
      <w:r w:rsidR="006B1593" w:rsidRPr="00EC0229">
        <w:rPr>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szCs w:val="24"/>
        </w:rPr>
        <w:fldChar w:fldCharType="end"/>
      </w:r>
      <w:r w:rsidR="00582C52" w:rsidRPr="00EC0229">
        <w:rPr>
          <w:szCs w:val="24"/>
        </w:rPr>
        <w:t xml:space="preserve"> arrived in Whithorn around 882 or 883.</w:t>
      </w:r>
      <w:r w:rsidR="00582C52" w:rsidRPr="00EC0229">
        <w:rPr>
          <w:rStyle w:val="FootnoteReference"/>
          <w:szCs w:val="24"/>
        </w:rPr>
        <w:footnoteReference w:id="1220"/>
      </w:r>
      <w:r w:rsidR="00582C52" w:rsidRPr="00EC0229">
        <w:rPr>
          <w:szCs w:val="24"/>
        </w:rPr>
        <w:t xml:space="preserve"> Looking further afield, the periodic profile of </w:t>
      </w:r>
      <w:bookmarkStart w:id="897" w:name="Carlisle"/>
      <w:r w:rsidR="00582C52" w:rsidRPr="00EC0229">
        <w:rPr>
          <w:szCs w:val="24"/>
        </w:rPr>
        <w:t>Carlisle</w:t>
      </w:r>
      <w:bookmarkEnd w:id="897"/>
      <w:r w:rsidR="00582C52" w:rsidRPr="00EC0229">
        <w:rPr>
          <w:szCs w:val="24"/>
        </w:rPr>
        <w:t xml:space="preserve"> is closer to the norm and may disguise a shift of commercial activity from Whithorn.</w:t>
      </w:r>
      <w:r w:rsidR="002F3FD5" w:rsidRPr="00EC0229">
        <w:rPr>
          <w:rStyle w:val="FootnoteReference"/>
          <w:szCs w:val="24"/>
        </w:rPr>
        <w:footnoteReference w:id="1221"/>
      </w:r>
      <w:r w:rsidR="00582C52" w:rsidRPr="00EC0229">
        <w:rPr>
          <w:szCs w:val="24"/>
        </w:rPr>
        <w:t xml:space="preserve"> </w:t>
      </w:r>
    </w:p>
    <w:p w14:paraId="54F115A0" w14:textId="77777777" w:rsidR="00582C52" w:rsidRPr="00EC0229" w:rsidRDefault="00582C52" w:rsidP="007600EA">
      <w:pPr>
        <w:pStyle w:val="NoSpacing"/>
        <w:spacing w:line="360" w:lineRule="auto"/>
        <w:rPr>
          <w:color w:val="000000" w:themeColor="text1"/>
          <w:szCs w:val="24"/>
        </w:rPr>
      </w:pPr>
    </w:p>
    <w:p w14:paraId="3FD76CCC" w14:textId="4B0EDDEF" w:rsidR="00582C52" w:rsidRPr="00EC0229" w:rsidRDefault="00582C52" w:rsidP="007600EA">
      <w:pPr>
        <w:pStyle w:val="NoSpacing"/>
        <w:spacing w:line="360" w:lineRule="auto"/>
        <w:rPr>
          <w:color w:val="000000" w:themeColor="text1"/>
          <w:szCs w:val="24"/>
        </w:rPr>
      </w:pPr>
      <w:r w:rsidRPr="00EC0229">
        <w:rPr>
          <w:color w:val="000000" w:themeColor="text1"/>
          <w:szCs w:val="24"/>
        </w:rPr>
        <w:t xml:space="preserve">It speaks volumes for the rich diversity of the Northumbrian coinage when a site as limited and mundane in its numismatic material as Carlisle, is able to produce a brace of recorded, but seemingly unremarked, unique specimens: a new variety of the joint issue of </w:t>
      </w:r>
      <w:r w:rsidR="005018F5" w:rsidRPr="00EC0229">
        <w:rPr>
          <w:rFonts w:cs="Times New Roman"/>
          <w:color w:val="000000" w:themeColor="text1"/>
          <w:szCs w:val="24"/>
        </w:rPr>
        <w:t>Æ</w:t>
      </w:r>
      <w:r w:rsidRPr="00EC0229">
        <w:rPr>
          <w:color w:val="000000" w:themeColor="text1"/>
          <w:szCs w:val="24"/>
        </w:rPr>
        <w:t>thelred I and Eanbald</w:t>
      </w:r>
      <w:r w:rsidR="00D142DC" w:rsidRPr="00EC0229">
        <w:rPr>
          <w:color w:val="000000" w:themeColor="text1"/>
          <w:szCs w:val="24"/>
        </w:rPr>
        <w:fldChar w:fldCharType="begin"/>
      </w:r>
      <w:r w:rsidR="00D142DC" w:rsidRPr="00EC0229">
        <w:instrText xml:space="preserve"> XE "Eanbald" </w:instrText>
      </w:r>
      <w:r w:rsidR="00D142DC" w:rsidRPr="00EC0229">
        <w:rPr>
          <w:color w:val="000000" w:themeColor="text1"/>
          <w:szCs w:val="24"/>
        </w:rPr>
        <w:fldChar w:fldCharType="end"/>
      </w:r>
      <w:r w:rsidRPr="00EC0229">
        <w:rPr>
          <w:color w:val="000000" w:themeColor="text1"/>
          <w:szCs w:val="24"/>
        </w:rPr>
        <w:t xml:space="preserve"> I, </w:t>
      </w:r>
      <w:r w:rsidR="00BF228F" w:rsidRPr="00EC0229">
        <w:rPr>
          <w:color w:val="000000" w:themeColor="text1"/>
          <w:szCs w:val="24"/>
        </w:rPr>
        <w:t xml:space="preserve">[N7], </w:t>
      </w:r>
      <w:r w:rsidRPr="00EC0229">
        <w:rPr>
          <w:color w:val="000000" w:themeColor="text1"/>
          <w:szCs w:val="24"/>
        </w:rPr>
        <w:t xml:space="preserve">with the cross within the legend, and a styca by Wilheah with a runic initial </w:t>
      </w:r>
      <w:r w:rsidRPr="00EC0229">
        <w:rPr>
          <w:i/>
          <w:color w:val="000000" w:themeColor="text1"/>
          <w:szCs w:val="24"/>
        </w:rPr>
        <w:t>wynn</w:t>
      </w:r>
      <w:r w:rsidRPr="00EC0229">
        <w:rPr>
          <w:color w:val="000000" w:themeColor="text1"/>
          <w:szCs w:val="24"/>
        </w:rPr>
        <w:t xml:space="preserve"> in the reverse inscription</w:t>
      </w:r>
      <w:r w:rsidR="00EE192A" w:rsidRPr="00EC0229">
        <w:rPr>
          <w:color w:val="000000" w:themeColor="text1"/>
          <w:szCs w:val="24"/>
        </w:rPr>
        <w:t xml:space="preserve"> </w:t>
      </w:r>
      <w:r w:rsidR="00EE192A" w:rsidRPr="00EC0229">
        <w:t>(</w:t>
      </w:r>
      <w:r w:rsidR="009E07B9" w:rsidRPr="00EC0229">
        <w:fldChar w:fldCharType="begin"/>
      </w:r>
      <w:r w:rsidR="009E07B9" w:rsidRPr="00EC0229">
        <w:instrText xml:space="preserve"> REF _Ref430249578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163</w:t>
      </w:r>
      <w:r w:rsidR="009E07B9" w:rsidRPr="00EC0229">
        <w:fldChar w:fldCharType="end"/>
      </w:r>
      <w:r w:rsidR="00EE192A" w:rsidRPr="00EC0229">
        <w:t>)</w:t>
      </w:r>
      <w:r w:rsidR="00BF228F" w:rsidRPr="00EC0229">
        <w:t>, [N9]</w:t>
      </w:r>
      <w:r w:rsidRPr="00EC0229">
        <w:rPr>
          <w:color w:val="000000" w:themeColor="text1"/>
          <w:szCs w:val="24"/>
        </w:rPr>
        <w:t>.</w:t>
      </w:r>
      <w:r w:rsidRPr="00EC0229">
        <w:rPr>
          <w:rStyle w:val="FootnoteReference"/>
          <w:color w:val="000000" w:themeColor="text1"/>
          <w:szCs w:val="24"/>
        </w:rPr>
        <w:footnoteReference w:id="1222"/>
      </w:r>
    </w:p>
    <w:p w14:paraId="4675A780" w14:textId="77777777" w:rsidR="00582C52" w:rsidRPr="00EC0229" w:rsidRDefault="00582C52" w:rsidP="007600EA">
      <w:pPr>
        <w:pStyle w:val="NoSpacing"/>
        <w:spacing w:line="360" w:lineRule="auto"/>
        <w:jc w:val="center"/>
        <w:rPr>
          <w:color w:val="000000" w:themeColor="text1"/>
          <w:szCs w:val="24"/>
        </w:rPr>
      </w:pPr>
      <w:r w:rsidRPr="00EC0229">
        <w:rPr>
          <w:noProof/>
          <w:color w:val="000000" w:themeColor="text1"/>
          <w:szCs w:val="24"/>
          <w:lang w:eastAsia="en-GB"/>
        </w:rPr>
        <w:drawing>
          <wp:inline distT="0" distB="0" distL="0" distR="0" wp14:anchorId="238C2B95" wp14:editId="5370BEA8">
            <wp:extent cx="609600" cy="66675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8-70 Carlisle - joint issue.jpg"/>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613437" cy="670947"/>
                    </a:xfrm>
                    <a:prstGeom prst="rect">
                      <a:avLst/>
                    </a:prstGeom>
                  </pic:spPr>
                </pic:pic>
              </a:graphicData>
            </a:graphic>
          </wp:inline>
        </w:drawing>
      </w:r>
      <w:r w:rsidRPr="00EC0229">
        <w:rPr>
          <w:noProof/>
          <w:color w:val="000000" w:themeColor="text1"/>
          <w:szCs w:val="24"/>
          <w:lang w:eastAsia="en-GB"/>
        </w:rPr>
        <w:drawing>
          <wp:inline distT="0" distB="0" distL="0" distR="0" wp14:anchorId="274F1078" wp14:editId="1F37927A">
            <wp:extent cx="640080" cy="628717"/>
            <wp:effectExtent l="0" t="0" r="762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8-70 Carlisle - joint issue R.jpg"/>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648171" cy="636665"/>
                    </a:xfrm>
                    <a:prstGeom prst="rect">
                      <a:avLst/>
                    </a:prstGeom>
                  </pic:spPr>
                </pic:pic>
              </a:graphicData>
            </a:graphic>
          </wp:inline>
        </w:drawing>
      </w:r>
      <w:r w:rsidRPr="00EC0229">
        <w:rPr>
          <w:color w:val="000000" w:themeColor="text1"/>
          <w:szCs w:val="24"/>
        </w:rPr>
        <w:tab/>
      </w:r>
      <w:r w:rsidRPr="00EC0229">
        <w:rPr>
          <w:color w:val="000000" w:themeColor="text1"/>
          <w:szCs w:val="24"/>
        </w:rPr>
        <w:tab/>
      </w:r>
      <w:r w:rsidRPr="00EC0229">
        <w:rPr>
          <w:noProof/>
          <w:color w:val="000000" w:themeColor="text1"/>
          <w:szCs w:val="24"/>
          <w:lang w:eastAsia="en-GB"/>
        </w:rPr>
        <w:drawing>
          <wp:inline distT="0" distB="0" distL="0" distR="0" wp14:anchorId="31FB25B7" wp14:editId="0AE2BDB1">
            <wp:extent cx="594409" cy="63055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lisle - Wilheah, Wynn.jpg"/>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600280" cy="636784"/>
                    </a:xfrm>
                    <a:prstGeom prst="rect">
                      <a:avLst/>
                    </a:prstGeom>
                  </pic:spPr>
                </pic:pic>
              </a:graphicData>
            </a:graphic>
          </wp:inline>
        </w:drawing>
      </w:r>
    </w:p>
    <w:p w14:paraId="465DAD70" w14:textId="18F0D6F2" w:rsidR="00EE3FE5" w:rsidRPr="00EC0229" w:rsidRDefault="003977B6" w:rsidP="007600EA">
      <w:pPr>
        <w:pStyle w:val="NoSpacing"/>
        <w:spacing w:line="360" w:lineRule="auto"/>
        <w:jc w:val="center"/>
        <w:rPr>
          <w:sz w:val="20"/>
          <w:szCs w:val="20"/>
        </w:rPr>
      </w:pPr>
      <w:bookmarkStart w:id="898" w:name="_Ref430249578"/>
      <w:bookmarkStart w:id="899" w:name="_Toc468267135"/>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163</w:t>
      </w:r>
      <w:r w:rsidR="00B609E3" w:rsidRPr="00EC0229">
        <w:rPr>
          <w:noProof/>
          <w:sz w:val="20"/>
          <w:szCs w:val="20"/>
        </w:rPr>
        <w:fldChar w:fldCharType="end"/>
      </w:r>
      <w:bookmarkEnd w:id="898"/>
      <w:r w:rsidR="00EE192A" w:rsidRPr="00EC0229">
        <w:rPr>
          <w:sz w:val="20"/>
          <w:szCs w:val="20"/>
        </w:rPr>
        <w:t xml:space="preserve">: </w:t>
      </w:r>
      <w:r w:rsidR="00EE3FE5" w:rsidRPr="00EC0229">
        <w:rPr>
          <w:sz w:val="20"/>
          <w:szCs w:val="20"/>
        </w:rPr>
        <w:t>Unique varieties from Carlisle</w:t>
      </w:r>
      <w:bookmarkEnd w:id="899"/>
    </w:p>
    <w:p w14:paraId="2AA7A7BA" w14:textId="12D36E7E" w:rsidR="00582C52" w:rsidRPr="00EC0229" w:rsidRDefault="00582C52" w:rsidP="007600EA">
      <w:pPr>
        <w:pStyle w:val="NoSpacing"/>
        <w:spacing w:line="360" w:lineRule="auto"/>
        <w:jc w:val="center"/>
        <w:rPr>
          <w:sz w:val="20"/>
          <w:szCs w:val="20"/>
        </w:rPr>
      </w:pPr>
      <w:r w:rsidRPr="00EC0229">
        <w:rPr>
          <w:sz w:val="20"/>
          <w:szCs w:val="20"/>
        </w:rPr>
        <w:t>L: joint issue sceat, 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Pr="00EC0229">
        <w:rPr>
          <w:sz w:val="20"/>
          <w:szCs w:val="20"/>
        </w:rPr>
        <w:t xml:space="preserve"> 1997.8207. R: styca of Eanred</w:t>
      </w:r>
      <w:r w:rsidR="00D142DC" w:rsidRPr="00EC0229">
        <w:rPr>
          <w:sz w:val="20"/>
          <w:szCs w:val="20"/>
        </w:rPr>
        <w:fldChar w:fldCharType="begin"/>
      </w:r>
      <w:r w:rsidR="00D142DC" w:rsidRPr="00EC0229">
        <w:rPr>
          <w:sz w:val="20"/>
          <w:szCs w:val="20"/>
        </w:rPr>
        <w:instrText xml:space="preserve"> XE "Eanred" </w:instrText>
      </w:r>
      <w:r w:rsidR="00D142DC" w:rsidRPr="00EC0229">
        <w:rPr>
          <w:sz w:val="20"/>
          <w:szCs w:val="20"/>
        </w:rPr>
        <w:fldChar w:fldCharType="end"/>
      </w:r>
      <w:r w:rsidRPr="00EC0229">
        <w:rPr>
          <w:sz w:val="20"/>
          <w:szCs w:val="20"/>
        </w:rPr>
        <w:t>, EMC 1997.8622, reverse only.</w:t>
      </w:r>
    </w:p>
    <w:p w14:paraId="7CDA5652" w14:textId="77777777" w:rsidR="00582C52" w:rsidRPr="00EC0229" w:rsidRDefault="00582C52" w:rsidP="007600EA">
      <w:pPr>
        <w:pStyle w:val="NoSpacing"/>
        <w:spacing w:line="360" w:lineRule="auto"/>
        <w:jc w:val="center"/>
        <w:rPr>
          <w:color w:val="000000" w:themeColor="text1"/>
          <w:szCs w:val="24"/>
        </w:rPr>
      </w:pPr>
    </w:p>
    <w:p w14:paraId="5F2E7A21" w14:textId="306830BE" w:rsidR="00582C52" w:rsidRPr="00EC0229" w:rsidRDefault="00582C52" w:rsidP="007600EA">
      <w:pPr>
        <w:pStyle w:val="NoSpacing"/>
        <w:spacing w:line="360" w:lineRule="auto"/>
        <w:rPr>
          <w:color w:val="000000" w:themeColor="text1"/>
          <w:szCs w:val="24"/>
        </w:rPr>
      </w:pPr>
      <w:r w:rsidRPr="00EC0229">
        <w:rPr>
          <w:color w:val="000000" w:themeColor="text1"/>
          <w:szCs w:val="24"/>
        </w:rPr>
        <w:t>While the phasing of the Carlisle material dovetails neatly with Whithorn</w:t>
      </w:r>
      <w:r w:rsidR="006B1593" w:rsidRPr="00EC0229">
        <w:rPr>
          <w:color w:val="000000" w:themeColor="text1"/>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color w:val="000000" w:themeColor="text1"/>
          <w:szCs w:val="24"/>
        </w:rPr>
        <w:fldChar w:fldCharType="end"/>
      </w:r>
      <w:r w:rsidRPr="00EC0229">
        <w:rPr>
          <w:color w:val="000000" w:themeColor="text1"/>
          <w:szCs w:val="24"/>
        </w:rPr>
        <w:t xml:space="preserve">, the nature of the finds contrasts. Carlisle’s coin assemblage – </w:t>
      </w:r>
      <w:r w:rsidR="00C0244E" w:rsidRPr="00EC0229">
        <w:rPr>
          <w:color w:val="000000" w:themeColor="text1"/>
          <w:szCs w:val="24"/>
        </w:rPr>
        <w:t>there is the familiar Series Q singleton (</w:t>
      </w:r>
      <w:r w:rsidR="009E07B9" w:rsidRPr="00EC0229">
        <w:rPr>
          <w:color w:val="000000" w:themeColor="text1"/>
          <w:szCs w:val="24"/>
        </w:rPr>
        <w:fldChar w:fldCharType="begin"/>
      </w:r>
      <w:r w:rsidR="009E07B9" w:rsidRPr="00EC0229">
        <w:rPr>
          <w:color w:val="000000" w:themeColor="text1"/>
          <w:szCs w:val="24"/>
        </w:rPr>
        <w:instrText xml:space="preserve"> REF _Ref430249727 \h </w:instrText>
      </w:r>
      <w:r w:rsidR="00235629" w:rsidRPr="00EC0229">
        <w:rPr>
          <w:color w:val="000000" w:themeColor="text1"/>
          <w:szCs w:val="24"/>
        </w:rPr>
        <w:instrText xml:space="preserve"> \* MERGEFORMAT </w:instrText>
      </w:r>
      <w:r w:rsidR="009E07B9" w:rsidRPr="00EC0229">
        <w:rPr>
          <w:color w:val="000000" w:themeColor="text1"/>
          <w:szCs w:val="24"/>
        </w:rPr>
      </w:r>
      <w:r w:rsidR="009E07B9" w:rsidRPr="00EC0229">
        <w:rPr>
          <w:color w:val="000000" w:themeColor="text1"/>
          <w:szCs w:val="24"/>
        </w:rPr>
        <w:fldChar w:fldCharType="separate"/>
      </w:r>
      <w:r w:rsidR="0012026B" w:rsidRPr="0012026B">
        <w:rPr>
          <w:i/>
        </w:rPr>
        <w:t>Figure</w:t>
      </w:r>
      <w:r w:rsidR="0012026B" w:rsidRPr="0012026B">
        <w:t xml:space="preserve"> </w:t>
      </w:r>
      <w:r w:rsidR="0012026B" w:rsidRPr="0012026B">
        <w:rPr>
          <w:noProof/>
        </w:rPr>
        <w:t>164</w:t>
      </w:r>
      <w:r w:rsidR="009E07B9" w:rsidRPr="00EC0229">
        <w:rPr>
          <w:color w:val="000000" w:themeColor="text1"/>
          <w:szCs w:val="24"/>
        </w:rPr>
        <w:fldChar w:fldCharType="end"/>
      </w:r>
      <w:r w:rsidR="009E07B9" w:rsidRPr="00EC0229">
        <w:rPr>
          <w:color w:val="000000" w:themeColor="text1"/>
          <w:szCs w:val="24"/>
        </w:rPr>
        <w:t>)</w:t>
      </w:r>
      <w:r w:rsidR="00BF228F" w:rsidRPr="00EC0229">
        <w:rPr>
          <w:color w:val="000000" w:themeColor="text1"/>
          <w:szCs w:val="24"/>
        </w:rPr>
        <w:t>, [5b],</w:t>
      </w:r>
      <w:r w:rsidR="009E07B9" w:rsidRPr="00EC0229">
        <w:rPr>
          <w:color w:val="000000" w:themeColor="text1"/>
          <w:szCs w:val="24"/>
        </w:rPr>
        <w:t xml:space="preserve"> </w:t>
      </w:r>
      <w:r w:rsidR="00C0244E" w:rsidRPr="00EC0229">
        <w:rPr>
          <w:color w:val="000000" w:themeColor="text1"/>
          <w:szCs w:val="24"/>
        </w:rPr>
        <w:t xml:space="preserve">but </w:t>
      </w:r>
      <w:r w:rsidRPr="00EC0229">
        <w:rPr>
          <w:color w:val="000000" w:themeColor="text1"/>
          <w:szCs w:val="24"/>
        </w:rPr>
        <w:t>85% belongs to Period N10</w:t>
      </w:r>
      <w:r w:rsidR="00135FD1" w:rsidRPr="00EC0229">
        <w:rPr>
          <w:color w:val="000000" w:themeColor="text1"/>
          <w:szCs w:val="24"/>
        </w:rPr>
        <w:fldChar w:fldCharType="begin"/>
      </w:r>
      <w:r w:rsidR="00135FD1" w:rsidRPr="00EC0229">
        <w:instrText xml:space="preserve"> XE "</w:instrText>
      </w:r>
      <w:r w:rsidR="00135FD1" w:rsidRPr="00EC0229">
        <w:rPr>
          <w:rFonts w:cs="Times New Roman"/>
          <w:szCs w:val="24"/>
        </w:rPr>
        <w:instrText>Period N10</w:instrText>
      </w:r>
      <w:r w:rsidR="00135FD1" w:rsidRPr="00EC0229">
        <w:instrText xml:space="preserve">" </w:instrText>
      </w:r>
      <w:r w:rsidR="00135FD1" w:rsidRPr="00EC0229">
        <w:rPr>
          <w:color w:val="000000" w:themeColor="text1"/>
          <w:szCs w:val="24"/>
        </w:rPr>
        <w:fldChar w:fldCharType="end"/>
      </w:r>
      <w:r w:rsidRPr="00EC0229">
        <w:rPr>
          <w:color w:val="000000" w:themeColor="text1"/>
          <w:szCs w:val="24"/>
        </w:rPr>
        <w:t xml:space="preserve">, base stycas - shows every sign of heavy use, </w:t>
      </w:r>
      <w:r w:rsidRPr="00EC0229">
        <w:rPr>
          <w:color w:val="000000" w:themeColor="text1"/>
          <w:szCs w:val="24"/>
        </w:rPr>
        <w:lastRenderedPageBreak/>
        <w:t xml:space="preserve">whereas that at Whithorn is earlier, distinctive and well-preserved. One would struggle to argue with conviction that a shift in activity from one site to the other has occurred. However, describing the Carlisle finds as </w:t>
      </w:r>
      <w:r w:rsidRPr="00EC0229">
        <w:rPr>
          <w:i/>
          <w:color w:val="000000" w:themeColor="text1"/>
          <w:szCs w:val="24"/>
        </w:rPr>
        <w:t>mundane</w:t>
      </w:r>
      <w:r w:rsidRPr="00EC0229">
        <w:rPr>
          <w:color w:val="000000" w:themeColor="text1"/>
          <w:szCs w:val="24"/>
        </w:rPr>
        <w:t xml:space="preserve"> is indicative that </w:t>
      </w:r>
      <w:r w:rsidR="003F2041" w:rsidRPr="00EC0229">
        <w:rPr>
          <w:color w:val="000000" w:themeColor="text1"/>
          <w:szCs w:val="24"/>
        </w:rPr>
        <w:t>monetiz</w:t>
      </w:r>
      <w:r w:rsidRPr="00EC0229">
        <w:rPr>
          <w:color w:val="000000" w:themeColor="text1"/>
          <w:szCs w:val="24"/>
        </w:rPr>
        <w:t>ation</w:t>
      </w:r>
      <w:r w:rsidR="008960AE" w:rsidRPr="00EC0229">
        <w:rPr>
          <w:color w:val="000000" w:themeColor="text1"/>
          <w:szCs w:val="24"/>
        </w:rPr>
        <w:fldChar w:fldCharType="begin"/>
      </w:r>
      <w:r w:rsidR="008960AE" w:rsidRPr="00EC0229">
        <w:instrText xml:space="preserve"> XE "monetization" </w:instrText>
      </w:r>
      <w:r w:rsidR="008960AE" w:rsidRPr="00EC0229">
        <w:rPr>
          <w:color w:val="000000" w:themeColor="text1"/>
          <w:szCs w:val="24"/>
        </w:rPr>
        <w:fldChar w:fldCharType="end"/>
      </w:r>
      <w:r w:rsidRPr="00EC0229">
        <w:rPr>
          <w:color w:val="000000" w:themeColor="text1"/>
          <w:szCs w:val="24"/>
        </w:rPr>
        <w:t xml:space="preserve"> has taken place - as with the single finds in inner York</w:t>
      </w:r>
      <w:r w:rsidR="006B1593" w:rsidRPr="00EC0229">
        <w:rPr>
          <w:color w:val="000000" w:themeColor="text1"/>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color w:val="000000" w:themeColor="text1"/>
          <w:szCs w:val="24"/>
        </w:rPr>
        <w:fldChar w:fldCharType="end"/>
      </w:r>
      <w:r w:rsidRPr="00EC0229">
        <w:rPr>
          <w:color w:val="000000" w:themeColor="text1"/>
          <w:szCs w:val="24"/>
        </w:rPr>
        <w:t>, although the absolute number may be modest, the widespread urban distribution shows that stycas were widely used, spatially and societally.</w:t>
      </w:r>
      <w:r w:rsidRPr="00EC0229">
        <w:rPr>
          <w:rStyle w:val="FootnoteReference"/>
          <w:color w:val="000000" w:themeColor="text1"/>
          <w:szCs w:val="24"/>
        </w:rPr>
        <w:footnoteReference w:id="1223"/>
      </w:r>
      <w:r w:rsidRPr="00EC0229">
        <w:rPr>
          <w:color w:val="000000" w:themeColor="text1"/>
          <w:szCs w:val="24"/>
        </w:rPr>
        <w:t xml:space="preserve"> </w:t>
      </w:r>
    </w:p>
    <w:p w14:paraId="15102506" w14:textId="77777777" w:rsidR="00582C52" w:rsidRPr="00EC0229" w:rsidRDefault="00582C52" w:rsidP="007600EA">
      <w:pPr>
        <w:pStyle w:val="NoSpacing"/>
        <w:spacing w:line="360" w:lineRule="auto"/>
        <w:rPr>
          <w:color w:val="000000" w:themeColor="text1"/>
          <w:szCs w:val="24"/>
        </w:rPr>
      </w:pPr>
    </w:p>
    <w:p w14:paraId="27691346" w14:textId="77777777" w:rsidR="00582C52" w:rsidRPr="00EC0229" w:rsidRDefault="00582C52" w:rsidP="007600EA">
      <w:pPr>
        <w:pStyle w:val="NoSpacing"/>
        <w:spacing w:line="360" w:lineRule="auto"/>
        <w:jc w:val="center"/>
        <w:rPr>
          <w:color w:val="000000" w:themeColor="text1"/>
          <w:szCs w:val="24"/>
        </w:rPr>
      </w:pPr>
      <w:r w:rsidRPr="00EC0229">
        <w:rPr>
          <w:noProof/>
          <w:color w:val="000000" w:themeColor="text1"/>
          <w:szCs w:val="24"/>
          <w:lang w:eastAsia="en-GB"/>
        </w:rPr>
        <w:drawing>
          <wp:inline distT="0" distB="0" distL="0" distR="0" wp14:anchorId="3793EB78" wp14:editId="40BD2EF7">
            <wp:extent cx="579120" cy="585216"/>
            <wp:effectExtent l="0" t="0" r="0" b="571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100 Carlisle 1977_0014obv.jpg"/>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579120" cy="585216"/>
                    </a:xfrm>
                    <a:prstGeom prst="rect">
                      <a:avLst/>
                    </a:prstGeom>
                  </pic:spPr>
                </pic:pic>
              </a:graphicData>
            </a:graphic>
          </wp:inline>
        </w:drawing>
      </w:r>
      <w:r w:rsidRPr="00EC0229">
        <w:rPr>
          <w:noProof/>
          <w:color w:val="000000" w:themeColor="text1"/>
          <w:szCs w:val="24"/>
          <w:lang w:eastAsia="en-GB"/>
        </w:rPr>
        <w:drawing>
          <wp:inline distT="0" distB="0" distL="0" distR="0" wp14:anchorId="34BF8170" wp14:editId="31D57902">
            <wp:extent cx="566928" cy="579120"/>
            <wp:effectExtent l="0" t="0" r="508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3-100 Carlisle 1977_0014rev.jpg"/>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566928" cy="579120"/>
                    </a:xfrm>
                    <a:prstGeom prst="rect">
                      <a:avLst/>
                    </a:prstGeom>
                  </pic:spPr>
                </pic:pic>
              </a:graphicData>
            </a:graphic>
          </wp:inline>
        </w:drawing>
      </w:r>
    </w:p>
    <w:p w14:paraId="3917B4A9" w14:textId="74D20ECE" w:rsidR="00941A45" w:rsidRDefault="003977B6" w:rsidP="007600EA">
      <w:pPr>
        <w:pStyle w:val="NoSpacing"/>
        <w:spacing w:line="360" w:lineRule="auto"/>
        <w:jc w:val="center"/>
        <w:rPr>
          <w:sz w:val="20"/>
          <w:szCs w:val="20"/>
        </w:rPr>
      </w:pPr>
      <w:bookmarkStart w:id="900" w:name="_Ref430249727"/>
      <w:bookmarkStart w:id="901" w:name="_Toc468267136"/>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164</w:t>
      </w:r>
      <w:r w:rsidR="00B609E3" w:rsidRPr="00EC0229">
        <w:rPr>
          <w:noProof/>
          <w:sz w:val="20"/>
          <w:szCs w:val="20"/>
        </w:rPr>
        <w:fldChar w:fldCharType="end"/>
      </w:r>
      <w:bookmarkEnd w:id="900"/>
      <w:r w:rsidR="00EE192A" w:rsidRPr="00EC0229">
        <w:rPr>
          <w:sz w:val="20"/>
          <w:szCs w:val="20"/>
        </w:rPr>
        <w:t xml:space="preserve">: </w:t>
      </w:r>
      <w:r w:rsidR="00582C52" w:rsidRPr="00EC0229">
        <w:rPr>
          <w:sz w:val="20"/>
          <w:szCs w:val="20"/>
        </w:rPr>
        <w:t>Carlisle: Sceat of East Anglian</w:t>
      </w:r>
      <w:r w:rsidR="00D142DC" w:rsidRPr="00EC0229">
        <w:rPr>
          <w:sz w:val="20"/>
          <w:szCs w:val="20"/>
        </w:rPr>
        <w:fldChar w:fldCharType="begin"/>
      </w:r>
      <w:r w:rsidR="00D142DC" w:rsidRPr="00EC0229">
        <w:rPr>
          <w:sz w:val="20"/>
          <w:szCs w:val="20"/>
        </w:rPr>
        <w:instrText xml:space="preserve"> XE "Anglian" </w:instrText>
      </w:r>
      <w:r w:rsidR="00D142DC" w:rsidRPr="00EC0229">
        <w:rPr>
          <w:sz w:val="20"/>
          <w:szCs w:val="20"/>
        </w:rPr>
        <w:fldChar w:fldCharType="end"/>
      </w:r>
      <w:r w:rsidR="00582C52" w:rsidRPr="00EC0229">
        <w:rPr>
          <w:sz w:val="20"/>
          <w:szCs w:val="20"/>
        </w:rPr>
        <w:t xml:space="preserve"> Series</w:t>
      </w:r>
      <w:r w:rsidR="00D142DC" w:rsidRPr="00EC0229">
        <w:rPr>
          <w:sz w:val="20"/>
          <w:szCs w:val="20"/>
        </w:rPr>
        <w:fldChar w:fldCharType="begin"/>
      </w:r>
      <w:r w:rsidR="00D142DC" w:rsidRPr="00EC0229">
        <w:rPr>
          <w:sz w:val="20"/>
          <w:szCs w:val="20"/>
        </w:rPr>
        <w:instrText xml:space="preserve"> XE "Series" </w:instrText>
      </w:r>
      <w:r w:rsidR="00D142DC" w:rsidRPr="00EC0229">
        <w:rPr>
          <w:sz w:val="20"/>
          <w:szCs w:val="20"/>
        </w:rPr>
        <w:fldChar w:fldCharType="end"/>
      </w:r>
      <w:r w:rsidR="00941A45">
        <w:rPr>
          <w:sz w:val="20"/>
          <w:szCs w:val="20"/>
        </w:rPr>
        <w:t xml:space="preserve"> Q1G</w:t>
      </w:r>
      <w:bookmarkEnd w:id="901"/>
    </w:p>
    <w:p w14:paraId="051531D6" w14:textId="187E1C7D" w:rsidR="00582C52" w:rsidRPr="00EC0229" w:rsidRDefault="00582C52" w:rsidP="007600EA">
      <w:pPr>
        <w:pStyle w:val="NoSpacing"/>
        <w:spacing w:line="360" w:lineRule="auto"/>
        <w:jc w:val="center"/>
        <w:rPr>
          <w:sz w:val="20"/>
          <w:szCs w:val="20"/>
        </w:rPr>
      </w:pPr>
      <w:r w:rsidRPr="00EC0229">
        <w:rPr>
          <w:sz w:val="20"/>
          <w:szCs w:val="20"/>
        </w:rPr>
        <w:t>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Pr="00EC0229">
        <w:rPr>
          <w:sz w:val="20"/>
          <w:szCs w:val="20"/>
        </w:rPr>
        <w:t xml:space="preserve"> 1977.0014</w:t>
      </w:r>
      <w:r w:rsidR="00941A45">
        <w:rPr>
          <w:sz w:val="20"/>
          <w:szCs w:val="20"/>
        </w:rPr>
        <w:t>,</w:t>
      </w:r>
      <w:r w:rsidR="00941A45" w:rsidRPr="00941A45">
        <w:rPr>
          <w:i/>
          <w:sz w:val="20"/>
          <w:szCs w:val="20"/>
        </w:rPr>
        <w:t xml:space="preserve"> </w:t>
      </w:r>
      <w:r w:rsidR="00941A45" w:rsidRPr="00EC0229">
        <w:rPr>
          <w:i/>
          <w:sz w:val="20"/>
          <w:szCs w:val="20"/>
        </w:rPr>
        <w:t>SL</w:t>
      </w:r>
      <w:r w:rsidR="00941A45">
        <w:rPr>
          <w:sz w:val="20"/>
          <w:szCs w:val="20"/>
        </w:rPr>
        <w:t>63-100</w:t>
      </w:r>
    </w:p>
    <w:p w14:paraId="19258436" w14:textId="77777777" w:rsidR="00582C52" w:rsidRPr="00EC0229" w:rsidRDefault="00582C52" w:rsidP="007600EA">
      <w:pPr>
        <w:pStyle w:val="NoSpacing"/>
        <w:spacing w:line="360" w:lineRule="auto"/>
        <w:jc w:val="center"/>
        <w:rPr>
          <w:color w:val="000000" w:themeColor="text1"/>
          <w:sz w:val="20"/>
          <w:szCs w:val="20"/>
        </w:rPr>
      </w:pPr>
    </w:p>
    <w:p w14:paraId="4F4DB833" w14:textId="3501A9C9" w:rsidR="00582C52" w:rsidRPr="00EC0229" w:rsidRDefault="00582C52" w:rsidP="007600EA">
      <w:pPr>
        <w:pStyle w:val="NoSpacing"/>
        <w:spacing w:line="360" w:lineRule="auto"/>
        <w:rPr>
          <w:szCs w:val="24"/>
        </w:rPr>
      </w:pPr>
      <w:r w:rsidRPr="00EC0229">
        <w:rPr>
          <w:szCs w:val="24"/>
        </w:rPr>
        <w:t>The weakness of the site-shift argument is that this would be a symptom when we are seeking a cause. Might a second, better explanation for the apparent decline at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Pr="00EC0229">
        <w:rPr>
          <w:szCs w:val="24"/>
        </w:rPr>
        <w:t xml:space="preserve"> be a diminution in, rather than a transfer of, trade, possibly as a consequence of hostile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xml:space="preserve"> incursi</w:t>
      </w:r>
      <w:r w:rsidR="00C84722" w:rsidRPr="00EC0229">
        <w:rPr>
          <w:szCs w:val="24"/>
        </w:rPr>
        <w:t xml:space="preserve">ons in the 830s? To quote </w:t>
      </w:r>
      <w:r w:rsidRPr="00EC0229">
        <w:rPr>
          <w:szCs w:val="24"/>
        </w:rPr>
        <w:t>Dumville: ‘Colonisation…was unlikely to be a peaceful process and raiding was an essential stage in probing, softening up, or dislodging the indigenous inhabitants of a potential settlement</w:t>
      </w:r>
      <w:r w:rsidR="00D142DC" w:rsidRPr="00EC0229">
        <w:rPr>
          <w:szCs w:val="24"/>
        </w:rPr>
        <w:fldChar w:fldCharType="begin"/>
      </w:r>
      <w:r w:rsidR="00D142DC" w:rsidRPr="00EC0229">
        <w:instrText xml:space="preserve"> XE "settlement" </w:instrText>
      </w:r>
      <w:r w:rsidR="00D142DC" w:rsidRPr="00EC0229">
        <w:rPr>
          <w:szCs w:val="24"/>
        </w:rPr>
        <w:fldChar w:fldCharType="end"/>
      </w:r>
      <w:r w:rsidRPr="00EC0229">
        <w:rPr>
          <w:szCs w:val="24"/>
        </w:rPr>
        <w:t xml:space="preserve"> area.’</w:t>
      </w:r>
      <w:r w:rsidRPr="00EC0229">
        <w:rPr>
          <w:rStyle w:val="FootnoteReference"/>
          <w:szCs w:val="24"/>
        </w:rPr>
        <w:footnoteReference w:id="1224"/>
      </w:r>
      <w:r w:rsidR="00C84722" w:rsidRPr="00EC0229">
        <w:rPr>
          <w:szCs w:val="24"/>
        </w:rPr>
        <w:t xml:space="preserve"> He also spoke</w:t>
      </w:r>
      <w:r w:rsidRPr="00EC0229">
        <w:rPr>
          <w:szCs w:val="24"/>
        </w:rPr>
        <w:t xml:space="preserve"> of a ‘monastic thessalocracy’ in the Western Isles from 550 to 800, referring to the sea-borne piratical empire of the Vikings and the consequent insecurity and disruption.</w:t>
      </w:r>
      <w:r w:rsidRPr="00EC0229">
        <w:rPr>
          <w:rStyle w:val="FootnoteReference"/>
          <w:szCs w:val="24"/>
        </w:rPr>
        <w:footnoteReference w:id="1225"/>
      </w:r>
      <w:r w:rsidRPr="00EC0229">
        <w:rPr>
          <w:szCs w:val="24"/>
        </w:rPr>
        <w:t xml:space="preserve"> Whithorn would have been a poorly-defended </w:t>
      </w:r>
      <w:r w:rsidR="00C84722" w:rsidRPr="00EC0229">
        <w:rPr>
          <w:szCs w:val="24"/>
        </w:rPr>
        <w:t>‘</w:t>
      </w:r>
      <w:r w:rsidRPr="00EC0229">
        <w:rPr>
          <w:szCs w:val="24"/>
        </w:rPr>
        <w:t>honey pot</w:t>
      </w:r>
      <w:r w:rsidR="00C84722" w:rsidRPr="00EC0229">
        <w:rPr>
          <w:szCs w:val="24"/>
        </w:rPr>
        <w:t>’</w:t>
      </w:r>
      <w:r w:rsidRPr="00EC0229">
        <w:rPr>
          <w:szCs w:val="24"/>
        </w:rPr>
        <w:t xml:space="preserve"> just as was Lindisfarne</w:t>
      </w:r>
      <w:r w:rsidR="006B1593" w:rsidRPr="00EC0229">
        <w:rPr>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szCs w:val="24"/>
        </w:rPr>
        <w:fldChar w:fldCharType="end"/>
      </w:r>
      <w:r w:rsidRPr="00EC0229">
        <w:rPr>
          <w:szCs w:val="24"/>
        </w:rPr>
        <w:t>.</w:t>
      </w:r>
    </w:p>
    <w:p w14:paraId="73A05949" w14:textId="77777777" w:rsidR="00582C52" w:rsidRPr="00EC0229" w:rsidRDefault="00582C52" w:rsidP="007600EA">
      <w:pPr>
        <w:pStyle w:val="NoSpacing"/>
        <w:spacing w:line="360" w:lineRule="auto"/>
        <w:rPr>
          <w:szCs w:val="24"/>
        </w:rPr>
      </w:pPr>
    </w:p>
    <w:p w14:paraId="698E40C6" w14:textId="3AD934AC" w:rsidR="00582C52" w:rsidRPr="00EC0229" w:rsidRDefault="00582C52" w:rsidP="007600EA">
      <w:pPr>
        <w:pStyle w:val="NoSpacing"/>
        <w:spacing w:line="360" w:lineRule="auto"/>
      </w:pPr>
      <w:proofErr w:type="spellStart"/>
      <w:r w:rsidRPr="00EC0229">
        <w:rPr>
          <w:i/>
          <w:szCs w:val="24"/>
        </w:rPr>
        <w:t>Gallgo</w:t>
      </w:r>
      <w:r w:rsidRPr="00EC0229">
        <w:rPr>
          <w:rFonts w:cs="Times New Roman"/>
          <w:i/>
          <w:szCs w:val="24"/>
        </w:rPr>
        <w:t>ί</w:t>
      </w:r>
      <w:r w:rsidRPr="00EC0229">
        <w:rPr>
          <w:i/>
          <w:szCs w:val="24"/>
        </w:rPr>
        <w:t>dil</w:t>
      </w:r>
      <w:proofErr w:type="spellEnd"/>
      <w:r w:rsidRPr="00EC0229">
        <w:rPr>
          <w:szCs w:val="24"/>
        </w:rPr>
        <w:t xml:space="preserve"> is a term used for what may have been ‘Gaels’ influenced by, or racially mixed with, Scandinavians. This seems to be the origins of the term Galloway which came into use as Northumbria</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szCs w:val="24"/>
        </w:rPr>
        <w:fldChar w:fldCharType="end"/>
      </w:r>
      <w:r w:rsidRPr="00EC0229">
        <w:rPr>
          <w:szCs w:val="24"/>
        </w:rPr>
        <w:t xml:space="preserve"> was fading after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fell to the </w:t>
      </w:r>
      <w:r w:rsidRPr="00EC0229">
        <w:rPr>
          <w:i/>
          <w:szCs w:val="24"/>
        </w:rPr>
        <w:t>micel here</w:t>
      </w:r>
      <w:r w:rsidR="008960AE" w:rsidRPr="00EC0229">
        <w:rPr>
          <w:i/>
          <w:szCs w:val="24"/>
        </w:rPr>
        <w:fldChar w:fldCharType="begin"/>
      </w:r>
      <w:r w:rsidR="008960AE" w:rsidRPr="00EC0229">
        <w:instrText xml:space="preserve"> XE "</w:instrText>
      </w:r>
      <w:r w:rsidR="008960AE" w:rsidRPr="00EC0229">
        <w:rPr>
          <w:rFonts w:cs="Times New Roman"/>
          <w:i/>
          <w:color w:val="000000" w:themeColor="text1"/>
          <w:szCs w:val="24"/>
        </w:rPr>
        <w:instrText>micel here</w:instrText>
      </w:r>
      <w:r w:rsidR="008960AE" w:rsidRPr="00EC0229">
        <w:instrText xml:space="preserve">" </w:instrText>
      </w:r>
      <w:r w:rsidR="008960AE" w:rsidRPr="00EC0229">
        <w:rPr>
          <w:i/>
          <w:szCs w:val="24"/>
        </w:rPr>
        <w:fldChar w:fldCharType="end"/>
      </w:r>
      <w:r w:rsidRPr="00EC0229">
        <w:rPr>
          <w:szCs w:val="24"/>
        </w:rPr>
        <w:t>.</w:t>
      </w:r>
      <w:r w:rsidRPr="00EC0229">
        <w:rPr>
          <w:rStyle w:val="FootnoteReference"/>
          <w:szCs w:val="24"/>
        </w:rPr>
        <w:footnoteReference w:id="1226"/>
      </w:r>
      <w:r w:rsidRPr="00EC0229">
        <w:rPr>
          <w:szCs w:val="24"/>
        </w:rPr>
        <w:t xml:space="preserve"> But perhaps Northumbrian support for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Pr="00EC0229">
        <w:rPr>
          <w:szCs w:val="24"/>
        </w:rPr>
        <w:t xml:space="preserve"> had failed well before this, either as a consequence of the attack on Lindisfarne</w:t>
      </w:r>
      <w:r w:rsidR="006B1593" w:rsidRPr="00EC0229">
        <w:rPr>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szCs w:val="24"/>
        </w:rPr>
        <w:fldChar w:fldCharType="end"/>
      </w:r>
      <w:r w:rsidRPr="00EC0229">
        <w:rPr>
          <w:szCs w:val="24"/>
        </w:rPr>
        <w:t xml:space="preserve"> or, plausibly, with power ceded under the 829 settlement</w:t>
      </w:r>
      <w:r w:rsidR="00D142DC" w:rsidRPr="00EC0229">
        <w:rPr>
          <w:szCs w:val="24"/>
        </w:rPr>
        <w:fldChar w:fldCharType="begin"/>
      </w:r>
      <w:r w:rsidR="00D142DC" w:rsidRPr="00EC0229">
        <w:instrText xml:space="preserve"> XE "settlement" </w:instrText>
      </w:r>
      <w:r w:rsidR="00D142DC" w:rsidRPr="00EC0229">
        <w:rPr>
          <w:szCs w:val="24"/>
        </w:rPr>
        <w:fldChar w:fldCharType="end"/>
      </w:r>
      <w:r w:rsidRPr="00EC0229">
        <w:rPr>
          <w:szCs w:val="24"/>
        </w:rPr>
        <w:t xml:space="preserve"> at Dore. The growing </w:t>
      </w:r>
      <w:r w:rsidRPr="00EC0229">
        <w:rPr>
          <w:szCs w:val="24"/>
        </w:rPr>
        <w:lastRenderedPageBreak/>
        <w:t xml:space="preserve">powers in southern Scotland were the Picts and the Strathclyde Britons, though the former suffered a catastrophic defeat by the Vikings at northerly Fortriu in 839 before being attacked by </w:t>
      </w:r>
      <w:r w:rsidRPr="00EC0229">
        <w:rPr>
          <w:bCs/>
        </w:rPr>
        <w:t>Cináed mac Ailpín</w:t>
      </w:r>
      <w:r w:rsidRPr="00EC0229">
        <w:t xml:space="preserve"> (Kenneth MacAlpine).</w:t>
      </w:r>
      <w:r w:rsidRPr="00EC0229">
        <w:rPr>
          <w:rStyle w:val="FootnoteReference"/>
        </w:rPr>
        <w:footnoteReference w:id="1227"/>
      </w:r>
    </w:p>
    <w:p w14:paraId="1157E47E" w14:textId="77777777" w:rsidR="00582C52" w:rsidRPr="00EC0229" w:rsidRDefault="00582C52" w:rsidP="007600EA">
      <w:pPr>
        <w:pStyle w:val="NoSpacing"/>
        <w:spacing w:line="360" w:lineRule="auto"/>
      </w:pPr>
    </w:p>
    <w:p w14:paraId="73E57336" w14:textId="54F433FD" w:rsidR="00582C52" w:rsidRPr="00EC0229" w:rsidRDefault="00582C52" w:rsidP="007600EA">
      <w:pPr>
        <w:pStyle w:val="NoSpacing"/>
        <w:spacing w:line="360" w:lineRule="auto"/>
      </w:pPr>
      <w:r w:rsidRPr="00EC0229">
        <w:t>There are two hoards of the period, on the inland route to Whithorn</w:t>
      </w:r>
      <w:r w:rsidR="006B1593" w:rsidRPr="00EC0229">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fldChar w:fldCharType="end"/>
      </w:r>
      <w:r w:rsidRPr="00EC0229">
        <w:t>, no doubt deposited as a consequence of such upheavals. The Lochar Moss hoard is likely to have been the source of material gifted in 1782 to the Edinburgh Museum.</w:t>
      </w:r>
      <w:r w:rsidRPr="00EC0229">
        <w:rPr>
          <w:rStyle w:val="FootnoteReference"/>
        </w:rPr>
        <w:footnoteReference w:id="1228"/>
      </w:r>
      <w:r w:rsidRPr="00EC0229">
        <w:t xml:space="preserve"> This seems to have included southern sceats or pennies and fifteen stycas, though such mixed hoards are most unusual. A silver crucifix found in the same leather bag is now lost but may hint at a cleric travelling to or from Whithorn, some sixty-six miles away. Another mixed hoard, only twenty-three miles from Whit</w:t>
      </w:r>
      <w:r w:rsidR="00AB2D49" w:rsidRPr="00EC0229">
        <w:t xml:space="preserve">horn, and described in </w:t>
      </w:r>
      <w:r w:rsidR="00923167">
        <w:t>Chapter</w:t>
      </w:r>
      <w:r w:rsidR="00AB2D49" w:rsidRPr="00EC0229">
        <w:t xml:space="preserve"> 5</w:t>
      </w:r>
      <w:r w:rsidR="00BF228F" w:rsidRPr="00EC0229">
        <w:t xml:space="preserve"> (</w:t>
      </w:r>
      <w:r w:rsidR="00BF228F" w:rsidRPr="00EC0229">
        <w:fldChar w:fldCharType="begin"/>
      </w:r>
      <w:r w:rsidR="00BF228F" w:rsidRPr="00EC0229">
        <w:instrText xml:space="preserve"> PAGEREF Talnotrie \h </w:instrText>
      </w:r>
      <w:r w:rsidR="00BF228F" w:rsidRPr="00EC0229">
        <w:fldChar w:fldCharType="separate"/>
      </w:r>
      <w:r w:rsidR="0012026B">
        <w:rPr>
          <w:noProof/>
        </w:rPr>
        <w:t>144</w:t>
      </w:r>
      <w:r w:rsidR="00BF228F" w:rsidRPr="00EC0229">
        <w:fldChar w:fldCharType="end"/>
      </w:r>
      <w:r w:rsidR="00BF228F" w:rsidRPr="00EC0229">
        <w:t>)</w:t>
      </w:r>
      <w:r w:rsidRPr="00EC0229">
        <w:t>, was ‘salvaged from a cottar’s peat fire in 1912’</w:t>
      </w:r>
      <w:r w:rsidRPr="00EC0229">
        <w:rPr>
          <w:rStyle w:val="FootnoteReference"/>
        </w:rPr>
        <w:footnoteReference w:id="1229"/>
      </w:r>
      <w:r w:rsidRPr="00EC0229">
        <w:t xml:space="preserve"> at </w:t>
      </w:r>
      <w:r w:rsidRPr="00EC0229">
        <w:rPr>
          <w:szCs w:val="24"/>
        </w:rPr>
        <w:t xml:space="preserve">Talnotrie </w:t>
      </w:r>
      <w:r w:rsidRPr="00EC0229">
        <w:rPr>
          <w:color w:val="000000" w:themeColor="text1"/>
          <w:szCs w:val="24"/>
        </w:rPr>
        <w:t>(now Talnotry) included a mix of decorated pins and strap ends of English origin, Viking</w:t>
      </w:r>
      <w:r w:rsidR="00F204A1" w:rsidRPr="00EC0229">
        <w:rPr>
          <w:color w:val="000000" w:themeColor="text1"/>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color w:val="000000" w:themeColor="text1"/>
          <w:szCs w:val="24"/>
        </w:rPr>
        <w:fldChar w:fldCharType="end"/>
      </w:r>
      <w:r w:rsidRPr="00EC0229">
        <w:rPr>
          <w:color w:val="000000" w:themeColor="text1"/>
          <w:szCs w:val="24"/>
        </w:rPr>
        <w:t>-style weights</w:t>
      </w:r>
      <w:r w:rsidR="00F204A1" w:rsidRPr="00EC0229">
        <w:rPr>
          <w:color w:val="000000" w:themeColor="text1"/>
          <w:szCs w:val="24"/>
        </w:rPr>
        <w:fldChar w:fldCharType="begin"/>
      </w:r>
      <w:r w:rsidR="00F204A1" w:rsidRPr="00EC0229">
        <w:instrText xml:space="preserve"> XE "</w:instrText>
      </w:r>
      <w:r w:rsidR="00F204A1" w:rsidRPr="00EC0229">
        <w:rPr>
          <w:rStyle w:val="Hyperlink"/>
          <w:noProof/>
          <w:u w:val="none"/>
        </w:rPr>
        <w:instrText>weights</w:instrText>
      </w:r>
      <w:r w:rsidR="00F204A1" w:rsidRPr="00EC0229">
        <w:instrText xml:space="preserve">" </w:instrText>
      </w:r>
      <w:r w:rsidR="00F204A1" w:rsidRPr="00EC0229">
        <w:rPr>
          <w:color w:val="000000" w:themeColor="text1"/>
          <w:szCs w:val="24"/>
        </w:rPr>
        <w:fldChar w:fldCharType="end"/>
      </w:r>
      <w:r w:rsidRPr="00EC0229">
        <w:rPr>
          <w:color w:val="000000" w:themeColor="text1"/>
          <w:szCs w:val="24"/>
        </w:rPr>
        <w:t xml:space="preserve"> (such as unearthed at Whithorn), fragments of a </w:t>
      </w:r>
      <w:r w:rsidRPr="00EC0229">
        <w:rPr>
          <w:i/>
          <w:color w:val="000000" w:themeColor="text1"/>
          <w:szCs w:val="24"/>
        </w:rPr>
        <w:t>Christiana Religio</w:t>
      </w:r>
      <w:r w:rsidRPr="00EC0229">
        <w:rPr>
          <w:color w:val="000000" w:themeColor="text1"/>
          <w:szCs w:val="24"/>
        </w:rPr>
        <w:t xml:space="preserve"> denier</w:t>
      </w:r>
      <w:r w:rsidR="004C29A9" w:rsidRPr="00EC0229">
        <w:rPr>
          <w:color w:val="000000" w:themeColor="text1"/>
          <w:szCs w:val="24"/>
        </w:rPr>
        <w:fldChar w:fldCharType="begin"/>
      </w:r>
      <w:r w:rsidR="004C29A9" w:rsidRPr="00EC0229">
        <w:instrText xml:space="preserve"> XE "</w:instrText>
      </w:r>
      <w:r w:rsidR="004C29A9" w:rsidRPr="00EC0229">
        <w:rPr>
          <w:rFonts w:cs="Times New Roman"/>
          <w:szCs w:val="24"/>
        </w:rPr>
        <w:instrText>denier</w:instrText>
      </w:r>
      <w:r w:rsidR="004C29A9" w:rsidRPr="00EC0229">
        <w:instrText xml:space="preserve">" </w:instrText>
      </w:r>
      <w:r w:rsidR="004C29A9" w:rsidRPr="00EC0229">
        <w:rPr>
          <w:color w:val="000000" w:themeColor="text1"/>
          <w:szCs w:val="24"/>
        </w:rPr>
        <w:fldChar w:fldCharType="end"/>
      </w:r>
      <w:r w:rsidRPr="00EC0229">
        <w:rPr>
          <w:color w:val="000000" w:themeColor="text1"/>
          <w:szCs w:val="24"/>
        </w:rPr>
        <w:t xml:space="preserve"> of Louis the Pious</w:t>
      </w:r>
      <w:r w:rsidR="008960AE" w:rsidRPr="00EC0229">
        <w:rPr>
          <w:color w:val="000000" w:themeColor="text1"/>
          <w:szCs w:val="24"/>
        </w:rPr>
        <w:fldChar w:fldCharType="begin"/>
      </w:r>
      <w:r w:rsidR="008960AE" w:rsidRPr="00EC0229">
        <w:instrText xml:space="preserve"> XE "</w:instrText>
      </w:r>
      <w:r w:rsidR="008960AE" w:rsidRPr="00EC0229">
        <w:rPr>
          <w:rFonts w:eastAsia="Times New Roman" w:cs="Times New Roman"/>
          <w:szCs w:val="24"/>
          <w:lang w:eastAsia="en-GB"/>
        </w:rPr>
        <w:instrText>Louis the Pious</w:instrText>
      </w:r>
      <w:r w:rsidR="008960AE" w:rsidRPr="00EC0229">
        <w:instrText xml:space="preserve">" </w:instrText>
      </w:r>
      <w:r w:rsidR="008960AE" w:rsidRPr="00EC0229">
        <w:rPr>
          <w:color w:val="000000" w:themeColor="text1"/>
          <w:szCs w:val="24"/>
        </w:rPr>
        <w:fldChar w:fldCharType="end"/>
      </w:r>
      <w:r w:rsidRPr="00EC0229">
        <w:rPr>
          <w:color w:val="000000" w:themeColor="text1"/>
          <w:szCs w:val="24"/>
        </w:rPr>
        <w:t xml:space="preserve"> and of dirhams, six stycas, four </w:t>
      </w:r>
      <w:r w:rsidR="00572E51" w:rsidRPr="00EC0229">
        <w:rPr>
          <w:color w:val="000000" w:themeColor="text1"/>
          <w:szCs w:val="24"/>
        </w:rPr>
        <w:t>Southumbria</w:t>
      </w:r>
      <w:r w:rsidRPr="00EC0229">
        <w:rPr>
          <w:color w:val="000000" w:themeColor="text1"/>
          <w:szCs w:val="24"/>
        </w:rPr>
        <w:t>n pennies of Burgred including one</w:t>
      </w:r>
      <w:r w:rsidR="00B16415" w:rsidRPr="00EC0229">
        <w:rPr>
          <w:color w:val="000000" w:themeColor="text1"/>
          <w:szCs w:val="24"/>
        </w:rPr>
        <w:t xml:space="preserve"> which has been mounted. </w:t>
      </w:r>
      <w:r w:rsidR="00C84722" w:rsidRPr="00EC0229">
        <w:rPr>
          <w:color w:val="000000" w:themeColor="text1"/>
          <w:szCs w:val="24"/>
        </w:rPr>
        <w:t>Archibald dated</w:t>
      </w:r>
      <w:r w:rsidRPr="00EC0229">
        <w:rPr>
          <w:color w:val="000000" w:themeColor="text1"/>
          <w:szCs w:val="24"/>
        </w:rPr>
        <w:t xml:space="preserve"> the </w:t>
      </w:r>
      <w:r w:rsidR="00724D08" w:rsidRPr="00EC0229">
        <w:rPr>
          <w:color w:val="000000" w:themeColor="text1"/>
          <w:szCs w:val="24"/>
        </w:rPr>
        <w:t>deposition to ‘the early or mid-</w:t>
      </w:r>
      <w:r w:rsidR="00B16415" w:rsidRPr="00EC0229">
        <w:rPr>
          <w:color w:val="000000" w:themeColor="text1"/>
          <w:szCs w:val="24"/>
        </w:rPr>
        <w:t xml:space="preserve">870s’ and </w:t>
      </w:r>
      <w:r w:rsidR="00C84722" w:rsidRPr="00EC0229">
        <w:rPr>
          <w:color w:val="000000" w:themeColor="text1"/>
          <w:szCs w:val="24"/>
        </w:rPr>
        <w:t>Graham-Campbell surmised</w:t>
      </w:r>
      <w:r w:rsidRPr="00EC0229">
        <w:rPr>
          <w:color w:val="000000" w:themeColor="text1"/>
          <w:szCs w:val="24"/>
        </w:rPr>
        <w:t xml:space="preserve"> this hoard to be the property, from several sources, of a native Northumbrian metalworker rather than Viking hack-silver.</w:t>
      </w:r>
      <w:r w:rsidRPr="00EC0229">
        <w:rPr>
          <w:rStyle w:val="FootnoteReference"/>
          <w:color w:val="000000" w:themeColor="text1"/>
          <w:szCs w:val="24"/>
        </w:rPr>
        <w:footnoteReference w:id="1230"/>
      </w:r>
      <w:r w:rsidRPr="00EC0229">
        <w:rPr>
          <w:color w:val="000000" w:themeColor="text1"/>
          <w:szCs w:val="24"/>
        </w:rPr>
        <w:t xml:space="preserve"> </w:t>
      </w:r>
      <w:r w:rsidR="0030224D" w:rsidRPr="00EC0229">
        <w:rPr>
          <w:color w:val="000000" w:themeColor="text1"/>
          <w:szCs w:val="24"/>
        </w:rPr>
        <w:t>Metcalf</w:t>
      </w:r>
      <w:r w:rsidR="00F204A1" w:rsidRPr="00EC0229">
        <w:rPr>
          <w:color w:val="000000" w:themeColor="text1"/>
          <w:szCs w:val="24"/>
        </w:rPr>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rPr>
          <w:color w:val="000000" w:themeColor="text1"/>
          <w:szCs w:val="24"/>
        </w:rPr>
        <w:fldChar w:fldCharType="end"/>
      </w:r>
      <w:r w:rsidR="0030224D" w:rsidRPr="00EC0229">
        <w:rPr>
          <w:color w:val="000000" w:themeColor="text1"/>
          <w:szCs w:val="24"/>
        </w:rPr>
        <w:t xml:space="preserve"> facilitated</w:t>
      </w:r>
      <w:r w:rsidRPr="00EC0229">
        <w:rPr>
          <w:color w:val="000000" w:themeColor="text1"/>
          <w:szCs w:val="24"/>
        </w:rPr>
        <w:t xml:space="preserve"> this attribution by explaining that incoming Carolingian</w:t>
      </w:r>
      <w:r w:rsidR="008960AE" w:rsidRPr="00EC0229">
        <w:rPr>
          <w:color w:val="000000" w:themeColor="text1"/>
          <w:szCs w:val="24"/>
        </w:rPr>
        <w:fldChar w:fldCharType="begin"/>
      </w:r>
      <w:r w:rsidR="008960AE" w:rsidRPr="00EC0229">
        <w:instrText xml:space="preserve"> XE "</w:instrText>
      </w:r>
      <w:r w:rsidR="008960AE" w:rsidRPr="00EC0229">
        <w:rPr>
          <w:rFonts w:cs="Times New Roman"/>
          <w:szCs w:val="24"/>
        </w:rPr>
        <w:instrText>Carolingian</w:instrText>
      </w:r>
      <w:r w:rsidR="008960AE" w:rsidRPr="00EC0229">
        <w:instrText xml:space="preserve">" </w:instrText>
      </w:r>
      <w:r w:rsidR="008960AE" w:rsidRPr="00EC0229">
        <w:rPr>
          <w:color w:val="000000" w:themeColor="text1"/>
          <w:szCs w:val="24"/>
        </w:rPr>
        <w:fldChar w:fldCharType="end"/>
      </w:r>
      <w:r w:rsidRPr="00EC0229">
        <w:rPr>
          <w:color w:val="000000" w:themeColor="text1"/>
          <w:szCs w:val="24"/>
        </w:rPr>
        <w:t xml:space="preserve"> coins were destined for the melting pot,</w:t>
      </w:r>
      <w:r w:rsidRPr="00EC0229">
        <w:rPr>
          <w:rStyle w:val="FootnoteReference"/>
          <w:color w:val="000000" w:themeColor="text1"/>
          <w:szCs w:val="24"/>
        </w:rPr>
        <w:footnoteReference w:id="1231"/>
      </w:r>
      <w:r w:rsidRPr="00EC0229">
        <w:rPr>
          <w:color w:val="000000" w:themeColor="text1"/>
          <w:szCs w:val="24"/>
        </w:rPr>
        <w:t xml:space="preserve"> the presumed intention of the hoard-maker. Certainly, the historical context is one of Viking predation in Scotland and the archaeological</w:t>
      </w:r>
      <w:r w:rsidR="008960AE" w:rsidRPr="00EC0229">
        <w:rPr>
          <w:color w:val="000000" w:themeColor="text1"/>
          <w:szCs w:val="24"/>
        </w:rPr>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rPr>
          <w:color w:val="000000" w:themeColor="text1"/>
          <w:szCs w:val="24"/>
        </w:rPr>
        <w:fldChar w:fldCharType="end"/>
      </w:r>
      <w:r w:rsidRPr="00EC0229">
        <w:rPr>
          <w:color w:val="000000" w:themeColor="text1"/>
          <w:szCs w:val="24"/>
        </w:rPr>
        <w:t xml:space="preserve"> context of peat cuttings suggests burial for safe-keeping and later retrieval.</w:t>
      </w:r>
    </w:p>
    <w:p w14:paraId="4481DCB9" w14:textId="77777777" w:rsidR="00582C52" w:rsidRPr="00EC0229" w:rsidRDefault="00582C52" w:rsidP="007600EA">
      <w:pPr>
        <w:pStyle w:val="NoSpacing"/>
        <w:spacing w:line="360" w:lineRule="auto"/>
      </w:pPr>
    </w:p>
    <w:p w14:paraId="44FD73A8" w14:textId="591AF66E" w:rsidR="00582C52" w:rsidRPr="00EC0229" w:rsidRDefault="00582C52" w:rsidP="007600EA">
      <w:pPr>
        <w:pStyle w:val="NoSpacing"/>
        <w:spacing w:line="360" w:lineRule="auto"/>
      </w:pPr>
      <w:r w:rsidRPr="00EC0229">
        <w:t>In this context, two contemporary coins found at the Churchyard Holm field, Hoddom, near Ecclefechan, Dumfries and Galloway, eighty miles to the east of Whithorn</w:t>
      </w:r>
      <w:r w:rsidR="006B1593" w:rsidRPr="00EC0229">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fldChar w:fldCharType="end"/>
      </w:r>
      <w:r w:rsidRPr="00EC0229">
        <w:t xml:space="preserve"> on the road to Carlisle, merit consideration. </w:t>
      </w:r>
    </w:p>
    <w:p w14:paraId="4A4AD4B0" w14:textId="77777777" w:rsidR="00582C52" w:rsidRPr="00EC0229" w:rsidRDefault="00582C52" w:rsidP="007600EA">
      <w:pPr>
        <w:pStyle w:val="NoSpacing"/>
        <w:spacing w:line="360" w:lineRule="auto"/>
        <w:jc w:val="center"/>
      </w:pPr>
      <w:r w:rsidRPr="00EC0229">
        <w:rPr>
          <w:noProof/>
          <w:lang w:eastAsia="en-GB"/>
        </w:rPr>
        <w:drawing>
          <wp:inline distT="0" distB="0" distL="0" distR="0" wp14:anchorId="65901AF7" wp14:editId="64675C61">
            <wp:extent cx="329184" cy="359664"/>
            <wp:effectExtent l="0" t="0" r="0" b="254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01_0445obv.jpg"/>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329184" cy="359664"/>
                    </a:xfrm>
                    <a:prstGeom prst="rect">
                      <a:avLst/>
                    </a:prstGeom>
                  </pic:spPr>
                </pic:pic>
              </a:graphicData>
            </a:graphic>
          </wp:inline>
        </w:drawing>
      </w:r>
      <w:r w:rsidRPr="00EC0229">
        <w:rPr>
          <w:noProof/>
          <w:lang w:eastAsia="en-GB"/>
        </w:rPr>
        <w:drawing>
          <wp:inline distT="0" distB="0" distL="0" distR="0" wp14:anchorId="6C4FEF98" wp14:editId="51A78BCF">
            <wp:extent cx="335280" cy="332232"/>
            <wp:effectExtent l="0" t="0" r="762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01_0445rev.jpg"/>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335280" cy="332232"/>
                    </a:xfrm>
                    <a:prstGeom prst="rect">
                      <a:avLst/>
                    </a:prstGeom>
                  </pic:spPr>
                </pic:pic>
              </a:graphicData>
            </a:graphic>
          </wp:inline>
        </w:drawing>
      </w:r>
    </w:p>
    <w:p w14:paraId="36F863CE" w14:textId="3207B703" w:rsidR="00941A45" w:rsidRDefault="003977B6" w:rsidP="007600EA">
      <w:pPr>
        <w:pStyle w:val="NoSpacing"/>
        <w:spacing w:line="360" w:lineRule="auto"/>
        <w:jc w:val="center"/>
        <w:rPr>
          <w:sz w:val="20"/>
          <w:szCs w:val="20"/>
        </w:rPr>
      </w:pPr>
      <w:bookmarkStart w:id="902" w:name="_Ref430249768"/>
      <w:bookmarkStart w:id="903" w:name="_Toc468267137"/>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165</w:t>
      </w:r>
      <w:r w:rsidR="00B609E3" w:rsidRPr="00EC0229">
        <w:rPr>
          <w:noProof/>
          <w:sz w:val="20"/>
          <w:szCs w:val="20"/>
        </w:rPr>
        <w:fldChar w:fldCharType="end"/>
      </w:r>
      <w:bookmarkEnd w:id="902"/>
      <w:r w:rsidR="007151C4" w:rsidRPr="00EC0229">
        <w:rPr>
          <w:sz w:val="20"/>
          <w:szCs w:val="20"/>
        </w:rPr>
        <w:t xml:space="preserve">: </w:t>
      </w:r>
      <w:r w:rsidR="00582C52" w:rsidRPr="00EC0229">
        <w:rPr>
          <w:sz w:val="20"/>
          <w:szCs w:val="20"/>
        </w:rPr>
        <w:t>Merovingian</w:t>
      </w:r>
      <w:r w:rsidR="004C29A9" w:rsidRPr="00EC0229">
        <w:rPr>
          <w:sz w:val="20"/>
          <w:szCs w:val="20"/>
        </w:rPr>
        <w:fldChar w:fldCharType="begin"/>
      </w:r>
      <w:r w:rsidR="004C29A9" w:rsidRPr="00EC0229">
        <w:rPr>
          <w:sz w:val="20"/>
          <w:szCs w:val="20"/>
        </w:rPr>
        <w:instrText xml:space="preserve"> XE "</w:instrText>
      </w:r>
      <w:r w:rsidR="004C29A9" w:rsidRPr="00EC0229">
        <w:rPr>
          <w:rStyle w:val="Hyperlink"/>
          <w:noProof/>
          <w:sz w:val="20"/>
          <w:szCs w:val="20"/>
          <w:u w:val="none"/>
        </w:rPr>
        <w:instrText>Merovingian</w:instrText>
      </w:r>
      <w:r w:rsidR="004C29A9" w:rsidRPr="00EC0229">
        <w:rPr>
          <w:sz w:val="20"/>
          <w:szCs w:val="20"/>
        </w:rPr>
        <w:instrText xml:space="preserve">" </w:instrText>
      </w:r>
      <w:r w:rsidR="004C29A9" w:rsidRPr="00EC0229">
        <w:rPr>
          <w:sz w:val="20"/>
          <w:szCs w:val="20"/>
        </w:rPr>
        <w:fldChar w:fldCharType="end"/>
      </w:r>
      <w:r w:rsidR="00582C52" w:rsidRPr="00EC0229">
        <w:rPr>
          <w:sz w:val="20"/>
          <w:szCs w:val="20"/>
        </w:rPr>
        <w:t xml:space="preserve"> denier</w:t>
      </w:r>
      <w:r w:rsidR="004C29A9" w:rsidRPr="00EC0229">
        <w:rPr>
          <w:sz w:val="20"/>
          <w:szCs w:val="20"/>
        </w:rPr>
        <w:fldChar w:fldCharType="begin"/>
      </w:r>
      <w:r w:rsidR="004C29A9" w:rsidRPr="00EC0229">
        <w:rPr>
          <w:sz w:val="20"/>
          <w:szCs w:val="20"/>
        </w:rPr>
        <w:instrText xml:space="preserve"> XE "</w:instrText>
      </w:r>
      <w:r w:rsidR="004C29A9" w:rsidRPr="00EC0229">
        <w:rPr>
          <w:rFonts w:cs="Times New Roman"/>
          <w:sz w:val="20"/>
          <w:szCs w:val="20"/>
        </w:rPr>
        <w:instrText>denier</w:instrText>
      </w:r>
      <w:r w:rsidR="004C29A9" w:rsidRPr="00EC0229">
        <w:rPr>
          <w:sz w:val="20"/>
          <w:szCs w:val="20"/>
        </w:rPr>
        <w:instrText xml:space="preserve">" </w:instrText>
      </w:r>
      <w:r w:rsidR="004C29A9" w:rsidRPr="00EC0229">
        <w:rPr>
          <w:sz w:val="20"/>
          <w:szCs w:val="20"/>
        </w:rPr>
        <w:fldChar w:fldCharType="end"/>
      </w:r>
      <w:r w:rsidR="00582C52" w:rsidRPr="00EC0229">
        <w:rPr>
          <w:sz w:val="20"/>
          <w:szCs w:val="20"/>
        </w:rPr>
        <w:t>, Hoddom,</w:t>
      </w:r>
      <w:bookmarkEnd w:id="903"/>
      <w:r w:rsidR="00582C52" w:rsidRPr="00EC0229">
        <w:rPr>
          <w:sz w:val="20"/>
          <w:szCs w:val="20"/>
        </w:rPr>
        <w:t xml:space="preserve"> </w:t>
      </w:r>
    </w:p>
    <w:p w14:paraId="33CE49EA" w14:textId="11745548" w:rsidR="00582C52" w:rsidRPr="00EC0229" w:rsidRDefault="00582C52" w:rsidP="007600EA">
      <w:pPr>
        <w:pStyle w:val="NoSpacing"/>
        <w:spacing w:line="360" w:lineRule="auto"/>
        <w:jc w:val="center"/>
        <w:rPr>
          <w:sz w:val="20"/>
          <w:szCs w:val="20"/>
        </w:rPr>
      </w:pPr>
      <w:r w:rsidRPr="00EC0229">
        <w:rPr>
          <w:sz w:val="20"/>
          <w:szCs w:val="20"/>
        </w:rPr>
        <w:t>(EMC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Pr="00EC0229">
        <w:rPr>
          <w:sz w:val="20"/>
          <w:szCs w:val="20"/>
        </w:rPr>
        <w:t xml:space="preserve"> 2001.0445)</w:t>
      </w:r>
    </w:p>
    <w:p w14:paraId="54429237" w14:textId="77777777" w:rsidR="00EE3FE5" w:rsidRPr="00EC0229" w:rsidRDefault="00EE3FE5" w:rsidP="007600EA">
      <w:pPr>
        <w:pStyle w:val="NoSpacing"/>
        <w:spacing w:line="360" w:lineRule="auto"/>
      </w:pPr>
    </w:p>
    <w:p w14:paraId="0BF67804" w14:textId="23907217" w:rsidR="00582C52" w:rsidRPr="00EC0229" w:rsidRDefault="00582C52" w:rsidP="007600EA">
      <w:pPr>
        <w:pStyle w:val="NoSpacing"/>
        <w:spacing w:line="360" w:lineRule="auto"/>
      </w:pPr>
      <w:r w:rsidRPr="00EC0229">
        <w:t>One is a brass styca of Æthelred</w:t>
      </w:r>
      <w:r w:rsidR="00D142DC" w:rsidRPr="00EC0229">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fldChar w:fldCharType="end"/>
      </w:r>
      <w:r w:rsidRPr="00EC0229">
        <w:t>,</w:t>
      </w:r>
      <w:r w:rsidR="00BF228F" w:rsidRPr="00EC0229">
        <w:t xml:space="preserve"> [N10a],</w:t>
      </w:r>
      <w:r w:rsidRPr="00EC0229">
        <w:t xml:space="preserve"> the other a fragmentary, but almost pristine, denier</w:t>
      </w:r>
      <w:r w:rsidR="004C29A9" w:rsidRPr="00EC0229">
        <w:fldChar w:fldCharType="begin"/>
      </w:r>
      <w:r w:rsidR="004C29A9" w:rsidRPr="00EC0229">
        <w:instrText xml:space="preserve"> XE "</w:instrText>
      </w:r>
      <w:r w:rsidR="004C29A9" w:rsidRPr="00EC0229">
        <w:rPr>
          <w:rFonts w:cs="Times New Roman"/>
          <w:szCs w:val="24"/>
        </w:rPr>
        <w:instrText>denier</w:instrText>
      </w:r>
      <w:r w:rsidR="004C29A9" w:rsidRPr="00EC0229">
        <w:instrText xml:space="preserve">" </w:instrText>
      </w:r>
      <w:r w:rsidR="004C29A9" w:rsidRPr="00EC0229">
        <w:fldChar w:fldCharType="end"/>
      </w:r>
      <w:r w:rsidRPr="00EC0229">
        <w:t xml:space="preserve"> of Lothar I (840-855)</w:t>
      </w:r>
      <w:r w:rsidR="007151C4" w:rsidRPr="00EC0229">
        <w:t>, (</w:t>
      </w:r>
      <w:r w:rsidR="009E07B9" w:rsidRPr="00EC0229">
        <w:fldChar w:fldCharType="begin"/>
      </w:r>
      <w:r w:rsidR="009E07B9" w:rsidRPr="00EC0229">
        <w:instrText xml:space="preserve"> REF _Ref430249768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165</w:t>
      </w:r>
      <w:r w:rsidR="009E07B9" w:rsidRPr="00EC0229">
        <w:fldChar w:fldCharType="end"/>
      </w:r>
      <w:r w:rsidR="007151C4" w:rsidRPr="00EC0229">
        <w:t>)</w:t>
      </w:r>
      <w:r w:rsidRPr="00EC0229">
        <w:t>,</w:t>
      </w:r>
      <w:r w:rsidRPr="00EC0229">
        <w:rPr>
          <w:rStyle w:val="FootnoteReference"/>
        </w:rPr>
        <w:footnoteReference w:id="1232"/>
      </w:r>
      <w:r w:rsidRPr="00EC0229">
        <w:t xml:space="preserve"> minted in Pavia, Italy, again suggestive of contact with the Continent,</w:t>
      </w:r>
      <w:r w:rsidR="008A3CEF" w:rsidRPr="00EC0229">
        <w:rPr>
          <w:rStyle w:val="FootnoteReference"/>
        </w:rPr>
        <w:footnoteReference w:id="1233"/>
      </w:r>
      <w:r w:rsidRPr="00EC0229">
        <w:t xml:space="preserve"> perhaps in preference to </w:t>
      </w:r>
      <w:r w:rsidR="00572E51" w:rsidRPr="00EC0229">
        <w:t>Southumbria</w:t>
      </w:r>
      <w:r w:rsidR="00F204A1" w:rsidRPr="00EC0229">
        <w:fldChar w:fldCharType="begin"/>
      </w:r>
      <w:r w:rsidR="00F204A1" w:rsidRPr="00EC0229">
        <w:instrText xml:space="preserve"> XE "</w:instrText>
      </w:r>
      <w:r w:rsidR="00F204A1" w:rsidRPr="00EC0229">
        <w:rPr>
          <w:rStyle w:val="Hyperlink"/>
          <w:noProof/>
          <w:u w:val="none"/>
        </w:rPr>
        <w:instrText>Southumbria</w:instrText>
      </w:r>
      <w:r w:rsidR="00F204A1" w:rsidRPr="00EC0229">
        <w:instrText xml:space="preserve">" </w:instrText>
      </w:r>
      <w:r w:rsidR="00F204A1" w:rsidRPr="00EC0229">
        <w:fldChar w:fldCharType="end"/>
      </w:r>
      <w:r w:rsidRPr="00EC0229">
        <w:t>.</w:t>
      </w:r>
    </w:p>
    <w:p w14:paraId="0966FB69" w14:textId="77777777" w:rsidR="00582C52" w:rsidRPr="00EC0229" w:rsidRDefault="00582C52" w:rsidP="007600EA">
      <w:pPr>
        <w:pStyle w:val="NoSpacing"/>
        <w:spacing w:line="360" w:lineRule="auto"/>
      </w:pPr>
    </w:p>
    <w:p w14:paraId="4EC7A956" w14:textId="0B46D926" w:rsidR="00582C52" w:rsidRPr="00EC0229" w:rsidRDefault="00582C52" w:rsidP="007600EA">
      <w:pPr>
        <w:pStyle w:val="NoSpacing"/>
        <w:spacing w:line="360" w:lineRule="auto"/>
        <w:rPr>
          <w:szCs w:val="24"/>
        </w:rPr>
      </w:pPr>
      <w:r w:rsidRPr="00EC0229">
        <w:rPr>
          <w:szCs w:val="24"/>
        </w:rPr>
        <w:t>There is a small scattering of sceats and stycas on the roads leading east and south. At Castle Douglas twenty-five miles west of Whithorn</w:t>
      </w:r>
      <w:r w:rsidR="006B1593" w:rsidRPr="00EC0229">
        <w:rPr>
          <w:szCs w:val="24"/>
        </w:rPr>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rPr>
          <w:szCs w:val="24"/>
        </w:rPr>
        <w:fldChar w:fldCharType="end"/>
      </w:r>
      <w:r w:rsidRPr="00EC0229">
        <w:rPr>
          <w:szCs w:val="24"/>
        </w:rPr>
        <w:t xml:space="preserve"> there is an illegible styca</w:t>
      </w:r>
      <w:r w:rsidR="00BF228F" w:rsidRPr="00EC0229">
        <w:rPr>
          <w:szCs w:val="24"/>
        </w:rPr>
        <w:t>, [N10c]</w:t>
      </w:r>
      <w:r w:rsidRPr="00EC0229">
        <w:rPr>
          <w:szCs w:val="24"/>
        </w:rPr>
        <w:t>,</w:t>
      </w:r>
      <w:r w:rsidR="00D142DC" w:rsidRPr="00EC0229">
        <w:rPr>
          <w:szCs w:val="24"/>
        </w:rPr>
        <w:fldChar w:fldCharType="begin"/>
      </w:r>
      <w:r w:rsidR="00D142DC" w:rsidRPr="00EC0229">
        <w:instrText xml:space="preserve"> XE "styca" </w:instrText>
      </w:r>
      <w:r w:rsidR="00D142DC" w:rsidRPr="00EC0229">
        <w:rPr>
          <w:szCs w:val="24"/>
        </w:rPr>
        <w:fldChar w:fldCharType="end"/>
      </w:r>
      <w:r w:rsidRPr="00EC0229">
        <w:rPr>
          <w:szCs w:val="24"/>
        </w:rPr>
        <w:t xml:space="preserve"> three more at Ri</w:t>
      </w:r>
      <w:r w:rsidR="00C84722" w:rsidRPr="00EC0229">
        <w:rPr>
          <w:szCs w:val="24"/>
        </w:rPr>
        <w:t xml:space="preserve">bblehead, four finds at Settle - </w:t>
      </w:r>
      <w:r w:rsidRPr="00EC0229">
        <w:rPr>
          <w:szCs w:val="24"/>
        </w:rPr>
        <w:t>Æthelred</w:t>
      </w:r>
      <w:r w:rsidR="00D142DC" w:rsidRPr="00EC0229">
        <w:rPr>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Cs w:val="24"/>
        </w:rPr>
        <w:fldChar w:fldCharType="end"/>
      </w:r>
      <w:r w:rsidRPr="00EC0229">
        <w:rPr>
          <w:szCs w:val="24"/>
        </w:rPr>
        <w:t xml:space="preserve"> I sceat by Cuthheard</w:t>
      </w:r>
      <w:r w:rsidR="00BF228F" w:rsidRPr="00EC0229">
        <w:rPr>
          <w:szCs w:val="24"/>
        </w:rPr>
        <w:t xml:space="preserve">, [N8] </w:t>
      </w:r>
      <w:r w:rsidR="00D142DC" w:rsidRPr="00EC0229">
        <w:rPr>
          <w:szCs w:val="24"/>
        </w:rPr>
        <w:fldChar w:fldCharType="begin"/>
      </w:r>
      <w:r w:rsidR="00D142DC" w:rsidRPr="00EC0229">
        <w:instrText xml:space="preserve"> XE "Cuthheard" </w:instrText>
      </w:r>
      <w:r w:rsidR="00D142DC" w:rsidRPr="00EC0229">
        <w:rPr>
          <w:szCs w:val="24"/>
        </w:rPr>
        <w:fldChar w:fldCharType="end"/>
      </w:r>
      <w:r w:rsidRPr="00EC0229">
        <w:rPr>
          <w:szCs w:val="24"/>
        </w:rPr>
        <w:t>, a silver-alloy</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szCs w:val="24"/>
        </w:rPr>
        <w:fldChar w:fldCharType="end"/>
      </w:r>
      <w:r w:rsidRPr="00EC0229">
        <w:rPr>
          <w:szCs w:val="24"/>
        </w:rPr>
        <w:t xml:space="preserve"> coin, </w:t>
      </w:r>
      <w:r w:rsidR="00BF228F" w:rsidRPr="00EC0229">
        <w:rPr>
          <w:szCs w:val="24"/>
        </w:rPr>
        <w:t xml:space="preserve">[N9], </w:t>
      </w:r>
      <w:r w:rsidRPr="00EC0229">
        <w:rPr>
          <w:szCs w:val="24"/>
        </w:rPr>
        <w:t>and three Æthelred II stycas</w:t>
      </w:r>
      <w:r w:rsidR="00BF228F" w:rsidRPr="00EC0229">
        <w:rPr>
          <w:szCs w:val="24"/>
        </w:rPr>
        <w:t>, [N10a]</w:t>
      </w:r>
      <w:r w:rsidRPr="00EC0229">
        <w:rPr>
          <w:szCs w:val="24"/>
        </w:rPr>
        <w:t>. Malham has yielded a sceat of Eadberht</w:t>
      </w:r>
      <w:r w:rsidR="00BF228F" w:rsidRPr="00EC0229">
        <w:rPr>
          <w:szCs w:val="24"/>
        </w:rPr>
        <w:t>, [N6],</w:t>
      </w:r>
      <w:r w:rsidR="00D142DC" w:rsidRPr="00EC0229">
        <w:rPr>
          <w:szCs w:val="24"/>
        </w:rPr>
        <w:fldChar w:fldCharType="begin"/>
      </w:r>
      <w:r w:rsidR="00D142DC" w:rsidRPr="00EC0229">
        <w:instrText xml:space="preserve"> XE "Eadberht" </w:instrText>
      </w:r>
      <w:r w:rsidR="00D142DC" w:rsidRPr="00EC0229">
        <w:rPr>
          <w:szCs w:val="24"/>
        </w:rPr>
        <w:fldChar w:fldCharType="end"/>
      </w:r>
      <w:r w:rsidRPr="00EC0229">
        <w:rPr>
          <w:szCs w:val="24"/>
        </w:rPr>
        <w:t xml:space="preserve"> and two brass stycas of Eanred</w:t>
      </w:r>
      <w:r w:rsidR="00BF228F" w:rsidRPr="00EC0229">
        <w:rPr>
          <w:szCs w:val="24"/>
        </w:rPr>
        <w:t>, [N10a]</w:t>
      </w:r>
      <w:r w:rsidR="00D142DC" w:rsidRPr="00EC0229">
        <w:rPr>
          <w:szCs w:val="24"/>
        </w:rPr>
        <w:fldChar w:fldCharType="begin"/>
      </w:r>
      <w:r w:rsidR="00D142DC" w:rsidRPr="00EC0229">
        <w:instrText xml:space="preserve"> XE "Eanred" </w:instrText>
      </w:r>
      <w:r w:rsidR="00D142DC" w:rsidRPr="00EC0229">
        <w:rPr>
          <w:szCs w:val="24"/>
        </w:rPr>
        <w:fldChar w:fldCharType="end"/>
      </w:r>
      <w:r w:rsidRPr="00EC0229">
        <w:rPr>
          <w:szCs w:val="24"/>
        </w:rPr>
        <w:t>. Not so obviously in the direction of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are four coins from Dacre: a silver-alloy coin</w:t>
      </w:r>
      <w:r w:rsidR="00BF228F" w:rsidRPr="00EC0229">
        <w:rPr>
          <w:szCs w:val="24"/>
        </w:rPr>
        <w:t>, [N9]</w:t>
      </w:r>
      <w:r w:rsidRPr="00EC0229">
        <w:rPr>
          <w:szCs w:val="24"/>
        </w:rPr>
        <w:t>, a styca of Æthelred</w:t>
      </w:r>
      <w:r w:rsidR="00BF228F" w:rsidRPr="00EC0229">
        <w:rPr>
          <w:szCs w:val="24"/>
        </w:rPr>
        <w:t>, [N10a]</w:t>
      </w:r>
      <w:r w:rsidRPr="00EC0229">
        <w:rPr>
          <w:szCs w:val="24"/>
        </w:rPr>
        <w:t xml:space="preserve"> and two illegible specimens</w:t>
      </w:r>
      <w:r w:rsidR="00BF228F" w:rsidRPr="00EC0229">
        <w:rPr>
          <w:szCs w:val="24"/>
        </w:rPr>
        <w:t>, [N10c]</w:t>
      </w:r>
      <w:r w:rsidRPr="00EC0229">
        <w:rPr>
          <w:szCs w:val="24"/>
        </w:rPr>
        <w:t>. Grange-over-Sands ha</w:t>
      </w:r>
      <w:r w:rsidR="00BF228F" w:rsidRPr="00EC0229">
        <w:rPr>
          <w:szCs w:val="24"/>
        </w:rPr>
        <w:t xml:space="preserve">s a styca of Eanred, three of </w:t>
      </w:r>
      <w:r w:rsidRPr="00EC0229">
        <w:rPr>
          <w:szCs w:val="24"/>
        </w:rPr>
        <w:t xml:space="preserve">Æthelred II </w:t>
      </w:r>
      <w:r w:rsidR="00BF228F" w:rsidRPr="00EC0229">
        <w:rPr>
          <w:szCs w:val="24"/>
        </w:rPr>
        <w:t xml:space="preserve">[N10a], </w:t>
      </w:r>
      <w:r w:rsidRPr="00EC0229">
        <w:rPr>
          <w:szCs w:val="24"/>
        </w:rPr>
        <w:t>and two illegible</w:t>
      </w:r>
      <w:r w:rsidR="00BF228F" w:rsidRPr="00EC0229">
        <w:rPr>
          <w:szCs w:val="24"/>
        </w:rPr>
        <w:t>, [N10c]</w:t>
      </w:r>
      <w:r w:rsidRPr="00EC0229">
        <w:rPr>
          <w:szCs w:val="24"/>
        </w:rPr>
        <w:t xml:space="preserve">. One may surmise that all are conceivably losses by traders, travellers or pilgrims whose routes are marked by monumentality, </w:t>
      </w:r>
      <w:r w:rsidRPr="00EC0229">
        <w:rPr>
          <w:i/>
          <w:szCs w:val="24"/>
        </w:rPr>
        <w:t>Map</w:t>
      </w:r>
      <w:r w:rsidR="00584C42" w:rsidRPr="00EC0229">
        <w:rPr>
          <w:i/>
          <w:szCs w:val="24"/>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szCs w:val="24"/>
        </w:rPr>
        <w:fldChar w:fldCharType="end"/>
      </w:r>
      <w:r w:rsidRPr="00EC0229">
        <w:rPr>
          <w:i/>
          <w:szCs w:val="24"/>
        </w:rPr>
        <w:t xml:space="preserve"> </w:t>
      </w:r>
      <w:r w:rsidR="004048E5" w:rsidRPr="00EC0229">
        <w:rPr>
          <w:i/>
          <w:szCs w:val="24"/>
        </w:rPr>
        <w:t>8.</w:t>
      </w:r>
      <w:r w:rsidR="00236670" w:rsidRPr="00EC0229">
        <w:rPr>
          <w:i/>
          <w:szCs w:val="24"/>
        </w:rPr>
        <w:t>2</w:t>
      </w:r>
      <w:r w:rsidR="004048E5" w:rsidRPr="00EC0229">
        <w:rPr>
          <w:i/>
          <w:szCs w:val="24"/>
        </w:rPr>
        <w:t>5</w:t>
      </w:r>
      <w:r w:rsidRPr="00EC0229">
        <w:rPr>
          <w:szCs w:val="24"/>
        </w:rPr>
        <w:t>.</w:t>
      </w:r>
      <w:r w:rsidRPr="00EC0229">
        <w:rPr>
          <w:rStyle w:val="FootnoteReference"/>
          <w:szCs w:val="24"/>
        </w:rPr>
        <w:footnoteReference w:id="1234"/>
      </w:r>
    </w:p>
    <w:p w14:paraId="5CB818F0" w14:textId="77777777" w:rsidR="00582C52" w:rsidRPr="00EC0229" w:rsidRDefault="00582C52" w:rsidP="007600EA">
      <w:pPr>
        <w:pStyle w:val="NoSpacing"/>
        <w:spacing w:line="360" w:lineRule="auto"/>
      </w:pPr>
    </w:p>
    <w:p w14:paraId="1DA1A115" w14:textId="7EF17361" w:rsidR="00582C52" w:rsidRPr="00EC0229" w:rsidRDefault="00582C52" w:rsidP="007600EA">
      <w:pPr>
        <w:pStyle w:val="NoSpacing"/>
        <w:spacing w:line="360" w:lineRule="auto"/>
      </w:pPr>
      <w:r w:rsidRPr="00EC0229">
        <w:t>A third alternative or contributory cause of the apparent decline of Whithorn</w:t>
      </w:r>
      <w:r w:rsidR="006B1593" w:rsidRPr="00EC0229">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fldChar w:fldCharType="end"/>
      </w:r>
      <w:r w:rsidRPr="00EC0229">
        <w:t xml:space="preserve"> may be the watershed event separating archaeological</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archaeological</w:instrText>
      </w:r>
      <w:r w:rsidR="008960AE" w:rsidRPr="00EC0229">
        <w:instrText xml:space="preserve">" </w:instrText>
      </w:r>
      <w:r w:rsidR="008960AE" w:rsidRPr="00EC0229">
        <w:fldChar w:fldCharType="end"/>
      </w:r>
      <w:r w:rsidRPr="00EC0229">
        <w:t xml:space="preserve"> phases II and III, namely, the destruction by fire of the church</w:t>
      </w:r>
      <w:r w:rsidR="008960AE" w:rsidRPr="00EC0229">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fldChar w:fldCharType="end"/>
      </w:r>
      <w:r w:rsidRPr="00EC0229">
        <w:t xml:space="preserve"> and burial chapel. The extent and impact of this catastrophe is difficult to gauge.</w:t>
      </w:r>
    </w:p>
    <w:p w14:paraId="5CAD59B3" w14:textId="77777777" w:rsidR="00582C52" w:rsidRPr="00EC0229" w:rsidRDefault="00582C52" w:rsidP="007600EA">
      <w:pPr>
        <w:pStyle w:val="NoSpacing"/>
        <w:spacing w:line="360" w:lineRule="auto"/>
      </w:pPr>
    </w:p>
    <w:p w14:paraId="01571547" w14:textId="57083878" w:rsidR="00582C52" w:rsidRPr="00EC0229" w:rsidRDefault="00582C52" w:rsidP="007600EA">
      <w:pPr>
        <w:pStyle w:val="NoSpacing"/>
        <w:spacing w:line="360" w:lineRule="auto"/>
      </w:pPr>
      <w:r w:rsidRPr="00EC0229">
        <w:t>While the precise reasons for the perceived and sudden decline of Whithorn</w:t>
      </w:r>
      <w:r w:rsidR="006B1593" w:rsidRPr="00EC0229">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fldChar w:fldCharType="end"/>
      </w:r>
      <w:r w:rsidRPr="00EC0229">
        <w:t xml:space="preserve"> are obscured, one can assume that the continuing, and better documented, attacks on Iona were probably widespread and far from conducive to ecclesiastical tranquillity. However, as a destination for pilgrims to the healing cult of St Ninian,</w:t>
      </w:r>
      <w:r w:rsidRPr="00EC0229">
        <w:rPr>
          <w:rStyle w:val="FootnoteReference"/>
        </w:rPr>
        <w:footnoteReference w:id="1235"/>
      </w:r>
      <w:r w:rsidRPr="00EC0229">
        <w:t xml:space="preserve"> a change in sentiment or loss of enthusiasm may be a more likely, if intangible, fourth explanation for decline rather than anything more concrete or objective.</w:t>
      </w:r>
    </w:p>
    <w:p w14:paraId="04D7F1D4" w14:textId="77777777" w:rsidR="00582C52" w:rsidRPr="00EC0229" w:rsidRDefault="00582C52" w:rsidP="007600EA">
      <w:pPr>
        <w:pStyle w:val="NoSpacing"/>
        <w:spacing w:line="360" w:lineRule="auto"/>
      </w:pPr>
    </w:p>
    <w:p w14:paraId="6B650BDC" w14:textId="2EA579CD" w:rsidR="00582C52" w:rsidRPr="00EC0229" w:rsidRDefault="00582C52" w:rsidP="007600EA">
      <w:pPr>
        <w:pStyle w:val="NoSpacing"/>
        <w:spacing w:line="360" w:lineRule="auto"/>
        <w:rPr>
          <w:szCs w:val="24"/>
        </w:rPr>
      </w:pPr>
      <w:r w:rsidRPr="00EC0229">
        <w:t>This presumed cultic activity</w:t>
      </w:r>
      <w:r w:rsidRPr="00EC0229">
        <w:rPr>
          <w:rStyle w:val="FootnoteReference"/>
        </w:rPr>
        <w:footnoteReference w:id="1236"/>
      </w:r>
      <w:r w:rsidRPr="00EC0229">
        <w:t xml:space="preserve"> contributes to an assessment of the extent of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In Whithorn</w:t>
      </w:r>
      <w:r w:rsidR="006B1593" w:rsidRPr="00EC0229">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fldChar w:fldCharType="end"/>
      </w:r>
      <w:r w:rsidRPr="00EC0229">
        <w:t>’s heyday, pilgrims, probably from elsewhere in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 if not further afield, paying tribute, or seeking personal redemption or healing, were clearly sufficiently confident in the </w:t>
      </w:r>
      <w:r w:rsidRPr="00EC0229">
        <w:rPr>
          <w:szCs w:val="24"/>
        </w:rPr>
        <w:t xml:space="preserve">status of a coinage conveying clear theological attributes, that its use would not </w:t>
      </w:r>
      <w:r w:rsidRPr="00EC0229">
        <w:rPr>
          <w:szCs w:val="24"/>
        </w:rPr>
        <w:lastRenderedPageBreak/>
        <w:t xml:space="preserve">jeopardise their mission. Whilst this elevated status for the silver coinage of </w:t>
      </w:r>
      <w:r w:rsidR="00F139AF" w:rsidRPr="00EC0229">
        <w:rPr>
          <w:szCs w:val="24"/>
        </w:rPr>
        <w:t>the eighth century</w:t>
      </w:r>
      <w:r w:rsidRPr="00EC0229">
        <w:rPr>
          <w:szCs w:val="24"/>
        </w:rPr>
        <w:t xml:space="preserve"> is perhaps too precious for a denomination fit for commonplace exchange, it is a vital steppingstone to the eventual wider penetration of a baser circulating medium.</w:t>
      </w:r>
    </w:p>
    <w:p w14:paraId="1E84E4F4" w14:textId="77777777" w:rsidR="00582C52" w:rsidRPr="00EC0229" w:rsidRDefault="00582C52" w:rsidP="007600EA">
      <w:pPr>
        <w:pStyle w:val="NoSpacing"/>
        <w:spacing w:line="360" w:lineRule="auto"/>
        <w:rPr>
          <w:szCs w:val="24"/>
        </w:rPr>
      </w:pPr>
    </w:p>
    <w:p w14:paraId="6B5019C3" w14:textId="07D74538" w:rsidR="00582C52" w:rsidRPr="00EC0229" w:rsidRDefault="00582C52" w:rsidP="007600EA">
      <w:pPr>
        <w:pStyle w:val="Heading4"/>
        <w:spacing w:line="360" w:lineRule="auto"/>
        <w:rPr>
          <w:sz w:val="28"/>
          <w:szCs w:val="28"/>
        </w:rPr>
      </w:pPr>
      <w:bookmarkStart w:id="904" w:name="Whitby"/>
      <w:bookmarkStart w:id="905" w:name="_Toc468266941"/>
      <w:bookmarkEnd w:id="904"/>
      <w:r w:rsidRPr="00624DF5">
        <w:rPr>
          <w:b/>
        </w:rPr>
        <w:t>Whitby</w:t>
      </w:r>
      <w:bookmarkEnd w:id="905"/>
      <w:r w:rsidR="006B1593" w:rsidRPr="00EC0229">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fldChar w:fldCharType="end"/>
      </w:r>
    </w:p>
    <w:p w14:paraId="602330D2" w14:textId="77777777" w:rsidR="00061DC9" w:rsidRPr="00EC0229" w:rsidRDefault="00582C52" w:rsidP="007600EA">
      <w:pPr>
        <w:pStyle w:val="NoSpacing"/>
        <w:spacing w:line="360" w:lineRule="auto"/>
        <w:jc w:val="right"/>
        <w:rPr>
          <w:sz w:val="19"/>
          <w:szCs w:val="19"/>
        </w:rPr>
      </w:pPr>
      <w:r w:rsidRPr="00EC0229">
        <w:rPr>
          <w:sz w:val="19"/>
          <w:szCs w:val="19"/>
        </w:rPr>
        <w:t xml:space="preserve">‘Time, which subverts and destroys the greatest works of mankind, </w:t>
      </w:r>
    </w:p>
    <w:p w14:paraId="7AF945B9" w14:textId="00DAACC8" w:rsidR="00582C52" w:rsidRPr="00EC0229" w:rsidRDefault="00582C52" w:rsidP="007600EA">
      <w:pPr>
        <w:pStyle w:val="NoSpacing"/>
        <w:spacing w:line="360" w:lineRule="auto"/>
        <w:jc w:val="right"/>
        <w:rPr>
          <w:sz w:val="19"/>
          <w:szCs w:val="19"/>
        </w:rPr>
      </w:pPr>
      <w:r w:rsidRPr="00EC0229">
        <w:rPr>
          <w:sz w:val="19"/>
          <w:szCs w:val="19"/>
        </w:rPr>
        <w:t>hath an equal property of bringing things to light.’</w:t>
      </w:r>
    </w:p>
    <w:p w14:paraId="47F4BC06" w14:textId="77777777" w:rsidR="00582C52" w:rsidRPr="00EC0229" w:rsidRDefault="00582C52" w:rsidP="007600EA">
      <w:pPr>
        <w:pStyle w:val="NoSpacing"/>
        <w:spacing w:line="360" w:lineRule="auto"/>
        <w:jc w:val="right"/>
        <w:rPr>
          <w:sz w:val="20"/>
          <w:szCs w:val="20"/>
        </w:rPr>
      </w:pPr>
      <w:r w:rsidRPr="00EC0229">
        <w:rPr>
          <w:sz w:val="20"/>
          <w:szCs w:val="20"/>
        </w:rPr>
        <w:t xml:space="preserve">Francis Drake, antiquary, in </w:t>
      </w:r>
      <w:r w:rsidRPr="00EC0229">
        <w:rPr>
          <w:i/>
          <w:iCs/>
          <w:sz w:val="20"/>
          <w:szCs w:val="20"/>
        </w:rPr>
        <w:t>Eboracum</w:t>
      </w:r>
      <w:r w:rsidRPr="00EC0229">
        <w:rPr>
          <w:sz w:val="20"/>
          <w:szCs w:val="20"/>
        </w:rPr>
        <w:t>, 1747.</w:t>
      </w:r>
    </w:p>
    <w:p w14:paraId="12DE08BA" w14:textId="5DF8A4D8" w:rsidR="00582C52" w:rsidRPr="00EC0229" w:rsidRDefault="00582C52" w:rsidP="007600EA">
      <w:pPr>
        <w:pStyle w:val="NoSpacing"/>
        <w:spacing w:line="360" w:lineRule="auto"/>
        <w:rPr>
          <w:szCs w:val="24"/>
        </w:rPr>
      </w:pPr>
      <w:r w:rsidRPr="00EC0229">
        <w:rPr>
          <w:szCs w:val="24"/>
        </w:rPr>
        <w:t>The earliest settlement</w:t>
      </w:r>
      <w:r w:rsidR="00D142DC" w:rsidRPr="00EC0229">
        <w:rPr>
          <w:szCs w:val="24"/>
        </w:rPr>
        <w:fldChar w:fldCharType="begin"/>
      </w:r>
      <w:r w:rsidR="00D142DC" w:rsidRPr="00EC0229">
        <w:instrText xml:space="preserve"> XE "settlement" </w:instrText>
      </w:r>
      <w:r w:rsidR="00D142DC" w:rsidRPr="00EC0229">
        <w:rPr>
          <w:szCs w:val="24"/>
        </w:rPr>
        <w:fldChar w:fldCharType="end"/>
      </w:r>
      <w:r w:rsidRPr="00EC0229">
        <w:rPr>
          <w:szCs w:val="24"/>
        </w:rPr>
        <w:t xml:space="preserve"> at Whitby</w:t>
      </w:r>
      <w:r w:rsidR="006B1593" w:rsidRPr="00EC0229">
        <w:rPr>
          <w:szCs w:val="24"/>
        </w:rPr>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rPr>
          <w:szCs w:val="24"/>
        </w:rPr>
        <w:fldChar w:fldCharType="end"/>
      </w:r>
      <w:r w:rsidRPr="00EC0229">
        <w:rPr>
          <w:szCs w:val="24"/>
        </w:rPr>
        <w:t xml:space="preserve"> probably grew around the bridging point of the River Esk as it enters the North Sea. The river mouth and harbour are on a geological fault resulting in steep cliffs either side and affording natural advantages. The double monastery of Whitby, founded by Oswy in 657, served as the venue for the highly significant Synod of 664. Oswy’s niece Hild was the first abbess and it is likely that wattle and daub remains mark her foundation at </w:t>
      </w:r>
      <w:r w:rsidRPr="00EC0229">
        <w:rPr>
          <w:rFonts w:cs="Times New Roman"/>
          <w:i/>
          <w:szCs w:val="24"/>
        </w:rPr>
        <w:t>Strenæshalc</w:t>
      </w:r>
      <w:r w:rsidRPr="00EC0229">
        <w:rPr>
          <w:i/>
          <w:szCs w:val="24"/>
        </w:rPr>
        <w:t>h</w:t>
      </w:r>
      <w:r w:rsidRPr="00EC0229">
        <w:rPr>
          <w:szCs w:val="24"/>
        </w:rPr>
        <w:t xml:space="preserve"> prior to more permanent and extensive stone construction, possibly in her lifetime.</w:t>
      </w:r>
      <w:r w:rsidRPr="00EC0229">
        <w:rPr>
          <w:rStyle w:val="FootnoteReference"/>
          <w:szCs w:val="24"/>
        </w:rPr>
        <w:footnoteReference w:id="1237"/>
      </w:r>
    </w:p>
    <w:p w14:paraId="6B01732D" w14:textId="77777777" w:rsidR="00582C52" w:rsidRPr="00EC0229" w:rsidRDefault="00582C52" w:rsidP="007600EA">
      <w:pPr>
        <w:pStyle w:val="NoSpacing"/>
        <w:spacing w:line="360" w:lineRule="auto"/>
        <w:rPr>
          <w:szCs w:val="24"/>
        </w:rPr>
      </w:pPr>
    </w:p>
    <w:p w14:paraId="31AC7A9D" w14:textId="740F6B8B" w:rsidR="00582C52" w:rsidRPr="00EC0229" w:rsidRDefault="00582C52" w:rsidP="007600EA">
      <w:pPr>
        <w:pStyle w:val="NoSpacing"/>
        <w:spacing w:line="360" w:lineRule="auto"/>
        <w:rPr>
          <w:szCs w:val="24"/>
        </w:rPr>
      </w:pPr>
      <w:r w:rsidRPr="00EC0229">
        <w:rPr>
          <w:szCs w:val="24"/>
        </w:rPr>
        <w:t>At 9:00am on Wednesday 16</w:t>
      </w:r>
      <w:r w:rsidRPr="00EC0229">
        <w:rPr>
          <w:szCs w:val="24"/>
          <w:vertAlign w:val="superscript"/>
        </w:rPr>
        <w:t>th</w:t>
      </w:r>
      <w:r w:rsidRPr="00EC0229">
        <w:rPr>
          <w:szCs w:val="24"/>
        </w:rPr>
        <w:t xml:space="preserve"> December 1914, Rear Admiral Hipper’s squadron of five battlecruisers launched an unprovoked attack on Whitby</w:t>
      </w:r>
      <w:r w:rsidR="006B1593" w:rsidRPr="00EC0229">
        <w:rPr>
          <w:szCs w:val="24"/>
        </w:rPr>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rPr>
          <w:szCs w:val="24"/>
        </w:rPr>
        <w:fldChar w:fldCharType="end"/>
      </w:r>
      <w:r w:rsidRPr="00EC0229">
        <w:rPr>
          <w:szCs w:val="24"/>
        </w:rPr>
        <w:t>, having earlier attacked Hartlepool and Scarborough.</w:t>
      </w:r>
      <w:r w:rsidRPr="00EC0229">
        <w:rPr>
          <w:rStyle w:val="FootnoteReference"/>
          <w:szCs w:val="24"/>
        </w:rPr>
        <w:footnoteReference w:id="1238"/>
      </w:r>
      <w:r w:rsidRPr="00EC0229">
        <w:rPr>
          <w:szCs w:val="24"/>
        </w:rPr>
        <w:t xml:space="preserve"> It is no compensation to the fatalities that restoration of d</w:t>
      </w:r>
      <w:r w:rsidR="00A37317" w:rsidRPr="00EC0229">
        <w:rPr>
          <w:szCs w:val="24"/>
        </w:rPr>
        <w:t xml:space="preserve">amage to Whitby Abbey, by the </w:t>
      </w:r>
      <w:r w:rsidRPr="00EC0229">
        <w:rPr>
          <w:szCs w:val="24"/>
        </w:rPr>
        <w:t>Office of Works commencing in 1920, led to the excavation of an open field area north of the Abbey in 1923-5, and the recovery of artefacts.</w:t>
      </w:r>
      <w:r w:rsidRPr="00EC0229">
        <w:rPr>
          <w:rStyle w:val="FootnoteReference"/>
          <w:szCs w:val="24"/>
        </w:rPr>
        <w:footnoteReference w:id="1239"/>
      </w:r>
      <w:r w:rsidRPr="00EC0229">
        <w:rPr>
          <w:szCs w:val="24"/>
        </w:rPr>
        <w:t xml:space="preserve"> In 1923-4 a large central area was uncovered (Area A) and in 1924-5 a series of trenches were dug to the east and west (Area B).</w:t>
      </w:r>
      <w:r w:rsidRPr="00EC0229">
        <w:rPr>
          <w:rStyle w:val="FootnoteReference"/>
          <w:szCs w:val="24"/>
        </w:rPr>
        <w:footnoteReference w:id="1240"/>
      </w:r>
      <w:r w:rsidRPr="00EC0229">
        <w:rPr>
          <w:szCs w:val="24"/>
        </w:rPr>
        <w:t xml:space="preserve"> The numismatic material seems to have been transferred to the B</w:t>
      </w:r>
      <w:r w:rsidR="00A37317" w:rsidRPr="00EC0229">
        <w:rPr>
          <w:szCs w:val="24"/>
        </w:rPr>
        <w:t xml:space="preserve">ritish </w:t>
      </w:r>
      <w:r w:rsidRPr="00EC0229">
        <w:rPr>
          <w:szCs w:val="24"/>
        </w:rPr>
        <w:t>M</w:t>
      </w:r>
      <w:r w:rsidR="00A37317" w:rsidRPr="00EC0229">
        <w:rPr>
          <w:szCs w:val="24"/>
        </w:rPr>
        <w:t>useum</w:t>
      </w:r>
      <w:r w:rsidRPr="00EC0229">
        <w:rPr>
          <w:szCs w:val="24"/>
        </w:rPr>
        <w:t xml:space="preserve"> at the outbreak of hostilities in 1939, but by this time the record had lost integrity, some of which Pirie</w:t>
      </w:r>
      <w:r w:rsidR="00716433" w:rsidRPr="00EC0229">
        <w:rPr>
          <w:szCs w:val="24"/>
        </w:rPr>
        <w:fldChar w:fldCharType="begin"/>
      </w:r>
      <w:r w:rsidR="00716433" w:rsidRPr="00EC0229">
        <w:instrText xml:space="preserve"> XE "Pirie" </w:instrText>
      </w:r>
      <w:r w:rsidR="00716433" w:rsidRPr="00EC0229">
        <w:rPr>
          <w:szCs w:val="24"/>
        </w:rPr>
        <w:fldChar w:fldCharType="end"/>
      </w:r>
      <w:r w:rsidRPr="00EC0229">
        <w:rPr>
          <w:szCs w:val="24"/>
        </w:rPr>
        <w:t xml:space="preserve"> was able to restore.</w:t>
      </w:r>
      <w:r w:rsidRPr="00EC0229">
        <w:rPr>
          <w:rStyle w:val="FootnoteReference"/>
          <w:szCs w:val="24"/>
        </w:rPr>
        <w:footnoteReference w:id="1241"/>
      </w:r>
      <w:r w:rsidRPr="00EC0229">
        <w:rPr>
          <w:szCs w:val="24"/>
        </w:rPr>
        <w:t xml:space="preserve"> Area A included a purse-hoard of twenty-two brass stycas, </w:t>
      </w:r>
      <w:r w:rsidR="00BF228F" w:rsidRPr="00EC0229">
        <w:rPr>
          <w:szCs w:val="24"/>
        </w:rPr>
        <w:t xml:space="preserve">[N10a], </w:t>
      </w:r>
      <w:r w:rsidRPr="00EC0229">
        <w:rPr>
          <w:szCs w:val="24"/>
        </w:rPr>
        <w:t>found on the north side of the north transept on seventh March 1924, which Pirie tentatively re-assembled based on ‘condition, toning and surface accretion’</w:t>
      </w:r>
      <w:r w:rsidR="00810052">
        <w:rPr>
          <w:szCs w:val="24"/>
        </w:rPr>
        <w:t xml:space="preserve">, </w:t>
      </w:r>
      <w:r w:rsidR="00810052" w:rsidRPr="00810052">
        <w:rPr>
          <w:i/>
          <w:szCs w:val="24"/>
        </w:rPr>
        <w:t>Table</w:t>
      </w:r>
      <w:r w:rsidR="00810052" w:rsidRPr="00810052">
        <w:rPr>
          <w:i/>
          <w:szCs w:val="24"/>
        </w:rPr>
        <w:fldChar w:fldCharType="begin"/>
      </w:r>
      <w:r w:rsidR="00810052" w:rsidRPr="00810052">
        <w:rPr>
          <w:szCs w:val="24"/>
        </w:rPr>
        <w:instrText xml:space="preserve"> XE "</w:instrText>
      </w:r>
      <w:r w:rsidR="00810052" w:rsidRPr="00810052">
        <w:rPr>
          <w:noProof/>
          <w:szCs w:val="24"/>
        </w:rPr>
        <w:instrText>Table</w:instrText>
      </w:r>
      <w:r w:rsidR="00810052" w:rsidRPr="00810052">
        <w:rPr>
          <w:szCs w:val="24"/>
        </w:rPr>
        <w:instrText xml:space="preserve">" </w:instrText>
      </w:r>
      <w:r w:rsidR="00810052" w:rsidRPr="00810052">
        <w:rPr>
          <w:i/>
          <w:szCs w:val="24"/>
        </w:rPr>
        <w:fldChar w:fldCharType="end"/>
      </w:r>
      <w:r w:rsidR="00810052" w:rsidRPr="00810052">
        <w:rPr>
          <w:i/>
          <w:szCs w:val="24"/>
        </w:rPr>
        <w:t xml:space="preserve"> 8.42</w:t>
      </w:r>
      <w:r w:rsidRPr="00810052">
        <w:rPr>
          <w:szCs w:val="24"/>
        </w:rPr>
        <w:t>.</w:t>
      </w:r>
      <w:r w:rsidRPr="00810052">
        <w:rPr>
          <w:rStyle w:val="FootnoteReference"/>
          <w:szCs w:val="24"/>
        </w:rPr>
        <w:footnoteReference w:id="1242"/>
      </w:r>
    </w:p>
    <w:p w14:paraId="08333146" w14:textId="589935AF" w:rsidR="00582C52" w:rsidRPr="00EC0229" w:rsidRDefault="00582C52" w:rsidP="007600EA">
      <w:pPr>
        <w:pStyle w:val="NoSpacing"/>
        <w:spacing w:line="360" w:lineRule="auto"/>
        <w:rPr>
          <w:szCs w:val="24"/>
        </w:rPr>
      </w:pPr>
      <w:r w:rsidRPr="00EC0229">
        <w:rPr>
          <w:szCs w:val="24"/>
        </w:rPr>
        <w:lastRenderedPageBreak/>
        <w:t>While there remains some difficulty in reconciling various listings,</w:t>
      </w:r>
      <w:r w:rsidRPr="00EC0229">
        <w:rPr>
          <w:rStyle w:val="FootnoteReference"/>
          <w:szCs w:val="24"/>
        </w:rPr>
        <w:footnoteReference w:id="1243"/>
      </w:r>
      <w:r w:rsidRPr="00EC0229">
        <w:rPr>
          <w:szCs w:val="24"/>
        </w:rPr>
        <w:t xml:space="preserve"> this need not detain us as the EMC</w:t>
      </w:r>
      <w:r w:rsidR="008960AE" w:rsidRPr="00EC0229">
        <w:rPr>
          <w:szCs w:val="24"/>
        </w:rPr>
        <w:fldChar w:fldCharType="begin"/>
      </w:r>
      <w:r w:rsidR="008960AE" w:rsidRPr="00EC0229">
        <w:instrText xml:space="preserve"> XE "EMC" </w:instrText>
      </w:r>
      <w:r w:rsidR="008960AE" w:rsidRPr="00EC0229">
        <w:rPr>
          <w:szCs w:val="24"/>
        </w:rPr>
        <w:fldChar w:fldCharType="end"/>
      </w:r>
      <w:r w:rsidRPr="00EC0229">
        <w:rPr>
          <w:szCs w:val="24"/>
        </w:rPr>
        <w:t xml:space="preserve"> content now supersedes previous </w:t>
      </w:r>
      <w:r w:rsidRPr="00EC0229">
        <w:rPr>
          <w:i/>
          <w:szCs w:val="24"/>
        </w:rPr>
        <w:t>corpora</w:t>
      </w:r>
      <w:r w:rsidRPr="00EC0229">
        <w:rPr>
          <w:szCs w:val="24"/>
        </w:rPr>
        <w:t>. The material from both areas A&amp;B and the hoard, differ little. In fretting over the minuti</w:t>
      </w:r>
      <w:r w:rsidRPr="00EC0229">
        <w:rPr>
          <w:rFonts w:cs="Times New Roman"/>
          <w:szCs w:val="24"/>
        </w:rPr>
        <w:t>æ</w:t>
      </w:r>
      <w:r w:rsidRPr="00EC0229">
        <w:rPr>
          <w:szCs w:val="24"/>
        </w:rPr>
        <w:t xml:space="preserve"> of the somewhat inadequate record-keeping and the attribution of stycas, Pirie</w:t>
      </w:r>
      <w:r w:rsidR="00716433" w:rsidRPr="00EC0229">
        <w:rPr>
          <w:szCs w:val="24"/>
        </w:rPr>
        <w:fldChar w:fldCharType="begin"/>
      </w:r>
      <w:r w:rsidR="00716433" w:rsidRPr="00EC0229">
        <w:instrText xml:space="preserve"> XE "Pirie" </w:instrText>
      </w:r>
      <w:r w:rsidR="00716433" w:rsidRPr="00EC0229">
        <w:rPr>
          <w:szCs w:val="24"/>
        </w:rPr>
        <w:fldChar w:fldCharType="end"/>
      </w:r>
      <w:r w:rsidRPr="00EC0229">
        <w:rPr>
          <w:szCs w:val="24"/>
        </w:rPr>
        <w:t xml:space="preserve"> fails to report on the non-Northumbrian sceats.</w:t>
      </w:r>
      <w:r w:rsidRPr="00EC0229">
        <w:rPr>
          <w:rStyle w:val="FootnoteReference"/>
          <w:szCs w:val="24"/>
        </w:rPr>
        <w:footnoteReference w:id="1244"/>
      </w:r>
    </w:p>
    <w:p w14:paraId="2EF605ED" w14:textId="77777777" w:rsidR="00582C52" w:rsidRPr="00EC0229" w:rsidRDefault="00582C52" w:rsidP="007600EA">
      <w:pPr>
        <w:pStyle w:val="NoSpacing"/>
        <w:spacing w:line="360" w:lineRule="auto"/>
        <w:rPr>
          <w:szCs w:val="24"/>
        </w:rPr>
      </w:pPr>
    </w:p>
    <w:p w14:paraId="2F4E111E" w14:textId="4F2618E2" w:rsidR="00582C52" w:rsidRPr="00EC0229" w:rsidRDefault="00582C52" w:rsidP="007600EA">
      <w:pPr>
        <w:pStyle w:val="NoSpacing"/>
        <w:spacing w:line="360" w:lineRule="auto"/>
        <w:rPr>
          <w:szCs w:val="24"/>
        </w:rPr>
      </w:pPr>
      <w:r w:rsidRPr="00EC0229">
        <w:rPr>
          <w:szCs w:val="24"/>
        </w:rPr>
        <w:t>For the primary periods, the site produces seven sceats - two each of the local Aldfrith</w:t>
      </w:r>
      <w:r w:rsidR="00D142DC" w:rsidRPr="00EC0229">
        <w:rPr>
          <w:szCs w:val="24"/>
        </w:rPr>
        <w:fldChar w:fldCharType="begin"/>
      </w:r>
      <w:r w:rsidR="00D142DC" w:rsidRPr="00EC0229">
        <w:instrText xml:space="preserve"> XE "Aldfrith" </w:instrText>
      </w:r>
      <w:r w:rsidR="00D142DC" w:rsidRPr="00EC0229">
        <w:rPr>
          <w:szCs w:val="24"/>
        </w:rPr>
        <w:fldChar w:fldCharType="end"/>
      </w:r>
      <w:r w:rsidRPr="00EC0229">
        <w:rPr>
          <w:szCs w:val="24"/>
        </w:rPr>
        <w:t xml:space="preserve"> type</w:t>
      </w:r>
      <w:r w:rsidR="00BF228F" w:rsidRPr="00EC0229">
        <w:rPr>
          <w:szCs w:val="24"/>
        </w:rPr>
        <w:t>,</w:t>
      </w:r>
      <w:r w:rsidRPr="00EC0229">
        <w:rPr>
          <w:szCs w:val="24"/>
        </w:rPr>
        <w:t xml:space="preserve"> </w:t>
      </w:r>
      <w:r w:rsidR="00BF228F" w:rsidRPr="00EC0229">
        <w:rPr>
          <w:szCs w:val="24"/>
        </w:rPr>
        <w:t xml:space="preserve">[4a], </w:t>
      </w:r>
      <w:r w:rsidRPr="00EC0229">
        <w:rPr>
          <w:szCs w:val="24"/>
        </w:rPr>
        <w:t>and, from the Low Countries,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Pr="00EC0229">
        <w:rPr>
          <w:szCs w:val="24"/>
        </w:rPr>
        <w:t xml:space="preserve"> D</w:t>
      </w:r>
      <w:r w:rsidR="008344F3" w:rsidRPr="00EC0229">
        <w:rPr>
          <w:szCs w:val="24"/>
        </w:rPr>
        <w:fldChar w:fldCharType="begin"/>
      </w:r>
      <w:r w:rsidR="008344F3" w:rsidRPr="00EC0229">
        <w:instrText xml:space="preserve"> XE "</w:instrText>
      </w:r>
      <w:r w:rsidR="008344F3" w:rsidRPr="00EC0229">
        <w:rPr>
          <w:szCs w:val="24"/>
        </w:rPr>
        <w:instrText>Series D</w:instrText>
      </w:r>
      <w:r w:rsidR="008344F3" w:rsidRPr="00EC0229">
        <w:instrText xml:space="preserve">" </w:instrText>
      </w:r>
      <w:r w:rsidR="008344F3" w:rsidRPr="00EC0229">
        <w:rPr>
          <w:szCs w:val="24"/>
        </w:rPr>
        <w:fldChar w:fldCharType="end"/>
      </w:r>
      <w:r w:rsidRPr="00EC0229">
        <w:rPr>
          <w:szCs w:val="24"/>
        </w:rPr>
        <w:t xml:space="preserve"> and E</w:t>
      </w:r>
      <w:r w:rsidR="00BF228F" w:rsidRPr="00EC0229">
        <w:rPr>
          <w:szCs w:val="24"/>
        </w:rPr>
        <w:t>, [4c]</w:t>
      </w:r>
      <w:r w:rsidRPr="00EC0229">
        <w:rPr>
          <w:szCs w:val="24"/>
        </w:rPr>
        <w:t xml:space="preserve">. The sole </w:t>
      </w:r>
      <w:r w:rsidR="00572E51" w:rsidRPr="00EC0229">
        <w:rPr>
          <w:szCs w:val="24"/>
        </w:rPr>
        <w:t>Southumbria</w:t>
      </w:r>
      <w:r w:rsidRPr="00EC0229">
        <w:rPr>
          <w:szCs w:val="24"/>
        </w:rPr>
        <w:t xml:space="preserve">n representative is a Series BZ, </w:t>
      </w:r>
      <w:r w:rsidR="00BF228F" w:rsidRPr="00EC0229">
        <w:rPr>
          <w:szCs w:val="24"/>
        </w:rPr>
        <w:t xml:space="preserve">[4b], </w:t>
      </w:r>
      <w:r w:rsidRPr="00EC0229">
        <w:rPr>
          <w:szCs w:val="24"/>
        </w:rPr>
        <w:t>a fairly exotic species with religious iconography</w:t>
      </w:r>
      <w:r w:rsidR="004C29A9" w:rsidRPr="00EC0229">
        <w:rPr>
          <w:szCs w:val="24"/>
        </w:rPr>
        <w:fldChar w:fldCharType="begin"/>
      </w:r>
      <w:r w:rsidR="004C29A9" w:rsidRPr="00EC0229">
        <w:instrText xml:space="preserve"> XE "iconography" </w:instrText>
      </w:r>
      <w:r w:rsidR="004C29A9" w:rsidRPr="00EC0229">
        <w:rPr>
          <w:szCs w:val="24"/>
        </w:rPr>
        <w:fldChar w:fldCharType="end"/>
      </w:r>
      <w:r w:rsidRPr="00EC0229">
        <w:rPr>
          <w:szCs w:val="24"/>
        </w:rPr>
        <w:t xml:space="preserve">. All are heavily worn so there is no direct evidence that coinage arrived before </w:t>
      </w:r>
      <w:r w:rsidRPr="00EC0229">
        <w:rPr>
          <w:i/>
          <w:szCs w:val="24"/>
        </w:rPr>
        <w:t>c.</w:t>
      </w:r>
      <w:r w:rsidRPr="00EC0229">
        <w:rPr>
          <w:szCs w:val="24"/>
        </w:rPr>
        <w:t xml:space="preserve">710. For the secondary periods, the mix is wide, if lacking depth - </w:t>
      </w:r>
      <w:r w:rsidR="0060518F" w:rsidRPr="00EC0229">
        <w:rPr>
          <w:szCs w:val="24"/>
        </w:rPr>
        <w:t>there is also a single specimen of the putative northern Series J, [5a],</w:t>
      </w:r>
      <w:r w:rsidRPr="00EC0229">
        <w:rPr>
          <w:szCs w:val="24"/>
        </w:rPr>
        <w:t xml:space="preserve"> single sceats of Series H (a unique variety, </w:t>
      </w:r>
      <w:r w:rsidRPr="00EC0229">
        <w:rPr>
          <w:i/>
          <w:szCs w:val="24"/>
        </w:rPr>
        <w:t>SL</w:t>
      </w:r>
      <w:r w:rsidRPr="00EC0229">
        <w:rPr>
          <w:szCs w:val="24"/>
        </w:rPr>
        <w:t>49-10), K, L, Q, R, U in addition to a couple of exotic types – a possibly unique Celtic cross (</w:t>
      </w:r>
      <w:r w:rsidRPr="00EC0229">
        <w:rPr>
          <w:i/>
          <w:szCs w:val="24"/>
        </w:rPr>
        <w:t>SL</w:t>
      </w:r>
      <w:r w:rsidRPr="00EC0229">
        <w:rPr>
          <w:szCs w:val="24"/>
        </w:rPr>
        <w:t xml:space="preserve">28-30, </w:t>
      </w:r>
      <w:r w:rsidRPr="00EC0229">
        <w:rPr>
          <w:i/>
          <w:szCs w:val="24"/>
        </w:rPr>
        <w:t>SCBI</w:t>
      </w:r>
      <w:r w:rsidRPr="00EC0229">
        <w:rPr>
          <w:szCs w:val="24"/>
        </w:rPr>
        <w:t>63 no. 543) and a K/N mule (</w:t>
      </w:r>
      <w:r w:rsidRPr="00EC0229">
        <w:rPr>
          <w:i/>
          <w:szCs w:val="24"/>
        </w:rPr>
        <w:t>SL</w:t>
      </w:r>
      <w:r w:rsidRPr="00EC0229">
        <w:rPr>
          <w:szCs w:val="24"/>
        </w:rPr>
        <w:t>37)</w:t>
      </w:r>
      <w:r w:rsidR="0060518F" w:rsidRPr="00EC0229">
        <w:rPr>
          <w:szCs w:val="24"/>
        </w:rPr>
        <w:t>, [all 5b]</w:t>
      </w:r>
      <w:r w:rsidRPr="00EC0229">
        <w:rPr>
          <w:szCs w:val="24"/>
        </w:rPr>
        <w:t xml:space="preserve"> – and imported from the Continent, an E and a G</w:t>
      </w:r>
      <w:r w:rsidR="0060518F" w:rsidRPr="00EC0229">
        <w:rPr>
          <w:szCs w:val="24"/>
        </w:rPr>
        <w:t>, [5c]</w:t>
      </w:r>
      <w:r w:rsidRPr="00EC0229">
        <w:rPr>
          <w:szCs w:val="24"/>
        </w:rPr>
        <w:t xml:space="preserve">. </w:t>
      </w:r>
    </w:p>
    <w:p w14:paraId="60F37254" w14:textId="77777777" w:rsidR="00582C52" w:rsidRPr="00EC0229" w:rsidRDefault="00582C52" w:rsidP="007600EA">
      <w:pPr>
        <w:pStyle w:val="NoSpacing"/>
        <w:spacing w:line="360" w:lineRule="auto"/>
        <w:rPr>
          <w:szCs w:val="24"/>
        </w:rPr>
      </w:pPr>
    </w:p>
    <w:p w14:paraId="7675F6D3" w14:textId="42AD3BC6" w:rsidR="00582C52" w:rsidRPr="00EC0229" w:rsidRDefault="00582C52" w:rsidP="007600EA">
      <w:pPr>
        <w:pStyle w:val="NoSpacing"/>
        <w:spacing w:line="360" w:lineRule="auto"/>
        <w:rPr>
          <w:szCs w:val="24"/>
        </w:rPr>
      </w:pPr>
      <w:r w:rsidRPr="00EC0229">
        <w:rPr>
          <w:szCs w:val="24"/>
        </w:rPr>
        <w:t>For the Northumbrian sceats, the site is strong in Eadberht</w:t>
      </w:r>
      <w:r w:rsidR="00D142DC" w:rsidRPr="00EC0229">
        <w:rPr>
          <w:szCs w:val="24"/>
        </w:rPr>
        <w:fldChar w:fldCharType="begin"/>
      </w:r>
      <w:r w:rsidR="00D142DC" w:rsidRPr="00EC0229">
        <w:instrText xml:space="preserve"> XE "Eadberht" </w:instrText>
      </w:r>
      <w:r w:rsidR="00D142DC" w:rsidRPr="00EC0229">
        <w:rPr>
          <w:szCs w:val="24"/>
        </w:rPr>
        <w:fldChar w:fldCharType="end"/>
      </w:r>
      <w:r w:rsidRPr="00EC0229">
        <w:rPr>
          <w:szCs w:val="24"/>
        </w:rPr>
        <w:t xml:space="preserve">, </w:t>
      </w:r>
      <w:r w:rsidR="00BE38F5" w:rsidRPr="00EC0229">
        <w:rPr>
          <w:szCs w:val="24"/>
        </w:rPr>
        <w:t xml:space="preserve">[N6], </w:t>
      </w:r>
      <w:r w:rsidRPr="00EC0229">
        <w:rPr>
          <w:szCs w:val="24"/>
        </w:rPr>
        <w:t>with ten examples, and a further four for the joint issue with Ecgberht</w:t>
      </w:r>
      <w:r w:rsidR="00BE38F5" w:rsidRPr="00EC0229">
        <w:rPr>
          <w:szCs w:val="24"/>
        </w:rPr>
        <w:t>, [N7]</w:t>
      </w:r>
      <w:r w:rsidR="00D142DC" w:rsidRPr="00EC0229">
        <w:rPr>
          <w:szCs w:val="24"/>
        </w:rPr>
        <w:fldChar w:fldCharType="begin"/>
      </w:r>
      <w:r w:rsidR="00D142DC" w:rsidRPr="00EC0229">
        <w:instrText xml:space="preserve"> XE "Ecgberht" </w:instrText>
      </w:r>
      <w:r w:rsidR="00D142DC" w:rsidRPr="00EC0229">
        <w:rPr>
          <w:szCs w:val="24"/>
        </w:rPr>
        <w:fldChar w:fldCharType="end"/>
      </w:r>
      <w:r w:rsidRPr="00EC0229">
        <w:rPr>
          <w:szCs w:val="24"/>
        </w:rPr>
        <w:t>. There is a single fantastic beast type for Ælfwald</w:t>
      </w:r>
      <w:r w:rsidR="004C29A9" w:rsidRPr="00EC0229">
        <w:rPr>
          <w:szCs w:val="24"/>
        </w:rPr>
        <w:fldChar w:fldCharType="begin"/>
      </w:r>
      <w:r w:rsidR="004C29A9" w:rsidRPr="00EC0229">
        <w:instrText xml:space="preserve"> XE "</w:instrText>
      </w:r>
      <w:r w:rsidR="004C29A9" w:rsidRPr="00EC0229">
        <w:rPr>
          <w:rFonts w:cs="Times New Roman"/>
          <w:szCs w:val="24"/>
        </w:rPr>
        <w:instrText>Ælfwald</w:instrText>
      </w:r>
      <w:r w:rsidR="004C29A9" w:rsidRPr="00EC0229">
        <w:instrText xml:space="preserve">" </w:instrText>
      </w:r>
      <w:r w:rsidR="004C29A9" w:rsidRPr="00EC0229">
        <w:rPr>
          <w:szCs w:val="24"/>
        </w:rPr>
        <w:fldChar w:fldCharType="end"/>
      </w:r>
      <w:r w:rsidRPr="00EC0229">
        <w:rPr>
          <w:szCs w:val="24"/>
        </w:rPr>
        <w:t xml:space="preserve"> I</w:t>
      </w:r>
      <w:r w:rsidR="00BE38F5" w:rsidRPr="00EC0229">
        <w:rPr>
          <w:szCs w:val="24"/>
        </w:rPr>
        <w:t>, [N6],</w:t>
      </w:r>
      <w:r w:rsidRPr="00EC0229">
        <w:rPr>
          <w:szCs w:val="24"/>
        </w:rPr>
        <w:t xml:space="preserve"> and one joint issue of Æthelred</w:t>
      </w:r>
      <w:r w:rsidR="00D142DC" w:rsidRPr="00EC0229">
        <w:rPr>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Cs w:val="24"/>
        </w:rPr>
        <w:fldChar w:fldCharType="end"/>
      </w:r>
      <w:r w:rsidRPr="00EC0229">
        <w:rPr>
          <w:szCs w:val="24"/>
        </w:rPr>
        <w:t xml:space="preserve"> I with Eanbald</w:t>
      </w:r>
      <w:r w:rsidR="00D142DC" w:rsidRPr="00EC0229">
        <w:rPr>
          <w:szCs w:val="24"/>
        </w:rPr>
        <w:fldChar w:fldCharType="begin"/>
      </w:r>
      <w:r w:rsidR="00D142DC" w:rsidRPr="00EC0229">
        <w:instrText xml:space="preserve"> XE "Eanbald" </w:instrText>
      </w:r>
      <w:r w:rsidR="00D142DC" w:rsidRPr="00EC0229">
        <w:rPr>
          <w:szCs w:val="24"/>
        </w:rPr>
        <w:fldChar w:fldCharType="end"/>
      </w:r>
      <w:r w:rsidRPr="00EC0229">
        <w:rPr>
          <w:szCs w:val="24"/>
        </w:rPr>
        <w:t xml:space="preserve"> I</w:t>
      </w:r>
      <w:r w:rsidR="00BE38F5" w:rsidRPr="00EC0229">
        <w:rPr>
          <w:szCs w:val="24"/>
        </w:rPr>
        <w:t>, [N7]</w:t>
      </w:r>
      <w:r w:rsidRPr="00EC0229">
        <w:rPr>
          <w:szCs w:val="24"/>
        </w:rPr>
        <w:t>. The inscriptional type for Æthelred I is again strong, with fourteen specimens</w:t>
      </w:r>
      <w:r w:rsidR="00BE38F5" w:rsidRPr="00EC0229">
        <w:rPr>
          <w:szCs w:val="24"/>
        </w:rPr>
        <w:t>, [N8]</w:t>
      </w:r>
      <w:r w:rsidRPr="00EC0229">
        <w:rPr>
          <w:szCs w:val="24"/>
        </w:rPr>
        <w:t>. This is matched by the silver rich emissions of Eanred</w:t>
      </w:r>
      <w:r w:rsidR="00D142DC" w:rsidRPr="00EC0229">
        <w:rPr>
          <w:szCs w:val="24"/>
        </w:rPr>
        <w:fldChar w:fldCharType="begin"/>
      </w:r>
      <w:r w:rsidR="00D142DC" w:rsidRPr="00EC0229">
        <w:instrText xml:space="preserve"> XE "Eanred" </w:instrText>
      </w:r>
      <w:r w:rsidR="00D142DC" w:rsidRPr="00EC0229">
        <w:rPr>
          <w:szCs w:val="24"/>
        </w:rPr>
        <w:fldChar w:fldCharType="end"/>
      </w:r>
      <w:r w:rsidRPr="00EC0229">
        <w:rPr>
          <w:szCs w:val="24"/>
        </w:rPr>
        <w:t xml:space="preserve"> and Eanbald II, </w:t>
      </w:r>
      <w:r w:rsidR="00BE38F5" w:rsidRPr="00EC0229">
        <w:rPr>
          <w:szCs w:val="24"/>
        </w:rPr>
        <w:t xml:space="preserve">[N9], </w:t>
      </w:r>
      <w:r w:rsidRPr="00EC0229">
        <w:rPr>
          <w:szCs w:val="24"/>
        </w:rPr>
        <w:t>before substantial growth in coinage volume in the period of the brass styca</w:t>
      </w:r>
      <w:r w:rsidR="00BE38F5" w:rsidRPr="00EC0229">
        <w:rPr>
          <w:szCs w:val="24"/>
        </w:rPr>
        <w:t>, [N10a]</w:t>
      </w:r>
      <w:r w:rsidRPr="00EC0229">
        <w:rPr>
          <w:szCs w:val="24"/>
        </w:rPr>
        <w:t>. There are three stycas recorded for Osberht</w:t>
      </w:r>
      <w:r w:rsidR="00D142DC" w:rsidRPr="00EC0229">
        <w:rPr>
          <w:szCs w:val="24"/>
        </w:rPr>
        <w:fldChar w:fldCharType="begin"/>
      </w:r>
      <w:r w:rsidR="00D142DC" w:rsidRPr="00EC0229">
        <w:instrText xml:space="preserve"> XE "Osberht" </w:instrText>
      </w:r>
      <w:r w:rsidR="00D142DC" w:rsidRPr="00EC0229">
        <w:rPr>
          <w:szCs w:val="24"/>
        </w:rPr>
        <w:fldChar w:fldCharType="end"/>
      </w:r>
      <w:r w:rsidRPr="00EC0229">
        <w:rPr>
          <w:szCs w:val="24"/>
        </w:rPr>
        <w:t xml:space="preserve">, </w:t>
      </w:r>
      <w:r w:rsidR="00BE38F5" w:rsidRPr="00EC0229">
        <w:rPr>
          <w:szCs w:val="24"/>
        </w:rPr>
        <w:t xml:space="preserve">[N10b], </w:t>
      </w:r>
      <w:r w:rsidRPr="00EC0229">
        <w:rPr>
          <w:szCs w:val="24"/>
        </w:rPr>
        <w:t>but this cannot be verified, and none for Wulfhere</w:t>
      </w:r>
      <w:r w:rsidR="00D142DC" w:rsidRPr="00EC0229">
        <w:rPr>
          <w:szCs w:val="24"/>
        </w:rPr>
        <w:fldChar w:fldCharType="begin"/>
      </w:r>
      <w:r w:rsidR="00D142DC" w:rsidRPr="00EC0229">
        <w:instrText xml:space="preserve"> XE "Wulfhere" </w:instrText>
      </w:r>
      <w:r w:rsidR="00D142DC" w:rsidRPr="00EC0229">
        <w:rPr>
          <w:szCs w:val="24"/>
        </w:rPr>
        <w:fldChar w:fldCharType="end"/>
      </w:r>
      <w:r w:rsidRPr="00EC0229">
        <w:rPr>
          <w:szCs w:val="24"/>
        </w:rPr>
        <w:t>.</w:t>
      </w:r>
    </w:p>
    <w:p w14:paraId="268AF597" w14:textId="77777777" w:rsidR="00582C52" w:rsidRPr="00EC0229" w:rsidRDefault="00582C52" w:rsidP="007600EA">
      <w:pPr>
        <w:pStyle w:val="NoSpacing"/>
        <w:spacing w:line="360" w:lineRule="auto"/>
        <w:rPr>
          <w:szCs w:val="24"/>
        </w:rPr>
      </w:pPr>
    </w:p>
    <w:p w14:paraId="3BFC5BED" w14:textId="684B4A2B" w:rsidR="00582C52" w:rsidRPr="00EC0229" w:rsidRDefault="00582C52" w:rsidP="007600EA">
      <w:pPr>
        <w:pStyle w:val="NoSpacing"/>
        <w:spacing w:line="360" w:lineRule="auto"/>
        <w:rPr>
          <w:rFonts w:cs="Times New Roman"/>
          <w:szCs w:val="24"/>
          <w:lang w:eastAsia="en-GB"/>
        </w:rPr>
      </w:pPr>
      <w:r w:rsidRPr="00EC0229">
        <w:rPr>
          <w:szCs w:val="24"/>
        </w:rPr>
        <w:t>More</w:t>
      </w:r>
      <w:r w:rsidRPr="00EC0229">
        <w:rPr>
          <w:lang w:eastAsia="en-GB"/>
        </w:rPr>
        <w:t xml:space="preserve"> recent excavations were carried </w:t>
      </w:r>
      <w:r w:rsidR="006B5077" w:rsidRPr="00EC0229">
        <w:rPr>
          <w:lang w:eastAsia="en-GB"/>
        </w:rPr>
        <w:t>out between 1993 and 2014. Wilmott reported</w:t>
      </w:r>
      <w:r w:rsidRPr="00EC0229">
        <w:rPr>
          <w:lang w:eastAsia="en-GB"/>
        </w:rPr>
        <w:t xml:space="preserve"> that only two Anglian</w:t>
      </w:r>
      <w:r w:rsidR="00D142DC" w:rsidRPr="00EC0229">
        <w:rPr>
          <w:lang w:eastAsia="en-GB"/>
        </w:rPr>
        <w:fldChar w:fldCharType="begin"/>
      </w:r>
      <w:r w:rsidR="00D142DC" w:rsidRPr="00EC0229">
        <w:instrText xml:space="preserve"> XE "Anglian" </w:instrText>
      </w:r>
      <w:r w:rsidR="00D142DC" w:rsidRPr="00EC0229">
        <w:rPr>
          <w:lang w:eastAsia="en-GB"/>
        </w:rPr>
        <w:fldChar w:fldCharType="end"/>
      </w:r>
      <w:r w:rsidRPr="00EC0229">
        <w:rPr>
          <w:lang w:eastAsia="en-GB"/>
        </w:rPr>
        <w:t xml:space="preserve"> period coins surfaced, both from the area of the southern cemetery. This included a Series</w:t>
      </w:r>
      <w:r w:rsidR="00D142DC" w:rsidRPr="00EC0229">
        <w:rPr>
          <w:lang w:eastAsia="en-GB"/>
        </w:rPr>
        <w:fldChar w:fldCharType="begin"/>
      </w:r>
      <w:r w:rsidR="00D142DC" w:rsidRPr="00EC0229">
        <w:instrText xml:space="preserve"> XE "Series" </w:instrText>
      </w:r>
      <w:r w:rsidR="00D142DC" w:rsidRPr="00EC0229">
        <w:rPr>
          <w:lang w:eastAsia="en-GB"/>
        </w:rPr>
        <w:fldChar w:fldCharType="end"/>
      </w:r>
      <w:r w:rsidRPr="00EC0229">
        <w:rPr>
          <w:lang w:eastAsia="en-GB"/>
        </w:rPr>
        <w:t xml:space="preserve"> E</w:t>
      </w:r>
      <w:r w:rsidR="008344F3" w:rsidRPr="00EC0229">
        <w:rPr>
          <w:lang w:eastAsia="en-GB"/>
        </w:rPr>
        <w:fldChar w:fldCharType="begin"/>
      </w:r>
      <w:r w:rsidR="008344F3" w:rsidRPr="00EC0229">
        <w:instrText xml:space="preserve"> XE "Series E" </w:instrText>
      </w:r>
      <w:r w:rsidR="008344F3" w:rsidRPr="00EC0229">
        <w:rPr>
          <w:lang w:eastAsia="en-GB"/>
        </w:rPr>
        <w:fldChar w:fldCharType="end"/>
      </w:r>
      <w:r w:rsidRPr="00EC0229">
        <w:rPr>
          <w:lang w:eastAsia="en-GB"/>
        </w:rPr>
        <w:t xml:space="preserve"> </w:t>
      </w:r>
      <w:r w:rsidRPr="00EC0229">
        <w:rPr>
          <w:iCs/>
          <w:lang w:eastAsia="en-GB"/>
        </w:rPr>
        <w:t>sceat</w:t>
      </w:r>
      <w:r w:rsidR="00BE38F5" w:rsidRPr="00EC0229">
        <w:rPr>
          <w:iCs/>
          <w:lang w:eastAsia="en-GB"/>
        </w:rPr>
        <w:t>, [4?c]</w:t>
      </w:r>
      <w:r w:rsidRPr="00EC0229">
        <w:rPr>
          <w:i/>
          <w:iCs/>
          <w:lang w:eastAsia="en-GB"/>
        </w:rPr>
        <w:t xml:space="preserve"> </w:t>
      </w:r>
      <w:r w:rsidRPr="00EC0229">
        <w:rPr>
          <w:lang w:eastAsia="en-GB"/>
        </w:rPr>
        <w:t>from the fill of a primary grave, though not placed and a base styca of Eanbald</w:t>
      </w:r>
      <w:r w:rsidR="00D142DC" w:rsidRPr="00EC0229">
        <w:rPr>
          <w:lang w:eastAsia="en-GB"/>
        </w:rPr>
        <w:fldChar w:fldCharType="begin"/>
      </w:r>
      <w:r w:rsidR="00D142DC" w:rsidRPr="00EC0229">
        <w:instrText xml:space="preserve"> XE "Eanbald" </w:instrText>
      </w:r>
      <w:r w:rsidR="00D142DC" w:rsidRPr="00EC0229">
        <w:rPr>
          <w:lang w:eastAsia="en-GB"/>
        </w:rPr>
        <w:fldChar w:fldCharType="end"/>
      </w:r>
      <w:r w:rsidRPr="00EC0229">
        <w:rPr>
          <w:lang w:eastAsia="en-GB"/>
        </w:rPr>
        <w:t xml:space="preserve"> II (or possibly Redwulf)</w:t>
      </w:r>
      <w:r w:rsidRPr="00EC0229">
        <w:rPr>
          <w:rStyle w:val="FootnoteReference"/>
          <w:lang w:eastAsia="en-GB"/>
        </w:rPr>
        <w:footnoteReference w:id="1245"/>
      </w:r>
      <w:r w:rsidRPr="00EC0229">
        <w:rPr>
          <w:lang w:eastAsia="en-GB"/>
        </w:rPr>
        <w:t xml:space="preserve"> from the upper fill of the cemetery boundary ditch</w:t>
      </w:r>
      <w:r w:rsidR="00BE38F5" w:rsidRPr="00EC0229">
        <w:rPr>
          <w:lang w:eastAsia="en-GB"/>
        </w:rPr>
        <w:t>, [N10a]</w:t>
      </w:r>
      <w:r w:rsidRPr="00EC0229">
        <w:rPr>
          <w:lang w:eastAsia="en-GB"/>
        </w:rPr>
        <w:t>.</w:t>
      </w:r>
      <w:r w:rsidR="00D16D50">
        <w:rPr>
          <w:lang w:eastAsia="en-GB"/>
        </w:rPr>
        <w:t xml:space="preserve"> See </w:t>
      </w:r>
      <w:r w:rsidR="00D16D50" w:rsidRPr="00A07A08">
        <w:rPr>
          <w:i/>
        </w:rPr>
        <w:t>Graph 7.</w:t>
      </w:r>
      <w:r w:rsidR="00D16D50">
        <w:rPr>
          <w:i/>
        </w:rPr>
        <w:t>07 no. 26</w:t>
      </w:r>
      <w:r w:rsidR="00D16D50">
        <w:t>.</w:t>
      </w:r>
    </w:p>
    <w:p w14:paraId="5B5F642B" w14:textId="77777777" w:rsidR="00582C52" w:rsidRPr="00EC0229" w:rsidRDefault="00582C52" w:rsidP="007600EA">
      <w:pPr>
        <w:pStyle w:val="NoSpacing"/>
        <w:spacing w:line="360" w:lineRule="auto"/>
        <w:rPr>
          <w:szCs w:val="24"/>
        </w:rPr>
      </w:pPr>
    </w:p>
    <w:p w14:paraId="7592B3FD" w14:textId="2253BAB6" w:rsidR="00582C52" w:rsidRPr="00EC0229" w:rsidRDefault="00582C52" w:rsidP="007600EA">
      <w:pPr>
        <w:pStyle w:val="NoSpacing"/>
        <w:spacing w:line="360" w:lineRule="auto"/>
        <w:rPr>
          <w:szCs w:val="24"/>
        </w:rPr>
      </w:pPr>
      <w:r w:rsidRPr="00EC0229">
        <w:rPr>
          <w:szCs w:val="24"/>
        </w:rPr>
        <w:lastRenderedPageBreak/>
        <w:t>This assemblage reveals a healthy picture of a site both active in the local economy</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rPr>
          <w:szCs w:val="24"/>
        </w:rPr>
        <w:fldChar w:fldCharType="end"/>
      </w:r>
      <w:r w:rsidRPr="00EC0229">
        <w:rPr>
          <w:szCs w:val="24"/>
        </w:rPr>
        <w:t xml:space="preserve"> and widely connected with </w:t>
      </w:r>
      <w:r w:rsidR="00572E51" w:rsidRPr="00EC0229">
        <w:rPr>
          <w:szCs w:val="24"/>
        </w:rPr>
        <w:t>Southumbria</w:t>
      </w:r>
      <w:r w:rsidRPr="00EC0229">
        <w:rPr>
          <w:szCs w:val="24"/>
        </w:rPr>
        <w:t xml:space="preserve"> and the Low Countries in the first half of </w:t>
      </w:r>
      <w:r w:rsidR="00F139AF" w:rsidRPr="00EC0229">
        <w:rPr>
          <w:szCs w:val="24"/>
        </w:rPr>
        <w:t>the eighth century</w:t>
      </w:r>
      <w:r w:rsidRPr="00EC0229">
        <w:rPr>
          <w:szCs w:val="24"/>
        </w:rPr>
        <w:t xml:space="preserve"> – the assemblage represents Kent, London, East Anglia, the Thames Valley, and Frisia. The usual third quarter recession is marked by a dearth of specimens before a revival during Æthelred</w:t>
      </w:r>
      <w:r w:rsidR="00D142DC" w:rsidRPr="00EC0229">
        <w:rPr>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Cs w:val="24"/>
        </w:rPr>
        <w:fldChar w:fldCharType="end"/>
      </w:r>
      <w:r w:rsidRPr="00EC0229">
        <w:rPr>
          <w:szCs w:val="24"/>
        </w:rPr>
        <w:t xml:space="preserve"> I’s second reign. The post-Lindisfarne</w:t>
      </w:r>
      <w:r w:rsidR="006B1593" w:rsidRPr="00EC0229">
        <w:rPr>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szCs w:val="24"/>
        </w:rPr>
        <w:fldChar w:fldCharType="end"/>
      </w:r>
      <w:r w:rsidRPr="00EC0229">
        <w:rPr>
          <w:szCs w:val="24"/>
        </w:rPr>
        <w:t xml:space="preserve"> recovery is strong in </w:t>
      </w:r>
      <w:r w:rsidR="00F139AF" w:rsidRPr="00EC0229">
        <w:rPr>
          <w:szCs w:val="24"/>
        </w:rPr>
        <w:t>the ninth century</w:t>
      </w:r>
      <w:r w:rsidRPr="00EC0229">
        <w:rPr>
          <w:szCs w:val="24"/>
        </w:rPr>
        <w:t xml:space="preserve"> with vigorous use of the circulating medium, denoting the progress of </w:t>
      </w:r>
      <w:r w:rsidR="003F2041" w:rsidRPr="00EC0229">
        <w:rPr>
          <w:szCs w:val="24"/>
        </w:rPr>
        <w:t>monetiz</w:t>
      </w:r>
      <w:r w:rsidRPr="00EC0229">
        <w:rPr>
          <w:szCs w:val="24"/>
        </w:rPr>
        <w:t>ation</w:t>
      </w:r>
      <w:r w:rsidR="008960AE" w:rsidRPr="00EC0229">
        <w:rPr>
          <w:szCs w:val="24"/>
        </w:rPr>
        <w:fldChar w:fldCharType="begin"/>
      </w:r>
      <w:r w:rsidR="008960AE" w:rsidRPr="00EC0229">
        <w:instrText xml:space="preserve"> XE "monetization" </w:instrText>
      </w:r>
      <w:r w:rsidR="008960AE" w:rsidRPr="00EC0229">
        <w:rPr>
          <w:szCs w:val="24"/>
        </w:rPr>
        <w:fldChar w:fldCharType="end"/>
      </w:r>
      <w:r w:rsidRPr="00EC0229">
        <w:rPr>
          <w:szCs w:val="24"/>
        </w:rPr>
        <w:t>. This is exactly what may be predicted for a monastic coastal site with a natural harbour, a productive hinterland</w:t>
      </w:r>
      <w:r w:rsidR="008960AE" w:rsidRPr="00EC0229">
        <w:rPr>
          <w:szCs w:val="24"/>
        </w:rPr>
        <w:fldChar w:fldCharType="begin"/>
      </w:r>
      <w:r w:rsidR="008960AE" w:rsidRPr="00EC0229">
        <w:instrText xml:space="preserve"> XE "</w:instrText>
      </w:r>
      <w:r w:rsidR="008960AE" w:rsidRPr="00EC0229">
        <w:rPr>
          <w:rFonts w:cs="Times New Roman"/>
          <w:szCs w:val="24"/>
        </w:rPr>
        <w:instrText>hinterland</w:instrText>
      </w:r>
      <w:r w:rsidR="008960AE" w:rsidRPr="00EC0229">
        <w:instrText xml:space="preserve">" </w:instrText>
      </w:r>
      <w:r w:rsidR="008960AE" w:rsidRPr="00EC0229">
        <w:rPr>
          <w:szCs w:val="24"/>
        </w:rPr>
        <w:fldChar w:fldCharType="end"/>
      </w:r>
      <w:r w:rsidRPr="00EC0229">
        <w:rPr>
          <w:szCs w:val="24"/>
        </w:rPr>
        <w:t xml:space="preserve"> and fisheries, subject to the vagaries of early mediev</w:t>
      </w:r>
      <w:r w:rsidR="005207F1" w:rsidRPr="00EC0229">
        <w:rPr>
          <w:szCs w:val="24"/>
        </w:rPr>
        <w:t>al political life. As Leahy said:</w:t>
      </w:r>
      <w:r w:rsidRPr="00EC0229">
        <w:rPr>
          <w:szCs w:val="24"/>
        </w:rPr>
        <w:t xml:space="preserve"> ‘Seen in terms of an extra-mural market, this is precisely what would be expected.’</w:t>
      </w:r>
      <w:r w:rsidRPr="00EC0229">
        <w:rPr>
          <w:rStyle w:val="FootnoteReference"/>
          <w:szCs w:val="24"/>
        </w:rPr>
        <w:footnoteReference w:id="1246"/>
      </w:r>
      <w:r w:rsidRPr="00EC0229">
        <w:rPr>
          <w:szCs w:val="24"/>
        </w:rPr>
        <w:t xml:space="preserve"> The mix of coins could be interpreted more as of a secular, commercial nature rather than conveying much in terms of ecclesiastical power or iconography</w:t>
      </w:r>
      <w:r w:rsidR="004C29A9" w:rsidRPr="00EC0229">
        <w:rPr>
          <w:szCs w:val="24"/>
        </w:rPr>
        <w:fldChar w:fldCharType="begin"/>
      </w:r>
      <w:r w:rsidR="004C29A9" w:rsidRPr="00EC0229">
        <w:instrText xml:space="preserve"> XE "iconography" </w:instrText>
      </w:r>
      <w:r w:rsidR="004C29A9" w:rsidRPr="00EC0229">
        <w:rPr>
          <w:szCs w:val="24"/>
        </w:rPr>
        <w:fldChar w:fldCharType="end"/>
      </w:r>
      <w:r w:rsidRPr="00EC0229">
        <w:rPr>
          <w:szCs w:val="24"/>
        </w:rPr>
        <w:t>, although the Celtic cross sceat</w:t>
      </w:r>
      <w:r w:rsidR="00BE38F5" w:rsidRPr="00EC0229">
        <w:rPr>
          <w:szCs w:val="24"/>
        </w:rPr>
        <w:t>, [5b],</w:t>
      </w:r>
      <w:r w:rsidRPr="00EC0229">
        <w:rPr>
          <w:szCs w:val="24"/>
        </w:rPr>
        <w:t xml:space="preserve"> mentioned above is exceptional</w:t>
      </w:r>
      <w:r w:rsidR="007151C4" w:rsidRPr="00EC0229">
        <w:rPr>
          <w:szCs w:val="24"/>
        </w:rPr>
        <w:t xml:space="preserve"> </w:t>
      </w:r>
      <w:r w:rsidR="007151C4" w:rsidRPr="00EC0229">
        <w:t>(</w:t>
      </w:r>
      <w:r w:rsidR="009E07B9" w:rsidRPr="00EC0229">
        <w:fldChar w:fldCharType="begin"/>
      </w:r>
      <w:r w:rsidR="009E07B9" w:rsidRPr="00EC0229">
        <w:instrText xml:space="preserve"> REF _Ref430249780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166</w:t>
      </w:r>
      <w:r w:rsidR="009E07B9" w:rsidRPr="00EC0229">
        <w:fldChar w:fldCharType="end"/>
      </w:r>
      <w:r w:rsidR="009E07B9" w:rsidRPr="00EC0229">
        <w:t xml:space="preserve">). </w:t>
      </w:r>
      <w:r w:rsidRPr="00EC0229">
        <w:rPr>
          <w:szCs w:val="24"/>
        </w:rPr>
        <w:t xml:space="preserve">Its portrayal of a cowled, female, figure with long cross pommée either side, standing in a celestial boat, makes a particularly apt </w:t>
      </w:r>
      <w:r w:rsidRPr="00EC0229">
        <w:rPr>
          <w:i/>
          <w:szCs w:val="24"/>
        </w:rPr>
        <w:t>imprimatur</w:t>
      </w:r>
      <w:r w:rsidRPr="00EC0229">
        <w:rPr>
          <w:szCs w:val="24"/>
        </w:rPr>
        <w:t xml:space="preserve"> for St. Hild. Even though there are very few other </w:t>
      </w:r>
      <w:r w:rsidR="00572E51" w:rsidRPr="00EC0229">
        <w:rPr>
          <w:szCs w:val="24"/>
        </w:rPr>
        <w:t>Southumbria</w:t>
      </w:r>
      <w:r w:rsidRPr="00EC0229">
        <w:rPr>
          <w:szCs w:val="24"/>
        </w:rPr>
        <w:t>n sceats from this site, it must be coincidence rather than selective use, that brings a further two showing similar standing figure reverses and a third, a Series</w:t>
      </w:r>
      <w:r w:rsidR="00D142DC" w:rsidRPr="00EC0229">
        <w:rPr>
          <w:szCs w:val="24"/>
        </w:rPr>
        <w:fldChar w:fldCharType="begin"/>
      </w:r>
      <w:r w:rsidR="00D142DC" w:rsidRPr="00EC0229">
        <w:instrText xml:space="preserve"> XE "Series" </w:instrText>
      </w:r>
      <w:r w:rsidR="00D142DC" w:rsidRPr="00EC0229">
        <w:rPr>
          <w:szCs w:val="24"/>
        </w:rPr>
        <w:fldChar w:fldCharType="end"/>
      </w:r>
      <w:r w:rsidRPr="00EC0229">
        <w:rPr>
          <w:szCs w:val="24"/>
        </w:rPr>
        <w:t xml:space="preserve"> Qiv</w:t>
      </w:r>
      <w:r w:rsidR="007151C4" w:rsidRPr="00EC0229">
        <w:rPr>
          <w:szCs w:val="24"/>
        </w:rPr>
        <w:t xml:space="preserve"> </w:t>
      </w:r>
      <w:r w:rsidR="007151C4" w:rsidRPr="00EC0229">
        <w:t>(</w:t>
      </w:r>
      <w:r w:rsidR="009E07B9" w:rsidRPr="00EC0229">
        <w:fldChar w:fldCharType="begin"/>
      </w:r>
      <w:r w:rsidR="009E07B9" w:rsidRPr="00EC0229">
        <w:instrText xml:space="preserve"> REF _Ref430249801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167</w:t>
      </w:r>
      <w:r w:rsidR="009E07B9" w:rsidRPr="00EC0229">
        <w:fldChar w:fldCharType="end"/>
      </w:r>
      <w:r w:rsidR="007151C4" w:rsidRPr="00EC0229">
        <w:t>)</w:t>
      </w:r>
      <w:r w:rsidRPr="00EC0229">
        <w:rPr>
          <w:szCs w:val="24"/>
        </w:rPr>
        <w:t>, which recalls the ecclesiastical ties between York</w:t>
      </w:r>
      <w:r w:rsidR="006B1593" w:rsidRPr="00EC0229">
        <w:rPr>
          <w:szCs w:val="24"/>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szCs w:val="24"/>
        </w:rPr>
        <w:fldChar w:fldCharType="end"/>
      </w:r>
      <w:r w:rsidRPr="00EC0229">
        <w:rPr>
          <w:szCs w:val="24"/>
        </w:rPr>
        <w:t xml:space="preserve"> and East Anglia through use of an animal reminiscent of, but much later than, Aldfrith</w:t>
      </w:r>
      <w:r w:rsidR="00D142DC" w:rsidRPr="00EC0229">
        <w:rPr>
          <w:szCs w:val="24"/>
        </w:rPr>
        <w:fldChar w:fldCharType="begin"/>
      </w:r>
      <w:r w:rsidR="00D142DC" w:rsidRPr="00EC0229">
        <w:instrText xml:space="preserve"> XE "Aldfrith" </w:instrText>
      </w:r>
      <w:r w:rsidR="00D142DC" w:rsidRPr="00EC0229">
        <w:rPr>
          <w:szCs w:val="24"/>
        </w:rPr>
        <w:fldChar w:fldCharType="end"/>
      </w:r>
      <w:r w:rsidRPr="00EC0229">
        <w:rPr>
          <w:szCs w:val="24"/>
        </w:rPr>
        <w:t xml:space="preserve">’s beast. </w:t>
      </w:r>
    </w:p>
    <w:p w14:paraId="180FE01B" w14:textId="77777777" w:rsidR="00582C52" w:rsidRPr="00EC0229" w:rsidRDefault="00582C52" w:rsidP="007600EA">
      <w:pPr>
        <w:pStyle w:val="NoSpacing"/>
        <w:spacing w:line="360" w:lineRule="auto"/>
        <w:jc w:val="center"/>
        <w:rPr>
          <w:szCs w:val="24"/>
        </w:rPr>
      </w:pPr>
      <w:r w:rsidRPr="00EC0229">
        <w:rPr>
          <w:noProof/>
          <w:szCs w:val="24"/>
          <w:lang w:eastAsia="en-GB"/>
        </w:rPr>
        <w:drawing>
          <wp:inline distT="0" distB="0" distL="0" distR="0" wp14:anchorId="23AB6C20" wp14:editId="025FDEFF">
            <wp:extent cx="603504" cy="612648"/>
            <wp:effectExtent l="0" t="0" r="635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8-30 BM 0553_obv.jpg"/>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603504" cy="612648"/>
                    </a:xfrm>
                    <a:prstGeom prst="rect">
                      <a:avLst/>
                    </a:prstGeom>
                  </pic:spPr>
                </pic:pic>
              </a:graphicData>
            </a:graphic>
          </wp:inline>
        </w:drawing>
      </w:r>
      <w:r w:rsidRPr="00EC0229">
        <w:rPr>
          <w:noProof/>
          <w:szCs w:val="24"/>
          <w:lang w:eastAsia="en-GB"/>
        </w:rPr>
        <w:drawing>
          <wp:inline distT="0" distB="0" distL="0" distR="0" wp14:anchorId="32FA882C" wp14:editId="5046C7EB">
            <wp:extent cx="591312" cy="59436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8-30 BM 0553_rev.jpg"/>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591312" cy="594360"/>
                    </a:xfrm>
                    <a:prstGeom prst="rect">
                      <a:avLst/>
                    </a:prstGeom>
                  </pic:spPr>
                </pic:pic>
              </a:graphicData>
            </a:graphic>
          </wp:inline>
        </w:drawing>
      </w:r>
    </w:p>
    <w:p w14:paraId="34153491" w14:textId="3446DBB9" w:rsidR="00582C52" w:rsidRPr="00EC0229" w:rsidRDefault="003977B6" w:rsidP="007600EA">
      <w:pPr>
        <w:pStyle w:val="NoSpacing"/>
        <w:spacing w:line="360" w:lineRule="auto"/>
        <w:jc w:val="center"/>
        <w:rPr>
          <w:sz w:val="20"/>
          <w:szCs w:val="20"/>
        </w:rPr>
      </w:pPr>
      <w:bookmarkStart w:id="906" w:name="_Ref430249780"/>
      <w:bookmarkStart w:id="907" w:name="_Toc468267138"/>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166</w:t>
      </w:r>
      <w:r w:rsidR="00B609E3" w:rsidRPr="00EC0229">
        <w:rPr>
          <w:noProof/>
          <w:sz w:val="20"/>
          <w:szCs w:val="20"/>
        </w:rPr>
        <w:fldChar w:fldCharType="end"/>
      </w:r>
      <w:bookmarkEnd w:id="906"/>
      <w:r w:rsidR="007151C4" w:rsidRPr="00EC0229">
        <w:rPr>
          <w:sz w:val="20"/>
          <w:szCs w:val="20"/>
        </w:rPr>
        <w:t xml:space="preserve">: </w:t>
      </w:r>
      <w:r w:rsidR="00582C52" w:rsidRPr="00EC0229">
        <w:rPr>
          <w:sz w:val="20"/>
          <w:szCs w:val="20"/>
        </w:rPr>
        <w:t xml:space="preserve">A possibly unique Celtic cross sceat bearing an apt </w:t>
      </w:r>
      <w:r w:rsidR="00582C52" w:rsidRPr="00EC0229">
        <w:rPr>
          <w:i/>
          <w:sz w:val="20"/>
          <w:szCs w:val="20"/>
        </w:rPr>
        <w:t>imprimatur</w:t>
      </w:r>
      <w:r w:rsidR="00582C52" w:rsidRPr="00EC0229">
        <w:rPr>
          <w:sz w:val="20"/>
          <w:szCs w:val="20"/>
        </w:rPr>
        <w:t xml:space="preserve"> for St. Hild.</w:t>
      </w:r>
      <w:r w:rsidR="00582C52" w:rsidRPr="00EC0229">
        <w:rPr>
          <w:rStyle w:val="FootnoteReference"/>
          <w:sz w:val="20"/>
          <w:szCs w:val="20"/>
        </w:rPr>
        <w:footnoteReference w:id="1247"/>
      </w:r>
      <w:bookmarkEnd w:id="907"/>
    </w:p>
    <w:p w14:paraId="2C8E6077" w14:textId="77777777" w:rsidR="00582C52" w:rsidRPr="00EC0229" w:rsidRDefault="00582C52" w:rsidP="007600EA">
      <w:pPr>
        <w:pStyle w:val="NoSpacing"/>
        <w:spacing w:line="360" w:lineRule="auto"/>
        <w:jc w:val="center"/>
        <w:rPr>
          <w:sz w:val="20"/>
          <w:szCs w:val="20"/>
        </w:rPr>
      </w:pPr>
    </w:p>
    <w:p w14:paraId="6D177B23" w14:textId="77777777" w:rsidR="00582C52" w:rsidRPr="00EC0229" w:rsidRDefault="00582C52" w:rsidP="007600EA">
      <w:pPr>
        <w:pStyle w:val="NoSpacing"/>
        <w:spacing w:line="360" w:lineRule="auto"/>
        <w:jc w:val="center"/>
        <w:rPr>
          <w:sz w:val="20"/>
          <w:szCs w:val="20"/>
        </w:rPr>
      </w:pPr>
      <w:r w:rsidRPr="00EC0229">
        <w:rPr>
          <w:noProof/>
          <w:sz w:val="20"/>
          <w:szCs w:val="20"/>
          <w:lang w:eastAsia="en-GB"/>
        </w:rPr>
        <w:drawing>
          <wp:inline distT="0" distB="0" distL="0" distR="0" wp14:anchorId="46705B3C" wp14:editId="5F68F6F8">
            <wp:extent cx="597408" cy="569976"/>
            <wp:effectExtent l="0" t="0" r="0" b="190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977_0097rev.jpg"/>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597408" cy="569976"/>
                    </a:xfrm>
                    <a:prstGeom prst="rect">
                      <a:avLst/>
                    </a:prstGeom>
                  </pic:spPr>
                </pic:pic>
              </a:graphicData>
            </a:graphic>
          </wp:inline>
        </w:drawing>
      </w:r>
      <w:r w:rsidRPr="00EC0229">
        <w:rPr>
          <w:noProof/>
          <w:sz w:val="20"/>
          <w:szCs w:val="20"/>
          <w:lang w:eastAsia="en-GB"/>
        </w:rPr>
        <w:drawing>
          <wp:inline distT="0" distB="0" distL="0" distR="0" wp14:anchorId="58D770B1" wp14:editId="5C0B2604">
            <wp:extent cx="600456" cy="585216"/>
            <wp:effectExtent l="0" t="0" r="0" b="571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977_0099rev.jpg"/>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600456" cy="585216"/>
                    </a:xfrm>
                    <a:prstGeom prst="rect">
                      <a:avLst/>
                    </a:prstGeom>
                  </pic:spPr>
                </pic:pic>
              </a:graphicData>
            </a:graphic>
          </wp:inline>
        </w:drawing>
      </w:r>
      <w:r w:rsidRPr="00EC0229">
        <w:rPr>
          <w:noProof/>
          <w:sz w:val="20"/>
          <w:szCs w:val="20"/>
          <w:lang w:eastAsia="en-GB"/>
        </w:rPr>
        <w:tab/>
      </w:r>
      <w:r w:rsidRPr="00EC0229">
        <w:rPr>
          <w:noProof/>
          <w:sz w:val="20"/>
          <w:szCs w:val="20"/>
          <w:lang w:eastAsia="en-GB"/>
        </w:rPr>
        <w:tab/>
      </w:r>
      <w:r w:rsidRPr="00EC0229">
        <w:rPr>
          <w:noProof/>
          <w:sz w:val="20"/>
          <w:szCs w:val="20"/>
          <w:lang w:eastAsia="en-GB"/>
        </w:rPr>
        <w:drawing>
          <wp:inline distT="0" distB="0" distL="0" distR="0" wp14:anchorId="32BE60FD" wp14:editId="4C9B9536">
            <wp:extent cx="533400" cy="548640"/>
            <wp:effectExtent l="0" t="0" r="0" b="381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977_0100rev.jpg"/>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533400" cy="548640"/>
                    </a:xfrm>
                    <a:prstGeom prst="rect">
                      <a:avLst/>
                    </a:prstGeom>
                  </pic:spPr>
                </pic:pic>
              </a:graphicData>
            </a:graphic>
          </wp:inline>
        </w:drawing>
      </w:r>
    </w:p>
    <w:p w14:paraId="38DBD99D" w14:textId="4307B455" w:rsidR="00582C52" w:rsidRPr="00EC0229" w:rsidRDefault="003977B6" w:rsidP="007600EA">
      <w:pPr>
        <w:pStyle w:val="NoSpacing"/>
        <w:spacing w:line="360" w:lineRule="auto"/>
        <w:jc w:val="center"/>
        <w:rPr>
          <w:sz w:val="20"/>
          <w:szCs w:val="20"/>
        </w:rPr>
      </w:pPr>
      <w:bookmarkStart w:id="908" w:name="_Ref430249801"/>
      <w:bookmarkStart w:id="909" w:name="_Toc468267139"/>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167</w:t>
      </w:r>
      <w:r w:rsidR="00B609E3" w:rsidRPr="00EC0229">
        <w:rPr>
          <w:noProof/>
          <w:sz w:val="20"/>
          <w:szCs w:val="20"/>
        </w:rPr>
        <w:fldChar w:fldCharType="end"/>
      </w:r>
      <w:bookmarkEnd w:id="908"/>
      <w:r w:rsidR="007151C4" w:rsidRPr="00EC0229">
        <w:rPr>
          <w:sz w:val="20"/>
          <w:szCs w:val="20"/>
        </w:rPr>
        <w:t xml:space="preserve">: </w:t>
      </w:r>
      <w:r w:rsidR="00582C52" w:rsidRPr="00EC0229">
        <w:rPr>
          <w:sz w:val="20"/>
          <w:szCs w:val="20"/>
        </w:rPr>
        <w:t>Reverses of EMC</w:t>
      </w:r>
      <w:r w:rsidR="008960AE" w:rsidRPr="00EC0229">
        <w:rPr>
          <w:sz w:val="20"/>
          <w:szCs w:val="20"/>
        </w:rPr>
        <w:fldChar w:fldCharType="begin"/>
      </w:r>
      <w:r w:rsidR="008960AE" w:rsidRPr="00EC0229">
        <w:rPr>
          <w:sz w:val="20"/>
          <w:szCs w:val="20"/>
        </w:rPr>
        <w:instrText xml:space="preserve"> XE "EMC" </w:instrText>
      </w:r>
      <w:r w:rsidR="008960AE" w:rsidRPr="00EC0229">
        <w:rPr>
          <w:sz w:val="20"/>
          <w:szCs w:val="20"/>
        </w:rPr>
        <w:fldChar w:fldCharType="end"/>
      </w:r>
      <w:r w:rsidR="00582C52" w:rsidRPr="00EC0229">
        <w:rPr>
          <w:sz w:val="20"/>
          <w:szCs w:val="20"/>
        </w:rPr>
        <w:t xml:space="preserve"> 1977.0097, 1977.0099 and 1977.0100</w:t>
      </w:r>
      <w:bookmarkEnd w:id="909"/>
    </w:p>
    <w:p w14:paraId="65382517" w14:textId="77777777" w:rsidR="00582C52" w:rsidRPr="00EC0229" w:rsidRDefault="00582C52" w:rsidP="007600EA">
      <w:pPr>
        <w:pStyle w:val="NoSpacing"/>
        <w:spacing w:line="360" w:lineRule="auto"/>
        <w:jc w:val="center"/>
        <w:rPr>
          <w:sz w:val="20"/>
          <w:szCs w:val="20"/>
        </w:rPr>
      </w:pPr>
    </w:p>
    <w:p w14:paraId="35F3C104" w14:textId="4F8D66B7" w:rsidR="00582C52" w:rsidRPr="00EC0229" w:rsidRDefault="00582C52" w:rsidP="007600EA">
      <w:pPr>
        <w:pStyle w:val="NoSpacing"/>
        <w:spacing w:line="360" w:lineRule="auto"/>
        <w:rPr>
          <w:szCs w:val="24"/>
        </w:rPr>
      </w:pPr>
      <w:r w:rsidRPr="00EC0229">
        <w:rPr>
          <w:szCs w:val="24"/>
        </w:rPr>
        <w:t>Clearly, other artefactual finds of this period indicate activity associated with the monastery, particularly incised stone crosses and styli,</w:t>
      </w:r>
      <w:r w:rsidRPr="00EC0229">
        <w:rPr>
          <w:rStyle w:val="FootnoteReference"/>
          <w:szCs w:val="24"/>
        </w:rPr>
        <w:footnoteReference w:id="1248"/>
      </w:r>
      <w:r w:rsidRPr="00EC0229">
        <w:rPr>
          <w:szCs w:val="24"/>
        </w:rPr>
        <w:t xml:space="preserve"> but also items of a domestic and personal nature, contemporary with the coinage</w:t>
      </w:r>
      <w:r w:rsidR="007151C4" w:rsidRPr="00EC0229">
        <w:rPr>
          <w:szCs w:val="24"/>
        </w:rPr>
        <w:t xml:space="preserve"> </w:t>
      </w:r>
      <w:r w:rsidR="007151C4" w:rsidRPr="00EC0229">
        <w:t>(</w:t>
      </w:r>
      <w:r w:rsidR="009E07B9" w:rsidRPr="00EC0229">
        <w:fldChar w:fldCharType="begin"/>
      </w:r>
      <w:r w:rsidR="009E07B9" w:rsidRPr="00EC0229">
        <w:instrText xml:space="preserve"> REF _Ref430249810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168</w:t>
      </w:r>
      <w:r w:rsidR="009E07B9" w:rsidRPr="00EC0229">
        <w:fldChar w:fldCharType="end"/>
      </w:r>
      <w:r w:rsidR="007151C4" w:rsidRPr="00EC0229">
        <w:t>)</w:t>
      </w:r>
      <w:r w:rsidRPr="00EC0229">
        <w:rPr>
          <w:szCs w:val="24"/>
        </w:rPr>
        <w:t>.</w:t>
      </w:r>
    </w:p>
    <w:p w14:paraId="6340923D" w14:textId="77777777" w:rsidR="00582C52" w:rsidRPr="00EC0229" w:rsidRDefault="00582C52" w:rsidP="007600EA">
      <w:pPr>
        <w:pStyle w:val="NoSpacing"/>
        <w:spacing w:line="360" w:lineRule="auto"/>
        <w:jc w:val="center"/>
        <w:rPr>
          <w:szCs w:val="24"/>
        </w:rPr>
      </w:pPr>
      <w:r w:rsidRPr="00EC0229">
        <w:rPr>
          <w:noProof/>
          <w:szCs w:val="24"/>
          <w:lang w:eastAsia="en-GB"/>
        </w:rPr>
        <w:lastRenderedPageBreak/>
        <w:drawing>
          <wp:inline distT="0" distB="0" distL="0" distR="0" wp14:anchorId="07B82784" wp14:editId="3ED09FD6">
            <wp:extent cx="1704346" cy="927735"/>
            <wp:effectExtent l="0" t="0" r="0" b="571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itby Abbey - runic comb v2.jpg"/>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1711671" cy="931722"/>
                    </a:xfrm>
                    <a:prstGeom prst="rect">
                      <a:avLst/>
                    </a:prstGeom>
                  </pic:spPr>
                </pic:pic>
              </a:graphicData>
            </a:graphic>
          </wp:inline>
        </w:drawing>
      </w:r>
    </w:p>
    <w:p w14:paraId="17B77E1F" w14:textId="4AD3266F" w:rsidR="00565E13" w:rsidRPr="00EC0229" w:rsidRDefault="003977B6" w:rsidP="007600EA">
      <w:pPr>
        <w:pStyle w:val="NoSpacing"/>
        <w:spacing w:line="360" w:lineRule="auto"/>
        <w:jc w:val="center"/>
        <w:rPr>
          <w:sz w:val="20"/>
          <w:szCs w:val="20"/>
        </w:rPr>
      </w:pPr>
      <w:bookmarkStart w:id="910" w:name="_Ref430249810"/>
      <w:bookmarkStart w:id="911" w:name="_Toc468267140"/>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168</w:t>
      </w:r>
      <w:r w:rsidR="00B609E3" w:rsidRPr="00EC0229">
        <w:rPr>
          <w:noProof/>
          <w:sz w:val="20"/>
          <w:szCs w:val="20"/>
        </w:rPr>
        <w:fldChar w:fldCharType="end"/>
      </w:r>
      <w:bookmarkEnd w:id="910"/>
      <w:r w:rsidR="007151C4" w:rsidRPr="00EC0229">
        <w:rPr>
          <w:sz w:val="20"/>
          <w:szCs w:val="20"/>
        </w:rPr>
        <w:t xml:space="preserve">: </w:t>
      </w:r>
      <w:r w:rsidR="00582C52" w:rsidRPr="00EC0229">
        <w:rPr>
          <w:sz w:val="20"/>
          <w:szCs w:val="20"/>
        </w:rPr>
        <w:t>Comb with runic inscription</w:t>
      </w:r>
      <w:bookmarkEnd w:id="911"/>
    </w:p>
    <w:p w14:paraId="3F371B8E" w14:textId="7725E54E" w:rsidR="00582C52" w:rsidRPr="00EC0229" w:rsidRDefault="00582C52" w:rsidP="007600EA">
      <w:pPr>
        <w:pStyle w:val="NoSpacing"/>
        <w:spacing w:line="360" w:lineRule="auto"/>
        <w:jc w:val="center"/>
        <w:rPr>
          <w:sz w:val="20"/>
          <w:szCs w:val="20"/>
        </w:rPr>
      </w:pPr>
      <w:r w:rsidRPr="00EC0229">
        <w:rPr>
          <w:sz w:val="20"/>
          <w:szCs w:val="20"/>
        </w:rPr>
        <w:t>‘...God look on us, God Almighty help (the) kindred spirit...’</w:t>
      </w:r>
    </w:p>
    <w:p w14:paraId="4028F7EB" w14:textId="00F43136" w:rsidR="00582C52" w:rsidRPr="00EC0229" w:rsidRDefault="00582C52" w:rsidP="007600EA">
      <w:pPr>
        <w:pStyle w:val="NoSpacing"/>
        <w:spacing w:line="360" w:lineRule="auto"/>
        <w:jc w:val="center"/>
        <w:rPr>
          <w:sz w:val="20"/>
          <w:szCs w:val="20"/>
        </w:rPr>
      </w:pPr>
      <w:r w:rsidRPr="00EC0229">
        <w:rPr>
          <w:sz w:val="20"/>
          <w:szCs w:val="20"/>
        </w:rPr>
        <w:t>Found Whitby</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Whitby</w:instrText>
      </w:r>
      <w:r w:rsidR="006B1593" w:rsidRPr="00EC0229">
        <w:rPr>
          <w:sz w:val="20"/>
          <w:szCs w:val="20"/>
        </w:rPr>
        <w:instrText xml:space="preserve">" </w:instrText>
      </w:r>
      <w:r w:rsidR="006B1593" w:rsidRPr="00EC0229">
        <w:rPr>
          <w:sz w:val="20"/>
          <w:szCs w:val="20"/>
        </w:rPr>
        <w:fldChar w:fldCharType="end"/>
      </w:r>
      <w:r w:rsidRPr="00EC0229">
        <w:rPr>
          <w:sz w:val="20"/>
          <w:szCs w:val="20"/>
        </w:rPr>
        <w:t>, 1867 (Whitby Museum).</w:t>
      </w:r>
      <w:r w:rsidRPr="00EC0229">
        <w:rPr>
          <w:rStyle w:val="FootnoteReference"/>
          <w:sz w:val="20"/>
          <w:szCs w:val="20"/>
        </w:rPr>
        <w:footnoteReference w:id="1249"/>
      </w:r>
    </w:p>
    <w:p w14:paraId="7EBBCA55" w14:textId="77777777" w:rsidR="00582C52" w:rsidRPr="00EC0229" w:rsidRDefault="00582C52" w:rsidP="007600EA">
      <w:pPr>
        <w:pStyle w:val="NoSpacing"/>
        <w:spacing w:line="360" w:lineRule="auto"/>
        <w:jc w:val="center"/>
        <w:rPr>
          <w:sz w:val="20"/>
          <w:szCs w:val="20"/>
        </w:rPr>
      </w:pPr>
    </w:p>
    <w:p w14:paraId="054E2887" w14:textId="1D4862E0" w:rsidR="00582C52" w:rsidRPr="00EC0229" w:rsidRDefault="002E5552" w:rsidP="007600EA">
      <w:pPr>
        <w:pStyle w:val="NoSpacing"/>
        <w:spacing w:line="360" w:lineRule="auto"/>
        <w:rPr>
          <w:szCs w:val="24"/>
        </w:rPr>
      </w:pPr>
      <w:r w:rsidRPr="00EC0229">
        <w:rPr>
          <w:szCs w:val="24"/>
        </w:rPr>
        <w:t>T</w:t>
      </w:r>
      <w:r w:rsidR="00582C52" w:rsidRPr="00EC0229">
        <w:rPr>
          <w:szCs w:val="24"/>
        </w:rPr>
        <w:t>he paucity of coins for Osberht</w:t>
      </w:r>
      <w:r w:rsidR="00D142DC" w:rsidRPr="00EC0229">
        <w:rPr>
          <w:szCs w:val="24"/>
        </w:rPr>
        <w:fldChar w:fldCharType="begin"/>
      </w:r>
      <w:r w:rsidR="00D142DC" w:rsidRPr="00EC0229">
        <w:instrText xml:space="preserve"> XE "Osberht" </w:instrText>
      </w:r>
      <w:r w:rsidR="00D142DC" w:rsidRPr="00EC0229">
        <w:rPr>
          <w:szCs w:val="24"/>
        </w:rPr>
        <w:fldChar w:fldCharType="end"/>
      </w:r>
      <w:r w:rsidR="00582C52" w:rsidRPr="00EC0229">
        <w:rPr>
          <w:szCs w:val="24"/>
        </w:rPr>
        <w:t xml:space="preserve"> and absence of those for Wulfhere</w:t>
      </w:r>
      <w:r w:rsidR="00D142DC" w:rsidRPr="00EC0229">
        <w:rPr>
          <w:szCs w:val="24"/>
        </w:rPr>
        <w:fldChar w:fldCharType="begin"/>
      </w:r>
      <w:r w:rsidR="00D142DC" w:rsidRPr="00EC0229">
        <w:instrText xml:space="preserve"> XE "Wulfhere" </w:instrText>
      </w:r>
      <w:r w:rsidR="00D142DC" w:rsidRPr="00EC0229">
        <w:rPr>
          <w:szCs w:val="24"/>
        </w:rPr>
        <w:fldChar w:fldCharType="end"/>
      </w:r>
      <w:r w:rsidR="00582C52" w:rsidRPr="00EC0229">
        <w:rPr>
          <w:szCs w:val="24"/>
        </w:rPr>
        <w:t xml:space="preserve"> </w:t>
      </w:r>
      <w:r w:rsidRPr="00EC0229">
        <w:rPr>
          <w:szCs w:val="24"/>
        </w:rPr>
        <w:t xml:space="preserve">is interpreted </w:t>
      </w:r>
      <w:r w:rsidR="00582C52" w:rsidRPr="00EC0229">
        <w:rPr>
          <w:szCs w:val="24"/>
        </w:rPr>
        <w:t>as an abandonment of the site in the early 850s, possibly related to the general vulnerability of this coastal site to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00582C52" w:rsidRPr="00EC0229">
        <w:rPr>
          <w:szCs w:val="24"/>
        </w:rPr>
        <w:t xml:space="preserve"> attack rather than directly as a result of the later activities of the </w:t>
      </w:r>
      <w:r w:rsidR="00582C52" w:rsidRPr="00EC0229">
        <w:rPr>
          <w:i/>
          <w:szCs w:val="24"/>
        </w:rPr>
        <w:t>micel here</w:t>
      </w:r>
      <w:r w:rsidR="008960AE" w:rsidRPr="00EC0229">
        <w:rPr>
          <w:i/>
          <w:szCs w:val="24"/>
        </w:rPr>
        <w:fldChar w:fldCharType="begin"/>
      </w:r>
      <w:r w:rsidR="008960AE" w:rsidRPr="00EC0229">
        <w:instrText xml:space="preserve"> XE "</w:instrText>
      </w:r>
      <w:r w:rsidR="008960AE" w:rsidRPr="00EC0229">
        <w:rPr>
          <w:rFonts w:cs="Times New Roman"/>
          <w:i/>
          <w:color w:val="000000" w:themeColor="text1"/>
          <w:szCs w:val="24"/>
        </w:rPr>
        <w:instrText>micel here</w:instrText>
      </w:r>
      <w:r w:rsidR="008960AE" w:rsidRPr="00EC0229">
        <w:instrText xml:space="preserve">" </w:instrText>
      </w:r>
      <w:r w:rsidR="008960AE" w:rsidRPr="00EC0229">
        <w:rPr>
          <w:i/>
          <w:szCs w:val="24"/>
        </w:rPr>
        <w:fldChar w:fldCharType="end"/>
      </w:r>
      <w:r w:rsidR="00582C52" w:rsidRPr="00EC0229">
        <w:rPr>
          <w:i/>
          <w:szCs w:val="24"/>
        </w:rPr>
        <w:t>.</w:t>
      </w:r>
      <w:r w:rsidR="00582C52" w:rsidRPr="00EC0229">
        <w:rPr>
          <w:szCs w:val="24"/>
        </w:rPr>
        <w:t xml:space="preserve"> Such abandonment may not have been short-lived as there are no pennies – or other artefacts - to indicate a restoration of activity until after the Norman Conquest.</w:t>
      </w:r>
    </w:p>
    <w:p w14:paraId="22756A15" w14:textId="77777777" w:rsidR="00582C52" w:rsidRPr="00EC0229" w:rsidRDefault="00582C52" w:rsidP="007600EA">
      <w:pPr>
        <w:pStyle w:val="NoSpacing"/>
        <w:spacing w:line="360" w:lineRule="auto"/>
        <w:rPr>
          <w:szCs w:val="24"/>
        </w:rPr>
      </w:pPr>
    </w:p>
    <w:p w14:paraId="505220AA" w14:textId="5260FAF5" w:rsidR="00C57DCF" w:rsidRPr="00EC0229" w:rsidRDefault="00582C52" w:rsidP="007600EA">
      <w:pPr>
        <w:pStyle w:val="Heading4"/>
        <w:spacing w:line="360" w:lineRule="auto"/>
      </w:pPr>
      <w:bookmarkStart w:id="912" w:name="Lindisfarne"/>
      <w:bookmarkStart w:id="913" w:name="_Toc468266942"/>
      <w:bookmarkEnd w:id="912"/>
      <w:r w:rsidRPr="00624DF5">
        <w:rPr>
          <w:b/>
        </w:rPr>
        <w:t>Lindisfarne</w:t>
      </w:r>
      <w:r w:rsidR="006B1593" w:rsidRPr="00624DF5">
        <w:rPr>
          <w:b/>
        </w:rPr>
        <w:fldChar w:fldCharType="begin"/>
      </w:r>
      <w:r w:rsidR="006B1593" w:rsidRPr="00624DF5">
        <w:rPr>
          <w:b/>
        </w:rPr>
        <w:instrText xml:space="preserve"> XE "</w:instrText>
      </w:r>
      <w:r w:rsidR="006B1593" w:rsidRPr="00624DF5">
        <w:rPr>
          <w:rStyle w:val="Hyperlink"/>
          <w:b/>
          <w:noProof/>
          <w:u w:val="none"/>
        </w:rPr>
        <w:instrText>Lindisfarne</w:instrText>
      </w:r>
      <w:r w:rsidR="006B1593" w:rsidRPr="00624DF5">
        <w:rPr>
          <w:b/>
        </w:rPr>
        <w:instrText xml:space="preserve">" </w:instrText>
      </w:r>
      <w:r w:rsidR="006B1593" w:rsidRPr="00624DF5">
        <w:rPr>
          <w:b/>
        </w:rPr>
        <w:fldChar w:fldCharType="end"/>
      </w:r>
      <w:r w:rsidR="006E47ED" w:rsidRPr="00EC0229">
        <w:rPr>
          <w:rStyle w:val="FootnoteReference"/>
        </w:rPr>
        <w:t xml:space="preserve"> </w:t>
      </w:r>
      <w:r w:rsidRPr="00624DF5">
        <w:rPr>
          <w:rStyle w:val="FootnoteReference"/>
        </w:rPr>
        <w:footnoteReference w:id="1250"/>
      </w:r>
      <w:bookmarkEnd w:id="913"/>
      <w:r w:rsidRPr="00624DF5">
        <w:t xml:space="preserve"> </w:t>
      </w:r>
    </w:p>
    <w:p w14:paraId="21212274" w14:textId="1DD5AA46" w:rsidR="00582C52" w:rsidRPr="00EC0229" w:rsidRDefault="006C2237" w:rsidP="007600EA">
      <w:pPr>
        <w:pStyle w:val="NoSpacing"/>
        <w:spacing w:line="360" w:lineRule="auto"/>
        <w:jc w:val="right"/>
        <w:rPr>
          <w:sz w:val="20"/>
          <w:szCs w:val="20"/>
        </w:rPr>
      </w:pPr>
      <w:r w:rsidRPr="00EC0229">
        <w:rPr>
          <w:sz w:val="20"/>
          <w:szCs w:val="20"/>
        </w:rPr>
        <w:t xml:space="preserve"> </w:t>
      </w:r>
      <w:r w:rsidR="00582C52" w:rsidRPr="00EC0229">
        <w:rPr>
          <w:sz w:val="20"/>
          <w:szCs w:val="20"/>
        </w:rPr>
        <w:t>‘…fiery dragons were seen flying in the sky.’</w:t>
      </w:r>
    </w:p>
    <w:p w14:paraId="0F33728B" w14:textId="77777777" w:rsidR="00582C52" w:rsidRPr="00EC0229" w:rsidRDefault="00582C52" w:rsidP="007600EA">
      <w:pPr>
        <w:pStyle w:val="NoSpacing"/>
        <w:spacing w:line="360" w:lineRule="auto"/>
        <w:jc w:val="right"/>
        <w:rPr>
          <w:sz w:val="20"/>
          <w:szCs w:val="20"/>
        </w:rPr>
      </w:pPr>
      <w:r w:rsidRPr="00EC0229">
        <w:rPr>
          <w:i/>
          <w:sz w:val="20"/>
          <w:szCs w:val="20"/>
        </w:rPr>
        <w:t>ASC</w:t>
      </w:r>
      <w:r w:rsidRPr="00EC0229">
        <w:rPr>
          <w:sz w:val="20"/>
          <w:szCs w:val="20"/>
        </w:rPr>
        <w:t>, 793.</w:t>
      </w:r>
    </w:p>
    <w:p w14:paraId="18E8549D" w14:textId="17876272" w:rsidR="00050552" w:rsidRPr="00EC0229" w:rsidRDefault="00050552" w:rsidP="007600EA">
      <w:pPr>
        <w:pStyle w:val="NoSpacing"/>
        <w:spacing w:line="360" w:lineRule="auto"/>
        <w:jc w:val="center"/>
        <w:rPr>
          <w:szCs w:val="24"/>
        </w:rPr>
      </w:pPr>
      <w:r w:rsidRPr="00EC0229">
        <w:rPr>
          <w:noProof/>
          <w:szCs w:val="24"/>
          <w:lang w:eastAsia="en-GB"/>
        </w:rPr>
        <w:drawing>
          <wp:inline distT="0" distB="0" distL="0" distR="0" wp14:anchorId="3FD87A7E" wp14:editId="494FCD71">
            <wp:extent cx="2026920" cy="160442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indisfarne Stone.jpg"/>
                    <pic:cNvPicPr/>
                  </pic:nvPicPr>
                  <pic:blipFill>
                    <a:blip r:embed="rId511">
                      <a:extLst>
                        <a:ext uri="{28A0092B-C50C-407E-A947-70E740481C1C}">
                          <a14:useLocalDpi xmlns:a14="http://schemas.microsoft.com/office/drawing/2010/main" val="0"/>
                        </a:ext>
                      </a:extLst>
                    </a:blip>
                    <a:stretch>
                      <a:fillRect/>
                    </a:stretch>
                  </pic:blipFill>
                  <pic:spPr>
                    <a:xfrm>
                      <a:off x="0" y="0"/>
                      <a:ext cx="2044609" cy="1618424"/>
                    </a:xfrm>
                    <a:prstGeom prst="rect">
                      <a:avLst/>
                    </a:prstGeom>
                  </pic:spPr>
                </pic:pic>
              </a:graphicData>
            </a:graphic>
          </wp:inline>
        </w:drawing>
      </w:r>
    </w:p>
    <w:p w14:paraId="1158053E" w14:textId="2005D7CD" w:rsidR="00941A45" w:rsidRDefault="003977B6" w:rsidP="007600EA">
      <w:pPr>
        <w:pStyle w:val="NoSpacing"/>
        <w:spacing w:line="360" w:lineRule="auto"/>
        <w:jc w:val="center"/>
        <w:rPr>
          <w:sz w:val="20"/>
          <w:szCs w:val="20"/>
        </w:rPr>
      </w:pPr>
      <w:bookmarkStart w:id="914" w:name="_Ref431891236"/>
      <w:bookmarkStart w:id="915" w:name="_Toc468267141"/>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169</w:t>
      </w:r>
      <w:r w:rsidR="00B609E3" w:rsidRPr="00EC0229">
        <w:rPr>
          <w:noProof/>
          <w:sz w:val="20"/>
          <w:szCs w:val="20"/>
        </w:rPr>
        <w:fldChar w:fldCharType="end"/>
      </w:r>
      <w:bookmarkEnd w:id="914"/>
      <w:r w:rsidRPr="00EC0229">
        <w:rPr>
          <w:sz w:val="20"/>
          <w:szCs w:val="20"/>
        </w:rPr>
        <w:t xml:space="preserve">: </w:t>
      </w:r>
      <w:r w:rsidR="00050552" w:rsidRPr="00EC0229">
        <w:rPr>
          <w:sz w:val="20"/>
          <w:szCs w:val="20"/>
        </w:rPr>
        <w:t>The Lindisfarne</w:t>
      </w:r>
      <w:r w:rsidR="006B1593" w:rsidRPr="00EC0229">
        <w:rPr>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Lindisfarne</w:instrText>
      </w:r>
      <w:r w:rsidR="006B1593" w:rsidRPr="00EC0229">
        <w:rPr>
          <w:sz w:val="20"/>
          <w:szCs w:val="20"/>
        </w:rPr>
        <w:instrText xml:space="preserve">" </w:instrText>
      </w:r>
      <w:r w:rsidR="006B1593" w:rsidRPr="00EC0229">
        <w:rPr>
          <w:sz w:val="20"/>
          <w:szCs w:val="20"/>
        </w:rPr>
        <w:fldChar w:fldCharType="end"/>
      </w:r>
      <w:r w:rsidR="00050552" w:rsidRPr="00EC0229">
        <w:rPr>
          <w:sz w:val="20"/>
          <w:szCs w:val="20"/>
        </w:rPr>
        <w:t xml:space="preserve"> Stone</w:t>
      </w:r>
      <w:bookmarkEnd w:id="915"/>
      <w:r w:rsidR="00050552" w:rsidRPr="00EC0229">
        <w:rPr>
          <w:sz w:val="20"/>
          <w:szCs w:val="20"/>
        </w:rPr>
        <w:t xml:space="preserve"> </w:t>
      </w:r>
    </w:p>
    <w:p w14:paraId="7E26D3F1" w14:textId="4E403C59" w:rsidR="00050552" w:rsidRPr="00EC0229" w:rsidRDefault="00050552" w:rsidP="007600EA">
      <w:pPr>
        <w:pStyle w:val="NoSpacing"/>
        <w:spacing w:line="360" w:lineRule="auto"/>
        <w:jc w:val="center"/>
        <w:rPr>
          <w:sz w:val="20"/>
          <w:szCs w:val="20"/>
        </w:rPr>
      </w:pPr>
      <w:r w:rsidRPr="00EC0229">
        <w:rPr>
          <w:sz w:val="20"/>
          <w:szCs w:val="20"/>
        </w:rPr>
        <w:t>(</w:t>
      </w:r>
      <w:r w:rsidR="009E07B9" w:rsidRPr="00EC0229">
        <w:rPr>
          <w:sz w:val="20"/>
          <w:szCs w:val="20"/>
        </w:rPr>
        <w:t xml:space="preserve">Courtesy </w:t>
      </w:r>
      <w:r w:rsidRPr="00EC0229">
        <w:rPr>
          <w:sz w:val="20"/>
          <w:szCs w:val="20"/>
        </w:rPr>
        <w:t>BM)</w:t>
      </w:r>
    </w:p>
    <w:p w14:paraId="71102BA7" w14:textId="77777777" w:rsidR="00EE3FE5" w:rsidRPr="00EC0229" w:rsidRDefault="00EE3FE5" w:rsidP="007600EA">
      <w:pPr>
        <w:pStyle w:val="NoSpacing"/>
        <w:spacing w:line="360" w:lineRule="auto"/>
      </w:pPr>
    </w:p>
    <w:p w14:paraId="43BDED07" w14:textId="7C8BFFF2" w:rsidR="00582C52" w:rsidRPr="00EC0229" w:rsidRDefault="00582C52" w:rsidP="006C2237">
      <w:pPr>
        <w:spacing w:line="360" w:lineRule="auto"/>
      </w:pPr>
      <w:r w:rsidRPr="00EC0229">
        <w:rPr>
          <w:szCs w:val="24"/>
        </w:rPr>
        <w:t>Lindisfarne</w:t>
      </w:r>
      <w:r w:rsidR="006B1593" w:rsidRPr="00EC0229">
        <w:rPr>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szCs w:val="24"/>
        </w:rPr>
        <w:fldChar w:fldCharType="end"/>
      </w:r>
      <w:r w:rsidRPr="00EC0229">
        <w:rPr>
          <w:szCs w:val="24"/>
        </w:rPr>
        <w:t xml:space="preserve"> is a tidal island of 400 hectares, across the bay from Bamburgh</w:t>
      </w:r>
      <w:r w:rsidR="006C2237" w:rsidRPr="00EC0229">
        <w:rPr>
          <w:szCs w:val="24"/>
        </w:rPr>
        <w:t xml:space="preserve">, </w:t>
      </w:r>
      <w:r w:rsidR="006C2237" w:rsidRPr="00EC0229">
        <w:t>(</w:t>
      </w:r>
      <w:r w:rsidR="006C2237" w:rsidRPr="00EC0229">
        <w:rPr>
          <w:i/>
        </w:rPr>
        <w:t>Map</w:t>
      </w:r>
      <w:r w:rsidR="006C2237" w:rsidRPr="00EC0229">
        <w:rPr>
          <w:i/>
        </w:rPr>
        <w:fldChar w:fldCharType="begin"/>
      </w:r>
      <w:r w:rsidR="006C2237" w:rsidRPr="00EC0229">
        <w:rPr>
          <w:i/>
        </w:rPr>
        <w:instrText xml:space="preserve"> XE "Map" </w:instrText>
      </w:r>
      <w:r w:rsidR="006C2237" w:rsidRPr="00EC0229">
        <w:rPr>
          <w:i/>
        </w:rPr>
        <w:fldChar w:fldCharType="end"/>
      </w:r>
      <w:r w:rsidR="006C2237" w:rsidRPr="00EC0229">
        <w:rPr>
          <w:i/>
        </w:rPr>
        <w:t xml:space="preserve"> 8.26</w:t>
      </w:r>
      <w:r w:rsidR="006C2237" w:rsidRPr="00EC0229">
        <w:t>)</w:t>
      </w:r>
      <w:r w:rsidR="006B1593" w:rsidRPr="00EC0229">
        <w:rPr>
          <w:szCs w:val="24"/>
        </w:rPr>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rPr>
          <w:szCs w:val="24"/>
        </w:rPr>
        <w:fldChar w:fldCharType="end"/>
      </w:r>
      <w:r w:rsidRPr="00EC0229">
        <w:rPr>
          <w:szCs w:val="24"/>
        </w:rPr>
        <w:t>. Under the auspices of Oswald</w:t>
      </w:r>
      <w:r w:rsidR="00F66CEB" w:rsidRPr="00EC0229">
        <w:rPr>
          <w:szCs w:val="24"/>
        </w:rPr>
        <w:fldChar w:fldCharType="begin"/>
      </w:r>
      <w:r w:rsidR="00F66CEB" w:rsidRPr="00EC0229">
        <w:instrText xml:space="preserve"> XE "</w:instrText>
      </w:r>
      <w:r w:rsidR="00F66CEB" w:rsidRPr="00EC0229">
        <w:rPr>
          <w:rFonts w:cs="Times New Roman"/>
          <w:szCs w:val="24"/>
        </w:rPr>
        <w:instrText>Oswald</w:instrText>
      </w:r>
      <w:r w:rsidR="00F66CEB" w:rsidRPr="00EC0229">
        <w:instrText xml:space="preserve">" </w:instrText>
      </w:r>
      <w:r w:rsidR="00F66CEB" w:rsidRPr="00EC0229">
        <w:rPr>
          <w:szCs w:val="24"/>
        </w:rPr>
        <w:fldChar w:fldCharType="end"/>
      </w:r>
      <w:r w:rsidRPr="00EC0229">
        <w:rPr>
          <w:szCs w:val="24"/>
        </w:rPr>
        <w:t xml:space="preserve">, Aidan of Iona founded the monastery around 634. The episcopal succession of Finian, Cuthbert </w:t>
      </w:r>
      <w:r w:rsidR="00862F15" w:rsidRPr="00EC0229">
        <w:rPr>
          <w:szCs w:val="24"/>
        </w:rPr>
        <w:t>and</w:t>
      </w:r>
      <w:r w:rsidRPr="00EC0229">
        <w:rPr>
          <w:szCs w:val="24"/>
        </w:rPr>
        <w:t xml:space="preserve"> Eadfrith in </w:t>
      </w:r>
      <w:r w:rsidR="00F139AF" w:rsidRPr="00EC0229">
        <w:rPr>
          <w:szCs w:val="24"/>
        </w:rPr>
        <w:t>the seventh century</w:t>
      </w:r>
      <w:r w:rsidRPr="00EC0229">
        <w:rPr>
          <w:szCs w:val="24"/>
        </w:rPr>
        <w:t xml:space="preserve"> and Eadberht</w:t>
      </w:r>
      <w:r w:rsidR="00D142DC" w:rsidRPr="00EC0229">
        <w:rPr>
          <w:szCs w:val="24"/>
        </w:rPr>
        <w:fldChar w:fldCharType="begin"/>
      </w:r>
      <w:r w:rsidR="00D142DC" w:rsidRPr="00EC0229">
        <w:instrText xml:space="preserve"> XE "Eadberht" </w:instrText>
      </w:r>
      <w:r w:rsidR="00D142DC" w:rsidRPr="00EC0229">
        <w:rPr>
          <w:szCs w:val="24"/>
        </w:rPr>
        <w:fldChar w:fldCharType="end"/>
      </w:r>
      <w:r w:rsidRPr="00EC0229">
        <w:rPr>
          <w:szCs w:val="24"/>
        </w:rPr>
        <w:t xml:space="preserve"> in the eighth, ensured that this was the base for conversion activity in the north of England with missions </w:t>
      </w:r>
      <w:r w:rsidRPr="00EC0229">
        <w:rPr>
          <w:szCs w:val="24"/>
        </w:rPr>
        <w:lastRenderedPageBreak/>
        <w:t>travelling far afield.</w:t>
      </w:r>
      <w:r w:rsidR="003620E4" w:rsidRPr="00EC0229">
        <w:rPr>
          <w:szCs w:val="24"/>
        </w:rPr>
        <w:t xml:space="preserve"> Though Wilfrid gain</w:t>
      </w:r>
      <w:r w:rsidR="00207F2E" w:rsidRPr="00EC0229">
        <w:rPr>
          <w:szCs w:val="24"/>
        </w:rPr>
        <w:t>ed</w:t>
      </w:r>
      <w:r w:rsidR="003620E4" w:rsidRPr="00EC0229">
        <w:rPr>
          <w:szCs w:val="24"/>
        </w:rPr>
        <w:t xml:space="preserve"> possession on Cuthbert’s death</w:t>
      </w:r>
      <w:r w:rsidR="00207F2E" w:rsidRPr="00EC0229">
        <w:rPr>
          <w:szCs w:val="24"/>
        </w:rPr>
        <w:t xml:space="preserve"> in 687</w:t>
      </w:r>
      <w:r w:rsidR="003620E4" w:rsidRPr="00EC0229">
        <w:rPr>
          <w:szCs w:val="24"/>
        </w:rPr>
        <w:t>, the community of St Cuthbert was resilient, even to the Vikings.</w:t>
      </w:r>
      <w:r w:rsidR="003620E4" w:rsidRPr="00EC0229">
        <w:rPr>
          <w:rStyle w:val="FootnoteReference"/>
          <w:szCs w:val="24"/>
        </w:rPr>
        <w:footnoteReference w:id="1251"/>
      </w:r>
    </w:p>
    <w:p w14:paraId="683AF7AA" w14:textId="77777777" w:rsidR="00582C52" w:rsidRPr="00EC0229" w:rsidRDefault="00582C52" w:rsidP="007600EA">
      <w:pPr>
        <w:pStyle w:val="NoSpacing"/>
        <w:spacing w:line="360" w:lineRule="auto"/>
        <w:rPr>
          <w:szCs w:val="24"/>
        </w:rPr>
      </w:pPr>
    </w:p>
    <w:p w14:paraId="393C1198" w14:textId="0EE8BBCC" w:rsidR="00582C52" w:rsidRPr="00EC0229" w:rsidRDefault="00582C52" w:rsidP="007600EA">
      <w:pPr>
        <w:pStyle w:val="NoSpacing"/>
        <w:spacing w:line="360" w:lineRule="auto"/>
        <w:rPr>
          <w:szCs w:val="24"/>
        </w:rPr>
      </w:pPr>
      <w:r w:rsidRPr="00EC0229">
        <w:rPr>
          <w:szCs w:val="24"/>
        </w:rPr>
        <w:t xml:space="preserve">In view of this, the dearth of coins at this high-status site would be unexpected, </w:t>
      </w:r>
      <w:r w:rsidR="00A37317" w:rsidRPr="00EC0229">
        <w:rPr>
          <w:szCs w:val="24"/>
        </w:rPr>
        <w:t>if not for the recovery constraint provided by its protected status</w:t>
      </w:r>
      <w:r w:rsidRPr="00EC0229">
        <w:rPr>
          <w:szCs w:val="24"/>
        </w:rPr>
        <w:t>. The monastic farming site at Green Shiel in the north of the island, possibly related to vellum production,</w:t>
      </w:r>
      <w:bookmarkStart w:id="916" w:name="_Ref439757245"/>
      <w:r w:rsidR="00172CF3" w:rsidRPr="00EC0229">
        <w:rPr>
          <w:rStyle w:val="FootnoteReference"/>
          <w:szCs w:val="24"/>
        </w:rPr>
        <w:footnoteReference w:id="1252"/>
      </w:r>
      <w:bookmarkEnd w:id="916"/>
      <w:r w:rsidRPr="00EC0229">
        <w:rPr>
          <w:szCs w:val="24"/>
        </w:rPr>
        <w:t xml:space="preserve"> divulged seventeen coins: one of silver-alloy</w:t>
      </w:r>
      <w:r w:rsidR="00BE38F5" w:rsidRPr="00EC0229">
        <w:rPr>
          <w:szCs w:val="24"/>
        </w:rPr>
        <w:t>,</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rPr>
          <w:szCs w:val="24"/>
        </w:rPr>
        <w:fldChar w:fldCharType="end"/>
      </w:r>
      <w:r w:rsidR="00BE38F5" w:rsidRPr="00EC0229">
        <w:rPr>
          <w:szCs w:val="24"/>
        </w:rPr>
        <w:t xml:space="preserve"> [</w:t>
      </w:r>
      <w:r w:rsidRPr="00EC0229">
        <w:rPr>
          <w:szCs w:val="24"/>
        </w:rPr>
        <w:t>N9</w:t>
      </w:r>
      <w:r w:rsidR="00BE38F5" w:rsidRPr="00EC0229">
        <w:rPr>
          <w:szCs w:val="24"/>
        </w:rPr>
        <w:t>]</w:t>
      </w:r>
      <w:r w:rsidRPr="00EC0229">
        <w:rPr>
          <w:szCs w:val="24"/>
        </w:rPr>
        <w:t>, and sixteen brass stycas</w:t>
      </w:r>
      <w:r w:rsidR="00BE38F5" w:rsidRPr="00EC0229">
        <w:rPr>
          <w:szCs w:val="24"/>
        </w:rPr>
        <w:t>, [N10a]</w:t>
      </w:r>
      <w:r w:rsidRPr="00EC0229">
        <w:rPr>
          <w:szCs w:val="24"/>
        </w:rPr>
        <w:t>. Issuers include only Eanred</w:t>
      </w:r>
      <w:r w:rsidR="00D142DC" w:rsidRPr="00EC0229">
        <w:rPr>
          <w:szCs w:val="24"/>
        </w:rPr>
        <w:fldChar w:fldCharType="begin"/>
      </w:r>
      <w:r w:rsidR="00D142DC" w:rsidRPr="00EC0229">
        <w:instrText xml:space="preserve"> XE "Eanred" </w:instrText>
      </w:r>
      <w:r w:rsidR="00D142DC" w:rsidRPr="00EC0229">
        <w:rPr>
          <w:szCs w:val="24"/>
        </w:rPr>
        <w:fldChar w:fldCharType="end"/>
      </w:r>
      <w:r w:rsidRPr="00EC0229">
        <w:rPr>
          <w:szCs w:val="24"/>
        </w:rPr>
        <w:t xml:space="preserve">, </w:t>
      </w:r>
      <w:r w:rsidRPr="00EC0229">
        <w:rPr>
          <w:rFonts w:cs="Times New Roman"/>
          <w:szCs w:val="24"/>
        </w:rPr>
        <w:t>Æ</w:t>
      </w:r>
      <w:r w:rsidRPr="00EC0229">
        <w:rPr>
          <w:szCs w:val="24"/>
        </w:rPr>
        <w:t>thelred</w:t>
      </w:r>
      <w:r w:rsidR="00D142DC" w:rsidRPr="00EC0229">
        <w:rPr>
          <w:szCs w:val="24"/>
        </w:rPr>
        <w:fldChar w:fldCharType="begin"/>
      </w:r>
      <w:r w:rsidR="00D142DC" w:rsidRPr="00EC0229">
        <w:instrText xml:space="preserve"> XE "</w:instrText>
      </w:r>
      <w:r w:rsidR="00D142DC" w:rsidRPr="00EC0229">
        <w:rPr>
          <w:rFonts w:cs="Times New Roman"/>
        </w:rPr>
        <w:instrText>Æ</w:instrText>
      </w:r>
      <w:r w:rsidR="00D142DC" w:rsidRPr="00EC0229">
        <w:instrText xml:space="preserve">thelred" </w:instrText>
      </w:r>
      <w:r w:rsidR="00D142DC" w:rsidRPr="00EC0229">
        <w:rPr>
          <w:szCs w:val="24"/>
        </w:rPr>
        <w:fldChar w:fldCharType="end"/>
      </w:r>
      <w:r w:rsidRPr="00EC0229">
        <w:rPr>
          <w:szCs w:val="24"/>
        </w:rPr>
        <w:t xml:space="preserve"> II and Wigmund</w:t>
      </w:r>
      <w:r w:rsidR="00D142DC" w:rsidRPr="00EC0229">
        <w:rPr>
          <w:szCs w:val="24"/>
        </w:rPr>
        <w:fldChar w:fldCharType="begin"/>
      </w:r>
      <w:r w:rsidR="00D142DC" w:rsidRPr="00EC0229">
        <w:instrText xml:space="preserve"> XE "Wigmund" </w:instrText>
      </w:r>
      <w:r w:rsidR="00D142DC" w:rsidRPr="00EC0229">
        <w:rPr>
          <w:szCs w:val="24"/>
        </w:rPr>
        <w:fldChar w:fldCharType="end"/>
      </w:r>
      <w:r w:rsidRPr="00EC0229">
        <w:rPr>
          <w:szCs w:val="24"/>
        </w:rPr>
        <w:t xml:space="preserve">, denoting a brief period of activity in the second quarter of </w:t>
      </w:r>
      <w:r w:rsidR="00F139AF" w:rsidRPr="00EC0229">
        <w:rPr>
          <w:szCs w:val="24"/>
        </w:rPr>
        <w:t>the ninth century</w:t>
      </w:r>
      <w:r w:rsidRPr="00EC0229">
        <w:rPr>
          <w:szCs w:val="24"/>
        </w:rPr>
        <w:t xml:space="preserve">, given that only the two brass stycas of </w:t>
      </w:r>
      <w:r w:rsidRPr="00EC0229">
        <w:rPr>
          <w:rFonts w:cs="Times New Roman"/>
          <w:szCs w:val="24"/>
        </w:rPr>
        <w:t>Æ</w:t>
      </w:r>
      <w:r w:rsidRPr="00EC0229">
        <w:rPr>
          <w:szCs w:val="24"/>
        </w:rPr>
        <w:t>thelred II’s restoration moneyer Eardwulf are in fine condition. There are a mere four coins not from the Green Shiel site: single fantastic beast sceats of Eadberht</w:t>
      </w:r>
      <w:r w:rsidR="00D142DC" w:rsidRPr="00EC0229">
        <w:rPr>
          <w:szCs w:val="24"/>
        </w:rPr>
        <w:fldChar w:fldCharType="begin"/>
      </w:r>
      <w:r w:rsidR="00D142DC" w:rsidRPr="00EC0229">
        <w:instrText xml:space="preserve"> XE "Eadberht" </w:instrText>
      </w:r>
      <w:r w:rsidR="00D142DC" w:rsidRPr="00EC0229">
        <w:rPr>
          <w:szCs w:val="24"/>
        </w:rPr>
        <w:fldChar w:fldCharType="end"/>
      </w:r>
      <w:r w:rsidRPr="00EC0229">
        <w:rPr>
          <w:szCs w:val="24"/>
        </w:rPr>
        <w:t xml:space="preserve"> </w:t>
      </w:r>
      <w:r w:rsidR="00862F15" w:rsidRPr="00EC0229">
        <w:rPr>
          <w:szCs w:val="24"/>
        </w:rPr>
        <w:t>and</w:t>
      </w:r>
      <w:r w:rsidRPr="00EC0229">
        <w:rPr>
          <w:szCs w:val="24"/>
        </w:rPr>
        <w:t xml:space="preserve"> Æthelred I</w:t>
      </w:r>
      <w:r w:rsidR="00BE38F5" w:rsidRPr="00EC0229">
        <w:rPr>
          <w:szCs w:val="24"/>
        </w:rPr>
        <w:t>, [N6],</w:t>
      </w:r>
      <w:r w:rsidRPr="00EC0229">
        <w:rPr>
          <w:szCs w:val="24"/>
        </w:rPr>
        <w:t xml:space="preserve"> and two brass stycas</w:t>
      </w:r>
      <w:r w:rsidR="00BE38F5" w:rsidRPr="00EC0229">
        <w:rPr>
          <w:szCs w:val="24"/>
        </w:rPr>
        <w:t>, [N10a]</w:t>
      </w:r>
      <w:r w:rsidRPr="00EC0229">
        <w:rPr>
          <w:szCs w:val="24"/>
        </w:rPr>
        <w:t xml:space="preserve">. No images are available for the Æthelred I sceat but the Eadberht coin is </w:t>
      </w:r>
      <w:r w:rsidR="00361C8C" w:rsidRPr="00EC0229">
        <w:rPr>
          <w:szCs w:val="24"/>
        </w:rPr>
        <w:t>much</w:t>
      </w:r>
      <w:r w:rsidRPr="00EC0229">
        <w:rPr>
          <w:szCs w:val="24"/>
        </w:rPr>
        <w:t xml:space="preserve"> worn, signi</w:t>
      </w:r>
      <w:r w:rsidR="003E4956">
        <w:rPr>
          <w:szCs w:val="24"/>
        </w:rPr>
        <w:t>fying loss long after issuance.</w:t>
      </w:r>
      <w:r w:rsidR="003E4956">
        <w:rPr>
          <w:rStyle w:val="FootnoteReference"/>
          <w:szCs w:val="24"/>
        </w:rPr>
        <w:footnoteReference w:id="1253"/>
      </w:r>
    </w:p>
    <w:p w14:paraId="507BD015" w14:textId="77777777" w:rsidR="00582C52" w:rsidRPr="00EC0229" w:rsidRDefault="00582C52" w:rsidP="007600EA">
      <w:pPr>
        <w:pStyle w:val="NoSpacing"/>
        <w:spacing w:line="360" w:lineRule="auto"/>
        <w:rPr>
          <w:szCs w:val="24"/>
        </w:rPr>
      </w:pPr>
    </w:p>
    <w:p w14:paraId="38EA83A1" w14:textId="33C32921" w:rsidR="00582C52" w:rsidRPr="00EC0229" w:rsidRDefault="00582C52" w:rsidP="007600EA">
      <w:pPr>
        <w:pStyle w:val="NoSpacing"/>
        <w:spacing w:line="360" w:lineRule="auto"/>
        <w:rPr>
          <w:szCs w:val="24"/>
        </w:rPr>
      </w:pPr>
      <w:r w:rsidRPr="00EC0229">
        <w:rPr>
          <w:szCs w:val="24"/>
        </w:rPr>
        <w:t>What may be concluded from such slender evidence is that Lindisfarne</w:t>
      </w:r>
      <w:r w:rsidR="006B1593" w:rsidRPr="00EC0229">
        <w:rPr>
          <w:szCs w:val="24"/>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szCs w:val="24"/>
        </w:rPr>
        <w:fldChar w:fldCharType="end"/>
      </w:r>
      <w:r w:rsidRPr="00EC0229">
        <w:rPr>
          <w:szCs w:val="24"/>
        </w:rPr>
        <w:t xml:space="preserve"> recovered from the disastrous Viking</w:t>
      </w:r>
      <w:r w:rsidR="00F204A1" w:rsidRPr="00EC0229">
        <w:rPr>
          <w:szCs w:val="24"/>
        </w:rPr>
        <w:fldChar w:fldCharType="begin"/>
      </w:r>
      <w:r w:rsidR="00F204A1" w:rsidRPr="00EC0229">
        <w:instrText xml:space="preserve"> XE "</w:instrText>
      </w:r>
      <w:r w:rsidR="00F204A1" w:rsidRPr="00EC0229">
        <w:rPr>
          <w:rStyle w:val="Hyperlink"/>
          <w:noProof/>
          <w:u w:val="none"/>
        </w:rPr>
        <w:instrText>Viking</w:instrText>
      </w:r>
      <w:r w:rsidR="00F204A1" w:rsidRPr="00EC0229">
        <w:instrText xml:space="preserve">" </w:instrText>
      </w:r>
      <w:r w:rsidR="00F204A1" w:rsidRPr="00EC0229">
        <w:rPr>
          <w:szCs w:val="24"/>
        </w:rPr>
        <w:fldChar w:fldCharType="end"/>
      </w:r>
      <w:r w:rsidRPr="00EC0229">
        <w:rPr>
          <w:szCs w:val="24"/>
        </w:rPr>
        <w:t xml:space="preserve"> plunder of 793 but what, presumably, was an austere regime discouraged economic activity within </w:t>
      </w:r>
      <w:r w:rsidRPr="00EC0229">
        <w:rPr>
          <w:rFonts w:cs="Times New Roman"/>
          <w:szCs w:val="24"/>
        </w:rPr>
        <w:t xml:space="preserve">the </w:t>
      </w:r>
      <w:r w:rsidRPr="00EC0229">
        <w:rPr>
          <w:rFonts w:cs="Times New Roman"/>
          <w:i/>
          <w:iCs/>
          <w:szCs w:val="24"/>
        </w:rPr>
        <w:t>vallum monasterii</w:t>
      </w:r>
      <w:r w:rsidRPr="00EC0229">
        <w:rPr>
          <w:rFonts w:cs="Times New Roman"/>
          <w:szCs w:val="24"/>
        </w:rPr>
        <w:t>. While coin production was cle</w:t>
      </w:r>
      <w:r w:rsidR="0091592A" w:rsidRPr="00EC0229">
        <w:rPr>
          <w:rFonts w:cs="Times New Roman"/>
          <w:szCs w:val="24"/>
        </w:rPr>
        <w:t xml:space="preserve">arly deferred for decades, </w:t>
      </w:r>
      <w:r w:rsidRPr="00EC0229">
        <w:rPr>
          <w:rFonts w:cs="Times New Roman"/>
          <w:szCs w:val="24"/>
        </w:rPr>
        <w:t>Eardwulf’s seemingly trivial output notwithstanding, it is likely that coin use diminished over time.</w:t>
      </w:r>
    </w:p>
    <w:p w14:paraId="17C894B4" w14:textId="3FCFC4CC" w:rsidR="00582C52" w:rsidRPr="00EC0229" w:rsidRDefault="00582C52" w:rsidP="007600EA">
      <w:pPr>
        <w:pStyle w:val="NoSpacing"/>
        <w:spacing w:line="360" w:lineRule="auto"/>
        <w:rPr>
          <w:szCs w:val="24"/>
        </w:rPr>
      </w:pPr>
    </w:p>
    <w:p w14:paraId="20BD8F2B" w14:textId="7E754701" w:rsidR="000D7F18" w:rsidRPr="00EC0229" w:rsidRDefault="00770D99" w:rsidP="007600EA">
      <w:pPr>
        <w:pStyle w:val="Heading3"/>
        <w:spacing w:line="360" w:lineRule="auto"/>
      </w:pPr>
      <w:bookmarkStart w:id="918" w:name="_Toc468266943"/>
      <w:r w:rsidRPr="00770D99">
        <w:t>8.2.7.3</w:t>
      </w:r>
      <w:r w:rsidRPr="00770D99">
        <w:tab/>
      </w:r>
      <w:r w:rsidR="000D7F18" w:rsidRPr="00EC0229">
        <w:t>Comparison to Normal Distribution</w:t>
      </w:r>
      <w:bookmarkEnd w:id="918"/>
    </w:p>
    <w:p w14:paraId="5C1D7F54" w14:textId="74AC1303" w:rsidR="000D7F18" w:rsidRDefault="004A214E" w:rsidP="007600EA">
      <w:pPr>
        <w:spacing w:line="360" w:lineRule="auto"/>
      </w:pPr>
      <w:r w:rsidRPr="00EC0229">
        <w:t>For Bernicia, s</w:t>
      </w:r>
      <w:r w:rsidR="000D7F18" w:rsidRPr="00EC0229">
        <w:t xml:space="preserve">ingle finds in the eighth century correlate 92% to norm but in the ninth are closer at </w:t>
      </w:r>
      <w:r w:rsidR="0017129D" w:rsidRPr="00EC0229">
        <w:t xml:space="preserve">98%, possibly signifying a higher degree of </w:t>
      </w:r>
      <w:r w:rsidR="003F2041" w:rsidRPr="00EC0229">
        <w:t>monetiz</w:t>
      </w:r>
      <w:r w:rsidR="0017129D" w:rsidRPr="00EC0229">
        <w:t>ation after the introduction of the lower denomination styca</w:t>
      </w:r>
      <w:r w:rsidRPr="00EC0229">
        <w:t>, reflecting its better revenue raising potential.</w:t>
      </w:r>
    </w:p>
    <w:p w14:paraId="086244CB" w14:textId="604F4C3C" w:rsidR="005B45BF" w:rsidRPr="00EC0229" w:rsidRDefault="005B45BF" w:rsidP="007600EA">
      <w:pPr>
        <w:spacing w:line="360" w:lineRule="auto"/>
      </w:pPr>
      <w:r w:rsidRPr="00A07A08">
        <w:rPr>
          <w:i/>
        </w:rPr>
        <w:t>Graphs 7.0</w:t>
      </w:r>
      <w:r>
        <w:rPr>
          <w:i/>
        </w:rPr>
        <w:t>8-9</w:t>
      </w:r>
      <w:r w:rsidRPr="00A07A08">
        <w:rPr>
          <w:i/>
        </w:rPr>
        <w:t xml:space="preserve"> </w:t>
      </w:r>
      <w:r>
        <w:t>illustrate the chronological dispersal of finds at the main sites. Yeavering is an anomaly with only a counterfeit tremissis. Whithorn, and in the later stages, Carlisle, are the only sites to show any continuity.</w:t>
      </w:r>
    </w:p>
    <w:p w14:paraId="2C38FE3A" w14:textId="25312899" w:rsidR="00E00631" w:rsidRPr="00EC0229" w:rsidRDefault="00770D99" w:rsidP="007600EA">
      <w:pPr>
        <w:pStyle w:val="Heading3"/>
        <w:spacing w:line="360" w:lineRule="auto"/>
      </w:pPr>
      <w:bookmarkStart w:id="919" w:name="_Toc468266944"/>
      <w:r w:rsidRPr="00770D99">
        <w:lastRenderedPageBreak/>
        <w:t>8.2.7.</w:t>
      </w:r>
      <w:r>
        <w:t>4</w:t>
      </w:r>
      <w:r w:rsidRPr="00770D99">
        <w:tab/>
      </w:r>
      <w:r w:rsidR="00E00631" w:rsidRPr="00EC0229">
        <w:t>Comparison to Roman Finds</w:t>
      </w:r>
      <w:bookmarkEnd w:id="919"/>
    </w:p>
    <w:p w14:paraId="1AF5C866" w14:textId="63F8FD40" w:rsidR="000D7F18" w:rsidRPr="00EC0229" w:rsidRDefault="00EC1D49" w:rsidP="007600EA">
      <w:pPr>
        <w:pStyle w:val="NoSpacing"/>
        <w:spacing w:line="360" w:lineRule="auto"/>
      </w:pPr>
      <w:r w:rsidRPr="00EC0229">
        <w:t xml:space="preserve">The relative proportions of Roman and early Anglo-Saxon coin finds in Bernicia and the north-west are similar at </w:t>
      </w:r>
      <w:r w:rsidRPr="00EC0229">
        <w:rPr>
          <w:i/>
        </w:rPr>
        <w:t>c</w:t>
      </w:r>
      <w:r w:rsidRPr="00EC0229">
        <w:t xml:space="preserve">.15%, </w:t>
      </w:r>
      <w:r w:rsidRPr="00EC0229">
        <w:rPr>
          <w:i/>
        </w:rPr>
        <w:t xml:space="preserve">Table </w:t>
      </w:r>
      <w:r w:rsidR="0078141C" w:rsidRPr="00EC0229">
        <w:rPr>
          <w:i/>
        </w:rPr>
        <w:t>7.02</w:t>
      </w:r>
      <w:r w:rsidRPr="00EC0229">
        <w:t xml:space="preserve">, even though the distributions focus on markedly different locations of economic activity. However, Roman artefactual material in the northern region, as might be expected, accounts for nearly one third of all non-numismatic Roman finds, whereas Anglian finds are </w:t>
      </w:r>
      <w:r w:rsidRPr="00EC0229">
        <w:rPr>
          <w:i/>
        </w:rPr>
        <w:t>c</w:t>
      </w:r>
      <w:r w:rsidRPr="00EC0229">
        <w:t xml:space="preserve">.9%, again showing the lack of correlation between the period for the </w:t>
      </w:r>
      <w:r w:rsidR="00C40EEF" w:rsidRPr="00EC0229">
        <w:t xml:space="preserve">two </w:t>
      </w:r>
      <w:r w:rsidRPr="00EC0229">
        <w:t>finds categories.</w:t>
      </w:r>
    </w:p>
    <w:p w14:paraId="379C908D" w14:textId="77777777" w:rsidR="00E00631" w:rsidRPr="00EC0229" w:rsidRDefault="00E00631" w:rsidP="007600EA">
      <w:pPr>
        <w:pStyle w:val="NoSpacing"/>
        <w:spacing w:line="360" w:lineRule="auto"/>
      </w:pPr>
    </w:p>
    <w:p w14:paraId="04FD6F5F" w14:textId="20F8E011" w:rsidR="00582C52" w:rsidRPr="00EC0229" w:rsidRDefault="00770D99" w:rsidP="007600EA">
      <w:pPr>
        <w:pStyle w:val="Heading3"/>
        <w:spacing w:line="360" w:lineRule="auto"/>
      </w:pPr>
      <w:bookmarkStart w:id="920" w:name="_Toc468266945"/>
      <w:r w:rsidRPr="00770D99">
        <w:t>8.2.7.</w:t>
      </w:r>
      <w:r>
        <w:t>5</w:t>
      </w:r>
      <w:r w:rsidRPr="00770D99">
        <w:tab/>
      </w:r>
      <w:r w:rsidR="00582C52" w:rsidRPr="00EC0229">
        <w:t xml:space="preserve">The </w:t>
      </w:r>
      <w:bookmarkStart w:id="921" w:name="BernicianArtefactualDatabase"/>
      <w:r w:rsidR="00582C52" w:rsidRPr="00EC0229">
        <w:t>Artefactual</w:t>
      </w:r>
      <w:r w:rsidR="006B1593" w:rsidRPr="00EC0229">
        <w:fldChar w:fldCharType="begin"/>
      </w:r>
      <w:r w:rsidR="006B1593" w:rsidRPr="00EC0229">
        <w:instrText xml:space="preserve"> XE "</w:instrText>
      </w:r>
      <w:r w:rsidR="006B1593" w:rsidRPr="00EC0229">
        <w:rPr>
          <w:rStyle w:val="Hyperlink"/>
          <w:noProof/>
          <w:u w:val="none"/>
        </w:rPr>
        <w:instrText>Artefactual</w:instrText>
      </w:r>
      <w:r w:rsidR="006B1593" w:rsidRPr="00EC0229">
        <w:instrText xml:space="preserve">" </w:instrText>
      </w:r>
      <w:r w:rsidR="006B1593" w:rsidRPr="00EC0229">
        <w:fldChar w:fldCharType="end"/>
      </w:r>
      <w:r w:rsidR="00582C52" w:rsidRPr="00EC0229">
        <w:t xml:space="preserve"> </w:t>
      </w:r>
      <w:r w:rsidR="00497AC3" w:rsidRPr="00EC0229">
        <w:t>Dataset</w:t>
      </w:r>
      <w:bookmarkEnd w:id="920"/>
      <w:r w:rsidR="00584C42" w:rsidRPr="00EC0229">
        <w:fldChar w:fldCharType="begin"/>
      </w:r>
      <w:r w:rsidR="00584C42" w:rsidRPr="00EC0229">
        <w:instrText xml:space="preserve"> XE "</w:instrText>
      </w:r>
      <w:r w:rsidR="00584C42" w:rsidRPr="00EC0229">
        <w:rPr>
          <w:rStyle w:val="Hyperlink"/>
          <w:noProof/>
          <w:u w:val="none"/>
        </w:rPr>
        <w:instrText>Database</w:instrText>
      </w:r>
      <w:r w:rsidR="00584C42" w:rsidRPr="00EC0229">
        <w:instrText xml:space="preserve">" </w:instrText>
      </w:r>
      <w:r w:rsidR="00584C42" w:rsidRPr="00EC0229">
        <w:fldChar w:fldCharType="end"/>
      </w:r>
    </w:p>
    <w:bookmarkEnd w:id="921"/>
    <w:p w14:paraId="09A648E9" w14:textId="494E0D84" w:rsidR="00582C52" w:rsidRPr="00EC0229" w:rsidRDefault="00582C52" w:rsidP="007600EA">
      <w:pPr>
        <w:pStyle w:val="NoSpacing"/>
        <w:spacing w:line="360" w:lineRule="auto"/>
      </w:pPr>
      <w:r w:rsidRPr="00EC0229">
        <w:t xml:space="preserve">Twenty-three outlying, northern and western locations, composed of four on the north-east edge of the </w:t>
      </w:r>
      <w:r w:rsidR="00430B5B" w:rsidRPr="00EC0229">
        <w:t>North York Moors</w:t>
      </w:r>
      <w:r w:rsidRPr="00EC0229">
        <w:t>, nine in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four in Cravendale,</w:t>
      </w:r>
      <w:r w:rsidRPr="00EC0229">
        <w:rPr>
          <w:rStyle w:val="FootnoteReference"/>
        </w:rPr>
        <w:footnoteReference w:id="1254"/>
      </w:r>
      <w:r w:rsidRPr="00EC0229">
        <w:t xml:space="preserve"> three near Carlisle, two in Cumbria and one on the Wirral, have produced a total of 221 artefacts.</w:t>
      </w:r>
      <w:r w:rsidRPr="00EC0229">
        <w:rPr>
          <w:rStyle w:val="FootnoteReference"/>
        </w:rPr>
        <w:footnoteReference w:id="1255"/>
      </w:r>
      <w:r w:rsidRPr="00EC0229">
        <w:t xml:space="preserve"> These are included as likely communications routes between the great ecclesiastical centres such as York</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Whitby</w:t>
      </w:r>
      <w:r w:rsidR="006B1593" w:rsidRPr="00EC0229">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fldChar w:fldCharType="end"/>
      </w:r>
      <w:r w:rsidRPr="00EC0229">
        <w:t>, Carlisle and Whithorn</w:t>
      </w:r>
      <w:r w:rsidR="006B1593" w:rsidRPr="00EC0229">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fldChar w:fldCharType="end"/>
      </w:r>
      <w:r w:rsidRPr="00EC0229">
        <w:t>.</w:t>
      </w:r>
    </w:p>
    <w:p w14:paraId="4B47CB5D" w14:textId="77777777" w:rsidR="00582C52" w:rsidRPr="00EC0229" w:rsidRDefault="00582C52" w:rsidP="007600EA">
      <w:pPr>
        <w:pStyle w:val="NoSpacing"/>
        <w:spacing w:line="360" w:lineRule="auto"/>
        <w:jc w:val="center"/>
      </w:pPr>
      <w:r w:rsidRPr="00EC0229">
        <w:rPr>
          <w:noProof/>
          <w:lang w:eastAsia="en-GB"/>
        </w:rPr>
        <w:drawing>
          <wp:inline distT="0" distB="0" distL="0" distR="0" wp14:anchorId="6490A703" wp14:editId="1C6408DD">
            <wp:extent cx="1190723" cy="1196340"/>
            <wp:effectExtent l="0" t="0" r="9525" b="381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dcar pendant PAS NCL-A091434.JPG"/>
                    <pic:cNvPicPr/>
                  </pic:nvPicPr>
                  <pic:blipFill>
                    <a:blip r:embed="rId512">
                      <a:extLst>
                        <a:ext uri="{28A0092B-C50C-407E-A947-70E740481C1C}">
                          <a14:useLocalDpi xmlns:a14="http://schemas.microsoft.com/office/drawing/2010/main" val="0"/>
                        </a:ext>
                      </a:extLst>
                    </a:blip>
                    <a:stretch>
                      <a:fillRect/>
                    </a:stretch>
                  </pic:blipFill>
                  <pic:spPr>
                    <a:xfrm>
                      <a:off x="0" y="0"/>
                      <a:ext cx="1207822" cy="1213520"/>
                    </a:xfrm>
                    <a:prstGeom prst="rect">
                      <a:avLst/>
                    </a:prstGeom>
                  </pic:spPr>
                </pic:pic>
              </a:graphicData>
            </a:graphic>
          </wp:inline>
        </w:drawing>
      </w:r>
    </w:p>
    <w:p w14:paraId="1C519BE2" w14:textId="4E23297B" w:rsidR="00582C52" w:rsidRPr="00EC0229" w:rsidRDefault="003977B6" w:rsidP="007600EA">
      <w:pPr>
        <w:pStyle w:val="NoSpacing"/>
        <w:spacing w:line="360" w:lineRule="auto"/>
        <w:jc w:val="center"/>
        <w:rPr>
          <w:sz w:val="20"/>
          <w:szCs w:val="20"/>
        </w:rPr>
      </w:pPr>
      <w:bookmarkStart w:id="922" w:name="_Ref430249828"/>
      <w:bookmarkStart w:id="923" w:name="_Toc468267142"/>
      <w:r w:rsidRPr="00EC0229">
        <w:rPr>
          <w:i/>
          <w:sz w:val="20"/>
          <w:szCs w:val="20"/>
        </w:rPr>
        <w:t>Figure</w:t>
      </w:r>
      <w:r w:rsidRPr="00EC0229">
        <w:rPr>
          <w:sz w:val="20"/>
          <w:szCs w:val="20"/>
        </w:rPr>
        <w:t xml:space="preserve"> </w:t>
      </w:r>
      <w:r w:rsidR="00B609E3" w:rsidRPr="00EC0229">
        <w:rPr>
          <w:sz w:val="20"/>
          <w:szCs w:val="20"/>
        </w:rPr>
        <w:fldChar w:fldCharType="begin"/>
      </w:r>
      <w:r w:rsidR="00B609E3" w:rsidRPr="00EC0229">
        <w:rPr>
          <w:sz w:val="20"/>
          <w:szCs w:val="20"/>
        </w:rPr>
        <w:instrText xml:space="preserve"> SEQ Figure \* ARABIC </w:instrText>
      </w:r>
      <w:r w:rsidR="00B609E3" w:rsidRPr="00EC0229">
        <w:rPr>
          <w:sz w:val="20"/>
          <w:szCs w:val="20"/>
        </w:rPr>
        <w:fldChar w:fldCharType="separate"/>
      </w:r>
      <w:r w:rsidR="0012026B">
        <w:rPr>
          <w:noProof/>
          <w:sz w:val="20"/>
          <w:szCs w:val="20"/>
        </w:rPr>
        <w:t>170</w:t>
      </w:r>
      <w:r w:rsidR="00B609E3" w:rsidRPr="00EC0229">
        <w:rPr>
          <w:noProof/>
          <w:sz w:val="20"/>
          <w:szCs w:val="20"/>
        </w:rPr>
        <w:fldChar w:fldCharType="end"/>
      </w:r>
      <w:bookmarkEnd w:id="922"/>
      <w:r w:rsidR="007151C4" w:rsidRPr="00EC0229">
        <w:rPr>
          <w:sz w:val="20"/>
          <w:szCs w:val="20"/>
        </w:rPr>
        <w:t xml:space="preserve">: </w:t>
      </w:r>
      <w:r w:rsidR="00582C52" w:rsidRPr="00EC0229">
        <w:rPr>
          <w:sz w:val="20"/>
          <w:szCs w:val="20"/>
        </w:rPr>
        <w:t>C7</w:t>
      </w:r>
      <w:r w:rsidR="00582C52" w:rsidRPr="00EC0229">
        <w:rPr>
          <w:sz w:val="20"/>
          <w:szCs w:val="20"/>
          <w:vertAlign w:val="superscript"/>
        </w:rPr>
        <w:t xml:space="preserve">th </w:t>
      </w:r>
      <w:r w:rsidR="00582C52" w:rsidRPr="00EC0229">
        <w:rPr>
          <w:sz w:val="20"/>
          <w:szCs w:val="20"/>
        </w:rPr>
        <w:t>Gold</w:t>
      </w:r>
      <w:r w:rsidR="00F204A1" w:rsidRPr="00EC0229">
        <w:rPr>
          <w:sz w:val="20"/>
          <w:szCs w:val="20"/>
        </w:rPr>
        <w:fldChar w:fldCharType="begin"/>
      </w:r>
      <w:r w:rsidR="00F204A1" w:rsidRPr="00EC0229">
        <w:rPr>
          <w:sz w:val="20"/>
          <w:szCs w:val="20"/>
        </w:rPr>
        <w:instrText xml:space="preserve"> XE "</w:instrText>
      </w:r>
      <w:r w:rsidR="00F204A1" w:rsidRPr="00EC0229">
        <w:rPr>
          <w:rStyle w:val="Hyperlink"/>
          <w:rFonts w:cs="Times New Roman"/>
          <w:noProof/>
          <w:sz w:val="20"/>
          <w:szCs w:val="20"/>
          <w:u w:val="none"/>
        </w:rPr>
        <w:instrText>Gold</w:instrText>
      </w:r>
      <w:r w:rsidR="00F204A1" w:rsidRPr="00EC0229">
        <w:rPr>
          <w:sz w:val="20"/>
          <w:szCs w:val="20"/>
        </w:rPr>
        <w:instrText xml:space="preserve">" </w:instrText>
      </w:r>
      <w:r w:rsidR="00F204A1" w:rsidRPr="00EC0229">
        <w:rPr>
          <w:sz w:val="20"/>
          <w:szCs w:val="20"/>
        </w:rPr>
        <w:fldChar w:fldCharType="end"/>
      </w:r>
      <w:r w:rsidR="00582C52" w:rsidRPr="00EC0229">
        <w:rPr>
          <w:sz w:val="20"/>
          <w:szCs w:val="20"/>
        </w:rPr>
        <w:t xml:space="preserve"> pendant, found </w:t>
      </w:r>
      <w:r w:rsidR="00582C52" w:rsidRPr="00EC0229">
        <w:rPr>
          <w:rStyle w:val="question"/>
          <w:sz w:val="20"/>
          <w:szCs w:val="20"/>
        </w:rPr>
        <w:t>Street House</w:t>
      </w:r>
      <w:r w:rsidR="006B1593" w:rsidRPr="00EC0229">
        <w:rPr>
          <w:rStyle w:val="question"/>
          <w:sz w:val="20"/>
          <w:szCs w:val="20"/>
        </w:rPr>
        <w:fldChar w:fldCharType="begin"/>
      </w:r>
      <w:r w:rsidR="006B1593" w:rsidRPr="00EC0229">
        <w:rPr>
          <w:sz w:val="20"/>
          <w:szCs w:val="20"/>
        </w:rPr>
        <w:instrText xml:space="preserve"> XE "</w:instrText>
      </w:r>
      <w:r w:rsidR="006B1593" w:rsidRPr="00EC0229">
        <w:rPr>
          <w:rStyle w:val="Hyperlink"/>
          <w:noProof/>
          <w:sz w:val="20"/>
          <w:szCs w:val="20"/>
          <w:u w:val="none"/>
        </w:rPr>
        <w:instrText>Street House</w:instrText>
      </w:r>
      <w:r w:rsidR="006B1593" w:rsidRPr="00EC0229">
        <w:rPr>
          <w:sz w:val="20"/>
          <w:szCs w:val="20"/>
        </w:rPr>
        <w:instrText xml:space="preserve">" </w:instrText>
      </w:r>
      <w:r w:rsidR="006B1593" w:rsidRPr="00EC0229">
        <w:rPr>
          <w:rStyle w:val="question"/>
          <w:sz w:val="20"/>
          <w:szCs w:val="20"/>
        </w:rPr>
        <w:fldChar w:fldCharType="end"/>
      </w:r>
      <w:r w:rsidR="00582C52" w:rsidRPr="00EC0229">
        <w:rPr>
          <w:rStyle w:val="question"/>
          <w:sz w:val="20"/>
          <w:szCs w:val="20"/>
        </w:rPr>
        <w:t xml:space="preserve"> Anglo-Saxon</w:t>
      </w:r>
      <w:r w:rsidR="00F204A1" w:rsidRPr="00EC0229">
        <w:rPr>
          <w:rStyle w:val="question"/>
          <w:sz w:val="20"/>
          <w:szCs w:val="20"/>
        </w:rPr>
        <w:fldChar w:fldCharType="begin"/>
      </w:r>
      <w:r w:rsidR="00F204A1" w:rsidRPr="00EC0229">
        <w:rPr>
          <w:sz w:val="20"/>
          <w:szCs w:val="20"/>
        </w:rPr>
        <w:instrText xml:space="preserve"> XE "</w:instrText>
      </w:r>
      <w:r w:rsidR="00F204A1" w:rsidRPr="00EC0229">
        <w:rPr>
          <w:rStyle w:val="Hyperlink"/>
          <w:noProof/>
          <w:sz w:val="20"/>
          <w:szCs w:val="20"/>
          <w:u w:val="none"/>
        </w:rPr>
        <w:instrText>Anglo-Saxon</w:instrText>
      </w:r>
      <w:r w:rsidR="00F204A1" w:rsidRPr="00EC0229">
        <w:rPr>
          <w:sz w:val="20"/>
          <w:szCs w:val="20"/>
        </w:rPr>
        <w:instrText xml:space="preserve">" </w:instrText>
      </w:r>
      <w:r w:rsidR="00F204A1" w:rsidRPr="00EC0229">
        <w:rPr>
          <w:rStyle w:val="question"/>
          <w:sz w:val="20"/>
          <w:szCs w:val="20"/>
        </w:rPr>
        <w:fldChar w:fldCharType="end"/>
      </w:r>
      <w:r w:rsidR="00582C52" w:rsidRPr="00EC0229">
        <w:rPr>
          <w:rStyle w:val="question"/>
          <w:sz w:val="20"/>
          <w:szCs w:val="20"/>
        </w:rPr>
        <w:t xml:space="preserve"> cemetery, </w:t>
      </w:r>
      <w:r w:rsidR="00582C52" w:rsidRPr="00EC0229">
        <w:rPr>
          <w:sz w:val="20"/>
          <w:szCs w:val="20"/>
        </w:rPr>
        <w:t>Redcar</w:t>
      </w:r>
      <w:r w:rsidR="00582C52" w:rsidRPr="00EC0229">
        <w:rPr>
          <w:rStyle w:val="FootnoteReference"/>
          <w:sz w:val="20"/>
          <w:szCs w:val="20"/>
        </w:rPr>
        <w:footnoteReference w:id="1256"/>
      </w:r>
      <w:bookmarkEnd w:id="923"/>
    </w:p>
    <w:p w14:paraId="01D5F290" w14:textId="77777777" w:rsidR="00582C52" w:rsidRPr="00EC0229" w:rsidRDefault="00582C52" w:rsidP="007600EA">
      <w:pPr>
        <w:pStyle w:val="NoSpacing"/>
        <w:spacing w:line="360" w:lineRule="auto"/>
        <w:jc w:val="center"/>
        <w:rPr>
          <w:sz w:val="20"/>
          <w:szCs w:val="20"/>
        </w:rPr>
      </w:pPr>
    </w:p>
    <w:p w14:paraId="07C74067" w14:textId="34A624B6" w:rsidR="00582C52" w:rsidRPr="00EC0229" w:rsidRDefault="006A3EE1" w:rsidP="007600EA">
      <w:pPr>
        <w:pStyle w:val="NoSpacing"/>
        <w:spacing w:line="360" w:lineRule="auto"/>
      </w:pPr>
      <w:r w:rsidRPr="00EC0229">
        <w:t>A</w:t>
      </w:r>
      <w:r w:rsidR="00582C52" w:rsidRPr="00EC0229">
        <w:t xml:space="preserve"> cruciform pendant </w:t>
      </w:r>
      <w:r w:rsidR="00050552" w:rsidRPr="00EC0229">
        <w:t>(</w:t>
      </w:r>
      <w:r w:rsidR="009E07B9" w:rsidRPr="00EC0229">
        <w:fldChar w:fldCharType="begin"/>
      </w:r>
      <w:r w:rsidR="009E07B9" w:rsidRPr="00EC0229">
        <w:instrText xml:space="preserve"> REF _Ref430249828 \h </w:instrText>
      </w:r>
      <w:r w:rsidR="00235629" w:rsidRPr="00EC0229">
        <w:instrText xml:space="preserve"> \* MERGEFORMAT </w:instrText>
      </w:r>
      <w:r w:rsidR="009E07B9" w:rsidRPr="00EC0229">
        <w:fldChar w:fldCharType="separate"/>
      </w:r>
      <w:r w:rsidR="0012026B" w:rsidRPr="0012026B">
        <w:rPr>
          <w:i/>
        </w:rPr>
        <w:t>Figure</w:t>
      </w:r>
      <w:r w:rsidR="0012026B" w:rsidRPr="0012026B">
        <w:t xml:space="preserve"> </w:t>
      </w:r>
      <w:r w:rsidR="0012026B" w:rsidRPr="0012026B">
        <w:rPr>
          <w:noProof/>
        </w:rPr>
        <w:t>170</w:t>
      </w:r>
      <w:r w:rsidR="009E07B9" w:rsidRPr="00EC0229">
        <w:fldChar w:fldCharType="end"/>
      </w:r>
      <w:r w:rsidR="007151C4" w:rsidRPr="00EC0229">
        <w:t xml:space="preserve">) </w:t>
      </w:r>
      <w:r w:rsidR="00582C52" w:rsidRPr="00EC0229">
        <w:t xml:space="preserve">links Redcar with </w:t>
      </w:r>
      <w:r w:rsidR="00BF6095">
        <w:t>several</w:t>
      </w:r>
      <w:r w:rsidR="00582C52" w:rsidRPr="00EC0229">
        <w:t xml:space="preserve"> other finds locations on what could well have been a route between Whitby</w:t>
      </w:r>
      <w:r w:rsidR="006B1593" w:rsidRPr="00EC0229">
        <w:fldChar w:fldCharType="begin"/>
      </w:r>
      <w:r w:rsidR="006B1593" w:rsidRPr="00EC0229">
        <w:instrText xml:space="preserve"> XE "</w:instrText>
      </w:r>
      <w:r w:rsidR="006B1593" w:rsidRPr="00EC0229">
        <w:rPr>
          <w:rStyle w:val="Hyperlink"/>
          <w:noProof/>
          <w:u w:val="none"/>
        </w:rPr>
        <w:instrText>Whitby</w:instrText>
      </w:r>
      <w:r w:rsidR="006B1593" w:rsidRPr="00EC0229">
        <w:instrText xml:space="preserve">" </w:instrText>
      </w:r>
      <w:r w:rsidR="006B1593" w:rsidRPr="00EC0229">
        <w:fldChar w:fldCharType="end"/>
      </w:r>
      <w:r w:rsidR="00582C52" w:rsidRPr="00EC0229">
        <w:t xml:space="preserve"> and Whithorn</w:t>
      </w:r>
      <w:r w:rsidR="006B1593" w:rsidRPr="00EC0229">
        <w:fldChar w:fldCharType="begin"/>
      </w:r>
      <w:r w:rsidR="006B1593" w:rsidRPr="00EC0229">
        <w:instrText xml:space="preserve"> XE "</w:instrText>
      </w:r>
      <w:r w:rsidR="006B1593" w:rsidRPr="00EC0229">
        <w:rPr>
          <w:rStyle w:val="Hyperlink"/>
          <w:noProof/>
          <w:u w:val="none"/>
        </w:rPr>
        <w:instrText>Whithorn</w:instrText>
      </w:r>
      <w:r w:rsidR="006B1593" w:rsidRPr="00EC0229">
        <w:instrText xml:space="preserve">" </w:instrText>
      </w:r>
      <w:r w:rsidR="006B1593" w:rsidRPr="00EC0229">
        <w:fldChar w:fldCharType="end"/>
      </w:r>
      <w:r w:rsidR="00582C52" w:rsidRPr="00EC0229">
        <w:t>. These include Loftus, Newby, Croft, Stapleton, Moulton, East Layton and Whorlton. The route probably then followed the River Greta from Bowes to Brough. There are no associated coin finds other than those excavated at Whitby.</w:t>
      </w:r>
    </w:p>
    <w:p w14:paraId="1467929E" w14:textId="77777777" w:rsidR="00EE3FE5" w:rsidRPr="00EC0229" w:rsidRDefault="00EE3FE5" w:rsidP="007600EA">
      <w:pPr>
        <w:pStyle w:val="NoSpacing"/>
        <w:spacing w:line="360" w:lineRule="auto"/>
      </w:pPr>
    </w:p>
    <w:p w14:paraId="24083867" w14:textId="6120A2B6" w:rsidR="00582C52" w:rsidRPr="00EC0229" w:rsidRDefault="00582C52" w:rsidP="007600EA">
      <w:pPr>
        <w:pStyle w:val="NoSpacing"/>
        <w:spacing w:line="360" w:lineRule="auto"/>
      </w:pPr>
      <w:r w:rsidRPr="00EC0229">
        <w:t>Enquiry on the PAS</w:t>
      </w:r>
      <w:r w:rsidR="008960AE" w:rsidRPr="00EC0229">
        <w:fldChar w:fldCharType="begin"/>
      </w:r>
      <w:r w:rsidR="008960AE" w:rsidRPr="00EC0229">
        <w:instrText xml:space="preserve"> XE "PAS" </w:instrText>
      </w:r>
      <w:r w:rsidR="008960AE" w:rsidRPr="00EC0229">
        <w:fldChar w:fldCharType="end"/>
      </w:r>
      <w:r w:rsidRPr="00EC0229">
        <w:t xml:space="preserve"> database for County Durham revealed one further artefact, a fine scabbard mount from Gainford,</w:t>
      </w:r>
      <w:r w:rsidR="006A3EE1" w:rsidRPr="00EC0229">
        <w:rPr>
          <w:rStyle w:val="FootnoteReference"/>
        </w:rPr>
        <w:footnoteReference w:id="1257"/>
      </w:r>
      <w:r w:rsidRPr="00EC0229">
        <w:t xml:space="preserve"> and one coin, a worn sceat of Eadberht</w:t>
      </w:r>
      <w:r w:rsidR="00D142DC" w:rsidRPr="00EC0229">
        <w:fldChar w:fldCharType="begin"/>
      </w:r>
      <w:r w:rsidR="00D142DC" w:rsidRPr="00EC0229">
        <w:instrText xml:space="preserve"> XE "Eadberht" </w:instrText>
      </w:r>
      <w:r w:rsidR="00D142DC" w:rsidRPr="00EC0229">
        <w:fldChar w:fldCharType="end"/>
      </w:r>
      <w:r w:rsidRPr="00EC0229">
        <w:t xml:space="preserve"> from Hawthorn, therefore </w:t>
      </w:r>
      <w:r w:rsidRPr="00EC0229">
        <w:lastRenderedPageBreak/>
        <w:t>that Bernicia</w:t>
      </w:r>
      <w:r w:rsidR="006B1593" w:rsidRPr="00EC0229">
        <w:fldChar w:fldCharType="begin"/>
      </w:r>
      <w:r w:rsidR="006B1593" w:rsidRPr="00EC0229">
        <w:instrText xml:space="preserve"> XE "</w:instrText>
      </w:r>
      <w:r w:rsidR="006B1593" w:rsidRPr="00EC0229">
        <w:rPr>
          <w:rStyle w:val="Hyperlink"/>
          <w:rFonts w:cs="Times New Roman"/>
          <w:noProof/>
          <w:u w:val="none"/>
        </w:rPr>
        <w:instrText>Bernicia</w:instrText>
      </w:r>
      <w:r w:rsidR="006B1593" w:rsidRPr="00EC0229">
        <w:instrText xml:space="preserve">" </w:instrText>
      </w:r>
      <w:r w:rsidR="006B1593" w:rsidRPr="00EC0229">
        <w:fldChar w:fldCharType="end"/>
      </w:r>
      <w:r w:rsidRPr="00EC0229">
        <w:t>, beyond the major excavated sites, is deficient in coinage, may not be a premature claim.</w:t>
      </w:r>
    </w:p>
    <w:p w14:paraId="6A688DC1" w14:textId="77777777" w:rsidR="00582C52" w:rsidRPr="00EC0229" w:rsidRDefault="00582C52" w:rsidP="007600EA">
      <w:pPr>
        <w:pStyle w:val="NoSpacing"/>
        <w:spacing w:line="360" w:lineRule="auto"/>
        <w:rPr>
          <w:b/>
          <w:szCs w:val="24"/>
        </w:rPr>
      </w:pPr>
    </w:p>
    <w:p w14:paraId="48131C53" w14:textId="4D950654" w:rsidR="00582C52" w:rsidRPr="00EC0229" w:rsidRDefault="00770D99" w:rsidP="007600EA">
      <w:pPr>
        <w:pStyle w:val="Heading3"/>
        <w:spacing w:line="360" w:lineRule="auto"/>
      </w:pPr>
      <w:bookmarkStart w:id="924" w:name="_Toc468266946"/>
      <w:r w:rsidRPr="00770D99">
        <w:t>8.2.7.</w:t>
      </w:r>
      <w:r>
        <w:t>6</w:t>
      </w:r>
      <w:r w:rsidRPr="00770D99">
        <w:tab/>
      </w:r>
      <w:r w:rsidR="00582C52" w:rsidRPr="00EC0229">
        <w:t>Conclusion</w:t>
      </w:r>
      <w:bookmarkEnd w:id="924"/>
      <w:r w:rsidR="00F204A1" w:rsidRPr="00EC0229">
        <w:fldChar w:fldCharType="begin"/>
      </w:r>
      <w:r w:rsidR="00F204A1" w:rsidRPr="00EC0229">
        <w:instrText xml:space="preserve"> XE "</w:instrText>
      </w:r>
      <w:r w:rsidR="00F204A1" w:rsidRPr="00EC0229">
        <w:rPr>
          <w:rStyle w:val="Hyperlink"/>
          <w:noProof/>
          <w:u w:val="none"/>
        </w:rPr>
        <w:instrText>Conclusion</w:instrText>
      </w:r>
      <w:r w:rsidR="00F204A1" w:rsidRPr="00EC0229">
        <w:instrText xml:space="preserve">" </w:instrText>
      </w:r>
      <w:r w:rsidR="00F204A1" w:rsidRPr="00EC0229">
        <w:fldChar w:fldCharType="end"/>
      </w:r>
    </w:p>
    <w:p w14:paraId="2032759E" w14:textId="09971DAF" w:rsidR="00582C52" w:rsidRPr="00EC0229" w:rsidRDefault="00582C52" w:rsidP="007600EA">
      <w:pPr>
        <w:pStyle w:val="NoSpacing"/>
        <w:spacing w:line="360" w:lineRule="auto"/>
        <w:rPr>
          <w:szCs w:val="24"/>
        </w:rPr>
      </w:pPr>
      <w:r w:rsidRPr="00EC0229">
        <w:rPr>
          <w:szCs w:val="24"/>
        </w:rPr>
        <w:t xml:space="preserve">The established ecclesiastical centres were routine users of both silver </w:t>
      </w:r>
      <w:r w:rsidR="00862F15" w:rsidRPr="00EC0229">
        <w:rPr>
          <w:szCs w:val="24"/>
        </w:rPr>
        <w:t>and</w:t>
      </w:r>
      <w:r w:rsidRPr="00EC0229">
        <w:rPr>
          <w:szCs w:val="24"/>
        </w:rPr>
        <w:t xml:space="preserve"> base coins and stray finds show regular travel between these central places. It seems likely that the paucity of finds in the more northerly hinterlands is due to recover</w:t>
      </w:r>
      <w:r w:rsidR="00157C67" w:rsidRPr="00EC0229">
        <w:rPr>
          <w:szCs w:val="24"/>
        </w:rPr>
        <w:t>y</w:t>
      </w:r>
      <w:r w:rsidRPr="00EC0229">
        <w:rPr>
          <w:szCs w:val="24"/>
        </w:rPr>
        <w:t xml:space="preserve"> factors, particularly restricted access, given the small </w:t>
      </w:r>
      <w:r w:rsidRPr="00EC0229">
        <w:rPr>
          <w:color w:val="000000" w:themeColor="text1"/>
          <w:szCs w:val="24"/>
        </w:rPr>
        <w:t>quantum of Roman</w:t>
      </w:r>
      <w:r w:rsidR="00D142DC" w:rsidRPr="00EC0229">
        <w:rPr>
          <w:color w:val="000000" w:themeColor="text1"/>
          <w:szCs w:val="24"/>
        </w:rPr>
        <w:fldChar w:fldCharType="begin"/>
      </w:r>
      <w:r w:rsidR="00D142DC" w:rsidRPr="00EC0229">
        <w:instrText xml:space="preserve"> XE "Roman" </w:instrText>
      </w:r>
      <w:r w:rsidR="00D142DC" w:rsidRPr="00EC0229">
        <w:rPr>
          <w:color w:val="000000" w:themeColor="text1"/>
          <w:szCs w:val="24"/>
        </w:rPr>
        <w:fldChar w:fldCharType="end"/>
      </w:r>
      <w:r w:rsidR="00727C51" w:rsidRPr="00EC0229">
        <w:rPr>
          <w:color w:val="000000" w:themeColor="text1"/>
          <w:szCs w:val="24"/>
        </w:rPr>
        <w:t xml:space="preserve"> finds (</w:t>
      </w:r>
      <w:r w:rsidRPr="00EC0229">
        <w:rPr>
          <w:i/>
          <w:szCs w:val="24"/>
        </w:rPr>
        <w:t>Map</w:t>
      </w:r>
      <w:r w:rsidR="00584C42" w:rsidRPr="00EC0229">
        <w:rPr>
          <w:i/>
          <w:szCs w:val="24"/>
        </w:rPr>
        <w:fldChar w:fldCharType="begin"/>
      </w:r>
      <w:r w:rsidR="00584C42" w:rsidRPr="00EC0229">
        <w:instrText xml:space="preserve"> XE "</w:instrText>
      </w:r>
      <w:r w:rsidR="00584C42" w:rsidRPr="00EC0229">
        <w:rPr>
          <w:noProof/>
        </w:rPr>
        <w:instrText>Map</w:instrText>
      </w:r>
      <w:r w:rsidR="00584C42" w:rsidRPr="00EC0229">
        <w:instrText xml:space="preserve">" </w:instrText>
      </w:r>
      <w:r w:rsidR="00584C42" w:rsidRPr="00EC0229">
        <w:rPr>
          <w:i/>
          <w:szCs w:val="24"/>
        </w:rPr>
        <w:fldChar w:fldCharType="end"/>
      </w:r>
      <w:r w:rsidRPr="00EC0229">
        <w:rPr>
          <w:i/>
          <w:szCs w:val="24"/>
        </w:rPr>
        <w:t xml:space="preserve"> </w:t>
      </w:r>
      <w:r w:rsidR="004048E5" w:rsidRPr="00EC0229">
        <w:rPr>
          <w:i/>
          <w:szCs w:val="24"/>
        </w:rPr>
        <w:t>6.01</w:t>
      </w:r>
      <w:r w:rsidR="00727C51" w:rsidRPr="00EC0229">
        <w:rPr>
          <w:szCs w:val="24"/>
        </w:rPr>
        <w:t>)</w:t>
      </w:r>
      <w:r w:rsidRPr="00EC0229">
        <w:rPr>
          <w:color w:val="000000" w:themeColor="text1"/>
          <w:szCs w:val="24"/>
        </w:rPr>
        <w:t xml:space="preserve">. </w:t>
      </w:r>
      <w:r w:rsidRPr="00EC0229">
        <w:rPr>
          <w:szCs w:val="24"/>
        </w:rPr>
        <w:t>What can be concluded is that there is a difference in coin use patterns between Bernicia</w:t>
      </w:r>
      <w:r w:rsidR="006B1593" w:rsidRPr="00EC0229">
        <w:rPr>
          <w:szCs w:val="24"/>
        </w:rPr>
        <w:fldChar w:fldCharType="begin"/>
      </w:r>
      <w:r w:rsidR="006B1593" w:rsidRPr="00EC0229">
        <w:instrText xml:space="preserve"> XE "</w:instrText>
      </w:r>
      <w:r w:rsidR="006B1593" w:rsidRPr="00EC0229">
        <w:rPr>
          <w:rStyle w:val="Hyperlink"/>
          <w:rFonts w:cs="Times New Roman"/>
          <w:noProof/>
          <w:u w:val="none"/>
        </w:rPr>
        <w:instrText>Bernicia</w:instrText>
      </w:r>
      <w:r w:rsidR="006B1593" w:rsidRPr="00EC0229">
        <w:instrText xml:space="preserve">" </w:instrText>
      </w:r>
      <w:r w:rsidR="006B1593" w:rsidRPr="00EC0229">
        <w:rPr>
          <w:szCs w:val="24"/>
        </w:rPr>
        <w:fldChar w:fldCharType="end"/>
      </w:r>
      <w:r w:rsidRPr="00EC0229">
        <w:rPr>
          <w:szCs w:val="24"/>
        </w:rPr>
        <w:t xml:space="preserve"> and Deira</w:t>
      </w:r>
      <w:r w:rsidR="00D142DC" w:rsidRPr="00EC0229">
        <w:rPr>
          <w:szCs w:val="24"/>
        </w:rPr>
        <w:fldChar w:fldCharType="begin"/>
      </w:r>
      <w:r w:rsidR="00D142DC" w:rsidRPr="00EC0229">
        <w:instrText xml:space="preserve"> XE "Deira" </w:instrText>
      </w:r>
      <w:r w:rsidR="00D142DC" w:rsidRPr="00EC0229">
        <w:rPr>
          <w:szCs w:val="24"/>
        </w:rPr>
        <w:fldChar w:fldCharType="end"/>
      </w:r>
      <w:r w:rsidRPr="00EC0229">
        <w:rPr>
          <w:szCs w:val="24"/>
        </w:rPr>
        <w:t>.</w:t>
      </w:r>
      <w:r w:rsidRPr="00EC0229">
        <w:rPr>
          <w:rStyle w:val="FootnoteReference"/>
          <w:szCs w:val="24"/>
        </w:rPr>
        <w:footnoteReference w:id="1258"/>
      </w:r>
      <w:r w:rsidRPr="00EC0229">
        <w:rPr>
          <w:szCs w:val="24"/>
        </w:rPr>
        <w:t xml:space="preserve"> The former, including western Northumbria</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szCs w:val="24"/>
        </w:rPr>
        <w:fldChar w:fldCharType="end"/>
      </w:r>
      <w:r w:rsidRPr="00EC0229">
        <w:rPr>
          <w:szCs w:val="24"/>
        </w:rPr>
        <w:t xml:space="preserve">, is represented by concentrations of finds around established sites whereas the latter has a diffuse usage, with the iceberg revealed in many specific locations of evident economic activity. However, it is not possible to separately </w:t>
      </w:r>
      <w:r w:rsidR="004504D2">
        <w:rPr>
          <w:szCs w:val="24"/>
        </w:rPr>
        <w:t>characterize</w:t>
      </w:r>
      <w:r w:rsidRPr="00EC0229">
        <w:rPr>
          <w:szCs w:val="24"/>
        </w:rPr>
        <w:t xml:space="preserve"> regal and ecclesiastical sites by their coin volume, density or mix. Where coins appear in numbers, typically as a result of trade, types associated with royal or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Pr="00EC0229">
        <w:rPr>
          <w:szCs w:val="24"/>
        </w:rPr>
        <w:t xml:space="preserve"> emissions are thoroughly mixed.</w:t>
      </w:r>
    </w:p>
    <w:p w14:paraId="4AD70397" w14:textId="77777777" w:rsidR="00582C52" w:rsidRPr="00EC0229" w:rsidRDefault="00582C52" w:rsidP="007600EA">
      <w:pPr>
        <w:pStyle w:val="NoSpacing"/>
        <w:spacing w:line="360" w:lineRule="auto"/>
        <w:rPr>
          <w:szCs w:val="24"/>
        </w:rPr>
      </w:pPr>
    </w:p>
    <w:p w14:paraId="7B34688B" w14:textId="6CE6C716" w:rsidR="002A7E00" w:rsidRPr="00EC0229" w:rsidRDefault="00582C52" w:rsidP="007600EA">
      <w:pPr>
        <w:pStyle w:val="NoSpacing"/>
        <w:spacing w:line="360" w:lineRule="auto"/>
        <w:rPr>
          <w:rFonts w:cs="Times New Roman"/>
          <w:szCs w:val="24"/>
        </w:rPr>
      </w:pPr>
      <w:r w:rsidRPr="00EC0229">
        <w:rPr>
          <w:szCs w:val="24"/>
        </w:rPr>
        <w:t>This concludes the case studies</w:t>
      </w:r>
      <w:r w:rsidR="00525596" w:rsidRPr="00EC0229">
        <w:rPr>
          <w:szCs w:val="24"/>
        </w:rPr>
        <w:t>. T</w:t>
      </w:r>
      <w:r w:rsidR="001D5B5B" w:rsidRPr="00EC0229">
        <w:rPr>
          <w:szCs w:val="24"/>
        </w:rPr>
        <w:fldChar w:fldCharType="begin"/>
      </w:r>
      <w:r w:rsidR="001D5B5B" w:rsidRPr="00EC0229">
        <w:instrText xml:space="preserve"> XE "</w:instrText>
      </w:r>
      <w:r w:rsidR="001D5B5B" w:rsidRPr="00EC0229">
        <w:rPr>
          <w:rStyle w:val="Hyperlink"/>
          <w:rFonts w:cs="Times New Roman"/>
          <w:noProof/>
          <w:u w:val="none"/>
        </w:rPr>
        <w:instrText>case studies</w:instrText>
      </w:r>
      <w:r w:rsidR="001D5B5B" w:rsidRPr="00EC0229">
        <w:instrText xml:space="preserve">" </w:instrText>
      </w:r>
      <w:r w:rsidR="001D5B5B" w:rsidRPr="00EC0229">
        <w:rPr>
          <w:szCs w:val="24"/>
        </w:rPr>
        <w:fldChar w:fldCharType="end"/>
      </w:r>
      <w:r w:rsidR="00525596" w:rsidRPr="00EC0229">
        <w:rPr>
          <w:szCs w:val="24"/>
        </w:rPr>
        <w:t xml:space="preserve">he findings </w:t>
      </w:r>
      <w:r w:rsidRPr="00EC0229">
        <w:rPr>
          <w:szCs w:val="24"/>
        </w:rPr>
        <w:t>drawn together in the final chapter</w:t>
      </w:r>
      <w:r w:rsidR="00525596" w:rsidRPr="00EC0229">
        <w:rPr>
          <w:szCs w:val="24"/>
        </w:rPr>
        <w:t xml:space="preserve"> address not only the major questions raised in </w:t>
      </w:r>
      <w:r w:rsidR="00923167">
        <w:rPr>
          <w:szCs w:val="24"/>
        </w:rPr>
        <w:t>Chapter</w:t>
      </w:r>
      <w:r w:rsidR="00525596" w:rsidRPr="00EC0229">
        <w:rPr>
          <w:szCs w:val="24"/>
        </w:rPr>
        <w:t xml:space="preserve"> 1</w:t>
      </w:r>
      <w:r w:rsidR="001E007F" w:rsidRPr="00EC0229">
        <w:rPr>
          <w:szCs w:val="24"/>
        </w:rPr>
        <w:t xml:space="preserve"> (</w:t>
      </w:r>
      <w:r w:rsidR="001E007F" w:rsidRPr="00EC0229">
        <w:rPr>
          <w:szCs w:val="24"/>
        </w:rPr>
        <w:fldChar w:fldCharType="begin"/>
      </w:r>
      <w:r w:rsidR="001E007F" w:rsidRPr="00EC0229">
        <w:rPr>
          <w:szCs w:val="24"/>
        </w:rPr>
        <w:instrText xml:space="preserve"> PAGEREF Aim \h </w:instrText>
      </w:r>
      <w:r w:rsidR="001E007F" w:rsidRPr="00EC0229">
        <w:rPr>
          <w:szCs w:val="24"/>
        </w:rPr>
      </w:r>
      <w:r w:rsidR="001E007F" w:rsidRPr="00EC0229">
        <w:rPr>
          <w:szCs w:val="24"/>
        </w:rPr>
        <w:fldChar w:fldCharType="separate"/>
      </w:r>
      <w:r w:rsidR="0012026B">
        <w:rPr>
          <w:noProof/>
          <w:szCs w:val="24"/>
        </w:rPr>
        <w:t>15</w:t>
      </w:r>
      <w:r w:rsidR="001E007F" w:rsidRPr="00EC0229">
        <w:rPr>
          <w:szCs w:val="24"/>
        </w:rPr>
        <w:fldChar w:fldCharType="end"/>
      </w:r>
      <w:r w:rsidR="001E007F" w:rsidRPr="00EC0229">
        <w:rPr>
          <w:szCs w:val="24"/>
        </w:rPr>
        <w:t>)</w:t>
      </w:r>
      <w:r w:rsidR="00525596" w:rsidRPr="00EC0229">
        <w:rPr>
          <w:szCs w:val="24"/>
        </w:rPr>
        <w:t xml:space="preserve">, but also </w:t>
      </w:r>
      <w:r w:rsidR="00BF6095">
        <w:rPr>
          <w:szCs w:val="24"/>
        </w:rPr>
        <w:t>several</w:t>
      </w:r>
      <w:r w:rsidR="00525596" w:rsidRPr="00EC0229">
        <w:rPr>
          <w:szCs w:val="24"/>
        </w:rPr>
        <w:t xml:space="preserve"> numismatic conclusions relating to both coinage production</w:t>
      </w:r>
      <w:r w:rsidR="001E007F" w:rsidRPr="00EC0229">
        <w:rPr>
          <w:szCs w:val="24"/>
        </w:rPr>
        <w:t xml:space="preserve"> (</w:t>
      </w:r>
      <w:r w:rsidR="001E007F" w:rsidRPr="00EC0229">
        <w:rPr>
          <w:szCs w:val="24"/>
        </w:rPr>
        <w:fldChar w:fldCharType="begin"/>
      </w:r>
      <w:r w:rsidR="001E007F" w:rsidRPr="00EC0229">
        <w:rPr>
          <w:szCs w:val="24"/>
        </w:rPr>
        <w:instrText xml:space="preserve"> PAGEREF Production \h </w:instrText>
      </w:r>
      <w:r w:rsidR="001E007F" w:rsidRPr="00EC0229">
        <w:rPr>
          <w:szCs w:val="24"/>
        </w:rPr>
      </w:r>
      <w:r w:rsidR="001E007F" w:rsidRPr="00EC0229">
        <w:rPr>
          <w:szCs w:val="24"/>
        </w:rPr>
        <w:fldChar w:fldCharType="separate"/>
      </w:r>
      <w:r w:rsidR="0012026B">
        <w:rPr>
          <w:noProof/>
          <w:szCs w:val="24"/>
        </w:rPr>
        <w:t>299</w:t>
      </w:r>
      <w:r w:rsidR="001E007F" w:rsidRPr="00EC0229">
        <w:rPr>
          <w:szCs w:val="24"/>
        </w:rPr>
        <w:fldChar w:fldCharType="end"/>
      </w:r>
      <w:r w:rsidR="001E007F" w:rsidRPr="00EC0229">
        <w:rPr>
          <w:szCs w:val="24"/>
        </w:rPr>
        <w:t>)</w:t>
      </w:r>
      <w:r w:rsidR="00525596" w:rsidRPr="00EC0229">
        <w:rPr>
          <w:szCs w:val="24"/>
        </w:rPr>
        <w:t xml:space="preserve"> and use</w:t>
      </w:r>
      <w:r w:rsidR="001E007F" w:rsidRPr="00EC0229">
        <w:rPr>
          <w:szCs w:val="24"/>
        </w:rPr>
        <w:t xml:space="preserve"> (</w:t>
      </w:r>
      <w:r w:rsidR="001E007F" w:rsidRPr="00EC0229">
        <w:rPr>
          <w:szCs w:val="24"/>
        </w:rPr>
        <w:fldChar w:fldCharType="begin"/>
      </w:r>
      <w:r w:rsidR="001E007F" w:rsidRPr="00EC0229">
        <w:rPr>
          <w:szCs w:val="24"/>
        </w:rPr>
        <w:instrText xml:space="preserve"> PAGEREF CoinUse \h </w:instrText>
      </w:r>
      <w:r w:rsidR="001E007F" w:rsidRPr="00EC0229">
        <w:rPr>
          <w:szCs w:val="24"/>
        </w:rPr>
      </w:r>
      <w:r w:rsidR="001E007F" w:rsidRPr="00EC0229">
        <w:rPr>
          <w:szCs w:val="24"/>
        </w:rPr>
        <w:fldChar w:fldCharType="separate"/>
      </w:r>
      <w:r w:rsidR="0012026B">
        <w:rPr>
          <w:noProof/>
          <w:szCs w:val="24"/>
        </w:rPr>
        <w:t>303</w:t>
      </w:r>
      <w:r w:rsidR="001E007F" w:rsidRPr="00EC0229">
        <w:rPr>
          <w:szCs w:val="24"/>
        </w:rPr>
        <w:fldChar w:fldCharType="end"/>
      </w:r>
      <w:r w:rsidR="001E007F" w:rsidRPr="00EC0229">
        <w:rPr>
          <w:szCs w:val="24"/>
        </w:rPr>
        <w:t>)</w:t>
      </w:r>
      <w:r w:rsidR="00525596" w:rsidRPr="00EC0229">
        <w:rPr>
          <w:szCs w:val="24"/>
        </w:rPr>
        <w:t>.</w:t>
      </w:r>
      <w:r w:rsidR="002A7E00" w:rsidRPr="00EC0229">
        <w:rPr>
          <w:rFonts w:cs="Times New Roman"/>
          <w:szCs w:val="24"/>
        </w:rPr>
        <w:br w:type="page"/>
      </w:r>
    </w:p>
    <w:p w14:paraId="0D80560A" w14:textId="462F22D9" w:rsidR="001C584D" w:rsidRPr="00EC0229" w:rsidRDefault="001C584D" w:rsidP="007600EA">
      <w:pPr>
        <w:pStyle w:val="Heading1"/>
        <w:spacing w:line="360" w:lineRule="auto"/>
        <w:rPr>
          <w:rFonts w:cs="Times New Roman"/>
        </w:rPr>
      </w:pPr>
      <w:bookmarkStart w:id="925" w:name="Chapter17"/>
      <w:bookmarkStart w:id="926" w:name="PartThree"/>
      <w:bookmarkStart w:id="927" w:name="_Toc468266947"/>
      <w:bookmarkEnd w:id="925"/>
      <w:bookmarkEnd w:id="926"/>
      <w:r w:rsidRPr="00EC0229">
        <w:rPr>
          <w:rFonts w:cs="Times New Roman"/>
        </w:rPr>
        <w:lastRenderedPageBreak/>
        <w:t xml:space="preserve">PART THREE: </w:t>
      </w:r>
      <w:r w:rsidR="007C20DC" w:rsidRPr="00EC0229">
        <w:rPr>
          <w:rFonts w:cs="Times New Roman"/>
        </w:rPr>
        <w:t xml:space="preserve">FINDINGS AND </w:t>
      </w:r>
      <w:r w:rsidRPr="00EC0229">
        <w:rPr>
          <w:rFonts w:cs="Times New Roman"/>
        </w:rPr>
        <w:t>CONCLUSIONS</w:t>
      </w:r>
      <w:bookmarkEnd w:id="927"/>
    </w:p>
    <w:p w14:paraId="249BA039" w14:textId="459BB853" w:rsidR="002A7E00" w:rsidRPr="00EC0229" w:rsidRDefault="00AC02D3" w:rsidP="007600EA">
      <w:pPr>
        <w:pStyle w:val="Heading1"/>
        <w:spacing w:line="360" w:lineRule="auto"/>
        <w:rPr>
          <w:rFonts w:cs="Times New Roman"/>
        </w:rPr>
      </w:pPr>
      <w:bookmarkStart w:id="928" w:name="Chapter8"/>
      <w:bookmarkStart w:id="929" w:name="_Toc468266948"/>
      <w:bookmarkEnd w:id="928"/>
      <w:r w:rsidRPr="00EC0229">
        <w:rPr>
          <w:rFonts w:cs="Times New Roman"/>
        </w:rPr>
        <w:t>Chapter 9</w:t>
      </w:r>
      <w:r w:rsidR="009E35E5" w:rsidRPr="00EC0229">
        <w:rPr>
          <w:rFonts w:cs="Times New Roman"/>
        </w:rPr>
        <w:t>:</w:t>
      </w:r>
      <w:r w:rsidR="008C5B6A" w:rsidRPr="00EC0229">
        <w:rPr>
          <w:rFonts w:cs="Times New Roman"/>
        </w:rPr>
        <w:t xml:space="preserve"> </w:t>
      </w:r>
      <w:r w:rsidR="000F23D7" w:rsidRPr="00EC0229">
        <w:rPr>
          <w:rFonts w:cs="Times New Roman"/>
        </w:rPr>
        <w:t xml:space="preserve">Numismatic </w:t>
      </w:r>
      <w:r w:rsidR="009D2D28" w:rsidRPr="00EC0229">
        <w:rPr>
          <w:rFonts w:cs="Times New Roman"/>
        </w:rPr>
        <w:t xml:space="preserve">Findings and </w:t>
      </w:r>
      <w:r w:rsidR="000F23D7" w:rsidRPr="00EC0229">
        <w:rPr>
          <w:rFonts w:cs="Times New Roman"/>
        </w:rPr>
        <w:t xml:space="preserve">General </w:t>
      </w:r>
      <w:r w:rsidR="002A7E00" w:rsidRPr="00EC0229">
        <w:rPr>
          <w:rFonts w:cs="Times New Roman"/>
        </w:rPr>
        <w:t>Conclusions</w:t>
      </w:r>
      <w:bookmarkEnd w:id="929"/>
    </w:p>
    <w:p w14:paraId="015E6AC6" w14:textId="77777777" w:rsidR="002A7E00" w:rsidRPr="00EC0229" w:rsidRDefault="002A7E00" w:rsidP="007600EA">
      <w:pPr>
        <w:pStyle w:val="NoSpacing"/>
        <w:spacing w:line="360" w:lineRule="auto"/>
        <w:jc w:val="right"/>
        <w:rPr>
          <w:rFonts w:cs="Times New Roman"/>
          <w:sz w:val="20"/>
          <w:szCs w:val="20"/>
        </w:rPr>
      </w:pPr>
      <w:r w:rsidRPr="00EC0229">
        <w:rPr>
          <w:rFonts w:cs="Times New Roman"/>
          <w:sz w:val="20"/>
          <w:szCs w:val="20"/>
        </w:rPr>
        <w:t xml:space="preserve"> ‘What is not surmise </w:t>
      </w:r>
      <w:r w:rsidRPr="00BF6095">
        <w:rPr>
          <w:rFonts w:cs="Times New Roman"/>
          <w:sz w:val="20"/>
          <w:szCs w:val="20"/>
        </w:rPr>
        <w:t>is</w:t>
      </w:r>
      <w:r w:rsidRPr="00EC0229">
        <w:rPr>
          <w:rFonts w:cs="Times New Roman"/>
          <w:sz w:val="20"/>
          <w:szCs w:val="20"/>
        </w:rPr>
        <w:t xml:space="preserve"> conjecture’, </w:t>
      </w:r>
    </w:p>
    <w:p w14:paraId="1E32ED06" w14:textId="43FD2573" w:rsidR="002A7E00" w:rsidRPr="00EC0229" w:rsidRDefault="002A7E00" w:rsidP="007600EA">
      <w:pPr>
        <w:pStyle w:val="NoSpacing"/>
        <w:spacing w:line="360" w:lineRule="auto"/>
        <w:jc w:val="right"/>
        <w:rPr>
          <w:color w:val="000000" w:themeColor="text1"/>
          <w:sz w:val="20"/>
          <w:szCs w:val="20"/>
        </w:rPr>
      </w:pPr>
      <w:r w:rsidRPr="00EC0229">
        <w:rPr>
          <w:sz w:val="20"/>
          <w:szCs w:val="20"/>
        </w:rPr>
        <w:t>Ch</w:t>
      </w:r>
      <w:r w:rsidR="003B4C05" w:rsidRPr="00EC0229">
        <w:rPr>
          <w:sz w:val="20"/>
          <w:szCs w:val="20"/>
        </w:rPr>
        <w:t>ristopher Challis, BANS seminar,</w:t>
      </w:r>
      <w:r w:rsidRPr="00EC0229">
        <w:rPr>
          <w:sz w:val="20"/>
          <w:szCs w:val="20"/>
        </w:rPr>
        <w:t xml:space="preserve"> 1997.</w:t>
      </w:r>
    </w:p>
    <w:p w14:paraId="5892BADB" w14:textId="77777777" w:rsidR="00A57E00" w:rsidRDefault="004F3138" w:rsidP="007600EA">
      <w:pPr>
        <w:pStyle w:val="NoSpacing"/>
        <w:spacing w:line="360" w:lineRule="auto"/>
      </w:pPr>
      <w:r w:rsidRPr="00EC0229">
        <w:t>T</w:t>
      </w:r>
      <w:r w:rsidR="002A7E00" w:rsidRPr="00EC0229">
        <w:t>his final chapter</w:t>
      </w:r>
      <w:r w:rsidRPr="00EC0229">
        <w:t xml:space="preserve"> </w:t>
      </w:r>
      <w:r w:rsidR="00CE6FE5" w:rsidRPr="00EC0229">
        <w:t>includes a synopsis of major, and some lesser, numismatic findings. T</w:t>
      </w:r>
      <w:r w:rsidR="00071CD5" w:rsidRPr="00EC0229">
        <w:t xml:space="preserve">he </w:t>
      </w:r>
      <w:r w:rsidR="002A7E00" w:rsidRPr="00EC0229">
        <w:t>broader conclusions</w:t>
      </w:r>
      <w:r w:rsidR="00265E81" w:rsidRPr="00EC0229">
        <w:t xml:space="preserve"> </w:t>
      </w:r>
      <w:r w:rsidR="00ED3E21" w:rsidRPr="00EC0229">
        <w:t xml:space="preserve">on </w:t>
      </w:r>
      <w:r w:rsidR="003F2041" w:rsidRPr="00EC0229">
        <w:t>monetiz</w:t>
      </w:r>
      <w:r w:rsidR="00ED3E21" w:rsidRPr="00EC0229">
        <w:t>ation</w:t>
      </w:r>
      <w:r w:rsidR="00CE6FE5" w:rsidRPr="00EC0229">
        <w:t xml:space="preserve"> </w:t>
      </w:r>
      <w:r w:rsidR="00D861CC" w:rsidRPr="00EC0229">
        <w:t xml:space="preserve">are </w:t>
      </w:r>
      <w:r w:rsidR="00103FB3">
        <w:t>summarize</w:t>
      </w:r>
      <w:r w:rsidR="00D861CC" w:rsidRPr="00EC0229">
        <w:t>d</w:t>
      </w:r>
      <w:r w:rsidR="008960AE" w:rsidRPr="00EC0229">
        <w:fldChar w:fldCharType="begin"/>
      </w:r>
      <w:r w:rsidR="008960AE" w:rsidRPr="00EC0229">
        <w:instrText xml:space="preserve"> XE "monetization" </w:instrText>
      </w:r>
      <w:r w:rsidR="008960AE" w:rsidRPr="00EC0229">
        <w:fldChar w:fldCharType="end"/>
      </w:r>
      <w:r w:rsidR="00265E81" w:rsidRPr="00EC0229">
        <w:t>,</w:t>
      </w:r>
      <w:r w:rsidR="002A7E00" w:rsidRPr="00EC0229">
        <w:t xml:space="preserve"> </w:t>
      </w:r>
      <w:r w:rsidR="00ED3E21" w:rsidRPr="00EC0229">
        <w:t>and the su</w:t>
      </w:r>
      <w:r w:rsidR="00636376" w:rsidRPr="00EC0229">
        <w:t>bsidiary</w:t>
      </w:r>
      <w:r w:rsidR="00ED3E21" w:rsidRPr="00EC0229">
        <w:t xml:space="preserve"> questions raised at </w:t>
      </w:r>
      <w:r w:rsidR="008427D9" w:rsidRPr="00EC0229">
        <w:t>in</w:t>
      </w:r>
      <w:r w:rsidR="00ED3E21" w:rsidRPr="00EC0229">
        <w:t xml:space="preserve"> </w:t>
      </w:r>
      <w:r w:rsidR="00923167">
        <w:t>Chapter</w:t>
      </w:r>
      <w:r w:rsidR="00ED3E21" w:rsidRPr="00EC0229">
        <w:t xml:space="preserve"> 1</w:t>
      </w:r>
      <w:r w:rsidR="00CE6FE5" w:rsidRPr="00EC0229">
        <w:t xml:space="preserve"> addressed</w:t>
      </w:r>
      <w:r w:rsidR="00ED3E21" w:rsidRPr="00EC0229">
        <w:t xml:space="preserve">. This </w:t>
      </w:r>
      <w:r w:rsidR="00CE6FE5" w:rsidRPr="00EC0229">
        <w:t>covers</w:t>
      </w:r>
      <w:r w:rsidR="00ED3E21" w:rsidRPr="00EC0229">
        <w:t xml:space="preserve"> </w:t>
      </w:r>
      <w:r w:rsidR="002F694C" w:rsidRPr="00EC0229">
        <w:t xml:space="preserve">the </w:t>
      </w:r>
      <w:r w:rsidR="00AD3020" w:rsidRPr="00EC0229">
        <w:t>evolution of the coinage</w:t>
      </w:r>
      <w:r w:rsidR="00CE6FE5" w:rsidRPr="00EC0229">
        <w:t>,</w:t>
      </w:r>
      <w:r w:rsidR="00AD3020" w:rsidRPr="00EC0229">
        <w:t xml:space="preserve"> </w:t>
      </w:r>
      <w:r w:rsidR="002F694C" w:rsidRPr="00EC0229">
        <w:t xml:space="preserve">balance of power, </w:t>
      </w:r>
      <w:r w:rsidR="00AD3020" w:rsidRPr="00EC0229">
        <w:t>expropriation of surplus</w:t>
      </w:r>
      <w:r w:rsidR="008960AE" w:rsidRPr="00EC0229">
        <w:fldChar w:fldCharType="begin"/>
      </w:r>
      <w:r w:rsidR="008960AE" w:rsidRPr="00EC0229">
        <w:instrText xml:space="preserve"> XE "surplus" </w:instrText>
      </w:r>
      <w:r w:rsidR="008960AE" w:rsidRPr="00EC0229">
        <w:fldChar w:fldCharType="end"/>
      </w:r>
      <w:r w:rsidR="00AD3020" w:rsidRPr="00EC0229">
        <w:t xml:space="preserve">, </w:t>
      </w:r>
      <w:r w:rsidR="002A7E00" w:rsidRPr="00EC0229">
        <w:t>regional comparisons</w:t>
      </w:r>
      <w:r w:rsidR="00265E81" w:rsidRPr="00EC0229">
        <w:t xml:space="preserve"> </w:t>
      </w:r>
      <w:r w:rsidR="002A7E00" w:rsidRPr="00EC0229">
        <w:t xml:space="preserve">and </w:t>
      </w:r>
      <w:r w:rsidR="002F694C" w:rsidRPr="00EC0229">
        <w:t>settlement</w:t>
      </w:r>
      <w:r w:rsidR="000646B0" w:rsidRPr="00EC0229">
        <w:t xml:space="preserve"> </w:t>
      </w:r>
      <w:r w:rsidR="00D142DC" w:rsidRPr="00EC0229">
        <w:fldChar w:fldCharType="begin"/>
      </w:r>
      <w:r w:rsidR="00D142DC" w:rsidRPr="00EC0229">
        <w:instrText xml:space="preserve"> XE "settlement" </w:instrText>
      </w:r>
      <w:r w:rsidR="00D142DC" w:rsidRPr="00EC0229">
        <w:fldChar w:fldCharType="end"/>
      </w:r>
      <w:r w:rsidR="002F694C" w:rsidRPr="00EC0229">
        <w:t>patterns</w:t>
      </w:r>
      <w:r w:rsidR="00AD3020" w:rsidRPr="00EC0229">
        <w:t>.</w:t>
      </w:r>
      <w:r w:rsidR="002F694C" w:rsidRPr="00EC0229">
        <w:t xml:space="preserve"> </w:t>
      </w:r>
    </w:p>
    <w:p w14:paraId="2E603818" w14:textId="77777777" w:rsidR="00A57E00" w:rsidRDefault="00A57E00" w:rsidP="007600EA">
      <w:pPr>
        <w:pStyle w:val="NoSpacing"/>
        <w:spacing w:line="360" w:lineRule="auto"/>
      </w:pPr>
    </w:p>
    <w:p w14:paraId="22BBB069" w14:textId="6C385BEA" w:rsidR="002A7E00" w:rsidRPr="00EC0229" w:rsidRDefault="005E365B" w:rsidP="007600EA">
      <w:pPr>
        <w:pStyle w:val="NoSpacing"/>
        <w:spacing w:line="360" w:lineRule="auto"/>
      </w:pPr>
      <w:r>
        <w:t>The  findings of t</w:t>
      </w:r>
      <w:r w:rsidR="00A57E00">
        <w:t xml:space="preserve">his study </w:t>
      </w:r>
      <w:r>
        <w:t xml:space="preserve">of the co-occurrence of coins and artefacts, </w:t>
      </w:r>
      <w:r w:rsidR="00A57E00">
        <w:t>build</w:t>
      </w:r>
      <w:r>
        <w:t>s</w:t>
      </w:r>
      <w:r w:rsidR="00A57E00">
        <w:t xml:space="preserve"> significantly on previous work in both numismatic and artefactual material. </w:t>
      </w:r>
      <w:r>
        <w:t>In particular,</w:t>
      </w:r>
      <w:r w:rsidR="00A57E00">
        <w:t xml:space="preserve"> by removing the obstacle to styca studies injudiciously created by Pirie, the way has been cleared for the ‘</w:t>
      </w:r>
      <w:r w:rsidR="00A57E00" w:rsidRPr="00EC0229">
        <w:t>enormous potential</w:t>
      </w:r>
      <w:r w:rsidR="00A57E00">
        <w:t>’ envisaged by Metcalf (</w:t>
      </w:r>
      <w:r w:rsidR="00A57E00">
        <w:fldChar w:fldCharType="begin"/>
      </w:r>
      <w:r w:rsidR="00A57E00">
        <w:instrText xml:space="preserve"> PAGEREF enormouspotential \h </w:instrText>
      </w:r>
      <w:r w:rsidR="00A57E00">
        <w:fldChar w:fldCharType="separate"/>
      </w:r>
      <w:r w:rsidR="0012026B">
        <w:rPr>
          <w:noProof/>
        </w:rPr>
        <w:t>50</w:t>
      </w:r>
      <w:r w:rsidR="00A57E00">
        <w:fldChar w:fldCharType="end"/>
      </w:r>
      <w:r w:rsidR="00A57E00">
        <w:t xml:space="preserve">). Moreover, the under-utilization of </w:t>
      </w:r>
      <w:r w:rsidR="00A57E00" w:rsidRPr="00A57E00">
        <w:rPr>
          <w:i/>
        </w:rPr>
        <w:t>VASLE</w:t>
      </w:r>
      <w:r w:rsidR="00A57E00">
        <w:t xml:space="preserve"> must be a disappointment to those who invested so much effort in creating it.  The use of that data here certainly builds directly on those endeavours</w:t>
      </w:r>
      <w:r>
        <w:t xml:space="preserve"> in arriving at the conclusions given below</w:t>
      </w:r>
      <w:r w:rsidR="00A57E00">
        <w:t xml:space="preserve">. </w:t>
      </w:r>
      <w:r>
        <w:t xml:space="preserve">This study is not heavily reliant on data drawn directly from PAS, but nevertheless parallels recent work based on that resource. </w:t>
      </w:r>
      <w:r w:rsidR="00D861CC" w:rsidRPr="00EC0229">
        <w:t>Studies which may reduce inhibitions on the current work</w:t>
      </w:r>
      <w:r w:rsidR="002A7E00" w:rsidRPr="00EC0229">
        <w:t xml:space="preserve"> </w:t>
      </w:r>
      <w:r w:rsidR="00D861CC" w:rsidRPr="00EC0229">
        <w:t>are suggested as</w:t>
      </w:r>
      <w:r w:rsidR="002A7E00" w:rsidRPr="00EC0229">
        <w:t xml:space="preserve"> future research</w:t>
      </w:r>
      <w:r w:rsidR="00D861CC" w:rsidRPr="00EC0229">
        <w:t xml:space="preserve"> at page </w:t>
      </w:r>
      <w:r w:rsidR="00D861CC" w:rsidRPr="00EC0229">
        <w:fldChar w:fldCharType="begin"/>
      </w:r>
      <w:r w:rsidR="00D861CC" w:rsidRPr="00EC0229">
        <w:instrText xml:space="preserve"> PAGEREF Futureresearch \h </w:instrText>
      </w:r>
      <w:r w:rsidR="00D861CC" w:rsidRPr="00EC0229">
        <w:fldChar w:fldCharType="separate"/>
      </w:r>
      <w:r w:rsidR="0012026B">
        <w:rPr>
          <w:noProof/>
        </w:rPr>
        <w:t>323</w:t>
      </w:r>
      <w:r w:rsidR="00D861CC" w:rsidRPr="00EC0229">
        <w:fldChar w:fldCharType="end"/>
      </w:r>
      <w:r w:rsidR="00265E81" w:rsidRPr="00EC0229">
        <w:t>.</w:t>
      </w:r>
      <w:r w:rsidR="004F3138" w:rsidRPr="00EC0229">
        <w:t xml:space="preserve"> </w:t>
      </w:r>
    </w:p>
    <w:p w14:paraId="7E9A449B" w14:textId="3D671E0B" w:rsidR="00FF5F19" w:rsidRPr="00EC0229" w:rsidRDefault="00FF5F19" w:rsidP="007600EA">
      <w:pPr>
        <w:pStyle w:val="NoSpacing"/>
        <w:spacing w:line="360" w:lineRule="auto"/>
      </w:pPr>
    </w:p>
    <w:p w14:paraId="37F8502F" w14:textId="65F6210B" w:rsidR="00FF5F19" w:rsidRPr="00EC0229" w:rsidRDefault="00FF5F19" w:rsidP="007600EA">
      <w:pPr>
        <w:pStyle w:val="NoSpacing"/>
        <w:spacing w:line="360" w:lineRule="auto"/>
      </w:pPr>
      <w:r w:rsidRPr="00EC0229">
        <w:t xml:space="preserve">In broad terms, I conclude that </w:t>
      </w:r>
      <w:r w:rsidR="003F2041" w:rsidRPr="00EC0229">
        <w:t>monetiz</w:t>
      </w:r>
      <w:r w:rsidRPr="00EC0229">
        <w:t xml:space="preserve">ation and fiscal efficacy increased as the denomination fell, the political acuity of the archbishops of York deflected dynastic friction into a cultural </w:t>
      </w:r>
      <w:r w:rsidRPr="00EC0229">
        <w:rPr>
          <w:i/>
        </w:rPr>
        <w:t>renaissance</w:t>
      </w:r>
      <w:r w:rsidRPr="00EC0229">
        <w:t>, the styca facilitated expropriation, counter-intuitively the Wolds show greater enterprise than the more constrained lowlands and that the density of finds reveals settlement patterns such as site shifting.</w:t>
      </w:r>
    </w:p>
    <w:p w14:paraId="716B9C2B" w14:textId="13301734" w:rsidR="006513F2" w:rsidRPr="00EC0229" w:rsidRDefault="006513F2" w:rsidP="007600EA">
      <w:pPr>
        <w:pStyle w:val="NoSpacing"/>
        <w:spacing w:line="360" w:lineRule="auto"/>
      </w:pPr>
    </w:p>
    <w:p w14:paraId="7039B2C4" w14:textId="5ED5A865" w:rsidR="00CE6FE5" w:rsidRPr="00EC0229" w:rsidRDefault="007C71C5" w:rsidP="00E70654">
      <w:pPr>
        <w:pStyle w:val="Heading2"/>
      </w:pPr>
      <w:bookmarkStart w:id="930" w:name="NumismaticFindings"/>
      <w:bookmarkStart w:id="931" w:name="_Ref463949349"/>
      <w:bookmarkStart w:id="932" w:name="_Toc468266949"/>
      <w:bookmarkEnd w:id="930"/>
      <w:r>
        <w:t>9.1</w:t>
      </w:r>
      <w:r>
        <w:tab/>
      </w:r>
      <w:r w:rsidR="00CE6FE5" w:rsidRPr="00EC0229">
        <w:t>Numismatic Findings</w:t>
      </w:r>
      <w:bookmarkEnd w:id="931"/>
      <w:bookmarkEnd w:id="932"/>
    </w:p>
    <w:p w14:paraId="708BFE3D" w14:textId="170F42E7" w:rsidR="00CE6FE5" w:rsidRPr="00EC0229" w:rsidRDefault="00CE6FE5" w:rsidP="007600EA">
      <w:pPr>
        <w:pStyle w:val="NoSpacing"/>
        <w:spacing w:line="360" w:lineRule="auto"/>
      </w:pPr>
      <w:r w:rsidRPr="00EC0229">
        <w:t xml:space="preserve">While a watertight compartmentalization of coin production and use is not possible, and the emphasis in this study has been on the latter, </w:t>
      </w:r>
      <w:r w:rsidR="00BF6095">
        <w:t>several</w:t>
      </w:r>
      <w:r w:rsidRPr="00EC0229">
        <w:t xml:space="preserve"> significant numismatic findings on both production and use are briefly re-stated, chronologically, here. Some lesser findings are given on page </w:t>
      </w:r>
      <w:r w:rsidRPr="00EC0229">
        <w:fldChar w:fldCharType="begin"/>
      </w:r>
      <w:r w:rsidRPr="00EC0229">
        <w:instrText xml:space="preserve"> PAGEREF Lessernumismaticfindings \h </w:instrText>
      </w:r>
      <w:r w:rsidRPr="00EC0229">
        <w:fldChar w:fldCharType="separate"/>
      </w:r>
      <w:r w:rsidR="0012026B">
        <w:rPr>
          <w:noProof/>
        </w:rPr>
        <w:t>308</w:t>
      </w:r>
      <w:r w:rsidRPr="00EC0229">
        <w:fldChar w:fldCharType="end"/>
      </w:r>
      <w:r w:rsidRPr="00EC0229">
        <w:t>.</w:t>
      </w:r>
    </w:p>
    <w:p w14:paraId="45A55FDF" w14:textId="77777777" w:rsidR="00CE6FE5" w:rsidRPr="00EC0229" w:rsidRDefault="00CE6FE5" w:rsidP="007600EA">
      <w:pPr>
        <w:pStyle w:val="NoSpacing"/>
        <w:spacing w:line="360" w:lineRule="auto"/>
      </w:pPr>
    </w:p>
    <w:p w14:paraId="745BD5A2" w14:textId="20A454AD" w:rsidR="00CE6FE5" w:rsidRPr="00EC0229" w:rsidRDefault="007C71C5" w:rsidP="00E70654">
      <w:pPr>
        <w:pStyle w:val="Heading3"/>
      </w:pPr>
      <w:bookmarkStart w:id="933" w:name="Production"/>
      <w:bookmarkStart w:id="934" w:name="_Toc468266950"/>
      <w:bookmarkEnd w:id="933"/>
      <w:r>
        <w:lastRenderedPageBreak/>
        <w:t>9.1.1</w:t>
      </w:r>
      <w:r>
        <w:tab/>
      </w:r>
      <w:r w:rsidR="00CE6FE5" w:rsidRPr="00EC0229">
        <w:t>Production</w:t>
      </w:r>
      <w:bookmarkEnd w:id="934"/>
      <w:r w:rsidR="00CE6FE5" w:rsidRPr="00EC0229">
        <w:fldChar w:fldCharType="begin"/>
      </w:r>
      <w:r w:rsidR="00CE6FE5" w:rsidRPr="00EC0229">
        <w:instrText xml:space="preserve"> XE "</w:instrText>
      </w:r>
      <w:r w:rsidR="00CE6FE5" w:rsidRPr="00EC0229">
        <w:rPr>
          <w:rStyle w:val="Hyperlink"/>
          <w:noProof/>
          <w:u w:val="none"/>
        </w:rPr>
        <w:instrText>Production</w:instrText>
      </w:r>
      <w:r w:rsidR="00CE6FE5" w:rsidRPr="00EC0229">
        <w:instrText xml:space="preserve">" </w:instrText>
      </w:r>
      <w:r w:rsidR="00CE6FE5" w:rsidRPr="00EC0229">
        <w:fldChar w:fldCharType="end"/>
      </w:r>
    </w:p>
    <w:p w14:paraId="6F92AA43" w14:textId="1153E2D1" w:rsidR="00337D31" w:rsidRPr="00337D31" w:rsidRDefault="00337D31" w:rsidP="007600EA">
      <w:pPr>
        <w:pStyle w:val="NoSpacing"/>
        <w:spacing w:line="360" w:lineRule="auto"/>
      </w:pPr>
      <w:r>
        <w:t xml:space="preserve">At every step in the evolution of the coinage. when Southumbria </w:t>
      </w:r>
      <w:r w:rsidR="00394DD2">
        <w:t>emulated</w:t>
      </w:r>
      <w:r>
        <w:t xml:space="preserve"> Continental precedent, Northumbria was innovative</w:t>
      </w:r>
      <w:r w:rsidR="00394DD2">
        <w:t xml:space="preserve">, namely, </w:t>
      </w:r>
      <w:r>
        <w:t xml:space="preserve">Paulinus’s shilling, Aldfrith’s sceat, Eadberht’s </w:t>
      </w:r>
      <w:r>
        <w:rPr>
          <w:i/>
        </w:rPr>
        <w:t>renovatio</w:t>
      </w:r>
      <w:r w:rsidR="004E7E33">
        <w:t>, joint coinage</w:t>
      </w:r>
      <w:r>
        <w:t xml:space="preserve"> and Eanred’s styca.</w:t>
      </w:r>
    </w:p>
    <w:p w14:paraId="4E3AF6EB" w14:textId="77777777" w:rsidR="00337D31" w:rsidRDefault="00337D31" w:rsidP="007600EA">
      <w:pPr>
        <w:pStyle w:val="NoSpacing"/>
        <w:spacing w:line="360" w:lineRule="auto"/>
      </w:pPr>
    </w:p>
    <w:p w14:paraId="1A3BDF07" w14:textId="1CDF20B0" w:rsidR="00A30EA0" w:rsidRDefault="00CE6FE5" w:rsidP="007600EA">
      <w:pPr>
        <w:pStyle w:val="NoSpacing"/>
        <w:spacing w:line="360" w:lineRule="auto"/>
        <w:rPr>
          <w:szCs w:val="24"/>
        </w:rPr>
      </w:pPr>
      <w:r w:rsidRPr="00EC0229">
        <w:t>Regarding seventh-century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w:t>
      </w:r>
      <w:r w:rsidRPr="00EC0229">
        <w:fldChar w:fldCharType="begin"/>
      </w:r>
      <w:r w:rsidRPr="00EC0229">
        <w:instrText xml:space="preserve"> PAGEREF goldshillingofYork \h </w:instrText>
      </w:r>
      <w:r w:rsidRPr="00EC0229">
        <w:fldChar w:fldCharType="separate"/>
      </w:r>
      <w:r w:rsidR="0012026B">
        <w:rPr>
          <w:noProof/>
        </w:rPr>
        <w:t>96</w:t>
      </w:r>
      <w:r w:rsidRPr="00EC0229">
        <w:fldChar w:fldCharType="end"/>
      </w:r>
      <w:r w:rsidRPr="00EC0229">
        <w:t>), the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 shilling is differenced from contemporary shillings by its longevity and variety, </w:t>
      </w:r>
      <w:r w:rsidRPr="00EC0229">
        <w:rPr>
          <w:i/>
        </w:rPr>
        <w:t>Table</w:t>
      </w:r>
      <w:r w:rsidR="00A26538" w:rsidRPr="00EC0229">
        <w:rPr>
          <w:i/>
        </w:rPr>
        <w:t>s</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w:t>
      </w:r>
      <w:r w:rsidR="00A26538" w:rsidRPr="00EC0229">
        <w:rPr>
          <w:i/>
        </w:rPr>
        <w:t>5.09-5.10</w:t>
      </w:r>
      <w:r w:rsidR="004A2359" w:rsidRPr="00EC0229">
        <w:rPr>
          <w:i/>
        </w:rPr>
        <w:t xml:space="preserve">, Map </w:t>
      </w:r>
      <w:r w:rsidR="004048E5" w:rsidRPr="00EC0229">
        <w:rPr>
          <w:i/>
        </w:rPr>
        <w:t>5.01</w:t>
      </w:r>
      <w:r w:rsidR="00C4240A" w:rsidRPr="00EC0229">
        <w:rPr>
          <w:i/>
        </w:rPr>
        <w:t xml:space="preserve">, Plate </w:t>
      </w:r>
      <w:r w:rsidR="004A2359" w:rsidRPr="00EC0229">
        <w:rPr>
          <w:i/>
        </w:rPr>
        <w:t>1</w:t>
      </w:r>
      <w:r w:rsidRPr="00EC0229">
        <w:t xml:space="preserve">. </w:t>
      </w:r>
      <w:r w:rsidR="00E66D8A" w:rsidRPr="00EC0229">
        <w:t>Previously</w:t>
      </w:r>
      <w:r w:rsidRPr="00EC0229">
        <w:t xml:space="preserve"> dismissed as blundered, the </w:t>
      </w:r>
      <w:r w:rsidR="004C668D" w:rsidRPr="00EC0229">
        <w:t>two inscription</w:t>
      </w:r>
      <w:r w:rsidR="00101802" w:rsidRPr="00EC0229">
        <w:t>s</w:t>
      </w:r>
      <w:r w:rsidR="004C668D" w:rsidRPr="00EC0229">
        <w:t xml:space="preserve"> are</w:t>
      </w:r>
      <w:r w:rsidRPr="00EC0229">
        <w:t xml:space="preserve"> now understood</w:t>
      </w:r>
      <w:r w:rsidR="00101802" w:rsidRPr="00EC0229">
        <w:t>. F</w:t>
      </w:r>
      <w:r w:rsidR="004C668D" w:rsidRPr="00EC0229">
        <w:t>or varieties B and Ci,</w:t>
      </w:r>
      <w:r w:rsidR="00101802" w:rsidRPr="00EC0229">
        <w:t xml:space="preserve"> the formulaic legend is a </w:t>
      </w:r>
      <w:r w:rsidRPr="00EC0229">
        <w:rPr>
          <w:i/>
        </w:rPr>
        <w:t>nomina sacra</w:t>
      </w:r>
      <w:r w:rsidRPr="00EC0229">
        <w:t>,</w:t>
      </w:r>
      <w:r w:rsidRPr="00EC0229">
        <w:rPr>
          <w:rStyle w:val="FootnoteReference"/>
        </w:rPr>
        <w:footnoteReference w:id="1259"/>
      </w:r>
      <w:r w:rsidRPr="00EC0229">
        <w:t xml:space="preserve"> </w:t>
      </w:r>
      <w:r w:rsidR="004C668D" w:rsidRPr="00EC0229">
        <w:t>and</w:t>
      </w:r>
      <w:r w:rsidR="00101802" w:rsidRPr="00EC0229">
        <w:t>, as a result of the work of the candidate,</w:t>
      </w:r>
      <w:r w:rsidR="004C668D" w:rsidRPr="00EC0229">
        <w:t xml:space="preserve"> for varieties Cii and Ciii, </w:t>
      </w:r>
      <w:r w:rsidR="00101802" w:rsidRPr="00EC0229">
        <w:t xml:space="preserve">the legend is accepted as reading </w:t>
      </w:r>
      <w:r w:rsidR="00101802" w:rsidRPr="00EC0229">
        <w:rPr>
          <w:i/>
        </w:rPr>
        <w:t>PAULINUS EP</w:t>
      </w:r>
      <w:r w:rsidR="004C668D" w:rsidRPr="00EC0229">
        <w:t xml:space="preserve">, </w:t>
      </w:r>
      <w:r w:rsidR="00101802" w:rsidRPr="00EC0229">
        <w:t xml:space="preserve">not only </w:t>
      </w:r>
      <w:r w:rsidRPr="00EC0229">
        <w:t>enhancing the standing of these well-executed coins</w:t>
      </w:r>
      <w:r w:rsidR="00101802" w:rsidRPr="00EC0229">
        <w:t xml:space="preserve"> but placing this coinage at the forefront of Anglo-Saxon issues</w:t>
      </w:r>
      <w:r w:rsidRPr="00EC0229">
        <w:t xml:space="preserve">. </w:t>
      </w:r>
      <w:r w:rsidR="00A30EA0">
        <w:rPr>
          <w:szCs w:val="24"/>
        </w:rPr>
        <w:t>Precise dating of the emissions of gold shillings by an historically documented figure, in this case Paulinus,</w:t>
      </w:r>
      <w:r w:rsidR="00A30EA0" w:rsidRPr="00A30EA0">
        <w:rPr>
          <w:szCs w:val="24"/>
        </w:rPr>
        <w:t xml:space="preserve"> </w:t>
      </w:r>
      <w:r w:rsidR="00A30EA0">
        <w:rPr>
          <w:szCs w:val="24"/>
        </w:rPr>
        <w:t xml:space="preserve">is unprecedented. </w:t>
      </w:r>
    </w:p>
    <w:p w14:paraId="41423643" w14:textId="77777777" w:rsidR="00337D31" w:rsidRDefault="00337D31" w:rsidP="007600EA">
      <w:pPr>
        <w:pStyle w:val="NoSpacing"/>
        <w:spacing w:line="360" w:lineRule="auto"/>
      </w:pPr>
    </w:p>
    <w:p w14:paraId="021FB013" w14:textId="5DF95517" w:rsidR="00CE6FE5" w:rsidRPr="00EC0229" w:rsidRDefault="00CE6FE5" w:rsidP="007600EA">
      <w:pPr>
        <w:pStyle w:val="NoSpacing"/>
        <w:spacing w:line="360" w:lineRule="auto"/>
      </w:pPr>
      <w:r w:rsidRPr="00EC0229">
        <w:t xml:space="preserve">The typology has </w:t>
      </w:r>
      <w:r w:rsidR="00E66D8A" w:rsidRPr="00EC0229">
        <w:t xml:space="preserve">been </w:t>
      </w:r>
      <w:r w:rsidRPr="00EC0229">
        <w:t xml:space="preserve">extended to create sub-varieties now that the corpus has grown to </w:t>
      </w:r>
      <w:r w:rsidR="00397294" w:rsidRPr="00EC0229">
        <w:t xml:space="preserve">twenty </w:t>
      </w:r>
      <w:r w:rsidRPr="00EC0229">
        <w:t>attested specimens. This shows both a high level of organisation behind the coinage and a perceptive grasp of theological iconography</w:t>
      </w:r>
      <w:r w:rsidRPr="00EC0229">
        <w:fldChar w:fldCharType="begin"/>
      </w:r>
      <w:r w:rsidRPr="00EC0229">
        <w:instrText xml:space="preserve"> XE "iconography" </w:instrText>
      </w:r>
      <w:r w:rsidRPr="00EC0229">
        <w:fldChar w:fldCharType="end"/>
      </w:r>
      <w:r w:rsidRPr="00EC0229">
        <w:t>. Furthermore, the growing list of specimens has diluted the initial focus on finds in urban York. The distribution is widespread</w:t>
      </w:r>
      <w:r w:rsidR="00101802" w:rsidRPr="00EC0229">
        <w:t>, witnessing Paulinus’s mass-baptismal activity</w:t>
      </w:r>
      <w:r w:rsidRPr="00EC0229">
        <w:t xml:space="preserve"> and further find</w:t>
      </w:r>
      <w:r w:rsidR="00101802" w:rsidRPr="00EC0229">
        <w:t xml:space="preserve">s can be anticipated. The less rare varieties of the group may be </w:t>
      </w:r>
      <w:r w:rsidR="00076744">
        <w:t>é</w:t>
      </w:r>
      <w:r w:rsidR="00101802" w:rsidRPr="00EC0229">
        <w:t xml:space="preserve">lite currency and the rare and unique specimens are, </w:t>
      </w:r>
      <w:r w:rsidRPr="00EC0229">
        <w:t xml:space="preserve">more </w:t>
      </w:r>
      <w:r w:rsidR="00076744">
        <w:t xml:space="preserve">likely, </w:t>
      </w:r>
      <w:r w:rsidRPr="00EC0229">
        <w:t xml:space="preserve">commemorative special issues </w:t>
      </w:r>
      <w:r w:rsidR="00101802" w:rsidRPr="00EC0229">
        <w:t xml:space="preserve">rather </w:t>
      </w:r>
      <w:r w:rsidRPr="00EC0229">
        <w:t>than a medium of exchange</w:t>
      </w:r>
      <w:r w:rsidRPr="00EC0229">
        <w:fldChar w:fldCharType="begin"/>
      </w:r>
      <w:r w:rsidRPr="00EC0229">
        <w:instrText xml:space="preserve"> XE "</w:instrText>
      </w:r>
      <w:r w:rsidRPr="00EC0229">
        <w:rPr>
          <w:rFonts w:cs="Times New Roman"/>
          <w:szCs w:val="24"/>
        </w:rPr>
        <w:instrText>medium of exchange</w:instrText>
      </w:r>
      <w:r w:rsidRPr="00EC0229">
        <w:instrText xml:space="preserve">" </w:instrText>
      </w:r>
      <w:r w:rsidRPr="00EC0229">
        <w:fldChar w:fldCharType="end"/>
      </w:r>
      <w:r w:rsidRPr="00EC0229">
        <w:t>.</w:t>
      </w:r>
    </w:p>
    <w:p w14:paraId="14B28513" w14:textId="77777777" w:rsidR="00CE6FE5" w:rsidRPr="00EC0229" w:rsidRDefault="00CE6FE5" w:rsidP="007600EA">
      <w:pPr>
        <w:pStyle w:val="NoSpacing"/>
        <w:spacing w:line="360" w:lineRule="auto"/>
      </w:pPr>
    </w:p>
    <w:p w14:paraId="1FA7D7EA" w14:textId="0E8F0226" w:rsidR="00CE6FE5" w:rsidRPr="00EC0229" w:rsidRDefault="00CE6FE5" w:rsidP="007600EA">
      <w:pPr>
        <w:pStyle w:val="NoSpacing"/>
        <w:spacing w:line="360" w:lineRule="auto"/>
      </w:pPr>
      <w:r w:rsidRPr="00EC0229">
        <w:t>The association of Aldfrith</w:t>
      </w:r>
      <w:r w:rsidRPr="00EC0229">
        <w:fldChar w:fldCharType="begin"/>
      </w:r>
      <w:r w:rsidRPr="00EC0229">
        <w:instrText xml:space="preserve"> XE "Aldfrith" </w:instrText>
      </w:r>
      <w:r w:rsidRPr="00EC0229">
        <w:fldChar w:fldCharType="end"/>
      </w:r>
      <w:r w:rsidRPr="00EC0229">
        <w:t>’s first Northumbrian silver coinage (</w:t>
      </w:r>
      <w:r w:rsidRPr="00EC0229">
        <w:fldChar w:fldCharType="begin"/>
      </w:r>
      <w:r w:rsidRPr="00EC0229">
        <w:instrText xml:space="preserve"> PAGEREF Period4a \h </w:instrText>
      </w:r>
      <w:r w:rsidRPr="00EC0229">
        <w:fldChar w:fldCharType="separate"/>
      </w:r>
      <w:r w:rsidR="0012026B">
        <w:rPr>
          <w:noProof/>
        </w:rPr>
        <w:t>116</w:t>
      </w:r>
      <w:r w:rsidRPr="00EC0229">
        <w:fldChar w:fldCharType="end"/>
      </w:r>
      <w:r w:rsidRPr="00EC0229">
        <w:t>) with the primary phase of sceats is little challenged by the recent discussion on the dating of grave finds. The two-decade, apparent difference in archaeological</w:t>
      </w:r>
      <w:r w:rsidRPr="00EC0229">
        <w:fldChar w:fldCharType="begin"/>
      </w:r>
      <w:r w:rsidRPr="00EC0229">
        <w:instrText xml:space="preserve"> XE "</w:instrText>
      </w:r>
      <w:r w:rsidRPr="00EC0229">
        <w:rPr>
          <w:rFonts w:eastAsia="Times New Roman" w:cs="Times New Roman"/>
          <w:szCs w:val="24"/>
          <w:lang w:eastAsia="en-GB"/>
        </w:rPr>
        <w:instrText>archaeological</w:instrText>
      </w:r>
      <w:r w:rsidRPr="00EC0229">
        <w:instrText xml:space="preserve">" </w:instrText>
      </w:r>
      <w:r w:rsidRPr="00EC0229">
        <w:fldChar w:fldCharType="end"/>
      </w:r>
      <w:r w:rsidRPr="00EC0229">
        <w:t xml:space="preserve"> and numismatic chronology currently remains unresolved. However, the southern primary sceatta</w:t>
      </w:r>
      <w:r w:rsidRPr="00EC0229">
        <w:fldChar w:fldCharType="begin"/>
      </w:r>
      <w:r w:rsidRPr="00EC0229">
        <w:instrText xml:space="preserve"> XE "sceatta" </w:instrText>
      </w:r>
      <w:r w:rsidRPr="00EC0229">
        <w:fldChar w:fldCharType="end"/>
      </w:r>
      <w:r w:rsidRPr="00EC0229">
        <w:t xml:space="preserve"> phase (</w:t>
      </w:r>
      <w:r w:rsidRPr="00EC0229">
        <w:fldChar w:fldCharType="begin"/>
      </w:r>
      <w:r w:rsidRPr="00EC0229">
        <w:instrText xml:space="preserve"> PAGEREF Period4b \h </w:instrText>
      </w:r>
      <w:r w:rsidRPr="00EC0229">
        <w:fldChar w:fldCharType="separate"/>
      </w:r>
      <w:r w:rsidR="0012026B">
        <w:rPr>
          <w:noProof/>
        </w:rPr>
        <w:t>117</w:t>
      </w:r>
      <w:r w:rsidRPr="00EC0229">
        <w:fldChar w:fldCharType="end"/>
      </w:r>
      <w:r w:rsidRPr="00EC0229">
        <w:t>) is earlier and of longer duration, than the northern primary sceats.</w:t>
      </w:r>
    </w:p>
    <w:p w14:paraId="0512E45C" w14:textId="77777777" w:rsidR="00CE6FE5" w:rsidRPr="00EC0229" w:rsidRDefault="00CE6FE5" w:rsidP="007600EA">
      <w:pPr>
        <w:pStyle w:val="NoSpacing"/>
        <w:spacing w:line="360" w:lineRule="auto"/>
      </w:pPr>
    </w:p>
    <w:p w14:paraId="40CF4150" w14:textId="433A839E" w:rsidR="00CE6FE5" w:rsidRPr="00EC0229" w:rsidRDefault="00CE6FE5" w:rsidP="007600EA">
      <w:pPr>
        <w:pStyle w:val="NoSpacing"/>
        <w:spacing w:line="360" w:lineRule="auto"/>
      </w:pPr>
      <w:r w:rsidRPr="00EC0229">
        <w:t>While functionally identical, the secondary sceatta</w:t>
      </w:r>
      <w:r w:rsidRPr="00EC0229">
        <w:fldChar w:fldCharType="begin"/>
      </w:r>
      <w:r w:rsidRPr="00EC0229">
        <w:instrText xml:space="preserve"> XE "sceatta" </w:instrText>
      </w:r>
      <w:r w:rsidRPr="00EC0229">
        <w:fldChar w:fldCharType="end"/>
      </w:r>
      <w:r w:rsidRPr="00EC0229">
        <w:t xml:space="preserve"> phases of north and south are also dissociated, with the former starting and ending later. This disconnect is not merely temporal and spatial but political and religious. The southern sceats are typically anonymous, rich in Conversion Period</w:t>
      </w:r>
      <w:r w:rsidRPr="00EC0229">
        <w:fldChar w:fldCharType="begin"/>
      </w:r>
      <w:r w:rsidRPr="00EC0229">
        <w:instrText xml:space="preserve"> XE "</w:instrText>
      </w:r>
      <w:r w:rsidRPr="00EC0229">
        <w:rPr>
          <w:rFonts w:cs="Times New Roman"/>
        </w:rPr>
        <w:instrText>Conversion Period</w:instrText>
      </w:r>
      <w:r w:rsidRPr="00EC0229">
        <w:instrText xml:space="preserve">" </w:instrText>
      </w:r>
      <w:r w:rsidRPr="00EC0229">
        <w:fldChar w:fldCharType="end"/>
      </w:r>
      <w:r w:rsidR="00802AB1" w:rsidRPr="00EC0229">
        <w:t xml:space="preserve"> iconography</w:t>
      </w:r>
      <w:r w:rsidRPr="00EC0229">
        <w:t xml:space="preserve"> and intentionally ambiguous often with apotropaic elements. </w:t>
      </w:r>
      <w:r w:rsidRPr="00EC0229">
        <w:lastRenderedPageBreak/>
        <w:t xml:space="preserve">The northern sceats are conservative and uniform and, from commencement, carry the issuer’s (or -s’) </w:t>
      </w:r>
      <w:r w:rsidRPr="00EC0229">
        <w:rPr>
          <w:i/>
        </w:rPr>
        <w:t>imprimatur</w:t>
      </w:r>
      <w:r w:rsidRPr="00EC0229">
        <w:t>.</w:t>
      </w:r>
    </w:p>
    <w:p w14:paraId="6A097420" w14:textId="77777777" w:rsidR="00CE6FE5" w:rsidRPr="00EC0229" w:rsidRDefault="00CE6FE5" w:rsidP="007600EA">
      <w:pPr>
        <w:pStyle w:val="NoSpacing"/>
        <w:spacing w:line="360" w:lineRule="auto"/>
      </w:pPr>
    </w:p>
    <w:p w14:paraId="07B8D635" w14:textId="127CE40E" w:rsidR="00CE6FE5" w:rsidRPr="00EC0229" w:rsidRDefault="00CE6FE5" w:rsidP="007600EA">
      <w:pPr>
        <w:spacing w:line="360" w:lineRule="auto"/>
        <w:rPr>
          <w:rFonts w:cs="Times New Roman"/>
          <w:szCs w:val="24"/>
        </w:rPr>
      </w:pPr>
      <w:r w:rsidRPr="00EC0229">
        <w:rPr>
          <w:rFonts w:cs="Times New Roman"/>
          <w:szCs w:val="24"/>
        </w:rPr>
        <w:t xml:space="preserve">Bede </w:t>
      </w:r>
      <w:r w:rsidRPr="00EC0229">
        <w:rPr>
          <w:rFonts w:cs="Times New Roman"/>
          <w:szCs w:val="24"/>
        </w:rPr>
        <w:fldChar w:fldCharType="begin"/>
      </w:r>
      <w:r w:rsidRPr="00EC0229">
        <w:instrText xml:space="preserve"> XE "</w:instrText>
      </w:r>
      <w:r w:rsidRPr="00EC0229">
        <w:rPr>
          <w:bCs/>
          <w:sz w:val="20"/>
          <w:szCs w:val="20"/>
        </w:rPr>
        <w:instrText>Bede</w:instrText>
      </w:r>
      <w:r w:rsidRPr="00EC0229">
        <w:instrText xml:space="preserve">" </w:instrText>
      </w:r>
      <w:r w:rsidRPr="00EC0229">
        <w:rPr>
          <w:rFonts w:cs="Times New Roman"/>
          <w:szCs w:val="24"/>
        </w:rPr>
        <w:fldChar w:fldCharType="end"/>
      </w:r>
      <w:r w:rsidRPr="00EC0229">
        <w:rPr>
          <w:rFonts w:cs="Times New Roman"/>
          <w:szCs w:val="24"/>
        </w:rPr>
        <w:t>noted that Wulfhere</w:t>
      </w:r>
      <w:r w:rsidRPr="00EC0229">
        <w:rPr>
          <w:rFonts w:cs="Times New Roman"/>
          <w:szCs w:val="24"/>
        </w:rPr>
        <w:fldChar w:fldCharType="begin"/>
      </w:r>
      <w:r w:rsidRPr="00EC0229">
        <w:instrText xml:space="preserve"> XE "Wulfhere" </w:instrText>
      </w:r>
      <w:r w:rsidRPr="00EC0229">
        <w:rPr>
          <w:rFonts w:cs="Times New Roman"/>
          <w:szCs w:val="24"/>
        </w:rPr>
        <w:fldChar w:fldCharType="end"/>
      </w:r>
      <w:r w:rsidRPr="00EC0229">
        <w:rPr>
          <w:rFonts w:cs="Times New Roman"/>
          <w:szCs w:val="24"/>
        </w:rPr>
        <w:t xml:space="preserve"> approved Bishop Wilfrid</w:t>
      </w:r>
      <w:r w:rsidRPr="00EC0229">
        <w:rPr>
          <w:rFonts w:cs="Times New Roman"/>
          <w:szCs w:val="24"/>
        </w:rPr>
        <w:fldChar w:fldCharType="begin"/>
      </w:r>
      <w:r w:rsidRPr="00EC0229">
        <w:instrText xml:space="preserve"> XE "</w:instrText>
      </w:r>
      <w:r w:rsidRPr="00EC0229">
        <w:rPr>
          <w:rStyle w:val="Hyperlink"/>
          <w:noProof/>
          <w:u w:val="none"/>
        </w:rPr>
        <w:instrText>Wilfrid</w:instrText>
      </w:r>
      <w:r w:rsidRPr="00EC0229">
        <w:instrText xml:space="preserve">" </w:instrText>
      </w:r>
      <w:r w:rsidRPr="00EC0229">
        <w:rPr>
          <w:rFonts w:cs="Times New Roman"/>
          <w:szCs w:val="24"/>
        </w:rPr>
        <w:fldChar w:fldCharType="end"/>
      </w:r>
      <w:r w:rsidRPr="00EC0229">
        <w:rPr>
          <w:rFonts w:cs="Times New Roman"/>
          <w:szCs w:val="24"/>
        </w:rPr>
        <w:t>'s appointment of four priests, including a Padda and an Eappa, to baptize the West Saxons.</w:t>
      </w:r>
      <w:r w:rsidRPr="00EC0229">
        <w:rPr>
          <w:rStyle w:val="FootnoteReference"/>
          <w:rFonts w:cs="Times New Roman"/>
          <w:szCs w:val="24"/>
        </w:rPr>
        <w:footnoteReference w:id="1260"/>
      </w:r>
      <w:r w:rsidRPr="00EC0229">
        <w:rPr>
          <w:rFonts w:cs="Times New Roman"/>
          <w:szCs w:val="24"/>
        </w:rPr>
        <w:t xml:space="preserve">  Solely on the grounds of propinquity, Padda could be associated with the thrymsa</w:t>
      </w:r>
      <w:r w:rsidRPr="00EC0229">
        <w:rPr>
          <w:rFonts w:cs="Times New Roman"/>
          <w:szCs w:val="24"/>
        </w:rPr>
        <w:fldChar w:fldCharType="begin"/>
      </w:r>
      <w:r w:rsidRPr="00EC0229">
        <w:instrText xml:space="preserve"> XE "thrymsa" </w:instrText>
      </w:r>
      <w:r w:rsidRPr="00EC0229">
        <w:rPr>
          <w:rFonts w:cs="Times New Roman"/>
          <w:szCs w:val="24"/>
        </w:rPr>
        <w:fldChar w:fldCharType="end"/>
      </w:r>
      <w:r w:rsidRPr="00EC0229">
        <w:rPr>
          <w:rFonts w:cs="Times New Roman"/>
          <w:szCs w:val="24"/>
        </w:rPr>
        <w:t xml:space="preserve"> moneyer PADA (rendered in runes, </w:t>
      </w:r>
      <w:r w:rsidRPr="00EC0229">
        <w:rPr>
          <w:rFonts w:ascii="AngloSaxon Runes" w:hAnsi="AngloSaxon Runes" w:cs="Times New Roman"/>
          <w:szCs w:val="24"/>
        </w:rPr>
        <w:t>pada</w:t>
      </w:r>
      <w:r w:rsidRPr="00EC0229">
        <w:rPr>
          <w:rFonts w:cs="Times New Roman"/>
          <w:szCs w:val="24"/>
        </w:rPr>
        <w:t>) i.e. he is in the right place, time and relationship.</w:t>
      </w:r>
      <w:r w:rsidRPr="00EC0229">
        <w:rPr>
          <w:rStyle w:val="FootnoteReference"/>
          <w:rFonts w:cs="Times New Roman"/>
          <w:szCs w:val="24"/>
        </w:rPr>
        <w:footnoteReference w:id="1261"/>
      </w:r>
      <w:r w:rsidRPr="00EC0229">
        <w:rPr>
          <w:rFonts w:cs="Times New Roman"/>
          <w:szCs w:val="24"/>
        </w:rPr>
        <w:t xml:space="preserve"> Bede described how a young boy's death by disease on the anniversary of Oswald</w:t>
      </w:r>
      <w:r w:rsidRPr="00EC0229">
        <w:rPr>
          <w:rFonts w:cs="Times New Roman"/>
          <w:szCs w:val="24"/>
        </w:rPr>
        <w:fldChar w:fldCharType="begin"/>
      </w:r>
      <w:r w:rsidRPr="00EC0229">
        <w:instrText xml:space="preserve"> XE "</w:instrText>
      </w:r>
      <w:r w:rsidRPr="00EC0229">
        <w:rPr>
          <w:rFonts w:cs="Times New Roman"/>
          <w:szCs w:val="24"/>
        </w:rPr>
        <w:instrText>Oswald</w:instrText>
      </w:r>
      <w:r w:rsidRPr="00EC0229">
        <w:instrText xml:space="preserve">" </w:instrText>
      </w:r>
      <w:r w:rsidRPr="00EC0229">
        <w:rPr>
          <w:rFonts w:cs="Times New Roman"/>
          <w:szCs w:val="24"/>
        </w:rPr>
        <w:fldChar w:fldCharType="end"/>
      </w:r>
      <w:r w:rsidRPr="00EC0229">
        <w:rPr>
          <w:rFonts w:cs="Times New Roman"/>
          <w:szCs w:val="24"/>
        </w:rPr>
        <w:t xml:space="preserve">'s demise was regarded as preventing </w:t>
      </w:r>
      <w:r w:rsidR="00802AB1" w:rsidRPr="00EC0229">
        <w:rPr>
          <w:rFonts w:cs="Times New Roman"/>
          <w:szCs w:val="24"/>
        </w:rPr>
        <w:t xml:space="preserve">an </w:t>
      </w:r>
      <w:r w:rsidRPr="00EC0229">
        <w:rPr>
          <w:rFonts w:cs="Times New Roman"/>
          <w:szCs w:val="24"/>
        </w:rPr>
        <w:t>epidemic from spreading throughout Eappa's monastery at Selsey.</w:t>
      </w:r>
      <w:r w:rsidRPr="00EC0229">
        <w:rPr>
          <w:rStyle w:val="FootnoteReference"/>
          <w:rFonts w:cs="Times New Roman"/>
          <w:szCs w:val="24"/>
        </w:rPr>
        <w:footnoteReference w:id="1262"/>
      </w:r>
      <w:r w:rsidRPr="00EC0229">
        <w:rPr>
          <w:rFonts w:cs="Times New Roman"/>
          <w:szCs w:val="24"/>
        </w:rPr>
        <w:t xml:space="preserve"> This event was celebrated widely each year. On the basis that Eappa's unusual name on the coinage would be excellent propaganda for the Church, as well as acting as an amuletic ‘touch-piece’ perceived as preventing plague, and so enhancing the currency of the coinage, Eappa could be equated with the moneyer EPA (</w:t>
      </w:r>
      <w:r w:rsidRPr="00EC0229">
        <w:rPr>
          <w:rFonts w:ascii="AngloSaxon Runes" w:hAnsi="AngloSaxon Runes" w:cs="Times New Roman"/>
          <w:sz w:val="20"/>
          <w:szCs w:val="20"/>
        </w:rPr>
        <w:t>epa</w:t>
      </w:r>
      <w:r w:rsidRPr="00EC0229">
        <w:rPr>
          <w:rFonts w:cs="Times New Roman"/>
          <w:szCs w:val="24"/>
        </w:rPr>
        <w:t>) as inscribed on the widespread, long-lived and prolific ‘runic bust’ sceats of Series</w:t>
      </w:r>
      <w:r w:rsidRPr="00EC0229">
        <w:rPr>
          <w:rFonts w:cs="Times New Roman"/>
          <w:szCs w:val="24"/>
        </w:rPr>
        <w:fldChar w:fldCharType="begin"/>
      </w:r>
      <w:r w:rsidRPr="00EC0229">
        <w:instrText xml:space="preserve"> XE "Series" </w:instrText>
      </w:r>
      <w:r w:rsidRPr="00EC0229">
        <w:rPr>
          <w:rFonts w:cs="Times New Roman"/>
          <w:szCs w:val="24"/>
        </w:rPr>
        <w:fldChar w:fldCharType="end"/>
      </w:r>
      <w:r w:rsidRPr="00EC0229">
        <w:rPr>
          <w:rFonts w:cs="Times New Roman"/>
          <w:szCs w:val="24"/>
        </w:rPr>
        <w:t xml:space="preserve"> C, D and R, despite the slight delay. Admittedly, Bede may have drawn our attention to this; perhaps he was discouraged by the use of runes.</w:t>
      </w:r>
      <w:r w:rsidRPr="00EC0229">
        <w:rPr>
          <w:rStyle w:val="FootnoteReference"/>
          <w:rFonts w:cs="Times New Roman"/>
          <w:szCs w:val="24"/>
        </w:rPr>
        <w:footnoteReference w:id="1263"/>
      </w:r>
    </w:p>
    <w:p w14:paraId="5C45A50E" w14:textId="4B69283A" w:rsidR="0086379A" w:rsidRPr="00EC0229" w:rsidRDefault="00876C79" w:rsidP="007600EA">
      <w:pPr>
        <w:spacing w:line="360" w:lineRule="auto"/>
        <w:rPr>
          <w:rFonts w:cs="Times New Roman"/>
          <w:szCs w:val="24"/>
        </w:rPr>
      </w:pPr>
      <w:r w:rsidRPr="00EC0229">
        <w:rPr>
          <w:rFonts w:cs="Times New Roman"/>
          <w:szCs w:val="24"/>
        </w:rPr>
        <w:t xml:space="preserve">The proposal by Pirie, </w:t>
      </w:r>
      <w:proofErr w:type="gramStart"/>
      <w:r w:rsidRPr="00EC0229">
        <w:rPr>
          <w:rFonts w:cs="Times New Roman"/>
          <w:szCs w:val="24"/>
        </w:rPr>
        <w:t>Booth</w:t>
      </w:r>
      <w:proofErr w:type="gramEnd"/>
      <w:r w:rsidRPr="00EC0229">
        <w:rPr>
          <w:rFonts w:cs="Times New Roman"/>
          <w:szCs w:val="24"/>
        </w:rPr>
        <w:t xml:space="preserve"> and Lyon (</w:t>
      </w:r>
      <w:r w:rsidR="000154DC">
        <w:rPr>
          <w:rFonts w:cs="Times New Roman"/>
          <w:i/>
          <w:szCs w:val="24"/>
        </w:rPr>
        <w:t>fn.</w:t>
      </w:r>
      <w:r w:rsidRPr="00EC0229">
        <w:rPr>
          <w:rFonts w:cs="Times New Roman"/>
          <w:szCs w:val="24"/>
        </w:rPr>
        <w:t xml:space="preserve"> </w:t>
      </w:r>
      <w:r w:rsidRPr="00EC0229">
        <w:rPr>
          <w:rFonts w:cs="Times New Roman"/>
          <w:szCs w:val="24"/>
        </w:rPr>
        <w:fldChar w:fldCharType="begin"/>
      </w:r>
      <w:r w:rsidRPr="00EC0229">
        <w:rPr>
          <w:rFonts w:cs="Times New Roman"/>
          <w:szCs w:val="24"/>
        </w:rPr>
        <w:instrText xml:space="preserve"> NOTEREF _Ref446227829 \h </w:instrText>
      </w:r>
      <w:r w:rsidRPr="00EC0229">
        <w:rPr>
          <w:rFonts w:cs="Times New Roman"/>
          <w:szCs w:val="24"/>
        </w:rPr>
      </w:r>
      <w:r w:rsidRPr="00EC0229">
        <w:rPr>
          <w:rFonts w:cs="Times New Roman"/>
          <w:szCs w:val="24"/>
        </w:rPr>
        <w:fldChar w:fldCharType="separate"/>
      </w:r>
      <w:r w:rsidR="0012026B">
        <w:rPr>
          <w:rFonts w:cs="Times New Roman"/>
          <w:szCs w:val="24"/>
        </w:rPr>
        <w:t>672</w:t>
      </w:r>
      <w:r w:rsidRPr="00EC0229">
        <w:rPr>
          <w:rFonts w:cs="Times New Roman"/>
          <w:szCs w:val="24"/>
        </w:rPr>
        <w:fldChar w:fldCharType="end"/>
      </w:r>
      <w:r w:rsidRPr="00EC0229">
        <w:rPr>
          <w:rFonts w:cs="Times New Roman"/>
          <w:szCs w:val="24"/>
        </w:rPr>
        <w:t>) that Eanred’s accession date need be put back by several years i</w:t>
      </w:r>
      <w:r w:rsidR="005436B1" w:rsidRPr="00EC0229">
        <w:rPr>
          <w:rFonts w:cs="Times New Roman"/>
          <w:szCs w:val="24"/>
        </w:rPr>
        <w:t>s here supported by reference</w:t>
      </w:r>
      <w:r w:rsidRPr="00EC0229">
        <w:rPr>
          <w:rFonts w:cs="Times New Roman"/>
          <w:szCs w:val="24"/>
        </w:rPr>
        <w:t xml:space="preserve"> to annualized productivity, page </w:t>
      </w:r>
      <w:r w:rsidRPr="00EC0229">
        <w:rPr>
          <w:rFonts w:cs="Times New Roman"/>
          <w:szCs w:val="24"/>
        </w:rPr>
        <w:fldChar w:fldCharType="begin"/>
      </w:r>
      <w:r w:rsidRPr="00EC0229">
        <w:rPr>
          <w:rFonts w:cs="Times New Roman"/>
          <w:szCs w:val="24"/>
        </w:rPr>
        <w:instrText xml:space="preserve"> PAGEREF Annualizedproduction \h </w:instrText>
      </w:r>
      <w:r w:rsidRPr="00EC0229">
        <w:rPr>
          <w:rFonts w:cs="Times New Roman"/>
          <w:szCs w:val="24"/>
        </w:rPr>
      </w:r>
      <w:r w:rsidRPr="00EC0229">
        <w:rPr>
          <w:rFonts w:cs="Times New Roman"/>
          <w:szCs w:val="24"/>
        </w:rPr>
        <w:fldChar w:fldCharType="separate"/>
      </w:r>
      <w:r w:rsidR="0012026B">
        <w:rPr>
          <w:rFonts w:cs="Times New Roman"/>
          <w:noProof/>
          <w:szCs w:val="24"/>
        </w:rPr>
        <w:t>170</w:t>
      </w:r>
      <w:r w:rsidRPr="00EC0229">
        <w:rPr>
          <w:rFonts w:cs="Times New Roman"/>
          <w:szCs w:val="24"/>
        </w:rPr>
        <w:fldChar w:fldCharType="end"/>
      </w:r>
      <w:r w:rsidRPr="00EC0229">
        <w:rPr>
          <w:rFonts w:cs="Times New Roman"/>
          <w:szCs w:val="24"/>
        </w:rPr>
        <w:t xml:space="preserve">. </w:t>
      </w:r>
    </w:p>
    <w:p w14:paraId="65152D09" w14:textId="5640B32D" w:rsidR="004C668D" w:rsidRPr="00EC0229" w:rsidRDefault="004C668D" w:rsidP="007600EA">
      <w:pPr>
        <w:spacing w:line="360" w:lineRule="auto"/>
        <w:rPr>
          <w:rFonts w:cs="Times New Roman"/>
          <w:szCs w:val="24"/>
        </w:rPr>
      </w:pPr>
      <w:r w:rsidRPr="00EC0229">
        <w:rPr>
          <w:rFonts w:cs="Times New Roman"/>
          <w:szCs w:val="24"/>
        </w:rPr>
        <w:t xml:space="preserve">As stated in </w:t>
      </w:r>
      <w:r w:rsidR="00923167">
        <w:rPr>
          <w:rFonts w:cs="Times New Roman"/>
          <w:szCs w:val="24"/>
        </w:rPr>
        <w:t>Chapter</w:t>
      </w:r>
      <w:r w:rsidRPr="00EC0229">
        <w:rPr>
          <w:rFonts w:cs="Times New Roman"/>
          <w:szCs w:val="24"/>
        </w:rPr>
        <w:t xml:space="preserve"> 6, </w:t>
      </w:r>
      <w:r w:rsidR="005D0690" w:rsidRPr="00EC0229">
        <w:rPr>
          <w:rFonts w:cs="Times New Roman"/>
          <w:i/>
          <w:szCs w:val="24"/>
        </w:rPr>
        <w:t>Database 1</w:t>
      </w:r>
      <w:r w:rsidRPr="00EC0229">
        <w:rPr>
          <w:rFonts w:cs="Times New Roman"/>
          <w:szCs w:val="24"/>
        </w:rPr>
        <w:t xml:space="preserve"> lends itself to conventional numismatic interpretation (</w:t>
      </w:r>
      <w:r w:rsidRPr="00EC0229">
        <w:rPr>
          <w:rFonts w:cs="Times New Roman"/>
          <w:szCs w:val="24"/>
        </w:rPr>
        <w:fldChar w:fldCharType="begin"/>
      </w:r>
      <w:r w:rsidRPr="00EC0229">
        <w:rPr>
          <w:rFonts w:cs="Times New Roman"/>
          <w:szCs w:val="24"/>
        </w:rPr>
        <w:instrText xml:space="preserve"> PAGEREF _Ref465168939 \h </w:instrText>
      </w:r>
      <w:r w:rsidRPr="00EC0229">
        <w:rPr>
          <w:rFonts w:cs="Times New Roman"/>
          <w:szCs w:val="24"/>
        </w:rPr>
      </w:r>
      <w:r w:rsidRPr="00EC0229">
        <w:rPr>
          <w:rFonts w:cs="Times New Roman"/>
          <w:szCs w:val="24"/>
        </w:rPr>
        <w:fldChar w:fldCharType="separate"/>
      </w:r>
      <w:r w:rsidR="0012026B">
        <w:rPr>
          <w:rFonts w:cs="Times New Roman"/>
          <w:noProof/>
          <w:szCs w:val="24"/>
        </w:rPr>
        <w:t>159</w:t>
      </w:r>
      <w:r w:rsidRPr="00EC0229">
        <w:rPr>
          <w:rFonts w:cs="Times New Roman"/>
          <w:szCs w:val="24"/>
        </w:rPr>
        <w:fldChar w:fldCharType="end"/>
      </w:r>
      <w:r w:rsidRPr="00EC0229">
        <w:rPr>
          <w:rFonts w:cs="Times New Roman"/>
          <w:szCs w:val="24"/>
        </w:rPr>
        <w:t>).</w:t>
      </w:r>
    </w:p>
    <w:p w14:paraId="6B043A03" w14:textId="044E58E5" w:rsidR="00C57DCF" w:rsidRPr="00624DF5" w:rsidRDefault="002979EC" w:rsidP="007C71C5">
      <w:pPr>
        <w:pStyle w:val="Heading4"/>
        <w:spacing w:line="360" w:lineRule="auto"/>
        <w:rPr>
          <w:b/>
        </w:rPr>
      </w:pPr>
      <w:bookmarkStart w:id="935" w:name="_Toc468266951"/>
      <w:r>
        <w:rPr>
          <w:b/>
        </w:rPr>
        <w:t>9.1.1.1</w:t>
      </w:r>
      <w:r w:rsidR="007C71C5" w:rsidRPr="007C71C5">
        <w:rPr>
          <w:b/>
        </w:rPr>
        <w:tab/>
      </w:r>
      <w:r w:rsidR="004C668D" w:rsidRPr="00624DF5">
        <w:rPr>
          <w:rStyle w:val="Heading4Char"/>
          <w:b/>
        </w:rPr>
        <w:t>The normal distribution, stycas</w:t>
      </w:r>
      <w:bookmarkEnd w:id="935"/>
      <w:r w:rsidR="004C668D" w:rsidRPr="00624DF5">
        <w:rPr>
          <w:rStyle w:val="Heading4Char"/>
          <w:b/>
        </w:rPr>
        <w:fldChar w:fldCharType="begin"/>
      </w:r>
      <w:r w:rsidR="004C668D" w:rsidRPr="00624DF5">
        <w:rPr>
          <w:b/>
        </w:rPr>
        <w:instrText xml:space="preserve"> XE "</w:instrText>
      </w:r>
      <w:r w:rsidR="004C668D" w:rsidRPr="00624DF5">
        <w:rPr>
          <w:rStyle w:val="Hyperlink"/>
          <w:b/>
          <w:noProof/>
          <w:u w:val="none"/>
        </w:rPr>
        <w:instrText>normal distribution</w:instrText>
      </w:r>
      <w:r w:rsidR="004C668D" w:rsidRPr="00624DF5">
        <w:rPr>
          <w:b/>
        </w:rPr>
        <w:instrText xml:space="preserve">" </w:instrText>
      </w:r>
      <w:r w:rsidR="004C668D" w:rsidRPr="00624DF5">
        <w:rPr>
          <w:rStyle w:val="Heading4Char"/>
          <w:b/>
        </w:rPr>
        <w:fldChar w:fldCharType="end"/>
      </w:r>
      <w:r w:rsidR="004C668D" w:rsidRPr="00624DF5">
        <w:rPr>
          <w:b/>
        </w:rPr>
        <w:t xml:space="preserve">  </w:t>
      </w:r>
    </w:p>
    <w:p w14:paraId="476E593A" w14:textId="421751B4" w:rsidR="004C668D" w:rsidRPr="00EC0229" w:rsidRDefault="004C668D" w:rsidP="006C2237">
      <w:pPr>
        <w:spacing w:line="360" w:lineRule="auto"/>
      </w:pPr>
      <w:r w:rsidRPr="00EC0229">
        <w:t>As described above a normal distribution</w:t>
      </w:r>
      <w:r w:rsidRPr="00EC0229">
        <w:fldChar w:fldCharType="begin"/>
      </w:r>
      <w:r w:rsidRPr="00EC0229">
        <w:instrText xml:space="preserve"> XE "</w:instrText>
      </w:r>
      <w:r w:rsidRPr="00EC0229">
        <w:rPr>
          <w:rStyle w:val="Hyperlink"/>
          <w:noProof/>
          <w:u w:val="none"/>
        </w:rPr>
        <w:instrText>normal distribution</w:instrText>
      </w:r>
      <w:r w:rsidRPr="00EC0229">
        <w:instrText xml:space="preserve">" </w:instrText>
      </w:r>
      <w:r w:rsidRPr="00EC0229">
        <w:fldChar w:fldCharType="end"/>
      </w:r>
      <w:r w:rsidRPr="00EC0229">
        <w:t xml:space="preserve"> for large assemblies of stycas is a useful tool e.g. for dating hoards</w:t>
      </w:r>
      <w:r w:rsidR="006C2237" w:rsidRPr="00EC0229">
        <w:t>, (</w:t>
      </w:r>
      <w:r w:rsidR="00CB5951">
        <w:rPr>
          <w:i/>
        </w:rPr>
        <w:t>Data</w:t>
      </w:r>
      <w:r w:rsidR="006C2237" w:rsidRPr="00EC0229">
        <w:rPr>
          <w:i/>
        </w:rPr>
        <w:t>se</w:t>
      </w:r>
      <w:r w:rsidR="00CB5951">
        <w:rPr>
          <w:i/>
        </w:rPr>
        <w:t>t 6.04</w:t>
      </w:r>
      <w:r w:rsidR="006C2237" w:rsidRPr="00EC0229">
        <w:rPr>
          <w:i/>
        </w:rPr>
        <w:fldChar w:fldCharType="begin"/>
      </w:r>
      <w:r w:rsidR="006C2237" w:rsidRPr="00EC0229">
        <w:rPr>
          <w:i/>
        </w:rPr>
        <w:instrText xml:space="preserve"> XE "</w:instrText>
      </w:r>
      <w:r w:rsidR="006C2237" w:rsidRPr="00EC0229">
        <w:rPr>
          <w:i/>
          <w:noProof/>
        </w:rPr>
        <w:instrText>Database</w:instrText>
      </w:r>
      <w:r w:rsidR="006C2237" w:rsidRPr="00EC0229">
        <w:rPr>
          <w:i/>
        </w:rPr>
        <w:instrText xml:space="preserve">" </w:instrText>
      </w:r>
      <w:r w:rsidR="006C2237" w:rsidRPr="00EC0229">
        <w:rPr>
          <w:i/>
        </w:rPr>
        <w:fldChar w:fldCharType="end"/>
      </w:r>
      <w:r w:rsidR="006C2237" w:rsidRPr="00EC0229">
        <w:t>)</w:t>
      </w:r>
      <w:r w:rsidRPr="00EC0229">
        <w:t xml:space="preserve">. </w:t>
      </w:r>
      <w:r w:rsidRPr="00EC0229">
        <w:rPr>
          <w:bCs/>
          <w:i/>
          <w:iCs/>
        </w:rPr>
        <w:t xml:space="preserve">Table </w:t>
      </w:r>
      <w:r w:rsidR="0009732D" w:rsidRPr="00EC0229">
        <w:rPr>
          <w:bCs/>
          <w:i/>
          <w:iCs/>
        </w:rPr>
        <w:t>7.</w:t>
      </w:r>
      <w:r w:rsidRPr="00EC0229">
        <w:rPr>
          <w:bCs/>
          <w:i/>
          <w:iCs/>
        </w:rPr>
        <w:t>1</w:t>
      </w:r>
      <w:r w:rsidR="0009732D" w:rsidRPr="00EC0229">
        <w:rPr>
          <w:bCs/>
          <w:i/>
          <w:iCs/>
        </w:rPr>
        <w:t>3</w:t>
      </w:r>
      <w:r w:rsidRPr="00EC0229">
        <w:rPr>
          <w:b/>
          <w:bCs/>
          <w:i/>
          <w:iCs/>
        </w:rPr>
        <w:t xml:space="preserve"> </w:t>
      </w:r>
      <w:r w:rsidRPr="00EC0229">
        <w:rPr>
          <w:bCs/>
          <w:iCs/>
        </w:rPr>
        <w:t>shows s</w:t>
      </w:r>
      <w:r w:rsidRPr="00EC0229">
        <w:t>ceatta frequencies and productivity. However, a more granular analysis of moneyers, particular as regards die links, is essential for chronological purposes.</w:t>
      </w:r>
    </w:p>
    <w:p w14:paraId="6F61EC1F" w14:textId="77777777" w:rsidR="004C668D" w:rsidRPr="00EC0229" w:rsidRDefault="004C668D" w:rsidP="004C668D">
      <w:pPr>
        <w:pStyle w:val="NoSpacing"/>
        <w:spacing w:line="360" w:lineRule="auto"/>
        <w:ind w:left="142"/>
      </w:pPr>
    </w:p>
    <w:p w14:paraId="7B3C1C0E" w14:textId="70C63534" w:rsidR="00C57DCF" w:rsidRPr="00624DF5" w:rsidRDefault="007C71C5" w:rsidP="007C71C5">
      <w:pPr>
        <w:pStyle w:val="Heading4"/>
        <w:spacing w:line="360" w:lineRule="auto"/>
        <w:rPr>
          <w:b/>
        </w:rPr>
      </w:pPr>
      <w:bookmarkStart w:id="936" w:name="_Toc468266952"/>
      <w:r w:rsidRPr="007C71C5">
        <w:rPr>
          <w:b/>
        </w:rPr>
        <w:t>9.1.1.</w:t>
      </w:r>
      <w:r>
        <w:rPr>
          <w:b/>
        </w:rPr>
        <w:t>2</w:t>
      </w:r>
      <w:r w:rsidRPr="007C71C5">
        <w:rPr>
          <w:b/>
        </w:rPr>
        <w:tab/>
      </w:r>
      <w:r w:rsidR="004C668D" w:rsidRPr="00624DF5">
        <w:rPr>
          <w:rStyle w:val="Heading4Char"/>
          <w:b/>
        </w:rPr>
        <w:t>Average weights, stycas</w:t>
      </w:r>
      <w:bookmarkEnd w:id="936"/>
      <w:r w:rsidR="004C668D" w:rsidRPr="00624DF5">
        <w:rPr>
          <w:rStyle w:val="Heading4Char"/>
          <w:b/>
        </w:rPr>
        <w:fldChar w:fldCharType="begin"/>
      </w:r>
      <w:r w:rsidR="004C668D" w:rsidRPr="00624DF5">
        <w:rPr>
          <w:b/>
        </w:rPr>
        <w:instrText xml:space="preserve"> XE "</w:instrText>
      </w:r>
      <w:r w:rsidR="004C668D" w:rsidRPr="00624DF5">
        <w:rPr>
          <w:rStyle w:val="Hyperlink"/>
          <w:b/>
          <w:noProof/>
          <w:u w:val="none"/>
        </w:rPr>
        <w:instrText>weights</w:instrText>
      </w:r>
      <w:r w:rsidR="004C668D" w:rsidRPr="00624DF5">
        <w:rPr>
          <w:b/>
        </w:rPr>
        <w:instrText xml:space="preserve">" </w:instrText>
      </w:r>
      <w:r w:rsidR="004C668D" w:rsidRPr="00624DF5">
        <w:rPr>
          <w:rStyle w:val="Heading4Char"/>
          <w:b/>
        </w:rPr>
        <w:fldChar w:fldCharType="end"/>
      </w:r>
      <w:r w:rsidR="004C668D" w:rsidRPr="00624DF5">
        <w:rPr>
          <w:b/>
        </w:rPr>
        <w:t xml:space="preserve"> </w:t>
      </w:r>
    </w:p>
    <w:p w14:paraId="5EA8CC11" w14:textId="3A9FC815" w:rsidR="004C668D" w:rsidRPr="00EC0229" w:rsidRDefault="004C668D" w:rsidP="006C2237">
      <w:pPr>
        <w:spacing w:line="360" w:lineRule="auto"/>
      </w:pPr>
      <w:r w:rsidRPr="00EC0229">
        <w:t>Average styca weights</w:t>
      </w:r>
      <w:r w:rsidRPr="00EC0229">
        <w:fldChar w:fldCharType="begin"/>
      </w:r>
      <w:r w:rsidRPr="00EC0229">
        <w:instrText xml:space="preserve"> XE "</w:instrText>
      </w:r>
      <w:r w:rsidRPr="00EC0229">
        <w:rPr>
          <w:rStyle w:val="Hyperlink"/>
          <w:noProof/>
          <w:u w:val="none"/>
        </w:rPr>
        <w:instrText>weights</w:instrText>
      </w:r>
      <w:r w:rsidRPr="00EC0229">
        <w:instrText xml:space="preserve">" </w:instrText>
      </w:r>
      <w:r w:rsidRPr="00EC0229">
        <w:fldChar w:fldCharType="end"/>
      </w:r>
      <w:r w:rsidRPr="00EC0229">
        <w:t xml:space="preserve"> (1.06g) and standard deviations (0.13g) have been computed from </w:t>
      </w:r>
      <w:r w:rsidR="009A3EEF" w:rsidRPr="00EC0229">
        <w:rPr>
          <w:i/>
        </w:rPr>
        <w:t>Database 1</w:t>
      </w:r>
      <w:r w:rsidRPr="00EC0229">
        <w:t xml:space="preserve"> by issuer and moneyer and may be useful in identifying trends</w:t>
      </w:r>
      <w:r w:rsidR="006C2237" w:rsidRPr="00EC0229">
        <w:t>, (</w:t>
      </w:r>
      <w:r w:rsidR="00366D6B" w:rsidRPr="00366D6B">
        <w:rPr>
          <w:i/>
        </w:rPr>
        <w:t>Dataset 9.01,</w:t>
      </w:r>
      <w:r w:rsidR="00366D6B">
        <w:t xml:space="preserve"> </w:t>
      </w:r>
      <w:r w:rsidR="00366D6B">
        <w:rPr>
          <w:i/>
        </w:rPr>
        <w:t xml:space="preserve">Table </w:t>
      </w:r>
      <w:r w:rsidR="006C2237" w:rsidRPr="00EC0229">
        <w:rPr>
          <w:i/>
        </w:rPr>
        <w:t>9.03</w:t>
      </w:r>
      <w:r w:rsidR="006C2237" w:rsidRPr="00EC0229">
        <w:t>, stycas</w:t>
      </w:r>
      <w:r w:rsidR="006C2237" w:rsidRPr="00EC0229">
        <w:rPr>
          <w:i/>
        </w:rPr>
        <w:t xml:space="preserve"> </w:t>
      </w:r>
      <w:r w:rsidR="006C2237" w:rsidRPr="00EC0229">
        <w:t xml:space="preserve">and </w:t>
      </w:r>
      <w:r w:rsidR="006C2237" w:rsidRPr="00EC0229">
        <w:rPr>
          <w:i/>
        </w:rPr>
        <w:t>9.04</w:t>
      </w:r>
      <w:r w:rsidR="006C2237" w:rsidRPr="00EC0229">
        <w:t>, all coin types)</w:t>
      </w:r>
      <w:r w:rsidRPr="00EC0229">
        <w:t xml:space="preserve">. Weights are available for 3,735 specimens, </w:t>
      </w:r>
      <w:r w:rsidRPr="00EC0229">
        <w:lastRenderedPageBreak/>
        <w:t>sufficient to give a high level of confidence in the statistics. Wulfhere</w:t>
      </w:r>
      <w:r w:rsidRPr="00EC0229">
        <w:fldChar w:fldCharType="begin"/>
      </w:r>
      <w:r w:rsidRPr="00EC0229">
        <w:instrText xml:space="preserve"> XE "Wulfhere" </w:instrText>
      </w:r>
      <w:r w:rsidRPr="00EC0229">
        <w:fldChar w:fldCharType="end"/>
      </w:r>
      <w:r w:rsidRPr="00EC0229">
        <w:t xml:space="preserve"> has high weight and low deviation. Blundered specimens are the lightest (0.98g) and counterfeits the heaviest (1.41g), both with high standard deviations. </w:t>
      </w:r>
    </w:p>
    <w:p w14:paraId="0CA99413" w14:textId="77777777" w:rsidR="004C668D" w:rsidRPr="00EC0229" w:rsidRDefault="004C668D" w:rsidP="004C668D">
      <w:pPr>
        <w:pStyle w:val="NoSpacing"/>
        <w:spacing w:line="360" w:lineRule="auto"/>
        <w:ind w:left="142"/>
      </w:pPr>
    </w:p>
    <w:p w14:paraId="428DA042" w14:textId="581C073F" w:rsidR="00C57DCF" w:rsidRPr="00624DF5" w:rsidRDefault="007C71C5" w:rsidP="007C71C5">
      <w:pPr>
        <w:pStyle w:val="Heading4"/>
        <w:spacing w:line="360" w:lineRule="auto"/>
        <w:rPr>
          <w:b/>
          <w:i/>
        </w:rPr>
      </w:pPr>
      <w:bookmarkStart w:id="937" w:name="Metalanalysis"/>
      <w:bookmarkStart w:id="938" w:name="_Toc468266953"/>
      <w:bookmarkEnd w:id="937"/>
      <w:r w:rsidRPr="007C71C5">
        <w:rPr>
          <w:b/>
        </w:rPr>
        <w:t>9.1.1.</w:t>
      </w:r>
      <w:r>
        <w:rPr>
          <w:b/>
        </w:rPr>
        <w:t>3</w:t>
      </w:r>
      <w:r w:rsidRPr="007C71C5">
        <w:rPr>
          <w:b/>
        </w:rPr>
        <w:tab/>
      </w:r>
      <w:r w:rsidR="004C668D" w:rsidRPr="00624DF5">
        <w:rPr>
          <w:b/>
        </w:rPr>
        <w:t xml:space="preserve">Metal analysis: stycas </w:t>
      </w:r>
      <w:r w:rsidR="004C668D" w:rsidRPr="00624DF5">
        <w:rPr>
          <w:b/>
          <w:i/>
        </w:rPr>
        <w:t>CKN</w:t>
      </w:r>
      <w:bookmarkEnd w:id="938"/>
      <w:r w:rsidR="004C668D" w:rsidRPr="00624DF5">
        <w:rPr>
          <w:b/>
          <w:i/>
        </w:rPr>
        <w:t xml:space="preserve"> </w:t>
      </w:r>
    </w:p>
    <w:p w14:paraId="512E45AA" w14:textId="643A0029" w:rsidR="004C668D" w:rsidRPr="00EC0229" w:rsidRDefault="004C668D" w:rsidP="006C2237">
      <w:pPr>
        <w:spacing w:line="360" w:lineRule="auto"/>
      </w:pPr>
      <w:r w:rsidRPr="00EC0229">
        <w:rPr>
          <w:i/>
        </w:rPr>
        <w:t>CKN</w:t>
      </w:r>
      <w:r w:rsidRPr="00EC0229">
        <w:rPr>
          <w:i/>
        </w:rPr>
        <w:fldChar w:fldCharType="begin"/>
      </w:r>
      <w:r w:rsidRPr="00EC0229">
        <w:instrText xml:space="preserve"> XE "CKN" </w:instrText>
      </w:r>
      <w:r w:rsidRPr="00EC0229">
        <w:rPr>
          <w:i/>
        </w:rPr>
        <w:fldChar w:fldCharType="end"/>
      </w:r>
      <w:r w:rsidRPr="00EC0229">
        <w:t xml:space="preserve"> records composition analysis by two methods, neutron activation (NA), forty-nine specimens, and X-ray fluorescence (XRF), 188 specimens</w:t>
      </w:r>
      <w:r w:rsidR="006C2237" w:rsidRPr="00EC0229">
        <w:t>, (</w:t>
      </w:r>
      <w:r w:rsidR="005A322E">
        <w:rPr>
          <w:i/>
        </w:rPr>
        <w:t>Data</w:t>
      </w:r>
      <w:r w:rsidR="006C2237" w:rsidRPr="00EC0229">
        <w:rPr>
          <w:i/>
        </w:rPr>
        <w:t>se</w:t>
      </w:r>
      <w:r w:rsidR="005A322E">
        <w:rPr>
          <w:i/>
        </w:rPr>
        <w:t>t</w:t>
      </w:r>
      <w:r w:rsidR="006C2237" w:rsidRPr="00EC0229">
        <w:rPr>
          <w:i/>
        </w:rPr>
        <w:t xml:space="preserve"> </w:t>
      </w:r>
      <w:r w:rsidR="005A322E">
        <w:rPr>
          <w:i/>
        </w:rPr>
        <w:t>9.02</w:t>
      </w:r>
      <w:r w:rsidR="006C2237" w:rsidRPr="00EC0229">
        <w:t>)</w:t>
      </w:r>
      <w:r w:rsidR="006C2237" w:rsidRPr="00EC0229">
        <w:fldChar w:fldCharType="begin"/>
      </w:r>
      <w:r w:rsidR="006C2237" w:rsidRPr="00EC0229">
        <w:instrText xml:space="preserve"> XE "</w:instrText>
      </w:r>
      <w:r w:rsidR="006C2237" w:rsidRPr="00EC0229">
        <w:rPr>
          <w:rStyle w:val="Hyperlink"/>
          <w:noProof/>
          <w:u w:val="none"/>
        </w:rPr>
        <w:instrText>Metal analysis</w:instrText>
      </w:r>
      <w:r w:rsidR="006C2237" w:rsidRPr="00EC0229">
        <w:instrText xml:space="preserve">" </w:instrText>
      </w:r>
      <w:r w:rsidR="006C2237" w:rsidRPr="00EC0229">
        <w:fldChar w:fldCharType="end"/>
      </w:r>
      <w:r w:rsidRPr="00EC0229">
        <w:t>.</w:t>
      </w:r>
      <w:r w:rsidRPr="00EC0229">
        <w:rPr>
          <w:rStyle w:val="FootnoteReference"/>
        </w:rPr>
        <w:footnoteReference w:id="1264"/>
      </w:r>
      <w:r w:rsidRPr="00EC0229">
        <w:t xml:space="preserve"> Neutron activation measures one element only and NA results have been accepted in the present study only for the twenty-two specimens – those by the Group A</w:t>
      </w:r>
      <w:r w:rsidRPr="00EC0229">
        <w:fldChar w:fldCharType="begin"/>
      </w:r>
      <w:r w:rsidRPr="00EC0229">
        <w:instrText xml:space="preserve"> XE "Group A" </w:instrText>
      </w:r>
      <w:r w:rsidRPr="00EC0229">
        <w:fldChar w:fldCharType="end"/>
      </w:r>
      <w:r w:rsidRPr="00EC0229">
        <w:t xml:space="preserve"> moneyers in phase I, i.e. two silver-alloy</w:t>
      </w:r>
      <w:r w:rsidRPr="00EC0229">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fldChar w:fldCharType="end"/>
      </w:r>
      <w:r w:rsidRPr="00EC0229">
        <w:t xml:space="preserve"> coins issued by Eanbald</w:t>
      </w:r>
      <w:r w:rsidRPr="00EC0229">
        <w:fldChar w:fldCharType="begin"/>
      </w:r>
      <w:r w:rsidRPr="00EC0229">
        <w:instrText xml:space="preserve"> XE "Eanbald" </w:instrText>
      </w:r>
      <w:r w:rsidRPr="00EC0229">
        <w:fldChar w:fldCharType="end"/>
      </w:r>
      <w:r w:rsidRPr="00EC0229">
        <w:t xml:space="preserve"> II and twenty by Eanred</w:t>
      </w:r>
      <w:r w:rsidRPr="00EC0229">
        <w:fldChar w:fldCharType="begin"/>
      </w:r>
      <w:r w:rsidRPr="00EC0229">
        <w:instrText xml:space="preserve"> XE "Eanred" </w:instrText>
      </w:r>
      <w:r w:rsidRPr="00EC0229">
        <w:fldChar w:fldCharType="end"/>
      </w:r>
      <w:r w:rsidRPr="00EC0229">
        <w:t>. Only 164 of the XRF measurements are sufficiently comprehensive</w:t>
      </w:r>
      <w:r w:rsidRPr="00EC0229">
        <w:rPr>
          <w:rStyle w:val="FootnoteReference"/>
        </w:rPr>
        <w:footnoteReference w:id="1265"/>
      </w:r>
      <w:r w:rsidRPr="00EC0229">
        <w:t xml:space="preserve"> to include. Certain fields in </w:t>
      </w:r>
      <w:r w:rsidRPr="00EC0229">
        <w:rPr>
          <w:i/>
        </w:rPr>
        <w:t>CKN</w:t>
      </w:r>
      <w:r w:rsidRPr="00EC0229">
        <w:t>,</w:t>
      </w:r>
      <w:r w:rsidRPr="00EC0229">
        <w:rPr>
          <w:i/>
        </w:rPr>
        <w:t xml:space="preserve"> </w:t>
      </w:r>
      <w:r w:rsidRPr="00EC0229">
        <w:t xml:space="preserve">i.e. those with no entry and those marked ‘Not Recorded’ and ‘Not Detected’, have been given a zero value. The results are </w:t>
      </w:r>
      <w:r w:rsidR="00103FB3">
        <w:t>summarize</w:t>
      </w:r>
      <w:r w:rsidRPr="00EC0229">
        <w:t>d by issuer for each major element. Metallurgical studies of stycas</w:t>
      </w:r>
      <w:bookmarkStart w:id="939" w:name="_Ref434481147"/>
      <w:r w:rsidRPr="00EC0229">
        <w:rPr>
          <w:rStyle w:val="FootnoteReference"/>
        </w:rPr>
        <w:footnoteReference w:id="1266"/>
      </w:r>
      <w:bookmarkEnd w:id="939"/>
      <w:r w:rsidRPr="00EC0229">
        <w:t xml:space="preserve"> remain deficient and this is certainly an area for future research (</w:t>
      </w:r>
      <w:r w:rsidRPr="00EC0229">
        <w:fldChar w:fldCharType="begin"/>
      </w:r>
      <w:r w:rsidRPr="00EC0229">
        <w:instrText xml:space="preserve"> PAGEREF Futureresearch \h </w:instrText>
      </w:r>
      <w:r w:rsidRPr="00EC0229">
        <w:fldChar w:fldCharType="separate"/>
      </w:r>
      <w:r w:rsidR="0012026B">
        <w:rPr>
          <w:noProof/>
        </w:rPr>
        <w:t>323</w:t>
      </w:r>
      <w:r w:rsidRPr="00EC0229">
        <w:fldChar w:fldCharType="end"/>
      </w:r>
      <w:r w:rsidRPr="00EC0229">
        <w:t>). In the meantime, the silver-alloy/brass boundary is secure but the brass/bronze/brass boundaries though unproven are accepted for the purposes of this study.</w:t>
      </w:r>
    </w:p>
    <w:p w14:paraId="7733668B" w14:textId="77777777" w:rsidR="004C668D" w:rsidRPr="00EC0229" w:rsidRDefault="004C668D" w:rsidP="004C668D">
      <w:pPr>
        <w:pStyle w:val="NoSpacing"/>
        <w:spacing w:line="360" w:lineRule="auto"/>
        <w:ind w:left="142"/>
      </w:pPr>
    </w:p>
    <w:p w14:paraId="09F1CFE5" w14:textId="5768C7D1" w:rsidR="004C668D" w:rsidRPr="00624DF5" w:rsidRDefault="007C71C5" w:rsidP="007C71C5">
      <w:pPr>
        <w:pStyle w:val="Heading4"/>
        <w:spacing w:line="360" w:lineRule="auto"/>
        <w:rPr>
          <w:b/>
        </w:rPr>
      </w:pPr>
      <w:bookmarkStart w:id="940" w:name="_Toc468266954"/>
      <w:r w:rsidRPr="007C71C5">
        <w:rPr>
          <w:b/>
        </w:rPr>
        <w:t>9.1.1.</w:t>
      </w:r>
      <w:r>
        <w:rPr>
          <w:b/>
        </w:rPr>
        <w:t>4</w:t>
      </w:r>
      <w:r w:rsidRPr="007C71C5">
        <w:rPr>
          <w:b/>
        </w:rPr>
        <w:tab/>
      </w:r>
      <w:r w:rsidR="004C668D" w:rsidRPr="00624DF5">
        <w:rPr>
          <w:b/>
        </w:rPr>
        <w:t>Die Links</w:t>
      </w:r>
      <w:bookmarkEnd w:id="940"/>
      <w:r w:rsidR="004C668D" w:rsidRPr="00624DF5">
        <w:rPr>
          <w:b/>
        </w:rPr>
        <w:fldChar w:fldCharType="begin"/>
      </w:r>
      <w:r w:rsidR="004C668D" w:rsidRPr="00624DF5">
        <w:rPr>
          <w:b/>
        </w:rPr>
        <w:instrText xml:space="preserve"> XE "</w:instrText>
      </w:r>
      <w:r w:rsidR="004C668D" w:rsidRPr="00624DF5">
        <w:rPr>
          <w:rStyle w:val="Hyperlink"/>
          <w:b/>
          <w:noProof/>
          <w:u w:val="none"/>
        </w:rPr>
        <w:instrText>Die Links</w:instrText>
      </w:r>
      <w:r w:rsidR="004C668D" w:rsidRPr="00624DF5">
        <w:rPr>
          <w:b/>
        </w:rPr>
        <w:instrText xml:space="preserve">" </w:instrText>
      </w:r>
      <w:r w:rsidR="004C668D" w:rsidRPr="00624DF5">
        <w:rPr>
          <w:b/>
        </w:rPr>
        <w:fldChar w:fldCharType="end"/>
      </w:r>
    </w:p>
    <w:p w14:paraId="1CC13F2A" w14:textId="77777777" w:rsidR="004C668D" w:rsidRPr="00EC0229" w:rsidRDefault="004C668D" w:rsidP="007C71C5">
      <w:pPr>
        <w:pStyle w:val="NoSpacing"/>
        <w:spacing w:line="360" w:lineRule="auto"/>
      </w:pPr>
      <w:r w:rsidRPr="00EC0229">
        <w:t xml:space="preserve">Die links are recorded in </w:t>
      </w:r>
      <w:r w:rsidRPr="00EC0229">
        <w:rPr>
          <w:i/>
        </w:rPr>
        <w:t>CKN</w:t>
      </w:r>
      <w:r w:rsidRPr="00EC0229">
        <w:rPr>
          <w:i/>
        </w:rPr>
        <w:fldChar w:fldCharType="begin"/>
      </w:r>
      <w:r w:rsidRPr="00EC0229">
        <w:instrText xml:space="preserve"> XE "CKN" </w:instrText>
      </w:r>
      <w:r w:rsidRPr="00EC0229">
        <w:rPr>
          <w:i/>
        </w:rPr>
        <w:fldChar w:fldCharType="end"/>
      </w:r>
      <w:r w:rsidRPr="00EC0229">
        <w:t xml:space="preserve"> as an alphabetic suffix to the catalogue number. Such links demonstrate the sequence of usage of successive dies and hence determine the chronology of variations within the species. An underlying assumption is that exhausted/obsolete dies are retired when their productive life is deemed to be at an end. This could be through, for example, wear and tear or organisational and political change. Die duplication is very much the exception in the sceatta</w:t>
      </w:r>
      <w:r w:rsidRPr="00EC0229">
        <w:fldChar w:fldCharType="begin"/>
      </w:r>
      <w:r w:rsidRPr="00EC0229">
        <w:instrText xml:space="preserve"> XE "sceatta" </w:instrText>
      </w:r>
      <w:r w:rsidRPr="00EC0229">
        <w:fldChar w:fldCharType="end"/>
      </w:r>
      <w:r w:rsidRPr="00EC0229">
        <w:t xml:space="preserve"> coinage but is a frequent occurrence for stycas. This may be indicative of chronology during the better organised periods of styca production</w:t>
      </w:r>
      <w:r w:rsidRPr="00EC0229">
        <w:fldChar w:fldCharType="begin"/>
      </w:r>
      <w:r w:rsidRPr="00EC0229">
        <w:instrText xml:space="preserve"> XE "Wulfhere" </w:instrText>
      </w:r>
      <w:r w:rsidRPr="00EC0229">
        <w:fldChar w:fldCharType="end"/>
      </w:r>
      <w:r w:rsidRPr="00EC0229">
        <w:t>.</w:t>
      </w:r>
      <w:r w:rsidRPr="00EC0229">
        <w:rPr>
          <w:rStyle w:val="FootnoteReference"/>
        </w:rPr>
        <w:footnoteReference w:id="1267"/>
      </w:r>
      <w:r w:rsidRPr="00EC0229">
        <w:t xml:space="preserve"> </w:t>
      </w:r>
    </w:p>
    <w:p w14:paraId="3CA0DFDC" w14:textId="77777777" w:rsidR="004C668D" w:rsidRPr="00EC0229" w:rsidRDefault="004C668D" w:rsidP="004C668D">
      <w:pPr>
        <w:pStyle w:val="NoSpacing"/>
        <w:spacing w:line="360" w:lineRule="auto"/>
        <w:ind w:left="142"/>
      </w:pPr>
    </w:p>
    <w:p w14:paraId="68748310" w14:textId="7F3FB097" w:rsidR="00C57DCF" w:rsidRPr="00624DF5" w:rsidRDefault="007C71C5" w:rsidP="007C71C5">
      <w:pPr>
        <w:pStyle w:val="Heading4"/>
        <w:spacing w:line="360" w:lineRule="auto"/>
        <w:rPr>
          <w:b/>
        </w:rPr>
      </w:pPr>
      <w:bookmarkStart w:id="941" w:name="_Toc468266955"/>
      <w:r w:rsidRPr="007C71C5">
        <w:rPr>
          <w:b/>
        </w:rPr>
        <w:lastRenderedPageBreak/>
        <w:t>9.1.1.</w:t>
      </w:r>
      <w:r>
        <w:rPr>
          <w:b/>
        </w:rPr>
        <w:t>5</w:t>
      </w:r>
      <w:r w:rsidRPr="007C71C5">
        <w:rPr>
          <w:b/>
        </w:rPr>
        <w:tab/>
      </w:r>
      <w:r w:rsidR="004C668D" w:rsidRPr="00624DF5">
        <w:rPr>
          <w:b/>
        </w:rPr>
        <w:t>Die Axes</w:t>
      </w:r>
      <w:bookmarkEnd w:id="941"/>
      <w:r w:rsidR="004C668D" w:rsidRPr="00624DF5">
        <w:rPr>
          <w:b/>
        </w:rPr>
        <w:fldChar w:fldCharType="begin"/>
      </w:r>
      <w:r w:rsidR="004C668D" w:rsidRPr="00624DF5">
        <w:rPr>
          <w:b/>
        </w:rPr>
        <w:instrText xml:space="preserve"> XE "</w:instrText>
      </w:r>
      <w:r w:rsidR="004C668D" w:rsidRPr="00624DF5">
        <w:rPr>
          <w:rStyle w:val="Hyperlink"/>
          <w:b/>
          <w:noProof/>
          <w:u w:val="none"/>
        </w:rPr>
        <w:instrText>Die Axes</w:instrText>
      </w:r>
      <w:r w:rsidR="004C668D" w:rsidRPr="00624DF5">
        <w:rPr>
          <w:b/>
        </w:rPr>
        <w:instrText xml:space="preserve">" </w:instrText>
      </w:r>
      <w:r w:rsidR="004C668D" w:rsidRPr="00624DF5">
        <w:rPr>
          <w:b/>
        </w:rPr>
        <w:fldChar w:fldCharType="end"/>
      </w:r>
      <w:r w:rsidR="004C668D" w:rsidRPr="00624DF5">
        <w:rPr>
          <w:b/>
        </w:rPr>
        <w:t xml:space="preserve"> </w:t>
      </w:r>
    </w:p>
    <w:p w14:paraId="09313E38" w14:textId="5C280675" w:rsidR="004C668D" w:rsidRPr="00EC0229" w:rsidRDefault="004C668D" w:rsidP="006C2237">
      <w:pPr>
        <w:spacing w:line="360" w:lineRule="auto"/>
        <w:rPr>
          <w:rFonts w:cs="Times New Roman"/>
        </w:rPr>
      </w:pPr>
      <w:r w:rsidRPr="00EC0229">
        <w:rPr>
          <w:i/>
        </w:rPr>
        <w:t>CKN</w:t>
      </w:r>
      <w:r w:rsidRPr="00EC0229">
        <w:rPr>
          <w:i/>
        </w:rPr>
        <w:fldChar w:fldCharType="begin"/>
      </w:r>
      <w:r w:rsidRPr="00EC0229">
        <w:instrText xml:space="preserve"> XE "CKN" </w:instrText>
      </w:r>
      <w:r w:rsidRPr="00EC0229">
        <w:rPr>
          <w:i/>
        </w:rPr>
        <w:fldChar w:fldCharType="end"/>
      </w:r>
      <w:r w:rsidRPr="00EC0229">
        <w:t xml:space="preserve"> gives obverse/reverse orientations for 4,605 specimens</w:t>
      </w:r>
      <w:r w:rsidR="006C2237" w:rsidRPr="00EC0229">
        <w:t>, (</w:t>
      </w:r>
      <w:r w:rsidR="006C2237" w:rsidRPr="00EC0229">
        <w:rPr>
          <w:i/>
        </w:rPr>
        <w:t>Table</w:t>
      </w:r>
      <w:r w:rsidR="006C2237" w:rsidRPr="00EC0229">
        <w:rPr>
          <w:i/>
        </w:rPr>
        <w:fldChar w:fldCharType="begin"/>
      </w:r>
      <w:r w:rsidR="006C2237" w:rsidRPr="00EC0229">
        <w:instrText xml:space="preserve"> XE "</w:instrText>
      </w:r>
      <w:r w:rsidR="006C2237" w:rsidRPr="00EC0229">
        <w:rPr>
          <w:noProof/>
        </w:rPr>
        <w:instrText>Table</w:instrText>
      </w:r>
      <w:r w:rsidR="006C2237" w:rsidRPr="00EC0229">
        <w:instrText xml:space="preserve">" </w:instrText>
      </w:r>
      <w:r w:rsidR="006C2237" w:rsidRPr="00EC0229">
        <w:rPr>
          <w:i/>
        </w:rPr>
        <w:fldChar w:fldCharType="end"/>
      </w:r>
      <w:r w:rsidR="006C2237" w:rsidRPr="00EC0229">
        <w:rPr>
          <w:i/>
        </w:rPr>
        <w:t xml:space="preserve"> 9.05</w:t>
      </w:r>
      <w:r w:rsidR="006C2237" w:rsidRPr="00EC0229">
        <w:t>)</w:t>
      </w:r>
      <w:r w:rsidRPr="00EC0229">
        <w:t>. These are divided between regular orientations – those at 90</w:t>
      </w:r>
      <w:r w:rsidRPr="00EC0229">
        <w:rPr>
          <w:rFonts w:cs="Times New Roman"/>
        </w:rPr>
        <w:t>°</w:t>
      </w:r>
      <w:r w:rsidRPr="00EC0229">
        <w:t>, 180</w:t>
      </w:r>
      <w:r w:rsidRPr="00EC0229">
        <w:rPr>
          <w:rFonts w:cs="Times New Roman"/>
        </w:rPr>
        <w:t>°</w:t>
      </w:r>
      <w:r w:rsidRPr="00EC0229">
        <w:t xml:space="preserve"> and 270</w:t>
      </w:r>
      <w:r w:rsidRPr="00EC0229">
        <w:rPr>
          <w:rFonts w:cs="Times New Roman"/>
        </w:rPr>
        <w:t xml:space="preserve">° - and others. This assumes that square mounted dies can only be rotated in right angles. </w:t>
      </w:r>
      <w:r w:rsidRPr="00EC0229">
        <w:t xml:space="preserve">Dies mounted in square-cut piles enable the moneyer to align the obverse and reverse, otherwise the rotation between obverse and reverse is random. Such indications could be significant as the coinage descends into chaos. </w:t>
      </w:r>
      <w:r w:rsidRPr="00EC0229">
        <w:rPr>
          <w:rFonts w:cs="Times New Roman"/>
        </w:rPr>
        <w:t>The results are analysed by moneyer and show that six of the eleven Group A/[N9]</w:t>
      </w:r>
      <w:r w:rsidRPr="00EC0229">
        <w:rPr>
          <w:rFonts w:cs="Times New Roman"/>
        </w:rPr>
        <w:fldChar w:fldCharType="begin"/>
      </w:r>
      <w:r w:rsidRPr="00EC0229">
        <w:instrText xml:space="preserve"> XE "</w:instrText>
      </w:r>
      <w:r w:rsidRPr="00EC0229">
        <w:rPr>
          <w:rFonts w:cs="Times New Roman"/>
        </w:rPr>
        <w:instrText>Period N9</w:instrText>
      </w:r>
      <w:r w:rsidRPr="00EC0229">
        <w:instrText xml:space="preserve">" </w:instrText>
      </w:r>
      <w:r w:rsidRPr="00EC0229">
        <w:rPr>
          <w:rFonts w:cs="Times New Roman"/>
        </w:rPr>
        <w:fldChar w:fldCharType="end"/>
      </w:r>
      <w:r w:rsidRPr="00EC0229">
        <w:rPr>
          <w:rFonts w:cs="Times New Roman"/>
        </w:rPr>
        <w:t xml:space="preserve"> moneyers are above two-thirds regular and amongst the eleven most regular producers. As Lyon remarked, ‘when the styca coinage was in a flourishing state – i.e. from </w:t>
      </w:r>
      <w:r w:rsidR="002132F1" w:rsidRPr="002132F1">
        <w:rPr>
          <w:rFonts w:cs="Times New Roman"/>
          <w:i/>
        </w:rPr>
        <w:t>c.</w:t>
      </w:r>
      <w:r w:rsidRPr="00EC0229">
        <w:rPr>
          <w:rFonts w:cs="Times New Roman"/>
        </w:rPr>
        <w:t xml:space="preserve">837 to </w:t>
      </w:r>
      <w:r w:rsidR="002132F1" w:rsidRPr="002132F1">
        <w:rPr>
          <w:rFonts w:cs="Times New Roman"/>
          <w:i/>
        </w:rPr>
        <w:t>c.</w:t>
      </w:r>
      <w:r w:rsidRPr="00EC0229">
        <w:rPr>
          <w:rFonts w:cs="Times New Roman"/>
        </w:rPr>
        <w:t>847 – regularity of die-axis is the rule rather than the exception, thus suggesting that square-cut dies were used.’</w:t>
      </w:r>
      <w:r w:rsidRPr="00EC0229">
        <w:rPr>
          <w:rStyle w:val="FootnoteReference"/>
          <w:rFonts w:cs="Times New Roman"/>
        </w:rPr>
        <w:footnoteReference w:id="1268"/>
      </w:r>
    </w:p>
    <w:p w14:paraId="44579F35" w14:textId="77777777" w:rsidR="00884818" w:rsidRPr="00EC0229" w:rsidRDefault="00884818" w:rsidP="006C2237">
      <w:pPr>
        <w:pStyle w:val="NoSpacing"/>
        <w:spacing w:line="360" w:lineRule="auto"/>
      </w:pPr>
    </w:p>
    <w:p w14:paraId="412CAF35" w14:textId="78566D5C" w:rsidR="004C668D" w:rsidRPr="00624DF5" w:rsidRDefault="002979EC" w:rsidP="002979EC">
      <w:pPr>
        <w:pStyle w:val="NoSpacing"/>
        <w:spacing w:line="360" w:lineRule="auto"/>
        <w:rPr>
          <w:b/>
        </w:rPr>
      </w:pPr>
      <w:r>
        <w:rPr>
          <w:b/>
        </w:rPr>
        <w:t xml:space="preserve">9.1.1.6 </w:t>
      </w:r>
      <w:r w:rsidR="004C668D" w:rsidRPr="00624DF5">
        <w:rPr>
          <w:b/>
        </w:rPr>
        <w:t xml:space="preserve">Die Longevity </w:t>
      </w:r>
    </w:p>
    <w:p w14:paraId="6A4A4BF3" w14:textId="77777777" w:rsidR="004C668D" w:rsidRPr="00EC0229" w:rsidRDefault="004C668D" w:rsidP="004C668D">
      <w:pPr>
        <w:pStyle w:val="NoSpacing"/>
        <w:spacing w:line="360" w:lineRule="auto"/>
      </w:pPr>
      <w:r w:rsidRPr="00EC0229">
        <w:t>The production durability of dies is contentious. Greenhalgh demonstrated practically that 50,000 strikes is attainable,</w:t>
      </w:r>
      <w:r w:rsidRPr="00EC0229">
        <w:rPr>
          <w:rStyle w:val="FootnoteReference"/>
        </w:rPr>
        <w:footnoteReference w:id="1269"/>
      </w:r>
      <w:r w:rsidRPr="00EC0229">
        <w:t xml:space="preserve"> Metcalf assumed a ‘conservative’ 10,000,</w:t>
      </w:r>
      <w:r w:rsidRPr="00EC0229">
        <w:rPr>
          <w:rStyle w:val="FootnoteReference"/>
        </w:rPr>
        <w:footnoteReference w:id="1270"/>
      </w:r>
      <w:r w:rsidRPr="00EC0229">
        <w:t xml:space="preserve"> Esty allowed for variations in die manufacture relating to carbon content to harden the dies.</w:t>
      </w:r>
      <w:r w:rsidRPr="00EC0229">
        <w:rPr>
          <w:rStyle w:val="FootnoteReference"/>
        </w:rPr>
        <w:footnoteReference w:id="1271"/>
      </w:r>
      <w:r w:rsidRPr="00EC0229">
        <w:t xml:space="preserve"> I endorse the latter,  and would distinguish between the major trading Series of sceats (D, E, R) where the mint workers probably developed sufficient skills to become proficient  (i.e. possibly exceeding Metcalf's estimate) and the numerous 'exotic' issues of sceats, where possibly peripatetic moneyers  may not have had adequate skills or equipment to make robust dies.</w:t>
      </w:r>
    </w:p>
    <w:p w14:paraId="3F5093AD" w14:textId="77777777" w:rsidR="004C668D" w:rsidRPr="00EC0229" w:rsidRDefault="004C668D" w:rsidP="004C668D">
      <w:pPr>
        <w:pStyle w:val="NoSpacing"/>
        <w:spacing w:line="360" w:lineRule="auto"/>
      </w:pPr>
    </w:p>
    <w:p w14:paraId="27D5C608" w14:textId="5E2C3ADE" w:rsidR="00C57DCF" w:rsidRPr="00EC0229" w:rsidRDefault="007C71C5" w:rsidP="007C71C5">
      <w:pPr>
        <w:pStyle w:val="Heading4"/>
        <w:spacing w:line="360" w:lineRule="auto"/>
      </w:pPr>
      <w:bookmarkStart w:id="942" w:name="_Toc468266956"/>
      <w:r w:rsidRPr="007C71C5">
        <w:rPr>
          <w:b/>
        </w:rPr>
        <w:t>9.1.1.</w:t>
      </w:r>
      <w:r w:rsidR="002979EC">
        <w:rPr>
          <w:b/>
        </w:rPr>
        <w:t>7</w:t>
      </w:r>
      <w:r w:rsidRPr="007C71C5">
        <w:rPr>
          <w:b/>
        </w:rPr>
        <w:tab/>
      </w:r>
      <w:r w:rsidR="004C668D" w:rsidRPr="00624DF5">
        <w:rPr>
          <w:rFonts w:cs="Times New Roman"/>
          <w:b/>
        </w:rPr>
        <w:t>Motifs</w:t>
      </w:r>
      <w:bookmarkEnd w:id="942"/>
      <w:r w:rsidR="004C668D" w:rsidRPr="00624DF5">
        <w:rPr>
          <w:rFonts w:cs="Times New Roman"/>
          <w:b/>
        </w:rPr>
        <w:fldChar w:fldCharType="begin"/>
      </w:r>
      <w:r w:rsidR="004C668D" w:rsidRPr="00624DF5">
        <w:rPr>
          <w:b/>
        </w:rPr>
        <w:instrText xml:space="preserve"> XE "</w:instrText>
      </w:r>
      <w:r w:rsidR="004C668D" w:rsidRPr="00624DF5">
        <w:rPr>
          <w:rStyle w:val="Hyperlink"/>
          <w:rFonts w:cs="Times New Roman"/>
          <w:b/>
          <w:noProof/>
          <w:u w:val="none"/>
        </w:rPr>
        <w:instrText>Motifs</w:instrText>
      </w:r>
      <w:r w:rsidR="004C668D" w:rsidRPr="00624DF5">
        <w:rPr>
          <w:b/>
        </w:rPr>
        <w:instrText xml:space="preserve">" </w:instrText>
      </w:r>
      <w:r w:rsidR="004C668D" w:rsidRPr="00624DF5">
        <w:rPr>
          <w:rFonts w:cs="Times New Roman"/>
          <w:b/>
        </w:rPr>
        <w:fldChar w:fldCharType="end"/>
      </w:r>
      <w:r w:rsidR="004C668D" w:rsidRPr="00EC0229">
        <w:rPr>
          <w:rFonts w:cs="Times New Roman"/>
        </w:rPr>
        <w:t xml:space="preserve"> </w:t>
      </w:r>
      <w:r w:rsidR="004C668D" w:rsidRPr="00EC0229">
        <w:t xml:space="preserve"> </w:t>
      </w:r>
    </w:p>
    <w:p w14:paraId="19040F45" w14:textId="18748321" w:rsidR="004C668D" w:rsidRPr="00EC0229" w:rsidRDefault="004C668D" w:rsidP="006C2237">
      <w:pPr>
        <w:spacing w:line="360" w:lineRule="auto"/>
        <w:rPr>
          <w:rFonts w:cs="Times New Roman"/>
        </w:rPr>
      </w:pPr>
      <w:r w:rsidRPr="00EC0229">
        <w:rPr>
          <w:i/>
        </w:rPr>
        <w:t>CKN</w:t>
      </w:r>
      <w:r w:rsidRPr="00EC0229">
        <w:rPr>
          <w:i/>
        </w:rPr>
        <w:fldChar w:fldCharType="begin"/>
      </w:r>
      <w:r w:rsidRPr="00EC0229">
        <w:instrText xml:space="preserve"> XE "CKN" </w:instrText>
      </w:r>
      <w:r w:rsidRPr="00EC0229">
        <w:rPr>
          <w:i/>
        </w:rPr>
        <w:fldChar w:fldCharType="end"/>
      </w:r>
      <w:r w:rsidRPr="00EC0229">
        <w:t xml:space="preserve"> records the obverse and reverse central styca motifs numerically</w:t>
      </w:r>
      <w:r w:rsidR="006C2237" w:rsidRPr="00EC0229">
        <w:t>, (</w:t>
      </w:r>
      <w:r w:rsidR="006C2237" w:rsidRPr="00EC0229">
        <w:rPr>
          <w:i/>
        </w:rPr>
        <w:t>Table</w:t>
      </w:r>
      <w:r w:rsidR="006C2237" w:rsidRPr="00EC0229">
        <w:rPr>
          <w:i/>
        </w:rPr>
        <w:fldChar w:fldCharType="begin"/>
      </w:r>
      <w:r w:rsidR="006C2237" w:rsidRPr="00EC0229">
        <w:instrText xml:space="preserve"> XE "</w:instrText>
      </w:r>
      <w:r w:rsidR="006C2237" w:rsidRPr="00EC0229">
        <w:rPr>
          <w:noProof/>
        </w:rPr>
        <w:instrText>Table</w:instrText>
      </w:r>
      <w:r w:rsidR="006C2237" w:rsidRPr="00EC0229">
        <w:instrText xml:space="preserve">" </w:instrText>
      </w:r>
      <w:r w:rsidR="006C2237" w:rsidRPr="00EC0229">
        <w:rPr>
          <w:i/>
        </w:rPr>
        <w:fldChar w:fldCharType="end"/>
      </w:r>
      <w:r w:rsidR="006C2237" w:rsidRPr="00EC0229">
        <w:rPr>
          <w:i/>
        </w:rPr>
        <w:t xml:space="preserve"> 9.06</w:t>
      </w:r>
      <w:r w:rsidR="006C2237" w:rsidRPr="00EC0229">
        <w:t>)</w:t>
      </w:r>
      <w:r w:rsidRPr="00EC0229">
        <w:t>.</w:t>
      </w:r>
      <w:r w:rsidRPr="00EC0229">
        <w:rPr>
          <w:rStyle w:val="FootnoteReference"/>
        </w:rPr>
        <w:footnoteReference w:id="1272"/>
      </w:r>
      <w:r w:rsidRPr="00EC0229">
        <w:t xml:space="preserve"> Pirie</w:t>
      </w:r>
      <w:r w:rsidRPr="00EC0229">
        <w:fldChar w:fldCharType="begin"/>
      </w:r>
      <w:r w:rsidRPr="00EC0229">
        <w:instrText xml:space="preserve"> XE "Pirie" </w:instrText>
      </w:r>
      <w:r w:rsidRPr="00EC0229">
        <w:fldChar w:fldCharType="end"/>
      </w:r>
      <w:r w:rsidRPr="00EC0229">
        <w:t xml:space="preserve"> vested the motifs with great significance,</w:t>
      </w:r>
      <w:r w:rsidRPr="00EC0229">
        <w:rPr>
          <w:rStyle w:val="FootnoteReference"/>
        </w:rPr>
        <w:footnoteReference w:id="1273"/>
      </w:r>
      <w:r w:rsidRPr="00EC0229">
        <w:t xml:space="preserve"> dividing them between cruciform and secular types: where these are uniformly cruciform or secular on both obverse and reverse, this is a type-specimen, or if mixed, a variety. She alone regarded this as a major element in her die study.</w:t>
      </w:r>
    </w:p>
    <w:p w14:paraId="58FE55EA" w14:textId="77777777" w:rsidR="00CE6FE5" w:rsidRPr="00EC0229" w:rsidRDefault="00CE6FE5" w:rsidP="00876C79">
      <w:pPr>
        <w:pStyle w:val="NoSpacing"/>
      </w:pPr>
    </w:p>
    <w:p w14:paraId="3032E7B9" w14:textId="25620FC7" w:rsidR="00CE6FE5" w:rsidRPr="00EC0229" w:rsidRDefault="007C71C5" w:rsidP="00E70654">
      <w:pPr>
        <w:pStyle w:val="Heading3"/>
      </w:pPr>
      <w:bookmarkStart w:id="943" w:name="CoinUse"/>
      <w:bookmarkStart w:id="944" w:name="_Toc468266957"/>
      <w:bookmarkEnd w:id="943"/>
      <w:r>
        <w:lastRenderedPageBreak/>
        <w:t>9.1.2</w:t>
      </w:r>
      <w:r>
        <w:tab/>
      </w:r>
      <w:r w:rsidR="00CE6FE5" w:rsidRPr="00EC0229">
        <w:t>Coin Use</w:t>
      </w:r>
      <w:bookmarkEnd w:id="944"/>
      <w:r w:rsidR="00CE6FE5" w:rsidRPr="00EC0229">
        <w:fldChar w:fldCharType="begin"/>
      </w:r>
      <w:r w:rsidR="00CE6FE5" w:rsidRPr="00EC0229">
        <w:instrText xml:space="preserve"> XE "</w:instrText>
      </w:r>
      <w:r w:rsidR="00CE6FE5" w:rsidRPr="00EC0229">
        <w:rPr>
          <w:rStyle w:val="Hyperlink"/>
          <w:noProof/>
          <w:u w:val="none"/>
        </w:rPr>
        <w:instrText>Coin Use</w:instrText>
      </w:r>
      <w:r w:rsidR="00CE6FE5" w:rsidRPr="00EC0229">
        <w:instrText xml:space="preserve">" </w:instrText>
      </w:r>
      <w:r w:rsidR="00CE6FE5" w:rsidRPr="00EC0229">
        <w:fldChar w:fldCharType="end"/>
      </w:r>
    </w:p>
    <w:p w14:paraId="2BF06565" w14:textId="362DF14E" w:rsidR="00CE6FE5" w:rsidRPr="00EC0229" w:rsidRDefault="002979EC" w:rsidP="007C71C5">
      <w:pPr>
        <w:pStyle w:val="Heading4"/>
        <w:spacing w:line="360" w:lineRule="auto"/>
      </w:pPr>
      <w:bookmarkStart w:id="945" w:name="_Toc468266958"/>
      <w:r>
        <w:rPr>
          <w:b/>
        </w:rPr>
        <w:t>9.1.2.1</w:t>
      </w:r>
      <w:r w:rsidR="007C71C5" w:rsidRPr="007C71C5">
        <w:rPr>
          <w:b/>
        </w:rPr>
        <w:tab/>
      </w:r>
      <w:r w:rsidR="00CE6FE5" w:rsidRPr="00624DF5">
        <w:rPr>
          <w:b/>
        </w:rPr>
        <w:t>Gold</w:t>
      </w:r>
      <w:bookmarkEnd w:id="945"/>
    </w:p>
    <w:p w14:paraId="406EAE94" w14:textId="6E653179" w:rsidR="00CE6FE5" w:rsidRPr="00EC0229" w:rsidRDefault="00CE6FE5" w:rsidP="007600EA">
      <w:pPr>
        <w:pStyle w:val="Header"/>
        <w:spacing w:line="360" w:lineRule="auto"/>
        <w:rPr>
          <w:rFonts w:cs="Times New Roman"/>
          <w:color w:val="000000" w:themeColor="text1"/>
          <w:szCs w:val="24"/>
        </w:rPr>
      </w:pPr>
      <w:r w:rsidRPr="00EC0229">
        <w:rPr>
          <w:rFonts w:cs="Times New Roman"/>
          <w:color w:val="000000" w:themeColor="text1"/>
          <w:szCs w:val="24"/>
        </w:rPr>
        <w:t xml:space="preserve">Listed in </w:t>
      </w:r>
      <w:r w:rsidRPr="00EC0229">
        <w:rPr>
          <w:rFonts w:cs="Times New Roman"/>
          <w:i/>
          <w:szCs w:val="24"/>
        </w:rPr>
        <w:t xml:space="preserve">Table </w:t>
      </w:r>
      <w:r w:rsidR="000124C0" w:rsidRPr="00EC0229">
        <w:rPr>
          <w:rFonts w:cs="Times New Roman"/>
          <w:i/>
          <w:szCs w:val="24"/>
        </w:rPr>
        <w:t>5.0</w:t>
      </w:r>
      <w:r w:rsidR="00A26538" w:rsidRPr="00EC0229">
        <w:rPr>
          <w:rFonts w:cs="Times New Roman"/>
          <w:i/>
          <w:szCs w:val="24"/>
        </w:rPr>
        <w:t>7</w:t>
      </w:r>
      <w:r w:rsidRPr="00EC0229">
        <w:rPr>
          <w:rFonts w:cs="Times New Roman"/>
          <w:i/>
          <w:color w:val="000000" w:themeColor="text1"/>
          <w:szCs w:val="24"/>
        </w:rPr>
        <w:t xml:space="preserve"> </w:t>
      </w:r>
      <w:r w:rsidRPr="00EC0229">
        <w:rPr>
          <w:rFonts w:cs="Times New Roman"/>
          <w:color w:val="000000" w:themeColor="text1"/>
          <w:szCs w:val="24"/>
        </w:rPr>
        <w:t>are single finds, in England, of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coins, </w:t>
      </w:r>
      <w:r w:rsidR="002132F1">
        <w:rPr>
          <w:rFonts w:cs="Times New Roman"/>
          <w:i/>
          <w:color w:val="000000" w:themeColor="text1"/>
          <w:szCs w:val="24"/>
        </w:rPr>
        <w:t>c.</w:t>
      </w:r>
      <w:r w:rsidRPr="00EC0229">
        <w:rPr>
          <w:rFonts w:cs="Times New Roman"/>
          <w:color w:val="000000" w:themeColor="text1"/>
          <w:szCs w:val="24"/>
        </w:rPr>
        <w:t xml:space="preserve">410-675, extracted from Abdy and Williams. </w:t>
      </w:r>
      <w:r w:rsidRPr="00EC0229">
        <w:rPr>
          <w:rFonts w:cs="Times New Roman"/>
          <w:i/>
          <w:szCs w:val="24"/>
        </w:rPr>
        <w:t>Table</w:t>
      </w:r>
      <w:r w:rsidRPr="00EC0229">
        <w:rPr>
          <w:rFonts w:cs="Times New Roman"/>
          <w:i/>
          <w:szCs w:val="24"/>
        </w:rPr>
        <w:fldChar w:fldCharType="begin"/>
      </w:r>
      <w:r w:rsidRPr="00EC0229">
        <w:instrText xml:space="preserve"> XE "</w:instrText>
      </w:r>
      <w:r w:rsidRPr="00EC0229">
        <w:rPr>
          <w:rStyle w:val="Hyperlink"/>
          <w:noProof/>
          <w:u w:val="none"/>
        </w:rPr>
        <w:instrText>Table</w:instrText>
      </w:r>
      <w:r w:rsidRPr="00EC0229">
        <w:instrText xml:space="preserve">" </w:instrText>
      </w:r>
      <w:r w:rsidRPr="00EC0229">
        <w:rPr>
          <w:rFonts w:cs="Times New Roman"/>
          <w:i/>
          <w:szCs w:val="24"/>
        </w:rPr>
        <w:fldChar w:fldCharType="end"/>
      </w:r>
      <w:r w:rsidR="0009732D" w:rsidRPr="00EC0229">
        <w:rPr>
          <w:rFonts w:cs="Times New Roman"/>
          <w:i/>
          <w:szCs w:val="24"/>
        </w:rPr>
        <w:t xml:space="preserve"> </w:t>
      </w:r>
      <w:r w:rsidR="000124C0" w:rsidRPr="00EC0229">
        <w:rPr>
          <w:rFonts w:cs="Times New Roman"/>
          <w:i/>
          <w:szCs w:val="24"/>
        </w:rPr>
        <w:t>5.0</w:t>
      </w:r>
      <w:r w:rsidR="00A26538" w:rsidRPr="00EC0229">
        <w:rPr>
          <w:rFonts w:cs="Times New Roman"/>
          <w:i/>
          <w:szCs w:val="24"/>
        </w:rPr>
        <w:t>8</w:t>
      </w:r>
      <w:r w:rsidR="000124C0" w:rsidRPr="00EC0229">
        <w:rPr>
          <w:rFonts w:cs="Times New Roman"/>
          <w:i/>
          <w:color w:val="000000" w:themeColor="text1"/>
          <w:szCs w:val="24"/>
        </w:rPr>
        <w:t xml:space="preserve"> </w:t>
      </w:r>
      <w:r w:rsidRPr="00EC0229">
        <w:rPr>
          <w:rFonts w:cs="Times New Roman"/>
          <w:color w:val="000000" w:themeColor="text1"/>
          <w:szCs w:val="24"/>
        </w:rPr>
        <w:t>gives those for Northumbria</w:t>
      </w:r>
      <w:r w:rsidRPr="00EC0229">
        <w:rPr>
          <w:rFonts w:cs="Times New Roman"/>
          <w:color w:val="000000" w:themeColor="text1"/>
          <w:szCs w:val="24"/>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w:t>
      </w:r>
      <w:r w:rsidRPr="00EC0229">
        <w:rPr>
          <w:rFonts w:cs="Times New Roman"/>
          <w:i/>
          <w:szCs w:val="24"/>
        </w:rPr>
        <w:t xml:space="preserve">Table </w:t>
      </w:r>
      <w:r w:rsidR="000124C0" w:rsidRPr="00EC0229">
        <w:rPr>
          <w:rFonts w:cs="Times New Roman"/>
          <w:i/>
          <w:szCs w:val="24"/>
        </w:rPr>
        <w:t>5.0</w:t>
      </w:r>
      <w:r w:rsidR="00A26538" w:rsidRPr="00EC0229">
        <w:rPr>
          <w:rFonts w:cs="Times New Roman"/>
          <w:i/>
          <w:szCs w:val="24"/>
        </w:rPr>
        <w:t>7</w:t>
      </w:r>
      <w:r w:rsidRPr="00EC0229">
        <w:rPr>
          <w:rFonts w:cs="Times New Roman"/>
          <w:i/>
          <w:szCs w:val="24"/>
        </w:rPr>
        <w:t>b</w:t>
      </w:r>
      <w:r w:rsidRPr="00EC0229">
        <w:rPr>
          <w:rFonts w:cs="Times New Roman"/>
          <w:i/>
          <w:color w:val="000000" w:themeColor="text1"/>
          <w:szCs w:val="24"/>
        </w:rPr>
        <w:t xml:space="preserve"> </w:t>
      </w:r>
      <w:r w:rsidRPr="00EC0229">
        <w:rPr>
          <w:rFonts w:cs="Times New Roman"/>
          <w:color w:val="000000" w:themeColor="text1"/>
          <w:szCs w:val="24"/>
        </w:rPr>
        <w:t xml:space="preserve">for areas which may have been under its influence. There are no hoards. Of the six imported coins in </w:t>
      </w:r>
      <w:r w:rsidR="0009732D" w:rsidRPr="00EC0229">
        <w:rPr>
          <w:rFonts w:cs="Times New Roman"/>
          <w:i/>
          <w:szCs w:val="24"/>
        </w:rPr>
        <w:t xml:space="preserve">Table </w:t>
      </w:r>
      <w:r w:rsidR="00D24B5D" w:rsidRPr="00EC0229">
        <w:rPr>
          <w:rFonts w:cs="Times New Roman"/>
          <w:i/>
          <w:szCs w:val="24"/>
        </w:rPr>
        <w:t>5.07</w:t>
      </w:r>
      <w:r w:rsidR="000124C0" w:rsidRPr="00EC0229">
        <w:rPr>
          <w:rFonts w:cs="Times New Roman"/>
          <w:i/>
          <w:szCs w:val="24"/>
        </w:rPr>
        <w:t>b</w:t>
      </w:r>
      <w:r w:rsidRPr="00EC0229">
        <w:rPr>
          <w:rFonts w:cs="Times New Roman"/>
          <w:color w:val="000000" w:themeColor="text1"/>
          <w:szCs w:val="24"/>
        </w:rPr>
        <w:t>, two (of the three Meols specimens of Byzantine</w:t>
      </w:r>
      <w:r w:rsidRPr="00EC0229">
        <w:rPr>
          <w:rFonts w:cs="Times New Roman"/>
          <w:color w:val="000000" w:themeColor="text1"/>
          <w:szCs w:val="24"/>
        </w:rPr>
        <w:fldChar w:fldCharType="begin"/>
      </w:r>
      <w:r w:rsidRPr="00EC0229">
        <w:instrText xml:space="preserve"> XE "Byzantine" </w:instrText>
      </w:r>
      <w:r w:rsidRPr="00EC0229">
        <w:rPr>
          <w:rFonts w:cs="Times New Roman"/>
          <w:color w:val="000000" w:themeColor="text1"/>
          <w:szCs w:val="24"/>
        </w:rPr>
        <w:fldChar w:fldCharType="end"/>
      </w:r>
      <w:r w:rsidRPr="00EC0229">
        <w:rPr>
          <w:rFonts w:cs="Times New Roman"/>
          <w:color w:val="000000" w:themeColor="text1"/>
          <w:szCs w:val="24"/>
        </w:rPr>
        <w:t xml:space="preserve"> </w:t>
      </w:r>
      <w:r w:rsidRPr="00EC0229">
        <w:rPr>
          <w:rFonts w:cs="Times New Roman"/>
          <w:i/>
          <w:color w:val="000000" w:themeColor="text1"/>
          <w:szCs w:val="24"/>
        </w:rPr>
        <w:t>nummi</w:t>
      </w:r>
      <w:r w:rsidRPr="00EC0229">
        <w:rPr>
          <w:rFonts w:cs="Times New Roman"/>
          <w:color w:val="000000" w:themeColor="text1"/>
          <w:szCs w:val="24"/>
        </w:rPr>
        <w:t>) are not gold but are included as they were found with imported artefacts,</w:t>
      </w:r>
      <w:r w:rsidRPr="00EC0229">
        <w:rPr>
          <w:rStyle w:val="FootnoteReference"/>
          <w:rFonts w:cs="Times New Roman"/>
          <w:color w:val="000000" w:themeColor="text1"/>
          <w:szCs w:val="24"/>
        </w:rPr>
        <w:footnoteReference w:id="1274"/>
      </w:r>
      <w:r w:rsidRPr="00EC0229">
        <w:rPr>
          <w:rFonts w:cs="Times New Roman"/>
          <w:color w:val="000000" w:themeColor="text1"/>
          <w:szCs w:val="24"/>
        </w:rPr>
        <w:t xml:space="preserve"> part of the early sixth-century trade between western Britain and the Mediterranean. The volume of such finds, discounting modern losses, is not high but the coastal and inland distribution is widespread.</w:t>
      </w:r>
    </w:p>
    <w:p w14:paraId="712C4A44" w14:textId="77777777" w:rsidR="00CE6FE5" w:rsidRPr="00EC0229" w:rsidRDefault="00CE6FE5" w:rsidP="007600EA">
      <w:pPr>
        <w:pStyle w:val="NoSpacing"/>
        <w:spacing w:line="360" w:lineRule="auto"/>
        <w:rPr>
          <w:rFonts w:cs="Times New Roman"/>
          <w:szCs w:val="24"/>
        </w:rPr>
      </w:pPr>
    </w:p>
    <w:p w14:paraId="4B29FF20" w14:textId="77777777" w:rsidR="00CE6FE5" w:rsidRPr="00EC0229" w:rsidRDefault="00CE6FE5" w:rsidP="007600EA">
      <w:pPr>
        <w:spacing w:line="360" w:lineRule="auto"/>
        <w:rPr>
          <w:rFonts w:cs="Times New Roman"/>
          <w:color w:val="000000" w:themeColor="text1"/>
          <w:szCs w:val="24"/>
        </w:rPr>
      </w:pPr>
      <w:r w:rsidRPr="00EC0229">
        <w:rPr>
          <w:rFonts w:cs="Times New Roman"/>
          <w:color w:val="000000" w:themeColor="text1"/>
          <w:szCs w:val="24"/>
        </w:rPr>
        <w:t>The immediate implication is that this modest volume of finds of imported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coin may indicate commercial or social intercourse with the Continent at these findspots but the level of activity is low as gold usage was restricted to élite</w:t>
      </w:r>
      <w:r w:rsidRPr="00EC0229">
        <w:rPr>
          <w:rFonts w:cs="Times New Roman"/>
          <w:color w:val="000000" w:themeColor="text1"/>
          <w:szCs w:val="24"/>
        </w:rPr>
        <w:fldChar w:fldCharType="begin"/>
      </w:r>
      <w:r w:rsidRPr="00EC0229">
        <w:instrText xml:space="preserve"> XE "</w:instrText>
      </w:r>
      <w:r w:rsidRPr="00EC0229">
        <w:rPr>
          <w:szCs w:val="24"/>
        </w:rPr>
        <w:instrText>élite</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transactions. Pirie</w:t>
      </w:r>
      <w:r w:rsidRPr="00EC0229">
        <w:rPr>
          <w:rFonts w:cs="Times New Roman"/>
          <w:color w:val="000000" w:themeColor="text1"/>
          <w:szCs w:val="24"/>
        </w:rPr>
        <w:fldChar w:fldCharType="begin"/>
      </w:r>
      <w:r w:rsidRPr="00EC0229">
        <w:instrText xml:space="preserve"> XE "Pirie" </w:instrText>
      </w:r>
      <w:r w:rsidRPr="00EC0229">
        <w:rPr>
          <w:rFonts w:cs="Times New Roman"/>
          <w:color w:val="000000" w:themeColor="text1"/>
          <w:szCs w:val="24"/>
        </w:rPr>
        <w:fldChar w:fldCharType="end"/>
      </w:r>
      <w:r w:rsidRPr="00EC0229">
        <w:rPr>
          <w:rFonts w:cs="Times New Roman"/>
          <w:color w:val="000000" w:themeColor="text1"/>
          <w:szCs w:val="24"/>
        </w:rPr>
        <w:t xml:space="preserve"> suggested that these coins originally came to southern </w:t>
      </w:r>
      <w:r w:rsidRPr="00EC0229">
        <w:rPr>
          <w:rFonts w:cs="Times New Roman"/>
          <w:i/>
          <w:color w:val="000000" w:themeColor="text1"/>
          <w:szCs w:val="24"/>
        </w:rPr>
        <w:t>wics</w:t>
      </w:r>
      <w:r w:rsidRPr="00EC0229">
        <w:rPr>
          <w:rFonts w:cs="Times New Roman"/>
          <w:color w:val="000000" w:themeColor="text1"/>
          <w:szCs w:val="24"/>
        </w:rPr>
        <w:t xml:space="preserve"> and were subsequently traded northward.</w:t>
      </w:r>
      <w:r w:rsidRPr="00EC0229">
        <w:rPr>
          <w:rStyle w:val="FootnoteReference"/>
          <w:rFonts w:cs="Times New Roman"/>
          <w:color w:val="000000" w:themeColor="text1"/>
          <w:szCs w:val="24"/>
        </w:rPr>
        <w:footnoteReference w:id="1275"/>
      </w:r>
    </w:p>
    <w:p w14:paraId="252D422C" w14:textId="6824C2F4" w:rsidR="00CE6FE5" w:rsidRPr="00EC0229" w:rsidRDefault="00CE6FE5" w:rsidP="007600EA">
      <w:pPr>
        <w:spacing w:line="360" w:lineRule="auto"/>
        <w:rPr>
          <w:rFonts w:cs="Times New Roman"/>
          <w:color w:val="000000" w:themeColor="text1"/>
          <w:szCs w:val="24"/>
        </w:rPr>
      </w:pPr>
      <w:r w:rsidRPr="00EC0229">
        <w:rPr>
          <w:rFonts w:cs="Times New Roman"/>
          <w:color w:val="000000" w:themeColor="text1"/>
          <w:szCs w:val="24"/>
        </w:rPr>
        <w:t xml:space="preserve">However, judgments must be cognisant of informal evidence. </w:t>
      </w:r>
      <w:r w:rsidRPr="00EC0229">
        <w:rPr>
          <w:rFonts w:cs="Times New Roman"/>
          <w:i/>
          <w:szCs w:val="24"/>
        </w:rPr>
        <w:t>Table</w:t>
      </w:r>
      <w:r w:rsidRPr="00EC0229">
        <w:rPr>
          <w:rFonts w:cs="Times New Roman"/>
          <w:i/>
          <w:szCs w:val="24"/>
        </w:rPr>
        <w:fldChar w:fldCharType="begin"/>
      </w:r>
      <w:r w:rsidRPr="00EC0229">
        <w:instrText xml:space="preserve"> XE "</w:instrText>
      </w:r>
      <w:r w:rsidRPr="00EC0229">
        <w:rPr>
          <w:noProof/>
        </w:rPr>
        <w:instrText>Table</w:instrText>
      </w:r>
      <w:r w:rsidRPr="00EC0229">
        <w:instrText xml:space="preserve">" </w:instrText>
      </w:r>
      <w:r w:rsidRPr="00EC0229">
        <w:rPr>
          <w:rFonts w:cs="Times New Roman"/>
          <w:i/>
          <w:szCs w:val="24"/>
        </w:rPr>
        <w:fldChar w:fldCharType="end"/>
      </w:r>
      <w:r w:rsidRPr="00EC0229">
        <w:rPr>
          <w:rFonts w:cs="Times New Roman"/>
          <w:i/>
          <w:szCs w:val="24"/>
        </w:rPr>
        <w:t xml:space="preserve"> </w:t>
      </w:r>
      <w:r w:rsidR="000124C0" w:rsidRPr="00EC0229">
        <w:rPr>
          <w:rFonts w:cs="Times New Roman"/>
          <w:i/>
          <w:szCs w:val="24"/>
        </w:rPr>
        <w:t>5.0</w:t>
      </w:r>
      <w:r w:rsidR="00A26538" w:rsidRPr="00EC0229">
        <w:rPr>
          <w:rFonts w:cs="Times New Roman"/>
          <w:i/>
          <w:szCs w:val="24"/>
        </w:rPr>
        <w:t>8</w:t>
      </w:r>
      <w:r w:rsidRPr="00EC0229">
        <w:rPr>
          <w:rFonts w:cs="Times New Roman"/>
          <w:color w:val="000000" w:themeColor="text1"/>
          <w:szCs w:val="24"/>
        </w:rPr>
        <w:t xml:space="preserve"> lists the imported gold</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and silver, found in the Northumbrian area, in the author’s collection alone. The presence of only one Merovingian</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Merovingian</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tremissis</w:t>
      </w:r>
      <w:r w:rsidRPr="00EC0229">
        <w:rPr>
          <w:rFonts w:cs="Times New Roman"/>
          <w:color w:val="000000" w:themeColor="text1"/>
          <w:szCs w:val="24"/>
        </w:rPr>
        <w:fldChar w:fldCharType="begin"/>
      </w:r>
      <w:r w:rsidRPr="00EC0229">
        <w:instrText xml:space="preserve"> XE "</w:instrText>
      </w:r>
      <w:r w:rsidRPr="00EC0229">
        <w:rPr>
          <w:rFonts w:eastAsia="Times New Roman" w:cs="Times New Roman"/>
        </w:rPr>
        <w:instrText>tremissis</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xml:space="preserve"> in </w:t>
      </w:r>
      <w:r w:rsidRPr="00EC0229">
        <w:rPr>
          <w:rFonts w:cs="Times New Roman"/>
          <w:i/>
          <w:szCs w:val="24"/>
        </w:rPr>
        <w:t xml:space="preserve">Table </w:t>
      </w:r>
      <w:r w:rsidR="000124C0" w:rsidRPr="00EC0229">
        <w:rPr>
          <w:rFonts w:cs="Times New Roman"/>
          <w:i/>
          <w:szCs w:val="24"/>
        </w:rPr>
        <w:t>5.0</w:t>
      </w:r>
      <w:r w:rsidR="00A26538" w:rsidRPr="00EC0229">
        <w:rPr>
          <w:rFonts w:cs="Times New Roman"/>
          <w:i/>
          <w:szCs w:val="24"/>
        </w:rPr>
        <w:t>8</w:t>
      </w:r>
      <w:r w:rsidR="000124C0" w:rsidRPr="00EC0229">
        <w:rPr>
          <w:rFonts w:cs="Times New Roman"/>
          <w:i/>
          <w:color w:val="000000" w:themeColor="text1"/>
          <w:szCs w:val="24"/>
        </w:rPr>
        <w:t xml:space="preserve"> </w:t>
      </w:r>
      <w:r w:rsidRPr="00EC0229">
        <w:rPr>
          <w:rFonts w:cs="Times New Roman"/>
          <w:color w:val="000000" w:themeColor="text1"/>
          <w:szCs w:val="24"/>
        </w:rPr>
        <w:t>(from Wharram Percy</w:t>
      </w:r>
      <w:r w:rsidRPr="00EC0229">
        <w:rPr>
          <w:rFonts w:cs="Times New Roman"/>
          <w:color w:val="000000" w:themeColor="text1"/>
          <w:szCs w:val="24"/>
        </w:rPr>
        <w:fldChar w:fldCharType="begin"/>
      </w:r>
      <w:r w:rsidRPr="00EC0229">
        <w:instrText xml:space="preserve"> XE "</w:instrText>
      </w:r>
      <w:r w:rsidRPr="00EC0229">
        <w:rPr>
          <w:rStyle w:val="Hyperlink"/>
          <w:noProof/>
          <w:u w:val="none"/>
        </w:rPr>
        <w:instrText>Wharram Percy</w:instrText>
      </w:r>
      <w:r w:rsidRPr="00EC0229">
        <w:instrText xml:space="preserve">" </w:instrText>
      </w:r>
      <w:r w:rsidRPr="00EC0229">
        <w:rPr>
          <w:rFonts w:cs="Times New Roman"/>
          <w:color w:val="000000" w:themeColor="text1"/>
          <w:szCs w:val="24"/>
        </w:rPr>
        <w:fldChar w:fldCharType="end"/>
      </w:r>
      <w:r w:rsidRPr="00EC0229">
        <w:rPr>
          <w:rFonts w:cs="Times New Roman"/>
          <w:color w:val="000000" w:themeColor="text1"/>
          <w:szCs w:val="24"/>
        </w:rPr>
        <w:t>), lends confidence to conclusions drawn from the Abdy and Williams data. It should be noted that imported gold and silver seem to have been found in similar quantities generally</w:t>
      </w:r>
      <w:r w:rsidRPr="00EC0229">
        <w:rPr>
          <w:rStyle w:val="FootnoteReference"/>
          <w:rFonts w:cs="Times New Roman"/>
          <w:color w:val="000000" w:themeColor="text1"/>
          <w:szCs w:val="24"/>
        </w:rPr>
        <w:footnoteReference w:id="1276"/>
      </w:r>
      <w:r w:rsidRPr="00EC0229">
        <w:rPr>
          <w:rFonts w:cs="Times New Roman"/>
          <w:color w:val="000000" w:themeColor="text1"/>
          <w:szCs w:val="24"/>
        </w:rPr>
        <w:t xml:space="preserve"> perhaps indicating a better level of control over the imported silver.</w:t>
      </w:r>
    </w:p>
    <w:p w14:paraId="545059C4" w14:textId="57A6C6F9" w:rsidR="00CE6FE5" w:rsidRPr="00EC0229" w:rsidRDefault="00CE6FE5" w:rsidP="007600EA">
      <w:pPr>
        <w:pStyle w:val="NoSpacing"/>
        <w:spacing w:line="360" w:lineRule="auto"/>
        <w:rPr>
          <w:rFonts w:cs="Times New Roman"/>
        </w:rPr>
      </w:pPr>
      <w:bookmarkStart w:id="946" w:name="LoiusthePious"/>
      <w:bookmarkEnd w:id="946"/>
      <w:r w:rsidRPr="00EC0229">
        <w:rPr>
          <w:rFonts w:cs="Times New Roman"/>
        </w:rPr>
        <w:t xml:space="preserve">Blackburn continues the corpus for the </w:t>
      </w:r>
      <w:r w:rsidR="00C44B02">
        <w:rPr>
          <w:rFonts w:cs="Times New Roman"/>
        </w:rPr>
        <w:t>eighth</w:t>
      </w:r>
      <w:r w:rsidRPr="00EC0229">
        <w:rPr>
          <w:rFonts w:cs="Times New Roman"/>
        </w:rPr>
        <w:t xml:space="preserve"> to eleventh</w:t>
      </w:r>
      <w:r w:rsidR="00C44B02">
        <w:rPr>
          <w:rFonts w:cs="Times New Roman"/>
        </w:rPr>
        <w:t xml:space="preserve"> </w:t>
      </w:r>
      <w:r w:rsidRPr="00EC0229">
        <w:rPr>
          <w:rFonts w:cs="Times New Roman"/>
        </w:rPr>
        <w:t>centuries,</w:t>
      </w:r>
      <w:r w:rsidRPr="00EC0229">
        <w:rPr>
          <w:rStyle w:val="FootnoteReference"/>
          <w:rFonts w:cs="Times New Roman"/>
        </w:rPr>
        <w:footnoteReference w:id="1277"/>
      </w:r>
      <w:r w:rsidRPr="00EC0229">
        <w:rPr>
          <w:rFonts w:cs="Times New Roman"/>
        </w:rPr>
        <w:t xml:space="preserve">  listing the twenty-nine British finds of gold</w:t>
      </w:r>
      <w:r w:rsidRPr="00EC0229">
        <w:rPr>
          <w:rFonts w:cs="Times New Roman"/>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rPr>
        <w:fldChar w:fldCharType="end"/>
      </w:r>
      <w:r w:rsidRPr="00EC0229">
        <w:rPr>
          <w:rFonts w:cs="Times New Roman"/>
        </w:rPr>
        <w:t xml:space="preserve"> coins for the period 700-1200, including two Islamic coins of the eighth century, and two Anglo-Saxon</w:t>
      </w:r>
      <w:r w:rsidRPr="00EC0229">
        <w:rPr>
          <w:rFonts w:cs="Times New Roman"/>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rPr>
        <w:fldChar w:fldCharType="end"/>
      </w:r>
      <w:r w:rsidRPr="00EC0229">
        <w:rPr>
          <w:rFonts w:cs="Times New Roman"/>
        </w:rPr>
        <w:t xml:space="preserve"> coins</w:t>
      </w:r>
      <w:r w:rsidRPr="00EC0229">
        <w:rPr>
          <w:rStyle w:val="FootnoteReference"/>
          <w:rFonts w:cs="Times New Roman"/>
        </w:rPr>
        <w:footnoteReference w:id="1278"/>
      </w:r>
      <w:r w:rsidRPr="00EC0229">
        <w:rPr>
          <w:rFonts w:cs="Times New Roman"/>
        </w:rPr>
        <w:t xml:space="preserve"> plus sixteen Carolingian</w:t>
      </w:r>
      <w:r w:rsidRPr="00EC0229">
        <w:rPr>
          <w:rFonts w:cs="Times New Roman"/>
        </w:rPr>
        <w:fldChar w:fldCharType="begin"/>
      </w:r>
      <w:r w:rsidRPr="00EC0229">
        <w:instrText xml:space="preserve"> XE "</w:instrText>
      </w:r>
      <w:r w:rsidRPr="00EC0229">
        <w:rPr>
          <w:rFonts w:cs="Times New Roman"/>
          <w:szCs w:val="24"/>
        </w:rPr>
        <w:instrText>Carolingian</w:instrText>
      </w:r>
      <w:r w:rsidRPr="00EC0229">
        <w:instrText xml:space="preserve">" </w:instrText>
      </w:r>
      <w:r w:rsidRPr="00EC0229">
        <w:rPr>
          <w:rFonts w:cs="Times New Roman"/>
        </w:rPr>
        <w:fldChar w:fldCharType="end"/>
      </w:r>
      <w:r w:rsidRPr="00EC0229">
        <w:rPr>
          <w:rFonts w:cs="Times New Roman"/>
        </w:rPr>
        <w:t xml:space="preserve"> coins and their derivatives for the ninth century. That these are mainly imitative solidi of Louis the Pious</w:t>
      </w:r>
      <w:r w:rsidRPr="00EC0229">
        <w:rPr>
          <w:rFonts w:cs="Times New Roman"/>
        </w:rPr>
        <w:fldChar w:fldCharType="begin"/>
      </w:r>
      <w:r w:rsidRPr="00EC0229">
        <w:instrText xml:space="preserve"> XE "</w:instrText>
      </w:r>
      <w:r w:rsidRPr="00EC0229">
        <w:rPr>
          <w:rFonts w:eastAsia="Times New Roman" w:cs="Times New Roman"/>
          <w:szCs w:val="24"/>
          <w:lang w:eastAsia="en-GB"/>
        </w:rPr>
        <w:instrText>Louis the Pious</w:instrText>
      </w:r>
      <w:r w:rsidRPr="00EC0229">
        <w:instrText xml:space="preserve">" </w:instrText>
      </w:r>
      <w:r w:rsidRPr="00EC0229">
        <w:rPr>
          <w:rFonts w:cs="Times New Roman"/>
        </w:rPr>
        <w:fldChar w:fldCharType="end"/>
      </w:r>
      <w:r w:rsidRPr="00EC0229">
        <w:rPr>
          <w:rFonts w:cs="Times New Roman"/>
        </w:rPr>
        <w:t xml:space="preserve"> (</w:t>
      </w:r>
      <w:r w:rsidRPr="00EC0229">
        <w:rPr>
          <w:rFonts w:cs="Times New Roman"/>
          <w:szCs w:val="24"/>
        </w:rPr>
        <w:fldChar w:fldCharType="begin"/>
      </w:r>
      <w:r w:rsidRPr="00EC0229">
        <w:rPr>
          <w:rFonts w:cs="Times New Roman"/>
          <w:szCs w:val="24"/>
        </w:rPr>
        <w:instrText xml:space="preserve"> REF _Ref430245940 \h  \* MERGEFORMAT </w:instrText>
      </w:r>
      <w:r w:rsidRPr="00EC0229">
        <w:rPr>
          <w:rFonts w:cs="Times New Roman"/>
          <w:szCs w:val="24"/>
        </w:rPr>
      </w:r>
      <w:r w:rsidRPr="00EC0229">
        <w:rPr>
          <w:rFonts w:cs="Times New Roman"/>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171</w:t>
      </w:r>
      <w:r w:rsidRPr="00EC0229">
        <w:rPr>
          <w:rFonts w:cs="Times New Roman"/>
          <w:szCs w:val="24"/>
        </w:rPr>
        <w:fldChar w:fldCharType="end"/>
      </w:r>
      <w:r w:rsidRPr="00EC0229">
        <w:rPr>
          <w:rFonts w:cs="Times New Roman"/>
        </w:rPr>
        <w:t xml:space="preserve">) becomes more significant in the light of a lead trial piece of this type from Torksey </w:t>
      </w:r>
      <w:r w:rsidRPr="00EC0229">
        <w:rPr>
          <w:rFonts w:cs="Times New Roman"/>
          <w:szCs w:val="24"/>
        </w:rPr>
        <w:t>(</w:t>
      </w:r>
      <w:r w:rsidRPr="00EC0229">
        <w:rPr>
          <w:rFonts w:cs="Times New Roman"/>
          <w:i/>
          <w:szCs w:val="24"/>
        </w:rPr>
        <w:fldChar w:fldCharType="begin"/>
      </w:r>
      <w:r w:rsidRPr="00EC0229">
        <w:rPr>
          <w:rFonts w:cs="Times New Roman"/>
          <w:i/>
          <w:szCs w:val="24"/>
        </w:rPr>
        <w:instrText xml:space="preserve"> REF _Ref430245949 \h  \* MERGEFORMAT </w:instrText>
      </w:r>
      <w:r w:rsidRPr="00EC0229">
        <w:rPr>
          <w:rFonts w:cs="Times New Roman"/>
          <w:i/>
          <w:szCs w:val="24"/>
        </w:rPr>
      </w:r>
      <w:r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172</w:t>
      </w:r>
      <w:r w:rsidRPr="00EC0229">
        <w:rPr>
          <w:rFonts w:cs="Times New Roman"/>
          <w:szCs w:val="24"/>
        </w:rPr>
        <w:fldChar w:fldCharType="end"/>
      </w:r>
      <w:r w:rsidRPr="00EC0229">
        <w:rPr>
          <w:rFonts w:cs="Times New Roman"/>
        </w:rPr>
        <w:t xml:space="preserve">), probably dating from the mid-ninth century. Even were such imitations to have been </w:t>
      </w:r>
      <w:r w:rsidRPr="00EC0229">
        <w:rPr>
          <w:rFonts w:cs="Times New Roman"/>
        </w:rPr>
        <w:lastRenderedPageBreak/>
        <w:t>produced domestically, the variation in authenticity, weight and purity, judging from the known specimens, made for an unreliable medium, more likely to have been treated as bullion</w:t>
      </w:r>
      <w:r w:rsidRPr="00EC0229">
        <w:rPr>
          <w:rFonts w:cs="Times New Roman"/>
        </w:rPr>
        <w:fldChar w:fldCharType="begin"/>
      </w:r>
      <w:r w:rsidRPr="00EC0229">
        <w:instrText xml:space="preserve"> XE "</w:instrText>
      </w:r>
      <w:r w:rsidRPr="00EC0229">
        <w:rPr>
          <w:rFonts w:cs="Times New Roman"/>
          <w:szCs w:val="24"/>
        </w:rPr>
        <w:instrText>bullion</w:instrText>
      </w:r>
      <w:r w:rsidRPr="00EC0229">
        <w:instrText xml:space="preserve">" </w:instrText>
      </w:r>
      <w:r w:rsidRPr="00EC0229">
        <w:rPr>
          <w:rFonts w:cs="Times New Roman"/>
        </w:rPr>
        <w:fldChar w:fldCharType="end"/>
      </w:r>
      <w:r w:rsidRPr="00EC0229">
        <w:rPr>
          <w:rFonts w:cs="Times New Roman"/>
        </w:rPr>
        <w:t>.</w:t>
      </w:r>
      <w:r w:rsidRPr="00EC0229">
        <w:rPr>
          <w:rStyle w:val="FootnoteReference"/>
          <w:rFonts w:cs="Times New Roman"/>
        </w:rPr>
        <w:footnoteReference w:id="1279"/>
      </w:r>
    </w:p>
    <w:p w14:paraId="29908E7E" w14:textId="77777777" w:rsidR="00CE6FE5" w:rsidRPr="00EC0229" w:rsidRDefault="00CE6FE5" w:rsidP="007600EA">
      <w:pPr>
        <w:pStyle w:val="NoSpacing"/>
        <w:spacing w:line="360" w:lineRule="auto"/>
        <w:jc w:val="center"/>
      </w:pPr>
      <w:r w:rsidRPr="00EC0229">
        <w:rPr>
          <w:noProof/>
          <w:lang w:eastAsia="en-GB"/>
        </w:rPr>
        <w:drawing>
          <wp:inline distT="0" distB="0" distL="0" distR="0" wp14:anchorId="5494D931" wp14:editId="6D5D20A3">
            <wp:extent cx="1812336" cy="90347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uis the Pious solidus, West Lindsey.jpg"/>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1837764" cy="916155"/>
                    </a:xfrm>
                    <a:prstGeom prst="rect">
                      <a:avLst/>
                    </a:prstGeom>
                  </pic:spPr>
                </pic:pic>
              </a:graphicData>
            </a:graphic>
          </wp:inline>
        </w:drawing>
      </w:r>
    </w:p>
    <w:p w14:paraId="29B74CE5" w14:textId="3A9B2C62" w:rsidR="00CE6FE5" w:rsidRPr="00EC0229" w:rsidRDefault="00CE6FE5" w:rsidP="007600EA">
      <w:pPr>
        <w:pStyle w:val="NoSpacing"/>
        <w:spacing w:line="360" w:lineRule="auto"/>
        <w:jc w:val="center"/>
        <w:rPr>
          <w:sz w:val="20"/>
          <w:szCs w:val="20"/>
        </w:rPr>
      </w:pPr>
      <w:bookmarkStart w:id="947" w:name="_Ref430245940"/>
      <w:bookmarkStart w:id="948" w:name="_Toc468267143"/>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171</w:t>
      </w:r>
      <w:r w:rsidRPr="00EC0229">
        <w:rPr>
          <w:sz w:val="20"/>
          <w:szCs w:val="20"/>
        </w:rPr>
        <w:fldChar w:fldCharType="end"/>
      </w:r>
      <w:bookmarkEnd w:id="947"/>
      <w:r w:rsidRPr="00EC0229">
        <w:rPr>
          <w:sz w:val="20"/>
          <w:szCs w:val="20"/>
        </w:rPr>
        <w:t>: Imitative solidus</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solidus</w:instrText>
      </w:r>
      <w:r w:rsidRPr="00EC0229">
        <w:rPr>
          <w:sz w:val="20"/>
          <w:szCs w:val="20"/>
        </w:rPr>
        <w:instrText xml:space="preserve">" </w:instrText>
      </w:r>
      <w:r w:rsidRPr="00EC0229">
        <w:rPr>
          <w:sz w:val="20"/>
          <w:szCs w:val="20"/>
        </w:rPr>
        <w:fldChar w:fldCharType="end"/>
      </w:r>
      <w:r w:rsidRPr="00EC0229">
        <w:rPr>
          <w:sz w:val="20"/>
          <w:szCs w:val="20"/>
        </w:rPr>
        <w:t xml:space="preserve"> of Louis the Pious</w:t>
      </w:r>
      <w:bookmarkEnd w:id="948"/>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Louis the Pious</w:instrText>
      </w:r>
      <w:r w:rsidRPr="00EC0229">
        <w:rPr>
          <w:sz w:val="20"/>
          <w:szCs w:val="20"/>
        </w:rPr>
        <w:instrText xml:space="preserve">" </w:instrText>
      </w:r>
      <w:r w:rsidRPr="00EC0229">
        <w:rPr>
          <w:sz w:val="20"/>
          <w:szCs w:val="20"/>
        </w:rPr>
        <w:fldChar w:fldCharType="end"/>
      </w:r>
    </w:p>
    <w:p w14:paraId="780DADDA" w14:textId="77777777" w:rsidR="00CE6FE5" w:rsidRPr="00EC0229" w:rsidRDefault="00CE6FE5" w:rsidP="007600EA">
      <w:pPr>
        <w:pStyle w:val="NoSpacing"/>
        <w:spacing w:line="360" w:lineRule="auto"/>
        <w:jc w:val="center"/>
        <w:rPr>
          <w:sz w:val="20"/>
          <w:szCs w:val="20"/>
        </w:rPr>
      </w:pPr>
      <w:r w:rsidRPr="00EC0229">
        <w:rPr>
          <w:sz w:val="20"/>
          <w:szCs w:val="20"/>
        </w:rPr>
        <w:t>found West Lindsey, Lincolnshire, 4.38g.</w:t>
      </w:r>
    </w:p>
    <w:p w14:paraId="3FD37B08" w14:textId="77777777" w:rsidR="00CE6FE5" w:rsidRPr="00EC0229" w:rsidRDefault="00CE6FE5" w:rsidP="007600EA">
      <w:pPr>
        <w:pStyle w:val="NoSpacing"/>
        <w:spacing w:line="360" w:lineRule="auto"/>
        <w:jc w:val="center"/>
        <w:rPr>
          <w:sz w:val="20"/>
          <w:szCs w:val="20"/>
        </w:rPr>
      </w:pPr>
      <w:r w:rsidRPr="00EC0229">
        <w:rPr>
          <w:sz w:val="20"/>
          <w:szCs w:val="20"/>
        </w:rPr>
        <w:t>(Courtesy Spink &amp; Son Ltd, auction 227, lot 484, 17-18 December 2014, PAS</w:t>
      </w:r>
      <w:r w:rsidRPr="00EC0229">
        <w:rPr>
          <w:sz w:val="20"/>
          <w:szCs w:val="20"/>
        </w:rPr>
        <w:fldChar w:fldCharType="begin"/>
      </w:r>
      <w:r w:rsidRPr="00EC0229">
        <w:rPr>
          <w:sz w:val="20"/>
          <w:szCs w:val="20"/>
        </w:rPr>
        <w:instrText xml:space="preserve"> XE "PAS" </w:instrText>
      </w:r>
      <w:r w:rsidRPr="00EC0229">
        <w:rPr>
          <w:sz w:val="20"/>
          <w:szCs w:val="20"/>
        </w:rPr>
        <w:fldChar w:fldCharType="end"/>
      </w:r>
      <w:r w:rsidRPr="00EC0229">
        <w:rPr>
          <w:sz w:val="20"/>
          <w:szCs w:val="20"/>
        </w:rPr>
        <w:t xml:space="preserve"> LANCUM-9E265D)</w:t>
      </w:r>
    </w:p>
    <w:p w14:paraId="2F23BF0B" w14:textId="77777777" w:rsidR="00CE6FE5" w:rsidRPr="00EC0229" w:rsidRDefault="00CE6FE5" w:rsidP="007600EA">
      <w:pPr>
        <w:pStyle w:val="NoSpacing"/>
        <w:spacing w:line="360" w:lineRule="auto"/>
        <w:jc w:val="center"/>
        <w:rPr>
          <w:sz w:val="20"/>
          <w:szCs w:val="20"/>
        </w:rPr>
      </w:pPr>
      <w:r w:rsidRPr="00EC0229">
        <w:rPr>
          <w:rFonts w:cs="Times New Roman"/>
          <w:noProof/>
          <w:lang w:eastAsia="en-GB"/>
        </w:rPr>
        <w:drawing>
          <wp:inline distT="0" distB="0" distL="0" distR="0" wp14:anchorId="28BA0660" wp14:editId="03935FC7">
            <wp:extent cx="1341120" cy="13411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orksey Louis the Pious EMC2001.0290obv.jpg"/>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1341120" cy="1341120"/>
                    </a:xfrm>
                    <a:prstGeom prst="rect">
                      <a:avLst/>
                    </a:prstGeom>
                  </pic:spPr>
                </pic:pic>
              </a:graphicData>
            </a:graphic>
          </wp:inline>
        </w:drawing>
      </w:r>
      <w:r w:rsidRPr="00EC0229">
        <w:rPr>
          <w:sz w:val="20"/>
          <w:szCs w:val="20"/>
        </w:rPr>
        <w:t xml:space="preserve"> </w:t>
      </w:r>
    </w:p>
    <w:p w14:paraId="0964DA5F" w14:textId="1BBE183E" w:rsidR="00CE6FE5" w:rsidRPr="00EC0229" w:rsidRDefault="00CE6FE5" w:rsidP="007600EA">
      <w:pPr>
        <w:pStyle w:val="NoSpacing"/>
        <w:spacing w:line="360" w:lineRule="auto"/>
        <w:jc w:val="center"/>
        <w:rPr>
          <w:sz w:val="20"/>
          <w:szCs w:val="20"/>
        </w:rPr>
      </w:pPr>
      <w:bookmarkStart w:id="949" w:name="_Ref430245949"/>
      <w:bookmarkStart w:id="950" w:name="_Toc468267144"/>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172</w:t>
      </w:r>
      <w:r w:rsidRPr="00EC0229">
        <w:rPr>
          <w:sz w:val="20"/>
          <w:szCs w:val="20"/>
        </w:rPr>
        <w:fldChar w:fldCharType="end"/>
      </w:r>
      <w:bookmarkEnd w:id="949"/>
      <w:r w:rsidRPr="00EC0229">
        <w:rPr>
          <w:sz w:val="20"/>
          <w:szCs w:val="20"/>
        </w:rPr>
        <w:t>: English/Frisian copy of a gold</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solidus</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solidus</w:instrText>
      </w:r>
      <w:r w:rsidRPr="00EC0229">
        <w:rPr>
          <w:sz w:val="20"/>
          <w:szCs w:val="20"/>
        </w:rPr>
        <w:instrText xml:space="preserve">" </w:instrText>
      </w:r>
      <w:r w:rsidRPr="00EC0229">
        <w:rPr>
          <w:sz w:val="20"/>
          <w:szCs w:val="20"/>
        </w:rPr>
        <w:fldChar w:fldCharType="end"/>
      </w:r>
      <w:r w:rsidRPr="00EC0229">
        <w:rPr>
          <w:sz w:val="20"/>
          <w:szCs w:val="20"/>
        </w:rPr>
        <w:t xml:space="preserve"> of Louis the Pious</w:t>
      </w:r>
      <w:r w:rsidRPr="00EC0229">
        <w:rPr>
          <w:sz w:val="20"/>
          <w:szCs w:val="20"/>
        </w:rPr>
        <w:fldChar w:fldCharType="begin"/>
      </w:r>
      <w:r w:rsidRPr="00EC0229">
        <w:rPr>
          <w:sz w:val="20"/>
          <w:szCs w:val="20"/>
        </w:rPr>
        <w:instrText xml:space="preserve"> XE "</w:instrText>
      </w:r>
      <w:r w:rsidRPr="00EC0229">
        <w:rPr>
          <w:rFonts w:eastAsia="Times New Roman" w:cs="Times New Roman"/>
          <w:sz w:val="20"/>
          <w:szCs w:val="20"/>
          <w:lang w:eastAsia="en-GB"/>
        </w:rPr>
        <w:instrText>Louis the Pious</w:instrText>
      </w:r>
      <w:r w:rsidRPr="00EC0229">
        <w:rPr>
          <w:sz w:val="20"/>
          <w:szCs w:val="20"/>
        </w:rPr>
        <w:instrText xml:space="preserve">" </w:instrText>
      </w:r>
      <w:r w:rsidRPr="00EC0229">
        <w:rPr>
          <w:sz w:val="20"/>
          <w:szCs w:val="20"/>
        </w:rPr>
        <w:fldChar w:fldCharType="end"/>
      </w:r>
      <w:r w:rsidRPr="00EC0229">
        <w:rPr>
          <w:sz w:val="20"/>
          <w:szCs w:val="20"/>
        </w:rPr>
        <w:t xml:space="preserve"> (814-840).</w:t>
      </w:r>
      <w:bookmarkEnd w:id="950"/>
    </w:p>
    <w:p w14:paraId="7D1A2C06" w14:textId="77777777" w:rsidR="00CE6FE5" w:rsidRPr="00EC0229" w:rsidRDefault="00CE6FE5" w:rsidP="007600EA">
      <w:pPr>
        <w:pStyle w:val="NoSpacing"/>
        <w:spacing w:line="360" w:lineRule="auto"/>
        <w:jc w:val="center"/>
        <w:rPr>
          <w:rFonts w:cs="Times New Roman"/>
          <w:sz w:val="20"/>
          <w:szCs w:val="20"/>
        </w:rPr>
      </w:pPr>
      <w:r w:rsidRPr="00EC0229">
        <w:rPr>
          <w:sz w:val="20"/>
          <w:szCs w:val="20"/>
        </w:rPr>
        <w:t>Found Torksey, 22.64g.</w:t>
      </w:r>
      <w:r w:rsidRPr="00EC0229">
        <w:rPr>
          <w:rStyle w:val="FootnoteReference"/>
          <w:sz w:val="20"/>
          <w:szCs w:val="20"/>
        </w:rPr>
        <w:footnoteReference w:id="1280"/>
      </w:r>
      <w:r w:rsidRPr="00EC0229">
        <w:rPr>
          <w:sz w:val="20"/>
          <w:szCs w:val="20"/>
        </w:rPr>
        <w:t xml:space="preserve">  EMC</w:t>
      </w:r>
      <w:r w:rsidRPr="00EC0229">
        <w:rPr>
          <w:sz w:val="20"/>
          <w:szCs w:val="20"/>
        </w:rPr>
        <w:fldChar w:fldCharType="begin"/>
      </w:r>
      <w:r w:rsidRPr="00EC0229">
        <w:instrText xml:space="preserve"> XE "EMC" </w:instrText>
      </w:r>
      <w:r w:rsidRPr="00EC0229">
        <w:rPr>
          <w:sz w:val="20"/>
          <w:szCs w:val="20"/>
        </w:rPr>
        <w:fldChar w:fldCharType="end"/>
      </w:r>
      <w:r w:rsidRPr="00EC0229">
        <w:rPr>
          <w:sz w:val="20"/>
          <w:szCs w:val="20"/>
        </w:rPr>
        <w:t xml:space="preserve"> 2001.0290. </w:t>
      </w:r>
    </w:p>
    <w:p w14:paraId="7017E740" w14:textId="77777777" w:rsidR="00CE6FE5" w:rsidRPr="00EC0229" w:rsidRDefault="00CE6FE5" w:rsidP="007600EA">
      <w:pPr>
        <w:pStyle w:val="NoSpacing"/>
        <w:spacing w:line="360" w:lineRule="auto"/>
        <w:jc w:val="center"/>
        <w:rPr>
          <w:rFonts w:cs="Times New Roman"/>
        </w:rPr>
      </w:pPr>
    </w:p>
    <w:p w14:paraId="600F72DE" w14:textId="5E145296" w:rsidR="00CE6FE5" w:rsidRPr="00EC0229" w:rsidRDefault="00CE6FE5" w:rsidP="007600EA">
      <w:pPr>
        <w:pStyle w:val="NoSpacing"/>
        <w:spacing w:line="360" w:lineRule="auto"/>
        <w:rPr>
          <w:rFonts w:cs="Times New Roman"/>
        </w:rPr>
      </w:pPr>
      <w:r w:rsidRPr="00EC0229">
        <w:rPr>
          <w:rFonts w:cs="Times New Roman"/>
        </w:rPr>
        <w:t>Byzantine</w:t>
      </w:r>
      <w:r w:rsidRPr="00EC0229">
        <w:rPr>
          <w:rFonts w:cs="Times New Roman"/>
        </w:rPr>
        <w:fldChar w:fldCharType="begin"/>
      </w:r>
      <w:r w:rsidRPr="00EC0229">
        <w:instrText xml:space="preserve"> XE "Byzantine" </w:instrText>
      </w:r>
      <w:r w:rsidRPr="00EC0229">
        <w:rPr>
          <w:rFonts w:cs="Times New Roman"/>
        </w:rPr>
        <w:fldChar w:fldCharType="end"/>
      </w:r>
      <w:r w:rsidRPr="00EC0229">
        <w:rPr>
          <w:rFonts w:cs="Times New Roman"/>
        </w:rPr>
        <w:t xml:space="preserve"> Emperor Leo III, </w:t>
      </w:r>
      <w:r w:rsidR="002132F1">
        <w:rPr>
          <w:rFonts w:cs="Times New Roman"/>
          <w:i/>
        </w:rPr>
        <w:t>c.</w:t>
      </w:r>
      <w:r w:rsidRPr="00EC0229">
        <w:rPr>
          <w:rFonts w:cs="Times New Roman"/>
        </w:rPr>
        <w:t xml:space="preserve">720, overstruck Arab dirhams with </w:t>
      </w:r>
      <w:r w:rsidRPr="00EC0229">
        <w:rPr>
          <w:rFonts w:cs="Times New Roman"/>
          <w:i/>
        </w:rPr>
        <w:t>IhSYS XRISTYS NICA</w:t>
      </w:r>
      <w:r w:rsidRPr="00EC0229">
        <w:rPr>
          <w:rFonts w:cs="Times New Roman"/>
        </w:rPr>
        <w:t xml:space="preserve">, ‘Jesus Christ conquers’, to efface the </w:t>
      </w:r>
      <w:r w:rsidRPr="00EC0229">
        <w:rPr>
          <w:rFonts w:cs="Times New Roman"/>
          <w:i/>
        </w:rPr>
        <w:t>Kalima</w:t>
      </w:r>
      <w:r w:rsidRPr="00EC0229">
        <w:rPr>
          <w:rFonts w:cs="Times New Roman"/>
        </w:rPr>
        <w:t>, the Moslem credo.</w:t>
      </w:r>
      <w:r w:rsidRPr="00EC0229">
        <w:rPr>
          <w:rStyle w:val="FootnoteReference"/>
          <w:rFonts w:cs="Times New Roman"/>
        </w:rPr>
        <w:footnoteReference w:id="1281"/>
      </w:r>
      <w:r w:rsidRPr="00EC0229">
        <w:rPr>
          <w:rFonts w:cs="Times New Roman"/>
        </w:rPr>
        <w:t xml:space="preserve"> By the same reasoning, Offa</w:t>
      </w:r>
      <w:r w:rsidRPr="00EC0229">
        <w:rPr>
          <w:rFonts w:cs="Times New Roman"/>
        </w:rPr>
        <w:fldChar w:fldCharType="begin"/>
      </w:r>
      <w:r w:rsidRPr="00EC0229">
        <w:instrText xml:space="preserve"> XE "</w:instrText>
      </w:r>
      <w:r w:rsidRPr="00EC0229">
        <w:rPr>
          <w:rFonts w:cs="Times New Roman"/>
        </w:rPr>
        <w:instrText>Offa</w:instrText>
      </w:r>
      <w:r w:rsidRPr="00EC0229">
        <w:instrText xml:space="preserve">" </w:instrText>
      </w:r>
      <w:r w:rsidRPr="00EC0229">
        <w:rPr>
          <w:rFonts w:cs="Times New Roman"/>
        </w:rPr>
        <w:fldChar w:fldCharType="end"/>
      </w:r>
      <w:r w:rsidRPr="00EC0229">
        <w:rPr>
          <w:rFonts w:cs="Times New Roman"/>
        </w:rPr>
        <w:t>’s gold</w:t>
      </w:r>
      <w:r w:rsidRPr="00EC0229">
        <w:rPr>
          <w:rFonts w:cs="Times New Roman"/>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rPr>
        <w:fldChar w:fldCharType="end"/>
      </w:r>
      <w:r w:rsidRPr="00EC0229">
        <w:rPr>
          <w:rFonts w:cs="Times New Roman"/>
        </w:rPr>
        <w:t xml:space="preserve"> mancus copying a gold dirham of Al Mansur dated </w:t>
      </w:r>
      <w:r w:rsidRPr="00EC0229">
        <w:rPr>
          <w:rFonts w:cs="Times New Roman"/>
          <w:sz w:val="20"/>
          <w:szCs w:val="20"/>
        </w:rPr>
        <w:t xml:space="preserve">AH </w:t>
      </w:r>
      <w:r w:rsidRPr="00EC0229">
        <w:rPr>
          <w:rFonts w:cs="Times New Roman"/>
        </w:rPr>
        <w:t xml:space="preserve">157 (= </w:t>
      </w:r>
      <w:r w:rsidRPr="00EC0229">
        <w:rPr>
          <w:rFonts w:cs="Times New Roman"/>
          <w:sz w:val="20"/>
          <w:szCs w:val="20"/>
        </w:rPr>
        <w:t>AD</w:t>
      </w:r>
      <w:r w:rsidRPr="00EC0229">
        <w:rPr>
          <w:rFonts w:cs="Times New Roman"/>
        </w:rPr>
        <w:t xml:space="preserve"> 774) but inverted, is an intentional mark of disrespect </w:t>
      </w:r>
      <w:r w:rsidRPr="00EC0229">
        <w:rPr>
          <w:rFonts w:cs="Times New Roman"/>
          <w:szCs w:val="24"/>
        </w:rPr>
        <w:t>(</w:t>
      </w:r>
      <w:r w:rsidRPr="00EC0229">
        <w:rPr>
          <w:rFonts w:cs="Times New Roman"/>
          <w:i/>
          <w:szCs w:val="24"/>
        </w:rPr>
        <w:fldChar w:fldCharType="begin"/>
      </w:r>
      <w:r w:rsidRPr="00EC0229">
        <w:rPr>
          <w:rFonts w:cs="Times New Roman"/>
          <w:i/>
          <w:szCs w:val="24"/>
        </w:rPr>
        <w:instrText xml:space="preserve"> REF _Ref430245962 \h  \* MERGEFORMAT </w:instrText>
      </w:r>
      <w:r w:rsidRPr="00EC0229">
        <w:rPr>
          <w:rFonts w:cs="Times New Roman"/>
          <w:i/>
          <w:szCs w:val="24"/>
        </w:rPr>
      </w:r>
      <w:r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173</w:t>
      </w:r>
      <w:r w:rsidRPr="00EC0229">
        <w:rPr>
          <w:rFonts w:cs="Times New Roman"/>
          <w:szCs w:val="24"/>
        </w:rPr>
        <w:fldChar w:fldCharType="end"/>
      </w:r>
      <w:r w:rsidRPr="00EC0229">
        <w:rPr>
          <w:rFonts w:cs="Times New Roman"/>
        </w:rPr>
        <w:t>).</w:t>
      </w:r>
      <w:r w:rsidRPr="00EC0229">
        <w:rPr>
          <w:rStyle w:val="FootnoteReference"/>
          <w:rFonts w:cs="Times New Roman"/>
        </w:rPr>
        <w:footnoteReference w:id="1282"/>
      </w:r>
    </w:p>
    <w:p w14:paraId="4BB688C9" w14:textId="77777777" w:rsidR="00CE6FE5" w:rsidRPr="00EC0229" w:rsidRDefault="00CE6FE5" w:rsidP="007600EA">
      <w:pPr>
        <w:pStyle w:val="NoSpacing"/>
        <w:spacing w:line="360" w:lineRule="auto"/>
        <w:jc w:val="center"/>
        <w:rPr>
          <w:rFonts w:cs="Times New Roman"/>
        </w:rPr>
      </w:pPr>
      <w:r w:rsidRPr="00EC0229">
        <w:rPr>
          <w:rFonts w:cs="Times New Roman"/>
          <w:noProof/>
          <w:lang w:eastAsia="en-GB"/>
        </w:rPr>
        <w:drawing>
          <wp:inline distT="0" distB="0" distL="0" distR="0" wp14:anchorId="47CE1309" wp14:editId="47BD0D85">
            <wp:extent cx="2473846" cy="987692"/>
            <wp:effectExtent l="0" t="0" r="3175"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ffa gold dinar.jpg"/>
                    <pic:cNvPicPr/>
                  </pic:nvPicPr>
                  <pic:blipFill>
                    <a:blip r:embed="rId515">
                      <a:extLst>
                        <a:ext uri="{28A0092B-C50C-407E-A947-70E740481C1C}">
                          <a14:useLocalDpi xmlns:a14="http://schemas.microsoft.com/office/drawing/2010/main" val="0"/>
                        </a:ext>
                      </a:extLst>
                    </a:blip>
                    <a:stretch>
                      <a:fillRect/>
                    </a:stretch>
                  </pic:blipFill>
                  <pic:spPr>
                    <a:xfrm>
                      <a:off x="0" y="0"/>
                      <a:ext cx="2473846" cy="987692"/>
                    </a:xfrm>
                    <a:prstGeom prst="rect">
                      <a:avLst/>
                    </a:prstGeom>
                  </pic:spPr>
                </pic:pic>
              </a:graphicData>
            </a:graphic>
          </wp:inline>
        </w:drawing>
      </w:r>
    </w:p>
    <w:p w14:paraId="34AA7491" w14:textId="6CF7248C" w:rsidR="00CE6FE5" w:rsidRPr="00EC0229" w:rsidRDefault="00CE6FE5" w:rsidP="007600EA">
      <w:pPr>
        <w:pStyle w:val="NoSpacing"/>
        <w:spacing w:line="360" w:lineRule="auto"/>
        <w:jc w:val="center"/>
        <w:rPr>
          <w:sz w:val="20"/>
          <w:szCs w:val="20"/>
        </w:rPr>
      </w:pPr>
      <w:bookmarkStart w:id="951" w:name="_Ref430245962"/>
      <w:bookmarkStart w:id="952" w:name="_Toc468267145"/>
      <w:r w:rsidRPr="00EC0229">
        <w:rPr>
          <w:i/>
          <w:sz w:val="20"/>
          <w:szCs w:val="20"/>
        </w:rPr>
        <w:t>Figure</w:t>
      </w:r>
      <w:r w:rsidRPr="00EC0229">
        <w:rPr>
          <w:sz w:val="20"/>
          <w:szCs w:val="20"/>
        </w:rPr>
        <w:t xml:space="preserve"> </w:t>
      </w:r>
      <w:r w:rsidRPr="00EC0229">
        <w:rPr>
          <w:sz w:val="20"/>
          <w:szCs w:val="20"/>
        </w:rPr>
        <w:fldChar w:fldCharType="begin"/>
      </w:r>
      <w:r w:rsidRPr="00EC0229">
        <w:rPr>
          <w:sz w:val="20"/>
          <w:szCs w:val="20"/>
        </w:rPr>
        <w:instrText xml:space="preserve"> SEQ Figure \* ARABIC </w:instrText>
      </w:r>
      <w:r w:rsidRPr="00EC0229">
        <w:rPr>
          <w:sz w:val="20"/>
          <w:szCs w:val="20"/>
        </w:rPr>
        <w:fldChar w:fldCharType="separate"/>
      </w:r>
      <w:r w:rsidR="0012026B">
        <w:rPr>
          <w:noProof/>
          <w:sz w:val="20"/>
          <w:szCs w:val="20"/>
        </w:rPr>
        <w:t>173</w:t>
      </w:r>
      <w:r w:rsidRPr="00EC0229">
        <w:rPr>
          <w:sz w:val="20"/>
          <w:szCs w:val="20"/>
        </w:rPr>
        <w:fldChar w:fldCharType="end"/>
      </w:r>
      <w:bookmarkEnd w:id="951"/>
      <w:r w:rsidRPr="00EC0229">
        <w:rPr>
          <w:sz w:val="20"/>
          <w:szCs w:val="20"/>
        </w:rPr>
        <w:t>: Offa</w:t>
      </w:r>
      <w:r w:rsidRPr="00EC0229">
        <w:rPr>
          <w:sz w:val="20"/>
          <w:szCs w:val="20"/>
        </w:rPr>
        <w:fldChar w:fldCharType="begin"/>
      </w:r>
      <w:r w:rsidRPr="00EC0229">
        <w:rPr>
          <w:sz w:val="20"/>
          <w:szCs w:val="20"/>
        </w:rPr>
        <w:instrText xml:space="preserve"> XE "Offa" </w:instrText>
      </w:r>
      <w:r w:rsidRPr="00EC0229">
        <w:rPr>
          <w:sz w:val="20"/>
          <w:szCs w:val="20"/>
        </w:rPr>
        <w:fldChar w:fldCharType="end"/>
      </w:r>
      <w:r w:rsidRPr="00EC0229">
        <w:rPr>
          <w:sz w:val="20"/>
          <w:szCs w:val="20"/>
        </w:rPr>
        <w:t>’s gold</w:t>
      </w:r>
      <w:r w:rsidRPr="00EC0229">
        <w:rPr>
          <w:sz w:val="20"/>
          <w:szCs w:val="20"/>
        </w:rPr>
        <w:fldChar w:fldCharType="begin"/>
      </w:r>
      <w:r w:rsidRPr="00EC0229">
        <w:rPr>
          <w:sz w:val="20"/>
          <w:szCs w:val="20"/>
        </w:rPr>
        <w:instrText xml:space="preserve"> XE "</w:instrText>
      </w:r>
      <w:r w:rsidRPr="00EC0229">
        <w:rPr>
          <w:rFonts w:eastAsia="Times New Roman"/>
          <w:sz w:val="20"/>
          <w:szCs w:val="20"/>
          <w:lang w:eastAsia="en-GB"/>
        </w:rPr>
        <w:instrText>gold</w:instrText>
      </w:r>
      <w:r w:rsidRPr="00EC0229">
        <w:rPr>
          <w:sz w:val="20"/>
          <w:szCs w:val="20"/>
        </w:rPr>
        <w:instrText xml:space="preserve">" </w:instrText>
      </w:r>
      <w:r w:rsidRPr="00EC0229">
        <w:rPr>
          <w:sz w:val="20"/>
          <w:szCs w:val="20"/>
        </w:rPr>
        <w:fldChar w:fldCharType="end"/>
      </w:r>
      <w:r w:rsidRPr="00EC0229">
        <w:rPr>
          <w:sz w:val="20"/>
          <w:szCs w:val="20"/>
        </w:rPr>
        <w:t xml:space="preserve"> mancus, Chick, 2010, type 1a 55.</w:t>
      </w:r>
      <w:bookmarkEnd w:id="952"/>
    </w:p>
    <w:p w14:paraId="0A46A796" w14:textId="77777777" w:rsidR="00CE6FE5" w:rsidRPr="00EC0229" w:rsidRDefault="00CE6FE5" w:rsidP="007600EA">
      <w:pPr>
        <w:pStyle w:val="NoSpacing"/>
        <w:spacing w:line="360" w:lineRule="auto"/>
        <w:jc w:val="center"/>
        <w:rPr>
          <w:rFonts w:cs="Times New Roman"/>
          <w:color w:val="FF0000"/>
          <w:sz w:val="20"/>
          <w:szCs w:val="20"/>
        </w:rPr>
      </w:pPr>
      <w:r w:rsidRPr="00EC0229">
        <w:rPr>
          <w:rFonts w:cs="Times New Roman"/>
          <w:sz w:val="20"/>
          <w:szCs w:val="20"/>
        </w:rPr>
        <w:t>Courtesy BM, acquired Rome by 1841.</w:t>
      </w:r>
    </w:p>
    <w:p w14:paraId="5397CEDA" w14:textId="77777777" w:rsidR="00CE6FE5" w:rsidRPr="00EC0229" w:rsidRDefault="00CE6FE5" w:rsidP="007600EA">
      <w:pPr>
        <w:pStyle w:val="NoSpacing"/>
        <w:spacing w:line="360" w:lineRule="auto"/>
      </w:pPr>
    </w:p>
    <w:p w14:paraId="01E7653B" w14:textId="1F4830F7" w:rsidR="00CE6FE5" w:rsidRPr="00EC0229" w:rsidRDefault="00CE6FE5" w:rsidP="007600EA">
      <w:pPr>
        <w:pStyle w:val="NoSpacing"/>
        <w:spacing w:line="360" w:lineRule="auto"/>
        <w:rPr>
          <w:rFonts w:cs="Times New Roman"/>
        </w:rPr>
      </w:pPr>
      <w:r w:rsidRPr="00EC0229">
        <w:rPr>
          <w:rFonts w:cs="Times New Roman"/>
        </w:rPr>
        <w:lastRenderedPageBreak/>
        <w:t xml:space="preserve">To Blackburn’s list is now added </w:t>
      </w:r>
      <w:r w:rsidRPr="00EC0229">
        <w:t>the solidus</w:t>
      </w:r>
      <w:r w:rsidRPr="00EC0229">
        <w:fldChar w:fldCharType="begin"/>
      </w:r>
      <w:r w:rsidRPr="00EC0229">
        <w:instrText xml:space="preserve"> XE "</w:instrText>
      </w:r>
      <w:r w:rsidRPr="00EC0229">
        <w:rPr>
          <w:rFonts w:eastAsia="Times New Roman" w:cs="Times New Roman"/>
          <w:szCs w:val="24"/>
          <w:lang w:eastAsia="en-GB"/>
        </w:rPr>
        <w:instrText>solidus</w:instrText>
      </w:r>
      <w:r w:rsidRPr="00EC0229">
        <w:instrText xml:space="preserve">" </w:instrText>
      </w:r>
      <w:r w:rsidRPr="00EC0229">
        <w:fldChar w:fldCharType="end"/>
      </w:r>
      <w:r w:rsidRPr="00EC0229">
        <w:t xml:space="preserve"> of Arichis II </w:t>
      </w:r>
      <w:r w:rsidRPr="00EC0229">
        <w:rPr>
          <w:rFonts w:cs="Times New Roman"/>
        </w:rPr>
        <w:t>of Beneventum</w:t>
      </w:r>
      <w:r w:rsidRPr="00EC0229">
        <w:t xml:space="preserve"> (</w:t>
      </w:r>
      <w:r w:rsidRPr="00EC0229">
        <w:fldChar w:fldCharType="begin"/>
      </w:r>
      <w:r w:rsidRPr="00EC0229">
        <w:instrText xml:space="preserve"> PAGEREF Arichis \h </w:instrText>
      </w:r>
      <w:r w:rsidRPr="00EC0229">
        <w:fldChar w:fldCharType="separate"/>
      </w:r>
      <w:r w:rsidR="0012026B">
        <w:rPr>
          <w:noProof/>
        </w:rPr>
        <w:t>183</w:t>
      </w:r>
      <w:r w:rsidRPr="00EC0229">
        <w:fldChar w:fldCharType="end"/>
      </w:r>
      <w:r w:rsidRPr="00EC0229">
        <w:t>) from Alnwick</w:t>
      </w:r>
      <w:r w:rsidRPr="00EC0229">
        <w:rPr>
          <w:rFonts w:cs="Times New Roman"/>
        </w:rPr>
        <w:t xml:space="preserve">, </w:t>
      </w:r>
      <w:r w:rsidRPr="00EC0229">
        <w:rPr>
          <w:rFonts w:cs="Times New Roman"/>
          <w:szCs w:val="24"/>
        </w:rPr>
        <w:t>(</w:t>
      </w:r>
      <w:r w:rsidRPr="00EC0229">
        <w:rPr>
          <w:rFonts w:cs="Times New Roman"/>
          <w:i/>
          <w:szCs w:val="24"/>
        </w:rPr>
        <w:fldChar w:fldCharType="begin"/>
      </w:r>
      <w:r w:rsidRPr="00EC0229">
        <w:rPr>
          <w:rFonts w:cs="Times New Roman"/>
          <w:szCs w:val="24"/>
        </w:rPr>
        <w:instrText xml:space="preserve"> REF _Ref430246874 \h </w:instrText>
      </w:r>
      <w:r w:rsidRPr="00EC0229">
        <w:rPr>
          <w:rFonts w:cs="Times New Roman"/>
          <w:i/>
          <w:szCs w:val="24"/>
        </w:rPr>
        <w:instrText xml:space="preserve"> \* MERGEFORMAT </w:instrText>
      </w:r>
      <w:r w:rsidRPr="00EC0229">
        <w:rPr>
          <w:rFonts w:cs="Times New Roman"/>
          <w:i/>
          <w:szCs w:val="24"/>
        </w:rPr>
      </w:r>
      <w:r w:rsidRPr="00EC0229">
        <w:rPr>
          <w:rFonts w:cs="Times New Roman"/>
          <w:i/>
          <w:szCs w:val="24"/>
        </w:rPr>
        <w:fldChar w:fldCharType="separate"/>
      </w:r>
      <w:r w:rsidR="0012026B" w:rsidRPr="0012026B">
        <w:rPr>
          <w:i/>
          <w:szCs w:val="24"/>
        </w:rPr>
        <w:t>Figure</w:t>
      </w:r>
      <w:r w:rsidR="0012026B" w:rsidRPr="0012026B">
        <w:rPr>
          <w:szCs w:val="24"/>
        </w:rPr>
        <w:t xml:space="preserve"> </w:t>
      </w:r>
      <w:r w:rsidR="0012026B" w:rsidRPr="0012026B">
        <w:rPr>
          <w:noProof/>
          <w:szCs w:val="24"/>
        </w:rPr>
        <w:t>64</w:t>
      </w:r>
      <w:r w:rsidRPr="00EC0229">
        <w:rPr>
          <w:rFonts w:cs="Times New Roman"/>
          <w:i/>
          <w:szCs w:val="24"/>
        </w:rPr>
        <w:fldChar w:fldCharType="end"/>
      </w:r>
      <w:r w:rsidRPr="00EC0229">
        <w:rPr>
          <w:rFonts w:cs="Times New Roman"/>
          <w:szCs w:val="24"/>
        </w:rPr>
        <w:t>).</w:t>
      </w:r>
      <w:r w:rsidRPr="00EC0229">
        <w:rPr>
          <w:rStyle w:val="FootnoteReference"/>
          <w:rFonts w:cs="Times New Roman"/>
        </w:rPr>
        <w:footnoteReference w:id="1283"/>
      </w:r>
      <w:r w:rsidRPr="00EC0229">
        <w:rPr>
          <w:rFonts w:cs="Times New Roman"/>
        </w:rPr>
        <w:t xml:space="preserve"> </w:t>
      </w:r>
      <w:r w:rsidRPr="00EC0229">
        <w:t>This is of significance, especially in the context of putative links between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 xml:space="preserve">’s </w:t>
      </w:r>
      <w:r w:rsidRPr="00EC0229">
        <w:rPr>
          <w:i/>
        </w:rPr>
        <w:t>Alma Sophia</w:t>
      </w:r>
      <w:r w:rsidRPr="00EC0229">
        <w:t xml:space="preserve"> (</w:t>
      </w:r>
      <w:r w:rsidRPr="00EC0229">
        <w:fldChar w:fldCharType="begin"/>
      </w:r>
      <w:r w:rsidRPr="00EC0229">
        <w:instrText xml:space="preserve"> PAGEREF AlmaSophia \h </w:instrText>
      </w:r>
      <w:r w:rsidRPr="00EC0229">
        <w:fldChar w:fldCharType="separate"/>
      </w:r>
      <w:r w:rsidR="0012026B">
        <w:rPr>
          <w:noProof/>
        </w:rPr>
        <w:t>185</w:t>
      </w:r>
      <w:r w:rsidRPr="00EC0229">
        <w:fldChar w:fldCharType="end"/>
      </w:r>
      <w:r w:rsidRPr="00EC0229">
        <w:t>) and Beneventum</w:t>
      </w:r>
      <w:r w:rsidRPr="00EC0229">
        <w:fldChar w:fldCharType="begin"/>
      </w:r>
      <w:r w:rsidRPr="00EC0229">
        <w:instrText xml:space="preserve"> XE "</w:instrText>
      </w:r>
      <w:r w:rsidRPr="00EC0229">
        <w:rPr>
          <w:rFonts w:cs="Times New Roman"/>
        </w:rPr>
        <w:instrText>Beneventum</w:instrText>
      </w:r>
      <w:r w:rsidRPr="00EC0229">
        <w:instrText xml:space="preserve">" </w:instrText>
      </w:r>
      <w:r w:rsidRPr="00EC0229">
        <w:fldChar w:fldCharType="end"/>
      </w:r>
      <w:r w:rsidRPr="00EC0229">
        <w:t xml:space="preserve">. </w:t>
      </w:r>
      <w:r w:rsidRPr="00EC0229">
        <w:rPr>
          <w:rFonts w:cs="Times New Roman"/>
        </w:rPr>
        <w:t>Blackburn’s inventory of (legible) English gold</w:t>
      </w:r>
      <w:r w:rsidRPr="00EC0229">
        <w:rPr>
          <w:rFonts w:cs="Times New Roman"/>
        </w:rPr>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rPr>
          <w:rFonts w:cs="Times New Roman"/>
        </w:rPr>
        <w:fldChar w:fldCharType="end"/>
      </w:r>
      <w:r w:rsidRPr="00EC0229">
        <w:rPr>
          <w:rFonts w:cs="Times New Roman"/>
        </w:rPr>
        <w:t xml:space="preserve"> coin finds, </w:t>
      </w:r>
      <w:r w:rsidR="002132F1">
        <w:rPr>
          <w:rFonts w:cs="Times New Roman"/>
          <w:i/>
        </w:rPr>
        <w:t>c.</w:t>
      </w:r>
      <w:r w:rsidRPr="00EC0229">
        <w:rPr>
          <w:rFonts w:cs="Times New Roman"/>
        </w:rPr>
        <w:t>675-1250, includes only eight specimens.</w:t>
      </w:r>
      <w:r w:rsidRPr="00EC0229">
        <w:rPr>
          <w:rStyle w:val="FootnoteReference"/>
          <w:rFonts w:cs="Times New Roman"/>
        </w:rPr>
        <w:footnoteReference w:id="1284"/>
      </w:r>
      <w:r w:rsidRPr="00EC0229">
        <w:rPr>
          <w:rFonts w:cs="Times New Roman"/>
        </w:rPr>
        <w:t xml:space="preserve"> Historical sources record the rôle of gold coin in the payment of tribute and purchase of land,</w:t>
      </w:r>
      <w:r w:rsidRPr="00EC0229">
        <w:rPr>
          <w:rStyle w:val="FootnoteReference"/>
          <w:rFonts w:cs="Times New Roman"/>
        </w:rPr>
        <w:footnoteReference w:id="1285"/>
      </w:r>
      <w:r w:rsidRPr="00EC0229">
        <w:rPr>
          <w:rFonts w:cs="Times New Roman"/>
        </w:rPr>
        <w:t xml:space="preserve"> but this may have been for recording purposes rather than actual exchange. </w:t>
      </w:r>
    </w:p>
    <w:p w14:paraId="2523285B" w14:textId="77777777" w:rsidR="00CE6FE5" w:rsidRPr="00EC0229" w:rsidRDefault="00CE6FE5" w:rsidP="007600EA">
      <w:pPr>
        <w:pStyle w:val="NoSpacing"/>
        <w:spacing w:line="360" w:lineRule="auto"/>
      </w:pPr>
    </w:p>
    <w:p w14:paraId="50CFED12" w14:textId="77777777" w:rsidR="00CE6FE5" w:rsidRPr="00EC0229" w:rsidRDefault="00CE6FE5" w:rsidP="007600EA">
      <w:pPr>
        <w:pStyle w:val="NoSpacing"/>
        <w:spacing w:line="360" w:lineRule="auto"/>
      </w:pPr>
      <w:r w:rsidRPr="00EC0229">
        <w:t>There is a scattering of imitative solidi of Louis the Pious</w:t>
      </w:r>
      <w:r w:rsidRPr="00EC0229">
        <w:fldChar w:fldCharType="begin"/>
      </w:r>
      <w:r w:rsidRPr="00EC0229">
        <w:instrText xml:space="preserve"> XE "</w:instrText>
      </w:r>
      <w:r w:rsidRPr="00EC0229">
        <w:rPr>
          <w:rFonts w:eastAsia="Times New Roman" w:cs="Times New Roman"/>
          <w:szCs w:val="24"/>
          <w:lang w:eastAsia="en-GB"/>
        </w:rPr>
        <w:instrText>Louis the Pious</w:instrText>
      </w:r>
      <w:r w:rsidRPr="00EC0229">
        <w:instrText xml:space="preserve">" </w:instrText>
      </w:r>
      <w:r w:rsidRPr="00EC0229">
        <w:fldChar w:fldCharType="end"/>
      </w:r>
      <w:r w:rsidRPr="00EC0229">
        <w:t xml:space="preserve">, fragmentary dirhams and southern broad pennies on northern sites, though rarely more than one. The former may have been offered for high-value transactions in preference to an unwieldy cache of stycas, the latter two presumed to be lost from hack-silver by the passing </w:t>
      </w:r>
      <w:r w:rsidRPr="00EC0229">
        <w:rPr>
          <w:i/>
        </w:rPr>
        <w:t>micel here</w:t>
      </w:r>
      <w:r w:rsidRPr="00EC0229">
        <w:rPr>
          <w:i/>
        </w:rPr>
        <w:fldChar w:fldCharType="begin"/>
      </w:r>
      <w:r w:rsidRPr="00EC0229">
        <w:instrText xml:space="preserve"> XE "</w:instrText>
      </w:r>
      <w:r w:rsidRPr="00EC0229">
        <w:rPr>
          <w:rFonts w:cs="Times New Roman"/>
          <w:i/>
          <w:color w:val="000000" w:themeColor="text1"/>
          <w:szCs w:val="24"/>
        </w:rPr>
        <w:instrText>micel here</w:instrText>
      </w:r>
      <w:r w:rsidRPr="00EC0229">
        <w:instrText xml:space="preserve">" </w:instrText>
      </w:r>
      <w:r w:rsidRPr="00EC0229">
        <w:rPr>
          <w:i/>
        </w:rPr>
        <w:fldChar w:fldCharType="end"/>
      </w:r>
      <w:r w:rsidRPr="00EC0229">
        <w:t>, a fairly common valediction, as noted in many of the site studies</w:t>
      </w:r>
      <w:r w:rsidRPr="00EC0229">
        <w:rPr>
          <w:i/>
        </w:rPr>
        <w:t>.</w:t>
      </w:r>
      <w:r w:rsidRPr="00EC0229">
        <w:t xml:space="preserve"> </w:t>
      </w:r>
    </w:p>
    <w:p w14:paraId="53C6BD5B" w14:textId="77777777" w:rsidR="00CE6FE5" w:rsidRPr="00EC0229" w:rsidRDefault="00CE6FE5" w:rsidP="007600EA">
      <w:pPr>
        <w:pStyle w:val="NoSpacing"/>
        <w:spacing w:line="360" w:lineRule="auto"/>
      </w:pPr>
    </w:p>
    <w:p w14:paraId="0A5B2288" w14:textId="4D2FC668" w:rsidR="00CE6FE5" w:rsidRPr="00EC0229" w:rsidRDefault="007C71C5" w:rsidP="007C71C5">
      <w:pPr>
        <w:pStyle w:val="Heading4"/>
        <w:spacing w:line="360" w:lineRule="auto"/>
      </w:pPr>
      <w:bookmarkStart w:id="953" w:name="_Toc468266959"/>
      <w:r w:rsidRPr="007C71C5">
        <w:rPr>
          <w:b/>
        </w:rPr>
        <w:t>9.1.2.</w:t>
      </w:r>
      <w:r>
        <w:rPr>
          <w:b/>
        </w:rPr>
        <w:t>2</w:t>
      </w:r>
      <w:r w:rsidRPr="007C71C5">
        <w:rPr>
          <w:b/>
        </w:rPr>
        <w:tab/>
      </w:r>
      <w:r w:rsidR="00CE6FE5" w:rsidRPr="00624DF5">
        <w:rPr>
          <w:b/>
        </w:rPr>
        <w:t>Silver</w:t>
      </w:r>
      <w:bookmarkEnd w:id="953"/>
    </w:p>
    <w:p w14:paraId="6548600B" w14:textId="68B060D1" w:rsidR="00CE6FE5" w:rsidRPr="00EC0229" w:rsidRDefault="00CE6FE5" w:rsidP="007600EA">
      <w:pPr>
        <w:pStyle w:val="NoSpacing"/>
        <w:spacing w:line="360" w:lineRule="auto"/>
      </w:pPr>
      <w:r w:rsidRPr="00EC0229">
        <w:t>The turbulence of the era is reflected in the coinage. A clear example are the brackets of the twin disasters of Nechtansmere</w:t>
      </w:r>
      <w:r w:rsidRPr="00EC0229">
        <w:fldChar w:fldCharType="begin"/>
      </w:r>
      <w:r w:rsidRPr="00EC0229">
        <w:instrText xml:space="preserve"> XE "</w:instrText>
      </w:r>
      <w:r w:rsidRPr="00EC0229">
        <w:rPr>
          <w:rStyle w:val="Hyperlink"/>
          <w:noProof/>
          <w:u w:val="none"/>
        </w:rPr>
        <w:instrText>Nechtansmere</w:instrText>
      </w:r>
      <w:r w:rsidRPr="00EC0229">
        <w:instrText xml:space="preserve">" </w:instrText>
      </w:r>
      <w:r w:rsidRPr="00EC0229">
        <w:fldChar w:fldCharType="end"/>
      </w:r>
      <w:r w:rsidRPr="00EC0229">
        <w:t xml:space="preserve"> and Lindisfarne,</w:t>
      </w:r>
      <w:r w:rsidRPr="00EC0229">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fldChar w:fldCharType="end"/>
      </w:r>
      <w:r w:rsidRPr="00EC0229">
        <w:t xml:space="preserve"> which frame the eighth-century northern sceats</w:t>
      </w:r>
      <w:r w:rsidRPr="00EC0229">
        <w:fldChar w:fldCharType="begin"/>
      </w:r>
      <w:r w:rsidRPr="00EC0229">
        <w:instrText xml:space="preserve"> XE "sceatta" </w:instrText>
      </w:r>
      <w:r w:rsidRPr="00EC0229">
        <w:fldChar w:fldCharType="end"/>
      </w:r>
      <w:r w:rsidRPr="00EC0229">
        <w:t xml:space="preserve">.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Pr="00EC0229">
        <w:rPr>
          <w:i/>
        </w:rPr>
        <w:t xml:space="preserve"> </w:t>
      </w:r>
      <w:r w:rsidR="00B77496" w:rsidRPr="00EC0229">
        <w:rPr>
          <w:i/>
        </w:rPr>
        <w:t>4.0</w:t>
      </w:r>
      <w:r w:rsidR="00637D67" w:rsidRPr="00EC0229">
        <w:rPr>
          <w:i/>
        </w:rPr>
        <w:t>2</w:t>
      </w:r>
      <w:r w:rsidRPr="00EC0229">
        <w:t xml:space="preserve"> shows </w:t>
      </w:r>
      <w:r w:rsidR="005436B1" w:rsidRPr="00EC0229">
        <w:t xml:space="preserve">the </w:t>
      </w:r>
      <w:r w:rsidRPr="00EC0229">
        <w:t xml:space="preserve">intermittent minting activity. Clearly, </w:t>
      </w:r>
      <w:r w:rsidR="005436B1" w:rsidRPr="00EC0229">
        <w:t xml:space="preserve">Nechtansmere </w:t>
      </w:r>
      <w:r w:rsidRPr="00EC0229">
        <w:t>did not disrupt coin use - it may indeed have stimulated Aldfrith</w:t>
      </w:r>
      <w:r w:rsidRPr="00EC0229">
        <w:fldChar w:fldCharType="begin"/>
      </w:r>
      <w:r w:rsidRPr="00EC0229">
        <w:instrText xml:space="preserve"> XE "Aldfrith" </w:instrText>
      </w:r>
      <w:r w:rsidRPr="00EC0229">
        <w:fldChar w:fldCharType="end"/>
      </w:r>
      <w:r w:rsidRPr="00EC0229">
        <w:t xml:space="preserve">’s introduction of the silver coinage - </w:t>
      </w:r>
      <w:r w:rsidR="005436B1" w:rsidRPr="00EC0229">
        <w:t>it</w:t>
      </w:r>
      <w:r w:rsidRPr="00EC0229">
        <w:t xml:space="preserve"> </w:t>
      </w:r>
      <w:r w:rsidR="005436B1" w:rsidRPr="00EC0229">
        <w:t>heralded</w:t>
      </w:r>
      <w:r w:rsidRPr="00EC0229">
        <w:t xml:space="preserve"> a loss of influence and prestige rather than core territory, albeit militarily costly. In contrast, the attack on Lindisfarne was a major blow to the confidence required to underwrite North Sea trade and caused a disruption to both coin production and use.</w:t>
      </w:r>
      <w:r w:rsidR="005F0058" w:rsidRPr="00EC0229">
        <w:t xml:space="preserve"> These twin disasters are not, as yet, marked by hoards; the former</w:t>
      </w:r>
      <w:r w:rsidR="004A2359" w:rsidRPr="00EC0229">
        <w:t>,</w:t>
      </w:r>
      <w:r w:rsidR="005F0058" w:rsidRPr="00EC0229">
        <w:t xml:space="preserve"> </w:t>
      </w:r>
      <w:r w:rsidR="004A2359" w:rsidRPr="00EC0229">
        <w:t xml:space="preserve">self-evidently, </w:t>
      </w:r>
      <w:r w:rsidR="005F0058" w:rsidRPr="00EC0229">
        <w:t>as i</w:t>
      </w:r>
      <w:r w:rsidR="004A2359" w:rsidRPr="00EC0229">
        <w:t>t was a doomed act of Northumbrian aggression beyond</w:t>
      </w:r>
      <w:r w:rsidR="005F0058" w:rsidRPr="00EC0229">
        <w:t xml:space="preserve"> its </w:t>
      </w:r>
      <w:r w:rsidR="004A2359" w:rsidRPr="00EC0229">
        <w:t xml:space="preserve">northern </w:t>
      </w:r>
      <w:r w:rsidR="005F0058" w:rsidRPr="00EC0229">
        <w:t xml:space="preserve">frontier </w:t>
      </w:r>
      <w:r w:rsidR="004A2359" w:rsidRPr="00EC0229">
        <w:t xml:space="preserve">and </w:t>
      </w:r>
      <w:r w:rsidR="005F0058" w:rsidRPr="00EC0229">
        <w:t xml:space="preserve">before sceats circulated, but explanations for the latter are more complicated. In 793, the sceat, of which there are few hoards in any event, was a high denomination and the circulating medium probably modest in volume, so there may have been little to secret. There had been </w:t>
      </w:r>
      <w:r w:rsidR="004A2359" w:rsidRPr="00EC0229">
        <w:t xml:space="preserve">relative </w:t>
      </w:r>
      <w:r w:rsidR="005F0058" w:rsidRPr="00EC0229">
        <w:t>political stability</w:t>
      </w:r>
      <w:r w:rsidR="004A2359" w:rsidRPr="00EC0229">
        <w:t xml:space="preserve"> and</w:t>
      </w:r>
      <w:r w:rsidR="005F0058" w:rsidRPr="00EC0229">
        <w:t xml:space="preserve"> </w:t>
      </w:r>
      <w:r w:rsidR="004A2359" w:rsidRPr="00EC0229">
        <w:t xml:space="preserve">possibly </w:t>
      </w:r>
      <w:r w:rsidR="005F0058" w:rsidRPr="00EC0229">
        <w:t xml:space="preserve">little opportunity for a panic response </w:t>
      </w:r>
      <w:r w:rsidR="004A2359" w:rsidRPr="00EC0229">
        <w:t>to the attack. T</w:t>
      </w:r>
      <w:r w:rsidR="005F0058" w:rsidRPr="00EC0229">
        <w:t>he areas and people at risk may h</w:t>
      </w:r>
      <w:r w:rsidR="004A2359" w:rsidRPr="00EC0229">
        <w:t>ave made little use of coinage and t</w:t>
      </w:r>
      <w:r w:rsidR="005F0058" w:rsidRPr="00EC0229">
        <w:t>hose who were making use of coinage</w:t>
      </w:r>
      <w:r w:rsidR="004252AD" w:rsidRPr="00EC0229">
        <w:t>, commercial traders,</w:t>
      </w:r>
      <w:r w:rsidR="005F0058" w:rsidRPr="00EC0229">
        <w:t xml:space="preserve"> were probably more mobile.</w:t>
      </w:r>
    </w:p>
    <w:p w14:paraId="24997F62" w14:textId="77777777" w:rsidR="00CE6FE5" w:rsidRPr="00EC0229" w:rsidRDefault="00CE6FE5" w:rsidP="007600EA">
      <w:pPr>
        <w:pStyle w:val="NoSpacing"/>
        <w:spacing w:line="360" w:lineRule="auto"/>
      </w:pPr>
    </w:p>
    <w:p w14:paraId="2FB88FF8" w14:textId="1ABC002A" w:rsidR="00CE6FE5" w:rsidRPr="00EC0229" w:rsidRDefault="00CE6FE5" w:rsidP="007600EA">
      <w:pPr>
        <w:pStyle w:val="NoSpacing"/>
        <w:spacing w:line="360" w:lineRule="auto"/>
        <w:rPr>
          <w:bCs/>
        </w:rPr>
      </w:pPr>
      <w:r w:rsidRPr="00EC0229">
        <w:rPr>
          <w:bCs/>
        </w:rPr>
        <w:lastRenderedPageBreak/>
        <w:t>Of significant interest historically, is the presence of imported primary sceats (</w:t>
      </w:r>
      <w:r w:rsidRPr="00EC0229">
        <w:rPr>
          <w:bCs/>
        </w:rPr>
        <w:fldChar w:fldCharType="begin"/>
      </w:r>
      <w:r w:rsidRPr="00EC0229">
        <w:rPr>
          <w:bCs/>
        </w:rPr>
        <w:instrText xml:space="preserve"> PAGEREF Period4b \h </w:instrText>
      </w:r>
      <w:r w:rsidRPr="00EC0229">
        <w:rPr>
          <w:bCs/>
        </w:rPr>
      </w:r>
      <w:r w:rsidRPr="00EC0229">
        <w:rPr>
          <w:bCs/>
        </w:rPr>
        <w:fldChar w:fldCharType="separate"/>
      </w:r>
      <w:r w:rsidR="0012026B">
        <w:rPr>
          <w:bCs/>
          <w:noProof/>
        </w:rPr>
        <w:t>117</w:t>
      </w:r>
      <w:r w:rsidRPr="00EC0229">
        <w:rPr>
          <w:bCs/>
        </w:rPr>
        <w:fldChar w:fldCharType="end"/>
      </w:r>
      <w:r w:rsidRPr="00EC0229">
        <w:rPr>
          <w:bCs/>
        </w:rPr>
        <w:t xml:space="preserve"> &amp; </w:t>
      </w:r>
      <w:r w:rsidRPr="00EC0229">
        <w:rPr>
          <w:bCs/>
        </w:rPr>
        <w:fldChar w:fldCharType="begin"/>
      </w:r>
      <w:r w:rsidRPr="00EC0229">
        <w:rPr>
          <w:bCs/>
        </w:rPr>
        <w:instrText xml:space="preserve"> PAGEREF Period4c \h </w:instrText>
      </w:r>
      <w:r w:rsidRPr="00EC0229">
        <w:rPr>
          <w:bCs/>
        </w:rPr>
      </w:r>
      <w:r w:rsidRPr="00EC0229">
        <w:rPr>
          <w:bCs/>
        </w:rPr>
        <w:fldChar w:fldCharType="separate"/>
      </w:r>
      <w:r w:rsidR="0012026B">
        <w:rPr>
          <w:bCs/>
          <w:noProof/>
        </w:rPr>
        <w:t>118</w:t>
      </w:r>
      <w:r w:rsidRPr="00EC0229">
        <w:rPr>
          <w:bCs/>
        </w:rPr>
        <w:fldChar w:fldCharType="end"/>
      </w:r>
      <w:r w:rsidRPr="00EC0229">
        <w:rPr>
          <w:bCs/>
        </w:rPr>
        <w:t xml:space="preserve">), </w:t>
      </w:r>
      <w:r w:rsidRPr="00EC0229">
        <w:rPr>
          <w:bCs/>
          <w:i/>
        </w:rPr>
        <w:t>Table</w:t>
      </w:r>
      <w:r w:rsidRPr="00EC0229">
        <w:rPr>
          <w:bCs/>
          <w:i/>
        </w:rPr>
        <w:fldChar w:fldCharType="begin"/>
      </w:r>
      <w:r w:rsidRPr="00EC0229">
        <w:instrText xml:space="preserve"> XE "</w:instrText>
      </w:r>
      <w:r w:rsidRPr="00EC0229">
        <w:rPr>
          <w:noProof/>
        </w:rPr>
        <w:instrText>Table</w:instrText>
      </w:r>
      <w:r w:rsidRPr="00EC0229">
        <w:instrText xml:space="preserve">" </w:instrText>
      </w:r>
      <w:r w:rsidRPr="00EC0229">
        <w:rPr>
          <w:bCs/>
          <w:i/>
        </w:rPr>
        <w:fldChar w:fldCharType="end"/>
      </w:r>
      <w:r w:rsidR="0009732D" w:rsidRPr="00EC0229">
        <w:rPr>
          <w:bCs/>
          <w:i/>
        </w:rPr>
        <w:t xml:space="preserve"> </w:t>
      </w:r>
      <w:r w:rsidRPr="00EC0229">
        <w:rPr>
          <w:bCs/>
          <w:i/>
        </w:rPr>
        <w:t>5</w:t>
      </w:r>
      <w:r w:rsidR="0009732D" w:rsidRPr="00EC0229">
        <w:rPr>
          <w:bCs/>
          <w:i/>
        </w:rPr>
        <w:t>.01</w:t>
      </w:r>
      <w:r w:rsidRPr="00EC0229">
        <w:rPr>
          <w:bCs/>
        </w:rPr>
        <w:t xml:space="preserve">, especially from the Low Countries, and the composition of the </w:t>
      </w:r>
      <w:r w:rsidR="00572E51" w:rsidRPr="00EC0229">
        <w:rPr>
          <w:bCs/>
        </w:rPr>
        <w:t>Southumbria</w:t>
      </w:r>
      <w:r w:rsidRPr="00EC0229">
        <w:rPr>
          <w:bCs/>
        </w:rPr>
        <w:t>n (</w:t>
      </w:r>
      <w:r w:rsidRPr="00EC0229">
        <w:rPr>
          <w:bCs/>
        </w:rPr>
        <w:fldChar w:fldCharType="begin"/>
      </w:r>
      <w:r w:rsidRPr="00EC0229">
        <w:rPr>
          <w:bCs/>
        </w:rPr>
        <w:instrText xml:space="preserve"> PAGEREF Period5b \h </w:instrText>
      </w:r>
      <w:r w:rsidRPr="00EC0229">
        <w:rPr>
          <w:bCs/>
        </w:rPr>
      </w:r>
      <w:r w:rsidRPr="00EC0229">
        <w:rPr>
          <w:bCs/>
        </w:rPr>
        <w:fldChar w:fldCharType="separate"/>
      </w:r>
      <w:r w:rsidR="0012026B">
        <w:rPr>
          <w:bCs/>
          <w:noProof/>
        </w:rPr>
        <w:t>122</w:t>
      </w:r>
      <w:r w:rsidRPr="00EC0229">
        <w:rPr>
          <w:bCs/>
        </w:rPr>
        <w:fldChar w:fldCharType="end"/>
      </w:r>
      <w:r w:rsidRPr="00EC0229">
        <w:rPr>
          <w:bCs/>
        </w:rPr>
        <w:t>) and Continental secondary coinage (</w:t>
      </w:r>
      <w:r w:rsidRPr="00EC0229">
        <w:rPr>
          <w:bCs/>
        </w:rPr>
        <w:fldChar w:fldCharType="begin"/>
      </w:r>
      <w:r w:rsidRPr="00EC0229">
        <w:rPr>
          <w:bCs/>
        </w:rPr>
        <w:instrText xml:space="preserve"> PAGEREF Period5c \h </w:instrText>
      </w:r>
      <w:r w:rsidRPr="00EC0229">
        <w:rPr>
          <w:bCs/>
        </w:rPr>
      </w:r>
      <w:r w:rsidRPr="00EC0229">
        <w:rPr>
          <w:bCs/>
        </w:rPr>
        <w:fldChar w:fldCharType="separate"/>
      </w:r>
      <w:r w:rsidR="0012026B">
        <w:rPr>
          <w:bCs/>
          <w:noProof/>
        </w:rPr>
        <w:t>123</w:t>
      </w:r>
      <w:r w:rsidRPr="00EC0229">
        <w:rPr>
          <w:bCs/>
        </w:rPr>
        <w:fldChar w:fldCharType="end"/>
      </w:r>
      <w:r w:rsidRPr="00EC0229">
        <w:rPr>
          <w:bCs/>
        </w:rPr>
        <w:t>) between the emissions of Aldfrith</w:t>
      </w:r>
      <w:r w:rsidRPr="00EC0229">
        <w:rPr>
          <w:bCs/>
        </w:rPr>
        <w:fldChar w:fldCharType="begin"/>
      </w:r>
      <w:r w:rsidRPr="00EC0229">
        <w:instrText xml:space="preserve"> XE "Aldfrith" </w:instrText>
      </w:r>
      <w:r w:rsidRPr="00EC0229">
        <w:rPr>
          <w:bCs/>
        </w:rPr>
        <w:fldChar w:fldCharType="end"/>
      </w:r>
      <w:r w:rsidRPr="00EC0229">
        <w:rPr>
          <w:bCs/>
        </w:rPr>
        <w:t xml:space="preserve"> and Eadberht</w:t>
      </w:r>
      <w:r w:rsidRPr="00EC0229">
        <w:rPr>
          <w:bCs/>
        </w:rPr>
        <w:fldChar w:fldCharType="begin"/>
      </w:r>
      <w:r w:rsidRPr="00EC0229">
        <w:instrText xml:space="preserve"> XE "Eadberht" </w:instrText>
      </w:r>
      <w:r w:rsidRPr="00EC0229">
        <w:rPr>
          <w:bCs/>
        </w:rPr>
        <w:fldChar w:fldCharType="end"/>
      </w:r>
      <w:r w:rsidRPr="00EC0229">
        <w:rPr>
          <w:bCs/>
        </w:rPr>
        <w:t>. These are indicative of wide insular and Continental trading relationships, as exemplified by the near Hayton</w:t>
      </w:r>
      <w:r w:rsidRPr="00EC0229">
        <w:rPr>
          <w:bCs/>
        </w:rPr>
        <w:fldChar w:fldCharType="begin"/>
      </w:r>
      <w:r w:rsidRPr="00EC0229">
        <w:instrText xml:space="preserve"> XE "</w:instrText>
      </w:r>
      <w:r w:rsidRPr="00EC0229">
        <w:rPr>
          <w:noProof/>
        </w:rPr>
        <w:instrText>Hayton</w:instrText>
      </w:r>
      <w:r w:rsidRPr="00EC0229">
        <w:instrText xml:space="preserve">" </w:instrText>
      </w:r>
      <w:r w:rsidRPr="00EC0229">
        <w:rPr>
          <w:bCs/>
        </w:rPr>
        <w:fldChar w:fldCharType="end"/>
      </w:r>
      <w:r w:rsidRPr="00EC0229">
        <w:rPr>
          <w:bCs/>
        </w:rPr>
        <w:t xml:space="preserve"> finds (</w:t>
      </w:r>
      <w:r w:rsidRPr="00EC0229">
        <w:rPr>
          <w:bCs/>
        </w:rPr>
        <w:fldChar w:fldCharType="begin"/>
      </w:r>
      <w:r w:rsidRPr="00EC0229">
        <w:rPr>
          <w:bCs/>
        </w:rPr>
        <w:instrText xml:space="preserve"> PAGEREF Hayton \h </w:instrText>
      </w:r>
      <w:r w:rsidRPr="00EC0229">
        <w:rPr>
          <w:bCs/>
        </w:rPr>
      </w:r>
      <w:r w:rsidRPr="00EC0229">
        <w:rPr>
          <w:bCs/>
        </w:rPr>
        <w:fldChar w:fldCharType="separate"/>
      </w:r>
      <w:r w:rsidR="0012026B">
        <w:rPr>
          <w:bCs/>
          <w:noProof/>
        </w:rPr>
        <w:t>232</w:t>
      </w:r>
      <w:r w:rsidRPr="00EC0229">
        <w:rPr>
          <w:bCs/>
        </w:rPr>
        <w:fldChar w:fldCharType="end"/>
      </w:r>
      <w:r w:rsidRPr="00EC0229">
        <w:rPr>
          <w:bCs/>
        </w:rPr>
        <w:t>), but over-interpretation is a constant concern, hence the focus not only on random finds but, with caveats, on the condition of those coins.</w:t>
      </w:r>
    </w:p>
    <w:p w14:paraId="5677EDDE" w14:textId="77777777" w:rsidR="00CE6FE5" w:rsidRPr="00EC0229" w:rsidRDefault="00CE6FE5" w:rsidP="007600EA">
      <w:pPr>
        <w:pStyle w:val="NoSpacing"/>
        <w:spacing w:line="360" w:lineRule="auto"/>
      </w:pPr>
    </w:p>
    <w:p w14:paraId="51ED3025" w14:textId="53B5EC04" w:rsidR="00CE6FE5" w:rsidRPr="00EC0229" w:rsidRDefault="00CE6FE5" w:rsidP="007600EA">
      <w:pPr>
        <w:pStyle w:val="NoSpacing"/>
        <w:spacing w:line="360" w:lineRule="auto"/>
        <w:rPr>
          <w:bCs/>
        </w:rPr>
      </w:pPr>
      <w:r w:rsidRPr="00EC0229">
        <w:rPr>
          <w:bCs/>
        </w:rPr>
        <w:t>Conversion Period</w:t>
      </w:r>
      <w:r w:rsidRPr="00EC0229">
        <w:rPr>
          <w:bCs/>
        </w:rPr>
        <w:fldChar w:fldCharType="begin"/>
      </w:r>
      <w:r w:rsidRPr="00EC0229">
        <w:instrText xml:space="preserve"> XE "</w:instrText>
      </w:r>
      <w:r w:rsidRPr="00EC0229">
        <w:rPr>
          <w:rFonts w:cs="Times New Roman"/>
        </w:rPr>
        <w:instrText>Conversion Period</w:instrText>
      </w:r>
      <w:r w:rsidRPr="00EC0229">
        <w:instrText xml:space="preserve">" </w:instrText>
      </w:r>
      <w:r w:rsidRPr="00EC0229">
        <w:rPr>
          <w:bCs/>
        </w:rPr>
        <w:fldChar w:fldCharType="end"/>
      </w:r>
      <w:r w:rsidRPr="00EC0229">
        <w:rPr>
          <w:bCs/>
        </w:rPr>
        <w:t xml:space="preserve"> iconography</w:t>
      </w:r>
      <w:r w:rsidRPr="00EC0229">
        <w:rPr>
          <w:bCs/>
        </w:rPr>
        <w:fldChar w:fldCharType="begin"/>
      </w:r>
      <w:r w:rsidRPr="00EC0229">
        <w:instrText xml:space="preserve"> XE "iconography" </w:instrText>
      </w:r>
      <w:r w:rsidRPr="00EC0229">
        <w:rPr>
          <w:bCs/>
        </w:rPr>
        <w:fldChar w:fldCharType="end"/>
      </w:r>
      <w:r w:rsidRPr="00EC0229">
        <w:rPr>
          <w:bCs/>
        </w:rPr>
        <w:t xml:space="preserve"> is abundant in the </w:t>
      </w:r>
      <w:r w:rsidR="005436B1" w:rsidRPr="00EC0229">
        <w:rPr>
          <w:bCs/>
        </w:rPr>
        <w:t>southern s</w:t>
      </w:r>
      <w:r w:rsidRPr="00EC0229">
        <w:rPr>
          <w:bCs/>
        </w:rPr>
        <w:t xml:space="preserve">econdary sceats and while the richest endowed varieties are not the </w:t>
      </w:r>
      <w:r w:rsidR="002E3BB3" w:rsidRPr="00EC0229">
        <w:rPr>
          <w:bCs/>
        </w:rPr>
        <w:t>high-volume</w:t>
      </w:r>
      <w:r w:rsidRPr="00EC0229">
        <w:rPr>
          <w:bCs/>
        </w:rPr>
        <w:t xml:space="preserve"> trading currencies, the reach of coin use would have been extended by evangelical activity. The frequency of </w:t>
      </w:r>
      <w:r w:rsidRPr="00EC0229">
        <w:t>single occurrences of exotic species and Series</w:t>
      </w:r>
      <w:r w:rsidRPr="00EC0229">
        <w:fldChar w:fldCharType="begin"/>
      </w:r>
      <w:r w:rsidRPr="00EC0229">
        <w:instrText xml:space="preserve"> XE "Series" </w:instrText>
      </w:r>
      <w:r w:rsidRPr="00EC0229">
        <w:fldChar w:fldCharType="end"/>
      </w:r>
      <w:r w:rsidRPr="00EC0229">
        <w:t xml:space="preserve"> Q</w:t>
      </w:r>
      <w:r w:rsidRPr="00EC0229">
        <w:fldChar w:fldCharType="begin"/>
      </w:r>
      <w:r w:rsidRPr="00EC0229">
        <w:instrText xml:space="preserve"> XE "Series Q" </w:instrText>
      </w:r>
      <w:r w:rsidRPr="00EC0229">
        <w:fldChar w:fldCharType="end"/>
      </w:r>
      <w:r w:rsidRPr="00EC0229">
        <w:t xml:space="preserve"> sceats suggests a steady peregrination of pilgrims, especially from East Anglia.</w:t>
      </w:r>
    </w:p>
    <w:p w14:paraId="135CD4C2" w14:textId="77777777" w:rsidR="00CE6FE5" w:rsidRPr="00EC0229" w:rsidRDefault="00CE6FE5" w:rsidP="007600EA">
      <w:pPr>
        <w:pStyle w:val="NoSpacing"/>
        <w:spacing w:line="360" w:lineRule="auto"/>
      </w:pPr>
    </w:p>
    <w:p w14:paraId="6B5ADDBB" w14:textId="2776E750" w:rsidR="00CE6FE5" w:rsidRPr="00EC0229" w:rsidRDefault="007C71C5" w:rsidP="007C71C5">
      <w:pPr>
        <w:pStyle w:val="Heading4"/>
        <w:spacing w:line="360" w:lineRule="auto"/>
      </w:pPr>
      <w:bookmarkStart w:id="954" w:name="_Toc468266960"/>
      <w:r w:rsidRPr="007C71C5">
        <w:rPr>
          <w:b/>
        </w:rPr>
        <w:t>9.1.2.</w:t>
      </w:r>
      <w:r>
        <w:rPr>
          <w:b/>
        </w:rPr>
        <w:t>3</w:t>
      </w:r>
      <w:r w:rsidRPr="007C71C5">
        <w:rPr>
          <w:b/>
        </w:rPr>
        <w:tab/>
      </w:r>
      <w:r w:rsidR="00CE6FE5" w:rsidRPr="00624DF5">
        <w:rPr>
          <w:b/>
        </w:rPr>
        <w:t>Copper</w:t>
      </w:r>
      <w:r w:rsidR="00CE6FE5" w:rsidRPr="007C71C5">
        <w:rPr>
          <w:b/>
        </w:rPr>
        <w:t>-Alloy</w:t>
      </w:r>
      <w:bookmarkEnd w:id="954"/>
    </w:p>
    <w:p w14:paraId="17F9452C" w14:textId="77777777" w:rsidR="00CE6FE5" w:rsidRPr="00EC0229" w:rsidRDefault="00CE6FE5" w:rsidP="007600EA">
      <w:pPr>
        <w:pStyle w:val="NoSpacing"/>
        <w:spacing w:line="360" w:lineRule="auto"/>
      </w:pPr>
      <w:r w:rsidRPr="00EC0229">
        <w:rPr>
          <w:rStyle w:val="FootnoteReference"/>
          <w:vertAlign w:val="baseline"/>
        </w:rPr>
        <w:t>The weakness</w:t>
      </w:r>
      <w:r w:rsidRPr="00EC0229">
        <w:t xml:space="preserve"> of the monetary system</w:t>
      </w:r>
      <w:r w:rsidRPr="00EC0229">
        <w:rPr>
          <w:rStyle w:val="FootnoteReference"/>
          <w:vertAlign w:val="baseline"/>
        </w:rPr>
        <w:t xml:space="preserve"> </w:t>
      </w:r>
      <w:r w:rsidRPr="00EC0229">
        <w:t>in England wa</w:t>
      </w:r>
      <w:r w:rsidRPr="00EC0229">
        <w:rPr>
          <w:rStyle w:val="FootnoteReference"/>
          <w:vertAlign w:val="baseline"/>
        </w:rPr>
        <w:t xml:space="preserve">s </w:t>
      </w:r>
      <w:r w:rsidRPr="00EC0229">
        <w:t>exacerbated</w:t>
      </w:r>
      <w:r w:rsidRPr="00EC0229">
        <w:rPr>
          <w:rStyle w:val="FootnoteReference"/>
          <w:vertAlign w:val="baseline"/>
        </w:rPr>
        <w:t xml:space="preserve"> by a unitary denomination</w:t>
      </w:r>
      <w:r w:rsidRPr="00EC0229">
        <w:t xml:space="preserve"> – certainly there was no small change for gold</w:t>
      </w:r>
      <w:r w:rsidRPr="00EC0229">
        <w:fldChar w:fldCharType="begin"/>
      </w:r>
      <w:r w:rsidRPr="00EC0229">
        <w:instrText xml:space="preserve"> XE "</w:instrText>
      </w:r>
      <w:r w:rsidRPr="00EC0229">
        <w:rPr>
          <w:rFonts w:eastAsia="Times New Roman" w:cs="Times New Roman"/>
          <w:szCs w:val="24"/>
          <w:lang w:eastAsia="en-GB"/>
        </w:rPr>
        <w:instrText>gold</w:instrText>
      </w:r>
      <w:r w:rsidRPr="00EC0229">
        <w:instrText xml:space="preserve">" </w:instrText>
      </w:r>
      <w:r w:rsidRPr="00EC0229">
        <w:fldChar w:fldCharType="end"/>
      </w:r>
      <w:r w:rsidRPr="00EC0229">
        <w:t xml:space="preserve"> shilling or silver sceats - and these successive denominations had a significant, though largely unascertainable, value.</w:t>
      </w:r>
      <w:bookmarkStart w:id="955" w:name="_Ref428946027"/>
      <w:r w:rsidRPr="00EC0229">
        <w:rPr>
          <w:rStyle w:val="FootnoteReference"/>
        </w:rPr>
        <w:footnoteReference w:id="1286"/>
      </w:r>
      <w:bookmarkEnd w:id="955"/>
      <w:r w:rsidRPr="00EC0229">
        <w:t xml:space="preserve"> Stycas were the first Anglo-Saxon</w:t>
      </w:r>
      <w:r w:rsidRPr="00EC0229">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fldChar w:fldCharType="end"/>
      </w:r>
      <w:r w:rsidRPr="00EC0229">
        <w:t xml:space="preserve"> emission than can be regarded as small change. Low-value coinage is comparatively uneconomical to produce, which is perhaps why the styca descended into chaos. </w:t>
      </w:r>
    </w:p>
    <w:p w14:paraId="50DF74BC" w14:textId="77777777" w:rsidR="00CE6FE5" w:rsidRPr="00EC0229" w:rsidRDefault="00CE6FE5" w:rsidP="007600EA">
      <w:pPr>
        <w:pStyle w:val="NoSpacing"/>
        <w:spacing w:line="360" w:lineRule="auto"/>
      </w:pPr>
    </w:p>
    <w:p w14:paraId="278E42A4" w14:textId="61D4D146" w:rsidR="00CE6FE5" w:rsidRPr="00EC0229" w:rsidRDefault="00CE6FE5" w:rsidP="007600EA">
      <w:pPr>
        <w:pStyle w:val="NoSpacing"/>
        <w:spacing w:line="360" w:lineRule="auto"/>
      </w:pPr>
      <w:r w:rsidRPr="00EC0229">
        <w:t>While Booth’s model of promiscuous use of dies is unequivocally preferred over Pirie</w:t>
      </w:r>
      <w:r w:rsidRPr="00EC0229">
        <w:fldChar w:fldCharType="begin"/>
      </w:r>
      <w:r w:rsidRPr="00EC0229">
        <w:instrText xml:space="preserve"> XE "Pirie" </w:instrText>
      </w:r>
      <w:r w:rsidRPr="00EC0229">
        <w:fldChar w:fldCharType="end"/>
      </w:r>
      <w:r w:rsidRPr="00EC0229">
        <w:t xml:space="preserve">’s complex die links, the decline into production chaos is chronologically uncertain, but what is quite evident from the styca distribution,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0009732D" w:rsidRPr="00EC0229">
        <w:rPr>
          <w:i/>
        </w:rPr>
        <w:t xml:space="preserve"> </w:t>
      </w:r>
      <w:r w:rsidR="00A26538" w:rsidRPr="00EC0229">
        <w:rPr>
          <w:i/>
        </w:rPr>
        <w:t>6.03</w:t>
      </w:r>
      <w:r w:rsidRPr="00EC0229">
        <w:t xml:space="preserve">, is the widespread, if numerically slight, use of stycas in </w:t>
      </w:r>
      <w:r w:rsidR="00572E51" w:rsidRPr="00EC0229">
        <w:t>Southumbria</w:t>
      </w:r>
      <w:r w:rsidRPr="00EC0229">
        <w:fldChar w:fldCharType="begin"/>
      </w:r>
      <w:r w:rsidRPr="00EC0229">
        <w:instrText xml:space="preserve"> XE "</w:instrText>
      </w:r>
      <w:r w:rsidRPr="00EC0229">
        <w:rPr>
          <w:rStyle w:val="Hyperlink"/>
          <w:noProof/>
          <w:u w:val="none"/>
        </w:rPr>
        <w:instrText>Southumbria</w:instrText>
      </w:r>
      <w:r w:rsidRPr="00EC0229">
        <w:instrText xml:space="preserve">" </w:instrText>
      </w:r>
      <w:r w:rsidRPr="00EC0229">
        <w:fldChar w:fldCharType="end"/>
      </w:r>
      <w:r w:rsidRPr="00EC0229">
        <w:t>. The presence of stycas at Flixborough</w:t>
      </w:r>
      <w:r w:rsidRPr="00EC0229">
        <w:fldChar w:fldCharType="begin"/>
      </w:r>
      <w:r w:rsidRPr="00EC0229">
        <w:instrText xml:space="preserve"> XE "</w:instrText>
      </w:r>
      <w:r w:rsidRPr="00EC0229">
        <w:rPr>
          <w:rStyle w:val="Hyperlink"/>
          <w:noProof/>
          <w:u w:val="none"/>
        </w:rPr>
        <w:instrText>Flixborough</w:instrText>
      </w:r>
      <w:r w:rsidRPr="00EC0229">
        <w:instrText xml:space="preserve">" </w:instrText>
      </w:r>
      <w:r w:rsidRPr="00EC0229">
        <w:fldChar w:fldCharType="end"/>
      </w:r>
      <w:r w:rsidRPr="00EC0229">
        <w:t xml:space="preserve"> suggests that The Lincolnshire Wolds</w:t>
      </w:r>
      <w:r w:rsidRPr="00EC0229">
        <w:fldChar w:fldCharType="begin"/>
      </w:r>
      <w:r w:rsidRPr="00EC0229">
        <w:instrText xml:space="preserve"> XE "</w:instrText>
      </w:r>
      <w:r w:rsidRPr="00EC0229">
        <w:rPr>
          <w:rStyle w:val="Hyperlink"/>
          <w:rFonts w:cs="Times New Roman"/>
          <w:noProof/>
          <w:u w:val="none"/>
        </w:rPr>
        <w:instrText>Wolds</w:instrText>
      </w:r>
      <w:r w:rsidRPr="00EC0229">
        <w:instrText xml:space="preserve">" </w:instrText>
      </w:r>
      <w:r w:rsidRPr="00EC0229">
        <w:fldChar w:fldCharType="end"/>
      </w:r>
      <w:r w:rsidRPr="00EC0229">
        <w:t xml:space="preserve"> were not commercially separated from the Yorkshire Wolds</w:t>
      </w:r>
      <w:r w:rsidRPr="00EC0229">
        <w:fldChar w:fldCharType="begin"/>
      </w:r>
      <w:r w:rsidRPr="00EC0229">
        <w:instrText xml:space="preserve"> XE "</w:instrText>
      </w:r>
      <w:r w:rsidRPr="00EC0229">
        <w:rPr>
          <w:rStyle w:val="Hyperlink"/>
          <w:rFonts w:cs="Times New Roman"/>
          <w:noProof/>
          <w:u w:val="none"/>
        </w:rPr>
        <w:instrText>Yorkshire Wolds</w:instrText>
      </w:r>
      <w:r w:rsidRPr="00EC0229">
        <w:instrText xml:space="preserve">" </w:instrText>
      </w:r>
      <w:r w:rsidRPr="00EC0229">
        <w:fldChar w:fldCharType="end"/>
      </w:r>
      <w:r w:rsidRPr="00EC0229">
        <w:t xml:space="preserve"> by the Humber.</w:t>
      </w:r>
    </w:p>
    <w:p w14:paraId="179F481A" w14:textId="77777777" w:rsidR="00CE6FE5" w:rsidRPr="00EC0229" w:rsidRDefault="00CE6FE5" w:rsidP="007600EA">
      <w:pPr>
        <w:pStyle w:val="NoSpacing"/>
        <w:spacing w:line="360" w:lineRule="auto"/>
      </w:pPr>
    </w:p>
    <w:p w14:paraId="549DBB9A" w14:textId="77777777" w:rsidR="00CE6FE5" w:rsidRPr="00EC0229" w:rsidRDefault="00CE6FE5" w:rsidP="007600EA">
      <w:pPr>
        <w:pStyle w:val="NoSpacing"/>
        <w:spacing w:line="360" w:lineRule="auto"/>
      </w:pPr>
      <w:bookmarkStart w:id="956" w:name="Torksey"/>
      <w:bookmarkEnd w:id="956"/>
      <w:r w:rsidRPr="00EC0229">
        <w:lastRenderedPageBreak/>
        <w:t>Stycas are present in numbers at the Viking</w:t>
      </w:r>
      <w:r w:rsidRPr="00EC0229">
        <w:fldChar w:fldCharType="begin"/>
      </w:r>
      <w:r w:rsidRPr="00EC0229">
        <w:instrText xml:space="preserve"> XE "</w:instrText>
      </w:r>
      <w:r w:rsidRPr="00EC0229">
        <w:rPr>
          <w:rStyle w:val="Hyperlink"/>
          <w:noProof/>
          <w:u w:val="none"/>
        </w:rPr>
        <w:instrText>Viking</w:instrText>
      </w:r>
      <w:r w:rsidRPr="00EC0229">
        <w:instrText xml:space="preserve">" </w:instrText>
      </w:r>
      <w:r w:rsidRPr="00EC0229">
        <w:fldChar w:fldCharType="end"/>
      </w:r>
      <w:r w:rsidRPr="00EC0229">
        <w:t xml:space="preserve"> camps at Torksey, ‘</w:t>
      </w:r>
      <w:r w:rsidRPr="00EC0229">
        <w:rPr>
          <w:rFonts w:cs="Times New Roman"/>
        </w:rPr>
        <w:t>the riverine site North of York</w:t>
      </w:r>
      <w:r w:rsidRPr="00EC0229">
        <w:rPr>
          <w:rFonts w:cs="Times New Roman"/>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rFonts w:cs="Times New Roman"/>
        </w:rPr>
        <w:fldChar w:fldCharType="end"/>
      </w:r>
      <w:r w:rsidRPr="00EC0229">
        <w:rPr>
          <w:rFonts w:cs="Times New Roman"/>
        </w:rPr>
        <w:t>’</w:t>
      </w:r>
      <w:r w:rsidRPr="00EC0229">
        <w:t>,</w:t>
      </w:r>
      <w:r w:rsidRPr="00EC0229">
        <w:rPr>
          <w:rStyle w:val="FootnoteReference"/>
        </w:rPr>
        <w:footnoteReference w:id="1287"/>
      </w:r>
      <w:r w:rsidRPr="00EC0229">
        <w:t xml:space="preserve"> Littleborough and Thetford presumably brought by the </w:t>
      </w:r>
      <w:r w:rsidRPr="00EC0229">
        <w:rPr>
          <w:i/>
        </w:rPr>
        <w:t>micel here</w:t>
      </w:r>
      <w:r w:rsidRPr="00EC0229">
        <w:t>, though whether these are for exchange (as coin or bullion</w:t>
      </w:r>
      <w:r w:rsidRPr="00EC0229">
        <w:fldChar w:fldCharType="begin"/>
      </w:r>
      <w:r w:rsidRPr="00EC0229">
        <w:instrText xml:space="preserve"> XE "</w:instrText>
      </w:r>
      <w:r w:rsidRPr="00EC0229">
        <w:rPr>
          <w:rFonts w:cs="Times New Roman"/>
          <w:szCs w:val="24"/>
        </w:rPr>
        <w:instrText>bullion</w:instrText>
      </w:r>
      <w:r w:rsidRPr="00EC0229">
        <w:instrText xml:space="preserve">" </w:instrText>
      </w:r>
      <w:r w:rsidRPr="00EC0229">
        <w:fldChar w:fldCharType="end"/>
      </w:r>
      <w:r w:rsidRPr="00EC0229">
        <w:t>), recycling, gaming or as singular curiosities, cannot be determined. The intriguing possibility that the later blundered stycas were Viking imitations remains, given that Vikings imitated local coinages elsewhere.</w:t>
      </w:r>
      <w:r w:rsidRPr="00EC0229">
        <w:rPr>
          <w:rStyle w:val="FootnoteReference"/>
        </w:rPr>
        <w:footnoteReference w:id="1288"/>
      </w:r>
      <w:r w:rsidRPr="00EC0229">
        <w:t xml:space="preserve"> </w:t>
      </w:r>
    </w:p>
    <w:p w14:paraId="4232D897" w14:textId="77777777" w:rsidR="00CE6FE5" w:rsidRPr="00EC0229" w:rsidRDefault="00CE6FE5" w:rsidP="007600EA">
      <w:pPr>
        <w:pStyle w:val="NoSpacing"/>
        <w:spacing w:line="360" w:lineRule="auto"/>
      </w:pPr>
    </w:p>
    <w:p w14:paraId="33ABE3EF" w14:textId="0DF4A8BD" w:rsidR="00CE6FE5" w:rsidRPr="00EC0229" w:rsidRDefault="00CE6FE5" w:rsidP="007600EA">
      <w:pPr>
        <w:pStyle w:val="NoSpacing"/>
        <w:spacing w:line="360" w:lineRule="auto"/>
      </w:pPr>
      <w:bookmarkStart w:id="957" w:name="exchangerate"/>
      <w:bookmarkEnd w:id="957"/>
      <w:r w:rsidRPr="00EC0229">
        <w:t>While Talnotrie and Lochar Moss are the only mixed hoard</w:t>
      </w:r>
      <w:r w:rsidR="004C07F4" w:rsidRPr="00EC0229">
        <w:t>s</w:t>
      </w:r>
      <w:r w:rsidRPr="00EC0229">
        <w:t xml:space="preserve">, could there have been a convenient exchange rate between brass stycas and broad pennies? </w:t>
      </w:r>
      <w:r w:rsidR="004173A6" w:rsidRPr="00EC0229">
        <w:t xml:space="preserve">Alas, the metrics are variable for both - composition, weight and the relative value of copper to silver. </w:t>
      </w:r>
      <w:r w:rsidR="004E1331" w:rsidRPr="00EC0229">
        <w:t>For the purposes of illustration only, a</w:t>
      </w:r>
      <w:r w:rsidR="004173A6" w:rsidRPr="00EC0229">
        <w:rPr>
          <w:rFonts w:cs="Times New Roman"/>
          <w:szCs w:val="24"/>
        </w:rPr>
        <w:t xml:space="preserve">pplying </w:t>
      </w:r>
      <w:r w:rsidR="004E1331" w:rsidRPr="00EC0229">
        <w:rPr>
          <w:rFonts w:cs="Times New Roman"/>
          <w:szCs w:val="24"/>
        </w:rPr>
        <w:t>an</w:t>
      </w:r>
      <w:r w:rsidRPr="00EC0229">
        <w:t xml:space="preserve"> exchange rate </w:t>
      </w:r>
      <w:r w:rsidR="004E1331" w:rsidRPr="00EC0229">
        <w:t>of eight stycas to the penny.</w:t>
      </w:r>
      <w:r w:rsidR="004E1331" w:rsidRPr="00EC0229">
        <w:rPr>
          <w:rStyle w:val="FootnoteReference"/>
        </w:rPr>
        <w:footnoteReference w:id="1289"/>
      </w:r>
      <w:r w:rsidR="004E1331" w:rsidRPr="00EC0229">
        <w:t xml:space="preserve"> </w:t>
      </w:r>
      <w:r w:rsidRPr="00EC0229">
        <w:t xml:space="preserve">against the new </w:t>
      </w:r>
      <w:r w:rsidR="004E1331" w:rsidRPr="00EC0229">
        <w:t xml:space="preserve">silver </w:t>
      </w:r>
      <w:r w:rsidRPr="00EC0229">
        <w:t>denier</w:t>
      </w:r>
      <w:r w:rsidRPr="00EC0229">
        <w:fldChar w:fldCharType="begin"/>
      </w:r>
      <w:r w:rsidRPr="00EC0229">
        <w:instrText xml:space="preserve"> XE "</w:instrText>
      </w:r>
      <w:r w:rsidRPr="00EC0229">
        <w:rPr>
          <w:rFonts w:cs="Times New Roman"/>
          <w:szCs w:val="24"/>
        </w:rPr>
        <w:instrText>denier</w:instrText>
      </w:r>
      <w:r w:rsidRPr="00EC0229">
        <w:instrText xml:space="preserve">" </w:instrText>
      </w:r>
      <w:r w:rsidRPr="00EC0229">
        <w:fldChar w:fldCharType="end"/>
      </w:r>
      <w:r w:rsidRPr="00EC0229">
        <w:t xml:space="preserve"> of 1.7g, fixed in 794 by the Council of Frankfurt</w:t>
      </w:r>
      <w:r w:rsidRPr="00EC0229">
        <w:fldChar w:fldCharType="begin"/>
      </w:r>
      <w:r w:rsidRPr="00EC0229">
        <w:instrText xml:space="preserve"> XE "</w:instrText>
      </w:r>
      <w:r w:rsidRPr="00EC0229">
        <w:rPr>
          <w:rFonts w:cs="Times New Roman"/>
          <w:szCs w:val="24"/>
        </w:rPr>
        <w:instrText>Council of Frankfurt</w:instrText>
      </w:r>
      <w:r w:rsidRPr="00EC0229">
        <w:instrText xml:space="preserve">" </w:instrText>
      </w:r>
      <w:r w:rsidRPr="00EC0229">
        <w:fldChar w:fldCharType="end"/>
      </w:r>
      <w:r w:rsidRPr="00EC0229">
        <w:t xml:space="preserve"> (</w:t>
      </w:r>
      <w:r w:rsidRPr="00EC0229">
        <w:fldChar w:fldCharType="begin"/>
      </w:r>
      <w:r w:rsidRPr="00EC0229">
        <w:instrText xml:space="preserve"> PAGEREF CouncilofFrankfurt \h </w:instrText>
      </w:r>
      <w:r w:rsidRPr="00EC0229">
        <w:fldChar w:fldCharType="separate"/>
      </w:r>
      <w:r w:rsidR="0012026B">
        <w:rPr>
          <w:noProof/>
        </w:rPr>
        <w:t>107</w:t>
      </w:r>
      <w:r w:rsidRPr="00EC0229">
        <w:fldChar w:fldCharType="end"/>
      </w:r>
      <w:r w:rsidRPr="00EC0229">
        <w:t>), as worth twenty-five oaten loaves,</w:t>
      </w:r>
      <w:r w:rsidR="00A7442E" w:rsidRPr="00EC0229">
        <w:rPr>
          <w:rStyle w:val="FootnoteReference"/>
        </w:rPr>
        <w:footnoteReference w:id="1290"/>
      </w:r>
      <w:r w:rsidR="00210EF2" w:rsidRPr="00EC0229">
        <w:t xml:space="preserve"> </w:t>
      </w:r>
      <w:r w:rsidR="004E1331" w:rsidRPr="00EC0229">
        <w:t xml:space="preserve">the </w:t>
      </w:r>
      <w:r w:rsidRPr="00EC0229">
        <w:t xml:space="preserve">styca </w:t>
      </w:r>
      <w:r w:rsidR="004E1331" w:rsidRPr="00EC0229">
        <w:t xml:space="preserve">was </w:t>
      </w:r>
      <w:r w:rsidRPr="00EC0229">
        <w:t>worth three loaves. Admittedly conjectural, possibly anachronistic,</w:t>
      </w:r>
      <w:r w:rsidR="004E1331" w:rsidRPr="00EC0229">
        <w:rPr>
          <w:rStyle w:val="FootnoteReference"/>
        </w:rPr>
        <w:t xml:space="preserve"> </w:t>
      </w:r>
      <w:r w:rsidR="004E1331" w:rsidRPr="00EC0229">
        <w:rPr>
          <w:rStyle w:val="FootnoteReference"/>
        </w:rPr>
        <w:footnoteReference w:id="1291"/>
      </w:r>
      <w:r w:rsidR="004E1331" w:rsidRPr="00EC0229">
        <w:t xml:space="preserve"> </w:t>
      </w:r>
      <w:r w:rsidRPr="00EC0229">
        <w:t xml:space="preserve"> this intriguing exchange, in the absence of mixed hoards, remains theoretical but does underline</w:t>
      </w:r>
      <w:r w:rsidR="001D22E4" w:rsidRPr="00EC0229">
        <w:t>, despite the wide parameters,</w:t>
      </w:r>
      <w:r w:rsidR="00937B34" w:rsidRPr="00EC0229">
        <w:rPr>
          <w:rStyle w:val="FootnoteReference"/>
        </w:rPr>
        <w:footnoteReference w:id="1292"/>
      </w:r>
      <w:r w:rsidRPr="00EC0229">
        <w:t xml:space="preserve"> use of the s</w:t>
      </w:r>
      <w:r w:rsidR="004173A6" w:rsidRPr="00EC0229">
        <w:t>tyca for everyday</w:t>
      </w:r>
      <w:r w:rsidR="005436B1" w:rsidRPr="00EC0229">
        <w:t xml:space="preserve"> transactions.</w:t>
      </w:r>
      <w:r w:rsidR="00295796" w:rsidRPr="00EC0229">
        <w:t xml:space="preserve"> </w:t>
      </w:r>
      <w:r w:rsidR="005436B1" w:rsidRPr="00EC0229">
        <w:t>For the purposes of discussion,</w:t>
      </w:r>
      <w:r w:rsidR="00295796" w:rsidRPr="00EC0229">
        <w:t xml:space="preserve"> a gold shilling</w:t>
      </w:r>
      <w:r w:rsidR="004173A6" w:rsidRPr="00EC0229">
        <w:t xml:space="preserve"> may be envisaged</w:t>
      </w:r>
      <w:r w:rsidR="001D22E4" w:rsidRPr="00EC0229">
        <w:t xml:space="preserve"> </w:t>
      </w:r>
      <w:r w:rsidR="004173A6" w:rsidRPr="00EC0229">
        <w:t xml:space="preserve">as worth a </w:t>
      </w:r>
      <w:r w:rsidR="00295796" w:rsidRPr="00EC0229">
        <w:t>fortnight’s pay</w:t>
      </w:r>
      <w:r w:rsidR="00295796" w:rsidRPr="00EC0229">
        <w:rPr>
          <w:rStyle w:val="FootnoteReference"/>
        </w:rPr>
        <w:footnoteReference w:id="1293"/>
      </w:r>
      <w:r w:rsidR="004173A6" w:rsidRPr="00EC0229">
        <w:t xml:space="preserve"> and a sceat, a day’s pay.</w:t>
      </w:r>
    </w:p>
    <w:p w14:paraId="645421D0" w14:textId="77777777" w:rsidR="00CE6FE5" w:rsidRPr="00EC0229" w:rsidRDefault="00CE6FE5" w:rsidP="007600EA">
      <w:pPr>
        <w:pStyle w:val="NoSpacing"/>
        <w:spacing w:line="360" w:lineRule="auto"/>
      </w:pPr>
    </w:p>
    <w:p w14:paraId="0AA2082D" w14:textId="4C9500AA" w:rsidR="00CE6FE5" w:rsidRPr="00EC0229" w:rsidRDefault="00CE6FE5" w:rsidP="007600EA">
      <w:pPr>
        <w:pStyle w:val="NoSpacing"/>
        <w:spacing w:line="360" w:lineRule="auto"/>
      </w:pPr>
      <w:r w:rsidRPr="00EC0229">
        <w:t>Styca hoards (</w:t>
      </w:r>
      <w:r w:rsidRPr="00EC0229">
        <w:fldChar w:fldCharType="begin"/>
      </w:r>
      <w:r w:rsidRPr="00EC0229">
        <w:instrText xml:space="preserve"> PAGEREF Hoard \h </w:instrText>
      </w:r>
      <w:r w:rsidRPr="00EC0229">
        <w:fldChar w:fldCharType="separate"/>
      </w:r>
      <w:r w:rsidR="0012026B">
        <w:rPr>
          <w:noProof/>
        </w:rPr>
        <w:t>138</w:t>
      </w:r>
      <w:r w:rsidRPr="00EC0229">
        <w:fldChar w:fldCharType="end"/>
      </w:r>
      <w:r w:rsidRPr="00EC0229">
        <w:t>), mainly from seats of ecclesiastical power, and, plausibly, treasuries (</w:t>
      </w:r>
      <w:r w:rsidRPr="00EC0229">
        <w:fldChar w:fldCharType="begin"/>
      </w:r>
      <w:r w:rsidRPr="00EC0229">
        <w:instrText xml:space="preserve"> PAGEREF fiscaltreasury \h </w:instrText>
      </w:r>
      <w:r w:rsidRPr="00EC0229">
        <w:fldChar w:fldCharType="separate"/>
      </w:r>
      <w:r w:rsidR="0012026B">
        <w:rPr>
          <w:noProof/>
        </w:rPr>
        <w:t>316</w:t>
      </w:r>
      <w:r w:rsidRPr="00EC0229">
        <w:fldChar w:fldCharType="end"/>
      </w:r>
      <w:r w:rsidRPr="00EC0229">
        <w:t>), demonstrate the fiscal efficacy of the 'widow's mite' for mass settlement</w:t>
      </w:r>
      <w:r w:rsidRPr="00EC0229">
        <w:fldChar w:fldCharType="begin"/>
      </w:r>
      <w:r w:rsidRPr="00EC0229">
        <w:instrText xml:space="preserve"> XE "settlement" </w:instrText>
      </w:r>
      <w:r w:rsidRPr="00EC0229">
        <w:fldChar w:fldCharType="end"/>
      </w:r>
      <w:r w:rsidRPr="00EC0229">
        <w:t xml:space="preserve"> of obligations to the church</w:t>
      </w:r>
      <w:r w:rsidRPr="00EC0229">
        <w:fldChar w:fldCharType="begin"/>
      </w:r>
      <w:r w:rsidRPr="00EC0229">
        <w:instrText xml:space="preserve"> XE "</w:instrText>
      </w:r>
      <w:r w:rsidRPr="00EC0229">
        <w:rPr>
          <w:rFonts w:cs="Times New Roman"/>
          <w:szCs w:val="24"/>
        </w:rPr>
        <w:instrText>church</w:instrText>
      </w:r>
      <w:r w:rsidRPr="00EC0229">
        <w:instrText xml:space="preserve">" </w:instrText>
      </w:r>
      <w:r w:rsidRPr="00EC0229">
        <w:fldChar w:fldCharType="end"/>
      </w:r>
      <w:r w:rsidRPr="00EC0229">
        <w:t>. The disadvantage of stycas was that for higher level transaction an unwieldy quantity was needed. Hoard</w:t>
      </w:r>
      <w:r w:rsidRPr="00EC0229">
        <w:fldChar w:fldCharType="begin"/>
      </w:r>
      <w:r w:rsidRPr="00EC0229">
        <w:instrText xml:space="preserve"> XE "</w:instrText>
      </w:r>
      <w:r w:rsidRPr="00EC0229">
        <w:rPr>
          <w:rFonts w:eastAsia="Times New Roman" w:cs="Times New Roman"/>
          <w:noProof/>
          <w:lang w:eastAsia="en-GB"/>
        </w:rPr>
        <w:instrText>Hoard</w:instrText>
      </w:r>
      <w:r w:rsidRPr="00EC0229">
        <w:instrText xml:space="preserve">" </w:instrText>
      </w:r>
      <w:r w:rsidRPr="00EC0229">
        <w:fldChar w:fldCharType="end"/>
      </w:r>
      <w:r w:rsidRPr="00EC0229">
        <w:t xml:space="preserve"> evidence (</w:t>
      </w:r>
      <w:r w:rsidRPr="00EC0229">
        <w:fldChar w:fldCharType="begin"/>
      </w:r>
      <w:r w:rsidRPr="00EC0229">
        <w:instrText xml:space="preserve"> PAGEREF Hoards \h </w:instrText>
      </w:r>
      <w:r w:rsidRPr="00EC0229">
        <w:fldChar w:fldCharType="separate"/>
      </w:r>
      <w:r w:rsidR="0012026B">
        <w:rPr>
          <w:noProof/>
        </w:rPr>
        <w:t>157</w:t>
      </w:r>
      <w:r w:rsidRPr="00EC0229">
        <w:fldChar w:fldCharType="end"/>
      </w:r>
      <w:r w:rsidRPr="00EC0229">
        <w:t>) shows that large accumulations of these base coins were assembled but that does not prevent other media - such as the solidi of Louis the Pious</w:t>
      </w:r>
      <w:r w:rsidRPr="00EC0229">
        <w:fldChar w:fldCharType="begin"/>
      </w:r>
      <w:r w:rsidRPr="00EC0229">
        <w:instrText xml:space="preserve"> XE "</w:instrText>
      </w:r>
      <w:r w:rsidRPr="00EC0229">
        <w:rPr>
          <w:rFonts w:eastAsia="Times New Roman" w:cs="Times New Roman"/>
          <w:szCs w:val="24"/>
          <w:lang w:eastAsia="en-GB"/>
        </w:rPr>
        <w:instrText>Louis the Pious</w:instrText>
      </w:r>
      <w:r w:rsidRPr="00EC0229">
        <w:instrText xml:space="preserve">" </w:instrText>
      </w:r>
      <w:r w:rsidRPr="00EC0229">
        <w:fldChar w:fldCharType="end"/>
      </w:r>
      <w:r w:rsidRPr="00EC0229">
        <w:t xml:space="preserve"> - being used in satisfaction of indebtedness. </w:t>
      </w:r>
    </w:p>
    <w:p w14:paraId="05205123" w14:textId="77777777" w:rsidR="00CE6FE5" w:rsidRPr="00EC0229" w:rsidRDefault="00CE6FE5" w:rsidP="007600EA">
      <w:pPr>
        <w:pStyle w:val="NoSpacing"/>
        <w:spacing w:line="360" w:lineRule="auto"/>
      </w:pPr>
    </w:p>
    <w:p w14:paraId="43D55453" w14:textId="5A9DD351" w:rsidR="00CE6FE5" w:rsidRPr="00EC0229" w:rsidRDefault="00CE6FE5" w:rsidP="007600EA">
      <w:pPr>
        <w:pStyle w:val="NoSpacing"/>
        <w:spacing w:line="360" w:lineRule="auto"/>
      </w:pPr>
      <w:r w:rsidRPr="00EC0229">
        <w:t xml:space="preserve">During the quiescent periods is there any sign of substitution?  The </w:t>
      </w:r>
      <w:r w:rsidR="00497AC3" w:rsidRPr="00EC0229">
        <w:t>dataset</w:t>
      </w:r>
      <w:r w:rsidRPr="00EC0229">
        <w:t xml:space="preserve"> was interrogated for the alternate use of coins and artefacts (pins and strap ends) as summarized in </w:t>
      </w:r>
      <w:r w:rsidR="0009732D" w:rsidRPr="00EC0229">
        <w:rPr>
          <w:i/>
        </w:rPr>
        <w:t>Table 9.0</w:t>
      </w:r>
      <w:r w:rsidR="00A26538" w:rsidRPr="00EC0229">
        <w:rPr>
          <w:i/>
        </w:rPr>
        <w:t>8</w:t>
      </w:r>
      <w:r w:rsidRPr="00EC0229">
        <w:t xml:space="preserve">. </w:t>
      </w:r>
      <w:r w:rsidRPr="00EC0229">
        <w:lastRenderedPageBreak/>
        <w:t>The proportions hint at the possibility but, with the absence of clear chronology for fastenings,</w:t>
      </w:r>
      <w:r w:rsidRPr="00EC0229">
        <w:rPr>
          <w:rStyle w:val="FootnoteReference"/>
        </w:rPr>
        <w:footnoteReference w:id="1294"/>
      </w:r>
      <w:r w:rsidRPr="00EC0229">
        <w:t xml:space="preserve"> periodic substitution may be suspected but cannot be identified.</w:t>
      </w:r>
    </w:p>
    <w:p w14:paraId="6A10DF39" w14:textId="77777777" w:rsidR="00CE6FE5" w:rsidRPr="00EC0229" w:rsidRDefault="00CE6FE5" w:rsidP="007600EA">
      <w:pPr>
        <w:pStyle w:val="NoSpacing"/>
        <w:spacing w:line="360" w:lineRule="auto"/>
        <w:rPr>
          <w:szCs w:val="24"/>
        </w:rPr>
      </w:pPr>
    </w:p>
    <w:p w14:paraId="24507D34" w14:textId="1FEEE974" w:rsidR="00CE6FE5" w:rsidRPr="00EC0229" w:rsidRDefault="00CE6FE5" w:rsidP="007600EA">
      <w:pPr>
        <w:pStyle w:val="NoSpacing"/>
        <w:spacing w:line="360" w:lineRule="auto"/>
      </w:pPr>
      <w:r w:rsidRPr="00EC0229">
        <w:t>Based on current numismatic understanding of both identity and chronology, the mix of types has been interpreted, or the original reported findings re-interpreted, in virtually all the sites studied. Among many examples of significant findings are the articulation of contributory factors to the decline of Whithorn</w:t>
      </w:r>
      <w:r w:rsidRPr="00EC0229">
        <w:fldChar w:fldCharType="begin"/>
      </w:r>
      <w:r w:rsidRPr="00EC0229">
        <w:instrText xml:space="preserve"> XE "</w:instrText>
      </w:r>
      <w:r w:rsidRPr="00EC0229">
        <w:rPr>
          <w:noProof/>
        </w:rPr>
        <w:instrText>Whithorn</w:instrText>
      </w:r>
      <w:r w:rsidRPr="00EC0229">
        <w:instrText xml:space="preserve">" </w:instrText>
      </w:r>
      <w:r w:rsidRPr="00EC0229">
        <w:fldChar w:fldCharType="end"/>
      </w:r>
      <w:r w:rsidRPr="00EC0229">
        <w:t xml:space="preserve"> (</w:t>
      </w:r>
      <w:r w:rsidRPr="00EC0229">
        <w:fldChar w:fldCharType="begin"/>
      </w:r>
      <w:r w:rsidRPr="00EC0229">
        <w:instrText xml:space="preserve"> PAGEREF Whithorn \h </w:instrText>
      </w:r>
      <w:r w:rsidRPr="00EC0229">
        <w:fldChar w:fldCharType="separate"/>
      </w:r>
      <w:r w:rsidR="0012026B">
        <w:rPr>
          <w:noProof/>
        </w:rPr>
        <w:t>283</w:t>
      </w:r>
      <w:r w:rsidRPr="00EC0229">
        <w:fldChar w:fldCharType="end"/>
      </w:r>
      <w:r w:rsidRPr="00EC0229">
        <w:t>) and Whitby</w:t>
      </w:r>
      <w:r w:rsidRPr="00EC0229">
        <w:fldChar w:fldCharType="begin"/>
      </w:r>
      <w:r w:rsidRPr="00EC0229">
        <w:instrText xml:space="preserve"> XE "</w:instrText>
      </w:r>
      <w:r w:rsidRPr="00EC0229">
        <w:rPr>
          <w:noProof/>
        </w:rPr>
        <w:instrText>Whitby</w:instrText>
      </w:r>
      <w:r w:rsidRPr="00EC0229">
        <w:instrText xml:space="preserve">" </w:instrText>
      </w:r>
      <w:r w:rsidRPr="00EC0229">
        <w:fldChar w:fldCharType="end"/>
      </w:r>
      <w:r w:rsidRPr="00EC0229">
        <w:t xml:space="preserve"> (</w:t>
      </w:r>
      <w:r w:rsidRPr="00EC0229">
        <w:fldChar w:fldCharType="begin"/>
      </w:r>
      <w:r w:rsidRPr="00EC0229">
        <w:instrText xml:space="preserve"> PAGEREF Whitby \h </w:instrText>
      </w:r>
      <w:r w:rsidRPr="00EC0229">
        <w:fldChar w:fldCharType="separate"/>
      </w:r>
      <w:r w:rsidR="0012026B">
        <w:rPr>
          <w:noProof/>
        </w:rPr>
        <w:t>291</w:t>
      </w:r>
      <w:r w:rsidRPr="00EC0229">
        <w:fldChar w:fldCharType="end"/>
      </w:r>
      <w:r w:rsidRPr="00EC0229">
        <w:t>) and recognition that metallic debris at Ryther (</w:t>
      </w:r>
      <w:r w:rsidRPr="00EC0229">
        <w:fldChar w:fldCharType="begin"/>
      </w:r>
      <w:r w:rsidRPr="00EC0229">
        <w:instrText xml:space="preserve"> PAGEREF Ryther \h </w:instrText>
      </w:r>
      <w:r w:rsidRPr="00EC0229">
        <w:fldChar w:fldCharType="separate"/>
      </w:r>
      <w:r w:rsidR="0012026B">
        <w:rPr>
          <w:noProof/>
        </w:rPr>
        <w:t>213</w:t>
      </w:r>
      <w:r w:rsidRPr="00EC0229">
        <w:fldChar w:fldCharType="end"/>
      </w:r>
      <w:r w:rsidRPr="00EC0229">
        <w:t xml:space="preserve">) and </w:t>
      </w:r>
      <w:r w:rsidR="005F1EAF" w:rsidRPr="005F1EAF">
        <w:t>‘Site C’</w:t>
      </w:r>
      <w:r w:rsidRPr="00EC0229">
        <w:fldChar w:fldCharType="begin"/>
      </w:r>
      <w:r w:rsidRPr="00EC0229">
        <w:instrText xml:space="preserve"> XE "</w:instrText>
      </w:r>
      <w:r w:rsidRPr="00EC0229">
        <w:rPr>
          <w:rFonts w:eastAsia="Times New Roman"/>
          <w:noProof/>
          <w:lang w:eastAsia="en-GB"/>
        </w:rPr>
        <w:instrText>Bolton</w:instrText>
      </w:r>
      <w:r w:rsidRPr="00EC0229">
        <w:instrText xml:space="preserve">" </w:instrText>
      </w:r>
      <w:r w:rsidRPr="00EC0229">
        <w:fldChar w:fldCharType="end"/>
      </w:r>
      <w:r w:rsidRPr="00EC0229">
        <w:t xml:space="preserve"> (</w:t>
      </w:r>
      <w:r w:rsidRPr="00EC0229">
        <w:fldChar w:fldCharType="begin"/>
      </w:r>
      <w:r w:rsidRPr="00EC0229">
        <w:instrText xml:space="preserve"> PAGEREF Bolton \h </w:instrText>
      </w:r>
      <w:r w:rsidRPr="00EC0229">
        <w:fldChar w:fldCharType="separate"/>
      </w:r>
      <w:r w:rsidR="0012026B">
        <w:rPr>
          <w:noProof/>
        </w:rPr>
        <w:t>228</w:t>
      </w:r>
      <w:r w:rsidRPr="00EC0229">
        <w:fldChar w:fldCharType="end"/>
      </w:r>
      <w:r w:rsidRPr="00EC0229">
        <w:t>) is of more significance than merely a nuisance to detectorists.</w:t>
      </w:r>
    </w:p>
    <w:p w14:paraId="3EDFF228" w14:textId="77777777" w:rsidR="00CE6FE5" w:rsidRPr="00EC0229" w:rsidRDefault="00CE6FE5" w:rsidP="007600EA">
      <w:pPr>
        <w:pStyle w:val="NoSpacing"/>
        <w:spacing w:line="360" w:lineRule="auto"/>
      </w:pPr>
    </w:p>
    <w:p w14:paraId="3059C033" w14:textId="6FAD6310" w:rsidR="00CE6FE5" w:rsidRPr="00EC0229" w:rsidRDefault="007C71C5" w:rsidP="00604D8D">
      <w:pPr>
        <w:pStyle w:val="Heading3"/>
      </w:pPr>
      <w:bookmarkStart w:id="958" w:name="Lessernumismaticfindings"/>
      <w:bookmarkStart w:id="959" w:name="_Toc468266961"/>
      <w:bookmarkEnd w:id="958"/>
      <w:r>
        <w:t>9.1.3</w:t>
      </w:r>
      <w:r>
        <w:tab/>
      </w:r>
      <w:r w:rsidR="00CE6FE5" w:rsidRPr="00EC0229">
        <w:t>Lesser numismatic findings</w:t>
      </w:r>
      <w:bookmarkEnd w:id="959"/>
      <w:r w:rsidR="00CE6FE5" w:rsidRPr="00EC0229">
        <w:fldChar w:fldCharType="begin"/>
      </w:r>
      <w:r w:rsidR="00CE6FE5" w:rsidRPr="00EC0229">
        <w:instrText xml:space="preserve"> XE "</w:instrText>
      </w:r>
      <w:r w:rsidR="00CE6FE5" w:rsidRPr="00EC0229">
        <w:rPr>
          <w:rStyle w:val="Hyperlink"/>
          <w:noProof/>
          <w:u w:val="none"/>
        </w:rPr>
        <w:instrText>Lesser numismatic findings</w:instrText>
      </w:r>
      <w:r w:rsidR="00CE6FE5" w:rsidRPr="00EC0229">
        <w:instrText xml:space="preserve">" </w:instrText>
      </w:r>
      <w:r w:rsidR="00CE6FE5" w:rsidRPr="00EC0229">
        <w:fldChar w:fldCharType="end"/>
      </w:r>
    </w:p>
    <w:p w14:paraId="7E2F2BEE" w14:textId="54B5A3C8" w:rsidR="00CE6FE5" w:rsidRPr="00EC0229" w:rsidRDefault="00CE6FE5" w:rsidP="007600EA">
      <w:pPr>
        <w:pStyle w:val="NoSpacing"/>
        <w:spacing w:line="360" w:lineRule="auto"/>
      </w:pPr>
      <w:r w:rsidRPr="00EC0229">
        <w:t>At a detailed level, some new interpretations of specific sceatta</w:t>
      </w:r>
      <w:r w:rsidRPr="00EC0229">
        <w:fldChar w:fldCharType="begin"/>
      </w:r>
      <w:r w:rsidRPr="00EC0229">
        <w:instrText xml:space="preserve"> XE "sceatta" </w:instrText>
      </w:r>
      <w:r w:rsidRPr="00EC0229">
        <w:fldChar w:fldCharType="end"/>
      </w:r>
      <w:r w:rsidRPr="00EC0229">
        <w:t xml:space="preserve"> varieties are postulated, including, for example, regarding the reverse of Series</w:t>
      </w:r>
      <w:r w:rsidRPr="00EC0229">
        <w:fldChar w:fldCharType="begin"/>
      </w:r>
      <w:r w:rsidRPr="00EC0229">
        <w:instrText xml:space="preserve"> XE "Series" </w:instrText>
      </w:r>
      <w:r w:rsidRPr="00EC0229">
        <w:fldChar w:fldCharType="end"/>
      </w:r>
      <w:r w:rsidRPr="00EC0229">
        <w:t xml:space="preserve"> Z as portraying a wild boar, held in high esteem by both Celts and Romans, rather than the conventionally-understood hound.</w:t>
      </w:r>
      <w:r w:rsidRPr="00EC0229">
        <w:rPr>
          <w:rStyle w:val="FootnoteReference"/>
        </w:rPr>
        <w:footnoteReference w:id="1295"/>
      </w:r>
      <w:r w:rsidRPr="00EC0229">
        <w:t xml:space="preserve"> The northern source of the trading varieties of Series J (types 37 &amp; 85) (</w:t>
      </w:r>
      <w:r w:rsidRPr="00EC0229">
        <w:fldChar w:fldCharType="begin"/>
      </w:r>
      <w:r w:rsidRPr="00EC0229">
        <w:instrText xml:space="preserve"> PAGEREF Period5a \h </w:instrText>
      </w:r>
      <w:r w:rsidRPr="00EC0229">
        <w:fldChar w:fldCharType="separate"/>
      </w:r>
      <w:r w:rsidR="0012026B">
        <w:rPr>
          <w:noProof/>
        </w:rPr>
        <w:t>121</w:t>
      </w:r>
      <w:r w:rsidRPr="00EC0229">
        <w:fldChar w:fldCharType="end"/>
      </w:r>
      <w:r w:rsidRPr="00EC0229">
        <w:t>) is endorsed. The more exotic varieties (types 36 &amp; 72), together with the ubiquitous Series G, are likely to come from Quentovic.</w:t>
      </w:r>
    </w:p>
    <w:p w14:paraId="72B54DA2" w14:textId="77777777" w:rsidR="00CE6FE5" w:rsidRPr="00EC0229" w:rsidRDefault="00CE6FE5" w:rsidP="007600EA">
      <w:pPr>
        <w:pStyle w:val="NoSpacing"/>
        <w:spacing w:line="360" w:lineRule="auto"/>
      </w:pPr>
    </w:p>
    <w:p w14:paraId="30702994" w14:textId="3CEFC048" w:rsidR="00CE6FE5" w:rsidRPr="00EC0229" w:rsidRDefault="00CE6FE5" w:rsidP="007600EA">
      <w:pPr>
        <w:pStyle w:val="NoSpacing"/>
        <w:spacing w:line="360" w:lineRule="auto"/>
      </w:pPr>
      <w:r w:rsidRPr="00EC0229">
        <w:t>The order of Booth Classes F and G is reversed, in what has now been dubbed Eadberht</w:t>
      </w:r>
      <w:r w:rsidRPr="00EC0229">
        <w:fldChar w:fldCharType="begin"/>
      </w:r>
      <w:r w:rsidRPr="00EC0229">
        <w:instrText xml:space="preserve"> XE "Eadberht" </w:instrText>
      </w:r>
      <w:r w:rsidRPr="00EC0229">
        <w:fldChar w:fldCharType="end"/>
      </w:r>
      <w:r w:rsidRPr="00EC0229">
        <w:t xml:space="preserve">’s </w:t>
      </w:r>
      <w:r w:rsidRPr="00EC0229">
        <w:rPr>
          <w:i/>
        </w:rPr>
        <w:t>renovatio</w:t>
      </w:r>
      <w:r w:rsidRPr="00EC0229">
        <w:rPr>
          <w:i/>
        </w:rPr>
        <w:fldChar w:fldCharType="begin"/>
      </w:r>
      <w:r w:rsidRPr="00EC0229">
        <w:instrText xml:space="preserve"> XE "</w:instrText>
      </w:r>
      <w:r w:rsidRPr="00EC0229">
        <w:rPr>
          <w:i/>
          <w:noProof/>
        </w:rPr>
        <w:instrText>renovatio</w:instrText>
      </w:r>
      <w:r w:rsidRPr="00EC0229">
        <w:instrText xml:space="preserve">" </w:instrText>
      </w:r>
      <w:r w:rsidRPr="00EC0229">
        <w:rPr>
          <w:i/>
        </w:rPr>
        <w:fldChar w:fldCharType="end"/>
      </w:r>
      <w:r w:rsidRPr="00EC0229">
        <w:t xml:space="preserve"> coinage (</w:t>
      </w:r>
      <w:r w:rsidRPr="00EC0229">
        <w:fldChar w:fldCharType="begin"/>
      </w:r>
      <w:r w:rsidRPr="00EC0229">
        <w:instrText xml:space="preserve"> PAGEREF PeriodN6 \h </w:instrText>
      </w:r>
      <w:r w:rsidRPr="00EC0229">
        <w:fldChar w:fldCharType="separate"/>
      </w:r>
      <w:r w:rsidR="0012026B">
        <w:rPr>
          <w:noProof/>
        </w:rPr>
        <w:t>125</w:t>
      </w:r>
      <w:r w:rsidRPr="00EC0229">
        <w:fldChar w:fldCharType="end"/>
      </w:r>
      <w:r w:rsidRPr="00EC0229">
        <w:t>). The poorer quality coins of Cuthgils (</w:t>
      </w:r>
      <w:r w:rsidRPr="00EC0229">
        <w:fldChar w:fldCharType="begin"/>
      </w:r>
      <w:r w:rsidRPr="00EC0229">
        <w:instrText xml:space="preserve"> PAGEREF Cuthgils \h </w:instrText>
      </w:r>
      <w:r w:rsidRPr="00EC0229">
        <w:fldChar w:fldCharType="separate"/>
      </w:r>
      <w:r w:rsidR="0012026B">
        <w:rPr>
          <w:noProof/>
        </w:rPr>
        <w:t>128</w:t>
      </w:r>
      <w:r w:rsidRPr="00EC0229">
        <w:fldChar w:fldCharType="end"/>
      </w:r>
      <w:r w:rsidRPr="00EC0229">
        <w:t>) are distinguish</w:t>
      </w:r>
      <w:r w:rsidR="00802AB1" w:rsidRPr="00EC0229">
        <w:t>ed</w:t>
      </w:r>
      <w:r w:rsidRPr="00EC0229">
        <w:t xml:space="preserve"> from those of the other named moneyers of </w:t>
      </w:r>
      <w:r w:rsidRPr="00EC0229">
        <w:rPr>
          <w:rFonts w:cs="Times New Roman"/>
        </w:rPr>
        <w:t>Æ</w:t>
      </w:r>
      <w:r w:rsidRPr="00EC0229">
        <w:t>thelred</w:t>
      </w:r>
      <w:r w:rsidRPr="00EC0229">
        <w:fldChar w:fldCharType="begin"/>
      </w:r>
      <w:r w:rsidRPr="00EC0229">
        <w:instrText xml:space="preserve"> XE "</w:instrText>
      </w:r>
      <w:r w:rsidRPr="00EC0229">
        <w:rPr>
          <w:rFonts w:cs="Times New Roman"/>
        </w:rPr>
        <w:instrText>Æ</w:instrText>
      </w:r>
      <w:r w:rsidRPr="00EC0229">
        <w:instrText xml:space="preserve">thelred" </w:instrText>
      </w:r>
      <w:r w:rsidRPr="00EC0229">
        <w:fldChar w:fldCharType="end"/>
      </w:r>
      <w:r w:rsidRPr="00EC0229">
        <w:t xml:space="preserve"> I.</w:t>
      </w:r>
    </w:p>
    <w:p w14:paraId="59F7D1A1" w14:textId="77777777" w:rsidR="00CE6FE5" w:rsidRPr="00EC0229" w:rsidRDefault="00CE6FE5" w:rsidP="007600EA">
      <w:pPr>
        <w:pStyle w:val="NoSpacing"/>
        <w:spacing w:line="360" w:lineRule="auto"/>
      </w:pPr>
    </w:p>
    <w:p w14:paraId="1331F68A" w14:textId="4D7D6AC0" w:rsidR="00CE6FE5" w:rsidRPr="00EC0229" w:rsidRDefault="00CE6FE5" w:rsidP="007600EA">
      <w:pPr>
        <w:pStyle w:val="NoSpacing"/>
        <w:spacing w:line="360" w:lineRule="auto"/>
      </w:pPr>
      <w:r w:rsidRPr="00EC0229">
        <w:t>Based on arguments of both iconographic fashion and monetary integrity, the initiation of the change from animal reverses to named-moneyer sceatta</w:t>
      </w:r>
      <w:r w:rsidRPr="00EC0229">
        <w:fldChar w:fldCharType="begin"/>
      </w:r>
      <w:r w:rsidRPr="00EC0229">
        <w:instrText xml:space="preserve"> XE "sceatta" </w:instrText>
      </w:r>
      <w:r w:rsidRPr="00EC0229">
        <w:fldChar w:fldCharType="end"/>
      </w:r>
      <w:r w:rsidRPr="00EC0229">
        <w:t xml:space="preserve"> issues (</w:t>
      </w:r>
      <w:r w:rsidRPr="00EC0229">
        <w:fldChar w:fldCharType="begin"/>
      </w:r>
      <w:r w:rsidRPr="00EC0229">
        <w:instrText xml:space="preserve"> PAGEREF PeriodN8 \h </w:instrText>
      </w:r>
      <w:r w:rsidRPr="00EC0229">
        <w:fldChar w:fldCharType="separate"/>
      </w:r>
      <w:r w:rsidR="0012026B">
        <w:rPr>
          <w:noProof/>
        </w:rPr>
        <w:t>127</w:t>
      </w:r>
      <w:r w:rsidRPr="00EC0229">
        <w:fldChar w:fldCharType="end"/>
      </w:r>
      <w:r w:rsidRPr="00EC0229">
        <w:t>) under the auspices of Ælfwald</w:t>
      </w:r>
      <w:r w:rsidRPr="00EC0229">
        <w:fldChar w:fldCharType="begin"/>
      </w:r>
      <w:r w:rsidRPr="00EC0229">
        <w:instrText xml:space="preserve"> XE "</w:instrText>
      </w:r>
      <w:r w:rsidRPr="00EC0229">
        <w:rPr>
          <w:rFonts w:cs="Times New Roman"/>
          <w:szCs w:val="24"/>
        </w:rPr>
        <w:instrText>Ælfwald</w:instrText>
      </w:r>
      <w:r w:rsidRPr="00EC0229">
        <w:instrText xml:space="preserve">" </w:instrText>
      </w:r>
      <w:r w:rsidRPr="00EC0229">
        <w:fldChar w:fldCharType="end"/>
      </w:r>
      <w:r w:rsidRPr="00EC0229">
        <w:t xml:space="preserve"> I not II, is favour</w:t>
      </w:r>
      <w:r w:rsidR="00CC22DB" w:rsidRPr="00EC0229">
        <w:t>ed</w:t>
      </w:r>
      <w:r w:rsidRPr="00EC0229">
        <w:t>. No emissions are ascribed to Ælfwald II, though there are rare, later, blundered stycas ostensibly in this name. The emissions of the moneyer Cuthheard</w:t>
      </w:r>
      <w:r w:rsidRPr="00EC0229">
        <w:fldChar w:fldCharType="begin"/>
      </w:r>
      <w:r w:rsidRPr="00EC0229">
        <w:instrText xml:space="preserve"> XE "Cuthheard" </w:instrText>
      </w:r>
      <w:r w:rsidRPr="00EC0229">
        <w:fldChar w:fldCharType="end"/>
      </w:r>
      <w:r w:rsidRPr="00EC0229">
        <w:t xml:space="preserve"> are identified as crucial to this argument (</w:t>
      </w:r>
      <w:r w:rsidRPr="00EC0229">
        <w:fldChar w:fldCharType="begin"/>
      </w:r>
      <w:r w:rsidRPr="00EC0229">
        <w:instrText xml:space="preserve"> PAGEREF Cuthheard \h </w:instrText>
      </w:r>
      <w:r w:rsidRPr="00EC0229">
        <w:fldChar w:fldCharType="separate"/>
      </w:r>
      <w:r w:rsidR="0012026B">
        <w:rPr>
          <w:noProof/>
        </w:rPr>
        <w:t>136</w:t>
      </w:r>
      <w:r w:rsidRPr="00EC0229">
        <w:fldChar w:fldCharType="end"/>
      </w:r>
      <w:r w:rsidRPr="00EC0229">
        <w:t>).</w:t>
      </w:r>
    </w:p>
    <w:p w14:paraId="7ECBD8EE" w14:textId="77777777" w:rsidR="00CE6FE5" w:rsidRPr="00EC0229" w:rsidRDefault="00CE6FE5" w:rsidP="007600EA">
      <w:pPr>
        <w:pStyle w:val="NoSpacing"/>
        <w:spacing w:line="360" w:lineRule="auto"/>
      </w:pPr>
    </w:p>
    <w:p w14:paraId="162FBE43" w14:textId="2C936426" w:rsidR="00CE6FE5" w:rsidRPr="00EC0229" w:rsidRDefault="00CE6FE5" w:rsidP="007600EA">
      <w:pPr>
        <w:pStyle w:val="NoSpacing"/>
        <w:spacing w:line="360" w:lineRule="auto"/>
      </w:pPr>
      <w:r w:rsidRPr="00EC0229">
        <w:t>The point of departure (</w:t>
      </w:r>
      <w:r w:rsidRPr="00EC0229">
        <w:fldChar w:fldCharType="begin"/>
      </w:r>
      <w:r w:rsidRPr="00EC0229">
        <w:instrText xml:space="preserve"> PAGEREF pointofdeparture \h </w:instrText>
      </w:r>
      <w:r w:rsidRPr="00EC0229">
        <w:fldChar w:fldCharType="separate"/>
      </w:r>
      <w:r w:rsidR="0012026B">
        <w:rPr>
          <w:noProof/>
        </w:rPr>
        <w:t>67</w:t>
      </w:r>
      <w:r w:rsidRPr="00EC0229">
        <w:fldChar w:fldCharType="end"/>
      </w:r>
      <w:r w:rsidRPr="00EC0229">
        <w:t>) between the northern and southern coinages is highlighted, explaining why the Offan adoption of the precedent of the broad denier</w:t>
      </w:r>
      <w:r w:rsidRPr="00EC0229">
        <w:fldChar w:fldCharType="begin"/>
      </w:r>
      <w:r w:rsidRPr="00EC0229">
        <w:instrText xml:space="preserve"> XE "</w:instrText>
      </w:r>
      <w:r w:rsidRPr="00EC0229">
        <w:rPr>
          <w:rFonts w:cs="Times New Roman"/>
          <w:szCs w:val="24"/>
        </w:rPr>
        <w:instrText>denier</w:instrText>
      </w:r>
      <w:r w:rsidRPr="00EC0229">
        <w:instrText xml:space="preserve">" </w:instrText>
      </w:r>
      <w:r w:rsidRPr="00EC0229">
        <w:fldChar w:fldCharType="end"/>
      </w:r>
      <w:r w:rsidRPr="00EC0229">
        <w:t xml:space="preserve"> on a small flan may not have swayed the north to follow suit; by the time of Offa</w:t>
      </w:r>
      <w:r w:rsidRPr="00EC0229">
        <w:fldChar w:fldCharType="begin"/>
      </w:r>
      <w:r w:rsidRPr="00EC0229">
        <w:instrText xml:space="preserve"> XE "</w:instrText>
      </w:r>
      <w:r w:rsidRPr="00EC0229">
        <w:rPr>
          <w:rFonts w:cs="Times New Roman"/>
        </w:rPr>
        <w:instrText>Offa</w:instrText>
      </w:r>
      <w:r w:rsidRPr="00EC0229">
        <w:instrText xml:space="preserve">" </w:instrText>
      </w:r>
      <w:r w:rsidRPr="00EC0229">
        <w:fldChar w:fldCharType="end"/>
      </w:r>
      <w:r w:rsidRPr="00EC0229">
        <w:t xml:space="preserve">’s heavy coinage, the north was </w:t>
      </w:r>
      <w:r w:rsidRPr="00EC0229">
        <w:lastRenderedPageBreak/>
        <w:t>reeling from the loss of wealth and commercial confidence consequent upon the attack on Lindisfarne</w:t>
      </w:r>
      <w:r w:rsidRPr="00EC0229">
        <w:fldChar w:fldCharType="begin"/>
      </w:r>
      <w:r w:rsidRPr="00EC0229">
        <w:instrText xml:space="preserve"> XE "</w:instrText>
      </w:r>
      <w:r w:rsidRPr="00EC0229">
        <w:rPr>
          <w:rStyle w:val="Hyperlink"/>
          <w:noProof/>
          <w:u w:val="none"/>
        </w:rPr>
        <w:instrText>Lindisfarne</w:instrText>
      </w:r>
      <w:r w:rsidRPr="00EC0229">
        <w:instrText xml:space="preserve">" </w:instrText>
      </w:r>
      <w:r w:rsidRPr="00EC0229">
        <w:fldChar w:fldCharType="end"/>
      </w:r>
      <w:r w:rsidRPr="00EC0229">
        <w:t>.</w:t>
      </w:r>
    </w:p>
    <w:p w14:paraId="40A2BBA6" w14:textId="77777777" w:rsidR="00CE6FE5" w:rsidRPr="00EC0229" w:rsidRDefault="00CE6FE5" w:rsidP="007600EA">
      <w:pPr>
        <w:pStyle w:val="NoSpacing"/>
        <w:spacing w:line="360" w:lineRule="auto"/>
        <w:rPr>
          <w:szCs w:val="24"/>
        </w:rPr>
      </w:pPr>
    </w:p>
    <w:p w14:paraId="3E05A8B2" w14:textId="1B656D65" w:rsidR="00CE6FE5" w:rsidRPr="00EC0229" w:rsidRDefault="00CE6FE5" w:rsidP="007600EA">
      <w:pPr>
        <w:pStyle w:val="NoSpacing"/>
        <w:spacing w:line="360" w:lineRule="auto"/>
        <w:rPr>
          <w:szCs w:val="24"/>
        </w:rPr>
      </w:pPr>
      <w:r w:rsidRPr="00EC0229">
        <w:rPr>
          <w:szCs w:val="24"/>
        </w:rPr>
        <w:t>The silver-alloy</w:t>
      </w:r>
      <w:r w:rsidRPr="00EC0229">
        <w:rPr>
          <w:szCs w:val="24"/>
        </w:rPr>
        <w:fldChar w:fldCharType="begin"/>
      </w:r>
      <w:r w:rsidRPr="00EC0229">
        <w:instrText xml:space="preserve"> XE "</w:instrText>
      </w:r>
      <w:r w:rsidRPr="00EC0229">
        <w:rPr>
          <w:rFonts w:eastAsia="Times New Roman" w:cs="Times New Roman"/>
          <w:szCs w:val="24"/>
          <w:lang w:eastAsia="en-GB"/>
        </w:rPr>
        <w:instrText>silver-alloy</w:instrText>
      </w:r>
      <w:r w:rsidRPr="00EC0229">
        <w:instrText xml:space="preserve">" </w:instrText>
      </w:r>
      <w:r w:rsidRPr="00EC0229">
        <w:rPr>
          <w:szCs w:val="24"/>
        </w:rPr>
        <w:fldChar w:fldCharType="end"/>
      </w:r>
      <w:r w:rsidRPr="00EC0229">
        <w:rPr>
          <w:szCs w:val="24"/>
        </w:rPr>
        <w:t xml:space="preserve"> emission of Eanred</w:t>
      </w:r>
      <w:r w:rsidRPr="00EC0229">
        <w:rPr>
          <w:szCs w:val="24"/>
        </w:rPr>
        <w:fldChar w:fldCharType="begin"/>
      </w:r>
      <w:r w:rsidRPr="00EC0229">
        <w:instrText xml:space="preserve"> XE "Eanred" </w:instrText>
      </w:r>
      <w:r w:rsidRPr="00EC0229">
        <w:rPr>
          <w:szCs w:val="24"/>
        </w:rPr>
        <w:fldChar w:fldCharType="end"/>
      </w:r>
      <w:r w:rsidRPr="00EC0229">
        <w:rPr>
          <w:szCs w:val="24"/>
        </w:rPr>
        <w:t xml:space="preserve"> (</w:t>
      </w:r>
      <w:r w:rsidRPr="00EC0229">
        <w:rPr>
          <w:szCs w:val="24"/>
        </w:rPr>
        <w:fldChar w:fldCharType="begin"/>
      </w:r>
      <w:r w:rsidRPr="00EC0229">
        <w:rPr>
          <w:szCs w:val="24"/>
        </w:rPr>
        <w:instrText xml:space="preserve"> PAGEREF PeriodN9 \h </w:instrText>
      </w:r>
      <w:r w:rsidRPr="00EC0229">
        <w:rPr>
          <w:szCs w:val="24"/>
        </w:rPr>
      </w:r>
      <w:r w:rsidRPr="00EC0229">
        <w:rPr>
          <w:szCs w:val="24"/>
        </w:rPr>
        <w:fldChar w:fldCharType="separate"/>
      </w:r>
      <w:r w:rsidR="0012026B">
        <w:rPr>
          <w:noProof/>
          <w:szCs w:val="24"/>
        </w:rPr>
        <w:t>135</w:t>
      </w:r>
      <w:r w:rsidRPr="00EC0229">
        <w:rPr>
          <w:szCs w:val="24"/>
        </w:rPr>
        <w:fldChar w:fldCharType="end"/>
      </w:r>
      <w:r w:rsidRPr="00EC0229">
        <w:rPr>
          <w:szCs w:val="24"/>
        </w:rPr>
        <w:t>) was an attempt to restore the sceat and it is temporally isolated from the base styca by the near-comprehensive discontinuity</w:t>
      </w:r>
      <w:r w:rsidRPr="00EC0229">
        <w:rPr>
          <w:szCs w:val="24"/>
        </w:rPr>
        <w:fldChar w:fldCharType="begin"/>
      </w:r>
      <w:r w:rsidRPr="00EC0229">
        <w:instrText xml:space="preserve"> XE "discontinuity" </w:instrText>
      </w:r>
      <w:r w:rsidRPr="00EC0229">
        <w:rPr>
          <w:szCs w:val="24"/>
        </w:rPr>
        <w:fldChar w:fldCharType="end"/>
      </w:r>
      <w:r w:rsidRPr="00EC0229">
        <w:rPr>
          <w:szCs w:val="24"/>
        </w:rPr>
        <w:t xml:space="preserve"> of moneyers in Eanred’s second, brass, styca issue. </w:t>
      </w:r>
    </w:p>
    <w:p w14:paraId="7A2582E3" w14:textId="77777777" w:rsidR="00CE6FE5" w:rsidRPr="00EC0229" w:rsidRDefault="00CE6FE5" w:rsidP="007600EA">
      <w:pPr>
        <w:pStyle w:val="NoSpacing"/>
        <w:spacing w:line="360" w:lineRule="auto"/>
        <w:rPr>
          <w:szCs w:val="24"/>
        </w:rPr>
      </w:pPr>
    </w:p>
    <w:p w14:paraId="0C1B3096" w14:textId="503FF190" w:rsidR="00CE6FE5" w:rsidRPr="00EC0229" w:rsidRDefault="00CE6FE5" w:rsidP="007600EA">
      <w:pPr>
        <w:pStyle w:val="NoSpacing"/>
        <w:spacing w:line="360" w:lineRule="auto"/>
        <w:rPr>
          <w:szCs w:val="24"/>
        </w:rPr>
      </w:pPr>
      <w:r w:rsidRPr="00EC0229">
        <w:rPr>
          <w:szCs w:val="24"/>
        </w:rPr>
        <w:t>Eardwulf (</w:t>
      </w:r>
      <w:r w:rsidRPr="00EC0229">
        <w:rPr>
          <w:szCs w:val="24"/>
        </w:rPr>
        <w:fldChar w:fldCharType="begin"/>
      </w:r>
      <w:r w:rsidRPr="00EC0229">
        <w:rPr>
          <w:szCs w:val="24"/>
        </w:rPr>
        <w:instrText xml:space="preserve"> PAGEREF Eardwulf \h </w:instrText>
      </w:r>
      <w:r w:rsidRPr="00EC0229">
        <w:rPr>
          <w:szCs w:val="24"/>
        </w:rPr>
      </w:r>
      <w:r w:rsidRPr="00EC0229">
        <w:rPr>
          <w:szCs w:val="24"/>
        </w:rPr>
        <w:fldChar w:fldCharType="separate"/>
      </w:r>
      <w:r w:rsidR="0012026B">
        <w:rPr>
          <w:noProof/>
          <w:szCs w:val="24"/>
        </w:rPr>
        <w:t>143</w:t>
      </w:r>
      <w:r w:rsidRPr="00EC0229">
        <w:rPr>
          <w:szCs w:val="24"/>
        </w:rPr>
        <w:fldChar w:fldCharType="end"/>
      </w:r>
      <w:r w:rsidRPr="00EC0229">
        <w:rPr>
          <w:szCs w:val="24"/>
        </w:rPr>
        <w:t>) is regarded as Æthelred</w:t>
      </w:r>
      <w:r w:rsidRPr="00EC0229">
        <w:rPr>
          <w:szCs w:val="24"/>
        </w:rPr>
        <w:fldChar w:fldCharType="begin"/>
      </w:r>
      <w:r w:rsidRPr="00EC0229">
        <w:instrText xml:space="preserve"> XE "</w:instrText>
      </w:r>
      <w:r w:rsidRPr="00EC0229">
        <w:rPr>
          <w:rFonts w:cs="Times New Roman"/>
        </w:rPr>
        <w:instrText>Æ</w:instrText>
      </w:r>
      <w:r w:rsidRPr="00EC0229">
        <w:instrText xml:space="preserve">thelred" </w:instrText>
      </w:r>
      <w:r w:rsidRPr="00EC0229">
        <w:rPr>
          <w:szCs w:val="24"/>
        </w:rPr>
        <w:fldChar w:fldCharType="end"/>
      </w:r>
      <w:r w:rsidRPr="00EC0229">
        <w:rPr>
          <w:szCs w:val="24"/>
        </w:rPr>
        <w:t xml:space="preserve"> II’s sole restoration moneyer, as those coining for Redwulf sacrificed their integrity.</w:t>
      </w:r>
    </w:p>
    <w:p w14:paraId="0A23902F" w14:textId="77777777" w:rsidR="00CE6FE5" w:rsidRPr="00EC0229" w:rsidRDefault="00CE6FE5" w:rsidP="007600EA">
      <w:pPr>
        <w:pStyle w:val="NoSpacing"/>
        <w:spacing w:line="360" w:lineRule="auto"/>
      </w:pPr>
    </w:p>
    <w:p w14:paraId="115F1C91" w14:textId="1BCCF907" w:rsidR="00CE6FE5" w:rsidRPr="00EC0229" w:rsidRDefault="00CE6FE5" w:rsidP="007600EA">
      <w:pPr>
        <w:pStyle w:val="NoSpacing"/>
        <w:spacing w:line="360" w:lineRule="auto"/>
        <w:rPr>
          <w:szCs w:val="24"/>
        </w:rPr>
      </w:pPr>
      <w:r w:rsidRPr="00EC0229">
        <w:t>The archbishops continue to exercise minting rights into the ninth century though there is a paucity of stycas of Eanbald</w:t>
      </w:r>
      <w:r w:rsidRPr="00EC0229">
        <w:fldChar w:fldCharType="begin"/>
      </w:r>
      <w:r w:rsidRPr="00EC0229">
        <w:instrText xml:space="preserve"> XE "Eanbald" </w:instrText>
      </w:r>
      <w:r w:rsidRPr="00EC0229">
        <w:fldChar w:fldCharType="end"/>
      </w:r>
      <w:r w:rsidRPr="00EC0229">
        <w:t xml:space="preserve"> II and Wulfhere</w:t>
      </w:r>
      <w:r w:rsidRPr="00EC0229">
        <w:fldChar w:fldCharType="begin"/>
      </w:r>
      <w:r w:rsidRPr="00EC0229">
        <w:instrText xml:space="preserve"> XE "Wulfhere" </w:instrText>
      </w:r>
      <w:r w:rsidRPr="00EC0229">
        <w:fldChar w:fldCharType="end"/>
      </w:r>
      <w:r w:rsidRPr="00EC0229">
        <w:t xml:space="preserve">. </w:t>
      </w:r>
      <w:r w:rsidRPr="00EC0229">
        <w:rPr>
          <w:i/>
          <w:szCs w:val="24"/>
        </w:rPr>
        <w:t>Table</w:t>
      </w:r>
      <w:r w:rsidRPr="00EC0229">
        <w:rPr>
          <w:i/>
          <w:szCs w:val="24"/>
        </w:rPr>
        <w:fldChar w:fldCharType="begin"/>
      </w:r>
      <w:r w:rsidRPr="00EC0229">
        <w:instrText xml:space="preserve"> XE "</w:instrText>
      </w:r>
      <w:r w:rsidRPr="00EC0229">
        <w:rPr>
          <w:noProof/>
        </w:rPr>
        <w:instrText>Table</w:instrText>
      </w:r>
      <w:r w:rsidRPr="00EC0229">
        <w:instrText xml:space="preserve">" </w:instrText>
      </w:r>
      <w:r w:rsidRPr="00EC0229">
        <w:rPr>
          <w:i/>
          <w:szCs w:val="24"/>
        </w:rPr>
        <w:fldChar w:fldCharType="end"/>
      </w:r>
      <w:r w:rsidR="0009732D" w:rsidRPr="00EC0229">
        <w:rPr>
          <w:i/>
          <w:szCs w:val="24"/>
        </w:rPr>
        <w:t xml:space="preserve"> 9.0</w:t>
      </w:r>
      <w:r w:rsidR="00A26538" w:rsidRPr="00EC0229">
        <w:rPr>
          <w:i/>
          <w:szCs w:val="24"/>
        </w:rPr>
        <w:t>9</w:t>
      </w:r>
      <w:r w:rsidRPr="00EC0229">
        <w:rPr>
          <w:szCs w:val="24"/>
        </w:rPr>
        <w:t xml:space="preserve"> shows where</w:t>
      </w:r>
      <w:r w:rsidRPr="00EC0229">
        <w:t xml:space="preserve"> Wulfhere’s coins are found. </w:t>
      </w:r>
      <w:r w:rsidRPr="00EC0229">
        <w:rPr>
          <w:szCs w:val="24"/>
        </w:rPr>
        <w:t xml:space="preserve">That twice as many stycas of Wulfhere occur in hoards, compared to the thinly spread, provenanced, single finds </w:t>
      </w:r>
      <w:r w:rsidRPr="00EC0229">
        <w:rPr>
          <w:i/>
          <w:szCs w:val="24"/>
        </w:rPr>
        <w:t>may</w:t>
      </w:r>
      <w:r w:rsidRPr="00EC0229">
        <w:rPr>
          <w:szCs w:val="24"/>
        </w:rPr>
        <w:t xml:space="preserve"> demonstrate that hoarders preferred tin to zinc, such that this issuer’s coins were secreted from the circulating medium. However, over a third of the total are unprovenanced, so that this conjecture is not wholly secure. As an aside, it is quite plausible that a cruciform late seventh-century stele (</w:t>
      </w:r>
      <w:r w:rsidRPr="00EC0229">
        <w:rPr>
          <w:szCs w:val="24"/>
        </w:rPr>
        <w:fldChar w:fldCharType="begin"/>
      </w:r>
      <w:r w:rsidRPr="00EC0229">
        <w:rPr>
          <w:szCs w:val="24"/>
        </w:rPr>
        <w:instrText xml:space="preserve"> PAGEREF stele \h </w:instrText>
      </w:r>
      <w:r w:rsidRPr="00EC0229">
        <w:rPr>
          <w:szCs w:val="24"/>
        </w:rPr>
      </w:r>
      <w:r w:rsidRPr="00EC0229">
        <w:rPr>
          <w:szCs w:val="24"/>
        </w:rPr>
        <w:fldChar w:fldCharType="separate"/>
      </w:r>
      <w:r w:rsidR="0012026B">
        <w:rPr>
          <w:noProof/>
          <w:szCs w:val="24"/>
        </w:rPr>
        <w:t>99</w:t>
      </w:r>
      <w:r w:rsidRPr="00EC0229">
        <w:rPr>
          <w:szCs w:val="24"/>
        </w:rPr>
        <w:fldChar w:fldCharType="end"/>
      </w:r>
      <w:r w:rsidRPr="00EC0229">
        <w:rPr>
          <w:szCs w:val="24"/>
        </w:rPr>
        <w:t>) from the minster was inscribed for Wulfhere a century after it was first engraved.</w:t>
      </w:r>
    </w:p>
    <w:p w14:paraId="08D790B7" w14:textId="77777777" w:rsidR="00CE6FE5" w:rsidRPr="00EC0229" w:rsidRDefault="00CE6FE5" w:rsidP="007600EA">
      <w:pPr>
        <w:pStyle w:val="NoSpacing"/>
        <w:spacing w:line="360" w:lineRule="auto"/>
      </w:pPr>
    </w:p>
    <w:p w14:paraId="50D76C22" w14:textId="6B8CAD3D" w:rsidR="00CE6FE5" w:rsidRPr="00EC0229" w:rsidRDefault="00CE6FE5" w:rsidP="007600EA">
      <w:pPr>
        <w:pStyle w:val="NoSpacing"/>
        <w:spacing w:line="360" w:lineRule="auto"/>
      </w:pPr>
      <w:r w:rsidRPr="00EC0229">
        <w:t>Of the regal stycas, Osberht</w:t>
      </w:r>
      <w:r w:rsidRPr="00EC0229">
        <w:fldChar w:fldCharType="begin"/>
      </w:r>
      <w:r w:rsidRPr="00EC0229">
        <w:instrText xml:space="preserve"> XE "Osberht" </w:instrText>
      </w:r>
      <w:r w:rsidRPr="00EC0229">
        <w:fldChar w:fldCharType="end"/>
      </w:r>
      <w:r w:rsidRPr="00EC0229">
        <w:t xml:space="preserve">’s are somewhat enigmatic. There are very few coins with a literate inscription and productivity figures are used to question his longevity, </w:t>
      </w:r>
      <w:r w:rsidRPr="00EC0229">
        <w:rPr>
          <w:i/>
        </w:rPr>
        <w:t>Table</w:t>
      </w:r>
      <w:r w:rsidRPr="00EC0229">
        <w:rPr>
          <w:i/>
        </w:rPr>
        <w:fldChar w:fldCharType="begin"/>
      </w:r>
      <w:r w:rsidRPr="00EC0229">
        <w:instrText xml:space="preserve"> XE "</w:instrText>
      </w:r>
      <w:r w:rsidRPr="00EC0229">
        <w:rPr>
          <w:noProof/>
        </w:rPr>
        <w:instrText>Table</w:instrText>
      </w:r>
      <w:r w:rsidRPr="00EC0229">
        <w:instrText xml:space="preserve">" </w:instrText>
      </w:r>
      <w:r w:rsidRPr="00EC0229">
        <w:rPr>
          <w:i/>
        </w:rPr>
        <w:fldChar w:fldCharType="end"/>
      </w:r>
      <w:r w:rsidR="0009732D" w:rsidRPr="00EC0229">
        <w:rPr>
          <w:i/>
        </w:rPr>
        <w:t xml:space="preserve"> 7.</w:t>
      </w:r>
      <w:r w:rsidRPr="00EC0229">
        <w:rPr>
          <w:i/>
        </w:rPr>
        <w:t>1</w:t>
      </w:r>
      <w:r w:rsidR="0009732D" w:rsidRPr="00EC0229">
        <w:rPr>
          <w:i/>
        </w:rPr>
        <w:t>3</w:t>
      </w:r>
      <w:r w:rsidRPr="00EC0229">
        <w:t>, unless output was fitful. In similar vein, the abandonment date given by archaeologists for both Beverley</w:t>
      </w:r>
      <w:r w:rsidRPr="00EC0229">
        <w:fldChar w:fldCharType="begin"/>
      </w:r>
      <w:r w:rsidRPr="00EC0229">
        <w:instrText xml:space="preserve"> XE "</w:instrText>
      </w:r>
      <w:r w:rsidRPr="00EC0229">
        <w:rPr>
          <w:noProof/>
        </w:rPr>
        <w:instrText>Beverley</w:instrText>
      </w:r>
      <w:r w:rsidRPr="00EC0229">
        <w:instrText xml:space="preserve">" </w:instrText>
      </w:r>
      <w:r w:rsidRPr="00EC0229">
        <w:fldChar w:fldCharType="end"/>
      </w:r>
      <w:r w:rsidRPr="00EC0229">
        <w:t xml:space="preserve"> minster (</w:t>
      </w:r>
      <w:r w:rsidRPr="00EC0229">
        <w:fldChar w:fldCharType="begin"/>
      </w:r>
      <w:r w:rsidRPr="00EC0229">
        <w:instrText xml:space="preserve"> PAGEREF Beverley \h </w:instrText>
      </w:r>
      <w:r w:rsidRPr="00EC0229">
        <w:fldChar w:fldCharType="separate"/>
      </w:r>
      <w:r w:rsidR="0012026B">
        <w:rPr>
          <w:noProof/>
        </w:rPr>
        <w:t>262</w:t>
      </w:r>
      <w:r w:rsidRPr="00EC0229">
        <w:fldChar w:fldCharType="end"/>
      </w:r>
      <w:r w:rsidRPr="00EC0229">
        <w:t xml:space="preserve">) and </w:t>
      </w:r>
      <w:r w:rsidRPr="00EC0229">
        <w:rPr>
          <w:i/>
        </w:rPr>
        <w:t>Lundenwic</w:t>
      </w:r>
      <w:r w:rsidRPr="00EC0229">
        <w:t xml:space="preserve"> is questioned</w:t>
      </w:r>
      <w:r w:rsidRPr="00EC0229">
        <w:rPr>
          <w:i/>
        </w:rPr>
        <w:fldChar w:fldCharType="begin"/>
      </w:r>
      <w:r w:rsidRPr="00EC0229">
        <w:instrText xml:space="preserve"> XE "</w:instrText>
      </w:r>
      <w:r w:rsidRPr="00EC0229">
        <w:rPr>
          <w:rFonts w:cs="Times New Roman"/>
          <w:i/>
          <w:color w:val="000000" w:themeColor="text1"/>
          <w:szCs w:val="24"/>
        </w:rPr>
        <w:instrText>Lundenwic</w:instrText>
      </w:r>
      <w:r w:rsidRPr="00EC0229">
        <w:instrText xml:space="preserve">" </w:instrText>
      </w:r>
      <w:r w:rsidRPr="00EC0229">
        <w:rPr>
          <w:i/>
        </w:rPr>
        <w:fldChar w:fldCharType="end"/>
      </w:r>
      <w:r w:rsidRPr="00EC0229">
        <w:t>; 851 is almost inconceivable numismatically</w:t>
      </w:r>
      <w:r w:rsidRPr="00EC0229">
        <w:rPr>
          <w:rStyle w:val="FootnoteReference"/>
        </w:rPr>
        <w:footnoteReference w:id="1296"/>
      </w:r>
      <w:r w:rsidRPr="00EC0229">
        <w:t xml:space="preserve"> and dates respectively of 866-7 and 871-2 consistent with the activities of the </w:t>
      </w:r>
      <w:r w:rsidRPr="00EC0229">
        <w:rPr>
          <w:i/>
        </w:rPr>
        <w:t>micel here</w:t>
      </w:r>
      <w:r w:rsidRPr="00EC0229">
        <w:rPr>
          <w:i/>
        </w:rPr>
        <w:fldChar w:fldCharType="begin"/>
      </w:r>
      <w:r w:rsidRPr="00EC0229">
        <w:instrText xml:space="preserve"> XE "</w:instrText>
      </w:r>
      <w:r w:rsidRPr="00EC0229">
        <w:rPr>
          <w:rFonts w:cs="Times New Roman"/>
          <w:i/>
          <w:color w:val="000000" w:themeColor="text1"/>
          <w:szCs w:val="24"/>
        </w:rPr>
        <w:instrText>micel here</w:instrText>
      </w:r>
      <w:r w:rsidRPr="00EC0229">
        <w:instrText xml:space="preserve">" </w:instrText>
      </w:r>
      <w:r w:rsidRPr="00EC0229">
        <w:rPr>
          <w:i/>
        </w:rPr>
        <w:fldChar w:fldCharType="end"/>
      </w:r>
      <w:r w:rsidRPr="00EC0229">
        <w:t xml:space="preserve"> are preferred.</w:t>
      </w:r>
    </w:p>
    <w:p w14:paraId="735C4245" w14:textId="77777777" w:rsidR="00CE6FE5" w:rsidRPr="00EC0229" w:rsidRDefault="00CE6FE5" w:rsidP="007600EA">
      <w:pPr>
        <w:pStyle w:val="NoSpacing"/>
        <w:spacing w:line="360" w:lineRule="auto"/>
        <w:rPr>
          <w:noProof/>
        </w:rPr>
      </w:pPr>
    </w:p>
    <w:p w14:paraId="35673CD0" w14:textId="4A266594" w:rsidR="00CE6FE5" w:rsidRPr="00EC0229" w:rsidRDefault="009974B8" w:rsidP="007600EA">
      <w:pPr>
        <w:pStyle w:val="NoSpacing"/>
        <w:spacing w:line="360" w:lineRule="auto"/>
      </w:pPr>
      <w:r w:rsidRPr="00EC0229">
        <w:t>The significance of the paucity of Vale of Pickering</w:t>
      </w:r>
      <w:r w:rsidRPr="00EC0229">
        <w:fldChar w:fldCharType="begin"/>
      </w:r>
      <w:r w:rsidRPr="00EC0229">
        <w:instrText xml:space="preserve"> XE "</w:instrText>
      </w:r>
      <w:r w:rsidRPr="00EC0229">
        <w:rPr>
          <w:rStyle w:val="Hyperlink"/>
          <w:rFonts w:cs="Times New Roman"/>
          <w:noProof/>
          <w:u w:val="none"/>
        </w:rPr>
        <w:instrText>Vale of Pickering</w:instrText>
      </w:r>
      <w:r w:rsidRPr="00EC0229">
        <w:instrText xml:space="preserve">" </w:instrText>
      </w:r>
      <w:r w:rsidRPr="00EC0229">
        <w:fldChar w:fldCharType="end"/>
      </w:r>
      <w:r w:rsidRPr="00EC0229">
        <w:t xml:space="preserve"> finds is discussed above (</w:t>
      </w:r>
      <w:r w:rsidRPr="00EC0229">
        <w:fldChar w:fldCharType="begin"/>
      </w:r>
      <w:r w:rsidRPr="00EC0229">
        <w:instrText xml:space="preserve"> PAGEREF TheValeofPickering \h </w:instrText>
      </w:r>
      <w:r w:rsidRPr="00EC0229">
        <w:fldChar w:fldCharType="separate"/>
      </w:r>
      <w:r w:rsidR="0012026B">
        <w:rPr>
          <w:noProof/>
        </w:rPr>
        <w:t>266</w:t>
      </w:r>
      <w:r w:rsidRPr="00EC0229">
        <w:fldChar w:fldCharType="end"/>
      </w:r>
      <w:r w:rsidRPr="00EC0229">
        <w:t xml:space="preserve">). </w:t>
      </w:r>
      <w:r w:rsidR="00CE6FE5" w:rsidRPr="00EC0229">
        <w:t>Likely locations of the two ‘near Malton</w:t>
      </w:r>
      <w:r w:rsidR="00CE6FE5" w:rsidRPr="00EC0229">
        <w:fldChar w:fldCharType="begin"/>
      </w:r>
      <w:r w:rsidR="00CE6FE5" w:rsidRPr="00EC0229">
        <w:instrText xml:space="preserve"> XE "</w:instrText>
      </w:r>
      <w:r w:rsidR="00CE6FE5" w:rsidRPr="00EC0229">
        <w:rPr>
          <w:noProof/>
        </w:rPr>
        <w:instrText>Malton</w:instrText>
      </w:r>
      <w:r w:rsidR="00CE6FE5" w:rsidRPr="00EC0229">
        <w:instrText xml:space="preserve">" </w:instrText>
      </w:r>
      <w:r w:rsidR="00CE6FE5" w:rsidRPr="00EC0229">
        <w:fldChar w:fldCharType="end"/>
      </w:r>
      <w:r w:rsidR="00CE6FE5" w:rsidRPr="00EC0229">
        <w:t>’ attributions (</w:t>
      </w:r>
      <w:r w:rsidR="00CE6FE5" w:rsidRPr="00EC0229">
        <w:fldChar w:fldCharType="begin"/>
      </w:r>
      <w:r w:rsidR="00CE6FE5" w:rsidRPr="00EC0229">
        <w:instrText xml:space="preserve"> PAGEREF nearMalton \h </w:instrText>
      </w:r>
      <w:r w:rsidR="00CE6FE5" w:rsidRPr="00EC0229">
        <w:fldChar w:fldCharType="separate"/>
      </w:r>
      <w:r w:rsidR="0012026B">
        <w:rPr>
          <w:noProof/>
        </w:rPr>
        <w:t>268</w:t>
      </w:r>
      <w:r w:rsidR="00CE6FE5" w:rsidRPr="00EC0229">
        <w:fldChar w:fldCharType="end"/>
      </w:r>
      <w:r w:rsidR="00CE6FE5" w:rsidRPr="00EC0229">
        <w:t>) are proposed: Binnington</w:t>
      </w:r>
      <w:r w:rsidR="00CE6FE5" w:rsidRPr="00EC0229">
        <w:fldChar w:fldCharType="begin"/>
      </w:r>
      <w:r w:rsidR="00CE6FE5" w:rsidRPr="00EC0229">
        <w:instrText xml:space="preserve"> XE "</w:instrText>
      </w:r>
      <w:r w:rsidR="00CE6FE5" w:rsidRPr="00EC0229">
        <w:rPr>
          <w:noProof/>
        </w:rPr>
        <w:instrText>Binnington</w:instrText>
      </w:r>
      <w:r w:rsidR="00CE6FE5" w:rsidRPr="00EC0229">
        <w:instrText xml:space="preserve">" </w:instrText>
      </w:r>
      <w:r w:rsidR="00CE6FE5" w:rsidRPr="00EC0229">
        <w:fldChar w:fldCharType="end"/>
      </w:r>
      <w:r w:rsidR="00CE6FE5" w:rsidRPr="00EC0229">
        <w:t xml:space="preserve"> and West Heslerton</w:t>
      </w:r>
      <w:r w:rsidR="00CE6FE5" w:rsidRPr="00EC0229">
        <w:fldChar w:fldCharType="begin"/>
      </w:r>
      <w:r w:rsidR="00CE6FE5" w:rsidRPr="00EC0229">
        <w:instrText xml:space="preserve"> XE "</w:instrText>
      </w:r>
      <w:r w:rsidR="00CE6FE5" w:rsidRPr="00EC0229">
        <w:rPr>
          <w:noProof/>
        </w:rPr>
        <w:instrText>West Heslerton</w:instrText>
      </w:r>
      <w:r w:rsidR="00CE6FE5" w:rsidRPr="00EC0229">
        <w:instrText xml:space="preserve">" </w:instrText>
      </w:r>
      <w:r w:rsidR="00CE6FE5" w:rsidRPr="00EC0229">
        <w:fldChar w:fldCharType="end"/>
      </w:r>
      <w:r w:rsidR="00CE6FE5" w:rsidRPr="00EC0229">
        <w:t xml:space="preserve">. </w:t>
      </w:r>
    </w:p>
    <w:p w14:paraId="36F6D9BE" w14:textId="67172D05" w:rsidR="00CE6FE5" w:rsidRPr="00EC0229" w:rsidRDefault="00CE6FE5" w:rsidP="007600EA">
      <w:pPr>
        <w:pStyle w:val="NoSpacing"/>
        <w:spacing w:line="360" w:lineRule="auto"/>
      </w:pPr>
    </w:p>
    <w:p w14:paraId="7F2705FC" w14:textId="4BC5E81E" w:rsidR="00F609CF" w:rsidRPr="00EC0229" w:rsidRDefault="00F609CF" w:rsidP="007600EA">
      <w:pPr>
        <w:pStyle w:val="NoSpacing"/>
        <w:spacing w:line="360" w:lineRule="auto"/>
      </w:pPr>
    </w:p>
    <w:p w14:paraId="0266AEFA" w14:textId="77777777" w:rsidR="00F609CF" w:rsidRPr="00EC0229" w:rsidRDefault="00F609CF" w:rsidP="007600EA">
      <w:pPr>
        <w:pStyle w:val="NoSpacing"/>
        <w:spacing w:line="360" w:lineRule="auto"/>
      </w:pPr>
    </w:p>
    <w:p w14:paraId="4DAD829C" w14:textId="41220130" w:rsidR="000F23D7" w:rsidRPr="00EC0229" w:rsidRDefault="002979EC" w:rsidP="00604D8D">
      <w:pPr>
        <w:pStyle w:val="Heading2"/>
      </w:pPr>
      <w:bookmarkStart w:id="960" w:name="Conclusions"/>
      <w:bookmarkStart w:id="961" w:name="_Toc468266962"/>
      <w:bookmarkStart w:id="962" w:name="GeneralConclusions"/>
      <w:bookmarkStart w:id="963" w:name="ConclusionsMonetization"/>
      <w:bookmarkEnd w:id="960"/>
      <w:r>
        <w:lastRenderedPageBreak/>
        <w:t>9.2</w:t>
      </w:r>
      <w:r w:rsidR="007C71C5">
        <w:tab/>
      </w:r>
      <w:r w:rsidR="000F23D7" w:rsidRPr="00EC0229">
        <w:t>General Conclusions</w:t>
      </w:r>
      <w:bookmarkEnd w:id="961"/>
    </w:p>
    <w:p w14:paraId="3B417B26" w14:textId="6B275544" w:rsidR="003B1F9E" w:rsidRPr="00EC0229" w:rsidRDefault="007C71C5" w:rsidP="00604D8D">
      <w:pPr>
        <w:pStyle w:val="Heading3"/>
      </w:pPr>
      <w:bookmarkStart w:id="964" w:name="_Toc468266963"/>
      <w:bookmarkEnd w:id="962"/>
      <w:r>
        <w:t>9.2.1</w:t>
      </w:r>
      <w:r>
        <w:tab/>
      </w:r>
      <w:r w:rsidR="003F2041" w:rsidRPr="00EC0229">
        <w:t>Monetiz</w:t>
      </w:r>
      <w:r w:rsidR="003B1F9E" w:rsidRPr="00EC0229">
        <w:t>ation</w:t>
      </w:r>
      <w:bookmarkEnd w:id="964"/>
      <w:r w:rsidR="00F204A1" w:rsidRPr="00EC0229">
        <w:fldChar w:fldCharType="begin"/>
      </w:r>
      <w:r w:rsidR="00F204A1" w:rsidRPr="00EC0229">
        <w:instrText xml:space="preserve"> XE "</w:instrText>
      </w:r>
      <w:r w:rsidR="00F204A1" w:rsidRPr="00EC0229">
        <w:rPr>
          <w:rStyle w:val="Hyperlink"/>
          <w:rFonts w:cs="Times New Roman"/>
          <w:noProof/>
          <w:u w:val="none"/>
        </w:rPr>
        <w:instrText>Monetization</w:instrText>
      </w:r>
      <w:r w:rsidR="00F204A1" w:rsidRPr="00EC0229">
        <w:instrText xml:space="preserve">" </w:instrText>
      </w:r>
      <w:r w:rsidR="00F204A1" w:rsidRPr="00EC0229">
        <w:fldChar w:fldCharType="end"/>
      </w:r>
    </w:p>
    <w:bookmarkEnd w:id="963"/>
    <w:p w14:paraId="358933EB" w14:textId="77777777" w:rsidR="00E345F1" w:rsidRPr="00EC0229" w:rsidRDefault="003B1F9E" w:rsidP="007600EA">
      <w:pPr>
        <w:pStyle w:val="NoSpacing"/>
        <w:spacing w:line="360" w:lineRule="auto"/>
        <w:jc w:val="right"/>
        <w:rPr>
          <w:rFonts w:cs="Times New Roman"/>
          <w:sz w:val="20"/>
          <w:szCs w:val="20"/>
        </w:rPr>
      </w:pPr>
      <w:r w:rsidRPr="00EC0229">
        <w:rPr>
          <w:rFonts w:cs="Times New Roman"/>
          <w:sz w:val="20"/>
          <w:szCs w:val="20"/>
        </w:rPr>
        <w:t>‘It was not until the eighth century and after that the lands of the lay aristocrats and churches</w:t>
      </w:r>
    </w:p>
    <w:p w14:paraId="68EC2010" w14:textId="66275F0B" w:rsidR="003B1F9E" w:rsidRPr="00EC0229" w:rsidRDefault="003B1F9E" w:rsidP="007600EA">
      <w:pPr>
        <w:pStyle w:val="NoSpacing"/>
        <w:spacing w:line="360" w:lineRule="auto"/>
        <w:jc w:val="right"/>
        <w:rPr>
          <w:rFonts w:cs="Times New Roman"/>
          <w:sz w:val="20"/>
          <w:szCs w:val="20"/>
        </w:rPr>
      </w:pPr>
      <w:r w:rsidRPr="00EC0229">
        <w:rPr>
          <w:rFonts w:cs="Times New Roman"/>
          <w:sz w:val="20"/>
          <w:szCs w:val="20"/>
        </w:rPr>
        <w:t xml:space="preserve">began to be stable sources of rents and dues on a large scale.’ </w:t>
      </w:r>
    </w:p>
    <w:p w14:paraId="4596E725" w14:textId="76ECC1BD" w:rsidR="003B1F9E" w:rsidRPr="00EC0229" w:rsidRDefault="003B4C05" w:rsidP="007600EA">
      <w:pPr>
        <w:pStyle w:val="NoSpacing"/>
        <w:spacing w:line="360" w:lineRule="auto"/>
        <w:jc w:val="right"/>
        <w:rPr>
          <w:sz w:val="20"/>
          <w:szCs w:val="20"/>
        </w:rPr>
      </w:pPr>
      <w:r w:rsidRPr="00EC0229">
        <w:rPr>
          <w:sz w:val="20"/>
          <w:szCs w:val="20"/>
        </w:rPr>
        <w:t>Chris Wickham (2005</w:t>
      </w:r>
      <w:r w:rsidR="003B1F9E" w:rsidRPr="00EC0229">
        <w:rPr>
          <w:sz w:val="20"/>
          <w:szCs w:val="20"/>
        </w:rPr>
        <w:t>, 812</w:t>
      </w:r>
      <w:r w:rsidRPr="00EC0229">
        <w:rPr>
          <w:sz w:val="20"/>
          <w:szCs w:val="20"/>
        </w:rPr>
        <w:t>)</w:t>
      </w:r>
    </w:p>
    <w:p w14:paraId="492E4E68" w14:textId="65A42579" w:rsidR="003B1F9E" w:rsidRPr="00EC0229" w:rsidRDefault="003B1F9E" w:rsidP="007600EA">
      <w:pPr>
        <w:pStyle w:val="NoSpacing"/>
        <w:spacing w:line="360" w:lineRule="auto"/>
        <w:rPr>
          <w:szCs w:val="24"/>
        </w:rPr>
      </w:pPr>
      <w:r w:rsidRPr="00EC0229">
        <w:rPr>
          <w:szCs w:val="24"/>
        </w:rPr>
        <w:t xml:space="preserve">In </w:t>
      </w:r>
      <w:r w:rsidR="00923167">
        <w:rPr>
          <w:szCs w:val="24"/>
        </w:rPr>
        <w:t>Chapter</w:t>
      </w:r>
      <w:r w:rsidR="008427D9" w:rsidRPr="00EC0229">
        <w:rPr>
          <w:szCs w:val="24"/>
        </w:rPr>
        <w:t xml:space="preserve"> 4</w:t>
      </w:r>
      <w:r w:rsidR="0032751F" w:rsidRPr="00EC0229">
        <w:rPr>
          <w:szCs w:val="24"/>
        </w:rPr>
        <w:t xml:space="preserve">, </w:t>
      </w:r>
      <w:r w:rsidRPr="00EC0229">
        <w:rPr>
          <w:szCs w:val="24"/>
        </w:rPr>
        <w:t xml:space="preserve">the core </w:t>
      </w:r>
      <w:r w:rsidR="00DE5B87" w:rsidRPr="00EC0229">
        <w:rPr>
          <w:szCs w:val="24"/>
        </w:rPr>
        <w:t>attributes of</w:t>
      </w:r>
      <w:r w:rsidRPr="00EC0229">
        <w:rPr>
          <w:szCs w:val="24"/>
        </w:rPr>
        <w:t xml:space="preserve"> Northumbrian </w:t>
      </w:r>
      <w:r w:rsidR="003F2041" w:rsidRPr="00EC0229">
        <w:rPr>
          <w:szCs w:val="24"/>
        </w:rPr>
        <w:t>monetiz</w:t>
      </w:r>
      <w:r w:rsidRPr="00EC0229">
        <w:rPr>
          <w:szCs w:val="24"/>
        </w:rPr>
        <w:t>ation</w:t>
      </w:r>
      <w:r w:rsidR="008960AE" w:rsidRPr="00EC0229">
        <w:rPr>
          <w:szCs w:val="24"/>
        </w:rPr>
        <w:fldChar w:fldCharType="begin"/>
      </w:r>
      <w:r w:rsidR="008960AE" w:rsidRPr="00EC0229">
        <w:instrText xml:space="preserve"> XE "monetization" </w:instrText>
      </w:r>
      <w:r w:rsidR="008960AE" w:rsidRPr="00EC0229">
        <w:rPr>
          <w:szCs w:val="24"/>
        </w:rPr>
        <w:fldChar w:fldCharType="end"/>
      </w:r>
      <w:r w:rsidRPr="00EC0229">
        <w:rPr>
          <w:szCs w:val="24"/>
        </w:rPr>
        <w:t xml:space="preserve"> </w:t>
      </w:r>
      <w:r w:rsidR="0032751F" w:rsidRPr="00EC0229">
        <w:rPr>
          <w:szCs w:val="24"/>
        </w:rPr>
        <w:t>were described</w:t>
      </w:r>
      <w:r w:rsidR="00B2218A" w:rsidRPr="00EC0229">
        <w:rPr>
          <w:szCs w:val="24"/>
        </w:rPr>
        <w:t>. H</w:t>
      </w:r>
      <w:r w:rsidRPr="00EC0229">
        <w:rPr>
          <w:szCs w:val="24"/>
        </w:rPr>
        <w:t xml:space="preserve">ow </w:t>
      </w:r>
      <w:r w:rsidR="00B2218A" w:rsidRPr="00EC0229">
        <w:rPr>
          <w:szCs w:val="24"/>
        </w:rPr>
        <w:t>th</w:t>
      </w:r>
      <w:r w:rsidRPr="00EC0229">
        <w:rPr>
          <w:szCs w:val="24"/>
        </w:rPr>
        <w:t xml:space="preserve">is </w:t>
      </w:r>
      <w:r w:rsidR="00B2218A" w:rsidRPr="00EC0229">
        <w:rPr>
          <w:szCs w:val="24"/>
        </w:rPr>
        <w:t>evolves over</w:t>
      </w:r>
      <w:r w:rsidRPr="00EC0229">
        <w:rPr>
          <w:szCs w:val="24"/>
        </w:rPr>
        <w:t xml:space="preserve"> time and </w:t>
      </w:r>
      <w:r w:rsidR="00B2218A" w:rsidRPr="00EC0229">
        <w:rPr>
          <w:szCs w:val="24"/>
        </w:rPr>
        <w:t xml:space="preserve">differs </w:t>
      </w:r>
      <w:r w:rsidRPr="00EC0229">
        <w:rPr>
          <w:szCs w:val="24"/>
        </w:rPr>
        <w:t xml:space="preserve">between regions </w:t>
      </w:r>
      <w:r w:rsidR="00E345F1" w:rsidRPr="00EC0229">
        <w:rPr>
          <w:szCs w:val="24"/>
        </w:rPr>
        <w:t xml:space="preserve">is now discussed </w:t>
      </w:r>
      <w:r w:rsidRPr="00EC0229">
        <w:rPr>
          <w:szCs w:val="24"/>
        </w:rPr>
        <w:t xml:space="preserve">in light of the </w:t>
      </w:r>
      <w:r w:rsidR="00B2218A" w:rsidRPr="00EC0229">
        <w:rPr>
          <w:szCs w:val="24"/>
        </w:rPr>
        <w:t xml:space="preserve">numismatic findings </w:t>
      </w:r>
      <w:r w:rsidRPr="00EC0229">
        <w:rPr>
          <w:szCs w:val="24"/>
        </w:rPr>
        <w:t xml:space="preserve">from </w:t>
      </w:r>
      <w:r w:rsidR="00B2218A" w:rsidRPr="00EC0229">
        <w:rPr>
          <w:szCs w:val="24"/>
        </w:rPr>
        <w:t>the</w:t>
      </w:r>
      <w:r w:rsidRPr="00EC0229">
        <w:rPr>
          <w:szCs w:val="24"/>
        </w:rPr>
        <w:t xml:space="preserve"> </w:t>
      </w:r>
      <w:r w:rsidR="00497AC3" w:rsidRPr="00EC0229">
        <w:rPr>
          <w:szCs w:val="24"/>
        </w:rPr>
        <w:t>dataset</w:t>
      </w:r>
      <w:r w:rsidRPr="00EC0229">
        <w:rPr>
          <w:szCs w:val="24"/>
        </w:rPr>
        <w:t xml:space="preserve"> analyses and case studies</w:t>
      </w:r>
      <w:r w:rsidR="001D5B5B" w:rsidRPr="00EC0229">
        <w:rPr>
          <w:szCs w:val="24"/>
        </w:rPr>
        <w:fldChar w:fldCharType="begin"/>
      </w:r>
      <w:r w:rsidR="001D5B5B" w:rsidRPr="00EC0229">
        <w:instrText xml:space="preserve"> XE "</w:instrText>
      </w:r>
      <w:r w:rsidR="001D5B5B" w:rsidRPr="00EC0229">
        <w:rPr>
          <w:rStyle w:val="Hyperlink"/>
          <w:rFonts w:cs="Times New Roman"/>
          <w:noProof/>
          <w:u w:val="none"/>
        </w:rPr>
        <w:instrText>case studies</w:instrText>
      </w:r>
      <w:r w:rsidR="001D5B5B" w:rsidRPr="00EC0229">
        <w:instrText xml:space="preserve">" </w:instrText>
      </w:r>
      <w:r w:rsidR="001D5B5B" w:rsidRPr="00EC0229">
        <w:rPr>
          <w:szCs w:val="24"/>
        </w:rPr>
        <w:fldChar w:fldCharType="end"/>
      </w:r>
      <w:r w:rsidRPr="00EC0229">
        <w:rPr>
          <w:szCs w:val="24"/>
        </w:rPr>
        <w:t xml:space="preserve">. </w:t>
      </w:r>
    </w:p>
    <w:p w14:paraId="4FDEBA76" w14:textId="77777777" w:rsidR="003B1F9E" w:rsidRPr="00EC0229" w:rsidRDefault="003B1F9E" w:rsidP="007600EA">
      <w:pPr>
        <w:pStyle w:val="NoSpacing"/>
        <w:spacing w:line="360" w:lineRule="auto"/>
      </w:pPr>
    </w:p>
    <w:p w14:paraId="54726BB2" w14:textId="1096F931" w:rsidR="00927B96" w:rsidRPr="00EC0229" w:rsidRDefault="003B4C05" w:rsidP="007600EA">
      <w:pPr>
        <w:pStyle w:val="NoSpacing"/>
        <w:spacing w:line="360" w:lineRule="auto"/>
      </w:pPr>
      <w:r w:rsidRPr="00EC0229">
        <w:t>In this</w:t>
      </w:r>
      <w:r w:rsidR="002A7E00" w:rsidRPr="00EC0229">
        <w:t xml:space="preserve"> essentially practical study</w:t>
      </w:r>
      <w:r w:rsidR="004F3138" w:rsidRPr="00EC0229">
        <w:t xml:space="preserve"> built on recorded data, </w:t>
      </w:r>
      <w:r w:rsidR="003B1F9E" w:rsidRPr="00EC0229">
        <w:t xml:space="preserve">a </w:t>
      </w:r>
      <w:r w:rsidR="002A7E00" w:rsidRPr="00EC0229">
        <w:t xml:space="preserve">pragmatic rather than philosophical </w:t>
      </w:r>
      <w:r w:rsidR="00BC0BC9" w:rsidRPr="00EC0229">
        <w:t>characteris</w:t>
      </w:r>
      <w:r w:rsidR="002A7E00" w:rsidRPr="00EC0229">
        <w:t xml:space="preserve">ation and definition of </w:t>
      </w:r>
      <w:r w:rsidR="003F2041" w:rsidRPr="00EC0229">
        <w:t>monetiz</w:t>
      </w:r>
      <w:r w:rsidR="002A7E00"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w:t>
      </w:r>
      <w:r w:rsidR="004F3138" w:rsidRPr="00EC0229">
        <w:t>is preferred</w:t>
      </w:r>
      <w:r w:rsidRPr="00EC0229">
        <w:t xml:space="preserve"> (</w:t>
      </w:r>
      <w:r w:rsidRPr="00EC0229">
        <w:fldChar w:fldCharType="begin"/>
      </w:r>
      <w:r w:rsidRPr="00EC0229">
        <w:instrText xml:space="preserve"> PAGEREF Definition \h </w:instrText>
      </w:r>
      <w:r w:rsidRPr="00EC0229">
        <w:fldChar w:fldCharType="separate"/>
      </w:r>
      <w:r w:rsidR="0012026B">
        <w:rPr>
          <w:noProof/>
        </w:rPr>
        <w:t>74</w:t>
      </w:r>
      <w:r w:rsidRPr="00EC0229">
        <w:fldChar w:fldCharType="end"/>
      </w:r>
      <w:r w:rsidRPr="00EC0229">
        <w:t>)</w:t>
      </w:r>
      <w:r w:rsidR="004F3138" w:rsidRPr="00EC0229">
        <w:t xml:space="preserve">. </w:t>
      </w:r>
      <w:r w:rsidR="005759C9" w:rsidRPr="00EC0229">
        <w:t xml:space="preserve">The relative extent of </w:t>
      </w:r>
      <w:r w:rsidR="003F2041" w:rsidRPr="00EC0229">
        <w:t>monetiz</w:t>
      </w:r>
      <w:r w:rsidR="005759C9" w:rsidRPr="00EC0229">
        <w:t>ation</w:t>
      </w:r>
      <w:r w:rsidR="008960AE" w:rsidRPr="00EC0229">
        <w:fldChar w:fldCharType="begin"/>
      </w:r>
      <w:r w:rsidR="008960AE" w:rsidRPr="00EC0229">
        <w:instrText xml:space="preserve"> XE "monetization" </w:instrText>
      </w:r>
      <w:r w:rsidR="008960AE" w:rsidRPr="00EC0229">
        <w:fldChar w:fldCharType="end"/>
      </w:r>
      <w:r w:rsidR="005759C9" w:rsidRPr="00EC0229">
        <w:t xml:space="preserve"> can be assessed from the finds data recorded on the Portable Antiquities Scheme website.</w:t>
      </w:r>
      <w:r w:rsidR="005759C9" w:rsidRPr="00EC0229">
        <w:rPr>
          <w:rStyle w:val="FootnoteReference"/>
        </w:rPr>
        <w:footnoteReference w:id="1297"/>
      </w:r>
      <w:r w:rsidR="005759C9" w:rsidRPr="00EC0229">
        <w:t xml:space="preserve"> As </w:t>
      </w:r>
      <w:r w:rsidR="0019172E" w:rsidRPr="00EC0229">
        <w:t xml:space="preserve">stated on page </w:t>
      </w:r>
      <w:r w:rsidR="0019172E" w:rsidRPr="00EC0229">
        <w:fldChar w:fldCharType="begin"/>
      </w:r>
      <w:r w:rsidR="0019172E" w:rsidRPr="00EC0229">
        <w:instrText xml:space="preserve"> PAGEREF RomanFinds \h </w:instrText>
      </w:r>
      <w:r w:rsidR="0019172E" w:rsidRPr="00EC0229">
        <w:fldChar w:fldCharType="separate"/>
      </w:r>
      <w:r w:rsidR="0012026B">
        <w:rPr>
          <w:noProof/>
        </w:rPr>
        <w:t>164</w:t>
      </w:r>
      <w:r w:rsidR="0019172E" w:rsidRPr="00EC0229">
        <w:fldChar w:fldCharType="end"/>
      </w:r>
      <w:r w:rsidR="0019172E" w:rsidRPr="00EC0229">
        <w:t>, a</w:t>
      </w:r>
      <w:r w:rsidR="00BC58C6" w:rsidRPr="00EC0229">
        <w:t xml:space="preserve">s at December 2015, </w:t>
      </w:r>
      <w:r w:rsidR="00BC58C6" w:rsidRPr="00EC0229">
        <w:rPr>
          <w:i/>
        </w:rPr>
        <w:t>c.</w:t>
      </w:r>
      <w:r w:rsidR="00BC58C6" w:rsidRPr="00EC0229">
        <w:t>228,000 single Roman</w:t>
      </w:r>
      <w:r w:rsidR="00BC58C6" w:rsidRPr="00EC0229">
        <w:fldChar w:fldCharType="begin"/>
      </w:r>
      <w:r w:rsidR="00BC58C6" w:rsidRPr="00EC0229">
        <w:instrText xml:space="preserve"> XE "Roman" </w:instrText>
      </w:r>
      <w:r w:rsidR="00BC58C6" w:rsidRPr="00EC0229">
        <w:fldChar w:fldCharType="end"/>
      </w:r>
      <w:r w:rsidR="00BC58C6" w:rsidRPr="00EC0229">
        <w:t xml:space="preserve"> coins and 377 hoards, </w:t>
      </w:r>
      <w:r w:rsidR="00DE5B87" w:rsidRPr="00EC0229">
        <w:t>we</w:t>
      </w:r>
      <w:r w:rsidR="005759C9" w:rsidRPr="00EC0229">
        <w:t>re registered</w:t>
      </w:r>
      <w:r w:rsidR="0019172E" w:rsidRPr="00EC0229">
        <w:t xml:space="preserve"> on PAS; </w:t>
      </w:r>
      <w:r w:rsidR="005759C9" w:rsidRPr="00EC0229">
        <w:t xml:space="preserve">coinage </w:t>
      </w:r>
      <w:r w:rsidR="0019172E" w:rsidRPr="00EC0229">
        <w:t>was ubiquitous</w:t>
      </w:r>
      <w:r w:rsidR="005759C9" w:rsidRPr="00EC0229">
        <w:t>. As Naismith</w:t>
      </w:r>
      <w:r w:rsidR="008960AE" w:rsidRPr="00EC0229">
        <w:fldChar w:fldCharType="begin"/>
      </w:r>
      <w:r w:rsidR="008960AE" w:rsidRPr="00EC0229">
        <w:instrText xml:space="preserve"> XE "</w:instrText>
      </w:r>
      <w:r w:rsidR="008960AE" w:rsidRPr="00EC0229">
        <w:rPr>
          <w:rFonts w:cs="Times New Roman"/>
          <w:szCs w:val="24"/>
        </w:rPr>
        <w:instrText>Naismith</w:instrText>
      </w:r>
      <w:r w:rsidR="008960AE" w:rsidRPr="00EC0229">
        <w:instrText xml:space="preserve">" </w:instrText>
      </w:r>
      <w:r w:rsidR="008960AE" w:rsidRPr="00EC0229">
        <w:fldChar w:fldCharType="end"/>
      </w:r>
      <w:r w:rsidR="005759C9" w:rsidRPr="00EC0229">
        <w:t xml:space="preserve"> commented: ‘It is figures such as these which are essential for keeping the </w:t>
      </w:r>
      <w:r w:rsidR="003F2041" w:rsidRPr="00EC0229">
        <w:t>monetiz</w:t>
      </w:r>
      <w:r w:rsidR="005759C9" w:rsidRPr="00EC0229">
        <w:t>ation of the eighth and ninth centuries in perspective. Substantial it may have been, but total or even large by the yardstick of ancient or modern monetary systems it was not.’</w:t>
      </w:r>
      <w:r w:rsidR="005759C9" w:rsidRPr="00EC0229">
        <w:rPr>
          <w:rStyle w:val="FootnoteReference"/>
        </w:rPr>
        <w:footnoteReference w:id="1298"/>
      </w:r>
      <w:r w:rsidR="005759C9" w:rsidRPr="00EC0229">
        <w:rPr>
          <w:rStyle w:val="FootnoteReference"/>
        </w:rPr>
        <w:t xml:space="preserve"> </w:t>
      </w:r>
    </w:p>
    <w:p w14:paraId="74DE18E2" w14:textId="77777777" w:rsidR="00927B96" w:rsidRPr="00EC0229" w:rsidRDefault="00927B96" w:rsidP="007600EA">
      <w:pPr>
        <w:pStyle w:val="NoSpacing"/>
        <w:spacing w:line="360" w:lineRule="auto"/>
      </w:pPr>
    </w:p>
    <w:p w14:paraId="4ACD7A45" w14:textId="2D438435" w:rsidR="005759C9" w:rsidRPr="00EC0229" w:rsidRDefault="004F3138" w:rsidP="007600EA">
      <w:pPr>
        <w:pStyle w:val="NoSpacing"/>
        <w:spacing w:line="360" w:lineRule="auto"/>
      </w:pPr>
      <w:r w:rsidRPr="00EC0229">
        <w:t xml:space="preserve">However, this must not be allowed to detract from the </w:t>
      </w:r>
      <w:r w:rsidR="00551CE2" w:rsidRPr="00EC0229">
        <w:t xml:space="preserve">recent </w:t>
      </w:r>
      <w:r w:rsidRPr="00EC0229">
        <w:t>transformation in perception of the early medieval period consequent upon the volume of fi</w:t>
      </w:r>
      <w:r w:rsidR="00DE5B87" w:rsidRPr="00EC0229">
        <w:t>nds of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00DE5B87" w:rsidRPr="00EC0229">
        <w:t xml:space="preserve"> coins</w:t>
      </w:r>
      <w:r w:rsidRPr="00EC0229">
        <w:t xml:space="preserve"> in comparison to the era before widespread metal-detecting</w:t>
      </w:r>
      <w:r w:rsidR="00D142DC" w:rsidRPr="00EC0229">
        <w:fldChar w:fldCharType="begin"/>
      </w:r>
      <w:r w:rsidR="00D142DC" w:rsidRPr="00EC0229">
        <w:instrText xml:space="preserve"> XE "metal-detecting" </w:instrText>
      </w:r>
      <w:r w:rsidR="00D142DC" w:rsidRPr="00EC0229">
        <w:fldChar w:fldCharType="end"/>
      </w:r>
      <w:r w:rsidRPr="00EC0229">
        <w:t>.</w:t>
      </w:r>
      <w:r w:rsidRPr="00EC0229">
        <w:rPr>
          <w:rStyle w:val="FootnoteReference"/>
        </w:rPr>
        <w:footnoteReference w:id="1299"/>
      </w:r>
      <w:r w:rsidRPr="00EC0229">
        <w:t xml:space="preserve"> Even if Metcalf</w:t>
      </w:r>
      <w:r w:rsidR="00F204A1" w:rsidRPr="00EC0229">
        <w:fldChar w:fldCharType="begin"/>
      </w:r>
      <w:r w:rsidR="00F204A1" w:rsidRPr="00EC0229">
        <w:instrText xml:space="preserve"> XE "</w:instrText>
      </w:r>
      <w:r w:rsidR="00F204A1" w:rsidRPr="00EC0229">
        <w:rPr>
          <w:rStyle w:val="Hyperlink"/>
          <w:noProof/>
          <w:u w:val="none"/>
        </w:rPr>
        <w:instrText>Metcalf</w:instrText>
      </w:r>
      <w:r w:rsidR="00F204A1" w:rsidRPr="00EC0229">
        <w:instrText xml:space="preserve">" </w:instrText>
      </w:r>
      <w:r w:rsidR="00F204A1" w:rsidRPr="00EC0229">
        <w:fldChar w:fldCharType="end"/>
      </w:r>
      <w:r w:rsidRPr="00EC0229">
        <w:t>’s computations of Low Countries sceatta</w:t>
      </w:r>
      <w:r w:rsidR="00D142DC" w:rsidRPr="00EC0229">
        <w:fldChar w:fldCharType="begin"/>
      </w:r>
      <w:r w:rsidR="00D142DC" w:rsidRPr="00EC0229">
        <w:instrText xml:space="preserve"> XE "sceatta" </w:instrText>
      </w:r>
      <w:r w:rsidR="00D142DC" w:rsidRPr="00EC0229">
        <w:fldChar w:fldCharType="end"/>
      </w:r>
      <w:r w:rsidRPr="00EC0229">
        <w:t xml:space="preserve"> produc</w:t>
      </w:r>
      <w:r w:rsidR="00E71701" w:rsidRPr="00EC0229">
        <w:t xml:space="preserve">tion </w:t>
      </w:r>
      <w:r w:rsidR="00D91FD7" w:rsidRPr="00EC0229">
        <w:t>(</w:t>
      </w:r>
      <w:r w:rsidR="00BF11AD" w:rsidRPr="00EC0229">
        <w:fldChar w:fldCharType="begin"/>
      </w:r>
      <w:r w:rsidR="00BF11AD" w:rsidRPr="00EC0229">
        <w:instrText xml:space="preserve"> PAGEREF VolumeDE \h </w:instrText>
      </w:r>
      <w:r w:rsidR="00BF11AD" w:rsidRPr="00EC0229">
        <w:fldChar w:fldCharType="separate"/>
      </w:r>
      <w:r w:rsidR="0012026B">
        <w:rPr>
          <w:noProof/>
        </w:rPr>
        <w:t>119</w:t>
      </w:r>
      <w:r w:rsidR="00BF11AD" w:rsidRPr="00EC0229">
        <w:fldChar w:fldCharType="end"/>
      </w:r>
      <w:r w:rsidR="00D91FD7" w:rsidRPr="00EC0229">
        <w:t>)</w:t>
      </w:r>
      <w:r w:rsidR="00D91FD7" w:rsidRPr="00EC0229">
        <w:fldChar w:fldCharType="begin"/>
      </w:r>
      <w:r w:rsidR="00D91FD7" w:rsidRPr="00EC0229">
        <w:instrText xml:space="preserve"> REF VolumeDE \h </w:instrText>
      </w:r>
      <w:r w:rsidR="00235629" w:rsidRPr="00EC0229">
        <w:instrText xml:space="preserve"> \* MERGEFORMAT </w:instrText>
      </w:r>
      <w:r w:rsidR="00D91FD7" w:rsidRPr="00EC0229">
        <w:fldChar w:fldCharType="end"/>
      </w:r>
      <w:r w:rsidR="00D91FD7" w:rsidRPr="00EC0229">
        <w:fldChar w:fldCharType="begin"/>
      </w:r>
      <w:r w:rsidR="00D91FD7" w:rsidRPr="00EC0229">
        <w:instrText xml:space="preserve"> REF VolumeDE \h </w:instrText>
      </w:r>
      <w:r w:rsidR="00235629" w:rsidRPr="00EC0229">
        <w:instrText xml:space="preserve"> \* MERGEFORMAT </w:instrText>
      </w:r>
      <w:r w:rsidR="00D91FD7" w:rsidRPr="00EC0229">
        <w:fldChar w:fldCharType="end"/>
      </w:r>
      <w:r w:rsidR="00D91FD7" w:rsidRPr="00EC0229">
        <w:t xml:space="preserve"> </w:t>
      </w:r>
      <w:r w:rsidR="00E71701" w:rsidRPr="00EC0229">
        <w:t xml:space="preserve">are not unchallenged, </w:t>
      </w:r>
      <w:r w:rsidR="00B84D28" w:rsidRPr="00EC0229">
        <w:t xml:space="preserve">tens of </w:t>
      </w:r>
      <w:r w:rsidRPr="00EC0229">
        <w:t>millions of metrologically uniform</w:t>
      </w:r>
      <w:r w:rsidR="00B84D28" w:rsidRPr="00EC0229">
        <w:t xml:space="preserve"> and interchangeable</w:t>
      </w:r>
      <w:r w:rsidRPr="00EC0229">
        <w:t xml:space="preserve"> coins circulated in a defined trading zone</w:t>
      </w:r>
      <w:r w:rsidR="00E71701" w:rsidRPr="00EC0229">
        <w:t xml:space="preserve">. </w:t>
      </w:r>
      <w:r w:rsidR="00696A58" w:rsidRPr="00EC0229">
        <w:t xml:space="preserve">Once the threshold of coin use for </w:t>
      </w:r>
      <w:r w:rsidR="00116C5B" w:rsidRPr="00EC0229">
        <w:t>everyday</w:t>
      </w:r>
      <w:r w:rsidR="00011459" w:rsidRPr="00EC0229">
        <w:t xml:space="preserve"> </w:t>
      </w:r>
      <w:r w:rsidR="00696A58" w:rsidRPr="00EC0229">
        <w:t>transactions</w:t>
      </w:r>
      <w:r w:rsidR="00B84D28" w:rsidRPr="00EC0229">
        <w:t xml:space="preserve"> </w:t>
      </w:r>
      <w:r w:rsidR="00011459" w:rsidRPr="00EC0229">
        <w:t xml:space="preserve">is crossed, </w:t>
      </w:r>
      <w:r w:rsidR="003F2041" w:rsidRPr="00EC0229">
        <w:t>monetiz</w:t>
      </w:r>
      <w:r w:rsidR="00E71701" w:rsidRPr="00EC0229">
        <w:t>ation has been achieved</w:t>
      </w:r>
      <w:r w:rsidR="00DE5B87" w:rsidRPr="00EC0229">
        <w:t>, irrespective of absolute volume</w:t>
      </w:r>
      <w:r w:rsidR="00D91FD7" w:rsidRPr="00EC0229">
        <w:t xml:space="preserve"> (</w:t>
      </w:r>
      <w:r w:rsidR="00BF11AD" w:rsidRPr="00EC0229">
        <w:fldChar w:fldCharType="begin"/>
      </w:r>
      <w:r w:rsidR="00BF11AD" w:rsidRPr="00EC0229">
        <w:instrText xml:space="preserve"> PAGEREF threshold \h </w:instrText>
      </w:r>
      <w:r w:rsidR="00BF11AD" w:rsidRPr="00EC0229">
        <w:fldChar w:fldCharType="separate"/>
      </w:r>
      <w:r w:rsidR="0012026B">
        <w:rPr>
          <w:noProof/>
        </w:rPr>
        <w:t>166</w:t>
      </w:r>
      <w:r w:rsidR="00BF11AD" w:rsidRPr="00EC0229">
        <w:fldChar w:fldCharType="end"/>
      </w:r>
      <w:r w:rsidR="00D91FD7" w:rsidRPr="00EC0229">
        <w:t>)</w:t>
      </w:r>
      <w:r w:rsidR="00011459" w:rsidRPr="00EC0229">
        <w:t xml:space="preserve">. </w:t>
      </w:r>
      <w:r w:rsidR="00241C6E" w:rsidRPr="00EC0229">
        <w:t xml:space="preserve">Moreover, Roman </w:t>
      </w:r>
      <w:r w:rsidR="003F2041" w:rsidRPr="00EC0229">
        <w:t>monetiz</w:t>
      </w:r>
      <w:r w:rsidR="00241C6E" w:rsidRPr="00EC0229">
        <w:t>ation served a more populous</w:t>
      </w:r>
      <w:r w:rsidR="00B84D28" w:rsidRPr="00EC0229">
        <w:t xml:space="preserve"> urban and martial</w:t>
      </w:r>
      <w:r w:rsidR="00696A58" w:rsidRPr="00EC0229">
        <w:t xml:space="preserve"> </w:t>
      </w:r>
      <w:r w:rsidR="00241C6E" w:rsidRPr="00EC0229">
        <w:t>economy</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fldChar w:fldCharType="end"/>
      </w:r>
      <w:r w:rsidR="00696A58" w:rsidRPr="00EC0229">
        <w:t>, so the rural comparison is less stark, though all Anglo-Saxon coin sites also produce Roman coins.</w:t>
      </w:r>
      <w:r w:rsidR="00E71701" w:rsidRPr="00EC0229">
        <w:t xml:space="preserve"> </w:t>
      </w:r>
      <w:r w:rsidR="0095750C" w:rsidRPr="00EC0229">
        <w:t xml:space="preserve">The volume of </w:t>
      </w:r>
      <w:r w:rsidR="00E71701" w:rsidRPr="00EC0229">
        <w:t xml:space="preserve">English hammered coinage </w:t>
      </w:r>
      <w:r w:rsidR="0095750C" w:rsidRPr="00EC0229">
        <w:t>did not</w:t>
      </w:r>
      <w:r w:rsidR="00E71701" w:rsidRPr="00EC0229">
        <w:t xml:space="preserve"> </w:t>
      </w:r>
      <w:r w:rsidR="0095750C" w:rsidRPr="00EC0229">
        <w:t xml:space="preserve">exceed </w:t>
      </w:r>
      <w:r w:rsidR="009E121B" w:rsidRPr="00EC0229">
        <w:t xml:space="preserve">this early Anglo-Saxon period </w:t>
      </w:r>
      <w:r w:rsidR="0073729F" w:rsidRPr="00EC0229">
        <w:t>until the thirteen century,</w:t>
      </w:r>
      <w:r w:rsidR="00E71701" w:rsidRPr="00EC0229">
        <w:rPr>
          <w:rStyle w:val="FootnoteReference"/>
        </w:rPr>
        <w:footnoteReference w:id="1300"/>
      </w:r>
      <w:r w:rsidR="0073729F" w:rsidRPr="00EC0229">
        <w:t xml:space="preserve"> </w:t>
      </w:r>
      <w:r w:rsidR="009E121B" w:rsidRPr="00EC0229">
        <w:t>though</w:t>
      </w:r>
      <w:r w:rsidR="0073729F" w:rsidRPr="00EC0229">
        <w:t xml:space="preserve"> coins were in everyday use in the intervening years.</w:t>
      </w:r>
    </w:p>
    <w:p w14:paraId="5AE57FD8" w14:textId="77777777" w:rsidR="003E4D11" w:rsidRPr="00EC0229" w:rsidRDefault="003E4D11" w:rsidP="007600EA">
      <w:pPr>
        <w:pStyle w:val="NoSpacing"/>
        <w:spacing w:line="360" w:lineRule="auto"/>
      </w:pPr>
    </w:p>
    <w:p w14:paraId="1F6D6279" w14:textId="17652E0F" w:rsidR="003E4D11" w:rsidRPr="00EC0229" w:rsidRDefault="009F2911" w:rsidP="007600EA">
      <w:pPr>
        <w:pStyle w:val="NoSpacing"/>
        <w:spacing w:line="360" w:lineRule="auto"/>
      </w:pPr>
      <w:r w:rsidRPr="00EC0229">
        <w:rPr>
          <w:rFonts w:eastAsia="Times New Roman" w:cs="Times New Roman"/>
          <w:iCs/>
          <w:szCs w:val="24"/>
          <w:lang w:eastAsia="en-GB"/>
        </w:rPr>
        <w:lastRenderedPageBreak/>
        <w:t xml:space="preserve">As regards </w:t>
      </w:r>
      <w:r w:rsidR="003E4D11" w:rsidRPr="00EC0229">
        <w:rPr>
          <w:rFonts w:eastAsia="Times New Roman" w:cs="Times New Roman"/>
          <w:iCs/>
          <w:szCs w:val="24"/>
          <w:lang w:eastAsia="en-GB"/>
        </w:rPr>
        <w:t>artefacts, dress accessories</w:t>
      </w:r>
      <w:r w:rsidR="008960AE" w:rsidRPr="00EC0229">
        <w:rPr>
          <w:rFonts w:eastAsia="Times New Roman" w:cs="Times New Roman"/>
          <w:iCs/>
          <w:szCs w:val="24"/>
          <w:lang w:eastAsia="en-GB"/>
        </w:rPr>
        <w:fldChar w:fldCharType="begin"/>
      </w:r>
      <w:r w:rsidR="008960AE" w:rsidRPr="00EC0229">
        <w:instrText xml:space="preserve"> XE "dress accessories" </w:instrText>
      </w:r>
      <w:r w:rsidR="008960AE" w:rsidRPr="00EC0229">
        <w:rPr>
          <w:rFonts w:eastAsia="Times New Roman" w:cs="Times New Roman"/>
          <w:iCs/>
          <w:szCs w:val="24"/>
          <w:lang w:eastAsia="en-GB"/>
        </w:rPr>
        <w:fldChar w:fldCharType="end"/>
      </w:r>
      <w:r w:rsidR="003E4D11" w:rsidRPr="00EC0229">
        <w:rPr>
          <w:rFonts w:eastAsia="Times New Roman" w:cs="Times New Roman"/>
          <w:iCs/>
          <w:szCs w:val="24"/>
          <w:lang w:eastAsia="en-GB"/>
        </w:rPr>
        <w:t xml:space="preserve"> dominate numerically, </w:t>
      </w:r>
      <w:r w:rsidR="003E4D11" w:rsidRPr="00EC0229">
        <w:rPr>
          <w:rFonts w:eastAsia="Times New Roman" w:cs="Times New Roman"/>
          <w:i/>
          <w:iCs/>
          <w:szCs w:val="24"/>
          <w:lang w:eastAsia="en-GB"/>
        </w:rPr>
        <w:t>Table</w:t>
      </w:r>
      <w:r w:rsidR="00584C42" w:rsidRPr="00EC0229">
        <w:rPr>
          <w:rFonts w:eastAsia="Times New Roman" w:cs="Times New Roman"/>
          <w:i/>
          <w:iCs/>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i/>
          <w:iCs/>
          <w:szCs w:val="24"/>
          <w:lang w:eastAsia="en-GB"/>
        </w:rPr>
        <w:fldChar w:fldCharType="end"/>
      </w:r>
      <w:r w:rsidR="003E4D11" w:rsidRPr="00EC0229">
        <w:rPr>
          <w:rFonts w:eastAsia="Times New Roman" w:cs="Times New Roman"/>
          <w:i/>
          <w:iCs/>
          <w:szCs w:val="24"/>
          <w:lang w:eastAsia="en-GB"/>
        </w:rPr>
        <w:t xml:space="preserve"> </w:t>
      </w:r>
      <w:r w:rsidR="0009732D" w:rsidRPr="00EC0229">
        <w:rPr>
          <w:rFonts w:eastAsia="Times New Roman" w:cs="Times New Roman"/>
          <w:i/>
          <w:iCs/>
          <w:szCs w:val="24"/>
          <w:lang w:eastAsia="en-GB"/>
        </w:rPr>
        <w:t>7.04</w:t>
      </w:r>
      <w:r w:rsidR="003E4D11" w:rsidRPr="00EC0229">
        <w:rPr>
          <w:rFonts w:eastAsia="Times New Roman" w:cs="Times New Roman"/>
          <w:iCs/>
          <w:szCs w:val="24"/>
          <w:lang w:eastAsia="en-GB"/>
        </w:rPr>
        <w:t xml:space="preserve">. </w:t>
      </w:r>
      <w:r w:rsidR="00C650CB" w:rsidRPr="00EC0229">
        <w:rPr>
          <w:rFonts w:eastAsia="Times New Roman" w:cs="Times New Roman"/>
          <w:iCs/>
          <w:szCs w:val="24"/>
          <w:lang w:eastAsia="en-GB"/>
        </w:rPr>
        <w:t xml:space="preserve">Generally, artefacts are </w:t>
      </w:r>
      <w:r w:rsidR="00C650CB" w:rsidRPr="00EC0229">
        <w:t>unsophisticated but, for example, garnet-encrusted gold</w:t>
      </w:r>
      <w:r w:rsidR="00C650CB" w:rsidRPr="00EC0229">
        <w:fldChar w:fldCharType="begin"/>
      </w:r>
      <w:r w:rsidR="00C650CB" w:rsidRPr="00EC0229">
        <w:instrText xml:space="preserve"> XE "</w:instrText>
      </w:r>
      <w:r w:rsidR="00C650CB" w:rsidRPr="00EC0229">
        <w:rPr>
          <w:rFonts w:eastAsia="Times New Roman" w:cs="Times New Roman"/>
          <w:szCs w:val="24"/>
          <w:lang w:eastAsia="en-GB"/>
        </w:rPr>
        <w:instrText>gold</w:instrText>
      </w:r>
      <w:r w:rsidR="00C650CB" w:rsidRPr="00EC0229">
        <w:instrText xml:space="preserve">" </w:instrText>
      </w:r>
      <w:r w:rsidR="00C650CB" w:rsidRPr="00EC0229">
        <w:fldChar w:fldCharType="end"/>
      </w:r>
      <w:r w:rsidR="00C650CB" w:rsidRPr="00EC0229">
        <w:t xml:space="preserve"> jewellery evince</w:t>
      </w:r>
      <w:r w:rsidR="0095750C" w:rsidRPr="00EC0229">
        <w:t>s</w:t>
      </w:r>
      <w:r w:rsidR="00C650CB" w:rsidRPr="00EC0229">
        <w:t xml:space="preserve"> an aristocratic presence (</w:t>
      </w:r>
      <w:r w:rsidR="00C650CB" w:rsidRPr="00EC0229">
        <w:fldChar w:fldCharType="begin"/>
      </w:r>
      <w:r w:rsidR="00C650CB" w:rsidRPr="00EC0229">
        <w:instrText xml:space="preserve"> PAGEREF Bolton \h </w:instrText>
      </w:r>
      <w:r w:rsidR="00C650CB" w:rsidRPr="00EC0229">
        <w:fldChar w:fldCharType="separate"/>
      </w:r>
      <w:r w:rsidR="0012026B">
        <w:rPr>
          <w:noProof/>
        </w:rPr>
        <w:t>228</w:t>
      </w:r>
      <w:r w:rsidR="00C650CB" w:rsidRPr="00EC0229">
        <w:fldChar w:fldCharType="end"/>
      </w:r>
      <w:r w:rsidR="00C650CB" w:rsidRPr="00EC0229">
        <w:t xml:space="preserve">). </w:t>
      </w:r>
      <w:r w:rsidR="003E4D11" w:rsidRPr="00EC0229">
        <w:rPr>
          <w:rFonts w:eastAsia="Times New Roman" w:cs="Times New Roman"/>
          <w:iCs/>
          <w:szCs w:val="24"/>
          <w:lang w:eastAsia="en-GB"/>
        </w:rPr>
        <w:t>Fashions in dress fasteners vary regionally but of greater importance is the distribution and diversity of artefact types, especially the relative paucity of work/craft related materials, tools and produce</w:t>
      </w:r>
      <w:r w:rsidRPr="00EC0229">
        <w:rPr>
          <w:rFonts w:eastAsia="Times New Roman" w:cs="Times New Roman"/>
          <w:iCs/>
          <w:szCs w:val="24"/>
          <w:lang w:eastAsia="en-GB"/>
        </w:rPr>
        <w:t>,</w:t>
      </w:r>
      <w:r w:rsidR="003E4D11" w:rsidRPr="00EC0229">
        <w:rPr>
          <w:rFonts w:eastAsia="Times New Roman" w:cs="Times New Roman"/>
          <w:iCs/>
          <w:szCs w:val="24"/>
          <w:lang w:eastAsia="en-GB"/>
        </w:rPr>
        <w:t xml:space="preserve"> and horse fittings</w:t>
      </w:r>
      <w:r w:rsidR="00D91FD7" w:rsidRPr="00EC0229">
        <w:rPr>
          <w:rFonts w:eastAsia="Times New Roman" w:cs="Times New Roman"/>
          <w:iCs/>
          <w:szCs w:val="24"/>
          <w:lang w:eastAsia="en-GB"/>
        </w:rPr>
        <w:t xml:space="preserve"> (</w:t>
      </w:r>
      <w:r w:rsidR="004A62CB" w:rsidRPr="00EC0229">
        <w:rPr>
          <w:rFonts w:eastAsia="Times New Roman" w:cs="Times New Roman"/>
          <w:iCs/>
          <w:szCs w:val="24"/>
          <w:lang w:eastAsia="en-GB"/>
        </w:rPr>
        <w:fldChar w:fldCharType="begin"/>
      </w:r>
      <w:r w:rsidR="004A62CB" w:rsidRPr="00EC0229">
        <w:rPr>
          <w:rFonts w:eastAsia="Times New Roman" w:cs="Times New Roman"/>
          <w:iCs/>
          <w:szCs w:val="24"/>
          <w:lang w:eastAsia="en-GB"/>
        </w:rPr>
        <w:instrText xml:space="preserve"> PAGEREF ArtefactualDatabase \h </w:instrText>
      </w:r>
      <w:r w:rsidR="004A62CB" w:rsidRPr="00EC0229">
        <w:rPr>
          <w:rFonts w:eastAsia="Times New Roman" w:cs="Times New Roman"/>
          <w:iCs/>
          <w:szCs w:val="24"/>
          <w:lang w:eastAsia="en-GB"/>
        </w:rPr>
      </w:r>
      <w:r w:rsidR="004A62CB"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160</w:t>
      </w:r>
      <w:r w:rsidR="004A62CB" w:rsidRPr="00EC0229">
        <w:rPr>
          <w:rFonts w:eastAsia="Times New Roman" w:cs="Times New Roman"/>
          <w:iCs/>
          <w:szCs w:val="24"/>
          <w:lang w:eastAsia="en-GB"/>
        </w:rPr>
        <w:fldChar w:fldCharType="end"/>
      </w:r>
      <w:r w:rsidR="00D91FD7" w:rsidRPr="00EC0229">
        <w:rPr>
          <w:rFonts w:eastAsia="Times New Roman" w:cs="Times New Roman"/>
          <w:iCs/>
          <w:szCs w:val="24"/>
          <w:lang w:eastAsia="en-GB"/>
        </w:rPr>
        <w:t>)</w:t>
      </w:r>
      <w:r w:rsidR="003E4D11" w:rsidRPr="00EC0229">
        <w:rPr>
          <w:rFonts w:eastAsia="Times New Roman" w:cs="Times New Roman"/>
          <w:iCs/>
          <w:szCs w:val="24"/>
          <w:lang w:eastAsia="en-GB"/>
        </w:rPr>
        <w:t xml:space="preserve">. </w:t>
      </w:r>
      <w:r w:rsidR="009E121B" w:rsidRPr="00EC0229">
        <w:rPr>
          <w:rFonts w:eastAsia="Times New Roman" w:cs="Times New Roman"/>
          <w:iCs/>
          <w:szCs w:val="24"/>
          <w:lang w:eastAsia="en-GB"/>
        </w:rPr>
        <w:t xml:space="preserve">While it is the close association of general, portable, artefacts and coins that is here taken to be indicative of </w:t>
      </w:r>
      <w:r w:rsidR="003F2041" w:rsidRPr="00EC0229">
        <w:rPr>
          <w:rFonts w:eastAsia="Times New Roman" w:cs="Times New Roman"/>
          <w:iCs/>
          <w:szCs w:val="24"/>
          <w:lang w:eastAsia="en-GB"/>
        </w:rPr>
        <w:t>monetiz</w:t>
      </w:r>
      <w:r w:rsidR="009E121B" w:rsidRPr="00EC0229">
        <w:rPr>
          <w:rFonts w:eastAsia="Times New Roman" w:cs="Times New Roman"/>
          <w:iCs/>
          <w:szCs w:val="24"/>
          <w:lang w:eastAsia="en-GB"/>
        </w:rPr>
        <w:t>ation, the frequency of cosmetic it</w:t>
      </w:r>
      <w:r w:rsidR="00C650CB" w:rsidRPr="00EC0229">
        <w:rPr>
          <w:rFonts w:eastAsia="Times New Roman" w:cs="Times New Roman"/>
          <w:iCs/>
          <w:szCs w:val="24"/>
          <w:lang w:eastAsia="en-GB"/>
        </w:rPr>
        <w:t xml:space="preserve">ems over industrial artefacts does not comply with the </w:t>
      </w:r>
      <w:r w:rsidR="009E121B" w:rsidRPr="00EC0229">
        <w:rPr>
          <w:rFonts w:eastAsia="Times New Roman" w:cs="Times New Roman"/>
          <w:iCs/>
          <w:szCs w:val="24"/>
          <w:lang w:eastAsia="en-GB"/>
        </w:rPr>
        <w:t>expected</w:t>
      </w:r>
      <w:r w:rsidR="00C650CB" w:rsidRPr="00EC0229">
        <w:rPr>
          <w:rFonts w:eastAsia="Times New Roman" w:cs="Times New Roman"/>
          <w:iCs/>
          <w:szCs w:val="24"/>
          <w:lang w:eastAsia="en-GB"/>
        </w:rPr>
        <w:t xml:space="preserve"> economic model</w:t>
      </w:r>
      <w:r w:rsidR="0095750C" w:rsidRPr="00EC0229">
        <w:rPr>
          <w:rFonts w:eastAsia="Times New Roman" w:cs="Times New Roman"/>
          <w:iCs/>
          <w:szCs w:val="24"/>
          <w:lang w:eastAsia="en-GB"/>
        </w:rPr>
        <w:t>; the culprit could well be detecting bias</w:t>
      </w:r>
      <w:r w:rsidR="009E121B" w:rsidRPr="00EC0229">
        <w:rPr>
          <w:rFonts w:eastAsia="Times New Roman" w:cs="Times New Roman"/>
          <w:iCs/>
          <w:szCs w:val="24"/>
          <w:lang w:eastAsia="en-GB"/>
        </w:rPr>
        <w:t xml:space="preserve">. </w:t>
      </w:r>
      <w:r w:rsidR="009E121B" w:rsidRPr="00EC0229">
        <w:t>Overall</w:t>
      </w:r>
      <w:r w:rsidR="003E4D11" w:rsidRPr="00EC0229">
        <w:t>, the volume and mix of artefacts gives the same r</w:t>
      </w:r>
      <w:r w:rsidR="0086761F" w:rsidRPr="00EC0229">
        <w:t xml:space="preserve">egional patterns as the coinage, indicating a process of </w:t>
      </w:r>
      <w:r w:rsidR="003F2041" w:rsidRPr="00EC0229">
        <w:t>monetiz</w:t>
      </w:r>
      <w:r w:rsidR="0086761F" w:rsidRPr="00EC0229">
        <w:t>ation</w:t>
      </w:r>
      <w:r w:rsidR="008960AE" w:rsidRPr="00EC0229">
        <w:fldChar w:fldCharType="begin"/>
      </w:r>
      <w:r w:rsidR="008960AE" w:rsidRPr="00EC0229">
        <w:instrText xml:space="preserve"> XE "monetization" </w:instrText>
      </w:r>
      <w:r w:rsidR="008960AE" w:rsidRPr="00EC0229">
        <w:fldChar w:fldCharType="end"/>
      </w:r>
      <w:r w:rsidR="0086761F" w:rsidRPr="00EC0229">
        <w:t>.</w:t>
      </w:r>
    </w:p>
    <w:p w14:paraId="0BD131AB" w14:textId="77777777" w:rsidR="003E4D11" w:rsidRPr="00EC0229" w:rsidRDefault="003E4D11" w:rsidP="007600EA">
      <w:pPr>
        <w:pStyle w:val="NoSpacing"/>
        <w:spacing w:line="360" w:lineRule="auto"/>
        <w:rPr>
          <w:rFonts w:eastAsia="Times New Roman" w:cs="Times New Roman"/>
          <w:iCs/>
          <w:szCs w:val="24"/>
          <w:lang w:eastAsia="en-GB"/>
        </w:rPr>
      </w:pPr>
    </w:p>
    <w:p w14:paraId="5BC0BE53" w14:textId="2CF53EB1" w:rsidR="00CF018C" w:rsidRPr="00EC0229" w:rsidRDefault="00CF018C" w:rsidP="007600EA">
      <w:pPr>
        <w:spacing w:line="360" w:lineRule="auto"/>
        <w:rPr>
          <w:rFonts w:eastAsia="Times New Roman" w:cs="Times New Roman"/>
          <w:iCs/>
          <w:szCs w:val="24"/>
          <w:lang w:eastAsia="en-GB"/>
        </w:rPr>
      </w:pPr>
      <w:r w:rsidRPr="00EC0229">
        <w:t xml:space="preserve">In </w:t>
      </w:r>
      <w:r w:rsidR="00BC0BC9" w:rsidRPr="00EC0229">
        <w:t>characteris</w:t>
      </w:r>
      <w:r w:rsidRPr="00EC0229">
        <w:t xml:space="preserve">ing </w:t>
      </w:r>
      <w:r w:rsidR="003F2041" w:rsidRPr="00EC0229">
        <w:t>monetiz</w:t>
      </w:r>
      <w:r w:rsidRPr="00EC0229">
        <w:t>ation</w:t>
      </w:r>
      <w:r w:rsidR="008960AE" w:rsidRPr="00EC0229">
        <w:fldChar w:fldCharType="begin"/>
      </w:r>
      <w:r w:rsidR="008960AE" w:rsidRPr="00EC0229">
        <w:instrText xml:space="preserve"> XE "monetization" </w:instrText>
      </w:r>
      <w:r w:rsidR="008960AE" w:rsidRPr="00EC0229">
        <w:fldChar w:fldCharType="end"/>
      </w:r>
      <w:r w:rsidRPr="00EC0229">
        <w:t xml:space="preserve">, a device, the </w:t>
      </w:r>
      <w:r w:rsidRPr="00EC0229">
        <w:rPr>
          <w:i/>
        </w:rPr>
        <w:t xml:space="preserve">Coefficient of </w:t>
      </w:r>
      <w:r w:rsidR="003F2041" w:rsidRPr="00EC0229">
        <w:rPr>
          <w:i/>
        </w:rPr>
        <w:t>Monetiz</w:t>
      </w:r>
      <w:r w:rsidRPr="00EC0229">
        <w:rPr>
          <w:i/>
        </w:rPr>
        <w:t>ation</w:t>
      </w:r>
      <w:r w:rsidR="00F204A1" w:rsidRPr="00EC0229">
        <w:rPr>
          <w:i/>
        </w:rPr>
        <w:fldChar w:fldCharType="begin"/>
      </w:r>
      <w:r w:rsidR="00F204A1" w:rsidRPr="00EC0229">
        <w:instrText xml:space="preserve"> XE "</w:instrText>
      </w:r>
      <w:r w:rsidR="00F204A1" w:rsidRPr="00EC0229">
        <w:rPr>
          <w:rFonts w:cs="Times New Roman"/>
          <w:noProof/>
        </w:rPr>
        <w:instrText>Monetization</w:instrText>
      </w:r>
      <w:r w:rsidR="00F204A1" w:rsidRPr="00EC0229">
        <w:instrText xml:space="preserve">" </w:instrText>
      </w:r>
      <w:r w:rsidR="00F204A1" w:rsidRPr="00EC0229">
        <w:rPr>
          <w:i/>
        </w:rPr>
        <w:fldChar w:fldCharType="end"/>
      </w:r>
      <w:r w:rsidRPr="00EC0229">
        <w:t xml:space="preserve"> (</w:t>
      </w:r>
      <w:r w:rsidR="004A62CB" w:rsidRPr="00EC0229">
        <w:fldChar w:fldCharType="begin"/>
      </w:r>
      <w:r w:rsidR="004A62CB" w:rsidRPr="00EC0229">
        <w:instrText xml:space="preserve"> PAGEREF CoefficientofMonetization \h </w:instrText>
      </w:r>
      <w:r w:rsidR="004A62CB" w:rsidRPr="00EC0229">
        <w:fldChar w:fldCharType="separate"/>
      </w:r>
      <w:r w:rsidR="0012026B">
        <w:rPr>
          <w:noProof/>
        </w:rPr>
        <w:t>166</w:t>
      </w:r>
      <w:r w:rsidR="004A62CB" w:rsidRPr="00EC0229">
        <w:fldChar w:fldCharType="end"/>
      </w:r>
      <w:r w:rsidRPr="00EC0229">
        <w:t xml:space="preserve">), </w:t>
      </w:r>
      <w:r w:rsidR="0032751F" w:rsidRPr="00EC0229">
        <w:t xml:space="preserve">has been used </w:t>
      </w:r>
      <w:r w:rsidRPr="00EC0229">
        <w:t xml:space="preserve">as a measure for the extent to which coins are found in association with artefacts, demonstrating routine valuation of goods in the circulating denomination. The </w:t>
      </w:r>
      <w:r w:rsidRPr="00EC0229">
        <w:rPr>
          <w:i/>
        </w:rPr>
        <w:t>CoM</w:t>
      </w:r>
      <w:r w:rsidRPr="00EC0229">
        <w:t xml:space="preserve"> is healthy in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but relatively depressed in the lowlands of the north where coins exhibit a thin but wide distribution. It is not merely a viable volume of currency that </w:t>
      </w:r>
      <w:r w:rsidR="004504D2">
        <w:t>characterize</w:t>
      </w:r>
      <w:r w:rsidRPr="00EC0229">
        <w:t xml:space="preserve">s </w:t>
      </w:r>
      <w:r w:rsidR="003F2041" w:rsidRPr="00EC0229">
        <w:t>monetiz</w:t>
      </w:r>
      <w:r w:rsidRPr="00EC0229">
        <w:t>ation, but its widespread dissemination, an</w:t>
      </w:r>
      <w:r w:rsidR="00A52ED3" w:rsidRPr="00EC0229">
        <w:t xml:space="preserve"> increasing and managed element</w:t>
      </w:r>
      <w:r w:rsidRPr="00EC0229">
        <w:t xml:space="preserve"> of </w:t>
      </w:r>
      <w:r w:rsidRPr="00EC0229">
        <w:rPr>
          <w:i/>
        </w:rPr>
        <w:t>fiat</w:t>
      </w:r>
      <w:r w:rsidR="00D142DC" w:rsidRPr="00EC0229">
        <w:rPr>
          <w:i/>
        </w:rPr>
        <w:fldChar w:fldCharType="begin"/>
      </w:r>
      <w:r w:rsidR="00D142DC" w:rsidRPr="00EC0229">
        <w:instrText xml:space="preserve"> XE "fiat" </w:instrText>
      </w:r>
      <w:r w:rsidR="00D142DC" w:rsidRPr="00EC0229">
        <w:rPr>
          <w:i/>
        </w:rPr>
        <w:fldChar w:fldCharType="end"/>
      </w:r>
      <w:r w:rsidRPr="00EC0229">
        <w:t xml:space="preserve"> currency (</w:t>
      </w:r>
      <w:r w:rsidR="004A62CB" w:rsidRPr="00EC0229">
        <w:fldChar w:fldCharType="begin"/>
      </w:r>
      <w:r w:rsidR="004A62CB" w:rsidRPr="00EC0229">
        <w:instrText xml:space="preserve"> PAGEREF fiat \h </w:instrText>
      </w:r>
      <w:r w:rsidR="004A62CB" w:rsidRPr="00EC0229">
        <w:fldChar w:fldCharType="separate"/>
      </w:r>
      <w:r w:rsidR="0012026B">
        <w:rPr>
          <w:noProof/>
        </w:rPr>
        <w:t>75</w:t>
      </w:r>
      <w:r w:rsidR="004A62CB" w:rsidRPr="00EC0229">
        <w:fldChar w:fldCharType="end"/>
      </w:r>
      <w:r w:rsidRPr="00EC0229">
        <w:t>) and the presence of counterfeiting (</w:t>
      </w:r>
      <w:r w:rsidR="004A62CB" w:rsidRPr="00EC0229">
        <w:fldChar w:fldCharType="begin"/>
      </w:r>
      <w:r w:rsidR="004A62CB" w:rsidRPr="00EC0229">
        <w:instrText xml:space="preserve"> PAGEREF counterfeits \h </w:instrText>
      </w:r>
      <w:r w:rsidR="004A62CB" w:rsidRPr="00EC0229">
        <w:fldChar w:fldCharType="separate"/>
      </w:r>
      <w:r w:rsidR="0012026B">
        <w:rPr>
          <w:noProof/>
        </w:rPr>
        <w:t>75</w:t>
      </w:r>
      <w:r w:rsidR="004A62CB" w:rsidRPr="00EC0229">
        <w:fldChar w:fldCharType="end"/>
      </w:r>
      <w:r w:rsidRPr="00EC0229">
        <w:t>). Penetration was inversely related to denomination, increasing as the denomination gradually fell, even if progress was stratified – gold</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fldChar w:fldCharType="end"/>
      </w:r>
      <w:r w:rsidRPr="00EC0229">
        <w:t xml:space="preserve"> for the seventh century élite</w:t>
      </w:r>
      <w:r w:rsidR="008960AE" w:rsidRPr="00EC0229">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fldChar w:fldCharType="end"/>
      </w:r>
      <w:r w:rsidR="00EE135E" w:rsidRPr="00EC0229">
        <w:t xml:space="preserve">, silver for </w:t>
      </w:r>
      <w:r w:rsidRPr="00EC0229">
        <w:t>eig</w:t>
      </w:r>
      <w:r w:rsidR="00361C8C" w:rsidRPr="00EC0229">
        <w:t xml:space="preserve">hth century </w:t>
      </w:r>
      <w:r w:rsidR="00EE135E" w:rsidRPr="00EC0229">
        <w:t>traders</w:t>
      </w:r>
      <w:r w:rsidR="00361C8C" w:rsidRPr="00EC0229">
        <w:t xml:space="preserve"> and </w:t>
      </w:r>
      <w:r w:rsidRPr="00EC0229">
        <w:t xml:space="preserve">base coin </w:t>
      </w:r>
      <w:r w:rsidR="00361C8C" w:rsidRPr="00EC0229">
        <w:t xml:space="preserve">in the ninth century, </w:t>
      </w:r>
      <w:r w:rsidRPr="00EC0229">
        <w:t xml:space="preserve">for all </w:t>
      </w:r>
      <w:r w:rsidR="009F2911" w:rsidRPr="00EC0229">
        <w:t>in the north, if not beyond</w:t>
      </w:r>
      <w:r w:rsidRPr="00EC0229">
        <w:t>.</w:t>
      </w:r>
    </w:p>
    <w:p w14:paraId="736B1C2C" w14:textId="714C237E" w:rsidR="003E4D11" w:rsidRPr="00EC0229" w:rsidRDefault="00315CC9" w:rsidP="007600EA">
      <w:pPr>
        <w:pStyle w:val="NoSpacing"/>
        <w:spacing w:line="360" w:lineRule="auto"/>
        <w:rPr>
          <w:rFonts w:eastAsia="Times New Roman" w:cs="Times New Roman"/>
          <w:iCs/>
          <w:szCs w:val="24"/>
          <w:lang w:eastAsia="en-GB"/>
        </w:rPr>
      </w:pPr>
      <w:r>
        <w:rPr>
          <w:rFonts w:eastAsia="Times New Roman" w:cs="Times New Roman"/>
          <w:iCs/>
          <w:szCs w:val="24"/>
          <w:lang w:eastAsia="en-GB"/>
        </w:rPr>
        <w:t xml:space="preserve">The study presented here builds on the work of Lyon, Pirie, Metcalf, Blackburn and Naylor, perhaps taking a more holistic approach and drawing on a greater volume of data to considered northern monetization, a topic not previously studied </w:t>
      </w:r>
      <w:r w:rsidRPr="00315CC9">
        <w:rPr>
          <w:rFonts w:eastAsia="Times New Roman" w:cs="Times New Roman"/>
          <w:i/>
          <w:iCs/>
          <w:szCs w:val="24"/>
          <w:lang w:eastAsia="en-GB"/>
        </w:rPr>
        <w:t>per se</w:t>
      </w:r>
      <w:r>
        <w:rPr>
          <w:rFonts w:eastAsia="Times New Roman" w:cs="Times New Roman"/>
          <w:iCs/>
          <w:szCs w:val="24"/>
          <w:lang w:eastAsia="en-GB"/>
        </w:rPr>
        <w:t xml:space="preserve">. </w:t>
      </w:r>
      <w:r w:rsidR="003E4D11" w:rsidRPr="00EC0229">
        <w:rPr>
          <w:rFonts w:eastAsia="Times New Roman" w:cs="Times New Roman"/>
          <w:iCs/>
          <w:szCs w:val="24"/>
          <w:lang w:eastAsia="en-GB"/>
        </w:rPr>
        <w:t xml:space="preserve">In </w:t>
      </w:r>
      <w:r w:rsidR="00923167">
        <w:rPr>
          <w:rFonts w:eastAsia="Times New Roman" w:cs="Times New Roman"/>
          <w:iCs/>
          <w:szCs w:val="24"/>
          <w:lang w:eastAsia="en-GB"/>
        </w:rPr>
        <w:t>Chapter</w:t>
      </w:r>
      <w:r w:rsidR="003E4D11" w:rsidRPr="00EC0229">
        <w:rPr>
          <w:rFonts w:eastAsia="Times New Roman" w:cs="Times New Roman"/>
          <w:iCs/>
          <w:szCs w:val="24"/>
          <w:lang w:eastAsia="en-GB"/>
        </w:rPr>
        <w:t xml:space="preserve"> 1, </w:t>
      </w:r>
      <w:r w:rsidR="00BF6095">
        <w:rPr>
          <w:rFonts w:eastAsia="Times New Roman" w:cs="Times New Roman"/>
          <w:iCs/>
          <w:szCs w:val="24"/>
          <w:lang w:eastAsia="en-GB"/>
        </w:rPr>
        <w:t>several</w:t>
      </w:r>
      <w:r w:rsidR="003E4D11" w:rsidRPr="00EC0229">
        <w:rPr>
          <w:rFonts w:eastAsia="Times New Roman" w:cs="Times New Roman"/>
          <w:iCs/>
          <w:szCs w:val="24"/>
          <w:lang w:eastAsia="en-GB"/>
        </w:rPr>
        <w:t xml:space="preserve"> </w:t>
      </w:r>
      <w:r w:rsidR="00171F14" w:rsidRPr="00EC0229">
        <w:rPr>
          <w:rFonts w:eastAsia="Times New Roman" w:cs="Times New Roman"/>
          <w:iCs/>
          <w:szCs w:val="24"/>
          <w:lang w:eastAsia="en-GB"/>
        </w:rPr>
        <w:t xml:space="preserve">supplementary </w:t>
      </w:r>
      <w:r w:rsidR="003E4D11" w:rsidRPr="00EC0229">
        <w:rPr>
          <w:rFonts w:eastAsia="Times New Roman" w:cs="Times New Roman"/>
          <w:iCs/>
          <w:szCs w:val="24"/>
          <w:lang w:eastAsia="en-GB"/>
        </w:rPr>
        <w:t xml:space="preserve">questions relevant to assessing </w:t>
      </w:r>
      <w:r w:rsidR="003F2041" w:rsidRPr="00EC0229">
        <w:rPr>
          <w:rFonts w:eastAsia="Times New Roman" w:cs="Times New Roman"/>
          <w:iCs/>
          <w:szCs w:val="24"/>
          <w:lang w:eastAsia="en-GB"/>
        </w:rPr>
        <w:t>monetiz</w:t>
      </w:r>
      <w:r w:rsidR="003E4D11" w:rsidRPr="00EC0229">
        <w:rPr>
          <w:rFonts w:eastAsia="Times New Roman" w:cs="Times New Roman"/>
          <w:iCs/>
          <w:szCs w:val="24"/>
          <w:lang w:eastAsia="en-GB"/>
        </w:rPr>
        <w:t>ation</w:t>
      </w:r>
      <w:r w:rsidR="0032751F" w:rsidRPr="00EC0229">
        <w:rPr>
          <w:rFonts w:eastAsia="Times New Roman" w:cs="Times New Roman"/>
          <w:iCs/>
          <w:szCs w:val="24"/>
          <w:lang w:eastAsia="en-GB"/>
        </w:rPr>
        <w:t xml:space="preserve"> </w:t>
      </w:r>
      <w:r w:rsidR="00F609CF" w:rsidRPr="00EC0229">
        <w:rPr>
          <w:rFonts w:eastAsia="Times New Roman" w:cs="Times New Roman"/>
          <w:iCs/>
          <w:szCs w:val="24"/>
          <w:lang w:eastAsia="en-GB"/>
        </w:rPr>
        <w:t>were raised</w:t>
      </w:r>
      <w:r w:rsidR="008960AE" w:rsidRPr="00EC0229">
        <w:rPr>
          <w:rFonts w:eastAsia="Times New Roman" w:cs="Times New Roman"/>
          <w:iCs/>
          <w:szCs w:val="24"/>
          <w:lang w:eastAsia="en-GB"/>
        </w:rPr>
        <w:fldChar w:fldCharType="begin"/>
      </w:r>
      <w:r w:rsidR="008960AE" w:rsidRPr="00EC0229">
        <w:instrText xml:space="preserve"> XE "monetization" </w:instrText>
      </w:r>
      <w:r w:rsidR="008960AE" w:rsidRPr="00EC0229">
        <w:rPr>
          <w:rFonts w:eastAsia="Times New Roman" w:cs="Times New Roman"/>
          <w:iCs/>
          <w:szCs w:val="24"/>
          <w:lang w:eastAsia="en-GB"/>
        </w:rPr>
        <w:fldChar w:fldCharType="end"/>
      </w:r>
      <w:r w:rsidR="00FD3C3A" w:rsidRPr="00EC0229">
        <w:t>: coinage evolution, balance of power</w:t>
      </w:r>
      <w:r w:rsidR="00C17259" w:rsidRPr="00EC0229">
        <w:t>,</w:t>
      </w:r>
      <w:r w:rsidR="00FD3C3A" w:rsidRPr="00EC0229">
        <w:t xml:space="preserve"> regional differences, </w:t>
      </w:r>
      <w:r w:rsidR="00FF5F19" w:rsidRPr="00EC0229">
        <w:t xml:space="preserve">expropriation, </w:t>
      </w:r>
      <w:r w:rsidR="00FD3C3A" w:rsidRPr="00EC0229">
        <w:t>and settlement</w:t>
      </w:r>
      <w:r w:rsidR="00D142DC" w:rsidRPr="00EC0229">
        <w:fldChar w:fldCharType="begin"/>
      </w:r>
      <w:r w:rsidR="00D142DC" w:rsidRPr="00EC0229">
        <w:instrText xml:space="preserve"> XE "settlement" </w:instrText>
      </w:r>
      <w:r w:rsidR="00D142DC" w:rsidRPr="00EC0229">
        <w:fldChar w:fldCharType="end"/>
      </w:r>
      <w:r w:rsidR="00FD3C3A" w:rsidRPr="00EC0229">
        <w:t xml:space="preserve"> patterns.</w:t>
      </w:r>
      <w:r w:rsidR="003E4D11" w:rsidRPr="00EC0229">
        <w:rPr>
          <w:rFonts w:eastAsia="Times New Roman" w:cs="Times New Roman"/>
          <w:iCs/>
          <w:szCs w:val="24"/>
          <w:lang w:eastAsia="en-GB"/>
        </w:rPr>
        <w:t xml:space="preserve"> </w:t>
      </w:r>
      <w:r w:rsidR="0032751F" w:rsidRPr="00EC0229">
        <w:rPr>
          <w:rFonts w:eastAsia="Times New Roman" w:cs="Times New Roman"/>
          <w:iCs/>
          <w:szCs w:val="24"/>
          <w:lang w:eastAsia="en-GB"/>
        </w:rPr>
        <w:t>C</w:t>
      </w:r>
      <w:r w:rsidR="003E4D11" w:rsidRPr="00EC0229">
        <w:rPr>
          <w:rFonts w:eastAsia="Times New Roman" w:cs="Times New Roman"/>
          <w:iCs/>
          <w:szCs w:val="24"/>
          <w:lang w:eastAsia="en-GB"/>
        </w:rPr>
        <w:t>onclusions on these topics</w:t>
      </w:r>
      <w:r w:rsidR="0032751F" w:rsidRPr="00EC0229">
        <w:rPr>
          <w:rFonts w:eastAsia="Times New Roman" w:cs="Times New Roman"/>
          <w:iCs/>
          <w:szCs w:val="24"/>
          <w:lang w:eastAsia="en-GB"/>
        </w:rPr>
        <w:t xml:space="preserve"> are now </w:t>
      </w:r>
      <w:r w:rsidR="00103FB3">
        <w:rPr>
          <w:rFonts w:eastAsia="Times New Roman" w:cs="Times New Roman"/>
          <w:iCs/>
          <w:szCs w:val="24"/>
          <w:lang w:eastAsia="en-GB"/>
        </w:rPr>
        <w:t>summarize</w:t>
      </w:r>
      <w:r w:rsidR="0032751F" w:rsidRPr="00EC0229">
        <w:rPr>
          <w:rFonts w:eastAsia="Times New Roman" w:cs="Times New Roman"/>
          <w:iCs/>
          <w:szCs w:val="24"/>
          <w:lang w:eastAsia="en-GB"/>
        </w:rPr>
        <w:t>d</w:t>
      </w:r>
      <w:r w:rsidR="003E4D11" w:rsidRPr="00EC0229">
        <w:rPr>
          <w:rFonts w:eastAsia="Times New Roman" w:cs="Times New Roman"/>
          <w:iCs/>
          <w:szCs w:val="24"/>
          <w:lang w:eastAsia="en-GB"/>
        </w:rPr>
        <w:t>.</w:t>
      </w:r>
    </w:p>
    <w:p w14:paraId="635D429B" w14:textId="77777777" w:rsidR="003E4D11" w:rsidRPr="00EC0229" w:rsidRDefault="003E4D11" w:rsidP="007600EA">
      <w:pPr>
        <w:pStyle w:val="NoSpacing"/>
        <w:spacing w:line="360" w:lineRule="auto"/>
        <w:rPr>
          <w:rFonts w:eastAsia="Times New Roman" w:cs="Times New Roman"/>
          <w:iCs/>
          <w:szCs w:val="24"/>
          <w:lang w:eastAsia="en-GB"/>
        </w:rPr>
      </w:pPr>
    </w:p>
    <w:p w14:paraId="21DE80CC" w14:textId="287D13CE" w:rsidR="006E47ED" w:rsidRPr="007C71C5" w:rsidRDefault="007C71C5" w:rsidP="007C71C5">
      <w:pPr>
        <w:pStyle w:val="Heading4"/>
        <w:rPr>
          <w:b/>
        </w:rPr>
      </w:pPr>
      <w:bookmarkStart w:id="965" w:name="ConclusionsEvolution"/>
      <w:bookmarkStart w:id="966" w:name="_Toc468266964"/>
      <w:bookmarkEnd w:id="965"/>
      <w:r w:rsidRPr="007C71C5">
        <w:rPr>
          <w:b/>
        </w:rPr>
        <w:t>9.2.1.1</w:t>
      </w:r>
      <w:r w:rsidRPr="007C71C5">
        <w:rPr>
          <w:b/>
        </w:rPr>
        <w:tab/>
      </w:r>
      <w:r w:rsidR="006E47ED" w:rsidRPr="007C71C5">
        <w:rPr>
          <w:b/>
        </w:rPr>
        <w:t>Evolution</w:t>
      </w:r>
      <w:bookmarkEnd w:id="966"/>
      <w:r w:rsidR="006B1593" w:rsidRPr="007C71C5">
        <w:rPr>
          <w:b/>
        </w:rPr>
        <w:fldChar w:fldCharType="begin"/>
      </w:r>
      <w:r w:rsidR="006B1593" w:rsidRPr="007C71C5">
        <w:rPr>
          <w:b/>
        </w:rPr>
        <w:instrText xml:space="preserve"> XE "</w:instrText>
      </w:r>
      <w:r w:rsidR="006B1593" w:rsidRPr="007C71C5">
        <w:rPr>
          <w:rStyle w:val="Hyperlink"/>
          <w:b/>
          <w:noProof/>
          <w:u w:val="none"/>
        </w:rPr>
        <w:instrText>Evolution</w:instrText>
      </w:r>
      <w:r w:rsidR="006B1593" w:rsidRPr="007C71C5">
        <w:rPr>
          <w:b/>
        </w:rPr>
        <w:instrText xml:space="preserve">" </w:instrText>
      </w:r>
      <w:r w:rsidR="006B1593" w:rsidRPr="007C71C5">
        <w:rPr>
          <w:b/>
        </w:rPr>
        <w:fldChar w:fldCharType="end"/>
      </w:r>
    </w:p>
    <w:p w14:paraId="6FB98A1B" w14:textId="1987FB56" w:rsidR="007D1856" w:rsidRDefault="00B238BB" w:rsidP="007D1856">
      <w:pPr>
        <w:pStyle w:val="NoSpacing"/>
        <w:spacing w:line="360" w:lineRule="auto"/>
      </w:pPr>
      <w:r>
        <w:t>Objective: t</w:t>
      </w:r>
      <w:r w:rsidR="007D1856" w:rsidRPr="00B238BB">
        <w:t>o establish whether the evolution of the Northumbrian coinage is steady or erratic and assess the relationship between the advancement of Northumbrian coinage and poli</w:t>
      </w:r>
      <w:r w:rsidR="007A7781" w:rsidRPr="00B238BB">
        <w:t>tical and economic developments</w:t>
      </w:r>
      <w:r>
        <w:t>.</w:t>
      </w:r>
    </w:p>
    <w:p w14:paraId="10C1D767" w14:textId="77777777" w:rsidR="00B238BB" w:rsidRPr="00B238BB" w:rsidRDefault="00B238BB" w:rsidP="007D1856">
      <w:pPr>
        <w:pStyle w:val="NoSpacing"/>
        <w:spacing w:line="360" w:lineRule="auto"/>
      </w:pPr>
    </w:p>
    <w:p w14:paraId="0D640590" w14:textId="6AEE8789" w:rsidR="003E4D11" w:rsidRPr="00EC0229" w:rsidRDefault="003E4D11" w:rsidP="007600EA">
      <w:pPr>
        <w:pStyle w:val="NoSpacing"/>
        <w:spacing w:line="360" w:lineRule="auto"/>
      </w:pPr>
      <w:r w:rsidRPr="00EC0229">
        <w:lastRenderedPageBreak/>
        <w:t xml:space="preserve">My </w:t>
      </w:r>
      <w:r w:rsidR="006C328D" w:rsidRPr="00EC0229">
        <w:t>periodiz</w:t>
      </w:r>
      <w:r w:rsidRPr="00EC0229">
        <w:t>ation (</w:t>
      </w:r>
      <w:r w:rsidR="004A62CB" w:rsidRPr="00EC0229">
        <w:fldChar w:fldCharType="begin"/>
      </w:r>
      <w:r w:rsidR="004A62CB" w:rsidRPr="00EC0229">
        <w:instrText xml:space="preserve"> PAGEREF Chapter5 \h </w:instrText>
      </w:r>
      <w:r w:rsidR="004A62CB" w:rsidRPr="00EC0229">
        <w:fldChar w:fldCharType="separate"/>
      </w:r>
      <w:r w:rsidR="0012026B">
        <w:rPr>
          <w:noProof/>
        </w:rPr>
        <w:t>83</w:t>
      </w:r>
      <w:r w:rsidR="004A62CB" w:rsidRPr="00EC0229">
        <w:fldChar w:fldCharType="end"/>
      </w:r>
      <w:r w:rsidRPr="00EC0229">
        <w:t xml:space="preserve">) of </w:t>
      </w:r>
      <w:r w:rsidR="009A3EEF" w:rsidRPr="00EC0229">
        <w:rPr>
          <w:i/>
        </w:rPr>
        <w:t>Database 1</w:t>
      </w:r>
      <w:r w:rsidRPr="00EC0229">
        <w:t>, originally created by digitization of Pirie</w:t>
      </w:r>
      <w:r w:rsidR="00716433" w:rsidRPr="00EC0229">
        <w:fldChar w:fldCharType="begin"/>
      </w:r>
      <w:r w:rsidR="00716433" w:rsidRPr="00EC0229">
        <w:instrText xml:space="preserve"> XE "Pirie" </w:instrText>
      </w:r>
      <w:r w:rsidR="00716433" w:rsidRPr="00EC0229">
        <w:fldChar w:fldCharType="end"/>
      </w:r>
      <w:r w:rsidRPr="00EC0229">
        <w:t xml:space="preserve">’s corpus of stycas, augmented from other sources, has facilitated, through statistical analysis, </w:t>
      </w:r>
      <w:r w:rsidR="00BF6095">
        <w:t>several</w:t>
      </w:r>
      <w:r w:rsidRPr="00EC0229">
        <w:t xml:space="preserve"> observations on the composition, distribution </w:t>
      </w:r>
      <w:r w:rsidR="00787ECE" w:rsidRPr="00EC0229">
        <w:t xml:space="preserve">and use </w:t>
      </w:r>
      <w:r w:rsidRPr="00EC0229">
        <w:t>of the northern coinage. The analytical tools created include the normal distribution</w:t>
      </w:r>
      <w:r w:rsidR="00F204A1" w:rsidRPr="00EC0229">
        <w:fldChar w:fldCharType="begin"/>
      </w:r>
      <w:r w:rsidR="00F204A1" w:rsidRPr="00EC0229">
        <w:instrText xml:space="preserve"> XE "</w:instrText>
      </w:r>
      <w:r w:rsidR="00F204A1" w:rsidRPr="00EC0229">
        <w:rPr>
          <w:rStyle w:val="Hyperlink"/>
          <w:noProof/>
          <w:u w:val="none"/>
        </w:rPr>
        <w:instrText>normal distribution</w:instrText>
      </w:r>
      <w:r w:rsidR="00F204A1" w:rsidRPr="00EC0229">
        <w:instrText xml:space="preserve">" </w:instrText>
      </w:r>
      <w:r w:rsidR="00F204A1" w:rsidRPr="00EC0229">
        <w:fldChar w:fldCharType="end"/>
      </w:r>
      <w:r w:rsidRPr="00EC0229">
        <w:t xml:space="preserve"> by period,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09732D" w:rsidRPr="00EC0229">
        <w:rPr>
          <w:i/>
        </w:rPr>
        <w:t xml:space="preserve"> </w:t>
      </w:r>
      <w:r w:rsidR="00367541" w:rsidRPr="00EC0229">
        <w:rPr>
          <w:i/>
        </w:rPr>
        <w:t>5</w:t>
      </w:r>
      <w:r w:rsidR="0009732D" w:rsidRPr="00EC0229">
        <w:rPr>
          <w:i/>
        </w:rPr>
        <w:t>.01</w:t>
      </w:r>
      <w:r w:rsidRPr="00EC0229">
        <w:t xml:space="preserve">, the </w:t>
      </w:r>
      <w:r w:rsidRPr="00EC0229">
        <w:rPr>
          <w:i/>
        </w:rPr>
        <w:t xml:space="preserve">coefficient of </w:t>
      </w:r>
      <w:r w:rsidR="003F2041" w:rsidRPr="00EC0229">
        <w:rPr>
          <w:i/>
        </w:rPr>
        <w:t>monetiz</w:t>
      </w:r>
      <w:r w:rsidRPr="00EC0229">
        <w:rPr>
          <w:i/>
        </w:rPr>
        <w:t>ation</w:t>
      </w:r>
      <w:r w:rsidR="008960AE" w:rsidRPr="00EC0229">
        <w:rPr>
          <w:i/>
        </w:rPr>
        <w:fldChar w:fldCharType="begin"/>
      </w:r>
      <w:r w:rsidR="008960AE" w:rsidRPr="00EC0229">
        <w:instrText xml:space="preserve"> XE "monetization" </w:instrText>
      </w:r>
      <w:r w:rsidR="008960AE" w:rsidRPr="00EC0229">
        <w:rPr>
          <w:i/>
        </w:rPr>
        <w:fldChar w:fldCharType="end"/>
      </w:r>
      <w:r w:rsidRPr="00EC0229">
        <w:t xml:space="preserve"> (</w:t>
      </w:r>
      <w:r w:rsidRPr="00EC0229">
        <w:rPr>
          <w:i/>
        </w:rPr>
        <w:t>CoM</w:t>
      </w:r>
      <w:r w:rsidRPr="00EC0229">
        <w:t xml:space="preserve">), </w:t>
      </w:r>
      <w:r w:rsidRPr="00EC0229">
        <w:rPr>
          <w:i/>
        </w:rPr>
        <w:t>Table</w:t>
      </w:r>
      <w:r w:rsidRPr="00EC0229">
        <w:rPr>
          <w:i/>
          <w:color w:val="000000" w:themeColor="text1"/>
        </w:rPr>
        <w:t xml:space="preserve"> </w:t>
      </w:r>
      <w:r w:rsidR="0009732D" w:rsidRPr="00EC0229">
        <w:rPr>
          <w:i/>
          <w:color w:val="000000" w:themeColor="text1"/>
        </w:rPr>
        <w:t>7.04</w:t>
      </w:r>
      <w:r w:rsidRPr="00EC0229">
        <w:rPr>
          <w:color w:val="000000" w:themeColor="text1"/>
        </w:rPr>
        <w:t xml:space="preserve">, the regional density of finds, </w:t>
      </w:r>
      <w:r w:rsidRPr="00EC0229">
        <w:rPr>
          <w:i/>
          <w:color w:val="000000" w:themeColor="text1"/>
        </w:rPr>
        <w:t xml:space="preserve">Table </w:t>
      </w:r>
      <w:r w:rsidR="0044491F" w:rsidRPr="00EC0229">
        <w:rPr>
          <w:i/>
          <w:color w:val="000000" w:themeColor="text1"/>
        </w:rPr>
        <w:t>7.05,</w:t>
      </w:r>
      <w:r w:rsidRPr="00EC0229">
        <w:rPr>
          <w:color w:val="000000" w:themeColor="text1"/>
        </w:rPr>
        <w:t xml:space="preserve"> the metal mix by long period, </w:t>
      </w:r>
      <w:r w:rsidRPr="00EC0229">
        <w:rPr>
          <w:i/>
          <w:color w:val="000000" w:themeColor="text1"/>
        </w:rPr>
        <w:t xml:space="preserve">Table </w:t>
      </w:r>
      <w:r w:rsidR="0044491F" w:rsidRPr="00EC0229">
        <w:rPr>
          <w:rStyle w:val="Hyperlink"/>
          <w:i/>
          <w:color w:val="000000" w:themeColor="text1"/>
          <w:u w:val="none"/>
        </w:rPr>
        <w:t>7.0</w:t>
      </w:r>
      <w:r w:rsidR="00367541" w:rsidRPr="00EC0229">
        <w:rPr>
          <w:rStyle w:val="Hyperlink"/>
          <w:i/>
          <w:color w:val="000000" w:themeColor="text1"/>
          <w:u w:val="none"/>
        </w:rPr>
        <w:t>6</w:t>
      </w:r>
      <w:r w:rsidRPr="00EC0229">
        <w:rPr>
          <w:color w:val="000000" w:themeColor="text1"/>
        </w:rPr>
        <w:t xml:space="preserve"> </w:t>
      </w:r>
      <w:r w:rsidRPr="00EC0229">
        <w:t xml:space="preserve">and the coin age mix, </w:t>
      </w:r>
      <w:r w:rsidRPr="00EC0229">
        <w:rPr>
          <w:i/>
        </w:rPr>
        <w:t xml:space="preserve">Table </w:t>
      </w:r>
      <w:r w:rsidR="0044491F" w:rsidRPr="00EC0229">
        <w:rPr>
          <w:i/>
        </w:rPr>
        <w:t>7.07</w:t>
      </w:r>
      <w:r w:rsidRPr="00EC0229">
        <w:t>.</w:t>
      </w:r>
    </w:p>
    <w:p w14:paraId="51361EC8" w14:textId="77777777" w:rsidR="003E4D11" w:rsidRPr="00EC0229" w:rsidRDefault="003E4D11" w:rsidP="007600EA">
      <w:pPr>
        <w:pStyle w:val="NoSpacing"/>
        <w:spacing w:line="360" w:lineRule="auto"/>
      </w:pPr>
    </w:p>
    <w:p w14:paraId="50AFC784" w14:textId="1D6DE298" w:rsidR="00950F9A" w:rsidRPr="00EC0229" w:rsidRDefault="003E4D11" w:rsidP="007600EA">
      <w:pPr>
        <w:pStyle w:val="NoSpacing"/>
        <w:spacing w:line="360" w:lineRule="auto"/>
      </w:pPr>
      <w:r w:rsidRPr="00EC0229">
        <w:rPr>
          <w:bCs/>
        </w:rPr>
        <w:t>The phased decline in intrinsic worth evident in the evolution of English coinage from thrymsa</w:t>
      </w:r>
      <w:r w:rsidR="00D142DC" w:rsidRPr="00EC0229">
        <w:rPr>
          <w:bCs/>
        </w:rPr>
        <w:fldChar w:fldCharType="begin"/>
      </w:r>
      <w:r w:rsidR="00D142DC" w:rsidRPr="00EC0229">
        <w:instrText xml:space="preserve"> XE "thrymsa" </w:instrText>
      </w:r>
      <w:r w:rsidR="00D142DC" w:rsidRPr="00EC0229">
        <w:rPr>
          <w:bCs/>
        </w:rPr>
        <w:fldChar w:fldCharType="end"/>
      </w:r>
      <w:r w:rsidRPr="00EC0229">
        <w:rPr>
          <w:bCs/>
        </w:rPr>
        <w:t xml:space="preserve"> to styca</w:t>
      </w:r>
      <w:r w:rsidR="0068438E">
        <w:rPr>
          <w:bCs/>
        </w:rPr>
        <w:t>, from noble to base metal,</w:t>
      </w:r>
      <w:r w:rsidRPr="00EC0229">
        <w:rPr>
          <w:bCs/>
        </w:rPr>
        <w:t xml:space="preserve"> </w:t>
      </w:r>
      <w:r w:rsidR="0068438E">
        <w:rPr>
          <w:bCs/>
        </w:rPr>
        <w:t>at all phases a sole denomination of uniform size,</w:t>
      </w:r>
      <w:r w:rsidR="0068438E" w:rsidRPr="00EC0229">
        <w:rPr>
          <w:bCs/>
        </w:rPr>
        <w:t xml:space="preserve"> </w:t>
      </w:r>
      <w:r w:rsidRPr="00EC0229">
        <w:rPr>
          <w:bCs/>
        </w:rPr>
        <w:t xml:space="preserve">is </w:t>
      </w:r>
      <w:r w:rsidR="004504D2">
        <w:rPr>
          <w:bCs/>
        </w:rPr>
        <w:t>characterize</w:t>
      </w:r>
      <w:r w:rsidRPr="00EC0229">
        <w:rPr>
          <w:bCs/>
        </w:rPr>
        <w:t>d by increasing volu</w:t>
      </w:r>
      <w:r w:rsidR="00E42DD3" w:rsidRPr="00EC0229">
        <w:rPr>
          <w:bCs/>
        </w:rPr>
        <w:t xml:space="preserve">me as the use of </w:t>
      </w:r>
      <w:r w:rsidR="0068438E">
        <w:rPr>
          <w:bCs/>
        </w:rPr>
        <w:t xml:space="preserve">coin, </w:t>
      </w:r>
      <w:r w:rsidR="00E42DD3" w:rsidRPr="00EC0229">
        <w:rPr>
          <w:bCs/>
        </w:rPr>
        <w:t>penetrated</w:t>
      </w:r>
      <w:r w:rsidRPr="00EC0229">
        <w:rPr>
          <w:bCs/>
        </w:rPr>
        <w:t xml:space="preserve"> </w:t>
      </w:r>
      <w:r w:rsidR="00E42DD3" w:rsidRPr="00EC0229">
        <w:rPr>
          <w:bCs/>
        </w:rPr>
        <w:t xml:space="preserve">more </w:t>
      </w:r>
      <w:r w:rsidR="00950F9A" w:rsidRPr="00EC0229">
        <w:rPr>
          <w:bCs/>
        </w:rPr>
        <w:t xml:space="preserve">deeply and widely </w:t>
      </w:r>
      <w:r w:rsidR="00280FF2" w:rsidRPr="00EC0229">
        <w:rPr>
          <w:bCs/>
        </w:rPr>
        <w:t>into economic activity; stycas were</w:t>
      </w:r>
      <w:r w:rsidRPr="00EC0229">
        <w:rPr>
          <w:bCs/>
        </w:rPr>
        <w:t xml:space="preserve"> deployed in satisfying increasingly small </w:t>
      </w:r>
      <w:r w:rsidR="00950F9A" w:rsidRPr="00EC0229">
        <w:rPr>
          <w:bCs/>
        </w:rPr>
        <w:t xml:space="preserve">and varied </w:t>
      </w:r>
      <w:r w:rsidRPr="00EC0229">
        <w:rPr>
          <w:bCs/>
        </w:rPr>
        <w:t>transactions</w:t>
      </w:r>
      <w:r w:rsidR="00950F9A" w:rsidRPr="00EC0229">
        <w:rPr>
          <w:bCs/>
        </w:rPr>
        <w:t>,</w:t>
      </w:r>
      <w:r w:rsidR="00950F9A" w:rsidRPr="00EC0229">
        <w:t xml:space="preserve"> well beyond enabling peasants to pay church</w:t>
      </w:r>
      <w:r w:rsidR="008960AE" w:rsidRPr="00EC0229">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fldChar w:fldCharType="end"/>
      </w:r>
      <w:r w:rsidR="00950F9A" w:rsidRPr="00EC0229">
        <w:t xml:space="preserve"> dues.</w:t>
      </w:r>
      <w:r w:rsidR="00950F9A" w:rsidRPr="00EC0229">
        <w:rPr>
          <w:rStyle w:val="FootnoteReference"/>
        </w:rPr>
        <w:footnoteReference w:id="1301"/>
      </w:r>
      <w:r w:rsidR="00950F9A" w:rsidRPr="00EC0229">
        <w:t xml:space="preserve"> The expansion of </w:t>
      </w:r>
      <w:r w:rsidR="003F2041" w:rsidRPr="00EC0229">
        <w:t>monetiz</w:t>
      </w:r>
      <w:r w:rsidR="00950F9A" w:rsidRPr="00EC0229">
        <w:t>ation</w:t>
      </w:r>
      <w:r w:rsidR="008960AE" w:rsidRPr="00EC0229">
        <w:fldChar w:fldCharType="begin"/>
      </w:r>
      <w:r w:rsidR="008960AE" w:rsidRPr="00EC0229">
        <w:instrText xml:space="preserve"> XE "monetization" </w:instrText>
      </w:r>
      <w:r w:rsidR="008960AE" w:rsidRPr="00EC0229">
        <w:fldChar w:fldCharType="end"/>
      </w:r>
      <w:r w:rsidR="00950F9A" w:rsidRPr="00EC0229">
        <w:t xml:space="preserve"> would be analogous to a step from coin use in mercantile wholesaling to communal retailing.</w:t>
      </w:r>
    </w:p>
    <w:p w14:paraId="7BD5A1C3" w14:textId="0285FA5C" w:rsidR="00950F9A" w:rsidRPr="00EC0229" w:rsidRDefault="00950F9A" w:rsidP="007600EA">
      <w:pPr>
        <w:pStyle w:val="NoSpacing"/>
        <w:spacing w:line="360" w:lineRule="auto"/>
      </w:pPr>
      <w:r w:rsidRPr="00EC0229">
        <w:t xml:space="preserve"> </w:t>
      </w:r>
    </w:p>
    <w:p w14:paraId="2447C4B6" w14:textId="37B393C3" w:rsidR="003E4D11" w:rsidRPr="00EC0229" w:rsidRDefault="003E4D11" w:rsidP="007600EA">
      <w:pPr>
        <w:pStyle w:val="NoSpacing"/>
        <w:spacing w:line="360" w:lineRule="auto"/>
        <w:rPr>
          <w:bCs/>
        </w:rPr>
      </w:pPr>
      <w:r w:rsidRPr="00EC0229">
        <w:rPr>
          <w:bCs/>
        </w:rPr>
        <w:t xml:space="preserve">While it is analytically convenient to compartmentalize this coinage, this disguises the gradual increase in user confidence which permits a stealthy softening of intrinsic worth such that there is a growing element of </w:t>
      </w:r>
      <w:r w:rsidRPr="00EC0229">
        <w:rPr>
          <w:bCs/>
          <w:i/>
        </w:rPr>
        <w:t>fiat</w:t>
      </w:r>
      <w:r w:rsidR="00D142DC" w:rsidRPr="00EC0229">
        <w:rPr>
          <w:bCs/>
          <w:i/>
        </w:rPr>
        <w:fldChar w:fldCharType="begin"/>
      </w:r>
      <w:r w:rsidR="00D142DC" w:rsidRPr="00EC0229">
        <w:instrText xml:space="preserve"> XE "fiat" </w:instrText>
      </w:r>
      <w:r w:rsidR="00D142DC" w:rsidRPr="00EC0229">
        <w:rPr>
          <w:bCs/>
          <w:i/>
        </w:rPr>
        <w:fldChar w:fldCharType="end"/>
      </w:r>
      <w:r w:rsidRPr="00EC0229">
        <w:rPr>
          <w:bCs/>
        </w:rPr>
        <w:t xml:space="preserve"> currency (</w:t>
      </w:r>
      <w:r w:rsidR="004A62CB" w:rsidRPr="00EC0229">
        <w:rPr>
          <w:bCs/>
        </w:rPr>
        <w:fldChar w:fldCharType="begin"/>
      </w:r>
      <w:r w:rsidR="004A62CB" w:rsidRPr="00EC0229">
        <w:rPr>
          <w:bCs/>
        </w:rPr>
        <w:instrText xml:space="preserve"> PAGEREF fiat \h </w:instrText>
      </w:r>
      <w:r w:rsidR="004A62CB" w:rsidRPr="00EC0229">
        <w:rPr>
          <w:bCs/>
        </w:rPr>
      </w:r>
      <w:r w:rsidR="004A62CB" w:rsidRPr="00EC0229">
        <w:rPr>
          <w:bCs/>
        </w:rPr>
        <w:fldChar w:fldCharType="separate"/>
      </w:r>
      <w:r w:rsidR="0012026B">
        <w:rPr>
          <w:bCs/>
          <w:noProof/>
        </w:rPr>
        <w:t>75</w:t>
      </w:r>
      <w:r w:rsidR="004A62CB" w:rsidRPr="00EC0229">
        <w:rPr>
          <w:bCs/>
        </w:rPr>
        <w:fldChar w:fldCharType="end"/>
      </w:r>
      <w:r w:rsidR="00280FF2" w:rsidRPr="00EC0229">
        <w:rPr>
          <w:bCs/>
        </w:rPr>
        <w:t>).</w:t>
      </w:r>
      <w:r w:rsidR="004D250C" w:rsidRPr="00EC0229">
        <w:rPr>
          <w:rStyle w:val="FootnoteReference"/>
          <w:bCs/>
        </w:rPr>
        <w:footnoteReference w:id="1302"/>
      </w:r>
      <w:r w:rsidR="00280FF2" w:rsidRPr="00EC0229">
        <w:rPr>
          <w:bCs/>
        </w:rPr>
        <w:t xml:space="preserve"> </w:t>
      </w:r>
      <w:r w:rsidRPr="00EC0229">
        <w:rPr>
          <w:bCs/>
        </w:rPr>
        <w:t xml:space="preserve">While stycas have been </w:t>
      </w:r>
      <w:r w:rsidR="00466560" w:rsidRPr="00EC0229">
        <w:rPr>
          <w:bCs/>
        </w:rPr>
        <w:t>denigrated</w:t>
      </w:r>
      <w:r w:rsidRPr="00EC0229">
        <w:rPr>
          <w:bCs/>
        </w:rPr>
        <w:t xml:space="preserve"> for generations, until recently, as a ‘token</w:t>
      </w:r>
      <w:r w:rsidR="008960AE" w:rsidRPr="00EC0229">
        <w:rPr>
          <w:bCs/>
        </w:rPr>
        <w:fldChar w:fldCharType="begin"/>
      </w:r>
      <w:r w:rsidR="008960AE" w:rsidRPr="00EC0229">
        <w:instrText xml:space="preserve"> XE "</w:instrText>
      </w:r>
      <w:r w:rsidR="008960AE" w:rsidRPr="00EC0229">
        <w:rPr>
          <w:rFonts w:cs="Times New Roman"/>
          <w:szCs w:val="24"/>
        </w:rPr>
        <w:instrText>token</w:instrText>
      </w:r>
      <w:r w:rsidR="008960AE" w:rsidRPr="00EC0229">
        <w:instrText xml:space="preserve">" </w:instrText>
      </w:r>
      <w:r w:rsidR="008960AE" w:rsidRPr="00EC0229">
        <w:rPr>
          <w:bCs/>
        </w:rPr>
        <w:fldChar w:fldCharType="end"/>
      </w:r>
      <w:r w:rsidRPr="00EC0229">
        <w:rPr>
          <w:bCs/>
        </w:rPr>
        <w:t xml:space="preserve"> coinage’, it is precisely this attribute which signifies their success. </w:t>
      </w:r>
    </w:p>
    <w:p w14:paraId="65550F6B" w14:textId="77777777" w:rsidR="00D8670F" w:rsidRPr="00EC0229" w:rsidRDefault="00D8670F" w:rsidP="007600EA">
      <w:pPr>
        <w:pStyle w:val="NoSpacing"/>
        <w:spacing w:line="360" w:lineRule="auto"/>
      </w:pPr>
    </w:p>
    <w:p w14:paraId="0B3D648D" w14:textId="23BF9CB1" w:rsidR="00D8670F" w:rsidRPr="00EC0229" w:rsidRDefault="00E036F0" w:rsidP="007600EA">
      <w:pPr>
        <w:pStyle w:val="NoSpacing"/>
        <w:spacing w:line="360" w:lineRule="auto"/>
        <w:rPr>
          <w:bCs/>
        </w:rPr>
      </w:pPr>
      <w:r w:rsidRPr="00EC0229">
        <w:t>Allowing for continued, if declining, coin use in the absence of coin production, t</w:t>
      </w:r>
      <w:r w:rsidR="00D8670F" w:rsidRPr="00EC0229">
        <w:t xml:space="preserve">he sporadic nature of northern minting, </w:t>
      </w:r>
      <w:r w:rsidR="00D8670F"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367541" w:rsidRPr="00EC0229">
        <w:rPr>
          <w:i/>
        </w:rPr>
        <w:t xml:space="preserve"> </w:t>
      </w:r>
      <w:r w:rsidR="0044491F" w:rsidRPr="00EC0229">
        <w:rPr>
          <w:i/>
        </w:rPr>
        <w:t>4.02</w:t>
      </w:r>
      <w:r w:rsidR="00D8670F" w:rsidRPr="00EC0229">
        <w:t xml:space="preserve">, is suggestive of a slow, almost long-term, recovery from adversity, though nearer a </w:t>
      </w:r>
      <w:r w:rsidR="00D8670F" w:rsidRPr="00EC0229">
        <w:rPr>
          <w:bCs/>
        </w:rPr>
        <w:t xml:space="preserve">15-25 year </w:t>
      </w:r>
      <w:r w:rsidR="00D8670F" w:rsidRPr="00EC0229">
        <w:rPr>
          <w:bCs/>
          <w:i/>
        </w:rPr>
        <w:t>swing</w:t>
      </w:r>
      <w:r w:rsidR="00D8670F" w:rsidRPr="00EC0229">
        <w:rPr>
          <w:bCs/>
        </w:rPr>
        <w:t xml:space="preserve"> than a </w:t>
      </w:r>
      <w:r w:rsidR="00D8670F" w:rsidRPr="00EC0229">
        <w:t xml:space="preserve">45-60 year </w:t>
      </w:r>
      <w:r w:rsidR="00D8670F" w:rsidRPr="00EC0229">
        <w:rPr>
          <w:bCs/>
          <w:i/>
        </w:rPr>
        <w:t>wave</w:t>
      </w:r>
      <w:r w:rsidR="00D8670F" w:rsidRPr="00EC0229">
        <w:rPr>
          <w:bCs/>
        </w:rPr>
        <w:t>.</w:t>
      </w:r>
      <w:r w:rsidR="00D8670F" w:rsidRPr="00EC0229">
        <w:rPr>
          <w:rStyle w:val="FootnoteReference"/>
          <w:bCs/>
        </w:rPr>
        <w:footnoteReference w:id="1303"/>
      </w:r>
      <w:r w:rsidR="00D8670F" w:rsidRPr="00EC0229">
        <w:rPr>
          <w:bCs/>
        </w:rPr>
        <w:t xml:space="preserve"> A cyclical pattern is discernible, occurring between the gold</w:t>
      </w:r>
      <w:r w:rsidR="008960AE" w:rsidRPr="00EC0229">
        <w:rPr>
          <w:bCs/>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bCs/>
        </w:rPr>
        <w:fldChar w:fldCharType="end"/>
      </w:r>
      <w:r w:rsidR="00D8670F" w:rsidRPr="00EC0229">
        <w:rPr>
          <w:bCs/>
        </w:rPr>
        <w:t xml:space="preserve"> shilling and Aldfrith</w:t>
      </w:r>
      <w:r w:rsidR="00D142DC" w:rsidRPr="00EC0229">
        <w:rPr>
          <w:bCs/>
        </w:rPr>
        <w:fldChar w:fldCharType="begin"/>
      </w:r>
      <w:r w:rsidR="00D142DC" w:rsidRPr="00EC0229">
        <w:instrText xml:space="preserve"> XE "Aldfrith" </w:instrText>
      </w:r>
      <w:r w:rsidR="00D142DC" w:rsidRPr="00EC0229">
        <w:rPr>
          <w:bCs/>
        </w:rPr>
        <w:fldChar w:fldCharType="end"/>
      </w:r>
      <w:r w:rsidR="00D8670F" w:rsidRPr="00EC0229">
        <w:rPr>
          <w:bCs/>
        </w:rPr>
        <w:t>’s sceat, this and Eadberht</w:t>
      </w:r>
      <w:r w:rsidR="00D142DC" w:rsidRPr="00EC0229">
        <w:rPr>
          <w:bCs/>
        </w:rPr>
        <w:fldChar w:fldCharType="begin"/>
      </w:r>
      <w:r w:rsidR="00D142DC" w:rsidRPr="00EC0229">
        <w:instrText xml:space="preserve"> XE "Eadberht" </w:instrText>
      </w:r>
      <w:r w:rsidR="00D142DC" w:rsidRPr="00EC0229">
        <w:rPr>
          <w:bCs/>
        </w:rPr>
        <w:fldChar w:fldCharType="end"/>
      </w:r>
      <w:r w:rsidR="00D8670F" w:rsidRPr="00EC0229">
        <w:rPr>
          <w:bCs/>
        </w:rPr>
        <w:t>’s fantastic animal issue, the third quarter eighth-century recession, the sharp post-Lindisfarne</w:t>
      </w:r>
      <w:r w:rsidR="006B1593" w:rsidRPr="00EC0229">
        <w:rPr>
          <w:bCs/>
        </w:rPr>
        <w:fldChar w:fldCharType="begin"/>
      </w:r>
      <w:r w:rsidR="006B1593" w:rsidRPr="00EC0229">
        <w:instrText xml:space="preserve"> XE "</w:instrText>
      </w:r>
      <w:r w:rsidR="006B1593" w:rsidRPr="00EC0229">
        <w:rPr>
          <w:rStyle w:val="Hyperlink"/>
          <w:noProof/>
          <w:u w:val="none"/>
        </w:rPr>
        <w:instrText>Lindisfarne</w:instrText>
      </w:r>
      <w:r w:rsidR="006B1593" w:rsidRPr="00EC0229">
        <w:instrText xml:space="preserve">" </w:instrText>
      </w:r>
      <w:r w:rsidR="006B1593" w:rsidRPr="00EC0229">
        <w:rPr>
          <w:bCs/>
        </w:rPr>
        <w:fldChar w:fldCharType="end"/>
      </w:r>
      <w:r w:rsidR="00D8670F" w:rsidRPr="00EC0229">
        <w:rPr>
          <w:bCs/>
        </w:rPr>
        <w:t xml:space="preserve"> decline, the discontinuity</w:t>
      </w:r>
      <w:r w:rsidR="008960AE" w:rsidRPr="00EC0229">
        <w:rPr>
          <w:bCs/>
        </w:rPr>
        <w:fldChar w:fldCharType="begin"/>
      </w:r>
      <w:r w:rsidR="008960AE" w:rsidRPr="00EC0229">
        <w:instrText xml:space="preserve"> XE "discontinuity" </w:instrText>
      </w:r>
      <w:r w:rsidR="008960AE" w:rsidRPr="00EC0229">
        <w:rPr>
          <w:bCs/>
        </w:rPr>
        <w:fldChar w:fldCharType="end"/>
      </w:r>
      <w:r w:rsidR="00D8670F" w:rsidRPr="00EC0229">
        <w:rPr>
          <w:bCs/>
        </w:rPr>
        <w:t xml:space="preserve"> between Eanred</w:t>
      </w:r>
      <w:r w:rsidR="00D142DC" w:rsidRPr="00EC0229">
        <w:rPr>
          <w:bCs/>
        </w:rPr>
        <w:fldChar w:fldCharType="begin"/>
      </w:r>
      <w:r w:rsidR="00D142DC" w:rsidRPr="00EC0229">
        <w:instrText xml:space="preserve"> XE "Eanred" </w:instrText>
      </w:r>
      <w:r w:rsidR="00D142DC" w:rsidRPr="00EC0229">
        <w:rPr>
          <w:bCs/>
        </w:rPr>
        <w:fldChar w:fldCharType="end"/>
      </w:r>
      <w:r w:rsidR="00D8670F" w:rsidRPr="00EC0229">
        <w:rPr>
          <w:bCs/>
        </w:rPr>
        <w:t>’s two issues, and the post-</w:t>
      </w:r>
      <w:r w:rsidR="00D8670F" w:rsidRPr="00EC0229">
        <w:rPr>
          <w:bCs/>
          <w:i/>
        </w:rPr>
        <w:t>micel here</w:t>
      </w:r>
      <w:r w:rsidR="008960AE" w:rsidRPr="00EC0229">
        <w:rPr>
          <w:bCs/>
          <w:i/>
        </w:rPr>
        <w:fldChar w:fldCharType="begin"/>
      </w:r>
      <w:r w:rsidR="008960AE" w:rsidRPr="00EC0229">
        <w:instrText xml:space="preserve"> XE "</w:instrText>
      </w:r>
      <w:r w:rsidR="008960AE" w:rsidRPr="00EC0229">
        <w:rPr>
          <w:rFonts w:cs="Times New Roman"/>
          <w:i/>
          <w:color w:val="000000" w:themeColor="text1"/>
          <w:szCs w:val="24"/>
        </w:rPr>
        <w:instrText>micel here</w:instrText>
      </w:r>
      <w:r w:rsidR="008960AE" w:rsidRPr="00EC0229">
        <w:instrText xml:space="preserve">" </w:instrText>
      </w:r>
      <w:r w:rsidR="008960AE" w:rsidRPr="00EC0229">
        <w:rPr>
          <w:bCs/>
          <w:i/>
        </w:rPr>
        <w:fldChar w:fldCharType="end"/>
      </w:r>
      <w:r w:rsidR="00D8670F" w:rsidRPr="00EC0229">
        <w:rPr>
          <w:bCs/>
        </w:rPr>
        <w:t xml:space="preserve"> reversion. </w:t>
      </w:r>
      <w:r w:rsidR="00280FF2" w:rsidRPr="00EC0229">
        <w:t>A</w:t>
      </w:r>
      <w:r w:rsidR="00280FF2" w:rsidRPr="00EC0229">
        <w:rPr>
          <w:bCs/>
        </w:rPr>
        <w:t>t each discontinuity, it is palpable that reb</w:t>
      </w:r>
      <w:r w:rsidR="001642A1" w:rsidRPr="00EC0229">
        <w:rPr>
          <w:bCs/>
        </w:rPr>
        <w:t xml:space="preserve">uilding confidence </w:t>
      </w:r>
      <w:r w:rsidR="00F01BC4" w:rsidRPr="00EC0229">
        <w:rPr>
          <w:bCs/>
        </w:rPr>
        <w:t>could take</w:t>
      </w:r>
      <w:r w:rsidR="001642A1" w:rsidRPr="00EC0229">
        <w:rPr>
          <w:bCs/>
        </w:rPr>
        <w:t xml:space="preserve"> decades, even so</w:t>
      </w:r>
      <w:r w:rsidR="00280FF2" w:rsidRPr="00EC0229">
        <w:rPr>
          <w:bCs/>
        </w:rPr>
        <w:t xml:space="preserve"> </w:t>
      </w:r>
      <w:r w:rsidR="001642A1" w:rsidRPr="00EC0229">
        <w:rPr>
          <w:bCs/>
        </w:rPr>
        <w:t>t</w:t>
      </w:r>
      <w:r w:rsidR="00D8670F" w:rsidRPr="00EC0229">
        <w:rPr>
          <w:bCs/>
        </w:rPr>
        <w:t>he periods of local mint activity are much shorter than the absences/importations. The politico-economic causes of sporadic production are complex – Nechtansmere</w:t>
      </w:r>
      <w:r w:rsidR="00F204A1" w:rsidRPr="00EC0229">
        <w:rPr>
          <w:bCs/>
        </w:rPr>
        <w:fldChar w:fldCharType="begin"/>
      </w:r>
      <w:r w:rsidR="00F204A1" w:rsidRPr="00EC0229">
        <w:instrText xml:space="preserve"> XE "</w:instrText>
      </w:r>
      <w:r w:rsidR="00F204A1" w:rsidRPr="00EC0229">
        <w:rPr>
          <w:rStyle w:val="Hyperlink"/>
          <w:noProof/>
          <w:u w:val="none"/>
        </w:rPr>
        <w:instrText>Nechtansmere</w:instrText>
      </w:r>
      <w:r w:rsidR="00F204A1" w:rsidRPr="00EC0229">
        <w:instrText xml:space="preserve">" </w:instrText>
      </w:r>
      <w:r w:rsidR="00F204A1" w:rsidRPr="00EC0229">
        <w:rPr>
          <w:bCs/>
        </w:rPr>
        <w:fldChar w:fldCharType="end"/>
      </w:r>
      <w:r w:rsidR="00D8670F" w:rsidRPr="00EC0229">
        <w:rPr>
          <w:bCs/>
        </w:rPr>
        <w:t xml:space="preserve"> immediately proceeded </w:t>
      </w:r>
      <w:r w:rsidR="00D8670F" w:rsidRPr="00EC0229">
        <w:rPr>
          <w:bCs/>
        </w:rPr>
        <w:lastRenderedPageBreak/>
        <w:t xml:space="preserve">the first northern sceat, Lindisfarne was followed by a long depression. </w:t>
      </w:r>
      <w:r w:rsidR="00EE3B63" w:rsidRPr="00EC0229">
        <w:rPr>
          <w:bCs/>
        </w:rPr>
        <w:t>Albeit in staccato fashion, i</w:t>
      </w:r>
      <w:r w:rsidR="002B5C69" w:rsidRPr="00EC0229">
        <w:rPr>
          <w:bCs/>
        </w:rPr>
        <w:t xml:space="preserve">ssuers </w:t>
      </w:r>
      <w:r w:rsidR="00EE3B63" w:rsidRPr="00EC0229">
        <w:rPr>
          <w:bCs/>
        </w:rPr>
        <w:t xml:space="preserve">provided the potential for </w:t>
      </w:r>
      <w:r w:rsidR="003F2041" w:rsidRPr="00EC0229">
        <w:rPr>
          <w:bCs/>
        </w:rPr>
        <w:t>monetiz</w:t>
      </w:r>
      <w:r w:rsidR="00EE3B63" w:rsidRPr="00EC0229">
        <w:rPr>
          <w:bCs/>
        </w:rPr>
        <w:t xml:space="preserve">ation but varying local conditions </w:t>
      </w:r>
      <w:r w:rsidR="00213D09" w:rsidRPr="00EC0229">
        <w:rPr>
          <w:bCs/>
        </w:rPr>
        <w:t xml:space="preserve">exacerbated the </w:t>
      </w:r>
      <w:r w:rsidR="00EE3B63" w:rsidRPr="00EC0229">
        <w:rPr>
          <w:bCs/>
        </w:rPr>
        <w:t xml:space="preserve">erratic </w:t>
      </w:r>
      <w:r w:rsidR="00213D09" w:rsidRPr="00EC0229">
        <w:rPr>
          <w:bCs/>
        </w:rPr>
        <w:t xml:space="preserve">nature of the </w:t>
      </w:r>
      <w:r w:rsidR="00EE3B63" w:rsidRPr="00EC0229">
        <w:rPr>
          <w:bCs/>
        </w:rPr>
        <w:t>process</w:t>
      </w:r>
      <w:r w:rsidR="00213D09" w:rsidRPr="00EC0229">
        <w:rPr>
          <w:bCs/>
        </w:rPr>
        <w:t>, both temporally and spatially</w:t>
      </w:r>
      <w:r w:rsidR="00EE3B63" w:rsidRPr="00EC0229">
        <w:rPr>
          <w:bCs/>
        </w:rPr>
        <w:t xml:space="preserve">. </w:t>
      </w:r>
    </w:p>
    <w:p w14:paraId="3C79E7BC" w14:textId="77777777" w:rsidR="00D8670F" w:rsidRPr="00EC0229" w:rsidRDefault="00D8670F" w:rsidP="007600EA">
      <w:pPr>
        <w:pStyle w:val="NoSpacing"/>
        <w:spacing w:line="360" w:lineRule="auto"/>
      </w:pPr>
    </w:p>
    <w:p w14:paraId="36CE7C00" w14:textId="30C12680" w:rsidR="003E4D11" w:rsidRPr="00EC0229" w:rsidRDefault="002E5552" w:rsidP="007600EA">
      <w:pPr>
        <w:spacing w:line="360" w:lineRule="auto"/>
      </w:pPr>
      <w:r w:rsidRPr="00EC0229">
        <w:t>Despite</w:t>
      </w:r>
      <w:r w:rsidR="003E4D11" w:rsidRPr="00EC0229">
        <w:t xml:space="preserve"> the absence of historical record, </w:t>
      </w:r>
      <w:r w:rsidRPr="00EC0229">
        <w:t xml:space="preserve">it remains possible </w:t>
      </w:r>
      <w:r w:rsidR="003E4D11" w:rsidRPr="00EC0229">
        <w:t>that informal credit</w:t>
      </w:r>
      <w:r w:rsidR="008960AE" w:rsidRPr="00EC0229">
        <w:fldChar w:fldCharType="begin"/>
      </w:r>
      <w:r w:rsidR="008960AE" w:rsidRPr="00EC0229">
        <w:instrText xml:space="preserve"> XE "credit" </w:instrText>
      </w:r>
      <w:r w:rsidR="008960AE" w:rsidRPr="00EC0229">
        <w:fldChar w:fldCharType="end"/>
      </w:r>
      <w:r w:rsidR="003E4D11" w:rsidRPr="00EC0229">
        <w:t xml:space="preserve"> played an alternating </w:t>
      </w:r>
      <w:r w:rsidR="00A972E7" w:rsidRPr="00EC0229">
        <w:t>rôle</w:t>
      </w:r>
      <w:r w:rsidR="003E4D11" w:rsidRPr="00EC0229">
        <w:t xml:space="preserve"> with coinage to compensate for both denominational and production deficiencies in the latter, especially during its periodic hiatuses, </w:t>
      </w:r>
      <w:r w:rsidR="003E4D11"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367541" w:rsidRPr="00EC0229">
        <w:rPr>
          <w:i/>
        </w:rPr>
        <w:t xml:space="preserve"> </w:t>
      </w:r>
      <w:r w:rsidR="0044491F" w:rsidRPr="00EC0229">
        <w:rPr>
          <w:i/>
        </w:rPr>
        <w:t>4.02</w:t>
      </w:r>
      <w:r w:rsidR="00D91FD7" w:rsidRPr="00EC0229">
        <w:t xml:space="preserve">. </w:t>
      </w:r>
      <w:r w:rsidR="003E4D11" w:rsidRPr="00EC0229">
        <w:t xml:space="preserve">It is likely that this applied to both smaller scale, shorter term, informal credit between private individuals and more substantial, longer term, credit from moneylenders, though, conceivably, sources of the latter differed regionally between the managed estate of the </w:t>
      </w:r>
      <w:r w:rsidR="00C7553E" w:rsidRPr="00EC0229">
        <w:t>Central Lowlands</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003E4D11" w:rsidRPr="00EC0229">
        <w:t xml:space="preserve"> and the seemingly more enterprising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003E4D11" w:rsidRPr="00EC0229">
        <w:t>. The nature and structure of credit</w:t>
      </w:r>
      <w:r w:rsidR="003E4D11" w:rsidRPr="00EC0229">
        <w:rPr>
          <w:rStyle w:val="FootnoteReference"/>
        </w:rPr>
        <w:footnoteReference w:id="1304"/>
      </w:r>
      <w:r w:rsidR="003E4D11" w:rsidRPr="00EC0229">
        <w:t xml:space="preserve"> in the early medieval economy</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fldChar w:fldCharType="end"/>
      </w:r>
      <w:r w:rsidR="003E4D11" w:rsidRPr="00EC0229">
        <w:t xml:space="preserve"> </w:t>
      </w:r>
      <w:r w:rsidR="00F01BC4" w:rsidRPr="00EC0229">
        <w:t xml:space="preserve">is little understood </w:t>
      </w:r>
      <w:r w:rsidR="003E4D11" w:rsidRPr="00EC0229">
        <w:t xml:space="preserve">and the relationship of landholding to </w:t>
      </w:r>
      <w:r w:rsidR="003F2041" w:rsidRPr="00EC0229">
        <w:t>monetiz</w:t>
      </w:r>
      <w:r w:rsidR="003E4D11" w:rsidRPr="00EC0229">
        <w:t>ation</w:t>
      </w:r>
      <w:r w:rsidR="008960AE" w:rsidRPr="00EC0229">
        <w:fldChar w:fldCharType="begin"/>
      </w:r>
      <w:r w:rsidR="008960AE" w:rsidRPr="00EC0229">
        <w:instrText xml:space="preserve"> XE "monetization" </w:instrText>
      </w:r>
      <w:r w:rsidR="008960AE" w:rsidRPr="00EC0229">
        <w:fldChar w:fldCharType="end"/>
      </w:r>
      <w:r w:rsidR="003E4D11" w:rsidRPr="00EC0229">
        <w:t xml:space="preserve"> in Anglian</w:t>
      </w:r>
      <w:r w:rsidR="00D142DC" w:rsidRPr="00EC0229">
        <w:fldChar w:fldCharType="begin"/>
      </w:r>
      <w:r w:rsidR="00D142DC" w:rsidRPr="00EC0229">
        <w:instrText xml:space="preserve"> XE "Anglian" </w:instrText>
      </w:r>
      <w:r w:rsidR="00D142DC" w:rsidRPr="00EC0229">
        <w:fldChar w:fldCharType="end"/>
      </w:r>
      <w:r w:rsidR="003E4D11" w:rsidRPr="00EC0229">
        <w:t xml:space="preserve">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00F01BC4" w:rsidRPr="00EC0229">
        <w:t xml:space="preserve"> is a topic</w:t>
      </w:r>
      <w:r w:rsidR="003E4D11" w:rsidRPr="00EC0229">
        <w:t xml:space="preserve"> where future research (</w:t>
      </w:r>
      <w:r w:rsidR="004A62CB" w:rsidRPr="00EC0229">
        <w:fldChar w:fldCharType="begin"/>
      </w:r>
      <w:r w:rsidR="004A62CB" w:rsidRPr="00EC0229">
        <w:instrText xml:space="preserve"> PAGEREF Futureresearch \h </w:instrText>
      </w:r>
      <w:r w:rsidR="004A62CB" w:rsidRPr="00EC0229">
        <w:fldChar w:fldCharType="separate"/>
      </w:r>
      <w:r w:rsidR="0012026B">
        <w:rPr>
          <w:noProof/>
        </w:rPr>
        <w:t>323</w:t>
      </w:r>
      <w:r w:rsidR="004A62CB" w:rsidRPr="00EC0229">
        <w:fldChar w:fldCharType="end"/>
      </w:r>
      <w:r w:rsidR="003E4D11" w:rsidRPr="00EC0229">
        <w:t>) is indicated.</w:t>
      </w:r>
    </w:p>
    <w:p w14:paraId="73CCAAB9" w14:textId="435D6A01" w:rsidR="002A7E00" w:rsidRPr="007C71C5" w:rsidRDefault="007C71C5" w:rsidP="007C71C5">
      <w:pPr>
        <w:pStyle w:val="Heading4"/>
        <w:rPr>
          <w:b/>
        </w:rPr>
      </w:pPr>
      <w:bookmarkStart w:id="967" w:name="ConclusionsBalance"/>
      <w:bookmarkStart w:id="968" w:name="_Toc468266965"/>
      <w:bookmarkEnd w:id="967"/>
      <w:r w:rsidRPr="007C71C5">
        <w:rPr>
          <w:b/>
        </w:rPr>
        <w:t>9.2.1.2</w:t>
      </w:r>
      <w:r w:rsidRPr="007C71C5">
        <w:rPr>
          <w:b/>
        </w:rPr>
        <w:tab/>
      </w:r>
      <w:r w:rsidR="006E47ED" w:rsidRPr="007C71C5">
        <w:rPr>
          <w:b/>
        </w:rPr>
        <w:t>Power</w:t>
      </w:r>
      <w:bookmarkEnd w:id="968"/>
    </w:p>
    <w:p w14:paraId="36FF4430" w14:textId="35166A01" w:rsidR="007A7781" w:rsidRPr="00EC0229" w:rsidRDefault="00B238BB" w:rsidP="007A7781">
      <w:pPr>
        <w:pStyle w:val="NoSpacing"/>
        <w:spacing w:line="360" w:lineRule="auto"/>
      </w:pPr>
      <w:r>
        <w:t>Objective: t</w:t>
      </w:r>
      <w:r w:rsidR="007A7781" w:rsidRPr="00EC0229">
        <w:t>o describe how Northumbrian coinage reflects the exercise and balance of power, specifically between church and state</w:t>
      </w:r>
      <w:r>
        <w:t>.</w:t>
      </w:r>
    </w:p>
    <w:p w14:paraId="377AC9F6" w14:textId="77777777" w:rsidR="00652B28" w:rsidRDefault="00652B28" w:rsidP="007600EA">
      <w:pPr>
        <w:pStyle w:val="NoSpacing"/>
        <w:spacing w:line="360" w:lineRule="auto"/>
        <w:rPr>
          <w:szCs w:val="24"/>
        </w:rPr>
      </w:pPr>
    </w:p>
    <w:p w14:paraId="3D73C5F9" w14:textId="7AAB7D27" w:rsidR="00ED3E21" w:rsidRPr="00EC0229" w:rsidRDefault="00652B28" w:rsidP="007600EA">
      <w:pPr>
        <w:pStyle w:val="NoSpacing"/>
        <w:spacing w:line="360" w:lineRule="auto"/>
        <w:rPr>
          <w:szCs w:val="24"/>
        </w:rPr>
      </w:pPr>
      <w:r>
        <w:rPr>
          <w:szCs w:val="24"/>
        </w:rPr>
        <w:t>The candidate has established, unequivocally, that t</w:t>
      </w:r>
      <w:r w:rsidR="00ED3E21" w:rsidRPr="00EC0229">
        <w:rPr>
          <w:szCs w:val="24"/>
        </w:rPr>
        <w:t>he York</w:t>
      </w:r>
      <w:r w:rsidR="006B1593" w:rsidRPr="00EC0229">
        <w:rPr>
          <w:szCs w:val="24"/>
        </w:rPr>
        <w:fldChar w:fldCharType="begin"/>
      </w:r>
      <w:r w:rsidR="006B1593" w:rsidRPr="00EC0229">
        <w:instrText xml:space="preserve"> XE "</w:instrText>
      </w:r>
      <w:r w:rsidR="006B1593" w:rsidRPr="00EC0229">
        <w:rPr>
          <w:noProof/>
        </w:rPr>
        <w:instrText>York</w:instrText>
      </w:r>
      <w:r w:rsidR="006B1593" w:rsidRPr="00EC0229">
        <w:instrText xml:space="preserve">" </w:instrText>
      </w:r>
      <w:r w:rsidR="006B1593" w:rsidRPr="00EC0229">
        <w:rPr>
          <w:szCs w:val="24"/>
        </w:rPr>
        <w:fldChar w:fldCharType="end"/>
      </w:r>
      <w:r w:rsidR="00ED3E21" w:rsidRPr="00EC0229">
        <w:rPr>
          <w:szCs w:val="24"/>
        </w:rPr>
        <w:t xml:space="preserve"> gold</w:t>
      </w:r>
      <w:r w:rsidR="008960AE" w:rsidRPr="00EC0229">
        <w:rPr>
          <w:szCs w:val="24"/>
        </w:rPr>
        <w:fldChar w:fldCharType="begin"/>
      </w:r>
      <w:r w:rsidR="008960AE" w:rsidRPr="00EC0229">
        <w:instrText xml:space="preserve"> XE "</w:instrText>
      </w:r>
      <w:r w:rsidR="008960AE" w:rsidRPr="00EC0229">
        <w:rPr>
          <w:rFonts w:eastAsia="Times New Roman" w:cs="Times New Roman"/>
          <w:szCs w:val="24"/>
          <w:lang w:eastAsia="en-GB"/>
        </w:rPr>
        <w:instrText>gold</w:instrText>
      </w:r>
      <w:r w:rsidR="008960AE" w:rsidRPr="00EC0229">
        <w:instrText xml:space="preserve">" </w:instrText>
      </w:r>
      <w:r w:rsidR="008960AE" w:rsidRPr="00EC0229">
        <w:rPr>
          <w:szCs w:val="24"/>
        </w:rPr>
        <w:fldChar w:fldCharType="end"/>
      </w:r>
      <w:r w:rsidR="00ED3E21" w:rsidRPr="00EC0229">
        <w:rPr>
          <w:szCs w:val="24"/>
        </w:rPr>
        <w:t xml:space="preserve"> shilling (</w:t>
      </w:r>
      <w:r w:rsidR="009C7C3E" w:rsidRPr="00EC0229">
        <w:rPr>
          <w:szCs w:val="24"/>
        </w:rPr>
        <w:fldChar w:fldCharType="begin"/>
      </w:r>
      <w:r w:rsidR="009C7C3E" w:rsidRPr="00EC0229">
        <w:rPr>
          <w:szCs w:val="24"/>
        </w:rPr>
        <w:instrText xml:space="preserve"> PAGEREF goldshillingofYork \h </w:instrText>
      </w:r>
      <w:r w:rsidR="009C7C3E" w:rsidRPr="00EC0229">
        <w:rPr>
          <w:szCs w:val="24"/>
        </w:rPr>
      </w:r>
      <w:r w:rsidR="009C7C3E" w:rsidRPr="00EC0229">
        <w:rPr>
          <w:szCs w:val="24"/>
        </w:rPr>
        <w:fldChar w:fldCharType="separate"/>
      </w:r>
      <w:r w:rsidR="0012026B">
        <w:rPr>
          <w:noProof/>
          <w:szCs w:val="24"/>
        </w:rPr>
        <w:t>96</w:t>
      </w:r>
      <w:r w:rsidR="009C7C3E" w:rsidRPr="00EC0229">
        <w:rPr>
          <w:szCs w:val="24"/>
        </w:rPr>
        <w:fldChar w:fldCharType="end"/>
      </w:r>
      <w:r w:rsidR="00ED3E21" w:rsidRPr="00EC0229">
        <w:rPr>
          <w:szCs w:val="24"/>
        </w:rPr>
        <w:t xml:space="preserve">) </w:t>
      </w:r>
      <w:r w:rsidR="00761B56" w:rsidRPr="00EC0229">
        <w:rPr>
          <w:szCs w:val="24"/>
        </w:rPr>
        <w:t>is</w:t>
      </w:r>
      <w:r w:rsidR="00ED3E21" w:rsidRPr="00EC0229">
        <w:rPr>
          <w:szCs w:val="24"/>
        </w:rPr>
        <w:t xml:space="preserve"> an episcopal emission</w:t>
      </w:r>
      <w:r w:rsidR="0032751F" w:rsidRPr="00EC0229">
        <w:rPr>
          <w:szCs w:val="24"/>
        </w:rPr>
        <w:t>. Moreover,</w:t>
      </w:r>
      <w:r w:rsidR="00ED3E21" w:rsidRPr="00EC0229">
        <w:rPr>
          <w:szCs w:val="24"/>
        </w:rPr>
        <w:t xml:space="preserve"> the joint issues of sceats (</w:t>
      </w:r>
      <w:r w:rsidR="009C7C3E" w:rsidRPr="00EC0229">
        <w:rPr>
          <w:szCs w:val="24"/>
        </w:rPr>
        <w:fldChar w:fldCharType="begin"/>
      </w:r>
      <w:r w:rsidR="009C7C3E" w:rsidRPr="00EC0229">
        <w:rPr>
          <w:szCs w:val="24"/>
        </w:rPr>
        <w:instrText xml:space="preserve"> PAGEREF PeriodN7 \h </w:instrText>
      </w:r>
      <w:r w:rsidR="009C7C3E" w:rsidRPr="00EC0229">
        <w:rPr>
          <w:szCs w:val="24"/>
        </w:rPr>
      </w:r>
      <w:r w:rsidR="009C7C3E" w:rsidRPr="00EC0229">
        <w:rPr>
          <w:szCs w:val="24"/>
        </w:rPr>
        <w:fldChar w:fldCharType="separate"/>
      </w:r>
      <w:r w:rsidR="0012026B">
        <w:rPr>
          <w:noProof/>
          <w:szCs w:val="24"/>
        </w:rPr>
        <w:t>126</w:t>
      </w:r>
      <w:r w:rsidR="009C7C3E" w:rsidRPr="00EC0229">
        <w:rPr>
          <w:szCs w:val="24"/>
        </w:rPr>
        <w:fldChar w:fldCharType="end"/>
      </w:r>
      <w:r w:rsidR="00ED3E21" w:rsidRPr="00EC0229">
        <w:rPr>
          <w:szCs w:val="24"/>
        </w:rPr>
        <w:t xml:space="preserve">) </w:t>
      </w:r>
      <w:r w:rsidR="005279DB" w:rsidRPr="00EC0229">
        <w:rPr>
          <w:szCs w:val="24"/>
        </w:rPr>
        <w:t>and the heavy involvement of the bishops as styca issuers (</w:t>
      </w:r>
      <w:r w:rsidR="005279DB" w:rsidRPr="00EC0229">
        <w:rPr>
          <w:szCs w:val="24"/>
        </w:rPr>
        <w:fldChar w:fldCharType="begin"/>
      </w:r>
      <w:r w:rsidR="005279DB" w:rsidRPr="00EC0229">
        <w:rPr>
          <w:szCs w:val="24"/>
        </w:rPr>
        <w:instrText xml:space="preserve"> PAGEREF PeriodsN910 \h </w:instrText>
      </w:r>
      <w:r w:rsidR="005279DB" w:rsidRPr="00EC0229">
        <w:rPr>
          <w:szCs w:val="24"/>
        </w:rPr>
      </w:r>
      <w:r w:rsidR="005279DB" w:rsidRPr="00EC0229">
        <w:rPr>
          <w:szCs w:val="24"/>
        </w:rPr>
        <w:fldChar w:fldCharType="separate"/>
      </w:r>
      <w:r w:rsidR="0012026B">
        <w:rPr>
          <w:noProof/>
          <w:szCs w:val="24"/>
        </w:rPr>
        <w:t>132</w:t>
      </w:r>
      <w:r w:rsidR="005279DB" w:rsidRPr="00EC0229">
        <w:rPr>
          <w:szCs w:val="24"/>
        </w:rPr>
        <w:fldChar w:fldCharType="end"/>
      </w:r>
      <w:r w:rsidR="005279DB" w:rsidRPr="00EC0229">
        <w:rPr>
          <w:szCs w:val="24"/>
        </w:rPr>
        <w:t xml:space="preserve">), </w:t>
      </w:r>
      <w:r w:rsidR="0032751F" w:rsidRPr="00EC0229">
        <w:rPr>
          <w:szCs w:val="24"/>
        </w:rPr>
        <w:t xml:space="preserve">are interpreted </w:t>
      </w:r>
      <w:r w:rsidR="00ED3E21" w:rsidRPr="00EC0229">
        <w:rPr>
          <w:szCs w:val="24"/>
        </w:rPr>
        <w:t>as indicative both of the balance of power favouring the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00ED3E21" w:rsidRPr="00EC0229">
        <w:rPr>
          <w:szCs w:val="24"/>
        </w:rPr>
        <w:t xml:space="preserve"> and of the bishops exercising greater political acuity. To collect renders</w:t>
      </w:r>
      <w:r w:rsidR="00E1065A" w:rsidRPr="00EC0229">
        <w:rPr>
          <w:szCs w:val="24"/>
        </w:rPr>
        <w:t>,</w:t>
      </w:r>
      <w:r w:rsidR="00ED3E21" w:rsidRPr="00EC0229">
        <w:rPr>
          <w:szCs w:val="24"/>
        </w:rPr>
        <w:t xml:space="preserve"> the king was peripatetic, while the archbishop remained in his power base, issuin</w:t>
      </w:r>
      <w:r w:rsidR="00B5224D" w:rsidRPr="00EC0229">
        <w:rPr>
          <w:szCs w:val="24"/>
        </w:rPr>
        <w:t xml:space="preserve">g coins when he chose, </w:t>
      </w:r>
      <w:r w:rsidR="00ED3E21" w:rsidRPr="00EC0229">
        <w:rPr>
          <w:szCs w:val="24"/>
        </w:rPr>
        <w:t>not exclusively for monetary reasons but to support his congregation and estates and to promote the cultural blossoming of Northumbria</w:t>
      </w:r>
      <w:r w:rsidR="00584C42" w:rsidRPr="00EC0229">
        <w:rPr>
          <w:szCs w:val="24"/>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szCs w:val="24"/>
        </w:rPr>
        <w:fldChar w:fldCharType="end"/>
      </w:r>
      <w:r w:rsidR="00ED3E21" w:rsidRPr="00EC0229">
        <w:rPr>
          <w:szCs w:val="24"/>
        </w:rPr>
        <w:t xml:space="preserve">, collecting dues by faith not force – and, were church dues imposed in coin, </w:t>
      </w:r>
      <w:r w:rsidR="003F2041" w:rsidRPr="00EC0229">
        <w:rPr>
          <w:szCs w:val="24"/>
        </w:rPr>
        <w:t>monetiz</w:t>
      </w:r>
      <w:r w:rsidR="00ED3E21" w:rsidRPr="00EC0229">
        <w:rPr>
          <w:szCs w:val="24"/>
        </w:rPr>
        <w:t>ation</w:t>
      </w:r>
      <w:r w:rsidR="008960AE" w:rsidRPr="00EC0229">
        <w:rPr>
          <w:szCs w:val="24"/>
        </w:rPr>
        <w:fldChar w:fldCharType="begin"/>
      </w:r>
      <w:r w:rsidR="008960AE" w:rsidRPr="00EC0229">
        <w:instrText xml:space="preserve"> XE "monetization" </w:instrText>
      </w:r>
      <w:r w:rsidR="008960AE" w:rsidRPr="00EC0229">
        <w:rPr>
          <w:szCs w:val="24"/>
        </w:rPr>
        <w:fldChar w:fldCharType="end"/>
      </w:r>
      <w:r w:rsidR="00ED3E21" w:rsidRPr="00EC0229">
        <w:rPr>
          <w:szCs w:val="24"/>
        </w:rPr>
        <w:t xml:space="preserve"> would be catalysed.</w:t>
      </w:r>
      <w:r w:rsidR="003767B7" w:rsidRPr="00EC0229">
        <w:rPr>
          <w:szCs w:val="24"/>
        </w:rPr>
        <w:t xml:space="preserve"> </w:t>
      </w:r>
    </w:p>
    <w:p w14:paraId="1E7921BF" w14:textId="77777777" w:rsidR="003767B7" w:rsidRPr="00EC0229" w:rsidRDefault="003767B7" w:rsidP="007600EA">
      <w:pPr>
        <w:pStyle w:val="NoSpacing"/>
        <w:spacing w:line="360" w:lineRule="auto"/>
        <w:rPr>
          <w:szCs w:val="24"/>
        </w:rPr>
      </w:pPr>
    </w:p>
    <w:p w14:paraId="281050FD" w14:textId="2D5E3EBC" w:rsidR="003767B7" w:rsidRPr="00EC0229" w:rsidRDefault="00E1065A" w:rsidP="007600EA">
      <w:pPr>
        <w:pStyle w:val="NoSpacing"/>
        <w:spacing w:line="360" w:lineRule="auto"/>
        <w:rPr>
          <w:szCs w:val="24"/>
        </w:rPr>
      </w:pPr>
      <w:r w:rsidRPr="00EC0229">
        <w:rPr>
          <w:szCs w:val="24"/>
        </w:rPr>
        <w:t>Specifically,</w:t>
      </w:r>
      <w:r w:rsidR="003767B7" w:rsidRPr="00EC0229">
        <w:rPr>
          <w:szCs w:val="24"/>
        </w:rPr>
        <w:t xml:space="preserve"> in the case of Ecgberht, </w:t>
      </w:r>
      <w:r w:rsidR="005F0376" w:rsidRPr="00EC0229">
        <w:rPr>
          <w:szCs w:val="24"/>
        </w:rPr>
        <w:t xml:space="preserve">both </w:t>
      </w:r>
      <w:r w:rsidR="003767B7" w:rsidRPr="00EC0229">
        <w:rPr>
          <w:szCs w:val="24"/>
        </w:rPr>
        <w:t xml:space="preserve">his authority and the status of his See, were enhanced, during the reign of Eadberht’s predecessor (and cousin) Ceolwulf, by receipt of </w:t>
      </w:r>
      <w:r w:rsidR="005F0376" w:rsidRPr="00EC0229">
        <w:rPr>
          <w:szCs w:val="24"/>
        </w:rPr>
        <w:t xml:space="preserve">both </w:t>
      </w:r>
      <w:r w:rsidR="003767B7" w:rsidRPr="00EC0229">
        <w:rPr>
          <w:szCs w:val="24"/>
        </w:rPr>
        <w:t xml:space="preserve">the </w:t>
      </w:r>
      <w:r w:rsidR="003767B7" w:rsidRPr="00EC0229">
        <w:rPr>
          <w:i/>
          <w:szCs w:val="24"/>
        </w:rPr>
        <w:t>pallium</w:t>
      </w:r>
      <w:r w:rsidR="003767B7" w:rsidRPr="00EC0229">
        <w:rPr>
          <w:szCs w:val="24"/>
        </w:rPr>
        <w:t xml:space="preserve"> </w:t>
      </w:r>
      <w:r w:rsidR="005F0376" w:rsidRPr="00EC0229">
        <w:rPr>
          <w:szCs w:val="24"/>
        </w:rPr>
        <w:t>(</w:t>
      </w:r>
      <w:r w:rsidR="005F0376" w:rsidRPr="00EC0229">
        <w:rPr>
          <w:szCs w:val="24"/>
        </w:rPr>
        <w:fldChar w:fldCharType="begin"/>
      </w:r>
      <w:r w:rsidR="005F0376" w:rsidRPr="00EC0229">
        <w:rPr>
          <w:szCs w:val="24"/>
        </w:rPr>
        <w:instrText xml:space="preserve"> PAGEREF pallium \h </w:instrText>
      </w:r>
      <w:r w:rsidR="005F0376" w:rsidRPr="00EC0229">
        <w:rPr>
          <w:szCs w:val="24"/>
        </w:rPr>
      </w:r>
      <w:r w:rsidR="005F0376" w:rsidRPr="00EC0229">
        <w:rPr>
          <w:szCs w:val="24"/>
        </w:rPr>
        <w:fldChar w:fldCharType="separate"/>
      </w:r>
      <w:r w:rsidR="0012026B">
        <w:rPr>
          <w:noProof/>
          <w:szCs w:val="24"/>
        </w:rPr>
        <w:t>108</w:t>
      </w:r>
      <w:r w:rsidR="005F0376" w:rsidRPr="00EC0229">
        <w:rPr>
          <w:szCs w:val="24"/>
        </w:rPr>
        <w:fldChar w:fldCharType="end"/>
      </w:r>
      <w:r w:rsidR="00827FFE" w:rsidRPr="00EC0229">
        <w:rPr>
          <w:szCs w:val="24"/>
        </w:rPr>
        <w:t>)</w:t>
      </w:r>
      <w:r w:rsidR="005F0376" w:rsidRPr="00EC0229">
        <w:rPr>
          <w:szCs w:val="24"/>
        </w:rPr>
        <w:t xml:space="preserve"> and </w:t>
      </w:r>
      <w:r w:rsidR="003767B7" w:rsidRPr="00EC0229">
        <w:rPr>
          <w:szCs w:val="24"/>
        </w:rPr>
        <w:t xml:space="preserve">Bede’s famous letter </w:t>
      </w:r>
      <w:r w:rsidR="005F0376" w:rsidRPr="00EC0229">
        <w:rPr>
          <w:szCs w:val="24"/>
        </w:rPr>
        <w:t xml:space="preserve">on </w:t>
      </w:r>
      <w:r w:rsidR="00694076" w:rsidRPr="00EC0229">
        <w:rPr>
          <w:szCs w:val="24"/>
        </w:rPr>
        <w:t>affairs</w:t>
      </w:r>
      <w:r w:rsidR="005F0376" w:rsidRPr="00EC0229">
        <w:rPr>
          <w:szCs w:val="24"/>
        </w:rPr>
        <w:t xml:space="preserve"> of state</w:t>
      </w:r>
      <w:r w:rsidR="00D96EDB" w:rsidRPr="00EC0229">
        <w:rPr>
          <w:szCs w:val="24"/>
        </w:rPr>
        <w:t xml:space="preserve">. </w:t>
      </w:r>
      <w:r w:rsidR="0019674A" w:rsidRPr="00EC0229">
        <w:rPr>
          <w:szCs w:val="24"/>
        </w:rPr>
        <w:t>Ecgberht’s much earlier arrival in office, and far greate</w:t>
      </w:r>
      <w:r w:rsidR="005F0376" w:rsidRPr="00EC0229">
        <w:rPr>
          <w:szCs w:val="24"/>
        </w:rPr>
        <w:t>r tenure, in contrast to Eadberht’s retirement to a monastic life,</w:t>
      </w:r>
      <w:r w:rsidR="0019674A" w:rsidRPr="00EC0229">
        <w:rPr>
          <w:szCs w:val="24"/>
        </w:rPr>
        <w:t xml:space="preserve"> </w:t>
      </w:r>
      <w:r w:rsidR="005F0376" w:rsidRPr="00EC0229">
        <w:rPr>
          <w:szCs w:val="24"/>
        </w:rPr>
        <w:t xml:space="preserve">hint at the </w:t>
      </w:r>
      <w:r w:rsidR="005F0376" w:rsidRPr="00EC0229">
        <w:rPr>
          <w:szCs w:val="24"/>
        </w:rPr>
        <w:lastRenderedPageBreak/>
        <w:t xml:space="preserve">former’s seniority in </w:t>
      </w:r>
      <w:r w:rsidR="008B333A" w:rsidRPr="00EC0229">
        <w:rPr>
          <w:szCs w:val="24"/>
        </w:rPr>
        <w:t>both achievement and</w:t>
      </w:r>
      <w:r w:rsidR="005F0376" w:rsidRPr="00EC0229">
        <w:rPr>
          <w:szCs w:val="24"/>
        </w:rPr>
        <w:t xml:space="preserve"> age. Ecgberht’s</w:t>
      </w:r>
      <w:r w:rsidR="0019674A" w:rsidRPr="00EC0229">
        <w:rPr>
          <w:szCs w:val="24"/>
        </w:rPr>
        <w:t xml:space="preserve"> succession of joint issues </w:t>
      </w:r>
      <w:r w:rsidR="00827FFE" w:rsidRPr="00EC0229">
        <w:rPr>
          <w:szCs w:val="24"/>
        </w:rPr>
        <w:t>(</w:t>
      </w:r>
      <w:r w:rsidR="00827FFE" w:rsidRPr="00EC0229">
        <w:rPr>
          <w:szCs w:val="24"/>
        </w:rPr>
        <w:fldChar w:fldCharType="begin"/>
      </w:r>
      <w:r w:rsidR="00827FFE" w:rsidRPr="00EC0229">
        <w:rPr>
          <w:szCs w:val="24"/>
        </w:rPr>
        <w:instrText xml:space="preserve"> PAGEREF PeriodN7 \h </w:instrText>
      </w:r>
      <w:r w:rsidR="00827FFE" w:rsidRPr="00EC0229">
        <w:rPr>
          <w:szCs w:val="24"/>
        </w:rPr>
      </w:r>
      <w:r w:rsidR="00827FFE" w:rsidRPr="00EC0229">
        <w:rPr>
          <w:szCs w:val="24"/>
        </w:rPr>
        <w:fldChar w:fldCharType="separate"/>
      </w:r>
      <w:r w:rsidR="0012026B">
        <w:rPr>
          <w:noProof/>
          <w:szCs w:val="24"/>
        </w:rPr>
        <w:t>126</w:t>
      </w:r>
      <w:r w:rsidR="00827FFE" w:rsidRPr="00EC0229">
        <w:rPr>
          <w:szCs w:val="24"/>
        </w:rPr>
        <w:fldChar w:fldCharType="end"/>
      </w:r>
      <w:r w:rsidR="00827FFE" w:rsidRPr="00EC0229">
        <w:rPr>
          <w:szCs w:val="24"/>
        </w:rPr>
        <w:t xml:space="preserve">) </w:t>
      </w:r>
      <w:r w:rsidR="005F0376" w:rsidRPr="00EC0229">
        <w:rPr>
          <w:szCs w:val="24"/>
        </w:rPr>
        <w:t>demonstrate</w:t>
      </w:r>
      <w:r w:rsidR="0019674A" w:rsidRPr="00EC0229">
        <w:rPr>
          <w:szCs w:val="24"/>
        </w:rPr>
        <w:t xml:space="preserve"> an astute political approach.</w:t>
      </w:r>
      <w:r w:rsidR="00B4230A" w:rsidRPr="00EC0229">
        <w:rPr>
          <w:rStyle w:val="FootnoteReference"/>
          <w:szCs w:val="24"/>
        </w:rPr>
        <w:footnoteReference w:id="1305"/>
      </w:r>
    </w:p>
    <w:p w14:paraId="569DACD0" w14:textId="77777777" w:rsidR="00944C23" w:rsidRPr="00EC0229" w:rsidRDefault="00944C23" w:rsidP="007600EA">
      <w:pPr>
        <w:pStyle w:val="NoSpacing"/>
        <w:spacing w:line="360" w:lineRule="auto"/>
        <w:rPr>
          <w:szCs w:val="24"/>
        </w:rPr>
      </w:pPr>
    </w:p>
    <w:p w14:paraId="1E8E6AB2" w14:textId="038B18EF" w:rsidR="00ED3E21" w:rsidRPr="00EC0229" w:rsidRDefault="00ED3E21" w:rsidP="007600EA">
      <w:pPr>
        <w:pStyle w:val="NoSpacing"/>
        <w:spacing w:line="360" w:lineRule="auto"/>
      </w:pPr>
      <w:r w:rsidRPr="00EC0229">
        <w:rPr>
          <w:szCs w:val="24"/>
        </w:rPr>
        <w:t xml:space="preserve">In </w:t>
      </w:r>
      <w:r w:rsidR="00382FD2" w:rsidRPr="00EC0229">
        <w:rPr>
          <w:szCs w:val="24"/>
        </w:rPr>
        <w:t>discussing</w:t>
      </w:r>
      <w:r w:rsidRPr="00EC0229">
        <w:rPr>
          <w:szCs w:val="24"/>
        </w:rPr>
        <w:t xml:space="preserve"> Bernicia</w:t>
      </w:r>
      <w:r w:rsidR="006B1593" w:rsidRPr="00EC0229">
        <w:rPr>
          <w:szCs w:val="24"/>
        </w:rPr>
        <w:fldChar w:fldCharType="begin"/>
      </w:r>
      <w:r w:rsidR="006B1593" w:rsidRPr="00EC0229">
        <w:instrText xml:space="preserve"> XE "</w:instrText>
      </w:r>
      <w:r w:rsidR="006B1593" w:rsidRPr="00EC0229">
        <w:rPr>
          <w:rFonts w:cs="Times New Roman"/>
          <w:noProof/>
        </w:rPr>
        <w:instrText>Bernicia</w:instrText>
      </w:r>
      <w:r w:rsidR="006B1593" w:rsidRPr="00EC0229">
        <w:instrText xml:space="preserve">" </w:instrText>
      </w:r>
      <w:r w:rsidR="006B1593" w:rsidRPr="00EC0229">
        <w:rPr>
          <w:szCs w:val="24"/>
        </w:rPr>
        <w:fldChar w:fldCharType="end"/>
      </w:r>
      <w:r w:rsidRPr="00EC0229">
        <w:rPr>
          <w:szCs w:val="24"/>
        </w:rPr>
        <w:t xml:space="preserve"> (</w:t>
      </w:r>
      <w:r w:rsidR="009C7C3E" w:rsidRPr="00EC0229">
        <w:rPr>
          <w:szCs w:val="24"/>
        </w:rPr>
        <w:fldChar w:fldCharType="begin"/>
      </w:r>
      <w:r w:rsidR="009C7C3E" w:rsidRPr="00EC0229">
        <w:rPr>
          <w:szCs w:val="24"/>
        </w:rPr>
        <w:instrText xml:space="preserve"> PAGEREF Bernicia \h </w:instrText>
      </w:r>
      <w:r w:rsidR="009C7C3E" w:rsidRPr="00EC0229">
        <w:rPr>
          <w:szCs w:val="24"/>
        </w:rPr>
      </w:r>
      <w:r w:rsidR="009C7C3E" w:rsidRPr="00EC0229">
        <w:rPr>
          <w:szCs w:val="24"/>
        </w:rPr>
        <w:fldChar w:fldCharType="separate"/>
      </w:r>
      <w:r w:rsidR="0012026B">
        <w:rPr>
          <w:noProof/>
          <w:szCs w:val="24"/>
        </w:rPr>
        <w:t>277</w:t>
      </w:r>
      <w:r w:rsidR="009C7C3E" w:rsidRPr="00EC0229">
        <w:rPr>
          <w:szCs w:val="24"/>
        </w:rPr>
        <w:fldChar w:fldCharType="end"/>
      </w:r>
      <w:r w:rsidR="0032751F" w:rsidRPr="00EC0229">
        <w:rPr>
          <w:szCs w:val="24"/>
        </w:rPr>
        <w:t>), it is</w:t>
      </w:r>
      <w:r w:rsidRPr="00EC0229">
        <w:rPr>
          <w:szCs w:val="24"/>
        </w:rPr>
        <w:t xml:space="preserve"> concluded that it is not possible to distinguish royal and church</w:t>
      </w:r>
      <w:r w:rsidR="008960AE" w:rsidRPr="00EC0229">
        <w:rPr>
          <w:szCs w:val="24"/>
        </w:rPr>
        <w:fldChar w:fldCharType="begin"/>
      </w:r>
      <w:r w:rsidR="008960AE" w:rsidRPr="00EC0229">
        <w:instrText xml:space="preserve"> XE "</w:instrText>
      </w:r>
      <w:r w:rsidR="008960AE" w:rsidRPr="00EC0229">
        <w:rPr>
          <w:rFonts w:cs="Times New Roman"/>
          <w:szCs w:val="24"/>
        </w:rPr>
        <w:instrText>church</w:instrText>
      </w:r>
      <w:r w:rsidR="008960AE" w:rsidRPr="00EC0229">
        <w:instrText xml:space="preserve">" </w:instrText>
      </w:r>
      <w:r w:rsidR="008960AE" w:rsidRPr="00EC0229">
        <w:rPr>
          <w:szCs w:val="24"/>
        </w:rPr>
        <w:fldChar w:fldCharType="end"/>
      </w:r>
      <w:r w:rsidRPr="00EC0229">
        <w:rPr>
          <w:szCs w:val="24"/>
        </w:rPr>
        <w:t xml:space="preserve"> sites by their coin profiles. </w:t>
      </w:r>
      <w:r w:rsidR="00C205B8" w:rsidRPr="00EC0229">
        <w:rPr>
          <w:szCs w:val="24"/>
        </w:rPr>
        <w:t>In both Bernicia and Deira</w:t>
      </w:r>
      <w:r w:rsidR="00D142DC" w:rsidRPr="00EC0229">
        <w:rPr>
          <w:szCs w:val="24"/>
        </w:rPr>
        <w:fldChar w:fldCharType="begin"/>
      </w:r>
      <w:r w:rsidR="00D142DC" w:rsidRPr="00EC0229">
        <w:instrText xml:space="preserve"> XE "Deira" </w:instrText>
      </w:r>
      <w:r w:rsidR="00D142DC" w:rsidRPr="00EC0229">
        <w:rPr>
          <w:szCs w:val="24"/>
        </w:rPr>
        <w:fldChar w:fldCharType="end"/>
      </w:r>
      <w:r w:rsidR="00C205B8" w:rsidRPr="00EC0229">
        <w:rPr>
          <w:szCs w:val="24"/>
        </w:rPr>
        <w:t>, w</w:t>
      </w:r>
      <w:r w:rsidRPr="00EC0229">
        <w:rPr>
          <w:szCs w:val="24"/>
        </w:rPr>
        <w:t>here coins appear in sufficient numbers to indicate trade, types linked to regal or ecclesiastical sources are comprehensively mixed.</w:t>
      </w:r>
    </w:p>
    <w:p w14:paraId="589FDE04" w14:textId="77777777" w:rsidR="00ED3E21" w:rsidRPr="00EC0229" w:rsidRDefault="00ED3E21" w:rsidP="007600EA">
      <w:pPr>
        <w:pStyle w:val="NoSpacing"/>
        <w:spacing w:line="360" w:lineRule="auto"/>
      </w:pPr>
    </w:p>
    <w:p w14:paraId="2609E891" w14:textId="1296EC9E" w:rsidR="00F93952" w:rsidRPr="00EC0229" w:rsidRDefault="00ED3E21" w:rsidP="007600EA">
      <w:pPr>
        <w:pStyle w:val="NoSpacing"/>
        <w:spacing w:line="360" w:lineRule="auto"/>
      </w:pPr>
      <w:r w:rsidRPr="00EC0229">
        <w:t>Socio-political theory, argues that before capitalism</w:t>
      </w:r>
      <w:r w:rsidR="008960AE" w:rsidRPr="00EC0229">
        <w:fldChar w:fldCharType="begin"/>
      </w:r>
      <w:r w:rsidR="008960AE" w:rsidRPr="00EC0229">
        <w:instrText xml:space="preserve"> XE "</w:instrText>
      </w:r>
      <w:r w:rsidR="008960AE" w:rsidRPr="00EC0229">
        <w:rPr>
          <w:rFonts w:cs="Times New Roman"/>
          <w:szCs w:val="24"/>
        </w:rPr>
        <w:instrText>capitalism</w:instrText>
      </w:r>
      <w:r w:rsidR="008960AE" w:rsidRPr="00EC0229">
        <w:instrText xml:space="preserve">" </w:instrText>
      </w:r>
      <w:r w:rsidR="008960AE" w:rsidRPr="00EC0229">
        <w:fldChar w:fldCharType="end"/>
      </w:r>
      <w:r w:rsidRPr="00EC0229">
        <w:t>, the theological hierarchy imposed its élite</w:t>
      </w:r>
      <w:r w:rsidR="008960AE" w:rsidRPr="00EC0229">
        <w:fldChar w:fldCharType="begin"/>
      </w:r>
      <w:r w:rsidR="008960AE" w:rsidRPr="00EC0229">
        <w:instrText xml:space="preserve"> XE "</w:instrText>
      </w:r>
      <w:r w:rsidR="008960AE" w:rsidRPr="00EC0229">
        <w:rPr>
          <w:szCs w:val="24"/>
        </w:rPr>
        <w:instrText>élite</w:instrText>
      </w:r>
      <w:r w:rsidR="008960AE" w:rsidRPr="00EC0229">
        <w:instrText xml:space="preserve">" </w:instrText>
      </w:r>
      <w:r w:rsidR="008960AE" w:rsidRPr="00EC0229">
        <w:fldChar w:fldCharType="end"/>
      </w:r>
      <w:r w:rsidRPr="00EC0229">
        <w:t xml:space="preserve"> identity through a horizontal division of society predicating </w:t>
      </w:r>
      <w:r w:rsidR="00664A20" w:rsidRPr="00EC0229">
        <w:t>‘</w:t>
      </w:r>
      <w:r w:rsidRPr="00EC0229">
        <w:t>feudal</w:t>
      </w:r>
      <w:r w:rsidR="00664A20" w:rsidRPr="00EC0229">
        <w:t>ism’</w:t>
      </w:r>
      <w:r w:rsidRPr="00EC0229">
        <w:t>.</w:t>
      </w:r>
      <w:r w:rsidR="007B0CD3" w:rsidRPr="00EC0229">
        <w:rPr>
          <w:rStyle w:val="FootnoteReference"/>
        </w:rPr>
        <w:footnoteReference w:id="1306"/>
      </w:r>
      <w:r w:rsidR="007B0CD3" w:rsidRPr="00EC0229">
        <w:t xml:space="preserve"> </w:t>
      </w:r>
      <w:r w:rsidRPr="00EC0229">
        <w:t xml:space="preserve"> Sceatta evidence may support horizontal stratification; both the southern, Conversion Period</w:t>
      </w:r>
      <w:r w:rsidR="004C29A9" w:rsidRPr="00EC0229">
        <w:fldChar w:fldCharType="begin"/>
      </w:r>
      <w:r w:rsidR="004C29A9" w:rsidRPr="00EC0229">
        <w:instrText xml:space="preserve"> XE "</w:instrText>
      </w:r>
      <w:r w:rsidR="004C29A9" w:rsidRPr="00EC0229">
        <w:rPr>
          <w:rFonts w:cs="Times New Roman"/>
        </w:rPr>
        <w:instrText>Conversion Period</w:instrText>
      </w:r>
      <w:r w:rsidR="004C29A9" w:rsidRPr="00EC0229">
        <w:instrText xml:space="preserve">" </w:instrText>
      </w:r>
      <w:r w:rsidR="004C29A9" w:rsidRPr="00EC0229">
        <w:fldChar w:fldCharType="end"/>
      </w:r>
      <w:r w:rsidRPr="00EC0229">
        <w:t>, iconography</w:t>
      </w:r>
      <w:r w:rsidR="004C29A9" w:rsidRPr="00EC0229">
        <w:fldChar w:fldCharType="begin"/>
      </w:r>
      <w:r w:rsidR="004C29A9" w:rsidRPr="00EC0229">
        <w:instrText xml:space="preserve"> XE "iconography" </w:instrText>
      </w:r>
      <w:r w:rsidR="004C29A9" w:rsidRPr="00EC0229">
        <w:fldChar w:fldCharType="end"/>
      </w:r>
      <w:r w:rsidRPr="00EC0229">
        <w:t xml:space="preserve"> and the more conservative, literate, Northumbrian designs, </w:t>
      </w:r>
      <w:r w:rsidR="00466560" w:rsidRPr="00EC0229">
        <w:t>apparently</w:t>
      </w:r>
      <w:r w:rsidRPr="00EC0229">
        <w:t xml:space="preserve"> issued only with archiepiscopal approval, may have been aimed at the élite </w:t>
      </w:r>
      <w:r w:rsidR="00EE135E" w:rsidRPr="00EC0229">
        <w:t>merchant</w:t>
      </w:r>
      <w:r w:rsidRPr="00EC0229">
        <w:t xml:space="preserve">s. </w:t>
      </w:r>
      <w:r w:rsidR="00664A20" w:rsidRPr="00EC0229">
        <w:t xml:space="preserve">The currency has a substantially larger </w:t>
      </w:r>
      <w:r w:rsidR="00A972E7" w:rsidRPr="00EC0229">
        <w:t>rôle</w:t>
      </w:r>
      <w:r w:rsidR="00664A20" w:rsidRPr="00EC0229">
        <w:t xml:space="preserve"> than a mere medium of exchange – the sceatta iconography of the Conversion Period provided powerful, even mystical, propaganda. </w:t>
      </w:r>
      <w:r w:rsidR="00D257D2" w:rsidRPr="00EC0229">
        <w:t>This also falls into a horizontal stratification under church</w:t>
      </w:r>
      <w:r w:rsidR="00D257D2" w:rsidRPr="00EC0229">
        <w:fldChar w:fldCharType="begin"/>
      </w:r>
      <w:r w:rsidR="00D257D2" w:rsidRPr="00EC0229">
        <w:instrText xml:space="preserve"> XE "</w:instrText>
      </w:r>
      <w:r w:rsidR="00D257D2" w:rsidRPr="00EC0229">
        <w:rPr>
          <w:rFonts w:cs="Times New Roman"/>
          <w:szCs w:val="24"/>
        </w:rPr>
        <w:instrText>church</w:instrText>
      </w:r>
      <w:r w:rsidR="00D257D2" w:rsidRPr="00EC0229">
        <w:instrText xml:space="preserve">" </w:instrText>
      </w:r>
      <w:r w:rsidR="00D257D2" w:rsidRPr="00EC0229">
        <w:fldChar w:fldCharType="end"/>
      </w:r>
      <w:r w:rsidR="00D257D2" w:rsidRPr="00EC0229">
        <w:t xml:space="preserve"> auspices. </w:t>
      </w:r>
      <w:r w:rsidR="00F93952" w:rsidRPr="00EC0229">
        <w:t xml:space="preserve">However, the relation of church to state is inevitably complex. Church involvement in coinage is visible </w:t>
      </w:r>
      <w:r w:rsidR="00893EFD" w:rsidRPr="00EC0229">
        <w:t xml:space="preserve">at the start and end of the circular flow - </w:t>
      </w:r>
      <w:r w:rsidR="00F93952" w:rsidRPr="00EC0229">
        <w:t xml:space="preserve">in coinage production and </w:t>
      </w:r>
      <w:r w:rsidR="00893EFD" w:rsidRPr="00EC0229">
        <w:t>fiscal extraction. Save the enduring iconographic message, church activity is less visible at the transactional stage of commerce as explained in the discussion of regional differences below (</w:t>
      </w:r>
      <w:r w:rsidR="00893EFD" w:rsidRPr="00EC0229">
        <w:fldChar w:fldCharType="begin"/>
      </w:r>
      <w:r w:rsidR="00893EFD" w:rsidRPr="00EC0229">
        <w:instrText xml:space="preserve"> PAGEREF ConclusionsRegional \h </w:instrText>
      </w:r>
      <w:r w:rsidR="00893EFD" w:rsidRPr="00EC0229">
        <w:fldChar w:fldCharType="separate"/>
      </w:r>
      <w:r w:rsidR="0012026B">
        <w:rPr>
          <w:noProof/>
        </w:rPr>
        <w:t>315</w:t>
      </w:r>
      <w:r w:rsidR="00893EFD" w:rsidRPr="00EC0229">
        <w:fldChar w:fldCharType="end"/>
      </w:r>
      <w:r w:rsidR="00893EFD" w:rsidRPr="00EC0229">
        <w:t>).</w:t>
      </w:r>
    </w:p>
    <w:p w14:paraId="44B9D44E" w14:textId="77777777" w:rsidR="00F93952" w:rsidRPr="00EC0229" w:rsidRDefault="00F93952" w:rsidP="007600EA">
      <w:pPr>
        <w:pStyle w:val="NoSpacing"/>
        <w:spacing w:line="360" w:lineRule="auto"/>
      </w:pPr>
    </w:p>
    <w:p w14:paraId="081537DE" w14:textId="79770B7B" w:rsidR="00ED3E21" w:rsidRPr="00EC0229" w:rsidRDefault="00664A20" w:rsidP="007600EA">
      <w:pPr>
        <w:pStyle w:val="NoSpacing"/>
        <w:spacing w:line="360" w:lineRule="auto"/>
      </w:pPr>
      <w:r w:rsidRPr="00EC0229">
        <w:t>The symbolism of coinage in the co</w:t>
      </w:r>
      <w:r w:rsidR="00D257D2" w:rsidRPr="00EC0229">
        <w:t xml:space="preserve">ntext of power politics is </w:t>
      </w:r>
      <w:r w:rsidRPr="00EC0229">
        <w:t>ripe for future research (</w:t>
      </w:r>
      <w:r w:rsidRPr="00EC0229">
        <w:fldChar w:fldCharType="begin"/>
      </w:r>
      <w:r w:rsidRPr="00EC0229">
        <w:instrText xml:space="preserve"> PAGEREF Futureresearch \h </w:instrText>
      </w:r>
      <w:r w:rsidRPr="00EC0229">
        <w:fldChar w:fldCharType="separate"/>
      </w:r>
      <w:r w:rsidR="0012026B">
        <w:rPr>
          <w:noProof/>
        </w:rPr>
        <w:t>323</w:t>
      </w:r>
      <w:r w:rsidRPr="00EC0229">
        <w:fldChar w:fldCharType="end"/>
      </w:r>
      <w:r w:rsidRPr="00EC0229">
        <w:t>).</w:t>
      </w:r>
      <w:r w:rsidR="00E1065A" w:rsidRPr="00EC0229">
        <w:t xml:space="preserve"> </w:t>
      </w:r>
      <w:r w:rsidR="00ED3E21" w:rsidRPr="00EC0229">
        <w:t xml:space="preserve">The styca was clearly a mass denomination penetrating deep into society, whether by design or serendipity. </w:t>
      </w:r>
      <w:r w:rsidR="00D257D2" w:rsidRPr="00EC0229">
        <w:t xml:space="preserve">Social reciprocity declined as </w:t>
      </w:r>
      <w:r w:rsidR="003F2041" w:rsidRPr="00EC0229">
        <w:t>monetiz</w:t>
      </w:r>
      <w:r w:rsidR="00D257D2" w:rsidRPr="00EC0229">
        <w:t>ation penetrated all levels of society and all transaction types.</w:t>
      </w:r>
    </w:p>
    <w:p w14:paraId="1B6F2A1E" w14:textId="77777777" w:rsidR="00E91E6C" w:rsidRPr="00EC0229" w:rsidRDefault="00E91E6C" w:rsidP="007600EA">
      <w:pPr>
        <w:pStyle w:val="NoSpacing"/>
        <w:spacing w:line="360" w:lineRule="auto"/>
      </w:pPr>
    </w:p>
    <w:p w14:paraId="0ABCD0E2" w14:textId="2027A532" w:rsidR="00E91E6C" w:rsidRPr="00EC0229" w:rsidRDefault="001F1AD9" w:rsidP="007600EA">
      <w:pPr>
        <w:pStyle w:val="NoSpacing"/>
        <w:spacing w:line="360" w:lineRule="auto"/>
        <w:rPr>
          <w:szCs w:val="24"/>
        </w:rPr>
      </w:pPr>
      <w:r w:rsidRPr="00EC0229">
        <w:t>It is</w:t>
      </w:r>
      <w:r w:rsidR="00E91E6C" w:rsidRPr="00EC0229">
        <w:t xml:space="preserve"> argued that there is no binary choice between formalism and substantivism, nor between gift and commodity economies. The rea</w:t>
      </w:r>
      <w:r w:rsidR="00664A20" w:rsidRPr="00EC0229">
        <w:t>lity is always more complex than</w:t>
      </w:r>
      <w:r w:rsidR="00E91E6C" w:rsidRPr="00EC0229">
        <w:t xml:space="preserve"> portrayed by reductionist theorising. Indeed, </w:t>
      </w:r>
      <w:r w:rsidR="00664A20" w:rsidRPr="00EC0229">
        <w:t>neither the ‘ideology of primitivism’</w:t>
      </w:r>
      <w:r w:rsidR="00664A20" w:rsidRPr="00EC0229">
        <w:rPr>
          <w:rStyle w:val="FootnoteReference"/>
        </w:rPr>
        <w:footnoteReference w:id="1307"/>
      </w:r>
      <w:r w:rsidR="00664A20" w:rsidRPr="00EC0229">
        <w:t xml:space="preserve">  nor</w:t>
      </w:r>
      <w:r w:rsidR="00E91E6C" w:rsidRPr="00EC0229">
        <w:t xml:space="preserve"> the social </w:t>
      </w:r>
      <w:r w:rsidR="00E91E6C" w:rsidRPr="00EC0229">
        <w:lastRenderedPageBreak/>
        <w:t>stratification of ‘ranked spheres of exchange’</w:t>
      </w:r>
      <w:r w:rsidR="00E91E6C" w:rsidRPr="00EC0229">
        <w:rPr>
          <w:rStyle w:val="FootnoteReference"/>
        </w:rPr>
        <w:footnoteReference w:id="1308"/>
      </w:r>
      <w:r w:rsidR="00664A20" w:rsidRPr="00EC0229">
        <w:t xml:space="preserve"> </w:t>
      </w:r>
      <w:r w:rsidR="00E91E6C" w:rsidRPr="00EC0229">
        <w:t>is appropriate to the current discussion</w:t>
      </w:r>
      <w:r w:rsidR="00664A20" w:rsidRPr="00EC0229">
        <w:t>.</w:t>
      </w:r>
      <w:r w:rsidR="00E91E6C" w:rsidRPr="00EC0229">
        <w:t xml:space="preserve"> </w:t>
      </w:r>
      <w:r w:rsidR="00664A20" w:rsidRPr="00EC0229">
        <w:t xml:space="preserve">By analogy, perhaps one could postulate ‘ranked spheres of reciprocity’. </w:t>
      </w:r>
      <w:r w:rsidR="00C54938" w:rsidRPr="00EC0229">
        <w:t xml:space="preserve">At the highest level this would have involved </w:t>
      </w:r>
      <w:r w:rsidR="00E91E6C" w:rsidRPr="00EC0229">
        <w:t xml:space="preserve">hierarchical reciprocity </w:t>
      </w:r>
      <w:r w:rsidR="00C54938" w:rsidRPr="00EC0229">
        <w:t>on the Germanic model,</w:t>
      </w:r>
      <w:r w:rsidR="00E91E6C" w:rsidRPr="00EC0229">
        <w:rPr>
          <w:rStyle w:val="FootnoteReference"/>
        </w:rPr>
        <w:footnoteReference w:id="1309"/>
      </w:r>
      <w:r w:rsidR="00E91E6C" w:rsidRPr="00EC0229">
        <w:t xml:space="preserve"> where</w:t>
      </w:r>
      <w:r w:rsidR="00C54938" w:rsidRPr="00EC0229">
        <w:t>by</w:t>
      </w:r>
      <w:r w:rsidR="00E91E6C" w:rsidRPr="00EC0229">
        <w:t xml:space="preserve"> the chieftain distributed wealth to retain the </w:t>
      </w:r>
      <w:r w:rsidR="00E91E6C" w:rsidRPr="00EC0229">
        <w:rPr>
          <w:i/>
        </w:rPr>
        <w:t>fealty</w:t>
      </w:r>
      <w:r w:rsidR="00E91E6C" w:rsidRPr="00EC0229">
        <w:t xml:space="preserve"> of the warrior aristocracy</w:t>
      </w:r>
      <w:r w:rsidR="00C650CB" w:rsidRPr="00EC0229">
        <w:t>. Such positive inducement was reinforced</w:t>
      </w:r>
      <w:r w:rsidR="00E91E6C" w:rsidRPr="00EC0229">
        <w:t xml:space="preserve"> by </w:t>
      </w:r>
      <w:r w:rsidR="00C650CB" w:rsidRPr="00EC0229">
        <w:t>negative sentiment towards the common enemy</w:t>
      </w:r>
      <w:r w:rsidR="00E91E6C" w:rsidRPr="00EC0229">
        <w:t>.</w:t>
      </w:r>
      <w:r w:rsidR="00E91E6C" w:rsidRPr="00EC0229">
        <w:rPr>
          <w:rStyle w:val="FootnoteReference"/>
        </w:rPr>
        <w:footnoteReference w:id="1310"/>
      </w:r>
      <w:r w:rsidR="0019230E" w:rsidRPr="00EC0229">
        <w:t xml:space="preserve"> This </w:t>
      </w:r>
      <w:r w:rsidR="002C1875" w:rsidRPr="00EC0229">
        <w:t xml:space="preserve">balance of privileges and obligations </w:t>
      </w:r>
      <w:r w:rsidR="00E91E6C" w:rsidRPr="00EC0229">
        <w:t xml:space="preserve">co-existed with </w:t>
      </w:r>
      <w:r w:rsidR="002C1875" w:rsidRPr="00EC0229">
        <w:t xml:space="preserve">the institutions of </w:t>
      </w:r>
      <w:r w:rsidR="0019230E" w:rsidRPr="00EC0229">
        <w:t>religion</w:t>
      </w:r>
      <w:r w:rsidR="00E91E6C" w:rsidRPr="00EC0229">
        <w:t xml:space="preserve"> as the theocracy strengthened and ‘bookland’ </w:t>
      </w:r>
      <w:r w:rsidR="002C1875" w:rsidRPr="00EC0229">
        <w:t>proliferated</w:t>
      </w:r>
      <w:r w:rsidR="00BC0DA2" w:rsidRPr="00EC0229">
        <w:t>. The reciprocal re</w:t>
      </w:r>
      <w:r w:rsidR="002C1875" w:rsidRPr="00EC0229">
        <w:t>lationship between church, monarchy</w:t>
      </w:r>
      <w:r w:rsidR="00BC0DA2" w:rsidRPr="00EC0229">
        <w:t xml:space="preserve"> and society w</w:t>
      </w:r>
      <w:r w:rsidR="002C1875" w:rsidRPr="00EC0229">
        <w:t>as</w:t>
      </w:r>
      <w:r w:rsidR="00BC0DA2" w:rsidRPr="00EC0229">
        <w:t xml:space="preserve"> multi-faceted</w:t>
      </w:r>
      <w:r w:rsidR="002C1875" w:rsidRPr="00EC0229">
        <w:t>.</w:t>
      </w:r>
      <w:r w:rsidR="0019230E" w:rsidRPr="00EC0229">
        <w:t xml:space="preserve"> </w:t>
      </w:r>
      <w:r w:rsidR="002C1875" w:rsidRPr="00EC0229">
        <w:rPr>
          <w:szCs w:val="24"/>
        </w:rPr>
        <w:t>The episcopacy not only gave sanctuary in the turmoil of eighth- and ninth-century dynastic feuding but often intervened to avoid instability, by condoning or condemning a prospective successor.</w:t>
      </w:r>
      <w:r w:rsidR="002C1875" w:rsidRPr="00EC0229">
        <w:rPr>
          <w:rStyle w:val="FootnoteReference"/>
          <w:szCs w:val="24"/>
        </w:rPr>
        <w:footnoteReference w:id="1311"/>
      </w:r>
      <w:r w:rsidR="002C1875" w:rsidRPr="00EC0229">
        <w:rPr>
          <w:szCs w:val="24"/>
        </w:rPr>
        <w:t xml:space="preserve"> T</w:t>
      </w:r>
      <w:r w:rsidR="002C1875" w:rsidRPr="00EC0229">
        <w:t xml:space="preserve">he monarchy provided physical security and a great deal of land. To the people, the church gave spiritual succour and pastoral care in exchange for unquestioning commitment to faith and, indeed, fiscal support. </w:t>
      </w:r>
      <w:r w:rsidR="00655772" w:rsidRPr="00EC0229">
        <w:t xml:space="preserve">The </w:t>
      </w:r>
      <w:r w:rsidR="00C54938" w:rsidRPr="00EC0229">
        <w:t>complex</w:t>
      </w:r>
      <w:r w:rsidR="00655772" w:rsidRPr="00EC0229">
        <w:t xml:space="preserve">ity of these </w:t>
      </w:r>
      <w:r w:rsidR="00C54938" w:rsidRPr="00EC0229">
        <w:t>arrangements</w:t>
      </w:r>
      <w:r w:rsidR="00655772" w:rsidRPr="00EC0229">
        <w:t>,</w:t>
      </w:r>
      <w:r w:rsidR="00C54938" w:rsidRPr="00EC0229">
        <w:t xml:space="preserve"> </w:t>
      </w:r>
      <w:r w:rsidR="00655772" w:rsidRPr="00EC0229">
        <w:t xml:space="preserve">albeit </w:t>
      </w:r>
      <w:r w:rsidR="008E16AD" w:rsidRPr="00EC0229">
        <w:t xml:space="preserve">here </w:t>
      </w:r>
      <w:r w:rsidR="00655772" w:rsidRPr="00EC0229">
        <w:t xml:space="preserve">oversimplified, </w:t>
      </w:r>
      <w:r w:rsidR="00C54938" w:rsidRPr="00EC0229">
        <w:t>obviate</w:t>
      </w:r>
      <w:r w:rsidR="00F676F0" w:rsidRPr="00EC0229">
        <w:t>s</w:t>
      </w:r>
      <w:r w:rsidR="002C1875" w:rsidRPr="00EC0229">
        <w:t xml:space="preserve"> reductionist theories. </w:t>
      </w:r>
      <w:r w:rsidR="009930B4" w:rsidRPr="00EC0229">
        <w:t xml:space="preserve">In the early Anglo-Saxon world, the invisible hand of </w:t>
      </w:r>
      <w:r w:rsidR="0050249A" w:rsidRPr="00EC0229">
        <w:rPr>
          <w:szCs w:val="24"/>
        </w:rPr>
        <w:t>faith</w:t>
      </w:r>
      <w:r w:rsidR="0050249A" w:rsidRPr="00EC0229">
        <w:rPr>
          <w:rStyle w:val="FootnoteReference"/>
          <w:szCs w:val="24"/>
        </w:rPr>
        <w:footnoteReference w:id="1312"/>
      </w:r>
      <w:r w:rsidR="0050249A" w:rsidRPr="00EC0229">
        <w:rPr>
          <w:szCs w:val="24"/>
        </w:rPr>
        <w:t xml:space="preserve"> </w:t>
      </w:r>
      <w:r w:rsidR="009930B4" w:rsidRPr="00EC0229">
        <w:rPr>
          <w:szCs w:val="24"/>
        </w:rPr>
        <w:t xml:space="preserve">eclipses that of </w:t>
      </w:r>
      <w:r w:rsidR="009930B4" w:rsidRPr="00EC0229">
        <w:t>the market.</w:t>
      </w:r>
    </w:p>
    <w:p w14:paraId="0C9F219A" w14:textId="0269EE34" w:rsidR="00CF018C" w:rsidRPr="00EC0229" w:rsidRDefault="00CF018C" w:rsidP="007600EA">
      <w:pPr>
        <w:pStyle w:val="NoSpacing"/>
        <w:spacing w:line="360" w:lineRule="auto"/>
        <w:rPr>
          <w:rStyle w:val="Hyperlink"/>
          <w:u w:val="none"/>
        </w:rPr>
      </w:pPr>
    </w:p>
    <w:p w14:paraId="48EE80B7" w14:textId="1D7DF141" w:rsidR="006E47ED" w:rsidRPr="007C71C5" w:rsidRDefault="002979EC" w:rsidP="007C71C5">
      <w:pPr>
        <w:pStyle w:val="Heading4"/>
        <w:rPr>
          <w:b/>
        </w:rPr>
      </w:pPr>
      <w:bookmarkStart w:id="969" w:name="ConclusionsExpropriation"/>
      <w:bookmarkStart w:id="970" w:name="ConclusionsRegional"/>
      <w:bookmarkStart w:id="971" w:name="_Toc468266966"/>
      <w:bookmarkEnd w:id="969"/>
      <w:bookmarkEnd w:id="970"/>
      <w:r>
        <w:rPr>
          <w:b/>
        </w:rPr>
        <w:t>9.2.1.3</w:t>
      </w:r>
      <w:r w:rsidR="007C71C5" w:rsidRPr="007C71C5">
        <w:rPr>
          <w:b/>
        </w:rPr>
        <w:tab/>
      </w:r>
      <w:r w:rsidR="006E47ED" w:rsidRPr="007C71C5">
        <w:rPr>
          <w:b/>
        </w:rPr>
        <w:t>Regional Differences</w:t>
      </w:r>
      <w:bookmarkEnd w:id="971"/>
      <w:r w:rsidR="006B1593" w:rsidRPr="007C71C5">
        <w:rPr>
          <w:b/>
        </w:rPr>
        <w:fldChar w:fldCharType="begin"/>
      </w:r>
      <w:r w:rsidR="006B1593" w:rsidRPr="007C71C5">
        <w:rPr>
          <w:b/>
        </w:rPr>
        <w:instrText xml:space="preserve"> XE "</w:instrText>
      </w:r>
      <w:r w:rsidR="006B1593" w:rsidRPr="007C71C5">
        <w:rPr>
          <w:b/>
          <w:noProof/>
        </w:rPr>
        <w:instrText>Regional Differences</w:instrText>
      </w:r>
      <w:r w:rsidR="006B1593" w:rsidRPr="007C71C5">
        <w:rPr>
          <w:b/>
        </w:rPr>
        <w:instrText xml:space="preserve">" </w:instrText>
      </w:r>
      <w:r w:rsidR="006B1593" w:rsidRPr="007C71C5">
        <w:rPr>
          <w:b/>
        </w:rPr>
        <w:fldChar w:fldCharType="end"/>
      </w:r>
    </w:p>
    <w:p w14:paraId="5D197FAA" w14:textId="20C233AF" w:rsidR="0095499A" w:rsidRPr="00EC0229" w:rsidRDefault="00B238BB" w:rsidP="007D1856">
      <w:pPr>
        <w:pStyle w:val="NoSpacing"/>
        <w:spacing w:line="360" w:lineRule="auto"/>
        <w:ind w:left="2160"/>
        <w:jc w:val="right"/>
        <w:rPr>
          <w:sz w:val="20"/>
          <w:szCs w:val="20"/>
        </w:rPr>
      </w:pPr>
      <w:r w:rsidRPr="00EC0229">
        <w:rPr>
          <w:sz w:val="20"/>
          <w:szCs w:val="20"/>
        </w:rPr>
        <w:t xml:space="preserve"> </w:t>
      </w:r>
      <w:r w:rsidR="0095499A" w:rsidRPr="00EC0229">
        <w:rPr>
          <w:sz w:val="20"/>
          <w:szCs w:val="20"/>
        </w:rPr>
        <w:t>‘We are…only at the beginnings of our understanding of these regional differences.’</w:t>
      </w:r>
    </w:p>
    <w:p w14:paraId="1A755D01" w14:textId="2F7696D1" w:rsidR="0095499A" w:rsidRPr="00EC0229" w:rsidRDefault="0095499A" w:rsidP="007600EA">
      <w:pPr>
        <w:pStyle w:val="NoSpacing"/>
        <w:spacing w:line="360" w:lineRule="auto"/>
        <w:jc w:val="right"/>
        <w:rPr>
          <w:sz w:val="20"/>
          <w:szCs w:val="20"/>
        </w:rPr>
      </w:pPr>
      <w:r w:rsidRPr="00EC0229">
        <w:rPr>
          <w:sz w:val="20"/>
          <w:szCs w:val="20"/>
        </w:rPr>
        <w:t>Chris Wickham (2000, 354).</w:t>
      </w:r>
      <w:r w:rsidRPr="00EC0229">
        <w:rPr>
          <w:rStyle w:val="FootnoteReference"/>
          <w:sz w:val="20"/>
          <w:szCs w:val="20"/>
        </w:rPr>
        <w:footnoteReference w:id="1313"/>
      </w:r>
    </w:p>
    <w:p w14:paraId="3E3F716A" w14:textId="77777777" w:rsidR="00B238BB" w:rsidRDefault="00B238BB" w:rsidP="00B238BB">
      <w:pPr>
        <w:pStyle w:val="NoSpacing"/>
        <w:spacing w:line="360" w:lineRule="auto"/>
      </w:pPr>
    </w:p>
    <w:p w14:paraId="7F812B38" w14:textId="2B06C850" w:rsidR="00B238BB" w:rsidRPr="00EC0229" w:rsidRDefault="00B238BB" w:rsidP="00B238BB">
      <w:pPr>
        <w:pStyle w:val="NoSpacing"/>
        <w:spacing w:line="360" w:lineRule="auto"/>
      </w:pPr>
      <w:r>
        <w:t>Objective: t</w:t>
      </w:r>
      <w:r w:rsidRPr="00EC0229">
        <w:t>o expose significant regional differences, and metro-centricity, in coin use</w:t>
      </w:r>
      <w:r>
        <w:t>.</w:t>
      </w:r>
    </w:p>
    <w:p w14:paraId="0E535FD6" w14:textId="77777777" w:rsidR="00AD5EA8" w:rsidRPr="00B238BB" w:rsidRDefault="00AD5EA8" w:rsidP="00B238BB">
      <w:pPr>
        <w:pStyle w:val="NoSpacing"/>
      </w:pPr>
    </w:p>
    <w:p w14:paraId="2F9045BF" w14:textId="1356F3BD" w:rsidR="00AD5EA8" w:rsidRPr="00EC0229" w:rsidRDefault="0044491F" w:rsidP="007600EA">
      <w:pPr>
        <w:pStyle w:val="NoSpacing"/>
        <w:spacing w:line="360" w:lineRule="auto"/>
      </w:pPr>
      <w:bookmarkStart w:id="972" w:name="Tables15"/>
      <w:r w:rsidRPr="00EC0229">
        <w:rPr>
          <w:i/>
        </w:rPr>
        <w:t xml:space="preserve">Tables </w:t>
      </w:r>
      <w:r w:rsidR="00AD5EA8" w:rsidRPr="00EC0229">
        <w:rPr>
          <w:i/>
        </w:rPr>
        <w:t>5</w:t>
      </w:r>
      <w:r w:rsidRPr="00EC0229">
        <w:rPr>
          <w:i/>
        </w:rPr>
        <w:t>.01</w:t>
      </w:r>
      <w:r w:rsidR="00733EED" w:rsidRPr="00EC0229">
        <w:rPr>
          <w:i/>
        </w:rPr>
        <w:t xml:space="preserve">–5.03 </w:t>
      </w:r>
      <w:r w:rsidR="00AD5EA8" w:rsidRPr="00EC0229">
        <w:t>provide analysis of regional coin finds by site and period (</w:t>
      </w:r>
      <w:r w:rsidR="00AD5EA8" w:rsidRPr="00EC0229">
        <w:fldChar w:fldCharType="begin"/>
      </w:r>
      <w:r w:rsidR="00AD5EA8" w:rsidRPr="00EC0229">
        <w:instrText xml:space="preserve"> PAGEREF GeographicAnalysis \h </w:instrText>
      </w:r>
      <w:r w:rsidR="00AD5EA8" w:rsidRPr="00EC0229">
        <w:fldChar w:fldCharType="separate"/>
      </w:r>
      <w:r w:rsidR="0012026B">
        <w:rPr>
          <w:noProof/>
        </w:rPr>
        <w:t>171</w:t>
      </w:r>
      <w:r w:rsidR="00AD5EA8" w:rsidRPr="00EC0229">
        <w:fldChar w:fldCharType="end"/>
      </w:r>
      <w:r w:rsidR="002E3BB3" w:rsidRPr="00EC0229">
        <w:t>). In particular,</w:t>
      </w:r>
      <w:r w:rsidR="007D2961">
        <w:t xml:space="preserve"> </w:t>
      </w:r>
      <w:r w:rsidRPr="00EC0229">
        <w:rPr>
          <w:i/>
        </w:rPr>
        <w:t xml:space="preserve">Table </w:t>
      </w:r>
      <w:r w:rsidR="00AD5EA8" w:rsidRPr="00EC0229">
        <w:rPr>
          <w:i/>
        </w:rPr>
        <w:t>5</w:t>
      </w:r>
      <w:r w:rsidR="00733EED" w:rsidRPr="00EC0229">
        <w:rPr>
          <w:i/>
        </w:rPr>
        <w:t>.03</w:t>
      </w:r>
      <w:r w:rsidR="00AD5EA8" w:rsidRPr="00EC0229">
        <w:t xml:space="preserve"> enables comparison of the progression of </w:t>
      </w:r>
      <w:r w:rsidR="003F2041" w:rsidRPr="00EC0229">
        <w:t>monetiz</w:t>
      </w:r>
      <w:r w:rsidR="00AD5EA8" w:rsidRPr="00EC0229">
        <w:t xml:space="preserve">ation, from which </w:t>
      </w:r>
      <w:r w:rsidR="00BF6095">
        <w:t>several</w:t>
      </w:r>
      <w:r w:rsidR="00AD5EA8" w:rsidRPr="00EC0229">
        <w:t xml:space="preserve"> conclusions can be drawn. Based on sites with five or more finds (</w:t>
      </w:r>
      <w:r w:rsidR="00733EED" w:rsidRPr="00EC0229">
        <w:rPr>
          <w:i/>
        </w:rPr>
        <w:t>Table 503</w:t>
      </w:r>
      <w:r w:rsidR="00AD5EA8" w:rsidRPr="00EC0229">
        <w:rPr>
          <w:i/>
        </w:rPr>
        <w:t>. A</w:t>
      </w:r>
      <w:r w:rsidR="00AD5EA8" w:rsidRPr="00EC0229">
        <w:t xml:space="preserve">), coinage volumes for the Wolds are equally divided between the eighth and ninth centuries, but for the Central Lowlands, Vale of Pickering and Bernicia 70-80% of finds are ninth century. York falls between these with 60% in the ninth century. </w:t>
      </w:r>
      <w:r w:rsidR="003F2041" w:rsidRPr="00EC0229">
        <w:t>Monetiz</w:t>
      </w:r>
      <w:r w:rsidR="00AD5EA8" w:rsidRPr="00EC0229">
        <w:t>ation for the Wolds is earlier and heavier. Bringing into account all sites (</w:t>
      </w:r>
      <w:r w:rsidR="00733EED" w:rsidRPr="00EC0229">
        <w:rPr>
          <w:i/>
        </w:rPr>
        <w:t>Table 503</w:t>
      </w:r>
      <w:r w:rsidR="00AD5EA8" w:rsidRPr="00EC0229">
        <w:rPr>
          <w:i/>
        </w:rPr>
        <w:t>. B</w:t>
      </w:r>
      <w:r w:rsidR="00AD5EA8" w:rsidRPr="00EC0229">
        <w:t xml:space="preserve">.), it is evident that smaller sites </w:t>
      </w:r>
      <w:r w:rsidR="00AD5EA8" w:rsidRPr="00EC0229">
        <w:lastRenderedPageBreak/>
        <w:t xml:space="preserve">predominate strongly in the Central Lowlands, Beverley and the Vale of Pickering. </w:t>
      </w:r>
      <w:r w:rsidR="002E3BB3" w:rsidRPr="00EC0229">
        <w:t>Again,</w:t>
      </w:r>
      <w:r w:rsidR="00AD5EA8" w:rsidRPr="00EC0229">
        <w:t xml:space="preserve"> the Wolds present a more balanced picture. This again points to a veneer of finds in the lowland areas. Beverley is </w:t>
      </w:r>
      <w:r w:rsidR="003F2041" w:rsidRPr="00EC0229">
        <w:t>monetiz</w:t>
      </w:r>
      <w:r w:rsidR="00AD5EA8" w:rsidRPr="00EC0229">
        <w:t>ed before its hinterland, but in the Central Lowlands and Vale of Pickering the small sites are earlier than larger sites</w:t>
      </w:r>
      <w:r w:rsidR="005641E5" w:rsidRPr="00EC0229">
        <w:t>.</w:t>
      </w:r>
      <w:r w:rsidR="00AD5EA8" w:rsidRPr="00EC0229">
        <w:t xml:space="preserve"> </w:t>
      </w:r>
    </w:p>
    <w:bookmarkEnd w:id="972"/>
    <w:p w14:paraId="617E7901" w14:textId="77777777" w:rsidR="00AD5EA8" w:rsidRPr="00EC0229" w:rsidRDefault="00AD5EA8" w:rsidP="007600EA">
      <w:pPr>
        <w:pStyle w:val="NoSpacing"/>
        <w:spacing w:line="360" w:lineRule="auto"/>
      </w:pPr>
    </w:p>
    <w:p w14:paraId="5B97AAAC" w14:textId="2FA895F5" w:rsidR="002A7E00" w:rsidRPr="00EC0229" w:rsidRDefault="002A7E00" w:rsidP="007600EA">
      <w:pPr>
        <w:pStyle w:val="NoSpacing"/>
        <w:spacing w:line="360" w:lineRule="auto"/>
        <w:rPr>
          <w:color w:val="0563C1" w:themeColor="hyperlink"/>
        </w:rPr>
      </w:pPr>
      <w:r w:rsidRPr="00EC0229">
        <w:t>It may well be that the types of detecting bias</w:t>
      </w:r>
      <w:r w:rsidR="0063709C" w:rsidRPr="00EC0229">
        <w:t xml:space="preserve"> described by </w:t>
      </w:r>
      <w:r w:rsidRPr="00EC0229">
        <w:t xml:space="preserve">Robbins are responsible for the paucity and distribution of reported finds from the north of the study area. Only nine locations are included in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Pr="00EC0229">
        <w:rPr>
          <w:i/>
        </w:rPr>
        <w:t xml:space="preserve"> </w:t>
      </w:r>
      <w:r w:rsidR="001641C3" w:rsidRPr="00EC0229">
        <w:rPr>
          <w:i/>
        </w:rPr>
        <w:t>6</w:t>
      </w:r>
      <w:r w:rsidR="0044491F" w:rsidRPr="00EC0229">
        <w:rPr>
          <w:i/>
        </w:rPr>
        <w:t>.03</w:t>
      </w:r>
      <w:r w:rsidRPr="00EC0229">
        <w:rPr>
          <w:i/>
        </w:rPr>
        <w:t xml:space="preserve"> </w:t>
      </w:r>
      <w:r w:rsidRPr="00EC0229">
        <w:t>for Northumberland and these are clustered not far from the Great North Road in the narrow coastal plain between Bamburgh</w:t>
      </w:r>
      <w:r w:rsidR="006B1593" w:rsidRPr="00EC0229">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fldChar w:fldCharType="end"/>
      </w:r>
      <w:r w:rsidRPr="00EC0229">
        <w:t xml:space="preserve"> and Hexham</w:t>
      </w:r>
      <w:r w:rsidR="00D142DC" w:rsidRPr="00EC0229">
        <w:fldChar w:fldCharType="begin"/>
      </w:r>
      <w:r w:rsidR="00D142DC" w:rsidRPr="00EC0229">
        <w:instrText xml:space="preserve"> XE "Hexham" </w:instrText>
      </w:r>
      <w:r w:rsidR="00D142DC" w:rsidRPr="00EC0229">
        <w:fldChar w:fldCharType="end"/>
      </w:r>
      <w:r w:rsidRPr="00EC0229">
        <w:t xml:space="preserve">. The absence of finds from key </w:t>
      </w:r>
      <w:hyperlink r:id="rId516" w:history="1">
        <w:r w:rsidRPr="00EC0229">
          <w:t>Bernician</w:t>
        </w:r>
      </w:hyperlink>
      <w:r w:rsidRPr="00EC0229">
        <w:rPr>
          <w:rStyle w:val="Hyperlink"/>
          <w:color w:val="000000" w:themeColor="text1"/>
          <w:u w:val="none"/>
        </w:rPr>
        <w:t xml:space="preserve"> </w:t>
      </w:r>
      <w:r w:rsidRPr="00EC0229">
        <w:t xml:space="preserve">sites </w:t>
      </w:r>
      <w:r w:rsidR="00F12CB3" w:rsidRPr="00EC0229">
        <w:t>(</w:t>
      </w:r>
      <w:r w:rsidR="009A31FF" w:rsidRPr="00EC0229">
        <w:fldChar w:fldCharType="begin"/>
      </w:r>
      <w:r w:rsidR="009A31FF" w:rsidRPr="00EC0229">
        <w:instrText xml:space="preserve"> PAGEREF Bernicia \h </w:instrText>
      </w:r>
      <w:r w:rsidR="009A31FF" w:rsidRPr="00EC0229">
        <w:fldChar w:fldCharType="separate"/>
      </w:r>
      <w:r w:rsidR="0012026B">
        <w:rPr>
          <w:noProof/>
        </w:rPr>
        <w:t>277</w:t>
      </w:r>
      <w:r w:rsidR="009A31FF" w:rsidRPr="00EC0229">
        <w:fldChar w:fldCharType="end"/>
      </w:r>
      <w:r w:rsidR="00F12CB3" w:rsidRPr="00EC0229">
        <w:t xml:space="preserve">) </w:t>
      </w:r>
      <w:r w:rsidRPr="00EC0229">
        <w:t>and concentration in others, for both the Roman</w:t>
      </w:r>
      <w:r w:rsidR="00D142DC" w:rsidRPr="00EC0229">
        <w:fldChar w:fldCharType="begin"/>
      </w:r>
      <w:r w:rsidR="00D142DC" w:rsidRPr="00EC0229">
        <w:instrText xml:space="preserve"> XE "Roman" </w:instrText>
      </w:r>
      <w:r w:rsidR="00D142DC" w:rsidRPr="00EC0229">
        <w:fldChar w:fldCharType="end"/>
      </w:r>
      <w:r w:rsidRPr="00EC0229">
        <w:rPr>
          <w:rStyle w:val="FootnoteReference"/>
        </w:rPr>
        <w:footnoteReference w:id="1314"/>
      </w:r>
      <w:r w:rsidRPr="00EC0229">
        <w:t xml:space="preserve"> and early Anglo-Saxon</w:t>
      </w:r>
      <w:r w:rsidR="00F204A1" w:rsidRPr="00EC0229">
        <w:fldChar w:fldCharType="begin"/>
      </w:r>
      <w:r w:rsidR="00F204A1" w:rsidRPr="00EC0229">
        <w:instrText xml:space="preserve"> XE "</w:instrText>
      </w:r>
      <w:r w:rsidR="00F204A1" w:rsidRPr="00EC0229">
        <w:rPr>
          <w:rStyle w:val="Hyperlink"/>
          <w:noProof/>
          <w:u w:val="none"/>
        </w:rPr>
        <w:instrText>Anglo-Saxon</w:instrText>
      </w:r>
      <w:r w:rsidR="00F204A1" w:rsidRPr="00EC0229">
        <w:instrText xml:space="preserve">" </w:instrText>
      </w:r>
      <w:r w:rsidR="00F204A1" w:rsidRPr="00EC0229">
        <w:fldChar w:fldCharType="end"/>
      </w:r>
      <w:r w:rsidRPr="00EC0229">
        <w:t xml:space="preserve"> periods, contrasts sharply with Deira</w:t>
      </w:r>
      <w:r w:rsidR="00D142DC" w:rsidRPr="00EC0229">
        <w:fldChar w:fldCharType="begin"/>
      </w:r>
      <w:r w:rsidR="00D142DC" w:rsidRPr="00EC0229">
        <w:instrText xml:space="preserve"> XE "Deira" </w:instrText>
      </w:r>
      <w:r w:rsidR="00D142DC" w:rsidRPr="00EC0229">
        <w:fldChar w:fldCharType="end"/>
      </w:r>
      <w:r w:rsidRPr="00EC0229">
        <w:t>, with its widespread pattern of associated coins and artefacts, though both typically feature evidence of long-distance trade</w:t>
      </w:r>
      <w:r w:rsidR="008960AE" w:rsidRPr="00EC0229">
        <w:fldChar w:fldCharType="begin"/>
      </w:r>
      <w:r w:rsidR="008960AE" w:rsidRPr="00EC0229">
        <w:instrText xml:space="preserve"> XE "</w:instrText>
      </w:r>
      <w:r w:rsidR="008960AE" w:rsidRPr="00EC0229">
        <w:rPr>
          <w:rFonts w:cs="Times New Roman"/>
          <w:szCs w:val="24"/>
        </w:rPr>
        <w:instrText>long-distance trade</w:instrText>
      </w:r>
      <w:r w:rsidR="008960AE" w:rsidRPr="00EC0229">
        <w:instrText xml:space="preserve">" </w:instrText>
      </w:r>
      <w:r w:rsidR="008960AE" w:rsidRPr="00EC0229">
        <w:fldChar w:fldCharType="end"/>
      </w:r>
      <w:r w:rsidRPr="00EC0229">
        <w:t xml:space="preserve">. </w:t>
      </w:r>
      <w:r w:rsidR="004B7B78" w:rsidRPr="00EC0229">
        <w:rPr>
          <w:i/>
        </w:rPr>
        <w:t xml:space="preserve">Graphs </w:t>
      </w:r>
      <w:r w:rsidR="007B0CF7" w:rsidRPr="00EC0229">
        <w:rPr>
          <w:rStyle w:val="Hyperlink"/>
          <w:i/>
          <w:color w:val="000000" w:themeColor="text1"/>
          <w:u w:val="none"/>
        </w:rPr>
        <w:t xml:space="preserve">10 &amp; </w:t>
      </w:r>
      <w:r w:rsidR="007B0CF7" w:rsidRPr="00EC0229">
        <w:rPr>
          <w:i/>
        </w:rPr>
        <w:t xml:space="preserve">11 </w:t>
      </w:r>
      <w:r w:rsidRPr="00EC0229">
        <w:t>also show Bernician coin usage to be later than Deira.</w:t>
      </w:r>
    </w:p>
    <w:p w14:paraId="647B69E4" w14:textId="77777777" w:rsidR="002A7E00" w:rsidRPr="00EC0229" w:rsidRDefault="002A7E00" w:rsidP="007600EA">
      <w:pPr>
        <w:pStyle w:val="NoSpacing"/>
        <w:spacing w:line="360" w:lineRule="auto"/>
      </w:pPr>
    </w:p>
    <w:p w14:paraId="6D9A2EC3" w14:textId="17E53275" w:rsidR="002A7E00" w:rsidRPr="00EC0229" w:rsidRDefault="002A7E00" w:rsidP="007600EA">
      <w:pPr>
        <w:pStyle w:val="NoSpacing"/>
        <w:spacing w:line="360" w:lineRule="auto"/>
      </w:pPr>
      <w:r w:rsidRPr="00EC0229">
        <w:t>The contrast suggests something more than detecting bias, possibly a structural difference in social organisation.</w:t>
      </w:r>
      <w:r w:rsidRPr="00EC0229">
        <w:rPr>
          <w:rStyle w:val="FootnoteReference"/>
        </w:rPr>
        <w:footnoteReference w:id="1315"/>
      </w:r>
      <w:r w:rsidRPr="00EC0229">
        <w:t xml:space="preserve"> Deira</w:t>
      </w:r>
      <w:r w:rsidR="00D142DC" w:rsidRPr="00EC0229">
        <w:fldChar w:fldCharType="begin"/>
      </w:r>
      <w:r w:rsidR="00D142DC" w:rsidRPr="00EC0229">
        <w:instrText xml:space="preserve"> XE "Deira" </w:instrText>
      </w:r>
      <w:r w:rsidR="00D142DC" w:rsidRPr="00EC0229">
        <w:fldChar w:fldCharType="end"/>
      </w:r>
      <w:r w:rsidRPr="00EC0229">
        <w:t xml:space="preserve"> offers greater social and economic empowerment of the populace through widespread use of currency, especially the styca,</w:t>
      </w:r>
      <w:r w:rsidR="00D142DC" w:rsidRPr="00EC0229">
        <w:fldChar w:fldCharType="begin"/>
      </w:r>
      <w:r w:rsidR="00D142DC" w:rsidRPr="00EC0229">
        <w:instrText xml:space="preserve"> XE "styca" </w:instrText>
      </w:r>
      <w:r w:rsidR="00D142DC" w:rsidRPr="00EC0229">
        <w:fldChar w:fldCharType="end"/>
      </w:r>
      <w:r w:rsidRPr="00EC0229">
        <w:t xml:space="preserve"> whereas Bernician over-lordship is more stratified. The concentration of finds in controlling regal centres, Bamburgh</w:t>
      </w:r>
      <w:r w:rsidR="006B1593" w:rsidRPr="00EC0229">
        <w:fldChar w:fldCharType="begin"/>
      </w:r>
      <w:r w:rsidR="006B1593" w:rsidRPr="00EC0229">
        <w:instrText xml:space="preserve"> XE "</w:instrText>
      </w:r>
      <w:r w:rsidR="006B1593" w:rsidRPr="00EC0229">
        <w:rPr>
          <w:noProof/>
        </w:rPr>
        <w:instrText>Bamburgh</w:instrText>
      </w:r>
      <w:r w:rsidR="006B1593" w:rsidRPr="00EC0229">
        <w:instrText xml:space="preserve">" </w:instrText>
      </w:r>
      <w:r w:rsidR="006B1593" w:rsidRPr="00EC0229">
        <w:fldChar w:fldCharType="end"/>
      </w:r>
      <w:r w:rsidRPr="00EC0229">
        <w:t xml:space="preserve"> </w:t>
      </w:r>
      <w:r w:rsidR="00862F15" w:rsidRPr="00EC0229">
        <w:t>and</w:t>
      </w:r>
      <w:r w:rsidRPr="00EC0229">
        <w:t xml:space="preserve"> Yeavering</w:t>
      </w:r>
      <w:r w:rsidR="006B1593" w:rsidRPr="00EC0229">
        <w:fldChar w:fldCharType="begin"/>
      </w:r>
      <w:r w:rsidR="006B1593" w:rsidRPr="00EC0229">
        <w:instrText xml:space="preserve"> XE "</w:instrText>
      </w:r>
      <w:r w:rsidR="006B1593" w:rsidRPr="00EC0229">
        <w:rPr>
          <w:noProof/>
        </w:rPr>
        <w:instrText>Yeavering</w:instrText>
      </w:r>
      <w:r w:rsidR="006B1593" w:rsidRPr="00EC0229">
        <w:instrText xml:space="preserve">" </w:instrText>
      </w:r>
      <w:r w:rsidR="006B1593" w:rsidRPr="00EC0229">
        <w:fldChar w:fldCharType="end"/>
      </w:r>
      <w:r w:rsidRPr="00EC0229">
        <w:t xml:space="preserve">, </w:t>
      </w:r>
      <w:r w:rsidR="00CD2CA7" w:rsidRPr="00EC0229">
        <w:t>(</w:t>
      </w:r>
      <w:r w:rsidR="003B4D65" w:rsidRPr="00EC0229">
        <w:fldChar w:fldCharType="begin"/>
      </w:r>
      <w:r w:rsidR="003B4D65" w:rsidRPr="00EC0229">
        <w:instrText xml:space="preserve"> PAGEREF Bamburgh \h </w:instrText>
      </w:r>
      <w:r w:rsidR="003B4D65" w:rsidRPr="00EC0229">
        <w:fldChar w:fldCharType="separate"/>
      </w:r>
      <w:r w:rsidR="0012026B">
        <w:rPr>
          <w:noProof/>
        </w:rPr>
        <w:t>280</w:t>
      </w:r>
      <w:r w:rsidR="003B4D65" w:rsidRPr="00EC0229">
        <w:fldChar w:fldCharType="end"/>
      </w:r>
      <w:r w:rsidR="00CD2CA7" w:rsidRPr="00EC0229">
        <w:t xml:space="preserve"> &amp;</w:t>
      </w:r>
      <w:r w:rsidR="003B4D65" w:rsidRPr="00EC0229">
        <w:t xml:space="preserve"> </w:t>
      </w:r>
      <w:r w:rsidR="004B7B78" w:rsidRPr="00EC0229">
        <w:fldChar w:fldCharType="begin"/>
      </w:r>
      <w:r w:rsidR="004B7B78" w:rsidRPr="00EC0229">
        <w:instrText xml:space="preserve"> PAGEREF Yeavering \h </w:instrText>
      </w:r>
      <w:r w:rsidR="004B7B78" w:rsidRPr="00EC0229">
        <w:fldChar w:fldCharType="separate"/>
      </w:r>
      <w:r w:rsidR="0012026B">
        <w:rPr>
          <w:noProof/>
        </w:rPr>
        <w:t>278</w:t>
      </w:r>
      <w:r w:rsidR="004B7B78" w:rsidRPr="00EC0229">
        <w:fldChar w:fldCharType="end"/>
      </w:r>
      <w:r w:rsidR="00CD2CA7" w:rsidRPr="00EC0229">
        <w:t xml:space="preserve">) </w:t>
      </w:r>
      <w:r w:rsidRPr="00EC0229">
        <w:t>and ecclesiastical sites, Carlisle, Whithorn</w:t>
      </w:r>
      <w:r w:rsidR="006B1593" w:rsidRPr="00EC0229">
        <w:fldChar w:fldCharType="begin"/>
      </w:r>
      <w:r w:rsidR="006B1593" w:rsidRPr="00EC0229">
        <w:instrText xml:space="preserve"> XE "</w:instrText>
      </w:r>
      <w:r w:rsidR="006B1593" w:rsidRPr="00EC0229">
        <w:rPr>
          <w:noProof/>
        </w:rPr>
        <w:instrText>Whithorn</w:instrText>
      </w:r>
      <w:r w:rsidR="006B1593" w:rsidRPr="00EC0229">
        <w:instrText xml:space="preserve">" </w:instrText>
      </w:r>
      <w:r w:rsidR="006B1593" w:rsidRPr="00EC0229">
        <w:fldChar w:fldCharType="end"/>
      </w:r>
      <w:r w:rsidR="003B4D65" w:rsidRPr="00EC0229">
        <w:t xml:space="preserve">, </w:t>
      </w:r>
      <w:r w:rsidRPr="00EC0229">
        <w:t>Whitby</w:t>
      </w:r>
      <w:r w:rsidR="006B1593" w:rsidRPr="00EC0229">
        <w:fldChar w:fldCharType="begin"/>
      </w:r>
      <w:r w:rsidR="006B1593" w:rsidRPr="00EC0229">
        <w:instrText xml:space="preserve"> XE "</w:instrText>
      </w:r>
      <w:r w:rsidR="006B1593" w:rsidRPr="00EC0229">
        <w:rPr>
          <w:noProof/>
        </w:rPr>
        <w:instrText>Whitby</w:instrText>
      </w:r>
      <w:r w:rsidR="006B1593" w:rsidRPr="00EC0229">
        <w:instrText xml:space="preserve">" </w:instrText>
      </w:r>
      <w:r w:rsidR="006B1593" w:rsidRPr="00EC0229">
        <w:fldChar w:fldCharType="end"/>
      </w:r>
      <w:r w:rsidR="003B4D65" w:rsidRPr="00EC0229">
        <w:t xml:space="preserve"> and Lindisfarne</w:t>
      </w:r>
      <w:r w:rsidR="003B4D65" w:rsidRPr="00EC0229">
        <w:fldChar w:fldCharType="begin"/>
      </w:r>
      <w:r w:rsidR="003B4D65" w:rsidRPr="00EC0229">
        <w:instrText xml:space="preserve"> XE "</w:instrText>
      </w:r>
      <w:r w:rsidR="003B4D65" w:rsidRPr="00EC0229">
        <w:rPr>
          <w:noProof/>
        </w:rPr>
        <w:instrText>Lindisfarne</w:instrText>
      </w:r>
      <w:r w:rsidR="003B4D65" w:rsidRPr="00EC0229">
        <w:instrText xml:space="preserve">" </w:instrText>
      </w:r>
      <w:r w:rsidR="003B4D65" w:rsidRPr="00EC0229">
        <w:fldChar w:fldCharType="end"/>
      </w:r>
      <w:r w:rsidR="003B4D65" w:rsidRPr="00EC0229">
        <w:t xml:space="preserve"> </w:t>
      </w:r>
      <w:r w:rsidRPr="00EC0229">
        <w:t xml:space="preserve"> </w:t>
      </w:r>
      <w:r w:rsidR="00CD2CA7" w:rsidRPr="00EC0229">
        <w:t>(</w:t>
      </w:r>
      <w:r w:rsidR="003B4D65" w:rsidRPr="00EC0229">
        <w:fldChar w:fldCharType="begin"/>
      </w:r>
      <w:r w:rsidR="003B4D65" w:rsidRPr="00EC0229">
        <w:instrText xml:space="preserve"> PAGEREF Carlisle \h </w:instrText>
      </w:r>
      <w:r w:rsidR="003B4D65" w:rsidRPr="00EC0229">
        <w:fldChar w:fldCharType="separate"/>
      </w:r>
      <w:r w:rsidR="0012026B">
        <w:rPr>
          <w:noProof/>
        </w:rPr>
        <w:t>287</w:t>
      </w:r>
      <w:r w:rsidR="003B4D65" w:rsidRPr="00EC0229">
        <w:fldChar w:fldCharType="end"/>
      </w:r>
      <w:r w:rsidR="00CD2CA7" w:rsidRPr="00EC0229">
        <w:t xml:space="preserve">, </w:t>
      </w:r>
      <w:r w:rsidR="004B7B78" w:rsidRPr="00EC0229">
        <w:fldChar w:fldCharType="begin"/>
      </w:r>
      <w:r w:rsidR="004B7B78" w:rsidRPr="00EC0229">
        <w:instrText xml:space="preserve"> PAGEREF Whithorn \h </w:instrText>
      </w:r>
      <w:r w:rsidR="004B7B78" w:rsidRPr="00EC0229">
        <w:fldChar w:fldCharType="separate"/>
      </w:r>
      <w:r w:rsidR="0012026B">
        <w:rPr>
          <w:noProof/>
        </w:rPr>
        <w:t>283</w:t>
      </w:r>
      <w:r w:rsidR="004B7B78" w:rsidRPr="00EC0229">
        <w:fldChar w:fldCharType="end"/>
      </w:r>
      <w:r w:rsidR="003B4D65" w:rsidRPr="00EC0229">
        <w:t xml:space="preserve">, </w:t>
      </w:r>
      <w:r w:rsidR="003B4D65" w:rsidRPr="00EC0229">
        <w:fldChar w:fldCharType="begin"/>
      </w:r>
      <w:r w:rsidR="003B4D65" w:rsidRPr="00EC0229">
        <w:instrText xml:space="preserve"> PAGEREF Whitby \h </w:instrText>
      </w:r>
      <w:r w:rsidR="003B4D65" w:rsidRPr="00EC0229">
        <w:fldChar w:fldCharType="separate"/>
      </w:r>
      <w:r w:rsidR="0012026B">
        <w:rPr>
          <w:noProof/>
        </w:rPr>
        <w:t>291</w:t>
      </w:r>
      <w:r w:rsidR="003B4D65" w:rsidRPr="00EC0229">
        <w:fldChar w:fldCharType="end"/>
      </w:r>
      <w:r w:rsidR="003B4D65" w:rsidRPr="00EC0229">
        <w:t xml:space="preserve"> &amp; </w:t>
      </w:r>
      <w:r w:rsidR="003B4D65" w:rsidRPr="00EC0229">
        <w:fldChar w:fldCharType="begin"/>
      </w:r>
      <w:r w:rsidR="003B4D65" w:rsidRPr="00EC0229">
        <w:instrText xml:space="preserve"> PAGEREF Lindisfarne \h </w:instrText>
      </w:r>
      <w:r w:rsidR="003B4D65" w:rsidRPr="00EC0229">
        <w:fldChar w:fldCharType="separate"/>
      </w:r>
      <w:r w:rsidR="0012026B">
        <w:rPr>
          <w:noProof/>
        </w:rPr>
        <w:t>294</w:t>
      </w:r>
      <w:r w:rsidR="003B4D65" w:rsidRPr="00EC0229">
        <w:fldChar w:fldCharType="end"/>
      </w:r>
      <w:r w:rsidR="00CD2CA7" w:rsidRPr="00EC0229">
        <w:t xml:space="preserve">) </w:t>
      </w:r>
      <w:r w:rsidRPr="00EC0229">
        <w:t xml:space="preserve">suggests a more regulated regime, discouraging social and spatial mobility. Indeed, these </w:t>
      </w:r>
      <w:r w:rsidR="002A3E3F" w:rsidRPr="00EC0229">
        <w:t xml:space="preserve">mainly coastal locations </w:t>
      </w:r>
      <w:r w:rsidRPr="00EC0229">
        <w:t>are the only</w:t>
      </w:r>
      <w:r w:rsidR="002A3E3F" w:rsidRPr="00EC0229">
        <w:t xml:space="preserve"> ones</w:t>
      </w:r>
      <w:r w:rsidRPr="00EC0229">
        <w:t xml:space="preserve"> where coins have been found in numbers, presumably in connection with long distance trade. </w:t>
      </w:r>
      <w:r w:rsidR="00ED3F19" w:rsidRPr="00EC0229">
        <w:t xml:space="preserve">Possibly rural Bernicia was sparsely populated. </w:t>
      </w:r>
      <w:r w:rsidRPr="00EC0229">
        <w:t>The huge styca hoard from the more inland Hexham</w:t>
      </w:r>
      <w:r w:rsidR="00D142DC" w:rsidRPr="00EC0229">
        <w:fldChar w:fldCharType="begin"/>
      </w:r>
      <w:r w:rsidR="00D142DC" w:rsidRPr="00EC0229">
        <w:instrText xml:space="preserve"> XE "Hexham" </w:instrText>
      </w:r>
      <w:r w:rsidR="00D142DC" w:rsidRPr="00EC0229">
        <w:fldChar w:fldCharType="end"/>
      </w:r>
      <w:r w:rsidRPr="00EC0229">
        <w:t xml:space="preserve"> </w:t>
      </w:r>
      <w:r w:rsidR="00623B8B" w:rsidRPr="00EC0229">
        <w:t>(</w:t>
      </w:r>
      <w:r w:rsidR="009A31FF" w:rsidRPr="00EC0229">
        <w:fldChar w:fldCharType="begin"/>
      </w:r>
      <w:r w:rsidR="009A31FF" w:rsidRPr="00EC0229">
        <w:instrText xml:space="preserve"> PAGEREF Hexham \h </w:instrText>
      </w:r>
      <w:r w:rsidR="009A31FF" w:rsidRPr="00EC0229">
        <w:fldChar w:fldCharType="separate"/>
      </w:r>
      <w:r w:rsidR="0012026B">
        <w:rPr>
          <w:noProof/>
        </w:rPr>
        <w:t>138</w:t>
      </w:r>
      <w:r w:rsidR="009A31FF" w:rsidRPr="00EC0229">
        <w:fldChar w:fldCharType="end"/>
      </w:r>
      <w:r w:rsidR="00623B8B" w:rsidRPr="00EC0229">
        <w:t xml:space="preserve">) </w:t>
      </w:r>
      <w:r w:rsidRPr="00EC0229">
        <w:t xml:space="preserve">does not signify trade or travel but safe deposit of a significant, presumably ecclesiastical, </w:t>
      </w:r>
      <w:bookmarkStart w:id="973" w:name="fiscaltreasury"/>
      <w:r w:rsidRPr="00EC0229">
        <w:t xml:space="preserve">fiscal treasury </w:t>
      </w:r>
      <w:bookmarkEnd w:id="973"/>
      <w:r w:rsidRPr="00EC0229">
        <w:t>of ‘widow’s mites’</w:t>
      </w:r>
      <w:r w:rsidR="002A3E3F" w:rsidRPr="00EC0229">
        <w:t xml:space="preserve"> (</w:t>
      </w:r>
      <w:r w:rsidR="009A31FF" w:rsidRPr="00EC0229">
        <w:fldChar w:fldCharType="begin"/>
      </w:r>
      <w:r w:rsidR="009A31FF" w:rsidRPr="00EC0229">
        <w:instrText xml:space="preserve"> PAGEREF fiscaltreasury \h </w:instrText>
      </w:r>
      <w:r w:rsidR="009A31FF" w:rsidRPr="00EC0229">
        <w:fldChar w:fldCharType="separate"/>
      </w:r>
      <w:r w:rsidR="0012026B">
        <w:rPr>
          <w:noProof/>
        </w:rPr>
        <w:t>316</w:t>
      </w:r>
      <w:r w:rsidR="009A31FF" w:rsidRPr="00EC0229">
        <w:fldChar w:fldCharType="end"/>
      </w:r>
      <w:r w:rsidR="002A3E3F" w:rsidRPr="00EC0229">
        <w:t>)</w:t>
      </w:r>
      <w:r w:rsidRPr="00EC0229">
        <w:t>,</w:t>
      </w:r>
      <w:r w:rsidR="001347B2" w:rsidRPr="00EC0229">
        <w:rPr>
          <w:rStyle w:val="FootnoteReference"/>
        </w:rPr>
        <w:footnoteReference w:id="1316"/>
      </w:r>
      <w:r w:rsidRPr="00EC0229">
        <w:t xml:space="preserve"> demonstrating that paucity need not imply poverty.</w:t>
      </w:r>
      <w:r w:rsidR="00ED3F19" w:rsidRPr="00EC0229">
        <w:t xml:space="preserve"> </w:t>
      </w:r>
      <w:r w:rsidR="00B2178F" w:rsidRPr="00EC0229">
        <w:rPr>
          <w:rFonts w:cs="Times New Roman"/>
          <w:szCs w:val="24"/>
        </w:rPr>
        <w:t>A greater proportion of the populace could now be taxed, and pay church</w:t>
      </w:r>
      <w:r w:rsidR="00B2178F" w:rsidRPr="00EC0229">
        <w:rPr>
          <w:rFonts w:cs="Times New Roman"/>
          <w:szCs w:val="24"/>
        </w:rPr>
        <w:fldChar w:fldCharType="begin"/>
      </w:r>
      <w:r w:rsidR="00B2178F" w:rsidRPr="00EC0229">
        <w:instrText xml:space="preserve"> XE "</w:instrText>
      </w:r>
      <w:r w:rsidR="00B2178F" w:rsidRPr="00EC0229">
        <w:rPr>
          <w:rFonts w:cs="Times New Roman"/>
          <w:szCs w:val="24"/>
        </w:rPr>
        <w:instrText>church</w:instrText>
      </w:r>
      <w:r w:rsidR="00B2178F" w:rsidRPr="00EC0229">
        <w:instrText xml:space="preserve">" </w:instrText>
      </w:r>
      <w:r w:rsidR="00B2178F" w:rsidRPr="00EC0229">
        <w:rPr>
          <w:rFonts w:cs="Times New Roman"/>
          <w:szCs w:val="24"/>
        </w:rPr>
        <w:fldChar w:fldCharType="end"/>
      </w:r>
      <w:r w:rsidR="00B2178F" w:rsidRPr="00EC0229">
        <w:rPr>
          <w:rFonts w:cs="Times New Roman"/>
          <w:szCs w:val="24"/>
        </w:rPr>
        <w:t xml:space="preserve"> dues, in coin. </w:t>
      </w:r>
    </w:p>
    <w:p w14:paraId="4F00CE00" w14:textId="77777777" w:rsidR="002A7E00" w:rsidRPr="00EC0229" w:rsidRDefault="002A7E00" w:rsidP="007600EA">
      <w:pPr>
        <w:pStyle w:val="NoSpacing"/>
        <w:spacing w:line="360" w:lineRule="auto"/>
      </w:pPr>
    </w:p>
    <w:p w14:paraId="6CEBA3D9" w14:textId="2D9D83F3" w:rsidR="002A7E00" w:rsidRPr="00EC0229" w:rsidRDefault="002A7E00" w:rsidP="007600EA">
      <w:pPr>
        <w:pStyle w:val="NoSpacing"/>
        <w:spacing w:line="360" w:lineRule="auto"/>
      </w:pPr>
      <w:r w:rsidRPr="00EC0229">
        <w:rPr>
          <w:rFonts w:eastAsia="Times New Roman" w:cs="Times New Roman"/>
          <w:iCs/>
          <w:szCs w:val="24"/>
          <w:lang w:eastAsia="en-GB"/>
        </w:rPr>
        <w:t>Fishergate</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noProof/>
        </w:rPr>
        <w:instrText>Fishergate</w:instrText>
      </w:r>
      <w:r w:rsidR="006B1593" w:rsidRPr="00EC0229">
        <w:instrText xml:space="preserve">" </w:instrText>
      </w:r>
      <w:r w:rsidR="006B1593"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t>
      </w:r>
      <w:r w:rsidR="00623B8B" w:rsidRPr="00EC0229">
        <w:rPr>
          <w:rFonts w:eastAsia="Times New Roman" w:cs="Times New Roman"/>
          <w:iCs/>
          <w:szCs w:val="24"/>
          <w:lang w:eastAsia="en-GB"/>
        </w:rPr>
        <w:t>(</w:t>
      </w:r>
      <w:r w:rsidR="009A31FF" w:rsidRPr="00EC0229">
        <w:rPr>
          <w:rFonts w:eastAsia="Times New Roman" w:cs="Times New Roman"/>
          <w:iCs/>
          <w:szCs w:val="24"/>
          <w:lang w:eastAsia="en-GB"/>
        </w:rPr>
        <w:fldChar w:fldCharType="begin"/>
      </w:r>
      <w:r w:rsidR="009A31FF" w:rsidRPr="00EC0229">
        <w:rPr>
          <w:rFonts w:eastAsia="Times New Roman" w:cs="Times New Roman"/>
          <w:iCs/>
          <w:szCs w:val="24"/>
          <w:lang w:eastAsia="en-GB"/>
        </w:rPr>
        <w:instrText xml:space="preserve"> PAGEREF Fishergate \h </w:instrText>
      </w:r>
      <w:r w:rsidR="009A31FF" w:rsidRPr="00EC0229">
        <w:rPr>
          <w:rFonts w:eastAsia="Times New Roman" w:cs="Times New Roman"/>
          <w:iCs/>
          <w:szCs w:val="24"/>
          <w:lang w:eastAsia="en-GB"/>
        </w:rPr>
      </w:r>
      <w:r w:rsidR="009A31FF"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186</w:t>
      </w:r>
      <w:r w:rsidR="009A31FF" w:rsidRPr="00EC0229">
        <w:rPr>
          <w:rFonts w:eastAsia="Times New Roman" w:cs="Times New Roman"/>
          <w:iCs/>
          <w:szCs w:val="24"/>
          <w:lang w:eastAsia="en-GB"/>
        </w:rPr>
        <w:fldChar w:fldCharType="end"/>
      </w:r>
      <w:r w:rsidR="00623B8B" w:rsidRPr="00EC0229">
        <w:rPr>
          <w:rFonts w:eastAsia="Times New Roman" w:cs="Times New Roman"/>
          <w:iCs/>
          <w:szCs w:val="24"/>
          <w:lang w:eastAsia="en-GB"/>
        </w:rPr>
        <w:t xml:space="preserve">) </w:t>
      </w:r>
      <w:r w:rsidRPr="00EC0229">
        <w:rPr>
          <w:rFonts w:eastAsia="Times New Roman" w:cs="Times New Roman"/>
          <w:iCs/>
          <w:szCs w:val="24"/>
          <w:lang w:eastAsia="en-GB"/>
        </w:rPr>
        <w:t>and the central Wolds</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Fonts w:cs="Times New Roman"/>
          <w:noProof/>
        </w:rPr>
        <w:instrText>Wolds</w:instrText>
      </w:r>
      <w:r w:rsidR="006B1593" w:rsidRPr="00EC0229">
        <w:instrText xml:space="preserve">" </w:instrText>
      </w:r>
      <w:r w:rsidR="006B1593"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t>
      </w:r>
      <w:r w:rsidR="00623B8B" w:rsidRPr="00EC0229">
        <w:rPr>
          <w:rFonts w:eastAsia="Times New Roman" w:cs="Times New Roman"/>
          <w:iCs/>
          <w:szCs w:val="24"/>
          <w:lang w:eastAsia="en-GB"/>
        </w:rPr>
        <w:t>(</w:t>
      </w:r>
      <w:r w:rsidR="009A31FF" w:rsidRPr="00EC0229">
        <w:rPr>
          <w:rFonts w:eastAsia="Times New Roman" w:cs="Times New Roman"/>
          <w:iCs/>
          <w:szCs w:val="24"/>
          <w:lang w:eastAsia="en-GB"/>
        </w:rPr>
        <w:fldChar w:fldCharType="begin"/>
      </w:r>
      <w:r w:rsidR="009A31FF" w:rsidRPr="00EC0229">
        <w:rPr>
          <w:rFonts w:eastAsia="Times New Roman" w:cs="Times New Roman"/>
          <w:iCs/>
          <w:szCs w:val="24"/>
          <w:lang w:eastAsia="en-GB"/>
        </w:rPr>
        <w:instrText xml:space="preserve"> PAGEREF Woldscentral \h </w:instrText>
      </w:r>
      <w:r w:rsidR="009A31FF" w:rsidRPr="00EC0229">
        <w:rPr>
          <w:rFonts w:eastAsia="Times New Roman" w:cs="Times New Roman"/>
          <w:iCs/>
          <w:szCs w:val="24"/>
          <w:lang w:eastAsia="en-GB"/>
        </w:rPr>
      </w:r>
      <w:r w:rsidR="009A31FF"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237</w:t>
      </w:r>
      <w:r w:rsidR="009A31FF" w:rsidRPr="00EC0229">
        <w:rPr>
          <w:rFonts w:eastAsia="Times New Roman" w:cs="Times New Roman"/>
          <w:iCs/>
          <w:szCs w:val="24"/>
          <w:lang w:eastAsia="en-GB"/>
        </w:rPr>
        <w:fldChar w:fldCharType="end"/>
      </w:r>
      <w:r w:rsidR="00623B8B" w:rsidRPr="00EC0229">
        <w:rPr>
          <w:rFonts w:eastAsia="Times New Roman" w:cs="Times New Roman"/>
          <w:iCs/>
          <w:szCs w:val="24"/>
          <w:lang w:eastAsia="en-GB"/>
        </w:rPr>
        <w:t xml:space="preserve">) </w:t>
      </w:r>
      <w:r w:rsidRPr="00EC0229">
        <w:rPr>
          <w:rFonts w:eastAsia="Times New Roman" w:cs="Times New Roman"/>
          <w:iCs/>
          <w:szCs w:val="24"/>
          <w:lang w:eastAsia="en-GB"/>
        </w:rPr>
        <w:t>have a far higher proportion of work artefacts than other areas. However, Fishergate does not stand comparison to the southern wics in terms of the vo</w:t>
      </w:r>
      <w:r w:rsidR="00392447" w:rsidRPr="00EC0229">
        <w:rPr>
          <w:rFonts w:eastAsia="Times New Roman" w:cs="Times New Roman"/>
          <w:iCs/>
          <w:szCs w:val="24"/>
          <w:lang w:eastAsia="en-GB"/>
        </w:rPr>
        <w:t>lume</w:t>
      </w:r>
      <w:r w:rsidR="00CA4BDE" w:rsidRPr="00EC0229">
        <w:rPr>
          <w:rFonts w:eastAsia="Times New Roman" w:cs="Times New Roman"/>
          <w:iCs/>
          <w:szCs w:val="24"/>
          <w:lang w:eastAsia="en-GB"/>
        </w:rPr>
        <w:t>, range</w:t>
      </w:r>
      <w:r w:rsidR="00392447" w:rsidRPr="00EC0229">
        <w:rPr>
          <w:rFonts w:eastAsia="Times New Roman" w:cs="Times New Roman"/>
          <w:iCs/>
          <w:szCs w:val="24"/>
          <w:lang w:eastAsia="en-GB"/>
        </w:rPr>
        <w:t xml:space="preserve"> and mix of coinage, which is</w:t>
      </w:r>
      <w:r w:rsidRPr="00EC0229">
        <w:rPr>
          <w:rFonts w:eastAsia="Times New Roman" w:cs="Times New Roman"/>
          <w:iCs/>
          <w:szCs w:val="24"/>
          <w:lang w:eastAsia="en-GB"/>
        </w:rPr>
        <w:t xml:space="preserve"> regard</w:t>
      </w:r>
      <w:r w:rsidR="00392447" w:rsidRPr="00EC0229">
        <w:rPr>
          <w:rFonts w:eastAsia="Times New Roman" w:cs="Times New Roman"/>
          <w:iCs/>
          <w:szCs w:val="24"/>
          <w:lang w:eastAsia="en-GB"/>
        </w:rPr>
        <w:t>ed</w:t>
      </w:r>
      <w:r w:rsidRPr="00EC0229">
        <w:rPr>
          <w:rFonts w:eastAsia="Times New Roman" w:cs="Times New Roman"/>
          <w:iCs/>
          <w:szCs w:val="24"/>
          <w:lang w:eastAsia="en-GB"/>
        </w:rPr>
        <w:t xml:space="preserve"> as fundamental in demonstrating the diverse and long term relationships characteristic of an emporium, </w:t>
      </w:r>
      <w:r w:rsidRPr="00EC0229">
        <w:rPr>
          <w:rFonts w:eastAsia="Times New Roman" w:cs="Times New Roman"/>
          <w:i/>
          <w:iCs/>
          <w:szCs w:val="24"/>
          <w:lang w:eastAsia="en-GB"/>
        </w:rPr>
        <w:t>Table</w:t>
      </w:r>
      <w:r w:rsidR="00584C42" w:rsidRPr="00EC0229">
        <w:rPr>
          <w:rFonts w:eastAsia="Times New Roman" w:cs="Times New Roman"/>
          <w:i/>
          <w:iCs/>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i/>
          <w:iCs/>
          <w:szCs w:val="24"/>
          <w:lang w:eastAsia="en-GB"/>
        </w:rPr>
        <w:fldChar w:fldCharType="end"/>
      </w:r>
      <w:r w:rsidR="00E84AA4" w:rsidRPr="00EC0229">
        <w:rPr>
          <w:rFonts w:eastAsia="Times New Roman" w:cs="Times New Roman"/>
          <w:i/>
          <w:iCs/>
          <w:szCs w:val="24"/>
          <w:lang w:eastAsia="en-GB"/>
        </w:rPr>
        <w:t xml:space="preserve"> </w:t>
      </w:r>
      <w:r w:rsidR="0044491F" w:rsidRPr="00EC0229">
        <w:rPr>
          <w:rFonts w:eastAsia="Times New Roman" w:cs="Times New Roman"/>
          <w:i/>
          <w:iCs/>
          <w:szCs w:val="24"/>
          <w:lang w:eastAsia="en-GB"/>
        </w:rPr>
        <w:t>8.0</w:t>
      </w:r>
      <w:r w:rsidR="00733EED" w:rsidRPr="00EC0229">
        <w:rPr>
          <w:rFonts w:eastAsia="Times New Roman" w:cs="Times New Roman"/>
          <w:i/>
          <w:iCs/>
          <w:szCs w:val="24"/>
          <w:lang w:eastAsia="en-GB"/>
        </w:rPr>
        <w:t>6</w:t>
      </w:r>
      <w:r w:rsidRPr="00EC0229">
        <w:rPr>
          <w:rFonts w:eastAsia="Times New Roman" w:cs="Times New Roman"/>
          <w:iCs/>
          <w:szCs w:val="24"/>
          <w:lang w:eastAsia="en-GB"/>
        </w:rPr>
        <w:t xml:space="preserve">. </w:t>
      </w:r>
      <w:r w:rsidR="00392447" w:rsidRPr="00EC0229">
        <w:t>A</w:t>
      </w:r>
      <w:r w:rsidR="008F77B0" w:rsidRPr="00EC0229">
        <w:t xml:space="preserve">n economic </w:t>
      </w:r>
      <w:r w:rsidR="008F77B0" w:rsidRPr="00EC0229">
        <w:lastRenderedPageBreak/>
        <w:t xml:space="preserve">definition of a </w:t>
      </w:r>
      <w:bookmarkStart w:id="974" w:name="wic"/>
      <w:bookmarkEnd w:id="974"/>
      <w:r w:rsidR="008F77B0" w:rsidRPr="00EC0229">
        <w:rPr>
          <w:i/>
        </w:rPr>
        <w:t>wic</w:t>
      </w:r>
      <w:r w:rsidR="00D142DC" w:rsidRPr="00EC0229">
        <w:rPr>
          <w:i/>
        </w:rPr>
        <w:fldChar w:fldCharType="begin"/>
      </w:r>
      <w:r w:rsidR="00D142DC" w:rsidRPr="00EC0229">
        <w:instrText xml:space="preserve"> XE "wic" </w:instrText>
      </w:r>
      <w:r w:rsidR="00D142DC" w:rsidRPr="00EC0229">
        <w:rPr>
          <w:i/>
        </w:rPr>
        <w:fldChar w:fldCharType="end"/>
      </w:r>
      <w:r w:rsidR="008F77B0" w:rsidRPr="00EC0229">
        <w:t xml:space="preserve"> (</w:t>
      </w:r>
      <w:r w:rsidR="009A31FF" w:rsidRPr="00EC0229">
        <w:fldChar w:fldCharType="begin"/>
      </w:r>
      <w:r w:rsidR="009A31FF" w:rsidRPr="00EC0229">
        <w:instrText xml:space="preserve"> PAGEREF wic \h </w:instrText>
      </w:r>
      <w:r w:rsidR="009A31FF" w:rsidRPr="00EC0229">
        <w:fldChar w:fldCharType="separate"/>
      </w:r>
      <w:r w:rsidR="0012026B">
        <w:rPr>
          <w:noProof/>
        </w:rPr>
        <w:t>317</w:t>
      </w:r>
      <w:r w:rsidR="009A31FF" w:rsidRPr="00EC0229">
        <w:fldChar w:fldCharType="end"/>
      </w:r>
      <w:r w:rsidR="008F77B0" w:rsidRPr="00EC0229">
        <w:t xml:space="preserve">) </w:t>
      </w:r>
      <w:r w:rsidR="00392447" w:rsidRPr="00EC0229">
        <w:t>is favoured:</w:t>
      </w:r>
      <w:r w:rsidR="008F77B0" w:rsidRPr="00EC0229">
        <w:t xml:space="preserve"> a topographically favoured, non-agrarian, trading location, under the auspices of a controlling authority, providing sufficient commercial, fiscal, monetary and judicial mechanisms to enable buyers and sellers to exchange goods securely and for specialised craft and manufacture to develop.</w:t>
      </w:r>
      <w:r w:rsidR="00146E37" w:rsidRPr="00EC0229">
        <w:rPr>
          <w:rStyle w:val="FootnoteReference"/>
        </w:rPr>
        <w:footnoteReference w:id="1317"/>
      </w:r>
      <w:r w:rsidR="008F77B0" w:rsidRPr="00EC0229">
        <w:t xml:space="preserve"> Sceats catalysed this process. The prevalence of each of these attributes varied between </w:t>
      </w:r>
      <w:r w:rsidR="008F77B0" w:rsidRPr="00EC0229">
        <w:rPr>
          <w:i/>
        </w:rPr>
        <w:t>wics</w:t>
      </w:r>
      <w:r w:rsidR="008F77B0" w:rsidRPr="00EC0229">
        <w:t xml:space="preserve"> according to local conditions. Economic activity also took place on sites lacking some of these attributes and more dedicated to processing or redistribution.</w:t>
      </w:r>
      <w:r w:rsidR="008F77B0" w:rsidRPr="00EC0229">
        <w:rPr>
          <w:rStyle w:val="FootnoteReference"/>
        </w:rPr>
        <w:footnoteReference w:id="1318"/>
      </w:r>
      <w:r w:rsidR="008F77B0" w:rsidRPr="00EC0229">
        <w:t xml:space="preserve"> </w:t>
      </w:r>
      <w:r w:rsidRPr="00EC0229">
        <w:rPr>
          <w:rFonts w:eastAsia="Times New Roman" w:cs="Times New Roman"/>
          <w:iCs/>
          <w:szCs w:val="24"/>
          <w:lang w:eastAsia="en-GB"/>
        </w:rPr>
        <w:t>I</w:t>
      </w:r>
      <w:r w:rsidR="00392447" w:rsidRPr="00EC0229">
        <w:rPr>
          <w:rFonts w:eastAsia="Times New Roman" w:cs="Times New Roman"/>
          <w:iCs/>
          <w:szCs w:val="24"/>
          <w:lang w:eastAsia="en-GB"/>
        </w:rPr>
        <w:t>n conclusion,</w:t>
      </w:r>
      <w:r w:rsidRPr="00EC0229">
        <w:rPr>
          <w:rFonts w:eastAsia="Times New Roman" w:cs="Times New Roman"/>
          <w:iCs/>
          <w:szCs w:val="24"/>
          <w:lang w:eastAsia="en-GB"/>
        </w:rPr>
        <w:t xml:space="preserve"> Fishergate had a restrictive commercial function, but not as a full-blown </w:t>
      </w:r>
      <w:r w:rsidRPr="00EC0229">
        <w:rPr>
          <w:rFonts w:eastAsia="Times New Roman" w:cs="Times New Roman"/>
          <w:i/>
          <w:iCs/>
          <w:szCs w:val="24"/>
          <w:lang w:eastAsia="en-GB"/>
        </w:rPr>
        <w:t>wic</w:t>
      </w:r>
      <w:r w:rsidRPr="00EC0229">
        <w:rPr>
          <w:rFonts w:eastAsia="Times New Roman" w:cs="Times New Roman"/>
          <w:iCs/>
          <w:szCs w:val="24"/>
          <w:lang w:eastAsia="en-GB"/>
        </w:rPr>
        <w:t xml:space="preserve">, though one must exist in such a wealthy metropolis and cannot be far removed from Fishergate geographically. </w:t>
      </w:r>
    </w:p>
    <w:p w14:paraId="26F9B179" w14:textId="77777777" w:rsidR="002A7E00" w:rsidRPr="00EC0229" w:rsidRDefault="002A7E00" w:rsidP="007600EA">
      <w:pPr>
        <w:pStyle w:val="NoSpacing"/>
        <w:spacing w:line="360" w:lineRule="auto"/>
        <w:rPr>
          <w:szCs w:val="24"/>
        </w:rPr>
      </w:pPr>
    </w:p>
    <w:p w14:paraId="6F40F522" w14:textId="04973234" w:rsidR="006351EF" w:rsidRPr="00EC0229" w:rsidRDefault="008F77B0" w:rsidP="007600EA">
      <w:pPr>
        <w:pStyle w:val="NoSpacing"/>
        <w:spacing w:line="360" w:lineRule="auto"/>
      </w:pPr>
      <w:r w:rsidRPr="00EC0229">
        <w:rPr>
          <w:rFonts w:eastAsia="Times New Roman" w:cs="Times New Roman"/>
          <w:iCs/>
          <w:szCs w:val="24"/>
          <w:lang w:eastAsia="en-GB"/>
        </w:rPr>
        <w:t>The veneer of single finds in York</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and </w:t>
      </w:r>
      <w:r w:rsidR="001A7283" w:rsidRPr="00EC0229">
        <w:rPr>
          <w:rFonts w:eastAsia="Times New Roman" w:cs="Times New Roman"/>
          <w:iCs/>
          <w:szCs w:val="24"/>
          <w:lang w:eastAsia="en-GB"/>
        </w:rPr>
        <w:t>the Central Lowlands</w:t>
      </w:r>
      <w:r w:rsidR="0030553B" w:rsidRPr="00EC0229">
        <w:rPr>
          <w:rFonts w:eastAsia="Times New Roman" w:cs="Times New Roman"/>
          <w:iCs/>
          <w:szCs w:val="24"/>
          <w:lang w:eastAsia="en-GB"/>
        </w:rPr>
        <w:fldChar w:fldCharType="begin"/>
      </w:r>
      <w:r w:rsidR="0030553B" w:rsidRPr="00EC0229">
        <w:instrText xml:space="preserve"> XE "Central Lowlands" </w:instrText>
      </w:r>
      <w:r w:rsidR="0030553B"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have a similar thin, dispersed profile suggesting a similar controlling</w:t>
      </w:r>
      <w:r w:rsidR="006B5077" w:rsidRPr="00EC0229">
        <w:rPr>
          <w:rFonts w:eastAsia="Times New Roman" w:cs="Times New Roman"/>
          <w:iCs/>
          <w:szCs w:val="24"/>
          <w:lang w:eastAsia="en-GB"/>
        </w:rPr>
        <w:t>, land-owning,</w:t>
      </w:r>
      <w:r w:rsidRPr="00EC0229">
        <w:rPr>
          <w:rFonts w:eastAsia="Times New Roman" w:cs="Times New Roman"/>
          <w:iCs/>
          <w:szCs w:val="24"/>
          <w:lang w:eastAsia="en-GB"/>
        </w:rPr>
        <w:t xml:space="preserve"> regime.</w:t>
      </w:r>
      <w:r w:rsidR="006351EF" w:rsidRPr="00EC0229">
        <w:rPr>
          <w:rFonts w:eastAsia="Times New Roman" w:cs="Times New Roman"/>
          <w:iCs/>
          <w:szCs w:val="24"/>
          <w:lang w:eastAsia="en-GB"/>
        </w:rPr>
        <w:t xml:space="preserve"> </w:t>
      </w:r>
      <w:r w:rsidR="00C5145D" w:rsidRPr="00EC0229">
        <w:rPr>
          <w:rFonts w:eastAsia="Times New Roman" w:cs="Times New Roman"/>
          <w:iCs/>
          <w:szCs w:val="24"/>
          <w:lang w:eastAsia="en-GB"/>
        </w:rPr>
        <w:t>Central governance seems to have been effective despite the rich diversity, and porous borders, of the hinterland</w:t>
      </w:r>
      <w:r w:rsidR="00C5145D" w:rsidRPr="00EC0229">
        <w:rPr>
          <w:rFonts w:eastAsia="Times New Roman" w:cs="Times New Roman"/>
          <w:iCs/>
          <w:szCs w:val="24"/>
          <w:lang w:eastAsia="en-GB"/>
        </w:rPr>
        <w:fldChar w:fldCharType="begin"/>
      </w:r>
      <w:r w:rsidR="00C5145D" w:rsidRPr="00EC0229">
        <w:instrText xml:space="preserve"> XE "</w:instrText>
      </w:r>
      <w:r w:rsidR="00C5145D" w:rsidRPr="00EC0229">
        <w:rPr>
          <w:rFonts w:cs="Times New Roman"/>
          <w:szCs w:val="24"/>
        </w:rPr>
        <w:instrText>hinterland</w:instrText>
      </w:r>
      <w:r w:rsidR="00C5145D" w:rsidRPr="00EC0229">
        <w:instrText xml:space="preserve">" </w:instrText>
      </w:r>
      <w:r w:rsidR="00C5145D" w:rsidRPr="00EC0229">
        <w:rPr>
          <w:rFonts w:eastAsia="Times New Roman" w:cs="Times New Roman"/>
          <w:iCs/>
          <w:szCs w:val="24"/>
          <w:lang w:eastAsia="en-GB"/>
        </w:rPr>
        <w:fldChar w:fldCharType="end"/>
      </w:r>
      <w:r w:rsidR="00C5145D" w:rsidRPr="00EC0229">
        <w:rPr>
          <w:rFonts w:eastAsia="Times New Roman" w:cs="Times New Roman"/>
          <w:iCs/>
          <w:szCs w:val="24"/>
          <w:lang w:eastAsia="en-GB"/>
        </w:rPr>
        <w:t xml:space="preserve">. </w:t>
      </w:r>
      <w:r w:rsidR="002A7E00" w:rsidRPr="00EC0229">
        <w:rPr>
          <w:szCs w:val="24"/>
        </w:rPr>
        <w:t xml:space="preserve">The spatial frequency of artefact and coin finds in the main areas of this study are assessed in </w:t>
      </w:r>
      <w:r w:rsidR="002A7E00"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2A7E00" w:rsidRPr="00EC0229">
        <w:rPr>
          <w:i/>
        </w:rPr>
        <w:t xml:space="preserve"> </w:t>
      </w:r>
      <w:r w:rsidR="0044491F" w:rsidRPr="00EC0229">
        <w:rPr>
          <w:i/>
        </w:rPr>
        <w:t>7.05</w:t>
      </w:r>
      <w:r w:rsidR="002A7E00" w:rsidRPr="00EC0229">
        <w:rPr>
          <w:szCs w:val="24"/>
        </w:rPr>
        <w:t>.</w:t>
      </w:r>
      <w:r w:rsidR="006351EF" w:rsidRPr="00EC0229">
        <w:t xml:space="preserve"> E</w:t>
      </w:r>
      <w:r w:rsidR="002A7E00" w:rsidRPr="00EC0229">
        <w:t>xcludin</w:t>
      </w:r>
      <w:r w:rsidR="006351EF" w:rsidRPr="00EC0229">
        <w:t>g hoards and finds from York eliminates metro-centricity</w:t>
      </w:r>
      <w:r w:rsidR="002A7E00" w:rsidRPr="00EC0229">
        <w:t xml:space="preserve">, as </w:t>
      </w:r>
      <w:r w:rsidR="003F2041" w:rsidRPr="00EC0229">
        <w:t>monetiz</w:t>
      </w:r>
      <w:r w:rsidR="002A7E00" w:rsidRPr="00EC0229">
        <w:t>ation</w:t>
      </w:r>
      <w:r w:rsidR="008960AE" w:rsidRPr="00EC0229">
        <w:fldChar w:fldCharType="begin"/>
      </w:r>
      <w:r w:rsidR="008960AE" w:rsidRPr="00EC0229">
        <w:instrText xml:space="preserve"> XE "monetization" </w:instrText>
      </w:r>
      <w:r w:rsidR="008960AE" w:rsidRPr="00EC0229">
        <w:fldChar w:fldCharType="end"/>
      </w:r>
      <w:r w:rsidR="002A7E00" w:rsidRPr="00EC0229">
        <w:t xml:space="preserve"> requires</w:t>
      </w:r>
      <w:r w:rsidR="006351EF" w:rsidRPr="00EC0229">
        <w:t xml:space="preserve"> widespread use in rural areas.</w:t>
      </w:r>
    </w:p>
    <w:p w14:paraId="39DB71B2" w14:textId="77777777" w:rsidR="006351EF" w:rsidRPr="00EC0229" w:rsidRDefault="006351EF" w:rsidP="007600EA">
      <w:pPr>
        <w:pStyle w:val="NoSpacing"/>
        <w:spacing w:line="360" w:lineRule="auto"/>
      </w:pPr>
    </w:p>
    <w:p w14:paraId="541A2953" w14:textId="3CEF6DF1" w:rsidR="002A7E00" w:rsidRPr="00EC0229" w:rsidRDefault="002A7E00" w:rsidP="007600EA">
      <w:pPr>
        <w:pStyle w:val="NoSpacing"/>
        <w:spacing w:line="360" w:lineRule="auto"/>
      </w:pPr>
      <w:r w:rsidRPr="00EC0229">
        <w:t>Assuming similar caveats affect all locations, the picture presented is one of considerable contrasts. Volumes, densities and diversity of types in the Wolds</w:t>
      </w:r>
      <w:r w:rsidR="006B1593" w:rsidRPr="00EC0229">
        <w:fldChar w:fldCharType="begin"/>
      </w:r>
      <w:r w:rsidR="006B1593" w:rsidRPr="00EC0229">
        <w:instrText xml:space="preserve"> XE "</w:instrText>
      </w:r>
      <w:r w:rsidR="006B1593" w:rsidRPr="00EC0229">
        <w:rPr>
          <w:rFonts w:cs="Times New Roman"/>
          <w:noProof/>
        </w:rPr>
        <w:instrText>Wolds</w:instrText>
      </w:r>
      <w:r w:rsidR="006B1593" w:rsidRPr="00EC0229">
        <w:instrText xml:space="preserve">" </w:instrText>
      </w:r>
      <w:r w:rsidR="006B1593" w:rsidRPr="00EC0229">
        <w:fldChar w:fldCharType="end"/>
      </w:r>
      <w:r w:rsidRPr="00EC0229">
        <w:t xml:space="preserve"> </w:t>
      </w:r>
      <w:r w:rsidR="00623B8B" w:rsidRPr="00EC0229">
        <w:t>(</w:t>
      </w:r>
      <w:r w:rsidR="009A31FF" w:rsidRPr="00EC0229">
        <w:fldChar w:fldCharType="begin"/>
      </w:r>
      <w:r w:rsidR="009A31FF" w:rsidRPr="00EC0229">
        <w:instrText xml:space="preserve"> PAGEREF TheYorkshireWolds \h </w:instrText>
      </w:r>
      <w:r w:rsidR="009A31FF" w:rsidRPr="00EC0229">
        <w:fldChar w:fldCharType="separate"/>
      </w:r>
      <w:r w:rsidR="0012026B">
        <w:rPr>
          <w:noProof/>
        </w:rPr>
        <w:t>221</w:t>
      </w:r>
      <w:r w:rsidR="009A31FF" w:rsidRPr="00EC0229">
        <w:fldChar w:fldCharType="end"/>
      </w:r>
      <w:r w:rsidR="00623B8B" w:rsidRPr="00EC0229">
        <w:t xml:space="preserve">) </w:t>
      </w:r>
      <w:r w:rsidRPr="00EC0229">
        <w:t xml:space="preserve">are considerably greater than elsewhere. The sheer number of locations in the </w:t>
      </w:r>
      <w:r w:rsidR="00C7553E" w:rsidRPr="00EC0229">
        <w:t>Central Lowlands</w:t>
      </w:r>
      <w:r w:rsidR="006B1593" w:rsidRPr="00EC0229">
        <w:fldChar w:fldCharType="begin"/>
      </w:r>
      <w:r w:rsidR="006B1593" w:rsidRPr="00EC0229">
        <w:instrText xml:space="preserve"> XE "</w:instrText>
      </w:r>
      <w:r w:rsidR="006B1593" w:rsidRPr="00EC0229">
        <w:rPr>
          <w:noProof/>
        </w:rPr>
        <w:instrText>York</w:instrText>
      </w:r>
      <w:r w:rsidR="006B1593" w:rsidRPr="00EC0229">
        <w:instrText xml:space="preserve">" </w:instrText>
      </w:r>
      <w:r w:rsidR="006B1593" w:rsidRPr="00EC0229">
        <w:fldChar w:fldCharType="end"/>
      </w:r>
      <w:r w:rsidRPr="00EC0229">
        <w:t xml:space="preserve"> </w:t>
      </w:r>
      <w:r w:rsidR="00623B8B" w:rsidRPr="00EC0229">
        <w:t>(</w:t>
      </w:r>
      <w:r w:rsidR="004E7EFE" w:rsidRPr="00EC0229">
        <w:fldChar w:fldCharType="begin"/>
      </w:r>
      <w:r w:rsidR="004E7EFE" w:rsidRPr="00EC0229">
        <w:instrText xml:space="preserve"> PAGEREF TheCentralLowlands \h </w:instrText>
      </w:r>
      <w:r w:rsidR="004E7EFE" w:rsidRPr="00EC0229">
        <w:fldChar w:fldCharType="separate"/>
      </w:r>
      <w:r w:rsidR="0012026B">
        <w:rPr>
          <w:noProof/>
        </w:rPr>
        <w:t>211</w:t>
      </w:r>
      <w:r w:rsidR="004E7EFE" w:rsidRPr="00EC0229">
        <w:fldChar w:fldCharType="end"/>
      </w:r>
      <w:r w:rsidR="00623B8B" w:rsidRPr="00EC0229">
        <w:t xml:space="preserve">) </w:t>
      </w:r>
      <w:r w:rsidRPr="00EC0229">
        <w:t xml:space="preserve">is impressive though 84% of both artefact and coin </w:t>
      </w:r>
      <w:r w:rsidRPr="00EC0229">
        <w:rPr>
          <w:color w:val="000000" w:themeColor="text1"/>
        </w:rPr>
        <w:t>l</w:t>
      </w:r>
      <w:r w:rsidRPr="00EC0229">
        <w:rPr>
          <w:rFonts w:cs="Times New Roman"/>
          <w:bCs/>
          <w:color w:val="000000" w:themeColor="text1"/>
          <w:szCs w:val="24"/>
        </w:rPr>
        <w:t>ocation</w:t>
      </w:r>
      <w:r w:rsidRPr="00EC0229">
        <w:t xml:space="preserve">s produced three finds or fewer. Locations in the Wolds were significantly more productive, averaging thirty-three artefacts and thirteen coins per location. As with the </w:t>
      </w:r>
      <w:r w:rsidRPr="00EC0229">
        <w:rPr>
          <w:i/>
        </w:rPr>
        <w:t>CoM</w:t>
      </w:r>
      <w:r w:rsidRPr="00EC0229">
        <w:t>, the Vale of Pickering</w:t>
      </w:r>
      <w:r w:rsidR="006B1593" w:rsidRPr="00EC0229">
        <w:fldChar w:fldCharType="begin"/>
      </w:r>
      <w:r w:rsidR="006B1593" w:rsidRPr="00EC0229">
        <w:instrText xml:space="preserve"> XE "</w:instrText>
      </w:r>
      <w:r w:rsidR="006B1593" w:rsidRPr="00EC0229">
        <w:rPr>
          <w:rFonts w:cs="Times New Roman"/>
          <w:noProof/>
        </w:rPr>
        <w:instrText>Vale of Pickering</w:instrText>
      </w:r>
      <w:r w:rsidR="006B1593" w:rsidRPr="00EC0229">
        <w:instrText xml:space="preserve">" </w:instrText>
      </w:r>
      <w:r w:rsidR="006B1593" w:rsidRPr="00EC0229">
        <w:fldChar w:fldCharType="end"/>
      </w:r>
      <w:r w:rsidRPr="00EC0229">
        <w:t xml:space="preserve"> </w:t>
      </w:r>
      <w:r w:rsidR="00623B8B" w:rsidRPr="00EC0229">
        <w:t>(</w:t>
      </w:r>
      <w:r w:rsidR="009A31FF" w:rsidRPr="00EC0229">
        <w:fldChar w:fldCharType="begin"/>
      </w:r>
      <w:r w:rsidR="009A31FF" w:rsidRPr="00EC0229">
        <w:instrText xml:space="preserve"> PAGEREF TheValeofPickering \h </w:instrText>
      </w:r>
      <w:r w:rsidR="009A31FF" w:rsidRPr="00EC0229">
        <w:fldChar w:fldCharType="separate"/>
      </w:r>
      <w:r w:rsidR="0012026B">
        <w:rPr>
          <w:noProof/>
        </w:rPr>
        <w:t>266</w:t>
      </w:r>
      <w:r w:rsidR="009A31FF" w:rsidRPr="00EC0229">
        <w:fldChar w:fldCharType="end"/>
      </w:r>
      <w:r w:rsidR="00623B8B" w:rsidRPr="00EC0229">
        <w:t xml:space="preserve">) </w:t>
      </w:r>
      <w:r w:rsidRPr="00EC0229">
        <w:t xml:space="preserve">falls between these two regions for the number of locations with three or fewer finds but is much closer to the </w:t>
      </w:r>
      <w:r w:rsidR="00C7553E" w:rsidRPr="00EC0229">
        <w:t>Central Lowlands</w:t>
      </w:r>
      <w:r w:rsidR="0030553B" w:rsidRPr="00EC0229">
        <w:fldChar w:fldCharType="begin"/>
      </w:r>
      <w:r w:rsidR="0030553B" w:rsidRPr="00EC0229">
        <w:instrText xml:space="preserve"> XE "Central Lowlands" </w:instrText>
      </w:r>
      <w:r w:rsidR="0030553B" w:rsidRPr="00EC0229">
        <w:fldChar w:fldCharType="end"/>
      </w:r>
      <w:r w:rsidRPr="00EC0229">
        <w:t xml:space="preserve"> in terms of densities and has far less variety of types. Beverley</w:t>
      </w:r>
      <w:r w:rsidR="006B1593" w:rsidRPr="00EC0229">
        <w:fldChar w:fldCharType="begin"/>
      </w:r>
      <w:r w:rsidR="006B1593" w:rsidRPr="00EC0229">
        <w:instrText xml:space="preserve"> XE "</w:instrText>
      </w:r>
      <w:r w:rsidR="006B1593" w:rsidRPr="00EC0229">
        <w:rPr>
          <w:noProof/>
        </w:rPr>
        <w:instrText>Beverley</w:instrText>
      </w:r>
      <w:r w:rsidR="006B1593" w:rsidRPr="00EC0229">
        <w:instrText xml:space="preserve">" </w:instrText>
      </w:r>
      <w:r w:rsidR="006B1593" w:rsidRPr="00EC0229">
        <w:fldChar w:fldCharType="end"/>
      </w:r>
      <w:r w:rsidRPr="00EC0229">
        <w:t xml:space="preserve"> </w:t>
      </w:r>
      <w:r w:rsidR="00623B8B" w:rsidRPr="00EC0229">
        <w:t>(</w:t>
      </w:r>
      <w:r w:rsidR="009A31FF" w:rsidRPr="00EC0229">
        <w:fldChar w:fldCharType="begin"/>
      </w:r>
      <w:r w:rsidR="009A31FF" w:rsidRPr="00EC0229">
        <w:instrText xml:space="preserve"> PAGEREF Beverley \h </w:instrText>
      </w:r>
      <w:r w:rsidR="009A31FF" w:rsidRPr="00EC0229">
        <w:fldChar w:fldCharType="separate"/>
      </w:r>
      <w:r w:rsidR="0012026B">
        <w:rPr>
          <w:noProof/>
        </w:rPr>
        <w:t>262</w:t>
      </w:r>
      <w:r w:rsidR="009A31FF" w:rsidRPr="00EC0229">
        <w:fldChar w:fldCharType="end"/>
      </w:r>
      <w:r w:rsidR="00623B8B" w:rsidRPr="00EC0229">
        <w:t xml:space="preserve">) </w:t>
      </w:r>
      <w:r w:rsidRPr="00EC0229">
        <w:t>and Holderness</w:t>
      </w:r>
      <w:r w:rsidR="006B1593" w:rsidRPr="00EC0229">
        <w:fldChar w:fldCharType="begin"/>
      </w:r>
      <w:r w:rsidR="006B1593" w:rsidRPr="00EC0229">
        <w:instrText xml:space="preserve"> XE "</w:instrText>
      </w:r>
      <w:r w:rsidR="006B1593" w:rsidRPr="00EC0229">
        <w:rPr>
          <w:noProof/>
        </w:rPr>
        <w:instrText>Holderness</w:instrText>
      </w:r>
      <w:r w:rsidR="006B1593" w:rsidRPr="00EC0229">
        <w:instrText xml:space="preserve">" </w:instrText>
      </w:r>
      <w:r w:rsidR="006B1593" w:rsidRPr="00EC0229">
        <w:fldChar w:fldCharType="end"/>
      </w:r>
      <w:r w:rsidRPr="00EC0229">
        <w:t xml:space="preserve"> </w:t>
      </w:r>
      <w:r w:rsidR="00623B8B" w:rsidRPr="00EC0229">
        <w:t>(</w:t>
      </w:r>
      <w:r w:rsidR="009A31FF" w:rsidRPr="00EC0229">
        <w:fldChar w:fldCharType="begin"/>
      </w:r>
      <w:r w:rsidR="009A31FF" w:rsidRPr="00EC0229">
        <w:instrText xml:space="preserve"> PAGEREF Holderness \h </w:instrText>
      </w:r>
      <w:r w:rsidR="009A31FF" w:rsidRPr="00EC0229">
        <w:fldChar w:fldCharType="separate"/>
      </w:r>
      <w:r w:rsidR="0012026B">
        <w:rPr>
          <w:noProof/>
        </w:rPr>
        <w:t>263</w:t>
      </w:r>
      <w:r w:rsidR="009A31FF" w:rsidRPr="00EC0229">
        <w:fldChar w:fldCharType="end"/>
      </w:r>
      <w:r w:rsidR="00623B8B" w:rsidRPr="00EC0229">
        <w:t xml:space="preserve">) </w:t>
      </w:r>
      <w:r w:rsidRPr="00EC0229">
        <w:t>are include</w:t>
      </w:r>
      <w:r w:rsidR="0082114C" w:rsidRPr="00EC0229">
        <w:t>d</w:t>
      </w:r>
      <w:r w:rsidRPr="00EC0229">
        <w:t xml:space="preserve"> for comparative purposes. Beverley shows a considerably higher level of activity of the two, with Holderness comparable to the </w:t>
      </w:r>
      <w:r w:rsidR="00D859E7" w:rsidRPr="00EC0229">
        <w:t>other lowlands</w:t>
      </w:r>
      <w:r w:rsidR="00EE5013" w:rsidRPr="00EC0229">
        <w:t xml:space="preserve"> - a</w:t>
      </w:r>
      <w:r w:rsidR="000266DE" w:rsidRPr="00EC0229">
        <w:t xml:space="preserve"> pattern repli</w:t>
      </w:r>
      <w:r w:rsidR="00D859E7" w:rsidRPr="00EC0229">
        <w:t>cating that in York and the Central Lowlands</w:t>
      </w:r>
      <w:r w:rsidR="000266DE" w:rsidRPr="00EC0229">
        <w:t>.</w:t>
      </w:r>
    </w:p>
    <w:p w14:paraId="122D7A09" w14:textId="77777777" w:rsidR="00A9004F" w:rsidRPr="00EC0229" w:rsidRDefault="00A9004F" w:rsidP="007600EA">
      <w:pPr>
        <w:pStyle w:val="NoSpacing"/>
        <w:spacing w:line="360" w:lineRule="auto"/>
      </w:pPr>
    </w:p>
    <w:p w14:paraId="75AF5DFE" w14:textId="49FE8AAE" w:rsidR="00A9004F" w:rsidRPr="00EC0229" w:rsidRDefault="00F313D1" w:rsidP="007600EA">
      <w:pPr>
        <w:pStyle w:val="NoSpacing"/>
        <w:spacing w:line="360" w:lineRule="auto"/>
        <w:rPr>
          <w:color w:val="0563C1" w:themeColor="hyperlink"/>
        </w:rPr>
      </w:pPr>
      <w:r w:rsidRPr="00EC0229">
        <w:rPr>
          <w:rFonts w:eastAsia="Times New Roman" w:cs="Times New Roman"/>
          <w:iCs/>
          <w:szCs w:val="24"/>
          <w:lang w:eastAsia="en-GB"/>
        </w:rPr>
        <w:t>Throughout</w:t>
      </w:r>
      <w:r w:rsidR="004A6721" w:rsidRPr="00EC0229">
        <w:rPr>
          <w:rFonts w:eastAsia="Times New Roman" w:cs="Times New Roman"/>
          <w:iCs/>
          <w:szCs w:val="24"/>
          <w:lang w:eastAsia="en-GB"/>
        </w:rPr>
        <w:t xml:space="preserve"> the period studied</w:t>
      </w:r>
      <w:r w:rsidR="009E5DCA" w:rsidRPr="00EC0229">
        <w:rPr>
          <w:rFonts w:eastAsia="Times New Roman" w:cs="Times New Roman"/>
          <w:iCs/>
          <w:szCs w:val="24"/>
          <w:lang w:eastAsia="en-GB"/>
        </w:rPr>
        <w:t xml:space="preserve">, </w:t>
      </w:r>
      <w:r w:rsidR="00A9004F" w:rsidRPr="00EC0229">
        <w:rPr>
          <w:rFonts w:eastAsia="Times New Roman" w:cs="Times New Roman"/>
          <w:iCs/>
          <w:szCs w:val="24"/>
          <w:lang w:eastAsia="en-GB"/>
        </w:rPr>
        <w:t>Northumbria</w:t>
      </w:r>
      <w:r w:rsidR="00584C42" w:rsidRPr="00EC0229">
        <w:rPr>
          <w:rFonts w:eastAsia="Times New Roman" w:cs="Times New Roman"/>
          <w:iCs/>
          <w:szCs w:val="24"/>
          <w:lang w:eastAsia="en-GB"/>
        </w:rPr>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rPr>
          <w:rFonts w:eastAsia="Times New Roman" w:cs="Times New Roman"/>
          <w:iCs/>
          <w:szCs w:val="24"/>
          <w:lang w:eastAsia="en-GB"/>
        </w:rPr>
        <w:fldChar w:fldCharType="end"/>
      </w:r>
      <w:r w:rsidR="00A9004F" w:rsidRPr="00EC0229">
        <w:rPr>
          <w:rFonts w:eastAsia="Times New Roman" w:cs="Times New Roman"/>
          <w:iCs/>
          <w:szCs w:val="24"/>
          <w:lang w:eastAsia="en-GB"/>
        </w:rPr>
        <w:t xml:space="preserve"> is clearly metro-centric as shown by the comparative artefactual fingerprints. While York</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rPr>
          <w:rFonts w:eastAsia="Times New Roman" w:cs="Times New Roman"/>
          <w:iCs/>
          <w:szCs w:val="24"/>
          <w:lang w:eastAsia="en-GB"/>
        </w:rPr>
        <w:fldChar w:fldCharType="end"/>
      </w:r>
      <w:r w:rsidR="00A9004F" w:rsidRPr="00EC0229">
        <w:rPr>
          <w:rFonts w:eastAsia="Times New Roman" w:cs="Times New Roman"/>
          <w:iCs/>
          <w:szCs w:val="24"/>
          <w:lang w:eastAsia="en-GB"/>
        </w:rPr>
        <w:t xml:space="preserve"> </w:t>
      </w:r>
      <w:r w:rsidR="00EB1791" w:rsidRPr="00EC0229">
        <w:rPr>
          <w:rFonts w:eastAsia="Times New Roman" w:cs="Times New Roman"/>
          <w:iCs/>
          <w:szCs w:val="24"/>
          <w:lang w:eastAsia="en-GB"/>
        </w:rPr>
        <w:t xml:space="preserve"> (and the monasteries) dominated</w:t>
      </w:r>
      <w:r w:rsidR="00A9004F" w:rsidRPr="00EC0229">
        <w:rPr>
          <w:rFonts w:eastAsia="Times New Roman" w:cs="Times New Roman"/>
          <w:iCs/>
          <w:szCs w:val="24"/>
          <w:lang w:eastAsia="en-GB"/>
        </w:rPr>
        <w:t xml:space="preserve"> very large </w:t>
      </w:r>
      <w:r w:rsidR="00A9004F" w:rsidRPr="00EC0229">
        <w:rPr>
          <w:rFonts w:eastAsia="Times New Roman" w:cs="Times New Roman"/>
          <w:iCs/>
          <w:szCs w:val="24"/>
          <w:lang w:eastAsia="en-GB"/>
        </w:rPr>
        <w:lastRenderedPageBreak/>
        <w:t>territor</w:t>
      </w:r>
      <w:r w:rsidR="00EB1791" w:rsidRPr="00EC0229">
        <w:rPr>
          <w:rFonts w:eastAsia="Times New Roman" w:cs="Times New Roman"/>
          <w:iCs/>
          <w:szCs w:val="24"/>
          <w:lang w:eastAsia="en-GB"/>
        </w:rPr>
        <w:t>ies</w:t>
      </w:r>
      <w:r w:rsidR="00A9004F" w:rsidRPr="00EC0229">
        <w:rPr>
          <w:rFonts w:eastAsia="Times New Roman" w:cs="Times New Roman"/>
          <w:iCs/>
          <w:szCs w:val="24"/>
          <w:lang w:eastAsia="en-GB"/>
        </w:rPr>
        <w:t>, the evidence is not yet available (accepting that Fishergate</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Fishergate</w:instrText>
      </w:r>
      <w:r w:rsidR="006B1593" w:rsidRPr="00EC0229">
        <w:instrText xml:space="preserve">" </w:instrText>
      </w:r>
      <w:r w:rsidR="006B1593" w:rsidRPr="00EC0229">
        <w:rPr>
          <w:rFonts w:eastAsia="Times New Roman" w:cs="Times New Roman"/>
          <w:iCs/>
          <w:szCs w:val="24"/>
          <w:lang w:eastAsia="en-GB"/>
        </w:rPr>
        <w:fldChar w:fldCharType="end"/>
      </w:r>
      <w:r w:rsidR="00A9004F" w:rsidRPr="00EC0229">
        <w:rPr>
          <w:rFonts w:eastAsia="Times New Roman" w:cs="Times New Roman"/>
          <w:iCs/>
          <w:szCs w:val="24"/>
          <w:lang w:eastAsia="en-GB"/>
        </w:rPr>
        <w:t xml:space="preserve"> is not the emporium) to compare it to the southern </w:t>
      </w:r>
      <w:r w:rsidR="00A9004F" w:rsidRPr="00EC0229">
        <w:rPr>
          <w:rFonts w:eastAsia="Times New Roman" w:cs="Times New Roman"/>
          <w:i/>
          <w:iCs/>
          <w:szCs w:val="24"/>
          <w:lang w:eastAsia="en-GB"/>
        </w:rPr>
        <w:t>Vicii Regius</w:t>
      </w:r>
      <w:r w:rsidR="00A9004F" w:rsidRPr="00EC0229">
        <w:rPr>
          <w:rFonts w:eastAsia="Times New Roman" w:cs="Times New Roman"/>
          <w:iCs/>
          <w:szCs w:val="24"/>
          <w:lang w:eastAsia="en-GB"/>
        </w:rPr>
        <w:t>, such as Rendlesham, with their evident wealth. The accumulations at York, Yeavering</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Yeavering</w:instrText>
      </w:r>
      <w:r w:rsidR="006B1593" w:rsidRPr="00EC0229">
        <w:instrText xml:space="preserve">" </w:instrText>
      </w:r>
      <w:r w:rsidR="006B1593" w:rsidRPr="00EC0229">
        <w:rPr>
          <w:rFonts w:eastAsia="Times New Roman" w:cs="Times New Roman"/>
          <w:iCs/>
          <w:szCs w:val="24"/>
          <w:lang w:eastAsia="en-GB"/>
        </w:rPr>
        <w:fldChar w:fldCharType="end"/>
      </w:r>
      <w:r w:rsidR="00A9004F" w:rsidRPr="00EC0229">
        <w:rPr>
          <w:rFonts w:eastAsia="Times New Roman" w:cs="Times New Roman"/>
          <w:iCs/>
          <w:szCs w:val="24"/>
          <w:lang w:eastAsia="en-GB"/>
        </w:rPr>
        <w:t xml:space="preserve"> and Bamburgh</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Bamburgh</w:instrText>
      </w:r>
      <w:r w:rsidR="006B1593" w:rsidRPr="00EC0229">
        <w:instrText xml:space="preserve">" </w:instrText>
      </w:r>
      <w:r w:rsidR="006B1593" w:rsidRPr="00EC0229">
        <w:rPr>
          <w:rFonts w:eastAsia="Times New Roman" w:cs="Times New Roman"/>
          <w:iCs/>
          <w:szCs w:val="24"/>
          <w:lang w:eastAsia="en-GB"/>
        </w:rPr>
        <w:fldChar w:fldCharType="end"/>
      </w:r>
      <w:r w:rsidR="00A9004F" w:rsidRPr="00EC0229">
        <w:rPr>
          <w:rFonts w:eastAsia="Times New Roman" w:cs="Times New Roman"/>
          <w:iCs/>
          <w:szCs w:val="24"/>
          <w:lang w:eastAsia="en-GB"/>
        </w:rPr>
        <w:t xml:space="preserve"> differ significantly</w:t>
      </w:r>
      <w:r w:rsidR="00FE6B48" w:rsidRPr="00EC0229">
        <w:rPr>
          <w:rFonts w:eastAsia="Times New Roman" w:cs="Times New Roman"/>
          <w:iCs/>
          <w:szCs w:val="24"/>
          <w:lang w:eastAsia="en-GB"/>
        </w:rPr>
        <w:t xml:space="preserve">, reflecting weaker Bernician </w:t>
      </w:r>
      <w:r w:rsidR="003F2041" w:rsidRPr="00EC0229">
        <w:rPr>
          <w:rFonts w:eastAsia="Times New Roman" w:cs="Times New Roman"/>
          <w:iCs/>
          <w:szCs w:val="24"/>
          <w:lang w:eastAsia="en-GB"/>
        </w:rPr>
        <w:t>monetiz</w:t>
      </w:r>
      <w:r w:rsidR="00FE6B48" w:rsidRPr="00EC0229">
        <w:rPr>
          <w:rFonts w:eastAsia="Times New Roman" w:cs="Times New Roman"/>
          <w:iCs/>
          <w:szCs w:val="24"/>
          <w:lang w:eastAsia="en-GB"/>
        </w:rPr>
        <w:t>ation</w:t>
      </w:r>
      <w:r w:rsidR="008960AE" w:rsidRPr="00EC0229">
        <w:rPr>
          <w:rFonts w:eastAsia="Times New Roman" w:cs="Times New Roman"/>
          <w:iCs/>
          <w:szCs w:val="24"/>
          <w:lang w:eastAsia="en-GB"/>
        </w:rPr>
        <w:fldChar w:fldCharType="begin"/>
      </w:r>
      <w:r w:rsidR="008960AE" w:rsidRPr="00EC0229">
        <w:instrText xml:space="preserve"> XE "monetization" </w:instrText>
      </w:r>
      <w:r w:rsidR="008960AE" w:rsidRPr="00EC0229">
        <w:rPr>
          <w:rFonts w:eastAsia="Times New Roman" w:cs="Times New Roman"/>
          <w:iCs/>
          <w:szCs w:val="24"/>
          <w:lang w:eastAsia="en-GB"/>
        </w:rPr>
        <w:fldChar w:fldCharType="end"/>
      </w:r>
      <w:r w:rsidR="00A9004F" w:rsidRPr="00EC0229">
        <w:rPr>
          <w:rFonts w:eastAsia="Times New Roman" w:cs="Times New Roman"/>
          <w:iCs/>
          <w:szCs w:val="24"/>
          <w:lang w:eastAsia="en-GB"/>
        </w:rPr>
        <w:t xml:space="preserve">. Yeavering seems to have been abandoned before </w:t>
      </w:r>
      <w:r w:rsidR="003F2041" w:rsidRPr="00EC0229">
        <w:rPr>
          <w:rFonts w:eastAsia="Times New Roman" w:cs="Times New Roman"/>
          <w:iCs/>
          <w:szCs w:val="24"/>
          <w:lang w:eastAsia="en-GB"/>
        </w:rPr>
        <w:t>monetiz</w:t>
      </w:r>
      <w:r w:rsidR="00A9004F" w:rsidRPr="00EC0229">
        <w:rPr>
          <w:rFonts w:eastAsia="Times New Roman" w:cs="Times New Roman"/>
          <w:iCs/>
          <w:szCs w:val="24"/>
          <w:lang w:eastAsia="en-GB"/>
        </w:rPr>
        <w:t>ation and Bamburgh is very well endowed, but only late, with base, especially blundered, stycas.</w:t>
      </w:r>
    </w:p>
    <w:p w14:paraId="0AB0421A" w14:textId="78A692DE" w:rsidR="002A7E00" w:rsidRPr="00EC0229" w:rsidRDefault="002A7E00" w:rsidP="007600EA">
      <w:pPr>
        <w:pStyle w:val="NoSpacing"/>
        <w:spacing w:line="360" w:lineRule="auto"/>
      </w:pPr>
    </w:p>
    <w:p w14:paraId="295D34B4" w14:textId="2BBF66C0" w:rsidR="00A972E7" w:rsidRPr="00EC0229" w:rsidRDefault="00A972E7" w:rsidP="007600EA">
      <w:pPr>
        <w:pStyle w:val="NoSpacing"/>
        <w:spacing w:line="360" w:lineRule="auto"/>
      </w:pPr>
      <w:r w:rsidRPr="00EC0229">
        <w:t xml:space="preserve">Assuming that the regions studied are not mere chance but have some internal cohesive, the contrast between the lowlands and Wolds suggests that </w:t>
      </w:r>
      <w:r w:rsidR="003F2041" w:rsidRPr="00EC0229">
        <w:t>monetiz</w:t>
      </w:r>
      <w:r w:rsidRPr="00EC0229">
        <w:t>ation is related most closely to the freedom</w:t>
      </w:r>
      <w:r w:rsidR="00BC49D6" w:rsidRPr="00EC0229">
        <w:t>s</w:t>
      </w:r>
      <w:r w:rsidR="00EB1791" w:rsidRPr="00EC0229">
        <w:t xml:space="preserve"> that the populace enjoyed,</w:t>
      </w:r>
      <w:r w:rsidRPr="00EC0229">
        <w:t xml:space="preserve"> whether </w:t>
      </w:r>
      <w:r w:rsidR="00EB1791" w:rsidRPr="00EC0229">
        <w:t xml:space="preserve">granted </w:t>
      </w:r>
      <w:r w:rsidRPr="00EC0229">
        <w:t xml:space="preserve">by design or </w:t>
      </w:r>
      <w:r w:rsidR="00EB1791" w:rsidRPr="00EC0229">
        <w:t xml:space="preserve">taken through </w:t>
      </w:r>
      <w:r w:rsidRPr="00EC0229">
        <w:t>neglect.</w:t>
      </w:r>
      <w:r w:rsidR="00BC49D6" w:rsidRPr="00EC0229">
        <w:t xml:space="preserve"> Essentially</w:t>
      </w:r>
      <w:r w:rsidR="00392447" w:rsidRPr="00EC0229">
        <w:t xml:space="preserve">, this </w:t>
      </w:r>
      <w:r w:rsidR="00BC49D6" w:rsidRPr="00EC0229">
        <w:t>refer</w:t>
      </w:r>
      <w:r w:rsidR="00392447" w:rsidRPr="00EC0229">
        <w:t>s</w:t>
      </w:r>
      <w:r w:rsidR="00BC49D6" w:rsidRPr="00EC0229">
        <w:t xml:space="preserve"> to freedom of enterprise, but also</w:t>
      </w:r>
      <w:r w:rsidR="00CF45AD" w:rsidRPr="00EC0229">
        <w:t>, ironically,</w:t>
      </w:r>
      <w:r w:rsidR="00BC49D6" w:rsidRPr="00EC0229">
        <w:t xml:space="preserve"> the church did not favour manumission.</w:t>
      </w:r>
      <w:r w:rsidR="00BC49D6" w:rsidRPr="00EC0229">
        <w:rPr>
          <w:rStyle w:val="FootnoteReference"/>
        </w:rPr>
        <w:footnoteReference w:id="1319"/>
      </w:r>
    </w:p>
    <w:p w14:paraId="11223F40" w14:textId="77777777" w:rsidR="00C2748E" w:rsidRPr="00EC0229" w:rsidRDefault="00C2748E" w:rsidP="007600EA">
      <w:pPr>
        <w:pStyle w:val="NoSpacing"/>
        <w:spacing w:line="360" w:lineRule="auto"/>
      </w:pPr>
    </w:p>
    <w:p w14:paraId="49129BD1" w14:textId="77777777" w:rsidR="00C2748E" w:rsidRPr="00EC0229" w:rsidRDefault="00C2748E" w:rsidP="00C274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right"/>
        <w:rPr>
          <w:rFonts w:eastAsia="Times New Roman" w:cs="Times New Roman"/>
          <w:sz w:val="20"/>
          <w:szCs w:val="20"/>
          <w:lang w:eastAsia="en-GB"/>
        </w:rPr>
      </w:pPr>
      <w:r w:rsidRPr="00EC0229">
        <w:rPr>
          <w:rFonts w:eastAsia="Times New Roman" w:cs="Times New Roman"/>
          <w:sz w:val="20"/>
          <w:szCs w:val="20"/>
          <w:lang w:eastAsia="en-GB"/>
        </w:rPr>
        <w:t>DENNIS:  Anarcho-syndicalism is a way of preserving freedom.</w:t>
      </w:r>
    </w:p>
    <w:p w14:paraId="69F08C5F" w14:textId="77777777" w:rsidR="00C2748E" w:rsidRPr="00EC0229" w:rsidRDefault="00C2748E" w:rsidP="00C274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right"/>
        <w:rPr>
          <w:rFonts w:eastAsia="Times New Roman" w:cs="Times New Roman"/>
          <w:sz w:val="20"/>
          <w:szCs w:val="20"/>
          <w:lang w:eastAsia="en-GB"/>
        </w:rPr>
      </w:pPr>
      <w:r w:rsidRPr="00EC0229">
        <w:rPr>
          <w:rFonts w:eastAsia="Times New Roman" w:cs="Times New Roman"/>
          <w:sz w:val="20"/>
          <w:szCs w:val="20"/>
          <w:lang w:eastAsia="en-GB"/>
        </w:rPr>
        <w:t xml:space="preserve">  WOMAN:  Oh, Dennis, forget about freedom.  Now I've dropped my mud.</w:t>
      </w:r>
    </w:p>
    <w:p w14:paraId="4C46047C" w14:textId="77777777" w:rsidR="00C2748E" w:rsidRPr="00EC0229" w:rsidRDefault="00C2748E" w:rsidP="00C274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right"/>
        <w:rPr>
          <w:color w:val="000000" w:themeColor="text1"/>
        </w:rPr>
      </w:pPr>
      <w:r w:rsidRPr="00EC0229">
        <w:rPr>
          <w:rFonts w:eastAsia="Times New Roman" w:cs="Times New Roman"/>
          <w:i/>
          <w:sz w:val="20"/>
          <w:szCs w:val="20"/>
          <w:lang w:eastAsia="en-GB"/>
        </w:rPr>
        <w:t>Monty Python and the Holy Grail</w:t>
      </w:r>
      <w:r w:rsidRPr="00EC0229">
        <w:rPr>
          <w:rFonts w:eastAsia="Times New Roman" w:cs="Times New Roman"/>
          <w:sz w:val="20"/>
          <w:szCs w:val="20"/>
          <w:lang w:eastAsia="en-GB"/>
        </w:rPr>
        <w:t xml:space="preserve"> (1975)</w:t>
      </w:r>
    </w:p>
    <w:p w14:paraId="2A08D6B8" w14:textId="28E0084F" w:rsidR="00B238BB" w:rsidRPr="007C71C5" w:rsidRDefault="002979EC" w:rsidP="007C71C5">
      <w:pPr>
        <w:pStyle w:val="Heading4"/>
        <w:rPr>
          <w:b/>
        </w:rPr>
      </w:pPr>
      <w:bookmarkStart w:id="975" w:name="_Toc468266967"/>
      <w:r>
        <w:rPr>
          <w:b/>
        </w:rPr>
        <w:t>9.2.1.4</w:t>
      </w:r>
      <w:r w:rsidR="007C71C5" w:rsidRPr="007C71C5">
        <w:rPr>
          <w:b/>
        </w:rPr>
        <w:tab/>
      </w:r>
      <w:r w:rsidR="00B238BB" w:rsidRPr="007C71C5">
        <w:rPr>
          <w:b/>
        </w:rPr>
        <w:t>Expropriation</w:t>
      </w:r>
      <w:bookmarkEnd w:id="975"/>
      <w:r w:rsidR="00B238BB" w:rsidRPr="007C71C5">
        <w:rPr>
          <w:b/>
        </w:rPr>
        <w:fldChar w:fldCharType="begin"/>
      </w:r>
      <w:r w:rsidR="00B238BB" w:rsidRPr="007C71C5">
        <w:rPr>
          <w:b/>
        </w:rPr>
        <w:instrText xml:space="preserve"> XE "</w:instrText>
      </w:r>
      <w:r w:rsidR="00B238BB" w:rsidRPr="007C71C5">
        <w:rPr>
          <w:rStyle w:val="Hyperlink"/>
          <w:b/>
          <w:noProof/>
          <w:u w:val="none"/>
        </w:rPr>
        <w:instrText>Expropriation</w:instrText>
      </w:r>
      <w:r w:rsidR="00B238BB" w:rsidRPr="007C71C5">
        <w:rPr>
          <w:b/>
        </w:rPr>
        <w:instrText xml:space="preserve">" </w:instrText>
      </w:r>
      <w:r w:rsidR="00B238BB" w:rsidRPr="007C71C5">
        <w:rPr>
          <w:b/>
        </w:rPr>
        <w:fldChar w:fldCharType="end"/>
      </w:r>
    </w:p>
    <w:p w14:paraId="302219D3" w14:textId="77777777" w:rsidR="00B238BB" w:rsidRPr="00EC0229" w:rsidRDefault="00B238BB" w:rsidP="00B238BB">
      <w:pPr>
        <w:pStyle w:val="NoSpacing"/>
        <w:spacing w:line="360" w:lineRule="auto"/>
      </w:pPr>
      <w:r>
        <w:t>Objective: t</w:t>
      </w:r>
      <w:r w:rsidRPr="00EC0229">
        <w:t>o demonstrate the role of coinage in surplus</w:t>
      </w:r>
      <w:r w:rsidRPr="00EC0229">
        <w:fldChar w:fldCharType="begin"/>
      </w:r>
      <w:r w:rsidRPr="00EC0229">
        <w:instrText xml:space="preserve"> XE "surplus" </w:instrText>
      </w:r>
      <w:r w:rsidRPr="00EC0229">
        <w:fldChar w:fldCharType="end"/>
      </w:r>
      <w:r w:rsidRPr="00EC0229">
        <w:t xml:space="preserve"> expropriation by the authorities</w:t>
      </w:r>
      <w:r>
        <w:t>.</w:t>
      </w:r>
    </w:p>
    <w:p w14:paraId="581F11E6" w14:textId="77777777" w:rsidR="00B238BB" w:rsidRDefault="00B238BB" w:rsidP="00C2748E">
      <w:pPr>
        <w:pStyle w:val="NoSpacing"/>
        <w:spacing w:line="360" w:lineRule="auto"/>
        <w:rPr>
          <w:color w:val="000000" w:themeColor="text1"/>
        </w:rPr>
      </w:pPr>
    </w:p>
    <w:p w14:paraId="3526D912" w14:textId="30FF073D" w:rsidR="00C2748E" w:rsidRPr="00EC0229" w:rsidRDefault="00C2748E" w:rsidP="00C2748E">
      <w:pPr>
        <w:pStyle w:val="NoSpacing"/>
        <w:spacing w:line="360" w:lineRule="auto"/>
        <w:rPr>
          <w:color w:val="000000" w:themeColor="text1"/>
        </w:rPr>
      </w:pPr>
      <w:r w:rsidRPr="00EC0229">
        <w:rPr>
          <w:color w:val="000000" w:themeColor="text1"/>
        </w:rPr>
        <w:t>While the quest for present and future security, both physical and psychological, motivates behaviour, satisfying immediate needs is an innate imperative, irrespective of possibly adverse longer-term consequences, for example, habitat degradation or unsupportable reproduction. Planning for the future, whether defensive or offensive, is accomplished through innovation – language, belief, technology, hierarchy and exchange,</w:t>
      </w:r>
      <w:r w:rsidRPr="00EC0229">
        <w:rPr>
          <w:rStyle w:val="FootnoteReference"/>
          <w:color w:val="000000" w:themeColor="text1"/>
        </w:rPr>
        <w:footnoteReference w:id="1320"/>
      </w:r>
      <w:r w:rsidRPr="00EC0229">
        <w:rPr>
          <w:color w:val="000000" w:themeColor="text1"/>
        </w:rPr>
        <w:t xml:space="preserve"> In applying rational judgements retrospectively to historical cause and effect, archaic priorities, perceptions and motivations are almost inevitably misunderstood, often failing to recognise that surrender to belief seems hardwired into the human psyche.</w:t>
      </w:r>
      <w:r w:rsidRPr="00EC0229">
        <w:rPr>
          <w:rStyle w:val="FootnoteReference"/>
          <w:color w:val="000000" w:themeColor="text1"/>
        </w:rPr>
        <w:footnoteReference w:id="1321"/>
      </w:r>
      <w:r w:rsidRPr="00EC0229">
        <w:rPr>
          <w:color w:val="000000" w:themeColor="text1"/>
        </w:rPr>
        <w:t xml:space="preserve"> People have a predisposition to be cossetted by their communal belief for spiritual security, facilitating, perhaps an unresisted, even cynical, exploitation by the theocracy.</w:t>
      </w:r>
      <w:r w:rsidRPr="00EC0229">
        <w:rPr>
          <w:rStyle w:val="FootnoteReference"/>
          <w:color w:val="000000" w:themeColor="text1"/>
        </w:rPr>
        <w:footnoteReference w:id="1322"/>
      </w:r>
      <w:r w:rsidRPr="00EC0229">
        <w:rPr>
          <w:color w:val="000000" w:themeColor="text1"/>
        </w:rPr>
        <w:t xml:space="preserve"> Certainly, substantial ecclesiastical </w:t>
      </w:r>
      <w:r w:rsidRPr="00EC0229">
        <w:t>fiscal treasuries</w:t>
      </w:r>
      <w:r w:rsidRPr="00EC0229">
        <w:rPr>
          <w:color w:val="000000" w:themeColor="text1"/>
        </w:rPr>
        <w:t xml:space="preserve"> are evident (</w:t>
      </w:r>
      <w:r w:rsidRPr="00EC0229">
        <w:rPr>
          <w:color w:val="000000" w:themeColor="text1"/>
        </w:rPr>
        <w:fldChar w:fldCharType="begin"/>
      </w:r>
      <w:r w:rsidRPr="00EC0229">
        <w:rPr>
          <w:color w:val="000000" w:themeColor="text1"/>
        </w:rPr>
        <w:instrText xml:space="preserve"> PAGEREF fiscaltreasury \h </w:instrText>
      </w:r>
      <w:r w:rsidRPr="00EC0229">
        <w:rPr>
          <w:color w:val="000000" w:themeColor="text1"/>
        </w:rPr>
      </w:r>
      <w:r w:rsidRPr="00EC0229">
        <w:rPr>
          <w:color w:val="000000" w:themeColor="text1"/>
        </w:rPr>
        <w:fldChar w:fldCharType="separate"/>
      </w:r>
      <w:r w:rsidR="0012026B">
        <w:rPr>
          <w:noProof/>
          <w:color w:val="000000" w:themeColor="text1"/>
        </w:rPr>
        <w:t>316</w:t>
      </w:r>
      <w:r w:rsidRPr="00EC0229">
        <w:rPr>
          <w:color w:val="000000" w:themeColor="text1"/>
        </w:rPr>
        <w:fldChar w:fldCharType="end"/>
      </w:r>
      <w:r w:rsidRPr="00EC0229">
        <w:rPr>
          <w:color w:val="000000" w:themeColor="text1"/>
        </w:rPr>
        <w:t xml:space="preserve">). Typically, strong regimes may enhance stability, but often pursue regressive, usually veiled, redistribution, </w:t>
      </w:r>
      <w:r w:rsidRPr="00EC0229">
        <w:t>from poor to rich,</w:t>
      </w:r>
      <w:r w:rsidRPr="00EC0229">
        <w:rPr>
          <w:color w:val="000000" w:themeColor="text1"/>
        </w:rPr>
        <w:t xml:space="preserve"> so that their subjects’ horizons are short, their </w:t>
      </w:r>
      <w:r w:rsidRPr="00EC0229">
        <w:rPr>
          <w:color w:val="000000" w:themeColor="text1"/>
        </w:rPr>
        <w:lastRenderedPageBreak/>
        <w:t xml:space="preserve">resistance and expectations limited. Moreover, </w:t>
      </w:r>
      <w:r w:rsidRPr="00EC0229">
        <w:rPr>
          <w:szCs w:val="24"/>
        </w:rPr>
        <w:t xml:space="preserve">the ‘widow’s mite’ was not too great an imposition on the populace and was easily extracted. </w:t>
      </w:r>
    </w:p>
    <w:p w14:paraId="2E626114" w14:textId="77777777" w:rsidR="00C2748E" w:rsidRPr="00EC0229" w:rsidRDefault="00C2748E" w:rsidP="00C2748E">
      <w:pPr>
        <w:pStyle w:val="NoSpacing"/>
        <w:spacing w:line="360" w:lineRule="auto"/>
        <w:rPr>
          <w:color w:val="000000" w:themeColor="text1"/>
        </w:rPr>
      </w:pPr>
    </w:p>
    <w:p w14:paraId="0F33186E" w14:textId="2F9E513E" w:rsidR="00C2748E" w:rsidRPr="00EC0229" w:rsidRDefault="00C2748E" w:rsidP="00C2748E">
      <w:pPr>
        <w:pStyle w:val="NoSpacing"/>
        <w:spacing w:line="360" w:lineRule="auto"/>
      </w:pPr>
      <w:r w:rsidRPr="00EC0229">
        <w:t>The Marxist</w:t>
      </w:r>
      <w:r w:rsidRPr="00EC0229">
        <w:fldChar w:fldCharType="begin"/>
      </w:r>
      <w:r w:rsidRPr="00EC0229">
        <w:instrText xml:space="preserve"> XE "</w:instrText>
      </w:r>
      <w:r w:rsidRPr="00EC0229">
        <w:rPr>
          <w:rFonts w:cs="Times New Roman"/>
          <w:szCs w:val="24"/>
        </w:rPr>
        <w:instrText>Marxist</w:instrText>
      </w:r>
      <w:r w:rsidRPr="00EC0229">
        <w:instrText xml:space="preserve">" </w:instrText>
      </w:r>
      <w:r w:rsidRPr="00EC0229">
        <w:fldChar w:fldCharType="end"/>
      </w:r>
      <w:r w:rsidRPr="00EC0229">
        <w:t xml:space="preserve"> view (</w:t>
      </w:r>
      <w:r w:rsidRPr="00EC0229">
        <w:fldChar w:fldCharType="begin"/>
      </w:r>
      <w:r w:rsidRPr="00EC0229">
        <w:instrText xml:space="preserve"> PAGEREF Marxist \h </w:instrText>
      </w:r>
      <w:r w:rsidRPr="00EC0229">
        <w:fldChar w:fldCharType="separate"/>
      </w:r>
      <w:r w:rsidR="0012026B">
        <w:rPr>
          <w:noProof/>
        </w:rPr>
        <w:t>33</w:t>
      </w:r>
      <w:r w:rsidRPr="00EC0229">
        <w:fldChar w:fldCharType="end"/>
      </w:r>
      <w:r w:rsidRPr="00EC0229">
        <w:t>) was given by Saunders: ‘emporia</w:t>
      </w:r>
      <w:r w:rsidRPr="00EC0229">
        <w:fldChar w:fldCharType="begin"/>
      </w:r>
      <w:r w:rsidRPr="00EC0229">
        <w:instrText xml:space="preserve"> XE "</w:instrText>
      </w:r>
      <w:r w:rsidRPr="00EC0229">
        <w:rPr>
          <w:rFonts w:cs="Times New Roman"/>
          <w:i/>
          <w:szCs w:val="24"/>
        </w:rPr>
        <w:instrText>emporia</w:instrText>
      </w:r>
      <w:r w:rsidRPr="00EC0229">
        <w:instrText xml:space="preserve">" </w:instrText>
      </w:r>
      <w:r w:rsidRPr="00EC0229">
        <w:fldChar w:fldCharType="end"/>
      </w:r>
      <w:r w:rsidRPr="00EC0229">
        <w:t xml:space="preserve"> were settlements specialising in the production and exchange of prestige goods. They regulated trade in luxury items for the exclusive usage of the tributary ruling elite and were thus divorced from the rural economy</w:t>
      </w:r>
      <w:r w:rsidRPr="00EC0229">
        <w:fldChar w:fldCharType="begin"/>
      </w:r>
      <w:r w:rsidRPr="00EC0229">
        <w:instrText xml:space="preserve"> XE "</w:instrText>
      </w:r>
      <w:r w:rsidRPr="00EC0229">
        <w:rPr>
          <w:rFonts w:cs="Times New Roman"/>
          <w:b/>
          <w:color w:val="000000" w:themeColor="text1"/>
          <w:sz w:val="56"/>
          <w:szCs w:val="56"/>
        </w:rPr>
        <w:instrText>economy</w:instrText>
      </w:r>
      <w:r w:rsidRPr="00EC0229">
        <w:instrText xml:space="preserve">" </w:instrText>
      </w:r>
      <w:r w:rsidRPr="00EC0229">
        <w:fldChar w:fldCharType="end"/>
      </w:r>
      <w:r w:rsidRPr="00EC0229">
        <w:t>.’</w:t>
      </w:r>
      <w:r w:rsidRPr="00EC0229">
        <w:rPr>
          <w:rStyle w:val="FootnoteReference"/>
        </w:rPr>
        <w:footnoteReference w:id="1323"/>
      </w:r>
      <w:r w:rsidRPr="00EC0229">
        <w:t xml:space="preserve"> While, the residents were susceptible to both autocratic and theocratic exploitation in the Conversion Period</w:t>
      </w:r>
      <w:r w:rsidRPr="00EC0229">
        <w:fldChar w:fldCharType="begin"/>
      </w:r>
      <w:r w:rsidRPr="00EC0229">
        <w:instrText xml:space="preserve"> XE "</w:instrText>
      </w:r>
      <w:r w:rsidRPr="00EC0229">
        <w:rPr>
          <w:rFonts w:cs="Times New Roman"/>
        </w:rPr>
        <w:instrText>Conversion Period</w:instrText>
      </w:r>
      <w:r w:rsidRPr="00EC0229">
        <w:instrText xml:space="preserve">" </w:instrText>
      </w:r>
      <w:r w:rsidRPr="00EC0229">
        <w:fldChar w:fldCharType="end"/>
      </w:r>
      <w:r w:rsidRPr="00EC0229">
        <w:t>, as evident from the lack of diversity in the diet at Fishergate</w:t>
      </w:r>
      <w:r w:rsidRPr="00EC0229">
        <w:fldChar w:fldCharType="begin"/>
      </w:r>
      <w:r w:rsidRPr="00EC0229">
        <w:instrText xml:space="preserve"> XE "</w:instrText>
      </w:r>
      <w:r w:rsidRPr="00EC0229">
        <w:rPr>
          <w:rStyle w:val="Hyperlink"/>
          <w:noProof/>
          <w:u w:val="none"/>
        </w:rPr>
        <w:instrText>Fishergate</w:instrText>
      </w:r>
      <w:r w:rsidRPr="00EC0229">
        <w:instrText xml:space="preserve">" </w:instrText>
      </w:r>
      <w:r w:rsidRPr="00EC0229">
        <w:fldChar w:fldCharType="end"/>
      </w:r>
      <w:r w:rsidRPr="00EC0229">
        <w:t xml:space="preserve">, the conclusion developed by Saunders (2001) that: </w:t>
      </w:r>
      <w:r w:rsidRPr="00EC0229">
        <w:rPr>
          <w:rFonts w:cs="Times New Roman"/>
          <w:szCs w:val="24"/>
        </w:rPr>
        <w:t>‘Emporia, therefore, cannot be conceived as a dynamic force in Anglo-Saxon</w:t>
      </w:r>
      <w:r w:rsidRPr="00EC0229">
        <w:rPr>
          <w:rFonts w:cs="Times New Roman"/>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rFonts w:cs="Times New Roman"/>
          <w:szCs w:val="24"/>
        </w:rPr>
        <w:fldChar w:fldCharType="end"/>
      </w:r>
      <w:r w:rsidRPr="00EC0229">
        <w:rPr>
          <w:rFonts w:cs="Times New Roman"/>
          <w:szCs w:val="24"/>
        </w:rPr>
        <w:t xml:space="preserve"> society’</w:t>
      </w:r>
      <w:r w:rsidRPr="00EC0229">
        <w:rPr>
          <w:rStyle w:val="FootnoteReference"/>
          <w:rFonts w:cs="Times New Roman"/>
          <w:szCs w:val="24"/>
        </w:rPr>
        <w:footnoteReference w:id="1324"/>
      </w:r>
      <w:r w:rsidRPr="00EC0229">
        <w:rPr>
          <w:rFonts w:cs="Times New Roman"/>
          <w:szCs w:val="24"/>
        </w:rPr>
        <w:t xml:space="preserve"> </w:t>
      </w:r>
      <w:r w:rsidRPr="00EC0229">
        <w:t xml:space="preserve">is </w:t>
      </w:r>
      <w:r w:rsidRPr="00EC0229">
        <w:rPr>
          <w:rFonts w:cs="Times New Roman"/>
          <w:szCs w:val="24"/>
        </w:rPr>
        <w:t>contrary.</w:t>
      </w:r>
      <w:r w:rsidRPr="00EC0229">
        <w:t xml:space="preserve"> The return to labour was expropriated - </w:t>
      </w:r>
      <w:r w:rsidRPr="00EC0229">
        <w:rPr>
          <w:i/>
        </w:rPr>
        <w:t>quid novi?</w:t>
      </w:r>
      <w:r w:rsidRPr="00EC0229">
        <w:t xml:space="preserve"> – how rapaciously cannot be determined.</w:t>
      </w:r>
    </w:p>
    <w:p w14:paraId="363CF779" w14:textId="77777777" w:rsidR="00C2748E" w:rsidRPr="00EC0229" w:rsidRDefault="00C2748E" w:rsidP="00C2748E">
      <w:pPr>
        <w:pStyle w:val="NoSpacing"/>
        <w:spacing w:line="360" w:lineRule="auto"/>
      </w:pPr>
    </w:p>
    <w:p w14:paraId="5BEEA9AF" w14:textId="6C96111D" w:rsidR="00C2748E" w:rsidRPr="00EC0229" w:rsidRDefault="00C2748E" w:rsidP="00C2748E">
      <w:pPr>
        <w:pStyle w:val="NoSpacing"/>
        <w:spacing w:line="360" w:lineRule="auto"/>
      </w:pPr>
      <w:r w:rsidRPr="00EC0229">
        <w:t>Urbanism facilitates specialisation</w:t>
      </w:r>
      <w:r w:rsidRPr="00EC0229">
        <w:fldChar w:fldCharType="begin"/>
      </w:r>
      <w:r w:rsidRPr="00EC0229">
        <w:instrText xml:space="preserve"> XE "</w:instrText>
      </w:r>
      <w:r w:rsidRPr="00EC0229">
        <w:rPr>
          <w:rFonts w:cs="Times New Roman"/>
          <w:szCs w:val="24"/>
        </w:rPr>
        <w:instrText>specialisation</w:instrText>
      </w:r>
      <w:r w:rsidRPr="00EC0229">
        <w:instrText xml:space="preserve">" </w:instrText>
      </w:r>
      <w:r w:rsidRPr="00EC0229">
        <w:fldChar w:fldCharType="end"/>
      </w:r>
      <w:r w:rsidRPr="00EC0229">
        <w:t>, attracting workers skilled in artefact manufacture and crafts.</w:t>
      </w:r>
      <w:r w:rsidR="00D05926" w:rsidRPr="00EC0229">
        <w:t xml:space="preserve"> It is more likely that such skilled workers operated from a workshop rather than being peripatetic, though their skills were mobile.</w:t>
      </w:r>
      <w:r w:rsidR="007F633C" w:rsidRPr="00EC0229">
        <w:rPr>
          <w:rStyle w:val="FootnoteReference"/>
        </w:rPr>
        <w:footnoteReference w:id="1325"/>
      </w:r>
      <w:r w:rsidRPr="00EC0229">
        <w:t xml:space="preserve"> These artisans are valued by the élite</w:t>
      </w:r>
      <w:r w:rsidRPr="00EC0229">
        <w:fldChar w:fldCharType="begin"/>
      </w:r>
      <w:r w:rsidRPr="00EC0229">
        <w:instrText xml:space="preserve"> XE "</w:instrText>
      </w:r>
      <w:r w:rsidRPr="00EC0229">
        <w:rPr>
          <w:szCs w:val="24"/>
        </w:rPr>
        <w:instrText>élite</w:instrText>
      </w:r>
      <w:r w:rsidRPr="00EC0229">
        <w:instrText xml:space="preserve">" </w:instrText>
      </w:r>
      <w:r w:rsidRPr="00EC0229">
        <w:fldChar w:fldCharType="end"/>
      </w:r>
      <w:r w:rsidRPr="00EC0229">
        <w:t xml:space="preserve"> not just for their skills but for their ability to bear taxation. Urban craft specialism is not what Polanyi</w:t>
      </w:r>
      <w:r w:rsidRPr="00EC0229">
        <w:fldChar w:fldCharType="begin"/>
      </w:r>
      <w:r w:rsidRPr="00EC0229">
        <w:instrText xml:space="preserve"> XE "</w:instrText>
      </w:r>
      <w:r w:rsidRPr="00EC0229">
        <w:rPr>
          <w:noProof/>
        </w:rPr>
        <w:instrText>Polanyi</w:instrText>
      </w:r>
      <w:r w:rsidRPr="00EC0229">
        <w:instrText xml:space="preserve">" </w:instrText>
      </w:r>
      <w:r w:rsidRPr="00EC0229">
        <w:fldChar w:fldCharType="end"/>
      </w:r>
      <w:r w:rsidRPr="00EC0229">
        <w:t xml:space="preserve"> (</w:t>
      </w:r>
      <w:r w:rsidRPr="00EC0229">
        <w:fldChar w:fldCharType="begin"/>
      </w:r>
      <w:r w:rsidRPr="00EC0229">
        <w:instrText xml:space="preserve"> PAGEREF Anthropological \h </w:instrText>
      </w:r>
      <w:r w:rsidRPr="00EC0229">
        <w:fldChar w:fldCharType="separate"/>
      </w:r>
      <w:r w:rsidR="0012026B">
        <w:rPr>
          <w:noProof/>
        </w:rPr>
        <w:t>20</w:t>
      </w:r>
      <w:r w:rsidRPr="00EC0229">
        <w:fldChar w:fldCharType="end"/>
      </w:r>
      <w:r w:rsidRPr="00EC0229">
        <w:t xml:space="preserve">) meant as </w:t>
      </w:r>
      <w:r w:rsidRPr="00EC0229">
        <w:rPr>
          <w:i/>
        </w:rPr>
        <w:t>disembedded</w:t>
      </w:r>
      <w:r w:rsidRPr="00EC0229">
        <w:rPr>
          <w:i/>
        </w:rPr>
        <w:fldChar w:fldCharType="begin"/>
      </w:r>
      <w:r w:rsidRPr="00EC0229">
        <w:instrText xml:space="preserve"> XE "</w:instrText>
      </w:r>
      <w:r w:rsidRPr="00EC0229">
        <w:rPr>
          <w:rFonts w:cs="Times New Roman"/>
          <w:szCs w:val="24"/>
        </w:rPr>
        <w:instrText>disembedded</w:instrText>
      </w:r>
      <w:r w:rsidRPr="00EC0229">
        <w:instrText xml:space="preserve">" </w:instrText>
      </w:r>
      <w:r w:rsidRPr="00EC0229">
        <w:rPr>
          <w:i/>
        </w:rPr>
        <w:fldChar w:fldCharType="end"/>
      </w:r>
      <w:r w:rsidRPr="00EC0229">
        <w:t xml:space="preserve">, though specialism implies some sacrifice of self-sufficiency. His context was capitalism, when embeddedness and </w:t>
      </w:r>
      <w:r w:rsidR="003F2041" w:rsidRPr="00EC0229">
        <w:t>monetiz</w:t>
      </w:r>
      <w:r w:rsidRPr="00EC0229">
        <w:t xml:space="preserve">ation are inversely related. During the period of study, early medieval artisans remained socially engaged but the situation was fluid and economic </w:t>
      </w:r>
      <w:r w:rsidR="00BC0BC9" w:rsidRPr="00EC0229">
        <w:t>characteris</w:t>
      </w:r>
      <w:r w:rsidRPr="00EC0229">
        <w:t>ation as a binary choice between substantivism</w:t>
      </w:r>
      <w:r w:rsidRPr="00EC0229">
        <w:fldChar w:fldCharType="begin"/>
      </w:r>
      <w:r w:rsidRPr="00EC0229">
        <w:instrText xml:space="preserve"> XE "</w:instrText>
      </w:r>
      <w:r w:rsidRPr="00EC0229">
        <w:rPr>
          <w:rFonts w:cs="Times New Roman"/>
          <w:szCs w:val="24"/>
        </w:rPr>
        <w:instrText>substantivism</w:instrText>
      </w:r>
      <w:r w:rsidRPr="00EC0229">
        <w:instrText xml:space="preserve">" </w:instrText>
      </w:r>
      <w:r w:rsidRPr="00EC0229">
        <w:fldChar w:fldCharType="end"/>
      </w:r>
      <w:r w:rsidRPr="00EC0229">
        <w:t xml:space="preserve"> and formalism</w:t>
      </w:r>
      <w:r w:rsidRPr="00EC0229">
        <w:fldChar w:fldCharType="begin"/>
      </w:r>
      <w:r w:rsidRPr="00EC0229">
        <w:instrText xml:space="preserve"> XE "</w:instrText>
      </w:r>
      <w:r w:rsidRPr="00EC0229">
        <w:rPr>
          <w:rFonts w:cs="Times New Roman"/>
          <w:szCs w:val="24"/>
        </w:rPr>
        <w:instrText>formalism</w:instrText>
      </w:r>
      <w:r w:rsidRPr="00EC0229">
        <w:instrText xml:space="preserve">" </w:instrText>
      </w:r>
      <w:r w:rsidRPr="00EC0229">
        <w:fldChar w:fldCharType="end"/>
      </w:r>
      <w:r w:rsidRPr="00EC0229">
        <w:t xml:space="preserve"> is a false dichotomy. </w:t>
      </w:r>
    </w:p>
    <w:p w14:paraId="6DF07869" w14:textId="77777777" w:rsidR="00C2748E" w:rsidRPr="00EC0229" w:rsidRDefault="00C2748E" w:rsidP="00C2748E">
      <w:pPr>
        <w:pStyle w:val="NoSpacing"/>
        <w:spacing w:line="360" w:lineRule="auto"/>
      </w:pPr>
    </w:p>
    <w:p w14:paraId="3D484C2E" w14:textId="77777777" w:rsidR="00C2748E" w:rsidRPr="00EC0229" w:rsidRDefault="00C2748E" w:rsidP="00C2748E">
      <w:pPr>
        <w:pStyle w:val="NoSpacing"/>
        <w:spacing w:line="360" w:lineRule="auto"/>
        <w:rPr>
          <w:color w:val="000000" w:themeColor="text1"/>
        </w:rPr>
      </w:pPr>
      <w:r w:rsidRPr="00EC0229">
        <w:t xml:space="preserve">Moreover, application of the latter to the early medieval period is not only anachronistic but also over-presumptuous about the sophistication of the then existing price mechanism in resolving the central micro-economic issues: the allocation of scarce resources and optimisation of returns to the factors of production. Macro-economic objectives of stability, growth, employment and fiscal and trade balances could, at best, only be seen in political terms. Besides, </w:t>
      </w:r>
      <w:r w:rsidRPr="00EC0229">
        <w:rPr>
          <w:color w:val="000000" w:themeColor="text1"/>
        </w:rPr>
        <w:t>it was the victors and clerics, such as Bede</w:t>
      </w:r>
      <w:r w:rsidRPr="00EC0229">
        <w:rPr>
          <w:color w:val="000000" w:themeColor="text1"/>
        </w:rPr>
        <w:fldChar w:fldCharType="begin"/>
      </w:r>
      <w:r w:rsidRPr="00EC0229">
        <w:instrText xml:space="preserve"> XE "</w:instrText>
      </w:r>
      <w:r w:rsidRPr="00EC0229">
        <w:rPr>
          <w:bCs/>
          <w:sz w:val="20"/>
          <w:szCs w:val="20"/>
        </w:rPr>
        <w:instrText>Bede</w:instrText>
      </w:r>
      <w:r w:rsidRPr="00EC0229">
        <w:instrText xml:space="preserve">" </w:instrText>
      </w:r>
      <w:r w:rsidRPr="00EC0229">
        <w:rPr>
          <w:color w:val="000000" w:themeColor="text1"/>
        </w:rPr>
        <w:fldChar w:fldCharType="end"/>
      </w:r>
      <w:r w:rsidRPr="00EC0229">
        <w:rPr>
          <w:color w:val="000000" w:themeColor="text1"/>
        </w:rPr>
        <w:t>, who recorded their partial version of historical events.</w:t>
      </w:r>
      <w:r w:rsidRPr="00EC0229">
        <w:rPr>
          <w:rStyle w:val="FootnoteReference"/>
          <w:color w:val="000000" w:themeColor="text1"/>
        </w:rPr>
        <w:footnoteReference w:id="1326"/>
      </w:r>
    </w:p>
    <w:p w14:paraId="614887A1" w14:textId="77777777" w:rsidR="006E47ED" w:rsidRPr="00EC0229" w:rsidRDefault="006E47ED" w:rsidP="00C2748E">
      <w:pPr>
        <w:pStyle w:val="NoSpacing"/>
        <w:spacing w:line="360" w:lineRule="auto"/>
      </w:pPr>
    </w:p>
    <w:p w14:paraId="368820FA" w14:textId="62D52097" w:rsidR="006E47ED" w:rsidRPr="007C71C5" w:rsidRDefault="007C71C5" w:rsidP="007C71C5">
      <w:pPr>
        <w:pStyle w:val="Heading4"/>
        <w:rPr>
          <w:b/>
        </w:rPr>
      </w:pPr>
      <w:bookmarkStart w:id="976" w:name="ConclusionsPatterns"/>
      <w:bookmarkStart w:id="977" w:name="_Toc468266968"/>
      <w:bookmarkEnd w:id="976"/>
      <w:r w:rsidRPr="007C71C5">
        <w:rPr>
          <w:b/>
        </w:rPr>
        <w:lastRenderedPageBreak/>
        <w:t>9.2.1.5</w:t>
      </w:r>
      <w:r w:rsidRPr="007C71C5">
        <w:rPr>
          <w:b/>
        </w:rPr>
        <w:tab/>
      </w:r>
      <w:r w:rsidR="006E47ED" w:rsidRPr="007C71C5">
        <w:rPr>
          <w:b/>
        </w:rPr>
        <w:t>Settlement Patterns</w:t>
      </w:r>
      <w:bookmarkEnd w:id="977"/>
      <w:r w:rsidR="006B1593" w:rsidRPr="007C71C5">
        <w:rPr>
          <w:b/>
        </w:rPr>
        <w:fldChar w:fldCharType="begin"/>
      </w:r>
      <w:r w:rsidR="006B1593" w:rsidRPr="007C71C5">
        <w:rPr>
          <w:b/>
        </w:rPr>
        <w:instrText xml:space="preserve"> XE "</w:instrText>
      </w:r>
      <w:r w:rsidR="006B1593" w:rsidRPr="007C71C5">
        <w:rPr>
          <w:b/>
          <w:noProof/>
        </w:rPr>
        <w:instrText>Settlement Patterns</w:instrText>
      </w:r>
      <w:r w:rsidR="006B1593" w:rsidRPr="007C71C5">
        <w:rPr>
          <w:b/>
        </w:rPr>
        <w:instrText xml:space="preserve">" </w:instrText>
      </w:r>
      <w:r w:rsidR="006B1593" w:rsidRPr="007C71C5">
        <w:rPr>
          <w:b/>
        </w:rPr>
        <w:fldChar w:fldCharType="end"/>
      </w:r>
    </w:p>
    <w:p w14:paraId="56C9FBC8" w14:textId="49F3530F" w:rsidR="007D1856" w:rsidRDefault="00B238BB" w:rsidP="007D1856">
      <w:pPr>
        <w:pStyle w:val="NoSpacing"/>
        <w:spacing w:line="360" w:lineRule="auto"/>
      </w:pPr>
      <w:r>
        <w:t>Objective: t</w:t>
      </w:r>
      <w:r w:rsidRPr="00EC0229">
        <w:t>o</w:t>
      </w:r>
      <w:r w:rsidR="007D1856" w:rsidRPr="00EC0229">
        <w:t xml:space="preserve"> show how the varying mix of coins indicates different trading and settlement</w:t>
      </w:r>
      <w:r w:rsidR="007A7781" w:rsidRPr="00EC0229">
        <w:t xml:space="preserve"> patterns and networks</w:t>
      </w:r>
      <w:r>
        <w:t>.</w:t>
      </w:r>
    </w:p>
    <w:p w14:paraId="16C63354" w14:textId="77777777" w:rsidR="00B238BB" w:rsidRPr="00EC0229" w:rsidRDefault="00B238BB" w:rsidP="007D1856">
      <w:pPr>
        <w:pStyle w:val="NoSpacing"/>
        <w:spacing w:line="360" w:lineRule="auto"/>
      </w:pPr>
    </w:p>
    <w:p w14:paraId="26E496F8" w14:textId="0EADDA7A" w:rsidR="002A7E00" w:rsidRPr="00EC0229" w:rsidRDefault="00CF018C" w:rsidP="007600EA">
      <w:pPr>
        <w:pStyle w:val="NoSpacing"/>
        <w:spacing w:line="360" w:lineRule="auto"/>
        <w:rPr>
          <w:sz w:val="20"/>
          <w:szCs w:val="20"/>
        </w:rPr>
      </w:pPr>
      <w:r w:rsidRPr="00EC0229">
        <w:t>M</w:t>
      </w:r>
      <w:r w:rsidR="002A7E00" w:rsidRPr="00EC0229">
        <w:t>easures of the interaction of coinage in the northern economy</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economy</w:instrText>
      </w:r>
      <w:r w:rsidR="00584C42" w:rsidRPr="00EC0229">
        <w:instrText xml:space="preserve">" </w:instrText>
      </w:r>
      <w:r w:rsidR="00584C42" w:rsidRPr="00EC0229">
        <w:fldChar w:fldCharType="end"/>
      </w:r>
      <w:r w:rsidR="002A7E00" w:rsidRPr="00EC0229">
        <w:t xml:space="preserve"> involve assessing and comparing the mix of both coin metallurgy and age. The mix of metals</w:t>
      </w:r>
      <w:r w:rsidR="002A7E00" w:rsidRPr="00EC0229">
        <w:rPr>
          <w:szCs w:val="24"/>
        </w:rPr>
        <w:t xml:space="preserve">, </w:t>
      </w:r>
      <w:r w:rsidR="002A7E00"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002A7E00" w:rsidRPr="00EC0229">
        <w:rPr>
          <w:i/>
          <w:szCs w:val="24"/>
        </w:rPr>
        <w:t xml:space="preserve"> </w:t>
      </w:r>
      <w:r w:rsidR="0044491F" w:rsidRPr="00EC0229">
        <w:rPr>
          <w:i/>
          <w:szCs w:val="24"/>
        </w:rPr>
        <w:t>7.0</w:t>
      </w:r>
      <w:r w:rsidR="00E84AA4" w:rsidRPr="00EC0229">
        <w:rPr>
          <w:rStyle w:val="Hyperlink"/>
          <w:i/>
          <w:color w:val="000000" w:themeColor="text1"/>
          <w:szCs w:val="24"/>
          <w:u w:val="none"/>
        </w:rPr>
        <w:t>6</w:t>
      </w:r>
      <w:r w:rsidR="002A7E00" w:rsidRPr="00EC0229">
        <w:rPr>
          <w:i/>
          <w:color w:val="000000" w:themeColor="text1"/>
          <w:szCs w:val="24"/>
        </w:rPr>
        <w:t>,</w:t>
      </w:r>
      <w:r w:rsidR="002A7E00" w:rsidRPr="00EC0229">
        <w:rPr>
          <w:i/>
          <w:color w:val="000000" w:themeColor="text1"/>
          <w:sz w:val="20"/>
          <w:szCs w:val="20"/>
        </w:rPr>
        <w:t xml:space="preserve"> </w:t>
      </w:r>
      <w:r w:rsidR="002A7E00" w:rsidRPr="00EC0229">
        <w:t>here a surrogate for the denominational value of the single circulating type, shows that the three lowland areas have a similar profile with copper-alloy stycas predominating.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002A7E00" w:rsidRPr="00EC0229">
        <w:t xml:space="preserve"> have a distinctly different pattern with much greater representation of the silver sceat in the eighth century, a higher proportion of Eanred</w:t>
      </w:r>
      <w:r w:rsidR="00D142DC" w:rsidRPr="00EC0229">
        <w:fldChar w:fldCharType="begin"/>
      </w:r>
      <w:r w:rsidR="00D142DC" w:rsidRPr="00EC0229">
        <w:instrText xml:space="preserve"> XE "Eanred" </w:instrText>
      </w:r>
      <w:r w:rsidR="00D142DC" w:rsidRPr="00EC0229">
        <w:fldChar w:fldCharType="end"/>
      </w:r>
      <w:r w:rsidR="002A7E00" w:rsidRPr="00EC0229">
        <w:t>’s silver-alloy</w:t>
      </w:r>
      <w:r w:rsidR="008960AE" w:rsidRPr="00EC0229">
        <w:fldChar w:fldCharType="begin"/>
      </w:r>
      <w:r w:rsidR="008960AE" w:rsidRPr="00EC0229">
        <w:instrText xml:space="preserve"> XE "</w:instrText>
      </w:r>
      <w:r w:rsidR="008960AE" w:rsidRPr="00EC0229">
        <w:rPr>
          <w:rFonts w:eastAsia="Times New Roman" w:cs="Times New Roman"/>
          <w:szCs w:val="24"/>
          <w:lang w:eastAsia="en-GB"/>
        </w:rPr>
        <w:instrText>silver-alloy</w:instrText>
      </w:r>
      <w:r w:rsidR="008960AE" w:rsidRPr="00EC0229">
        <w:instrText xml:space="preserve">" </w:instrText>
      </w:r>
      <w:r w:rsidR="008960AE" w:rsidRPr="00EC0229">
        <w:fldChar w:fldCharType="end"/>
      </w:r>
      <w:r w:rsidR="002A7E00" w:rsidRPr="00EC0229">
        <w:t xml:space="preserve"> issue but copper-alloy stycas accounting for only just half of the local coinage. The distinctive profile of the Wolds is also clear from the array correlations in </w:t>
      </w:r>
      <w:r w:rsidR="00443F30" w:rsidRPr="00EC0229">
        <w:rPr>
          <w:i/>
        </w:rPr>
        <w:t>Table</w:t>
      </w:r>
      <w:r w:rsidR="0044491F" w:rsidRPr="00EC0229">
        <w:rPr>
          <w:i/>
        </w:rPr>
        <w:t xml:space="preserve"> </w:t>
      </w:r>
      <w:r w:rsidR="00945F9A" w:rsidRPr="00EC0229">
        <w:rPr>
          <w:i/>
        </w:rPr>
        <w:t>5</w:t>
      </w:r>
      <w:r w:rsidR="00733EED" w:rsidRPr="00EC0229">
        <w:rPr>
          <w:i/>
        </w:rPr>
        <w:t>.02</w:t>
      </w:r>
      <w:r w:rsidR="002A7E00" w:rsidRPr="00EC0229">
        <w:t>.</w:t>
      </w:r>
    </w:p>
    <w:p w14:paraId="2A80726D" w14:textId="77777777" w:rsidR="002A7E00" w:rsidRPr="00EC0229" w:rsidRDefault="002A7E00" w:rsidP="007600EA">
      <w:pPr>
        <w:pStyle w:val="NoSpacing"/>
        <w:spacing w:line="360" w:lineRule="auto"/>
      </w:pPr>
    </w:p>
    <w:p w14:paraId="1CB27A45" w14:textId="51BB91D1" w:rsidR="002A7E00" w:rsidRPr="00EC0229" w:rsidRDefault="002A7E00" w:rsidP="007600EA">
      <w:pPr>
        <w:pStyle w:val="NoSpacing"/>
        <w:spacing w:line="360" w:lineRule="auto"/>
      </w:pPr>
      <w:r w:rsidRPr="00EC0229">
        <w:t>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xml:space="preserve"> also show substantially greater site longevity, </w:t>
      </w:r>
      <w:r w:rsidRPr="00EC0229">
        <w:rPr>
          <w:i/>
          <w:szCs w:val="24"/>
        </w:rPr>
        <w:t>Table</w:t>
      </w:r>
      <w:r w:rsidR="00584C42" w:rsidRPr="00EC0229">
        <w:rPr>
          <w:i/>
          <w:szCs w:val="24"/>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szCs w:val="24"/>
        </w:rPr>
        <w:fldChar w:fldCharType="end"/>
      </w:r>
      <w:r w:rsidRPr="00EC0229">
        <w:rPr>
          <w:i/>
          <w:szCs w:val="24"/>
        </w:rPr>
        <w:t xml:space="preserve"> </w:t>
      </w:r>
      <w:r w:rsidR="0044491F" w:rsidRPr="00EC0229">
        <w:rPr>
          <w:i/>
          <w:szCs w:val="24"/>
        </w:rPr>
        <w:t>7.0</w:t>
      </w:r>
      <w:r w:rsidR="00E84AA4" w:rsidRPr="00EC0229">
        <w:rPr>
          <w:rStyle w:val="Hyperlink"/>
          <w:i/>
          <w:color w:val="000000" w:themeColor="text1"/>
          <w:szCs w:val="24"/>
          <w:u w:val="none"/>
        </w:rPr>
        <w:t>7</w:t>
      </w:r>
      <w:r w:rsidRPr="00EC0229">
        <w:rPr>
          <w:i/>
          <w:color w:val="000000" w:themeColor="text1"/>
          <w:szCs w:val="24"/>
        </w:rPr>
        <w:t>,</w:t>
      </w:r>
      <w:r w:rsidR="00072958" w:rsidRPr="00EC0229">
        <w:rPr>
          <w:rStyle w:val="FootnoteReference"/>
          <w:color w:val="000000" w:themeColor="text1"/>
        </w:rPr>
        <w:t xml:space="preserve"> </w:t>
      </w:r>
      <w:r w:rsidR="00072958" w:rsidRPr="00EC0229">
        <w:rPr>
          <w:rStyle w:val="FootnoteReference"/>
        </w:rPr>
        <w:footnoteReference w:id="1327"/>
      </w:r>
      <w:r w:rsidR="00072958" w:rsidRPr="00EC0229">
        <w:t xml:space="preserve"> </w:t>
      </w:r>
      <w:r w:rsidRPr="00EC0229">
        <w:rPr>
          <w:i/>
          <w:sz w:val="20"/>
          <w:szCs w:val="20"/>
        </w:rPr>
        <w:t xml:space="preserve"> </w:t>
      </w:r>
      <w:r w:rsidRPr="00EC0229">
        <w:t>with more than two-thirds of the locations continuing from the eighth to the ninth centuries</w:t>
      </w:r>
      <w:r w:rsidR="00072958" w:rsidRPr="00EC0229">
        <w:t>, suggesting permanent long-term occupation</w:t>
      </w:r>
      <w:r w:rsidRPr="00EC0229">
        <w:t xml:space="preserve">. </w:t>
      </w:r>
      <w:r w:rsidR="004B7B78" w:rsidRPr="00EC0229">
        <w:rPr>
          <w:i/>
        </w:rPr>
        <w:t xml:space="preserve">Graphs </w:t>
      </w:r>
      <w:r w:rsidR="007B0CF7" w:rsidRPr="00EC0229">
        <w:rPr>
          <w:i/>
        </w:rPr>
        <w:t xml:space="preserve">7 &amp; 8 </w:t>
      </w:r>
      <w:r w:rsidRPr="00EC0229">
        <w:t xml:space="preserve">show uniformity of mix and, therefore, healthy circulation between sites on the Wolds. The lowland areas seem more prone to site-shifting, which may be due to waterlogging and the exhaustion of soil in these arable areas, the </w:t>
      </w:r>
      <w:r w:rsidRPr="00EC0229">
        <w:rPr>
          <w:i/>
        </w:rPr>
        <w:t>gleys</w:t>
      </w:r>
      <w:r w:rsidRPr="00EC0229">
        <w:t xml:space="preserve"> of the </w:t>
      </w:r>
      <w:r w:rsidR="00C7553E" w:rsidRPr="00EC0229">
        <w:t>Central Lowlands</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Pr="00EC0229">
        <w:t>, for instance, being restricted in fertility and drainage</w:t>
      </w:r>
      <w:r w:rsidRPr="00EC0229">
        <w:rPr>
          <w:rStyle w:val="FootnoteReference"/>
        </w:rPr>
        <w:footnoteReference w:id="1328"/>
      </w:r>
      <w:r w:rsidRPr="00EC0229">
        <w:t xml:space="preserve">, whereas pastoral farming in the Wolds is less dependent on soil fertility. </w:t>
      </w:r>
      <w:r w:rsidR="002855A6" w:rsidRPr="00EC0229">
        <w:t>Higham considered that the Wolds had advantageous conditions during the poor climate of sixth- to ninth-century Britain.</w:t>
      </w:r>
      <w:r w:rsidR="002855A6" w:rsidRPr="00EC0229">
        <w:rPr>
          <w:rStyle w:val="FootnoteReference"/>
        </w:rPr>
        <w:footnoteReference w:id="1329"/>
      </w:r>
    </w:p>
    <w:p w14:paraId="0609652A" w14:textId="77777777" w:rsidR="002A7E00" w:rsidRPr="00EC0229" w:rsidRDefault="002A7E00" w:rsidP="007600EA">
      <w:pPr>
        <w:pStyle w:val="NoSpacing"/>
        <w:spacing w:line="360" w:lineRule="auto"/>
      </w:pPr>
    </w:p>
    <w:p w14:paraId="317AA34C" w14:textId="6E85D549" w:rsidR="002A7E00" w:rsidRPr="00EC0229" w:rsidRDefault="002A7E00" w:rsidP="007600EA">
      <w:pPr>
        <w:spacing w:line="360" w:lineRule="auto"/>
      </w:pPr>
      <w:r w:rsidRPr="00EC0229">
        <w:t>Incremental extensions to ladder settlements in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perhaps when land became compacted and stale</w:t>
      </w:r>
      <w:r w:rsidR="00C634D2" w:rsidRPr="00EC0229">
        <w:t xml:space="preserve"> (</w:t>
      </w:r>
      <w:r w:rsidR="00C634D2" w:rsidRPr="00EC0229">
        <w:rPr>
          <w:i/>
        </w:rPr>
        <w:t>cf</w:t>
      </w:r>
      <w:r w:rsidR="00C634D2" w:rsidRPr="00EC0229">
        <w:t xml:space="preserve"> </w:t>
      </w:r>
      <w:r w:rsidR="00C634D2" w:rsidRPr="00EC0229">
        <w:fldChar w:fldCharType="begin"/>
      </w:r>
      <w:r w:rsidR="00C634D2" w:rsidRPr="00EC0229">
        <w:instrText xml:space="preserve"> PAGEREF rank \h </w:instrText>
      </w:r>
      <w:r w:rsidR="00C634D2" w:rsidRPr="00EC0229">
        <w:fldChar w:fldCharType="separate"/>
      </w:r>
      <w:r w:rsidR="0012026B">
        <w:rPr>
          <w:noProof/>
        </w:rPr>
        <w:t>270</w:t>
      </w:r>
      <w:r w:rsidR="00C634D2" w:rsidRPr="00EC0229">
        <w:fldChar w:fldCharType="end"/>
      </w:r>
      <w:r w:rsidR="00C634D2" w:rsidRPr="00EC0229">
        <w:t>)</w:t>
      </w:r>
      <w:r w:rsidRPr="00EC0229">
        <w:t>, are too small scale to show in my settlement</w:t>
      </w:r>
      <w:r w:rsidR="00D142DC" w:rsidRPr="00EC0229">
        <w:fldChar w:fldCharType="begin"/>
      </w:r>
      <w:r w:rsidR="00D142DC" w:rsidRPr="00EC0229">
        <w:instrText xml:space="preserve"> XE "settlement" </w:instrText>
      </w:r>
      <w:r w:rsidR="00D142DC" w:rsidRPr="00EC0229">
        <w:fldChar w:fldCharType="end"/>
      </w:r>
      <w:r w:rsidR="00CA4BDE" w:rsidRPr="00EC0229">
        <w:t>-</w:t>
      </w:r>
      <w:r w:rsidRPr="00EC0229">
        <w:t xml:space="preserve">based analysis. </w:t>
      </w:r>
      <w:r w:rsidRPr="00EC0229">
        <w:rPr>
          <w:i/>
        </w:rPr>
        <w:t>Table</w:t>
      </w:r>
      <w:r w:rsidR="00584C42" w:rsidRPr="00EC0229">
        <w:rPr>
          <w:i/>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i/>
        </w:rPr>
        <w:fldChar w:fldCharType="end"/>
      </w:r>
      <w:r w:rsidR="00E84AA4" w:rsidRPr="00EC0229">
        <w:rPr>
          <w:i/>
        </w:rPr>
        <w:t xml:space="preserve"> </w:t>
      </w:r>
      <w:r w:rsidR="0044491F" w:rsidRPr="00EC0229">
        <w:rPr>
          <w:i/>
        </w:rPr>
        <w:t>7.0</w:t>
      </w:r>
      <w:r w:rsidR="00E84AA4" w:rsidRPr="00EC0229">
        <w:rPr>
          <w:i/>
        </w:rPr>
        <w:t>8</w:t>
      </w:r>
      <w:r w:rsidRPr="00EC0229">
        <w:t xml:space="preserve"> shows the stability of individual sites having both coins and artefacts and suggests a dozen prospective site-shifts in the </w:t>
      </w:r>
      <w:r w:rsidR="00C7553E" w:rsidRPr="00EC0229">
        <w:t>Central Lowlands</w:t>
      </w:r>
      <w:r w:rsidR="006B1593" w:rsidRPr="00EC0229">
        <w:fldChar w:fldCharType="begin"/>
      </w:r>
      <w:r w:rsidR="006B1593" w:rsidRPr="00EC0229">
        <w:instrText xml:space="preserve"> XE "</w:instrText>
      </w:r>
      <w:r w:rsidR="006B1593" w:rsidRPr="00EC0229">
        <w:rPr>
          <w:rStyle w:val="Hyperlink"/>
          <w:noProof/>
          <w:u w:val="none"/>
        </w:rPr>
        <w:instrText>York</w:instrText>
      </w:r>
      <w:r w:rsidR="006B1593" w:rsidRPr="00EC0229">
        <w:instrText xml:space="preserve">" </w:instrText>
      </w:r>
      <w:r w:rsidR="006B1593" w:rsidRPr="00EC0229">
        <w:fldChar w:fldCharType="end"/>
      </w:r>
      <w:r w:rsidR="001F1705" w:rsidRPr="00EC0229">
        <w:t xml:space="preserve"> (</w:t>
      </w:r>
      <w:r w:rsidR="004E7EFE" w:rsidRPr="00EC0229">
        <w:fldChar w:fldCharType="begin"/>
      </w:r>
      <w:r w:rsidR="004E7EFE" w:rsidRPr="00EC0229">
        <w:instrText xml:space="preserve"> PAGEREF TheCentralLowlands \h </w:instrText>
      </w:r>
      <w:r w:rsidR="004E7EFE" w:rsidRPr="00EC0229">
        <w:fldChar w:fldCharType="separate"/>
      </w:r>
      <w:r w:rsidR="0012026B">
        <w:rPr>
          <w:noProof/>
        </w:rPr>
        <w:t>211</w:t>
      </w:r>
      <w:r w:rsidR="004E7EFE" w:rsidRPr="00EC0229">
        <w:fldChar w:fldCharType="end"/>
      </w:r>
      <w:r w:rsidR="001F1705" w:rsidRPr="00EC0229">
        <w:t>)</w:t>
      </w:r>
      <w:r w:rsidRPr="00EC0229">
        <w:t>.</w:t>
      </w:r>
      <w:r w:rsidRPr="00EC0229">
        <w:rPr>
          <w:color w:val="000000" w:themeColor="text1"/>
        </w:rPr>
        <w:t xml:space="preserve"> </w:t>
      </w:r>
      <w:r w:rsidR="00BF6095">
        <w:rPr>
          <w:color w:val="000000" w:themeColor="text1"/>
        </w:rPr>
        <w:t>Several</w:t>
      </w:r>
      <w:r w:rsidR="002855A6" w:rsidRPr="00EC0229">
        <w:rPr>
          <w:color w:val="000000" w:themeColor="text1"/>
        </w:rPr>
        <w:t xml:space="preserve"> possible </w:t>
      </w:r>
      <w:r w:rsidR="00784E25" w:rsidRPr="00EC0229">
        <w:rPr>
          <w:color w:val="000000" w:themeColor="text1"/>
        </w:rPr>
        <w:t>site-shift</w:t>
      </w:r>
      <w:r w:rsidR="002855A6" w:rsidRPr="00EC0229">
        <w:rPr>
          <w:color w:val="000000" w:themeColor="text1"/>
        </w:rPr>
        <w:t>s</w:t>
      </w:r>
      <w:r w:rsidR="00392447" w:rsidRPr="00EC0229">
        <w:rPr>
          <w:color w:val="000000" w:themeColor="text1"/>
        </w:rPr>
        <w:t xml:space="preserve"> are mentioned</w:t>
      </w:r>
      <w:r w:rsidR="002855A6" w:rsidRPr="00EC0229">
        <w:rPr>
          <w:color w:val="000000" w:themeColor="text1"/>
        </w:rPr>
        <w:t xml:space="preserve">: Heslington Hill to Fishergate </w:t>
      </w:r>
      <w:r w:rsidR="00AC5103" w:rsidRPr="00EC0229">
        <w:rPr>
          <w:color w:val="000000" w:themeColor="text1"/>
        </w:rPr>
        <w:t>(</w:t>
      </w:r>
      <w:r w:rsidR="00AC5103" w:rsidRPr="00EC0229">
        <w:rPr>
          <w:color w:val="000000" w:themeColor="text1"/>
        </w:rPr>
        <w:fldChar w:fldCharType="begin"/>
      </w:r>
      <w:r w:rsidR="00AC5103" w:rsidRPr="00EC0229">
        <w:rPr>
          <w:color w:val="000000" w:themeColor="text1"/>
        </w:rPr>
        <w:instrText xml:space="preserve"> PAGEREF siteshiftHHFG \h </w:instrText>
      </w:r>
      <w:r w:rsidR="00AC5103" w:rsidRPr="00EC0229">
        <w:rPr>
          <w:color w:val="000000" w:themeColor="text1"/>
        </w:rPr>
      </w:r>
      <w:r w:rsidR="00AC5103" w:rsidRPr="00EC0229">
        <w:rPr>
          <w:color w:val="000000" w:themeColor="text1"/>
        </w:rPr>
        <w:fldChar w:fldCharType="separate"/>
      </w:r>
      <w:r w:rsidR="0012026B">
        <w:rPr>
          <w:noProof/>
          <w:color w:val="000000" w:themeColor="text1"/>
        </w:rPr>
        <w:t>192</w:t>
      </w:r>
      <w:r w:rsidR="00AC5103" w:rsidRPr="00EC0229">
        <w:rPr>
          <w:color w:val="000000" w:themeColor="text1"/>
        </w:rPr>
        <w:fldChar w:fldCharType="end"/>
      </w:r>
      <w:r w:rsidR="00AC5103" w:rsidRPr="00EC0229">
        <w:rPr>
          <w:color w:val="000000" w:themeColor="text1"/>
        </w:rPr>
        <w:t>), North Ferriby to Newbald (</w:t>
      </w:r>
      <w:r w:rsidR="00AC5103" w:rsidRPr="00EC0229">
        <w:rPr>
          <w:color w:val="000000" w:themeColor="text1"/>
        </w:rPr>
        <w:fldChar w:fldCharType="begin"/>
      </w:r>
      <w:r w:rsidR="00AC5103" w:rsidRPr="00EC0229">
        <w:rPr>
          <w:color w:val="000000" w:themeColor="text1"/>
        </w:rPr>
        <w:instrText xml:space="preserve"> PAGEREF siteshiftNFSN \h </w:instrText>
      </w:r>
      <w:r w:rsidR="00AC5103" w:rsidRPr="00EC0229">
        <w:rPr>
          <w:color w:val="000000" w:themeColor="text1"/>
        </w:rPr>
      </w:r>
      <w:r w:rsidR="00AC5103" w:rsidRPr="00EC0229">
        <w:rPr>
          <w:color w:val="000000" w:themeColor="text1"/>
        </w:rPr>
        <w:fldChar w:fldCharType="separate"/>
      </w:r>
      <w:r w:rsidR="0012026B">
        <w:rPr>
          <w:noProof/>
          <w:color w:val="000000" w:themeColor="text1"/>
        </w:rPr>
        <w:t>225</w:t>
      </w:r>
      <w:r w:rsidR="00AC5103" w:rsidRPr="00EC0229">
        <w:rPr>
          <w:color w:val="000000" w:themeColor="text1"/>
        </w:rPr>
        <w:fldChar w:fldCharType="end"/>
      </w:r>
      <w:r w:rsidR="00AC5103" w:rsidRPr="00EC0229">
        <w:rPr>
          <w:color w:val="000000" w:themeColor="text1"/>
        </w:rPr>
        <w:t xml:space="preserve">), Cottam B </w:t>
      </w:r>
      <w:r w:rsidR="00F530FD" w:rsidRPr="00EC0229">
        <w:rPr>
          <w:color w:val="000000" w:themeColor="text1"/>
        </w:rPr>
        <w:t xml:space="preserve">northwards </w:t>
      </w:r>
      <w:r w:rsidR="00AC5103" w:rsidRPr="00EC0229">
        <w:rPr>
          <w:color w:val="000000" w:themeColor="text1"/>
        </w:rPr>
        <w:t>(</w:t>
      </w:r>
      <w:r w:rsidR="00AC5103" w:rsidRPr="00EC0229">
        <w:rPr>
          <w:color w:val="000000" w:themeColor="text1"/>
        </w:rPr>
        <w:fldChar w:fldCharType="begin"/>
      </w:r>
      <w:r w:rsidR="00AC5103" w:rsidRPr="00EC0229">
        <w:rPr>
          <w:color w:val="000000" w:themeColor="text1"/>
        </w:rPr>
        <w:instrText xml:space="preserve"> PAGEREF siteshiftCb \h </w:instrText>
      </w:r>
      <w:r w:rsidR="00AC5103" w:rsidRPr="00EC0229">
        <w:rPr>
          <w:color w:val="000000" w:themeColor="text1"/>
        </w:rPr>
      </w:r>
      <w:r w:rsidR="00AC5103" w:rsidRPr="00EC0229">
        <w:rPr>
          <w:color w:val="000000" w:themeColor="text1"/>
        </w:rPr>
        <w:fldChar w:fldCharType="separate"/>
      </w:r>
      <w:r w:rsidR="0012026B">
        <w:rPr>
          <w:noProof/>
          <w:color w:val="000000" w:themeColor="text1"/>
        </w:rPr>
        <w:t>240</w:t>
      </w:r>
      <w:r w:rsidR="00AC5103" w:rsidRPr="00EC0229">
        <w:rPr>
          <w:color w:val="000000" w:themeColor="text1"/>
        </w:rPr>
        <w:fldChar w:fldCharType="end"/>
      </w:r>
      <w:r w:rsidR="00F530FD" w:rsidRPr="00EC0229">
        <w:rPr>
          <w:color w:val="000000" w:themeColor="text1"/>
        </w:rPr>
        <w:t xml:space="preserve">) and </w:t>
      </w:r>
      <w:r w:rsidR="00AC5103" w:rsidRPr="00EC0229">
        <w:rPr>
          <w:color w:val="000000" w:themeColor="text1"/>
        </w:rPr>
        <w:t>Yeavering to Milfield (</w:t>
      </w:r>
      <w:r w:rsidR="00AC5103" w:rsidRPr="00EC0229">
        <w:rPr>
          <w:color w:val="000000" w:themeColor="text1"/>
        </w:rPr>
        <w:fldChar w:fldCharType="begin"/>
      </w:r>
      <w:r w:rsidR="00AC5103" w:rsidRPr="00EC0229">
        <w:rPr>
          <w:color w:val="000000" w:themeColor="text1"/>
        </w:rPr>
        <w:instrText xml:space="preserve"> PAGEREF siteshiftYM \h </w:instrText>
      </w:r>
      <w:r w:rsidR="00AC5103" w:rsidRPr="00EC0229">
        <w:rPr>
          <w:color w:val="000000" w:themeColor="text1"/>
        </w:rPr>
      </w:r>
      <w:r w:rsidR="00AC5103" w:rsidRPr="00EC0229">
        <w:rPr>
          <w:color w:val="000000" w:themeColor="text1"/>
        </w:rPr>
        <w:fldChar w:fldCharType="separate"/>
      </w:r>
      <w:r w:rsidR="0012026B">
        <w:rPr>
          <w:noProof/>
          <w:color w:val="000000" w:themeColor="text1"/>
        </w:rPr>
        <w:t>278</w:t>
      </w:r>
      <w:r w:rsidR="00AC5103" w:rsidRPr="00EC0229">
        <w:rPr>
          <w:color w:val="000000" w:themeColor="text1"/>
        </w:rPr>
        <w:fldChar w:fldCharType="end"/>
      </w:r>
      <w:r w:rsidR="00AC5103" w:rsidRPr="00EC0229">
        <w:rPr>
          <w:color w:val="000000" w:themeColor="text1"/>
        </w:rPr>
        <w:t>)</w:t>
      </w:r>
      <w:r w:rsidR="00F530FD" w:rsidRPr="00EC0229">
        <w:rPr>
          <w:color w:val="000000" w:themeColor="text1"/>
        </w:rPr>
        <w:t>.</w:t>
      </w:r>
      <w:r w:rsidR="00F530FD" w:rsidRPr="00EC0229">
        <w:rPr>
          <w:rStyle w:val="FootnoteReference"/>
          <w:color w:val="000000" w:themeColor="text1"/>
        </w:rPr>
        <w:footnoteReference w:id="1330"/>
      </w:r>
      <w:r w:rsidR="00AC5103" w:rsidRPr="00EC0229">
        <w:rPr>
          <w:color w:val="000000" w:themeColor="text1"/>
        </w:rPr>
        <w:t xml:space="preserve"> </w:t>
      </w:r>
      <w:r w:rsidR="004749B8" w:rsidRPr="00EC0229">
        <w:rPr>
          <w:color w:val="000000" w:themeColor="text1"/>
        </w:rPr>
        <w:t>This has bearing on the long-running discussion on the origin of settlements.</w:t>
      </w:r>
      <w:r w:rsidR="004749B8" w:rsidRPr="00EC0229">
        <w:rPr>
          <w:rStyle w:val="FootnoteReference"/>
          <w:color w:val="000000" w:themeColor="text1"/>
        </w:rPr>
        <w:footnoteReference w:id="1331"/>
      </w:r>
      <w:r w:rsidR="004749B8" w:rsidRPr="00EC0229">
        <w:rPr>
          <w:color w:val="000000" w:themeColor="text1"/>
        </w:rPr>
        <w:t xml:space="preserve"> </w:t>
      </w:r>
      <w:r w:rsidR="00ED3F19" w:rsidRPr="00EC0229">
        <w:rPr>
          <w:color w:val="000000" w:themeColor="text1"/>
        </w:rPr>
        <w:t xml:space="preserve">Presumably, a site-shift occurs when incremental </w:t>
      </w:r>
      <w:r w:rsidR="00ED3F19" w:rsidRPr="00EC0229">
        <w:rPr>
          <w:color w:val="000000" w:themeColor="text1"/>
        </w:rPr>
        <w:lastRenderedPageBreak/>
        <w:t>shuffling, as in a ladder settlement, would be unproductive.</w:t>
      </w:r>
      <w:r w:rsidR="00022EF2" w:rsidRPr="00EC0229">
        <w:rPr>
          <w:color w:val="000000" w:themeColor="text1"/>
        </w:rPr>
        <w:t xml:space="preserve"> Hodges advocated positive reaso</w:t>
      </w:r>
      <w:r w:rsidR="005B6FBE" w:rsidRPr="00EC0229">
        <w:rPr>
          <w:color w:val="000000" w:themeColor="text1"/>
        </w:rPr>
        <w:t>ns for site-</w:t>
      </w:r>
      <w:r w:rsidR="0058683B" w:rsidRPr="00EC0229">
        <w:rPr>
          <w:color w:val="000000" w:themeColor="text1"/>
        </w:rPr>
        <w:t>shifting, specifically,</w:t>
      </w:r>
      <w:r w:rsidR="00022EF2" w:rsidRPr="00EC0229">
        <w:rPr>
          <w:color w:val="000000" w:themeColor="text1"/>
        </w:rPr>
        <w:t xml:space="preserve"> improvement</w:t>
      </w:r>
      <w:r w:rsidR="005B6FBE" w:rsidRPr="00EC0229">
        <w:rPr>
          <w:color w:val="000000" w:themeColor="text1"/>
        </w:rPr>
        <w:t xml:space="preserve"> may </w:t>
      </w:r>
      <w:r w:rsidR="00CA4BDE" w:rsidRPr="00EC0229">
        <w:rPr>
          <w:color w:val="000000" w:themeColor="text1"/>
        </w:rPr>
        <w:t xml:space="preserve">have </w:t>
      </w:r>
      <w:r w:rsidR="005B6FBE" w:rsidRPr="00EC0229">
        <w:rPr>
          <w:color w:val="000000" w:themeColor="text1"/>
        </w:rPr>
        <w:t>help</w:t>
      </w:r>
      <w:r w:rsidR="00CA4BDE" w:rsidRPr="00EC0229">
        <w:rPr>
          <w:color w:val="000000" w:themeColor="text1"/>
        </w:rPr>
        <w:t>ed</w:t>
      </w:r>
      <w:r w:rsidR="005B6FBE" w:rsidRPr="00EC0229">
        <w:rPr>
          <w:color w:val="000000" w:themeColor="text1"/>
        </w:rPr>
        <w:t xml:space="preserve"> meet fiscal obligations</w:t>
      </w:r>
      <w:r w:rsidR="00022EF2" w:rsidRPr="00EC0229">
        <w:rPr>
          <w:color w:val="000000" w:themeColor="text1"/>
        </w:rPr>
        <w:t>.</w:t>
      </w:r>
      <w:r w:rsidR="00022EF2" w:rsidRPr="00EC0229">
        <w:rPr>
          <w:rStyle w:val="FootnoteReference"/>
          <w:color w:val="000000" w:themeColor="text1"/>
        </w:rPr>
        <w:footnoteReference w:id="1332"/>
      </w:r>
    </w:p>
    <w:p w14:paraId="48D76670" w14:textId="1BD2D9D7" w:rsidR="002A7E00" w:rsidRPr="00EC0229" w:rsidRDefault="002A7E00" w:rsidP="007600EA">
      <w:pPr>
        <w:spacing w:line="360" w:lineRule="auto"/>
        <w:rPr>
          <w:rFonts w:ascii="Calibri" w:eastAsia="Times New Roman" w:hAnsi="Calibri" w:cs="Arial"/>
          <w:b/>
          <w:bCs/>
          <w:color w:val="000000"/>
          <w:sz w:val="22"/>
          <w:lang w:eastAsia="en-GB"/>
        </w:rPr>
      </w:pPr>
      <w:r w:rsidRPr="00EC0229">
        <w:t>The relative abundance of coinage in the Wolds</w:t>
      </w:r>
      <w:r w:rsidR="006B1593" w:rsidRPr="00EC0229">
        <w:fldChar w:fldCharType="begin"/>
      </w:r>
      <w:r w:rsidR="006B1593" w:rsidRPr="00EC0229">
        <w:instrText xml:space="preserve"> XE "</w:instrText>
      </w:r>
      <w:r w:rsidR="006B1593" w:rsidRPr="00EC0229">
        <w:rPr>
          <w:rStyle w:val="Hyperlink"/>
          <w:rFonts w:cs="Times New Roman"/>
          <w:noProof/>
          <w:u w:val="none"/>
        </w:rPr>
        <w:instrText>Wolds</w:instrText>
      </w:r>
      <w:r w:rsidR="006B1593" w:rsidRPr="00EC0229">
        <w:instrText xml:space="preserve">" </w:instrText>
      </w:r>
      <w:r w:rsidR="006B1593" w:rsidRPr="00EC0229">
        <w:fldChar w:fldCharType="end"/>
      </w:r>
      <w:r w:rsidRPr="00EC0229">
        <w:t>, compared to the lowlands, seems more emancipated – an enterprising, rather than exploited, tenancy. The pattern for the Vale of Pickering</w:t>
      </w:r>
      <w:r w:rsidR="006B1593" w:rsidRPr="00EC0229">
        <w:fldChar w:fldCharType="begin"/>
      </w:r>
      <w:r w:rsidR="006B1593" w:rsidRPr="00EC0229">
        <w:instrText xml:space="preserve"> XE "</w:instrText>
      </w:r>
      <w:r w:rsidR="006B1593" w:rsidRPr="00EC0229">
        <w:rPr>
          <w:rFonts w:cs="Times New Roman"/>
          <w:noProof/>
        </w:rPr>
        <w:instrText>Vale of Pickering</w:instrText>
      </w:r>
      <w:r w:rsidR="006B1593" w:rsidRPr="00EC0229">
        <w:instrText xml:space="preserve">" </w:instrText>
      </w:r>
      <w:r w:rsidR="006B1593" w:rsidRPr="00EC0229">
        <w:fldChar w:fldCharType="end"/>
      </w:r>
      <w:r w:rsidRPr="00EC0229">
        <w:t xml:space="preserve"> </w:t>
      </w:r>
      <w:r w:rsidR="00366C2E" w:rsidRPr="00EC0229">
        <w:t>(</w:t>
      </w:r>
      <w:r w:rsidR="009A31FF" w:rsidRPr="00EC0229">
        <w:fldChar w:fldCharType="begin"/>
      </w:r>
      <w:r w:rsidR="009A31FF" w:rsidRPr="00EC0229">
        <w:instrText xml:space="preserve"> PAGEREF TheValeofPickering \h </w:instrText>
      </w:r>
      <w:r w:rsidR="009A31FF" w:rsidRPr="00EC0229">
        <w:fldChar w:fldCharType="separate"/>
      </w:r>
      <w:r w:rsidR="0012026B">
        <w:rPr>
          <w:noProof/>
        </w:rPr>
        <w:t>266</w:t>
      </w:r>
      <w:r w:rsidR="009A31FF" w:rsidRPr="00EC0229">
        <w:fldChar w:fldCharType="end"/>
      </w:r>
      <w:r w:rsidR="00366C2E" w:rsidRPr="00EC0229">
        <w:t xml:space="preserve">) </w:t>
      </w:r>
      <w:r w:rsidRPr="00EC0229">
        <w:t>is also anomalous.  There is a dearth of coins and artefacts, relative</w:t>
      </w:r>
      <w:r w:rsidR="002D177F" w:rsidRPr="00EC0229">
        <w:t xml:space="preserve"> to both the Wolds</w:t>
      </w:r>
      <w:r w:rsidR="00A42CA4" w:rsidRPr="00EC0229">
        <w:t>,</w:t>
      </w:r>
      <w:r w:rsidR="00A42CA4" w:rsidRPr="00EC0229">
        <w:rPr>
          <w:rStyle w:val="FootnoteReference"/>
        </w:rPr>
        <w:footnoteReference w:id="1333"/>
      </w:r>
      <w:r w:rsidR="002D177F" w:rsidRPr="00EC0229">
        <w:t xml:space="preserve"> </w:t>
      </w:r>
      <w:r w:rsidRPr="00EC0229">
        <w:t xml:space="preserve">where theory, specifically the </w:t>
      </w:r>
      <w:r w:rsidR="003B4D65" w:rsidRPr="00EC0229">
        <w:t>m</w:t>
      </w:r>
      <w:r w:rsidRPr="00EC0229">
        <w:t>inster</w:t>
      </w:r>
      <w:r w:rsidR="006B1593" w:rsidRPr="00EC0229">
        <w:fldChar w:fldCharType="begin"/>
      </w:r>
      <w:r w:rsidR="006B1593" w:rsidRPr="00EC0229">
        <w:instrText xml:space="preserve"> XE "</w:instrText>
      </w:r>
      <w:r w:rsidR="006B1593" w:rsidRPr="00EC0229">
        <w:rPr>
          <w:noProof/>
        </w:rPr>
        <w:instrText>York Minster</w:instrText>
      </w:r>
      <w:r w:rsidR="006B1593" w:rsidRPr="00EC0229">
        <w:instrText xml:space="preserve">" </w:instrText>
      </w:r>
      <w:r w:rsidR="006B1593" w:rsidRPr="00EC0229">
        <w:fldChar w:fldCharType="end"/>
      </w:r>
      <w:r w:rsidRPr="00EC0229">
        <w:t xml:space="preserve"> hypothesis</w:t>
      </w:r>
      <w:r w:rsidR="00366C2E" w:rsidRPr="00EC0229">
        <w:t xml:space="preserve"> (</w:t>
      </w:r>
      <w:r w:rsidR="009A31FF" w:rsidRPr="00EC0229">
        <w:fldChar w:fldCharType="begin"/>
      </w:r>
      <w:r w:rsidR="009A31FF" w:rsidRPr="00EC0229">
        <w:instrText xml:space="preserve"> PAGEREF MinsterHypothesis \h </w:instrText>
      </w:r>
      <w:r w:rsidR="009A31FF" w:rsidRPr="00EC0229">
        <w:fldChar w:fldCharType="separate"/>
      </w:r>
      <w:r w:rsidR="0012026B">
        <w:rPr>
          <w:noProof/>
        </w:rPr>
        <w:t>35</w:t>
      </w:r>
      <w:r w:rsidR="009A31FF" w:rsidRPr="00EC0229">
        <w:fldChar w:fldCharType="end"/>
      </w:r>
      <w:r w:rsidR="00366C2E" w:rsidRPr="00EC0229">
        <w:t>),</w:t>
      </w:r>
      <w:r w:rsidRPr="00EC0229">
        <w:t xml:space="preserve"> predicts a focus of economic activity. The density of finds</w:t>
      </w:r>
      <w:r w:rsidRPr="00EC0229">
        <w:rPr>
          <w:rFonts w:cs="Times New Roman"/>
          <w:szCs w:val="24"/>
        </w:rPr>
        <w:t xml:space="preserve">, </w:t>
      </w:r>
      <w:r w:rsidRPr="00EC0229">
        <w:rPr>
          <w:rFonts w:eastAsia="Times New Roman" w:cs="Times New Roman"/>
          <w:bCs/>
          <w:i/>
          <w:szCs w:val="24"/>
          <w:lang w:eastAsia="en-GB"/>
        </w:rPr>
        <w:t>Table</w:t>
      </w:r>
      <w:r w:rsidR="00584C42" w:rsidRPr="00EC0229">
        <w:rPr>
          <w:rFonts w:eastAsia="Times New Roman" w:cs="Times New Roman"/>
          <w:bCs/>
          <w:i/>
          <w:szCs w:val="24"/>
          <w:lang w:eastAsia="en-GB"/>
        </w:rPr>
        <w:fldChar w:fldCharType="begin"/>
      </w:r>
      <w:r w:rsidR="00584C42" w:rsidRPr="00EC0229">
        <w:instrText xml:space="preserve"> XE "</w:instrText>
      </w:r>
      <w:r w:rsidR="00584C42" w:rsidRPr="00EC0229">
        <w:rPr>
          <w:noProof/>
        </w:rPr>
        <w:instrText>Table</w:instrText>
      </w:r>
      <w:r w:rsidR="00584C42" w:rsidRPr="00EC0229">
        <w:instrText xml:space="preserve">" </w:instrText>
      </w:r>
      <w:r w:rsidR="00584C42" w:rsidRPr="00EC0229">
        <w:rPr>
          <w:rFonts w:eastAsia="Times New Roman" w:cs="Times New Roman"/>
          <w:bCs/>
          <w:i/>
          <w:szCs w:val="24"/>
          <w:lang w:eastAsia="en-GB"/>
        </w:rPr>
        <w:fldChar w:fldCharType="end"/>
      </w:r>
      <w:r w:rsidRPr="00EC0229">
        <w:rPr>
          <w:rFonts w:eastAsia="Times New Roman" w:cs="Times New Roman"/>
          <w:bCs/>
          <w:i/>
          <w:szCs w:val="24"/>
          <w:lang w:eastAsia="en-GB"/>
        </w:rPr>
        <w:t xml:space="preserve"> </w:t>
      </w:r>
      <w:r w:rsidR="0044491F" w:rsidRPr="00EC0229">
        <w:rPr>
          <w:rFonts w:eastAsia="Times New Roman" w:cs="Times New Roman"/>
          <w:bCs/>
          <w:i/>
          <w:szCs w:val="24"/>
          <w:lang w:eastAsia="en-GB"/>
        </w:rPr>
        <w:t>7.0</w:t>
      </w:r>
      <w:r w:rsidR="00E84AA4" w:rsidRPr="00EC0229">
        <w:rPr>
          <w:rFonts w:eastAsia="Times New Roman" w:cs="Times New Roman"/>
          <w:bCs/>
          <w:i/>
          <w:szCs w:val="24"/>
          <w:lang w:eastAsia="en-GB"/>
        </w:rPr>
        <w:t>5</w:t>
      </w:r>
      <w:r w:rsidRPr="00EC0229">
        <w:rPr>
          <w:rFonts w:eastAsia="Times New Roman" w:cs="Times New Roman"/>
          <w:bCs/>
          <w:color w:val="000000"/>
          <w:szCs w:val="24"/>
          <w:lang w:eastAsia="en-GB"/>
        </w:rPr>
        <w:t>,</w:t>
      </w:r>
      <w:r w:rsidRPr="00EC0229">
        <w:t xml:space="preserve"> for low-lying Northumbria</w:t>
      </w:r>
      <w:r w:rsidR="00584C42" w:rsidRPr="00EC0229">
        <w:fldChar w:fldCharType="begin"/>
      </w:r>
      <w:r w:rsidR="00584C42" w:rsidRPr="00EC0229">
        <w:instrText xml:space="preserve"> XE "</w:instrText>
      </w:r>
      <w:r w:rsidR="00584C42" w:rsidRPr="00EC0229">
        <w:rPr>
          <w:rFonts w:cs="Times New Roman"/>
          <w:b/>
          <w:color w:val="000000" w:themeColor="text1"/>
          <w:sz w:val="56"/>
          <w:szCs w:val="56"/>
        </w:rPr>
        <w:instrText>Northumbria</w:instrText>
      </w:r>
      <w:r w:rsidR="00584C42" w:rsidRPr="00EC0229">
        <w:instrText xml:space="preserve">" </w:instrText>
      </w:r>
      <w:r w:rsidR="00584C42" w:rsidRPr="00EC0229">
        <w:fldChar w:fldCharType="end"/>
      </w:r>
      <w:r w:rsidRPr="00EC0229">
        <w:t xml:space="preserve"> is significantly lower than the Wolds; causes may include underdeveloped hydrolo</w:t>
      </w:r>
      <w:r w:rsidR="001C7A3C" w:rsidRPr="00EC0229">
        <w:t>gical management, site-shifting</w:t>
      </w:r>
      <w:r w:rsidRPr="00EC0229">
        <w:t xml:space="preserve"> </w:t>
      </w:r>
      <w:r w:rsidR="001C7A3C" w:rsidRPr="00EC0229">
        <w:t>(</w:t>
      </w:r>
      <w:r w:rsidRPr="00EC0229">
        <w:rPr>
          <w:i/>
        </w:rPr>
        <w:t xml:space="preserve">Table </w:t>
      </w:r>
      <w:r w:rsidR="00733EED" w:rsidRPr="00EC0229">
        <w:rPr>
          <w:i/>
        </w:rPr>
        <w:t>7.09</w:t>
      </w:r>
      <w:r w:rsidR="001C7A3C" w:rsidRPr="00EC0229">
        <w:t>)</w:t>
      </w:r>
      <w:r w:rsidR="00A0385D" w:rsidRPr="00EC0229">
        <w:t>, and the land-management regime</w:t>
      </w:r>
      <w:r w:rsidRPr="00EC0229">
        <w:t>.</w:t>
      </w:r>
      <w:r w:rsidR="002855A6" w:rsidRPr="00EC0229">
        <w:t xml:space="preserve"> Wickham’s insightful ‘it was simply the level and stability of aristocratic demand that mattered for exchange networks, not the total subjugation of peasant neighbourhoods’</w:t>
      </w:r>
      <w:r w:rsidR="002855A6" w:rsidRPr="00EC0229">
        <w:rPr>
          <w:rStyle w:val="FootnoteReference"/>
        </w:rPr>
        <w:footnoteReference w:id="1334"/>
      </w:r>
      <w:r w:rsidR="002855A6" w:rsidRPr="00EC0229">
        <w:t xml:space="preserve"> is apposite.</w:t>
      </w:r>
      <w:r w:rsidR="00FF41BB" w:rsidRPr="00EC0229">
        <w:t xml:space="preserve"> </w:t>
      </w:r>
    </w:p>
    <w:p w14:paraId="0A81A9A3" w14:textId="729E76F9" w:rsidR="002A7E00" w:rsidRPr="00EC0229" w:rsidRDefault="001C7A3C" w:rsidP="007600EA">
      <w:pPr>
        <w:pStyle w:val="NoSpacing"/>
        <w:spacing w:line="360" w:lineRule="auto"/>
        <w:rPr>
          <w:rFonts w:eastAsiaTheme="majorEastAsia" w:cs="Times New Roman"/>
          <w:color w:val="000000" w:themeColor="text1"/>
          <w:kern w:val="24"/>
        </w:rPr>
      </w:pPr>
      <w:r w:rsidRPr="00EC0229">
        <w:t>Presumably, the</w:t>
      </w:r>
      <w:r w:rsidR="002A7E00" w:rsidRPr="00EC0229">
        <w:t xml:space="preserve"> aristocracy</w:t>
      </w:r>
      <w:r w:rsidR="008960AE" w:rsidRPr="00EC0229">
        <w:fldChar w:fldCharType="begin"/>
      </w:r>
      <w:r w:rsidR="008960AE" w:rsidRPr="00EC0229">
        <w:instrText xml:space="preserve"> XE "</w:instrText>
      </w:r>
      <w:r w:rsidR="008960AE" w:rsidRPr="00EC0229">
        <w:rPr>
          <w:rFonts w:cs="Times New Roman"/>
          <w:szCs w:val="24"/>
        </w:rPr>
        <w:instrText>aristocracy</w:instrText>
      </w:r>
      <w:r w:rsidR="008960AE" w:rsidRPr="00EC0229">
        <w:instrText xml:space="preserve">" </w:instrText>
      </w:r>
      <w:r w:rsidR="008960AE" w:rsidRPr="00EC0229">
        <w:fldChar w:fldCharType="end"/>
      </w:r>
      <w:r w:rsidR="002A7E00" w:rsidRPr="00EC0229">
        <w:t xml:space="preserve"> domiciled in the Vale of Pickering</w:t>
      </w:r>
      <w:r w:rsidRPr="00EC0229">
        <w:t>,</w:t>
      </w:r>
      <w:r w:rsidR="006B1593" w:rsidRPr="00EC0229">
        <w:fldChar w:fldCharType="begin"/>
      </w:r>
      <w:r w:rsidR="006B1593" w:rsidRPr="00EC0229">
        <w:instrText xml:space="preserve"> XE "</w:instrText>
      </w:r>
      <w:r w:rsidR="006B1593" w:rsidRPr="00EC0229">
        <w:rPr>
          <w:rStyle w:val="Hyperlink"/>
          <w:rFonts w:cs="Times New Roman"/>
          <w:noProof/>
          <w:u w:val="none"/>
        </w:rPr>
        <w:instrText>Vale of Pickering</w:instrText>
      </w:r>
      <w:r w:rsidR="006B1593" w:rsidRPr="00EC0229">
        <w:instrText xml:space="preserve">" </w:instrText>
      </w:r>
      <w:r w:rsidR="006B1593" w:rsidRPr="00EC0229">
        <w:fldChar w:fldCharType="end"/>
      </w:r>
      <w:r w:rsidR="002A7E00" w:rsidRPr="00EC0229">
        <w:t xml:space="preserve"> economically active in the Wolds</w:t>
      </w:r>
      <w:r w:rsidR="002855A6" w:rsidRPr="00EC0229">
        <w:t xml:space="preserve">, </w:t>
      </w:r>
      <w:r w:rsidRPr="00EC0229">
        <w:t>was</w:t>
      </w:r>
      <w:r w:rsidR="002855A6" w:rsidRPr="00EC0229">
        <w:t xml:space="preserve"> shrewd enough not to despoil their own doorsteps with mercenary commercialism.</w:t>
      </w:r>
      <w:r w:rsidR="002A7E00" w:rsidRPr="00EC0229">
        <w:t xml:space="preserve"> Bede</w:t>
      </w:r>
      <w:r w:rsidR="00F66CEB" w:rsidRPr="00EC0229">
        <w:fldChar w:fldCharType="begin"/>
      </w:r>
      <w:r w:rsidR="00F66CEB" w:rsidRPr="00EC0229">
        <w:instrText xml:space="preserve"> XE "</w:instrText>
      </w:r>
      <w:r w:rsidR="00F66CEB" w:rsidRPr="00EC0229">
        <w:rPr>
          <w:bCs/>
          <w:sz w:val="20"/>
          <w:szCs w:val="20"/>
        </w:rPr>
        <w:instrText>Bede</w:instrText>
      </w:r>
      <w:r w:rsidR="00F66CEB" w:rsidRPr="00EC0229">
        <w:instrText xml:space="preserve">" </w:instrText>
      </w:r>
      <w:r w:rsidR="00F66CEB" w:rsidRPr="00EC0229">
        <w:fldChar w:fldCharType="end"/>
      </w:r>
      <w:r w:rsidR="002A7E00" w:rsidRPr="00EC0229">
        <w:t>’s letter to Ecgberht</w:t>
      </w:r>
      <w:r w:rsidR="00D142DC" w:rsidRPr="00EC0229">
        <w:fldChar w:fldCharType="begin"/>
      </w:r>
      <w:r w:rsidR="00D142DC" w:rsidRPr="00EC0229">
        <w:instrText xml:space="preserve"> XE "Ecgberht" </w:instrText>
      </w:r>
      <w:r w:rsidR="00D142DC" w:rsidRPr="00EC0229">
        <w:fldChar w:fldCharType="end"/>
      </w:r>
      <w:r w:rsidR="002A7E00" w:rsidRPr="00EC0229">
        <w:t>,</w:t>
      </w:r>
      <w:r w:rsidR="002A7E00" w:rsidRPr="00EC0229">
        <w:rPr>
          <w:rStyle w:val="FootnoteReference"/>
        </w:rPr>
        <w:footnoteReference w:id="1335"/>
      </w:r>
      <w:r w:rsidR="002A7E00" w:rsidRPr="00EC0229">
        <w:t xml:space="preserve"> may support </w:t>
      </w:r>
      <w:r w:rsidR="002A7E00" w:rsidRPr="00EC0229">
        <w:rPr>
          <w:rFonts w:cs="Times New Roman"/>
        </w:rPr>
        <w:t>this: ‘</w:t>
      </w:r>
      <w:r w:rsidR="002A7E00" w:rsidRPr="00EC0229">
        <w:rPr>
          <w:rFonts w:eastAsiaTheme="majorEastAsia" w:cs="Times New Roman"/>
          <w:color w:val="000000" w:themeColor="text1"/>
          <w:kern w:val="24"/>
        </w:rPr>
        <w:t>having gained possession of farms and villages, they free themselves from every bond, both human and Divine.’ Bede included here their obligations to the king, but begs the question of how otherwise the king was fiscally and militarily supported. Presumably, the tax- and draft-dodgers were a minority.</w:t>
      </w:r>
    </w:p>
    <w:p w14:paraId="444728F7" w14:textId="033CE9CC" w:rsidR="00DF3738" w:rsidRPr="00EC0229" w:rsidRDefault="00DF3738" w:rsidP="007600EA">
      <w:pPr>
        <w:pStyle w:val="NoSpacing"/>
        <w:spacing w:line="360" w:lineRule="auto"/>
        <w:rPr>
          <w:rFonts w:eastAsiaTheme="majorEastAsia" w:cs="Times New Roman"/>
          <w:color w:val="000000" w:themeColor="text1"/>
          <w:kern w:val="24"/>
        </w:rPr>
      </w:pPr>
    </w:p>
    <w:p w14:paraId="52E1D6F4" w14:textId="5B7CAF29" w:rsidR="00DF3738" w:rsidRPr="00EC0229" w:rsidRDefault="00DF3738" w:rsidP="007600EA">
      <w:pPr>
        <w:pStyle w:val="NoSpacing"/>
        <w:spacing w:line="360" w:lineRule="auto"/>
      </w:pPr>
      <w:r w:rsidRPr="00EC0229">
        <w:rPr>
          <w:rFonts w:eastAsiaTheme="majorEastAsia" w:cs="Times New Roman"/>
          <w:color w:val="000000" w:themeColor="text1"/>
          <w:kern w:val="24"/>
        </w:rPr>
        <w:t>Mobility is an attribute of enterprise and the elongated parishes, which evince transhumance from the northern Wolds into the Vale of Pickering, are a manifestation of the movement not just seasonally of livestock but routinely of those engaged in economic activity.</w:t>
      </w:r>
    </w:p>
    <w:p w14:paraId="2B55889D" w14:textId="77777777" w:rsidR="002A7E00" w:rsidRPr="00EC0229" w:rsidRDefault="002A7E00" w:rsidP="007600EA">
      <w:pPr>
        <w:pStyle w:val="NoSpacing"/>
        <w:spacing w:line="360" w:lineRule="auto"/>
      </w:pPr>
    </w:p>
    <w:p w14:paraId="0D0AADB3" w14:textId="56AE64A1" w:rsidR="002A7E00" w:rsidRPr="00EC0229" w:rsidRDefault="00392447" w:rsidP="007600EA">
      <w:pPr>
        <w:pStyle w:val="NoSpacing"/>
        <w:spacing w:line="360" w:lineRule="auto"/>
        <w:rPr>
          <w:rFonts w:eastAsia="Times New Roman" w:cs="Times New Roman"/>
          <w:iCs/>
          <w:szCs w:val="24"/>
          <w:lang w:eastAsia="en-GB"/>
        </w:rPr>
      </w:pPr>
      <w:r w:rsidRPr="00EC0229">
        <w:rPr>
          <w:rFonts w:eastAsia="Times New Roman" w:cs="Times New Roman"/>
          <w:iCs/>
          <w:szCs w:val="24"/>
          <w:lang w:eastAsia="en-GB"/>
        </w:rPr>
        <w:t>The questions posed i</w:t>
      </w:r>
      <w:r w:rsidR="00A9004F" w:rsidRPr="00EC0229">
        <w:rPr>
          <w:rFonts w:eastAsia="Times New Roman" w:cs="Times New Roman"/>
          <w:iCs/>
          <w:szCs w:val="24"/>
          <w:lang w:eastAsia="en-GB"/>
        </w:rPr>
        <w:t xml:space="preserve">n </w:t>
      </w:r>
      <w:r w:rsidR="00923167">
        <w:rPr>
          <w:rFonts w:eastAsia="Times New Roman" w:cs="Times New Roman"/>
          <w:iCs/>
          <w:szCs w:val="24"/>
          <w:lang w:eastAsia="en-GB"/>
        </w:rPr>
        <w:t>Chapter</w:t>
      </w:r>
      <w:r w:rsidR="00A9004F" w:rsidRPr="00EC0229">
        <w:rPr>
          <w:rFonts w:eastAsia="Times New Roman" w:cs="Times New Roman"/>
          <w:iCs/>
          <w:szCs w:val="24"/>
          <w:lang w:eastAsia="en-GB"/>
        </w:rPr>
        <w:t xml:space="preserve"> 3</w:t>
      </w:r>
      <w:r w:rsidR="004B3A6E" w:rsidRPr="00EC0229">
        <w:rPr>
          <w:rFonts w:eastAsia="Times New Roman" w:cs="Times New Roman"/>
          <w:iCs/>
          <w:szCs w:val="24"/>
          <w:lang w:eastAsia="en-GB"/>
        </w:rPr>
        <w:t xml:space="preserve"> (</w:t>
      </w:r>
      <w:r w:rsidR="009A31FF" w:rsidRPr="00EC0229">
        <w:rPr>
          <w:rFonts w:eastAsia="Times New Roman" w:cs="Times New Roman"/>
          <w:iCs/>
          <w:szCs w:val="24"/>
          <w:lang w:eastAsia="en-GB"/>
        </w:rPr>
        <w:fldChar w:fldCharType="begin"/>
      </w:r>
      <w:r w:rsidR="009A31FF" w:rsidRPr="00EC0229">
        <w:rPr>
          <w:rFonts w:eastAsia="Times New Roman" w:cs="Times New Roman"/>
          <w:iCs/>
          <w:szCs w:val="24"/>
          <w:lang w:eastAsia="en-GB"/>
        </w:rPr>
        <w:instrText xml:space="preserve"> PAGEREF Chapter3 \h </w:instrText>
      </w:r>
      <w:r w:rsidR="009A31FF" w:rsidRPr="00EC0229">
        <w:rPr>
          <w:rFonts w:eastAsia="Times New Roman" w:cs="Times New Roman"/>
          <w:iCs/>
          <w:szCs w:val="24"/>
          <w:lang w:eastAsia="en-GB"/>
        </w:rPr>
      </w:r>
      <w:r w:rsidR="009A31FF"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59</w:t>
      </w:r>
      <w:r w:rsidR="009A31FF" w:rsidRPr="00EC0229">
        <w:rPr>
          <w:rFonts w:eastAsia="Times New Roman" w:cs="Times New Roman"/>
          <w:iCs/>
          <w:szCs w:val="24"/>
          <w:lang w:eastAsia="en-GB"/>
        </w:rPr>
        <w:fldChar w:fldCharType="end"/>
      </w:r>
      <w:r w:rsidR="004B3A6E" w:rsidRPr="00EC0229">
        <w:rPr>
          <w:rFonts w:eastAsia="Times New Roman" w:cs="Times New Roman"/>
          <w:iCs/>
          <w:szCs w:val="24"/>
          <w:lang w:eastAsia="en-GB"/>
        </w:rPr>
        <w:t>)</w:t>
      </w:r>
      <w:r w:rsidRPr="00EC0229">
        <w:rPr>
          <w:rFonts w:eastAsia="Times New Roman" w:cs="Times New Roman"/>
          <w:iCs/>
          <w:szCs w:val="24"/>
          <w:lang w:eastAsia="en-GB"/>
        </w:rPr>
        <w:t xml:space="preserve"> is</w:t>
      </w:r>
      <w:r w:rsidR="00A9004F" w:rsidRPr="00EC0229">
        <w:rPr>
          <w:rFonts w:eastAsia="Times New Roman" w:cs="Times New Roman"/>
          <w:iCs/>
          <w:szCs w:val="24"/>
          <w:lang w:eastAsia="en-GB"/>
        </w:rPr>
        <w:t xml:space="preserve"> whether</w:t>
      </w:r>
      <w:r w:rsidR="002A7E00" w:rsidRPr="00EC0229">
        <w:rPr>
          <w:rFonts w:eastAsia="Times New Roman" w:cs="Times New Roman"/>
          <w:iCs/>
          <w:szCs w:val="24"/>
          <w:lang w:eastAsia="en-GB"/>
        </w:rPr>
        <w:t xml:space="preserve"> the numismatic evidence validate</w:t>
      </w:r>
      <w:r w:rsidR="00A9004F" w:rsidRPr="00EC0229">
        <w:rPr>
          <w:rFonts w:eastAsia="Times New Roman" w:cs="Times New Roman"/>
          <w:iCs/>
          <w:szCs w:val="24"/>
          <w:lang w:eastAsia="en-GB"/>
        </w:rPr>
        <w:t>d</w:t>
      </w:r>
      <w:r w:rsidR="002A7E00" w:rsidRPr="00EC0229">
        <w:rPr>
          <w:rFonts w:eastAsia="Times New Roman" w:cs="Times New Roman"/>
          <w:iCs/>
          <w:szCs w:val="24"/>
          <w:lang w:eastAsia="en-GB"/>
        </w:rPr>
        <w:t xml:space="preserve"> the dendritic</w:t>
      </w:r>
      <w:r w:rsidR="008960AE" w:rsidRPr="00EC0229">
        <w:rPr>
          <w:rFonts w:eastAsia="Times New Roman" w:cs="Times New Roman"/>
          <w:iCs/>
          <w:szCs w:val="24"/>
          <w:lang w:eastAsia="en-GB"/>
        </w:rPr>
        <w:fldChar w:fldCharType="begin"/>
      </w:r>
      <w:r w:rsidR="008960AE" w:rsidRPr="00EC0229">
        <w:instrText xml:space="preserve"> XE "</w:instrText>
      </w:r>
      <w:r w:rsidR="008960AE" w:rsidRPr="00EC0229">
        <w:rPr>
          <w:rFonts w:cs="Times New Roman"/>
          <w:szCs w:val="24"/>
        </w:rPr>
        <w:instrText>dendritic</w:instrText>
      </w:r>
      <w:r w:rsidR="008960AE" w:rsidRPr="00EC0229">
        <w:instrText xml:space="preserve">" </w:instrText>
      </w:r>
      <w:r w:rsidR="008960AE" w:rsidRPr="00EC0229">
        <w:rPr>
          <w:rFonts w:eastAsia="Times New Roman" w:cs="Times New Roman"/>
          <w:iCs/>
          <w:szCs w:val="24"/>
          <w:lang w:eastAsia="en-GB"/>
        </w:rPr>
        <w:fldChar w:fldCharType="end"/>
      </w:r>
      <w:r w:rsidR="002A7E00" w:rsidRPr="00EC0229">
        <w:rPr>
          <w:rFonts w:eastAsia="Times New Roman" w:cs="Times New Roman"/>
          <w:iCs/>
          <w:szCs w:val="24"/>
          <w:lang w:eastAsia="en-GB"/>
        </w:rPr>
        <w:t xml:space="preserve"> system of nodes </w:t>
      </w:r>
      <w:r w:rsidR="00862F15" w:rsidRPr="00EC0229">
        <w:rPr>
          <w:rFonts w:eastAsia="Times New Roman" w:cs="Times New Roman"/>
          <w:iCs/>
          <w:szCs w:val="24"/>
          <w:lang w:eastAsia="en-GB"/>
        </w:rPr>
        <w:t>and</w:t>
      </w:r>
      <w:r w:rsidR="00A9004F" w:rsidRPr="00EC0229">
        <w:rPr>
          <w:rFonts w:eastAsia="Times New Roman" w:cs="Times New Roman"/>
          <w:iCs/>
          <w:szCs w:val="24"/>
          <w:lang w:eastAsia="en-GB"/>
        </w:rPr>
        <w:t xml:space="preserve"> hubs.</w:t>
      </w:r>
      <w:r w:rsidR="002A7E00" w:rsidRPr="00EC0229">
        <w:rPr>
          <w:rFonts w:eastAsia="Times New Roman" w:cs="Times New Roman"/>
          <w:iCs/>
          <w:szCs w:val="24"/>
          <w:lang w:eastAsia="en-GB"/>
        </w:rPr>
        <w:t xml:space="preserve"> </w:t>
      </w:r>
      <w:r w:rsidR="00A9004F" w:rsidRPr="00EC0229">
        <w:rPr>
          <w:rFonts w:eastAsia="Times New Roman" w:cs="Times New Roman"/>
          <w:iCs/>
          <w:szCs w:val="24"/>
          <w:lang w:eastAsia="en-GB"/>
        </w:rPr>
        <w:t>D</w:t>
      </w:r>
      <w:r w:rsidR="002A7E00" w:rsidRPr="00EC0229">
        <w:rPr>
          <w:rFonts w:eastAsia="Times New Roman" w:cs="Times New Roman"/>
          <w:iCs/>
          <w:szCs w:val="24"/>
          <w:lang w:eastAsia="en-GB"/>
        </w:rPr>
        <w:t>etecting biases</w:t>
      </w:r>
      <w:r w:rsidR="003B4D65" w:rsidRPr="00EC0229">
        <w:rPr>
          <w:rFonts w:eastAsia="Times New Roman" w:cs="Times New Roman"/>
          <w:iCs/>
          <w:szCs w:val="24"/>
          <w:lang w:eastAsia="en-GB"/>
        </w:rPr>
        <w:t>,</w:t>
      </w:r>
      <w:r w:rsidR="00DB794E" w:rsidRPr="00EC0229">
        <w:rPr>
          <w:rFonts w:eastAsia="Times New Roman" w:cs="Times New Roman"/>
          <w:iCs/>
          <w:szCs w:val="24"/>
          <w:lang w:eastAsia="en-GB"/>
        </w:rPr>
        <w:t xml:space="preserve"> </w:t>
      </w:r>
      <w:r w:rsidR="002A7E00" w:rsidRPr="00EC0229">
        <w:rPr>
          <w:rFonts w:eastAsia="Times New Roman" w:cs="Times New Roman"/>
          <w:iCs/>
          <w:szCs w:val="24"/>
          <w:lang w:eastAsia="en-GB"/>
        </w:rPr>
        <w:t>as articulated by Robbins</w:t>
      </w:r>
      <w:r w:rsidR="003B4D65" w:rsidRPr="00EC0229">
        <w:rPr>
          <w:rFonts w:eastAsia="Times New Roman" w:cs="Times New Roman"/>
          <w:iCs/>
          <w:szCs w:val="24"/>
          <w:lang w:eastAsia="en-GB"/>
        </w:rPr>
        <w:t xml:space="preserve"> </w:t>
      </w:r>
      <w:r w:rsidR="002A7E00" w:rsidRPr="00EC0229">
        <w:rPr>
          <w:rFonts w:eastAsia="Times New Roman" w:cs="Times New Roman"/>
          <w:iCs/>
          <w:szCs w:val="24"/>
          <w:lang w:eastAsia="en-GB"/>
        </w:rPr>
        <w:t>obscure the picture and it may be premature to endorse the Hodgian model</w:t>
      </w:r>
      <w:r w:rsidR="006B1CFD" w:rsidRPr="00EC0229">
        <w:rPr>
          <w:rStyle w:val="Hyperlink"/>
          <w:rFonts w:eastAsia="Times New Roman" w:cs="Times New Roman"/>
          <w:iCs/>
          <w:szCs w:val="24"/>
          <w:u w:val="none"/>
          <w:lang w:eastAsia="en-GB"/>
        </w:rPr>
        <w:t xml:space="preserve"> </w:t>
      </w:r>
      <w:r w:rsidR="006B1CFD" w:rsidRPr="00EC0229">
        <w:rPr>
          <w:rFonts w:eastAsia="Times New Roman" w:cs="Times New Roman"/>
          <w:iCs/>
          <w:szCs w:val="24"/>
          <w:lang w:eastAsia="en-GB"/>
        </w:rPr>
        <w:t>(</w:t>
      </w:r>
      <w:r w:rsidR="009A31FF" w:rsidRPr="00EC0229">
        <w:rPr>
          <w:rFonts w:eastAsia="Times New Roman" w:cs="Times New Roman"/>
          <w:iCs/>
          <w:szCs w:val="24"/>
          <w:lang w:eastAsia="en-GB"/>
        </w:rPr>
        <w:fldChar w:fldCharType="begin"/>
      </w:r>
      <w:r w:rsidR="009A31FF" w:rsidRPr="00EC0229">
        <w:rPr>
          <w:rFonts w:eastAsia="Times New Roman" w:cs="Times New Roman"/>
          <w:iCs/>
          <w:szCs w:val="24"/>
          <w:lang w:eastAsia="en-GB"/>
        </w:rPr>
        <w:instrText xml:space="preserve"> PAGEREF Economic \h </w:instrText>
      </w:r>
      <w:r w:rsidR="009A31FF" w:rsidRPr="00EC0229">
        <w:rPr>
          <w:rFonts w:eastAsia="Times New Roman" w:cs="Times New Roman"/>
          <w:iCs/>
          <w:szCs w:val="24"/>
          <w:lang w:eastAsia="en-GB"/>
        </w:rPr>
      </w:r>
      <w:r w:rsidR="009A31FF"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40</w:t>
      </w:r>
      <w:r w:rsidR="009A31FF" w:rsidRPr="00EC0229">
        <w:rPr>
          <w:rFonts w:eastAsia="Times New Roman" w:cs="Times New Roman"/>
          <w:iCs/>
          <w:szCs w:val="24"/>
          <w:lang w:eastAsia="en-GB"/>
        </w:rPr>
        <w:fldChar w:fldCharType="end"/>
      </w:r>
      <w:r w:rsidR="006B1CFD" w:rsidRPr="00EC0229">
        <w:rPr>
          <w:rFonts w:eastAsia="Times New Roman" w:cs="Times New Roman"/>
          <w:iCs/>
          <w:szCs w:val="24"/>
          <w:lang w:eastAsia="en-GB"/>
        </w:rPr>
        <w:t>).</w:t>
      </w:r>
      <w:r w:rsidR="002A7E00" w:rsidRPr="00EC0229">
        <w:rPr>
          <w:rFonts w:eastAsia="Times New Roman" w:cs="Times New Roman"/>
          <w:iCs/>
          <w:szCs w:val="24"/>
          <w:lang w:eastAsia="en-GB"/>
        </w:rPr>
        <w:t xml:space="preserve"> Well before Hodges</w:t>
      </w:r>
      <w:r w:rsidR="00F204A1" w:rsidRPr="00EC0229">
        <w:rPr>
          <w:rFonts w:eastAsia="Times New Roman" w:cs="Times New Roman"/>
          <w:iCs/>
          <w:szCs w:val="24"/>
          <w:lang w:eastAsia="en-GB"/>
        </w:rPr>
        <w:fldChar w:fldCharType="begin"/>
      </w:r>
      <w:r w:rsidR="00F204A1" w:rsidRPr="00EC0229">
        <w:instrText xml:space="preserve"> XE "</w:instrText>
      </w:r>
      <w:r w:rsidR="00F204A1" w:rsidRPr="00EC0229">
        <w:rPr>
          <w:rStyle w:val="Hyperlink"/>
          <w:noProof/>
          <w:u w:val="none"/>
        </w:rPr>
        <w:instrText>Hodges</w:instrText>
      </w:r>
      <w:r w:rsidR="00F204A1" w:rsidRPr="00EC0229">
        <w:instrText xml:space="preserve">" </w:instrText>
      </w:r>
      <w:r w:rsidR="00F204A1" w:rsidRPr="00EC0229">
        <w:rPr>
          <w:rFonts w:eastAsia="Times New Roman" w:cs="Times New Roman"/>
          <w:iCs/>
          <w:szCs w:val="24"/>
          <w:lang w:eastAsia="en-GB"/>
        </w:rPr>
        <w:fldChar w:fldCharType="end"/>
      </w:r>
      <w:r w:rsidR="002A7E00" w:rsidRPr="00EC0229">
        <w:rPr>
          <w:rFonts w:eastAsia="Times New Roman" w:cs="Times New Roman"/>
          <w:iCs/>
          <w:szCs w:val="24"/>
          <w:lang w:eastAsia="en-GB"/>
        </w:rPr>
        <w:t>, classical economic theory demanded structured markets</w:t>
      </w:r>
      <w:r w:rsidR="001C7A3C" w:rsidRPr="00EC0229">
        <w:rPr>
          <w:rFonts w:eastAsia="Times New Roman" w:cs="Times New Roman"/>
          <w:iCs/>
          <w:szCs w:val="24"/>
          <w:lang w:eastAsia="en-GB"/>
        </w:rPr>
        <w:t>,</w:t>
      </w:r>
      <w:r w:rsidR="002A7E00" w:rsidRPr="00EC0229">
        <w:rPr>
          <w:rFonts w:eastAsia="Times New Roman" w:cs="Times New Roman"/>
          <w:iCs/>
          <w:szCs w:val="24"/>
          <w:lang w:eastAsia="en-GB"/>
        </w:rPr>
        <w:t xml:space="preserve"> but sustained discovery is required before a clear economic profile crystalizes. These caveats aside, both </w:t>
      </w:r>
      <w:r w:rsidR="00166354" w:rsidRPr="00EC0229">
        <w:rPr>
          <w:rFonts w:eastAsia="Times New Roman" w:cs="Times New Roman"/>
          <w:iCs/>
          <w:szCs w:val="24"/>
          <w:lang w:eastAsia="en-GB"/>
        </w:rPr>
        <w:t xml:space="preserve">the </w:t>
      </w:r>
      <w:r w:rsidR="00C7553E" w:rsidRPr="00EC0229">
        <w:rPr>
          <w:rFonts w:eastAsia="Times New Roman" w:cs="Times New Roman"/>
          <w:iCs/>
          <w:szCs w:val="24"/>
          <w:lang w:eastAsia="en-GB"/>
        </w:rPr>
        <w:t>Central Lowlands</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noProof/>
        </w:rPr>
        <w:instrText>York</w:instrText>
      </w:r>
      <w:r w:rsidR="006B1593" w:rsidRPr="00EC0229">
        <w:instrText xml:space="preserve">" </w:instrText>
      </w:r>
      <w:r w:rsidR="006B1593" w:rsidRPr="00EC0229">
        <w:rPr>
          <w:rFonts w:eastAsia="Times New Roman" w:cs="Times New Roman"/>
          <w:iCs/>
          <w:szCs w:val="24"/>
          <w:lang w:eastAsia="en-GB"/>
        </w:rPr>
        <w:fldChar w:fldCharType="end"/>
      </w:r>
      <w:r w:rsidR="00166354" w:rsidRPr="00EC0229">
        <w:rPr>
          <w:rFonts w:eastAsia="Times New Roman" w:cs="Times New Roman"/>
          <w:iCs/>
          <w:szCs w:val="24"/>
          <w:lang w:eastAsia="en-GB"/>
        </w:rPr>
        <w:t xml:space="preserve"> (</w:t>
      </w:r>
      <w:r w:rsidR="004E7EFE" w:rsidRPr="00EC0229">
        <w:rPr>
          <w:rFonts w:eastAsia="Times New Roman" w:cs="Times New Roman"/>
          <w:iCs/>
          <w:szCs w:val="24"/>
          <w:lang w:eastAsia="en-GB"/>
        </w:rPr>
        <w:fldChar w:fldCharType="begin"/>
      </w:r>
      <w:r w:rsidR="004E7EFE" w:rsidRPr="00EC0229">
        <w:rPr>
          <w:rFonts w:eastAsia="Times New Roman" w:cs="Times New Roman"/>
          <w:iCs/>
          <w:szCs w:val="24"/>
          <w:lang w:eastAsia="en-GB"/>
        </w:rPr>
        <w:instrText xml:space="preserve"> PAGEREF TheCentralLowlands \h </w:instrText>
      </w:r>
      <w:r w:rsidR="004E7EFE" w:rsidRPr="00EC0229">
        <w:rPr>
          <w:rFonts w:eastAsia="Times New Roman" w:cs="Times New Roman"/>
          <w:iCs/>
          <w:szCs w:val="24"/>
          <w:lang w:eastAsia="en-GB"/>
        </w:rPr>
      </w:r>
      <w:r w:rsidR="004E7EFE"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211</w:t>
      </w:r>
      <w:r w:rsidR="004E7EFE" w:rsidRPr="00EC0229">
        <w:rPr>
          <w:rFonts w:eastAsia="Times New Roman" w:cs="Times New Roman"/>
          <w:iCs/>
          <w:szCs w:val="24"/>
          <w:lang w:eastAsia="en-GB"/>
        </w:rPr>
        <w:fldChar w:fldCharType="end"/>
      </w:r>
      <w:r w:rsidR="00166354" w:rsidRPr="00EC0229">
        <w:rPr>
          <w:rFonts w:eastAsia="Times New Roman" w:cs="Times New Roman"/>
          <w:iCs/>
          <w:szCs w:val="24"/>
          <w:lang w:eastAsia="en-GB"/>
        </w:rPr>
        <w:t xml:space="preserve">) and </w:t>
      </w:r>
      <w:r w:rsidR="002A7E00" w:rsidRPr="00EC0229">
        <w:rPr>
          <w:rFonts w:eastAsia="Times New Roman" w:cs="Times New Roman"/>
          <w:iCs/>
          <w:szCs w:val="24"/>
          <w:lang w:eastAsia="en-GB"/>
        </w:rPr>
        <w:t>the Wolds</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Fonts w:cs="Times New Roman"/>
          <w:noProof/>
        </w:rPr>
        <w:instrText>Wolds</w:instrText>
      </w:r>
      <w:r w:rsidR="006B1593" w:rsidRPr="00EC0229">
        <w:instrText xml:space="preserve">" </w:instrText>
      </w:r>
      <w:r w:rsidR="006B1593" w:rsidRPr="00EC0229">
        <w:rPr>
          <w:rFonts w:eastAsia="Times New Roman" w:cs="Times New Roman"/>
          <w:iCs/>
          <w:szCs w:val="24"/>
          <w:lang w:eastAsia="en-GB"/>
        </w:rPr>
        <w:fldChar w:fldCharType="end"/>
      </w:r>
      <w:r w:rsidR="002A7E00" w:rsidRPr="00EC0229">
        <w:rPr>
          <w:rFonts w:eastAsia="Times New Roman" w:cs="Times New Roman"/>
          <w:iCs/>
          <w:szCs w:val="24"/>
          <w:lang w:eastAsia="en-GB"/>
        </w:rPr>
        <w:t xml:space="preserve"> </w:t>
      </w:r>
      <w:r w:rsidR="006B1CFD" w:rsidRPr="00EC0229">
        <w:rPr>
          <w:rFonts w:eastAsia="Times New Roman" w:cs="Times New Roman"/>
          <w:iCs/>
          <w:szCs w:val="24"/>
          <w:lang w:eastAsia="en-GB"/>
        </w:rPr>
        <w:t>(</w:t>
      </w:r>
      <w:r w:rsidR="009A31FF" w:rsidRPr="00EC0229">
        <w:rPr>
          <w:rFonts w:eastAsia="Times New Roman" w:cs="Times New Roman"/>
          <w:iCs/>
          <w:szCs w:val="24"/>
          <w:lang w:eastAsia="en-GB"/>
        </w:rPr>
        <w:fldChar w:fldCharType="begin"/>
      </w:r>
      <w:r w:rsidR="009A31FF" w:rsidRPr="00EC0229">
        <w:rPr>
          <w:rFonts w:eastAsia="Times New Roman" w:cs="Times New Roman"/>
          <w:iCs/>
          <w:szCs w:val="24"/>
          <w:lang w:eastAsia="en-GB"/>
        </w:rPr>
        <w:instrText xml:space="preserve"> PAGEREF TheYorkshireWolds \h </w:instrText>
      </w:r>
      <w:r w:rsidR="009A31FF" w:rsidRPr="00EC0229">
        <w:rPr>
          <w:rFonts w:eastAsia="Times New Roman" w:cs="Times New Roman"/>
          <w:iCs/>
          <w:szCs w:val="24"/>
          <w:lang w:eastAsia="en-GB"/>
        </w:rPr>
      </w:r>
      <w:r w:rsidR="009A31FF"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221</w:t>
      </w:r>
      <w:r w:rsidR="009A31FF" w:rsidRPr="00EC0229">
        <w:rPr>
          <w:rFonts w:eastAsia="Times New Roman" w:cs="Times New Roman"/>
          <w:iCs/>
          <w:szCs w:val="24"/>
          <w:lang w:eastAsia="en-GB"/>
        </w:rPr>
        <w:fldChar w:fldCharType="end"/>
      </w:r>
      <w:r w:rsidR="006B1CFD" w:rsidRPr="00EC0229">
        <w:rPr>
          <w:rFonts w:eastAsia="Times New Roman" w:cs="Times New Roman"/>
          <w:iCs/>
          <w:szCs w:val="24"/>
          <w:lang w:eastAsia="en-GB"/>
        </w:rPr>
        <w:t>)</w:t>
      </w:r>
      <w:r w:rsidR="006F3636" w:rsidRPr="00EC0229">
        <w:rPr>
          <w:rFonts w:eastAsia="Times New Roman" w:cs="Times New Roman"/>
          <w:iCs/>
          <w:szCs w:val="24"/>
          <w:lang w:eastAsia="en-GB"/>
        </w:rPr>
        <w:t>,</w:t>
      </w:r>
      <w:r w:rsidR="006B1CFD" w:rsidRPr="00EC0229">
        <w:rPr>
          <w:rFonts w:eastAsia="Times New Roman" w:cs="Times New Roman"/>
          <w:iCs/>
          <w:szCs w:val="24"/>
          <w:lang w:eastAsia="en-GB"/>
        </w:rPr>
        <w:t xml:space="preserve"> </w:t>
      </w:r>
      <w:r w:rsidR="004C13EB" w:rsidRPr="00EC0229">
        <w:rPr>
          <w:rFonts w:eastAsia="Times New Roman" w:cs="Times New Roman"/>
          <w:iCs/>
          <w:szCs w:val="24"/>
          <w:lang w:eastAsia="en-GB"/>
        </w:rPr>
        <w:t>composed of non-nucleated farmsteads</w:t>
      </w:r>
      <w:r w:rsidR="00F347A3" w:rsidRPr="00EC0229">
        <w:rPr>
          <w:rStyle w:val="FootnoteReference"/>
          <w:rFonts w:eastAsia="Times New Roman" w:cs="Times New Roman"/>
          <w:iCs/>
          <w:szCs w:val="24"/>
          <w:lang w:eastAsia="en-GB"/>
        </w:rPr>
        <w:footnoteReference w:id="1336"/>
      </w:r>
      <w:r w:rsidR="004C13EB" w:rsidRPr="00EC0229">
        <w:rPr>
          <w:rFonts w:eastAsia="Times New Roman" w:cs="Times New Roman"/>
          <w:iCs/>
          <w:szCs w:val="24"/>
          <w:lang w:eastAsia="en-GB"/>
        </w:rPr>
        <w:t xml:space="preserve"> </w:t>
      </w:r>
      <w:r w:rsidR="006F3636" w:rsidRPr="00EC0229">
        <w:rPr>
          <w:rFonts w:eastAsia="Times New Roman" w:cs="Times New Roman"/>
          <w:iCs/>
          <w:szCs w:val="24"/>
          <w:lang w:eastAsia="en-GB"/>
        </w:rPr>
        <w:t>with nodal points</w:t>
      </w:r>
      <w:r w:rsidR="008960AE" w:rsidRPr="00EC0229">
        <w:rPr>
          <w:rFonts w:eastAsia="Times New Roman" w:cs="Times New Roman"/>
          <w:iCs/>
          <w:szCs w:val="24"/>
          <w:lang w:eastAsia="en-GB"/>
        </w:rPr>
        <w:fldChar w:fldCharType="begin"/>
      </w:r>
      <w:r w:rsidR="008960AE" w:rsidRPr="00EC0229">
        <w:instrText xml:space="preserve"> XE "</w:instrText>
      </w:r>
      <w:r w:rsidR="008960AE" w:rsidRPr="00EC0229">
        <w:rPr>
          <w:rFonts w:cs="Times New Roman"/>
          <w:szCs w:val="24"/>
        </w:rPr>
        <w:instrText>nodal points</w:instrText>
      </w:r>
      <w:r w:rsidR="008960AE" w:rsidRPr="00EC0229">
        <w:instrText xml:space="preserve">" </w:instrText>
      </w:r>
      <w:r w:rsidR="008960AE" w:rsidRPr="00EC0229">
        <w:rPr>
          <w:rFonts w:eastAsia="Times New Roman" w:cs="Times New Roman"/>
          <w:iCs/>
          <w:szCs w:val="24"/>
          <w:lang w:eastAsia="en-GB"/>
        </w:rPr>
        <w:fldChar w:fldCharType="end"/>
      </w:r>
      <w:r w:rsidR="006F3636" w:rsidRPr="00EC0229">
        <w:rPr>
          <w:rFonts w:eastAsia="Times New Roman" w:cs="Times New Roman"/>
          <w:iCs/>
          <w:szCs w:val="24"/>
          <w:lang w:eastAsia="en-GB"/>
        </w:rPr>
        <w:t xml:space="preserve"> at </w:t>
      </w:r>
      <w:r w:rsidR="006F3636" w:rsidRPr="00EC0229">
        <w:rPr>
          <w:rFonts w:eastAsia="Times New Roman" w:cs="Times New Roman"/>
          <w:iCs/>
          <w:szCs w:val="24"/>
          <w:lang w:eastAsia="en-GB"/>
        </w:rPr>
        <w:lastRenderedPageBreak/>
        <w:t>locations such as Sledmere</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Sledmere</w:instrText>
      </w:r>
      <w:r w:rsidR="006B1593" w:rsidRPr="00EC0229">
        <w:instrText xml:space="preserve">" </w:instrText>
      </w:r>
      <w:r w:rsidR="006B1593" w:rsidRPr="00EC0229">
        <w:rPr>
          <w:rFonts w:eastAsia="Times New Roman" w:cs="Times New Roman"/>
          <w:iCs/>
          <w:szCs w:val="24"/>
          <w:lang w:eastAsia="en-GB"/>
        </w:rPr>
        <w:fldChar w:fldCharType="end"/>
      </w:r>
      <w:r w:rsidR="006F3636" w:rsidRPr="00EC0229">
        <w:rPr>
          <w:rFonts w:eastAsia="Times New Roman" w:cs="Times New Roman"/>
          <w:iCs/>
          <w:szCs w:val="24"/>
          <w:lang w:eastAsia="en-GB"/>
        </w:rPr>
        <w:t>, South Newbald</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South Newbald</w:instrText>
      </w:r>
      <w:r w:rsidR="006B1593" w:rsidRPr="00EC0229">
        <w:instrText xml:space="preserve">" </w:instrText>
      </w:r>
      <w:r w:rsidR="006B1593" w:rsidRPr="00EC0229">
        <w:rPr>
          <w:rFonts w:eastAsia="Times New Roman" w:cs="Times New Roman"/>
          <w:iCs/>
          <w:szCs w:val="24"/>
          <w:lang w:eastAsia="en-GB"/>
        </w:rPr>
        <w:fldChar w:fldCharType="end"/>
      </w:r>
      <w:r w:rsidR="006F3636" w:rsidRPr="00EC0229">
        <w:rPr>
          <w:rFonts w:eastAsia="Times New Roman" w:cs="Times New Roman"/>
          <w:iCs/>
          <w:szCs w:val="24"/>
          <w:lang w:eastAsia="en-GB"/>
        </w:rPr>
        <w:t xml:space="preserve"> and Kilham</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rStyle w:val="Hyperlink"/>
          <w:noProof/>
          <w:u w:val="none"/>
        </w:rPr>
        <w:instrText>Kilham</w:instrText>
      </w:r>
      <w:r w:rsidR="006B1593" w:rsidRPr="00EC0229">
        <w:instrText xml:space="preserve">" </w:instrText>
      </w:r>
      <w:r w:rsidR="006B1593" w:rsidRPr="00EC0229">
        <w:rPr>
          <w:rFonts w:eastAsia="Times New Roman" w:cs="Times New Roman"/>
          <w:iCs/>
          <w:szCs w:val="24"/>
          <w:lang w:eastAsia="en-GB"/>
        </w:rPr>
        <w:fldChar w:fldCharType="end"/>
      </w:r>
      <w:r w:rsidR="006F3636" w:rsidRPr="00EC0229">
        <w:rPr>
          <w:rFonts w:eastAsia="Times New Roman" w:cs="Times New Roman"/>
          <w:iCs/>
          <w:szCs w:val="24"/>
          <w:lang w:eastAsia="en-GB"/>
        </w:rPr>
        <w:t xml:space="preserve">, </w:t>
      </w:r>
      <w:r w:rsidR="002A7E00" w:rsidRPr="00EC0229">
        <w:rPr>
          <w:rFonts w:eastAsia="Times New Roman" w:cs="Times New Roman"/>
          <w:iCs/>
          <w:szCs w:val="24"/>
          <w:lang w:eastAsia="en-GB"/>
        </w:rPr>
        <w:t>are distr</w:t>
      </w:r>
      <w:r w:rsidR="006F3636" w:rsidRPr="00EC0229">
        <w:rPr>
          <w:rFonts w:eastAsia="Times New Roman" w:cs="Times New Roman"/>
          <w:iCs/>
          <w:szCs w:val="24"/>
          <w:lang w:eastAsia="en-GB"/>
        </w:rPr>
        <w:t>ibuted networks of settlements.</w:t>
      </w:r>
    </w:p>
    <w:p w14:paraId="6DB67022" w14:textId="77777777" w:rsidR="002A7E00" w:rsidRPr="00EC0229" w:rsidRDefault="002A7E00" w:rsidP="007600EA">
      <w:pPr>
        <w:pStyle w:val="NoSpacing"/>
        <w:spacing w:line="360" w:lineRule="auto"/>
        <w:rPr>
          <w:rFonts w:eastAsia="Times New Roman" w:cs="Times New Roman"/>
          <w:iCs/>
          <w:szCs w:val="24"/>
          <w:lang w:eastAsia="en-GB"/>
        </w:rPr>
      </w:pPr>
    </w:p>
    <w:p w14:paraId="3D85C0C1" w14:textId="65CD70D8" w:rsidR="002A7E00" w:rsidRPr="00EC0229" w:rsidRDefault="002A7E00" w:rsidP="007600EA">
      <w:pPr>
        <w:pStyle w:val="NoSpacing"/>
        <w:spacing w:line="360" w:lineRule="auto"/>
      </w:pPr>
      <w:r w:rsidRPr="00EC0229">
        <w:rPr>
          <w:rFonts w:eastAsia="Times New Roman" w:cs="Times New Roman"/>
          <w:iCs/>
          <w:szCs w:val="24"/>
          <w:lang w:eastAsia="en-GB"/>
        </w:rPr>
        <w:t>O’Connor discussed the polyfocal nature of York</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noProof/>
        </w:rPr>
        <w:instrText>York</w:instrText>
      </w:r>
      <w:r w:rsidR="006B1593" w:rsidRPr="00EC0229">
        <w:instrText xml:space="preserve">" </w:instrText>
      </w:r>
      <w:r w:rsidR="006B1593" w:rsidRPr="00EC0229">
        <w:rPr>
          <w:rFonts w:eastAsia="Times New Roman" w:cs="Times New Roman"/>
          <w:iCs/>
          <w:szCs w:val="24"/>
          <w:lang w:eastAsia="en-GB"/>
        </w:rPr>
        <w:fldChar w:fldCharType="end"/>
      </w:r>
      <w:r w:rsidRPr="00EC0229">
        <w:rPr>
          <w:rFonts w:eastAsia="Times New Roman" w:cs="Times New Roman"/>
          <w:iCs/>
          <w:szCs w:val="24"/>
          <w:lang w:eastAsia="en-GB"/>
        </w:rPr>
        <w:t xml:space="preserve"> </w:t>
      </w:r>
      <w:r w:rsidR="006B1CFD" w:rsidRPr="00EC0229">
        <w:rPr>
          <w:rFonts w:eastAsia="Times New Roman" w:cs="Times New Roman"/>
          <w:iCs/>
          <w:szCs w:val="24"/>
          <w:lang w:eastAsia="en-GB"/>
        </w:rPr>
        <w:t>(</w:t>
      </w:r>
      <w:r w:rsidR="00636C27" w:rsidRPr="00EC0229">
        <w:rPr>
          <w:rFonts w:eastAsia="Times New Roman" w:cs="Times New Roman"/>
          <w:iCs/>
          <w:szCs w:val="24"/>
          <w:lang w:eastAsia="en-GB"/>
        </w:rPr>
        <w:fldChar w:fldCharType="begin"/>
      </w:r>
      <w:r w:rsidR="00636C27" w:rsidRPr="00EC0229">
        <w:rPr>
          <w:rFonts w:eastAsia="Times New Roman" w:cs="Times New Roman"/>
          <w:iCs/>
          <w:szCs w:val="24"/>
          <w:lang w:eastAsia="en-GB"/>
        </w:rPr>
        <w:instrText xml:space="preserve"> PAGEREF York \h </w:instrText>
      </w:r>
      <w:r w:rsidR="00636C27" w:rsidRPr="00EC0229">
        <w:rPr>
          <w:rFonts w:eastAsia="Times New Roman" w:cs="Times New Roman"/>
          <w:iCs/>
          <w:szCs w:val="24"/>
          <w:lang w:eastAsia="en-GB"/>
        </w:rPr>
      </w:r>
      <w:r w:rsidR="00636C27"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96</w:t>
      </w:r>
      <w:r w:rsidR="00636C27" w:rsidRPr="00EC0229">
        <w:rPr>
          <w:rFonts w:eastAsia="Times New Roman" w:cs="Times New Roman"/>
          <w:iCs/>
          <w:szCs w:val="24"/>
          <w:lang w:eastAsia="en-GB"/>
        </w:rPr>
        <w:fldChar w:fldCharType="end"/>
      </w:r>
      <w:r w:rsidR="006B1CFD" w:rsidRPr="00EC0229">
        <w:rPr>
          <w:rFonts w:eastAsia="Times New Roman" w:cs="Times New Roman"/>
          <w:iCs/>
          <w:szCs w:val="24"/>
          <w:lang w:eastAsia="en-GB"/>
        </w:rPr>
        <w:t xml:space="preserve">) </w:t>
      </w:r>
      <w:r w:rsidRPr="00EC0229">
        <w:rPr>
          <w:rFonts w:eastAsia="Times New Roman" w:cs="Times New Roman"/>
          <w:iCs/>
          <w:szCs w:val="24"/>
          <w:lang w:eastAsia="en-GB"/>
        </w:rPr>
        <w:t xml:space="preserve">with foci at the </w:t>
      </w:r>
      <w:r w:rsidRPr="00EC0229">
        <w:rPr>
          <w:rFonts w:eastAsia="Times New Roman" w:cs="Times New Roman"/>
          <w:i/>
          <w:iCs/>
          <w:szCs w:val="24"/>
          <w:lang w:eastAsia="en-GB"/>
        </w:rPr>
        <w:t>principia</w:t>
      </w:r>
      <w:r w:rsidRPr="00EC0229">
        <w:rPr>
          <w:rFonts w:eastAsia="Times New Roman" w:cs="Times New Roman"/>
          <w:iCs/>
          <w:szCs w:val="24"/>
          <w:lang w:eastAsia="en-GB"/>
        </w:rPr>
        <w:t xml:space="preserve"> and Fishergate</w:t>
      </w:r>
      <w:r w:rsidR="006B1593" w:rsidRPr="00EC0229">
        <w:rPr>
          <w:rFonts w:eastAsia="Times New Roman" w:cs="Times New Roman"/>
          <w:iCs/>
          <w:szCs w:val="24"/>
          <w:lang w:eastAsia="en-GB"/>
        </w:rPr>
        <w:fldChar w:fldCharType="begin"/>
      </w:r>
      <w:r w:rsidR="006B1593" w:rsidRPr="00EC0229">
        <w:instrText xml:space="preserve"> XE "</w:instrText>
      </w:r>
      <w:r w:rsidR="006B1593" w:rsidRPr="00EC0229">
        <w:rPr>
          <w:noProof/>
        </w:rPr>
        <w:instrText>Fishergate</w:instrText>
      </w:r>
      <w:r w:rsidR="006B1593" w:rsidRPr="00EC0229">
        <w:instrText xml:space="preserve">" </w:instrText>
      </w:r>
      <w:r w:rsidR="006B1593" w:rsidRPr="00EC0229">
        <w:rPr>
          <w:rFonts w:eastAsia="Times New Roman" w:cs="Times New Roman"/>
          <w:iCs/>
          <w:szCs w:val="24"/>
          <w:lang w:eastAsia="en-GB"/>
        </w:rPr>
        <w:fldChar w:fldCharType="end"/>
      </w:r>
      <w:r w:rsidR="00DE673E" w:rsidRPr="00EC0229">
        <w:rPr>
          <w:rFonts w:eastAsia="Times New Roman" w:cs="Times New Roman"/>
          <w:iCs/>
          <w:szCs w:val="24"/>
          <w:lang w:eastAsia="en-GB"/>
        </w:rPr>
        <w:t xml:space="preserve"> </w:t>
      </w:r>
      <w:r w:rsidR="006B1CFD" w:rsidRPr="00EC0229">
        <w:rPr>
          <w:rFonts w:eastAsia="Times New Roman" w:cs="Times New Roman"/>
          <w:iCs/>
          <w:szCs w:val="24"/>
          <w:lang w:eastAsia="en-GB"/>
        </w:rPr>
        <w:t>(</w:t>
      </w:r>
      <w:r w:rsidR="009A31FF" w:rsidRPr="00EC0229">
        <w:rPr>
          <w:rFonts w:eastAsia="Times New Roman" w:cs="Times New Roman"/>
          <w:iCs/>
          <w:szCs w:val="24"/>
          <w:lang w:eastAsia="en-GB"/>
        </w:rPr>
        <w:fldChar w:fldCharType="begin"/>
      </w:r>
      <w:r w:rsidR="009A31FF" w:rsidRPr="00EC0229">
        <w:rPr>
          <w:rFonts w:eastAsia="Times New Roman" w:cs="Times New Roman"/>
          <w:iCs/>
          <w:szCs w:val="24"/>
          <w:lang w:eastAsia="en-GB"/>
        </w:rPr>
        <w:instrText xml:space="preserve"> PAGEREF Fishergate \h </w:instrText>
      </w:r>
      <w:r w:rsidR="009A31FF" w:rsidRPr="00EC0229">
        <w:rPr>
          <w:rFonts w:eastAsia="Times New Roman" w:cs="Times New Roman"/>
          <w:iCs/>
          <w:szCs w:val="24"/>
          <w:lang w:eastAsia="en-GB"/>
        </w:rPr>
      </w:r>
      <w:r w:rsidR="009A31FF" w:rsidRPr="00EC0229">
        <w:rPr>
          <w:rFonts w:eastAsia="Times New Roman" w:cs="Times New Roman"/>
          <w:iCs/>
          <w:szCs w:val="24"/>
          <w:lang w:eastAsia="en-GB"/>
        </w:rPr>
        <w:fldChar w:fldCharType="separate"/>
      </w:r>
      <w:r w:rsidR="0012026B">
        <w:rPr>
          <w:rFonts w:eastAsia="Times New Roman" w:cs="Times New Roman"/>
          <w:iCs/>
          <w:noProof/>
          <w:szCs w:val="24"/>
          <w:lang w:eastAsia="en-GB"/>
        </w:rPr>
        <w:t>186</w:t>
      </w:r>
      <w:r w:rsidR="009A31FF" w:rsidRPr="00EC0229">
        <w:rPr>
          <w:rFonts w:eastAsia="Times New Roman" w:cs="Times New Roman"/>
          <w:iCs/>
          <w:szCs w:val="24"/>
          <w:lang w:eastAsia="en-GB"/>
        </w:rPr>
        <w:fldChar w:fldCharType="end"/>
      </w:r>
      <w:r w:rsidR="00DE673E" w:rsidRPr="00EC0229">
        <w:rPr>
          <w:rFonts w:eastAsia="Times New Roman" w:cs="Times New Roman"/>
          <w:iCs/>
          <w:szCs w:val="24"/>
          <w:lang w:eastAsia="en-GB"/>
        </w:rPr>
        <w:t>),</w:t>
      </w:r>
      <w:r w:rsidRPr="00EC0229">
        <w:rPr>
          <w:rFonts w:eastAsia="Times New Roman" w:cs="Times New Roman"/>
          <w:iCs/>
          <w:szCs w:val="24"/>
          <w:lang w:eastAsia="en-GB"/>
        </w:rPr>
        <w:t xml:space="preserve"> later Coppergate; he concluded ‘In strictly substantivist terms, it is a change from a redistributional system to one of exchange.’</w:t>
      </w:r>
      <w:r w:rsidRPr="00EC0229">
        <w:rPr>
          <w:rStyle w:val="FootnoteReference"/>
          <w:rFonts w:eastAsia="Times New Roman" w:cs="Times New Roman"/>
          <w:szCs w:val="24"/>
          <w:lang w:eastAsia="en-GB"/>
        </w:rPr>
        <w:footnoteReference w:id="1337"/>
      </w:r>
      <w:r w:rsidRPr="00EC0229">
        <w:rPr>
          <w:rFonts w:eastAsia="Times New Roman" w:cs="Times New Roman"/>
          <w:iCs/>
          <w:szCs w:val="24"/>
          <w:lang w:eastAsia="en-GB"/>
        </w:rPr>
        <w:t xml:space="preserve">  But evidence is being shoe-horned to corroborate theory and certainly Skre</w:t>
      </w:r>
      <w:r w:rsidR="00D142DC" w:rsidRPr="00EC0229">
        <w:rPr>
          <w:rFonts w:eastAsia="Times New Roman" w:cs="Times New Roman"/>
          <w:iCs/>
          <w:szCs w:val="24"/>
          <w:lang w:eastAsia="en-GB"/>
        </w:rPr>
        <w:fldChar w:fldCharType="begin"/>
      </w:r>
      <w:r w:rsidR="00D142DC" w:rsidRPr="00EC0229">
        <w:instrText xml:space="preserve"> XE "Skre" </w:instrText>
      </w:r>
      <w:r w:rsidR="00D142DC" w:rsidRPr="00EC0229">
        <w:rPr>
          <w:rFonts w:eastAsia="Times New Roman" w:cs="Times New Roman"/>
          <w:iCs/>
          <w:szCs w:val="24"/>
          <w:lang w:eastAsia="en-GB"/>
        </w:rPr>
        <w:fldChar w:fldCharType="end"/>
      </w:r>
      <w:r w:rsidRPr="00EC0229">
        <w:rPr>
          <w:rFonts w:eastAsia="Times New Roman" w:cs="Times New Roman"/>
          <w:iCs/>
          <w:szCs w:val="24"/>
          <w:lang w:eastAsia="en-GB"/>
        </w:rPr>
        <w:t>’s post-substantivist approach favoured a more site-specific interpretation.</w:t>
      </w:r>
      <w:r w:rsidRPr="00EC0229">
        <w:rPr>
          <w:rStyle w:val="FootnoteReference"/>
          <w:rFonts w:eastAsia="Times New Roman" w:cs="Times New Roman"/>
          <w:szCs w:val="24"/>
          <w:lang w:eastAsia="en-GB"/>
        </w:rPr>
        <w:footnoteReference w:id="1338"/>
      </w:r>
      <w:r w:rsidRPr="00EC0229">
        <w:rPr>
          <w:rFonts w:eastAsia="Times New Roman" w:cs="Times New Roman"/>
          <w:iCs/>
          <w:szCs w:val="24"/>
          <w:lang w:eastAsia="en-GB"/>
        </w:rPr>
        <w:t xml:space="preserve"> </w:t>
      </w:r>
      <w:r w:rsidR="00392447" w:rsidRPr="00EC0229">
        <w:rPr>
          <w:rFonts w:eastAsia="Times New Roman" w:cs="Times New Roman"/>
          <w:iCs/>
          <w:szCs w:val="24"/>
          <w:lang w:eastAsia="en-GB"/>
        </w:rPr>
        <w:t>H</w:t>
      </w:r>
      <w:r w:rsidR="002961D9" w:rsidRPr="00EC0229">
        <w:rPr>
          <w:rFonts w:eastAsia="Times New Roman" w:cs="Times New Roman"/>
          <w:iCs/>
          <w:szCs w:val="24"/>
          <w:lang w:eastAsia="en-GB"/>
        </w:rPr>
        <w:t>i</w:t>
      </w:r>
      <w:r w:rsidR="00C2784A" w:rsidRPr="00EC0229">
        <w:rPr>
          <w:rFonts w:eastAsia="Times New Roman" w:cs="Times New Roman"/>
          <w:iCs/>
          <w:szCs w:val="24"/>
          <w:lang w:eastAsia="en-GB"/>
        </w:rPr>
        <w:t>s</w:t>
      </w:r>
      <w:r w:rsidRPr="00EC0229">
        <w:rPr>
          <w:rFonts w:eastAsia="Times New Roman" w:cs="Times New Roman"/>
          <w:iCs/>
          <w:szCs w:val="24"/>
          <w:lang w:eastAsia="en-GB"/>
        </w:rPr>
        <w:t xml:space="preserve"> </w:t>
      </w:r>
      <w:r w:rsidRPr="00EC0229">
        <w:rPr>
          <w:rFonts w:cs="Times New Roman"/>
          <w:szCs w:val="24"/>
        </w:rPr>
        <w:t xml:space="preserve">synthesis </w:t>
      </w:r>
      <w:r w:rsidR="00392447" w:rsidRPr="00EC0229">
        <w:rPr>
          <w:rFonts w:cs="Times New Roman"/>
          <w:szCs w:val="24"/>
        </w:rPr>
        <w:t>is</w:t>
      </w:r>
      <w:r w:rsidR="00392447" w:rsidRPr="00EC0229">
        <w:rPr>
          <w:rFonts w:eastAsia="Times New Roman" w:cs="Times New Roman"/>
          <w:iCs/>
          <w:szCs w:val="24"/>
          <w:lang w:eastAsia="en-GB"/>
        </w:rPr>
        <w:t xml:space="preserve"> commended: </w:t>
      </w:r>
      <w:r w:rsidR="00392447" w:rsidRPr="00EC0229">
        <w:rPr>
          <w:rFonts w:cs="Times New Roman"/>
          <w:szCs w:val="24"/>
        </w:rPr>
        <w:t xml:space="preserve">substantivism prevailed </w:t>
      </w:r>
      <w:r w:rsidR="002961D9" w:rsidRPr="00EC0229">
        <w:rPr>
          <w:rFonts w:cs="Times New Roman"/>
          <w:szCs w:val="24"/>
        </w:rPr>
        <w:t xml:space="preserve">in </w:t>
      </w:r>
      <w:r w:rsidR="00C2784A" w:rsidRPr="00EC0229">
        <w:rPr>
          <w:rFonts w:cs="Times New Roman"/>
          <w:szCs w:val="24"/>
        </w:rPr>
        <w:t>relatively primitive economies</w:t>
      </w:r>
      <w:r w:rsidR="002961D9" w:rsidRPr="00EC0229">
        <w:rPr>
          <w:rFonts w:cs="Times New Roman"/>
          <w:szCs w:val="24"/>
        </w:rPr>
        <w:t>,</w:t>
      </w:r>
      <w:r w:rsidR="00C2784A" w:rsidRPr="00EC0229">
        <w:rPr>
          <w:rFonts w:cs="Times New Roman"/>
          <w:szCs w:val="24"/>
        </w:rPr>
        <w:t xml:space="preserve"> possibly using commodity </w:t>
      </w:r>
      <w:r w:rsidR="002961D9" w:rsidRPr="00EC0229">
        <w:rPr>
          <w:rFonts w:cs="Times New Roman"/>
          <w:szCs w:val="24"/>
        </w:rPr>
        <w:t>money</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commodity money</w:instrText>
      </w:r>
      <w:r w:rsidR="008960AE" w:rsidRPr="00EC0229">
        <w:instrText xml:space="preserve">" </w:instrText>
      </w:r>
      <w:r w:rsidR="008960AE" w:rsidRPr="00EC0229">
        <w:rPr>
          <w:rFonts w:cs="Times New Roman"/>
          <w:szCs w:val="24"/>
        </w:rPr>
        <w:fldChar w:fldCharType="end"/>
      </w:r>
      <w:r w:rsidR="002961D9" w:rsidRPr="00EC0229">
        <w:rPr>
          <w:rFonts w:cs="Times New Roman"/>
          <w:szCs w:val="24"/>
        </w:rPr>
        <w:t>, with</w:t>
      </w:r>
      <w:r w:rsidR="00C2784A" w:rsidRPr="00EC0229">
        <w:rPr>
          <w:rFonts w:cs="Times New Roman"/>
          <w:szCs w:val="24"/>
        </w:rPr>
        <w:t xml:space="preserve"> </w:t>
      </w:r>
      <w:r w:rsidR="002961D9" w:rsidRPr="00EC0229">
        <w:rPr>
          <w:rFonts w:cs="Times New Roman"/>
          <w:szCs w:val="24"/>
        </w:rPr>
        <w:t>formalism</w:t>
      </w:r>
      <w:r w:rsidR="008960AE" w:rsidRPr="00EC0229">
        <w:rPr>
          <w:rFonts w:cs="Times New Roman"/>
          <w:szCs w:val="24"/>
        </w:rPr>
        <w:fldChar w:fldCharType="begin"/>
      </w:r>
      <w:r w:rsidR="008960AE" w:rsidRPr="00EC0229">
        <w:instrText xml:space="preserve"> XE "</w:instrText>
      </w:r>
      <w:r w:rsidR="008960AE" w:rsidRPr="00EC0229">
        <w:rPr>
          <w:rFonts w:cs="Times New Roman"/>
          <w:szCs w:val="24"/>
        </w:rPr>
        <w:instrText>formalism</w:instrText>
      </w:r>
      <w:r w:rsidR="008960AE" w:rsidRPr="00EC0229">
        <w:instrText xml:space="preserve">" </w:instrText>
      </w:r>
      <w:r w:rsidR="008960AE" w:rsidRPr="00EC0229">
        <w:rPr>
          <w:rFonts w:cs="Times New Roman"/>
          <w:szCs w:val="24"/>
        </w:rPr>
        <w:fldChar w:fldCharType="end"/>
      </w:r>
      <w:r w:rsidR="002961D9" w:rsidRPr="00EC0229">
        <w:rPr>
          <w:rFonts w:cs="Times New Roman"/>
          <w:szCs w:val="24"/>
        </w:rPr>
        <w:t xml:space="preserve"> </w:t>
      </w:r>
      <w:r w:rsidR="00392447" w:rsidRPr="00EC0229">
        <w:rPr>
          <w:rFonts w:cs="Times New Roman"/>
          <w:szCs w:val="24"/>
        </w:rPr>
        <w:t xml:space="preserve"> foremost </w:t>
      </w:r>
      <w:r w:rsidR="002961D9" w:rsidRPr="00EC0229">
        <w:rPr>
          <w:rFonts w:cs="Times New Roman"/>
          <w:szCs w:val="24"/>
        </w:rPr>
        <w:t xml:space="preserve">in </w:t>
      </w:r>
      <w:r w:rsidR="00C2784A" w:rsidRPr="00EC0229">
        <w:rPr>
          <w:rFonts w:cs="Times New Roman"/>
          <w:szCs w:val="24"/>
        </w:rPr>
        <w:t>developing economies generating a surplus</w:t>
      </w:r>
      <w:r w:rsidR="008960AE" w:rsidRPr="00EC0229">
        <w:rPr>
          <w:rFonts w:cs="Times New Roman"/>
          <w:szCs w:val="24"/>
        </w:rPr>
        <w:fldChar w:fldCharType="begin"/>
      </w:r>
      <w:r w:rsidR="008960AE" w:rsidRPr="00EC0229">
        <w:instrText xml:space="preserve"> XE "surplus" </w:instrText>
      </w:r>
      <w:r w:rsidR="008960AE" w:rsidRPr="00EC0229">
        <w:rPr>
          <w:rFonts w:cs="Times New Roman"/>
          <w:szCs w:val="24"/>
        </w:rPr>
        <w:fldChar w:fldCharType="end"/>
      </w:r>
      <w:r w:rsidR="002961D9" w:rsidRPr="00EC0229">
        <w:rPr>
          <w:rFonts w:cs="Times New Roman"/>
          <w:szCs w:val="24"/>
        </w:rPr>
        <w:t>,</w:t>
      </w:r>
      <w:r w:rsidR="00C2784A" w:rsidRPr="00EC0229">
        <w:rPr>
          <w:rFonts w:cs="Times New Roman"/>
          <w:szCs w:val="24"/>
        </w:rPr>
        <w:t xml:space="preserve"> facilitatin</w:t>
      </w:r>
      <w:r w:rsidR="002961D9" w:rsidRPr="00EC0229">
        <w:rPr>
          <w:rFonts w:cs="Times New Roman"/>
          <w:szCs w:val="24"/>
        </w:rPr>
        <w:t xml:space="preserve">g specialization and complex transactions </w:t>
      </w:r>
      <w:r w:rsidR="003A527F" w:rsidRPr="00EC0229">
        <w:rPr>
          <w:rFonts w:cs="Times New Roman"/>
          <w:szCs w:val="24"/>
        </w:rPr>
        <w:t>exercising</w:t>
      </w:r>
      <w:r w:rsidR="002961D9" w:rsidRPr="00EC0229">
        <w:rPr>
          <w:rFonts w:cs="Times New Roman"/>
          <w:szCs w:val="24"/>
        </w:rPr>
        <w:t xml:space="preserve"> the fuller functions of money</w:t>
      </w:r>
      <w:r w:rsidR="008960AE" w:rsidRPr="00EC0229">
        <w:rPr>
          <w:rFonts w:cs="Times New Roman"/>
          <w:szCs w:val="24"/>
        </w:rPr>
        <w:fldChar w:fldCharType="begin"/>
      </w:r>
      <w:r w:rsidR="008960AE" w:rsidRPr="00EC0229">
        <w:instrText xml:space="preserve"> XE "functions of money" </w:instrText>
      </w:r>
      <w:r w:rsidR="008960AE" w:rsidRPr="00EC0229">
        <w:rPr>
          <w:rFonts w:cs="Times New Roman"/>
          <w:szCs w:val="24"/>
        </w:rPr>
        <w:fldChar w:fldCharType="end"/>
      </w:r>
      <w:r w:rsidRPr="00EC0229">
        <w:rPr>
          <w:rFonts w:cs="Times New Roman"/>
          <w:szCs w:val="24"/>
        </w:rPr>
        <w:t>.</w:t>
      </w:r>
      <w:r w:rsidRPr="00EC0229">
        <w:rPr>
          <w:rStyle w:val="FootnoteReference"/>
          <w:rFonts w:cs="Times New Roman"/>
          <w:szCs w:val="24"/>
        </w:rPr>
        <w:footnoteReference w:id="1339"/>
      </w:r>
    </w:p>
    <w:p w14:paraId="4F407864" w14:textId="77777777" w:rsidR="00D01C87" w:rsidRPr="00EC0229" w:rsidRDefault="00D01C87" w:rsidP="007600EA">
      <w:pPr>
        <w:spacing w:line="360" w:lineRule="auto"/>
        <w:rPr>
          <w:szCs w:val="24"/>
        </w:rPr>
      </w:pPr>
      <w:r w:rsidRPr="00EC0229">
        <w:rPr>
          <w:szCs w:val="24"/>
        </w:rPr>
        <w:br w:type="page"/>
      </w:r>
    </w:p>
    <w:p w14:paraId="77576AB8" w14:textId="175DF665" w:rsidR="002A7E00" w:rsidRPr="00EC0229" w:rsidRDefault="007C71C5" w:rsidP="007600EA">
      <w:pPr>
        <w:pStyle w:val="Heading3"/>
        <w:spacing w:line="360" w:lineRule="auto"/>
      </w:pPr>
      <w:bookmarkStart w:id="978" w:name="Futureresearch"/>
      <w:bookmarkStart w:id="979" w:name="_Ref463949409"/>
      <w:bookmarkStart w:id="980" w:name="_Toc468266969"/>
      <w:bookmarkEnd w:id="978"/>
      <w:r>
        <w:lastRenderedPageBreak/>
        <w:t>9.2.2</w:t>
      </w:r>
      <w:r>
        <w:tab/>
      </w:r>
      <w:r w:rsidR="002A7E00" w:rsidRPr="00EC0229">
        <w:t>Future research directions</w:t>
      </w:r>
      <w:bookmarkEnd w:id="979"/>
      <w:bookmarkEnd w:id="980"/>
      <w:r w:rsidR="002A7E00" w:rsidRPr="00EC0229">
        <w:t xml:space="preserve"> </w:t>
      </w:r>
    </w:p>
    <w:p w14:paraId="4E6298D4" w14:textId="665BB944" w:rsidR="00944786" w:rsidRPr="00EC0229" w:rsidRDefault="00476923" w:rsidP="007600EA">
      <w:pPr>
        <w:spacing w:line="360" w:lineRule="auto"/>
        <w:rPr>
          <w:sz w:val="23"/>
          <w:szCs w:val="23"/>
        </w:rPr>
      </w:pPr>
      <w:r w:rsidRPr="00EC0229">
        <w:rPr>
          <w:sz w:val="23"/>
          <w:szCs w:val="23"/>
        </w:rPr>
        <w:t xml:space="preserve">There are </w:t>
      </w:r>
      <w:r w:rsidR="00BF6095">
        <w:rPr>
          <w:sz w:val="23"/>
          <w:szCs w:val="23"/>
        </w:rPr>
        <w:t>several</w:t>
      </w:r>
      <w:r w:rsidRPr="00EC0229">
        <w:rPr>
          <w:sz w:val="23"/>
          <w:szCs w:val="23"/>
        </w:rPr>
        <w:t xml:space="preserve"> areas in which further research would clarify current findings. </w:t>
      </w:r>
      <w:r w:rsidR="00944786" w:rsidRPr="00EC0229">
        <w:rPr>
          <w:sz w:val="23"/>
          <w:szCs w:val="23"/>
        </w:rPr>
        <w:t xml:space="preserve">While the thesis is based on the association of coin and artefact finds, </w:t>
      </w:r>
      <w:r w:rsidR="007F42C3">
        <w:rPr>
          <w:sz w:val="23"/>
          <w:szCs w:val="23"/>
        </w:rPr>
        <w:t>a more</w:t>
      </w:r>
      <w:r w:rsidR="00944786" w:rsidRPr="00EC0229">
        <w:rPr>
          <w:sz w:val="23"/>
          <w:szCs w:val="23"/>
        </w:rPr>
        <w:t xml:space="preserve"> </w:t>
      </w:r>
      <w:r w:rsidR="007F42C3">
        <w:rPr>
          <w:sz w:val="23"/>
          <w:szCs w:val="23"/>
        </w:rPr>
        <w:t>inclusive</w:t>
      </w:r>
      <w:r w:rsidR="007F42C3" w:rsidRPr="00EC0229">
        <w:rPr>
          <w:sz w:val="23"/>
          <w:szCs w:val="23"/>
        </w:rPr>
        <w:t xml:space="preserve"> </w:t>
      </w:r>
      <w:r w:rsidR="00944786" w:rsidRPr="00EC0229">
        <w:rPr>
          <w:sz w:val="23"/>
          <w:szCs w:val="23"/>
        </w:rPr>
        <w:t>approach</w:t>
      </w:r>
      <w:r w:rsidR="007F42C3">
        <w:rPr>
          <w:sz w:val="23"/>
          <w:szCs w:val="23"/>
        </w:rPr>
        <w:t xml:space="preserve">, </w:t>
      </w:r>
      <w:r w:rsidR="00073BB3">
        <w:rPr>
          <w:sz w:val="23"/>
          <w:szCs w:val="23"/>
        </w:rPr>
        <w:t>building on</w:t>
      </w:r>
      <w:r w:rsidR="007F42C3">
        <w:rPr>
          <w:sz w:val="23"/>
          <w:szCs w:val="23"/>
        </w:rPr>
        <w:t xml:space="preserve"> the data here provided,</w:t>
      </w:r>
      <w:r w:rsidR="00944786" w:rsidRPr="00EC0229">
        <w:rPr>
          <w:sz w:val="23"/>
          <w:szCs w:val="23"/>
        </w:rPr>
        <w:t xml:space="preserve"> would include studies of: </w:t>
      </w:r>
    </w:p>
    <w:p w14:paraId="60A77EA4" w14:textId="1AD41EBF" w:rsidR="00944786" w:rsidRPr="00EC0229" w:rsidRDefault="00944786" w:rsidP="00387063">
      <w:pPr>
        <w:pStyle w:val="ListParagraph"/>
        <w:numPr>
          <w:ilvl w:val="0"/>
          <w:numId w:val="14"/>
        </w:numPr>
        <w:spacing w:line="360" w:lineRule="auto"/>
        <w:rPr>
          <w:sz w:val="23"/>
          <w:szCs w:val="23"/>
        </w:rPr>
      </w:pPr>
      <w:r w:rsidRPr="00EC0229">
        <w:rPr>
          <w:sz w:val="23"/>
          <w:szCs w:val="23"/>
        </w:rPr>
        <w:t>T</w:t>
      </w:r>
      <w:r w:rsidR="002A7E00" w:rsidRPr="00EC0229">
        <w:rPr>
          <w:sz w:val="23"/>
          <w:szCs w:val="23"/>
        </w:rPr>
        <w:t xml:space="preserve">he </w:t>
      </w:r>
      <w:r w:rsidR="006270F3" w:rsidRPr="00EC0229">
        <w:rPr>
          <w:sz w:val="23"/>
          <w:szCs w:val="23"/>
        </w:rPr>
        <w:t>metallurgy</w:t>
      </w:r>
      <w:r w:rsidR="002A7E00" w:rsidRPr="00EC0229">
        <w:rPr>
          <w:sz w:val="23"/>
          <w:szCs w:val="23"/>
        </w:rPr>
        <w:t xml:space="preserve"> of stycas</w:t>
      </w:r>
      <w:r w:rsidRPr="00EC0229">
        <w:rPr>
          <w:sz w:val="23"/>
          <w:szCs w:val="23"/>
        </w:rPr>
        <w:t xml:space="preserve"> to</w:t>
      </w:r>
      <w:r w:rsidR="00476923" w:rsidRPr="00EC0229">
        <w:rPr>
          <w:sz w:val="23"/>
          <w:szCs w:val="23"/>
        </w:rPr>
        <w:t xml:space="preserve"> give better definition to significant changes in alloy.</w:t>
      </w:r>
      <w:r w:rsidR="002A7E00" w:rsidRPr="00EC0229">
        <w:rPr>
          <w:sz w:val="23"/>
          <w:szCs w:val="23"/>
        </w:rPr>
        <w:t xml:space="preserve"> </w:t>
      </w:r>
    </w:p>
    <w:p w14:paraId="4654EB02" w14:textId="562A6803" w:rsidR="002A7E00" w:rsidRPr="00EC0229" w:rsidRDefault="002A7E00" w:rsidP="00387063">
      <w:pPr>
        <w:pStyle w:val="ListParagraph"/>
        <w:numPr>
          <w:ilvl w:val="0"/>
          <w:numId w:val="14"/>
        </w:numPr>
        <w:spacing w:line="360" w:lineRule="auto"/>
        <w:rPr>
          <w:sz w:val="23"/>
          <w:szCs w:val="23"/>
        </w:rPr>
      </w:pPr>
      <w:r w:rsidRPr="00EC0229">
        <w:rPr>
          <w:sz w:val="23"/>
          <w:szCs w:val="23"/>
        </w:rPr>
        <w:t xml:space="preserve">The relationship of landholding, tenure and episcopal sees to </w:t>
      </w:r>
      <w:r w:rsidR="003F2041" w:rsidRPr="00EC0229">
        <w:rPr>
          <w:sz w:val="23"/>
          <w:szCs w:val="23"/>
        </w:rPr>
        <w:t>monetiz</w:t>
      </w:r>
      <w:r w:rsidRPr="00EC0229">
        <w:rPr>
          <w:sz w:val="23"/>
          <w:szCs w:val="23"/>
        </w:rPr>
        <w:t>ation</w:t>
      </w:r>
      <w:r w:rsidR="008960AE" w:rsidRPr="00EC0229">
        <w:rPr>
          <w:sz w:val="23"/>
          <w:szCs w:val="23"/>
        </w:rPr>
        <w:fldChar w:fldCharType="begin"/>
      </w:r>
      <w:r w:rsidR="008960AE" w:rsidRPr="00EC0229">
        <w:rPr>
          <w:sz w:val="23"/>
          <w:szCs w:val="23"/>
        </w:rPr>
        <w:instrText xml:space="preserve"> XE "monetization" </w:instrText>
      </w:r>
      <w:r w:rsidR="008960AE" w:rsidRPr="00EC0229">
        <w:rPr>
          <w:sz w:val="23"/>
          <w:szCs w:val="23"/>
        </w:rPr>
        <w:fldChar w:fldCharType="end"/>
      </w:r>
      <w:r w:rsidRPr="00EC0229">
        <w:rPr>
          <w:sz w:val="23"/>
          <w:szCs w:val="23"/>
        </w:rPr>
        <w:t xml:space="preserve"> in Anglian</w:t>
      </w:r>
      <w:r w:rsidR="00D142DC" w:rsidRPr="00EC0229">
        <w:rPr>
          <w:sz w:val="23"/>
          <w:szCs w:val="23"/>
        </w:rPr>
        <w:fldChar w:fldCharType="begin"/>
      </w:r>
      <w:r w:rsidR="00D142DC" w:rsidRPr="00EC0229">
        <w:rPr>
          <w:sz w:val="23"/>
          <w:szCs w:val="23"/>
        </w:rPr>
        <w:instrText xml:space="preserve"> XE "Anglian" </w:instrText>
      </w:r>
      <w:r w:rsidR="00D142DC" w:rsidRPr="00EC0229">
        <w:rPr>
          <w:sz w:val="23"/>
          <w:szCs w:val="23"/>
        </w:rPr>
        <w:fldChar w:fldCharType="end"/>
      </w:r>
      <w:r w:rsidRPr="00EC0229">
        <w:rPr>
          <w:sz w:val="23"/>
          <w:szCs w:val="23"/>
        </w:rPr>
        <w:t xml:space="preserve"> Northumbria</w:t>
      </w:r>
      <w:r w:rsidR="00584C42" w:rsidRPr="00EC0229">
        <w:rPr>
          <w:sz w:val="23"/>
          <w:szCs w:val="23"/>
        </w:rPr>
        <w:fldChar w:fldCharType="begin"/>
      </w:r>
      <w:r w:rsidR="00584C42" w:rsidRPr="00EC0229">
        <w:rPr>
          <w:sz w:val="23"/>
          <w:szCs w:val="23"/>
        </w:rPr>
        <w:instrText xml:space="preserve"> XE "</w:instrText>
      </w:r>
      <w:r w:rsidR="00584C42" w:rsidRPr="00EC0229">
        <w:rPr>
          <w:rFonts w:cs="Times New Roman"/>
          <w:b/>
          <w:color w:val="000000" w:themeColor="text1"/>
          <w:sz w:val="23"/>
          <w:szCs w:val="23"/>
        </w:rPr>
        <w:instrText>Northumbria</w:instrText>
      </w:r>
      <w:r w:rsidR="00584C42" w:rsidRPr="00EC0229">
        <w:rPr>
          <w:sz w:val="23"/>
          <w:szCs w:val="23"/>
        </w:rPr>
        <w:instrText xml:space="preserve">" </w:instrText>
      </w:r>
      <w:r w:rsidR="00584C42" w:rsidRPr="00EC0229">
        <w:rPr>
          <w:sz w:val="23"/>
          <w:szCs w:val="23"/>
        </w:rPr>
        <w:fldChar w:fldCharType="end"/>
      </w:r>
      <w:r w:rsidRPr="00EC0229">
        <w:rPr>
          <w:sz w:val="23"/>
          <w:szCs w:val="23"/>
        </w:rPr>
        <w:t>.</w:t>
      </w:r>
    </w:p>
    <w:p w14:paraId="18E9B791" w14:textId="797F650E" w:rsidR="002A7E00" w:rsidRPr="00EC0229" w:rsidRDefault="002A7E00" w:rsidP="00387063">
      <w:pPr>
        <w:pStyle w:val="ListParagraph"/>
        <w:numPr>
          <w:ilvl w:val="0"/>
          <w:numId w:val="14"/>
        </w:numPr>
        <w:spacing w:after="200" w:line="360" w:lineRule="auto"/>
        <w:rPr>
          <w:sz w:val="23"/>
          <w:szCs w:val="23"/>
        </w:rPr>
      </w:pPr>
      <w:r w:rsidRPr="00EC0229">
        <w:rPr>
          <w:sz w:val="23"/>
          <w:szCs w:val="23"/>
        </w:rPr>
        <w:t>The distribution and frequency of Roman</w:t>
      </w:r>
      <w:r w:rsidR="00D142DC" w:rsidRPr="00EC0229">
        <w:rPr>
          <w:sz w:val="23"/>
          <w:szCs w:val="23"/>
        </w:rPr>
        <w:fldChar w:fldCharType="begin"/>
      </w:r>
      <w:r w:rsidR="00D142DC" w:rsidRPr="00EC0229">
        <w:rPr>
          <w:sz w:val="23"/>
          <w:szCs w:val="23"/>
        </w:rPr>
        <w:instrText xml:space="preserve"> XE "Roman" </w:instrText>
      </w:r>
      <w:r w:rsidR="00D142DC" w:rsidRPr="00EC0229">
        <w:rPr>
          <w:sz w:val="23"/>
          <w:szCs w:val="23"/>
        </w:rPr>
        <w:fldChar w:fldCharType="end"/>
      </w:r>
      <w:r w:rsidRPr="00EC0229">
        <w:rPr>
          <w:sz w:val="23"/>
          <w:szCs w:val="23"/>
        </w:rPr>
        <w:t xml:space="preserve"> coinage in the region</w:t>
      </w:r>
      <w:r w:rsidR="00944786" w:rsidRPr="00EC0229">
        <w:rPr>
          <w:sz w:val="23"/>
          <w:szCs w:val="23"/>
        </w:rPr>
        <w:t xml:space="preserve"> and the </w:t>
      </w:r>
      <w:r w:rsidR="006376B6" w:rsidRPr="00EC0229">
        <w:rPr>
          <w:sz w:val="23"/>
          <w:szCs w:val="23"/>
        </w:rPr>
        <w:t xml:space="preserve">anomalous regional </w:t>
      </w:r>
      <w:r w:rsidR="00944786" w:rsidRPr="00EC0229">
        <w:rPr>
          <w:sz w:val="23"/>
          <w:szCs w:val="23"/>
        </w:rPr>
        <w:t>artefactual correlation.</w:t>
      </w:r>
    </w:p>
    <w:p w14:paraId="3A10D17C" w14:textId="6B1906E3" w:rsidR="002A7E00" w:rsidRPr="00EC0229" w:rsidRDefault="00997B62" w:rsidP="00387063">
      <w:pPr>
        <w:pStyle w:val="ListParagraph"/>
        <w:numPr>
          <w:ilvl w:val="0"/>
          <w:numId w:val="14"/>
        </w:numPr>
        <w:spacing w:after="200" w:line="360" w:lineRule="auto"/>
        <w:rPr>
          <w:sz w:val="23"/>
          <w:szCs w:val="23"/>
        </w:rPr>
      </w:pPr>
      <w:r w:rsidRPr="00EC0229">
        <w:rPr>
          <w:sz w:val="23"/>
          <w:szCs w:val="23"/>
        </w:rPr>
        <w:t>Assessment of bio-archaeology and detecting discard on coin/artefact-rich sites.</w:t>
      </w:r>
    </w:p>
    <w:p w14:paraId="7F4CD601" w14:textId="42A00CBD" w:rsidR="00D01C87" w:rsidRPr="00EC0229" w:rsidRDefault="00E40ADB" w:rsidP="007600EA">
      <w:pPr>
        <w:pStyle w:val="NoSpacing"/>
        <w:spacing w:line="360" w:lineRule="auto"/>
        <w:rPr>
          <w:rFonts w:cs="Times New Roman"/>
          <w:szCs w:val="24"/>
        </w:rPr>
      </w:pPr>
      <w:r w:rsidRPr="00EC0229">
        <w:rPr>
          <w:rFonts w:eastAsia="Times New Roman" w:cs="Times New Roman"/>
          <w:iCs/>
          <w:szCs w:val="24"/>
          <w:lang w:eastAsia="en-GB"/>
        </w:rPr>
        <w:t>Digitizing Pirie’s corpus</w:t>
      </w:r>
      <w:r w:rsidRPr="00EC0229">
        <w:rPr>
          <w:rFonts w:eastAsia="Times New Roman" w:cs="Times New Roman"/>
          <w:i/>
          <w:iCs/>
          <w:szCs w:val="24"/>
          <w:lang w:eastAsia="en-GB"/>
        </w:rPr>
        <w:t xml:space="preserve"> </w:t>
      </w:r>
      <w:r w:rsidRPr="00EC0229">
        <w:rPr>
          <w:rFonts w:eastAsia="Times New Roman" w:cs="Times New Roman"/>
          <w:iCs/>
          <w:szCs w:val="24"/>
          <w:lang w:eastAsia="en-GB"/>
        </w:rPr>
        <w:t>has illuminated a significant facet of early medieval economic history. Hopefully, putting this in the public domain</w:t>
      </w:r>
      <w:r w:rsidR="00997B62" w:rsidRPr="00EC0229">
        <w:rPr>
          <w:rFonts w:eastAsia="Times New Roman" w:cs="Times New Roman"/>
          <w:iCs/>
          <w:szCs w:val="24"/>
          <w:lang w:eastAsia="en-GB"/>
        </w:rPr>
        <w:t>, possibly via EMC,</w:t>
      </w:r>
      <w:r w:rsidRPr="00EC0229">
        <w:rPr>
          <w:rFonts w:eastAsia="Times New Roman" w:cs="Times New Roman"/>
          <w:iCs/>
          <w:szCs w:val="24"/>
          <w:lang w:eastAsia="en-GB"/>
        </w:rPr>
        <w:t xml:space="preserve"> will encourage further research.</w:t>
      </w:r>
    </w:p>
    <w:p w14:paraId="5E51DD6F" w14:textId="77777777" w:rsidR="007E0239" w:rsidRPr="00EC0229" w:rsidRDefault="007E0239" w:rsidP="00140107">
      <w:bookmarkStart w:id="981" w:name="Appendix"/>
      <w:bookmarkEnd w:id="981"/>
    </w:p>
    <w:p w14:paraId="27289DEE" w14:textId="4050FBB1" w:rsidR="007E0239" w:rsidRDefault="007E0239" w:rsidP="007600EA">
      <w:pPr>
        <w:pStyle w:val="NoSpacing"/>
        <w:spacing w:line="360" w:lineRule="auto"/>
        <w:rPr>
          <w:rFonts w:cs="Times New Roman"/>
          <w:szCs w:val="24"/>
        </w:rPr>
      </w:pPr>
    </w:p>
    <w:p w14:paraId="7DD479EF" w14:textId="689E2106" w:rsidR="007F42C3" w:rsidRDefault="007F42C3" w:rsidP="007600EA">
      <w:pPr>
        <w:pStyle w:val="NoSpacing"/>
        <w:spacing w:line="360" w:lineRule="auto"/>
        <w:rPr>
          <w:rFonts w:cs="Times New Roman"/>
          <w:szCs w:val="24"/>
        </w:rPr>
      </w:pPr>
    </w:p>
    <w:p w14:paraId="1565E170" w14:textId="487B7178" w:rsidR="007F42C3" w:rsidRDefault="007F42C3" w:rsidP="007600EA">
      <w:pPr>
        <w:pStyle w:val="NoSpacing"/>
        <w:spacing w:line="360" w:lineRule="auto"/>
        <w:rPr>
          <w:rFonts w:cs="Times New Roman"/>
          <w:szCs w:val="24"/>
        </w:rPr>
      </w:pPr>
    </w:p>
    <w:p w14:paraId="42BCD5C5" w14:textId="11C229B6" w:rsidR="007F42C3" w:rsidRDefault="007F42C3" w:rsidP="007600EA">
      <w:pPr>
        <w:pStyle w:val="NoSpacing"/>
        <w:spacing w:line="360" w:lineRule="auto"/>
        <w:rPr>
          <w:rFonts w:cs="Times New Roman"/>
          <w:szCs w:val="24"/>
        </w:rPr>
      </w:pPr>
    </w:p>
    <w:p w14:paraId="60C6F7C4" w14:textId="51844E09" w:rsidR="007F42C3" w:rsidRDefault="007F42C3" w:rsidP="007600EA">
      <w:pPr>
        <w:pStyle w:val="NoSpacing"/>
        <w:spacing w:line="360" w:lineRule="auto"/>
        <w:rPr>
          <w:rFonts w:cs="Times New Roman"/>
          <w:szCs w:val="24"/>
        </w:rPr>
      </w:pPr>
    </w:p>
    <w:p w14:paraId="5BB29E16" w14:textId="21AB0A8B" w:rsidR="007F42C3" w:rsidRDefault="007F42C3" w:rsidP="007600EA">
      <w:pPr>
        <w:pStyle w:val="NoSpacing"/>
        <w:spacing w:line="360" w:lineRule="auto"/>
        <w:rPr>
          <w:rFonts w:cs="Times New Roman"/>
          <w:szCs w:val="24"/>
        </w:rPr>
      </w:pPr>
    </w:p>
    <w:p w14:paraId="39C03955" w14:textId="77777777" w:rsidR="007F42C3" w:rsidRPr="00EC0229" w:rsidRDefault="007F42C3" w:rsidP="007600EA">
      <w:pPr>
        <w:pStyle w:val="NoSpacing"/>
        <w:spacing w:line="360" w:lineRule="auto"/>
        <w:rPr>
          <w:rFonts w:cs="Times New Roman"/>
          <w:szCs w:val="24"/>
        </w:rPr>
      </w:pPr>
    </w:p>
    <w:p w14:paraId="3B1F0412" w14:textId="77777777" w:rsidR="007E0239" w:rsidRPr="00EC0229" w:rsidRDefault="007E0239" w:rsidP="007600EA">
      <w:pPr>
        <w:pStyle w:val="NoSpacing"/>
        <w:spacing w:line="360" w:lineRule="auto"/>
        <w:jc w:val="center"/>
        <w:rPr>
          <w:rFonts w:cs="Times New Roman"/>
          <w:szCs w:val="24"/>
        </w:rPr>
      </w:pPr>
      <w:r w:rsidRPr="00EC0229">
        <w:rPr>
          <w:rFonts w:cs="Times New Roman"/>
          <w:szCs w:val="24"/>
        </w:rPr>
        <w:t xml:space="preserve">‘I know nothing whatsoever about Dark Age trade, </w:t>
      </w:r>
    </w:p>
    <w:p w14:paraId="0815D636" w14:textId="77777777" w:rsidR="007E0239" w:rsidRPr="00EC0229" w:rsidRDefault="007E0239" w:rsidP="007600EA">
      <w:pPr>
        <w:pStyle w:val="NoSpacing"/>
        <w:spacing w:line="360" w:lineRule="auto"/>
        <w:jc w:val="center"/>
        <w:rPr>
          <w:rFonts w:cs="Times New Roman"/>
          <w:szCs w:val="24"/>
        </w:rPr>
      </w:pPr>
      <w:r w:rsidRPr="00EC0229">
        <w:rPr>
          <w:rFonts w:cs="Times New Roman"/>
          <w:szCs w:val="24"/>
        </w:rPr>
        <w:t>or at any rate no more than befits a gentleman’</w:t>
      </w:r>
    </w:p>
    <w:p w14:paraId="5B75EA0A" w14:textId="77777777" w:rsidR="00026CD5" w:rsidRPr="00EC0229" w:rsidRDefault="007E0239" w:rsidP="007600EA">
      <w:pPr>
        <w:pStyle w:val="NoSpacing"/>
        <w:spacing w:line="360" w:lineRule="auto"/>
        <w:jc w:val="right"/>
        <w:rPr>
          <w:rFonts w:cs="Times New Roman"/>
          <w:sz w:val="20"/>
          <w:szCs w:val="20"/>
        </w:rPr>
      </w:pPr>
      <w:r w:rsidRPr="00EC0229">
        <w:rPr>
          <w:rFonts w:cs="Times New Roman"/>
          <w:sz w:val="20"/>
          <w:szCs w:val="20"/>
        </w:rPr>
        <w:t>Professor Middleton in Wilson</w:t>
      </w:r>
      <w:r w:rsidR="00026CD5" w:rsidRPr="00EC0229">
        <w:rPr>
          <w:rFonts w:cs="Times New Roman"/>
          <w:sz w:val="20"/>
          <w:szCs w:val="20"/>
        </w:rPr>
        <w:t xml:space="preserve">, </w:t>
      </w:r>
    </w:p>
    <w:p w14:paraId="42E101F1" w14:textId="0169D880" w:rsidR="001473BF" w:rsidRPr="00EC0229" w:rsidRDefault="00026CD5" w:rsidP="007600EA">
      <w:pPr>
        <w:pStyle w:val="NoSpacing"/>
        <w:spacing w:line="360" w:lineRule="auto"/>
        <w:jc w:val="right"/>
        <w:rPr>
          <w:rFonts w:cs="Times New Roman"/>
          <w:sz w:val="20"/>
          <w:szCs w:val="20"/>
        </w:rPr>
      </w:pPr>
      <w:r w:rsidRPr="00EC0229">
        <w:rPr>
          <w:i/>
          <w:color w:val="000000" w:themeColor="text1"/>
          <w:sz w:val="20"/>
          <w:szCs w:val="20"/>
        </w:rPr>
        <w:t>Anglo-Saxon Attitudes</w:t>
      </w:r>
      <w:r w:rsidR="007E0239" w:rsidRPr="00EC0229">
        <w:rPr>
          <w:rFonts w:cs="Times New Roman"/>
          <w:sz w:val="20"/>
          <w:szCs w:val="20"/>
        </w:rPr>
        <w:t xml:space="preserve"> (1956, 37)</w:t>
      </w:r>
    </w:p>
    <w:p w14:paraId="39E8AC23" w14:textId="77777777" w:rsidR="001473BF" w:rsidRPr="00EC0229" w:rsidRDefault="001473BF" w:rsidP="007600EA">
      <w:pPr>
        <w:pStyle w:val="NoSpacing"/>
        <w:spacing w:line="360" w:lineRule="auto"/>
        <w:jc w:val="right"/>
        <w:rPr>
          <w:rFonts w:cs="Times New Roman"/>
          <w:sz w:val="20"/>
          <w:szCs w:val="20"/>
        </w:rPr>
      </w:pPr>
    </w:p>
    <w:p w14:paraId="6F3F6D90" w14:textId="77777777" w:rsidR="0068438E" w:rsidRDefault="0068438E">
      <w:pPr>
        <w:spacing w:line="259" w:lineRule="auto"/>
        <w:jc w:val="left"/>
        <w:rPr>
          <w:rFonts w:eastAsiaTheme="majorEastAsia" w:cstheme="majorBidi"/>
          <w:b/>
          <w:sz w:val="32"/>
          <w:szCs w:val="32"/>
        </w:rPr>
      </w:pPr>
      <w:bookmarkStart w:id="982" w:name="References"/>
      <w:bookmarkEnd w:id="982"/>
      <w:r>
        <w:br w:type="page"/>
      </w:r>
    </w:p>
    <w:p w14:paraId="07EC51A8" w14:textId="4223B765" w:rsidR="00B851BD" w:rsidRPr="00EC0229" w:rsidRDefault="00B851BD" w:rsidP="00B851BD">
      <w:pPr>
        <w:pStyle w:val="Heading1"/>
        <w:spacing w:line="276" w:lineRule="auto"/>
      </w:pPr>
      <w:bookmarkStart w:id="983" w:name="_Toc468266970"/>
      <w:r w:rsidRPr="00EC0229">
        <w:lastRenderedPageBreak/>
        <w:t>Abbreviations</w:t>
      </w:r>
      <w:bookmarkEnd w:id="983"/>
      <w:r w:rsidRPr="00EC0229">
        <w:fldChar w:fldCharType="begin"/>
      </w:r>
      <w:r w:rsidRPr="00EC0229">
        <w:instrText xml:space="preserve"> XE "</w:instrText>
      </w:r>
      <w:r w:rsidRPr="00EC0229">
        <w:rPr>
          <w:rStyle w:val="Hyperlink"/>
          <w:noProof/>
          <w:u w:val="none"/>
        </w:rPr>
        <w:instrText>Abbreviations</w:instrText>
      </w:r>
      <w:r w:rsidRPr="00EC0229">
        <w:instrText xml:space="preserve">" </w:instrText>
      </w:r>
      <w:r w:rsidRPr="00EC0229">
        <w:fldChar w:fldCharType="end"/>
      </w:r>
    </w:p>
    <w:p w14:paraId="6286F854" w14:textId="77777777" w:rsidR="005B3AC3" w:rsidRPr="00EC0229" w:rsidRDefault="005B3AC3" w:rsidP="005B3AC3">
      <w:pPr>
        <w:pStyle w:val="NoSpacing"/>
        <w:spacing w:line="276" w:lineRule="auto"/>
      </w:pPr>
      <w:r w:rsidRPr="00EC0229">
        <w:rPr>
          <w:i/>
        </w:rPr>
        <w:t>AA</w:t>
      </w:r>
      <w:r w:rsidRPr="00EC0229">
        <w:tab/>
      </w:r>
      <w:r w:rsidRPr="00EC0229">
        <w:tab/>
      </w:r>
      <w:r w:rsidRPr="00EC0229">
        <w:tab/>
      </w:r>
      <w:r w:rsidRPr="00EC0229">
        <w:rPr>
          <w:i/>
        </w:rPr>
        <w:t>Archaeologia Aeliana</w:t>
      </w:r>
      <w:r w:rsidRPr="00EC0229">
        <w:t>.</w:t>
      </w:r>
    </w:p>
    <w:p w14:paraId="6EF1A3A0" w14:textId="77777777" w:rsidR="005B3AC3" w:rsidRPr="00EC0229" w:rsidRDefault="005B3AC3" w:rsidP="005B3AC3">
      <w:pPr>
        <w:pStyle w:val="NoSpacing"/>
        <w:spacing w:line="276" w:lineRule="auto"/>
        <w:ind w:left="2160" w:hanging="2160"/>
      </w:pPr>
      <w:r w:rsidRPr="00EC0229">
        <w:rPr>
          <w:i/>
        </w:rPr>
        <w:t>AASE</w:t>
      </w:r>
      <w:r w:rsidRPr="00EC0229">
        <w:tab/>
        <w:t xml:space="preserve">D. M. Wilson (ed.), 1976, </w:t>
      </w:r>
      <w:r w:rsidRPr="00EC0229">
        <w:rPr>
          <w:i/>
        </w:rPr>
        <w:t>The Archaeology of 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England</w:t>
      </w:r>
      <w:r w:rsidRPr="00EC0229">
        <w:t xml:space="preserve"> (London: Methuen).</w:t>
      </w:r>
    </w:p>
    <w:p w14:paraId="5350300E" w14:textId="3CFBF428" w:rsidR="006A1D68" w:rsidRPr="00EC0229" w:rsidRDefault="006A1D68" w:rsidP="005B3AC3">
      <w:pPr>
        <w:pStyle w:val="NoSpacing"/>
        <w:spacing w:line="276" w:lineRule="auto"/>
        <w:ind w:left="2160" w:hanging="2160"/>
      </w:pPr>
      <w:r w:rsidRPr="00EC0229">
        <w:t>ADS</w:t>
      </w:r>
      <w:r w:rsidRPr="00EC0229">
        <w:tab/>
      </w:r>
      <w:r w:rsidRPr="00EC0229">
        <w:rPr>
          <w:szCs w:val="24"/>
        </w:rPr>
        <w:t>Archaeology Data Service, Department of Archaeology, University of York</w:t>
      </w:r>
    </w:p>
    <w:p w14:paraId="471F2DA8" w14:textId="4449738A" w:rsidR="005B3AC3" w:rsidRPr="00EC0229" w:rsidRDefault="005B3AC3" w:rsidP="005B3AC3">
      <w:pPr>
        <w:pStyle w:val="NoSpacing"/>
        <w:spacing w:line="276" w:lineRule="auto"/>
        <w:ind w:left="2160" w:hanging="2160"/>
      </w:pPr>
      <w:r w:rsidRPr="00EC0229">
        <w:rPr>
          <w:i/>
        </w:rPr>
        <w:t xml:space="preserve">Archibald </w:t>
      </w:r>
      <w:r w:rsidRPr="00EC0229">
        <w:rPr>
          <w:i/>
          <w:iCs/>
        </w:rPr>
        <w:t>Festschrift</w:t>
      </w:r>
      <w:r w:rsidRPr="00EC0229">
        <w:tab/>
        <w:t xml:space="preserve">B. Cook and G. Williams (eds), 2006, </w:t>
      </w:r>
      <w:r w:rsidRPr="00EC0229">
        <w:rPr>
          <w:i/>
          <w:iCs/>
        </w:rPr>
        <w:t>Coinage</w:t>
      </w:r>
      <w:r w:rsidRPr="00EC0229">
        <w:rPr>
          <w:i/>
          <w:iCs/>
        </w:rPr>
        <w:fldChar w:fldCharType="begin"/>
      </w:r>
      <w:r w:rsidRPr="00EC0229">
        <w:rPr>
          <w:i/>
        </w:rPr>
        <w:instrText xml:space="preserve"> XE "</w:instrText>
      </w:r>
      <w:r w:rsidRPr="00EC0229">
        <w:rPr>
          <w:rFonts w:cs="Times New Roman"/>
          <w:b/>
          <w:i/>
          <w:color w:val="000000" w:themeColor="text1"/>
          <w:sz w:val="56"/>
          <w:szCs w:val="56"/>
        </w:rPr>
        <w:instrText>Coinage</w:instrText>
      </w:r>
      <w:r w:rsidRPr="00EC0229">
        <w:rPr>
          <w:i/>
        </w:rPr>
        <w:instrText xml:space="preserve">" </w:instrText>
      </w:r>
      <w:r w:rsidRPr="00EC0229">
        <w:rPr>
          <w:i/>
          <w:iCs/>
        </w:rPr>
        <w:fldChar w:fldCharType="end"/>
      </w:r>
      <w:r w:rsidRPr="00EC0229">
        <w:rPr>
          <w:i/>
          <w:iCs/>
        </w:rPr>
        <w:t xml:space="preserve"> and History in the North Sea World, </w:t>
      </w:r>
      <w:r w:rsidR="002132F1">
        <w:rPr>
          <w:i/>
          <w:iCs/>
        </w:rPr>
        <w:t>c.</w:t>
      </w:r>
      <w:r w:rsidRPr="00EC0229">
        <w:rPr>
          <w:i/>
          <w:iCs/>
          <w:smallCaps/>
          <w:szCs w:val="24"/>
        </w:rPr>
        <w:t>ad</w:t>
      </w:r>
      <w:r w:rsidRPr="00EC0229">
        <w:rPr>
          <w:i/>
          <w:iCs/>
        </w:rPr>
        <w:t xml:space="preserve"> 500–1250: Essays in Honour of Marion Archibald</w:t>
      </w:r>
      <w:r w:rsidRPr="00EC0229">
        <w:rPr>
          <w:iCs/>
        </w:rPr>
        <w:t xml:space="preserve"> (Leiden: Brill).</w:t>
      </w:r>
    </w:p>
    <w:p w14:paraId="12275BAD" w14:textId="77777777" w:rsidR="005B3AC3" w:rsidRPr="00EC0229" w:rsidRDefault="005B3AC3" w:rsidP="005B3AC3">
      <w:pPr>
        <w:pStyle w:val="NoSpacing"/>
        <w:spacing w:line="276" w:lineRule="auto"/>
      </w:pPr>
      <w:r w:rsidRPr="00EC0229">
        <w:rPr>
          <w:i/>
        </w:rPr>
        <w:t>AJ</w:t>
      </w:r>
      <w:r w:rsidRPr="00EC0229">
        <w:tab/>
      </w:r>
      <w:r w:rsidRPr="00EC0229">
        <w:tab/>
      </w:r>
      <w:r w:rsidRPr="00EC0229">
        <w:tab/>
      </w:r>
      <w:r w:rsidRPr="00EC0229">
        <w:rPr>
          <w:i/>
        </w:rPr>
        <w:t>Archaeological Journal</w:t>
      </w:r>
      <w:r w:rsidRPr="00EC0229">
        <w:t>.</w:t>
      </w:r>
    </w:p>
    <w:p w14:paraId="04C2E3C0" w14:textId="3CFDF266" w:rsidR="005927FB" w:rsidRPr="00EC0229" w:rsidRDefault="005927FB" w:rsidP="005B3AC3">
      <w:pPr>
        <w:pStyle w:val="NoSpacing"/>
        <w:spacing w:line="276" w:lineRule="auto"/>
        <w:ind w:left="2160" w:hanging="2160"/>
        <w:rPr>
          <w:i/>
        </w:rPr>
      </w:pPr>
      <w:r w:rsidRPr="00EC0229">
        <w:t>APC</w:t>
      </w:r>
      <w:r w:rsidRPr="00EC0229">
        <w:tab/>
        <w:t>Archaeological Planning Consultancy.</w:t>
      </w:r>
    </w:p>
    <w:p w14:paraId="0AF4C6EE" w14:textId="5C24A460" w:rsidR="005B3AC3" w:rsidRPr="00EC0229" w:rsidRDefault="005B3AC3" w:rsidP="005B3AC3">
      <w:pPr>
        <w:pStyle w:val="NoSpacing"/>
        <w:spacing w:line="276" w:lineRule="auto"/>
        <w:ind w:left="2160" w:hanging="2160"/>
      </w:pPr>
      <w:r w:rsidRPr="00EC0229">
        <w:rPr>
          <w:i/>
        </w:rPr>
        <w:t>ASC</w:t>
      </w:r>
      <w:r w:rsidRPr="00EC0229">
        <w:tab/>
        <w:t xml:space="preserve">G. N. Garmonsway (trans.), 1953, </w:t>
      </w:r>
      <w:r w:rsidRPr="00EC0229">
        <w:rPr>
          <w:i/>
        </w:rPr>
        <w:t>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Chronicle</w:t>
      </w:r>
      <w:r w:rsidRPr="00EC0229">
        <w:t xml:space="preserve"> (London: Dent &amp; Sons).</w:t>
      </w:r>
    </w:p>
    <w:p w14:paraId="6B804C16" w14:textId="77777777" w:rsidR="005B3AC3" w:rsidRPr="00EC0229" w:rsidRDefault="005B3AC3" w:rsidP="005B3AC3">
      <w:pPr>
        <w:pStyle w:val="NoSpacing"/>
        <w:spacing w:line="276" w:lineRule="auto"/>
      </w:pPr>
      <w:r w:rsidRPr="00EC0229">
        <w:rPr>
          <w:i/>
        </w:rPr>
        <w:t>ASSAH</w:t>
      </w:r>
      <w:r w:rsidRPr="00EC0229">
        <w:tab/>
      </w:r>
      <w:r w:rsidRPr="00EC0229">
        <w:tab/>
      </w:r>
      <w:r w:rsidRPr="00EC0229">
        <w:tab/>
      </w:r>
      <w:r w:rsidRPr="00EC0229">
        <w:rPr>
          <w:i/>
        </w:rPr>
        <w:t>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Studies in Archaeology and History</w:t>
      </w:r>
      <w:r w:rsidRPr="00EC0229">
        <w:t>.</w:t>
      </w:r>
      <w:r w:rsidRPr="00EC0229">
        <w:tab/>
      </w:r>
    </w:p>
    <w:p w14:paraId="33F3C79A" w14:textId="77777777" w:rsidR="005B3AC3" w:rsidRPr="00EC0229" w:rsidRDefault="005B3AC3" w:rsidP="005B3AC3">
      <w:pPr>
        <w:pStyle w:val="NoSpacing"/>
        <w:spacing w:line="276" w:lineRule="auto"/>
        <w:ind w:left="2160" w:hanging="2160"/>
      </w:pPr>
      <w:r w:rsidRPr="00EC0229">
        <w:t>AY</w:t>
      </w:r>
      <w:r w:rsidRPr="00EC0229">
        <w:tab/>
        <w:t>Archaeology of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w:t>
      </w:r>
    </w:p>
    <w:p w14:paraId="2A3D3018" w14:textId="77777777" w:rsidR="005B3AC3" w:rsidRPr="00EC0229" w:rsidRDefault="005B3AC3" w:rsidP="005B3AC3">
      <w:pPr>
        <w:pStyle w:val="NoSpacing"/>
        <w:spacing w:line="276" w:lineRule="auto"/>
      </w:pPr>
      <w:r w:rsidRPr="00EC0229">
        <w:t>BA</w:t>
      </w:r>
      <w:r w:rsidRPr="00EC0229">
        <w:tab/>
      </w:r>
      <w:r w:rsidRPr="00EC0229">
        <w:tab/>
      </w:r>
      <w:r w:rsidRPr="00EC0229">
        <w:tab/>
        <w:t>British Academy.</w:t>
      </w:r>
    </w:p>
    <w:p w14:paraId="086AD7B2" w14:textId="77777777" w:rsidR="005B3AC3" w:rsidRPr="00EC0229" w:rsidRDefault="005B3AC3" w:rsidP="005B3AC3">
      <w:pPr>
        <w:pStyle w:val="NoSpacing"/>
        <w:spacing w:line="276" w:lineRule="auto"/>
      </w:pPr>
      <w:r w:rsidRPr="00EC0229">
        <w:t>BANS</w:t>
      </w:r>
      <w:r w:rsidRPr="00EC0229">
        <w:tab/>
      </w:r>
      <w:r w:rsidRPr="00EC0229">
        <w:tab/>
      </w:r>
      <w:r w:rsidRPr="00EC0229">
        <w:tab/>
        <w:t>British Association of Numismatic Societies.</w:t>
      </w:r>
    </w:p>
    <w:p w14:paraId="05E18C61" w14:textId="77777777" w:rsidR="005B3AC3" w:rsidRPr="00EC0229" w:rsidRDefault="005B3AC3" w:rsidP="005B3AC3">
      <w:pPr>
        <w:pStyle w:val="NoSpacing"/>
        <w:spacing w:line="276" w:lineRule="auto"/>
        <w:ind w:left="2160" w:hanging="2160"/>
      </w:pPr>
      <w:r w:rsidRPr="00EC0229">
        <w:t>BAR128</w:t>
      </w:r>
      <w:r w:rsidRPr="00EC0229">
        <w:tab/>
        <w:t xml:space="preserve">D. Hill and D. M. Metcalf (eds), 1984, </w:t>
      </w:r>
      <w:r w:rsidRPr="00EC0229">
        <w:rPr>
          <w:i/>
          <w:iCs/>
        </w:rPr>
        <w:t>Sceattas in England and on the Continent:</w:t>
      </w:r>
      <w:r w:rsidRPr="00EC0229">
        <w:rPr>
          <w:i/>
        </w:rPr>
        <w:t xml:space="preserve"> The Seventh Oxford Symposium on Coinage</w:t>
      </w:r>
      <w:r w:rsidRPr="00EC0229">
        <w:rPr>
          <w:i/>
        </w:rPr>
        <w:fldChar w:fldCharType="begin"/>
      </w:r>
      <w:r w:rsidRPr="00EC0229">
        <w:rPr>
          <w:i/>
        </w:rPr>
        <w:instrText xml:space="preserve"> XE "</w:instrText>
      </w:r>
      <w:r w:rsidRPr="00EC0229">
        <w:rPr>
          <w:rFonts w:cs="Times New Roman"/>
          <w:b/>
          <w:i/>
          <w:color w:val="000000" w:themeColor="text1"/>
          <w:sz w:val="56"/>
          <w:szCs w:val="56"/>
        </w:rPr>
        <w:instrText>Coinage</w:instrText>
      </w:r>
      <w:r w:rsidRPr="00EC0229">
        <w:rPr>
          <w:i/>
        </w:rPr>
        <w:instrText xml:space="preserve">" </w:instrText>
      </w:r>
      <w:r w:rsidRPr="00EC0229">
        <w:rPr>
          <w:i/>
        </w:rPr>
        <w:fldChar w:fldCharType="end"/>
      </w:r>
      <w:r w:rsidRPr="00EC0229">
        <w:rPr>
          <w:i/>
        </w:rPr>
        <w:t xml:space="preserve"> and Monetary History</w:t>
      </w:r>
      <w:r w:rsidRPr="00EC0229">
        <w:t>, B. A. R. British Series, 128</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 (Oxford: B. A. R.).</w:t>
      </w:r>
    </w:p>
    <w:p w14:paraId="38D30801" w14:textId="77777777" w:rsidR="005B3AC3" w:rsidRPr="00EC0229" w:rsidRDefault="005B3AC3" w:rsidP="005B3AC3">
      <w:pPr>
        <w:pStyle w:val="NoSpacing"/>
        <w:spacing w:line="276" w:lineRule="auto"/>
        <w:ind w:left="2160" w:hanging="2160"/>
      </w:pPr>
      <w:r w:rsidRPr="00EC0229">
        <w:t>BAR180</w:t>
      </w:r>
      <w:r w:rsidRPr="00EC0229">
        <w:tab/>
        <w:t xml:space="preserve">D. M. Metcalf (ed.), 1987, </w:t>
      </w:r>
      <w:r w:rsidRPr="00EC0229">
        <w:rPr>
          <w:i/>
        </w:rPr>
        <w:t>Coinage</w:t>
      </w:r>
      <w:r w:rsidRPr="00EC0229">
        <w:rPr>
          <w:i/>
        </w:rPr>
        <w:fldChar w:fldCharType="begin"/>
      </w:r>
      <w:r w:rsidRPr="00EC0229">
        <w:rPr>
          <w:i/>
        </w:rPr>
        <w:instrText xml:space="preserve"> XE "</w:instrText>
      </w:r>
      <w:r w:rsidRPr="00EC0229">
        <w:rPr>
          <w:rFonts w:cs="Times New Roman"/>
          <w:b/>
          <w:i/>
          <w:color w:val="000000" w:themeColor="text1"/>
          <w:sz w:val="56"/>
          <w:szCs w:val="56"/>
        </w:rPr>
        <w:instrText>Coinage</w:instrText>
      </w:r>
      <w:r w:rsidRPr="00EC0229">
        <w:rPr>
          <w:i/>
        </w:rPr>
        <w:instrText xml:space="preserve">" </w:instrText>
      </w:r>
      <w:r w:rsidRPr="00EC0229">
        <w:rPr>
          <w:i/>
        </w:rPr>
        <w:fldChar w:fldCharType="end"/>
      </w:r>
      <w:r w:rsidRPr="00EC0229">
        <w:rPr>
          <w:i/>
        </w:rPr>
        <w:t xml:space="preserve"> in Ninth-Century Northumbria</w:t>
      </w:r>
      <w:r w:rsidRPr="00EC0229">
        <w:rPr>
          <w:i/>
        </w:rPr>
        <w:fldChar w:fldCharType="begin"/>
      </w:r>
      <w:r w:rsidRPr="00EC0229">
        <w:rPr>
          <w:i/>
        </w:rPr>
        <w:instrText xml:space="preserve"> XE "</w:instrText>
      </w:r>
      <w:r w:rsidRPr="00EC0229">
        <w:rPr>
          <w:rFonts w:cs="Times New Roman"/>
          <w:b/>
          <w:i/>
          <w:color w:val="000000" w:themeColor="text1"/>
          <w:sz w:val="56"/>
          <w:szCs w:val="56"/>
        </w:rPr>
        <w:instrText>Northumbria</w:instrText>
      </w:r>
      <w:r w:rsidRPr="00EC0229">
        <w:rPr>
          <w:i/>
        </w:rPr>
        <w:instrText xml:space="preserve">" </w:instrText>
      </w:r>
      <w:r w:rsidRPr="00EC0229">
        <w:rPr>
          <w:i/>
        </w:rPr>
        <w:fldChar w:fldCharType="end"/>
      </w:r>
      <w:r w:rsidRPr="00EC0229">
        <w:rPr>
          <w:i/>
        </w:rPr>
        <w:t>: The Tenth Oxford Symposium on Coinage and Monetary History</w:t>
      </w:r>
      <w:r w:rsidRPr="00EC0229">
        <w:t>, B. A. R. British Series, 180,</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 xml:space="preserve"> (Oxford: B. A. R.).</w:t>
      </w:r>
    </w:p>
    <w:p w14:paraId="12E6F2FF" w14:textId="77777777" w:rsidR="005B3AC3" w:rsidRPr="00EC0229" w:rsidRDefault="005B3AC3" w:rsidP="005B3AC3">
      <w:pPr>
        <w:pStyle w:val="NoSpacing"/>
        <w:spacing w:line="276" w:lineRule="auto"/>
      </w:pPr>
      <w:r w:rsidRPr="00EC0229">
        <w:t>BM</w:t>
      </w:r>
      <w:r w:rsidRPr="00EC0229">
        <w:tab/>
      </w:r>
      <w:r w:rsidRPr="00EC0229">
        <w:tab/>
      </w:r>
      <w:r w:rsidRPr="00EC0229">
        <w:tab/>
        <w:t>British Museum.</w:t>
      </w:r>
    </w:p>
    <w:p w14:paraId="4104D1F1" w14:textId="77777777" w:rsidR="005B3AC3" w:rsidRPr="00EC0229" w:rsidRDefault="005B3AC3" w:rsidP="005B3AC3">
      <w:pPr>
        <w:pStyle w:val="NoSpacing"/>
        <w:spacing w:line="276" w:lineRule="auto"/>
      </w:pPr>
      <w:r w:rsidRPr="00EC0229">
        <w:t xml:space="preserve">BNS </w:t>
      </w:r>
      <w:r w:rsidRPr="00EC0229">
        <w:tab/>
      </w:r>
      <w:r w:rsidRPr="00EC0229">
        <w:tab/>
      </w:r>
      <w:r w:rsidRPr="00EC0229">
        <w:tab/>
        <w:t>British Numismatic Society.</w:t>
      </w:r>
    </w:p>
    <w:p w14:paraId="70F6D1F4" w14:textId="77777777" w:rsidR="005B3AC3" w:rsidRPr="00EC0229" w:rsidRDefault="005B3AC3" w:rsidP="005B3AC3">
      <w:pPr>
        <w:pStyle w:val="NoSpacing"/>
        <w:spacing w:line="276" w:lineRule="auto"/>
      </w:pPr>
      <w:r w:rsidRPr="00EC0229">
        <w:rPr>
          <w:i/>
        </w:rPr>
        <w:t>BNJ</w:t>
      </w:r>
      <w:r w:rsidRPr="00EC0229">
        <w:tab/>
      </w:r>
      <w:r w:rsidRPr="00EC0229">
        <w:tab/>
      </w:r>
      <w:r w:rsidRPr="00EC0229">
        <w:tab/>
      </w:r>
      <w:r w:rsidRPr="00EC0229">
        <w:rPr>
          <w:i/>
        </w:rPr>
        <w:t>British Numismatic Journal</w:t>
      </w:r>
      <w:r w:rsidRPr="00EC0229">
        <w:t>.</w:t>
      </w:r>
    </w:p>
    <w:p w14:paraId="47E181D0" w14:textId="77777777" w:rsidR="005B3AC3" w:rsidRPr="00EC0229" w:rsidRDefault="005B3AC3" w:rsidP="005B3AC3">
      <w:pPr>
        <w:pStyle w:val="NoSpacing"/>
        <w:spacing w:line="276" w:lineRule="auto"/>
        <w:ind w:left="2160" w:hanging="2160"/>
      </w:pPr>
      <w:r w:rsidRPr="00EC0229">
        <w:t>Bonser archive</w:t>
      </w:r>
      <w:r w:rsidRPr="00EC0229">
        <w:tab/>
        <w:t>The private archive of Michael Bonser, recovered by the author and now at the Fitzwilliam Museum, Cambridge.</w:t>
      </w:r>
    </w:p>
    <w:p w14:paraId="313DF24A" w14:textId="77777777" w:rsidR="005B3AC3" w:rsidRPr="00EC0229" w:rsidRDefault="005B3AC3" w:rsidP="005B3AC3">
      <w:pPr>
        <w:pStyle w:val="NoSpacing"/>
        <w:spacing w:line="276" w:lineRule="auto"/>
        <w:ind w:left="2160" w:hanging="2160"/>
      </w:pPr>
      <w:r w:rsidRPr="00EC0229">
        <w:t>c.</w:t>
      </w:r>
      <w:r w:rsidRPr="00EC0229">
        <w:tab/>
        <w:t>(law) code.</w:t>
      </w:r>
    </w:p>
    <w:p w14:paraId="3084BFAD" w14:textId="77777777" w:rsidR="005B3AC3" w:rsidRPr="00EC0229" w:rsidRDefault="005B3AC3" w:rsidP="005B3AC3">
      <w:pPr>
        <w:pStyle w:val="NoSpacing"/>
        <w:spacing w:line="276" w:lineRule="auto"/>
      </w:pPr>
      <w:r w:rsidRPr="00EC0229">
        <w:rPr>
          <w:i/>
        </w:rPr>
        <w:t>CA</w:t>
      </w:r>
      <w:r w:rsidRPr="00EC0229">
        <w:tab/>
      </w:r>
      <w:r w:rsidRPr="00EC0229">
        <w:tab/>
      </w:r>
      <w:r w:rsidRPr="00EC0229">
        <w:tab/>
      </w:r>
      <w:r w:rsidRPr="00EC0229">
        <w:rPr>
          <w:i/>
        </w:rPr>
        <w:t>Current Archaeology</w:t>
      </w:r>
      <w:r w:rsidRPr="00EC0229">
        <w:t>.</w:t>
      </w:r>
    </w:p>
    <w:p w14:paraId="6FBA0B90" w14:textId="67562894" w:rsidR="005B3AC3" w:rsidRPr="00EC0229" w:rsidRDefault="005B3AC3" w:rsidP="005B3AC3">
      <w:pPr>
        <w:pStyle w:val="NoSpacing"/>
        <w:spacing w:line="276" w:lineRule="auto"/>
        <w:ind w:left="2160" w:hanging="2160"/>
      </w:pPr>
      <w:r w:rsidRPr="00EC0229">
        <w:rPr>
          <w:i/>
        </w:rPr>
        <w:t>CASSS</w:t>
      </w:r>
      <w:r w:rsidRPr="00EC0229">
        <w:tab/>
      </w:r>
      <w:r w:rsidRPr="00EC0229">
        <w:rPr>
          <w:i/>
        </w:rPr>
        <w:t>Corpus of 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Stone Sculpture</w:t>
      </w:r>
      <w:r w:rsidRPr="00EC0229">
        <w:t xml:space="preserve">: </w:t>
      </w:r>
      <w:hyperlink r:id="rId517" w:history="1">
        <w:r w:rsidRPr="00EC0229">
          <w:rPr>
            <w:rStyle w:val="Hyperlink"/>
            <w:u w:val="none"/>
          </w:rPr>
          <w:t>www.ascorpus.ac.uk/</w:t>
        </w:r>
      </w:hyperlink>
      <w:r w:rsidRPr="00EC0229">
        <w:rPr>
          <w:i/>
        </w:rPr>
        <w:t>.</w:t>
      </w:r>
    </w:p>
    <w:p w14:paraId="4F5A8A99" w14:textId="77777777" w:rsidR="005B3AC3" w:rsidRPr="00EC0229" w:rsidRDefault="005B3AC3" w:rsidP="005B3AC3">
      <w:pPr>
        <w:pStyle w:val="NoSpacing"/>
        <w:spacing w:line="276" w:lineRule="auto"/>
      </w:pPr>
      <w:r w:rsidRPr="00EC0229">
        <w:t>CBA</w:t>
      </w:r>
      <w:r w:rsidRPr="00EC0229">
        <w:tab/>
      </w:r>
      <w:r w:rsidRPr="00EC0229">
        <w:tab/>
      </w:r>
      <w:r w:rsidRPr="00EC0229">
        <w:tab/>
        <w:t>Council for British Archaeology.</w:t>
      </w:r>
    </w:p>
    <w:p w14:paraId="5F83F003" w14:textId="6F5FA8AA" w:rsidR="005B3AC3" w:rsidRPr="00EC0229" w:rsidRDefault="005B3AC3" w:rsidP="005B3AC3">
      <w:pPr>
        <w:pStyle w:val="NoSpacing"/>
        <w:spacing w:line="276" w:lineRule="auto"/>
        <w:ind w:left="2160" w:hanging="2160"/>
      </w:pPr>
      <w:r w:rsidRPr="00EC0229">
        <w:rPr>
          <w:rFonts w:eastAsia="Times New Roman"/>
          <w:i/>
          <w:lang w:eastAsia="en-GB"/>
        </w:rPr>
        <w:t>CCH</w:t>
      </w:r>
      <w:r w:rsidRPr="00EC0229">
        <w:rPr>
          <w:rFonts w:eastAsia="Times New Roman"/>
          <w:lang w:eastAsia="en-GB"/>
        </w:rPr>
        <w:t xml:space="preserve"> </w:t>
      </w:r>
      <w:r w:rsidRPr="00EC0229">
        <w:rPr>
          <w:rFonts w:eastAsia="Times New Roman"/>
          <w:lang w:eastAsia="en-GB"/>
        </w:rPr>
        <w:tab/>
        <w:t xml:space="preserve">The Fitzwilliam Museum’s </w:t>
      </w:r>
      <w:r w:rsidRPr="00EC0229">
        <w:rPr>
          <w:i/>
        </w:rPr>
        <w:t xml:space="preserve">Checklist of Coin Hoards from the British Isles, </w:t>
      </w:r>
      <w:r w:rsidR="002132F1">
        <w:rPr>
          <w:i/>
        </w:rPr>
        <w:t>c.</w:t>
      </w:r>
      <w:r w:rsidRPr="00EC0229">
        <w:rPr>
          <w:i/>
        </w:rPr>
        <w:t>450–1180</w:t>
      </w:r>
      <w:r w:rsidRPr="00EC0229">
        <w:t xml:space="preserve">: </w:t>
      </w:r>
      <w:hyperlink r:id="rId518" w:history="1">
        <w:r w:rsidRPr="00EC0229">
          <w:rPr>
            <w:rStyle w:val="Hyperlink"/>
            <w:u w:val="none"/>
          </w:rPr>
          <w:t>http://www-cm.fitzmuseum.cam.ac.uk/dept/coins/projects/hoards/</w:t>
        </w:r>
      </w:hyperlink>
      <w:r w:rsidRPr="00EC0229">
        <w:t>.</w:t>
      </w:r>
    </w:p>
    <w:p w14:paraId="639B9A86" w14:textId="43D683AF" w:rsidR="005B3AC3" w:rsidRPr="00EC0229" w:rsidRDefault="005B3AC3" w:rsidP="005B3AC3">
      <w:pPr>
        <w:pStyle w:val="NoSpacing"/>
        <w:spacing w:line="276" w:lineRule="auto"/>
      </w:pPr>
      <w:r w:rsidRPr="00EC0229">
        <w:t>CCI</w:t>
      </w:r>
      <w:r w:rsidRPr="00EC0229">
        <w:tab/>
      </w:r>
      <w:r w:rsidRPr="00EC0229">
        <w:tab/>
      </w:r>
      <w:r w:rsidRPr="00EC0229">
        <w:tab/>
        <w:t xml:space="preserve">Celtic Coin Index: </w:t>
      </w:r>
      <w:hyperlink r:id="rId519" w:history="1">
        <w:r w:rsidRPr="00EC0229">
          <w:rPr>
            <w:rStyle w:val="Hyperlink"/>
            <w:u w:val="none"/>
          </w:rPr>
          <w:t>www.celticcoins.ca/about.php</w:t>
        </w:r>
      </w:hyperlink>
      <w:r w:rsidRPr="00EC0229">
        <w:t>.</w:t>
      </w:r>
    </w:p>
    <w:p w14:paraId="6383F50C" w14:textId="50E4B4C4" w:rsidR="005B3AC3" w:rsidRPr="00EC0229" w:rsidRDefault="005B3AC3" w:rsidP="005B3AC3">
      <w:pPr>
        <w:pStyle w:val="NoSpacing"/>
        <w:spacing w:line="276" w:lineRule="auto"/>
        <w:ind w:left="2160" w:hanging="2160"/>
      </w:pPr>
      <w:r w:rsidRPr="00EC0229">
        <w:rPr>
          <w:i/>
        </w:rPr>
        <w:t>CKN</w:t>
      </w:r>
      <w:r w:rsidRPr="00EC0229">
        <w:fldChar w:fldCharType="begin"/>
      </w:r>
      <w:r w:rsidRPr="00EC0229">
        <w:instrText xml:space="preserve"> XE "CKN" </w:instrText>
      </w:r>
      <w:r w:rsidRPr="00EC0229">
        <w:fldChar w:fldCharType="end"/>
      </w:r>
      <w:r w:rsidRPr="00EC0229">
        <w:tab/>
        <w:t xml:space="preserve">E. J. E. Pirie, 1996, </w:t>
      </w:r>
      <w:r w:rsidRPr="00EC0229">
        <w:rPr>
          <w:i/>
        </w:rPr>
        <w:t>Coins</w:t>
      </w:r>
      <w:r w:rsidRPr="00EC0229">
        <w:rPr>
          <w:i/>
        </w:rPr>
        <w:fldChar w:fldCharType="begin"/>
      </w:r>
      <w:r w:rsidRPr="00EC0229">
        <w:rPr>
          <w:i/>
        </w:rPr>
        <w:instrText xml:space="preserve"> XE "</w:instrText>
      </w:r>
      <w:r w:rsidRPr="00EC0229">
        <w:rPr>
          <w:rFonts w:cs="Times New Roman"/>
          <w:b/>
          <w:i/>
          <w:color w:val="000000" w:themeColor="text1"/>
          <w:sz w:val="56"/>
          <w:szCs w:val="56"/>
        </w:rPr>
        <w:instrText>Coinage</w:instrText>
      </w:r>
      <w:r w:rsidRPr="00EC0229">
        <w:rPr>
          <w:i/>
        </w:rPr>
        <w:instrText xml:space="preserve">" </w:instrText>
      </w:r>
      <w:r w:rsidRPr="00EC0229">
        <w:rPr>
          <w:i/>
        </w:rPr>
        <w:fldChar w:fldCharType="end"/>
      </w:r>
      <w:r w:rsidRPr="00EC0229">
        <w:rPr>
          <w:i/>
        </w:rPr>
        <w:t xml:space="preserve"> of the Kingdom of Northumbria</w:t>
      </w:r>
      <w:r w:rsidRPr="00EC0229">
        <w:t xml:space="preserve">, </w:t>
      </w:r>
      <w:r w:rsidR="002132F1">
        <w:rPr>
          <w:i/>
        </w:rPr>
        <w:t>c.</w:t>
      </w:r>
      <w:r w:rsidRPr="00EC0229">
        <w:rPr>
          <w:i/>
        </w:rPr>
        <w:t>700–867, in the Yorkshire Collections: The Yorkshire Museum, York, the University of Leeds, the City Museum, Leeds</w:t>
      </w:r>
      <w:r w:rsidRPr="00EC0229">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fldChar w:fldCharType="end"/>
      </w:r>
      <w:r w:rsidRPr="00EC0229">
        <w:t xml:space="preserve"> (Llanfyllin: Galata)</w:t>
      </w:r>
      <w:r w:rsidRPr="00EC0229">
        <w:fldChar w:fldCharType="begin"/>
      </w:r>
      <w:r w:rsidRPr="00EC0229">
        <w:instrText xml:space="preserve"> XE "Pirie" </w:instrText>
      </w:r>
      <w:r w:rsidRPr="00EC0229">
        <w:fldChar w:fldCharType="end"/>
      </w:r>
      <w:r w:rsidRPr="00EC0229">
        <w:t>.</w:t>
      </w:r>
    </w:p>
    <w:p w14:paraId="585CBC8D" w14:textId="63629EF0" w:rsidR="005B3AC3" w:rsidRPr="00EC0229" w:rsidRDefault="005B3AC3" w:rsidP="005B3AC3">
      <w:pPr>
        <w:pStyle w:val="NoSpacing"/>
        <w:spacing w:line="276" w:lineRule="auto"/>
      </w:pPr>
      <w:r w:rsidRPr="00EC0229">
        <w:t>CoM</w:t>
      </w:r>
      <w:r w:rsidRPr="00EC0229">
        <w:tab/>
      </w:r>
      <w:r w:rsidRPr="00EC0229">
        <w:tab/>
      </w:r>
      <w:r w:rsidRPr="00EC0229">
        <w:tab/>
        <w:t xml:space="preserve">Coefficient of </w:t>
      </w:r>
      <w:r w:rsidR="003F2041" w:rsidRPr="00EC0229">
        <w:t>Monetiz</w:t>
      </w:r>
      <w:r w:rsidRPr="00EC0229">
        <w:t>ation.</w:t>
      </w:r>
      <w:r w:rsidRPr="00EC0229">
        <w:fldChar w:fldCharType="begin"/>
      </w:r>
      <w:r w:rsidRPr="00EC0229">
        <w:instrText xml:space="preserve"> XE "</w:instrText>
      </w:r>
      <w:r w:rsidRPr="00EC0229">
        <w:rPr>
          <w:rStyle w:val="Hyperlink"/>
          <w:rFonts w:cs="Times New Roman"/>
          <w:noProof/>
          <w:u w:val="none"/>
        </w:rPr>
        <w:instrText>Monetization</w:instrText>
      </w:r>
      <w:r w:rsidRPr="00EC0229">
        <w:instrText xml:space="preserve">" </w:instrText>
      </w:r>
      <w:r w:rsidRPr="00EC0229">
        <w:fldChar w:fldCharType="end"/>
      </w:r>
    </w:p>
    <w:p w14:paraId="78BA5C57" w14:textId="77777777" w:rsidR="005B3AC3" w:rsidRPr="00EC0229" w:rsidRDefault="005B3AC3" w:rsidP="005B3AC3">
      <w:pPr>
        <w:pStyle w:val="NoSpacing"/>
        <w:spacing w:line="276" w:lineRule="auto"/>
        <w:ind w:left="2160" w:hanging="2160"/>
      </w:pPr>
      <w:r w:rsidRPr="00EC0229">
        <w:t>CR</w:t>
      </w:r>
      <w:r w:rsidRPr="00EC0229">
        <w:tab/>
        <w:t xml:space="preserve">The </w:t>
      </w:r>
      <w:r w:rsidRPr="00EC0229">
        <w:rPr>
          <w:rStyle w:val="HTMLCite"/>
          <w:rFonts w:cs="Times New Roman"/>
          <w:szCs w:val="24"/>
        </w:rPr>
        <w:t>British Numismatic Journal's</w:t>
      </w:r>
      <w:r w:rsidRPr="00EC0229">
        <w:t xml:space="preserve"> ‘Coin Register’. See Abramson</w:t>
      </w:r>
      <w:r w:rsidRPr="00EC0229">
        <w:fldChar w:fldCharType="begin"/>
      </w:r>
      <w:r w:rsidRPr="00EC0229">
        <w:instrText xml:space="preserve"> XE "</w:instrText>
      </w:r>
      <w:r w:rsidRPr="00EC0229">
        <w:rPr>
          <w:rFonts w:cs="Times New Roman"/>
          <w:b/>
          <w:sz w:val="40"/>
          <w:szCs w:val="40"/>
        </w:rPr>
        <w:instrText>Abramson</w:instrText>
      </w:r>
      <w:r w:rsidRPr="00EC0229">
        <w:instrText xml:space="preserve">" </w:instrText>
      </w:r>
      <w:r w:rsidRPr="00EC0229">
        <w:fldChar w:fldCharType="end"/>
      </w:r>
      <w:r w:rsidRPr="00EC0229">
        <w:t xml:space="preserve"> 2011b.</w:t>
      </w:r>
    </w:p>
    <w:p w14:paraId="20755DC2" w14:textId="77777777" w:rsidR="005B3AC3" w:rsidRPr="00EC0229" w:rsidRDefault="005B3AC3" w:rsidP="005B3AC3">
      <w:pPr>
        <w:pStyle w:val="NoSpacing"/>
        <w:spacing w:line="276" w:lineRule="auto"/>
      </w:pPr>
      <w:r w:rsidRPr="00EC0229">
        <w:t>CUP</w:t>
      </w:r>
      <w:r w:rsidRPr="00EC0229">
        <w:tab/>
      </w:r>
      <w:r w:rsidRPr="00EC0229">
        <w:tab/>
      </w:r>
      <w:r w:rsidRPr="00EC0229">
        <w:tab/>
        <w:t>Cambridge University Press.</w:t>
      </w:r>
    </w:p>
    <w:p w14:paraId="519AA189" w14:textId="77777777" w:rsidR="005B3AC3" w:rsidRPr="00EC0229" w:rsidRDefault="005B3AC3" w:rsidP="005B3AC3">
      <w:pPr>
        <w:pStyle w:val="NoSpacing"/>
        <w:spacing w:line="276" w:lineRule="auto"/>
        <w:ind w:left="2160" w:hanging="2160"/>
      </w:pPr>
      <w:r w:rsidRPr="00EC0229">
        <w:rPr>
          <w:i/>
        </w:rPr>
        <w:lastRenderedPageBreak/>
        <w:t>DAN</w:t>
      </w:r>
      <w:r w:rsidRPr="00EC0229">
        <w:tab/>
        <w:t xml:space="preserve">P. Grierson, 1979, </w:t>
      </w:r>
      <w:r w:rsidRPr="00EC0229">
        <w:rPr>
          <w:i/>
        </w:rPr>
        <w:t>Dark Age Numismatics: Selected Studies</w:t>
      </w:r>
      <w:r w:rsidRPr="00EC0229">
        <w:t xml:space="preserve"> (London: Variorum).</w:t>
      </w:r>
    </w:p>
    <w:p w14:paraId="30917391" w14:textId="37BA52EF" w:rsidR="004B34EC" w:rsidRDefault="004B34EC" w:rsidP="004B34EC">
      <w:pPr>
        <w:pStyle w:val="NoSpacing"/>
        <w:spacing w:line="276" w:lineRule="auto"/>
        <w:ind w:left="2160" w:hanging="2160"/>
      </w:pPr>
      <w:r>
        <w:rPr>
          <w:rStyle w:val="dmap"/>
        </w:rPr>
        <w:t>DMAP</w:t>
      </w:r>
      <w:r>
        <w:t xml:space="preserve"> </w:t>
      </w:r>
      <w:r>
        <w:tab/>
        <w:t>Mapping software designed specifically for producing Distribution and Coincidence Maps</w:t>
      </w:r>
      <w:r w:rsidRPr="004B34EC">
        <w:t xml:space="preserve"> </w:t>
      </w:r>
      <w:r>
        <w:t>in Microsoft Windows</w:t>
      </w:r>
      <w:r w:rsidRPr="004B34EC">
        <w:rPr>
          <w:vertAlign w:val="superscript"/>
        </w:rPr>
        <w:t>®</w:t>
      </w:r>
      <w:r>
        <w:t>.</w:t>
      </w:r>
    </w:p>
    <w:p w14:paraId="3433D83E" w14:textId="26C00BCD" w:rsidR="005B3AC3" w:rsidRPr="00EC0229" w:rsidRDefault="005B3AC3" w:rsidP="005B3AC3">
      <w:pPr>
        <w:pStyle w:val="NoSpacing"/>
        <w:spacing w:line="276" w:lineRule="auto"/>
      </w:pPr>
      <w:r w:rsidRPr="00EC0229">
        <w:t xml:space="preserve">DMV </w:t>
      </w:r>
      <w:r w:rsidRPr="00EC0229">
        <w:tab/>
      </w:r>
      <w:r w:rsidRPr="00EC0229">
        <w:tab/>
      </w:r>
      <w:r w:rsidRPr="00EC0229">
        <w:tab/>
        <w:t>Deserted medieval village.</w:t>
      </w:r>
    </w:p>
    <w:p w14:paraId="43FB8356" w14:textId="1786A938" w:rsidR="005B3AC3" w:rsidRPr="00EC0229" w:rsidRDefault="005B3AC3" w:rsidP="005B3AC3">
      <w:pPr>
        <w:pStyle w:val="NoSpacing"/>
        <w:spacing w:line="276" w:lineRule="auto"/>
        <w:ind w:left="2160" w:hanging="2160"/>
      </w:pPr>
      <w:r w:rsidRPr="00EC0229">
        <w:rPr>
          <w:i/>
        </w:rPr>
        <w:t>DNB</w:t>
      </w:r>
      <w:r w:rsidRPr="00EC0229">
        <w:tab/>
        <w:t xml:space="preserve">H. C. G. Matthew and B. Harrison (eds), 2004, </w:t>
      </w:r>
      <w:r w:rsidRPr="00EC0229">
        <w:rPr>
          <w:i/>
        </w:rPr>
        <w:t>Dictionary of National Biography</w:t>
      </w:r>
      <w:r w:rsidRPr="00EC0229">
        <w:t xml:space="preserve">, new edn (Oxford: OUP): </w:t>
      </w:r>
      <w:hyperlink r:id="rId520" w:history="1">
        <w:r w:rsidRPr="00EC0229">
          <w:rPr>
            <w:rStyle w:val="Hyperlink"/>
            <w:u w:val="none"/>
          </w:rPr>
          <w:t>www.oxforddnb.com/</w:t>
        </w:r>
      </w:hyperlink>
      <w:r w:rsidRPr="00EC0229">
        <w:rPr>
          <w:i/>
        </w:rPr>
        <w:t>.</w:t>
      </w:r>
    </w:p>
    <w:p w14:paraId="22EA58A7" w14:textId="77777777" w:rsidR="005B3AC3" w:rsidRPr="00EC0229" w:rsidRDefault="005B3AC3" w:rsidP="005B3AC3">
      <w:pPr>
        <w:pStyle w:val="NoSpacing"/>
        <w:spacing w:line="276" w:lineRule="auto"/>
        <w:ind w:left="2160" w:hanging="2160"/>
      </w:pPr>
      <w:r w:rsidRPr="00EC0229">
        <w:rPr>
          <w:i/>
        </w:rPr>
        <w:t>EH</w:t>
      </w:r>
      <w:r w:rsidRPr="00EC0229">
        <w:tab/>
        <w:t xml:space="preserve">Bede, 1969, </w:t>
      </w:r>
      <w:r w:rsidRPr="00EC0229">
        <w:rPr>
          <w:i/>
          <w:iCs/>
        </w:rPr>
        <w:t>An Ecclesiastical History of the English People</w:t>
      </w:r>
      <w:r w:rsidRPr="00EC0229">
        <w:rPr>
          <w:iCs/>
        </w:rPr>
        <w:t>,</w:t>
      </w:r>
      <w:r w:rsidRPr="00EC0229">
        <w:t xml:space="preserve"> ed. and trans. by B. Colgrave and R. A. B. Mynors (Oxford: Clarendon Press)</w:t>
      </w:r>
      <w:r w:rsidRPr="00EC0229">
        <w:fldChar w:fldCharType="begin"/>
      </w:r>
      <w:r w:rsidRPr="00EC0229">
        <w:instrText xml:space="preserve"> XE "</w:instrText>
      </w:r>
      <w:r w:rsidRPr="00EC0229">
        <w:rPr>
          <w:bCs/>
          <w:sz w:val="20"/>
          <w:szCs w:val="20"/>
        </w:rPr>
        <w:instrText>Bede</w:instrText>
      </w:r>
      <w:r w:rsidRPr="00EC0229">
        <w:instrText xml:space="preserve">" </w:instrText>
      </w:r>
      <w:r w:rsidRPr="00EC0229">
        <w:fldChar w:fldCharType="end"/>
      </w:r>
      <w:r w:rsidRPr="00EC0229">
        <w:t>.</w:t>
      </w:r>
    </w:p>
    <w:p w14:paraId="1357D36A" w14:textId="77777777" w:rsidR="005B3AC3" w:rsidRPr="00EC0229" w:rsidRDefault="005B3AC3" w:rsidP="005B3AC3">
      <w:pPr>
        <w:pStyle w:val="NoSpacing"/>
        <w:spacing w:line="276" w:lineRule="auto"/>
      </w:pPr>
      <w:r w:rsidRPr="00EC0229">
        <w:rPr>
          <w:i/>
        </w:rPr>
        <w:t>EHD</w:t>
      </w:r>
      <w:r w:rsidRPr="00EC0229">
        <w:tab/>
      </w:r>
      <w:r w:rsidRPr="00EC0229">
        <w:tab/>
      </w:r>
      <w:r w:rsidRPr="00EC0229">
        <w:tab/>
      </w:r>
      <w:r w:rsidRPr="00EC0229">
        <w:rPr>
          <w:i/>
        </w:rPr>
        <w:t>English Historical Documents</w:t>
      </w:r>
      <w:r w:rsidRPr="00EC0229">
        <w:t>.</w:t>
      </w:r>
    </w:p>
    <w:p w14:paraId="2B564DB2" w14:textId="77777777" w:rsidR="005B3AC3" w:rsidRPr="00EC0229" w:rsidRDefault="005B3AC3" w:rsidP="005B3AC3">
      <w:pPr>
        <w:pStyle w:val="NoSpacing"/>
        <w:spacing w:line="276" w:lineRule="auto"/>
        <w:ind w:left="2160" w:hanging="2160"/>
      </w:pPr>
      <w:r w:rsidRPr="00EC0229">
        <w:rPr>
          <w:i/>
        </w:rPr>
        <w:t>EcHR</w:t>
      </w:r>
      <w:r w:rsidRPr="00EC0229">
        <w:tab/>
      </w:r>
      <w:r w:rsidRPr="00EC0229">
        <w:rPr>
          <w:i/>
        </w:rPr>
        <w:t>Economic History Review.</w:t>
      </w:r>
    </w:p>
    <w:p w14:paraId="28EF6461" w14:textId="24167840" w:rsidR="005B3AC3" w:rsidRPr="00EC0229" w:rsidRDefault="005B3AC3" w:rsidP="005B3AC3">
      <w:pPr>
        <w:pStyle w:val="NoSpacing"/>
        <w:spacing w:line="276" w:lineRule="auto"/>
        <w:ind w:left="2160" w:hanging="2160"/>
      </w:pPr>
      <w:r w:rsidRPr="00EC0229">
        <w:t>EMC</w:t>
      </w:r>
      <w:r w:rsidRPr="00EC0229">
        <w:fldChar w:fldCharType="begin"/>
      </w:r>
      <w:r w:rsidRPr="00EC0229">
        <w:instrText xml:space="preserve"> XE "EMC" </w:instrText>
      </w:r>
      <w:r w:rsidRPr="00EC0229">
        <w:fldChar w:fldCharType="end"/>
      </w:r>
      <w:r w:rsidRPr="00EC0229">
        <w:tab/>
        <w:t>Corpus of Early Medieval</w:t>
      </w:r>
      <w:r w:rsidRPr="00EC0229">
        <w:fldChar w:fldCharType="begin"/>
      </w:r>
      <w:r w:rsidRPr="00EC0229">
        <w:instrText xml:space="preserve"> XE "Early Medieval" </w:instrText>
      </w:r>
      <w:r w:rsidRPr="00EC0229">
        <w:fldChar w:fldCharType="end"/>
      </w:r>
      <w:r w:rsidRPr="00EC0229">
        <w:t xml:space="preserve"> Coin Finds, a database of single finds of coins minted </w:t>
      </w:r>
      <w:r w:rsidRPr="00EC0229">
        <w:rPr>
          <w:smallCaps/>
          <w:szCs w:val="24"/>
        </w:rPr>
        <w:t>ad</w:t>
      </w:r>
      <w:r w:rsidRPr="00EC0229">
        <w:t xml:space="preserve"> 410–1180 found in the British Isles. Established and maintained by the Fitzwilliam Museum, Cambridge: </w:t>
      </w:r>
      <w:hyperlink r:id="rId521" w:history="1">
        <w:r w:rsidRPr="00EC0229">
          <w:rPr>
            <w:rStyle w:val="Hyperlink"/>
            <w:u w:val="none"/>
          </w:rPr>
          <w:t>http://www-cm.fitzmuseum.cam</w:t>
        </w:r>
      </w:hyperlink>
      <w:r w:rsidRPr="00EC0229">
        <w:t>.ac.uk/dept/coins/projects/hoards/</w:t>
      </w:r>
    </w:p>
    <w:p w14:paraId="02EAB85B" w14:textId="77777777" w:rsidR="005B3AC3" w:rsidRPr="00EC0229" w:rsidRDefault="005B3AC3" w:rsidP="005B3AC3">
      <w:pPr>
        <w:pStyle w:val="NoSpacing"/>
        <w:spacing w:line="276" w:lineRule="auto"/>
        <w:ind w:left="2160" w:hanging="2160"/>
      </w:pPr>
      <w:r w:rsidRPr="00EC0229">
        <w:rPr>
          <w:i/>
        </w:rPr>
        <w:t>EMMH</w:t>
      </w:r>
      <w:r w:rsidRPr="00EC0229">
        <w:tab/>
        <w:t xml:space="preserve">R. Naismith, M. Allen, and E. Screen (eds), 2014, </w:t>
      </w:r>
      <w:r w:rsidRPr="00EC0229">
        <w:rPr>
          <w:bCs/>
          <w:i/>
        </w:rPr>
        <w:t>Early Medieval</w:t>
      </w:r>
      <w:r w:rsidRPr="00EC0229">
        <w:rPr>
          <w:bCs/>
          <w:i/>
        </w:rPr>
        <w:fldChar w:fldCharType="begin"/>
      </w:r>
      <w:r w:rsidRPr="00EC0229">
        <w:rPr>
          <w:i/>
        </w:rPr>
        <w:instrText xml:space="preserve"> XE "Early Medieval" </w:instrText>
      </w:r>
      <w:r w:rsidRPr="00EC0229">
        <w:rPr>
          <w:bCs/>
          <w:i/>
        </w:rPr>
        <w:fldChar w:fldCharType="end"/>
      </w:r>
      <w:r w:rsidRPr="00EC0229">
        <w:rPr>
          <w:bCs/>
          <w:i/>
        </w:rPr>
        <w:t xml:space="preserve"> Monetary History: Studies in Memory of Mark Blackburn</w:t>
      </w:r>
      <w:r w:rsidRPr="00EC0229">
        <w:rPr>
          <w:bCs/>
        </w:rPr>
        <w:t xml:space="preserve"> (Farnham: Ashgate).</w:t>
      </w:r>
    </w:p>
    <w:p w14:paraId="01AF29BE" w14:textId="77777777" w:rsidR="005B3AC3" w:rsidRPr="00EC0229" w:rsidRDefault="005B3AC3" w:rsidP="005B3AC3">
      <w:pPr>
        <w:pStyle w:val="NoSpacing"/>
        <w:spacing w:line="276" w:lineRule="auto"/>
        <w:ind w:left="2160" w:hanging="2160"/>
      </w:pPr>
      <w:r w:rsidRPr="00EC0229">
        <w:rPr>
          <w:i/>
        </w:rPr>
        <w:t>EMN</w:t>
      </w:r>
      <w:r w:rsidRPr="00EC0229">
        <w:tab/>
        <w:t xml:space="preserve">D. Petts and S. Turner (eds), 2011, </w:t>
      </w:r>
      <w:r w:rsidRPr="00EC0229">
        <w:rPr>
          <w:rStyle w:val="searchword"/>
          <w:i/>
        </w:rPr>
        <w:t>Early</w:t>
      </w:r>
      <w:r w:rsidRPr="00EC0229">
        <w:rPr>
          <w:i/>
        </w:rPr>
        <w:t xml:space="preserve"> </w:t>
      </w:r>
      <w:r w:rsidRPr="00EC0229">
        <w:rPr>
          <w:rStyle w:val="searchword"/>
          <w:i/>
        </w:rPr>
        <w:t>Medieval</w:t>
      </w:r>
      <w:r w:rsidRPr="00EC0229">
        <w:rPr>
          <w:i/>
        </w:rPr>
        <w:t xml:space="preserve"> </w:t>
      </w:r>
      <w:r w:rsidRPr="00EC0229">
        <w:rPr>
          <w:rStyle w:val="searchword"/>
          <w:i/>
        </w:rPr>
        <w:t>Northumbria</w:t>
      </w:r>
      <w:r w:rsidRPr="00EC0229">
        <w:rPr>
          <w:rStyle w:val="searchword"/>
          <w:i/>
        </w:rPr>
        <w:fldChar w:fldCharType="begin"/>
      </w:r>
      <w:r w:rsidRPr="00EC0229">
        <w:instrText xml:space="preserve"> XE "</w:instrText>
      </w:r>
      <w:r w:rsidRPr="00EC0229">
        <w:rPr>
          <w:rFonts w:cs="Times New Roman"/>
          <w:b/>
          <w:color w:val="000000" w:themeColor="text1"/>
          <w:sz w:val="56"/>
          <w:szCs w:val="56"/>
        </w:rPr>
        <w:instrText>Northumbria</w:instrText>
      </w:r>
      <w:r w:rsidRPr="00EC0229">
        <w:instrText xml:space="preserve">" </w:instrText>
      </w:r>
      <w:r w:rsidRPr="00EC0229">
        <w:rPr>
          <w:rStyle w:val="searchword"/>
          <w:i/>
        </w:rPr>
        <w:fldChar w:fldCharType="end"/>
      </w:r>
      <w:r w:rsidRPr="00EC0229">
        <w:rPr>
          <w:i/>
        </w:rPr>
        <w:t xml:space="preserve">: Kingdoms and Communities, </w:t>
      </w:r>
      <w:r w:rsidRPr="00EC0229">
        <w:rPr>
          <w:i/>
          <w:iCs/>
          <w:smallCaps/>
          <w:szCs w:val="24"/>
        </w:rPr>
        <w:t>ad</w:t>
      </w:r>
      <w:r w:rsidRPr="00EC0229">
        <w:rPr>
          <w:i/>
        </w:rPr>
        <w:t xml:space="preserve"> 450–1100</w:t>
      </w:r>
      <w:r w:rsidRPr="00EC0229">
        <w:rPr>
          <w:rStyle w:val="searchword"/>
        </w:rPr>
        <w:t xml:space="preserve"> (Turnhout: Brepols).</w:t>
      </w:r>
    </w:p>
    <w:p w14:paraId="37E117B9" w14:textId="77777777" w:rsidR="005B3AC3" w:rsidRPr="00EC0229" w:rsidRDefault="005B3AC3" w:rsidP="005B3AC3">
      <w:pPr>
        <w:pStyle w:val="NoSpacing"/>
        <w:spacing w:line="276" w:lineRule="auto"/>
      </w:pPr>
      <w:r w:rsidRPr="00EC0229">
        <w:t xml:space="preserve">FLO </w:t>
      </w:r>
      <w:r w:rsidRPr="00EC0229">
        <w:tab/>
      </w:r>
      <w:r w:rsidRPr="00EC0229">
        <w:tab/>
      </w:r>
      <w:r w:rsidRPr="00EC0229">
        <w:tab/>
        <w:t>Finds Liaison Officer. See PAS</w:t>
      </w:r>
      <w:r w:rsidRPr="00EC0229">
        <w:fldChar w:fldCharType="begin"/>
      </w:r>
      <w:r w:rsidRPr="00EC0229">
        <w:instrText xml:space="preserve"> XE "PAS" </w:instrText>
      </w:r>
      <w:r w:rsidRPr="00EC0229">
        <w:fldChar w:fldCharType="end"/>
      </w:r>
      <w:r w:rsidRPr="00EC0229">
        <w:t>.</w:t>
      </w:r>
      <w:r w:rsidRPr="00EC0229">
        <w:rPr>
          <w:rStyle w:val="searchword"/>
        </w:rPr>
        <w:t xml:space="preserve"> </w:t>
      </w:r>
    </w:p>
    <w:p w14:paraId="5157D96F" w14:textId="0D0FFDDA" w:rsidR="005B3AC3" w:rsidRPr="00EC0229" w:rsidRDefault="005B3AC3" w:rsidP="005B3AC3">
      <w:pPr>
        <w:pStyle w:val="NoSpacing"/>
        <w:spacing w:line="276" w:lineRule="auto"/>
        <w:ind w:left="2160" w:hanging="2160"/>
      </w:pPr>
      <w:r w:rsidRPr="00EC0229">
        <w:t>HER</w:t>
      </w:r>
      <w:r w:rsidRPr="00EC0229">
        <w:tab/>
        <w:t xml:space="preserve">Historic Environment Records (sometimes referred to as Sites and Monuments Records), which may be held by District or County Councils or Unitary Authorities: </w:t>
      </w:r>
      <w:hyperlink r:id="rId522" w:history="1">
        <w:r w:rsidRPr="00EC0229">
          <w:rPr>
            <w:rStyle w:val="Hyperlink"/>
            <w:rFonts w:cs="Times New Roman"/>
            <w:u w:val="none"/>
          </w:rPr>
          <w:t>www.algao.org.uk</w:t>
        </w:r>
      </w:hyperlink>
      <w:r w:rsidRPr="00EC0229">
        <w:rPr>
          <w:rStyle w:val="Hyperlink"/>
          <w:rFonts w:cs="Times New Roman"/>
          <w:u w:val="none"/>
        </w:rPr>
        <w:t>.</w:t>
      </w:r>
    </w:p>
    <w:p w14:paraId="323D6997" w14:textId="77777777" w:rsidR="005B3AC3" w:rsidRPr="00EC0229" w:rsidRDefault="005B3AC3" w:rsidP="005B3AC3">
      <w:pPr>
        <w:pStyle w:val="NoSpacing"/>
        <w:spacing w:line="276" w:lineRule="auto"/>
      </w:pPr>
      <w:r w:rsidRPr="00EC0229">
        <w:rPr>
          <w:rFonts w:eastAsia="Times New Roman"/>
          <w:i/>
          <w:lang w:eastAsia="en-GB"/>
        </w:rPr>
        <w:t>JBAA</w:t>
      </w:r>
      <w:r w:rsidRPr="00EC0229">
        <w:rPr>
          <w:rFonts w:eastAsia="Times New Roman"/>
          <w:lang w:eastAsia="en-GB"/>
        </w:rPr>
        <w:tab/>
      </w:r>
      <w:r w:rsidRPr="00EC0229">
        <w:rPr>
          <w:rFonts w:eastAsia="Times New Roman"/>
          <w:lang w:eastAsia="en-GB"/>
        </w:rPr>
        <w:tab/>
      </w:r>
      <w:r w:rsidRPr="00EC0229">
        <w:rPr>
          <w:rFonts w:eastAsia="Times New Roman"/>
          <w:lang w:eastAsia="en-GB"/>
        </w:rPr>
        <w:tab/>
      </w:r>
      <w:r w:rsidRPr="00EC0229">
        <w:rPr>
          <w:rFonts w:eastAsia="Times New Roman"/>
          <w:i/>
          <w:lang w:eastAsia="en-GB"/>
        </w:rPr>
        <w:t>Journal of the British Archaeological Association</w:t>
      </w:r>
      <w:r w:rsidRPr="00EC0229">
        <w:rPr>
          <w:rFonts w:eastAsia="Times New Roman"/>
          <w:lang w:eastAsia="en-GB"/>
        </w:rPr>
        <w:t>.</w:t>
      </w:r>
    </w:p>
    <w:p w14:paraId="79089FC4" w14:textId="77777777" w:rsidR="005B3AC3" w:rsidRPr="00EC0229" w:rsidRDefault="005B3AC3" w:rsidP="005B3AC3">
      <w:pPr>
        <w:pStyle w:val="NoSpacing"/>
        <w:spacing w:line="276" w:lineRule="auto"/>
      </w:pPr>
      <w:r w:rsidRPr="00EC0229">
        <w:rPr>
          <w:i/>
        </w:rPr>
        <w:t>JMP</w:t>
      </w:r>
      <w:r w:rsidRPr="00EC0229">
        <w:tab/>
      </w:r>
      <w:r w:rsidRPr="00EC0229">
        <w:tab/>
      </w:r>
      <w:r w:rsidRPr="00EC0229">
        <w:tab/>
      </w:r>
      <w:r w:rsidRPr="00EC0229">
        <w:rPr>
          <w:i/>
          <w:lang w:val="en-US"/>
        </w:rPr>
        <w:t>Jaarboek voor Munt- en Penningkunde</w:t>
      </w:r>
      <w:r w:rsidRPr="00EC0229">
        <w:rPr>
          <w:lang w:val="en-US"/>
        </w:rPr>
        <w:t>.</w:t>
      </w:r>
    </w:p>
    <w:p w14:paraId="5AE62135" w14:textId="77777777" w:rsidR="005B3AC3" w:rsidRPr="00EC0229" w:rsidRDefault="005B3AC3" w:rsidP="005B3AC3">
      <w:pPr>
        <w:pStyle w:val="NoSpacing"/>
        <w:spacing w:line="276" w:lineRule="auto"/>
      </w:pPr>
      <w:r w:rsidRPr="00EC0229">
        <w:t>LCAS</w:t>
      </w:r>
      <w:r w:rsidRPr="00EC0229">
        <w:tab/>
      </w:r>
      <w:r w:rsidRPr="00EC0229">
        <w:tab/>
      </w:r>
      <w:r w:rsidRPr="00EC0229">
        <w:tab/>
      </w:r>
      <w:r w:rsidRPr="00EC0229">
        <w:rPr>
          <w:rStyle w:val="Emphasis"/>
          <w:rFonts w:cs="Times New Roman"/>
          <w:szCs w:val="24"/>
        </w:rPr>
        <w:t>Lancashire</w:t>
      </w:r>
      <w:r w:rsidRPr="00EC0229">
        <w:rPr>
          <w:rStyle w:val="st"/>
          <w:rFonts w:cs="Times New Roman"/>
          <w:i/>
        </w:rPr>
        <w:t xml:space="preserve"> </w:t>
      </w:r>
      <w:r w:rsidRPr="00EC0229">
        <w:rPr>
          <w:rStyle w:val="st"/>
          <w:rFonts w:cs="Times New Roman"/>
        </w:rPr>
        <w:t xml:space="preserve">and Cheshire </w:t>
      </w:r>
      <w:r w:rsidRPr="00EC0229">
        <w:rPr>
          <w:rStyle w:val="Emphasis"/>
          <w:rFonts w:cs="Times New Roman"/>
          <w:szCs w:val="24"/>
        </w:rPr>
        <w:t>Antiquarian Society.</w:t>
      </w:r>
    </w:p>
    <w:p w14:paraId="4994C399" w14:textId="77777777" w:rsidR="005B3AC3" w:rsidRPr="00EC0229" w:rsidRDefault="005B3AC3" w:rsidP="005B3AC3">
      <w:pPr>
        <w:pStyle w:val="NoSpacing"/>
        <w:spacing w:line="276" w:lineRule="auto"/>
      </w:pPr>
      <w:r w:rsidRPr="00EC0229">
        <w:rPr>
          <w:i/>
        </w:rPr>
        <w:t>Med Arch</w:t>
      </w:r>
      <w:r w:rsidRPr="00EC0229">
        <w:tab/>
      </w:r>
      <w:r w:rsidRPr="00EC0229">
        <w:tab/>
      </w:r>
      <w:r w:rsidRPr="00EC0229">
        <w:rPr>
          <w:i/>
        </w:rPr>
        <w:t>Medieval Archaeology</w:t>
      </w:r>
      <w:r w:rsidRPr="00EC0229">
        <w:t>.</w:t>
      </w:r>
    </w:p>
    <w:p w14:paraId="6B209A26" w14:textId="77777777" w:rsidR="005B3AC3" w:rsidRPr="00EC0229" w:rsidRDefault="005B3AC3" w:rsidP="005B3AC3">
      <w:pPr>
        <w:pStyle w:val="NoSpacing"/>
        <w:spacing w:line="276" w:lineRule="auto"/>
        <w:ind w:left="2160" w:hanging="2160"/>
      </w:pPr>
      <w:r w:rsidRPr="00EC0229">
        <w:rPr>
          <w:i/>
        </w:rPr>
        <w:t>MEC</w:t>
      </w:r>
      <w:r w:rsidRPr="00EC0229">
        <w:tab/>
        <w:t xml:space="preserve">P. Grierson and M. A. S. Blackburn, 1986, </w:t>
      </w:r>
      <w:r w:rsidRPr="00EC0229">
        <w:rPr>
          <w:i/>
        </w:rPr>
        <w:t>Medieval English Coinage, Cambridge, I: The Early Middle Ages (5</w:t>
      </w:r>
      <w:r w:rsidRPr="00EC0229">
        <w:rPr>
          <w:i/>
          <w:vertAlign w:val="superscript"/>
        </w:rPr>
        <w:t>th</w:t>
      </w:r>
      <w:r w:rsidRPr="00EC0229">
        <w:rPr>
          <w:i/>
        </w:rPr>
        <w:t>–10</w:t>
      </w:r>
      <w:r w:rsidRPr="00EC0229">
        <w:rPr>
          <w:i/>
          <w:vertAlign w:val="superscript"/>
        </w:rPr>
        <w:t>th</w:t>
      </w:r>
      <w:r w:rsidRPr="00EC0229">
        <w:rPr>
          <w:i/>
        </w:rPr>
        <w:t xml:space="preserve"> Centuries)</w:t>
      </w:r>
      <w:r w:rsidRPr="00EC0229">
        <w:fldChar w:fldCharType="begin"/>
      </w:r>
      <w:r w:rsidRPr="00EC0229">
        <w:instrText xml:space="preserve"> XE "</w:instrText>
      </w:r>
      <w:r w:rsidRPr="00EC0229">
        <w:rPr>
          <w:rFonts w:cs="Times New Roman"/>
          <w:b/>
          <w:color w:val="000000" w:themeColor="text1"/>
          <w:sz w:val="56"/>
          <w:szCs w:val="56"/>
        </w:rPr>
        <w:instrText>Coinage</w:instrText>
      </w:r>
      <w:r w:rsidRPr="00EC0229">
        <w:instrText xml:space="preserve">" </w:instrText>
      </w:r>
      <w:r w:rsidRPr="00EC0229">
        <w:fldChar w:fldCharType="end"/>
      </w:r>
      <w:r w:rsidRPr="00EC0229">
        <w:t xml:space="preserve"> (Cambridge: CUP).</w:t>
      </w:r>
    </w:p>
    <w:p w14:paraId="5CC68E47" w14:textId="262CAEEA" w:rsidR="005B3AC3" w:rsidRPr="00EC0229" w:rsidRDefault="005B3AC3" w:rsidP="005B3AC3">
      <w:pPr>
        <w:pStyle w:val="NoSpacing"/>
        <w:spacing w:line="276" w:lineRule="auto"/>
        <w:ind w:left="2160" w:hanging="2160"/>
      </w:pPr>
      <w:r w:rsidRPr="00EC0229">
        <w:t>N</w:t>
      </w:r>
      <w:r w:rsidRPr="00EC0229">
        <w:tab/>
        <w:t xml:space="preserve">J. J. North, 1994, </w:t>
      </w:r>
      <w:r w:rsidRPr="00EC0229">
        <w:rPr>
          <w:i/>
        </w:rPr>
        <w:t>English Hammered Coinage</w:t>
      </w:r>
      <w:r w:rsidRPr="00EC0229">
        <w:t>, 3</w:t>
      </w:r>
      <w:r w:rsidRPr="00EC0229">
        <w:rPr>
          <w:vertAlign w:val="superscript"/>
        </w:rPr>
        <w:t>rd</w:t>
      </w:r>
      <w:r w:rsidRPr="00EC0229">
        <w:t xml:space="preserve"> ed</w:t>
      </w:r>
      <w:r w:rsidR="00774624" w:rsidRPr="00EC0229">
        <w:t>itio</w:t>
      </w:r>
      <w:r w:rsidRPr="00EC0229">
        <w:t>n</w:t>
      </w:r>
      <w:r w:rsidRPr="00EC0229">
        <w:rPr>
          <w:i/>
        </w:rPr>
        <w:fldChar w:fldCharType="begin"/>
      </w:r>
      <w:r w:rsidRPr="00EC0229">
        <w:instrText xml:space="preserve"> XE "</w:instrText>
      </w:r>
      <w:r w:rsidRPr="00EC0229">
        <w:rPr>
          <w:rFonts w:cs="Times New Roman"/>
          <w:b/>
          <w:color w:val="000000" w:themeColor="text1"/>
          <w:sz w:val="56"/>
          <w:szCs w:val="56"/>
        </w:rPr>
        <w:instrText>Coinage</w:instrText>
      </w:r>
      <w:r w:rsidRPr="00EC0229">
        <w:instrText xml:space="preserve">" </w:instrText>
      </w:r>
      <w:r w:rsidRPr="00EC0229">
        <w:rPr>
          <w:i/>
        </w:rPr>
        <w:fldChar w:fldCharType="end"/>
      </w:r>
      <w:r w:rsidRPr="00EC0229">
        <w:t xml:space="preserve"> (London: Spink).</w:t>
      </w:r>
    </w:p>
    <w:p w14:paraId="484D17FA" w14:textId="77777777" w:rsidR="005B3AC3" w:rsidRPr="00EC0229" w:rsidRDefault="005B3AC3" w:rsidP="005B3AC3">
      <w:pPr>
        <w:pStyle w:val="NoSpacing"/>
        <w:spacing w:line="276" w:lineRule="auto"/>
        <w:ind w:left="2160" w:hanging="2160"/>
      </w:pPr>
      <w:r w:rsidRPr="00EC0229">
        <w:rPr>
          <w:i/>
        </w:rPr>
        <w:t>NC</w:t>
      </w:r>
      <w:r w:rsidRPr="00EC0229">
        <w:tab/>
      </w:r>
      <w:r w:rsidRPr="00EC0229">
        <w:rPr>
          <w:i/>
        </w:rPr>
        <w:t>Numismatic</w:t>
      </w:r>
      <w:r w:rsidRPr="00EC0229">
        <w:t xml:space="preserve"> </w:t>
      </w:r>
      <w:r w:rsidRPr="00EC0229">
        <w:rPr>
          <w:i/>
        </w:rPr>
        <w:t>Chronicle</w:t>
      </w:r>
      <w:r w:rsidRPr="00EC0229">
        <w:t>.</w:t>
      </w:r>
    </w:p>
    <w:p w14:paraId="509DB806" w14:textId="77777777" w:rsidR="005B3AC3" w:rsidRPr="00EC0229" w:rsidRDefault="005B3AC3" w:rsidP="005B3AC3">
      <w:pPr>
        <w:pStyle w:val="NoSpacing"/>
        <w:spacing w:line="276" w:lineRule="auto"/>
        <w:ind w:left="2160" w:hanging="2160"/>
      </w:pPr>
      <w:r w:rsidRPr="00EC0229">
        <w:rPr>
          <w:i/>
        </w:rPr>
        <w:t>NH</w:t>
      </w:r>
      <w:r w:rsidRPr="00EC0229">
        <w:tab/>
      </w:r>
      <w:r w:rsidRPr="00EC0229">
        <w:rPr>
          <w:i/>
        </w:rPr>
        <w:t>Northern</w:t>
      </w:r>
      <w:r w:rsidRPr="00EC0229">
        <w:t xml:space="preserve"> </w:t>
      </w:r>
      <w:r w:rsidRPr="00EC0229">
        <w:rPr>
          <w:i/>
        </w:rPr>
        <w:t>History</w:t>
      </w:r>
      <w:r w:rsidRPr="00EC0229">
        <w:t>.</w:t>
      </w:r>
    </w:p>
    <w:p w14:paraId="4DA98EBA" w14:textId="77777777" w:rsidR="005B3AC3" w:rsidRPr="00EC0229" w:rsidRDefault="005B3AC3" w:rsidP="005B3AC3">
      <w:pPr>
        <w:pStyle w:val="NoSpacing"/>
        <w:spacing w:line="276" w:lineRule="auto"/>
      </w:pPr>
      <w:r w:rsidRPr="00EC0229">
        <w:rPr>
          <w:i/>
        </w:rPr>
        <w:t>OJA</w:t>
      </w:r>
      <w:r w:rsidRPr="00EC0229">
        <w:tab/>
      </w:r>
      <w:r w:rsidRPr="00EC0229">
        <w:tab/>
      </w:r>
      <w:r w:rsidRPr="00EC0229">
        <w:tab/>
      </w:r>
      <w:r w:rsidRPr="00EC0229">
        <w:rPr>
          <w:i/>
        </w:rPr>
        <w:t>Oxford Journal of Archaeology</w:t>
      </w:r>
      <w:r w:rsidRPr="00EC0229">
        <w:t>.</w:t>
      </w:r>
    </w:p>
    <w:p w14:paraId="7CD55985" w14:textId="77777777" w:rsidR="005B3AC3" w:rsidRPr="00EC0229" w:rsidRDefault="005B3AC3" w:rsidP="005B3AC3">
      <w:pPr>
        <w:pStyle w:val="NoSpacing"/>
        <w:spacing w:line="276" w:lineRule="auto"/>
        <w:ind w:left="2160" w:hanging="2160"/>
      </w:pPr>
      <w:r w:rsidRPr="00EC0229">
        <w:t>OUP</w:t>
      </w:r>
      <w:r w:rsidRPr="00EC0229">
        <w:tab/>
        <w:t>Oxford University Press.</w:t>
      </w:r>
    </w:p>
    <w:p w14:paraId="1FD84F5C" w14:textId="77777777" w:rsidR="005B3AC3" w:rsidRPr="00EC0229" w:rsidRDefault="005B3AC3" w:rsidP="005B3AC3">
      <w:pPr>
        <w:pStyle w:val="NoSpacing"/>
        <w:spacing w:line="276" w:lineRule="auto"/>
        <w:ind w:left="2160" w:hanging="2160"/>
      </w:pPr>
      <w:r w:rsidRPr="00EC0229">
        <w:t>PAS</w:t>
      </w:r>
      <w:r w:rsidRPr="00EC0229">
        <w:fldChar w:fldCharType="begin"/>
      </w:r>
      <w:r w:rsidRPr="00EC0229">
        <w:instrText xml:space="preserve"> XE "PAS" </w:instrText>
      </w:r>
      <w:r w:rsidRPr="00EC0229">
        <w:fldChar w:fldCharType="end"/>
      </w:r>
      <w:r w:rsidRPr="00EC0229">
        <w:tab/>
        <w:t xml:space="preserve">Portable Antiquities Scheme. The </w:t>
      </w:r>
      <w:r w:rsidRPr="00EC0229">
        <w:rPr>
          <w:rStyle w:val="Emphasis"/>
          <w:rFonts w:cs="Times New Roman"/>
          <w:szCs w:val="24"/>
        </w:rPr>
        <w:t>Department of Portable Antiquities and Treasure</w:t>
      </w:r>
      <w:r w:rsidRPr="00EC0229">
        <w:t>, within the British Museum, was formalized under the Treasure Act</w:t>
      </w:r>
      <w:r w:rsidRPr="00EC0229">
        <w:fldChar w:fldCharType="begin"/>
      </w:r>
      <w:r w:rsidRPr="00EC0229">
        <w:instrText xml:space="preserve"> XE "</w:instrText>
      </w:r>
      <w:r w:rsidRPr="00EC0229">
        <w:rPr>
          <w:rFonts w:cs="Times New Roman"/>
          <w:szCs w:val="24"/>
          <w:lang w:eastAsia="en-GB"/>
        </w:rPr>
        <w:instrText>Treasure Act</w:instrText>
      </w:r>
      <w:r w:rsidRPr="00EC0229">
        <w:instrText xml:space="preserve">" </w:instrText>
      </w:r>
      <w:r w:rsidRPr="00EC0229">
        <w:fldChar w:fldCharType="end"/>
      </w:r>
      <w:r w:rsidRPr="00EC0229">
        <w:t>, 1996.</w:t>
      </w:r>
    </w:p>
    <w:p w14:paraId="486942A1" w14:textId="398A5C6D" w:rsidR="005B3AC3" w:rsidRPr="00EC0229" w:rsidRDefault="005B3AC3" w:rsidP="005B3AC3">
      <w:pPr>
        <w:pStyle w:val="NoSpacing"/>
        <w:spacing w:line="276" w:lineRule="auto"/>
      </w:pPr>
      <w:r w:rsidRPr="00EC0229">
        <w:rPr>
          <w:i/>
        </w:rPr>
        <w:t>PASE</w:t>
      </w:r>
      <w:r w:rsidRPr="00EC0229">
        <w:tab/>
      </w:r>
      <w:r w:rsidRPr="00EC0229">
        <w:tab/>
      </w:r>
      <w:r w:rsidRPr="00EC0229">
        <w:tab/>
      </w:r>
      <w:r w:rsidRPr="00EC0229">
        <w:rPr>
          <w:i/>
        </w:rPr>
        <w:t>Prosopography of 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England</w:t>
      </w:r>
      <w:r w:rsidRPr="00EC0229">
        <w:t xml:space="preserve">: </w:t>
      </w:r>
      <w:hyperlink r:id="rId523" w:history="1">
        <w:r w:rsidRPr="00EC0229">
          <w:rPr>
            <w:rStyle w:val="Hyperlink"/>
            <w:u w:val="none"/>
          </w:rPr>
          <w:t>www.pase.ac.uk</w:t>
        </w:r>
      </w:hyperlink>
      <w:r w:rsidRPr="00EC0229">
        <w:t>.</w:t>
      </w:r>
    </w:p>
    <w:p w14:paraId="092DFBE6" w14:textId="77777777" w:rsidR="005B3AC3" w:rsidRPr="00EC0229" w:rsidRDefault="005B3AC3" w:rsidP="005B3AC3">
      <w:pPr>
        <w:pStyle w:val="NoSpacing"/>
        <w:spacing w:line="276" w:lineRule="auto"/>
        <w:ind w:left="2160" w:hanging="2160"/>
      </w:pPr>
      <w:r w:rsidRPr="00EC0229">
        <w:t>Pirie</w:t>
      </w:r>
      <w:r w:rsidRPr="00EC0229">
        <w:fldChar w:fldCharType="begin"/>
      </w:r>
      <w:r w:rsidRPr="00EC0229">
        <w:instrText xml:space="preserve"> XE "Pirie" </w:instrText>
      </w:r>
      <w:r w:rsidRPr="00EC0229">
        <w:fldChar w:fldCharType="end"/>
      </w:r>
      <w:r w:rsidRPr="00EC0229">
        <w:t xml:space="preserve"> archive</w:t>
      </w:r>
      <w:r w:rsidRPr="00EC0229">
        <w:tab/>
        <w:t>Material collected from the National Museum of Scotland and the Fitzwilliam Museum, Cambridge, by the author, and now stored at the Leeds Museum Depository Centre.</w:t>
      </w:r>
    </w:p>
    <w:p w14:paraId="44255F20" w14:textId="77777777" w:rsidR="005B3AC3" w:rsidRPr="00EC0229" w:rsidRDefault="005B3AC3" w:rsidP="005B3AC3">
      <w:pPr>
        <w:pStyle w:val="NoSpacing"/>
        <w:spacing w:line="276" w:lineRule="auto"/>
        <w:ind w:left="2160" w:hanging="2160"/>
      </w:pPr>
      <w:r w:rsidRPr="00EC0229">
        <w:lastRenderedPageBreak/>
        <w:t>P&amp;U</w:t>
      </w:r>
      <w:r w:rsidRPr="00EC0229">
        <w:tab/>
        <w:t xml:space="preserve">T. Pestell and K. Ulmschneider, 2003, </w:t>
      </w:r>
      <w:r w:rsidRPr="00EC0229">
        <w:rPr>
          <w:i/>
          <w:iCs/>
        </w:rPr>
        <w:t>Markets</w:t>
      </w:r>
      <w:r w:rsidRPr="00EC0229">
        <w:rPr>
          <w:i/>
          <w:iCs/>
        </w:rPr>
        <w:fldChar w:fldCharType="begin"/>
      </w:r>
      <w:r w:rsidRPr="00EC0229">
        <w:rPr>
          <w:i/>
        </w:rPr>
        <w:instrText xml:space="preserve"> XE "</w:instrText>
      </w:r>
      <w:r w:rsidRPr="00EC0229">
        <w:rPr>
          <w:rStyle w:val="Hyperlink"/>
          <w:rFonts w:cs="Times New Roman"/>
          <w:i/>
          <w:noProof/>
          <w:u w:val="none"/>
        </w:rPr>
        <w:instrText>Markets</w:instrText>
      </w:r>
      <w:r w:rsidRPr="00EC0229">
        <w:rPr>
          <w:i/>
        </w:rPr>
        <w:instrText xml:space="preserve">" </w:instrText>
      </w:r>
      <w:r w:rsidRPr="00EC0229">
        <w:rPr>
          <w:i/>
          <w:iCs/>
        </w:rPr>
        <w:fldChar w:fldCharType="end"/>
      </w:r>
      <w:r w:rsidRPr="00EC0229">
        <w:rPr>
          <w:i/>
          <w:iCs/>
        </w:rPr>
        <w:t xml:space="preserve"> in Early Medieval</w:t>
      </w:r>
      <w:r w:rsidRPr="00EC0229">
        <w:rPr>
          <w:i/>
          <w:iCs/>
        </w:rPr>
        <w:fldChar w:fldCharType="begin"/>
      </w:r>
      <w:r w:rsidRPr="00EC0229">
        <w:rPr>
          <w:i/>
        </w:rPr>
        <w:instrText xml:space="preserve"> XE "Early Medieval" </w:instrText>
      </w:r>
      <w:r w:rsidRPr="00EC0229">
        <w:rPr>
          <w:i/>
          <w:iCs/>
        </w:rPr>
        <w:fldChar w:fldCharType="end"/>
      </w:r>
      <w:r w:rsidRPr="00EC0229">
        <w:rPr>
          <w:i/>
          <w:iCs/>
        </w:rPr>
        <w:t xml:space="preserve"> Europe: Trading and ‘Productive’ Sites, 650</w:t>
      </w:r>
      <w:r w:rsidRPr="00EC0229">
        <w:rPr>
          <w:i/>
          <w:iCs/>
        </w:rPr>
        <w:softHyphen/>
        <w:t>–850</w:t>
      </w:r>
      <w:r w:rsidRPr="00EC0229">
        <w:t xml:space="preserve"> (Macclesfield: Windgather).</w:t>
      </w:r>
    </w:p>
    <w:p w14:paraId="68BF2DC8" w14:textId="77777777" w:rsidR="005B3AC3" w:rsidRPr="00EC0229" w:rsidRDefault="005B3AC3" w:rsidP="005B3AC3">
      <w:pPr>
        <w:pStyle w:val="NoSpacing"/>
        <w:spacing w:line="276" w:lineRule="auto"/>
      </w:pPr>
      <w:r w:rsidRPr="00EC0229">
        <w:rPr>
          <w:i/>
        </w:rPr>
        <w:t>PSAS</w:t>
      </w:r>
      <w:r w:rsidRPr="00EC0229">
        <w:tab/>
      </w:r>
      <w:r w:rsidRPr="00EC0229">
        <w:tab/>
      </w:r>
      <w:r w:rsidRPr="00EC0229">
        <w:tab/>
      </w:r>
      <w:r w:rsidRPr="00EC0229">
        <w:rPr>
          <w:i/>
        </w:rPr>
        <w:t>Proceedings of the Society of Antiquaries in Scotland</w:t>
      </w:r>
      <w:r w:rsidRPr="00EC0229">
        <w:t>.</w:t>
      </w:r>
    </w:p>
    <w:p w14:paraId="094C45B9" w14:textId="77777777" w:rsidR="005B3AC3" w:rsidRPr="00EC0229" w:rsidRDefault="005B3AC3" w:rsidP="005B3AC3">
      <w:pPr>
        <w:pStyle w:val="NoSpacing"/>
        <w:spacing w:line="276" w:lineRule="auto"/>
        <w:ind w:left="2160" w:hanging="2160"/>
      </w:pPr>
      <w:r w:rsidRPr="00EC0229">
        <w:t>R&amp;M</w:t>
      </w:r>
      <w:r w:rsidRPr="00EC0229">
        <w:tab/>
        <w:t>S. E. Rigold and D. M. Metcalf, 1984, ‘A Revised Check-List of English Finds of Sceattas’, in BAR128, pp. 245–68</w:t>
      </w:r>
      <w:r w:rsidRPr="00EC0229">
        <w:fldChar w:fldCharType="begin"/>
      </w:r>
      <w:r w:rsidRPr="00EC0229">
        <w:instrText xml:space="preserve"> XE "</w:instrText>
      </w:r>
      <w:r w:rsidRPr="00EC0229">
        <w:rPr>
          <w:rStyle w:val="Hyperlink"/>
          <w:noProof/>
          <w:u w:val="none"/>
        </w:rPr>
        <w:instrText>Metcalf</w:instrText>
      </w:r>
      <w:r w:rsidRPr="00EC0229">
        <w:instrText xml:space="preserve">" </w:instrText>
      </w:r>
      <w:r w:rsidRPr="00EC0229">
        <w:fldChar w:fldCharType="end"/>
      </w:r>
      <w:r w:rsidRPr="00EC0229">
        <w:t>.</w:t>
      </w:r>
    </w:p>
    <w:p w14:paraId="4E1B8B8B" w14:textId="77777777" w:rsidR="005B3AC3" w:rsidRPr="00EC0229" w:rsidRDefault="005B3AC3" w:rsidP="005B3AC3">
      <w:pPr>
        <w:pStyle w:val="NoSpacing"/>
        <w:spacing w:line="276" w:lineRule="auto"/>
      </w:pPr>
      <w:r w:rsidRPr="00EC0229">
        <w:rPr>
          <w:i/>
        </w:rPr>
        <w:t>RBN</w:t>
      </w:r>
      <w:r w:rsidRPr="00EC0229">
        <w:tab/>
      </w:r>
      <w:r w:rsidRPr="00EC0229">
        <w:tab/>
      </w:r>
      <w:r w:rsidRPr="00EC0229">
        <w:tab/>
      </w:r>
      <w:r w:rsidRPr="00EC0229">
        <w:rPr>
          <w:i/>
        </w:rPr>
        <w:t>Revue belge de numismatique et de sigillographie</w:t>
      </w:r>
      <w:r w:rsidRPr="00EC0229">
        <w:t>.</w:t>
      </w:r>
    </w:p>
    <w:p w14:paraId="11C53C53" w14:textId="77777777" w:rsidR="005B3AC3" w:rsidRPr="00EC0229" w:rsidRDefault="005B3AC3" w:rsidP="005B3AC3">
      <w:pPr>
        <w:pStyle w:val="NoSpacing"/>
        <w:spacing w:line="276" w:lineRule="auto"/>
      </w:pPr>
      <w:r w:rsidRPr="00EC0229">
        <w:t>RCHME</w:t>
      </w:r>
      <w:r w:rsidRPr="00EC0229">
        <w:tab/>
      </w:r>
      <w:r w:rsidRPr="00EC0229">
        <w:tab/>
        <w:t>Royal Commission on Historical Monuments in England.</w:t>
      </w:r>
    </w:p>
    <w:p w14:paraId="56A7F40C" w14:textId="77777777" w:rsidR="005B3AC3" w:rsidRPr="00EC0229" w:rsidRDefault="005B3AC3" w:rsidP="005B3AC3">
      <w:pPr>
        <w:pStyle w:val="NoSpacing"/>
        <w:spacing w:line="276" w:lineRule="auto"/>
      </w:pPr>
      <w:r w:rsidRPr="00EC0229">
        <w:rPr>
          <w:i/>
        </w:rPr>
        <w:t>RN</w:t>
      </w:r>
      <w:r w:rsidRPr="00EC0229">
        <w:tab/>
      </w:r>
      <w:r w:rsidRPr="00EC0229">
        <w:tab/>
      </w:r>
      <w:r w:rsidRPr="00EC0229">
        <w:tab/>
      </w:r>
      <w:r w:rsidRPr="00EC0229">
        <w:rPr>
          <w:i/>
        </w:rPr>
        <w:t>Revue numismatique.</w:t>
      </w:r>
    </w:p>
    <w:p w14:paraId="044A5D89" w14:textId="77777777" w:rsidR="005B3AC3" w:rsidRPr="00EC0229" w:rsidRDefault="005B3AC3" w:rsidP="005B3AC3">
      <w:pPr>
        <w:pStyle w:val="NoSpacing"/>
        <w:spacing w:line="276" w:lineRule="auto"/>
      </w:pPr>
      <w:r w:rsidRPr="00EC0229">
        <w:t>RNS</w:t>
      </w:r>
      <w:r w:rsidRPr="00EC0229">
        <w:tab/>
      </w:r>
      <w:r w:rsidRPr="00EC0229">
        <w:tab/>
      </w:r>
      <w:r w:rsidRPr="00EC0229">
        <w:tab/>
        <w:t>Royal Numismatic Society.</w:t>
      </w:r>
    </w:p>
    <w:p w14:paraId="33F2F6D6" w14:textId="77777777" w:rsidR="005B3AC3" w:rsidRPr="00EC0229" w:rsidRDefault="005B3AC3" w:rsidP="005B3AC3">
      <w:pPr>
        <w:pStyle w:val="NoSpacing"/>
        <w:spacing w:line="276" w:lineRule="auto"/>
        <w:ind w:left="2160" w:hanging="2160"/>
      </w:pPr>
      <w:r w:rsidRPr="00EC0229">
        <w:t>SASH</w:t>
      </w:r>
      <w:r w:rsidRPr="00EC0229">
        <w:tab/>
        <w:t>Studies in Early Anglo-Saxon History.</w:t>
      </w:r>
    </w:p>
    <w:p w14:paraId="0AF42DB6" w14:textId="77777777" w:rsidR="005B3AC3" w:rsidRPr="00EC0229" w:rsidRDefault="005B3AC3" w:rsidP="005B3AC3">
      <w:pPr>
        <w:pStyle w:val="NoSpacing"/>
        <w:spacing w:line="276" w:lineRule="auto"/>
      </w:pPr>
      <w:r w:rsidRPr="00EC0229">
        <w:t>SCBI</w:t>
      </w:r>
      <w:r w:rsidRPr="00EC0229">
        <w:fldChar w:fldCharType="begin"/>
      </w:r>
      <w:r w:rsidRPr="00EC0229">
        <w:instrText xml:space="preserve"> XE "SCBI" </w:instrText>
      </w:r>
      <w:r w:rsidRPr="00EC0229">
        <w:fldChar w:fldCharType="end"/>
      </w:r>
      <w:r w:rsidRPr="00EC0229">
        <w:tab/>
      </w:r>
      <w:r w:rsidRPr="00EC0229">
        <w:tab/>
      </w:r>
      <w:r w:rsidRPr="00EC0229">
        <w:tab/>
        <w:t>Sylloge of the Coins of the British Isles.</w:t>
      </w:r>
    </w:p>
    <w:p w14:paraId="548A5AE9" w14:textId="77777777" w:rsidR="005B3AC3" w:rsidRPr="00EC0229" w:rsidRDefault="005B3AC3" w:rsidP="005B3AC3">
      <w:pPr>
        <w:pStyle w:val="NoSpacing"/>
        <w:spacing w:line="276" w:lineRule="auto"/>
        <w:ind w:left="2160" w:hanging="2160"/>
      </w:pPr>
      <w:r w:rsidRPr="00EC0229">
        <w:rPr>
          <w:i/>
        </w:rPr>
        <w:t>SEMSS</w:t>
      </w:r>
      <w:r w:rsidRPr="00EC0229">
        <w:rPr>
          <w:lang w:eastAsia="en-GB"/>
        </w:rPr>
        <w:t xml:space="preserve"> </w:t>
      </w:r>
      <w:r w:rsidRPr="00EC0229">
        <w:rPr>
          <w:lang w:eastAsia="en-GB"/>
        </w:rPr>
        <w:tab/>
        <w:t xml:space="preserve">J. Graham-Campbell, S. M. Sindbæk, and G. Williams (eds), 2011, </w:t>
      </w:r>
      <w:r w:rsidRPr="00EC0229">
        <w:rPr>
          <w:i/>
        </w:rPr>
        <w:t>Silver</w:t>
      </w:r>
      <w:r w:rsidRPr="00EC0229">
        <w:rPr>
          <w:i/>
        </w:rPr>
        <w:fldChar w:fldCharType="begin"/>
      </w:r>
      <w:r w:rsidRPr="00EC0229">
        <w:instrText xml:space="preserve"> XE "</w:instrText>
      </w:r>
      <w:r w:rsidRPr="00EC0229">
        <w:rPr>
          <w:rStyle w:val="Hyperlink"/>
          <w:rFonts w:cs="Times New Roman"/>
          <w:noProof/>
          <w:u w:val="none"/>
        </w:rPr>
        <w:instrText>Silver</w:instrText>
      </w:r>
      <w:r w:rsidRPr="00EC0229">
        <w:instrText xml:space="preserve">" </w:instrText>
      </w:r>
      <w:r w:rsidRPr="00EC0229">
        <w:rPr>
          <w:i/>
        </w:rPr>
        <w:fldChar w:fldCharType="end"/>
      </w:r>
      <w:r w:rsidRPr="00EC0229">
        <w:rPr>
          <w:i/>
        </w:rPr>
        <w:t xml:space="preserve"> Economies, Monetisation and Society in Scandinavia,</w:t>
      </w:r>
      <w:r w:rsidRPr="00EC0229">
        <w:rPr>
          <w:i/>
        </w:rPr>
        <w:fldChar w:fldCharType="begin"/>
      </w:r>
      <w:r w:rsidRPr="00EC0229">
        <w:instrText xml:space="preserve"> XE "</w:instrText>
      </w:r>
      <w:r w:rsidRPr="00EC0229">
        <w:rPr>
          <w:rStyle w:val="Hyperlink"/>
          <w:noProof/>
          <w:u w:val="none"/>
        </w:rPr>
        <w:instrText>Scandinavia</w:instrText>
      </w:r>
      <w:r w:rsidRPr="00EC0229">
        <w:instrText xml:space="preserve">" </w:instrText>
      </w:r>
      <w:r w:rsidRPr="00EC0229">
        <w:rPr>
          <w:i/>
        </w:rPr>
        <w:fldChar w:fldCharType="end"/>
      </w:r>
      <w:r w:rsidRPr="00EC0229">
        <w:rPr>
          <w:i/>
        </w:rPr>
        <w:t xml:space="preserve"> </w:t>
      </w:r>
      <w:r w:rsidRPr="00EC0229">
        <w:rPr>
          <w:i/>
          <w:iCs/>
          <w:smallCaps/>
          <w:szCs w:val="24"/>
        </w:rPr>
        <w:t>ad</w:t>
      </w:r>
      <w:r w:rsidRPr="00EC0229">
        <w:rPr>
          <w:i/>
        </w:rPr>
        <w:t xml:space="preserve"> 800–1000</w:t>
      </w:r>
      <w:r w:rsidRPr="00EC0229">
        <w:t xml:space="preserve"> (Aarhus: Aarhus Universitetsforlag).</w:t>
      </w:r>
    </w:p>
    <w:p w14:paraId="5ACE7489" w14:textId="77777777" w:rsidR="005B3AC3" w:rsidRPr="00EC0229" w:rsidRDefault="005B3AC3" w:rsidP="005B3AC3">
      <w:pPr>
        <w:pStyle w:val="NoSpacing"/>
        <w:spacing w:line="276" w:lineRule="auto"/>
        <w:ind w:left="2160" w:hanging="2160"/>
      </w:pPr>
      <w:r w:rsidRPr="00EC0229">
        <w:rPr>
          <w:i/>
        </w:rPr>
        <w:t>SEVA</w:t>
      </w:r>
      <w:r w:rsidRPr="00EC0229">
        <w:tab/>
        <w:t xml:space="preserve">J. Graham-Campbell and G. Williams (eds), 2007, </w:t>
      </w:r>
      <w:r w:rsidRPr="00EC0229">
        <w:rPr>
          <w:i/>
        </w:rPr>
        <w:t>Silver</w:t>
      </w:r>
      <w:r w:rsidRPr="00EC0229">
        <w:rPr>
          <w:i/>
        </w:rPr>
        <w:fldChar w:fldCharType="begin"/>
      </w:r>
      <w:r w:rsidRPr="00EC0229">
        <w:rPr>
          <w:i/>
        </w:rPr>
        <w:instrText xml:space="preserve"> XE "</w:instrText>
      </w:r>
      <w:r w:rsidRPr="00EC0229">
        <w:rPr>
          <w:rStyle w:val="Hyperlink"/>
          <w:rFonts w:cs="Times New Roman"/>
          <w:i/>
          <w:noProof/>
          <w:u w:val="none"/>
        </w:rPr>
        <w:instrText>Silver</w:instrText>
      </w:r>
      <w:r w:rsidRPr="00EC0229">
        <w:rPr>
          <w:i/>
        </w:rPr>
        <w:instrText xml:space="preserve">" </w:instrText>
      </w:r>
      <w:r w:rsidRPr="00EC0229">
        <w:rPr>
          <w:i/>
        </w:rPr>
        <w:fldChar w:fldCharType="end"/>
      </w:r>
      <w:r w:rsidRPr="00EC0229">
        <w:rPr>
          <w:i/>
        </w:rPr>
        <w:t xml:space="preserve"> Economy in the Viking</w:t>
      </w:r>
      <w:r w:rsidRPr="00EC0229">
        <w:rPr>
          <w:i/>
        </w:rPr>
        <w:fldChar w:fldCharType="begin"/>
      </w:r>
      <w:r w:rsidRPr="00EC0229">
        <w:rPr>
          <w:i/>
        </w:rPr>
        <w:instrText xml:space="preserve"> XE "</w:instrText>
      </w:r>
      <w:r w:rsidRPr="00EC0229">
        <w:rPr>
          <w:rStyle w:val="Hyperlink"/>
          <w:i/>
          <w:noProof/>
          <w:u w:val="none"/>
        </w:rPr>
        <w:instrText>Viking</w:instrText>
      </w:r>
      <w:r w:rsidRPr="00EC0229">
        <w:rPr>
          <w:i/>
        </w:rPr>
        <w:instrText xml:space="preserve">" </w:instrText>
      </w:r>
      <w:r w:rsidRPr="00EC0229">
        <w:rPr>
          <w:i/>
        </w:rPr>
        <w:fldChar w:fldCharType="end"/>
      </w:r>
      <w:r w:rsidRPr="00EC0229">
        <w:rPr>
          <w:i/>
        </w:rPr>
        <w:t xml:space="preserve"> Age</w:t>
      </w:r>
      <w:r w:rsidRPr="00EC0229">
        <w:t xml:space="preserve"> (Walnut Creek: Left Coast Press).</w:t>
      </w:r>
    </w:p>
    <w:p w14:paraId="3D598815" w14:textId="77777777" w:rsidR="005B3AC3" w:rsidRPr="00EC0229" w:rsidRDefault="005B3AC3" w:rsidP="005B3AC3">
      <w:pPr>
        <w:pStyle w:val="NoSpacing"/>
        <w:spacing w:line="276" w:lineRule="auto"/>
      </w:pPr>
      <w:r w:rsidRPr="00EC0229">
        <w:t>SFB</w:t>
      </w:r>
      <w:r w:rsidRPr="00EC0229">
        <w:tab/>
      </w:r>
      <w:r w:rsidRPr="00EC0229">
        <w:tab/>
      </w:r>
      <w:r w:rsidRPr="00EC0229">
        <w:tab/>
        <w:t xml:space="preserve">Sunken-featured building or </w:t>
      </w:r>
      <w:r w:rsidRPr="00EC0229">
        <w:rPr>
          <w:i/>
        </w:rPr>
        <w:t>Gr</w:t>
      </w:r>
      <w:r w:rsidRPr="00EC0229">
        <w:rPr>
          <w:rFonts w:cs="Times New Roman"/>
          <w:i/>
        </w:rPr>
        <w:t>ü</w:t>
      </w:r>
      <w:r w:rsidRPr="00EC0229">
        <w:rPr>
          <w:i/>
        </w:rPr>
        <w:t>benhaus</w:t>
      </w:r>
      <w:r w:rsidRPr="00EC0229">
        <w:t>.</w:t>
      </w:r>
    </w:p>
    <w:p w14:paraId="2EC65F14" w14:textId="481557EE" w:rsidR="005B3AC3" w:rsidRPr="00EC0229" w:rsidRDefault="005B3AC3" w:rsidP="005B3AC3">
      <w:pPr>
        <w:pStyle w:val="NoSpacing"/>
        <w:spacing w:line="276" w:lineRule="auto"/>
        <w:ind w:left="2160" w:hanging="2160"/>
      </w:pPr>
      <w:r w:rsidRPr="00EC0229">
        <w:rPr>
          <w:i/>
        </w:rPr>
        <w:t>SiEMC</w:t>
      </w:r>
      <w:r w:rsidRPr="00EC0229">
        <w:tab/>
        <w:t xml:space="preserve">T. Abramson (ed.), 2008–14, </w:t>
      </w:r>
      <w:r w:rsidRPr="00EC0229">
        <w:rPr>
          <w:rStyle w:val="Hyperlink"/>
          <w:rFonts w:cs="Times New Roman"/>
          <w:i/>
          <w:color w:val="000000" w:themeColor="text1"/>
          <w:u w:val="none"/>
        </w:rPr>
        <w:t>Studies in Early Medieval</w:t>
      </w:r>
      <w:r w:rsidRPr="00EC0229">
        <w:rPr>
          <w:rStyle w:val="Hyperlink"/>
          <w:rFonts w:cs="Times New Roman"/>
          <w:i/>
          <w:color w:val="000000" w:themeColor="text1"/>
          <w:u w:val="none"/>
        </w:rPr>
        <w:fldChar w:fldCharType="begin"/>
      </w:r>
      <w:r w:rsidRPr="00EC0229">
        <w:instrText xml:space="preserve"> XE "Early Medieval" </w:instrText>
      </w:r>
      <w:r w:rsidRPr="00EC0229">
        <w:rPr>
          <w:rStyle w:val="Hyperlink"/>
          <w:rFonts w:cs="Times New Roman"/>
          <w:i/>
          <w:color w:val="000000" w:themeColor="text1"/>
          <w:u w:val="none"/>
        </w:rPr>
        <w:fldChar w:fldCharType="end"/>
      </w:r>
      <w:r w:rsidRPr="00EC0229">
        <w:rPr>
          <w:rStyle w:val="Hyperlink"/>
          <w:rFonts w:cs="Times New Roman"/>
          <w:i/>
          <w:color w:val="000000" w:themeColor="text1"/>
          <w:u w:val="none"/>
        </w:rPr>
        <w:t xml:space="preserve"> Coinage</w:t>
      </w:r>
      <w:r w:rsidRPr="00EC0229">
        <w:rPr>
          <w:rStyle w:val="Hyperlink"/>
          <w:rFonts w:cs="Times New Roman"/>
          <w:i/>
          <w:color w:val="000000" w:themeColor="text1"/>
          <w:u w:val="none"/>
        </w:rPr>
        <w:fldChar w:fldCharType="begin"/>
      </w:r>
      <w:r w:rsidRPr="00EC0229">
        <w:instrText xml:space="preserve"> XE "</w:instrText>
      </w:r>
      <w:r w:rsidRPr="00EC0229">
        <w:rPr>
          <w:rFonts w:cs="Times New Roman"/>
          <w:b/>
          <w:color w:val="000000" w:themeColor="text1"/>
          <w:sz w:val="56"/>
          <w:szCs w:val="56"/>
        </w:rPr>
        <w:instrText>Coinage</w:instrText>
      </w:r>
      <w:r w:rsidRPr="00EC0229">
        <w:instrText xml:space="preserve">" </w:instrText>
      </w:r>
      <w:r w:rsidRPr="00EC0229">
        <w:rPr>
          <w:rStyle w:val="Hyperlink"/>
          <w:rFonts w:cs="Times New Roman"/>
          <w:i/>
          <w:color w:val="000000" w:themeColor="text1"/>
          <w:u w:val="none"/>
        </w:rPr>
        <w:fldChar w:fldCharType="end"/>
      </w:r>
      <w:r w:rsidRPr="00EC0229">
        <w:rPr>
          <w:rStyle w:val="Hyperlink"/>
          <w:rFonts w:cs="Times New Roman"/>
          <w:color w:val="000000" w:themeColor="text1"/>
          <w:u w:val="none"/>
        </w:rPr>
        <w:t>, 3 vol</w:t>
      </w:r>
      <w:r w:rsidR="00774624" w:rsidRPr="00EC0229">
        <w:rPr>
          <w:rStyle w:val="Hyperlink"/>
          <w:rFonts w:cs="Times New Roman"/>
          <w:color w:val="000000" w:themeColor="text1"/>
          <w:u w:val="none"/>
        </w:rPr>
        <w:t>ume</w:t>
      </w:r>
      <w:r w:rsidRPr="00EC0229">
        <w:rPr>
          <w:rStyle w:val="Hyperlink"/>
          <w:rFonts w:cs="Times New Roman"/>
          <w:color w:val="000000" w:themeColor="text1"/>
          <w:u w:val="none"/>
        </w:rPr>
        <w:t>s (Woodbridge: Boydell &amp; Brewer; London: Spink).</w:t>
      </w:r>
    </w:p>
    <w:p w14:paraId="0B3A46C1" w14:textId="77777777" w:rsidR="005B3AC3" w:rsidRPr="00EC0229" w:rsidRDefault="005B3AC3" w:rsidP="005B3AC3">
      <w:pPr>
        <w:pStyle w:val="NoSpacing"/>
        <w:spacing w:line="276" w:lineRule="auto"/>
      </w:pPr>
      <w:r w:rsidRPr="00EC0229">
        <w:rPr>
          <w:i/>
        </w:rPr>
        <w:t>SL</w:t>
      </w:r>
      <w:r w:rsidRPr="00EC0229">
        <w:tab/>
      </w:r>
      <w:r w:rsidRPr="00EC0229">
        <w:tab/>
      </w:r>
      <w:r w:rsidRPr="00EC0229">
        <w:tab/>
      </w:r>
      <w:r w:rsidRPr="00EC0229">
        <w:rPr>
          <w:i/>
        </w:rPr>
        <w:t>Sceatta List.</w:t>
      </w:r>
      <w:r w:rsidRPr="00EC0229">
        <w:t xml:space="preserve"> See Abramson</w:t>
      </w:r>
      <w:r w:rsidRPr="00EC0229">
        <w:fldChar w:fldCharType="begin"/>
      </w:r>
      <w:r w:rsidRPr="00EC0229">
        <w:instrText xml:space="preserve"> XE "</w:instrText>
      </w:r>
      <w:r w:rsidRPr="00EC0229">
        <w:rPr>
          <w:rFonts w:cs="Times New Roman"/>
          <w:b/>
          <w:sz w:val="40"/>
          <w:szCs w:val="40"/>
        </w:rPr>
        <w:instrText>Abramson</w:instrText>
      </w:r>
      <w:r w:rsidRPr="00EC0229">
        <w:instrText xml:space="preserve">" </w:instrText>
      </w:r>
      <w:r w:rsidRPr="00EC0229">
        <w:fldChar w:fldCharType="end"/>
      </w:r>
      <w:r w:rsidRPr="00EC0229">
        <w:t xml:space="preserve"> 2012d.</w:t>
      </w:r>
    </w:p>
    <w:p w14:paraId="55B90E56" w14:textId="77777777" w:rsidR="005B3AC3" w:rsidRPr="00EC0229" w:rsidRDefault="005B3AC3" w:rsidP="005B3AC3">
      <w:pPr>
        <w:pStyle w:val="NoSpacing"/>
        <w:spacing w:line="276" w:lineRule="auto"/>
      </w:pPr>
      <w:r w:rsidRPr="00EC0229">
        <w:t>SMA</w:t>
      </w:r>
      <w:r w:rsidRPr="00EC0229">
        <w:tab/>
      </w:r>
      <w:r w:rsidRPr="00EC0229">
        <w:tab/>
      </w:r>
      <w:r w:rsidRPr="00EC0229">
        <w:tab/>
        <w:t>Society for Medieval Archaeology.</w:t>
      </w:r>
    </w:p>
    <w:p w14:paraId="3767EA3C" w14:textId="77777777" w:rsidR="005B3AC3" w:rsidRPr="00EC0229" w:rsidRDefault="005B3AC3" w:rsidP="005B3AC3">
      <w:pPr>
        <w:pStyle w:val="NoSpacing"/>
        <w:spacing w:line="276" w:lineRule="auto"/>
      </w:pPr>
      <w:r w:rsidRPr="00EC0229">
        <w:rPr>
          <w:i/>
        </w:rPr>
        <w:t>SNC</w:t>
      </w:r>
      <w:r w:rsidRPr="00EC0229">
        <w:tab/>
      </w:r>
      <w:r w:rsidRPr="00EC0229">
        <w:tab/>
      </w:r>
      <w:r w:rsidRPr="00EC0229">
        <w:tab/>
      </w:r>
      <w:r w:rsidRPr="00EC0229">
        <w:rPr>
          <w:i/>
        </w:rPr>
        <w:t>Spink’s Numismatic Circular</w:t>
      </w:r>
      <w:r w:rsidRPr="00EC0229">
        <w:t>.</w:t>
      </w:r>
    </w:p>
    <w:p w14:paraId="2891D657" w14:textId="77777777" w:rsidR="005B3AC3" w:rsidRPr="00EC0229" w:rsidRDefault="005B3AC3" w:rsidP="005B3AC3">
      <w:pPr>
        <w:pStyle w:val="NoSpacing"/>
        <w:spacing w:line="276" w:lineRule="auto"/>
        <w:ind w:left="2160" w:hanging="2160"/>
      </w:pPr>
      <w:r w:rsidRPr="00EC0229">
        <w:rPr>
          <w:i/>
        </w:rPr>
        <w:t>Stenton</w:t>
      </w:r>
      <w:r w:rsidRPr="00EC0229">
        <w:tab/>
        <w:t xml:space="preserve">R. H. M. Dolley (ed.), 1961, </w:t>
      </w:r>
      <w:r w:rsidRPr="00EC0229">
        <w:rPr>
          <w:i/>
        </w:rPr>
        <w:t>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Coins: Studies Presented to F. M. Stenton on the Occasion of His 80</w:t>
      </w:r>
      <w:r w:rsidRPr="00EC0229">
        <w:rPr>
          <w:i/>
          <w:iCs/>
          <w:szCs w:val="24"/>
          <w:vertAlign w:val="superscript"/>
        </w:rPr>
        <w:t>th</w:t>
      </w:r>
      <w:r w:rsidRPr="00EC0229">
        <w:rPr>
          <w:i/>
        </w:rPr>
        <w:t xml:space="preserve"> Birthday</w:t>
      </w:r>
      <w:r w:rsidRPr="00EC0229">
        <w:t xml:space="preserve"> (London: Methuen).</w:t>
      </w:r>
    </w:p>
    <w:p w14:paraId="7DD89993" w14:textId="77777777" w:rsidR="005B3AC3" w:rsidRPr="00EC0229" w:rsidRDefault="005B3AC3" w:rsidP="005B3AC3">
      <w:pPr>
        <w:pStyle w:val="NoSpacing"/>
        <w:spacing w:line="276" w:lineRule="auto"/>
        <w:ind w:left="2160" w:hanging="2160"/>
      </w:pPr>
      <w:r w:rsidRPr="00EC0229">
        <w:rPr>
          <w:i/>
        </w:rPr>
        <w:t>Sutherland</w:t>
      </w:r>
      <w:r w:rsidRPr="00EC0229">
        <w:tab/>
        <w:t xml:space="preserve">R. A. G. Carson and C. M. Kraay (eds), 1978, </w:t>
      </w:r>
      <w:r w:rsidRPr="00EC0229">
        <w:rPr>
          <w:i/>
          <w:iCs/>
        </w:rPr>
        <w:t>Scripta nummaria romana:</w:t>
      </w:r>
      <w:r w:rsidRPr="00EC0229">
        <w:rPr>
          <w:i/>
        </w:rPr>
        <w:t xml:space="preserve"> Essays Presented to Humphrey Sutherland</w:t>
      </w:r>
      <w:r w:rsidRPr="00EC0229">
        <w:t xml:space="preserve"> (London: Spink).</w:t>
      </w:r>
    </w:p>
    <w:p w14:paraId="798891A9" w14:textId="77777777" w:rsidR="005B3AC3" w:rsidRPr="00EC0229" w:rsidRDefault="005B3AC3" w:rsidP="005B3AC3">
      <w:pPr>
        <w:pStyle w:val="NoSpacing"/>
        <w:spacing w:line="276" w:lineRule="auto"/>
        <w:ind w:left="2160" w:hanging="2160"/>
      </w:pPr>
      <w:r w:rsidRPr="00EC0229">
        <w:t>T&amp;S</w:t>
      </w:r>
      <w:r w:rsidRPr="00EC0229">
        <w:tab/>
        <w:t xml:space="preserve">D. M. Metcalf, 1993–94, </w:t>
      </w:r>
      <w:r w:rsidRPr="00EC0229">
        <w:rPr>
          <w:i/>
        </w:rPr>
        <w:t>Thrymsas and Sceattas in the Ashmolean Museum</w:t>
      </w:r>
      <w:r w:rsidRPr="00EC0229">
        <w:t xml:space="preserve">, </w:t>
      </w:r>
      <w:r w:rsidRPr="00EC0229">
        <w:rPr>
          <w:i/>
        </w:rPr>
        <w:t>Oxford</w:t>
      </w:r>
      <w:r w:rsidRPr="00EC0229">
        <w:t>, RNS Special Publication, 276, 3 vols (London: RNS).</w:t>
      </w:r>
    </w:p>
    <w:p w14:paraId="07490AF1" w14:textId="77777777" w:rsidR="005B3AC3" w:rsidRPr="00EC0229" w:rsidRDefault="005B3AC3" w:rsidP="005B3AC3">
      <w:pPr>
        <w:pStyle w:val="NoSpacing"/>
        <w:spacing w:line="276" w:lineRule="auto"/>
        <w:ind w:left="2160" w:hanging="2160"/>
      </w:pPr>
      <w:r w:rsidRPr="00EC0229">
        <w:rPr>
          <w:i/>
        </w:rPr>
        <w:t>TCWAAS</w:t>
      </w:r>
      <w:r w:rsidRPr="00EC0229">
        <w:tab/>
      </w:r>
      <w:r w:rsidRPr="00EC0229">
        <w:rPr>
          <w:i/>
        </w:rPr>
        <w:t>Transactions of the Cumberland and Westmoreland Antiquarian and Archaeological Society</w:t>
      </w:r>
      <w:r w:rsidRPr="00EC0229">
        <w:t>.</w:t>
      </w:r>
    </w:p>
    <w:p w14:paraId="18356D7C" w14:textId="77777777" w:rsidR="005B3AC3" w:rsidRPr="00EC0229" w:rsidRDefault="005B3AC3" w:rsidP="005B3AC3">
      <w:pPr>
        <w:pStyle w:val="NoSpacing"/>
        <w:spacing w:line="276" w:lineRule="auto"/>
        <w:ind w:left="2160" w:hanging="2160"/>
      </w:pPr>
      <w:r w:rsidRPr="00EC0229">
        <w:rPr>
          <w:i/>
        </w:rPr>
        <w:t>TDGNHAS</w:t>
      </w:r>
      <w:r w:rsidRPr="00EC0229">
        <w:tab/>
      </w:r>
      <w:r w:rsidRPr="00EC0229">
        <w:rPr>
          <w:i/>
        </w:rPr>
        <w:t>Transactions of the Dumfriesshire and Galloway Natural History and Antiquarian Society</w:t>
      </w:r>
      <w:r w:rsidRPr="00EC0229">
        <w:t>.</w:t>
      </w:r>
    </w:p>
    <w:p w14:paraId="54B5EEC9" w14:textId="77777777" w:rsidR="005B3AC3" w:rsidRPr="00EC0229" w:rsidRDefault="005B3AC3" w:rsidP="005B3AC3">
      <w:pPr>
        <w:pStyle w:val="NoSpacing"/>
        <w:spacing w:line="276" w:lineRule="auto"/>
        <w:ind w:left="2160" w:hanging="2160"/>
      </w:pPr>
      <w:r w:rsidRPr="00EC0229">
        <w:rPr>
          <w:i/>
        </w:rPr>
        <w:t>TRHS</w:t>
      </w:r>
      <w:r w:rsidRPr="00EC0229">
        <w:tab/>
      </w:r>
      <w:r w:rsidRPr="00EC0229">
        <w:rPr>
          <w:i/>
        </w:rPr>
        <w:t>Transactions of the Royal Historical Society</w:t>
      </w:r>
      <w:r w:rsidRPr="00EC0229">
        <w:t>.</w:t>
      </w:r>
    </w:p>
    <w:p w14:paraId="62966C76" w14:textId="77777777" w:rsidR="005B3AC3" w:rsidRPr="00EC0229" w:rsidRDefault="005B3AC3" w:rsidP="005B3AC3">
      <w:pPr>
        <w:pStyle w:val="NoSpacing"/>
        <w:spacing w:line="276" w:lineRule="auto"/>
        <w:rPr>
          <w:szCs w:val="24"/>
        </w:rPr>
      </w:pPr>
      <w:r w:rsidRPr="00EC0229">
        <w:rPr>
          <w:szCs w:val="24"/>
        </w:rPr>
        <w:t>xlxs</w:t>
      </w:r>
      <w:r w:rsidRPr="00EC0229">
        <w:rPr>
          <w:b/>
          <w:szCs w:val="24"/>
        </w:rPr>
        <w:tab/>
      </w:r>
      <w:r w:rsidRPr="00EC0229">
        <w:rPr>
          <w:b/>
          <w:szCs w:val="24"/>
        </w:rPr>
        <w:tab/>
      </w:r>
      <w:r w:rsidRPr="00EC0229">
        <w:rPr>
          <w:b/>
          <w:szCs w:val="24"/>
        </w:rPr>
        <w:tab/>
      </w:r>
      <w:r w:rsidRPr="00EC0229">
        <w:rPr>
          <w:szCs w:val="24"/>
        </w:rPr>
        <w:t>Microsoft Excel</w:t>
      </w:r>
      <w:r w:rsidRPr="00EC0229">
        <w:rPr>
          <w:szCs w:val="24"/>
          <w:vertAlign w:val="superscript"/>
        </w:rPr>
        <w:t xml:space="preserve"> </w:t>
      </w:r>
      <w:r w:rsidRPr="00EC0229">
        <w:rPr>
          <w:szCs w:val="24"/>
        </w:rPr>
        <w:t>Worksheet.</w:t>
      </w:r>
    </w:p>
    <w:p w14:paraId="3FCBC3BC" w14:textId="77777777" w:rsidR="005B3AC3" w:rsidRPr="00EC0229" w:rsidRDefault="005B3AC3" w:rsidP="005B3AC3">
      <w:pPr>
        <w:pStyle w:val="NoSpacing"/>
        <w:spacing w:line="276" w:lineRule="auto"/>
      </w:pPr>
      <w:r w:rsidRPr="00EC0229">
        <w:rPr>
          <w:i/>
        </w:rPr>
        <w:t>YAJ</w:t>
      </w:r>
      <w:r w:rsidRPr="00EC0229">
        <w:tab/>
      </w:r>
      <w:r w:rsidRPr="00EC0229">
        <w:tab/>
      </w:r>
      <w:r w:rsidRPr="00EC0229">
        <w:tab/>
      </w:r>
      <w:r w:rsidRPr="00EC0229">
        <w:rPr>
          <w:i/>
          <w:lang w:eastAsia="en-GB"/>
        </w:rPr>
        <w:t>Yorkshire Archaeological Journal</w:t>
      </w:r>
      <w:r w:rsidRPr="00EC0229">
        <w:rPr>
          <w:lang w:eastAsia="en-GB"/>
        </w:rPr>
        <w:t>.</w:t>
      </w:r>
    </w:p>
    <w:p w14:paraId="0720C71C" w14:textId="77777777" w:rsidR="005B3AC3" w:rsidRPr="00EC0229" w:rsidRDefault="005B3AC3" w:rsidP="005B3AC3">
      <w:pPr>
        <w:pStyle w:val="NoSpacing"/>
        <w:spacing w:line="276" w:lineRule="auto"/>
      </w:pPr>
      <w:r w:rsidRPr="00EC0229">
        <w:t>YAHS</w:t>
      </w:r>
      <w:r w:rsidRPr="00EC0229">
        <w:tab/>
      </w:r>
      <w:r w:rsidRPr="00EC0229">
        <w:tab/>
      </w:r>
      <w:r w:rsidRPr="00EC0229">
        <w:tab/>
      </w:r>
      <w:r w:rsidRPr="00EC0229">
        <w:rPr>
          <w:lang w:eastAsia="en-GB"/>
        </w:rPr>
        <w:t>Yorkshire</w:t>
      </w:r>
      <w:r w:rsidRPr="00EC0229">
        <w:rPr>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lang w:eastAsia="en-GB"/>
        </w:rPr>
        <w:fldChar w:fldCharType="end"/>
      </w:r>
      <w:r w:rsidRPr="00EC0229">
        <w:rPr>
          <w:lang w:eastAsia="en-GB"/>
        </w:rPr>
        <w:t xml:space="preserve"> Archaeological and Historical Society.</w:t>
      </w:r>
    </w:p>
    <w:p w14:paraId="0F833F69" w14:textId="77777777" w:rsidR="005B3AC3" w:rsidRPr="00EC0229" w:rsidRDefault="005B3AC3" w:rsidP="005B3AC3">
      <w:pPr>
        <w:pStyle w:val="NoSpacing"/>
        <w:spacing w:line="276" w:lineRule="auto"/>
      </w:pPr>
      <w:r w:rsidRPr="00EC0229">
        <w:t>YAT</w:t>
      </w:r>
      <w:r w:rsidRPr="00EC0229">
        <w:tab/>
      </w:r>
      <w:r w:rsidRPr="00EC0229">
        <w:tab/>
      </w:r>
      <w:r w:rsidRPr="00EC0229">
        <w:tab/>
      </w:r>
      <w:r w:rsidRPr="00EC0229">
        <w:rPr>
          <w:lang w:eastAsia="en-GB"/>
        </w:rPr>
        <w:t>York</w:t>
      </w:r>
      <w:r w:rsidRPr="00EC0229">
        <w:rPr>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lang w:eastAsia="en-GB"/>
        </w:rPr>
        <w:fldChar w:fldCharType="end"/>
      </w:r>
      <w:r w:rsidRPr="00EC0229">
        <w:rPr>
          <w:lang w:eastAsia="en-GB"/>
        </w:rPr>
        <w:t xml:space="preserve"> Archaeological Trust.</w:t>
      </w:r>
    </w:p>
    <w:p w14:paraId="39246880" w14:textId="77777777" w:rsidR="005B3AC3" w:rsidRPr="00EC0229" w:rsidRDefault="005B3AC3" w:rsidP="005B3AC3">
      <w:pPr>
        <w:pStyle w:val="NoSpacing"/>
        <w:spacing w:line="276" w:lineRule="auto"/>
        <w:ind w:left="2160" w:hanging="2160"/>
      </w:pPr>
      <w:r w:rsidRPr="00EC0229">
        <w:rPr>
          <w:i/>
        </w:rPr>
        <w:t>YN</w:t>
      </w:r>
      <w:r w:rsidRPr="00EC0229">
        <w:tab/>
      </w:r>
      <w:r w:rsidRPr="00EC0229">
        <w:rPr>
          <w:i/>
        </w:rPr>
        <w:t>Yorkshire Numismatist</w:t>
      </w:r>
      <w:r w:rsidRPr="00EC0229">
        <w:t>.</w:t>
      </w:r>
    </w:p>
    <w:p w14:paraId="44C9C9AC" w14:textId="77777777" w:rsidR="005B3AC3" w:rsidRPr="00EC0229" w:rsidRDefault="005B3AC3" w:rsidP="005B3AC3">
      <w:pPr>
        <w:pStyle w:val="NoSpacing"/>
        <w:spacing w:line="276" w:lineRule="auto"/>
      </w:pPr>
      <w:r w:rsidRPr="00EC0229">
        <w:t>YNS</w:t>
      </w:r>
      <w:r w:rsidRPr="00EC0229">
        <w:rPr>
          <w:i/>
        </w:rPr>
        <w:t xml:space="preserve"> </w:t>
      </w:r>
      <w:r w:rsidRPr="00EC0229">
        <w:rPr>
          <w:i/>
        </w:rPr>
        <w:tab/>
      </w:r>
      <w:r w:rsidRPr="00EC0229">
        <w:rPr>
          <w:i/>
        </w:rPr>
        <w:tab/>
      </w:r>
      <w:r w:rsidRPr="00EC0229">
        <w:rPr>
          <w:i/>
        </w:rPr>
        <w:tab/>
      </w:r>
      <w:r w:rsidRPr="00EC0229">
        <w:t>Yorkshire Numismatic Society.</w:t>
      </w:r>
    </w:p>
    <w:p w14:paraId="0C4A96CA" w14:textId="77777777" w:rsidR="005B3AC3" w:rsidRPr="00EC0229" w:rsidRDefault="005B3AC3" w:rsidP="005B3AC3">
      <w:pPr>
        <w:pStyle w:val="NoSpacing"/>
        <w:spacing w:line="276" w:lineRule="auto"/>
      </w:pPr>
      <w:r w:rsidRPr="00EC0229">
        <w:t xml:space="preserve">YPS </w:t>
      </w:r>
      <w:r w:rsidRPr="00EC0229">
        <w:tab/>
      </w:r>
      <w:r w:rsidRPr="00EC0229">
        <w:tab/>
      </w:r>
      <w:r w:rsidRPr="00EC0229">
        <w:tab/>
        <w:t>Yorkshire Philosophical Society.</w:t>
      </w:r>
    </w:p>
    <w:p w14:paraId="24878BEA" w14:textId="77777777" w:rsidR="005B3AC3" w:rsidRPr="00EC0229" w:rsidRDefault="005B3AC3" w:rsidP="005B3AC3">
      <w:pPr>
        <w:pStyle w:val="NoSpacing"/>
        <w:spacing w:line="276" w:lineRule="auto"/>
      </w:pPr>
      <w:r w:rsidRPr="00EC0229">
        <w:t>YUAP</w:t>
      </w:r>
      <w:r w:rsidRPr="00EC0229">
        <w:tab/>
      </w:r>
      <w:r w:rsidRPr="00EC0229">
        <w:tab/>
      </w:r>
      <w:r w:rsidRPr="00EC0229">
        <w:tab/>
      </w:r>
      <w:r w:rsidRPr="00EC0229">
        <w:rPr>
          <w:lang w:eastAsia="en-GB"/>
        </w:rPr>
        <w:t>York</w:t>
      </w:r>
      <w:r w:rsidRPr="00EC0229">
        <w:rPr>
          <w:lang w:eastAsia="en-GB"/>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lang w:eastAsia="en-GB"/>
        </w:rPr>
        <w:fldChar w:fldCharType="end"/>
      </w:r>
      <w:r w:rsidRPr="00EC0229">
        <w:rPr>
          <w:lang w:eastAsia="en-GB"/>
        </w:rPr>
        <w:t xml:space="preserve"> University Archaeological Publications.</w:t>
      </w:r>
    </w:p>
    <w:p w14:paraId="4298D741" w14:textId="0C089F56" w:rsidR="00B851BD" w:rsidRPr="00EC0229" w:rsidRDefault="005B3AC3" w:rsidP="00E93554">
      <w:pPr>
        <w:spacing w:line="259" w:lineRule="auto"/>
        <w:ind w:left="2160" w:hanging="2160"/>
        <w:jc w:val="left"/>
        <w:rPr>
          <w:rFonts w:eastAsiaTheme="majorEastAsia" w:cstheme="majorBidi"/>
          <w:b/>
          <w:sz w:val="32"/>
          <w:szCs w:val="32"/>
        </w:rPr>
      </w:pPr>
      <w:r w:rsidRPr="00EC0229">
        <w:rPr>
          <w:i/>
        </w:rPr>
        <w:lastRenderedPageBreak/>
        <w:t>VASLE</w:t>
      </w:r>
      <w:r w:rsidRPr="00EC0229">
        <w:fldChar w:fldCharType="begin"/>
      </w:r>
      <w:r w:rsidRPr="00EC0229">
        <w:instrText xml:space="preserve"> XE "VASLE" </w:instrText>
      </w:r>
      <w:r w:rsidRPr="00EC0229">
        <w:fldChar w:fldCharType="end"/>
      </w:r>
      <w:r w:rsidRPr="00EC0229">
        <w:tab/>
        <w:t xml:space="preserve">J. D. Richards, J. Naylor, and C. N. J. Holas-Clark, 2008, </w:t>
      </w:r>
      <w:r w:rsidRPr="00EC0229">
        <w:rPr>
          <w:i/>
        </w:rPr>
        <w:t>The Viking</w:t>
      </w:r>
      <w:r w:rsidRPr="00EC0229">
        <w:rPr>
          <w:i/>
        </w:rPr>
        <w:fldChar w:fldCharType="begin"/>
      </w:r>
      <w:r w:rsidRPr="00EC0229">
        <w:rPr>
          <w:i/>
        </w:rPr>
        <w:instrText xml:space="preserve"> XE "</w:instrText>
      </w:r>
      <w:r w:rsidRPr="00EC0229">
        <w:rPr>
          <w:rStyle w:val="Hyperlink"/>
          <w:i/>
          <w:noProof/>
          <w:u w:val="none"/>
        </w:rPr>
        <w:instrText>Viking</w:instrText>
      </w:r>
      <w:r w:rsidRPr="00EC0229">
        <w:rPr>
          <w:i/>
        </w:rPr>
        <w:instrText xml:space="preserve">" </w:instrText>
      </w:r>
      <w:r w:rsidRPr="00EC0229">
        <w:rPr>
          <w:i/>
        </w:rPr>
        <w:fldChar w:fldCharType="end"/>
      </w:r>
      <w:r w:rsidRPr="00EC0229">
        <w:rPr>
          <w:i/>
        </w:rPr>
        <w:t xml:space="preserve"> and Anglo-Saxon</w:t>
      </w:r>
      <w:r w:rsidRPr="00EC0229">
        <w:rPr>
          <w:i/>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rPr>
        <w:fldChar w:fldCharType="end"/>
      </w:r>
      <w:r w:rsidRPr="00EC0229">
        <w:rPr>
          <w:i/>
        </w:rPr>
        <w:t xml:space="preserve"> Landscape and Economy Project</w:t>
      </w:r>
      <w:r w:rsidRPr="00EC0229">
        <w:t xml:space="preserve">: </w:t>
      </w:r>
      <w:hyperlink r:id="rId524" w:history="1">
        <w:r w:rsidRPr="00EC0229">
          <w:rPr>
            <w:rStyle w:val="Hyperlink"/>
            <w:u w:val="none"/>
          </w:rPr>
          <w:t>http://intarch.ac.uk/journal/issue25/2/toc.html</w:t>
        </w:r>
      </w:hyperlink>
      <w:r w:rsidR="00B851BD" w:rsidRPr="00EC0229">
        <w:br w:type="page"/>
      </w:r>
    </w:p>
    <w:p w14:paraId="7B1E9F2E" w14:textId="43C39E33" w:rsidR="00FC4D6A" w:rsidRPr="00EC0229" w:rsidRDefault="00FC4D6A" w:rsidP="007600EA">
      <w:pPr>
        <w:pStyle w:val="Heading1"/>
        <w:tabs>
          <w:tab w:val="left" w:pos="3012"/>
        </w:tabs>
        <w:spacing w:line="276" w:lineRule="auto"/>
      </w:pPr>
      <w:bookmarkStart w:id="984" w:name="_Toc468266971"/>
      <w:r w:rsidRPr="00EC0229">
        <w:lastRenderedPageBreak/>
        <w:t>References</w:t>
      </w:r>
      <w:bookmarkEnd w:id="984"/>
      <w:r w:rsidR="006B1593" w:rsidRPr="00EC0229">
        <w:fldChar w:fldCharType="begin"/>
      </w:r>
      <w:r w:rsidR="006B1593" w:rsidRPr="00EC0229">
        <w:instrText xml:space="preserve"> XE "</w:instrText>
      </w:r>
      <w:r w:rsidR="006B1593" w:rsidRPr="00EC0229">
        <w:rPr>
          <w:rStyle w:val="Hyperlink"/>
          <w:noProof/>
          <w:u w:val="none"/>
        </w:rPr>
        <w:instrText>References</w:instrText>
      </w:r>
      <w:r w:rsidR="006B1593" w:rsidRPr="00EC0229">
        <w:instrText xml:space="preserve">" </w:instrText>
      </w:r>
      <w:r w:rsidR="006B1593" w:rsidRPr="00EC0229">
        <w:fldChar w:fldCharType="end"/>
      </w:r>
      <w:r w:rsidRPr="00EC0229">
        <w:t xml:space="preserve"> </w:t>
      </w:r>
    </w:p>
    <w:p w14:paraId="60CDB254" w14:textId="60AF6961" w:rsidR="00FC4D6A" w:rsidRPr="00EC0229" w:rsidRDefault="00FC4D6A" w:rsidP="007600EA">
      <w:pPr>
        <w:pStyle w:val="NoSpacing"/>
        <w:spacing w:line="276" w:lineRule="auto"/>
        <w:rPr>
          <w:szCs w:val="24"/>
        </w:rPr>
      </w:pPr>
      <w:r w:rsidRPr="00EC0229">
        <w:rPr>
          <w:rStyle w:val="Hyperlink"/>
          <w:color w:val="auto"/>
          <w:u w:val="none"/>
        </w:rPr>
        <w:t>Integrated into the bibliography below are about ninety ‘grey literature’ titles from the Pirie</w:t>
      </w:r>
      <w:r w:rsidR="00716433" w:rsidRPr="00EC0229">
        <w:rPr>
          <w:rStyle w:val="Hyperlink"/>
          <w:color w:val="auto"/>
          <w:u w:val="none"/>
        </w:rPr>
        <w:fldChar w:fldCharType="begin"/>
      </w:r>
      <w:r w:rsidR="00716433" w:rsidRPr="00EC0229">
        <w:instrText xml:space="preserve"> XE "Pirie" </w:instrText>
      </w:r>
      <w:r w:rsidR="00716433" w:rsidRPr="00EC0229">
        <w:rPr>
          <w:rStyle w:val="Hyperlink"/>
          <w:color w:val="auto"/>
          <w:u w:val="none"/>
        </w:rPr>
        <w:fldChar w:fldCharType="end"/>
      </w:r>
      <w:r w:rsidRPr="00EC0229">
        <w:rPr>
          <w:rStyle w:val="Hyperlink"/>
          <w:color w:val="auto"/>
          <w:u w:val="none"/>
        </w:rPr>
        <w:t xml:space="preserve"> archive. The </w:t>
      </w:r>
      <w:r w:rsidRPr="00EC0229">
        <w:t>websites</w:t>
      </w:r>
      <w:r w:rsidRPr="00EC0229">
        <w:rPr>
          <w:rStyle w:val="Hyperlink"/>
          <w:color w:val="auto"/>
          <w:u w:val="none"/>
        </w:rPr>
        <w:t xml:space="preserve"> referenced are listed separately.</w:t>
      </w:r>
    </w:p>
    <w:p w14:paraId="44A3D82F" w14:textId="21F9BE7D" w:rsidR="004B4AFF" w:rsidRPr="00EC0229" w:rsidRDefault="00250669" w:rsidP="007600EA">
      <w:pPr>
        <w:pStyle w:val="NoSpacing"/>
        <w:tabs>
          <w:tab w:val="left" w:pos="7296"/>
        </w:tabs>
        <w:spacing w:line="276" w:lineRule="auto"/>
      </w:pPr>
      <w:r w:rsidRPr="00EC0229">
        <w:tab/>
      </w:r>
    </w:p>
    <w:p w14:paraId="1B873E1C" w14:textId="77777777" w:rsidR="005B3AC3" w:rsidRPr="00EC0229" w:rsidRDefault="005B3AC3" w:rsidP="005B3AC3">
      <w:pPr>
        <w:pStyle w:val="NoSpacing"/>
        <w:tabs>
          <w:tab w:val="left" w:pos="7296"/>
        </w:tabs>
        <w:spacing w:line="276" w:lineRule="auto"/>
      </w:pPr>
      <w:bookmarkStart w:id="985" w:name="Websites"/>
      <w:bookmarkEnd w:id="985"/>
      <w:r w:rsidRPr="00EC0229">
        <w:tab/>
      </w:r>
    </w:p>
    <w:p w14:paraId="2E667610"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09"/>
          <w:szCs w:val="24"/>
          <w:lang w:eastAsia="en-GB"/>
        </w:rPr>
      </w:pPr>
      <w:bookmarkStart w:id="986" w:name="A"/>
      <w:r w:rsidRPr="00EC0229">
        <w:rPr>
          <w:rFonts w:eastAsia="Times New Roman" w:cs="Times New Roman"/>
          <w:color w:val="000000"/>
          <w:position w:val="-11"/>
          <w:sz w:val="109"/>
          <w:szCs w:val="24"/>
          <w:lang w:eastAsia="en-GB"/>
        </w:rPr>
        <w:t>A</w:t>
      </w:r>
      <w:bookmarkEnd w:id="986"/>
    </w:p>
    <w:p w14:paraId="2BCC1F00" w14:textId="2E70A2FD"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bdy, R., and G. Williams, 2006, ‘A Catalogue of Hoards and Single Finds from the British Isles, </w:t>
      </w:r>
      <w:r w:rsidR="002132F1">
        <w:rPr>
          <w:rFonts w:eastAsia="Times New Roman" w:cs="Times New Roman"/>
          <w:i/>
          <w:iCs/>
          <w:color w:val="000000"/>
          <w:szCs w:val="24"/>
          <w:lang w:eastAsia="en-GB"/>
        </w:rPr>
        <w:t>c.</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410–675’, in </w:t>
      </w:r>
      <w:r w:rsidRPr="00EC0229">
        <w:rPr>
          <w:rFonts w:eastAsia="Times New Roman" w:cs="Times New Roman"/>
          <w:i/>
          <w:color w:val="000000"/>
          <w:szCs w:val="24"/>
          <w:lang w:eastAsia="en-GB"/>
        </w:rPr>
        <w:t>Archibald Festschrift</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pp. 11–74.</w:t>
      </w:r>
    </w:p>
    <w:p w14:paraId="50CE1F0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Abdy, R., 2006, ‘After Patching: Imported and Recycled Coinage in Fifth and Sixth-Century Britain’, </w:t>
      </w:r>
      <w:r w:rsidRPr="00EC0229">
        <w:rPr>
          <w:rFonts w:eastAsia="Times New Roman" w:cs="Times New Roman"/>
          <w:i/>
          <w:color w:val="000000"/>
          <w:szCs w:val="24"/>
          <w:lang w:eastAsia="en-GB"/>
        </w:rPr>
        <w:t>Archibald Festschrift</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pp. 75–98.</w:t>
      </w:r>
    </w:p>
    <w:p w14:paraId="0E88920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Abercrombie, N., S. Hill, and B. S. Turner, 1986, </w:t>
      </w:r>
      <w:r w:rsidRPr="00EC0229">
        <w:rPr>
          <w:rFonts w:eastAsia="Times New Roman" w:cs="Times New Roman"/>
          <w:i/>
          <w:iCs/>
          <w:color w:val="000000"/>
          <w:szCs w:val="24"/>
          <w:lang w:eastAsia="en-GB"/>
        </w:rPr>
        <w:t>Sovereign Individuals of Capitalism</w:t>
      </w:r>
      <w:r w:rsidRPr="00EC0229">
        <w:rPr>
          <w:rFonts w:eastAsia="Times New Roman" w:cs="Times New Roman"/>
          <w:color w:val="000000"/>
          <w:szCs w:val="24"/>
          <w:lang w:eastAsia="en-GB"/>
        </w:rPr>
        <w:t xml:space="preserve"> (London: Allen &amp; Unwin).</w:t>
      </w:r>
    </w:p>
    <w:p w14:paraId="2856EB8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Abercrombie, N., S. Hill, and B. S. Turner (eds), 1990, </w:t>
      </w:r>
      <w:r w:rsidRPr="00EC0229">
        <w:rPr>
          <w:rFonts w:eastAsia="Times New Roman" w:cs="Times New Roman"/>
          <w:i/>
          <w:iCs/>
          <w:color w:val="000000"/>
          <w:szCs w:val="24"/>
          <w:lang w:eastAsia="en-GB"/>
        </w:rPr>
        <w:t>Dominant Ideologies</w:t>
      </w:r>
      <w:r w:rsidRPr="00EC0229">
        <w:rPr>
          <w:rFonts w:eastAsia="Times New Roman" w:cs="Times New Roman"/>
          <w:color w:val="000000"/>
          <w:szCs w:val="24"/>
          <w:lang w:eastAsia="en-GB"/>
        </w:rPr>
        <w:t xml:space="preserve"> (London: Unwin Hyman).</w:t>
      </w:r>
    </w:p>
    <w:p w14:paraId="2995D9A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2002, ‘A Second Wolf Head/Running Fledgling Sceat’, </w:t>
      </w:r>
      <w:r w:rsidRPr="00EC0229">
        <w:rPr>
          <w:rFonts w:eastAsia="Times New Roman" w:cs="Times New Roman"/>
          <w:i/>
          <w:iCs/>
          <w:color w:val="000000"/>
          <w:szCs w:val="24"/>
          <w:lang w:eastAsia="en-GB"/>
        </w:rPr>
        <w:t>SNC</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110, 335.</w:t>
      </w:r>
    </w:p>
    <w:p w14:paraId="74CCC0E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2006, </w:t>
      </w:r>
      <w:r w:rsidRPr="00EC0229">
        <w:rPr>
          <w:rFonts w:eastAsia="Times New Roman" w:cs="Times New Roman"/>
          <w:i/>
          <w:iCs/>
          <w:color w:val="000000"/>
          <w:szCs w:val="24"/>
          <w:lang w:eastAsia="en-GB"/>
        </w:rPr>
        <w:t>Sceattas: An Illustrated Guide</w:t>
      </w:r>
      <w:r w:rsidRPr="00EC0229">
        <w:rPr>
          <w:rFonts w:eastAsia="Times New Roman" w:cs="Times New Roman"/>
          <w:color w:val="000000"/>
          <w:szCs w:val="24"/>
          <w:lang w:eastAsia="en-GB"/>
        </w:rPr>
        <w:t xml:space="preserve"> (King’s Lynn: Heritage).</w:t>
      </w:r>
    </w:p>
    <w:p w14:paraId="6E12205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(ed.), 2008, ‘Two Decades of Discovery’,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1</w:t>
      </w:r>
      <w:r w:rsidRPr="00EC0229">
        <w:rPr>
          <w:rFonts w:eastAsia="Times New Roman" w:cs="Times New Roman"/>
          <w:color w:val="000000"/>
          <w:szCs w:val="24"/>
          <w:lang w:eastAsia="en-GB"/>
        </w:rPr>
        <w:t>.</w:t>
      </w:r>
    </w:p>
    <w:p w14:paraId="486F4DC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(ed.), 2008–14, </w:t>
      </w:r>
      <w:r w:rsidRPr="00EC0229">
        <w:rPr>
          <w:rFonts w:eastAsia="Times New Roman" w:cs="Times New Roman"/>
          <w:i/>
          <w:color w:val="000000"/>
          <w:szCs w:val="24"/>
          <w:lang w:eastAsia="en-GB"/>
        </w:rPr>
        <w:t>Studies in Early Medieval Coinage</w:t>
      </w:r>
      <w:r w:rsidRPr="00EC0229">
        <w:rPr>
          <w:rFonts w:eastAsia="Times New Roman" w:cs="Times New Roman"/>
          <w:color w:val="000000"/>
          <w:szCs w:val="24"/>
          <w:lang w:eastAsia="en-GB"/>
        </w:rPr>
        <w:t>, 3 vols (Woodbridge: Boydell &amp; Brewer; London: Spink).</w:t>
      </w:r>
    </w:p>
    <w:p w14:paraId="71085AC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(ed.), 2011, ‘New Perspectives’,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2</w:t>
      </w:r>
      <w:r w:rsidRPr="00EC0229">
        <w:rPr>
          <w:rFonts w:eastAsia="Times New Roman" w:cs="Times New Roman"/>
          <w:color w:val="000000"/>
          <w:szCs w:val="24"/>
          <w:lang w:eastAsia="en-GB"/>
        </w:rPr>
        <w:t>.</w:t>
      </w:r>
    </w:p>
    <w:p w14:paraId="688EA18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2012a, ‘The Roman Influence on Early Anglo-Saxon Coinage’,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4, 73–104.</w:t>
      </w:r>
    </w:p>
    <w:p w14:paraId="42D7F5B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2012b, ‘Sceats: How Do We Assess Their Success?’,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4, 105–34.</w:t>
      </w:r>
    </w:p>
    <w:p w14:paraId="71F9308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2012c, ‘The Lorin Kay Collection of Northumbrian Stycas’,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4, 305–09.</w:t>
      </w:r>
    </w:p>
    <w:p w14:paraId="7FC6E7A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Abramson, T., 2012d,</w:t>
      </w:r>
      <w:r w:rsidRPr="00EC0229">
        <w:rPr>
          <w:rFonts w:eastAsia="Times New Roman" w:cs="Times New Roman"/>
          <w:i/>
          <w:iCs/>
          <w:color w:val="000000"/>
          <w:szCs w:val="24"/>
          <w:lang w:eastAsia="en-GB"/>
        </w:rPr>
        <w:t xml:space="preserve"> Sceatta List: An Illustrated and Priced Catalogue of Sceats for Collectors</w:t>
      </w:r>
      <w:r w:rsidRPr="00EC0229">
        <w:rPr>
          <w:rFonts w:eastAsia="Times New Roman" w:cs="Times New Roman"/>
          <w:color w:val="000000"/>
          <w:szCs w:val="24"/>
          <w:lang w:eastAsia="en-GB"/>
        </w:rPr>
        <w:t xml:space="preserve"> (Wakefield: Anglo-Saxon Coinage) [with</w:t>
      </w:r>
      <w:r w:rsidRPr="00EC0229">
        <w:rPr>
          <w:rFonts w:eastAsia="Times New Roman" w:cs="Times New Roman"/>
          <w:i/>
          <w:iCs/>
          <w:color w:val="000000"/>
          <w:szCs w:val="24"/>
          <w:lang w:eastAsia="en-GB"/>
        </w:rPr>
        <w:t xml:space="preserve"> Stycas Simplified</w:t>
      </w:r>
      <w:r w:rsidRPr="00EC0229">
        <w:rPr>
          <w:rFonts w:eastAsia="Times New Roman" w:cs="Times New Roman"/>
          <w:color w:val="000000"/>
          <w:szCs w:val="24"/>
          <w:lang w:eastAsia="en-GB"/>
        </w:rPr>
        <w:t xml:space="preserve"> supplement].</w:t>
      </w:r>
    </w:p>
    <w:p w14:paraId="0CB2F32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2012e, </w:t>
      </w:r>
      <w:r w:rsidRPr="00EC0229">
        <w:rPr>
          <w:rFonts w:eastAsia="Times New Roman" w:cs="Times New Roman"/>
          <w:i/>
          <w:iCs/>
          <w:color w:val="000000"/>
          <w:szCs w:val="24"/>
          <w:lang w:eastAsia="en-GB"/>
        </w:rPr>
        <w:t xml:space="preserve">Anglo-Saxon Counterfeits: Fakes, Forgeries &amp; Facsimiles,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600–1066</w:t>
      </w:r>
      <w:r w:rsidRPr="00EC0229">
        <w:rPr>
          <w:rFonts w:eastAsia="Times New Roman" w:cs="Times New Roman"/>
          <w:color w:val="000000"/>
          <w:szCs w:val="24"/>
          <w:lang w:eastAsia="en-GB"/>
        </w:rPr>
        <w:t xml:space="preserve"> (Fakenham Magna: Anglo-Saxon Coins).</w:t>
      </w:r>
    </w:p>
    <w:p w14:paraId="4827CDA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(ed.), 2014, ‘Sifting the Evidence’,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3.</w:t>
      </w:r>
    </w:p>
    <w:p w14:paraId="3A09645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Abramson, T., (forthcoming), </w:t>
      </w:r>
      <w:r w:rsidRPr="00EC0229">
        <w:rPr>
          <w:rFonts w:eastAsia="Times New Roman" w:cs="Times New Roman"/>
          <w:i/>
          <w:iCs/>
          <w:color w:val="000000"/>
          <w:szCs w:val="24"/>
          <w:lang w:eastAsia="en-GB"/>
        </w:rPr>
        <w:t>The Abramson Collection: Coins of Early Anglo-Saxon England and the North Sea Area</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SCBI</w:t>
      </w:r>
      <w:r w:rsidRPr="00EC0229">
        <w:rPr>
          <w:rFonts w:eastAsia="Times New Roman" w:cs="Times New Roman"/>
          <w:color w:val="000000"/>
          <w:szCs w:val="24"/>
          <w:lang w:eastAsia="en-GB"/>
        </w:rPr>
        <w:t>, 69 (London: Spink).</w:t>
      </w:r>
    </w:p>
    <w:p w14:paraId="155C6F2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Abramson, T., and M. Garrison, (forthcoming), ‘The Gold Shilling of York: A New Interpretation’.</w:t>
      </w:r>
    </w:p>
    <w:p w14:paraId="1620C81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Adler, E., 1930, </w:t>
      </w:r>
      <w:r w:rsidRPr="00EC0229">
        <w:rPr>
          <w:rFonts w:eastAsia="Times New Roman" w:cs="Times New Roman"/>
          <w:i/>
          <w:iCs/>
          <w:color w:val="000000"/>
          <w:szCs w:val="24"/>
          <w:lang w:eastAsia="en-GB"/>
        </w:rPr>
        <w:t>Jewish</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Travellers</w:t>
      </w:r>
      <w:r w:rsidRPr="00EC0229">
        <w:rPr>
          <w:rFonts w:eastAsia="Times New Roman" w:cs="Times New Roman"/>
          <w:color w:val="000000"/>
          <w:szCs w:val="24"/>
          <w:lang w:eastAsia="en-GB"/>
        </w:rPr>
        <w:t xml:space="preserve"> (London: Routledge).</w:t>
      </w:r>
    </w:p>
    <w:p w14:paraId="02A8F88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Agar, B., 2011, ‘A Preliminary Note on the Artefacts from the Vale of York Viking Hoard’, in </w:t>
      </w:r>
      <w:r w:rsidRPr="00EC0229">
        <w:rPr>
          <w:rFonts w:eastAsia="Times New Roman" w:cs="Times New Roman"/>
          <w:i/>
          <w:iCs/>
          <w:color w:val="000000"/>
          <w:szCs w:val="24"/>
          <w:lang w:eastAsia="en-GB"/>
        </w:rPr>
        <w:t>SiEMC</w:t>
      </w:r>
      <w:r w:rsidRPr="00EC0229">
        <w:rPr>
          <w:rFonts w:eastAsia="Times New Roman" w:cs="Times New Roman"/>
          <w:color w:val="000000"/>
          <w:szCs w:val="24"/>
          <w:lang w:eastAsia="en-GB"/>
        </w:rPr>
        <w:t>, 2, pp. 121–34.</w:t>
      </w:r>
    </w:p>
    <w:p w14:paraId="2753AC5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Alcock, L., 2003, </w:t>
      </w:r>
      <w:r w:rsidRPr="00EC0229">
        <w:rPr>
          <w:rFonts w:eastAsia="Times New Roman" w:cs="Times New Roman"/>
          <w:i/>
          <w:iCs/>
          <w:color w:val="000000"/>
          <w:szCs w:val="24"/>
          <w:lang w:eastAsia="en-GB"/>
        </w:rPr>
        <w:t xml:space="preserve">Kings &amp; Warriors: Craftsmen &amp; Priests in Northern Britain,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550–850</w:t>
      </w:r>
      <w:r w:rsidRPr="00EC0229">
        <w:rPr>
          <w:rFonts w:eastAsia="Times New Roman" w:cs="Times New Roman"/>
          <w:color w:val="000000"/>
          <w:szCs w:val="24"/>
          <w:lang w:eastAsia="en-GB"/>
        </w:rPr>
        <w:t xml:space="preserve"> (Edinburgh: Society of Antiquities of Scotland).</w:t>
      </w:r>
    </w:p>
    <w:p w14:paraId="50072FC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Allen, J., 1943, ‘The Saxon Monastery of Whitby’, </w:t>
      </w:r>
      <w:r w:rsidRPr="00EC0229">
        <w:rPr>
          <w:rFonts w:eastAsia="Times New Roman" w:cs="Times New Roman"/>
          <w:i/>
          <w:iCs/>
          <w:color w:val="000000"/>
          <w:szCs w:val="24"/>
          <w:lang w:eastAsia="en-GB"/>
        </w:rPr>
        <w:t>Archaeologia</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89, 85–86. [Pirie archive].</w:t>
      </w:r>
    </w:p>
    <w:p w14:paraId="3EC1535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Allen, M., 2015, </w:t>
      </w:r>
      <w:r w:rsidRPr="00EC0229">
        <w:rPr>
          <w:rFonts w:eastAsia="Times New Roman" w:cs="Times New Roman"/>
          <w:i/>
          <w:iCs/>
          <w:color w:val="000000"/>
          <w:szCs w:val="24"/>
          <w:lang w:eastAsia="en-GB"/>
        </w:rPr>
        <w:t>Mints and Money in Medieval England</w:t>
      </w:r>
      <w:r w:rsidRPr="00EC0229">
        <w:rPr>
          <w:rFonts w:eastAsia="Times New Roman" w:cs="Times New Roman"/>
          <w:color w:val="000000"/>
          <w:szCs w:val="24"/>
          <w:lang w:eastAsia="en-GB"/>
        </w:rPr>
        <w:t xml:space="preserve"> (Cambridge: CUP).</w:t>
      </w:r>
    </w:p>
    <w:p w14:paraId="19A70D3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Allen, M., and G. Oddie, 2015, ‘Revised Estimates of the English Silver Currency, 1282–1351’,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85, 238–56.</w:t>
      </w:r>
    </w:p>
    <w:p w14:paraId="38B2E44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Andrews, P. (ed.), 1988, </w:t>
      </w:r>
      <w:r w:rsidRPr="00EC0229">
        <w:rPr>
          <w:rFonts w:eastAsia="Times New Roman" w:cs="Times New Roman"/>
          <w:i/>
          <w:iCs/>
          <w:color w:val="000000"/>
          <w:szCs w:val="24"/>
          <w:lang w:eastAsia="en-GB"/>
        </w:rPr>
        <w:t>The Coins and Pottery from Hamwic</w:t>
      </w:r>
      <w:r w:rsidRPr="00EC0229">
        <w:rPr>
          <w:rFonts w:eastAsia="Times New Roman" w:cs="Times New Roman"/>
          <w:color w:val="000000"/>
          <w:szCs w:val="24"/>
          <w:lang w:eastAsia="en-GB"/>
        </w:rPr>
        <w:t xml:space="preserve"> (Southampton: Southampton City Museums).</w:t>
      </w:r>
    </w:p>
    <w:p w14:paraId="41ED385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Archibald, M. M., 1985, ‘The Coinage of Beonna in the Light of the Middle Harling Hoard’,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 55</w:t>
      </w:r>
      <w:r w:rsidRPr="00EC0229">
        <w:rPr>
          <w:rFonts w:eastAsia="Times New Roman" w:cs="Times New Roman"/>
          <w:color w:val="000000"/>
          <w:szCs w:val="24"/>
          <w:lang w:eastAsia="en-GB"/>
        </w:rPr>
        <w:t>, 10–54.</w:t>
      </w:r>
    </w:p>
    <w:p w14:paraId="4497175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Archibald, M. M., V. Fenwick, and M. R. Cowell, 1995, ‘A Sceat of Ethelbert I of East Anglia and Recent Finds of Coins of Beonna’, </w:t>
      </w:r>
      <w:r w:rsidRPr="00EC0229">
        <w:rPr>
          <w:rFonts w:eastAsia="Times New Roman" w:cs="Times New Roman"/>
          <w:i/>
          <w:color w:val="000000"/>
          <w:szCs w:val="24"/>
          <w:lang w:eastAsia="en-GB"/>
        </w:rPr>
        <w:t>BNJ</w:t>
      </w:r>
      <w:r w:rsidRPr="00EC0229">
        <w:rPr>
          <w:rFonts w:eastAsia="Times New Roman" w:cs="Times New Roman"/>
          <w:color w:val="000000"/>
          <w:szCs w:val="24"/>
          <w:lang w:eastAsia="en-GB"/>
        </w:rPr>
        <w:t>, 65, 1–19.</w:t>
      </w:r>
    </w:p>
    <w:p w14:paraId="7366D46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Archibald, M. M., E. J. E. Pirie, L. M. Wastling, I. Panter, and N. Rogers, 2009, ‘The Anglo-Saxon Coins, Mensuration Weights and Ingots’, in Evans and Loveluck (eds), 2009, pp. 402–24.</w:t>
      </w:r>
    </w:p>
    <w:p w14:paraId="4AF0041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Armstrong, P., D. Tomlinson, and D. H. Evans, 1991, </w:t>
      </w:r>
      <w:r w:rsidRPr="00EC0229">
        <w:rPr>
          <w:rFonts w:eastAsia="Times New Roman" w:cs="Times New Roman"/>
          <w:i/>
          <w:iCs/>
          <w:color w:val="000000"/>
          <w:szCs w:val="24"/>
          <w:lang w:eastAsia="en-GB"/>
        </w:rPr>
        <w:t>Excavations at Lurk Lane, Beverley, 1979–82, Report 1</w:t>
      </w:r>
      <w:r w:rsidRPr="00EC0229">
        <w:rPr>
          <w:rFonts w:eastAsia="Times New Roman" w:cs="Times New Roman"/>
          <w:color w:val="000000"/>
          <w:szCs w:val="24"/>
          <w:lang w:eastAsia="en-GB"/>
        </w:rPr>
        <w:t xml:space="preserve"> (Beverley: Humberside Archaeology Unit).</w:t>
      </w:r>
    </w:p>
    <w:p w14:paraId="74D9732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Arnold, C., and P. Wardle, 1981, ‘Early Medieval Settlement Patterns in England’, </w:t>
      </w:r>
      <w:r w:rsidRPr="00EC0229">
        <w:rPr>
          <w:rFonts w:eastAsia="Times New Roman" w:cs="Times New Roman"/>
          <w:i/>
          <w:color w:val="000000"/>
          <w:szCs w:val="24"/>
          <w:lang w:eastAsia="en-GB"/>
        </w:rPr>
        <w:t>Med Arch</w:t>
      </w:r>
      <w:r w:rsidRPr="00EC0229">
        <w:rPr>
          <w:rFonts w:eastAsia="Times New Roman" w:cs="Times New Roman"/>
          <w:color w:val="000000"/>
          <w:szCs w:val="24"/>
          <w:lang w:eastAsia="en-GB"/>
        </w:rPr>
        <w:t>, 25, 145–49.</w:t>
      </w:r>
    </w:p>
    <w:p w14:paraId="552414C8" w14:textId="77777777" w:rsidR="005B3AC3" w:rsidRPr="00EC0229" w:rsidRDefault="005B3AC3" w:rsidP="005B3AC3">
      <w:pPr>
        <w:spacing w:after="0"/>
        <w:jc w:val="left"/>
        <w:rPr>
          <w:rFonts w:eastAsia="Times New Roman" w:cs="Times New Roman"/>
          <w:color w:val="000000"/>
          <w:szCs w:val="24"/>
          <w:lang w:eastAsia="en-GB"/>
        </w:rPr>
      </w:pPr>
      <w:r w:rsidRPr="00EC0229">
        <w:rPr>
          <w:rFonts w:eastAsia="Times New Roman" w:cs="Times New Roman"/>
          <w:color w:val="000000"/>
          <w:szCs w:val="24"/>
          <w:lang w:eastAsia="en-GB"/>
        </w:rPr>
        <w:t xml:space="preserve">Ashby, S. P., 2011 ‘A Study in Regionality: Hair Combs and Bone/Antler Craft in the Northern Danelaw’, in </w:t>
      </w:r>
      <w:r w:rsidRPr="00EC0229">
        <w:rPr>
          <w:rFonts w:eastAsia="Times New Roman" w:cs="Times New Roman"/>
          <w:i/>
          <w:color w:val="000000"/>
          <w:szCs w:val="24"/>
          <w:lang w:eastAsia="en-GB"/>
        </w:rPr>
        <w:t>EMN</w:t>
      </w:r>
      <w:r w:rsidRPr="00EC0229">
        <w:rPr>
          <w:rFonts w:eastAsia="Times New Roman" w:cs="Times New Roman"/>
          <w:color w:val="000000"/>
          <w:szCs w:val="24"/>
          <w:lang w:eastAsia="en-GB"/>
        </w:rPr>
        <w:t>, pp. 303–319.</w:t>
      </w:r>
    </w:p>
    <w:p w14:paraId="643E26AE" w14:textId="31D6427A" w:rsidR="005B3AC3" w:rsidRPr="00EC0229" w:rsidRDefault="005B3AC3" w:rsidP="005B3AC3">
      <w:pPr>
        <w:spacing w:after="0"/>
        <w:jc w:val="left"/>
        <w:rPr>
          <w:rFonts w:eastAsia="Times New Roman" w:cs="Times New Roman"/>
          <w:color w:val="000000"/>
          <w:szCs w:val="24"/>
          <w:lang w:eastAsia="en-GB"/>
        </w:rPr>
      </w:pPr>
      <w:r w:rsidRPr="00EC0229">
        <w:rPr>
          <w:rFonts w:eastAsia="Times New Roman" w:cs="Times New Roman"/>
          <w:color w:val="000000"/>
          <w:szCs w:val="24"/>
          <w:lang w:eastAsia="en-GB"/>
        </w:rPr>
        <w:t>Ashby, S. P., 2015, ‘Making a Good Comb: Mercantile Identity in 9</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 xml:space="preserve"> to 11</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-century England’, in L. Ten-Harkel and D. M. Hadley (eds),</w:t>
      </w:r>
      <w:r w:rsidRPr="00EC0229">
        <w:rPr>
          <w:rFonts w:eastAsia="Times New Roman" w:cs="Times New Roman"/>
          <w:i/>
          <w:iCs/>
          <w:color w:val="000000"/>
          <w:szCs w:val="24"/>
          <w:lang w:eastAsia="en-GB"/>
        </w:rPr>
        <w:t xml:space="preserve"> Everyday Life in Viking Towns: Social Approaches to Towns in England and Ireland, </w:t>
      </w:r>
      <w:r w:rsidR="002132F1">
        <w:rPr>
          <w:rFonts w:eastAsia="Times New Roman" w:cs="Times New Roman"/>
          <w:i/>
          <w:iCs/>
          <w:color w:val="000000"/>
          <w:szCs w:val="24"/>
          <w:lang w:eastAsia="en-GB"/>
        </w:rPr>
        <w:t>c.</w:t>
      </w:r>
      <w:r w:rsidRPr="00EC0229">
        <w:rPr>
          <w:rFonts w:eastAsia="Times New Roman" w:cs="Times New Roman"/>
          <w:i/>
          <w:iCs/>
          <w:color w:val="000000"/>
          <w:szCs w:val="24"/>
          <w:lang w:eastAsia="en-GB"/>
        </w:rPr>
        <w:t>800–1100</w:t>
      </w:r>
      <w:r w:rsidRPr="00EC0229">
        <w:rPr>
          <w:rFonts w:eastAsia="Times New Roman" w:cs="Times New Roman"/>
          <w:iCs/>
          <w:color w:val="000000"/>
          <w:szCs w:val="24"/>
          <w:lang w:eastAsia="en-GB"/>
        </w:rPr>
        <w:t xml:space="preserve"> (Oxford: Oxbow Books), pp. 193–208</w:t>
      </w:r>
      <w:r w:rsidRPr="00EC0229">
        <w:rPr>
          <w:rFonts w:eastAsia="Times New Roman" w:cs="Times New Roman"/>
          <w:i/>
          <w:iCs/>
          <w:color w:val="000000"/>
          <w:szCs w:val="24"/>
          <w:lang w:eastAsia="en-GB"/>
        </w:rPr>
        <w:t>.</w:t>
      </w:r>
    </w:p>
    <w:p w14:paraId="3F5EBBE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Attenborough, G. B., 2012, </w:t>
      </w:r>
      <w:r w:rsidRPr="00EC0229">
        <w:rPr>
          <w:rFonts w:eastAsia="Times New Roman" w:cs="Times New Roman"/>
          <w:i/>
          <w:iCs/>
          <w:color w:val="000000"/>
          <w:szCs w:val="24"/>
          <w:lang w:eastAsia="en-GB"/>
        </w:rPr>
        <w:t>The Laws of the Earliest English Kings</w:t>
      </w:r>
      <w:r w:rsidRPr="00EC0229">
        <w:rPr>
          <w:rFonts w:eastAsia="Times New Roman" w:cs="Times New Roman"/>
          <w:color w:val="000000"/>
          <w:szCs w:val="24"/>
          <w:lang w:eastAsia="en-GB"/>
        </w:rPr>
        <w:t xml:space="preserve"> (London: Forgotten Books, 2012; originally published 1922, Cambridge: CUP).</w:t>
      </w:r>
    </w:p>
    <w:p w14:paraId="305A51F9" w14:textId="77777777" w:rsidR="005B3AC3" w:rsidRPr="00EC0229" w:rsidRDefault="005B3AC3" w:rsidP="005B3AC3">
      <w:pPr>
        <w:spacing w:after="0"/>
        <w:rPr>
          <w:rFonts w:eastAsia="Times New Roman" w:cs="Times New Roman"/>
          <w:color w:val="000000"/>
          <w:szCs w:val="24"/>
          <w:lang w:eastAsia="en-GB"/>
        </w:rPr>
      </w:pPr>
    </w:p>
    <w:p w14:paraId="14078FE2"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r w:rsidRPr="00EC0229">
        <w:rPr>
          <w:rFonts w:eastAsia="Times New Roman" w:cs="Times New Roman"/>
          <w:color w:val="000000"/>
          <w:position w:val="-11"/>
          <w:sz w:val="112"/>
          <w:szCs w:val="24"/>
          <w:lang w:eastAsia="en-GB"/>
        </w:rPr>
        <w:t>B</w:t>
      </w:r>
      <w:bookmarkStart w:id="987" w:name="B"/>
      <w:bookmarkEnd w:id="987"/>
    </w:p>
    <w:p w14:paraId="01277D1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ailey, R. N., 1974, ‘The Anglo-Saxon Metalwork from Hexham’, in D. P. Kirkby (ed.), Saint Wilfrid at Hexham (Newcastle upon Tyne: Oriel Press), pp. 141–67. [Pirie archive].</w:t>
      </w:r>
    </w:p>
    <w:p w14:paraId="62F6805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Baldwin Brown, G., 1915, </w:t>
      </w:r>
      <w:r w:rsidRPr="00EC0229">
        <w:rPr>
          <w:rFonts w:eastAsia="Times New Roman" w:cs="Times New Roman"/>
          <w:i/>
          <w:color w:val="000000"/>
          <w:szCs w:val="24"/>
          <w:lang w:eastAsia="en-GB"/>
        </w:rPr>
        <w:t>The Arts in Early England</w:t>
      </w:r>
      <w:r w:rsidRPr="00EC0229">
        <w:rPr>
          <w:rFonts w:eastAsia="Times New Roman" w:cs="Times New Roman"/>
          <w:color w:val="000000"/>
          <w:szCs w:val="24"/>
          <w:lang w:eastAsia="en-GB"/>
        </w:rPr>
        <w:t xml:space="preserve"> (London: John Murray).</w:t>
      </w:r>
    </w:p>
    <w:p w14:paraId="25A78C0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Banham, D., and R. Faith, 2014, </w:t>
      </w:r>
      <w:r w:rsidRPr="00EC0229">
        <w:rPr>
          <w:rFonts w:eastAsia="Times New Roman" w:cs="Times New Roman"/>
          <w:i/>
          <w:iCs/>
          <w:color w:val="000000"/>
          <w:szCs w:val="24"/>
          <w:lang w:eastAsia="en-GB"/>
        </w:rPr>
        <w:t>Anglo-Saxon Farms and Farming</w:t>
      </w:r>
      <w:r w:rsidRPr="00EC0229">
        <w:rPr>
          <w:rFonts w:eastAsia="Times New Roman" w:cs="Times New Roman"/>
          <w:color w:val="000000"/>
          <w:szCs w:val="24"/>
          <w:lang w:eastAsia="en-GB"/>
        </w:rPr>
        <w:t xml:space="preserve"> (Oxford: OUP).</w:t>
      </w:r>
    </w:p>
    <w:p w14:paraId="27B329A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Banting, H. M. J., 1989, </w:t>
      </w:r>
      <w:r w:rsidRPr="00EC0229">
        <w:rPr>
          <w:rFonts w:eastAsia="Times New Roman" w:cs="Times New Roman"/>
          <w:i/>
          <w:iCs/>
          <w:color w:val="000000"/>
          <w:szCs w:val="24"/>
          <w:lang w:eastAsia="en-GB"/>
        </w:rPr>
        <w:t>Two Anglo-Saxon Pontificals</w:t>
      </w:r>
      <w:r w:rsidRPr="00EC0229">
        <w:rPr>
          <w:rFonts w:eastAsia="Times New Roman" w:cs="Times New Roman"/>
          <w:color w:val="000000"/>
          <w:szCs w:val="24"/>
          <w:lang w:eastAsia="en-GB"/>
        </w:rPr>
        <w:t xml:space="preserve"> (Woodbridge: Boydell)</w:t>
      </w:r>
    </w:p>
    <w:p w14:paraId="1F52C2D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Barrow, G. W. S., 1969, ‘Northern English Society in the Early Middle Ages’, </w:t>
      </w:r>
      <w:r w:rsidRPr="00EC0229">
        <w:rPr>
          <w:rFonts w:eastAsia="Times New Roman" w:cs="Times New Roman"/>
          <w:i/>
          <w:iCs/>
          <w:color w:val="000000"/>
          <w:szCs w:val="24"/>
          <w:lang w:eastAsia="en-GB"/>
        </w:rPr>
        <w:t>NH</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4, 1–28.</w:t>
      </w:r>
    </w:p>
    <w:p w14:paraId="450988A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Bautier, R.-H., 1971, </w:t>
      </w:r>
      <w:r w:rsidRPr="00EC0229">
        <w:rPr>
          <w:rFonts w:eastAsia="Times New Roman" w:cs="Times New Roman"/>
          <w:i/>
          <w:iCs/>
          <w:color w:val="000000"/>
          <w:szCs w:val="24"/>
          <w:lang w:eastAsia="en-GB"/>
        </w:rPr>
        <w:t>The Economic Development of Medieval Europe</w:t>
      </w:r>
      <w:r w:rsidRPr="00EC0229">
        <w:rPr>
          <w:rFonts w:eastAsia="Times New Roman" w:cs="Times New Roman"/>
          <w:iCs/>
          <w:color w:val="000000"/>
          <w:szCs w:val="24"/>
          <w:lang w:eastAsia="en-GB"/>
        </w:rPr>
        <w:t>, trans. by H. Karolyi</w:t>
      </w:r>
      <w:r w:rsidRPr="00EC0229">
        <w:rPr>
          <w:rFonts w:eastAsia="Times New Roman" w:cs="Times New Roman"/>
          <w:color w:val="000000"/>
          <w:szCs w:val="24"/>
          <w:lang w:eastAsia="en-GB"/>
        </w:rPr>
        <w:t xml:space="preserve"> (London: Thames and Hudson).</w:t>
      </w:r>
    </w:p>
    <w:p w14:paraId="19CC1A4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Bede, 1896, </w:t>
      </w:r>
      <w:r w:rsidRPr="00EC0229">
        <w:rPr>
          <w:rFonts w:eastAsia="Times New Roman" w:cs="Times New Roman"/>
          <w:i/>
          <w:color w:val="000000"/>
          <w:szCs w:val="24"/>
          <w:lang w:eastAsia="en-GB"/>
        </w:rPr>
        <w:t>Historiam ecclesiasticam gentis Anglorum; Historiam abbatum; Epistolam ad Ecgberctum una cum Historia abbatum auctore anonymo</w:t>
      </w:r>
      <w:r w:rsidRPr="00EC0229">
        <w:rPr>
          <w:rFonts w:eastAsia="Times New Roman" w:cs="Times New Roman"/>
          <w:color w:val="000000"/>
          <w:szCs w:val="24"/>
          <w:lang w:eastAsia="en-GB"/>
        </w:rPr>
        <w:t>, ed. by C. Plummer, 2 vols (Oxford: Clarendon Press).</w:t>
      </w:r>
    </w:p>
    <w:p w14:paraId="4618E4B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Bede, 1969, </w:t>
      </w:r>
      <w:r w:rsidRPr="00EC0229">
        <w:rPr>
          <w:rFonts w:eastAsia="Times New Roman" w:cs="Times New Roman"/>
          <w:i/>
          <w:iCs/>
          <w:color w:val="000000"/>
          <w:szCs w:val="24"/>
          <w:lang w:eastAsia="en-GB"/>
        </w:rPr>
        <w:t>An Ecclesiastical History of the English People</w:t>
      </w:r>
      <w:r w:rsidRPr="00EC0229">
        <w:rPr>
          <w:rFonts w:eastAsia="Times New Roman" w:cs="Times New Roman"/>
          <w:color w:val="000000"/>
          <w:szCs w:val="24"/>
          <w:lang w:eastAsia="en-GB"/>
        </w:rPr>
        <w:t>, ed. and trans. by B. Colgrave and R. A. B. Mynors (Oxford: Clarendon Press).</w:t>
      </w:r>
    </w:p>
    <w:p w14:paraId="440A3E6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Behr, C., T. Pestell, and J. Hines, 2014, ‘</w:t>
      </w:r>
      <w:r w:rsidRPr="00EC0229">
        <w:rPr>
          <w:rFonts w:eastAsia="Times New Roman" w:cs="Times New Roman"/>
          <w:color w:val="292526"/>
          <w:szCs w:val="24"/>
          <w:lang w:eastAsia="en-GB"/>
        </w:rPr>
        <w:t xml:space="preserve">The Bracteate Hoard from Binham: An Early Anglo-Saxon Central Place?’, </w:t>
      </w:r>
      <w:r w:rsidRPr="00EC0229">
        <w:rPr>
          <w:rFonts w:eastAsia="Times New Roman" w:cs="Times New Roman"/>
          <w:i/>
          <w:iCs/>
          <w:color w:val="292526"/>
          <w:szCs w:val="24"/>
          <w:lang w:eastAsia="en-GB"/>
        </w:rPr>
        <w:t>Med Arch</w:t>
      </w:r>
      <w:r w:rsidRPr="00EC0229">
        <w:rPr>
          <w:rFonts w:eastAsia="Times New Roman" w:cs="Times New Roman"/>
          <w:color w:val="292526"/>
          <w:szCs w:val="24"/>
          <w:lang w:eastAsia="en-GB"/>
        </w:rPr>
        <w:t>, 58, 44–77.</w:t>
      </w:r>
    </w:p>
    <w:p w14:paraId="5808E90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Belfort, A. de, 1892–95, </w:t>
      </w:r>
      <w:r w:rsidRPr="00EC0229">
        <w:rPr>
          <w:rFonts w:eastAsia="Times New Roman" w:cs="Times New Roman"/>
          <w:i/>
          <w:iCs/>
          <w:color w:val="000000"/>
          <w:szCs w:val="24"/>
          <w:lang w:eastAsia="en-GB"/>
        </w:rPr>
        <w:t>Description générale des monnaies mérovingiennes</w:t>
      </w:r>
      <w:r w:rsidRPr="00EC0229">
        <w:rPr>
          <w:rFonts w:eastAsia="Times New Roman" w:cs="Times New Roman"/>
          <w:color w:val="000000"/>
          <w:szCs w:val="24"/>
          <w:lang w:eastAsia="en-GB"/>
        </w:rPr>
        <w:t>, 5 vols (Paris: Au siège de la Société française de numismatique).</w:t>
      </w:r>
    </w:p>
    <w:p w14:paraId="68E0BC2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Beresford, M., 1983, </w:t>
      </w:r>
      <w:r w:rsidRPr="00EC0229">
        <w:rPr>
          <w:rFonts w:eastAsia="Times New Roman" w:cs="Times New Roman"/>
          <w:i/>
          <w:iCs/>
          <w:color w:val="000000"/>
          <w:szCs w:val="24"/>
          <w:lang w:eastAsia="en-GB"/>
        </w:rPr>
        <w:t>The Lost Villages of England</w:t>
      </w:r>
      <w:r w:rsidRPr="00EC0229">
        <w:rPr>
          <w:rFonts w:eastAsia="Times New Roman" w:cs="Times New Roman"/>
          <w:color w:val="000000"/>
          <w:szCs w:val="24"/>
          <w:lang w:eastAsia="en-GB"/>
        </w:rPr>
        <w:t xml:space="preserve"> (Gloucester: Sutton; originally published 1954, London: Lutterworth).</w:t>
      </w:r>
    </w:p>
    <w:p w14:paraId="109F4C1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Beresford, M., and J. G. Hurst, 1990, </w:t>
      </w:r>
      <w:r w:rsidRPr="00EC0229">
        <w:rPr>
          <w:rFonts w:eastAsia="Times New Roman" w:cs="Times New Roman"/>
          <w:i/>
          <w:color w:val="000000"/>
          <w:szCs w:val="24"/>
          <w:lang w:eastAsia="en-GB"/>
        </w:rPr>
        <w:t xml:space="preserve">English Heritage Book of </w:t>
      </w:r>
      <w:r w:rsidRPr="00EC0229">
        <w:rPr>
          <w:rFonts w:eastAsia="Times New Roman" w:cs="Times New Roman"/>
          <w:i/>
          <w:iCs/>
          <w:color w:val="000000"/>
          <w:szCs w:val="24"/>
          <w:lang w:eastAsia="en-GB"/>
        </w:rPr>
        <w:t xml:space="preserve">Wharram Percy: Deserted Medieval Village </w:t>
      </w:r>
      <w:r w:rsidRPr="00EC0229">
        <w:rPr>
          <w:rFonts w:eastAsia="Times New Roman" w:cs="Times New Roman"/>
          <w:color w:val="000000"/>
          <w:szCs w:val="24"/>
          <w:lang w:eastAsia="en-GB"/>
        </w:rPr>
        <w:t>(London: Batsford).</w:t>
      </w:r>
    </w:p>
    <w:p w14:paraId="4A369DA4" w14:textId="77777777" w:rsidR="005B3AC3" w:rsidRPr="00EC0229" w:rsidRDefault="005B3AC3" w:rsidP="005B3AC3">
      <w:pPr>
        <w:spacing w:after="0"/>
        <w:rPr>
          <w:rFonts w:eastAsia="Times New Roman" w:cs="Times New Roman"/>
          <w:i/>
          <w:color w:val="000000"/>
          <w:szCs w:val="24"/>
          <w:lang w:eastAsia="en-GB"/>
        </w:rPr>
      </w:pPr>
      <w:r w:rsidRPr="00EC0229">
        <w:rPr>
          <w:rFonts w:eastAsia="Times New Roman" w:cs="Times New Roman"/>
          <w:color w:val="000000"/>
          <w:szCs w:val="24"/>
          <w:lang w:eastAsia="en-GB"/>
        </w:rPr>
        <w:t xml:space="preserve">Bevan, A., 2012, ‘Spatial Methods for Analysing Large-Scale Artefact Inventories’, </w:t>
      </w:r>
      <w:r w:rsidRPr="00EC0229">
        <w:rPr>
          <w:rFonts w:eastAsia="Times New Roman" w:cs="Times New Roman"/>
          <w:i/>
          <w:color w:val="000000"/>
          <w:szCs w:val="24"/>
          <w:lang w:eastAsia="en-GB"/>
        </w:rPr>
        <w:t>Antiquity</w:t>
      </w:r>
      <w:r w:rsidRPr="00EC0229">
        <w:rPr>
          <w:rFonts w:eastAsia="Times New Roman" w:cs="Times New Roman"/>
          <w:color w:val="000000"/>
          <w:szCs w:val="24"/>
          <w:lang w:eastAsia="en-GB"/>
        </w:rPr>
        <w:t>, 86, 492–506.</w:t>
      </w:r>
    </w:p>
    <w:p w14:paraId="2C4A788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Birbeck, V., R. J. C. Smith, P. Andrews, and N. Stoodley, 2005, </w:t>
      </w:r>
      <w:r w:rsidRPr="00EC0229">
        <w:rPr>
          <w:rFonts w:eastAsia="Times New Roman" w:cs="Times New Roman"/>
          <w:i/>
          <w:iCs/>
          <w:color w:val="000000"/>
          <w:szCs w:val="24"/>
          <w:lang w:eastAsia="en-GB"/>
        </w:rPr>
        <w:t>The Origins of Mid-Saxon Southampton: Excavations at the Friends Provident St Mary’s Stadium, 1998–2000</w:t>
      </w:r>
      <w:r w:rsidRPr="00EC0229">
        <w:rPr>
          <w:rFonts w:eastAsia="Times New Roman" w:cs="Times New Roman"/>
          <w:color w:val="000000"/>
          <w:szCs w:val="24"/>
          <w:lang w:eastAsia="en-GB"/>
        </w:rPr>
        <w:t xml:space="preserve"> (Salisbury: Wessex Archaeology Salisbury).</w:t>
      </w:r>
    </w:p>
    <w:p w14:paraId="3FFE34E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1989, ‘Single-Finds as a Measure of Monetary Activity in the Early Middle Ages’, </w:t>
      </w:r>
      <w:r w:rsidRPr="00EC0229">
        <w:rPr>
          <w:rFonts w:eastAsia="Times New Roman" w:cs="Times New Roman"/>
          <w:i/>
          <w:iCs/>
          <w:color w:val="000000"/>
          <w:szCs w:val="24"/>
          <w:lang w:eastAsia="en-GB"/>
        </w:rPr>
        <w:t xml:space="preserve">Prace i </w:t>
      </w:r>
      <w:proofErr w:type="spellStart"/>
      <w:r w:rsidRPr="00EC0229">
        <w:rPr>
          <w:rFonts w:eastAsia="Times New Roman" w:cs="Times New Roman"/>
          <w:i/>
          <w:iCs/>
          <w:color w:val="000000"/>
          <w:szCs w:val="24"/>
          <w:lang w:eastAsia="en-GB"/>
        </w:rPr>
        <w:t>Materiały</w:t>
      </w:r>
      <w:proofErr w:type="spellEnd"/>
      <w:r w:rsidRPr="00EC0229">
        <w:rPr>
          <w:rFonts w:eastAsia="Times New Roman" w:cs="Times New Roman"/>
          <w:i/>
          <w:iCs/>
          <w:color w:val="000000"/>
          <w:szCs w:val="24"/>
          <w:lang w:eastAsia="en-GB"/>
        </w:rPr>
        <w:t xml:space="preserve">, Muzeum Archeologicznego i Etnograficznego w </w:t>
      </w:r>
      <w:proofErr w:type="spellStart"/>
      <w:r w:rsidRPr="00EC0229">
        <w:rPr>
          <w:rFonts w:eastAsia="Times New Roman" w:cs="Times New Roman"/>
          <w:i/>
          <w:iCs/>
          <w:color w:val="000000"/>
          <w:szCs w:val="24"/>
          <w:lang w:eastAsia="en-GB"/>
        </w:rPr>
        <w:t>Łodzi</w:t>
      </w:r>
      <w:proofErr w:type="spellEnd"/>
      <w:r w:rsidRPr="00EC0229">
        <w:rPr>
          <w:rFonts w:eastAsia="Times New Roman" w:cs="Times New Roman"/>
          <w:i/>
          <w:iCs/>
          <w:color w:val="000000"/>
          <w:szCs w:val="24"/>
          <w:lang w:eastAsia="en-GB"/>
        </w:rPr>
        <w:t>. Seria Numizmatyczna i Konserwatorska</w:t>
      </w:r>
      <w:r w:rsidRPr="00EC0229">
        <w:rPr>
          <w:rFonts w:eastAsia="Times New Roman" w:cs="Times New Roman"/>
          <w:iCs/>
          <w:color w:val="000000"/>
          <w:szCs w:val="24"/>
          <w:lang w:eastAsia="en-GB"/>
        </w:rPr>
        <w:t>,</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9, 67–85.</w:t>
      </w:r>
    </w:p>
    <w:p w14:paraId="16411AD4" w14:textId="1C3BF40F"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1993, ‘Coin Finds and Coin Circulation in Lindsay, </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 xml:space="preserve">600–900’, in A. Vince (ed.), </w:t>
      </w:r>
      <w:r w:rsidRPr="00EC0229">
        <w:rPr>
          <w:rFonts w:eastAsia="Times New Roman" w:cs="Times New Roman"/>
          <w:i/>
          <w:iCs/>
          <w:color w:val="000000"/>
          <w:szCs w:val="24"/>
          <w:lang w:eastAsia="en-GB"/>
        </w:rPr>
        <w:t>Pre-Viking Lindsey</w:t>
      </w:r>
      <w:r w:rsidRPr="00EC0229">
        <w:rPr>
          <w:rFonts w:eastAsia="Times New Roman" w:cs="Times New Roman"/>
          <w:color w:val="000000"/>
          <w:szCs w:val="24"/>
          <w:lang w:eastAsia="en-GB"/>
        </w:rPr>
        <w:t xml:space="preserve"> (Lincoln: City of Lincoln Archaeology Unit), pp. 80–90.</w:t>
      </w:r>
    </w:p>
    <w:p w14:paraId="5AAEE95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1994, ‘A Variant of the Seventh-Century “York” Group of Shillings Found in Lincolnshire’, </w:t>
      </w:r>
      <w:r w:rsidRPr="00EC0229">
        <w:rPr>
          <w:rFonts w:eastAsia="Times New Roman" w:cs="Times New Roman"/>
          <w:i/>
          <w:color w:val="000000"/>
          <w:szCs w:val="24"/>
          <w:lang w:eastAsia="en-GB"/>
        </w:rPr>
        <w:t>NC</w:t>
      </w:r>
      <w:r w:rsidRPr="00EC0229">
        <w:rPr>
          <w:rFonts w:eastAsia="Times New Roman" w:cs="Times New Roman"/>
          <w:color w:val="000000"/>
          <w:szCs w:val="24"/>
          <w:lang w:eastAsia="en-GB"/>
        </w:rPr>
        <w:t>, 154, 204–08.</w:t>
      </w:r>
    </w:p>
    <w:p w14:paraId="033B9764" w14:textId="23C9C0D1"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Blackbu</w:t>
      </w:r>
      <w:r w:rsidR="00774624" w:rsidRPr="00EC0229">
        <w:rPr>
          <w:rFonts w:eastAsia="Times New Roman" w:cs="Times New Roman"/>
          <w:color w:val="000000"/>
          <w:szCs w:val="24"/>
          <w:lang w:eastAsia="en-GB"/>
        </w:rPr>
        <w:t>rn, M. A. S., 1998, ‘A New Coin</w:t>
      </w:r>
      <w:r w:rsidRPr="00EC0229">
        <w:rPr>
          <w:rFonts w:eastAsia="Times New Roman" w:cs="Times New Roman"/>
          <w:color w:val="000000"/>
          <w:szCs w:val="24"/>
          <w:lang w:eastAsia="en-GB"/>
        </w:rPr>
        <w:t xml:space="preserve"> of King Eadbald of Kent (616–40)’, </w:t>
      </w:r>
      <w:r w:rsidRPr="00EC0229">
        <w:rPr>
          <w:rFonts w:eastAsia="Times New Roman" w:cs="Times New Roman"/>
          <w:i/>
          <w:color w:val="000000"/>
          <w:szCs w:val="24"/>
          <w:lang w:eastAsia="en-GB"/>
        </w:rPr>
        <w:t>Chris Rudd List</w:t>
      </w:r>
      <w:r w:rsidRPr="00EC0229">
        <w:rPr>
          <w:rFonts w:eastAsia="Times New Roman" w:cs="Times New Roman"/>
          <w:color w:val="000000"/>
          <w:szCs w:val="24"/>
          <w:lang w:eastAsia="en-GB"/>
        </w:rPr>
        <w:t>, 34, pp. 2–4</w:t>
      </w:r>
    </w:p>
    <w:p w14:paraId="202B7B7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2003, ‘Productive Sites and the Pattern of Coin Loss in England, 600–1180’, in </w:t>
      </w:r>
      <w:r w:rsidRPr="00EC0229">
        <w:rPr>
          <w:rFonts w:eastAsia="Times New Roman" w:cs="Times New Roman"/>
          <w:i/>
          <w:iCs/>
          <w:color w:val="000000"/>
          <w:szCs w:val="24"/>
          <w:lang w:eastAsia="en-GB"/>
        </w:rPr>
        <w:t>P&amp;U</w:t>
      </w:r>
      <w:r w:rsidRPr="00EC0229">
        <w:rPr>
          <w:rFonts w:eastAsia="Times New Roman" w:cs="Times New Roman"/>
          <w:color w:val="000000"/>
          <w:szCs w:val="24"/>
          <w:lang w:eastAsia="en-GB"/>
        </w:rPr>
        <w:t>, pp. 20–36.</w:t>
      </w:r>
    </w:p>
    <w:p w14:paraId="3F2B8D0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Blackburn, M. A. S., 2004, ‘The Coinage of Scandinavian York’, in R. A. Hall and others (eds), </w:t>
      </w:r>
      <w:r w:rsidRPr="00EC0229">
        <w:rPr>
          <w:rFonts w:eastAsia="Times New Roman" w:cs="Times New Roman"/>
          <w:i/>
          <w:iCs/>
          <w:color w:val="000000"/>
          <w:szCs w:val="24"/>
          <w:lang w:eastAsia="en-GB"/>
        </w:rPr>
        <w:t>Aspects of Anglo-Scandinavian York</w:t>
      </w:r>
      <w:r w:rsidRPr="00EC0229">
        <w:rPr>
          <w:rFonts w:eastAsia="Times New Roman" w:cs="Times New Roman"/>
          <w:color w:val="000000"/>
          <w:szCs w:val="24"/>
          <w:lang w:eastAsia="en-GB"/>
        </w:rPr>
        <w:t>, AY, 8.4 (York: CBA), pp. 325–49.</w:t>
      </w:r>
    </w:p>
    <w:p w14:paraId="04CDEA0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2006, ‘Two New Types of Anglo-Saxon Gold Shillings’, in </w:t>
      </w:r>
      <w:r w:rsidRPr="00EC0229">
        <w:rPr>
          <w:rFonts w:eastAsia="Times New Roman" w:cs="Times New Roman"/>
          <w:i/>
          <w:color w:val="000000"/>
          <w:szCs w:val="24"/>
          <w:lang w:eastAsia="en-GB"/>
        </w:rPr>
        <w:t>Archibald Festschrift</w:t>
      </w:r>
      <w:r w:rsidRPr="00EC0229">
        <w:rPr>
          <w:rFonts w:eastAsia="Times New Roman" w:cs="Times New Roman"/>
          <w:color w:val="000000"/>
          <w:szCs w:val="24"/>
          <w:lang w:eastAsia="en-GB"/>
        </w:rPr>
        <w:t>, pp. 127–40.</w:t>
      </w:r>
    </w:p>
    <w:p w14:paraId="6A98205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2007, ‘Gold in England during the “Age of Silver” (Eighth–Eleventh Centuries)’, in </w:t>
      </w:r>
      <w:r w:rsidRPr="00EC0229">
        <w:rPr>
          <w:rFonts w:eastAsia="Times New Roman" w:cs="Times New Roman"/>
          <w:i/>
          <w:iCs/>
          <w:color w:val="000000"/>
          <w:szCs w:val="24"/>
          <w:lang w:eastAsia="en-GB"/>
        </w:rPr>
        <w:t>SEVA</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pp. 55–98.</w:t>
      </w:r>
    </w:p>
    <w:p w14:paraId="691E08A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2011, ‘Coinage in Its Archaeological Context’, in </w:t>
      </w:r>
      <w:r w:rsidRPr="00EC0229">
        <w:rPr>
          <w:rFonts w:eastAsia="Times New Roman" w:cs="Times New Roman"/>
          <w:i/>
          <w:iCs/>
          <w:color w:val="000000"/>
          <w:szCs w:val="24"/>
          <w:lang w:eastAsia="en-GB"/>
        </w:rPr>
        <w:t>A Handbook of Anglo-Saxon Archaeology</w:t>
      </w:r>
      <w:r w:rsidRPr="00EC0229">
        <w:rPr>
          <w:rFonts w:eastAsia="Times New Roman" w:cs="Times New Roman"/>
          <w:color w:val="000000"/>
          <w:szCs w:val="24"/>
          <w:lang w:eastAsia="en-GB"/>
        </w:rPr>
        <w:t>, ed. by H. Hamerow and D. Hinton (Oxford: OUP).</w:t>
      </w:r>
    </w:p>
    <w:p w14:paraId="403F582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and M. Bonser, 1986, ‘Single Finds of Anglo-Saxon and Norman Coins – 3’,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56, 64–102.</w:t>
      </w:r>
    </w:p>
    <w:p w14:paraId="59255CF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Blackburn, M. A. S., and D. N. Dumville (eds), 1998, </w:t>
      </w:r>
      <w:r w:rsidRPr="00EC0229">
        <w:rPr>
          <w:rFonts w:eastAsia="Times New Roman" w:cs="Times New Roman"/>
          <w:i/>
          <w:color w:val="000000"/>
          <w:szCs w:val="24"/>
          <w:lang w:eastAsia="en-GB"/>
        </w:rPr>
        <w:t>Kings, Currency and Alliances: The History of Southern England in the Ninth Century</w:t>
      </w:r>
      <w:r w:rsidRPr="00EC0229">
        <w:rPr>
          <w:rFonts w:eastAsia="Times New Roman" w:cs="Times New Roman"/>
          <w:color w:val="000000"/>
          <w:szCs w:val="24"/>
          <w:lang w:eastAsia="en-GB"/>
        </w:rPr>
        <w:t xml:space="preserve"> (Woodbridge: Boydell and Brewer).</w:t>
      </w:r>
    </w:p>
    <w:p w14:paraId="096CE55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Blair, J., 2005, </w:t>
      </w:r>
      <w:r w:rsidRPr="00EC0229">
        <w:rPr>
          <w:rFonts w:eastAsia="Times New Roman" w:cs="Times New Roman"/>
          <w:i/>
          <w:iCs/>
          <w:color w:val="000000"/>
          <w:szCs w:val="24"/>
          <w:lang w:eastAsia="en-GB"/>
        </w:rPr>
        <w:t>The Church in Anglo-Saxon Society</w:t>
      </w:r>
      <w:r w:rsidRPr="00EC0229">
        <w:rPr>
          <w:rFonts w:eastAsia="Times New Roman" w:cs="Times New Roman"/>
          <w:color w:val="000000"/>
          <w:szCs w:val="24"/>
          <w:lang w:eastAsia="en-GB"/>
        </w:rPr>
        <w:t xml:space="preserve"> (Oxford: OUP).</w:t>
      </w:r>
    </w:p>
    <w:p w14:paraId="31A74AD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Bland, R., and C. Johns, 1993, </w:t>
      </w:r>
      <w:r w:rsidRPr="00EC0229">
        <w:rPr>
          <w:rFonts w:eastAsia="Times New Roman" w:cs="Times New Roman"/>
          <w:i/>
          <w:iCs/>
          <w:color w:val="000000"/>
          <w:szCs w:val="24"/>
          <w:lang w:eastAsia="en-GB"/>
        </w:rPr>
        <w:t>The Hoxne Treasure: An Illustrated Introduction</w:t>
      </w:r>
      <w:r w:rsidRPr="00EC0229">
        <w:rPr>
          <w:rFonts w:eastAsia="Times New Roman" w:cs="Times New Roman"/>
          <w:color w:val="000000"/>
          <w:szCs w:val="24"/>
          <w:lang w:eastAsia="en-GB"/>
        </w:rPr>
        <w:t xml:space="preserve"> (London: BM).</w:t>
      </w:r>
    </w:p>
    <w:p w14:paraId="79EF0D31" w14:textId="77777777" w:rsidR="005B3AC3" w:rsidRPr="00EC0229" w:rsidRDefault="005B3AC3" w:rsidP="005B3AC3">
      <w:pPr>
        <w:spacing w:after="0"/>
        <w:rPr>
          <w:rFonts w:eastAsia="Times New Roman" w:cs="Times New Roman"/>
          <w:color w:val="000000"/>
          <w:szCs w:val="24"/>
          <w:lang w:eastAsia="en-GB"/>
        </w:rPr>
      </w:pPr>
      <w:bookmarkStart w:id="988" w:name="RANGE!A55"/>
      <w:r w:rsidRPr="00EC0229">
        <w:rPr>
          <w:rFonts w:eastAsia="Times New Roman" w:cs="Times New Roman"/>
          <w:color w:val="000000"/>
          <w:szCs w:val="24"/>
          <w:lang w:eastAsia="en-GB"/>
        </w:rPr>
        <w:t xml:space="preserve">Bloch, M., 1961, </w:t>
      </w:r>
      <w:r w:rsidRPr="00EC0229">
        <w:rPr>
          <w:rFonts w:eastAsia="Times New Roman" w:cs="Times New Roman"/>
          <w:i/>
          <w:iCs/>
          <w:color w:val="000000"/>
          <w:szCs w:val="24"/>
          <w:lang w:eastAsia="en-GB"/>
        </w:rPr>
        <w:t>Feudal Society</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trans. by L. A. Manyon (Chicago: University of Chicago Press)</w:t>
      </w:r>
      <w:bookmarkEnd w:id="988"/>
      <w:r w:rsidRPr="00EC0229">
        <w:rPr>
          <w:rFonts w:eastAsia="Times New Roman" w:cs="Times New Roman"/>
          <w:color w:val="000000"/>
          <w:szCs w:val="24"/>
          <w:lang w:eastAsia="en-GB"/>
        </w:rPr>
        <w:t>.</w:t>
      </w:r>
    </w:p>
    <w:p w14:paraId="62DA110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Blunt, C., 1960, ‘Presidential Address’, </w:t>
      </w:r>
      <w:r w:rsidRPr="00EC0229">
        <w:rPr>
          <w:rFonts w:eastAsia="Times New Roman" w:cs="Times New Roman"/>
          <w:i/>
          <w:iCs/>
          <w:color w:val="000000"/>
          <w:szCs w:val="24"/>
          <w:lang w:eastAsia="en-GB"/>
        </w:rPr>
        <w:t>NC</w:t>
      </w:r>
      <w:r w:rsidRPr="00EC0229">
        <w:rPr>
          <w:rFonts w:eastAsia="Times New Roman" w:cs="Times New Roman"/>
          <w:color w:val="000000"/>
          <w:szCs w:val="24"/>
          <w:lang w:eastAsia="en-GB"/>
        </w:rPr>
        <w:t xml:space="preserve"> 6</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 xml:space="preserve"> ser., 20, iv–vii.</w:t>
      </w:r>
    </w:p>
    <w:p w14:paraId="62CB251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Bohannan, P., 1957, </w:t>
      </w:r>
      <w:r w:rsidRPr="00EC0229">
        <w:rPr>
          <w:rFonts w:eastAsia="Times New Roman" w:cs="Times New Roman"/>
          <w:i/>
          <w:iCs/>
          <w:color w:val="000000"/>
          <w:szCs w:val="24"/>
          <w:lang w:eastAsia="en-GB"/>
        </w:rPr>
        <w:t xml:space="preserve">Justice and Judgement among the Tiv </w:t>
      </w:r>
      <w:r w:rsidRPr="00EC0229">
        <w:rPr>
          <w:rFonts w:eastAsia="Times New Roman" w:cs="Times New Roman"/>
          <w:color w:val="000000"/>
          <w:szCs w:val="24"/>
          <w:lang w:eastAsia="en-GB"/>
        </w:rPr>
        <w:t>(Oxford: OUP).</w:t>
      </w:r>
    </w:p>
    <w:p w14:paraId="265B838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Bonser, M., 1997, ‘Fifteen Years of Coin Finds from Productive Sites’,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3, 39–45.</w:t>
      </w:r>
    </w:p>
    <w:p w14:paraId="1FD1C28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Bonser, M., 2011, ‘The “North of England” Productive Site Revisited’</w:t>
      </w:r>
      <w:r w:rsidRPr="00EC0229">
        <w:rPr>
          <w:rFonts w:eastAsia="Times New Roman" w:cs="Times New Roman"/>
          <w:i/>
          <w:iCs/>
          <w:color w:val="000000"/>
          <w:szCs w:val="24"/>
          <w:lang w:eastAsia="en-GB"/>
        </w:rPr>
        <w:t>,</w:t>
      </w:r>
      <w:r w:rsidRPr="00EC0229">
        <w:rPr>
          <w:rFonts w:eastAsia="Times New Roman" w:cs="Times New Roman"/>
          <w:color w:val="000000"/>
          <w:szCs w:val="24"/>
          <w:lang w:eastAsia="en-GB"/>
        </w:rPr>
        <w:t xml:space="preserve">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2, pp. 159–80.</w:t>
      </w:r>
    </w:p>
    <w:p w14:paraId="4D1FE7B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Booth, J., 1984, ‘Sceattas in Northumbria’, in </w:t>
      </w:r>
      <w:r w:rsidRPr="00EC0229">
        <w:rPr>
          <w:rFonts w:eastAsia="Times New Roman" w:cs="Times New Roman"/>
          <w:iCs/>
          <w:color w:val="000000"/>
          <w:szCs w:val="24"/>
          <w:lang w:eastAsia="en-GB"/>
        </w:rPr>
        <w:t>BAR</w:t>
      </w:r>
      <w:r w:rsidRPr="00EC0229">
        <w:rPr>
          <w:rFonts w:eastAsia="Times New Roman" w:cs="Times New Roman"/>
          <w:color w:val="000000"/>
          <w:szCs w:val="24"/>
          <w:lang w:eastAsia="en-GB"/>
        </w:rPr>
        <w:t>128, pp. 71–111.</w:t>
      </w:r>
    </w:p>
    <w:p w14:paraId="5C09464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Booth, J., 1997a, </w:t>
      </w:r>
      <w:r w:rsidRPr="00EC0229">
        <w:rPr>
          <w:rFonts w:eastAsia="Times New Roman" w:cs="Times New Roman"/>
          <w:i/>
          <w:iCs/>
          <w:color w:val="000000"/>
          <w:szCs w:val="24"/>
          <w:lang w:eastAsia="en-GB"/>
        </w:rPr>
        <w:t>Northern Museums: Ancient British, Anglo-Saxon, Norman and Plantagenet Coins to 1279</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SCBI,</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48 (Oxford: OUP).</w:t>
      </w:r>
    </w:p>
    <w:p w14:paraId="6ADAC43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Booth, J., 1997b, ‘Northumbrian Coinage and the Productive Site at South Newbald’,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3, 15–38.</w:t>
      </w:r>
    </w:p>
    <w:p w14:paraId="65A7A1A4" w14:textId="45408129"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Booth, J., 2011, ‘Notes on the Keith Chapman Collection of Northumbrian Silver Sceats, </w:t>
      </w:r>
      <w:r w:rsidR="002132F1">
        <w:rPr>
          <w:rFonts w:eastAsia="Times New Roman" w:cs="Times New Roman"/>
          <w:i/>
          <w:iCs/>
          <w:color w:val="000000"/>
          <w:szCs w:val="24"/>
          <w:lang w:eastAsia="en-GB"/>
        </w:rPr>
        <w:t>c.</w:t>
      </w:r>
      <w:r w:rsidRPr="00EC0229">
        <w:rPr>
          <w:rFonts w:eastAsia="Times New Roman" w:cs="Times New Roman"/>
          <w:color w:val="000000"/>
          <w:szCs w:val="24"/>
          <w:lang w:eastAsia="en-GB"/>
        </w:rPr>
        <w:t>700–</w:t>
      </w:r>
      <w:r w:rsidR="002132F1">
        <w:rPr>
          <w:rFonts w:eastAsia="Times New Roman" w:cs="Times New Roman"/>
          <w:i/>
          <w:iCs/>
          <w:color w:val="000000"/>
          <w:szCs w:val="24"/>
          <w:lang w:eastAsia="en-GB"/>
        </w:rPr>
        <w:t>c.</w:t>
      </w:r>
      <w:r w:rsidRPr="00EC0229">
        <w:rPr>
          <w:rFonts w:eastAsia="Times New Roman" w:cs="Times New Roman"/>
          <w:color w:val="000000"/>
          <w:szCs w:val="24"/>
          <w:lang w:eastAsia="en-GB"/>
        </w:rPr>
        <w:t xml:space="preserve">788’,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2, pp. 193–216.</w:t>
      </w:r>
    </w:p>
    <w:p w14:paraId="6AF0FB0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Booth, J., 2014, ‘When Did the Western Roman Empire End?’, in </w:t>
      </w:r>
      <w:r w:rsidRPr="00EC0229">
        <w:rPr>
          <w:rFonts w:eastAsia="Times New Roman" w:cs="Times New Roman"/>
          <w:i/>
          <w:iCs/>
          <w:color w:val="000000"/>
          <w:szCs w:val="24"/>
          <w:lang w:eastAsia="en-GB"/>
        </w:rPr>
        <w:t>YNS Newsletter</w:t>
      </w:r>
      <w:r w:rsidRPr="00EC0229">
        <w:rPr>
          <w:rFonts w:eastAsia="Times New Roman" w:cs="Times New Roman"/>
          <w:color w:val="000000"/>
          <w:szCs w:val="24"/>
          <w:lang w:eastAsia="en-GB"/>
        </w:rPr>
        <w:t>, January 2014, pp. 3–7.</w:t>
      </w:r>
    </w:p>
    <w:p w14:paraId="39DBFFD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Booth, J., and I. Blowers, 1983, ‘Finds of Sceattas and Stycas from Sancton’, </w:t>
      </w:r>
      <w:r w:rsidRPr="00EC0229">
        <w:rPr>
          <w:rFonts w:eastAsia="Times New Roman" w:cs="Times New Roman"/>
          <w:i/>
          <w:iCs/>
          <w:color w:val="000000"/>
          <w:szCs w:val="24"/>
          <w:lang w:eastAsia="en-GB"/>
        </w:rPr>
        <w:t>NC</w:t>
      </w:r>
      <w:r w:rsidRPr="00EC0229">
        <w:rPr>
          <w:rFonts w:eastAsia="Times New Roman" w:cs="Times New Roman"/>
          <w:iCs/>
          <w:color w:val="000000"/>
          <w:szCs w:val="24"/>
          <w:lang w:eastAsia="en-GB"/>
        </w:rPr>
        <w:t>, 143</w:t>
      </w:r>
      <w:r w:rsidRPr="00EC0229">
        <w:rPr>
          <w:rFonts w:eastAsia="Times New Roman" w:cs="Times New Roman"/>
          <w:color w:val="000000"/>
          <w:szCs w:val="24"/>
          <w:lang w:eastAsia="en-GB"/>
        </w:rPr>
        <w:t>, 139–45.</w:t>
      </w:r>
    </w:p>
    <w:p w14:paraId="47F26D9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Breeze, A., 2009, ‘The Name of Bernicia’, </w:t>
      </w:r>
      <w:r w:rsidRPr="00EC0229">
        <w:rPr>
          <w:rFonts w:eastAsia="Times New Roman" w:cs="Times New Roman"/>
          <w:i/>
          <w:iCs/>
          <w:color w:val="000000"/>
          <w:szCs w:val="24"/>
          <w:lang w:eastAsia="en-GB"/>
        </w:rPr>
        <w:t>The Antiquaries Journal</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89, 73–79.</w:t>
      </w:r>
    </w:p>
    <w:p w14:paraId="3A63F4B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Brindle, T., 2013, ‘Making the Most of PAS Data: Macro- and Micro-Level Studies of Romano-British Settlement’, </w:t>
      </w:r>
      <w:r w:rsidRPr="00EC0229">
        <w:rPr>
          <w:rFonts w:eastAsia="Times New Roman" w:cs="Times New Roman"/>
          <w:i/>
          <w:color w:val="000000"/>
          <w:szCs w:val="24"/>
          <w:lang w:eastAsia="en-GB"/>
        </w:rPr>
        <w:t>Landscapes</w:t>
      </w:r>
      <w:r w:rsidRPr="00EC0229">
        <w:rPr>
          <w:rFonts w:eastAsia="Times New Roman" w:cs="Times New Roman"/>
          <w:color w:val="000000"/>
          <w:szCs w:val="24"/>
          <w:lang w:eastAsia="en-GB"/>
        </w:rPr>
        <w:t>, 14, 73–91.</w:t>
      </w:r>
    </w:p>
    <w:p w14:paraId="27AF80F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Brindle, T., 2014, </w:t>
      </w:r>
      <w:r w:rsidRPr="00EC0229">
        <w:rPr>
          <w:rFonts w:eastAsia="Times New Roman" w:cs="Times New Roman"/>
          <w:i/>
          <w:color w:val="000000"/>
          <w:szCs w:val="24"/>
          <w:lang w:eastAsia="en-GB"/>
        </w:rPr>
        <w:t>The Portable Antiquities Scheme and Roman Britain</w:t>
      </w:r>
      <w:r w:rsidRPr="00EC0229">
        <w:rPr>
          <w:rFonts w:eastAsia="Times New Roman" w:cs="Times New Roman"/>
          <w:color w:val="000000"/>
          <w:szCs w:val="24"/>
          <w:lang w:eastAsia="en-GB"/>
        </w:rPr>
        <w:t xml:space="preserve"> (London: BM).</w:t>
      </w:r>
    </w:p>
    <w:p w14:paraId="12F3934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Brook, A. B., 2006, </w:t>
      </w:r>
      <w:r w:rsidRPr="00EC0229">
        <w:rPr>
          <w:rFonts w:eastAsia="Times New Roman" w:cs="Times New Roman"/>
          <w:i/>
          <w:iCs/>
          <w:color w:val="000000"/>
          <w:szCs w:val="24"/>
          <w:lang w:eastAsia="en-GB"/>
        </w:rPr>
        <w:t>The Jews of Khazaria</w:t>
      </w:r>
      <w:r w:rsidRPr="00EC0229">
        <w:rPr>
          <w:rFonts w:eastAsia="Times New Roman" w:cs="Times New Roman"/>
          <w:iCs/>
          <w:color w:val="000000"/>
          <w:szCs w:val="24"/>
          <w:lang w:eastAsia="en-GB"/>
        </w:rPr>
        <w:t>, 2</w:t>
      </w:r>
      <w:r w:rsidRPr="00EC0229">
        <w:rPr>
          <w:rFonts w:eastAsia="Times New Roman" w:cs="Times New Roman"/>
          <w:iCs/>
          <w:color w:val="000000"/>
          <w:szCs w:val="24"/>
          <w:vertAlign w:val="superscript"/>
          <w:lang w:eastAsia="en-GB"/>
        </w:rPr>
        <w:t>nd</w:t>
      </w:r>
      <w:r w:rsidRPr="00EC0229">
        <w:rPr>
          <w:rFonts w:eastAsia="Times New Roman" w:cs="Times New Roman"/>
          <w:iCs/>
          <w:color w:val="000000"/>
          <w:szCs w:val="24"/>
          <w:lang w:eastAsia="en-GB"/>
        </w:rPr>
        <w:t xml:space="preserve"> edn</w:t>
      </w:r>
      <w:r w:rsidRPr="00EC0229">
        <w:rPr>
          <w:rFonts w:eastAsia="Times New Roman" w:cs="Times New Roman"/>
          <w:color w:val="000000"/>
          <w:szCs w:val="24"/>
          <w:lang w:eastAsia="en-GB"/>
        </w:rPr>
        <w:t xml:space="preserve"> (Lanham: Rowman &amp; Littlefield).</w:t>
      </w:r>
    </w:p>
    <w:p w14:paraId="25667EF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Brooke, D., 1999, </w:t>
      </w:r>
      <w:r w:rsidRPr="00EC0229">
        <w:rPr>
          <w:rFonts w:eastAsia="Times New Roman" w:cs="Times New Roman"/>
          <w:i/>
          <w:color w:val="000000"/>
          <w:szCs w:val="24"/>
          <w:lang w:eastAsia="en-GB"/>
        </w:rPr>
        <w:t>Saints and Goddesses: The Interface with Celtic Paganism</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Whithorn Lecture,</w:t>
      </w:r>
      <w:r w:rsidRPr="00EC0229">
        <w:rPr>
          <w:rFonts w:eastAsia="Times New Roman" w:cs="Times New Roman"/>
          <w:i/>
          <w:iCs/>
          <w:color w:val="000000"/>
          <w:szCs w:val="24"/>
          <w:lang w:eastAsia="en-GB"/>
        </w:rPr>
        <w:t xml:space="preserve"> </w:t>
      </w:r>
      <w:r w:rsidRPr="00EC0229">
        <w:rPr>
          <w:rFonts w:eastAsia="Times New Roman" w:cs="Times New Roman"/>
          <w:iCs/>
          <w:color w:val="000000"/>
          <w:szCs w:val="24"/>
          <w:lang w:eastAsia="en-GB"/>
        </w:rPr>
        <w:t>7</w:t>
      </w:r>
      <w:r w:rsidRPr="00EC0229">
        <w:rPr>
          <w:rFonts w:eastAsia="Times New Roman" w:cs="Times New Roman"/>
          <w:color w:val="000000"/>
          <w:szCs w:val="24"/>
          <w:lang w:eastAsia="en-GB"/>
        </w:rPr>
        <w:t xml:space="preserve"> (Whithorn: Friends of the Whithorn Trust). [Pirie archive].</w:t>
      </w:r>
    </w:p>
    <w:p w14:paraId="6822621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Brooks, N., 1987, ‘Epilogue’, in </w:t>
      </w:r>
      <w:r w:rsidRPr="00EC0229">
        <w:rPr>
          <w:rFonts w:eastAsia="Times New Roman" w:cs="Times New Roman"/>
          <w:iCs/>
          <w:color w:val="000000"/>
          <w:szCs w:val="24"/>
          <w:lang w:eastAsia="en-GB"/>
        </w:rPr>
        <w:t>BAR</w:t>
      </w:r>
      <w:r w:rsidRPr="00EC0229">
        <w:rPr>
          <w:rFonts w:eastAsia="Times New Roman" w:cs="Times New Roman"/>
          <w:color w:val="000000"/>
          <w:szCs w:val="24"/>
          <w:lang w:eastAsia="en-GB"/>
        </w:rPr>
        <w:t>180, pp. 397–401.</w:t>
      </w:r>
    </w:p>
    <w:p w14:paraId="0A1AC0D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Brown, E., 1974, ‘The Tyranny of a Construct: Feudalism and Historians of Medieval Europe’, </w:t>
      </w:r>
      <w:r w:rsidRPr="00EC0229">
        <w:rPr>
          <w:rFonts w:eastAsia="Times New Roman" w:cs="Times New Roman"/>
          <w:i/>
          <w:iCs/>
          <w:color w:val="000000"/>
          <w:szCs w:val="24"/>
          <w:lang w:eastAsia="en-GB"/>
        </w:rPr>
        <w:t>American Historical Review</w:t>
      </w:r>
      <w:r w:rsidRPr="00EC0229">
        <w:rPr>
          <w:rFonts w:eastAsia="Times New Roman" w:cs="Times New Roman"/>
          <w:color w:val="000000"/>
          <w:szCs w:val="24"/>
          <w:lang w:eastAsia="en-GB"/>
        </w:rPr>
        <w:t>, 79, 1063–68.</w:t>
      </w:r>
    </w:p>
    <w:p w14:paraId="3F64A47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Bruce-Mitford, R. L. S., 1967, </w:t>
      </w:r>
      <w:r w:rsidRPr="00EC0229">
        <w:rPr>
          <w:rFonts w:eastAsia="Times New Roman" w:cs="Times New Roman"/>
          <w:i/>
          <w:iCs/>
          <w:color w:val="000000"/>
          <w:szCs w:val="24"/>
          <w:lang w:eastAsia="en-GB"/>
        </w:rPr>
        <w:t>The Art of the Codex Amiatinus</w:t>
      </w:r>
      <w:r w:rsidRPr="00EC0229">
        <w:rPr>
          <w:rFonts w:eastAsia="Times New Roman" w:cs="Times New Roman"/>
          <w:iCs/>
          <w:color w:val="000000"/>
          <w:szCs w:val="24"/>
          <w:lang w:eastAsia="en-GB"/>
        </w:rPr>
        <w:t xml:space="preserve"> (Jarrow: Parish of Jarrow)</w:t>
      </w:r>
      <w:r w:rsidRPr="00EC0229">
        <w:rPr>
          <w:rFonts w:eastAsia="Times New Roman" w:cs="Times New Roman"/>
          <w:color w:val="000000"/>
          <w:szCs w:val="24"/>
          <w:lang w:eastAsia="en-GB"/>
        </w:rPr>
        <w:t>.</w:t>
      </w:r>
    </w:p>
    <w:p w14:paraId="1306311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Bude, R., 2014, ‘The Class E Sceattas of Eadberht: The Work of “Retrograde Man”’,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3, pp. 18–28.</w:t>
      </w:r>
    </w:p>
    <w:p w14:paraId="6F95FA3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Bude, R., (forthcoming), ‘The Archiepiscopal Sceattas of Ecgberht and Eadberht of Northumbria’, </w:t>
      </w:r>
      <w:r w:rsidRPr="00EC0229">
        <w:rPr>
          <w:rFonts w:eastAsia="Times New Roman" w:cs="Times New Roman"/>
          <w:i/>
          <w:iCs/>
          <w:color w:val="000000"/>
          <w:szCs w:val="24"/>
          <w:lang w:eastAsia="en-GB"/>
        </w:rPr>
        <w:t>BNJ</w:t>
      </w:r>
      <w:r w:rsidRPr="00EC0229">
        <w:rPr>
          <w:rFonts w:eastAsia="Times New Roman" w:cs="Times New Roman"/>
          <w:color w:val="000000"/>
          <w:szCs w:val="24"/>
          <w:lang w:eastAsia="en-GB"/>
        </w:rPr>
        <w:t>.</w:t>
      </w:r>
    </w:p>
    <w:p w14:paraId="67AE3A3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Burnett, A. M., 1984, ‘Clipped Siliqua and the End of Roman Britain’, </w:t>
      </w:r>
      <w:r w:rsidRPr="00EC0229">
        <w:rPr>
          <w:rFonts w:eastAsia="Times New Roman" w:cs="Times New Roman"/>
          <w:i/>
          <w:iCs/>
          <w:color w:val="000000"/>
          <w:szCs w:val="24"/>
          <w:lang w:eastAsia="en-GB"/>
        </w:rPr>
        <w:t>Britannia</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15, 163–68.</w:t>
      </w:r>
    </w:p>
    <w:p w14:paraId="21FD6A5D" w14:textId="77777777" w:rsidR="005B3AC3" w:rsidRPr="00EC0229" w:rsidRDefault="005B3AC3" w:rsidP="005B3AC3">
      <w:pPr>
        <w:spacing w:after="0"/>
        <w:rPr>
          <w:rFonts w:eastAsia="Times New Roman" w:cs="Times New Roman"/>
          <w:color w:val="000000"/>
          <w:szCs w:val="24"/>
          <w:lang w:eastAsia="en-GB"/>
        </w:rPr>
      </w:pPr>
    </w:p>
    <w:p w14:paraId="11E645B5"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07"/>
          <w:szCs w:val="24"/>
          <w:lang w:eastAsia="en-GB"/>
        </w:rPr>
      </w:pPr>
      <w:r w:rsidRPr="00EC0229">
        <w:rPr>
          <w:rFonts w:eastAsia="Times New Roman" w:cs="Times New Roman"/>
          <w:color w:val="000000"/>
          <w:position w:val="-10"/>
          <w:sz w:val="107"/>
          <w:szCs w:val="24"/>
          <w:lang w:eastAsia="en-GB"/>
        </w:rPr>
        <w:lastRenderedPageBreak/>
        <w:t>C</w:t>
      </w:r>
      <w:bookmarkStart w:id="989" w:name="C"/>
      <w:bookmarkEnd w:id="989"/>
    </w:p>
    <w:p w14:paraId="4A0CF50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arson, R. A. G., and C. M. Kraay (eds), 1978, </w:t>
      </w:r>
      <w:r w:rsidRPr="00EC0229">
        <w:rPr>
          <w:rFonts w:eastAsia="Times New Roman" w:cs="Times New Roman"/>
          <w:i/>
          <w:color w:val="000000"/>
          <w:szCs w:val="24"/>
          <w:lang w:eastAsia="en-GB"/>
        </w:rPr>
        <w:t>Scripta nummaria romana: Essays Presented to Humphrey Sutherland</w:t>
      </w:r>
      <w:r w:rsidRPr="00EC0229">
        <w:rPr>
          <w:rFonts w:eastAsia="Times New Roman" w:cs="Times New Roman"/>
          <w:color w:val="000000"/>
          <w:szCs w:val="24"/>
          <w:lang w:eastAsia="en-GB"/>
        </w:rPr>
        <w:t xml:space="preserve"> (London: Spink).</w:t>
      </w:r>
    </w:p>
    <w:p w14:paraId="6E20602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Carver, M. O. H. (ed.), 1995, </w:t>
      </w:r>
      <w:r w:rsidRPr="00EC0229">
        <w:rPr>
          <w:rFonts w:eastAsia="Times New Roman" w:cs="Times New Roman"/>
          <w:i/>
          <w:iCs/>
          <w:color w:val="000000"/>
          <w:szCs w:val="24"/>
          <w:lang w:eastAsia="en-GB"/>
        </w:rPr>
        <w:t>Excavations at York Minster: From Roman Fortress to Norman Cathedral</w:t>
      </w:r>
      <w:r w:rsidRPr="00EC0229">
        <w:rPr>
          <w:rFonts w:eastAsia="Times New Roman" w:cs="Times New Roman"/>
          <w:color w:val="000000"/>
          <w:szCs w:val="24"/>
          <w:lang w:eastAsia="en-GB"/>
        </w:rPr>
        <w:t xml:space="preserve"> (London: HMSO).</w:t>
      </w:r>
    </w:p>
    <w:p w14:paraId="6B14F5B4" w14:textId="77777777" w:rsidR="005B3AC3" w:rsidRPr="00EC0229" w:rsidRDefault="005B3AC3" w:rsidP="005B3AC3">
      <w:pPr>
        <w:spacing w:after="0"/>
        <w:rPr>
          <w:rFonts w:eastAsia="Times New Roman" w:cs="Times New Roman"/>
          <w:iCs/>
          <w:color w:val="000000"/>
          <w:szCs w:val="24"/>
          <w:lang w:eastAsia="en-GB"/>
        </w:rPr>
      </w:pPr>
      <w:r w:rsidRPr="00EC0229">
        <w:rPr>
          <w:rFonts w:eastAsia="Times New Roman" w:cs="Times New Roman"/>
          <w:color w:val="000000"/>
          <w:szCs w:val="24"/>
          <w:lang w:eastAsia="en-GB"/>
        </w:rPr>
        <w:t>Charles-Edwards, T., 1997, ‘Anglo-Saxon Kinship Revisited’, in Hines (ed.), 1997a</w:t>
      </w:r>
      <w:r w:rsidRPr="00EC0229">
        <w:rPr>
          <w:rFonts w:eastAsia="Times New Roman" w:cs="Times New Roman"/>
          <w:iCs/>
          <w:color w:val="000000"/>
          <w:szCs w:val="24"/>
          <w:lang w:eastAsia="en-GB"/>
        </w:rPr>
        <w:t>, 171–210</w:t>
      </w:r>
      <w:r w:rsidRPr="00EC0229">
        <w:rPr>
          <w:rFonts w:eastAsia="Times New Roman" w:cs="Times New Roman"/>
          <w:i/>
          <w:iCs/>
          <w:color w:val="000000"/>
          <w:szCs w:val="24"/>
          <w:lang w:eastAsia="en-GB"/>
        </w:rPr>
        <w:t>.</w:t>
      </w:r>
    </w:p>
    <w:p w14:paraId="1E22F64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iCs/>
          <w:color w:val="000000"/>
          <w:szCs w:val="24"/>
          <w:lang w:eastAsia="en-GB"/>
        </w:rPr>
        <w:t xml:space="preserve">Chester-Kadwell, M., 2009, </w:t>
      </w:r>
      <w:r w:rsidRPr="00EC0229">
        <w:rPr>
          <w:rFonts w:eastAsia="Times New Roman" w:cs="Times New Roman"/>
          <w:i/>
          <w:iCs/>
          <w:color w:val="000000"/>
          <w:szCs w:val="24"/>
          <w:lang w:eastAsia="en-GB"/>
        </w:rPr>
        <w:t>Early Anglo-Saxon Communities in the Landscape of Norfolk</w:t>
      </w:r>
      <w:r w:rsidRPr="00EC0229">
        <w:rPr>
          <w:rFonts w:eastAsia="Times New Roman" w:cs="Times New Roman"/>
          <w:iCs/>
          <w:color w:val="000000"/>
          <w:szCs w:val="24"/>
          <w:lang w:eastAsia="en-GB"/>
        </w:rPr>
        <w:t>, B. A. R. British Series, 481 (Oxford: Archaeopress).</w:t>
      </w:r>
    </w:p>
    <w:p w14:paraId="3E4DB27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Chick, D., 2010, </w:t>
      </w:r>
      <w:r w:rsidRPr="00EC0229">
        <w:rPr>
          <w:rFonts w:eastAsia="Times New Roman" w:cs="Times New Roman"/>
          <w:i/>
          <w:iCs/>
          <w:color w:val="000000"/>
          <w:szCs w:val="24"/>
          <w:lang w:eastAsia="en-GB"/>
        </w:rPr>
        <w:t>The Coinage of Offa and His Contemporaries</w:t>
      </w:r>
      <w:r w:rsidRPr="00EC0229">
        <w:rPr>
          <w:rFonts w:eastAsia="Times New Roman" w:cs="Times New Roman"/>
          <w:color w:val="000000"/>
          <w:szCs w:val="24"/>
          <w:lang w:eastAsia="en-GB"/>
        </w:rPr>
        <w:t>, ed. by M. A. S. Blackburn and R. Naismith, BNS Special Publication, 6 (London: Spink).</w:t>
      </w:r>
    </w:p>
    <w:p w14:paraId="45C4686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Clark, F. H., 2011, ‘Thinking about Western Northumbria’, in </w:t>
      </w:r>
      <w:r w:rsidRPr="00EC0229">
        <w:rPr>
          <w:rFonts w:eastAsia="Times New Roman" w:cs="Times New Roman"/>
          <w:i/>
          <w:iCs/>
          <w:color w:val="000000"/>
          <w:szCs w:val="24"/>
          <w:lang w:eastAsia="en-GB"/>
        </w:rPr>
        <w:t>EMN</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pp. 113–28.</w:t>
      </w:r>
    </w:p>
    <w:p w14:paraId="1AE71EB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Collins, R., 1991, </w:t>
      </w:r>
      <w:r w:rsidRPr="00EC0229">
        <w:rPr>
          <w:rFonts w:eastAsia="Times New Roman" w:cs="Times New Roman"/>
          <w:i/>
          <w:iCs/>
          <w:color w:val="000000"/>
          <w:szCs w:val="24"/>
          <w:lang w:eastAsia="en-GB"/>
        </w:rPr>
        <w:t>Early Medieval Europe, 300–1000</w:t>
      </w:r>
      <w:r w:rsidRPr="00EC0229">
        <w:rPr>
          <w:rFonts w:eastAsia="Times New Roman" w:cs="Times New Roman"/>
          <w:color w:val="000000"/>
          <w:szCs w:val="24"/>
          <w:lang w:eastAsia="en-GB"/>
        </w:rPr>
        <w:t xml:space="preserve"> (Basingstoke: Macmillan Education).</w:t>
      </w:r>
    </w:p>
    <w:p w14:paraId="2F919198" w14:textId="01339C44"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Cook, B., and G. Williams (eds), 2006, </w:t>
      </w:r>
      <w:r w:rsidRPr="00EC0229">
        <w:rPr>
          <w:rFonts w:eastAsia="Times New Roman" w:cs="Times New Roman"/>
          <w:i/>
          <w:color w:val="000000"/>
          <w:szCs w:val="24"/>
          <w:lang w:eastAsia="en-GB"/>
        </w:rPr>
        <w:t xml:space="preserve">Coinage and History in the North Sea World, </w:t>
      </w:r>
      <w:r w:rsidR="002132F1">
        <w:rPr>
          <w:rFonts w:eastAsia="Times New Roman" w:cs="Times New Roman"/>
          <w:i/>
          <w:color w:val="000000"/>
          <w:szCs w:val="24"/>
          <w:lang w:eastAsia="en-GB"/>
        </w:rPr>
        <w:t>c.</w:t>
      </w:r>
      <w:r w:rsidRPr="00EC0229">
        <w:rPr>
          <w:rFonts w:eastAsia="Times New Roman" w:cs="Times New Roman"/>
          <w:i/>
          <w:iCs/>
          <w:smallCaps/>
          <w:color w:val="000000"/>
          <w:szCs w:val="24"/>
          <w:lang w:eastAsia="en-GB"/>
        </w:rPr>
        <w:t>ad</w:t>
      </w:r>
      <w:r w:rsidRPr="00EC0229">
        <w:rPr>
          <w:rFonts w:eastAsia="Times New Roman" w:cs="Times New Roman"/>
          <w:i/>
          <w:color w:val="000000"/>
          <w:szCs w:val="24"/>
          <w:lang w:eastAsia="en-GB"/>
        </w:rPr>
        <w:t xml:space="preserve"> 500–1250: Essays in Honour of Marion Archibald</w:t>
      </w:r>
      <w:r w:rsidRPr="00EC0229">
        <w:rPr>
          <w:rFonts w:eastAsia="Times New Roman" w:cs="Times New Roman"/>
          <w:color w:val="000000"/>
          <w:szCs w:val="24"/>
          <w:lang w:eastAsia="en-GB"/>
        </w:rPr>
        <w:t xml:space="preserve"> (Leiden: Brill).</w:t>
      </w:r>
    </w:p>
    <w:p w14:paraId="7E8B4284" w14:textId="41D562A2" w:rsidR="005B3AC3" w:rsidRPr="00EC0229" w:rsidRDefault="00B32C9A" w:rsidP="005B3AC3">
      <w:pPr>
        <w:spacing w:after="0"/>
        <w:rPr>
          <w:rFonts w:eastAsia="Times New Roman" w:cs="Times New Roman"/>
          <w:color w:val="000000"/>
          <w:szCs w:val="24"/>
          <w:lang w:eastAsia="en-GB"/>
        </w:rPr>
      </w:pPr>
      <w:hyperlink r:id="rId525" w:history="1">
        <w:r w:rsidR="005B3AC3" w:rsidRPr="00EC0229">
          <w:rPr>
            <w:rFonts w:eastAsia="Times New Roman" w:cs="Times New Roman"/>
            <w:color w:val="000000"/>
            <w:szCs w:val="24"/>
            <w:lang w:eastAsia="en-GB"/>
          </w:rPr>
          <w:t xml:space="preserve">Coupland, S., 2003, ‘Trading Places: Quentovic and Dorestad Reassessed’, </w:t>
        </w:r>
        <w:r w:rsidR="005B3AC3" w:rsidRPr="00EC0229">
          <w:rPr>
            <w:rFonts w:eastAsia="Times New Roman" w:cs="Times New Roman"/>
            <w:i/>
            <w:iCs/>
            <w:color w:val="000000"/>
            <w:szCs w:val="24"/>
            <w:lang w:eastAsia="en-GB"/>
          </w:rPr>
          <w:t>Early Medieval Europe,</w:t>
        </w:r>
        <w:r w:rsidR="005B3AC3" w:rsidRPr="00EC0229">
          <w:rPr>
            <w:rFonts w:eastAsia="Times New Roman" w:cs="Times New Roman"/>
            <w:color w:val="000000"/>
            <w:szCs w:val="24"/>
            <w:lang w:eastAsia="en-GB"/>
          </w:rPr>
          <w:t xml:space="preserve"> 11, 209–32.</w:t>
        </w:r>
      </w:hyperlink>
    </w:p>
    <w:p w14:paraId="3F83BB0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Coupland, S., 2007, </w:t>
      </w:r>
      <w:r w:rsidRPr="00EC0229">
        <w:rPr>
          <w:rFonts w:eastAsia="Times New Roman" w:cs="Times New Roman"/>
          <w:i/>
          <w:iCs/>
          <w:color w:val="000000"/>
          <w:szCs w:val="24"/>
          <w:lang w:eastAsia="en-GB"/>
        </w:rPr>
        <w:t>Carolingian Coinage and the Vikings: Studies on the Power and Trade in the 9</w:t>
      </w:r>
      <w:r w:rsidRPr="00EC0229">
        <w:rPr>
          <w:rFonts w:eastAsia="Times New Roman" w:cs="Times New Roman"/>
          <w:i/>
          <w:iCs/>
          <w:color w:val="000000"/>
          <w:szCs w:val="24"/>
          <w:vertAlign w:val="superscript"/>
          <w:lang w:eastAsia="en-GB"/>
        </w:rPr>
        <w:t>th</w:t>
      </w:r>
      <w:r w:rsidRPr="00EC0229">
        <w:rPr>
          <w:rFonts w:eastAsia="Times New Roman" w:cs="Times New Roman"/>
          <w:i/>
          <w:iCs/>
          <w:color w:val="000000"/>
          <w:szCs w:val="24"/>
          <w:lang w:eastAsia="en-GB"/>
        </w:rPr>
        <w:t xml:space="preserve"> Century </w:t>
      </w:r>
      <w:r w:rsidRPr="00EC0229">
        <w:rPr>
          <w:rFonts w:eastAsia="Times New Roman" w:cs="Times New Roman"/>
          <w:color w:val="000000"/>
          <w:szCs w:val="24"/>
          <w:lang w:eastAsia="en-GB"/>
        </w:rPr>
        <w:t>(Aldershot: Ashgate).</w:t>
      </w:r>
    </w:p>
    <w:p w14:paraId="3BAB367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Coupland, S., 2010a, ‘Boom and Bust at 9</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-Century Dorestad’</w:t>
      </w:r>
      <w:r w:rsidRPr="00EC0229">
        <w:rPr>
          <w:rFonts w:eastAsia="Times New Roman" w:cs="Times New Roman"/>
          <w:i/>
          <w:iCs/>
          <w:color w:val="000000"/>
          <w:szCs w:val="24"/>
          <w:lang w:eastAsia="en-GB"/>
        </w:rPr>
        <w:t>,</w:t>
      </w:r>
      <w:r w:rsidRPr="00EC0229">
        <w:rPr>
          <w:rFonts w:eastAsia="Times New Roman" w:cs="Times New Roman"/>
          <w:color w:val="000000"/>
          <w:szCs w:val="24"/>
          <w:lang w:eastAsia="en-GB"/>
        </w:rPr>
        <w:t xml:space="preserve"> in A. Willemsen and H. Kik (eds), </w:t>
      </w:r>
      <w:r w:rsidRPr="00EC0229">
        <w:rPr>
          <w:rFonts w:eastAsia="Times New Roman" w:cs="Times New Roman"/>
          <w:i/>
          <w:iCs/>
          <w:color w:val="000000"/>
          <w:szCs w:val="24"/>
          <w:lang w:eastAsia="en-GB"/>
        </w:rPr>
        <w:t xml:space="preserve">Dorestad in an International Framework: New Research on Centres of Trade and Coinage in Carolingian Times </w:t>
      </w:r>
      <w:r w:rsidRPr="00EC0229">
        <w:rPr>
          <w:rFonts w:eastAsia="Times New Roman" w:cs="Times New Roman"/>
          <w:color w:val="000000"/>
          <w:szCs w:val="24"/>
          <w:lang w:eastAsia="en-GB"/>
        </w:rPr>
        <w:t>(Turnhout: Brepols), pp. 95–103.</w:t>
      </w:r>
    </w:p>
    <w:p w14:paraId="32563AA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Coupland, S., 2010b, ‘Carolingian Single Finds and the Economy of the Early Ninth Century’, </w:t>
      </w:r>
      <w:r w:rsidRPr="00EC0229">
        <w:rPr>
          <w:rFonts w:eastAsia="Times New Roman" w:cs="Times New Roman"/>
          <w:i/>
          <w:iCs/>
          <w:color w:val="000000"/>
          <w:szCs w:val="24"/>
          <w:lang w:eastAsia="en-GB"/>
        </w:rPr>
        <w:t>NC</w:t>
      </w:r>
      <w:r w:rsidRPr="00EC0229">
        <w:rPr>
          <w:rFonts w:eastAsia="Times New Roman" w:cs="Times New Roman"/>
          <w:iCs/>
          <w:color w:val="000000"/>
          <w:szCs w:val="24"/>
          <w:lang w:eastAsia="en-GB"/>
        </w:rPr>
        <w:t>, 170, 287–319</w:t>
      </w:r>
      <w:r w:rsidRPr="00EC0229">
        <w:rPr>
          <w:rFonts w:eastAsia="Times New Roman" w:cs="Times New Roman"/>
          <w:color w:val="000000"/>
          <w:szCs w:val="24"/>
          <w:lang w:eastAsia="en-GB"/>
        </w:rPr>
        <w:t>.</w:t>
      </w:r>
    </w:p>
    <w:p w14:paraId="3115831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Cowie, R., and L. Blackmore, 2012, </w:t>
      </w:r>
      <w:r w:rsidRPr="00EC0229">
        <w:rPr>
          <w:rFonts w:eastAsia="Times New Roman" w:cs="Times New Roman"/>
          <w:i/>
          <w:iCs/>
          <w:color w:val="000000"/>
          <w:szCs w:val="24"/>
          <w:lang w:eastAsia="en-GB"/>
        </w:rPr>
        <w:t>Lundenwic: Excavations in Middle Saxon London, 1987–2000</w:t>
      </w:r>
      <w:r w:rsidRPr="00EC0229">
        <w:rPr>
          <w:rFonts w:eastAsia="Times New Roman" w:cs="Times New Roman"/>
          <w:color w:val="000000"/>
          <w:szCs w:val="24"/>
          <w:lang w:eastAsia="en-GB"/>
        </w:rPr>
        <w:t xml:space="preserve"> (London: Museum of London Archaeology). </w:t>
      </w:r>
    </w:p>
    <w:p w14:paraId="2153FD4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Cramp, R., 1976, ‘Analysis of Finds Register and Location Plan of Whitby Abbey’, in </w:t>
      </w:r>
      <w:r w:rsidRPr="00EC0229">
        <w:rPr>
          <w:rFonts w:eastAsia="Times New Roman" w:cs="Times New Roman"/>
          <w:i/>
          <w:iCs/>
          <w:color w:val="000000"/>
          <w:szCs w:val="24"/>
          <w:lang w:eastAsia="en-GB"/>
        </w:rPr>
        <w:t>AASE</w:t>
      </w:r>
      <w:r w:rsidRPr="00EC0229">
        <w:rPr>
          <w:rFonts w:eastAsia="Times New Roman" w:cs="Times New Roman"/>
          <w:color w:val="000000"/>
          <w:szCs w:val="24"/>
          <w:lang w:eastAsia="en-GB"/>
        </w:rPr>
        <w:t>, pp. 453–57. [Pirie archive].</w:t>
      </w:r>
    </w:p>
    <w:p w14:paraId="2E293FE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Cramp, R., 1995, </w:t>
      </w:r>
      <w:r w:rsidRPr="00EC0229">
        <w:rPr>
          <w:rFonts w:eastAsia="Times New Roman" w:cs="Times New Roman"/>
          <w:i/>
          <w:color w:val="000000"/>
          <w:szCs w:val="24"/>
          <w:lang w:eastAsia="en-GB"/>
        </w:rPr>
        <w:t>Whithorn and the Northumbrian Expansion Westwards</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Whithorn Lecture, 3</w:t>
      </w:r>
      <w:r w:rsidRPr="00EC0229">
        <w:rPr>
          <w:rFonts w:eastAsia="Times New Roman" w:cs="Times New Roman"/>
          <w:color w:val="000000"/>
          <w:szCs w:val="24"/>
          <w:lang w:eastAsia="en-GB"/>
        </w:rPr>
        <w:t xml:space="preserve"> (Whithorn: Friends of the Whithorn Trust). [Pirie archive].</w:t>
      </w:r>
    </w:p>
    <w:p w14:paraId="7F862F7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Cribb, J., 2005–09, ‘“Money as Metaphor”: The President’s Address to the Royal Numismatic Society’, </w:t>
      </w:r>
      <w:r w:rsidRPr="00EC0229">
        <w:rPr>
          <w:rFonts w:eastAsia="Times New Roman" w:cs="Times New Roman"/>
          <w:i/>
          <w:iCs/>
          <w:color w:val="000000"/>
          <w:szCs w:val="24"/>
          <w:lang w:eastAsia="en-GB"/>
        </w:rPr>
        <w:t>NC</w:t>
      </w:r>
      <w:r w:rsidRPr="00EC0229">
        <w:rPr>
          <w:rFonts w:eastAsia="Times New Roman" w:cs="Times New Roman"/>
          <w:iCs/>
          <w:color w:val="000000"/>
          <w:szCs w:val="24"/>
          <w:lang w:eastAsia="en-GB"/>
        </w:rPr>
        <w:t>, 165 (</w:t>
      </w:r>
      <w:r w:rsidRPr="00EC0229">
        <w:rPr>
          <w:rFonts w:eastAsia="Times New Roman" w:cs="Times New Roman"/>
          <w:color w:val="000000"/>
          <w:szCs w:val="24"/>
          <w:lang w:eastAsia="en-GB"/>
        </w:rPr>
        <w:t>2005), 417–38, 166 (2006), 493–518, 167 (2007), 361–96, and 169 (2009), 461–530.</w:t>
      </w:r>
    </w:p>
    <w:p w14:paraId="59D846FE" w14:textId="77777777" w:rsidR="005B3AC3" w:rsidRPr="00EC0229" w:rsidRDefault="005B3AC3" w:rsidP="005B3AC3">
      <w:pPr>
        <w:spacing w:after="0"/>
        <w:rPr>
          <w:rFonts w:eastAsia="Times New Roman" w:cs="Times New Roman"/>
          <w:color w:val="000000"/>
          <w:szCs w:val="24"/>
          <w:lang w:eastAsia="en-GB"/>
        </w:rPr>
      </w:pPr>
    </w:p>
    <w:p w14:paraId="592858DC"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r w:rsidRPr="00EC0229">
        <w:rPr>
          <w:rFonts w:eastAsia="Times New Roman" w:cs="Times New Roman"/>
          <w:color w:val="000000"/>
          <w:position w:val="-11"/>
          <w:sz w:val="112"/>
          <w:szCs w:val="24"/>
          <w:lang w:eastAsia="en-GB"/>
        </w:rPr>
        <w:t>D</w:t>
      </w:r>
      <w:bookmarkStart w:id="990" w:name="D"/>
      <w:bookmarkEnd w:id="990"/>
    </w:p>
    <w:p w14:paraId="7BE5E0E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ale, G., 2010, </w:t>
      </w:r>
      <w:r w:rsidRPr="00EC0229">
        <w:rPr>
          <w:rFonts w:eastAsia="Times New Roman" w:cs="Times New Roman"/>
          <w:i/>
          <w:iCs/>
          <w:color w:val="000000"/>
          <w:szCs w:val="24"/>
          <w:lang w:eastAsia="en-GB"/>
        </w:rPr>
        <w:t>Karl Polanyi: The Limits of the Market</w:t>
      </w:r>
      <w:r w:rsidRPr="00EC0229">
        <w:rPr>
          <w:rFonts w:eastAsia="Times New Roman" w:cs="Times New Roman"/>
          <w:color w:val="000000"/>
          <w:szCs w:val="24"/>
          <w:lang w:eastAsia="en-GB"/>
        </w:rPr>
        <w:t xml:space="preserve"> (Cambridge: Polity).</w:t>
      </w:r>
    </w:p>
    <w:p w14:paraId="3CF2478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Dark, K. R., 2000, </w:t>
      </w:r>
      <w:r w:rsidRPr="00EC0229">
        <w:rPr>
          <w:rFonts w:eastAsia="Times New Roman" w:cs="Times New Roman"/>
          <w:i/>
          <w:iCs/>
          <w:color w:val="000000"/>
          <w:szCs w:val="24"/>
          <w:lang w:eastAsia="en-GB"/>
        </w:rPr>
        <w:t>Britain and the End of the Roman Empire</w:t>
      </w:r>
      <w:r w:rsidRPr="00EC0229">
        <w:rPr>
          <w:rFonts w:eastAsia="Times New Roman" w:cs="Times New Roman"/>
          <w:color w:val="000000"/>
          <w:szCs w:val="24"/>
          <w:lang w:eastAsia="en-GB"/>
        </w:rPr>
        <w:t xml:space="preserve"> (Stroud: Tempus).</w:t>
      </w:r>
    </w:p>
    <w:p w14:paraId="35AFBE4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Daubney, A. J., 2016, </w:t>
      </w:r>
      <w:r w:rsidRPr="00EC0229">
        <w:rPr>
          <w:rFonts w:eastAsia="Times New Roman" w:cs="Times New Roman"/>
          <w:i/>
          <w:color w:val="000000"/>
          <w:szCs w:val="24"/>
          <w:lang w:eastAsia="en-GB"/>
        </w:rPr>
        <w:t>Portable Antiquities, Palimpsests, and Persistent Places: A Multi-Period Approach to Portable Antiquities Scheme Data in Lincolnshire</w:t>
      </w:r>
      <w:r w:rsidRPr="00EC0229">
        <w:rPr>
          <w:rFonts w:eastAsia="Times New Roman" w:cs="Times New Roman"/>
          <w:color w:val="000000"/>
          <w:szCs w:val="24"/>
          <w:lang w:eastAsia="en-GB"/>
        </w:rPr>
        <w:t xml:space="preserve"> (Leiden: Sidestone Press).</w:t>
      </w:r>
    </w:p>
    <w:p w14:paraId="322332E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Davies, G., 1994, </w:t>
      </w:r>
      <w:r w:rsidRPr="00EC0229">
        <w:rPr>
          <w:rFonts w:eastAsia="Times New Roman" w:cs="Times New Roman"/>
          <w:i/>
          <w:iCs/>
          <w:color w:val="000000"/>
          <w:szCs w:val="24"/>
          <w:lang w:eastAsia="en-GB"/>
        </w:rPr>
        <w:t xml:space="preserve">A History of Money: From Ancient Times to the Present Day </w:t>
      </w:r>
      <w:r w:rsidRPr="00EC0229">
        <w:rPr>
          <w:rFonts w:eastAsia="Times New Roman" w:cs="Times New Roman"/>
          <w:color w:val="000000"/>
          <w:szCs w:val="24"/>
          <w:lang w:eastAsia="en-GB"/>
        </w:rPr>
        <w:t>(Cardiff: University of Wales Press).</w:t>
      </w:r>
    </w:p>
    <w:p w14:paraId="0B65DAD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Davies, W., 1998, </w:t>
      </w:r>
      <w:r w:rsidRPr="00EC0229">
        <w:rPr>
          <w:rFonts w:eastAsia="Times New Roman" w:cs="Times New Roman"/>
          <w:i/>
          <w:color w:val="000000"/>
          <w:szCs w:val="24"/>
          <w:lang w:eastAsia="en-GB"/>
        </w:rPr>
        <w:t>Whithorn and the World</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Whithorn Lecture, 6</w:t>
      </w:r>
      <w:r w:rsidRPr="00EC0229">
        <w:rPr>
          <w:rFonts w:eastAsia="Times New Roman" w:cs="Times New Roman"/>
          <w:color w:val="000000"/>
          <w:szCs w:val="24"/>
          <w:lang w:eastAsia="en-GB"/>
        </w:rPr>
        <w:t xml:space="preserve"> (Whithorn: Friends of the Whithorn Trust). [Pirie archive].</w:t>
      </w:r>
    </w:p>
    <w:p w14:paraId="5D8804D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Dawkins, R., 2006, </w:t>
      </w:r>
      <w:r w:rsidRPr="00EC0229">
        <w:rPr>
          <w:rFonts w:eastAsia="Times New Roman" w:cs="Times New Roman"/>
          <w:i/>
          <w:iCs/>
          <w:color w:val="000000"/>
          <w:szCs w:val="24"/>
          <w:lang w:eastAsia="en-GB"/>
        </w:rPr>
        <w:t>The God Delusion</w:t>
      </w:r>
      <w:r w:rsidRPr="00EC0229">
        <w:rPr>
          <w:rFonts w:eastAsia="Times New Roman" w:cs="Times New Roman"/>
          <w:color w:val="000000"/>
          <w:szCs w:val="24"/>
          <w:lang w:eastAsia="en-GB"/>
        </w:rPr>
        <w:t xml:space="preserve"> (London: Bantam).</w:t>
      </w:r>
    </w:p>
    <w:p w14:paraId="462DF36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Dobney, K., A. Hall, and H. Kenward, 2000, ‘The Bioarchaeology of Anglo-Saxon Yorkshire: Present and Future Perspectives’, in Geake and Kenny (eds), 2000,</w:t>
      </w:r>
      <w:r w:rsidRPr="00EC0229">
        <w:rPr>
          <w:rFonts w:eastAsia="Times New Roman" w:cs="Times New Roman"/>
          <w:iCs/>
          <w:color w:val="000000"/>
          <w:szCs w:val="24"/>
          <w:lang w:eastAsia="en-GB"/>
        </w:rPr>
        <w:t xml:space="preserve"> pp. 133–40</w:t>
      </w:r>
      <w:r w:rsidRPr="00EC0229">
        <w:rPr>
          <w:rFonts w:eastAsia="Times New Roman" w:cs="Times New Roman"/>
          <w:color w:val="000000"/>
          <w:szCs w:val="24"/>
          <w:lang w:eastAsia="en-GB"/>
        </w:rPr>
        <w:t>.</w:t>
      </w:r>
    </w:p>
    <w:p w14:paraId="6BDEE38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Dolley, R. H. M. (ed.), 1961, </w:t>
      </w:r>
      <w:r w:rsidRPr="00EC0229">
        <w:rPr>
          <w:rFonts w:eastAsia="Times New Roman" w:cs="Times New Roman"/>
          <w:i/>
          <w:color w:val="000000"/>
          <w:szCs w:val="24"/>
          <w:lang w:eastAsia="en-GB"/>
        </w:rPr>
        <w:t>Anglo-Saxon Coins: Studies Presented to F. M. Stenton on the Occasion of His 80</w:t>
      </w:r>
      <w:r w:rsidRPr="00EC0229">
        <w:rPr>
          <w:rFonts w:eastAsia="Times New Roman" w:cs="Times New Roman"/>
          <w:i/>
          <w:color w:val="000000"/>
          <w:szCs w:val="24"/>
          <w:vertAlign w:val="superscript"/>
          <w:lang w:eastAsia="en-GB"/>
        </w:rPr>
        <w:t>th</w:t>
      </w:r>
      <w:r w:rsidRPr="00EC0229">
        <w:rPr>
          <w:rFonts w:eastAsia="Times New Roman" w:cs="Times New Roman"/>
          <w:i/>
          <w:color w:val="000000"/>
          <w:szCs w:val="24"/>
          <w:lang w:eastAsia="en-GB"/>
        </w:rPr>
        <w:t xml:space="preserve"> Birthday</w:t>
      </w:r>
      <w:r w:rsidRPr="00EC0229">
        <w:rPr>
          <w:rFonts w:eastAsia="Times New Roman" w:cs="Times New Roman"/>
          <w:color w:val="000000"/>
          <w:szCs w:val="24"/>
          <w:lang w:eastAsia="en-GB"/>
        </w:rPr>
        <w:t xml:space="preserve"> (London: Methuen).</w:t>
      </w:r>
    </w:p>
    <w:p w14:paraId="60CC4FB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Dolley, R. H. M., 1976, ‘The Coins’, in </w:t>
      </w:r>
      <w:r w:rsidRPr="00EC0229">
        <w:rPr>
          <w:rFonts w:eastAsia="Times New Roman" w:cs="Times New Roman"/>
          <w:i/>
          <w:iCs/>
          <w:color w:val="000000"/>
          <w:szCs w:val="24"/>
          <w:lang w:eastAsia="en-GB"/>
        </w:rPr>
        <w:t>AASE</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pp. 349–72.</w:t>
      </w:r>
    </w:p>
    <w:p w14:paraId="191C1CC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Dumville, D. N., 1997, </w:t>
      </w:r>
      <w:r w:rsidRPr="00EC0229">
        <w:rPr>
          <w:rFonts w:eastAsia="Times New Roman" w:cs="Times New Roman"/>
          <w:i/>
          <w:color w:val="000000"/>
          <w:szCs w:val="24"/>
          <w:lang w:eastAsia="en-GB"/>
        </w:rPr>
        <w:t>The Churches of North Britain in the First Viking Age</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Whithorn Lecture, 5</w:t>
      </w:r>
      <w:r w:rsidRPr="00EC0229">
        <w:rPr>
          <w:rFonts w:eastAsia="Times New Roman" w:cs="Times New Roman"/>
          <w:color w:val="000000"/>
          <w:szCs w:val="24"/>
          <w:lang w:eastAsia="en-GB"/>
        </w:rPr>
        <w:t xml:space="preserve"> (Whithorn: Friends of the Whithorn Trust). [Pirie archive].</w:t>
      </w:r>
    </w:p>
    <w:p w14:paraId="6689596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Dumville, D., 1989,</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‘The Tribal Hidage: An Introduction to Its Texts and Their History’, in S. Bassett (ed.),</w:t>
      </w:r>
      <w:r w:rsidRPr="00EC0229">
        <w:rPr>
          <w:rFonts w:eastAsia="Times New Roman" w:cs="Times New Roman"/>
          <w:i/>
          <w:iCs/>
          <w:color w:val="000000"/>
          <w:szCs w:val="24"/>
          <w:lang w:eastAsia="en-GB"/>
        </w:rPr>
        <w:t xml:space="preserve"> Origins of Anglo-Saxon Kingdoms </w:t>
      </w:r>
      <w:r w:rsidRPr="00EC0229">
        <w:rPr>
          <w:rFonts w:eastAsia="Times New Roman" w:cs="Times New Roman"/>
          <w:color w:val="000000"/>
          <w:szCs w:val="24"/>
          <w:lang w:eastAsia="en-GB"/>
        </w:rPr>
        <w:t>(Leicester: Leicester University Press), pp. 225–30.</w:t>
      </w:r>
    </w:p>
    <w:p w14:paraId="3E36E2F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Durliat, J., 1980, ‘La valeur relative de l’or, de l’argent et du cuivre dans l’empire protobyzantin (</w:t>
      </w:r>
      <w:r w:rsidRPr="00EC0229">
        <w:rPr>
          <w:rFonts w:eastAsia="Times New Roman" w:cs="Times New Roman"/>
          <w:smallCaps/>
          <w:color w:val="000000"/>
          <w:szCs w:val="24"/>
          <w:lang w:eastAsia="en-GB"/>
        </w:rPr>
        <w:t>iv</w:t>
      </w:r>
      <w:r w:rsidRPr="00EC0229">
        <w:rPr>
          <w:rFonts w:eastAsia="Times New Roman" w:cs="Times New Roman"/>
          <w:color w:val="000000"/>
          <w:szCs w:val="24"/>
          <w:vertAlign w:val="superscript"/>
          <w:lang w:eastAsia="en-GB"/>
        </w:rPr>
        <w:t>e</w:t>
      </w:r>
      <w:r w:rsidRPr="00EC0229">
        <w:rPr>
          <w:rFonts w:eastAsia="Times New Roman" w:cs="Times New Roman"/>
          <w:color w:val="000000"/>
          <w:szCs w:val="24"/>
          <w:lang w:eastAsia="en-GB"/>
        </w:rPr>
        <w:t>–</w:t>
      </w:r>
      <w:r w:rsidRPr="00EC0229">
        <w:rPr>
          <w:rFonts w:eastAsia="Times New Roman" w:cs="Times New Roman"/>
          <w:smallCaps/>
          <w:color w:val="000000"/>
          <w:szCs w:val="24"/>
          <w:lang w:eastAsia="en-GB"/>
        </w:rPr>
        <w:t>viii</w:t>
      </w:r>
      <w:r w:rsidRPr="00EC0229">
        <w:rPr>
          <w:rFonts w:eastAsia="Times New Roman" w:cs="Times New Roman"/>
          <w:color w:val="000000"/>
          <w:szCs w:val="24"/>
          <w:vertAlign w:val="superscript"/>
          <w:lang w:eastAsia="en-GB"/>
        </w:rPr>
        <w:t>e</w:t>
      </w:r>
      <w:r w:rsidRPr="00EC0229">
        <w:rPr>
          <w:rFonts w:eastAsia="Times New Roman" w:cs="Times New Roman"/>
          <w:color w:val="000000"/>
          <w:szCs w:val="24"/>
          <w:lang w:eastAsia="en-GB"/>
        </w:rPr>
        <w:t xml:space="preserve"> siècle)’, </w:t>
      </w:r>
      <w:r w:rsidRPr="00EC0229">
        <w:rPr>
          <w:rFonts w:eastAsia="Times New Roman" w:cs="Times New Roman"/>
          <w:i/>
          <w:iCs/>
          <w:color w:val="000000"/>
          <w:szCs w:val="24"/>
          <w:lang w:eastAsia="en-GB"/>
        </w:rPr>
        <w:t>RN</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6/22, 138–54.</w:t>
      </w:r>
    </w:p>
    <w:p w14:paraId="5AACDEF6" w14:textId="77777777" w:rsidR="005B3AC3" w:rsidRPr="00EC0229" w:rsidRDefault="005B3AC3" w:rsidP="005B3AC3">
      <w:pPr>
        <w:spacing w:after="0"/>
        <w:rPr>
          <w:rFonts w:eastAsia="Times New Roman" w:cs="Times New Roman"/>
          <w:color w:val="000000"/>
          <w:szCs w:val="24"/>
          <w:lang w:eastAsia="en-GB"/>
        </w:rPr>
      </w:pPr>
    </w:p>
    <w:p w14:paraId="34F2720A"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bookmarkStart w:id="991" w:name="E"/>
      <w:bookmarkEnd w:id="991"/>
      <w:r w:rsidRPr="00EC0229">
        <w:rPr>
          <w:rFonts w:eastAsia="Times New Roman" w:cs="Times New Roman"/>
          <w:color w:val="000000"/>
          <w:position w:val="-11"/>
          <w:sz w:val="112"/>
          <w:szCs w:val="24"/>
          <w:lang w:eastAsia="en-GB"/>
        </w:rPr>
        <w:t>E</w:t>
      </w:r>
    </w:p>
    <w:p w14:paraId="540DA7F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inzig, P., 1949, </w:t>
      </w:r>
      <w:r w:rsidRPr="00EC0229">
        <w:rPr>
          <w:rFonts w:eastAsia="Times New Roman" w:cs="Times New Roman"/>
          <w:i/>
          <w:iCs/>
          <w:color w:val="000000"/>
          <w:szCs w:val="24"/>
          <w:lang w:eastAsia="en-GB"/>
        </w:rPr>
        <w:t>Primitive Money in Its Ethnological, Historical and Economic Aspects</w:t>
      </w:r>
      <w:r w:rsidRPr="00EC0229">
        <w:rPr>
          <w:rFonts w:eastAsia="Times New Roman" w:cs="Times New Roman"/>
          <w:color w:val="000000"/>
          <w:szCs w:val="24"/>
          <w:lang w:eastAsia="en-GB"/>
        </w:rPr>
        <w:t xml:space="preserve"> (London: Eyre &amp; Spottiswoode).</w:t>
      </w:r>
    </w:p>
    <w:p w14:paraId="2AF1DA1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Ellis, P. B., 1998, </w:t>
      </w:r>
      <w:r w:rsidRPr="00EC0229">
        <w:rPr>
          <w:rFonts w:eastAsia="Times New Roman" w:cs="Times New Roman"/>
          <w:i/>
          <w:iCs/>
          <w:color w:val="000000"/>
          <w:szCs w:val="24"/>
          <w:lang w:eastAsia="en-GB"/>
        </w:rPr>
        <w:t>The Ancient World of the Celts</w:t>
      </w:r>
      <w:r w:rsidRPr="00EC0229">
        <w:rPr>
          <w:rFonts w:eastAsia="Times New Roman" w:cs="Times New Roman"/>
          <w:color w:val="000000"/>
          <w:szCs w:val="24"/>
          <w:lang w:eastAsia="en-GB"/>
        </w:rPr>
        <w:t xml:space="preserve"> (London: Constable).</w:t>
      </w:r>
    </w:p>
    <w:p w14:paraId="1B488E0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English Heritage, 2009, </w:t>
      </w:r>
      <w:r w:rsidRPr="00EC0229">
        <w:rPr>
          <w:rFonts w:eastAsia="Times New Roman" w:cs="Times New Roman"/>
          <w:i/>
          <w:iCs/>
          <w:color w:val="000000"/>
          <w:szCs w:val="24"/>
          <w:lang w:eastAsia="en-GB"/>
        </w:rPr>
        <w:t>Holy Island, Northumberland Extensive Urban Survey</w:t>
      </w:r>
      <w:r w:rsidRPr="00EC0229">
        <w:rPr>
          <w:rFonts w:eastAsia="Times New Roman" w:cs="Times New Roman"/>
          <w:iCs/>
          <w:color w:val="000000"/>
          <w:szCs w:val="24"/>
          <w:lang w:eastAsia="en-GB"/>
        </w:rPr>
        <w:t xml:space="preserve"> (Morpeth: Northumberland Conservation)</w:t>
      </w:r>
      <w:r w:rsidRPr="00EC0229">
        <w:rPr>
          <w:rFonts w:eastAsia="Times New Roman" w:cs="Times New Roman"/>
          <w:color w:val="000000"/>
          <w:szCs w:val="24"/>
          <w:lang w:eastAsia="en-GB"/>
        </w:rPr>
        <w:t>.</w:t>
      </w:r>
    </w:p>
    <w:p w14:paraId="497C9A8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Esty, W. W., 2006, ‘How to Estimate the Original Number of Dies and the Coverage of a Sample’, </w:t>
      </w:r>
      <w:r w:rsidRPr="00EC0229">
        <w:rPr>
          <w:rFonts w:eastAsia="Times New Roman" w:cs="Times New Roman"/>
          <w:i/>
          <w:iCs/>
          <w:color w:val="000000"/>
          <w:szCs w:val="24"/>
          <w:lang w:eastAsia="en-GB"/>
        </w:rPr>
        <w:t>NC</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166, 359–64.</w:t>
      </w:r>
    </w:p>
    <w:p w14:paraId="4C41D31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Evans, D. H., and C. Loveluck (eds), 2009, </w:t>
      </w:r>
      <w:r w:rsidRPr="00EC0229">
        <w:rPr>
          <w:rFonts w:eastAsia="Times New Roman" w:cs="Times New Roman"/>
          <w:i/>
          <w:iCs/>
          <w:color w:val="000000"/>
          <w:szCs w:val="24"/>
          <w:lang w:eastAsia="en-GB"/>
        </w:rPr>
        <w:t>Life and Economy at Early Medieval Flixborough</w:t>
      </w:r>
      <w:r w:rsidRPr="00EC0229">
        <w:rPr>
          <w:rFonts w:eastAsia="Times New Roman" w:cs="Times New Roman"/>
          <w:color w:val="000000"/>
          <w:szCs w:val="24"/>
          <w:lang w:eastAsia="en-GB"/>
        </w:rPr>
        <w:t xml:space="preserve"> (Oxford: Oxbow).</w:t>
      </w:r>
    </w:p>
    <w:p w14:paraId="144ADD5D" w14:textId="77777777" w:rsidR="005B3AC3" w:rsidRPr="00EC0229" w:rsidRDefault="005B3AC3" w:rsidP="005B3AC3">
      <w:pPr>
        <w:spacing w:after="0"/>
        <w:rPr>
          <w:rFonts w:eastAsia="Times New Roman" w:cs="Times New Roman"/>
          <w:color w:val="000000"/>
          <w:szCs w:val="24"/>
          <w:lang w:eastAsia="en-GB"/>
        </w:rPr>
      </w:pPr>
    </w:p>
    <w:p w14:paraId="171AF661"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bookmarkStart w:id="992" w:name="F"/>
      <w:bookmarkEnd w:id="992"/>
      <w:r w:rsidRPr="00EC0229">
        <w:rPr>
          <w:rFonts w:eastAsia="Times New Roman" w:cs="Times New Roman"/>
          <w:color w:val="000000"/>
          <w:position w:val="-11"/>
          <w:sz w:val="112"/>
          <w:szCs w:val="24"/>
          <w:lang w:eastAsia="en-GB"/>
        </w:rPr>
        <w:t>F</w:t>
      </w:r>
    </w:p>
    <w:p w14:paraId="006AA68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aith, R., 2009, ‘Forces and Relations of Production in Early Medieval England’, </w:t>
      </w:r>
      <w:r w:rsidRPr="00EC0229">
        <w:rPr>
          <w:rFonts w:eastAsia="Times New Roman" w:cs="Times New Roman"/>
          <w:i/>
          <w:iCs/>
          <w:color w:val="000000"/>
          <w:szCs w:val="24"/>
          <w:lang w:eastAsia="en-GB"/>
        </w:rPr>
        <w:t>Journal of Agrarian Change</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9, 23–41.</w:t>
      </w:r>
    </w:p>
    <w:p w14:paraId="16845BB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Fenton-Thomas, C., 2005, </w:t>
      </w:r>
      <w:r w:rsidRPr="00EC0229">
        <w:rPr>
          <w:rFonts w:eastAsia="Times New Roman" w:cs="Times New Roman"/>
          <w:i/>
          <w:iCs/>
          <w:color w:val="000000"/>
          <w:szCs w:val="24"/>
          <w:lang w:eastAsia="en-GB"/>
        </w:rPr>
        <w:t>The Forgotten Landscapes of the Yorkshire Wolds</w:t>
      </w:r>
      <w:r w:rsidRPr="00EC0229">
        <w:rPr>
          <w:rFonts w:eastAsia="Times New Roman" w:cs="Times New Roman"/>
          <w:color w:val="000000"/>
          <w:szCs w:val="24"/>
          <w:lang w:eastAsia="en-GB"/>
        </w:rPr>
        <w:t xml:space="preserve"> (Stroud: Tempus).</w:t>
      </w:r>
    </w:p>
    <w:p w14:paraId="6EBF7C4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Feveile, C., 2008, ‘Series X and Coin Circulation in Ribe’,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1, pp. 53–67.</w:t>
      </w:r>
    </w:p>
    <w:p w14:paraId="430FC4B7" w14:textId="6D665734"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Foot, S., 2006, </w:t>
      </w:r>
      <w:r w:rsidRPr="00EC0229">
        <w:rPr>
          <w:rFonts w:eastAsia="Times New Roman" w:cs="Times New Roman"/>
          <w:i/>
          <w:iCs/>
          <w:color w:val="000000"/>
          <w:szCs w:val="24"/>
          <w:lang w:eastAsia="en-GB"/>
        </w:rPr>
        <w:t xml:space="preserve">Monastic Life in Anglo-Saxon England, </w:t>
      </w:r>
      <w:r w:rsidR="002132F1">
        <w:rPr>
          <w:rFonts w:eastAsia="Times New Roman" w:cs="Times New Roman"/>
          <w:i/>
          <w:iCs/>
          <w:color w:val="000000"/>
          <w:szCs w:val="24"/>
          <w:lang w:eastAsia="en-GB"/>
        </w:rPr>
        <w:t>c.</w:t>
      </w:r>
      <w:r w:rsidRPr="00EC0229">
        <w:rPr>
          <w:rFonts w:eastAsia="Times New Roman" w:cs="Times New Roman"/>
          <w:i/>
          <w:iCs/>
          <w:color w:val="000000"/>
          <w:szCs w:val="24"/>
          <w:lang w:eastAsia="en-GB"/>
        </w:rPr>
        <w:t>600–900</w:t>
      </w:r>
      <w:r w:rsidRPr="00EC0229">
        <w:rPr>
          <w:rFonts w:eastAsia="Times New Roman" w:cs="Times New Roman"/>
          <w:color w:val="000000"/>
          <w:szCs w:val="24"/>
          <w:lang w:eastAsia="en-GB"/>
        </w:rPr>
        <w:t xml:space="preserve"> (Cambridge: CUP).</w:t>
      </w:r>
    </w:p>
    <w:p w14:paraId="4EFA679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Fossier, R. (ed.), 1989, </w:t>
      </w:r>
      <w:r w:rsidRPr="00EC0229">
        <w:rPr>
          <w:rFonts w:eastAsia="Times New Roman" w:cs="Times New Roman"/>
          <w:i/>
          <w:color w:val="000000"/>
          <w:szCs w:val="24"/>
          <w:lang w:eastAsia="en-GB"/>
        </w:rPr>
        <w:t>The Cambridge Illustrated History of the Middle Ages, 350–950</w:t>
      </w:r>
      <w:r w:rsidRPr="00EC0229">
        <w:rPr>
          <w:rFonts w:eastAsia="Times New Roman" w:cs="Times New Roman"/>
          <w:color w:val="000000"/>
          <w:szCs w:val="24"/>
          <w:lang w:eastAsia="en-GB"/>
        </w:rPr>
        <w:t xml:space="preserve"> (Cambridge: CUP).</w:t>
      </w:r>
    </w:p>
    <w:p w14:paraId="7764CDCA" w14:textId="77777777" w:rsidR="005B3AC3" w:rsidRPr="00EC0229" w:rsidRDefault="005B3AC3" w:rsidP="005B3AC3">
      <w:pPr>
        <w:spacing w:after="0"/>
        <w:rPr>
          <w:rFonts w:eastAsia="Times New Roman" w:cs="Times New Roman"/>
          <w:color w:val="000000"/>
          <w:szCs w:val="24"/>
          <w:lang w:eastAsia="en-GB"/>
        </w:rPr>
      </w:pPr>
    </w:p>
    <w:p w14:paraId="7137B897"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07"/>
          <w:szCs w:val="24"/>
          <w:lang w:eastAsia="en-GB"/>
        </w:rPr>
      </w:pPr>
      <w:r w:rsidRPr="00EC0229">
        <w:rPr>
          <w:rFonts w:eastAsia="Times New Roman" w:cs="Times New Roman"/>
          <w:color w:val="000000"/>
          <w:position w:val="-10"/>
          <w:sz w:val="107"/>
          <w:szCs w:val="24"/>
          <w:lang w:eastAsia="en-GB"/>
        </w:rPr>
        <w:t>G</w:t>
      </w:r>
      <w:bookmarkStart w:id="993" w:name="G"/>
      <w:bookmarkEnd w:id="993"/>
    </w:p>
    <w:p w14:paraId="01B15C9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aimster, M., 2007, ‘Viking Economies: Evidence from the Silver Hoards’, in </w:t>
      </w:r>
      <w:r w:rsidRPr="00EC0229">
        <w:rPr>
          <w:rFonts w:eastAsia="Times New Roman" w:cs="Times New Roman"/>
          <w:i/>
          <w:iCs/>
          <w:color w:val="000000"/>
          <w:szCs w:val="24"/>
          <w:lang w:eastAsia="en-GB"/>
        </w:rPr>
        <w:t>SEVA</w:t>
      </w:r>
      <w:r w:rsidRPr="00EC0229">
        <w:rPr>
          <w:rFonts w:eastAsia="Times New Roman" w:cs="Times New Roman"/>
          <w:color w:val="000000"/>
          <w:szCs w:val="24"/>
          <w:lang w:eastAsia="en-GB"/>
        </w:rPr>
        <w:t>, pp. 123–33.</w:t>
      </w:r>
    </w:p>
    <w:p w14:paraId="0C39B75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Gannon, A., 2003, </w:t>
      </w:r>
      <w:r w:rsidRPr="00EC0229">
        <w:rPr>
          <w:rFonts w:eastAsia="Times New Roman" w:cs="Times New Roman"/>
          <w:i/>
          <w:iCs/>
          <w:color w:val="000000"/>
          <w:szCs w:val="24"/>
          <w:lang w:eastAsia="en-GB"/>
        </w:rPr>
        <w:t>The Iconography of Early Anglo-Saxon Coinage, Sixth to Eighth Centuries</w:t>
      </w:r>
      <w:r w:rsidRPr="00EC0229">
        <w:rPr>
          <w:rFonts w:eastAsia="Times New Roman" w:cs="Times New Roman"/>
          <w:color w:val="000000"/>
          <w:szCs w:val="24"/>
          <w:lang w:eastAsia="en-GB"/>
        </w:rPr>
        <w:t xml:space="preserve"> (Oxford: OUP).</w:t>
      </w:r>
    </w:p>
    <w:p w14:paraId="1D3B5E1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Garmonsway, G. N. (trans.), 1953, </w:t>
      </w:r>
      <w:r w:rsidRPr="00EC0229">
        <w:rPr>
          <w:rFonts w:eastAsia="Times New Roman" w:cs="Times New Roman"/>
          <w:i/>
          <w:iCs/>
          <w:color w:val="000000"/>
          <w:szCs w:val="24"/>
          <w:lang w:eastAsia="en-GB"/>
        </w:rPr>
        <w:t>The Anglo-Saxon Chronicle</w:t>
      </w:r>
      <w:r w:rsidRPr="00EC0229">
        <w:rPr>
          <w:rFonts w:eastAsia="Times New Roman" w:cs="Times New Roman"/>
          <w:color w:val="000000"/>
          <w:szCs w:val="24"/>
          <w:lang w:eastAsia="en-GB"/>
        </w:rPr>
        <w:t xml:space="preserve"> (London: Dent &amp; Sons).</w:t>
      </w:r>
    </w:p>
    <w:p w14:paraId="0994C4B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Garrison, M., 1999, ‘“Send More Socks”: On Mentality and the Preservation Context of Medieval Letters’, in M. Mostert (ed.) </w:t>
      </w:r>
      <w:r w:rsidRPr="00EC0229">
        <w:rPr>
          <w:rFonts w:eastAsia="Times New Roman" w:cs="Times New Roman"/>
          <w:i/>
          <w:iCs/>
          <w:color w:val="000000"/>
          <w:szCs w:val="24"/>
          <w:lang w:eastAsia="en-GB"/>
        </w:rPr>
        <w:t>New Approaches to Medieval Communication</w:t>
      </w:r>
      <w:r w:rsidRPr="00EC0229">
        <w:rPr>
          <w:rFonts w:eastAsia="Times New Roman" w:cs="Times New Roman"/>
          <w:color w:val="000000"/>
          <w:szCs w:val="24"/>
          <w:lang w:eastAsia="en-GB"/>
        </w:rPr>
        <w:t xml:space="preserve"> (Turnhout: Brepols), pp. 69–99.</w:t>
      </w:r>
    </w:p>
    <w:p w14:paraId="2B4BE94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Garrison, M., 2001, ‘Alcuin of York and His Continental Context’, in S. Hogarth and V. Wallace (eds), </w:t>
      </w:r>
      <w:r w:rsidRPr="00EC0229">
        <w:rPr>
          <w:rFonts w:eastAsia="Times New Roman" w:cs="Times New Roman"/>
          <w:i/>
          <w:iCs/>
          <w:color w:val="000000"/>
          <w:szCs w:val="24"/>
          <w:lang w:eastAsia="en-GB"/>
        </w:rPr>
        <w:t>Yorkshire People and Places: A Mellennium Celebration</w:t>
      </w:r>
      <w:r w:rsidRPr="00EC0229">
        <w:rPr>
          <w:rFonts w:eastAsia="Times New Roman" w:cs="Times New Roman"/>
          <w:color w:val="000000"/>
          <w:szCs w:val="24"/>
          <w:lang w:eastAsia="en-GB"/>
        </w:rPr>
        <w:t xml:space="preserve"> (York: Yorkshire Philosophical Society), pp. 15–28.</w:t>
      </w:r>
    </w:p>
    <w:p w14:paraId="1A401DF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Gaunt, G. D., and P. C. Buckland, 2003, ‘The Geological Background to Yorkshire’s Archaeology’, in Manby, Moorhouse, and Ottaway (eds), 2003, pp. 17–23.</w:t>
      </w:r>
    </w:p>
    <w:p w14:paraId="28CB846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Geake, H., and J. Kenny (eds), 2000, </w:t>
      </w:r>
      <w:r w:rsidRPr="00EC0229">
        <w:rPr>
          <w:rFonts w:eastAsia="Times New Roman" w:cs="Times New Roman"/>
          <w:i/>
          <w:iCs/>
          <w:color w:val="000000"/>
          <w:szCs w:val="24"/>
          <w:lang w:eastAsia="en-GB"/>
        </w:rPr>
        <w:t xml:space="preserve">Early Deira: Archaeological Studies of the East Riding in the Fourth to Ninth Centuries </w:t>
      </w:r>
      <w:r w:rsidRPr="00EC0229">
        <w:rPr>
          <w:rFonts w:eastAsia="Times New Roman" w:cs="Times New Roman"/>
          <w:i/>
          <w:iCs/>
          <w:smallCaps/>
          <w:color w:val="000000"/>
          <w:szCs w:val="24"/>
          <w:lang w:eastAsia="en-GB"/>
        </w:rPr>
        <w:t>ad</w:t>
      </w:r>
      <w:r w:rsidRPr="00EC0229">
        <w:rPr>
          <w:rFonts w:eastAsia="Times New Roman" w:cs="Times New Roman"/>
          <w:iCs/>
          <w:color w:val="000000"/>
          <w:szCs w:val="24"/>
          <w:lang w:eastAsia="en-GB"/>
        </w:rPr>
        <w:t xml:space="preserve"> (Oxford: Oxbow Books).</w:t>
      </w:r>
    </w:p>
    <w:p w14:paraId="22A2836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Gilmore, G. R., 1987, ‘Metal Analysis of the Northumbrian Stycas’, in </w:t>
      </w:r>
      <w:r w:rsidRPr="00EC0229">
        <w:rPr>
          <w:rFonts w:eastAsia="Times New Roman" w:cs="Times New Roman"/>
          <w:iCs/>
          <w:color w:val="000000"/>
          <w:szCs w:val="24"/>
          <w:lang w:eastAsia="en-GB"/>
        </w:rPr>
        <w:t>BAR</w:t>
      </w:r>
      <w:r w:rsidRPr="00EC0229">
        <w:rPr>
          <w:rFonts w:eastAsia="Times New Roman" w:cs="Times New Roman"/>
          <w:color w:val="000000"/>
          <w:szCs w:val="24"/>
          <w:lang w:eastAsia="en-GB"/>
        </w:rPr>
        <w:t>180, pp. 159–73.</w:t>
      </w:r>
    </w:p>
    <w:p w14:paraId="4F97AF7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Gilmore, G. R., and E. J. E. Pirie, 1988, ‘Consistency in the Alloy of the Northumbrian Stycas: Evidence from Redwulf’s Short Reign’, in </w:t>
      </w:r>
      <w:r w:rsidRPr="00EC0229">
        <w:rPr>
          <w:rFonts w:eastAsia="Times New Roman" w:cs="Times New Roman"/>
          <w:iCs/>
          <w:color w:val="000000"/>
          <w:szCs w:val="24"/>
          <w:lang w:eastAsia="en-GB"/>
        </w:rPr>
        <w:t>BAR</w:t>
      </w:r>
      <w:r w:rsidRPr="00EC0229">
        <w:rPr>
          <w:rFonts w:eastAsia="Times New Roman" w:cs="Times New Roman"/>
          <w:color w:val="000000"/>
          <w:szCs w:val="24"/>
          <w:lang w:eastAsia="en-GB"/>
        </w:rPr>
        <w:t>180, pp. 175–85.</w:t>
      </w:r>
    </w:p>
    <w:p w14:paraId="093259E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Graham-Campbell, J. (ed.), 1994, </w:t>
      </w:r>
      <w:r w:rsidRPr="00EC0229">
        <w:rPr>
          <w:rFonts w:eastAsia="Times New Roman" w:cs="Times New Roman"/>
          <w:i/>
          <w:iCs/>
          <w:color w:val="000000"/>
          <w:szCs w:val="24"/>
          <w:lang w:eastAsia="en-GB"/>
        </w:rPr>
        <w:t xml:space="preserve">Cultural Atlas of the Viking World </w:t>
      </w:r>
      <w:r w:rsidRPr="00EC0229">
        <w:rPr>
          <w:rFonts w:eastAsia="Times New Roman" w:cs="Times New Roman"/>
          <w:color w:val="000000"/>
          <w:szCs w:val="24"/>
          <w:lang w:eastAsia="en-GB"/>
        </w:rPr>
        <w:t>(New York: Facts on File).</w:t>
      </w:r>
    </w:p>
    <w:p w14:paraId="6BAFDEF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Graham-Campbell, J., 2001, </w:t>
      </w:r>
      <w:r w:rsidRPr="00EC0229">
        <w:rPr>
          <w:rFonts w:eastAsia="Times New Roman" w:cs="Times New Roman"/>
          <w:i/>
          <w:color w:val="000000"/>
          <w:szCs w:val="24"/>
          <w:lang w:eastAsia="en-GB"/>
        </w:rPr>
        <w:t>Whithorn and the Viking World</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Whithorn Lecture, 8</w:t>
      </w:r>
      <w:r w:rsidRPr="00EC0229">
        <w:rPr>
          <w:rFonts w:eastAsia="Times New Roman" w:cs="Times New Roman"/>
          <w:color w:val="000000"/>
          <w:szCs w:val="24"/>
          <w:lang w:eastAsia="en-GB"/>
        </w:rPr>
        <w:t xml:space="preserve"> (Whithorn: Friends of the Whithorn Trust). [Pirie archive].</w:t>
      </w:r>
    </w:p>
    <w:p w14:paraId="550980B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Graham-Campbell, J., 2011, </w:t>
      </w:r>
      <w:r w:rsidRPr="00EC0229">
        <w:rPr>
          <w:rFonts w:eastAsia="Times New Roman" w:cs="Times New Roman"/>
          <w:i/>
          <w:iCs/>
          <w:color w:val="000000"/>
          <w:szCs w:val="24"/>
          <w:lang w:eastAsia="en-GB"/>
        </w:rPr>
        <w:t>The Cuerdale Hoard and Related Viking-Age Silver and Gold from Britain and Ireland in the British Museum</w:t>
      </w:r>
      <w:r w:rsidRPr="00EC0229">
        <w:rPr>
          <w:rFonts w:eastAsia="Times New Roman" w:cs="Times New Roman"/>
          <w:color w:val="000000"/>
          <w:szCs w:val="24"/>
          <w:lang w:eastAsia="en-GB"/>
        </w:rPr>
        <w:t xml:space="preserve"> (London: BM).</w:t>
      </w:r>
    </w:p>
    <w:p w14:paraId="689C0EB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Graham-Campbell, J., S. M. Sindbæk, and G. Williams (eds), 2011, </w:t>
      </w:r>
      <w:r w:rsidRPr="00EC0229">
        <w:rPr>
          <w:rFonts w:eastAsia="Times New Roman" w:cs="Times New Roman"/>
          <w:i/>
          <w:color w:val="000000"/>
          <w:szCs w:val="24"/>
          <w:lang w:eastAsia="en-GB"/>
        </w:rPr>
        <w:t xml:space="preserve">Silver Economies, Monetisation and Society in Scandinavia, </w:t>
      </w:r>
      <w:r w:rsidRPr="00EC0229">
        <w:rPr>
          <w:rFonts w:eastAsia="Times New Roman" w:cs="Times New Roman"/>
          <w:i/>
          <w:iCs/>
          <w:smallCaps/>
          <w:color w:val="000000"/>
          <w:szCs w:val="24"/>
          <w:lang w:eastAsia="en-GB"/>
        </w:rPr>
        <w:t>ad</w:t>
      </w:r>
      <w:r w:rsidRPr="00EC0229">
        <w:rPr>
          <w:rFonts w:eastAsia="Times New Roman" w:cs="Times New Roman"/>
          <w:i/>
          <w:color w:val="000000"/>
          <w:szCs w:val="24"/>
          <w:lang w:eastAsia="en-GB"/>
        </w:rPr>
        <w:t xml:space="preserve"> 800–1000</w:t>
      </w:r>
      <w:r w:rsidRPr="00EC0229">
        <w:rPr>
          <w:rFonts w:eastAsia="Times New Roman" w:cs="Times New Roman"/>
          <w:color w:val="000000"/>
          <w:szCs w:val="24"/>
          <w:lang w:eastAsia="en-GB"/>
        </w:rPr>
        <w:t xml:space="preserve"> (Aarhus: Aarhus Universitetsforlag).</w:t>
      </w:r>
    </w:p>
    <w:p w14:paraId="45ECCC8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Graham-Campbell, J., and G. Williams (eds), 2007, </w:t>
      </w:r>
      <w:r w:rsidRPr="00EC0229">
        <w:rPr>
          <w:rFonts w:eastAsia="Times New Roman" w:cs="Times New Roman"/>
          <w:i/>
          <w:color w:val="000000"/>
          <w:szCs w:val="24"/>
          <w:lang w:eastAsia="en-GB"/>
        </w:rPr>
        <w:t>Silver Economy in the Viking Age</w:t>
      </w:r>
      <w:r w:rsidRPr="00EC0229">
        <w:rPr>
          <w:rFonts w:eastAsia="Times New Roman" w:cs="Times New Roman"/>
          <w:color w:val="000000"/>
          <w:szCs w:val="24"/>
          <w:lang w:eastAsia="en-GB"/>
        </w:rPr>
        <w:t xml:space="preserve"> (Walnut Creek: Left Coast Press).</w:t>
      </w:r>
    </w:p>
    <w:p w14:paraId="286F5FA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Grantley, Lord, 1911, ‘Saint Cuthbert’s Pennies’,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8, 49–53.</w:t>
      </w:r>
    </w:p>
    <w:p w14:paraId="53B4CF1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Gräslund, B., and N. Price, 2012, ‘Twilight of the Gods? The “Dust Veil Event” of </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536 in Critical Perspective’, </w:t>
      </w:r>
      <w:r w:rsidRPr="00EC0229">
        <w:rPr>
          <w:rFonts w:eastAsia="Times New Roman" w:cs="Times New Roman"/>
          <w:i/>
          <w:iCs/>
          <w:color w:val="000000"/>
          <w:szCs w:val="24"/>
          <w:lang w:eastAsia="en-GB"/>
        </w:rPr>
        <w:t>Antiquity</w:t>
      </w:r>
      <w:r w:rsidRPr="00EC0229">
        <w:rPr>
          <w:rFonts w:eastAsia="Times New Roman" w:cs="Times New Roman"/>
          <w:color w:val="000000"/>
          <w:szCs w:val="24"/>
          <w:lang w:eastAsia="en-GB"/>
        </w:rPr>
        <w:t>, 86, 428–43.</w:t>
      </w:r>
    </w:p>
    <w:p w14:paraId="5A78E41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Grierson, P., and M. A. S. Blackburn, 1986, </w:t>
      </w:r>
      <w:r w:rsidRPr="00EC0229">
        <w:rPr>
          <w:rFonts w:eastAsia="Times New Roman" w:cs="Times New Roman"/>
          <w:i/>
          <w:iCs/>
          <w:color w:val="000000"/>
          <w:szCs w:val="24"/>
          <w:lang w:eastAsia="en-GB"/>
        </w:rPr>
        <w:t>Medieval European Coinage, Cambridge, I: The Early Middle Ages (5</w:t>
      </w:r>
      <w:r w:rsidRPr="00EC0229">
        <w:rPr>
          <w:rFonts w:eastAsia="Times New Roman" w:cs="Times New Roman"/>
          <w:i/>
          <w:iCs/>
          <w:color w:val="000000"/>
          <w:szCs w:val="24"/>
          <w:vertAlign w:val="superscript"/>
          <w:lang w:eastAsia="en-GB"/>
        </w:rPr>
        <w:t>th</w:t>
      </w:r>
      <w:r w:rsidRPr="00EC0229">
        <w:rPr>
          <w:rFonts w:eastAsia="Times New Roman" w:cs="Times New Roman"/>
          <w:i/>
          <w:iCs/>
          <w:color w:val="000000"/>
          <w:szCs w:val="24"/>
          <w:lang w:eastAsia="en-GB"/>
        </w:rPr>
        <w:t>–10</w:t>
      </w:r>
      <w:r w:rsidRPr="00EC0229">
        <w:rPr>
          <w:rFonts w:eastAsia="Times New Roman" w:cs="Times New Roman"/>
          <w:i/>
          <w:iCs/>
          <w:color w:val="000000"/>
          <w:szCs w:val="24"/>
          <w:vertAlign w:val="superscript"/>
          <w:lang w:eastAsia="en-GB"/>
        </w:rPr>
        <w:t>th</w:t>
      </w:r>
      <w:r w:rsidRPr="00EC0229">
        <w:rPr>
          <w:rFonts w:eastAsia="Times New Roman" w:cs="Times New Roman"/>
          <w:i/>
          <w:iCs/>
          <w:color w:val="000000"/>
          <w:szCs w:val="24"/>
          <w:lang w:eastAsia="en-GB"/>
        </w:rPr>
        <w:t xml:space="preserve"> Centuries)</w:t>
      </w:r>
      <w:r w:rsidRPr="00EC0229">
        <w:rPr>
          <w:rFonts w:eastAsia="Times New Roman" w:cs="Times New Roman"/>
          <w:color w:val="000000"/>
          <w:szCs w:val="24"/>
          <w:lang w:eastAsia="en-GB"/>
        </w:rPr>
        <w:t xml:space="preserve"> (Cambridge: CUP).</w:t>
      </w:r>
    </w:p>
    <w:p w14:paraId="6AD33E8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Grierson, P., 1951, ‘The Gold Solidus of Louis the Pious and Its Imitations’, </w:t>
      </w:r>
      <w:r w:rsidRPr="00EC0229">
        <w:rPr>
          <w:rFonts w:eastAsia="Times New Roman" w:cs="Times New Roman"/>
          <w:i/>
          <w:iCs/>
          <w:color w:val="000000"/>
          <w:szCs w:val="24"/>
          <w:lang w:eastAsia="en-GB"/>
        </w:rPr>
        <w:t>JMP</w:t>
      </w:r>
      <w:r w:rsidRPr="00EC0229">
        <w:rPr>
          <w:rFonts w:eastAsia="Times New Roman" w:cs="Times New Roman"/>
          <w:iCs/>
          <w:color w:val="000000"/>
          <w:szCs w:val="24"/>
          <w:lang w:eastAsia="en-GB"/>
        </w:rPr>
        <w:t>, 38</w:t>
      </w:r>
      <w:r w:rsidRPr="00EC0229">
        <w:rPr>
          <w:rFonts w:eastAsia="Times New Roman" w:cs="Times New Roman"/>
          <w:color w:val="000000"/>
          <w:szCs w:val="24"/>
          <w:lang w:eastAsia="en-GB"/>
        </w:rPr>
        <w:t>, 1–47.</w:t>
      </w:r>
    </w:p>
    <w:p w14:paraId="45131B7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Grierson, P., 1959, ‘</w:t>
      </w:r>
      <w:r w:rsidRPr="00EC0229">
        <w:rPr>
          <w:rFonts w:eastAsia="Times New Roman" w:cs="Times New Roman"/>
          <w:iCs/>
          <w:color w:val="000000"/>
          <w:szCs w:val="24"/>
          <w:lang w:eastAsia="en-GB"/>
        </w:rPr>
        <w:t>Commerce in the Dark Ages: A Critique of the Evidence’,</w:t>
      </w:r>
      <w:r w:rsidRPr="00EC0229">
        <w:rPr>
          <w:rFonts w:eastAsia="Times New Roman" w:cs="Times New Roman"/>
          <w:color w:val="000000"/>
          <w:szCs w:val="24"/>
          <w:lang w:eastAsia="en-GB"/>
        </w:rPr>
        <w:t xml:space="preserve"> </w:t>
      </w:r>
      <w:r w:rsidRPr="00EC0229">
        <w:rPr>
          <w:rFonts w:eastAsia="Times New Roman" w:cs="Times New Roman"/>
          <w:i/>
          <w:color w:val="000000"/>
          <w:szCs w:val="24"/>
          <w:lang w:eastAsia="en-GB"/>
        </w:rPr>
        <w:t>T</w:t>
      </w:r>
      <w:r w:rsidRPr="00EC0229">
        <w:rPr>
          <w:rFonts w:eastAsia="Times New Roman" w:cs="Times New Roman"/>
          <w:i/>
          <w:iCs/>
          <w:color w:val="000000"/>
          <w:szCs w:val="24"/>
          <w:lang w:eastAsia="en-GB"/>
        </w:rPr>
        <w:t>RHS</w:t>
      </w:r>
      <w:r w:rsidRPr="00EC0229">
        <w:rPr>
          <w:rFonts w:eastAsia="Times New Roman" w:cs="Times New Roman"/>
          <w:iCs/>
          <w:color w:val="000000"/>
          <w:szCs w:val="24"/>
          <w:lang w:eastAsia="en-GB"/>
        </w:rPr>
        <w:t xml:space="preserve"> 5</w:t>
      </w:r>
      <w:r w:rsidRPr="00EC0229">
        <w:rPr>
          <w:rFonts w:eastAsia="Times New Roman" w:cs="Times New Roman"/>
          <w:iCs/>
          <w:color w:val="000000"/>
          <w:szCs w:val="24"/>
          <w:vertAlign w:val="superscript"/>
          <w:lang w:eastAsia="en-GB"/>
        </w:rPr>
        <w:t>th</w:t>
      </w:r>
      <w:r w:rsidRPr="00EC0229">
        <w:rPr>
          <w:rFonts w:eastAsia="Times New Roman" w:cs="Times New Roman"/>
          <w:iCs/>
          <w:color w:val="000000"/>
          <w:szCs w:val="24"/>
          <w:lang w:eastAsia="en-GB"/>
        </w:rPr>
        <w:t xml:space="preserve"> ser.,</w:t>
      </w:r>
      <w:r w:rsidRPr="00EC0229">
        <w:rPr>
          <w:rFonts w:eastAsia="Times New Roman" w:cs="Times New Roman"/>
          <w:color w:val="000000"/>
          <w:szCs w:val="24"/>
          <w:lang w:eastAsia="en-GB"/>
        </w:rPr>
        <w:t xml:space="preserve"> 9, 123–40.</w:t>
      </w:r>
    </w:p>
    <w:p w14:paraId="091143E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Grierson, P., 1962, ‘The Authenticity of the York “Thrymsas”’,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31, 8–10 (</w:t>
      </w:r>
      <w:r w:rsidRPr="00EC0229">
        <w:rPr>
          <w:rFonts w:eastAsia="Times New Roman" w:cs="Times New Roman"/>
          <w:i/>
          <w:iCs/>
          <w:color w:val="000000"/>
          <w:szCs w:val="24"/>
          <w:lang w:eastAsia="en-GB"/>
        </w:rPr>
        <w:t>MEC</w:t>
      </w:r>
      <w:r w:rsidRPr="00EC0229">
        <w:rPr>
          <w:rFonts w:eastAsia="Times New Roman" w:cs="Times New Roman"/>
          <w:color w:val="000000"/>
          <w:szCs w:val="24"/>
          <w:lang w:eastAsia="en-GB"/>
        </w:rPr>
        <w:t xml:space="preserve">: ‘reprinted in </w:t>
      </w:r>
      <w:r w:rsidRPr="00EC0229">
        <w:rPr>
          <w:rFonts w:eastAsia="Times New Roman" w:cs="Times New Roman"/>
          <w:i/>
          <w:iCs/>
          <w:color w:val="000000"/>
          <w:szCs w:val="24"/>
          <w:lang w:eastAsia="en-GB"/>
        </w:rPr>
        <w:t>DAN</w:t>
      </w:r>
      <w:r w:rsidRPr="00EC0229">
        <w:rPr>
          <w:rFonts w:eastAsia="Times New Roman" w:cs="Times New Roman"/>
          <w:color w:val="000000"/>
          <w:szCs w:val="24"/>
          <w:lang w:eastAsia="en-GB"/>
        </w:rPr>
        <w:t>, [no. VIII,] with an additional note publishing 1.1481 which had come to light since the original article’).</w:t>
      </w:r>
    </w:p>
    <w:p w14:paraId="7667AE9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Grierson, P., 1967, ‘The Volume of Anglo-Saxon Currency’, </w:t>
      </w:r>
      <w:r w:rsidRPr="00EC0229">
        <w:rPr>
          <w:rFonts w:eastAsia="Times New Roman" w:cs="Times New Roman"/>
          <w:i/>
          <w:iCs/>
          <w:color w:val="000000"/>
          <w:szCs w:val="24"/>
          <w:lang w:eastAsia="en-GB"/>
        </w:rPr>
        <w:t>EcHR</w:t>
      </w:r>
      <w:r w:rsidRPr="00EC0229">
        <w:rPr>
          <w:rFonts w:eastAsia="Times New Roman" w:cs="Times New Roman"/>
          <w:color w:val="000000"/>
          <w:szCs w:val="24"/>
          <w:lang w:eastAsia="en-GB"/>
        </w:rPr>
        <w:t xml:space="preserve"> 2</w:t>
      </w:r>
      <w:r w:rsidRPr="00EC0229">
        <w:rPr>
          <w:rFonts w:eastAsia="Times New Roman" w:cs="Times New Roman"/>
          <w:color w:val="000000"/>
          <w:szCs w:val="24"/>
          <w:vertAlign w:val="superscript"/>
          <w:lang w:eastAsia="en-GB"/>
        </w:rPr>
        <w:t>nd</w:t>
      </w:r>
      <w:r w:rsidRPr="00EC0229">
        <w:rPr>
          <w:rFonts w:eastAsia="Times New Roman" w:cs="Times New Roman"/>
          <w:color w:val="000000"/>
          <w:szCs w:val="24"/>
          <w:lang w:eastAsia="en-GB"/>
        </w:rPr>
        <w:t xml:space="preserve"> ser., 20, 153–60.</w:t>
      </w:r>
    </w:p>
    <w:p w14:paraId="02A0D7D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Grierson, P., 1975, </w:t>
      </w:r>
      <w:r w:rsidRPr="00EC0229">
        <w:rPr>
          <w:rFonts w:eastAsia="Times New Roman" w:cs="Times New Roman"/>
          <w:i/>
          <w:iCs/>
          <w:color w:val="000000"/>
          <w:szCs w:val="24"/>
          <w:lang w:eastAsia="en-GB"/>
        </w:rPr>
        <w:t>Numismatics</w:t>
      </w:r>
      <w:r w:rsidRPr="00EC0229">
        <w:rPr>
          <w:rFonts w:eastAsia="Times New Roman" w:cs="Times New Roman"/>
          <w:color w:val="000000"/>
          <w:szCs w:val="24"/>
          <w:lang w:eastAsia="en-GB"/>
        </w:rPr>
        <w:t xml:space="preserve"> (Oxford: OUP).</w:t>
      </w:r>
    </w:p>
    <w:p w14:paraId="6F85A4A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Grierson, P., 1979, </w:t>
      </w:r>
      <w:r w:rsidRPr="00EC0229">
        <w:rPr>
          <w:rFonts w:eastAsia="Times New Roman" w:cs="Times New Roman"/>
          <w:i/>
          <w:color w:val="000000"/>
          <w:szCs w:val="24"/>
          <w:lang w:eastAsia="en-GB"/>
        </w:rPr>
        <w:t>Dark Age Numismatics: Selected Studies</w:t>
      </w:r>
      <w:r w:rsidRPr="00EC0229">
        <w:rPr>
          <w:rFonts w:eastAsia="Times New Roman" w:cs="Times New Roman"/>
          <w:color w:val="000000"/>
          <w:szCs w:val="24"/>
          <w:lang w:eastAsia="en-GB"/>
        </w:rPr>
        <w:t xml:space="preserve"> (London: Variorum).</w:t>
      </w:r>
    </w:p>
    <w:p w14:paraId="750B82E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Grierson, P., M. A. S. Blackburn, 1986, </w:t>
      </w:r>
      <w:r w:rsidRPr="00EC0229">
        <w:rPr>
          <w:rFonts w:eastAsia="Times New Roman" w:cs="Times New Roman"/>
          <w:i/>
          <w:color w:val="000000"/>
          <w:szCs w:val="24"/>
          <w:lang w:eastAsia="en-GB"/>
        </w:rPr>
        <w:t>Medieval English Coinage, Cambridge, I: The Early Middle Ages (5</w:t>
      </w:r>
      <w:r w:rsidRPr="00EC0229">
        <w:rPr>
          <w:rFonts w:eastAsia="Times New Roman" w:cs="Times New Roman"/>
          <w:i/>
          <w:color w:val="000000"/>
          <w:szCs w:val="24"/>
          <w:vertAlign w:val="superscript"/>
          <w:lang w:eastAsia="en-GB"/>
        </w:rPr>
        <w:t>th</w:t>
      </w:r>
      <w:r w:rsidRPr="00EC0229">
        <w:rPr>
          <w:rFonts w:eastAsia="Times New Roman" w:cs="Times New Roman"/>
          <w:i/>
          <w:color w:val="000000"/>
          <w:szCs w:val="24"/>
          <w:lang w:eastAsia="en-GB"/>
        </w:rPr>
        <w:t>–10</w:t>
      </w:r>
      <w:r w:rsidRPr="00EC0229">
        <w:rPr>
          <w:rFonts w:eastAsia="Times New Roman" w:cs="Times New Roman"/>
          <w:i/>
          <w:color w:val="000000"/>
          <w:szCs w:val="24"/>
          <w:vertAlign w:val="superscript"/>
          <w:lang w:eastAsia="en-GB"/>
        </w:rPr>
        <w:t>th</w:t>
      </w:r>
      <w:r w:rsidRPr="00EC0229">
        <w:rPr>
          <w:rFonts w:eastAsia="Times New Roman" w:cs="Times New Roman"/>
          <w:i/>
          <w:color w:val="000000"/>
          <w:szCs w:val="24"/>
          <w:lang w:eastAsia="en-GB"/>
        </w:rPr>
        <w:t xml:space="preserve"> Centuries)</w:t>
      </w:r>
      <w:r w:rsidRPr="00EC0229">
        <w:rPr>
          <w:rFonts w:eastAsia="Times New Roman" w:cs="Times New Roman"/>
          <w:color w:val="000000"/>
          <w:szCs w:val="24"/>
          <w:lang w:eastAsia="en-GB"/>
        </w:rPr>
        <w:t xml:space="preserve"> (Cambridge: CUP).</w:t>
      </w:r>
    </w:p>
    <w:p w14:paraId="55AA953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Griffiths, D., 2003, ‘Markets and “Productive” Sites: A View From Western Britain’, in </w:t>
      </w:r>
      <w:r w:rsidRPr="00EC0229">
        <w:rPr>
          <w:rFonts w:eastAsia="Times New Roman" w:cs="Times New Roman"/>
          <w:i/>
          <w:iCs/>
          <w:color w:val="000000"/>
          <w:szCs w:val="24"/>
          <w:lang w:eastAsia="en-GB"/>
        </w:rPr>
        <w:t>P&amp;U</w:t>
      </w:r>
      <w:r w:rsidRPr="00EC0229">
        <w:rPr>
          <w:rFonts w:eastAsia="Times New Roman" w:cs="Times New Roman"/>
          <w:color w:val="000000"/>
          <w:szCs w:val="24"/>
          <w:lang w:eastAsia="en-GB"/>
        </w:rPr>
        <w:t>, pp. 62–72.</w:t>
      </w:r>
    </w:p>
    <w:p w14:paraId="0C2C289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Guest, P., 1997, ‘Coin Hoards and the End of Roman Britain’, in R. Bland and J. Orna-Ornstein (eds), </w:t>
      </w:r>
      <w:r w:rsidRPr="00EC0229">
        <w:rPr>
          <w:rFonts w:eastAsia="Times New Roman" w:cs="Times New Roman"/>
          <w:i/>
          <w:iCs/>
          <w:color w:val="000000"/>
          <w:szCs w:val="24"/>
          <w:lang w:eastAsia="en-GB"/>
        </w:rPr>
        <w:t>Coin Hoards from Roman Britain</w:t>
      </w:r>
      <w:r w:rsidRPr="00EC0229">
        <w:rPr>
          <w:rFonts w:eastAsia="Times New Roman" w:cs="Times New Roman"/>
          <w:color w:val="000000"/>
          <w:szCs w:val="24"/>
          <w:lang w:eastAsia="en-GB"/>
        </w:rPr>
        <w:t xml:space="preserve"> (London: BM), vol. 10, pp. 411–23.</w:t>
      </w:r>
    </w:p>
    <w:p w14:paraId="151E041F" w14:textId="5A2EDA68"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Gunn, J. D. (ed.), 2000, </w:t>
      </w:r>
      <w:r w:rsidRPr="00EC0229">
        <w:rPr>
          <w:rFonts w:eastAsia="Times New Roman" w:cs="Times New Roman"/>
          <w:i/>
          <w:color w:val="000000"/>
          <w:szCs w:val="24"/>
          <w:lang w:eastAsia="en-GB"/>
        </w:rPr>
        <w:t xml:space="preserve">The Years without Summer: Tracing </w:t>
      </w:r>
      <w:r w:rsidRPr="00EC0229">
        <w:rPr>
          <w:rFonts w:eastAsia="Times New Roman" w:cs="Times New Roman"/>
          <w:i/>
          <w:smallCaps/>
          <w:color w:val="000000"/>
          <w:szCs w:val="24"/>
          <w:lang w:eastAsia="en-GB"/>
        </w:rPr>
        <w:t>ad</w:t>
      </w:r>
      <w:r w:rsidRPr="00EC0229">
        <w:rPr>
          <w:rFonts w:eastAsia="Times New Roman" w:cs="Times New Roman"/>
          <w:i/>
          <w:color w:val="000000"/>
          <w:szCs w:val="24"/>
          <w:lang w:eastAsia="en-GB"/>
        </w:rPr>
        <w:t xml:space="preserve"> 536 and Its Aftermath</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B. A. R.</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International Series,</w:t>
      </w:r>
      <w:r w:rsidRPr="00EC0229">
        <w:rPr>
          <w:rFonts w:eastAsia="Times New Roman" w:cs="Times New Roman"/>
          <w:color w:val="000000"/>
          <w:szCs w:val="24"/>
          <w:lang w:eastAsia="en-GB"/>
        </w:rPr>
        <w:t xml:space="preserve"> 872 (Oxford: Archaeopress).</w:t>
      </w:r>
    </w:p>
    <w:p w14:paraId="527DA6B7" w14:textId="1BB50B86" w:rsidR="00774624" w:rsidRPr="00EC0229" w:rsidRDefault="00774624" w:rsidP="005B3AC3">
      <w:pPr>
        <w:spacing w:after="0"/>
        <w:rPr>
          <w:rFonts w:eastAsia="Times New Roman" w:cs="Times New Roman"/>
          <w:color w:val="000000"/>
          <w:szCs w:val="24"/>
          <w:lang w:eastAsia="en-GB"/>
        </w:rPr>
      </w:pPr>
    </w:p>
    <w:p w14:paraId="063C7555" w14:textId="0BB51830" w:rsidR="00774624" w:rsidRPr="00EC0229" w:rsidRDefault="00774624" w:rsidP="00774624">
      <w:pPr>
        <w:keepNext/>
        <w:framePr w:dropCap="margin" w:lines="3" w:wrap="around" w:vAnchor="text" w:hAnchor="pag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827" w:lineRule="exact"/>
        <w:textAlignment w:val="baseline"/>
        <w:rPr>
          <w:rFonts w:asciiTheme="minorHAnsi" w:eastAsia="Times New Roman" w:hAnsiTheme="minorHAnsi" w:cstheme="minorHAnsi"/>
          <w:position w:val="-11"/>
          <w:sz w:val="112"/>
          <w:szCs w:val="24"/>
          <w:lang w:eastAsia="en-GB"/>
        </w:rPr>
      </w:pPr>
      <w:r w:rsidRPr="00EC0229">
        <w:rPr>
          <w:rFonts w:asciiTheme="minorHAnsi" w:eastAsia="Times New Roman" w:hAnsiTheme="minorHAnsi" w:cstheme="minorHAnsi"/>
          <w:position w:val="-11"/>
          <w:sz w:val="112"/>
          <w:szCs w:val="24"/>
          <w:lang w:eastAsia="en-GB"/>
        </w:rPr>
        <w:t>H</w:t>
      </w:r>
    </w:p>
    <w:p w14:paraId="553AC2EE" w14:textId="39E4C621" w:rsidR="00774624" w:rsidRPr="00EC0229" w:rsidRDefault="00774624" w:rsidP="007746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szCs w:val="24"/>
          <w:lang w:eastAsia="en-GB"/>
        </w:rPr>
      </w:pPr>
      <w:r w:rsidRPr="00EC0229">
        <w:rPr>
          <w:rFonts w:asciiTheme="minorHAnsi" w:eastAsia="Times New Roman" w:hAnsiTheme="minorHAnsi" w:cstheme="minorHAnsi"/>
          <w:szCs w:val="24"/>
          <w:lang w:eastAsia="en-GB"/>
        </w:rPr>
        <w:t xml:space="preserve">aldenby, D. 1990 'An Anglian site in the Yorkshire Wolds', </w:t>
      </w:r>
      <w:r w:rsidRPr="00EC0229">
        <w:rPr>
          <w:rFonts w:asciiTheme="minorHAnsi" w:eastAsia="Times New Roman" w:hAnsiTheme="minorHAnsi" w:cstheme="minorHAnsi"/>
          <w:i/>
          <w:szCs w:val="24"/>
          <w:lang w:eastAsia="en-GB"/>
        </w:rPr>
        <w:t>YAJ</w:t>
      </w:r>
      <w:r w:rsidRPr="00EC0229">
        <w:rPr>
          <w:rFonts w:asciiTheme="minorHAnsi" w:eastAsia="Times New Roman" w:hAnsiTheme="minorHAnsi" w:cstheme="minorHAnsi"/>
          <w:szCs w:val="24"/>
          <w:lang w:eastAsia="en-GB"/>
        </w:rPr>
        <w:t xml:space="preserve"> 62. 51-63.</w:t>
      </w:r>
    </w:p>
    <w:p w14:paraId="3AB515BF" w14:textId="55BEAC08" w:rsidR="00774624" w:rsidRPr="00EC0229" w:rsidRDefault="00774624" w:rsidP="007746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szCs w:val="24"/>
          <w:lang w:eastAsia="en-GB"/>
        </w:rPr>
      </w:pPr>
      <w:r w:rsidRPr="00EC0229">
        <w:rPr>
          <w:rFonts w:asciiTheme="minorHAnsi" w:eastAsia="Times New Roman" w:hAnsiTheme="minorHAnsi" w:cstheme="minorHAnsi"/>
          <w:szCs w:val="24"/>
          <w:lang w:eastAsia="en-GB"/>
        </w:rPr>
        <w:t xml:space="preserve">Haldenby, D. 1992 'An Anglian site on the Yorkshire Wolds – continued', </w:t>
      </w:r>
      <w:r w:rsidRPr="00EC0229">
        <w:rPr>
          <w:rFonts w:asciiTheme="minorHAnsi" w:eastAsia="Times New Roman" w:hAnsiTheme="minorHAnsi" w:cstheme="minorHAnsi"/>
          <w:i/>
          <w:szCs w:val="24"/>
          <w:lang w:eastAsia="en-GB"/>
        </w:rPr>
        <w:t>YAJ</w:t>
      </w:r>
      <w:r w:rsidRPr="00EC0229">
        <w:rPr>
          <w:rFonts w:asciiTheme="minorHAnsi" w:eastAsia="Times New Roman" w:hAnsiTheme="minorHAnsi" w:cstheme="minorHAnsi"/>
          <w:szCs w:val="24"/>
          <w:lang w:eastAsia="en-GB"/>
        </w:rPr>
        <w:t xml:space="preserve"> 64. 25-39.</w:t>
      </w:r>
    </w:p>
    <w:p w14:paraId="3D977D4B" w14:textId="77777777" w:rsidR="002D31FD" w:rsidRPr="00EC0229" w:rsidRDefault="00774624" w:rsidP="002D31FD">
      <w:pPr>
        <w:autoSpaceDE w:val="0"/>
        <w:autoSpaceDN w:val="0"/>
        <w:adjustRightInd w:val="0"/>
        <w:spacing w:after="0"/>
        <w:jc w:val="left"/>
        <w:rPr>
          <w:rFonts w:ascii="Bembo" w:hAnsi="Bembo" w:cs="Bembo"/>
          <w:sz w:val="20"/>
          <w:szCs w:val="20"/>
        </w:rPr>
      </w:pPr>
      <w:r w:rsidRPr="00EC0229">
        <w:rPr>
          <w:rFonts w:asciiTheme="minorHAnsi" w:eastAsia="Times New Roman" w:hAnsiTheme="minorHAnsi" w:cstheme="minorHAnsi"/>
          <w:szCs w:val="24"/>
          <w:lang w:eastAsia="en-GB"/>
        </w:rPr>
        <w:t xml:space="preserve">Haldenby, D. 1994 'Further Saxon finds from the Yorkshire Wolds', </w:t>
      </w:r>
      <w:r w:rsidRPr="00EC0229">
        <w:rPr>
          <w:rFonts w:asciiTheme="minorHAnsi" w:eastAsia="Times New Roman" w:hAnsiTheme="minorHAnsi" w:cstheme="minorHAnsi"/>
          <w:i/>
          <w:szCs w:val="24"/>
          <w:lang w:eastAsia="en-GB"/>
        </w:rPr>
        <w:t>YAJ</w:t>
      </w:r>
      <w:r w:rsidRPr="00EC0229">
        <w:rPr>
          <w:rFonts w:asciiTheme="minorHAnsi" w:eastAsia="Times New Roman" w:hAnsiTheme="minorHAnsi" w:cstheme="minorHAnsi"/>
          <w:szCs w:val="24"/>
          <w:lang w:eastAsia="en-GB"/>
        </w:rPr>
        <w:t xml:space="preserve"> 66. 51-56.</w:t>
      </w:r>
      <w:r w:rsidR="002D31FD" w:rsidRPr="00EC0229">
        <w:rPr>
          <w:rFonts w:ascii="Bembo" w:hAnsi="Bembo" w:cs="Bembo"/>
          <w:sz w:val="20"/>
          <w:szCs w:val="20"/>
        </w:rPr>
        <w:t xml:space="preserve"> </w:t>
      </w:r>
    </w:p>
    <w:p w14:paraId="040E74DD" w14:textId="2454AB40" w:rsidR="002D31FD" w:rsidRPr="00EC0229" w:rsidRDefault="002D31FD" w:rsidP="002D31FD">
      <w:pPr>
        <w:autoSpaceDE w:val="0"/>
        <w:autoSpaceDN w:val="0"/>
        <w:adjustRightInd w:val="0"/>
        <w:spacing w:after="0"/>
        <w:jc w:val="left"/>
        <w:rPr>
          <w:rFonts w:asciiTheme="minorHAnsi" w:eastAsia="Times New Roman" w:hAnsiTheme="minorHAnsi" w:cstheme="minorHAnsi"/>
          <w:color w:val="000000"/>
          <w:szCs w:val="24"/>
          <w:lang w:eastAsia="en-GB"/>
        </w:rPr>
      </w:pPr>
      <w:r w:rsidRPr="00EC0229">
        <w:rPr>
          <w:rFonts w:asciiTheme="minorHAnsi" w:hAnsiTheme="minorHAnsi" w:cstheme="minorHAnsi"/>
          <w:szCs w:val="24"/>
        </w:rPr>
        <w:t xml:space="preserve">Haldenby, D., and Richards, J. D., 2009. Settlement Shift at Cottam, East Riding of Yorkshire, and the Chronology of Anglo-Saxon copper-alloy pins, </w:t>
      </w:r>
      <w:r w:rsidRPr="00EC0229">
        <w:rPr>
          <w:rFonts w:asciiTheme="minorHAnsi" w:hAnsiTheme="minorHAnsi" w:cstheme="minorHAnsi"/>
          <w:i/>
          <w:iCs/>
          <w:szCs w:val="24"/>
        </w:rPr>
        <w:t xml:space="preserve">Medieval </w:t>
      </w:r>
      <w:proofErr w:type="spellStart"/>
      <w:r w:rsidRPr="00EC0229">
        <w:rPr>
          <w:rFonts w:asciiTheme="minorHAnsi" w:hAnsiTheme="minorHAnsi" w:cstheme="minorHAnsi"/>
          <w:i/>
          <w:iCs/>
          <w:szCs w:val="24"/>
        </w:rPr>
        <w:t>Archaeol</w:t>
      </w:r>
      <w:proofErr w:type="spellEnd"/>
      <w:r w:rsidRPr="00EC0229">
        <w:rPr>
          <w:rFonts w:asciiTheme="minorHAnsi" w:hAnsiTheme="minorHAnsi" w:cstheme="minorHAnsi"/>
          <w:i/>
          <w:iCs/>
          <w:szCs w:val="24"/>
        </w:rPr>
        <w:t>.</w:t>
      </w:r>
      <w:r w:rsidRPr="00EC0229">
        <w:rPr>
          <w:rFonts w:asciiTheme="minorHAnsi" w:hAnsiTheme="minorHAnsi" w:cstheme="minorHAnsi"/>
          <w:szCs w:val="24"/>
        </w:rPr>
        <w:t xml:space="preserve">, </w:t>
      </w:r>
      <w:r w:rsidRPr="00EC0229">
        <w:rPr>
          <w:rFonts w:asciiTheme="minorHAnsi" w:hAnsiTheme="minorHAnsi" w:cstheme="minorHAnsi"/>
          <w:bCs/>
          <w:szCs w:val="24"/>
        </w:rPr>
        <w:t>53</w:t>
      </w:r>
      <w:r w:rsidRPr="00EC0229">
        <w:rPr>
          <w:rFonts w:asciiTheme="minorHAnsi" w:hAnsiTheme="minorHAnsi" w:cstheme="minorHAnsi"/>
          <w:szCs w:val="24"/>
        </w:rPr>
        <w:t>, 309–14</w:t>
      </w:r>
      <w:r w:rsidRPr="00EC0229">
        <w:rPr>
          <w:rFonts w:asciiTheme="minorHAnsi" w:eastAsia="Times New Roman" w:hAnsiTheme="minorHAnsi" w:cstheme="minorHAnsi"/>
          <w:color w:val="000000"/>
          <w:szCs w:val="24"/>
          <w:lang w:eastAsia="en-GB"/>
        </w:rPr>
        <w:t>.</w:t>
      </w:r>
    </w:p>
    <w:p w14:paraId="013E4CEF" w14:textId="02048FD4" w:rsidR="005B3AC3" w:rsidRPr="00EC0229" w:rsidRDefault="005B3AC3" w:rsidP="002D31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color w:val="000000"/>
          <w:szCs w:val="24"/>
          <w:lang w:eastAsia="en-GB"/>
        </w:rPr>
      </w:pPr>
      <w:r w:rsidRPr="00EC0229">
        <w:rPr>
          <w:rFonts w:eastAsia="Times New Roman" w:cs="Times New Roman"/>
          <w:color w:val="000000"/>
          <w:szCs w:val="24"/>
          <w:lang w:eastAsia="en-GB"/>
        </w:rPr>
        <w:t>H</w:t>
      </w:r>
      <w:bookmarkStart w:id="994" w:name="H"/>
      <w:bookmarkEnd w:id="994"/>
      <w:r w:rsidRPr="00EC0229">
        <w:rPr>
          <w:rFonts w:eastAsia="Times New Roman" w:cs="Times New Roman"/>
          <w:color w:val="000000"/>
          <w:szCs w:val="24"/>
          <w:lang w:eastAsia="en-GB"/>
        </w:rPr>
        <w:t>aldenby,</w:t>
      </w:r>
      <w:r w:rsidRPr="00EC0229">
        <w:rPr>
          <w:rFonts w:eastAsia="Times New Roman" w:cs="Times New Roman"/>
          <w:color w:val="000000"/>
          <w:szCs w:val="24"/>
          <w:vertAlign w:val="superscript"/>
          <w:lang w:eastAsia="en-GB"/>
        </w:rPr>
        <w:t xml:space="preserve"> </w:t>
      </w:r>
      <w:r w:rsidRPr="00EC0229">
        <w:rPr>
          <w:rFonts w:eastAsia="Times New Roman" w:cs="Times New Roman"/>
          <w:color w:val="000000"/>
          <w:szCs w:val="24"/>
          <w:lang w:eastAsia="en-GB"/>
        </w:rPr>
        <w:t xml:space="preserve">D., and J. D. Richards, 2010, ‘Charting the Effects of Plough Damage Using Metal-Detected Assemblages’, </w:t>
      </w:r>
      <w:r w:rsidRPr="00EC0229">
        <w:rPr>
          <w:rFonts w:eastAsia="Times New Roman" w:cs="Times New Roman"/>
          <w:i/>
          <w:iCs/>
          <w:color w:val="000000"/>
          <w:szCs w:val="24"/>
          <w:lang w:eastAsia="en-GB"/>
        </w:rPr>
        <w:t>Antiquity</w:t>
      </w:r>
      <w:r w:rsidRPr="00EC0229">
        <w:rPr>
          <w:rFonts w:eastAsia="Times New Roman" w:cs="Times New Roman"/>
          <w:color w:val="000000"/>
          <w:szCs w:val="24"/>
          <w:lang w:eastAsia="en-GB"/>
        </w:rPr>
        <w:t>, 84/326, 1151–62.</w:t>
      </w:r>
    </w:p>
    <w:p w14:paraId="4E1A1C0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Haldenby,</w:t>
      </w:r>
      <w:r w:rsidRPr="00EC0229">
        <w:rPr>
          <w:rFonts w:eastAsia="Times New Roman" w:cs="Times New Roman"/>
          <w:color w:val="000000"/>
          <w:szCs w:val="24"/>
          <w:vertAlign w:val="superscript"/>
          <w:lang w:eastAsia="en-GB"/>
        </w:rPr>
        <w:t xml:space="preserve"> </w:t>
      </w:r>
      <w:r w:rsidRPr="00EC0229">
        <w:rPr>
          <w:rFonts w:eastAsia="Times New Roman" w:cs="Times New Roman"/>
          <w:color w:val="000000"/>
          <w:szCs w:val="24"/>
          <w:lang w:eastAsia="en-GB"/>
        </w:rPr>
        <w:t>D., and J. D. Richards, (forthcoming), ‘The Anglo-Saxon/Anglo-Scandinavian Transition: Plotting Settlement Shift Using Metal-Detected Finds’.</w:t>
      </w:r>
    </w:p>
    <w:p w14:paraId="5AB2230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Halkon, P., 2003, ‘Researching an Ancient Landscape: The Foulness Valley, East Yorkshire’, in Manby, Moorhouse, and Ottaway (eds), 2003, pp. 261–74.</w:t>
      </w:r>
    </w:p>
    <w:p w14:paraId="7EF63A0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Halkon, P., and M. Millett (eds), 1999, </w:t>
      </w:r>
      <w:r w:rsidRPr="00EC0229">
        <w:rPr>
          <w:rFonts w:eastAsia="Times New Roman" w:cs="Times New Roman"/>
          <w:i/>
          <w:iCs/>
          <w:color w:val="000000"/>
          <w:szCs w:val="24"/>
          <w:lang w:eastAsia="en-GB"/>
        </w:rPr>
        <w:t>Rural Settlement and Industry: Studies in the Iron Age and Roman Archaeology of Lowland East Yorkshire</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YAHS report no. 4 (Leeds: YAHS).</w:t>
      </w:r>
    </w:p>
    <w:p w14:paraId="471CF5C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Hall, R. A., 1988, ‘York, 700–1050’, in R. Hodges and B. Hobbley (eds), </w:t>
      </w:r>
      <w:r w:rsidRPr="00EC0229">
        <w:rPr>
          <w:rFonts w:eastAsia="Times New Roman" w:cs="Times New Roman"/>
          <w:i/>
          <w:iCs/>
          <w:color w:val="000000"/>
          <w:szCs w:val="24"/>
          <w:lang w:eastAsia="en-GB"/>
        </w:rPr>
        <w:t xml:space="preserve">The Rebirth of Towns in the West,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700–1050</w:t>
      </w:r>
      <w:r w:rsidRPr="00EC0229">
        <w:rPr>
          <w:rFonts w:eastAsia="Times New Roman" w:cs="Times New Roman"/>
          <w:color w:val="000000"/>
          <w:szCs w:val="24"/>
          <w:lang w:eastAsia="en-GB"/>
        </w:rPr>
        <w:t>, CBA Research Report no. 68, pp. 125–32.</w:t>
      </w:r>
    </w:p>
    <w:p w14:paraId="3D0CFDC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Hall, R. A., 1996, </w:t>
      </w:r>
      <w:r w:rsidRPr="00EC0229">
        <w:rPr>
          <w:rFonts w:eastAsia="Times New Roman" w:cs="Times New Roman"/>
          <w:i/>
          <w:iCs/>
          <w:color w:val="000000"/>
          <w:szCs w:val="24"/>
          <w:lang w:eastAsia="en-GB"/>
        </w:rPr>
        <w:t xml:space="preserve">Book of York </w:t>
      </w:r>
      <w:r w:rsidRPr="00EC0229">
        <w:rPr>
          <w:rFonts w:eastAsia="Times New Roman" w:cs="Times New Roman"/>
          <w:color w:val="000000"/>
          <w:szCs w:val="24"/>
          <w:lang w:eastAsia="en-GB"/>
        </w:rPr>
        <w:t>(London: English Heritage).</w:t>
      </w:r>
    </w:p>
    <w:p w14:paraId="367171A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Hall, R. A., 2003, ‘Yorkshire, </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700–1066’, in Manby, Moorhouse, and Ottaway (eds), 2003, pp. 171–80.</w:t>
      </w:r>
    </w:p>
    <w:p w14:paraId="3921AE6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Hall, R. A., E. Paterson, and C. Mortimer, 1999, ‘The Ripon Jewel’, in Hawkes and Mills (eds), 1999, pp. 268–80.</w:t>
      </w:r>
    </w:p>
    <w:p w14:paraId="5C2D12C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Hall, R. A., and M. Whyman, 1996, ‘Settlement and Monasticism at Ripon, North Yorkshire, from the 7</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 xml:space="preserve"> to 11</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 xml:space="preserve"> Centuries </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w:t>
      </w:r>
      <w:r w:rsidRPr="00EC0229">
        <w:rPr>
          <w:rFonts w:eastAsia="Times New Roman" w:cs="Times New Roman"/>
          <w:i/>
          <w:color w:val="000000"/>
          <w:szCs w:val="24"/>
          <w:lang w:eastAsia="en-GB"/>
        </w:rPr>
        <w:t>Med Arch</w:t>
      </w:r>
      <w:r w:rsidRPr="00EC0229">
        <w:rPr>
          <w:rFonts w:eastAsia="Times New Roman" w:cs="Times New Roman"/>
          <w:color w:val="000000"/>
          <w:szCs w:val="24"/>
          <w:lang w:eastAsia="en-GB"/>
        </w:rPr>
        <w:t>, 40, 62–150.</w:t>
      </w:r>
    </w:p>
    <w:p w14:paraId="4836BA0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Hamer, R., (ed. and trans.), 1970, </w:t>
      </w:r>
      <w:r w:rsidRPr="00EC0229">
        <w:rPr>
          <w:rFonts w:eastAsia="Times New Roman" w:cs="Times New Roman"/>
          <w:i/>
          <w:iCs/>
          <w:color w:val="000000"/>
          <w:szCs w:val="24"/>
          <w:lang w:eastAsia="en-GB"/>
        </w:rPr>
        <w:t>A Choice of Anglo-Saxon Verse</w:t>
      </w:r>
      <w:r w:rsidRPr="00EC0229">
        <w:rPr>
          <w:rFonts w:eastAsia="Times New Roman" w:cs="Times New Roman"/>
          <w:color w:val="000000"/>
          <w:szCs w:val="24"/>
          <w:lang w:eastAsia="en-GB"/>
        </w:rPr>
        <w:t xml:space="preserve"> (London: Faber).</w:t>
      </w:r>
    </w:p>
    <w:p w14:paraId="768AA46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Hamerow, H. F., 1991, ‘Settlement Mobility and the “Middle Saxon Shift”: Rural Settlements and Settlement Patterns in Anglo-Saxon England’, </w:t>
      </w:r>
      <w:r w:rsidRPr="00EC0229">
        <w:rPr>
          <w:rFonts w:eastAsia="Times New Roman" w:cs="Times New Roman"/>
          <w:i/>
          <w:iCs/>
          <w:color w:val="000000"/>
          <w:szCs w:val="24"/>
          <w:lang w:eastAsia="en-GB"/>
        </w:rPr>
        <w:t>Anglo-Saxon England</w:t>
      </w:r>
      <w:r w:rsidRPr="00EC0229">
        <w:rPr>
          <w:rFonts w:eastAsia="Times New Roman" w:cs="Times New Roman"/>
          <w:color w:val="000000"/>
          <w:szCs w:val="24"/>
          <w:lang w:eastAsia="en-GB"/>
        </w:rPr>
        <w:t>, 20,1–17.</w:t>
      </w:r>
    </w:p>
    <w:p w14:paraId="3FD2272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Hann, C., and K. Hart, 2011, </w:t>
      </w:r>
      <w:r w:rsidRPr="00EC0229">
        <w:rPr>
          <w:rFonts w:eastAsia="Times New Roman" w:cs="Times New Roman"/>
          <w:i/>
          <w:iCs/>
          <w:color w:val="000000"/>
          <w:szCs w:val="24"/>
          <w:lang w:eastAsia="en-GB"/>
        </w:rPr>
        <w:t>Economic Anthropology: History, Ethnography, Critique</w:t>
      </w:r>
      <w:r w:rsidRPr="00EC0229">
        <w:rPr>
          <w:rFonts w:eastAsia="Times New Roman" w:cs="Times New Roman"/>
          <w:color w:val="000000"/>
          <w:szCs w:val="24"/>
          <w:lang w:eastAsia="en-GB"/>
        </w:rPr>
        <w:t xml:space="preserve"> (Malden: Polity Press).</w:t>
      </w:r>
    </w:p>
    <w:p w14:paraId="7C343F3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Hansen, I. L., and C. Wickham (eds), 2000, </w:t>
      </w:r>
      <w:r w:rsidRPr="00EC0229">
        <w:rPr>
          <w:rFonts w:eastAsia="Times New Roman" w:cs="Times New Roman"/>
          <w:i/>
          <w:color w:val="000000"/>
          <w:szCs w:val="24"/>
          <w:lang w:eastAsia="en-GB"/>
        </w:rPr>
        <w:t>The Long Eighth Century</w:t>
      </w:r>
      <w:r w:rsidRPr="00EC0229">
        <w:rPr>
          <w:rFonts w:eastAsia="Times New Roman" w:cs="Times New Roman"/>
          <w:color w:val="000000"/>
          <w:szCs w:val="24"/>
          <w:lang w:eastAsia="en-GB"/>
        </w:rPr>
        <w:t xml:space="preserve"> (Leiden: Brill).</w:t>
      </w:r>
    </w:p>
    <w:p w14:paraId="7B69B7C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Härke, H., 1997, ‘Early Anglo-Saxon Social Structure’, in Hines (ed.), 1997a, pp. 125–70</w:t>
      </w:r>
      <w:r w:rsidRPr="00EC0229">
        <w:rPr>
          <w:rFonts w:eastAsia="Times New Roman" w:cs="Times New Roman"/>
          <w:i/>
          <w:iCs/>
          <w:color w:val="000000"/>
          <w:szCs w:val="24"/>
          <w:lang w:eastAsia="en-GB"/>
        </w:rPr>
        <w:t>.</w:t>
      </w:r>
    </w:p>
    <w:p w14:paraId="21BB6FB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Hawkes, J., and S. Mills (eds), 1999, </w:t>
      </w:r>
      <w:r w:rsidRPr="00EC0229">
        <w:rPr>
          <w:rFonts w:eastAsia="Times New Roman" w:cs="Times New Roman"/>
          <w:i/>
          <w:iCs/>
          <w:color w:val="000000"/>
          <w:szCs w:val="24"/>
          <w:lang w:eastAsia="en-GB"/>
        </w:rPr>
        <w:t>Northumbria’s Golden Age</w:t>
      </w:r>
      <w:r w:rsidRPr="00EC0229">
        <w:rPr>
          <w:rFonts w:eastAsia="Times New Roman" w:cs="Times New Roman"/>
          <w:color w:val="000000"/>
          <w:szCs w:val="24"/>
          <w:lang w:eastAsia="en-GB"/>
        </w:rPr>
        <w:t xml:space="preserve"> (Stroud: Sutton).</w:t>
      </w:r>
    </w:p>
    <w:p w14:paraId="2EB951B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Hedeager, L., 1992, ‘The Creation of the Germanic Identity: A European Origin-Myth’, in P. Brun, S. E. van der Leeuw, and C. R. Whittacker (eds), </w:t>
      </w:r>
      <w:r w:rsidRPr="00EC0229">
        <w:rPr>
          <w:rFonts w:eastAsia="Times New Roman" w:cs="Times New Roman"/>
          <w:i/>
          <w:iCs/>
          <w:color w:val="000000"/>
          <w:szCs w:val="24"/>
          <w:lang w:eastAsia="en-GB"/>
        </w:rPr>
        <w:t>Frontièrs d’empire: Nature et signification des frontières romaines</w:t>
      </w:r>
      <w:r w:rsidRPr="00EC0229">
        <w:rPr>
          <w:rFonts w:eastAsia="Times New Roman" w:cs="Times New Roman"/>
          <w:color w:val="000000"/>
          <w:szCs w:val="24"/>
          <w:lang w:eastAsia="en-GB"/>
        </w:rPr>
        <w:t xml:space="preserve"> (Nemours: Editions de l’Association pour la promotion de la recherce archéologique en Ile-de-France), pp. 121–31.</w:t>
      </w:r>
    </w:p>
    <w:p w14:paraId="167FAC1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Heywood, B., 1995, ‘York in the Roman and Early Medieval Periods: A Context for the Excavations, Part 1: From the Foundations of York to the End of the Roman Period’, in Carver (ed.), 1995, pp. 1–8.</w:t>
      </w:r>
    </w:p>
    <w:p w14:paraId="3AFA08C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Higham, N. J., 1986, </w:t>
      </w:r>
      <w:r w:rsidRPr="00EC0229">
        <w:rPr>
          <w:rFonts w:eastAsia="Times New Roman" w:cs="Times New Roman"/>
          <w:i/>
          <w:iCs/>
          <w:color w:val="000000"/>
          <w:szCs w:val="24"/>
          <w:lang w:eastAsia="en-GB"/>
        </w:rPr>
        <w:t xml:space="preserve">The Northern Counties to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1000</w:t>
      </w:r>
      <w:r w:rsidRPr="00EC0229">
        <w:rPr>
          <w:rFonts w:eastAsia="Times New Roman" w:cs="Times New Roman"/>
          <w:color w:val="000000"/>
          <w:szCs w:val="24"/>
          <w:lang w:eastAsia="en-GB"/>
        </w:rPr>
        <w:t xml:space="preserve"> (London: Longman).</w:t>
      </w:r>
    </w:p>
    <w:p w14:paraId="252FC85C" w14:textId="57A58096"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Higham, N. J., 1987 ‘Land Use and Landscape in Northern England: A Survey of Agricultural Potential, </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 xml:space="preserve">500 </w:t>
      </w:r>
      <w:proofErr w:type="spellStart"/>
      <w:r w:rsidRPr="00EC0229">
        <w:rPr>
          <w:rFonts w:eastAsia="Times New Roman" w:cs="Times New Roman"/>
          <w:smallCaps/>
          <w:color w:val="000000"/>
          <w:szCs w:val="24"/>
          <w:lang w:eastAsia="en-GB"/>
        </w:rPr>
        <w:t>bc</w:t>
      </w:r>
      <w:proofErr w:type="spellEnd"/>
      <w:r w:rsidRPr="00EC0229">
        <w:rPr>
          <w:rFonts w:eastAsia="Times New Roman" w:cs="Times New Roman"/>
          <w:color w:val="000000"/>
          <w:szCs w:val="24"/>
          <w:lang w:eastAsia="en-GB"/>
        </w:rPr>
        <w:t>–</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1000’, </w:t>
      </w:r>
      <w:r w:rsidRPr="00EC0229">
        <w:rPr>
          <w:rFonts w:eastAsia="Times New Roman" w:cs="Times New Roman"/>
          <w:i/>
          <w:iCs/>
          <w:color w:val="000000"/>
          <w:szCs w:val="24"/>
          <w:lang w:eastAsia="en-GB"/>
        </w:rPr>
        <w:t>Landscape History</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9, 35–44.</w:t>
      </w:r>
    </w:p>
    <w:p w14:paraId="352633E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Higham, N. J., 1993, </w:t>
      </w:r>
      <w:r w:rsidRPr="00EC0229">
        <w:rPr>
          <w:rFonts w:eastAsia="Times New Roman" w:cs="Times New Roman"/>
          <w:i/>
          <w:iCs/>
          <w:color w:val="000000"/>
          <w:szCs w:val="24"/>
          <w:lang w:eastAsia="en-GB"/>
        </w:rPr>
        <w:t xml:space="preserve">The Kingdom of Northumbria,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350–1100</w:t>
      </w:r>
      <w:r w:rsidRPr="00EC0229">
        <w:rPr>
          <w:rFonts w:eastAsia="Times New Roman" w:cs="Times New Roman"/>
          <w:color w:val="000000"/>
          <w:szCs w:val="24"/>
          <w:lang w:eastAsia="en-GB"/>
        </w:rPr>
        <w:t xml:space="preserve"> (Dover: Sutton).</w:t>
      </w:r>
    </w:p>
    <w:p w14:paraId="15A1435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Higham, N. J., and M. J. Ryan, 2013, </w:t>
      </w:r>
      <w:r w:rsidRPr="00EC0229">
        <w:rPr>
          <w:rFonts w:eastAsia="Times New Roman" w:cs="Times New Roman"/>
          <w:i/>
          <w:iCs/>
          <w:color w:val="000000"/>
          <w:szCs w:val="24"/>
          <w:lang w:eastAsia="en-GB"/>
        </w:rPr>
        <w:t>The Anglo-Saxon World</w:t>
      </w:r>
      <w:r w:rsidRPr="00EC0229">
        <w:rPr>
          <w:rFonts w:eastAsia="Times New Roman" w:cs="Times New Roman"/>
          <w:color w:val="000000"/>
          <w:szCs w:val="24"/>
          <w:lang w:eastAsia="en-GB"/>
        </w:rPr>
        <w:t xml:space="preserve"> (New Haven: Yale University Press).</w:t>
      </w:r>
    </w:p>
    <w:p w14:paraId="66A20D9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Hill, D., and R. Cowie (eds), 2001, </w:t>
      </w:r>
      <w:r w:rsidRPr="00EC0229">
        <w:rPr>
          <w:rFonts w:eastAsia="Times New Roman" w:cs="Times New Roman"/>
          <w:i/>
          <w:iCs/>
          <w:color w:val="000000"/>
          <w:szCs w:val="24"/>
          <w:lang w:eastAsia="en-GB"/>
        </w:rPr>
        <w:t>Wics</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The Early Mediaeval Trading Centres of Northern Europe</w:t>
      </w:r>
      <w:r w:rsidRPr="00EC0229">
        <w:rPr>
          <w:rFonts w:eastAsia="Times New Roman" w:cs="Times New Roman"/>
          <w:color w:val="000000"/>
          <w:szCs w:val="24"/>
          <w:lang w:eastAsia="en-GB"/>
        </w:rPr>
        <w:t xml:space="preserve"> (Sheffield: Sheffield Academic Press).</w:t>
      </w:r>
    </w:p>
    <w:p w14:paraId="71F04CA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Hill, D., and D. M. Metcalf (eds), 1984, </w:t>
      </w:r>
      <w:r w:rsidRPr="00EC0229">
        <w:rPr>
          <w:rFonts w:eastAsia="Times New Roman" w:cs="Times New Roman"/>
          <w:i/>
          <w:color w:val="000000"/>
          <w:szCs w:val="24"/>
          <w:lang w:eastAsia="en-GB"/>
        </w:rPr>
        <w:t>Sceattas in England and on the Continent: The Seventh Oxford Symposium on Coinage and Monetary History</w:t>
      </w:r>
      <w:r w:rsidRPr="00EC0229">
        <w:rPr>
          <w:rFonts w:eastAsia="Times New Roman" w:cs="Times New Roman"/>
          <w:color w:val="000000"/>
          <w:szCs w:val="24"/>
          <w:lang w:eastAsia="en-GB"/>
        </w:rPr>
        <w:t>, B. A. R. British Series, 128 (Oxford: B. A. R.).</w:t>
      </w:r>
    </w:p>
    <w:p w14:paraId="2AB93A4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Hill, P., 1990a, </w:t>
      </w:r>
      <w:r w:rsidRPr="00EC0229">
        <w:rPr>
          <w:rFonts w:eastAsia="Times New Roman" w:cs="Times New Roman"/>
          <w:i/>
          <w:iCs/>
          <w:color w:val="000000"/>
          <w:szCs w:val="24"/>
          <w:lang w:eastAsia="en-GB"/>
        </w:rPr>
        <w:t>Whithorn 3: Excavations at Whithorn Priory, 1989–90</w:t>
      </w:r>
      <w:r w:rsidRPr="00EC0229">
        <w:rPr>
          <w:rFonts w:eastAsia="Times New Roman" w:cs="Times New Roman"/>
          <w:iCs/>
          <w:color w:val="000000"/>
          <w:szCs w:val="24"/>
          <w:lang w:eastAsia="en-GB"/>
        </w:rPr>
        <w:t xml:space="preserve"> (Whithorn: Whithorn Trust)</w:t>
      </w:r>
      <w:r w:rsidRPr="00EC0229">
        <w:rPr>
          <w:rFonts w:eastAsia="Times New Roman" w:cs="Times New Roman"/>
          <w:color w:val="000000"/>
          <w:szCs w:val="24"/>
          <w:lang w:eastAsia="en-GB"/>
        </w:rPr>
        <w:t>. [Pirie archive].</w:t>
      </w:r>
    </w:p>
    <w:p w14:paraId="1EFD4B4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Hill, P., 1990b, </w:t>
      </w:r>
      <w:r w:rsidRPr="00EC0229">
        <w:rPr>
          <w:rFonts w:eastAsia="Times New Roman" w:cs="Times New Roman"/>
          <w:i/>
          <w:iCs/>
          <w:color w:val="000000"/>
          <w:szCs w:val="24"/>
          <w:lang w:eastAsia="en-GB"/>
        </w:rPr>
        <w:t>The Whithorn Excavation: 1990 Supplement</w:t>
      </w:r>
      <w:r w:rsidRPr="00EC0229">
        <w:rPr>
          <w:rFonts w:eastAsia="Times New Roman" w:cs="Times New Roman"/>
          <w:iCs/>
          <w:color w:val="000000"/>
          <w:szCs w:val="24"/>
          <w:lang w:eastAsia="en-GB"/>
        </w:rPr>
        <w:t xml:space="preserve"> (Whithorn: Whithorn Trust)</w:t>
      </w:r>
      <w:r w:rsidRPr="00EC0229">
        <w:rPr>
          <w:rFonts w:eastAsia="Times New Roman" w:cs="Times New Roman"/>
          <w:color w:val="000000"/>
          <w:szCs w:val="24"/>
          <w:lang w:eastAsia="en-GB"/>
        </w:rPr>
        <w:t>. [Pirie archive].</w:t>
      </w:r>
    </w:p>
    <w:p w14:paraId="763E817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Hines, J. (ed.), 1997a, </w:t>
      </w:r>
      <w:r w:rsidRPr="00EC0229">
        <w:rPr>
          <w:rFonts w:eastAsia="Times New Roman" w:cs="Times New Roman"/>
          <w:i/>
          <w:color w:val="000000"/>
          <w:szCs w:val="24"/>
          <w:lang w:eastAsia="en-GB"/>
        </w:rPr>
        <w:t>The Anglo-Saxons from the Migration Period to the Eighth Century: An Ethnographic Perspective</w:t>
      </w:r>
      <w:r w:rsidRPr="00EC0229">
        <w:rPr>
          <w:rFonts w:eastAsia="Times New Roman" w:cs="Times New Roman"/>
          <w:color w:val="000000"/>
          <w:szCs w:val="24"/>
          <w:lang w:eastAsia="en-GB"/>
        </w:rPr>
        <w:t xml:space="preserve"> (Woodbridge: Boydell).</w:t>
      </w:r>
    </w:p>
    <w:p w14:paraId="56F9B0C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Hines, J., 1997b, ‘Religion: The Limits of Knowledge’, in Hines (ed.), 1997a, pp. 375–410.</w:t>
      </w:r>
      <w:r w:rsidRPr="00EC0229">
        <w:rPr>
          <w:rFonts w:eastAsia="Times New Roman" w:cs="Times New Roman"/>
          <w:i/>
          <w:iCs/>
          <w:color w:val="000000"/>
          <w:szCs w:val="24"/>
          <w:lang w:eastAsia="en-GB"/>
        </w:rPr>
        <w:t xml:space="preserve"> </w:t>
      </w:r>
    </w:p>
    <w:p w14:paraId="43FFE0E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Hines, J., and A. Bayliss (eds), 2013, </w:t>
      </w:r>
      <w:r w:rsidRPr="00EC0229">
        <w:rPr>
          <w:rFonts w:eastAsia="Times New Roman" w:cs="Times New Roman"/>
          <w:i/>
          <w:iCs/>
          <w:color w:val="000000"/>
          <w:szCs w:val="24"/>
          <w:lang w:eastAsia="en-GB"/>
        </w:rPr>
        <w:t>Anglo-Saxon Graves and Grave Goods of the 6</w:t>
      </w:r>
      <w:r w:rsidRPr="00EC0229">
        <w:rPr>
          <w:rFonts w:eastAsia="Times New Roman" w:cs="Times New Roman"/>
          <w:i/>
          <w:iCs/>
          <w:color w:val="000000"/>
          <w:szCs w:val="24"/>
          <w:vertAlign w:val="superscript"/>
          <w:lang w:eastAsia="en-GB"/>
        </w:rPr>
        <w:t>th</w:t>
      </w:r>
      <w:r w:rsidRPr="00EC0229">
        <w:rPr>
          <w:rFonts w:eastAsia="Times New Roman" w:cs="Times New Roman"/>
          <w:i/>
          <w:iCs/>
          <w:color w:val="000000"/>
          <w:szCs w:val="24"/>
          <w:lang w:eastAsia="en-GB"/>
        </w:rPr>
        <w:t xml:space="preserve"> and 7</w:t>
      </w:r>
      <w:r w:rsidRPr="00EC0229">
        <w:rPr>
          <w:rFonts w:eastAsia="Times New Roman" w:cs="Times New Roman"/>
          <w:i/>
          <w:iCs/>
          <w:color w:val="000000"/>
          <w:szCs w:val="24"/>
          <w:vertAlign w:val="superscript"/>
          <w:lang w:eastAsia="en-GB"/>
        </w:rPr>
        <w:t>th</w:t>
      </w:r>
      <w:r w:rsidRPr="00EC0229">
        <w:rPr>
          <w:rFonts w:eastAsia="Times New Roman" w:cs="Times New Roman"/>
          <w:i/>
          <w:iCs/>
          <w:color w:val="000000"/>
          <w:szCs w:val="24"/>
          <w:lang w:eastAsia="en-GB"/>
        </w:rPr>
        <w:t xml:space="preserve"> Centuries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A Chronological Framework</w:t>
      </w:r>
      <w:r w:rsidRPr="00EC0229">
        <w:rPr>
          <w:rFonts w:eastAsia="Times New Roman" w:cs="Times New Roman"/>
          <w:color w:val="000000"/>
          <w:szCs w:val="24"/>
          <w:lang w:eastAsia="en-GB"/>
        </w:rPr>
        <w:t xml:space="preserve"> (London: SMA).</w:t>
      </w:r>
    </w:p>
    <w:p w14:paraId="4A645F4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Hines, J., 2010, ‘Units of Account in Gold and Silver in Seventh-Century England: </w:t>
      </w:r>
      <w:r w:rsidRPr="00EC0229">
        <w:rPr>
          <w:rFonts w:eastAsia="Times New Roman" w:cs="Times New Roman"/>
          <w:iCs/>
          <w:color w:val="000000"/>
          <w:szCs w:val="24"/>
          <w:lang w:eastAsia="en-GB"/>
        </w:rPr>
        <w:t>Scillingas</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Sceattas</w:t>
      </w:r>
      <w:r w:rsidRPr="00EC0229">
        <w:rPr>
          <w:rFonts w:eastAsia="Times New Roman" w:cs="Times New Roman"/>
          <w:color w:val="000000"/>
          <w:szCs w:val="24"/>
          <w:lang w:eastAsia="en-GB"/>
        </w:rPr>
        <w:t xml:space="preserve"> and </w:t>
      </w:r>
      <w:r w:rsidRPr="00EC0229">
        <w:rPr>
          <w:rFonts w:eastAsia="Times New Roman" w:cs="Times New Roman"/>
          <w:iCs/>
          <w:color w:val="000000"/>
          <w:szCs w:val="24"/>
          <w:lang w:eastAsia="en-GB"/>
        </w:rPr>
        <w:t>Pæningas’,</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Antiquaries Journal</w:t>
      </w:r>
      <w:r w:rsidRPr="00EC0229">
        <w:rPr>
          <w:rFonts w:eastAsia="Times New Roman" w:cs="Times New Roman"/>
          <w:color w:val="000000"/>
          <w:szCs w:val="24"/>
          <w:lang w:eastAsia="en-GB"/>
        </w:rPr>
        <w:t>, 153–73.</w:t>
      </w:r>
    </w:p>
    <w:p w14:paraId="07A8F53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Hines, J., 2014, ‘The Hunting of the Sceatt’,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3, pp. 7–17.</w:t>
      </w:r>
    </w:p>
    <w:p w14:paraId="77D3726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Hinton, D., 2011, ‘Weland’s Work: Metals and Metalsmith’, in M. C. Hyer and G. R. Owen-Croker (eds), </w:t>
      </w:r>
      <w:r w:rsidRPr="00EC0229">
        <w:rPr>
          <w:rFonts w:eastAsia="Times New Roman" w:cs="Times New Roman"/>
          <w:i/>
          <w:color w:val="000000"/>
          <w:szCs w:val="24"/>
          <w:lang w:eastAsia="en-GB"/>
        </w:rPr>
        <w:t>The Material Culture of Daily Living in the Anglo-Saxon World</w:t>
      </w:r>
      <w:r w:rsidRPr="00EC0229">
        <w:rPr>
          <w:rFonts w:eastAsia="Times New Roman" w:cs="Times New Roman"/>
          <w:color w:val="000000"/>
          <w:szCs w:val="24"/>
          <w:lang w:eastAsia="en-GB"/>
        </w:rPr>
        <w:t xml:space="preserve"> (Exeter: University of Exeter Press), 185–200.</w:t>
      </w:r>
    </w:p>
    <w:p w14:paraId="05D8C13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Hirth, K. G., 1978, ‘Interregional Trade and the Formation of Prehistoric Gateway Communities’, </w:t>
      </w:r>
      <w:r w:rsidRPr="00EC0229">
        <w:rPr>
          <w:rFonts w:eastAsia="Times New Roman" w:cs="Times New Roman"/>
          <w:i/>
          <w:iCs/>
          <w:color w:val="000000"/>
          <w:szCs w:val="24"/>
          <w:lang w:eastAsia="en-GB"/>
        </w:rPr>
        <w:t>American Antiquity</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43, 35–45.</w:t>
      </w:r>
    </w:p>
    <w:p w14:paraId="677864A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Hodges, R., 1988, </w:t>
      </w:r>
      <w:r w:rsidRPr="00EC0229">
        <w:rPr>
          <w:rFonts w:eastAsia="Times New Roman" w:cs="Times New Roman"/>
          <w:i/>
          <w:iCs/>
          <w:color w:val="000000"/>
          <w:szCs w:val="24"/>
          <w:lang w:eastAsia="en-GB"/>
        </w:rPr>
        <w:t>Primitive and Peasant Markets</w:t>
      </w:r>
      <w:r w:rsidRPr="00EC0229">
        <w:rPr>
          <w:rFonts w:eastAsia="Times New Roman" w:cs="Times New Roman"/>
          <w:color w:val="000000"/>
          <w:szCs w:val="24"/>
          <w:lang w:eastAsia="en-GB"/>
        </w:rPr>
        <w:t xml:space="preserve"> (New York: Blackwell).</w:t>
      </w:r>
    </w:p>
    <w:p w14:paraId="10BAD53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Hodges</w:t>
      </w:r>
      <w:r w:rsidRPr="00EC0229">
        <w:rPr>
          <w:rFonts w:eastAsia="Times New Roman" w:cs="Times New Roman"/>
          <w:i/>
          <w:iCs/>
          <w:color w:val="000000"/>
          <w:szCs w:val="24"/>
          <w:lang w:eastAsia="en-GB"/>
        </w:rPr>
        <w:t>,</w:t>
      </w:r>
      <w:r w:rsidRPr="00EC0229">
        <w:rPr>
          <w:rFonts w:eastAsia="Times New Roman" w:cs="Times New Roman"/>
          <w:color w:val="000000"/>
          <w:szCs w:val="24"/>
          <w:lang w:eastAsia="en-GB"/>
        </w:rPr>
        <w:t xml:space="preserve"> R., 1989a, </w:t>
      </w:r>
      <w:r w:rsidRPr="00EC0229">
        <w:rPr>
          <w:rFonts w:eastAsia="Times New Roman" w:cs="Times New Roman"/>
          <w:i/>
          <w:color w:val="000000"/>
          <w:szCs w:val="24"/>
          <w:lang w:eastAsia="en-GB"/>
        </w:rPr>
        <w:t xml:space="preserve">The </w:t>
      </w:r>
      <w:r w:rsidRPr="00EC0229">
        <w:rPr>
          <w:rFonts w:eastAsia="Times New Roman" w:cs="Times New Roman"/>
          <w:i/>
          <w:iCs/>
          <w:color w:val="000000"/>
          <w:szCs w:val="24"/>
          <w:lang w:eastAsia="en-GB"/>
        </w:rPr>
        <w:t>Anglo</w:t>
      </w:r>
      <w:r w:rsidRPr="00EC0229">
        <w:rPr>
          <w:rFonts w:eastAsia="Times New Roman" w:cs="Times New Roman"/>
          <w:color w:val="000000"/>
          <w:szCs w:val="24"/>
          <w:lang w:eastAsia="en-GB"/>
        </w:rPr>
        <w:t>-</w:t>
      </w:r>
      <w:r w:rsidRPr="00EC0229">
        <w:rPr>
          <w:rFonts w:eastAsia="Times New Roman" w:cs="Times New Roman"/>
          <w:i/>
          <w:iCs/>
          <w:color w:val="000000"/>
          <w:szCs w:val="24"/>
          <w:lang w:eastAsia="en-GB"/>
        </w:rPr>
        <w:t>Saxon Achievement: Archaeology and the Beginnings of English Society</w:t>
      </w:r>
      <w:r w:rsidRPr="00EC0229">
        <w:rPr>
          <w:rFonts w:eastAsia="Times New Roman" w:cs="Times New Roman"/>
          <w:color w:val="000000"/>
          <w:szCs w:val="24"/>
          <w:lang w:eastAsia="en-GB"/>
        </w:rPr>
        <w:t xml:space="preserve"> (Ithaca: Cornell University Press).</w:t>
      </w:r>
    </w:p>
    <w:p w14:paraId="6A92FB7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Hodges, R., 1989b, </w:t>
      </w:r>
      <w:r w:rsidRPr="00EC0229">
        <w:rPr>
          <w:rFonts w:eastAsia="Times New Roman" w:cs="Times New Roman"/>
          <w:i/>
          <w:iCs/>
          <w:color w:val="000000"/>
          <w:szCs w:val="24"/>
          <w:lang w:eastAsia="en-GB"/>
        </w:rPr>
        <w:t>Dark Age Economics</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 xml:space="preserve">The Origins of Towns and Trade,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600–1000</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2</w:t>
      </w:r>
      <w:r w:rsidRPr="00EC0229">
        <w:rPr>
          <w:rFonts w:eastAsia="Times New Roman" w:cs="Times New Roman"/>
          <w:color w:val="000000"/>
          <w:szCs w:val="24"/>
          <w:vertAlign w:val="superscript"/>
          <w:lang w:eastAsia="en-GB"/>
        </w:rPr>
        <w:t>nd</w:t>
      </w:r>
      <w:r w:rsidRPr="00EC0229">
        <w:rPr>
          <w:rFonts w:eastAsia="Times New Roman" w:cs="Times New Roman"/>
          <w:color w:val="000000"/>
          <w:szCs w:val="24"/>
          <w:lang w:eastAsia="en-GB"/>
        </w:rPr>
        <w:t xml:space="preserve"> edn (London: Duckworth).</w:t>
      </w:r>
    </w:p>
    <w:p w14:paraId="23C7006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Hodges, R., 2008, ‘Fifty Years after Dunning: Reflections on Emporia, Their Origins and Development’, in </w:t>
      </w:r>
      <w:r w:rsidRPr="00EC0229">
        <w:rPr>
          <w:rFonts w:eastAsia="Times New Roman" w:cs="Times New Roman"/>
          <w:i/>
          <w:color w:val="000000"/>
          <w:szCs w:val="24"/>
          <w:lang w:eastAsia="en-GB"/>
        </w:rPr>
        <w:t>SiEMC</w:t>
      </w:r>
      <w:r w:rsidRPr="00EC0229">
        <w:rPr>
          <w:rFonts w:eastAsia="Times New Roman" w:cs="Times New Roman"/>
          <w:color w:val="000000"/>
          <w:szCs w:val="24"/>
          <w:lang w:eastAsia="en-GB"/>
        </w:rPr>
        <w:t>,</w:t>
      </w:r>
      <w:r w:rsidRPr="00EC0229">
        <w:rPr>
          <w:rFonts w:eastAsia="Times New Roman" w:cs="Times New Roman"/>
          <w:i/>
          <w:color w:val="000000"/>
          <w:szCs w:val="24"/>
          <w:lang w:eastAsia="en-GB"/>
        </w:rPr>
        <w:t xml:space="preserve"> </w:t>
      </w:r>
      <w:r w:rsidRPr="00EC0229">
        <w:rPr>
          <w:rFonts w:eastAsia="Times New Roman" w:cs="Times New Roman"/>
          <w:color w:val="000000"/>
          <w:szCs w:val="24"/>
          <w:lang w:eastAsia="en-GB"/>
        </w:rPr>
        <w:t>1, pp. 113–18.</w:t>
      </w:r>
    </w:p>
    <w:p w14:paraId="2467D51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Hodges, R., 2012, </w:t>
      </w:r>
      <w:r w:rsidRPr="00EC0229">
        <w:rPr>
          <w:rFonts w:eastAsia="Times New Roman" w:cs="Times New Roman"/>
          <w:i/>
          <w:iCs/>
          <w:color w:val="000000"/>
          <w:szCs w:val="24"/>
          <w:lang w:eastAsia="en-GB"/>
        </w:rPr>
        <w:t>Dark Age Economics: A New Audit</w:t>
      </w:r>
      <w:r w:rsidRPr="00EC0229">
        <w:rPr>
          <w:rFonts w:eastAsia="Times New Roman" w:cs="Times New Roman"/>
          <w:color w:val="000000"/>
          <w:szCs w:val="24"/>
          <w:lang w:eastAsia="en-GB"/>
        </w:rPr>
        <w:t xml:space="preserve"> (London: Bristol Classical Press).</w:t>
      </w:r>
    </w:p>
    <w:p w14:paraId="3E66095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Hodges, R., and J. Cherry, 1983, ‘Cost-Control and Coinage: An Archaeological Approach to Economic Change in Anglo-Saxon England’, in </w:t>
      </w:r>
      <w:r w:rsidRPr="00EC0229">
        <w:rPr>
          <w:rFonts w:eastAsia="Times New Roman" w:cs="Times New Roman"/>
          <w:i/>
          <w:iCs/>
          <w:color w:val="000000"/>
          <w:szCs w:val="24"/>
          <w:lang w:eastAsia="en-GB"/>
        </w:rPr>
        <w:t>Research in Economic Anthropology</w:t>
      </w:r>
      <w:r w:rsidRPr="00EC0229">
        <w:rPr>
          <w:rFonts w:eastAsia="Times New Roman" w:cs="Times New Roman"/>
          <w:color w:val="000000"/>
          <w:szCs w:val="24"/>
          <w:lang w:eastAsia="en-GB"/>
        </w:rPr>
        <w:t>, 5, 131–84.</w:t>
      </w:r>
    </w:p>
    <w:p w14:paraId="6B80A3A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Hodges, R., and D. Waterhouse, 1983, </w:t>
      </w:r>
      <w:r w:rsidRPr="00EC0229">
        <w:rPr>
          <w:rFonts w:eastAsia="Times New Roman" w:cs="Times New Roman"/>
          <w:i/>
          <w:iCs/>
          <w:color w:val="000000"/>
          <w:szCs w:val="24"/>
          <w:lang w:eastAsia="en-GB"/>
        </w:rPr>
        <w:t>Mohammed, Charlemagne and the Origins of Europe: Archaeology and the Pirenne Thesis</w:t>
      </w:r>
      <w:r w:rsidRPr="00EC0229">
        <w:rPr>
          <w:rFonts w:eastAsia="Times New Roman" w:cs="Times New Roman"/>
          <w:color w:val="000000"/>
          <w:szCs w:val="24"/>
          <w:lang w:eastAsia="en-GB"/>
        </w:rPr>
        <w:t xml:space="preserve"> (London: Duckworth).</w:t>
      </w:r>
    </w:p>
    <w:p w14:paraId="4113D44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Hoggett, R., 2010, </w:t>
      </w:r>
      <w:r w:rsidRPr="00EC0229">
        <w:rPr>
          <w:rFonts w:eastAsia="Times New Roman" w:cs="Times New Roman"/>
          <w:i/>
          <w:iCs/>
          <w:color w:val="000000"/>
          <w:szCs w:val="24"/>
          <w:lang w:eastAsia="en-GB"/>
        </w:rPr>
        <w:t xml:space="preserve">The Archaeology of the East Anglian Conversion </w:t>
      </w:r>
      <w:r w:rsidRPr="00EC0229">
        <w:rPr>
          <w:rFonts w:eastAsia="Times New Roman" w:cs="Times New Roman"/>
          <w:color w:val="000000"/>
          <w:szCs w:val="24"/>
          <w:lang w:eastAsia="en-GB"/>
        </w:rPr>
        <w:t>(Woodbridge: Boydell).</w:t>
      </w:r>
    </w:p>
    <w:p w14:paraId="30C2824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Holas-Clark, C. N. J. (see Smith, C. N. J.).</w:t>
      </w:r>
    </w:p>
    <w:p w14:paraId="310CAE4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Holdsworth, P., 1995, ‘Post-Roman Pottery’, in Carver (ed.), 1995, pp. 468–80.</w:t>
      </w:r>
    </w:p>
    <w:p w14:paraId="4E8643B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Hooke, D., 1997, ‘The Anglo-Saxon in England in the Seventh and Eighth Centuries: Aspects of Location in Space’, in Hines (ed.), 1997a, pp. 65–100.</w:t>
      </w:r>
    </w:p>
    <w:p w14:paraId="0FDFA0B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Hope-Taylor, B., 1977, </w:t>
      </w:r>
      <w:r w:rsidRPr="00EC0229">
        <w:rPr>
          <w:rFonts w:eastAsia="Times New Roman" w:cs="Times New Roman"/>
          <w:i/>
          <w:iCs/>
          <w:color w:val="000000"/>
          <w:szCs w:val="24"/>
          <w:lang w:eastAsia="en-GB"/>
        </w:rPr>
        <w:t>Yeavering: An Anglo-British Centre of Early Northumbria</w:t>
      </w:r>
      <w:r w:rsidRPr="00EC0229">
        <w:rPr>
          <w:rFonts w:eastAsia="Times New Roman" w:cs="Times New Roman"/>
          <w:color w:val="000000"/>
          <w:szCs w:val="24"/>
          <w:lang w:eastAsia="en-GB"/>
        </w:rPr>
        <w:t xml:space="preserve"> (London: HMSO).</w:t>
      </w:r>
    </w:p>
    <w:p w14:paraId="1126386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Howgego, C., 1995,</w:t>
      </w:r>
      <w:r w:rsidRPr="00EC0229">
        <w:rPr>
          <w:rFonts w:eastAsia="Times New Roman" w:cs="Times New Roman"/>
          <w:i/>
          <w:iCs/>
          <w:color w:val="000000"/>
          <w:szCs w:val="24"/>
          <w:lang w:eastAsia="en-GB"/>
        </w:rPr>
        <w:t xml:space="preserve"> Ancient History from Coins</w:t>
      </w:r>
      <w:r w:rsidRPr="00EC0229">
        <w:rPr>
          <w:rFonts w:eastAsia="Times New Roman" w:cs="Times New Roman"/>
          <w:color w:val="000000"/>
          <w:szCs w:val="24"/>
          <w:lang w:eastAsia="en-GB"/>
        </w:rPr>
        <w:t xml:space="preserve"> (London: Routledge).</w:t>
      </w:r>
    </w:p>
    <w:p w14:paraId="024F3ED6" w14:textId="77777777" w:rsidR="005B3AC3" w:rsidRPr="00EC0229" w:rsidRDefault="005B3AC3" w:rsidP="005B3AC3">
      <w:pPr>
        <w:autoSpaceDE w:val="0"/>
        <w:autoSpaceDN w:val="0"/>
        <w:adjustRightInd w:val="0"/>
        <w:spacing w:after="0"/>
        <w:rPr>
          <w:rFonts w:cs="Times New Roman"/>
          <w:color w:val="292526"/>
          <w:szCs w:val="24"/>
        </w:rPr>
      </w:pPr>
      <w:r w:rsidRPr="00EC0229">
        <w:rPr>
          <w:rFonts w:cs="Times New Roman"/>
          <w:color w:val="292526"/>
          <w:szCs w:val="24"/>
        </w:rPr>
        <w:t xml:space="preserve">Hunter-Blair, P., 1948, ‘The Northumbrians and Their Southern Frontier’, </w:t>
      </w:r>
      <w:r w:rsidRPr="00EC0229">
        <w:rPr>
          <w:rFonts w:cs="Times New Roman"/>
          <w:i/>
          <w:iCs/>
          <w:color w:val="292526"/>
          <w:szCs w:val="24"/>
        </w:rPr>
        <w:t>AA</w:t>
      </w:r>
      <w:r w:rsidRPr="00EC0229">
        <w:rPr>
          <w:rFonts w:cs="Times New Roman"/>
          <w:color w:val="292526"/>
          <w:szCs w:val="24"/>
        </w:rPr>
        <w:t>, 26, 98–126.</w:t>
      </w:r>
    </w:p>
    <w:p w14:paraId="352A42A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Hurst, J. G. (ed.), 1979, </w:t>
      </w:r>
      <w:r w:rsidRPr="00EC0229">
        <w:rPr>
          <w:rFonts w:eastAsia="Times New Roman" w:cs="Times New Roman"/>
          <w:i/>
          <w:color w:val="000000"/>
          <w:szCs w:val="24"/>
          <w:lang w:eastAsia="en-GB"/>
        </w:rPr>
        <w:t>Wharram: A Study of Settlement on the Yorkshire Wolds. Volume 1: Domestic Settlement</w:t>
      </w:r>
      <w:r w:rsidRPr="00EC0229">
        <w:rPr>
          <w:rFonts w:eastAsia="Times New Roman" w:cs="Times New Roman"/>
          <w:color w:val="000000"/>
          <w:szCs w:val="24"/>
          <w:lang w:eastAsia="en-GB"/>
        </w:rPr>
        <w:t xml:space="preserve"> (London: SMA).</w:t>
      </w:r>
    </w:p>
    <w:p w14:paraId="314CC3C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Hutcheson, A. R. J., 2009, ‘</w:t>
      </w:r>
      <w:r w:rsidRPr="00EC0229">
        <w:rPr>
          <w:rFonts w:eastAsia="Times New Roman" w:cs="Times New Roman"/>
          <w:iCs/>
          <w:color w:val="000000"/>
          <w:szCs w:val="24"/>
          <w:lang w:eastAsia="en-GB"/>
        </w:rPr>
        <w:t xml:space="preserve">The Origins of East Anglian Towns: Coin Loss in the Landscape, </w:t>
      </w:r>
      <w:r w:rsidRPr="00EC0229">
        <w:rPr>
          <w:rFonts w:eastAsia="Times New Roman" w:cs="Times New Roman"/>
          <w:iCs/>
          <w:smallCaps/>
          <w:color w:val="000000"/>
          <w:szCs w:val="24"/>
          <w:lang w:eastAsia="en-GB"/>
        </w:rPr>
        <w:t>ad</w:t>
      </w:r>
      <w:r w:rsidRPr="00EC0229">
        <w:rPr>
          <w:rFonts w:eastAsia="Times New Roman" w:cs="Times New Roman"/>
          <w:iCs/>
          <w:color w:val="000000"/>
          <w:szCs w:val="24"/>
          <w:lang w:eastAsia="en-GB"/>
        </w:rPr>
        <w:t xml:space="preserve"> 470–939’</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(unpublished PhD thesis, University of East Anglia).</w:t>
      </w:r>
    </w:p>
    <w:p w14:paraId="68FEE34F" w14:textId="77777777" w:rsidR="005B3AC3" w:rsidRPr="00EC0229" w:rsidRDefault="005B3AC3" w:rsidP="005B3AC3">
      <w:pPr>
        <w:spacing w:after="0"/>
        <w:rPr>
          <w:rFonts w:eastAsia="Times New Roman" w:cs="Times New Roman"/>
          <w:color w:val="000000"/>
          <w:szCs w:val="24"/>
          <w:lang w:eastAsia="en-GB"/>
        </w:rPr>
      </w:pPr>
    </w:p>
    <w:p w14:paraId="156334E1"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r w:rsidRPr="00EC0229">
        <w:rPr>
          <w:rFonts w:eastAsia="Times New Roman" w:cs="Times New Roman"/>
          <w:color w:val="000000"/>
          <w:position w:val="-11"/>
          <w:sz w:val="112"/>
          <w:szCs w:val="24"/>
          <w:lang w:eastAsia="en-GB"/>
        </w:rPr>
        <w:t>I</w:t>
      </w:r>
      <w:bookmarkStart w:id="995" w:name="I"/>
      <w:bookmarkEnd w:id="995"/>
    </w:p>
    <w:p w14:paraId="19F053C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bn </w:t>
      </w:r>
      <w:proofErr w:type="spellStart"/>
      <w:r w:rsidRPr="00EC0229">
        <w:rPr>
          <w:rFonts w:eastAsia="Times New Roman" w:cs="Times New Roman"/>
          <w:color w:val="000000"/>
          <w:szCs w:val="24"/>
          <w:lang w:eastAsia="en-GB"/>
        </w:rPr>
        <w:t>Fadlān</w:t>
      </w:r>
      <w:proofErr w:type="spellEnd"/>
      <w:r w:rsidRPr="00EC0229">
        <w:rPr>
          <w:rFonts w:eastAsia="Times New Roman" w:cs="Times New Roman"/>
          <w:color w:val="000000"/>
          <w:szCs w:val="24"/>
          <w:lang w:eastAsia="en-GB"/>
        </w:rPr>
        <w:t xml:space="preserve">, A., 2012, </w:t>
      </w:r>
      <w:r w:rsidRPr="00EC0229">
        <w:rPr>
          <w:rFonts w:eastAsia="Times New Roman" w:cs="Times New Roman"/>
          <w:i/>
          <w:iCs/>
          <w:color w:val="000000"/>
          <w:szCs w:val="24"/>
          <w:lang w:eastAsia="en-GB"/>
        </w:rPr>
        <w:t xml:space="preserve">Ibn </w:t>
      </w:r>
      <w:proofErr w:type="spellStart"/>
      <w:r w:rsidRPr="00EC0229">
        <w:rPr>
          <w:rFonts w:eastAsia="Times New Roman" w:cs="Times New Roman"/>
          <w:i/>
          <w:iCs/>
          <w:color w:val="000000"/>
          <w:szCs w:val="24"/>
          <w:lang w:eastAsia="en-GB"/>
        </w:rPr>
        <w:t>Fadlān</w:t>
      </w:r>
      <w:proofErr w:type="spellEnd"/>
      <w:r w:rsidRPr="00EC0229">
        <w:rPr>
          <w:rFonts w:eastAsia="Times New Roman" w:cs="Times New Roman"/>
          <w:i/>
          <w:iCs/>
          <w:color w:val="000000"/>
          <w:szCs w:val="24"/>
          <w:lang w:eastAsia="en-GB"/>
        </w:rPr>
        <w:t xml:space="preserve"> and the Land of Darkness: Arab Travellers in the Far North</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trans. by P. Lunde and C. Stone (London: Penguin).</w:t>
      </w:r>
    </w:p>
    <w:p w14:paraId="33CB1AC4" w14:textId="77777777" w:rsidR="005B3AC3" w:rsidRPr="00EC0229" w:rsidRDefault="005B3AC3" w:rsidP="005B3AC3">
      <w:pPr>
        <w:spacing w:after="0"/>
        <w:rPr>
          <w:rFonts w:eastAsia="Times New Roman" w:cs="Times New Roman"/>
          <w:color w:val="000000"/>
          <w:szCs w:val="24"/>
          <w:lang w:eastAsia="en-GB"/>
        </w:rPr>
      </w:pPr>
    </w:p>
    <w:p w14:paraId="11CE9564"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09"/>
          <w:szCs w:val="24"/>
          <w:lang w:eastAsia="en-GB"/>
        </w:rPr>
      </w:pPr>
      <w:bookmarkStart w:id="996" w:name="RANGE!A183"/>
      <w:r w:rsidRPr="00EC0229">
        <w:rPr>
          <w:rFonts w:eastAsia="Times New Roman" w:cs="Times New Roman"/>
          <w:color w:val="000000"/>
          <w:position w:val="-10"/>
          <w:sz w:val="109"/>
          <w:szCs w:val="24"/>
          <w:lang w:eastAsia="en-GB"/>
        </w:rPr>
        <w:t>J</w:t>
      </w:r>
      <w:bookmarkStart w:id="997" w:name="J"/>
      <w:bookmarkEnd w:id="997"/>
    </w:p>
    <w:p w14:paraId="3D45DC0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ames, E., 1995, ‘Part 2: The Post Roman Period to 1066’, in Carver (ed.), 1995, pp. 9–12.</w:t>
      </w:r>
      <w:bookmarkEnd w:id="996"/>
    </w:p>
    <w:p w14:paraId="3C176D1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Jersey, P. de, 1997, ‘Cast Away Riches: Estimating the Volume of Celtic Coinage Found in Britain’, </w:t>
      </w:r>
      <w:r w:rsidRPr="00EC0229">
        <w:rPr>
          <w:rFonts w:eastAsia="Times New Roman" w:cs="Times New Roman"/>
          <w:i/>
          <w:color w:val="000000"/>
          <w:szCs w:val="24"/>
          <w:lang w:eastAsia="en-GB"/>
        </w:rPr>
        <w:t>YN</w:t>
      </w:r>
      <w:r w:rsidRPr="00EC0229">
        <w:rPr>
          <w:rFonts w:eastAsia="Times New Roman" w:cs="Times New Roman"/>
          <w:color w:val="000000"/>
          <w:szCs w:val="24"/>
          <w:lang w:eastAsia="en-GB"/>
        </w:rPr>
        <w:t>, 3, 1–13.</w:t>
      </w:r>
    </w:p>
    <w:p w14:paraId="69C1A03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Jevons, W. S., 1875</w:t>
      </w:r>
      <w:r w:rsidRPr="00EC0229">
        <w:rPr>
          <w:rFonts w:eastAsia="Times New Roman" w:cs="Times New Roman"/>
          <w:i/>
          <w:iCs/>
          <w:color w:val="000000"/>
          <w:szCs w:val="24"/>
          <w:lang w:eastAsia="en-GB"/>
        </w:rPr>
        <w:t>, Money and the Mechanisms of Exchange</w:t>
      </w:r>
      <w:r w:rsidRPr="00EC0229">
        <w:rPr>
          <w:rFonts w:eastAsia="Times New Roman" w:cs="Times New Roman"/>
          <w:iCs/>
          <w:color w:val="000000"/>
          <w:szCs w:val="24"/>
          <w:lang w:eastAsia="en-GB"/>
        </w:rPr>
        <w:t xml:space="preserve"> (New York: D. Appleton)</w:t>
      </w:r>
      <w:r w:rsidRPr="00EC0229">
        <w:rPr>
          <w:rFonts w:eastAsia="Times New Roman" w:cs="Times New Roman"/>
          <w:color w:val="000000"/>
          <w:szCs w:val="24"/>
          <w:lang w:eastAsia="en-GB"/>
        </w:rPr>
        <w:t>.</w:t>
      </w:r>
    </w:p>
    <w:p w14:paraId="442C3E0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Jones, T., and A. Ereira, 2006, </w:t>
      </w:r>
      <w:r w:rsidRPr="00EC0229">
        <w:rPr>
          <w:rFonts w:eastAsia="Times New Roman" w:cs="Times New Roman"/>
          <w:i/>
          <w:color w:val="000000"/>
          <w:szCs w:val="24"/>
          <w:lang w:eastAsia="en-GB"/>
        </w:rPr>
        <w:t xml:space="preserve">Terry Jones’ </w:t>
      </w:r>
      <w:r w:rsidRPr="00EC0229">
        <w:rPr>
          <w:rFonts w:eastAsia="Times New Roman" w:cs="Times New Roman"/>
          <w:i/>
          <w:iCs/>
          <w:color w:val="000000"/>
          <w:szCs w:val="24"/>
          <w:lang w:eastAsia="en-GB"/>
        </w:rPr>
        <w:t>Barbarians</w:t>
      </w:r>
      <w:r w:rsidRPr="00EC0229">
        <w:rPr>
          <w:rFonts w:eastAsia="Times New Roman" w:cs="Times New Roman"/>
          <w:color w:val="000000"/>
          <w:szCs w:val="24"/>
          <w:lang w:eastAsia="en-GB"/>
        </w:rPr>
        <w:t xml:space="preserve"> (London: BBC Books).</w:t>
      </w:r>
    </w:p>
    <w:p w14:paraId="7054DA39" w14:textId="77777777" w:rsidR="005B3AC3" w:rsidRPr="00EC0229" w:rsidRDefault="005B3AC3" w:rsidP="005B3AC3">
      <w:pPr>
        <w:spacing w:after="0"/>
        <w:rPr>
          <w:rFonts w:eastAsia="Times New Roman" w:cs="Times New Roman"/>
          <w:color w:val="000000"/>
          <w:szCs w:val="24"/>
          <w:lang w:eastAsia="en-GB"/>
        </w:rPr>
      </w:pPr>
    </w:p>
    <w:p w14:paraId="0244BFB0"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bookmarkStart w:id="998" w:name="K"/>
      <w:bookmarkEnd w:id="998"/>
      <w:r w:rsidRPr="00EC0229">
        <w:rPr>
          <w:rFonts w:eastAsia="Times New Roman" w:cs="Times New Roman"/>
          <w:color w:val="000000"/>
          <w:position w:val="-11"/>
          <w:sz w:val="112"/>
          <w:szCs w:val="24"/>
          <w:lang w:eastAsia="en-GB"/>
        </w:rPr>
        <w:t>K</w:t>
      </w:r>
    </w:p>
    <w:p w14:paraId="227A638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eary, C. F., 1887–93, </w:t>
      </w:r>
      <w:r w:rsidRPr="00EC0229">
        <w:rPr>
          <w:rFonts w:eastAsia="Times New Roman" w:cs="Times New Roman"/>
          <w:i/>
          <w:iCs/>
          <w:color w:val="000000"/>
          <w:szCs w:val="24"/>
          <w:lang w:eastAsia="en-GB"/>
        </w:rPr>
        <w:t>A Catalogue of English Coins in the British Museum, Anglo-Saxon Series</w:t>
      </w:r>
      <w:r w:rsidRPr="00EC0229">
        <w:rPr>
          <w:rFonts w:eastAsia="Times New Roman" w:cs="Times New Roman"/>
          <w:color w:val="000000"/>
          <w:szCs w:val="24"/>
          <w:lang w:eastAsia="en-GB"/>
        </w:rPr>
        <w:t>, 2 vols (London: Longmans &amp; Co.).</w:t>
      </w:r>
    </w:p>
    <w:p w14:paraId="4C4932C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Kelleher, R. M., 2012, ‘</w:t>
      </w:r>
      <w:r w:rsidRPr="00EC0229">
        <w:rPr>
          <w:rFonts w:eastAsia="Times New Roman" w:cs="Times New Roman"/>
          <w:iCs/>
          <w:color w:val="000000"/>
          <w:szCs w:val="24"/>
          <w:lang w:eastAsia="en-GB"/>
        </w:rPr>
        <w:t>Coins, Monetisation and Re-Use in Medieval England and Wales: New Interpretations Made Possible by the Portable Antiquities Scheme’</w:t>
      </w:r>
      <w:r w:rsidRPr="00EC0229">
        <w:rPr>
          <w:rFonts w:eastAsia="Times New Roman" w:cs="Times New Roman"/>
          <w:color w:val="000000"/>
          <w:szCs w:val="24"/>
          <w:lang w:eastAsia="en-GB"/>
        </w:rPr>
        <w:t xml:space="preserve"> (unpublished PhD thesis, University of Durham).</w:t>
      </w:r>
    </w:p>
    <w:p w14:paraId="2F2DA2A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Kemp, R. L., 1996, </w:t>
      </w:r>
      <w:r w:rsidRPr="00EC0229">
        <w:rPr>
          <w:rFonts w:eastAsia="Times New Roman" w:cs="Times New Roman"/>
          <w:i/>
          <w:iCs/>
          <w:color w:val="000000"/>
          <w:szCs w:val="24"/>
          <w:lang w:eastAsia="en-GB"/>
        </w:rPr>
        <w:t>Anglian Settlement at 46–54 Fishergate</w:t>
      </w:r>
      <w:r w:rsidRPr="00EC0229">
        <w:rPr>
          <w:rFonts w:eastAsia="Times New Roman" w:cs="Times New Roman"/>
          <w:color w:val="000000"/>
          <w:szCs w:val="24"/>
          <w:lang w:eastAsia="en-GB"/>
        </w:rPr>
        <w:t>, AY, 7 (York: CBA).</w:t>
      </w:r>
    </w:p>
    <w:p w14:paraId="04C5E0E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Keynes, S., 1994, </w:t>
      </w:r>
      <w:r w:rsidRPr="00EC0229">
        <w:rPr>
          <w:rFonts w:eastAsia="Times New Roman" w:cs="Times New Roman"/>
          <w:i/>
          <w:iCs/>
          <w:color w:val="000000"/>
          <w:szCs w:val="24"/>
          <w:lang w:eastAsia="en-GB"/>
        </w:rPr>
        <w:t>The Councils of Clofesho</w:t>
      </w:r>
      <w:r w:rsidRPr="00EC0229">
        <w:rPr>
          <w:rFonts w:eastAsia="Times New Roman" w:cs="Times New Roman"/>
          <w:iCs/>
          <w:color w:val="000000"/>
          <w:szCs w:val="24"/>
          <w:lang w:eastAsia="en-GB"/>
        </w:rPr>
        <w:t>, Vaughan Papers in Adult Education, 38</w:t>
      </w:r>
      <w:r w:rsidRPr="00EC0229">
        <w:rPr>
          <w:rFonts w:eastAsia="Times New Roman" w:cs="Times New Roman"/>
          <w:color w:val="000000"/>
          <w:szCs w:val="24"/>
          <w:lang w:eastAsia="en-GB"/>
        </w:rPr>
        <w:t xml:space="preserve"> (Leicester: University of Leicester).</w:t>
      </w:r>
    </w:p>
    <w:p w14:paraId="36509CA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Keys, D., 1999, </w:t>
      </w:r>
      <w:r w:rsidRPr="00EC0229">
        <w:rPr>
          <w:rFonts w:eastAsia="Times New Roman" w:cs="Times New Roman"/>
          <w:i/>
          <w:iCs/>
          <w:color w:val="000000"/>
          <w:szCs w:val="24"/>
          <w:lang w:eastAsia="en-GB"/>
        </w:rPr>
        <w:t>Catastrophe: An Investigation into the Origins of the Modern World</w:t>
      </w:r>
      <w:r w:rsidRPr="00EC0229">
        <w:rPr>
          <w:rFonts w:eastAsia="Times New Roman" w:cs="Times New Roman"/>
          <w:color w:val="000000"/>
          <w:szCs w:val="24"/>
          <w:lang w:eastAsia="en-GB"/>
        </w:rPr>
        <w:t xml:space="preserve"> (London: Arrow).</w:t>
      </w:r>
    </w:p>
    <w:p w14:paraId="4D97BEF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Kirby, D. P., 2000, </w:t>
      </w:r>
      <w:r w:rsidRPr="00EC0229">
        <w:rPr>
          <w:rFonts w:eastAsia="Times New Roman" w:cs="Times New Roman"/>
          <w:i/>
          <w:color w:val="000000"/>
          <w:szCs w:val="24"/>
          <w:lang w:eastAsia="en-GB"/>
        </w:rPr>
        <w:t>The Earliest English Kings</w:t>
      </w:r>
      <w:r w:rsidRPr="00EC0229">
        <w:rPr>
          <w:rFonts w:eastAsia="Times New Roman" w:cs="Times New Roman"/>
          <w:color w:val="000000"/>
          <w:szCs w:val="24"/>
          <w:lang w:eastAsia="en-GB"/>
        </w:rPr>
        <w:t xml:space="preserve"> (New York: Routledge).</w:t>
      </w:r>
    </w:p>
    <w:p w14:paraId="5185D7F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Kitson, C. M., 1935, ‘A Gazetteer of Roman Remains in East Yorkshire’, </w:t>
      </w:r>
      <w:r w:rsidRPr="00EC0229">
        <w:rPr>
          <w:rFonts w:eastAsia="Times New Roman" w:cs="Times New Roman"/>
          <w:i/>
          <w:color w:val="000000"/>
          <w:szCs w:val="24"/>
          <w:lang w:eastAsia="en-GB"/>
        </w:rPr>
        <w:t>Antiquity</w:t>
      </w:r>
      <w:r w:rsidRPr="00EC0229">
        <w:rPr>
          <w:rFonts w:eastAsia="Times New Roman" w:cs="Times New Roman"/>
          <w:color w:val="000000"/>
          <w:szCs w:val="24"/>
          <w:lang w:eastAsia="en-GB"/>
        </w:rPr>
        <w:t>, 11/43, 381–82. [Pirie archive].</w:t>
      </w:r>
    </w:p>
    <w:p w14:paraId="16BA9DC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Kjølbye-Biddle, B., 1995, ‘Iron-Bound Coffins and Coffin-Fittings from the Pre-Norman Cemetery’, in Carver (ed), 1995, pp. 489–521.</w:t>
      </w:r>
    </w:p>
    <w:p w14:paraId="1042E775" w14:textId="77777777" w:rsidR="005B3AC3" w:rsidRPr="00EC0229" w:rsidRDefault="005B3AC3" w:rsidP="005B3AC3">
      <w:pPr>
        <w:spacing w:after="0"/>
        <w:rPr>
          <w:rFonts w:eastAsia="Times New Roman" w:cs="Times New Roman"/>
          <w:color w:val="000000"/>
          <w:szCs w:val="24"/>
          <w:lang w:eastAsia="en-GB"/>
        </w:rPr>
      </w:pPr>
    </w:p>
    <w:p w14:paraId="71B62E05"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r w:rsidRPr="00EC0229">
        <w:rPr>
          <w:rFonts w:eastAsia="Times New Roman" w:cs="Times New Roman"/>
          <w:color w:val="000000"/>
          <w:position w:val="-11"/>
          <w:sz w:val="112"/>
          <w:szCs w:val="24"/>
          <w:lang w:eastAsia="en-GB"/>
        </w:rPr>
        <w:t>L</w:t>
      </w:r>
      <w:bookmarkStart w:id="999" w:name="L"/>
      <w:bookmarkEnd w:id="999"/>
    </w:p>
    <w:p w14:paraId="751070B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ang, J. T., 1995, ‘Pre-Conquest Sculpture’, in Carver (ed.), 1995, pp. 433–67.</w:t>
      </w:r>
    </w:p>
    <w:p w14:paraId="12C058A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Lang, J. T., 1999, ‘The Imagery of the Franks Casket: Another Approach’, in Hawkes and Mills (eds), 1999, pp. 247–55.</w:t>
      </w:r>
    </w:p>
    <w:p w14:paraId="781689A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Leahy, K., 2000, ‘Middle Anglo-Saxon Metalwork from South Newbald and the “Productive Site” Phenomenon in Yorkshire’, in Geake and Kenny (eds), 2000, pp. 51–82.</w:t>
      </w:r>
    </w:p>
    <w:p w14:paraId="13AB132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Lebecq, S., 2000, ‘The Role of the Monasteries in the Systems of Production and Exchange of the Frankish World Between the Seventh and the Beginning of the Ninth Centuries’, in Hansen and Wickham (eds), 2000, pp. 121–48. </w:t>
      </w:r>
    </w:p>
    <w:p w14:paraId="250B5AA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Leeds, E. T., 1913, </w:t>
      </w:r>
      <w:r w:rsidRPr="00EC0229">
        <w:rPr>
          <w:rFonts w:eastAsia="Times New Roman" w:cs="Times New Roman"/>
          <w:i/>
          <w:iCs/>
          <w:color w:val="000000"/>
          <w:szCs w:val="24"/>
          <w:lang w:eastAsia="en-GB"/>
        </w:rPr>
        <w:t>The Archaeology of the Anglo-Saxon Settlements</w:t>
      </w:r>
      <w:r w:rsidRPr="00EC0229">
        <w:rPr>
          <w:rFonts w:eastAsia="Times New Roman" w:cs="Times New Roman"/>
          <w:color w:val="000000"/>
          <w:szCs w:val="24"/>
          <w:lang w:eastAsia="en-GB"/>
        </w:rPr>
        <w:t xml:space="preserve"> (Oxford: Clarendon Press).</w:t>
      </w:r>
    </w:p>
    <w:p w14:paraId="3FA0653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Lendinara, P., 1997, ‘The Kentish Laws’, in Hines (ed.), 1997a, pp. 211–44.</w:t>
      </w:r>
    </w:p>
    <w:p w14:paraId="0757FEE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Leonard, A., 2015, ‘Nested Negotiations: Landscape and Portable Material Culture in Viking-Age England’ (unpublished PhD thesis, University of York).</w:t>
      </w:r>
    </w:p>
    <w:p w14:paraId="55DB549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Levison, W., 1946, </w:t>
      </w:r>
      <w:r w:rsidRPr="00EC0229">
        <w:rPr>
          <w:rFonts w:eastAsia="Times New Roman" w:cs="Times New Roman"/>
          <w:i/>
          <w:iCs/>
          <w:color w:val="000000"/>
          <w:szCs w:val="24"/>
          <w:lang w:eastAsia="en-GB"/>
        </w:rPr>
        <w:t>England and the Continent in the Eighth Century</w:t>
      </w:r>
      <w:r w:rsidRPr="00EC0229">
        <w:rPr>
          <w:rFonts w:eastAsia="Times New Roman" w:cs="Times New Roman"/>
          <w:color w:val="000000"/>
          <w:szCs w:val="24"/>
          <w:lang w:eastAsia="en-GB"/>
        </w:rPr>
        <w:t xml:space="preserve"> (Oxford: Clarendon Press).</w:t>
      </w:r>
    </w:p>
    <w:p w14:paraId="5A48E8D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Liebermann, F. (ed.), 1903–16, </w:t>
      </w:r>
      <w:r w:rsidRPr="00EC0229">
        <w:rPr>
          <w:rFonts w:eastAsia="Times New Roman" w:cs="Times New Roman"/>
          <w:i/>
          <w:iCs/>
          <w:color w:val="000000"/>
          <w:szCs w:val="24"/>
          <w:lang w:eastAsia="en-GB"/>
        </w:rPr>
        <w:t>Die Gesetze der Angelsachsen</w:t>
      </w:r>
      <w:r w:rsidRPr="00EC0229">
        <w:rPr>
          <w:rFonts w:eastAsia="Times New Roman" w:cs="Times New Roman"/>
          <w:color w:val="000000"/>
          <w:szCs w:val="24"/>
          <w:lang w:eastAsia="en-GB"/>
        </w:rPr>
        <w:t>, 3 vols (Halle a. S.: Niemeyer).</w:t>
      </w:r>
    </w:p>
    <w:p w14:paraId="3A186A1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Lipsey, R. G., and K. Lancaster, 1956, ‘The General Theory of Second Best’, </w:t>
      </w:r>
      <w:r w:rsidRPr="00EC0229">
        <w:rPr>
          <w:rFonts w:eastAsia="Times New Roman" w:cs="Times New Roman"/>
          <w:i/>
          <w:iCs/>
          <w:color w:val="000000"/>
          <w:szCs w:val="24"/>
          <w:lang w:eastAsia="en-GB"/>
        </w:rPr>
        <w:t>Review of Economic Studies</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24, 11–32,</w:t>
      </w:r>
    </w:p>
    <w:p w14:paraId="55AB288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Loseby, S. T., 2000, ‘Marseilles and the Pirenne Thesis II: “Ville morte”’, in Hansen and Wickham (eds), 2000, pp. 167–93. </w:t>
      </w:r>
    </w:p>
    <w:p w14:paraId="223FC9D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Loveluck, C., 1996, ‘The Development of Anglo-Saxon Landscape, Economy and Society “On Driffield”, East Yorkshire, 400–750 </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ASSAH</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9, 25–48.</w:t>
      </w:r>
    </w:p>
    <w:p w14:paraId="0430344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Loveluck, C., 2003, ‘The Archaeology of Post-Roman Yorkshire, </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400 to 700: Overview and Future Directions for Research’, in Manby, Moorhouse, and Ottaway (eds), 2003, pp. 151–70.</w:t>
      </w:r>
    </w:p>
    <w:p w14:paraId="4852271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Loveluck, C., and D. Tys, 2006, ‘Coastal Societies, Exchange and Identity along the Channel and Southern North Sea Shores of Europe, </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600–1000’, </w:t>
      </w:r>
      <w:r w:rsidRPr="00EC0229">
        <w:rPr>
          <w:rFonts w:eastAsia="Times New Roman" w:cs="Times New Roman"/>
          <w:i/>
          <w:iCs/>
          <w:color w:val="000000"/>
          <w:szCs w:val="24"/>
          <w:lang w:eastAsia="en-GB"/>
        </w:rPr>
        <w:t>Journal of Marine Archaeology</w:t>
      </w:r>
      <w:r w:rsidRPr="00EC0229">
        <w:rPr>
          <w:rFonts w:eastAsia="Times New Roman" w:cs="Times New Roman"/>
          <w:color w:val="000000"/>
          <w:szCs w:val="24"/>
          <w:lang w:eastAsia="en-GB"/>
        </w:rPr>
        <w:t>, 1, 140–69.</w:t>
      </w:r>
    </w:p>
    <w:p w14:paraId="12B35A8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Loyn, H. R., 1981, </w:t>
      </w:r>
      <w:r w:rsidRPr="00EC0229">
        <w:rPr>
          <w:rFonts w:eastAsia="Times New Roman" w:cs="Times New Roman"/>
          <w:i/>
          <w:iCs/>
          <w:color w:val="000000"/>
          <w:szCs w:val="24"/>
          <w:lang w:eastAsia="en-GB"/>
        </w:rPr>
        <w:t>Anglo-Saxon England and the Norman Conquest</w:t>
      </w:r>
      <w:r w:rsidRPr="00EC0229">
        <w:rPr>
          <w:rFonts w:eastAsia="Times New Roman" w:cs="Times New Roman"/>
          <w:color w:val="000000"/>
          <w:szCs w:val="24"/>
          <w:lang w:eastAsia="en-GB"/>
        </w:rPr>
        <w:t xml:space="preserve"> (London: Longman).</w:t>
      </w:r>
    </w:p>
    <w:p w14:paraId="05A4C27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Lyon, S., 1957, ‘A Reappraisal of the Sceatta and Styca Coinage of Northumbria’, </w:t>
      </w:r>
      <w:r w:rsidRPr="00EC0229">
        <w:rPr>
          <w:rFonts w:eastAsia="Times New Roman" w:cs="Times New Roman"/>
          <w:i/>
          <w:iCs/>
          <w:color w:val="000000"/>
          <w:szCs w:val="24"/>
          <w:lang w:eastAsia="en-GB"/>
        </w:rPr>
        <w:t>BNJ</w:t>
      </w:r>
      <w:r w:rsidRPr="00EC0229">
        <w:rPr>
          <w:rFonts w:eastAsia="Times New Roman" w:cs="Times New Roman"/>
          <w:color w:val="000000"/>
          <w:szCs w:val="24"/>
          <w:lang w:eastAsia="en-GB"/>
        </w:rPr>
        <w:t>, 28, 227–42.</w:t>
      </w:r>
    </w:p>
    <w:p w14:paraId="1CC5056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Lyons, A. W., and W. A. Mackay, 2007, ‘The Coinage of Æthelred I (865–871)’, </w:t>
      </w:r>
      <w:r w:rsidRPr="00EC0229">
        <w:rPr>
          <w:rFonts w:eastAsia="Times New Roman" w:cs="Times New Roman"/>
          <w:i/>
          <w:color w:val="000000"/>
          <w:szCs w:val="24"/>
          <w:lang w:eastAsia="en-GB"/>
        </w:rPr>
        <w:t>BNJ</w:t>
      </w:r>
      <w:r w:rsidRPr="00EC0229">
        <w:rPr>
          <w:rFonts w:eastAsia="Times New Roman" w:cs="Times New Roman"/>
          <w:color w:val="000000"/>
          <w:szCs w:val="24"/>
          <w:lang w:eastAsia="en-GB"/>
        </w:rPr>
        <w:t>, 77, 71–118.</w:t>
      </w:r>
    </w:p>
    <w:p w14:paraId="4D6D26C5" w14:textId="77777777" w:rsidR="005B3AC3" w:rsidRPr="00EC0229" w:rsidRDefault="005B3AC3" w:rsidP="005B3AC3">
      <w:pPr>
        <w:spacing w:after="0"/>
        <w:rPr>
          <w:rFonts w:eastAsia="Times New Roman" w:cs="Times New Roman"/>
          <w:color w:val="000000"/>
          <w:szCs w:val="24"/>
          <w:lang w:eastAsia="en-GB"/>
        </w:rPr>
      </w:pPr>
    </w:p>
    <w:p w14:paraId="6F75320C"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r w:rsidRPr="00EC0229">
        <w:rPr>
          <w:rFonts w:eastAsia="Times New Roman" w:cs="Times New Roman"/>
          <w:color w:val="000000"/>
          <w:position w:val="-11"/>
          <w:sz w:val="112"/>
          <w:szCs w:val="24"/>
          <w:lang w:eastAsia="en-GB"/>
        </w:rPr>
        <w:t>M</w:t>
      </w:r>
      <w:bookmarkStart w:id="1000" w:name="M"/>
      <w:bookmarkEnd w:id="1000"/>
    </w:p>
    <w:p w14:paraId="7E0DF86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ackay, W., 2004, ‘A New Early Secondary Sceatta Type Linking Series W and Series N’, </w:t>
      </w:r>
      <w:r w:rsidRPr="00EC0229">
        <w:rPr>
          <w:rFonts w:eastAsia="Times New Roman" w:cs="Times New Roman"/>
          <w:i/>
          <w:iCs/>
          <w:color w:val="000000"/>
          <w:szCs w:val="24"/>
          <w:lang w:eastAsia="en-GB"/>
        </w:rPr>
        <w:t>SNC</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112, 159–60.</w:t>
      </w:r>
    </w:p>
    <w:p w14:paraId="7900A0B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Mainman, A. J., 1993, </w:t>
      </w:r>
      <w:r w:rsidRPr="00EC0229">
        <w:rPr>
          <w:rFonts w:eastAsia="Times New Roman" w:cs="Times New Roman"/>
          <w:i/>
          <w:iCs/>
          <w:color w:val="000000"/>
          <w:szCs w:val="24"/>
          <w:lang w:eastAsia="en-GB"/>
        </w:rPr>
        <w:t>Pottery from</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46–54 Fishergate</w:t>
      </w:r>
      <w:r w:rsidRPr="00EC0229">
        <w:rPr>
          <w:rFonts w:eastAsia="Times New Roman" w:cs="Times New Roman"/>
          <w:color w:val="000000"/>
          <w:szCs w:val="24"/>
          <w:lang w:eastAsia="en-GB"/>
        </w:rPr>
        <w:t>, AY, 16 (London: CBA).</w:t>
      </w:r>
    </w:p>
    <w:p w14:paraId="2823CB48" w14:textId="77777777" w:rsidR="005B3AC3" w:rsidRPr="00EC0229" w:rsidRDefault="005B3AC3" w:rsidP="005B3AC3">
      <w:pPr>
        <w:spacing w:after="0"/>
        <w:rPr>
          <w:rFonts w:eastAsia="Times New Roman" w:cs="Times New Roman"/>
          <w:color w:val="000000"/>
          <w:szCs w:val="24"/>
          <w:lang w:eastAsia="en-GB"/>
        </w:rPr>
      </w:pPr>
      <w:bookmarkStart w:id="1001" w:name="RANGE!A214"/>
      <w:r w:rsidRPr="00EC0229">
        <w:rPr>
          <w:rFonts w:eastAsia="Times New Roman" w:cs="Times New Roman"/>
          <w:color w:val="000000"/>
          <w:szCs w:val="24"/>
          <w:lang w:eastAsia="en-GB"/>
        </w:rPr>
        <w:t xml:space="preserve">Mainman, A. J., and R. Hall, (forthcoming), </w:t>
      </w:r>
      <w:r w:rsidRPr="00EC0229">
        <w:rPr>
          <w:rFonts w:eastAsia="Times New Roman" w:cs="Times New Roman"/>
          <w:i/>
          <w:iCs/>
          <w:color w:val="000000"/>
          <w:szCs w:val="24"/>
          <w:lang w:eastAsia="en-GB"/>
        </w:rPr>
        <w:t>Eoforwic: Post-Roman and Anglian York, 410–866.</w:t>
      </w:r>
      <w:bookmarkEnd w:id="1001"/>
    </w:p>
    <w:p w14:paraId="003A416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Malinowski, B., 1922, ‘Argonauts of the Western Pacific: An Account of Native Enterprise and Adventure in the Archipelagoes of Melanesian New Guinea’ (London: Routledge and Kegan Paul). (See also Enhanced Edition 2013, Long Grove: Waveland Press).</w:t>
      </w:r>
    </w:p>
    <w:p w14:paraId="55ECDC3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Manby, T. G., S. Moorhouse, and P. Ottaway, (eds), 2003, </w:t>
      </w:r>
      <w:r w:rsidRPr="00EC0229">
        <w:rPr>
          <w:rFonts w:eastAsia="Times New Roman" w:cs="Times New Roman"/>
          <w:i/>
          <w:color w:val="000000"/>
          <w:szCs w:val="24"/>
          <w:lang w:eastAsia="en-GB"/>
        </w:rPr>
        <w:t>The Archaeology of Yorkshire: An Assessment at the Beginning of the 21</w:t>
      </w:r>
      <w:r w:rsidRPr="00EC0229">
        <w:rPr>
          <w:rFonts w:eastAsia="Times New Roman" w:cs="Times New Roman"/>
          <w:i/>
          <w:color w:val="000000"/>
          <w:szCs w:val="24"/>
          <w:vertAlign w:val="superscript"/>
          <w:lang w:eastAsia="en-GB"/>
        </w:rPr>
        <w:t>st</w:t>
      </w:r>
      <w:r w:rsidRPr="00EC0229">
        <w:rPr>
          <w:rFonts w:eastAsia="Times New Roman" w:cs="Times New Roman"/>
          <w:i/>
          <w:color w:val="000000"/>
          <w:szCs w:val="24"/>
          <w:lang w:eastAsia="en-GB"/>
        </w:rPr>
        <w:t xml:space="preserve"> Century</w:t>
      </w:r>
      <w:r w:rsidRPr="00EC0229">
        <w:rPr>
          <w:rFonts w:eastAsia="Times New Roman" w:cs="Times New Roman"/>
          <w:color w:val="000000"/>
          <w:szCs w:val="24"/>
          <w:lang w:eastAsia="en-GB"/>
        </w:rPr>
        <w:t xml:space="preserve"> (Leeds: Yorkshire Archaeological Society).</w:t>
      </w:r>
    </w:p>
    <w:p w14:paraId="7ACA3B1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Marner, D., 2000, </w:t>
      </w:r>
      <w:r w:rsidRPr="00EC0229">
        <w:rPr>
          <w:rFonts w:eastAsia="Times New Roman" w:cs="Times New Roman"/>
          <w:i/>
          <w:iCs/>
          <w:color w:val="000000"/>
          <w:szCs w:val="24"/>
          <w:lang w:eastAsia="en-GB"/>
        </w:rPr>
        <w:t>St Cuthbert: His Life and Cult in Medieval Durham</w:t>
      </w:r>
      <w:r w:rsidRPr="00EC0229">
        <w:rPr>
          <w:rFonts w:eastAsia="Times New Roman" w:cs="Times New Roman"/>
          <w:color w:val="000000"/>
          <w:szCs w:val="24"/>
          <w:lang w:eastAsia="en-GB"/>
        </w:rPr>
        <w:t xml:space="preserve"> (London: British Library).</w:t>
      </w:r>
    </w:p>
    <w:p w14:paraId="3B49162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Marsden, J., 1992, </w:t>
      </w:r>
      <w:r w:rsidRPr="00EC0229">
        <w:rPr>
          <w:rFonts w:eastAsia="Times New Roman" w:cs="Times New Roman"/>
          <w:i/>
          <w:iCs/>
          <w:color w:val="000000"/>
          <w:szCs w:val="24"/>
          <w:lang w:eastAsia="en-GB"/>
        </w:rPr>
        <w:t>Northanhymbre Saga: The History of the Northumbrian Kings of Northumbria</w:t>
      </w:r>
      <w:r w:rsidRPr="00EC0229">
        <w:rPr>
          <w:rFonts w:eastAsia="Times New Roman" w:cs="Times New Roman"/>
          <w:color w:val="000000"/>
          <w:szCs w:val="24"/>
          <w:lang w:eastAsia="en-GB"/>
        </w:rPr>
        <w:t xml:space="preserve"> (London: Kyle Cathie).</w:t>
      </w:r>
    </w:p>
    <w:p w14:paraId="7DE2BBB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Mauss, M., 1970,</w:t>
      </w:r>
      <w:r w:rsidRPr="00EC0229">
        <w:rPr>
          <w:rFonts w:eastAsia="Times New Roman" w:cs="Times New Roman"/>
          <w:i/>
          <w:iCs/>
          <w:color w:val="000000"/>
          <w:szCs w:val="24"/>
          <w:lang w:eastAsia="en-GB"/>
        </w:rPr>
        <w:t xml:space="preserve"> The Gift: Forms and Functions of Exchange in Archaic Societies</w:t>
      </w:r>
      <w:r w:rsidRPr="00EC0229">
        <w:rPr>
          <w:rFonts w:eastAsia="Times New Roman" w:cs="Times New Roman"/>
          <w:iCs/>
          <w:color w:val="000000"/>
          <w:szCs w:val="24"/>
          <w:lang w:eastAsia="en-GB"/>
        </w:rPr>
        <w:t>, trans. by I. Cunnison</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(London: Routledge &amp; Kegan Paul).</w:t>
      </w:r>
    </w:p>
    <w:p w14:paraId="7E4933F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Mayr-Harting, H. M. R. E., 1967, ‘Paulinus of York’, in G. J. Cuming (ed.), </w:t>
      </w:r>
      <w:r w:rsidRPr="00EC0229">
        <w:rPr>
          <w:rFonts w:eastAsia="Times New Roman" w:cs="Times New Roman"/>
          <w:i/>
          <w:color w:val="000000"/>
          <w:szCs w:val="24"/>
          <w:lang w:eastAsia="en-GB"/>
        </w:rPr>
        <w:t>Studies in Church History IV: The Province of York</w:t>
      </w:r>
      <w:r w:rsidRPr="00EC0229">
        <w:rPr>
          <w:rFonts w:eastAsia="Times New Roman" w:cs="Times New Roman"/>
          <w:color w:val="000000"/>
          <w:szCs w:val="24"/>
          <w:lang w:eastAsia="en-GB"/>
        </w:rPr>
        <w:t xml:space="preserve"> (Leiden: Brill), pp. 15–21.</w:t>
      </w:r>
    </w:p>
    <w:p w14:paraId="595CC50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McCarthy, M. R., 1990, </w:t>
      </w:r>
      <w:r w:rsidRPr="00EC0229">
        <w:rPr>
          <w:rFonts w:eastAsia="Times New Roman" w:cs="Times New Roman"/>
          <w:i/>
          <w:color w:val="000000"/>
          <w:szCs w:val="24"/>
          <w:lang w:eastAsia="en-GB"/>
        </w:rPr>
        <w:t>A Roman, Anglian and Medieval Site at Blackfriars Street, Carlisle: Excavations, 1977–9</w:t>
      </w:r>
      <w:r w:rsidRPr="00EC0229">
        <w:rPr>
          <w:rFonts w:eastAsia="Times New Roman" w:cs="Times New Roman"/>
          <w:color w:val="000000"/>
          <w:szCs w:val="24"/>
          <w:lang w:eastAsia="en-GB"/>
        </w:rPr>
        <w:t xml:space="preserve"> (Kendal: Cumberland and Westmorland Antiquarian and Archaeological Society). [Pirie archive].</w:t>
      </w:r>
    </w:p>
    <w:p w14:paraId="56FFA67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McCarthy, M. R., 1993, ‘The Lanes Project, Carlisle: Background and Guidance for Specialists’ (Carlisle Archaeological Unit). [Pirie archive].</w:t>
      </w:r>
    </w:p>
    <w:p w14:paraId="28A0EB0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1960, ‘Some Finds of Medieval Coins from Scotland and the North of England’,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i/>
          <w:iCs/>
          <w:color w:val="000000"/>
          <w:szCs w:val="24"/>
          <w:lang w:eastAsia="en-GB"/>
        </w:rPr>
        <w:t xml:space="preserve"> </w:t>
      </w:r>
      <w:r w:rsidRPr="00EC0229">
        <w:rPr>
          <w:rFonts w:eastAsia="Times New Roman" w:cs="Times New Roman"/>
          <w:iCs/>
          <w:color w:val="000000"/>
          <w:szCs w:val="24"/>
          <w:lang w:eastAsia="en-GB"/>
        </w:rPr>
        <w:t>30</w:t>
      </w:r>
      <w:r w:rsidRPr="00EC0229">
        <w:rPr>
          <w:rFonts w:eastAsia="Times New Roman" w:cs="Times New Roman"/>
          <w:color w:val="000000"/>
          <w:szCs w:val="24"/>
          <w:lang w:eastAsia="en-GB"/>
        </w:rPr>
        <w:t>, 88–123.</w:t>
      </w:r>
    </w:p>
    <w:p w14:paraId="4066662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1965, ‘How Large was the Anglo-Saxon Currency?’, </w:t>
      </w:r>
      <w:r w:rsidRPr="00EC0229">
        <w:rPr>
          <w:rFonts w:eastAsia="Times New Roman" w:cs="Times New Roman"/>
          <w:i/>
          <w:iCs/>
          <w:color w:val="000000"/>
          <w:szCs w:val="24"/>
          <w:lang w:eastAsia="en-GB"/>
        </w:rPr>
        <w:t xml:space="preserve">EcHR </w:t>
      </w:r>
      <w:r w:rsidRPr="00EC0229">
        <w:rPr>
          <w:rFonts w:eastAsia="Times New Roman" w:cs="Times New Roman"/>
          <w:color w:val="000000"/>
          <w:szCs w:val="24"/>
          <w:lang w:eastAsia="en-GB"/>
        </w:rPr>
        <w:t>2</w:t>
      </w:r>
      <w:r w:rsidRPr="00EC0229">
        <w:rPr>
          <w:rFonts w:eastAsia="Times New Roman" w:cs="Times New Roman"/>
          <w:color w:val="000000"/>
          <w:szCs w:val="24"/>
          <w:vertAlign w:val="superscript"/>
          <w:lang w:eastAsia="en-GB"/>
        </w:rPr>
        <w:t>nd</w:t>
      </w:r>
      <w:r w:rsidRPr="00EC0229">
        <w:rPr>
          <w:rFonts w:eastAsia="Times New Roman" w:cs="Times New Roman"/>
          <w:color w:val="000000"/>
          <w:szCs w:val="24"/>
          <w:lang w:eastAsia="en-GB"/>
        </w:rPr>
        <w:t xml:space="preserve"> ser., 18, 475–82.</w:t>
      </w:r>
    </w:p>
    <w:p w14:paraId="3369DFD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1967, ‘The Prosperity of Western Europe in the Eighth and Ninth Centuries’, </w:t>
      </w:r>
      <w:r w:rsidRPr="00EC0229">
        <w:rPr>
          <w:rFonts w:eastAsia="Times New Roman" w:cs="Times New Roman"/>
          <w:i/>
          <w:iCs/>
          <w:color w:val="000000"/>
          <w:szCs w:val="24"/>
          <w:lang w:eastAsia="en-GB"/>
        </w:rPr>
        <w:t xml:space="preserve">EcHR </w:t>
      </w:r>
      <w:r w:rsidRPr="00EC0229">
        <w:rPr>
          <w:rFonts w:eastAsia="Times New Roman" w:cs="Times New Roman"/>
          <w:color w:val="000000"/>
          <w:szCs w:val="24"/>
          <w:lang w:eastAsia="en-GB"/>
        </w:rPr>
        <w:t>2</w:t>
      </w:r>
      <w:r w:rsidRPr="00EC0229">
        <w:rPr>
          <w:rFonts w:eastAsia="Times New Roman" w:cs="Times New Roman"/>
          <w:color w:val="000000"/>
          <w:szCs w:val="24"/>
          <w:vertAlign w:val="superscript"/>
          <w:lang w:eastAsia="en-GB"/>
        </w:rPr>
        <w:t>nd</w:t>
      </w:r>
      <w:r w:rsidRPr="00EC0229">
        <w:rPr>
          <w:rFonts w:eastAsia="Times New Roman" w:cs="Times New Roman"/>
          <w:color w:val="000000"/>
          <w:szCs w:val="24"/>
          <w:lang w:eastAsia="en-GB"/>
        </w:rPr>
        <w:t xml:space="preserve"> ser., 20, 344–57.</w:t>
      </w:r>
    </w:p>
    <w:p w14:paraId="7FBD876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(ed.), 1987, </w:t>
      </w:r>
      <w:r w:rsidRPr="00EC0229">
        <w:rPr>
          <w:rFonts w:eastAsia="Times New Roman" w:cs="Times New Roman"/>
          <w:i/>
          <w:color w:val="000000"/>
          <w:szCs w:val="24"/>
          <w:lang w:eastAsia="en-GB"/>
        </w:rPr>
        <w:t>Coinage in Ninth-Century Northumbria: The Tenth Oxford Symposium on Coinage and Monetary History</w:t>
      </w:r>
      <w:r w:rsidRPr="00EC0229">
        <w:rPr>
          <w:rFonts w:eastAsia="Times New Roman" w:cs="Times New Roman"/>
          <w:color w:val="000000"/>
          <w:szCs w:val="24"/>
          <w:lang w:eastAsia="en-GB"/>
        </w:rPr>
        <w:t>, B. A. R. British Series, 180 (Oxford: B. A. R.).</w:t>
      </w:r>
    </w:p>
    <w:p w14:paraId="250193FA" w14:textId="77777777" w:rsidR="005B3AC3" w:rsidRPr="00EC0229" w:rsidRDefault="005B3AC3" w:rsidP="005B3AC3">
      <w:pPr>
        <w:spacing w:after="0"/>
        <w:rPr>
          <w:rFonts w:eastAsia="Times New Roman" w:cs="Times New Roman"/>
          <w:color w:val="000000"/>
          <w:szCs w:val="24"/>
          <w:lang w:eastAsia="en-GB"/>
        </w:rPr>
      </w:pPr>
      <w:bookmarkStart w:id="1002" w:name="RANGE!A226"/>
      <w:r w:rsidRPr="00EC0229">
        <w:rPr>
          <w:rFonts w:eastAsia="Times New Roman" w:cs="Times New Roman"/>
          <w:color w:val="000000"/>
          <w:szCs w:val="24"/>
          <w:lang w:eastAsia="en-GB"/>
        </w:rPr>
        <w:t xml:space="preserve">Metcalf, D. M., 1993–94, </w:t>
      </w:r>
      <w:r w:rsidRPr="00EC0229">
        <w:rPr>
          <w:rFonts w:eastAsia="Times New Roman" w:cs="Times New Roman"/>
          <w:i/>
          <w:iCs/>
          <w:color w:val="000000"/>
          <w:szCs w:val="24"/>
          <w:lang w:eastAsia="en-GB"/>
        </w:rPr>
        <w:t>Thrymsas and Sceattas in the Ashmolean Museum</w:t>
      </w:r>
      <w:r w:rsidRPr="00EC0229">
        <w:rPr>
          <w:rFonts w:eastAsia="Times New Roman" w:cs="Times New Roman"/>
          <w:i/>
          <w:color w:val="000000"/>
          <w:szCs w:val="24"/>
          <w:lang w:eastAsia="en-GB"/>
        </w:rPr>
        <w:t>, Oxford</w:t>
      </w:r>
      <w:r w:rsidRPr="00EC0229">
        <w:rPr>
          <w:rFonts w:eastAsia="Times New Roman" w:cs="Times New Roman"/>
          <w:color w:val="000000"/>
          <w:szCs w:val="24"/>
          <w:lang w:eastAsia="en-GB"/>
        </w:rPr>
        <w:t>, RNS Special Publication, 276, 3 vols (London: RNS).</w:t>
      </w:r>
      <w:bookmarkEnd w:id="1002"/>
    </w:p>
    <w:p w14:paraId="4896B1F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1995–99, ‘Viking Age Numismatics’, </w:t>
      </w:r>
      <w:r w:rsidRPr="00EC0229">
        <w:rPr>
          <w:rFonts w:eastAsia="Times New Roman" w:cs="Times New Roman"/>
          <w:i/>
          <w:iCs/>
          <w:color w:val="000000"/>
          <w:szCs w:val="24"/>
          <w:lang w:eastAsia="en-GB"/>
        </w:rPr>
        <w:t>NC</w:t>
      </w:r>
      <w:r w:rsidRPr="00EC0229">
        <w:rPr>
          <w:rFonts w:eastAsia="Times New Roman" w:cs="Times New Roman"/>
          <w:color w:val="000000"/>
          <w:szCs w:val="24"/>
          <w:lang w:eastAsia="en-GB"/>
        </w:rPr>
        <w:t>, 155 (1995), 413–41; 156 (1996), 399–428; 157 (1997), 295–335; 158 (1998), 345–71; 159 (1999), 395–530.</w:t>
      </w:r>
    </w:p>
    <w:p w14:paraId="583629E5" w14:textId="6A853F56"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1998a, </w:t>
      </w:r>
      <w:r w:rsidRPr="00EC0229">
        <w:rPr>
          <w:rFonts w:eastAsia="Times New Roman" w:cs="Times New Roman"/>
          <w:i/>
          <w:iCs/>
          <w:color w:val="000000"/>
          <w:szCs w:val="24"/>
          <w:lang w:eastAsia="en-GB"/>
        </w:rPr>
        <w:t xml:space="preserve">An Atlas of Anglo-Norman Coin Finds, </w:t>
      </w:r>
      <w:r w:rsidR="002132F1">
        <w:rPr>
          <w:rFonts w:eastAsia="Times New Roman" w:cs="Times New Roman"/>
          <w:i/>
          <w:iCs/>
          <w:color w:val="000000"/>
          <w:szCs w:val="24"/>
          <w:lang w:eastAsia="en-GB"/>
        </w:rPr>
        <w:t>c.</w:t>
      </w:r>
      <w:r w:rsidRPr="00EC0229">
        <w:rPr>
          <w:rFonts w:eastAsia="Times New Roman" w:cs="Times New Roman"/>
          <w:i/>
          <w:iCs/>
          <w:color w:val="000000"/>
          <w:szCs w:val="24"/>
          <w:lang w:eastAsia="en-GB"/>
        </w:rPr>
        <w:t>973–1086</w:t>
      </w:r>
      <w:r w:rsidRPr="00EC0229">
        <w:rPr>
          <w:rFonts w:eastAsia="Times New Roman" w:cs="Times New Roman"/>
          <w:color w:val="000000"/>
          <w:szCs w:val="24"/>
          <w:lang w:eastAsia="en-GB"/>
        </w:rPr>
        <w:t xml:space="preserve"> (London: RNS).</w:t>
      </w:r>
    </w:p>
    <w:p w14:paraId="30F215E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Metcalf, D. M., 1998b, ‘The Monetary Economy of Ninth-Century England South of the Humber: A Topographical Analysis’, in Blackburn and Dumville (eds), 1998, pp. 167–97.</w:t>
      </w:r>
    </w:p>
    <w:p w14:paraId="4A83215D" w14:textId="517004A0" w:rsidR="00751C62" w:rsidRPr="00EC0229" w:rsidRDefault="00751C62"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2003, ‘Variations in the Composition of the Currency at Different Places in England, in </w:t>
      </w:r>
      <w:r w:rsidRPr="00EC0229">
        <w:rPr>
          <w:rFonts w:eastAsia="Times New Roman" w:cs="Times New Roman"/>
          <w:i/>
          <w:iCs/>
          <w:color w:val="000000"/>
          <w:szCs w:val="24"/>
          <w:lang w:eastAsia="en-GB"/>
        </w:rPr>
        <w:t>P&amp;U</w:t>
      </w:r>
      <w:r w:rsidRPr="00EC0229">
        <w:rPr>
          <w:rFonts w:eastAsia="Times New Roman" w:cs="Times New Roman"/>
          <w:color w:val="000000"/>
          <w:szCs w:val="24"/>
          <w:lang w:eastAsia="en-GB"/>
        </w:rPr>
        <w:t>, pp. 37-47.</w:t>
      </w:r>
    </w:p>
    <w:p w14:paraId="523E0A7D" w14:textId="32037A9A"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2009, ‘Betwixt Sceattas and Offa’s Pence: Mint-Attributions, and the Chronology of a Recession’,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79, pp. 1–33.</w:t>
      </w:r>
    </w:p>
    <w:p w14:paraId="31254EA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2011, ‘English Money, Foreign Money: The Circulation of Tremisses and Sceattas in the East Midlands and the Monetary Role of “Productive Sites”’,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2, pp. 13–46.</w:t>
      </w:r>
    </w:p>
    <w:p w14:paraId="7F463B9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2014a, ‘Merovingian and Frisian Gold in England: Was There a Money Economy in the Sixth and Seventh Centuries?’,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3, pp. 47–67.</w:t>
      </w:r>
    </w:p>
    <w:p w14:paraId="44683C0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2014b, ‘The Archbishop’s Hat: A Suggested Attribution for the Sceattas of Series F’,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84, 52–71.</w:t>
      </w:r>
    </w:p>
    <w:p w14:paraId="6DD30F3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Metcalf, D. M., 2014c, ‘</w:t>
      </w:r>
      <w:r w:rsidRPr="00EC0229">
        <w:rPr>
          <w:rFonts w:eastAsia="Times New Roman" w:cs="Times New Roman"/>
          <w:i/>
          <w:iCs/>
          <w:color w:val="000000"/>
          <w:szCs w:val="24"/>
          <w:lang w:eastAsia="en-GB"/>
        </w:rPr>
        <w:t>Thrymsas</w:t>
      </w:r>
      <w:r w:rsidRPr="00EC0229">
        <w:rPr>
          <w:rFonts w:eastAsia="Times New Roman" w:cs="Times New Roman"/>
          <w:color w:val="000000"/>
          <w:szCs w:val="24"/>
          <w:lang w:eastAsia="en-GB"/>
        </w:rPr>
        <w:t xml:space="preserve"> and </w:t>
      </w:r>
      <w:r w:rsidRPr="00EC0229">
        <w:rPr>
          <w:rFonts w:eastAsia="Times New Roman" w:cs="Times New Roman"/>
          <w:i/>
          <w:iCs/>
          <w:color w:val="000000"/>
          <w:szCs w:val="24"/>
          <w:lang w:eastAsia="en-GB"/>
        </w:rPr>
        <w:t>Sceattas</w:t>
      </w:r>
      <w:r w:rsidRPr="00EC0229">
        <w:rPr>
          <w:rFonts w:eastAsia="Times New Roman" w:cs="Times New Roman"/>
          <w:color w:val="000000"/>
          <w:szCs w:val="24"/>
          <w:lang w:eastAsia="en-GB"/>
        </w:rPr>
        <w:t xml:space="preserve"> and the Balance of Payments’, in </w:t>
      </w:r>
      <w:r w:rsidRPr="00EC0229">
        <w:rPr>
          <w:rFonts w:eastAsia="Times New Roman" w:cs="Times New Roman"/>
          <w:i/>
          <w:color w:val="000000"/>
          <w:szCs w:val="24"/>
          <w:lang w:eastAsia="en-GB"/>
        </w:rPr>
        <w:t>EMMH</w:t>
      </w:r>
      <w:r w:rsidRPr="00EC0229">
        <w:rPr>
          <w:rFonts w:eastAsia="Times New Roman" w:cs="Times New Roman"/>
          <w:color w:val="000000"/>
          <w:szCs w:val="24"/>
          <w:lang w:eastAsia="en-GB"/>
        </w:rPr>
        <w:t>, pp. 243–56.</w:t>
      </w:r>
    </w:p>
    <w:p w14:paraId="54FA84F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and J. P. Northover, 1987, ‘The Northumbrian Royal Coinage in the Time of Æthelred and Osberht’, in </w:t>
      </w:r>
      <w:r w:rsidRPr="00EC0229">
        <w:rPr>
          <w:rFonts w:eastAsia="Times New Roman" w:cs="Times New Roman"/>
          <w:iCs/>
          <w:color w:val="000000"/>
          <w:szCs w:val="24"/>
          <w:lang w:eastAsia="en-GB"/>
        </w:rPr>
        <w:t>BAR</w:t>
      </w:r>
      <w:r w:rsidRPr="00EC0229">
        <w:rPr>
          <w:rFonts w:eastAsia="Times New Roman" w:cs="Times New Roman"/>
          <w:color w:val="000000"/>
          <w:szCs w:val="24"/>
          <w:lang w:eastAsia="en-GB"/>
        </w:rPr>
        <w:t>180, pp. 187–233.</w:t>
      </w:r>
    </w:p>
    <w:p w14:paraId="29CB0FF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Metcalf, D. M., and W. Op den Velde, 2014, ‘The Cothen Hoard of Porcupine Sceattas and Merovingian Deniers’, </w:t>
      </w:r>
      <w:r w:rsidRPr="00EC0229">
        <w:rPr>
          <w:rFonts w:eastAsia="Times New Roman" w:cs="Times New Roman"/>
          <w:i/>
          <w:iCs/>
          <w:color w:val="000000"/>
          <w:szCs w:val="24"/>
          <w:lang w:eastAsia="en-GB"/>
        </w:rPr>
        <w:t>JMP</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101, 27–51.</w:t>
      </w:r>
    </w:p>
    <w:p w14:paraId="6E2FEDE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Monbiot, G., 2013, </w:t>
      </w:r>
      <w:r w:rsidRPr="00EC0229">
        <w:rPr>
          <w:rFonts w:eastAsia="Times New Roman" w:cs="Times New Roman"/>
          <w:i/>
          <w:iCs/>
          <w:color w:val="000000"/>
          <w:szCs w:val="24"/>
          <w:lang w:eastAsia="en-GB"/>
        </w:rPr>
        <w:t>Feral: Searching for Enchantment on the Frontiers of Rewilding</w:t>
      </w:r>
      <w:r w:rsidRPr="00EC0229">
        <w:rPr>
          <w:rFonts w:eastAsia="Times New Roman" w:cs="Times New Roman"/>
          <w:color w:val="000000"/>
          <w:szCs w:val="24"/>
          <w:lang w:eastAsia="en-GB"/>
        </w:rPr>
        <w:t xml:space="preserve"> (London: Allen Lane).</w:t>
      </w:r>
    </w:p>
    <w:p w14:paraId="3FC60D0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Moorhead, S., and P. Walton, 2014, ‘Coinage at the End of Roman Britain’, in F. K. Haarer, R. Collins, K. J. Fitzpatrick-Matthews, S. Moorhead, and D. Petts (eds),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410: The History and Archaeology of Late and Post-Roman Britain</w:t>
      </w:r>
      <w:r w:rsidRPr="00EC0229">
        <w:rPr>
          <w:rFonts w:eastAsia="Times New Roman" w:cs="Times New Roman"/>
          <w:iCs/>
          <w:color w:val="000000"/>
          <w:szCs w:val="24"/>
          <w:lang w:eastAsia="en-GB"/>
        </w:rPr>
        <w:t xml:space="preserve"> (London: Society for the Promotion of Roman Studies)</w:t>
      </w:r>
      <w:r w:rsidRPr="00EC0229">
        <w:rPr>
          <w:rFonts w:eastAsia="Times New Roman" w:cs="Times New Roman"/>
          <w:color w:val="000000"/>
          <w:szCs w:val="24"/>
          <w:lang w:eastAsia="en-GB"/>
        </w:rPr>
        <w:t>, pp. 99–116.</w:t>
      </w:r>
    </w:p>
    <w:p w14:paraId="2BEED79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Moreland, J., 2000a, ‘Concepts of the Early Medieval Economy’, in Hansen and </w:t>
      </w:r>
      <w:r w:rsidRPr="00EC0229">
        <w:rPr>
          <w:rFonts w:eastAsia="Times New Roman" w:cs="Times New Roman"/>
          <w:color w:val="262626"/>
          <w:szCs w:val="24"/>
          <w:lang w:eastAsia="en-GB"/>
        </w:rPr>
        <w:t>Wickham (eds), 2000,</w:t>
      </w:r>
      <w:r w:rsidRPr="00EC0229">
        <w:rPr>
          <w:rFonts w:eastAsia="Times New Roman" w:cs="Times New Roman"/>
          <w:color w:val="000000"/>
          <w:szCs w:val="24"/>
          <w:lang w:eastAsia="en-GB"/>
        </w:rPr>
        <w:t xml:space="preserve"> pp. 1–34.</w:t>
      </w:r>
    </w:p>
    <w:p w14:paraId="04D1234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Moreland, J., 2000b, ‘The Significance of Production in Eighth-Century England’, in Hansen and </w:t>
      </w:r>
      <w:r w:rsidRPr="00EC0229">
        <w:rPr>
          <w:rFonts w:eastAsia="Times New Roman" w:cs="Times New Roman"/>
          <w:color w:val="262626"/>
          <w:szCs w:val="24"/>
          <w:lang w:eastAsia="en-GB"/>
        </w:rPr>
        <w:t>Wickham (eds), 2000, pp.</w:t>
      </w:r>
      <w:r w:rsidRPr="00EC0229">
        <w:rPr>
          <w:rFonts w:eastAsia="Times New Roman" w:cs="Times New Roman"/>
          <w:color w:val="000000"/>
          <w:szCs w:val="24"/>
          <w:lang w:eastAsia="en-GB"/>
        </w:rPr>
        <w:t xml:space="preserve"> 69–105.</w:t>
      </w:r>
    </w:p>
    <w:p w14:paraId="664344D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Morris, R. K., 1986, ‘Alcuin, York, and the </w:t>
      </w:r>
      <w:r w:rsidRPr="00EC0229">
        <w:rPr>
          <w:rFonts w:eastAsia="Times New Roman" w:cs="Times New Roman"/>
          <w:i/>
          <w:iCs/>
          <w:color w:val="000000"/>
          <w:szCs w:val="24"/>
          <w:lang w:eastAsia="en-GB"/>
        </w:rPr>
        <w:t>Alma Sophia</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in L. A. S. Butler and R. K. Morris (eds), </w:t>
      </w:r>
      <w:r w:rsidRPr="00EC0229">
        <w:rPr>
          <w:rFonts w:eastAsia="Times New Roman" w:cs="Times New Roman"/>
          <w:i/>
          <w:color w:val="000000"/>
          <w:szCs w:val="24"/>
          <w:lang w:eastAsia="en-GB"/>
        </w:rPr>
        <w:t>The Anglo-Saxon Church: Papers on History, Architecture, and Archaeology in Honour of Dr H. M. Taylor</w:t>
      </w:r>
      <w:r w:rsidRPr="00EC0229">
        <w:rPr>
          <w:rFonts w:eastAsia="Times New Roman" w:cs="Times New Roman"/>
          <w:color w:val="000000"/>
          <w:szCs w:val="24"/>
          <w:lang w:eastAsia="en-GB"/>
        </w:rPr>
        <w:t xml:space="preserve"> (London: CBA), pp. 80–89.</w:t>
      </w:r>
    </w:p>
    <w:p w14:paraId="3DB3E097" w14:textId="77777777" w:rsidR="005B3AC3" w:rsidRPr="00EC0229" w:rsidRDefault="005B3AC3" w:rsidP="005B3AC3">
      <w:pPr>
        <w:spacing w:after="0"/>
        <w:rPr>
          <w:rFonts w:eastAsia="Times New Roman" w:cs="Times New Roman"/>
          <w:color w:val="000000"/>
          <w:szCs w:val="24"/>
          <w:lang w:eastAsia="en-GB"/>
        </w:rPr>
      </w:pPr>
      <w:bookmarkStart w:id="1003" w:name="RANGE!A241"/>
      <w:r w:rsidRPr="00EC0229">
        <w:rPr>
          <w:rFonts w:eastAsia="Times New Roman" w:cs="Times New Roman"/>
          <w:color w:val="000000"/>
          <w:szCs w:val="24"/>
          <w:lang w:eastAsia="en-GB"/>
        </w:rPr>
        <w:t xml:space="preserve">Morris, R. K., 1989, </w:t>
      </w:r>
      <w:r w:rsidRPr="00EC0229">
        <w:rPr>
          <w:rFonts w:eastAsia="Times New Roman" w:cs="Times New Roman"/>
          <w:i/>
          <w:iCs/>
          <w:color w:val="000000"/>
          <w:szCs w:val="24"/>
          <w:lang w:eastAsia="en-GB"/>
        </w:rPr>
        <w:t>Churches in the Landscape</w:t>
      </w:r>
      <w:r w:rsidRPr="00EC0229">
        <w:rPr>
          <w:rFonts w:eastAsia="Times New Roman" w:cs="Times New Roman"/>
          <w:color w:val="000000"/>
          <w:szCs w:val="24"/>
          <w:lang w:eastAsia="en-GB"/>
        </w:rPr>
        <w:t xml:space="preserve"> (London: Dent).</w:t>
      </w:r>
      <w:bookmarkEnd w:id="1003"/>
    </w:p>
    <w:p w14:paraId="38BBD27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Morris, R. K., 2005, ‘“Calami at Iunci”: Lastingham in the Seventh and Eighth Centuries’, </w:t>
      </w:r>
      <w:r w:rsidRPr="00EC0229">
        <w:rPr>
          <w:rFonts w:eastAsia="Times New Roman" w:cs="Times New Roman"/>
          <w:i/>
          <w:iCs/>
          <w:color w:val="000000"/>
          <w:szCs w:val="24"/>
          <w:lang w:eastAsia="en-GB"/>
        </w:rPr>
        <w:t>Bulletin of International Medieval Research</w:t>
      </w:r>
      <w:r w:rsidRPr="00EC0229">
        <w:rPr>
          <w:rFonts w:eastAsia="Times New Roman" w:cs="Times New Roman"/>
          <w:iCs/>
          <w:color w:val="000000"/>
          <w:szCs w:val="24"/>
          <w:lang w:eastAsia="en-GB"/>
        </w:rPr>
        <w:t>, 11</w:t>
      </w:r>
      <w:r w:rsidRPr="00EC0229">
        <w:rPr>
          <w:rFonts w:eastAsia="Times New Roman" w:cs="Times New Roman"/>
          <w:color w:val="000000"/>
          <w:szCs w:val="24"/>
          <w:lang w:eastAsia="en-GB"/>
        </w:rPr>
        <w:t xml:space="preserve">, 3–21. </w:t>
      </w:r>
    </w:p>
    <w:p w14:paraId="18857E9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Morris, R. K., 2012, </w:t>
      </w:r>
      <w:r w:rsidRPr="00EC0229">
        <w:rPr>
          <w:rFonts w:eastAsia="Times New Roman" w:cs="Times New Roman"/>
          <w:i/>
          <w:iCs/>
          <w:color w:val="000000"/>
          <w:szCs w:val="24"/>
          <w:lang w:eastAsia="en-GB"/>
        </w:rPr>
        <w:t>Time’s Anvil: England, Archaeology and the Imagination</w:t>
      </w:r>
      <w:r w:rsidRPr="00EC0229">
        <w:rPr>
          <w:rFonts w:eastAsia="Times New Roman" w:cs="Times New Roman"/>
          <w:color w:val="000000"/>
          <w:szCs w:val="24"/>
          <w:lang w:eastAsia="en-GB"/>
        </w:rPr>
        <w:t xml:space="preserve"> (London: Weidenfeld &amp; Nicholson).</w:t>
      </w:r>
    </w:p>
    <w:p w14:paraId="54552CA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Morris, R. K., and D. Stocker, 1987, </w:t>
      </w:r>
      <w:r w:rsidRPr="00EC0229">
        <w:rPr>
          <w:rFonts w:eastAsia="Times New Roman" w:cs="Times New Roman"/>
          <w:i/>
          <w:iCs/>
          <w:color w:val="000000"/>
          <w:szCs w:val="24"/>
          <w:lang w:eastAsia="en-GB"/>
        </w:rPr>
        <w:t>Recording Worked Stone: A Practical Guide</w:t>
      </w:r>
      <w:r w:rsidRPr="00EC0229">
        <w:rPr>
          <w:rFonts w:eastAsia="Times New Roman" w:cs="Times New Roman"/>
          <w:iCs/>
          <w:color w:val="000000"/>
          <w:szCs w:val="24"/>
          <w:lang w:eastAsia="en-GB"/>
        </w:rPr>
        <w:t>, Practical Handbooks in Archaeology, 1</w:t>
      </w:r>
      <w:r w:rsidRPr="00EC0229">
        <w:rPr>
          <w:rFonts w:eastAsia="Times New Roman" w:cs="Times New Roman"/>
          <w:color w:val="000000"/>
          <w:szCs w:val="24"/>
          <w:lang w:eastAsia="en-GB"/>
        </w:rPr>
        <w:t xml:space="preserve"> (London: CBA)</w:t>
      </w:r>
    </w:p>
    <w:p w14:paraId="629F1AC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Muir, R., 1987, </w:t>
      </w:r>
      <w:r w:rsidRPr="00EC0229">
        <w:rPr>
          <w:rFonts w:eastAsia="Times New Roman" w:cs="Times New Roman"/>
          <w:i/>
          <w:iCs/>
          <w:color w:val="000000"/>
          <w:szCs w:val="24"/>
          <w:lang w:eastAsia="en-GB"/>
        </w:rPr>
        <w:t>Old Yorkshire: The Story of the Yorkshire Landscape and People</w:t>
      </w:r>
      <w:r w:rsidRPr="00EC0229">
        <w:rPr>
          <w:rFonts w:eastAsia="Times New Roman" w:cs="Times New Roman"/>
          <w:color w:val="000000"/>
          <w:szCs w:val="24"/>
          <w:lang w:eastAsia="en-GB"/>
        </w:rPr>
        <w:t xml:space="preserve"> (London: Michael Joseph).</w:t>
      </w:r>
    </w:p>
    <w:p w14:paraId="0CD2ED6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Myhre, B., 1993, ‘The Beginning of the Viking Age: Some Current Archaeological Problems’, in A. Faulkes and R. Perkins (eds), </w:t>
      </w:r>
      <w:r w:rsidRPr="00EC0229">
        <w:rPr>
          <w:rFonts w:eastAsia="Times New Roman" w:cs="Times New Roman"/>
          <w:i/>
          <w:iCs/>
          <w:color w:val="000000"/>
          <w:szCs w:val="24"/>
          <w:lang w:eastAsia="en-GB"/>
        </w:rPr>
        <w:t>Viking Revaluations</w:t>
      </w:r>
      <w:r w:rsidRPr="00EC0229">
        <w:rPr>
          <w:rFonts w:eastAsia="Times New Roman" w:cs="Times New Roman"/>
          <w:color w:val="000000"/>
          <w:szCs w:val="24"/>
          <w:lang w:eastAsia="en-GB"/>
        </w:rPr>
        <w:t xml:space="preserve"> (London: Viking Society for Northern Research), pp. 182–204.</w:t>
      </w:r>
    </w:p>
    <w:p w14:paraId="12EB6417" w14:textId="77777777" w:rsidR="005B3AC3" w:rsidRPr="00EC0229" w:rsidRDefault="005B3AC3" w:rsidP="005B3AC3">
      <w:pPr>
        <w:spacing w:after="0"/>
        <w:rPr>
          <w:rFonts w:eastAsia="Times New Roman" w:cs="Times New Roman"/>
          <w:color w:val="000000"/>
          <w:szCs w:val="24"/>
          <w:lang w:eastAsia="en-GB"/>
        </w:rPr>
      </w:pPr>
      <w:proofErr w:type="spellStart"/>
      <w:r w:rsidRPr="00EC0229">
        <w:rPr>
          <w:rFonts w:eastAsia="Times New Roman" w:cs="Times New Roman"/>
          <w:color w:val="000000"/>
          <w:szCs w:val="24"/>
          <w:lang w:eastAsia="en-GB"/>
        </w:rPr>
        <w:t>Myres</w:t>
      </w:r>
      <w:proofErr w:type="spellEnd"/>
      <w:r w:rsidRPr="00EC0229">
        <w:rPr>
          <w:rFonts w:eastAsia="Times New Roman" w:cs="Times New Roman"/>
          <w:color w:val="000000"/>
          <w:szCs w:val="24"/>
          <w:lang w:eastAsia="en-GB"/>
        </w:rPr>
        <w:t xml:space="preserve">, J. N. L., 1986, </w:t>
      </w:r>
      <w:r w:rsidRPr="00EC0229">
        <w:rPr>
          <w:rFonts w:eastAsia="Times New Roman" w:cs="Times New Roman"/>
          <w:i/>
          <w:iCs/>
          <w:color w:val="000000"/>
          <w:szCs w:val="24"/>
          <w:lang w:eastAsia="en-GB"/>
        </w:rPr>
        <w:t>The English Settlements</w:t>
      </w:r>
      <w:r w:rsidRPr="00EC0229">
        <w:rPr>
          <w:rFonts w:eastAsia="Times New Roman" w:cs="Times New Roman"/>
          <w:color w:val="000000"/>
          <w:szCs w:val="24"/>
          <w:lang w:eastAsia="en-GB"/>
        </w:rPr>
        <w:t xml:space="preserve"> (Oxford: Clarendon Press).</w:t>
      </w:r>
    </w:p>
    <w:p w14:paraId="6B6B72A3" w14:textId="77777777" w:rsidR="005B3AC3" w:rsidRPr="00EC0229" w:rsidRDefault="005B3AC3" w:rsidP="005B3AC3">
      <w:pPr>
        <w:spacing w:after="0"/>
        <w:rPr>
          <w:rFonts w:eastAsia="Times New Roman" w:cs="Times New Roman"/>
          <w:color w:val="000000"/>
          <w:szCs w:val="24"/>
          <w:lang w:eastAsia="en-GB"/>
        </w:rPr>
      </w:pPr>
    </w:p>
    <w:p w14:paraId="1419BE78"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10"/>
          <w:szCs w:val="24"/>
          <w:lang w:eastAsia="en-GB"/>
        </w:rPr>
      </w:pPr>
      <w:r w:rsidRPr="00EC0229">
        <w:rPr>
          <w:rFonts w:eastAsia="Times New Roman" w:cs="Times New Roman"/>
          <w:color w:val="000000"/>
          <w:position w:val="-10"/>
          <w:sz w:val="110"/>
          <w:szCs w:val="24"/>
          <w:lang w:eastAsia="en-GB"/>
        </w:rPr>
        <w:t>N</w:t>
      </w:r>
      <w:bookmarkStart w:id="1004" w:name="N"/>
      <w:bookmarkEnd w:id="1004"/>
    </w:p>
    <w:p w14:paraId="3AACC0C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aismith, R., 2011, </w:t>
      </w:r>
      <w:r w:rsidRPr="00EC0229">
        <w:rPr>
          <w:rFonts w:eastAsia="Times New Roman" w:cs="Times New Roman"/>
          <w:i/>
          <w:iCs/>
          <w:color w:val="000000"/>
          <w:szCs w:val="24"/>
          <w:lang w:eastAsia="en-GB"/>
        </w:rPr>
        <w:t>The Coinage of Southern England, 796–865</w:t>
      </w:r>
      <w:r w:rsidRPr="00EC0229">
        <w:rPr>
          <w:rFonts w:eastAsia="Times New Roman" w:cs="Times New Roman"/>
          <w:color w:val="000000"/>
          <w:szCs w:val="24"/>
          <w:lang w:eastAsia="en-GB"/>
        </w:rPr>
        <w:t>, 2 vols (London: Spink).</w:t>
      </w:r>
    </w:p>
    <w:p w14:paraId="106BB10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Naismith, R., 2012, </w:t>
      </w:r>
      <w:r w:rsidRPr="00EC0229">
        <w:rPr>
          <w:rFonts w:eastAsia="Times New Roman" w:cs="Times New Roman"/>
          <w:i/>
          <w:iCs/>
          <w:color w:val="000000"/>
          <w:szCs w:val="24"/>
          <w:lang w:eastAsia="en-GB"/>
        </w:rPr>
        <w:t>Money and Power in Anglo-Saxon England: The Southern English Kingdoms, 757–865</w:t>
      </w:r>
      <w:r w:rsidRPr="00EC0229">
        <w:rPr>
          <w:rFonts w:eastAsia="Times New Roman" w:cs="Times New Roman"/>
          <w:color w:val="000000"/>
          <w:szCs w:val="24"/>
          <w:lang w:eastAsia="en-GB"/>
        </w:rPr>
        <w:t xml:space="preserve"> (Cambridge: CUP).</w:t>
      </w:r>
    </w:p>
    <w:p w14:paraId="0E7388F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Naismith, R., 2014a, ‘Gold Coinage and Its Use in the Post-Roman West’, </w:t>
      </w:r>
      <w:r w:rsidRPr="00EC0229">
        <w:rPr>
          <w:rFonts w:eastAsia="Times New Roman" w:cs="Times New Roman"/>
          <w:i/>
          <w:iCs/>
          <w:color w:val="000000"/>
          <w:szCs w:val="24"/>
          <w:lang w:eastAsia="en-GB"/>
        </w:rPr>
        <w:t>Speculum</w:t>
      </w:r>
      <w:r w:rsidRPr="00EC0229">
        <w:rPr>
          <w:rFonts w:eastAsia="Times New Roman" w:cs="Times New Roman"/>
          <w:iCs/>
          <w:color w:val="000000"/>
          <w:szCs w:val="24"/>
          <w:lang w:eastAsia="en-GB"/>
        </w:rPr>
        <w:t>,</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89, 273–306.</w:t>
      </w:r>
    </w:p>
    <w:p w14:paraId="0159B49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Naismith, R., 2014b, ‘Money of the Saints: Church and Coinage in Early Anglo-Saxon England’,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3, pp. 68–121.</w:t>
      </w:r>
    </w:p>
    <w:p w14:paraId="69719DF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Naismith, R., 2014c, Abramson’s ‘Sceatta List: an Illustrated and Priced Catalogue of Sceats for Collectors, with Stycas Simplified: An Illustrated and Priced Catalogue of Stycas for Collectors’</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 xml:space="preserve">review,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84, 275–77.</w:t>
      </w:r>
    </w:p>
    <w:p w14:paraId="46C5941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Naismith, R., 2015, </w:t>
      </w:r>
      <w:r w:rsidRPr="00EC0229">
        <w:rPr>
          <w:rFonts w:eastAsia="Times New Roman" w:cs="Times New Roman"/>
          <w:i/>
          <w:color w:val="000000"/>
          <w:szCs w:val="24"/>
          <w:lang w:eastAsia="en-GB"/>
        </w:rPr>
        <w:t>Spending Power, Money and Power Relations in Early Medieval Europe</w:t>
      </w:r>
      <w:r w:rsidRPr="00EC0229">
        <w:rPr>
          <w:rFonts w:eastAsia="Times New Roman" w:cs="Times New Roman"/>
          <w:color w:val="000000"/>
          <w:szCs w:val="24"/>
          <w:lang w:eastAsia="en-GB"/>
        </w:rPr>
        <w:t>, Uppsala University Coin Cabinet Working Papers, 16 (Uppsala: Uppsala University Coin Cabinet).</w:t>
      </w:r>
    </w:p>
    <w:p w14:paraId="24CE7A9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Naismith, R., (forthcoming), </w:t>
      </w:r>
      <w:r w:rsidRPr="00EC0229">
        <w:rPr>
          <w:rFonts w:eastAsia="Times New Roman" w:cs="Times New Roman"/>
          <w:i/>
          <w:iCs/>
          <w:color w:val="000000"/>
          <w:szCs w:val="24"/>
          <w:lang w:eastAsia="en-GB"/>
        </w:rPr>
        <w:t>The Kingdom of Northumbria (a) Historical Background</w:t>
      </w:r>
      <w:r w:rsidRPr="00EC0229">
        <w:rPr>
          <w:rFonts w:eastAsia="Times New Roman" w:cs="Times New Roman"/>
          <w:iCs/>
          <w:color w:val="000000"/>
          <w:szCs w:val="24"/>
          <w:lang w:eastAsia="en-GB"/>
        </w:rPr>
        <w:t>.</w:t>
      </w:r>
    </w:p>
    <w:p w14:paraId="2040C21A" w14:textId="77777777" w:rsidR="005B3AC3" w:rsidRPr="00EC0229" w:rsidRDefault="005B3AC3" w:rsidP="005B3AC3">
      <w:pPr>
        <w:spacing w:after="0"/>
        <w:rPr>
          <w:rFonts w:eastAsia="Times New Roman" w:cs="Times New Roman"/>
          <w:szCs w:val="24"/>
          <w:lang w:eastAsia="en-GB"/>
        </w:rPr>
      </w:pPr>
      <w:r w:rsidRPr="00EC0229">
        <w:rPr>
          <w:rFonts w:eastAsia="Times New Roman" w:cs="Times New Roman"/>
          <w:szCs w:val="24"/>
          <w:lang w:eastAsia="en-GB"/>
        </w:rPr>
        <w:t xml:space="preserve">Naismith, R., M. Allen, and E. Screen (eds), 2014, </w:t>
      </w:r>
      <w:r w:rsidRPr="00EC0229">
        <w:rPr>
          <w:rFonts w:eastAsia="Times New Roman" w:cs="Times New Roman"/>
          <w:i/>
          <w:szCs w:val="24"/>
          <w:lang w:eastAsia="en-GB"/>
        </w:rPr>
        <w:t>Early Medieval Monetary History: Studies in Memory of Mark Blackburn</w:t>
      </w:r>
      <w:r w:rsidRPr="00EC0229">
        <w:rPr>
          <w:rFonts w:eastAsia="Times New Roman" w:cs="Times New Roman"/>
          <w:szCs w:val="24"/>
          <w:lang w:eastAsia="en-GB"/>
        </w:rPr>
        <w:t xml:space="preserve"> (Farnham: Ashgate).</w:t>
      </w:r>
    </w:p>
    <w:p w14:paraId="6F63267A" w14:textId="495F0F8D"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Naylor, J. D., 2002, ‘</w:t>
      </w:r>
      <w:r w:rsidRPr="00EC0229">
        <w:rPr>
          <w:rFonts w:eastAsia="Times New Roman" w:cs="Times New Roman"/>
          <w:iCs/>
          <w:color w:val="000000"/>
          <w:szCs w:val="24"/>
          <w:lang w:eastAsia="en-GB"/>
        </w:rPr>
        <w:t xml:space="preserve">An Archaeology of Trade in Eastern England, </w:t>
      </w:r>
      <w:r w:rsidR="002132F1">
        <w:rPr>
          <w:rFonts w:eastAsia="Times New Roman" w:cs="Times New Roman"/>
          <w:i/>
          <w:iCs/>
          <w:color w:val="000000"/>
          <w:szCs w:val="24"/>
          <w:lang w:eastAsia="en-GB"/>
        </w:rPr>
        <w:t>c.</w:t>
      </w:r>
      <w:r w:rsidRPr="00EC0229">
        <w:rPr>
          <w:rFonts w:eastAsia="Times New Roman" w:cs="Times New Roman"/>
          <w:iCs/>
          <w:color w:val="000000"/>
          <w:szCs w:val="24"/>
          <w:lang w:eastAsia="en-GB"/>
        </w:rPr>
        <w:t xml:space="preserve">650–900 </w:t>
      </w:r>
      <w:r w:rsidRPr="00EC0229">
        <w:rPr>
          <w:rFonts w:eastAsia="Times New Roman" w:cs="Times New Roman"/>
          <w:smallCaps/>
          <w:color w:val="000000"/>
          <w:szCs w:val="24"/>
          <w:lang w:eastAsia="en-GB"/>
        </w:rPr>
        <w:t>ce</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(unpublished PhD thesis, University of Durham).</w:t>
      </w:r>
    </w:p>
    <w:p w14:paraId="49C7F7A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Naylor, J. D., 2004, </w:t>
      </w:r>
      <w:r w:rsidRPr="00EC0229">
        <w:rPr>
          <w:rFonts w:eastAsia="Times New Roman" w:cs="Times New Roman"/>
          <w:i/>
          <w:color w:val="000000"/>
          <w:szCs w:val="24"/>
          <w:lang w:eastAsia="en-GB"/>
        </w:rPr>
        <w:t>An Archaeology of Trade in Middle Saxon England</w:t>
      </w:r>
      <w:r w:rsidRPr="00EC0229">
        <w:rPr>
          <w:rFonts w:eastAsia="Times New Roman" w:cs="Times New Roman"/>
          <w:iCs/>
          <w:color w:val="000000"/>
          <w:szCs w:val="24"/>
          <w:lang w:eastAsia="en-GB"/>
        </w:rPr>
        <w:t xml:space="preserve">, B. A. R. British Series, </w:t>
      </w:r>
      <w:r w:rsidRPr="00EC0229">
        <w:rPr>
          <w:rFonts w:eastAsia="Times New Roman" w:cs="Times New Roman"/>
          <w:color w:val="000000"/>
          <w:szCs w:val="24"/>
          <w:lang w:eastAsia="en-GB"/>
        </w:rPr>
        <w:t>376 (Oxford: Archaeopress)</w:t>
      </w:r>
      <w:r w:rsidRPr="00EC0229">
        <w:rPr>
          <w:rFonts w:eastAsia="Times New Roman" w:cs="Times New Roman"/>
          <w:i/>
          <w:iCs/>
          <w:color w:val="000000"/>
          <w:szCs w:val="24"/>
          <w:lang w:eastAsia="en-GB"/>
        </w:rPr>
        <w:t>.</w:t>
      </w:r>
    </w:p>
    <w:p w14:paraId="177499B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Naylor, J. D., 2006, ‘Mercian Hegemony and Series J Sceattas’,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76, 159–70.</w:t>
      </w:r>
    </w:p>
    <w:p w14:paraId="6F399F00" w14:textId="36AFAB11"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szCs w:val="24"/>
          <w:lang w:eastAsia="en-GB"/>
        </w:rPr>
        <w:t>Naylor, J. D., 2007, ‘</w:t>
      </w:r>
      <w:r w:rsidRPr="00EC0229">
        <w:rPr>
          <w:rFonts w:eastAsia="Times New Roman" w:cs="Times New Roman"/>
          <w:color w:val="000000"/>
          <w:szCs w:val="24"/>
          <w:lang w:eastAsia="en-GB"/>
        </w:rPr>
        <w:t xml:space="preserve">The Circulation of Early-medieval, European Coinage: A Case Study from Yorkshire, </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650–</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 xml:space="preserve">867’, in </w:t>
      </w:r>
      <w:r w:rsidRPr="00EC0229">
        <w:rPr>
          <w:rFonts w:eastAsia="Times New Roman" w:cs="Times New Roman"/>
          <w:i/>
          <w:iCs/>
          <w:color w:val="000000"/>
          <w:szCs w:val="24"/>
          <w:lang w:eastAsia="en-GB"/>
        </w:rPr>
        <w:t>Med Arch</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51, 41–61.</w:t>
      </w:r>
    </w:p>
    <w:p w14:paraId="1095B292" w14:textId="7F7816BE" w:rsidR="005B3AC3" w:rsidRPr="00EC0229" w:rsidRDefault="005B3AC3" w:rsidP="005B3AC3">
      <w:pPr>
        <w:spacing w:after="0"/>
        <w:rPr>
          <w:rFonts w:eastAsia="Times New Roman" w:cs="Times New Roman"/>
          <w:szCs w:val="24"/>
          <w:lang w:eastAsia="en-GB"/>
        </w:rPr>
      </w:pPr>
      <w:r w:rsidRPr="00EC0229">
        <w:rPr>
          <w:rFonts w:eastAsia="Times New Roman" w:cs="Times New Roman"/>
          <w:color w:val="000000"/>
          <w:szCs w:val="24"/>
          <w:lang w:eastAsia="en-GB"/>
        </w:rPr>
        <w:t xml:space="preserve">Naylor, J. D., 2012, ‘Coinage, Trade and the Origins of the English Emporia, </w:t>
      </w:r>
      <w:r w:rsidR="002132F1">
        <w:rPr>
          <w:rFonts w:eastAsia="Times New Roman" w:cs="Times New Roman"/>
          <w:i/>
          <w:color w:val="000000"/>
          <w:szCs w:val="24"/>
          <w:lang w:eastAsia="en-GB"/>
        </w:rPr>
        <w:t>c.</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650–750’, in S. Gelichi and R. Hodges (eds), </w:t>
      </w:r>
      <w:r w:rsidRPr="00EC0229">
        <w:rPr>
          <w:rFonts w:eastAsia="Times New Roman" w:cs="Times New Roman"/>
          <w:i/>
          <w:color w:val="000000"/>
          <w:szCs w:val="24"/>
          <w:lang w:eastAsia="en-GB"/>
        </w:rPr>
        <w:t>From One Sea to Another: Trade Centres in the European and Mediterranean Early Middle Ages</w:t>
      </w:r>
      <w:r w:rsidRPr="00EC0229">
        <w:rPr>
          <w:rFonts w:eastAsia="Times New Roman" w:cs="Times New Roman"/>
          <w:color w:val="000000"/>
          <w:szCs w:val="24"/>
          <w:lang w:eastAsia="en-GB"/>
        </w:rPr>
        <w:t xml:space="preserve"> (Turnhout: Brepols), pp. 237–66.</w:t>
      </w:r>
    </w:p>
    <w:p w14:paraId="59F05059" w14:textId="77777777" w:rsidR="005B3AC3" w:rsidRPr="00EC0229" w:rsidRDefault="005B3AC3" w:rsidP="005B3AC3">
      <w:pPr>
        <w:spacing w:after="0"/>
        <w:rPr>
          <w:rFonts w:eastAsia="Times New Roman" w:cs="Times New Roman"/>
          <w:szCs w:val="24"/>
          <w:lang w:eastAsia="en-GB"/>
        </w:rPr>
      </w:pPr>
      <w:r w:rsidRPr="00EC0229">
        <w:rPr>
          <w:rFonts w:eastAsia="Times New Roman" w:cs="Times New Roman"/>
          <w:szCs w:val="24"/>
          <w:lang w:eastAsia="en-GB"/>
        </w:rPr>
        <w:t>Naylor, J. D., and M. Allen, 2014, ‘</w:t>
      </w:r>
      <w:r w:rsidRPr="00EC0229">
        <w:rPr>
          <w:rFonts w:eastAsia="Times New Roman" w:cs="Times New Roman"/>
          <w:color w:val="000000"/>
          <w:szCs w:val="24"/>
          <w:lang w:eastAsia="en-GB"/>
        </w:rPr>
        <w:t xml:space="preserve">A New Variety of Gold Shilling of the “York” Group’,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3</w:t>
      </w:r>
      <w:r w:rsidRPr="00EC0229">
        <w:rPr>
          <w:rFonts w:eastAsia="Times New Roman" w:cs="Times New Roman"/>
          <w:color w:val="000000"/>
          <w:szCs w:val="24"/>
          <w:lang w:eastAsia="en-GB"/>
        </w:rPr>
        <w:t>, pp. 153–58.</w:t>
      </w:r>
    </w:p>
    <w:p w14:paraId="734740D8" w14:textId="77777777" w:rsidR="005B3AC3" w:rsidRPr="00EC0229" w:rsidRDefault="005B3AC3" w:rsidP="005B3AC3">
      <w:pPr>
        <w:spacing w:after="0"/>
        <w:rPr>
          <w:rFonts w:eastAsia="Times New Roman" w:cs="Times New Roman"/>
          <w:szCs w:val="24"/>
          <w:lang w:eastAsia="en-GB"/>
        </w:rPr>
      </w:pPr>
      <w:r w:rsidRPr="00EC0229">
        <w:rPr>
          <w:rFonts w:eastAsia="Times New Roman" w:cs="Times New Roman"/>
          <w:szCs w:val="24"/>
          <w:lang w:eastAsia="en-GB"/>
        </w:rPr>
        <w:t xml:space="preserve">Naylor, J. D., and J. D. Richards, </w:t>
      </w:r>
      <w:r w:rsidRPr="00EC0229">
        <w:rPr>
          <w:rFonts w:eastAsia="Times New Roman" w:cs="Times New Roman"/>
          <w:color w:val="000000"/>
          <w:szCs w:val="24"/>
          <w:lang w:eastAsia="en-GB"/>
        </w:rPr>
        <w:t xml:space="preserve">2005, ‘Third-Party Data for First Class Research’, </w:t>
      </w:r>
      <w:r w:rsidRPr="00EC0229">
        <w:rPr>
          <w:rFonts w:eastAsia="Times New Roman" w:cs="Times New Roman"/>
          <w:i/>
          <w:iCs/>
          <w:color w:val="000000"/>
          <w:szCs w:val="24"/>
          <w:lang w:eastAsia="en-GB"/>
        </w:rPr>
        <w:t>Archeologia e Calcolatori</w:t>
      </w:r>
      <w:r w:rsidRPr="00EC0229">
        <w:rPr>
          <w:rFonts w:eastAsia="Times New Roman" w:cs="Times New Roman"/>
          <w:color w:val="000000"/>
          <w:szCs w:val="24"/>
          <w:lang w:eastAsia="en-GB"/>
        </w:rPr>
        <w:t>, 16, 83–91.</w:t>
      </w:r>
    </w:p>
    <w:p w14:paraId="0F8F887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Newman, J., 2008, ‘Sceattas in East Anglia: An Archaeological Perspective’, in </w:t>
      </w:r>
      <w:r w:rsidRPr="00EC0229">
        <w:rPr>
          <w:rFonts w:eastAsia="Times New Roman" w:cs="Times New Roman"/>
          <w:i/>
          <w:iCs/>
          <w:color w:val="000000"/>
          <w:szCs w:val="24"/>
          <w:lang w:eastAsia="en-GB"/>
        </w:rPr>
        <w:t>SiEMC</w:t>
      </w:r>
      <w:r w:rsidRPr="00EC0229">
        <w:rPr>
          <w:rFonts w:eastAsia="Times New Roman" w:cs="Times New Roman"/>
          <w:color w:val="000000"/>
          <w:szCs w:val="24"/>
          <w:lang w:eastAsia="en-GB"/>
        </w:rPr>
        <w:t>, 1, pp. 17–22</w:t>
      </w:r>
    </w:p>
    <w:p w14:paraId="1074248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North, J. J., 1994, </w:t>
      </w:r>
      <w:r w:rsidRPr="00EC0229">
        <w:rPr>
          <w:rFonts w:eastAsia="Times New Roman" w:cs="Times New Roman"/>
          <w:i/>
          <w:iCs/>
          <w:color w:val="000000"/>
          <w:szCs w:val="24"/>
          <w:lang w:eastAsia="en-GB"/>
        </w:rPr>
        <w:t>English Hammered Coinage</w:t>
      </w:r>
      <w:r w:rsidRPr="00EC0229">
        <w:rPr>
          <w:rFonts w:eastAsia="Times New Roman" w:cs="Times New Roman"/>
          <w:iCs/>
          <w:color w:val="000000"/>
          <w:szCs w:val="24"/>
          <w:lang w:eastAsia="en-GB"/>
        </w:rPr>
        <w:t>, 3</w:t>
      </w:r>
      <w:r w:rsidRPr="00EC0229">
        <w:rPr>
          <w:rFonts w:eastAsia="Times New Roman" w:cs="Times New Roman"/>
          <w:iCs/>
          <w:color w:val="000000"/>
          <w:szCs w:val="24"/>
          <w:vertAlign w:val="superscript"/>
          <w:lang w:eastAsia="en-GB"/>
        </w:rPr>
        <w:t>rd</w:t>
      </w:r>
      <w:r w:rsidRPr="00EC0229">
        <w:rPr>
          <w:rFonts w:eastAsia="Times New Roman" w:cs="Times New Roman"/>
          <w:iCs/>
          <w:color w:val="000000"/>
          <w:szCs w:val="24"/>
          <w:lang w:eastAsia="en-GB"/>
        </w:rPr>
        <w:t xml:space="preserve"> edn</w:t>
      </w:r>
      <w:r w:rsidRPr="00EC0229">
        <w:rPr>
          <w:rFonts w:eastAsia="Times New Roman" w:cs="Times New Roman"/>
          <w:color w:val="000000"/>
          <w:szCs w:val="24"/>
          <w:lang w:eastAsia="en-GB"/>
        </w:rPr>
        <w:t xml:space="preserve"> (London: Spink).</w:t>
      </w:r>
    </w:p>
    <w:p w14:paraId="52A98E2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Nuttgens, P., 1976, </w:t>
      </w:r>
      <w:r w:rsidRPr="00EC0229">
        <w:rPr>
          <w:rFonts w:eastAsia="Times New Roman" w:cs="Times New Roman"/>
          <w:i/>
          <w:iCs/>
          <w:color w:val="000000"/>
          <w:szCs w:val="24"/>
          <w:lang w:eastAsia="en-GB"/>
        </w:rPr>
        <w:t>York: The Continuing City</w:t>
      </w:r>
      <w:r w:rsidRPr="00EC0229">
        <w:rPr>
          <w:rFonts w:eastAsia="Times New Roman" w:cs="Times New Roman"/>
          <w:color w:val="000000"/>
          <w:szCs w:val="24"/>
          <w:lang w:eastAsia="en-GB"/>
        </w:rPr>
        <w:t xml:space="preserve"> (London: Faber).</w:t>
      </w:r>
    </w:p>
    <w:p w14:paraId="4DBF62D5" w14:textId="77777777" w:rsidR="005B3AC3" w:rsidRPr="00EC0229" w:rsidRDefault="005B3AC3" w:rsidP="005B3AC3">
      <w:pPr>
        <w:spacing w:after="0"/>
        <w:rPr>
          <w:rFonts w:eastAsia="Times New Roman" w:cs="Times New Roman"/>
          <w:color w:val="000000"/>
          <w:szCs w:val="24"/>
          <w:lang w:eastAsia="en-GB"/>
        </w:rPr>
      </w:pPr>
    </w:p>
    <w:p w14:paraId="423F581A"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07"/>
          <w:szCs w:val="24"/>
          <w:lang w:eastAsia="en-GB"/>
        </w:rPr>
      </w:pPr>
      <w:bookmarkStart w:id="1005" w:name="O"/>
      <w:bookmarkEnd w:id="1005"/>
      <w:r w:rsidRPr="00EC0229">
        <w:rPr>
          <w:rFonts w:eastAsia="Times New Roman" w:cs="Times New Roman"/>
          <w:color w:val="000000"/>
          <w:position w:val="-10"/>
          <w:sz w:val="107"/>
          <w:szCs w:val="24"/>
          <w:lang w:eastAsia="en-GB"/>
        </w:rPr>
        <w:t>O</w:t>
      </w:r>
    </w:p>
    <w:p w14:paraId="1323A54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’Connor, T. P., 1994, ‘8</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–11</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-Century Economy and Environment in York’, in Rackham (ed.), 1994, pp. 136–47.</w:t>
      </w:r>
    </w:p>
    <w:p w14:paraId="59895C3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O’Connor, T. P., 2001, ‘On the Interpretation of Animal Bone Assemblages from </w:t>
      </w:r>
      <w:r w:rsidRPr="00EC0229">
        <w:rPr>
          <w:rFonts w:eastAsia="Times New Roman" w:cs="Times New Roman"/>
          <w:i/>
          <w:iCs/>
          <w:color w:val="000000"/>
          <w:szCs w:val="24"/>
          <w:lang w:eastAsia="en-GB"/>
        </w:rPr>
        <w:t>Wics</w:t>
      </w:r>
      <w:r w:rsidRPr="00EC0229">
        <w:rPr>
          <w:rFonts w:eastAsia="Times New Roman" w:cs="Times New Roman"/>
          <w:color w:val="000000"/>
          <w:szCs w:val="24"/>
          <w:lang w:eastAsia="en-GB"/>
        </w:rPr>
        <w:t>’, in Hill and Cowie (eds), 2001, 54–60.</w:t>
      </w:r>
    </w:p>
    <w:p w14:paraId="05A4146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O’Brien, C., 2011, ‘Yeavering and Bernician Kingship: A Review of Debate on the Hybrid Culture Thesis’, in </w:t>
      </w:r>
      <w:r w:rsidRPr="00EC0229">
        <w:rPr>
          <w:rFonts w:eastAsia="Times New Roman" w:cs="Times New Roman"/>
          <w:i/>
          <w:iCs/>
          <w:color w:val="000000"/>
          <w:szCs w:val="24"/>
          <w:lang w:eastAsia="en-GB"/>
        </w:rPr>
        <w:t>EMN</w:t>
      </w:r>
      <w:r w:rsidRPr="00EC0229">
        <w:rPr>
          <w:rFonts w:eastAsia="Times New Roman" w:cs="Times New Roman"/>
          <w:color w:val="000000"/>
          <w:szCs w:val="24"/>
          <w:lang w:eastAsia="en-GB"/>
        </w:rPr>
        <w:t>, pp. 207–20.</w:t>
      </w:r>
    </w:p>
    <w:p w14:paraId="02B0A75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Oliver, L., 2002, </w:t>
      </w:r>
      <w:r w:rsidRPr="00EC0229">
        <w:rPr>
          <w:rFonts w:eastAsia="Times New Roman" w:cs="Times New Roman"/>
          <w:i/>
          <w:iCs/>
          <w:color w:val="000000"/>
          <w:szCs w:val="24"/>
          <w:lang w:eastAsia="en-GB"/>
        </w:rPr>
        <w:t xml:space="preserve">The Beginnings of English Law </w:t>
      </w:r>
      <w:r w:rsidRPr="00EC0229">
        <w:rPr>
          <w:rFonts w:eastAsia="Times New Roman" w:cs="Times New Roman"/>
          <w:color w:val="000000"/>
          <w:szCs w:val="24"/>
          <w:lang w:eastAsia="en-GB"/>
        </w:rPr>
        <w:t>(Toronto: University of Toronto Press).</w:t>
      </w:r>
    </w:p>
    <w:p w14:paraId="4E1167BC" w14:textId="2A0F7959"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Op den Velde, W., and D. M. Metcalf, 2003, ‘The Monetary Economy of the Netherlands, </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690–</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 xml:space="preserve">715 and the Trade with England: A Study of the Sceattas of Series D’, </w:t>
      </w:r>
      <w:r w:rsidRPr="00EC0229">
        <w:rPr>
          <w:rFonts w:eastAsia="Times New Roman" w:cs="Times New Roman"/>
          <w:i/>
          <w:iCs/>
          <w:color w:val="000000"/>
          <w:szCs w:val="24"/>
          <w:lang w:eastAsia="en-GB"/>
        </w:rPr>
        <w:t>JMP</w:t>
      </w:r>
      <w:r w:rsidRPr="00EC0229">
        <w:rPr>
          <w:rFonts w:eastAsia="Times New Roman" w:cs="Times New Roman"/>
          <w:iCs/>
          <w:color w:val="000000"/>
          <w:szCs w:val="24"/>
          <w:lang w:eastAsia="en-GB"/>
        </w:rPr>
        <w:t>,</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90, 1–211.</w:t>
      </w:r>
    </w:p>
    <w:p w14:paraId="0CC5860C" w14:textId="200E02C0"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Op den Velde, W., and D. M. Metcalf, 2009–10, ‘The Monetary Economy of the Netherlands, </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690–</w:t>
      </w:r>
      <w:r w:rsidR="002132F1">
        <w:rPr>
          <w:rFonts w:eastAsia="Times New Roman" w:cs="Times New Roman"/>
          <w:i/>
          <w:color w:val="000000"/>
          <w:szCs w:val="24"/>
          <w:lang w:eastAsia="en-GB"/>
        </w:rPr>
        <w:t>c.</w:t>
      </w:r>
      <w:r w:rsidRPr="00EC0229">
        <w:rPr>
          <w:rFonts w:eastAsia="Times New Roman" w:cs="Times New Roman"/>
          <w:color w:val="000000"/>
          <w:szCs w:val="24"/>
          <w:lang w:eastAsia="en-GB"/>
        </w:rPr>
        <w:t xml:space="preserve">760 and the Trade with England: A Study of the “Porcupine” Sceattas of Series E’, </w:t>
      </w:r>
      <w:r w:rsidRPr="00EC0229">
        <w:rPr>
          <w:rFonts w:eastAsia="Times New Roman" w:cs="Times New Roman"/>
          <w:i/>
          <w:iCs/>
          <w:color w:val="000000"/>
          <w:szCs w:val="24"/>
          <w:lang w:eastAsia="en-GB"/>
        </w:rPr>
        <w:t>JMP</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96–97, 1–506.</w:t>
      </w:r>
    </w:p>
    <w:p w14:paraId="10B4305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Op den Velde, W., and D. M. Metcalf, 2014, ‘The Hexagram (“Herstal”) Type Sceattas’,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3, pp. 122–40.</w:t>
      </w:r>
    </w:p>
    <w:p w14:paraId="6BAE182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Orton, F., I. Wood, and C. A. Lees, 2007, </w:t>
      </w:r>
      <w:r w:rsidRPr="00EC0229">
        <w:rPr>
          <w:rFonts w:eastAsia="Times New Roman" w:cs="Times New Roman"/>
          <w:i/>
          <w:iCs/>
          <w:color w:val="000000"/>
          <w:szCs w:val="24"/>
          <w:lang w:eastAsia="en-GB"/>
        </w:rPr>
        <w:t>Fragments of History: Rethinking the Ruthwell and Bewcastle Monuments</w:t>
      </w:r>
      <w:r w:rsidRPr="00EC0229">
        <w:rPr>
          <w:rFonts w:eastAsia="Times New Roman" w:cs="Times New Roman"/>
          <w:color w:val="000000"/>
          <w:szCs w:val="24"/>
          <w:lang w:eastAsia="en-GB"/>
        </w:rPr>
        <w:t xml:space="preserve"> (Manchester: Manchester University Press).</w:t>
      </w:r>
    </w:p>
    <w:p w14:paraId="10E12E4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Ottaway, P., 1992, </w:t>
      </w:r>
      <w:r w:rsidRPr="00EC0229">
        <w:rPr>
          <w:rFonts w:eastAsia="Times New Roman" w:cs="Times New Roman"/>
          <w:i/>
          <w:color w:val="000000"/>
          <w:szCs w:val="24"/>
          <w:lang w:eastAsia="en-GB"/>
        </w:rPr>
        <w:t>Anglo-Scandinavian Ironwork from 16–22 Coppergate</w:t>
      </w:r>
      <w:r w:rsidRPr="00EC0229">
        <w:rPr>
          <w:rFonts w:eastAsia="Times New Roman" w:cs="Times New Roman"/>
          <w:color w:val="000000"/>
          <w:szCs w:val="24"/>
          <w:lang w:eastAsia="en-GB"/>
        </w:rPr>
        <w:t>, AY</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18.1 (London: CBA).</w:t>
      </w:r>
    </w:p>
    <w:p w14:paraId="29B9A79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Ottaway, P., 2004, </w:t>
      </w:r>
      <w:r w:rsidRPr="00EC0229">
        <w:rPr>
          <w:rFonts w:eastAsia="Times New Roman" w:cs="Times New Roman"/>
          <w:i/>
          <w:iCs/>
          <w:color w:val="000000"/>
          <w:szCs w:val="24"/>
          <w:lang w:eastAsia="en-GB"/>
        </w:rPr>
        <w:t>Roman York</w:t>
      </w:r>
      <w:r w:rsidRPr="00EC0229">
        <w:rPr>
          <w:rFonts w:eastAsia="Times New Roman" w:cs="Times New Roman"/>
          <w:color w:val="000000"/>
          <w:szCs w:val="24"/>
          <w:lang w:eastAsia="en-GB"/>
        </w:rPr>
        <w:t xml:space="preserve"> (Stroud: Tempus).</w:t>
      </w:r>
    </w:p>
    <w:p w14:paraId="5260575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Oxford Archaeology, 2009, </w:t>
      </w:r>
      <w:r w:rsidRPr="00EC0229">
        <w:rPr>
          <w:rFonts w:eastAsia="Times New Roman" w:cs="Times New Roman"/>
          <w:i/>
          <w:iCs/>
          <w:color w:val="000000"/>
          <w:szCs w:val="24"/>
          <w:lang w:eastAsia="en-GB"/>
        </w:rPr>
        <w:t>Nighthawks &amp; Nighthawking: Damage to Archaeological Sites in the UK &amp; Crown Dependencies Caused by Illegal Searching &amp; Removal of Antiquities. Strategic Study and Final Report</w:t>
      </w:r>
      <w:r w:rsidRPr="00EC0229">
        <w:rPr>
          <w:rFonts w:eastAsia="Times New Roman" w:cs="Times New Roman"/>
          <w:color w:val="000000"/>
          <w:szCs w:val="24"/>
          <w:lang w:eastAsia="en-GB"/>
        </w:rPr>
        <w:t xml:space="preserve"> (Oxford: English Heritage).</w:t>
      </w:r>
    </w:p>
    <w:p w14:paraId="5502FFD1" w14:textId="77777777" w:rsidR="005B3AC3" w:rsidRPr="00EC0229" w:rsidRDefault="005B3AC3" w:rsidP="005B3AC3">
      <w:pPr>
        <w:spacing w:after="0"/>
        <w:rPr>
          <w:rFonts w:eastAsia="Times New Roman" w:cs="Times New Roman"/>
          <w:color w:val="000000"/>
          <w:szCs w:val="24"/>
          <w:lang w:eastAsia="en-GB"/>
        </w:rPr>
      </w:pPr>
    </w:p>
    <w:p w14:paraId="6F1CC7A5"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bookmarkStart w:id="1006" w:name="P"/>
      <w:bookmarkEnd w:id="1006"/>
      <w:r w:rsidRPr="00EC0229">
        <w:rPr>
          <w:rFonts w:eastAsia="Times New Roman" w:cs="Times New Roman"/>
          <w:color w:val="000000"/>
          <w:position w:val="-11"/>
          <w:sz w:val="112"/>
          <w:szCs w:val="24"/>
          <w:lang w:eastAsia="en-GB"/>
        </w:rPr>
        <w:t>P</w:t>
      </w:r>
    </w:p>
    <w:p w14:paraId="3E23F32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agan, H. E., 1969, ‘Northumbrian Numismatic Chronology in the Ninth Century’</w:t>
      </w:r>
      <w:r w:rsidRPr="00EC0229">
        <w:rPr>
          <w:rFonts w:eastAsia="Times New Roman" w:cs="Times New Roman"/>
          <w:i/>
          <w:iCs/>
          <w:color w:val="000000"/>
          <w:szCs w:val="24"/>
          <w:lang w:eastAsia="en-GB"/>
        </w:rPr>
        <w:t>, 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38, 1–15.</w:t>
      </w:r>
    </w:p>
    <w:p w14:paraId="04344D3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Pagan, H. E., 1993, ‘Andreas Fountaine eques auratus A.A.A.F III Vir’,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63, 114–22.</w:t>
      </w:r>
    </w:p>
    <w:p w14:paraId="6583820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Page, R. I., 1972, </w:t>
      </w:r>
      <w:r w:rsidRPr="00EC0229">
        <w:rPr>
          <w:rFonts w:eastAsia="Times New Roman" w:cs="Times New Roman"/>
          <w:i/>
          <w:iCs/>
          <w:color w:val="000000"/>
          <w:szCs w:val="24"/>
          <w:lang w:eastAsia="en-GB"/>
        </w:rPr>
        <w:t>Life in Anglo-Saxon England</w:t>
      </w:r>
      <w:r w:rsidRPr="00EC0229">
        <w:rPr>
          <w:rFonts w:eastAsia="Times New Roman" w:cs="Times New Roman"/>
          <w:color w:val="000000"/>
          <w:szCs w:val="24"/>
          <w:lang w:eastAsia="en-GB"/>
        </w:rPr>
        <w:t xml:space="preserve"> (London: Batsford).</w:t>
      </w:r>
    </w:p>
    <w:p w14:paraId="0120768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Pestell, T., and K. Ulmschneider, (eds), 2003, </w:t>
      </w:r>
      <w:r w:rsidRPr="00EC0229">
        <w:rPr>
          <w:rFonts w:eastAsia="Times New Roman" w:cs="Times New Roman"/>
          <w:i/>
          <w:iCs/>
          <w:color w:val="000000"/>
          <w:szCs w:val="24"/>
          <w:lang w:eastAsia="en-GB"/>
        </w:rPr>
        <w:t xml:space="preserve">Markets in Early Medieval Europe: Trading and ‘Productive’ Sites, 650–850 </w:t>
      </w:r>
      <w:r w:rsidRPr="00EC0229">
        <w:rPr>
          <w:rFonts w:eastAsia="Times New Roman" w:cs="Times New Roman"/>
          <w:color w:val="000000"/>
          <w:szCs w:val="24"/>
          <w:lang w:eastAsia="en-GB"/>
        </w:rPr>
        <w:t>(Macclesfield: Windgather).</w:t>
      </w:r>
    </w:p>
    <w:p w14:paraId="5570CC8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Petts, D., and S. Turner (eds), 2011, </w:t>
      </w:r>
      <w:r w:rsidRPr="00EC0229">
        <w:rPr>
          <w:rFonts w:eastAsia="Times New Roman" w:cs="Times New Roman"/>
          <w:i/>
          <w:color w:val="000000"/>
          <w:szCs w:val="24"/>
          <w:lang w:eastAsia="en-GB"/>
        </w:rPr>
        <w:t xml:space="preserve">Early Medieval Northumbria: Kingdoms and Communities, </w:t>
      </w:r>
      <w:r w:rsidRPr="00EC0229">
        <w:rPr>
          <w:rFonts w:eastAsia="Times New Roman" w:cs="Times New Roman"/>
          <w:i/>
          <w:iCs/>
          <w:smallCaps/>
          <w:color w:val="000000"/>
          <w:szCs w:val="24"/>
          <w:lang w:eastAsia="en-GB"/>
        </w:rPr>
        <w:t>ad</w:t>
      </w:r>
      <w:r w:rsidRPr="00EC0229">
        <w:rPr>
          <w:rFonts w:eastAsia="Times New Roman" w:cs="Times New Roman"/>
          <w:i/>
          <w:color w:val="000000"/>
          <w:szCs w:val="24"/>
          <w:lang w:eastAsia="en-GB"/>
        </w:rPr>
        <w:t xml:space="preserve"> 450–1100</w:t>
      </w:r>
      <w:r w:rsidRPr="00EC0229">
        <w:rPr>
          <w:rFonts w:eastAsia="Times New Roman" w:cs="Times New Roman"/>
          <w:color w:val="000000"/>
          <w:szCs w:val="24"/>
          <w:lang w:eastAsia="en-GB"/>
        </w:rPr>
        <w:t xml:space="preserve"> (Turnhout: Brepols).</w:t>
      </w:r>
    </w:p>
    <w:p w14:paraId="6364021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Pickup, D., 2012, ‘Remember Scarborough’,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4, 311–44.</w:t>
      </w:r>
    </w:p>
    <w:p w14:paraId="0EB0C22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Pirenne, H., 1939 CHANGED YEAR, </w:t>
      </w:r>
      <w:r w:rsidRPr="00EC0229">
        <w:rPr>
          <w:rFonts w:eastAsia="Times New Roman" w:cs="Times New Roman"/>
          <w:i/>
          <w:iCs/>
          <w:color w:val="000000"/>
          <w:szCs w:val="24"/>
          <w:lang w:eastAsia="en-GB"/>
        </w:rPr>
        <w:t>Mohammed and Charlemagne</w:t>
      </w:r>
      <w:r w:rsidRPr="00EC0229">
        <w:rPr>
          <w:rFonts w:eastAsia="Times New Roman" w:cs="Times New Roman"/>
          <w:iCs/>
          <w:color w:val="000000"/>
          <w:szCs w:val="24"/>
          <w:lang w:eastAsia="en-GB"/>
        </w:rPr>
        <w:t>, tr. by B Miall</w:t>
      </w:r>
      <w:r w:rsidRPr="00EC0229">
        <w:rPr>
          <w:rFonts w:eastAsia="Times New Roman" w:cs="Times New Roman"/>
          <w:color w:val="000000"/>
          <w:szCs w:val="24"/>
          <w:lang w:eastAsia="en-GB"/>
        </w:rPr>
        <w:t xml:space="preserve"> (New York: W. W. Norton).</w:t>
      </w:r>
    </w:p>
    <w:p w14:paraId="2E15734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1975, </w:t>
      </w:r>
      <w:r w:rsidRPr="00EC0229">
        <w:rPr>
          <w:rFonts w:eastAsia="Times New Roman" w:cs="Times New Roman"/>
          <w:i/>
          <w:color w:val="000000"/>
          <w:szCs w:val="24"/>
          <w:lang w:eastAsia="en-GB"/>
        </w:rPr>
        <w:t>Coins in Yorkshire Collections: The Yorkshire Museum, York, the City Museum, Leeds, the University of Leeds</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 xml:space="preserve">SCBI, </w:t>
      </w:r>
      <w:r w:rsidRPr="00EC0229">
        <w:rPr>
          <w:rFonts w:eastAsia="Times New Roman" w:cs="Times New Roman"/>
          <w:color w:val="000000"/>
          <w:szCs w:val="24"/>
          <w:lang w:eastAsia="en-GB"/>
        </w:rPr>
        <w:t>21 (London: OUP).</w:t>
      </w:r>
    </w:p>
    <w:p w14:paraId="07F3BF6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1982, ‘The Ripon Hoard, 1695: Contemporary and Current Interest’,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52, 84–103.</w:t>
      </w:r>
    </w:p>
    <w:p w14:paraId="2D02F27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1986a, ‘Finds of Sceattas and Stycas in Northumbria’, in M. A. S. Blackburn (ed.), </w:t>
      </w:r>
      <w:r w:rsidRPr="00EC0229">
        <w:rPr>
          <w:rFonts w:eastAsia="Times New Roman" w:cs="Times New Roman"/>
          <w:i/>
          <w:color w:val="000000"/>
          <w:szCs w:val="24"/>
          <w:lang w:eastAsia="en-GB"/>
        </w:rPr>
        <w:t>Anglo-Saxon Monetary History: Essays in Memory of Michael Dolley</w:t>
      </w:r>
      <w:r w:rsidRPr="00EC0229">
        <w:rPr>
          <w:rFonts w:eastAsia="Times New Roman" w:cs="Times New Roman"/>
          <w:color w:val="000000"/>
          <w:szCs w:val="24"/>
          <w:lang w:eastAsia="en-GB"/>
        </w:rPr>
        <w:t xml:space="preserve"> (Leicester: Leicester University Press), pp. 67–90. [Pirie archive].</w:t>
      </w:r>
    </w:p>
    <w:p w14:paraId="651C987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1986b, </w:t>
      </w:r>
      <w:r w:rsidRPr="00EC0229">
        <w:rPr>
          <w:rFonts w:eastAsia="Times New Roman" w:cs="Times New Roman"/>
          <w:i/>
          <w:iCs/>
          <w:color w:val="000000"/>
          <w:szCs w:val="24"/>
          <w:lang w:eastAsia="en-GB"/>
        </w:rPr>
        <w:t>Post-Roman Coins from York Excavations, 1971–81</w:t>
      </w:r>
      <w:r w:rsidRPr="00EC0229">
        <w:rPr>
          <w:rFonts w:eastAsia="Times New Roman" w:cs="Times New Roman"/>
          <w:iCs/>
          <w:color w:val="000000"/>
          <w:szCs w:val="24"/>
          <w:lang w:eastAsia="en-GB"/>
        </w:rPr>
        <w:t>, AY, 18.1</w:t>
      </w:r>
      <w:r w:rsidRPr="00EC0229">
        <w:rPr>
          <w:rFonts w:eastAsia="Times New Roman" w:cs="Times New Roman"/>
          <w:color w:val="000000"/>
          <w:szCs w:val="24"/>
          <w:lang w:eastAsia="en-GB"/>
        </w:rPr>
        <w:t xml:space="preserve"> (London: CBA).</w:t>
      </w:r>
    </w:p>
    <w:p w14:paraId="15121A4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1987, ‘Adamson’s Hexham Plates’, in </w:t>
      </w:r>
      <w:r w:rsidRPr="00EC0229">
        <w:rPr>
          <w:rFonts w:eastAsia="Times New Roman" w:cs="Times New Roman"/>
          <w:iCs/>
          <w:color w:val="000000"/>
          <w:szCs w:val="24"/>
          <w:lang w:eastAsia="en-GB"/>
        </w:rPr>
        <w:t>BAR</w:t>
      </w:r>
      <w:r w:rsidRPr="00EC0229">
        <w:rPr>
          <w:rFonts w:eastAsia="Times New Roman" w:cs="Times New Roman"/>
          <w:color w:val="000000"/>
          <w:szCs w:val="24"/>
          <w:lang w:eastAsia="en-GB"/>
        </w:rPr>
        <w:t>180, pp. 257–327.</w:t>
      </w:r>
    </w:p>
    <w:p w14:paraId="7285B6E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1988, ‘Early Northumbrian Orthography and the Problem of Convention’, </w:t>
      </w:r>
      <w:r w:rsidRPr="00EC0229">
        <w:rPr>
          <w:rFonts w:eastAsia="Times New Roman" w:cs="Times New Roman"/>
          <w:i/>
          <w:color w:val="000000"/>
          <w:szCs w:val="24"/>
          <w:lang w:eastAsia="en-GB"/>
        </w:rPr>
        <w:t>YN</w:t>
      </w:r>
      <w:r w:rsidRPr="00EC0229">
        <w:rPr>
          <w:rFonts w:eastAsia="Times New Roman" w:cs="Times New Roman"/>
          <w:color w:val="000000"/>
          <w:szCs w:val="24"/>
          <w:lang w:eastAsia="en-GB"/>
        </w:rPr>
        <w:t>, 1, 1–8.</w:t>
      </w:r>
    </w:p>
    <w:p w14:paraId="0EC5C75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Pirie, E. J. E., 1991, ‘The Northumbrian Coins: Single Finds and the Purse-Hoard’, in Armstrong, Tomlinson, and Evans, 1991, pp. 164–67. [Pirie archive].</w:t>
      </w:r>
    </w:p>
    <w:p w14:paraId="547CC97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Pirie, E. J. E., 1991–92, ‘Excavations at Whitby Abbey, Yorkshire, 1920–6’, [Pirie archive. Unpublished, prepared for BM.]</w:t>
      </w:r>
    </w:p>
    <w:p w14:paraId="5248CB6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1992a, </w:t>
      </w:r>
      <w:r w:rsidRPr="00EC0229">
        <w:rPr>
          <w:rFonts w:eastAsia="Times New Roman" w:cs="Times New Roman"/>
          <w:i/>
          <w:color w:val="000000"/>
          <w:szCs w:val="24"/>
          <w:lang w:eastAsia="en-GB"/>
        </w:rPr>
        <w:t>Excavations at Whithorn, Wigtownshire, 1984–91</w:t>
      </w:r>
      <w:r w:rsidRPr="00EC0229">
        <w:rPr>
          <w:rFonts w:eastAsia="Times New Roman" w:cs="Times New Roman"/>
          <w:color w:val="000000"/>
          <w:szCs w:val="24"/>
          <w:lang w:eastAsia="en-GB"/>
        </w:rPr>
        <w:t>. [Pirie archive. unpublished]</w:t>
      </w:r>
    </w:p>
    <w:p w14:paraId="4DB099C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1992b, ‘The Seventh-Century Gold Coinage of Northumbria’,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2, 11–15.</w:t>
      </w:r>
    </w:p>
    <w:p w14:paraId="0B07E28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Pirie, E. J. E., 1994, </w:t>
      </w:r>
      <w:r w:rsidRPr="00EC0229">
        <w:rPr>
          <w:rFonts w:eastAsia="Times New Roman" w:cs="Times New Roman"/>
          <w:i/>
          <w:iCs/>
          <w:color w:val="000000"/>
          <w:szCs w:val="24"/>
          <w:lang w:eastAsia="en-GB"/>
        </w:rPr>
        <w:t>The York Hoard</w:t>
      </w:r>
      <w:r w:rsidRPr="00EC0229">
        <w:rPr>
          <w:rFonts w:eastAsia="Times New Roman" w:cs="Times New Roman"/>
          <w:color w:val="000000"/>
          <w:szCs w:val="24"/>
          <w:lang w:eastAsia="en-GB"/>
        </w:rPr>
        <w:t>,</w:t>
      </w:r>
      <w:r w:rsidRPr="00EC0229">
        <w:rPr>
          <w:rFonts w:eastAsia="Times New Roman" w:cs="Times New Roman"/>
          <w:i/>
          <w:iCs/>
          <w:color w:val="000000"/>
          <w:szCs w:val="24"/>
          <w:lang w:eastAsia="en-GB"/>
        </w:rPr>
        <w:t xml:space="preserve"> 1831</w:t>
      </w:r>
      <w:r w:rsidRPr="00EC0229">
        <w:rPr>
          <w:rFonts w:eastAsia="Times New Roman" w:cs="Times New Roman"/>
          <w:color w:val="000000"/>
          <w:szCs w:val="24"/>
          <w:lang w:eastAsia="en-GB"/>
        </w:rPr>
        <w:t xml:space="preserve"> (Llanfyllin: Galata).</w:t>
      </w:r>
    </w:p>
    <w:p w14:paraId="48890A5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1995a, ‘Earduulf: A Significant Addition to the Coinage of Northumbria’, </w:t>
      </w:r>
      <w:r w:rsidRPr="00EC0229">
        <w:rPr>
          <w:rFonts w:eastAsia="Times New Roman" w:cs="Times New Roman"/>
          <w:i/>
          <w:iCs/>
          <w:color w:val="000000"/>
          <w:szCs w:val="24"/>
          <w:lang w:eastAsia="en-GB"/>
        </w:rPr>
        <w:t xml:space="preserve">BNJ </w:t>
      </w:r>
      <w:r w:rsidRPr="00EC0229">
        <w:rPr>
          <w:rFonts w:eastAsia="Times New Roman" w:cs="Times New Roman"/>
          <w:color w:val="000000"/>
          <w:szCs w:val="24"/>
          <w:lang w:eastAsia="en-GB"/>
        </w:rPr>
        <w:t>65, 20–31.</w:t>
      </w:r>
    </w:p>
    <w:p w14:paraId="4C5F5EA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Pirie, E. J. E., 1995b, ‘Post-Roman Coins’, in Carver (ed.), 1995, pp. 527–30.</w:t>
      </w:r>
    </w:p>
    <w:p w14:paraId="01BF612D" w14:textId="34BECA7C"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1996, </w:t>
      </w:r>
      <w:r w:rsidRPr="00EC0229">
        <w:rPr>
          <w:rFonts w:eastAsia="Times New Roman" w:cs="Times New Roman"/>
          <w:i/>
          <w:iCs/>
          <w:color w:val="000000"/>
          <w:szCs w:val="24"/>
          <w:lang w:eastAsia="en-GB"/>
        </w:rPr>
        <w:t xml:space="preserve">Coins of the Kingdom of Northumbria, </w:t>
      </w:r>
      <w:r w:rsidR="002132F1">
        <w:rPr>
          <w:rFonts w:eastAsia="Times New Roman" w:cs="Times New Roman"/>
          <w:i/>
          <w:iCs/>
          <w:color w:val="000000"/>
          <w:szCs w:val="24"/>
          <w:lang w:eastAsia="en-GB"/>
        </w:rPr>
        <w:t>c.</w:t>
      </w:r>
      <w:r w:rsidRPr="00EC0229">
        <w:rPr>
          <w:rFonts w:eastAsia="Times New Roman" w:cs="Times New Roman"/>
          <w:i/>
          <w:iCs/>
          <w:color w:val="000000"/>
          <w:szCs w:val="24"/>
          <w:lang w:eastAsia="en-GB"/>
        </w:rPr>
        <w:t xml:space="preserve">700–867 in the Yorkshire Collections: The Yorkshire Museum, York, the University of Leeds, the City Museum, Leeds </w:t>
      </w:r>
      <w:r w:rsidRPr="00EC0229">
        <w:rPr>
          <w:rFonts w:eastAsia="Times New Roman" w:cs="Times New Roman"/>
          <w:color w:val="000000"/>
          <w:szCs w:val="24"/>
          <w:lang w:eastAsia="en-GB"/>
        </w:rPr>
        <w:t>(Llanfyllin: Galata).</w:t>
      </w:r>
    </w:p>
    <w:p w14:paraId="25FF9E6B" w14:textId="7B9CBCA6"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1997, ‘London MoLAS Excavations, 1989–96: Royal Opera House, 1996, together with Leicester Square, 1989 and Bull Wharf, 1990’, in G. Malcolm, D. Bowsher, and R. Cowie (eds), </w:t>
      </w:r>
      <w:r w:rsidRPr="00EC0229">
        <w:rPr>
          <w:rFonts w:eastAsia="Times New Roman" w:cs="Times New Roman"/>
          <w:i/>
          <w:iCs/>
          <w:color w:val="000000"/>
          <w:szCs w:val="24"/>
          <w:lang w:eastAsia="en-GB"/>
        </w:rPr>
        <w:t>Middle Saxon London: Excavations at the Royal Opera House, 1989–99</w:t>
      </w:r>
      <w:r w:rsidRPr="00EC0229">
        <w:rPr>
          <w:rFonts w:eastAsia="Times New Roman" w:cs="Times New Roman"/>
          <w:color w:val="000000"/>
          <w:szCs w:val="24"/>
          <w:lang w:eastAsia="en-GB"/>
        </w:rPr>
        <w:t xml:space="preserve"> (</w:t>
      </w:r>
      <w:r w:rsidR="00774624" w:rsidRPr="00EC0229">
        <w:rPr>
          <w:rFonts w:eastAsia="Times New Roman" w:cs="Times New Roman"/>
          <w:color w:val="000000"/>
          <w:szCs w:val="24"/>
          <w:lang w:eastAsia="en-GB"/>
        </w:rPr>
        <w:t>London: Museum of London Arc</w:t>
      </w:r>
      <w:r w:rsidRPr="00EC0229">
        <w:rPr>
          <w:rFonts w:eastAsia="Times New Roman" w:cs="Times New Roman"/>
          <w:color w:val="000000"/>
          <w:szCs w:val="24"/>
          <w:lang w:eastAsia="en-GB"/>
        </w:rPr>
        <w:t>h</w:t>
      </w:r>
      <w:r w:rsidR="00774624" w:rsidRPr="00EC0229">
        <w:rPr>
          <w:rFonts w:eastAsia="Times New Roman" w:cs="Times New Roman"/>
          <w:color w:val="000000"/>
          <w:szCs w:val="24"/>
          <w:lang w:eastAsia="en-GB"/>
        </w:rPr>
        <w:t>a</w:t>
      </w:r>
      <w:r w:rsidRPr="00EC0229">
        <w:rPr>
          <w:rFonts w:eastAsia="Times New Roman" w:cs="Times New Roman"/>
          <w:color w:val="000000"/>
          <w:szCs w:val="24"/>
          <w:lang w:eastAsia="en-GB"/>
        </w:rPr>
        <w:t>eology Service). [Pirie archive].</w:t>
      </w:r>
    </w:p>
    <w:p w14:paraId="5A6D22A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2000, </w:t>
      </w:r>
      <w:r w:rsidRPr="00EC0229">
        <w:rPr>
          <w:rFonts w:eastAsia="Times New Roman" w:cs="Times New Roman"/>
          <w:i/>
          <w:color w:val="000000"/>
          <w:szCs w:val="24"/>
          <w:lang w:eastAsia="en-GB"/>
        </w:rPr>
        <w:t>Thrymsas, Sceattas and Stycas of Northumbria: An Inventory of Finds Recorded, to 1997</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Northumbrian Numismatic Studies</w:t>
      </w:r>
      <w:r w:rsidRPr="00EC0229">
        <w:rPr>
          <w:rFonts w:eastAsia="Times New Roman" w:cs="Times New Roman"/>
          <w:color w:val="000000"/>
          <w:szCs w:val="24"/>
          <w:lang w:eastAsia="en-GB"/>
        </w:rPr>
        <w:t>, 2, (Llanfyllin: Galata).</w:t>
      </w:r>
    </w:p>
    <w:p w14:paraId="27D7187E" w14:textId="77777777" w:rsidR="005B3AC3" w:rsidRPr="00EC0229" w:rsidRDefault="005B3AC3" w:rsidP="005B3AC3">
      <w:pPr>
        <w:spacing w:after="0"/>
        <w:rPr>
          <w:rFonts w:eastAsia="Times New Roman" w:cs="Times New Roman"/>
          <w:color w:val="000000"/>
          <w:szCs w:val="24"/>
          <w:lang w:eastAsia="en-GB"/>
        </w:rPr>
      </w:pPr>
      <w:bookmarkStart w:id="1007" w:name="RANGE!A293"/>
      <w:r w:rsidRPr="00EC0229">
        <w:rPr>
          <w:rFonts w:eastAsia="Times New Roman" w:cs="Times New Roman"/>
          <w:color w:val="000000"/>
          <w:szCs w:val="24"/>
          <w:lang w:eastAsia="en-GB"/>
        </w:rPr>
        <w:t xml:space="preserve">Pirie, E. J. E., 2003, </w:t>
      </w:r>
      <w:r w:rsidRPr="00EC0229">
        <w:rPr>
          <w:rFonts w:eastAsia="Times New Roman" w:cs="Times New Roman"/>
          <w:i/>
          <w:iCs/>
          <w:color w:val="000000"/>
          <w:szCs w:val="24"/>
          <w:lang w:eastAsia="en-GB"/>
        </w:rPr>
        <w:t>The Bamburgh Hoard in the Museum of Antiquities, Newcastle-upon-Tyne, Parcel A – 1999, Parcel B – 2002: A Check-List</w:t>
      </w:r>
      <w:r w:rsidRPr="00EC0229">
        <w:rPr>
          <w:rFonts w:eastAsia="Times New Roman" w:cs="Times New Roman"/>
          <w:color w:val="000000"/>
          <w:szCs w:val="24"/>
          <w:lang w:eastAsia="en-GB"/>
        </w:rPr>
        <w:t xml:space="preserve"> (Newcastle: Museum of Antiquities, Department of Archaeology, University of Newcastle upon Tyne).</w:t>
      </w:r>
      <w:bookmarkEnd w:id="1007"/>
    </w:p>
    <w:p w14:paraId="01D3599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Pirie, E. J. E., 2004, ‘The Bamburgh Hoard of Ninth-Century Northumbrian Coins’, </w:t>
      </w:r>
      <w:r w:rsidRPr="00EC0229">
        <w:rPr>
          <w:rFonts w:eastAsia="Times New Roman" w:cs="Times New Roman"/>
          <w:i/>
          <w:iCs/>
          <w:color w:val="000000"/>
          <w:szCs w:val="24"/>
          <w:lang w:eastAsia="en-GB"/>
        </w:rPr>
        <w:t>AA</w:t>
      </w:r>
      <w:r w:rsidRPr="00EC0229">
        <w:rPr>
          <w:rFonts w:eastAsia="Times New Roman" w:cs="Times New Roman"/>
          <w:color w:val="000000"/>
          <w:szCs w:val="24"/>
          <w:lang w:eastAsia="en-GB"/>
        </w:rPr>
        <w:t xml:space="preserve"> 5</w:t>
      </w:r>
      <w:r w:rsidRPr="00EC0229">
        <w:rPr>
          <w:rFonts w:eastAsia="Times New Roman" w:cs="Times New Roman"/>
          <w:color w:val="000000"/>
          <w:szCs w:val="24"/>
          <w:vertAlign w:val="superscript"/>
          <w:lang w:eastAsia="en-GB"/>
        </w:rPr>
        <w:t>th</w:t>
      </w:r>
      <w:r w:rsidRPr="00EC0229">
        <w:rPr>
          <w:rFonts w:eastAsia="Times New Roman" w:cs="Times New Roman"/>
          <w:color w:val="000000"/>
          <w:szCs w:val="24"/>
          <w:lang w:eastAsia="en-GB"/>
        </w:rPr>
        <w:t xml:space="preserve"> ser., 33, 65–75.Polanyi, K., 2001, </w:t>
      </w:r>
      <w:r w:rsidRPr="00EC0229">
        <w:rPr>
          <w:rFonts w:eastAsia="Times New Roman" w:cs="Times New Roman"/>
          <w:i/>
          <w:iCs/>
          <w:color w:val="000000"/>
          <w:szCs w:val="24"/>
          <w:lang w:eastAsia="en-GB"/>
        </w:rPr>
        <w:t>The Great Transformation: The Political and Economic Origins of our Time</w:t>
      </w:r>
      <w:r w:rsidRPr="00EC0229">
        <w:rPr>
          <w:rFonts w:eastAsia="Times New Roman" w:cs="Times New Roman"/>
          <w:color w:val="000000"/>
          <w:szCs w:val="24"/>
          <w:lang w:eastAsia="en-GB"/>
        </w:rPr>
        <w:t xml:space="preserve"> (Boston: Beacon Press).</w:t>
      </w:r>
    </w:p>
    <w:p w14:paraId="2421AC9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Powlesland, D., 1997, ‘Early Anglo-Saxon Settlements, Structures, Form and Layout’, in Hines (ed.), 1997a, pp. 101–24.</w:t>
      </w:r>
    </w:p>
    <w:p w14:paraId="3AE6B41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Powlesland, D., 2003,</w:t>
      </w:r>
      <w:r w:rsidRPr="00EC0229">
        <w:rPr>
          <w:rFonts w:eastAsia="Times New Roman" w:cs="Times New Roman"/>
          <w:i/>
          <w:iCs/>
          <w:color w:val="000000"/>
          <w:szCs w:val="24"/>
          <w:lang w:eastAsia="en-GB"/>
        </w:rPr>
        <w:t xml:space="preserve"> Twenty-Five Years of Archaeological Research on the Sands and Gravels of Heslerton</w:t>
      </w:r>
      <w:r w:rsidRPr="00EC0229">
        <w:rPr>
          <w:rFonts w:eastAsia="Times New Roman" w:cs="Times New Roman"/>
          <w:color w:val="000000"/>
          <w:szCs w:val="24"/>
          <w:lang w:eastAsia="en-GB"/>
        </w:rPr>
        <w:t xml:space="preserve"> (Yedingham: Landscape Research Centre).</w:t>
      </w:r>
    </w:p>
    <w:p w14:paraId="3F97864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Prou, M., 1892, </w:t>
      </w:r>
      <w:r w:rsidRPr="00EC0229">
        <w:rPr>
          <w:rFonts w:eastAsia="Times New Roman" w:cs="Times New Roman"/>
          <w:i/>
          <w:iCs/>
          <w:color w:val="000000"/>
          <w:szCs w:val="24"/>
          <w:lang w:eastAsia="en-GB"/>
        </w:rPr>
        <w:t>Catalogue des monnaies françaises de la Bibliothèque nationale:</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Les monnaies mérovingiennes</w:t>
      </w:r>
      <w:r w:rsidRPr="00EC0229">
        <w:rPr>
          <w:rFonts w:eastAsia="Times New Roman" w:cs="Times New Roman"/>
          <w:color w:val="000000"/>
          <w:szCs w:val="24"/>
          <w:lang w:eastAsia="en-GB"/>
        </w:rPr>
        <w:t xml:space="preserve"> (Paris: C. Rollin &amp; Feuardent).</w:t>
      </w:r>
    </w:p>
    <w:p w14:paraId="33086821" w14:textId="77777777" w:rsidR="005B3AC3" w:rsidRPr="00EC0229" w:rsidRDefault="005B3AC3" w:rsidP="005B3AC3">
      <w:pPr>
        <w:spacing w:after="0"/>
        <w:rPr>
          <w:rFonts w:eastAsia="Times New Roman" w:cs="Times New Roman"/>
          <w:color w:val="000000"/>
          <w:szCs w:val="24"/>
          <w:lang w:eastAsia="en-GB"/>
        </w:rPr>
      </w:pPr>
    </w:p>
    <w:p w14:paraId="648F9540"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bookmarkStart w:id="1008" w:name="R"/>
      <w:bookmarkEnd w:id="1008"/>
      <w:r w:rsidRPr="00EC0229">
        <w:rPr>
          <w:rFonts w:eastAsia="Times New Roman" w:cs="Times New Roman"/>
          <w:color w:val="000000"/>
          <w:position w:val="-11"/>
          <w:sz w:val="112"/>
          <w:szCs w:val="24"/>
          <w:lang w:eastAsia="en-GB"/>
        </w:rPr>
        <w:t>R</w:t>
      </w:r>
    </w:p>
    <w:p w14:paraId="735D9B3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ackham, J. (ed.), 1994, </w:t>
      </w:r>
      <w:r w:rsidRPr="00EC0229">
        <w:rPr>
          <w:rFonts w:eastAsia="Times New Roman" w:cs="Times New Roman"/>
          <w:i/>
          <w:color w:val="000000"/>
          <w:szCs w:val="24"/>
          <w:lang w:eastAsia="en-GB"/>
        </w:rPr>
        <w:t>Environment and Economy in Anglo-Saxon England: A Review of Recent Work on the Environmental Archaeology of Rural and Urban Anglo-Saxon Settlements in England</w:t>
      </w:r>
      <w:r w:rsidRPr="00EC0229">
        <w:rPr>
          <w:rFonts w:eastAsia="Times New Roman" w:cs="Times New Roman"/>
          <w:color w:val="000000"/>
          <w:szCs w:val="24"/>
          <w:lang w:eastAsia="en-GB"/>
        </w:rPr>
        <w:t xml:space="preserve"> (York: CBA).</w:t>
      </w:r>
    </w:p>
    <w:p w14:paraId="6918FE3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Rackham, J., 1995, ‘Animal Bone from Post-Roman Contexts’, in Carver (ed.), 1995, pp. 533–58.</w:t>
      </w:r>
    </w:p>
    <w:p w14:paraId="7EDEB29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Rahtz, P. A., 1976, ‘Whitby, 1958, Site Two’, in </w:t>
      </w:r>
      <w:r w:rsidRPr="00EC0229">
        <w:rPr>
          <w:rFonts w:eastAsia="Times New Roman" w:cs="Times New Roman"/>
          <w:i/>
          <w:iCs/>
          <w:color w:val="000000"/>
          <w:szCs w:val="24"/>
          <w:lang w:eastAsia="en-GB"/>
        </w:rPr>
        <w:t>AASE</w:t>
      </w:r>
      <w:r w:rsidRPr="00EC0229">
        <w:rPr>
          <w:rFonts w:eastAsia="Times New Roman" w:cs="Times New Roman"/>
          <w:iCs/>
          <w:color w:val="000000"/>
          <w:szCs w:val="24"/>
          <w:lang w:eastAsia="en-GB"/>
        </w:rPr>
        <w:t>, pp.</w:t>
      </w:r>
      <w:r w:rsidRPr="00EC0229">
        <w:rPr>
          <w:rFonts w:eastAsia="Times New Roman" w:cs="Times New Roman"/>
          <w:color w:val="000000"/>
          <w:szCs w:val="24"/>
          <w:lang w:eastAsia="en-GB"/>
        </w:rPr>
        <w:t xml:space="preserve"> 459–62. [Pirie archive]. </w:t>
      </w:r>
    </w:p>
    <w:p w14:paraId="407646C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Ramm, H., 1978, </w:t>
      </w:r>
      <w:r w:rsidRPr="00EC0229">
        <w:rPr>
          <w:rFonts w:eastAsia="Times New Roman" w:cs="Times New Roman"/>
          <w:i/>
          <w:iCs/>
          <w:color w:val="000000"/>
          <w:szCs w:val="24"/>
          <w:lang w:eastAsia="en-GB"/>
        </w:rPr>
        <w:t>The Parisi</w:t>
      </w:r>
      <w:r w:rsidRPr="00EC0229">
        <w:rPr>
          <w:rFonts w:eastAsia="Times New Roman" w:cs="Times New Roman"/>
          <w:color w:val="000000"/>
          <w:szCs w:val="24"/>
          <w:lang w:eastAsia="en-GB"/>
        </w:rPr>
        <w:t xml:space="preserve"> (London: Duckworth).</w:t>
      </w:r>
    </w:p>
    <w:p w14:paraId="148677A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Reece, R., 1987, </w:t>
      </w:r>
      <w:r w:rsidRPr="00EC0229">
        <w:rPr>
          <w:rFonts w:eastAsia="Times New Roman" w:cs="Times New Roman"/>
          <w:i/>
          <w:color w:val="000000"/>
          <w:szCs w:val="24"/>
          <w:lang w:eastAsia="en-GB"/>
        </w:rPr>
        <w:t>Coinage in Roman Britain</w:t>
      </w:r>
      <w:r w:rsidRPr="00EC0229">
        <w:rPr>
          <w:rFonts w:eastAsia="Times New Roman" w:cs="Times New Roman"/>
          <w:color w:val="000000"/>
          <w:szCs w:val="24"/>
          <w:lang w:eastAsia="en-GB"/>
        </w:rPr>
        <w:t xml:space="preserve"> (London: Seaby).</w:t>
      </w:r>
    </w:p>
    <w:p w14:paraId="05A8BAA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Reece, R., 1991, </w:t>
      </w:r>
      <w:r w:rsidRPr="00EC0229">
        <w:rPr>
          <w:rFonts w:eastAsia="Times New Roman" w:cs="Times New Roman"/>
          <w:i/>
          <w:iCs/>
          <w:color w:val="000000"/>
          <w:szCs w:val="24"/>
          <w:lang w:eastAsia="en-GB"/>
        </w:rPr>
        <w:t>Roman Coins from 140 Sites in Britain</w:t>
      </w:r>
      <w:r w:rsidRPr="00EC0229">
        <w:rPr>
          <w:rFonts w:eastAsia="Times New Roman" w:cs="Times New Roman"/>
          <w:color w:val="000000"/>
          <w:szCs w:val="24"/>
          <w:lang w:eastAsia="en-GB"/>
        </w:rPr>
        <w:t xml:space="preserve"> (Cirencester: Cotswold Studies).</w:t>
      </w:r>
    </w:p>
    <w:p w14:paraId="350C631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Reece, R., 2002, </w:t>
      </w:r>
      <w:r w:rsidRPr="00EC0229">
        <w:rPr>
          <w:rFonts w:eastAsia="Times New Roman" w:cs="Times New Roman"/>
          <w:i/>
          <w:iCs/>
          <w:color w:val="000000"/>
          <w:szCs w:val="24"/>
          <w:lang w:eastAsia="en-GB"/>
        </w:rPr>
        <w:t>The Coinage of Roman Britain</w:t>
      </w:r>
      <w:r w:rsidRPr="00EC0229">
        <w:rPr>
          <w:rFonts w:eastAsia="Times New Roman" w:cs="Times New Roman"/>
          <w:color w:val="000000"/>
          <w:szCs w:val="24"/>
          <w:lang w:eastAsia="en-GB"/>
        </w:rPr>
        <w:t xml:space="preserve"> (Stroud: Tempus).</w:t>
      </w:r>
    </w:p>
    <w:p w14:paraId="37434B5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Reynolds, S., 1974, </w:t>
      </w:r>
      <w:r w:rsidRPr="00EC0229">
        <w:rPr>
          <w:rFonts w:eastAsia="Times New Roman" w:cs="Times New Roman"/>
          <w:i/>
          <w:iCs/>
          <w:color w:val="000000"/>
          <w:szCs w:val="24"/>
          <w:lang w:eastAsia="en-GB"/>
        </w:rPr>
        <w:t xml:space="preserve">Fiefs and Vassals: The Medieval Evidence Reinterpreted </w:t>
      </w:r>
      <w:r w:rsidRPr="00EC0229">
        <w:rPr>
          <w:rFonts w:eastAsia="Times New Roman" w:cs="Times New Roman"/>
          <w:color w:val="000000"/>
          <w:szCs w:val="24"/>
          <w:lang w:eastAsia="en-GB"/>
        </w:rPr>
        <w:t>(Oxford: OUP).</w:t>
      </w:r>
    </w:p>
    <w:p w14:paraId="2BAD3EF7" w14:textId="0E858CA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Richards, J. D., 1992, ‘Anglo-Saxon Settlement at Wharram Percy: A General Introduction’, in G. Milne and J. D. Richards (eds), </w:t>
      </w:r>
      <w:r w:rsidRPr="00EC0229">
        <w:rPr>
          <w:rFonts w:eastAsia="Times New Roman" w:cs="Times New Roman"/>
          <w:i/>
          <w:iCs/>
          <w:color w:val="000000"/>
          <w:szCs w:val="24"/>
          <w:lang w:eastAsia="en-GB"/>
        </w:rPr>
        <w:t>Wharram: A Study of Settlement on the Yorkshire Wolds. 7: Two Anglo-Saxon Buildings and Associated Finds</w:t>
      </w:r>
      <w:r w:rsidRPr="00EC0229">
        <w:rPr>
          <w:rFonts w:eastAsia="Times New Roman" w:cs="Times New Roman"/>
          <w:iCs/>
          <w:color w:val="000000"/>
          <w:szCs w:val="24"/>
          <w:lang w:eastAsia="en-GB"/>
        </w:rPr>
        <w:t xml:space="preserve"> (York: Department of Archaeology, University of York)</w:t>
      </w:r>
      <w:r w:rsidRPr="00EC0229">
        <w:rPr>
          <w:rFonts w:eastAsia="Times New Roman" w:cs="Times New Roman"/>
          <w:color w:val="000000"/>
          <w:szCs w:val="24"/>
          <w:lang w:eastAsia="en-GB"/>
        </w:rPr>
        <w:t>, pp. 89–94.</w:t>
      </w:r>
    </w:p>
    <w:p w14:paraId="305549B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Richards, J. D., 1999a, ‘Cottam: An Anglian and Anglo-Scandinavian Settlement on the Yorkshire Wolds’, </w:t>
      </w:r>
      <w:r w:rsidRPr="00EC0229">
        <w:rPr>
          <w:rFonts w:eastAsia="Times New Roman" w:cs="Times New Roman"/>
          <w:i/>
          <w:iCs/>
          <w:color w:val="000000"/>
          <w:szCs w:val="24"/>
          <w:lang w:eastAsia="en-GB"/>
        </w:rPr>
        <w:t>AJ</w:t>
      </w:r>
      <w:r w:rsidRPr="00EC0229">
        <w:rPr>
          <w:rFonts w:eastAsia="Times New Roman" w:cs="Times New Roman"/>
          <w:color w:val="000000"/>
          <w:szCs w:val="24"/>
          <w:lang w:eastAsia="en-GB"/>
        </w:rPr>
        <w:t>, 156, 1–110.</w:t>
      </w:r>
    </w:p>
    <w:p w14:paraId="52F9F654" w14:textId="1574A75F"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Richards, J. D., 1999b, ‘What’s So Special about “Productive Sites”? Middle Saxon Settlements in Northumbria’, </w:t>
      </w:r>
      <w:r w:rsidRPr="00EC0229">
        <w:rPr>
          <w:rFonts w:eastAsia="Times New Roman" w:cs="Times New Roman"/>
          <w:i/>
          <w:iCs/>
          <w:color w:val="000000"/>
          <w:szCs w:val="24"/>
          <w:lang w:eastAsia="en-GB"/>
        </w:rPr>
        <w:t>ASSAH</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10, 71–80.</w:t>
      </w:r>
    </w:p>
    <w:p w14:paraId="7BE3681D" w14:textId="05F5A2D8" w:rsidR="00CA0022" w:rsidRPr="00EC0229" w:rsidRDefault="00CA0022" w:rsidP="00CA0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szCs w:val="24"/>
          <w:lang w:eastAsia="en-GB"/>
        </w:rPr>
      </w:pPr>
      <w:r w:rsidRPr="00EC0229">
        <w:rPr>
          <w:rFonts w:asciiTheme="minorHAnsi" w:eastAsia="Times New Roman" w:hAnsiTheme="minorHAnsi" w:cstheme="minorHAnsi"/>
          <w:szCs w:val="24"/>
          <w:lang w:eastAsia="en-GB"/>
        </w:rPr>
        <w:t xml:space="preserve">Richards, J.D., 2000, ‘Anglo-Saxon Settlements and Archaeological Visibility in the Yorkshire Wolds’ in H. Geake and J. Kenny (eds.) </w:t>
      </w:r>
      <w:r w:rsidRPr="00EC0229">
        <w:rPr>
          <w:rFonts w:eastAsia="Times New Roman" w:cs="Times New Roman"/>
          <w:i/>
          <w:iCs/>
          <w:szCs w:val="24"/>
          <w:lang w:eastAsia="en-GB"/>
        </w:rPr>
        <w:t xml:space="preserve">Early Deira: Archaeological Studies of the East Riding in the Fourth to Ninth Centuries </w:t>
      </w:r>
      <w:r w:rsidRPr="00EC0229">
        <w:rPr>
          <w:rFonts w:eastAsia="Times New Roman" w:cs="Times New Roman"/>
          <w:i/>
          <w:iCs/>
          <w:smallCaps/>
          <w:szCs w:val="24"/>
          <w:lang w:eastAsia="en-GB"/>
        </w:rPr>
        <w:t>ad</w:t>
      </w:r>
      <w:r w:rsidRPr="00EC0229">
        <w:rPr>
          <w:rFonts w:eastAsia="Times New Roman" w:cs="Times New Roman"/>
          <w:iCs/>
          <w:szCs w:val="24"/>
          <w:lang w:eastAsia="en-GB"/>
        </w:rPr>
        <w:t xml:space="preserve"> (Oxford: Oxbow Books), </w:t>
      </w:r>
      <w:r w:rsidRPr="00EC0229">
        <w:rPr>
          <w:rFonts w:asciiTheme="minorHAnsi" w:eastAsia="Times New Roman" w:hAnsiTheme="minorHAnsi" w:cstheme="minorHAnsi"/>
          <w:szCs w:val="24"/>
          <w:lang w:eastAsia="en-GB"/>
        </w:rPr>
        <w:t>pp. 27-39.</w:t>
      </w:r>
    </w:p>
    <w:p w14:paraId="6DDC487A" w14:textId="10EA0EFA" w:rsidR="00CA0022" w:rsidRPr="00EC0229" w:rsidRDefault="00CA0022" w:rsidP="00CA0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szCs w:val="24"/>
          <w:lang w:eastAsia="en-GB"/>
        </w:rPr>
      </w:pPr>
      <w:r w:rsidRPr="00EC0229">
        <w:rPr>
          <w:rFonts w:asciiTheme="minorHAnsi" w:eastAsia="Times New Roman" w:hAnsiTheme="minorHAnsi" w:cstheme="minorHAnsi"/>
          <w:szCs w:val="24"/>
          <w:lang w:eastAsia="en-GB"/>
        </w:rPr>
        <w:t xml:space="preserve">Richards, J.D., 2013 'Cottam, Cowlam and environs: an Anglo-Saxon estate on the Yorkshire Wolds', in </w:t>
      </w:r>
      <w:r w:rsidRPr="00EC0229">
        <w:rPr>
          <w:rFonts w:asciiTheme="minorHAnsi" w:eastAsia="Times New Roman" w:hAnsiTheme="minorHAnsi" w:cstheme="minorHAnsi"/>
          <w:i/>
          <w:szCs w:val="24"/>
          <w:lang w:eastAsia="en-GB"/>
        </w:rPr>
        <w:t>AJ</w:t>
      </w:r>
      <w:r w:rsidRPr="00EC0229">
        <w:rPr>
          <w:rFonts w:asciiTheme="minorHAnsi" w:eastAsia="Times New Roman" w:hAnsiTheme="minorHAnsi" w:cstheme="minorHAnsi"/>
          <w:szCs w:val="24"/>
          <w:lang w:eastAsia="en-GB"/>
        </w:rPr>
        <w:t xml:space="preserve"> 170, pp. 201-271.</w:t>
      </w:r>
    </w:p>
    <w:p w14:paraId="5A6BD03A" w14:textId="5892B18D"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Richards, J. D., and J. D. Naylor, 2009, ‘The Real Value of Buried Treasure: VASLE’, in Thomas and Stone (eds), 2009, pp. 167–80.</w:t>
      </w:r>
    </w:p>
    <w:p w14:paraId="7520277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Richards, J. D., and J. D. Naylor, 2011, ‘Settlement, Landscape, and Economy in Early Medieval Northumbria: The Contribution of Portable Antiquities’, in </w:t>
      </w:r>
      <w:r w:rsidRPr="00EC0229">
        <w:rPr>
          <w:rFonts w:eastAsia="Times New Roman" w:cs="Times New Roman"/>
          <w:i/>
          <w:color w:val="000000"/>
          <w:szCs w:val="24"/>
          <w:lang w:eastAsia="en-GB"/>
        </w:rPr>
        <w:t>EMN</w:t>
      </w:r>
      <w:r w:rsidRPr="00EC0229">
        <w:rPr>
          <w:rFonts w:eastAsia="Times New Roman" w:cs="Times New Roman"/>
          <w:color w:val="000000"/>
          <w:szCs w:val="24"/>
          <w:lang w:eastAsia="en-GB"/>
        </w:rPr>
        <w:t>, pp. 129–50.</w:t>
      </w:r>
    </w:p>
    <w:p w14:paraId="6D98189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Rigold, S. E., 1960, ‘The Two Primary Series of Sceattas’, </w:t>
      </w:r>
      <w:r w:rsidRPr="00EC0229">
        <w:rPr>
          <w:rFonts w:eastAsia="Times New Roman" w:cs="Times New Roman"/>
          <w:i/>
          <w:iCs/>
          <w:color w:val="000000"/>
          <w:szCs w:val="24"/>
          <w:lang w:eastAsia="en-GB"/>
        </w:rPr>
        <w:t>BNJ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30, 6–53.</w:t>
      </w:r>
    </w:p>
    <w:p w14:paraId="7EF4309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Rigold, S. E., 1988, ‘Coins Found in Anglo-Saxon Burials’, in R. Reece and J. Casey (eds), </w:t>
      </w:r>
      <w:r w:rsidRPr="00EC0229">
        <w:rPr>
          <w:rFonts w:eastAsia="Times New Roman" w:cs="Times New Roman"/>
          <w:i/>
          <w:color w:val="000000"/>
          <w:szCs w:val="24"/>
          <w:lang w:eastAsia="en-GB"/>
        </w:rPr>
        <w:t>Coins and the Archaeologist</w:t>
      </w:r>
      <w:r w:rsidRPr="00EC0229">
        <w:rPr>
          <w:rFonts w:eastAsia="Times New Roman" w:cs="Times New Roman"/>
          <w:color w:val="000000"/>
          <w:szCs w:val="24"/>
          <w:lang w:eastAsia="en-GB"/>
        </w:rPr>
        <w:t>, 2</w:t>
      </w:r>
      <w:r w:rsidRPr="00EC0229">
        <w:rPr>
          <w:rFonts w:eastAsia="Times New Roman" w:cs="Times New Roman"/>
          <w:color w:val="000000"/>
          <w:szCs w:val="24"/>
          <w:vertAlign w:val="superscript"/>
          <w:lang w:eastAsia="en-GB"/>
        </w:rPr>
        <w:t>nd</w:t>
      </w:r>
      <w:r w:rsidRPr="00EC0229">
        <w:rPr>
          <w:rFonts w:eastAsia="Times New Roman" w:cs="Times New Roman"/>
          <w:color w:val="000000"/>
          <w:szCs w:val="24"/>
          <w:lang w:eastAsia="en-GB"/>
        </w:rPr>
        <w:t xml:space="preserve"> edn (London: Seaby), pp. 201–05.</w:t>
      </w:r>
    </w:p>
    <w:p w14:paraId="78F92C0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Rigold, S. E., and D. M. Metcalf, 1984, ‘A Revised Check-List of English Finds of Sceattas’, in BAR128, pp. 245–68.</w:t>
      </w:r>
    </w:p>
    <w:p w14:paraId="0A1B0FA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Roach Smith, C., 1845a, ‘Merovingian Coins, etc., Discovered at St Martin’s, near Canterbury’, </w:t>
      </w:r>
      <w:r w:rsidRPr="00EC0229">
        <w:rPr>
          <w:rFonts w:eastAsia="Times New Roman" w:cs="Times New Roman"/>
          <w:i/>
          <w:iCs/>
          <w:color w:val="000000"/>
          <w:szCs w:val="24"/>
          <w:lang w:eastAsia="en-GB"/>
        </w:rPr>
        <w:t>NC</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7, 187–91.</w:t>
      </w:r>
    </w:p>
    <w:p w14:paraId="4B33CD3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Roach Smith, C., 1845b, ‘On Some Anglo-Saxon Stycas found at York’, </w:t>
      </w:r>
      <w:r w:rsidRPr="00EC0229">
        <w:rPr>
          <w:rFonts w:eastAsia="Times New Roman" w:cs="Times New Roman"/>
          <w:i/>
          <w:iCs/>
          <w:color w:val="000000"/>
          <w:szCs w:val="24"/>
          <w:lang w:eastAsia="en-GB"/>
        </w:rPr>
        <w:t>NC</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7, 99–105. </w:t>
      </w:r>
    </w:p>
    <w:p w14:paraId="1D555BA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Robbins, K. J., 2012, ‘From Past to Present: Understanding the Impact of Sampling Bias on Data Recorded by the Portable Antiquities Scheme’ (unpublished PhD thesis, University of Southampton).</w:t>
      </w:r>
    </w:p>
    <w:p w14:paraId="6EA9DBE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Roebuck, D., 2008</w:t>
      </w:r>
      <w:r w:rsidRPr="00EC0229">
        <w:rPr>
          <w:rFonts w:eastAsia="Times New Roman" w:cs="Times New Roman"/>
          <w:i/>
          <w:iCs/>
          <w:color w:val="000000"/>
          <w:szCs w:val="24"/>
          <w:lang w:eastAsia="en-GB"/>
        </w:rPr>
        <w:t>, Early English Arbitration</w:t>
      </w:r>
      <w:r w:rsidRPr="00EC0229">
        <w:rPr>
          <w:rFonts w:eastAsia="Times New Roman" w:cs="Times New Roman"/>
          <w:color w:val="000000"/>
          <w:szCs w:val="24"/>
          <w:lang w:eastAsia="en-GB"/>
        </w:rPr>
        <w:t xml:space="preserve"> (Oxford: Holo Books).</w:t>
      </w:r>
    </w:p>
    <w:p w14:paraId="056501C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Rogers, N. S. H., 1993, </w:t>
      </w:r>
      <w:r w:rsidRPr="00EC0229">
        <w:rPr>
          <w:rFonts w:eastAsia="Times New Roman" w:cs="Times New Roman"/>
          <w:i/>
          <w:color w:val="000000"/>
          <w:szCs w:val="24"/>
          <w:lang w:eastAsia="en-GB"/>
        </w:rPr>
        <w:t>Anglian and Other Finds from 46–54 Fishergate</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AY,</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17</w:t>
      </w:r>
      <w:r w:rsidRPr="00EC0229">
        <w:rPr>
          <w:rFonts w:eastAsia="Times New Roman" w:cs="Times New Roman"/>
          <w:color w:val="000000"/>
          <w:szCs w:val="24"/>
          <w:lang w:eastAsia="en-GB"/>
        </w:rPr>
        <w:t xml:space="preserve"> (London: CBA).</w:t>
      </w:r>
    </w:p>
    <w:p w14:paraId="0F02349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Rollason, D., 2003, </w:t>
      </w:r>
      <w:r w:rsidRPr="00EC0229">
        <w:rPr>
          <w:rFonts w:eastAsia="Times New Roman" w:cs="Times New Roman"/>
          <w:i/>
          <w:iCs/>
          <w:color w:val="000000"/>
          <w:szCs w:val="24"/>
          <w:lang w:eastAsia="en-GB"/>
        </w:rPr>
        <w:t>Northumbria, 500–1100: Creation and Destruction of a Kingdom</w:t>
      </w:r>
      <w:r w:rsidRPr="00EC0229">
        <w:rPr>
          <w:rFonts w:eastAsia="Times New Roman" w:cs="Times New Roman"/>
          <w:color w:val="000000"/>
          <w:szCs w:val="24"/>
          <w:lang w:eastAsia="en-GB"/>
        </w:rPr>
        <w:t xml:space="preserve"> (Cambridge: CUP).</w:t>
      </w:r>
    </w:p>
    <w:p w14:paraId="62A8640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Rollason, D., D. Gore, and G. Fellows-Jensen, 1998, </w:t>
      </w:r>
      <w:r w:rsidRPr="00EC0229">
        <w:rPr>
          <w:rFonts w:eastAsia="Times New Roman" w:cs="Times New Roman"/>
          <w:i/>
          <w:iCs/>
          <w:color w:val="000000"/>
          <w:szCs w:val="24"/>
          <w:lang w:eastAsia="en-GB"/>
        </w:rPr>
        <w:t xml:space="preserve">Sources for York History to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1100</w:t>
      </w:r>
      <w:r w:rsidRPr="00EC0229">
        <w:rPr>
          <w:rFonts w:eastAsia="Times New Roman" w:cs="Times New Roman"/>
          <w:color w:val="000000"/>
          <w:szCs w:val="24"/>
          <w:lang w:eastAsia="en-GB"/>
        </w:rPr>
        <w:t xml:space="preserve"> (York: YAT).</w:t>
      </w:r>
    </w:p>
    <w:p w14:paraId="65EC71B6" w14:textId="42B66BF9" w:rsidR="002E74FA" w:rsidRPr="002E74FA" w:rsidRDefault="002E74FA" w:rsidP="002E74FA">
      <w:pPr>
        <w:pStyle w:val="NoSpacing"/>
      </w:pPr>
      <w:r w:rsidRPr="004962AE">
        <w:t xml:space="preserve">Roosevelt, </w:t>
      </w:r>
      <w:r>
        <w:t>T., 1910, the "Man in the Arena" s</w:t>
      </w:r>
      <w:r w:rsidRPr="004962AE">
        <w:t xml:space="preserve">peech </w:t>
      </w:r>
      <w:r>
        <w:t>(Citizenship in a Republic</w:t>
      </w:r>
      <w:r w:rsidRPr="004962AE">
        <w:t>):</w:t>
      </w:r>
      <w:r>
        <w:t xml:space="preserve">  the Sorbonne, Paris, France, April 23, 1910.</w:t>
      </w:r>
    </w:p>
    <w:p w14:paraId="7111BB27" w14:textId="431A6048"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Roskams, S., 2001, </w:t>
      </w:r>
      <w:r w:rsidRPr="00EC0229">
        <w:rPr>
          <w:rFonts w:eastAsia="Times New Roman" w:cs="Times New Roman"/>
          <w:i/>
          <w:iCs/>
          <w:color w:val="000000"/>
          <w:szCs w:val="24"/>
          <w:lang w:eastAsia="en-GB"/>
        </w:rPr>
        <w:t>Excavation</w:t>
      </w:r>
      <w:r w:rsidRPr="00EC0229">
        <w:rPr>
          <w:rFonts w:eastAsia="Times New Roman" w:cs="Times New Roman"/>
          <w:color w:val="000000"/>
          <w:szCs w:val="24"/>
          <w:lang w:eastAsia="en-GB"/>
        </w:rPr>
        <w:t xml:space="preserve"> (Cambridge: CUP).</w:t>
      </w:r>
    </w:p>
    <w:p w14:paraId="5045AED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Ross, A., 1967, </w:t>
      </w:r>
      <w:r w:rsidRPr="00EC0229">
        <w:rPr>
          <w:rFonts w:eastAsia="Times New Roman" w:cs="Times New Roman"/>
          <w:i/>
          <w:iCs/>
          <w:color w:val="000000"/>
          <w:szCs w:val="24"/>
          <w:lang w:eastAsia="en-GB"/>
        </w:rPr>
        <w:t>Pagan Celtic Britain: Studies in Iconography and Tradition</w:t>
      </w:r>
      <w:r w:rsidRPr="00EC0229">
        <w:rPr>
          <w:rFonts w:eastAsia="Times New Roman" w:cs="Times New Roman"/>
          <w:color w:val="000000"/>
          <w:szCs w:val="24"/>
          <w:lang w:eastAsia="en-GB"/>
        </w:rPr>
        <w:t xml:space="preserve"> (London: Routledge &amp; Paul).</w:t>
      </w:r>
    </w:p>
    <w:p w14:paraId="1C52637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Rostow, W. W., 1963, </w:t>
      </w:r>
      <w:r w:rsidRPr="00EC0229">
        <w:rPr>
          <w:rFonts w:eastAsia="Times New Roman" w:cs="Times New Roman"/>
          <w:i/>
          <w:iCs/>
          <w:color w:val="000000"/>
          <w:szCs w:val="24"/>
          <w:lang w:eastAsia="en-GB"/>
        </w:rPr>
        <w:t>The Economics of Take-off into Sustained Growth</w:t>
      </w:r>
      <w:r w:rsidRPr="00EC0229">
        <w:rPr>
          <w:rFonts w:eastAsia="Times New Roman" w:cs="Times New Roman"/>
          <w:color w:val="000000"/>
          <w:szCs w:val="24"/>
          <w:lang w:eastAsia="en-GB"/>
        </w:rPr>
        <w:t xml:space="preserve"> (London: Macmillan).</w:t>
      </w:r>
    </w:p>
    <w:p w14:paraId="1FBEF73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Rumble, A. R., 2001, ‘Notes on the Linguistic and Onomastic Characteristics of Old English wic’, in Hill and Cowie (eds), 2001, pp. 1–2.</w:t>
      </w:r>
    </w:p>
    <w:p w14:paraId="7C1EE626" w14:textId="77777777" w:rsidR="005B3AC3" w:rsidRPr="00EC0229" w:rsidRDefault="005B3AC3" w:rsidP="005B3AC3">
      <w:pPr>
        <w:spacing w:after="0"/>
        <w:rPr>
          <w:rFonts w:eastAsia="Times New Roman" w:cs="Times New Roman"/>
          <w:color w:val="000000"/>
          <w:szCs w:val="24"/>
          <w:lang w:eastAsia="en-GB"/>
        </w:rPr>
      </w:pPr>
    </w:p>
    <w:p w14:paraId="48703298"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07"/>
          <w:szCs w:val="24"/>
          <w:lang w:eastAsia="en-GB"/>
        </w:rPr>
      </w:pPr>
      <w:r w:rsidRPr="00EC0229">
        <w:rPr>
          <w:rFonts w:eastAsia="Times New Roman" w:cs="Times New Roman"/>
          <w:color w:val="000000"/>
          <w:position w:val="-10"/>
          <w:sz w:val="107"/>
          <w:szCs w:val="24"/>
          <w:lang w:eastAsia="en-GB"/>
        </w:rPr>
        <w:t>S</w:t>
      </w:r>
      <w:bookmarkStart w:id="1009" w:name="S"/>
      <w:bookmarkEnd w:id="1009"/>
    </w:p>
    <w:p w14:paraId="1351D58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ahlins, M., 2003, </w:t>
      </w:r>
      <w:r w:rsidRPr="00EC0229">
        <w:rPr>
          <w:rFonts w:eastAsia="Times New Roman" w:cs="Times New Roman"/>
          <w:i/>
          <w:iCs/>
          <w:color w:val="000000"/>
          <w:szCs w:val="24"/>
          <w:lang w:eastAsia="en-GB"/>
        </w:rPr>
        <w:t>Stone Age Economics</w:t>
      </w:r>
      <w:r w:rsidRPr="00EC0229">
        <w:rPr>
          <w:rFonts w:eastAsia="Times New Roman" w:cs="Times New Roman"/>
          <w:iCs/>
          <w:color w:val="000000"/>
          <w:szCs w:val="24"/>
          <w:lang w:eastAsia="en-GB"/>
        </w:rPr>
        <w:t>, 2</w:t>
      </w:r>
      <w:r w:rsidRPr="00EC0229">
        <w:rPr>
          <w:rFonts w:eastAsia="Times New Roman" w:cs="Times New Roman"/>
          <w:iCs/>
          <w:color w:val="000000"/>
          <w:szCs w:val="24"/>
          <w:vertAlign w:val="superscript"/>
          <w:lang w:eastAsia="en-GB"/>
        </w:rPr>
        <w:t>nd</w:t>
      </w:r>
      <w:r w:rsidRPr="00EC0229">
        <w:rPr>
          <w:rFonts w:eastAsia="Times New Roman" w:cs="Times New Roman"/>
          <w:iCs/>
          <w:color w:val="000000"/>
          <w:szCs w:val="24"/>
          <w:lang w:eastAsia="en-GB"/>
        </w:rPr>
        <w:t xml:space="preserve"> edn</w:t>
      </w:r>
      <w:r w:rsidRPr="00EC0229">
        <w:rPr>
          <w:rFonts w:eastAsia="Times New Roman" w:cs="Times New Roman"/>
          <w:color w:val="000000"/>
          <w:szCs w:val="24"/>
          <w:lang w:eastAsia="en-GB"/>
        </w:rPr>
        <w:t xml:space="preserve"> (London: Routledge).</w:t>
      </w:r>
    </w:p>
    <w:p w14:paraId="457A3E0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Salzman, L. F., 1970, </w:t>
      </w:r>
      <w:r w:rsidRPr="00EC0229">
        <w:rPr>
          <w:rFonts w:eastAsia="Times New Roman" w:cs="Times New Roman"/>
          <w:i/>
          <w:iCs/>
          <w:color w:val="000000"/>
          <w:szCs w:val="24"/>
          <w:lang w:eastAsia="en-GB"/>
        </w:rPr>
        <w:t>English Industries of the Middle Ages</w:t>
      </w:r>
      <w:r w:rsidRPr="00EC0229">
        <w:rPr>
          <w:rFonts w:eastAsia="Times New Roman" w:cs="Times New Roman"/>
          <w:iCs/>
          <w:color w:val="000000"/>
          <w:szCs w:val="24"/>
          <w:lang w:eastAsia="en-GB"/>
        </w:rPr>
        <w:t>, rev. edn</w:t>
      </w:r>
      <w:r w:rsidRPr="00EC0229">
        <w:rPr>
          <w:rFonts w:eastAsia="Times New Roman" w:cs="Times New Roman"/>
          <w:color w:val="000000"/>
          <w:szCs w:val="24"/>
          <w:lang w:eastAsia="en-GB"/>
        </w:rPr>
        <w:t xml:space="preserve"> (London: H. Pordes).</w:t>
      </w:r>
    </w:p>
    <w:p w14:paraId="7DA9F75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Samson, R., 1991, ‘Economic Anthropology and Vikings’, in R. Samson (ed.), </w:t>
      </w:r>
      <w:r w:rsidRPr="00EC0229">
        <w:rPr>
          <w:rFonts w:eastAsia="Times New Roman" w:cs="Times New Roman"/>
          <w:i/>
          <w:iCs/>
          <w:color w:val="000000"/>
          <w:szCs w:val="24"/>
          <w:lang w:eastAsia="en-GB"/>
        </w:rPr>
        <w:t>Social Approaches to Viking Studies</w:t>
      </w:r>
      <w:r w:rsidRPr="00EC0229">
        <w:rPr>
          <w:rFonts w:eastAsia="Times New Roman" w:cs="Times New Roman"/>
          <w:color w:val="000000"/>
          <w:szCs w:val="24"/>
          <w:lang w:eastAsia="en-GB"/>
        </w:rPr>
        <w:t xml:space="preserve"> (Glasgow: Cruithne), pp. 87–96.</w:t>
      </w:r>
    </w:p>
    <w:p w14:paraId="7C82C74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Saunders, T. S. A., 1991, ‘</w:t>
      </w:r>
      <w:r w:rsidRPr="00EC0229">
        <w:rPr>
          <w:rFonts w:eastAsia="Times New Roman" w:cs="Times New Roman"/>
          <w:iCs/>
          <w:color w:val="000000"/>
          <w:szCs w:val="24"/>
          <w:lang w:eastAsia="en-GB"/>
        </w:rPr>
        <w:t>Marxism and Archaeology: The Origins of Feudalism in Early Medieval England’</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(unpublished DPhil thesis, University of York).</w:t>
      </w:r>
    </w:p>
    <w:p w14:paraId="4023E69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Saunders, T. S. A., 2001, ‘Early Mediaeval Emporia and the Tributary Social Function’, in Hill and Cowie (eds), 2001, pp. 7–13.</w:t>
      </w:r>
    </w:p>
    <w:p w14:paraId="3C528CD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Sawyer, P., 1971, </w:t>
      </w:r>
      <w:r w:rsidRPr="00EC0229">
        <w:rPr>
          <w:rFonts w:eastAsia="Times New Roman" w:cs="Times New Roman"/>
          <w:i/>
          <w:iCs/>
          <w:color w:val="000000"/>
          <w:szCs w:val="24"/>
          <w:lang w:eastAsia="en-GB"/>
        </w:rPr>
        <w:t>Age of the Vikings</w:t>
      </w:r>
      <w:r w:rsidRPr="00EC0229">
        <w:rPr>
          <w:rFonts w:eastAsia="Times New Roman" w:cs="Times New Roman"/>
          <w:iCs/>
          <w:color w:val="000000"/>
          <w:szCs w:val="24"/>
          <w:lang w:eastAsia="en-GB"/>
        </w:rPr>
        <w:t>, 2</w:t>
      </w:r>
      <w:r w:rsidRPr="00EC0229">
        <w:rPr>
          <w:rFonts w:eastAsia="Times New Roman" w:cs="Times New Roman"/>
          <w:iCs/>
          <w:color w:val="000000"/>
          <w:szCs w:val="24"/>
          <w:vertAlign w:val="superscript"/>
          <w:lang w:eastAsia="en-GB"/>
        </w:rPr>
        <w:t>nd</w:t>
      </w:r>
      <w:r w:rsidRPr="00EC0229">
        <w:rPr>
          <w:rFonts w:eastAsia="Times New Roman" w:cs="Times New Roman"/>
          <w:iCs/>
          <w:color w:val="000000"/>
          <w:szCs w:val="24"/>
          <w:lang w:eastAsia="en-GB"/>
        </w:rPr>
        <w:t xml:space="preserve"> edn</w:t>
      </w:r>
      <w:r w:rsidRPr="00EC0229">
        <w:rPr>
          <w:rFonts w:eastAsia="Times New Roman" w:cs="Times New Roman"/>
          <w:color w:val="000000"/>
          <w:szCs w:val="24"/>
          <w:lang w:eastAsia="en-GB"/>
        </w:rPr>
        <w:t xml:space="preserve"> (London: Edward Arnold).</w:t>
      </w:r>
    </w:p>
    <w:p w14:paraId="45F3023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Sawyer, P., 1981, ‘Fairs and Markets in Early Medieval England’, in N. Skyum-Nieben and N. Lund (eds), </w:t>
      </w:r>
      <w:r w:rsidRPr="00EC0229">
        <w:rPr>
          <w:rFonts w:eastAsia="Times New Roman" w:cs="Times New Roman"/>
          <w:i/>
          <w:color w:val="000000"/>
          <w:szCs w:val="24"/>
          <w:lang w:eastAsia="en-GB"/>
        </w:rPr>
        <w:t>Danish Medieval History: New Currents</w:t>
      </w:r>
      <w:r w:rsidRPr="00EC0229">
        <w:rPr>
          <w:rFonts w:eastAsia="Times New Roman" w:cs="Times New Roman"/>
          <w:color w:val="000000"/>
          <w:szCs w:val="24"/>
          <w:lang w:eastAsia="en-GB"/>
        </w:rPr>
        <w:t xml:space="preserve"> (Copenhagen: Museum Tusculanum Press), pp. 153–68.</w:t>
      </w:r>
    </w:p>
    <w:p w14:paraId="16A871C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Sawyer, P., 2013, </w:t>
      </w:r>
      <w:r w:rsidRPr="00EC0229">
        <w:rPr>
          <w:rFonts w:eastAsia="Times New Roman" w:cs="Times New Roman"/>
          <w:i/>
          <w:iCs/>
          <w:color w:val="000000"/>
          <w:szCs w:val="24"/>
          <w:lang w:eastAsia="en-GB"/>
        </w:rPr>
        <w:t>The Wealth of Anglo-Saxon England</w:t>
      </w:r>
      <w:r w:rsidRPr="00EC0229">
        <w:rPr>
          <w:rFonts w:eastAsia="Times New Roman" w:cs="Times New Roman"/>
          <w:color w:val="000000"/>
          <w:szCs w:val="24"/>
          <w:lang w:eastAsia="en-GB"/>
        </w:rPr>
        <w:t xml:space="preserve"> (Oxford: OUP).</w:t>
      </w:r>
    </w:p>
    <w:p w14:paraId="57211CC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Schumpeter, J., 1942, </w:t>
      </w:r>
      <w:r w:rsidRPr="00EC0229">
        <w:rPr>
          <w:rFonts w:eastAsia="Times New Roman" w:cs="Times New Roman"/>
          <w:i/>
          <w:iCs/>
          <w:color w:val="000000"/>
          <w:szCs w:val="24"/>
          <w:lang w:eastAsia="en-GB"/>
        </w:rPr>
        <w:t>Capitalism, Socialism and Democracy</w:t>
      </w:r>
      <w:r w:rsidRPr="00EC0229">
        <w:rPr>
          <w:rFonts w:eastAsia="Times New Roman" w:cs="Times New Roman"/>
          <w:color w:val="000000"/>
          <w:szCs w:val="24"/>
          <w:lang w:eastAsia="en-GB"/>
        </w:rPr>
        <w:t xml:space="preserve"> (New York: Harper).</w:t>
      </w:r>
    </w:p>
    <w:p w14:paraId="2C590CE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Scott, E., 2012, </w:t>
      </w:r>
      <w:r w:rsidRPr="00EC0229">
        <w:rPr>
          <w:rFonts w:eastAsia="Times New Roman" w:cs="Times New Roman"/>
          <w:i/>
          <w:iCs/>
          <w:color w:val="000000"/>
          <w:szCs w:val="24"/>
          <w:lang w:eastAsia="en-GB"/>
        </w:rPr>
        <w:t>Mohammed &amp; Charlemagne Revisited: The History of a Controversy</w:t>
      </w:r>
      <w:r w:rsidRPr="00EC0229">
        <w:rPr>
          <w:rFonts w:eastAsia="Times New Roman" w:cs="Times New Roman"/>
          <w:color w:val="000000"/>
          <w:szCs w:val="24"/>
          <w:lang w:eastAsia="en-GB"/>
        </w:rPr>
        <w:t xml:space="preserve"> (Nashville: New English Review Press).</w:t>
      </w:r>
    </w:p>
    <w:p w14:paraId="6F51C0C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Scull, C., 1990, ‘Scales and weights in early Anglo-Saxon England’, </w:t>
      </w:r>
      <w:r w:rsidRPr="00EC0229">
        <w:rPr>
          <w:rFonts w:eastAsia="Times New Roman" w:cs="Times New Roman"/>
          <w:i/>
          <w:iCs/>
          <w:color w:val="000000"/>
          <w:szCs w:val="24"/>
          <w:lang w:eastAsia="en-GB"/>
        </w:rPr>
        <w:t>AJ</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147, 183–215.</w:t>
      </w:r>
    </w:p>
    <w:p w14:paraId="2E5C921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Scull, C., 1997, ‘Urban Centres in Pre-Viking England’, in Hines (ed.), 1997a, pp. 269–97.</w:t>
      </w:r>
    </w:p>
    <w:p w14:paraId="10E8B8B4" w14:textId="05FDDE87" w:rsidR="006104F2" w:rsidRPr="006104F2" w:rsidRDefault="006104F2" w:rsidP="006104F2">
      <w:pPr>
        <w:autoSpaceDE w:val="0"/>
        <w:autoSpaceDN w:val="0"/>
        <w:adjustRightInd w:val="0"/>
        <w:spacing w:after="0"/>
        <w:jc w:val="left"/>
        <w:rPr>
          <w:rFonts w:asciiTheme="minorHAnsi" w:eastAsia="Times New Roman" w:hAnsiTheme="minorHAnsi" w:cstheme="minorHAnsi"/>
          <w:szCs w:val="24"/>
          <w:lang w:eastAsia="en-GB"/>
        </w:rPr>
      </w:pPr>
      <w:r w:rsidRPr="006104F2">
        <w:rPr>
          <w:rFonts w:asciiTheme="minorHAnsi" w:hAnsiTheme="minorHAnsi" w:cstheme="minorHAnsi"/>
          <w:szCs w:val="24"/>
        </w:rPr>
        <w:lastRenderedPageBreak/>
        <w:t>Scull</w:t>
      </w:r>
      <w:r>
        <w:rPr>
          <w:rFonts w:asciiTheme="minorHAnsi" w:hAnsiTheme="minorHAnsi" w:cstheme="minorHAnsi"/>
          <w:szCs w:val="24"/>
        </w:rPr>
        <w:t xml:space="preserve">, C. and </w:t>
      </w:r>
      <w:r w:rsidRPr="006104F2">
        <w:rPr>
          <w:rFonts w:asciiTheme="minorHAnsi" w:hAnsiTheme="minorHAnsi" w:cstheme="minorHAnsi"/>
          <w:szCs w:val="24"/>
        </w:rPr>
        <w:t>Naylor</w:t>
      </w:r>
      <w:r>
        <w:rPr>
          <w:rFonts w:asciiTheme="minorHAnsi" w:hAnsiTheme="minorHAnsi" w:cstheme="minorHAnsi"/>
          <w:szCs w:val="24"/>
        </w:rPr>
        <w:t xml:space="preserve">, J., </w:t>
      </w:r>
      <w:r w:rsidRPr="006104F2">
        <w:rPr>
          <w:rFonts w:asciiTheme="minorHAnsi" w:hAnsiTheme="minorHAnsi" w:cstheme="minorHAnsi"/>
          <w:szCs w:val="24"/>
        </w:rPr>
        <w:t>2016</w:t>
      </w:r>
      <w:r>
        <w:rPr>
          <w:rFonts w:asciiTheme="minorHAnsi" w:hAnsiTheme="minorHAnsi" w:cstheme="minorHAnsi"/>
          <w:szCs w:val="24"/>
        </w:rPr>
        <w:t>,</w:t>
      </w:r>
      <w:r w:rsidRPr="006104F2">
        <w:rPr>
          <w:rFonts w:asciiTheme="minorHAnsi" w:hAnsiTheme="minorHAnsi" w:cstheme="minorHAnsi"/>
          <w:szCs w:val="24"/>
        </w:rPr>
        <w:t xml:space="preserve"> Sceattas in Anglo-Saxon Graves, </w:t>
      </w:r>
      <w:r>
        <w:rPr>
          <w:rFonts w:asciiTheme="minorHAnsi" w:hAnsiTheme="minorHAnsi" w:cstheme="minorHAnsi"/>
          <w:i/>
          <w:szCs w:val="24"/>
        </w:rPr>
        <w:t>Med Arch</w:t>
      </w:r>
      <w:r>
        <w:rPr>
          <w:rFonts w:asciiTheme="minorHAnsi" w:hAnsiTheme="minorHAnsi" w:cstheme="minorHAnsi"/>
          <w:szCs w:val="24"/>
        </w:rPr>
        <w:t>, 60:2, 205-241. (Routledge).</w:t>
      </w:r>
    </w:p>
    <w:p w14:paraId="1FDAFA05" w14:textId="740C24B2" w:rsidR="00F1371B" w:rsidRPr="006104F2" w:rsidRDefault="00F1371B" w:rsidP="005B3AC3">
      <w:pPr>
        <w:spacing w:after="0"/>
        <w:rPr>
          <w:rFonts w:eastAsia="Times New Roman" w:cs="Times New Roman"/>
          <w:szCs w:val="24"/>
          <w:lang w:eastAsia="en-GB"/>
        </w:rPr>
      </w:pPr>
      <w:r w:rsidRPr="006104F2">
        <w:rPr>
          <w:rFonts w:eastAsia="Times New Roman" w:cs="Times New Roman"/>
          <w:szCs w:val="24"/>
          <w:lang w:eastAsia="en-GB"/>
        </w:rPr>
        <w:t xml:space="preserve">Sear, D, 1983,: </w:t>
      </w:r>
      <w:r w:rsidRPr="006104F2">
        <w:rPr>
          <w:rFonts w:eastAsia="Times New Roman" w:cs="Times New Roman"/>
          <w:i/>
          <w:iCs/>
          <w:szCs w:val="24"/>
          <w:lang w:eastAsia="en-GB"/>
        </w:rPr>
        <w:t xml:space="preserve">Roman Coins and Their Values </w:t>
      </w:r>
      <w:r w:rsidRPr="006104F2">
        <w:rPr>
          <w:rFonts w:eastAsia="Times New Roman" w:cs="Times New Roman"/>
          <w:szCs w:val="24"/>
          <w:lang w:eastAsia="en-GB"/>
        </w:rPr>
        <w:t>(Spink, London), p. 10.</w:t>
      </w:r>
    </w:p>
    <w:p w14:paraId="305D5E70" w14:textId="57101AA4"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Sehgal, K., 2015, </w:t>
      </w:r>
      <w:r w:rsidRPr="00EC0229">
        <w:rPr>
          <w:rFonts w:eastAsia="Times New Roman" w:cs="Times New Roman"/>
          <w:i/>
          <w:iCs/>
          <w:color w:val="000000"/>
          <w:szCs w:val="24"/>
          <w:lang w:eastAsia="en-GB"/>
        </w:rPr>
        <w:t>Coined: The Rich Life of Money and How Its History Has Shaped Us</w:t>
      </w:r>
      <w:r w:rsidRPr="00EC0229">
        <w:rPr>
          <w:rFonts w:eastAsia="Times New Roman" w:cs="Times New Roman"/>
          <w:color w:val="000000"/>
          <w:szCs w:val="24"/>
          <w:lang w:eastAsia="en-GB"/>
        </w:rPr>
        <w:t xml:space="preserve"> (London: John Murray).</w:t>
      </w:r>
    </w:p>
    <w:p w14:paraId="08FCBF9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Sindbæk, S. M., 2007, ‘Networks and Nodal Points: The Emergence of Towns in Early Viking Age Scandinavia’, </w:t>
      </w:r>
      <w:r w:rsidRPr="00EC0229">
        <w:rPr>
          <w:rFonts w:eastAsia="Times New Roman" w:cs="Times New Roman"/>
          <w:i/>
          <w:iCs/>
          <w:color w:val="000000"/>
          <w:szCs w:val="24"/>
          <w:lang w:eastAsia="en-GB"/>
        </w:rPr>
        <w:t>Antiquity</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81, 119–132.</w:t>
      </w:r>
    </w:p>
    <w:p w14:paraId="634FA41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Skre, D., 2008, ‘Post-Substantivist Towns and Trade, </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600–1000’, in D. Skre (ed.), </w:t>
      </w:r>
      <w:r w:rsidRPr="00EC0229">
        <w:rPr>
          <w:rFonts w:eastAsia="Times New Roman" w:cs="Times New Roman"/>
          <w:i/>
          <w:iCs/>
          <w:color w:val="000000"/>
          <w:szCs w:val="24"/>
          <w:lang w:eastAsia="en-GB"/>
        </w:rPr>
        <w:t>Means of Exchange: Dealing with Silver in the Viking Age</w:t>
      </w:r>
      <w:r w:rsidRPr="00EC0229">
        <w:rPr>
          <w:rFonts w:eastAsia="Times New Roman" w:cs="Times New Roman"/>
          <w:color w:val="000000"/>
          <w:szCs w:val="24"/>
          <w:lang w:eastAsia="en-GB"/>
        </w:rPr>
        <w:t xml:space="preserve"> (Aarhus: </w:t>
      </w:r>
      <w:r w:rsidRPr="00EC0229">
        <w:t>Aarhus Universitetsforlag</w:t>
      </w:r>
      <w:r w:rsidRPr="00EC0229">
        <w:rPr>
          <w:rFonts w:eastAsia="Times New Roman" w:cs="Times New Roman"/>
          <w:color w:val="000000"/>
          <w:szCs w:val="24"/>
          <w:lang w:eastAsia="en-GB"/>
        </w:rPr>
        <w:t>), pp. 327–42.</w:t>
      </w:r>
    </w:p>
    <w:p w14:paraId="015770E3" w14:textId="69253505"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Skre, D., 2011, ‘Commodity Money, Silver and Coinage in Viking-Age Scandinavia’, in </w:t>
      </w:r>
      <w:r w:rsidRPr="00EC0229">
        <w:rPr>
          <w:rFonts w:eastAsia="Times New Roman" w:cs="Times New Roman"/>
          <w:i/>
          <w:color w:val="000000"/>
          <w:szCs w:val="24"/>
          <w:lang w:eastAsia="en-GB"/>
        </w:rPr>
        <w:t>SEMSS</w:t>
      </w:r>
      <w:r w:rsidRPr="00EC0229">
        <w:rPr>
          <w:rFonts w:eastAsia="Times New Roman" w:cs="Times New Roman"/>
          <w:color w:val="000000"/>
          <w:szCs w:val="24"/>
          <w:lang w:eastAsia="en-GB"/>
        </w:rPr>
        <w:t>, pp. 67–91.</w:t>
      </w:r>
    </w:p>
    <w:p w14:paraId="536FDD21" w14:textId="299193D6" w:rsidR="00FA5613" w:rsidRPr="00EC0229" w:rsidRDefault="00FA5613" w:rsidP="005B3AC3">
      <w:pPr>
        <w:spacing w:after="0"/>
        <w:rPr>
          <w:rFonts w:eastAsia="Times New Roman" w:cs="Times New Roman"/>
          <w:color w:val="000000"/>
          <w:szCs w:val="24"/>
          <w:lang w:eastAsia="en-GB"/>
        </w:rPr>
      </w:pPr>
      <w:r w:rsidRPr="00EC0229">
        <w:t xml:space="preserve">Skre, D., 2015, Post-substantivist production and trade. Specialized sites for trade and craft production in Scandinavia </w:t>
      </w:r>
      <w:r w:rsidR="002132F1">
        <w:t>c.</w:t>
      </w:r>
      <w:r w:rsidRPr="00EC0229">
        <w:t>600-1000</w:t>
      </w:r>
      <w:r w:rsidRPr="00EC0229">
        <w:rPr>
          <w:sz w:val="20"/>
          <w:szCs w:val="20"/>
        </w:rPr>
        <w:t>AD</w:t>
      </w:r>
      <w:r w:rsidRPr="00EC0229">
        <w:t>, in James H. Barrett &amp; Sarah Jane Gibson (ed.), </w:t>
      </w:r>
      <w:r w:rsidRPr="00EC0229">
        <w:rPr>
          <w:i/>
        </w:rPr>
        <w:t>Maritime Societies of the Viking and Medieval World</w:t>
      </w:r>
      <w:r w:rsidRPr="00EC0229">
        <w:t>, (Maney Publishing), pp 156 – 170.</w:t>
      </w:r>
    </w:p>
    <w:p w14:paraId="1292561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Smart, V., 1997, ‘A Problem of Convention: A Belated Reply’, </w:t>
      </w:r>
      <w:r w:rsidRPr="00EC0229">
        <w:rPr>
          <w:rFonts w:eastAsia="Times New Roman" w:cs="Times New Roman"/>
          <w:i/>
          <w:color w:val="000000"/>
          <w:szCs w:val="24"/>
          <w:lang w:eastAsia="en-GB"/>
        </w:rPr>
        <w:t>YN</w:t>
      </w:r>
      <w:r w:rsidRPr="00EC0229">
        <w:rPr>
          <w:rFonts w:eastAsia="Times New Roman" w:cs="Times New Roman"/>
          <w:color w:val="000000"/>
          <w:szCs w:val="24"/>
          <w:lang w:eastAsia="en-GB"/>
        </w:rPr>
        <w:t>, 3, 69–72.</w:t>
      </w:r>
    </w:p>
    <w:p w14:paraId="12FE390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Smith, A., 1950, </w:t>
      </w:r>
      <w:r w:rsidRPr="00EC0229">
        <w:rPr>
          <w:rFonts w:eastAsia="Times New Roman" w:cs="Times New Roman"/>
          <w:i/>
          <w:iCs/>
          <w:color w:val="000000"/>
          <w:szCs w:val="24"/>
          <w:lang w:eastAsia="en-GB"/>
        </w:rPr>
        <w:t>The Wealth of Nations</w:t>
      </w:r>
      <w:r w:rsidRPr="00EC0229">
        <w:rPr>
          <w:rFonts w:eastAsia="Times New Roman" w:cs="Times New Roman"/>
          <w:iCs/>
          <w:color w:val="000000"/>
          <w:szCs w:val="24"/>
          <w:lang w:eastAsia="en-GB"/>
        </w:rPr>
        <w:t>, ed. by E. Cannan</w:t>
      </w:r>
      <w:r w:rsidRPr="00EC0229">
        <w:rPr>
          <w:rFonts w:eastAsia="Times New Roman" w:cs="Times New Roman"/>
          <w:color w:val="000000"/>
          <w:szCs w:val="24"/>
          <w:lang w:eastAsia="en-GB"/>
        </w:rPr>
        <w:t xml:space="preserve"> (London: Methuen; originally published 1776, London: Strahan and Cadell).</w:t>
      </w:r>
    </w:p>
    <w:p w14:paraId="3DDDAF9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Smith (née Holas-Clark), C. N. J., 2006, ‘</w:t>
      </w:r>
      <w:r w:rsidRPr="00EC0229">
        <w:rPr>
          <w:rFonts w:eastAsia="Times New Roman" w:cs="Times New Roman"/>
          <w:iCs/>
          <w:color w:val="000000"/>
          <w:szCs w:val="24"/>
          <w:lang w:eastAsia="en-GB"/>
        </w:rPr>
        <w:t>The Economic History of Anglian Deira, 700–870’</w:t>
      </w:r>
      <w:r w:rsidRPr="00EC0229">
        <w:rPr>
          <w:rFonts w:eastAsia="Times New Roman" w:cs="Times New Roman"/>
          <w:color w:val="000000"/>
          <w:szCs w:val="24"/>
          <w:lang w:eastAsia="en-GB"/>
        </w:rPr>
        <w:t xml:space="preserve"> (unpublished PhD thesis, University of York).</w:t>
      </w:r>
    </w:p>
    <w:p w14:paraId="7CA7373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Smith, C. A. (ed.), 1976, </w:t>
      </w:r>
      <w:r w:rsidRPr="00EC0229">
        <w:rPr>
          <w:rFonts w:eastAsia="Times New Roman" w:cs="Times New Roman"/>
          <w:i/>
          <w:color w:val="000000"/>
          <w:szCs w:val="24"/>
          <w:lang w:eastAsia="en-GB"/>
        </w:rPr>
        <w:t>Regional Analysis 2: Social Systems</w:t>
      </w:r>
      <w:r w:rsidRPr="00EC0229">
        <w:rPr>
          <w:rFonts w:eastAsia="Times New Roman" w:cs="Times New Roman"/>
          <w:color w:val="000000"/>
          <w:szCs w:val="24"/>
          <w:lang w:eastAsia="en-GB"/>
        </w:rPr>
        <w:t xml:space="preserve"> (New York: Academic Press).</w:t>
      </w:r>
    </w:p>
    <w:p w14:paraId="35FD65D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Spratt, D. A., and B. J. D. Harrison (eds), 1989, </w:t>
      </w:r>
      <w:r w:rsidRPr="00EC0229">
        <w:rPr>
          <w:rFonts w:eastAsia="Times New Roman" w:cs="Times New Roman"/>
          <w:i/>
          <w:iCs/>
          <w:color w:val="000000"/>
          <w:szCs w:val="24"/>
          <w:lang w:eastAsia="en-GB"/>
        </w:rPr>
        <w:t>The North York Moors: Landscape Heritage</w:t>
      </w:r>
      <w:r w:rsidRPr="00EC0229">
        <w:rPr>
          <w:rFonts w:eastAsia="Times New Roman" w:cs="Times New Roman"/>
          <w:color w:val="000000"/>
          <w:szCs w:val="24"/>
          <w:lang w:eastAsia="en-GB"/>
        </w:rPr>
        <w:t xml:space="preserve"> (Newton Abbot: David &amp; Charles).</w:t>
      </w:r>
    </w:p>
    <w:p w14:paraId="55379EB9"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Spufford, P., 1988, </w:t>
      </w:r>
      <w:r w:rsidRPr="00EC0229">
        <w:rPr>
          <w:rFonts w:eastAsia="Times New Roman" w:cs="Times New Roman"/>
          <w:i/>
          <w:iCs/>
          <w:color w:val="000000"/>
          <w:szCs w:val="24"/>
          <w:lang w:eastAsia="en-GB"/>
        </w:rPr>
        <w:t>Money and Its Use in Medieval Europe</w:t>
      </w:r>
      <w:r w:rsidRPr="00EC0229">
        <w:rPr>
          <w:rFonts w:eastAsia="Times New Roman" w:cs="Times New Roman"/>
          <w:color w:val="000000"/>
          <w:szCs w:val="24"/>
          <w:lang w:eastAsia="en-GB"/>
        </w:rPr>
        <w:t xml:space="preserve"> (Cambridge: CUP).</w:t>
      </w:r>
    </w:p>
    <w:p w14:paraId="51D107F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Stanley, E. G., 1975, </w:t>
      </w:r>
      <w:r w:rsidRPr="00EC0229">
        <w:rPr>
          <w:rFonts w:eastAsia="Times New Roman" w:cs="Times New Roman"/>
          <w:i/>
          <w:iCs/>
          <w:color w:val="000000"/>
          <w:szCs w:val="24"/>
          <w:lang w:eastAsia="en-GB"/>
        </w:rPr>
        <w:t xml:space="preserve">The Search for Anglo-Saxon Paganism </w:t>
      </w:r>
      <w:r w:rsidRPr="00EC0229">
        <w:rPr>
          <w:rFonts w:eastAsia="Times New Roman" w:cs="Times New Roman"/>
          <w:color w:val="000000"/>
          <w:szCs w:val="24"/>
          <w:lang w:eastAsia="en-GB"/>
        </w:rPr>
        <w:t>(Cambridge: D. S. Brewer).</w:t>
      </w:r>
    </w:p>
    <w:p w14:paraId="5B2B194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Steedman, K., 1994, ‘Excavation of a Saxon Site at Riby Cross Roads, Lincolnshire’, </w:t>
      </w:r>
      <w:r w:rsidRPr="00EC0229">
        <w:rPr>
          <w:rFonts w:eastAsia="Times New Roman" w:cs="Times New Roman"/>
          <w:i/>
          <w:iCs/>
          <w:color w:val="000000"/>
          <w:szCs w:val="24"/>
          <w:lang w:eastAsia="en-GB"/>
        </w:rPr>
        <w:t>AJ</w:t>
      </w:r>
      <w:r w:rsidRPr="00EC0229">
        <w:rPr>
          <w:rFonts w:eastAsia="Times New Roman" w:cs="Times New Roman"/>
          <w:color w:val="000000"/>
          <w:szCs w:val="24"/>
          <w:lang w:eastAsia="en-GB"/>
        </w:rPr>
        <w:t>, 151, 212–306.</w:t>
      </w:r>
    </w:p>
    <w:p w14:paraId="1F76438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Stewart, B. H. I. H., 1978, ‘Anglo-Saxon Gold Coins’, in </w:t>
      </w:r>
      <w:r w:rsidRPr="00EC0229">
        <w:rPr>
          <w:rFonts w:eastAsia="Times New Roman" w:cs="Times New Roman"/>
          <w:i/>
          <w:color w:val="000000"/>
          <w:szCs w:val="24"/>
          <w:lang w:eastAsia="en-GB"/>
        </w:rPr>
        <w:t>Sutherland</w:t>
      </w:r>
      <w:r w:rsidRPr="00EC0229">
        <w:rPr>
          <w:rFonts w:eastAsia="Times New Roman" w:cs="Times New Roman"/>
          <w:color w:val="000000"/>
          <w:szCs w:val="24"/>
          <w:lang w:eastAsia="en-GB"/>
        </w:rPr>
        <w:t>, pp. 143–72.</w:t>
      </w:r>
    </w:p>
    <w:p w14:paraId="1709D13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Stiglitz, J. E., 2002, </w:t>
      </w:r>
      <w:r w:rsidRPr="00EC0229">
        <w:rPr>
          <w:rFonts w:eastAsia="Times New Roman" w:cs="Times New Roman"/>
          <w:i/>
          <w:iCs/>
          <w:color w:val="000000"/>
          <w:szCs w:val="24"/>
          <w:lang w:eastAsia="en-GB"/>
        </w:rPr>
        <w:t>Globalization and its Discontents</w:t>
      </w:r>
      <w:r w:rsidRPr="00EC0229">
        <w:rPr>
          <w:rFonts w:eastAsia="Times New Roman" w:cs="Times New Roman"/>
          <w:color w:val="000000"/>
          <w:szCs w:val="24"/>
          <w:lang w:eastAsia="en-GB"/>
        </w:rPr>
        <w:t xml:space="preserve"> (London: Penguin).</w:t>
      </w:r>
    </w:p>
    <w:p w14:paraId="6EAADFE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Stocker, D., 1999, </w:t>
      </w:r>
      <w:r w:rsidRPr="00EC0229">
        <w:rPr>
          <w:rFonts w:eastAsia="Times New Roman" w:cs="Times New Roman"/>
          <w:i/>
          <w:iCs/>
          <w:color w:val="000000"/>
          <w:szCs w:val="24"/>
          <w:lang w:eastAsia="en-GB"/>
        </w:rPr>
        <w:t>The College of the Vicars Choral of York Minster at Bedern: Architectural Fragments</w:t>
      </w:r>
      <w:r w:rsidRPr="00EC0229">
        <w:rPr>
          <w:rFonts w:eastAsia="Times New Roman" w:cs="Times New Roman"/>
          <w:iCs/>
          <w:color w:val="000000"/>
          <w:szCs w:val="24"/>
          <w:lang w:eastAsia="en-GB"/>
        </w:rPr>
        <w:t>, AY, 10.4</w:t>
      </w:r>
      <w:r w:rsidRPr="00EC0229">
        <w:rPr>
          <w:rFonts w:eastAsia="Times New Roman" w:cs="Times New Roman"/>
          <w:color w:val="000000"/>
          <w:szCs w:val="24"/>
          <w:lang w:eastAsia="en-GB"/>
        </w:rPr>
        <w:t xml:space="preserve"> (York: CBA). </w:t>
      </w:r>
    </w:p>
    <w:p w14:paraId="2C5D577F" w14:textId="21BC6725"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Story, J., 2003, </w:t>
      </w:r>
      <w:r w:rsidRPr="00EC0229">
        <w:rPr>
          <w:rFonts w:eastAsia="Times New Roman" w:cs="Times New Roman"/>
          <w:i/>
          <w:color w:val="000000"/>
          <w:szCs w:val="24"/>
          <w:lang w:eastAsia="en-GB"/>
        </w:rPr>
        <w:t xml:space="preserve">Carolingian Connections: Anglo-Saxon England and Carolingian Francia, </w:t>
      </w:r>
      <w:r w:rsidR="002132F1">
        <w:rPr>
          <w:rFonts w:eastAsia="Times New Roman" w:cs="Times New Roman"/>
          <w:i/>
          <w:color w:val="000000"/>
          <w:szCs w:val="24"/>
          <w:lang w:eastAsia="en-GB"/>
        </w:rPr>
        <w:t>c.</w:t>
      </w:r>
      <w:r w:rsidRPr="00EC0229">
        <w:rPr>
          <w:rFonts w:eastAsia="Times New Roman" w:cs="Times New Roman"/>
          <w:i/>
          <w:color w:val="000000"/>
          <w:szCs w:val="24"/>
          <w:lang w:eastAsia="en-GB"/>
        </w:rPr>
        <w:t>750–870</w:t>
      </w:r>
      <w:r w:rsidRPr="00EC0229">
        <w:rPr>
          <w:rFonts w:eastAsia="Times New Roman" w:cs="Times New Roman"/>
          <w:color w:val="000000"/>
          <w:szCs w:val="24"/>
          <w:lang w:eastAsia="en-GB"/>
        </w:rPr>
        <w:t xml:space="preserve"> (Aldershot: Ashgate).</w:t>
      </w:r>
    </w:p>
    <w:p w14:paraId="13F2793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Sugden, K. F., and M. Warhurst, 1979, ‘An Unrecorded Parcel from the Hexham Hoard of 1832’, </w:t>
      </w:r>
      <w:r w:rsidRPr="00EC0229">
        <w:rPr>
          <w:rFonts w:eastAsia="Times New Roman" w:cs="Times New Roman"/>
          <w:i/>
          <w:iCs/>
          <w:color w:val="000000"/>
          <w:szCs w:val="24"/>
          <w:lang w:eastAsia="en-GB"/>
        </w:rPr>
        <w:t>NC</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139, 212–17. [Pirie archive].</w:t>
      </w:r>
    </w:p>
    <w:p w14:paraId="58219AF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Sutherland, C. H. V., 1948, </w:t>
      </w:r>
      <w:r w:rsidRPr="00EC0229">
        <w:rPr>
          <w:rFonts w:eastAsia="Times New Roman" w:cs="Times New Roman"/>
          <w:i/>
          <w:iCs/>
          <w:color w:val="000000"/>
          <w:szCs w:val="24"/>
          <w:lang w:eastAsia="en-GB"/>
        </w:rPr>
        <w:t>Anglo-Saxon Gold Coinage in the Light of the Crondall Hoard</w:t>
      </w:r>
      <w:r w:rsidRPr="00EC0229">
        <w:rPr>
          <w:rFonts w:eastAsia="Times New Roman" w:cs="Times New Roman"/>
          <w:color w:val="000000"/>
          <w:szCs w:val="24"/>
          <w:lang w:eastAsia="en-GB"/>
        </w:rPr>
        <w:t xml:space="preserve"> (London: OUP).</w:t>
      </w:r>
    </w:p>
    <w:p w14:paraId="1C4290A2" w14:textId="77777777" w:rsidR="005B3AC3" w:rsidRPr="00EC0229" w:rsidRDefault="005B3AC3" w:rsidP="005B3AC3">
      <w:pPr>
        <w:spacing w:after="0"/>
        <w:rPr>
          <w:rFonts w:eastAsia="Times New Roman" w:cs="Times New Roman"/>
          <w:color w:val="000000"/>
          <w:szCs w:val="24"/>
          <w:lang w:eastAsia="en-GB"/>
        </w:rPr>
      </w:pPr>
    </w:p>
    <w:p w14:paraId="62468294" w14:textId="77777777" w:rsidR="00BB60A3" w:rsidRPr="00EC0229" w:rsidRDefault="00BB60A3" w:rsidP="00BB60A3">
      <w:pPr>
        <w:keepNext/>
        <w:framePr w:dropCap="margin" w:lines="3" w:wrap="around" w:vAnchor="text" w:hAnchor="page" w:x="706" w:y="113"/>
        <w:spacing w:after="0" w:line="827" w:lineRule="exact"/>
        <w:textAlignment w:val="baseline"/>
        <w:rPr>
          <w:rFonts w:eastAsia="Times New Roman" w:cs="Times New Roman"/>
          <w:color w:val="000000"/>
          <w:position w:val="-11"/>
          <w:sz w:val="112"/>
          <w:szCs w:val="24"/>
          <w:lang w:eastAsia="en-GB"/>
        </w:rPr>
      </w:pPr>
      <w:r w:rsidRPr="00EC0229">
        <w:rPr>
          <w:rFonts w:eastAsia="Times New Roman" w:cs="Times New Roman"/>
          <w:color w:val="000000"/>
          <w:position w:val="-11"/>
          <w:sz w:val="112"/>
          <w:szCs w:val="24"/>
          <w:lang w:eastAsia="en-GB"/>
        </w:rPr>
        <w:t>T</w:t>
      </w:r>
      <w:bookmarkStart w:id="1010" w:name="T"/>
      <w:bookmarkEnd w:id="1010"/>
    </w:p>
    <w:p w14:paraId="62AB36F9" w14:textId="15F1C1A0" w:rsidR="00BB60A3" w:rsidRPr="00EC0229" w:rsidRDefault="00BB60A3" w:rsidP="00BB60A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apsell, R. F., 1987, </w:t>
      </w:r>
      <w:r w:rsidRPr="00EC0229">
        <w:rPr>
          <w:rFonts w:eastAsia="Times New Roman" w:cs="Times New Roman"/>
          <w:i/>
          <w:color w:val="000000"/>
          <w:szCs w:val="24"/>
          <w:lang w:eastAsia="en-GB"/>
        </w:rPr>
        <w:t>Monarchs, Rulers, Dynasties and Kingdoms of the World,</w:t>
      </w:r>
      <w:r w:rsidRPr="00EC0229">
        <w:rPr>
          <w:rFonts w:eastAsia="Times New Roman" w:cs="Times New Roman"/>
          <w:color w:val="000000"/>
          <w:szCs w:val="24"/>
          <w:lang w:eastAsia="en-GB"/>
        </w:rPr>
        <w:t xml:space="preserve"> (Thames and Hudson, London).</w:t>
      </w:r>
    </w:p>
    <w:p w14:paraId="3A6ADC5A" w14:textId="15D6555B" w:rsidR="005B3AC3" w:rsidRPr="00EC0229" w:rsidRDefault="00BB60A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T</w:t>
      </w:r>
      <w:r w:rsidR="005B3AC3" w:rsidRPr="00EC0229">
        <w:rPr>
          <w:rFonts w:eastAsia="Times New Roman" w:cs="Times New Roman"/>
          <w:color w:val="000000"/>
          <w:szCs w:val="24"/>
          <w:lang w:eastAsia="en-GB"/>
        </w:rPr>
        <w:t xml:space="preserve">homas, C., 1992, </w:t>
      </w:r>
      <w:r w:rsidR="005B3AC3" w:rsidRPr="00EC0229">
        <w:rPr>
          <w:rFonts w:eastAsia="Times New Roman" w:cs="Times New Roman"/>
          <w:i/>
          <w:color w:val="000000"/>
          <w:szCs w:val="24"/>
          <w:lang w:eastAsia="en-GB"/>
        </w:rPr>
        <w:t>Whithorn’s Christian Beginnings</w:t>
      </w:r>
      <w:r w:rsidR="005B3AC3" w:rsidRPr="00EC0229">
        <w:rPr>
          <w:rFonts w:eastAsia="Times New Roman" w:cs="Times New Roman"/>
          <w:color w:val="000000"/>
          <w:szCs w:val="24"/>
          <w:lang w:eastAsia="en-GB"/>
        </w:rPr>
        <w:t xml:space="preserve">, </w:t>
      </w:r>
      <w:r w:rsidR="005B3AC3" w:rsidRPr="00EC0229">
        <w:rPr>
          <w:rFonts w:eastAsia="Times New Roman" w:cs="Times New Roman"/>
          <w:iCs/>
          <w:color w:val="000000"/>
          <w:szCs w:val="24"/>
          <w:lang w:eastAsia="en-GB"/>
        </w:rPr>
        <w:t>Whithorn Lecture, 1</w:t>
      </w:r>
      <w:r w:rsidR="005B3AC3" w:rsidRPr="00EC0229">
        <w:rPr>
          <w:rFonts w:eastAsia="Times New Roman" w:cs="Times New Roman"/>
          <w:color w:val="000000"/>
          <w:szCs w:val="24"/>
          <w:lang w:eastAsia="en-GB"/>
        </w:rPr>
        <w:t xml:space="preserve"> (Whithorn: Friends of the Whithorn Trust). [Pirie archive].</w:t>
      </w:r>
    </w:p>
    <w:p w14:paraId="30942F2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Thomas</w:t>
      </w:r>
      <w:r w:rsidRPr="00EC0229">
        <w:rPr>
          <w:rFonts w:eastAsia="Times New Roman" w:cs="Times New Roman"/>
          <w:i/>
          <w:iCs/>
          <w:color w:val="000000"/>
          <w:szCs w:val="24"/>
          <w:lang w:eastAsia="en-GB"/>
        </w:rPr>
        <w:t>,</w:t>
      </w:r>
      <w:r w:rsidRPr="00EC0229">
        <w:rPr>
          <w:rFonts w:eastAsia="Times New Roman" w:cs="Times New Roman"/>
          <w:color w:val="000000"/>
          <w:szCs w:val="24"/>
          <w:lang w:eastAsia="en-GB"/>
        </w:rPr>
        <w:t xml:space="preserve"> N., 1994, </w:t>
      </w:r>
      <w:r w:rsidRPr="00EC0229">
        <w:rPr>
          <w:rFonts w:eastAsia="Times New Roman" w:cs="Times New Roman"/>
          <w:i/>
          <w:iCs/>
          <w:color w:val="000000"/>
          <w:szCs w:val="24"/>
          <w:lang w:eastAsia="en-GB"/>
        </w:rPr>
        <w:t>Entangled Objects: Exchange, Material Culture, and Colonialism in the Pacific</w:t>
      </w:r>
      <w:r w:rsidRPr="00EC0229">
        <w:rPr>
          <w:rFonts w:eastAsia="Times New Roman" w:cs="Times New Roman"/>
          <w:color w:val="000000"/>
          <w:szCs w:val="24"/>
          <w:lang w:eastAsia="en-GB"/>
        </w:rPr>
        <w:t xml:space="preserve"> (Cambridge: Harvard University Press).</w:t>
      </w:r>
    </w:p>
    <w:p w14:paraId="3FE0D4F0" w14:textId="1C17DA90"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Thomas, S., and P. G. Stone (eds), 2009, </w:t>
      </w:r>
      <w:r w:rsidRPr="00EC0229">
        <w:rPr>
          <w:rFonts w:eastAsia="Times New Roman" w:cs="Times New Roman"/>
          <w:i/>
          <w:color w:val="000000"/>
          <w:szCs w:val="24"/>
          <w:lang w:eastAsia="en-GB"/>
        </w:rPr>
        <w:t>Metal Detecting and Archaeology</w:t>
      </w:r>
      <w:r w:rsidRPr="00EC0229">
        <w:rPr>
          <w:rFonts w:eastAsia="Times New Roman" w:cs="Times New Roman"/>
          <w:color w:val="000000"/>
          <w:szCs w:val="24"/>
          <w:lang w:eastAsia="en-GB"/>
        </w:rPr>
        <w:t xml:space="preserve"> (Woodbridge: Boydell).</w:t>
      </w:r>
    </w:p>
    <w:p w14:paraId="2F55CDC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Tipper, J., 2004, </w:t>
      </w:r>
      <w:r w:rsidRPr="00EC0229">
        <w:rPr>
          <w:rFonts w:eastAsia="Times New Roman" w:cs="Times New Roman"/>
          <w:i/>
          <w:iCs/>
          <w:color w:val="000000"/>
          <w:szCs w:val="24"/>
          <w:lang w:eastAsia="en-GB"/>
        </w:rPr>
        <w:t xml:space="preserve">The </w:t>
      </w:r>
      <w:r w:rsidRPr="00EC0229">
        <w:rPr>
          <w:rFonts w:eastAsia="Times New Roman" w:cs="Times New Roman"/>
          <w:i/>
          <w:color w:val="000000"/>
          <w:szCs w:val="24"/>
          <w:lang w:eastAsia="en-GB"/>
        </w:rPr>
        <w:t>Grübenhaus</w:t>
      </w:r>
      <w:r w:rsidRPr="00EC0229">
        <w:rPr>
          <w:rFonts w:eastAsia="Times New Roman" w:cs="Times New Roman"/>
          <w:i/>
          <w:iCs/>
          <w:color w:val="000000"/>
          <w:szCs w:val="24"/>
          <w:lang w:eastAsia="en-GB"/>
        </w:rPr>
        <w:t xml:space="preserve"> in Anglo-Saxon England: An Analysis and Interpretation of the Evidence from a Most Distinctive Building Type</w:t>
      </w:r>
      <w:r w:rsidRPr="00EC0229">
        <w:rPr>
          <w:rFonts w:eastAsia="Times New Roman" w:cs="Times New Roman"/>
          <w:color w:val="000000"/>
          <w:szCs w:val="24"/>
          <w:lang w:eastAsia="en-GB"/>
        </w:rPr>
        <w:t xml:space="preserve"> (Yedingham: Landscape Research Centre).</w:t>
      </w:r>
    </w:p>
    <w:p w14:paraId="09C36BC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Toop, N. J., 2011, ‘Northumbria in the West: Considering Interaction Through Monumentality’, in </w:t>
      </w:r>
      <w:r w:rsidRPr="00EC0229">
        <w:rPr>
          <w:rFonts w:eastAsia="Times New Roman" w:cs="Times New Roman"/>
          <w:i/>
          <w:iCs/>
          <w:color w:val="000000"/>
          <w:szCs w:val="24"/>
          <w:lang w:eastAsia="en-GB"/>
        </w:rPr>
        <w:t>EMN</w:t>
      </w:r>
      <w:r w:rsidRPr="00EC0229">
        <w:rPr>
          <w:rFonts w:eastAsia="Times New Roman" w:cs="Times New Roman"/>
          <w:iCs/>
          <w:color w:val="000000"/>
          <w:szCs w:val="24"/>
          <w:lang w:eastAsia="en-GB"/>
        </w:rPr>
        <w:t>, pp.</w:t>
      </w:r>
      <w:r w:rsidRPr="00EC0229">
        <w:rPr>
          <w:rFonts w:eastAsia="Times New Roman" w:cs="Times New Roman"/>
          <w:color w:val="000000"/>
          <w:szCs w:val="24"/>
          <w:lang w:eastAsia="en-GB"/>
        </w:rPr>
        <w:t xml:space="preserve"> 85–111.</w:t>
      </w:r>
    </w:p>
    <w:p w14:paraId="2909DAF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Tweddle, D., 1986, </w:t>
      </w:r>
      <w:r w:rsidRPr="00EC0229">
        <w:rPr>
          <w:rFonts w:eastAsia="Times New Roman" w:cs="Times New Roman"/>
          <w:i/>
          <w:color w:val="000000"/>
          <w:szCs w:val="24"/>
          <w:lang w:eastAsia="en-GB"/>
        </w:rPr>
        <w:t>Finds from Parliament Street and Other Sites in the City Centre</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AY, 17.4</w:t>
      </w:r>
      <w:r w:rsidRPr="00EC0229">
        <w:rPr>
          <w:rFonts w:eastAsia="Times New Roman" w:cs="Times New Roman"/>
          <w:color w:val="000000"/>
          <w:szCs w:val="24"/>
          <w:lang w:eastAsia="en-GB"/>
        </w:rPr>
        <w:t xml:space="preserve"> (London: CBA).</w:t>
      </w:r>
    </w:p>
    <w:p w14:paraId="7A227911"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Tweddle, D., and J. Moulden, 1992, ‘Seventh-Century Gold Coins from York’, </w:t>
      </w:r>
      <w:r w:rsidRPr="00EC0229">
        <w:rPr>
          <w:rFonts w:eastAsia="Times New Roman" w:cs="Times New Roman"/>
          <w:i/>
          <w:iCs/>
          <w:color w:val="000000"/>
          <w:szCs w:val="24"/>
          <w:lang w:eastAsia="en-GB"/>
        </w:rPr>
        <w:t>YN</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2, 17–20.</w:t>
      </w:r>
    </w:p>
    <w:p w14:paraId="178B6F9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Tweddle, D., J. Moulden, and E. Logan (eds), 1999, </w:t>
      </w:r>
      <w:r w:rsidRPr="00EC0229">
        <w:rPr>
          <w:rFonts w:eastAsia="Times New Roman" w:cs="Times New Roman"/>
          <w:i/>
          <w:color w:val="000000"/>
          <w:szCs w:val="24"/>
          <w:lang w:eastAsia="en-GB"/>
        </w:rPr>
        <w:t>Anglian York: A Survey of the Evidence</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AY,</w:t>
      </w:r>
      <w:r w:rsidRPr="00EC0229">
        <w:rPr>
          <w:rFonts w:eastAsia="Times New Roman" w:cs="Times New Roman"/>
          <w:color w:val="000000"/>
          <w:szCs w:val="24"/>
          <w:lang w:eastAsia="en-GB"/>
        </w:rPr>
        <w:t xml:space="preserve"> 7.2 (York: CBA).</w:t>
      </w:r>
    </w:p>
    <w:p w14:paraId="5B45F6B5" w14:textId="3E1A3598"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Tye, R., 2001, </w:t>
      </w:r>
      <w:r w:rsidRPr="00EC0229">
        <w:rPr>
          <w:rFonts w:eastAsia="Times New Roman" w:cs="Times New Roman"/>
          <w:i/>
          <w:iCs/>
          <w:color w:val="000000"/>
          <w:szCs w:val="24"/>
          <w:lang w:eastAsia="en-GB"/>
        </w:rPr>
        <w:t>Gyges Magic Ring? The Origins of Coins</w:t>
      </w:r>
      <w:r w:rsidRPr="00EC0229">
        <w:rPr>
          <w:rFonts w:eastAsia="Times New Roman" w:cs="Times New Roman"/>
          <w:color w:val="000000"/>
          <w:szCs w:val="24"/>
          <w:lang w:eastAsia="en-GB"/>
        </w:rPr>
        <w:t xml:space="preserve"> (South Uist: Robert Tye).</w:t>
      </w:r>
    </w:p>
    <w:p w14:paraId="0E86E2BC" w14:textId="0BBC598E" w:rsidR="00CA0022" w:rsidRPr="00EC0229" w:rsidRDefault="00CA0022" w:rsidP="005B3AC3">
      <w:pPr>
        <w:spacing w:after="0"/>
        <w:rPr>
          <w:rFonts w:eastAsia="Times New Roman" w:cs="Times New Roman"/>
          <w:color w:val="000000"/>
          <w:szCs w:val="24"/>
          <w:lang w:eastAsia="en-GB"/>
        </w:rPr>
      </w:pPr>
    </w:p>
    <w:p w14:paraId="489E7BD4" w14:textId="3A6D7594" w:rsidR="00CA0022" w:rsidRPr="00EC0229" w:rsidRDefault="00CA0022" w:rsidP="00CA0022">
      <w:pPr>
        <w:keepNext/>
        <w:framePr w:dropCap="margin" w:lines="3" w:wrap="around" w:vAnchor="text" w:hAnchor="pag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827" w:lineRule="exact"/>
        <w:textAlignment w:val="baseline"/>
        <w:rPr>
          <w:rFonts w:asciiTheme="minorHAnsi" w:eastAsia="Times New Roman" w:hAnsiTheme="minorHAnsi" w:cstheme="minorHAnsi"/>
          <w:position w:val="-10"/>
          <w:sz w:val="109"/>
          <w:szCs w:val="24"/>
          <w:lang w:eastAsia="en-GB"/>
        </w:rPr>
      </w:pPr>
      <w:r w:rsidRPr="00EC0229">
        <w:rPr>
          <w:rFonts w:asciiTheme="minorHAnsi" w:eastAsia="Times New Roman" w:hAnsiTheme="minorHAnsi" w:cstheme="minorHAnsi"/>
          <w:position w:val="-10"/>
          <w:sz w:val="109"/>
          <w:szCs w:val="24"/>
          <w:lang w:eastAsia="en-GB"/>
        </w:rPr>
        <w:t>U</w:t>
      </w:r>
    </w:p>
    <w:p w14:paraId="468A248D" w14:textId="1D289F21" w:rsidR="00CA0022" w:rsidRPr="00EC0229" w:rsidRDefault="00CA0022" w:rsidP="00CA0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szCs w:val="24"/>
          <w:lang w:eastAsia="en-GB"/>
        </w:rPr>
      </w:pPr>
      <w:r w:rsidRPr="00EC0229">
        <w:rPr>
          <w:rFonts w:asciiTheme="minorHAnsi" w:eastAsia="Times New Roman" w:hAnsiTheme="minorHAnsi" w:cstheme="minorHAnsi"/>
          <w:szCs w:val="24"/>
          <w:lang w:eastAsia="en-GB"/>
        </w:rPr>
        <w:t xml:space="preserve">lmschneider, K. 2000, ‘Markets, Minsters, and Metal-Detectors: The Archaeology of Middle Saxon Lincolnshire and Hampshire Compared’, </w:t>
      </w:r>
      <w:r w:rsidRPr="00EC0229">
        <w:rPr>
          <w:rFonts w:asciiTheme="minorHAnsi" w:eastAsia="Times New Roman" w:hAnsiTheme="minorHAnsi" w:cstheme="minorHAnsi"/>
          <w:i/>
          <w:szCs w:val="24"/>
          <w:lang w:eastAsia="en-GB"/>
        </w:rPr>
        <w:t>BAR</w:t>
      </w:r>
      <w:r w:rsidRPr="00EC0229">
        <w:rPr>
          <w:rFonts w:asciiTheme="minorHAnsi" w:eastAsia="Times New Roman" w:hAnsiTheme="minorHAnsi" w:cstheme="minorHAnsi"/>
          <w:szCs w:val="24"/>
          <w:lang w:eastAsia="en-GB"/>
        </w:rPr>
        <w:t xml:space="preserve"> 307. (Oxford: BAR).</w:t>
      </w:r>
    </w:p>
    <w:p w14:paraId="53C441F9" w14:textId="77777777" w:rsidR="00CA0022" w:rsidRPr="00EC0229" w:rsidRDefault="00CA0022" w:rsidP="005B3AC3">
      <w:pPr>
        <w:spacing w:after="0"/>
        <w:rPr>
          <w:rFonts w:eastAsia="Times New Roman" w:cs="Times New Roman"/>
          <w:color w:val="000000"/>
          <w:szCs w:val="24"/>
          <w:lang w:eastAsia="en-GB"/>
        </w:rPr>
      </w:pPr>
    </w:p>
    <w:p w14:paraId="261676B1" w14:textId="77777777" w:rsidR="005B3AC3" w:rsidRPr="00EC0229" w:rsidRDefault="005B3AC3" w:rsidP="005B3AC3">
      <w:pPr>
        <w:spacing w:after="0"/>
        <w:rPr>
          <w:rFonts w:eastAsia="Times New Roman" w:cs="Times New Roman"/>
          <w:color w:val="000000"/>
          <w:szCs w:val="24"/>
          <w:lang w:eastAsia="en-GB"/>
        </w:rPr>
      </w:pPr>
    </w:p>
    <w:p w14:paraId="46D41E38"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09"/>
          <w:szCs w:val="24"/>
          <w:lang w:eastAsia="en-GB"/>
        </w:rPr>
      </w:pPr>
      <w:bookmarkStart w:id="1011" w:name="V"/>
      <w:bookmarkEnd w:id="1011"/>
      <w:r w:rsidRPr="00EC0229">
        <w:rPr>
          <w:rFonts w:eastAsia="Times New Roman" w:cs="Times New Roman"/>
          <w:color w:val="000000"/>
          <w:position w:val="-10"/>
          <w:sz w:val="109"/>
          <w:szCs w:val="24"/>
          <w:lang w:eastAsia="en-GB"/>
        </w:rPr>
        <w:t>V</w:t>
      </w:r>
    </w:p>
    <w:p w14:paraId="529833D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an Arsdell, R. D., 1989, </w:t>
      </w:r>
      <w:r w:rsidRPr="00EC0229">
        <w:rPr>
          <w:rFonts w:eastAsia="Times New Roman" w:cs="Times New Roman"/>
          <w:i/>
          <w:iCs/>
          <w:color w:val="000000"/>
          <w:szCs w:val="24"/>
          <w:lang w:eastAsia="en-GB"/>
        </w:rPr>
        <w:t>Celtic Coinage of Britain</w:t>
      </w:r>
      <w:r w:rsidRPr="00EC0229">
        <w:rPr>
          <w:rFonts w:eastAsia="Times New Roman" w:cs="Times New Roman"/>
          <w:color w:val="000000"/>
          <w:szCs w:val="24"/>
          <w:lang w:eastAsia="en-GB"/>
        </w:rPr>
        <w:t xml:space="preserve"> (London: Spink).</w:t>
      </w:r>
    </w:p>
    <w:p w14:paraId="3409B5B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Van de Noort, R., and P. Davies, 1993, </w:t>
      </w:r>
      <w:r w:rsidRPr="00EC0229">
        <w:rPr>
          <w:rFonts w:eastAsia="Times New Roman" w:cs="Times New Roman"/>
          <w:i/>
          <w:iCs/>
          <w:color w:val="000000"/>
          <w:szCs w:val="24"/>
          <w:lang w:eastAsia="en-GB"/>
        </w:rPr>
        <w:t>Wetland Heritage: An Archaeological assessment of the Humber Wetlands</w:t>
      </w:r>
      <w:r w:rsidRPr="00EC0229">
        <w:rPr>
          <w:rFonts w:eastAsia="Times New Roman" w:cs="Times New Roman"/>
          <w:iCs/>
          <w:color w:val="000000"/>
          <w:szCs w:val="24"/>
          <w:lang w:eastAsia="en-GB"/>
        </w:rPr>
        <w:t>, ed. by S. Ellis</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(Kingston upon Hull: Humber Wetlands Project, University of Hull).</w:t>
      </w:r>
    </w:p>
    <w:p w14:paraId="738D1BE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Van de Noort, R., and S. Ellis, S. (eds), 1999, </w:t>
      </w:r>
      <w:r w:rsidRPr="00EC0229">
        <w:rPr>
          <w:rFonts w:eastAsia="Times New Roman" w:cs="Times New Roman"/>
          <w:i/>
          <w:iCs/>
          <w:color w:val="000000"/>
          <w:szCs w:val="24"/>
          <w:lang w:eastAsia="en-GB"/>
        </w:rPr>
        <w:t>Wetland Heritage of the Vale of York: An Archaeological Survey</w:t>
      </w:r>
      <w:r w:rsidRPr="00EC0229">
        <w:rPr>
          <w:rFonts w:eastAsia="Times New Roman" w:cs="Times New Roman"/>
          <w:color w:val="000000"/>
          <w:szCs w:val="24"/>
          <w:lang w:eastAsia="en-GB"/>
        </w:rPr>
        <w:t xml:space="preserve"> (Kingston upon Hull: Humber Wetlands Project, University of Hull).</w:t>
      </w:r>
    </w:p>
    <w:p w14:paraId="077522E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Veblen, T., 1899, </w:t>
      </w:r>
      <w:r w:rsidRPr="00EC0229">
        <w:rPr>
          <w:rFonts w:eastAsia="Times New Roman" w:cs="Times New Roman"/>
          <w:i/>
          <w:iCs/>
          <w:color w:val="000000"/>
          <w:szCs w:val="24"/>
          <w:lang w:eastAsia="en-GB"/>
        </w:rPr>
        <w:t>The Theory of the Leisure Class: An Economic Study in the Evolution of Institutions</w:t>
      </w:r>
      <w:r w:rsidRPr="00EC0229">
        <w:rPr>
          <w:rFonts w:eastAsia="Times New Roman" w:cs="Times New Roman"/>
          <w:iCs/>
          <w:color w:val="000000"/>
          <w:szCs w:val="24"/>
          <w:lang w:eastAsia="en-GB"/>
        </w:rPr>
        <w:t xml:space="preserve"> (New York: Macmillan)</w:t>
      </w:r>
      <w:r w:rsidRPr="00EC0229">
        <w:rPr>
          <w:rFonts w:eastAsia="Times New Roman" w:cs="Times New Roman"/>
          <w:color w:val="000000"/>
          <w:szCs w:val="24"/>
          <w:lang w:eastAsia="en-GB"/>
        </w:rPr>
        <w:t xml:space="preserve">. </w:t>
      </w:r>
    </w:p>
    <w:p w14:paraId="33C8964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Vegvar, C. N. de, 1999, ‘The Travelling Twins: Romulus and Remus in Anglo-Saxon England’, in Hawkes and Mills (eds), 1999, pp. 256–67.</w:t>
      </w:r>
    </w:p>
    <w:p w14:paraId="313977D6"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Verhulst, A., 2000, ‘Roman Cities, </w:t>
      </w:r>
      <w:r w:rsidRPr="00EC0229">
        <w:rPr>
          <w:rFonts w:eastAsia="Times New Roman" w:cs="Times New Roman"/>
          <w:i/>
          <w:iCs/>
          <w:color w:val="000000"/>
          <w:szCs w:val="24"/>
          <w:lang w:eastAsia="en-GB"/>
        </w:rPr>
        <w:t>emporia</w:t>
      </w:r>
      <w:r w:rsidRPr="00EC0229">
        <w:rPr>
          <w:rFonts w:eastAsia="Times New Roman" w:cs="Times New Roman"/>
          <w:color w:val="000000"/>
          <w:szCs w:val="24"/>
          <w:lang w:eastAsia="en-GB"/>
        </w:rPr>
        <w:t xml:space="preserve">, and the New Towns (Sixth–Ninth Centuries)’, in Hansen and Wickham (eds), 2000, pp. 105–20. </w:t>
      </w:r>
    </w:p>
    <w:p w14:paraId="04B70B03"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Verhulst, A., 2002, </w:t>
      </w:r>
      <w:r w:rsidRPr="00EC0229">
        <w:rPr>
          <w:rFonts w:eastAsia="Times New Roman" w:cs="Times New Roman"/>
          <w:i/>
          <w:iCs/>
          <w:color w:val="000000"/>
          <w:szCs w:val="24"/>
          <w:lang w:eastAsia="en-GB"/>
        </w:rPr>
        <w:t>The Carolingian Economy</w:t>
      </w:r>
      <w:r w:rsidRPr="00EC0229">
        <w:rPr>
          <w:rFonts w:eastAsia="Times New Roman" w:cs="Times New Roman"/>
          <w:color w:val="000000"/>
          <w:szCs w:val="24"/>
          <w:lang w:eastAsia="en-GB"/>
        </w:rPr>
        <w:t xml:space="preserve"> (Cambridge: CUP).</w:t>
      </w:r>
    </w:p>
    <w:p w14:paraId="7D2E236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Vince, A., 1994a, ‘Saxon Urban Economies: An Archaeological Perspective’, in Rackham (ed.), 1994, pp. 108–19.</w:t>
      </w:r>
    </w:p>
    <w:p w14:paraId="6E10A118" w14:textId="77777777" w:rsidR="005B3AC3" w:rsidRPr="00EC0229" w:rsidRDefault="005B3AC3" w:rsidP="005B3AC3">
      <w:pPr>
        <w:spacing w:after="0"/>
        <w:rPr>
          <w:rFonts w:eastAsia="Times New Roman" w:cs="Times New Roman"/>
          <w:color w:val="000000"/>
          <w:szCs w:val="24"/>
          <w:lang w:eastAsia="en-GB"/>
        </w:rPr>
      </w:pPr>
    </w:p>
    <w:p w14:paraId="0F0119F8"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0"/>
          <w:sz w:val="109"/>
          <w:szCs w:val="24"/>
          <w:lang w:eastAsia="en-GB"/>
        </w:rPr>
      </w:pPr>
      <w:r w:rsidRPr="00EC0229">
        <w:rPr>
          <w:rFonts w:eastAsia="Times New Roman" w:cs="Times New Roman"/>
          <w:color w:val="000000"/>
          <w:position w:val="-10"/>
          <w:sz w:val="109"/>
          <w:szCs w:val="24"/>
          <w:lang w:eastAsia="en-GB"/>
        </w:rPr>
        <w:t>W</w:t>
      </w:r>
      <w:bookmarkStart w:id="1012" w:name="W"/>
      <w:bookmarkEnd w:id="1012"/>
    </w:p>
    <w:p w14:paraId="384E0980" w14:textId="143F6306"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albers, B., 2012, ‘</w:t>
      </w:r>
      <w:r w:rsidRPr="00EC0229">
        <w:rPr>
          <w:rFonts w:eastAsia="Times New Roman" w:cs="Times New Roman"/>
          <w:iCs/>
          <w:color w:val="000000"/>
          <w:szCs w:val="24"/>
          <w:lang w:eastAsia="en-GB"/>
        </w:rPr>
        <w:t xml:space="preserve">Number and Measurement in Anglo-Saxon Christian Culture: Editions and Studies of Numerical Notes in Eight Anglo-Saxon Manuscripts, </w:t>
      </w:r>
      <w:r w:rsidR="002132F1" w:rsidRPr="002132F1">
        <w:rPr>
          <w:rFonts w:eastAsia="Times New Roman" w:cs="Times New Roman"/>
          <w:i/>
          <w:iCs/>
          <w:color w:val="000000"/>
          <w:szCs w:val="24"/>
          <w:lang w:eastAsia="en-GB"/>
        </w:rPr>
        <w:t>c.</w:t>
      </w:r>
      <w:r w:rsidRPr="00EC0229">
        <w:rPr>
          <w:rFonts w:eastAsia="Times New Roman" w:cs="Times New Roman"/>
          <w:iCs/>
          <w:color w:val="000000"/>
          <w:szCs w:val="24"/>
          <w:lang w:eastAsia="en-GB"/>
        </w:rPr>
        <w:t>800–</w:t>
      </w:r>
      <w:r w:rsidRPr="002132F1">
        <w:rPr>
          <w:rFonts w:eastAsia="Times New Roman" w:cs="Times New Roman"/>
          <w:i/>
          <w:iCs/>
          <w:color w:val="000000"/>
          <w:szCs w:val="24"/>
          <w:lang w:eastAsia="en-GB"/>
        </w:rPr>
        <w:t>c</w:t>
      </w:r>
      <w:r w:rsidR="002132F1">
        <w:rPr>
          <w:rFonts w:eastAsia="Times New Roman" w:cs="Times New Roman"/>
          <w:i/>
          <w:iCs/>
          <w:color w:val="000000"/>
          <w:szCs w:val="24"/>
          <w:lang w:eastAsia="en-GB"/>
        </w:rPr>
        <w:t>.</w:t>
      </w:r>
      <w:r w:rsidRPr="00EC0229">
        <w:rPr>
          <w:rFonts w:eastAsia="Times New Roman" w:cs="Times New Roman"/>
          <w:iCs/>
          <w:color w:val="000000"/>
          <w:szCs w:val="24"/>
          <w:lang w:eastAsia="en-GB"/>
        </w:rPr>
        <w:t>1150’</w:t>
      </w:r>
      <w:r w:rsidRPr="00EC0229">
        <w:rPr>
          <w:rFonts w:eastAsia="Times New Roman" w:cs="Times New Roman"/>
          <w:i/>
          <w:iCs/>
          <w:color w:val="000000"/>
          <w:szCs w:val="24"/>
          <w:lang w:eastAsia="en-GB"/>
        </w:rPr>
        <w:t xml:space="preserve"> </w:t>
      </w:r>
      <w:r w:rsidRPr="00EC0229">
        <w:rPr>
          <w:rFonts w:eastAsia="Times New Roman" w:cs="Times New Roman"/>
          <w:color w:val="000000"/>
          <w:szCs w:val="24"/>
          <w:lang w:eastAsia="en-GB"/>
        </w:rPr>
        <w:t>(unpublished PhD thesis, University of York).</w:t>
      </w:r>
    </w:p>
    <w:p w14:paraId="24CF3524" w14:textId="77777777" w:rsidR="005B3AC3" w:rsidRPr="00EC0229" w:rsidRDefault="005B3AC3" w:rsidP="005B3AC3">
      <w:pPr>
        <w:spacing w:after="0"/>
        <w:rPr>
          <w:rFonts w:eastAsia="Times New Roman" w:cs="Times New Roman"/>
          <w:color w:val="000000"/>
          <w:szCs w:val="24"/>
          <w:lang w:eastAsia="en-GB"/>
        </w:rPr>
      </w:pPr>
      <w:bookmarkStart w:id="1013" w:name="RANGE!A379"/>
      <w:r w:rsidRPr="00EC0229">
        <w:rPr>
          <w:rFonts w:eastAsia="Times New Roman" w:cs="Times New Roman"/>
          <w:color w:val="000000"/>
          <w:szCs w:val="24"/>
          <w:lang w:eastAsia="en-GB"/>
        </w:rPr>
        <w:t>Walton, P., 2011, ‘</w:t>
      </w:r>
      <w:r w:rsidRPr="00EC0229">
        <w:rPr>
          <w:rFonts w:eastAsia="Times New Roman" w:cs="Times New Roman"/>
          <w:iCs/>
          <w:color w:val="000000"/>
          <w:szCs w:val="24"/>
          <w:lang w:eastAsia="en-GB"/>
        </w:rPr>
        <w:t>Rethinking Roman Britain: An Applied Numismatic Analysis of the Roman Coin Data Recorded by the Portable Antiquities Scheme’</w:t>
      </w:r>
      <w:r w:rsidRPr="00EC0229">
        <w:rPr>
          <w:rFonts w:eastAsia="Times New Roman" w:cs="Times New Roman"/>
          <w:color w:val="000000"/>
          <w:szCs w:val="24"/>
          <w:lang w:eastAsia="en-GB"/>
        </w:rPr>
        <w:t xml:space="preserve"> (unpublished PhD thesis, University College London).</w:t>
      </w:r>
      <w:bookmarkEnd w:id="1013"/>
    </w:p>
    <w:p w14:paraId="3C365E0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Walton, P., and D. Broughton, 2009, ‘The Portable Antiquities Scheme in the North’, in Thomas and Stone (eds), 2009, pp. 147–52.</w:t>
      </w:r>
    </w:p>
    <w:p w14:paraId="0CC2E68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Webster, L., and J. Backhouse (eds), 1991, </w:t>
      </w:r>
      <w:r w:rsidRPr="00EC0229">
        <w:rPr>
          <w:rFonts w:eastAsia="Times New Roman" w:cs="Times New Roman"/>
          <w:i/>
          <w:iCs/>
          <w:color w:val="000000"/>
          <w:szCs w:val="24"/>
          <w:lang w:eastAsia="en-GB"/>
        </w:rPr>
        <w:t xml:space="preserve">The Making of England: Anglo-Saxon Art and Culture,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600–900</w:t>
      </w:r>
      <w:r w:rsidRPr="00EC0229">
        <w:rPr>
          <w:rFonts w:eastAsia="Times New Roman" w:cs="Times New Roman"/>
          <w:color w:val="000000"/>
          <w:szCs w:val="24"/>
          <w:lang w:eastAsia="en-GB"/>
        </w:rPr>
        <w:t xml:space="preserve"> (London: BM).</w:t>
      </w:r>
    </w:p>
    <w:p w14:paraId="2C1184C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Webster, L., and M. Brown, (eds), 1997, </w:t>
      </w:r>
      <w:r w:rsidRPr="00EC0229">
        <w:rPr>
          <w:rFonts w:eastAsia="Times New Roman" w:cs="Times New Roman"/>
          <w:i/>
          <w:iCs/>
          <w:color w:val="000000"/>
          <w:szCs w:val="24"/>
          <w:lang w:eastAsia="en-GB"/>
        </w:rPr>
        <w:t xml:space="preserve">The Transformation of the Roman World,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400–900</w:t>
      </w:r>
      <w:r w:rsidRPr="00EC0229">
        <w:rPr>
          <w:rFonts w:eastAsia="Times New Roman" w:cs="Times New Roman"/>
          <w:color w:val="000000"/>
          <w:szCs w:val="24"/>
          <w:lang w:eastAsia="en-GB"/>
        </w:rPr>
        <w:t xml:space="preserve"> (London: BM).</w:t>
      </w:r>
    </w:p>
    <w:p w14:paraId="3720B78A" w14:textId="77777777" w:rsidR="005B3AC3" w:rsidRPr="00EC0229" w:rsidRDefault="005B3AC3" w:rsidP="005B3AC3">
      <w:pPr>
        <w:spacing w:after="0"/>
        <w:rPr>
          <w:rFonts w:eastAsia="Times New Roman" w:cs="Times New Roman"/>
          <w:color w:val="000000"/>
          <w:szCs w:val="24"/>
          <w:lang w:eastAsia="en-GB"/>
        </w:rPr>
      </w:pPr>
      <w:bookmarkStart w:id="1014" w:name="RANGE!A382"/>
      <w:r w:rsidRPr="00EC0229">
        <w:rPr>
          <w:rFonts w:eastAsia="Times New Roman" w:cs="Times New Roman"/>
          <w:color w:val="000000"/>
          <w:szCs w:val="24"/>
          <w:lang w:eastAsia="en-GB"/>
        </w:rPr>
        <w:t xml:space="preserve">Welch, M., 1985, ‘Rural Settlement Patterns in the Early and Middle Anglo-Saxon Periods’, </w:t>
      </w:r>
      <w:r w:rsidRPr="00EC0229">
        <w:rPr>
          <w:rFonts w:eastAsia="Times New Roman" w:cs="Times New Roman"/>
          <w:i/>
          <w:color w:val="000000"/>
          <w:szCs w:val="24"/>
          <w:lang w:eastAsia="en-GB"/>
        </w:rPr>
        <w:t>Landscape History</w:t>
      </w:r>
      <w:r w:rsidRPr="00EC0229">
        <w:rPr>
          <w:rFonts w:eastAsia="Times New Roman" w:cs="Times New Roman"/>
          <w:color w:val="000000"/>
          <w:szCs w:val="24"/>
          <w:lang w:eastAsia="en-GB"/>
        </w:rPr>
        <w:t>, 7, 13–25.</w:t>
      </w:r>
      <w:bookmarkEnd w:id="1014"/>
    </w:p>
    <w:p w14:paraId="7D2E07C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Werner, M., 1991, ‘The Liudhard medalet’, </w:t>
      </w:r>
      <w:r w:rsidRPr="00EC0229">
        <w:rPr>
          <w:rFonts w:eastAsia="Times New Roman" w:cs="Times New Roman"/>
          <w:i/>
          <w:iCs/>
          <w:color w:val="000000"/>
          <w:szCs w:val="24"/>
          <w:lang w:eastAsia="en-GB"/>
        </w:rPr>
        <w:t>Anglo-Saxon England</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20, 27–41.</w:t>
      </w:r>
    </w:p>
    <w:p w14:paraId="69ECD3D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Whitelock, D., (ed.) 1979, </w:t>
      </w:r>
      <w:r w:rsidRPr="00EC0229">
        <w:rPr>
          <w:rFonts w:eastAsia="Times New Roman" w:cs="Times New Roman"/>
          <w:i/>
          <w:iCs/>
          <w:color w:val="000000"/>
          <w:szCs w:val="24"/>
          <w:lang w:eastAsia="en-GB"/>
        </w:rPr>
        <w:t>English Historical Documents:</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Volume 1, 500–1042</w:t>
      </w:r>
      <w:r w:rsidRPr="00EC0229">
        <w:rPr>
          <w:rFonts w:eastAsia="Times New Roman" w:cs="Times New Roman"/>
          <w:color w:val="000000"/>
          <w:szCs w:val="24"/>
          <w:lang w:eastAsia="en-GB"/>
        </w:rPr>
        <w:t>, 2</w:t>
      </w:r>
      <w:r w:rsidRPr="00EC0229">
        <w:rPr>
          <w:rFonts w:eastAsia="Times New Roman" w:cs="Times New Roman"/>
          <w:color w:val="000000"/>
          <w:szCs w:val="24"/>
          <w:vertAlign w:val="superscript"/>
          <w:lang w:eastAsia="en-GB"/>
        </w:rPr>
        <w:t>nd</w:t>
      </w:r>
      <w:r w:rsidRPr="00EC0229">
        <w:rPr>
          <w:rFonts w:eastAsia="Times New Roman" w:cs="Times New Roman"/>
          <w:color w:val="000000"/>
          <w:szCs w:val="24"/>
          <w:lang w:eastAsia="en-GB"/>
        </w:rPr>
        <w:t xml:space="preserve"> edn (London: Methuen).</w:t>
      </w:r>
    </w:p>
    <w:p w14:paraId="3D883088"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Whitmarsh, T., 2015, </w:t>
      </w:r>
      <w:r w:rsidRPr="00EC0229">
        <w:rPr>
          <w:rFonts w:eastAsia="Times New Roman" w:cs="Times New Roman"/>
          <w:i/>
          <w:color w:val="000000"/>
          <w:szCs w:val="24"/>
          <w:lang w:eastAsia="en-GB"/>
        </w:rPr>
        <w:t>Battling the Gods: Atheism in the Ancient World</w:t>
      </w:r>
      <w:r w:rsidRPr="00EC0229">
        <w:rPr>
          <w:rFonts w:eastAsia="Times New Roman" w:cs="Times New Roman"/>
          <w:color w:val="000000"/>
          <w:szCs w:val="24"/>
          <w:lang w:eastAsia="en-GB"/>
        </w:rPr>
        <w:t xml:space="preserve"> (London: Faber and Faber).</w:t>
      </w:r>
    </w:p>
    <w:p w14:paraId="2CBA9F2F"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Wickham, C., 2005, </w:t>
      </w:r>
      <w:r w:rsidRPr="00EC0229">
        <w:rPr>
          <w:rFonts w:eastAsia="Times New Roman" w:cs="Times New Roman"/>
          <w:i/>
          <w:iCs/>
          <w:color w:val="000000"/>
          <w:szCs w:val="24"/>
          <w:lang w:eastAsia="en-GB"/>
        </w:rPr>
        <w:t>Framing the Early Middle Ages</w:t>
      </w:r>
      <w:r w:rsidRPr="00EC0229">
        <w:rPr>
          <w:rFonts w:eastAsia="Times New Roman" w:cs="Times New Roman"/>
          <w:color w:val="000000"/>
          <w:szCs w:val="24"/>
          <w:lang w:eastAsia="en-GB"/>
        </w:rPr>
        <w:t> (Oxford: OUP).</w:t>
      </w:r>
    </w:p>
    <w:p w14:paraId="0E799662" w14:textId="01CCF342"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lastRenderedPageBreak/>
        <w:t xml:space="preserve">Williams, G., 2006, ‘The Circulation and Function of Coinage in Conversion-Period England, </w:t>
      </w:r>
      <w:r w:rsidR="002132F1">
        <w:rPr>
          <w:rFonts w:eastAsia="Times New Roman" w:cs="Times New Roman"/>
          <w:i/>
          <w:iCs/>
          <w:color w:val="000000"/>
          <w:szCs w:val="24"/>
          <w:lang w:eastAsia="en-GB"/>
        </w:rPr>
        <w:t>c.</w:t>
      </w:r>
      <w:r w:rsidRPr="00EC0229">
        <w:rPr>
          <w:rFonts w:eastAsia="Times New Roman" w:cs="Times New Roman"/>
          <w:smallCaps/>
          <w:color w:val="000000"/>
          <w:szCs w:val="24"/>
          <w:lang w:eastAsia="en-GB"/>
        </w:rPr>
        <w:t>ad</w:t>
      </w:r>
      <w:r w:rsidRPr="00EC0229">
        <w:rPr>
          <w:rFonts w:eastAsia="Times New Roman" w:cs="Times New Roman"/>
          <w:color w:val="000000"/>
          <w:szCs w:val="24"/>
          <w:lang w:eastAsia="en-GB"/>
        </w:rPr>
        <w:t xml:space="preserve"> 580–675’, in </w:t>
      </w:r>
      <w:r w:rsidRPr="00EC0229">
        <w:rPr>
          <w:rFonts w:eastAsia="Times New Roman" w:cs="Times New Roman"/>
          <w:i/>
          <w:color w:val="000000"/>
          <w:szCs w:val="24"/>
          <w:lang w:eastAsia="en-GB"/>
        </w:rPr>
        <w:t>Archibald Festschrift</w:t>
      </w:r>
      <w:r w:rsidRPr="00EC0229">
        <w:rPr>
          <w:rFonts w:eastAsia="Times New Roman" w:cs="Times New Roman"/>
          <w:color w:val="000000"/>
          <w:szCs w:val="24"/>
          <w:lang w:eastAsia="en-GB"/>
        </w:rPr>
        <w:t>, pp. 145–92.</w:t>
      </w:r>
    </w:p>
    <w:p w14:paraId="698AEBF1" w14:textId="57F09009" w:rsidR="005B3AC3" w:rsidRPr="00EC0229" w:rsidRDefault="005B3AC3" w:rsidP="005B3AC3">
      <w:pPr>
        <w:spacing w:after="0"/>
        <w:rPr>
          <w:rFonts w:eastAsia="Times New Roman" w:cs="Times New Roman"/>
          <w:color w:val="000000"/>
          <w:szCs w:val="24"/>
          <w:lang w:eastAsia="en-GB"/>
        </w:rPr>
      </w:pPr>
      <w:bookmarkStart w:id="1015" w:name="RANGE!A388"/>
      <w:r w:rsidRPr="00EC0229">
        <w:rPr>
          <w:rFonts w:eastAsia="Times New Roman" w:cs="Times New Roman"/>
          <w:color w:val="000000"/>
          <w:szCs w:val="24"/>
          <w:lang w:eastAsia="en-GB"/>
        </w:rPr>
        <w:t xml:space="preserve">Williams, G., and D. Hook, 2013, ‘Analysis of Gold Content and Its Implications for the Chronology of the Early Anglo-Saxon Coinage’, in A. Gannon (ed.), </w:t>
      </w:r>
      <w:r w:rsidRPr="00EC0229">
        <w:rPr>
          <w:rFonts w:eastAsia="Times New Roman" w:cs="Times New Roman"/>
          <w:i/>
          <w:color w:val="000000"/>
          <w:szCs w:val="24"/>
          <w:lang w:eastAsia="en-GB"/>
        </w:rPr>
        <w:t xml:space="preserve">British Museum, Anglo-Saxon Coins I: Early Anglo-Saxon Gold and Anglo-Saxon and Continental Silver Coinage of the North Sea Area, </w:t>
      </w:r>
      <w:r w:rsidR="002132F1">
        <w:rPr>
          <w:rFonts w:eastAsia="Times New Roman" w:cs="Times New Roman"/>
          <w:i/>
          <w:color w:val="000000"/>
          <w:szCs w:val="24"/>
          <w:lang w:eastAsia="en-GB"/>
        </w:rPr>
        <w:t>c.</w:t>
      </w:r>
      <w:r w:rsidRPr="00EC0229">
        <w:rPr>
          <w:rFonts w:eastAsia="Times New Roman" w:cs="Times New Roman"/>
          <w:i/>
          <w:color w:val="000000"/>
          <w:szCs w:val="24"/>
          <w:lang w:eastAsia="en-GB"/>
        </w:rPr>
        <w:t>600–760</w:t>
      </w:r>
      <w:r w:rsidRPr="00EC0229">
        <w:rPr>
          <w:rFonts w:eastAsia="Times New Roman" w:cs="Times New Roman"/>
          <w:color w:val="000000"/>
          <w:szCs w:val="24"/>
          <w:lang w:eastAsia="en-GB"/>
        </w:rPr>
        <w:t xml:space="preserve">, </w:t>
      </w:r>
      <w:r w:rsidRPr="00EC0229">
        <w:rPr>
          <w:rFonts w:eastAsia="Times New Roman" w:cs="Times New Roman"/>
          <w:i/>
          <w:iCs/>
          <w:color w:val="000000"/>
          <w:szCs w:val="24"/>
          <w:lang w:eastAsia="en-GB"/>
        </w:rPr>
        <w:t>SCBI</w:t>
      </w:r>
      <w:r w:rsidRPr="00EC0229">
        <w:rPr>
          <w:rFonts w:eastAsia="Times New Roman" w:cs="Times New Roman"/>
          <w:color w:val="000000"/>
          <w:szCs w:val="24"/>
          <w:lang w:eastAsia="en-GB"/>
        </w:rPr>
        <w:t xml:space="preserve"> 63 (London: BM), pp. 55–70.</w:t>
      </w:r>
      <w:bookmarkEnd w:id="1015"/>
    </w:p>
    <w:p w14:paraId="118A5B30"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Wilson, D. M. (ed.), 1976, </w:t>
      </w:r>
      <w:r w:rsidRPr="00EC0229">
        <w:rPr>
          <w:rFonts w:eastAsia="Times New Roman" w:cs="Times New Roman"/>
          <w:i/>
          <w:color w:val="000000"/>
          <w:szCs w:val="24"/>
          <w:lang w:eastAsia="en-GB"/>
        </w:rPr>
        <w:t>The Archaeology of Anglo-Saxon England</w:t>
      </w:r>
      <w:r w:rsidRPr="00EC0229">
        <w:rPr>
          <w:rFonts w:eastAsia="Times New Roman" w:cs="Times New Roman"/>
          <w:color w:val="000000"/>
          <w:szCs w:val="24"/>
          <w:lang w:eastAsia="en-GB"/>
        </w:rPr>
        <w:t xml:space="preserve"> (London: Methuen).</w:t>
      </w:r>
    </w:p>
    <w:p w14:paraId="03D903B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Withy, R., and I. Ryall, 1756, </w:t>
      </w:r>
      <w:r w:rsidRPr="00EC0229">
        <w:rPr>
          <w:rFonts w:eastAsia="Times New Roman" w:cs="Times New Roman"/>
          <w:i/>
          <w:color w:val="000000"/>
          <w:szCs w:val="24"/>
          <w:lang w:eastAsia="en-GB"/>
        </w:rPr>
        <w:t>Coins of the Heptarchy</w:t>
      </w:r>
      <w:r w:rsidRPr="00EC0229">
        <w:rPr>
          <w:rFonts w:eastAsia="Times New Roman" w:cs="Times New Roman"/>
          <w:color w:val="000000"/>
          <w:szCs w:val="24"/>
          <w:lang w:eastAsia="en-GB"/>
        </w:rPr>
        <w:t xml:space="preserve"> (London: Hogarth Head). (Reissued 1774, London: Charles Hall, incorporating three plates of Saxon coins engraved).</w:t>
      </w:r>
    </w:p>
    <w:p w14:paraId="3770AE6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Wolf, E. R., 1982, </w:t>
      </w:r>
      <w:r w:rsidRPr="00EC0229">
        <w:rPr>
          <w:rFonts w:eastAsia="Times New Roman" w:cs="Times New Roman"/>
          <w:i/>
          <w:iCs/>
          <w:color w:val="000000"/>
          <w:szCs w:val="24"/>
          <w:lang w:eastAsia="en-GB"/>
        </w:rPr>
        <w:t>Europe and the People without History</w:t>
      </w:r>
      <w:r w:rsidRPr="00EC0229">
        <w:rPr>
          <w:rFonts w:eastAsia="Times New Roman" w:cs="Times New Roman"/>
          <w:color w:val="000000"/>
          <w:szCs w:val="24"/>
          <w:lang w:eastAsia="en-GB"/>
        </w:rPr>
        <w:t xml:space="preserve"> (Berkeley: University of California Press).</w:t>
      </w:r>
    </w:p>
    <w:p w14:paraId="78DF188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Wood, I., 1987, ‘Anglo-Saxon Otley: An Archiepiscopal Estate and Its Crosses in a Northumbrian Context’, </w:t>
      </w:r>
      <w:r w:rsidRPr="00EC0229">
        <w:rPr>
          <w:rFonts w:eastAsia="Times New Roman" w:cs="Times New Roman"/>
          <w:i/>
          <w:iCs/>
          <w:color w:val="000000"/>
          <w:szCs w:val="24"/>
          <w:lang w:eastAsia="en-GB"/>
        </w:rPr>
        <w:t>NH,</w:t>
      </w:r>
      <w:r w:rsidRPr="00EC0229">
        <w:rPr>
          <w:rFonts w:eastAsia="Times New Roman" w:cs="Times New Roman"/>
          <w:color w:val="000000"/>
          <w:szCs w:val="24"/>
          <w:lang w:eastAsia="en-GB"/>
        </w:rPr>
        <w:t xml:space="preserve"> 23, 20–38.</w:t>
      </w:r>
    </w:p>
    <w:p w14:paraId="21BCE9F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Wood, I., 1997, ‘Before and After the Migration to Britain’, in Hines (ed.), 1997a, pp. 41–64.</w:t>
      </w:r>
    </w:p>
    <w:p w14:paraId="676819AB"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Wood, I. (series ed.), 1998, </w:t>
      </w:r>
      <w:r w:rsidRPr="00EC0229">
        <w:rPr>
          <w:rFonts w:eastAsia="Times New Roman" w:cs="Times New Roman"/>
          <w:i/>
          <w:iCs/>
          <w:color w:val="000000"/>
          <w:szCs w:val="24"/>
          <w:lang w:eastAsia="en-GB"/>
        </w:rPr>
        <w:t xml:space="preserve">The Transformation of the Roman World, </w:t>
      </w:r>
      <w:r w:rsidRPr="00EC0229">
        <w:rPr>
          <w:rFonts w:eastAsia="Times New Roman" w:cs="Times New Roman"/>
          <w:i/>
          <w:iCs/>
          <w:smallCaps/>
          <w:color w:val="000000"/>
          <w:szCs w:val="24"/>
          <w:lang w:eastAsia="en-GB"/>
        </w:rPr>
        <w:t>ad</w:t>
      </w:r>
      <w:r w:rsidRPr="00EC0229">
        <w:rPr>
          <w:rFonts w:eastAsia="Times New Roman" w:cs="Times New Roman"/>
          <w:i/>
          <w:iCs/>
          <w:color w:val="000000"/>
          <w:szCs w:val="24"/>
          <w:lang w:eastAsia="en-GB"/>
        </w:rPr>
        <w:t xml:space="preserve"> 400–900</w:t>
      </w:r>
      <w:r w:rsidRPr="00EC0229">
        <w:rPr>
          <w:rFonts w:eastAsia="Times New Roman" w:cs="Times New Roman"/>
          <w:color w:val="000000"/>
          <w:szCs w:val="24"/>
          <w:lang w:eastAsia="en-GB"/>
        </w:rPr>
        <w:t xml:space="preserve"> (Leiden: BM).</w:t>
      </w:r>
    </w:p>
    <w:p w14:paraId="1FADA1C5"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Wood, I., 2000, ‘Before or After Mission: Social Relations across the Middle and Lower Rhine in the Seventh and Eighth Centuries’, in Hansen and Wickham (eds), 2000, pp. 149–66. </w:t>
      </w:r>
    </w:p>
    <w:p w14:paraId="6323C49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Wood, I., 2007, ‘Review Article: Landscapes Compared’, </w:t>
      </w:r>
      <w:r w:rsidRPr="00EC0229">
        <w:rPr>
          <w:rFonts w:eastAsia="Times New Roman" w:cs="Times New Roman"/>
          <w:i/>
          <w:iCs/>
          <w:color w:val="000000"/>
          <w:szCs w:val="24"/>
          <w:lang w:eastAsia="en-GB"/>
        </w:rPr>
        <w:t>Early Medieval Europe</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15, 223–37.</w:t>
      </w:r>
    </w:p>
    <w:p w14:paraId="6E393C94"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Wood, I., 2008a, ‘Thrymsas, Sceattas and the Cult of the Cross’, in </w:t>
      </w:r>
      <w:r w:rsidRPr="00EC0229">
        <w:rPr>
          <w:rFonts w:eastAsia="Times New Roman" w:cs="Times New Roman"/>
          <w:i/>
          <w:iCs/>
          <w:color w:val="000000"/>
          <w:szCs w:val="24"/>
          <w:lang w:eastAsia="en-GB"/>
        </w:rPr>
        <w:t>SiEMC</w:t>
      </w:r>
      <w:r w:rsidRPr="00EC0229">
        <w:rPr>
          <w:rFonts w:eastAsia="Times New Roman" w:cs="Times New Roman"/>
          <w:iCs/>
          <w:color w:val="000000"/>
          <w:szCs w:val="24"/>
          <w:lang w:eastAsia="en-GB"/>
        </w:rPr>
        <w:t xml:space="preserve">, </w:t>
      </w:r>
      <w:r w:rsidRPr="00EC0229">
        <w:rPr>
          <w:rFonts w:eastAsia="Times New Roman" w:cs="Times New Roman"/>
          <w:color w:val="000000"/>
          <w:szCs w:val="24"/>
          <w:lang w:eastAsia="en-GB"/>
        </w:rPr>
        <w:t>1, pp. 23–30.</w:t>
      </w:r>
    </w:p>
    <w:p w14:paraId="24D5D94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Wood, I., 2008b, ‘Monasteries and the Geography of Power in the Age of Bede’, </w:t>
      </w:r>
      <w:r w:rsidRPr="00EC0229">
        <w:rPr>
          <w:rFonts w:eastAsia="Times New Roman" w:cs="Times New Roman"/>
          <w:i/>
          <w:iCs/>
          <w:color w:val="000000"/>
          <w:szCs w:val="24"/>
          <w:lang w:eastAsia="en-GB"/>
        </w:rPr>
        <w:t>NH</w:t>
      </w:r>
      <w:r w:rsidRPr="00EC0229">
        <w:rPr>
          <w:rFonts w:eastAsia="Times New Roman" w:cs="Times New Roman"/>
          <w:iCs/>
          <w:color w:val="000000"/>
          <w:szCs w:val="24"/>
          <w:lang w:eastAsia="en-GB"/>
        </w:rPr>
        <w:t>,</w:t>
      </w:r>
      <w:r w:rsidRPr="00EC0229">
        <w:rPr>
          <w:rFonts w:eastAsia="Times New Roman" w:cs="Times New Roman"/>
          <w:color w:val="000000"/>
          <w:szCs w:val="24"/>
          <w:lang w:eastAsia="en-GB"/>
        </w:rPr>
        <w:t xml:space="preserve"> 45, 11–25.</w:t>
      </w:r>
    </w:p>
    <w:p w14:paraId="3AFE293A"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Woodman, D. A. (ed.), 2012, </w:t>
      </w:r>
      <w:r w:rsidRPr="00EC0229">
        <w:rPr>
          <w:rFonts w:eastAsia="Times New Roman" w:cs="Times New Roman"/>
          <w:i/>
          <w:color w:val="000000"/>
          <w:szCs w:val="24"/>
          <w:lang w:eastAsia="en-GB"/>
        </w:rPr>
        <w:t>Charters of Northern Houses</w:t>
      </w:r>
      <w:r w:rsidRPr="00EC0229">
        <w:rPr>
          <w:rFonts w:eastAsia="Times New Roman" w:cs="Times New Roman"/>
          <w:color w:val="000000"/>
          <w:szCs w:val="24"/>
          <w:lang w:eastAsia="en-GB"/>
        </w:rPr>
        <w:t xml:space="preserve">, </w:t>
      </w:r>
      <w:r w:rsidRPr="00EC0229">
        <w:rPr>
          <w:rFonts w:eastAsia="Times New Roman" w:cs="Times New Roman"/>
          <w:iCs/>
          <w:color w:val="000000"/>
          <w:szCs w:val="24"/>
          <w:lang w:eastAsia="en-GB"/>
        </w:rPr>
        <w:t>Anglo-Saxon Charters</w:t>
      </w:r>
      <w:r w:rsidRPr="00EC0229">
        <w:rPr>
          <w:rFonts w:eastAsia="Times New Roman" w:cs="Times New Roman"/>
          <w:color w:val="000000"/>
          <w:szCs w:val="24"/>
          <w:lang w:eastAsia="en-GB"/>
        </w:rPr>
        <w:t>, 16 (Oxford: OUP).</w:t>
      </w:r>
    </w:p>
    <w:p w14:paraId="43807022"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Wormald, P., 2006, </w:t>
      </w:r>
      <w:r w:rsidRPr="00EC0229">
        <w:rPr>
          <w:rFonts w:eastAsia="Times New Roman" w:cs="Times New Roman"/>
          <w:i/>
          <w:iCs/>
          <w:color w:val="000000"/>
          <w:szCs w:val="24"/>
          <w:lang w:eastAsia="en-GB"/>
        </w:rPr>
        <w:t>The Times of Bede, 625–865: Studies in Early English Christian Society and Its Historian</w:t>
      </w:r>
      <w:r w:rsidRPr="00EC0229">
        <w:rPr>
          <w:rFonts w:eastAsia="Times New Roman" w:cs="Times New Roman"/>
          <w:color w:val="000000"/>
          <w:szCs w:val="24"/>
          <w:lang w:eastAsia="en-GB"/>
        </w:rPr>
        <w:t xml:space="preserve"> (Malden: Blackwell).</w:t>
      </w:r>
    </w:p>
    <w:p w14:paraId="315AAEEE"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Wrathmell, S., 2003, ‘Regional Frameworks for Medieval Rural Settlement’, in Manby, Moorhouse, and Ottaway (eds), 2003, pp. 363–68.</w:t>
      </w:r>
    </w:p>
    <w:p w14:paraId="7EF5AD7C"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Wrathmell, S., 2010, ‘A History of Wharram Percy and Its Neighbours’, C. Harding, E. Marlow-Mann, and S. Wrathmell (eds), </w:t>
      </w:r>
      <w:r w:rsidRPr="00EC0229">
        <w:rPr>
          <w:rFonts w:eastAsia="Times New Roman" w:cs="Times New Roman"/>
          <w:i/>
          <w:color w:val="000000"/>
          <w:szCs w:val="24"/>
          <w:lang w:eastAsia="en-GB"/>
        </w:rPr>
        <w:t>Wharram: A Study of Settlement on the Yorkshire Wolds. Volume 12: The Post-Medieval Farm and Vicarage Sites</w:t>
      </w:r>
      <w:r w:rsidRPr="00EC0229">
        <w:rPr>
          <w:rFonts w:eastAsia="Times New Roman" w:cs="Times New Roman"/>
          <w:color w:val="000000"/>
          <w:szCs w:val="24"/>
          <w:lang w:eastAsia="en-GB"/>
        </w:rPr>
        <w:t xml:space="preserve"> (York: Department of Archaeology, University of York), p. 15.</w:t>
      </w:r>
    </w:p>
    <w:p w14:paraId="320D63C3" w14:textId="77777777" w:rsidR="005B3AC3" w:rsidRPr="00EC0229" w:rsidRDefault="005B3AC3" w:rsidP="005B3AC3">
      <w:pPr>
        <w:spacing w:after="0"/>
        <w:rPr>
          <w:rFonts w:eastAsia="Times New Roman" w:cs="Times New Roman"/>
          <w:color w:val="000000"/>
          <w:szCs w:val="24"/>
          <w:lang w:eastAsia="en-GB"/>
        </w:rPr>
      </w:pPr>
    </w:p>
    <w:p w14:paraId="46B8F11A"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bookmarkStart w:id="1016" w:name="Y"/>
      <w:bookmarkEnd w:id="1016"/>
      <w:r w:rsidRPr="00EC0229">
        <w:rPr>
          <w:rFonts w:eastAsia="Times New Roman" w:cs="Times New Roman"/>
          <w:color w:val="000000"/>
          <w:position w:val="-11"/>
          <w:sz w:val="112"/>
          <w:szCs w:val="24"/>
          <w:lang w:eastAsia="en-GB"/>
        </w:rPr>
        <w:t>Y</w:t>
      </w:r>
    </w:p>
    <w:p w14:paraId="4006544D"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orke, B., 1990, </w:t>
      </w:r>
      <w:r w:rsidRPr="00EC0229">
        <w:rPr>
          <w:rFonts w:eastAsia="Times New Roman" w:cs="Times New Roman"/>
          <w:i/>
          <w:iCs/>
          <w:color w:val="000000"/>
          <w:szCs w:val="24"/>
          <w:lang w:eastAsia="en-GB"/>
        </w:rPr>
        <w:t>Kings and Kingdoms in Early Anglo-Saxon England</w:t>
      </w:r>
      <w:r w:rsidRPr="00EC0229">
        <w:rPr>
          <w:rFonts w:eastAsia="Times New Roman" w:cs="Times New Roman"/>
          <w:color w:val="000000"/>
          <w:szCs w:val="24"/>
          <w:lang w:eastAsia="en-GB"/>
        </w:rPr>
        <w:t xml:space="preserve"> (London: Seaby).</w:t>
      </w:r>
    </w:p>
    <w:p w14:paraId="4DDCF05A" w14:textId="77777777" w:rsidR="005B3AC3" w:rsidRPr="00EC0229" w:rsidRDefault="005B3AC3" w:rsidP="005B3AC3">
      <w:pPr>
        <w:spacing w:after="0"/>
        <w:rPr>
          <w:rFonts w:eastAsia="Times New Roman" w:cs="Times New Roman"/>
          <w:color w:val="000000"/>
          <w:szCs w:val="24"/>
          <w:lang w:eastAsia="en-GB"/>
        </w:rPr>
      </w:pPr>
    </w:p>
    <w:p w14:paraId="2FFD997E" w14:textId="77777777" w:rsidR="005B3AC3" w:rsidRPr="00EC0229" w:rsidRDefault="005B3AC3" w:rsidP="005B3AC3">
      <w:pPr>
        <w:spacing w:after="0"/>
        <w:rPr>
          <w:rFonts w:eastAsia="Times New Roman" w:cs="Times New Roman"/>
          <w:color w:val="000000"/>
          <w:szCs w:val="24"/>
          <w:lang w:eastAsia="en-GB"/>
        </w:rPr>
      </w:pPr>
    </w:p>
    <w:p w14:paraId="2EF646B9" w14:textId="77777777" w:rsidR="005B3AC3" w:rsidRPr="00EC0229" w:rsidRDefault="005B3AC3" w:rsidP="005B3AC3">
      <w:pPr>
        <w:keepNext/>
        <w:framePr w:dropCap="margin" w:lines="3" w:wrap="around" w:vAnchor="text" w:hAnchor="page"/>
        <w:spacing w:after="0" w:line="827" w:lineRule="exact"/>
        <w:textAlignment w:val="baseline"/>
        <w:rPr>
          <w:rFonts w:eastAsia="Times New Roman" w:cs="Times New Roman"/>
          <w:color w:val="000000"/>
          <w:position w:val="-11"/>
          <w:sz w:val="112"/>
          <w:szCs w:val="24"/>
          <w:lang w:eastAsia="en-GB"/>
        </w:rPr>
      </w:pPr>
      <w:r w:rsidRPr="00EC0229">
        <w:rPr>
          <w:rFonts w:eastAsia="Times New Roman" w:cs="Times New Roman"/>
          <w:color w:val="000000"/>
          <w:position w:val="-11"/>
          <w:sz w:val="112"/>
          <w:szCs w:val="24"/>
          <w:lang w:eastAsia="en-GB"/>
        </w:rPr>
        <w:t>Z</w:t>
      </w:r>
      <w:bookmarkStart w:id="1017" w:name="Z"/>
      <w:bookmarkEnd w:id="1017"/>
    </w:p>
    <w:p w14:paraId="3903F9C7" w14:textId="7777777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iegler, P., 1998, </w:t>
      </w:r>
      <w:r w:rsidRPr="00EC0229">
        <w:rPr>
          <w:rFonts w:eastAsia="Times New Roman" w:cs="Times New Roman"/>
          <w:i/>
          <w:iCs/>
          <w:color w:val="000000"/>
          <w:szCs w:val="24"/>
          <w:lang w:eastAsia="en-GB"/>
        </w:rPr>
        <w:t>The Black Death</w:t>
      </w:r>
      <w:r w:rsidRPr="00EC0229">
        <w:rPr>
          <w:rFonts w:eastAsia="Times New Roman" w:cs="Times New Roman"/>
          <w:color w:val="000000"/>
          <w:szCs w:val="24"/>
          <w:lang w:eastAsia="en-GB"/>
        </w:rPr>
        <w:t xml:space="preserve"> (London: Penguin).</w:t>
      </w:r>
    </w:p>
    <w:p w14:paraId="68922793" w14:textId="77777777" w:rsidR="005B3AC3" w:rsidRPr="00EC0229" w:rsidRDefault="005B3AC3" w:rsidP="005B3AC3">
      <w:pPr>
        <w:spacing w:line="259" w:lineRule="auto"/>
        <w:jc w:val="left"/>
        <w:rPr>
          <w:rFonts w:eastAsiaTheme="majorEastAsia" w:cstheme="majorBidi"/>
          <w:b/>
          <w:sz w:val="32"/>
          <w:szCs w:val="32"/>
        </w:rPr>
      </w:pPr>
      <w:r w:rsidRPr="00EC0229">
        <w:br w:type="page"/>
      </w:r>
    </w:p>
    <w:p w14:paraId="56B79919" w14:textId="77777777" w:rsidR="005B3AC3" w:rsidRPr="00EC0229" w:rsidRDefault="005B3AC3" w:rsidP="005B3AC3">
      <w:pPr>
        <w:pStyle w:val="Heading1"/>
        <w:spacing w:line="276" w:lineRule="auto"/>
      </w:pPr>
      <w:bookmarkStart w:id="1018" w:name="_Toc468266972"/>
      <w:bookmarkStart w:id="1019" w:name="_Toc446753921"/>
      <w:r w:rsidRPr="00EC0229">
        <w:lastRenderedPageBreak/>
        <w:t>Websites</w:t>
      </w:r>
      <w:bookmarkEnd w:id="1018"/>
      <w:r w:rsidRPr="00EC0229">
        <w:fldChar w:fldCharType="begin"/>
      </w:r>
      <w:r w:rsidRPr="00EC0229">
        <w:instrText xml:space="preserve"> XE "</w:instrText>
      </w:r>
      <w:r w:rsidRPr="00EC0229">
        <w:rPr>
          <w:rStyle w:val="Hyperlink"/>
          <w:noProof/>
          <w:u w:val="none"/>
        </w:rPr>
        <w:instrText>Websites</w:instrText>
      </w:r>
      <w:r w:rsidRPr="00EC0229">
        <w:instrText xml:space="preserve">" </w:instrText>
      </w:r>
      <w:r w:rsidRPr="00EC0229">
        <w:fldChar w:fldCharType="end"/>
      </w:r>
    </w:p>
    <w:bookmarkEnd w:id="1019"/>
    <w:p w14:paraId="410C3D2B" w14:textId="77777777" w:rsidR="005B3AC3" w:rsidRPr="00EC0229" w:rsidRDefault="005B3AC3" w:rsidP="005B3AC3">
      <w:pPr>
        <w:pStyle w:val="FootnoteText"/>
        <w:spacing w:line="276" w:lineRule="auto"/>
        <w:rPr>
          <w:sz w:val="24"/>
          <w:szCs w:val="24"/>
        </w:rPr>
      </w:pPr>
    </w:p>
    <w:p w14:paraId="0D9362B5" w14:textId="523C9F67" w:rsidR="005B3AC3" w:rsidRPr="00EC0229" w:rsidRDefault="005B3AC3" w:rsidP="005B3AC3">
      <w:pPr>
        <w:pStyle w:val="FootnoteText"/>
        <w:spacing w:line="276" w:lineRule="auto"/>
        <w:jc w:val="left"/>
        <w:rPr>
          <w:sz w:val="24"/>
          <w:szCs w:val="24"/>
        </w:rPr>
      </w:pPr>
      <w:r w:rsidRPr="00EC0229">
        <w:rPr>
          <w:sz w:val="24"/>
          <w:szCs w:val="24"/>
        </w:rPr>
        <w:t>Archaeology Data Service, University of York</w:t>
      </w:r>
      <w:r w:rsidRPr="00EC0229">
        <w:rPr>
          <w:sz w:val="24"/>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 w:val="24"/>
          <w:szCs w:val="24"/>
        </w:rPr>
        <w:fldChar w:fldCharType="end"/>
      </w:r>
      <w:r w:rsidRPr="00EC0229">
        <w:rPr>
          <w:sz w:val="24"/>
          <w:szCs w:val="24"/>
        </w:rPr>
        <w:t xml:space="preserve">: </w:t>
      </w:r>
      <w:hyperlink r:id="rId526" w:history="1">
        <w:r w:rsidRPr="00EC0229">
          <w:rPr>
            <w:rStyle w:val="Hyperlink"/>
            <w:sz w:val="24"/>
            <w:szCs w:val="24"/>
            <w:u w:val="none"/>
          </w:rPr>
          <w:t>http://archaeologydataservice.ac.uk/</w:t>
        </w:r>
      </w:hyperlink>
    </w:p>
    <w:p w14:paraId="6A3E6330" w14:textId="7ABC0E47" w:rsidR="005B3AC3" w:rsidRPr="00EC0229" w:rsidRDefault="005B3AC3" w:rsidP="005B3AC3">
      <w:pPr>
        <w:pStyle w:val="NoSpacing"/>
        <w:spacing w:line="276" w:lineRule="auto"/>
        <w:jc w:val="left"/>
      </w:pPr>
      <w:r w:rsidRPr="00EC0229">
        <w:rPr>
          <w:szCs w:val="24"/>
        </w:rPr>
        <w:t>Archibald, M., 2011, Ipswich:</w:t>
      </w:r>
      <w:r w:rsidRPr="00EC0229">
        <w:rPr>
          <w:rFonts w:eastAsia="Times New Roman" w:cs="Times New Roman"/>
          <w:szCs w:val="24"/>
          <w:lang w:eastAsia="en-GB"/>
        </w:rPr>
        <w:t xml:space="preserve"> </w:t>
      </w:r>
      <w:r w:rsidRPr="00EC0229">
        <w:rPr>
          <w:rFonts w:eastAsia="Times New Roman" w:cs="Times New Roman"/>
          <w:i/>
          <w:iCs/>
          <w:szCs w:val="24"/>
          <w:lang w:eastAsia="en-GB"/>
        </w:rPr>
        <w:t>Specialist Report: Coins from the Ipswich Excavations</w:t>
      </w:r>
      <w:r w:rsidRPr="00EC0229">
        <w:rPr>
          <w:rFonts w:eastAsia="Times New Roman" w:cs="Times New Roman"/>
          <w:iCs/>
          <w:szCs w:val="24"/>
          <w:lang w:eastAsia="en-GB"/>
        </w:rPr>
        <w:t>:</w:t>
      </w:r>
      <w:r w:rsidRPr="00EC0229">
        <w:t xml:space="preserve"> </w:t>
      </w:r>
      <w:hyperlink r:id="rId527" w:history="1">
        <w:r w:rsidRPr="00EC0229">
          <w:rPr>
            <w:rStyle w:val="Hyperlink"/>
            <w:u w:val="none"/>
          </w:rPr>
          <w:t>http://archaeologydataservice.ac.uk/archives/view/ipswich_parent_2015/</w:t>
        </w:r>
      </w:hyperlink>
    </w:p>
    <w:p w14:paraId="7670136F" w14:textId="1B7CAE29" w:rsidR="005B3AC3" w:rsidRPr="00EC0229" w:rsidRDefault="005B3AC3" w:rsidP="005B3AC3">
      <w:pPr>
        <w:pStyle w:val="NoSpacing"/>
        <w:spacing w:line="276" w:lineRule="auto"/>
        <w:jc w:val="left"/>
        <w:rPr>
          <w:szCs w:val="24"/>
        </w:rPr>
      </w:pPr>
      <w:r w:rsidRPr="00EC0229">
        <w:rPr>
          <w:szCs w:val="24"/>
        </w:rPr>
        <w:t xml:space="preserve">Bambrook, G., 2005, ‘Metal Detector Survey’, </w:t>
      </w:r>
      <w:r w:rsidRPr="00EC0229">
        <w:rPr>
          <w:i/>
          <w:szCs w:val="24"/>
        </w:rPr>
        <w:t>Historia Detectum</w:t>
      </w:r>
      <w:r w:rsidRPr="00EC0229">
        <w:rPr>
          <w:szCs w:val="24"/>
        </w:rPr>
        <w:t xml:space="preserve">, </w:t>
      </w:r>
      <w:hyperlink r:id="rId528" w:history="1">
        <w:r w:rsidRPr="00EC0229">
          <w:rPr>
            <w:rStyle w:val="Hyperlink"/>
            <w:szCs w:val="24"/>
            <w:u w:val="none"/>
          </w:rPr>
          <w:t>http://archaeologydataservice.ac.uk/archiveDS/archiveDownload?t=arch-1596-1/dissemination/pdf/metal_detector_survey/BURDALE_metaldetecting_report_1.pdf</w:t>
        </w:r>
      </w:hyperlink>
    </w:p>
    <w:p w14:paraId="44A671D9" w14:textId="193211D2" w:rsidR="005B3AC3" w:rsidRPr="00EC0229" w:rsidRDefault="005B3AC3" w:rsidP="005B3AC3">
      <w:pPr>
        <w:pStyle w:val="FootnoteText"/>
        <w:spacing w:line="276" w:lineRule="auto"/>
        <w:jc w:val="left"/>
        <w:rPr>
          <w:sz w:val="24"/>
          <w:szCs w:val="24"/>
        </w:rPr>
      </w:pPr>
      <w:r w:rsidRPr="00EC0229">
        <w:rPr>
          <w:sz w:val="24"/>
          <w:szCs w:val="24"/>
        </w:rPr>
        <w:t xml:space="preserve">Blair, J., 2014, ‘Exploring Anglo-Saxon Settlement’, </w:t>
      </w:r>
      <w:r w:rsidRPr="00EC0229">
        <w:rPr>
          <w:i/>
          <w:sz w:val="24"/>
          <w:szCs w:val="24"/>
        </w:rPr>
        <w:t>CA</w:t>
      </w:r>
      <w:r w:rsidRPr="00EC0229">
        <w:rPr>
          <w:sz w:val="24"/>
          <w:szCs w:val="24"/>
        </w:rPr>
        <w:t xml:space="preserve">, 291: </w:t>
      </w:r>
      <w:hyperlink r:id="rId529" w:history="1">
        <w:r w:rsidRPr="00EC0229">
          <w:rPr>
            <w:rStyle w:val="Hyperlink"/>
            <w:sz w:val="24"/>
            <w:szCs w:val="24"/>
            <w:u w:val="none"/>
          </w:rPr>
          <w:t>www.archaeology.co.uk/articles/features/exploring-anglo-saxon-settlement.htm</w:t>
        </w:r>
      </w:hyperlink>
    </w:p>
    <w:p w14:paraId="406A7AA8" w14:textId="30E25E3C" w:rsidR="005B3AC3" w:rsidRPr="00EC0229" w:rsidRDefault="005B3AC3" w:rsidP="005B3AC3">
      <w:pPr>
        <w:pStyle w:val="FootnoteText"/>
        <w:spacing w:line="276" w:lineRule="auto"/>
        <w:jc w:val="left"/>
        <w:rPr>
          <w:sz w:val="24"/>
          <w:szCs w:val="24"/>
        </w:rPr>
      </w:pPr>
      <w:r w:rsidRPr="00EC0229">
        <w:rPr>
          <w:sz w:val="24"/>
          <w:szCs w:val="24"/>
        </w:rPr>
        <w:t xml:space="preserve">Corrosionpedia: </w:t>
      </w:r>
      <w:hyperlink r:id="rId530" w:history="1">
        <w:r w:rsidRPr="00EC0229">
          <w:rPr>
            <w:rStyle w:val="Hyperlink"/>
            <w:sz w:val="24"/>
            <w:szCs w:val="24"/>
            <w:u w:val="none"/>
          </w:rPr>
          <w:t>www.corrosionpedia.com/definition/638/hot-shortness</w:t>
        </w:r>
      </w:hyperlink>
    </w:p>
    <w:p w14:paraId="4FF05D4A" w14:textId="7745FF6E" w:rsidR="005B3AC3" w:rsidRPr="00EC0229" w:rsidRDefault="005B3AC3" w:rsidP="005B3AC3">
      <w:pPr>
        <w:pStyle w:val="FootnoteText"/>
        <w:spacing w:line="276" w:lineRule="auto"/>
        <w:jc w:val="left"/>
        <w:rPr>
          <w:sz w:val="24"/>
          <w:szCs w:val="24"/>
        </w:rPr>
      </w:pPr>
      <w:r w:rsidRPr="00EC0229">
        <w:rPr>
          <w:sz w:val="24"/>
          <w:szCs w:val="24"/>
        </w:rPr>
        <w:t>Corpus of Anglo-Saxon</w:t>
      </w:r>
      <w:r w:rsidRPr="00EC0229">
        <w:rPr>
          <w:sz w:val="24"/>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 w:val="24"/>
          <w:szCs w:val="24"/>
        </w:rPr>
        <w:fldChar w:fldCharType="end"/>
      </w:r>
      <w:r w:rsidRPr="00EC0229">
        <w:rPr>
          <w:sz w:val="24"/>
          <w:szCs w:val="24"/>
        </w:rPr>
        <w:t xml:space="preserve"> Stone Sculpture: </w:t>
      </w:r>
      <w:hyperlink r:id="rId531" w:history="1">
        <w:r w:rsidRPr="00EC0229">
          <w:rPr>
            <w:rStyle w:val="Hyperlink"/>
            <w:sz w:val="24"/>
            <w:szCs w:val="24"/>
            <w:u w:val="none"/>
          </w:rPr>
          <w:t>www.ascorpus.ac.uk/index.php</w:t>
        </w:r>
      </w:hyperlink>
    </w:p>
    <w:p w14:paraId="5337CD0D" w14:textId="77777777" w:rsidR="005B3AC3" w:rsidRPr="00EC0229" w:rsidRDefault="005B3AC3" w:rsidP="005B3AC3">
      <w:pPr>
        <w:pStyle w:val="FootnoteText"/>
        <w:spacing w:line="276" w:lineRule="auto"/>
        <w:jc w:val="left"/>
        <w:rPr>
          <w:sz w:val="24"/>
          <w:szCs w:val="24"/>
        </w:rPr>
      </w:pPr>
      <w:r w:rsidRPr="00EC0229">
        <w:rPr>
          <w:sz w:val="24"/>
          <w:szCs w:val="24"/>
        </w:rPr>
        <w:t>Corpus of Early Medieval Coin Finds: http://www-cm.fitzmuseum.cam.ac.uk/dept/coins/projects/hoards/</w:t>
      </w:r>
    </w:p>
    <w:p w14:paraId="1EC25E84" w14:textId="536524C8" w:rsidR="005B3AC3" w:rsidRPr="00EC0229" w:rsidRDefault="005B3AC3" w:rsidP="005B3AC3">
      <w:pPr>
        <w:pStyle w:val="FootnoteText"/>
        <w:spacing w:line="276" w:lineRule="auto"/>
        <w:jc w:val="left"/>
        <w:rPr>
          <w:sz w:val="24"/>
          <w:szCs w:val="24"/>
        </w:rPr>
      </w:pPr>
      <w:r w:rsidRPr="00EC0229">
        <w:rPr>
          <w:sz w:val="24"/>
          <w:szCs w:val="24"/>
        </w:rPr>
        <w:t>Distribution Mapping</w:t>
      </w:r>
      <w:r w:rsidRPr="00EC0229">
        <w:rPr>
          <w:sz w:val="24"/>
          <w:szCs w:val="24"/>
        </w:rPr>
        <w:fldChar w:fldCharType="begin"/>
      </w:r>
      <w:r w:rsidRPr="00EC0229">
        <w:instrText xml:space="preserve"> XE "</w:instrText>
      </w:r>
      <w:r w:rsidRPr="00EC0229">
        <w:rPr>
          <w:rStyle w:val="Hyperlink"/>
          <w:noProof/>
          <w:u w:val="none"/>
        </w:rPr>
        <w:instrText>Mapping</w:instrText>
      </w:r>
      <w:r w:rsidRPr="00EC0229">
        <w:instrText xml:space="preserve">" </w:instrText>
      </w:r>
      <w:r w:rsidRPr="00EC0229">
        <w:rPr>
          <w:sz w:val="24"/>
          <w:szCs w:val="24"/>
        </w:rPr>
        <w:fldChar w:fldCharType="end"/>
      </w:r>
      <w:r w:rsidRPr="00EC0229">
        <w:rPr>
          <w:sz w:val="24"/>
          <w:szCs w:val="24"/>
        </w:rPr>
        <w:t xml:space="preserve"> Software: </w:t>
      </w:r>
      <w:hyperlink r:id="rId532" w:history="1">
        <w:r w:rsidRPr="00EC0229">
          <w:rPr>
            <w:rStyle w:val="Hyperlink"/>
            <w:sz w:val="24"/>
            <w:szCs w:val="24"/>
            <w:u w:val="none"/>
          </w:rPr>
          <w:t>www.dmap.co.uk/</w:t>
        </w:r>
      </w:hyperlink>
    </w:p>
    <w:p w14:paraId="21B0ABEC" w14:textId="6A40F661" w:rsidR="005B3AC3" w:rsidRPr="00EC0229" w:rsidRDefault="005B3AC3" w:rsidP="005B3AC3">
      <w:pPr>
        <w:pStyle w:val="FootnoteText"/>
        <w:spacing w:line="276" w:lineRule="auto"/>
        <w:jc w:val="left"/>
        <w:rPr>
          <w:sz w:val="24"/>
          <w:szCs w:val="24"/>
        </w:rPr>
      </w:pPr>
      <w:r w:rsidRPr="00EC0229">
        <w:rPr>
          <w:sz w:val="24"/>
          <w:szCs w:val="24"/>
        </w:rPr>
        <w:t>Early Medieval</w:t>
      </w:r>
      <w:r w:rsidRPr="00EC0229">
        <w:rPr>
          <w:sz w:val="24"/>
          <w:szCs w:val="24"/>
        </w:rPr>
        <w:fldChar w:fldCharType="begin"/>
      </w:r>
      <w:r w:rsidRPr="00EC0229">
        <w:instrText xml:space="preserve"> XE "Early Medieval" </w:instrText>
      </w:r>
      <w:r w:rsidRPr="00EC0229">
        <w:rPr>
          <w:sz w:val="24"/>
          <w:szCs w:val="24"/>
        </w:rPr>
        <w:fldChar w:fldCharType="end"/>
      </w:r>
      <w:r w:rsidRPr="00EC0229">
        <w:rPr>
          <w:sz w:val="24"/>
          <w:szCs w:val="24"/>
        </w:rPr>
        <w:t xml:space="preserve"> Corpus: </w:t>
      </w:r>
      <w:hyperlink r:id="rId533" w:history="1">
        <w:r w:rsidRPr="00EC0229">
          <w:rPr>
            <w:rStyle w:val="Hyperlink"/>
            <w:sz w:val="24"/>
            <w:szCs w:val="24"/>
            <w:u w:val="none"/>
          </w:rPr>
          <w:t>www.fitzmuseum.cam.ac.uk/coins/emc/</w:t>
        </w:r>
      </w:hyperlink>
    </w:p>
    <w:p w14:paraId="11C03888" w14:textId="5938CC64" w:rsidR="005B3AC3" w:rsidRPr="00EC0229" w:rsidRDefault="005B3AC3" w:rsidP="005B3AC3">
      <w:pPr>
        <w:pStyle w:val="NoSpacing"/>
        <w:spacing w:line="276" w:lineRule="auto"/>
        <w:jc w:val="left"/>
        <w:rPr>
          <w:szCs w:val="24"/>
        </w:rPr>
      </w:pPr>
      <w:r w:rsidRPr="00EC0229">
        <w:rPr>
          <w:szCs w:val="24"/>
        </w:rPr>
        <w:t xml:space="preserve">English Heritage: </w:t>
      </w:r>
      <w:hyperlink r:id="rId534" w:history="1">
        <w:r w:rsidRPr="00EC0229">
          <w:rPr>
            <w:rStyle w:val="Hyperlink"/>
            <w:szCs w:val="24"/>
            <w:u w:val="none"/>
          </w:rPr>
          <w:t>www.english-heritage.org.uk/</w:t>
        </w:r>
      </w:hyperlink>
    </w:p>
    <w:p w14:paraId="16456AF0" w14:textId="7305FA68" w:rsidR="005B3AC3" w:rsidRPr="00EC0229" w:rsidRDefault="005B3AC3" w:rsidP="005B3AC3">
      <w:pPr>
        <w:pStyle w:val="NoSpacing"/>
        <w:spacing w:line="276" w:lineRule="auto"/>
        <w:jc w:val="left"/>
        <w:rPr>
          <w:szCs w:val="24"/>
        </w:rPr>
      </w:pPr>
      <w:r w:rsidRPr="00EC0229">
        <w:rPr>
          <w:szCs w:val="24"/>
        </w:rPr>
        <w:t xml:space="preserve">Feudalism: </w:t>
      </w:r>
      <w:hyperlink r:id="rId535" w:history="1">
        <w:r w:rsidRPr="00EC0229">
          <w:rPr>
            <w:rStyle w:val="Hyperlink"/>
            <w:u w:val="none"/>
          </w:rPr>
          <w:t>https://en.wikipedia.org/wiki/Feudalism</w:t>
        </w:r>
      </w:hyperlink>
    </w:p>
    <w:p w14:paraId="00242F24" w14:textId="47645F11" w:rsidR="005B3AC3" w:rsidRPr="00EC0229" w:rsidRDefault="005B3AC3" w:rsidP="005B3AC3">
      <w:pPr>
        <w:pStyle w:val="NoSpacing"/>
        <w:spacing w:line="276" w:lineRule="auto"/>
        <w:jc w:val="left"/>
        <w:rPr>
          <w:szCs w:val="24"/>
        </w:rPr>
      </w:pPr>
      <w:r w:rsidRPr="00EC0229">
        <w:rPr>
          <w:szCs w:val="24"/>
        </w:rPr>
        <w:t xml:space="preserve">Gift Economy: </w:t>
      </w:r>
      <w:hyperlink r:id="rId536" w:history="1">
        <w:r w:rsidRPr="00EC0229">
          <w:rPr>
            <w:rStyle w:val="Hyperlink"/>
            <w:szCs w:val="24"/>
            <w:u w:val="none"/>
          </w:rPr>
          <w:t>https://en.wikipedia.org/wiki/Gift_economy</w:t>
        </w:r>
      </w:hyperlink>
    </w:p>
    <w:p w14:paraId="0731232A" w14:textId="709FEF9B" w:rsidR="005B3AC3" w:rsidRPr="00EC0229" w:rsidRDefault="005B3AC3" w:rsidP="005B3AC3">
      <w:pPr>
        <w:pStyle w:val="NoSpacing"/>
        <w:spacing w:line="276" w:lineRule="auto"/>
        <w:jc w:val="left"/>
        <w:rPr>
          <w:rFonts w:cs="Times New Roman"/>
          <w:szCs w:val="24"/>
        </w:rPr>
      </w:pPr>
      <w:r w:rsidRPr="00EC0229">
        <w:rPr>
          <w:szCs w:val="24"/>
        </w:rPr>
        <w:t xml:space="preserve">Google Maps: </w:t>
      </w:r>
      <w:hyperlink r:id="rId537" w:history="1">
        <w:r w:rsidRPr="00EC0229">
          <w:rPr>
            <w:rStyle w:val="Hyperlink"/>
            <w:rFonts w:cs="Times New Roman"/>
            <w:szCs w:val="24"/>
            <w:u w:val="none"/>
          </w:rPr>
          <w:t>www.google.com/fusiontables/DataSource?docid=1Olx-waa2UBfq02PgLq23ecgCmxSt7eRIpYb8MQLB</w:t>
        </w:r>
      </w:hyperlink>
      <w:r w:rsidRPr="00EC0229">
        <w:rPr>
          <w:rFonts w:cs="Times New Roman"/>
          <w:szCs w:val="24"/>
        </w:rPr>
        <w:t xml:space="preserve"> </w:t>
      </w:r>
    </w:p>
    <w:p w14:paraId="031EC6BF" w14:textId="42B804BF" w:rsidR="005B3AC3" w:rsidRPr="00EC0229" w:rsidRDefault="005B3AC3" w:rsidP="005B3AC3">
      <w:pPr>
        <w:pStyle w:val="FootnoteText"/>
        <w:spacing w:line="276" w:lineRule="auto"/>
        <w:jc w:val="left"/>
        <w:rPr>
          <w:sz w:val="24"/>
          <w:szCs w:val="24"/>
        </w:rPr>
      </w:pPr>
      <w:r w:rsidRPr="00EC0229">
        <w:rPr>
          <w:sz w:val="24"/>
          <w:szCs w:val="24"/>
        </w:rPr>
        <w:t xml:space="preserve">Hayton: </w:t>
      </w:r>
      <w:hyperlink r:id="rId538" w:history="1">
        <w:r w:rsidRPr="00EC0229">
          <w:rPr>
            <w:rStyle w:val="Hyperlink"/>
            <w:sz w:val="24"/>
            <w:szCs w:val="24"/>
            <w:u w:val="none"/>
          </w:rPr>
          <w:t>www.southampton.ac.uk/archaeology/research/projects/landscape_archaeology_of_hayton.page</w:t>
        </w:r>
      </w:hyperlink>
    </w:p>
    <w:p w14:paraId="4EBB4FFD" w14:textId="289ADB8B" w:rsidR="005B3AC3" w:rsidRPr="00EC0229" w:rsidRDefault="00B32C9A" w:rsidP="005B3AC3">
      <w:pPr>
        <w:pStyle w:val="FootnoteText"/>
        <w:spacing w:line="276" w:lineRule="auto"/>
        <w:jc w:val="left"/>
        <w:rPr>
          <w:sz w:val="24"/>
          <w:szCs w:val="24"/>
        </w:rPr>
      </w:pPr>
      <w:hyperlink r:id="rId539" w:history="1">
        <w:r w:rsidR="005B3AC3" w:rsidRPr="00EC0229">
          <w:rPr>
            <w:rStyle w:val="Hyperlink"/>
            <w:sz w:val="24"/>
            <w:szCs w:val="24"/>
            <w:u w:val="none"/>
          </w:rPr>
          <w:t>http://www2.hull.ac.uk/student/archaeology/research/hayton.aspx</w:t>
        </w:r>
      </w:hyperlink>
    </w:p>
    <w:p w14:paraId="02F879DB" w14:textId="57E53A43" w:rsidR="005B3AC3" w:rsidRPr="00EC0229" w:rsidRDefault="00B32C9A" w:rsidP="005B3AC3">
      <w:pPr>
        <w:pStyle w:val="NoSpacing"/>
        <w:spacing w:line="276" w:lineRule="auto"/>
        <w:jc w:val="left"/>
        <w:rPr>
          <w:rStyle w:val="Hyperlink"/>
          <w:szCs w:val="24"/>
          <w:u w:val="none"/>
        </w:rPr>
      </w:pPr>
      <w:hyperlink r:id="rId540" w:history="1">
        <w:r w:rsidR="005B3AC3" w:rsidRPr="00EC0229">
          <w:rPr>
            <w:rStyle w:val="Hyperlink"/>
            <w:szCs w:val="24"/>
            <w:u w:val="none"/>
          </w:rPr>
          <w:t>http://pastscape.org.uk/hob.aspx?hob_id=61387</w:t>
        </w:r>
      </w:hyperlink>
    </w:p>
    <w:p w14:paraId="11677B16" w14:textId="77777777" w:rsidR="005B3AC3" w:rsidRPr="00EC0229" w:rsidRDefault="005B3AC3" w:rsidP="005B3AC3">
      <w:pPr>
        <w:pStyle w:val="NoSpacing"/>
        <w:spacing w:line="276" w:lineRule="auto"/>
        <w:jc w:val="left"/>
        <w:rPr>
          <w:szCs w:val="24"/>
        </w:rPr>
      </w:pPr>
      <w:r w:rsidRPr="00EC0229">
        <w:rPr>
          <w:rStyle w:val="Hyperlink"/>
          <w:szCs w:val="24"/>
          <w:u w:val="none"/>
        </w:rPr>
        <w:t>Historic Environment Records: www.algao.org.uk</w:t>
      </w:r>
    </w:p>
    <w:p w14:paraId="49E9BB22" w14:textId="0FF90338" w:rsidR="005B3AC3" w:rsidRPr="00EC0229" w:rsidRDefault="005B3AC3" w:rsidP="005B3AC3">
      <w:pPr>
        <w:pStyle w:val="FootnoteText"/>
        <w:spacing w:line="276" w:lineRule="auto"/>
        <w:jc w:val="left"/>
        <w:rPr>
          <w:sz w:val="24"/>
          <w:szCs w:val="24"/>
        </w:rPr>
      </w:pPr>
      <w:r w:rsidRPr="00EC0229">
        <w:rPr>
          <w:sz w:val="24"/>
          <w:szCs w:val="24"/>
        </w:rPr>
        <w:t xml:space="preserve">Jarret, J., A Corner of Tenth-Century Europe: </w:t>
      </w:r>
      <w:hyperlink r:id="rId541" w:history="1">
        <w:r w:rsidRPr="00EC0229">
          <w:rPr>
            <w:rStyle w:val="Hyperlink"/>
            <w:sz w:val="24"/>
            <w:szCs w:val="24"/>
            <w:u w:val="none"/>
          </w:rPr>
          <w:t>https://tenthmedieval.wordpress.com/2010/03/18/from-the-sources-v-bedes-letter-to-egbert/</w:t>
        </w:r>
      </w:hyperlink>
    </w:p>
    <w:p w14:paraId="26BCE46A" w14:textId="5EFD3DE1" w:rsidR="005B3AC3" w:rsidRPr="00EC0229" w:rsidRDefault="005B3AC3" w:rsidP="005B3AC3">
      <w:pPr>
        <w:pStyle w:val="NoSpacing"/>
        <w:spacing w:line="276" w:lineRule="auto"/>
        <w:jc w:val="left"/>
        <w:rPr>
          <w:szCs w:val="24"/>
        </w:rPr>
      </w:pPr>
      <w:r w:rsidRPr="00EC0229">
        <w:rPr>
          <w:szCs w:val="24"/>
        </w:rPr>
        <w:t xml:space="preserve">Landscape and Soil Types: </w:t>
      </w:r>
      <w:hyperlink r:id="rId542" w:history="1">
        <w:r w:rsidRPr="00EC0229">
          <w:rPr>
            <w:rStyle w:val="Hyperlink"/>
            <w:szCs w:val="24"/>
            <w:u w:val="none"/>
          </w:rPr>
          <w:t>http://publications.naturalengland.org.uk/</w:t>
        </w:r>
      </w:hyperlink>
    </w:p>
    <w:p w14:paraId="379380EA" w14:textId="77777777" w:rsidR="005B3AC3" w:rsidRPr="00EC0229" w:rsidRDefault="005B3AC3" w:rsidP="005B3AC3">
      <w:pPr>
        <w:pStyle w:val="NoSpacing"/>
        <w:spacing w:line="276" w:lineRule="auto"/>
        <w:jc w:val="left"/>
        <w:rPr>
          <w:szCs w:val="24"/>
        </w:rPr>
      </w:pPr>
      <w:r w:rsidRPr="00EC0229">
        <w:rPr>
          <w:szCs w:val="24"/>
        </w:rPr>
        <w:t>Macnab, N., and J. McComish, ‘28–29 High Ousegate,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UK’:</w:t>
      </w:r>
    </w:p>
    <w:p w14:paraId="30C552A5" w14:textId="343BC5F8" w:rsidR="005B3AC3" w:rsidRPr="00EC0229" w:rsidRDefault="00B32C9A" w:rsidP="005B3AC3">
      <w:pPr>
        <w:pStyle w:val="NoSpacing"/>
        <w:spacing w:line="276" w:lineRule="auto"/>
        <w:jc w:val="left"/>
        <w:rPr>
          <w:szCs w:val="24"/>
        </w:rPr>
      </w:pPr>
      <w:hyperlink r:id="rId543" w:history="1">
        <w:r w:rsidR="005B3AC3" w:rsidRPr="00EC0229">
          <w:rPr>
            <w:rStyle w:val="Hyperlink"/>
            <w:szCs w:val="24"/>
            <w:u w:val="none"/>
          </w:rPr>
          <w:t>www.iadb.co.uk/waterstones/intro.htm</w:t>
        </w:r>
      </w:hyperlink>
    </w:p>
    <w:p w14:paraId="1D006247" w14:textId="74267DC7" w:rsidR="005B3AC3" w:rsidRPr="00EC0229" w:rsidRDefault="005B3AC3" w:rsidP="005B3AC3">
      <w:pPr>
        <w:spacing w:after="0"/>
        <w:rPr>
          <w:rFonts w:eastAsia="Times New Roman" w:cs="Times New Roman"/>
          <w:color w:val="000000"/>
          <w:szCs w:val="24"/>
          <w:lang w:eastAsia="en-GB"/>
        </w:rPr>
      </w:pPr>
      <w:r w:rsidRPr="00EC0229">
        <w:rPr>
          <w:rFonts w:eastAsia="Times New Roman" w:cs="Times New Roman"/>
          <w:color w:val="000000"/>
          <w:szCs w:val="24"/>
          <w:lang w:eastAsia="en-GB"/>
        </w:rPr>
        <w:t xml:space="preserve">Matthew, H. C. G., and B. Harrison (eds), 2004, </w:t>
      </w:r>
      <w:r w:rsidRPr="00EC0229">
        <w:rPr>
          <w:rFonts w:eastAsia="Times New Roman" w:cs="Times New Roman"/>
          <w:i/>
          <w:color w:val="000000"/>
          <w:szCs w:val="24"/>
          <w:lang w:eastAsia="en-GB"/>
        </w:rPr>
        <w:t>Dictionary of National Biography</w:t>
      </w:r>
      <w:r w:rsidRPr="00EC0229">
        <w:rPr>
          <w:rFonts w:eastAsia="Times New Roman" w:cs="Times New Roman"/>
          <w:color w:val="000000"/>
          <w:szCs w:val="24"/>
          <w:lang w:eastAsia="en-GB"/>
        </w:rPr>
        <w:t xml:space="preserve">, new edn (Oxford: OUP): </w:t>
      </w:r>
      <w:hyperlink r:id="rId544" w:history="1">
        <w:r w:rsidRPr="00EC0229">
          <w:rPr>
            <w:rStyle w:val="Hyperlink"/>
            <w:rFonts w:eastAsia="Times New Roman" w:cs="Times New Roman"/>
            <w:szCs w:val="24"/>
            <w:u w:val="none"/>
            <w:lang w:eastAsia="en-GB"/>
          </w:rPr>
          <w:t>www.oxforddnb.com/</w:t>
        </w:r>
      </w:hyperlink>
    </w:p>
    <w:p w14:paraId="32C70B92" w14:textId="03B42E76" w:rsidR="005B3AC3" w:rsidRPr="00EC0229" w:rsidRDefault="005B3AC3" w:rsidP="005B3AC3">
      <w:pPr>
        <w:pStyle w:val="NoSpacing"/>
        <w:spacing w:line="276" w:lineRule="auto"/>
        <w:jc w:val="left"/>
        <w:rPr>
          <w:szCs w:val="24"/>
        </w:rPr>
      </w:pPr>
      <w:r w:rsidRPr="00EC0229">
        <w:rPr>
          <w:szCs w:val="24"/>
        </w:rPr>
        <w:t>McComish, J., ‘Roman</w:t>
      </w:r>
      <w:r w:rsidRPr="00EC0229">
        <w:rPr>
          <w:szCs w:val="24"/>
        </w:rPr>
        <w:fldChar w:fldCharType="begin"/>
      </w:r>
      <w:r w:rsidRPr="00EC0229">
        <w:instrText xml:space="preserve"> XE "Roman" </w:instrText>
      </w:r>
      <w:r w:rsidRPr="00EC0229">
        <w:rPr>
          <w:szCs w:val="24"/>
        </w:rPr>
        <w:fldChar w:fldCharType="end"/>
      </w:r>
      <w:r w:rsidRPr="00EC0229">
        <w:rPr>
          <w:szCs w:val="24"/>
        </w:rPr>
        <w:t>, Anglian</w:t>
      </w:r>
      <w:r w:rsidRPr="00EC0229">
        <w:rPr>
          <w:szCs w:val="24"/>
        </w:rPr>
        <w:fldChar w:fldCharType="begin"/>
      </w:r>
      <w:r w:rsidRPr="00EC0229">
        <w:instrText xml:space="preserve"> XE "Anglian" </w:instrText>
      </w:r>
      <w:r w:rsidRPr="00EC0229">
        <w:rPr>
          <w:szCs w:val="24"/>
        </w:rPr>
        <w:fldChar w:fldCharType="end"/>
      </w:r>
      <w:r w:rsidRPr="00EC0229">
        <w:rPr>
          <w:szCs w:val="24"/>
        </w:rPr>
        <w:t xml:space="preserve"> and Anglo-Scandinavian Activity and a Medieval Cemetery on Land at the Junction of Dixon Lane</w:t>
      </w:r>
      <w:r w:rsidRPr="00EC0229">
        <w:rPr>
          <w:szCs w:val="24"/>
        </w:rPr>
        <w:fldChar w:fldCharType="begin"/>
      </w:r>
      <w:r w:rsidRPr="00EC0229">
        <w:instrText xml:space="preserve"> XE "</w:instrText>
      </w:r>
      <w:r w:rsidRPr="00EC0229">
        <w:rPr>
          <w:rStyle w:val="Hyperlink"/>
          <w:noProof/>
          <w:u w:val="none"/>
        </w:rPr>
        <w:instrText>Dixon Lane</w:instrText>
      </w:r>
      <w:r w:rsidRPr="00EC0229">
        <w:instrText xml:space="preserve">" </w:instrText>
      </w:r>
      <w:r w:rsidRPr="00EC0229">
        <w:rPr>
          <w:szCs w:val="24"/>
        </w:rPr>
        <w:fldChar w:fldCharType="end"/>
      </w:r>
      <w:r w:rsidRPr="00EC0229">
        <w:rPr>
          <w:szCs w:val="24"/>
        </w:rPr>
        <w:t xml:space="preserve"> and George Street</w:t>
      </w:r>
      <w:r w:rsidRPr="00EC0229">
        <w:rPr>
          <w:szCs w:val="24"/>
        </w:rPr>
        <w:fldChar w:fldCharType="begin"/>
      </w:r>
      <w:r w:rsidRPr="00EC0229">
        <w:instrText xml:space="preserve"> XE "</w:instrText>
      </w:r>
      <w:r w:rsidRPr="00EC0229">
        <w:rPr>
          <w:rStyle w:val="Hyperlink"/>
          <w:noProof/>
          <w:u w:val="none"/>
        </w:rPr>
        <w:instrText>George Street</w:instrText>
      </w:r>
      <w:r w:rsidRPr="00EC0229">
        <w:instrText xml:space="preserve">" </w:instrText>
      </w:r>
      <w:r w:rsidRPr="00EC0229">
        <w:rPr>
          <w:szCs w:val="24"/>
        </w:rPr>
        <w:fldChar w:fldCharType="end"/>
      </w:r>
      <w:r w:rsidRPr="00EC0229">
        <w:rPr>
          <w:szCs w:val="24"/>
        </w:rPr>
        <w:t>, 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w:t>
      </w:r>
      <w:hyperlink r:id="rId545" w:history="1">
        <w:r w:rsidRPr="00EC0229">
          <w:rPr>
            <w:rStyle w:val="Hyperlink"/>
            <w:szCs w:val="24"/>
            <w:u w:val="none"/>
          </w:rPr>
          <w:t>www.iadb.co.uk/i3/item.php?ID=IADB:1307:U71</w:t>
        </w:r>
      </w:hyperlink>
    </w:p>
    <w:p w14:paraId="1913A859" w14:textId="32671F63" w:rsidR="005B3AC3" w:rsidRPr="00EC0229" w:rsidRDefault="005B3AC3" w:rsidP="005B3AC3">
      <w:pPr>
        <w:pStyle w:val="NoSpacing"/>
        <w:spacing w:line="276" w:lineRule="auto"/>
        <w:jc w:val="left"/>
        <w:rPr>
          <w:szCs w:val="24"/>
        </w:rPr>
      </w:pPr>
      <w:r w:rsidRPr="00EC0229">
        <w:rPr>
          <w:szCs w:val="24"/>
        </w:rPr>
        <w:t>Portable Antiquities Scheme Finds Database</w:t>
      </w:r>
      <w:r w:rsidRPr="00EC0229">
        <w:rPr>
          <w:szCs w:val="24"/>
        </w:rPr>
        <w:fldChar w:fldCharType="begin"/>
      </w:r>
      <w:r w:rsidRPr="00EC0229">
        <w:instrText xml:space="preserve"> XE "</w:instrText>
      </w:r>
      <w:r w:rsidRPr="00EC0229">
        <w:rPr>
          <w:rStyle w:val="Hyperlink"/>
          <w:noProof/>
          <w:u w:val="none"/>
        </w:rPr>
        <w:instrText>Database</w:instrText>
      </w:r>
      <w:r w:rsidRPr="00EC0229">
        <w:instrText xml:space="preserve">" </w:instrText>
      </w:r>
      <w:r w:rsidRPr="00EC0229">
        <w:rPr>
          <w:szCs w:val="24"/>
        </w:rPr>
        <w:fldChar w:fldCharType="end"/>
      </w:r>
      <w:r w:rsidRPr="00EC0229">
        <w:rPr>
          <w:szCs w:val="24"/>
        </w:rPr>
        <w:t xml:space="preserve">: </w:t>
      </w:r>
      <w:hyperlink r:id="rId546" w:history="1">
        <w:r w:rsidRPr="00EC0229">
          <w:rPr>
            <w:rStyle w:val="Hyperlink"/>
            <w:szCs w:val="24"/>
            <w:u w:val="none"/>
          </w:rPr>
          <w:t>http://finds.org.uk/</w:t>
        </w:r>
      </w:hyperlink>
    </w:p>
    <w:p w14:paraId="222E1CAD" w14:textId="392BED7C" w:rsidR="005B3AC3" w:rsidRPr="00EC0229" w:rsidRDefault="005B3AC3" w:rsidP="005B3AC3">
      <w:pPr>
        <w:pStyle w:val="NoSpacing"/>
        <w:spacing w:line="276" w:lineRule="auto"/>
        <w:jc w:val="left"/>
        <w:rPr>
          <w:szCs w:val="24"/>
        </w:rPr>
      </w:pPr>
      <w:r w:rsidRPr="00EC0229">
        <w:rPr>
          <w:szCs w:val="24"/>
        </w:rPr>
        <w:t>Prosopography of Anglo-Saxon</w:t>
      </w:r>
      <w:r w:rsidRPr="00EC0229">
        <w:rPr>
          <w:szCs w:val="24"/>
        </w:rPr>
        <w:fldChar w:fldCharType="begin"/>
      </w:r>
      <w:r w:rsidRPr="00EC0229">
        <w:instrText xml:space="preserve"> XE "</w:instrText>
      </w:r>
      <w:r w:rsidRPr="00EC0229">
        <w:rPr>
          <w:rStyle w:val="Hyperlink"/>
          <w:noProof/>
          <w:u w:val="none"/>
        </w:rPr>
        <w:instrText>Anglo-Saxon</w:instrText>
      </w:r>
      <w:r w:rsidRPr="00EC0229">
        <w:instrText xml:space="preserve">" </w:instrText>
      </w:r>
      <w:r w:rsidRPr="00EC0229">
        <w:rPr>
          <w:szCs w:val="24"/>
        </w:rPr>
        <w:fldChar w:fldCharType="end"/>
      </w:r>
      <w:r w:rsidRPr="00EC0229">
        <w:rPr>
          <w:szCs w:val="24"/>
        </w:rPr>
        <w:t xml:space="preserve"> England: </w:t>
      </w:r>
      <w:hyperlink r:id="rId547" w:history="1">
        <w:r w:rsidRPr="00EC0229">
          <w:rPr>
            <w:rStyle w:val="Hyperlink"/>
            <w:szCs w:val="24"/>
            <w:u w:val="none"/>
          </w:rPr>
          <w:t>www.pase.ac.uk/index.html</w:t>
        </w:r>
      </w:hyperlink>
    </w:p>
    <w:p w14:paraId="5E0ED11E" w14:textId="654283B0" w:rsidR="005B3AC3" w:rsidRPr="00EC0229" w:rsidRDefault="005B3AC3" w:rsidP="005B3AC3">
      <w:pPr>
        <w:pStyle w:val="NoSpacing"/>
        <w:spacing w:line="276" w:lineRule="auto"/>
        <w:jc w:val="left"/>
        <w:rPr>
          <w:szCs w:val="24"/>
        </w:rPr>
      </w:pPr>
      <w:r w:rsidRPr="00EC0229">
        <w:rPr>
          <w:lang w:eastAsia="en-GB"/>
        </w:rPr>
        <w:t xml:space="preserve">Residuality: </w:t>
      </w:r>
      <w:hyperlink r:id="rId548" w:history="1">
        <w:r w:rsidRPr="00EC0229">
          <w:rPr>
            <w:rStyle w:val="Hyperlink"/>
            <w:u w:val="none"/>
          </w:rPr>
          <w:t>www.york.ac.uk/</w:t>
        </w:r>
        <w:r w:rsidRPr="00EC0229">
          <w:rPr>
            <w:rStyle w:val="Hyperlink"/>
            <w:bCs/>
            <w:u w:val="none"/>
          </w:rPr>
          <w:t>archaeology</w:t>
        </w:r>
        <w:r w:rsidRPr="00EC0229">
          <w:rPr>
            <w:rStyle w:val="Hyperlink"/>
            <w:u w:val="none"/>
          </w:rPr>
          <w:t>/strat/pastpub/95ch2.pdf</w:t>
        </w:r>
      </w:hyperlink>
    </w:p>
    <w:p w14:paraId="7979558B" w14:textId="43C2E861" w:rsidR="005B3AC3" w:rsidRPr="00EC0229" w:rsidRDefault="005B3AC3" w:rsidP="005B3AC3">
      <w:pPr>
        <w:pStyle w:val="NoSpacing"/>
        <w:spacing w:line="276" w:lineRule="auto"/>
        <w:jc w:val="left"/>
        <w:rPr>
          <w:szCs w:val="24"/>
        </w:rPr>
      </w:pPr>
      <w:r w:rsidRPr="00EC0229">
        <w:rPr>
          <w:szCs w:val="24"/>
        </w:rPr>
        <w:t xml:space="preserve">Richards, J., and S. Roskams, 2013, ‘Burdale: An Anglian Settlement in the Yorkshire Wolds’ (Data Paper), </w:t>
      </w:r>
      <w:r w:rsidRPr="00EC0229">
        <w:rPr>
          <w:i/>
          <w:szCs w:val="24"/>
        </w:rPr>
        <w:t>Internet Archaeology</w:t>
      </w:r>
      <w:r w:rsidRPr="00EC0229">
        <w:rPr>
          <w:szCs w:val="24"/>
        </w:rPr>
        <w:t xml:space="preserve">, 35, </w:t>
      </w:r>
      <w:hyperlink r:id="rId549" w:history="1">
        <w:r w:rsidRPr="00EC0229">
          <w:rPr>
            <w:rStyle w:val="Hyperlink"/>
            <w:szCs w:val="24"/>
            <w:u w:val="none"/>
          </w:rPr>
          <w:t>http://dx.doi.org/10.11141/ia.35.8.</w:t>
        </w:r>
      </w:hyperlink>
    </w:p>
    <w:p w14:paraId="3ED3BA0B" w14:textId="2759AB3B" w:rsidR="005B3AC3" w:rsidRPr="00EC0229" w:rsidRDefault="005B3AC3" w:rsidP="005B3AC3">
      <w:pPr>
        <w:pStyle w:val="NoSpacing"/>
        <w:spacing w:line="276" w:lineRule="auto"/>
        <w:jc w:val="left"/>
        <w:rPr>
          <w:szCs w:val="24"/>
        </w:rPr>
      </w:pPr>
      <w:r w:rsidRPr="00EC0229">
        <w:rPr>
          <w:szCs w:val="24"/>
        </w:rPr>
        <w:lastRenderedPageBreak/>
        <w:t xml:space="preserve">Richards, J. D., J. D. Naylor, and C. N. J. Holas-Clark, 2009, ‘Anglo-Saxon Landscape and Economy: Using Portable Antiquities to Study Anglo-Saxon and Viking Age England’: </w:t>
      </w:r>
      <w:hyperlink r:id="rId550" w:history="1">
        <w:r w:rsidRPr="00EC0229">
          <w:rPr>
            <w:rStyle w:val="Hyperlink"/>
            <w:szCs w:val="24"/>
            <w:u w:val="none"/>
          </w:rPr>
          <w:t>http://intarch.ac.uk/journal/issue25/2/toc.html</w:t>
        </w:r>
      </w:hyperlink>
    </w:p>
    <w:p w14:paraId="5B951E46" w14:textId="360AAFAE" w:rsidR="005B3AC3" w:rsidRPr="00EC0229" w:rsidRDefault="005B3AC3" w:rsidP="005B3AC3">
      <w:pPr>
        <w:pStyle w:val="NoSpacing"/>
        <w:spacing w:line="276" w:lineRule="auto"/>
        <w:jc w:val="left"/>
        <w:rPr>
          <w:szCs w:val="24"/>
        </w:rPr>
      </w:pPr>
      <w:r w:rsidRPr="00EC0229">
        <w:rPr>
          <w:szCs w:val="24"/>
        </w:rPr>
        <w:t xml:space="preserve">Roskams, S., C. Neal, J. Richardson, and R. Leary, 2013, ‘A Late Roman Well at Heslington East, York: Ritual or Routine Practices?’: </w:t>
      </w:r>
      <w:hyperlink r:id="rId551" w:history="1">
        <w:r w:rsidRPr="00EC0229">
          <w:rPr>
            <w:rStyle w:val="Hyperlink"/>
            <w:szCs w:val="24"/>
            <w:u w:val="none"/>
          </w:rPr>
          <w:t>http://intarch.ac.uk/journal/issue34/5/toc.html</w:t>
        </w:r>
      </w:hyperlink>
    </w:p>
    <w:p w14:paraId="02B73AF3" w14:textId="5302775C" w:rsidR="005B3AC3" w:rsidRPr="00EC0229" w:rsidRDefault="005B3AC3" w:rsidP="005B3AC3">
      <w:pPr>
        <w:pStyle w:val="NoSpacing"/>
        <w:spacing w:line="276" w:lineRule="auto"/>
        <w:jc w:val="left"/>
      </w:pPr>
      <w:r w:rsidRPr="00EC0229">
        <w:t xml:space="preserve">Schmandt-Besserat, D., 2008, ‘Reckoning before Writing’: </w:t>
      </w:r>
      <w:hyperlink r:id="rId552" w:history="1">
        <w:r w:rsidRPr="00EC0229">
          <w:rPr>
            <w:rStyle w:val="Hyperlink"/>
            <w:u w:val="none"/>
          </w:rPr>
          <w:t>http://en.finaly.org/index.php/Reckoning_before_writing</w:t>
        </w:r>
      </w:hyperlink>
    </w:p>
    <w:p w14:paraId="2BD049D2" w14:textId="20A9D366" w:rsidR="006104F2" w:rsidRPr="006104F2" w:rsidRDefault="006104F2" w:rsidP="006104F2">
      <w:pPr>
        <w:autoSpaceDE w:val="0"/>
        <w:autoSpaceDN w:val="0"/>
        <w:adjustRightInd w:val="0"/>
        <w:spacing w:after="0"/>
        <w:jc w:val="left"/>
        <w:rPr>
          <w:rFonts w:asciiTheme="minorHAnsi" w:hAnsiTheme="minorHAnsi" w:cstheme="minorHAnsi"/>
          <w:szCs w:val="24"/>
        </w:rPr>
      </w:pPr>
      <w:r>
        <w:rPr>
          <w:rFonts w:asciiTheme="minorHAnsi" w:hAnsiTheme="minorHAnsi" w:cstheme="minorHAnsi"/>
          <w:szCs w:val="24"/>
        </w:rPr>
        <w:t>S</w:t>
      </w:r>
      <w:r w:rsidRPr="006104F2">
        <w:rPr>
          <w:rFonts w:asciiTheme="minorHAnsi" w:hAnsiTheme="minorHAnsi" w:cstheme="minorHAnsi"/>
          <w:szCs w:val="24"/>
        </w:rPr>
        <w:t>cull</w:t>
      </w:r>
      <w:r>
        <w:rPr>
          <w:rFonts w:asciiTheme="minorHAnsi" w:hAnsiTheme="minorHAnsi" w:cstheme="minorHAnsi"/>
          <w:szCs w:val="24"/>
        </w:rPr>
        <w:t>, C. and</w:t>
      </w:r>
      <w:r w:rsidRPr="006104F2">
        <w:rPr>
          <w:rFonts w:asciiTheme="minorHAnsi" w:hAnsiTheme="minorHAnsi" w:cstheme="minorHAnsi"/>
          <w:szCs w:val="24"/>
        </w:rPr>
        <w:t xml:space="preserve"> Naylor</w:t>
      </w:r>
      <w:r>
        <w:rPr>
          <w:rFonts w:asciiTheme="minorHAnsi" w:hAnsiTheme="minorHAnsi" w:cstheme="minorHAnsi"/>
          <w:szCs w:val="24"/>
        </w:rPr>
        <w:t>, J.,</w:t>
      </w:r>
      <w:r w:rsidRPr="006104F2">
        <w:rPr>
          <w:rFonts w:asciiTheme="minorHAnsi" w:hAnsiTheme="minorHAnsi" w:cstheme="minorHAnsi"/>
          <w:szCs w:val="24"/>
        </w:rPr>
        <w:t xml:space="preserve"> 2016</w:t>
      </w:r>
      <w:r>
        <w:rPr>
          <w:rFonts w:asciiTheme="minorHAnsi" w:hAnsiTheme="minorHAnsi" w:cstheme="minorHAnsi"/>
          <w:szCs w:val="24"/>
        </w:rPr>
        <w:t>.</w:t>
      </w:r>
      <w:r w:rsidRPr="006104F2">
        <w:rPr>
          <w:rFonts w:asciiTheme="minorHAnsi" w:hAnsiTheme="minorHAnsi" w:cstheme="minorHAnsi"/>
          <w:szCs w:val="24"/>
        </w:rPr>
        <w:t xml:space="preserve"> Sceattas in Anglo-Saxon Graves,</w:t>
      </w:r>
      <w:r>
        <w:rPr>
          <w:rFonts w:asciiTheme="minorHAnsi" w:hAnsiTheme="minorHAnsi" w:cstheme="minorHAnsi"/>
          <w:szCs w:val="24"/>
        </w:rPr>
        <w:t xml:space="preserve"> </w:t>
      </w:r>
      <w:r>
        <w:rPr>
          <w:rFonts w:asciiTheme="minorHAnsi" w:hAnsiTheme="minorHAnsi" w:cstheme="minorHAnsi"/>
          <w:i/>
          <w:szCs w:val="24"/>
        </w:rPr>
        <w:t>Med Arch</w:t>
      </w:r>
      <w:r w:rsidRPr="006104F2">
        <w:rPr>
          <w:rFonts w:asciiTheme="minorHAnsi" w:hAnsiTheme="minorHAnsi" w:cstheme="minorHAnsi"/>
          <w:i/>
          <w:szCs w:val="24"/>
        </w:rPr>
        <w:t>,</w:t>
      </w:r>
      <w:r w:rsidRPr="006104F2">
        <w:rPr>
          <w:rFonts w:asciiTheme="minorHAnsi" w:hAnsiTheme="minorHAnsi" w:cstheme="minorHAnsi"/>
          <w:szCs w:val="24"/>
        </w:rPr>
        <w:t xml:space="preserve"> 60:2, 205-241, </w:t>
      </w:r>
      <w:hyperlink r:id="rId553" w:history="1">
        <w:r w:rsidRPr="006104F2">
          <w:rPr>
            <w:rStyle w:val="Hyperlink"/>
            <w:rFonts w:asciiTheme="minorHAnsi" w:hAnsiTheme="minorHAnsi" w:cstheme="minorHAnsi"/>
            <w:szCs w:val="24"/>
          </w:rPr>
          <w:t>http://dx.doi.org/10.1080/00766097.2016.1221262</w:t>
        </w:r>
      </w:hyperlink>
    </w:p>
    <w:p w14:paraId="4A5D35BF" w14:textId="2E1FB4C4" w:rsidR="005B3AC3" w:rsidRPr="00EC0229" w:rsidRDefault="005B3AC3" w:rsidP="005B3AC3">
      <w:pPr>
        <w:pStyle w:val="NoSpacing"/>
        <w:spacing w:line="276" w:lineRule="auto"/>
        <w:jc w:val="left"/>
        <w:rPr>
          <w:szCs w:val="24"/>
        </w:rPr>
      </w:pPr>
      <w:r w:rsidRPr="00EC0229">
        <w:rPr>
          <w:szCs w:val="24"/>
        </w:rPr>
        <w:t>Sherlock, S., and M. Simmons, ‘Street House</w:t>
      </w:r>
      <w:r w:rsidRPr="00EC0229">
        <w:rPr>
          <w:szCs w:val="24"/>
        </w:rPr>
        <w:fldChar w:fldCharType="begin"/>
      </w:r>
      <w:r w:rsidRPr="00EC0229">
        <w:instrText xml:space="preserve"> XE "</w:instrText>
      </w:r>
      <w:r w:rsidRPr="00EC0229">
        <w:rPr>
          <w:rStyle w:val="Hyperlink"/>
          <w:noProof/>
          <w:u w:val="none"/>
        </w:rPr>
        <w:instrText>Street House</w:instrText>
      </w:r>
      <w:r w:rsidRPr="00EC0229">
        <w:instrText xml:space="preserve">" </w:instrText>
      </w:r>
      <w:r w:rsidRPr="00EC0229">
        <w:rPr>
          <w:szCs w:val="24"/>
        </w:rPr>
        <w:fldChar w:fldCharType="end"/>
      </w:r>
      <w:r w:rsidRPr="00EC0229">
        <w:rPr>
          <w:szCs w:val="24"/>
        </w:rPr>
        <w:t xml:space="preserve"> Cemetery’: </w:t>
      </w:r>
      <w:hyperlink r:id="rId554" w:history="1">
        <w:r w:rsidRPr="00EC0229">
          <w:rPr>
            <w:rStyle w:val="Hyperlink"/>
            <w:szCs w:val="24"/>
            <w:u w:val="none"/>
          </w:rPr>
          <w:t>http://antiquity.ac.uk/projgall/sherlock/index.html</w:t>
        </w:r>
      </w:hyperlink>
    </w:p>
    <w:p w14:paraId="74E3C670" w14:textId="77777777" w:rsidR="005B3AC3" w:rsidRPr="00EC0229" w:rsidRDefault="005B3AC3" w:rsidP="005B3AC3">
      <w:pPr>
        <w:pStyle w:val="NoSpacing"/>
        <w:spacing w:line="276" w:lineRule="auto"/>
        <w:jc w:val="left"/>
      </w:pPr>
      <w:r w:rsidRPr="00EC0229">
        <w:t>Smith, C. N. J., 2006, ‘The Economic History of Anglian</w:t>
      </w:r>
      <w:r w:rsidRPr="00EC0229">
        <w:fldChar w:fldCharType="begin"/>
      </w:r>
      <w:r w:rsidRPr="00EC0229">
        <w:instrText xml:space="preserve"> XE "Anglian" </w:instrText>
      </w:r>
      <w:r w:rsidRPr="00EC0229">
        <w:fldChar w:fldCharType="end"/>
      </w:r>
      <w:r w:rsidRPr="00EC0229">
        <w:t xml:space="preserve"> Deira</w:t>
      </w:r>
      <w:r w:rsidRPr="00EC0229">
        <w:fldChar w:fldCharType="begin"/>
      </w:r>
      <w:r w:rsidRPr="00EC0229">
        <w:instrText xml:space="preserve"> XE "Deira" </w:instrText>
      </w:r>
      <w:r w:rsidRPr="00EC0229">
        <w:fldChar w:fldCharType="end"/>
      </w:r>
      <w:r w:rsidRPr="00EC0229">
        <w:t>, 700–870’ (unpublished PhD thesis, University of York</w:t>
      </w:r>
      <w:r w:rsidRPr="00EC0229">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fldChar w:fldCharType="end"/>
      </w:r>
      <w:r w:rsidRPr="00EC0229">
        <w:t>).</w:t>
      </w:r>
    </w:p>
    <w:p w14:paraId="6140B6AA" w14:textId="11668C56" w:rsidR="005B3AC3" w:rsidRPr="00EC0229" w:rsidRDefault="00B32C9A" w:rsidP="005B3AC3">
      <w:pPr>
        <w:pStyle w:val="NoSpacing"/>
        <w:spacing w:line="276" w:lineRule="auto"/>
        <w:jc w:val="left"/>
      </w:pPr>
      <w:hyperlink r:id="rId555" w:history="1">
        <w:r w:rsidR="005B3AC3" w:rsidRPr="00EC0229">
          <w:rPr>
            <w:rStyle w:val="Hyperlink"/>
            <w:u w:val="none"/>
          </w:rPr>
          <w:t>http://yorsearch.york.ac.uk/44YORK:44YORK_ALMA_DS21202548930001381</w:t>
        </w:r>
      </w:hyperlink>
    </w:p>
    <w:p w14:paraId="0AAC7AE4" w14:textId="26227D82" w:rsidR="005B3AC3" w:rsidRPr="00EC0229" w:rsidRDefault="005B3AC3" w:rsidP="005B3AC3">
      <w:pPr>
        <w:pStyle w:val="NoSpacing"/>
        <w:spacing w:line="276" w:lineRule="auto"/>
        <w:jc w:val="left"/>
        <w:rPr>
          <w:szCs w:val="24"/>
        </w:rPr>
      </w:pPr>
      <w:r w:rsidRPr="00EC0229">
        <w:rPr>
          <w:szCs w:val="24"/>
        </w:rPr>
        <w:t>UK Detector Finds Database</w:t>
      </w:r>
      <w:r w:rsidRPr="00EC0229">
        <w:rPr>
          <w:szCs w:val="24"/>
        </w:rPr>
        <w:fldChar w:fldCharType="begin"/>
      </w:r>
      <w:r w:rsidRPr="00EC0229">
        <w:instrText xml:space="preserve"> XE "</w:instrText>
      </w:r>
      <w:r w:rsidRPr="00EC0229">
        <w:rPr>
          <w:rStyle w:val="Hyperlink"/>
          <w:noProof/>
          <w:u w:val="none"/>
        </w:rPr>
        <w:instrText>Database</w:instrText>
      </w:r>
      <w:r w:rsidRPr="00EC0229">
        <w:instrText xml:space="preserve">" </w:instrText>
      </w:r>
      <w:r w:rsidRPr="00EC0229">
        <w:rPr>
          <w:szCs w:val="24"/>
        </w:rPr>
        <w:fldChar w:fldCharType="end"/>
      </w:r>
      <w:r w:rsidRPr="00EC0229">
        <w:rPr>
          <w:szCs w:val="24"/>
        </w:rPr>
        <w:t xml:space="preserve">: </w:t>
      </w:r>
      <w:hyperlink r:id="rId556" w:history="1">
        <w:r w:rsidRPr="00EC0229">
          <w:rPr>
            <w:rStyle w:val="Hyperlink"/>
            <w:szCs w:val="24"/>
            <w:u w:val="none"/>
          </w:rPr>
          <w:t>www.ukdfd.co.uk/</w:t>
        </w:r>
      </w:hyperlink>
    </w:p>
    <w:p w14:paraId="15F33C38" w14:textId="1435BBE5" w:rsidR="005B3AC3" w:rsidRPr="00EC0229" w:rsidRDefault="005B3AC3" w:rsidP="005B3AC3">
      <w:pPr>
        <w:pStyle w:val="NoSpacing"/>
        <w:spacing w:line="276" w:lineRule="auto"/>
        <w:jc w:val="left"/>
        <w:rPr>
          <w:rStyle w:val="Hyperlink"/>
          <w:szCs w:val="24"/>
          <w:u w:val="none"/>
        </w:rPr>
      </w:pPr>
      <w:r w:rsidRPr="00EC0229">
        <w:rPr>
          <w:szCs w:val="24"/>
        </w:rPr>
        <w:t>Richards, J. D., J. D. Naylor</w:t>
      </w:r>
      <w:r w:rsidRPr="00EC0229">
        <w:rPr>
          <w:szCs w:val="24"/>
        </w:rPr>
        <w:fldChar w:fldCharType="begin"/>
      </w:r>
      <w:r w:rsidRPr="00EC0229">
        <w:instrText xml:space="preserve"> XE "</w:instrText>
      </w:r>
      <w:r w:rsidRPr="00EC0229">
        <w:rPr>
          <w:rFonts w:cs="Times New Roman"/>
          <w:szCs w:val="24"/>
        </w:rPr>
        <w:instrText>Naylor</w:instrText>
      </w:r>
      <w:r w:rsidRPr="00EC0229">
        <w:instrText xml:space="preserve">" </w:instrText>
      </w:r>
      <w:r w:rsidRPr="00EC0229">
        <w:rPr>
          <w:szCs w:val="24"/>
        </w:rPr>
        <w:fldChar w:fldCharType="end"/>
      </w:r>
      <w:r w:rsidRPr="00EC0229">
        <w:rPr>
          <w:szCs w:val="24"/>
        </w:rPr>
        <w:t xml:space="preserve">, and C. N. J. Holas-Clark, 2008, </w:t>
      </w:r>
      <w:r w:rsidRPr="00EC0229">
        <w:rPr>
          <w:i/>
          <w:szCs w:val="24"/>
        </w:rPr>
        <w:t>Anglo-Saxon</w:t>
      </w:r>
      <w:r w:rsidRPr="00EC0229">
        <w:rPr>
          <w:i/>
          <w:szCs w:val="24"/>
        </w:rPr>
        <w:fldChar w:fldCharType="begin"/>
      </w:r>
      <w:r w:rsidRPr="00EC0229">
        <w:rPr>
          <w:i/>
        </w:rPr>
        <w:instrText xml:space="preserve"> XE "</w:instrText>
      </w:r>
      <w:r w:rsidRPr="00EC0229">
        <w:rPr>
          <w:rStyle w:val="Hyperlink"/>
          <w:i/>
          <w:noProof/>
          <w:u w:val="none"/>
        </w:rPr>
        <w:instrText>Anglo-Saxon</w:instrText>
      </w:r>
      <w:r w:rsidRPr="00EC0229">
        <w:rPr>
          <w:i/>
        </w:rPr>
        <w:instrText xml:space="preserve">" </w:instrText>
      </w:r>
      <w:r w:rsidRPr="00EC0229">
        <w:rPr>
          <w:i/>
          <w:szCs w:val="24"/>
        </w:rPr>
        <w:fldChar w:fldCharType="end"/>
      </w:r>
      <w:r w:rsidRPr="00EC0229">
        <w:rPr>
          <w:i/>
          <w:szCs w:val="24"/>
        </w:rPr>
        <w:t xml:space="preserve"> Landscape and Economy: Using Portable Antiquities to Study Anglo-Saxon and Viking</w:t>
      </w:r>
      <w:r w:rsidRPr="00EC0229">
        <w:rPr>
          <w:i/>
          <w:szCs w:val="24"/>
        </w:rPr>
        <w:fldChar w:fldCharType="begin"/>
      </w:r>
      <w:r w:rsidRPr="00EC0229">
        <w:rPr>
          <w:i/>
        </w:rPr>
        <w:instrText xml:space="preserve"> XE "</w:instrText>
      </w:r>
      <w:r w:rsidRPr="00EC0229">
        <w:rPr>
          <w:rStyle w:val="Hyperlink"/>
          <w:i/>
          <w:noProof/>
          <w:u w:val="none"/>
        </w:rPr>
        <w:instrText>Viking</w:instrText>
      </w:r>
      <w:r w:rsidRPr="00EC0229">
        <w:rPr>
          <w:i/>
        </w:rPr>
        <w:instrText xml:space="preserve">" </w:instrText>
      </w:r>
      <w:r w:rsidRPr="00EC0229">
        <w:rPr>
          <w:i/>
          <w:szCs w:val="24"/>
        </w:rPr>
        <w:fldChar w:fldCharType="end"/>
      </w:r>
      <w:r w:rsidRPr="00EC0229">
        <w:rPr>
          <w:i/>
          <w:szCs w:val="24"/>
        </w:rPr>
        <w:t xml:space="preserve"> Age England</w:t>
      </w:r>
      <w:r w:rsidRPr="00EC0229">
        <w:rPr>
          <w:szCs w:val="24"/>
        </w:rPr>
        <w:t>:</w:t>
      </w:r>
      <w:r w:rsidRPr="00EC0229">
        <w:rPr>
          <w:b/>
          <w:szCs w:val="24"/>
        </w:rPr>
        <w:t xml:space="preserve"> </w:t>
      </w:r>
      <w:hyperlink r:id="rId557" w:history="1">
        <w:r w:rsidRPr="00EC0229">
          <w:rPr>
            <w:rStyle w:val="Hyperlink"/>
            <w:szCs w:val="24"/>
            <w:u w:val="none"/>
          </w:rPr>
          <w:t>http://intarch.ac.uk/journal/issue25/2/toc.html</w:t>
        </w:r>
      </w:hyperlink>
    </w:p>
    <w:p w14:paraId="2F59FD72" w14:textId="6C760798" w:rsidR="005B3AC3" w:rsidRPr="00EC0229" w:rsidRDefault="005B3AC3" w:rsidP="005B3AC3">
      <w:pPr>
        <w:pStyle w:val="NoSpacing"/>
        <w:spacing w:line="276" w:lineRule="auto"/>
        <w:jc w:val="left"/>
        <w:rPr>
          <w:szCs w:val="24"/>
        </w:rPr>
      </w:pPr>
      <w:r w:rsidRPr="00EC0229">
        <w:rPr>
          <w:szCs w:val="24"/>
        </w:rPr>
        <w:t xml:space="preserve">Vince, A., 1994b, ‘Approaches to Residuality in Urban Archaeology’, in L. Shepherd (ed.), </w:t>
      </w:r>
      <w:r w:rsidRPr="00EC0229">
        <w:rPr>
          <w:i/>
          <w:szCs w:val="24"/>
        </w:rPr>
        <w:t>Interpreting Stratigraphy</w:t>
      </w:r>
      <w:r w:rsidRPr="00EC0229">
        <w:rPr>
          <w:szCs w:val="24"/>
        </w:rPr>
        <w:t xml:space="preserve">, 9–14: </w:t>
      </w:r>
      <w:hyperlink r:id="rId558" w:history="1">
        <w:r w:rsidRPr="00EC0229">
          <w:rPr>
            <w:rStyle w:val="Hyperlink"/>
            <w:szCs w:val="24"/>
            <w:u w:val="none"/>
          </w:rPr>
          <w:t>www.york.ac.uk/archaeology/strat/pastpub/95ch2.pdf</w:t>
        </w:r>
      </w:hyperlink>
    </w:p>
    <w:p w14:paraId="2A5CD4BC" w14:textId="070E5665" w:rsidR="005B3AC3" w:rsidRPr="00EC0229" w:rsidRDefault="005B3AC3" w:rsidP="005B3AC3">
      <w:pPr>
        <w:pStyle w:val="NoSpacing"/>
        <w:spacing w:line="276" w:lineRule="auto"/>
        <w:jc w:val="left"/>
        <w:rPr>
          <w:szCs w:val="24"/>
        </w:rPr>
      </w:pPr>
      <w:r w:rsidRPr="00EC0229">
        <w:rPr>
          <w:szCs w:val="24"/>
        </w:rPr>
        <w:t xml:space="preserve">Whyman, M., and A. J. Howard, 2005, </w:t>
      </w:r>
      <w:r w:rsidRPr="00EC0229">
        <w:rPr>
          <w:i/>
          <w:szCs w:val="24"/>
        </w:rPr>
        <w:t>Archaeology and Landscape in the Vale of York</w:t>
      </w:r>
      <w:r w:rsidRPr="00EC0229">
        <w:rPr>
          <w:szCs w:val="24"/>
        </w:rPr>
        <w:t xml:space="preserve"> (York: YAT): </w:t>
      </w:r>
      <w:hyperlink r:id="rId559" w:history="1">
        <w:r w:rsidRPr="00EC0229">
          <w:rPr>
            <w:rStyle w:val="Hyperlink"/>
            <w:szCs w:val="24"/>
            <w:u w:val="none"/>
          </w:rPr>
          <w:t>www.yorkarchaeology.co.uk/resources/voy-web.pdf.</w:t>
        </w:r>
      </w:hyperlink>
    </w:p>
    <w:p w14:paraId="293DAAB9" w14:textId="4C15240D" w:rsidR="008004EC" w:rsidRPr="00EC0229" w:rsidRDefault="005B3AC3" w:rsidP="005B3AC3">
      <w:pPr>
        <w:pStyle w:val="NoSpacing"/>
        <w:spacing w:line="276" w:lineRule="auto"/>
        <w:jc w:val="left"/>
        <w:rPr>
          <w:rFonts w:cs="Times New Roman"/>
          <w:color w:val="000000" w:themeColor="text1"/>
          <w:szCs w:val="24"/>
        </w:rPr>
      </w:pPr>
      <w:r w:rsidRPr="00EC0229">
        <w:rPr>
          <w:szCs w:val="24"/>
        </w:rPr>
        <w:t>York</w:t>
      </w:r>
      <w:r w:rsidRPr="00EC0229">
        <w:rPr>
          <w:szCs w:val="24"/>
        </w:rPr>
        <w:fldChar w:fldCharType="begin"/>
      </w:r>
      <w:r w:rsidRPr="00EC0229">
        <w:instrText xml:space="preserve"> XE "</w:instrText>
      </w:r>
      <w:r w:rsidRPr="00EC0229">
        <w:rPr>
          <w:rStyle w:val="Hyperlink"/>
          <w:noProof/>
          <w:u w:val="none"/>
        </w:rPr>
        <w:instrText>York</w:instrText>
      </w:r>
      <w:r w:rsidRPr="00EC0229">
        <w:instrText xml:space="preserve">" </w:instrText>
      </w:r>
      <w:r w:rsidRPr="00EC0229">
        <w:rPr>
          <w:szCs w:val="24"/>
        </w:rPr>
        <w:fldChar w:fldCharType="end"/>
      </w:r>
      <w:r w:rsidRPr="00EC0229">
        <w:rPr>
          <w:szCs w:val="24"/>
        </w:rPr>
        <w:t xml:space="preserve"> Archaeological Trust: </w:t>
      </w:r>
      <w:hyperlink r:id="rId560" w:history="1">
        <w:r w:rsidRPr="00EC0229">
          <w:rPr>
            <w:rStyle w:val="Hyperlink"/>
            <w:szCs w:val="24"/>
            <w:u w:val="none"/>
          </w:rPr>
          <w:t>www.yorkarchaeology.co.uk/resources/publications</w:t>
        </w:r>
      </w:hyperlink>
    </w:p>
    <w:sectPr w:rsidR="008004EC" w:rsidRPr="00EC0229" w:rsidSect="00B813BD">
      <w:headerReference w:type="default" r:id="rId561"/>
      <w:headerReference w:type="first" r:id="rId56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43D45B" w14:textId="77777777" w:rsidR="00B32C9A" w:rsidRDefault="00B32C9A" w:rsidP="002B7BA9">
      <w:pPr>
        <w:spacing w:after="0"/>
      </w:pPr>
      <w:r>
        <w:separator/>
      </w:r>
    </w:p>
  </w:endnote>
  <w:endnote w:type="continuationSeparator" w:id="0">
    <w:p w14:paraId="3BEAB583" w14:textId="77777777" w:rsidR="00B32C9A" w:rsidRDefault="00B32C9A" w:rsidP="002B7BA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Garamond Pro">
    <w:panose1 w:val="02020502060506020403"/>
    <w:charset w:val="00"/>
    <w:family w:val="roman"/>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Arial"/>
    <w:charset w:val="00"/>
    <w:family w:val="auto"/>
    <w:pitch w:val="variable"/>
    <w:sig w:usb0="E1000AEF" w:usb1="5000A1FF" w:usb2="00000000" w:usb3="00000000" w:csb0="000001BF" w:csb1="00000000"/>
  </w:font>
  <w:font w:name="COINS010">
    <w:panose1 w:val="00000000000000000000"/>
    <w:charset w:val="00"/>
    <w:family w:val="auto"/>
    <w:pitch w:val="variable"/>
    <w:sig w:usb0="A000028F" w:usb1="10000000" w:usb2="00008000" w:usb3="00000000" w:csb0="0000019F" w:csb1="00000000"/>
    <w:embedRegular r:id="rId1" w:subsetted="1" w:fontKey="{FF86E5D3-53CA-43AD-94BE-32F2CD482DC5}"/>
    <w:embedItalic r:id="rId2" w:subsetted="1" w:fontKey="{CA03FE53-C01E-435C-AD7D-9D45E4D9244D}"/>
  </w:font>
  <w:font w:name="Cambria Math">
    <w:panose1 w:val="02040503050406030204"/>
    <w:charset w:val="00"/>
    <w:family w:val="roman"/>
    <w:pitch w:val="variable"/>
    <w:sig w:usb0="E00006FF" w:usb1="420024FF" w:usb2="02000000" w:usb3="00000000" w:csb0="0000019F" w:csb1="00000000"/>
    <w:embedRegular r:id="rId3" w:fontKey="{2090EF8D-020A-4210-B44D-FBDB47A08BA9}"/>
    <w:embedItalic r:id="rId4" w:fontKey="{FB55B3DC-ED30-4FEB-8B18-A2149FADDC1A}"/>
  </w:font>
  <w:font w:name="Calibri">
    <w:panose1 w:val="020F0502020204030204"/>
    <w:charset w:val="00"/>
    <w:family w:val="swiss"/>
    <w:pitch w:val="variable"/>
    <w:sig w:usb0="E4002EFF" w:usb1="C000247B" w:usb2="00000009" w:usb3="00000000" w:csb0="000001FF" w:csb1="00000000"/>
    <w:embedRegular r:id="rId5" w:subsetted="1" w:fontKey="{6DB756A9-EF6F-419E-AE57-90474B161BED}"/>
  </w:font>
  <w:font w:name="BookAntiqua,Italic">
    <w:altName w:val="MS Mincho"/>
    <w:panose1 w:val="00000000000000000000"/>
    <w:charset w:val="80"/>
    <w:family w:val="auto"/>
    <w:notTrueType/>
    <w:pitch w:val="default"/>
    <w:sig w:usb0="00000000" w:usb1="08070000" w:usb2="00000010" w:usb3="00000000" w:csb0="00020000" w:csb1="00000000"/>
  </w:font>
  <w:font w:name="BookAntiqua">
    <w:altName w:val="Malgun Gothic Semilight"/>
    <w:panose1 w:val="00000000000000000000"/>
    <w:charset w:val="80"/>
    <w:family w:val="auto"/>
    <w:notTrueType/>
    <w:pitch w:val="default"/>
    <w:sig w:usb0="00000000" w:usb1="08070000" w:usb2="00000010" w:usb3="00000000" w:csb0="00020000" w:csb1="00000000"/>
  </w:font>
  <w:font w:name="Inscription Numismatic">
    <w:panose1 w:val="02000000000000000000"/>
    <w:charset w:val="00"/>
    <w:family w:val="auto"/>
    <w:pitch w:val="variable"/>
    <w:sig w:usb0="80000003" w:usb1="00000000" w:usb2="00000000" w:usb3="00000000" w:csb0="00000001" w:csb1="00000000"/>
    <w:embedRegular r:id="rId6" w:subsetted="1" w:fontKey="{0BE69443-E6AC-4926-99A9-009334CA3BFB}"/>
  </w:font>
  <w:font w:name="AngloSaxon Runes">
    <w:panose1 w:val="020B0500000000000000"/>
    <w:charset w:val="00"/>
    <w:family w:val="swiss"/>
    <w:pitch w:val="variable"/>
    <w:sig w:usb0="00000003" w:usb1="00000000" w:usb2="00000000" w:usb3="00000000" w:csb0="00000001" w:csb1="00000000"/>
    <w:embedRegular r:id="rId7" w:subsetted="1" w:fontKey="{4826A814-6BD6-4572-98EA-3405F8F4575C}"/>
  </w:font>
  <w:font w:name="Minion-Regular">
    <w:altName w:val="Malgun Gothic Semilight"/>
    <w:panose1 w:val="00000000000000000000"/>
    <w:charset w:val="80"/>
    <w:family w:val="roman"/>
    <w:notTrueType/>
    <w:pitch w:val="default"/>
    <w:sig w:usb0="00000000" w:usb1="08070000" w:usb2="00000010" w:usb3="00000000" w:csb0="00020000" w:csb1="00000000"/>
  </w:font>
  <w:font w:name="GaramondPremrPro">
    <w:altName w:val="Malgun Gothic Semilight"/>
    <w:panose1 w:val="00000000000000000000"/>
    <w:charset w:val="80"/>
    <w:family w:val="auto"/>
    <w:notTrueType/>
    <w:pitch w:val="default"/>
    <w:sig w:usb0="00000000" w:usb1="08070000" w:usb2="00000010" w:usb3="00000000" w:csb0="00020000" w:csb1="00000000"/>
  </w:font>
  <w:font w:name="AGaramond-Regular">
    <w:altName w:val="Cambria"/>
    <w:panose1 w:val="00000000000000000000"/>
    <w:charset w:val="00"/>
    <w:family w:val="roman"/>
    <w:notTrueType/>
    <w:pitch w:val="default"/>
    <w:sig w:usb0="00000003" w:usb1="00000000" w:usb2="00000000" w:usb3="00000000" w:csb0="00000001" w:csb1="00000000"/>
  </w:font>
  <w:font w:name="Bembo">
    <w:altName w:val="Calibri"/>
    <w:charset w:val="00"/>
    <w:family w:val="roman"/>
    <w:pitch w:val="variable"/>
    <w:sig w:usb0="80000003" w:usb1="00000000" w:usb2="00000000" w:usb3="00000000" w:csb0="00000001" w:csb1="00000000"/>
    <w:embedRegular r:id="rId8" w:subsetted="1" w:fontKey="{B6DAF83D-8C29-4E74-BB82-54C71C729E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A1661" w14:textId="76983DED" w:rsidR="000E1004" w:rsidRDefault="000E1004">
    <w:pPr>
      <w:pStyle w:val="Footer"/>
      <w:jc w:val="right"/>
    </w:pPr>
  </w:p>
  <w:p w14:paraId="5B6F30D7" w14:textId="77777777" w:rsidR="000E1004" w:rsidRDefault="000E10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4FD3E" w14:textId="77777777" w:rsidR="000E1004" w:rsidRDefault="000E100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A0C7A" w14:textId="77777777" w:rsidR="000E1004" w:rsidRDefault="000E100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87F97892714F85AA1ED9F23FD636D3"/>
      </w:placeholder>
      <w:temporary/>
      <w:showingPlcHdr/>
      <w15:appearance w15:val="hidden"/>
    </w:sdtPr>
    <w:sdtEndPr/>
    <w:sdtContent>
      <w:p w14:paraId="1FC0D7B5" w14:textId="77777777" w:rsidR="00FA5473" w:rsidRDefault="00FA5473">
        <w:pPr>
          <w:pStyle w:val="Footer"/>
        </w:pPr>
        <w:r>
          <w:t>[Type here]</w:t>
        </w:r>
      </w:p>
    </w:sdtContent>
  </w:sdt>
  <w:p w14:paraId="72D64E8A" w14:textId="77777777" w:rsidR="000E1004" w:rsidRDefault="000E10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2CD53F" w14:textId="77777777" w:rsidR="00B32C9A" w:rsidRDefault="00B32C9A" w:rsidP="002B7BA9">
      <w:pPr>
        <w:spacing w:after="0"/>
      </w:pPr>
      <w:r>
        <w:separator/>
      </w:r>
    </w:p>
  </w:footnote>
  <w:footnote w:type="continuationSeparator" w:id="0">
    <w:p w14:paraId="01EEB00F" w14:textId="77777777" w:rsidR="00B32C9A" w:rsidRDefault="00B32C9A" w:rsidP="002B7BA9">
      <w:pPr>
        <w:spacing w:after="0"/>
      </w:pPr>
      <w:r>
        <w:continuationSeparator/>
      </w:r>
    </w:p>
  </w:footnote>
  <w:footnote w:id="1">
    <w:p w14:paraId="7735080F" w14:textId="105F8D70" w:rsidR="000E1004" w:rsidRPr="008C4DCC" w:rsidRDefault="000E1004" w:rsidP="008C4DCC">
      <w:pPr>
        <w:pStyle w:val="FootnoteText"/>
      </w:pPr>
      <w:r w:rsidRPr="008C4DCC">
        <w:rPr>
          <w:rStyle w:val="FootnoteReference"/>
        </w:rPr>
        <w:footnoteRef/>
      </w:r>
      <w:r w:rsidRPr="008C4DCC">
        <w:t xml:space="preserve"> </w:t>
      </w:r>
      <w:r w:rsidRPr="008C4DCC">
        <w:rPr>
          <w:rFonts w:cs="Times New Roman"/>
        </w:rPr>
        <w:t>Naismith (2014c).</w:t>
      </w:r>
      <w:r w:rsidRPr="00F4133A">
        <w:rPr>
          <w:rFonts w:cs="Times New Roman"/>
        </w:rPr>
        <w:t xml:space="preserve"> </w:t>
      </w:r>
      <w:r>
        <w:rPr>
          <w:rFonts w:cs="Times New Roman"/>
        </w:rPr>
        <w:t xml:space="preserve">See also </w:t>
      </w:r>
      <w:r w:rsidRPr="008C4DCC">
        <w:rPr>
          <w:rFonts w:cs="Times New Roman"/>
        </w:rPr>
        <w:t>Hines (2014) and Naismith (forthcoming 1).</w:t>
      </w:r>
    </w:p>
  </w:footnote>
  <w:footnote w:id="2">
    <w:p w14:paraId="063BCA48" w14:textId="2D5D18BD" w:rsidR="000E1004" w:rsidRDefault="000E1004">
      <w:pPr>
        <w:pStyle w:val="FootnoteText"/>
      </w:pPr>
      <w:r>
        <w:rPr>
          <w:rStyle w:val="FootnoteReference"/>
        </w:rPr>
        <w:footnoteRef/>
      </w:r>
      <w:r>
        <w:t xml:space="preserve"> Perring (2002, 12-16).</w:t>
      </w:r>
    </w:p>
  </w:footnote>
  <w:footnote w:id="3">
    <w:p w14:paraId="56E4322A" w14:textId="56CBAFE7" w:rsidR="000E1004" w:rsidRPr="00746D62" w:rsidRDefault="000E1004" w:rsidP="009950BA">
      <w:pPr>
        <w:pStyle w:val="FootnoteText"/>
      </w:pPr>
      <w:r w:rsidRPr="00746D62">
        <w:rPr>
          <w:rStyle w:val="FootnoteReference"/>
        </w:rPr>
        <w:footnoteRef/>
      </w:r>
      <w:r>
        <w:t xml:space="preserve"> Perring (2002, 16-27).</w:t>
      </w:r>
    </w:p>
  </w:footnote>
  <w:footnote w:id="4">
    <w:p w14:paraId="0F5F5D47" w14:textId="16153008" w:rsidR="000E1004" w:rsidRDefault="000E1004">
      <w:pPr>
        <w:pStyle w:val="FootnoteText"/>
      </w:pPr>
      <w:r>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w:t>
      </w:r>
      <w:r>
        <w:rPr>
          <w:rFonts w:cs="Times New Roman"/>
          <w:szCs w:val="24"/>
        </w:rPr>
        <w:t>2012, 1).</w:t>
      </w:r>
    </w:p>
  </w:footnote>
  <w:footnote w:id="5">
    <w:p w14:paraId="588A38FE" w14:textId="3EB3D07A" w:rsidR="000E1004" w:rsidRPr="00746D62" w:rsidRDefault="000E1004" w:rsidP="00DE58F5">
      <w:pPr>
        <w:pStyle w:val="FootnoteText"/>
      </w:pPr>
      <w:r w:rsidRPr="00746D62">
        <w:rPr>
          <w:rStyle w:val="FootnoteReference"/>
        </w:rPr>
        <w:footnoteRef/>
      </w:r>
      <w:r w:rsidRPr="00746D62">
        <w:t xml:space="preserve"> Silver</w:t>
      </w:r>
      <w:r>
        <w:fldChar w:fldCharType="begin"/>
      </w:r>
      <w:r>
        <w:instrText xml:space="preserve"> XE "</w:instrText>
      </w:r>
      <w:r w:rsidRPr="00F1328A">
        <w:rPr>
          <w:rStyle w:val="Hyperlink"/>
          <w:rFonts w:cs="Times New Roman"/>
          <w:noProof/>
        </w:rPr>
        <w:instrText>Silver</w:instrText>
      </w:r>
      <w:r>
        <w:instrText xml:space="preserve">" </w:instrText>
      </w:r>
      <w:r>
        <w:fldChar w:fldCharType="end"/>
      </w:r>
      <w:r w:rsidRPr="00746D62">
        <w:t xml:space="preserve"> denarius or proto-penny</w:t>
      </w:r>
      <w:r>
        <w:fldChar w:fldCharType="begin"/>
      </w:r>
      <w:r>
        <w:instrText xml:space="preserve"> XE "</w:instrText>
      </w:r>
      <w:r w:rsidRPr="007645AE">
        <w:instrText>penny</w:instrText>
      </w:r>
      <w:r>
        <w:instrText xml:space="preserve">" </w:instrText>
      </w:r>
      <w:r>
        <w:fldChar w:fldCharType="end"/>
      </w:r>
      <w:r w:rsidRPr="00746D62">
        <w:t xml:space="preserve"> essentially modelled on Merovingian</w:t>
      </w:r>
      <w:r>
        <w:fldChar w:fldCharType="begin"/>
      </w:r>
      <w:r>
        <w:instrText xml:space="preserve"> XE "</w:instrText>
      </w:r>
      <w:r w:rsidRPr="007D3069">
        <w:rPr>
          <w:rStyle w:val="Hyperlink"/>
          <w:noProof/>
        </w:rPr>
        <w:instrText>Merovingian</w:instrText>
      </w:r>
      <w:r>
        <w:instrText xml:space="preserve">" </w:instrText>
      </w:r>
      <w:r>
        <w:fldChar w:fldCharType="end"/>
      </w:r>
      <w:r w:rsidRPr="00746D62">
        <w:t xml:space="preserve"> prototypes.</w:t>
      </w:r>
      <w:r>
        <w:t xml:space="preserve"> The origins of the word ‘sceat’ are discussed by Hines (2014, 7-17).</w:t>
      </w:r>
    </w:p>
  </w:footnote>
  <w:footnote w:id="6">
    <w:p w14:paraId="49B95E0F" w14:textId="5259D91F" w:rsidR="000E1004" w:rsidRPr="00746D62" w:rsidRDefault="000E1004" w:rsidP="00DE58F5">
      <w:pPr>
        <w:pStyle w:val="FootnoteText"/>
      </w:pPr>
      <w:r w:rsidRPr="00746D62">
        <w:rPr>
          <w:rStyle w:val="FootnoteReference"/>
        </w:rPr>
        <w:footnoteRef/>
      </w:r>
      <w:r w:rsidRPr="00746D62">
        <w:t xml:space="preserve"> The Northumbrian base metal successor to, and of the same module as, the sceat</w:t>
      </w:r>
      <w:r>
        <w:t>, first introduced</w:t>
      </w:r>
      <w:r w:rsidRPr="00746D62">
        <w:t xml:space="preserve"> under Eanred</w:t>
      </w:r>
      <w:r>
        <w:fldChar w:fldCharType="begin"/>
      </w:r>
      <w:r>
        <w:instrText xml:space="preserve"> XE "</w:instrText>
      </w:r>
      <w:r w:rsidRPr="007645AE">
        <w:instrText>Eanred</w:instrText>
      </w:r>
      <w:r>
        <w:instrText xml:space="preserve">" </w:instrText>
      </w:r>
      <w:r>
        <w:fldChar w:fldCharType="end"/>
      </w:r>
      <w:r w:rsidRPr="00746D62">
        <w:t xml:space="preserve"> </w:t>
      </w:r>
      <w:r>
        <w:t xml:space="preserve">sometime </w:t>
      </w:r>
      <w:r w:rsidRPr="00746D62">
        <w:t>after 810 (whereas southumbrian coinage followed Pepin the Short’s initiative in introducing the broad penny</w:t>
      </w:r>
      <w:r>
        <w:fldChar w:fldCharType="begin"/>
      </w:r>
      <w:r>
        <w:instrText xml:space="preserve"> XE "</w:instrText>
      </w:r>
      <w:r w:rsidRPr="007645AE">
        <w:instrText>penny</w:instrText>
      </w:r>
      <w:r>
        <w:instrText xml:space="preserve">" </w:instrText>
      </w:r>
      <w:r>
        <w:fldChar w:fldCharType="end"/>
      </w:r>
      <w:r w:rsidRPr="00746D62">
        <w:t xml:space="preserve">, in </w:t>
      </w:r>
      <w:r>
        <w:t xml:space="preserve">the </w:t>
      </w:r>
      <w:r w:rsidRPr="00746D62">
        <w:t>750s).</w:t>
      </w:r>
    </w:p>
  </w:footnote>
  <w:footnote w:id="7">
    <w:p w14:paraId="0F5427DD" w14:textId="319A9ED8" w:rsidR="000E1004" w:rsidRDefault="000E1004">
      <w:pPr>
        <w:pStyle w:val="FootnoteText"/>
      </w:pPr>
      <w:r>
        <w:rPr>
          <w:rStyle w:val="FootnoteReference"/>
        </w:rPr>
        <w:footnoteRef/>
      </w:r>
      <w:r>
        <w:t xml:space="preserve">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w:t>
      </w:r>
      <w:r>
        <w:rPr>
          <w:rFonts w:cs="Times New Roman"/>
          <w:szCs w:val="24"/>
        </w:rPr>
        <w:t>2002, 2004 &amp;</w:t>
      </w:r>
      <w:r w:rsidRPr="00DE58F5">
        <w:rPr>
          <w:rFonts w:cs="Times New Roman"/>
          <w:szCs w:val="24"/>
        </w:rPr>
        <w:t xml:space="preserve"> 2007</w:t>
      </w:r>
      <w:r>
        <w:rPr>
          <w:rFonts w:cs="Times New Roman"/>
          <w:szCs w:val="24"/>
        </w:rPr>
        <w:t>).</w:t>
      </w:r>
    </w:p>
  </w:footnote>
  <w:footnote w:id="8">
    <w:p w14:paraId="3809AD4E" w14:textId="77777777" w:rsidR="000E1004" w:rsidRDefault="000E1004" w:rsidP="00C27700">
      <w:pPr>
        <w:pStyle w:val="FootnoteText"/>
      </w:pPr>
      <w:r>
        <w:rPr>
          <w:rStyle w:val="FootnoteReference"/>
        </w:rPr>
        <w:footnoteRef/>
      </w:r>
      <w:r>
        <w:t xml:space="preserve"> Naylor (2002, 137).</w:t>
      </w:r>
    </w:p>
  </w:footnote>
  <w:footnote w:id="9">
    <w:p w14:paraId="791FA8E3" w14:textId="04535E40" w:rsidR="000E1004" w:rsidRDefault="000E1004">
      <w:pPr>
        <w:pStyle w:val="FootnoteText"/>
      </w:pPr>
      <w:r>
        <w:rPr>
          <w:rStyle w:val="FootnoteReference"/>
        </w:rPr>
        <w:footnoteRef/>
      </w:r>
      <w:r>
        <w:t xml:space="preserve"> </w:t>
      </w:r>
      <w:r w:rsidRPr="00C27700">
        <w:rPr>
          <w:i/>
        </w:rPr>
        <w:t>Ibid</w:t>
      </w:r>
      <w:r>
        <w:t xml:space="preserve"> and Naylor (2004, 51).</w:t>
      </w:r>
    </w:p>
  </w:footnote>
  <w:footnote w:id="10">
    <w:p w14:paraId="1DECE843" w14:textId="795AAEA1" w:rsidR="000E1004" w:rsidRPr="007F3443" w:rsidRDefault="000E1004">
      <w:pPr>
        <w:pStyle w:val="FootnoteText"/>
        <w:rPr>
          <w:i/>
        </w:rPr>
      </w:pPr>
      <w:r>
        <w:rPr>
          <w:rStyle w:val="FootnoteReference"/>
        </w:rPr>
        <w:footnoteRef/>
      </w:r>
      <w:r>
        <w:t xml:space="preserve"> See page </w:t>
      </w:r>
      <w:r>
        <w:fldChar w:fldCharType="begin"/>
      </w:r>
      <w:r>
        <w:instrText xml:space="preserve"> PAGEREF Period1 \h </w:instrText>
      </w:r>
      <w:r>
        <w:fldChar w:fldCharType="separate"/>
      </w:r>
      <w:r w:rsidR="0012026B">
        <w:rPr>
          <w:noProof/>
        </w:rPr>
        <w:t>90</w:t>
      </w:r>
      <w:r>
        <w:fldChar w:fldCharType="end"/>
      </w:r>
      <w:r>
        <w:t>.</w:t>
      </w:r>
    </w:p>
  </w:footnote>
  <w:footnote w:id="11">
    <w:p w14:paraId="4A9D00F6" w14:textId="2814D224" w:rsidR="000E1004" w:rsidRDefault="000E1004">
      <w:pPr>
        <w:pStyle w:val="FootnoteText"/>
      </w:pPr>
      <w:r>
        <w:rPr>
          <w:rStyle w:val="FootnoteReference"/>
        </w:rPr>
        <w:footnoteRef/>
      </w:r>
      <w:r>
        <w:t xml:space="preserve"> There is a paucity of literature on monetisation</w:t>
      </w:r>
      <w:r>
        <w:fldChar w:fldCharType="begin"/>
      </w:r>
      <w:r>
        <w:instrText xml:space="preserve"> XE "</w:instrText>
      </w:r>
      <w:r w:rsidRPr="007D3069">
        <w:instrText>monetization</w:instrText>
      </w:r>
      <w:r>
        <w:instrText xml:space="preserve">" </w:instrText>
      </w:r>
      <w:r>
        <w:fldChar w:fldCharType="end"/>
      </w:r>
      <w:r>
        <w:t xml:space="preserve"> </w:t>
      </w:r>
      <w:r w:rsidRPr="00555C50">
        <w:rPr>
          <w:i/>
        </w:rPr>
        <w:t>per se</w:t>
      </w:r>
      <w:r>
        <w:t xml:space="preserve"> and what exists generally refers to the classical world where Howgego (1995), Tye (2001), Cribb (2004) and Schmandt-Besserat (2008) have made valuable contributions.</w:t>
      </w:r>
    </w:p>
  </w:footnote>
  <w:footnote w:id="12">
    <w:p w14:paraId="7420F1F4" w14:textId="49A6848D" w:rsidR="000E1004" w:rsidRPr="00746D62" w:rsidRDefault="000E1004" w:rsidP="00DE58F5">
      <w:pPr>
        <w:pStyle w:val="FootnoteText"/>
      </w:pPr>
      <w:r w:rsidRPr="00746D62">
        <w:rPr>
          <w:rStyle w:val="FootnoteReference"/>
        </w:rPr>
        <w:footnoteRef/>
      </w:r>
      <w:r w:rsidRPr="00746D62">
        <w:t xml:space="preserve"> Found </w:t>
      </w:r>
      <w:r>
        <w:t xml:space="preserve">both </w:t>
      </w:r>
      <w:r w:rsidRPr="00746D62">
        <w:t>within and beyond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rsidRPr="00746D62">
        <w:t>.</w:t>
      </w:r>
    </w:p>
  </w:footnote>
  <w:footnote w:id="13">
    <w:p w14:paraId="2EEF06B1" w14:textId="43EE3C29" w:rsidR="000E1004" w:rsidRPr="00037E8C" w:rsidRDefault="000E1004" w:rsidP="00DE58F5">
      <w:pPr>
        <w:pStyle w:val="FootnoteText"/>
      </w:pPr>
      <w:r>
        <w:rPr>
          <w:rStyle w:val="FootnoteReference"/>
        </w:rPr>
        <w:footnoteRef/>
      </w:r>
      <w:r>
        <w:t xml:space="preserve"> The Tenth Oxford Symposium, 1987, focussed considerable attention on the ‘wretched </w:t>
      </w:r>
      <w:r w:rsidRPr="00037E8C">
        <w:rPr>
          <w:i/>
        </w:rPr>
        <w:t>styca’</w:t>
      </w:r>
      <w:r>
        <w:rPr>
          <w:i/>
        </w:rPr>
        <w:t xml:space="preserve"> </w:t>
      </w:r>
      <w:r w:rsidRPr="0023198D">
        <w:t xml:space="preserve">(Brooks, </w:t>
      </w:r>
      <w:r w:rsidRPr="0023198D">
        <w:rPr>
          <w:i/>
        </w:rPr>
        <w:t>BAR</w:t>
      </w:r>
      <w:r>
        <w:rPr>
          <w:i/>
        </w:rPr>
        <w:t xml:space="preserve"> </w:t>
      </w:r>
      <w:r>
        <w:t>180, 1987,</w:t>
      </w:r>
      <w:r w:rsidRPr="0023198D">
        <w:t xml:space="preserve"> 398</w:t>
      </w:r>
      <w:r>
        <w:rPr>
          <w:i/>
        </w:rPr>
        <w:t>)</w:t>
      </w:r>
      <w:r>
        <w:t xml:space="preserve">; </w:t>
      </w:r>
      <w:r w:rsidRPr="00E97152">
        <w:rPr>
          <w:i/>
        </w:rPr>
        <w:t>MEC</w:t>
      </w:r>
      <w:r>
        <w:t xml:space="preserve"> described ‘the least respected Anglo-Saxon</w:t>
      </w:r>
      <w:r>
        <w:fldChar w:fldCharType="begin"/>
      </w:r>
      <w:r>
        <w:instrText xml:space="preserve"> XE "</w:instrText>
      </w:r>
      <w:r w:rsidRPr="00523AF8">
        <w:rPr>
          <w:rStyle w:val="Hyperlink"/>
          <w:noProof/>
        </w:rPr>
        <w:instrText>Anglo-Saxon</w:instrText>
      </w:r>
      <w:r>
        <w:instrText xml:space="preserve">" </w:instrText>
      </w:r>
      <w:r>
        <w:fldChar w:fldCharType="end"/>
      </w:r>
      <w:r>
        <w:t xml:space="preserve"> coin’ (1986, 298). The change in attitudes was marked by Yorke, who stated: ‘The styca could be seen as evidence of efficient royal control of the economy</w:t>
      </w:r>
      <w:r>
        <w:fldChar w:fldCharType="begin"/>
      </w:r>
      <w:r>
        <w:instrText xml:space="preserve"> XE "</w:instrText>
      </w:r>
      <w:r w:rsidRPr="007A2080">
        <w:rPr>
          <w:rFonts w:cs="Times New Roman"/>
          <w:b/>
          <w:color w:val="000000" w:themeColor="text1"/>
          <w:sz w:val="56"/>
          <w:szCs w:val="56"/>
        </w:rPr>
        <w:instrText>economy</w:instrText>
      </w:r>
      <w:r>
        <w:instrText xml:space="preserve">" </w:instrText>
      </w:r>
      <w:r>
        <w:fldChar w:fldCharType="end"/>
      </w:r>
      <w:r>
        <w:t xml:space="preserve"> and a sensitive response to changing circumstances rather than as evidence of decline.’ (1990, 97).</w:t>
      </w:r>
    </w:p>
  </w:footnote>
  <w:footnote w:id="14">
    <w:p w14:paraId="22E08141" w14:textId="0837889A" w:rsidR="000E1004" w:rsidRPr="00746D62" w:rsidRDefault="000E1004" w:rsidP="00DE58F5">
      <w:pPr>
        <w:pStyle w:val="FootnoteText"/>
      </w:pPr>
      <w:r w:rsidRPr="00746D62">
        <w:rPr>
          <w:rStyle w:val="FootnoteReference"/>
        </w:rPr>
        <w:footnoteRef/>
      </w:r>
      <w:r w:rsidRPr="00746D62">
        <w:t xml:space="preserve"> </w:t>
      </w:r>
      <w:r>
        <w:t>Wormald (2006, 153-8). I</w:t>
      </w:r>
      <w:r w:rsidRPr="00746D62">
        <w:t>n his letter</w:t>
      </w:r>
      <w:r>
        <w:t xml:space="preserve"> of 731</w:t>
      </w:r>
      <w:r w:rsidRPr="00746D62">
        <w:t xml:space="preserve"> to Ecgberht</w:t>
      </w:r>
      <w:r>
        <w:fldChar w:fldCharType="begin"/>
      </w:r>
      <w:r>
        <w:instrText xml:space="preserve"> XE "</w:instrText>
      </w:r>
      <w:r w:rsidRPr="007645AE">
        <w:instrText>Ecgberht</w:instrText>
      </w:r>
      <w:r>
        <w:instrText xml:space="preserve">" </w:instrText>
      </w:r>
      <w:r>
        <w:fldChar w:fldCharType="end"/>
      </w:r>
      <w:r>
        <w:t>, Bede</w:t>
      </w:r>
      <w:r>
        <w:fldChar w:fldCharType="begin"/>
      </w:r>
      <w:r>
        <w:instrText xml:space="preserve"> XE "</w:instrText>
      </w:r>
      <w:r w:rsidRPr="007D3069">
        <w:rPr>
          <w:bCs/>
        </w:rPr>
        <w:instrText>Bede</w:instrText>
      </w:r>
      <w:r>
        <w:instrText xml:space="preserve">" </w:instrText>
      </w:r>
      <w:r>
        <w:fldChar w:fldCharType="end"/>
      </w:r>
      <w:r w:rsidRPr="00746D62">
        <w:t xml:space="preserve"> complained </w:t>
      </w:r>
      <w:r>
        <w:t>about the removal of land from taxation and people from service (</w:t>
      </w:r>
      <w:r>
        <w:fldChar w:fldCharType="begin"/>
      </w:r>
      <w:r>
        <w:instrText xml:space="preserve"> PAGEREF Bedeletter \h </w:instrText>
      </w:r>
      <w:r>
        <w:fldChar w:fldCharType="separate"/>
      </w:r>
      <w:r w:rsidR="0012026B">
        <w:rPr>
          <w:noProof/>
        </w:rPr>
        <w:t>37</w:t>
      </w:r>
      <w:r>
        <w:fldChar w:fldCharType="end"/>
      </w:r>
      <w:r>
        <w:t>).</w:t>
      </w:r>
    </w:p>
  </w:footnote>
  <w:footnote w:id="15">
    <w:p w14:paraId="7525C28F" w14:textId="77777777" w:rsidR="000E1004" w:rsidRDefault="000E1004" w:rsidP="005B6048">
      <w:pPr>
        <w:pStyle w:val="FootnoteText"/>
      </w:pPr>
      <w:r>
        <w:rPr>
          <w:rStyle w:val="FootnoteReference"/>
        </w:rPr>
        <w:footnoteRef/>
      </w:r>
      <w:r>
        <w:t xml:space="preserve"> The ultimate objective is to make the database available online, perhaps as part of EMC or similar.</w:t>
      </w:r>
    </w:p>
  </w:footnote>
  <w:footnote w:id="16">
    <w:p w14:paraId="44A5E36E" w14:textId="77777777" w:rsidR="000E1004" w:rsidRPr="00746D62" w:rsidRDefault="000E1004" w:rsidP="005B6048">
      <w:pPr>
        <w:pStyle w:val="NoSpacing"/>
        <w:rPr>
          <w:sz w:val="20"/>
          <w:szCs w:val="20"/>
        </w:rPr>
      </w:pPr>
      <w:r w:rsidRPr="00746D62">
        <w:rPr>
          <w:rStyle w:val="FootnoteReference"/>
          <w:sz w:val="20"/>
          <w:szCs w:val="20"/>
        </w:rPr>
        <w:footnoteRef/>
      </w:r>
      <w:r>
        <w:rPr>
          <w:sz w:val="20"/>
          <w:szCs w:val="20"/>
        </w:rPr>
        <w:t xml:space="preserve"> </w:t>
      </w:r>
      <w:r w:rsidRPr="00746D62">
        <w:rPr>
          <w:sz w:val="20"/>
          <w:szCs w:val="20"/>
        </w:rPr>
        <w:t>Pirie</w:t>
      </w:r>
      <w:r>
        <w:rPr>
          <w:sz w:val="20"/>
          <w:szCs w:val="20"/>
        </w:rPr>
        <w:fldChar w:fldCharType="begin"/>
      </w:r>
      <w:r>
        <w:instrText xml:space="preserve"> XE "</w:instrText>
      </w:r>
      <w:r w:rsidRPr="007D3069">
        <w:instrText>Pirie</w:instrText>
      </w:r>
      <w:r>
        <w:instrText xml:space="preserve">" </w:instrText>
      </w:r>
      <w:r>
        <w:rPr>
          <w:sz w:val="20"/>
          <w:szCs w:val="20"/>
        </w:rPr>
        <w:fldChar w:fldCharType="end"/>
      </w:r>
      <w:r>
        <w:rPr>
          <w:sz w:val="20"/>
          <w:szCs w:val="20"/>
        </w:rPr>
        <w:t xml:space="preserve">’s </w:t>
      </w:r>
      <w:r w:rsidRPr="00652C75">
        <w:rPr>
          <w:i/>
          <w:sz w:val="20"/>
          <w:szCs w:val="20"/>
        </w:rPr>
        <w:t>CKN</w:t>
      </w:r>
      <w:r w:rsidRPr="00746D62">
        <w:rPr>
          <w:sz w:val="20"/>
          <w:szCs w:val="20"/>
        </w:rPr>
        <w:t xml:space="preserve"> (Galata, 1996), was not part of SCBI</w:t>
      </w:r>
      <w:r>
        <w:rPr>
          <w:sz w:val="20"/>
          <w:szCs w:val="20"/>
        </w:rPr>
        <w:fldChar w:fldCharType="begin"/>
      </w:r>
      <w:r>
        <w:instrText xml:space="preserve"> XE "</w:instrText>
      </w:r>
      <w:r w:rsidRPr="007D3069">
        <w:instrText>SCBI</w:instrText>
      </w:r>
      <w:r>
        <w:instrText xml:space="preserve">" </w:instrText>
      </w:r>
      <w:r>
        <w:rPr>
          <w:sz w:val="20"/>
          <w:szCs w:val="20"/>
        </w:rPr>
        <w:fldChar w:fldCharType="end"/>
      </w:r>
      <w:r w:rsidRPr="00746D62">
        <w:rPr>
          <w:sz w:val="20"/>
          <w:szCs w:val="20"/>
        </w:rPr>
        <w:t xml:space="preserve"> and is therefore not in EMC</w:t>
      </w:r>
      <w:r>
        <w:rPr>
          <w:sz w:val="20"/>
          <w:szCs w:val="20"/>
        </w:rPr>
        <w:fldChar w:fldCharType="begin"/>
      </w:r>
      <w:r>
        <w:instrText xml:space="preserve"> XE "</w:instrText>
      </w:r>
      <w:r w:rsidRPr="007D3069">
        <w:instrText>EMC</w:instrText>
      </w:r>
      <w:r>
        <w:instrText xml:space="preserve">" </w:instrText>
      </w:r>
      <w:r>
        <w:rPr>
          <w:sz w:val="20"/>
          <w:szCs w:val="20"/>
        </w:rPr>
        <w:fldChar w:fldCharType="end"/>
      </w:r>
      <w:r w:rsidRPr="00746D62">
        <w:rPr>
          <w:sz w:val="20"/>
          <w:szCs w:val="20"/>
        </w:rPr>
        <w:t>.</w:t>
      </w:r>
    </w:p>
  </w:footnote>
  <w:footnote w:id="17">
    <w:p w14:paraId="2B12D9FD" w14:textId="77777777" w:rsidR="000E1004" w:rsidRDefault="000E1004" w:rsidP="005B6048">
      <w:pPr>
        <w:pStyle w:val="FootnoteText"/>
      </w:pPr>
      <w:r>
        <w:rPr>
          <w:rStyle w:val="FootnoteReference"/>
        </w:rPr>
        <w:footnoteRef/>
      </w:r>
      <w:r>
        <w:t xml:space="preserve"> The most significant being Elizabeth Pirie</w:t>
      </w:r>
      <w:r>
        <w:fldChar w:fldCharType="begin"/>
      </w:r>
      <w:r>
        <w:instrText xml:space="preserve"> XE "</w:instrText>
      </w:r>
      <w:r w:rsidRPr="007D3069">
        <w:instrText>Pirie</w:instrText>
      </w:r>
      <w:r>
        <w:instrText xml:space="preserve">" </w:instrText>
      </w:r>
      <w:r>
        <w:fldChar w:fldCharType="end"/>
      </w:r>
      <w:r>
        <w:t>’s archive now in the City of Leeds Museum.</w:t>
      </w:r>
    </w:p>
  </w:footnote>
  <w:footnote w:id="18">
    <w:p w14:paraId="0D418F63" w14:textId="77777777" w:rsidR="000E1004" w:rsidRPr="00EE4D75" w:rsidRDefault="000E1004" w:rsidP="005B6048">
      <w:pPr>
        <w:pStyle w:val="FootnoteText"/>
      </w:pPr>
      <w:r>
        <w:rPr>
          <w:rStyle w:val="FootnoteReference"/>
        </w:rPr>
        <w:footnoteRef/>
      </w:r>
      <w:r>
        <w:t xml:space="preserve"> Scull (1997, 280-9).</w:t>
      </w:r>
    </w:p>
  </w:footnote>
  <w:footnote w:id="19">
    <w:p w14:paraId="27267F97" w14:textId="77777777" w:rsidR="000E1004" w:rsidRDefault="000E1004" w:rsidP="005B6048">
      <w:pPr>
        <w:pStyle w:val="FootnoteText"/>
      </w:pPr>
      <w:r>
        <w:rPr>
          <w:rStyle w:val="FootnoteReference"/>
        </w:rPr>
        <w:footnoteRef/>
      </w:r>
      <w:r>
        <w:t xml:space="preserve"> Rescued by the candidate.</w:t>
      </w:r>
    </w:p>
  </w:footnote>
  <w:footnote w:id="20">
    <w:p w14:paraId="4280CE1D"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 gave belated recognition.</w:t>
      </w:r>
    </w:p>
  </w:footnote>
  <w:footnote w:id="21">
    <w:p w14:paraId="6270048D" w14:textId="77777777" w:rsidR="000E1004" w:rsidRDefault="000E1004" w:rsidP="003F22F2">
      <w:pPr>
        <w:pStyle w:val="FootnoteText"/>
      </w:pPr>
      <w:r>
        <w:rPr>
          <w:rStyle w:val="FootnoteReference"/>
        </w:rPr>
        <w:footnoteRef/>
      </w:r>
      <w:r>
        <w:t xml:space="preserve"> Dale (2010, 1-18).</w:t>
      </w:r>
    </w:p>
  </w:footnote>
  <w:footnote w:id="22">
    <w:p w14:paraId="7E6B8324" w14:textId="77777777" w:rsidR="000E1004" w:rsidRDefault="000E1004" w:rsidP="003F22F2">
      <w:pPr>
        <w:pStyle w:val="FootnoteText"/>
      </w:pPr>
      <w:r>
        <w:rPr>
          <w:rStyle w:val="FootnoteReference"/>
        </w:rPr>
        <w:footnoteRef/>
      </w:r>
      <w:r>
        <w:t xml:space="preserve"> Polanyi</w:t>
      </w:r>
      <w:r>
        <w:fldChar w:fldCharType="begin"/>
      </w:r>
      <w:r>
        <w:instrText xml:space="preserve"> XE "</w:instrText>
      </w:r>
      <w:r w:rsidRPr="00523AF8">
        <w:rPr>
          <w:rStyle w:val="Hyperlink"/>
          <w:noProof/>
        </w:rPr>
        <w:instrText>Polanyi</w:instrText>
      </w:r>
      <w:r>
        <w:instrText xml:space="preserve">" </w:instrText>
      </w:r>
      <w:r>
        <w:fldChar w:fldCharType="end"/>
      </w:r>
      <w:r>
        <w:t>, (2001, ch. 4, esp. 48-50).</w:t>
      </w:r>
    </w:p>
  </w:footnote>
  <w:footnote w:id="23">
    <w:p w14:paraId="7D92E7D2" w14:textId="77777777" w:rsidR="000E1004" w:rsidRPr="0092471F" w:rsidRDefault="000E1004" w:rsidP="003F22F2">
      <w:pPr>
        <w:pStyle w:val="FootnoteText"/>
        <w:rPr>
          <w:lang w:val="en-US"/>
        </w:rPr>
      </w:pPr>
      <w:r>
        <w:rPr>
          <w:rStyle w:val="FootnoteReference"/>
        </w:rPr>
        <w:footnoteRef/>
      </w:r>
      <w:r>
        <w:t xml:space="preserve"> </w:t>
      </w:r>
      <w:r>
        <w:rPr>
          <w:lang w:val="en-US"/>
        </w:rPr>
        <w:t>In economics, ‘what ought to be’ rather than ‘what is’.</w:t>
      </w:r>
    </w:p>
  </w:footnote>
  <w:footnote w:id="24">
    <w:p w14:paraId="07D46B4A" w14:textId="77777777" w:rsidR="000E1004" w:rsidRPr="00F72304" w:rsidRDefault="000E1004" w:rsidP="003F22F2">
      <w:pPr>
        <w:pStyle w:val="FootnoteText"/>
      </w:pPr>
      <w:r>
        <w:rPr>
          <w:rStyle w:val="FootnoteReference"/>
        </w:rPr>
        <w:footnoteRef/>
      </w:r>
      <w:r>
        <w:t xml:space="preserve"> Dale (2010, 109-114).</w:t>
      </w:r>
    </w:p>
  </w:footnote>
  <w:footnote w:id="25">
    <w:p w14:paraId="7B249D11" w14:textId="77777777" w:rsidR="000E1004" w:rsidRDefault="000E1004" w:rsidP="003F22F2">
      <w:pPr>
        <w:pStyle w:val="FootnoteText"/>
      </w:pPr>
      <w:r>
        <w:rPr>
          <w:rStyle w:val="FootnoteReference"/>
        </w:rPr>
        <w:footnoteRef/>
      </w:r>
      <w:r>
        <w:t xml:space="preserve"> Dale (2010, 90-108).</w:t>
      </w:r>
    </w:p>
  </w:footnote>
  <w:footnote w:id="26">
    <w:p w14:paraId="46AA954E" w14:textId="77777777" w:rsidR="000E1004" w:rsidRPr="00D51E34" w:rsidRDefault="000E1004" w:rsidP="003F22F2">
      <w:pPr>
        <w:pStyle w:val="FootnoteText"/>
      </w:pPr>
      <w:r>
        <w:rPr>
          <w:rStyle w:val="FootnoteReference"/>
        </w:rPr>
        <w:footnoteRef/>
      </w:r>
      <w:r>
        <w:t xml:space="preserve"> Dale (2010, 15 &amp; 188-206).</w:t>
      </w:r>
    </w:p>
  </w:footnote>
  <w:footnote w:id="27">
    <w:p w14:paraId="192E9C31" w14:textId="31A53409" w:rsidR="000E1004" w:rsidRPr="00067FD2" w:rsidRDefault="000E1004" w:rsidP="003F22F2">
      <w:pPr>
        <w:pStyle w:val="FootnoteText"/>
      </w:pPr>
      <w:r>
        <w:rPr>
          <w:rStyle w:val="FootnoteReference"/>
        </w:rPr>
        <w:footnoteRef/>
      </w:r>
      <w:r>
        <w:t xml:space="preserve"> Polanyi</w:t>
      </w:r>
      <w:r>
        <w:fldChar w:fldCharType="begin"/>
      </w:r>
      <w:r>
        <w:instrText xml:space="preserve"> XE "</w:instrText>
      </w:r>
      <w:r w:rsidRPr="00523AF8">
        <w:rPr>
          <w:rStyle w:val="Hyperlink"/>
          <w:noProof/>
        </w:rPr>
        <w:instrText>Polanyi</w:instrText>
      </w:r>
      <w:r>
        <w:instrText xml:space="preserve">" </w:instrText>
      </w:r>
      <w:r>
        <w:fldChar w:fldCharType="end"/>
      </w:r>
      <w:r>
        <w:t>’s passion on this is a consequence of the tumultuous times he lived through. T</w:t>
      </w:r>
      <w:r>
        <w:rPr>
          <w:rFonts w:cs="Times New Roman"/>
          <w:szCs w:val="24"/>
        </w:rPr>
        <w:t>his still has lessons for modern capitalism</w:t>
      </w:r>
      <w:r>
        <w:rPr>
          <w:rFonts w:cs="Times New Roman"/>
          <w:szCs w:val="24"/>
        </w:rPr>
        <w:fldChar w:fldCharType="begin"/>
      </w:r>
      <w:r>
        <w:instrText xml:space="preserve"> XE "</w:instrText>
      </w:r>
      <w:r w:rsidRPr="007D3069">
        <w:rPr>
          <w:rFonts w:cs="Times New Roman"/>
          <w:szCs w:val="24"/>
        </w:rPr>
        <w:instrText>capitalism</w:instrText>
      </w:r>
      <w:r>
        <w:instrText xml:space="preserve">" </w:instrText>
      </w:r>
      <w:r>
        <w:rPr>
          <w:rFonts w:cs="Times New Roman"/>
          <w:szCs w:val="24"/>
        </w:rPr>
        <w:fldChar w:fldCharType="end"/>
      </w:r>
      <w:r>
        <w:rPr>
          <w:rFonts w:cs="Times New Roman"/>
          <w:szCs w:val="24"/>
        </w:rPr>
        <w:t xml:space="preserve"> - (s)peculation</w:t>
      </w:r>
      <w:r>
        <w:rPr>
          <w:rFonts w:cs="Times New Roman"/>
          <w:szCs w:val="24"/>
        </w:rPr>
        <w:fldChar w:fldCharType="begin"/>
      </w:r>
      <w:r>
        <w:instrText xml:space="preserve"> XE "</w:instrText>
      </w:r>
      <w:r w:rsidRPr="007D3069">
        <w:rPr>
          <w:rFonts w:cs="Times New Roman"/>
          <w:szCs w:val="24"/>
        </w:rPr>
        <w:instrText>Speculation</w:instrText>
      </w:r>
      <w:r>
        <w:instrText xml:space="preserve">" </w:instrText>
      </w:r>
      <w:r>
        <w:rPr>
          <w:rFonts w:cs="Times New Roman"/>
          <w:szCs w:val="24"/>
        </w:rPr>
        <w:fldChar w:fldCharType="end"/>
      </w:r>
      <w:r>
        <w:rPr>
          <w:rFonts w:cs="Times New Roman"/>
          <w:szCs w:val="24"/>
        </w:rPr>
        <w:t xml:space="preserve"> in commodities</w:t>
      </w:r>
      <w:r>
        <w:rPr>
          <w:rFonts w:cs="Times New Roman"/>
          <w:szCs w:val="24"/>
        </w:rPr>
        <w:fldChar w:fldCharType="begin"/>
      </w:r>
      <w:r>
        <w:instrText xml:space="preserve"> XE "</w:instrText>
      </w:r>
      <w:r w:rsidRPr="007D3069">
        <w:rPr>
          <w:rFonts w:cs="Times New Roman"/>
          <w:szCs w:val="24"/>
        </w:rPr>
        <w:instrText>commodities</w:instrText>
      </w:r>
      <w:r>
        <w:instrText xml:space="preserve">" </w:instrText>
      </w:r>
      <w:r>
        <w:rPr>
          <w:rFonts w:cs="Times New Roman"/>
          <w:szCs w:val="24"/>
        </w:rPr>
        <w:fldChar w:fldCharType="end"/>
      </w:r>
      <w:r>
        <w:rPr>
          <w:rFonts w:cs="Times New Roman"/>
          <w:szCs w:val="24"/>
        </w:rPr>
        <w:t xml:space="preserve"> and currencies threaten increasingly to wreak global havoc. See </w:t>
      </w:r>
      <w:r>
        <w:rPr>
          <w:rFonts w:cs="Times New Roman"/>
          <w:i/>
          <w:szCs w:val="24"/>
        </w:rPr>
        <w:t>fn.</w:t>
      </w:r>
      <w:r>
        <w:rPr>
          <w:rFonts w:cs="Times New Roman"/>
          <w:szCs w:val="24"/>
        </w:rPr>
        <w:t xml:space="preserve"> </w:t>
      </w:r>
      <w:r>
        <w:rPr>
          <w:rFonts w:cs="Times New Roman"/>
          <w:szCs w:val="24"/>
        </w:rPr>
        <w:fldChar w:fldCharType="begin"/>
      </w:r>
      <w:r>
        <w:rPr>
          <w:rFonts w:cs="Times New Roman"/>
          <w:szCs w:val="24"/>
        </w:rPr>
        <w:instrText xml:space="preserve"> NOTEREF _Ref430099776 \h </w:instrText>
      </w:r>
      <w:r>
        <w:rPr>
          <w:rFonts w:cs="Times New Roman"/>
          <w:szCs w:val="24"/>
        </w:rPr>
      </w:r>
      <w:r>
        <w:rPr>
          <w:rFonts w:cs="Times New Roman"/>
          <w:szCs w:val="24"/>
        </w:rPr>
        <w:fldChar w:fldCharType="separate"/>
      </w:r>
      <w:r w:rsidR="0012026B">
        <w:rPr>
          <w:rFonts w:cs="Times New Roman"/>
          <w:szCs w:val="24"/>
        </w:rPr>
        <w:t>50</w:t>
      </w:r>
      <w:r>
        <w:rPr>
          <w:rFonts w:cs="Times New Roman"/>
          <w:szCs w:val="24"/>
        </w:rPr>
        <w:fldChar w:fldCharType="end"/>
      </w:r>
      <w:r>
        <w:rPr>
          <w:rFonts w:cs="Times New Roman"/>
          <w:szCs w:val="24"/>
        </w:rPr>
        <w:t>.</w:t>
      </w:r>
    </w:p>
  </w:footnote>
  <w:footnote w:id="28">
    <w:p w14:paraId="2C2AC8E3" w14:textId="77777777" w:rsidR="000E1004" w:rsidRDefault="000E1004" w:rsidP="003F22F2">
      <w:pPr>
        <w:pStyle w:val="FootnoteText"/>
      </w:pPr>
      <w:r>
        <w:rPr>
          <w:rStyle w:val="FootnoteReference"/>
        </w:rPr>
        <w:footnoteRef/>
      </w:r>
      <w:r>
        <w:t xml:space="preserve"> Polanyi</w:t>
      </w:r>
      <w:r>
        <w:fldChar w:fldCharType="begin"/>
      </w:r>
      <w:r>
        <w:instrText xml:space="preserve"> XE "</w:instrText>
      </w:r>
      <w:r w:rsidRPr="00523AF8">
        <w:rPr>
          <w:rStyle w:val="Hyperlink"/>
          <w:noProof/>
        </w:rPr>
        <w:instrText>Polanyi</w:instrText>
      </w:r>
      <w:r>
        <w:instrText xml:space="preserve">" </w:instrText>
      </w:r>
      <w:r>
        <w:fldChar w:fldCharType="end"/>
      </w:r>
      <w:r>
        <w:t xml:space="preserve"> (2001, 50-2). </w:t>
      </w:r>
      <w:r w:rsidRPr="00A50A51">
        <w:rPr>
          <w:rFonts w:cs="Times New Roman"/>
        </w:rPr>
        <w:t xml:space="preserve">Hann &amp; Hart </w:t>
      </w:r>
      <w:r>
        <w:rPr>
          <w:rFonts w:cs="Times New Roman"/>
        </w:rPr>
        <w:t xml:space="preserve">(2011, </w:t>
      </w:r>
      <w:r w:rsidRPr="00A50A51">
        <w:rPr>
          <w:rFonts w:cs="Times New Roman"/>
        </w:rPr>
        <w:t>14</w:t>
      </w:r>
      <w:r>
        <w:rPr>
          <w:rFonts w:cs="Times New Roman"/>
        </w:rPr>
        <w:t>)</w:t>
      </w:r>
      <w:r w:rsidRPr="00A50A51">
        <w:rPr>
          <w:rFonts w:cs="Times New Roman"/>
        </w:rPr>
        <w:t>.</w:t>
      </w:r>
      <w:r>
        <w:rPr>
          <w:rFonts w:cs="Times New Roman"/>
        </w:rPr>
        <w:t xml:space="preserve"> Skre</w:t>
      </w:r>
      <w:r>
        <w:rPr>
          <w:rFonts w:cs="Times New Roman"/>
        </w:rPr>
        <w:fldChar w:fldCharType="begin"/>
      </w:r>
      <w:r>
        <w:instrText xml:space="preserve"> XE "</w:instrText>
      </w:r>
      <w:r w:rsidRPr="007645AE">
        <w:instrText>Skre</w:instrText>
      </w:r>
      <w:r>
        <w:instrText xml:space="preserve">" </w:instrText>
      </w:r>
      <w:r>
        <w:rPr>
          <w:rFonts w:cs="Times New Roman"/>
        </w:rPr>
        <w:fldChar w:fldCharType="end"/>
      </w:r>
      <w:r>
        <w:rPr>
          <w:rFonts w:cs="Times New Roman"/>
        </w:rPr>
        <w:t xml:space="preserve"> (2011, 67). </w:t>
      </w:r>
      <w:r>
        <w:t>Dale (2010, 117-123).</w:t>
      </w:r>
    </w:p>
  </w:footnote>
  <w:footnote w:id="29">
    <w:p w14:paraId="00697214" w14:textId="77777777" w:rsidR="000E1004" w:rsidRPr="00855334" w:rsidRDefault="000E1004" w:rsidP="003F22F2">
      <w:pPr>
        <w:pStyle w:val="FootnoteText"/>
      </w:pPr>
      <w:r>
        <w:rPr>
          <w:rStyle w:val="FootnoteReference"/>
        </w:rPr>
        <w:footnoteRef/>
      </w:r>
      <w:r>
        <w:t xml:space="preserve"> Dale (2010, 123-7, 240-6).</w:t>
      </w:r>
    </w:p>
  </w:footnote>
  <w:footnote w:id="30">
    <w:p w14:paraId="684A12EC" w14:textId="77777777" w:rsidR="000E1004" w:rsidRDefault="000E1004" w:rsidP="003F22F2">
      <w:pPr>
        <w:pStyle w:val="FootnoteText"/>
      </w:pPr>
      <w:r>
        <w:rPr>
          <w:rStyle w:val="FootnoteReference"/>
        </w:rPr>
        <w:footnoteRef/>
      </w:r>
      <w:r>
        <w:t xml:space="preserve"> </w:t>
      </w:r>
      <w:r>
        <w:rPr>
          <w:rFonts w:cs="Times New Roman"/>
        </w:rPr>
        <w:t xml:space="preserve">Dale (2010, </w:t>
      </w:r>
      <w:r w:rsidRPr="00EF0E72">
        <w:rPr>
          <w:rFonts w:cs="Times New Roman"/>
        </w:rPr>
        <w:t>8-9</w:t>
      </w:r>
      <w:r>
        <w:rPr>
          <w:rFonts w:cs="Times New Roman"/>
        </w:rPr>
        <w:t>)</w:t>
      </w:r>
      <w:r w:rsidRPr="00EF0E72">
        <w:rPr>
          <w:rFonts w:cs="Times New Roman"/>
        </w:rPr>
        <w:t>.</w:t>
      </w:r>
    </w:p>
  </w:footnote>
  <w:footnote w:id="31">
    <w:p w14:paraId="7CC4E7A3"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(2008, 333-4).</w:t>
      </w:r>
    </w:p>
  </w:footnote>
  <w:footnote w:id="32">
    <w:p w14:paraId="28F742C4" w14:textId="49723882" w:rsidR="000E1004" w:rsidRDefault="000E1004" w:rsidP="003F22F2">
      <w:pPr>
        <w:pStyle w:val="FootnoteText"/>
      </w:pPr>
      <w:r>
        <w:rPr>
          <w:rStyle w:val="FootnoteReference"/>
        </w:rPr>
        <w:footnoteRef/>
      </w:r>
      <w:r>
        <w:t xml:space="preserve"> The </w:t>
      </w:r>
      <w:r w:rsidRPr="008C234C">
        <w:rPr>
          <w:i/>
        </w:rPr>
        <w:t>formalism</w:t>
      </w:r>
      <w:r>
        <w:t xml:space="preserve"> of Polanyi (</w:t>
      </w:r>
      <w:r>
        <w:fldChar w:fldCharType="begin"/>
      </w:r>
      <w:r>
        <w:instrText xml:space="preserve"> PAGEREF Anthropological \h </w:instrText>
      </w:r>
      <w:r>
        <w:fldChar w:fldCharType="separate"/>
      </w:r>
      <w:r w:rsidR="0012026B">
        <w:rPr>
          <w:noProof/>
        </w:rPr>
        <w:t>20</w:t>
      </w:r>
      <w:r>
        <w:fldChar w:fldCharType="end"/>
      </w:r>
      <w:r>
        <w:t>), Loyn (1981) and Metcalf.</w:t>
      </w:r>
    </w:p>
  </w:footnote>
  <w:footnote w:id="33">
    <w:p w14:paraId="30C91812" w14:textId="77777777" w:rsidR="000E1004" w:rsidRPr="008C234C" w:rsidRDefault="000E1004" w:rsidP="003F22F2">
      <w:pPr>
        <w:pStyle w:val="FootnoteText"/>
      </w:pPr>
      <w:r>
        <w:rPr>
          <w:rStyle w:val="FootnoteReference"/>
        </w:rPr>
        <w:footnoteRef/>
      </w:r>
      <w:r>
        <w:t xml:space="preserve"> The </w:t>
      </w:r>
      <w:r w:rsidRPr="008C234C">
        <w:rPr>
          <w:i/>
        </w:rPr>
        <w:t>substantivism</w:t>
      </w:r>
      <w:r>
        <w:t xml:space="preserve"> of Malinowski (1922), Grierson (1959) and Mauss (1970).</w:t>
      </w:r>
    </w:p>
  </w:footnote>
  <w:footnote w:id="34">
    <w:p w14:paraId="2DAD2D3A" w14:textId="0FA3A54B" w:rsidR="000E1004" w:rsidRDefault="000E1004" w:rsidP="003F22F2">
      <w:pPr>
        <w:pStyle w:val="FootnoteText"/>
      </w:pPr>
      <w:r>
        <w:rPr>
          <w:rStyle w:val="FootnoteReference"/>
        </w:rPr>
        <w:footnoteRef/>
      </w:r>
      <w:r>
        <w:t xml:space="preserve"> Moreland (2000a, 31-2).</w:t>
      </w:r>
    </w:p>
  </w:footnote>
  <w:footnote w:id="35">
    <w:p w14:paraId="67ACD6DF"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(2011, 80). The market exchange mechanism is constrained by social convention: “In Viking</w:t>
      </w:r>
      <w:r>
        <w:fldChar w:fldCharType="begin"/>
      </w:r>
      <w:r>
        <w:instrText xml:space="preserve"> XE "</w:instrText>
      </w:r>
      <w:r w:rsidRPr="00F1328A">
        <w:rPr>
          <w:rStyle w:val="Hyperlink"/>
          <w:noProof/>
        </w:rPr>
        <w:instrText>Viking</w:instrText>
      </w:r>
      <w:r>
        <w:instrText xml:space="preserve">" </w:instrText>
      </w:r>
      <w:r>
        <w:fldChar w:fldCharType="end"/>
      </w:r>
      <w:r>
        <w:t>-age and medieval Scandinavia</w:t>
      </w:r>
      <w:r>
        <w:fldChar w:fldCharType="begin"/>
      </w:r>
      <w:r>
        <w:instrText xml:space="preserve"> XE "</w:instrText>
      </w:r>
      <w:r w:rsidRPr="00F1328A">
        <w:rPr>
          <w:rStyle w:val="Hyperlink"/>
          <w:noProof/>
        </w:rPr>
        <w:instrText>Scandinavia</w:instrText>
      </w:r>
      <w:r>
        <w:instrText xml:space="preserve">" </w:instrText>
      </w:r>
      <w:r>
        <w:fldChar w:fldCharType="end"/>
      </w:r>
      <w:r>
        <w:t>, an open display of greed would have been dishonourable.” Also see Skre (2008, ch. 9).</w:t>
      </w:r>
    </w:p>
  </w:footnote>
  <w:footnote w:id="36">
    <w:p w14:paraId="6CBC09D1"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(2011, 85).</w:t>
      </w:r>
    </w:p>
  </w:footnote>
  <w:footnote w:id="37">
    <w:p w14:paraId="04D18AD8" w14:textId="77777777" w:rsidR="000E1004" w:rsidRDefault="000E1004" w:rsidP="003F22F2">
      <w:pPr>
        <w:pStyle w:val="FootnoteText"/>
      </w:pPr>
      <w:r>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26).</w:t>
      </w:r>
    </w:p>
  </w:footnote>
  <w:footnote w:id="38">
    <w:p w14:paraId="75C833F1" w14:textId="77777777" w:rsidR="000E1004" w:rsidRDefault="000E1004" w:rsidP="003F22F2">
      <w:pPr>
        <w:pStyle w:val="FootnoteText"/>
      </w:pPr>
      <w:r>
        <w:rPr>
          <w:rStyle w:val="FootnoteReference"/>
        </w:rPr>
        <w:footnoteRef/>
      </w:r>
      <w:r>
        <w:t xml:space="preserve"> </w:t>
      </w:r>
      <w:r>
        <w:rPr>
          <w:rFonts w:cs="Times New Roman"/>
        </w:rPr>
        <w:t>Stiglitz (</w:t>
      </w:r>
      <w:r w:rsidRPr="00F2728A">
        <w:rPr>
          <w:rFonts w:cs="Times New Roman"/>
        </w:rPr>
        <w:t>2002</w:t>
      </w:r>
      <w:r>
        <w:rPr>
          <w:rFonts w:cs="Times New Roman"/>
        </w:rPr>
        <w:t>).</w:t>
      </w:r>
    </w:p>
  </w:footnote>
  <w:footnote w:id="39">
    <w:p w14:paraId="1C7D9C97" w14:textId="77777777" w:rsidR="000E1004" w:rsidRDefault="000E1004" w:rsidP="003F22F2">
      <w:pPr>
        <w:pStyle w:val="FootnoteText"/>
      </w:pPr>
      <w:r>
        <w:rPr>
          <w:rStyle w:val="FootnoteReference"/>
        </w:rPr>
        <w:footnoteRef/>
      </w:r>
      <w:r>
        <w:t xml:space="preserve"> Dale</w:t>
      </w:r>
      <w:r w:rsidRPr="00BC1711">
        <w:t xml:space="preserve"> (2010).</w:t>
      </w:r>
    </w:p>
  </w:footnote>
  <w:footnote w:id="40">
    <w:p w14:paraId="19ED0009" w14:textId="77777777" w:rsidR="000E1004" w:rsidRPr="00EF0E72" w:rsidRDefault="000E1004" w:rsidP="003F22F2">
      <w:pPr>
        <w:pStyle w:val="FootnoteText"/>
        <w:rPr>
          <w:rFonts w:cs="Times New Roman"/>
        </w:rPr>
      </w:pPr>
      <w:r w:rsidRPr="00EF0E72">
        <w:rPr>
          <w:rStyle w:val="FootnoteReference"/>
          <w:rFonts w:cs="Times New Roman"/>
        </w:rPr>
        <w:footnoteRef/>
      </w:r>
      <w:r>
        <w:rPr>
          <w:rFonts w:cs="Times New Roman"/>
        </w:rPr>
        <w:t xml:space="preserve"> Polanyi</w:t>
      </w:r>
      <w:r>
        <w:rPr>
          <w:rFonts w:cs="Times New Roman"/>
        </w:rPr>
        <w:fldChar w:fldCharType="begin"/>
      </w:r>
      <w:r>
        <w:instrText xml:space="preserve"> XE "</w:instrText>
      </w:r>
      <w:r w:rsidRPr="00523AF8">
        <w:rPr>
          <w:rStyle w:val="Hyperlink"/>
          <w:noProof/>
        </w:rPr>
        <w:instrText>Polanyi</w:instrText>
      </w:r>
      <w:r>
        <w:instrText xml:space="preserve">" </w:instrText>
      </w:r>
      <w:r>
        <w:rPr>
          <w:rFonts w:cs="Times New Roman"/>
        </w:rPr>
        <w:fldChar w:fldCharType="end"/>
      </w:r>
      <w:r>
        <w:rPr>
          <w:rFonts w:cs="Times New Roman"/>
        </w:rPr>
        <w:t xml:space="preserve"> (1977, </w:t>
      </w:r>
      <w:r w:rsidRPr="00EF0E72">
        <w:rPr>
          <w:rFonts w:cs="Times New Roman"/>
        </w:rPr>
        <w:t>95</w:t>
      </w:r>
      <w:r>
        <w:rPr>
          <w:rFonts w:cs="Times New Roman"/>
        </w:rPr>
        <w:t>). He acknowledged</w:t>
      </w:r>
      <w:r w:rsidRPr="00EF0E72">
        <w:rPr>
          <w:rFonts w:cs="Times New Roman"/>
        </w:rPr>
        <w:t xml:space="preserve"> that such ‘ports’ need not be coastal.</w:t>
      </w:r>
      <w:r>
        <w:rPr>
          <w:rFonts w:cs="Times New Roman"/>
        </w:rPr>
        <w:t xml:space="preserve"> See also, Hodges</w:t>
      </w:r>
      <w:r>
        <w:rPr>
          <w:rFonts w:cs="Times New Roman"/>
        </w:rPr>
        <w:fldChar w:fldCharType="begin"/>
      </w:r>
      <w:r>
        <w:instrText xml:space="preserve"> XE "</w:instrText>
      </w:r>
      <w:r w:rsidRPr="00523AF8">
        <w:rPr>
          <w:rStyle w:val="Hyperlink"/>
          <w:noProof/>
        </w:rPr>
        <w:instrText>Hodges</w:instrText>
      </w:r>
      <w:r>
        <w:instrText xml:space="preserve">" </w:instrText>
      </w:r>
      <w:r>
        <w:rPr>
          <w:rFonts w:cs="Times New Roman"/>
        </w:rPr>
        <w:fldChar w:fldCharType="end"/>
      </w:r>
      <w:r>
        <w:rPr>
          <w:rFonts w:cs="Times New Roman"/>
        </w:rPr>
        <w:t xml:space="preserve"> (1988, 52-5).</w:t>
      </w:r>
    </w:p>
  </w:footnote>
  <w:footnote w:id="41">
    <w:p w14:paraId="34270F12" w14:textId="77777777" w:rsidR="000E1004" w:rsidRDefault="000E1004" w:rsidP="003F22F2">
      <w:pPr>
        <w:pStyle w:val="FootnoteText"/>
      </w:pPr>
      <w:r>
        <w:rPr>
          <w:rStyle w:val="FootnoteReference"/>
        </w:rPr>
        <w:footnoteRef/>
      </w:r>
      <w:r>
        <w:t xml:space="preserve"> Initially,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over-emphasised the role of kings.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33). Levison (1946, 4-14) discussed </w:t>
      </w:r>
      <w:r w:rsidRPr="00364319">
        <w:rPr>
          <w:i/>
        </w:rPr>
        <w:t>mercimonium</w:t>
      </w:r>
      <w:r>
        <w:t>, which is how commercial markets were</w:t>
      </w:r>
      <w:r w:rsidRPr="00364319">
        <w:t xml:space="preserve"> </w:t>
      </w:r>
      <w:r>
        <w:t>referred to in contemporary documents.</w:t>
      </w:r>
    </w:p>
  </w:footnote>
  <w:footnote w:id="42">
    <w:p w14:paraId="5979E90C" w14:textId="77777777" w:rsidR="000E1004" w:rsidRPr="00EF0E72" w:rsidRDefault="000E1004" w:rsidP="003F22F2">
      <w:pPr>
        <w:pStyle w:val="FootnoteText"/>
      </w:pPr>
      <w:r w:rsidRPr="00EF0E72">
        <w:rPr>
          <w:rStyle w:val="FootnoteReference"/>
        </w:rPr>
        <w:footnoteRef/>
      </w:r>
      <w:r w:rsidRPr="00EF0E72">
        <w:t xml:space="preserve"> </w:t>
      </w:r>
      <w:r>
        <w:t>Polanyi</w:t>
      </w:r>
      <w:r>
        <w:fldChar w:fldCharType="begin"/>
      </w:r>
      <w:r>
        <w:instrText xml:space="preserve"> XE "</w:instrText>
      </w:r>
      <w:r w:rsidRPr="00523AF8">
        <w:rPr>
          <w:rStyle w:val="Hyperlink"/>
          <w:noProof/>
        </w:rPr>
        <w:instrText>Polanyi</w:instrText>
      </w:r>
      <w:r>
        <w:instrText xml:space="preserve">" </w:instrText>
      </w:r>
      <w:r>
        <w:fldChar w:fldCharType="end"/>
      </w:r>
      <w:r>
        <w:t>’s work on Dahomey concluded</w:t>
      </w:r>
      <w:r w:rsidRPr="00EF0E72">
        <w:t xml:space="preserve"> that the society’s stability was, in part, due to its stratified economy</w:t>
      </w:r>
      <w:r>
        <w:fldChar w:fldCharType="begin"/>
      </w:r>
      <w:r>
        <w:instrText xml:space="preserve"> XE "</w:instrText>
      </w:r>
      <w:r w:rsidRPr="007A2080">
        <w:rPr>
          <w:rFonts w:cs="Times New Roman"/>
          <w:b/>
          <w:color w:val="000000" w:themeColor="text1"/>
          <w:sz w:val="56"/>
          <w:szCs w:val="56"/>
        </w:rPr>
        <w:instrText>economy</w:instrText>
      </w:r>
      <w:r>
        <w:instrText xml:space="preserve">" </w:instrText>
      </w:r>
      <w:r>
        <w:fldChar w:fldCharType="end"/>
      </w:r>
      <w:r w:rsidRPr="00EF0E72">
        <w:t>, which extended to different types of money</w:t>
      </w:r>
      <w:r>
        <w:fldChar w:fldCharType="begin"/>
      </w:r>
      <w:r>
        <w:instrText xml:space="preserve"> XE "</w:instrText>
      </w:r>
      <w:r w:rsidRPr="007D3069">
        <w:instrText>money</w:instrText>
      </w:r>
      <w:r>
        <w:instrText xml:space="preserve">" </w:instrText>
      </w:r>
      <w:r>
        <w:fldChar w:fldCharType="end"/>
      </w:r>
      <w:r w:rsidRPr="00EF0E72">
        <w:t>. T</w:t>
      </w:r>
      <w:r>
        <w:t xml:space="preserve">his is not uncontested. Dale (2010, </w:t>
      </w:r>
      <w:r w:rsidRPr="00EF0E72">
        <w:t>172-81</w:t>
      </w:r>
      <w:r>
        <w:t>)</w:t>
      </w:r>
      <w:r w:rsidRPr="00EF0E72">
        <w:t>.</w:t>
      </w:r>
    </w:p>
  </w:footnote>
  <w:footnote w:id="43">
    <w:p w14:paraId="34EE6473" w14:textId="77777777" w:rsidR="000E1004" w:rsidRPr="00EF0E72" w:rsidRDefault="000E1004" w:rsidP="003F22F2">
      <w:pPr>
        <w:pStyle w:val="FootnoteText"/>
        <w:rPr>
          <w:rFonts w:cs="Times New Roman"/>
        </w:rPr>
      </w:pPr>
      <w:r w:rsidRPr="00EF0E72">
        <w:rPr>
          <w:rStyle w:val="FootnoteReference"/>
          <w:rFonts w:cs="Times New Roman"/>
        </w:rPr>
        <w:footnoteRef/>
      </w:r>
      <w:r>
        <w:rPr>
          <w:rFonts w:cs="Times New Roman"/>
        </w:rPr>
        <w:t xml:space="preserve"> Polanyi</w:t>
      </w:r>
      <w:r>
        <w:rPr>
          <w:rFonts w:cs="Times New Roman"/>
        </w:rPr>
        <w:fldChar w:fldCharType="begin"/>
      </w:r>
      <w:r>
        <w:instrText xml:space="preserve"> XE "</w:instrText>
      </w:r>
      <w:r w:rsidRPr="00523AF8">
        <w:rPr>
          <w:rStyle w:val="Hyperlink"/>
          <w:noProof/>
        </w:rPr>
        <w:instrText>Polanyi</w:instrText>
      </w:r>
      <w:r>
        <w:instrText xml:space="preserve">" </w:instrText>
      </w:r>
      <w:r>
        <w:rPr>
          <w:rFonts w:cs="Times New Roman"/>
        </w:rPr>
        <w:fldChar w:fldCharType="end"/>
      </w:r>
      <w:r>
        <w:rPr>
          <w:rFonts w:cs="Times New Roman"/>
        </w:rPr>
        <w:t xml:space="preserve"> (2001, </w:t>
      </w:r>
      <w:r w:rsidRPr="00EF0E72">
        <w:rPr>
          <w:rFonts w:cs="Times New Roman"/>
        </w:rPr>
        <w:t>58</w:t>
      </w:r>
      <w:r>
        <w:rPr>
          <w:rFonts w:cs="Times New Roman"/>
        </w:rPr>
        <w:t>)</w:t>
      </w:r>
      <w:r w:rsidRPr="00EF0E72">
        <w:rPr>
          <w:rFonts w:cs="Times New Roman"/>
        </w:rPr>
        <w:t>.</w:t>
      </w:r>
      <w:r>
        <w:rPr>
          <w:rFonts w:cs="Times New Roman"/>
        </w:rPr>
        <w:t xml:space="preserve"> Smith (1950, 17) shaped the orthodox view.</w:t>
      </w:r>
    </w:p>
  </w:footnote>
  <w:footnote w:id="44">
    <w:p w14:paraId="3890699E" w14:textId="296D87CE" w:rsidR="000E1004" w:rsidRPr="00530274" w:rsidRDefault="000E1004" w:rsidP="003F22F2">
      <w:pPr>
        <w:pStyle w:val="FootnoteText"/>
      </w:pPr>
      <w:r>
        <w:rPr>
          <w:rStyle w:val="FootnoteReference"/>
        </w:rPr>
        <w:footnoteRef/>
      </w:r>
      <w:r>
        <w:t xml:space="preserve"> The essence of token</w:t>
      </w:r>
      <w:r>
        <w:fldChar w:fldCharType="begin"/>
      </w:r>
      <w:r>
        <w:instrText xml:space="preserve"> XE "</w:instrText>
      </w:r>
      <w:r w:rsidRPr="007D3069">
        <w:rPr>
          <w:rFonts w:cs="Times New Roman"/>
          <w:szCs w:val="24"/>
        </w:rPr>
        <w:instrText>token</w:instrText>
      </w:r>
      <w:r>
        <w:instrText xml:space="preserve">" </w:instrText>
      </w:r>
      <w:r>
        <w:fldChar w:fldCharType="end"/>
      </w:r>
      <w:r>
        <w:t xml:space="preserve"> currency is that it is </w:t>
      </w:r>
      <w:r w:rsidRPr="00530274">
        <w:rPr>
          <w:i/>
        </w:rPr>
        <w:t>fiat</w:t>
      </w:r>
      <w:r>
        <w:rPr>
          <w:i/>
        </w:rPr>
        <w:fldChar w:fldCharType="begin"/>
      </w:r>
      <w:r>
        <w:instrText xml:space="preserve"> XE "</w:instrText>
      </w:r>
      <w:r w:rsidRPr="007645AE">
        <w:instrText>fiat</w:instrText>
      </w:r>
      <w:r>
        <w:instrText xml:space="preserve">" </w:instrText>
      </w:r>
      <w:r>
        <w:rPr>
          <w:i/>
        </w:rPr>
        <w:fldChar w:fldCharType="end"/>
      </w:r>
      <w:r>
        <w:t xml:space="preserve"> – it circulates above its intrinsic value. Davies</w:t>
      </w:r>
      <w:r>
        <w:fldChar w:fldCharType="begin"/>
      </w:r>
      <w:r>
        <w:instrText xml:space="preserve"> XE "</w:instrText>
      </w:r>
      <w:r w:rsidRPr="00523AF8">
        <w:rPr>
          <w:rStyle w:val="Hyperlink"/>
          <w:noProof/>
        </w:rPr>
        <w:instrText>Davies</w:instrText>
      </w:r>
      <w:r>
        <w:instrText xml:space="preserve">" </w:instrText>
      </w:r>
      <w:r>
        <w:fldChar w:fldCharType="end"/>
      </w:r>
      <w:r>
        <w:t xml:space="preserve"> (1994, 115-6) quoted early examples in Britain: the ‘potin’ or cast bronzes of the C1st </w:t>
      </w:r>
      <w:r w:rsidRPr="00084CFC">
        <w:rPr>
          <w:sz w:val="16"/>
          <w:szCs w:val="16"/>
        </w:rPr>
        <w:t>BCE</w:t>
      </w:r>
      <w:r>
        <w:t xml:space="preserve"> Cantii (Van Arsdell, 1989, 79-90) and the late Roman</w:t>
      </w:r>
      <w:r>
        <w:fldChar w:fldCharType="begin"/>
      </w:r>
      <w:r>
        <w:instrText xml:space="preserve"> XE "</w:instrText>
      </w:r>
      <w:r w:rsidRPr="007645AE">
        <w:instrText>Roman</w:instrText>
      </w:r>
      <w:r>
        <w:instrText xml:space="preserve">" </w:instrText>
      </w:r>
      <w:r>
        <w:fldChar w:fldCharType="end"/>
      </w:r>
      <w:r>
        <w:t xml:space="preserve"> minissimi. Token currencies are a signifier of full monetisation</w:t>
      </w:r>
      <w:r>
        <w:fldChar w:fldCharType="begin"/>
      </w:r>
      <w:r>
        <w:instrText xml:space="preserve"> XE "</w:instrText>
      </w:r>
      <w:r w:rsidRPr="007D3069">
        <w:instrText>monetization</w:instrText>
      </w:r>
      <w:r>
        <w:instrText xml:space="preserve">" </w:instrText>
      </w:r>
      <w:r>
        <w:fldChar w:fldCharType="end"/>
      </w:r>
      <w:r>
        <w:t xml:space="preserve"> as they rely on a high level of communal confidence in the currency and its supporting institutions.</w:t>
      </w:r>
    </w:p>
  </w:footnote>
  <w:footnote w:id="45">
    <w:p w14:paraId="1730A413" w14:textId="77777777" w:rsidR="000E1004" w:rsidRDefault="000E1004" w:rsidP="003F22F2">
      <w:pPr>
        <w:pStyle w:val="FootnoteText"/>
      </w:pPr>
      <w:r>
        <w:rPr>
          <w:rStyle w:val="FootnoteReference"/>
        </w:rPr>
        <w:footnoteRef/>
      </w:r>
      <w:r>
        <w:t xml:space="preserve"> The degree to which individual stycas circulated at a value below the intrinsic varied, given the inconsistent metallurgy. Gresham’s Law</w:t>
      </w:r>
      <w:r>
        <w:fldChar w:fldCharType="begin"/>
      </w:r>
      <w:r>
        <w:instrText xml:space="preserve"> XE "</w:instrText>
      </w:r>
      <w:r w:rsidRPr="00F1328A">
        <w:rPr>
          <w:rStyle w:val="Hyperlink"/>
          <w:noProof/>
        </w:rPr>
        <w:instrText>Law</w:instrText>
      </w:r>
      <w:r>
        <w:instrText xml:space="preserve">" </w:instrText>
      </w:r>
      <w:r>
        <w:fldChar w:fldCharType="end"/>
      </w:r>
      <w:r>
        <w:t xml:space="preserve"> must have been in abeyance. Metcalf and Northover (1987, 212).</w:t>
      </w:r>
    </w:p>
  </w:footnote>
  <w:footnote w:id="46">
    <w:p w14:paraId="40131FEE" w14:textId="77777777" w:rsidR="000E1004" w:rsidRPr="00EF0E72" w:rsidRDefault="000E1004" w:rsidP="003F22F2">
      <w:pPr>
        <w:pStyle w:val="FootnoteText"/>
      </w:pPr>
      <w:r w:rsidRPr="00EF0E72">
        <w:rPr>
          <w:rStyle w:val="FootnoteReference"/>
        </w:rPr>
        <w:footnoteRef/>
      </w:r>
      <w:r w:rsidRPr="00EF0E72">
        <w:t xml:space="preserve"> </w:t>
      </w:r>
      <w:r>
        <w:rPr>
          <w:rFonts w:cs="Times New Roman"/>
        </w:rPr>
        <w:t>Polanyi</w:t>
      </w:r>
      <w:r>
        <w:rPr>
          <w:rFonts w:cs="Times New Roman"/>
        </w:rPr>
        <w:fldChar w:fldCharType="begin"/>
      </w:r>
      <w:r>
        <w:instrText xml:space="preserve"> XE "</w:instrText>
      </w:r>
      <w:r w:rsidRPr="00523AF8">
        <w:rPr>
          <w:rStyle w:val="Hyperlink"/>
          <w:noProof/>
        </w:rPr>
        <w:instrText>Polanyi</w:instrText>
      </w:r>
      <w:r>
        <w:instrText xml:space="preserve">" </w:instrText>
      </w:r>
      <w:r>
        <w:rPr>
          <w:rFonts w:cs="Times New Roman"/>
        </w:rPr>
        <w:fldChar w:fldCharType="end"/>
      </w:r>
      <w:r>
        <w:rPr>
          <w:rFonts w:cs="Times New Roman"/>
        </w:rPr>
        <w:t xml:space="preserve"> (2001,</w:t>
      </w:r>
      <w:r w:rsidRPr="00EF0E72">
        <w:rPr>
          <w:rFonts w:cs="Times New Roman"/>
        </w:rPr>
        <w:t xml:space="preserve"> 196</w:t>
      </w:r>
      <w:r>
        <w:rPr>
          <w:rFonts w:cs="Times New Roman"/>
        </w:rPr>
        <w:t>)</w:t>
      </w:r>
      <w:r w:rsidRPr="00EF0E72">
        <w:rPr>
          <w:rFonts w:cs="Times New Roman"/>
        </w:rPr>
        <w:t>.</w:t>
      </w:r>
    </w:p>
  </w:footnote>
  <w:footnote w:id="47">
    <w:p w14:paraId="38BCBBB0" w14:textId="77777777" w:rsidR="000E1004" w:rsidRPr="00EF0E72" w:rsidRDefault="000E1004" w:rsidP="003F22F2">
      <w:pPr>
        <w:pStyle w:val="FootnoteText"/>
        <w:rPr>
          <w:rFonts w:cs="Times New Roman"/>
        </w:rPr>
      </w:pPr>
      <w:r w:rsidRPr="00EF0E72">
        <w:rPr>
          <w:rStyle w:val="FootnoteReference"/>
          <w:rFonts w:cs="Times New Roman"/>
        </w:rPr>
        <w:footnoteRef/>
      </w:r>
      <w:r w:rsidRPr="00EF0E72">
        <w:rPr>
          <w:rFonts w:cs="Times New Roman"/>
        </w:rPr>
        <w:t xml:space="preserve"> Pola</w:t>
      </w:r>
      <w:r>
        <w:rPr>
          <w:rFonts w:cs="Times New Roman"/>
        </w:rPr>
        <w:t>nyi</w:t>
      </w:r>
      <w:r>
        <w:rPr>
          <w:rFonts w:cs="Times New Roman"/>
        </w:rPr>
        <w:fldChar w:fldCharType="begin"/>
      </w:r>
      <w:r>
        <w:instrText xml:space="preserve"> XE "</w:instrText>
      </w:r>
      <w:r w:rsidRPr="00523AF8">
        <w:rPr>
          <w:rStyle w:val="Hyperlink"/>
          <w:noProof/>
        </w:rPr>
        <w:instrText>Polanyi</w:instrText>
      </w:r>
      <w:r>
        <w:instrText xml:space="preserve">" </w:instrText>
      </w:r>
      <w:r>
        <w:rPr>
          <w:rFonts w:cs="Times New Roman"/>
        </w:rPr>
        <w:fldChar w:fldCharType="end"/>
      </w:r>
      <w:r>
        <w:rPr>
          <w:rFonts w:cs="Times New Roman"/>
        </w:rPr>
        <w:t xml:space="preserve"> (1977, 97-121), ‘Money Objects and Money Uses’.</w:t>
      </w:r>
    </w:p>
  </w:footnote>
  <w:footnote w:id="48">
    <w:p w14:paraId="3B791AB1" w14:textId="77777777" w:rsidR="000E1004" w:rsidRPr="00EF0E72" w:rsidRDefault="000E1004" w:rsidP="003F22F2">
      <w:pPr>
        <w:pStyle w:val="FootnoteText"/>
        <w:rPr>
          <w:rFonts w:cs="Times New Roman"/>
        </w:rPr>
      </w:pPr>
      <w:r w:rsidRPr="00EF0E72">
        <w:rPr>
          <w:rStyle w:val="FootnoteReference"/>
          <w:rFonts w:cs="Times New Roman"/>
        </w:rPr>
        <w:footnoteRef/>
      </w:r>
      <w:r>
        <w:rPr>
          <w:rFonts w:cs="Times New Roman"/>
        </w:rPr>
        <w:t xml:space="preserve"> Dale (2010, </w:t>
      </w:r>
      <w:r w:rsidRPr="00EF0E72">
        <w:rPr>
          <w:rFonts w:cs="Times New Roman"/>
        </w:rPr>
        <w:t>246</w:t>
      </w:r>
      <w:r>
        <w:rPr>
          <w:rFonts w:cs="Times New Roman"/>
        </w:rPr>
        <w:t>)</w:t>
      </w:r>
      <w:r w:rsidRPr="00EF0E72">
        <w:rPr>
          <w:rFonts w:cs="Times New Roman"/>
        </w:rPr>
        <w:t>.</w:t>
      </w:r>
    </w:p>
  </w:footnote>
  <w:footnote w:id="49">
    <w:p w14:paraId="3001C448" w14:textId="77777777" w:rsidR="000E1004" w:rsidRPr="00A50A51" w:rsidRDefault="000E1004" w:rsidP="003F22F2">
      <w:pPr>
        <w:pStyle w:val="FootnoteText"/>
      </w:pPr>
      <w:r w:rsidRPr="00A50A51">
        <w:rPr>
          <w:rStyle w:val="FootnoteReference"/>
        </w:rPr>
        <w:footnoteRef/>
      </w:r>
      <w:r w:rsidRPr="00A50A51">
        <w:t xml:space="preserve"> </w:t>
      </w:r>
      <w:r w:rsidRPr="00A50A51">
        <w:rPr>
          <w:rFonts w:cs="Times New Roman"/>
        </w:rPr>
        <w:t xml:space="preserve">Hann &amp; Hart </w:t>
      </w:r>
      <w:r>
        <w:rPr>
          <w:rFonts w:cs="Times New Roman"/>
        </w:rPr>
        <w:t xml:space="preserve">(2011, </w:t>
      </w:r>
      <w:r w:rsidRPr="00A50A51">
        <w:rPr>
          <w:rFonts w:cs="Times New Roman"/>
        </w:rPr>
        <w:t>14</w:t>
      </w:r>
      <w:r>
        <w:rPr>
          <w:rFonts w:cs="Times New Roman"/>
        </w:rPr>
        <w:t>)</w:t>
      </w:r>
      <w:r w:rsidRPr="00A50A51">
        <w:rPr>
          <w:rFonts w:cs="Times New Roman"/>
        </w:rPr>
        <w:t>.</w:t>
      </w:r>
      <w:r>
        <w:rPr>
          <w:rFonts w:cs="Times New Roman"/>
        </w:rPr>
        <w:t xml:space="preserve"> Skre</w:t>
      </w:r>
      <w:r>
        <w:rPr>
          <w:rFonts w:cs="Times New Roman"/>
        </w:rPr>
        <w:fldChar w:fldCharType="begin"/>
      </w:r>
      <w:r>
        <w:instrText xml:space="preserve"> XE "</w:instrText>
      </w:r>
      <w:r w:rsidRPr="007645AE">
        <w:instrText>Skre</w:instrText>
      </w:r>
      <w:r>
        <w:instrText xml:space="preserve">" </w:instrText>
      </w:r>
      <w:r>
        <w:rPr>
          <w:rFonts w:cs="Times New Roman"/>
        </w:rPr>
        <w:fldChar w:fldCharType="end"/>
      </w:r>
      <w:r>
        <w:rPr>
          <w:rFonts w:cs="Times New Roman"/>
        </w:rPr>
        <w:t xml:space="preserve"> (2011, 67).</w:t>
      </w:r>
    </w:p>
  </w:footnote>
  <w:footnote w:id="50">
    <w:p w14:paraId="4ED3B8AD" w14:textId="77777777" w:rsidR="000E1004" w:rsidRPr="00A50A51" w:rsidRDefault="000E1004" w:rsidP="003F22F2">
      <w:pPr>
        <w:pStyle w:val="FootnoteText"/>
        <w:rPr>
          <w:rFonts w:cs="Times New Roman"/>
        </w:rPr>
      </w:pPr>
      <w:r w:rsidRPr="00A50A51">
        <w:rPr>
          <w:rStyle w:val="FootnoteReference"/>
          <w:rFonts w:cs="Times New Roman"/>
        </w:rPr>
        <w:footnoteRef/>
      </w:r>
      <w:r w:rsidRPr="00A50A51">
        <w:rPr>
          <w:rFonts w:cs="Times New Roman"/>
        </w:rPr>
        <w:t xml:space="preserve"> </w:t>
      </w:r>
      <w:r>
        <w:rPr>
          <w:rFonts w:cs="Times New Roman"/>
        </w:rPr>
        <w:t xml:space="preserve">Financial disembeddedness accelerates if unregulated – </w:t>
      </w:r>
      <w:r w:rsidRPr="006C7BE4">
        <w:rPr>
          <w:rFonts w:cs="Times New Roman"/>
          <w:i/>
        </w:rPr>
        <w:t>high frequency trading</w:t>
      </w:r>
      <w:r>
        <w:rPr>
          <w:rFonts w:cs="Times New Roman"/>
        </w:rPr>
        <w:t xml:space="preserve"> is an extreme example.</w:t>
      </w:r>
    </w:p>
  </w:footnote>
  <w:footnote w:id="51">
    <w:p w14:paraId="2B60995E" w14:textId="77777777" w:rsidR="000E1004" w:rsidRDefault="000E1004" w:rsidP="003F22F2">
      <w:pPr>
        <w:pStyle w:val="FootnoteText"/>
      </w:pPr>
      <w:r>
        <w:rPr>
          <w:rStyle w:val="FootnoteReference"/>
        </w:rPr>
        <w:footnoteRef/>
      </w:r>
      <w:r>
        <w:t xml:space="preserve"> Sahlins (2003, chapter 2). The three elements of the </w:t>
      </w:r>
      <w:r>
        <w:rPr>
          <w:rFonts w:cs="Times New Roman"/>
          <w:szCs w:val="24"/>
        </w:rPr>
        <w:t>domestic mode of production are ‘small labour force differentiated essentially by sex, simple technology and finite production objectives’ (87).</w:t>
      </w:r>
    </w:p>
  </w:footnote>
  <w:footnote w:id="52">
    <w:p w14:paraId="33E880CB" w14:textId="77777777" w:rsidR="000E1004" w:rsidRDefault="000E1004" w:rsidP="003F22F2">
      <w:pPr>
        <w:pStyle w:val="FootnoteText"/>
      </w:pPr>
      <w:r>
        <w:rPr>
          <w:rStyle w:val="FootnoteReference"/>
        </w:rPr>
        <w:footnoteRef/>
      </w:r>
      <w:r>
        <w:t xml:space="preserve"> He characterized these as not needing to work hard to satisfy their frugal needs,</w:t>
      </w:r>
      <w:r w:rsidRPr="00F72CF3">
        <w:t xml:space="preserve"> </w:t>
      </w:r>
      <w:r>
        <w:t>given their itinerant lifestyle – they are neither poor nor hungry (30-7</w:t>
      </w:r>
      <w:r w:rsidRPr="003266D0">
        <w:t>). They ‘sit around all day and break wind’! (Sah</w:t>
      </w:r>
      <w:r>
        <w:t xml:space="preserve">lins admits this is slander, </w:t>
      </w:r>
      <w:r w:rsidRPr="003266D0">
        <w:t>55.) The parasitic lifestyle is comparable to marauding Moslems and Vikings – but it does keep them vigilant.</w:t>
      </w:r>
    </w:p>
  </w:footnote>
  <w:footnote w:id="53">
    <w:p w14:paraId="79A1B6D2" w14:textId="77777777" w:rsidR="000E1004" w:rsidRDefault="000E1004" w:rsidP="003F22F2">
      <w:pPr>
        <w:pStyle w:val="FootnoteText"/>
      </w:pPr>
      <w:r>
        <w:rPr>
          <w:rStyle w:val="FootnoteReference"/>
        </w:rPr>
        <w:footnoteRef/>
      </w:r>
      <w:r>
        <w:t xml:space="preserve"> Sahlins (2003, 97).</w:t>
      </w:r>
    </w:p>
  </w:footnote>
  <w:footnote w:id="54">
    <w:p w14:paraId="4BEF96A4" w14:textId="77777777" w:rsidR="000E1004" w:rsidRDefault="000E1004" w:rsidP="003F22F2">
      <w:pPr>
        <w:pStyle w:val="FootnoteText"/>
      </w:pPr>
      <w:r>
        <w:rPr>
          <w:rStyle w:val="FootnoteReference"/>
        </w:rPr>
        <w:footnoteRef/>
      </w:r>
      <w:r>
        <w:t xml:space="preserve"> Sahlins (2003, 101).</w:t>
      </w:r>
    </w:p>
  </w:footnote>
  <w:footnote w:id="55">
    <w:p w14:paraId="4172F143" w14:textId="77777777" w:rsidR="000E1004" w:rsidRDefault="000E1004" w:rsidP="003F22F2">
      <w:pPr>
        <w:pStyle w:val="FootnoteText"/>
      </w:pPr>
      <w:r>
        <w:rPr>
          <w:rStyle w:val="FootnoteReference"/>
        </w:rPr>
        <w:footnoteRef/>
      </w:r>
      <w:r>
        <w:t xml:space="preserve"> Storing surplus</w:t>
      </w:r>
      <w:r>
        <w:fldChar w:fldCharType="begin"/>
      </w:r>
      <w:r>
        <w:instrText xml:space="preserve"> XE "</w:instrText>
      </w:r>
      <w:r w:rsidRPr="007D3069">
        <w:instrText>surplus</w:instrText>
      </w:r>
      <w:r>
        <w:instrText xml:space="preserve">" </w:instrText>
      </w:r>
      <w:r>
        <w:fldChar w:fldCharType="end"/>
      </w:r>
      <w:r>
        <w:t xml:space="preserve"> for times of need.</w:t>
      </w:r>
    </w:p>
  </w:footnote>
  <w:footnote w:id="56">
    <w:p w14:paraId="719E6F74" w14:textId="77777777" w:rsidR="000E1004" w:rsidRDefault="000E1004" w:rsidP="003F22F2">
      <w:pPr>
        <w:pStyle w:val="FootnoteText"/>
      </w:pPr>
      <w:r>
        <w:rPr>
          <w:rStyle w:val="FootnoteReference"/>
        </w:rPr>
        <w:footnoteRef/>
      </w:r>
      <w:r>
        <w:t xml:space="preserve"> </w:t>
      </w:r>
      <w:r w:rsidRPr="00692F6E">
        <w:t xml:space="preserve">A </w:t>
      </w:r>
      <w:r w:rsidRPr="00692F6E">
        <w:rPr>
          <w:i/>
          <w:color w:val="000000" w:themeColor="text1"/>
        </w:rPr>
        <w:t>tonlieu</w:t>
      </w:r>
      <w:r>
        <w:rPr>
          <w:i/>
          <w:color w:val="000000" w:themeColor="text1"/>
        </w:rPr>
        <w:fldChar w:fldCharType="begin"/>
      </w:r>
      <w:r>
        <w:instrText xml:space="preserve"> XE "</w:instrText>
      </w:r>
      <w:r w:rsidRPr="007D3069">
        <w:rPr>
          <w:rFonts w:cs="Times New Roman"/>
          <w:i/>
          <w:color w:val="000000" w:themeColor="text1"/>
          <w:szCs w:val="24"/>
        </w:rPr>
        <w:instrText>tonlieu</w:instrText>
      </w:r>
      <w:r>
        <w:instrText xml:space="preserve">" </w:instrText>
      </w:r>
      <w:r>
        <w:rPr>
          <w:i/>
          <w:color w:val="000000" w:themeColor="text1"/>
        </w:rPr>
        <w:fldChar w:fldCharType="end"/>
      </w:r>
      <w:r w:rsidRPr="00692F6E">
        <w:rPr>
          <w:color w:val="000000" w:themeColor="text1"/>
        </w:rPr>
        <w:t xml:space="preserve"> is a tax on market fair stallholders.</w:t>
      </w:r>
    </w:p>
  </w:footnote>
  <w:footnote w:id="57">
    <w:p w14:paraId="6626A65B" w14:textId="77777777" w:rsidR="000E1004" w:rsidRPr="00266DE9"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116).</w:t>
      </w:r>
    </w:p>
  </w:footnote>
  <w:footnote w:id="58">
    <w:p w14:paraId="73C8DC94" w14:textId="77777777" w:rsidR="000E1004" w:rsidRDefault="000E1004" w:rsidP="003F22F2">
      <w:pPr>
        <w:pStyle w:val="FootnoteText"/>
      </w:pPr>
      <w:r>
        <w:rPr>
          <w:rStyle w:val="FootnoteReference"/>
        </w:rPr>
        <w:footnoteRef/>
      </w:r>
      <w:r>
        <w:t xml:space="preserve"> Spufford (1988, ch. 7).</w:t>
      </w:r>
    </w:p>
  </w:footnote>
  <w:footnote w:id="59">
    <w:p w14:paraId="7BC30CB4"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240). Scott (2012, 195-8).</w:t>
      </w:r>
    </w:p>
  </w:footnote>
  <w:footnote w:id="60">
    <w:p w14:paraId="04CB47CF" w14:textId="77777777" w:rsidR="000E1004" w:rsidRDefault="000E1004" w:rsidP="003F22F2">
      <w:pPr>
        <w:pStyle w:val="FootnoteText"/>
      </w:pPr>
      <w:r>
        <w:rPr>
          <w:rStyle w:val="FootnoteReference"/>
        </w:rPr>
        <w:footnoteRef/>
      </w:r>
      <w:r>
        <w:t xml:space="preserve"> Grierson (</w:t>
      </w:r>
      <w:r w:rsidRPr="005A1645">
        <w:t>1959</w:t>
      </w:r>
      <w:r>
        <w:t>, 123-40). Alms-giving was probably as important as gifts. Alms-giving was manifest in the emission of the rare 6-penny</w:t>
      </w:r>
      <w:r>
        <w:fldChar w:fldCharType="begin"/>
      </w:r>
      <w:r>
        <w:instrText xml:space="preserve"> XE "</w:instrText>
      </w:r>
      <w:r w:rsidRPr="007645AE">
        <w:instrText>penny</w:instrText>
      </w:r>
      <w:r>
        <w:instrText xml:space="preserve">" </w:instrText>
      </w:r>
      <w:r>
        <w:fldChar w:fldCharType="end"/>
      </w:r>
      <w:r>
        <w:t xml:space="preserve"> ELIMOSINA offering piece of Alfred the Great, demonstrating how kingship responded to social need.</w:t>
      </w:r>
    </w:p>
  </w:footnote>
  <w:footnote w:id="61">
    <w:p w14:paraId="058E91C4" w14:textId="77777777" w:rsidR="000E1004" w:rsidRPr="00F2294E" w:rsidRDefault="000E1004" w:rsidP="003F22F2">
      <w:pPr>
        <w:pStyle w:val="NoSpacing"/>
        <w:rPr>
          <w:sz w:val="20"/>
          <w:szCs w:val="20"/>
        </w:rPr>
      </w:pPr>
      <w:r w:rsidRPr="00F2294E">
        <w:rPr>
          <w:rStyle w:val="FootnoteReference"/>
          <w:sz w:val="20"/>
          <w:szCs w:val="20"/>
        </w:rPr>
        <w:footnoteRef/>
      </w:r>
      <w:r w:rsidRPr="00F2294E">
        <w:rPr>
          <w:sz w:val="20"/>
          <w:szCs w:val="20"/>
        </w:rPr>
        <w:t xml:space="preserve"> The impact of Islam on the metrology</w:t>
      </w:r>
      <w:r>
        <w:rPr>
          <w:sz w:val="20"/>
          <w:szCs w:val="20"/>
        </w:rPr>
        <w:fldChar w:fldCharType="begin"/>
      </w:r>
      <w:r>
        <w:instrText xml:space="preserve"> XE "</w:instrText>
      </w:r>
      <w:r w:rsidRPr="007D3069">
        <w:instrText>metrology</w:instrText>
      </w:r>
      <w:r>
        <w:instrText xml:space="preserve">" </w:instrText>
      </w:r>
      <w:r>
        <w:rPr>
          <w:sz w:val="20"/>
          <w:szCs w:val="20"/>
        </w:rPr>
        <w:fldChar w:fldCharType="end"/>
      </w:r>
      <w:r w:rsidRPr="00F2294E">
        <w:rPr>
          <w:sz w:val="20"/>
          <w:szCs w:val="20"/>
        </w:rPr>
        <w:t xml:space="preserve"> and volume of Carolingian</w:t>
      </w:r>
      <w:r>
        <w:rPr>
          <w:sz w:val="20"/>
          <w:szCs w:val="20"/>
        </w:rPr>
        <w:fldChar w:fldCharType="begin"/>
      </w:r>
      <w:r>
        <w:instrText xml:space="preserve"> XE "</w:instrText>
      </w:r>
      <w:r w:rsidRPr="007D3069">
        <w:rPr>
          <w:rFonts w:cs="Times New Roman"/>
          <w:szCs w:val="24"/>
        </w:rPr>
        <w:instrText>Carolingian</w:instrText>
      </w:r>
      <w:r>
        <w:instrText xml:space="preserve">" </w:instrText>
      </w:r>
      <w:r>
        <w:rPr>
          <w:sz w:val="20"/>
          <w:szCs w:val="20"/>
        </w:rPr>
        <w:fldChar w:fldCharType="end"/>
      </w:r>
      <w:r w:rsidRPr="00F2294E">
        <w:rPr>
          <w:sz w:val="20"/>
          <w:szCs w:val="20"/>
        </w:rPr>
        <w:t xml:space="preserve"> coinage </w:t>
      </w:r>
      <w:r>
        <w:rPr>
          <w:sz w:val="20"/>
          <w:szCs w:val="20"/>
        </w:rPr>
        <w:t>is disputed</w:t>
      </w:r>
      <w:r w:rsidRPr="00F2294E">
        <w:rPr>
          <w:sz w:val="20"/>
          <w:szCs w:val="20"/>
        </w:rPr>
        <w:t>. The high volume estimates of Metcalf</w:t>
      </w:r>
      <w:r>
        <w:rPr>
          <w:sz w:val="20"/>
          <w:szCs w:val="20"/>
        </w:rPr>
        <w:fldChar w:fldCharType="begin"/>
      </w:r>
      <w:r>
        <w:instrText xml:space="preserve"> XE "</w:instrText>
      </w:r>
      <w:r w:rsidRPr="00523AF8">
        <w:rPr>
          <w:rStyle w:val="Hyperlink"/>
          <w:noProof/>
        </w:rPr>
        <w:instrText>Metcalf</w:instrText>
      </w:r>
      <w:r>
        <w:instrText xml:space="preserve">" </w:instrText>
      </w:r>
      <w:r>
        <w:rPr>
          <w:sz w:val="20"/>
          <w:szCs w:val="20"/>
        </w:rPr>
        <w:fldChar w:fldCharType="end"/>
      </w:r>
      <w:r w:rsidRPr="00F2294E">
        <w:rPr>
          <w:sz w:val="20"/>
          <w:szCs w:val="20"/>
        </w:rPr>
        <w:t xml:space="preserve"> </w:t>
      </w:r>
      <w:r>
        <w:rPr>
          <w:sz w:val="20"/>
          <w:szCs w:val="20"/>
        </w:rPr>
        <w:t xml:space="preserve">(1965 &amp; 1967) </w:t>
      </w:r>
      <w:r w:rsidRPr="00F2294E">
        <w:rPr>
          <w:sz w:val="20"/>
          <w:szCs w:val="20"/>
        </w:rPr>
        <w:t>were rejected by Grierson</w:t>
      </w:r>
      <w:r>
        <w:rPr>
          <w:sz w:val="20"/>
          <w:szCs w:val="20"/>
        </w:rPr>
        <w:t xml:space="preserve"> (1967)</w:t>
      </w:r>
      <w:r w:rsidRPr="00F2294E">
        <w:rPr>
          <w:sz w:val="20"/>
          <w:szCs w:val="20"/>
        </w:rPr>
        <w:t xml:space="preserve">, whose emphasis was on the social rather than economic use of coinage, stressing </w:t>
      </w:r>
      <w:r>
        <w:rPr>
          <w:sz w:val="20"/>
          <w:szCs w:val="20"/>
        </w:rPr>
        <w:t>gift exchange rather than monetary mechanisms.</w:t>
      </w:r>
    </w:p>
  </w:footnote>
  <w:footnote w:id="62">
    <w:p w14:paraId="497ABD35" w14:textId="77777777" w:rsidR="000E1004" w:rsidRDefault="000E1004" w:rsidP="003F22F2">
      <w:pPr>
        <w:pStyle w:val="FootnoteText"/>
      </w:pPr>
      <w:r>
        <w:rPr>
          <w:rStyle w:val="FootnoteReference"/>
        </w:rPr>
        <w:footnoteRef/>
      </w:r>
      <w:r>
        <w:t xml:space="preserve"> Nor do Wood (2008) or Grierson &amp; Blackburn (</w:t>
      </w:r>
      <w:r w:rsidRPr="00103621">
        <w:rPr>
          <w:i/>
        </w:rPr>
        <w:t>MEC</w:t>
      </w:r>
      <w:r>
        <w:t>, 1986) mention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w:t>
      </w:r>
    </w:p>
  </w:footnote>
  <w:footnote w:id="63">
    <w:p w14:paraId="04B96C28" w14:textId="77777777" w:rsidR="000E1004" w:rsidRDefault="000E1004" w:rsidP="003F22F2">
      <w:pPr>
        <w:pStyle w:val="FootnoteText"/>
      </w:pPr>
      <w:r>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262).</w:t>
      </w:r>
    </w:p>
  </w:footnote>
  <w:footnote w:id="64">
    <w:p w14:paraId="5876DC19" w14:textId="77777777" w:rsidR="000E1004" w:rsidRDefault="000E1004" w:rsidP="003F22F2">
      <w:pPr>
        <w:pStyle w:val="FootnoteText"/>
      </w:pPr>
      <w:r>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273).</w:t>
      </w:r>
    </w:p>
  </w:footnote>
  <w:footnote w:id="65">
    <w:p w14:paraId="62E6934E" w14:textId="77777777" w:rsidR="000E1004" w:rsidRDefault="000E1004" w:rsidP="003F22F2">
      <w:pPr>
        <w:pStyle w:val="FootnoteText"/>
      </w:pPr>
      <w:r>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276).</w:t>
      </w:r>
    </w:p>
  </w:footnote>
  <w:footnote w:id="66">
    <w:p w14:paraId="42AE0A93" w14:textId="77777777" w:rsidR="000E1004" w:rsidRDefault="000E1004" w:rsidP="003F22F2">
      <w:pPr>
        <w:pStyle w:val="FootnoteText"/>
      </w:pPr>
      <w:r>
        <w:rPr>
          <w:rStyle w:val="FootnoteReference"/>
        </w:rPr>
        <w:footnoteRef/>
      </w:r>
      <w:r>
        <w:t xml:space="preserve"> Scott (2012, e.g. 135-8, 145-8, 175, 179-84, 191, 205-14, 242).</w:t>
      </w:r>
    </w:p>
  </w:footnote>
  <w:footnote w:id="67">
    <w:p w14:paraId="29D8912E" w14:textId="77777777" w:rsidR="000E1004" w:rsidRDefault="000E1004" w:rsidP="003F22F2">
      <w:pPr>
        <w:pStyle w:val="FootnoteText"/>
      </w:pPr>
      <w:r>
        <w:rPr>
          <w:rStyle w:val="FootnoteReference"/>
        </w:rPr>
        <w:footnoteRef/>
      </w:r>
      <w:r>
        <w:t xml:space="preserve"> Jones &amp; Ereira (2006).</w:t>
      </w:r>
    </w:p>
  </w:footnote>
  <w:footnote w:id="68">
    <w:p w14:paraId="614F11BE" w14:textId="77777777" w:rsidR="000E1004" w:rsidRDefault="000E1004" w:rsidP="00161418">
      <w:pPr>
        <w:pStyle w:val="FootnoteText"/>
      </w:pPr>
      <w:r>
        <w:rPr>
          <w:rStyle w:val="FootnoteReference"/>
        </w:rPr>
        <w:footnoteRef/>
      </w:r>
      <w:r>
        <w:t xml:space="preserve"> </w:t>
      </w:r>
      <w:r w:rsidRPr="00954459">
        <w:rPr>
          <w:i/>
        </w:rPr>
        <w:t>Curio 9</w:t>
      </w:r>
      <w:r>
        <w:t>, YNS Newsletter June 2014.</w:t>
      </w:r>
    </w:p>
  </w:footnote>
  <w:footnote w:id="69">
    <w:p w14:paraId="74465B23" w14:textId="53DAD18C" w:rsidR="000E1004" w:rsidRDefault="000E1004" w:rsidP="003F22F2">
      <w:pPr>
        <w:pStyle w:val="FootnoteText"/>
      </w:pPr>
      <w:r>
        <w:rPr>
          <w:rStyle w:val="FootnoteReference"/>
        </w:rPr>
        <w:footnoteRef/>
      </w:r>
      <w:r>
        <w:t xml:space="preserve"> Also illustrated at </w:t>
      </w:r>
      <w:r>
        <w:fldChar w:fldCharType="begin"/>
      </w:r>
      <w:r>
        <w:instrText xml:space="preserve"> REF _Ref430245890 \h  \* MERGEFORMAT </w:instrText>
      </w:r>
      <w:r>
        <w:fldChar w:fldCharType="separate"/>
      </w:r>
      <w:r w:rsidR="0012026B" w:rsidRPr="00EC0229">
        <w:rPr>
          <w:i/>
          <w:color w:val="000000" w:themeColor="text1"/>
        </w:rPr>
        <w:t>Figure</w:t>
      </w:r>
      <w:r w:rsidR="0012026B" w:rsidRPr="00EC0229">
        <w:rPr>
          <w:color w:val="000000" w:themeColor="text1"/>
        </w:rPr>
        <w:t xml:space="preserve"> </w:t>
      </w:r>
      <w:r w:rsidR="0012026B">
        <w:rPr>
          <w:noProof/>
          <w:color w:val="000000" w:themeColor="text1"/>
        </w:rPr>
        <w:t>7</w:t>
      </w:r>
      <w:r>
        <w:fldChar w:fldCharType="end"/>
      </w:r>
      <w:r>
        <w:t>.</w:t>
      </w:r>
    </w:p>
  </w:footnote>
  <w:footnote w:id="70">
    <w:p w14:paraId="477C819A" w14:textId="77777777" w:rsidR="000E1004" w:rsidRDefault="000E1004" w:rsidP="003F22F2">
      <w:pPr>
        <w:pStyle w:val="NoSpacing"/>
      </w:pPr>
      <w:r w:rsidRPr="00F2294E">
        <w:rPr>
          <w:rStyle w:val="FootnoteReference"/>
          <w:sz w:val="20"/>
          <w:szCs w:val="20"/>
        </w:rPr>
        <w:footnoteRef/>
      </w:r>
      <w:r w:rsidRPr="00F2294E">
        <w:rPr>
          <w:sz w:val="20"/>
          <w:szCs w:val="20"/>
        </w:rPr>
        <w:t xml:space="preserve"> </w:t>
      </w:r>
      <w:r>
        <w:rPr>
          <w:sz w:val="20"/>
          <w:szCs w:val="20"/>
        </w:rPr>
        <w:t>Pirenne</w:t>
      </w:r>
      <w:r>
        <w:rPr>
          <w:sz w:val="20"/>
          <w:szCs w:val="20"/>
        </w:rPr>
        <w:fldChar w:fldCharType="begin"/>
      </w:r>
      <w:r>
        <w:instrText xml:space="preserve"> XE "</w:instrText>
      </w:r>
      <w:r w:rsidRPr="00523AF8">
        <w:rPr>
          <w:rStyle w:val="Hyperlink"/>
          <w:noProof/>
        </w:rPr>
        <w:instrText>Pirenne</w:instrText>
      </w:r>
      <w:r>
        <w:instrText xml:space="preserve">" </w:instrText>
      </w:r>
      <w:r>
        <w:rPr>
          <w:sz w:val="20"/>
          <w:szCs w:val="20"/>
        </w:rPr>
        <w:fldChar w:fldCharType="end"/>
      </w:r>
      <w:r>
        <w:rPr>
          <w:sz w:val="20"/>
          <w:szCs w:val="20"/>
        </w:rPr>
        <w:t xml:space="preserve"> (2001, </w:t>
      </w:r>
      <w:r w:rsidRPr="00F2294E">
        <w:rPr>
          <w:sz w:val="20"/>
          <w:szCs w:val="20"/>
        </w:rPr>
        <w:t>54</w:t>
      </w:r>
      <w:r>
        <w:rPr>
          <w:sz w:val="20"/>
          <w:szCs w:val="20"/>
        </w:rPr>
        <w:t>)</w:t>
      </w:r>
      <w:r w:rsidRPr="00F2294E">
        <w:rPr>
          <w:sz w:val="20"/>
          <w:szCs w:val="20"/>
        </w:rPr>
        <w:t>.</w:t>
      </w:r>
    </w:p>
  </w:footnote>
  <w:footnote w:id="71">
    <w:p w14:paraId="0E84C0D2"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76).</w:t>
      </w:r>
    </w:p>
  </w:footnote>
  <w:footnote w:id="72">
    <w:p w14:paraId="15E603E5" w14:textId="77777777" w:rsidR="000E1004" w:rsidRDefault="000E1004" w:rsidP="003F22F2">
      <w:pPr>
        <w:pStyle w:val="FootnoteText"/>
      </w:pPr>
      <w:r>
        <w:rPr>
          <w:rStyle w:val="FootnoteReference"/>
        </w:rPr>
        <w:footnoteRef/>
      </w:r>
      <w:r>
        <w:t xml:space="preserve"> The Gallo-Romans gradually shifted to Frankish allegiance to take advantage of this immunity,</w:t>
      </w:r>
      <w:r w:rsidRPr="00770784">
        <w:t xml:space="preserve"> </w:t>
      </w:r>
      <w:r>
        <w:t>(Pirenne, 2001, 193).</w:t>
      </w:r>
    </w:p>
  </w:footnote>
  <w:footnote w:id="73">
    <w:p w14:paraId="3430263C"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142).</w:t>
      </w:r>
    </w:p>
  </w:footnote>
  <w:footnote w:id="74">
    <w:p w14:paraId="36378E8F"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58 &amp; 136-9).</w:t>
      </w:r>
    </w:p>
  </w:footnote>
  <w:footnote w:id="75">
    <w:p w14:paraId="0C64D7B9" w14:textId="77777777" w:rsidR="000E1004" w:rsidRDefault="000E1004" w:rsidP="003F22F2">
      <w:pPr>
        <w:pStyle w:val="FootnoteText"/>
      </w:pPr>
      <w:r>
        <w:rPr>
          <w:rStyle w:val="FootnoteReference"/>
        </w:rPr>
        <w:footnoteRef/>
      </w:r>
      <w:r>
        <w:t xml:space="preserve"> Williams and Hook (2013, 55-70).</w:t>
      </w:r>
    </w:p>
  </w:footnote>
  <w:footnote w:id="76">
    <w:p w14:paraId="13B48A88" w14:textId="77777777" w:rsidR="000E1004" w:rsidRDefault="000E1004" w:rsidP="003F22F2">
      <w:pPr>
        <w:pStyle w:val="FootnoteText"/>
      </w:pPr>
      <w:r>
        <w:rPr>
          <w:rStyle w:val="FootnoteReference"/>
        </w:rPr>
        <w:footnoteRef/>
      </w:r>
      <w:r>
        <w:t xml:space="preserve"> Scott (2012, 171-2).</w:t>
      </w:r>
      <w:r w:rsidRPr="00F519C5">
        <w:t xml:space="preserve"> </w:t>
      </w:r>
      <w:r>
        <w:t>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157).</w:t>
      </w:r>
    </w:p>
  </w:footnote>
  <w:footnote w:id="77">
    <w:p w14:paraId="10335156"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150-1).</w:t>
      </w:r>
    </w:p>
  </w:footnote>
  <w:footnote w:id="78">
    <w:p w14:paraId="1BC40020" w14:textId="77777777" w:rsidR="000E1004" w:rsidRDefault="000E1004" w:rsidP="003F22F2">
      <w:pPr>
        <w:pStyle w:val="FootnoteText"/>
      </w:pPr>
      <w:r>
        <w:rPr>
          <w:rStyle w:val="FootnoteReference"/>
        </w:rPr>
        <w:footnoteRef/>
      </w:r>
      <w:r>
        <w:t xml:space="preserve"> Scott (2012, 185-93).</w:t>
      </w:r>
    </w:p>
  </w:footnote>
  <w:footnote w:id="79">
    <w:p w14:paraId="494581B9"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59-60). Pirenne argues that the abundance of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xml:space="preserve"> was the result of trade, specifically in slaves, 111-3. Spufford (1988, 49).</w:t>
      </w:r>
    </w:p>
  </w:footnote>
  <w:footnote w:id="80">
    <w:p w14:paraId="0A8E7598"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174), though his suggestion that Jews were ‘numerous everywhere’ is misconceived. </w:t>
      </w:r>
    </w:p>
  </w:footnote>
  <w:footnote w:id="81">
    <w:p w14:paraId="16420477" w14:textId="77777777" w:rsidR="000E1004" w:rsidRDefault="000E1004" w:rsidP="003F22F2">
      <w:pPr>
        <w:pStyle w:val="FootnoteText"/>
      </w:pPr>
      <w:r>
        <w:rPr>
          <w:rStyle w:val="FootnoteReference"/>
        </w:rPr>
        <w:footnoteRef/>
      </w:r>
      <w:r>
        <w:t xml:space="preserve"> Other sources of this wealth may have included tribute, trade in furs &amp; other products, and gift exchange. Gaimster (2007, 123-33). Spufford (1988, 51) notes the disparity in the ratio of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xml:space="preserve"> to silver between Francia</w:t>
      </w:r>
      <w:r>
        <w:fldChar w:fldCharType="begin"/>
      </w:r>
      <w:r>
        <w:instrText xml:space="preserve"> XE "</w:instrText>
      </w:r>
      <w:r w:rsidRPr="00F1328A">
        <w:rPr>
          <w:rStyle w:val="Hyperlink"/>
          <w:rFonts w:cs="Times New Roman"/>
          <w:noProof/>
        </w:rPr>
        <w:instrText>Francia</w:instrText>
      </w:r>
      <w:r>
        <w:instrText xml:space="preserve">" </w:instrText>
      </w:r>
      <w:r>
        <w:fldChar w:fldCharType="end"/>
      </w:r>
      <w:r>
        <w:t xml:space="preserve"> at 1:12, Byzantium at 1:6 (in C7th rising to 1:7 in C10th) and an Arab ratio at 1:10 (presumably showing arbitrage) such that, during the currency of the slave trade, gold flowed west.</w:t>
      </w:r>
    </w:p>
  </w:footnote>
  <w:footnote w:id="82">
    <w:p w14:paraId="7DB1FE34" w14:textId="5026E920" w:rsidR="000E1004" w:rsidRDefault="000E1004" w:rsidP="003F22F2">
      <w:pPr>
        <w:pStyle w:val="FootnoteText"/>
      </w:pPr>
      <w:r>
        <w:rPr>
          <w:rStyle w:val="FootnoteReference"/>
        </w:rPr>
        <w:footnoteRef/>
      </w:r>
      <w:r>
        <w:t xml:space="preserve"> This was at the northern frontier of the economic system. In Merovingian</w:t>
      </w:r>
      <w:r>
        <w:fldChar w:fldCharType="begin"/>
      </w:r>
      <w:r>
        <w:instrText xml:space="preserve"> XE "</w:instrText>
      </w:r>
      <w:r w:rsidRPr="007D3069">
        <w:rPr>
          <w:rStyle w:val="Hyperlink"/>
          <w:noProof/>
        </w:rPr>
        <w:instrText>Merovingian</w:instrText>
      </w:r>
      <w:r>
        <w:instrText xml:space="preserve">" </w:instrText>
      </w:r>
      <w:r>
        <w:fldChar w:fldCharType="end"/>
      </w:r>
      <w:r>
        <w:t xml:space="preserve"> Francia</w:t>
      </w:r>
      <w:r>
        <w:fldChar w:fldCharType="begin"/>
      </w:r>
      <w:r>
        <w:instrText xml:space="preserve"> XE "</w:instrText>
      </w:r>
      <w:r w:rsidRPr="00F1328A">
        <w:rPr>
          <w:rStyle w:val="Hyperlink"/>
          <w:rFonts w:cs="Times New Roman"/>
          <w:noProof/>
        </w:rPr>
        <w:instrText>Francia</w:instrText>
      </w:r>
      <w:r>
        <w:instrText xml:space="preserve">" </w:instrText>
      </w:r>
      <w:r>
        <w:fldChar w:fldCharType="end"/>
      </w:r>
      <w:r>
        <w:t>, there was a discrete step, around 670, from good quality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xml:space="preserve"> to high purity silver. Hines</w:t>
      </w:r>
      <w:r w:rsidRPr="00D7481F">
        <w:t xml:space="preserve"> </w:t>
      </w:r>
      <w:r>
        <w:t>and Bayliss, eds., (2013) presented a scientific chronology based on analysis of graves and grave goods which brings the initiation of primary sceats into the 670s. Archibald (2013, 493-515) disputed this. The candidate’s identification of varieties Cii and Ciii of the York gold shilling (</w:t>
      </w:r>
      <w:r>
        <w:fldChar w:fldCharType="begin"/>
      </w:r>
      <w:r>
        <w:instrText xml:space="preserve"> PAGEREF goldshillingofYork \h </w:instrText>
      </w:r>
      <w:r>
        <w:fldChar w:fldCharType="separate"/>
      </w:r>
      <w:r w:rsidR="0012026B">
        <w:rPr>
          <w:noProof/>
        </w:rPr>
        <w:t>96</w:t>
      </w:r>
      <w:r>
        <w:fldChar w:fldCharType="end"/>
      </w:r>
      <w:r>
        <w:t xml:space="preserve">), preceded by the uninscribed varieties B &amp; Ci, and his tentative proposal that the reverse inscription of the Crondall (Hampshire) and Tangmere (West Sussex) specimens of the gold shilling of Eadbald of Kent reads Mellitus, thereby dating the issue to </w:t>
      </w:r>
      <w:r w:rsidRPr="00915519">
        <w:rPr>
          <w:i/>
        </w:rPr>
        <w:t>c.</w:t>
      </w:r>
      <w:r>
        <w:t xml:space="preserve"> 619-24, shift the commencement of Anglo-Saxon native coinage earlier by the same extent as Bayliss and Hines’s publication shifted back its cessation.</w:t>
      </w:r>
    </w:p>
  </w:footnote>
  <w:footnote w:id="83">
    <w:p w14:paraId="3071FAD7" w14:textId="77777777" w:rsidR="000E1004" w:rsidRDefault="000E1004" w:rsidP="003F22F2">
      <w:pPr>
        <w:pStyle w:val="FootnoteText"/>
      </w:pPr>
      <w:r>
        <w:rPr>
          <w:rStyle w:val="FootnoteReference"/>
        </w:rPr>
        <w:footnoteRef/>
      </w:r>
      <w:r>
        <w:t xml:space="preserve"> 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98-100), in describing the ‘abundant circulation of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describes how British slaves would be shipped from Marseilles as return cargo for incoming spices, silk and papyrus. A slave could be ransomed for twelve solidi.</w:t>
      </w:r>
    </w:p>
  </w:footnote>
  <w:footnote w:id="84">
    <w:p w14:paraId="1FB0DDF4" w14:textId="77777777" w:rsidR="000E1004" w:rsidRDefault="000E1004" w:rsidP="003F22F2">
      <w:pPr>
        <w:pStyle w:val="FootnoteText"/>
      </w:pPr>
      <w:r>
        <w:rPr>
          <w:rStyle w:val="FootnoteReference"/>
        </w:rPr>
        <w:footnoteRef/>
      </w:r>
      <w:r>
        <w:t xml:space="preserve"> The moneyer was likely to have been a wealthy court official, who would neither have engraved the dies nor hammered the coins.</w:t>
      </w:r>
    </w:p>
  </w:footnote>
  <w:footnote w:id="85">
    <w:p w14:paraId="5F3F96EE" w14:textId="1673D8BC"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&amp; Waterhouse (1983).</w:t>
      </w:r>
    </w:p>
  </w:footnote>
  <w:footnote w:id="86">
    <w:p w14:paraId="258E18A1"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(2008, 340), pointed out that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use of ‘gateway community’ differs from its use by Hirth (1978).</w:t>
      </w:r>
    </w:p>
  </w:footnote>
  <w:footnote w:id="87">
    <w:p w14:paraId="5753AF1B"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 97).</w:t>
      </w:r>
    </w:p>
  </w:footnote>
  <w:footnote w:id="88">
    <w:p w14:paraId="407177C0"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(1982, 51-2).</w:t>
      </w:r>
    </w:p>
  </w:footnote>
  <w:footnote w:id="89">
    <w:p w14:paraId="5C0BCB87" w14:textId="77777777" w:rsidR="000E1004" w:rsidRDefault="000E1004" w:rsidP="003F22F2">
      <w:pPr>
        <w:pStyle w:val="FootnoteText"/>
      </w:pPr>
      <w:r>
        <w:rPr>
          <w:rStyle w:val="FootnoteReference"/>
        </w:rPr>
        <w:footnoteRef/>
      </w:r>
      <w:r>
        <w:t xml:space="preserve"> </w:t>
      </w:r>
      <w:r w:rsidRPr="008B3C45">
        <w:rPr>
          <w:i/>
        </w:rPr>
        <w:t>Ibid</w:t>
      </w:r>
      <w:r>
        <w:t>. My italics.</w:t>
      </w:r>
    </w:p>
  </w:footnote>
  <w:footnote w:id="90">
    <w:p w14:paraId="4B8BDE85" w14:textId="77777777" w:rsidR="000E1004" w:rsidRDefault="000E1004" w:rsidP="003F22F2">
      <w:pPr>
        <w:pStyle w:val="FootnoteText"/>
      </w:pPr>
      <w:r>
        <w:rPr>
          <w:rStyle w:val="FootnoteReference"/>
        </w:rPr>
        <w:footnoteRef/>
      </w:r>
      <w:r>
        <w:t xml:space="preserve"> In his 2012 revision to ‘Dark Age Economics’ (p. 31), Hodges noted the ‘apparent profligacy of ‘mislaid’ coins, discarded jewellery, styluses and (reusable) workshop debris’ at ‘productive sites’.</w:t>
      </w:r>
    </w:p>
  </w:footnote>
  <w:footnote w:id="91">
    <w:p w14:paraId="4FE48469" w14:textId="77777777" w:rsidR="000E1004" w:rsidRDefault="000E1004" w:rsidP="003F22F2">
      <w:pPr>
        <w:pStyle w:val="FootnoteText"/>
      </w:pPr>
      <w:r>
        <w:rPr>
          <w:rStyle w:val="FootnoteReference"/>
        </w:rPr>
        <w:footnoteRef/>
      </w:r>
      <w:r>
        <w:t xml:space="preserve"> Smith, (1976, 309-74), which, based on work in modern Guatemala</w:t>
      </w:r>
      <w:r w:rsidRPr="00F27434">
        <w:t xml:space="preserve"> </w:t>
      </w:r>
      <w:r>
        <w:t>(Hodges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(1988, 22), should not be generalized. Hodges cited Colin Renfrew.</w:t>
      </w:r>
    </w:p>
  </w:footnote>
  <w:footnote w:id="92">
    <w:p w14:paraId="0CB87FCC" w14:textId="77777777" w:rsidR="000E1004" w:rsidRDefault="000E1004" w:rsidP="003F22F2">
      <w:pPr>
        <w:pStyle w:val="FootnoteText"/>
      </w:pPr>
      <w:r>
        <w:rPr>
          <w:rStyle w:val="FootnoteReference"/>
        </w:rPr>
        <w:footnoteRef/>
      </w:r>
      <w:r>
        <w:t xml:space="preserve"> Smith referred to a ‘trunk-and-branch’ pattern (Hodges</w:t>
      </w:r>
      <w:r>
        <w:fldChar w:fldCharType="begin"/>
      </w:r>
      <w:r>
        <w:instrText xml:space="preserve"> XE "</w:instrText>
      </w:r>
      <w:r w:rsidRPr="00523AF8">
        <w:rPr>
          <w:rStyle w:val="Hyperlink"/>
          <w:noProof/>
        </w:rPr>
        <w:instrText>Hodges</w:instrText>
      </w:r>
      <w:r>
        <w:instrText xml:space="preserve">" </w:instrText>
      </w:r>
      <w:r>
        <w:fldChar w:fldCharType="end"/>
      </w:r>
      <w:r>
        <w:t>, 1988, 20), whereas ‘root-and-branch’ would have been both more evocative and accurate.</w:t>
      </w:r>
    </w:p>
  </w:footnote>
  <w:footnote w:id="93">
    <w:p w14:paraId="1D0B6BCF"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(1982, 21).</w:t>
      </w:r>
    </w:p>
  </w:footnote>
  <w:footnote w:id="94">
    <w:p w14:paraId="5A33AE9A"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(1988, 90).</w:t>
      </w:r>
    </w:p>
  </w:footnote>
  <w:footnote w:id="95">
    <w:p w14:paraId="0BBE31F3"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(1988, 2 &amp; 15).</w:t>
      </w:r>
    </w:p>
  </w:footnote>
  <w:footnote w:id="96">
    <w:p w14:paraId="1A8EEF40" w14:textId="77777777" w:rsidR="000E1004" w:rsidRPr="002159CF" w:rsidRDefault="000E1004" w:rsidP="003F22F2">
      <w:pPr>
        <w:pStyle w:val="FootnoteText"/>
      </w:pPr>
      <w:r w:rsidRPr="002159CF">
        <w:rPr>
          <w:rStyle w:val="FootnoteReference"/>
        </w:rPr>
        <w:footnoteRef/>
      </w:r>
      <w:r w:rsidRPr="002159CF">
        <w:t xml:space="preserve"> Does a logarithmic rank-size rule advance understanding? (Hodges</w:t>
      </w:r>
      <w:r>
        <w:fldChar w:fldCharType="begin"/>
      </w:r>
      <w:r>
        <w:instrText xml:space="preserve"> XE "</w:instrText>
      </w:r>
      <w:r w:rsidRPr="00523AF8">
        <w:rPr>
          <w:rStyle w:val="Hyperlink"/>
          <w:noProof/>
        </w:rPr>
        <w:instrText>Hodges</w:instrText>
      </w:r>
      <w:r>
        <w:instrText xml:space="preserve">" </w:instrText>
      </w:r>
      <w:r>
        <w:fldChar w:fldCharType="end"/>
      </w:r>
      <w:r w:rsidRPr="002159CF">
        <w:t>, 1988, 26).</w:t>
      </w:r>
    </w:p>
  </w:footnote>
  <w:footnote w:id="97">
    <w:p w14:paraId="787D3806" w14:textId="77777777" w:rsidR="000E1004" w:rsidRDefault="000E1004" w:rsidP="003F22F2">
      <w:pPr>
        <w:pStyle w:val="FootnoteText"/>
      </w:pPr>
      <w:r w:rsidRPr="002159CF">
        <w:rPr>
          <w:rStyle w:val="FootnoteReference"/>
        </w:rPr>
        <w:footnoteRef/>
      </w:r>
      <w:r w:rsidRPr="002159CF">
        <w:t xml:space="preserve"> </w:t>
      </w:r>
      <w:r>
        <w:rPr>
          <w:rFonts w:cs="Times New Roman"/>
          <w:szCs w:val="24"/>
        </w:rPr>
        <w:t>Hodges</w:t>
      </w:r>
      <w:r>
        <w:rPr>
          <w:rFonts w:cs="Times New Roman"/>
          <w:szCs w:val="24"/>
        </w:rPr>
        <w:fldChar w:fldCharType="begin"/>
      </w:r>
      <w:r>
        <w:instrText xml:space="preserve"> XE "</w:instrText>
      </w:r>
      <w:r w:rsidRPr="00523AF8">
        <w:rPr>
          <w:rStyle w:val="Hyperlink"/>
          <w:noProof/>
        </w:rPr>
        <w:instrText>Hodges</w:instrText>
      </w:r>
      <w:r>
        <w:instrText xml:space="preserve">" </w:instrText>
      </w:r>
      <w:r>
        <w:rPr>
          <w:rFonts w:cs="Times New Roman"/>
          <w:szCs w:val="24"/>
        </w:rPr>
        <w:fldChar w:fldCharType="end"/>
      </w:r>
      <w:r>
        <w:rPr>
          <w:rFonts w:cs="Times New Roman"/>
          <w:szCs w:val="24"/>
        </w:rPr>
        <w:t xml:space="preserve"> (1988,</w:t>
      </w:r>
      <w:r w:rsidRPr="002159CF">
        <w:rPr>
          <w:rFonts w:cs="Times New Roman"/>
          <w:szCs w:val="24"/>
        </w:rPr>
        <w:t xml:space="preserve"> 106-18</w:t>
      </w:r>
      <w:r>
        <w:rPr>
          <w:rFonts w:cs="Times New Roman"/>
          <w:szCs w:val="24"/>
        </w:rPr>
        <w:t>)</w:t>
      </w:r>
      <w:r w:rsidRPr="002159CF">
        <w:rPr>
          <w:rFonts w:cs="Times New Roman"/>
          <w:szCs w:val="24"/>
        </w:rPr>
        <w:t>.</w:t>
      </w:r>
      <w:r>
        <w:rPr>
          <w:rFonts w:cs="Times New Roman"/>
          <w:szCs w:val="24"/>
        </w:rPr>
        <w:t xml:space="preserve"> In a passage bereft of meaning and logical, they argue that growing systems will generate </w:t>
      </w:r>
      <w:r w:rsidRPr="00510821">
        <w:rPr>
          <w:rFonts w:cs="Times New Roman"/>
          <w:i/>
          <w:szCs w:val="24"/>
        </w:rPr>
        <w:t>predictable</w:t>
      </w:r>
      <w:r>
        <w:rPr>
          <w:rFonts w:cs="Times New Roman"/>
          <w:szCs w:val="24"/>
        </w:rPr>
        <w:t xml:space="preserve"> changes: ‘These changes are predictable because every expanding system growing at a linear rate must introduce some form of compensation for the exponentially expanding need for information processing and deciding components.’ (1988, 106.)</w:t>
      </w:r>
    </w:p>
  </w:footnote>
  <w:footnote w:id="98">
    <w:p w14:paraId="76DB2CD9" w14:textId="77777777" w:rsidR="000E1004" w:rsidRDefault="000E1004" w:rsidP="003F22F2">
      <w:pPr>
        <w:pStyle w:val="FootnoteText"/>
      </w:pPr>
      <w:r>
        <w:rPr>
          <w:rStyle w:val="FootnoteReference"/>
        </w:rPr>
        <w:footnoteRef/>
      </w:r>
      <w:r>
        <w:t xml:space="preserve"> Admittedly this was written in the relatively early days of metal-detection.</w:t>
      </w:r>
    </w:p>
  </w:footnote>
  <w:footnote w:id="99">
    <w:p w14:paraId="5154659C" w14:textId="77777777" w:rsidR="000E1004" w:rsidRDefault="000E1004" w:rsidP="003F22F2">
      <w:pPr>
        <w:pStyle w:val="FootnoteText"/>
      </w:pPr>
      <w:r>
        <w:rPr>
          <w:rStyle w:val="FootnoteReference"/>
        </w:rPr>
        <w:footnoteRef/>
      </w:r>
      <w:r>
        <w:t xml:space="preserve"> In conceding that only the third expectation is not met they are wrong – halved and quartered pennies are now shown to be much more prevalent than then supposed, particularly in the short- and long-cross series.</w:t>
      </w:r>
    </w:p>
  </w:footnote>
  <w:footnote w:id="100">
    <w:p w14:paraId="2DCAF75A"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(2008, 335).</w:t>
      </w:r>
    </w:p>
  </w:footnote>
  <w:footnote w:id="101">
    <w:p w14:paraId="5E7FFDD4"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(2008, 337-39).</w:t>
      </w:r>
    </w:p>
  </w:footnote>
  <w:footnote w:id="102">
    <w:p w14:paraId="6F398874"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(2008, 340).</w:t>
      </w:r>
    </w:p>
  </w:footnote>
  <w:footnote w:id="103">
    <w:p w14:paraId="0D34AD33" w14:textId="77777777" w:rsidR="000E1004" w:rsidRDefault="000E1004" w:rsidP="003F22F2">
      <w:pPr>
        <w:pStyle w:val="FootnoteText"/>
      </w:pPr>
      <w:r>
        <w:rPr>
          <w:rStyle w:val="FootnoteReference"/>
        </w:rPr>
        <w:footnoteRef/>
      </w:r>
      <w:r>
        <w:t xml:space="preserve"> </w:t>
      </w:r>
      <w:r w:rsidRPr="00235AAF">
        <w:t>Hodges</w:t>
      </w:r>
      <w:r>
        <w:t xml:space="preserve"> (2008, 117).</w:t>
      </w:r>
    </w:p>
  </w:footnote>
  <w:footnote w:id="104">
    <w:p w14:paraId="38E53619" w14:textId="7853710E" w:rsidR="000E1004" w:rsidRPr="00A572FA" w:rsidRDefault="000E1004" w:rsidP="003F22F2">
      <w:pPr>
        <w:pStyle w:val="FootnoteText"/>
      </w:pPr>
      <w:r>
        <w:rPr>
          <w:rStyle w:val="FootnoteReference"/>
        </w:rPr>
        <w:footnoteRef/>
      </w:r>
      <w:r>
        <w:t xml:space="preserve"> After Agué (1995). ‘Like modern airports and shopping malls.’ Hodges (2008,116).</w:t>
      </w:r>
    </w:p>
  </w:footnote>
  <w:footnote w:id="105">
    <w:p w14:paraId="4C593C3E" w14:textId="77777777" w:rsidR="000E1004" w:rsidRDefault="000E1004" w:rsidP="003F22F2">
      <w:pPr>
        <w:pStyle w:val="FootnoteText"/>
      </w:pPr>
      <w:r>
        <w:rPr>
          <w:rStyle w:val="FootnoteReference"/>
        </w:rPr>
        <w:footnoteRef/>
      </w:r>
      <w:r>
        <w:t xml:space="preserve"> </w:t>
      </w:r>
      <w:r>
        <w:rPr>
          <w:rFonts w:cs="Times New Roman"/>
          <w:color w:val="000000" w:themeColor="text1"/>
          <w:szCs w:val="24"/>
        </w:rPr>
        <w:t>If it be at, or neighbouring, Fishergate</w:t>
      </w:r>
      <w:r>
        <w:rPr>
          <w:rFonts w:cs="Times New Roman"/>
          <w:color w:val="000000" w:themeColor="text1"/>
          <w:szCs w:val="24"/>
        </w:rPr>
        <w:fldChar w:fldCharType="begin"/>
      </w:r>
      <w:r>
        <w:instrText xml:space="preserve"> XE "</w:instrText>
      </w:r>
      <w:r w:rsidRPr="004D76A0">
        <w:rPr>
          <w:rStyle w:val="Hyperlink"/>
          <w:noProof/>
        </w:rPr>
        <w:instrText>Fishergate</w:instrText>
      </w:r>
      <w:r>
        <w:instrText xml:space="preserve">" </w:instrText>
      </w:r>
      <w:r>
        <w:rPr>
          <w:rFonts w:cs="Times New Roman"/>
          <w:color w:val="000000" w:themeColor="text1"/>
          <w:szCs w:val="24"/>
        </w:rPr>
        <w:fldChar w:fldCharType="end"/>
      </w:r>
      <w:r>
        <w:rPr>
          <w:rFonts w:cs="Times New Roman"/>
          <w:color w:val="000000" w:themeColor="text1"/>
          <w:szCs w:val="24"/>
        </w:rPr>
        <w:t>.</w:t>
      </w:r>
    </w:p>
  </w:footnote>
  <w:footnote w:id="106">
    <w:p w14:paraId="1668E43A" w14:textId="77777777" w:rsidR="000E1004" w:rsidRDefault="000E1004" w:rsidP="003F22F2">
      <w:pPr>
        <w:pStyle w:val="FootnoteText"/>
      </w:pPr>
      <w:r>
        <w:rPr>
          <w:rStyle w:val="FootnoteReference"/>
        </w:rPr>
        <w:footnoteRef/>
      </w:r>
      <w:r>
        <w:t xml:space="preserve"> </w:t>
      </w:r>
      <w:r w:rsidRPr="00A2208D">
        <w:rPr>
          <w:rFonts w:cs="Times New Roman"/>
        </w:rPr>
        <w:t>Op den Velde and Metcalf</w:t>
      </w:r>
      <w:r>
        <w:rPr>
          <w:rFonts w:cs="Times New Roman"/>
        </w:rPr>
        <w:fldChar w:fldCharType="begin"/>
      </w:r>
      <w:r>
        <w:instrText xml:space="preserve"> XE "</w:instrText>
      </w:r>
      <w:r w:rsidRPr="00523AF8">
        <w:rPr>
          <w:rStyle w:val="Hyperlink"/>
          <w:noProof/>
        </w:rPr>
        <w:instrText>Metcalf</w:instrText>
      </w:r>
      <w:r>
        <w:instrText xml:space="preserve">" </w:instrText>
      </w:r>
      <w:r>
        <w:rPr>
          <w:rFonts w:cs="Times New Roman"/>
        </w:rPr>
        <w:fldChar w:fldCharType="end"/>
      </w:r>
      <w:r w:rsidRPr="00A2208D">
        <w:rPr>
          <w:rFonts w:cs="Times New Roman"/>
        </w:rPr>
        <w:t xml:space="preserve"> </w:t>
      </w:r>
      <w:r>
        <w:rPr>
          <w:rFonts w:cs="Times New Roman"/>
        </w:rPr>
        <w:t>(</w:t>
      </w:r>
      <w:r w:rsidRPr="00A2208D">
        <w:rPr>
          <w:rFonts w:cs="Times New Roman"/>
        </w:rPr>
        <w:t>2003</w:t>
      </w:r>
      <w:r>
        <w:rPr>
          <w:rFonts w:cs="Times New Roman"/>
        </w:rPr>
        <w:t>, 74-5</w:t>
      </w:r>
      <w:r w:rsidRPr="00A2208D">
        <w:rPr>
          <w:rFonts w:cs="Times New Roman"/>
        </w:rPr>
        <w:t xml:space="preserve"> </w:t>
      </w:r>
      <w:r>
        <w:rPr>
          <w:rFonts w:cs="Times New Roman"/>
        </w:rPr>
        <w:t>&amp; 2009, 123)</w:t>
      </w:r>
      <w:r w:rsidRPr="00A2208D">
        <w:rPr>
          <w:rFonts w:cs="Times New Roman"/>
        </w:rPr>
        <w:t>.</w:t>
      </w:r>
    </w:p>
  </w:footnote>
  <w:footnote w:id="107">
    <w:p w14:paraId="51084668"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 49).</w:t>
      </w:r>
    </w:p>
  </w:footnote>
  <w:footnote w:id="108">
    <w:p w14:paraId="4581EC9B"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 50).</w:t>
      </w:r>
    </w:p>
  </w:footnote>
  <w:footnote w:id="109">
    <w:p w14:paraId="245ED492" w14:textId="11EA62A0" w:rsidR="000E1004" w:rsidRDefault="000E1004" w:rsidP="003F22F2">
      <w:pPr>
        <w:pStyle w:val="FootnoteText"/>
      </w:pPr>
      <w:r>
        <w:rPr>
          <w:rStyle w:val="FootnoteReference"/>
        </w:rPr>
        <w:footnoteRef/>
      </w:r>
      <w:r>
        <w:t xml:space="preserve"> This is contradicted by the findings at page </w:t>
      </w:r>
      <w:r>
        <w:fldChar w:fldCharType="begin"/>
      </w:r>
      <w:r>
        <w:instrText xml:space="preserve"> PAGEREF _Ref463969877 \h </w:instrText>
      </w:r>
      <w:r>
        <w:fldChar w:fldCharType="separate"/>
      </w:r>
      <w:r w:rsidR="0012026B">
        <w:rPr>
          <w:noProof/>
        </w:rPr>
        <w:t>277</w:t>
      </w:r>
      <w:r>
        <w:fldChar w:fldCharType="end"/>
      </w:r>
      <w:r>
        <w:t>.</w:t>
      </w:r>
    </w:p>
  </w:footnote>
  <w:footnote w:id="110">
    <w:p w14:paraId="650DABD8"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 51). Loveluck &amp; Tys (</w:t>
      </w:r>
      <w:r w:rsidRPr="0037514D">
        <w:t>2006</w:t>
      </w:r>
      <w:r>
        <w:t>)</w:t>
      </w:r>
      <w:r w:rsidRPr="0037514D">
        <w:t>.</w:t>
      </w:r>
      <w:r>
        <w:t xml:space="preserve"> </w:t>
      </w:r>
    </w:p>
  </w:footnote>
  <w:footnote w:id="111">
    <w:p w14:paraId="58867042" w14:textId="23A523B0" w:rsidR="000E1004" w:rsidRPr="006A27B4" w:rsidRDefault="000E1004" w:rsidP="003F22F2">
      <w:pPr>
        <w:pStyle w:val="NoSpacing"/>
        <w:rPr>
          <w:sz w:val="20"/>
          <w:szCs w:val="20"/>
        </w:rPr>
      </w:pPr>
      <w:r w:rsidRPr="00B8566D">
        <w:rPr>
          <w:rStyle w:val="FootnoteReference"/>
          <w:sz w:val="20"/>
          <w:szCs w:val="20"/>
        </w:rPr>
        <w:footnoteRef/>
      </w:r>
      <w:r>
        <w:rPr>
          <w:sz w:val="20"/>
          <w:szCs w:val="20"/>
        </w:rPr>
        <w:t xml:space="preserve"> Wickham, (</w:t>
      </w:r>
      <w:r w:rsidRPr="00B8566D">
        <w:rPr>
          <w:sz w:val="20"/>
          <w:szCs w:val="20"/>
        </w:rPr>
        <w:t>2005</w:t>
      </w:r>
      <w:r>
        <w:rPr>
          <w:sz w:val="20"/>
          <w:szCs w:val="20"/>
        </w:rPr>
        <w:t xml:space="preserve">, 56 &amp; 2009, 186-7). See page </w:t>
      </w:r>
      <w:r>
        <w:rPr>
          <w:sz w:val="20"/>
          <w:szCs w:val="20"/>
        </w:rPr>
        <w:fldChar w:fldCharType="begin"/>
      </w:r>
      <w:r>
        <w:rPr>
          <w:sz w:val="20"/>
          <w:szCs w:val="20"/>
        </w:rPr>
        <w:instrText xml:space="preserve"> PAGEREF feudalism \h </w:instrText>
      </w:r>
      <w:r>
        <w:rPr>
          <w:sz w:val="20"/>
          <w:szCs w:val="20"/>
        </w:rPr>
      </w:r>
      <w:r>
        <w:rPr>
          <w:sz w:val="20"/>
          <w:szCs w:val="20"/>
        </w:rPr>
        <w:fldChar w:fldCharType="separate"/>
      </w:r>
      <w:r w:rsidR="0012026B">
        <w:rPr>
          <w:noProof/>
          <w:sz w:val="20"/>
          <w:szCs w:val="20"/>
        </w:rPr>
        <w:t>51</w:t>
      </w:r>
      <w:r>
        <w:rPr>
          <w:sz w:val="20"/>
          <w:szCs w:val="20"/>
        </w:rPr>
        <w:fldChar w:fldCharType="end"/>
      </w:r>
      <w:r>
        <w:rPr>
          <w:sz w:val="20"/>
          <w:szCs w:val="20"/>
        </w:rPr>
        <w:t>.</w:t>
      </w:r>
    </w:p>
  </w:footnote>
  <w:footnote w:id="112">
    <w:p w14:paraId="388D784E" w14:textId="77777777" w:rsidR="000E1004" w:rsidRDefault="000E1004" w:rsidP="003F22F2">
      <w:pPr>
        <w:pStyle w:val="FootnoteText"/>
      </w:pPr>
      <w:r>
        <w:rPr>
          <w:rStyle w:val="FootnoteReference"/>
        </w:rPr>
        <w:footnoteRef/>
      </w:r>
      <w:r>
        <w:t xml:space="preserve"> See Ch. 4, on the law codes of </w:t>
      </w:r>
      <w:r w:rsidRPr="00C409D0">
        <w:t>Ine</w:t>
      </w:r>
      <w:r>
        <w:t xml:space="preserve">, </w:t>
      </w:r>
      <w:r w:rsidRPr="00127698">
        <w:rPr>
          <w:szCs w:val="24"/>
        </w:rPr>
        <w:t>§70</w:t>
      </w:r>
      <w:r>
        <w:rPr>
          <w:szCs w:val="24"/>
        </w:rPr>
        <w:t>.</w:t>
      </w:r>
    </w:p>
  </w:footnote>
  <w:footnote w:id="113">
    <w:p w14:paraId="264D2A7E" w14:textId="77777777" w:rsidR="000E1004" w:rsidRPr="002C384E" w:rsidRDefault="000E1004" w:rsidP="003F22F2">
      <w:pPr>
        <w:pStyle w:val="NoSpacing"/>
        <w:spacing w:line="276" w:lineRule="auto"/>
        <w:rPr>
          <w:sz w:val="20"/>
          <w:szCs w:val="20"/>
        </w:rPr>
      </w:pPr>
      <w:r w:rsidRPr="002C384E">
        <w:rPr>
          <w:rStyle w:val="FootnoteReference"/>
          <w:sz w:val="20"/>
          <w:szCs w:val="20"/>
        </w:rPr>
        <w:footnoteRef/>
      </w:r>
      <w:r w:rsidRPr="002C384E">
        <w:rPr>
          <w:sz w:val="20"/>
          <w:szCs w:val="20"/>
        </w:rPr>
        <w:t xml:space="preserve"> </w:t>
      </w:r>
      <w:r>
        <w:rPr>
          <w:rStyle w:val="HTMLCite"/>
          <w:i w:val="0"/>
          <w:sz w:val="20"/>
          <w:szCs w:val="20"/>
        </w:rPr>
        <w:t>Dumville (1989, 225–30).</w:t>
      </w:r>
    </w:p>
  </w:footnote>
  <w:footnote w:id="114">
    <w:p w14:paraId="7963FBA9" w14:textId="77777777" w:rsidR="000E1004" w:rsidRDefault="000E1004" w:rsidP="003F22F2">
      <w:pPr>
        <w:pStyle w:val="FootnoteText"/>
      </w:pPr>
      <w:r>
        <w:rPr>
          <w:rStyle w:val="FootnoteReference"/>
        </w:rPr>
        <w:footnoteRef/>
      </w:r>
      <w:r>
        <w:t xml:space="preserve"> This explains why the aristocracy</w:t>
      </w:r>
      <w:r>
        <w:fldChar w:fldCharType="begin"/>
      </w:r>
      <w:r>
        <w:instrText xml:space="preserve"> XE "</w:instrText>
      </w:r>
      <w:r w:rsidRPr="007D3069">
        <w:rPr>
          <w:rFonts w:cs="Times New Roman"/>
          <w:szCs w:val="24"/>
        </w:rPr>
        <w:instrText>aristocracy</w:instrText>
      </w:r>
      <w:r>
        <w:instrText xml:space="preserve">" </w:instrText>
      </w:r>
      <w:r>
        <w:fldChar w:fldCharType="end"/>
      </w:r>
      <w:r>
        <w:t xml:space="preserve"> sponsored minsters. Saunders (2001, 9).</w:t>
      </w:r>
    </w:p>
  </w:footnote>
  <w:footnote w:id="115">
    <w:p w14:paraId="0BBA8513" w14:textId="77777777" w:rsidR="000E1004" w:rsidRDefault="000E1004" w:rsidP="003F22F2">
      <w:pPr>
        <w:pStyle w:val="FootnoteText"/>
      </w:pPr>
      <w:r>
        <w:rPr>
          <w:rStyle w:val="FootnoteReference"/>
        </w:rPr>
        <w:footnoteRef/>
      </w:r>
      <w:r>
        <w:t xml:space="preserve"> Saunders (2001, 11).</w:t>
      </w:r>
    </w:p>
  </w:footnote>
  <w:footnote w:id="116">
    <w:p w14:paraId="0D8FD4FD" w14:textId="77777777" w:rsidR="000E1004" w:rsidRDefault="000E1004" w:rsidP="003F22F2">
      <w:pPr>
        <w:pStyle w:val="FootnoteText"/>
      </w:pPr>
      <w:r>
        <w:rPr>
          <w:rStyle w:val="FootnoteReference"/>
        </w:rPr>
        <w:footnoteRef/>
      </w:r>
      <w:r>
        <w:t xml:space="preserve"> Saunders (2001, 8).</w:t>
      </w:r>
    </w:p>
  </w:footnote>
  <w:footnote w:id="117">
    <w:p w14:paraId="61EAB265" w14:textId="77777777" w:rsidR="000E1004" w:rsidRDefault="000E1004" w:rsidP="003F22F2">
      <w:pPr>
        <w:pStyle w:val="FootnoteText"/>
      </w:pPr>
      <w:r>
        <w:rPr>
          <w:rStyle w:val="FootnoteReference"/>
        </w:rPr>
        <w:footnoteRef/>
      </w:r>
      <w:r>
        <w:t xml:space="preserve"> Saunders (2001, 12).</w:t>
      </w:r>
    </w:p>
  </w:footnote>
  <w:footnote w:id="118">
    <w:p w14:paraId="03CAA749" w14:textId="77777777" w:rsidR="000E1004" w:rsidRDefault="000E1004" w:rsidP="003F22F2">
      <w:pPr>
        <w:pStyle w:val="FootnoteText"/>
      </w:pPr>
      <w:r>
        <w:rPr>
          <w:rStyle w:val="FootnoteReference"/>
        </w:rPr>
        <w:footnoteRef/>
      </w:r>
      <w:r>
        <w:t xml:space="preserve"> O’Connor (2001, 54-5).</w:t>
      </w:r>
    </w:p>
  </w:footnote>
  <w:footnote w:id="119">
    <w:p w14:paraId="10803FCA" w14:textId="77777777" w:rsidR="000E1004" w:rsidRDefault="000E1004" w:rsidP="003F22F2">
      <w:pPr>
        <w:pStyle w:val="FootnoteText"/>
      </w:pPr>
      <w:r>
        <w:rPr>
          <w:rStyle w:val="FootnoteReference"/>
        </w:rPr>
        <w:footnoteRef/>
      </w:r>
      <w:r>
        <w:t xml:space="preserve"> Saunders (2001, 12).</w:t>
      </w:r>
    </w:p>
  </w:footnote>
  <w:footnote w:id="120">
    <w:p w14:paraId="231BD890" w14:textId="77777777" w:rsidR="000E1004" w:rsidRDefault="000E1004" w:rsidP="003F22F2">
      <w:pPr>
        <w:pStyle w:val="FootnoteText"/>
      </w:pPr>
      <w:r>
        <w:rPr>
          <w:rStyle w:val="FootnoteReference"/>
        </w:rPr>
        <w:footnoteRef/>
      </w:r>
      <w:r>
        <w:t xml:space="preserve"> Verhulst, (2002, 35 &amp; 44).</w:t>
      </w:r>
    </w:p>
  </w:footnote>
  <w:footnote w:id="121">
    <w:p w14:paraId="7E4FDE48" w14:textId="77777777" w:rsidR="000E1004" w:rsidRDefault="000E1004" w:rsidP="003F22F2">
      <w:pPr>
        <w:pStyle w:val="FootnoteText"/>
      </w:pPr>
      <w:r>
        <w:rPr>
          <w:rStyle w:val="FootnoteReference"/>
        </w:rPr>
        <w:footnoteRef/>
      </w:r>
      <w:r>
        <w:t xml:space="preserve"> Wood, (2007, 223-37).</w:t>
      </w:r>
    </w:p>
  </w:footnote>
  <w:footnote w:id="122">
    <w:p w14:paraId="590F656B" w14:textId="298A1598" w:rsidR="000E1004" w:rsidRPr="00A26A53" w:rsidRDefault="000E1004" w:rsidP="003F22F2">
      <w:pPr>
        <w:pStyle w:val="NoSpacing"/>
        <w:spacing w:line="276" w:lineRule="auto"/>
        <w:rPr>
          <w:sz w:val="20"/>
          <w:szCs w:val="20"/>
        </w:rPr>
      </w:pPr>
      <w:r w:rsidRPr="00A26A53">
        <w:rPr>
          <w:rStyle w:val="FootnoteReference"/>
          <w:sz w:val="20"/>
          <w:szCs w:val="20"/>
        </w:rPr>
        <w:footnoteRef/>
      </w:r>
      <w:r>
        <w:rPr>
          <w:sz w:val="20"/>
          <w:szCs w:val="20"/>
        </w:rPr>
        <w:t xml:space="preserve"> </w:t>
      </w:r>
      <w:r>
        <w:rPr>
          <w:rFonts w:cs="Times New Roman"/>
          <w:sz w:val="20"/>
          <w:szCs w:val="20"/>
        </w:rPr>
        <w:t>In wishing</w:t>
      </w:r>
      <w:r w:rsidRPr="00A26A53">
        <w:rPr>
          <w:rFonts w:cs="Times New Roman"/>
          <w:sz w:val="20"/>
          <w:szCs w:val="20"/>
        </w:rPr>
        <w:t xml:space="preserve"> to ‘re-embed’ i) exchange between production and consumption, and ii) the </w:t>
      </w:r>
      <w:r w:rsidRPr="00A26A53">
        <w:rPr>
          <w:rFonts w:cs="Times New Roman"/>
          <w:i/>
          <w:sz w:val="20"/>
          <w:szCs w:val="20"/>
        </w:rPr>
        <w:t>wic</w:t>
      </w:r>
      <w:r w:rsidRPr="00A26A53">
        <w:rPr>
          <w:rFonts w:cs="Times New Roman"/>
          <w:sz w:val="20"/>
          <w:szCs w:val="20"/>
        </w:rPr>
        <w:t xml:space="preserve"> in its hinterland, Moreland</w:t>
      </w:r>
      <w:r>
        <w:rPr>
          <w:rFonts w:cs="Times New Roman"/>
          <w:sz w:val="20"/>
          <w:szCs w:val="20"/>
        </w:rPr>
        <w:t xml:space="preserve"> </w:t>
      </w:r>
      <w:r w:rsidRPr="00A26A53">
        <w:rPr>
          <w:sz w:val="20"/>
          <w:szCs w:val="20"/>
        </w:rPr>
        <w:t>(2000</w:t>
      </w:r>
      <w:r>
        <w:rPr>
          <w:sz w:val="20"/>
          <w:szCs w:val="20"/>
        </w:rPr>
        <w:t>b</w:t>
      </w:r>
      <w:r w:rsidRPr="00A26A53">
        <w:rPr>
          <w:sz w:val="20"/>
          <w:szCs w:val="20"/>
        </w:rPr>
        <w:t>, 75</w:t>
      </w:r>
      <w:r>
        <w:rPr>
          <w:sz w:val="20"/>
          <w:szCs w:val="20"/>
        </w:rPr>
        <w:t>-6)</w:t>
      </w:r>
      <w:r w:rsidRPr="00A26A53">
        <w:rPr>
          <w:rFonts w:cs="Times New Roman"/>
          <w:sz w:val="20"/>
          <w:szCs w:val="20"/>
        </w:rPr>
        <w:t xml:space="preserve"> </w:t>
      </w:r>
      <w:r>
        <w:rPr>
          <w:rFonts w:cs="Times New Roman"/>
          <w:sz w:val="20"/>
          <w:szCs w:val="20"/>
        </w:rPr>
        <w:t xml:space="preserve">proposed </w:t>
      </w:r>
      <w:r w:rsidRPr="00A26A53">
        <w:rPr>
          <w:rFonts w:cs="Times New Roman"/>
          <w:sz w:val="20"/>
          <w:szCs w:val="20"/>
        </w:rPr>
        <w:t xml:space="preserve">a spectrum from the regional central place </w:t>
      </w:r>
      <w:r>
        <w:rPr>
          <w:rFonts w:cs="Times New Roman"/>
          <w:sz w:val="20"/>
          <w:szCs w:val="20"/>
        </w:rPr>
        <w:t xml:space="preserve">down </w:t>
      </w:r>
      <w:r w:rsidRPr="00A26A53">
        <w:rPr>
          <w:rFonts w:cs="Times New Roman"/>
          <w:sz w:val="20"/>
          <w:szCs w:val="20"/>
        </w:rPr>
        <w:t>to ‘currently archaeologically invisible’ sites.</w:t>
      </w:r>
    </w:p>
  </w:footnote>
  <w:footnote w:id="123">
    <w:p w14:paraId="3EB29E0D"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 15) stated: ‘…the Church as an agent of change is most definitely the elephant in the room…’ As </w:t>
      </w:r>
      <w:r w:rsidRPr="006A27B4">
        <w:t>h</w:t>
      </w:r>
      <w:r>
        <w:rPr>
          <w:rFonts w:cs="Times New Roman"/>
          <w:szCs w:val="24"/>
        </w:rPr>
        <w:t>e managed</w:t>
      </w:r>
      <w:r w:rsidRPr="006A27B4">
        <w:rPr>
          <w:rFonts w:cs="Times New Roman"/>
          <w:szCs w:val="24"/>
        </w:rPr>
        <w:t xml:space="preserve"> to describe materialisation without referring to the sceatta</w:t>
      </w:r>
      <w:r>
        <w:rPr>
          <w:rFonts w:cs="Times New Roman"/>
          <w:szCs w:val="24"/>
        </w:rPr>
        <w:fldChar w:fldCharType="begin"/>
      </w:r>
      <w:r>
        <w:instrText xml:space="preserve"> XE "</w:instrText>
      </w:r>
      <w:r w:rsidRPr="007645AE">
        <w:instrText>sceatta</w:instrText>
      </w:r>
      <w:r>
        <w:instrText xml:space="preserve">" </w:instrText>
      </w:r>
      <w:r>
        <w:rPr>
          <w:rFonts w:cs="Times New Roman"/>
          <w:szCs w:val="24"/>
        </w:rPr>
        <w:fldChar w:fldCharType="end"/>
      </w:r>
      <w:r w:rsidRPr="006A27B4">
        <w:rPr>
          <w:rFonts w:cs="Times New Roman"/>
          <w:szCs w:val="24"/>
        </w:rPr>
        <w:t xml:space="preserve"> iconography</w:t>
      </w:r>
      <w:r>
        <w:rPr>
          <w:rFonts w:cs="Times New Roman"/>
          <w:szCs w:val="24"/>
        </w:rPr>
        <w:fldChar w:fldCharType="begin"/>
      </w:r>
      <w:r>
        <w:instrText xml:space="preserve"> XE "</w:instrText>
      </w:r>
      <w:r w:rsidRPr="007D3069">
        <w:instrText>iconography</w:instrText>
      </w:r>
      <w:r>
        <w:instrText xml:space="preserve">" </w:instrText>
      </w:r>
      <w:r>
        <w:rPr>
          <w:rFonts w:cs="Times New Roman"/>
          <w:szCs w:val="24"/>
        </w:rPr>
        <w:fldChar w:fldCharType="end"/>
      </w:r>
      <w:r w:rsidRPr="006A27B4">
        <w:rPr>
          <w:rFonts w:cs="Times New Roman"/>
          <w:szCs w:val="24"/>
        </w:rPr>
        <w:t xml:space="preserve"> despite being a contributor to Abramson</w:t>
      </w:r>
      <w:r>
        <w:rPr>
          <w:rFonts w:cs="Times New Roman"/>
          <w:szCs w:val="24"/>
        </w:rPr>
        <w:fldChar w:fldCharType="begin"/>
      </w:r>
      <w:r>
        <w:instrText xml:space="preserve"> XE "</w:instrText>
      </w:r>
      <w:r w:rsidRPr="007A2080">
        <w:rPr>
          <w:rFonts w:cs="Times New Roman"/>
          <w:b/>
          <w:sz w:val="40"/>
          <w:szCs w:val="40"/>
        </w:rPr>
        <w:instrText>Abramson</w:instrText>
      </w:r>
      <w:r>
        <w:instrText xml:space="preserve">" </w:instrText>
      </w:r>
      <w:r>
        <w:rPr>
          <w:rFonts w:cs="Times New Roman"/>
          <w:szCs w:val="24"/>
        </w:rPr>
        <w:fldChar w:fldCharType="end"/>
      </w:r>
      <w:r w:rsidRPr="006A27B4">
        <w:rPr>
          <w:rFonts w:cs="Times New Roman"/>
          <w:szCs w:val="24"/>
        </w:rPr>
        <w:t xml:space="preserve"> (2008</w:t>
      </w:r>
      <w:r>
        <w:rPr>
          <w:rFonts w:cs="Times New Roman"/>
          <w:szCs w:val="24"/>
        </w:rPr>
        <w:t>, 113-8</w:t>
      </w:r>
      <w:r w:rsidRPr="006A27B4">
        <w:rPr>
          <w:rFonts w:cs="Times New Roman"/>
          <w:szCs w:val="24"/>
        </w:rPr>
        <w:t xml:space="preserve">), </w:t>
      </w:r>
      <w:r>
        <w:rPr>
          <w:rFonts w:cs="Times New Roman"/>
          <w:szCs w:val="24"/>
        </w:rPr>
        <w:t>perhaps his elephant spotting is deficient.</w:t>
      </w:r>
    </w:p>
  </w:footnote>
  <w:footnote w:id="124">
    <w:p w14:paraId="65662CF1" w14:textId="77777777" w:rsidR="000E1004" w:rsidRDefault="000E1004" w:rsidP="003F22F2">
      <w:pPr>
        <w:pStyle w:val="FootnoteText"/>
      </w:pPr>
      <w:r>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 67-8).</w:t>
      </w:r>
    </w:p>
  </w:footnote>
  <w:footnote w:id="125">
    <w:p w14:paraId="1BD6F9B0" w14:textId="77777777" w:rsidR="000E1004" w:rsidRDefault="000E1004" w:rsidP="003F22F2">
      <w:pPr>
        <w:pStyle w:val="FootnoteText"/>
      </w:pPr>
      <w:r>
        <w:rPr>
          <w:rStyle w:val="FootnoteReference"/>
        </w:rPr>
        <w:footnoteRef/>
      </w:r>
      <w:r>
        <w:t xml:space="preserve"> Reworked building material.</w:t>
      </w:r>
    </w:p>
  </w:footnote>
  <w:footnote w:id="126">
    <w:p w14:paraId="21358A24" w14:textId="4B0A45E2" w:rsidR="000E1004" w:rsidRDefault="000E1004" w:rsidP="003F22F2">
      <w:pPr>
        <w:pStyle w:val="FootnoteText"/>
      </w:pPr>
      <w:r>
        <w:rPr>
          <w:rStyle w:val="FootnoteReference"/>
        </w:rPr>
        <w:footnoteRef/>
      </w:r>
      <w:r>
        <w:t xml:space="preserve"> See for example, Laws of Ine 70. </w:t>
      </w:r>
      <w:r w:rsidRPr="000006AC">
        <w:t>§</w:t>
      </w:r>
      <w:r>
        <w:t>1, (</w:t>
      </w:r>
      <w:r>
        <w:fldChar w:fldCharType="begin"/>
      </w:r>
      <w:r>
        <w:instrText xml:space="preserve"> PAGEREF Law \h </w:instrText>
      </w:r>
      <w:r>
        <w:fldChar w:fldCharType="separate"/>
      </w:r>
      <w:r w:rsidR="0012026B">
        <w:rPr>
          <w:noProof/>
        </w:rPr>
        <w:t>60</w:t>
      </w:r>
      <w:r>
        <w:fldChar w:fldCharType="end"/>
      </w:r>
      <w:r>
        <w:t xml:space="preserve"> and </w:t>
      </w:r>
      <w:r w:rsidRPr="00E01166">
        <w:rPr>
          <w:i/>
        </w:rPr>
        <w:t>Table</w:t>
      </w:r>
      <w:r>
        <w:t xml:space="preserve"> 3.01).</w:t>
      </w:r>
    </w:p>
  </w:footnote>
  <w:footnote w:id="127">
    <w:p w14:paraId="1E013935" w14:textId="77777777" w:rsidR="000E1004" w:rsidRDefault="000E1004" w:rsidP="003F22F2">
      <w:pPr>
        <w:pStyle w:val="FootnoteText"/>
      </w:pPr>
      <w:r>
        <w:rPr>
          <w:rStyle w:val="FootnoteReference"/>
        </w:rPr>
        <w:footnoteRef/>
      </w:r>
      <w:r>
        <w:t xml:space="preserve"> Morris (1989, 118, 128-39).</w:t>
      </w:r>
    </w:p>
  </w:footnote>
  <w:footnote w:id="128">
    <w:p w14:paraId="2FFC6D96"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3). Morris (1989, 128-39).</w:t>
      </w:r>
    </w:p>
  </w:footnote>
  <w:footnote w:id="129">
    <w:p w14:paraId="0204EA57"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5).</w:t>
      </w:r>
    </w:p>
  </w:footnote>
  <w:footnote w:id="130">
    <w:p w14:paraId="119EACBA"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5).</w:t>
      </w:r>
    </w:p>
  </w:footnote>
  <w:footnote w:id="131">
    <w:p w14:paraId="0F5519FE" w14:textId="77777777" w:rsidR="000E1004" w:rsidRDefault="000E1004" w:rsidP="003F22F2">
      <w:pPr>
        <w:pStyle w:val="FootnoteText"/>
      </w:pPr>
      <w:r>
        <w:rPr>
          <w:rStyle w:val="FootnoteReference"/>
        </w:rPr>
        <w:footnoteRef/>
      </w:r>
      <w:r>
        <w:t xml:space="preserve"> Foot (2006, 287-91).</w:t>
      </w:r>
    </w:p>
  </w:footnote>
  <w:footnote w:id="132">
    <w:p w14:paraId="4ED2D527" w14:textId="77777777" w:rsidR="000E1004" w:rsidRDefault="000E1004" w:rsidP="003F22F2">
      <w:pPr>
        <w:pStyle w:val="FootnoteText"/>
      </w:pPr>
      <w:r>
        <w:rPr>
          <w:rStyle w:val="FootnoteReference"/>
        </w:rPr>
        <w:footnoteRef/>
      </w:r>
      <w:r>
        <w:t xml:space="preserve"> Morris (1989, 130).</w:t>
      </w:r>
    </w:p>
  </w:footnote>
  <w:footnote w:id="133">
    <w:p w14:paraId="094815A2" w14:textId="77777777" w:rsidR="000E1004" w:rsidRDefault="000E1004" w:rsidP="003F22F2">
      <w:pPr>
        <w:pStyle w:val="NoSpacing"/>
        <w:spacing w:line="276" w:lineRule="auto"/>
      </w:pPr>
      <w:r>
        <w:rPr>
          <w:rStyle w:val="FootnoteReference"/>
        </w:rPr>
        <w:footnoteRef/>
      </w:r>
      <w:r>
        <w:t xml:space="preserve"> </w:t>
      </w:r>
      <w:r w:rsidRPr="00633911">
        <w:rPr>
          <w:i/>
          <w:color w:val="000000" w:themeColor="text1"/>
          <w:sz w:val="20"/>
          <w:szCs w:val="20"/>
        </w:rPr>
        <w:t>Ibid</w:t>
      </w:r>
      <w:r w:rsidRPr="00633911">
        <w:rPr>
          <w:color w:val="000000" w:themeColor="text1"/>
          <w:sz w:val="20"/>
          <w:szCs w:val="20"/>
        </w:rPr>
        <w:t xml:space="preserve"> 122 &amp; 134</w:t>
      </w:r>
      <w:r w:rsidRPr="00633911">
        <w:rPr>
          <w:sz w:val="20"/>
          <w:szCs w:val="20"/>
        </w:rPr>
        <w:t>.</w:t>
      </w:r>
    </w:p>
  </w:footnote>
  <w:footnote w:id="134">
    <w:p w14:paraId="2D72A0E0"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6).</w:t>
      </w:r>
    </w:p>
  </w:footnote>
  <w:footnote w:id="135">
    <w:p w14:paraId="21926D9F" w14:textId="77777777" w:rsidR="000E1004" w:rsidRDefault="000E1004" w:rsidP="003F22F2">
      <w:pPr>
        <w:pStyle w:val="FootnoteText"/>
      </w:pPr>
      <w:r>
        <w:rPr>
          <w:rStyle w:val="FootnoteReference"/>
        </w:rPr>
        <w:footnoteRef/>
      </w:r>
      <w:r>
        <w:t xml:space="preserve"> Foot, (2006, chapter 3).</w:t>
      </w:r>
    </w:p>
  </w:footnote>
  <w:footnote w:id="136">
    <w:p w14:paraId="098421BD"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51).</w:t>
      </w:r>
    </w:p>
  </w:footnote>
  <w:footnote w:id="137">
    <w:p w14:paraId="2D0F133F" w14:textId="77777777" w:rsidR="000E1004" w:rsidRDefault="000E1004" w:rsidP="003F22F2">
      <w:pPr>
        <w:pStyle w:val="FootnoteText"/>
      </w:pPr>
      <w:r>
        <w:rPr>
          <w:rStyle w:val="FootnoteReference"/>
        </w:rPr>
        <w:footnoteRef/>
      </w:r>
      <w:r>
        <w:t xml:space="preserve"> </w:t>
      </w:r>
      <w:r>
        <w:rPr>
          <w:color w:val="000000" w:themeColor="text1"/>
          <w:szCs w:val="24"/>
        </w:rPr>
        <w:t>Of the brothers Cedd, Chad, Cynebill and Caelin.</w:t>
      </w:r>
    </w:p>
  </w:footnote>
  <w:footnote w:id="138">
    <w:p w14:paraId="36622B95" w14:textId="5BCB8DCD" w:rsidR="000E1004" w:rsidRDefault="000E1004" w:rsidP="003F22F2">
      <w:pPr>
        <w:pStyle w:val="FootnoteText"/>
      </w:pPr>
      <w:r>
        <w:rPr>
          <w:rStyle w:val="FootnoteReference"/>
        </w:rPr>
        <w:footnoteRef/>
      </w:r>
      <w:r>
        <w:t xml:space="preserve"> Morris (1989, 116 and </w:t>
      </w:r>
      <w:r w:rsidRPr="00B30999">
        <w:rPr>
          <w:i/>
        </w:rPr>
        <w:t>Figure 26</w:t>
      </w:r>
      <w:r>
        <w:rPr>
          <w:i/>
        </w:rPr>
        <w:t>,</w:t>
      </w:r>
      <w:r>
        <w:t xml:space="preserve"> p.122).</w:t>
      </w:r>
    </w:p>
  </w:footnote>
  <w:footnote w:id="139">
    <w:p w14:paraId="6F2EC8D8" w14:textId="77777777" w:rsidR="000E1004" w:rsidRDefault="000E1004" w:rsidP="003F22F2">
      <w:pPr>
        <w:pStyle w:val="FootnoteText"/>
      </w:pPr>
      <w:r>
        <w:rPr>
          <w:rStyle w:val="FootnoteReference"/>
        </w:rPr>
        <w:footnoteRef/>
      </w:r>
      <w:r>
        <w:t xml:space="preserve"> Foot (2006, 278).</w:t>
      </w:r>
    </w:p>
  </w:footnote>
  <w:footnote w:id="140">
    <w:p w14:paraId="70DBFEE0" w14:textId="77777777" w:rsidR="000E1004" w:rsidRDefault="000E1004" w:rsidP="003F22F2">
      <w:pPr>
        <w:pStyle w:val="FootnoteText"/>
      </w:pPr>
      <w:r>
        <w:rPr>
          <w:rStyle w:val="FootnoteReference"/>
        </w:rPr>
        <w:footnoteRef/>
      </w:r>
      <w:r>
        <w:t xml:space="preserve"> Foot (2006, 347).</w:t>
      </w:r>
    </w:p>
  </w:footnote>
  <w:footnote w:id="141">
    <w:p w14:paraId="42CDD3AE"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75).</w:t>
      </w:r>
    </w:p>
  </w:footnote>
  <w:footnote w:id="142">
    <w:p w14:paraId="6D3EA13C"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79).</w:t>
      </w:r>
    </w:p>
  </w:footnote>
  <w:footnote w:id="143">
    <w:p w14:paraId="16BC71A3" w14:textId="77777777" w:rsidR="000E1004" w:rsidRDefault="000E1004" w:rsidP="003F22F2">
      <w:pPr>
        <w:pStyle w:val="FootnoteText"/>
      </w:pPr>
      <w:r>
        <w:rPr>
          <w:rStyle w:val="FootnoteReference"/>
        </w:rPr>
        <w:footnoteRef/>
      </w:r>
      <w:r>
        <w:t xml:space="preserve"> Morris (1989, 123-4).</w:t>
      </w:r>
    </w:p>
  </w:footnote>
  <w:footnote w:id="144">
    <w:p w14:paraId="566030FD" w14:textId="39635F84"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84 and </w:t>
      </w:r>
      <w:r>
        <w:rPr>
          <w:i/>
        </w:rPr>
        <w:t>fn.</w:t>
      </w:r>
      <w:r w:rsidRPr="00855BCC">
        <w:rPr>
          <w:i/>
        </w:rPr>
        <w:t xml:space="preserve"> </w:t>
      </w:r>
      <w:r>
        <w:t>29).</w:t>
      </w:r>
    </w:p>
  </w:footnote>
  <w:footnote w:id="145">
    <w:p w14:paraId="43442B48"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85-7 &amp; 95).</w:t>
      </w:r>
    </w:p>
  </w:footnote>
  <w:footnote w:id="146">
    <w:p w14:paraId="293D4D0A" w14:textId="77777777" w:rsidR="000E1004" w:rsidRDefault="000E1004" w:rsidP="003F22F2">
      <w:pPr>
        <w:pStyle w:val="FootnoteText"/>
      </w:pPr>
      <w:r>
        <w:rPr>
          <w:rStyle w:val="FootnoteReference"/>
        </w:rPr>
        <w:footnoteRef/>
      </w:r>
      <w:r>
        <w:t xml:space="preserve"> </w:t>
      </w:r>
      <w:r>
        <w:rPr>
          <w:color w:val="000000" w:themeColor="text1"/>
          <w:szCs w:val="24"/>
        </w:rPr>
        <w:t>Morris (1989, 131).</w:t>
      </w:r>
    </w:p>
  </w:footnote>
  <w:footnote w:id="147">
    <w:p w14:paraId="2FC130FB" w14:textId="77777777" w:rsidR="000E1004" w:rsidRDefault="000E1004" w:rsidP="003F22F2">
      <w:pPr>
        <w:pStyle w:val="FootnoteText"/>
      </w:pPr>
      <w:r>
        <w:rPr>
          <w:rStyle w:val="FootnoteReference"/>
        </w:rPr>
        <w:footnoteRef/>
      </w:r>
      <w:r>
        <w:t xml:space="preserve"> Muir (1987, 95). For example, that the major reconciliation between Christian factions should have been staged at Whitby</w:t>
      </w:r>
      <w:r>
        <w:fldChar w:fldCharType="begin"/>
      </w:r>
      <w:r>
        <w:instrText xml:space="preserve"> XE "</w:instrText>
      </w:r>
      <w:r w:rsidRPr="004D76A0">
        <w:rPr>
          <w:rStyle w:val="Hyperlink"/>
          <w:noProof/>
        </w:rPr>
        <w:instrText>Whitby</w:instrText>
      </w:r>
      <w:r>
        <w:instrText xml:space="preserve">" </w:instrText>
      </w:r>
      <w:r>
        <w:fldChar w:fldCharType="end"/>
      </w:r>
      <w:r>
        <w:t xml:space="preserve"> is significant. Note that most monasteries were often sited near harbours, as liminal coastal sites and to facilitate movement and supply. Sawyer (2013, 70), Spratt &amp; Harrison (1989, 63).</w:t>
      </w:r>
    </w:p>
  </w:footnote>
  <w:footnote w:id="148">
    <w:p w14:paraId="2180D771" w14:textId="77777777" w:rsidR="000E1004" w:rsidRDefault="000E1004" w:rsidP="003F22F2">
      <w:pPr>
        <w:pStyle w:val="FootnoteText"/>
      </w:pPr>
      <w:r>
        <w:rPr>
          <w:rStyle w:val="FootnoteReference"/>
        </w:rPr>
        <w:footnoteRef/>
      </w:r>
      <w:r>
        <w:t xml:space="preserve"> Alcock (2003, 83). Blair</w:t>
      </w:r>
      <w:r>
        <w:fldChar w:fldCharType="begin"/>
      </w:r>
      <w:r>
        <w:instrText xml:space="preserve"> XE "</w:instrText>
      </w:r>
      <w:r w:rsidRPr="007645AE">
        <w:instrText>Blair</w:instrText>
      </w:r>
      <w:r>
        <w:instrText xml:space="preserve">" </w:instrText>
      </w:r>
      <w:r>
        <w:fldChar w:fldCharType="end"/>
      </w:r>
      <w:r>
        <w:t xml:space="preserve"> (2005, 88).</w:t>
      </w:r>
    </w:p>
  </w:footnote>
  <w:footnote w:id="149">
    <w:p w14:paraId="66D5BDC0"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91).</w:t>
      </w:r>
    </w:p>
  </w:footnote>
  <w:footnote w:id="150">
    <w:p w14:paraId="30DD5554" w14:textId="77777777" w:rsidR="000E1004" w:rsidRDefault="000E1004" w:rsidP="003F22F2">
      <w:pPr>
        <w:pStyle w:val="FootnoteText"/>
      </w:pPr>
      <w:r>
        <w:rPr>
          <w:rStyle w:val="FootnoteReference"/>
        </w:rPr>
        <w:footnoteRef/>
      </w:r>
      <w:r>
        <w:t xml:space="preserve"> Sawyer (2013, 72).</w:t>
      </w:r>
    </w:p>
  </w:footnote>
  <w:footnote w:id="151">
    <w:p w14:paraId="361F448B"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99-104).</w:t>
      </w:r>
    </w:p>
  </w:footnote>
  <w:footnote w:id="152">
    <w:p w14:paraId="689557D8"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106-7). This seems a little hypocritical.</w:t>
      </w:r>
    </w:p>
  </w:footnote>
  <w:footnote w:id="153">
    <w:p w14:paraId="4457E105" w14:textId="77777777" w:rsidR="000E1004" w:rsidRDefault="000E1004" w:rsidP="003F22F2">
      <w:pPr>
        <w:pStyle w:val="FootnoteText"/>
      </w:pPr>
      <w:r>
        <w:rPr>
          <w:rStyle w:val="FootnoteReference"/>
        </w:rPr>
        <w:footnoteRef/>
      </w:r>
      <w:r>
        <w:t xml:space="preserve"> Rostow (1963).</w:t>
      </w:r>
    </w:p>
  </w:footnote>
  <w:footnote w:id="154">
    <w:p w14:paraId="7A6057B4" w14:textId="77777777" w:rsidR="000E1004" w:rsidRDefault="000E1004" w:rsidP="003F22F2">
      <w:pPr>
        <w:pStyle w:val="FootnoteText"/>
      </w:pPr>
      <w:r>
        <w:rPr>
          <w:rStyle w:val="FootnoteReference"/>
        </w:rPr>
        <w:footnoteRef/>
      </w:r>
      <w:r>
        <w:t xml:space="preserve"> Bede</w:t>
      </w:r>
      <w:r>
        <w:fldChar w:fldCharType="begin"/>
      </w:r>
      <w:r>
        <w:instrText xml:space="preserve"> XE "</w:instrText>
      </w:r>
      <w:r w:rsidRPr="007D3069">
        <w:rPr>
          <w:bCs/>
        </w:rPr>
        <w:instrText>Bede</w:instrText>
      </w:r>
      <w:r>
        <w:instrText xml:space="preserve">" </w:instrText>
      </w:r>
      <w:r>
        <w:fldChar w:fldCharType="end"/>
      </w:r>
      <w:r>
        <w:t xml:space="preserve"> (1969, V. 23).</w:t>
      </w:r>
    </w:p>
  </w:footnote>
  <w:footnote w:id="155">
    <w:p w14:paraId="5D117AE4" w14:textId="77777777" w:rsidR="000E1004" w:rsidRDefault="000E1004" w:rsidP="003F22F2">
      <w:pPr>
        <w:pStyle w:val="FootnoteText"/>
      </w:pPr>
      <w:r>
        <w:rPr>
          <w:rStyle w:val="FootnoteReference"/>
        </w:rPr>
        <w:footnoteRef/>
      </w:r>
      <w:r>
        <w:t xml:space="preserve"> The Council of 816 warned bishops that they could not take control of minsters to </w:t>
      </w:r>
      <w:proofErr w:type="spellStart"/>
      <w:r>
        <w:t>sate</w:t>
      </w:r>
      <w:proofErr w:type="spellEnd"/>
      <w:r>
        <w:t xml:space="preserve"> their greed as their interests had become ‘as much gastronomic as religious’, Blair</w:t>
      </w:r>
      <w:r>
        <w:fldChar w:fldCharType="begin"/>
      </w:r>
      <w:r>
        <w:instrText xml:space="preserve"> XE "</w:instrText>
      </w:r>
      <w:r w:rsidRPr="007645AE">
        <w:instrText>Blair</w:instrText>
      </w:r>
      <w:r>
        <w:instrText xml:space="preserve">" </w:instrText>
      </w:r>
      <w:r>
        <w:fldChar w:fldCharType="end"/>
      </w:r>
      <w:r>
        <w:t xml:space="preserve"> (2005, 131). Bailey tentatively advances Hertford as a candidate for the unidentified </w:t>
      </w:r>
      <w:r w:rsidRPr="000E5A72">
        <w:rPr>
          <w:i/>
        </w:rPr>
        <w:t>Clofesho</w:t>
      </w:r>
      <w:r>
        <w:t>. See also Keynes (1994, 14-17).</w:t>
      </w:r>
    </w:p>
  </w:footnote>
  <w:footnote w:id="156">
    <w:p w14:paraId="02A46941"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133-4).</w:t>
      </w:r>
    </w:p>
  </w:footnote>
  <w:footnote w:id="157">
    <w:p w14:paraId="78668FB8"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154-5).</w:t>
      </w:r>
    </w:p>
  </w:footnote>
  <w:footnote w:id="158">
    <w:p w14:paraId="11A46D07" w14:textId="67EF7938" w:rsidR="000E1004" w:rsidRDefault="000E1004" w:rsidP="003F22F2">
      <w:pPr>
        <w:pStyle w:val="FootnoteText"/>
      </w:pPr>
      <w:r>
        <w:rPr>
          <w:rStyle w:val="FootnoteReference"/>
        </w:rPr>
        <w:footnoteRef/>
      </w:r>
      <w:r>
        <w:t xml:space="preserve"> See Laws of </w:t>
      </w:r>
      <w:r w:rsidRPr="00645F48">
        <w:t>Ine,</w:t>
      </w:r>
      <w:r>
        <w:t xml:space="preserve"> </w:t>
      </w:r>
      <w:r w:rsidRPr="000006AC">
        <w:t>§</w:t>
      </w:r>
      <w:r>
        <w:t>4, (</w:t>
      </w:r>
      <w:r>
        <w:fldChar w:fldCharType="begin"/>
      </w:r>
      <w:r>
        <w:instrText xml:space="preserve"> PAGEREF Law \h </w:instrText>
      </w:r>
      <w:r>
        <w:fldChar w:fldCharType="separate"/>
      </w:r>
      <w:r w:rsidR="0012026B">
        <w:rPr>
          <w:noProof/>
        </w:rPr>
        <w:t>60</w:t>
      </w:r>
      <w:r>
        <w:fldChar w:fldCharType="end"/>
      </w:r>
      <w:r>
        <w:t xml:space="preserve"> and </w:t>
      </w:r>
      <w:r w:rsidRPr="00E01166">
        <w:rPr>
          <w:i/>
        </w:rPr>
        <w:t>Table</w:t>
      </w:r>
      <w:r>
        <w:t xml:space="preserve"> 3.01).</w:t>
      </w:r>
    </w:p>
  </w:footnote>
  <w:footnote w:id="159">
    <w:p w14:paraId="6BF74E3A"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157).</w:t>
      </w:r>
    </w:p>
  </w:footnote>
  <w:footnote w:id="160">
    <w:p w14:paraId="0980F91D"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252).</w:t>
      </w:r>
    </w:p>
  </w:footnote>
  <w:footnote w:id="161">
    <w:p w14:paraId="33E192B2" w14:textId="77777777" w:rsidR="000E1004" w:rsidRDefault="000E1004" w:rsidP="003F22F2">
      <w:pPr>
        <w:pStyle w:val="FootnoteText"/>
      </w:pPr>
      <w:r>
        <w:rPr>
          <w:rStyle w:val="FootnoteReference"/>
        </w:rPr>
        <w:footnoteRef/>
      </w:r>
      <w:r>
        <w:t xml:space="preserve"> Wood (1987). Blair</w:t>
      </w:r>
      <w:r>
        <w:fldChar w:fldCharType="begin"/>
      </w:r>
      <w:r>
        <w:instrText xml:space="preserve"> XE "</w:instrText>
      </w:r>
      <w:r w:rsidRPr="007645AE">
        <w:instrText>Blair</w:instrText>
      </w:r>
      <w:r>
        <w:instrText xml:space="preserve">" </w:instrText>
      </w:r>
      <w:r>
        <w:fldChar w:fldCharType="end"/>
      </w:r>
      <w:r>
        <w:t xml:space="preserve"> (2005, 165).</w:t>
      </w:r>
    </w:p>
  </w:footnote>
  <w:footnote w:id="162">
    <w:p w14:paraId="6FC5833D" w14:textId="77777777" w:rsidR="000E1004" w:rsidRDefault="000E1004" w:rsidP="003F22F2">
      <w:pPr>
        <w:pStyle w:val="FootnoteText"/>
      </w:pPr>
      <w:r>
        <w:rPr>
          <w:rStyle w:val="FootnoteReference"/>
        </w:rPr>
        <w:footnoteRef/>
      </w:r>
      <w:r>
        <w:t xml:space="preserve"> Morris (1989, 121).</w:t>
      </w:r>
    </w:p>
  </w:footnote>
  <w:footnote w:id="163">
    <w:p w14:paraId="0748AD6E" w14:textId="77777777" w:rsidR="000E1004" w:rsidRDefault="000E1004" w:rsidP="003F22F2">
      <w:pPr>
        <w:pStyle w:val="FootnoteText"/>
      </w:pPr>
      <w:r>
        <w:rPr>
          <w:rStyle w:val="FootnoteReference"/>
        </w:rPr>
        <w:footnoteRef/>
      </w:r>
      <w:r>
        <w:t xml:space="preserve"> Morris (1989, 138).</w:t>
      </w:r>
    </w:p>
  </w:footnote>
  <w:footnote w:id="164">
    <w:p w14:paraId="0A320897"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160).</w:t>
      </w:r>
    </w:p>
  </w:footnote>
  <w:footnote w:id="165">
    <w:p w14:paraId="3C80421A"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206-9).</w:t>
      </w:r>
    </w:p>
  </w:footnote>
  <w:footnote w:id="166">
    <w:p w14:paraId="1F74B098"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212).</w:t>
      </w:r>
    </w:p>
  </w:footnote>
  <w:footnote w:id="167">
    <w:p w14:paraId="5AA78631" w14:textId="77777777" w:rsidR="000E1004" w:rsidRPr="004D3A1A" w:rsidRDefault="000E1004" w:rsidP="003F22F2">
      <w:pPr>
        <w:pStyle w:val="FootnoteText"/>
        <w:rPr>
          <w:rFonts w:cs="Times New Roman"/>
        </w:rPr>
      </w:pPr>
      <w:r w:rsidRPr="00EA5401">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191-5). S</w:t>
      </w:r>
      <w:r w:rsidRPr="00EA5401">
        <w:t>ee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EA5401">
        <w:t xml:space="preserve"> (2012a</w:t>
      </w:r>
      <w:r>
        <w:rPr>
          <w:rFonts w:cs="Times New Roman"/>
        </w:rPr>
        <w:t>, 93), re Lastingham (</w:t>
      </w:r>
      <w:r w:rsidRPr="00EA5401">
        <w:rPr>
          <w:rFonts w:cs="Times New Roman"/>
        </w:rPr>
        <w:t>Morris</w:t>
      </w:r>
      <w:r>
        <w:rPr>
          <w:rFonts w:cs="Times New Roman"/>
        </w:rPr>
        <w:t>,</w:t>
      </w:r>
      <w:r w:rsidRPr="00EA5401">
        <w:rPr>
          <w:rFonts w:cs="Times New Roman"/>
        </w:rPr>
        <w:t xml:space="preserve"> 2005)</w:t>
      </w:r>
      <w:r>
        <w:rPr>
          <w:rFonts w:cs="Times New Roman"/>
        </w:rPr>
        <w:t>.</w:t>
      </w:r>
      <w:r w:rsidRPr="00EA5401">
        <w:rPr>
          <w:rFonts w:cs="Times New Roman"/>
        </w:rPr>
        <w:t xml:space="preserve"> See also </w:t>
      </w:r>
      <w:r>
        <w:rPr>
          <w:rFonts w:cs="Times New Roman"/>
        </w:rPr>
        <w:t>Op den Velde and Metcalf</w:t>
      </w:r>
      <w:r>
        <w:rPr>
          <w:rFonts w:cs="Times New Roman"/>
        </w:rPr>
        <w:fldChar w:fldCharType="begin"/>
      </w:r>
      <w:r>
        <w:instrText xml:space="preserve"> XE "</w:instrText>
      </w:r>
      <w:r w:rsidRPr="00523AF8">
        <w:rPr>
          <w:rStyle w:val="Hyperlink"/>
          <w:noProof/>
        </w:rPr>
        <w:instrText>Metcalf</w:instrText>
      </w:r>
      <w:r>
        <w:instrText xml:space="preserve">" </w:instrText>
      </w:r>
      <w:r>
        <w:rPr>
          <w:rFonts w:cs="Times New Roman"/>
        </w:rPr>
        <w:fldChar w:fldCharType="end"/>
      </w:r>
      <w:r>
        <w:rPr>
          <w:rFonts w:cs="Times New Roman"/>
        </w:rPr>
        <w:t xml:space="preserve">, </w:t>
      </w:r>
      <w:r w:rsidRPr="00EA5401">
        <w:rPr>
          <w:rFonts w:cs="Times New Roman"/>
        </w:rPr>
        <w:t xml:space="preserve">2009 47, accepting my interpretation of </w:t>
      </w:r>
      <w:r>
        <w:rPr>
          <w:rFonts w:cs="Times New Roman"/>
        </w:rPr>
        <w:t xml:space="preserve">Metcalf’s ‘mixed grill’ </w:t>
      </w:r>
      <w:r w:rsidRPr="00EA5401">
        <w:rPr>
          <w:rFonts w:cs="Times New Roman"/>
        </w:rPr>
        <w:t>as a disguised cruciform device</w:t>
      </w:r>
      <w:r>
        <w:rPr>
          <w:rFonts w:cs="Times New Roman"/>
        </w:rPr>
        <w:t>.</w:t>
      </w:r>
    </w:p>
  </w:footnote>
  <w:footnote w:id="168">
    <w:p w14:paraId="67D3F0DF"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185).</w:t>
      </w:r>
    </w:p>
  </w:footnote>
  <w:footnote w:id="169">
    <w:p w14:paraId="48CC8A81" w14:textId="77777777" w:rsidR="000E1004" w:rsidRDefault="000E1004" w:rsidP="003F22F2">
      <w:pPr>
        <w:pStyle w:val="FootnoteText"/>
      </w:pPr>
      <w:r>
        <w:rPr>
          <w:rStyle w:val="FootnoteReference"/>
        </w:rPr>
        <w:footnoteRef/>
      </w:r>
      <w:r>
        <w:t xml:space="preserve"> Veblen (1899).</w:t>
      </w:r>
    </w:p>
  </w:footnote>
  <w:footnote w:id="170">
    <w:p w14:paraId="69EA5B7D"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256).</w:t>
      </w:r>
    </w:p>
  </w:footnote>
  <w:footnote w:id="171">
    <w:p w14:paraId="5EC4C870"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253).</w:t>
      </w:r>
    </w:p>
  </w:footnote>
  <w:footnote w:id="172">
    <w:p w14:paraId="3E4A5E75"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255).</w:t>
      </w:r>
    </w:p>
  </w:footnote>
  <w:footnote w:id="173">
    <w:p w14:paraId="46168C50" w14:textId="77777777" w:rsidR="000E1004" w:rsidRDefault="000E1004" w:rsidP="003F22F2">
      <w:pPr>
        <w:pStyle w:val="FootnoteText"/>
      </w:pPr>
      <w:r>
        <w:rPr>
          <w:rStyle w:val="FootnoteReference"/>
        </w:rPr>
        <w:footnoteRef/>
      </w:r>
      <w:r>
        <w:t xml:space="preserve"> Hutcheson suggests this is Bawsey (2009, 5).</w:t>
      </w:r>
    </w:p>
  </w:footnote>
  <w:footnote w:id="174">
    <w:p w14:paraId="6A11C2C9" w14:textId="77777777" w:rsidR="000E1004" w:rsidRDefault="000E1004" w:rsidP="003F22F2">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260).</w:t>
      </w:r>
    </w:p>
  </w:footnote>
  <w:footnote w:id="175">
    <w:p w14:paraId="466A7E2C" w14:textId="47BC1F59" w:rsidR="000E1004" w:rsidRDefault="000E1004" w:rsidP="003F22F2">
      <w:pPr>
        <w:autoSpaceDE w:val="0"/>
        <w:autoSpaceDN w:val="0"/>
        <w:adjustRightInd w:val="0"/>
        <w:spacing w:after="0"/>
      </w:pPr>
      <w:r>
        <w:rPr>
          <w:rStyle w:val="FootnoteReference"/>
        </w:rPr>
        <w:footnoteRef/>
      </w:r>
      <w:r>
        <w:t xml:space="preserve"> </w:t>
      </w:r>
      <w:r w:rsidRPr="00751D73">
        <w:rPr>
          <w:rFonts w:cs="Times New Roman"/>
          <w:sz w:val="20"/>
          <w:szCs w:val="20"/>
        </w:rPr>
        <w:t xml:space="preserve">See definitions of </w:t>
      </w:r>
      <w:r w:rsidRPr="004434F1">
        <w:rPr>
          <w:rFonts w:cs="Times New Roman"/>
          <w:sz w:val="20"/>
          <w:szCs w:val="20"/>
        </w:rPr>
        <w:t>commodity money</w:t>
      </w:r>
      <w:r w:rsidRPr="004434F1">
        <w:rPr>
          <w:rFonts w:cs="Times New Roman"/>
          <w:sz w:val="20"/>
          <w:szCs w:val="20"/>
        </w:rPr>
        <w:fldChar w:fldCharType="begin"/>
      </w:r>
      <w:r>
        <w:instrText xml:space="preserve"> XE "</w:instrText>
      </w:r>
      <w:r w:rsidRPr="007D3069">
        <w:rPr>
          <w:rFonts w:cs="Times New Roman"/>
          <w:szCs w:val="24"/>
        </w:rPr>
        <w:instrText>commodity money</w:instrText>
      </w:r>
      <w:r>
        <w:instrText xml:space="preserve">" </w:instrText>
      </w:r>
      <w:r w:rsidRPr="004434F1">
        <w:rPr>
          <w:rFonts w:cs="Times New Roman"/>
          <w:sz w:val="20"/>
          <w:szCs w:val="20"/>
        </w:rPr>
        <w:fldChar w:fldCharType="end"/>
      </w:r>
      <w:r w:rsidRPr="00751D73">
        <w:rPr>
          <w:rFonts w:cs="Times New Roman"/>
          <w:sz w:val="20"/>
          <w:szCs w:val="20"/>
        </w:rPr>
        <w:t xml:space="preserve"> </w:t>
      </w:r>
      <w:r>
        <w:rPr>
          <w:rFonts w:cs="Times New Roman"/>
          <w:sz w:val="20"/>
          <w:szCs w:val="20"/>
        </w:rPr>
        <w:t>(</w:t>
      </w:r>
      <w:r>
        <w:rPr>
          <w:rFonts w:cs="Times New Roman"/>
          <w:sz w:val="20"/>
          <w:szCs w:val="20"/>
        </w:rPr>
        <w:fldChar w:fldCharType="begin"/>
      </w:r>
      <w:r>
        <w:rPr>
          <w:rFonts w:cs="Times New Roman"/>
          <w:sz w:val="20"/>
          <w:szCs w:val="20"/>
        </w:rPr>
        <w:instrText xml:space="preserve"> PAGEREF commoditymoney \h </w:instrText>
      </w:r>
      <w:r>
        <w:rPr>
          <w:rFonts w:cs="Times New Roman"/>
          <w:sz w:val="20"/>
          <w:szCs w:val="20"/>
        </w:rPr>
      </w:r>
      <w:r>
        <w:rPr>
          <w:rFonts w:cs="Times New Roman"/>
          <w:sz w:val="20"/>
          <w:szCs w:val="20"/>
        </w:rPr>
        <w:fldChar w:fldCharType="separate"/>
      </w:r>
      <w:r w:rsidR="0012026B">
        <w:rPr>
          <w:rFonts w:cs="Times New Roman"/>
          <w:noProof/>
          <w:sz w:val="20"/>
          <w:szCs w:val="20"/>
        </w:rPr>
        <w:t>43</w:t>
      </w:r>
      <w:r>
        <w:rPr>
          <w:rFonts w:cs="Times New Roman"/>
          <w:sz w:val="20"/>
          <w:szCs w:val="20"/>
        </w:rPr>
        <w:fldChar w:fldCharType="end"/>
      </w:r>
      <w:r>
        <w:rPr>
          <w:rFonts w:cs="Times New Roman"/>
          <w:sz w:val="20"/>
          <w:szCs w:val="20"/>
        </w:rPr>
        <w:t xml:space="preserve">) </w:t>
      </w:r>
      <w:r w:rsidRPr="00751D73">
        <w:rPr>
          <w:rFonts w:cs="Times New Roman"/>
          <w:sz w:val="20"/>
          <w:szCs w:val="20"/>
        </w:rPr>
        <w:t xml:space="preserve">from </w:t>
      </w:r>
      <w:r>
        <w:rPr>
          <w:rFonts w:cs="Times New Roman"/>
          <w:sz w:val="20"/>
          <w:szCs w:val="20"/>
        </w:rPr>
        <w:t>Einzig</w:t>
      </w:r>
      <w:r>
        <w:rPr>
          <w:rFonts w:cs="Times New Roman"/>
          <w:sz w:val="20"/>
          <w:szCs w:val="20"/>
        </w:rPr>
        <w:fldChar w:fldCharType="begin"/>
      </w:r>
      <w:r>
        <w:instrText xml:space="preserve"> XE "</w:instrText>
      </w:r>
      <w:r w:rsidRPr="00523AF8">
        <w:rPr>
          <w:rStyle w:val="Hyperlink"/>
          <w:noProof/>
        </w:rPr>
        <w:instrText>Einzig</w:instrText>
      </w:r>
      <w:r>
        <w:instrText xml:space="preserve">" </w:instrText>
      </w:r>
      <w:r>
        <w:rPr>
          <w:rFonts w:cs="Times New Roman"/>
          <w:sz w:val="20"/>
          <w:szCs w:val="20"/>
        </w:rPr>
        <w:fldChar w:fldCharType="end"/>
      </w:r>
      <w:r>
        <w:rPr>
          <w:rFonts w:cs="Times New Roman"/>
          <w:sz w:val="20"/>
          <w:szCs w:val="20"/>
        </w:rPr>
        <w:t xml:space="preserve"> (1949, 346),</w:t>
      </w:r>
      <w:r w:rsidRPr="00751D73">
        <w:rPr>
          <w:rFonts w:cs="Times New Roman"/>
          <w:sz w:val="20"/>
          <w:szCs w:val="20"/>
        </w:rPr>
        <w:t xml:space="preserve"> and Skre</w:t>
      </w:r>
      <w:r>
        <w:rPr>
          <w:rFonts w:cs="Times New Roman"/>
          <w:sz w:val="20"/>
          <w:szCs w:val="20"/>
        </w:rPr>
        <w:fldChar w:fldCharType="begin"/>
      </w:r>
      <w:r>
        <w:instrText xml:space="preserve"> XE "</w:instrText>
      </w:r>
      <w:r w:rsidRPr="007645AE">
        <w:instrText>Skre</w:instrText>
      </w:r>
      <w:r>
        <w:instrText xml:space="preserve">" </w:instrText>
      </w:r>
      <w:r>
        <w:rPr>
          <w:rFonts w:cs="Times New Roman"/>
          <w:sz w:val="20"/>
          <w:szCs w:val="20"/>
        </w:rPr>
        <w:fldChar w:fldCharType="end"/>
      </w:r>
      <w:r w:rsidRPr="00751D73">
        <w:rPr>
          <w:rFonts w:cs="Times New Roman"/>
          <w:sz w:val="20"/>
          <w:szCs w:val="20"/>
        </w:rPr>
        <w:t xml:space="preserve"> </w:t>
      </w:r>
      <w:r w:rsidRPr="00A44F06">
        <w:rPr>
          <w:sz w:val="20"/>
          <w:szCs w:val="20"/>
        </w:rPr>
        <w:t>(2011, 80)</w:t>
      </w:r>
      <w:r w:rsidRPr="00751D73">
        <w:rPr>
          <w:rFonts w:cs="Times New Roman"/>
          <w:sz w:val="20"/>
          <w:szCs w:val="20"/>
        </w:rPr>
        <w:t>. Cribb (2004</w:t>
      </w:r>
      <w:r>
        <w:rPr>
          <w:rFonts w:cs="Times New Roman"/>
          <w:sz w:val="20"/>
          <w:szCs w:val="20"/>
        </w:rPr>
        <w:t>,</w:t>
      </w:r>
      <w:r w:rsidRPr="00751D73">
        <w:rPr>
          <w:rFonts w:cs="Times New Roman"/>
          <w:sz w:val="20"/>
          <w:szCs w:val="20"/>
        </w:rPr>
        <w:t xml:space="preserve"> </w:t>
      </w:r>
      <w:r>
        <w:rPr>
          <w:rFonts w:cs="Times New Roman"/>
          <w:sz w:val="20"/>
          <w:szCs w:val="20"/>
        </w:rPr>
        <w:t xml:space="preserve">7-9), </w:t>
      </w:r>
      <w:r w:rsidRPr="00751D73">
        <w:rPr>
          <w:rFonts w:cs="Times New Roman"/>
          <w:sz w:val="20"/>
          <w:szCs w:val="20"/>
        </w:rPr>
        <w:t>gives an early example of the use of gr</w:t>
      </w:r>
      <w:r>
        <w:rPr>
          <w:rFonts w:cs="Times New Roman"/>
          <w:sz w:val="20"/>
          <w:szCs w:val="20"/>
        </w:rPr>
        <w:t>ain in making payments under a</w:t>
      </w:r>
      <w:r w:rsidRPr="00751D73">
        <w:rPr>
          <w:rFonts w:cs="Times New Roman"/>
          <w:sz w:val="20"/>
          <w:szCs w:val="20"/>
        </w:rPr>
        <w:t xml:space="preserve"> 3rd millennium </w:t>
      </w:r>
      <w:r w:rsidRPr="00084CFC">
        <w:rPr>
          <w:rFonts w:cs="Times New Roman"/>
          <w:sz w:val="16"/>
          <w:szCs w:val="16"/>
        </w:rPr>
        <w:t>BCE</w:t>
      </w:r>
      <w:r w:rsidRPr="00751D73">
        <w:rPr>
          <w:rFonts w:cs="Times New Roman"/>
          <w:sz w:val="20"/>
          <w:szCs w:val="20"/>
        </w:rPr>
        <w:t xml:space="preserve"> </w:t>
      </w:r>
      <w:r>
        <w:rPr>
          <w:rFonts w:cs="Times New Roman"/>
          <w:sz w:val="20"/>
          <w:szCs w:val="20"/>
        </w:rPr>
        <w:t>M</w:t>
      </w:r>
      <w:r w:rsidRPr="00751D73">
        <w:rPr>
          <w:rFonts w:cs="Times New Roman"/>
          <w:sz w:val="20"/>
          <w:szCs w:val="20"/>
        </w:rPr>
        <w:t>esopotamian law code</w:t>
      </w:r>
      <w:r>
        <w:rPr>
          <w:rFonts w:cs="Times New Roman"/>
          <w:sz w:val="20"/>
          <w:szCs w:val="20"/>
        </w:rPr>
        <w:t>.</w:t>
      </w:r>
    </w:p>
  </w:footnote>
  <w:footnote w:id="176">
    <w:p w14:paraId="7E774010" w14:textId="77777777" w:rsidR="000E1004" w:rsidRDefault="000E1004" w:rsidP="003F22F2">
      <w:pPr>
        <w:pStyle w:val="FootnoteText"/>
      </w:pPr>
      <w:r>
        <w:rPr>
          <w:rStyle w:val="FootnoteReference"/>
        </w:rPr>
        <w:footnoteRef/>
      </w:r>
      <w:r>
        <w:t xml:space="preserve"> The numismatic and anthropological</w:t>
      </w:r>
      <w:r>
        <w:fldChar w:fldCharType="begin"/>
      </w:r>
      <w:r>
        <w:instrText xml:space="preserve"> XE "</w:instrText>
      </w:r>
      <w:r w:rsidRPr="007D3069">
        <w:rPr>
          <w:rFonts w:cs="Times New Roman"/>
          <w:szCs w:val="24"/>
        </w:rPr>
        <w:instrText>anthropological</w:instrText>
      </w:r>
      <w:r>
        <w:instrText xml:space="preserve">" </w:instrText>
      </w:r>
      <w:r>
        <w:fldChar w:fldCharType="end"/>
      </w:r>
      <w:r>
        <w:t xml:space="preserve"> use of ‘primitive’ differs. Use of primitive currency distinguishes peasants from primitive man.</w:t>
      </w:r>
    </w:p>
  </w:footnote>
  <w:footnote w:id="177">
    <w:p w14:paraId="3FE19D19" w14:textId="77777777" w:rsidR="000E1004" w:rsidRPr="00EF0E72" w:rsidRDefault="000E1004" w:rsidP="003F22F2">
      <w:pPr>
        <w:pStyle w:val="FootnoteText"/>
        <w:rPr>
          <w:i/>
        </w:rPr>
      </w:pPr>
      <w:r w:rsidRPr="00A50A51">
        <w:rPr>
          <w:rStyle w:val="FootnoteReference"/>
        </w:rPr>
        <w:footnoteRef/>
      </w:r>
      <w:r w:rsidRPr="00A50A51">
        <w:t xml:space="preserve"> </w:t>
      </w:r>
      <w:r>
        <w:t>Davies</w:t>
      </w:r>
      <w:r>
        <w:fldChar w:fldCharType="begin"/>
      </w:r>
      <w:r>
        <w:instrText xml:space="preserve"> XE "</w:instrText>
      </w:r>
      <w:r w:rsidRPr="00523AF8">
        <w:rPr>
          <w:rStyle w:val="Hyperlink"/>
          <w:noProof/>
        </w:rPr>
        <w:instrText>Davies</w:instrText>
      </w:r>
      <w:r>
        <w:instrText xml:space="preserve">" </w:instrText>
      </w:r>
      <w:r>
        <w:fldChar w:fldCharType="end"/>
      </w:r>
      <w:r>
        <w:t xml:space="preserve"> (1994, </w:t>
      </w:r>
      <w:r w:rsidRPr="00A50A51">
        <w:t>27</w:t>
      </w:r>
      <w:r>
        <w:t>)</w:t>
      </w:r>
      <w:r w:rsidRPr="00A50A51">
        <w:t>. Compared to Polanyi</w:t>
      </w:r>
      <w:r>
        <w:fldChar w:fldCharType="begin"/>
      </w:r>
      <w:r>
        <w:instrText xml:space="preserve"> XE "</w:instrText>
      </w:r>
      <w:r w:rsidRPr="00523AF8">
        <w:rPr>
          <w:rStyle w:val="Hyperlink"/>
          <w:noProof/>
        </w:rPr>
        <w:instrText>Polanyi</w:instrText>
      </w:r>
      <w:r>
        <w:instrText xml:space="preserve">" </w:instrText>
      </w:r>
      <w:r>
        <w:fldChar w:fldCharType="end"/>
      </w:r>
      <w:r w:rsidRPr="00A50A51">
        <w:t xml:space="preserve">’s </w:t>
      </w:r>
      <w:r w:rsidRPr="00A50A51">
        <w:rPr>
          <w:rFonts w:cs="Times New Roman"/>
        </w:rPr>
        <w:t xml:space="preserve">exchange, standard, store and payment, </w:t>
      </w:r>
      <w:r>
        <w:rPr>
          <w:rFonts w:cs="Times New Roman"/>
        </w:rPr>
        <w:t>Davies had</w:t>
      </w:r>
      <w:r w:rsidRPr="00A50A51">
        <w:rPr>
          <w:rFonts w:cs="Times New Roman"/>
        </w:rPr>
        <w:t xml:space="preserve"> unit of account, measure of value, medium of exchange</w:t>
      </w:r>
      <w:r>
        <w:rPr>
          <w:rFonts w:cs="Times New Roman"/>
        </w:rPr>
        <w:fldChar w:fldCharType="begin"/>
      </w:r>
      <w:r>
        <w:instrText xml:space="preserve"> XE "</w:instrText>
      </w:r>
      <w:r w:rsidRPr="007D3069">
        <w:rPr>
          <w:rFonts w:cs="Times New Roman"/>
          <w:szCs w:val="24"/>
        </w:rPr>
        <w:instrText>medium of exchange</w:instrText>
      </w:r>
      <w:r>
        <w:instrText xml:space="preserve">" </w:instrText>
      </w:r>
      <w:r>
        <w:rPr>
          <w:rFonts w:cs="Times New Roman"/>
        </w:rPr>
        <w:fldChar w:fldCharType="end"/>
      </w:r>
      <w:r w:rsidRPr="00A50A51">
        <w:rPr>
          <w:rFonts w:cs="Times New Roman"/>
        </w:rPr>
        <w:t>, means of payment, standard of deferred payment and store of value as</w:t>
      </w:r>
      <w:r w:rsidRPr="00EF0E72">
        <w:rPr>
          <w:rFonts w:cs="Times New Roman"/>
        </w:rPr>
        <w:t xml:space="preserve"> specific functions and liquid asset, resource allocation mechanism, causative factor in the economy</w:t>
      </w:r>
      <w:r>
        <w:rPr>
          <w:rFonts w:cs="Times New Roman"/>
        </w:rPr>
        <w:fldChar w:fldCharType="begin"/>
      </w:r>
      <w:r>
        <w:instrText xml:space="preserve"> XE "</w:instrText>
      </w:r>
      <w:r w:rsidRPr="007A2080">
        <w:rPr>
          <w:rFonts w:cs="Times New Roman"/>
          <w:b/>
          <w:color w:val="000000" w:themeColor="text1"/>
          <w:sz w:val="56"/>
          <w:szCs w:val="56"/>
        </w:rPr>
        <w:instrText>economy</w:instrText>
      </w:r>
      <w:r>
        <w:instrText xml:space="preserve">" </w:instrText>
      </w:r>
      <w:r>
        <w:rPr>
          <w:rFonts w:cs="Times New Roman"/>
        </w:rPr>
        <w:fldChar w:fldCharType="end"/>
      </w:r>
      <w:r w:rsidRPr="00EF0E72">
        <w:rPr>
          <w:rFonts w:cs="Times New Roman"/>
        </w:rPr>
        <w:t xml:space="preserve"> and controller of the economy as general functions. </w:t>
      </w:r>
      <w:r>
        <w:rPr>
          <w:rFonts w:cs="Times New Roman"/>
        </w:rPr>
        <w:t>The subsets of economic transactions, settlement</w:t>
      </w:r>
      <w:r>
        <w:rPr>
          <w:rFonts w:cs="Times New Roman"/>
        </w:rPr>
        <w:fldChar w:fldCharType="begin"/>
      </w:r>
      <w:r>
        <w:instrText xml:space="preserve"> XE "</w:instrText>
      </w:r>
      <w:r w:rsidRPr="007645AE">
        <w:instrText>settlement</w:instrText>
      </w:r>
      <w:r>
        <w:instrText xml:space="preserve">" </w:instrText>
      </w:r>
      <w:r>
        <w:rPr>
          <w:rFonts w:cs="Times New Roman"/>
        </w:rPr>
        <w:fldChar w:fldCharType="end"/>
      </w:r>
      <w:r>
        <w:rPr>
          <w:rFonts w:cs="Times New Roman"/>
        </w:rPr>
        <w:t xml:space="preserve"> of commercial and fiscal obligations, exemplify, but are not, functions.</w:t>
      </w:r>
    </w:p>
  </w:footnote>
  <w:footnote w:id="178">
    <w:p w14:paraId="4D54A884" w14:textId="77777777" w:rsidR="000E1004" w:rsidRPr="00EF0E72" w:rsidRDefault="000E1004" w:rsidP="003F22F2">
      <w:pPr>
        <w:pStyle w:val="FootnoteText"/>
        <w:rPr>
          <w:rFonts w:cs="Times New Roman"/>
        </w:rPr>
      </w:pPr>
      <w:r w:rsidRPr="00075D4D">
        <w:rPr>
          <w:rStyle w:val="FootnoteReference"/>
          <w:rFonts w:cs="Times New Roman"/>
        </w:rPr>
        <w:footnoteRef/>
      </w:r>
      <w:r w:rsidRPr="00EF0E72">
        <w:rPr>
          <w:rFonts w:cs="Times New Roman"/>
          <w:i/>
        </w:rPr>
        <w:t xml:space="preserve"> </w:t>
      </w:r>
      <w:r w:rsidRPr="00144DE3">
        <w:rPr>
          <w:rFonts w:cs="Times New Roman"/>
        </w:rPr>
        <w:t>Hann &amp; Hart, (2011, 96).</w:t>
      </w:r>
    </w:p>
  </w:footnote>
  <w:footnote w:id="179">
    <w:p w14:paraId="43D1A107" w14:textId="77777777" w:rsidR="000E1004" w:rsidRPr="00EF0E72" w:rsidRDefault="000E1004" w:rsidP="003F22F2">
      <w:pPr>
        <w:pStyle w:val="FootnoteText"/>
        <w:rPr>
          <w:rFonts w:cs="Times New Roman"/>
        </w:rPr>
      </w:pPr>
      <w:r w:rsidRPr="00EF0E72">
        <w:rPr>
          <w:rStyle w:val="FootnoteReference"/>
          <w:rFonts w:cs="Times New Roman"/>
        </w:rPr>
        <w:footnoteRef/>
      </w:r>
      <w:r w:rsidRPr="00EF0E72">
        <w:rPr>
          <w:rFonts w:cs="Times New Roman"/>
        </w:rPr>
        <w:t xml:space="preserve"> </w:t>
      </w:r>
      <w:r>
        <w:rPr>
          <w:rFonts w:cs="Times New Roman"/>
        </w:rPr>
        <w:t>Davies</w:t>
      </w:r>
      <w:r>
        <w:rPr>
          <w:rFonts w:cs="Times New Roman"/>
        </w:rPr>
        <w:fldChar w:fldCharType="begin"/>
      </w:r>
      <w:r>
        <w:instrText xml:space="preserve"> XE "</w:instrText>
      </w:r>
      <w:r w:rsidRPr="00523AF8">
        <w:rPr>
          <w:rStyle w:val="Hyperlink"/>
          <w:noProof/>
        </w:rPr>
        <w:instrText>Davies</w:instrText>
      </w:r>
      <w:r>
        <w:instrText xml:space="preserve">" </w:instrText>
      </w:r>
      <w:r>
        <w:rPr>
          <w:rFonts w:cs="Times New Roman"/>
        </w:rPr>
        <w:fldChar w:fldCharType="end"/>
      </w:r>
      <w:r>
        <w:rPr>
          <w:rFonts w:cs="Times New Roman"/>
        </w:rPr>
        <w:t xml:space="preserve"> (1994,</w:t>
      </w:r>
      <w:r w:rsidRPr="00EF0E72">
        <w:rPr>
          <w:rFonts w:cs="Times New Roman"/>
        </w:rPr>
        <w:t xml:space="preserve"> 29</w:t>
      </w:r>
      <w:r>
        <w:rPr>
          <w:rFonts w:cs="Times New Roman"/>
        </w:rPr>
        <w:t>)</w:t>
      </w:r>
      <w:r w:rsidRPr="00EF0E72">
        <w:rPr>
          <w:rFonts w:cs="Times New Roman"/>
        </w:rPr>
        <w:t>.</w:t>
      </w:r>
    </w:p>
  </w:footnote>
  <w:footnote w:id="180">
    <w:p w14:paraId="5C1B518C" w14:textId="77777777" w:rsidR="000E1004" w:rsidRDefault="000E1004" w:rsidP="003F22F2">
      <w:pPr>
        <w:pStyle w:val="FootnoteText"/>
        <w:rPr>
          <w:rFonts w:cs="Times New Roman"/>
        </w:rPr>
      </w:pPr>
      <w:r w:rsidRPr="00EF0E72">
        <w:rPr>
          <w:rStyle w:val="FootnoteReference"/>
          <w:rFonts w:cs="Times New Roman"/>
        </w:rPr>
        <w:footnoteRef/>
      </w:r>
      <w:r w:rsidRPr="00EF0E72">
        <w:rPr>
          <w:rFonts w:cs="Times New Roman"/>
        </w:rPr>
        <w:t xml:space="preserve"> </w:t>
      </w:r>
      <w:r>
        <w:rPr>
          <w:rFonts w:cs="Times New Roman"/>
        </w:rPr>
        <w:t>Davies</w:t>
      </w:r>
      <w:r>
        <w:rPr>
          <w:rFonts w:cs="Times New Roman"/>
        </w:rPr>
        <w:fldChar w:fldCharType="begin"/>
      </w:r>
      <w:r>
        <w:instrText xml:space="preserve"> XE "</w:instrText>
      </w:r>
      <w:r w:rsidRPr="00523AF8">
        <w:rPr>
          <w:rStyle w:val="Hyperlink"/>
          <w:noProof/>
        </w:rPr>
        <w:instrText>Davies</w:instrText>
      </w:r>
      <w:r>
        <w:instrText xml:space="preserve">" </w:instrText>
      </w:r>
      <w:r>
        <w:rPr>
          <w:rFonts w:cs="Times New Roman"/>
        </w:rPr>
        <w:fldChar w:fldCharType="end"/>
      </w:r>
      <w:r>
        <w:rPr>
          <w:rFonts w:cs="Times New Roman"/>
        </w:rPr>
        <w:t xml:space="preserve"> (1994, </w:t>
      </w:r>
      <w:r w:rsidRPr="00EF0E72">
        <w:rPr>
          <w:rFonts w:cs="Times New Roman"/>
        </w:rPr>
        <w:t>46</w:t>
      </w:r>
      <w:r>
        <w:rPr>
          <w:rFonts w:cs="Times New Roman"/>
        </w:rPr>
        <w:t>)</w:t>
      </w:r>
      <w:r w:rsidRPr="00EF0E72">
        <w:rPr>
          <w:rFonts w:cs="Times New Roman"/>
        </w:rPr>
        <w:t>.</w:t>
      </w:r>
      <w:r>
        <w:rPr>
          <w:rFonts w:cs="Times New Roman"/>
        </w:rPr>
        <w:t xml:space="preserve"> There are other ways of expressing the same value set, for example, Hodges</w:t>
      </w:r>
      <w:r>
        <w:rPr>
          <w:rFonts w:cs="Times New Roman"/>
        </w:rPr>
        <w:fldChar w:fldCharType="begin"/>
      </w:r>
      <w:r>
        <w:instrText xml:space="preserve"> XE "</w:instrText>
      </w:r>
      <w:r w:rsidRPr="00523AF8">
        <w:rPr>
          <w:rStyle w:val="Hyperlink"/>
          <w:noProof/>
        </w:rPr>
        <w:instrText>Hodges</w:instrText>
      </w:r>
      <w:r>
        <w:instrText xml:space="preserve">" </w:instrText>
      </w:r>
      <w:r>
        <w:rPr>
          <w:rFonts w:cs="Times New Roman"/>
        </w:rPr>
        <w:fldChar w:fldCharType="end"/>
      </w:r>
      <w:r>
        <w:rPr>
          <w:rFonts w:cs="Times New Roman"/>
        </w:rPr>
        <w:t xml:space="preserve"> (1988, 103) quoted Harris’s portability, divisibility, convertibility, generality, anonymity and legality. Few such descriptions distinguish adequately between hard &amp; soft money</w:t>
      </w:r>
      <w:r>
        <w:rPr>
          <w:rFonts w:cs="Times New Roman"/>
        </w:rPr>
        <w:fldChar w:fldCharType="begin"/>
      </w:r>
      <w:r>
        <w:instrText xml:space="preserve"> XE "</w:instrText>
      </w:r>
      <w:r w:rsidRPr="007D3069">
        <w:instrText>money</w:instrText>
      </w:r>
      <w:r>
        <w:instrText xml:space="preserve">" </w:instrText>
      </w:r>
      <w:r>
        <w:rPr>
          <w:rFonts w:cs="Times New Roman"/>
        </w:rPr>
        <w:fldChar w:fldCharType="end"/>
      </w:r>
      <w:r>
        <w:rPr>
          <w:rFonts w:cs="Times New Roman"/>
        </w:rPr>
        <w:t xml:space="preserve"> (Sehgal ch. 4&amp;5). </w:t>
      </w:r>
    </w:p>
    <w:p w14:paraId="1F14570E" w14:textId="77777777" w:rsidR="000E1004" w:rsidRPr="00EF0E72" w:rsidRDefault="000E1004" w:rsidP="003F22F2">
      <w:pPr>
        <w:pStyle w:val="FootnoteText"/>
      </w:pPr>
      <w:r w:rsidRPr="00EF0E72">
        <w:t>As an early non-metallic form of currency, bovine (and even equine) currencies may be more divisible than is obvious. As recently as last century, the Kirghiz used horses with sheep as subsidiarie</w:t>
      </w:r>
      <w:r>
        <w:t>s and lambskins as small change.</w:t>
      </w:r>
      <w:r w:rsidRPr="00EF0E72">
        <w:t xml:space="preserve"> The ancient association persists in language – other than </w:t>
      </w:r>
      <w:r w:rsidRPr="00EF0E72">
        <w:rPr>
          <w:i/>
        </w:rPr>
        <w:t>pecus</w:t>
      </w:r>
      <w:r w:rsidRPr="00EF0E72">
        <w:t xml:space="preserve">/pecuniary – the Welsh ‘da’ means good as an adjective and both ‘goods’ and ‘cattle’ as a noun. </w:t>
      </w:r>
      <w:r>
        <w:t>Davies</w:t>
      </w:r>
      <w:r>
        <w:fldChar w:fldCharType="begin"/>
      </w:r>
      <w:r>
        <w:instrText xml:space="preserve"> XE "</w:instrText>
      </w:r>
      <w:r w:rsidRPr="00523AF8">
        <w:rPr>
          <w:rStyle w:val="Hyperlink"/>
          <w:noProof/>
        </w:rPr>
        <w:instrText>Davies</w:instrText>
      </w:r>
      <w:r>
        <w:instrText xml:space="preserve">" </w:instrText>
      </w:r>
      <w:r>
        <w:fldChar w:fldCharType="end"/>
      </w:r>
      <w:r>
        <w:t xml:space="preserve"> (1994) </w:t>
      </w:r>
      <w:r>
        <w:rPr>
          <w:rFonts w:cs="Times New Roman"/>
        </w:rPr>
        <w:t>inherently</w:t>
      </w:r>
      <w:r w:rsidRPr="00EF0E72">
        <w:rPr>
          <w:rFonts w:cs="Times New Roman"/>
        </w:rPr>
        <w:t xml:space="preserve"> favours the Welsh example, though </w:t>
      </w:r>
      <w:r>
        <w:rPr>
          <w:rFonts w:cs="Times New Roman"/>
        </w:rPr>
        <w:t xml:space="preserve">there are many others (e.g. </w:t>
      </w:r>
      <w:r w:rsidRPr="000F5EE5">
        <w:rPr>
          <w:rFonts w:cs="Times New Roman"/>
          <w:i/>
        </w:rPr>
        <w:t>feoh</w:t>
      </w:r>
      <w:r>
        <w:rPr>
          <w:rFonts w:cs="Times New Roman"/>
        </w:rPr>
        <w:t>/fee</w:t>
      </w:r>
      <w:r w:rsidRPr="00EF0E72">
        <w:rPr>
          <w:rFonts w:cs="Times New Roman"/>
        </w:rPr>
        <w:t xml:space="preserve">). </w:t>
      </w:r>
      <w:r>
        <w:rPr>
          <w:rFonts w:cs="Times New Roman"/>
        </w:rPr>
        <w:t xml:space="preserve">Davies (1994, </w:t>
      </w:r>
      <w:r w:rsidRPr="00EF0E72">
        <w:rPr>
          <w:rFonts w:cs="Times New Roman"/>
        </w:rPr>
        <w:t>42-3</w:t>
      </w:r>
      <w:r>
        <w:rPr>
          <w:rFonts w:cs="Times New Roman"/>
        </w:rPr>
        <w:t>)</w:t>
      </w:r>
      <w:r w:rsidRPr="00EF0E72">
        <w:rPr>
          <w:rFonts w:cs="Times New Roman"/>
        </w:rPr>
        <w:t>.</w:t>
      </w:r>
    </w:p>
  </w:footnote>
  <w:footnote w:id="181">
    <w:p w14:paraId="6A5C7CD7" w14:textId="77777777" w:rsidR="000E1004" w:rsidRDefault="000E1004" w:rsidP="003F22F2">
      <w:pPr>
        <w:pStyle w:val="FootnoteText"/>
      </w:pPr>
      <w:r>
        <w:rPr>
          <w:rStyle w:val="FootnoteReference"/>
        </w:rPr>
        <w:footnoteRef/>
      </w:r>
      <w:r>
        <w:t xml:space="preserve"> Bede</w:t>
      </w:r>
      <w:r>
        <w:fldChar w:fldCharType="begin"/>
      </w:r>
      <w:r>
        <w:instrText xml:space="preserve"> XE "</w:instrText>
      </w:r>
      <w:r w:rsidRPr="007D3069">
        <w:rPr>
          <w:bCs/>
        </w:rPr>
        <w:instrText>Bede</w:instrText>
      </w:r>
      <w:r>
        <w:instrText xml:space="preserve">" </w:instrText>
      </w:r>
      <w:r>
        <w:fldChar w:fldCharType="end"/>
      </w:r>
      <w:r>
        <w:t xml:space="preserve"> (1969, III, 5).</w:t>
      </w:r>
    </w:p>
  </w:footnote>
  <w:footnote w:id="182">
    <w:p w14:paraId="792E2C41" w14:textId="77777777" w:rsidR="000E1004" w:rsidRDefault="000E1004" w:rsidP="003F22F2">
      <w:pPr>
        <w:pStyle w:val="FootnoteText"/>
      </w:pPr>
      <w:r>
        <w:rPr>
          <w:rStyle w:val="FootnoteReference"/>
        </w:rPr>
        <w:footnoteRef/>
      </w:r>
      <w:r>
        <w:t xml:space="preserve"> Bede</w:t>
      </w:r>
      <w:r>
        <w:fldChar w:fldCharType="begin"/>
      </w:r>
      <w:r>
        <w:instrText xml:space="preserve"> XE "</w:instrText>
      </w:r>
      <w:r w:rsidRPr="007D3069">
        <w:rPr>
          <w:bCs/>
        </w:rPr>
        <w:instrText>Bede</w:instrText>
      </w:r>
      <w:r>
        <w:instrText xml:space="preserve">" </w:instrText>
      </w:r>
      <w:r>
        <w:fldChar w:fldCharType="end"/>
      </w:r>
      <w:r>
        <w:t xml:space="preserve"> (1969, III, 14).</w:t>
      </w:r>
    </w:p>
  </w:footnote>
  <w:footnote w:id="183">
    <w:p w14:paraId="7B64A5E2" w14:textId="77777777" w:rsidR="000E1004" w:rsidRDefault="000E1004" w:rsidP="003F22F2">
      <w:pPr>
        <w:pStyle w:val="FootnoteText"/>
      </w:pPr>
      <w:r>
        <w:rPr>
          <w:rStyle w:val="FootnoteReference"/>
        </w:rPr>
        <w:footnoteRef/>
      </w:r>
      <w:r>
        <w:t xml:space="preserve"> Bede</w:t>
      </w:r>
      <w:r>
        <w:fldChar w:fldCharType="begin"/>
      </w:r>
      <w:r>
        <w:instrText xml:space="preserve"> XE "</w:instrText>
      </w:r>
      <w:r w:rsidRPr="007D3069">
        <w:rPr>
          <w:bCs/>
        </w:rPr>
        <w:instrText>Bede</w:instrText>
      </w:r>
      <w:r>
        <w:instrText xml:space="preserve">" </w:instrText>
      </w:r>
      <w:r>
        <w:fldChar w:fldCharType="end"/>
      </w:r>
      <w:r>
        <w:t xml:space="preserve"> (1969, III, 26).</w:t>
      </w:r>
    </w:p>
  </w:footnote>
  <w:footnote w:id="184">
    <w:p w14:paraId="5F3CBB12" w14:textId="77777777" w:rsidR="000E1004" w:rsidRPr="00EF0E72" w:rsidRDefault="000E1004" w:rsidP="003F22F2">
      <w:pPr>
        <w:pStyle w:val="FootnoteText"/>
        <w:rPr>
          <w:rFonts w:cs="Times New Roman"/>
        </w:rPr>
      </w:pPr>
      <w:r w:rsidRPr="00EF0E72">
        <w:rPr>
          <w:rStyle w:val="FootnoteReference"/>
          <w:rFonts w:cs="Times New Roman"/>
        </w:rPr>
        <w:footnoteRef/>
      </w:r>
      <w:r w:rsidRPr="00EF0E72">
        <w:rPr>
          <w:rFonts w:cs="Times New Roman"/>
        </w:rPr>
        <w:t xml:space="preserve"> </w:t>
      </w:r>
      <w:r>
        <w:rPr>
          <w:rFonts w:cs="Times New Roman"/>
        </w:rPr>
        <w:t>Davies</w:t>
      </w:r>
      <w:r>
        <w:rPr>
          <w:rFonts w:cs="Times New Roman"/>
        </w:rPr>
        <w:fldChar w:fldCharType="begin"/>
      </w:r>
      <w:r>
        <w:instrText xml:space="preserve"> XE "</w:instrText>
      </w:r>
      <w:r w:rsidRPr="00523AF8">
        <w:rPr>
          <w:rStyle w:val="Hyperlink"/>
          <w:noProof/>
        </w:rPr>
        <w:instrText>Davies</w:instrText>
      </w:r>
      <w:r>
        <w:instrText xml:space="preserve">" </w:instrText>
      </w:r>
      <w:r>
        <w:rPr>
          <w:rFonts w:cs="Times New Roman"/>
        </w:rPr>
        <w:fldChar w:fldCharType="end"/>
      </w:r>
      <w:r>
        <w:rPr>
          <w:rFonts w:cs="Times New Roman"/>
        </w:rPr>
        <w:t xml:space="preserve"> (1994, </w:t>
      </w:r>
      <w:r w:rsidRPr="00EF0E72">
        <w:rPr>
          <w:rFonts w:cs="Times New Roman"/>
        </w:rPr>
        <w:t>9-10</w:t>
      </w:r>
      <w:r>
        <w:rPr>
          <w:rFonts w:cs="Times New Roman"/>
        </w:rPr>
        <w:t>)</w:t>
      </w:r>
      <w:r w:rsidRPr="00EF0E72">
        <w:rPr>
          <w:rFonts w:cs="Times New Roman"/>
        </w:rPr>
        <w:t>.</w:t>
      </w:r>
    </w:p>
  </w:footnote>
  <w:footnote w:id="185">
    <w:p w14:paraId="37E19800" w14:textId="77777777" w:rsidR="000E1004" w:rsidRPr="00EF0E72" w:rsidRDefault="000E1004" w:rsidP="003F22F2">
      <w:pPr>
        <w:pStyle w:val="FootnoteText"/>
        <w:rPr>
          <w:rFonts w:cs="Times New Roman"/>
        </w:rPr>
      </w:pPr>
      <w:r w:rsidRPr="00EF0E72">
        <w:rPr>
          <w:rStyle w:val="FootnoteReference"/>
          <w:rFonts w:cs="Times New Roman"/>
        </w:rPr>
        <w:footnoteRef/>
      </w:r>
      <w:r w:rsidRPr="00EF0E72">
        <w:rPr>
          <w:rFonts w:cs="Times New Roman"/>
        </w:rPr>
        <w:t xml:space="preserve"> </w:t>
      </w:r>
      <w:r>
        <w:rPr>
          <w:rFonts w:cs="Times New Roman"/>
        </w:rPr>
        <w:t xml:space="preserve">Jevons (1875, ch. 1) </w:t>
      </w:r>
      <w:r w:rsidRPr="00EF0E72">
        <w:rPr>
          <w:rFonts w:cs="Times New Roman"/>
        </w:rPr>
        <w:t>on the inefficiency of the ‘double coincidence of wants’.</w:t>
      </w:r>
    </w:p>
  </w:footnote>
  <w:footnote w:id="186">
    <w:p w14:paraId="64911881" w14:textId="77777777" w:rsidR="000E1004" w:rsidRPr="00EF0E72" w:rsidRDefault="000E1004" w:rsidP="003F22F2">
      <w:pPr>
        <w:pStyle w:val="FootnoteText"/>
      </w:pPr>
      <w:r w:rsidRPr="00EF0E72">
        <w:rPr>
          <w:rStyle w:val="FootnoteReference"/>
        </w:rPr>
        <w:footnoteRef/>
      </w:r>
      <w:r w:rsidRPr="00EF0E72">
        <w:t xml:space="preserve"> </w:t>
      </w:r>
      <w:r>
        <w:t>Einzig</w:t>
      </w:r>
      <w:r>
        <w:fldChar w:fldCharType="begin"/>
      </w:r>
      <w:r>
        <w:instrText xml:space="preserve"> XE "</w:instrText>
      </w:r>
      <w:r w:rsidRPr="00523AF8">
        <w:rPr>
          <w:rStyle w:val="Hyperlink"/>
          <w:noProof/>
        </w:rPr>
        <w:instrText>Einzig</w:instrText>
      </w:r>
      <w:r>
        <w:instrText xml:space="preserve">" </w:instrText>
      </w:r>
      <w:r>
        <w:fldChar w:fldCharType="end"/>
      </w:r>
      <w:r>
        <w:t xml:space="preserve"> (1949,</w:t>
      </w:r>
      <w:r w:rsidRPr="00EF0E72">
        <w:t xml:space="preserve"> 342-2</w:t>
      </w:r>
      <w:r>
        <w:t>)</w:t>
      </w:r>
      <w:r w:rsidRPr="00EF0E72">
        <w:t>.</w:t>
      </w:r>
    </w:p>
  </w:footnote>
  <w:footnote w:id="187">
    <w:p w14:paraId="2D660B45" w14:textId="77777777" w:rsidR="000E1004" w:rsidRDefault="000E1004" w:rsidP="003F22F2">
      <w:pPr>
        <w:pStyle w:val="FootnoteText"/>
      </w:pPr>
      <w:r>
        <w:rPr>
          <w:rStyle w:val="FootnoteReference"/>
        </w:rPr>
        <w:footnoteRef/>
      </w:r>
      <w:r>
        <w:t xml:space="preserve"> There were few in the Iron Age. Van Arsdell (1989, 5-3). </w:t>
      </w:r>
    </w:p>
  </w:footnote>
  <w:footnote w:id="188">
    <w:p w14:paraId="3ECB19F4" w14:textId="77777777" w:rsidR="000E1004" w:rsidRDefault="000E1004" w:rsidP="003F22F2">
      <w:pPr>
        <w:pStyle w:val="FootnoteText"/>
      </w:pPr>
      <w:r>
        <w:rPr>
          <w:rStyle w:val="FootnoteReference"/>
        </w:rPr>
        <w:footnoteRef/>
      </w:r>
      <w:r>
        <w:t xml:space="preserve"> 384-22</w:t>
      </w:r>
      <w:r w:rsidRPr="00084CFC">
        <w:rPr>
          <w:sz w:val="16"/>
          <w:szCs w:val="16"/>
        </w:rPr>
        <w:t>BCE</w:t>
      </w:r>
      <w:r>
        <w:t>. Quoted from Cribb (2004, 80).</w:t>
      </w:r>
    </w:p>
  </w:footnote>
  <w:footnote w:id="189">
    <w:p w14:paraId="10AF6ED9" w14:textId="77777777" w:rsidR="000E1004" w:rsidRPr="00EF0E72" w:rsidRDefault="000E1004" w:rsidP="003F22F2">
      <w:pPr>
        <w:pStyle w:val="FootnoteText"/>
      </w:pPr>
      <w:r w:rsidRPr="00EF0E72">
        <w:rPr>
          <w:rStyle w:val="FootnoteReference"/>
        </w:rPr>
        <w:footnoteRef/>
      </w:r>
      <w:r w:rsidRPr="00EF0E72">
        <w:t xml:space="preserve"> </w:t>
      </w:r>
      <w:r>
        <w:t>Einzig</w:t>
      </w:r>
      <w:r>
        <w:fldChar w:fldCharType="begin"/>
      </w:r>
      <w:r>
        <w:instrText xml:space="preserve"> XE "</w:instrText>
      </w:r>
      <w:r w:rsidRPr="00523AF8">
        <w:rPr>
          <w:rStyle w:val="Hyperlink"/>
          <w:noProof/>
        </w:rPr>
        <w:instrText>Einzig</w:instrText>
      </w:r>
      <w:r>
        <w:instrText xml:space="preserve">" </w:instrText>
      </w:r>
      <w:r>
        <w:fldChar w:fldCharType="end"/>
      </w:r>
      <w:r>
        <w:t xml:space="preserve"> (1949, 317).</w:t>
      </w:r>
    </w:p>
  </w:footnote>
  <w:footnote w:id="190">
    <w:p w14:paraId="353C4011" w14:textId="77777777" w:rsidR="000E1004" w:rsidRPr="00EF0E72" w:rsidRDefault="000E1004" w:rsidP="003F22F2">
      <w:pPr>
        <w:pStyle w:val="FootnoteText"/>
      </w:pPr>
      <w:r w:rsidRPr="00EF0E72">
        <w:rPr>
          <w:rStyle w:val="FootnoteReference"/>
        </w:rPr>
        <w:footnoteRef/>
      </w:r>
      <w:r w:rsidRPr="00EF0E72">
        <w:t xml:space="preserve"> </w:t>
      </w:r>
      <w:r>
        <w:t>Einzig</w:t>
      </w:r>
      <w:r>
        <w:fldChar w:fldCharType="begin"/>
      </w:r>
      <w:r>
        <w:instrText xml:space="preserve"> XE "</w:instrText>
      </w:r>
      <w:r w:rsidRPr="00523AF8">
        <w:rPr>
          <w:rStyle w:val="Hyperlink"/>
          <w:noProof/>
        </w:rPr>
        <w:instrText>Einzig</w:instrText>
      </w:r>
      <w:r>
        <w:instrText xml:space="preserve">" </w:instrText>
      </w:r>
      <w:r>
        <w:fldChar w:fldCharType="end"/>
      </w:r>
      <w:r>
        <w:t xml:space="preserve"> (1949, </w:t>
      </w:r>
      <w:r w:rsidRPr="00EF0E72">
        <w:t>346</w:t>
      </w:r>
      <w:r>
        <w:t>).</w:t>
      </w:r>
    </w:p>
  </w:footnote>
  <w:footnote w:id="191">
    <w:p w14:paraId="63729FB8"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(2011, 80).</w:t>
      </w:r>
    </w:p>
  </w:footnote>
  <w:footnote w:id="192">
    <w:p w14:paraId="3F6643FD" w14:textId="77777777" w:rsidR="000E1004" w:rsidRDefault="000E1004" w:rsidP="003F22F2">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(2011, 82-3).</w:t>
      </w:r>
    </w:p>
  </w:footnote>
  <w:footnote w:id="193">
    <w:p w14:paraId="514B1B33" w14:textId="2BD90C27" w:rsidR="000E1004" w:rsidRDefault="000E1004" w:rsidP="003F22F2">
      <w:pPr>
        <w:pStyle w:val="FootnoteText"/>
      </w:pPr>
      <w:r w:rsidRPr="00EF0E72">
        <w:rPr>
          <w:rStyle w:val="FootnoteReference"/>
        </w:rPr>
        <w:footnoteRef/>
      </w:r>
      <w:r>
        <w:t xml:space="preserve"> Of monetary theories, he stated</w:t>
      </w:r>
      <w:r w:rsidRPr="00EF0E72">
        <w:t xml:space="preserve">: ‘By concentrating on a relatively narrow aspect of the subject, however, they all miss the substance.’ </w:t>
      </w:r>
      <w:r>
        <w:t xml:space="preserve">(1949, </w:t>
      </w:r>
      <w:r w:rsidRPr="00EF0E72">
        <w:t>489</w:t>
      </w:r>
      <w:r>
        <w:t>)</w:t>
      </w:r>
      <w:r w:rsidRPr="00EF0E72">
        <w:t>.</w:t>
      </w:r>
      <w:r w:rsidRPr="00F67B33">
        <w:rPr>
          <w:sz w:val="18"/>
          <w:szCs w:val="18"/>
        </w:rPr>
        <w:t xml:space="preserve"> </w:t>
      </w:r>
    </w:p>
  </w:footnote>
  <w:footnote w:id="194">
    <w:p w14:paraId="495F48A5" w14:textId="77777777" w:rsidR="000E1004" w:rsidRDefault="000E1004" w:rsidP="003F22F2">
      <w:pPr>
        <w:pStyle w:val="FootnoteText"/>
      </w:pPr>
      <w:r>
        <w:rPr>
          <w:rStyle w:val="FootnoteReference"/>
        </w:rPr>
        <w:footnoteRef/>
      </w:r>
      <w:r>
        <w:t xml:space="preserve"> Metcalf (1993-4, volumes 1-3).</w:t>
      </w:r>
    </w:p>
  </w:footnote>
  <w:footnote w:id="195">
    <w:p w14:paraId="6772C8F7" w14:textId="77777777" w:rsidR="000E1004" w:rsidRDefault="000E1004" w:rsidP="003F22F2">
      <w:pPr>
        <w:pStyle w:val="FootnoteText"/>
      </w:pPr>
      <w:r>
        <w:rPr>
          <w:rStyle w:val="FootnoteReference"/>
        </w:rPr>
        <w:footnoteRef/>
      </w:r>
      <w:r>
        <w:t xml:space="preserve"> Blackburn &amp; Dumville (1998, 169-70).</w:t>
      </w:r>
    </w:p>
  </w:footnote>
  <w:footnote w:id="196">
    <w:p w14:paraId="3994A291" w14:textId="77777777" w:rsidR="000E1004" w:rsidRPr="004A5C03" w:rsidRDefault="000E1004" w:rsidP="003F22F2">
      <w:pPr>
        <w:pStyle w:val="NoSpacing"/>
        <w:rPr>
          <w:sz w:val="20"/>
          <w:szCs w:val="20"/>
        </w:rPr>
      </w:pPr>
      <w:r w:rsidRPr="004A5C03">
        <w:rPr>
          <w:rStyle w:val="FootnoteReference"/>
          <w:sz w:val="20"/>
          <w:szCs w:val="20"/>
        </w:rPr>
        <w:footnoteRef/>
      </w:r>
      <w:r>
        <w:rPr>
          <w:sz w:val="20"/>
          <w:szCs w:val="20"/>
        </w:rPr>
        <w:t xml:space="preserve"> Blackburn &amp; Dumville</w:t>
      </w:r>
      <w:r w:rsidRPr="004A5C03">
        <w:rPr>
          <w:sz w:val="20"/>
          <w:szCs w:val="20"/>
        </w:rPr>
        <w:t xml:space="preserve"> </w:t>
      </w:r>
      <w:r w:rsidRPr="000D2252">
        <w:rPr>
          <w:sz w:val="20"/>
          <w:szCs w:val="20"/>
        </w:rPr>
        <w:t>(1998, 170).</w:t>
      </w:r>
    </w:p>
  </w:footnote>
  <w:footnote w:id="197">
    <w:p w14:paraId="162D71AA" w14:textId="538A70C5" w:rsidR="000E1004" w:rsidRDefault="000E1004" w:rsidP="003F22F2">
      <w:pPr>
        <w:pStyle w:val="FootnoteText"/>
      </w:pPr>
      <w:r>
        <w:rPr>
          <w:rStyle w:val="FootnoteReference"/>
        </w:rPr>
        <w:footnoteRef/>
      </w:r>
      <w:r>
        <w:t xml:space="preserve"> </w:t>
      </w:r>
      <w:r w:rsidRPr="004B73D4">
        <w:rPr>
          <w:i/>
        </w:rPr>
        <w:t>BAR</w:t>
      </w:r>
      <w:r>
        <w:rPr>
          <w:i/>
        </w:rPr>
        <w:t xml:space="preserve"> </w:t>
      </w:r>
      <w:r>
        <w:t>180 (1987, 397-401).</w:t>
      </w:r>
    </w:p>
  </w:footnote>
  <w:footnote w:id="198">
    <w:p w14:paraId="686E4A31" w14:textId="309E13A4" w:rsidR="000E1004" w:rsidRDefault="000E1004" w:rsidP="003F22F2">
      <w:pPr>
        <w:pStyle w:val="FootnoteText"/>
      </w:pPr>
      <w:r>
        <w:rPr>
          <w:rStyle w:val="FootnoteReference"/>
        </w:rPr>
        <w:footnoteRef/>
      </w:r>
      <w:r>
        <w:t xml:space="preserve"> </w:t>
      </w:r>
      <w:r w:rsidRPr="004B73D4">
        <w:rPr>
          <w:i/>
        </w:rPr>
        <w:t>BAR</w:t>
      </w:r>
      <w:r>
        <w:rPr>
          <w:i/>
        </w:rPr>
        <w:t xml:space="preserve"> </w:t>
      </w:r>
      <w:r>
        <w:t>180 (1987, 399).</w:t>
      </w:r>
    </w:p>
  </w:footnote>
  <w:footnote w:id="199">
    <w:p w14:paraId="6A2125EC" w14:textId="6D8C4823" w:rsidR="000E1004" w:rsidRDefault="000E1004" w:rsidP="003F22F2">
      <w:pPr>
        <w:pStyle w:val="FootnoteText"/>
      </w:pPr>
      <w:r>
        <w:rPr>
          <w:rStyle w:val="FootnoteReference"/>
        </w:rPr>
        <w:footnoteRef/>
      </w:r>
      <w:r>
        <w:t xml:space="preserve"> Blackburn &amp; Dumville (1998, </w:t>
      </w:r>
      <w:r w:rsidRPr="004A5C03">
        <w:t>17</w:t>
      </w:r>
      <w:r>
        <w:t>1)</w:t>
      </w:r>
      <w:r w:rsidRPr="004A5C03">
        <w:t>.</w:t>
      </w:r>
    </w:p>
  </w:footnote>
  <w:footnote w:id="200">
    <w:p w14:paraId="14B8ACB3" w14:textId="14C336E3" w:rsidR="000E1004" w:rsidRDefault="000E1004" w:rsidP="003F22F2">
      <w:pPr>
        <w:pStyle w:val="FootnoteText"/>
      </w:pPr>
      <w:r>
        <w:rPr>
          <w:rStyle w:val="FootnoteReference"/>
        </w:rPr>
        <w:footnoteRef/>
      </w:r>
      <w:r>
        <w:t xml:space="preserve"> This method was devised by Blackburn (1989 and 2003, 21 </w:t>
      </w:r>
      <w:r>
        <w:rPr>
          <w:i/>
        </w:rPr>
        <w:t>fn.</w:t>
      </w:r>
      <w:r>
        <w:t>)</w:t>
      </w:r>
    </w:p>
  </w:footnote>
  <w:footnote w:id="201">
    <w:p w14:paraId="0BC5F9F7" w14:textId="77777777" w:rsidR="000E1004" w:rsidRDefault="000E1004" w:rsidP="003F22F2">
      <w:pPr>
        <w:pStyle w:val="FootnoteText"/>
      </w:pPr>
      <w:r>
        <w:rPr>
          <w:rStyle w:val="FootnoteReference"/>
        </w:rPr>
        <w:footnoteRef/>
      </w:r>
      <w:r>
        <w:t xml:space="preserve"> See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(2012b, 113).</w:t>
      </w:r>
    </w:p>
  </w:footnote>
  <w:footnote w:id="202">
    <w:p w14:paraId="45132F47" w14:textId="77777777" w:rsidR="000E1004" w:rsidRPr="007B5FE3" w:rsidRDefault="000E1004" w:rsidP="003F22F2">
      <w:pPr>
        <w:pStyle w:val="FootnoteText"/>
        <w:rPr>
          <w:lang w:val="en-US"/>
        </w:rPr>
      </w:pPr>
      <w:r>
        <w:rPr>
          <w:rStyle w:val="FootnoteReference"/>
        </w:rPr>
        <w:footnoteRef/>
      </w:r>
      <w:r>
        <w:t xml:space="preserve"> </w:t>
      </w:r>
      <w:r>
        <w:rPr>
          <w:lang w:val="en-US"/>
        </w:rPr>
        <w:t>Metcalf (1998a&amp;b, 2003, 40-2).</w:t>
      </w:r>
    </w:p>
  </w:footnote>
  <w:footnote w:id="203">
    <w:p w14:paraId="0C0999A0" w14:textId="77777777" w:rsidR="000E1004" w:rsidRDefault="000E1004" w:rsidP="003F22F2">
      <w:pPr>
        <w:pStyle w:val="FootnoteText"/>
      </w:pPr>
      <w:r>
        <w:rPr>
          <w:rStyle w:val="FootnoteReference"/>
        </w:rPr>
        <w:footnoteRef/>
      </w:r>
      <w:r>
        <w:t xml:space="preserve"> Blackburn &amp; Dumville (1998, </w:t>
      </w:r>
      <w:r w:rsidRPr="004A5C03">
        <w:t>17</w:t>
      </w:r>
      <w:r>
        <w:t>9-84).</w:t>
      </w:r>
    </w:p>
  </w:footnote>
  <w:footnote w:id="204">
    <w:p w14:paraId="67575901" w14:textId="77777777" w:rsidR="000E1004" w:rsidRDefault="000E1004" w:rsidP="003F22F2">
      <w:pPr>
        <w:pStyle w:val="FootnoteText"/>
      </w:pPr>
      <w:r>
        <w:rPr>
          <w:rStyle w:val="FootnoteReference"/>
        </w:rPr>
        <w:footnoteRef/>
      </w:r>
      <w:r>
        <w:t xml:space="preserve"> For example, the fertile Severn Basin is devoid of coin.</w:t>
      </w:r>
    </w:p>
  </w:footnote>
  <w:footnote w:id="205">
    <w:p w14:paraId="1CFE58F4" w14:textId="714AAAE3" w:rsidR="000E1004" w:rsidRPr="00850F48" w:rsidRDefault="000E1004" w:rsidP="003F22F2">
      <w:pPr>
        <w:pStyle w:val="FootnoteText"/>
      </w:pPr>
      <w:r>
        <w:rPr>
          <w:rStyle w:val="FootnoteReference"/>
        </w:rPr>
        <w:footnoteRef/>
      </w:r>
      <w:r>
        <w:t xml:space="preserve"> </w:t>
      </w:r>
      <w:r w:rsidRPr="00E46CC5">
        <w:t>Metcalf</w:t>
      </w:r>
      <w:r>
        <w:t xml:space="preserve"> (1993, parts II-IV).</w:t>
      </w:r>
    </w:p>
  </w:footnote>
  <w:footnote w:id="206">
    <w:p w14:paraId="64A73718" w14:textId="77777777" w:rsidR="000E1004" w:rsidRDefault="000E1004" w:rsidP="003F22F2">
      <w:pPr>
        <w:pStyle w:val="FootnoteText"/>
      </w:pPr>
      <w:r>
        <w:rPr>
          <w:rStyle w:val="FootnoteReference"/>
        </w:rPr>
        <w:footnoteRef/>
      </w:r>
      <w:r>
        <w:t xml:space="preserve"> This focussed on the styca. The contributions are summarised in Abramson (</w:t>
      </w:r>
      <w:r w:rsidRPr="00F320C8">
        <w:t>2012d</w:t>
      </w:r>
      <w:r>
        <w:t xml:space="preserve"> Supplement, 3-4).</w:t>
      </w:r>
    </w:p>
  </w:footnote>
  <w:footnote w:id="207">
    <w:p w14:paraId="6C364BC6" w14:textId="6E7BA4F1" w:rsidR="000E1004" w:rsidRDefault="000E1004">
      <w:pPr>
        <w:pStyle w:val="FootnoteText"/>
      </w:pPr>
      <w:r>
        <w:rPr>
          <w:rStyle w:val="FootnoteReference"/>
        </w:rPr>
        <w:footnoteRef/>
      </w:r>
      <w:r>
        <w:t xml:space="preserve"> Even if too prescriptive on derivation of terms.</w:t>
      </w:r>
    </w:p>
  </w:footnote>
  <w:footnote w:id="208">
    <w:p w14:paraId="7DF9853B" w14:textId="408DB5C7" w:rsidR="000E1004" w:rsidRDefault="000E1004" w:rsidP="003F22F2">
      <w:pPr>
        <w:pStyle w:val="FootnoteText"/>
      </w:pPr>
      <w:r>
        <w:rPr>
          <w:rStyle w:val="FootnoteReference"/>
        </w:rPr>
        <w:footnoteRef/>
      </w:r>
      <w:r>
        <w:t xml:space="preserve"> </w:t>
      </w:r>
      <w:r w:rsidRPr="00E46CC5">
        <w:t>Metcalf</w:t>
      </w:r>
      <w:r>
        <w:t xml:space="preserve"> </w:t>
      </w:r>
      <w:r w:rsidRPr="006446FB">
        <w:t>(</w:t>
      </w:r>
      <w:r>
        <w:t xml:space="preserve">1993, </w:t>
      </w:r>
      <w:r w:rsidRPr="006446FB">
        <w:t>341, 351 &amp; 357</w:t>
      </w:r>
      <w:r>
        <w:t>)</w:t>
      </w:r>
      <w:r w:rsidRPr="006446FB">
        <w:t>.</w:t>
      </w:r>
    </w:p>
  </w:footnote>
  <w:footnote w:id="209">
    <w:p w14:paraId="68792FC1" w14:textId="77777777" w:rsidR="000E1004" w:rsidRDefault="000E1004" w:rsidP="003F22F2">
      <w:pPr>
        <w:pStyle w:val="FootnoteText"/>
      </w:pPr>
      <w:r>
        <w:rPr>
          <w:rStyle w:val="FootnoteReference"/>
        </w:rPr>
        <w:footnoteRef/>
      </w:r>
      <w:r>
        <w:t xml:space="preserve"> </w:t>
      </w:r>
      <w:r w:rsidRPr="00645278">
        <w:t>Booth (1997</w:t>
      </w:r>
      <w:r>
        <w:t>b,</w:t>
      </w:r>
      <w:r w:rsidRPr="00645278">
        <w:t xml:space="preserve"> 16</w:t>
      </w:r>
      <w:r>
        <w:t>)</w:t>
      </w:r>
      <w:r w:rsidRPr="00645278">
        <w:t>.</w:t>
      </w:r>
    </w:p>
  </w:footnote>
  <w:footnote w:id="210">
    <w:p w14:paraId="0C29DAC1" w14:textId="77777777" w:rsidR="000E1004" w:rsidRDefault="000E1004" w:rsidP="003F22F2">
      <w:pPr>
        <w:pStyle w:val="FootnoteText"/>
      </w:pPr>
      <w:r>
        <w:rPr>
          <w:rStyle w:val="FootnoteReference"/>
        </w:rPr>
        <w:footnoteRef/>
      </w:r>
      <w:r>
        <w:t xml:space="preserve"> </w:t>
      </w:r>
      <w:r w:rsidRPr="00645278">
        <w:t xml:space="preserve">Evans &amp; Loveluck </w:t>
      </w:r>
      <w:r>
        <w:t xml:space="preserve">(2009, </w:t>
      </w:r>
      <w:r w:rsidRPr="00645278">
        <w:t>404</w:t>
      </w:r>
      <w:r>
        <w:t>).</w:t>
      </w:r>
    </w:p>
  </w:footnote>
  <w:footnote w:id="211">
    <w:p w14:paraId="3CB9D736" w14:textId="77777777" w:rsidR="000E1004" w:rsidRDefault="000E1004" w:rsidP="003F22F2">
      <w:pPr>
        <w:pStyle w:val="FootnoteText"/>
      </w:pPr>
      <w:r>
        <w:rPr>
          <w:rStyle w:val="FootnoteReference"/>
        </w:rPr>
        <w:footnoteRef/>
      </w:r>
      <w:r>
        <w:t xml:space="preserve"> </w:t>
      </w:r>
      <w:r w:rsidRPr="00645278">
        <w:t>Naylor</w:t>
      </w:r>
      <w:r>
        <w:fldChar w:fldCharType="begin"/>
      </w:r>
      <w:r>
        <w:instrText xml:space="preserve"> XE "</w:instrText>
      </w:r>
      <w:r w:rsidRPr="007D3069">
        <w:rPr>
          <w:rFonts w:cs="Times New Roman"/>
          <w:szCs w:val="24"/>
        </w:rPr>
        <w:instrText>Naylor</w:instrText>
      </w:r>
      <w:r>
        <w:instrText xml:space="preserve">" </w:instrText>
      </w:r>
      <w:r>
        <w:fldChar w:fldCharType="end"/>
      </w:r>
      <w:r w:rsidRPr="00645278">
        <w:t xml:space="preserve"> </w:t>
      </w:r>
      <w:r w:rsidRPr="00317973">
        <w:rPr>
          <w:rStyle w:val="Hyperlink"/>
          <w:color w:val="000000" w:themeColor="text1"/>
          <w:u w:val="none"/>
        </w:rPr>
        <w:t>(</w:t>
      </w:r>
      <w:r w:rsidRPr="00645278">
        <w:t>2006</w:t>
      </w:r>
      <w:r>
        <w:t>, 159-70</w:t>
      </w:r>
      <w:r w:rsidRPr="00645278">
        <w:t>)</w:t>
      </w:r>
      <w:r>
        <w:t>.</w:t>
      </w:r>
    </w:p>
  </w:footnote>
  <w:footnote w:id="212">
    <w:p w14:paraId="54C09D3B" w14:textId="08913EC1" w:rsidR="000E1004" w:rsidRDefault="000E1004" w:rsidP="003F22F2">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(2008,</w:t>
      </w:r>
      <w:r w:rsidRPr="00645278">
        <w:t xml:space="preserve"> 160-6</w:t>
      </w:r>
      <w:r>
        <w:t>) and (2011,</w:t>
      </w:r>
      <w:r w:rsidRPr="00645278">
        <w:t xml:space="preserve"> 25-9</w:t>
      </w:r>
      <w:r>
        <w:t>).</w:t>
      </w:r>
    </w:p>
  </w:footnote>
  <w:footnote w:id="213">
    <w:p w14:paraId="0543716A" w14:textId="32334B34" w:rsidR="000E1004" w:rsidRDefault="000E1004">
      <w:pPr>
        <w:pStyle w:val="FootnoteText"/>
      </w:pPr>
      <w:r>
        <w:rPr>
          <w:rStyle w:val="FootnoteReference"/>
        </w:rPr>
        <w:footnoteRef/>
      </w:r>
      <w:r>
        <w:t xml:space="preserve"> Moreover, repeated Northumbrian and Mercian vying over the wealthy Lindsey may have rendered it an unstable site for a mint (Ulmschneider, 2000, 102-3).</w:t>
      </w:r>
    </w:p>
  </w:footnote>
  <w:footnote w:id="214">
    <w:p w14:paraId="7C5CCAC1" w14:textId="3426D8B9" w:rsidR="000E1004" w:rsidRPr="00B8119C" w:rsidRDefault="000E1004" w:rsidP="003F22F2">
      <w:pPr>
        <w:pStyle w:val="FootnoteText"/>
      </w:pPr>
      <w:r w:rsidRPr="00B8119C">
        <w:rPr>
          <w:rStyle w:val="FootnoteReference"/>
        </w:rPr>
        <w:footnoteRef/>
      </w:r>
      <w:r w:rsidRPr="00B8119C">
        <w:t xml:space="preserve"> Of the type found near Bridlington (</w:t>
      </w:r>
      <w:r w:rsidRPr="00B8119C">
        <w:fldChar w:fldCharType="begin"/>
      </w:r>
      <w:r w:rsidRPr="00B8119C">
        <w:instrText xml:space="preserve"> REF _Ref430246176 \h  \* MERGEFORMAT </w:instrText>
      </w:r>
      <w:r w:rsidRPr="00B8119C">
        <w:fldChar w:fldCharType="separate"/>
      </w:r>
      <w:r w:rsidR="0012026B" w:rsidRPr="00EC0229">
        <w:rPr>
          <w:i/>
        </w:rPr>
        <w:t>Figure</w:t>
      </w:r>
      <w:r w:rsidR="0012026B" w:rsidRPr="00EC0229">
        <w:t xml:space="preserve"> </w:t>
      </w:r>
      <w:r w:rsidR="0012026B">
        <w:rPr>
          <w:noProof/>
        </w:rPr>
        <w:t>37</w:t>
      </w:r>
      <w:r w:rsidRPr="00B8119C">
        <w:fldChar w:fldCharType="end"/>
      </w:r>
      <w:r w:rsidRPr="00B8119C">
        <w:t>).</w:t>
      </w:r>
    </w:p>
  </w:footnote>
  <w:footnote w:id="215">
    <w:p w14:paraId="0EDB44A7" w14:textId="77777777" w:rsidR="000E1004" w:rsidRDefault="000E1004" w:rsidP="003F22F2">
      <w:pPr>
        <w:pStyle w:val="FootnoteText"/>
      </w:pPr>
      <w:r>
        <w:rPr>
          <w:rStyle w:val="FootnoteReference"/>
        </w:rPr>
        <w:footnoteRef/>
      </w:r>
      <w:r>
        <w:t xml:space="preserve"> Also see Pagan (1997, 276).</w:t>
      </w:r>
    </w:p>
  </w:footnote>
  <w:footnote w:id="216">
    <w:p w14:paraId="0CE57BEF" w14:textId="77777777" w:rsidR="000E1004" w:rsidRPr="00F320C8" w:rsidRDefault="000E1004" w:rsidP="003F22F2">
      <w:pPr>
        <w:pStyle w:val="FootnoteText"/>
      </w:pPr>
      <w:r w:rsidRPr="00F320C8">
        <w:rPr>
          <w:rStyle w:val="FootnoteReference"/>
        </w:rPr>
        <w:footnoteRef/>
      </w:r>
      <w:r w:rsidRPr="00F320C8">
        <w:t xml:space="preserve"> Lyon does not remark on the fact that Wulfhere</w:t>
      </w:r>
      <w:r>
        <w:fldChar w:fldCharType="begin"/>
      </w:r>
      <w:r>
        <w:instrText xml:space="preserve"> XE "</w:instrText>
      </w:r>
      <w:r w:rsidRPr="007645AE">
        <w:instrText>Wulfhere</w:instrText>
      </w:r>
      <w:r>
        <w:instrText xml:space="preserve">" </w:instrText>
      </w:r>
      <w:r>
        <w:fldChar w:fldCharType="end"/>
      </w:r>
      <w:r w:rsidRPr="00F320C8">
        <w:t>’s obverses are indeed neat, but the reverses are not. The case for a different engraver is stronger than that for a different mint, given how few stycas of Wulfhere were produced.</w:t>
      </w:r>
    </w:p>
  </w:footnote>
  <w:footnote w:id="217">
    <w:p w14:paraId="5AD03B51" w14:textId="77777777" w:rsidR="000E1004" w:rsidRDefault="000E1004" w:rsidP="003F22F2">
      <w:pPr>
        <w:pStyle w:val="FootnoteText"/>
      </w:pPr>
      <w:r>
        <w:rPr>
          <w:rStyle w:val="FootnoteReference"/>
        </w:rPr>
        <w:footnoteRef/>
      </w:r>
      <w:r>
        <w:t xml:space="preserve"> Pagan (1997, 274-82).</w:t>
      </w:r>
    </w:p>
  </w:footnote>
  <w:footnote w:id="218">
    <w:p w14:paraId="28B6B300" w14:textId="18BCF57C" w:rsidR="000E1004" w:rsidRPr="00F320C8" w:rsidRDefault="000E1004" w:rsidP="00CE2559">
      <w:pPr>
        <w:pStyle w:val="NoSpacing"/>
        <w:rPr>
          <w:sz w:val="20"/>
          <w:szCs w:val="20"/>
        </w:rPr>
      </w:pPr>
      <w:r w:rsidRPr="00F320C8">
        <w:rPr>
          <w:rStyle w:val="FootnoteReference"/>
          <w:sz w:val="20"/>
          <w:szCs w:val="20"/>
        </w:rPr>
        <w:footnoteRef/>
      </w:r>
      <w:r w:rsidRPr="00F320C8">
        <w:rPr>
          <w:sz w:val="20"/>
          <w:szCs w:val="20"/>
        </w:rPr>
        <w:t xml:space="preserve"> Abramson</w:t>
      </w:r>
      <w:r>
        <w:rPr>
          <w:sz w:val="20"/>
          <w:szCs w:val="20"/>
        </w:rPr>
        <w:fldChar w:fldCharType="begin"/>
      </w:r>
      <w:r>
        <w:instrText xml:space="preserve"> XE "</w:instrText>
      </w:r>
      <w:r w:rsidRPr="007A2080">
        <w:rPr>
          <w:rFonts w:cs="Times New Roman"/>
          <w:b/>
          <w:sz w:val="40"/>
          <w:szCs w:val="40"/>
        </w:rPr>
        <w:instrText>Abramson</w:instrText>
      </w:r>
      <w:r>
        <w:instrText xml:space="preserve">" </w:instrText>
      </w:r>
      <w:r>
        <w:rPr>
          <w:sz w:val="20"/>
          <w:szCs w:val="20"/>
        </w:rPr>
        <w:fldChar w:fldCharType="end"/>
      </w:r>
      <w:r w:rsidRPr="00F320C8">
        <w:rPr>
          <w:sz w:val="20"/>
          <w:szCs w:val="20"/>
        </w:rPr>
        <w:t xml:space="preserve"> </w:t>
      </w:r>
      <w:r>
        <w:rPr>
          <w:sz w:val="20"/>
          <w:szCs w:val="20"/>
        </w:rPr>
        <w:t>(</w:t>
      </w:r>
      <w:r w:rsidRPr="00F320C8">
        <w:rPr>
          <w:sz w:val="20"/>
          <w:szCs w:val="20"/>
        </w:rPr>
        <w:t>2012d</w:t>
      </w:r>
      <w:r>
        <w:rPr>
          <w:sz w:val="20"/>
          <w:szCs w:val="20"/>
        </w:rPr>
        <w:t xml:space="preserve"> Supplement, 1-6) described the controversy surrounding Pirie’s ‘phases and groups’ and their publication</w:t>
      </w:r>
      <w:r w:rsidRPr="00F320C8">
        <w:rPr>
          <w:sz w:val="20"/>
          <w:szCs w:val="20"/>
          <w:lang w:val="en-US"/>
        </w:rPr>
        <w:t xml:space="preserve">. </w:t>
      </w:r>
      <w:r>
        <w:rPr>
          <w:sz w:val="20"/>
          <w:szCs w:val="20"/>
        </w:rPr>
        <w:t>In 2011-2, the candidate</w:t>
      </w:r>
      <w:r w:rsidRPr="00F320C8">
        <w:rPr>
          <w:sz w:val="20"/>
          <w:szCs w:val="20"/>
        </w:rPr>
        <w:t xml:space="preserve"> re-united the parts of her archive left at - as opposed to bequeathed to - the Fitzwilliam Museum and the National Museum of Scotland. [My gratitude to the Yorkshire Numismatic Society for funding this.] This archive has now been reviewed and collated and is stored at Leeds Museum’s depository. </w:t>
      </w:r>
    </w:p>
  </w:footnote>
  <w:footnote w:id="219">
    <w:p w14:paraId="7D8125A1" w14:textId="5053761F" w:rsidR="000E1004" w:rsidRDefault="000E1004" w:rsidP="00964931">
      <w:pPr>
        <w:pStyle w:val="FootnoteText"/>
      </w:pPr>
      <w:r>
        <w:rPr>
          <w:rStyle w:val="FootnoteReference"/>
        </w:rPr>
        <w:footnoteRef/>
      </w:r>
      <w:r>
        <w:t xml:space="preserve"> There could be no overlap due to the absence of silver from Eardwulf’s emissions, although in Metcalf and Northover’s </w:t>
      </w:r>
      <w:r>
        <w:rPr>
          <w:i/>
          <w:iCs/>
        </w:rPr>
        <w:t xml:space="preserve">The Northumbrian royal coinage in the time of Æthelred and Osberht </w:t>
      </w:r>
      <w:r>
        <w:t>there is the speculation not only that such an overlap occurred but that concurrent moneyers could have been “high silver” or “low silver” issuers, but Eardwulf’s silver free emissions are a significant step change – a difference of kind not degree.</w:t>
      </w:r>
    </w:p>
  </w:footnote>
  <w:footnote w:id="220">
    <w:p w14:paraId="3B320A69" w14:textId="1D37122C" w:rsidR="000E1004" w:rsidRDefault="000E1004">
      <w:pPr>
        <w:pStyle w:val="FootnoteText"/>
      </w:pPr>
      <w:r>
        <w:rPr>
          <w:rStyle w:val="FootnoteReference"/>
        </w:rPr>
        <w:footnoteRef/>
      </w:r>
      <w:r>
        <w:t xml:space="preserve"> Pirie archive.</w:t>
      </w:r>
    </w:p>
  </w:footnote>
  <w:footnote w:id="221">
    <w:p w14:paraId="75DA4404" w14:textId="14B568B1" w:rsidR="000E1004" w:rsidRPr="003C7FF0" w:rsidRDefault="000E1004" w:rsidP="009C59C9">
      <w:pPr>
        <w:pStyle w:val="NoSpacing"/>
        <w:rPr>
          <w:color w:val="0070C0"/>
          <w:sz w:val="20"/>
          <w:szCs w:val="20"/>
        </w:rPr>
      </w:pPr>
      <w:r w:rsidRPr="003C7FF0">
        <w:rPr>
          <w:rStyle w:val="FootnoteReference"/>
          <w:sz w:val="20"/>
          <w:szCs w:val="20"/>
        </w:rPr>
        <w:footnoteRef/>
      </w:r>
      <w:r w:rsidRPr="003C7FF0">
        <w:rPr>
          <w:sz w:val="20"/>
          <w:szCs w:val="20"/>
        </w:rPr>
        <w:t xml:space="preserve"> </w:t>
      </w:r>
      <w:r w:rsidRPr="003C7FF0">
        <w:rPr>
          <w:sz w:val="20"/>
          <w:szCs w:val="20"/>
          <w:lang w:val="en-US"/>
        </w:rPr>
        <w:t xml:space="preserve">Pirie </w:t>
      </w:r>
      <w:r>
        <w:rPr>
          <w:sz w:val="20"/>
          <w:szCs w:val="20"/>
          <w:lang w:val="en-US"/>
        </w:rPr>
        <w:t xml:space="preserve">(1988, </w:t>
      </w:r>
      <w:r w:rsidRPr="003C7FF0">
        <w:rPr>
          <w:sz w:val="20"/>
          <w:szCs w:val="20"/>
        </w:rPr>
        <w:t>5</w:t>
      </w:r>
      <w:r>
        <w:rPr>
          <w:sz w:val="20"/>
          <w:szCs w:val="20"/>
        </w:rPr>
        <w:t>)</w:t>
      </w:r>
      <w:r w:rsidRPr="003C7FF0">
        <w:rPr>
          <w:sz w:val="20"/>
          <w:szCs w:val="20"/>
          <w:lang w:val="en-US"/>
        </w:rPr>
        <w:t xml:space="preserve"> tri</w:t>
      </w:r>
      <w:r>
        <w:rPr>
          <w:sz w:val="20"/>
          <w:szCs w:val="20"/>
          <w:lang w:val="en-US"/>
        </w:rPr>
        <w:t>ed to justify her stance that ‘</w:t>
      </w:r>
      <w:r w:rsidRPr="003C7FF0">
        <w:rPr>
          <w:sz w:val="20"/>
          <w:szCs w:val="20"/>
          <w:lang w:val="en-US"/>
        </w:rPr>
        <w:t>the standard Northumbrian elements are</w:t>
      </w:r>
      <w:r>
        <w:rPr>
          <w:sz w:val="20"/>
          <w:szCs w:val="20"/>
          <w:lang w:val="en-US"/>
        </w:rPr>
        <w:t xml:space="preserve"> not those of West Saxon usage.’ In response, </w:t>
      </w:r>
      <w:r>
        <w:rPr>
          <w:sz w:val="20"/>
          <w:szCs w:val="20"/>
        </w:rPr>
        <w:t>Smart (1997, 69-72) argued</w:t>
      </w:r>
      <w:r w:rsidRPr="003C7FF0">
        <w:rPr>
          <w:sz w:val="20"/>
          <w:szCs w:val="20"/>
        </w:rPr>
        <w:t xml:space="preserve"> for a system that is orderly and explicable - there is no attempt "to suppress the d</w:t>
      </w:r>
      <w:r>
        <w:rPr>
          <w:sz w:val="20"/>
          <w:szCs w:val="20"/>
        </w:rPr>
        <w:t>istinctive northern character"!</w:t>
      </w:r>
    </w:p>
  </w:footnote>
  <w:footnote w:id="222">
    <w:p w14:paraId="380DEFA2" w14:textId="355C3A09" w:rsidR="000E1004" w:rsidRPr="00F320C8" w:rsidRDefault="000E1004" w:rsidP="003F22F2">
      <w:pPr>
        <w:pStyle w:val="FootnoteText"/>
      </w:pPr>
      <w:r w:rsidRPr="00F320C8">
        <w:rPr>
          <w:rStyle w:val="FootnoteReference"/>
        </w:rPr>
        <w:footnoteRef/>
      </w:r>
      <w:r>
        <w:t xml:space="preserve"> By Galata Print, Llanfyllin, who generously provided this candidate with proofs capable of digitization.</w:t>
      </w:r>
    </w:p>
  </w:footnote>
  <w:footnote w:id="223">
    <w:p w14:paraId="09AEE9CE" w14:textId="4539CCAE" w:rsidR="000E1004" w:rsidRPr="00F320C8" w:rsidRDefault="000E1004" w:rsidP="003F22F2">
      <w:pPr>
        <w:pStyle w:val="FootnoteText"/>
      </w:pPr>
      <w:r w:rsidRPr="00F320C8">
        <w:rPr>
          <w:rStyle w:val="FootnoteReference"/>
          <w:color w:val="000000" w:themeColor="text1"/>
        </w:rPr>
        <w:footnoteRef/>
      </w:r>
      <w:r>
        <w:rPr>
          <w:color w:val="000000" w:themeColor="text1"/>
        </w:rPr>
        <w:t xml:space="preserve"> Lyon </w:t>
      </w:r>
      <w:r w:rsidRPr="00F320C8">
        <w:rPr>
          <w:color w:val="000000" w:themeColor="text1"/>
        </w:rPr>
        <w:t>(1956</w:t>
      </w:r>
      <w:r>
        <w:rPr>
          <w:color w:val="000000" w:themeColor="text1"/>
        </w:rPr>
        <w:t>,</w:t>
      </w:r>
      <w:r w:rsidRPr="00F320C8">
        <w:rPr>
          <w:color w:val="000000" w:themeColor="text1"/>
        </w:rPr>
        <w:t xml:space="preserve"> 229</w:t>
      </w:r>
      <w:r>
        <w:rPr>
          <w:color w:val="000000" w:themeColor="text1"/>
        </w:rPr>
        <w:t>)</w:t>
      </w:r>
      <w:r w:rsidRPr="00F320C8">
        <w:rPr>
          <w:color w:val="000000" w:themeColor="text1"/>
        </w:rPr>
        <w:t xml:space="preserve">, but see </w:t>
      </w:r>
      <w:r>
        <w:rPr>
          <w:i/>
          <w:color w:val="000000" w:themeColor="text1"/>
        </w:rPr>
        <w:t>fn.</w:t>
      </w:r>
      <w:r w:rsidRPr="001E4D46">
        <w:rPr>
          <w:color w:val="000000" w:themeColor="text1"/>
        </w:rPr>
        <w:fldChar w:fldCharType="begin"/>
      </w:r>
      <w:r w:rsidRPr="001E4D46">
        <w:rPr>
          <w:color w:val="000000" w:themeColor="text1"/>
        </w:rPr>
        <w:instrText xml:space="preserve"> NOTEREF _Ref446227829 \h </w:instrText>
      </w:r>
      <w:r>
        <w:rPr>
          <w:color w:val="000000" w:themeColor="text1"/>
        </w:rPr>
        <w:instrText xml:space="preserve"> \* MERGEFORMAT </w:instrText>
      </w:r>
      <w:r w:rsidRPr="001E4D46">
        <w:rPr>
          <w:color w:val="000000" w:themeColor="text1"/>
        </w:rPr>
      </w:r>
      <w:r w:rsidRPr="001E4D46">
        <w:rPr>
          <w:color w:val="000000" w:themeColor="text1"/>
        </w:rPr>
        <w:fldChar w:fldCharType="separate"/>
      </w:r>
      <w:r w:rsidR="0012026B">
        <w:rPr>
          <w:color w:val="000000" w:themeColor="text1"/>
        </w:rPr>
        <w:t>672</w:t>
      </w:r>
      <w:r w:rsidRPr="001E4D46">
        <w:rPr>
          <w:color w:val="000000" w:themeColor="text1"/>
        </w:rPr>
        <w:fldChar w:fldCharType="end"/>
      </w:r>
      <w:r w:rsidRPr="001E4D46">
        <w:rPr>
          <w:color w:val="000000" w:themeColor="text1"/>
        </w:rPr>
        <w:t>,</w:t>
      </w:r>
      <w:r w:rsidRPr="00F320C8">
        <w:rPr>
          <w:color w:val="000000" w:themeColor="text1"/>
        </w:rPr>
        <w:t xml:space="preserve"> </w:t>
      </w:r>
      <w:r w:rsidRPr="00F320C8">
        <w:t>Naismith</w:t>
      </w:r>
      <w:r>
        <w:fldChar w:fldCharType="begin"/>
      </w:r>
      <w:r>
        <w:instrText xml:space="preserve"> XE "</w:instrText>
      </w:r>
      <w:r w:rsidRPr="007D3069">
        <w:rPr>
          <w:rFonts w:cs="Times New Roman"/>
          <w:szCs w:val="24"/>
        </w:rPr>
        <w:instrText>Naismith</w:instrText>
      </w:r>
      <w:r>
        <w:instrText xml:space="preserve">" </w:instrText>
      </w:r>
      <w:r>
        <w:fldChar w:fldCharType="end"/>
      </w:r>
      <w:r w:rsidRPr="00F320C8">
        <w:t xml:space="preserve">, </w:t>
      </w:r>
      <w:r>
        <w:t>(</w:t>
      </w:r>
      <w:r w:rsidRPr="00F320C8">
        <w:t>2012</w:t>
      </w:r>
      <w:r>
        <w:t>,</w:t>
      </w:r>
      <w:r w:rsidRPr="00F320C8">
        <w:t xml:space="preserve"> 247</w:t>
      </w:r>
      <w:r>
        <w:t>)</w:t>
      </w:r>
      <w:r w:rsidRPr="00F320C8">
        <w:t>.</w:t>
      </w:r>
    </w:p>
  </w:footnote>
  <w:footnote w:id="224">
    <w:p w14:paraId="08CC0E85" w14:textId="77777777" w:rsidR="000E1004" w:rsidRDefault="000E1004" w:rsidP="009F1496">
      <w:pPr>
        <w:pStyle w:val="FootnoteText"/>
      </w:pPr>
      <w:r>
        <w:rPr>
          <w:rStyle w:val="FootnoteReference"/>
        </w:rPr>
        <w:footnoteRef/>
      </w:r>
      <w:r>
        <w:t xml:space="preserve"> Booth (1997b, 26).</w:t>
      </w:r>
    </w:p>
  </w:footnote>
  <w:footnote w:id="225">
    <w:p w14:paraId="164C3B83" w14:textId="7949EA4C" w:rsidR="000E1004" w:rsidRDefault="000E1004" w:rsidP="003F22F2">
      <w:pPr>
        <w:pStyle w:val="FootnoteText"/>
      </w:pPr>
      <w:r>
        <w:rPr>
          <w:rStyle w:val="FootnoteReference"/>
        </w:rPr>
        <w:footnoteRef/>
      </w:r>
      <w:r>
        <w:t xml:space="preserve"> The economic outcomes are characterized at page </w:t>
      </w:r>
      <w:r>
        <w:fldChar w:fldCharType="begin"/>
      </w:r>
      <w:r>
        <w:instrText xml:space="preserve"> PAGEREF characterization \h </w:instrText>
      </w:r>
      <w:r>
        <w:fldChar w:fldCharType="separate"/>
      </w:r>
      <w:r w:rsidR="0012026B">
        <w:rPr>
          <w:noProof/>
        </w:rPr>
        <w:t>75</w:t>
      </w:r>
      <w:r>
        <w:fldChar w:fldCharType="end"/>
      </w:r>
      <w:r>
        <w:t>.</w:t>
      </w:r>
    </w:p>
  </w:footnote>
  <w:footnote w:id="226">
    <w:p w14:paraId="0593C27F" w14:textId="77777777" w:rsidR="000E1004" w:rsidRDefault="000E1004" w:rsidP="003F22F2">
      <w:pPr>
        <w:pStyle w:val="FootnoteText"/>
      </w:pPr>
      <w:r>
        <w:rPr>
          <w:rStyle w:val="FootnoteReference"/>
        </w:rPr>
        <w:footnoteRef/>
      </w:r>
      <w:r>
        <w:t xml:space="preserve"> Loveluck (2003, 154). Keys (1999, 254-72). Gunn </w:t>
      </w:r>
      <w:r w:rsidRPr="00587B34">
        <w:rPr>
          <w:i/>
        </w:rPr>
        <w:t>et al</w:t>
      </w:r>
      <w:r>
        <w:t xml:space="preserve"> (2000). </w:t>
      </w:r>
      <w:r w:rsidRPr="001478A1">
        <w:t>Gräslund</w:t>
      </w:r>
      <w:r>
        <w:t xml:space="preserve"> </w:t>
      </w:r>
      <w:r w:rsidRPr="001478A1">
        <w:t>and Price</w:t>
      </w:r>
      <w:r>
        <w:t xml:space="preserve"> (2015).</w:t>
      </w:r>
    </w:p>
  </w:footnote>
  <w:footnote w:id="227">
    <w:p w14:paraId="10993491" w14:textId="77777777" w:rsidR="000E1004" w:rsidRDefault="000E1004" w:rsidP="003F22F2">
      <w:pPr>
        <w:pStyle w:val="FootnoteText"/>
      </w:pPr>
      <w:r>
        <w:rPr>
          <w:rStyle w:val="FootnoteReference"/>
        </w:rPr>
        <w:footnoteRef/>
      </w:r>
      <w:r>
        <w:t xml:space="preserve"> Analogous to the recovery after the Black Death, Zeigler (1998, 240-59).</w:t>
      </w:r>
    </w:p>
  </w:footnote>
  <w:footnote w:id="228">
    <w:p w14:paraId="60825B84" w14:textId="75A0549C" w:rsidR="000E1004" w:rsidRDefault="000E1004" w:rsidP="003F22F2">
      <w:pPr>
        <w:pStyle w:val="FootnoteText"/>
      </w:pPr>
      <w:r>
        <w:rPr>
          <w:rStyle w:val="FootnoteReference"/>
        </w:rPr>
        <w:footnoteRef/>
      </w:r>
      <w:r>
        <w:t xml:space="preserve"> Blair (2005, 154 and </w:t>
      </w:r>
      <w:r>
        <w:rPr>
          <w:i/>
        </w:rPr>
        <w:t>fn.</w:t>
      </w:r>
      <w:r>
        <w:t xml:space="preserve"> 77).</w:t>
      </w:r>
    </w:p>
  </w:footnote>
  <w:footnote w:id="229">
    <w:p w14:paraId="03FDC3AE" w14:textId="350CB835" w:rsidR="000E1004" w:rsidRDefault="000E1004" w:rsidP="003F22F2">
      <w:pPr>
        <w:pStyle w:val="FootnoteText"/>
      </w:pPr>
      <w:r>
        <w:rPr>
          <w:rStyle w:val="FootnoteReference"/>
        </w:rPr>
        <w:footnoteRef/>
      </w:r>
      <w:r>
        <w:t xml:space="preserve"> Bloch (1961). </w:t>
      </w:r>
    </w:p>
  </w:footnote>
  <w:footnote w:id="230">
    <w:p w14:paraId="39488CD4" w14:textId="77777777" w:rsidR="000E1004" w:rsidRDefault="000E1004" w:rsidP="003F22F2">
      <w:pPr>
        <w:pStyle w:val="FootnoteText"/>
      </w:pPr>
      <w:r>
        <w:rPr>
          <w:rStyle w:val="FootnoteReference"/>
        </w:rPr>
        <w:footnoteRef/>
      </w:r>
      <w:r>
        <w:t xml:space="preserve"> Brown (1974) and Reynolds (1974).</w:t>
      </w:r>
    </w:p>
  </w:footnote>
  <w:footnote w:id="231">
    <w:p w14:paraId="60B694A7" w14:textId="014BE8EF" w:rsidR="000E1004" w:rsidRDefault="000E1004">
      <w:pPr>
        <w:pStyle w:val="FootnoteText"/>
      </w:pPr>
      <w:r>
        <w:rPr>
          <w:rStyle w:val="FootnoteReference"/>
        </w:rPr>
        <w:footnoteRef/>
      </w:r>
      <w:r>
        <w:t xml:space="preserve"> Haldenby (1990, 1992, 1994).</w:t>
      </w:r>
    </w:p>
  </w:footnote>
  <w:footnote w:id="232">
    <w:p w14:paraId="7D273934" w14:textId="1A0B4FB3" w:rsidR="000E1004" w:rsidRDefault="000E1004">
      <w:pPr>
        <w:pStyle w:val="FootnoteText"/>
      </w:pPr>
      <w:r>
        <w:rPr>
          <w:rStyle w:val="FootnoteReference"/>
        </w:rPr>
        <w:footnoteRef/>
      </w:r>
      <w:r>
        <w:t xml:space="preserve"> Haldenby and </w:t>
      </w:r>
      <w:r w:rsidRPr="002D31FD">
        <w:rPr>
          <w:rFonts w:asciiTheme="minorHAnsi" w:hAnsiTheme="minorHAnsi" w:cstheme="minorHAnsi"/>
        </w:rPr>
        <w:t>Richards (2009</w:t>
      </w:r>
      <w:r>
        <w:rPr>
          <w:rFonts w:asciiTheme="minorHAnsi" w:hAnsiTheme="minorHAnsi" w:cstheme="minorHAnsi"/>
        </w:rPr>
        <w:t xml:space="preserve">, 2010), </w:t>
      </w:r>
      <w:r w:rsidRPr="002D31FD">
        <w:rPr>
          <w:rFonts w:asciiTheme="minorHAnsi" w:hAnsiTheme="minorHAnsi" w:cstheme="minorHAnsi"/>
        </w:rPr>
        <w:t xml:space="preserve">Richards </w:t>
      </w:r>
      <w:r>
        <w:rPr>
          <w:rFonts w:asciiTheme="minorHAnsi" w:hAnsiTheme="minorHAnsi" w:cstheme="minorHAnsi"/>
        </w:rPr>
        <w:t xml:space="preserve">(1999a, 2000), and </w:t>
      </w:r>
      <w:r>
        <w:rPr>
          <w:rFonts w:asciiTheme="minorHAnsi" w:eastAsia="Times New Roman" w:hAnsiTheme="minorHAnsi" w:cstheme="minorHAnsi"/>
          <w:lang w:eastAsia="en-GB"/>
        </w:rPr>
        <w:t xml:space="preserve">Richards </w:t>
      </w:r>
      <w:r w:rsidRPr="002D31FD">
        <w:rPr>
          <w:rFonts w:asciiTheme="minorHAnsi" w:eastAsia="Times New Roman" w:hAnsiTheme="minorHAnsi" w:cstheme="minorHAnsi"/>
          <w:i/>
          <w:lang w:eastAsia="en-GB"/>
        </w:rPr>
        <w:t>et al</w:t>
      </w:r>
      <w:r>
        <w:rPr>
          <w:rFonts w:asciiTheme="minorHAnsi" w:eastAsia="Times New Roman" w:hAnsiTheme="minorHAnsi" w:cstheme="minorHAnsi"/>
          <w:lang w:eastAsia="en-GB"/>
        </w:rPr>
        <w:t xml:space="preserve"> (2013). These were </w:t>
      </w:r>
      <w:r w:rsidRPr="002D31FD">
        <w:rPr>
          <w:rFonts w:asciiTheme="minorHAnsi" w:eastAsia="Times New Roman" w:hAnsiTheme="minorHAnsi" w:cstheme="minorHAnsi"/>
          <w:lang w:eastAsia="en-GB"/>
        </w:rPr>
        <w:t xml:space="preserve">the first </w:t>
      </w:r>
      <w:r>
        <w:rPr>
          <w:rFonts w:asciiTheme="minorHAnsi" w:eastAsia="Times New Roman" w:hAnsiTheme="minorHAnsi" w:cstheme="minorHAnsi"/>
          <w:lang w:eastAsia="en-GB"/>
        </w:rPr>
        <w:t xml:space="preserve">metal-detected sites </w:t>
      </w:r>
      <w:r w:rsidRPr="002D31FD">
        <w:rPr>
          <w:rFonts w:asciiTheme="minorHAnsi" w:eastAsia="Times New Roman" w:hAnsiTheme="minorHAnsi" w:cstheme="minorHAnsi"/>
          <w:lang w:eastAsia="en-GB"/>
        </w:rPr>
        <w:t>in Northumbria to be subject of an archaeological excavation</w:t>
      </w:r>
      <w:r>
        <w:rPr>
          <w:rFonts w:asciiTheme="minorHAnsi" w:eastAsia="Times New Roman" w:hAnsiTheme="minorHAnsi" w:cstheme="minorHAnsi"/>
          <w:lang w:eastAsia="en-GB"/>
        </w:rPr>
        <w:t>.</w:t>
      </w:r>
    </w:p>
  </w:footnote>
  <w:footnote w:id="233">
    <w:p w14:paraId="5B2CBA61" w14:textId="40C73A99" w:rsidR="000E1004" w:rsidRPr="00BE71A6" w:rsidRDefault="000E1004" w:rsidP="00BE71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stheme="minorHAnsi"/>
          <w:color w:val="FF0000"/>
          <w:szCs w:val="24"/>
          <w:lang w:eastAsia="en-GB"/>
        </w:rPr>
      </w:pPr>
      <w:r w:rsidRPr="00A50686">
        <w:rPr>
          <w:rStyle w:val="FootnoteReference"/>
          <w:sz w:val="20"/>
          <w:szCs w:val="20"/>
        </w:rPr>
        <w:footnoteRef/>
      </w:r>
      <w:r>
        <w:t xml:space="preserve"> </w:t>
      </w:r>
      <w:r w:rsidRPr="00BE71A6">
        <w:rPr>
          <w:sz w:val="20"/>
          <w:szCs w:val="20"/>
        </w:rPr>
        <w:t xml:space="preserve">Culminating </w:t>
      </w:r>
      <w:r w:rsidRPr="00BE71A6">
        <w:rPr>
          <w:color w:val="000000" w:themeColor="text1"/>
          <w:sz w:val="20"/>
          <w:szCs w:val="20"/>
        </w:rPr>
        <w:t xml:space="preserve">in </w:t>
      </w:r>
      <w:r w:rsidRPr="00BE71A6">
        <w:rPr>
          <w:rFonts w:asciiTheme="minorHAnsi" w:eastAsia="Times New Roman" w:hAnsiTheme="minorHAnsi" w:cstheme="minorHAnsi"/>
          <w:color w:val="000000" w:themeColor="text1"/>
          <w:sz w:val="20"/>
          <w:szCs w:val="20"/>
          <w:lang w:eastAsia="en-GB"/>
        </w:rPr>
        <w:t>Richards</w:t>
      </w:r>
      <w:r>
        <w:rPr>
          <w:rFonts w:asciiTheme="minorHAnsi" w:eastAsia="Times New Roman" w:hAnsiTheme="minorHAnsi" w:cstheme="minorHAnsi"/>
          <w:color w:val="000000" w:themeColor="text1"/>
          <w:sz w:val="20"/>
          <w:szCs w:val="20"/>
          <w:lang w:eastAsia="en-GB"/>
        </w:rPr>
        <w:t xml:space="preserve"> </w:t>
      </w:r>
      <w:r w:rsidRPr="00BE71A6">
        <w:rPr>
          <w:rFonts w:asciiTheme="minorHAnsi" w:eastAsia="Times New Roman" w:hAnsiTheme="minorHAnsi" w:cstheme="minorHAnsi"/>
          <w:i/>
          <w:color w:val="000000" w:themeColor="text1"/>
          <w:sz w:val="20"/>
          <w:szCs w:val="20"/>
          <w:lang w:eastAsia="en-GB"/>
        </w:rPr>
        <w:t>et al</w:t>
      </w:r>
      <w:r w:rsidRPr="00BE71A6">
        <w:rPr>
          <w:rFonts w:asciiTheme="minorHAnsi" w:eastAsia="Times New Roman" w:hAnsiTheme="minorHAnsi" w:cstheme="minorHAnsi"/>
          <w:color w:val="000000" w:themeColor="text1"/>
          <w:sz w:val="20"/>
          <w:szCs w:val="20"/>
          <w:lang w:eastAsia="en-GB"/>
        </w:rPr>
        <w:t xml:space="preserve"> (2013, 201-271).</w:t>
      </w:r>
    </w:p>
  </w:footnote>
  <w:footnote w:id="234">
    <w:p w14:paraId="0A806205" w14:textId="5DC277EF" w:rsidR="000E1004" w:rsidRDefault="000E1004">
      <w:pPr>
        <w:pStyle w:val="FootnoteText"/>
      </w:pPr>
      <w:r>
        <w:rPr>
          <w:rStyle w:val="FootnoteReference"/>
        </w:rPr>
        <w:footnoteRef/>
      </w:r>
      <w:r>
        <w:t xml:space="preserve"> ‘Wics and Emporia: The Pre-Viking Trading Centres of Europe’. See Hill and Cowie (2001).</w:t>
      </w:r>
    </w:p>
  </w:footnote>
  <w:footnote w:id="235">
    <w:p w14:paraId="5607FD8D" w14:textId="04C605D9" w:rsidR="000E1004" w:rsidRDefault="000E1004">
      <w:pPr>
        <w:pStyle w:val="FootnoteText"/>
      </w:pPr>
      <w:r>
        <w:rPr>
          <w:rStyle w:val="FootnoteReference"/>
        </w:rPr>
        <w:footnoteRef/>
      </w:r>
      <w:r>
        <w:t xml:space="preserve"> ‘The Archaeology of Inland Markets Fairs and “Productive” Sites’, Worcester College, Oxford, December 2000.</w:t>
      </w:r>
    </w:p>
  </w:footnote>
  <w:footnote w:id="236">
    <w:p w14:paraId="4E54577A" w14:textId="2A172BC6" w:rsidR="000E1004" w:rsidRDefault="000E1004">
      <w:pPr>
        <w:pStyle w:val="FootnoteText"/>
      </w:pPr>
      <w:r>
        <w:rPr>
          <w:rStyle w:val="FootnoteReference"/>
        </w:rPr>
        <w:footnoteRef/>
      </w:r>
      <w:r>
        <w:t xml:space="preserve"> </w:t>
      </w:r>
      <w:r w:rsidRPr="00264C31">
        <w:rPr>
          <w:i/>
        </w:rPr>
        <w:t>P&amp;U</w:t>
      </w:r>
      <w:r>
        <w:t xml:space="preserve"> (2003, 1).</w:t>
      </w:r>
    </w:p>
  </w:footnote>
  <w:footnote w:id="237">
    <w:p w14:paraId="3B8BFC52" w14:textId="166A48A8" w:rsidR="000E1004" w:rsidRDefault="000E1004">
      <w:pPr>
        <w:pStyle w:val="FootnoteText"/>
      </w:pPr>
      <w:r>
        <w:rPr>
          <w:rStyle w:val="FootnoteReference"/>
        </w:rPr>
        <w:footnoteRef/>
      </w:r>
      <w:r w:rsidRPr="00264C31">
        <w:rPr>
          <w:i/>
        </w:rPr>
        <w:t xml:space="preserve"> P&amp;U </w:t>
      </w:r>
      <w:r>
        <w:t>(2003, 8).</w:t>
      </w:r>
    </w:p>
  </w:footnote>
  <w:footnote w:id="238">
    <w:p w14:paraId="279C8737" w14:textId="77777777" w:rsidR="000E1004" w:rsidRDefault="000E1004" w:rsidP="00CF4A76">
      <w:pPr>
        <w:pStyle w:val="FootnoteText"/>
      </w:pPr>
      <w:r>
        <w:rPr>
          <w:rStyle w:val="FootnoteReference"/>
        </w:rPr>
        <w:footnoteRef/>
      </w:r>
      <w:r>
        <w:t xml:space="preserve"> Blackburn (2003, 20-36).</w:t>
      </w:r>
    </w:p>
  </w:footnote>
  <w:footnote w:id="239">
    <w:p w14:paraId="3AFC115D" w14:textId="77777777" w:rsidR="000E1004" w:rsidRDefault="000E1004" w:rsidP="00CF4A76">
      <w:pPr>
        <w:pStyle w:val="FootnoteText"/>
      </w:pPr>
      <w:r>
        <w:rPr>
          <w:rStyle w:val="FootnoteReference"/>
        </w:rPr>
        <w:footnoteRef/>
      </w:r>
      <w:r>
        <w:t xml:space="preserve"> Metcalf (2003, 37-47).</w:t>
      </w:r>
    </w:p>
  </w:footnote>
  <w:footnote w:id="240">
    <w:p w14:paraId="5F5BD7AD" w14:textId="44533A88" w:rsidR="000E1004" w:rsidRDefault="000E1004">
      <w:pPr>
        <w:pStyle w:val="FootnoteText"/>
      </w:pPr>
      <w:r>
        <w:rPr>
          <w:rStyle w:val="FootnoteReference"/>
        </w:rPr>
        <w:footnoteRef/>
      </w:r>
      <w:r>
        <w:t xml:space="preserve"> Richards (1999, 79).</w:t>
      </w:r>
    </w:p>
  </w:footnote>
  <w:footnote w:id="241">
    <w:p w14:paraId="25FF0EF8" w14:textId="77777777" w:rsidR="000E1004" w:rsidRDefault="000E1004" w:rsidP="00CF4A76">
      <w:pPr>
        <w:pStyle w:val="FootnoteText"/>
      </w:pPr>
      <w:r>
        <w:rPr>
          <w:rStyle w:val="FootnoteReference"/>
        </w:rPr>
        <w:footnoteRef/>
      </w:r>
      <w:r>
        <w:t xml:space="preserve"> In </w:t>
      </w:r>
      <w:r>
        <w:rPr>
          <w:rFonts w:cs="Times New Roman"/>
        </w:rPr>
        <w:t>Geake and Kenny (2000), the result of a student conference</w:t>
      </w:r>
      <w:r>
        <w:t xml:space="preserve"> University of York Archaeological Society, June 1995.</w:t>
      </w:r>
    </w:p>
  </w:footnote>
  <w:footnote w:id="242">
    <w:p w14:paraId="52D4DE4E" w14:textId="2FADBF26" w:rsidR="000E1004" w:rsidRDefault="000E1004">
      <w:pPr>
        <w:pStyle w:val="FootnoteText"/>
      </w:pPr>
      <w:r>
        <w:rPr>
          <w:rStyle w:val="FootnoteReference"/>
        </w:rPr>
        <w:footnoteRef/>
      </w:r>
      <w:r>
        <w:t xml:space="preserve"> Richards (2000, 27-41).</w:t>
      </w:r>
    </w:p>
  </w:footnote>
  <w:footnote w:id="243">
    <w:p w14:paraId="4E27A4D0" w14:textId="12724F20" w:rsidR="000E1004" w:rsidRDefault="000E1004">
      <w:pPr>
        <w:pStyle w:val="FootnoteText"/>
      </w:pPr>
      <w:r>
        <w:rPr>
          <w:rStyle w:val="FootnoteReference"/>
        </w:rPr>
        <w:footnoteRef/>
      </w:r>
      <w:r>
        <w:t xml:space="preserve"> Leahy (2000, 51-82).</w:t>
      </w:r>
    </w:p>
  </w:footnote>
  <w:footnote w:id="244">
    <w:p w14:paraId="1C844F88" w14:textId="0B9599F0" w:rsidR="000E1004" w:rsidRDefault="000E1004" w:rsidP="007927DD">
      <w:pPr>
        <w:pStyle w:val="FootnoteText"/>
      </w:pPr>
      <w:r>
        <w:rPr>
          <w:rStyle w:val="FootnoteReference"/>
        </w:rPr>
        <w:footnoteRef/>
      </w:r>
      <w:r>
        <w:t xml:space="preserve"> Ulmschneider (2000, vi-vii &amp; 3).</w:t>
      </w:r>
    </w:p>
  </w:footnote>
  <w:footnote w:id="245">
    <w:p w14:paraId="136E7725" w14:textId="077AFF29" w:rsidR="000E1004" w:rsidRDefault="000E1004">
      <w:pPr>
        <w:pStyle w:val="FootnoteText"/>
      </w:pPr>
      <w:r>
        <w:rPr>
          <w:rStyle w:val="FootnoteReference"/>
        </w:rPr>
        <w:footnoteRef/>
      </w:r>
      <w:r>
        <w:t xml:space="preserve"> Ulmschneider (2000, 101-2).</w:t>
      </w:r>
    </w:p>
  </w:footnote>
  <w:footnote w:id="246">
    <w:p w14:paraId="7765B108" w14:textId="305364E4" w:rsidR="000E1004" w:rsidRDefault="000E1004">
      <w:pPr>
        <w:pStyle w:val="FootnoteText"/>
      </w:pPr>
      <w:r>
        <w:rPr>
          <w:rStyle w:val="FootnoteReference"/>
        </w:rPr>
        <w:footnoteRef/>
      </w:r>
      <w:r>
        <w:t xml:space="preserve"> Ulmschneider (2000, 103-5).</w:t>
      </w:r>
    </w:p>
  </w:footnote>
  <w:footnote w:id="247">
    <w:p w14:paraId="654C5719" w14:textId="00D4D71F" w:rsidR="000E1004" w:rsidRDefault="000E1004">
      <w:pPr>
        <w:pStyle w:val="FootnoteText"/>
      </w:pPr>
      <w:r>
        <w:rPr>
          <w:rStyle w:val="FootnoteReference"/>
        </w:rPr>
        <w:footnoteRef/>
      </w:r>
      <w:r>
        <w:t xml:space="preserve"> Ulmschneider (2000, 107).</w:t>
      </w:r>
    </w:p>
  </w:footnote>
  <w:footnote w:id="248">
    <w:p w14:paraId="055BB696" w14:textId="77777777" w:rsidR="000E1004" w:rsidRDefault="000E1004" w:rsidP="00874954">
      <w:pPr>
        <w:pStyle w:val="FootnoteText"/>
      </w:pPr>
      <w:r>
        <w:rPr>
          <w:rStyle w:val="FootnoteReference"/>
        </w:rPr>
        <w:footnoteRef/>
      </w:r>
      <w:r>
        <w:t xml:space="preserve"> Naylor (2004, 22 and Appendix 1).</w:t>
      </w:r>
    </w:p>
  </w:footnote>
  <w:footnote w:id="249">
    <w:p w14:paraId="2A78424E" w14:textId="77777777" w:rsidR="000E1004" w:rsidRDefault="000E1004" w:rsidP="00874954">
      <w:pPr>
        <w:pStyle w:val="FootnoteText"/>
      </w:pPr>
      <w:r>
        <w:rPr>
          <w:rStyle w:val="FootnoteReference"/>
        </w:rPr>
        <w:footnoteRef/>
      </w:r>
      <w:r>
        <w:t xml:space="preserve"> Naylor (2004, 80-2).</w:t>
      </w:r>
    </w:p>
  </w:footnote>
  <w:footnote w:id="250">
    <w:p w14:paraId="62946B72" w14:textId="77777777" w:rsidR="000E1004" w:rsidRDefault="000E1004" w:rsidP="00874954">
      <w:pPr>
        <w:pStyle w:val="FootnoteText"/>
      </w:pPr>
      <w:r>
        <w:rPr>
          <w:rStyle w:val="FootnoteReference"/>
        </w:rPr>
        <w:footnoteRef/>
      </w:r>
      <w:r>
        <w:t xml:space="preserve"> Naylor (2004, 133).</w:t>
      </w:r>
    </w:p>
  </w:footnote>
  <w:footnote w:id="251">
    <w:p w14:paraId="72EAEEB2" w14:textId="77777777" w:rsidR="000E1004" w:rsidRDefault="000E1004" w:rsidP="00874954">
      <w:pPr>
        <w:pStyle w:val="FootnoteText"/>
      </w:pPr>
      <w:r>
        <w:rPr>
          <w:rStyle w:val="FootnoteReference"/>
        </w:rPr>
        <w:footnoteRef/>
      </w:r>
      <w:r>
        <w:t xml:space="preserve"> Naylor (2004, 134).</w:t>
      </w:r>
    </w:p>
  </w:footnote>
  <w:footnote w:id="252">
    <w:p w14:paraId="25B3D596" w14:textId="2B170882" w:rsidR="000E1004" w:rsidRDefault="000E1004">
      <w:pPr>
        <w:pStyle w:val="FootnoteText"/>
      </w:pPr>
      <w:r>
        <w:rPr>
          <w:rStyle w:val="FootnoteReference"/>
        </w:rPr>
        <w:footnoteRef/>
      </w:r>
      <w:r>
        <w:t xml:space="preserve"> Building </w:t>
      </w:r>
      <w:r w:rsidRPr="00FC2AB2">
        <w:rPr>
          <w:rFonts w:asciiTheme="minorHAnsi" w:hAnsiTheme="minorHAnsi" w:cstheme="minorHAnsi"/>
        </w:rPr>
        <w:t xml:space="preserve">on </w:t>
      </w:r>
      <w:r w:rsidRPr="00FC2AB2">
        <w:rPr>
          <w:rFonts w:asciiTheme="minorHAnsi" w:hAnsiTheme="minorHAnsi" w:cstheme="minorHAnsi"/>
          <w:color w:val="000000"/>
        </w:rPr>
        <w:t xml:space="preserve">Hines and Bayliss </w:t>
      </w:r>
      <w:r>
        <w:rPr>
          <w:rFonts w:asciiTheme="minorHAnsi" w:hAnsiTheme="minorHAnsi" w:cstheme="minorHAnsi"/>
          <w:color w:val="000000"/>
        </w:rPr>
        <w:t>(</w:t>
      </w:r>
      <w:r w:rsidRPr="00FC2AB2">
        <w:rPr>
          <w:rFonts w:asciiTheme="minorHAnsi" w:hAnsiTheme="minorHAnsi" w:cstheme="minorHAnsi"/>
        </w:rPr>
        <w:t>2013</w:t>
      </w:r>
      <w:r>
        <w:rPr>
          <w:rFonts w:asciiTheme="minorHAnsi" w:hAnsiTheme="minorHAnsi" w:cstheme="minorHAnsi"/>
        </w:rPr>
        <w:t>)</w:t>
      </w:r>
      <w:r w:rsidRPr="00FC2AB2">
        <w:rPr>
          <w:rFonts w:asciiTheme="minorHAnsi" w:hAnsiTheme="minorHAnsi" w:cstheme="minorHAnsi"/>
        </w:rPr>
        <w:t>.</w:t>
      </w:r>
    </w:p>
  </w:footnote>
  <w:footnote w:id="253">
    <w:p w14:paraId="7206CADE" w14:textId="638FC48A" w:rsidR="000E1004" w:rsidRPr="00112FBB" w:rsidRDefault="000E1004" w:rsidP="0066180A">
      <w:pPr>
        <w:pStyle w:val="FootnoteText"/>
      </w:pPr>
      <w:r>
        <w:rPr>
          <w:rStyle w:val="FootnoteReference"/>
        </w:rPr>
        <w:footnoteRef/>
      </w:r>
      <w:r>
        <w:t xml:space="preserve"> Smith (</w:t>
      </w:r>
      <w:r>
        <w:rPr>
          <w:rFonts w:eastAsia="Times New Roman" w:cs="Times New Roman"/>
          <w:color w:val="000000"/>
          <w:szCs w:val="24"/>
          <w:lang w:eastAsia="en-GB"/>
        </w:rPr>
        <w:t>née Holas-Clarke</w:t>
      </w:r>
      <w:r w:rsidRPr="006E17B9">
        <w:rPr>
          <w:rFonts w:eastAsia="Times New Roman" w:cs="Times New Roman"/>
          <w:color w:val="000000"/>
          <w:szCs w:val="24"/>
          <w:lang w:eastAsia="en-GB"/>
        </w:rPr>
        <w:t xml:space="preserve">, </w:t>
      </w:r>
      <w:r>
        <w:t xml:space="preserve">2006, 110-8). </w:t>
      </w:r>
      <w:r w:rsidRPr="00112FBB">
        <w:rPr>
          <w:i/>
        </w:rPr>
        <w:t xml:space="preserve">Map </w:t>
      </w:r>
      <w:r>
        <w:rPr>
          <w:i/>
        </w:rPr>
        <w:t>2.07</w:t>
      </w:r>
      <w:r>
        <w:t xml:space="preserve"> gives a general picture of natural resources.</w:t>
      </w:r>
    </w:p>
  </w:footnote>
  <w:footnote w:id="254">
    <w:p w14:paraId="09A19672" w14:textId="77777777" w:rsidR="000E1004" w:rsidRDefault="000E1004" w:rsidP="0066180A">
      <w:pPr>
        <w:pStyle w:val="FootnoteText"/>
      </w:pPr>
      <w:r>
        <w:rPr>
          <w:rStyle w:val="FootnoteReference"/>
        </w:rPr>
        <w:footnoteRef/>
      </w:r>
      <w:r>
        <w:t xml:space="preserve"> </w:t>
      </w:r>
      <w:r w:rsidRPr="008A57D8">
        <w:rPr>
          <w:i/>
        </w:rPr>
        <w:t>Ibid</w:t>
      </w:r>
      <w:r>
        <w:t>. 119.</w:t>
      </w:r>
    </w:p>
  </w:footnote>
  <w:footnote w:id="255">
    <w:p w14:paraId="17154731" w14:textId="77777777" w:rsidR="000E1004" w:rsidRDefault="000E1004" w:rsidP="0066180A">
      <w:pPr>
        <w:pStyle w:val="FootnoteText"/>
      </w:pPr>
      <w:r>
        <w:rPr>
          <w:rStyle w:val="FootnoteReference"/>
        </w:rPr>
        <w:footnoteRef/>
      </w:r>
      <w:r>
        <w:t xml:space="preserve"> </w:t>
      </w:r>
      <w:r w:rsidRPr="008A57D8">
        <w:rPr>
          <w:i/>
        </w:rPr>
        <w:t>Ibid</w:t>
      </w:r>
      <w:r>
        <w:t xml:space="preserve"> 119.</w:t>
      </w:r>
    </w:p>
  </w:footnote>
  <w:footnote w:id="256">
    <w:p w14:paraId="2658E9FC" w14:textId="77777777" w:rsidR="000E1004" w:rsidRDefault="000E1004" w:rsidP="0066180A">
      <w:pPr>
        <w:pStyle w:val="FootnoteText"/>
      </w:pPr>
      <w:r>
        <w:rPr>
          <w:rStyle w:val="FootnoteReference"/>
        </w:rPr>
        <w:footnoteRef/>
      </w:r>
      <w:r>
        <w:t xml:space="preserve"> </w:t>
      </w:r>
      <w:r w:rsidRPr="008A57D8">
        <w:rPr>
          <w:i/>
        </w:rPr>
        <w:t>Ibid</w:t>
      </w:r>
      <w:r>
        <w:t xml:space="preserve"> 140. Hall (2003, 179).</w:t>
      </w:r>
    </w:p>
  </w:footnote>
  <w:footnote w:id="257">
    <w:p w14:paraId="3C153174" w14:textId="77777777" w:rsidR="000E1004" w:rsidRDefault="000E1004" w:rsidP="0066180A">
      <w:pPr>
        <w:pStyle w:val="FootnoteText"/>
      </w:pPr>
      <w:r>
        <w:rPr>
          <w:rStyle w:val="FootnoteReference"/>
        </w:rPr>
        <w:footnoteRef/>
      </w:r>
      <w:r>
        <w:t xml:space="preserve"> </w:t>
      </w:r>
      <w:r w:rsidRPr="008A57D8">
        <w:rPr>
          <w:i/>
        </w:rPr>
        <w:t>Ibid</w:t>
      </w:r>
      <w:r>
        <w:t xml:space="preserve"> 145.</w:t>
      </w:r>
    </w:p>
  </w:footnote>
  <w:footnote w:id="258">
    <w:p w14:paraId="1416FEDE" w14:textId="12673293" w:rsidR="000E1004" w:rsidRDefault="000E1004" w:rsidP="0066180A">
      <w:pPr>
        <w:pStyle w:val="FootnoteText"/>
      </w:pPr>
      <w:r>
        <w:rPr>
          <w:rStyle w:val="FootnoteReference"/>
        </w:rPr>
        <w:footnoteRef/>
      </w:r>
      <w:r>
        <w:t xml:space="preserve"> NB: there are many scraps of lead at </w:t>
      </w:r>
      <w:r w:rsidR="005F1EAF" w:rsidRPr="005F1EAF">
        <w:t>‘Site C’</w:t>
      </w:r>
      <w:r>
        <w:fldChar w:fldCharType="begin"/>
      </w:r>
      <w:r>
        <w:instrText xml:space="preserve"> XE "</w:instrText>
      </w:r>
      <w:r w:rsidRPr="004D76A0">
        <w:rPr>
          <w:rStyle w:val="Hyperlink"/>
          <w:rFonts w:eastAsia="Times New Roman"/>
          <w:noProof/>
          <w:lang w:eastAsia="en-GB"/>
        </w:rPr>
        <w:instrText>Bolton</w:instrText>
      </w:r>
      <w:r>
        <w:instrText xml:space="preserve">" </w:instrText>
      </w:r>
      <w:r>
        <w:fldChar w:fldCharType="end"/>
      </w:r>
      <w:r>
        <w:t>.</w:t>
      </w:r>
    </w:p>
  </w:footnote>
  <w:footnote w:id="259">
    <w:p w14:paraId="513C4850" w14:textId="77777777" w:rsidR="000E1004" w:rsidRDefault="000E1004" w:rsidP="0066180A">
      <w:pPr>
        <w:pStyle w:val="FootnoteText"/>
      </w:pPr>
      <w:r>
        <w:rPr>
          <w:rStyle w:val="FootnoteReference"/>
        </w:rPr>
        <w:footnoteRef/>
      </w:r>
      <w:r>
        <w:t xml:space="preserve"> </w:t>
      </w:r>
      <w:r w:rsidRPr="008A57D8">
        <w:rPr>
          <w:i/>
        </w:rPr>
        <w:t>Ibid</w:t>
      </w:r>
      <w:r>
        <w:t xml:space="preserve"> 119 and Loveluck (1996, 44-6). Workings were probably of a far larger scale at Ryther.</w:t>
      </w:r>
    </w:p>
  </w:footnote>
  <w:footnote w:id="260">
    <w:p w14:paraId="31F53427" w14:textId="77777777" w:rsidR="000E1004" w:rsidRDefault="000E1004" w:rsidP="003C0865">
      <w:pPr>
        <w:pStyle w:val="FootnoteText"/>
      </w:pPr>
      <w:r>
        <w:rPr>
          <w:rStyle w:val="FootnoteReference"/>
        </w:rPr>
        <w:footnoteRef/>
      </w:r>
      <w:r>
        <w:t xml:space="preserve"> Chester-Kadwell (2099, 164)</w:t>
      </w:r>
    </w:p>
  </w:footnote>
  <w:footnote w:id="261">
    <w:p w14:paraId="30C053E8" w14:textId="77777777" w:rsidR="000E1004" w:rsidRPr="002835A6" w:rsidRDefault="000E1004" w:rsidP="003F22F2">
      <w:pPr>
        <w:pStyle w:val="FootnoteText"/>
      </w:pPr>
      <w:r w:rsidRPr="002835A6">
        <w:rPr>
          <w:rStyle w:val="FootnoteReference"/>
        </w:rPr>
        <w:footnoteRef/>
      </w:r>
      <w:r w:rsidRPr="002835A6">
        <w:t xml:space="preserve"> </w:t>
      </w:r>
      <w:r w:rsidRPr="002835A6">
        <w:rPr>
          <w:rFonts w:asciiTheme="minorHAnsi" w:hAnsiTheme="minorHAnsi" w:cstheme="minorHAnsi"/>
        </w:rPr>
        <w:t>Brindle (2014, 21).</w:t>
      </w:r>
    </w:p>
  </w:footnote>
  <w:footnote w:id="262">
    <w:p w14:paraId="5D5FB4C9" w14:textId="77777777" w:rsidR="000E1004" w:rsidRDefault="000E1004" w:rsidP="003F22F2">
      <w:pPr>
        <w:pStyle w:val="FootnoteText"/>
      </w:pPr>
      <w:r w:rsidRPr="002835A6">
        <w:rPr>
          <w:rStyle w:val="FootnoteReference"/>
        </w:rPr>
        <w:footnoteRef/>
      </w:r>
      <w:r w:rsidRPr="002835A6">
        <w:t xml:space="preserve"> </w:t>
      </w:r>
      <w:r w:rsidRPr="002835A6">
        <w:rPr>
          <w:rFonts w:asciiTheme="minorHAnsi" w:hAnsiTheme="minorHAnsi" w:cstheme="minorHAnsi"/>
        </w:rPr>
        <w:t>Brindle (2014, 126).</w:t>
      </w:r>
    </w:p>
  </w:footnote>
  <w:footnote w:id="263">
    <w:p w14:paraId="3BA76421" w14:textId="77777777" w:rsidR="000E1004" w:rsidRPr="002835A6" w:rsidRDefault="000E1004" w:rsidP="003F22F2">
      <w:pPr>
        <w:pStyle w:val="FootnoteText"/>
      </w:pPr>
      <w:r w:rsidRPr="002835A6">
        <w:rPr>
          <w:rStyle w:val="FootnoteReference"/>
        </w:rPr>
        <w:footnoteRef/>
      </w:r>
      <w:r w:rsidRPr="002835A6">
        <w:t xml:space="preserve"> </w:t>
      </w:r>
      <w:r w:rsidRPr="002835A6">
        <w:rPr>
          <w:rFonts w:asciiTheme="minorHAnsi" w:hAnsiTheme="minorHAnsi" w:cstheme="minorHAnsi"/>
        </w:rPr>
        <w:t>Leonard (2015, 508).</w:t>
      </w:r>
    </w:p>
  </w:footnote>
  <w:footnote w:id="264">
    <w:p w14:paraId="3799B67E" w14:textId="77777777" w:rsidR="000E1004" w:rsidRDefault="000E1004" w:rsidP="000C263E">
      <w:pPr>
        <w:pStyle w:val="FootnoteText"/>
      </w:pPr>
      <w:r>
        <w:rPr>
          <w:rStyle w:val="FootnoteReference"/>
        </w:rPr>
        <w:footnoteRef/>
      </w:r>
      <w:r>
        <w:t xml:space="preserve"> Daubney (2016, 55).</w:t>
      </w:r>
    </w:p>
  </w:footnote>
  <w:footnote w:id="265">
    <w:p w14:paraId="70EC7EC9" w14:textId="47C2926C" w:rsidR="000E1004" w:rsidRDefault="000E1004">
      <w:pPr>
        <w:pStyle w:val="FootnoteText"/>
      </w:pPr>
      <w:r>
        <w:rPr>
          <w:rStyle w:val="FootnoteReference"/>
        </w:rPr>
        <w:footnoteRef/>
      </w:r>
      <w:r>
        <w:t xml:space="preserve"> Daubney (2016, 47-63).</w:t>
      </w:r>
    </w:p>
  </w:footnote>
  <w:footnote w:id="266">
    <w:p w14:paraId="4C4A1B86" w14:textId="23236DC4" w:rsidR="000E1004" w:rsidRDefault="000E1004">
      <w:pPr>
        <w:pStyle w:val="FootnoteText"/>
      </w:pPr>
      <w:r>
        <w:rPr>
          <w:rStyle w:val="FootnoteReference"/>
        </w:rPr>
        <w:footnoteRef/>
      </w:r>
      <w:r>
        <w:t xml:space="preserve"> Daubney (2016, 225-68).</w:t>
      </w:r>
    </w:p>
  </w:footnote>
  <w:footnote w:id="267">
    <w:p w14:paraId="1FB9090D" w14:textId="77777777" w:rsidR="000E1004" w:rsidRDefault="000E1004" w:rsidP="003F22F2">
      <w:pPr>
        <w:pStyle w:val="FootnoteText"/>
      </w:pPr>
      <w:r>
        <w:rPr>
          <w:rStyle w:val="FootnoteReference"/>
        </w:rPr>
        <w:footnoteRef/>
      </w:r>
      <w:r>
        <w:t xml:space="preserve"> </w:t>
      </w:r>
      <w:r w:rsidRPr="00500DED">
        <w:t>Robbins (2012).</w:t>
      </w:r>
    </w:p>
  </w:footnote>
  <w:footnote w:id="268">
    <w:p w14:paraId="189D0101" w14:textId="77777777" w:rsidR="000E1004" w:rsidRDefault="000E1004" w:rsidP="003F22F2">
      <w:pPr>
        <w:pStyle w:val="FootnoteText"/>
      </w:pPr>
      <w:r>
        <w:rPr>
          <w:rStyle w:val="FootnoteReference"/>
        </w:rPr>
        <w:footnoteRef/>
      </w:r>
      <w:r>
        <w:t xml:space="preserve"> Bevan (2012, 492).</w:t>
      </w:r>
    </w:p>
  </w:footnote>
  <w:footnote w:id="269">
    <w:p w14:paraId="5A3C4F90" w14:textId="77777777" w:rsidR="000E1004" w:rsidRDefault="000E1004" w:rsidP="003F22F2">
      <w:pPr>
        <w:pStyle w:val="FootnoteText"/>
      </w:pPr>
      <w:r>
        <w:rPr>
          <w:rStyle w:val="FootnoteReference"/>
        </w:rPr>
        <w:footnoteRef/>
      </w:r>
      <w:r>
        <w:t xml:space="preserve"> Bevan (2012, 496).</w:t>
      </w:r>
    </w:p>
  </w:footnote>
  <w:footnote w:id="270">
    <w:p w14:paraId="56C53D19" w14:textId="77777777" w:rsidR="000E1004" w:rsidRDefault="000E1004" w:rsidP="003F22F2">
      <w:pPr>
        <w:pStyle w:val="FootnoteText"/>
      </w:pPr>
      <w:r>
        <w:rPr>
          <w:rStyle w:val="FootnoteReference"/>
        </w:rPr>
        <w:footnoteRef/>
      </w:r>
      <w:r>
        <w:t xml:space="preserve"> Based on estimated Doomsday populations.</w:t>
      </w:r>
    </w:p>
  </w:footnote>
  <w:footnote w:id="271">
    <w:p w14:paraId="67C5D699" w14:textId="77777777" w:rsidR="000E1004" w:rsidRDefault="000E1004" w:rsidP="003F22F2">
      <w:pPr>
        <w:pStyle w:val="FootnoteText"/>
      </w:pPr>
      <w:r>
        <w:rPr>
          <w:rStyle w:val="FootnoteReference"/>
        </w:rPr>
        <w:footnoteRef/>
      </w:r>
      <w:r>
        <w:t xml:space="preserve"> Bevan (2012, 504).</w:t>
      </w:r>
    </w:p>
  </w:footnote>
  <w:footnote w:id="272">
    <w:p w14:paraId="2BC6A8B7" w14:textId="77777777" w:rsidR="000E1004" w:rsidRDefault="000E1004" w:rsidP="003F22F2">
      <w:pPr>
        <w:pStyle w:val="FootnoteText"/>
      </w:pPr>
      <w:r>
        <w:rPr>
          <w:rStyle w:val="FootnoteReference"/>
        </w:rPr>
        <w:footnoteRef/>
      </w:r>
      <w:r>
        <w:t xml:space="preserve"> </w:t>
      </w:r>
      <w:r>
        <w:rPr>
          <w:rFonts w:eastAsia="Times New Roman" w:cs="Times New Roman"/>
          <w:color w:val="000000" w:themeColor="text1"/>
          <w:szCs w:val="24"/>
          <w:lang w:eastAsia="en-GB"/>
        </w:rPr>
        <w:t>There was</w:t>
      </w:r>
      <w:r w:rsidRPr="007F3707">
        <w:rPr>
          <w:rFonts w:eastAsia="Times New Roman" w:cs="Times New Roman"/>
          <w:color w:val="000000" w:themeColor="text1"/>
          <w:szCs w:val="24"/>
          <w:lang w:eastAsia="en-GB"/>
        </w:rPr>
        <w:t xml:space="preserve"> no Brigantean </w:t>
      </w:r>
      <w:r>
        <w:rPr>
          <w:rFonts w:eastAsia="Times New Roman" w:cs="Times New Roman"/>
          <w:color w:val="000000" w:themeColor="text1"/>
          <w:szCs w:val="24"/>
          <w:lang w:eastAsia="en-GB"/>
        </w:rPr>
        <w:t>Iron Age coinage</w:t>
      </w:r>
      <w:r w:rsidRPr="007F3707">
        <w:rPr>
          <w:rFonts w:eastAsia="Times New Roman" w:cs="Times New Roman"/>
          <w:color w:val="000000" w:themeColor="text1"/>
          <w:szCs w:val="24"/>
          <w:lang w:eastAsia="en-GB"/>
        </w:rPr>
        <w:t>.</w:t>
      </w:r>
    </w:p>
  </w:footnote>
  <w:footnote w:id="273">
    <w:p w14:paraId="7F4334FD" w14:textId="77777777" w:rsidR="000E1004" w:rsidRPr="00376132" w:rsidRDefault="000E1004" w:rsidP="003F22F2">
      <w:pPr>
        <w:pStyle w:val="NoSpacing"/>
        <w:rPr>
          <w:sz w:val="20"/>
          <w:szCs w:val="20"/>
        </w:rPr>
      </w:pPr>
      <w:r w:rsidRPr="00376132">
        <w:rPr>
          <w:rStyle w:val="FootnoteReference"/>
        </w:rPr>
        <w:footnoteRef/>
      </w:r>
      <w:r w:rsidRPr="00A5130C">
        <w:rPr>
          <w:sz w:val="20"/>
          <w:szCs w:val="20"/>
        </w:rPr>
        <w:t xml:space="preserve"> </w:t>
      </w:r>
      <w:r>
        <w:rPr>
          <w:sz w:val="20"/>
          <w:szCs w:val="20"/>
        </w:rPr>
        <w:t>See H</w:t>
      </w:r>
      <w:r>
        <w:rPr>
          <w:rFonts w:cs="Times New Roman"/>
          <w:sz w:val="20"/>
          <w:szCs w:val="20"/>
        </w:rPr>
        <w:t>ä</w:t>
      </w:r>
      <w:r>
        <w:rPr>
          <w:sz w:val="20"/>
          <w:szCs w:val="20"/>
        </w:rPr>
        <w:t>rke (1997, 125-170) and Charles-Edwards (1997, 171-210) respectively for discussions of social structures and kinship.</w:t>
      </w:r>
    </w:p>
  </w:footnote>
  <w:footnote w:id="274">
    <w:p w14:paraId="404CBFCE" w14:textId="55794499" w:rsidR="000E1004" w:rsidRDefault="000E1004" w:rsidP="00170060">
      <w:pPr>
        <w:pStyle w:val="FootnoteText"/>
      </w:pPr>
      <w:r>
        <w:rPr>
          <w:rStyle w:val="FootnoteReference"/>
        </w:rPr>
        <w:footnoteRef/>
      </w:r>
      <w:r>
        <w:t xml:space="preserve"> See Skre (2008, 2011 and 2015) for Scandinavian monetisation beyond the range of this study.</w:t>
      </w:r>
    </w:p>
  </w:footnote>
  <w:footnote w:id="275">
    <w:p w14:paraId="12A3E169" w14:textId="77777777" w:rsidR="000E1004" w:rsidRDefault="000E1004" w:rsidP="007775E2">
      <w:pPr>
        <w:pStyle w:val="FootnoteText"/>
      </w:pPr>
      <w:r w:rsidRPr="00C468B3">
        <w:rPr>
          <w:rStyle w:val="FootnoteReference"/>
        </w:rPr>
        <w:footnoteRef/>
      </w:r>
      <w:r w:rsidRPr="00C468B3">
        <w:t xml:space="preserve"> See Attenborough</w:t>
      </w:r>
      <w:r>
        <w:t xml:space="preserve"> (1922).</w:t>
      </w:r>
      <w:r w:rsidRPr="00C468B3">
        <w:t xml:space="preserve"> </w:t>
      </w:r>
      <w:r>
        <w:t>Hill &amp; Cowie (2001, 111-2).</w:t>
      </w:r>
    </w:p>
    <w:p w14:paraId="340B38FC" w14:textId="23AE5BD9" w:rsidR="000E1004" w:rsidRPr="00C468B3" w:rsidRDefault="000E1004" w:rsidP="007775E2">
      <w:pPr>
        <w:pStyle w:val="FootnoteText"/>
      </w:pPr>
      <w:r>
        <w:t>Also</w:t>
      </w:r>
      <w:r w:rsidRPr="00C468B3">
        <w:t xml:space="preserve"> </w:t>
      </w:r>
      <w:r>
        <w:t xml:space="preserve">see </w:t>
      </w:r>
      <w:hyperlink r:id="rId1" w:anchor="page/4/mode/2up" w:history="1">
        <w:r w:rsidRPr="005B38AB">
          <w:rPr>
            <w:rStyle w:val="Hyperlink"/>
            <w:sz w:val="18"/>
            <w:szCs w:val="18"/>
          </w:rPr>
          <w:t>http://archive.org/stream/lawsofearliesten00grea#page/4/mode/2up</w:t>
        </w:r>
      </w:hyperlink>
    </w:p>
  </w:footnote>
  <w:footnote w:id="276">
    <w:p w14:paraId="2D95EC19" w14:textId="77777777" w:rsidR="000E1004" w:rsidRDefault="000E1004" w:rsidP="007775E2">
      <w:pPr>
        <w:pStyle w:val="FootnoteText"/>
      </w:pPr>
      <w:r>
        <w:rPr>
          <w:rStyle w:val="FootnoteReference"/>
        </w:rPr>
        <w:footnoteRef/>
      </w:r>
      <w:r>
        <w:t xml:space="preserve"> Referring to the relative compensation for the loss of thumbs, big toes and their nails. (Attenborough, 1922 [2012], 11-15)</w:t>
      </w:r>
    </w:p>
  </w:footnote>
  <w:footnote w:id="277">
    <w:p w14:paraId="6B8F38AC" w14:textId="77777777" w:rsidR="000E1004" w:rsidRPr="00177E70" w:rsidRDefault="000E1004" w:rsidP="007775E2">
      <w:pPr>
        <w:pStyle w:val="NoSpacing"/>
        <w:spacing w:line="276" w:lineRule="auto"/>
        <w:rPr>
          <w:sz w:val="20"/>
          <w:szCs w:val="20"/>
        </w:rPr>
      </w:pPr>
      <w:r w:rsidRPr="00177E70">
        <w:rPr>
          <w:rStyle w:val="FootnoteReference"/>
          <w:sz w:val="20"/>
          <w:szCs w:val="20"/>
        </w:rPr>
        <w:footnoteRef/>
      </w:r>
      <w:r w:rsidRPr="00177E70">
        <w:rPr>
          <w:sz w:val="20"/>
          <w:szCs w:val="20"/>
        </w:rPr>
        <w:t xml:space="preserve"> Oliver (2002, 82-3). Conventionally, the early medieval silver to gold</w:t>
      </w:r>
      <w:r w:rsidRPr="00177E70">
        <w:rPr>
          <w:sz w:val="20"/>
          <w:szCs w:val="20"/>
        </w:rPr>
        <w:fldChar w:fldCharType="begin"/>
      </w:r>
      <w:r w:rsidRPr="00177E70">
        <w:rPr>
          <w:sz w:val="20"/>
          <w:szCs w:val="20"/>
        </w:rPr>
        <w:instrText xml:space="preserve"> XE "</w:instrText>
      </w:r>
      <w:r w:rsidRPr="00177E70">
        <w:rPr>
          <w:rFonts w:eastAsia="Times New Roman" w:cs="Times New Roman"/>
          <w:sz w:val="20"/>
          <w:szCs w:val="20"/>
          <w:lang w:eastAsia="en-GB"/>
        </w:rPr>
        <w:instrText>gold</w:instrText>
      </w:r>
      <w:r w:rsidRPr="00177E70">
        <w:rPr>
          <w:sz w:val="20"/>
          <w:szCs w:val="20"/>
        </w:rPr>
        <w:instrText xml:space="preserve">" </w:instrText>
      </w:r>
      <w:r w:rsidRPr="00177E70">
        <w:rPr>
          <w:sz w:val="20"/>
          <w:szCs w:val="20"/>
        </w:rPr>
        <w:fldChar w:fldCharType="end"/>
      </w:r>
      <w:r w:rsidRPr="00177E70">
        <w:rPr>
          <w:sz w:val="20"/>
          <w:szCs w:val="20"/>
        </w:rPr>
        <w:t xml:space="preserve"> ratio by weight is taken to be a median value of 1:12. Spufford (1988, 51). The average weight for a gold shilling is around 1.30g, and for a primary sceat around 1.10g. See also </w:t>
      </w:r>
      <w:r w:rsidRPr="00177E70">
        <w:rPr>
          <w:rStyle w:val="Hyperlink"/>
          <w:color w:val="000000" w:themeColor="text1"/>
          <w:sz w:val="20"/>
          <w:szCs w:val="20"/>
          <w:u w:val="none"/>
        </w:rPr>
        <w:t>Naismith</w:t>
      </w:r>
      <w:r w:rsidRPr="00177E70">
        <w:rPr>
          <w:rStyle w:val="Hyperlink"/>
          <w:color w:val="000000" w:themeColor="text1"/>
          <w:sz w:val="20"/>
          <w:szCs w:val="20"/>
          <w:u w:val="none"/>
        </w:rPr>
        <w:fldChar w:fldCharType="begin"/>
      </w:r>
      <w:r w:rsidRPr="00177E70">
        <w:rPr>
          <w:sz w:val="20"/>
          <w:szCs w:val="20"/>
        </w:rPr>
        <w:instrText xml:space="preserve"> XE "</w:instrText>
      </w:r>
      <w:r w:rsidRPr="00177E70">
        <w:rPr>
          <w:rFonts w:cs="Times New Roman"/>
          <w:sz w:val="20"/>
          <w:szCs w:val="20"/>
        </w:rPr>
        <w:instrText>Naismith</w:instrText>
      </w:r>
      <w:r w:rsidRPr="00177E70">
        <w:rPr>
          <w:sz w:val="20"/>
          <w:szCs w:val="20"/>
        </w:rPr>
        <w:instrText xml:space="preserve">" </w:instrText>
      </w:r>
      <w:r w:rsidRPr="00177E70">
        <w:rPr>
          <w:rStyle w:val="Hyperlink"/>
          <w:color w:val="000000" w:themeColor="text1"/>
          <w:sz w:val="20"/>
          <w:szCs w:val="20"/>
          <w:u w:val="none"/>
        </w:rPr>
        <w:fldChar w:fldCharType="end"/>
      </w:r>
      <w:r w:rsidRPr="00177E70">
        <w:rPr>
          <w:rStyle w:val="Hyperlink"/>
          <w:color w:val="000000" w:themeColor="text1"/>
          <w:sz w:val="20"/>
          <w:szCs w:val="20"/>
          <w:u w:val="none"/>
        </w:rPr>
        <w:t xml:space="preserve"> (2014c, </w:t>
      </w:r>
      <w:r w:rsidRPr="00177E70">
        <w:rPr>
          <w:rFonts w:cs="Times New Roman"/>
          <w:sz w:val="20"/>
          <w:szCs w:val="20"/>
        </w:rPr>
        <w:t>275-7).</w:t>
      </w:r>
    </w:p>
  </w:footnote>
  <w:footnote w:id="278">
    <w:p w14:paraId="707E0429" w14:textId="568DC978" w:rsidR="000E1004" w:rsidRPr="00E06B45" w:rsidRDefault="000E1004" w:rsidP="007775E2">
      <w:pPr>
        <w:pStyle w:val="NoSpacing"/>
      </w:pPr>
      <w:r>
        <w:rPr>
          <w:rStyle w:val="FootnoteReference"/>
        </w:rPr>
        <w:footnoteRef/>
      </w:r>
      <w:r>
        <w:t xml:space="preserve"> </w:t>
      </w:r>
      <w:r w:rsidRPr="00E06B45">
        <w:rPr>
          <w:sz w:val="20"/>
          <w:szCs w:val="20"/>
        </w:rPr>
        <w:t>See Walbers</w:t>
      </w:r>
      <w:r>
        <w:rPr>
          <w:sz w:val="20"/>
          <w:szCs w:val="20"/>
        </w:rPr>
        <w:t xml:space="preserve"> (2012, Ch. 5, 235-99, esp. 289-92), giving</w:t>
      </w:r>
      <w:r w:rsidRPr="00E06B45">
        <w:rPr>
          <w:sz w:val="20"/>
          <w:szCs w:val="20"/>
        </w:rPr>
        <w:t xml:space="preserve"> some common values e.g</w:t>
      </w:r>
      <w:r>
        <w:rPr>
          <w:sz w:val="20"/>
          <w:szCs w:val="20"/>
        </w:rPr>
        <w:t>. a</w:t>
      </w:r>
      <w:r w:rsidRPr="00E06B45">
        <w:rPr>
          <w:sz w:val="20"/>
          <w:szCs w:val="20"/>
        </w:rPr>
        <w:t xml:space="preserve"> sheep costs </w:t>
      </w:r>
      <w:r>
        <w:rPr>
          <w:sz w:val="20"/>
          <w:szCs w:val="20"/>
        </w:rPr>
        <w:t xml:space="preserve">1 shilling = </w:t>
      </w:r>
      <w:r w:rsidRPr="00E06B45">
        <w:rPr>
          <w:sz w:val="20"/>
          <w:szCs w:val="20"/>
        </w:rPr>
        <w:t xml:space="preserve">4 </w:t>
      </w:r>
      <w:r>
        <w:rPr>
          <w:sz w:val="20"/>
          <w:szCs w:val="20"/>
        </w:rPr>
        <w:t>(</w:t>
      </w:r>
      <w:r w:rsidRPr="00E06B45">
        <w:rPr>
          <w:sz w:val="20"/>
          <w:szCs w:val="20"/>
        </w:rPr>
        <w:t>or 5</w:t>
      </w:r>
      <w:r>
        <w:rPr>
          <w:sz w:val="20"/>
          <w:szCs w:val="20"/>
        </w:rPr>
        <w:t>)</w:t>
      </w:r>
      <w:r w:rsidRPr="00E06B45">
        <w:rPr>
          <w:sz w:val="20"/>
          <w:szCs w:val="20"/>
        </w:rPr>
        <w:t xml:space="preserve"> pence.</w:t>
      </w:r>
      <w:r>
        <w:rPr>
          <w:sz w:val="20"/>
          <w:szCs w:val="20"/>
        </w:rPr>
        <w:t xml:space="preserve"> See page </w:t>
      </w:r>
      <w:r>
        <w:rPr>
          <w:sz w:val="20"/>
          <w:szCs w:val="20"/>
        </w:rPr>
        <w:fldChar w:fldCharType="begin"/>
      </w:r>
      <w:r>
        <w:rPr>
          <w:sz w:val="20"/>
          <w:szCs w:val="20"/>
        </w:rPr>
        <w:instrText xml:space="preserve"> PAGEREF Law \h </w:instrText>
      </w:r>
      <w:r>
        <w:rPr>
          <w:sz w:val="20"/>
          <w:szCs w:val="20"/>
        </w:rPr>
      </w:r>
      <w:r>
        <w:rPr>
          <w:sz w:val="20"/>
          <w:szCs w:val="20"/>
        </w:rPr>
        <w:fldChar w:fldCharType="separate"/>
      </w:r>
      <w:r w:rsidR="0012026B">
        <w:rPr>
          <w:noProof/>
          <w:sz w:val="20"/>
          <w:szCs w:val="20"/>
        </w:rPr>
        <w:t>60</w:t>
      </w:r>
      <w:r>
        <w:rPr>
          <w:sz w:val="20"/>
          <w:szCs w:val="20"/>
        </w:rPr>
        <w:fldChar w:fldCharType="end"/>
      </w:r>
      <w:r>
        <w:rPr>
          <w:sz w:val="20"/>
          <w:szCs w:val="20"/>
        </w:rPr>
        <w:t>.</w:t>
      </w:r>
    </w:p>
  </w:footnote>
  <w:footnote w:id="279">
    <w:p w14:paraId="2D728578" w14:textId="77777777" w:rsidR="000E1004" w:rsidRDefault="000E1004" w:rsidP="007775E2">
      <w:pPr>
        <w:pStyle w:val="FootnoteText"/>
      </w:pPr>
      <w:r>
        <w:rPr>
          <w:rStyle w:val="FootnoteReference"/>
        </w:rPr>
        <w:footnoteRef/>
      </w:r>
      <w:r>
        <w:t xml:space="preserve"> Attenborough (1922 [2012], 65, Alfred </w:t>
      </w:r>
      <w:r w:rsidRPr="00685545">
        <w:rPr>
          <w:szCs w:val="24"/>
        </w:rPr>
        <w:t>§</w:t>
      </w:r>
      <w:r>
        <w:t>3).</w:t>
      </w:r>
    </w:p>
  </w:footnote>
  <w:footnote w:id="280">
    <w:p w14:paraId="1D7707B7" w14:textId="77777777" w:rsidR="000E1004" w:rsidRDefault="000E1004" w:rsidP="007775E2">
      <w:pPr>
        <w:pStyle w:val="FootnoteText"/>
      </w:pPr>
      <w:r>
        <w:rPr>
          <w:rStyle w:val="FootnoteReference"/>
        </w:rPr>
        <w:footnoteRef/>
      </w:r>
      <w:r>
        <w:t xml:space="preserve"> Roebuck (2008, 105).</w:t>
      </w:r>
    </w:p>
  </w:footnote>
  <w:footnote w:id="281">
    <w:p w14:paraId="7A6FB704" w14:textId="77777777" w:rsidR="000E1004" w:rsidRDefault="000E1004" w:rsidP="007775E2">
      <w:pPr>
        <w:pStyle w:val="FootnoteText"/>
      </w:pPr>
      <w:r>
        <w:rPr>
          <w:rStyle w:val="FootnoteReference"/>
        </w:rPr>
        <w:footnoteRef/>
      </w:r>
      <w:r>
        <w:t xml:space="preserve"> Oliver (2002, 36).</w:t>
      </w:r>
    </w:p>
  </w:footnote>
  <w:footnote w:id="282">
    <w:p w14:paraId="2ACD15DB" w14:textId="77777777" w:rsidR="000E1004" w:rsidRDefault="000E1004" w:rsidP="007775E2">
      <w:pPr>
        <w:pStyle w:val="FootnoteText"/>
      </w:pPr>
      <w:r>
        <w:rPr>
          <w:rStyle w:val="FootnoteReference"/>
        </w:rPr>
        <w:footnoteRef/>
      </w:r>
      <w:r>
        <w:t xml:space="preserve"> Oliver (2002, 86).</w:t>
      </w:r>
    </w:p>
  </w:footnote>
  <w:footnote w:id="283">
    <w:p w14:paraId="18CC40B6" w14:textId="77777777" w:rsidR="000E1004" w:rsidRDefault="000E1004" w:rsidP="007775E2">
      <w:pPr>
        <w:pStyle w:val="FootnoteText"/>
      </w:pPr>
      <w:r>
        <w:rPr>
          <w:rStyle w:val="FootnoteReference"/>
        </w:rPr>
        <w:footnoteRef/>
      </w:r>
      <w:r>
        <w:t xml:space="preserve"> Oliver (2002, 90).</w:t>
      </w:r>
    </w:p>
  </w:footnote>
  <w:footnote w:id="284">
    <w:p w14:paraId="6EDB4AE6" w14:textId="77777777" w:rsidR="000E1004" w:rsidRPr="00C1469B" w:rsidRDefault="000E1004" w:rsidP="007775E2">
      <w:pPr>
        <w:autoSpaceDE w:val="0"/>
        <w:autoSpaceDN w:val="0"/>
        <w:adjustRightInd w:val="0"/>
        <w:spacing w:after="0"/>
        <w:rPr>
          <w:szCs w:val="24"/>
        </w:rPr>
      </w:pPr>
      <w:r>
        <w:rPr>
          <w:rStyle w:val="FootnoteReference"/>
        </w:rPr>
        <w:footnoteRef/>
      </w:r>
      <w:r>
        <w:t xml:space="preserve"> </w:t>
      </w:r>
      <w:r>
        <w:rPr>
          <w:sz w:val="20"/>
          <w:szCs w:val="20"/>
        </w:rPr>
        <w:t>Oliver (2002,</w:t>
      </w:r>
      <w:r w:rsidRPr="00C1469B">
        <w:rPr>
          <w:sz w:val="20"/>
          <w:szCs w:val="20"/>
        </w:rPr>
        <w:t xml:space="preserve"> 25-36</w:t>
      </w:r>
      <w:r>
        <w:rPr>
          <w:sz w:val="20"/>
          <w:szCs w:val="20"/>
        </w:rPr>
        <w:t xml:space="preserve">) </w:t>
      </w:r>
      <w:r w:rsidRPr="00C1469B">
        <w:rPr>
          <w:sz w:val="20"/>
          <w:szCs w:val="20"/>
        </w:rPr>
        <w:t>demonstrates orality from linguistic grounds.</w:t>
      </w:r>
    </w:p>
  </w:footnote>
  <w:footnote w:id="285">
    <w:p w14:paraId="6DD55004" w14:textId="1876E1A1" w:rsidR="000E1004" w:rsidRDefault="000E1004" w:rsidP="007775E2">
      <w:pPr>
        <w:pStyle w:val="FootnoteText"/>
      </w:pPr>
      <w:r>
        <w:rPr>
          <w:rStyle w:val="FootnoteReference"/>
        </w:rPr>
        <w:footnoteRef/>
      </w:r>
      <w:r>
        <w:t xml:space="preserve"> </w:t>
      </w:r>
      <w:r w:rsidRPr="00C1469B">
        <w:t xml:space="preserve">It is worth noting that many of the laws </w:t>
      </w:r>
      <w:r>
        <w:t xml:space="preserve">and the structure of compensation </w:t>
      </w:r>
      <w:r w:rsidRPr="00C1469B">
        <w:t>are not dissimilar to pre-biblical codes</w:t>
      </w:r>
      <w:r>
        <w:t xml:space="preserve"> e.g.: </w:t>
      </w:r>
      <w:hyperlink r:id="rId2" w:history="1">
        <w:r w:rsidRPr="001B5FD3">
          <w:rPr>
            <w:rStyle w:val="Hyperlink"/>
          </w:rPr>
          <w:t>http://www.historyfiles.co.uk/KingListsMiddEast/MesopotamiaEshnunna.htm</w:t>
        </w:r>
      </w:hyperlink>
      <w:r>
        <w:t xml:space="preserve"> </w:t>
      </w:r>
    </w:p>
  </w:footnote>
  <w:footnote w:id="286">
    <w:p w14:paraId="2B6B8A0A" w14:textId="77777777" w:rsidR="000E1004" w:rsidRDefault="000E1004" w:rsidP="007775E2">
      <w:pPr>
        <w:pStyle w:val="FootnoteText"/>
      </w:pPr>
      <w:r>
        <w:rPr>
          <w:rStyle w:val="FootnoteReference"/>
        </w:rPr>
        <w:footnoteRef/>
      </w:r>
      <w:r>
        <w:t xml:space="preserve"> Hlothere and Eadric </w:t>
      </w:r>
      <w:r w:rsidRPr="00685545">
        <w:rPr>
          <w:szCs w:val="24"/>
        </w:rPr>
        <w:t>§</w:t>
      </w:r>
      <w:r w:rsidRPr="00B9334C">
        <w:t>15:</w:t>
      </w:r>
      <w:r>
        <w:t xml:space="preserve"> </w:t>
      </w:r>
      <w:r w:rsidRPr="008D27D8">
        <w:t>A host has responsibility for a stranger’s behaviour.</w:t>
      </w:r>
    </w:p>
  </w:footnote>
  <w:footnote w:id="287">
    <w:p w14:paraId="579B5A5A" w14:textId="77777777" w:rsidR="000E1004" w:rsidRDefault="000E1004" w:rsidP="007775E2">
      <w:pPr>
        <w:pStyle w:val="FootnoteText"/>
      </w:pPr>
      <w:r>
        <w:rPr>
          <w:rStyle w:val="FootnoteReference"/>
        </w:rPr>
        <w:footnoteRef/>
      </w:r>
      <w:r>
        <w:t xml:space="preserve"> Roebuck (2008, 125).</w:t>
      </w:r>
    </w:p>
  </w:footnote>
  <w:footnote w:id="288">
    <w:p w14:paraId="7DE61BCA" w14:textId="48A2B688" w:rsidR="000E1004" w:rsidRDefault="000E1004" w:rsidP="007775E2">
      <w:pPr>
        <w:pStyle w:val="FootnoteText"/>
      </w:pPr>
      <w:r>
        <w:rPr>
          <w:rStyle w:val="FootnoteReference"/>
        </w:rPr>
        <w:footnoteRef/>
      </w:r>
      <w:r>
        <w:t xml:space="preserve"> See page </w:t>
      </w:r>
      <w:r>
        <w:fldChar w:fldCharType="begin"/>
      </w:r>
      <w:r>
        <w:instrText xml:space="preserve"> PAGEREF Kentishshilling \h </w:instrText>
      </w:r>
      <w:r>
        <w:fldChar w:fldCharType="separate"/>
      </w:r>
      <w:r w:rsidR="0012026B">
        <w:rPr>
          <w:noProof/>
        </w:rPr>
        <w:t>64</w:t>
      </w:r>
      <w:r>
        <w:fldChar w:fldCharType="end"/>
      </w:r>
      <w:r>
        <w:t xml:space="preserve"> on the relative values of shillings of Kent and Wessex.</w:t>
      </w:r>
    </w:p>
  </w:footnote>
  <w:footnote w:id="289">
    <w:p w14:paraId="7FC50033" w14:textId="77777777" w:rsidR="000E1004" w:rsidRPr="00C550FB" w:rsidRDefault="000E1004" w:rsidP="007775E2">
      <w:pPr>
        <w:pStyle w:val="FootnoteText"/>
      </w:pPr>
      <w:r w:rsidRPr="00C550FB">
        <w:rPr>
          <w:rStyle w:val="FootnoteReference"/>
        </w:rPr>
        <w:footnoteRef/>
      </w:r>
      <w:r>
        <w:t xml:space="preserve"> P</w:t>
      </w:r>
      <w:r w:rsidRPr="00C550FB">
        <w:t>reserved by attachment to the law code of Alfred the Great (871-99)</w:t>
      </w:r>
    </w:p>
  </w:footnote>
  <w:footnote w:id="290">
    <w:p w14:paraId="43A5B36A" w14:textId="25414B3C" w:rsidR="000E1004" w:rsidRDefault="000E1004" w:rsidP="007775E2">
      <w:pPr>
        <w:autoSpaceDE w:val="0"/>
        <w:autoSpaceDN w:val="0"/>
        <w:adjustRightInd w:val="0"/>
        <w:spacing w:after="0"/>
      </w:pPr>
      <w:r w:rsidRPr="00F45279">
        <w:rPr>
          <w:rStyle w:val="FootnoteReference"/>
          <w:sz w:val="20"/>
          <w:szCs w:val="20"/>
        </w:rPr>
        <w:footnoteRef/>
      </w:r>
      <w:r w:rsidRPr="00F45279">
        <w:rPr>
          <w:sz w:val="20"/>
          <w:szCs w:val="20"/>
        </w:rPr>
        <w:t xml:space="preserve"> </w:t>
      </w:r>
      <w:r>
        <w:rPr>
          <w:rStyle w:val="citation"/>
          <w:sz w:val="20"/>
          <w:szCs w:val="20"/>
        </w:rPr>
        <w:t>Drew</w:t>
      </w:r>
      <w:r w:rsidRPr="00FA61F7">
        <w:rPr>
          <w:rStyle w:val="citation"/>
          <w:sz w:val="20"/>
          <w:szCs w:val="20"/>
        </w:rPr>
        <w:t xml:space="preserve"> (1991).</w:t>
      </w:r>
      <w:r w:rsidRPr="00A528E1">
        <w:rPr>
          <w:rStyle w:val="citation"/>
          <w:i/>
        </w:rPr>
        <w:t xml:space="preserve"> </w:t>
      </w:r>
      <w:r w:rsidRPr="00A528E1">
        <w:rPr>
          <w:i/>
          <w:sz w:val="20"/>
          <w:szCs w:val="20"/>
        </w:rPr>
        <w:t>Pactus Legis Salicae</w:t>
      </w:r>
      <w:r w:rsidRPr="00144ABD">
        <w:rPr>
          <w:sz w:val="20"/>
          <w:szCs w:val="20"/>
        </w:rPr>
        <w:t xml:space="preserve"> 209 &amp; 216-225: </w:t>
      </w:r>
      <w:hyperlink r:id="rId3" w:history="1">
        <w:r w:rsidRPr="00144ABD">
          <w:rPr>
            <w:rStyle w:val="Hyperlink"/>
            <w:sz w:val="20"/>
            <w:szCs w:val="20"/>
          </w:rPr>
          <w:t>http://en.wikipedia.org/wiki/Salic_law</w:t>
        </w:r>
      </w:hyperlink>
    </w:p>
  </w:footnote>
  <w:footnote w:id="291">
    <w:p w14:paraId="46E0D255" w14:textId="77777777" w:rsidR="000E1004" w:rsidRDefault="000E1004" w:rsidP="007775E2">
      <w:pPr>
        <w:pStyle w:val="FootnoteText"/>
      </w:pPr>
      <w:r>
        <w:rPr>
          <w:rStyle w:val="FootnoteReference"/>
        </w:rPr>
        <w:footnoteRef/>
      </w:r>
      <w:r>
        <w:t xml:space="preserve"> Sawyer (2013, 46-7).</w:t>
      </w:r>
    </w:p>
  </w:footnote>
  <w:footnote w:id="292">
    <w:p w14:paraId="39F1E524" w14:textId="77777777" w:rsidR="000E1004" w:rsidRDefault="000E1004" w:rsidP="007775E2">
      <w:pPr>
        <w:pStyle w:val="FootnoteText"/>
      </w:pPr>
      <w:r>
        <w:rPr>
          <w:rStyle w:val="FootnoteReference"/>
        </w:rPr>
        <w:footnoteRef/>
      </w:r>
      <w:r>
        <w:t xml:space="preserve"> Roebuck (2008, 107).</w:t>
      </w:r>
    </w:p>
  </w:footnote>
  <w:footnote w:id="293">
    <w:p w14:paraId="0FF05CE3" w14:textId="77777777" w:rsidR="000E1004" w:rsidRPr="00D31568" w:rsidRDefault="000E1004" w:rsidP="007775E2">
      <w:pPr>
        <w:pStyle w:val="FootnoteText"/>
      </w:pPr>
      <w:r w:rsidRPr="00B939F9">
        <w:rPr>
          <w:rStyle w:val="FootnoteReference"/>
        </w:rPr>
        <w:footnoteRef/>
      </w:r>
      <w:r w:rsidRPr="00B939F9">
        <w:t xml:space="preserve"> </w:t>
      </w:r>
      <w:r w:rsidRPr="00D31568">
        <w:t>Hines (2010</w:t>
      </w:r>
      <w:r>
        <w:t>,</w:t>
      </w:r>
      <w:r w:rsidRPr="00D31568">
        <w:t xml:space="preserve"> 162</w:t>
      </w:r>
      <w:r>
        <w:t>)</w:t>
      </w:r>
      <w:r w:rsidRPr="00D31568">
        <w:t>.</w:t>
      </w:r>
    </w:p>
  </w:footnote>
  <w:footnote w:id="294">
    <w:p w14:paraId="13283CE5" w14:textId="1898C8CA" w:rsidR="000E1004" w:rsidRDefault="000E1004" w:rsidP="007775E2">
      <w:pPr>
        <w:pStyle w:val="FootnoteText"/>
      </w:pPr>
      <w:r w:rsidRPr="00D31568">
        <w:rPr>
          <w:rStyle w:val="FootnoteReference"/>
        </w:rPr>
        <w:footnoteRef/>
      </w:r>
      <w:r>
        <w:t xml:space="preserve"> Scull (1990,</w:t>
      </w:r>
      <w:r w:rsidRPr="00D31568">
        <w:t xml:space="preserve"> 183-215</w:t>
      </w:r>
      <w:r>
        <w:t>)</w:t>
      </w:r>
      <w:r w:rsidRPr="00D31568">
        <w:t>.</w:t>
      </w:r>
      <w:r>
        <w:t xml:space="preserve"> At the Richard Hall Symposium, 12</w:t>
      </w:r>
      <w:r w:rsidRPr="006865FF">
        <w:rPr>
          <w:vertAlign w:val="superscript"/>
        </w:rPr>
        <w:t xml:space="preserve">st </w:t>
      </w:r>
      <w:r>
        <w:t xml:space="preserve">February 2016, Gareth Williams argued convincingly that English weights were not standardized but were merchant-specific. See </w:t>
      </w:r>
      <w:r>
        <w:rPr>
          <w:i/>
        </w:rPr>
        <w:t>fn.</w:t>
      </w:r>
      <w:r>
        <w:t xml:space="preserve"> </w:t>
      </w:r>
      <w:r>
        <w:fldChar w:fldCharType="begin"/>
      </w:r>
      <w:r>
        <w:instrText xml:space="preserve"> NOTEREF _Ref443892316 \h </w:instrText>
      </w:r>
      <w:r>
        <w:fldChar w:fldCharType="separate"/>
      </w:r>
      <w:r w:rsidR="0012026B">
        <w:t>1034</w:t>
      </w:r>
      <w:r>
        <w:fldChar w:fldCharType="end"/>
      </w:r>
      <w:r>
        <w:t>.</w:t>
      </w:r>
    </w:p>
  </w:footnote>
  <w:footnote w:id="295">
    <w:p w14:paraId="09B4DB29" w14:textId="77777777" w:rsidR="000E1004" w:rsidRDefault="000E1004" w:rsidP="007775E2">
      <w:pPr>
        <w:pStyle w:val="FootnoteText"/>
      </w:pPr>
      <w:r w:rsidRPr="00B939F9">
        <w:rPr>
          <w:rStyle w:val="FootnoteReference"/>
        </w:rPr>
        <w:footnoteRef/>
      </w:r>
      <w:r w:rsidRPr="00B939F9">
        <w:t xml:space="preserve"> Hines (2010</w:t>
      </w:r>
      <w:r>
        <w:t>,</w:t>
      </w:r>
      <w:r w:rsidRPr="00B939F9">
        <w:t xml:space="preserve"> 154-6</w:t>
      </w:r>
      <w:r>
        <w:t>)</w:t>
      </w:r>
      <w:r w:rsidRPr="00B939F9">
        <w:t>.</w:t>
      </w:r>
    </w:p>
  </w:footnote>
  <w:footnote w:id="296">
    <w:p w14:paraId="7A486FAF" w14:textId="77777777" w:rsidR="000E1004" w:rsidRPr="00423752" w:rsidRDefault="000E1004" w:rsidP="007775E2">
      <w:pPr>
        <w:pStyle w:val="FootnoteText"/>
      </w:pPr>
      <w:r w:rsidRPr="00423752">
        <w:rPr>
          <w:rStyle w:val="FootnoteReference"/>
        </w:rPr>
        <w:footnoteRef/>
      </w:r>
      <w:r w:rsidRPr="00423752">
        <w:t xml:space="preserve"> Garmonsway</w:t>
      </w:r>
      <w:r>
        <w:t xml:space="preserve"> (1953)</w:t>
      </w:r>
      <w:r w:rsidRPr="00423752">
        <w:t xml:space="preserve">:  '694. In this year the Kentishmen came to terms with Ine and gave him 'thirty thousands' because they had burnt Mul to death.' Also: </w:t>
      </w:r>
      <w:r w:rsidRPr="00A528E1">
        <w:rPr>
          <w:i/>
        </w:rPr>
        <w:t>MEC</w:t>
      </w:r>
      <w:r w:rsidRPr="00423752">
        <w:t xml:space="preserve"> </w:t>
      </w:r>
      <w:r>
        <w:t xml:space="preserve">(1986, </w:t>
      </w:r>
      <w:r w:rsidRPr="00423752">
        <w:t>186</w:t>
      </w:r>
      <w:r>
        <w:t>)</w:t>
      </w:r>
      <w:r w:rsidRPr="00423752">
        <w:t>.</w:t>
      </w:r>
      <w:r>
        <w:t xml:space="preserve"> [Michael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w:t>
      </w:r>
      <w:r w:rsidRPr="00AD1B1C">
        <w:rPr>
          <w:i/>
        </w:rPr>
        <w:t>pers. comm.</w:t>
      </w:r>
      <w:r w:rsidRPr="00AD1B1C">
        <w:t>]</w:t>
      </w:r>
    </w:p>
  </w:footnote>
  <w:footnote w:id="297">
    <w:p w14:paraId="47F18AD4" w14:textId="2D793221" w:rsidR="000E1004" w:rsidRDefault="000E1004" w:rsidP="007775E2">
      <w:pPr>
        <w:pStyle w:val="FootnoteText"/>
      </w:pPr>
      <w:r>
        <w:rPr>
          <w:rStyle w:val="FootnoteReference"/>
        </w:rPr>
        <w:footnoteRef/>
      </w:r>
      <w:r>
        <w:t xml:space="preserve"> See </w:t>
      </w:r>
      <w:r w:rsidRPr="008352EE">
        <w:rPr>
          <w:i/>
        </w:rPr>
        <w:t>Case Study 1 - York</w:t>
      </w:r>
      <w:r>
        <w:rPr>
          <w:i/>
        </w:rPr>
        <w:fldChar w:fldCharType="begin"/>
      </w:r>
      <w:r>
        <w:instrText xml:space="preserve"> XE "</w:instrText>
      </w:r>
      <w:r w:rsidRPr="00F1328A">
        <w:rPr>
          <w:rStyle w:val="Hyperlink"/>
          <w:noProof/>
        </w:rPr>
        <w:instrText>York</w:instrText>
      </w:r>
      <w:r>
        <w:instrText xml:space="preserve">" </w:instrText>
      </w:r>
      <w:r>
        <w:rPr>
          <w:i/>
        </w:rPr>
        <w:fldChar w:fldCharType="end"/>
      </w:r>
      <w:r w:rsidRPr="008352EE">
        <w:rPr>
          <w:i/>
        </w:rPr>
        <w:t xml:space="preserve"> and its environs new</w:t>
      </w:r>
      <w:r>
        <w:t xml:space="preserve"> (</w:t>
      </w:r>
      <w:r>
        <w:fldChar w:fldCharType="begin"/>
      </w:r>
      <w:r>
        <w:instrText xml:space="preserve"> PAGEREF TheValeofYork \h </w:instrText>
      </w:r>
      <w:r>
        <w:fldChar w:fldCharType="separate"/>
      </w:r>
      <w:r w:rsidR="0012026B">
        <w:rPr>
          <w:noProof/>
        </w:rPr>
        <w:t>211</w:t>
      </w:r>
      <w:r>
        <w:fldChar w:fldCharType="end"/>
      </w:r>
      <w:r>
        <w:t>).</w:t>
      </w:r>
    </w:p>
  </w:footnote>
  <w:footnote w:id="298">
    <w:p w14:paraId="1867C368" w14:textId="77777777" w:rsidR="000E1004" w:rsidRPr="0060442A" w:rsidRDefault="000E1004" w:rsidP="007775E2">
      <w:pPr>
        <w:pStyle w:val="FootnoteText"/>
      </w:pPr>
      <w:r w:rsidRPr="0060442A">
        <w:rPr>
          <w:rStyle w:val="FootnoteReference"/>
        </w:rPr>
        <w:footnoteRef/>
      </w:r>
      <w:r>
        <w:t xml:space="preserve"> Hines (2010,</w:t>
      </w:r>
      <w:r w:rsidRPr="0060442A">
        <w:t xml:space="preserve"> 159-161</w:t>
      </w:r>
      <w:r>
        <w:t>)</w:t>
      </w:r>
      <w:r w:rsidRPr="0060442A">
        <w:t xml:space="preserve">. </w:t>
      </w:r>
      <w:r w:rsidRPr="0060442A">
        <w:rPr>
          <w:i/>
        </w:rPr>
        <w:t>MEC</w:t>
      </w:r>
      <w:r w:rsidRPr="0060442A">
        <w:t xml:space="preserve"> </w:t>
      </w:r>
      <w:r>
        <w:t>(1986,</w:t>
      </w:r>
      <w:r w:rsidRPr="006D7168">
        <w:t xml:space="preserve"> </w:t>
      </w:r>
      <w:r w:rsidRPr="0060442A">
        <w:t>157</w:t>
      </w:r>
      <w:r>
        <w:t>)</w:t>
      </w:r>
      <w:r w:rsidRPr="0060442A">
        <w:t>.</w:t>
      </w:r>
    </w:p>
  </w:footnote>
  <w:footnote w:id="299">
    <w:p w14:paraId="5FC01ED5" w14:textId="77777777" w:rsidR="000E1004" w:rsidRPr="00606017" w:rsidRDefault="000E1004" w:rsidP="007775E2">
      <w:pPr>
        <w:pStyle w:val="FootnoteText"/>
      </w:pPr>
      <w:r w:rsidRPr="00606017">
        <w:rPr>
          <w:rStyle w:val="FootnoteReference"/>
        </w:rPr>
        <w:footnoteRef/>
      </w:r>
      <w:r w:rsidRPr="00606017">
        <w:t xml:space="preserve"> H</w:t>
      </w:r>
      <w:r>
        <w:t>in</w:t>
      </w:r>
      <w:r w:rsidRPr="00606017">
        <w:t>e</w:t>
      </w:r>
      <w:r>
        <w:t>s (2014,</w:t>
      </w:r>
      <w:r w:rsidRPr="0017733D">
        <w:t xml:space="preserve"> 7-17</w:t>
      </w:r>
      <w:r>
        <w:t>) which concluded: “‘</w:t>
      </w:r>
      <w:r w:rsidRPr="00606017">
        <w:t>sceatta</w:t>
      </w:r>
      <w:r>
        <w:fldChar w:fldCharType="begin"/>
      </w:r>
      <w:r>
        <w:instrText xml:space="preserve"> XE "</w:instrText>
      </w:r>
      <w:r w:rsidRPr="007645AE">
        <w:instrText>sceatta</w:instrText>
      </w:r>
      <w:r>
        <w:instrText xml:space="preserve">" </w:instrText>
      </w:r>
      <w:r>
        <w:fldChar w:fldCharType="end"/>
      </w:r>
      <w:r w:rsidRPr="00606017">
        <w:t>’…is a neologism some 200 years old now and long enough established to be counted an acceptable term.”</w:t>
      </w:r>
    </w:p>
  </w:footnote>
  <w:footnote w:id="300">
    <w:p w14:paraId="686BB81A" w14:textId="6659F5D5" w:rsidR="000E1004" w:rsidRDefault="000E1004" w:rsidP="007775E2">
      <w:pPr>
        <w:pStyle w:val="FootnoteText"/>
      </w:pPr>
      <w:r w:rsidRPr="00AF0DB3">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w:t>
      </w:r>
      <w:r w:rsidRPr="00AF0DB3">
        <w:t xml:space="preserve"> 290 </w:t>
      </w:r>
      <w:r>
        <w:rPr>
          <w:i/>
        </w:rPr>
        <w:t>fn.</w:t>
      </w:r>
      <w:r w:rsidRPr="00AF0DB3">
        <w:t xml:space="preserve"> 228</w:t>
      </w:r>
      <w:r>
        <w:t>)</w:t>
      </w:r>
      <w:r w:rsidRPr="00AF0DB3">
        <w:t xml:space="preserve"> (Liebermann I, 220).</w:t>
      </w:r>
    </w:p>
  </w:footnote>
  <w:footnote w:id="301">
    <w:p w14:paraId="0782BEC6" w14:textId="77777777" w:rsidR="000E1004" w:rsidRDefault="000E1004" w:rsidP="007775E2">
      <w:pPr>
        <w:pStyle w:val="FootnoteText"/>
      </w:pPr>
      <w:r>
        <w:rPr>
          <w:rStyle w:val="FootnoteReference"/>
        </w:rPr>
        <w:footnoteRef/>
      </w:r>
      <w:r>
        <w:t xml:space="preserve"> A </w:t>
      </w:r>
      <w:r w:rsidRPr="008C63C5">
        <w:rPr>
          <w:i/>
        </w:rPr>
        <w:t>manwyr</w:t>
      </w:r>
      <w:r>
        <w:rPr>
          <w:rFonts w:ascii="COINS010" w:hAnsi="COINS010"/>
          <w:i/>
        </w:rPr>
        <w:t xml:space="preserve">þ </w:t>
      </w:r>
      <w:r w:rsidRPr="008C63C5">
        <w:rPr>
          <w:rFonts w:asciiTheme="minorHAnsi" w:hAnsiTheme="minorHAnsi" w:cstheme="minorHAnsi"/>
        </w:rPr>
        <w:t xml:space="preserve">(Lendinara, 1997, Appendix A, </w:t>
      </w:r>
      <w:r w:rsidRPr="008C63C5">
        <w:rPr>
          <w:rFonts w:asciiTheme="minorHAnsi" w:hAnsiTheme="minorHAnsi" w:cstheme="minorHAnsi"/>
          <w:i/>
        </w:rPr>
        <w:t>hapax</w:t>
      </w:r>
      <w:r>
        <w:rPr>
          <w:rFonts w:asciiTheme="minorHAnsi" w:hAnsiTheme="minorHAnsi" w:cstheme="minorHAnsi"/>
        </w:rPr>
        <w:t xml:space="preserve"> </w:t>
      </w:r>
      <w:r w:rsidRPr="008C63C5">
        <w:rPr>
          <w:rFonts w:asciiTheme="minorHAnsi" w:hAnsiTheme="minorHAnsi" w:cstheme="minorHAnsi"/>
          <w:i/>
        </w:rPr>
        <w:t>legomena</w:t>
      </w:r>
      <w:r>
        <w:rPr>
          <w:rFonts w:asciiTheme="minorHAnsi" w:hAnsiTheme="minorHAnsi" w:cstheme="minorHAnsi"/>
        </w:rPr>
        <w:t xml:space="preserve">, </w:t>
      </w:r>
      <w:r w:rsidRPr="008C63C5">
        <w:rPr>
          <w:rFonts w:asciiTheme="minorHAnsi" w:hAnsiTheme="minorHAnsi" w:cstheme="minorHAnsi"/>
        </w:rPr>
        <w:t>224)</w:t>
      </w:r>
      <w:r w:rsidRPr="008C63C5">
        <w:rPr>
          <w:rFonts w:asciiTheme="minorHAnsi" w:hAnsiTheme="minorHAnsi" w:cstheme="minorHAnsi"/>
          <w:i/>
        </w:rPr>
        <w:t xml:space="preserve">, </w:t>
      </w:r>
      <w:r w:rsidRPr="003712A6">
        <w:rPr>
          <w:i/>
        </w:rPr>
        <w:t>manb</w:t>
      </w:r>
      <w:r w:rsidRPr="003712A6">
        <w:rPr>
          <w:rFonts w:cs="Times New Roman"/>
          <w:i/>
        </w:rPr>
        <w:t>ö</w:t>
      </w:r>
      <w:r w:rsidRPr="003712A6">
        <w:rPr>
          <w:i/>
        </w:rPr>
        <w:t>t</w:t>
      </w:r>
      <w:r>
        <w:t xml:space="preserve"> or </w:t>
      </w:r>
      <w:r w:rsidRPr="00536515">
        <w:rPr>
          <w:i/>
        </w:rPr>
        <w:t>wergeld</w:t>
      </w:r>
      <w:r>
        <w:t xml:space="preserve"> of 100 shillings. Charles-Edwards (1997, 175-7). Possibly, sceats were merely the unit of account measuring the extent of the blood feud. Paying cash would not have had the desired ‘negative interaction’ (Charles-Edwards (1997, 172). Lendinara (1997, 217) suggested there was sufficient gold coin in circulation but Scull and Hines (Discussion 241-2) rightly dispute this. Ausenda (242) stated ‘wergilds are fixed in some kind of unit of account (242).</w:t>
      </w:r>
    </w:p>
  </w:footnote>
  <w:footnote w:id="302">
    <w:p w14:paraId="3DDD7909" w14:textId="77777777" w:rsidR="000E1004" w:rsidRDefault="000E1004" w:rsidP="007775E2">
      <w:pPr>
        <w:pStyle w:val="FootnoteText"/>
      </w:pPr>
      <w:r>
        <w:rPr>
          <w:rStyle w:val="FootnoteReference"/>
        </w:rPr>
        <w:footnoteRef/>
      </w:r>
      <w:r>
        <w:t xml:space="preserve"> </w:t>
      </w:r>
      <w:r w:rsidRPr="00B92C21">
        <w:rPr>
          <w:i/>
        </w:rPr>
        <w:t>MEC</w:t>
      </w:r>
      <w:r>
        <w:t xml:space="preserve"> (1986, 126).</w:t>
      </w:r>
    </w:p>
  </w:footnote>
  <w:footnote w:id="303">
    <w:p w14:paraId="74793691" w14:textId="77777777" w:rsidR="000E1004" w:rsidRDefault="000E1004" w:rsidP="007775E2">
      <w:pPr>
        <w:pStyle w:val="FootnoteText"/>
      </w:pPr>
      <w:r>
        <w:rPr>
          <w:rStyle w:val="FootnoteReference"/>
        </w:rPr>
        <w:footnoteRef/>
      </w:r>
      <w:r>
        <w:t xml:space="preserve"> Alcock (2003, 122-3), regarding the seventh century: ‘If blood was shed during an annual hosting…a lot of money must have changed hands every year.’ Alcock felt that the church’s tempering of the drive for blood vengeance would be ineffectual.</w:t>
      </w:r>
    </w:p>
  </w:footnote>
  <w:footnote w:id="304">
    <w:p w14:paraId="692F52E2" w14:textId="210EA0FF" w:rsidR="000E1004" w:rsidRDefault="000E1004" w:rsidP="007775E2">
      <w:pPr>
        <w:pStyle w:val="FootnoteText"/>
      </w:pPr>
      <w:r>
        <w:rPr>
          <w:rStyle w:val="FootnoteReference"/>
        </w:rPr>
        <w:footnoteRef/>
      </w:r>
      <w:r>
        <w:t xml:space="preserve"> Southumbrian phasing has been aligned with Northumbrian in </w:t>
      </w:r>
      <w:r w:rsidRPr="00733EED">
        <w:rPr>
          <w:i/>
        </w:rPr>
        <w:t>Table 5.04.</w:t>
      </w:r>
    </w:p>
  </w:footnote>
  <w:footnote w:id="305">
    <w:p w14:paraId="578B8BD4" w14:textId="77777777" w:rsidR="000E1004" w:rsidRPr="00535327" w:rsidRDefault="000E1004" w:rsidP="007775E2">
      <w:pPr>
        <w:pStyle w:val="FootnoteText"/>
      </w:pPr>
      <w:r w:rsidRPr="00535327">
        <w:rPr>
          <w:rStyle w:val="FootnoteReference"/>
        </w:rPr>
        <w:footnoteRef/>
      </w:r>
      <w:r>
        <w:t xml:space="preserve"> Blackburn </w:t>
      </w:r>
      <w:r w:rsidRPr="008E77DF">
        <w:t>(</w:t>
      </w:r>
      <w:r>
        <w:t>2003, 35).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(2009,</w:t>
      </w:r>
      <w:r w:rsidRPr="00535327">
        <w:t xml:space="preserve"> 5</w:t>
      </w:r>
      <w:r>
        <w:t>)</w:t>
      </w:r>
      <w:r w:rsidRPr="00535327">
        <w:t>.</w:t>
      </w:r>
    </w:p>
  </w:footnote>
  <w:footnote w:id="306">
    <w:p w14:paraId="1F803B27" w14:textId="77777777" w:rsidR="000E1004" w:rsidRPr="00535327" w:rsidRDefault="000E1004" w:rsidP="007775E2">
      <w:pPr>
        <w:pStyle w:val="FootnoteText"/>
      </w:pPr>
      <w:r w:rsidRPr="00535327">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(2009,</w:t>
      </w:r>
      <w:r w:rsidRPr="00535327">
        <w:t xml:space="preserve"> 6</w:t>
      </w:r>
      <w:r>
        <w:t>)</w:t>
      </w:r>
      <w:r w:rsidRPr="00535327">
        <w:t>.</w:t>
      </w:r>
    </w:p>
  </w:footnote>
  <w:footnote w:id="307">
    <w:p w14:paraId="156A19AB" w14:textId="77777777" w:rsidR="000E1004" w:rsidRPr="00535327" w:rsidRDefault="000E1004" w:rsidP="007775E2">
      <w:pPr>
        <w:pStyle w:val="FootnoteText"/>
      </w:pPr>
      <w:r w:rsidRPr="00535327">
        <w:rPr>
          <w:rStyle w:val="FootnoteReference"/>
        </w:rPr>
        <w:footnoteRef/>
      </w:r>
      <w:r w:rsidRPr="00535327">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rsidRPr="00535327">
        <w:t xml:space="preserve"> (2012).</w:t>
      </w:r>
    </w:p>
  </w:footnote>
  <w:footnote w:id="308">
    <w:p w14:paraId="22676813" w14:textId="77777777" w:rsidR="000E1004" w:rsidRDefault="000E1004" w:rsidP="007775E2">
      <w:pPr>
        <w:pStyle w:val="FootnoteText"/>
      </w:pPr>
      <w:r>
        <w:rPr>
          <w:rStyle w:val="FootnoteReference"/>
        </w:rPr>
        <w:footnoteRef/>
      </w:r>
      <w:r>
        <w:t xml:space="preserve"> Arguably as late as the lunettes coinage of the mid-ninth century. Lyons &amp; Mackay (2007, 71).</w:t>
      </w:r>
    </w:p>
  </w:footnote>
  <w:footnote w:id="309">
    <w:p w14:paraId="74106828" w14:textId="77777777" w:rsidR="000E1004" w:rsidRPr="00535327" w:rsidRDefault="000E1004" w:rsidP="007775E2">
      <w:pPr>
        <w:pStyle w:val="FootnoteText"/>
      </w:pPr>
      <w:r w:rsidRPr="00535327">
        <w:rPr>
          <w:rStyle w:val="FootnoteReference"/>
        </w:rPr>
        <w:footnoteRef/>
      </w:r>
      <w:r w:rsidRPr="00535327">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rsidRPr="00535327">
        <w:t xml:space="preserve"> (2009</w:t>
      </w:r>
      <w:r>
        <w:t>, 10) persisted</w:t>
      </w:r>
      <w:r w:rsidRPr="00535327">
        <w:t xml:space="preserve"> in Chick’s assertion (1997</w:t>
      </w:r>
      <w:r>
        <w:t>,</w:t>
      </w:r>
      <w:r w:rsidRPr="00535327">
        <w:t xml:space="preserve"> 56) that the early coins inscribed MANG, are the work of a moneyer of this </w:t>
      </w:r>
      <w:r>
        <w:t xml:space="preserve">extraordinary </w:t>
      </w:r>
      <w:r w:rsidRPr="00535327">
        <w:t xml:space="preserve">name, rather than a contraction of </w:t>
      </w:r>
      <w:r w:rsidRPr="00535327">
        <w:rPr>
          <w:i/>
        </w:rPr>
        <w:t>Merciorum Anglorum</w:t>
      </w:r>
      <w:r w:rsidRPr="00535327">
        <w:t xml:space="preserve">, </w:t>
      </w:r>
      <w:r>
        <w:t xml:space="preserve">as the candidate believes, </w:t>
      </w:r>
      <w:r w:rsidRPr="00535327">
        <w:t xml:space="preserve">although Metcalf later admits that Mang is an ‘improbably named moneyer’ (10). </w:t>
      </w:r>
    </w:p>
  </w:footnote>
  <w:footnote w:id="310">
    <w:p w14:paraId="3478BCC5" w14:textId="77777777" w:rsidR="000E1004" w:rsidRPr="00535327" w:rsidRDefault="000E1004" w:rsidP="007775E2">
      <w:pPr>
        <w:pStyle w:val="FootnoteText"/>
      </w:pPr>
      <w:r w:rsidRPr="00535327">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(2009,</w:t>
      </w:r>
      <w:r w:rsidRPr="00535327">
        <w:t xml:space="preserve"> 30</w:t>
      </w:r>
      <w:r>
        <w:t>)</w:t>
      </w:r>
      <w:r w:rsidRPr="00535327">
        <w:t>.</w:t>
      </w:r>
    </w:p>
  </w:footnote>
  <w:footnote w:id="311">
    <w:p w14:paraId="16EE9D52" w14:textId="77777777" w:rsidR="000E1004" w:rsidRPr="00535327" w:rsidRDefault="000E1004" w:rsidP="007775E2">
      <w:pPr>
        <w:pStyle w:val="FootnoteText"/>
      </w:pPr>
      <w:r w:rsidRPr="00535327">
        <w:rPr>
          <w:rStyle w:val="FootnoteReference"/>
        </w:rPr>
        <w:footnoteRef/>
      </w:r>
      <w:r w:rsidRPr="00535327">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rsidRPr="00535327">
        <w:t xml:space="preserve"> (2009</w:t>
      </w:r>
      <w:r>
        <w:t>,</w:t>
      </w:r>
      <w:r w:rsidRPr="00535327">
        <w:t xml:space="preserve"> 8-9</w:t>
      </w:r>
      <w:r>
        <w:t>). Chick (2011,</w:t>
      </w:r>
      <w:r w:rsidRPr="00535327">
        <w:t xml:space="preserve"> 188</w:t>
      </w:r>
      <w:r>
        <w:t>)</w:t>
      </w:r>
      <w:r w:rsidRPr="00535327">
        <w:t>.</w:t>
      </w:r>
    </w:p>
  </w:footnote>
  <w:footnote w:id="312">
    <w:p w14:paraId="5B161EC4" w14:textId="77777777" w:rsidR="000E1004" w:rsidRPr="00535327" w:rsidRDefault="000E1004" w:rsidP="007775E2">
      <w:pPr>
        <w:pStyle w:val="FootnoteText"/>
      </w:pPr>
      <w:r w:rsidRPr="00535327">
        <w:rPr>
          <w:rStyle w:val="FootnoteReference"/>
        </w:rPr>
        <w:footnoteRef/>
      </w:r>
      <w:r w:rsidRPr="00535327">
        <w:t xml:space="preserve"> The precise whereabouts are uncertain; there may have been one or two mints.</w:t>
      </w:r>
    </w:p>
  </w:footnote>
  <w:footnote w:id="313">
    <w:p w14:paraId="7AA72615" w14:textId="77777777" w:rsidR="000E1004" w:rsidRPr="0005683B" w:rsidRDefault="000E1004" w:rsidP="007775E2">
      <w:pPr>
        <w:pStyle w:val="FootnoteText"/>
        <w:rPr>
          <w:lang w:val="en-US"/>
        </w:rPr>
      </w:pPr>
      <w:r>
        <w:rPr>
          <w:rStyle w:val="FootnoteReference"/>
        </w:rPr>
        <w:footnoteRef/>
      </w:r>
      <w:r>
        <w:t xml:space="preserve"> </w:t>
      </w:r>
      <w:r>
        <w:rPr>
          <w:lang w:val="en-US"/>
        </w:rPr>
        <w:t>North (1994, 26).</w:t>
      </w:r>
    </w:p>
  </w:footnote>
  <w:footnote w:id="314">
    <w:p w14:paraId="796CEE82" w14:textId="77777777" w:rsidR="000E1004" w:rsidRPr="00535327" w:rsidRDefault="000E1004" w:rsidP="007775E2">
      <w:pPr>
        <w:pStyle w:val="FootnoteText"/>
      </w:pPr>
      <w:r w:rsidRPr="00535327">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w:t>
      </w:r>
      <w:r w:rsidRPr="00535327">
        <w:t xml:space="preserve"> 66</w:t>
      </w:r>
      <w:r>
        <w:t>)</w:t>
      </w:r>
      <w:r w:rsidRPr="00535327">
        <w:t>.</w:t>
      </w:r>
    </w:p>
  </w:footnote>
  <w:footnote w:id="315">
    <w:p w14:paraId="6306ED3B" w14:textId="77777777" w:rsidR="000E1004" w:rsidRPr="00535327" w:rsidRDefault="000E1004" w:rsidP="007775E2">
      <w:pPr>
        <w:pStyle w:val="FootnoteText"/>
      </w:pPr>
      <w:r w:rsidRPr="00535327">
        <w:rPr>
          <w:rStyle w:val="FootnoteReference"/>
        </w:rPr>
        <w:footnoteRef/>
      </w:r>
      <w:r w:rsidRPr="00535327">
        <w:t xml:space="preserve"> An interesting point on iconography</w:t>
      </w:r>
      <w:r>
        <w:fldChar w:fldCharType="begin"/>
      </w:r>
      <w:r>
        <w:instrText xml:space="preserve"> XE "</w:instrText>
      </w:r>
      <w:r w:rsidRPr="007D3069">
        <w:instrText>iconography</w:instrText>
      </w:r>
      <w:r>
        <w:instrText xml:space="preserve">" </w:instrText>
      </w:r>
      <w:r>
        <w:fldChar w:fldCharType="end"/>
      </w:r>
      <w:r w:rsidRPr="00535327">
        <w:t xml:space="preserve">, is that portraits of kings are in profile and ecclesiastical figures </w:t>
      </w:r>
      <w:r>
        <w:t xml:space="preserve">(Wulfred of Canterbury, Wigmund of York) </w:t>
      </w:r>
      <w:r w:rsidRPr="00535327">
        <w:t>are typically facing. This shows what Naismith</w:t>
      </w:r>
      <w:r>
        <w:fldChar w:fldCharType="begin"/>
      </w:r>
      <w:r>
        <w:instrText xml:space="preserve"> XE "</w:instrText>
      </w:r>
      <w:r w:rsidRPr="007D3069">
        <w:rPr>
          <w:rFonts w:cs="Times New Roman"/>
          <w:szCs w:val="24"/>
        </w:rPr>
        <w:instrText>Naismith</w:instrText>
      </w:r>
      <w:r>
        <w:instrText xml:space="preserve">" </w:instrText>
      </w:r>
      <w:r>
        <w:fldChar w:fldCharType="end"/>
      </w:r>
      <w:r w:rsidRPr="00535327">
        <w:t xml:space="preserve"> (2012</w:t>
      </w:r>
      <w:r>
        <w:t>, 68) referred</w:t>
      </w:r>
      <w:r w:rsidRPr="00535327">
        <w:t xml:space="preserve"> to as ‘serene disconnection.’ See also </w:t>
      </w:r>
      <w:r w:rsidRPr="008B048D">
        <w:rPr>
          <w:rStyle w:val="Hyperlink"/>
          <w:color w:val="000000" w:themeColor="text1"/>
          <w:u w:val="none"/>
        </w:rPr>
        <w:t>Naismith</w:t>
      </w:r>
      <w:r>
        <w:rPr>
          <w:rStyle w:val="Hyperlink"/>
          <w:color w:val="000000" w:themeColor="text1"/>
          <w:u w:val="none"/>
        </w:rPr>
        <w:t xml:space="preserve"> </w:t>
      </w:r>
      <w:r w:rsidRPr="008B048D">
        <w:rPr>
          <w:rStyle w:val="Hyperlink"/>
          <w:color w:val="000000" w:themeColor="text1"/>
          <w:u w:val="none"/>
        </w:rPr>
        <w:t>(</w:t>
      </w:r>
      <w:r>
        <w:t>2014b</w:t>
      </w:r>
      <w:r w:rsidRPr="008B048D">
        <w:rPr>
          <w:rStyle w:val="Hyperlink"/>
          <w:color w:val="000000" w:themeColor="text1"/>
          <w:u w:val="none"/>
        </w:rPr>
        <w:t>).</w:t>
      </w:r>
    </w:p>
  </w:footnote>
  <w:footnote w:id="316">
    <w:p w14:paraId="1BC7E1F4" w14:textId="77777777" w:rsidR="000E1004" w:rsidRPr="00535327" w:rsidRDefault="000E1004" w:rsidP="007775E2">
      <w:pPr>
        <w:pStyle w:val="FootnoteText"/>
      </w:pPr>
      <w:r w:rsidRPr="00535327">
        <w:rPr>
          <w:rStyle w:val="FootnoteReference"/>
        </w:rPr>
        <w:footnoteRef/>
      </w:r>
      <w:r w:rsidRPr="00535327">
        <w:t xml:space="preserve"> Ignoring what may be moneyers’ names on some southern sceats.</w:t>
      </w:r>
    </w:p>
  </w:footnote>
  <w:footnote w:id="317">
    <w:p w14:paraId="5E34083C" w14:textId="77777777" w:rsidR="000E1004" w:rsidRDefault="000E1004" w:rsidP="007775E2">
      <w:pPr>
        <w:pStyle w:val="FootnoteText"/>
      </w:pPr>
      <w:r>
        <w:rPr>
          <w:rStyle w:val="FootnoteReference"/>
        </w:rPr>
        <w:footnoteRef/>
      </w:r>
      <w:r>
        <w:t xml:space="preserve"> The enthroned/genuflecting Archbishop Ecgberht aside.</w:t>
      </w:r>
    </w:p>
  </w:footnote>
  <w:footnote w:id="318">
    <w:p w14:paraId="0D2CC14A" w14:textId="77777777" w:rsidR="000E1004" w:rsidRDefault="000E1004" w:rsidP="007775E2">
      <w:pPr>
        <w:pStyle w:val="FootnoteText"/>
      </w:pPr>
      <w:r>
        <w:rPr>
          <w:rStyle w:val="FootnoteReference"/>
        </w:rPr>
        <w:footnoteRef/>
      </w:r>
      <w:r>
        <w:t xml:space="preserve"> Wood (</w:t>
      </w:r>
      <w:r w:rsidRPr="00445B8A">
        <w:t>2008</w:t>
      </w:r>
      <w:r>
        <w:t>)</w:t>
      </w:r>
      <w:r w:rsidRPr="00445B8A">
        <w:t>.</w:t>
      </w:r>
    </w:p>
  </w:footnote>
  <w:footnote w:id="319">
    <w:p w14:paraId="08FFDF0C" w14:textId="114A9285" w:rsidR="000E1004" w:rsidRPr="008E77DF" w:rsidRDefault="000E1004" w:rsidP="007775E2">
      <w:pPr>
        <w:pStyle w:val="FootnoteText"/>
        <w:rPr>
          <w:lang w:val="en-US"/>
        </w:rPr>
      </w:pPr>
      <w:r>
        <w:rPr>
          <w:rStyle w:val="FootnoteReference"/>
        </w:rPr>
        <w:footnoteRef/>
      </w:r>
      <w:r>
        <w:t xml:space="preserve"> </w:t>
      </w:r>
      <w:r>
        <w:rPr>
          <w:i/>
        </w:rPr>
        <w:t>Fn.</w:t>
      </w:r>
      <w:r w:rsidRPr="008E77DF">
        <w:t xml:space="preserve"> </w:t>
      </w:r>
      <w:r>
        <w:rPr>
          <w:lang w:val="en-US"/>
        </w:rPr>
        <w:fldChar w:fldCharType="begin"/>
      </w:r>
      <w:r>
        <w:instrText xml:space="preserve"> NOTEREF _Ref433613998 \h </w:instrText>
      </w:r>
      <w:r>
        <w:rPr>
          <w:lang w:val="en-US"/>
        </w:rPr>
      </w:r>
      <w:r>
        <w:rPr>
          <w:lang w:val="en-US"/>
        </w:rPr>
        <w:fldChar w:fldCharType="separate"/>
      </w:r>
      <w:r w:rsidR="0012026B">
        <w:t>305</w:t>
      </w:r>
      <w:r>
        <w:rPr>
          <w:lang w:val="en-US"/>
        </w:rPr>
        <w:fldChar w:fldCharType="end"/>
      </w:r>
      <w:r>
        <w:rPr>
          <w:lang w:val="en-US"/>
        </w:rPr>
        <w:t>.</w:t>
      </w:r>
    </w:p>
  </w:footnote>
  <w:footnote w:id="320">
    <w:p w14:paraId="5B1C7473" w14:textId="77777777" w:rsidR="000E1004" w:rsidRDefault="000E1004" w:rsidP="007775E2">
      <w:pPr>
        <w:pStyle w:val="FootnoteText"/>
      </w:pPr>
      <w:r w:rsidRPr="00535327">
        <w:rPr>
          <w:rStyle w:val="FootnoteReference"/>
        </w:rPr>
        <w:footnoteRef/>
      </w:r>
      <w:r>
        <w:t xml:space="preserve"> Though</w:t>
      </w:r>
      <w:r w:rsidRPr="00535327">
        <w:t xml:space="preserve"> this low denomination ‘widow’s mite’</w:t>
      </w:r>
      <w:r>
        <w:fldChar w:fldCharType="begin"/>
      </w:r>
      <w:r>
        <w:instrText xml:space="preserve"> XE "</w:instrText>
      </w:r>
      <w:r w:rsidRPr="007D3069">
        <w:rPr>
          <w:rFonts w:eastAsia="Times New Roman" w:cs="Times New Roman"/>
          <w:szCs w:val="24"/>
          <w:lang w:eastAsia="en-GB"/>
        </w:rPr>
        <w:instrText>widow’s mite</w:instrText>
      </w:r>
      <w:r>
        <w:instrText xml:space="preserve">" </w:instrText>
      </w:r>
      <w:r>
        <w:fldChar w:fldCharType="end"/>
      </w:r>
      <w:r w:rsidRPr="00535327">
        <w:t xml:space="preserve"> meant that even the relatively poor could be taxed in coin.</w:t>
      </w:r>
    </w:p>
  </w:footnote>
  <w:footnote w:id="321">
    <w:p w14:paraId="6DAC363E" w14:textId="534F0910" w:rsidR="000E1004" w:rsidRDefault="000E1004" w:rsidP="007775E2">
      <w:pPr>
        <w:pStyle w:val="FootnoteText"/>
      </w:pPr>
      <w:r>
        <w:rPr>
          <w:rStyle w:val="FootnoteReference"/>
        </w:rPr>
        <w:footnoteRef/>
      </w:r>
      <w:r>
        <w:t xml:space="preserve"> Woodman (2012, 40, </w:t>
      </w:r>
      <w:r>
        <w:rPr>
          <w:i/>
        </w:rPr>
        <w:t>fn.</w:t>
      </w:r>
      <w:r>
        <w:t xml:space="preserve"> 101) implied that the archbishops profited from stycas issued analogously to what is prescribed in </w:t>
      </w:r>
      <w:r>
        <w:rPr>
          <w:rFonts w:cs="Times New Roman"/>
        </w:rPr>
        <w:t>Æ</w:t>
      </w:r>
      <w:r>
        <w:t>thelstan’s law §14.2 (Attenborough, 1922 [2012], 135).</w:t>
      </w:r>
    </w:p>
  </w:footnote>
  <w:footnote w:id="322">
    <w:p w14:paraId="02A9D9E5" w14:textId="77777777" w:rsidR="000E1004" w:rsidRPr="004F4D03" w:rsidRDefault="000E1004" w:rsidP="007775E2">
      <w:pPr>
        <w:pStyle w:val="FootnoteText"/>
      </w:pPr>
      <w:r>
        <w:rPr>
          <w:rStyle w:val="FootnoteReference"/>
        </w:rPr>
        <w:footnoteRef/>
      </w:r>
      <w:r>
        <w:t xml:space="preserve"> Metcalf (1993-4, 29-84)</w:t>
      </w:r>
    </w:p>
  </w:footnote>
  <w:footnote w:id="323">
    <w:p w14:paraId="4918D2EC" w14:textId="77777777" w:rsidR="000E1004" w:rsidRDefault="000E1004" w:rsidP="007775E2">
      <w:pPr>
        <w:pStyle w:val="FootnoteText"/>
      </w:pPr>
      <w:r>
        <w:rPr>
          <w:rStyle w:val="FootnoteReference"/>
        </w:rPr>
        <w:footnoteRef/>
      </w:r>
      <w:r>
        <w:t xml:space="preserve"> Metcalf (2003, 40)</w:t>
      </w:r>
    </w:p>
  </w:footnote>
  <w:footnote w:id="324">
    <w:p w14:paraId="5860926F" w14:textId="77777777" w:rsidR="000E1004" w:rsidRPr="00535327" w:rsidRDefault="000E1004" w:rsidP="007775E2">
      <w:pPr>
        <w:pStyle w:val="FootnoteText"/>
      </w:pPr>
      <w:r w:rsidRPr="00535327">
        <w:rPr>
          <w:rStyle w:val="FootnoteReference"/>
        </w:rPr>
        <w:footnoteRef/>
      </w:r>
      <w:r w:rsidRPr="00535327">
        <w:t xml:space="preserve"> The inclusion of a coin attributed to Milo of Trier, dates the Goting Kliff hoard from the island of Föhr, which is largely composed of Franeker types, to </w:t>
      </w:r>
      <w:r w:rsidRPr="00535327">
        <w:rPr>
          <w:i/>
        </w:rPr>
        <w:t>c.</w:t>
      </w:r>
      <w:r w:rsidRPr="00535327">
        <w:t>748-</w:t>
      </w:r>
      <w:r w:rsidRPr="00535327">
        <w:rPr>
          <w:i/>
        </w:rPr>
        <w:t>c.</w:t>
      </w:r>
      <w:r w:rsidRPr="00535327">
        <w:t>750. Metcalf</w:t>
      </w:r>
      <w:r>
        <w:fldChar w:fldCharType="begin"/>
      </w:r>
      <w:r>
        <w:instrText xml:space="preserve"> XE "</w:instrText>
      </w:r>
      <w:r w:rsidRPr="00523AF8">
        <w:rPr>
          <w:rStyle w:val="Hyperlink"/>
          <w:noProof/>
        </w:rPr>
        <w:instrText>Metcalf</w:instrText>
      </w:r>
      <w:r>
        <w:instrText xml:space="preserve">" </w:instrText>
      </w:r>
      <w:r>
        <w:fldChar w:fldCharType="end"/>
      </w:r>
      <w:r w:rsidRPr="00535327">
        <w:t xml:space="preserve"> (2009</w:t>
      </w:r>
      <w:r>
        <w:t>,</w:t>
      </w:r>
      <w:r w:rsidRPr="00535327">
        <w:t xml:space="preserve"> 16</w:t>
      </w:r>
      <w:r>
        <w:t>)</w:t>
      </w:r>
      <w:r w:rsidRPr="00535327">
        <w:t>. The Series</w:t>
      </w:r>
      <w:r>
        <w:fldChar w:fldCharType="begin"/>
      </w:r>
      <w:r>
        <w:instrText xml:space="preserve"> XE "</w:instrText>
      </w:r>
      <w:r w:rsidRPr="007645AE">
        <w:instrText>Series</w:instrText>
      </w:r>
      <w:r>
        <w:instrText xml:space="preserve">" </w:instrText>
      </w:r>
      <w:r>
        <w:fldChar w:fldCharType="end"/>
      </w:r>
      <w:r w:rsidRPr="00535327">
        <w:t xml:space="preserve"> E</w:t>
      </w:r>
      <w:r>
        <w:fldChar w:fldCharType="begin"/>
      </w:r>
      <w:r>
        <w:instrText xml:space="preserve"> XE "</w:instrText>
      </w:r>
      <w:r w:rsidRPr="008D02A1">
        <w:instrText>Series E</w:instrText>
      </w:r>
      <w:r>
        <w:instrText xml:space="preserve">" </w:instrText>
      </w:r>
      <w:r>
        <w:fldChar w:fldCharType="end"/>
      </w:r>
      <w:r w:rsidRPr="00535327">
        <w:t xml:space="preserve"> Franeker types, constituted a substantial issue, though significantly smaller than the Kloster-Barthe phase.</w:t>
      </w:r>
    </w:p>
  </w:footnote>
  <w:footnote w:id="325">
    <w:p w14:paraId="0BDE8FFB" w14:textId="77777777" w:rsidR="000E1004" w:rsidRPr="00793613" w:rsidRDefault="000E1004" w:rsidP="007775E2">
      <w:pPr>
        <w:pStyle w:val="FootnoteText"/>
        <w:rPr>
          <w:lang w:val="en-US"/>
        </w:rPr>
      </w:pPr>
      <w:r>
        <w:rPr>
          <w:rStyle w:val="FootnoteReference"/>
        </w:rPr>
        <w:footnoteRef/>
      </w:r>
      <w:r>
        <w:t xml:space="preserve"> </w:t>
      </w:r>
      <w:r>
        <w:rPr>
          <w:lang w:val="en-US"/>
        </w:rPr>
        <w:t>Blackburn (2003, 26-9).</w:t>
      </w:r>
    </w:p>
  </w:footnote>
  <w:footnote w:id="326">
    <w:p w14:paraId="744659FC" w14:textId="77777777" w:rsidR="000E1004" w:rsidRPr="00793613" w:rsidRDefault="000E1004" w:rsidP="007775E2">
      <w:pPr>
        <w:pStyle w:val="FootnoteText"/>
        <w:rPr>
          <w:lang w:val="en-US"/>
        </w:rPr>
      </w:pPr>
      <w:r>
        <w:rPr>
          <w:rStyle w:val="FootnoteReference"/>
        </w:rPr>
        <w:footnoteRef/>
      </w:r>
      <w:r>
        <w:t xml:space="preserve"> </w:t>
      </w:r>
      <w:r>
        <w:rPr>
          <w:lang w:val="en-US"/>
        </w:rPr>
        <w:t>Blackburn (2003, 34-5).</w:t>
      </w:r>
    </w:p>
  </w:footnote>
  <w:footnote w:id="327">
    <w:p w14:paraId="49F71587" w14:textId="77777777" w:rsidR="000E1004" w:rsidRPr="00535327" w:rsidRDefault="000E1004" w:rsidP="007775E2">
      <w:pPr>
        <w:pStyle w:val="FootnoteText"/>
      </w:pPr>
      <w:r w:rsidRPr="00535327">
        <w:rPr>
          <w:rStyle w:val="FootnoteReference"/>
        </w:rPr>
        <w:footnoteRef/>
      </w:r>
      <w:r w:rsidRPr="00535327">
        <w:t xml:space="preserve"> </w:t>
      </w:r>
      <w:r>
        <w:t xml:space="preserve">Found 2006. </w:t>
      </w:r>
      <w:r w:rsidRPr="00535327">
        <w:t>Chick (2010</w:t>
      </w:r>
      <w:r w:rsidRPr="00A528E1">
        <w:t xml:space="preserve"> </w:t>
      </w:r>
      <w:r w:rsidRPr="00535327">
        <w:t>no. 140e 124), note especially, for its exquisite preservation, the penny</w:t>
      </w:r>
      <w:r>
        <w:fldChar w:fldCharType="begin"/>
      </w:r>
      <w:r>
        <w:instrText xml:space="preserve"> XE "</w:instrText>
      </w:r>
      <w:r w:rsidRPr="007645AE">
        <w:instrText>penny</w:instrText>
      </w:r>
      <w:r>
        <w:instrText xml:space="preserve">" </w:instrText>
      </w:r>
      <w:r>
        <w:fldChar w:fldCharType="end"/>
      </w:r>
      <w:r w:rsidRPr="00535327">
        <w:t xml:space="preserve"> of Cynethryth, </w:t>
      </w:r>
      <w:r>
        <w:t>PAS</w:t>
      </w:r>
      <w:r>
        <w:fldChar w:fldCharType="begin"/>
      </w:r>
      <w:r>
        <w:instrText xml:space="preserve"> XE "</w:instrText>
      </w:r>
      <w:r w:rsidRPr="007D3069">
        <w:instrText>PAS</w:instrText>
      </w:r>
      <w:r>
        <w:instrText xml:space="preserve">" </w:instrText>
      </w:r>
      <w:r>
        <w:fldChar w:fldCharType="end"/>
      </w:r>
      <w:r>
        <w:t xml:space="preserve"> </w:t>
      </w:r>
      <w:r>
        <w:rPr>
          <w:rStyle w:val="fourfigure"/>
        </w:rPr>
        <w:t>YORYM-731473</w:t>
      </w:r>
      <w:r w:rsidRPr="00535327">
        <w:t xml:space="preserve">. This hoard must have been a purse lost by a traveller and does not </w:t>
      </w:r>
      <w:r>
        <w:t xml:space="preserve">necessarily </w:t>
      </w:r>
      <w:r w:rsidRPr="00535327">
        <w:t>imply circulation of Offan pennies in the north.</w:t>
      </w:r>
    </w:p>
  </w:footnote>
  <w:footnote w:id="328">
    <w:p w14:paraId="2701B4FC" w14:textId="77777777" w:rsidR="000E1004" w:rsidRDefault="000E1004" w:rsidP="007775E2">
      <w:pPr>
        <w:pStyle w:val="FootnoteText"/>
      </w:pPr>
      <w:r>
        <w:rPr>
          <w:rStyle w:val="FootnoteReference"/>
        </w:rPr>
        <w:footnoteRef/>
      </w:r>
      <w:r>
        <w:t xml:space="preserve"> To be clear, not sceats and pennies with each other.</w:t>
      </w:r>
    </w:p>
  </w:footnote>
  <w:footnote w:id="329">
    <w:p w14:paraId="0788F254" w14:textId="77777777" w:rsidR="000E1004" w:rsidRPr="00535327" w:rsidRDefault="000E1004" w:rsidP="007775E2">
      <w:pPr>
        <w:pStyle w:val="FootnoteText"/>
      </w:pPr>
      <w:r w:rsidRPr="00535327">
        <w:rPr>
          <w:rStyle w:val="FootnoteReference"/>
        </w:rPr>
        <w:footnoteRef/>
      </w:r>
      <w:r w:rsidRPr="00535327">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rsidRPr="00535327">
        <w:t xml:space="preserve"> (2009</w:t>
      </w:r>
      <w:r>
        <w:t>,</w:t>
      </w:r>
      <w:r w:rsidRPr="00535327">
        <w:t xml:space="preserve"> 30</w:t>
      </w:r>
      <w:r>
        <w:t>)</w:t>
      </w:r>
      <w:r w:rsidRPr="00535327">
        <w:t>. The coins of Jænberht, Archbishop of Canterbury, are largely restricted to south of the Thames.</w:t>
      </w:r>
    </w:p>
  </w:footnote>
  <w:footnote w:id="330">
    <w:p w14:paraId="2BC53EA2" w14:textId="77777777" w:rsidR="000E1004" w:rsidRPr="00535327" w:rsidRDefault="000E1004" w:rsidP="007775E2">
      <w:pPr>
        <w:pStyle w:val="FootnoteText"/>
      </w:pPr>
      <w:r w:rsidRPr="00535327">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(2102,</w:t>
      </w:r>
      <w:r w:rsidRPr="00535327">
        <w:t xml:space="preserve"> 7</w:t>
      </w:r>
      <w:r>
        <w:t>)</w:t>
      </w:r>
      <w:r w:rsidRPr="00535327">
        <w:t>.</w:t>
      </w:r>
    </w:p>
  </w:footnote>
  <w:footnote w:id="331">
    <w:p w14:paraId="49009695" w14:textId="77777777" w:rsidR="000E1004" w:rsidRPr="00535327" w:rsidRDefault="000E1004" w:rsidP="007775E2">
      <w:pPr>
        <w:pStyle w:val="FootnoteText"/>
      </w:pPr>
      <w:r w:rsidRPr="00535327">
        <w:rPr>
          <w:rStyle w:val="FootnoteReference"/>
        </w:rPr>
        <w:footnoteRef/>
      </w:r>
      <w:r w:rsidRPr="00535327">
        <w:t xml:space="preserve"> Archibald. Note that a Wilræd c</w:t>
      </w:r>
      <w:r>
        <w:t>oined for both Beonna</w:t>
      </w:r>
      <w:r>
        <w:fldChar w:fldCharType="begin"/>
      </w:r>
      <w:r>
        <w:instrText xml:space="preserve"> XE "</w:instrText>
      </w:r>
      <w:r w:rsidRPr="007D3069">
        <w:rPr>
          <w:rFonts w:cs="Times New Roman"/>
        </w:rPr>
        <w:instrText>Beonna</w:instrText>
      </w:r>
      <w:r>
        <w:instrText xml:space="preserve">" </w:instrText>
      </w:r>
      <w:r>
        <w:fldChar w:fldCharType="end"/>
      </w:r>
      <w:r>
        <w:t xml:space="preserve"> and Offa</w:t>
      </w:r>
      <w:r>
        <w:fldChar w:fldCharType="begin"/>
      </w:r>
      <w:r>
        <w:instrText xml:space="preserve"> XE "</w:instrText>
      </w:r>
      <w:r w:rsidRPr="007D3069">
        <w:rPr>
          <w:rFonts w:cs="Times New Roman"/>
        </w:rPr>
        <w:instrText>Offa</w:instrText>
      </w:r>
      <w:r>
        <w:instrText xml:space="preserve">" </w:instrText>
      </w:r>
      <w:r>
        <w:fldChar w:fldCharType="end"/>
      </w:r>
      <w:r>
        <w:t xml:space="preserve">. </w:t>
      </w:r>
      <w:r w:rsidRPr="00535327">
        <w:t>Metcalf</w:t>
      </w:r>
      <w:r>
        <w:fldChar w:fldCharType="begin"/>
      </w:r>
      <w:r>
        <w:instrText xml:space="preserve"> XE "</w:instrText>
      </w:r>
      <w:r w:rsidRPr="00523AF8">
        <w:rPr>
          <w:rStyle w:val="Hyperlink"/>
          <w:noProof/>
        </w:rPr>
        <w:instrText>Metcalf</w:instrText>
      </w:r>
      <w:r>
        <w:instrText xml:space="preserve">" </w:instrText>
      </w:r>
      <w:r>
        <w:fldChar w:fldCharType="end"/>
      </w:r>
      <w:r w:rsidRPr="00535327">
        <w:t xml:space="preserve"> </w:t>
      </w:r>
      <w:r>
        <w:t>(</w:t>
      </w:r>
      <w:r w:rsidRPr="00535327">
        <w:t>2009</w:t>
      </w:r>
      <w:r>
        <w:t>,</w:t>
      </w:r>
      <w:r w:rsidRPr="00535327">
        <w:t xml:space="preserve"> 21).</w:t>
      </w:r>
    </w:p>
  </w:footnote>
  <w:footnote w:id="332">
    <w:p w14:paraId="369DA1C7" w14:textId="77777777" w:rsidR="000E1004" w:rsidRPr="00535327" w:rsidRDefault="000E1004" w:rsidP="007775E2">
      <w:pPr>
        <w:pStyle w:val="FootnoteText"/>
      </w:pPr>
      <w:r w:rsidRPr="00535327">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w:t>
      </w:r>
      <w:r w:rsidRPr="00535327">
        <w:t xml:space="preserve"> 8</w:t>
      </w:r>
      <w:r>
        <w:t>)</w:t>
      </w:r>
      <w:r w:rsidRPr="00535327">
        <w:t>.</w:t>
      </w:r>
    </w:p>
  </w:footnote>
  <w:footnote w:id="333">
    <w:p w14:paraId="58542C5A" w14:textId="6829BBEB" w:rsidR="000E1004" w:rsidRPr="00535327" w:rsidRDefault="000E1004" w:rsidP="007775E2">
      <w:pPr>
        <w:pStyle w:val="FootnoteText"/>
      </w:pPr>
      <w:r w:rsidRPr="00535327">
        <w:rPr>
          <w:rStyle w:val="FootnoteReference"/>
        </w:rPr>
        <w:footnoteRef/>
      </w:r>
      <w:r>
        <w:t xml:space="preserve"> </w:t>
      </w:r>
      <w:r w:rsidRPr="00B168FE">
        <w:rPr>
          <w:i/>
        </w:rPr>
        <w:t>Plate</w:t>
      </w:r>
      <w:r>
        <w:t xml:space="preserve"> </w:t>
      </w:r>
      <w:r w:rsidRPr="00C4240A">
        <w:rPr>
          <w:i/>
        </w:rPr>
        <w:t>4ii</w:t>
      </w:r>
      <w:r>
        <w:t xml:space="preserve">, </w:t>
      </w:r>
      <w:r w:rsidRPr="00B168FE">
        <w:rPr>
          <w:i/>
        </w:rPr>
        <w:t>Figure</w:t>
      </w:r>
      <w:r>
        <w:t xml:space="preserve"> 10.</w:t>
      </w:r>
    </w:p>
  </w:footnote>
  <w:footnote w:id="334">
    <w:p w14:paraId="30366977" w14:textId="77777777" w:rsidR="000E1004" w:rsidRPr="00535327" w:rsidRDefault="000E1004" w:rsidP="007775E2">
      <w:pPr>
        <w:pStyle w:val="FootnoteText"/>
      </w:pPr>
      <w:r w:rsidRPr="00535327">
        <w:rPr>
          <w:rStyle w:val="FootnoteReference"/>
        </w:rPr>
        <w:footnoteRef/>
      </w:r>
      <w:r w:rsidRPr="00535327">
        <w:t xml:space="preserve"> Allowing that modern vocabulary is admissible.</w:t>
      </w:r>
    </w:p>
  </w:footnote>
  <w:footnote w:id="335">
    <w:p w14:paraId="3278BBDE" w14:textId="77777777" w:rsidR="000E1004" w:rsidRPr="00535327" w:rsidRDefault="000E1004" w:rsidP="007775E2">
      <w:pPr>
        <w:pStyle w:val="FootnoteText"/>
      </w:pPr>
      <w:r w:rsidRPr="00535327">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(2009,</w:t>
      </w:r>
      <w:r w:rsidRPr="00535327">
        <w:t xml:space="preserve"> 18</w:t>
      </w:r>
      <w:r>
        <w:t>)</w:t>
      </w:r>
      <w:r w:rsidRPr="00535327">
        <w:t>. To what extent the mutual trade embargo in the 790s, following unsuccessful marriage discussions involving the offspring of Offa</w:t>
      </w:r>
      <w:r>
        <w:fldChar w:fldCharType="begin"/>
      </w:r>
      <w:r>
        <w:instrText xml:space="preserve"> XE "</w:instrText>
      </w:r>
      <w:r w:rsidRPr="007D3069">
        <w:rPr>
          <w:rFonts w:cs="Times New Roman"/>
        </w:rPr>
        <w:instrText>Offa</w:instrText>
      </w:r>
      <w:r>
        <w:instrText xml:space="preserve">" </w:instrText>
      </w:r>
      <w:r>
        <w:fldChar w:fldCharType="end"/>
      </w:r>
      <w:r w:rsidRPr="00535327">
        <w:t xml:space="preserve"> and Charlemagne</w:t>
      </w:r>
      <w:r>
        <w:fldChar w:fldCharType="begin"/>
      </w:r>
      <w:r>
        <w:instrText xml:space="preserve"> XE "</w:instrText>
      </w:r>
      <w:r w:rsidRPr="007D3069">
        <w:rPr>
          <w:rFonts w:cs="Times New Roman"/>
          <w:color w:val="000000" w:themeColor="text1"/>
          <w:szCs w:val="24"/>
        </w:rPr>
        <w:instrText>Charlemagne</w:instrText>
      </w:r>
      <w:r>
        <w:instrText xml:space="preserve">" </w:instrText>
      </w:r>
      <w:r>
        <w:fldChar w:fldCharType="end"/>
      </w:r>
      <w:r w:rsidRPr="00535327">
        <w:t xml:space="preserve">, </w:t>
      </w:r>
      <w:r>
        <w:t xml:space="preserve">contributed to this is unknown. </w:t>
      </w:r>
      <w:r w:rsidRPr="00535327">
        <w:t>Naismith</w:t>
      </w:r>
      <w:r>
        <w:fldChar w:fldCharType="begin"/>
      </w:r>
      <w:r>
        <w:instrText xml:space="preserve"> XE "</w:instrText>
      </w:r>
      <w:r w:rsidRPr="007D3069">
        <w:rPr>
          <w:rFonts w:cs="Times New Roman"/>
          <w:szCs w:val="24"/>
        </w:rPr>
        <w:instrText>Naismith</w:instrText>
      </w:r>
      <w:r>
        <w:instrText xml:space="preserve">" </w:instrText>
      </w:r>
      <w:r>
        <w:fldChar w:fldCharType="end"/>
      </w:r>
      <w:r w:rsidRPr="00535327">
        <w:t xml:space="preserve"> </w:t>
      </w:r>
      <w:r>
        <w:t>(</w:t>
      </w:r>
      <w:r w:rsidRPr="00535327">
        <w:t>2012</w:t>
      </w:r>
      <w:r>
        <w:t>,</w:t>
      </w:r>
      <w:r w:rsidRPr="00535327">
        <w:t xml:space="preserve"> 36-7).</w:t>
      </w:r>
    </w:p>
  </w:footnote>
  <w:footnote w:id="336">
    <w:p w14:paraId="5CCC11FB" w14:textId="77777777" w:rsidR="000E1004" w:rsidRPr="00665DCD" w:rsidRDefault="000E1004" w:rsidP="007775E2">
      <w:pPr>
        <w:pStyle w:val="FootnoteText"/>
      </w:pPr>
      <w:r w:rsidRPr="00665DCD">
        <w:rPr>
          <w:rStyle w:val="FootnoteReference"/>
        </w:rPr>
        <w:footnoteRef/>
      </w:r>
      <w:r w:rsidRPr="00665DCD">
        <w:t xml:space="preserve"> Hig</w:t>
      </w:r>
      <w:r>
        <w:t>ham (1993,</w:t>
      </w:r>
      <w:r w:rsidRPr="00665DCD">
        <w:t xml:space="preserve"> 173-210</w:t>
      </w:r>
      <w:r>
        <w:t>)</w:t>
      </w:r>
      <w:r w:rsidRPr="00665DCD">
        <w:t>. Graham-Campbell, J., (ed</w:t>
      </w:r>
      <w:r>
        <w:t>.</w:t>
      </w:r>
      <w:r w:rsidRPr="00665DCD">
        <w:t xml:space="preserve">), </w:t>
      </w:r>
      <w:r>
        <w:t>(</w:t>
      </w:r>
      <w:r w:rsidRPr="00665DCD">
        <w:t>1994</w:t>
      </w:r>
      <w:r>
        <w:t>,</w:t>
      </w:r>
      <w:r w:rsidRPr="00665DCD">
        <w:t xml:space="preserve"> 122-142</w:t>
      </w:r>
      <w:r>
        <w:t>)</w:t>
      </w:r>
      <w:r w:rsidRPr="00665DCD">
        <w:t>.</w:t>
      </w:r>
    </w:p>
  </w:footnote>
  <w:footnote w:id="337">
    <w:p w14:paraId="1BDABE53" w14:textId="74E39FF3" w:rsidR="000E1004" w:rsidRPr="000742D2" w:rsidRDefault="000E1004" w:rsidP="007775E2">
      <w:pPr>
        <w:pStyle w:val="FootnoteText"/>
      </w:pPr>
      <w:r w:rsidRPr="000742D2">
        <w:rPr>
          <w:rStyle w:val="FootnoteReference"/>
        </w:rPr>
        <w:footnoteRef/>
      </w:r>
      <w:r w:rsidRPr="000742D2">
        <w:t xml:space="preserve"> </w:t>
      </w:r>
      <w:hyperlink r:id="rId4" w:history="1">
        <w:r w:rsidRPr="000742D2">
          <w:rPr>
            <w:rStyle w:val="Hyperlink"/>
          </w:rPr>
          <w:t>https://www.academia.edu/1300696/Monetisation_in_Medieval_Scandinavia</w:t>
        </w:r>
        <w:r>
          <w:rPr>
            <w:rStyle w:val="Hyperlink"/>
          </w:rPr>
          <w:fldChar w:fldCharType="begin"/>
        </w:r>
        <w:r>
          <w:instrText xml:space="preserve"> XE "</w:instrText>
        </w:r>
        <w:r w:rsidRPr="00F1328A">
          <w:rPr>
            <w:rStyle w:val="Hyperlink"/>
            <w:noProof/>
          </w:rPr>
          <w:instrText>Scandinavia</w:instrText>
        </w:r>
        <w:r>
          <w:instrText xml:space="preserve">" </w:instrText>
        </w:r>
        <w:r>
          <w:rPr>
            <w:rStyle w:val="Hyperlink"/>
          </w:rPr>
          <w:fldChar w:fldCharType="end"/>
        </w:r>
      </w:hyperlink>
    </w:p>
  </w:footnote>
  <w:footnote w:id="338">
    <w:p w14:paraId="31C43E76" w14:textId="77777777" w:rsidR="000E1004" w:rsidRDefault="000E1004" w:rsidP="007775E2">
      <w:pPr>
        <w:pStyle w:val="FootnoteText"/>
      </w:pPr>
      <w:r>
        <w:rPr>
          <w:rStyle w:val="FootnoteReference"/>
        </w:rPr>
        <w:footnoteRef/>
      </w:r>
      <w:r>
        <w:t xml:space="preserve"> Sindbæk (2007, 11</w:t>
      </w:r>
      <w:r w:rsidRPr="00F2728A">
        <w:t>9-132</w:t>
      </w:r>
      <w:r>
        <w:t>).</w:t>
      </w:r>
    </w:p>
  </w:footnote>
  <w:footnote w:id="339">
    <w:p w14:paraId="509CF335" w14:textId="77777777" w:rsidR="000E1004" w:rsidRPr="006A7F62" w:rsidRDefault="000E1004" w:rsidP="007775E2">
      <w:pPr>
        <w:pStyle w:val="FootnoteText"/>
      </w:pPr>
      <w:r w:rsidRPr="006A7F62">
        <w:rPr>
          <w:rStyle w:val="FootnoteReference"/>
        </w:rPr>
        <w:footnoteRef/>
      </w:r>
      <w:r w:rsidRPr="006A7F62">
        <w:t xml:space="preserve"> Sindbæk (2007</w:t>
      </w:r>
      <w:r>
        <w:t xml:space="preserve">, </w:t>
      </w:r>
      <w:r w:rsidRPr="006A7F62">
        <w:t>120</w:t>
      </w:r>
      <w:r>
        <w:t>)</w:t>
      </w:r>
      <w:r w:rsidRPr="006A7F62">
        <w:t>.</w:t>
      </w:r>
    </w:p>
  </w:footnote>
  <w:footnote w:id="340">
    <w:p w14:paraId="302B16E4" w14:textId="77777777" w:rsidR="000E1004" w:rsidRPr="006A7F62" w:rsidRDefault="000E1004" w:rsidP="007775E2">
      <w:pPr>
        <w:pStyle w:val="FootnoteText"/>
      </w:pPr>
      <w:r w:rsidRPr="006A7F62">
        <w:rPr>
          <w:rStyle w:val="FootnoteReference"/>
        </w:rPr>
        <w:footnoteRef/>
      </w:r>
      <w:r>
        <w:t xml:space="preserve"> Sindbæk (2007, </w:t>
      </w:r>
      <w:r w:rsidRPr="006A7F62">
        <w:t>128</w:t>
      </w:r>
      <w:r>
        <w:t>)</w:t>
      </w:r>
      <w:r w:rsidRPr="006A7F62">
        <w:t xml:space="preserve">. He also mentions that Badorf-ware occurs on contemporary sites in England (121). </w:t>
      </w:r>
    </w:p>
  </w:footnote>
  <w:footnote w:id="341">
    <w:p w14:paraId="0019EC1E" w14:textId="77777777" w:rsidR="000E1004" w:rsidRPr="006A7F62" w:rsidRDefault="000E1004" w:rsidP="007775E2">
      <w:pPr>
        <w:pStyle w:val="FootnoteText"/>
      </w:pPr>
      <w:r w:rsidRPr="006A7F62">
        <w:rPr>
          <w:rStyle w:val="FootnoteReference"/>
        </w:rPr>
        <w:footnoteRef/>
      </w:r>
      <w:r>
        <w:t xml:space="preserve"> Sindbæk (2007, </w:t>
      </w:r>
      <w:r w:rsidRPr="006A7F62">
        <w:t>129</w:t>
      </w:r>
      <w:r>
        <w:t>)</w:t>
      </w:r>
      <w:r w:rsidRPr="006A7F62">
        <w:t>.</w:t>
      </w:r>
    </w:p>
  </w:footnote>
  <w:footnote w:id="342">
    <w:p w14:paraId="20704346" w14:textId="5FA4BE53" w:rsidR="000E1004" w:rsidRDefault="000E1004">
      <w:pPr>
        <w:pStyle w:val="FootnoteText"/>
      </w:pPr>
      <w:r>
        <w:rPr>
          <w:rStyle w:val="FootnoteReference"/>
        </w:rPr>
        <w:footnoteRef/>
      </w:r>
      <w:r>
        <w:t xml:space="preserve"> </w:t>
      </w:r>
      <w:r w:rsidRPr="00A07A08">
        <w:rPr>
          <w:i/>
        </w:rPr>
        <w:t>Graph 7.</w:t>
      </w:r>
      <w:r>
        <w:rPr>
          <w:i/>
        </w:rPr>
        <w:t xml:space="preserve">12 no. 9, </w:t>
      </w:r>
      <w:r>
        <w:t>illustrates the chronological dispersal of finds.</w:t>
      </w:r>
    </w:p>
  </w:footnote>
  <w:footnote w:id="343">
    <w:p w14:paraId="7D83F2B7" w14:textId="77777777" w:rsidR="000E1004" w:rsidRPr="0014659E" w:rsidRDefault="000E1004" w:rsidP="007775E2">
      <w:pPr>
        <w:pStyle w:val="FootnoteText"/>
      </w:pPr>
      <w:r w:rsidRPr="0014659E">
        <w:rPr>
          <w:rStyle w:val="FootnoteReference"/>
        </w:rPr>
        <w:footnoteRef/>
      </w:r>
      <w:r w:rsidRPr="0014659E">
        <w:t xml:space="preserve"> </w:t>
      </w:r>
      <w:r>
        <w:t>Gannon, (2015</w:t>
      </w:r>
      <w:r w:rsidRPr="0014659E">
        <w:t>).</w:t>
      </w:r>
    </w:p>
  </w:footnote>
  <w:footnote w:id="344">
    <w:p w14:paraId="4A03630C" w14:textId="77777777" w:rsidR="000E1004" w:rsidRPr="00921DC6" w:rsidRDefault="000E1004" w:rsidP="007775E2">
      <w:pPr>
        <w:pStyle w:val="FootnoteText"/>
      </w:pPr>
      <w:r w:rsidRPr="0014659E">
        <w:rPr>
          <w:rStyle w:val="FootnoteReference"/>
        </w:rPr>
        <w:footnoteRef/>
      </w:r>
      <w:r>
        <w:t xml:space="preserve"> Feveile (</w:t>
      </w:r>
      <w:r w:rsidRPr="0014659E">
        <w:t>2008</w:t>
      </w:r>
      <w:r>
        <w:t>,</w:t>
      </w:r>
      <w:r w:rsidRPr="0014659E">
        <w:t xml:space="preserve"> 63</w:t>
      </w:r>
      <w:r>
        <w:t>)</w:t>
      </w:r>
      <w:r w:rsidRPr="0014659E">
        <w:t>.</w:t>
      </w:r>
      <w:r>
        <w:t xml:space="preserve"> </w:t>
      </w:r>
      <w:r w:rsidRPr="00921DC6">
        <w:rPr>
          <w:i/>
        </w:rPr>
        <w:t>Pers. comm.</w:t>
      </w:r>
      <w:r>
        <w:t xml:space="preserve"> Michael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to Mike Bonser, 18</w:t>
      </w:r>
      <w:r w:rsidRPr="00921DC6">
        <w:rPr>
          <w:vertAlign w:val="superscript"/>
        </w:rPr>
        <w:t>th</w:t>
      </w:r>
      <w:r>
        <w:t xml:space="preserve"> October 1992: ‘In Stockholm I was very rudely attacked by Professor Brita Malmer over the attribution of Series</w:t>
      </w:r>
      <w:r>
        <w:fldChar w:fldCharType="begin"/>
      </w:r>
      <w:r>
        <w:instrText xml:space="preserve"> XE "</w:instrText>
      </w:r>
      <w:r w:rsidRPr="007645AE">
        <w:instrText>Series</w:instrText>
      </w:r>
      <w:r>
        <w:instrText xml:space="preserve">" </w:instrText>
      </w:r>
      <w:r>
        <w:fldChar w:fldCharType="end"/>
      </w:r>
      <w:r>
        <w:t xml:space="preserve"> X</w:t>
      </w:r>
      <w:r>
        <w:fldChar w:fldCharType="begin"/>
      </w:r>
      <w:r>
        <w:instrText xml:space="preserve"> XE "</w:instrText>
      </w:r>
      <w:r w:rsidRPr="008D02A1">
        <w:rPr>
          <w:szCs w:val="24"/>
        </w:rPr>
        <w:instrText>Series X</w:instrText>
      </w:r>
      <w:r>
        <w:instrText xml:space="preserve">" </w:instrText>
      </w:r>
      <w:r>
        <w:fldChar w:fldCharType="end"/>
      </w:r>
      <w:r>
        <w:t xml:space="preserve"> to Ribe.’ </w:t>
      </w:r>
    </w:p>
  </w:footnote>
  <w:footnote w:id="345">
    <w:p w14:paraId="7EFBA1B1" w14:textId="77777777" w:rsidR="000E1004" w:rsidRDefault="000E1004" w:rsidP="007775E2">
      <w:pPr>
        <w:pStyle w:val="FootnoteText"/>
      </w:pPr>
      <w:r>
        <w:rPr>
          <w:rStyle w:val="FootnoteReference"/>
        </w:rPr>
        <w:footnoteRef/>
      </w:r>
      <w:r w:rsidRPr="00041AE3">
        <w:t xml:space="preserve"> Though differences in the mean weight of surviving specimens of the English penny</w:t>
      </w:r>
      <w:r>
        <w:fldChar w:fldCharType="begin"/>
      </w:r>
      <w:r>
        <w:instrText xml:space="preserve"> XE "</w:instrText>
      </w:r>
      <w:r w:rsidRPr="007645AE">
        <w:instrText>penny</w:instrText>
      </w:r>
      <w:r>
        <w:instrText xml:space="preserve">" </w:instrText>
      </w:r>
      <w:r>
        <w:fldChar w:fldCharType="end"/>
      </w:r>
      <w:r w:rsidRPr="00041AE3">
        <w:t xml:space="preserve"> and Merovingian</w:t>
      </w:r>
      <w:r>
        <w:fldChar w:fldCharType="begin"/>
      </w:r>
      <w:r>
        <w:instrText xml:space="preserve"> XE "</w:instrText>
      </w:r>
      <w:r w:rsidRPr="007D3069">
        <w:rPr>
          <w:rStyle w:val="Hyperlink"/>
          <w:noProof/>
        </w:rPr>
        <w:instrText>Merovingian</w:instrText>
      </w:r>
      <w:r>
        <w:instrText xml:space="preserve">" </w:instrText>
      </w:r>
      <w:r>
        <w:fldChar w:fldCharType="end"/>
      </w:r>
      <w:r w:rsidRPr="00041AE3">
        <w:t xml:space="preserve"> denier</w:t>
      </w:r>
      <w:r>
        <w:fldChar w:fldCharType="begin"/>
      </w:r>
      <w:r>
        <w:instrText xml:space="preserve"> XE "</w:instrText>
      </w:r>
      <w:r w:rsidRPr="007D3069">
        <w:rPr>
          <w:rFonts w:cs="Times New Roman"/>
          <w:szCs w:val="24"/>
        </w:rPr>
        <w:instrText>denier</w:instrText>
      </w:r>
      <w:r>
        <w:instrText xml:space="preserve">" </w:instrText>
      </w:r>
      <w:r>
        <w:fldChar w:fldCharType="end"/>
      </w:r>
      <w:r w:rsidRPr="00041AE3">
        <w:t xml:space="preserve"> implies that these would only have exchanged by weight not tale.</w:t>
      </w:r>
    </w:p>
  </w:footnote>
  <w:footnote w:id="346">
    <w:p w14:paraId="1676F771" w14:textId="77777777" w:rsidR="000E1004" w:rsidRPr="00FB019C" w:rsidRDefault="000E1004" w:rsidP="007775E2">
      <w:pPr>
        <w:pStyle w:val="FootnoteText"/>
      </w:pPr>
      <w:r>
        <w:rPr>
          <w:rStyle w:val="FootnoteReference"/>
        </w:rPr>
        <w:footnoteRef/>
      </w:r>
      <w:r>
        <w:t xml:space="preserve"> </w:t>
      </w:r>
      <w:r w:rsidRPr="00FB019C">
        <w:rPr>
          <w:i/>
        </w:rPr>
        <w:t>P&amp;U</w:t>
      </w:r>
      <w:r>
        <w:t xml:space="preserve"> (2003). </w:t>
      </w:r>
      <w:r w:rsidRPr="00FB019C">
        <w:rPr>
          <w:i/>
        </w:rPr>
        <w:t>SEVA</w:t>
      </w:r>
      <w:r>
        <w:t xml:space="preserve">, (2007). </w:t>
      </w:r>
      <w:r w:rsidRPr="00FB019C">
        <w:rPr>
          <w:i/>
        </w:rPr>
        <w:t>SEMSS</w:t>
      </w:r>
      <w:r>
        <w:t xml:space="preserve"> (2011). Blackburn (2011).</w:t>
      </w:r>
    </w:p>
  </w:footnote>
  <w:footnote w:id="347">
    <w:p w14:paraId="71D1B5D1" w14:textId="13372DBD" w:rsidR="000E1004" w:rsidRDefault="000E1004">
      <w:pPr>
        <w:pStyle w:val="FootnoteText"/>
      </w:pPr>
      <w:r>
        <w:rPr>
          <w:rStyle w:val="FootnoteReference"/>
        </w:rPr>
        <w:footnoteRef/>
      </w:r>
      <w:r>
        <w:t xml:space="preserve"> </w:t>
      </w:r>
      <w:r>
        <w:rPr>
          <w:i/>
        </w:rPr>
        <w:t>Graphs 7.11</w:t>
      </w:r>
      <w:r w:rsidRPr="00A07A08">
        <w:rPr>
          <w:i/>
        </w:rPr>
        <w:t xml:space="preserve"> </w:t>
      </w:r>
      <w:r>
        <w:t>illustrate the chronological dispersal of finds at three Viking sites – clearly dominated by stycas.</w:t>
      </w:r>
    </w:p>
  </w:footnote>
  <w:footnote w:id="348">
    <w:p w14:paraId="6CFF7281" w14:textId="77777777" w:rsidR="000E1004" w:rsidRPr="000742D2" w:rsidRDefault="000E1004" w:rsidP="007775E2">
      <w:pPr>
        <w:pStyle w:val="FootnoteText"/>
      </w:pPr>
      <w:r w:rsidRPr="000742D2">
        <w:rPr>
          <w:rStyle w:val="FootnoteReference"/>
        </w:rPr>
        <w:footnoteRef/>
      </w:r>
      <w:r w:rsidRPr="000742D2">
        <w:t xml:space="preserve"> Coinciding with the Hedeby coinage but of vastly greater volume.</w:t>
      </w:r>
    </w:p>
  </w:footnote>
  <w:footnote w:id="349">
    <w:p w14:paraId="1ED8B182" w14:textId="5B7C30DA" w:rsidR="000E1004" w:rsidRPr="000742D2" w:rsidRDefault="000E1004" w:rsidP="007775E2">
      <w:pPr>
        <w:pStyle w:val="FootnoteText"/>
      </w:pPr>
      <w:r w:rsidRPr="000742D2">
        <w:rPr>
          <w:rStyle w:val="FootnoteReference"/>
        </w:rPr>
        <w:footnoteRef/>
      </w:r>
      <w:r w:rsidRPr="000742D2">
        <w:t xml:space="preserve"> For sectarian history (819–999) see: </w:t>
      </w:r>
      <w:hyperlink r:id="rId5" w:history="1">
        <w:r w:rsidRPr="000742D2">
          <w:rPr>
            <w:rStyle w:val="Hyperlink"/>
          </w:rPr>
          <w:t>http://en.wikipedia.org/wiki/Samanid_Empire</w:t>
        </w:r>
      </w:hyperlink>
      <w:r w:rsidRPr="000742D2">
        <w:t>.</w:t>
      </w:r>
    </w:p>
  </w:footnote>
  <w:footnote w:id="350">
    <w:p w14:paraId="7A1E7867" w14:textId="77777777" w:rsidR="000E1004" w:rsidRPr="000742D2" w:rsidRDefault="000E1004" w:rsidP="007775E2">
      <w:pPr>
        <w:pStyle w:val="FootnoteText"/>
      </w:pPr>
      <w:r w:rsidRPr="000742D2">
        <w:rPr>
          <w:rStyle w:val="FootnoteReference"/>
        </w:rPr>
        <w:footnoteRef/>
      </w:r>
      <w:r w:rsidRPr="000742D2">
        <w:t xml:space="preserve"> To </w:t>
      </w:r>
      <w:r w:rsidRPr="000742D2">
        <w:rPr>
          <w:i/>
        </w:rPr>
        <w:t>c.</w:t>
      </w:r>
      <w:r w:rsidRPr="000742D2">
        <w:t xml:space="preserve">800, over half of the dirhams come from the mints of Baghdad </w:t>
      </w:r>
      <w:r>
        <w:t xml:space="preserve">and Tehran. </w:t>
      </w:r>
      <w:r w:rsidRPr="000742D2">
        <w:t xml:space="preserve">After Kabul fell to the Moslems, Tashkent and Samarkand are the main mints, with Merv featuring until </w:t>
      </w:r>
      <w:r w:rsidRPr="00E0242A">
        <w:rPr>
          <w:i/>
        </w:rPr>
        <w:t>c.</w:t>
      </w:r>
      <w:r w:rsidRPr="000742D2">
        <w:t>870, (Metcalf</w:t>
      </w:r>
      <w:r>
        <w:fldChar w:fldCharType="begin"/>
      </w:r>
      <w:r>
        <w:instrText xml:space="preserve"> XE "</w:instrText>
      </w:r>
      <w:r w:rsidRPr="00523AF8">
        <w:rPr>
          <w:rStyle w:val="Hyperlink"/>
          <w:noProof/>
        </w:rPr>
        <w:instrText>Metcalf</w:instrText>
      </w:r>
      <w:r>
        <w:instrText xml:space="preserve">" </w:instrText>
      </w:r>
      <w:r>
        <w:fldChar w:fldCharType="end"/>
      </w:r>
      <w:r w:rsidRPr="000742D2">
        <w:t>, 1997</w:t>
      </w:r>
      <w:r>
        <w:t>,</w:t>
      </w:r>
      <w:r w:rsidRPr="000742D2">
        <w:t xml:space="preserve"> 295). Spufford </w:t>
      </w:r>
      <w:r>
        <w:t>(1988,</w:t>
      </w:r>
      <w:r w:rsidRPr="006D7168">
        <w:t xml:space="preserve"> </w:t>
      </w:r>
      <w:r w:rsidRPr="000742D2">
        <w:t>65). 80-90% of hoarded d</w:t>
      </w:r>
      <w:r>
        <w:t>irhams in Scandinavia</w:t>
      </w:r>
      <w:r>
        <w:fldChar w:fldCharType="begin"/>
      </w:r>
      <w:r>
        <w:instrText xml:space="preserve"> XE "</w:instrText>
      </w:r>
      <w:r w:rsidRPr="00F1328A">
        <w:rPr>
          <w:rStyle w:val="Hyperlink"/>
          <w:noProof/>
        </w:rPr>
        <w:instrText>Scandinavia</w:instrText>
      </w:r>
      <w:r>
        <w:instrText xml:space="preserve">" </w:instrText>
      </w:r>
      <w:r>
        <w:fldChar w:fldCharType="end"/>
      </w:r>
      <w:r>
        <w:t xml:space="preserve"> are tenth</w:t>
      </w:r>
      <w:r w:rsidRPr="000742D2">
        <w:t xml:space="preserve"> and early eleventh</w:t>
      </w:r>
      <w:r>
        <w:t xml:space="preserve"> </w:t>
      </w:r>
      <w:r w:rsidRPr="000742D2">
        <w:t>century (Metcalf 1997</w:t>
      </w:r>
      <w:r>
        <w:t>,</w:t>
      </w:r>
      <w:r w:rsidRPr="000742D2">
        <w:t xml:space="preserve"> 316). It has been demonstrated that armlets and hacksilver consist of ninth- </w:t>
      </w:r>
      <w:r>
        <w:t xml:space="preserve">and tenth-century dirhams. </w:t>
      </w:r>
      <w:r w:rsidRPr="000742D2">
        <w:t>Metcalf</w:t>
      </w:r>
      <w:r>
        <w:t xml:space="preserve"> (</w:t>
      </w:r>
      <w:r w:rsidRPr="000742D2">
        <w:t>1997</w:t>
      </w:r>
      <w:r>
        <w:t>,</w:t>
      </w:r>
      <w:r w:rsidRPr="000742D2">
        <w:t xml:space="preserve"> 329).</w:t>
      </w:r>
    </w:p>
  </w:footnote>
  <w:footnote w:id="351">
    <w:p w14:paraId="7DFDFFC0" w14:textId="77777777" w:rsidR="000E1004" w:rsidRPr="008C7C0E" w:rsidRDefault="000E1004" w:rsidP="007775E2">
      <w:pPr>
        <w:pStyle w:val="FootnoteText"/>
      </w:pPr>
      <w:r w:rsidRPr="008C7C0E">
        <w:rPr>
          <w:rStyle w:val="FootnoteReference"/>
        </w:rPr>
        <w:footnoteRef/>
      </w:r>
      <w:r>
        <w:t xml:space="preserve"> Myhre (1993, </w:t>
      </w:r>
      <w:r w:rsidRPr="008C7C0E">
        <w:t>184-204</w:t>
      </w:r>
      <w:r>
        <w:t>)</w:t>
      </w:r>
      <w:r w:rsidRPr="008C7C0E">
        <w:t>.</w:t>
      </w:r>
    </w:p>
  </w:footnote>
  <w:footnote w:id="352">
    <w:p w14:paraId="5DAE3D02" w14:textId="27BABC0C" w:rsidR="000E1004" w:rsidRPr="00264C31" w:rsidRDefault="000E1004" w:rsidP="00264C31">
      <w:pPr>
        <w:pStyle w:val="NoSpacing"/>
        <w:rPr>
          <w:rFonts w:eastAsia="Times New Roman"/>
          <w:sz w:val="20"/>
          <w:szCs w:val="20"/>
          <w:lang w:eastAsia="en-GB"/>
        </w:rPr>
      </w:pPr>
      <w:r>
        <w:rPr>
          <w:rStyle w:val="FootnoteReference"/>
        </w:rPr>
        <w:footnoteRef/>
      </w:r>
      <w:r>
        <w:t xml:space="preserve"> </w:t>
      </w:r>
      <w:r w:rsidRPr="00823DBE">
        <w:rPr>
          <w:rFonts w:eastAsia="Times New Roman"/>
          <w:sz w:val="20"/>
          <w:szCs w:val="20"/>
          <w:lang w:eastAsia="en-GB"/>
        </w:rPr>
        <w:t>T</w:t>
      </w:r>
      <w:r>
        <w:rPr>
          <w:rFonts w:eastAsia="Times New Roman"/>
          <w:sz w:val="20"/>
          <w:szCs w:val="20"/>
          <w:lang w:eastAsia="en-GB"/>
        </w:rPr>
        <w:t>h</w:t>
      </w:r>
      <w:r w:rsidRPr="00823DBE">
        <w:rPr>
          <w:rFonts w:eastAsia="Times New Roman"/>
          <w:sz w:val="20"/>
          <w:szCs w:val="20"/>
          <w:lang w:eastAsia="en-GB"/>
        </w:rPr>
        <w:t>e 61st International Sachsensymposion</w:t>
      </w:r>
      <w:r>
        <w:rPr>
          <w:rFonts w:eastAsia="Times New Roman"/>
          <w:sz w:val="20"/>
          <w:szCs w:val="20"/>
          <w:lang w:eastAsia="en-GB"/>
        </w:rPr>
        <w:t>,</w:t>
      </w:r>
      <w:r w:rsidRPr="00823DBE">
        <w:rPr>
          <w:rFonts w:eastAsia="Times New Roman"/>
          <w:sz w:val="20"/>
          <w:szCs w:val="20"/>
          <w:lang w:eastAsia="en-GB"/>
        </w:rPr>
        <w:t xml:space="preserve"> held in the Museum Sønderjylland Arkæologi Haderslev, 11</w:t>
      </w:r>
      <w:r>
        <w:rPr>
          <w:rFonts w:eastAsia="Times New Roman"/>
          <w:sz w:val="20"/>
          <w:szCs w:val="20"/>
          <w:lang w:eastAsia="en-GB"/>
        </w:rPr>
        <w:t>-</w:t>
      </w:r>
      <w:r w:rsidRPr="00823DBE">
        <w:rPr>
          <w:rFonts w:eastAsia="Times New Roman"/>
          <w:sz w:val="20"/>
          <w:szCs w:val="20"/>
          <w:lang w:eastAsia="en-GB"/>
        </w:rPr>
        <w:t>16</w:t>
      </w:r>
      <w:r>
        <w:rPr>
          <w:rFonts w:eastAsia="Times New Roman"/>
          <w:sz w:val="20"/>
          <w:szCs w:val="20"/>
          <w:lang w:eastAsia="en-GB"/>
        </w:rPr>
        <w:t xml:space="preserve"> September 2010. </w:t>
      </w:r>
    </w:p>
  </w:footnote>
  <w:footnote w:id="353">
    <w:p w14:paraId="7E5CD5FC" w14:textId="77777777" w:rsidR="000E1004" w:rsidRDefault="000E1004" w:rsidP="004373A0">
      <w:pPr>
        <w:pStyle w:val="FootnoteText"/>
      </w:pPr>
      <w:r>
        <w:rPr>
          <w:rStyle w:val="FootnoteReference"/>
        </w:rPr>
        <w:footnoteRef/>
      </w:r>
      <w:r>
        <w:t xml:space="preserve"> ‘Hard’ as opposed to ‘virtual’.</w:t>
      </w:r>
    </w:p>
  </w:footnote>
  <w:footnote w:id="354">
    <w:p w14:paraId="6B7DAEF5" w14:textId="7F7A9F92" w:rsidR="000E1004" w:rsidRDefault="000E1004" w:rsidP="00373A9F">
      <w:pPr>
        <w:pStyle w:val="FootnoteText"/>
      </w:pPr>
      <w:r>
        <w:rPr>
          <w:rStyle w:val="FootnoteReference"/>
        </w:rPr>
        <w:footnoteRef/>
      </w:r>
      <w:r>
        <w:t xml:space="preserve"> </w:t>
      </w:r>
      <w:r>
        <w:rPr>
          <w:rFonts w:cs="Times New Roman"/>
        </w:rPr>
        <w:t>Abramson</w:t>
      </w:r>
      <w:r>
        <w:rPr>
          <w:rFonts w:cs="Times New Roman"/>
        </w:rPr>
        <w:fldChar w:fldCharType="begin"/>
      </w:r>
      <w:r>
        <w:instrText xml:space="preserve"> XE "</w:instrText>
      </w:r>
      <w:r w:rsidRPr="007A2080">
        <w:rPr>
          <w:rFonts w:cs="Times New Roman"/>
          <w:b/>
          <w:sz w:val="40"/>
          <w:szCs w:val="40"/>
        </w:rPr>
        <w:instrText>Abramson</w:instrText>
      </w:r>
      <w:r>
        <w:instrText xml:space="preserve">" </w:instrText>
      </w:r>
      <w:r>
        <w:rPr>
          <w:rFonts w:cs="Times New Roman"/>
        </w:rPr>
        <w:fldChar w:fldCharType="end"/>
      </w:r>
      <w:r>
        <w:rPr>
          <w:rFonts w:cs="Times New Roman"/>
        </w:rPr>
        <w:t xml:space="preserve"> (</w:t>
      </w:r>
      <w:r w:rsidRPr="009F1BFD">
        <w:rPr>
          <w:rFonts w:cs="Times New Roman"/>
        </w:rPr>
        <w:t>2012e</w:t>
      </w:r>
      <w:r>
        <w:rPr>
          <w:rFonts w:cs="Times New Roman"/>
        </w:rPr>
        <w:t>, 30-72).</w:t>
      </w:r>
    </w:p>
  </w:footnote>
  <w:footnote w:id="355">
    <w:p w14:paraId="6422D038" w14:textId="49D0E089" w:rsidR="000E1004" w:rsidRPr="002F7DB9" w:rsidRDefault="000E1004">
      <w:pPr>
        <w:pStyle w:val="FootnoteText"/>
      </w:pPr>
      <w:r>
        <w:rPr>
          <w:rStyle w:val="FootnoteReference"/>
        </w:rPr>
        <w:footnoteRef/>
      </w:r>
      <w:r>
        <w:t xml:space="preserve"> Verhulst (2000, 110-13) characterised coastal </w:t>
      </w:r>
      <w:r w:rsidRPr="002F7DB9">
        <w:rPr>
          <w:i/>
        </w:rPr>
        <w:t>emporia</w:t>
      </w:r>
      <w:r>
        <w:t xml:space="preserve"> on the major Continental rivers emphasising the greater longevity of the former Roman cities. These </w:t>
      </w:r>
      <w:r w:rsidRPr="00A010B1">
        <w:rPr>
          <w:i/>
        </w:rPr>
        <w:t>emporia</w:t>
      </w:r>
      <w:r>
        <w:t xml:space="preserve"> coincided with Frankish unity, 720-840. (Wickham, 2000, 347).</w:t>
      </w:r>
    </w:p>
  </w:footnote>
  <w:footnote w:id="356">
    <w:p w14:paraId="4FADD321" w14:textId="36205F3B" w:rsidR="000E1004" w:rsidRDefault="000E1004" w:rsidP="00373A9F">
      <w:pPr>
        <w:pStyle w:val="FootnoteText"/>
      </w:pPr>
      <w:r>
        <w:rPr>
          <w:rStyle w:val="FootnoteReference"/>
        </w:rPr>
        <w:footnoteRef/>
      </w:r>
      <w:r>
        <w:t xml:space="preserve"> Including Iron-Age trackways and Roman</w:t>
      </w:r>
      <w:r>
        <w:fldChar w:fldCharType="begin"/>
      </w:r>
      <w:r>
        <w:instrText xml:space="preserve"> XE "</w:instrText>
      </w:r>
      <w:r w:rsidRPr="007645AE">
        <w:instrText>Roman</w:instrText>
      </w:r>
      <w:r>
        <w:instrText xml:space="preserve">" </w:instrText>
      </w:r>
      <w:r>
        <w:fldChar w:fldCharType="end"/>
      </w:r>
      <w:r>
        <w:t xml:space="preserve"> roads.</w:t>
      </w:r>
    </w:p>
  </w:footnote>
  <w:footnote w:id="357">
    <w:p w14:paraId="5A898901" w14:textId="52FDF838" w:rsidR="000E1004" w:rsidRDefault="000E1004" w:rsidP="00373A9F">
      <w:pPr>
        <w:pStyle w:val="FootnoteText"/>
      </w:pPr>
      <w:r>
        <w:rPr>
          <w:rStyle w:val="FootnoteReference"/>
        </w:rPr>
        <w:footnoteRef/>
      </w:r>
      <w:r>
        <w:t xml:space="preserve"> </w:t>
      </w:r>
      <w:r>
        <w:rPr>
          <w:rFonts w:cs="Times New Roman"/>
        </w:rPr>
        <w:t>B</w:t>
      </w:r>
      <w:r w:rsidRPr="00EF0E72">
        <w:rPr>
          <w:rFonts w:cs="Times New Roman"/>
        </w:rPr>
        <w:t>oth settlement</w:t>
      </w:r>
      <w:r>
        <w:rPr>
          <w:rFonts w:cs="Times New Roman"/>
        </w:rPr>
        <w:fldChar w:fldCharType="begin"/>
      </w:r>
      <w:r>
        <w:instrText xml:space="preserve"> XE "</w:instrText>
      </w:r>
      <w:r w:rsidRPr="007645AE">
        <w:instrText>settlement</w:instrText>
      </w:r>
      <w:r>
        <w:instrText xml:space="preserve">" </w:instrText>
      </w:r>
      <w:r>
        <w:rPr>
          <w:rFonts w:cs="Times New Roman"/>
        </w:rPr>
        <w:fldChar w:fldCharType="end"/>
      </w:r>
      <w:r w:rsidRPr="00EF0E72">
        <w:rPr>
          <w:rFonts w:cs="Times New Roman"/>
        </w:rPr>
        <w:t xml:space="preserve"> and capitalism</w:t>
      </w:r>
      <w:r>
        <w:rPr>
          <w:rFonts w:cs="Times New Roman"/>
        </w:rPr>
        <w:fldChar w:fldCharType="begin"/>
      </w:r>
      <w:r>
        <w:instrText xml:space="preserve"> XE "</w:instrText>
      </w:r>
      <w:r w:rsidRPr="007D3069">
        <w:rPr>
          <w:rFonts w:cs="Times New Roman"/>
          <w:szCs w:val="24"/>
        </w:rPr>
        <w:instrText>capitalism</w:instrText>
      </w:r>
      <w:r>
        <w:instrText xml:space="preserve">" </w:instrText>
      </w:r>
      <w:r>
        <w:rPr>
          <w:rFonts w:cs="Times New Roman"/>
        </w:rPr>
        <w:fldChar w:fldCharType="end"/>
      </w:r>
      <w:r w:rsidRPr="00EF0E72">
        <w:rPr>
          <w:rFonts w:cs="Times New Roman"/>
        </w:rPr>
        <w:t xml:space="preserve"> are characte</w:t>
      </w:r>
      <w:r>
        <w:rPr>
          <w:rFonts w:cs="Times New Roman"/>
        </w:rPr>
        <w:t>rised by specialization.</w:t>
      </w:r>
    </w:p>
  </w:footnote>
  <w:footnote w:id="358">
    <w:p w14:paraId="6959DA68" w14:textId="7048C3CF" w:rsidR="000E1004" w:rsidRDefault="000E1004" w:rsidP="00373A9F">
      <w:pPr>
        <w:pStyle w:val="FootnoteText"/>
      </w:pPr>
      <w:r>
        <w:rPr>
          <w:rStyle w:val="FootnoteReference"/>
        </w:rPr>
        <w:footnoteRef/>
      </w:r>
      <w:r>
        <w:t xml:space="preserve"> Hamer (1970). This includes not only the illuminated manuscripts but also the work of C</w:t>
      </w:r>
      <w:r>
        <w:rPr>
          <w:rFonts w:ascii="COINS010" w:hAnsi="COINS010"/>
        </w:rPr>
        <w:t>æ</w:t>
      </w:r>
      <w:r>
        <w:t>dmon, Stephanus, Bede</w:t>
      </w:r>
      <w:r>
        <w:fldChar w:fldCharType="begin"/>
      </w:r>
      <w:r>
        <w:instrText xml:space="preserve"> XE "</w:instrText>
      </w:r>
      <w:r w:rsidRPr="007D3069">
        <w:rPr>
          <w:bCs/>
        </w:rPr>
        <w:instrText>Bede</w:instrText>
      </w:r>
      <w:r>
        <w:instrText xml:space="preserve">" </w:instrText>
      </w:r>
      <w:r>
        <w:fldChar w:fldCharType="end"/>
      </w:r>
      <w:r>
        <w:t xml:space="preserve"> and Alcuin</w:t>
      </w:r>
      <w:r>
        <w:fldChar w:fldCharType="begin"/>
      </w:r>
      <w:r>
        <w:instrText xml:space="preserve"> XE "</w:instrText>
      </w:r>
      <w:r w:rsidRPr="007D3069">
        <w:rPr>
          <w:rFonts w:cs="Times New Roman"/>
          <w:szCs w:val="24"/>
        </w:rPr>
        <w:instrText>Alcuin</w:instrText>
      </w:r>
      <w:r>
        <w:instrText xml:space="preserve">" </w:instrText>
      </w:r>
      <w:r>
        <w:fldChar w:fldCharType="end"/>
      </w:r>
      <w:r>
        <w:t>.</w:t>
      </w:r>
    </w:p>
  </w:footnote>
  <w:footnote w:id="359">
    <w:p w14:paraId="371CA8F7" w14:textId="534BFB50" w:rsidR="000E1004" w:rsidRDefault="000E1004" w:rsidP="00373A9F">
      <w:pPr>
        <w:pStyle w:val="FootnoteText"/>
      </w:pPr>
      <w:r>
        <w:rPr>
          <w:rStyle w:val="FootnoteReference"/>
        </w:rPr>
        <w:footnoteRef/>
      </w:r>
      <w:r>
        <w:t xml:space="preserve"> Later, outward during colonization and industrialization.</w:t>
      </w:r>
    </w:p>
  </w:footnote>
  <w:footnote w:id="360">
    <w:p w14:paraId="618AD5C2" w14:textId="0F603977" w:rsidR="000E1004" w:rsidRDefault="000E1004" w:rsidP="00373A9F">
      <w:pPr>
        <w:pStyle w:val="FootnoteText"/>
      </w:pPr>
      <w:r>
        <w:rPr>
          <w:rStyle w:val="FootnoteReference"/>
        </w:rPr>
        <w:footnoteRef/>
      </w:r>
      <w:r>
        <w:t xml:space="preserve"> Schumpeter (1942).</w:t>
      </w:r>
    </w:p>
  </w:footnote>
  <w:footnote w:id="361">
    <w:p w14:paraId="26375F00" w14:textId="0890EC50" w:rsidR="000E1004" w:rsidRDefault="000E1004" w:rsidP="00373A9F">
      <w:pPr>
        <w:pStyle w:val="FootnoteText"/>
      </w:pPr>
      <w:r>
        <w:rPr>
          <w:rStyle w:val="FootnoteReference"/>
        </w:rPr>
        <w:footnoteRef/>
      </w:r>
      <w:r>
        <w:t xml:space="preserve"> </w:t>
      </w:r>
      <w:r>
        <w:rPr>
          <w:color w:val="000000" w:themeColor="text1"/>
        </w:rPr>
        <w:t>T</w:t>
      </w:r>
      <w:r w:rsidRPr="005E4BFA">
        <w:rPr>
          <w:color w:val="000000" w:themeColor="text1"/>
        </w:rPr>
        <w:t>hough exploitative.</w:t>
      </w:r>
    </w:p>
  </w:footnote>
  <w:footnote w:id="362">
    <w:p w14:paraId="35444F94" w14:textId="203156D3" w:rsidR="000E1004" w:rsidRDefault="000E1004" w:rsidP="00373A9F">
      <w:pPr>
        <w:pStyle w:val="FootnoteText"/>
      </w:pPr>
      <w:r>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291).</w:t>
      </w:r>
    </w:p>
  </w:footnote>
  <w:footnote w:id="363">
    <w:p w14:paraId="1A7C8FEA" w14:textId="13675C82" w:rsidR="000E1004" w:rsidRDefault="000E1004" w:rsidP="00373A9F">
      <w:pPr>
        <w:pStyle w:val="NoSpacing"/>
      </w:pPr>
      <w:r w:rsidRPr="002A1565">
        <w:rPr>
          <w:rStyle w:val="FootnoteReference"/>
          <w:sz w:val="20"/>
          <w:szCs w:val="20"/>
        </w:rPr>
        <w:footnoteRef/>
      </w:r>
      <w:r w:rsidRPr="002A1565">
        <w:rPr>
          <w:sz w:val="20"/>
          <w:szCs w:val="20"/>
        </w:rPr>
        <w:t xml:space="preserve"> </w:t>
      </w:r>
      <w:r w:rsidRPr="00376132">
        <w:rPr>
          <w:rFonts w:eastAsia="Times New Roman" w:cs="Times New Roman"/>
          <w:sz w:val="20"/>
          <w:szCs w:val="20"/>
          <w:lang w:eastAsia="en-GB"/>
        </w:rPr>
        <w:t>Meols &amp; Rendlesham among other sites have produced low-denomination Byzantine</w:t>
      </w:r>
      <w:r>
        <w:rPr>
          <w:rFonts w:eastAsia="Times New Roman" w:cs="Times New Roman"/>
          <w:sz w:val="20"/>
          <w:szCs w:val="20"/>
          <w:lang w:eastAsia="en-GB"/>
        </w:rPr>
        <w:fldChar w:fldCharType="begin"/>
      </w:r>
      <w:r>
        <w:instrText xml:space="preserve"> XE "</w:instrText>
      </w:r>
      <w:r w:rsidRPr="007D3069">
        <w:instrText>Byzantine</w:instrText>
      </w:r>
      <w:r>
        <w:instrText xml:space="preserve">" </w:instrText>
      </w:r>
      <w:r>
        <w:rPr>
          <w:rFonts w:eastAsia="Times New Roman" w:cs="Times New Roman"/>
          <w:sz w:val="20"/>
          <w:szCs w:val="20"/>
          <w:lang w:eastAsia="en-GB"/>
        </w:rPr>
        <w:fldChar w:fldCharType="end"/>
      </w:r>
      <w:r w:rsidRPr="00376132">
        <w:rPr>
          <w:rFonts w:eastAsia="Times New Roman" w:cs="Times New Roman"/>
          <w:sz w:val="20"/>
          <w:szCs w:val="20"/>
          <w:lang w:eastAsia="en-GB"/>
        </w:rPr>
        <w:t xml:space="preserve"> coppers and Yapham</w:t>
      </w:r>
      <w:r>
        <w:rPr>
          <w:rFonts w:eastAsia="Times New Roman" w:cs="Times New Roman"/>
          <w:sz w:val="20"/>
          <w:szCs w:val="20"/>
          <w:lang w:eastAsia="en-GB"/>
        </w:rPr>
        <w:fldChar w:fldCharType="begin"/>
      </w:r>
      <w:r>
        <w:instrText xml:space="preserve"> XE "</w:instrText>
      </w:r>
      <w:r w:rsidRPr="004D76A0">
        <w:rPr>
          <w:rStyle w:val="Hyperlink"/>
          <w:noProof/>
        </w:rPr>
        <w:instrText>Yapham</w:instrText>
      </w:r>
      <w:r>
        <w:instrText xml:space="preserve">" </w:instrText>
      </w:r>
      <w:r>
        <w:rPr>
          <w:rFonts w:eastAsia="Times New Roman" w:cs="Times New Roman"/>
          <w:sz w:val="20"/>
          <w:szCs w:val="20"/>
          <w:lang w:eastAsia="en-GB"/>
        </w:rPr>
        <w:fldChar w:fldCharType="end"/>
      </w:r>
      <w:r w:rsidRPr="00376132">
        <w:rPr>
          <w:rFonts w:eastAsia="Times New Roman" w:cs="Times New Roman"/>
          <w:sz w:val="20"/>
          <w:szCs w:val="20"/>
          <w:lang w:eastAsia="en-GB"/>
        </w:rPr>
        <w:t xml:space="preserve"> &amp; Rendlesham counterfeit</w:t>
      </w:r>
      <w:r>
        <w:rPr>
          <w:rFonts w:eastAsia="Times New Roman" w:cs="Times New Roman"/>
          <w:sz w:val="20"/>
          <w:szCs w:val="20"/>
          <w:lang w:eastAsia="en-GB"/>
        </w:rPr>
        <w:fldChar w:fldCharType="begin"/>
      </w:r>
      <w:r>
        <w:instrText xml:space="preserve"> XE "</w:instrText>
      </w:r>
      <w:r w:rsidRPr="007645AE">
        <w:instrText>counterfeit</w:instrText>
      </w:r>
      <w:r>
        <w:instrText xml:space="preserve">" </w:instrText>
      </w:r>
      <w:r>
        <w:rPr>
          <w:rFonts w:eastAsia="Times New Roman" w:cs="Times New Roman"/>
          <w:sz w:val="20"/>
          <w:szCs w:val="20"/>
          <w:lang w:eastAsia="en-GB"/>
        </w:rPr>
        <w:fldChar w:fldCharType="end"/>
      </w:r>
      <w:r w:rsidRPr="00376132">
        <w:rPr>
          <w:rFonts w:eastAsia="Times New Roman" w:cs="Times New Roman"/>
          <w:sz w:val="20"/>
          <w:szCs w:val="20"/>
          <w:lang w:eastAsia="en-GB"/>
        </w:rPr>
        <w:t xml:space="preserve"> tremisses implying </w:t>
      </w:r>
      <w:r>
        <w:rPr>
          <w:rFonts w:eastAsia="Times New Roman" w:cs="Times New Roman"/>
          <w:sz w:val="20"/>
          <w:szCs w:val="20"/>
          <w:lang w:eastAsia="en-GB"/>
        </w:rPr>
        <w:t>monetis</w:t>
      </w:r>
      <w:r w:rsidRPr="00376132">
        <w:rPr>
          <w:rFonts w:eastAsia="Times New Roman" w:cs="Times New Roman"/>
          <w:sz w:val="20"/>
          <w:szCs w:val="20"/>
          <w:lang w:eastAsia="en-GB"/>
        </w:rPr>
        <w:t>ation</w:t>
      </w:r>
      <w:r>
        <w:rPr>
          <w:rFonts w:eastAsia="Times New Roman" w:cs="Times New Roman"/>
          <w:sz w:val="20"/>
          <w:szCs w:val="20"/>
          <w:lang w:eastAsia="en-GB"/>
        </w:rPr>
        <w:fldChar w:fldCharType="begin"/>
      </w:r>
      <w:r>
        <w:instrText xml:space="preserve"> XE "</w:instrText>
      </w:r>
      <w:r w:rsidRPr="007D3069">
        <w:instrText>monetization</w:instrText>
      </w:r>
      <w:r>
        <w:instrText xml:space="preserve">" </w:instrText>
      </w:r>
      <w:r>
        <w:rPr>
          <w:rFonts w:eastAsia="Times New Roman" w:cs="Times New Roman"/>
          <w:sz w:val="20"/>
          <w:szCs w:val="20"/>
          <w:lang w:eastAsia="en-GB"/>
        </w:rPr>
        <w:fldChar w:fldCharType="end"/>
      </w:r>
      <w:r w:rsidRPr="00376132">
        <w:rPr>
          <w:rFonts w:eastAsia="Times New Roman" w:cs="Times New Roman"/>
          <w:sz w:val="20"/>
          <w:szCs w:val="20"/>
          <w:lang w:eastAsia="en-GB"/>
        </w:rPr>
        <w:t>.</w:t>
      </w:r>
    </w:p>
  </w:footnote>
  <w:footnote w:id="364">
    <w:p w14:paraId="6C303586" w14:textId="100DAE88" w:rsidR="000E1004" w:rsidRDefault="000E1004">
      <w:pPr>
        <w:pStyle w:val="FootnoteText"/>
      </w:pPr>
      <w:r>
        <w:rPr>
          <w:rStyle w:val="FootnoteReference"/>
        </w:rPr>
        <w:footnoteRef/>
      </w:r>
      <w:r>
        <w:t xml:space="preserve"> </w:t>
      </w:r>
      <w:r>
        <w:rPr>
          <w:rFonts w:eastAsia="Times New Roman" w:cs="Times New Roman"/>
          <w:lang w:eastAsia="en-GB"/>
        </w:rPr>
        <w:t>The Bulmer Beck daisy reverse gold shilling is southumbrian (</w:t>
      </w:r>
      <w:r>
        <w:rPr>
          <w:rFonts w:eastAsia="Times New Roman" w:cs="Times New Roman"/>
          <w:lang w:eastAsia="en-GB"/>
        </w:rPr>
        <w:fldChar w:fldCharType="begin"/>
      </w:r>
      <w:r>
        <w:rPr>
          <w:rFonts w:eastAsia="Times New Roman" w:cs="Times New Roman"/>
          <w:lang w:eastAsia="en-GB"/>
        </w:rPr>
        <w:instrText xml:space="preserve"> PAGEREF BulmerBeck \h </w:instrText>
      </w:r>
      <w:r>
        <w:rPr>
          <w:rFonts w:eastAsia="Times New Roman" w:cs="Times New Roman"/>
          <w:lang w:eastAsia="en-GB"/>
        </w:rPr>
      </w:r>
      <w:r>
        <w:rPr>
          <w:rFonts w:eastAsia="Times New Roman" w:cs="Times New Roman"/>
          <w:lang w:eastAsia="en-GB"/>
        </w:rPr>
        <w:fldChar w:fldCharType="separate"/>
      </w:r>
      <w:r w:rsidR="0012026B">
        <w:rPr>
          <w:rFonts w:eastAsia="Times New Roman" w:cs="Times New Roman"/>
          <w:noProof/>
          <w:lang w:eastAsia="en-GB"/>
        </w:rPr>
        <w:t>101</w:t>
      </w:r>
      <w:r>
        <w:rPr>
          <w:rFonts w:eastAsia="Times New Roman" w:cs="Times New Roman"/>
          <w:lang w:eastAsia="en-GB"/>
        </w:rPr>
        <w:fldChar w:fldCharType="end"/>
      </w:r>
      <w:r>
        <w:rPr>
          <w:rFonts w:eastAsia="Times New Roman" w:cs="Times New Roman"/>
          <w:lang w:eastAsia="en-GB"/>
        </w:rPr>
        <w:t>).</w:t>
      </w:r>
    </w:p>
  </w:footnote>
  <w:footnote w:id="365">
    <w:p w14:paraId="29F95B68" w14:textId="76FCD91C" w:rsidR="000E1004" w:rsidRDefault="000E1004">
      <w:pPr>
        <w:pStyle w:val="FootnoteText"/>
      </w:pPr>
      <w:r>
        <w:rPr>
          <w:rStyle w:val="FootnoteReference"/>
        </w:rPr>
        <w:footnoteRef/>
      </w:r>
      <w:r>
        <w:t xml:space="preserve"> Williams and Hook (2013, 55-70).</w:t>
      </w:r>
    </w:p>
  </w:footnote>
  <w:footnote w:id="366">
    <w:p w14:paraId="7228D23E" w14:textId="3FFFE990" w:rsidR="000E1004" w:rsidRDefault="000E1004">
      <w:pPr>
        <w:pStyle w:val="FootnoteText"/>
      </w:pPr>
      <w:r>
        <w:rPr>
          <w:rStyle w:val="FootnoteReference"/>
        </w:rPr>
        <w:footnoteRef/>
      </w:r>
      <w:r>
        <w:t xml:space="preserve"> The reduction is non-linear, varying with such factors as gold supply and source, and the assaying technology (X-ray fluorescence) not wholly reliable in that an atomic surface measurement may not be representative.</w:t>
      </w:r>
    </w:p>
  </w:footnote>
  <w:footnote w:id="367">
    <w:p w14:paraId="37A9B2EA" w14:textId="548C0FD7" w:rsidR="000E1004" w:rsidRDefault="000E1004" w:rsidP="00373A9F">
      <w:pPr>
        <w:pStyle w:val="FootnoteText"/>
      </w:pPr>
      <w:r>
        <w:rPr>
          <w:rStyle w:val="FootnoteReference"/>
        </w:rPr>
        <w:footnoteRef/>
      </w:r>
      <w:r>
        <w:t xml:space="preserve"> Hines &amp; Bayliss (2013, 509-12).</w:t>
      </w:r>
    </w:p>
  </w:footnote>
  <w:footnote w:id="368">
    <w:p w14:paraId="0441899D" w14:textId="760E35D4" w:rsidR="000E1004" w:rsidRDefault="000E1004" w:rsidP="00373A9F">
      <w:pPr>
        <w:pStyle w:val="FootnoteText"/>
      </w:pPr>
      <w:r>
        <w:rPr>
          <w:rStyle w:val="FootnoteReference"/>
        </w:rPr>
        <w:footnoteRef/>
      </w:r>
      <w:r>
        <w:t xml:space="preserve"> Williams &amp; Hook (2013, 55-70).</w:t>
      </w:r>
    </w:p>
  </w:footnote>
  <w:footnote w:id="369">
    <w:p w14:paraId="6148EDE7" w14:textId="6627C8B8" w:rsidR="000E1004" w:rsidRPr="00966062" w:rsidRDefault="000E1004" w:rsidP="00373A9F">
      <w:pPr>
        <w:pStyle w:val="FootnoteText"/>
      </w:pPr>
      <w:r>
        <w:rPr>
          <w:rStyle w:val="FootnoteReference"/>
        </w:rPr>
        <w:footnoteRef/>
      </w:r>
      <w:r>
        <w:t xml:space="preserve"> </w:t>
      </w:r>
      <w:r w:rsidRPr="003E13D8">
        <w:rPr>
          <w:i/>
        </w:rPr>
        <w:t>Ibid.</w:t>
      </w:r>
      <w:r>
        <w:t xml:space="preserve"> See </w:t>
      </w:r>
      <w:r>
        <w:rPr>
          <w:i/>
        </w:rPr>
        <w:t>fn.</w:t>
      </w:r>
      <w:r>
        <w:t xml:space="preserve"> </w:t>
      </w:r>
      <w:r>
        <w:fldChar w:fldCharType="begin"/>
      </w:r>
      <w:r>
        <w:instrText xml:space="preserve"> NOTEREF _Ref464049286 \h </w:instrText>
      </w:r>
      <w:r>
        <w:fldChar w:fldCharType="separate"/>
      </w:r>
      <w:r w:rsidR="0012026B">
        <w:t>82</w:t>
      </w:r>
      <w:r>
        <w:fldChar w:fldCharType="end"/>
      </w:r>
      <w:r>
        <w:t>. The current debate between the conventional numismatic chronology and the Baynesian carbon-dating of inhumations does not impinge directly on the coinage of Aldfrith</w:t>
      </w:r>
      <w:r>
        <w:fldChar w:fldCharType="begin"/>
      </w:r>
      <w:r>
        <w:instrText xml:space="preserve"> XE "</w:instrText>
      </w:r>
      <w:r w:rsidRPr="007645AE">
        <w:instrText>Aldfrith</w:instrText>
      </w:r>
      <w:r>
        <w:instrText xml:space="preserve">" </w:instrText>
      </w:r>
      <w:r>
        <w:fldChar w:fldCharType="end"/>
      </w:r>
      <w:r>
        <w:t xml:space="preserve"> as his regnal dates are accepted. However, the southern coinage may now be relatively earlier.</w:t>
      </w:r>
    </w:p>
  </w:footnote>
  <w:footnote w:id="370">
    <w:p w14:paraId="165B6FAE" w14:textId="2D355EBD" w:rsidR="000E1004" w:rsidRDefault="000E1004">
      <w:pPr>
        <w:pStyle w:val="FootnoteText"/>
      </w:pPr>
      <w:r>
        <w:rPr>
          <w:rStyle w:val="FootnoteReference"/>
        </w:rPr>
        <w:footnoteRef/>
      </w:r>
      <w:r>
        <w:t xml:space="preserve"> Chick (2010, 32).</w:t>
      </w:r>
    </w:p>
  </w:footnote>
  <w:footnote w:id="371">
    <w:p w14:paraId="45DB94A7" w14:textId="198CF9D4" w:rsidR="000E1004" w:rsidRDefault="000E1004" w:rsidP="00373A9F">
      <w:pPr>
        <w:pStyle w:val="FootnoteText"/>
      </w:pPr>
      <w:r>
        <w:rPr>
          <w:rStyle w:val="FootnoteReference"/>
        </w:rPr>
        <w:footnoteRef/>
      </w:r>
      <w:r>
        <w:t xml:space="preserve"> Around the time of the Viking</w:t>
      </w:r>
      <w:r>
        <w:fldChar w:fldCharType="begin"/>
      </w:r>
      <w:r>
        <w:instrText xml:space="preserve"> XE "</w:instrText>
      </w:r>
      <w:r w:rsidRPr="00F1328A">
        <w:rPr>
          <w:rStyle w:val="Hyperlink"/>
          <w:noProof/>
        </w:rPr>
        <w:instrText>Viking</w:instrText>
      </w:r>
      <w:r>
        <w:instrText xml:space="preserve">" </w:instrText>
      </w:r>
      <w:r>
        <w:fldChar w:fldCharType="end"/>
      </w:r>
      <w:r>
        <w:t xml:space="preserve"> attack on Lindisfarne</w:t>
      </w:r>
      <w:r>
        <w:fldChar w:fldCharType="begin"/>
      </w:r>
      <w:r>
        <w:instrText xml:space="preserve"> XE "</w:instrText>
      </w:r>
      <w:r w:rsidRPr="004D76A0">
        <w:rPr>
          <w:rStyle w:val="Hyperlink"/>
          <w:noProof/>
        </w:rPr>
        <w:instrText>Lindisfarne</w:instrText>
      </w:r>
      <w:r>
        <w:instrText xml:space="preserve">" </w:instrText>
      </w:r>
      <w:r>
        <w:fldChar w:fldCharType="end"/>
      </w:r>
      <w:r>
        <w:t>.</w:t>
      </w:r>
    </w:p>
  </w:footnote>
  <w:footnote w:id="372">
    <w:p w14:paraId="13E2AD6D" w14:textId="77777777" w:rsidR="000E1004" w:rsidRDefault="000E1004" w:rsidP="00373A9F">
      <w:pPr>
        <w:pStyle w:val="FootnoteText"/>
      </w:pPr>
      <w:r>
        <w:rPr>
          <w:rStyle w:val="FootnoteReference"/>
        </w:rPr>
        <w:footnoteRef/>
      </w:r>
      <w:r>
        <w:t xml:space="preserve"> Wickham (2005, 819).</w:t>
      </w:r>
    </w:p>
  </w:footnote>
  <w:footnote w:id="373">
    <w:p w14:paraId="0D7D5FA5" w14:textId="47743035" w:rsidR="000E1004" w:rsidRDefault="000E1004">
      <w:pPr>
        <w:pStyle w:val="FootnoteText"/>
      </w:pPr>
      <w:r>
        <w:rPr>
          <w:rStyle w:val="FootnoteReference"/>
        </w:rPr>
        <w:footnoteRef/>
      </w:r>
      <w:r>
        <w:t xml:space="preserve"> The potential of Lindisfarne as a target may have been evident from the extent of its animal husbandry.</w:t>
      </w:r>
      <w:r w:rsidRPr="007F3443">
        <w:rPr>
          <w:i/>
        </w:rPr>
        <w:t xml:space="preserve"> </w:t>
      </w:r>
      <w:r>
        <w:rPr>
          <w:i/>
        </w:rPr>
        <w:t xml:space="preserve">Fn. </w:t>
      </w:r>
      <w:r w:rsidRPr="007F3443">
        <w:fldChar w:fldCharType="begin"/>
      </w:r>
      <w:r w:rsidRPr="007F3443">
        <w:instrText xml:space="preserve"> NOTEREF _Ref439757245 \h </w:instrText>
      </w:r>
      <w:r>
        <w:instrText xml:space="preserve"> \* MERGEFORMAT </w:instrText>
      </w:r>
      <w:r w:rsidRPr="007F3443">
        <w:fldChar w:fldCharType="separate"/>
      </w:r>
      <w:r w:rsidR="0012026B">
        <w:t>1253</w:t>
      </w:r>
      <w:r w:rsidRPr="007F3443">
        <w:fldChar w:fldCharType="end"/>
      </w:r>
      <w:r w:rsidRPr="007F3443">
        <w:t>.</w:t>
      </w:r>
    </w:p>
  </w:footnote>
  <w:footnote w:id="374">
    <w:p w14:paraId="3E031A17" w14:textId="77777777" w:rsidR="000E1004" w:rsidRDefault="000E1004" w:rsidP="00136284">
      <w:pPr>
        <w:pStyle w:val="FootnoteText"/>
      </w:pPr>
      <w:r>
        <w:rPr>
          <w:rStyle w:val="FootnoteReference"/>
        </w:rPr>
        <w:footnoteRef/>
      </w:r>
      <w:r>
        <w:t xml:space="preserve"> Garrison (2001, 21) contrasts the volume of Alcuin</w:t>
      </w:r>
      <w:r>
        <w:fldChar w:fldCharType="begin"/>
      </w:r>
      <w:r>
        <w:instrText xml:space="preserve"> XE "</w:instrText>
      </w:r>
      <w:r w:rsidRPr="007D3069">
        <w:rPr>
          <w:rFonts w:cs="Times New Roman"/>
          <w:szCs w:val="24"/>
        </w:rPr>
        <w:instrText>Alcuin</w:instrText>
      </w:r>
      <w:r>
        <w:instrText xml:space="preserve">" </w:instrText>
      </w:r>
      <w:r>
        <w:fldChar w:fldCharType="end"/>
      </w:r>
      <w:r>
        <w:t>’s surviving writings, protected in Charlemagne</w:t>
      </w:r>
      <w:r>
        <w:fldChar w:fldCharType="begin"/>
      </w:r>
      <w:r>
        <w:instrText xml:space="preserve"> XE "</w:instrText>
      </w:r>
      <w:r w:rsidRPr="007D3069">
        <w:rPr>
          <w:rFonts w:cs="Times New Roman"/>
          <w:color w:val="000000" w:themeColor="text1"/>
          <w:szCs w:val="24"/>
        </w:rPr>
        <w:instrText>Charlemagne</w:instrText>
      </w:r>
      <w:r>
        <w:instrText xml:space="preserve">" </w:instrText>
      </w:r>
      <w:r>
        <w:fldChar w:fldCharType="end"/>
      </w:r>
      <w:r>
        <w:t>’s court, with that of his York</w:t>
      </w:r>
      <w:r>
        <w:fldChar w:fldCharType="begin"/>
      </w:r>
      <w:r>
        <w:instrText xml:space="preserve"> XE "</w:instrText>
      </w:r>
      <w:r w:rsidRPr="00F1328A">
        <w:rPr>
          <w:rStyle w:val="Hyperlink"/>
          <w:noProof/>
        </w:rPr>
        <w:instrText>York</w:instrText>
      </w:r>
      <w:r>
        <w:instrText xml:space="preserve">" </w:instrText>
      </w:r>
      <w:r>
        <w:fldChar w:fldCharType="end"/>
      </w:r>
      <w:r>
        <w:t xml:space="preserve"> predecessors, presumably plundered or destroyed. After the catastrophes of 796 - the murder of </w:t>
      </w:r>
      <w:r w:rsidRPr="00ED64AB">
        <w:rPr>
          <w:rFonts w:cs="Times New Roman"/>
        </w:rPr>
        <w:t>Æ</w:t>
      </w:r>
      <w:r>
        <w:t>thelred</w:t>
      </w:r>
      <w:r>
        <w:fldChar w:fldCharType="begin"/>
      </w:r>
      <w:r>
        <w:instrText xml:space="preserve"> XE "</w:instrText>
      </w:r>
      <w:r w:rsidRPr="007645AE">
        <w:rPr>
          <w:rFonts w:cs="Times New Roman"/>
        </w:rPr>
        <w:instrText>Æ</w:instrText>
      </w:r>
      <w:r w:rsidRPr="007645AE">
        <w:instrText>thelred</w:instrText>
      </w:r>
      <w:r>
        <w:instrText xml:space="preserve">" </w:instrText>
      </w:r>
      <w:r>
        <w:fldChar w:fldCharType="end"/>
      </w:r>
      <w:r>
        <w:t xml:space="preserve"> (18</w:t>
      </w:r>
      <w:r w:rsidRPr="00B050BF">
        <w:rPr>
          <w:vertAlign w:val="superscript"/>
        </w:rPr>
        <w:t>th</w:t>
      </w:r>
      <w:r>
        <w:t xml:space="preserve"> April), the magnates’ desertion of Osbald (18</w:t>
      </w:r>
      <w:r w:rsidRPr="00B050BF">
        <w:rPr>
          <w:vertAlign w:val="superscript"/>
        </w:rPr>
        <w:t>th</w:t>
      </w:r>
      <w:r>
        <w:t xml:space="preserve"> May), the deaths of Archbishop Eanbald</w:t>
      </w:r>
      <w:r>
        <w:fldChar w:fldCharType="begin"/>
      </w:r>
      <w:r>
        <w:instrText xml:space="preserve"> XE "</w:instrText>
      </w:r>
      <w:r w:rsidRPr="007645AE">
        <w:instrText>Eanbald</w:instrText>
      </w:r>
      <w:r>
        <w:instrText xml:space="preserve">" </w:instrText>
      </w:r>
      <w:r>
        <w:fldChar w:fldCharType="end"/>
      </w:r>
      <w:r>
        <w:t>, Offa</w:t>
      </w:r>
      <w:r>
        <w:fldChar w:fldCharType="begin"/>
      </w:r>
      <w:r>
        <w:instrText xml:space="preserve"> XE "</w:instrText>
      </w:r>
      <w:r w:rsidRPr="007D3069">
        <w:rPr>
          <w:rFonts w:cs="Times New Roman"/>
        </w:rPr>
        <w:instrText>Offa</w:instrText>
      </w:r>
      <w:r>
        <w:instrText xml:space="preserve">" </w:instrText>
      </w:r>
      <w:r>
        <w:fldChar w:fldCharType="end"/>
      </w:r>
      <w:r>
        <w:t xml:space="preserve"> (26</w:t>
      </w:r>
      <w:r w:rsidRPr="00B050BF">
        <w:rPr>
          <w:vertAlign w:val="superscript"/>
        </w:rPr>
        <w:t>th</w:t>
      </w:r>
      <w:r>
        <w:t xml:space="preserve"> July) of Mercia and his heir Ecgfrith – Alcuin moved his library from York to Tours (24), which in itself would have exacerbated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t>’s loss.</w:t>
      </w:r>
    </w:p>
  </w:footnote>
  <w:footnote w:id="375">
    <w:p w14:paraId="4FF4E9EF" w14:textId="422ADECE" w:rsidR="000E1004" w:rsidRDefault="000E1004" w:rsidP="00373A9F">
      <w:pPr>
        <w:pStyle w:val="FootnoteText"/>
      </w:pPr>
      <w:r>
        <w:rPr>
          <w:rStyle w:val="FootnoteReference"/>
        </w:rPr>
        <w:footnoteRef/>
      </w:r>
      <w:r>
        <w:t xml:space="preserve"> Whether dating from 793 or Æthelred</w:t>
      </w:r>
      <w:r>
        <w:fldChar w:fldCharType="begin"/>
      </w:r>
      <w:r>
        <w:instrText xml:space="preserve"> XE "</w:instrText>
      </w:r>
      <w:r w:rsidRPr="007645AE">
        <w:rPr>
          <w:rFonts w:cs="Times New Roman"/>
        </w:rPr>
        <w:instrText>Æ</w:instrText>
      </w:r>
      <w:r w:rsidRPr="007645AE">
        <w:instrText>thelred</w:instrText>
      </w:r>
      <w:r>
        <w:instrText xml:space="preserve">" </w:instrText>
      </w:r>
      <w:r>
        <w:fldChar w:fldCharType="end"/>
      </w:r>
      <w:r>
        <w:t xml:space="preserve"> I’s murder in 796.</w:t>
      </w:r>
    </w:p>
  </w:footnote>
  <w:footnote w:id="376">
    <w:p w14:paraId="01BF4A46" w14:textId="77777777" w:rsidR="000E1004" w:rsidRDefault="000E1004" w:rsidP="00373A9F">
      <w:pPr>
        <w:pStyle w:val="FootnoteText"/>
      </w:pPr>
      <w:r>
        <w:rPr>
          <w:rStyle w:val="FootnoteReference"/>
        </w:rPr>
        <w:footnoteRef/>
      </w:r>
      <w:r>
        <w:t xml:space="preserve"> </w:t>
      </w:r>
      <w:r w:rsidRPr="00CF7336">
        <w:t>Cynewulf</w:t>
      </w:r>
      <w:r>
        <w:t xml:space="preserve"> and </w:t>
      </w:r>
      <w:r w:rsidRPr="00CF7336">
        <w:t>Eadwulf</w:t>
      </w:r>
      <w:r>
        <w:t xml:space="preserve"> may also have minted later.</w:t>
      </w:r>
    </w:p>
  </w:footnote>
  <w:footnote w:id="377">
    <w:p w14:paraId="229107BE" w14:textId="34F85F28" w:rsidR="000E1004" w:rsidRDefault="000E1004" w:rsidP="00373A9F">
      <w:pPr>
        <w:pStyle w:val="FootnoteText"/>
      </w:pPr>
      <w:r>
        <w:rPr>
          <w:rStyle w:val="FootnoteReference"/>
        </w:rPr>
        <w:footnoteRef/>
      </w:r>
      <w:r>
        <w:t xml:space="preserve"> Garrison records examples from the court of Charlemagne</w:t>
      </w:r>
      <w:r>
        <w:fldChar w:fldCharType="begin"/>
      </w:r>
      <w:r>
        <w:instrText xml:space="preserve"> XE "</w:instrText>
      </w:r>
      <w:r w:rsidRPr="007D3069">
        <w:rPr>
          <w:rFonts w:cs="Times New Roman"/>
          <w:color w:val="000000" w:themeColor="text1"/>
          <w:szCs w:val="24"/>
        </w:rPr>
        <w:instrText>Charlemagne</w:instrText>
      </w:r>
      <w:r>
        <w:instrText xml:space="preserve">" </w:instrText>
      </w:r>
      <w:r>
        <w:fldChar w:fldCharType="end"/>
      </w:r>
      <w:r>
        <w:t xml:space="preserve"> by Einhard, (1999, 94-5).</w:t>
      </w:r>
    </w:p>
  </w:footnote>
  <w:footnote w:id="378">
    <w:p w14:paraId="30E2D33A" w14:textId="756876F6" w:rsidR="000E1004" w:rsidRDefault="000E1004" w:rsidP="00373A9F">
      <w:pPr>
        <w:pStyle w:val="FootnoteText"/>
      </w:pPr>
      <w:r>
        <w:rPr>
          <w:rStyle w:val="FootnoteReference"/>
        </w:rPr>
        <w:footnoteRef/>
      </w:r>
      <w:r>
        <w:t xml:space="preserve"> Garrison suggested that such records may have been ephemeral though some ‘voices from the garbage dump’ – wax-tablets or rune-sticks - may recover what was not intentionally preserved. (1999, 70-1).</w:t>
      </w:r>
    </w:p>
  </w:footnote>
  <w:footnote w:id="379">
    <w:p w14:paraId="08CE2254" w14:textId="3A9A8BAF" w:rsidR="000E1004" w:rsidRDefault="000E1004" w:rsidP="00373A9F">
      <w:pPr>
        <w:pStyle w:val="FootnoteText"/>
      </w:pPr>
      <w:r>
        <w:rPr>
          <w:rStyle w:val="FootnoteReference"/>
        </w:rPr>
        <w:footnoteRef/>
      </w:r>
      <w:r>
        <w:t xml:space="preserve"> Grierson (1951, 11), Andrews (1988, 71-2), Blackburn (2007). Coupland (paper presented at Leeds IMC, July 2016). See page </w:t>
      </w:r>
      <w:r>
        <w:fldChar w:fldCharType="begin"/>
      </w:r>
      <w:r>
        <w:instrText xml:space="preserve"> PAGEREF LoiusthePious \h </w:instrText>
      </w:r>
      <w:r>
        <w:fldChar w:fldCharType="separate"/>
      </w:r>
      <w:r w:rsidR="0012026B">
        <w:rPr>
          <w:noProof/>
        </w:rPr>
        <w:t>303</w:t>
      </w:r>
      <w:r>
        <w:fldChar w:fldCharType="end"/>
      </w:r>
      <w:r>
        <w:t>. The consensus is that these are Viking imitations of Frisian origin.</w:t>
      </w:r>
    </w:p>
  </w:footnote>
  <w:footnote w:id="380">
    <w:p w14:paraId="6707A437" w14:textId="4A30E1BF" w:rsidR="000E1004" w:rsidRDefault="000E1004" w:rsidP="00373A9F">
      <w:pPr>
        <w:pStyle w:val="FootnoteText"/>
      </w:pPr>
      <w:r>
        <w:rPr>
          <w:rStyle w:val="FootnoteReference"/>
        </w:rPr>
        <w:footnoteRef/>
      </w:r>
      <w:r>
        <w:t xml:space="preserve"> Such as the purported 430 stycas found in recent years at Bolton</w:t>
      </w:r>
      <w:r>
        <w:fldChar w:fldCharType="begin"/>
      </w:r>
      <w:r>
        <w:instrText xml:space="preserve"> XE "</w:instrText>
      </w:r>
      <w:r w:rsidRPr="004D76A0">
        <w:rPr>
          <w:rStyle w:val="Hyperlink"/>
          <w:rFonts w:eastAsia="Times New Roman"/>
          <w:noProof/>
          <w:lang w:eastAsia="en-GB"/>
        </w:rPr>
        <w:instrText>Bolton</w:instrText>
      </w:r>
      <w:r>
        <w:instrText xml:space="preserve">" </w:instrText>
      </w:r>
      <w:r>
        <w:fldChar w:fldCharType="end"/>
      </w:r>
      <w:r>
        <w:t xml:space="preserve"> Percy</w:t>
      </w:r>
      <w:r>
        <w:fldChar w:fldCharType="begin"/>
      </w:r>
      <w:r>
        <w:instrText xml:space="preserve"> XE "</w:instrText>
      </w:r>
      <w:r w:rsidRPr="004D76A0">
        <w:rPr>
          <w:rStyle w:val="Hyperlink"/>
          <w:noProof/>
        </w:rPr>
        <w:instrText>Bolton Percy</w:instrText>
      </w:r>
      <w:r>
        <w:instrText xml:space="preserve">" </w:instrText>
      </w:r>
      <w:r>
        <w:fldChar w:fldCharType="end"/>
      </w:r>
      <w:r>
        <w:t>.</w:t>
      </w:r>
    </w:p>
  </w:footnote>
  <w:footnote w:id="381">
    <w:p w14:paraId="2B33B88F" w14:textId="55ED8320" w:rsidR="000E1004" w:rsidRPr="00FD7D9C" w:rsidRDefault="000E1004" w:rsidP="00373A9F">
      <w:pPr>
        <w:pStyle w:val="FootnoteText"/>
      </w:pPr>
      <w:r w:rsidRPr="00FD7D9C">
        <w:rPr>
          <w:rStyle w:val="FootnoteReference"/>
        </w:rPr>
        <w:footnoteRef/>
      </w:r>
      <w:r w:rsidRPr="00FD7D9C">
        <w:t xml:space="preserve"> </w:t>
      </w:r>
      <w:r w:rsidRPr="00FD7D9C">
        <w:rPr>
          <w:rFonts w:eastAsia="Times New Roman" w:cs="Times New Roman"/>
          <w:lang w:eastAsia="en-GB"/>
        </w:rPr>
        <w:t>Pirie</w:t>
      </w:r>
      <w:r>
        <w:rPr>
          <w:rFonts w:eastAsia="Times New Roman" w:cs="Times New Roman"/>
          <w:lang w:eastAsia="en-GB"/>
        </w:rPr>
        <w:fldChar w:fldCharType="begin"/>
      </w:r>
      <w:r>
        <w:instrText xml:space="preserve"> XE "</w:instrText>
      </w:r>
      <w:r w:rsidRPr="007D3069">
        <w:instrText>Pirie</w:instrText>
      </w:r>
      <w:r>
        <w:instrText xml:space="preserve">" </w:instrText>
      </w:r>
      <w:r>
        <w:rPr>
          <w:rFonts w:eastAsia="Times New Roman" w:cs="Times New Roman"/>
          <w:lang w:eastAsia="en-GB"/>
        </w:rPr>
        <w:fldChar w:fldCharType="end"/>
      </w:r>
      <w:r w:rsidRPr="00FD7D9C">
        <w:rPr>
          <w:rFonts w:eastAsia="Times New Roman" w:cs="Times New Roman"/>
          <w:lang w:eastAsia="en-GB"/>
        </w:rPr>
        <w:t xml:space="preserve"> (1996</w:t>
      </w:r>
      <w:r>
        <w:rPr>
          <w:rFonts w:eastAsia="Times New Roman" w:cs="Times New Roman"/>
          <w:lang w:eastAsia="en-GB"/>
        </w:rPr>
        <w:t>,</w:t>
      </w:r>
      <w:r w:rsidRPr="00FD7D9C">
        <w:rPr>
          <w:rFonts w:eastAsia="Times New Roman" w:cs="Times New Roman"/>
          <w:lang w:eastAsia="en-GB"/>
        </w:rPr>
        <w:t xml:space="preserve"> 18</w:t>
      </w:r>
      <w:r>
        <w:rPr>
          <w:rFonts w:eastAsia="Times New Roman" w:cs="Times New Roman"/>
          <w:lang w:eastAsia="en-GB"/>
        </w:rPr>
        <w:t>). See also PAS</w:t>
      </w:r>
      <w:r>
        <w:rPr>
          <w:rFonts w:eastAsia="Times New Roman" w:cs="Times New Roman"/>
          <w:lang w:eastAsia="en-GB"/>
        </w:rPr>
        <w:fldChar w:fldCharType="begin"/>
      </w:r>
      <w:r>
        <w:instrText xml:space="preserve"> XE "</w:instrText>
      </w:r>
      <w:r w:rsidRPr="007D3069">
        <w:instrText>PAS</w:instrText>
      </w:r>
      <w:r>
        <w:instrText xml:space="preserve">" </w:instrText>
      </w:r>
      <w:r>
        <w:rPr>
          <w:rFonts w:eastAsia="Times New Roman" w:cs="Times New Roman"/>
          <w:lang w:eastAsia="en-GB"/>
        </w:rPr>
        <w:fldChar w:fldCharType="end"/>
      </w:r>
      <w:r>
        <w:rPr>
          <w:rFonts w:eastAsia="Times New Roman" w:cs="Times New Roman"/>
          <w:lang w:eastAsia="en-GB"/>
        </w:rPr>
        <w:t xml:space="preserve"> mapping at </w:t>
      </w:r>
      <w:hyperlink r:id="rId6" w:history="1">
        <w:r w:rsidRPr="003D1107">
          <w:rPr>
            <w:rStyle w:val="Hyperlink"/>
            <w:rFonts w:eastAsia="Times New Roman" w:cs="Times New Roman"/>
            <w:lang w:eastAsia="en-GB"/>
          </w:rPr>
          <w:t>http://tracemedia.co.uk/lostchange/</w:t>
        </w:r>
      </w:hyperlink>
    </w:p>
  </w:footnote>
  <w:footnote w:id="382">
    <w:p w14:paraId="7A3C12F9" w14:textId="4BDDD003" w:rsidR="000E1004" w:rsidRPr="00FD7D9C" w:rsidRDefault="000E1004" w:rsidP="00373A9F">
      <w:pPr>
        <w:pStyle w:val="FootnoteText"/>
      </w:pPr>
      <w:r w:rsidRPr="00FD7D9C">
        <w:rPr>
          <w:rStyle w:val="FootnoteReference"/>
        </w:rPr>
        <w:footnoteRef/>
      </w:r>
      <w:r w:rsidRPr="00FD7D9C">
        <w:t xml:space="preserve"> </w:t>
      </w:r>
      <w:r w:rsidRPr="00FD7D9C">
        <w:rPr>
          <w:rFonts w:eastAsia="Times New Roman" w:cs="Times New Roman"/>
          <w:lang w:eastAsia="en-GB"/>
        </w:rPr>
        <w:t>Abdy &amp; Williams</w:t>
      </w:r>
      <w:r>
        <w:rPr>
          <w:rFonts w:eastAsia="Times New Roman" w:cs="Times New Roman"/>
          <w:lang w:eastAsia="en-GB"/>
        </w:rPr>
        <w:t xml:space="preserve"> (2006)</w:t>
      </w:r>
      <w:r w:rsidRPr="00FD7D9C">
        <w:rPr>
          <w:rFonts w:eastAsia="Times New Roman" w:cs="Times New Roman"/>
          <w:lang w:eastAsia="en-GB"/>
        </w:rPr>
        <w:t xml:space="preserve"> a</w:t>
      </w:r>
      <w:r>
        <w:rPr>
          <w:rFonts w:eastAsia="Times New Roman" w:cs="Times New Roman"/>
          <w:lang w:eastAsia="en-GB"/>
        </w:rPr>
        <w:t>nd Blackburn (2007). On the other hand, when gold was replaced the unit volume and probably total value of the circulating medium increased. When copper-alloy stycas circulated, silver was available. These indicate intentional monetary policy.</w:t>
      </w:r>
    </w:p>
  </w:footnote>
  <w:footnote w:id="383">
    <w:p w14:paraId="6DB0D02B" w14:textId="5BE5A9BA" w:rsidR="000E1004" w:rsidRDefault="000E1004" w:rsidP="00373A9F">
      <w:pPr>
        <w:pStyle w:val="FootnoteText"/>
      </w:pPr>
      <w:r>
        <w:rPr>
          <w:rStyle w:val="FootnoteReference"/>
        </w:rPr>
        <w:footnoteRef/>
      </w:r>
      <w:r>
        <w:t xml:space="preserve"> Irving Fisher’s 1911 equation, MV=PT, signifying an equivalence between the quantity of money</w:t>
      </w:r>
      <w:r>
        <w:fldChar w:fldCharType="begin"/>
      </w:r>
      <w:r>
        <w:instrText xml:space="preserve"> XE "</w:instrText>
      </w:r>
      <w:r w:rsidRPr="007D3069">
        <w:instrText>money</w:instrText>
      </w:r>
      <w:r>
        <w:instrText xml:space="preserve">" </w:instrText>
      </w:r>
      <w:r>
        <w:fldChar w:fldCharType="end"/>
      </w:r>
      <w:r>
        <w:t xml:space="preserve"> current allowing for its velocity of circulation and the number of transactions expressed in average prices, is arguably more applicable to unsophisticated monetary regimes than to modern systems.</w:t>
      </w:r>
    </w:p>
  </w:footnote>
  <w:footnote w:id="384">
    <w:p w14:paraId="4B9CEBBE" w14:textId="310CD02C" w:rsidR="000E1004" w:rsidRDefault="000E1004">
      <w:pPr>
        <w:pStyle w:val="FootnoteText"/>
      </w:pPr>
      <w:r>
        <w:rPr>
          <w:rStyle w:val="FootnoteReference"/>
        </w:rPr>
        <w:footnoteRef/>
      </w:r>
      <w:r>
        <w:t xml:space="preserve"> See </w:t>
      </w:r>
      <w:r w:rsidRPr="007F5EE4">
        <w:rPr>
          <w:i/>
        </w:rPr>
        <w:t>Graph 7.11</w:t>
      </w:r>
      <w:r>
        <w:rPr>
          <w:i/>
        </w:rPr>
        <w:t>.</w:t>
      </w:r>
    </w:p>
  </w:footnote>
  <w:footnote w:id="385">
    <w:p w14:paraId="51C81381" w14:textId="6F5EFB3A" w:rsidR="000E1004" w:rsidRDefault="000E1004">
      <w:pPr>
        <w:pStyle w:val="FootnoteText"/>
      </w:pPr>
      <w:r>
        <w:rPr>
          <w:rStyle w:val="FootnoteReference"/>
        </w:rPr>
        <w:footnoteRef/>
      </w:r>
      <w:r>
        <w:t xml:space="preserve"> Agar (2011, 121-34)</w:t>
      </w:r>
    </w:p>
  </w:footnote>
  <w:footnote w:id="386">
    <w:p w14:paraId="7C7C597A" w14:textId="0F4B9F44" w:rsidR="000E1004" w:rsidRPr="00C03420" w:rsidRDefault="000E1004" w:rsidP="007C785D">
      <w:pPr>
        <w:pStyle w:val="NoSpacing"/>
        <w:spacing w:line="276" w:lineRule="auto"/>
        <w:rPr>
          <w:rFonts w:cs="Times New Roman"/>
          <w:sz w:val="20"/>
          <w:szCs w:val="20"/>
        </w:rPr>
      </w:pPr>
      <w:r w:rsidRPr="00C03420">
        <w:rPr>
          <w:rStyle w:val="FootnoteReference"/>
          <w:sz w:val="20"/>
          <w:szCs w:val="20"/>
        </w:rPr>
        <w:footnoteRef/>
      </w:r>
      <w:r w:rsidRPr="00C03420">
        <w:rPr>
          <w:sz w:val="20"/>
          <w:szCs w:val="20"/>
        </w:rPr>
        <w:t xml:space="preserve"> </w:t>
      </w:r>
      <w:r w:rsidRPr="00C03420">
        <w:rPr>
          <w:rFonts w:cs="Times New Roman"/>
          <w:sz w:val="20"/>
          <w:szCs w:val="20"/>
        </w:rPr>
        <w:t xml:space="preserve">The state controls </w:t>
      </w:r>
      <w:r w:rsidRPr="00C03420">
        <w:rPr>
          <w:rFonts w:cs="Times New Roman"/>
          <w:i/>
          <w:sz w:val="20"/>
          <w:szCs w:val="20"/>
        </w:rPr>
        <w:t>commodity</w:t>
      </w:r>
      <w:r w:rsidRPr="00C03420">
        <w:rPr>
          <w:rFonts w:cs="Times New Roman"/>
          <w:sz w:val="20"/>
          <w:szCs w:val="20"/>
        </w:rPr>
        <w:t xml:space="preserve"> money</w:t>
      </w:r>
      <w:r w:rsidRPr="00C03420">
        <w:rPr>
          <w:rFonts w:cs="Times New Roman"/>
          <w:sz w:val="20"/>
          <w:szCs w:val="20"/>
        </w:rPr>
        <w:fldChar w:fldCharType="begin"/>
      </w:r>
      <w:r w:rsidRPr="00C03420">
        <w:rPr>
          <w:sz w:val="20"/>
          <w:szCs w:val="20"/>
        </w:rPr>
        <w:instrText xml:space="preserve"> XE "</w:instrText>
      </w:r>
      <w:r w:rsidRPr="00C03420">
        <w:rPr>
          <w:rFonts w:cs="Times New Roman"/>
          <w:sz w:val="20"/>
          <w:szCs w:val="20"/>
        </w:rPr>
        <w:instrText>commodity money</w:instrText>
      </w:r>
      <w:r w:rsidRPr="00C03420">
        <w:rPr>
          <w:sz w:val="20"/>
          <w:szCs w:val="20"/>
        </w:rPr>
        <w:instrText xml:space="preserve">" </w:instrText>
      </w:r>
      <w:r w:rsidRPr="00C03420">
        <w:rPr>
          <w:rFonts w:cs="Times New Roman"/>
          <w:sz w:val="20"/>
          <w:szCs w:val="20"/>
        </w:rPr>
        <w:fldChar w:fldCharType="end"/>
      </w:r>
      <w:r w:rsidRPr="00C03420">
        <w:rPr>
          <w:rFonts w:cs="Times New Roman"/>
          <w:sz w:val="20"/>
          <w:szCs w:val="20"/>
        </w:rPr>
        <w:t xml:space="preserve"> and </w:t>
      </w:r>
      <w:r w:rsidRPr="00C03420">
        <w:rPr>
          <w:rFonts w:cs="Times New Roman"/>
          <w:i/>
          <w:sz w:val="20"/>
          <w:szCs w:val="20"/>
        </w:rPr>
        <w:t>managed</w:t>
      </w:r>
      <w:r w:rsidRPr="00C03420">
        <w:rPr>
          <w:rFonts w:cs="Times New Roman"/>
          <w:sz w:val="20"/>
          <w:szCs w:val="20"/>
        </w:rPr>
        <w:t xml:space="preserve"> money</w:t>
      </w:r>
      <w:r w:rsidRPr="00C03420">
        <w:rPr>
          <w:rFonts w:cs="Times New Roman"/>
          <w:sz w:val="20"/>
          <w:szCs w:val="20"/>
        </w:rPr>
        <w:fldChar w:fldCharType="begin"/>
      </w:r>
      <w:r w:rsidRPr="00C03420">
        <w:rPr>
          <w:sz w:val="20"/>
          <w:szCs w:val="20"/>
        </w:rPr>
        <w:instrText xml:space="preserve"> XE "money" </w:instrText>
      </w:r>
      <w:r w:rsidRPr="00C03420">
        <w:rPr>
          <w:rFonts w:cs="Times New Roman"/>
          <w:sz w:val="20"/>
          <w:szCs w:val="20"/>
        </w:rPr>
        <w:fldChar w:fldCharType="end"/>
      </w:r>
      <w:r w:rsidRPr="00C03420">
        <w:rPr>
          <w:rFonts w:cs="Times New Roman"/>
          <w:sz w:val="20"/>
          <w:szCs w:val="20"/>
        </w:rPr>
        <w:t xml:space="preserve">. </w:t>
      </w:r>
      <w:r w:rsidRPr="00C03420">
        <w:rPr>
          <w:rFonts w:cs="Times New Roman"/>
          <w:i/>
          <w:sz w:val="20"/>
          <w:szCs w:val="20"/>
        </w:rPr>
        <w:t>Representative</w:t>
      </w:r>
      <w:r w:rsidRPr="00C03420">
        <w:rPr>
          <w:rFonts w:cs="Times New Roman"/>
          <w:sz w:val="20"/>
          <w:szCs w:val="20"/>
        </w:rPr>
        <w:t xml:space="preserve"> money can be issued either by the state or (central) bank. Coinage</w:t>
      </w:r>
      <w:r w:rsidRPr="00C03420">
        <w:rPr>
          <w:rFonts w:cs="Times New Roman"/>
          <w:sz w:val="20"/>
          <w:szCs w:val="20"/>
        </w:rPr>
        <w:fldChar w:fldCharType="begin"/>
      </w:r>
      <w:r w:rsidRPr="00C03420">
        <w:rPr>
          <w:sz w:val="20"/>
          <w:szCs w:val="20"/>
        </w:rPr>
        <w:instrText xml:space="preserve"> XE "</w:instrText>
      </w:r>
      <w:r w:rsidRPr="00C03420">
        <w:rPr>
          <w:rFonts w:cs="Times New Roman"/>
          <w:b/>
          <w:color w:val="000000" w:themeColor="text1"/>
          <w:sz w:val="20"/>
          <w:szCs w:val="20"/>
        </w:rPr>
        <w:instrText>Coinage</w:instrText>
      </w:r>
      <w:r w:rsidRPr="00C03420">
        <w:rPr>
          <w:sz w:val="20"/>
          <w:szCs w:val="20"/>
        </w:rPr>
        <w:instrText xml:space="preserve">" </w:instrText>
      </w:r>
      <w:r w:rsidRPr="00C03420">
        <w:rPr>
          <w:rFonts w:cs="Times New Roman"/>
          <w:sz w:val="20"/>
          <w:szCs w:val="20"/>
        </w:rPr>
        <w:fldChar w:fldCharType="end"/>
      </w:r>
      <w:r w:rsidRPr="00C03420">
        <w:rPr>
          <w:rFonts w:cs="Times New Roman"/>
          <w:sz w:val="20"/>
          <w:szCs w:val="20"/>
        </w:rPr>
        <w:t xml:space="preserve"> and fiat</w:t>
      </w:r>
      <w:r w:rsidRPr="00C03420">
        <w:rPr>
          <w:rFonts w:cs="Times New Roman"/>
          <w:sz w:val="20"/>
          <w:szCs w:val="20"/>
        </w:rPr>
        <w:fldChar w:fldCharType="begin"/>
      </w:r>
      <w:r w:rsidRPr="00C03420">
        <w:rPr>
          <w:sz w:val="20"/>
          <w:szCs w:val="20"/>
        </w:rPr>
        <w:instrText xml:space="preserve"> XE "fiat" </w:instrText>
      </w:r>
      <w:r w:rsidRPr="00C03420">
        <w:rPr>
          <w:rFonts w:cs="Times New Roman"/>
          <w:sz w:val="20"/>
          <w:szCs w:val="20"/>
        </w:rPr>
        <w:fldChar w:fldCharType="end"/>
      </w:r>
      <w:r w:rsidRPr="00C03420">
        <w:rPr>
          <w:rFonts w:cs="Times New Roman"/>
          <w:sz w:val="20"/>
          <w:szCs w:val="20"/>
        </w:rPr>
        <w:t xml:space="preserve"> money are subsets of these that merely differ in form from other types of money.</w:t>
      </w:r>
    </w:p>
  </w:footnote>
  <w:footnote w:id="387">
    <w:p w14:paraId="4DC0FE16" w14:textId="77777777" w:rsidR="000E1004" w:rsidRDefault="000E1004" w:rsidP="00681BAE">
      <w:pPr>
        <w:pStyle w:val="FootnoteText"/>
      </w:pPr>
      <w:r>
        <w:rPr>
          <w:rStyle w:val="FootnoteReference"/>
        </w:rPr>
        <w:footnoteRef/>
      </w:r>
      <w:r>
        <w:t xml:space="preserve"> Naylor (2002, 239, Appendix 1).</w:t>
      </w:r>
    </w:p>
  </w:footnote>
  <w:footnote w:id="388">
    <w:p w14:paraId="40A4F78B" w14:textId="79414760" w:rsidR="000E1004" w:rsidRDefault="000E1004" w:rsidP="00681BAE">
      <w:pPr>
        <w:pStyle w:val="FootnoteText"/>
      </w:pPr>
      <w:r>
        <w:rPr>
          <w:rStyle w:val="FootnoteReference"/>
        </w:rPr>
        <w:footnoteRef/>
      </w:r>
      <w:r>
        <w:t xml:space="preserve"> Kelleher (2012, 34) used the criteria of national re-coinage and weight reduction for medieval periodization.</w:t>
      </w:r>
    </w:p>
  </w:footnote>
  <w:footnote w:id="389">
    <w:p w14:paraId="1C258DB9" w14:textId="77777777" w:rsidR="000E1004" w:rsidRDefault="000E1004" w:rsidP="00402CC5">
      <w:pPr>
        <w:pStyle w:val="FootnoteText"/>
      </w:pPr>
      <w:r>
        <w:rPr>
          <w:rStyle w:val="FootnoteReference"/>
        </w:rPr>
        <w:footnoteRef/>
      </w:r>
      <w:r>
        <w:t xml:space="preserve"> </w:t>
      </w:r>
      <w:r w:rsidRPr="00263726">
        <w:t>Reece (2002</w:t>
      </w:r>
      <w:r>
        <w:t>,</w:t>
      </w:r>
      <w:r w:rsidRPr="00263726">
        <w:t xml:space="preserve"> 13-36</w:t>
      </w:r>
      <w:r>
        <w:t>0)</w:t>
      </w:r>
      <w:r w:rsidRPr="00263726">
        <w:t>.</w:t>
      </w:r>
    </w:p>
  </w:footnote>
  <w:footnote w:id="390">
    <w:p w14:paraId="67BAB93D" w14:textId="77777777" w:rsidR="000E1004" w:rsidRDefault="000E1004" w:rsidP="00402CC5">
      <w:pPr>
        <w:pStyle w:val="FootnoteText"/>
      </w:pPr>
      <w:r>
        <w:rPr>
          <w:rStyle w:val="FootnoteReference"/>
        </w:rPr>
        <w:footnoteRef/>
      </w:r>
      <w:r>
        <w:t xml:space="preserve"> </w:t>
      </w:r>
      <w:r w:rsidRPr="00263726">
        <w:t>Reece (2002</w:t>
      </w:r>
      <w:r>
        <w:t>,</w:t>
      </w:r>
      <w:r w:rsidRPr="00263726">
        <w:t xml:space="preserve"> </w:t>
      </w:r>
      <w:r w:rsidRPr="00E42E81">
        <w:t>62-6</w:t>
      </w:r>
      <w:r>
        <w:t>).</w:t>
      </w:r>
    </w:p>
  </w:footnote>
  <w:footnote w:id="391">
    <w:p w14:paraId="4E4DF4F1" w14:textId="77777777" w:rsidR="000E1004" w:rsidRDefault="000E1004" w:rsidP="00402CC5">
      <w:pPr>
        <w:pStyle w:val="FootnoteText"/>
      </w:pPr>
      <w:r>
        <w:rPr>
          <w:rStyle w:val="FootnoteReference"/>
        </w:rPr>
        <w:footnoteRef/>
      </w:r>
      <w:r>
        <w:t xml:space="preserve"> </w:t>
      </w:r>
      <w:r w:rsidRPr="00C134A6">
        <w:t>I differentiate here between native coinage and imported currency.</w:t>
      </w:r>
    </w:p>
  </w:footnote>
  <w:footnote w:id="392">
    <w:p w14:paraId="2EACC364" w14:textId="63A84C3A" w:rsidR="000E1004" w:rsidRDefault="000E1004">
      <w:pPr>
        <w:pStyle w:val="FootnoteText"/>
      </w:pPr>
      <w:r>
        <w:rPr>
          <w:rStyle w:val="FootnoteReference"/>
        </w:rPr>
        <w:footnoteRef/>
      </w:r>
      <w:r>
        <w:t xml:space="preserve"> </w:t>
      </w:r>
      <w:r w:rsidRPr="00263726">
        <w:t>Reece (2002</w:t>
      </w:r>
      <w:r>
        <w:t>,</w:t>
      </w:r>
      <w:r w:rsidRPr="00263726">
        <w:t xml:space="preserve"> 13</w:t>
      </w:r>
      <w:r>
        <w:t>)</w:t>
      </w:r>
    </w:p>
  </w:footnote>
  <w:footnote w:id="393">
    <w:p w14:paraId="53B24C72" w14:textId="0745DDF7" w:rsidR="000E1004" w:rsidRDefault="000E1004">
      <w:pPr>
        <w:pStyle w:val="FootnoteText"/>
      </w:pPr>
      <w:r>
        <w:rPr>
          <w:rStyle w:val="FootnoteReference"/>
        </w:rPr>
        <w:footnoteRef/>
      </w:r>
      <w:r>
        <w:t xml:space="preserve"> See also </w:t>
      </w:r>
      <w:r>
        <w:rPr>
          <w:i/>
        </w:rPr>
        <w:t>fn.</w:t>
      </w:r>
      <w:r>
        <w:t xml:space="preserve"> </w:t>
      </w:r>
      <w:r>
        <w:fldChar w:fldCharType="begin"/>
      </w:r>
      <w:r>
        <w:instrText xml:space="preserve"> NOTEREF _Ref441152283 \h </w:instrText>
      </w:r>
      <w:r>
        <w:fldChar w:fldCharType="separate"/>
      </w:r>
      <w:r w:rsidR="0012026B">
        <w:t>751</w:t>
      </w:r>
      <w:r>
        <w:fldChar w:fldCharType="end"/>
      </w:r>
      <w:r>
        <w:t xml:space="preserve"> and </w:t>
      </w:r>
      <w:r>
        <w:fldChar w:fldCharType="begin"/>
      </w:r>
      <w:r>
        <w:instrText xml:space="preserve"> NOTEREF _Ref441152293 \h </w:instrText>
      </w:r>
      <w:r>
        <w:fldChar w:fldCharType="separate"/>
      </w:r>
      <w:r w:rsidR="0012026B">
        <w:t>752</w:t>
      </w:r>
      <w:r>
        <w:fldChar w:fldCharType="end"/>
      </w:r>
      <w:r>
        <w:t>.</w:t>
      </w:r>
    </w:p>
  </w:footnote>
  <w:footnote w:id="394">
    <w:p w14:paraId="1FBA9A61" w14:textId="6623AB66" w:rsidR="000E1004" w:rsidRDefault="000E1004" w:rsidP="00402CC5">
      <w:pPr>
        <w:pStyle w:val="FootnoteText"/>
      </w:pPr>
      <w:r>
        <w:rPr>
          <w:rStyle w:val="FootnoteReference"/>
        </w:rPr>
        <w:footnoteRef/>
      </w:r>
      <w:r>
        <w:t xml:space="preserve"> </w:t>
      </w:r>
      <w:r w:rsidRPr="00067FAA">
        <w:rPr>
          <w:i/>
        </w:rPr>
        <w:t>Table</w:t>
      </w:r>
      <w:r>
        <w:rPr>
          <w:i/>
        </w:rPr>
        <w:t xml:space="preserve"> 4.02</w:t>
      </w:r>
      <w:r w:rsidRPr="00067FAA">
        <w:rPr>
          <w:i/>
        </w:rPr>
        <w:fldChar w:fldCharType="begin"/>
      </w:r>
      <w:r>
        <w:instrText xml:space="preserve"> XE "</w:instrText>
      </w:r>
      <w:r w:rsidRPr="00067FAA">
        <w:rPr>
          <w:noProof/>
        </w:rPr>
        <w:instrText>Table</w:instrText>
      </w:r>
      <w:r>
        <w:instrText xml:space="preserve">" </w:instrText>
      </w:r>
      <w:r w:rsidRPr="00067FAA">
        <w:rPr>
          <w:i/>
        </w:rPr>
        <w:fldChar w:fldCharType="end"/>
      </w:r>
      <w:r>
        <w:rPr>
          <w:i/>
        </w:rPr>
        <w:t>.</w:t>
      </w:r>
    </w:p>
  </w:footnote>
  <w:footnote w:id="395">
    <w:p w14:paraId="54C14EB5" w14:textId="592D5EE9" w:rsidR="000E1004" w:rsidRDefault="000E1004" w:rsidP="00402CC5">
      <w:pPr>
        <w:pStyle w:val="FootnoteText"/>
      </w:pPr>
      <w:r>
        <w:rPr>
          <w:rStyle w:val="FootnoteReference"/>
        </w:rPr>
        <w:footnoteRef/>
      </w:r>
      <w:r>
        <w:t xml:space="preserve"> Archibald (1985 &amp; 1995); the latter includes the 1984 find at Whithorn</w:t>
      </w:r>
      <w:r>
        <w:fldChar w:fldCharType="begin"/>
      </w:r>
      <w:r>
        <w:instrText xml:space="preserve"> XE "</w:instrText>
      </w:r>
      <w:r w:rsidRPr="004D76A0">
        <w:rPr>
          <w:rStyle w:val="Hyperlink"/>
          <w:noProof/>
        </w:rPr>
        <w:instrText>Whithorn</w:instrText>
      </w:r>
      <w:r>
        <w:instrText xml:space="preserve">" </w:instrText>
      </w:r>
      <w:r>
        <w:fldChar w:fldCharType="end"/>
      </w:r>
      <w:r>
        <w:t xml:space="preserve"> (C13,</w:t>
      </w:r>
      <w:r w:rsidRPr="002D6B5E">
        <w:t xml:space="preserve"> </w:t>
      </w:r>
      <w:r>
        <w:t xml:space="preserve">Efe). Also </w:t>
      </w:r>
      <w:r w:rsidRPr="00E46CC5">
        <w:t>Metcalf</w:t>
      </w:r>
      <w:r>
        <w:t xml:space="preserve"> </w:t>
      </w:r>
      <w:r w:rsidRPr="006446FB">
        <w:t>(</w:t>
      </w:r>
      <w:r>
        <w:t>1993, 601-7).</w:t>
      </w:r>
    </w:p>
  </w:footnote>
  <w:footnote w:id="396">
    <w:p w14:paraId="16F55CEF" w14:textId="52F1240E" w:rsidR="000E1004" w:rsidRDefault="000E1004" w:rsidP="00402CC5">
      <w:pPr>
        <w:pStyle w:val="FootnoteText"/>
      </w:pPr>
      <w:r>
        <w:rPr>
          <w:rStyle w:val="FootnoteReference"/>
        </w:rPr>
        <w:footnoteRef/>
      </w:r>
      <w:r>
        <w:t xml:space="preserve"> </w:t>
      </w:r>
      <w:r w:rsidRPr="00E46CC5">
        <w:t>Metcalf</w:t>
      </w:r>
      <w:r>
        <w:t xml:space="preserve"> </w:t>
      </w:r>
      <w:r w:rsidRPr="006446FB">
        <w:t>(</w:t>
      </w:r>
      <w:r>
        <w:t xml:space="preserve">1993, </w:t>
      </w:r>
      <w:r w:rsidRPr="00D22183">
        <w:t>608</w:t>
      </w:r>
      <w:r>
        <w:t>)</w:t>
      </w:r>
      <w:r w:rsidRPr="00D22183">
        <w:t xml:space="preserve">, Chick </w:t>
      </w:r>
      <w:r>
        <w:t xml:space="preserve">(2010, </w:t>
      </w:r>
      <w:r w:rsidRPr="00D22183">
        <w:t>31</w:t>
      </w:r>
      <w:r>
        <w:t xml:space="preserve">). </w:t>
      </w:r>
      <w:r w:rsidRPr="00DD1EB2">
        <w:t xml:space="preserve">Northover’s electron probe micro-analysis in </w:t>
      </w:r>
      <w:r w:rsidRPr="00E46CC5">
        <w:t>Metcalf</w:t>
      </w:r>
      <w:r>
        <w:t xml:space="preserve"> </w:t>
      </w:r>
      <w:r w:rsidRPr="00DD1EB2">
        <w:t>(</w:t>
      </w:r>
      <w:r>
        <w:t xml:space="preserve">1993, </w:t>
      </w:r>
      <w:r w:rsidRPr="00DD1EB2">
        <w:t>609-79) shows that Offa</w:t>
      </w:r>
      <w:r>
        <w:fldChar w:fldCharType="begin"/>
      </w:r>
      <w:r>
        <w:instrText xml:space="preserve"> XE "</w:instrText>
      </w:r>
      <w:r w:rsidRPr="007D3069">
        <w:rPr>
          <w:rFonts w:cs="Times New Roman"/>
        </w:rPr>
        <w:instrText>Offa</w:instrText>
      </w:r>
      <w:r>
        <w:instrText xml:space="preserve">" </w:instrText>
      </w:r>
      <w:r>
        <w:fldChar w:fldCharType="end"/>
      </w:r>
      <w:r w:rsidRPr="00DD1EB2">
        <w:t>’s pennies, which were of high purity, were not composed (in the main) of recycled s</w:t>
      </w:r>
      <w:r>
        <w:t>ceats.</w:t>
      </w:r>
    </w:p>
  </w:footnote>
  <w:footnote w:id="397">
    <w:p w14:paraId="5DFAF4DE" w14:textId="77777777" w:rsidR="000E1004" w:rsidRDefault="000E1004" w:rsidP="00402CC5">
      <w:pPr>
        <w:pStyle w:val="FootnoteText"/>
      </w:pPr>
      <w:r>
        <w:rPr>
          <w:rStyle w:val="FootnoteReference"/>
        </w:rPr>
        <w:footnoteRef/>
      </w:r>
      <w:r>
        <w:t xml:space="preserve"> Chick (2010, </w:t>
      </w:r>
      <w:r w:rsidRPr="00537BB6">
        <w:t>Table</w:t>
      </w:r>
      <w:r>
        <w:fldChar w:fldCharType="begin"/>
      </w:r>
      <w:r>
        <w:instrText xml:space="preserve"> XE "</w:instrText>
      </w:r>
      <w:r w:rsidRPr="007A2080">
        <w:rPr>
          <w:rStyle w:val="Hyperlink"/>
          <w:noProof/>
        </w:rPr>
        <w:instrText>Table</w:instrText>
      </w:r>
      <w:r>
        <w:instrText xml:space="preserve">" </w:instrText>
      </w:r>
      <w:r>
        <w:fldChar w:fldCharType="end"/>
      </w:r>
      <w:r w:rsidRPr="00537BB6">
        <w:t xml:space="preserve"> 6</w:t>
      </w:r>
      <w:r>
        <w:t>,</w:t>
      </w:r>
      <w:r w:rsidRPr="00537BB6">
        <w:t xml:space="preserve"> 188</w:t>
      </w:r>
      <w:r>
        <w:t xml:space="preserve">). The heavy </w:t>
      </w:r>
      <w:r w:rsidRPr="00B02E74">
        <w:t>penny</w:t>
      </w:r>
      <w:r>
        <w:fldChar w:fldCharType="begin"/>
      </w:r>
      <w:r>
        <w:instrText xml:space="preserve"> XE "</w:instrText>
      </w:r>
      <w:r w:rsidRPr="007645AE">
        <w:instrText>penny</w:instrText>
      </w:r>
      <w:r>
        <w:instrText xml:space="preserve">" </w:instrText>
      </w:r>
      <w:r>
        <w:fldChar w:fldCharType="end"/>
      </w:r>
      <w:r w:rsidRPr="00B02E74">
        <w:t xml:space="preserve"> averaged 1.31g. In </w:t>
      </w:r>
      <w:r>
        <w:t xml:space="preserve">comparison, in </w:t>
      </w:r>
      <w:r w:rsidRPr="00B02E74">
        <w:t>768, Charlemagne</w:t>
      </w:r>
      <w:r>
        <w:fldChar w:fldCharType="begin"/>
      </w:r>
      <w:r>
        <w:instrText xml:space="preserve"> XE "</w:instrText>
      </w:r>
      <w:r w:rsidRPr="007D3069">
        <w:rPr>
          <w:rFonts w:cs="Times New Roman"/>
          <w:color w:val="000000" w:themeColor="text1"/>
          <w:szCs w:val="24"/>
        </w:rPr>
        <w:instrText>Charlemagne</w:instrText>
      </w:r>
      <w:r>
        <w:instrText xml:space="preserve">" </w:instrText>
      </w:r>
      <w:r>
        <w:fldChar w:fldCharType="end"/>
      </w:r>
      <w:r w:rsidRPr="00B02E74">
        <w:t xml:space="preserve"> introduced small deniers of </w:t>
      </w:r>
      <w:r w:rsidRPr="00B02E74">
        <w:rPr>
          <w:i/>
        </w:rPr>
        <w:t>c.</w:t>
      </w:r>
      <w:r w:rsidRPr="00B02E74">
        <w:t>1.3g. The broader, monogrammed, coin, introduced after the Council of Frankfurt</w:t>
      </w:r>
      <w:r>
        <w:fldChar w:fldCharType="begin"/>
      </w:r>
      <w:r>
        <w:instrText xml:space="preserve"> XE "</w:instrText>
      </w:r>
      <w:r w:rsidRPr="007D3069">
        <w:rPr>
          <w:rStyle w:val="Hyperlink"/>
          <w:rFonts w:cs="Times New Roman"/>
          <w:szCs w:val="24"/>
        </w:rPr>
        <w:instrText>Council of Frankfurt</w:instrText>
      </w:r>
      <w:r>
        <w:instrText xml:space="preserve">" </w:instrText>
      </w:r>
      <w:r>
        <w:fldChar w:fldCharType="end"/>
      </w:r>
      <w:r w:rsidRPr="00B02E74">
        <w:t xml:space="preserve">, 794, </w:t>
      </w:r>
      <w:r>
        <w:t>weighed</w:t>
      </w:r>
      <w:r w:rsidRPr="00B02E74">
        <w:t xml:space="preserve"> 1.7g.</w:t>
      </w:r>
    </w:p>
  </w:footnote>
  <w:footnote w:id="398">
    <w:p w14:paraId="7F90E3C1" w14:textId="77777777" w:rsidR="000E1004" w:rsidRDefault="000E1004" w:rsidP="00402CC5">
      <w:pPr>
        <w:pStyle w:val="FootnoteText"/>
      </w:pPr>
      <w:r>
        <w:rPr>
          <w:rStyle w:val="FootnoteReference"/>
        </w:rPr>
        <w:footnoteRef/>
      </w:r>
      <w:r>
        <w:t xml:space="preserve"> Chick (2010, 1-29) for a discussion of the chronology. Only the Offan issues of Beonna</w:t>
      </w:r>
      <w:r>
        <w:fldChar w:fldCharType="begin"/>
      </w:r>
      <w:r>
        <w:instrText xml:space="preserve"> XE "</w:instrText>
      </w:r>
      <w:r w:rsidRPr="007D3069">
        <w:rPr>
          <w:rFonts w:cs="Times New Roman"/>
        </w:rPr>
        <w:instrText>Beonna</w:instrText>
      </w:r>
      <w:r>
        <w:instrText xml:space="preserve">" </w:instrText>
      </w:r>
      <w:r>
        <w:fldChar w:fldCharType="end"/>
      </w:r>
      <w:r>
        <w:t xml:space="preserve">’s former moneyer Wilred and the implausibly named MANG (surely a contraction of </w:t>
      </w:r>
      <w:r w:rsidRPr="000B715F">
        <w:rPr>
          <w:i/>
        </w:rPr>
        <w:t>Mercorium Anglorum</w:t>
      </w:r>
      <w:r>
        <w:t>), are deemed to predate this.</w:t>
      </w:r>
    </w:p>
  </w:footnote>
  <w:footnote w:id="399">
    <w:p w14:paraId="747E4DA9" w14:textId="77777777" w:rsidR="000E1004" w:rsidRDefault="000E1004" w:rsidP="00402CC5">
      <w:pPr>
        <w:pStyle w:val="FootnoteText"/>
      </w:pPr>
      <w:r>
        <w:rPr>
          <w:rStyle w:val="FootnoteReference"/>
        </w:rPr>
        <w:footnoteRef/>
      </w:r>
      <w:r>
        <w:t xml:space="preserve"> </w:t>
      </w:r>
      <w:r w:rsidRPr="00EB24F4">
        <w:t xml:space="preserve">Chick </w:t>
      </w:r>
      <w:r>
        <w:t xml:space="preserve">(2010, </w:t>
      </w:r>
      <w:r w:rsidRPr="00EB24F4">
        <w:t>28</w:t>
      </w:r>
      <w:r>
        <w:t>)</w:t>
      </w:r>
      <w:r w:rsidRPr="00EB24F4">
        <w:t>.</w:t>
      </w:r>
    </w:p>
  </w:footnote>
  <w:footnote w:id="400">
    <w:p w14:paraId="61D2DE98" w14:textId="0B855517" w:rsidR="000E1004" w:rsidRDefault="000E1004" w:rsidP="009F1447">
      <w:pPr>
        <w:pStyle w:val="FootnoteText"/>
      </w:pPr>
      <w:r>
        <w:rPr>
          <w:rStyle w:val="FootnoteReference"/>
        </w:rPr>
        <w:footnoteRef/>
      </w:r>
      <w:r>
        <w:t xml:space="preserve"> </w:t>
      </w:r>
      <w:r w:rsidRPr="0066556A">
        <w:t>Imported dirhams and Carolingian</w:t>
      </w:r>
      <w:r>
        <w:fldChar w:fldCharType="begin"/>
      </w:r>
      <w:r>
        <w:instrText xml:space="preserve"> XE "</w:instrText>
      </w:r>
      <w:r w:rsidRPr="007D3069">
        <w:rPr>
          <w:rFonts w:cs="Times New Roman"/>
          <w:szCs w:val="24"/>
        </w:rPr>
        <w:instrText>Carolingian</w:instrText>
      </w:r>
      <w:r>
        <w:instrText xml:space="preserve">" </w:instrText>
      </w:r>
      <w:r>
        <w:fldChar w:fldCharType="end"/>
      </w:r>
      <w:r w:rsidRPr="0066556A">
        <w:t xml:space="preserve"> so</w:t>
      </w:r>
      <w:r>
        <w:t xml:space="preserve">lidi &amp; deniers shown in </w:t>
      </w:r>
      <w:r w:rsidRPr="00067FAA">
        <w:rPr>
          <w:i/>
        </w:rPr>
        <w:t>Table</w:t>
      </w:r>
      <w:r w:rsidRPr="00067FAA">
        <w:rPr>
          <w:i/>
        </w:rPr>
        <w:fldChar w:fldCharType="begin"/>
      </w:r>
      <w:r>
        <w:instrText xml:space="preserve"> XE "</w:instrText>
      </w:r>
      <w:r w:rsidRPr="00067FAA">
        <w:rPr>
          <w:noProof/>
        </w:rPr>
        <w:instrText>Table</w:instrText>
      </w:r>
      <w:r>
        <w:instrText xml:space="preserve">" </w:instrText>
      </w:r>
      <w:r w:rsidRPr="00067FAA">
        <w:rPr>
          <w:i/>
        </w:rPr>
        <w:fldChar w:fldCharType="end"/>
      </w:r>
      <w:r>
        <w:rPr>
          <w:i/>
        </w:rPr>
        <w:t xml:space="preserve"> </w:t>
      </w:r>
      <w:r w:rsidRPr="00067FAA">
        <w:rPr>
          <w:i/>
        </w:rPr>
        <w:t>5</w:t>
      </w:r>
      <w:r>
        <w:rPr>
          <w:i/>
        </w:rPr>
        <w:t>.01</w:t>
      </w:r>
      <w:r>
        <w:t xml:space="preserve"> </w:t>
      </w:r>
      <w:r w:rsidRPr="0066556A">
        <w:t xml:space="preserve">are not given a period number as they are regarded as occasional intrusions despite the comments </w:t>
      </w:r>
      <w:r>
        <w:t xml:space="preserve">(see </w:t>
      </w:r>
      <w:r>
        <w:fldChar w:fldCharType="begin"/>
      </w:r>
      <w:r>
        <w:instrText xml:space="preserve"> PAGEREF LoiusthePious \h </w:instrText>
      </w:r>
      <w:r>
        <w:fldChar w:fldCharType="separate"/>
      </w:r>
      <w:r w:rsidR="0012026B">
        <w:rPr>
          <w:noProof/>
        </w:rPr>
        <w:t>303</w:t>
      </w:r>
      <w:r>
        <w:fldChar w:fldCharType="end"/>
      </w:r>
      <w:r>
        <w:t>)</w:t>
      </w:r>
      <w:r w:rsidRPr="0066556A">
        <w:t xml:space="preserve"> on the possibility of English imitations of the Louis the Pious</w:t>
      </w:r>
      <w:r>
        <w:fldChar w:fldCharType="begin"/>
      </w:r>
      <w:r>
        <w:instrText xml:space="preserve"> XE "</w:instrText>
      </w:r>
      <w:r w:rsidRPr="007D3069">
        <w:rPr>
          <w:rFonts w:eastAsia="Times New Roman" w:cs="Times New Roman"/>
          <w:szCs w:val="24"/>
          <w:lang w:eastAsia="en-GB"/>
        </w:rPr>
        <w:instrText>Louis the Pious</w:instrText>
      </w:r>
      <w:r>
        <w:instrText xml:space="preserve">" </w:instrText>
      </w:r>
      <w:r>
        <w:fldChar w:fldCharType="end"/>
      </w:r>
      <w:r>
        <w:t xml:space="preserve"> solidus</w:t>
      </w:r>
      <w:r>
        <w:fldChar w:fldCharType="begin"/>
      </w:r>
      <w:r>
        <w:instrText xml:space="preserve"> XE "</w:instrText>
      </w:r>
      <w:r w:rsidRPr="007D3069">
        <w:rPr>
          <w:rFonts w:eastAsia="Times New Roman" w:cs="Times New Roman"/>
          <w:szCs w:val="24"/>
          <w:lang w:eastAsia="en-GB"/>
        </w:rPr>
        <w:instrText>solidus</w:instrText>
      </w:r>
      <w:r>
        <w:instrText xml:space="preserve">" </w:instrText>
      </w:r>
      <w:r>
        <w:fldChar w:fldCharType="end"/>
      </w:r>
      <w:r w:rsidRPr="0066556A">
        <w:t>.</w:t>
      </w:r>
    </w:p>
  </w:footnote>
  <w:footnote w:id="401">
    <w:p w14:paraId="4D5A89E3" w14:textId="77777777" w:rsidR="000E1004" w:rsidRDefault="000E1004" w:rsidP="00402CC5">
      <w:pPr>
        <w:pStyle w:val="FootnoteText"/>
      </w:pPr>
      <w:r>
        <w:rPr>
          <w:rStyle w:val="FootnoteReference"/>
        </w:rPr>
        <w:footnoteRef/>
      </w:r>
      <w:r>
        <w:t xml:space="preserve"> B</w:t>
      </w:r>
      <w:r w:rsidRPr="007262DD">
        <w:t xml:space="preserve">ut before </w:t>
      </w:r>
      <w:r w:rsidRPr="007262DD">
        <w:rPr>
          <w:i/>
        </w:rPr>
        <w:t>c.</w:t>
      </w:r>
      <w:r w:rsidRPr="007262DD">
        <w:t>835 i.e. during Eanbald</w:t>
      </w:r>
      <w:r>
        <w:fldChar w:fldCharType="begin"/>
      </w:r>
      <w:r>
        <w:instrText xml:space="preserve"> XE "</w:instrText>
      </w:r>
      <w:r w:rsidRPr="007645AE">
        <w:instrText>Eanbald</w:instrText>
      </w:r>
      <w:r>
        <w:instrText xml:space="preserve">" </w:instrText>
      </w:r>
      <w:r>
        <w:fldChar w:fldCharType="end"/>
      </w:r>
      <w:r w:rsidRPr="007262DD">
        <w:t xml:space="preserve"> II’s tenure if not before Dore in 829.</w:t>
      </w:r>
    </w:p>
  </w:footnote>
  <w:footnote w:id="402">
    <w:p w14:paraId="641741FE" w14:textId="151E19CA" w:rsidR="000E1004" w:rsidRPr="009A0015" w:rsidRDefault="000E1004" w:rsidP="00753F63">
      <w:pPr>
        <w:pStyle w:val="FootnoteText"/>
        <w:rPr>
          <w:color w:val="0563C1" w:themeColor="hyperlink"/>
          <w:u w:val="single"/>
        </w:rPr>
      </w:pPr>
      <w:r>
        <w:rPr>
          <w:rStyle w:val="FootnoteReference"/>
        </w:rPr>
        <w:footnoteRef/>
      </w:r>
      <w:r>
        <w:t xml:space="preserve"> A more detailed account of early </w:t>
      </w:r>
      <w:r w:rsidRPr="00760902">
        <w:t>Northumbrian history to 685</w:t>
      </w:r>
      <w:r>
        <w:t xml:space="preserve"> can be found at </w:t>
      </w:r>
      <w:hyperlink r:id="rId7" w:history="1">
        <w:r w:rsidRPr="009A0015">
          <w:rPr>
            <w:rStyle w:val="Hyperlink"/>
          </w:rPr>
          <w:t>http://www.anglo-saxon-coinage.co.uk/25.html</w:t>
        </w:r>
      </w:hyperlink>
    </w:p>
  </w:footnote>
  <w:footnote w:id="403">
    <w:p w14:paraId="49646767" w14:textId="77777777" w:rsidR="000E1004" w:rsidRDefault="000E1004" w:rsidP="007C785D">
      <w:pPr>
        <w:pStyle w:val="FootnoteText"/>
      </w:pPr>
      <w:r>
        <w:rPr>
          <w:rStyle w:val="FootnoteReference"/>
        </w:rPr>
        <w:footnoteRef/>
      </w:r>
      <w:r>
        <w:t xml:space="preserve"> </w:t>
      </w:r>
      <w:r w:rsidRPr="00331E91">
        <w:t>Poignantly, ‘Can a foreign country become a fatherland</w:t>
      </w:r>
      <w:r>
        <w:t xml:space="preserve"> to us</w:t>
      </w:r>
      <w:r w:rsidRPr="00331E91">
        <w:t>?’</w:t>
      </w:r>
      <w:r>
        <w:t xml:space="preserve"> (From Goethe’s </w:t>
      </w:r>
      <w:r w:rsidRPr="00331E91">
        <w:rPr>
          <w:i/>
        </w:rPr>
        <w:t>Iphigenia</w:t>
      </w:r>
      <w:r>
        <w:t>.)</w:t>
      </w:r>
    </w:p>
  </w:footnote>
  <w:footnote w:id="404">
    <w:p w14:paraId="0B2D838E" w14:textId="150218B3" w:rsidR="000E1004" w:rsidRPr="00DD1EB2" w:rsidRDefault="000E1004" w:rsidP="007C785D">
      <w:pPr>
        <w:pStyle w:val="FootnoteText"/>
      </w:pPr>
      <w:r w:rsidRPr="00DD1EB2">
        <w:rPr>
          <w:rStyle w:val="FootnoteReference"/>
        </w:rPr>
        <w:footnoteRef/>
      </w:r>
      <w:r w:rsidRPr="00DD1EB2">
        <w:t xml:space="preserve"> </w:t>
      </w:r>
      <w:r>
        <w:t>Blair</w:t>
      </w:r>
      <w:r>
        <w:fldChar w:fldCharType="begin"/>
      </w:r>
      <w:r>
        <w:instrText xml:space="preserve"> XE "</w:instrText>
      </w:r>
      <w:r w:rsidRPr="007645AE">
        <w:instrText>Blair</w:instrText>
      </w:r>
      <w:r>
        <w:instrText xml:space="preserve">" </w:instrText>
      </w:r>
      <w:r>
        <w:fldChar w:fldCharType="end"/>
      </w:r>
      <w:r>
        <w:t xml:space="preserve"> (2005,</w:t>
      </w:r>
      <w:r w:rsidRPr="00DD1EB2">
        <w:t xml:space="preserve"> 23</w:t>
      </w:r>
      <w:r>
        <w:t>)</w:t>
      </w:r>
      <w:r w:rsidRPr="00DD1EB2">
        <w:t>.</w:t>
      </w:r>
    </w:p>
  </w:footnote>
  <w:footnote w:id="405">
    <w:p w14:paraId="498C6F18" w14:textId="5A6D3979" w:rsidR="000E1004" w:rsidRDefault="000E1004">
      <w:pPr>
        <w:pStyle w:val="FootnoteText"/>
      </w:pPr>
      <w:r>
        <w:rPr>
          <w:rStyle w:val="FootnoteReference"/>
        </w:rPr>
        <w:footnoteRef/>
      </w:r>
      <w:r>
        <w:t xml:space="preserve"> Levison (1946, 3).</w:t>
      </w:r>
    </w:p>
  </w:footnote>
  <w:footnote w:id="406">
    <w:p w14:paraId="7B460685" w14:textId="242844C4" w:rsidR="000E1004" w:rsidRDefault="000E1004">
      <w:pPr>
        <w:pStyle w:val="FootnoteText"/>
      </w:pPr>
      <w:r>
        <w:rPr>
          <w:rStyle w:val="FootnoteReference"/>
        </w:rPr>
        <w:footnoteRef/>
      </w:r>
      <w:r>
        <w:t xml:space="preserve"> Webster &amp; Brown (1997). Wood (1997&amp;1998).</w:t>
      </w:r>
    </w:p>
  </w:footnote>
  <w:footnote w:id="407">
    <w:p w14:paraId="2FB1F7F1" w14:textId="159EFD7B" w:rsidR="000E1004" w:rsidRPr="00665DCD" w:rsidRDefault="000E1004" w:rsidP="00980D2D">
      <w:pPr>
        <w:pStyle w:val="FootnoteText"/>
      </w:pPr>
      <w:r w:rsidRPr="00665DCD">
        <w:rPr>
          <w:rStyle w:val="FootnoteReference"/>
        </w:rPr>
        <w:footnoteRef/>
      </w:r>
      <w:r w:rsidRPr="00665DCD">
        <w:t xml:space="preserve"> Ramm</w:t>
      </w:r>
      <w:r>
        <w:t xml:space="preserve"> (1978)</w:t>
      </w:r>
      <w:r w:rsidRPr="00665DCD">
        <w:t>.</w:t>
      </w:r>
    </w:p>
  </w:footnote>
  <w:footnote w:id="408">
    <w:p w14:paraId="45B68BA8" w14:textId="2D7398C0" w:rsidR="000E1004" w:rsidRDefault="000E1004">
      <w:pPr>
        <w:pStyle w:val="FootnoteText"/>
      </w:pPr>
      <w:r>
        <w:rPr>
          <w:rStyle w:val="FootnoteReference"/>
        </w:rPr>
        <w:footnoteRef/>
      </w:r>
      <w:r>
        <w:t xml:space="preserve"> Woodman (2012, 9).</w:t>
      </w:r>
    </w:p>
  </w:footnote>
  <w:footnote w:id="409">
    <w:p w14:paraId="5981B250" w14:textId="45C36E00" w:rsidR="000E1004" w:rsidRPr="00E37297" w:rsidRDefault="000E1004" w:rsidP="00980D2D">
      <w:pPr>
        <w:pStyle w:val="FootnoteText"/>
      </w:pPr>
      <w:r w:rsidRPr="00E37297">
        <w:rPr>
          <w:rStyle w:val="FootnoteReference"/>
        </w:rPr>
        <w:footnoteRef/>
      </w:r>
      <w:r w:rsidRPr="00E37297">
        <w:t xml:space="preserve"> Breeze </w:t>
      </w:r>
      <w:r>
        <w:t>(2009, 73-9) argued</w:t>
      </w:r>
      <w:r w:rsidRPr="00E37297">
        <w:t xml:space="preserve"> for the more imaginative ‘land of the piercers of battle-lines, territory of those making gaps between enemy warriors’.</w:t>
      </w:r>
      <w:r>
        <w:t xml:space="preserve"> Also, Alcock (2003, 44-6).</w:t>
      </w:r>
    </w:p>
  </w:footnote>
  <w:footnote w:id="410">
    <w:p w14:paraId="5FA29821" w14:textId="2C0B25E5" w:rsidR="000E1004" w:rsidRPr="00665DCD" w:rsidRDefault="000E1004" w:rsidP="00980D2D">
      <w:pPr>
        <w:pStyle w:val="FootnoteText"/>
      </w:pPr>
      <w:r w:rsidRPr="00665DCD">
        <w:rPr>
          <w:rStyle w:val="FootnoteReference"/>
        </w:rPr>
        <w:footnoteRef/>
      </w:r>
      <w:r>
        <w:t xml:space="preserve"> Marsden (1992, </w:t>
      </w:r>
      <w:r w:rsidRPr="00665DCD">
        <w:t>21-49</w:t>
      </w:r>
      <w:r>
        <w:t>). Higham (1993,</w:t>
      </w:r>
      <w:r w:rsidRPr="00665DCD">
        <w:t xml:space="preserve"> 76-9</w:t>
      </w:r>
      <w:r>
        <w:t>)</w:t>
      </w:r>
      <w:r w:rsidRPr="00665DCD">
        <w:t>.</w:t>
      </w:r>
    </w:p>
  </w:footnote>
  <w:footnote w:id="411">
    <w:p w14:paraId="2FF81CA0" w14:textId="1F6587BB" w:rsidR="000E1004" w:rsidRDefault="000E1004">
      <w:pPr>
        <w:pStyle w:val="FootnoteText"/>
      </w:pPr>
      <w:r>
        <w:rPr>
          <w:rStyle w:val="FootnoteReference"/>
        </w:rPr>
        <w:footnoteRef/>
      </w:r>
      <w:r>
        <w:t xml:space="preserve"> Wood (2008, 11-12).</w:t>
      </w:r>
    </w:p>
  </w:footnote>
  <w:footnote w:id="412">
    <w:p w14:paraId="38CD184C" w14:textId="28E625F5" w:rsidR="000E1004" w:rsidRDefault="000E1004">
      <w:pPr>
        <w:pStyle w:val="FootnoteText"/>
      </w:pPr>
      <w:r w:rsidRPr="002528B2">
        <w:rPr>
          <w:rStyle w:val="FootnoteReference"/>
          <w:rFonts w:asciiTheme="minorHAnsi" w:hAnsiTheme="minorHAnsi" w:cstheme="minorHAnsi"/>
        </w:rPr>
        <w:footnoteRef/>
      </w:r>
      <w:r w:rsidRPr="002528B2">
        <w:rPr>
          <w:rFonts w:asciiTheme="minorHAnsi" w:hAnsiTheme="minorHAnsi" w:cstheme="minorHAnsi"/>
        </w:rPr>
        <w:t xml:space="preserve"> </w:t>
      </w:r>
      <w:r>
        <w:rPr>
          <w:rFonts w:asciiTheme="minorHAnsi" w:hAnsiTheme="minorHAnsi" w:cstheme="minorHAnsi"/>
          <w:color w:val="292526"/>
        </w:rPr>
        <w:t>Orton, Wood &amp; Lees (2007,109)</w:t>
      </w:r>
      <w:r w:rsidRPr="002528B2">
        <w:rPr>
          <w:rFonts w:asciiTheme="minorHAnsi" w:hAnsiTheme="minorHAnsi" w:cstheme="minorHAnsi"/>
          <w:color w:val="292526"/>
        </w:rPr>
        <w:t>.</w:t>
      </w:r>
    </w:p>
  </w:footnote>
  <w:footnote w:id="413">
    <w:p w14:paraId="772B074F" w14:textId="39EE2AD5" w:rsidR="000E1004" w:rsidRPr="002528B2" w:rsidRDefault="000E1004">
      <w:pPr>
        <w:pStyle w:val="FootnoteText"/>
        <w:rPr>
          <w:rFonts w:asciiTheme="minorHAnsi" w:hAnsiTheme="minorHAnsi" w:cstheme="minorHAnsi"/>
        </w:rPr>
      </w:pPr>
      <w:r w:rsidRPr="002528B2">
        <w:rPr>
          <w:rStyle w:val="FootnoteReference"/>
          <w:rFonts w:asciiTheme="minorHAnsi" w:hAnsiTheme="minorHAnsi" w:cstheme="minorHAnsi"/>
        </w:rPr>
        <w:footnoteRef/>
      </w:r>
      <w:r w:rsidRPr="002528B2">
        <w:rPr>
          <w:rFonts w:asciiTheme="minorHAnsi" w:hAnsiTheme="minorHAnsi" w:cstheme="minorHAnsi"/>
        </w:rPr>
        <w:t xml:space="preserve"> </w:t>
      </w:r>
      <w:r w:rsidRPr="002528B2">
        <w:rPr>
          <w:rFonts w:asciiTheme="minorHAnsi" w:hAnsiTheme="minorHAnsi" w:cstheme="minorHAnsi"/>
          <w:color w:val="292526"/>
        </w:rPr>
        <w:t>Hunt</w:t>
      </w:r>
      <w:r>
        <w:rPr>
          <w:rFonts w:asciiTheme="minorHAnsi" w:hAnsiTheme="minorHAnsi" w:cstheme="minorHAnsi"/>
          <w:color w:val="292526"/>
        </w:rPr>
        <w:t xml:space="preserve">er-Blair (1948, </w:t>
      </w:r>
      <w:r w:rsidRPr="002528B2">
        <w:rPr>
          <w:rFonts w:asciiTheme="minorHAnsi" w:hAnsiTheme="minorHAnsi" w:cstheme="minorHAnsi"/>
          <w:color w:val="292526"/>
        </w:rPr>
        <w:t>99</w:t>
      </w:r>
      <w:r>
        <w:rPr>
          <w:rFonts w:asciiTheme="minorHAnsi" w:hAnsiTheme="minorHAnsi" w:cstheme="minorHAnsi"/>
          <w:color w:val="292526"/>
        </w:rPr>
        <w:t>)</w:t>
      </w:r>
      <w:r w:rsidRPr="002528B2">
        <w:rPr>
          <w:rFonts w:asciiTheme="minorHAnsi" w:hAnsiTheme="minorHAnsi" w:cstheme="minorHAnsi"/>
          <w:color w:val="292526"/>
        </w:rPr>
        <w:t>.</w:t>
      </w:r>
    </w:p>
  </w:footnote>
  <w:footnote w:id="414">
    <w:p w14:paraId="5504288C" w14:textId="677BB04E" w:rsidR="000E1004" w:rsidRPr="00665DCD" w:rsidRDefault="000E1004" w:rsidP="00980D2D">
      <w:pPr>
        <w:pStyle w:val="FootnoteText"/>
      </w:pPr>
      <w:r w:rsidRPr="00665DCD">
        <w:rPr>
          <w:rStyle w:val="FootnoteReference"/>
        </w:rPr>
        <w:footnoteRef/>
      </w:r>
      <w:r w:rsidRPr="00665DCD">
        <w:t xml:space="preserve"> </w:t>
      </w:r>
      <w:r>
        <w:t xml:space="preserve">Higham </w:t>
      </w:r>
      <w:r w:rsidRPr="00665DCD">
        <w:t>(1999</w:t>
      </w:r>
      <w:r>
        <w:t>,</w:t>
      </w:r>
      <w:r w:rsidRPr="00665DCD">
        <w:t xml:space="preserve"> 31-6</w:t>
      </w:r>
      <w:r>
        <w:t>)</w:t>
      </w:r>
      <w:r w:rsidRPr="00665DCD">
        <w:t>.</w:t>
      </w:r>
    </w:p>
  </w:footnote>
  <w:footnote w:id="415">
    <w:p w14:paraId="0FEC7D1C" w14:textId="77777777" w:rsidR="000E1004" w:rsidRDefault="000E1004" w:rsidP="00E04862">
      <w:pPr>
        <w:pStyle w:val="NoSpacing"/>
        <w:jc w:val="left"/>
      </w:pPr>
      <w:r w:rsidRPr="00FD5DF8">
        <w:rPr>
          <w:rStyle w:val="FootnoteReference"/>
          <w:sz w:val="20"/>
          <w:szCs w:val="20"/>
        </w:rPr>
        <w:footnoteRef/>
      </w:r>
      <w:r w:rsidRPr="00FD5DF8">
        <w:rPr>
          <w:sz w:val="20"/>
          <w:szCs w:val="20"/>
        </w:rPr>
        <w:t xml:space="preserve"> Quoted in Alcock (2003, 92)</w:t>
      </w:r>
      <w:r>
        <w:rPr>
          <w:sz w:val="20"/>
          <w:szCs w:val="20"/>
        </w:rPr>
        <w:t>.</w:t>
      </w:r>
    </w:p>
  </w:footnote>
  <w:footnote w:id="416">
    <w:p w14:paraId="307D5536" w14:textId="000CAB18" w:rsidR="000E1004" w:rsidRDefault="000E1004" w:rsidP="006F661F">
      <w:pPr>
        <w:pStyle w:val="FootnoteText"/>
      </w:pPr>
      <w:r>
        <w:rPr>
          <w:rStyle w:val="FootnoteReference"/>
        </w:rPr>
        <w:footnoteRef/>
      </w:r>
      <w:r>
        <w:t xml:space="preserve"> ‘For kings, agnatic kinsmen were natural rivals,’ Charles-Edwards (1997, 179).</w:t>
      </w:r>
    </w:p>
  </w:footnote>
  <w:footnote w:id="417">
    <w:p w14:paraId="1A66BCD4" w14:textId="43769325" w:rsidR="000E1004" w:rsidRDefault="000E1004">
      <w:pPr>
        <w:pStyle w:val="FootnoteText"/>
      </w:pPr>
      <w:r>
        <w:rPr>
          <w:rStyle w:val="FootnoteReference"/>
        </w:rPr>
        <w:footnoteRef/>
      </w:r>
      <w:r>
        <w:t xml:space="preserve"> Kind R</w:t>
      </w:r>
      <w:r>
        <w:rPr>
          <w:rFonts w:cs="Times New Roman"/>
        </w:rPr>
        <w:t>æd</w:t>
      </w:r>
      <w:r>
        <w:t xml:space="preserve">wald of East Anglia is the favoured candidate as occupant of the Sutton Hoo ship burial. Marsden (1992, </w:t>
      </w:r>
      <w:r w:rsidRPr="00665DCD">
        <w:t>77-104</w:t>
      </w:r>
      <w:r>
        <w:t>)</w:t>
      </w:r>
      <w:r w:rsidRPr="00665DCD">
        <w:t>.</w:t>
      </w:r>
    </w:p>
  </w:footnote>
  <w:footnote w:id="418">
    <w:p w14:paraId="1416B118" w14:textId="49EAA9EF" w:rsidR="000E1004" w:rsidRPr="00665DCD" w:rsidRDefault="000E1004" w:rsidP="00980D2D">
      <w:pPr>
        <w:pStyle w:val="FootnoteText"/>
      </w:pPr>
      <w:r w:rsidRPr="00665DCD">
        <w:rPr>
          <w:rStyle w:val="FootnoteReference"/>
        </w:rPr>
        <w:footnoteRef/>
      </w:r>
      <w:r>
        <w:t xml:space="preserve"> Higham (1993,</w:t>
      </w:r>
      <w:r w:rsidRPr="00665DCD">
        <w:t xml:space="preserve"> 117</w:t>
      </w:r>
      <w:r>
        <w:t>)</w:t>
      </w:r>
      <w:r w:rsidRPr="00665DCD">
        <w:t>.</w:t>
      </w:r>
      <w:r>
        <w:t xml:space="preserve"> Loveluck (2003, 156-7).</w:t>
      </w:r>
    </w:p>
  </w:footnote>
  <w:footnote w:id="419">
    <w:p w14:paraId="3774ACFD" w14:textId="18A69395" w:rsidR="000E1004" w:rsidRDefault="000E1004" w:rsidP="002F700E">
      <w:pPr>
        <w:pStyle w:val="FootnoteText"/>
      </w:pPr>
      <w:r>
        <w:rPr>
          <w:rStyle w:val="FootnoteReference"/>
        </w:rPr>
        <w:footnoteRef/>
      </w:r>
      <w:r>
        <w:t xml:space="preserve"> </w:t>
      </w:r>
      <w:r w:rsidRPr="00796041">
        <w:rPr>
          <w:i/>
        </w:rPr>
        <w:t xml:space="preserve">Bede (EH, </w:t>
      </w:r>
      <w:r w:rsidRPr="000F5D11">
        <w:t>II, 16</w:t>
      </w:r>
      <w:r>
        <w:t>)</w:t>
      </w:r>
      <w:r w:rsidRPr="000F5D11">
        <w:t>.</w:t>
      </w:r>
    </w:p>
  </w:footnote>
  <w:footnote w:id="420">
    <w:p w14:paraId="4594A49F" w14:textId="4FA27986" w:rsidR="000E1004" w:rsidRDefault="000E1004" w:rsidP="00980D2D">
      <w:pPr>
        <w:pStyle w:val="FootnoteText"/>
      </w:pPr>
      <w:r>
        <w:rPr>
          <w:rStyle w:val="FootnoteReference"/>
        </w:rPr>
        <w:footnoteRef/>
      </w:r>
      <w:r>
        <w:t xml:space="preserve"> Earlier in 627,</w:t>
      </w:r>
      <w:r w:rsidRPr="00F404F8">
        <w:t xml:space="preserve"> Lilla </w:t>
      </w:r>
      <w:r>
        <w:t>succumbed to Edwin’s</w:t>
      </w:r>
      <w:r w:rsidRPr="00F404F8">
        <w:t xml:space="preserve"> would-be assassin</w:t>
      </w:r>
      <w:r>
        <w:t>’s</w:t>
      </w:r>
      <w:r w:rsidRPr="00F404F8">
        <w:t xml:space="preserve"> k</w:t>
      </w:r>
      <w:r>
        <w:t>n</w:t>
      </w:r>
      <w:r w:rsidRPr="00F404F8">
        <w:t>ife and was commemorated at Lilla Howe, an Anglian burial in a Bronze Age tumulus.</w:t>
      </w:r>
      <w:r>
        <w:t xml:space="preserve"> Spratt &amp; Harrison (1989, 63). Rollason (2003, 46).</w:t>
      </w:r>
    </w:p>
  </w:footnote>
  <w:footnote w:id="421">
    <w:p w14:paraId="727C411C" w14:textId="5A5BA9FE" w:rsidR="000E1004" w:rsidRPr="00665DCD" w:rsidRDefault="000E1004" w:rsidP="00980D2D">
      <w:pPr>
        <w:pStyle w:val="FootnoteText"/>
      </w:pPr>
      <w:r w:rsidRPr="00665DCD">
        <w:rPr>
          <w:rStyle w:val="FootnoteReference"/>
        </w:rPr>
        <w:footnoteRef/>
      </w:r>
      <w:r>
        <w:t xml:space="preserve"> T</w:t>
      </w:r>
      <w:r w:rsidRPr="00665DCD">
        <w:t>he ‘Sancton’ site, rich in sceats, was revealed to be South Newbald by Booth &amp; B</w:t>
      </w:r>
      <w:r>
        <w:t>lowers,</w:t>
      </w:r>
      <w:r w:rsidRPr="00665DCD">
        <w:t xml:space="preserve"> </w:t>
      </w:r>
      <w:r>
        <w:t xml:space="preserve">(1997, </w:t>
      </w:r>
      <w:r w:rsidRPr="00665DCD">
        <w:t>15-38</w:t>
      </w:r>
      <w:r>
        <w:t>).</w:t>
      </w:r>
    </w:p>
  </w:footnote>
  <w:footnote w:id="422">
    <w:p w14:paraId="1CF08096" w14:textId="79A57DE2" w:rsidR="000E1004" w:rsidRPr="00665DCD" w:rsidRDefault="000E1004" w:rsidP="00980D2D">
      <w:pPr>
        <w:pStyle w:val="FootnoteText"/>
      </w:pPr>
      <w:r w:rsidRPr="00665DCD">
        <w:rPr>
          <w:rStyle w:val="FootnoteReference"/>
        </w:rPr>
        <w:footnoteRef/>
      </w:r>
      <w:r w:rsidRPr="00665DCD">
        <w:t xml:space="preserve"> Higham (1993</w:t>
      </w:r>
      <w:r>
        <w:t>,</w:t>
      </w:r>
      <w:r w:rsidRPr="00665DCD">
        <w:t xml:space="preserve"> 87-9</w:t>
      </w:r>
      <w:r>
        <w:t>)</w:t>
      </w:r>
      <w:r w:rsidRPr="00665DCD">
        <w:t>. Marsden (1992</w:t>
      </w:r>
      <w:r>
        <w:t>,</w:t>
      </w:r>
      <w:r w:rsidRPr="00665DCD">
        <w:t xml:space="preserve"> 100-5</w:t>
      </w:r>
      <w:r>
        <w:t>)</w:t>
      </w:r>
      <w:r w:rsidRPr="00665DCD">
        <w:t>.</w:t>
      </w:r>
      <w:r>
        <w:t xml:space="preserve"> Alcock (2003, 136-9). Rollason (2003, 35, 40).</w:t>
      </w:r>
    </w:p>
  </w:footnote>
  <w:footnote w:id="423">
    <w:p w14:paraId="79885768" w14:textId="17B54110" w:rsidR="000E1004" w:rsidRDefault="000E1004" w:rsidP="00980D2D">
      <w:pPr>
        <w:pStyle w:val="FootnoteText"/>
      </w:pPr>
      <w:r>
        <w:rPr>
          <w:rStyle w:val="FootnoteReference"/>
        </w:rPr>
        <w:footnoteRef/>
      </w:r>
      <w:r>
        <w:t xml:space="preserve"> </w:t>
      </w:r>
      <w:r w:rsidRPr="00796041">
        <w:rPr>
          <w:bCs/>
          <w:i/>
        </w:rPr>
        <w:t xml:space="preserve">Bede (EH, </w:t>
      </w:r>
      <w:r w:rsidRPr="00067C85">
        <w:rPr>
          <w:bCs/>
        </w:rPr>
        <w:t>III, 2</w:t>
      </w:r>
      <w:r>
        <w:rPr>
          <w:bCs/>
        </w:rPr>
        <w:t>)</w:t>
      </w:r>
      <w:r w:rsidRPr="00067C85">
        <w:rPr>
          <w:bCs/>
        </w:rPr>
        <w:t>.</w:t>
      </w:r>
    </w:p>
  </w:footnote>
  <w:footnote w:id="424">
    <w:p w14:paraId="7E8E21C5" w14:textId="71725EA1" w:rsidR="000E1004" w:rsidRPr="00665DCD" w:rsidRDefault="000E1004" w:rsidP="00980D2D">
      <w:pPr>
        <w:pStyle w:val="FootnoteText"/>
      </w:pPr>
      <w:r w:rsidRPr="00665DCD">
        <w:rPr>
          <w:rStyle w:val="FootnoteReference"/>
        </w:rPr>
        <w:footnoteRef/>
      </w:r>
      <w:r w:rsidRPr="00665DCD">
        <w:t xml:space="preserve"> Higham (1993</w:t>
      </w:r>
      <w:r>
        <w:t>,</w:t>
      </w:r>
      <w:r w:rsidRPr="00665DCD">
        <w:t xml:space="preserve"> 125</w:t>
      </w:r>
      <w:r>
        <w:t>)</w:t>
      </w:r>
      <w:r w:rsidRPr="00665DCD">
        <w:t>. Marsden (1992</w:t>
      </w:r>
      <w:r>
        <w:t>,</w:t>
      </w:r>
      <w:r w:rsidRPr="00665DCD">
        <w:t xml:space="preserve"> 105-32</w:t>
      </w:r>
      <w:r>
        <w:t>)</w:t>
      </w:r>
      <w:r w:rsidRPr="00665DCD">
        <w:t>.</w:t>
      </w:r>
      <w:r>
        <w:t xml:space="preserve"> Rollason (2003, 119).</w:t>
      </w:r>
    </w:p>
  </w:footnote>
  <w:footnote w:id="425">
    <w:p w14:paraId="33D11701" w14:textId="24670676" w:rsidR="000E1004" w:rsidRPr="00665DCD" w:rsidRDefault="000E1004" w:rsidP="00980D2D">
      <w:pPr>
        <w:pStyle w:val="FootnoteText"/>
      </w:pPr>
      <w:r w:rsidRPr="00665DCD">
        <w:rPr>
          <w:rStyle w:val="FootnoteReference"/>
        </w:rPr>
        <w:footnoteRef/>
      </w:r>
      <w:r w:rsidRPr="00665DCD">
        <w:t xml:space="preserve"> Higham </w:t>
      </w:r>
      <w:r>
        <w:t>(1993, 129). Marsden (1992,</w:t>
      </w:r>
      <w:r w:rsidRPr="00665DCD">
        <w:t xml:space="preserve"> 129-32</w:t>
      </w:r>
      <w:r>
        <w:t>)</w:t>
      </w:r>
      <w:r w:rsidRPr="00665DCD">
        <w:t>.</w:t>
      </w:r>
      <w:r>
        <w:t xml:space="preserve"> Rollason (2003, 59).</w:t>
      </w:r>
    </w:p>
  </w:footnote>
  <w:footnote w:id="426">
    <w:p w14:paraId="125B526B" w14:textId="3E8B559F" w:rsidR="000E1004" w:rsidRDefault="000E1004" w:rsidP="00980D2D">
      <w:pPr>
        <w:pStyle w:val="FootnoteText"/>
      </w:pPr>
      <w:r>
        <w:rPr>
          <w:rStyle w:val="FootnoteReference"/>
        </w:rPr>
        <w:footnoteRef/>
      </w:r>
      <w:r>
        <w:t xml:space="preserve"> </w:t>
      </w:r>
      <w:r w:rsidRPr="00796041">
        <w:rPr>
          <w:i/>
        </w:rPr>
        <w:t xml:space="preserve">Bede (EH, </w:t>
      </w:r>
      <w:r w:rsidRPr="0075524A">
        <w:t>III, 24</w:t>
      </w:r>
      <w:r>
        <w:t>).</w:t>
      </w:r>
    </w:p>
  </w:footnote>
  <w:footnote w:id="427">
    <w:p w14:paraId="5475A092" w14:textId="4B77AF65" w:rsidR="000E1004" w:rsidRPr="00665DCD" w:rsidRDefault="000E1004" w:rsidP="006B6170">
      <w:pPr>
        <w:pStyle w:val="FootnoteText"/>
        <w:tabs>
          <w:tab w:val="left" w:pos="7308"/>
        </w:tabs>
      </w:pPr>
      <w:r w:rsidRPr="00665DCD">
        <w:rPr>
          <w:rStyle w:val="FootnoteReference"/>
        </w:rPr>
        <w:footnoteRef/>
      </w:r>
      <w:r>
        <w:t xml:space="preserve"> Higham (1993,</w:t>
      </w:r>
      <w:r w:rsidRPr="00665DCD">
        <w:t xml:space="preserve"> 129-132</w:t>
      </w:r>
      <w:r>
        <w:t>)</w:t>
      </w:r>
      <w:r w:rsidRPr="00665DCD">
        <w:t>. Marsden (1992</w:t>
      </w:r>
      <w:r>
        <w:t>,</w:t>
      </w:r>
      <w:r w:rsidRPr="00665DCD">
        <w:t xml:space="preserve"> 133-158</w:t>
      </w:r>
      <w:r>
        <w:t>)</w:t>
      </w:r>
      <w:r w:rsidRPr="00665DCD">
        <w:t>.</w:t>
      </w:r>
      <w:r>
        <w:t xml:space="preserve"> Rollason (2003, 35).</w:t>
      </w:r>
      <w:r>
        <w:tab/>
      </w:r>
    </w:p>
  </w:footnote>
  <w:footnote w:id="428">
    <w:p w14:paraId="135A5488" w14:textId="289A301D" w:rsidR="000E1004" w:rsidRPr="00665DCD" w:rsidRDefault="000E1004" w:rsidP="00980D2D">
      <w:pPr>
        <w:pStyle w:val="FootnoteText"/>
      </w:pPr>
      <w:r w:rsidRPr="00665DCD">
        <w:rPr>
          <w:rStyle w:val="FootnoteReference"/>
        </w:rPr>
        <w:footnoteRef/>
      </w:r>
      <w:r>
        <w:t xml:space="preserve"> Marsden (1992,</w:t>
      </w:r>
      <w:r w:rsidRPr="00665DCD">
        <w:t xml:space="preserve"> 159-86</w:t>
      </w:r>
      <w:r>
        <w:t>)</w:t>
      </w:r>
      <w:r w:rsidRPr="00665DCD">
        <w:t>.</w:t>
      </w:r>
    </w:p>
  </w:footnote>
  <w:footnote w:id="429">
    <w:p w14:paraId="0B69907F" w14:textId="2ABEC06D" w:rsidR="000E1004" w:rsidRPr="00665DCD" w:rsidRDefault="000E1004" w:rsidP="00980D2D">
      <w:pPr>
        <w:pStyle w:val="FootnoteText"/>
      </w:pPr>
      <w:r w:rsidRPr="00665DCD">
        <w:rPr>
          <w:rStyle w:val="FootnoteReference"/>
        </w:rPr>
        <w:footnoteRef/>
      </w:r>
      <w:r>
        <w:t xml:space="preserve"> Higham (1993, </w:t>
      </w:r>
      <w:r w:rsidRPr="00665DCD">
        <w:t>139</w:t>
      </w:r>
      <w:r>
        <w:t>)</w:t>
      </w:r>
      <w:r w:rsidRPr="00665DCD">
        <w:t>.</w:t>
      </w:r>
    </w:p>
  </w:footnote>
  <w:footnote w:id="430">
    <w:p w14:paraId="7F934BC3" w14:textId="6015F311" w:rsidR="000E1004" w:rsidRPr="00665DCD" w:rsidRDefault="000E1004" w:rsidP="00980D2D">
      <w:pPr>
        <w:pStyle w:val="FootnoteText"/>
      </w:pPr>
      <w:r w:rsidRPr="00665DCD">
        <w:rPr>
          <w:rStyle w:val="FootnoteReference"/>
        </w:rPr>
        <w:footnoteRef/>
      </w:r>
      <w:r w:rsidRPr="00665DCD">
        <w:t xml:space="preserve"> Higham (1993) p. 138-9. Marsden (1992) p. 179-85.</w:t>
      </w:r>
      <w:r w:rsidRPr="003D75DE">
        <w:t xml:space="preserve"> </w:t>
      </w:r>
      <w:r>
        <w:t>Alcock (2003, 131-6). Rollason (2003, 41-2).</w:t>
      </w:r>
    </w:p>
  </w:footnote>
  <w:footnote w:id="431">
    <w:p w14:paraId="50CE81EF" w14:textId="1C61CD53" w:rsidR="000E1004" w:rsidRPr="00665DCD" w:rsidRDefault="000E1004" w:rsidP="00980D2D">
      <w:pPr>
        <w:pStyle w:val="FootnoteText"/>
      </w:pPr>
      <w:r w:rsidRPr="00665DCD">
        <w:rPr>
          <w:rStyle w:val="FootnoteReference"/>
        </w:rPr>
        <w:footnoteRef/>
      </w:r>
      <w:r>
        <w:t xml:space="preserve"> </w:t>
      </w:r>
      <w:r w:rsidRPr="00796041">
        <w:rPr>
          <w:i/>
        </w:rPr>
        <w:t xml:space="preserve">Bede (EH, </w:t>
      </w:r>
      <w:r>
        <w:t xml:space="preserve">IV, 26). </w:t>
      </w:r>
      <w:r w:rsidRPr="00665DCD">
        <w:t>Wood does not accept that it made very much diff</w:t>
      </w:r>
      <w:r>
        <w:t>erence to Northumbria’s domains</w:t>
      </w:r>
      <w:r w:rsidRPr="00665DCD">
        <w:t xml:space="preserve"> (</w:t>
      </w:r>
      <w:r w:rsidRPr="00594FE1">
        <w:rPr>
          <w:i/>
        </w:rPr>
        <w:t>pers. comm</w:t>
      </w:r>
      <w:r>
        <w:t>. Oct 2013).</w:t>
      </w:r>
    </w:p>
  </w:footnote>
  <w:footnote w:id="432">
    <w:p w14:paraId="1D5B7EAD" w14:textId="2A4749F7" w:rsidR="000E1004" w:rsidRDefault="000E1004" w:rsidP="00980D2D">
      <w:pPr>
        <w:pStyle w:val="FootnoteText"/>
      </w:pPr>
      <w:r>
        <w:rPr>
          <w:rStyle w:val="FootnoteReference"/>
        </w:rPr>
        <w:footnoteRef/>
      </w:r>
      <w:r>
        <w:t xml:space="preserve"> </w:t>
      </w:r>
      <w:r w:rsidRPr="00A34B0A">
        <w:t>Higham (1993, 138).</w:t>
      </w:r>
      <w:r>
        <w:rPr>
          <w:sz w:val="18"/>
          <w:szCs w:val="18"/>
        </w:rPr>
        <w:t xml:space="preserve"> </w:t>
      </w:r>
      <w:r>
        <w:t>See Rollason (2003,</w:t>
      </w:r>
      <w:r w:rsidRPr="0007132F">
        <w:t xml:space="preserve"> </w:t>
      </w:r>
      <w:r w:rsidRPr="00A34B0A">
        <w:rPr>
          <w:i/>
        </w:rPr>
        <w:t>ill</w:t>
      </w:r>
      <w:r w:rsidRPr="0007132F">
        <w:t>. 8</w:t>
      </w:r>
      <w:r>
        <w:t>)</w:t>
      </w:r>
      <w:r w:rsidRPr="0007132F">
        <w:t xml:space="preserve"> for the reverse cross with interlaced animals and cruciform devices.</w:t>
      </w:r>
    </w:p>
  </w:footnote>
  <w:footnote w:id="433">
    <w:p w14:paraId="06FCC242" w14:textId="52F4D173" w:rsidR="000E1004" w:rsidRDefault="000E1004" w:rsidP="00CB0AB8">
      <w:pPr>
        <w:pStyle w:val="NoSpacing"/>
      </w:pPr>
      <w:r w:rsidRPr="00651C1E">
        <w:rPr>
          <w:rStyle w:val="FootnoteReference"/>
          <w:sz w:val="20"/>
          <w:szCs w:val="20"/>
        </w:rPr>
        <w:footnoteRef/>
      </w:r>
      <w:r w:rsidRPr="00651C1E">
        <w:rPr>
          <w:sz w:val="20"/>
          <w:szCs w:val="20"/>
        </w:rPr>
        <w:t xml:space="preserve"> Bede (II, 9).</w:t>
      </w:r>
      <w:r w:rsidRPr="00651C1E">
        <w:rPr>
          <w:color w:val="FF0000"/>
        </w:rPr>
        <w:t xml:space="preserve"> </w:t>
      </w:r>
      <w:hyperlink r:id="rId8" w:tooltip="Henry Mayr-Harting" w:history="1">
        <w:r w:rsidRPr="00651C1E">
          <w:rPr>
            <w:sz w:val="20"/>
            <w:szCs w:val="20"/>
          </w:rPr>
          <w:t>Mayr-Harting</w:t>
        </w:r>
      </w:hyperlink>
      <w:r>
        <w:rPr>
          <w:sz w:val="20"/>
          <w:szCs w:val="20"/>
        </w:rPr>
        <w:t xml:space="preserve"> (1991, 66) and</w:t>
      </w:r>
      <w:r w:rsidRPr="00651C1E">
        <w:rPr>
          <w:sz w:val="20"/>
          <w:szCs w:val="20"/>
        </w:rPr>
        <w:t xml:space="preserve"> </w:t>
      </w:r>
      <w:r>
        <w:rPr>
          <w:sz w:val="20"/>
          <w:szCs w:val="20"/>
        </w:rPr>
        <w:t>Kirby (2000, 33-4) argued that Paulinus brought</w:t>
      </w:r>
      <w:r w:rsidRPr="00651C1E">
        <w:rPr>
          <w:sz w:val="20"/>
          <w:szCs w:val="20"/>
        </w:rPr>
        <w:t xml:space="preserve"> Æthelburg </w:t>
      </w:r>
      <w:r>
        <w:rPr>
          <w:sz w:val="20"/>
          <w:szCs w:val="20"/>
        </w:rPr>
        <w:t>north</w:t>
      </w:r>
      <w:r w:rsidRPr="00651C1E">
        <w:rPr>
          <w:sz w:val="20"/>
          <w:szCs w:val="20"/>
        </w:rPr>
        <w:t xml:space="preserve"> earlier than 624</w:t>
      </w:r>
      <w:r>
        <w:rPr>
          <w:sz w:val="20"/>
          <w:szCs w:val="20"/>
        </w:rPr>
        <w:t>.</w:t>
      </w:r>
      <w:hyperlink r:id="rId9" w:tooltip="Peter Hunter Blair" w:history="1">
        <w:r>
          <w:rPr>
            <w:sz w:val="20"/>
            <w:szCs w:val="20"/>
          </w:rPr>
          <w:t xml:space="preserve"> Hunter-</w:t>
        </w:r>
        <w:r w:rsidRPr="00651C1E">
          <w:rPr>
            <w:sz w:val="20"/>
            <w:szCs w:val="20"/>
          </w:rPr>
          <w:t>Blair</w:t>
        </w:r>
      </w:hyperlink>
      <w:r>
        <w:rPr>
          <w:sz w:val="20"/>
          <w:szCs w:val="20"/>
        </w:rPr>
        <w:t xml:space="preserve"> (1990, 95), contended</w:t>
      </w:r>
      <w:r w:rsidRPr="00651C1E">
        <w:rPr>
          <w:sz w:val="20"/>
          <w:szCs w:val="20"/>
        </w:rPr>
        <w:t xml:space="preserve"> that Æthelburg and Edwin were married before 625, but that she did not go to Northumbria until 625</w:t>
      </w:r>
      <w:r>
        <w:rPr>
          <w:sz w:val="20"/>
          <w:szCs w:val="20"/>
        </w:rPr>
        <w:t>.</w:t>
      </w:r>
    </w:p>
  </w:footnote>
  <w:footnote w:id="434">
    <w:p w14:paraId="317F4846" w14:textId="3944F475" w:rsidR="000E1004" w:rsidRPr="00AC016D" w:rsidRDefault="000E1004" w:rsidP="004F7B56">
      <w:pPr>
        <w:pStyle w:val="FootnoteText"/>
        <w:rPr>
          <w:rFonts w:cs="Times New Roman"/>
        </w:rPr>
      </w:pPr>
      <w:r w:rsidRPr="00AC016D">
        <w:rPr>
          <w:rStyle w:val="FootnoteReference"/>
          <w:rFonts w:cs="Times New Roman"/>
        </w:rPr>
        <w:footnoteRef/>
      </w:r>
      <w:r>
        <w:rPr>
          <w:rFonts w:cs="Times New Roman"/>
        </w:rPr>
        <w:t xml:space="preserve"> </w:t>
      </w:r>
      <w:r w:rsidRPr="00EA2C4C">
        <w:rPr>
          <w:rFonts w:cs="Times New Roman"/>
        </w:rPr>
        <w:t>Bede</w:t>
      </w:r>
      <w:r>
        <w:rPr>
          <w:rFonts w:cs="Times New Roman"/>
          <w:i/>
        </w:rPr>
        <w:t xml:space="preserve"> (</w:t>
      </w:r>
      <w:r>
        <w:rPr>
          <w:rFonts w:cs="Times New Roman"/>
        </w:rPr>
        <w:t xml:space="preserve">II, </w:t>
      </w:r>
      <w:r w:rsidRPr="0085775B">
        <w:rPr>
          <w:rFonts w:cs="Times New Roman"/>
        </w:rPr>
        <w:t>14).</w:t>
      </w:r>
      <w:r>
        <w:rPr>
          <w:rFonts w:cs="Times New Roman"/>
          <w:sz w:val="16"/>
          <w:szCs w:val="16"/>
        </w:rPr>
        <w:t xml:space="preserve"> </w:t>
      </w:r>
      <w:r>
        <w:rPr>
          <w:rFonts w:cs="Times New Roman"/>
        </w:rPr>
        <w:t>Heywood (1995,</w:t>
      </w:r>
      <w:r w:rsidRPr="00AC016D">
        <w:rPr>
          <w:rFonts w:cs="Times New Roman"/>
        </w:rPr>
        <w:t xml:space="preserve"> </w:t>
      </w:r>
      <w:r>
        <w:rPr>
          <w:rFonts w:cs="Times New Roman"/>
        </w:rPr>
        <w:t>Figure</w:t>
      </w:r>
      <w:r w:rsidRPr="00AC016D">
        <w:rPr>
          <w:rFonts w:cs="Times New Roman"/>
        </w:rPr>
        <w:t xml:space="preserve"> 2 4</w:t>
      </w:r>
      <w:r>
        <w:rPr>
          <w:rFonts w:cs="Times New Roman"/>
        </w:rPr>
        <w:t>)</w:t>
      </w:r>
      <w:r w:rsidRPr="00AC016D">
        <w:rPr>
          <w:rFonts w:cs="Times New Roman"/>
        </w:rPr>
        <w:t>.</w:t>
      </w:r>
      <w:r>
        <w:rPr>
          <w:rFonts w:cs="Times New Roman"/>
        </w:rPr>
        <w:t xml:space="preserve"> Woodman (2012, 26). Plausibly </w:t>
      </w:r>
      <w:r>
        <w:rPr>
          <w:szCs w:val="24"/>
        </w:rPr>
        <w:t xml:space="preserve">over the Legionary Fortress, the </w:t>
      </w:r>
      <w:r w:rsidRPr="0090615A">
        <w:rPr>
          <w:i/>
          <w:szCs w:val="24"/>
        </w:rPr>
        <w:t>principia</w:t>
      </w:r>
      <w:r>
        <w:rPr>
          <w:szCs w:val="24"/>
        </w:rPr>
        <w:t xml:space="preserve">, but unproven. Sculptured stone may provide evidence. </w:t>
      </w:r>
      <w:r w:rsidRPr="00AC016D">
        <w:rPr>
          <w:rFonts w:cs="Times New Roman"/>
        </w:rPr>
        <w:t>Hall (1988</w:t>
      </w:r>
      <w:r>
        <w:rPr>
          <w:rFonts w:cs="Times New Roman"/>
        </w:rPr>
        <w:t>,</w:t>
      </w:r>
      <w:r w:rsidRPr="00AC016D">
        <w:rPr>
          <w:rFonts w:cs="Times New Roman"/>
        </w:rPr>
        <w:t xml:space="preserve"> 126</w:t>
      </w:r>
      <w:r>
        <w:rPr>
          <w:rFonts w:cs="Times New Roman"/>
        </w:rPr>
        <w:t xml:space="preserve">). </w:t>
      </w:r>
      <w:r w:rsidRPr="00AC016D">
        <w:rPr>
          <w:rFonts w:cs="Times New Roman"/>
        </w:rPr>
        <w:t>James</w:t>
      </w:r>
      <w:r>
        <w:rPr>
          <w:rFonts w:cs="Times New Roman"/>
        </w:rPr>
        <w:t xml:space="preserve"> (1995, 10)</w:t>
      </w:r>
      <w:r w:rsidRPr="00AC016D">
        <w:rPr>
          <w:rFonts w:cs="Times New Roman"/>
        </w:rPr>
        <w:t>. Alcuin</w:t>
      </w:r>
      <w:r>
        <w:rPr>
          <w:rFonts w:cs="Times New Roman"/>
        </w:rPr>
        <w:fldChar w:fldCharType="begin"/>
      </w:r>
      <w:r>
        <w:instrText xml:space="preserve"> XE "</w:instrText>
      </w:r>
      <w:r w:rsidRPr="007D3069">
        <w:rPr>
          <w:rFonts w:cs="Times New Roman"/>
          <w:szCs w:val="24"/>
        </w:rPr>
        <w:instrText>Alcuin</w:instrText>
      </w:r>
      <w:r>
        <w:instrText xml:space="preserve">" </w:instrText>
      </w:r>
      <w:r>
        <w:rPr>
          <w:rFonts w:cs="Times New Roman"/>
        </w:rPr>
        <w:fldChar w:fldCharType="end"/>
      </w:r>
      <w:r w:rsidRPr="00AC016D">
        <w:rPr>
          <w:rFonts w:cs="Times New Roman"/>
        </w:rPr>
        <w:t>, in his poem ‘On the Bishops, Kings and Saints of York</w:t>
      </w:r>
      <w:r>
        <w:rPr>
          <w:rFonts w:cs="Times New Roman"/>
        </w:rPr>
        <w:fldChar w:fldCharType="begin"/>
      </w:r>
      <w:r>
        <w:instrText xml:space="preserve"> XE "</w:instrText>
      </w:r>
      <w:r w:rsidRPr="00F1328A">
        <w:rPr>
          <w:rStyle w:val="Hyperlink"/>
          <w:noProof/>
        </w:rPr>
        <w:instrText>York</w:instrText>
      </w:r>
      <w:r>
        <w:instrText xml:space="preserve">" </w:instrText>
      </w:r>
      <w:r>
        <w:rPr>
          <w:rFonts w:cs="Times New Roman"/>
        </w:rPr>
        <w:fldChar w:fldCharType="end"/>
      </w:r>
      <w:r>
        <w:rPr>
          <w:rFonts w:cs="Times New Roman"/>
        </w:rPr>
        <w:t>’ referred</w:t>
      </w:r>
      <w:r w:rsidRPr="00AC016D">
        <w:rPr>
          <w:rFonts w:cs="Times New Roman"/>
        </w:rPr>
        <w:t xml:space="preserve"> to</w:t>
      </w:r>
      <w:r>
        <w:rPr>
          <w:rFonts w:cs="Times New Roman"/>
        </w:rPr>
        <w:t xml:space="preserve"> </w:t>
      </w:r>
      <w:r w:rsidRPr="00AC016D">
        <w:rPr>
          <w:rFonts w:eastAsia="BookAntiqua,Italic" w:cs="Times New Roman"/>
          <w:i/>
          <w:iCs/>
        </w:rPr>
        <w:t>solidis suffulta columnis</w:t>
      </w:r>
      <w:r>
        <w:rPr>
          <w:rFonts w:eastAsia="BookAntiqua,Italic" w:cs="Times New Roman"/>
          <w:iCs/>
        </w:rPr>
        <w:t>,</w:t>
      </w:r>
      <w:r w:rsidRPr="00AC016D">
        <w:rPr>
          <w:rFonts w:eastAsia="BookAntiqua,Italic" w:cs="Times New Roman"/>
          <w:i/>
          <w:iCs/>
        </w:rPr>
        <w:t xml:space="preserve"> </w:t>
      </w:r>
      <w:r w:rsidRPr="00AC016D">
        <w:rPr>
          <w:rFonts w:cs="Times New Roman"/>
        </w:rPr>
        <w:t>‘strong columns’</w:t>
      </w:r>
      <w:r>
        <w:rPr>
          <w:rFonts w:cs="Times New Roman"/>
        </w:rPr>
        <w:t>,</w:t>
      </w:r>
      <w:r w:rsidRPr="00AC016D">
        <w:rPr>
          <w:rFonts w:eastAsia="BookAntiqua" w:cs="Times New Roman"/>
        </w:rPr>
        <w:t xml:space="preserve"> (line </w:t>
      </w:r>
      <w:r>
        <w:rPr>
          <w:rFonts w:eastAsia="BookAntiqua" w:cs="Times New Roman"/>
        </w:rPr>
        <w:t>220, 1509 [Willis, 1848], quoted from Morris (1986, 80))</w:t>
      </w:r>
      <w:r w:rsidRPr="00AC016D">
        <w:rPr>
          <w:rFonts w:cs="Times New Roman"/>
        </w:rPr>
        <w:t>, presumably Roman</w:t>
      </w:r>
      <w:r>
        <w:rPr>
          <w:rFonts w:cs="Times New Roman"/>
        </w:rPr>
        <w:fldChar w:fldCharType="begin"/>
      </w:r>
      <w:r>
        <w:instrText xml:space="preserve"> XE "</w:instrText>
      </w:r>
      <w:r w:rsidRPr="007645AE">
        <w:instrText>Roman</w:instrText>
      </w:r>
      <w:r>
        <w:instrText xml:space="preserve">" </w:instrText>
      </w:r>
      <w:r>
        <w:rPr>
          <w:rFonts w:cs="Times New Roman"/>
        </w:rPr>
        <w:fldChar w:fldCharType="end"/>
      </w:r>
      <w:r w:rsidRPr="00AC016D">
        <w:rPr>
          <w:rFonts w:cs="Times New Roman"/>
        </w:rPr>
        <w:t>, supporting Edwin</w:t>
      </w:r>
      <w:r>
        <w:rPr>
          <w:rFonts w:cs="Times New Roman"/>
        </w:rPr>
        <w:fldChar w:fldCharType="begin"/>
      </w:r>
      <w:r>
        <w:instrText xml:space="preserve"> XE "</w:instrText>
      </w:r>
      <w:r w:rsidRPr="007D3069">
        <w:rPr>
          <w:rFonts w:cs="Times New Roman"/>
          <w:color w:val="000000" w:themeColor="text1"/>
          <w:szCs w:val="24"/>
        </w:rPr>
        <w:instrText>Edwin</w:instrText>
      </w:r>
      <w:r>
        <w:instrText xml:space="preserve">" </w:instrText>
      </w:r>
      <w:r>
        <w:rPr>
          <w:rFonts w:cs="Times New Roman"/>
        </w:rPr>
        <w:fldChar w:fldCharType="end"/>
      </w:r>
      <w:r w:rsidRPr="00AC016D">
        <w:rPr>
          <w:rFonts w:cs="Times New Roman"/>
        </w:rPr>
        <w:t>’s church</w:t>
      </w:r>
      <w:r>
        <w:rPr>
          <w:rFonts w:cs="Times New Roman"/>
        </w:rPr>
        <w:fldChar w:fldCharType="begin"/>
      </w:r>
      <w:r>
        <w:instrText xml:space="preserve"> XE "</w:instrText>
      </w:r>
      <w:r w:rsidRPr="007D3069">
        <w:rPr>
          <w:rFonts w:cs="Times New Roman"/>
          <w:szCs w:val="24"/>
        </w:rPr>
        <w:instrText>church</w:instrText>
      </w:r>
      <w:r>
        <w:instrText xml:space="preserve">" </w:instrText>
      </w:r>
      <w:r>
        <w:rPr>
          <w:rFonts w:cs="Times New Roman"/>
        </w:rPr>
        <w:fldChar w:fldCharType="end"/>
      </w:r>
      <w:r w:rsidRPr="00AC016D">
        <w:rPr>
          <w:rFonts w:cs="Times New Roman"/>
        </w:rPr>
        <w:t>, though this may not necessarily imply continuity.</w:t>
      </w:r>
    </w:p>
  </w:footnote>
  <w:footnote w:id="435">
    <w:p w14:paraId="6C1CA039" w14:textId="3AD16215" w:rsidR="000E1004" w:rsidRPr="00DD1EB2" w:rsidRDefault="000E1004" w:rsidP="007C785D">
      <w:pPr>
        <w:pStyle w:val="FootnoteText"/>
      </w:pPr>
      <w:r w:rsidRPr="00DD1EB2">
        <w:rPr>
          <w:rStyle w:val="FootnoteReference"/>
        </w:rPr>
        <w:footnoteRef/>
      </w:r>
      <w:r w:rsidRPr="00DD1EB2">
        <w:t xml:space="preserve"> </w:t>
      </w:r>
      <w:r w:rsidRPr="00DD1EB2">
        <w:rPr>
          <w:i/>
        </w:rPr>
        <w:t>c</w:t>
      </w:r>
      <w:r w:rsidRPr="00DD1EB2">
        <w:t>. 470 relates to the approximate deposition date of the Patching hoard not to ‘The acquisition of the highest office by a Romanised barbarian rather than a Roman</w:t>
      </w:r>
      <w:r>
        <w:fldChar w:fldCharType="begin"/>
      </w:r>
      <w:r>
        <w:instrText xml:space="preserve"> XE "</w:instrText>
      </w:r>
      <w:r w:rsidRPr="007645AE">
        <w:instrText>Roman</w:instrText>
      </w:r>
      <w:r>
        <w:instrText xml:space="preserve">" </w:instrText>
      </w:r>
      <w:r>
        <w:fldChar w:fldCharType="end"/>
      </w:r>
      <w:r w:rsidRPr="00DD1EB2">
        <w:t xml:space="preserve"> patrician’ </w:t>
      </w:r>
      <w:r>
        <w:t xml:space="preserve">in 476, which, </w:t>
      </w:r>
      <w:r w:rsidRPr="00DD1EB2">
        <w:t>‘hardly signalle</w:t>
      </w:r>
      <w:r>
        <w:t>d the end of the world’. Booth (</w:t>
      </w:r>
      <w:r w:rsidRPr="00DD1EB2">
        <w:t>2014</w:t>
      </w:r>
      <w:r>
        <w:t>)</w:t>
      </w:r>
      <w:r w:rsidRPr="00DD1EB2">
        <w:t>.</w:t>
      </w:r>
    </w:p>
  </w:footnote>
  <w:footnote w:id="436">
    <w:p w14:paraId="213B890B" w14:textId="342C345D" w:rsidR="000E1004" w:rsidRPr="00DD1EB2" w:rsidRDefault="000E1004" w:rsidP="007C785D">
      <w:pPr>
        <w:pStyle w:val="FootnoteText"/>
      </w:pPr>
      <w:r w:rsidRPr="00DD1EB2">
        <w:rPr>
          <w:rStyle w:val="FootnoteReference"/>
        </w:rPr>
        <w:footnoteRef/>
      </w:r>
      <w:r>
        <w:t xml:space="preserve"> Excepting the</w:t>
      </w:r>
      <w:r w:rsidRPr="00DD1EB2">
        <w:t xml:space="preserve"> high-status emissions, celebrating the elevation of M</w:t>
      </w:r>
      <w:r>
        <w:t xml:space="preserve">agnus Maximus to Augustus </w:t>
      </w:r>
      <w:r w:rsidRPr="00DD1EB2">
        <w:t>minted in Londinium.</w:t>
      </w:r>
    </w:p>
  </w:footnote>
  <w:footnote w:id="437">
    <w:p w14:paraId="040538DA" w14:textId="77777777" w:rsidR="000E1004" w:rsidRPr="0034095F" w:rsidRDefault="000E1004" w:rsidP="0034095F">
      <w:pPr>
        <w:pStyle w:val="NoSpacing"/>
        <w:rPr>
          <w:sz w:val="20"/>
          <w:szCs w:val="20"/>
        </w:rPr>
      </w:pPr>
      <w:r w:rsidRPr="0034095F">
        <w:rPr>
          <w:rStyle w:val="FootnoteReference"/>
          <w:sz w:val="20"/>
          <w:szCs w:val="20"/>
        </w:rPr>
        <w:footnoteRef/>
      </w:r>
      <w:r w:rsidRPr="0034095F">
        <w:rPr>
          <w:sz w:val="20"/>
          <w:szCs w:val="20"/>
        </w:rPr>
        <w:t xml:space="preserve"> Before 325, most coinage in Britain was supplied, in descending order, by the mints at Trier, London, Lyon and Arles.</w:t>
      </w:r>
    </w:p>
  </w:footnote>
  <w:footnote w:id="438">
    <w:p w14:paraId="4C7235FE" w14:textId="6C2148A4" w:rsidR="000E1004" w:rsidRDefault="000E1004">
      <w:pPr>
        <w:pStyle w:val="FootnoteText"/>
      </w:pPr>
      <w:r>
        <w:rPr>
          <w:rStyle w:val="FootnoteReference"/>
        </w:rPr>
        <w:footnoteRef/>
      </w:r>
      <w:r>
        <w:t xml:space="preserve"> But see</w:t>
      </w:r>
      <w:r w:rsidRPr="00A33F8F">
        <w:rPr>
          <w:rFonts w:cs="Times New Roman"/>
        </w:rPr>
        <w:t xml:space="preserve"> </w:t>
      </w:r>
      <w:r w:rsidRPr="00AA677D">
        <w:rPr>
          <w:rFonts w:cs="Times New Roman"/>
        </w:rPr>
        <w:t>Moorhead and Walton (2014, 99-116).</w:t>
      </w:r>
    </w:p>
  </w:footnote>
  <w:footnote w:id="439">
    <w:p w14:paraId="5762AC1B" w14:textId="005BF4BE" w:rsidR="000E1004" w:rsidRPr="00E51886" w:rsidRDefault="000E1004" w:rsidP="0034095F">
      <w:pPr>
        <w:pStyle w:val="NoSpacing"/>
        <w:rPr>
          <w:b/>
          <w:sz w:val="20"/>
          <w:szCs w:val="20"/>
        </w:rPr>
      </w:pPr>
      <w:r w:rsidRPr="007C785D">
        <w:rPr>
          <w:rStyle w:val="FootnoteReference"/>
          <w:color w:val="000000" w:themeColor="text1"/>
          <w:sz w:val="20"/>
          <w:szCs w:val="20"/>
        </w:rPr>
        <w:footnoteRef/>
      </w:r>
      <w:r w:rsidRPr="007C785D">
        <w:rPr>
          <w:rFonts w:cs="Times New Roman"/>
          <w:color w:val="000000" w:themeColor="text1"/>
          <w:sz w:val="20"/>
          <w:szCs w:val="20"/>
        </w:rPr>
        <w:t xml:space="preserve"> The hoard included 14,212 siliquae, of which 80% were clipped, (98.5% clipped or filed according to Sawyer (2013</w:t>
      </w:r>
      <w:r>
        <w:rPr>
          <w:rFonts w:cs="Times New Roman"/>
          <w:color w:val="000000" w:themeColor="text1"/>
          <w:sz w:val="20"/>
          <w:szCs w:val="20"/>
        </w:rPr>
        <w:t xml:space="preserve">, </w:t>
      </w:r>
      <w:r w:rsidRPr="007C785D">
        <w:rPr>
          <w:rFonts w:cs="Times New Roman"/>
          <w:color w:val="000000" w:themeColor="text1"/>
          <w:sz w:val="20"/>
          <w:szCs w:val="20"/>
        </w:rPr>
        <w:t>40) struck between the reigns of Constantine II (337- 340</w:t>
      </w:r>
      <w:r>
        <w:rPr>
          <w:rFonts w:cs="Times New Roman"/>
          <w:color w:val="000000" w:themeColor="text1"/>
          <w:sz w:val="20"/>
          <w:szCs w:val="20"/>
        </w:rPr>
        <w:t xml:space="preserve">) and Honorius (384 – 423). </w:t>
      </w:r>
      <w:r w:rsidRPr="007C785D">
        <w:rPr>
          <w:rFonts w:cs="Times New Roman"/>
          <w:color w:val="000000" w:themeColor="text1"/>
          <w:sz w:val="20"/>
          <w:szCs w:val="20"/>
        </w:rPr>
        <w:t>Bland &amp; Johns</w:t>
      </w:r>
      <w:r>
        <w:rPr>
          <w:rFonts w:cs="Times New Roman"/>
          <w:color w:val="000000" w:themeColor="text1"/>
          <w:sz w:val="20"/>
          <w:szCs w:val="20"/>
        </w:rPr>
        <w:t xml:space="preserve"> (1993).</w:t>
      </w:r>
      <w:r w:rsidRPr="007C785D">
        <w:rPr>
          <w:rFonts w:cs="Times New Roman"/>
          <w:color w:val="000000" w:themeColor="text1"/>
          <w:sz w:val="20"/>
          <w:szCs w:val="20"/>
        </w:rPr>
        <w:t xml:space="preserve"> </w:t>
      </w:r>
      <w:r>
        <w:rPr>
          <w:rFonts w:cs="Times New Roman"/>
          <w:color w:val="000000" w:themeColor="text1"/>
          <w:sz w:val="20"/>
          <w:szCs w:val="20"/>
        </w:rPr>
        <w:t xml:space="preserve">See also </w:t>
      </w:r>
      <w:r w:rsidRPr="00982D00">
        <w:rPr>
          <w:sz w:val="20"/>
          <w:szCs w:val="20"/>
        </w:rPr>
        <w:t>Burnett (1984, 163-8).</w:t>
      </w:r>
      <w:r>
        <w:rPr>
          <w:sz w:val="20"/>
          <w:szCs w:val="20"/>
        </w:rPr>
        <w:t xml:space="preserve"> </w:t>
      </w:r>
      <w:r w:rsidRPr="00FD32B7">
        <w:rPr>
          <w:rFonts w:eastAsia="Times New Roman" w:cs="Times New Roman"/>
          <w:sz w:val="20"/>
          <w:szCs w:val="20"/>
          <w:lang w:eastAsia="en-GB"/>
        </w:rPr>
        <w:t xml:space="preserve">Guest (1997, </w:t>
      </w:r>
      <w:r w:rsidRPr="00B06775">
        <w:rPr>
          <w:rFonts w:eastAsia="Times New Roman" w:cs="Times New Roman"/>
          <w:sz w:val="20"/>
          <w:szCs w:val="20"/>
          <w:lang w:eastAsia="en-GB"/>
        </w:rPr>
        <w:t>411-23</w:t>
      </w:r>
      <w:r w:rsidRPr="00FD32B7">
        <w:rPr>
          <w:rFonts w:eastAsia="Times New Roman" w:cs="Times New Roman"/>
          <w:sz w:val="20"/>
          <w:szCs w:val="20"/>
          <w:lang w:eastAsia="en-GB"/>
        </w:rPr>
        <w:t>).</w:t>
      </w:r>
      <w:r>
        <w:rPr>
          <w:rFonts w:eastAsia="Times New Roman" w:cs="Times New Roman"/>
          <w:sz w:val="20"/>
          <w:szCs w:val="20"/>
          <w:lang w:eastAsia="en-GB"/>
        </w:rPr>
        <w:t xml:space="preserve"> Abdy (2006, 84-8).</w:t>
      </w:r>
      <w:r w:rsidRPr="00AA677D">
        <w:rPr>
          <w:rFonts w:eastAsia="Times New Roman" w:cs="Times New Roman"/>
          <w:sz w:val="20"/>
          <w:szCs w:val="20"/>
          <w:lang w:eastAsia="en-GB"/>
        </w:rPr>
        <w:t xml:space="preserve"> </w:t>
      </w:r>
      <w:r w:rsidRPr="00AA677D">
        <w:rPr>
          <w:rFonts w:cs="Times New Roman"/>
          <w:sz w:val="20"/>
          <w:szCs w:val="20"/>
        </w:rPr>
        <w:t>Moorhead and Walton (2014, 99-116).</w:t>
      </w:r>
    </w:p>
  </w:footnote>
  <w:footnote w:id="440">
    <w:p w14:paraId="0E61D8E8" w14:textId="15140910" w:rsidR="000E1004" w:rsidRPr="006F0B75" w:rsidRDefault="000E1004" w:rsidP="006F0B75">
      <w:pPr>
        <w:pStyle w:val="NoSpacing"/>
        <w:rPr>
          <w:sz w:val="20"/>
          <w:szCs w:val="20"/>
        </w:rPr>
      </w:pPr>
      <w:r w:rsidRPr="006F0B75">
        <w:rPr>
          <w:rStyle w:val="FootnoteReference"/>
          <w:sz w:val="20"/>
          <w:szCs w:val="20"/>
        </w:rPr>
        <w:footnoteRef/>
      </w:r>
      <w:r w:rsidRPr="006F0B75">
        <w:rPr>
          <w:sz w:val="20"/>
          <w:szCs w:val="20"/>
        </w:rPr>
        <w:t xml:space="preserve"> </w:t>
      </w:r>
      <w:r w:rsidRPr="007C785D">
        <w:rPr>
          <w:rStyle w:val="gci-asset-viewer-title"/>
          <w:rFonts w:cs="Times New Roman"/>
          <w:color w:val="000000" w:themeColor="text1"/>
          <w:sz w:val="20"/>
          <w:szCs w:val="20"/>
        </w:rPr>
        <w:t>Cattal, N</w:t>
      </w:r>
      <w:r>
        <w:rPr>
          <w:rStyle w:val="gci-asset-viewer-title"/>
          <w:rFonts w:cs="Times New Roman"/>
          <w:color w:val="000000" w:themeColor="text1"/>
          <w:sz w:val="20"/>
          <w:szCs w:val="20"/>
        </w:rPr>
        <w:t xml:space="preserve">Y, hoard (YORYM 1994.1953.12) </w:t>
      </w:r>
      <w:hyperlink r:id="rId10" w:history="1">
        <w:r w:rsidRPr="006F0B75">
          <w:rPr>
            <w:rStyle w:val="NoSpacingChar"/>
            <w:sz w:val="20"/>
            <w:szCs w:val="20"/>
          </w:rPr>
          <w:t>http://yorkmuseumstrust.org.uk/</w:t>
        </w:r>
      </w:hyperlink>
      <w:r>
        <w:rPr>
          <w:rStyle w:val="NoSpacingChar"/>
          <w:sz w:val="20"/>
          <w:szCs w:val="20"/>
        </w:rPr>
        <w:t xml:space="preserve">. Licence </w:t>
      </w:r>
      <w:r w:rsidRPr="006F0B75">
        <w:rPr>
          <w:rStyle w:val="NoSpacingChar"/>
          <w:sz w:val="20"/>
          <w:szCs w:val="20"/>
        </w:rPr>
        <w:t>CC BY-SA 4.0</w:t>
      </w:r>
    </w:p>
  </w:footnote>
  <w:footnote w:id="441">
    <w:p w14:paraId="7F716863" w14:textId="6C428D60" w:rsidR="000E1004" w:rsidRPr="00DD1EB2" w:rsidRDefault="000E1004" w:rsidP="007C785D">
      <w:pPr>
        <w:pStyle w:val="FootnoteText"/>
      </w:pPr>
      <w:r w:rsidRPr="00DD1EB2">
        <w:rPr>
          <w:rStyle w:val="FootnoteReference"/>
        </w:rPr>
        <w:footnoteRef/>
      </w:r>
      <w:r w:rsidRPr="00DD1EB2">
        <w:t xml:space="preserve"> Abdy</w:t>
      </w:r>
      <w:r>
        <w:t xml:space="preserve"> (2006)</w:t>
      </w:r>
      <w:r w:rsidRPr="00DD1EB2">
        <w:t>.  The hoard may possibl</w:t>
      </w:r>
      <w:r>
        <w:t xml:space="preserve">y date from a little later as the </w:t>
      </w:r>
      <w:r w:rsidRPr="002138B5">
        <w:rPr>
          <w:i/>
        </w:rPr>
        <w:t>tpq</w:t>
      </w:r>
      <w:r>
        <w:t xml:space="preserve"> coin</w:t>
      </w:r>
      <w:r w:rsidRPr="00DD1EB2">
        <w:t xml:space="preserve"> is</w:t>
      </w:r>
      <w:r>
        <w:t xml:space="preserve"> attributed to the Visigoths, </w:t>
      </w:r>
      <w:r w:rsidRPr="00DD1EB2">
        <w:t xml:space="preserve">461- </w:t>
      </w:r>
      <w:r w:rsidRPr="00DD1EB2">
        <w:rPr>
          <w:i/>
        </w:rPr>
        <w:t>c</w:t>
      </w:r>
      <w:r w:rsidRPr="00DD1EB2">
        <w:t>.470 (? Minted at Toulouse).</w:t>
      </w:r>
    </w:p>
  </w:footnote>
  <w:footnote w:id="442">
    <w:p w14:paraId="3CBEA356" w14:textId="1D8F9CA7" w:rsidR="000E1004" w:rsidRPr="00DD1EB2" w:rsidRDefault="000E1004" w:rsidP="007C785D">
      <w:pPr>
        <w:pStyle w:val="FootnoteText"/>
      </w:pPr>
      <w:r w:rsidRPr="00DD1EB2">
        <w:rPr>
          <w:rStyle w:val="FootnoteReference"/>
        </w:rPr>
        <w:footnoteRef/>
      </w:r>
      <w:r w:rsidRPr="00DD1EB2">
        <w:t xml:space="preserve"> Booth </w:t>
      </w:r>
      <w:r>
        <w:t>(</w:t>
      </w:r>
      <w:r w:rsidRPr="00DD1EB2">
        <w:t>2014</w:t>
      </w:r>
      <w:r>
        <w:t>)</w:t>
      </w:r>
      <w:r w:rsidRPr="00DD1EB2">
        <w:t xml:space="preserve"> for a discussion of this type in the context ‘When did the Roman</w:t>
      </w:r>
      <w:r>
        <w:fldChar w:fldCharType="begin"/>
      </w:r>
      <w:r>
        <w:instrText xml:space="preserve"> XE "</w:instrText>
      </w:r>
      <w:r w:rsidRPr="007645AE">
        <w:instrText>Roman</w:instrText>
      </w:r>
      <w:r>
        <w:instrText xml:space="preserve">" </w:instrText>
      </w:r>
      <w:r>
        <w:fldChar w:fldCharType="end"/>
      </w:r>
      <w:r w:rsidRPr="00DD1EB2">
        <w:t xml:space="preserve"> Empire end?’</w:t>
      </w:r>
    </w:p>
  </w:footnote>
  <w:footnote w:id="443">
    <w:p w14:paraId="788D005E" w14:textId="742145C1" w:rsidR="000E1004" w:rsidRPr="00DD1EB2" w:rsidRDefault="000E1004" w:rsidP="007C785D">
      <w:pPr>
        <w:pStyle w:val="FootnoteText"/>
      </w:pPr>
      <w:r w:rsidRPr="00DD1EB2">
        <w:rPr>
          <w:rStyle w:val="FootnoteReference"/>
        </w:rPr>
        <w:footnoteRef/>
      </w:r>
      <w:r w:rsidRPr="00DD1EB2">
        <w:t xml:space="preserve"> “It was economic necessity that caused the Barbarians to retain the Roman</w:t>
      </w:r>
      <w:r>
        <w:fldChar w:fldCharType="begin"/>
      </w:r>
      <w:r>
        <w:instrText xml:space="preserve"> XE "</w:instrText>
      </w:r>
      <w:r w:rsidRPr="007645AE">
        <w:instrText>Roman</w:instrText>
      </w:r>
      <w:r>
        <w:instrText xml:space="preserve">" </w:instrText>
      </w:r>
      <w:r>
        <w:fldChar w:fldCharType="end"/>
      </w:r>
      <w:r w:rsidRPr="00DD1EB2">
        <w:t xml:space="preserve"> coinage.” Pirenne</w:t>
      </w:r>
      <w:r>
        <w:fldChar w:fldCharType="begin"/>
      </w:r>
      <w:r>
        <w:instrText xml:space="preserve"> XE "</w:instrText>
      </w:r>
      <w:r w:rsidRPr="00523AF8">
        <w:rPr>
          <w:rStyle w:val="Hyperlink"/>
          <w:noProof/>
        </w:rPr>
        <w:instrText>Pirenne</w:instrText>
      </w:r>
      <w:r>
        <w:instrText xml:space="preserve">" </w:instrText>
      </w:r>
      <w:r>
        <w:fldChar w:fldCharType="end"/>
      </w:r>
      <w:r w:rsidRPr="00DD1EB2">
        <w:t xml:space="preserve"> </w:t>
      </w:r>
      <w:r>
        <w:t xml:space="preserve">(2001, </w:t>
      </w:r>
      <w:r w:rsidRPr="00DD1EB2">
        <w:t>108</w:t>
      </w:r>
      <w:r>
        <w:t>)</w:t>
      </w:r>
      <w:r w:rsidRPr="00DD1EB2">
        <w:t xml:space="preserve">, </w:t>
      </w:r>
      <w:r w:rsidRPr="00DD1EB2">
        <w:rPr>
          <w:i/>
        </w:rPr>
        <w:t>pace</w:t>
      </w:r>
      <w:r w:rsidRPr="00DD1EB2">
        <w:t xml:space="preserve"> Prou.</w:t>
      </w:r>
    </w:p>
  </w:footnote>
  <w:footnote w:id="444">
    <w:p w14:paraId="6CAEE0B5" w14:textId="656553EC" w:rsidR="000E1004" w:rsidRDefault="000E1004">
      <w:pPr>
        <w:pStyle w:val="FootnoteText"/>
      </w:pPr>
      <w:r>
        <w:rPr>
          <w:rStyle w:val="FootnoteReference"/>
        </w:rPr>
        <w:footnoteRef/>
      </w:r>
      <w:r>
        <w:t xml:space="preserve"> Williams (2006, 145-91).</w:t>
      </w:r>
    </w:p>
  </w:footnote>
  <w:footnote w:id="445">
    <w:p w14:paraId="45CC99C5" w14:textId="19F636F6" w:rsidR="000E1004" w:rsidRDefault="000E1004">
      <w:pPr>
        <w:pStyle w:val="FootnoteText"/>
      </w:pPr>
      <w:r>
        <w:rPr>
          <w:rStyle w:val="FootnoteReference"/>
        </w:rPr>
        <w:footnoteRef/>
      </w:r>
      <w:r>
        <w:t xml:space="preserve"> Also illustrated at </w:t>
      </w:r>
      <w:r>
        <w:rPr>
          <w:i/>
        </w:rPr>
        <w:fldChar w:fldCharType="begin"/>
      </w:r>
      <w:r w:rsidRPr="000A7CD7">
        <w:rPr>
          <w:i/>
        </w:rPr>
        <w:instrText xml:space="preserve"> REF _Ref430245884 \h </w:instrText>
      </w:r>
      <w:r>
        <w:rPr>
          <w:i/>
        </w:rPr>
        <w:instrText xml:space="preserve"> \* MERGEFORMAT </w:instrText>
      </w:r>
      <w:r>
        <w:rPr>
          <w:i/>
        </w:rPr>
      </w:r>
      <w:r>
        <w:rPr>
          <w:i/>
        </w:rPr>
        <w:fldChar w:fldCharType="separate"/>
      </w:r>
      <w:r w:rsidR="0012026B" w:rsidRPr="0012026B">
        <w:rPr>
          <w:i/>
          <w:color w:val="000000" w:themeColor="text1"/>
        </w:rPr>
        <w:t>Figure</w:t>
      </w:r>
      <w:r w:rsidR="0012026B" w:rsidRPr="0012026B">
        <w:rPr>
          <w:color w:val="000000" w:themeColor="text1"/>
        </w:rPr>
        <w:t xml:space="preserve"> </w:t>
      </w:r>
      <w:r w:rsidR="0012026B" w:rsidRPr="0012026B">
        <w:rPr>
          <w:noProof/>
          <w:color w:val="000000" w:themeColor="text1"/>
        </w:rPr>
        <w:t>1</w:t>
      </w:r>
      <w:r>
        <w:fldChar w:fldCharType="end"/>
      </w:r>
      <w:r>
        <w:t>.</w:t>
      </w:r>
    </w:p>
  </w:footnote>
  <w:footnote w:id="446">
    <w:p w14:paraId="54540617" w14:textId="3E987BD5" w:rsidR="000E1004" w:rsidRPr="000A7CD7" w:rsidRDefault="000E1004" w:rsidP="007C785D">
      <w:pPr>
        <w:pStyle w:val="FootnoteText"/>
        <w:rPr>
          <w:i/>
        </w:rPr>
      </w:pPr>
      <w:r w:rsidRPr="00DD1EB2">
        <w:rPr>
          <w:rStyle w:val="FootnoteReference"/>
        </w:rPr>
        <w:footnoteRef/>
      </w:r>
      <w:r>
        <w:t xml:space="preserve"> Booth (</w:t>
      </w:r>
      <w:r w:rsidRPr="00DD1EB2">
        <w:t>2014</w:t>
      </w:r>
      <w:r>
        <w:t>)</w:t>
      </w:r>
      <w:r w:rsidRPr="00DD1EB2">
        <w:t>.</w:t>
      </w:r>
    </w:p>
  </w:footnote>
  <w:footnote w:id="447">
    <w:p w14:paraId="367A8895" w14:textId="7B5175DF" w:rsidR="000E1004" w:rsidRDefault="000E1004" w:rsidP="007C785D">
      <w:pPr>
        <w:pStyle w:val="FootnoteText"/>
      </w:pPr>
      <w:r>
        <w:rPr>
          <w:rStyle w:val="FootnoteReference"/>
        </w:rPr>
        <w:footnoteRef/>
      </w:r>
      <w:r>
        <w:t xml:space="preserve"> </w:t>
      </w:r>
      <w:r w:rsidRPr="0086116F">
        <w:rPr>
          <w:i/>
        </w:rPr>
        <w:t>Pers. comm.</w:t>
      </w:r>
      <w:r w:rsidRPr="0086116F">
        <w:t xml:space="preserve"> 4</w:t>
      </w:r>
      <w:r w:rsidRPr="0086116F">
        <w:rPr>
          <w:vertAlign w:val="superscript"/>
        </w:rPr>
        <w:t>th</w:t>
      </w:r>
      <w:r w:rsidRPr="0086116F">
        <w:t xml:space="preserve"> April 2015.</w:t>
      </w:r>
      <w:r>
        <w:t xml:space="preserve"> Abdy &amp; Williams (2006, 11-74).</w:t>
      </w:r>
    </w:p>
  </w:footnote>
  <w:footnote w:id="448">
    <w:p w14:paraId="3680527F" w14:textId="77777777" w:rsidR="000E1004" w:rsidRPr="007E1A99" w:rsidRDefault="000E1004" w:rsidP="00525552">
      <w:pPr>
        <w:pStyle w:val="NoSpacing"/>
        <w:rPr>
          <w:sz w:val="20"/>
          <w:szCs w:val="20"/>
        </w:rPr>
      </w:pPr>
      <w:r w:rsidRPr="007E1A99">
        <w:rPr>
          <w:rStyle w:val="FootnoteReference"/>
          <w:sz w:val="20"/>
          <w:szCs w:val="20"/>
        </w:rPr>
        <w:footnoteRef/>
      </w:r>
      <w:r w:rsidRPr="007E1A99">
        <w:rPr>
          <w:sz w:val="20"/>
          <w:szCs w:val="20"/>
        </w:rPr>
        <w:t xml:space="preserve"> </w:t>
      </w:r>
      <w:r w:rsidRPr="007E1A99">
        <w:rPr>
          <w:rFonts w:cs="Times New Roman"/>
          <w:sz w:val="20"/>
          <w:szCs w:val="20"/>
        </w:rPr>
        <w:t xml:space="preserve">Much of the pioneering work on this coinage was carried out by Jean Lafaurie. See </w:t>
      </w:r>
      <w:r>
        <w:rPr>
          <w:rFonts w:cs="Times New Roman"/>
          <w:sz w:val="20"/>
          <w:szCs w:val="20"/>
        </w:rPr>
        <w:t xml:space="preserve">the </w:t>
      </w:r>
      <w:r w:rsidRPr="007E1A99">
        <w:rPr>
          <w:rFonts w:cs="Times New Roman"/>
          <w:sz w:val="20"/>
          <w:szCs w:val="20"/>
        </w:rPr>
        <w:t xml:space="preserve">bibliographies in </w:t>
      </w:r>
      <w:r w:rsidRPr="007E1A99">
        <w:rPr>
          <w:rFonts w:cs="Times New Roman"/>
          <w:i/>
          <w:sz w:val="20"/>
          <w:szCs w:val="20"/>
        </w:rPr>
        <w:t>MEC</w:t>
      </w:r>
      <w:r w:rsidRPr="007E1A99">
        <w:rPr>
          <w:rFonts w:cs="Times New Roman"/>
          <w:sz w:val="20"/>
          <w:szCs w:val="20"/>
        </w:rPr>
        <w:t xml:space="preserve"> </w:t>
      </w:r>
      <w:r>
        <w:rPr>
          <w:rFonts w:cs="Times New Roman"/>
          <w:sz w:val="20"/>
          <w:szCs w:val="20"/>
        </w:rPr>
        <w:t xml:space="preserve">(1986) </w:t>
      </w:r>
      <w:r w:rsidRPr="007E1A99">
        <w:rPr>
          <w:rFonts w:cs="Times New Roman"/>
          <w:sz w:val="20"/>
          <w:szCs w:val="20"/>
        </w:rPr>
        <w:t xml:space="preserve">and </w:t>
      </w:r>
      <w:r>
        <w:rPr>
          <w:rFonts w:cs="Times New Roman"/>
          <w:sz w:val="20"/>
          <w:szCs w:val="20"/>
        </w:rPr>
        <w:t xml:space="preserve">the major one I have prepared </w:t>
      </w:r>
      <w:r w:rsidRPr="00215F43">
        <w:rPr>
          <w:rFonts w:cs="Times New Roman"/>
          <w:sz w:val="20"/>
          <w:szCs w:val="20"/>
        </w:rPr>
        <w:t xml:space="preserve">for </w:t>
      </w:r>
      <w:r>
        <w:rPr>
          <w:rFonts w:cs="Times New Roman"/>
          <w:sz w:val="20"/>
          <w:szCs w:val="20"/>
        </w:rPr>
        <w:t>t</w:t>
      </w:r>
      <w:r w:rsidRPr="00215F43">
        <w:rPr>
          <w:rFonts w:cs="Times New Roman"/>
          <w:sz w:val="20"/>
          <w:szCs w:val="20"/>
        </w:rPr>
        <w:t>he Fitzwilliam Museum Coin</w:t>
      </w:r>
      <w:r>
        <w:rPr>
          <w:rFonts w:cs="Times New Roman"/>
          <w:sz w:val="20"/>
          <w:szCs w:val="20"/>
        </w:rPr>
        <w:t xml:space="preserve"> &amp; Medal</w:t>
      </w:r>
      <w:r w:rsidRPr="00215F43">
        <w:rPr>
          <w:rFonts w:cs="Times New Roman"/>
          <w:sz w:val="20"/>
          <w:szCs w:val="20"/>
        </w:rPr>
        <w:t xml:space="preserve"> Department website</w:t>
      </w:r>
      <w:r>
        <w:rPr>
          <w:rFonts w:cs="Times New Roman"/>
          <w:sz w:val="20"/>
          <w:szCs w:val="20"/>
        </w:rPr>
        <w:t xml:space="preserve"> (</w:t>
      </w:r>
      <w:r w:rsidRPr="007E1A99">
        <w:rPr>
          <w:rFonts w:cs="Times New Roman"/>
          <w:sz w:val="20"/>
          <w:szCs w:val="20"/>
        </w:rPr>
        <w:t>forthcoming</w:t>
      </w:r>
      <w:r>
        <w:rPr>
          <w:rFonts w:cs="Times New Roman"/>
          <w:sz w:val="20"/>
          <w:szCs w:val="20"/>
        </w:rPr>
        <w:t>)</w:t>
      </w:r>
      <w:r w:rsidRPr="007E1A99">
        <w:rPr>
          <w:rFonts w:cs="Times New Roman"/>
          <w:sz w:val="20"/>
          <w:szCs w:val="20"/>
        </w:rPr>
        <w:t>.</w:t>
      </w:r>
    </w:p>
  </w:footnote>
  <w:footnote w:id="449">
    <w:p w14:paraId="1E7AD583" w14:textId="77777777" w:rsidR="000E1004" w:rsidRPr="007E1A99" w:rsidRDefault="000E1004" w:rsidP="007C785D">
      <w:pPr>
        <w:pStyle w:val="FootnoteText"/>
      </w:pPr>
      <w:r w:rsidRPr="007E1A99">
        <w:rPr>
          <w:rStyle w:val="FootnoteReference"/>
        </w:rPr>
        <w:footnoteRef/>
      </w:r>
      <w:r w:rsidRPr="007E1A99">
        <w:t xml:space="preserve"> There had been limited, earlier issues of silver in the names of the ‘barbarian’ rulers.</w:t>
      </w:r>
    </w:p>
  </w:footnote>
  <w:footnote w:id="450">
    <w:p w14:paraId="695DB65D" w14:textId="1DAE138D" w:rsidR="000E1004" w:rsidRPr="007E1A99" w:rsidRDefault="000E1004" w:rsidP="007C785D">
      <w:pPr>
        <w:pStyle w:val="FootnoteText"/>
      </w:pPr>
      <w:r w:rsidRPr="007E1A99">
        <w:rPr>
          <w:rStyle w:val="FootnoteReference"/>
        </w:rPr>
        <w:footnoteRef/>
      </w:r>
      <w:r w:rsidRPr="007E1A99">
        <w:t xml:space="preserve"> </w:t>
      </w:r>
      <w:r w:rsidRPr="00DD179F">
        <w:rPr>
          <w:i/>
          <w:color w:val="000000" w:themeColor="text1"/>
        </w:rPr>
        <w:t>MEC</w:t>
      </w:r>
      <w:r w:rsidRPr="007338B6">
        <w:rPr>
          <w:color w:val="000000" w:themeColor="text1"/>
        </w:rPr>
        <w:t xml:space="preserve"> </w:t>
      </w:r>
      <w:r>
        <w:rPr>
          <w:color w:val="000000" w:themeColor="text1"/>
        </w:rPr>
        <w:t xml:space="preserve">(1986, </w:t>
      </w:r>
      <w:r w:rsidRPr="007338B6">
        <w:rPr>
          <w:color w:val="000000" w:themeColor="text1"/>
        </w:rPr>
        <w:t>93</w:t>
      </w:r>
      <w:r>
        <w:rPr>
          <w:color w:val="000000" w:themeColor="text1"/>
        </w:rPr>
        <w:t>)</w:t>
      </w:r>
      <w:r w:rsidRPr="007338B6">
        <w:rPr>
          <w:color w:val="000000" w:themeColor="text1"/>
        </w:rPr>
        <w:t>.</w:t>
      </w:r>
    </w:p>
  </w:footnote>
  <w:footnote w:id="451">
    <w:p w14:paraId="4B29FB54" w14:textId="4BF8EC68" w:rsidR="000E1004" w:rsidRDefault="000E1004" w:rsidP="007C785D">
      <w:pPr>
        <w:pStyle w:val="FootnoteText"/>
      </w:pPr>
      <w:r>
        <w:rPr>
          <w:rStyle w:val="FootnoteReference"/>
        </w:rPr>
        <w:footnoteRef/>
      </w:r>
      <w:r>
        <w:t xml:space="preserve"> </w:t>
      </w:r>
      <w:r w:rsidRPr="009666C4">
        <w:t>See EMC</w:t>
      </w:r>
      <w:r>
        <w:fldChar w:fldCharType="begin"/>
      </w:r>
      <w:r>
        <w:instrText xml:space="preserve"> XE "</w:instrText>
      </w:r>
      <w:r w:rsidRPr="007D3069">
        <w:instrText>EMC</w:instrText>
      </w:r>
      <w:r>
        <w:instrText xml:space="preserve">" </w:instrText>
      </w:r>
      <w:r>
        <w:fldChar w:fldCharType="end"/>
      </w:r>
      <w:r w:rsidRPr="009666C4">
        <w:t xml:space="preserve"> 2010.0172 for a pseudo-Imperial Merovingian</w:t>
      </w:r>
      <w:r>
        <w:fldChar w:fldCharType="begin"/>
      </w:r>
      <w:r>
        <w:instrText xml:space="preserve"> XE "</w:instrText>
      </w:r>
      <w:r w:rsidRPr="007D3069">
        <w:rPr>
          <w:rStyle w:val="Hyperlink"/>
          <w:noProof/>
        </w:rPr>
        <w:instrText>Merovingian</w:instrText>
      </w:r>
      <w:r>
        <w:instrText xml:space="preserve">" </w:instrText>
      </w:r>
      <w:r>
        <w:fldChar w:fldCharType="end"/>
      </w:r>
      <w:r w:rsidRPr="009666C4">
        <w:t xml:space="preserve"> t</w:t>
      </w:r>
      <w:r>
        <w:t>r</w:t>
      </w:r>
      <w:r w:rsidRPr="009666C4">
        <w:t>emissis</w:t>
      </w:r>
      <w:r>
        <w:fldChar w:fldCharType="begin"/>
      </w:r>
      <w:r>
        <w:instrText xml:space="preserve"> XE "</w:instrText>
      </w:r>
      <w:r w:rsidRPr="007D3069">
        <w:rPr>
          <w:rFonts w:eastAsia="Times New Roman" w:cs="Times New Roman"/>
        </w:rPr>
        <w:instrText>tremissis</w:instrText>
      </w:r>
      <w:r>
        <w:instrText xml:space="preserve">" </w:instrText>
      </w:r>
      <w:r>
        <w:fldChar w:fldCharType="end"/>
      </w:r>
      <w:r w:rsidRPr="009666C4">
        <w:t xml:space="preserve"> from this site.</w:t>
      </w:r>
      <w:r>
        <w:t xml:space="preserve"> These exhibit the decline in gold content suggested by Pol. See </w:t>
      </w:r>
      <w:r>
        <w:rPr>
          <w:i/>
        </w:rPr>
        <w:t>fn.</w:t>
      </w:r>
      <w:r>
        <w:t xml:space="preserve"> </w:t>
      </w:r>
      <w:r>
        <w:fldChar w:fldCharType="begin"/>
      </w:r>
      <w:r>
        <w:instrText xml:space="preserve"> NOTEREF _Ref467215548 \h </w:instrText>
      </w:r>
      <w:r>
        <w:fldChar w:fldCharType="separate"/>
      </w:r>
      <w:r w:rsidR="0012026B">
        <w:t>582</w:t>
      </w:r>
      <w:r>
        <w:fldChar w:fldCharType="end"/>
      </w:r>
      <w:r>
        <w:t>.</w:t>
      </w:r>
    </w:p>
  </w:footnote>
  <w:footnote w:id="452">
    <w:p w14:paraId="249BB4C9" w14:textId="2922C8DE" w:rsidR="000E1004" w:rsidRPr="007E1A99" w:rsidRDefault="000E1004" w:rsidP="007C785D">
      <w:pPr>
        <w:pStyle w:val="FootnoteText"/>
      </w:pPr>
      <w:r w:rsidRPr="007E1A99">
        <w:rPr>
          <w:rStyle w:val="FootnoteReference"/>
        </w:rPr>
        <w:footnoteRef/>
      </w:r>
      <w:r w:rsidRPr="007E1A99">
        <w:t xml:space="preserve"> Spufford</w:t>
      </w:r>
      <w:r>
        <w:t xml:space="preserve"> (1988, </w:t>
      </w:r>
      <w:r w:rsidRPr="007E1A99">
        <w:t>15</w:t>
      </w:r>
      <w:r>
        <w:t>).</w:t>
      </w:r>
    </w:p>
  </w:footnote>
  <w:footnote w:id="453">
    <w:p w14:paraId="047352BF" w14:textId="040F4950" w:rsidR="000E1004" w:rsidRPr="007E1A99" w:rsidRDefault="000E1004" w:rsidP="007C785D">
      <w:pPr>
        <w:pStyle w:val="FootnoteText"/>
      </w:pPr>
      <w:r w:rsidRPr="007E1A99">
        <w:rPr>
          <w:rStyle w:val="FootnoteReference"/>
        </w:rPr>
        <w:footnoteRef/>
      </w:r>
      <w:r w:rsidRPr="007E1A99">
        <w:t xml:space="preserve"> Spufford</w:t>
      </w:r>
      <w:r>
        <w:t xml:space="preserve"> (1988, </w:t>
      </w:r>
      <w:r w:rsidRPr="001C5668">
        <w:rPr>
          <w:color w:val="000000" w:themeColor="text1"/>
        </w:rPr>
        <w:t>17</w:t>
      </w:r>
      <w:r>
        <w:rPr>
          <w:color w:val="000000" w:themeColor="text1"/>
        </w:rPr>
        <w:t>)</w:t>
      </w:r>
      <w:r w:rsidRPr="001C5668">
        <w:rPr>
          <w:color w:val="000000" w:themeColor="text1"/>
        </w:rPr>
        <w:t>.</w:t>
      </w:r>
    </w:p>
  </w:footnote>
  <w:footnote w:id="454">
    <w:p w14:paraId="573A270D" w14:textId="77777777" w:rsidR="000E1004" w:rsidRPr="007E1A99" w:rsidRDefault="000E1004" w:rsidP="007C785D">
      <w:pPr>
        <w:pStyle w:val="FootnoteText"/>
      </w:pPr>
      <w:r w:rsidRPr="007E1A99">
        <w:rPr>
          <w:rStyle w:val="FootnoteReference"/>
        </w:rPr>
        <w:footnoteRef/>
      </w:r>
      <w:r w:rsidRPr="007E1A99">
        <w:t xml:space="preserve"> </w:t>
      </w:r>
      <w:r>
        <w:t>A term d</w:t>
      </w:r>
      <w:r w:rsidRPr="007E1A99">
        <w:t xml:space="preserve">erived from </w:t>
      </w:r>
      <w:r w:rsidRPr="007E1A99">
        <w:rPr>
          <w:i/>
        </w:rPr>
        <w:t>ceratonia siliqua</w:t>
      </w:r>
      <w:r w:rsidRPr="007E1A99">
        <w:t xml:space="preserve">, the locust bean or carob, hence </w:t>
      </w:r>
      <w:r w:rsidRPr="007E1A99">
        <w:rPr>
          <w:i/>
        </w:rPr>
        <w:t>carat</w:t>
      </w:r>
      <w:r w:rsidRPr="007E1A99">
        <w:t>.</w:t>
      </w:r>
    </w:p>
  </w:footnote>
  <w:footnote w:id="455">
    <w:p w14:paraId="21119556" w14:textId="7B31E33C" w:rsidR="000E1004" w:rsidRPr="007E1A99" w:rsidRDefault="000E1004" w:rsidP="007C785D">
      <w:pPr>
        <w:pStyle w:val="FootnoteText"/>
      </w:pPr>
      <w:r w:rsidRPr="007E1A99">
        <w:rPr>
          <w:rStyle w:val="FootnoteReference"/>
        </w:rPr>
        <w:footnoteRef/>
      </w:r>
      <w:r w:rsidRPr="007E1A99">
        <w:t xml:space="preserve"> The purse contained 37 different Merovingian</w:t>
      </w:r>
      <w:r>
        <w:fldChar w:fldCharType="begin"/>
      </w:r>
      <w:r>
        <w:instrText xml:space="preserve"> XE "</w:instrText>
      </w:r>
      <w:r w:rsidRPr="007D3069">
        <w:rPr>
          <w:rStyle w:val="Hyperlink"/>
          <w:noProof/>
        </w:rPr>
        <w:instrText>Merovingian</w:instrText>
      </w:r>
      <w:r>
        <w:instrText xml:space="preserve">" </w:instrText>
      </w:r>
      <w:r>
        <w:fldChar w:fldCharType="end"/>
      </w:r>
      <w:r w:rsidRPr="007E1A99">
        <w:t xml:space="preserve"> tremisses, 3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rsidRPr="007E1A99">
        <w:t xml:space="preserve"> blanks and 2 ingots. </w:t>
      </w:r>
      <w:r>
        <w:t>If it be R</w:t>
      </w:r>
      <w:r>
        <w:rPr>
          <w:rFonts w:cs="Times New Roman"/>
        </w:rPr>
        <w:t>æ</w:t>
      </w:r>
      <w:r>
        <w:t xml:space="preserve">dwald’s burial, he died </w:t>
      </w:r>
      <w:r w:rsidRPr="002646CC">
        <w:rPr>
          <w:i/>
        </w:rPr>
        <w:t>c.</w:t>
      </w:r>
      <w:r>
        <w:t>624.</w:t>
      </w:r>
    </w:p>
  </w:footnote>
  <w:footnote w:id="456">
    <w:p w14:paraId="3A9AC98D" w14:textId="5C7C7F57" w:rsidR="000E1004" w:rsidRPr="00372736" w:rsidRDefault="000E1004" w:rsidP="007C785D">
      <w:pPr>
        <w:pStyle w:val="FootnoteText"/>
        <w:rPr>
          <w:color w:val="000000" w:themeColor="text1"/>
        </w:rPr>
      </w:pPr>
      <w:r w:rsidRPr="007E1A99">
        <w:rPr>
          <w:rStyle w:val="FootnoteReference"/>
        </w:rPr>
        <w:footnoteRef/>
      </w:r>
      <w:r w:rsidRPr="007E1A99">
        <w:t xml:space="preserve"> </w:t>
      </w:r>
      <w:r>
        <w:t xml:space="preserve">Found </w:t>
      </w:r>
      <w:r w:rsidRPr="00E37968">
        <w:t>Hampshire, 1828</w:t>
      </w:r>
      <w:r>
        <w:t xml:space="preserve">, </w:t>
      </w:r>
      <w:r w:rsidRPr="00E37968">
        <w:t>deposited 640s</w:t>
      </w:r>
      <w:r>
        <w:t xml:space="preserve"> (</w:t>
      </w:r>
      <w:r w:rsidRPr="00E37968">
        <w:t xml:space="preserve">?) 101 </w:t>
      </w:r>
      <w:r w:rsidRPr="007E1A99">
        <w:t>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rsidRPr="007E1A99">
        <w:t xml:space="preserve"> coins: 1 Byzantine</w:t>
      </w:r>
      <w:r>
        <w:fldChar w:fldCharType="begin"/>
      </w:r>
      <w:r>
        <w:instrText xml:space="preserve"> XE "</w:instrText>
      </w:r>
      <w:r w:rsidRPr="007D3069">
        <w:instrText>Byzantine</w:instrText>
      </w:r>
      <w:r>
        <w:instrText xml:space="preserve">" </w:instrText>
      </w:r>
      <w:r>
        <w:fldChar w:fldCharType="end"/>
      </w:r>
      <w:r w:rsidRPr="007E1A99">
        <w:t>, 24 Merovingian</w:t>
      </w:r>
      <w:r>
        <w:fldChar w:fldCharType="begin"/>
      </w:r>
      <w:r>
        <w:instrText xml:space="preserve"> XE "</w:instrText>
      </w:r>
      <w:r w:rsidRPr="007D3069">
        <w:rPr>
          <w:rStyle w:val="Hyperlink"/>
          <w:noProof/>
        </w:rPr>
        <w:instrText>Merovingian</w:instrText>
      </w:r>
      <w:r>
        <w:instrText xml:space="preserve">" </w:instrText>
      </w:r>
      <w:r>
        <w:fldChar w:fldCharType="end"/>
      </w:r>
      <w:r w:rsidRPr="007E1A99">
        <w:t xml:space="preserve"> or Frankish, 69 Anglo-Saxon</w:t>
      </w:r>
      <w:r>
        <w:fldChar w:fldCharType="begin"/>
      </w:r>
      <w:r>
        <w:instrText xml:space="preserve"> XE "</w:instrText>
      </w:r>
      <w:r w:rsidRPr="00523AF8">
        <w:rPr>
          <w:rStyle w:val="Hyperlink"/>
          <w:noProof/>
        </w:rPr>
        <w:instrText>Anglo-Saxon</w:instrText>
      </w:r>
      <w:r>
        <w:instrText xml:space="preserve">" </w:instrText>
      </w:r>
      <w:r>
        <w:fldChar w:fldCharType="end"/>
      </w:r>
      <w:r w:rsidRPr="007E1A99">
        <w:t>, 7 others.</w:t>
      </w:r>
      <w:r>
        <w:t xml:space="preserve"> Grierson </w:t>
      </w:r>
      <w:r w:rsidRPr="00372736">
        <w:rPr>
          <w:color w:val="000000" w:themeColor="text1"/>
        </w:rPr>
        <w:t>(</w:t>
      </w:r>
      <w:r>
        <w:rPr>
          <w:color w:val="000000" w:themeColor="text1"/>
        </w:rPr>
        <w:t>1975, 136</w:t>
      </w:r>
      <w:r w:rsidRPr="00372736">
        <w:rPr>
          <w:color w:val="000000" w:themeColor="text1"/>
        </w:rPr>
        <w:t>) speculates that the Sutton Hoo purs</w:t>
      </w:r>
      <w:r>
        <w:rPr>
          <w:color w:val="000000" w:themeColor="text1"/>
        </w:rPr>
        <w:t>e was intended to pay a ‘grandiose Charon’s obol’ and that the Crondall hoard wa</w:t>
      </w:r>
      <w:r w:rsidRPr="00372736">
        <w:rPr>
          <w:color w:val="000000" w:themeColor="text1"/>
        </w:rPr>
        <w:t xml:space="preserve">s a king’s </w:t>
      </w:r>
      <w:r w:rsidRPr="00372736">
        <w:rPr>
          <w:i/>
          <w:color w:val="000000" w:themeColor="text1"/>
        </w:rPr>
        <w:t>Wergeld</w:t>
      </w:r>
      <w:r>
        <w:rPr>
          <w:color w:val="000000" w:themeColor="text1"/>
        </w:rPr>
        <w:t xml:space="preserve"> </w:t>
      </w:r>
      <w:r w:rsidRPr="00372736">
        <w:rPr>
          <w:color w:val="000000" w:themeColor="text1"/>
        </w:rPr>
        <w:t>(</w:t>
      </w:r>
      <w:r>
        <w:rPr>
          <w:color w:val="000000" w:themeColor="text1"/>
        </w:rPr>
        <w:t>1975, 131</w:t>
      </w:r>
      <w:r w:rsidRPr="00372736">
        <w:rPr>
          <w:color w:val="000000" w:themeColor="text1"/>
        </w:rPr>
        <w:t>)</w:t>
      </w:r>
      <w:r>
        <w:rPr>
          <w:color w:val="000000" w:themeColor="text1"/>
        </w:rPr>
        <w:t>.</w:t>
      </w:r>
    </w:p>
  </w:footnote>
  <w:footnote w:id="457">
    <w:p w14:paraId="5F3300BC" w14:textId="193923A2" w:rsidR="000E1004" w:rsidRPr="007E1A99" w:rsidRDefault="000E1004" w:rsidP="007C785D">
      <w:pPr>
        <w:pStyle w:val="FootnoteText"/>
      </w:pPr>
      <w:r w:rsidRPr="007E1A99">
        <w:rPr>
          <w:rStyle w:val="FootnoteReference"/>
        </w:rPr>
        <w:footnoteRef/>
      </w:r>
      <w:r w:rsidRPr="007E1A99">
        <w:t xml:space="preserve"> Stewart (1978) first described the phases of the Crondall, ultra-Crond</w:t>
      </w:r>
      <w:r>
        <w:t xml:space="preserve">all and post-Crondall shillings, but with increasing numbers of finds of </w:t>
      </w:r>
      <w:r w:rsidRPr="007E1A99">
        <w:t>ultra-Crond</w:t>
      </w:r>
      <w:r>
        <w:t>all specimens, this hoard is no longer the primary point of reference.</w:t>
      </w:r>
    </w:p>
  </w:footnote>
  <w:footnote w:id="458">
    <w:p w14:paraId="42B01652" w14:textId="65BDA7F1" w:rsidR="000E1004" w:rsidRDefault="000E1004" w:rsidP="007C785D">
      <w:pPr>
        <w:pStyle w:val="FootnoteText"/>
      </w:pPr>
      <w:r>
        <w:rPr>
          <w:rStyle w:val="FootnoteReference"/>
        </w:rPr>
        <w:footnoteRef/>
      </w:r>
      <w:r>
        <w:t xml:space="preserve"> </w:t>
      </w:r>
      <w:r w:rsidRPr="00411BC4">
        <w:t xml:space="preserve">Including the BM’s solidi, </w:t>
      </w:r>
      <w:r w:rsidRPr="00411BC4">
        <w:rPr>
          <w:i/>
        </w:rPr>
        <w:t>SCBI</w:t>
      </w:r>
      <w:r>
        <w:rPr>
          <w:i/>
        </w:rPr>
        <w:fldChar w:fldCharType="begin"/>
      </w:r>
      <w:r>
        <w:instrText xml:space="preserve"> XE "</w:instrText>
      </w:r>
      <w:r w:rsidRPr="007D3069">
        <w:instrText>SCBI</w:instrText>
      </w:r>
      <w:r>
        <w:instrText xml:space="preserve">" </w:instrText>
      </w:r>
      <w:r>
        <w:rPr>
          <w:i/>
        </w:rPr>
        <w:fldChar w:fldCharType="end"/>
      </w:r>
      <w:r>
        <w:t xml:space="preserve"> 1-3: Helena, Valentinian and ‘Scanomodu’. Williams (2006, 145-92). This may not be the case in Merovingia.</w:t>
      </w:r>
    </w:p>
  </w:footnote>
  <w:footnote w:id="459">
    <w:p w14:paraId="78552273" w14:textId="77777777" w:rsidR="000E1004" w:rsidRPr="00534AEB" w:rsidRDefault="000E1004" w:rsidP="007C785D">
      <w:pPr>
        <w:pStyle w:val="FootnoteText"/>
      </w:pPr>
      <w:r w:rsidRPr="00534AEB">
        <w:rPr>
          <w:rStyle w:val="FootnoteReference"/>
        </w:rPr>
        <w:footnoteRef/>
      </w:r>
      <w:r>
        <w:t xml:space="preserve"> Blackburn (2007, </w:t>
      </w:r>
      <w:r w:rsidRPr="00534AEB">
        <w:t>78</w:t>
      </w:r>
      <w:r>
        <w:t>)</w:t>
      </w:r>
      <w:r w:rsidRPr="00534AEB">
        <w:t>.</w:t>
      </w:r>
    </w:p>
  </w:footnote>
  <w:footnote w:id="460">
    <w:p w14:paraId="75178DBC" w14:textId="1226F122" w:rsidR="000E1004" w:rsidRDefault="000E1004" w:rsidP="007C785D">
      <w:pPr>
        <w:pStyle w:val="FootnoteText"/>
      </w:pPr>
      <w:r>
        <w:rPr>
          <w:rStyle w:val="FootnoteReference"/>
        </w:rPr>
        <w:footnoteRef/>
      </w:r>
      <w:r>
        <w:t xml:space="preserve"> </w:t>
      </w:r>
      <w:r w:rsidRPr="00413297">
        <w:t>Metcalf</w:t>
      </w:r>
      <w:r>
        <w:fldChar w:fldCharType="begin"/>
      </w:r>
      <w:r>
        <w:instrText xml:space="preserve"> XE "</w:instrText>
      </w:r>
      <w:r w:rsidRPr="00523AF8">
        <w:rPr>
          <w:rStyle w:val="Hyperlink"/>
          <w:noProof/>
        </w:rPr>
        <w:instrText>Metcalf</w:instrText>
      </w:r>
      <w:r>
        <w:instrText xml:space="preserve">" </w:instrText>
      </w:r>
      <w:r>
        <w:fldChar w:fldCharType="end"/>
      </w:r>
      <w:r w:rsidRPr="00413297">
        <w:t xml:space="preserve"> </w:t>
      </w:r>
      <w:r>
        <w:t>in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(2014, 67)</w:t>
      </w:r>
      <w:r>
        <w:rPr>
          <w:color w:val="FF0000"/>
        </w:rPr>
        <w:t>.</w:t>
      </w:r>
    </w:p>
  </w:footnote>
  <w:footnote w:id="461">
    <w:p w14:paraId="23A55E29" w14:textId="23E52294" w:rsidR="000E1004" w:rsidRDefault="000E1004" w:rsidP="007C785D">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(2012a, 73-104). </w:t>
      </w:r>
      <w:r w:rsidRPr="00774DB6">
        <w:t>As regards sources of influence, Blackburn (2011</w:t>
      </w:r>
      <w:r>
        <w:t>,</w:t>
      </w:r>
      <w:r w:rsidRPr="00774DB6">
        <w:t xml:space="preserve"> 592) quoted the example of grave 22 at Brighthampton containing a Roman hoard rediscovered in early Anglo-Saxon times.</w:t>
      </w:r>
    </w:p>
  </w:footnote>
  <w:footnote w:id="462">
    <w:p w14:paraId="1A19FDEC" w14:textId="487647F3" w:rsidR="000E1004" w:rsidRDefault="000E1004" w:rsidP="007C785D">
      <w:pPr>
        <w:pStyle w:val="FootnoteText"/>
      </w:pPr>
      <w:r>
        <w:rPr>
          <w:rStyle w:val="FootnoteReference"/>
        </w:rPr>
        <w:footnoteRef/>
      </w:r>
      <w:r>
        <w:t xml:space="preserve"> </w:t>
      </w:r>
      <w:r w:rsidRPr="00B50F42">
        <w:rPr>
          <w:i/>
          <w:color w:val="000000" w:themeColor="text1"/>
        </w:rPr>
        <w:t>SCBI</w:t>
      </w:r>
      <w:r>
        <w:rPr>
          <w:i/>
          <w:color w:val="000000" w:themeColor="text1"/>
        </w:rPr>
        <w:fldChar w:fldCharType="begin"/>
      </w:r>
      <w:r>
        <w:instrText xml:space="preserve"> XE "</w:instrText>
      </w:r>
      <w:r w:rsidRPr="007D3069">
        <w:instrText>SCBI</w:instrText>
      </w:r>
      <w:r>
        <w:instrText xml:space="preserve">" </w:instrText>
      </w:r>
      <w:r>
        <w:rPr>
          <w:i/>
          <w:color w:val="000000" w:themeColor="text1"/>
        </w:rPr>
        <w:fldChar w:fldCharType="end"/>
      </w:r>
      <w:r>
        <w:rPr>
          <w:color w:val="000000" w:themeColor="text1"/>
        </w:rPr>
        <w:t xml:space="preserve"> 63, 61 suggested the 640s.</w:t>
      </w:r>
      <w:r w:rsidRPr="00882F4A">
        <w:t xml:space="preserve"> </w:t>
      </w:r>
      <w:r>
        <w:t>See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&amp; Allen (2014, 153-8) and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&amp; Garrison (forthcoming).</w:t>
      </w:r>
    </w:p>
  </w:footnote>
  <w:footnote w:id="463">
    <w:p w14:paraId="722F14F5" w14:textId="16F84FCC" w:rsidR="000E1004" w:rsidRPr="001F1BC6" w:rsidRDefault="000E1004" w:rsidP="007C785D">
      <w:pPr>
        <w:pStyle w:val="FootnoteText"/>
      </w:pPr>
      <w:r>
        <w:rPr>
          <w:rStyle w:val="FootnoteReference"/>
        </w:rPr>
        <w:footnoteRef/>
      </w:r>
      <w:r>
        <w:t xml:space="preserve"> </w:t>
      </w:r>
      <w:r w:rsidRPr="001F1BC6">
        <w:t>The background</w:t>
      </w:r>
      <w:r>
        <w:t xml:space="preserve"> to specimens 6-8, Sutherland (1948, nos. </w:t>
      </w:r>
      <w:r w:rsidRPr="001F1BC6">
        <w:t>75a-c</w:t>
      </w:r>
      <w:r>
        <w:t>)</w:t>
      </w:r>
      <w:r w:rsidRPr="001F1BC6">
        <w:t>, Abdy</w:t>
      </w:r>
      <w:r>
        <w:t xml:space="preserve"> &amp; Williams (2006, hoard 13 nos. 319-21), </w:t>
      </w:r>
      <w:r w:rsidRPr="001F1BC6">
        <w:t>is detailed in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1F1BC6">
        <w:t xml:space="preserve"> (2012e</w:t>
      </w:r>
      <w:r>
        <w:t>,</w:t>
      </w:r>
      <w:r w:rsidRPr="001F1BC6">
        <w:t xml:space="preserve"> 12-16).</w:t>
      </w:r>
      <w:r w:rsidRPr="002538D4">
        <w:rPr>
          <w:rFonts w:cs="Times New Roman"/>
        </w:rPr>
        <w:t xml:space="preserve"> </w:t>
      </w:r>
      <w:r>
        <w:rPr>
          <w:rFonts w:cs="Times New Roman"/>
        </w:rPr>
        <w:t>The candidate has augmented the classification with two new sub-varieties, Bii and Cii.</w:t>
      </w:r>
    </w:p>
  </w:footnote>
  <w:footnote w:id="464">
    <w:p w14:paraId="1343ED1F" w14:textId="175E5D6B" w:rsidR="000E1004" w:rsidRDefault="000E1004" w:rsidP="007C785D">
      <w:pPr>
        <w:pStyle w:val="FootnoteText"/>
      </w:pPr>
      <w:r>
        <w:rPr>
          <w:rStyle w:val="FootnoteReference"/>
        </w:rPr>
        <w:footnoteRef/>
      </w:r>
      <w:r>
        <w:t xml:space="preserve"> I</w:t>
      </w:r>
      <w:r w:rsidRPr="00C633A0">
        <w:t>nformal knowledge places this, confidentially, at Spofforth</w:t>
      </w:r>
      <w:r>
        <w:fldChar w:fldCharType="begin"/>
      </w:r>
      <w:r>
        <w:instrText xml:space="preserve"> XE "</w:instrText>
      </w:r>
      <w:r w:rsidRPr="004D76A0">
        <w:rPr>
          <w:rStyle w:val="Hyperlink"/>
          <w:noProof/>
        </w:rPr>
        <w:instrText>Spofforth</w:instrText>
      </w:r>
      <w:r>
        <w:instrText xml:space="preserve">" </w:instrText>
      </w:r>
      <w:r>
        <w:fldChar w:fldCharType="end"/>
      </w:r>
      <w:r>
        <w:t>, possibly near the unfurnished burial</w:t>
      </w:r>
      <w:r w:rsidRPr="00C633A0">
        <w:t xml:space="preserve">. </w:t>
      </w:r>
      <w:r>
        <w:t>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(2014, </w:t>
      </w:r>
      <w:r w:rsidRPr="00066642">
        <w:t>153-8</w:t>
      </w:r>
      <w:r>
        <w:t>)</w:t>
      </w:r>
      <w:r w:rsidRPr="00066642">
        <w:t>.</w:t>
      </w:r>
    </w:p>
  </w:footnote>
  <w:footnote w:id="465">
    <w:p w14:paraId="1F9F3856" w14:textId="050E3341" w:rsidR="000E1004" w:rsidRDefault="000E1004">
      <w:pPr>
        <w:pStyle w:val="FootnoteText"/>
      </w:pPr>
      <w:r>
        <w:rPr>
          <w:rStyle w:val="FootnoteReference"/>
        </w:rPr>
        <w:footnoteRef/>
      </w:r>
      <w:r>
        <w:t xml:space="preserve"> Sutherland (</w:t>
      </w:r>
      <w:r w:rsidRPr="0090786F">
        <w:t>1948, 50</w:t>
      </w:r>
      <w:r>
        <w:t xml:space="preserve">). </w:t>
      </w:r>
      <w:r>
        <w:rPr>
          <w:rFonts w:cs="Times New Roman"/>
        </w:rPr>
        <w:t>Charles Hall illustrated a York shilling of variety B or Ci, fancifully inscribed Eadbald</w:t>
      </w:r>
      <w:r>
        <w:rPr>
          <w:rFonts w:ascii="Inscription Numismatic" w:hAnsi="Inscription Numismatic" w:cs="Times New Roman"/>
        </w:rPr>
        <w:t>,</w:t>
      </w:r>
      <w:r>
        <w:rPr>
          <w:rFonts w:cs="Times New Roman"/>
        </w:rPr>
        <w:t>R</w:t>
      </w:r>
      <w:r>
        <w:rPr>
          <w:rFonts w:ascii="Inscription Numismatic" w:hAnsi="Inscription Numismatic" w:cs="Times New Roman"/>
        </w:rPr>
        <w:t>,</w:t>
      </w:r>
      <w:r>
        <w:rPr>
          <w:rFonts w:cs="Times New Roman"/>
        </w:rPr>
        <w:t>CA, in his 1773 engravings added to Withy &amp; Ryall.</w:t>
      </w:r>
    </w:p>
  </w:footnote>
  <w:footnote w:id="466">
    <w:p w14:paraId="163EC1CB" w14:textId="11A8E80F" w:rsidR="000E1004" w:rsidRDefault="000E1004">
      <w:pPr>
        <w:pStyle w:val="FootnoteText"/>
      </w:pPr>
      <w:r>
        <w:rPr>
          <w:rStyle w:val="FootnoteReference"/>
        </w:rPr>
        <w:footnoteRef/>
      </w:r>
      <w:r>
        <w:t xml:space="preserve"> Abramson and Garrison (forthcoming). A second specimen of this type appeared the week after the candidate disclosed this finding at the Sixth International Symposium in Early Medieval Coinage, Fitzwilliam Museum Cambridge, 28-29 October 2016.</w:t>
      </w:r>
    </w:p>
  </w:footnote>
  <w:footnote w:id="467">
    <w:p w14:paraId="53CB6325" w14:textId="3C3C22FE" w:rsidR="000E1004" w:rsidRDefault="000E1004">
      <w:pPr>
        <w:pStyle w:val="FootnoteText"/>
      </w:pPr>
      <w:r>
        <w:rPr>
          <w:rStyle w:val="FootnoteReference"/>
        </w:rPr>
        <w:footnoteRef/>
      </w:r>
      <w:r>
        <w:t xml:space="preserve"> </w:t>
      </w:r>
      <w:r>
        <w:rPr>
          <w:rFonts w:cs="Times New Roman"/>
        </w:rPr>
        <w:t>Although the iconograph is likely to be ambiguous.</w:t>
      </w:r>
    </w:p>
  </w:footnote>
  <w:footnote w:id="468">
    <w:p w14:paraId="739230A1" w14:textId="2B643E2C" w:rsidR="000E1004" w:rsidRPr="00C23550" w:rsidRDefault="000E1004">
      <w:pPr>
        <w:pStyle w:val="FootnoteText"/>
      </w:pPr>
      <w:r>
        <w:rPr>
          <w:rStyle w:val="FootnoteReference"/>
        </w:rPr>
        <w:footnoteRef/>
      </w:r>
      <w:r>
        <w:t xml:space="preserve"> See </w:t>
      </w:r>
      <w:r>
        <w:rPr>
          <w:i/>
        </w:rPr>
        <w:t>fn.</w:t>
      </w:r>
      <w:r>
        <w:t xml:space="preserve"> </w:t>
      </w:r>
      <w:r>
        <w:fldChar w:fldCharType="begin"/>
      </w:r>
      <w:r>
        <w:instrText xml:space="preserve"> NOTEREF _Ref464204979 \h </w:instrText>
      </w:r>
      <w:r>
        <w:fldChar w:fldCharType="separate"/>
      </w:r>
      <w:r w:rsidR="0012026B">
        <w:t>433</w:t>
      </w:r>
      <w:r>
        <w:fldChar w:fldCharType="end"/>
      </w:r>
      <w:r>
        <w:t>.</w:t>
      </w:r>
    </w:p>
  </w:footnote>
  <w:footnote w:id="469">
    <w:p w14:paraId="35505621" w14:textId="28DE2D33" w:rsidR="000E1004" w:rsidRDefault="000E1004">
      <w:pPr>
        <w:pStyle w:val="FootnoteText"/>
      </w:pPr>
      <w:r>
        <w:rPr>
          <w:rStyle w:val="FootnoteReference"/>
        </w:rPr>
        <w:footnoteRef/>
      </w:r>
      <w:r>
        <w:t xml:space="preserve"> </w:t>
      </w:r>
      <w:r w:rsidRPr="001B035A">
        <w:t xml:space="preserve">Blackburn </w:t>
      </w:r>
      <w:r>
        <w:t>(</w:t>
      </w:r>
      <w:r w:rsidRPr="001B035A">
        <w:t>1994, 208</w:t>
      </w:r>
      <w:r>
        <w:t xml:space="preserve">): </w:t>
      </w:r>
      <w:r w:rsidRPr="001B035A">
        <w:t xml:space="preserve">‘…a bracket of </w:t>
      </w:r>
      <w:r w:rsidRPr="001B035A">
        <w:rPr>
          <w:i/>
          <w:iCs/>
        </w:rPr>
        <w:t>c.</w:t>
      </w:r>
      <w:r w:rsidRPr="001B035A">
        <w:t xml:space="preserve">640-660 is most likely, it is not impossible that these coins could have been minted as late as </w:t>
      </w:r>
      <w:r w:rsidRPr="001B035A">
        <w:rPr>
          <w:i/>
          <w:iCs/>
        </w:rPr>
        <w:t>c.</w:t>
      </w:r>
      <w:r w:rsidRPr="001B035A">
        <w:t xml:space="preserve">680.’ </w:t>
      </w:r>
      <w:r w:rsidRPr="001B035A">
        <w:rPr>
          <w:color w:val="000000" w:themeColor="text1"/>
        </w:rPr>
        <w:t>Williams &amp; Hook (2013,61) favoured Deiran Edwin as prospecti</w:t>
      </w:r>
      <w:r>
        <w:rPr>
          <w:color w:val="000000" w:themeColor="text1"/>
        </w:rPr>
        <w:t>ve issuer over Bernician Oswald, in view of the paucity of coinage in Bernicia.</w:t>
      </w:r>
    </w:p>
  </w:footnote>
  <w:footnote w:id="470">
    <w:p w14:paraId="4C0FF5BC" w14:textId="25D6F55B" w:rsidR="000E1004" w:rsidRPr="00C76352" w:rsidRDefault="000E1004">
      <w:pPr>
        <w:pStyle w:val="FootnoteText"/>
      </w:pPr>
      <w:r>
        <w:rPr>
          <w:rStyle w:val="FootnoteReference"/>
        </w:rPr>
        <w:footnoteRef/>
      </w:r>
      <w:r>
        <w:t xml:space="preserve"> See </w:t>
      </w:r>
      <w:r>
        <w:rPr>
          <w:i/>
        </w:rPr>
        <w:t>fn.</w:t>
      </w:r>
      <w:r>
        <w:t xml:space="preserve"> </w:t>
      </w:r>
      <w:r>
        <w:fldChar w:fldCharType="begin"/>
      </w:r>
      <w:r>
        <w:instrText xml:space="preserve"> NOTEREF _Ref464049286 \h </w:instrText>
      </w:r>
      <w:r>
        <w:fldChar w:fldCharType="separate"/>
      </w:r>
      <w:r w:rsidR="0012026B">
        <w:t>82</w:t>
      </w:r>
      <w:r>
        <w:fldChar w:fldCharType="end"/>
      </w:r>
      <w:r>
        <w:t>.</w:t>
      </w:r>
      <w:r w:rsidRPr="00C76352">
        <w:t xml:space="preserve"> </w:t>
      </w:r>
      <w:r>
        <w:t>In the Crondall hoard there are seven die duplicates of the thrymsa with a forward facing obverse portrait and inscribed for London on the reverse, thought by Baldwin-Brown (1915, 73-4) to be</w:t>
      </w:r>
      <w:r>
        <w:rPr>
          <w:rFonts w:cs="Times New Roman"/>
        </w:rPr>
        <w:t xml:space="preserve"> Bishop Mellitus. This was dismissed by Gannon (2003.25)</w:t>
      </w:r>
      <w:r>
        <w:t xml:space="preserve"> as anachronistic, but again mentioned by her in </w:t>
      </w:r>
      <w:r w:rsidRPr="00F05A54">
        <w:t>‘From Gold</w:t>
      </w:r>
      <w:r>
        <w:fldChar w:fldCharType="begin"/>
      </w:r>
      <w:r>
        <w:instrText xml:space="preserve"> XE "</w:instrText>
      </w:r>
      <w:r w:rsidRPr="00F1328A">
        <w:rPr>
          <w:rStyle w:val="Hyperlink"/>
          <w:rFonts w:cs="Times New Roman"/>
          <w:noProof/>
        </w:rPr>
        <w:instrText>Gold</w:instrText>
      </w:r>
      <w:r>
        <w:instrText xml:space="preserve">" </w:instrText>
      </w:r>
      <w:r>
        <w:fldChar w:fldCharType="end"/>
      </w:r>
      <w:r w:rsidRPr="00F05A54">
        <w:t xml:space="preserve"> to Silver</w:t>
      </w:r>
      <w:r>
        <w:fldChar w:fldCharType="begin"/>
      </w:r>
      <w:r>
        <w:instrText xml:space="preserve"> XE "</w:instrText>
      </w:r>
      <w:r w:rsidRPr="00F1328A">
        <w:rPr>
          <w:rStyle w:val="Hyperlink"/>
          <w:rFonts w:cs="Times New Roman"/>
          <w:noProof/>
        </w:rPr>
        <w:instrText>Silver</w:instrText>
      </w:r>
      <w:r>
        <w:instrText xml:space="preserve">" </w:instrText>
      </w:r>
      <w:r>
        <w:fldChar w:fldCharType="end"/>
      </w:r>
      <w:r w:rsidRPr="00F05A54">
        <w:t xml:space="preserve"> in the Seventh Century’</w:t>
      </w:r>
      <w:r>
        <w:t xml:space="preserve">, </w:t>
      </w:r>
      <w:r w:rsidRPr="00F05A54">
        <w:t>Cambridge, 27-8</w:t>
      </w:r>
      <w:r w:rsidRPr="00F05A54">
        <w:rPr>
          <w:vertAlign w:val="superscript"/>
        </w:rPr>
        <w:t>th</w:t>
      </w:r>
      <w:r w:rsidRPr="00F05A54">
        <w:t xml:space="preserve"> March 2015.</w:t>
      </w:r>
    </w:p>
  </w:footnote>
  <w:footnote w:id="471">
    <w:p w14:paraId="48102067" w14:textId="1C25C798" w:rsidR="000E1004" w:rsidRDefault="000E1004">
      <w:pPr>
        <w:pStyle w:val="FootnoteText"/>
      </w:pPr>
      <w:r>
        <w:rPr>
          <w:rStyle w:val="FootnoteReference"/>
        </w:rPr>
        <w:footnoteRef/>
      </w:r>
      <w:r>
        <w:t xml:space="preserve"> This would be mistaken because it applies during mass production when the reverse die, or, more accurately, the stock, is worn more quickly (Abramson 2012e, 19-21); here it is merely coincidental and probably driven, like the York issues, by commemorative events, at least for the Eadbald coinage. Gold supplies would not have been sufficient to exhaust the dies.</w:t>
      </w:r>
    </w:p>
  </w:footnote>
  <w:footnote w:id="472">
    <w:p w14:paraId="55BACE36" w14:textId="7D0CBF3F" w:rsidR="000E1004" w:rsidRDefault="000E1004">
      <w:pPr>
        <w:pStyle w:val="FootnoteText"/>
      </w:pPr>
      <w:r>
        <w:rPr>
          <w:rStyle w:val="FootnoteReference"/>
        </w:rPr>
        <w:footnoteRef/>
      </w:r>
      <w:r>
        <w:t xml:space="preserve"> </w:t>
      </w:r>
      <w:r>
        <w:rPr>
          <w:rFonts w:cs="Times New Roman"/>
        </w:rPr>
        <w:t>Gannon (2003, 27).</w:t>
      </w:r>
    </w:p>
  </w:footnote>
  <w:footnote w:id="473">
    <w:p w14:paraId="208306EA" w14:textId="046E0A4C" w:rsidR="000E1004" w:rsidRDefault="000E1004" w:rsidP="007C785D">
      <w:pPr>
        <w:pStyle w:val="FootnoteText"/>
      </w:pPr>
      <w:r>
        <w:rPr>
          <w:rStyle w:val="FootnoteReference"/>
        </w:rPr>
        <w:footnoteRef/>
      </w:r>
      <w:r>
        <w:t xml:space="preserve"> </w:t>
      </w:r>
      <w:r w:rsidRPr="00E3039C">
        <w:t>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E3039C">
        <w:t xml:space="preserve"> </w:t>
      </w:r>
      <w:r>
        <w:t>(</w:t>
      </w:r>
      <w:r w:rsidRPr="00E3039C">
        <w:t>2006</w:t>
      </w:r>
      <w:r>
        <w:t>,</w:t>
      </w:r>
      <w:r w:rsidRPr="00E3039C">
        <w:t xml:space="preserve"> 76-82</w:t>
      </w:r>
      <w:r>
        <w:t>)</w:t>
      </w:r>
      <w:r w:rsidRPr="00E3039C">
        <w:t>.</w:t>
      </w:r>
    </w:p>
  </w:footnote>
  <w:footnote w:id="474">
    <w:p w14:paraId="14D6DBC2" w14:textId="494EF8A7" w:rsidR="000E1004" w:rsidRDefault="000E1004">
      <w:pPr>
        <w:pStyle w:val="FootnoteText"/>
      </w:pPr>
      <w:r>
        <w:rPr>
          <w:rStyle w:val="FootnoteReference"/>
        </w:rPr>
        <w:footnoteRef/>
      </w:r>
      <w:r>
        <w:t xml:space="preserve"> </w:t>
      </w:r>
      <w:r w:rsidRPr="002538D4">
        <w:t xml:space="preserve">Sutherland, </w:t>
      </w:r>
      <w:r>
        <w:t>(</w:t>
      </w:r>
      <w:r w:rsidRPr="002538D4">
        <w:t>1948, 50</w:t>
      </w:r>
      <w:r>
        <w:t>) suggested that the inspiration may be the Byzantine</w:t>
      </w:r>
      <w:r>
        <w:rPr>
          <w:lang w:val="pt-BR"/>
        </w:rPr>
        <w:t xml:space="preserve"> </w:t>
      </w:r>
      <w:r w:rsidRPr="002538D4">
        <w:rPr>
          <w:lang w:val="pt-BR"/>
        </w:rPr>
        <w:t>follis</w:t>
      </w:r>
      <w:r>
        <w:rPr>
          <w:lang w:val="pt-BR"/>
        </w:rPr>
        <w:t xml:space="preserve"> of </w:t>
      </w:r>
      <w:r w:rsidRPr="002538D4">
        <w:t xml:space="preserve">Justinian I, </w:t>
      </w:r>
      <w:r>
        <w:rPr>
          <w:lang w:val="pt-BR"/>
        </w:rPr>
        <w:t xml:space="preserve">527-565, for </w:t>
      </w:r>
      <w:r w:rsidRPr="002538D4">
        <w:rPr>
          <w:lang w:val="pt-BR"/>
        </w:rPr>
        <w:t>Constantinople</w:t>
      </w:r>
      <w:r>
        <w:rPr>
          <w:lang w:val="pt-BR"/>
        </w:rPr>
        <w:t>.</w:t>
      </w:r>
    </w:p>
  </w:footnote>
  <w:footnote w:id="475">
    <w:p w14:paraId="5DAD0F68" w14:textId="2E257ADF" w:rsidR="000E1004" w:rsidRPr="00A3560B" w:rsidRDefault="000E1004" w:rsidP="007C785D">
      <w:pPr>
        <w:pStyle w:val="FootnoteText"/>
      </w:pPr>
      <w:r w:rsidRPr="00A3560B">
        <w:rPr>
          <w:rStyle w:val="FootnoteReference"/>
        </w:rPr>
        <w:footnoteRef/>
      </w:r>
      <w:r>
        <w:t xml:space="preserve"> Lang in Carver (1995, 453) where it is described as “a portrait not far removed from graffiti’.</w:t>
      </w:r>
    </w:p>
  </w:footnote>
  <w:footnote w:id="476">
    <w:p w14:paraId="5334DECC" w14:textId="72E845BD" w:rsidR="000E1004" w:rsidRDefault="000E1004" w:rsidP="007C785D">
      <w:pPr>
        <w:pStyle w:val="FootnoteText"/>
      </w:pPr>
      <w:r>
        <w:rPr>
          <w:rStyle w:val="FootnoteReference"/>
        </w:rPr>
        <w:footnoteRef/>
      </w:r>
      <w:r>
        <w:t xml:space="preserve"> </w:t>
      </w:r>
      <w:r w:rsidRPr="00AC241C">
        <w:t>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AC241C">
        <w:t xml:space="preserve"> &amp; Garrison</w:t>
      </w:r>
      <w:r>
        <w:t xml:space="preserve"> (forthcoming).</w:t>
      </w:r>
      <w:r w:rsidRPr="00AC241C">
        <w:t xml:space="preserve"> </w:t>
      </w:r>
    </w:p>
  </w:footnote>
  <w:footnote w:id="477">
    <w:p w14:paraId="323CCACC" w14:textId="77777777" w:rsidR="000E1004" w:rsidRDefault="000E1004" w:rsidP="00641749">
      <w:pPr>
        <w:pStyle w:val="FootnoteText"/>
      </w:pPr>
      <w:r>
        <w:rPr>
          <w:rStyle w:val="FootnoteReference"/>
        </w:rPr>
        <w:footnoteRef/>
      </w:r>
      <w:r>
        <w:t xml:space="preserve"> Pope Gregory instructed Augustine to convert cult sites not destroy them. Blair</w:t>
      </w:r>
      <w:r>
        <w:fldChar w:fldCharType="begin"/>
      </w:r>
      <w:r>
        <w:instrText xml:space="preserve"> XE "</w:instrText>
      </w:r>
      <w:r w:rsidRPr="007645AE">
        <w:instrText>Blair</w:instrText>
      </w:r>
      <w:r>
        <w:instrText xml:space="preserve">" </w:instrText>
      </w:r>
      <w:r>
        <w:fldChar w:fldCharType="end"/>
      </w:r>
      <w:r>
        <w:t xml:space="preserve"> (2005, 57).</w:t>
      </w:r>
    </w:p>
  </w:footnote>
  <w:footnote w:id="478">
    <w:p w14:paraId="613CCA0D" w14:textId="77777777" w:rsidR="000E1004" w:rsidRDefault="000E1004" w:rsidP="00641749">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52).</w:t>
      </w:r>
    </w:p>
  </w:footnote>
  <w:footnote w:id="479">
    <w:p w14:paraId="74203BAC" w14:textId="77777777" w:rsidR="000E1004" w:rsidRDefault="000E1004" w:rsidP="00641749">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67).</w:t>
      </w:r>
    </w:p>
  </w:footnote>
  <w:footnote w:id="480">
    <w:p w14:paraId="139E255B" w14:textId="77777777" w:rsidR="000E1004" w:rsidRDefault="000E1004" w:rsidP="00641749">
      <w:pPr>
        <w:pStyle w:val="FootnoteText"/>
      </w:pPr>
      <w:r>
        <w:rPr>
          <w:rStyle w:val="FootnoteReference"/>
        </w:rPr>
        <w:footnoteRef/>
      </w:r>
      <w:r>
        <w:t xml:space="preserve"> Morris (1989, 102).</w:t>
      </w:r>
    </w:p>
  </w:footnote>
  <w:footnote w:id="481">
    <w:p w14:paraId="2E542608" w14:textId="446DC80F" w:rsidR="000E1004" w:rsidRPr="007E1A99" w:rsidRDefault="000E1004" w:rsidP="007C785D">
      <w:pPr>
        <w:pStyle w:val="FootnoteText"/>
      </w:pPr>
      <w:r w:rsidRPr="007E1A99">
        <w:rPr>
          <w:rStyle w:val="FootnoteReference"/>
        </w:rPr>
        <w:footnoteRef/>
      </w:r>
      <w:r w:rsidRPr="007E1A99">
        <w:t xml:space="preserve"> </w:t>
      </w:r>
      <w:r w:rsidRPr="00A528E1">
        <w:rPr>
          <w:i/>
        </w:rPr>
        <w:t>MEC</w:t>
      </w:r>
      <w:r w:rsidRPr="007E1A99">
        <w:t xml:space="preserve"> </w:t>
      </w:r>
      <w:r>
        <w:t xml:space="preserve">(1986, </w:t>
      </w:r>
      <w:r w:rsidRPr="007E1A99">
        <w:t>329-30</w:t>
      </w:r>
      <w:r>
        <w:t>)</w:t>
      </w:r>
      <w:r w:rsidRPr="007E1A99">
        <w:t>.</w:t>
      </w:r>
    </w:p>
  </w:footnote>
  <w:footnote w:id="482">
    <w:p w14:paraId="6D43C64A" w14:textId="77777777" w:rsidR="000E1004" w:rsidRPr="007E1A99" w:rsidRDefault="000E1004" w:rsidP="007C785D">
      <w:pPr>
        <w:pStyle w:val="FootnoteText"/>
      </w:pPr>
      <w:r w:rsidRPr="007E1A99">
        <w:rPr>
          <w:rStyle w:val="FootnoteReference"/>
        </w:rPr>
        <w:footnoteRef/>
      </w:r>
      <w:r>
        <w:t xml:space="preserve"> Blackburn (2007, </w:t>
      </w:r>
      <w:r w:rsidRPr="007E1A99">
        <w:t>64</w:t>
      </w:r>
      <w:r>
        <w:t>)</w:t>
      </w:r>
      <w:r w:rsidRPr="007E1A99">
        <w:t>.</w:t>
      </w:r>
    </w:p>
  </w:footnote>
  <w:footnote w:id="483">
    <w:p w14:paraId="5C1AE65D" w14:textId="205E4967" w:rsidR="000E1004" w:rsidRDefault="000E1004" w:rsidP="007C785D">
      <w:pPr>
        <w:pStyle w:val="FootnoteText"/>
      </w:pPr>
      <w:r>
        <w:rPr>
          <w:rStyle w:val="FootnoteReference"/>
        </w:rPr>
        <w:footnoteRef/>
      </w:r>
      <w:r>
        <w:t xml:space="preserve"> </w:t>
      </w:r>
      <w:r w:rsidRPr="003B33E7">
        <w:t xml:space="preserve">Blunt </w:t>
      </w:r>
      <w:r>
        <w:t>(1960) reconstructed</w:t>
      </w:r>
      <w:r w:rsidRPr="003B33E7">
        <w:t xml:space="preserve"> the pedigree of this unprovenanced coin, once tainted by association with the notorious </w:t>
      </w:r>
      <w:r>
        <w:t xml:space="preserve">eighteenth-century forger </w:t>
      </w:r>
      <w:r w:rsidRPr="003B33E7">
        <w:t>John White.</w:t>
      </w:r>
    </w:p>
  </w:footnote>
  <w:footnote w:id="484">
    <w:p w14:paraId="11213852" w14:textId="5563037B" w:rsidR="000E1004" w:rsidRDefault="000E1004" w:rsidP="007F0CC9">
      <w:pPr>
        <w:pStyle w:val="FootnoteText"/>
      </w:pPr>
      <w:r>
        <w:rPr>
          <w:rStyle w:val="FootnoteReference"/>
        </w:rPr>
        <w:footnoteRef/>
      </w:r>
      <w:r>
        <w:t xml:space="preserve"> Blackburn (2006, 135-40). (CNG 100, 1060).</w:t>
      </w:r>
    </w:p>
  </w:footnote>
  <w:footnote w:id="485">
    <w:p w14:paraId="0F0463C4" w14:textId="77777777" w:rsidR="000E1004" w:rsidRPr="00534AEB" w:rsidRDefault="000E1004" w:rsidP="007C785D">
      <w:pPr>
        <w:pStyle w:val="FootnoteText"/>
      </w:pPr>
      <w:r w:rsidRPr="00534AEB">
        <w:rPr>
          <w:rStyle w:val="FootnoteReference"/>
        </w:rPr>
        <w:footnoteRef/>
      </w:r>
      <w:r>
        <w:t xml:space="preserve"> Williams and Hook (2013, </w:t>
      </w:r>
      <w:r w:rsidRPr="00534AEB">
        <w:t>55-70</w:t>
      </w:r>
      <w:r>
        <w:t>)</w:t>
      </w:r>
      <w:r w:rsidRPr="00534AEB">
        <w:t>.</w:t>
      </w:r>
    </w:p>
  </w:footnote>
  <w:footnote w:id="486">
    <w:p w14:paraId="367411D9" w14:textId="154B18D3" w:rsidR="000E1004" w:rsidRPr="005419CB" w:rsidRDefault="000E1004" w:rsidP="007C785D">
      <w:pPr>
        <w:pStyle w:val="FootnoteText"/>
      </w:pPr>
      <w:r w:rsidRPr="005419CB">
        <w:rPr>
          <w:rStyle w:val="FootnoteReference"/>
        </w:rPr>
        <w:footnoteRef/>
      </w:r>
      <w:r w:rsidRPr="005419CB">
        <w:t xml:space="preserve"> The silver emission inscribed Val</w:t>
      </w:r>
      <w:r>
        <w:t>doberhtus may be contemporary with</w:t>
      </w:r>
      <w:r w:rsidRPr="005419CB">
        <w:t xml:space="preserve"> the silver issues of Pada and V</w:t>
      </w:r>
      <w:r>
        <w:t>animundus – see</w:t>
      </w:r>
      <w:r>
        <w:fldChar w:fldCharType="begin"/>
      </w:r>
      <w:r>
        <w:instrText xml:space="preserve"> XE "</w:instrText>
      </w:r>
      <w:r w:rsidRPr="00F1328A">
        <w:rPr>
          <w:rStyle w:val="Hyperlink"/>
          <w:noProof/>
        </w:rPr>
        <w:instrText>Period 4b</w:instrText>
      </w:r>
      <w:r>
        <w:instrText xml:space="preserve">" </w:instrText>
      </w:r>
      <w:r>
        <w:fldChar w:fldCharType="end"/>
      </w:r>
      <w:r>
        <w:t xml:space="preserve"> page </w:t>
      </w:r>
      <w:r>
        <w:fldChar w:fldCharType="begin"/>
      </w:r>
      <w:r>
        <w:instrText xml:space="preserve"> PAGEREF Period4b \h </w:instrText>
      </w:r>
      <w:r>
        <w:fldChar w:fldCharType="separate"/>
      </w:r>
      <w:r w:rsidR="0012026B">
        <w:rPr>
          <w:noProof/>
        </w:rPr>
        <w:t>117</w:t>
      </w:r>
      <w:r>
        <w:fldChar w:fldCharType="end"/>
      </w:r>
      <w:r>
        <w:t xml:space="preserve"> and </w:t>
      </w:r>
      <w:r w:rsidRPr="00473A0A">
        <w:t xml:space="preserve">Chick </w:t>
      </w:r>
      <w:r>
        <w:t xml:space="preserve">(2010, </w:t>
      </w:r>
      <w:r w:rsidRPr="00473A0A">
        <w:t>32</w:t>
      </w:r>
      <w:r>
        <w:t>)</w:t>
      </w:r>
      <w:r w:rsidRPr="00473A0A">
        <w:t>.</w:t>
      </w:r>
    </w:p>
  </w:footnote>
  <w:footnote w:id="487">
    <w:p w14:paraId="1DDD7BCA" w14:textId="70741EE4" w:rsidR="000E1004" w:rsidRDefault="000E1004" w:rsidP="007C785D">
      <w:pPr>
        <w:pStyle w:val="FootnoteText"/>
      </w:pPr>
      <w:r w:rsidRPr="00534AEB">
        <w:rPr>
          <w:rStyle w:val="FootnoteReference"/>
        </w:rPr>
        <w:footnoteRef/>
      </w:r>
      <w:r w:rsidRPr="00534AEB">
        <w:t xml:space="preserve"> Wood (2008</w:t>
      </w:r>
      <w:r>
        <w:t>,</w:t>
      </w:r>
      <w:r w:rsidRPr="00534AEB">
        <w:t xml:space="preserve"> 23</w:t>
      </w:r>
      <w:r>
        <w:t>).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w:t>
      </w:r>
      <w:r w:rsidRPr="00534AEB">
        <w:t xml:space="preserve"> 58</w:t>
      </w:r>
      <w:r>
        <w:t>)</w:t>
      </w:r>
      <w:r w:rsidRPr="00534AEB">
        <w:t>.</w:t>
      </w:r>
    </w:p>
  </w:footnote>
  <w:footnote w:id="488">
    <w:p w14:paraId="54E2B293" w14:textId="08BE9495" w:rsidR="000E1004" w:rsidRDefault="000E1004" w:rsidP="007C785D">
      <w:pPr>
        <w:pStyle w:val="FootnoteText"/>
      </w:pPr>
      <w:r>
        <w:rPr>
          <w:rStyle w:val="FootnoteReference"/>
        </w:rPr>
        <w:footnoteRef/>
      </w:r>
      <w:r>
        <w:t xml:space="preserve"> </w:t>
      </w:r>
      <w:r w:rsidRPr="004552A9">
        <w:t xml:space="preserve">Prou </w:t>
      </w:r>
      <w:r>
        <w:t xml:space="preserve">(1892, </w:t>
      </w:r>
      <w:r w:rsidRPr="004552A9">
        <w:t>40-57</w:t>
      </w:r>
      <w:r>
        <w:t>)</w:t>
      </w:r>
      <w:r w:rsidRPr="004552A9">
        <w:t>.</w:t>
      </w:r>
    </w:p>
  </w:footnote>
  <w:footnote w:id="489">
    <w:p w14:paraId="6EFFBD67" w14:textId="355B8CD7" w:rsidR="000E1004" w:rsidRPr="003F0331" w:rsidRDefault="000E1004">
      <w:pPr>
        <w:pStyle w:val="FootnoteText"/>
      </w:pPr>
      <w:r>
        <w:rPr>
          <w:rStyle w:val="FootnoteReference"/>
        </w:rPr>
        <w:footnoteRef/>
      </w:r>
      <w:r>
        <w:t xml:space="preserve"> Metcalf (1993-4, 29-84). Williams &amp; Hook (2013, 55-70).</w:t>
      </w:r>
    </w:p>
  </w:footnote>
  <w:footnote w:id="490">
    <w:p w14:paraId="531D64B1" w14:textId="3BC82467" w:rsidR="000E1004" w:rsidRDefault="000E1004">
      <w:pPr>
        <w:pStyle w:val="FootnoteText"/>
      </w:pPr>
      <w:r>
        <w:rPr>
          <w:rStyle w:val="FootnoteReference"/>
        </w:rPr>
        <w:footnoteRef/>
      </w:r>
      <w:r>
        <w:t xml:space="preserve"> Van Arsdell (1989, 48-50).</w:t>
      </w:r>
    </w:p>
  </w:footnote>
  <w:footnote w:id="491">
    <w:p w14:paraId="13B32FE5" w14:textId="444EAF56" w:rsidR="000E1004" w:rsidRPr="00665DCD" w:rsidRDefault="000E1004" w:rsidP="00A33875">
      <w:pPr>
        <w:pStyle w:val="FootnoteText"/>
      </w:pPr>
      <w:r w:rsidRPr="00665DCD">
        <w:rPr>
          <w:rStyle w:val="FootnoteReference"/>
        </w:rPr>
        <w:footnoteRef/>
      </w:r>
      <w:r>
        <w:t xml:space="preserve"> Higham (1993,</w:t>
      </w:r>
      <w:r w:rsidRPr="00665DCD">
        <w:t xml:space="preserve"> 140-1</w:t>
      </w:r>
      <w:r>
        <w:t>)</w:t>
      </w:r>
      <w:r w:rsidRPr="00665DCD">
        <w:t>.</w:t>
      </w:r>
      <w:r>
        <w:t xml:space="preserve"> Hawkes &amp; Mills (eds. 1999).</w:t>
      </w:r>
    </w:p>
  </w:footnote>
  <w:footnote w:id="492">
    <w:p w14:paraId="5C412B26" w14:textId="1683FAF0" w:rsidR="000E1004" w:rsidRPr="00921404" w:rsidRDefault="000E1004" w:rsidP="00A33875">
      <w:pPr>
        <w:pStyle w:val="FootnoteText"/>
      </w:pPr>
      <w:r w:rsidRPr="00665DCD">
        <w:rPr>
          <w:rStyle w:val="FootnoteReference"/>
        </w:rPr>
        <w:footnoteRef/>
      </w:r>
      <w:r w:rsidRPr="00665DCD">
        <w:t xml:space="preserve"> Higham (1993</w:t>
      </w:r>
      <w:r>
        <w:t>,</w:t>
      </w:r>
      <w:r w:rsidRPr="00665DCD">
        <w:t xml:space="preserve"> 120-55</w:t>
      </w:r>
      <w:r>
        <w:t>)</w:t>
      </w:r>
      <w:r w:rsidRPr="00665DCD">
        <w:t>.</w:t>
      </w:r>
      <w:r>
        <w:t xml:space="preserve"> Hawkes (1997, 311-44). Hines (1997, 391). There were two main influences on style – </w:t>
      </w:r>
      <w:r>
        <w:rPr>
          <w:i/>
        </w:rPr>
        <w:t>Romanitas</w:t>
      </w:r>
      <w:r>
        <w:t xml:space="preserve"> and Hiberno-Saxon.</w:t>
      </w:r>
    </w:p>
  </w:footnote>
  <w:footnote w:id="493">
    <w:p w14:paraId="4B212B2B" w14:textId="67E8EEFA" w:rsidR="000E1004" w:rsidRPr="00665DCD" w:rsidRDefault="000E1004" w:rsidP="00A33875">
      <w:pPr>
        <w:pStyle w:val="FootnoteText"/>
      </w:pPr>
      <w:r w:rsidRPr="00665DCD">
        <w:rPr>
          <w:rStyle w:val="FootnoteReference"/>
        </w:rPr>
        <w:footnoteRef/>
      </w:r>
      <w:r>
        <w:t xml:space="preserve"> P</w:t>
      </w:r>
      <w:r w:rsidRPr="00665DCD">
        <w:t>ossibly facilitated by the move from p</w:t>
      </w:r>
      <w:r>
        <w:t>archment to vellum in the sixth century</w:t>
      </w:r>
      <w:r w:rsidRPr="00665DCD">
        <w:t>.</w:t>
      </w:r>
    </w:p>
  </w:footnote>
  <w:footnote w:id="494">
    <w:p w14:paraId="22B54B8A" w14:textId="38578472" w:rsidR="000E1004" w:rsidRDefault="000E1004">
      <w:pPr>
        <w:pStyle w:val="FootnoteText"/>
      </w:pPr>
      <w:r>
        <w:rPr>
          <w:rStyle w:val="FootnoteReference"/>
        </w:rPr>
        <w:footnoteRef/>
      </w:r>
      <w:r>
        <w:t xml:space="preserve"> Orton, Wood and Lees (2007).</w:t>
      </w:r>
    </w:p>
  </w:footnote>
  <w:footnote w:id="495">
    <w:p w14:paraId="2D411FDA" w14:textId="1117CCAB" w:rsidR="000E1004" w:rsidRDefault="000E1004">
      <w:pPr>
        <w:pStyle w:val="FootnoteText"/>
      </w:pPr>
      <w:r>
        <w:rPr>
          <w:rStyle w:val="FootnoteReference"/>
        </w:rPr>
        <w:footnoteRef/>
      </w:r>
      <w:r>
        <w:t xml:space="preserve"> Hall, Paterson and Mortimer (1999, 268-80).</w:t>
      </w:r>
    </w:p>
  </w:footnote>
  <w:footnote w:id="496">
    <w:p w14:paraId="5281ECB5" w14:textId="68FD1F54" w:rsidR="000E1004" w:rsidRPr="00665DCD" w:rsidRDefault="000E1004" w:rsidP="00A33875">
      <w:pPr>
        <w:pStyle w:val="FootnoteText"/>
      </w:pPr>
      <w:r w:rsidRPr="00665DCD">
        <w:rPr>
          <w:rStyle w:val="FootnoteReference"/>
        </w:rPr>
        <w:footnoteRef/>
      </w:r>
      <w:r w:rsidRPr="00665DCD">
        <w:t xml:space="preserve"> More correctly, the </w:t>
      </w:r>
      <w:r>
        <w:t>‘</w:t>
      </w:r>
      <w:r w:rsidRPr="00665DCD">
        <w:t>Auzon cabinet</w:t>
      </w:r>
      <w:r>
        <w:t>’</w:t>
      </w:r>
      <w:r w:rsidRPr="00665DCD">
        <w:t xml:space="preserve"> but named after the donor (to the BM in 1867), Sir Augustus Wollaston Franks.</w:t>
      </w:r>
      <w:r>
        <w:t xml:space="preserve"> The iconography</w:t>
      </w:r>
      <w:r>
        <w:fldChar w:fldCharType="begin"/>
      </w:r>
      <w:r>
        <w:instrText xml:space="preserve"> XE "</w:instrText>
      </w:r>
      <w:r w:rsidRPr="007D3069">
        <w:instrText>iconography</w:instrText>
      </w:r>
      <w:r>
        <w:instrText xml:space="preserve">" </w:instrText>
      </w:r>
      <w:r>
        <w:fldChar w:fldCharType="end"/>
      </w:r>
      <w:r>
        <w:t xml:space="preserve"> bears stylistic similarities, in its syncretic, transitional</w:t>
      </w:r>
      <w:r w:rsidRPr="006E32E5">
        <w:t xml:space="preserve"> </w:t>
      </w:r>
      <w:r>
        <w:t>character, to the sceatta</w:t>
      </w:r>
      <w:r>
        <w:fldChar w:fldCharType="begin"/>
      </w:r>
      <w:r>
        <w:instrText xml:space="preserve"> XE "</w:instrText>
      </w:r>
      <w:r w:rsidRPr="007645AE">
        <w:instrText>sceatta</w:instrText>
      </w:r>
      <w:r>
        <w:instrText xml:space="preserve">" </w:instrText>
      </w:r>
      <w:r>
        <w:fldChar w:fldCharType="end"/>
      </w:r>
      <w:r>
        <w:t xml:space="preserve"> coinage. The use of runes may convey more than just alphabetical characters. Webster (1999, 227-46). Lang (1999, 247-55). Vegvar (1999, 256-67).</w:t>
      </w:r>
    </w:p>
  </w:footnote>
  <w:footnote w:id="497">
    <w:p w14:paraId="4FCF286E" w14:textId="1E322E89" w:rsidR="000E1004" w:rsidRDefault="000E1004">
      <w:pPr>
        <w:pStyle w:val="FootnoteText"/>
      </w:pPr>
      <w:r>
        <w:rPr>
          <w:rStyle w:val="FootnoteReference"/>
        </w:rPr>
        <w:footnoteRef/>
      </w:r>
      <w:r>
        <w:t xml:space="preserve"> Cramp (1999, 11).</w:t>
      </w:r>
    </w:p>
  </w:footnote>
  <w:footnote w:id="498">
    <w:p w14:paraId="5D62BEA8" w14:textId="77777777" w:rsidR="000E1004" w:rsidRPr="00665DCD" w:rsidRDefault="000E1004" w:rsidP="00A33875">
      <w:pPr>
        <w:pStyle w:val="FootnoteText"/>
      </w:pPr>
      <w:r w:rsidRPr="00665DCD">
        <w:rPr>
          <w:rStyle w:val="FootnoteReference"/>
        </w:rPr>
        <w:footnoteRef/>
      </w:r>
      <w:r>
        <w:t xml:space="preserve"> Webster &amp; Backhouse (1991,</w:t>
      </w:r>
      <w:r w:rsidRPr="00665DCD">
        <w:t xml:space="preserve"> chapter 4</w:t>
      </w:r>
      <w:r>
        <w:t>)</w:t>
      </w:r>
      <w:r w:rsidRPr="00665DCD">
        <w:t>.</w:t>
      </w:r>
    </w:p>
  </w:footnote>
  <w:footnote w:id="499">
    <w:p w14:paraId="30392A3E" w14:textId="77777777" w:rsidR="000E1004" w:rsidRPr="00665DCD" w:rsidRDefault="000E1004" w:rsidP="00A33875">
      <w:pPr>
        <w:pStyle w:val="FootnoteText"/>
      </w:pPr>
      <w:r w:rsidRPr="00665DCD">
        <w:rPr>
          <w:rStyle w:val="FootnoteReference"/>
        </w:rPr>
        <w:footnoteRef/>
      </w:r>
      <w:r w:rsidRPr="00665DCD">
        <w:t xml:space="preserve"> </w:t>
      </w:r>
      <w:r>
        <w:t>Marsden (1992,</w:t>
      </w:r>
      <w:r w:rsidRPr="00665DCD">
        <w:t xml:space="preserve"> 187-217</w:t>
      </w:r>
      <w:r>
        <w:t>)</w:t>
      </w:r>
      <w:r w:rsidRPr="00665DCD">
        <w:t>.</w:t>
      </w:r>
    </w:p>
  </w:footnote>
  <w:footnote w:id="500">
    <w:p w14:paraId="1C1665FE" w14:textId="7D041C08" w:rsidR="000E1004" w:rsidRDefault="000E1004" w:rsidP="00A33875">
      <w:pPr>
        <w:pStyle w:val="FootnoteText"/>
      </w:pPr>
      <w:r>
        <w:rPr>
          <w:rStyle w:val="FootnoteReference"/>
        </w:rPr>
        <w:footnoteRef/>
      </w:r>
      <w:r>
        <w:t xml:space="preserve"> </w:t>
      </w:r>
      <w:hyperlink r:id="rId11" w:history="1">
        <w:r w:rsidRPr="0038288A">
          <w:rPr>
            <w:rStyle w:val="Hyperlink"/>
          </w:rPr>
          <w:t>http://daily.stcuthberts.com/wp-content/uploads/2012/03/st-cuthberts-pectoral-cross.jpg</w:t>
        </w:r>
      </w:hyperlink>
    </w:p>
  </w:footnote>
  <w:footnote w:id="501">
    <w:p w14:paraId="2253701B" w14:textId="77777777" w:rsidR="000E1004" w:rsidRPr="00665DCD" w:rsidRDefault="000E1004" w:rsidP="00A33875">
      <w:pPr>
        <w:pStyle w:val="FootnoteText"/>
      </w:pPr>
      <w:r w:rsidRPr="00665DCD">
        <w:rPr>
          <w:rStyle w:val="FootnoteReference"/>
        </w:rPr>
        <w:footnoteRef/>
      </w:r>
      <w:r>
        <w:t xml:space="preserve"> Yorke (1990, 92 &amp;</w:t>
      </w:r>
      <w:r w:rsidRPr="00665DCD">
        <w:t xml:space="preserve"> 171</w:t>
      </w:r>
      <w:r>
        <w:t>).</w:t>
      </w:r>
    </w:p>
  </w:footnote>
  <w:footnote w:id="502">
    <w:p w14:paraId="76008370" w14:textId="77777777" w:rsidR="000E1004" w:rsidRPr="00665DCD" w:rsidRDefault="000E1004" w:rsidP="00A33875">
      <w:pPr>
        <w:pStyle w:val="FootnoteText"/>
      </w:pPr>
      <w:r w:rsidRPr="00665DCD">
        <w:rPr>
          <w:rStyle w:val="FootnoteReference"/>
        </w:rPr>
        <w:footnoteRef/>
      </w:r>
      <w:r w:rsidRPr="00665DCD">
        <w:t xml:space="preserve"> Marsden (1992</w:t>
      </w:r>
      <w:r>
        <w:t>,</w:t>
      </w:r>
      <w:r w:rsidRPr="00665DCD">
        <w:t xml:space="preserve"> 217-22</w:t>
      </w:r>
      <w:r>
        <w:t>)</w:t>
      </w:r>
      <w:r w:rsidRPr="00665DCD">
        <w:t>.</w:t>
      </w:r>
    </w:p>
  </w:footnote>
  <w:footnote w:id="503">
    <w:p w14:paraId="0CBF5268" w14:textId="77777777" w:rsidR="000E1004" w:rsidRPr="00665DCD" w:rsidRDefault="000E1004" w:rsidP="00A33875">
      <w:pPr>
        <w:pStyle w:val="FootnoteText"/>
      </w:pPr>
      <w:r w:rsidRPr="00665DCD">
        <w:rPr>
          <w:rStyle w:val="FootnoteReference"/>
        </w:rPr>
        <w:footnoteRef/>
      </w:r>
      <w:r>
        <w:t xml:space="preserve"> Marsden (1992,</w:t>
      </w:r>
      <w:r w:rsidRPr="00665DCD">
        <w:t xml:space="preserve"> 223-8</w:t>
      </w:r>
      <w:r>
        <w:t>)</w:t>
      </w:r>
      <w:r w:rsidRPr="00665DCD">
        <w:t>.</w:t>
      </w:r>
    </w:p>
  </w:footnote>
  <w:footnote w:id="504">
    <w:p w14:paraId="22C916DB" w14:textId="77777777" w:rsidR="000E1004" w:rsidRPr="00665DCD" w:rsidRDefault="000E1004" w:rsidP="00A33875">
      <w:pPr>
        <w:pStyle w:val="FootnoteText"/>
      </w:pPr>
      <w:r w:rsidRPr="00665DCD">
        <w:rPr>
          <w:rStyle w:val="FootnoteReference"/>
        </w:rPr>
        <w:footnoteRef/>
      </w:r>
      <w:r>
        <w:t xml:space="preserve"> Higham (1993, </w:t>
      </w:r>
      <w:r w:rsidRPr="00665DCD">
        <w:t>153</w:t>
      </w:r>
      <w:r>
        <w:t>)</w:t>
      </w:r>
      <w:r w:rsidRPr="00665DCD">
        <w:t>.</w:t>
      </w:r>
    </w:p>
  </w:footnote>
  <w:footnote w:id="505">
    <w:p w14:paraId="177E9672" w14:textId="77777777" w:rsidR="000E1004" w:rsidRPr="00665DCD" w:rsidRDefault="000E1004" w:rsidP="00A33875">
      <w:pPr>
        <w:pStyle w:val="FootnoteText"/>
      </w:pPr>
      <w:r w:rsidRPr="00665DCD">
        <w:rPr>
          <w:rStyle w:val="FootnoteReference"/>
        </w:rPr>
        <w:footnoteRef/>
      </w:r>
      <w:r>
        <w:t xml:space="preserve"> Marsden (1992,</w:t>
      </w:r>
      <w:r w:rsidRPr="00665DCD">
        <w:t xml:space="preserve"> 229-32</w:t>
      </w:r>
      <w:r>
        <w:t>)</w:t>
      </w:r>
      <w:r w:rsidRPr="00665DCD">
        <w:t>.</w:t>
      </w:r>
    </w:p>
  </w:footnote>
  <w:footnote w:id="506">
    <w:p w14:paraId="074EBEE7" w14:textId="77777777" w:rsidR="000E1004" w:rsidRPr="00665DCD" w:rsidRDefault="000E1004" w:rsidP="00993B0F">
      <w:pPr>
        <w:pStyle w:val="NoSpacing"/>
        <w:rPr>
          <w:sz w:val="20"/>
          <w:szCs w:val="20"/>
        </w:rPr>
      </w:pPr>
      <w:r w:rsidRPr="00665DCD">
        <w:rPr>
          <w:rStyle w:val="FootnoteReference"/>
          <w:sz w:val="20"/>
          <w:szCs w:val="20"/>
        </w:rPr>
        <w:footnoteRef/>
      </w:r>
      <w:r w:rsidRPr="00665DCD">
        <w:rPr>
          <w:sz w:val="20"/>
          <w:szCs w:val="20"/>
        </w:rPr>
        <w:t xml:space="preserve"> Regnal dates are quoted hereafter.</w:t>
      </w:r>
    </w:p>
  </w:footnote>
  <w:footnote w:id="507">
    <w:p w14:paraId="72FE6A46" w14:textId="77777777" w:rsidR="000E1004" w:rsidRPr="00665DCD" w:rsidRDefault="000E1004" w:rsidP="00993B0F">
      <w:pPr>
        <w:pStyle w:val="NoSpacing"/>
        <w:rPr>
          <w:sz w:val="20"/>
          <w:szCs w:val="20"/>
        </w:rPr>
      </w:pPr>
      <w:r w:rsidRPr="00665DCD">
        <w:rPr>
          <w:rStyle w:val="FootnoteReference"/>
          <w:sz w:val="20"/>
          <w:szCs w:val="20"/>
        </w:rPr>
        <w:footnoteRef/>
      </w:r>
      <w:r>
        <w:rPr>
          <w:sz w:val="20"/>
          <w:szCs w:val="20"/>
        </w:rPr>
        <w:t xml:space="preserve"> Higham (1993,</w:t>
      </w:r>
      <w:r w:rsidRPr="00665DCD">
        <w:rPr>
          <w:sz w:val="20"/>
          <w:szCs w:val="20"/>
        </w:rPr>
        <w:t xml:space="preserve"> 141</w:t>
      </w:r>
      <w:r>
        <w:rPr>
          <w:sz w:val="20"/>
          <w:szCs w:val="20"/>
        </w:rPr>
        <w:t>)</w:t>
      </w:r>
      <w:r w:rsidRPr="00665DCD">
        <w:rPr>
          <w:sz w:val="20"/>
          <w:szCs w:val="20"/>
        </w:rPr>
        <w:t>.</w:t>
      </w:r>
    </w:p>
  </w:footnote>
  <w:footnote w:id="508">
    <w:p w14:paraId="253FEEC6" w14:textId="77777777" w:rsidR="000E1004" w:rsidRPr="00665DCD" w:rsidRDefault="000E1004" w:rsidP="00993B0F">
      <w:pPr>
        <w:pStyle w:val="FootnoteText"/>
      </w:pPr>
      <w:r w:rsidRPr="00665DCD">
        <w:rPr>
          <w:rStyle w:val="FootnoteReference"/>
        </w:rPr>
        <w:footnoteRef/>
      </w:r>
      <w:r>
        <w:t xml:space="preserve"> Marsden (1992,</w:t>
      </w:r>
      <w:r w:rsidRPr="00665DCD">
        <w:t xml:space="preserve"> 231-2</w:t>
      </w:r>
      <w:r>
        <w:t>)</w:t>
      </w:r>
      <w:r w:rsidRPr="00665DCD">
        <w:t>.</w:t>
      </w:r>
    </w:p>
  </w:footnote>
  <w:footnote w:id="509">
    <w:p w14:paraId="20B7F8C6" w14:textId="77777777" w:rsidR="000E1004" w:rsidRPr="00665DCD" w:rsidRDefault="000E1004" w:rsidP="00993B0F">
      <w:pPr>
        <w:pStyle w:val="FootnoteText"/>
      </w:pPr>
      <w:r w:rsidRPr="00665DCD">
        <w:rPr>
          <w:rStyle w:val="FootnoteReference"/>
        </w:rPr>
        <w:footnoteRef/>
      </w:r>
      <w:r w:rsidRPr="00665DCD">
        <w:t xml:space="preserve"> A letter sent by Pope Paul I to Eadberht</w:t>
      </w:r>
      <w:r>
        <w:fldChar w:fldCharType="begin"/>
      </w:r>
      <w:r>
        <w:instrText xml:space="preserve"> XE "</w:instrText>
      </w:r>
      <w:r w:rsidRPr="007645AE">
        <w:instrText>Eadberht</w:instrText>
      </w:r>
      <w:r>
        <w:instrText xml:space="preserve">" </w:instrText>
      </w:r>
      <w:r>
        <w:fldChar w:fldCharType="end"/>
      </w:r>
      <w:r w:rsidRPr="00665DCD">
        <w:t xml:space="preserve"> and Ecgberht</w:t>
      </w:r>
      <w:r>
        <w:fldChar w:fldCharType="begin"/>
      </w:r>
      <w:r>
        <w:instrText xml:space="preserve"> XE "</w:instrText>
      </w:r>
      <w:r w:rsidRPr="007645AE">
        <w:instrText>Ecgberht</w:instrText>
      </w:r>
      <w:r>
        <w:instrText xml:space="preserve">" </w:instrText>
      </w:r>
      <w:r>
        <w:fldChar w:fldCharType="end"/>
      </w:r>
      <w:r w:rsidRPr="00665DCD">
        <w:t xml:space="preserve"> ordered the return of monasteries, at Stonegrave, Coxwold, and </w:t>
      </w:r>
      <w:r>
        <w:t>‘</w:t>
      </w:r>
      <w:r w:rsidRPr="00665DCD">
        <w:t>Donaemuthe</w:t>
      </w:r>
      <w:r>
        <w:t>’</w:t>
      </w:r>
      <w:r w:rsidRPr="00665DCD">
        <w:t xml:space="preserve"> taken from Abbot Fothred, to his brother named as “Moll”, who may be the sam</w:t>
      </w:r>
      <w:r>
        <w:t>e person. Marsden (1992, 232), Blair</w:t>
      </w:r>
      <w:r>
        <w:fldChar w:fldCharType="begin"/>
      </w:r>
      <w:r>
        <w:instrText xml:space="preserve"> XE "</w:instrText>
      </w:r>
      <w:r w:rsidRPr="007645AE">
        <w:instrText>Blair</w:instrText>
      </w:r>
      <w:r>
        <w:instrText xml:space="preserve">" </w:instrText>
      </w:r>
      <w:r>
        <w:fldChar w:fldCharType="end"/>
      </w:r>
      <w:r>
        <w:t xml:space="preserve"> (2005, 131), Wood (2008b, 17-8), Rollason (2003, 181-2), draws a parallel between the use of the term </w:t>
      </w:r>
      <w:r w:rsidRPr="00B74128">
        <w:rPr>
          <w:i/>
        </w:rPr>
        <w:t>Patricus</w:t>
      </w:r>
      <w:r>
        <w:t xml:space="preserve"> by Charles Martel in connection with the ‘mayors of the palace’ and the patrician monarchs of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t>, such as Moll.</w:t>
      </w:r>
    </w:p>
  </w:footnote>
  <w:footnote w:id="510">
    <w:p w14:paraId="4CCF8B69" w14:textId="21B466C1" w:rsidR="000E1004" w:rsidRPr="00665DCD" w:rsidRDefault="000E1004" w:rsidP="00993B0F">
      <w:pPr>
        <w:pStyle w:val="FootnoteText"/>
      </w:pPr>
      <w:r w:rsidRPr="00665DCD">
        <w:rPr>
          <w:rStyle w:val="FootnoteReference"/>
        </w:rPr>
        <w:footnoteRef/>
      </w:r>
      <w:r w:rsidRPr="00665DCD">
        <w:t xml:space="preserve"> </w:t>
      </w:r>
      <w:hyperlink r:id="rId12" w:history="1">
        <w:r w:rsidRPr="00665DCD">
          <w:rPr>
            <w:rStyle w:val="Hyperlink"/>
          </w:rPr>
          <w:t>http://en.wikipedia.org/wiki/%C3%86thelwold_Moll_of_Northumbria</w:t>
        </w:r>
        <w:r>
          <w:rPr>
            <w:rStyle w:val="Hyperlink"/>
          </w:rP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rPr>
            <w:rStyle w:val="Hyperlink"/>
          </w:rPr>
          <w:fldChar w:fldCharType="end"/>
        </w:r>
      </w:hyperlink>
    </w:p>
  </w:footnote>
  <w:footnote w:id="511">
    <w:p w14:paraId="51241FEC" w14:textId="17C8738F" w:rsidR="000E1004" w:rsidRPr="00665DCD" w:rsidRDefault="000E1004" w:rsidP="00993B0F">
      <w:pPr>
        <w:pStyle w:val="FootnoteText"/>
      </w:pPr>
      <w:r w:rsidRPr="00665DCD">
        <w:rPr>
          <w:rStyle w:val="FootnoteReference"/>
        </w:rPr>
        <w:footnoteRef/>
      </w:r>
      <w:r>
        <w:t xml:space="preserve"> Higham (1993,</w:t>
      </w:r>
      <w:r w:rsidRPr="00665DCD">
        <w:t xml:space="preserve"> 149</w:t>
      </w:r>
      <w:r>
        <w:t>). Yorke (1990,</w:t>
      </w:r>
      <w:r w:rsidRPr="00665DCD">
        <w:t xml:space="preserve"> 94-5</w:t>
      </w:r>
      <w:r>
        <w:t>)</w:t>
      </w:r>
      <w:r w:rsidRPr="00665DCD">
        <w:t>.</w:t>
      </w:r>
    </w:p>
  </w:footnote>
  <w:footnote w:id="512">
    <w:p w14:paraId="71E98656" w14:textId="0577FEC3" w:rsidR="000E1004" w:rsidRPr="0078285B" w:rsidRDefault="000E1004" w:rsidP="00993B0F">
      <w:pPr>
        <w:pStyle w:val="FootnoteText"/>
      </w:pPr>
      <w:r w:rsidRPr="0078285B">
        <w:rPr>
          <w:rStyle w:val="FootnoteReference"/>
        </w:rPr>
        <w:footnoteRef/>
      </w:r>
      <w:r w:rsidRPr="0078285B">
        <w:t xml:space="preserve"> Holas-Clarke</w:t>
      </w:r>
      <w:r>
        <w:t xml:space="preserve"> (2006,</w:t>
      </w:r>
      <w:r w:rsidRPr="0078285B">
        <w:t xml:space="preserve"> 228</w:t>
      </w:r>
      <w:r>
        <w:t>).</w:t>
      </w:r>
      <w:r w:rsidRPr="0078285B">
        <w:t xml:space="preserve"> Rollason on Oswulf in </w:t>
      </w:r>
      <w:r w:rsidRPr="00B17013">
        <w:rPr>
          <w:i/>
        </w:rPr>
        <w:t>DNB</w:t>
      </w:r>
      <w:r w:rsidRPr="0078285B">
        <w:t>.</w:t>
      </w:r>
      <w:r>
        <w:t xml:space="preserve"> Gift to Bishop Lul (2003, </w:t>
      </w:r>
      <w:r w:rsidRPr="0078285B">
        <w:t>16-17</w:t>
      </w:r>
      <w:r>
        <w:t>).</w:t>
      </w:r>
    </w:p>
  </w:footnote>
  <w:footnote w:id="513">
    <w:p w14:paraId="26D376C6" w14:textId="689FF693" w:rsidR="000E1004" w:rsidRPr="00665DCD" w:rsidRDefault="000E1004" w:rsidP="00993B0F">
      <w:pPr>
        <w:pStyle w:val="FootnoteText"/>
      </w:pPr>
      <w:r w:rsidRPr="00665DCD">
        <w:rPr>
          <w:rStyle w:val="FootnoteReference"/>
        </w:rPr>
        <w:footnoteRef/>
      </w:r>
      <w:r w:rsidRPr="00665DCD">
        <w:t xml:space="preserve"> </w:t>
      </w:r>
      <w:r>
        <w:t>He</w:t>
      </w:r>
      <w:r w:rsidRPr="00665DCD">
        <w:t xml:space="preserve"> was also named on the reverse of the rare scea</w:t>
      </w:r>
      <w:r>
        <w:t>t of his father, Æthelwold Moll</w:t>
      </w:r>
      <w:r>
        <w:fldChar w:fldCharType="begin"/>
      </w:r>
      <w:r>
        <w:instrText xml:space="preserve"> XE "</w:instrText>
      </w:r>
      <w:r w:rsidRPr="007D3069">
        <w:rPr>
          <w:rFonts w:cs="Times New Roman"/>
          <w:szCs w:val="24"/>
        </w:rPr>
        <w:instrText>Æthelwold Moll</w:instrText>
      </w:r>
      <w:r>
        <w:instrText xml:space="preserve">" </w:instrText>
      </w:r>
      <w:r>
        <w:fldChar w:fldCharType="end"/>
      </w:r>
      <w:r>
        <w:t xml:space="preserve">, (see </w:t>
      </w:r>
      <w:r>
        <w:fldChar w:fldCharType="begin"/>
      </w:r>
      <w:r>
        <w:instrText xml:space="preserve"> PAGEREF PeriodN7 \h </w:instrText>
      </w:r>
      <w:r>
        <w:fldChar w:fldCharType="separate"/>
      </w:r>
      <w:r w:rsidR="0012026B">
        <w:rPr>
          <w:noProof/>
        </w:rPr>
        <w:t>126</w:t>
      </w:r>
      <w:r>
        <w:fldChar w:fldCharType="end"/>
      </w:r>
      <w:r>
        <w:t>).</w:t>
      </w:r>
    </w:p>
  </w:footnote>
  <w:footnote w:id="514">
    <w:p w14:paraId="47BB64CF" w14:textId="5BC355B8" w:rsidR="000E1004" w:rsidRPr="00665DCD" w:rsidRDefault="000E1004" w:rsidP="00993B0F">
      <w:pPr>
        <w:pStyle w:val="FootnoteText"/>
      </w:pPr>
      <w:r w:rsidRPr="00665DCD">
        <w:rPr>
          <w:rStyle w:val="FootnoteReference"/>
        </w:rPr>
        <w:footnoteRef/>
      </w:r>
      <w:r w:rsidRPr="00665DCD">
        <w:t xml:space="preserve"> </w:t>
      </w:r>
      <w:hyperlink r:id="rId13" w:history="1">
        <w:r w:rsidRPr="00665DCD">
          <w:rPr>
            <w:rStyle w:val="Hyperlink"/>
          </w:rPr>
          <w:t>http://en.wikipedia.org/wiki/%C3%86lfwald_I_of_Northumbria</w:t>
        </w:r>
        <w:r>
          <w:rPr>
            <w:rStyle w:val="Hyperlink"/>
          </w:rP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rPr>
            <w:rStyle w:val="Hyperlink"/>
          </w:rPr>
          <w:fldChar w:fldCharType="end"/>
        </w:r>
      </w:hyperlink>
    </w:p>
  </w:footnote>
  <w:footnote w:id="515">
    <w:p w14:paraId="7B174338" w14:textId="77777777" w:rsidR="000E1004" w:rsidRPr="00665DCD" w:rsidRDefault="000E1004" w:rsidP="00993B0F">
      <w:pPr>
        <w:pStyle w:val="FootnoteText"/>
      </w:pPr>
      <w:r w:rsidRPr="00665DCD">
        <w:rPr>
          <w:rStyle w:val="FootnoteReference"/>
        </w:rPr>
        <w:footnoteRef/>
      </w:r>
      <w:r w:rsidRPr="00665DCD">
        <w:t xml:space="preserve"> Higham (1993</w:t>
      </w:r>
      <w:r>
        <w:t>,</w:t>
      </w:r>
      <w:r w:rsidRPr="00665DCD">
        <w:t xml:space="preserve"> 149</w:t>
      </w:r>
      <w:r>
        <w:t xml:space="preserve"> &amp;</w:t>
      </w:r>
      <w:r w:rsidRPr="00665DCD">
        <w:t xml:space="preserve"> 153</w:t>
      </w:r>
      <w:r>
        <w:t>)</w:t>
      </w:r>
      <w:r w:rsidRPr="00665DCD">
        <w:t>.</w:t>
      </w:r>
    </w:p>
  </w:footnote>
  <w:footnote w:id="516">
    <w:p w14:paraId="467ABC5F" w14:textId="77777777" w:rsidR="000E1004" w:rsidRPr="00665DCD" w:rsidRDefault="000E1004" w:rsidP="00993B0F">
      <w:pPr>
        <w:pStyle w:val="FootnoteText"/>
      </w:pPr>
      <w:r w:rsidRPr="00665DCD">
        <w:rPr>
          <w:rStyle w:val="FootnoteReference"/>
        </w:rPr>
        <w:footnoteRef/>
      </w:r>
      <w:r w:rsidRPr="00665DCD">
        <w:t xml:space="preserve"> He was tonsured to prevent him trying to regain the throne. The tonsure represented an irreversible spiritual change from laity to clerisy, which in a deeply Christian culture few would have dared to offend God by rejecting, even if it had been imposed by force. But by returning, presumably in an attempt to reclaim the throne, Osred did think he could renounce being a monk. (</w:t>
      </w:r>
      <w:r w:rsidRPr="00FB02A9">
        <w:rPr>
          <w:i/>
        </w:rPr>
        <w:t>Pers. comm</w:t>
      </w:r>
      <w:r w:rsidRPr="00665DCD">
        <w:t>. James Booth).</w:t>
      </w:r>
    </w:p>
  </w:footnote>
  <w:footnote w:id="517">
    <w:p w14:paraId="6D995A42" w14:textId="77777777" w:rsidR="000E1004" w:rsidRPr="00665DCD" w:rsidRDefault="000E1004" w:rsidP="00993B0F">
      <w:pPr>
        <w:pStyle w:val="FootnoteText"/>
      </w:pPr>
      <w:r w:rsidRPr="00665DCD">
        <w:rPr>
          <w:rStyle w:val="FootnoteReference"/>
        </w:rPr>
        <w:footnoteRef/>
      </w:r>
      <w:r w:rsidRPr="00665DCD">
        <w:t xml:space="preserve"> EHD </w:t>
      </w:r>
      <w:r>
        <w:t>(</w:t>
      </w:r>
      <w:r w:rsidRPr="00665DCD">
        <w:t>3</w:t>
      </w:r>
      <w:r>
        <w:t>,</w:t>
      </w:r>
      <w:r w:rsidRPr="00665DCD">
        <w:t xml:space="preserve"> 346</w:t>
      </w:r>
      <w:r>
        <w:t>).</w:t>
      </w:r>
    </w:p>
  </w:footnote>
  <w:footnote w:id="518">
    <w:p w14:paraId="2F287656" w14:textId="48383778" w:rsidR="000E1004" w:rsidRPr="004C4E26" w:rsidRDefault="000E1004" w:rsidP="00993B0F">
      <w:pPr>
        <w:pStyle w:val="FootnoteText"/>
      </w:pPr>
      <w:r w:rsidRPr="00665DCD">
        <w:rPr>
          <w:rStyle w:val="FootnoteReference"/>
        </w:rPr>
        <w:footnoteRef/>
      </w:r>
      <w:r w:rsidRPr="00665DCD">
        <w:t xml:space="preserve"> Higham (1993</w:t>
      </w:r>
      <w:r>
        <w:t>,</w:t>
      </w:r>
      <w:r w:rsidRPr="00665DCD">
        <w:t xml:space="preserve"> 173</w:t>
      </w:r>
      <w:r>
        <w:t>)</w:t>
      </w:r>
      <w:r w:rsidRPr="00665DCD">
        <w:t>.</w:t>
      </w:r>
      <w:r>
        <w:t xml:space="preserve"> </w:t>
      </w:r>
      <w:r w:rsidRPr="005E3607">
        <w:rPr>
          <w:i/>
        </w:rPr>
        <w:t>ASC</w:t>
      </w:r>
      <w:r>
        <w:t xml:space="preserve"> reported evil portents. Alcuin</w:t>
      </w:r>
      <w:r>
        <w:fldChar w:fldCharType="begin"/>
      </w:r>
      <w:r>
        <w:instrText xml:space="preserve"> XE "</w:instrText>
      </w:r>
      <w:r w:rsidRPr="007D3069">
        <w:rPr>
          <w:rFonts w:cs="Times New Roman"/>
          <w:szCs w:val="24"/>
        </w:rPr>
        <w:instrText>Alcuin</w:instrText>
      </w:r>
      <w:r>
        <w:instrText xml:space="preserve">" </w:instrText>
      </w:r>
      <w:r>
        <w:fldChar w:fldCharType="end"/>
      </w:r>
      <w:r>
        <w:t xml:space="preserve"> in his letter to Æthelred</w:t>
      </w:r>
      <w:r>
        <w:fldChar w:fldCharType="begin"/>
      </w:r>
      <w:r>
        <w:instrText xml:space="preserve"> XE "</w:instrText>
      </w:r>
      <w:r w:rsidRPr="007645AE">
        <w:rPr>
          <w:rFonts w:cs="Times New Roman"/>
        </w:rPr>
        <w:instrText>Æ</w:instrText>
      </w:r>
      <w:r w:rsidRPr="007645AE">
        <w:instrText>thelred</w:instrText>
      </w:r>
      <w:r>
        <w:instrText xml:space="preserve">" </w:instrText>
      </w:r>
      <w:r>
        <w:fldChar w:fldCharType="end"/>
      </w:r>
      <w:r>
        <w:t>, proclaims: ‘The satiety of the rich is the hunger of the poor’. In 796, on the deaths of</w:t>
      </w:r>
      <w:r w:rsidRPr="00676DAE">
        <w:t xml:space="preserve"> </w:t>
      </w:r>
      <w:r>
        <w:t>Æ</w:t>
      </w:r>
      <w:r w:rsidRPr="00676DAE">
        <w:t>thelred</w:t>
      </w:r>
      <w:r>
        <w:t xml:space="preserve"> I</w:t>
      </w:r>
      <w:r w:rsidRPr="00676DAE">
        <w:t>, Offa</w:t>
      </w:r>
      <w:r>
        <w:fldChar w:fldCharType="begin"/>
      </w:r>
      <w:r>
        <w:instrText xml:space="preserve"> XE "</w:instrText>
      </w:r>
      <w:r w:rsidRPr="007D3069">
        <w:rPr>
          <w:rFonts w:cs="Times New Roman"/>
        </w:rPr>
        <w:instrText>Offa</w:instrText>
      </w:r>
      <w:r>
        <w:instrText xml:space="preserve">" </w:instrText>
      </w:r>
      <w:r>
        <w:fldChar w:fldCharType="end"/>
      </w:r>
      <w:r>
        <w:t>, his son, and the archbishop of York</w:t>
      </w:r>
      <w:r>
        <w:fldChar w:fldCharType="begin"/>
      </w:r>
      <w:r>
        <w:instrText xml:space="preserve"> XE "</w:instrText>
      </w:r>
      <w:r w:rsidRPr="00F1328A">
        <w:rPr>
          <w:rStyle w:val="Hyperlink"/>
          <w:noProof/>
        </w:rPr>
        <w:instrText>York</w:instrText>
      </w:r>
      <w:r>
        <w:instrText xml:space="preserve">" </w:instrText>
      </w:r>
      <w:r>
        <w:fldChar w:fldCharType="end"/>
      </w:r>
      <w:r>
        <w:t xml:space="preserve">, </w:t>
      </w:r>
      <w:r w:rsidRPr="00494B7C">
        <w:t xml:space="preserve">Alcuin </w:t>
      </w:r>
      <w:r>
        <w:t xml:space="preserve">came to see this as a divine judgment </w:t>
      </w:r>
      <w:r w:rsidRPr="00494B7C">
        <w:t>Garrison</w:t>
      </w:r>
      <w:r w:rsidRPr="00676DAE">
        <w:t xml:space="preserve"> </w:t>
      </w:r>
      <w:r>
        <w:t xml:space="preserve">(2001, </w:t>
      </w:r>
      <w:r w:rsidRPr="00676DAE">
        <w:t>26</w:t>
      </w:r>
      <w:r>
        <w:t xml:space="preserve">). Alcuin makes the earliest reference Yorkshire as </w:t>
      </w:r>
      <w:r>
        <w:rPr>
          <w:i/>
          <w:iCs/>
        </w:rPr>
        <w:t xml:space="preserve">Euboracia </w:t>
      </w:r>
      <w:r>
        <w:rPr>
          <w:iCs/>
        </w:rPr>
        <w:t xml:space="preserve">(793, Garrison, </w:t>
      </w:r>
      <w:r w:rsidRPr="004C4E26">
        <w:rPr>
          <w:i/>
          <w:iCs/>
        </w:rPr>
        <w:t>pers</w:t>
      </w:r>
      <w:r>
        <w:rPr>
          <w:iCs/>
        </w:rPr>
        <w:t xml:space="preserve">. </w:t>
      </w:r>
      <w:r w:rsidRPr="004C4E26">
        <w:rPr>
          <w:i/>
          <w:iCs/>
        </w:rPr>
        <w:t>comm</w:t>
      </w:r>
      <w:r>
        <w:rPr>
          <w:iCs/>
        </w:rPr>
        <w:t>. 20 October 2015).</w:t>
      </w:r>
    </w:p>
    <w:p w14:paraId="3E508B7F" w14:textId="77777777" w:rsidR="000E1004" w:rsidRPr="00B25BAF" w:rsidRDefault="000E1004" w:rsidP="00993B0F">
      <w:pPr>
        <w:pStyle w:val="FootnoteText"/>
      </w:pPr>
      <w:r w:rsidRPr="00B25BAF">
        <w:rPr>
          <w:i/>
        </w:rPr>
        <w:t>Donemuthan</w:t>
      </w:r>
      <w:r w:rsidRPr="00B25BAF">
        <w:t xml:space="preserve"> was attacked the following year (</w:t>
      </w:r>
      <w:r w:rsidRPr="00B25BAF">
        <w:rPr>
          <w:i/>
        </w:rPr>
        <w:t>ASC</w:t>
      </w:r>
      <w:r>
        <w:t>, 794</w:t>
      </w:r>
      <w:r w:rsidRPr="00B25BAF">
        <w:t xml:space="preserve">) but identification of this </w:t>
      </w:r>
      <w:r>
        <w:t xml:space="preserve">(by </w:t>
      </w:r>
      <w:r w:rsidRPr="00B25BAF">
        <w:rPr>
          <w:rStyle w:val="st"/>
        </w:rPr>
        <w:t>Simeon of Durham)</w:t>
      </w:r>
      <w:r>
        <w:rPr>
          <w:rStyle w:val="st"/>
        </w:rPr>
        <w:t xml:space="preserve"> </w:t>
      </w:r>
      <w:r w:rsidRPr="00B25BAF">
        <w:t>as Jarrow is unlikely as is the Yorkshire River Don which then drained into the Trent. Perhaps Aberdeen is a candidate.</w:t>
      </w:r>
    </w:p>
  </w:footnote>
  <w:footnote w:id="519">
    <w:p w14:paraId="33046134" w14:textId="77777777" w:rsidR="000E1004" w:rsidRPr="0005570D" w:rsidRDefault="000E1004" w:rsidP="00993B0F">
      <w:pPr>
        <w:pStyle w:val="FootnoteText"/>
      </w:pPr>
      <w:r w:rsidRPr="0005570D">
        <w:rPr>
          <w:rStyle w:val="FootnoteReference"/>
        </w:rPr>
        <w:footnoteRef/>
      </w:r>
      <w:r w:rsidRPr="0005570D">
        <w:t xml:space="preserve"> Na</w:t>
      </w:r>
      <w:r>
        <w:t>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287), described</w:t>
      </w:r>
      <w:r w:rsidRPr="0005570D">
        <w:t xml:space="preserve"> 794 as a famine-stricken year, which may imply that these prices were ephemeral.</w:t>
      </w:r>
      <w:r>
        <w:t xml:space="preserve"> The denier</w:t>
      </w:r>
      <w:r>
        <w:fldChar w:fldCharType="begin"/>
      </w:r>
      <w:r>
        <w:instrText xml:space="preserve"> XE "</w:instrText>
      </w:r>
      <w:r w:rsidRPr="007D3069">
        <w:rPr>
          <w:rFonts w:cs="Times New Roman"/>
          <w:szCs w:val="24"/>
        </w:rPr>
        <w:instrText>denier</w:instrText>
      </w:r>
      <w:r>
        <w:instrText xml:space="preserve">" </w:instrText>
      </w:r>
      <w:r>
        <w:fldChar w:fldCharType="end"/>
      </w:r>
      <w:r>
        <w:t xml:space="preserve"> increased in weight from 1.3g to 1.7g.</w:t>
      </w:r>
    </w:p>
  </w:footnote>
  <w:footnote w:id="520">
    <w:p w14:paraId="4A11C81B" w14:textId="77777777" w:rsidR="000E1004" w:rsidRPr="00665DCD" w:rsidRDefault="000E1004" w:rsidP="00993B0F">
      <w:pPr>
        <w:pStyle w:val="FootnoteText"/>
      </w:pPr>
      <w:r w:rsidRPr="00665DCD">
        <w:rPr>
          <w:rStyle w:val="FootnoteReference"/>
        </w:rPr>
        <w:footnoteRef/>
      </w:r>
      <w:r>
        <w:t xml:space="preserv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w:t>
      </w:r>
      <w:r w:rsidRPr="00665DCD">
        <w:t xml:space="preserve"> 43</w:t>
      </w:r>
      <w:r>
        <w:t>)</w:t>
      </w:r>
      <w:r w:rsidRPr="00665DCD">
        <w:t>.</w:t>
      </w:r>
    </w:p>
  </w:footnote>
  <w:footnote w:id="521">
    <w:p w14:paraId="273680D6" w14:textId="77777777" w:rsidR="000E1004" w:rsidRPr="0092748F" w:rsidRDefault="000E1004" w:rsidP="00993B0F">
      <w:pPr>
        <w:pStyle w:val="FootnoteText"/>
      </w:pPr>
      <w:r w:rsidRPr="0092748F">
        <w:rPr>
          <w:rStyle w:val="FootnoteReference"/>
        </w:rPr>
        <w:footnoteRef/>
      </w:r>
      <w:r>
        <w:t xml:space="preserve"> Coupland (2007</w:t>
      </w:r>
      <w:r w:rsidRPr="0092748F">
        <w:t>, I, 212</w:t>
      </w:r>
      <w:r>
        <w:t>-3)</w:t>
      </w:r>
      <w:r w:rsidRPr="0092748F">
        <w:t>.</w:t>
      </w:r>
    </w:p>
  </w:footnote>
  <w:footnote w:id="522">
    <w:p w14:paraId="70F96117" w14:textId="279811C1" w:rsidR="000E1004" w:rsidRPr="00665DCD" w:rsidRDefault="000E1004" w:rsidP="00993B0F">
      <w:pPr>
        <w:pStyle w:val="FootnoteText"/>
      </w:pPr>
      <w:r w:rsidRPr="00665DCD">
        <w:rPr>
          <w:rStyle w:val="FootnoteReference"/>
        </w:rPr>
        <w:footnoteRef/>
      </w:r>
      <w:r w:rsidRPr="00665DCD">
        <w:t xml:space="preserve"> </w:t>
      </w:r>
      <w:r>
        <w:t xml:space="preserve">Along with </w:t>
      </w:r>
      <w:r>
        <w:rPr>
          <w:bCs/>
        </w:rPr>
        <w:t>Beonna</w:t>
      </w:r>
      <w:r>
        <w:rPr>
          <w:bCs/>
        </w:rPr>
        <w:fldChar w:fldCharType="begin"/>
      </w:r>
      <w:r>
        <w:instrText xml:space="preserve"> XE "</w:instrText>
      </w:r>
      <w:r w:rsidRPr="007D3069">
        <w:rPr>
          <w:rFonts w:cs="Times New Roman"/>
        </w:rPr>
        <w:instrText>Beonna</w:instrText>
      </w:r>
      <w:r>
        <w:instrText xml:space="preserve">" </w:instrText>
      </w:r>
      <w:r>
        <w:rPr>
          <w:bCs/>
        </w:rPr>
        <w:fldChar w:fldCharType="end"/>
      </w:r>
      <w:r>
        <w:rPr>
          <w:bCs/>
        </w:rPr>
        <w:t xml:space="preserve"> and </w:t>
      </w:r>
      <w:r w:rsidRPr="00DB6E68">
        <w:rPr>
          <w:bCs/>
        </w:rPr>
        <w:t>Cotta</w:t>
      </w:r>
      <w:r>
        <w:rPr>
          <w:bCs/>
        </w:rPr>
        <w:t>, both</w:t>
      </w:r>
      <w:r w:rsidRPr="00DB6E68">
        <w:rPr>
          <w:bCs/>
        </w:rPr>
        <w:t xml:space="preserve"> of Breedon. See</w:t>
      </w:r>
      <w:r>
        <w:t xml:space="preserve"> Yorke (1990,</w:t>
      </w:r>
      <w:r w:rsidRPr="00665DCD">
        <w:t xml:space="preserve"> 89, 93-8</w:t>
      </w:r>
      <w:r>
        <w:t>)</w:t>
      </w:r>
      <w:r w:rsidRPr="00665DCD">
        <w:t>.</w:t>
      </w:r>
      <w:r>
        <w:t xml:space="preserve"> </w:t>
      </w:r>
      <w:r>
        <w:rPr>
          <w:i/>
        </w:rPr>
        <w:t>Fn.</w:t>
      </w:r>
      <w:r>
        <w:t xml:space="preserve"> </w:t>
      </w:r>
      <w:r>
        <w:fldChar w:fldCharType="begin"/>
      </w:r>
      <w:r>
        <w:instrText xml:space="preserve"> NOTEREF _Ref432496491 \h </w:instrText>
      </w:r>
      <w:r>
        <w:fldChar w:fldCharType="separate"/>
      </w:r>
      <w:r w:rsidR="0012026B">
        <w:t>629</w:t>
      </w:r>
      <w:r>
        <w:fldChar w:fldCharType="end"/>
      </w:r>
      <w:r>
        <w:t>.</w:t>
      </w:r>
    </w:p>
  </w:footnote>
  <w:footnote w:id="523">
    <w:p w14:paraId="2A0E96E8" w14:textId="0FEDE4B8" w:rsidR="000E1004" w:rsidRPr="00665DCD" w:rsidRDefault="000E1004" w:rsidP="00993B0F">
      <w:pPr>
        <w:pStyle w:val="FootnoteText"/>
      </w:pPr>
      <w:r w:rsidRPr="00665DCD">
        <w:rPr>
          <w:rStyle w:val="FootnoteReference"/>
        </w:rPr>
        <w:footnoteRef/>
      </w:r>
      <w:r w:rsidRPr="00665DCD">
        <w:t xml:space="preserve"> </w:t>
      </w:r>
      <w:hyperlink r:id="rId14" w:history="1">
        <w:r w:rsidRPr="00665DCD">
          <w:rPr>
            <w:rStyle w:val="Hyperlink"/>
          </w:rPr>
          <w:t>http://gilliscoins.com/reference/eardwulf/index.htm</w:t>
        </w:r>
      </w:hyperlink>
      <w:r>
        <w:t xml:space="preserve"> where A=Abramson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B = Bude.</w:t>
      </w:r>
    </w:p>
  </w:footnote>
  <w:footnote w:id="524">
    <w:p w14:paraId="19804234" w14:textId="346C24E3" w:rsidR="000E1004" w:rsidRPr="00665DCD" w:rsidRDefault="000E1004" w:rsidP="00993B0F">
      <w:pPr>
        <w:pStyle w:val="FootnoteText"/>
      </w:pPr>
      <w:r w:rsidRPr="00665DCD">
        <w:rPr>
          <w:rStyle w:val="FootnoteReference"/>
        </w:rPr>
        <w:footnoteRef/>
      </w:r>
      <w:r w:rsidRPr="00665DCD">
        <w:t xml:space="preserve"> Largely based on </w:t>
      </w:r>
      <w:hyperlink r:id="rId15" w:history="1">
        <w:r w:rsidRPr="00665DCD">
          <w:rPr>
            <w:rStyle w:val="Hyperlink"/>
          </w:rPr>
          <w:t>http://en.wikipedia.org/wiki/Archbishops_of_York</w:t>
        </w:r>
        <w:r>
          <w:rPr>
            <w:rStyle w:val="Hyperlink"/>
          </w:rPr>
          <w:fldChar w:fldCharType="begin"/>
        </w:r>
        <w:r>
          <w:instrText xml:space="preserve"> XE "</w:instrText>
        </w:r>
        <w:r w:rsidRPr="00F1328A">
          <w:rPr>
            <w:rStyle w:val="Hyperlink"/>
            <w:noProof/>
          </w:rPr>
          <w:instrText>York</w:instrText>
        </w:r>
        <w:r>
          <w:instrText xml:space="preserve">" </w:instrText>
        </w:r>
        <w:r>
          <w:rPr>
            <w:rStyle w:val="Hyperlink"/>
          </w:rPr>
          <w:fldChar w:fldCharType="end"/>
        </w:r>
      </w:hyperlink>
    </w:p>
  </w:footnote>
  <w:footnote w:id="525">
    <w:p w14:paraId="6878882D" w14:textId="77777777" w:rsidR="000E1004" w:rsidRDefault="000E1004" w:rsidP="00993B0F">
      <w:pPr>
        <w:pStyle w:val="FootnoteText"/>
      </w:pPr>
      <w:r>
        <w:rPr>
          <w:rStyle w:val="FootnoteReference"/>
        </w:rPr>
        <w:footnoteRef/>
      </w:r>
      <w:r>
        <w:t xml:space="preserve"> </w:t>
      </w:r>
      <w:r w:rsidRPr="00E84FBC">
        <w:t xml:space="preserve">To whom </w:t>
      </w:r>
      <w:r w:rsidRPr="00E84FBC">
        <w:rPr>
          <w:i/>
        </w:rPr>
        <w:t>EH</w:t>
      </w:r>
      <w:r w:rsidRPr="00E84FBC">
        <w:t xml:space="preserve"> is dedicated.</w:t>
      </w:r>
    </w:p>
  </w:footnote>
  <w:footnote w:id="526">
    <w:p w14:paraId="730D0488" w14:textId="77777777" w:rsidR="000E1004" w:rsidRPr="00665DCD" w:rsidRDefault="000E1004" w:rsidP="00993B0F">
      <w:pPr>
        <w:pStyle w:val="FootnoteText"/>
      </w:pPr>
      <w:r w:rsidRPr="00665DCD">
        <w:rPr>
          <w:rStyle w:val="FootnoteReference"/>
        </w:rPr>
        <w:footnoteRef/>
      </w:r>
      <w:r w:rsidRPr="00665DCD">
        <w:t xml:space="preserve"> </w:t>
      </w:r>
      <w:r w:rsidRPr="00877A2E">
        <w:rPr>
          <w:i/>
        </w:rPr>
        <w:t>EHD</w:t>
      </w:r>
      <w:r>
        <w:t xml:space="preserve"> (</w:t>
      </w:r>
      <w:r w:rsidRPr="00665DCD">
        <w:t>no. 170, 740</w:t>
      </w:r>
      <w:r>
        <w:t>)</w:t>
      </w:r>
      <w:r w:rsidRPr="00665DCD">
        <w:t>.</w:t>
      </w:r>
    </w:p>
  </w:footnote>
  <w:footnote w:id="527">
    <w:p w14:paraId="5573BB9C" w14:textId="77777777" w:rsidR="000E1004" w:rsidRPr="00665DCD" w:rsidRDefault="000E1004" w:rsidP="00993B0F">
      <w:pPr>
        <w:pStyle w:val="FootnoteText"/>
      </w:pPr>
      <w:r w:rsidRPr="00665DCD">
        <w:rPr>
          <w:rStyle w:val="FootnoteReference"/>
        </w:rPr>
        <w:footnoteRef/>
      </w:r>
      <w:r w:rsidRPr="00665DCD">
        <w:rPr>
          <w:color w:val="BFBFBF" w:themeColor="background1" w:themeShade="BF"/>
        </w:rPr>
        <w:t xml:space="preserve"> </w:t>
      </w:r>
      <w:r w:rsidRPr="00665DCD">
        <w:t xml:space="preserve">Booth </w:t>
      </w:r>
      <w:r>
        <w:t>(</w:t>
      </w:r>
      <w:r w:rsidRPr="00665DCD">
        <w:t>1984</w:t>
      </w:r>
      <w:r>
        <w:t>)</w:t>
      </w:r>
      <w:r w:rsidRPr="00665DCD">
        <w:t xml:space="preserve">. </w:t>
      </w:r>
      <w:r w:rsidRPr="000C2800">
        <w:t>Bude’s die study (forthcoming) reveals three postures for the reverse figure – standing, walking and sitting. In the latter, the hands are in the orans position. Gannon is not convinced.</w:t>
      </w:r>
    </w:p>
  </w:footnote>
  <w:footnote w:id="528">
    <w:p w14:paraId="48F419F4" w14:textId="417491BA" w:rsidR="000E1004" w:rsidRDefault="000E1004">
      <w:pPr>
        <w:pStyle w:val="FootnoteText"/>
      </w:pPr>
      <w:r>
        <w:rPr>
          <w:rStyle w:val="FootnoteReference"/>
        </w:rPr>
        <w:footnoteRef/>
      </w:r>
      <w:r>
        <w:t xml:space="preserve"> Abramson (2012d).</w:t>
      </w:r>
    </w:p>
  </w:footnote>
  <w:footnote w:id="529">
    <w:p w14:paraId="25AEAA4E" w14:textId="341261C7" w:rsidR="000E1004" w:rsidRDefault="000E1004">
      <w:pPr>
        <w:pStyle w:val="FootnoteText"/>
      </w:pPr>
      <w:r>
        <w:rPr>
          <w:rStyle w:val="FootnoteReference"/>
        </w:rPr>
        <w:footnoteRef/>
      </w:r>
      <w:r>
        <w:t xml:space="preserve"> Abramson (2012a)</w:t>
      </w:r>
    </w:p>
  </w:footnote>
  <w:footnote w:id="530">
    <w:p w14:paraId="4A0BB537" w14:textId="7658E3A5" w:rsidR="000E1004" w:rsidRDefault="000E1004" w:rsidP="00754DD2">
      <w:pPr>
        <w:pStyle w:val="FootnoteText"/>
      </w:pPr>
      <w:r>
        <w:rPr>
          <w:rStyle w:val="FootnoteReference"/>
        </w:rPr>
        <w:footnoteRef/>
      </w:r>
      <w:r>
        <w:t xml:space="preserve"> Abramson (2012a, </w:t>
      </w:r>
      <w:r w:rsidRPr="00774DB6">
        <w:t>73-104</w:t>
      </w:r>
      <w:r>
        <w:t>)</w:t>
      </w:r>
      <w:r w:rsidRPr="00774DB6">
        <w:t xml:space="preserve">, </w:t>
      </w:r>
      <w:r w:rsidRPr="00774DB6">
        <w:rPr>
          <w:i/>
          <w:iCs/>
        </w:rPr>
        <w:t>SL</w:t>
      </w:r>
      <w:r>
        <w:t xml:space="preserve"> </w:t>
      </w:r>
      <w:r w:rsidRPr="00774DB6">
        <w:t>249.</w:t>
      </w:r>
    </w:p>
  </w:footnote>
  <w:footnote w:id="531">
    <w:p w14:paraId="25995264" w14:textId="33CFDB3A" w:rsidR="000E1004" w:rsidRDefault="000E1004" w:rsidP="009A49E4">
      <w:pPr>
        <w:pStyle w:val="FootnoteText"/>
      </w:pPr>
      <w:r>
        <w:rPr>
          <w:rStyle w:val="FootnoteReference"/>
        </w:rPr>
        <w:footnoteRef/>
      </w:r>
      <w:r>
        <w:t xml:space="preserve"> </w:t>
      </w:r>
      <w:r w:rsidRPr="00774DB6">
        <w:t xml:space="preserve">Finds evidence from a probable hoard, offered at auction by </w:t>
      </w:r>
      <w:hyperlink r:id="rId16" w:history="1">
        <w:r w:rsidRPr="00774DB6">
          <w:rPr>
            <w:rStyle w:val="Hyperlink"/>
          </w:rPr>
          <w:t>cgb.fr</w:t>
        </w:r>
      </w:hyperlink>
      <w:r w:rsidRPr="00774DB6">
        <w:t xml:space="preserve"> in June 2013, suggests that the variety on the right was possibly minted in Quentovic.</w:t>
      </w:r>
    </w:p>
  </w:footnote>
  <w:footnote w:id="532">
    <w:p w14:paraId="05FA7BFB" w14:textId="77777777" w:rsidR="000E1004" w:rsidRDefault="000E1004" w:rsidP="009A49E4">
      <w:pPr>
        <w:pStyle w:val="FootnoteText"/>
      </w:pPr>
      <w:r>
        <w:rPr>
          <w:rStyle w:val="FootnoteReference"/>
        </w:rPr>
        <w:footnoteRef/>
      </w:r>
      <w:r>
        <w:t xml:space="preserve"> Abramson (</w:t>
      </w:r>
      <w:r w:rsidRPr="00774DB6">
        <w:t>2012d</w:t>
      </w:r>
      <w:r>
        <w:t>,</w:t>
      </w:r>
      <w:r w:rsidRPr="00774DB6">
        <w:t xml:space="preserve"> 249</w:t>
      </w:r>
      <w:r>
        <w:t>)</w:t>
      </w:r>
      <w:r w:rsidRPr="00774DB6">
        <w:t xml:space="preserve"> for an explanation of the iconography.</w:t>
      </w:r>
    </w:p>
  </w:footnote>
  <w:footnote w:id="533">
    <w:p w14:paraId="5153F76D" w14:textId="5737F082" w:rsidR="000E1004" w:rsidRDefault="000E1004">
      <w:pPr>
        <w:pStyle w:val="FootnoteText"/>
      </w:pPr>
      <w:r>
        <w:rPr>
          <w:rStyle w:val="FootnoteReference"/>
        </w:rPr>
        <w:footnoteRef/>
      </w:r>
      <w:r>
        <w:t xml:space="preserve"> Dolley (1976, 353).</w:t>
      </w:r>
    </w:p>
  </w:footnote>
  <w:footnote w:id="534">
    <w:p w14:paraId="757301C1" w14:textId="77777777" w:rsidR="000E1004" w:rsidRDefault="000E1004" w:rsidP="009A49E4">
      <w:pPr>
        <w:pStyle w:val="FootnoteText"/>
      </w:pPr>
      <w:r>
        <w:rPr>
          <w:rStyle w:val="FootnoteReference"/>
        </w:rPr>
        <w:footnoteRef/>
      </w:r>
      <w:r>
        <w:t xml:space="preserve"> </w:t>
      </w:r>
      <w:r w:rsidRPr="00774DB6">
        <w:t>Mark Blackburn supported an early date for this exotic species, (Chick</w:t>
      </w:r>
      <w:r>
        <w:t>, 2010,</w:t>
      </w:r>
      <w:r w:rsidRPr="00774DB6">
        <w:t xml:space="preserve"> 32).</w:t>
      </w:r>
    </w:p>
  </w:footnote>
  <w:footnote w:id="535">
    <w:p w14:paraId="58174472" w14:textId="77777777" w:rsidR="000E1004" w:rsidRDefault="000E1004" w:rsidP="009A49E4">
      <w:pPr>
        <w:pStyle w:val="FootnoteText"/>
      </w:pPr>
      <w:r>
        <w:rPr>
          <w:rStyle w:val="FootnoteReference"/>
        </w:rPr>
        <w:footnoteRef/>
      </w:r>
      <w:r>
        <w:t xml:space="preserve"> </w:t>
      </w:r>
      <w:r w:rsidRPr="00774DB6">
        <w:t xml:space="preserve">Conservatism in coin design, even the immobilisation of an </w:t>
      </w:r>
      <w:r w:rsidRPr="00774DB6">
        <w:rPr>
          <w:i/>
          <w:iCs/>
        </w:rPr>
        <w:t>idée fixe</w:t>
      </w:r>
      <w:r w:rsidRPr="00774DB6">
        <w:t>, is used to inspire confidence.</w:t>
      </w:r>
    </w:p>
  </w:footnote>
  <w:footnote w:id="536">
    <w:p w14:paraId="0FA9A2A8" w14:textId="77777777" w:rsidR="000E1004" w:rsidRDefault="000E1004" w:rsidP="009A49E4">
      <w:pPr>
        <w:pStyle w:val="FootnoteText"/>
      </w:pPr>
      <w:r>
        <w:rPr>
          <w:rStyle w:val="FootnoteReference"/>
        </w:rPr>
        <w:footnoteRef/>
      </w:r>
      <w:r>
        <w:t xml:space="preserve"> Wickham (2005, </w:t>
      </w:r>
      <w:r w:rsidRPr="00774DB6">
        <w:t>818</w:t>
      </w:r>
      <w:r>
        <w:t>)</w:t>
      </w:r>
      <w:r w:rsidRPr="00774DB6">
        <w:t>.</w:t>
      </w:r>
    </w:p>
  </w:footnote>
  <w:footnote w:id="537">
    <w:p w14:paraId="79D1C751" w14:textId="77777777" w:rsidR="000E1004" w:rsidRDefault="000E1004" w:rsidP="009A49E4">
      <w:pPr>
        <w:pStyle w:val="FootnoteText"/>
      </w:pPr>
      <w:r>
        <w:rPr>
          <w:rStyle w:val="FootnoteReference"/>
        </w:rPr>
        <w:footnoteRef/>
      </w:r>
      <w:r>
        <w:t xml:space="preserve"> O</w:t>
      </w:r>
      <w:r w:rsidRPr="00774DB6">
        <w:t>ther than Northumbrian.</w:t>
      </w:r>
    </w:p>
  </w:footnote>
  <w:footnote w:id="538">
    <w:p w14:paraId="7FD868C8" w14:textId="7C973610" w:rsidR="000E1004" w:rsidRDefault="000E1004" w:rsidP="009A49E4">
      <w:pPr>
        <w:pStyle w:val="FootnoteText"/>
      </w:pPr>
      <w:r>
        <w:rPr>
          <w:rStyle w:val="FootnoteReference"/>
        </w:rPr>
        <w:footnoteRef/>
      </w:r>
      <w:r>
        <w:t xml:space="preserve"> </w:t>
      </w:r>
      <w:r w:rsidRPr="00774DB6">
        <w:t xml:space="preserve">Gannon </w:t>
      </w:r>
      <w:r>
        <w:t xml:space="preserve">(2003, </w:t>
      </w:r>
      <w:r w:rsidRPr="00774DB6">
        <w:t>17</w:t>
      </w:r>
      <w:r>
        <w:t>)</w:t>
      </w:r>
      <w:r w:rsidRPr="00774DB6">
        <w:t>, suggest</w:t>
      </w:r>
      <w:r>
        <w:t>ed</w:t>
      </w:r>
      <w:r w:rsidRPr="00774DB6">
        <w:t xml:space="preserve"> that those with Christian imagery were the emissions of minsters, though Marion Archibald had raised this in an earlier, unpublished lecture on the </w:t>
      </w:r>
      <w:r w:rsidRPr="00774DB6">
        <w:rPr>
          <w:i/>
          <w:iCs/>
        </w:rPr>
        <w:t>Monita</w:t>
      </w:r>
      <w:r w:rsidRPr="00774DB6">
        <w:t xml:space="preserve"> </w:t>
      </w:r>
      <w:r w:rsidRPr="00774DB6">
        <w:rPr>
          <w:i/>
          <w:iCs/>
        </w:rPr>
        <w:t>Scorvm</w:t>
      </w:r>
      <w:r>
        <w:t xml:space="preserve"> variety (</w:t>
      </w:r>
      <w:r w:rsidRPr="00E46CC5">
        <w:t>Metcalf</w:t>
      </w:r>
      <w:r>
        <w:t>, 1993-4, 435).</w:t>
      </w:r>
    </w:p>
  </w:footnote>
  <w:footnote w:id="539">
    <w:p w14:paraId="2C38B253" w14:textId="77777777" w:rsidR="000E1004" w:rsidRDefault="000E1004" w:rsidP="009A49E4">
      <w:pPr>
        <w:pStyle w:val="FootnoteText"/>
      </w:pPr>
      <w:r>
        <w:rPr>
          <w:rStyle w:val="FootnoteReference"/>
        </w:rPr>
        <w:footnoteRef/>
      </w:r>
      <w:r>
        <w:t xml:space="preserve"> Abramson (2012b,</w:t>
      </w:r>
      <w:r w:rsidRPr="00774DB6">
        <w:t xml:space="preserve"> 110</w:t>
      </w:r>
      <w:r>
        <w:t>)</w:t>
      </w:r>
      <w:r w:rsidRPr="00774DB6">
        <w:t>. Millimetre scale shown.</w:t>
      </w:r>
    </w:p>
  </w:footnote>
  <w:footnote w:id="540">
    <w:p w14:paraId="161DE2C3" w14:textId="77777777" w:rsidR="000E1004" w:rsidRDefault="000E1004" w:rsidP="009A49E4">
      <w:pPr>
        <w:pStyle w:val="FootnoteText"/>
      </w:pPr>
      <w:r>
        <w:rPr>
          <w:rStyle w:val="FootnoteReference"/>
        </w:rPr>
        <w:footnoteRef/>
      </w:r>
      <w:r>
        <w:t xml:space="preserve"> W</w:t>
      </w:r>
      <w:r w:rsidRPr="00774DB6">
        <w:t>hich usually occurs with lead.</w:t>
      </w:r>
    </w:p>
  </w:footnote>
  <w:footnote w:id="541">
    <w:p w14:paraId="139106B1" w14:textId="77777777" w:rsidR="000E1004" w:rsidRDefault="000E1004" w:rsidP="009A49E4">
      <w:pPr>
        <w:pStyle w:val="FootnoteText"/>
      </w:pPr>
      <w:r>
        <w:rPr>
          <w:rStyle w:val="FootnoteReference"/>
        </w:rPr>
        <w:footnoteRef/>
      </w:r>
      <w:r>
        <w:t xml:space="preserve"> </w:t>
      </w:r>
      <w:r w:rsidRPr="00774DB6">
        <w:t xml:space="preserve">Salzman </w:t>
      </w:r>
      <w:r>
        <w:t xml:space="preserve">(1970, </w:t>
      </w:r>
      <w:r w:rsidRPr="00774DB6">
        <w:t>41-68</w:t>
      </w:r>
      <w:r>
        <w:t>)</w:t>
      </w:r>
      <w:r w:rsidRPr="00774DB6">
        <w:t>.</w:t>
      </w:r>
    </w:p>
  </w:footnote>
  <w:footnote w:id="542">
    <w:p w14:paraId="3DBA8274" w14:textId="77777777" w:rsidR="000E1004" w:rsidRDefault="000E1004" w:rsidP="009A49E4">
      <w:pPr>
        <w:pStyle w:val="FootnoteText"/>
      </w:pPr>
      <w:r>
        <w:rPr>
          <w:rStyle w:val="FootnoteReference"/>
        </w:rPr>
        <w:footnoteRef/>
      </w:r>
      <w:r>
        <w:t xml:space="preserve"> Reece (1991, 62).</w:t>
      </w:r>
    </w:p>
  </w:footnote>
  <w:footnote w:id="543">
    <w:p w14:paraId="372B60ED" w14:textId="77777777" w:rsidR="000E1004" w:rsidRDefault="000E1004" w:rsidP="009A49E4">
      <w:pPr>
        <w:pStyle w:val="FootnoteText"/>
      </w:pPr>
      <w:r>
        <w:rPr>
          <w:rStyle w:val="FootnoteReference"/>
        </w:rPr>
        <w:footnoteRef/>
      </w:r>
      <w:r>
        <w:t xml:space="preserve"> Spufford (1988, 30).</w:t>
      </w:r>
    </w:p>
  </w:footnote>
  <w:footnote w:id="544">
    <w:p w14:paraId="16323433" w14:textId="77777777" w:rsidR="000E1004" w:rsidRDefault="000E1004" w:rsidP="009A49E4">
      <w:pPr>
        <w:pStyle w:val="FootnoteText"/>
      </w:pPr>
      <w:r>
        <w:rPr>
          <w:rStyle w:val="FootnoteReference"/>
        </w:rPr>
        <w:footnoteRef/>
      </w:r>
      <w:r>
        <w:t xml:space="preserve"> </w:t>
      </w:r>
      <w:r w:rsidRPr="00752BEC">
        <w:rPr>
          <w:i/>
        </w:rPr>
        <w:t>MEC</w:t>
      </w:r>
      <w:r>
        <w:t xml:space="preserve"> (1986, 96).</w:t>
      </w:r>
    </w:p>
  </w:footnote>
  <w:footnote w:id="545">
    <w:p w14:paraId="193623E1" w14:textId="554C378B" w:rsidR="000E1004" w:rsidRDefault="000E1004">
      <w:pPr>
        <w:pStyle w:val="FootnoteText"/>
      </w:pPr>
      <w:r>
        <w:rPr>
          <w:rStyle w:val="FootnoteReference"/>
        </w:rPr>
        <w:footnoteRef/>
      </w:r>
      <w:r>
        <w:t xml:space="preserve"> Spufford (1988, 31-2).</w:t>
      </w:r>
    </w:p>
  </w:footnote>
  <w:footnote w:id="546">
    <w:p w14:paraId="1F0942AD" w14:textId="77777777" w:rsidR="000E1004" w:rsidRDefault="000E1004" w:rsidP="009A49E4">
      <w:pPr>
        <w:pStyle w:val="FootnoteText"/>
      </w:pPr>
      <w:r>
        <w:rPr>
          <w:rStyle w:val="FootnoteReference"/>
        </w:rPr>
        <w:footnoteRef/>
      </w:r>
      <w:r>
        <w:t xml:space="preserve"> </w:t>
      </w:r>
      <w:r w:rsidRPr="00774DB6">
        <w:t>Sixty miles from where Charles Martel defeated the Muslims at Tours in 732.</w:t>
      </w:r>
    </w:p>
  </w:footnote>
  <w:footnote w:id="547">
    <w:p w14:paraId="414F9886" w14:textId="2B77FBCB" w:rsidR="000E1004" w:rsidRDefault="000E1004" w:rsidP="009A49E4">
      <w:pPr>
        <w:pStyle w:val="FootnoteText"/>
      </w:pPr>
      <w:r>
        <w:rPr>
          <w:rStyle w:val="FootnoteReference"/>
        </w:rPr>
        <w:footnoteRef/>
      </w:r>
      <w:r>
        <w:t xml:space="preserve"> </w:t>
      </w:r>
      <w:r w:rsidRPr="00774DB6">
        <w:t>Abramson (2012b). At a gold to silver ration of 12:1 this would value a tremissis or gold shilling at say two week’s pay, which would be reasonable in terms of a Roman soldier’s pay. An alternative would be to assess buying power – early law would suggest that a sheep is worth perhaps two to four sceats.</w:t>
      </w:r>
      <w:r>
        <w:t xml:space="preserve"> </w:t>
      </w:r>
      <w:r w:rsidRPr="00E06B45">
        <w:t>Walbers</w:t>
      </w:r>
      <w:r>
        <w:t xml:space="preserve"> (2012, Ch. 5, 235-99, esp. 289-92). See page </w:t>
      </w:r>
      <w:r>
        <w:fldChar w:fldCharType="begin"/>
      </w:r>
      <w:r>
        <w:instrText xml:space="preserve"> PAGEREF Law \h </w:instrText>
      </w:r>
      <w:r>
        <w:fldChar w:fldCharType="separate"/>
      </w:r>
      <w:r w:rsidR="0012026B">
        <w:rPr>
          <w:noProof/>
        </w:rPr>
        <w:t>60</w:t>
      </w:r>
      <w:r>
        <w:fldChar w:fldCharType="end"/>
      </w:r>
      <w:r>
        <w:t xml:space="preserve"> and </w:t>
      </w:r>
      <w:r w:rsidRPr="00E01166">
        <w:rPr>
          <w:i/>
        </w:rPr>
        <w:t>Table</w:t>
      </w:r>
      <w:r>
        <w:t xml:space="preserve"> 3.01.</w:t>
      </w:r>
    </w:p>
  </w:footnote>
  <w:footnote w:id="548">
    <w:p w14:paraId="259B36EE" w14:textId="37203D19" w:rsidR="000E1004" w:rsidRDefault="000E1004" w:rsidP="009A49E4">
      <w:pPr>
        <w:pStyle w:val="FootnoteText"/>
      </w:pPr>
      <w:r>
        <w:rPr>
          <w:rStyle w:val="FootnoteReference"/>
        </w:rPr>
        <w:footnoteRef/>
      </w:r>
      <w:r>
        <w:t xml:space="preserve"> Page (1972, </w:t>
      </w:r>
      <w:r w:rsidRPr="00774DB6">
        <w:t>94-5</w:t>
      </w:r>
      <w:r>
        <w:t>). He also made</w:t>
      </w:r>
      <w:r w:rsidRPr="00774DB6">
        <w:t xml:space="preserve"> the interesting suggestion that blacksmiths made coins (82-3).</w:t>
      </w:r>
      <w:r>
        <w:t xml:space="preserve"> Also, Hinton (2011, 195).</w:t>
      </w:r>
    </w:p>
  </w:footnote>
  <w:footnote w:id="549">
    <w:p w14:paraId="51F5F860" w14:textId="21CD1C73" w:rsidR="000E1004" w:rsidRDefault="000E1004">
      <w:pPr>
        <w:pStyle w:val="FootnoteText"/>
      </w:pPr>
      <w:r>
        <w:rPr>
          <w:rStyle w:val="FootnoteReference"/>
        </w:rPr>
        <w:footnoteRef/>
      </w:r>
      <w:r>
        <w:t xml:space="preserve"> Gannon (2003).</w:t>
      </w:r>
    </w:p>
  </w:footnote>
  <w:footnote w:id="550">
    <w:p w14:paraId="4E9711AA" w14:textId="77777777" w:rsidR="000E1004" w:rsidRDefault="000E1004" w:rsidP="009A49E4">
      <w:pPr>
        <w:pStyle w:val="FootnoteText"/>
      </w:pPr>
      <w:r>
        <w:rPr>
          <w:rStyle w:val="FootnoteReference"/>
        </w:rPr>
        <w:footnoteRef/>
      </w:r>
      <w:r>
        <w:t xml:space="preserve"> </w:t>
      </w:r>
      <w:r w:rsidRPr="00774DB6">
        <w:t>Metcalf (1994</w:t>
      </w:r>
      <w:r>
        <w:t>, 1) addressed</w:t>
      </w:r>
      <w:r w:rsidRPr="00774DB6">
        <w:t xml:space="preserve"> the questions: “where and when the coins were struck, and in what quantities…how they circulated and…the purposes for which they were used.” To these,</w:t>
      </w:r>
      <w:r>
        <w:t xml:space="preserve"> Gannon (2003, 1) added </w:t>
      </w:r>
      <w:r w:rsidRPr="00774DB6">
        <w:t>a third approach – the art-historical appraisal.</w:t>
      </w:r>
    </w:p>
  </w:footnote>
  <w:footnote w:id="551">
    <w:p w14:paraId="148D925C" w14:textId="77777777" w:rsidR="000E1004" w:rsidRDefault="000E1004" w:rsidP="009A49E4">
      <w:pPr>
        <w:pStyle w:val="FootnoteText"/>
      </w:pPr>
      <w:r>
        <w:rPr>
          <w:rStyle w:val="FootnoteReference"/>
        </w:rPr>
        <w:footnoteRef/>
      </w:r>
      <w:r>
        <w:t xml:space="preserve"> </w:t>
      </w:r>
      <w:r w:rsidRPr="00774DB6">
        <w:t>See Abramson 2012b for a critique of Cribb’s ‘Money as Metaphor’, with its particular applicability to the iconography of sceats.</w:t>
      </w:r>
    </w:p>
  </w:footnote>
  <w:footnote w:id="552">
    <w:p w14:paraId="203C160C" w14:textId="55B417EE" w:rsidR="000E1004" w:rsidRDefault="000E1004">
      <w:pPr>
        <w:pStyle w:val="FootnoteText"/>
      </w:pPr>
      <w:r>
        <w:rPr>
          <w:rStyle w:val="FootnoteReference"/>
        </w:rPr>
        <w:footnoteRef/>
      </w:r>
      <w:r>
        <w:t xml:space="preserve"> Abramson (2012d).</w:t>
      </w:r>
    </w:p>
  </w:footnote>
  <w:footnote w:id="553">
    <w:p w14:paraId="637C4570" w14:textId="350368AC" w:rsidR="000E1004" w:rsidRDefault="000E1004" w:rsidP="0080290B">
      <w:pPr>
        <w:pStyle w:val="FootnoteText"/>
      </w:pPr>
      <w:r>
        <w:rPr>
          <w:rStyle w:val="FootnoteReference"/>
        </w:rPr>
        <w:footnoteRef/>
      </w:r>
      <w:r>
        <w:t xml:space="preserve"> As at January 2016</w:t>
      </w:r>
      <w:r w:rsidRPr="00774DB6">
        <w:t xml:space="preserve">. See Abramson 2012d supplemented by </w:t>
      </w:r>
      <w:hyperlink r:id="rId17" w:history="1">
        <w:r w:rsidRPr="004A4207">
          <w:rPr>
            <w:rStyle w:val="Hyperlink"/>
          </w:rPr>
          <w:t>www.anglo-saxon-coinage.co.uk.</w:t>
        </w:r>
      </w:hyperlink>
    </w:p>
  </w:footnote>
  <w:footnote w:id="554">
    <w:p w14:paraId="6E5E4072" w14:textId="77777777" w:rsidR="000E1004" w:rsidRDefault="000E1004" w:rsidP="00A33875">
      <w:pPr>
        <w:pStyle w:val="FootnoteText"/>
      </w:pPr>
      <w:r>
        <w:rPr>
          <w:rStyle w:val="FootnoteReference"/>
        </w:rPr>
        <w:footnoteRef/>
      </w:r>
      <w:r>
        <w:t xml:space="preserve"> </w:t>
      </w:r>
      <w:r w:rsidRPr="00595F4F">
        <w:t>Osred Coenred, Osric and Ceolwulf</w:t>
      </w:r>
      <w:r>
        <w:t>.</w:t>
      </w:r>
    </w:p>
  </w:footnote>
  <w:footnote w:id="555">
    <w:p w14:paraId="30DB35A0" w14:textId="4CB7C702" w:rsidR="000E1004" w:rsidRDefault="000E1004" w:rsidP="00A33875">
      <w:pPr>
        <w:pStyle w:val="FootnoteText"/>
      </w:pPr>
      <w:r>
        <w:rPr>
          <w:rStyle w:val="FootnoteReference"/>
        </w:rPr>
        <w:footnoteRef/>
      </w:r>
      <w:r>
        <w:t xml:space="preserve"> </w:t>
      </w:r>
      <w:r w:rsidRPr="00825B27">
        <w:t>Here not used in the fi</w:t>
      </w:r>
      <w:r>
        <w:t>scal sense as in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(2015,</w:t>
      </w:r>
      <w:r w:rsidRPr="00825B27">
        <w:t xml:space="preserve"> 6</w:t>
      </w:r>
      <w:r>
        <w:t>)</w:t>
      </w:r>
      <w:r w:rsidRPr="00825B27">
        <w:t>.</w:t>
      </w:r>
    </w:p>
  </w:footnote>
  <w:footnote w:id="556">
    <w:p w14:paraId="2F0D6328" w14:textId="77777777" w:rsidR="000E1004" w:rsidRDefault="000E1004" w:rsidP="004D1CCC">
      <w:pPr>
        <w:pStyle w:val="FootnoteText"/>
      </w:pPr>
      <w:r>
        <w:rPr>
          <w:rStyle w:val="FootnoteReference"/>
        </w:rPr>
        <w:footnoteRef/>
      </w:r>
      <w:r>
        <w:t xml:space="preserve"> </w:t>
      </w:r>
      <w:r w:rsidRPr="003D1B18">
        <w:rPr>
          <w:i/>
        </w:rPr>
        <w:t>SL</w:t>
      </w:r>
      <w:r w:rsidRPr="003D1B18">
        <w:t>18-20</w:t>
      </w:r>
      <w:r>
        <w:t>.</w:t>
      </w:r>
    </w:p>
  </w:footnote>
  <w:footnote w:id="557">
    <w:p w14:paraId="27AFCC9E" w14:textId="77777777" w:rsidR="000E1004" w:rsidRDefault="000E1004" w:rsidP="00A33875">
      <w:pPr>
        <w:pStyle w:val="FootnoteText"/>
      </w:pPr>
      <w:r>
        <w:rPr>
          <w:rStyle w:val="FootnoteReference"/>
        </w:rPr>
        <w:footnoteRef/>
      </w:r>
      <w:r>
        <w:t xml:space="preserve"> </w:t>
      </w:r>
      <w:r w:rsidRPr="00B37778">
        <w:rPr>
          <w:i/>
        </w:rPr>
        <w:t>SL</w:t>
      </w:r>
      <w:r w:rsidRPr="00B37778">
        <w:t>44</w:t>
      </w:r>
      <w:r>
        <w:t>.</w:t>
      </w:r>
    </w:p>
  </w:footnote>
  <w:footnote w:id="558">
    <w:p w14:paraId="1E49911B" w14:textId="5CCB3BBE" w:rsidR="000E1004" w:rsidRPr="0020012F" w:rsidRDefault="000E1004" w:rsidP="00A33875">
      <w:pPr>
        <w:pStyle w:val="FootnoteText"/>
      </w:pPr>
      <w:r w:rsidRPr="0020012F">
        <w:rPr>
          <w:rStyle w:val="FootnoteReference"/>
        </w:rPr>
        <w:footnoteRef/>
      </w:r>
      <w:r w:rsidRPr="0020012F">
        <w:t xml:space="preserve"> As it is not possible to distinguish these as before or after </w:t>
      </w:r>
      <w:r w:rsidRPr="0020012F">
        <w:rPr>
          <w:i/>
        </w:rPr>
        <w:t>c.</w:t>
      </w:r>
      <w:r>
        <w:t xml:space="preserve"> 710, in </w:t>
      </w:r>
      <w:r w:rsidRPr="00067FAA">
        <w:rPr>
          <w:i/>
        </w:rPr>
        <w:t>Table</w:t>
      </w:r>
      <w:r w:rsidRPr="00067FAA">
        <w:rPr>
          <w:i/>
        </w:rPr>
        <w:fldChar w:fldCharType="begin"/>
      </w:r>
      <w:r>
        <w:instrText xml:space="preserve"> XE "</w:instrText>
      </w:r>
      <w:r w:rsidRPr="00067FAA">
        <w:rPr>
          <w:noProof/>
        </w:rPr>
        <w:instrText>Table</w:instrText>
      </w:r>
      <w:r>
        <w:instrText xml:space="preserve">" </w:instrText>
      </w:r>
      <w:r w:rsidRPr="00067FAA">
        <w:rPr>
          <w:i/>
        </w:rPr>
        <w:fldChar w:fldCharType="end"/>
      </w:r>
      <w:r w:rsidRPr="00067FAA">
        <w:rPr>
          <w:i/>
        </w:rPr>
        <w:t xml:space="preserve"> 5</w:t>
      </w:r>
      <w:r>
        <w:rPr>
          <w:i/>
        </w:rPr>
        <w:t>.01</w:t>
      </w:r>
      <w:r w:rsidRPr="00FF25DD">
        <w:rPr>
          <w:i/>
        </w:rPr>
        <w:t xml:space="preserve">, </w:t>
      </w:r>
      <w:r w:rsidRPr="0020012F">
        <w:t>all Merovingian</w:t>
      </w:r>
      <w:r>
        <w:fldChar w:fldCharType="begin"/>
      </w:r>
      <w:r>
        <w:instrText xml:space="preserve"> XE "</w:instrText>
      </w:r>
      <w:r w:rsidRPr="007D3069">
        <w:rPr>
          <w:rStyle w:val="Hyperlink"/>
          <w:noProof/>
        </w:rPr>
        <w:instrText>Merovingian</w:instrText>
      </w:r>
      <w:r>
        <w:instrText xml:space="preserve">" </w:instrText>
      </w:r>
      <w:r>
        <w:fldChar w:fldCharType="end"/>
      </w:r>
      <w:r w:rsidRPr="0020012F">
        <w:t xml:space="preserve"> deniers are included in </w:t>
      </w:r>
      <w:r>
        <w:t>P</w:t>
      </w:r>
      <w:r w:rsidRPr="0020012F">
        <w:t>eriod 4d.</w:t>
      </w:r>
    </w:p>
  </w:footnote>
  <w:footnote w:id="559">
    <w:p w14:paraId="07508C22" w14:textId="77777777" w:rsidR="000E1004" w:rsidRDefault="000E1004" w:rsidP="00A33875">
      <w:pPr>
        <w:pStyle w:val="FootnoteText"/>
      </w:pPr>
      <w:r>
        <w:rPr>
          <w:rStyle w:val="FootnoteReference"/>
        </w:rPr>
        <w:footnoteRef/>
      </w:r>
      <w:r>
        <w:t xml:space="preserve"> </w:t>
      </w:r>
      <w:r w:rsidRPr="0020012F">
        <w:t>At this point in the period numbering it is necessary to distinguish between northern and southern emissions</w:t>
      </w:r>
      <w:r>
        <w:t xml:space="preserve"> by the prefix N or S</w:t>
      </w:r>
      <w:r w:rsidRPr="0020012F">
        <w:t>.</w:t>
      </w:r>
    </w:p>
  </w:footnote>
  <w:footnote w:id="560">
    <w:p w14:paraId="07FB788F" w14:textId="51E371B7" w:rsidR="000E1004" w:rsidRDefault="000E1004">
      <w:pPr>
        <w:pStyle w:val="FootnoteText"/>
      </w:pPr>
      <w:r>
        <w:rPr>
          <w:rStyle w:val="FootnoteReference"/>
        </w:rPr>
        <w:footnoteRef/>
      </w:r>
      <w:r>
        <w:t xml:space="preserve"> </w:t>
      </w:r>
      <w:r>
        <w:rPr>
          <w:rFonts w:cs="Times New Roman"/>
        </w:rPr>
        <w:t>Dolley (1976, 352).</w:t>
      </w:r>
    </w:p>
  </w:footnote>
  <w:footnote w:id="561">
    <w:p w14:paraId="18FB7DDA" w14:textId="2A1A6DD1" w:rsidR="000E1004" w:rsidRDefault="000E1004">
      <w:pPr>
        <w:pStyle w:val="FootnoteText"/>
      </w:pPr>
      <w:r>
        <w:rPr>
          <w:rStyle w:val="FootnoteReference"/>
        </w:rPr>
        <w:footnoteRef/>
      </w:r>
      <w:r>
        <w:t xml:space="preserve"> Bude has recorded a unique specimen with a different legend.</w:t>
      </w:r>
    </w:p>
  </w:footnote>
  <w:footnote w:id="562">
    <w:p w14:paraId="381CA73B" w14:textId="5AF94DED" w:rsidR="000E1004" w:rsidRDefault="000E1004" w:rsidP="00A33875">
      <w:pPr>
        <w:pStyle w:val="FootnoteText"/>
      </w:pPr>
      <w:r>
        <w:rPr>
          <w:rStyle w:val="FootnoteReference"/>
        </w:rPr>
        <w:footnoteRef/>
      </w:r>
      <w:r>
        <w:t xml:space="preserve"> </w:t>
      </w:r>
      <w:r w:rsidRPr="004C4386">
        <w:rPr>
          <w:rStyle w:val="Hyperlink"/>
          <w:color w:val="000000" w:themeColor="text1"/>
          <w:u w:val="none"/>
        </w:rPr>
        <w:t>Abramson</w:t>
      </w:r>
      <w:r>
        <w:rPr>
          <w:rStyle w:val="Hyperlink"/>
          <w:color w:val="000000" w:themeColor="text1"/>
          <w:u w:val="none"/>
        </w:rPr>
        <w:fldChar w:fldCharType="begin"/>
      </w:r>
      <w:r>
        <w:instrText xml:space="preserve"> XE "</w:instrText>
      </w:r>
      <w:r w:rsidRPr="007A2080">
        <w:rPr>
          <w:rFonts w:cs="Times New Roman"/>
          <w:b/>
          <w:sz w:val="40"/>
          <w:szCs w:val="40"/>
        </w:rPr>
        <w:instrText>Abramson</w:instrText>
      </w:r>
      <w:r>
        <w:instrText xml:space="preserve">" </w:instrText>
      </w:r>
      <w:r>
        <w:rPr>
          <w:rStyle w:val="Hyperlink"/>
          <w:color w:val="000000" w:themeColor="text1"/>
          <w:u w:val="none"/>
        </w:rPr>
        <w:fldChar w:fldCharType="end"/>
      </w:r>
      <w:r>
        <w:rPr>
          <w:rStyle w:val="Hyperlink"/>
          <w:color w:val="000000" w:themeColor="text1"/>
          <w:u w:val="none"/>
        </w:rPr>
        <w:t>, (2011</w:t>
      </w:r>
      <w:r w:rsidRPr="004C4386">
        <w:rPr>
          <w:rStyle w:val="Hyperlink"/>
          <w:color w:val="000000" w:themeColor="text1"/>
          <w:u w:val="none"/>
        </w:rPr>
        <w:t>, 23-4).</w:t>
      </w:r>
    </w:p>
  </w:footnote>
  <w:footnote w:id="563">
    <w:p w14:paraId="3E4842B9" w14:textId="6CDC79EF" w:rsidR="000E1004" w:rsidRDefault="000E1004" w:rsidP="00A33875">
      <w:pPr>
        <w:pStyle w:val="FootnoteText"/>
      </w:pPr>
      <w:r>
        <w:rPr>
          <w:rStyle w:val="FootnoteReference"/>
        </w:rPr>
        <w:footnoteRef/>
      </w:r>
      <w:r>
        <w:t xml:space="preserve"> </w:t>
      </w:r>
      <w:r w:rsidRPr="009551B5">
        <w:t>Op d</w:t>
      </w:r>
      <w:r>
        <w:t>en Velde and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w:t>
      </w:r>
      <w:r w:rsidRPr="009551B5">
        <w:t>2009-10, nos. 3466-8+</w:t>
      </w:r>
      <w:r>
        <w:t>,</w:t>
      </w:r>
      <w:r w:rsidRPr="009551B5">
        <w:t xml:space="preserve"> 377, plate 92</w:t>
      </w:r>
      <w:r>
        <w:t>), shows five die-</w:t>
      </w:r>
      <w:r w:rsidRPr="009551B5">
        <w:t>linked specimens of this very rare type, including this coin.</w:t>
      </w:r>
    </w:p>
  </w:footnote>
  <w:footnote w:id="564">
    <w:p w14:paraId="75348733" w14:textId="58FBA132" w:rsidR="000E1004" w:rsidRDefault="000E1004" w:rsidP="00A33875">
      <w:pPr>
        <w:pStyle w:val="FootnoteText"/>
      </w:pPr>
      <w:r>
        <w:rPr>
          <w:rStyle w:val="FootnoteReference"/>
        </w:rPr>
        <w:footnoteRef/>
      </w:r>
      <w:r>
        <w:t xml:space="preserve"> </w:t>
      </w:r>
      <w:r w:rsidRPr="00CE55DE">
        <w:t>Pale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rsidRPr="00CE55DE">
        <w:t xml:space="preserve"> specimens of Series</w:t>
      </w:r>
      <w:r>
        <w:fldChar w:fldCharType="begin"/>
      </w:r>
      <w:r>
        <w:instrText xml:space="preserve"> XE "</w:instrText>
      </w:r>
      <w:r w:rsidRPr="007645AE">
        <w:instrText>Series</w:instrText>
      </w:r>
      <w:r>
        <w:instrText xml:space="preserve">" </w:instrText>
      </w:r>
      <w:r>
        <w:fldChar w:fldCharType="end"/>
      </w:r>
      <w:r w:rsidRPr="00CE55DE">
        <w:t xml:space="preserve"> F are also known to exist</w:t>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‘From Gold</w:t>
      </w:r>
      <w:r>
        <w:fldChar w:fldCharType="begin"/>
      </w:r>
      <w:r>
        <w:instrText xml:space="preserve"> XE "</w:instrText>
      </w:r>
      <w:r w:rsidRPr="00F1328A">
        <w:rPr>
          <w:rStyle w:val="Hyperlink"/>
          <w:rFonts w:cs="Times New Roman"/>
          <w:noProof/>
        </w:rPr>
        <w:instrText>Gold</w:instrText>
      </w:r>
      <w:r>
        <w:instrText xml:space="preserve">" </w:instrText>
      </w:r>
      <w:r>
        <w:fldChar w:fldCharType="end"/>
      </w:r>
      <w:r>
        <w:t xml:space="preserve"> to Silver</w:t>
      </w:r>
      <w:r>
        <w:fldChar w:fldCharType="begin"/>
      </w:r>
      <w:r>
        <w:instrText xml:space="preserve"> XE "</w:instrText>
      </w:r>
      <w:r w:rsidRPr="00F1328A">
        <w:rPr>
          <w:rStyle w:val="Hyperlink"/>
          <w:rFonts w:cs="Times New Roman"/>
          <w:noProof/>
        </w:rPr>
        <w:instrText>Silver</w:instrText>
      </w:r>
      <w:r>
        <w:instrText xml:space="preserve">" </w:instrText>
      </w:r>
      <w:r>
        <w:fldChar w:fldCharType="end"/>
      </w:r>
      <w:r>
        <w:t xml:space="preserve"> in the Seventh Century’ workshop, Cambridge 27-8</w:t>
      </w:r>
      <w:r w:rsidRPr="00CE55DE">
        <w:rPr>
          <w:vertAlign w:val="superscript"/>
        </w:rPr>
        <w:t>th</w:t>
      </w:r>
      <w:r>
        <w:t xml:space="preserve"> March 2015</w:t>
      </w:r>
      <w:r w:rsidRPr="00CE55DE">
        <w:t>.</w:t>
      </w:r>
    </w:p>
  </w:footnote>
  <w:footnote w:id="565">
    <w:p w14:paraId="7B33A11E" w14:textId="24F66E29" w:rsidR="000E1004" w:rsidRDefault="000E1004" w:rsidP="00A33875">
      <w:pPr>
        <w:pStyle w:val="FootnoteText"/>
      </w:pPr>
      <w:r>
        <w:rPr>
          <w:rStyle w:val="FootnoteReference"/>
        </w:rPr>
        <w:footnoteRef/>
      </w:r>
      <w:r>
        <w:t xml:space="preserve"> </w:t>
      </w:r>
      <w:r w:rsidRPr="00473A0A">
        <w:t xml:space="preserve">Chick </w:t>
      </w:r>
      <w:r>
        <w:t xml:space="preserve">(2010, </w:t>
      </w:r>
      <w:r w:rsidRPr="00473A0A">
        <w:t>32</w:t>
      </w:r>
      <w:r>
        <w:t>)</w:t>
      </w:r>
      <w:r w:rsidRPr="00473A0A">
        <w:t>.</w:t>
      </w:r>
    </w:p>
  </w:footnote>
  <w:footnote w:id="566">
    <w:p w14:paraId="58CE95B1" w14:textId="77777777" w:rsidR="000E1004" w:rsidRPr="00C218CE" w:rsidRDefault="000E1004" w:rsidP="008136DC">
      <w:pPr>
        <w:pStyle w:val="FootnoteText"/>
      </w:pPr>
      <w:r>
        <w:rPr>
          <w:rStyle w:val="FootnoteReference"/>
        </w:rPr>
        <w:footnoteRef/>
      </w:r>
      <w:r>
        <w:t xml:space="preserve"> </w:t>
      </w:r>
      <w:r w:rsidRPr="009551B5">
        <w:t>Op d</w:t>
      </w:r>
      <w:r>
        <w:t>en Velde and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w:t>
      </w:r>
      <w:r w:rsidRPr="009551B5">
        <w:t>2009</w:t>
      </w:r>
      <w:r>
        <w:t xml:space="preserve">, </w:t>
      </w:r>
      <w:r w:rsidRPr="00C218CE">
        <w:t>VIII</w:t>
      </w:r>
      <w:r>
        <w:t>)</w:t>
      </w:r>
      <w:r w:rsidRPr="00C218CE">
        <w:t>.</w:t>
      </w:r>
    </w:p>
  </w:footnote>
  <w:footnote w:id="567">
    <w:p w14:paraId="5F42F779" w14:textId="166E029E" w:rsidR="000E1004" w:rsidRDefault="000E1004">
      <w:pPr>
        <w:pStyle w:val="FootnoteText"/>
      </w:pPr>
      <w:r>
        <w:rPr>
          <w:rStyle w:val="FootnoteReference"/>
        </w:rPr>
        <w:footnoteRef/>
      </w:r>
      <w:r>
        <w:t xml:space="preserve"> Despite the predominance of Series D in the Aston Rowant hoard (</w:t>
      </w:r>
      <w:r w:rsidRPr="00967CF2">
        <w:rPr>
          <w:i/>
        </w:rPr>
        <w:t>SCBI</w:t>
      </w:r>
      <w:r>
        <w:t>63, 38).</w:t>
      </w:r>
    </w:p>
  </w:footnote>
  <w:footnote w:id="568">
    <w:p w14:paraId="6E93A270" w14:textId="698F9B9F" w:rsidR="000E1004" w:rsidRDefault="000E1004" w:rsidP="00351CEF">
      <w:pPr>
        <w:pStyle w:val="FootnoteText"/>
      </w:pPr>
      <w:r>
        <w:rPr>
          <w:rStyle w:val="FootnoteReference"/>
        </w:rPr>
        <w:footnoteRef/>
      </w:r>
      <w:r>
        <w:t xml:space="preserve"> </w:t>
      </w:r>
      <w:r w:rsidRPr="00031BD9">
        <w:t>Plausibly referring to Willibrord.</w:t>
      </w:r>
      <w:r>
        <w:t xml:space="preserve"> See Wood (e.g. 2000, 149-66)</w:t>
      </w:r>
    </w:p>
  </w:footnote>
  <w:footnote w:id="569">
    <w:p w14:paraId="3FDD6074" w14:textId="439E9CBE" w:rsidR="000E1004" w:rsidRPr="00C218CE" w:rsidRDefault="000E1004" w:rsidP="00A33875">
      <w:pPr>
        <w:pStyle w:val="FootnoteText"/>
      </w:pPr>
      <w:r w:rsidRPr="00C218CE">
        <w:rPr>
          <w:rStyle w:val="FootnoteReference"/>
        </w:rPr>
        <w:footnoteRef/>
      </w:r>
      <w:r w:rsidRPr="00C218CE">
        <w:t xml:space="preserve"> Abramso</w:t>
      </w:r>
      <w:r>
        <w:t>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w:t>
      </w:r>
      <w:r w:rsidRPr="00C218CE">
        <w:t>2012b 120-1</w:t>
      </w:r>
      <w:r>
        <w:t>)</w:t>
      </w:r>
      <w:r w:rsidRPr="00C218CE">
        <w:t>.</w:t>
      </w:r>
    </w:p>
  </w:footnote>
  <w:footnote w:id="570">
    <w:p w14:paraId="2ACA1251" w14:textId="64ABEDBC" w:rsidR="000E1004" w:rsidRPr="00C218CE" w:rsidRDefault="000E1004" w:rsidP="00A33875">
      <w:pPr>
        <w:pStyle w:val="FootnoteText"/>
      </w:pPr>
      <w:r w:rsidRPr="00C218CE">
        <w:rPr>
          <w:rStyle w:val="FootnoteReference"/>
        </w:rPr>
        <w:footnoteRef/>
      </w:r>
      <w:r w:rsidRPr="00C218CE">
        <w:t xml:space="preserve"> </w:t>
      </w:r>
      <w:r w:rsidRPr="009551B5">
        <w:t>Op d</w:t>
      </w:r>
      <w:r>
        <w:t>en Velde and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w:t>
      </w:r>
      <w:r w:rsidRPr="00C218CE">
        <w:t>2003</w:t>
      </w:r>
      <w:r>
        <w:t>,</w:t>
      </w:r>
      <w:r w:rsidRPr="00C218CE">
        <w:t xml:space="preserve"> 74</w:t>
      </w:r>
      <w:r>
        <w:t>)</w:t>
      </w:r>
      <w:r w:rsidRPr="00C218CE">
        <w:t>. Based on an esti</w:t>
      </w:r>
      <w:r>
        <w:t>mate of 2,670 dies, this assumed</w:t>
      </w:r>
      <w:r w:rsidRPr="00C218CE">
        <w:t xml:space="preserve"> 10,000 sceats per die – even half of this would be a substantial output.</w:t>
      </w:r>
      <w:r>
        <w:t xml:space="preserve"> The relative paucity of die links pushes the estimate upward when this should give pause. The relative paucity of die duplicates may imply short-lived dies.</w:t>
      </w:r>
    </w:p>
  </w:footnote>
  <w:footnote w:id="571">
    <w:p w14:paraId="252D6E8A" w14:textId="0EED33EF" w:rsidR="000E1004" w:rsidRPr="00C218CE" w:rsidRDefault="000E1004" w:rsidP="00A33875">
      <w:pPr>
        <w:pStyle w:val="FootnoteText"/>
      </w:pPr>
      <w:r w:rsidRPr="00C218CE">
        <w:rPr>
          <w:rStyle w:val="FootnoteReference"/>
        </w:rPr>
        <w:footnoteRef/>
      </w:r>
      <w:r w:rsidRPr="00C218CE">
        <w:t xml:space="preserve"> </w:t>
      </w:r>
      <w:r w:rsidRPr="009551B5">
        <w:t>Op d</w:t>
      </w:r>
      <w:r>
        <w:t>en Velde and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w:t>
      </w:r>
      <w:r w:rsidRPr="00C218CE">
        <w:t>2003</w:t>
      </w:r>
      <w:r>
        <w:t>,</w:t>
      </w:r>
      <w:r w:rsidRPr="00C218CE">
        <w:t xml:space="preserve"> 96</w:t>
      </w:r>
      <w:r>
        <w:t>).</w:t>
      </w:r>
    </w:p>
  </w:footnote>
  <w:footnote w:id="572">
    <w:p w14:paraId="5AF6780D" w14:textId="133FE07D" w:rsidR="000E1004" w:rsidRPr="00C218CE" w:rsidRDefault="000E1004" w:rsidP="00A33875">
      <w:pPr>
        <w:pStyle w:val="FootnoteText"/>
      </w:pPr>
      <w:r w:rsidRPr="00C218CE">
        <w:rPr>
          <w:rStyle w:val="FootnoteReference"/>
        </w:rPr>
        <w:footnoteRef/>
      </w:r>
      <w:r>
        <w:t xml:space="preserve"> Op den Velde and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(2009-10, 123). </w:t>
      </w:r>
    </w:p>
  </w:footnote>
  <w:footnote w:id="573">
    <w:p w14:paraId="3C687559" w14:textId="77777777" w:rsidR="000E1004" w:rsidRPr="007E1A99" w:rsidRDefault="000E1004" w:rsidP="00A33875">
      <w:pPr>
        <w:pStyle w:val="FootnoteText"/>
      </w:pPr>
      <w:r w:rsidRPr="007E1A99">
        <w:rPr>
          <w:rStyle w:val="FootnoteReference"/>
        </w:rPr>
        <w:footnoteRef/>
      </w:r>
      <w:r w:rsidRPr="007E1A99">
        <w:t xml:space="preserve"> Using Good’s formula (originally for assessing bird migrations)</w:t>
      </w:r>
      <w:r>
        <w:t>.</w:t>
      </w:r>
    </w:p>
  </w:footnote>
  <w:footnote w:id="574">
    <w:p w14:paraId="0E6A9D05" w14:textId="730773EC" w:rsidR="000E1004" w:rsidRDefault="000E1004" w:rsidP="00A33875">
      <w:pPr>
        <w:pStyle w:val="FootnoteText"/>
      </w:pPr>
      <w:r>
        <w:rPr>
          <w:rStyle w:val="FootnoteReference"/>
        </w:rPr>
        <w:footnoteRef/>
      </w:r>
      <w:r>
        <w:t xml:space="preserve"> </w:t>
      </w:r>
      <w:r w:rsidRPr="00FA3F97">
        <w:rPr>
          <w:color w:val="000000" w:themeColor="text1"/>
        </w:rPr>
        <w:t>Esty</w:t>
      </w:r>
      <w:r>
        <w:rPr>
          <w:color w:val="000000" w:themeColor="text1"/>
        </w:rPr>
        <w:t xml:space="preserve"> (2006)</w:t>
      </w:r>
      <w:r w:rsidRPr="00FA3F97">
        <w:rPr>
          <w:color w:val="000000" w:themeColor="text1"/>
        </w:rPr>
        <w:t>.</w:t>
      </w:r>
    </w:p>
  </w:footnote>
  <w:footnote w:id="575">
    <w:p w14:paraId="2B167972" w14:textId="77777777" w:rsidR="000E1004" w:rsidRPr="007E1A99" w:rsidRDefault="000E1004" w:rsidP="00A33875">
      <w:pPr>
        <w:pStyle w:val="FootnoteText"/>
      </w:pPr>
      <w:r w:rsidRPr="007E1A99">
        <w:rPr>
          <w:rStyle w:val="FootnoteReference"/>
        </w:rPr>
        <w:footnoteRef/>
      </w:r>
      <w:r w:rsidRPr="007E1A99">
        <w:t xml:space="preserve"> The upper or punch-die carries the reverse image to be imprinted on the blank. As the upper die takes the full strike and the stress on the tapered anvil die is dissipated into the supporting block, the reverse die wears much more quickly than the lower, obverse die. A well-tempered reverse die will last a minimum of 10,000 strikes wherea</w:t>
      </w:r>
      <w:r>
        <w:t>s an obverse die will last around</w:t>
      </w:r>
      <w:r w:rsidRPr="007E1A99">
        <w:t xml:space="preserve"> three times as long.</w:t>
      </w:r>
    </w:p>
  </w:footnote>
  <w:footnote w:id="576">
    <w:p w14:paraId="183DDFD6" w14:textId="19F2E4A4" w:rsidR="000E1004" w:rsidRPr="00F92F93" w:rsidRDefault="000E1004" w:rsidP="00A33875">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(2003, 40. 2014, 244).</w:t>
      </w:r>
    </w:p>
  </w:footnote>
  <w:footnote w:id="577">
    <w:p w14:paraId="18C0CAEB" w14:textId="57ACDA35" w:rsidR="000E1004" w:rsidRDefault="000E1004" w:rsidP="00A33875">
      <w:pPr>
        <w:pStyle w:val="FootnoteText"/>
      </w:pPr>
      <w:r>
        <w:rPr>
          <w:rStyle w:val="FootnoteReference"/>
        </w:rPr>
        <w:footnoteRef/>
      </w:r>
      <w:r>
        <w:t xml:space="preserve"> </w:t>
      </w:r>
      <w:r w:rsidRPr="00AB47A8">
        <w:t>‘From Gold</w:t>
      </w:r>
      <w:r>
        <w:fldChar w:fldCharType="begin"/>
      </w:r>
      <w:r>
        <w:instrText xml:space="preserve"> XE "</w:instrText>
      </w:r>
      <w:r w:rsidRPr="00F1328A">
        <w:rPr>
          <w:rStyle w:val="Hyperlink"/>
          <w:rFonts w:cs="Times New Roman"/>
          <w:noProof/>
        </w:rPr>
        <w:instrText>Gold</w:instrText>
      </w:r>
      <w:r>
        <w:instrText xml:space="preserve">" </w:instrText>
      </w:r>
      <w:r>
        <w:fldChar w:fldCharType="end"/>
      </w:r>
      <w:r w:rsidRPr="00AB47A8">
        <w:t xml:space="preserve"> to Silver</w:t>
      </w:r>
      <w:r>
        <w:fldChar w:fldCharType="begin"/>
      </w:r>
      <w:r>
        <w:instrText xml:space="preserve"> XE "</w:instrText>
      </w:r>
      <w:r w:rsidRPr="00F1328A">
        <w:rPr>
          <w:rStyle w:val="Hyperlink"/>
          <w:rFonts w:cs="Times New Roman"/>
          <w:noProof/>
        </w:rPr>
        <w:instrText>Silver</w:instrText>
      </w:r>
      <w:r>
        <w:instrText xml:space="preserve">" </w:instrText>
      </w:r>
      <w:r>
        <w:fldChar w:fldCharType="end"/>
      </w:r>
      <w:r w:rsidRPr="00AB47A8">
        <w:t xml:space="preserve"> in the Seventh Century’, workshop, Cambridge 27-8</w:t>
      </w:r>
      <w:r w:rsidRPr="00AB47A8">
        <w:rPr>
          <w:vertAlign w:val="superscript"/>
        </w:rPr>
        <w:t>th</w:t>
      </w:r>
      <w:r w:rsidRPr="00AB47A8">
        <w:t xml:space="preserve"> March 2015.</w:t>
      </w:r>
    </w:p>
  </w:footnote>
  <w:footnote w:id="578">
    <w:p w14:paraId="18897509" w14:textId="77777777" w:rsidR="000E1004" w:rsidRPr="007E1A99" w:rsidRDefault="000E1004" w:rsidP="00E74327">
      <w:pPr>
        <w:pStyle w:val="FootnoteText"/>
      </w:pPr>
      <w:r w:rsidRPr="007E1A99">
        <w:rPr>
          <w:rStyle w:val="FootnoteReference"/>
        </w:rPr>
        <w:footnoteRef/>
      </w:r>
      <w:r w:rsidRPr="007E1A99">
        <w:t xml:space="preserve"> </w:t>
      </w:r>
      <w:r w:rsidRPr="007E1A99">
        <w:rPr>
          <w:i/>
        </w:rPr>
        <w:t>MEC</w:t>
      </w:r>
      <w:r w:rsidRPr="007E1A99">
        <w:t xml:space="preserve"> </w:t>
      </w:r>
      <w:r>
        <w:t>(1986,</w:t>
      </w:r>
      <w:r w:rsidRPr="006D7168">
        <w:t xml:space="preserve"> </w:t>
      </w:r>
      <w:r>
        <w:t>94) made</w:t>
      </w:r>
      <w:r w:rsidRPr="007E1A99">
        <w:t xml:space="preserve"> a case for this coinage being initiated by Ebroin</w:t>
      </w:r>
      <w:r>
        <w:t>, Neustrian Mayor of the Palace,</w:t>
      </w:r>
      <w:r w:rsidRPr="007E1A99">
        <w:t xml:space="preserve"> (as does Jean Lafaurie in </w:t>
      </w:r>
      <w:r w:rsidRPr="007E1A99">
        <w:rPr>
          <w:i/>
        </w:rPr>
        <w:t>Revue</w:t>
      </w:r>
      <w:r w:rsidRPr="007E1A99">
        <w:t xml:space="preserve"> </w:t>
      </w:r>
      <w:r w:rsidRPr="007E1A99">
        <w:rPr>
          <w:i/>
        </w:rPr>
        <w:t>Numismatique</w:t>
      </w:r>
      <w:r w:rsidRPr="007E1A99">
        <w:t>, 6th series, XI (1969</w:t>
      </w:r>
      <w:r>
        <w:t>,</w:t>
      </w:r>
      <w:r w:rsidRPr="007E1A99">
        <w:t xml:space="preserve"> 120-1)</w:t>
      </w:r>
      <w:r>
        <w:t>)</w:t>
      </w:r>
      <w:r w:rsidRPr="007E1A99">
        <w:t>.</w:t>
      </w:r>
    </w:p>
  </w:footnote>
  <w:footnote w:id="579">
    <w:p w14:paraId="6C5B8C18" w14:textId="77777777" w:rsidR="000E1004" w:rsidRPr="007E1A99" w:rsidRDefault="000E1004" w:rsidP="00E74327">
      <w:pPr>
        <w:pStyle w:val="FootnoteText"/>
      </w:pPr>
      <w:r w:rsidRPr="007E1A99">
        <w:rPr>
          <w:rStyle w:val="FootnoteReference"/>
        </w:rPr>
        <w:footnoteRef/>
      </w:r>
      <w:r w:rsidRPr="007E1A99">
        <w:t xml:space="preserve"> The precise role of the </w:t>
      </w:r>
      <w:r>
        <w:rPr>
          <w:i/>
        </w:rPr>
        <w:t>mone</w:t>
      </w:r>
      <w:r w:rsidRPr="007E1A99">
        <w:rPr>
          <w:i/>
        </w:rPr>
        <w:t>tarius</w:t>
      </w:r>
      <w:r>
        <w:t xml:space="preserve"> is uncertain. It is more </w:t>
      </w:r>
      <w:r w:rsidRPr="007E1A99">
        <w:t xml:space="preserve">likely to </w:t>
      </w:r>
      <w:r>
        <w:t xml:space="preserve">have </w:t>
      </w:r>
      <w:r w:rsidRPr="007E1A99">
        <w:t>be</w:t>
      </w:r>
      <w:r>
        <w:t xml:space="preserve">en a financier licencing minting for profit rather than an overseer with practical </w:t>
      </w:r>
      <w:r w:rsidRPr="007E1A99">
        <w:t>skills: procurement and preparation of mater</w:t>
      </w:r>
      <w:r>
        <w:t xml:space="preserve">ial, die design, engraving, </w:t>
      </w:r>
      <w:r w:rsidRPr="007E1A99">
        <w:t xml:space="preserve">preparation, and striking. </w:t>
      </w:r>
      <w:r>
        <w:t>D</w:t>
      </w:r>
      <w:r w:rsidRPr="00A33875">
        <w:rPr>
          <w:rFonts w:cs="Times New Roman"/>
          <w:szCs w:val="24"/>
        </w:rPr>
        <w:t>ie engraving was less decentralised</w:t>
      </w:r>
      <w:r>
        <w:rPr>
          <w:rFonts w:cs="Times New Roman"/>
          <w:szCs w:val="24"/>
        </w:rPr>
        <w:t xml:space="preserve"> than minting</w:t>
      </w:r>
      <w:r w:rsidRPr="00A33875">
        <w:rPr>
          <w:rFonts w:cs="Times New Roman"/>
          <w:szCs w:val="24"/>
        </w:rPr>
        <w:t xml:space="preserve">, related dies </w:t>
      </w:r>
      <w:r>
        <w:rPr>
          <w:rFonts w:cs="Times New Roman"/>
          <w:szCs w:val="24"/>
        </w:rPr>
        <w:t>being observed at several mints</w:t>
      </w:r>
      <w:r w:rsidRPr="00A33875">
        <w:rPr>
          <w:rFonts w:cs="Times New Roman"/>
          <w:szCs w:val="24"/>
        </w:rPr>
        <w:t>.</w:t>
      </w:r>
      <w:r w:rsidRPr="00A33875">
        <w:rPr>
          <w:rStyle w:val="FootnoteReference"/>
          <w:rFonts w:cs="Times New Roman"/>
          <w:szCs w:val="24"/>
        </w:rPr>
        <w:t xml:space="preserve"> </w:t>
      </w:r>
      <w:r w:rsidRPr="007E1A99">
        <w:rPr>
          <w:i/>
        </w:rPr>
        <w:t>MEC</w:t>
      </w:r>
      <w:r w:rsidRPr="007E1A99">
        <w:t xml:space="preserve"> (</w:t>
      </w:r>
      <w:r>
        <w:t>1986, 101) stated</w:t>
      </w:r>
      <w:r w:rsidRPr="007E1A99">
        <w:t xml:space="preserve"> that standards of execution inevitably declined in such a distributed model.</w:t>
      </w:r>
    </w:p>
  </w:footnote>
  <w:footnote w:id="580">
    <w:p w14:paraId="0F1A6CE8" w14:textId="77777777" w:rsidR="000E1004" w:rsidRPr="007E1A99" w:rsidRDefault="000E1004" w:rsidP="00E74327">
      <w:pPr>
        <w:pStyle w:val="FootnoteText"/>
      </w:pPr>
      <w:r w:rsidRPr="007E1A99">
        <w:rPr>
          <w:rStyle w:val="FootnoteReference"/>
        </w:rPr>
        <w:footnoteRef/>
      </w:r>
      <w:r w:rsidRPr="007E1A99">
        <w:t xml:space="preserve"> </w:t>
      </w:r>
      <w:r>
        <w:t>Pirenne</w:t>
      </w:r>
      <w:r>
        <w:fldChar w:fldCharType="begin"/>
      </w:r>
      <w:r>
        <w:instrText xml:space="preserve"> XE "</w:instrText>
      </w:r>
      <w:r w:rsidRPr="00523AF8">
        <w:rPr>
          <w:rStyle w:val="Hyperlink"/>
          <w:noProof/>
        </w:rPr>
        <w:instrText>Pirenne</w:instrText>
      </w:r>
      <w:r>
        <w:instrText xml:space="preserve">" </w:instrText>
      </w:r>
      <w:r>
        <w:fldChar w:fldCharType="end"/>
      </w:r>
      <w:r>
        <w:t xml:space="preserve"> (2001, 105 &amp; 110) </w:t>
      </w:r>
      <w:r w:rsidRPr="007E1A99">
        <w:rPr>
          <w:i/>
        </w:rPr>
        <w:t>pace</w:t>
      </w:r>
      <w:r>
        <w:t xml:space="preserve"> Prou, regarded</w:t>
      </w:r>
      <w:r w:rsidRPr="007E1A99">
        <w:t xml:space="preserve"> this multiplicity of sources not as true mints but as the result of tax farming whereby collected metal w</w:t>
      </w:r>
      <w:r>
        <w:t>as converted into coin locally.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245) stated that there were ‘never fewer than a dozen’ mints operating at any one time, out of 150 in total. </w:t>
      </w:r>
    </w:p>
  </w:footnote>
  <w:footnote w:id="581">
    <w:p w14:paraId="03D0C140" w14:textId="77777777" w:rsidR="000E1004" w:rsidRPr="007E1A99" w:rsidRDefault="000E1004" w:rsidP="00E74327">
      <w:pPr>
        <w:pStyle w:val="FootnoteText"/>
      </w:pPr>
      <w:r w:rsidRPr="007E1A99">
        <w:rPr>
          <w:rStyle w:val="FootnoteReference"/>
        </w:rPr>
        <w:footnoteRef/>
      </w:r>
      <w:r w:rsidRPr="007E1A99">
        <w:t xml:space="preserve"> Prou</w:t>
      </w:r>
      <w:r>
        <w:t xml:space="preserve"> (1892)</w:t>
      </w:r>
      <w:r w:rsidRPr="007E1A99">
        <w:t>, Belfort</w:t>
      </w:r>
      <w:r>
        <w:t xml:space="preserve"> (1892-5)</w:t>
      </w:r>
      <w:r w:rsidRPr="007E1A99">
        <w:t>.</w:t>
      </w:r>
    </w:p>
  </w:footnote>
  <w:footnote w:id="582">
    <w:p w14:paraId="7A9253DE" w14:textId="77777777" w:rsidR="000E1004" w:rsidRDefault="000E1004" w:rsidP="00E74327">
      <w:pPr>
        <w:pStyle w:val="FootnoteText"/>
      </w:pPr>
      <w:r>
        <w:rPr>
          <w:rStyle w:val="FootnoteReference"/>
        </w:rPr>
        <w:footnoteRef/>
      </w:r>
      <w:r>
        <w:t xml:space="preserve"> </w:t>
      </w:r>
      <w:r w:rsidRPr="00DC2A90">
        <w:t>‘From Gold</w:t>
      </w:r>
      <w:r>
        <w:fldChar w:fldCharType="begin"/>
      </w:r>
      <w:r>
        <w:instrText xml:space="preserve"> XE "</w:instrText>
      </w:r>
      <w:r w:rsidRPr="00F1328A">
        <w:rPr>
          <w:rStyle w:val="Hyperlink"/>
          <w:rFonts w:cs="Times New Roman"/>
          <w:noProof/>
        </w:rPr>
        <w:instrText>Gold</w:instrText>
      </w:r>
      <w:r>
        <w:instrText xml:space="preserve">" </w:instrText>
      </w:r>
      <w:r>
        <w:fldChar w:fldCharType="end"/>
      </w:r>
      <w:r w:rsidRPr="00DC2A90">
        <w:t xml:space="preserve"> to Silver</w:t>
      </w:r>
      <w:r>
        <w:fldChar w:fldCharType="begin"/>
      </w:r>
      <w:r>
        <w:instrText xml:space="preserve"> XE "</w:instrText>
      </w:r>
      <w:r w:rsidRPr="00F1328A">
        <w:rPr>
          <w:rStyle w:val="Hyperlink"/>
          <w:rFonts w:cs="Times New Roman"/>
          <w:noProof/>
        </w:rPr>
        <w:instrText>Silver</w:instrText>
      </w:r>
      <w:r>
        <w:instrText xml:space="preserve">" </w:instrText>
      </w:r>
      <w:r>
        <w:fldChar w:fldCharType="end"/>
      </w:r>
      <w:r w:rsidRPr="00DC2A90">
        <w:t xml:space="preserve"> in the Seventh Century’ workshop, Cambridge 27-8</w:t>
      </w:r>
      <w:r w:rsidRPr="00DC2A90">
        <w:rPr>
          <w:vertAlign w:val="superscript"/>
        </w:rPr>
        <w:t>th</w:t>
      </w:r>
      <w:r w:rsidRPr="00DC2A90">
        <w:t xml:space="preserve"> March 2015.</w:t>
      </w:r>
    </w:p>
  </w:footnote>
  <w:footnote w:id="583">
    <w:p w14:paraId="78C0405D" w14:textId="43504401" w:rsidR="000E1004" w:rsidRPr="007E1A99" w:rsidRDefault="000E1004" w:rsidP="00A33875">
      <w:pPr>
        <w:pStyle w:val="FootnoteText"/>
      </w:pPr>
      <w:r w:rsidRPr="007E1A99">
        <w:rPr>
          <w:rStyle w:val="FootnoteReference"/>
        </w:rPr>
        <w:footnoteRef/>
      </w:r>
      <w:r w:rsidRPr="007E1A99">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rsidRPr="007E1A99">
        <w:t xml:space="preserve"> (1994) and Naylor</w:t>
      </w:r>
      <w:r>
        <w:fldChar w:fldCharType="begin"/>
      </w:r>
      <w:r>
        <w:instrText xml:space="preserve"> XE "</w:instrText>
      </w:r>
      <w:r w:rsidRPr="007D3069">
        <w:rPr>
          <w:rFonts w:cs="Times New Roman"/>
          <w:szCs w:val="24"/>
        </w:rPr>
        <w:instrText>Naylor</w:instrText>
      </w:r>
      <w:r>
        <w:instrText xml:space="preserve">" </w:instrText>
      </w:r>
      <w:r>
        <w:fldChar w:fldCharType="end"/>
      </w:r>
      <w:r w:rsidRPr="007E1A99">
        <w:t xml:space="preserve"> (2006).</w:t>
      </w:r>
      <w:r>
        <w:t xml:space="preserve"> See particularly Bonser (2011, 159-80) for finds from Sledmere</w:t>
      </w:r>
      <w:r>
        <w:fldChar w:fldCharType="begin"/>
      </w:r>
      <w:r>
        <w:instrText xml:space="preserve"> XE "</w:instrText>
      </w:r>
      <w:r w:rsidRPr="004D76A0">
        <w:rPr>
          <w:rStyle w:val="Hyperlink"/>
          <w:noProof/>
        </w:rPr>
        <w:instrText>Sledmere</w:instrText>
      </w:r>
      <w:r>
        <w:instrText xml:space="preserve">" </w:instrText>
      </w:r>
      <w:r>
        <w:fldChar w:fldCharType="end"/>
      </w:r>
      <w:r>
        <w:t>.</w:t>
      </w:r>
    </w:p>
  </w:footnote>
  <w:footnote w:id="584">
    <w:p w14:paraId="365EF07C" w14:textId="5000022D" w:rsidR="000E1004" w:rsidRDefault="000E1004">
      <w:pPr>
        <w:pStyle w:val="FootnoteText"/>
      </w:pPr>
      <w:r>
        <w:rPr>
          <w:rStyle w:val="FootnoteReference"/>
        </w:rPr>
        <w:footnoteRef/>
      </w:r>
      <w:r>
        <w:t xml:space="preserve"> Pelteret (1995, 256).</w:t>
      </w:r>
    </w:p>
  </w:footnote>
  <w:footnote w:id="585">
    <w:p w14:paraId="2D874296" w14:textId="1CF330CC" w:rsidR="000E1004" w:rsidRDefault="000E1004">
      <w:pPr>
        <w:pStyle w:val="FootnoteText"/>
      </w:pPr>
      <w:r>
        <w:rPr>
          <w:rStyle w:val="FootnoteReference"/>
        </w:rPr>
        <w:footnoteRef/>
      </w:r>
      <w:r>
        <w:t xml:space="preserve"> </w:t>
      </w:r>
      <w:r w:rsidRPr="00A07A08">
        <w:rPr>
          <w:i/>
        </w:rPr>
        <w:t>Graph 7.</w:t>
      </w:r>
      <w:r>
        <w:rPr>
          <w:i/>
        </w:rPr>
        <w:t xml:space="preserve">12 no. 5, </w:t>
      </w:r>
      <w:r>
        <w:t>illustrates the chronological dispersal of finds.</w:t>
      </w:r>
    </w:p>
  </w:footnote>
  <w:footnote w:id="586">
    <w:p w14:paraId="3BADDB9C" w14:textId="02A7699E" w:rsidR="000E1004" w:rsidRPr="00754021" w:rsidRDefault="000E1004" w:rsidP="00A33875">
      <w:pPr>
        <w:pStyle w:val="FootnoteText"/>
      </w:pPr>
      <w:r w:rsidRPr="00754021">
        <w:rPr>
          <w:rStyle w:val="FootnoteReference"/>
        </w:rPr>
        <w:footnoteRef/>
      </w:r>
      <w:r w:rsidRPr="00754021">
        <w:t xml:space="preserve"> </w:t>
      </w:r>
      <w:r>
        <w:t>Abramson (2012d, 249)</w:t>
      </w:r>
      <w:r w:rsidRPr="00754021">
        <w:t xml:space="preserve">. The source of </w:t>
      </w:r>
      <w:r>
        <w:t xml:space="preserve">the extremely rare </w:t>
      </w:r>
      <w:r w:rsidRPr="00754021">
        <w:t>Series J</w:t>
      </w:r>
      <w:r>
        <w:t>,</w:t>
      </w:r>
      <w:r w:rsidRPr="00754021">
        <w:t xml:space="preserve"> type 60 (</w:t>
      </w:r>
      <w:r w:rsidRPr="00754021">
        <w:rPr>
          <w:i/>
        </w:rPr>
        <w:t>SL</w:t>
      </w:r>
      <w:r w:rsidRPr="00754021">
        <w:t>18-10) remains elusive.</w:t>
      </w:r>
    </w:p>
  </w:footnote>
  <w:footnote w:id="587">
    <w:p w14:paraId="17CEC05F" w14:textId="1036450B" w:rsidR="000E1004" w:rsidRPr="006D6D2F" w:rsidRDefault="000E1004" w:rsidP="00A33875">
      <w:pPr>
        <w:pStyle w:val="NoSpacing"/>
      </w:pPr>
      <w:r w:rsidRPr="006D6D2F">
        <w:rPr>
          <w:rStyle w:val="FootnoteReference"/>
          <w:sz w:val="20"/>
          <w:szCs w:val="20"/>
        </w:rPr>
        <w:footnoteRef/>
      </w:r>
      <w:r w:rsidRPr="006D6D2F">
        <w:t xml:space="preserve"> </w:t>
      </w:r>
      <w:r>
        <w:rPr>
          <w:rStyle w:val="Hyperlink"/>
          <w:color w:val="000000" w:themeColor="text1"/>
          <w:sz w:val="20"/>
          <w:szCs w:val="20"/>
          <w:u w:val="none"/>
        </w:rPr>
        <w:t>Abramson</w:t>
      </w:r>
      <w:r>
        <w:rPr>
          <w:rStyle w:val="Hyperlink"/>
          <w:color w:val="000000" w:themeColor="text1"/>
          <w:sz w:val="20"/>
          <w:szCs w:val="20"/>
          <w:u w:val="none"/>
        </w:rPr>
        <w:fldChar w:fldCharType="begin"/>
      </w:r>
      <w:r>
        <w:instrText xml:space="preserve"> XE "</w:instrText>
      </w:r>
      <w:r w:rsidRPr="007A2080">
        <w:rPr>
          <w:rFonts w:cs="Times New Roman"/>
          <w:b/>
          <w:sz w:val="40"/>
          <w:szCs w:val="40"/>
        </w:rPr>
        <w:instrText>Abramson</w:instrText>
      </w:r>
      <w:r>
        <w:instrText xml:space="preserve">" </w:instrText>
      </w:r>
      <w:r>
        <w:rPr>
          <w:rStyle w:val="Hyperlink"/>
          <w:color w:val="000000" w:themeColor="text1"/>
          <w:sz w:val="20"/>
          <w:szCs w:val="20"/>
          <w:u w:val="none"/>
        </w:rPr>
        <w:fldChar w:fldCharType="end"/>
      </w:r>
      <w:r>
        <w:rPr>
          <w:rStyle w:val="Hyperlink"/>
          <w:color w:val="000000" w:themeColor="text1"/>
          <w:sz w:val="20"/>
          <w:szCs w:val="20"/>
          <w:u w:val="none"/>
        </w:rPr>
        <w:t xml:space="preserve"> (2002,</w:t>
      </w:r>
      <w:r w:rsidRPr="004C4386">
        <w:rPr>
          <w:rStyle w:val="Hyperlink"/>
          <w:color w:val="000000" w:themeColor="text1"/>
          <w:sz w:val="20"/>
          <w:szCs w:val="20"/>
          <w:u w:val="none"/>
        </w:rPr>
        <w:t xml:space="preserve"> 335</w:t>
      </w:r>
      <w:r w:rsidRPr="00317973">
        <w:rPr>
          <w:rStyle w:val="Hyperlink"/>
          <w:color w:val="000000" w:themeColor="text1"/>
          <w:sz w:val="20"/>
          <w:szCs w:val="20"/>
          <w:u w:val="none"/>
        </w:rPr>
        <w:t>).</w:t>
      </w:r>
    </w:p>
  </w:footnote>
  <w:footnote w:id="588">
    <w:p w14:paraId="71B6C809" w14:textId="381C6437" w:rsidR="000E1004" w:rsidRDefault="000E1004" w:rsidP="00A33875">
      <w:pPr>
        <w:pStyle w:val="FootnoteText"/>
      </w:pPr>
      <w:r>
        <w:rPr>
          <w:rStyle w:val="FootnoteReference"/>
        </w:rPr>
        <w:footnoteRef/>
      </w:r>
      <w:r>
        <w:t xml:space="preserve"> Marner (2000,</w:t>
      </w:r>
      <w:r w:rsidRPr="00C74961">
        <w:t xml:space="preserve"> pl. 15</w:t>
      </w:r>
      <w:r>
        <w:t>)</w:t>
      </w:r>
      <w:r w:rsidRPr="00C74961">
        <w:t>. My thanks to Richard Morris for pointing this out (</w:t>
      </w:r>
      <w:r w:rsidRPr="00C74961">
        <w:rPr>
          <w:i/>
        </w:rPr>
        <w:t>c.</w:t>
      </w:r>
      <w:r w:rsidRPr="00C74961">
        <w:t>2008?)</w:t>
      </w:r>
    </w:p>
  </w:footnote>
  <w:footnote w:id="589">
    <w:p w14:paraId="6AA25C82" w14:textId="369A1BE6" w:rsidR="000E1004" w:rsidRDefault="000E1004">
      <w:pPr>
        <w:pStyle w:val="FootnoteText"/>
      </w:pPr>
      <w:r>
        <w:rPr>
          <w:rStyle w:val="FootnoteReference"/>
        </w:rPr>
        <w:footnoteRef/>
      </w:r>
      <w:r>
        <w:t xml:space="preserve"> First recognised by Richard Morris.</w:t>
      </w:r>
    </w:p>
  </w:footnote>
  <w:footnote w:id="590">
    <w:p w14:paraId="26703DC3" w14:textId="5AC671E9" w:rsidR="000E1004" w:rsidRDefault="000E1004" w:rsidP="005F4B60">
      <w:pPr>
        <w:pStyle w:val="FootnoteText"/>
      </w:pPr>
      <w:r>
        <w:rPr>
          <w:rStyle w:val="FootnoteReference"/>
        </w:rPr>
        <w:footnoteRef/>
      </w:r>
      <w:r>
        <w:t xml:space="preserve"> </w:t>
      </w:r>
      <w:r w:rsidRPr="005279B3">
        <w:t>Metcalf</w:t>
      </w:r>
      <w:r>
        <w:fldChar w:fldCharType="begin"/>
      </w:r>
      <w:r>
        <w:instrText xml:space="preserve"> XE "</w:instrText>
      </w:r>
      <w:r w:rsidRPr="00523AF8">
        <w:rPr>
          <w:rStyle w:val="Hyperlink"/>
          <w:noProof/>
        </w:rPr>
        <w:instrText>Metcalf</w:instrText>
      </w:r>
      <w:r>
        <w:instrText xml:space="preserve">" </w:instrText>
      </w:r>
      <w:r>
        <w:fldChar w:fldCharType="end"/>
      </w:r>
      <w:r w:rsidRPr="005279B3">
        <w:t xml:space="preserve"> (1993</w:t>
      </w:r>
      <w:r>
        <w:t>,</w:t>
      </w:r>
      <w:r w:rsidRPr="005279B3">
        <w:t xml:space="preserve"> 222</w:t>
      </w:r>
      <w:r>
        <w:t>)</w:t>
      </w:r>
      <w:r w:rsidRPr="005279B3">
        <w:t>.</w:t>
      </w:r>
    </w:p>
  </w:footnote>
  <w:footnote w:id="591">
    <w:p w14:paraId="03404A80" w14:textId="4C84D302" w:rsidR="000E1004" w:rsidRDefault="000E1004" w:rsidP="00A33875">
      <w:pPr>
        <w:pStyle w:val="FootnoteText"/>
      </w:pPr>
      <w:r>
        <w:rPr>
          <w:rStyle w:val="FootnoteReference"/>
        </w:rPr>
        <w:footnoteRef/>
      </w:r>
      <w:r>
        <w:t xml:space="preserve"> But they accept my interpretation of Metcalf</w:t>
      </w:r>
      <w:r>
        <w:fldChar w:fldCharType="begin"/>
      </w:r>
      <w:r>
        <w:instrText xml:space="preserve"> XE "</w:instrText>
      </w:r>
      <w:r w:rsidRPr="00523AF8">
        <w:rPr>
          <w:rStyle w:val="Hyperlink"/>
          <w:noProof/>
        </w:rPr>
        <w:instrText>Metcalf</w:instrText>
      </w:r>
      <w:r>
        <w:instrText xml:space="preserve">" </w:instrText>
      </w:r>
      <w:r>
        <w:fldChar w:fldCharType="end"/>
      </w:r>
      <w:r>
        <w:t>’s</w:t>
      </w:r>
      <w:r w:rsidRPr="00315673">
        <w:t xml:space="preserve"> ‘Mixed Grill’ variety, (2009</w:t>
      </w:r>
      <w:r>
        <w:t xml:space="preserve">, </w:t>
      </w:r>
      <w:r w:rsidRPr="00315673">
        <w:t>47</w:t>
      </w:r>
      <w:r>
        <w:t>)</w:t>
      </w:r>
      <w:r w:rsidRPr="00315673">
        <w:t>.</w:t>
      </w:r>
    </w:p>
  </w:footnote>
  <w:footnote w:id="592">
    <w:p w14:paraId="5476C480" w14:textId="08B32A04" w:rsidR="000E1004" w:rsidRDefault="000E1004" w:rsidP="00A33875">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(2011,</w:t>
      </w:r>
      <w:r w:rsidRPr="00A13AD1">
        <w:t xml:space="preserve"> 167</w:t>
      </w:r>
      <w:r>
        <w:t>)</w:t>
      </w:r>
      <w:r w:rsidRPr="00A13AD1">
        <w:t>.</w:t>
      </w:r>
    </w:p>
  </w:footnote>
  <w:footnote w:id="593">
    <w:p w14:paraId="6B5D3E96" w14:textId="728D30D0" w:rsidR="000E1004" w:rsidRPr="004E20D7" w:rsidRDefault="000E1004" w:rsidP="00A33875">
      <w:pPr>
        <w:pStyle w:val="FootnoteText"/>
      </w:pPr>
      <w:r w:rsidRPr="004E20D7">
        <w:rPr>
          <w:rStyle w:val="FootnoteReference"/>
        </w:rPr>
        <w:footnoteRef/>
      </w:r>
      <w:r w:rsidRPr="004E20D7">
        <w:t xml:space="preserve"> The latest of the grave finds, containing eight sceats</w:t>
      </w:r>
      <w:r>
        <w:t>, a number occurring elsewhere. Rigold (</w:t>
      </w:r>
      <w:r w:rsidRPr="004E20D7">
        <w:t>1988 221</w:t>
      </w:r>
      <w:r>
        <w:t>)</w:t>
      </w:r>
      <w:r w:rsidRPr="004E20D7">
        <w:t>, Rigold &amp; Metcalf</w:t>
      </w:r>
      <w:r>
        <w:fldChar w:fldCharType="begin"/>
      </w:r>
      <w:r>
        <w:instrText xml:space="preserve"> XE "</w:instrText>
      </w:r>
      <w:r w:rsidRPr="00523AF8">
        <w:rPr>
          <w:rStyle w:val="Hyperlink"/>
          <w:noProof/>
        </w:rPr>
        <w:instrText>Metcalf</w:instrText>
      </w:r>
      <w:r>
        <w:instrText xml:space="preserve">" </w:instrText>
      </w:r>
      <w:r>
        <w:fldChar w:fldCharType="end"/>
      </w:r>
      <w:r w:rsidRPr="004E20D7">
        <w:t xml:space="preserve"> </w:t>
      </w:r>
      <w:r>
        <w:t>(</w:t>
      </w:r>
      <w:r w:rsidRPr="004E20D7">
        <w:t>1984 252</w:t>
      </w:r>
      <w:r>
        <w:t>)</w:t>
      </w:r>
      <w:r w:rsidRPr="004E20D7">
        <w:t xml:space="preserve">, Blackburn </w:t>
      </w:r>
      <w:r>
        <w:t>(</w:t>
      </w:r>
      <w:r w:rsidRPr="004E20D7">
        <w:t>2011</w:t>
      </w:r>
      <w:r>
        <w:t>,</w:t>
      </w:r>
      <w:r w:rsidRPr="004E20D7">
        <w:t xml:space="preserve"> 593).</w:t>
      </w:r>
    </w:p>
  </w:footnote>
  <w:footnote w:id="594">
    <w:p w14:paraId="7336FA66" w14:textId="77777777" w:rsidR="000E1004" w:rsidRDefault="000E1004" w:rsidP="00A33875">
      <w:pPr>
        <w:pStyle w:val="FootnoteText"/>
      </w:pPr>
      <w:r>
        <w:rPr>
          <w:rStyle w:val="FootnoteReference"/>
        </w:rPr>
        <w:footnoteRef/>
      </w:r>
      <w:r>
        <w:t xml:space="preserve"> </w:t>
      </w:r>
      <w:r w:rsidRPr="005725FF">
        <w:t>Mary Garrison (</w:t>
      </w:r>
      <w:r w:rsidRPr="005725FF">
        <w:rPr>
          <w:i/>
        </w:rPr>
        <w:t>pers. comm</w:t>
      </w:r>
      <w:r w:rsidRPr="005725FF">
        <w:t>.) 24</w:t>
      </w:r>
      <w:r w:rsidRPr="005725FF">
        <w:rPr>
          <w:vertAlign w:val="superscript"/>
        </w:rPr>
        <w:t>th</w:t>
      </w:r>
      <w:r w:rsidRPr="005725FF">
        <w:t xml:space="preserve"> October 2014.</w:t>
      </w:r>
    </w:p>
  </w:footnote>
  <w:footnote w:id="595">
    <w:p w14:paraId="1F310947" w14:textId="23D633AF" w:rsidR="000E1004" w:rsidRPr="002211A4" w:rsidRDefault="000E1004" w:rsidP="00A33875">
      <w:pPr>
        <w:pStyle w:val="FootnoteText"/>
      </w:pPr>
      <w:r>
        <w:rPr>
          <w:rStyle w:val="FootnoteReference"/>
        </w:rPr>
        <w:footnoteRef/>
      </w:r>
      <w:r>
        <w:t xml:space="preserve"> </w:t>
      </w:r>
      <w:r w:rsidRPr="00E46CC5">
        <w:t>Metcalf</w:t>
      </w:r>
      <w:r>
        <w:t xml:space="preserve"> (1993, 268).</w:t>
      </w:r>
    </w:p>
  </w:footnote>
  <w:footnote w:id="596">
    <w:p w14:paraId="373DA3C3" w14:textId="5BAC2280" w:rsidR="000E1004" w:rsidRPr="007B6602" w:rsidRDefault="000E1004" w:rsidP="00A33875">
      <w:pPr>
        <w:pStyle w:val="FootnoteText"/>
      </w:pPr>
      <w:r>
        <w:rPr>
          <w:rStyle w:val="FootnoteReference"/>
        </w:rPr>
        <w:footnoteRef/>
      </w:r>
      <w:r>
        <w:t xml:space="preserve"> </w:t>
      </w:r>
      <w:r w:rsidRPr="00067FAA">
        <w:rPr>
          <w:i/>
        </w:rPr>
        <w:t>Table</w:t>
      </w:r>
      <w:r w:rsidRPr="00067FAA">
        <w:rPr>
          <w:i/>
        </w:rPr>
        <w:fldChar w:fldCharType="begin"/>
      </w:r>
      <w:r>
        <w:instrText xml:space="preserve"> XE "</w:instrText>
      </w:r>
      <w:r w:rsidRPr="00067FAA">
        <w:rPr>
          <w:noProof/>
        </w:rPr>
        <w:instrText>Table</w:instrText>
      </w:r>
      <w:r>
        <w:instrText xml:space="preserve">" </w:instrText>
      </w:r>
      <w:r w:rsidRPr="00067FAA">
        <w:rPr>
          <w:i/>
        </w:rPr>
        <w:fldChar w:fldCharType="end"/>
      </w:r>
      <w:r>
        <w:rPr>
          <w:i/>
        </w:rPr>
        <w:t xml:space="preserve"> </w:t>
      </w:r>
      <w:r w:rsidRPr="00067FAA">
        <w:rPr>
          <w:i/>
        </w:rPr>
        <w:t>5</w:t>
      </w:r>
      <w:r>
        <w:rPr>
          <w:i/>
        </w:rPr>
        <w:t>.13</w:t>
      </w:r>
      <w:r w:rsidRPr="00A33C5C">
        <w:rPr>
          <w:rStyle w:val="Hyperlink"/>
          <w:u w:val="none"/>
        </w:rPr>
        <w:t>.</w:t>
      </w:r>
    </w:p>
  </w:footnote>
  <w:footnote w:id="597">
    <w:p w14:paraId="52C047CE" w14:textId="4894D42F" w:rsidR="000E1004" w:rsidRDefault="000E1004" w:rsidP="00A33875">
      <w:pPr>
        <w:pStyle w:val="FootnoteText"/>
      </w:pPr>
      <w:r>
        <w:rPr>
          <w:rStyle w:val="FootnoteReference"/>
        </w:rPr>
        <w:footnoteRef/>
      </w:r>
      <w:r w:rsidRPr="00EE141C">
        <w:t xml:space="preserve"> The earliest surviving English dies are from </w:t>
      </w:r>
      <w:r>
        <w:t xml:space="preserve">the smithy at 16-22 </w:t>
      </w:r>
      <w:r w:rsidRPr="00EE141C">
        <w:t>Coppergate</w:t>
      </w:r>
      <w:r>
        <w:t>, York</w:t>
      </w:r>
      <w:r>
        <w:fldChar w:fldCharType="begin"/>
      </w:r>
      <w:r>
        <w:instrText xml:space="preserve"> XE "</w:instrText>
      </w:r>
      <w:r w:rsidRPr="00F1328A">
        <w:rPr>
          <w:rStyle w:val="Hyperlink"/>
          <w:noProof/>
        </w:rPr>
        <w:instrText>York</w:instrText>
      </w:r>
      <w:r>
        <w:instrText xml:space="preserve">" </w:instrText>
      </w:r>
      <w:r>
        <w:fldChar w:fldCharType="end"/>
      </w:r>
      <w:r w:rsidRPr="00EE141C">
        <w:t xml:space="preserve"> (Ottaway, 1992</w:t>
      </w:r>
      <w:r>
        <w:t>, 525-7) implying that minting was an occasional part of a metalworker’s employment. Blackburn (2011, 595). A Caroli</w:t>
      </w:r>
      <w:r w:rsidRPr="00EE141C">
        <w:t>ngian</w:t>
      </w:r>
      <w:r>
        <w:fldChar w:fldCharType="begin"/>
      </w:r>
      <w:r>
        <w:instrText xml:space="preserve"> XE "</w:instrText>
      </w:r>
      <w:r w:rsidRPr="007D3069">
        <w:rPr>
          <w:rFonts w:cs="Times New Roman"/>
          <w:szCs w:val="24"/>
        </w:rPr>
        <w:instrText>Carolingian</w:instrText>
      </w:r>
      <w:r>
        <w:instrText xml:space="preserve">" </w:instrText>
      </w:r>
      <w:r>
        <w:fldChar w:fldCharType="end"/>
      </w:r>
      <w:r w:rsidRPr="00EE141C">
        <w:t xml:space="preserve"> </w:t>
      </w:r>
      <w:r>
        <w:t xml:space="preserve">reverse </w:t>
      </w:r>
      <w:r w:rsidRPr="00EE141C">
        <w:t>die exists from Melle</w:t>
      </w:r>
      <w:r>
        <w:t>. Blunt</w:t>
      </w:r>
      <w:r w:rsidRPr="00EE141C">
        <w:t xml:space="preserve"> </w:t>
      </w:r>
      <w:r>
        <w:t>(</w:t>
      </w:r>
      <w:r w:rsidRPr="00EE141C">
        <w:t>1986).</w:t>
      </w:r>
    </w:p>
  </w:footnote>
  <w:footnote w:id="598">
    <w:p w14:paraId="358F8D1E" w14:textId="6ECC1007" w:rsidR="000E1004" w:rsidRDefault="000E1004" w:rsidP="00A33875">
      <w:pPr>
        <w:pStyle w:val="FootnoteText"/>
      </w:pPr>
      <w:r>
        <w:rPr>
          <w:rStyle w:val="FootnoteReference"/>
        </w:rPr>
        <w:footnoteRef/>
      </w:r>
      <w:r>
        <w:t xml:space="preserve"> </w:t>
      </w:r>
      <w:r w:rsidRPr="00472EED">
        <w:t xml:space="preserve">Philippe Schiesser, </w:t>
      </w:r>
      <w:r w:rsidRPr="00472EED">
        <w:rPr>
          <w:rStyle w:val="a"/>
        </w:rPr>
        <w:t>Société d’Études Numismatiques et Archéologiques,</w:t>
      </w:r>
      <w:r w:rsidRPr="00472EED">
        <w:t xml:space="preserve"> (</w:t>
      </w:r>
      <w:r w:rsidRPr="00472EED">
        <w:rPr>
          <w:i/>
        </w:rPr>
        <w:t>pers. comm.</w:t>
      </w:r>
      <w:r w:rsidRPr="00472EED">
        <w:t xml:space="preserve"> 12/11/14): ‘</w:t>
      </w:r>
      <w:r w:rsidRPr="00472EED">
        <w:rPr>
          <w:iCs/>
        </w:rPr>
        <w:t xml:space="preserve">The dating of sceattas is more precise than the deniers. We rely on the presence of sceattas in the </w:t>
      </w:r>
      <w:proofErr w:type="spellStart"/>
      <w:r w:rsidRPr="00472EED">
        <w:rPr>
          <w:iCs/>
        </w:rPr>
        <w:t>hoards</w:t>
      </w:r>
      <w:proofErr w:type="spellEnd"/>
      <w:r w:rsidRPr="00472EED">
        <w:rPr>
          <w:iCs/>
        </w:rPr>
        <w:t xml:space="preserve"> of denier</w:t>
      </w:r>
      <w:r>
        <w:rPr>
          <w:iCs/>
        </w:rPr>
        <w:fldChar w:fldCharType="begin"/>
      </w:r>
      <w:r>
        <w:instrText xml:space="preserve"> XE "</w:instrText>
      </w:r>
      <w:r w:rsidRPr="007D3069">
        <w:rPr>
          <w:rFonts w:cs="Times New Roman"/>
          <w:szCs w:val="24"/>
        </w:rPr>
        <w:instrText>denier</w:instrText>
      </w:r>
      <w:r>
        <w:instrText xml:space="preserve">" </w:instrText>
      </w:r>
      <w:r>
        <w:rPr>
          <w:iCs/>
        </w:rPr>
        <w:fldChar w:fldCharType="end"/>
      </w:r>
      <w:r w:rsidRPr="00472EED">
        <w:rPr>
          <w:iCs/>
        </w:rPr>
        <w:t xml:space="preserve"> for the date.’</w:t>
      </w:r>
      <w:r w:rsidRPr="00F50111">
        <w:rPr>
          <w:sz w:val="22"/>
          <w:szCs w:val="22"/>
        </w:rPr>
        <w:t xml:space="preserve"> </w:t>
      </w:r>
      <w:r w:rsidRPr="00B55F99">
        <w:t>Moreover, I invoke</w:t>
      </w:r>
      <w:r w:rsidRPr="00334206">
        <w:t xml:space="preserve"> the ‘Reece </w:t>
      </w:r>
      <w:r w:rsidRPr="00067FAA">
        <w:t>apologia</w:t>
      </w:r>
      <w:r w:rsidRPr="00334206">
        <w:t xml:space="preserve">’ </w:t>
      </w:r>
      <w:r>
        <w:t>(</w:t>
      </w:r>
      <w:r>
        <w:fldChar w:fldCharType="begin"/>
      </w:r>
      <w:r>
        <w:instrText xml:space="preserve"> PAGEREF apologia \h </w:instrText>
      </w:r>
      <w:r>
        <w:fldChar w:fldCharType="separate"/>
      </w:r>
      <w:r w:rsidR="0012026B">
        <w:rPr>
          <w:noProof/>
        </w:rPr>
        <w:t>172</w:t>
      </w:r>
      <w:r>
        <w:fldChar w:fldCharType="end"/>
      </w:r>
      <w:r>
        <w:t>) in defence of my</w:t>
      </w:r>
      <w:r w:rsidRPr="00334206">
        <w:t xml:space="preserve"> failure </w:t>
      </w:r>
      <w:r>
        <w:t>to align the cessation</w:t>
      </w:r>
      <w:r w:rsidRPr="00334206">
        <w:t xml:space="preserve"> of the northern and southern primary sceatta</w:t>
      </w:r>
      <w:r>
        <w:fldChar w:fldCharType="begin"/>
      </w:r>
      <w:r>
        <w:instrText xml:space="preserve"> XE "</w:instrText>
      </w:r>
      <w:r w:rsidRPr="007645AE">
        <w:instrText>sceatta</w:instrText>
      </w:r>
      <w:r>
        <w:instrText xml:space="preserve">" </w:instrText>
      </w:r>
      <w:r>
        <w:fldChar w:fldCharType="end"/>
      </w:r>
      <w:r w:rsidRPr="00334206">
        <w:t xml:space="preserve"> phases.</w:t>
      </w:r>
    </w:p>
  </w:footnote>
  <w:footnote w:id="599">
    <w:p w14:paraId="6B9D6630" w14:textId="1BE91391" w:rsidR="000E1004" w:rsidRPr="007E1A99" w:rsidRDefault="000E1004" w:rsidP="00A33875">
      <w:pPr>
        <w:pStyle w:val="FootnoteText"/>
      </w:pPr>
      <w:r w:rsidRPr="007E1A99">
        <w:rPr>
          <w:rStyle w:val="FootnoteReference"/>
        </w:rPr>
        <w:footnoteRef/>
      </w:r>
      <w:r w:rsidRPr="007E1A99">
        <w:t xml:space="preserve"> </w:t>
      </w:r>
      <w:r>
        <w:t xml:space="preserve">See </w:t>
      </w:r>
      <w:r w:rsidRPr="00F46707">
        <w:rPr>
          <w:i/>
        </w:rPr>
        <w:t>fn</w:t>
      </w:r>
      <w:r>
        <w:t xml:space="preserve"> </w:t>
      </w:r>
      <w:r>
        <w:fldChar w:fldCharType="begin"/>
      </w:r>
      <w:r>
        <w:instrText xml:space="preserve"> NOTEREF _Ref468089439 \h </w:instrText>
      </w:r>
      <w:r>
        <w:fldChar w:fldCharType="separate"/>
      </w:r>
      <w:r w:rsidR="0012026B">
        <w:t>1207</w:t>
      </w:r>
      <w:r>
        <w:fldChar w:fldCharType="end"/>
      </w:r>
      <w:r>
        <w:t xml:space="preserve">. </w:t>
      </w:r>
    </w:p>
  </w:footnote>
  <w:footnote w:id="600">
    <w:p w14:paraId="10663EBE" w14:textId="77777777" w:rsidR="000E1004" w:rsidRDefault="000E1004" w:rsidP="00A33875">
      <w:pPr>
        <w:pStyle w:val="FootnoteText"/>
      </w:pPr>
      <w:r>
        <w:rPr>
          <w:rStyle w:val="FootnoteReference"/>
        </w:rPr>
        <w:footnoteRef/>
      </w:r>
      <w:r>
        <w:t xml:space="preserve"> </w:t>
      </w:r>
      <w:r w:rsidRPr="00227836">
        <w:t>Booth (1984).</w:t>
      </w:r>
    </w:p>
  </w:footnote>
  <w:footnote w:id="601">
    <w:p w14:paraId="3D81C9E1" w14:textId="019D2984" w:rsidR="000E1004" w:rsidRPr="009A75B6" w:rsidRDefault="000E1004" w:rsidP="00A33875">
      <w:pPr>
        <w:pStyle w:val="FootnoteText"/>
      </w:pPr>
      <w:r w:rsidRPr="009A75B6">
        <w:rPr>
          <w:rStyle w:val="FootnoteReference"/>
        </w:rPr>
        <w:footnoteRef/>
      </w:r>
      <w:r>
        <w:t xml:space="preserve"> Booth (</w:t>
      </w:r>
      <w:r w:rsidRPr="009A75B6">
        <w:t>2011</w:t>
      </w:r>
      <w:r>
        <w:t>)</w:t>
      </w:r>
      <w:r w:rsidRPr="009A75B6">
        <w:t>.</w:t>
      </w:r>
      <w:r>
        <w:t xml:space="preserve"> A possible cause is disrupted trade across the North Sea due to Frankish intervention in Frisia.</w:t>
      </w:r>
    </w:p>
  </w:footnote>
  <w:footnote w:id="602">
    <w:p w14:paraId="372A81D3" w14:textId="2B5A1736" w:rsidR="000E1004" w:rsidRPr="007E1A99" w:rsidRDefault="000E1004" w:rsidP="00A33875">
      <w:pPr>
        <w:pStyle w:val="FootnoteText"/>
      </w:pPr>
      <w:r w:rsidRPr="007E1A99">
        <w:rPr>
          <w:rStyle w:val="FootnoteReference"/>
        </w:rPr>
        <w:footnoteRef/>
      </w:r>
      <w:r w:rsidRPr="007E1A99">
        <w:t xml:space="preserve"> This division disguises the change from the ‘fantastic animal’ type to the inscriptional type. This occurred during the reign of Ælfwald</w:t>
      </w:r>
      <w:r>
        <w:fldChar w:fldCharType="begin"/>
      </w:r>
      <w:r>
        <w:instrText xml:space="preserve"> XE "</w:instrText>
      </w:r>
      <w:r w:rsidRPr="007D3069">
        <w:rPr>
          <w:rFonts w:cs="Times New Roman"/>
          <w:szCs w:val="24"/>
        </w:rPr>
        <w:instrText>Ælfwald</w:instrText>
      </w:r>
      <w:r>
        <w:instrText xml:space="preserve">" </w:instrText>
      </w:r>
      <w:r>
        <w:fldChar w:fldCharType="end"/>
      </w:r>
      <w:r w:rsidRPr="007E1A99">
        <w:t xml:space="preserve"> I, but the two earlier joint issues of Æthelwald Moll are inscriptional</w:t>
      </w:r>
      <w:r>
        <w:t xml:space="preserve"> (</w:t>
      </w:r>
      <w:r w:rsidRPr="00D46A4D">
        <w:rPr>
          <w:i/>
        </w:rPr>
        <w:t>SL</w:t>
      </w:r>
      <w:r>
        <w:t>76-7)</w:t>
      </w:r>
      <w:r w:rsidRPr="007E1A99">
        <w:t>. The issue with his son Æthelred</w:t>
      </w:r>
      <w:r>
        <w:fldChar w:fldCharType="begin"/>
      </w:r>
      <w:r>
        <w:instrText xml:space="preserve"> XE "</w:instrText>
      </w:r>
      <w:r w:rsidRPr="007645AE">
        <w:rPr>
          <w:rFonts w:cs="Times New Roman"/>
        </w:rPr>
        <w:instrText>Æ</w:instrText>
      </w:r>
      <w:r w:rsidRPr="007645AE">
        <w:instrText>thelred</w:instrText>
      </w:r>
      <w:r>
        <w:instrText xml:space="preserve">" </w:instrText>
      </w:r>
      <w:r>
        <w:fldChar w:fldCharType="end"/>
      </w:r>
      <w:r w:rsidRPr="007E1A99">
        <w:t xml:space="preserve"> has the ‘initial’ cross within the legend on both obverse and reverse.</w:t>
      </w:r>
    </w:p>
  </w:footnote>
  <w:footnote w:id="603">
    <w:p w14:paraId="74C34142" w14:textId="336E84E5" w:rsidR="000E1004" w:rsidRDefault="000E1004" w:rsidP="00A33875">
      <w:pPr>
        <w:pStyle w:val="FootnoteText"/>
      </w:pPr>
      <w:r>
        <w:rPr>
          <w:rStyle w:val="FootnoteReference"/>
        </w:rPr>
        <w:footnoteRef/>
      </w:r>
      <w:r>
        <w:t xml:space="preserve"> </w:t>
      </w:r>
      <w:r w:rsidRPr="00E87C37">
        <w:t>Influences may have included Byzantine</w:t>
      </w:r>
      <w:r>
        <w:fldChar w:fldCharType="begin"/>
      </w:r>
      <w:r>
        <w:instrText xml:space="preserve"> XE "</w:instrText>
      </w:r>
      <w:r w:rsidRPr="007D3069">
        <w:instrText>Byzantine</w:instrText>
      </w:r>
      <w:r>
        <w:instrText xml:space="preserve">" </w:instrText>
      </w:r>
      <w:r>
        <w:fldChar w:fldCharType="end"/>
      </w:r>
      <w:r w:rsidRPr="00E87C37">
        <w:t xml:space="preserve"> iconoclasm and the Islamic view of portrayal as blasphemous.</w:t>
      </w:r>
    </w:p>
  </w:footnote>
  <w:footnote w:id="604">
    <w:p w14:paraId="01AB775E" w14:textId="0A1493B7" w:rsidR="000E1004" w:rsidRDefault="000E1004" w:rsidP="00A33875">
      <w:pPr>
        <w:pStyle w:val="FootnoteText"/>
      </w:pPr>
      <w:r>
        <w:rPr>
          <w:rStyle w:val="FootnoteReference"/>
        </w:rPr>
        <w:footnoteRef/>
      </w:r>
      <w:r>
        <w:t xml:space="preserve"> </w:t>
      </w:r>
      <w:r w:rsidRPr="00FD1B7C">
        <w:t>Significantly, it is the bishop who is portrayed.</w:t>
      </w:r>
      <w:r>
        <w:t xml:space="preserve"> Woodman (2012, 33-5).</w:t>
      </w:r>
    </w:p>
  </w:footnote>
  <w:footnote w:id="605">
    <w:p w14:paraId="45144F28" w14:textId="77777777" w:rsidR="000E1004" w:rsidRDefault="000E1004" w:rsidP="00A33875">
      <w:pPr>
        <w:pStyle w:val="FootnoteText"/>
      </w:pPr>
      <w:r>
        <w:rPr>
          <w:rStyle w:val="FootnoteReference"/>
        </w:rPr>
        <w:footnoteRef/>
      </w:r>
      <w:r>
        <w:t xml:space="preserve"> </w:t>
      </w:r>
      <w:r w:rsidRPr="002D416C">
        <w:t>Here meaning with</w:t>
      </w:r>
      <w:r>
        <w:t xml:space="preserve"> obverse and reverse</w:t>
      </w:r>
      <w:r w:rsidRPr="002D416C">
        <w:t xml:space="preserve"> inscriptions</w:t>
      </w:r>
      <w:r>
        <w:t xml:space="preserve"> around central motifs,</w:t>
      </w:r>
      <w:r w:rsidRPr="002D416C">
        <w:t xml:space="preserve"> but no portraiture</w:t>
      </w:r>
      <w:r>
        <w:t>.</w:t>
      </w:r>
    </w:p>
  </w:footnote>
  <w:footnote w:id="606">
    <w:p w14:paraId="372D98C9" w14:textId="0EEDC4D0" w:rsidR="000E1004" w:rsidRDefault="000E1004" w:rsidP="00A33875">
      <w:pPr>
        <w:pStyle w:val="FootnoteText"/>
      </w:pPr>
      <w:r>
        <w:rPr>
          <w:rStyle w:val="FootnoteReference"/>
        </w:rPr>
        <w:footnoteRef/>
      </w:r>
      <w:r>
        <w:t xml:space="preserve"> </w:t>
      </w:r>
      <w:r w:rsidRPr="007D3A91">
        <w:t>Pirie</w:t>
      </w:r>
      <w:r>
        <w:fldChar w:fldCharType="begin"/>
      </w:r>
      <w:r>
        <w:instrText xml:space="preserve"> XE "</w:instrText>
      </w:r>
      <w:r w:rsidRPr="007D3069">
        <w:instrText>Pirie</w:instrText>
      </w:r>
      <w:r>
        <w:instrText xml:space="preserve">" </w:instrText>
      </w:r>
      <w:r>
        <w:fldChar w:fldCharType="end"/>
      </w:r>
      <w:r w:rsidRPr="007D3A91">
        <w:t xml:space="preserve"> (1995</w:t>
      </w:r>
      <w:r>
        <w:t>,</w:t>
      </w:r>
      <w:r w:rsidRPr="007D3A91">
        <w:t xml:space="preserve"> 24-7</w:t>
      </w:r>
      <w:r>
        <w:t>)</w:t>
      </w:r>
      <w:r w:rsidRPr="007D3A91">
        <w:t>.</w:t>
      </w:r>
      <w:r>
        <w:t xml:space="preserve"> Her argument, partly based on letter forms, has been discredited with further finds of the sceats of King Eardwulf.</w:t>
      </w:r>
    </w:p>
  </w:footnote>
  <w:footnote w:id="607">
    <w:p w14:paraId="4507C1DD" w14:textId="2ABEE152" w:rsidR="000E1004" w:rsidRPr="001321CF" w:rsidRDefault="000E1004">
      <w:pPr>
        <w:pStyle w:val="FootnoteText"/>
      </w:pPr>
      <w:r>
        <w:rPr>
          <w:rStyle w:val="FootnoteReference"/>
        </w:rPr>
        <w:footnoteRef/>
      </w:r>
      <w:r>
        <w:t xml:space="preserve"> </w:t>
      </w:r>
      <w:r w:rsidRPr="00623B60">
        <w:rPr>
          <w:rStyle w:val="HTMLCite"/>
          <w:i w:val="0"/>
        </w:rPr>
        <w:t>Story (2</w:t>
      </w:r>
      <w:r>
        <w:rPr>
          <w:rStyle w:val="HTMLCite"/>
          <w:i w:val="0"/>
        </w:rPr>
        <w:t>00</w:t>
      </w:r>
      <w:r w:rsidRPr="00623B60">
        <w:rPr>
          <w:rStyle w:val="HTMLCite"/>
          <w:i w:val="0"/>
        </w:rPr>
        <w:t>3,</w:t>
      </w:r>
      <w:r>
        <w:rPr>
          <w:rStyle w:val="HTMLCite"/>
          <w:i w:val="0"/>
        </w:rPr>
        <w:t xml:space="preserve"> 55-78). Woodman (2012, 4-5).</w:t>
      </w:r>
      <w:r>
        <w:rPr>
          <w:rStyle w:val="HTMLCite"/>
        </w:rPr>
        <w:t xml:space="preserve"> </w:t>
      </w:r>
    </w:p>
  </w:footnote>
  <w:footnote w:id="608">
    <w:p w14:paraId="51F7F0CB" w14:textId="41078C6E" w:rsidR="000E1004" w:rsidRDefault="000E1004">
      <w:pPr>
        <w:pStyle w:val="FootnoteText"/>
      </w:pPr>
      <w:r>
        <w:rPr>
          <w:rStyle w:val="FootnoteReference"/>
        </w:rPr>
        <w:footnoteRef/>
      </w:r>
      <w:r>
        <w:t xml:space="preserve"> Booth (1987, 64-5).</w:t>
      </w:r>
    </w:p>
  </w:footnote>
  <w:footnote w:id="609">
    <w:p w14:paraId="6B4B1608" w14:textId="10099980" w:rsidR="000E1004" w:rsidRPr="007E1A99" w:rsidRDefault="000E1004" w:rsidP="00A33875">
      <w:pPr>
        <w:pStyle w:val="FootnoteText"/>
      </w:pPr>
      <w:r w:rsidRPr="007E1A99">
        <w:rPr>
          <w:rStyle w:val="FootnoteReference"/>
        </w:rPr>
        <w:footnoteRef/>
      </w:r>
      <w:r w:rsidRPr="007E1A99">
        <w:t xml:space="preserve"> The moneyer of this name who coined at London for Ceonwulf of Mercia (North</w:t>
      </w:r>
      <w:r>
        <w:t>,</w:t>
      </w:r>
      <w:r w:rsidRPr="007E1A99">
        <w:t xml:space="preserve"> </w:t>
      </w:r>
      <w:r>
        <w:t xml:space="preserve">1994, </w:t>
      </w:r>
      <w:r w:rsidRPr="007E1A99">
        <w:t>361) could be the same, but lettering styles differ.</w:t>
      </w:r>
    </w:p>
  </w:footnote>
  <w:footnote w:id="610">
    <w:p w14:paraId="3A9927E5" w14:textId="63BA77AB" w:rsidR="000E1004" w:rsidRPr="007E1A99" w:rsidRDefault="000E1004" w:rsidP="00A33875">
      <w:pPr>
        <w:pStyle w:val="FootnoteText"/>
      </w:pPr>
      <w:r w:rsidRPr="007E1A99">
        <w:rPr>
          <w:rStyle w:val="FootnoteReference"/>
        </w:rPr>
        <w:footnoteRef/>
      </w:r>
      <w:r>
        <w:t xml:space="preserve"> Y</w:t>
      </w:r>
      <w:r w:rsidRPr="007E1A99">
        <w:t>et, strangely, the most highly prized, possibly due to the ‘shrine’ motif and false attributions to St. Cuthbert</w:t>
      </w:r>
      <w:r>
        <w:t xml:space="preserve"> (Lord Grantley, </w:t>
      </w:r>
      <w:r w:rsidRPr="002F36E9">
        <w:rPr>
          <w:i/>
        </w:rPr>
        <w:t>NC</w:t>
      </w:r>
      <w:r>
        <w:t xml:space="preserve"> Series</w:t>
      </w:r>
      <w:r>
        <w:fldChar w:fldCharType="begin"/>
      </w:r>
      <w:r>
        <w:instrText xml:space="preserve"> XE "</w:instrText>
      </w:r>
      <w:r w:rsidRPr="007645AE">
        <w:instrText>Series</w:instrText>
      </w:r>
      <w:r>
        <w:instrText xml:space="preserve">" </w:instrText>
      </w:r>
      <w:r>
        <w:fldChar w:fldCharType="end"/>
      </w:r>
      <w:r>
        <w:t xml:space="preserve"> 3 no. 17 134-44 and </w:t>
      </w:r>
      <w:r w:rsidRPr="002F36E9">
        <w:rPr>
          <w:i/>
        </w:rPr>
        <w:t>BNJ</w:t>
      </w:r>
      <w:r>
        <w:t xml:space="preserve"> 8 (1911, 49-53)</w:t>
      </w:r>
      <w:r w:rsidRPr="007E1A99">
        <w:t>.</w:t>
      </w:r>
      <w:r>
        <w:t xml:space="preserve"> The ‘fledgling’ sceat is much more likely to allude to Cuthbert.</w:t>
      </w:r>
    </w:p>
  </w:footnote>
  <w:footnote w:id="611">
    <w:p w14:paraId="209C40C1" w14:textId="5A301B3A" w:rsidR="000E1004" w:rsidRDefault="000E1004" w:rsidP="00A33875">
      <w:pPr>
        <w:pStyle w:val="FootnoteText"/>
      </w:pPr>
      <w:r>
        <w:rPr>
          <w:rStyle w:val="FootnoteReference"/>
        </w:rPr>
        <w:footnoteRef/>
      </w:r>
      <w:r>
        <w:t xml:space="preserve"> S</w:t>
      </w:r>
      <w:r w:rsidRPr="002D2953">
        <w:t>even monarchs (one restored</w:t>
      </w:r>
      <w:r>
        <w:t xml:space="preserve">, </w:t>
      </w:r>
      <w:r w:rsidRPr="007E1A99">
        <w:t>Æ</w:t>
      </w:r>
      <w:r>
        <w:t>thelred</w:t>
      </w:r>
      <w:r>
        <w:fldChar w:fldCharType="begin"/>
      </w:r>
      <w:r>
        <w:instrText xml:space="preserve"> XE "</w:instrText>
      </w:r>
      <w:r w:rsidRPr="007645AE">
        <w:rPr>
          <w:rFonts w:cs="Times New Roman"/>
        </w:rPr>
        <w:instrText>Æ</w:instrText>
      </w:r>
      <w:r w:rsidRPr="007645AE">
        <w:instrText>thelred</w:instrText>
      </w:r>
      <w:r>
        <w:instrText xml:space="preserve">" </w:instrText>
      </w:r>
      <w:r>
        <w:fldChar w:fldCharType="end"/>
      </w:r>
      <w:r>
        <w:t xml:space="preserve"> I</w:t>
      </w:r>
      <w:r w:rsidRPr="002D2953">
        <w:t>) and two archbishops on the sceats and three monarchs (one restored</w:t>
      </w:r>
      <w:r>
        <w:t xml:space="preserve">, </w:t>
      </w:r>
      <w:r w:rsidRPr="007E1A99">
        <w:t>Æ</w:t>
      </w:r>
      <w:r>
        <w:t>thelred II</w:t>
      </w:r>
      <w:r w:rsidRPr="002D2953">
        <w:t>) and three archbishops on the stycas.</w:t>
      </w:r>
    </w:p>
  </w:footnote>
  <w:footnote w:id="612">
    <w:p w14:paraId="256CE74F" w14:textId="77777777" w:rsidR="000E1004" w:rsidRPr="007E1A99" w:rsidRDefault="000E1004" w:rsidP="00A33875">
      <w:pPr>
        <w:pStyle w:val="FootnoteText"/>
      </w:pPr>
      <w:r w:rsidRPr="007E1A99">
        <w:rPr>
          <w:rStyle w:val="FootnoteReference"/>
        </w:rPr>
        <w:footnoteRef/>
      </w:r>
      <w:r w:rsidRPr="007E1A99">
        <w:t xml:space="preserve"> Pada, Vanimundus, Valdobertus, Epa, Vernus, Saroaldo, Æthiliræd, Tilberht, Wigræd and Tiluwald. There are other inscriptions which plausibly may be moneyer’s names – LEL, TANUM (Gannon suggests this is probably MONETA – </w:t>
      </w:r>
      <w:r w:rsidRPr="00524C04">
        <w:rPr>
          <w:i/>
        </w:rPr>
        <w:t>pers. comm</w:t>
      </w:r>
      <w:r>
        <w:rPr>
          <w:i/>
        </w:rPr>
        <w:t>.</w:t>
      </w:r>
      <w:r w:rsidRPr="00524C04">
        <w:rPr>
          <w:i/>
        </w:rPr>
        <w:t>)</w:t>
      </w:r>
      <w:r>
        <w:t xml:space="preserve"> derivatives of Epa, and </w:t>
      </w:r>
      <w:r w:rsidRPr="007E1A99">
        <w:t>VILL…</w:t>
      </w:r>
      <w:r w:rsidRPr="00016198">
        <w:t xml:space="preserve"> </w:t>
      </w:r>
      <w:r>
        <w:t>Many are runic or partly so. Dolley (1976, 353) referred</w:t>
      </w:r>
      <w:r w:rsidRPr="007E1A99">
        <w:t xml:space="preserve"> to ‘this tiresome pseudo-epigraphy’.</w:t>
      </w:r>
      <w:r>
        <w:t xml:space="preserve"> </w:t>
      </w:r>
    </w:p>
  </w:footnote>
  <w:footnote w:id="613">
    <w:p w14:paraId="5DF28835" w14:textId="33FC9796" w:rsidR="000E1004" w:rsidRPr="007E1A99" w:rsidRDefault="000E1004" w:rsidP="00A33875">
      <w:pPr>
        <w:pStyle w:val="FootnoteText"/>
      </w:pPr>
      <w:r w:rsidRPr="007E1A99">
        <w:rPr>
          <w:rStyle w:val="FootnoteReference"/>
        </w:rPr>
        <w:footnoteRef/>
      </w:r>
      <w:r w:rsidRPr="007E1A99">
        <w:t xml:space="preserve"> His moneyers are Efe, Wilred (who </w:t>
      </w:r>
      <w:r>
        <w:t>later minted</w:t>
      </w:r>
      <w:r w:rsidRPr="007E1A99">
        <w:t xml:space="preserve"> for Offa</w:t>
      </w:r>
      <w:r>
        <w:fldChar w:fldCharType="begin"/>
      </w:r>
      <w:r>
        <w:instrText xml:space="preserve"> XE "</w:instrText>
      </w:r>
      <w:r w:rsidRPr="007D3069">
        <w:rPr>
          <w:rFonts w:cs="Times New Roman"/>
        </w:rPr>
        <w:instrText>Offa</w:instrText>
      </w:r>
      <w:r>
        <w:instrText xml:space="preserve">" </w:instrText>
      </w:r>
      <w:r>
        <w:fldChar w:fldCharType="end"/>
      </w:r>
      <w:r w:rsidRPr="007E1A99">
        <w:t>) and Werferth.</w:t>
      </w:r>
    </w:p>
  </w:footnote>
  <w:footnote w:id="614">
    <w:p w14:paraId="3C60302C" w14:textId="380F22F1" w:rsidR="000E1004" w:rsidRDefault="000E1004" w:rsidP="00A33875">
      <w:pPr>
        <w:pStyle w:val="FootnoteText"/>
      </w:pPr>
      <w:r>
        <w:rPr>
          <w:rStyle w:val="FootnoteReference"/>
        </w:rPr>
        <w:footnoteRef/>
      </w:r>
      <w:r>
        <w:t xml:space="preserve"> </w:t>
      </w:r>
      <w:r w:rsidRPr="00DE1B48">
        <w:t xml:space="preserve">Archbishops of Canterbury </w:t>
      </w:r>
      <w:r>
        <w:t xml:space="preserve">minted </w:t>
      </w:r>
      <w:r w:rsidRPr="00DE1B48">
        <w:t>under Offa</w:t>
      </w:r>
      <w:r>
        <w:fldChar w:fldCharType="begin"/>
      </w:r>
      <w:r>
        <w:instrText xml:space="preserve"> XE "</w:instrText>
      </w:r>
      <w:r w:rsidRPr="007D3069">
        <w:rPr>
          <w:rFonts w:cs="Times New Roman"/>
        </w:rPr>
        <w:instrText>Offa</w:instrText>
      </w:r>
      <w:r>
        <w:instrText xml:space="preserve">" </w:instrText>
      </w:r>
      <w:r>
        <w:fldChar w:fldCharType="end"/>
      </w:r>
      <w:r w:rsidRPr="00DE1B48">
        <w:t>.</w:t>
      </w:r>
    </w:p>
  </w:footnote>
  <w:footnote w:id="615">
    <w:p w14:paraId="0D4340FC" w14:textId="77777777" w:rsidR="000E1004" w:rsidRPr="00665DCD" w:rsidRDefault="000E1004" w:rsidP="00A33875">
      <w:pPr>
        <w:pStyle w:val="FootnoteText"/>
      </w:pPr>
      <w:r w:rsidRPr="00665DCD">
        <w:rPr>
          <w:rStyle w:val="FootnoteReference"/>
        </w:rPr>
        <w:footnoteRef/>
      </w:r>
      <w:r>
        <w:t xml:space="preserve"> Higham (1993,</w:t>
      </w:r>
      <w:r w:rsidRPr="00665DCD">
        <w:t xml:space="preserve"> 145</w:t>
      </w:r>
      <w:r>
        <w:t>). Yorke (1990,</w:t>
      </w:r>
      <w:r w:rsidRPr="00665DCD">
        <w:t xml:space="preserve"> 87</w:t>
      </w:r>
      <w:r>
        <w:t>)</w:t>
      </w:r>
      <w:r w:rsidRPr="00665DCD">
        <w:t>.</w:t>
      </w:r>
    </w:p>
  </w:footnote>
  <w:footnote w:id="616">
    <w:p w14:paraId="6820C329" w14:textId="0F8666C9" w:rsidR="000E1004" w:rsidRDefault="000E1004" w:rsidP="00A33875">
      <w:pPr>
        <w:pStyle w:val="FootnoteText"/>
      </w:pPr>
      <w:r>
        <w:rPr>
          <w:rStyle w:val="FootnoteReference"/>
        </w:rPr>
        <w:footnoteRef/>
      </w:r>
      <w:r>
        <w:t xml:space="preserve"> </w:t>
      </w:r>
      <w:r w:rsidRPr="007D7983">
        <w:t>Three specimens found at Sledmere</w:t>
      </w:r>
      <w:r>
        <w:fldChar w:fldCharType="begin"/>
      </w:r>
      <w:r>
        <w:instrText xml:space="preserve"> XE "</w:instrText>
      </w:r>
      <w:r w:rsidRPr="004D76A0">
        <w:rPr>
          <w:rStyle w:val="Hyperlink"/>
          <w:noProof/>
        </w:rPr>
        <w:instrText>Sledmere</w:instrText>
      </w:r>
      <w:r>
        <w:instrText xml:space="preserve">" </w:instrText>
      </w:r>
      <w:r>
        <w:fldChar w:fldCharType="end"/>
      </w:r>
      <w:r w:rsidRPr="007D7983">
        <w:t>,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7D7983">
        <w:t xml:space="preserve"> (</w:t>
      </w:r>
      <w:r>
        <w:t>2011,</w:t>
      </w:r>
      <w:r w:rsidRPr="007D7983">
        <w:t xml:space="preserve"> 170</w:t>
      </w:r>
      <w:r>
        <w:t>)</w:t>
      </w:r>
      <w:r w:rsidRPr="007D7983">
        <w:t>.</w:t>
      </w:r>
    </w:p>
  </w:footnote>
  <w:footnote w:id="617">
    <w:p w14:paraId="4BEBDDE6" w14:textId="3EDE7CF7" w:rsidR="000E1004" w:rsidRPr="00D871A1" w:rsidRDefault="000E1004" w:rsidP="00A33875">
      <w:pPr>
        <w:pStyle w:val="FootnoteText"/>
      </w:pPr>
      <w:r w:rsidRPr="00D871A1">
        <w:rPr>
          <w:rStyle w:val="FootnoteReference"/>
        </w:rPr>
        <w:footnoteRef/>
      </w:r>
      <w:r w:rsidRPr="00D871A1">
        <w:t xml:space="preserve"> Fevei</w:t>
      </w:r>
      <w:r>
        <w:t>l</w:t>
      </w:r>
      <w:r w:rsidRPr="00251252">
        <w:t xml:space="preserve">e </w:t>
      </w:r>
      <w:r>
        <w:t xml:space="preserve">(2008, </w:t>
      </w:r>
      <w:r w:rsidRPr="00251252">
        <w:t>53-67</w:t>
      </w:r>
      <w:r>
        <w:t>)</w:t>
      </w:r>
      <w:r w:rsidRPr="00251252">
        <w:t>.</w:t>
      </w:r>
    </w:p>
  </w:footnote>
  <w:footnote w:id="618">
    <w:p w14:paraId="32ACB0E0" w14:textId="77777777" w:rsidR="000E1004" w:rsidRPr="007E1A99" w:rsidRDefault="000E1004" w:rsidP="00A33875">
      <w:pPr>
        <w:pStyle w:val="FootnoteText"/>
      </w:pPr>
      <w:r w:rsidRPr="007E1A99">
        <w:rPr>
          <w:rStyle w:val="FootnoteReference"/>
        </w:rPr>
        <w:footnoteRef/>
      </w:r>
      <w:r w:rsidRPr="007E1A99">
        <w:t xml:space="preserve"> </w:t>
      </w:r>
      <w:r>
        <w:t>Pepin</w:t>
      </w:r>
      <w:r w:rsidRPr="007E1A99">
        <w:t xml:space="preserve"> III, Mayor of the Palace, 741-51, King of the Franks, 751-68.</w:t>
      </w:r>
    </w:p>
  </w:footnote>
  <w:footnote w:id="619">
    <w:p w14:paraId="260A3F91" w14:textId="1558B5A1" w:rsidR="000E1004" w:rsidRPr="007E1A99" w:rsidRDefault="000E1004" w:rsidP="00A33875">
      <w:pPr>
        <w:pStyle w:val="FootnoteText"/>
      </w:pPr>
      <w:r w:rsidRPr="007E1A99">
        <w:rPr>
          <w:rStyle w:val="FootnoteReference"/>
        </w:rPr>
        <w:footnoteRef/>
      </w:r>
      <w:r w:rsidRPr="007E1A99">
        <w:t xml:space="preserve"> Probably as a response to the reduction in weight of the denier</w:t>
      </w:r>
      <w:r>
        <w:fldChar w:fldCharType="begin"/>
      </w:r>
      <w:r>
        <w:instrText xml:space="preserve"> XE "</w:instrText>
      </w:r>
      <w:r w:rsidRPr="007D3069">
        <w:rPr>
          <w:rFonts w:cs="Times New Roman"/>
          <w:szCs w:val="24"/>
        </w:rPr>
        <w:instrText>denier</w:instrText>
      </w:r>
      <w:r>
        <w:instrText xml:space="preserve">" </w:instrText>
      </w:r>
      <w:r>
        <w:fldChar w:fldCharType="end"/>
      </w:r>
      <w:r w:rsidRPr="007E1A99">
        <w:t xml:space="preserve"> resulting from the chaos following the Arab invasion of </w:t>
      </w:r>
      <w:r>
        <w:t>Francia</w:t>
      </w:r>
      <w:r>
        <w:fldChar w:fldCharType="begin"/>
      </w:r>
      <w:r>
        <w:instrText xml:space="preserve"> XE "</w:instrText>
      </w:r>
      <w:r w:rsidRPr="00F1328A">
        <w:rPr>
          <w:rStyle w:val="Hyperlink"/>
          <w:rFonts w:cs="Times New Roman"/>
          <w:noProof/>
        </w:rPr>
        <w:instrText>Francia</w:instrText>
      </w:r>
      <w:r>
        <w:instrText xml:space="preserve">" </w:instrText>
      </w:r>
      <w:r>
        <w:fldChar w:fldCharType="end"/>
      </w:r>
      <w:r w:rsidRPr="007E1A99">
        <w:t>.</w:t>
      </w:r>
    </w:p>
  </w:footnote>
  <w:footnote w:id="620">
    <w:p w14:paraId="72356E5F" w14:textId="65B707F1" w:rsidR="000E1004" w:rsidRDefault="000E1004" w:rsidP="00A33875">
      <w:pPr>
        <w:pStyle w:val="FootnoteText"/>
      </w:pPr>
      <w:r>
        <w:rPr>
          <w:rStyle w:val="FootnoteReference"/>
        </w:rPr>
        <w:footnoteRef/>
      </w:r>
      <w:r>
        <w:t xml:space="preserve"> Archibald (1985 &amp; 1995; C13 in the latter is the 1984 Whithorn</w:t>
      </w:r>
      <w:r>
        <w:fldChar w:fldCharType="begin"/>
      </w:r>
      <w:r>
        <w:instrText xml:space="preserve"> XE "</w:instrText>
      </w:r>
      <w:r w:rsidRPr="004D76A0">
        <w:rPr>
          <w:rStyle w:val="Hyperlink"/>
          <w:noProof/>
        </w:rPr>
        <w:instrText>Whithorn</w:instrText>
      </w:r>
      <w:r>
        <w:instrText xml:space="preserve">" </w:instrText>
      </w:r>
      <w:r>
        <w:fldChar w:fldCharType="end"/>
      </w:r>
      <w:r>
        <w:t xml:space="preserve"> find of a Beonna</w:t>
      </w:r>
      <w:r>
        <w:fldChar w:fldCharType="begin"/>
      </w:r>
      <w:r>
        <w:instrText xml:space="preserve"> XE "</w:instrText>
      </w:r>
      <w:r w:rsidRPr="007D3069">
        <w:rPr>
          <w:rFonts w:cs="Times New Roman"/>
        </w:rPr>
        <w:instrText>Beonna</w:instrText>
      </w:r>
      <w:r>
        <w:instrText xml:space="preserve">" </w:instrText>
      </w:r>
      <w:r>
        <w:fldChar w:fldCharType="end"/>
      </w:r>
      <w:r>
        <w:t xml:space="preserve"> sceat by Efe).</w:t>
      </w:r>
    </w:p>
  </w:footnote>
  <w:footnote w:id="621">
    <w:p w14:paraId="06D82468" w14:textId="2A2C845D" w:rsidR="000E1004" w:rsidRPr="00E07DA7" w:rsidRDefault="000E1004" w:rsidP="00A33875">
      <w:pPr>
        <w:pStyle w:val="FootnoteText"/>
      </w:pPr>
      <w:r w:rsidRPr="00E07DA7">
        <w:rPr>
          <w:rStyle w:val="FootnoteReference"/>
        </w:rPr>
        <w:footnoteRef/>
      </w:r>
      <w:r w:rsidRPr="00E07DA7">
        <w:t xml:space="preserve"> Chick (2010</w:t>
      </w:r>
      <w:r>
        <w:t>, 57-142</w:t>
      </w:r>
      <w:r w:rsidRPr="00E07DA7">
        <w:t>).</w:t>
      </w:r>
    </w:p>
  </w:footnote>
  <w:footnote w:id="622">
    <w:p w14:paraId="14BE70BD" w14:textId="3E345C3A" w:rsidR="000E1004" w:rsidRPr="00665DCD" w:rsidRDefault="000E1004" w:rsidP="00AA216D">
      <w:pPr>
        <w:pStyle w:val="FootnoteText"/>
      </w:pPr>
      <w:r w:rsidRPr="00665DCD">
        <w:rPr>
          <w:rStyle w:val="FootnoteReference"/>
        </w:rPr>
        <w:footnoteRef/>
      </w:r>
      <w:r>
        <w:t xml:space="preserve"> See</w:t>
      </w:r>
      <w:r w:rsidRPr="00665DCD">
        <w:t xml:space="preserve"> </w:t>
      </w:r>
      <w:r w:rsidRPr="00A14A1A">
        <w:t>silver penny</w:t>
      </w:r>
      <w:r w:rsidRPr="00A14A1A">
        <w:fldChar w:fldCharType="begin"/>
      </w:r>
      <w:r>
        <w:instrText xml:space="preserve"> XE "</w:instrText>
      </w:r>
      <w:r w:rsidRPr="007645AE">
        <w:instrText>penny</w:instrText>
      </w:r>
      <w:r>
        <w:instrText xml:space="preserve">" </w:instrText>
      </w:r>
      <w:r w:rsidRPr="00A14A1A">
        <w:fldChar w:fldCharType="end"/>
      </w:r>
      <w:r w:rsidRPr="00A14A1A">
        <w:t xml:space="preserve"> of Eanred</w:t>
      </w:r>
      <w:r w:rsidRPr="00A14A1A">
        <w:fldChar w:fldCharType="begin"/>
      </w:r>
      <w:r>
        <w:instrText xml:space="preserve"> XE "</w:instrText>
      </w:r>
      <w:r w:rsidRPr="007645AE">
        <w:instrText>Eanred</w:instrText>
      </w:r>
      <w:r>
        <w:instrText xml:space="preserve">" </w:instrText>
      </w:r>
      <w:r w:rsidRPr="00A14A1A">
        <w:fldChar w:fldCharType="end"/>
      </w:r>
      <w:r>
        <w:t>, (</w:t>
      </w:r>
      <w:r>
        <w:fldChar w:fldCharType="begin"/>
      </w:r>
      <w:r>
        <w:instrText xml:space="preserve"> PAGEREF silverpenny \h </w:instrText>
      </w:r>
      <w:r>
        <w:fldChar w:fldCharType="separate"/>
      </w:r>
      <w:r w:rsidR="0012026B">
        <w:rPr>
          <w:noProof/>
        </w:rPr>
        <w:t>142</w:t>
      </w:r>
      <w:r>
        <w:fldChar w:fldCharType="end"/>
      </w:r>
      <w:r>
        <w:t>).</w:t>
      </w:r>
    </w:p>
  </w:footnote>
  <w:footnote w:id="623">
    <w:p w14:paraId="2CF960DB" w14:textId="4627CC19" w:rsidR="000E1004" w:rsidRPr="00665DCD" w:rsidRDefault="000E1004" w:rsidP="00A33875">
      <w:pPr>
        <w:pStyle w:val="FootnoteText"/>
      </w:pPr>
      <w:r w:rsidRPr="00665DCD">
        <w:rPr>
          <w:rStyle w:val="FootnoteReference"/>
        </w:rPr>
        <w:footnoteRef/>
      </w:r>
      <w:r w:rsidRPr="00665DCD">
        <w:t xml:space="preserve"> </w:t>
      </w:r>
      <w:r w:rsidRPr="00665DCD">
        <w:rPr>
          <w:i/>
        </w:rPr>
        <w:t>Folkland</w:t>
      </w:r>
      <w:r w:rsidRPr="00665DCD">
        <w:t xml:space="preserve"> is defined as land held under ancient, unwritten custom and it could not normally be removed from the relatives of the holder. The legal concept of </w:t>
      </w:r>
      <w:r w:rsidRPr="00665DCD">
        <w:rPr>
          <w:i/>
        </w:rPr>
        <w:t>bookland</w:t>
      </w:r>
      <w:r>
        <w:t>, land subject to charter,</w:t>
      </w:r>
      <w:r>
        <w:rPr>
          <w:i/>
        </w:rPr>
        <w:fldChar w:fldCharType="begin"/>
      </w:r>
      <w:r>
        <w:instrText xml:space="preserve"> XE "</w:instrText>
      </w:r>
      <w:r w:rsidRPr="007D3069">
        <w:rPr>
          <w:szCs w:val="24"/>
        </w:rPr>
        <w:instrText>bookland</w:instrText>
      </w:r>
      <w:r>
        <w:instrText xml:space="preserve">" </w:instrText>
      </w:r>
      <w:r>
        <w:rPr>
          <w:i/>
        </w:rPr>
        <w:fldChar w:fldCharType="end"/>
      </w:r>
      <w:r>
        <w:t xml:space="preserve"> arose in the seventh century</w:t>
      </w:r>
      <w:r w:rsidRPr="00665DCD">
        <w:t xml:space="preserve"> in respect of land that could be 'alienated' (i.e., disposed of) at will. It ultimately developed into ownership in the modern sense.</w:t>
      </w:r>
      <w:r>
        <w:t xml:space="preserve"> Wormald (2006, 153-8). Charles-Edwards (1997, 192-9) described four associated strands: i) perpetual/hereditary rights, conflicting with ii) the right to freely grant the land, iii) freedom from secular dues and iv) these rights were ecclesiastical. Multiple-estates could now be broken up (Pelteret, 1995, 251).</w:t>
      </w:r>
    </w:p>
  </w:footnote>
  <w:footnote w:id="624">
    <w:p w14:paraId="49D9889B" w14:textId="04FC420E" w:rsidR="000E1004" w:rsidRDefault="000E1004">
      <w:pPr>
        <w:pStyle w:val="FootnoteText"/>
      </w:pPr>
      <w:r>
        <w:rPr>
          <w:rStyle w:val="FootnoteReference"/>
        </w:rPr>
        <w:footnoteRef/>
      </w:r>
      <w:r>
        <w:t xml:space="preserve"> Later Bishop of Carlisle. Pirie (1982, 85). The </w:t>
      </w:r>
      <w:r>
        <w:rPr>
          <w:rFonts w:cs="Times New Roman"/>
        </w:rPr>
        <w:t>letter discussed the Ripon hoard.</w:t>
      </w:r>
    </w:p>
  </w:footnote>
  <w:footnote w:id="625">
    <w:p w14:paraId="4AEA5A72" w14:textId="71D1F6C8" w:rsidR="000E1004" w:rsidRPr="00F320C8" w:rsidRDefault="000E1004" w:rsidP="00A33875">
      <w:pPr>
        <w:pStyle w:val="FootnoteText"/>
      </w:pPr>
      <w:r w:rsidRPr="00F320C8">
        <w:rPr>
          <w:rStyle w:val="FootnoteReference"/>
        </w:rPr>
        <w:footnoteRef/>
      </w:r>
      <w:r w:rsidRPr="00F320C8">
        <w:t xml:space="preserve"> Based on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F320C8">
        <w:t xml:space="preserve"> (2012d).</w:t>
      </w:r>
    </w:p>
  </w:footnote>
  <w:footnote w:id="626">
    <w:p w14:paraId="1B9CA7B3" w14:textId="0D025E44" w:rsidR="000E1004" w:rsidRPr="00F320C8" w:rsidRDefault="000E1004" w:rsidP="00A33875">
      <w:pPr>
        <w:pStyle w:val="FootnoteText"/>
      </w:pPr>
      <w:r w:rsidRPr="00F320C8">
        <w:rPr>
          <w:rStyle w:val="FootnoteReference"/>
        </w:rPr>
        <w:footnoteRef/>
      </w:r>
      <w:r w:rsidRPr="00F320C8">
        <w:t xml:space="preserve"> Yorke (1990</w:t>
      </w:r>
      <w:r>
        <w:t>,</w:t>
      </w:r>
      <w:r w:rsidRPr="00F320C8">
        <w:t xml:space="preserve"> 97</w:t>
      </w:r>
      <w:r>
        <w:t>)</w:t>
      </w:r>
      <w:r w:rsidRPr="00F320C8">
        <w:t xml:space="preserve">. </w:t>
      </w:r>
      <w:r>
        <w:t>Davies</w:t>
      </w:r>
      <w:r>
        <w:fldChar w:fldCharType="begin"/>
      </w:r>
      <w:r>
        <w:instrText xml:space="preserve"> XE "</w:instrText>
      </w:r>
      <w:r w:rsidRPr="00523AF8">
        <w:rPr>
          <w:rStyle w:val="Hyperlink"/>
          <w:noProof/>
        </w:rPr>
        <w:instrText>Davies</w:instrText>
      </w:r>
      <w:r>
        <w:instrText xml:space="preserve">" </w:instrText>
      </w:r>
      <w:r>
        <w:fldChar w:fldCharType="end"/>
      </w:r>
      <w:r>
        <w:t xml:space="preserve"> (1994, </w:t>
      </w:r>
      <w:r w:rsidRPr="00F320C8">
        <w:t>123</w:t>
      </w:r>
      <w:r>
        <w:t>)</w:t>
      </w:r>
      <w:r w:rsidRPr="00F320C8">
        <w:t>: ‘the economist welcomes them as evidence of the degree of penetration of coinage among the population and as clear proof of the increase of the coinage habit.’</w:t>
      </w:r>
    </w:p>
  </w:footnote>
  <w:footnote w:id="627">
    <w:p w14:paraId="63DA4129" w14:textId="77777777" w:rsidR="000E1004" w:rsidRPr="00F320C8" w:rsidRDefault="000E1004" w:rsidP="00A33875">
      <w:pPr>
        <w:pStyle w:val="FootnoteText"/>
      </w:pPr>
      <w:r w:rsidRPr="00F320C8">
        <w:rPr>
          <w:rStyle w:val="FootnoteReference"/>
        </w:rPr>
        <w:footnoteRef/>
      </w:r>
      <w:r w:rsidRPr="00F320C8">
        <w:t xml:space="preserve"> Dolley (1976</w:t>
      </w:r>
      <w:r>
        <w:t>,</w:t>
      </w:r>
      <w:r w:rsidRPr="00F320C8">
        <w:t xml:space="preserve"> 355</w:t>
      </w:r>
      <w:r>
        <w:t>)</w:t>
      </w:r>
      <w:r w:rsidRPr="00F320C8">
        <w:t>. He cites Lyon (1958) and Pagan (1969)</w:t>
      </w:r>
    </w:p>
  </w:footnote>
  <w:footnote w:id="628">
    <w:p w14:paraId="4702B882" w14:textId="75B04976" w:rsidR="000E1004" w:rsidRPr="00F320C8" w:rsidRDefault="000E1004" w:rsidP="00A33875">
      <w:pPr>
        <w:pStyle w:val="FootnoteText"/>
      </w:pPr>
      <w:r w:rsidRPr="00F320C8">
        <w:rPr>
          <w:rStyle w:val="FootnoteReference"/>
        </w:rPr>
        <w:footnoteRef/>
      </w:r>
      <w:r w:rsidRPr="00F320C8">
        <w:t xml:space="preserve"> The Annals of the Frankish Kingdom record however, that in 808 Eardwulf visited his father-in-law, Charles the Great, at Nijmegen, on his way to Rome, in search of help from the Pope. The Pope sent his envoys with Eardwulf back to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rsidRPr="00F320C8">
        <w:t>.</w:t>
      </w:r>
    </w:p>
  </w:footnote>
  <w:footnote w:id="629">
    <w:p w14:paraId="4E6D1B4F" w14:textId="191895F1" w:rsidR="000E1004" w:rsidRPr="00F320C8" w:rsidRDefault="000E1004" w:rsidP="00A33875">
      <w:pPr>
        <w:pStyle w:val="FootnoteText"/>
      </w:pPr>
      <w:r w:rsidRPr="00F320C8">
        <w:rPr>
          <w:rStyle w:val="FootnoteReference"/>
        </w:rPr>
        <w:footnoteRef/>
      </w:r>
      <w:r w:rsidRPr="00F320C8">
        <w:t xml:space="preserve"> Might Eardwulf have retired to Breedon-on-the-Hill where he is buried and venerated as St. Hardulph? Pirie</w:t>
      </w:r>
      <w:r>
        <w:fldChar w:fldCharType="begin"/>
      </w:r>
      <w:r>
        <w:instrText xml:space="preserve"> XE "</w:instrText>
      </w:r>
      <w:r w:rsidRPr="007D3069">
        <w:instrText>Pirie</w:instrText>
      </w:r>
      <w:r>
        <w:instrText xml:space="preserve">" </w:instrText>
      </w:r>
      <w:r>
        <w:fldChar w:fldCharType="end"/>
      </w:r>
      <w:r w:rsidRPr="00F320C8">
        <w:t xml:space="preserve"> (1995</w:t>
      </w:r>
      <w:r>
        <w:t>,</w:t>
      </w:r>
      <w:r w:rsidRPr="00F320C8">
        <w:t xml:space="preserve"> 24</w:t>
      </w:r>
      <w:r>
        <w:t>)</w:t>
      </w:r>
      <w:r w:rsidRPr="00F320C8">
        <w:t>. (</w:t>
      </w:r>
      <w:r w:rsidRPr="00F320C8">
        <w:rPr>
          <w:i/>
        </w:rPr>
        <w:t>pace</w:t>
      </w:r>
      <w:r w:rsidRPr="00F320C8">
        <w:t xml:space="preserve"> Rollasson and Dornier).</w:t>
      </w:r>
    </w:p>
  </w:footnote>
  <w:footnote w:id="630">
    <w:p w14:paraId="4ABD757F" w14:textId="382B13A0" w:rsidR="000E1004" w:rsidRPr="00F320C8" w:rsidRDefault="000E1004" w:rsidP="00A33875">
      <w:pPr>
        <w:pStyle w:val="FootnoteText"/>
      </w:pPr>
      <w:r w:rsidRPr="00F320C8">
        <w:rPr>
          <w:rStyle w:val="FootnoteReference"/>
        </w:rPr>
        <w:footnoteRef/>
      </w:r>
      <w:r>
        <w:t xml:space="preserve"> A</w:t>
      </w:r>
      <w:r w:rsidRPr="00F320C8">
        <w:t>fter Ælle of Sussex, Ceawlin of Wessex, Æthelbert of Kent, Rædwald of East Anglia, Edwin</w:t>
      </w:r>
      <w:r>
        <w:fldChar w:fldCharType="begin"/>
      </w:r>
      <w:r>
        <w:instrText xml:space="preserve"> XE "</w:instrText>
      </w:r>
      <w:r w:rsidRPr="007D3069">
        <w:rPr>
          <w:rFonts w:cs="Times New Roman"/>
          <w:color w:val="000000" w:themeColor="text1"/>
          <w:szCs w:val="24"/>
        </w:rPr>
        <w:instrText>Edwin</w:instrText>
      </w:r>
      <w:r>
        <w:instrText xml:space="preserve">" </w:instrText>
      </w:r>
      <w:r>
        <w:fldChar w:fldCharType="end"/>
      </w:r>
      <w:r w:rsidRPr="00F320C8">
        <w:t>, Oswald</w:t>
      </w:r>
      <w:r>
        <w:fldChar w:fldCharType="begin"/>
      </w:r>
      <w:r>
        <w:instrText xml:space="preserve"> XE "</w:instrText>
      </w:r>
      <w:r w:rsidRPr="007D3069">
        <w:rPr>
          <w:rFonts w:cs="Times New Roman"/>
          <w:szCs w:val="24"/>
        </w:rPr>
        <w:instrText>Oswald</w:instrText>
      </w:r>
      <w:r>
        <w:instrText xml:space="preserve">" </w:instrText>
      </w:r>
      <w:r>
        <w:fldChar w:fldCharType="end"/>
      </w:r>
      <w:r w:rsidRPr="00F320C8">
        <w:t xml:space="preserve"> and Oswy of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rsidRPr="00F320C8">
        <w:t>, though it is uncertain what real authority this title conferred.</w:t>
      </w:r>
    </w:p>
  </w:footnote>
  <w:footnote w:id="631">
    <w:p w14:paraId="61517422" w14:textId="77777777" w:rsidR="000E1004" w:rsidRPr="00F320C8" w:rsidRDefault="000E1004" w:rsidP="00A33875">
      <w:pPr>
        <w:pStyle w:val="FootnoteText"/>
      </w:pPr>
      <w:r w:rsidRPr="00F320C8">
        <w:rPr>
          <w:rStyle w:val="FootnoteReference"/>
        </w:rPr>
        <w:footnoteRef/>
      </w:r>
      <w:r w:rsidRPr="00F320C8">
        <w:t xml:space="preserve"> ‘Styca’ is probably derived from the German for small piece, </w:t>
      </w:r>
      <w:proofErr w:type="spellStart"/>
      <w:r w:rsidRPr="00F320C8">
        <w:rPr>
          <w:i/>
        </w:rPr>
        <w:t>Stűck</w:t>
      </w:r>
      <w:proofErr w:type="spellEnd"/>
      <w:r w:rsidRPr="00F320C8">
        <w:t>, but now pronounced “sty-ka” or “sticker”.</w:t>
      </w:r>
    </w:p>
  </w:footnote>
  <w:footnote w:id="632">
    <w:p w14:paraId="0CE124E1" w14:textId="77777777" w:rsidR="000E1004" w:rsidRPr="00F320C8" w:rsidRDefault="000E1004" w:rsidP="00A33875">
      <w:pPr>
        <w:pStyle w:val="FootnoteText"/>
      </w:pPr>
      <w:r w:rsidRPr="00F320C8">
        <w:rPr>
          <w:rStyle w:val="FootnoteReference"/>
        </w:rPr>
        <w:footnoteRef/>
      </w:r>
      <w:r w:rsidRPr="00F320C8">
        <w:t xml:space="preserve"> Higham (1993</w:t>
      </w:r>
      <w:r>
        <w:t>,</w:t>
      </w:r>
      <w:r w:rsidRPr="00F320C8">
        <w:t xml:space="preserve"> 167</w:t>
      </w:r>
      <w:r>
        <w:t>)</w:t>
      </w:r>
      <w:r w:rsidRPr="00F320C8">
        <w:t xml:space="preserve">. </w:t>
      </w:r>
    </w:p>
  </w:footnote>
  <w:footnote w:id="633">
    <w:p w14:paraId="34508E20" w14:textId="79C2F123" w:rsidR="000E1004" w:rsidRPr="00F320C8" w:rsidRDefault="000E1004" w:rsidP="00A33875">
      <w:pPr>
        <w:pStyle w:val="FootnoteText"/>
      </w:pPr>
      <w:r w:rsidRPr="00F320C8">
        <w:rPr>
          <w:rStyle w:val="FootnoteReference"/>
        </w:rPr>
        <w:footnoteRef/>
      </w:r>
      <w:r w:rsidRPr="00F320C8">
        <w:t xml:space="preserve"> </w:t>
      </w:r>
      <w:hyperlink r:id="rId18" w:history="1">
        <w:r w:rsidRPr="00F320C8">
          <w:rPr>
            <w:rStyle w:val="Hyperlink"/>
          </w:rPr>
          <w:t>https://en.wikipedia.org/wiki/Tale_of_Ragnar%27s_Sons</w:t>
        </w:r>
      </w:hyperlink>
    </w:p>
  </w:footnote>
  <w:footnote w:id="634">
    <w:p w14:paraId="116938EB" w14:textId="46A9C446" w:rsidR="000E1004" w:rsidRPr="00F320C8" w:rsidRDefault="000E1004" w:rsidP="00A33875">
      <w:pPr>
        <w:pStyle w:val="FootnoteText"/>
      </w:pPr>
      <w:r w:rsidRPr="00F320C8">
        <w:rPr>
          <w:rStyle w:val="FootnoteReference"/>
        </w:rPr>
        <w:footnoteRef/>
      </w:r>
      <w:r w:rsidRPr="00F320C8">
        <w:t xml:space="preserve"> The historical component is partly based on </w:t>
      </w:r>
      <w:hyperlink r:id="rId19" w:history="1">
        <w:r w:rsidRPr="00F320C8">
          <w:rPr>
            <w:rStyle w:val="Hyperlink"/>
          </w:rPr>
          <w:t>http://en.wikipedia.org/wiki/Archbishops_of_York</w:t>
        </w:r>
        <w:r>
          <w:rPr>
            <w:rStyle w:val="Hyperlink"/>
          </w:rPr>
          <w:fldChar w:fldCharType="begin"/>
        </w:r>
        <w:r>
          <w:instrText xml:space="preserve"> XE "</w:instrText>
        </w:r>
        <w:r w:rsidRPr="00F1328A">
          <w:rPr>
            <w:rStyle w:val="Hyperlink"/>
            <w:noProof/>
          </w:rPr>
          <w:instrText>York</w:instrText>
        </w:r>
        <w:r>
          <w:instrText xml:space="preserve">" </w:instrText>
        </w:r>
        <w:r>
          <w:rPr>
            <w:rStyle w:val="Hyperlink"/>
          </w:rPr>
          <w:fldChar w:fldCharType="end"/>
        </w:r>
      </w:hyperlink>
    </w:p>
  </w:footnote>
  <w:footnote w:id="635">
    <w:p w14:paraId="0CB95A4E" w14:textId="02CEA6A1" w:rsidR="000E1004" w:rsidRPr="00F320C8" w:rsidRDefault="000E1004" w:rsidP="00A33875">
      <w:pPr>
        <w:pStyle w:val="FootnoteText"/>
      </w:pPr>
      <w:r w:rsidRPr="00F320C8">
        <w:rPr>
          <w:rStyle w:val="FootnoteReference"/>
        </w:rPr>
        <w:footnoteRef/>
      </w:r>
      <w:r>
        <w:t xml:space="preserve"> A</w:t>
      </w:r>
      <w:r w:rsidRPr="00F320C8">
        <w:t>nd is not to be mistaken for the moneyer of similar name (variously Wulfsic, Wulfsixt, Wulfsige) who issued coins for Æthelred</w:t>
      </w:r>
      <w:r>
        <w:fldChar w:fldCharType="begin"/>
      </w:r>
      <w:r>
        <w:instrText xml:space="preserve"> XE "</w:instrText>
      </w:r>
      <w:r w:rsidRPr="007645AE">
        <w:rPr>
          <w:rFonts w:cs="Times New Roman"/>
        </w:rPr>
        <w:instrText>Æ</w:instrText>
      </w:r>
      <w:r w:rsidRPr="007645AE">
        <w:instrText>thelred</w:instrText>
      </w:r>
      <w:r>
        <w:instrText xml:space="preserve">" </w:instrText>
      </w:r>
      <w:r>
        <w:fldChar w:fldCharType="end"/>
      </w:r>
      <w:r w:rsidRPr="00F320C8">
        <w:t xml:space="preserve"> II and Osberht</w:t>
      </w:r>
      <w:r>
        <w:fldChar w:fldCharType="begin"/>
      </w:r>
      <w:r>
        <w:instrText xml:space="preserve"> XE "</w:instrText>
      </w:r>
      <w:r w:rsidRPr="007645AE">
        <w:instrText>Osberht</w:instrText>
      </w:r>
      <w:r>
        <w:instrText xml:space="preserve">" </w:instrText>
      </w:r>
      <w:r>
        <w:fldChar w:fldCharType="end"/>
      </w:r>
      <w:r w:rsidRPr="00F320C8">
        <w:t>.</w:t>
      </w:r>
    </w:p>
  </w:footnote>
  <w:footnote w:id="636">
    <w:p w14:paraId="3DCA0806" w14:textId="77777777" w:rsidR="000E1004" w:rsidRPr="00F320C8" w:rsidRDefault="000E1004" w:rsidP="00A33875">
      <w:pPr>
        <w:pStyle w:val="FootnoteText"/>
      </w:pPr>
      <w:r w:rsidRPr="00F320C8">
        <w:rPr>
          <w:rStyle w:val="FootnoteReference"/>
        </w:rPr>
        <w:footnoteRef/>
      </w:r>
      <w:r w:rsidRPr="00F320C8">
        <w:t xml:space="preserve"> Tweddle, D., Moulden, J. and Logan, E. (eds.), </w:t>
      </w:r>
      <w:r>
        <w:t>(</w:t>
      </w:r>
      <w:r w:rsidRPr="00F320C8">
        <w:t>1999</w:t>
      </w:r>
      <w:r>
        <w:t>,</w:t>
      </w:r>
      <w:r w:rsidRPr="00F320C8">
        <w:t xml:space="preserve"> 131-4</w:t>
      </w:r>
      <w:r>
        <w:t>)</w:t>
      </w:r>
      <w:r w:rsidRPr="00F320C8">
        <w:t>.</w:t>
      </w:r>
    </w:p>
  </w:footnote>
  <w:footnote w:id="637">
    <w:p w14:paraId="6623C016" w14:textId="77FBD668" w:rsidR="000E1004" w:rsidRDefault="000E1004">
      <w:pPr>
        <w:pStyle w:val="FootnoteText"/>
      </w:pPr>
      <w:r>
        <w:rPr>
          <w:rStyle w:val="FootnoteReference"/>
        </w:rPr>
        <w:footnoteRef/>
      </w:r>
      <w:r>
        <w:t xml:space="preserve"> </w:t>
      </w:r>
      <w:r>
        <w:fldChar w:fldCharType="begin"/>
      </w:r>
      <w:r>
        <w:instrText xml:space="preserve"> PAGEREF Law \h </w:instrText>
      </w:r>
      <w:r>
        <w:fldChar w:fldCharType="separate"/>
      </w:r>
      <w:r w:rsidR="0012026B">
        <w:rPr>
          <w:noProof/>
        </w:rPr>
        <w:t>60</w:t>
      </w:r>
      <w:r>
        <w:fldChar w:fldCharType="end"/>
      </w:r>
      <w:r>
        <w:t xml:space="preserve"> and </w:t>
      </w:r>
      <w:r w:rsidRPr="00E01166">
        <w:rPr>
          <w:i/>
        </w:rPr>
        <w:t>Table</w:t>
      </w:r>
      <w:r>
        <w:t xml:space="preserve"> 3.01.</w:t>
      </w:r>
    </w:p>
  </w:footnote>
  <w:footnote w:id="638">
    <w:p w14:paraId="0AA2B609" w14:textId="77777777" w:rsidR="000E1004" w:rsidRPr="00F320C8" w:rsidRDefault="000E1004" w:rsidP="00A33875">
      <w:pPr>
        <w:pStyle w:val="FootnoteText"/>
      </w:pPr>
      <w:r w:rsidRPr="00F320C8">
        <w:rPr>
          <w:rStyle w:val="FootnoteReference"/>
        </w:rPr>
        <w:footnoteRef/>
      </w:r>
      <w:r>
        <w:t xml:space="preserve"> Blackburn (2007,</w:t>
      </w:r>
      <w:r w:rsidRPr="00F320C8">
        <w:t xml:space="preserve"> 64</w:t>
      </w:r>
      <w:r>
        <w:t>)</w:t>
      </w:r>
      <w:r w:rsidRPr="00F320C8">
        <w:t>.</w:t>
      </w:r>
    </w:p>
  </w:footnote>
  <w:footnote w:id="639">
    <w:p w14:paraId="1F2E214E" w14:textId="40554EC3" w:rsidR="000E1004" w:rsidRPr="00F320C8" w:rsidRDefault="000E1004" w:rsidP="00A33875">
      <w:pPr>
        <w:pStyle w:val="FootnoteText"/>
      </w:pPr>
      <w:r w:rsidRPr="00F320C8">
        <w:rPr>
          <w:rStyle w:val="FootnoteReference"/>
        </w:rPr>
        <w:footnoteRef/>
      </w:r>
      <w:r w:rsidRPr="00F320C8">
        <w:t xml:space="preserve"> A monastery given to Alcuin</w:t>
      </w:r>
      <w:r>
        <w:fldChar w:fldCharType="begin"/>
      </w:r>
      <w:r>
        <w:instrText xml:space="preserve"> XE "</w:instrText>
      </w:r>
      <w:r w:rsidRPr="007D3069">
        <w:rPr>
          <w:rFonts w:cs="Times New Roman"/>
          <w:szCs w:val="24"/>
        </w:rPr>
        <w:instrText>Alcuin</w:instrText>
      </w:r>
      <w:r>
        <w:instrText xml:space="preserve">" </w:instrText>
      </w:r>
      <w:r>
        <w:fldChar w:fldCharType="end"/>
      </w:r>
      <w:r w:rsidRPr="00F320C8">
        <w:t xml:space="preserve"> implying a bond with York</w:t>
      </w:r>
      <w:r>
        <w:fldChar w:fldCharType="begin"/>
      </w:r>
      <w:r>
        <w:instrText xml:space="preserve"> XE "</w:instrText>
      </w:r>
      <w:r w:rsidRPr="00F1328A">
        <w:rPr>
          <w:rStyle w:val="Hyperlink"/>
          <w:noProof/>
        </w:rPr>
        <w:instrText>York</w:instrText>
      </w:r>
      <w:r>
        <w:instrText xml:space="preserve">" </w:instrText>
      </w:r>
      <w:r>
        <w:fldChar w:fldCharType="end"/>
      </w:r>
      <w:r w:rsidRPr="00F320C8">
        <w:t>, (</w:t>
      </w:r>
      <w:r w:rsidRPr="00F320C8">
        <w:rPr>
          <w:i/>
        </w:rPr>
        <w:t>EHD</w:t>
      </w:r>
      <w:r w:rsidRPr="00F320C8">
        <w:t xml:space="preserve"> 807).</w:t>
      </w:r>
    </w:p>
  </w:footnote>
  <w:footnote w:id="640">
    <w:p w14:paraId="5B837D68" w14:textId="594F395F" w:rsidR="000E1004" w:rsidRDefault="000E1004">
      <w:pPr>
        <w:pStyle w:val="FootnoteText"/>
      </w:pPr>
      <w:r>
        <w:rPr>
          <w:rStyle w:val="FootnoteReference"/>
        </w:rPr>
        <w:footnoteRef/>
      </w:r>
      <w:r>
        <w:t xml:space="preserve"> Blackburn (2004, 329-30) advocated the view that Wulfhere influenced the choice of liturgical phrases on the York regal coinage </w:t>
      </w:r>
      <w:r w:rsidRPr="00626A95">
        <w:rPr>
          <w:i/>
        </w:rPr>
        <w:t>c.</w:t>
      </w:r>
      <w:r>
        <w:t xml:space="preserve"> 895-905. (Woodman 2012, 49).</w:t>
      </w:r>
    </w:p>
  </w:footnote>
  <w:footnote w:id="641">
    <w:p w14:paraId="47C0835A" w14:textId="346A05E1" w:rsidR="000E1004" w:rsidRPr="00F320C8" w:rsidRDefault="000E1004" w:rsidP="00A33875">
      <w:pPr>
        <w:pStyle w:val="FootnoteText"/>
      </w:pPr>
      <w:r w:rsidRPr="00F320C8">
        <w:rPr>
          <w:rStyle w:val="FootnoteReference"/>
        </w:rPr>
        <w:footnoteRef/>
      </w:r>
      <w:r w:rsidRPr="00F320C8">
        <w:t xml:space="preserve"> It is worth noting that Ceolbald also struck for Offa</w:t>
      </w:r>
      <w:r>
        <w:fldChar w:fldCharType="begin"/>
      </w:r>
      <w:r>
        <w:instrText xml:space="preserve"> XE "</w:instrText>
      </w:r>
      <w:r w:rsidRPr="007D3069">
        <w:rPr>
          <w:rFonts w:cs="Times New Roman"/>
        </w:rPr>
        <w:instrText>Offa</w:instrText>
      </w:r>
      <w:r>
        <w:instrText xml:space="preserve">" </w:instrText>
      </w:r>
      <w:r>
        <w:fldChar w:fldCharType="end"/>
      </w:r>
      <w:r w:rsidRPr="00F320C8">
        <w:t>.</w:t>
      </w:r>
    </w:p>
  </w:footnote>
  <w:footnote w:id="642">
    <w:p w14:paraId="1356CFC9" w14:textId="21956F2C" w:rsidR="000E1004" w:rsidRPr="00F320C8" w:rsidRDefault="000E1004" w:rsidP="00A33875">
      <w:pPr>
        <w:pStyle w:val="FootnoteText"/>
      </w:pPr>
      <w:r w:rsidRPr="00F320C8">
        <w:rPr>
          <w:rStyle w:val="FootnoteReference"/>
        </w:rPr>
        <w:footnoteRef/>
      </w:r>
      <w:r w:rsidRPr="00F320C8">
        <w:t xml:space="preserve"> As correctly stated by Keary </w:t>
      </w:r>
      <w:r>
        <w:t xml:space="preserve">(1887-93, vol. 1, </w:t>
      </w:r>
      <w:r w:rsidRPr="00F320C8">
        <w:t>143</w:t>
      </w:r>
      <w:r>
        <w:t>)</w:t>
      </w:r>
      <w:r w:rsidRPr="00F320C8">
        <w:t>, despite repeated denials commencing with Heywood (1887).</w:t>
      </w:r>
    </w:p>
  </w:footnote>
  <w:footnote w:id="643">
    <w:p w14:paraId="046E0D24" w14:textId="74C6A0C4"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t xml:space="preserve"> (1995, </w:t>
      </w:r>
      <w:r w:rsidRPr="00F320C8">
        <w:t>25</w:t>
      </w:r>
      <w:r>
        <w:t>), recognised</w:t>
      </w:r>
      <w:r w:rsidRPr="00F320C8">
        <w:t xml:space="preserve"> this argumen</w:t>
      </w:r>
      <w:r>
        <w:t>t but dismissed</w:t>
      </w:r>
      <w:r w:rsidRPr="00F320C8">
        <w:t xml:space="preserve"> it as ‘a mere canard’.</w:t>
      </w:r>
    </w:p>
  </w:footnote>
  <w:footnote w:id="644">
    <w:p w14:paraId="0CFADD9F" w14:textId="07A9AEB4" w:rsidR="000E1004" w:rsidRPr="00F320C8" w:rsidRDefault="000E1004" w:rsidP="00A33875">
      <w:pPr>
        <w:pStyle w:val="FootnoteText"/>
      </w:pPr>
      <w:r w:rsidRPr="00F320C8">
        <w:rPr>
          <w:rStyle w:val="FootnoteReference"/>
        </w:rPr>
        <w:footnoteRef/>
      </w:r>
      <w:r w:rsidRPr="00F320C8">
        <w:t xml:space="preserve"> Cuthheard</w:t>
      </w:r>
      <w:r>
        <w:fldChar w:fldCharType="begin"/>
      </w:r>
      <w:r>
        <w:instrText xml:space="preserve"> XE "</w:instrText>
      </w:r>
      <w:r w:rsidRPr="007645AE">
        <w:instrText>Cuthheard</w:instrText>
      </w:r>
      <w:r>
        <w:instrText xml:space="preserve">" </w:instrText>
      </w:r>
      <w:r>
        <w:fldChar w:fldCharType="end"/>
      </w:r>
      <w:r w:rsidRPr="00F320C8">
        <w:t xml:space="preserve"> probably minted the fantastic animal types given the identical obverse rendering of 'Ælfwald</w:t>
      </w:r>
      <w:r>
        <w:fldChar w:fldCharType="begin"/>
      </w:r>
      <w:r>
        <w:instrText xml:space="preserve"> XE "</w:instrText>
      </w:r>
      <w:r w:rsidRPr="007D3069">
        <w:rPr>
          <w:rFonts w:cs="Times New Roman"/>
          <w:szCs w:val="24"/>
        </w:rPr>
        <w:instrText>Ælfwald</w:instrText>
      </w:r>
      <w:r>
        <w:instrText xml:space="preserve">" </w:instrText>
      </w:r>
      <w:r>
        <w:fldChar w:fldCharType="end"/>
      </w:r>
      <w:r>
        <w:t>'.</w:t>
      </w:r>
    </w:p>
  </w:footnote>
  <w:footnote w:id="645">
    <w:p w14:paraId="0F14D171" w14:textId="4B23650C" w:rsidR="000E1004" w:rsidRPr="00F320C8" w:rsidRDefault="000E1004" w:rsidP="00A33875">
      <w:pPr>
        <w:pStyle w:val="FootnoteText"/>
      </w:pPr>
      <w:r w:rsidRPr="00F320C8">
        <w:rPr>
          <w:rStyle w:val="FootnoteReference"/>
        </w:rPr>
        <w:footnoteRef/>
      </w:r>
      <w:r w:rsidRPr="00F320C8">
        <w:t xml:space="preserve"> See Pirie</w:t>
      </w:r>
      <w:r>
        <w:fldChar w:fldCharType="begin"/>
      </w:r>
      <w:r>
        <w:instrText xml:space="preserve"> XE "</w:instrText>
      </w:r>
      <w:r w:rsidRPr="007D3069">
        <w:instrText>Pirie</w:instrText>
      </w:r>
      <w:r>
        <w:instrText xml:space="preserve">" </w:instrText>
      </w:r>
      <w:r>
        <w:fldChar w:fldCharType="end"/>
      </w:r>
      <w:r>
        <w:t xml:space="preserve"> (1995</w:t>
      </w:r>
      <w:r w:rsidRPr="00F320C8">
        <w:t xml:space="preserve"> </w:t>
      </w:r>
      <w:r>
        <w:rPr>
          <w:i/>
        </w:rPr>
        <w:t>fn.</w:t>
      </w:r>
      <w:r w:rsidRPr="00F320C8">
        <w:t xml:space="preserve"> 44</w:t>
      </w:r>
      <w:r>
        <w:t>)</w:t>
      </w:r>
      <w:r w:rsidRPr="00F320C8">
        <w:t xml:space="preserve"> and the appendix on ESM analysis by M. R. Cowell which shows that the first found King Eardwulf sceat was only 44% silver, comparable to Eanred</w:t>
      </w:r>
      <w:r>
        <w:fldChar w:fldCharType="begin"/>
      </w:r>
      <w:r>
        <w:instrText xml:space="preserve"> XE "</w:instrText>
      </w:r>
      <w:r w:rsidRPr="007645AE">
        <w:instrText>Eanred</w:instrText>
      </w:r>
      <w:r>
        <w:instrText xml:space="preserve">" </w:instrText>
      </w:r>
      <w:r>
        <w:fldChar w:fldCharType="end"/>
      </w:r>
      <w:r w:rsidRPr="00F320C8">
        <w:t>’s early emissions.</w:t>
      </w:r>
    </w:p>
  </w:footnote>
  <w:footnote w:id="646">
    <w:p w14:paraId="2CB383C4" w14:textId="641D4F81" w:rsidR="000E1004" w:rsidRPr="00F320C8" w:rsidRDefault="000E1004" w:rsidP="00A33875">
      <w:pPr>
        <w:pStyle w:val="FootnoteText"/>
      </w:pPr>
      <w:r w:rsidRPr="00F320C8">
        <w:rPr>
          <w:rStyle w:val="FootnoteReference"/>
        </w:rPr>
        <w:footnoteRef/>
      </w:r>
      <w:r w:rsidRPr="00F320C8">
        <w:t xml:space="preserve"> Or</w:t>
      </w:r>
      <w:r>
        <w:t>,</w:t>
      </w:r>
      <w:r w:rsidRPr="00F320C8">
        <w:t xml:space="preserve"> </w:t>
      </w:r>
      <w:r>
        <w:t xml:space="preserve">conceivably, </w:t>
      </w:r>
      <w:r w:rsidRPr="00F320C8">
        <w:t>a succession, say, of father and son?</w:t>
      </w:r>
    </w:p>
  </w:footnote>
  <w:footnote w:id="647">
    <w:p w14:paraId="7DD2B404" w14:textId="2BBDE3DA"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(1996</w:t>
      </w:r>
      <w:r>
        <w:t>,</w:t>
      </w:r>
      <w:r w:rsidRPr="00F320C8">
        <w:t xml:space="preserve"> 36</w:t>
      </w:r>
      <w:r>
        <w:t>)</w:t>
      </w:r>
      <w:r w:rsidRPr="00F320C8">
        <w:t>: 'Edilueard was the only official from the earlier phase who continued to work, with new colleagues, for the new archbishop, Uigmund.'</w:t>
      </w:r>
    </w:p>
  </w:footnote>
  <w:footnote w:id="648">
    <w:p w14:paraId="1750F80A" w14:textId="7C15D731" w:rsidR="000E1004" w:rsidRPr="00F320C8" w:rsidRDefault="000E1004" w:rsidP="00A33875">
      <w:pPr>
        <w:pStyle w:val="FootnoteText"/>
        <w:rPr>
          <w:color w:val="000000" w:themeColor="text1"/>
        </w:rPr>
      </w:pPr>
      <w:r w:rsidRPr="00F320C8">
        <w:rPr>
          <w:rStyle w:val="FootnoteReference"/>
        </w:rPr>
        <w:footnoteRef/>
      </w:r>
      <w:r w:rsidRPr="00F320C8">
        <w:t xml:space="preserve"> Plausibly, in straitened circumstances, the requisite quantum of silver, to continue a silver-alloy</w:t>
      </w:r>
      <w:r>
        <w:fldChar w:fldCharType="begin"/>
      </w:r>
      <w:r>
        <w:instrText xml:space="preserve"> XE "</w:instrText>
      </w:r>
      <w:r w:rsidRPr="007D3069">
        <w:rPr>
          <w:rFonts w:eastAsia="Times New Roman" w:cs="Times New Roman"/>
          <w:szCs w:val="24"/>
          <w:lang w:eastAsia="en-GB"/>
        </w:rPr>
        <w:instrText>silver-alloy</w:instrText>
      </w:r>
      <w:r>
        <w:instrText xml:space="preserve">" </w:instrText>
      </w:r>
      <w:r>
        <w:fldChar w:fldCharType="end"/>
      </w:r>
      <w:r w:rsidRPr="00F320C8">
        <w:t xml:space="preserve"> coinage, was unavailable, but see </w:t>
      </w:r>
      <w:r>
        <w:rPr>
          <w:i/>
          <w:color w:val="000000" w:themeColor="text1"/>
        </w:rPr>
        <w:t>fn.</w:t>
      </w:r>
      <w:r w:rsidRPr="00F320C8">
        <w:rPr>
          <w:color w:val="0D0D0D" w:themeColor="text1" w:themeTint="F2"/>
        </w:rPr>
        <w:t xml:space="preserve"> </w:t>
      </w:r>
      <w:r>
        <w:rPr>
          <w:color w:val="0D0D0D" w:themeColor="text1" w:themeTint="F2"/>
        </w:rPr>
        <w:fldChar w:fldCharType="begin"/>
      </w:r>
      <w:r>
        <w:rPr>
          <w:color w:val="0D0D0D" w:themeColor="text1" w:themeTint="F2"/>
        </w:rPr>
        <w:instrText xml:space="preserve"> NOTEREF _Ref428786437 \h </w:instrText>
      </w:r>
      <w:r>
        <w:rPr>
          <w:color w:val="0D0D0D" w:themeColor="text1" w:themeTint="F2"/>
        </w:rPr>
      </w:r>
      <w:r>
        <w:rPr>
          <w:color w:val="0D0D0D" w:themeColor="text1" w:themeTint="F2"/>
        </w:rPr>
        <w:fldChar w:fldCharType="separate"/>
      </w:r>
      <w:r w:rsidR="0012026B">
        <w:rPr>
          <w:color w:val="0D0D0D" w:themeColor="text1" w:themeTint="F2"/>
        </w:rPr>
        <w:t>653</w:t>
      </w:r>
      <w:r>
        <w:rPr>
          <w:color w:val="0D0D0D" w:themeColor="text1" w:themeTint="F2"/>
        </w:rPr>
        <w:fldChar w:fldCharType="end"/>
      </w:r>
      <w:r>
        <w:rPr>
          <w:color w:val="000000" w:themeColor="text1"/>
        </w:rPr>
        <w:t>, Naismith</w:t>
      </w:r>
      <w:r>
        <w:rPr>
          <w:color w:val="000000" w:themeColor="text1"/>
        </w:rPr>
        <w:fldChar w:fldCharType="begin"/>
      </w:r>
      <w:r>
        <w:instrText xml:space="preserve"> XE "</w:instrText>
      </w:r>
      <w:r w:rsidRPr="007D3069">
        <w:rPr>
          <w:rFonts w:cs="Times New Roman"/>
          <w:szCs w:val="24"/>
        </w:rPr>
        <w:instrText>Naismith</w:instrText>
      </w:r>
      <w:r>
        <w:instrText xml:space="preserve">" </w:instrText>
      </w:r>
      <w:r>
        <w:rPr>
          <w:color w:val="000000" w:themeColor="text1"/>
        </w:rPr>
        <w:fldChar w:fldCharType="end"/>
      </w:r>
      <w:r>
        <w:rPr>
          <w:color w:val="000000" w:themeColor="text1"/>
        </w:rPr>
        <w:t xml:space="preserve"> (2012,</w:t>
      </w:r>
      <w:r w:rsidRPr="00F320C8">
        <w:rPr>
          <w:color w:val="000000" w:themeColor="text1"/>
        </w:rPr>
        <w:t xml:space="preserve"> 247</w:t>
      </w:r>
      <w:r>
        <w:rPr>
          <w:color w:val="000000" w:themeColor="text1"/>
        </w:rPr>
        <w:t>)</w:t>
      </w:r>
      <w:r w:rsidRPr="00F320C8">
        <w:rPr>
          <w:color w:val="000000" w:themeColor="text1"/>
        </w:rPr>
        <w:t>.</w:t>
      </w:r>
    </w:p>
  </w:footnote>
  <w:footnote w:id="649">
    <w:p w14:paraId="5C81B970" w14:textId="03CC1B1F" w:rsidR="000E1004" w:rsidRDefault="000E1004">
      <w:pPr>
        <w:pStyle w:val="FootnoteText"/>
      </w:pPr>
      <w:r>
        <w:rPr>
          <w:rStyle w:val="FootnoteReference"/>
        </w:rPr>
        <w:footnoteRef/>
      </w:r>
      <w:r>
        <w:t xml:space="preserve"> See Naismith’s revision of </w:t>
      </w:r>
      <w:r w:rsidRPr="00B01507">
        <w:rPr>
          <w:i/>
        </w:rPr>
        <w:t>MEC</w:t>
      </w:r>
      <w:r>
        <w:t xml:space="preserve"> (forthcoming 1), ‘The Early Pennies – Terminology’.</w:t>
      </w:r>
    </w:p>
  </w:footnote>
  <w:footnote w:id="650">
    <w:p w14:paraId="2967B7FB" w14:textId="7140303A" w:rsidR="000E1004" w:rsidRPr="00F320C8" w:rsidRDefault="000E1004" w:rsidP="00A33875">
      <w:pPr>
        <w:pStyle w:val="FootnoteText"/>
      </w:pPr>
      <w:r w:rsidRPr="00F320C8">
        <w:rPr>
          <w:rStyle w:val="FootnoteReference"/>
        </w:rPr>
        <w:footnoteRef/>
      </w:r>
      <w:r w:rsidRPr="00F320C8">
        <w:t xml:space="preserve"> </w:t>
      </w:r>
      <w:r>
        <w:t xml:space="preserve">In his 1956 BNJ article </w:t>
      </w:r>
      <w:r w:rsidRPr="00F320C8">
        <w:t>Lyon identifies this as a reversion to the “fantastic animal” design found on the Northumbrian sceats; he notes: “even the triquetra is included”.</w:t>
      </w:r>
    </w:p>
  </w:footnote>
  <w:footnote w:id="651">
    <w:p w14:paraId="0B09F0AD" w14:textId="44803891" w:rsidR="000E1004" w:rsidRPr="00F320C8" w:rsidRDefault="000E1004" w:rsidP="00A33875">
      <w:pPr>
        <w:spacing w:after="0"/>
        <w:rPr>
          <w:rFonts w:ascii="Arial" w:eastAsia="Times New Roman" w:hAnsi="Arial" w:cs="Arial"/>
          <w:i/>
          <w:color w:val="000000"/>
          <w:sz w:val="20"/>
          <w:szCs w:val="20"/>
          <w:lang w:eastAsia="en-GB"/>
        </w:rPr>
      </w:pPr>
      <w:r w:rsidRPr="00F320C8">
        <w:rPr>
          <w:rStyle w:val="FootnoteReference"/>
          <w:sz w:val="20"/>
          <w:szCs w:val="20"/>
        </w:rPr>
        <w:footnoteRef/>
      </w:r>
      <w:r w:rsidRPr="00F320C8">
        <w:rPr>
          <w:sz w:val="20"/>
          <w:szCs w:val="20"/>
        </w:rPr>
        <w:t xml:space="preserve"> See </w:t>
      </w:r>
      <w:r w:rsidRPr="00A12ADC">
        <w:rPr>
          <w:i/>
          <w:sz w:val="20"/>
          <w:szCs w:val="20"/>
        </w:rPr>
        <w:t>Table</w:t>
      </w:r>
      <w:r w:rsidRPr="00A12ADC">
        <w:rPr>
          <w:i/>
          <w:sz w:val="20"/>
          <w:szCs w:val="20"/>
        </w:rPr>
        <w:fldChar w:fldCharType="begin"/>
      </w:r>
      <w:r>
        <w:instrText xml:space="preserve"> XE "</w:instrText>
      </w:r>
      <w:r w:rsidRPr="00A12ADC">
        <w:rPr>
          <w:noProof/>
        </w:rPr>
        <w:instrText>Table</w:instrText>
      </w:r>
      <w:r>
        <w:instrText xml:space="preserve">" </w:instrText>
      </w:r>
      <w:r w:rsidRPr="00A12ADC">
        <w:rPr>
          <w:i/>
          <w:sz w:val="20"/>
          <w:szCs w:val="20"/>
        </w:rPr>
        <w:fldChar w:fldCharType="end"/>
      </w:r>
      <w:r w:rsidRPr="00A12ADC">
        <w:rPr>
          <w:i/>
          <w:sz w:val="20"/>
          <w:szCs w:val="20"/>
        </w:rPr>
        <w:t xml:space="preserve"> </w:t>
      </w:r>
      <w:r>
        <w:rPr>
          <w:i/>
          <w:sz w:val="20"/>
          <w:szCs w:val="20"/>
        </w:rPr>
        <w:t>4.01</w:t>
      </w:r>
      <w:r w:rsidRPr="00A12ADC">
        <w:rPr>
          <w:i/>
          <w:sz w:val="20"/>
          <w:szCs w:val="20"/>
        </w:rPr>
        <w:t xml:space="preserve"> </w:t>
      </w:r>
      <w:r w:rsidRPr="00F320C8">
        <w:rPr>
          <w:sz w:val="20"/>
          <w:szCs w:val="20"/>
        </w:rPr>
        <w:t>and footnote.</w:t>
      </w:r>
    </w:p>
  </w:footnote>
  <w:footnote w:id="652">
    <w:p w14:paraId="1762E42F" w14:textId="3AEB93E0" w:rsidR="000E1004" w:rsidRPr="00F320C8" w:rsidRDefault="000E1004" w:rsidP="00A33875">
      <w:pPr>
        <w:pStyle w:val="FootnoteText"/>
      </w:pPr>
      <w:r w:rsidRPr="00F320C8">
        <w:rPr>
          <w:rStyle w:val="FootnoteReference"/>
        </w:rPr>
        <w:footnoteRef/>
      </w:r>
      <w:r w:rsidRPr="00F320C8">
        <w:t xml:space="preserve"> Interestingly, silver continued to be used for ornamentation, suggesting that debasement was a</w:t>
      </w:r>
      <w:r>
        <w:t xml:space="preserve">n intentional monetary policy, </w:t>
      </w:r>
      <w:r w:rsidRPr="00F320C8">
        <w:t>Naismith</w:t>
      </w:r>
      <w:r>
        <w:fldChar w:fldCharType="begin"/>
      </w:r>
      <w:r>
        <w:instrText xml:space="preserve"> XE "</w:instrText>
      </w:r>
      <w:r w:rsidRPr="007D3069">
        <w:rPr>
          <w:rFonts w:cs="Times New Roman"/>
          <w:szCs w:val="24"/>
        </w:rPr>
        <w:instrText>Naismith</w:instrText>
      </w:r>
      <w:r>
        <w:instrText xml:space="preserve">" </w:instrText>
      </w:r>
      <w:r>
        <w:fldChar w:fldCharType="end"/>
      </w:r>
      <w:r w:rsidRPr="00F320C8">
        <w:t xml:space="preserve">, </w:t>
      </w:r>
      <w:r>
        <w:t>(</w:t>
      </w:r>
      <w:r w:rsidRPr="00F320C8">
        <w:t>2012</w:t>
      </w:r>
      <w:r>
        <w:t>,</w:t>
      </w:r>
      <w:r w:rsidRPr="00F320C8">
        <w:t xml:space="preserve"> 247).</w:t>
      </w:r>
    </w:p>
  </w:footnote>
  <w:footnote w:id="653">
    <w:p w14:paraId="47D88F8D" w14:textId="0A3CEDFB" w:rsidR="000E1004" w:rsidRPr="00F320C8" w:rsidRDefault="000E1004" w:rsidP="00A33875">
      <w:pPr>
        <w:pStyle w:val="FootnoteText"/>
      </w:pPr>
      <w:r w:rsidRPr="00F320C8">
        <w:rPr>
          <w:rStyle w:val="FootnoteReference"/>
        </w:rPr>
        <w:footnoteRef/>
      </w:r>
      <w:r w:rsidRPr="00F320C8">
        <w:t xml:space="preserve"> I list thirty-six in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F320C8">
        <w:t xml:space="preserve"> (2012d) of which eleven are ‘Period N9</w:t>
      </w:r>
      <w:r>
        <w:fldChar w:fldCharType="begin"/>
      </w:r>
      <w:r>
        <w:instrText xml:space="preserve"> XE "</w:instrText>
      </w:r>
      <w:r w:rsidRPr="00B82C1B">
        <w:rPr>
          <w:rFonts w:cs="Times New Roman"/>
        </w:rPr>
        <w:instrText>Period N9</w:instrText>
      </w:r>
      <w:r>
        <w:instrText xml:space="preserve">" </w:instrText>
      </w:r>
      <w:r>
        <w:fldChar w:fldCharType="end"/>
      </w:r>
      <w:r w:rsidRPr="00F320C8">
        <w:t xml:space="preserve">’ and only one, Æthelweard, convincingly belongs to both groups. </w:t>
      </w:r>
      <w:r>
        <w:t xml:space="preserve">Lyon </w:t>
      </w:r>
      <w:r w:rsidRPr="00F320C8">
        <w:t>(1956</w:t>
      </w:r>
      <w:r>
        <w:t>,</w:t>
      </w:r>
      <w:r w:rsidRPr="00F320C8">
        <w:t xml:space="preserve"> 234), on stylistic grounds, suggested that the interval between his omissions was ‘a fairly short time’. </w:t>
      </w:r>
    </w:p>
  </w:footnote>
  <w:footnote w:id="654">
    <w:p w14:paraId="5A080211" w14:textId="70939A62" w:rsidR="000E1004" w:rsidRPr="00F320C8" w:rsidRDefault="000E1004" w:rsidP="00A33875">
      <w:pPr>
        <w:pStyle w:val="FootnoteText"/>
      </w:pPr>
      <w:r w:rsidRPr="00F320C8">
        <w:rPr>
          <w:rStyle w:val="FootnoteReference"/>
        </w:rPr>
        <w:footnoteRef/>
      </w:r>
      <w:r>
        <w:t xml:space="preserve"> Booth (1997b, 26).</w:t>
      </w:r>
    </w:p>
  </w:footnote>
  <w:footnote w:id="655">
    <w:p w14:paraId="00442AF5" w14:textId="69969A75" w:rsidR="000E1004" w:rsidRPr="00F320C8" w:rsidRDefault="000E1004" w:rsidP="00A33875">
      <w:pPr>
        <w:pStyle w:val="FootnoteText"/>
      </w:pPr>
      <w:r w:rsidRPr="00F320C8">
        <w:rPr>
          <w:rStyle w:val="FootnoteReference"/>
        </w:rPr>
        <w:footnoteRef/>
      </w:r>
      <w:r w:rsidRPr="00F320C8">
        <w:t xml:space="preserve"> Creeke (1905</w:t>
      </w:r>
      <w:r>
        <w:t>, 65-96</w:t>
      </w:r>
      <w:r w:rsidRPr="00F320C8">
        <w:t>).</w:t>
      </w:r>
    </w:p>
  </w:footnote>
  <w:footnote w:id="656">
    <w:p w14:paraId="66FFDAA3" w14:textId="51BD25F7" w:rsidR="000E1004" w:rsidRDefault="000E1004">
      <w:pPr>
        <w:pStyle w:val="FootnoteText"/>
      </w:pPr>
      <w:r>
        <w:rPr>
          <w:rStyle w:val="FootnoteReference"/>
        </w:rPr>
        <w:footnoteRef/>
      </w:r>
      <w:r>
        <w:t xml:space="preserve"> Pirie (1982, 85).</w:t>
      </w:r>
    </w:p>
  </w:footnote>
  <w:footnote w:id="657">
    <w:p w14:paraId="5230B83E" w14:textId="07A48F0D" w:rsidR="000E1004" w:rsidRPr="00F320C8" w:rsidRDefault="000E1004" w:rsidP="00A33875">
      <w:pPr>
        <w:pStyle w:val="FootnoteText"/>
      </w:pPr>
      <w:r w:rsidRPr="00F320C8">
        <w:rPr>
          <w:rStyle w:val="FootnoteReference"/>
        </w:rPr>
        <w:footnoteRef/>
      </w:r>
      <w:r>
        <w:t xml:space="preserve"> A</w:t>
      </w:r>
      <w:r w:rsidRPr="00F320C8">
        <w:t>lthough Pirie</w:t>
      </w:r>
      <w:r>
        <w:fldChar w:fldCharType="begin"/>
      </w:r>
      <w:r>
        <w:instrText xml:space="preserve"> XE "</w:instrText>
      </w:r>
      <w:r w:rsidRPr="007D3069">
        <w:instrText>Pirie</w:instrText>
      </w:r>
      <w:r>
        <w:instrText xml:space="preserve">" </w:instrText>
      </w:r>
      <w:r>
        <w:fldChar w:fldCharType="end"/>
      </w:r>
      <w:r w:rsidRPr="00F320C8">
        <w:t xml:space="preserve"> continued to question whether York</w:t>
      </w:r>
      <w:r>
        <w:fldChar w:fldCharType="begin"/>
      </w:r>
      <w:r>
        <w:instrText xml:space="preserve"> XE "</w:instrText>
      </w:r>
      <w:r w:rsidRPr="00F1328A">
        <w:rPr>
          <w:rStyle w:val="Hyperlink"/>
          <w:noProof/>
        </w:rPr>
        <w:instrText>York</w:instrText>
      </w:r>
      <w:r>
        <w:instrText xml:space="preserve">" </w:instrText>
      </w:r>
      <w:r>
        <w:fldChar w:fldCharType="end"/>
      </w:r>
      <w:r w:rsidRPr="00F320C8">
        <w:t xml:space="preserve"> was the sole mint.</w:t>
      </w:r>
    </w:p>
  </w:footnote>
  <w:footnote w:id="658">
    <w:p w14:paraId="6356A794" w14:textId="03838FB4" w:rsidR="000E1004" w:rsidRDefault="000E1004">
      <w:pPr>
        <w:pStyle w:val="FootnoteText"/>
      </w:pPr>
      <w:r>
        <w:rPr>
          <w:rStyle w:val="FootnoteReference"/>
        </w:rPr>
        <w:footnoteRef/>
      </w:r>
      <w:r>
        <w:t xml:space="preserve"> Also see Pirie 1994 &amp; 2000.</w:t>
      </w:r>
    </w:p>
  </w:footnote>
  <w:footnote w:id="659">
    <w:p w14:paraId="3219080E" w14:textId="77777777" w:rsidR="000E1004" w:rsidRPr="00F320C8" w:rsidRDefault="000E1004" w:rsidP="00A33875">
      <w:pPr>
        <w:pStyle w:val="FootnoteText"/>
      </w:pPr>
      <w:r w:rsidRPr="00F320C8">
        <w:rPr>
          <w:rStyle w:val="FootnoteReference"/>
        </w:rPr>
        <w:footnoteRef/>
      </w:r>
      <w:r w:rsidRPr="00F320C8">
        <w:t xml:space="preserve"> Volumes xxv and xxvi</w:t>
      </w:r>
    </w:p>
  </w:footnote>
  <w:footnote w:id="660">
    <w:p w14:paraId="0556C7AC" w14:textId="17092775" w:rsidR="000E1004" w:rsidRPr="00F320C8" w:rsidRDefault="000E1004" w:rsidP="00A33875">
      <w:pPr>
        <w:pStyle w:val="FootnoteText"/>
      </w:pPr>
      <w:r w:rsidRPr="00F320C8">
        <w:rPr>
          <w:rStyle w:val="FootnoteReference"/>
        </w:rPr>
        <w:footnoteRef/>
      </w:r>
      <w:r w:rsidRPr="00F320C8">
        <w:t xml:space="preserve"> </w:t>
      </w:r>
      <w:r w:rsidRPr="00F320C8">
        <w:rPr>
          <w:i/>
          <w:iCs/>
        </w:rPr>
        <w:t>BAR 180</w:t>
      </w:r>
      <w:r w:rsidRPr="00F320C8">
        <w:t xml:space="preserve"> (1987</w:t>
      </w:r>
      <w:r>
        <w:t>,</w:t>
      </w:r>
      <w:r w:rsidRPr="00F320C8">
        <w:t xml:space="preserve"> 257-327</w:t>
      </w:r>
      <w:r>
        <w:t>)</w:t>
      </w:r>
      <w:r w:rsidRPr="00F320C8">
        <w:t>. There are 156 Hexham</w:t>
      </w:r>
      <w:r>
        <w:fldChar w:fldCharType="begin"/>
      </w:r>
      <w:r>
        <w:instrText xml:space="preserve"> XE "</w:instrText>
      </w:r>
      <w:r w:rsidRPr="007645AE">
        <w:instrText>Hexham</w:instrText>
      </w:r>
      <w:r>
        <w:instrText xml:space="preserve">" </w:instrText>
      </w:r>
      <w:r>
        <w:fldChar w:fldCharType="end"/>
      </w:r>
      <w:r w:rsidRPr="00F320C8">
        <w:t xml:space="preserve"> coins in the Yorkshire Museum, which are far from a random selection, and 800 </w:t>
      </w:r>
      <w:r>
        <w:t xml:space="preserve">stycas </w:t>
      </w:r>
      <w:r w:rsidRPr="00F320C8">
        <w:t xml:space="preserve">neglected </w:t>
      </w:r>
      <w:r>
        <w:t>in the BM</w:t>
      </w:r>
      <w:r w:rsidRPr="00F320C8">
        <w:t xml:space="preserve"> </w:t>
      </w:r>
      <w:r>
        <w:t>with those from Hexham in disarray (Pagan, 1997, 281).</w:t>
      </w:r>
      <w:r w:rsidRPr="00D0613F">
        <w:rPr>
          <w:i/>
        </w:rPr>
        <w:t xml:space="preserve"> </w:t>
      </w:r>
      <w:r w:rsidRPr="00A07A08">
        <w:rPr>
          <w:i/>
        </w:rPr>
        <w:t>Graph 7.</w:t>
      </w:r>
      <w:r>
        <w:rPr>
          <w:i/>
        </w:rPr>
        <w:t>08 no. 36</w:t>
      </w:r>
      <w:r>
        <w:t>.</w:t>
      </w:r>
    </w:p>
  </w:footnote>
  <w:footnote w:id="661">
    <w:p w14:paraId="6D36C901" w14:textId="6709F84A" w:rsidR="000E1004" w:rsidRPr="00F320C8" w:rsidRDefault="000E1004" w:rsidP="00A33875">
      <w:pPr>
        <w:pStyle w:val="FootnoteText"/>
      </w:pPr>
      <w:r w:rsidRPr="00F320C8">
        <w:rPr>
          <w:rStyle w:val="FootnoteReference"/>
        </w:rPr>
        <w:footnoteRef/>
      </w:r>
      <w:r w:rsidRPr="00F320C8">
        <w:t xml:space="preserve"> In connection with which Rich</w:t>
      </w:r>
      <w:r>
        <w:t>ards deduced that northern England had a</w:t>
      </w:r>
      <w:r w:rsidRPr="00F320C8">
        <w:t xml:space="preserve"> </w:t>
      </w:r>
      <w:r>
        <w:t>‘</w:t>
      </w:r>
      <w:r w:rsidRPr="00F320C8">
        <w:t>money</w:t>
      </w:r>
      <w:r>
        <w:fldChar w:fldCharType="begin"/>
      </w:r>
      <w:r>
        <w:instrText xml:space="preserve"> XE "</w:instrText>
      </w:r>
      <w:r w:rsidRPr="007D3069">
        <w:instrText>money</w:instrText>
      </w:r>
      <w:r>
        <w:instrText xml:space="preserve">" </w:instrText>
      </w:r>
      <w:r>
        <w:fldChar w:fldCharType="end"/>
      </w:r>
      <w:r w:rsidRPr="00F320C8">
        <w:t xml:space="preserve"> economy</w:t>
      </w:r>
      <w:r>
        <w:fldChar w:fldCharType="begin"/>
      </w:r>
      <w:r>
        <w:instrText xml:space="preserve"> XE "</w:instrText>
      </w:r>
      <w:r w:rsidRPr="007A2080">
        <w:rPr>
          <w:rFonts w:cs="Times New Roman"/>
          <w:b/>
          <w:color w:val="000000" w:themeColor="text1"/>
          <w:sz w:val="56"/>
          <w:szCs w:val="56"/>
        </w:rPr>
        <w:instrText>economy</w:instrText>
      </w:r>
      <w:r>
        <w:instrText xml:space="preserve">" </w:instrText>
      </w:r>
      <w:r>
        <w:fldChar w:fldCharType="end"/>
      </w:r>
      <w:r w:rsidRPr="00F320C8">
        <w:t>, where coins despite variations in weight and purity, had an agreed face value.’ (2010, 3</w:t>
      </w:r>
      <w:r>
        <w:t>0</w:t>
      </w:r>
      <w:r w:rsidRPr="00F320C8">
        <w:t>).</w:t>
      </w:r>
    </w:p>
  </w:footnote>
  <w:footnote w:id="662">
    <w:p w14:paraId="69CA1C0E" w14:textId="6995FF63" w:rsidR="000E1004" w:rsidRPr="00C34081" w:rsidRDefault="000E1004" w:rsidP="00A33875">
      <w:pPr>
        <w:pStyle w:val="FootnoteText"/>
        <w:rPr>
          <w:i/>
        </w:rPr>
      </w:pPr>
      <w:r w:rsidRPr="00F320C8">
        <w:rPr>
          <w:rStyle w:val="FootnoteReference"/>
        </w:rPr>
        <w:footnoteRef/>
      </w:r>
      <w:r w:rsidRPr="00F320C8">
        <w:t xml:space="preserve"> </w:t>
      </w:r>
      <w:r>
        <w:rPr>
          <w:i/>
        </w:rPr>
        <w:t>Fn.</w:t>
      </w:r>
      <w:r>
        <w:t xml:space="preserve"> </w:t>
      </w:r>
      <w:r>
        <w:fldChar w:fldCharType="begin"/>
      </w:r>
      <w:r>
        <w:instrText xml:space="preserve"> NOTEREF _Ref430015316 \h </w:instrText>
      </w:r>
      <w:r>
        <w:fldChar w:fldCharType="separate"/>
      </w:r>
      <w:r w:rsidR="0012026B">
        <w:t>380</w:t>
      </w:r>
      <w:r>
        <w:fldChar w:fldCharType="end"/>
      </w:r>
      <w:r>
        <w:t>.</w:t>
      </w:r>
    </w:p>
  </w:footnote>
  <w:footnote w:id="663">
    <w:p w14:paraId="6B091613" w14:textId="1DE4498A" w:rsidR="000E1004" w:rsidRDefault="000E1004">
      <w:pPr>
        <w:pStyle w:val="FootnoteText"/>
      </w:pPr>
      <w:r>
        <w:rPr>
          <w:rStyle w:val="FootnoteReference"/>
        </w:rPr>
        <w:footnoteRef/>
      </w:r>
      <w:r>
        <w:t xml:space="preserve"> </w:t>
      </w:r>
      <w:r w:rsidRPr="00A07A08">
        <w:rPr>
          <w:i/>
        </w:rPr>
        <w:t>Graph 7.</w:t>
      </w:r>
      <w:r>
        <w:rPr>
          <w:i/>
        </w:rPr>
        <w:t>09 no. 45</w:t>
      </w:r>
      <w:r>
        <w:t>.</w:t>
      </w:r>
    </w:p>
  </w:footnote>
  <w:footnote w:id="664">
    <w:p w14:paraId="09A3261F" w14:textId="2434C320" w:rsidR="000E1004" w:rsidRPr="00F320C8" w:rsidRDefault="000E1004" w:rsidP="00A33875">
      <w:pPr>
        <w:pStyle w:val="FootnoteText"/>
      </w:pPr>
      <w:r w:rsidRPr="00F320C8">
        <w:rPr>
          <w:rStyle w:val="FootnoteReference"/>
        </w:rPr>
        <w:footnoteRef/>
      </w:r>
      <w:r w:rsidRPr="00F320C8">
        <w:t xml:space="preserve"> This list is not exhaustive – more information is available from Pirie</w:t>
      </w:r>
      <w:r>
        <w:fldChar w:fldCharType="begin"/>
      </w:r>
      <w:r>
        <w:instrText xml:space="preserve"> XE "</w:instrText>
      </w:r>
      <w:r w:rsidRPr="007D3069">
        <w:instrText>Pirie</w:instrText>
      </w:r>
      <w:r>
        <w:instrText xml:space="preserve">" </w:instrText>
      </w:r>
      <w:r>
        <w:fldChar w:fldCharType="end"/>
      </w:r>
      <w:r w:rsidRPr="00F320C8">
        <w:t xml:space="preserve">’s </w:t>
      </w:r>
      <w:r w:rsidRPr="00F320C8">
        <w:rPr>
          <w:i/>
          <w:iCs/>
        </w:rPr>
        <w:t>CKN</w:t>
      </w:r>
      <w:r>
        <w:rPr>
          <w:i/>
          <w:iCs/>
        </w:rPr>
        <w:fldChar w:fldCharType="begin"/>
      </w:r>
      <w:r>
        <w:instrText xml:space="preserve"> XE "</w:instrText>
      </w:r>
      <w:r w:rsidRPr="007D3069">
        <w:instrText>CKN</w:instrText>
      </w:r>
      <w:r>
        <w:instrText xml:space="preserve">" </w:instrText>
      </w:r>
      <w:r>
        <w:rPr>
          <w:i/>
          <w:iCs/>
        </w:rPr>
        <w:fldChar w:fldCharType="end"/>
      </w:r>
      <w:r>
        <w:t xml:space="preserve">, (1996, </w:t>
      </w:r>
      <w:r w:rsidRPr="00F320C8">
        <w:t>16-19</w:t>
      </w:r>
      <w:r>
        <w:t>)</w:t>
      </w:r>
      <w:r w:rsidRPr="00F320C8">
        <w:t xml:space="preserve"> and </w:t>
      </w:r>
      <w:r>
        <w:t>Pagan</w:t>
      </w:r>
      <w:r w:rsidRPr="00F320C8">
        <w:t xml:space="preserve">, </w:t>
      </w:r>
      <w:r w:rsidRPr="00755C32">
        <w:rPr>
          <w:i/>
        </w:rPr>
        <w:t>BAR</w:t>
      </w:r>
      <w:r>
        <w:rPr>
          <w:i/>
        </w:rPr>
        <w:t xml:space="preserve"> </w:t>
      </w:r>
      <w:r>
        <w:t xml:space="preserve">180 (1987, </w:t>
      </w:r>
      <w:r w:rsidRPr="00F320C8">
        <w:t>147–158</w:t>
      </w:r>
      <w:r>
        <w:t>)</w:t>
      </w:r>
      <w:r w:rsidRPr="00F320C8">
        <w:t>.</w:t>
      </w:r>
    </w:p>
  </w:footnote>
  <w:footnote w:id="665">
    <w:p w14:paraId="52FA2F5A" w14:textId="440F26FC"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(1975, xxxii-iii, nos. 8 &amp; 10</w:t>
      </w:r>
      <w:r>
        <w:t>)</w:t>
      </w:r>
      <w:r w:rsidRPr="00F320C8">
        <w:t xml:space="preserve">. Tweddle </w:t>
      </w:r>
      <w:r w:rsidRPr="00F320C8">
        <w:rPr>
          <w:i/>
        </w:rPr>
        <w:t>et al</w:t>
      </w:r>
      <w:r w:rsidRPr="00F320C8">
        <w:t xml:space="preserve"> (1999</w:t>
      </w:r>
      <w:r>
        <w:t>,</w:t>
      </w:r>
      <w:r w:rsidRPr="00F320C8">
        <w:t xml:space="preserve"> #137</w:t>
      </w:r>
      <w:r>
        <w:t>,</w:t>
      </w:r>
      <w:r w:rsidRPr="00F320C8">
        <w:t xml:space="preserve"> 277</w:t>
      </w:r>
      <w:r>
        <w:t>)</w:t>
      </w:r>
      <w:r w:rsidRPr="00F320C8">
        <w:t>.</w:t>
      </w:r>
    </w:p>
  </w:footnote>
  <w:footnote w:id="666">
    <w:p w14:paraId="62F78375" w14:textId="7F830FB0"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archive, Stonyhurst College file and Pirie (1994</w:t>
      </w:r>
      <w:r>
        <w:t>,</w:t>
      </w:r>
      <w:r w:rsidRPr="00F320C8">
        <w:t xml:space="preserve"> 25</w:t>
      </w:r>
      <w:r>
        <w:t>)</w:t>
      </w:r>
      <w:r w:rsidRPr="00F320C8">
        <w:t>.</w:t>
      </w:r>
    </w:p>
  </w:footnote>
  <w:footnote w:id="667">
    <w:p w14:paraId="4C7B11B2" w14:textId="37D16A2A"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(1994</w:t>
      </w:r>
      <w:r>
        <w:t>,</w:t>
      </w:r>
      <w:r w:rsidRPr="00F320C8">
        <w:t xml:space="preserve"> 28</w:t>
      </w:r>
      <w:r>
        <w:t>)</w:t>
      </w:r>
      <w:r w:rsidRPr="00F320C8">
        <w:t>.</w:t>
      </w:r>
    </w:p>
  </w:footnote>
  <w:footnote w:id="668">
    <w:p w14:paraId="6C84B96E" w14:textId="77777777" w:rsidR="000E1004" w:rsidRPr="00F320C8" w:rsidRDefault="000E1004" w:rsidP="00A33875">
      <w:pPr>
        <w:pStyle w:val="FootnoteText"/>
      </w:pPr>
      <w:r w:rsidRPr="00F320C8">
        <w:rPr>
          <w:rStyle w:val="FootnoteReference"/>
        </w:rPr>
        <w:footnoteRef/>
      </w:r>
      <w:r w:rsidRPr="00F320C8">
        <w:t xml:space="preserve"> Booth (1997a).</w:t>
      </w:r>
    </w:p>
  </w:footnote>
  <w:footnote w:id="669">
    <w:p w14:paraId="3ACAAC38" w14:textId="1F648136" w:rsidR="000E1004" w:rsidRPr="00F320C8" w:rsidRDefault="000E1004" w:rsidP="00A33875">
      <w:pPr>
        <w:pStyle w:val="FootnoteText"/>
      </w:pPr>
      <w:r w:rsidRPr="00F320C8">
        <w:rPr>
          <w:rStyle w:val="FootnoteReference"/>
        </w:rPr>
        <w:footnoteRef/>
      </w:r>
      <w:r w:rsidRPr="00F320C8">
        <w:t xml:space="preserve"> </w:t>
      </w:r>
      <w:r w:rsidRPr="00F320C8">
        <w:rPr>
          <w:i/>
          <w:iCs/>
        </w:rPr>
        <w:t>SCBI</w:t>
      </w:r>
      <w:r>
        <w:rPr>
          <w:i/>
          <w:iCs/>
        </w:rPr>
        <w:fldChar w:fldCharType="begin"/>
      </w:r>
      <w:r>
        <w:instrText xml:space="preserve"> XE "</w:instrText>
      </w:r>
      <w:r w:rsidRPr="007D3069">
        <w:instrText>SCBI</w:instrText>
      </w:r>
      <w:r>
        <w:instrText xml:space="preserve">" </w:instrText>
      </w:r>
      <w:r>
        <w:rPr>
          <w:i/>
          <w:iCs/>
        </w:rPr>
        <w:fldChar w:fldCharType="end"/>
      </w:r>
      <w:r w:rsidRPr="00F320C8">
        <w:rPr>
          <w:i/>
          <w:iCs/>
        </w:rPr>
        <w:t xml:space="preserve"> </w:t>
      </w:r>
      <w:r w:rsidRPr="00F320C8">
        <w:t>21, (1975)</w:t>
      </w:r>
    </w:p>
  </w:footnote>
  <w:footnote w:id="670">
    <w:p w14:paraId="68C33DED" w14:textId="03C4B57D" w:rsidR="000E1004" w:rsidRPr="00F320C8" w:rsidRDefault="000E1004" w:rsidP="00A33875">
      <w:pPr>
        <w:pStyle w:val="FootnoteText"/>
      </w:pPr>
      <w:r w:rsidRPr="00F320C8">
        <w:rPr>
          <w:rStyle w:val="FootnoteReference"/>
        </w:rPr>
        <w:footnoteRef/>
      </w:r>
      <w:r w:rsidRPr="00F320C8">
        <w:t xml:space="preserve"> </w:t>
      </w:r>
      <w:r w:rsidRPr="00DA0267">
        <w:rPr>
          <w:rStyle w:val="Hyperlink"/>
          <w:color w:val="000000" w:themeColor="text1"/>
          <w:u w:val="none"/>
        </w:rPr>
        <w:t>Abramson</w:t>
      </w:r>
      <w:r w:rsidRPr="00DA0267">
        <w:rPr>
          <w:rStyle w:val="Hyperlink"/>
          <w:color w:val="000000" w:themeColor="text1"/>
          <w:u w:val="none"/>
        </w:rPr>
        <w:fldChar w:fldCharType="begin"/>
      </w:r>
      <w:r w:rsidRPr="00DA0267">
        <w:instrText xml:space="preserve"> XE "</w:instrText>
      </w:r>
      <w:r w:rsidRPr="00DA0267">
        <w:rPr>
          <w:rFonts w:cs="Times New Roman"/>
          <w:b/>
          <w:sz w:val="40"/>
          <w:szCs w:val="40"/>
        </w:rPr>
        <w:instrText>Abramson</w:instrText>
      </w:r>
      <w:r w:rsidRPr="00DA0267">
        <w:instrText xml:space="preserve">" </w:instrText>
      </w:r>
      <w:r w:rsidRPr="00DA0267">
        <w:rPr>
          <w:rStyle w:val="Hyperlink"/>
          <w:color w:val="000000" w:themeColor="text1"/>
          <w:u w:val="none"/>
        </w:rPr>
        <w:fldChar w:fldCharType="end"/>
      </w:r>
      <w:r>
        <w:rPr>
          <w:rStyle w:val="Hyperlink"/>
          <w:color w:val="000000" w:themeColor="text1"/>
          <w:u w:val="none"/>
        </w:rPr>
        <w:t xml:space="preserve"> (</w:t>
      </w:r>
      <w:r w:rsidRPr="00DA0267">
        <w:rPr>
          <w:rStyle w:val="Hyperlink"/>
          <w:color w:val="000000" w:themeColor="text1"/>
          <w:u w:val="none"/>
        </w:rPr>
        <w:t>2012d</w:t>
      </w:r>
      <w:r>
        <w:rPr>
          <w:rStyle w:val="Hyperlink"/>
          <w:color w:val="000000" w:themeColor="text1"/>
          <w:u w:val="none"/>
        </w:rPr>
        <w:t>, supplement)</w:t>
      </w:r>
      <w:r w:rsidRPr="00DA0267">
        <w:rPr>
          <w:rStyle w:val="Hyperlink"/>
          <w:color w:val="000000" w:themeColor="text1"/>
          <w:u w:val="none"/>
        </w:rPr>
        <w:t>, which a</w:t>
      </w:r>
      <w:r>
        <w:t>ssumed</w:t>
      </w:r>
      <w:r w:rsidRPr="00F320C8">
        <w:t xml:space="preserve"> the quality of execution decays over time.</w:t>
      </w:r>
    </w:p>
  </w:footnote>
  <w:footnote w:id="671">
    <w:p w14:paraId="012723C8" w14:textId="2669143F" w:rsidR="000E1004" w:rsidRDefault="000E1004" w:rsidP="00943122">
      <w:pPr>
        <w:pStyle w:val="FootnoteText"/>
      </w:pPr>
      <w:r>
        <w:rPr>
          <w:rStyle w:val="FootnoteReference"/>
        </w:rPr>
        <w:footnoteRef/>
      </w:r>
      <w:r>
        <w:t xml:space="preserve"> Subject to the important caveats at </w:t>
      </w:r>
      <w:r>
        <w:rPr>
          <w:i/>
        </w:rPr>
        <w:t>fn.</w:t>
      </w:r>
      <w:r>
        <w:t xml:space="preserve"> </w:t>
      </w:r>
      <w:r>
        <w:fldChar w:fldCharType="begin"/>
      </w:r>
      <w:r>
        <w:instrText xml:space="preserve"> NOTEREF _Ref434481262 \h </w:instrText>
      </w:r>
      <w:r>
        <w:fldChar w:fldCharType="separate"/>
      </w:r>
      <w:r w:rsidR="0012026B">
        <w:t>675</w:t>
      </w:r>
      <w:r>
        <w:fldChar w:fldCharType="end"/>
      </w:r>
      <w:r>
        <w:t xml:space="preserve"> and at page </w:t>
      </w:r>
      <w:r>
        <w:fldChar w:fldCharType="begin"/>
      </w:r>
      <w:r>
        <w:instrText xml:space="preserve"> PAGEREF Metalanalysis \h </w:instrText>
      </w:r>
      <w:r>
        <w:fldChar w:fldCharType="separate"/>
      </w:r>
      <w:r w:rsidR="0012026B">
        <w:rPr>
          <w:noProof/>
        </w:rPr>
        <w:t>301</w:t>
      </w:r>
      <w:r>
        <w:fldChar w:fldCharType="end"/>
      </w:r>
      <w:r>
        <w:t>.</w:t>
      </w:r>
    </w:p>
  </w:footnote>
  <w:footnote w:id="672">
    <w:p w14:paraId="252BA1D7" w14:textId="7DB24027"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(1997</w:t>
      </w:r>
      <w:r>
        <w:t>,</w:t>
      </w:r>
      <w:r w:rsidRPr="00F320C8">
        <w:t xml:space="preserve"> 65-8</w:t>
      </w:r>
      <w:r>
        <w:t>)</w:t>
      </w:r>
      <w:r w:rsidRPr="00F320C8">
        <w:t>. It may mark Eanred</w:t>
      </w:r>
      <w:r>
        <w:fldChar w:fldCharType="begin"/>
      </w:r>
      <w:r>
        <w:instrText xml:space="preserve"> XE "</w:instrText>
      </w:r>
      <w:r w:rsidRPr="007645AE">
        <w:instrText>Eanred</w:instrText>
      </w:r>
      <w:r>
        <w:instrText xml:space="preserve">" </w:instrText>
      </w:r>
      <w:r>
        <w:fldChar w:fldCharType="end"/>
      </w:r>
      <w:r w:rsidRPr="00F320C8">
        <w:t>’s submission to Ecgberht</w:t>
      </w:r>
      <w:r>
        <w:fldChar w:fldCharType="begin"/>
      </w:r>
      <w:r>
        <w:instrText xml:space="preserve"> XE "</w:instrText>
      </w:r>
      <w:r w:rsidRPr="007645AE">
        <w:instrText>Ecgberht</w:instrText>
      </w:r>
      <w:r>
        <w:instrText xml:space="preserve">" </w:instrText>
      </w:r>
      <w:r>
        <w:fldChar w:fldCharType="end"/>
      </w:r>
      <w:r w:rsidRPr="00F320C8">
        <w:t xml:space="preserve"> of Wessex at</w:t>
      </w:r>
      <w:r>
        <w:t xml:space="preserve"> Dore in 829. </w:t>
      </w:r>
      <w:r w:rsidRPr="00F320C8">
        <w:t>Booth (</w:t>
      </w:r>
      <w:r w:rsidRPr="00F320C8">
        <w:rPr>
          <w:i/>
        </w:rPr>
        <w:t>pers. comm</w:t>
      </w:r>
      <w:r>
        <w:t>. Oct. 2013) stated</w:t>
      </w:r>
      <w:r w:rsidRPr="00F320C8">
        <w:t>: ‘It was bizarrely, in the Trewhiddle Hoard</w:t>
      </w:r>
      <w:r>
        <w:fldChar w:fldCharType="begin"/>
      </w:r>
      <w:r>
        <w:instrText xml:space="preserve"> XE "</w:instrText>
      </w:r>
      <w:r w:rsidRPr="00F1328A">
        <w:rPr>
          <w:rStyle w:val="Hyperlink"/>
          <w:rFonts w:eastAsia="Times New Roman" w:cs="Times New Roman"/>
          <w:noProof/>
          <w:lang w:eastAsia="en-GB"/>
        </w:rPr>
        <w:instrText>Hoard</w:instrText>
      </w:r>
      <w:r>
        <w:instrText xml:space="preserve">" </w:instrText>
      </w:r>
      <w:r>
        <w:fldChar w:fldCharType="end"/>
      </w:r>
      <w:r w:rsidRPr="00F320C8">
        <w:t>, which was full of much earlier material (Offa</w:t>
      </w:r>
      <w:r>
        <w:fldChar w:fldCharType="begin"/>
      </w:r>
      <w:r>
        <w:instrText xml:space="preserve"> XE "</w:instrText>
      </w:r>
      <w:r w:rsidRPr="007D3069">
        <w:rPr>
          <w:rFonts w:cs="Times New Roman"/>
        </w:rPr>
        <w:instrText>Offa</w:instrText>
      </w:r>
      <w:r>
        <w:instrText xml:space="preserve">" </w:instrText>
      </w:r>
      <w:r>
        <w:fldChar w:fldCharType="end"/>
      </w:r>
      <w:r w:rsidRPr="00F320C8">
        <w:t xml:space="preserve"> particularly)’.</w:t>
      </w:r>
      <w:r>
        <w:t xml:space="preserve"> Lyon (forthcoming) concludes that the conventional date of accession from Eanred onwards should be delayed by a decade.</w:t>
      </w:r>
    </w:p>
  </w:footnote>
  <w:footnote w:id="673">
    <w:p w14:paraId="15EC686F" w14:textId="63FEE6BD" w:rsidR="000E1004" w:rsidRPr="00F320C8" w:rsidRDefault="000E1004" w:rsidP="00A33875">
      <w:pPr>
        <w:pStyle w:val="FootnoteText"/>
      </w:pPr>
      <w:r w:rsidRPr="00F320C8">
        <w:rPr>
          <w:rStyle w:val="FootnoteReference"/>
        </w:rPr>
        <w:footnoteRef/>
      </w:r>
      <w:r w:rsidRPr="00F320C8">
        <w:t xml:space="preserve"> </w:t>
      </w:r>
      <w:r w:rsidRPr="00F320C8">
        <w:rPr>
          <w:color w:val="000000" w:themeColor="text1"/>
        </w:rPr>
        <w:t>I treat Eardwulf as Æthelred</w:t>
      </w:r>
      <w:r>
        <w:rPr>
          <w:color w:val="000000" w:themeColor="text1"/>
        </w:rPr>
        <w:fldChar w:fldCharType="begin"/>
      </w:r>
      <w:r>
        <w:instrText xml:space="preserve"> XE "</w:instrText>
      </w:r>
      <w:r w:rsidRPr="007645AE">
        <w:rPr>
          <w:rFonts w:cs="Times New Roman"/>
        </w:rPr>
        <w:instrText>Æ</w:instrText>
      </w:r>
      <w:r w:rsidRPr="007645AE">
        <w:instrText>thelred</w:instrText>
      </w:r>
      <w:r>
        <w:instrText xml:space="preserve">" </w:instrText>
      </w:r>
      <w:r>
        <w:rPr>
          <w:color w:val="000000" w:themeColor="text1"/>
        </w:rPr>
        <w:fldChar w:fldCharType="end"/>
      </w:r>
      <w:r w:rsidRPr="00F320C8">
        <w:rPr>
          <w:color w:val="000000" w:themeColor="text1"/>
        </w:rPr>
        <w:t xml:space="preserve">’s sole restoration moneyer </w:t>
      </w:r>
      <w:r>
        <w:rPr>
          <w:color w:val="000000" w:themeColor="text1"/>
        </w:rPr>
        <w:t xml:space="preserve">(Metcalf and Northover 1987, 212) </w:t>
      </w:r>
      <w:r w:rsidRPr="00F320C8">
        <w:rPr>
          <w:color w:val="000000" w:themeColor="text1"/>
        </w:rPr>
        <w:t xml:space="preserve">and </w:t>
      </w:r>
      <w:r w:rsidRPr="00F320C8">
        <w:t xml:space="preserve">invoke Reece’s </w:t>
      </w:r>
      <w:r w:rsidRPr="00A12ADC">
        <w:rPr>
          <w:i/>
        </w:rPr>
        <w:t>apologia</w:t>
      </w:r>
      <w:r>
        <w:t xml:space="preserve"> (</w:t>
      </w:r>
      <w:r>
        <w:fldChar w:fldCharType="begin"/>
      </w:r>
      <w:r>
        <w:instrText xml:space="preserve"> PAGEREF apologia \h </w:instrText>
      </w:r>
      <w:r>
        <w:fldChar w:fldCharType="separate"/>
      </w:r>
      <w:r w:rsidR="0012026B">
        <w:rPr>
          <w:noProof/>
        </w:rPr>
        <w:t>172</w:t>
      </w:r>
      <w:r>
        <w:fldChar w:fldCharType="end"/>
      </w:r>
      <w:r>
        <w:t>).</w:t>
      </w:r>
    </w:p>
  </w:footnote>
  <w:footnote w:id="674">
    <w:p w14:paraId="296F2E10" w14:textId="77777777" w:rsidR="000E1004" w:rsidRPr="00F320C8" w:rsidRDefault="000E1004" w:rsidP="00A33875">
      <w:pPr>
        <w:pStyle w:val="FootnoteText"/>
      </w:pPr>
      <w:r w:rsidRPr="00F320C8">
        <w:rPr>
          <w:rStyle w:val="FootnoteReference"/>
        </w:rPr>
        <w:footnoteRef/>
      </w:r>
      <w:r w:rsidRPr="00F320C8">
        <w:t xml:space="preserve"> The veracity of these and Æthelweard’s credentials as an N9 moneyer need to be established.</w:t>
      </w:r>
    </w:p>
  </w:footnote>
  <w:footnote w:id="675">
    <w:p w14:paraId="7FE3CEC3" w14:textId="53A38F40" w:rsidR="000E1004" w:rsidRDefault="000E1004">
      <w:pPr>
        <w:pStyle w:val="FootnoteText"/>
      </w:pPr>
      <w:r>
        <w:rPr>
          <w:rStyle w:val="FootnoteReference"/>
        </w:rPr>
        <w:footnoteRef/>
      </w:r>
      <w:r>
        <w:t xml:space="preserve"> Metcalf and Northover (1987, 212), but note that their conclusion that Osberht’s stycas are tin-rich is based on a sample of only three coins, insufficient to determine this apparent change as being policy, source or chance. The sub-division between N10a &amp; b still stands on the grounds that the monarchy and episcopacy were simultaneously renewed.</w:t>
      </w:r>
    </w:p>
  </w:footnote>
  <w:footnote w:id="676">
    <w:p w14:paraId="2946D715" w14:textId="62623C63" w:rsidR="000E1004" w:rsidRPr="00F320C8" w:rsidRDefault="000E1004" w:rsidP="00A33875">
      <w:pPr>
        <w:pStyle w:val="FootnoteText"/>
      </w:pPr>
      <w:r w:rsidRPr="00F320C8">
        <w:rPr>
          <w:rStyle w:val="FootnoteReference"/>
        </w:rPr>
        <w:footnoteRef/>
      </w:r>
      <w:r w:rsidRPr="00F320C8">
        <w:t xml:space="preserve"> </w:t>
      </w:r>
      <w:r>
        <w:t>Lyon (1957,</w:t>
      </w:r>
      <w:r w:rsidRPr="00F320C8">
        <w:t xml:space="preserve"> 231</w:t>
      </w:r>
      <w:r>
        <w:t>)</w:t>
      </w:r>
      <w:r w:rsidRPr="00F320C8">
        <w:t>.</w:t>
      </w:r>
    </w:p>
  </w:footnote>
  <w:footnote w:id="677">
    <w:p w14:paraId="1DB60E1B" w14:textId="35CB08D5"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archive, Carlisle, 22</w:t>
      </w:r>
      <w:r w:rsidRPr="00F320C8">
        <w:rPr>
          <w:vertAlign w:val="superscript"/>
        </w:rPr>
        <w:t>nd</w:t>
      </w:r>
      <w:r w:rsidRPr="00F320C8">
        <w:t xml:space="preserve"> July 1981.</w:t>
      </w:r>
    </w:p>
  </w:footnote>
  <w:footnote w:id="678">
    <w:p w14:paraId="6C47F49A" w14:textId="77777777" w:rsidR="000E1004" w:rsidRPr="00F320C8" w:rsidRDefault="000E1004" w:rsidP="00A33875">
      <w:pPr>
        <w:pStyle w:val="FootnoteText"/>
      </w:pPr>
      <w:r w:rsidRPr="00F320C8">
        <w:rPr>
          <w:rStyle w:val="FootnoteReference"/>
        </w:rPr>
        <w:footnoteRef/>
      </w:r>
      <w:r w:rsidRPr="00F320C8">
        <w:t xml:space="preserve"> </w:t>
      </w:r>
      <w:r>
        <w:t>Gilmore</w:t>
      </w:r>
      <w:r w:rsidRPr="00F320C8">
        <w:t xml:space="preserve"> 167.</w:t>
      </w:r>
    </w:p>
  </w:footnote>
  <w:footnote w:id="679">
    <w:p w14:paraId="1F7FAD23" w14:textId="77777777" w:rsidR="000E1004" w:rsidRPr="00F320C8" w:rsidRDefault="000E1004" w:rsidP="00A33875">
      <w:pPr>
        <w:pStyle w:val="FootnoteText"/>
      </w:pPr>
      <w:r w:rsidRPr="00F320C8">
        <w:rPr>
          <w:rStyle w:val="FootnoteReference"/>
        </w:rPr>
        <w:footnoteRef/>
      </w:r>
      <w:r w:rsidRPr="00F320C8">
        <w:t xml:space="preserve"> </w:t>
      </w:r>
      <w:r>
        <w:t>Gilmore</w:t>
      </w:r>
      <w:r w:rsidRPr="00F320C8">
        <w:t xml:space="preserve"> 169.</w:t>
      </w:r>
    </w:p>
  </w:footnote>
  <w:footnote w:id="680">
    <w:p w14:paraId="0021CE7E" w14:textId="1E87A313" w:rsidR="000E1004" w:rsidRPr="00F320C8" w:rsidRDefault="000E1004" w:rsidP="00A33875">
      <w:pPr>
        <w:pStyle w:val="FootnoteText"/>
      </w:pPr>
      <w:r w:rsidRPr="00F320C8">
        <w:rPr>
          <w:rStyle w:val="FootnoteReference"/>
        </w:rPr>
        <w:footnoteRef/>
      </w:r>
      <w:r w:rsidRPr="00F320C8">
        <w:t xml:space="preserve"> The execution of Wulfhere</w:t>
      </w:r>
      <w:r>
        <w:fldChar w:fldCharType="begin"/>
      </w:r>
      <w:r>
        <w:instrText xml:space="preserve"> XE "</w:instrText>
      </w:r>
      <w:r w:rsidRPr="007645AE">
        <w:instrText>Wulfhere</w:instrText>
      </w:r>
      <w:r>
        <w:instrText xml:space="preserve">" </w:instrText>
      </w:r>
      <w:r>
        <w:fldChar w:fldCharType="end"/>
      </w:r>
      <w:r w:rsidRPr="00F320C8">
        <w:t>’s obverses is superior to the reverse by Wulfred.</w:t>
      </w:r>
    </w:p>
  </w:footnote>
  <w:footnote w:id="681">
    <w:p w14:paraId="2BFB62C9" w14:textId="0E7C6FF5" w:rsidR="000E1004" w:rsidRPr="00F320C8" w:rsidRDefault="000E1004" w:rsidP="00A33875">
      <w:pPr>
        <w:pStyle w:val="FootnoteText"/>
      </w:pPr>
      <w:r w:rsidRPr="00F320C8">
        <w:rPr>
          <w:rStyle w:val="FootnoteReference"/>
        </w:rPr>
        <w:footnoteRef/>
      </w:r>
      <w:r w:rsidRPr="00F320C8">
        <w:t xml:space="preserve"> </w:t>
      </w:r>
      <w:r w:rsidRPr="00F320C8">
        <w:rPr>
          <w:i/>
        </w:rPr>
        <w:t>Pers. comm.</w:t>
      </w:r>
      <w:r w:rsidRPr="00F320C8">
        <w:t xml:space="preserve"> 8</w:t>
      </w:r>
      <w:r w:rsidRPr="00F320C8">
        <w:rPr>
          <w:vertAlign w:val="superscript"/>
        </w:rPr>
        <w:t>th</w:t>
      </w:r>
      <w:r>
        <w:t xml:space="preserve"> January 2015.</w:t>
      </w:r>
    </w:p>
  </w:footnote>
  <w:footnote w:id="682">
    <w:p w14:paraId="66097689" w14:textId="06ECC855"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(1991).</w:t>
      </w:r>
    </w:p>
  </w:footnote>
  <w:footnote w:id="683">
    <w:p w14:paraId="141552DE" w14:textId="41996A4B" w:rsidR="000E1004" w:rsidRPr="00F320C8" w:rsidRDefault="000E1004" w:rsidP="00A33875">
      <w:pPr>
        <w:pStyle w:val="FootnoteText"/>
      </w:pPr>
      <w:r w:rsidRPr="00F320C8">
        <w:rPr>
          <w:rStyle w:val="FootnoteReference"/>
        </w:rPr>
        <w:footnoteRef/>
      </w:r>
      <w:r>
        <w:t xml:space="preserve"> McCarthy (</w:t>
      </w:r>
      <w:r w:rsidRPr="00F320C8">
        <w:t>chapter 16</w:t>
      </w:r>
      <w:r>
        <w:t>,</w:t>
      </w:r>
      <w:r w:rsidRPr="00F320C8">
        <w:t xml:space="preserve"> 181</w:t>
      </w:r>
      <w:r>
        <w:t>)</w:t>
      </w:r>
      <w:r w:rsidRPr="00F320C8">
        <w:t>.</w:t>
      </w:r>
    </w:p>
  </w:footnote>
  <w:footnote w:id="684">
    <w:p w14:paraId="5DFA01AD" w14:textId="6CE4D304" w:rsidR="000E1004" w:rsidRDefault="000E1004">
      <w:pPr>
        <w:pStyle w:val="FootnoteText"/>
      </w:pPr>
      <w:r>
        <w:rPr>
          <w:rStyle w:val="FootnoteReference"/>
        </w:rPr>
        <w:footnoteRef/>
      </w:r>
      <w:r>
        <w:t xml:space="preserve"> And, of course, from Pirie’s </w:t>
      </w:r>
      <w:r w:rsidRPr="00577817">
        <w:rPr>
          <w:i/>
        </w:rPr>
        <w:t>Inventory</w:t>
      </w:r>
      <w:r>
        <w:t xml:space="preserve"> (2000).</w:t>
      </w:r>
    </w:p>
  </w:footnote>
  <w:footnote w:id="685">
    <w:p w14:paraId="1118D41C" w14:textId="77777777" w:rsidR="000E1004" w:rsidRPr="00F320C8" w:rsidRDefault="000E1004" w:rsidP="00A33875">
      <w:pPr>
        <w:pStyle w:val="FootnoteText"/>
      </w:pPr>
      <w:r w:rsidRPr="00F320C8">
        <w:rPr>
          <w:rStyle w:val="FootnoteReference"/>
        </w:rPr>
        <w:footnoteRef/>
      </w:r>
      <w:r w:rsidRPr="00F320C8">
        <w:t xml:space="preserve"> Dolley (1976</w:t>
      </w:r>
      <w:r>
        <w:t>,</w:t>
      </w:r>
      <w:r w:rsidRPr="00F320C8">
        <w:t xml:space="preserve"> 349</w:t>
      </w:r>
      <w:r>
        <w:t>)</w:t>
      </w:r>
      <w:r w:rsidRPr="00F320C8">
        <w:t>.</w:t>
      </w:r>
    </w:p>
  </w:footnote>
  <w:footnote w:id="686">
    <w:p w14:paraId="008DF843" w14:textId="4F954EE1" w:rsidR="000E1004" w:rsidRPr="00F320C8" w:rsidRDefault="000E1004" w:rsidP="00A33875">
      <w:pPr>
        <w:pStyle w:val="FootnoteText"/>
      </w:pPr>
      <w:r w:rsidRPr="00F320C8">
        <w:rPr>
          <w:rStyle w:val="FootnoteReference"/>
        </w:rPr>
        <w:footnoteRef/>
      </w:r>
      <w:r w:rsidRPr="00F320C8">
        <w:rPr>
          <w:color w:val="000000" w:themeColor="text1"/>
        </w:rPr>
        <w:t xml:space="preserve"> Stycas and broad pennies are rarely found in the same hoard (Pirie</w:t>
      </w:r>
      <w:r>
        <w:rPr>
          <w:color w:val="000000" w:themeColor="text1"/>
        </w:rPr>
        <w:fldChar w:fldCharType="begin"/>
      </w:r>
      <w:r>
        <w:instrText xml:space="preserve"> XE "</w:instrText>
      </w:r>
      <w:r w:rsidRPr="007D3069">
        <w:instrText>Pirie</w:instrText>
      </w:r>
      <w:r>
        <w:instrText xml:space="preserve">" </w:instrText>
      </w:r>
      <w:r>
        <w:rPr>
          <w:color w:val="000000" w:themeColor="text1"/>
        </w:rPr>
        <w:fldChar w:fldCharType="end"/>
      </w:r>
      <w:r w:rsidRPr="00F320C8">
        <w:rPr>
          <w:color w:val="000000" w:themeColor="text1"/>
        </w:rPr>
        <w:t>, 2000 21), though the Talnotrie (now Talnotry) hoard contains both – together with a fragment of a denier</w:t>
      </w:r>
      <w:r>
        <w:rPr>
          <w:color w:val="000000" w:themeColor="text1"/>
        </w:rPr>
        <w:fldChar w:fldCharType="begin"/>
      </w:r>
      <w:r>
        <w:instrText xml:space="preserve"> XE "</w:instrText>
      </w:r>
      <w:r w:rsidRPr="007D3069">
        <w:rPr>
          <w:rFonts w:cs="Times New Roman"/>
          <w:szCs w:val="24"/>
        </w:rPr>
        <w:instrText>denier</w:instrText>
      </w:r>
      <w:r>
        <w:instrText xml:space="preserve">" </w:instrText>
      </w:r>
      <w:r>
        <w:rPr>
          <w:color w:val="000000" w:themeColor="text1"/>
        </w:rPr>
        <w:fldChar w:fldCharType="end"/>
      </w:r>
      <w:r w:rsidRPr="00F320C8">
        <w:rPr>
          <w:color w:val="000000" w:themeColor="text1"/>
        </w:rPr>
        <w:t xml:space="preserve"> of Louis the Pious</w:t>
      </w:r>
      <w:r>
        <w:rPr>
          <w:color w:val="000000" w:themeColor="text1"/>
        </w:rPr>
        <w:fldChar w:fldCharType="begin"/>
      </w:r>
      <w:r>
        <w:instrText xml:space="preserve"> XE "</w:instrText>
      </w:r>
      <w:r w:rsidRPr="007D3069">
        <w:rPr>
          <w:rFonts w:eastAsia="Times New Roman" w:cs="Times New Roman"/>
          <w:szCs w:val="24"/>
          <w:lang w:eastAsia="en-GB"/>
        </w:rPr>
        <w:instrText>Louis the Pious</w:instrText>
      </w:r>
      <w:r>
        <w:instrText xml:space="preserve">" </w:instrText>
      </w:r>
      <w:r>
        <w:rPr>
          <w:color w:val="000000" w:themeColor="text1"/>
        </w:rPr>
        <w:fldChar w:fldCharType="end"/>
      </w:r>
      <w:r w:rsidRPr="00F320C8">
        <w:rPr>
          <w:color w:val="000000" w:themeColor="text1"/>
        </w:rPr>
        <w:t xml:space="preserve"> and a dirham of al-Muttawakkil. Archibald in Webster &amp; Backhouse </w:t>
      </w:r>
      <w:r>
        <w:rPr>
          <w:color w:val="000000" w:themeColor="text1"/>
        </w:rPr>
        <w:t xml:space="preserve">(1991, </w:t>
      </w:r>
      <w:r w:rsidRPr="00F320C8">
        <w:rPr>
          <w:color w:val="000000" w:themeColor="text1"/>
        </w:rPr>
        <w:t>273</w:t>
      </w:r>
      <w:r>
        <w:rPr>
          <w:color w:val="000000" w:themeColor="text1"/>
        </w:rPr>
        <w:t>)</w:t>
      </w:r>
      <w:r w:rsidRPr="00F320C8">
        <w:rPr>
          <w:color w:val="000000" w:themeColor="text1"/>
        </w:rPr>
        <w:t xml:space="preserve"> and (Pirie, 2002, 211). The Hoddom hoard also contains a fragmentary denier of Louis the Pious (Pirie, 2002, 212). That both are fragments hints at fragility rather than a bullion</w:t>
      </w:r>
      <w:r>
        <w:rPr>
          <w:color w:val="000000" w:themeColor="text1"/>
        </w:rPr>
        <w:fldChar w:fldCharType="begin"/>
      </w:r>
      <w:r>
        <w:instrText xml:space="preserve"> XE "</w:instrText>
      </w:r>
      <w:r w:rsidRPr="007D3069">
        <w:rPr>
          <w:rFonts w:cs="Times New Roman"/>
          <w:szCs w:val="24"/>
        </w:rPr>
        <w:instrText>bullion</w:instrText>
      </w:r>
      <w:r>
        <w:instrText xml:space="preserve">" </w:instrText>
      </w:r>
      <w:r>
        <w:rPr>
          <w:color w:val="000000" w:themeColor="text1"/>
        </w:rPr>
        <w:fldChar w:fldCharType="end"/>
      </w:r>
      <w:r w:rsidRPr="00F320C8">
        <w:rPr>
          <w:color w:val="000000" w:themeColor="text1"/>
        </w:rPr>
        <w:t xml:space="preserve"> economy</w:t>
      </w:r>
      <w:r>
        <w:rPr>
          <w:color w:val="000000" w:themeColor="text1"/>
        </w:rPr>
        <w:fldChar w:fldCharType="begin"/>
      </w:r>
      <w:r>
        <w:instrText xml:space="preserve"> XE "</w:instrText>
      </w:r>
      <w:r w:rsidRPr="007A2080">
        <w:rPr>
          <w:rFonts w:cs="Times New Roman"/>
          <w:b/>
          <w:color w:val="000000" w:themeColor="text1"/>
          <w:sz w:val="56"/>
          <w:szCs w:val="56"/>
        </w:rPr>
        <w:instrText>economy</w:instrText>
      </w:r>
      <w:r>
        <w:instrText xml:space="preserve">" </w:instrText>
      </w:r>
      <w:r>
        <w:rPr>
          <w:color w:val="000000" w:themeColor="text1"/>
        </w:rPr>
        <w:fldChar w:fldCharType="end"/>
      </w:r>
      <w:r w:rsidRPr="00F320C8">
        <w:rPr>
          <w:color w:val="000000" w:themeColor="text1"/>
        </w:rPr>
        <w:t>.</w:t>
      </w:r>
    </w:p>
  </w:footnote>
  <w:footnote w:id="687">
    <w:p w14:paraId="6179DDC2" w14:textId="6762F5E9" w:rsidR="000E1004" w:rsidRPr="00F320C8" w:rsidRDefault="000E1004" w:rsidP="00A33875">
      <w:pPr>
        <w:pStyle w:val="FootnoteText"/>
      </w:pPr>
      <w:r w:rsidRPr="00F320C8">
        <w:rPr>
          <w:rStyle w:val="FootnoteReference"/>
        </w:rPr>
        <w:footnoteRef/>
      </w:r>
      <w:r w:rsidRPr="00F320C8">
        <w:t xml:space="preserve"> Higham </w:t>
      </w:r>
      <w:r>
        <w:t>(</w:t>
      </w:r>
      <w:r w:rsidRPr="00F320C8">
        <w:t>1986</w:t>
      </w:r>
      <w:r>
        <w:t>,</w:t>
      </w:r>
      <w:r w:rsidRPr="00F320C8">
        <w:t xml:space="preserve"> 303</w:t>
      </w:r>
      <w:r>
        <w:t>)</w:t>
      </w:r>
      <w:r w:rsidRPr="00F320C8">
        <w:t>.</w:t>
      </w:r>
    </w:p>
  </w:footnote>
  <w:footnote w:id="688">
    <w:p w14:paraId="1B3D36E5" w14:textId="22F378DE" w:rsidR="000E1004" w:rsidRPr="00F320C8" w:rsidRDefault="000E1004" w:rsidP="00A33875">
      <w:pPr>
        <w:pStyle w:val="FootnoteText"/>
      </w:pPr>
      <w:r w:rsidRPr="00F320C8">
        <w:rPr>
          <w:rStyle w:val="FootnoteReference"/>
        </w:rPr>
        <w:footnoteRef/>
      </w:r>
      <w:r w:rsidRPr="00F320C8">
        <w:t xml:space="preserve"> Pirie</w:t>
      </w:r>
      <w:r>
        <w:fldChar w:fldCharType="begin"/>
      </w:r>
      <w:r>
        <w:instrText xml:space="preserve"> XE "</w:instrText>
      </w:r>
      <w:r w:rsidRPr="007D3069">
        <w:instrText>Pirie</w:instrText>
      </w:r>
      <w:r>
        <w:instrText xml:space="preserve">" </w:instrText>
      </w:r>
      <w:r>
        <w:fldChar w:fldCharType="end"/>
      </w:r>
      <w:r w:rsidRPr="00F320C8">
        <w:t xml:space="preserve"> (2000</w:t>
      </w:r>
      <w:r>
        <w:t>,</w:t>
      </w:r>
      <w:r w:rsidRPr="00F320C8">
        <w:t xml:space="preserve"> 21-4</w:t>
      </w:r>
      <w:r>
        <w:t>)</w:t>
      </w:r>
      <w:r w:rsidRPr="00F320C8">
        <w:t>.</w:t>
      </w:r>
    </w:p>
  </w:footnote>
  <w:footnote w:id="689">
    <w:p w14:paraId="166F9ED9" w14:textId="77777777" w:rsidR="000E1004" w:rsidRPr="00F320C8" w:rsidRDefault="000E1004" w:rsidP="00A33875">
      <w:pPr>
        <w:pStyle w:val="FootnoteText"/>
      </w:pPr>
      <w:r w:rsidRPr="00F320C8">
        <w:rPr>
          <w:rStyle w:val="FootnoteReference"/>
        </w:rPr>
        <w:footnoteRef/>
      </w:r>
      <w:r w:rsidRPr="00F320C8">
        <w:t xml:space="preserve"> </w:t>
      </w:r>
      <w:r w:rsidRPr="00F320C8">
        <w:rPr>
          <w:bCs/>
        </w:rPr>
        <w:t>Coupland, (</w:t>
      </w:r>
      <w:r>
        <w:t>2010a</w:t>
      </w:r>
      <w:r w:rsidRPr="00F320C8">
        <w:t xml:space="preserve"> 105-11</w:t>
      </w:r>
      <w:r>
        <w:t>)</w:t>
      </w:r>
      <w:r w:rsidRPr="00F320C8">
        <w:t>.</w:t>
      </w:r>
    </w:p>
  </w:footnote>
  <w:footnote w:id="690">
    <w:p w14:paraId="532DB263" w14:textId="09C823DA" w:rsidR="000E1004" w:rsidRPr="00F320C8" w:rsidRDefault="000E1004" w:rsidP="00A33875">
      <w:pPr>
        <w:pStyle w:val="FootnoteText"/>
      </w:pPr>
      <w:r w:rsidRPr="00F320C8">
        <w:rPr>
          <w:rStyle w:val="FootnoteReference"/>
        </w:rPr>
        <w:footnoteRef/>
      </w:r>
      <w:r w:rsidRPr="00F320C8">
        <w:t xml:space="preserve"> Spufford </w:t>
      </w:r>
      <w:r>
        <w:t>(1988,</w:t>
      </w:r>
      <w:r w:rsidRPr="006D7168">
        <w:t xml:space="preserve"> </w:t>
      </w:r>
      <w:r w:rsidRPr="00F320C8">
        <w:t>53</w:t>
      </w:r>
      <w:r>
        <w:t>)</w:t>
      </w:r>
      <w:r w:rsidRPr="00F320C8">
        <w:t xml:space="preserve"> records the closure of the mint as 875.</w:t>
      </w:r>
    </w:p>
  </w:footnote>
  <w:footnote w:id="691">
    <w:p w14:paraId="1B216BB7" w14:textId="1D46E1E2" w:rsidR="000E1004" w:rsidRPr="00F320C8" w:rsidRDefault="000E1004" w:rsidP="00A33875">
      <w:pPr>
        <w:pStyle w:val="FootnoteText"/>
      </w:pPr>
      <w:r w:rsidRPr="00F320C8">
        <w:rPr>
          <w:rStyle w:val="FootnoteReference"/>
        </w:rPr>
        <w:footnoteRef/>
      </w:r>
      <w:r>
        <w:t xml:space="preserve"> Coupland (2003,</w:t>
      </w:r>
      <w:r w:rsidRPr="00F320C8">
        <w:t xml:space="preserve"> 209–232</w:t>
      </w:r>
      <w:r>
        <w:t>)</w:t>
      </w:r>
      <w:r w:rsidRPr="00F320C8">
        <w:t>. Pirie</w:t>
      </w:r>
      <w:r>
        <w:fldChar w:fldCharType="begin"/>
      </w:r>
      <w:r>
        <w:instrText xml:space="preserve"> XE "</w:instrText>
      </w:r>
      <w:r w:rsidRPr="007D3069">
        <w:instrText>Pirie</w:instrText>
      </w:r>
      <w:r>
        <w:instrText xml:space="preserve">" </w:instrText>
      </w:r>
      <w:r>
        <w:fldChar w:fldCharType="end"/>
      </w:r>
      <w:r>
        <w:t xml:space="preserve"> noted</w:t>
      </w:r>
      <w:r w:rsidRPr="00F320C8">
        <w:t xml:space="preserve"> the find in October 1991, of a denier</w:t>
      </w:r>
      <w:r>
        <w:fldChar w:fldCharType="begin"/>
      </w:r>
      <w:r>
        <w:instrText xml:space="preserve"> XE "</w:instrText>
      </w:r>
      <w:r w:rsidRPr="007D3069">
        <w:rPr>
          <w:rFonts w:cs="Times New Roman"/>
          <w:szCs w:val="24"/>
        </w:rPr>
        <w:instrText>denier</w:instrText>
      </w:r>
      <w:r>
        <w:instrText xml:space="preserve">" </w:instrText>
      </w:r>
      <w:r>
        <w:fldChar w:fldCharType="end"/>
      </w:r>
      <w:r w:rsidRPr="00F320C8">
        <w:t xml:space="preserve"> of Charles the Bald at Pontefract: ‘it emphasises that, during the years between the cessation of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rsidRPr="00F320C8">
        <w:t>’s own coin-production (</w:t>
      </w:r>
      <w:r w:rsidRPr="00F320C8">
        <w:rPr>
          <w:i/>
        </w:rPr>
        <w:t>c.</w:t>
      </w:r>
      <w:r w:rsidRPr="00F320C8">
        <w:t xml:space="preserve"> 855) and the introduction of the Viking</w:t>
      </w:r>
      <w:r>
        <w:fldChar w:fldCharType="begin"/>
      </w:r>
      <w:r>
        <w:instrText xml:space="preserve"> XE "</w:instrText>
      </w:r>
      <w:r w:rsidRPr="00F1328A">
        <w:rPr>
          <w:rStyle w:val="Hyperlink"/>
          <w:noProof/>
        </w:rPr>
        <w:instrText>Viking</w:instrText>
      </w:r>
      <w:r>
        <w:instrText xml:space="preserve">" </w:instrText>
      </w:r>
      <w:r>
        <w:fldChar w:fldCharType="end"/>
      </w:r>
      <w:r w:rsidRPr="00F320C8">
        <w:t xml:space="preserve"> coinage (</w:t>
      </w:r>
      <w:r w:rsidRPr="00F320C8">
        <w:rPr>
          <w:i/>
        </w:rPr>
        <w:t>c.</w:t>
      </w:r>
      <w:r w:rsidRPr="00F320C8">
        <w:t xml:space="preserve"> 895), continental money</w:t>
      </w:r>
      <w:r>
        <w:fldChar w:fldCharType="begin"/>
      </w:r>
      <w:r>
        <w:instrText xml:space="preserve"> XE "</w:instrText>
      </w:r>
      <w:r w:rsidRPr="007D3069">
        <w:instrText>money</w:instrText>
      </w:r>
      <w:r>
        <w:instrText xml:space="preserve">" </w:instrText>
      </w:r>
      <w:r>
        <w:fldChar w:fldCharType="end"/>
      </w:r>
      <w:r w:rsidRPr="00F320C8">
        <w:t xml:space="preserve"> was reaching this northern kingdom and may have been</w:t>
      </w:r>
      <w:r>
        <w:t xml:space="preserve"> acceptable here as currency.’ (</w:t>
      </w:r>
      <w:r w:rsidRPr="00F320C8">
        <w:t>Pirie A</w:t>
      </w:r>
      <w:r>
        <w:t>rchive, Offprints, Recent Finds)</w:t>
      </w:r>
      <w:r w:rsidRPr="00F320C8">
        <w:t>.</w:t>
      </w:r>
    </w:p>
  </w:footnote>
  <w:footnote w:id="692">
    <w:p w14:paraId="6C2E0699" w14:textId="77777777" w:rsidR="000E1004" w:rsidRPr="007E1A99" w:rsidRDefault="000E1004" w:rsidP="00A33875">
      <w:pPr>
        <w:pStyle w:val="FootnoteText"/>
      </w:pPr>
      <w:r w:rsidRPr="00F320C8">
        <w:rPr>
          <w:rStyle w:val="FootnoteReference"/>
        </w:rPr>
        <w:footnoteRef/>
      </w:r>
      <w:r>
        <w:t xml:space="preserve"> Coupland (2007</w:t>
      </w:r>
      <w:r w:rsidRPr="00F320C8">
        <w:t>, XIII, 227</w:t>
      </w:r>
      <w:r>
        <w:t>)</w:t>
      </w:r>
      <w:r w:rsidRPr="00F320C8">
        <w:t>.</w:t>
      </w:r>
    </w:p>
  </w:footnote>
  <w:footnote w:id="693">
    <w:p w14:paraId="06409381" w14:textId="44E6D699" w:rsidR="000E1004" w:rsidRDefault="000E1004" w:rsidP="003A3DAB">
      <w:pPr>
        <w:pStyle w:val="FootnoteText"/>
      </w:pPr>
      <w:r>
        <w:rPr>
          <w:rStyle w:val="FootnoteReference"/>
        </w:rPr>
        <w:footnoteRef/>
      </w:r>
      <w:r>
        <w:t xml:space="preserve"> </w:t>
      </w:r>
      <w:r w:rsidRPr="00E0213C">
        <w:t>Richards,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and </w:t>
      </w:r>
      <w:r w:rsidRPr="00E0213C">
        <w:t>Holas-C</w:t>
      </w:r>
      <w:r>
        <w:t>lark (</w:t>
      </w:r>
      <w:r w:rsidRPr="00E0213C">
        <w:t>2008</w:t>
      </w:r>
      <w:r>
        <w:t>)</w:t>
      </w:r>
      <w:r w:rsidRPr="00E0213C">
        <w:t>.</w:t>
      </w:r>
      <w:r>
        <w:t xml:space="preserve"> </w:t>
      </w:r>
      <w:hyperlink r:id="rId20" w:history="1">
        <w:r w:rsidRPr="00CC529E">
          <w:rPr>
            <w:rStyle w:val="Hyperlink"/>
          </w:rPr>
          <w:t>http://intarch.ac.uk/journal/issue25/2/4.4.html</w:t>
        </w:r>
      </w:hyperlink>
    </w:p>
  </w:footnote>
  <w:footnote w:id="694">
    <w:p w14:paraId="76676140" w14:textId="77777777" w:rsidR="000E1004" w:rsidRDefault="000E1004" w:rsidP="003A3DAB">
      <w:pPr>
        <w:pStyle w:val="FootnoteText"/>
      </w:pPr>
      <w:r>
        <w:rPr>
          <w:rStyle w:val="FootnoteReference"/>
        </w:rPr>
        <w:footnoteRef/>
      </w:r>
      <w:r>
        <w:t xml:space="preserve"> Richards and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(2009, 132).</w:t>
      </w:r>
    </w:p>
  </w:footnote>
  <w:footnote w:id="695">
    <w:p w14:paraId="770AC696" w14:textId="77777777" w:rsidR="000E1004" w:rsidRDefault="000E1004" w:rsidP="003A3DAB">
      <w:pPr>
        <w:pStyle w:val="FootnoteText"/>
      </w:pPr>
      <w:r>
        <w:rPr>
          <w:rStyle w:val="FootnoteReference"/>
        </w:rPr>
        <w:footnoteRef/>
      </w:r>
      <w:r>
        <w:t xml:space="preserve"> This list is not ranked by any specific criterion but moves roughly from the general to the specific.</w:t>
      </w:r>
    </w:p>
  </w:footnote>
  <w:footnote w:id="696">
    <w:p w14:paraId="73716FE3" w14:textId="77777777" w:rsidR="000E1004" w:rsidRDefault="000E1004" w:rsidP="003A3DAB">
      <w:pPr>
        <w:pStyle w:val="FootnoteText"/>
      </w:pPr>
      <w:r>
        <w:rPr>
          <w:rStyle w:val="FootnoteReference"/>
        </w:rPr>
        <w:footnoteRef/>
      </w:r>
      <w:r>
        <w:t xml:space="preserve"> Richards and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(2011, 135-47).</w:t>
      </w:r>
    </w:p>
  </w:footnote>
  <w:footnote w:id="697">
    <w:p w14:paraId="61DE39FE" w14:textId="66C381AC" w:rsidR="000E1004" w:rsidRDefault="000E1004" w:rsidP="003A3DAB">
      <w:pPr>
        <w:pStyle w:val="FootnoteText"/>
      </w:pPr>
      <w:r>
        <w:rPr>
          <w:rStyle w:val="FootnoteReference"/>
        </w:rPr>
        <w:footnoteRef/>
      </w:r>
      <w:r>
        <w:t xml:space="preserve"> Richards, </w:t>
      </w:r>
      <w:r w:rsidRPr="005C766B">
        <w:t>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and Holas-Clark</w:t>
      </w:r>
      <w:r w:rsidRPr="005C766B">
        <w:t>,</w:t>
      </w:r>
      <w:r>
        <w:t xml:space="preserve"> (2009) 2.6.2 </w:t>
      </w:r>
      <w:hyperlink r:id="rId21" w:history="1">
        <w:r>
          <w:rPr>
            <w:rStyle w:val="Hyperlink"/>
          </w:rPr>
          <w:t>Modern constraints on data recovery</w:t>
        </w:r>
      </w:hyperlink>
    </w:p>
  </w:footnote>
  <w:footnote w:id="698">
    <w:p w14:paraId="2563C015" w14:textId="77777777" w:rsidR="000E1004" w:rsidRDefault="000E1004" w:rsidP="003A3DAB">
      <w:pPr>
        <w:pStyle w:val="FootnoteText"/>
      </w:pPr>
      <w:r>
        <w:rPr>
          <w:rStyle w:val="FootnoteReference"/>
        </w:rPr>
        <w:footnoteRef/>
      </w:r>
      <w:r>
        <w:t xml:space="preserve"> </w:t>
      </w:r>
      <w:r w:rsidRPr="00A5730C">
        <w:rPr>
          <w:bCs/>
        </w:rPr>
        <w:t>Baron Redesdale</w:t>
      </w:r>
      <w:r>
        <w:rPr>
          <w:bCs/>
        </w:rPr>
        <w:t>, Lord Anthony Hill (Yeavering</w:t>
      </w:r>
      <w:r>
        <w:rPr>
          <w:bCs/>
        </w:rPr>
        <w:fldChar w:fldCharType="begin"/>
      </w:r>
      <w:r>
        <w:instrText xml:space="preserve"> XE "</w:instrText>
      </w:r>
      <w:r w:rsidRPr="004D76A0">
        <w:rPr>
          <w:rStyle w:val="Hyperlink"/>
          <w:noProof/>
        </w:rPr>
        <w:instrText>Yeavering</w:instrText>
      </w:r>
      <w:r>
        <w:instrText xml:space="preserve">" </w:instrText>
      </w:r>
      <w:r>
        <w:rPr>
          <w:bCs/>
        </w:rPr>
        <w:fldChar w:fldCharType="end"/>
      </w:r>
      <w:r>
        <w:rPr>
          <w:bCs/>
        </w:rPr>
        <w:t>), Lord Middleton (Wharram Percy) and Sir Tatton Sykes IV (Sledmere</w:t>
      </w:r>
      <w:r>
        <w:rPr>
          <w:bCs/>
        </w:rPr>
        <w:fldChar w:fldCharType="begin"/>
      </w:r>
      <w:r>
        <w:instrText xml:space="preserve"> XE "</w:instrText>
      </w:r>
      <w:r w:rsidRPr="004D76A0">
        <w:rPr>
          <w:rStyle w:val="Hyperlink"/>
          <w:noProof/>
        </w:rPr>
        <w:instrText>Sledmere</w:instrText>
      </w:r>
      <w:r>
        <w:instrText xml:space="preserve">" </w:instrText>
      </w:r>
      <w:r>
        <w:rPr>
          <w:bCs/>
        </w:rPr>
        <w:fldChar w:fldCharType="end"/>
      </w:r>
      <w:r>
        <w:rPr>
          <w:bCs/>
        </w:rPr>
        <w:t>) are significant landowners in this context.</w:t>
      </w:r>
    </w:p>
  </w:footnote>
  <w:footnote w:id="699">
    <w:p w14:paraId="7ECCB44D" w14:textId="7552985F" w:rsidR="000E1004" w:rsidRDefault="000E1004" w:rsidP="003A3DAB">
      <w:pPr>
        <w:pStyle w:val="FootnoteText"/>
      </w:pPr>
      <w:r>
        <w:rPr>
          <w:rStyle w:val="FootnoteReference"/>
        </w:rPr>
        <w:footnoteRef/>
      </w:r>
      <w:r>
        <w:t xml:space="preserve"> The Heritage Journal: </w:t>
      </w:r>
      <w:hyperlink r:id="rId22" w:history="1">
        <w:r w:rsidRPr="00247655">
          <w:rPr>
            <w:rStyle w:val="Hyperlink"/>
          </w:rPr>
          <w:t>https://heritageaction.wordpress.com/2009/12/22/metal-detecting</w:t>
        </w:r>
        <w:r>
          <w:rPr>
            <w:rStyle w:val="Hyperlink"/>
          </w:rPr>
          <w:fldChar w:fldCharType="begin"/>
        </w:r>
        <w:r>
          <w:instrText xml:space="preserve"> XE "</w:instrText>
        </w:r>
        <w:r w:rsidRPr="007645AE">
          <w:instrText>metal-detecting</w:instrText>
        </w:r>
        <w:r>
          <w:instrText xml:space="preserve">" </w:instrText>
        </w:r>
        <w:r>
          <w:rPr>
            <w:rStyle w:val="Hyperlink"/>
          </w:rPr>
          <w:fldChar w:fldCharType="end"/>
        </w:r>
        <w:r w:rsidRPr="00247655">
          <w:rPr>
            <w:rStyle w:val="Hyperlink"/>
          </w:rPr>
          <w:t>-a-letter-to-english-heritage/</w:t>
        </w:r>
      </w:hyperlink>
      <w:r>
        <w:t xml:space="preserve"> which states: </w:t>
      </w:r>
      <w:r w:rsidRPr="00414F66">
        <w:rPr>
          <w:b/>
        </w:rPr>
        <w:t>‘</w:t>
      </w:r>
      <w:r w:rsidRPr="00414F66">
        <w:rPr>
          <w:rStyle w:val="Strong"/>
          <w:b w:val="0"/>
          <w:sz w:val="20"/>
        </w:rPr>
        <w:t>most detected, recordable material is NOT being recorded and the bulk of the damage is being caused by ordinary, non-nighthawking, non-lawbreaking non-reporting metal detectorists.’</w:t>
      </w:r>
    </w:p>
  </w:footnote>
  <w:footnote w:id="700">
    <w:p w14:paraId="0E2DE38A" w14:textId="77777777" w:rsidR="000E1004" w:rsidRPr="00D66954" w:rsidRDefault="000E1004" w:rsidP="003A3DAB">
      <w:pPr>
        <w:pStyle w:val="FootnoteText"/>
        <w:rPr>
          <w:lang w:val="en-US"/>
        </w:rPr>
      </w:pPr>
      <w:r>
        <w:rPr>
          <w:rStyle w:val="FootnoteReference"/>
        </w:rPr>
        <w:footnoteRef/>
      </w:r>
      <w:r>
        <w:t xml:space="preserve"> </w:t>
      </w:r>
      <w:r>
        <w:rPr>
          <w:lang w:val="en-US"/>
        </w:rPr>
        <w:t>Blackburn (2003, 26).</w:t>
      </w:r>
    </w:p>
  </w:footnote>
  <w:footnote w:id="701">
    <w:p w14:paraId="117ED876" w14:textId="77777777" w:rsidR="000E1004" w:rsidRDefault="000E1004" w:rsidP="003A3DAB">
      <w:pPr>
        <w:pStyle w:val="FootnoteText"/>
      </w:pPr>
      <w:r>
        <w:rPr>
          <w:rStyle w:val="FootnoteReference"/>
        </w:rPr>
        <w:footnoteRef/>
      </w:r>
      <w:r>
        <w:t xml:space="preserve"> Walton &amp; Broughton, (2009, 148).</w:t>
      </w:r>
    </w:p>
  </w:footnote>
  <w:footnote w:id="702">
    <w:p w14:paraId="4A42EA9A" w14:textId="77777777" w:rsidR="000E1004" w:rsidRDefault="000E1004" w:rsidP="003A3DAB">
      <w:pPr>
        <w:pStyle w:val="FootnoteText"/>
      </w:pPr>
      <w:r>
        <w:rPr>
          <w:rStyle w:val="FootnoteReference"/>
        </w:rPr>
        <w:footnoteRef/>
      </w:r>
      <w:r>
        <w:t xml:space="preserve"> </w:t>
      </w:r>
      <w:r w:rsidRPr="00F15392">
        <w:t>de Jersey</w:t>
      </w:r>
      <w:r>
        <w:t xml:space="preserve"> (1997, 1-13).</w:t>
      </w:r>
    </w:p>
  </w:footnote>
  <w:footnote w:id="703">
    <w:p w14:paraId="042EF795" w14:textId="77777777" w:rsidR="000E1004" w:rsidRDefault="000E1004" w:rsidP="003A3DAB">
      <w:pPr>
        <w:pStyle w:val="FootnoteText"/>
      </w:pPr>
      <w:r>
        <w:rPr>
          <w:rStyle w:val="FootnoteReference"/>
        </w:rPr>
        <w:footnoteRef/>
      </w:r>
      <w:r>
        <w:t xml:space="preserve"> The de Wit collection of sceats (now in the Fitzwilliam Museum) recorded provenance for only 11% of the coins (cf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w:t>
      </w:r>
      <w:r w:rsidRPr="000A550E">
        <w:rPr>
          <w:i/>
        </w:rPr>
        <w:t>c.</w:t>
      </w:r>
      <w:r>
        <w:t>72%). The majority were creamed from two highly respectable sources – Spink and Patrick Finn – but, for whatever reason, find data was not retained. Nor was the collection ticketed.</w:t>
      </w:r>
    </w:p>
  </w:footnote>
  <w:footnote w:id="704">
    <w:p w14:paraId="18DCB63F" w14:textId="77777777" w:rsidR="000E1004" w:rsidRDefault="000E1004" w:rsidP="003A3DAB">
      <w:pPr>
        <w:pStyle w:val="FootnoteText"/>
      </w:pPr>
      <w:r>
        <w:rPr>
          <w:rStyle w:val="FootnoteReference"/>
        </w:rPr>
        <w:footnoteRef/>
      </w:r>
      <w:r>
        <w:t xml:space="preserve"> Oxford Archaeology (2009).</w:t>
      </w:r>
    </w:p>
  </w:footnote>
  <w:footnote w:id="705">
    <w:p w14:paraId="66483B51" w14:textId="20033389" w:rsidR="000E1004" w:rsidRPr="00334771" w:rsidRDefault="000E1004" w:rsidP="003A3DAB">
      <w:pPr>
        <w:pStyle w:val="FootnoteText"/>
      </w:pPr>
      <w:r>
        <w:rPr>
          <w:rStyle w:val="FootnoteReference"/>
        </w:rPr>
        <w:footnoteRef/>
      </w:r>
      <w:r>
        <w:t xml:space="preserve"> </w:t>
      </w:r>
      <w:r w:rsidRPr="00264C31">
        <w:rPr>
          <w:rFonts w:cs="Times New Roman"/>
          <w:i/>
          <w:szCs w:val="24"/>
        </w:rPr>
        <w:t xml:space="preserve">P&amp;U </w:t>
      </w:r>
      <w:r>
        <w:rPr>
          <w:rFonts w:cs="Times New Roman"/>
          <w:szCs w:val="24"/>
        </w:rPr>
        <w:t xml:space="preserve">(2003, </w:t>
      </w:r>
      <w:r w:rsidRPr="004A60D4">
        <w:rPr>
          <w:rFonts w:cs="Times New Roman"/>
          <w:szCs w:val="24"/>
        </w:rPr>
        <w:t xml:space="preserve">3 </w:t>
      </w:r>
      <w:r>
        <w:rPr>
          <w:rFonts w:cs="Times New Roman"/>
          <w:i/>
          <w:szCs w:val="24"/>
        </w:rPr>
        <w:t>fn.</w:t>
      </w:r>
      <w:r>
        <w:rPr>
          <w:rFonts w:cs="Times New Roman"/>
          <w:szCs w:val="24"/>
        </w:rPr>
        <w:t>).</w:t>
      </w:r>
      <w:r w:rsidRPr="00D6610A">
        <w:t xml:space="preserve"> </w:t>
      </w:r>
      <w:r>
        <w:t xml:space="preserve">Richards and </w:t>
      </w:r>
      <w:r w:rsidRPr="00FF3AAD">
        <w:t>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(2009, 168).</w:t>
      </w:r>
    </w:p>
  </w:footnote>
  <w:footnote w:id="706">
    <w:p w14:paraId="7C18879C" w14:textId="7CAC5C22" w:rsidR="000E1004" w:rsidRDefault="000E1004" w:rsidP="003A3DAB">
      <w:pPr>
        <w:pStyle w:val="FootnoteText"/>
      </w:pPr>
      <w:r>
        <w:rPr>
          <w:rStyle w:val="FootnoteReference"/>
        </w:rPr>
        <w:footnoteRef/>
      </w:r>
      <w:r>
        <w:t xml:space="preserve"> </w:t>
      </w:r>
      <w:hyperlink r:id="rId23" w:history="1">
        <w:r w:rsidRPr="00C651D6">
          <w:rPr>
            <w:rStyle w:val="Hyperlink"/>
          </w:rPr>
          <w:t>https://en.wikipedia.org/wiki/Nazi_plunder</w:t>
        </w:r>
      </w:hyperlink>
    </w:p>
  </w:footnote>
  <w:footnote w:id="707">
    <w:p w14:paraId="54176F2C" w14:textId="7B578CA5" w:rsidR="000E1004" w:rsidRDefault="000E1004" w:rsidP="003A3DAB">
      <w:pPr>
        <w:pStyle w:val="FootnoteText"/>
      </w:pPr>
      <w:r>
        <w:rPr>
          <w:rStyle w:val="FootnoteReference"/>
        </w:rPr>
        <w:footnoteRef/>
      </w:r>
      <w:r>
        <w:t xml:space="preserve"> </w:t>
      </w:r>
      <w:hyperlink r:id="rId24" w:history="1">
        <w:r w:rsidRPr="00482BC2">
          <w:rPr>
            <w:rStyle w:val="Hyperlink"/>
          </w:rPr>
          <w:t>https://en.wikipedia.org/wiki/Crosby_Garrett_Helmet</w:t>
        </w:r>
      </w:hyperlink>
    </w:p>
  </w:footnote>
  <w:footnote w:id="708">
    <w:p w14:paraId="2210BC6F" w14:textId="77777777" w:rsidR="000E1004" w:rsidRDefault="000E1004" w:rsidP="003A3DAB">
      <w:pPr>
        <w:pStyle w:val="FootnoteText"/>
      </w:pPr>
      <w:r>
        <w:rPr>
          <w:rStyle w:val="FootnoteReference"/>
        </w:rPr>
        <w:footnoteRef/>
      </w:r>
      <w:r>
        <w:t xml:space="preserve"> But only </w:t>
      </w:r>
      <w:r w:rsidRPr="004F57A9">
        <w:rPr>
          <w:i/>
        </w:rPr>
        <w:t>SCBI</w:t>
      </w:r>
      <w:r>
        <w:t xml:space="preserve"> volumes 1-50 at the time of writing.</w:t>
      </w:r>
    </w:p>
  </w:footnote>
  <w:footnote w:id="709">
    <w:p w14:paraId="7719B2CE" w14:textId="77777777" w:rsidR="000E1004" w:rsidRDefault="000E1004" w:rsidP="003A3DAB">
      <w:pPr>
        <w:pStyle w:val="FootnoteText"/>
      </w:pPr>
      <w:r>
        <w:rPr>
          <w:rStyle w:val="FootnoteReference"/>
        </w:rPr>
        <w:footnoteRef/>
      </w:r>
      <w:r>
        <w:t xml:space="preserve"> Due resource constraints.</w:t>
      </w:r>
    </w:p>
  </w:footnote>
  <w:footnote w:id="710">
    <w:p w14:paraId="2FED89CA" w14:textId="7C120280" w:rsidR="000E1004" w:rsidRDefault="000E1004" w:rsidP="003A3DAB">
      <w:pPr>
        <w:pStyle w:val="FootnoteText"/>
      </w:pPr>
      <w:r>
        <w:rPr>
          <w:rStyle w:val="FootnoteReference"/>
        </w:rPr>
        <w:footnoteRef/>
      </w:r>
      <w:r>
        <w:t xml:space="preserve"> However, </w:t>
      </w:r>
      <w:r w:rsidRPr="00B303C0">
        <w:rPr>
          <w:i/>
        </w:rPr>
        <w:t>CKN</w:t>
      </w:r>
      <w:r>
        <w:rPr>
          <w:i/>
        </w:rPr>
        <w:fldChar w:fldCharType="begin"/>
      </w:r>
      <w:r>
        <w:instrText xml:space="preserve"> XE "</w:instrText>
      </w:r>
      <w:r w:rsidRPr="007D3069">
        <w:instrText>CKN</w:instrText>
      </w:r>
      <w:r>
        <w:instrText xml:space="preserve">" </w:instrText>
      </w:r>
      <w:r>
        <w:rPr>
          <w:i/>
        </w:rPr>
        <w:fldChar w:fldCharType="end"/>
      </w:r>
      <w:r>
        <w:t xml:space="preserve"> and EMC</w:t>
      </w:r>
      <w:r>
        <w:fldChar w:fldCharType="begin"/>
      </w:r>
      <w:r>
        <w:instrText xml:space="preserve"> XE "</w:instrText>
      </w:r>
      <w:r w:rsidRPr="007D3069">
        <w:instrText>EMC</w:instrText>
      </w:r>
      <w:r>
        <w:instrText xml:space="preserve">" </w:instrText>
      </w:r>
      <w:r>
        <w:fldChar w:fldCharType="end"/>
      </w:r>
      <w:r>
        <w:t xml:space="preserve"> are not mutually exclusive. EMC takes data from many sources and some specimens appear in both listings. My recovered </w:t>
      </w:r>
      <w:r w:rsidRPr="009B5FE6">
        <w:rPr>
          <w:i/>
        </w:rPr>
        <w:t>CKN</w:t>
      </w:r>
      <w:r>
        <w:t xml:space="preserve"> in digital format (see </w:t>
      </w:r>
      <w:r>
        <w:fldChar w:fldCharType="begin"/>
      </w:r>
      <w:r>
        <w:instrText xml:space="preserve"> PAGEREF Chapter6 \h </w:instrText>
      </w:r>
      <w:r>
        <w:fldChar w:fldCharType="separate"/>
      </w:r>
      <w:r w:rsidR="0012026B">
        <w:rPr>
          <w:noProof/>
        </w:rPr>
        <w:t>149</w:t>
      </w:r>
      <w:r>
        <w:fldChar w:fldCharType="end"/>
      </w:r>
      <w:r>
        <w:t>) has been shared with YMT in view of their intention to re-image the stycas at York</w:t>
      </w:r>
      <w:r>
        <w:fldChar w:fldCharType="begin"/>
      </w:r>
      <w:r>
        <w:instrText xml:space="preserve"> XE "</w:instrText>
      </w:r>
      <w:r w:rsidRPr="00F1328A">
        <w:rPr>
          <w:rStyle w:val="Hyperlink"/>
          <w:noProof/>
        </w:rPr>
        <w:instrText>York</w:instrText>
      </w:r>
      <w:r>
        <w:instrText xml:space="preserve">" </w:instrText>
      </w:r>
      <w:r>
        <w:fldChar w:fldCharType="end"/>
      </w:r>
      <w:r>
        <w:t>.</w:t>
      </w:r>
    </w:p>
  </w:footnote>
  <w:footnote w:id="711">
    <w:p w14:paraId="46CBD516" w14:textId="77777777" w:rsidR="000E1004" w:rsidRPr="00F96199" w:rsidRDefault="000E1004" w:rsidP="003A3DAB">
      <w:pPr>
        <w:pStyle w:val="FootnoteText"/>
      </w:pPr>
      <w:r w:rsidRPr="00F96199">
        <w:rPr>
          <w:rStyle w:val="FootnoteReference"/>
        </w:rPr>
        <w:footnoteRef/>
      </w:r>
      <w:r w:rsidRPr="00F96199">
        <w:t xml:space="preserve"> </w:t>
      </w:r>
      <w:r w:rsidRPr="00F96199">
        <w:rPr>
          <w:rFonts w:ascii="AGaramond-Regular" w:hAnsi="AGaramond-Regular" w:cs="AGaramond-Regular"/>
        </w:rPr>
        <w:t>Bevan (2012, 500).</w:t>
      </w:r>
    </w:p>
  </w:footnote>
  <w:footnote w:id="712">
    <w:p w14:paraId="14BA8A81" w14:textId="77777777" w:rsidR="000E1004" w:rsidRDefault="000E1004" w:rsidP="003A3DAB">
      <w:pPr>
        <w:pStyle w:val="FootnoteText"/>
      </w:pPr>
      <w:r>
        <w:rPr>
          <w:rStyle w:val="FootnoteReference"/>
        </w:rPr>
        <w:footnoteRef/>
      </w:r>
      <w:r>
        <w:t xml:space="preserve">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&amp; Richards (2005, 83–91).</w:t>
      </w:r>
    </w:p>
  </w:footnote>
  <w:footnote w:id="713">
    <w:p w14:paraId="536044B7" w14:textId="59F6E208" w:rsidR="000E1004" w:rsidRDefault="000E1004" w:rsidP="003A3DAB">
      <w:pPr>
        <w:pStyle w:val="NoSpacing"/>
      </w:pPr>
      <w:r>
        <w:rPr>
          <w:rStyle w:val="FootnoteReference"/>
        </w:rPr>
        <w:footnoteRef/>
      </w:r>
      <w:r>
        <w:t xml:space="preserve"> </w:t>
      </w:r>
      <w:hyperlink r:id="rId25" w:history="1">
        <w:r w:rsidRPr="00CC317D">
          <w:rPr>
            <w:rStyle w:val="Hyperlink"/>
            <w:sz w:val="20"/>
            <w:szCs w:val="20"/>
          </w:rPr>
          <w:t>http://paul-barford.blogspot.co.uk/2009/06/goldilocks-and-finders-of-roman-coins.html</w:t>
        </w:r>
      </w:hyperlink>
      <w:r>
        <w:rPr>
          <w:sz w:val="20"/>
          <w:szCs w:val="20"/>
        </w:rPr>
        <w:t>, 09/06/</w:t>
      </w:r>
      <w:r w:rsidRPr="00CC317D">
        <w:rPr>
          <w:sz w:val="20"/>
          <w:szCs w:val="20"/>
        </w:rPr>
        <w:t>09.</w:t>
      </w:r>
    </w:p>
  </w:footnote>
  <w:footnote w:id="714">
    <w:p w14:paraId="2F38EFC2" w14:textId="77777777" w:rsidR="000E1004" w:rsidRDefault="000E1004" w:rsidP="003A3DAB">
      <w:pPr>
        <w:pStyle w:val="FootnoteText"/>
      </w:pPr>
      <w:r>
        <w:rPr>
          <w:rStyle w:val="FootnoteReference"/>
        </w:rPr>
        <w:footnoteRef/>
      </w:r>
      <w:r>
        <w:t xml:space="preserve"> Richards and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(2011, 138-9 &amp; 141-2)</w:t>
      </w:r>
    </w:p>
  </w:footnote>
  <w:footnote w:id="715">
    <w:p w14:paraId="36529FB2" w14:textId="77777777" w:rsidR="000E1004" w:rsidRDefault="000E1004" w:rsidP="003A3DAB">
      <w:pPr>
        <w:pStyle w:val="FootnoteText"/>
      </w:pPr>
      <w:r>
        <w:rPr>
          <w:rStyle w:val="FootnoteReference"/>
        </w:rPr>
        <w:footnoteRef/>
      </w:r>
      <w:r>
        <w:t xml:space="preserve"> </w:t>
      </w:r>
      <w:r>
        <w:rPr>
          <w:lang w:eastAsia="en-GB"/>
        </w:rPr>
        <w:t>Metcalf</w:t>
      </w:r>
      <w:r>
        <w:rPr>
          <w:lang w:eastAsia="en-GB"/>
        </w:rPr>
        <w:fldChar w:fldCharType="begin"/>
      </w:r>
      <w:r>
        <w:instrText xml:space="preserve"> XE "</w:instrText>
      </w:r>
      <w:r w:rsidRPr="00523AF8">
        <w:rPr>
          <w:rStyle w:val="Hyperlink"/>
          <w:noProof/>
        </w:rPr>
        <w:instrText>Metcalf</w:instrText>
      </w:r>
      <w:r>
        <w:instrText xml:space="preserve">" </w:instrText>
      </w:r>
      <w:r>
        <w:rPr>
          <w:lang w:eastAsia="en-GB"/>
        </w:rPr>
        <w:fldChar w:fldCharType="end"/>
      </w:r>
      <w:r>
        <w:rPr>
          <w:lang w:eastAsia="en-GB"/>
        </w:rPr>
        <w:t xml:space="preserve"> (1997, 301).</w:t>
      </w:r>
    </w:p>
  </w:footnote>
  <w:footnote w:id="716">
    <w:p w14:paraId="1300ACCC" w14:textId="0E5515AD" w:rsidR="000E1004" w:rsidRDefault="000E1004">
      <w:pPr>
        <w:pStyle w:val="FootnoteText"/>
      </w:pPr>
      <w:r>
        <w:rPr>
          <w:rStyle w:val="FootnoteReference"/>
        </w:rPr>
        <w:footnoteRef/>
      </w:r>
      <w:r>
        <w:t xml:space="preserve"> </w:t>
      </w:r>
      <w:r>
        <w:rPr>
          <w:rFonts w:eastAsia="Times New Roman" w:cs="Times New Roman"/>
          <w:color w:val="000000" w:themeColor="text1"/>
          <w:szCs w:val="24"/>
          <w:lang w:eastAsia="en-GB"/>
        </w:rPr>
        <w:t>Evidential Constraints (</w:t>
      </w:r>
      <w:r>
        <w:rPr>
          <w:rFonts w:eastAsia="Times New Roman" w:cs="Times New Roman"/>
          <w:color w:val="000000" w:themeColor="text1"/>
          <w:szCs w:val="24"/>
          <w:lang w:eastAsia="en-GB"/>
        </w:rPr>
        <w:fldChar w:fldCharType="begin"/>
      </w:r>
      <w:r>
        <w:rPr>
          <w:rFonts w:eastAsia="Times New Roman" w:cs="Times New Roman"/>
          <w:color w:val="000000" w:themeColor="text1"/>
          <w:szCs w:val="24"/>
          <w:lang w:eastAsia="en-GB"/>
        </w:rPr>
        <w:instrText xml:space="preserve"> PAGEREF Constraints \h </w:instrText>
      </w:r>
      <w:r>
        <w:rPr>
          <w:rFonts w:eastAsia="Times New Roman" w:cs="Times New Roman"/>
          <w:color w:val="000000" w:themeColor="text1"/>
          <w:szCs w:val="24"/>
          <w:lang w:eastAsia="en-GB"/>
        </w:rPr>
      </w:r>
      <w:r>
        <w:rPr>
          <w:rFonts w:eastAsia="Times New Roman" w:cs="Times New Roman"/>
          <w:color w:val="000000" w:themeColor="text1"/>
          <w:szCs w:val="24"/>
          <w:lang w:eastAsia="en-GB"/>
        </w:rPr>
        <w:fldChar w:fldCharType="separate"/>
      </w:r>
      <w:r w:rsidR="0012026B">
        <w:rPr>
          <w:rFonts w:eastAsia="Times New Roman" w:cs="Times New Roman"/>
          <w:noProof/>
          <w:color w:val="000000" w:themeColor="text1"/>
          <w:szCs w:val="24"/>
          <w:lang w:eastAsia="en-GB"/>
        </w:rPr>
        <w:t>82</w:t>
      </w:r>
      <w:r>
        <w:rPr>
          <w:rFonts w:eastAsia="Times New Roman" w:cs="Times New Roman"/>
          <w:color w:val="000000" w:themeColor="text1"/>
          <w:szCs w:val="24"/>
          <w:lang w:eastAsia="en-GB"/>
        </w:rPr>
        <w:fldChar w:fldCharType="end"/>
      </w:r>
      <w:r>
        <w:rPr>
          <w:rFonts w:eastAsia="Times New Roman" w:cs="Times New Roman"/>
          <w:color w:val="000000" w:themeColor="text1"/>
          <w:szCs w:val="24"/>
          <w:lang w:eastAsia="en-GB"/>
        </w:rPr>
        <w:t>)</w:t>
      </w:r>
      <w:r w:rsidRPr="00610521">
        <w:rPr>
          <w:rFonts w:eastAsia="Times New Roman" w:cs="Times New Roman"/>
          <w:color w:val="000000" w:themeColor="text1"/>
          <w:szCs w:val="24"/>
          <w:lang w:eastAsia="en-GB"/>
        </w:rPr>
        <w:t>.</w:t>
      </w:r>
    </w:p>
  </w:footnote>
  <w:footnote w:id="717">
    <w:p w14:paraId="7353501E" w14:textId="73BC35F4" w:rsidR="000E1004" w:rsidRDefault="000E1004">
      <w:pPr>
        <w:pStyle w:val="FootnoteText"/>
      </w:pPr>
      <w:r>
        <w:rPr>
          <w:rStyle w:val="FootnoteReference"/>
        </w:rPr>
        <w:footnoteRef/>
      </w:r>
      <w:r>
        <w:t xml:space="preserve"> See Reece </w:t>
      </w:r>
      <w:r w:rsidRPr="00686FC9">
        <w:rPr>
          <w:i/>
        </w:rPr>
        <w:t>apologia</w:t>
      </w:r>
      <w:r>
        <w:t xml:space="preserve">, page </w:t>
      </w:r>
      <w:r>
        <w:fldChar w:fldCharType="begin"/>
      </w:r>
      <w:r>
        <w:instrText xml:space="preserve"> PAGEREF apologia \h </w:instrText>
      </w:r>
      <w:r>
        <w:fldChar w:fldCharType="separate"/>
      </w:r>
      <w:r w:rsidR="0012026B">
        <w:rPr>
          <w:noProof/>
        </w:rPr>
        <w:t>172</w:t>
      </w:r>
      <w:r>
        <w:fldChar w:fldCharType="end"/>
      </w:r>
      <w:r>
        <w:t>.</w:t>
      </w:r>
    </w:p>
  </w:footnote>
  <w:footnote w:id="718">
    <w:p w14:paraId="20684734" w14:textId="1CACB2B5" w:rsidR="000E1004" w:rsidRDefault="000E1004" w:rsidP="00610521">
      <w:pPr>
        <w:pStyle w:val="FootnoteText"/>
      </w:pPr>
      <w:r>
        <w:rPr>
          <w:rStyle w:val="FootnoteReference"/>
        </w:rPr>
        <w:footnoteRef/>
      </w:r>
      <w:r>
        <w:t xml:space="preserve"> </w:t>
      </w:r>
      <w:r>
        <w:rPr>
          <w:i/>
        </w:rPr>
        <w:t>V</w:t>
      </w:r>
      <w:r w:rsidRPr="00F34AE0">
        <w:rPr>
          <w:i/>
        </w:rPr>
        <w:t xml:space="preserve">iz </w:t>
      </w:r>
      <w:r>
        <w:t>Pirie</w:t>
      </w:r>
      <w:r>
        <w:fldChar w:fldCharType="begin"/>
      </w:r>
      <w:r>
        <w:instrText xml:space="preserve"> XE "</w:instrText>
      </w:r>
      <w:r w:rsidRPr="007D3069">
        <w:instrText>Pirie</w:instrText>
      </w:r>
      <w:r>
        <w:instrText xml:space="preserve">" </w:instrText>
      </w:r>
      <w:r>
        <w:fldChar w:fldCharType="end"/>
      </w:r>
      <w:r>
        <w:t xml:space="preserve"> and Bonser.</w:t>
      </w:r>
    </w:p>
  </w:footnote>
  <w:footnote w:id="719">
    <w:p w14:paraId="7C2D5FCE" w14:textId="341BFB5B" w:rsidR="000E1004" w:rsidRDefault="000E1004" w:rsidP="00E44E6A">
      <w:pPr>
        <w:pStyle w:val="FootnoteText"/>
      </w:pPr>
      <w:r>
        <w:rPr>
          <w:rStyle w:val="FootnoteReference"/>
        </w:rPr>
        <w:footnoteRef/>
      </w:r>
      <w:r>
        <w:t xml:space="preserve"> </w:t>
      </w:r>
      <w:r>
        <w:rPr>
          <w:rFonts w:eastAsia="Times New Roman" w:cs="Times New Roman"/>
          <w:szCs w:val="24"/>
          <w:lang w:eastAsia="en-GB"/>
        </w:rPr>
        <w:t>Selective on variety, provenance and condition</w:t>
      </w:r>
    </w:p>
  </w:footnote>
  <w:footnote w:id="720">
    <w:p w14:paraId="178F9075" w14:textId="77777777" w:rsidR="000E1004" w:rsidRDefault="000E1004" w:rsidP="0016184D">
      <w:pPr>
        <w:pStyle w:val="FootnoteText"/>
      </w:pPr>
      <w:r>
        <w:rPr>
          <w:rStyle w:val="FootnoteReference"/>
        </w:rPr>
        <w:footnoteRef/>
      </w:r>
      <w:r>
        <w:t xml:space="preserve"> Including 492 stycas of silver-alloy</w:t>
      </w:r>
      <w:r>
        <w:fldChar w:fldCharType="begin"/>
      </w:r>
      <w:r>
        <w:instrText xml:space="preserve"> XE "</w:instrText>
      </w:r>
      <w:r w:rsidRPr="007D3069">
        <w:rPr>
          <w:rFonts w:eastAsia="Times New Roman" w:cs="Times New Roman"/>
          <w:szCs w:val="24"/>
          <w:lang w:eastAsia="en-GB"/>
        </w:rPr>
        <w:instrText>silver-alloy</w:instrText>
      </w:r>
      <w:r>
        <w:instrText xml:space="preserve">" </w:instrText>
      </w:r>
      <w:r>
        <w:fldChar w:fldCharType="end"/>
      </w:r>
      <w:r>
        <w:t xml:space="preserve"> Group A/[N9]</w:t>
      </w:r>
      <w:r>
        <w:fldChar w:fldCharType="begin"/>
      </w:r>
      <w:r>
        <w:instrText xml:space="preserve"> XE "</w:instrText>
      </w:r>
      <w:r w:rsidRPr="007D3069">
        <w:instrText>Group A</w:instrText>
      </w:r>
      <w:r>
        <w:instrText xml:space="preserve">" </w:instrText>
      </w:r>
      <w:r>
        <w:fldChar w:fldCharType="end"/>
      </w:r>
      <w:r>
        <w:t>.</w:t>
      </w:r>
    </w:p>
  </w:footnote>
  <w:footnote w:id="721">
    <w:p w14:paraId="636D0AAD" w14:textId="34BA1A1D" w:rsidR="000E1004" w:rsidRDefault="000E1004">
      <w:pPr>
        <w:pStyle w:val="FootnoteText"/>
      </w:pPr>
      <w:r>
        <w:rPr>
          <w:rStyle w:val="FootnoteReference"/>
        </w:rPr>
        <w:footnoteRef/>
      </w:r>
      <w:r>
        <w:t xml:space="preserve"> A subjective assessment but Reece’s </w:t>
      </w:r>
      <w:r w:rsidRPr="009A5922">
        <w:rPr>
          <w:i/>
        </w:rPr>
        <w:t>apologia</w:t>
      </w:r>
      <w:r>
        <w:t xml:space="preserve"> applies (</w:t>
      </w:r>
      <w:r>
        <w:fldChar w:fldCharType="begin"/>
      </w:r>
      <w:r>
        <w:instrText xml:space="preserve"> PAGEREF apologia \h </w:instrText>
      </w:r>
      <w:r>
        <w:fldChar w:fldCharType="separate"/>
      </w:r>
      <w:r w:rsidR="0012026B">
        <w:rPr>
          <w:noProof/>
        </w:rPr>
        <w:t>172</w:t>
      </w:r>
      <w:r>
        <w:fldChar w:fldCharType="end"/>
      </w:r>
      <w:r>
        <w:t>).</w:t>
      </w:r>
    </w:p>
  </w:footnote>
  <w:footnote w:id="722">
    <w:p w14:paraId="6876742C" w14:textId="64058569" w:rsidR="000E1004" w:rsidRDefault="000E1004" w:rsidP="00610521">
      <w:pPr>
        <w:pStyle w:val="FootnoteText"/>
      </w:pPr>
      <w:r>
        <w:rPr>
          <w:rStyle w:val="FootnoteReference"/>
        </w:rPr>
        <w:footnoteRef/>
      </w:r>
      <w:r>
        <w:t xml:space="preserve"> E.g. the Lorin Kay collection, of 688 (not particularly selective) stycas.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rsidRPr="00E632A8">
        <w:t xml:space="preserve"> </w:t>
      </w:r>
      <w:r>
        <w:t>(</w:t>
      </w:r>
      <w:r w:rsidRPr="00E632A8">
        <w:t>2012c</w:t>
      </w:r>
      <w:r>
        <w:t>, 305-9).</w:t>
      </w:r>
    </w:p>
  </w:footnote>
  <w:footnote w:id="723">
    <w:p w14:paraId="72717BA0" w14:textId="05299B77" w:rsidR="000E1004" w:rsidRDefault="000E1004">
      <w:pPr>
        <w:pStyle w:val="FootnoteText"/>
      </w:pPr>
      <w:r>
        <w:rPr>
          <w:rStyle w:val="FootnoteReference"/>
        </w:rPr>
        <w:footnoteRef/>
      </w:r>
      <w:r>
        <w:t xml:space="preserve"> Both in hardcopy at the end of Volume 2 and digitally on the volume 3 compact disk</w:t>
      </w:r>
    </w:p>
  </w:footnote>
  <w:footnote w:id="724">
    <w:p w14:paraId="5E0B533F" w14:textId="72DE7C1E" w:rsidR="000E1004" w:rsidRDefault="000E1004" w:rsidP="00610521">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(1987, 260-7). NB: the selection of Hexham</w:t>
      </w:r>
      <w:r>
        <w:fldChar w:fldCharType="begin"/>
      </w:r>
      <w:r>
        <w:instrText xml:space="preserve"> XE "</w:instrText>
      </w:r>
      <w:r w:rsidRPr="007645AE">
        <w:instrText>Hexham</w:instrText>
      </w:r>
      <w:r>
        <w:instrText xml:space="preserve">" </w:instrText>
      </w:r>
      <w:r>
        <w:fldChar w:fldCharType="end"/>
      </w:r>
      <w:r>
        <w:t xml:space="preserve"> hoard material in the Yorkshire Museum is not random but highly selective.</w:t>
      </w:r>
    </w:p>
  </w:footnote>
  <w:footnote w:id="725">
    <w:p w14:paraId="7385820F" w14:textId="2CBE0394" w:rsidR="000E1004" w:rsidRDefault="000E1004" w:rsidP="00610521">
      <w:pPr>
        <w:pStyle w:val="FootnoteText"/>
      </w:pPr>
      <w:r>
        <w:rPr>
          <w:rStyle w:val="FootnoteReference"/>
        </w:rPr>
        <w:footnoteRef/>
      </w:r>
      <w:r>
        <w:t xml:space="preserve"> See House Style page </w:t>
      </w:r>
      <w:r>
        <w:fldChar w:fldCharType="begin"/>
      </w:r>
      <w:r>
        <w:instrText xml:space="preserve"> PAGEREF _Ref465159131 \h </w:instrText>
      </w:r>
      <w:r>
        <w:fldChar w:fldCharType="separate"/>
      </w:r>
      <w:r w:rsidR="0012026B">
        <w:rPr>
          <w:noProof/>
        </w:rPr>
        <w:t>2</w:t>
      </w:r>
      <w:r>
        <w:fldChar w:fldCharType="end"/>
      </w:r>
      <w:r>
        <w:t xml:space="preserve">. </w:t>
      </w:r>
    </w:p>
  </w:footnote>
  <w:footnote w:id="726">
    <w:p w14:paraId="63DB620C" w14:textId="77777777" w:rsidR="000E1004" w:rsidRDefault="000E1004" w:rsidP="00610521">
      <w:pPr>
        <w:pStyle w:val="FootnoteText"/>
      </w:pPr>
      <w:r>
        <w:rPr>
          <w:rStyle w:val="FootnoteReference"/>
        </w:rPr>
        <w:footnoteRef/>
      </w:r>
      <w:r>
        <w:t xml:space="preserve"> B</w:t>
      </w:r>
      <w:r>
        <w:rPr>
          <w:rFonts w:eastAsia="Times New Roman" w:cs="Times New Roman"/>
          <w:color w:val="000000" w:themeColor="text1"/>
          <w:szCs w:val="24"/>
          <w:lang w:eastAsia="en-GB"/>
        </w:rPr>
        <w:t>ut not the small ‘Railway’ hoard.</w:t>
      </w:r>
    </w:p>
  </w:footnote>
  <w:footnote w:id="727">
    <w:p w14:paraId="52298CC6" w14:textId="54826B6F" w:rsidR="000E1004" w:rsidRDefault="000E1004" w:rsidP="00455F26">
      <w:pPr>
        <w:pStyle w:val="FootnoteText"/>
      </w:pPr>
      <w:r>
        <w:rPr>
          <w:rStyle w:val="FootnoteReference"/>
        </w:rPr>
        <w:footnoteRef/>
      </w:r>
      <w:r>
        <w:t xml:space="preserve"> Booth (1997b, 15-38). </w:t>
      </w:r>
      <w:r w:rsidRPr="00455F26">
        <w:t>Blackburn</w:t>
      </w:r>
      <w:r>
        <w:t xml:space="preserve"> (2006, 47-53). Graham-Campbell (2011, 151-8).</w:t>
      </w:r>
    </w:p>
  </w:footnote>
  <w:footnote w:id="728">
    <w:p w14:paraId="2819BB23" w14:textId="77777777" w:rsidR="000E1004" w:rsidRDefault="000E1004" w:rsidP="002A47ED">
      <w:pPr>
        <w:pStyle w:val="FootnoteText"/>
      </w:pPr>
      <w:r>
        <w:rPr>
          <w:rStyle w:val="FootnoteReference"/>
        </w:rPr>
        <w:footnoteRef/>
      </w:r>
      <w:r>
        <w:t xml:space="preserve"> </w:t>
      </w:r>
      <w:r>
        <w:rPr>
          <w:rFonts w:eastAsia="Times New Roman" w:cs="Times New Roman"/>
          <w:color w:val="000000"/>
          <w:szCs w:val="24"/>
          <w:lang w:eastAsia="en-GB"/>
        </w:rPr>
        <w:t>Hines and Bayliss (eds, 2013).</w:t>
      </w:r>
    </w:p>
  </w:footnote>
  <w:footnote w:id="729">
    <w:p w14:paraId="7CF18F8B" w14:textId="28C74652" w:rsidR="000E1004" w:rsidRDefault="000E1004" w:rsidP="00610521">
      <w:pPr>
        <w:pStyle w:val="FootnoteText"/>
      </w:pPr>
      <w:r>
        <w:rPr>
          <w:rStyle w:val="FootnoteReference"/>
        </w:rPr>
        <w:footnoteRef/>
      </w:r>
      <w:r>
        <w:t xml:space="preserve"> Over 51,000 Anglo-Saxon</w:t>
      </w:r>
      <w:r>
        <w:fldChar w:fldCharType="begin"/>
      </w:r>
      <w:r>
        <w:instrText xml:space="preserve"> XE "</w:instrText>
      </w:r>
      <w:r w:rsidRPr="00523AF8">
        <w:rPr>
          <w:rStyle w:val="Hyperlink"/>
          <w:noProof/>
        </w:rPr>
        <w:instrText>Anglo-Saxon</w:instrText>
      </w:r>
      <w:r>
        <w:instrText xml:space="preserve">" </w:instrText>
      </w:r>
      <w:r>
        <w:fldChar w:fldCharType="end"/>
      </w:r>
      <w:r>
        <w:t xml:space="preserve"> coins paid in Danegeld have been found in Scandinavia</w:t>
      </w:r>
      <w:r>
        <w:fldChar w:fldCharType="begin"/>
      </w:r>
      <w:r>
        <w:instrText xml:space="preserve"> XE "</w:instrText>
      </w:r>
      <w:r w:rsidRPr="00F1328A">
        <w:rPr>
          <w:rStyle w:val="Hyperlink"/>
          <w:noProof/>
        </w:rPr>
        <w:instrText>Scandinavia</w:instrText>
      </w:r>
      <w:r>
        <w:instrText xml:space="preserve">" </w:instrText>
      </w:r>
      <w:r>
        <w:fldChar w:fldCharType="end"/>
      </w:r>
      <w:r>
        <w:t>, which greatly enhances the reconstruction of the coinage of the period. Sawyer (2013, 6).</w:t>
      </w:r>
    </w:p>
  </w:footnote>
  <w:footnote w:id="730">
    <w:p w14:paraId="5A1CB8DD" w14:textId="3A9D62BE" w:rsidR="000E1004" w:rsidRPr="00C03B1C" w:rsidRDefault="000E1004" w:rsidP="00610521">
      <w:pPr>
        <w:pStyle w:val="FootnoteText"/>
      </w:pPr>
      <w:r>
        <w:rPr>
          <w:rStyle w:val="FootnoteReference"/>
        </w:rPr>
        <w:footnoteRef/>
      </w:r>
      <w:r>
        <w:t xml:space="preserve"> </w:t>
      </w:r>
      <w:r>
        <w:rPr>
          <w:rFonts w:eastAsia="Times New Roman" w:cs="Times New Roman"/>
          <w:szCs w:val="24"/>
          <w:lang w:eastAsia="en-GB"/>
        </w:rPr>
        <w:t xml:space="preserve">This last motive is illustrated by my </w:t>
      </w:r>
      <w:r w:rsidRPr="004D6436">
        <w:rPr>
          <w:rFonts w:eastAsia="Times New Roman" w:cs="Times New Roman"/>
          <w:szCs w:val="24"/>
          <w:lang w:eastAsia="en-GB"/>
        </w:rPr>
        <w:t>review</w:t>
      </w:r>
      <w:r>
        <w:rPr>
          <w:rFonts w:eastAsia="Times New Roman" w:cs="Times New Roman"/>
          <w:szCs w:val="24"/>
          <w:lang w:eastAsia="en-GB"/>
        </w:rPr>
        <w:t xml:space="preserve">, </w:t>
      </w:r>
      <w:r w:rsidRPr="004D6436">
        <w:rPr>
          <w:rFonts w:eastAsia="Times New Roman" w:cs="Times New Roman"/>
          <w:szCs w:val="24"/>
          <w:lang w:eastAsia="en-GB"/>
        </w:rPr>
        <w:t xml:space="preserve">for </w:t>
      </w:r>
      <w:r w:rsidRPr="004D6436">
        <w:rPr>
          <w:rFonts w:eastAsia="Times New Roman" w:cs="Times New Roman"/>
          <w:i/>
          <w:szCs w:val="24"/>
          <w:lang w:eastAsia="en-GB"/>
        </w:rPr>
        <w:t>JMP</w:t>
      </w:r>
      <w:r w:rsidRPr="004D6436">
        <w:rPr>
          <w:rFonts w:eastAsia="Times New Roman" w:cs="Times New Roman"/>
          <w:szCs w:val="24"/>
          <w:lang w:eastAsia="en-GB"/>
        </w:rPr>
        <w:t xml:space="preserve"> of </w:t>
      </w:r>
      <w:r>
        <w:rPr>
          <w:rFonts w:eastAsia="Times New Roman" w:cs="Times New Roman"/>
          <w:szCs w:val="24"/>
          <w:lang w:eastAsia="en-GB"/>
        </w:rPr>
        <w:t>Metcalf</w:t>
      </w:r>
      <w:r>
        <w:rPr>
          <w:rFonts w:eastAsia="Times New Roman" w:cs="Times New Roman"/>
          <w:szCs w:val="24"/>
          <w:lang w:eastAsia="en-GB"/>
        </w:rPr>
        <w:fldChar w:fldCharType="begin"/>
      </w:r>
      <w:r>
        <w:instrText xml:space="preserve"> XE "</w:instrText>
      </w:r>
      <w:r w:rsidRPr="00523AF8">
        <w:rPr>
          <w:rStyle w:val="Hyperlink"/>
          <w:noProof/>
        </w:rPr>
        <w:instrText>Metcalf</w:instrText>
      </w:r>
      <w:r>
        <w:instrText xml:space="preserve">" </w:instrText>
      </w:r>
      <w:r>
        <w:rPr>
          <w:rFonts w:eastAsia="Times New Roman" w:cs="Times New Roman"/>
          <w:szCs w:val="24"/>
          <w:lang w:eastAsia="en-GB"/>
        </w:rPr>
        <w:fldChar w:fldCharType="end"/>
      </w:r>
      <w:r>
        <w:rPr>
          <w:rFonts w:eastAsia="Times New Roman" w:cs="Times New Roman"/>
          <w:szCs w:val="24"/>
          <w:lang w:eastAsia="en-GB"/>
        </w:rPr>
        <w:t xml:space="preserve"> &amp; </w:t>
      </w:r>
      <w:r w:rsidRPr="004D6436">
        <w:rPr>
          <w:rFonts w:eastAsia="Times New Roman" w:cs="Times New Roman"/>
          <w:szCs w:val="24"/>
          <w:lang w:eastAsia="en-GB"/>
        </w:rPr>
        <w:t>Op den Velde’s article on the Cothen hoard</w:t>
      </w:r>
      <w:r>
        <w:rPr>
          <w:rFonts w:eastAsia="Times New Roman" w:cs="Times New Roman"/>
          <w:szCs w:val="24"/>
          <w:lang w:eastAsia="en-GB"/>
        </w:rPr>
        <w:t>.</w:t>
      </w:r>
      <w:r w:rsidRPr="00C03B1C">
        <w:rPr>
          <w:i/>
        </w:rPr>
        <w:t xml:space="preserve"> JMP</w:t>
      </w:r>
      <w:r>
        <w:t>101 (2014, 27-51). The relevance of this hoard of underweight sceats is that die duplicates are known from Heckington and Fishergate</w:t>
      </w:r>
      <w:r>
        <w:fldChar w:fldCharType="begin"/>
      </w:r>
      <w:r>
        <w:instrText xml:space="preserve"> XE "</w:instrText>
      </w:r>
      <w:r w:rsidRPr="004D76A0">
        <w:rPr>
          <w:rStyle w:val="Hyperlink"/>
          <w:noProof/>
        </w:rPr>
        <w:instrText>Fishergate</w:instrText>
      </w:r>
      <w:r>
        <w:instrText xml:space="preserve">" </w:instrText>
      </w:r>
      <w:r>
        <w:fldChar w:fldCharType="end"/>
      </w:r>
      <w:r>
        <w:t>.</w:t>
      </w:r>
    </w:p>
  </w:footnote>
  <w:footnote w:id="731">
    <w:p w14:paraId="12988BA7" w14:textId="1836FDF2" w:rsidR="000E1004" w:rsidRDefault="000E1004">
      <w:pPr>
        <w:pStyle w:val="FootnoteText"/>
      </w:pPr>
      <w:r>
        <w:rPr>
          <w:rStyle w:val="FootnoteReference"/>
        </w:rPr>
        <w:footnoteRef/>
      </w:r>
      <w:r>
        <w:t xml:space="preserve"> Blackburn (2003, 23).</w:t>
      </w:r>
    </w:p>
  </w:footnote>
  <w:footnote w:id="732">
    <w:p w14:paraId="70F59A5C" w14:textId="4502874B" w:rsidR="000E1004" w:rsidRPr="008B0049" w:rsidRDefault="000E1004">
      <w:pPr>
        <w:pStyle w:val="FootnoteText"/>
        <w:rPr>
          <w:lang w:val="en-US"/>
        </w:rPr>
      </w:pPr>
      <w:r>
        <w:rPr>
          <w:rStyle w:val="FootnoteReference"/>
        </w:rPr>
        <w:footnoteRef/>
      </w:r>
      <w:r>
        <w:t xml:space="preserve"> Blackburn (2003, 23-4).</w:t>
      </w:r>
    </w:p>
  </w:footnote>
  <w:footnote w:id="733">
    <w:p w14:paraId="1AECC962" w14:textId="4D15F719" w:rsidR="000E1004" w:rsidRDefault="000E1004" w:rsidP="00610521">
      <w:pPr>
        <w:pStyle w:val="FootnoteText"/>
      </w:pPr>
      <w:r>
        <w:rPr>
          <w:rStyle w:val="FootnoteReference"/>
        </w:rPr>
        <w:footnoteRef/>
      </w:r>
      <w:r>
        <w:t xml:space="preserve"> Richards (1999b, 71-80). See page </w:t>
      </w:r>
      <w:r>
        <w:fldChar w:fldCharType="begin"/>
      </w:r>
      <w:r>
        <w:instrText xml:space="preserve"> PAGEREF productivesites \h </w:instrText>
      </w:r>
      <w:r>
        <w:fldChar w:fldCharType="separate"/>
      </w:r>
      <w:r w:rsidR="0012026B">
        <w:rPr>
          <w:noProof/>
        </w:rPr>
        <w:t>51</w:t>
      </w:r>
      <w:r>
        <w:fldChar w:fldCharType="end"/>
      </w:r>
      <w:r>
        <w:t>.</w:t>
      </w:r>
    </w:p>
  </w:footnote>
  <w:footnote w:id="734">
    <w:p w14:paraId="3AB1217F" w14:textId="749D2ACE" w:rsidR="000E1004" w:rsidRDefault="000E1004" w:rsidP="000862EB">
      <w:pPr>
        <w:pStyle w:val="FootnoteText"/>
      </w:pPr>
      <w:r>
        <w:rPr>
          <w:rStyle w:val="FootnoteReference"/>
        </w:rPr>
        <w:footnoteRef/>
      </w:r>
      <w:r>
        <w:t xml:space="preserve"> See also Richards (1999b).</w:t>
      </w:r>
    </w:p>
  </w:footnote>
  <w:footnote w:id="735">
    <w:p w14:paraId="08F678F1" w14:textId="2A8C7738" w:rsidR="000E1004" w:rsidRDefault="000E1004" w:rsidP="00610521">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(2004, 67).</w:t>
      </w:r>
    </w:p>
  </w:footnote>
  <w:footnote w:id="736">
    <w:p w14:paraId="48AEF623" w14:textId="2CA5F1CC" w:rsidR="000E1004" w:rsidRPr="00712EA1" w:rsidRDefault="000E1004">
      <w:pPr>
        <w:pStyle w:val="FootnoteText"/>
      </w:pPr>
      <w:r>
        <w:rPr>
          <w:rStyle w:val="FootnoteReference"/>
        </w:rPr>
        <w:footnoteRef/>
      </w:r>
      <w:r>
        <w:t xml:space="preserve"> See </w:t>
      </w:r>
      <w:r w:rsidRPr="00221D59">
        <w:rPr>
          <w:i/>
        </w:rPr>
        <w:t>Table 6.09</w:t>
      </w:r>
      <w:r>
        <w:t>,</w:t>
      </w:r>
    </w:p>
  </w:footnote>
  <w:footnote w:id="737">
    <w:p w14:paraId="17DF8087" w14:textId="0BEBC7B8" w:rsidR="000E1004" w:rsidRDefault="000E1004">
      <w:pPr>
        <w:pStyle w:val="FootnoteText"/>
      </w:pPr>
      <w:r>
        <w:rPr>
          <w:rStyle w:val="FootnoteReference"/>
        </w:rPr>
        <w:footnoteRef/>
      </w:r>
      <w:r>
        <w:t xml:space="preserve"> </w:t>
      </w:r>
      <w:r w:rsidRPr="00E93554">
        <w:rPr>
          <w:i/>
        </w:rPr>
        <w:t>VASLE</w:t>
      </w:r>
      <w:r>
        <w:t xml:space="preserve"> and Walton (2011) take a similar approach. Lucy (1999, 24-43) provided a useful gazetteer of Anglo-Saxon cemeteries. Entries are cross-referenced in </w:t>
      </w:r>
      <w:r>
        <w:rPr>
          <w:i/>
        </w:rPr>
        <w:t>Dataset 6.06</w:t>
      </w:r>
      <w:r>
        <w:t>.</w:t>
      </w:r>
    </w:p>
  </w:footnote>
  <w:footnote w:id="738">
    <w:p w14:paraId="3DA9FE55" w14:textId="77777777" w:rsidR="000E1004" w:rsidRDefault="000E1004" w:rsidP="00610521">
      <w:pPr>
        <w:pStyle w:val="FootnoteText"/>
      </w:pPr>
      <w:r>
        <w:rPr>
          <w:rStyle w:val="FootnoteReference"/>
        </w:rPr>
        <w:footnoteRef/>
      </w:r>
      <w:r>
        <w:t xml:space="preserve"> Of which, twenty-five gave a nil return.</w:t>
      </w:r>
    </w:p>
  </w:footnote>
  <w:footnote w:id="739">
    <w:p w14:paraId="3D8ED154" w14:textId="77777777" w:rsidR="000E1004" w:rsidRDefault="000E1004" w:rsidP="00610521">
      <w:pPr>
        <w:pStyle w:val="FootnoteText"/>
      </w:pPr>
      <w:r>
        <w:rPr>
          <w:rStyle w:val="FootnoteReference"/>
        </w:rPr>
        <w:footnoteRef/>
      </w:r>
      <w:r>
        <w:t xml:space="preserve"> Not to mention the additional difficulty of the same findspot residing under two local authorities.</w:t>
      </w:r>
    </w:p>
  </w:footnote>
  <w:footnote w:id="740">
    <w:p w14:paraId="2B01642D" w14:textId="3F633ABE" w:rsidR="000E1004" w:rsidRDefault="000E1004" w:rsidP="00610521">
      <w:pPr>
        <w:pStyle w:val="FootnoteText"/>
      </w:pPr>
      <w:r>
        <w:rPr>
          <w:rStyle w:val="FootnoteReference"/>
        </w:rPr>
        <w:footnoteRef/>
      </w:r>
      <w:r>
        <w:t xml:space="preserve"> </w:t>
      </w:r>
      <w:r w:rsidRPr="00E93554">
        <w:rPr>
          <w:i/>
        </w:rPr>
        <w:t>VASLE</w:t>
      </w:r>
      <w:r w:rsidRPr="00E93554">
        <w:rPr>
          <w:i/>
        </w:rPr>
        <w:fldChar w:fldCharType="begin"/>
      </w:r>
      <w:r w:rsidRPr="00E93554">
        <w:rPr>
          <w:i/>
        </w:rPr>
        <w:instrText xml:space="preserve"> XE "VASLE" </w:instrText>
      </w:r>
      <w:r w:rsidRPr="00E93554">
        <w:rPr>
          <w:i/>
        </w:rPr>
        <w:fldChar w:fldCharType="end"/>
      </w:r>
      <w:r>
        <w:t xml:space="preserve"> mined additional data (see below) and I will refer to other artefactual finds, such as the garnet </w:t>
      </w:r>
      <w:r>
        <w:rPr>
          <w:rFonts w:eastAsia="Times New Roman" w:cs="Times New Roman"/>
          <w:lang w:eastAsia="en-GB"/>
        </w:rPr>
        <w:t xml:space="preserve">cloisonné </w:t>
      </w:r>
      <w:r w:rsidRPr="004C2C6B">
        <w:rPr>
          <w:rFonts w:eastAsia="Times New Roman" w:cs="Times New Roman"/>
          <w:lang w:eastAsia="en-GB"/>
        </w:rPr>
        <w:t>panel</w:t>
      </w:r>
      <w:r>
        <w:rPr>
          <w:rFonts w:eastAsia="Times New Roman" w:cs="Times New Roman"/>
          <w:lang w:eastAsia="en-GB"/>
        </w:rPr>
        <w:t xml:space="preserve"> from </w:t>
      </w:r>
      <w:r w:rsidR="005F1EAF" w:rsidRPr="005F1EAF">
        <w:rPr>
          <w:rFonts w:eastAsia="Times New Roman" w:cs="Times New Roman"/>
          <w:lang w:eastAsia="en-GB"/>
        </w:rPr>
        <w:t>‘Site C’</w:t>
      </w:r>
      <w:r>
        <w:rPr>
          <w:rFonts w:eastAsia="Times New Roman" w:cs="Times New Roman"/>
          <w:lang w:eastAsia="en-GB"/>
        </w:rPr>
        <w:t xml:space="preserve"> (</w:t>
      </w:r>
      <w:r>
        <w:rPr>
          <w:rFonts w:eastAsia="Times New Roman" w:cs="Times New Roman"/>
          <w:lang w:eastAsia="en-GB"/>
        </w:rPr>
        <w:fldChar w:fldCharType="begin"/>
      </w:r>
      <w:r>
        <w:rPr>
          <w:rFonts w:eastAsia="Times New Roman" w:cs="Times New Roman"/>
          <w:lang w:eastAsia="en-GB"/>
        </w:rPr>
        <w:instrText xml:space="preserve"> REF _Ref430248609 \h </w:instrText>
      </w:r>
      <w:r>
        <w:rPr>
          <w:rFonts w:eastAsia="Times New Roman" w:cs="Times New Roman"/>
          <w:lang w:eastAsia="en-GB"/>
        </w:rPr>
      </w:r>
      <w:r>
        <w:rPr>
          <w:rFonts w:eastAsia="Times New Roman" w:cs="Times New Roman"/>
          <w:lang w:eastAsia="en-GB"/>
        </w:rPr>
        <w:fldChar w:fldCharType="separate"/>
      </w:r>
      <w:r w:rsidR="0012026B" w:rsidRPr="00EC0229">
        <w:rPr>
          <w:i/>
        </w:rPr>
        <w:t xml:space="preserve">Figure </w:t>
      </w:r>
      <w:r w:rsidR="0012026B">
        <w:rPr>
          <w:noProof/>
        </w:rPr>
        <w:t>100</w:t>
      </w:r>
      <w:r>
        <w:rPr>
          <w:rFonts w:eastAsia="Times New Roman" w:cs="Times New Roman"/>
          <w:lang w:eastAsia="en-GB"/>
        </w:rPr>
        <w:fldChar w:fldCharType="end"/>
      </w:r>
      <w:r>
        <w:rPr>
          <w:rFonts w:eastAsia="Times New Roman" w:cs="Times New Roman"/>
          <w:lang w:eastAsia="en-GB"/>
        </w:rPr>
        <w:t>)</w:t>
      </w:r>
      <w:r>
        <w:rPr>
          <w:rFonts w:eastAsia="Times New Roman" w:cs="Times New Roman"/>
          <w:lang w:eastAsia="en-GB"/>
        </w:rPr>
        <w:fldChar w:fldCharType="begin"/>
      </w:r>
      <w:r>
        <w:instrText xml:space="preserve"> XE "</w:instrText>
      </w:r>
      <w:r w:rsidRPr="004D76A0">
        <w:rPr>
          <w:rStyle w:val="Hyperlink"/>
          <w:rFonts w:eastAsia="Times New Roman"/>
          <w:noProof/>
          <w:lang w:eastAsia="en-GB"/>
        </w:rPr>
        <w:instrText>Bolton</w:instrText>
      </w:r>
      <w:r>
        <w:instrText xml:space="preserve">" </w:instrText>
      </w:r>
      <w:r>
        <w:rPr>
          <w:rFonts w:eastAsia="Times New Roman" w:cs="Times New Roman"/>
          <w:lang w:eastAsia="en-GB"/>
        </w:rPr>
        <w:fldChar w:fldCharType="end"/>
      </w:r>
      <w:r>
        <w:rPr>
          <w:rFonts w:eastAsia="Times New Roman" w:cs="Times New Roman"/>
          <w:lang w:eastAsia="en-GB"/>
        </w:rPr>
        <w:t>.</w:t>
      </w:r>
    </w:p>
  </w:footnote>
  <w:footnote w:id="741">
    <w:p w14:paraId="6F6CD1F6" w14:textId="4EA5766F" w:rsidR="000E1004" w:rsidRDefault="000E1004" w:rsidP="00610521">
      <w:pPr>
        <w:pStyle w:val="FootnoteText"/>
      </w:pPr>
      <w:r>
        <w:rPr>
          <w:rStyle w:val="FootnoteReference"/>
        </w:rPr>
        <w:footnoteRef/>
      </w:r>
      <w:r>
        <w:t xml:space="preserve"> This data has been consolidated. There is a small number of other such groupings including object types beads, sherds, weights</w:t>
      </w:r>
      <w:r>
        <w:fldChar w:fldCharType="begin"/>
      </w:r>
      <w:r>
        <w:instrText xml:space="preserve"> XE "</w:instrText>
      </w:r>
      <w:r w:rsidRPr="00F1328A">
        <w:rPr>
          <w:rStyle w:val="Hyperlink"/>
          <w:noProof/>
        </w:rPr>
        <w:instrText>weights</w:instrText>
      </w:r>
      <w:r>
        <w:instrText xml:space="preserve">" </w:instrText>
      </w:r>
      <w:r>
        <w:fldChar w:fldCharType="end"/>
      </w:r>
      <w:r>
        <w:t xml:space="preserve"> and metal working debris (34 of 35 pieces again from cremations at Rudston</w:t>
      </w:r>
      <w:r>
        <w:fldChar w:fldCharType="begin"/>
      </w:r>
      <w:r>
        <w:instrText xml:space="preserve"> XE "</w:instrText>
      </w:r>
      <w:r w:rsidRPr="004D76A0">
        <w:rPr>
          <w:rStyle w:val="Hyperlink"/>
          <w:noProof/>
        </w:rPr>
        <w:instrText>Rudston</w:instrText>
      </w:r>
      <w:r>
        <w:instrText xml:space="preserve">" </w:instrText>
      </w:r>
      <w:r>
        <w:fldChar w:fldCharType="end"/>
      </w:r>
      <w:r>
        <w:t>, the 35</w:t>
      </w:r>
      <w:r w:rsidRPr="00903F99">
        <w:rPr>
          <w:vertAlign w:val="superscript"/>
        </w:rPr>
        <w:t>th</w:t>
      </w:r>
      <w:r>
        <w:t xml:space="preserve"> is a piece of jewellery from Aldbrough). These are insufficient of these to have any significant bearing on the interpretation of finds.</w:t>
      </w:r>
    </w:p>
  </w:footnote>
  <w:footnote w:id="742">
    <w:p w14:paraId="3D7887F5" w14:textId="77777777" w:rsidR="000E1004" w:rsidRDefault="000E1004" w:rsidP="00063AD4">
      <w:pPr>
        <w:pStyle w:val="FootnoteText"/>
      </w:pPr>
      <w:r>
        <w:rPr>
          <w:rStyle w:val="FootnoteReference"/>
        </w:rPr>
        <w:footnoteRef/>
      </w:r>
      <w:r>
        <w:t xml:space="preserve"> As specified in </w:t>
      </w:r>
      <w:r w:rsidRPr="0097124A">
        <w:rPr>
          <w:i/>
        </w:rPr>
        <w:t>Table 6.09.</w:t>
      </w:r>
    </w:p>
  </w:footnote>
  <w:footnote w:id="743">
    <w:p w14:paraId="5CF65A98" w14:textId="69AF9A89" w:rsidR="000E1004" w:rsidRDefault="000E1004">
      <w:pPr>
        <w:pStyle w:val="FootnoteText"/>
      </w:pPr>
      <w:r>
        <w:rPr>
          <w:rStyle w:val="FootnoteReference"/>
        </w:rPr>
        <w:footnoteRef/>
      </w:r>
      <w:r>
        <w:t xml:space="preserve"> </w:t>
      </w:r>
      <w:r>
        <w:rPr>
          <w:iCs/>
        </w:rPr>
        <w:t>Lipsey and Lancaster (1956, 11-32).</w:t>
      </w:r>
    </w:p>
  </w:footnote>
  <w:footnote w:id="744">
    <w:p w14:paraId="3CBFAC60" w14:textId="3EB502FF" w:rsidR="000E1004" w:rsidRDefault="000E1004" w:rsidP="00610521">
      <w:pPr>
        <w:pStyle w:val="FootnoteText"/>
      </w:pPr>
      <w:r>
        <w:rPr>
          <w:rStyle w:val="FootnoteReference"/>
        </w:rPr>
        <w:footnoteRef/>
      </w:r>
      <w:r>
        <w:t xml:space="preserve"> But, regrettably for all subsequent researchers, was never adopted by PAS</w:t>
      </w:r>
      <w:r>
        <w:fldChar w:fldCharType="begin"/>
      </w:r>
      <w:r>
        <w:instrText xml:space="preserve"> XE "</w:instrText>
      </w:r>
      <w:r w:rsidRPr="007D3069">
        <w:instrText>PAS</w:instrText>
      </w:r>
      <w:r>
        <w:instrText xml:space="preserve">" </w:instrText>
      </w:r>
      <w:r>
        <w:fldChar w:fldCharType="end"/>
      </w:r>
      <w:r>
        <w:t>.</w:t>
      </w:r>
    </w:p>
  </w:footnote>
  <w:footnote w:id="745">
    <w:p w14:paraId="3483A4C6" w14:textId="390F7FD5" w:rsidR="000E1004" w:rsidRDefault="000E1004">
      <w:pPr>
        <w:pStyle w:val="FootnoteText"/>
      </w:pPr>
      <w:r>
        <w:rPr>
          <w:rStyle w:val="FootnoteReference"/>
        </w:rPr>
        <w:footnoteRef/>
      </w:r>
      <w:r>
        <w:t xml:space="preserve"> Tabs 4 and 5.</w:t>
      </w:r>
    </w:p>
  </w:footnote>
  <w:footnote w:id="746">
    <w:p w14:paraId="2044A8D5" w14:textId="0D9CD369" w:rsidR="000E1004" w:rsidRPr="002F1EBB" w:rsidRDefault="000E1004" w:rsidP="00610521">
      <w:pPr>
        <w:pStyle w:val="FootnoteText"/>
      </w:pPr>
      <w:r>
        <w:rPr>
          <w:rStyle w:val="FootnoteReference"/>
        </w:rPr>
        <w:footnoteRef/>
      </w:r>
      <w:r>
        <w:t xml:space="preserve"> Twenty-three numismatic additions to PAS</w:t>
      </w:r>
      <w:r>
        <w:fldChar w:fldCharType="begin"/>
      </w:r>
      <w:r>
        <w:instrText xml:space="preserve"> XE "</w:instrText>
      </w:r>
      <w:r w:rsidRPr="007D3069">
        <w:instrText>PAS</w:instrText>
      </w:r>
      <w:r>
        <w:instrText xml:space="preserve">" </w:instrText>
      </w:r>
      <w:r>
        <w:fldChar w:fldCharType="end"/>
      </w:r>
      <w:r>
        <w:t xml:space="preserve"> between April 2014 and April 2015 </w:t>
      </w:r>
      <w:r>
        <w:fldChar w:fldCharType="begin"/>
      </w:r>
      <w:r>
        <w:instrText xml:space="preserve"> XE "</w:instrText>
      </w:r>
      <w:r w:rsidRPr="007A2080">
        <w:rPr>
          <w:rStyle w:val="Hyperlink"/>
          <w:noProof/>
        </w:rPr>
        <w:instrText>Database</w:instrText>
      </w:r>
      <w:r>
        <w:instrText xml:space="preserve">" </w:instrText>
      </w:r>
      <w:r>
        <w:fldChar w:fldCharType="end"/>
      </w:r>
      <w:r>
        <w:t xml:space="preserve">include four new coin locations, now shown in </w:t>
      </w:r>
      <w:r w:rsidRPr="00EE26C8">
        <w:rPr>
          <w:i/>
        </w:rPr>
        <w:t>Table</w:t>
      </w:r>
      <w:r w:rsidRPr="00EE26C8">
        <w:rPr>
          <w:i/>
        </w:rPr>
        <w:fldChar w:fldCharType="begin"/>
      </w:r>
      <w:r>
        <w:instrText xml:space="preserve"> XE "</w:instrText>
      </w:r>
      <w:r w:rsidRPr="00EE26C8">
        <w:rPr>
          <w:noProof/>
        </w:rPr>
        <w:instrText>Table</w:instrText>
      </w:r>
      <w:r>
        <w:instrText xml:space="preserve">" </w:instrText>
      </w:r>
      <w:r w:rsidRPr="00EE26C8">
        <w:rPr>
          <w:i/>
        </w:rPr>
        <w:fldChar w:fldCharType="end"/>
      </w:r>
      <w:r w:rsidRPr="00EE26C8">
        <w:rPr>
          <w:i/>
        </w:rPr>
        <w:t xml:space="preserve"> 5</w:t>
      </w:r>
      <w:r>
        <w:rPr>
          <w:i/>
        </w:rPr>
        <w:t>.01.</w:t>
      </w:r>
    </w:p>
  </w:footnote>
  <w:footnote w:id="747">
    <w:p w14:paraId="4D7FFCB7" w14:textId="32CA2BEE" w:rsidR="000E1004" w:rsidRPr="000742D2" w:rsidRDefault="000E1004" w:rsidP="000F0804">
      <w:pPr>
        <w:pStyle w:val="FootnoteText"/>
      </w:pPr>
      <w:r w:rsidRPr="000742D2">
        <w:rPr>
          <w:rStyle w:val="FootnoteReference"/>
        </w:rPr>
        <w:footnoteRef/>
      </w:r>
      <w:r w:rsidRPr="000742D2">
        <w:t xml:space="preserve"> </w:t>
      </w:r>
      <w:hyperlink r:id="rId26" w:history="1">
        <w:r w:rsidRPr="000742D2">
          <w:rPr>
            <w:rStyle w:val="Hyperlink"/>
          </w:rPr>
          <w:t>https://www.academia.edu/1300696/Monetisation_in_Medieval_Scandinavia</w:t>
        </w:r>
        <w:r>
          <w:rPr>
            <w:rStyle w:val="Hyperlink"/>
          </w:rPr>
          <w:fldChar w:fldCharType="begin"/>
        </w:r>
        <w:r>
          <w:instrText xml:space="preserve"> XE "</w:instrText>
        </w:r>
        <w:r w:rsidRPr="00F1328A">
          <w:rPr>
            <w:rStyle w:val="Hyperlink"/>
            <w:noProof/>
          </w:rPr>
          <w:instrText>Scandinavia</w:instrText>
        </w:r>
        <w:r>
          <w:instrText xml:space="preserve">" </w:instrText>
        </w:r>
        <w:r>
          <w:rPr>
            <w:rStyle w:val="Hyperlink"/>
          </w:rPr>
          <w:fldChar w:fldCharType="end"/>
        </w:r>
      </w:hyperlink>
    </w:p>
  </w:footnote>
  <w:footnote w:id="748">
    <w:p w14:paraId="1D957F7E" w14:textId="0F5C7118" w:rsidR="000E1004" w:rsidRDefault="000E1004">
      <w:pPr>
        <w:pStyle w:val="FootnoteText"/>
      </w:pPr>
      <w:r>
        <w:rPr>
          <w:rStyle w:val="FootnoteReference"/>
        </w:rPr>
        <w:footnoteRef/>
      </w:r>
      <w:r>
        <w:t xml:space="preserve"> See </w:t>
      </w:r>
      <w:r w:rsidRPr="00A07A08">
        <w:rPr>
          <w:i/>
        </w:rPr>
        <w:t>Graph 7.</w:t>
      </w:r>
      <w:r>
        <w:rPr>
          <w:i/>
        </w:rPr>
        <w:t>02 no. 49-50.</w:t>
      </w:r>
    </w:p>
  </w:footnote>
  <w:footnote w:id="749">
    <w:p w14:paraId="4608E4DA" w14:textId="77777777" w:rsidR="000E1004" w:rsidRDefault="000E1004" w:rsidP="00100F75">
      <w:pPr>
        <w:pStyle w:val="FootnoteText"/>
      </w:pPr>
      <w:r w:rsidRPr="00346E74">
        <w:rPr>
          <w:rStyle w:val="FootnoteReference"/>
        </w:rPr>
        <w:footnoteRef/>
      </w:r>
      <w:r w:rsidRPr="00346E74">
        <w:t xml:space="preserve"> Such as was the </w:t>
      </w:r>
      <w:r>
        <w:t>‘</w:t>
      </w:r>
      <w:r w:rsidRPr="00346E74">
        <w:t>Manchester parcel</w:t>
      </w:r>
      <w:r>
        <w:t>’</w:t>
      </w:r>
      <w:r w:rsidRPr="00346E74">
        <w:t xml:space="preserve"> of stycas from the Hexham</w:t>
      </w:r>
      <w:r>
        <w:fldChar w:fldCharType="begin"/>
      </w:r>
      <w:r>
        <w:instrText xml:space="preserve"> XE "</w:instrText>
      </w:r>
      <w:r w:rsidRPr="007645AE">
        <w:instrText>Hexham</w:instrText>
      </w:r>
      <w:r>
        <w:instrText xml:space="preserve">" </w:instrText>
      </w:r>
      <w:r>
        <w:fldChar w:fldCharType="end"/>
      </w:r>
      <w:r w:rsidRPr="00346E74">
        <w:t xml:space="preserve"> hoard.</w:t>
      </w:r>
      <w:r>
        <w:t xml:space="preserve"> (</w:t>
      </w:r>
      <w:r>
        <w:rPr>
          <w:lang w:eastAsia="en-GB"/>
        </w:rPr>
        <w:t xml:space="preserve">Sugden and Warhurst, </w:t>
      </w:r>
      <w:r w:rsidRPr="00F2728A">
        <w:rPr>
          <w:lang w:eastAsia="en-GB"/>
        </w:rPr>
        <w:t>1979</w:t>
      </w:r>
      <w:r>
        <w:rPr>
          <w:lang w:eastAsia="en-GB"/>
        </w:rPr>
        <w:t>).</w:t>
      </w:r>
    </w:p>
  </w:footnote>
  <w:footnote w:id="750">
    <w:p w14:paraId="5E406C24" w14:textId="77777777" w:rsidR="000E1004" w:rsidRDefault="000E1004" w:rsidP="00100F75">
      <w:pPr>
        <w:pStyle w:val="FootnoteText"/>
      </w:pPr>
      <w:r>
        <w:rPr>
          <w:rStyle w:val="FootnoteReference"/>
        </w:rPr>
        <w:footnoteRef/>
      </w:r>
      <w:r>
        <w:t xml:space="preserve"> Walton (2011, 44) augmented her PAS dataset with earlier data largely derived from Reece (1991). It is assumed here that the PAS dataset is representative of Roman finds generally.</w:t>
      </w:r>
    </w:p>
  </w:footnote>
  <w:footnote w:id="751">
    <w:p w14:paraId="68817EF6" w14:textId="77777777" w:rsidR="000E1004" w:rsidRDefault="000E1004" w:rsidP="00100F75">
      <w:pPr>
        <w:pStyle w:val="FootnoteText"/>
      </w:pPr>
      <w:r>
        <w:rPr>
          <w:rStyle w:val="FootnoteReference"/>
        </w:rPr>
        <w:footnoteRef/>
      </w:r>
      <w:r>
        <w:t xml:space="preserve"> </w:t>
      </w:r>
      <w:r>
        <w:rPr>
          <w:color w:val="000000"/>
        </w:rPr>
        <w:t>Continued use of artefacts.</w:t>
      </w:r>
    </w:p>
  </w:footnote>
  <w:footnote w:id="752">
    <w:p w14:paraId="4AF0940F" w14:textId="77777777" w:rsidR="000E1004" w:rsidRDefault="000E1004" w:rsidP="00100F75">
      <w:pPr>
        <w:pStyle w:val="FootnoteText"/>
      </w:pPr>
      <w:r>
        <w:rPr>
          <w:rStyle w:val="FootnoteReference"/>
        </w:rPr>
        <w:footnoteRef/>
      </w:r>
      <w:r>
        <w:t xml:space="preserve"> </w:t>
      </w:r>
      <w:r>
        <w:rPr>
          <w:color w:val="000000"/>
        </w:rPr>
        <w:t>The survival of disused objects in later layers.</w:t>
      </w:r>
      <w:r>
        <w:t xml:space="preserve"> Vince (1994b, 9-14), </w:t>
      </w:r>
    </w:p>
  </w:footnote>
  <w:footnote w:id="753">
    <w:p w14:paraId="0A6CE47C" w14:textId="77777777" w:rsidR="000E1004" w:rsidRDefault="000E1004" w:rsidP="00100F75">
      <w:pPr>
        <w:pStyle w:val="FootnoteText"/>
      </w:pPr>
      <w:r>
        <w:rPr>
          <w:rStyle w:val="FootnoteReference"/>
        </w:rPr>
        <w:footnoteRef/>
      </w:r>
      <w:r>
        <w:t xml:space="preserve"> As at 19</w:t>
      </w:r>
      <w:r>
        <w:rPr>
          <w:vertAlign w:val="superscript"/>
        </w:rPr>
        <w:t>th</w:t>
      </w:r>
      <w:r>
        <w:t xml:space="preserve"> December 2015. Roman coin finds are recorded for forty-eight northern ‘counties’, but half have ten coins or less.</w:t>
      </w:r>
    </w:p>
  </w:footnote>
  <w:footnote w:id="754">
    <w:p w14:paraId="4B4BA37B" w14:textId="77777777" w:rsidR="000E1004" w:rsidRDefault="000E1004" w:rsidP="00100F75">
      <w:pPr>
        <w:pStyle w:val="FootnoteText"/>
      </w:pPr>
      <w:r>
        <w:rPr>
          <w:rStyle w:val="FootnoteReference"/>
        </w:rPr>
        <w:footnoteRef/>
      </w:r>
      <w:r>
        <w:t xml:space="preserve"> After redistribution of North Yorkshire and East Riding entries to Central Lowlands, Vale of Pickering and Holderness.</w:t>
      </w:r>
    </w:p>
  </w:footnote>
  <w:footnote w:id="755">
    <w:p w14:paraId="2FCB7183" w14:textId="643030A5" w:rsidR="000E1004" w:rsidRDefault="000E1004" w:rsidP="00100F75">
      <w:pPr>
        <w:pStyle w:val="FootnoteText"/>
      </w:pPr>
      <w:r>
        <w:rPr>
          <w:rStyle w:val="FootnoteReference"/>
        </w:rPr>
        <w:footnoteRef/>
      </w:r>
      <w:r>
        <w:t xml:space="preserve"> See Future Research (</w:t>
      </w:r>
      <w:r>
        <w:fldChar w:fldCharType="begin"/>
      </w:r>
      <w:r>
        <w:instrText xml:space="preserve"> PAGEREF Futureresearch \h </w:instrText>
      </w:r>
      <w:r>
        <w:fldChar w:fldCharType="separate"/>
      </w:r>
      <w:r w:rsidR="0012026B">
        <w:rPr>
          <w:noProof/>
        </w:rPr>
        <w:t>323</w:t>
      </w:r>
      <w:r>
        <w:fldChar w:fldCharType="end"/>
      </w:r>
      <w:r>
        <w:t>).</w:t>
      </w:r>
    </w:p>
  </w:footnote>
  <w:footnote w:id="756">
    <w:p w14:paraId="5689D0B7" w14:textId="2F51A4C8" w:rsidR="000E1004" w:rsidRDefault="000E1004">
      <w:pPr>
        <w:pStyle w:val="FootnoteText"/>
      </w:pPr>
      <w:r>
        <w:rPr>
          <w:rStyle w:val="FootnoteReference"/>
        </w:rPr>
        <w:footnoteRef/>
      </w:r>
      <w:r>
        <w:t xml:space="preserve"> G</w:t>
      </w:r>
      <w:r>
        <w:rPr>
          <w:rFonts w:cs="Times New Roman"/>
          <w:color w:val="000000" w:themeColor="text1"/>
          <w:szCs w:val="24"/>
        </w:rPr>
        <w:t>enerally listed in a southbound</w:t>
      </w:r>
      <w:r w:rsidRPr="00EA0770">
        <w:rPr>
          <w:rFonts w:cs="Times New Roman"/>
          <w:color w:val="000000" w:themeColor="text1"/>
          <w:szCs w:val="24"/>
        </w:rPr>
        <w:t xml:space="preserve"> </w:t>
      </w:r>
      <w:r>
        <w:rPr>
          <w:rFonts w:cs="Times New Roman"/>
          <w:color w:val="000000" w:themeColor="text1"/>
          <w:szCs w:val="24"/>
        </w:rPr>
        <w:t>arrangement.</w:t>
      </w:r>
    </w:p>
  </w:footnote>
  <w:footnote w:id="757">
    <w:p w14:paraId="53BA0A16" w14:textId="04519C1D" w:rsidR="000E1004" w:rsidRDefault="000E1004" w:rsidP="00AA51C3">
      <w:pPr>
        <w:pStyle w:val="FootnoteText"/>
      </w:pPr>
      <w:r>
        <w:rPr>
          <w:rStyle w:val="FootnoteReference"/>
        </w:rPr>
        <w:footnoteRef/>
      </w:r>
      <w:r>
        <w:t xml:space="preserve"> Plausibly just for his investiture.</w:t>
      </w:r>
    </w:p>
  </w:footnote>
  <w:footnote w:id="758">
    <w:p w14:paraId="2321D2EC" w14:textId="77777777" w:rsidR="000E1004" w:rsidRDefault="000E1004" w:rsidP="00AA51C3">
      <w:pPr>
        <w:pStyle w:val="FootnoteText"/>
      </w:pPr>
      <w:r>
        <w:rPr>
          <w:rStyle w:val="FootnoteReference"/>
        </w:rPr>
        <w:footnoteRef/>
      </w:r>
      <w:r>
        <w:t xml:space="preserve"> Charles-Edwards (1997, 172). </w:t>
      </w:r>
      <w:r w:rsidRPr="0025001D">
        <w:rPr>
          <w:rFonts w:cs="Times New Roman"/>
        </w:rPr>
        <w:t>Metcalf</w:t>
      </w:r>
      <w:r>
        <w:rPr>
          <w:rFonts w:cs="Times New Roman"/>
        </w:rPr>
        <w:fldChar w:fldCharType="begin"/>
      </w:r>
      <w:r>
        <w:instrText xml:space="preserve"> XE "</w:instrText>
      </w:r>
      <w:r w:rsidRPr="00523AF8">
        <w:rPr>
          <w:rStyle w:val="Hyperlink"/>
          <w:noProof/>
        </w:rPr>
        <w:instrText>Metcalf</w:instrText>
      </w:r>
      <w:r>
        <w:instrText xml:space="preserve">" </w:instrText>
      </w:r>
      <w:r>
        <w:rPr>
          <w:rFonts w:cs="Times New Roman"/>
        </w:rPr>
        <w:fldChar w:fldCharType="end"/>
      </w:r>
      <w:r>
        <w:rPr>
          <w:rFonts w:cs="Times New Roman"/>
        </w:rPr>
        <w:t xml:space="preserve"> and Northover </w:t>
      </w:r>
      <w:r w:rsidRPr="0025001D">
        <w:rPr>
          <w:rFonts w:cs="Times New Roman"/>
        </w:rPr>
        <w:t>(1987,</w:t>
      </w:r>
      <w:r w:rsidRPr="0025001D">
        <w:rPr>
          <w:rFonts w:cs="Times New Roman"/>
          <w:iCs/>
        </w:rPr>
        <w:t xml:space="preserve"> </w:t>
      </w:r>
      <w:r>
        <w:t>21</w:t>
      </w:r>
      <w:r w:rsidRPr="0025001D">
        <w:t>3).</w:t>
      </w:r>
    </w:p>
  </w:footnote>
  <w:footnote w:id="759">
    <w:p w14:paraId="63A574E9" w14:textId="77777777" w:rsidR="000E1004" w:rsidRPr="00B35769" w:rsidRDefault="000E1004" w:rsidP="00AA51C3">
      <w:pPr>
        <w:pStyle w:val="NoSpacing"/>
        <w:spacing w:line="276" w:lineRule="auto"/>
        <w:rPr>
          <w:color w:val="000000" w:themeColor="text1"/>
        </w:rPr>
      </w:pPr>
      <w:r w:rsidRPr="003B4C87">
        <w:rPr>
          <w:rStyle w:val="FootnoteReference"/>
          <w:sz w:val="20"/>
          <w:szCs w:val="20"/>
        </w:rPr>
        <w:footnoteRef/>
      </w:r>
      <w:r w:rsidRPr="003B4C87">
        <w:rPr>
          <w:sz w:val="20"/>
          <w:szCs w:val="20"/>
        </w:rPr>
        <w:t xml:space="preserve"> </w:t>
      </w:r>
      <w:r w:rsidRPr="0025001D">
        <w:rPr>
          <w:rFonts w:cs="Times New Roman"/>
          <w:sz w:val="20"/>
          <w:szCs w:val="20"/>
        </w:rPr>
        <w:t>Metcalf</w:t>
      </w:r>
      <w:r>
        <w:rPr>
          <w:rFonts w:cs="Times New Roman"/>
          <w:sz w:val="20"/>
          <w:szCs w:val="20"/>
        </w:rPr>
        <w:fldChar w:fldCharType="begin"/>
      </w:r>
      <w:r>
        <w:instrText xml:space="preserve"> XE "</w:instrText>
      </w:r>
      <w:r w:rsidRPr="00523AF8">
        <w:rPr>
          <w:rStyle w:val="Hyperlink"/>
          <w:noProof/>
        </w:rPr>
        <w:instrText>Metcalf</w:instrText>
      </w:r>
      <w:r>
        <w:instrText xml:space="preserve">" </w:instrText>
      </w:r>
      <w:r>
        <w:rPr>
          <w:rFonts w:cs="Times New Roman"/>
          <w:sz w:val="20"/>
          <w:szCs w:val="20"/>
        </w:rPr>
        <w:fldChar w:fldCharType="end"/>
      </w:r>
      <w:r w:rsidRPr="0025001D">
        <w:rPr>
          <w:rFonts w:cs="Times New Roman"/>
          <w:sz w:val="20"/>
          <w:szCs w:val="20"/>
        </w:rPr>
        <w:t xml:space="preserve"> and Northover</w:t>
      </w:r>
      <w:r w:rsidRPr="0025001D">
        <w:rPr>
          <w:rFonts w:cs="Times New Roman"/>
          <w:iCs/>
          <w:sz w:val="20"/>
          <w:szCs w:val="20"/>
        </w:rPr>
        <w:t xml:space="preserve"> </w:t>
      </w:r>
      <w:r w:rsidRPr="0025001D">
        <w:rPr>
          <w:rFonts w:cs="Times New Roman"/>
          <w:sz w:val="20"/>
          <w:szCs w:val="20"/>
        </w:rPr>
        <w:t>(1987,</w:t>
      </w:r>
      <w:r w:rsidRPr="0025001D">
        <w:rPr>
          <w:rFonts w:cs="Times New Roman"/>
          <w:iCs/>
          <w:sz w:val="20"/>
          <w:szCs w:val="20"/>
        </w:rPr>
        <w:t xml:space="preserve"> </w:t>
      </w:r>
      <w:r w:rsidRPr="0025001D">
        <w:rPr>
          <w:sz w:val="20"/>
          <w:szCs w:val="20"/>
        </w:rPr>
        <w:t>187-233).</w:t>
      </w:r>
    </w:p>
  </w:footnote>
  <w:footnote w:id="760">
    <w:p w14:paraId="5D82EBEE" w14:textId="1E246511" w:rsidR="000E1004" w:rsidRDefault="000E1004" w:rsidP="00AA51C3">
      <w:pPr>
        <w:pStyle w:val="FootnoteText"/>
      </w:pPr>
      <w:r>
        <w:rPr>
          <w:rStyle w:val="FootnoteReference"/>
        </w:rPr>
        <w:footnoteRef/>
      </w:r>
      <w:r>
        <w:t xml:space="preserve"> But see </w:t>
      </w:r>
      <w:r>
        <w:rPr>
          <w:i/>
        </w:rPr>
        <w:t>fn.</w:t>
      </w:r>
      <w:r>
        <w:t xml:space="preserve"> </w:t>
      </w:r>
      <w:r>
        <w:fldChar w:fldCharType="begin"/>
      </w:r>
      <w:r>
        <w:instrText xml:space="preserve"> NOTEREF _Ref434481262 \h </w:instrText>
      </w:r>
      <w:r>
        <w:fldChar w:fldCharType="separate"/>
      </w:r>
      <w:r w:rsidR="0012026B">
        <w:t>675</w:t>
      </w:r>
      <w:r>
        <w:fldChar w:fldCharType="end"/>
      </w:r>
      <w:r>
        <w:t>.</w:t>
      </w:r>
    </w:p>
  </w:footnote>
  <w:footnote w:id="761">
    <w:p w14:paraId="1534AA40" w14:textId="77777777" w:rsidR="000E1004" w:rsidRDefault="000E1004" w:rsidP="007B40A3">
      <w:pPr>
        <w:pStyle w:val="FootnoteText"/>
      </w:pPr>
      <w:r>
        <w:rPr>
          <w:rStyle w:val="FootnoteReference"/>
        </w:rPr>
        <w:footnoteRef/>
      </w:r>
      <w:r>
        <w:t xml:space="preserve"> Lyon (1957).</w:t>
      </w:r>
    </w:p>
  </w:footnote>
  <w:footnote w:id="762">
    <w:p w14:paraId="2074174B" w14:textId="77777777" w:rsidR="000E1004" w:rsidRDefault="000E1004" w:rsidP="007B40A3">
      <w:pPr>
        <w:pStyle w:val="FootnoteText"/>
      </w:pPr>
      <w:r>
        <w:rPr>
          <w:rStyle w:val="FootnoteReference"/>
        </w:rPr>
        <w:footnoteRef/>
      </w:r>
      <w:r>
        <w:t xml:space="preserve"> Lyon (1957, 231), finds that Osberht</w:t>
      </w:r>
      <w:r>
        <w:fldChar w:fldCharType="begin"/>
      </w:r>
      <w:r>
        <w:instrText xml:space="preserve"> XE "</w:instrText>
      </w:r>
      <w:r w:rsidRPr="007645AE">
        <w:instrText>Osberht</w:instrText>
      </w:r>
      <w:r>
        <w:instrText xml:space="preserve">" </w:instrText>
      </w:r>
      <w:r>
        <w:fldChar w:fldCharType="end"/>
      </w:r>
      <w:r>
        <w:t xml:space="preserve"> and Wulfhere</w:t>
      </w:r>
      <w:r>
        <w:fldChar w:fldCharType="begin"/>
      </w:r>
      <w:r>
        <w:instrText xml:space="preserve"> XE "</w:instrText>
      </w:r>
      <w:r w:rsidRPr="007645AE">
        <w:instrText>Wulfhere</w:instrText>
      </w:r>
      <w:r>
        <w:instrText xml:space="preserve">" </w:instrText>
      </w:r>
      <w:r>
        <w:fldChar w:fldCharType="end"/>
      </w:r>
      <w:r>
        <w:t xml:space="preserve"> are under-represented and concludes that a much earlier date is indicated. This is refuted by my analysis.</w:t>
      </w:r>
    </w:p>
  </w:footnote>
  <w:footnote w:id="763">
    <w:p w14:paraId="20AE6683" w14:textId="77777777" w:rsidR="000E1004" w:rsidRDefault="000E1004" w:rsidP="007B40A3">
      <w:pPr>
        <w:pStyle w:val="FootnoteText"/>
      </w:pPr>
      <w:r>
        <w:rPr>
          <w:rStyle w:val="FootnoteReference"/>
        </w:rPr>
        <w:footnoteRef/>
      </w:r>
      <w:r>
        <w:t xml:space="preserve"> As illustrated by Adamson – see Pirie</w:t>
      </w:r>
      <w:r>
        <w:fldChar w:fldCharType="begin"/>
      </w:r>
      <w:r>
        <w:instrText xml:space="preserve"> XE "</w:instrText>
      </w:r>
      <w:r w:rsidRPr="007D3069">
        <w:instrText>Pirie</w:instrText>
      </w:r>
      <w:r>
        <w:instrText xml:space="preserve">" </w:instrText>
      </w:r>
      <w:r>
        <w:fldChar w:fldCharType="end"/>
      </w:r>
      <w:r>
        <w:t xml:space="preserve"> (1987, </w:t>
      </w:r>
      <w:r w:rsidRPr="00E25889">
        <w:rPr>
          <w:i/>
        </w:rPr>
        <w:t>BAR</w:t>
      </w:r>
      <w:r>
        <w:t xml:space="preserve"> 180, 369-328). </w:t>
      </w:r>
      <w:r w:rsidRPr="009D5785">
        <w:rPr>
          <w:i/>
        </w:rPr>
        <w:t>Table</w:t>
      </w:r>
      <w:r w:rsidRPr="009D5785">
        <w:rPr>
          <w:i/>
        </w:rPr>
        <w:fldChar w:fldCharType="begin"/>
      </w:r>
      <w:r>
        <w:instrText xml:space="preserve"> XE "</w:instrText>
      </w:r>
      <w:r w:rsidRPr="009D5785">
        <w:rPr>
          <w:noProof/>
        </w:rPr>
        <w:instrText>Table</w:instrText>
      </w:r>
      <w:r>
        <w:instrText xml:space="preserve">" </w:instrText>
      </w:r>
      <w:r w:rsidRPr="009D5785">
        <w:rPr>
          <w:i/>
        </w:rPr>
        <w:fldChar w:fldCharType="end"/>
      </w:r>
      <w:r w:rsidRPr="009D5785">
        <w:rPr>
          <w:i/>
        </w:rPr>
        <w:t xml:space="preserve"> </w:t>
      </w:r>
      <w:r>
        <w:rPr>
          <w:i/>
        </w:rPr>
        <w:t>7.12</w:t>
      </w:r>
      <w:r>
        <w:t>.</w:t>
      </w:r>
    </w:p>
  </w:footnote>
  <w:footnote w:id="764">
    <w:p w14:paraId="5D9F6BA5" w14:textId="77777777" w:rsidR="000E1004" w:rsidRDefault="000E1004" w:rsidP="007B40A3">
      <w:pPr>
        <w:pStyle w:val="FootnoteText"/>
      </w:pPr>
      <w:r>
        <w:rPr>
          <w:rStyle w:val="FootnoteReference"/>
        </w:rPr>
        <w:footnoteRef/>
      </w:r>
      <w:r>
        <w:t xml:space="preserve"> Lyon (1957, 231).</w:t>
      </w:r>
    </w:p>
  </w:footnote>
  <w:footnote w:id="765">
    <w:p w14:paraId="4798D3F5" w14:textId="77777777" w:rsidR="000E1004" w:rsidRDefault="000E1004" w:rsidP="00C10871">
      <w:pPr>
        <w:pStyle w:val="FootnoteText"/>
      </w:pPr>
      <w:r>
        <w:rPr>
          <w:rStyle w:val="FootnoteReference"/>
        </w:rPr>
        <w:footnoteRef/>
      </w:r>
      <w:r>
        <w:t xml:space="preserve"> To be read in columns.</w:t>
      </w:r>
    </w:p>
  </w:footnote>
  <w:footnote w:id="766">
    <w:p w14:paraId="02A1E8C6" w14:textId="77777777" w:rsidR="000E1004" w:rsidRDefault="000E1004" w:rsidP="00AA51C3">
      <w:pPr>
        <w:pStyle w:val="FootnoteText"/>
      </w:pPr>
      <w:r>
        <w:rPr>
          <w:rStyle w:val="FootnoteReference"/>
        </w:rPr>
        <w:footnoteRef/>
      </w:r>
      <w:r>
        <w:t xml:space="preserve"> All locations in the database with nine or more finds have been analysed by period.</w:t>
      </w:r>
    </w:p>
  </w:footnote>
  <w:footnote w:id="767">
    <w:p w14:paraId="186BA935" w14:textId="77777777" w:rsidR="000E1004" w:rsidRDefault="000E1004" w:rsidP="00AA51C3">
      <w:pPr>
        <w:pStyle w:val="FootnoteText"/>
      </w:pPr>
      <w:r>
        <w:rPr>
          <w:rStyle w:val="FootnoteReference"/>
        </w:rPr>
        <w:footnoteRef/>
      </w:r>
      <w:r>
        <w:t xml:space="preserve"> Reece (1991, 9).</w:t>
      </w:r>
    </w:p>
  </w:footnote>
  <w:footnote w:id="768">
    <w:p w14:paraId="75470F59" w14:textId="16C68D00" w:rsidR="000E1004" w:rsidRDefault="000E1004" w:rsidP="00AA51C3">
      <w:pPr>
        <w:pStyle w:val="FootnoteText"/>
      </w:pPr>
      <w:r>
        <w:rPr>
          <w:rStyle w:val="FootnoteReference"/>
        </w:rPr>
        <w:footnoteRef/>
      </w:r>
      <w:r>
        <w:t xml:space="preserve"> Probably testing to destruction in view of the surface enrichment problems associated with XRF, (</w:t>
      </w:r>
      <w:r>
        <w:fldChar w:fldCharType="begin"/>
      </w:r>
      <w:r>
        <w:instrText xml:space="preserve"> PAGEREF Futureresearch \h </w:instrText>
      </w:r>
      <w:r>
        <w:fldChar w:fldCharType="separate"/>
      </w:r>
      <w:r w:rsidR="0012026B">
        <w:rPr>
          <w:noProof/>
        </w:rPr>
        <w:t>323</w:t>
      </w:r>
      <w:r>
        <w:fldChar w:fldCharType="end"/>
      </w:r>
      <w:r>
        <w:t>).</w:t>
      </w:r>
    </w:p>
  </w:footnote>
  <w:footnote w:id="769">
    <w:p w14:paraId="4224C9E9" w14:textId="7B7CDF4D" w:rsidR="000E1004" w:rsidRDefault="000E1004" w:rsidP="00AA51C3">
      <w:pPr>
        <w:pStyle w:val="FootnoteText"/>
      </w:pPr>
      <w:r>
        <w:rPr>
          <w:rStyle w:val="FootnoteReference"/>
        </w:rPr>
        <w:footnoteRef/>
      </w:r>
      <w:r>
        <w:t xml:space="preserve"> See Future Research (</w:t>
      </w:r>
      <w:r>
        <w:fldChar w:fldCharType="begin"/>
      </w:r>
      <w:r>
        <w:instrText xml:space="preserve"> PAGEREF Futureresearch \h </w:instrText>
      </w:r>
      <w:r>
        <w:fldChar w:fldCharType="separate"/>
      </w:r>
      <w:r w:rsidR="0012026B">
        <w:rPr>
          <w:noProof/>
        </w:rPr>
        <w:t>323</w:t>
      </w:r>
      <w:r>
        <w:fldChar w:fldCharType="end"/>
      </w:r>
      <w:r>
        <w:t>).</w:t>
      </w:r>
    </w:p>
  </w:footnote>
  <w:footnote w:id="770">
    <w:p w14:paraId="1F17FFE5" w14:textId="77777777" w:rsidR="000E1004" w:rsidRDefault="000E1004" w:rsidP="00AA51C3">
      <w:pPr>
        <w:pStyle w:val="FootnoteText"/>
      </w:pPr>
      <w:r>
        <w:rPr>
          <w:rStyle w:val="FootnoteReference"/>
        </w:rPr>
        <w:footnoteRef/>
      </w:r>
      <w:r>
        <w:t xml:space="preserve"> Naylor (2007, 44-6)</w:t>
      </w:r>
    </w:p>
  </w:footnote>
  <w:footnote w:id="771">
    <w:p w14:paraId="40556832" w14:textId="1DBC8279" w:rsidR="000E1004" w:rsidRPr="00C50133" w:rsidRDefault="000E1004">
      <w:pPr>
        <w:pStyle w:val="FootnoteText"/>
      </w:pPr>
      <w:r>
        <w:rPr>
          <w:rStyle w:val="FootnoteReference"/>
        </w:rPr>
        <w:footnoteRef/>
      </w:r>
      <w:r>
        <w:t xml:space="preserve"> Abstracted from </w:t>
      </w:r>
      <w:r w:rsidRPr="00C50133">
        <w:rPr>
          <w:i/>
        </w:rPr>
        <w:t>Dataset</w:t>
      </w:r>
      <w:r>
        <w:t xml:space="preserve"> 7.16.</w:t>
      </w:r>
    </w:p>
  </w:footnote>
  <w:footnote w:id="772">
    <w:p w14:paraId="76C0C449" w14:textId="008F828A" w:rsidR="000E1004" w:rsidRDefault="000E1004" w:rsidP="00AA51C3">
      <w:pPr>
        <w:pStyle w:val="FootnoteText"/>
      </w:pPr>
      <w:r>
        <w:rPr>
          <w:rStyle w:val="FootnoteReference"/>
        </w:rPr>
        <w:footnoteRef/>
      </w:r>
      <w:r>
        <w:t xml:space="preserve"> </w:t>
      </w:r>
      <w:hyperlink r:id="rId27" w:history="1">
        <w:r w:rsidRPr="00025E85">
          <w:rPr>
            <w:rStyle w:val="Hyperlink"/>
          </w:rPr>
          <w:t>http://www.dmap.co.uk/</w:t>
        </w:r>
      </w:hyperlink>
    </w:p>
  </w:footnote>
  <w:footnote w:id="773">
    <w:p w14:paraId="5C372B64" w14:textId="77777777" w:rsidR="000E1004" w:rsidRDefault="000E1004" w:rsidP="00AA51C3">
      <w:pPr>
        <w:pStyle w:val="FootnoteText"/>
      </w:pPr>
      <w:r>
        <w:rPr>
          <w:rStyle w:val="FootnoteReference"/>
        </w:rPr>
        <w:footnoteRef/>
      </w:r>
      <w:r>
        <w:t xml:space="preserve"> With his permission [</w:t>
      </w:r>
      <w:r w:rsidRPr="00C91732">
        <w:rPr>
          <w:i/>
        </w:rPr>
        <w:t>pers. comm.</w:t>
      </w:r>
      <w:r>
        <w:t xml:space="preserve"> 21 August 2014]. Bude (forthcoming).</w:t>
      </w:r>
    </w:p>
  </w:footnote>
  <w:footnote w:id="774">
    <w:p w14:paraId="4B88735E" w14:textId="1F8A8527" w:rsidR="000E1004" w:rsidRDefault="000E1004" w:rsidP="00AA51C3">
      <w:pPr>
        <w:pStyle w:val="FootnoteText"/>
      </w:pPr>
      <w:r>
        <w:rPr>
          <w:rStyle w:val="FootnoteReference"/>
        </w:rPr>
        <w:footnoteRef/>
      </w:r>
      <w:r>
        <w:t xml:space="preserve"> </w:t>
      </w:r>
      <w:r w:rsidRPr="00280930">
        <w:rPr>
          <w:i/>
        </w:rPr>
        <w:t xml:space="preserve">Table </w:t>
      </w:r>
      <w:r>
        <w:rPr>
          <w:i/>
        </w:rPr>
        <w:t>5.09</w:t>
      </w:r>
      <w:r>
        <w:t xml:space="preserve">. Abramson &amp; Garrison (forthcoming). </w:t>
      </w:r>
    </w:p>
  </w:footnote>
  <w:footnote w:id="775">
    <w:p w14:paraId="64744853" w14:textId="77777777" w:rsidR="000E1004" w:rsidRDefault="000E1004" w:rsidP="009F0A45">
      <w:pPr>
        <w:pStyle w:val="FootnoteText"/>
      </w:pPr>
      <w:r>
        <w:rPr>
          <w:rStyle w:val="FootnoteReference"/>
        </w:rPr>
        <w:footnoteRef/>
      </w:r>
      <w:r>
        <w:t xml:space="preserve"> </w:t>
      </w:r>
      <w:r w:rsidRPr="00DD1EB2">
        <w:t>Blackburn (2007</w:t>
      </w:r>
      <w:r>
        <w:t>,</w:t>
      </w:r>
      <w:r w:rsidRPr="00DD1EB2">
        <w:t xml:space="preserve"> 80-2</w:t>
      </w:r>
      <w:r>
        <w:t>)</w:t>
      </w:r>
      <w:r w:rsidRPr="00DD1EB2">
        <w:t>.</w:t>
      </w:r>
    </w:p>
  </w:footnote>
  <w:footnote w:id="776">
    <w:p w14:paraId="4CBEC765" w14:textId="4C4BC19A" w:rsidR="000E1004" w:rsidRDefault="000E1004" w:rsidP="00AA51C3">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(2003, 43, 2011 &amp; 2014, 244). See page </w:t>
      </w:r>
      <w:r>
        <w:fldChar w:fldCharType="begin"/>
      </w:r>
      <w:r>
        <w:instrText xml:space="preserve"> PAGEREF PrimaryE \h </w:instrText>
      </w:r>
      <w:r>
        <w:fldChar w:fldCharType="separate"/>
      </w:r>
      <w:r w:rsidR="0012026B">
        <w:rPr>
          <w:noProof/>
        </w:rPr>
        <w:t>68</w:t>
      </w:r>
      <w:r>
        <w:fldChar w:fldCharType="end"/>
      </w:r>
      <w:r>
        <w:t>.</w:t>
      </w:r>
    </w:p>
  </w:footnote>
  <w:footnote w:id="777">
    <w:p w14:paraId="4DF45D42" w14:textId="77777777" w:rsidR="000E1004" w:rsidRDefault="000E1004" w:rsidP="00AA51C3">
      <w:pPr>
        <w:pStyle w:val="FootnoteText"/>
      </w:pPr>
      <w:r>
        <w:rPr>
          <w:rStyle w:val="FootnoteReference"/>
        </w:rPr>
        <w:footnoteRef/>
      </w:r>
      <w:r>
        <w:t xml:space="preserve"> Metcalf (1993-4, 270).</w:t>
      </w:r>
    </w:p>
  </w:footnote>
  <w:footnote w:id="778">
    <w:p w14:paraId="32AA9893" w14:textId="77777777" w:rsidR="000E1004" w:rsidRDefault="000E1004" w:rsidP="00AA51C3">
      <w:pPr>
        <w:pStyle w:val="FootnoteText"/>
      </w:pPr>
      <w:r>
        <w:rPr>
          <w:rStyle w:val="FootnoteReference"/>
        </w:rPr>
        <w:footnoteRef/>
      </w:r>
      <w:r>
        <w:t xml:space="preserve"> </w:t>
      </w:r>
      <w:r>
        <w:rPr>
          <w:rFonts w:cs="Times New Roman"/>
          <w:color w:val="000000" w:themeColor="text1"/>
          <w:szCs w:val="24"/>
        </w:rPr>
        <w:t>Especially from Sledmere.</w:t>
      </w:r>
    </w:p>
  </w:footnote>
  <w:footnote w:id="779">
    <w:p w14:paraId="07023E38" w14:textId="114F1E15" w:rsidR="000E1004" w:rsidRPr="00B56E29" w:rsidRDefault="000E1004" w:rsidP="00B56E29">
      <w:pPr>
        <w:pStyle w:val="NoSpacing"/>
        <w:spacing w:line="276" w:lineRule="auto"/>
        <w:rPr>
          <w:szCs w:val="24"/>
        </w:rPr>
      </w:pPr>
      <w:r>
        <w:rPr>
          <w:rStyle w:val="FootnoteReference"/>
        </w:rPr>
        <w:footnoteRef/>
      </w:r>
      <w:r w:rsidRPr="00B56E29">
        <w:rPr>
          <w:sz w:val="20"/>
          <w:szCs w:val="20"/>
        </w:rPr>
        <w:t xml:space="preserve"> See </w:t>
      </w:r>
      <w:r w:rsidRPr="00B56E29">
        <w:rPr>
          <w:i/>
          <w:sz w:val="20"/>
          <w:szCs w:val="20"/>
        </w:rPr>
        <w:t xml:space="preserve">Maps </w:t>
      </w:r>
      <w:r>
        <w:rPr>
          <w:i/>
          <w:sz w:val="20"/>
          <w:szCs w:val="20"/>
        </w:rPr>
        <w:t>8.01-2</w:t>
      </w:r>
      <w:r w:rsidRPr="00B56E29">
        <w:rPr>
          <w:i/>
          <w:sz w:val="20"/>
          <w:szCs w:val="20"/>
        </w:rPr>
        <w:t xml:space="preserve"> </w:t>
      </w:r>
      <w:r w:rsidRPr="00B56E29">
        <w:rPr>
          <w:sz w:val="20"/>
          <w:szCs w:val="20"/>
        </w:rPr>
        <w:t>geology</w:t>
      </w:r>
      <w:r w:rsidRPr="00B56E29">
        <w:rPr>
          <w:i/>
          <w:sz w:val="20"/>
          <w:szCs w:val="20"/>
        </w:rPr>
        <w:t xml:space="preserve">, </w:t>
      </w:r>
      <w:r>
        <w:rPr>
          <w:i/>
          <w:sz w:val="20"/>
          <w:szCs w:val="20"/>
        </w:rPr>
        <w:t>8.03</w:t>
      </w:r>
      <w:r>
        <w:rPr>
          <w:sz w:val="20"/>
          <w:szCs w:val="20"/>
        </w:rPr>
        <w:t xml:space="preserve"> and </w:t>
      </w:r>
      <w:r>
        <w:rPr>
          <w:i/>
          <w:sz w:val="20"/>
          <w:szCs w:val="20"/>
        </w:rPr>
        <w:t>8.07</w:t>
      </w:r>
      <w:r w:rsidRPr="00B56E29">
        <w:rPr>
          <w:i/>
          <w:sz w:val="20"/>
          <w:szCs w:val="20"/>
        </w:rPr>
        <w:t xml:space="preserve"> </w:t>
      </w:r>
      <w:r w:rsidRPr="00B56E29">
        <w:rPr>
          <w:sz w:val="20"/>
          <w:szCs w:val="20"/>
        </w:rPr>
        <w:t>soil types</w:t>
      </w:r>
      <w:r w:rsidRPr="00B56E29">
        <w:rPr>
          <w:i/>
          <w:sz w:val="20"/>
          <w:szCs w:val="20"/>
        </w:rPr>
        <w:t xml:space="preserve">, </w:t>
      </w:r>
      <w:r>
        <w:rPr>
          <w:i/>
          <w:sz w:val="20"/>
          <w:szCs w:val="20"/>
        </w:rPr>
        <w:t>8.04</w:t>
      </w:r>
      <w:r w:rsidRPr="00EC3902">
        <w:rPr>
          <w:rStyle w:val="Hyperlink"/>
          <w:i/>
          <w:color w:val="000000" w:themeColor="text1"/>
          <w:sz w:val="20"/>
          <w:szCs w:val="20"/>
          <w:u w:val="none"/>
        </w:rPr>
        <w:t xml:space="preserve"> </w:t>
      </w:r>
      <w:r w:rsidRPr="00EC3902">
        <w:rPr>
          <w:rStyle w:val="Hyperlink"/>
          <w:color w:val="000000" w:themeColor="text1"/>
          <w:sz w:val="20"/>
          <w:szCs w:val="20"/>
          <w:u w:val="none"/>
        </w:rPr>
        <w:t>topography</w:t>
      </w:r>
      <w:r w:rsidRPr="00B56E29">
        <w:rPr>
          <w:i/>
          <w:sz w:val="20"/>
          <w:szCs w:val="20"/>
        </w:rPr>
        <w:t xml:space="preserve">, </w:t>
      </w:r>
      <w:r>
        <w:rPr>
          <w:i/>
          <w:sz w:val="20"/>
          <w:szCs w:val="20"/>
        </w:rPr>
        <w:t>8.05</w:t>
      </w:r>
      <w:r w:rsidRPr="00B56E29">
        <w:rPr>
          <w:i/>
          <w:sz w:val="20"/>
          <w:szCs w:val="20"/>
        </w:rPr>
        <w:t xml:space="preserve"> </w:t>
      </w:r>
      <w:r w:rsidRPr="00B56E29">
        <w:rPr>
          <w:sz w:val="20"/>
          <w:szCs w:val="20"/>
        </w:rPr>
        <w:t>rivers</w:t>
      </w:r>
      <w:r w:rsidRPr="00B56E29">
        <w:rPr>
          <w:i/>
          <w:sz w:val="20"/>
          <w:szCs w:val="20"/>
        </w:rPr>
        <w:t xml:space="preserve"> </w:t>
      </w:r>
      <w:r w:rsidRPr="00B56E29">
        <w:rPr>
          <w:sz w:val="20"/>
          <w:szCs w:val="20"/>
        </w:rPr>
        <w:t>and</w:t>
      </w:r>
      <w:r w:rsidRPr="00B56E29">
        <w:rPr>
          <w:i/>
          <w:sz w:val="20"/>
          <w:szCs w:val="20"/>
        </w:rPr>
        <w:t xml:space="preserve"> </w:t>
      </w:r>
      <w:r>
        <w:rPr>
          <w:i/>
          <w:sz w:val="20"/>
          <w:szCs w:val="20"/>
        </w:rPr>
        <w:t>8.06</w:t>
      </w:r>
      <w:r w:rsidRPr="00B56E29">
        <w:rPr>
          <w:rStyle w:val="Hyperlink"/>
          <w:color w:val="000000" w:themeColor="text1"/>
          <w:sz w:val="20"/>
          <w:szCs w:val="20"/>
          <w:u w:val="none"/>
        </w:rPr>
        <w:t xml:space="preserve"> physical</w:t>
      </w:r>
      <w:r w:rsidRPr="00B56E29">
        <w:rPr>
          <w:rStyle w:val="Hyperlink"/>
          <w:i/>
          <w:color w:val="000000" w:themeColor="text1"/>
          <w:sz w:val="20"/>
          <w:szCs w:val="20"/>
          <w:u w:val="none"/>
        </w:rPr>
        <w:t xml:space="preserve"> </w:t>
      </w:r>
      <w:r w:rsidRPr="00B56E29">
        <w:rPr>
          <w:rStyle w:val="Hyperlink"/>
          <w:color w:val="000000" w:themeColor="text1"/>
          <w:sz w:val="20"/>
          <w:szCs w:val="20"/>
          <w:u w:val="none"/>
        </w:rPr>
        <w:t>geography</w:t>
      </w:r>
      <w:r w:rsidRPr="00B56E29">
        <w:rPr>
          <w:sz w:val="20"/>
          <w:szCs w:val="20"/>
        </w:rPr>
        <w:t xml:space="preserve">. See also Loveluck (2003, 151-70). Also see </w:t>
      </w:r>
      <w:hyperlink r:id="rId28" w:history="1">
        <w:r w:rsidRPr="00B56E29">
          <w:rPr>
            <w:rStyle w:val="Hyperlink"/>
            <w:sz w:val="20"/>
            <w:szCs w:val="20"/>
          </w:rPr>
          <w:t>http://publications.naturalengland.org.uk/</w:t>
        </w:r>
      </w:hyperlink>
    </w:p>
  </w:footnote>
  <w:footnote w:id="780">
    <w:p w14:paraId="7AA0AF6C" w14:textId="77777777" w:rsidR="000E1004" w:rsidRDefault="000E1004" w:rsidP="00D37FC3">
      <w:pPr>
        <w:pStyle w:val="FootnoteText"/>
      </w:pPr>
      <w:r>
        <w:rPr>
          <w:rStyle w:val="FootnoteReference"/>
        </w:rPr>
        <w:footnoteRef/>
      </w:r>
      <w:r>
        <w:t xml:space="preserve"> Salzman, (1970, 41-2).</w:t>
      </w:r>
      <w:r w:rsidRPr="00810D19">
        <w:t xml:space="preserve"> </w:t>
      </w:r>
      <w:r>
        <w:t>Reece, (1991, 62).</w:t>
      </w:r>
    </w:p>
  </w:footnote>
  <w:footnote w:id="781">
    <w:p w14:paraId="7C1993C7" w14:textId="77777777" w:rsidR="000E1004" w:rsidRDefault="000E1004" w:rsidP="00A51AB4">
      <w:pPr>
        <w:pStyle w:val="FootnoteText"/>
      </w:pPr>
      <w:r>
        <w:rPr>
          <w:rStyle w:val="FootnoteReference"/>
        </w:rPr>
        <w:footnoteRef/>
      </w:r>
      <w:r>
        <w:t xml:space="preserve"> Gaunt &amp; Buckland, (2003, 20).</w:t>
      </w:r>
    </w:p>
  </w:footnote>
  <w:footnote w:id="782">
    <w:p w14:paraId="0930EA37" w14:textId="77777777" w:rsidR="000E1004" w:rsidRDefault="000E1004" w:rsidP="005924F1">
      <w:pPr>
        <w:pStyle w:val="FootnoteText"/>
      </w:pPr>
      <w:r>
        <w:rPr>
          <w:rStyle w:val="FootnoteReference"/>
        </w:rPr>
        <w:footnoteRef/>
      </w:r>
      <w:r>
        <w:t xml:space="preserve"> Muir (1987, chapter 1). </w:t>
      </w:r>
    </w:p>
  </w:footnote>
  <w:footnote w:id="783">
    <w:p w14:paraId="66FB1D81" w14:textId="6DDAB852" w:rsidR="000E1004" w:rsidRDefault="000E1004">
      <w:pPr>
        <w:pStyle w:val="FootnoteText"/>
      </w:pPr>
      <w:r>
        <w:rPr>
          <w:rStyle w:val="FootnoteReference"/>
        </w:rPr>
        <w:footnoteRef/>
      </w:r>
      <w:r>
        <w:t xml:space="preserve"> Hall (2003, 171). (Blair (2005, 154).</w:t>
      </w:r>
    </w:p>
  </w:footnote>
  <w:footnote w:id="784">
    <w:p w14:paraId="781D659A" w14:textId="77777777" w:rsidR="000E1004" w:rsidRDefault="000E1004" w:rsidP="00A51AB4">
      <w:pPr>
        <w:pStyle w:val="FootnoteText"/>
      </w:pPr>
      <w:r>
        <w:rPr>
          <w:rStyle w:val="FootnoteReference"/>
        </w:rPr>
        <w:footnoteRef/>
      </w:r>
      <w:r>
        <w:t xml:space="preserve"> Myers, (1986, 174).</w:t>
      </w:r>
    </w:p>
  </w:footnote>
  <w:footnote w:id="785">
    <w:p w14:paraId="2C7C841E" w14:textId="2CA65C79" w:rsidR="000E1004" w:rsidRDefault="000E1004" w:rsidP="00BE785D">
      <w:pPr>
        <w:pStyle w:val="FootnoteText"/>
      </w:pPr>
      <w:r>
        <w:rPr>
          <w:rStyle w:val="FootnoteReference"/>
        </w:rPr>
        <w:footnoteRef/>
      </w:r>
      <w:r>
        <w:t xml:space="preserve"> Richards and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(2011, 138-9 &amp; 141-2).</w:t>
      </w:r>
      <w:r w:rsidRPr="00BE785D">
        <w:t xml:space="preserve"> </w:t>
      </w:r>
      <w:r>
        <w:t xml:space="preserve">See </w:t>
      </w:r>
      <w:r>
        <w:rPr>
          <w:i/>
        </w:rPr>
        <w:t>fn.</w:t>
      </w:r>
      <w:r>
        <w:t xml:space="preserve"> </w:t>
      </w:r>
      <w:r>
        <w:fldChar w:fldCharType="begin"/>
      </w:r>
      <w:r>
        <w:instrText xml:space="preserve"> NOTEREF _Ref436733174 \h </w:instrText>
      </w:r>
      <w:r>
        <w:fldChar w:fldCharType="separate"/>
      </w:r>
      <w:r w:rsidR="0012026B">
        <w:t>714</w:t>
      </w:r>
      <w:r>
        <w:fldChar w:fldCharType="end"/>
      </w:r>
      <w:r>
        <w:t>.</w:t>
      </w:r>
    </w:p>
  </w:footnote>
  <w:footnote w:id="786">
    <w:p w14:paraId="22A21456" w14:textId="5D97299D" w:rsidR="000E1004" w:rsidRDefault="000E1004">
      <w:pPr>
        <w:pStyle w:val="FootnoteText"/>
      </w:pPr>
      <w:r>
        <w:rPr>
          <w:rStyle w:val="FootnoteReference"/>
        </w:rPr>
        <w:footnoteRef/>
      </w:r>
      <w:r>
        <w:t xml:space="preserve"> Wrathmell (2003, 363) argued that the Wolds and Holderness have more in common with similar landscapes in Lincolnshire and elsewhere than with each other.</w:t>
      </w:r>
    </w:p>
  </w:footnote>
  <w:footnote w:id="787">
    <w:p w14:paraId="3BEE62E0" w14:textId="4C8B7ACC" w:rsidR="000E1004" w:rsidRDefault="000E1004" w:rsidP="00BD53D4">
      <w:pPr>
        <w:pStyle w:val="FootnoteText"/>
      </w:pPr>
      <w:r>
        <w:rPr>
          <w:rStyle w:val="FootnoteReference"/>
        </w:rPr>
        <w:footnoteRef/>
      </w:r>
      <w:r>
        <w:t xml:space="preserve"> </w:t>
      </w:r>
      <w:bookmarkStart w:id="514" w:name="Alcuinpoem"/>
      <w:r>
        <w:t>Poem</w:t>
      </w:r>
      <w:r w:rsidRPr="005E1217">
        <w:t xml:space="preserve"> translated by Mary Garrison</w:t>
      </w:r>
      <w:r>
        <w:t>, June 2015. Also see Hill &amp; Cowie (2001, 113).</w:t>
      </w:r>
      <w:bookmarkEnd w:id="514"/>
    </w:p>
  </w:footnote>
  <w:footnote w:id="788">
    <w:p w14:paraId="098D24E0" w14:textId="77777777" w:rsidR="000E1004" w:rsidRDefault="000E1004" w:rsidP="00D70F09">
      <w:pPr>
        <w:pStyle w:val="FootnoteText"/>
      </w:pPr>
      <w:r>
        <w:rPr>
          <w:rStyle w:val="FootnoteReference"/>
        </w:rPr>
        <w:footnoteRef/>
      </w:r>
      <w:r>
        <w:t xml:space="preserve"> Hall (1988, 125).</w:t>
      </w:r>
    </w:p>
  </w:footnote>
  <w:footnote w:id="789">
    <w:p w14:paraId="0195EBD5" w14:textId="1A0C7AE3" w:rsidR="000E1004" w:rsidRDefault="000E1004">
      <w:pPr>
        <w:pStyle w:val="FootnoteText"/>
      </w:pPr>
      <w:r>
        <w:rPr>
          <w:rStyle w:val="FootnoteReference"/>
        </w:rPr>
        <w:footnoteRef/>
      </w:r>
      <w:r>
        <w:t xml:space="preserve"> Heywood (1995, 7).</w:t>
      </w:r>
    </w:p>
  </w:footnote>
  <w:footnote w:id="790">
    <w:p w14:paraId="0972AE60" w14:textId="79FF14DD" w:rsidR="000E1004" w:rsidRDefault="000E1004" w:rsidP="00BD53D4">
      <w:pPr>
        <w:pStyle w:val="FootnoteText"/>
      </w:pPr>
      <w:r>
        <w:rPr>
          <w:rStyle w:val="FootnoteReference"/>
        </w:rPr>
        <w:footnoteRef/>
      </w:r>
      <w:r>
        <w:t xml:space="preserve"> </w:t>
      </w:r>
      <w:r w:rsidRPr="00132FF3">
        <w:t>Nut</w:t>
      </w:r>
      <w:r>
        <w:t>tgen</w:t>
      </w:r>
      <w:r w:rsidRPr="00132FF3">
        <w:t>s</w:t>
      </w:r>
      <w:r>
        <w:t xml:space="preserve"> (1976, 17).</w:t>
      </w:r>
    </w:p>
  </w:footnote>
  <w:footnote w:id="791">
    <w:p w14:paraId="0F98592B" w14:textId="763673CD" w:rsidR="000E1004" w:rsidRDefault="000E1004" w:rsidP="00BD53D4">
      <w:pPr>
        <w:pStyle w:val="FootnoteText"/>
      </w:pPr>
      <w:r>
        <w:rPr>
          <w:rStyle w:val="FootnoteReference"/>
        </w:rPr>
        <w:footnoteRef/>
      </w:r>
      <w:r>
        <w:t xml:space="preserve"> Hall (1988, 125-6) and (1996, 32-4). Muir (1987, 79). </w:t>
      </w:r>
      <w:r w:rsidRPr="000B7306">
        <w:t xml:space="preserve">James </w:t>
      </w:r>
      <w:r>
        <w:t>(</w:t>
      </w:r>
      <w:r w:rsidRPr="000B7306">
        <w:t xml:space="preserve">1995, 9 </w:t>
      </w:r>
      <w:r>
        <w:rPr>
          <w:i/>
        </w:rPr>
        <w:t>fn.</w:t>
      </w:r>
      <w:r>
        <w:t xml:space="preserve"> 104, in Carver)</w:t>
      </w:r>
    </w:p>
  </w:footnote>
  <w:footnote w:id="792">
    <w:p w14:paraId="62A17440" w14:textId="549DEE5A" w:rsidR="000E1004" w:rsidRDefault="000E1004" w:rsidP="00BD53D4">
      <w:pPr>
        <w:pStyle w:val="FootnoteText"/>
      </w:pPr>
      <w:r>
        <w:rPr>
          <w:rStyle w:val="FootnoteReference"/>
        </w:rPr>
        <w:footnoteRef/>
      </w:r>
      <w:r>
        <w:t xml:space="preserve"> James (1995, 9).</w:t>
      </w:r>
    </w:p>
  </w:footnote>
  <w:footnote w:id="793">
    <w:p w14:paraId="66F5ACD7" w14:textId="1141C56B" w:rsidR="000E1004" w:rsidRDefault="000E1004" w:rsidP="00BD53D4">
      <w:pPr>
        <w:pStyle w:val="FootnoteText"/>
      </w:pPr>
      <w:r>
        <w:rPr>
          <w:rStyle w:val="FootnoteReference"/>
        </w:rPr>
        <w:footnoteRef/>
      </w:r>
      <w:r>
        <w:t xml:space="preserve"> </w:t>
      </w:r>
      <w:r w:rsidRPr="008A6965">
        <w:rPr>
          <w:i/>
        </w:rPr>
        <w:t>Ibid</w:t>
      </w:r>
      <w:r>
        <w:t>, and see footnote on Alcuin</w:t>
      </w:r>
      <w:r>
        <w:fldChar w:fldCharType="begin"/>
      </w:r>
      <w:r>
        <w:instrText xml:space="preserve"> XE "</w:instrText>
      </w:r>
      <w:r w:rsidRPr="007D3069">
        <w:rPr>
          <w:rFonts w:cs="Times New Roman"/>
          <w:szCs w:val="24"/>
        </w:rPr>
        <w:instrText>Alcuin</w:instrText>
      </w:r>
      <w:r>
        <w:instrText xml:space="preserve">" </w:instrText>
      </w:r>
      <w:r>
        <w:fldChar w:fldCharType="end"/>
      </w:r>
      <w:r>
        <w:t xml:space="preserve"> (</w:t>
      </w:r>
      <w:r>
        <w:rPr>
          <w:i/>
        </w:rPr>
        <w:t>fn.</w:t>
      </w:r>
      <w:r>
        <w:t xml:space="preserve"> </w:t>
      </w:r>
      <w:r>
        <w:fldChar w:fldCharType="begin"/>
      </w:r>
      <w:r>
        <w:instrText xml:space="preserve"> NOTEREF _Ref428515500 \h </w:instrText>
      </w:r>
      <w:r>
        <w:fldChar w:fldCharType="separate"/>
      </w:r>
      <w:r w:rsidR="0012026B">
        <w:t>810</w:t>
      </w:r>
      <w:r>
        <w:fldChar w:fldCharType="end"/>
      </w:r>
      <w:r>
        <w:t>).</w:t>
      </w:r>
    </w:p>
  </w:footnote>
  <w:footnote w:id="794">
    <w:p w14:paraId="79F49C07" w14:textId="77777777" w:rsidR="000E1004" w:rsidRDefault="000E1004" w:rsidP="00BD53D4">
      <w:pPr>
        <w:pStyle w:val="FootnoteText"/>
      </w:pPr>
      <w:r>
        <w:rPr>
          <w:rStyle w:val="FootnoteReference"/>
        </w:rPr>
        <w:footnoteRef/>
      </w:r>
      <w:r>
        <w:t xml:space="preserve"> O’Conner (1994, 136).</w:t>
      </w:r>
    </w:p>
  </w:footnote>
  <w:footnote w:id="795">
    <w:p w14:paraId="3812B646" w14:textId="77777777" w:rsidR="000E1004" w:rsidRDefault="000E1004" w:rsidP="00BD53D4">
      <w:pPr>
        <w:pStyle w:val="FootnoteText"/>
      </w:pPr>
      <w:r>
        <w:rPr>
          <w:rStyle w:val="FootnoteReference"/>
        </w:rPr>
        <w:footnoteRef/>
      </w:r>
      <w:r>
        <w:t xml:space="preserve"> </w:t>
      </w:r>
      <w:r w:rsidRPr="00D91776">
        <w:rPr>
          <w:rFonts w:cs="Times New Roman"/>
        </w:rPr>
        <w:t xml:space="preserve">Tweddle </w:t>
      </w:r>
      <w:r w:rsidRPr="00D91776">
        <w:rPr>
          <w:rFonts w:cs="Times New Roman"/>
          <w:i/>
        </w:rPr>
        <w:t>et al.</w:t>
      </w:r>
      <w:r>
        <w:rPr>
          <w:rFonts w:cs="Times New Roman"/>
        </w:rPr>
        <w:t xml:space="preserve"> (1999, </w:t>
      </w:r>
      <w:r w:rsidRPr="00D91776">
        <w:rPr>
          <w:rFonts w:cs="Times New Roman"/>
        </w:rPr>
        <w:t>211–12</w:t>
      </w:r>
      <w:r>
        <w:rPr>
          <w:rFonts w:cs="Times New Roman"/>
        </w:rPr>
        <w:t>).</w:t>
      </w:r>
    </w:p>
  </w:footnote>
  <w:footnote w:id="796">
    <w:p w14:paraId="40E76D7A" w14:textId="77777777" w:rsidR="000E1004" w:rsidRDefault="000E1004" w:rsidP="00BD53D4">
      <w:pPr>
        <w:pStyle w:val="FootnoteText"/>
      </w:pPr>
      <w:r>
        <w:rPr>
          <w:rStyle w:val="FootnoteReference"/>
        </w:rPr>
        <w:footnoteRef/>
      </w:r>
      <w:r>
        <w:t xml:space="preserve"> Mainman &amp; Hall (forthcoming).</w:t>
      </w:r>
    </w:p>
  </w:footnote>
  <w:footnote w:id="797">
    <w:p w14:paraId="4C77FE08" w14:textId="77777777" w:rsidR="000E1004" w:rsidRDefault="000E1004" w:rsidP="00827469">
      <w:pPr>
        <w:pStyle w:val="FootnoteText"/>
      </w:pPr>
      <w:r>
        <w:rPr>
          <w:rStyle w:val="FootnoteReference"/>
        </w:rPr>
        <w:footnoteRef/>
      </w:r>
      <w:r>
        <w:t xml:space="preserve"> Woodman (2012, 25-67).</w:t>
      </w:r>
    </w:p>
  </w:footnote>
  <w:footnote w:id="798">
    <w:p w14:paraId="32596554" w14:textId="4D4DCF1A" w:rsidR="000E1004" w:rsidRPr="00FD40AC" w:rsidRDefault="000E1004" w:rsidP="00827469">
      <w:pPr>
        <w:pStyle w:val="FootnoteText"/>
      </w:pPr>
      <w:r>
        <w:rPr>
          <w:rStyle w:val="FootnoteReference"/>
        </w:rPr>
        <w:footnoteRef/>
      </w:r>
      <w:r>
        <w:t xml:space="preserve"> </w:t>
      </w:r>
      <w:r>
        <w:rPr>
          <w:i/>
        </w:rPr>
        <w:t>Fn.</w:t>
      </w:r>
      <w:r>
        <w:t xml:space="preserve"> </w:t>
      </w:r>
      <w:r>
        <w:fldChar w:fldCharType="begin"/>
      </w:r>
      <w:r>
        <w:instrText xml:space="preserve"> NOTEREF _Ref467662048 \h </w:instrText>
      </w:r>
      <w:r>
        <w:fldChar w:fldCharType="separate"/>
      </w:r>
      <w:r w:rsidR="0012026B">
        <w:t>787</w:t>
      </w:r>
      <w:r>
        <w:fldChar w:fldCharType="end"/>
      </w:r>
      <w:r>
        <w:t>.</w:t>
      </w:r>
    </w:p>
  </w:footnote>
  <w:footnote w:id="799">
    <w:p w14:paraId="095FB731" w14:textId="141BA8DF" w:rsidR="000E1004" w:rsidRDefault="000E1004" w:rsidP="00BD53D4">
      <w:pPr>
        <w:pStyle w:val="FootnoteText"/>
      </w:pPr>
      <w:r>
        <w:rPr>
          <w:rStyle w:val="FootnoteReference"/>
        </w:rPr>
        <w:footnoteRef/>
      </w:r>
      <w:r>
        <w:t xml:space="preserve"> Carver (1995, 189).</w:t>
      </w:r>
    </w:p>
  </w:footnote>
  <w:footnote w:id="800">
    <w:p w14:paraId="38038C6C" w14:textId="77777777" w:rsidR="000E1004" w:rsidRDefault="000E1004" w:rsidP="00BD53D4">
      <w:pPr>
        <w:pStyle w:val="FootnoteText"/>
      </w:pPr>
      <w:r>
        <w:rPr>
          <w:rStyle w:val="FootnoteReference"/>
        </w:rPr>
        <w:footnoteRef/>
      </w:r>
      <w:r>
        <w:t xml:space="preserve"> O’Connor (1994, 137). Mainman &amp; Hall (forthcoming).</w:t>
      </w:r>
    </w:p>
  </w:footnote>
  <w:footnote w:id="801">
    <w:p w14:paraId="7B2ED8DB" w14:textId="77777777" w:rsidR="000E1004" w:rsidRDefault="000E1004" w:rsidP="00BD53D4">
      <w:pPr>
        <w:pStyle w:val="FootnoteText"/>
      </w:pPr>
      <w:r>
        <w:rPr>
          <w:rStyle w:val="FootnoteReference"/>
        </w:rPr>
        <w:footnoteRef/>
      </w:r>
      <w:r>
        <w:t xml:space="preserve"> A </w:t>
      </w:r>
      <w:r w:rsidRPr="00847830">
        <w:rPr>
          <w:i/>
          <w:szCs w:val="24"/>
        </w:rPr>
        <w:t>contubernium</w:t>
      </w:r>
      <w:r>
        <w:rPr>
          <w:szCs w:val="24"/>
        </w:rPr>
        <w:t xml:space="preserve"> is a </w:t>
      </w:r>
      <w:r w:rsidRPr="00847830">
        <w:t>squad</w:t>
      </w:r>
      <w:r>
        <w:t xml:space="preserve"> of eight legionaries, the smallest military unit.</w:t>
      </w:r>
    </w:p>
  </w:footnote>
  <w:footnote w:id="802">
    <w:p w14:paraId="4F4250A7" w14:textId="3510A75C" w:rsidR="000E1004" w:rsidRDefault="000E1004" w:rsidP="00BD53D4">
      <w:pPr>
        <w:pStyle w:val="FootnoteText"/>
      </w:pPr>
      <w:r>
        <w:rPr>
          <w:rStyle w:val="FootnoteReference"/>
        </w:rPr>
        <w:footnoteRef/>
      </w:r>
      <w:r>
        <w:t xml:space="preserve"> Carver (1995, 190).</w:t>
      </w:r>
    </w:p>
  </w:footnote>
  <w:footnote w:id="803">
    <w:p w14:paraId="7A235BCA" w14:textId="773A27AA" w:rsidR="000E1004" w:rsidRDefault="000E1004" w:rsidP="00BD53D4">
      <w:pPr>
        <w:pStyle w:val="FootnoteText"/>
      </w:pPr>
      <w:r>
        <w:rPr>
          <w:rStyle w:val="FootnoteReference"/>
        </w:rPr>
        <w:footnoteRef/>
      </w:r>
      <w:r>
        <w:t xml:space="preserve"> Carver (1995, 191).</w:t>
      </w:r>
    </w:p>
  </w:footnote>
  <w:footnote w:id="804">
    <w:p w14:paraId="398540F4" w14:textId="4F1A2B34" w:rsidR="000E1004" w:rsidRDefault="000E1004" w:rsidP="00BD53D4">
      <w:pPr>
        <w:pStyle w:val="FootnoteText"/>
      </w:pPr>
      <w:r>
        <w:rPr>
          <w:rStyle w:val="FootnoteReference"/>
        </w:rPr>
        <w:footnoteRef/>
      </w:r>
      <w:r>
        <w:t xml:space="preserve"> Carver (1995, 190).</w:t>
      </w:r>
    </w:p>
  </w:footnote>
  <w:footnote w:id="805">
    <w:p w14:paraId="4819B21F" w14:textId="1EE9271F" w:rsidR="000E1004" w:rsidRDefault="000E1004" w:rsidP="00BD53D4">
      <w:pPr>
        <w:pStyle w:val="FootnoteText"/>
      </w:pPr>
      <w:r>
        <w:rPr>
          <w:rStyle w:val="FootnoteReference"/>
        </w:rPr>
        <w:footnoteRef/>
      </w:r>
      <w:r>
        <w:t xml:space="preserve"> Carver (1995, ch. 5, 12/6).</w:t>
      </w:r>
    </w:p>
  </w:footnote>
  <w:footnote w:id="806">
    <w:p w14:paraId="2FA25407" w14:textId="77777777" w:rsidR="000E1004" w:rsidRDefault="000E1004" w:rsidP="00256D6A">
      <w:pPr>
        <w:pStyle w:val="FootnoteText"/>
      </w:pPr>
      <w:r>
        <w:rPr>
          <w:rStyle w:val="FootnoteReference"/>
        </w:rPr>
        <w:footnoteRef/>
      </w:r>
      <w:r>
        <w:t xml:space="preserve"> Rackham (1995, chapter 6.9, 554).</w:t>
      </w:r>
    </w:p>
  </w:footnote>
  <w:footnote w:id="807">
    <w:p w14:paraId="017E6451" w14:textId="77777777" w:rsidR="000E1004" w:rsidRDefault="000E1004" w:rsidP="00256D6A">
      <w:pPr>
        <w:pStyle w:val="FootnoteText"/>
      </w:pPr>
      <w:r>
        <w:rPr>
          <w:rStyle w:val="FootnoteReference"/>
        </w:rPr>
        <w:footnoteRef/>
      </w:r>
      <w:r>
        <w:t xml:space="preserve"> </w:t>
      </w:r>
      <w:r w:rsidRPr="009E5665">
        <w:rPr>
          <w:i/>
        </w:rPr>
        <w:t>Ibid</w:t>
      </w:r>
      <w:r>
        <w:t>.</w:t>
      </w:r>
    </w:p>
  </w:footnote>
  <w:footnote w:id="808">
    <w:p w14:paraId="68DB2DBF" w14:textId="77777777" w:rsidR="000E1004" w:rsidRDefault="000E1004" w:rsidP="00256D6A">
      <w:pPr>
        <w:pStyle w:val="FootnoteText"/>
      </w:pPr>
      <w:r>
        <w:rPr>
          <w:rStyle w:val="FootnoteReference"/>
        </w:rPr>
        <w:footnoteRef/>
      </w:r>
      <w:r>
        <w:t xml:space="preserve"> O’Conner (1994, 139).</w:t>
      </w:r>
    </w:p>
  </w:footnote>
  <w:footnote w:id="809">
    <w:p w14:paraId="0C7F30CD" w14:textId="2A021285" w:rsidR="000E1004" w:rsidRPr="00AC016D" w:rsidRDefault="000E1004" w:rsidP="00445D6E">
      <w:pPr>
        <w:pStyle w:val="FootnoteText"/>
        <w:rPr>
          <w:rFonts w:cs="Times New Roman"/>
        </w:rPr>
      </w:pPr>
      <w:r w:rsidRPr="00AC016D">
        <w:rPr>
          <w:rStyle w:val="FootnoteReference"/>
          <w:rFonts w:cs="Times New Roman"/>
        </w:rPr>
        <w:footnoteRef/>
      </w:r>
      <w:r>
        <w:rPr>
          <w:rFonts w:cs="Times New Roman"/>
        </w:rPr>
        <w:t xml:space="preserve"> </w:t>
      </w:r>
      <w:r w:rsidRPr="00796041">
        <w:rPr>
          <w:rFonts w:cs="Times New Roman"/>
          <w:i/>
        </w:rPr>
        <w:t>Bede (EH, II</w:t>
      </w:r>
      <w:r w:rsidRPr="0085775B">
        <w:rPr>
          <w:rFonts w:cs="Times New Roman"/>
        </w:rPr>
        <w:t>.14).</w:t>
      </w:r>
      <w:r>
        <w:rPr>
          <w:rFonts w:cs="Times New Roman"/>
          <w:sz w:val="16"/>
          <w:szCs w:val="16"/>
        </w:rPr>
        <w:t xml:space="preserve"> </w:t>
      </w:r>
      <w:r>
        <w:rPr>
          <w:rFonts w:cs="Times New Roman"/>
        </w:rPr>
        <w:t>Heywood (1995,</w:t>
      </w:r>
      <w:r w:rsidRPr="00AC016D">
        <w:rPr>
          <w:rFonts w:cs="Times New Roman"/>
        </w:rPr>
        <w:t xml:space="preserve"> Fig. 2 4</w:t>
      </w:r>
      <w:r>
        <w:rPr>
          <w:rFonts w:cs="Times New Roman"/>
        </w:rPr>
        <w:t>)</w:t>
      </w:r>
      <w:r w:rsidRPr="00AC016D">
        <w:rPr>
          <w:rFonts w:cs="Times New Roman"/>
        </w:rPr>
        <w:t>.</w:t>
      </w:r>
      <w:r>
        <w:rPr>
          <w:rFonts w:cs="Times New Roman"/>
        </w:rPr>
        <w:t xml:space="preserve"> Woodman (2012, 26). Plausibly </w:t>
      </w:r>
      <w:r>
        <w:rPr>
          <w:szCs w:val="24"/>
        </w:rPr>
        <w:t xml:space="preserve">over the Legionary Fortress, the </w:t>
      </w:r>
      <w:r w:rsidRPr="0090615A">
        <w:rPr>
          <w:i/>
          <w:szCs w:val="24"/>
        </w:rPr>
        <w:t>principia</w:t>
      </w:r>
      <w:r>
        <w:rPr>
          <w:szCs w:val="24"/>
        </w:rPr>
        <w:t>, but unproven.</w:t>
      </w:r>
    </w:p>
  </w:footnote>
  <w:footnote w:id="810">
    <w:p w14:paraId="067FCE64" w14:textId="77777777" w:rsidR="000E1004" w:rsidRPr="00AC016D" w:rsidRDefault="000E1004" w:rsidP="00445D6E">
      <w:pPr>
        <w:autoSpaceDE w:val="0"/>
        <w:autoSpaceDN w:val="0"/>
        <w:adjustRightInd w:val="0"/>
        <w:spacing w:after="0"/>
        <w:rPr>
          <w:rFonts w:cs="Times New Roman"/>
          <w:sz w:val="20"/>
          <w:szCs w:val="20"/>
        </w:rPr>
      </w:pPr>
      <w:r w:rsidRPr="00AC016D">
        <w:rPr>
          <w:rStyle w:val="FootnoteReference"/>
          <w:rFonts w:cs="Times New Roman"/>
          <w:sz w:val="20"/>
          <w:szCs w:val="20"/>
        </w:rPr>
        <w:footnoteRef/>
      </w:r>
      <w:r w:rsidRPr="00AC016D">
        <w:rPr>
          <w:rFonts w:cs="Times New Roman"/>
          <w:sz w:val="20"/>
          <w:szCs w:val="20"/>
        </w:rPr>
        <w:t xml:space="preserve"> Hall (1988</w:t>
      </w:r>
      <w:r>
        <w:rPr>
          <w:rFonts w:cs="Times New Roman"/>
          <w:sz w:val="20"/>
          <w:szCs w:val="20"/>
        </w:rPr>
        <w:t>,</w:t>
      </w:r>
      <w:r w:rsidRPr="00AC016D">
        <w:rPr>
          <w:rFonts w:cs="Times New Roman"/>
          <w:sz w:val="20"/>
          <w:szCs w:val="20"/>
        </w:rPr>
        <w:t xml:space="preserve"> 126</w:t>
      </w:r>
      <w:r>
        <w:rPr>
          <w:rFonts w:cs="Times New Roman"/>
          <w:sz w:val="20"/>
          <w:szCs w:val="20"/>
        </w:rPr>
        <w:t xml:space="preserve">). </w:t>
      </w:r>
      <w:r w:rsidRPr="00AC016D">
        <w:rPr>
          <w:rFonts w:cs="Times New Roman"/>
          <w:sz w:val="20"/>
          <w:szCs w:val="20"/>
        </w:rPr>
        <w:t>James</w:t>
      </w:r>
      <w:r>
        <w:rPr>
          <w:rFonts w:cs="Times New Roman"/>
          <w:sz w:val="20"/>
          <w:szCs w:val="20"/>
        </w:rPr>
        <w:t xml:space="preserve"> (1995, 10)</w:t>
      </w:r>
      <w:r w:rsidRPr="00AC016D">
        <w:rPr>
          <w:rFonts w:cs="Times New Roman"/>
          <w:sz w:val="20"/>
          <w:szCs w:val="20"/>
        </w:rPr>
        <w:t>. Alcuin</w:t>
      </w:r>
      <w:r>
        <w:rPr>
          <w:rFonts w:cs="Times New Roman"/>
          <w:sz w:val="20"/>
          <w:szCs w:val="20"/>
        </w:rPr>
        <w:fldChar w:fldCharType="begin"/>
      </w:r>
      <w:r>
        <w:instrText xml:space="preserve"> XE "</w:instrText>
      </w:r>
      <w:r w:rsidRPr="007D3069">
        <w:rPr>
          <w:rFonts w:cs="Times New Roman"/>
          <w:szCs w:val="24"/>
        </w:rPr>
        <w:instrText>Alcuin</w:instrText>
      </w:r>
      <w:r>
        <w:instrText xml:space="preserve">" </w:instrText>
      </w:r>
      <w:r>
        <w:rPr>
          <w:rFonts w:cs="Times New Roman"/>
          <w:sz w:val="20"/>
          <w:szCs w:val="20"/>
        </w:rPr>
        <w:fldChar w:fldCharType="end"/>
      </w:r>
      <w:r w:rsidRPr="00AC016D">
        <w:rPr>
          <w:rFonts w:cs="Times New Roman"/>
          <w:sz w:val="20"/>
          <w:szCs w:val="20"/>
        </w:rPr>
        <w:t>, in his poem ‘On the Bishops, Kings and Saints of York</w:t>
      </w:r>
      <w:r>
        <w:rPr>
          <w:rFonts w:cs="Times New Roman"/>
          <w:sz w:val="20"/>
          <w:szCs w:val="20"/>
        </w:rPr>
        <w:fldChar w:fldCharType="begin"/>
      </w:r>
      <w:r>
        <w:instrText xml:space="preserve"> XE "</w:instrText>
      </w:r>
      <w:r w:rsidRPr="00F1328A">
        <w:rPr>
          <w:rStyle w:val="Hyperlink"/>
          <w:noProof/>
        </w:rPr>
        <w:instrText>York</w:instrText>
      </w:r>
      <w:r>
        <w:instrText xml:space="preserve">" </w:instrText>
      </w:r>
      <w:r>
        <w:rPr>
          <w:rFonts w:cs="Times New Roman"/>
          <w:sz w:val="20"/>
          <w:szCs w:val="20"/>
        </w:rPr>
        <w:fldChar w:fldCharType="end"/>
      </w:r>
      <w:r>
        <w:rPr>
          <w:rFonts w:cs="Times New Roman"/>
          <w:sz w:val="20"/>
          <w:szCs w:val="20"/>
        </w:rPr>
        <w:t>’ referred</w:t>
      </w:r>
      <w:r w:rsidRPr="00AC016D">
        <w:rPr>
          <w:rFonts w:cs="Times New Roman"/>
          <w:sz w:val="20"/>
          <w:szCs w:val="20"/>
        </w:rPr>
        <w:t xml:space="preserve"> to</w:t>
      </w:r>
      <w:r>
        <w:rPr>
          <w:rFonts w:cs="Times New Roman"/>
          <w:sz w:val="20"/>
          <w:szCs w:val="20"/>
        </w:rPr>
        <w:t xml:space="preserve"> </w:t>
      </w:r>
      <w:r w:rsidRPr="00AC016D">
        <w:rPr>
          <w:rFonts w:eastAsia="BookAntiqua,Italic" w:cs="Times New Roman"/>
          <w:i/>
          <w:iCs/>
          <w:sz w:val="20"/>
          <w:szCs w:val="20"/>
        </w:rPr>
        <w:t>solidis suffulta columnis</w:t>
      </w:r>
      <w:r>
        <w:rPr>
          <w:rFonts w:eastAsia="BookAntiqua,Italic" w:cs="Times New Roman"/>
          <w:iCs/>
          <w:sz w:val="20"/>
          <w:szCs w:val="20"/>
        </w:rPr>
        <w:t>,</w:t>
      </w:r>
      <w:r w:rsidRPr="00AC016D">
        <w:rPr>
          <w:rFonts w:eastAsia="BookAntiqua,Italic" w:cs="Times New Roman"/>
          <w:i/>
          <w:iCs/>
          <w:sz w:val="20"/>
          <w:szCs w:val="20"/>
        </w:rPr>
        <w:t xml:space="preserve"> </w:t>
      </w:r>
      <w:r w:rsidRPr="00AC016D">
        <w:rPr>
          <w:rFonts w:cs="Times New Roman"/>
          <w:sz w:val="20"/>
          <w:szCs w:val="20"/>
        </w:rPr>
        <w:t>‘strong columns’</w:t>
      </w:r>
      <w:r>
        <w:rPr>
          <w:rFonts w:cs="Times New Roman"/>
          <w:sz w:val="20"/>
          <w:szCs w:val="20"/>
        </w:rPr>
        <w:t>,</w:t>
      </w:r>
      <w:r w:rsidRPr="00AC016D">
        <w:rPr>
          <w:rFonts w:eastAsia="BookAntiqua" w:cs="Times New Roman"/>
          <w:sz w:val="20"/>
          <w:szCs w:val="20"/>
        </w:rPr>
        <w:t xml:space="preserve"> (line </w:t>
      </w:r>
      <w:r>
        <w:rPr>
          <w:rFonts w:eastAsia="BookAntiqua" w:cs="Times New Roman"/>
          <w:sz w:val="20"/>
          <w:szCs w:val="20"/>
        </w:rPr>
        <w:t>220, 1509 [Willis, 1848], quoted from Morris (1986, 80))</w:t>
      </w:r>
      <w:r w:rsidRPr="00AC016D">
        <w:rPr>
          <w:rFonts w:cs="Times New Roman"/>
          <w:sz w:val="20"/>
          <w:szCs w:val="20"/>
        </w:rPr>
        <w:t>, presumably Roman</w:t>
      </w:r>
      <w:r>
        <w:rPr>
          <w:rFonts w:cs="Times New Roman"/>
          <w:sz w:val="20"/>
          <w:szCs w:val="20"/>
        </w:rPr>
        <w:fldChar w:fldCharType="begin"/>
      </w:r>
      <w:r>
        <w:instrText xml:space="preserve"> XE "</w:instrText>
      </w:r>
      <w:r w:rsidRPr="007645AE">
        <w:instrText>Roman</w:instrText>
      </w:r>
      <w:r>
        <w:instrText xml:space="preserve">" </w:instrText>
      </w:r>
      <w:r>
        <w:rPr>
          <w:rFonts w:cs="Times New Roman"/>
          <w:sz w:val="20"/>
          <w:szCs w:val="20"/>
        </w:rPr>
        <w:fldChar w:fldCharType="end"/>
      </w:r>
      <w:r w:rsidRPr="00AC016D">
        <w:rPr>
          <w:rFonts w:cs="Times New Roman"/>
          <w:sz w:val="20"/>
          <w:szCs w:val="20"/>
        </w:rPr>
        <w:t>, supporting Edwin</w:t>
      </w:r>
      <w:r>
        <w:rPr>
          <w:rFonts w:cs="Times New Roman"/>
          <w:sz w:val="20"/>
          <w:szCs w:val="20"/>
        </w:rPr>
        <w:fldChar w:fldCharType="begin"/>
      </w:r>
      <w:r>
        <w:instrText xml:space="preserve"> XE "</w:instrText>
      </w:r>
      <w:r w:rsidRPr="007D3069">
        <w:rPr>
          <w:rFonts w:cs="Times New Roman"/>
          <w:color w:val="000000" w:themeColor="text1"/>
          <w:szCs w:val="24"/>
        </w:rPr>
        <w:instrText>Edwin</w:instrText>
      </w:r>
      <w:r>
        <w:instrText xml:space="preserve">" </w:instrText>
      </w:r>
      <w:r>
        <w:rPr>
          <w:rFonts w:cs="Times New Roman"/>
          <w:sz w:val="20"/>
          <w:szCs w:val="20"/>
        </w:rPr>
        <w:fldChar w:fldCharType="end"/>
      </w:r>
      <w:r w:rsidRPr="00AC016D">
        <w:rPr>
          <w:rFonts w:cs="Times New Roman"/>
          <w:sz w:val="20"/>
          <w:szCs w:val="20"/>
        </w:rPr>
        <w:t>’s church</w:t>
      </w:r>
      <w:r>
        <w:rPr>
          <w:rFonts w:cs="Times New Roman"/>
          <w:sz w:val="20"/>
          <w:szCs w:val="20"/>
        </w:rPr>
        <w:fldChar w:fldCharType="begin"/>
      </w:r>
      <w:r>
        <w:instrText xml:space="preserve"> XE "</w:instrText>
      </w:r>
      <w:r w:rsidRPr="007D3069">
        <w:rPr>
          <w:rFonts w:cs="Times New Roman"/>
          <w:szCs w:val="24"/>
        </w:rPr>
        <w:instrText>church</w:instrText>
      </w:r>
      <w:r>
        <w:instrText xml:space="preserve">" </w:instrText>
      </w:r>
      <w:r>
        <w:rPr>
          <w:rFonts w:cs="Times New Roman"/>
          <w:sz w:val="20"/>
          <w:szCs w:val="20"/>
        </w:rPr>
        <w:fldChar w:fldCharType="end"/>
      </w:r>
      <w:r w:rsidRPr="00AC016D">
        <w:rPr>
          <w:rFonts w:cs="Times New Roman"/>
          <w:sz w:val="20"/>
          <w:szCs w:val="20"/>
        </w:rPr>
        <w:t xml:space="preserve">, though this may not necessarily imply continuity. </w:t>
      </w:r>
    </w:p>
  </w:footnote>
  <w:footnote w:id="811">
    <w:p w14:paraId="701D825B" w14:textId="77777777" w:rsidR="000E1004" w:rsidRPr="00AC016D" w:rsidRDefault="000E1004" w:rsidP="00445D6E">
      <w:pPr>
        <w:pStyle w:val="FootnoteText"/>
        <w:rPr>
          <w:rFonts w:cs="Times New Roman"/>
        </w:rPr>
      </w:pPr>
      <w:r w:rsidRPr="00AC016D">
        <w:rPr>
          <w:rStyle w:val="FootnoteReference"/>
          <w:rFonts w:cs="Times New Roman"/>
        </w:rPr>
        <w:footnoteRef/>
      </w:r>
      <w:r w:rsidRPr="00AC016D">
        <w:rPr>
          <w:rFonts w:cs="Times New Roman"/>
        </w:rPr>
        <w:t xml:space="preserve"> James </w:t>
      </w:r>
      <w:r>
        <w:rPr>
          <w:rFonts w:cs="Times New Roman"/>
        </w:rPr>
        <w:t xml:space="preserve">(1995, </w:t>
      </w:r>
      <w:r w:rsidRPr="00AC016D">
        <w:rPr>
          <w:rFonts w:cs="Times New Roman"/>
        </w:rPr>
        <w:t>10</w:t>
      </w:r>
      <w:r>
        <w:rPr>
          <w:rFonts w:cs="Times New Roman"/>
        </w:rPr>
        <w:t>)</w:t>
      </w:r>
      <w:r w:rsidRPr="00AC016D">
        <w:rPr>
          <w:rFonts w:cs="Times New Roman"/>
        </w:rPr>
        <w:t>.</w:t>
      </w:r>
    </w:p>
  </w:footnote>
  <w:footnote w:id="812">
    <w:p w14:paraId="371EC775" w14:textId="77777777" w:rsidR="000E1004" w:rsidRDefault="000E1004" w:rsidP="00445D6E">
      <w:pPr>
        <w:pStyle w:val="FootnoteText"/>
      </w:pPr>
      <w:r>
        <w:rPr>
          <w:rStyle w:val="FootnoteReference"/>
        </w:rPr>
        <w:footnoteRef/>
      </w:r>
      <w:r>
        <w:t xml:space="preserve"> Lang (1995, 434).</w:t>
      </w:r>
    </w:p>
  </w:footnote>
  <w:footnote w:id="813">
    <w:p w14:paraId="32D6AAA6" w14:textId="77777777" w:rsidR="000E1004" w:rsidRDefault="000E1004" w:rsidP="00445D6E">
      <w:pPr>
        <w:pStyle w:val="FootnoteText"/>
      </w:pPr>
      <w:r>
        <w:rPr>
          <w:rStyle w:val="FootnoteReference"/>
        </w:rPr>
        <w:footnoteRef/>
      </w:r>
      <w:r>
        <w:t xml:space="preserve"> Lang (1995, 433 &amp; 453, plate 121).</w:t>
      </w:r>
    </w:p>
  </w:footnote>
  <w:footnote w:id="814">
    <w:p w14:paraId="705D5F4B" w14:textId="77777777" w:rsidR="000E1004" w:rsidRDefault="000E1004" w:rsidP="00445D6E">
      <w:pPr>
        <w:pStyle w:val="FootnoteText"/>
      </w:pPr>
      <w:r>
        <w:rPr>
          <w:rStyle w:val="FootnoteReference"/>
        </w:rPr>
        <w:footnoteRef/>
      </w:r>
      <w:r>
        <w:t xml:space="preserve"> The fragment, in five pieces, is 21cms high, 25cms wide and 13.3cms thick, with narrow modelled moulding.</w:t>
      </w:r>
    </w:p>
  </w:footnote>
  <w:footnote w:id="815">
    <w:p w14:paraId="491DBAE7" w14:textId="77777777" w:rsidR="000E1004" w:rsidRDefault="000E1004" w:rsidP="00445D6E">
      <w:pPr>
        <w:pStyle w:val="FootnoteText"/>
      </w:pPr>
      <w:r>
        <w:rPr>
          <w:rStyle w:val="FootnoteReference"/>
        </w:rPr>
        <w:footnoteRef/>
      </w:r>
      <w:r>
        <w:t xml:space="preserve"> Stocker (1999, 211 &amp; 356).</w:t>
      </w:r>
    </w:p>
  </w:footnote>
  <w:footnote w:id="816">
    <w:p w14:paraId="14981719" w14:textId="77777777" w:rsidR="000E1004" w:rsidRDefault="000E1004" w:rsidP="00445D6E">
      <w:pPr>
        <w:pStyle w:val="FootnoteText"/>
      </w:pPr>
      <w:r>
        <w:rPr>
          <w:rStyle w:val="FootnoteReference"/>
        </w:rPr>
        <w:footnoteRef/>
      </w:r>
      <w:r>
        <w:t xml:space="preserve"> Morris &amp; Stocker (1987).</w:t>
      </w:r>
    </w:p>
  </w:footnote>
  <w:footnote w:id="817">
    <w:p w14:paraId="7B09DB84" w14:textId="0758D89B" w:rsidR="000E1004" w:rsidRDefault="000E1004">
      <w:pPr>
        <w:pStyle w:val="FootnoteText"/>
      </w:pPr>
      <w:r>
        <w:rPr>
          <w:rStyle w:val="FootnoteReference"/>
        </w:rPr>
        <w:footnoteRef/>
      </w:r>
      <w:r>
        <w:t xml:space="preserve"> Alcock (2003, 51).</w:t>
      </w:r>
    </w:p>
  </w:footnote>
  <w:footnote w:id="818">
    <w:p w14:paraId="29BAD221" w14:textId="77777777" w:rsidR="000E1004" w:rsidRDefault="000E1004" w:rsidP="00445D6E">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and Garrison (forthcoming), for discussion of comparanda for Wulfhere</w:t>
      </w:r>
      <w:r>
        <w:fldChar w:fldCharType="begin"/>
      </w:r>
      <w:r>
        <w:instrText xml:space="preserve"> XE "</w:instrText>
      </w:r>
      <w:r w:rsidRPr="007645AE">
        <w:instrText>Wulfhere</w:instrText>
      </w:r>
      <w:r>
        <w:instrText xml:space="preserve">" </w:instrText>
      </w:r>
      <w:r>
        <w:fldChar w:fldCharType="end"/>
      </w:r>
      <w:r>
        <w:t>’s memorial.</w:t>
      </w:r>
    </w:p>
  </w:footnote>
  <w:footnote w:id="819">
    <w:p w14:paraId="7F1C10BB" w14:textId="77777777" w:rsidR="000E1004" w:rsidRDefault="000E1004" w:rsidP="00445D6E">
      <w:pPr>
        <w:pStyle w:val="FootnoteText"/>
      </w:pPr>
      <w:r>
        <w:rPr>
          <w:rStyle w:val="FootnoteReference"/>
        </w:rPr>
        <w:footnoteRef/>
      </w:r>
      <w:r>
        <w:t xml:space="preserve"> Lang in Carver (1995, 440). Lang (CASSS, volume 3, chapter 7)</w:t>
      </w:r>
      <w:r w:rsidRPr="00B41B3F">
        <w:t xml:space="preserve"> </w:t>
      </w:r>
      <w:r>
        <w:t>stated: ‘Examples also occur elsewhere in York</w:t>
      </w:r>
      <w:r>
        <w:fldChar w:fldCharType="begin"/>
      </w:r>
      <w:r>
        <w:instrText xml:space="preserve"> XE "</w:instrText>
      </w:r>
      <w:r w:rsidRPr="00F1328A">
        <w:rPr>
          <w:rStyle w:val="Hyperlink"/>
          <w:noProof/>
        </w:rPr>
        <w:instrText>York</w:instrText>
      </w:r>
      <w:r>
        <w:instrText xml:space="preserve">" </w:instrText>
      </w:r>
      <w:r>
        <w:fldChar w:fldCharType="end"/>
      </w:r>
      <w:r>
        <w:t xml:space="preserve"> at St Mary's Abbey (no. 1), St Denys (no. 1), and St Mary Bishophill Junior (no. 6), with a surprising outlier at Gainford (no. 20) in co. Durham (Cramp 1984, i, 86–7).’</w:t>
      </w:r>
    </w:p>
  </w:footnote>
  <w:footnote w:id="820">
    <w:p w14:paraId="72BAC07B" w14:textId="77777777" w:rsidR="000E1004" w:rsidRDefault="000E1004" w:rsidP="00445D6E">
      <w:pPr>
        <w:pStyle w:val="FootnoteText"/>
      </w:pPr>
      <w:r>
        <w:rPr>
          <w:rStyle w:val="FootnoteReference"/>
        </w:rPr>
        <w:footnoteRef/>
      </w:r>
      <w:r>
        <w:t xml:space="preserve"> CASSS, volume 3, chapter 7.</w:t>
      </w:r>
    </w:p>
  </w:footnote>
  <w:footnote w:id="821">
    <w:p w14:paraId="017713EA" w14:textId="77777777" w:rsidR="000E1004" w:rsidRDefault="000E1004" w:rsidP="00445D6E">
      <w:pPr>
        <w:pStyle w:val="FootnoteText"/>
      </w:pPr>
      <w:r>
        <w:rPr>
          <w:rStyle w:val="FootnoteReference"/>
        </w:rPr>
        <w:footnoteRef/>
      </w:r>
      <w:r>
        <w:t xml:space="preserve"> Holdsworth (1995, chapter 6.2, 471).</w:t>
      </w:r>
    </w:p>
  </w:footnote>
  <w:footnote w:id="822">
    <w:p w14:paraId="5043BAC5" w14:textId="77777777" w:rsidR="000E1004" w:rsidRDefault="000E1004" w:rsidP="00445D6E">
      <w:pPr>
        <w:pStyle w:val="FootnoteText"/>
      </w:pPr>
      <w:r>
        <w:rPr>
          <w:rStyle w:val="FootnoteReference"/>
        </w:rPr>
        <w:footnoteRef/>
      </w:r>
      <w:r>
        <w:t xml:space="preserve"> Holdsworth (1995, chapter 6.2, 469).</w:t>
      </w:r>
    </w:p>
  </w:footnote>
  <w:footnote w:id="823">
    <w:p w14:paraId="5160EB56" w14:textId="77777777" w:rsidR="000E1004" w:rsidRDefault="000E1004" w:rsidP="00445D6E">
      <w:pPr>
        <w:pStyle w:val="FootnoteText"/>
      </w:pPr>
      <w:r>
        <w:rPr>
          <w:rStyle w:val="FootnoteReference"/>
        </w:rPr>
        <w:footnoteRef/>
      </w:r>
      <w:r>
        <w:t xml:space="preserve"> Holdsworth (1995, chapter 6.2, 471).</w:t>
      </w:r>
    </w:p>
  </w:footnote>
  <w:footnote w:id="824">
    <w:p w14:paraId="4A4EC898" w14:textId="77777777" w:rsidR="000E1004" w:rsidRDefault="000E1004" w:rsidP="00F262FB">
      <w:pPr>
        <w:pStyle w:val="FootnoteText"/>
      </w:pPr>
      <w:r>
        <w:rPr>
          <w:rStyle w:val="FootnoteReference"/>
        </w:rPr>
        <w:footnoteRef/>
      </w:r>
      <w:r>
        <w:t xml:space="preserve"> Carver (1995, 191).</w:t>
      </w:r>
    </w:p>
  </w:footnote>
  <w:footnote w:id="825">
    <w:p w14:paraId="635BBABB" w14:textId="77777777" w:rsidR="000E1004" w:rsidRDefault="000E1004" w:rsidP="00445D6E">
      <w:pPr>
        <w:pStyle w:val="FootnoteText"/>
      </w:pPr>
      <w:r>
        <w:rPr>
          <w:rStyle w:val="FootnoteReference"/>
        </w:rPr>
        <w:footnoteRef/>
      </w:r>
      <w:r>
        <w:t xml:space="preserve"> Kj</w:t>
      </w:r>
      <w:r>
        <w:rPr>
          <w:rFonts w:cs="Times New Roman"/>
        </w:rPr>
        <w:t>ø</w:t>
      </w:r>
      <w:r>
        <w:t>lbye-Biddle (1995, 517).</w:t>
      </w:r>
    </w:p>
  </w:footnote>
  <w:footnote w:id="826">
    <w:p w14:paraId="51177B36" w14:textId="77777777" w:rsidR="000E1004" w:rsidRDefault="000E1004" w:rsidP="00445D6E">
      <w:pPr>
        <w:pStyle w:val="FootnoteText"/>
      </w:pPr>
      <w:r>
        <w:rPr>
          <w:rStyle w:val="FootnoteReference"/>
        </w:rPr>
        <w:footnoteRef/>
      </w:r>
      <w:r>
        <w:t xml:space="preserve"> Morris (1986, 80-9). </w:t>
      </w:r>
      <w:r>
        <w:rPr>
          <w:rFonts w:cs="Times New Roman"/>
          <w:szCs w:val="24"/>
        </w:rPr>
        <w:t>An early medieval text showed that St. Cuthbert was granted land in central York</w:t>
      </w:r>
      <w:r>
        <w:rPr>
          <w:rFonts w:cs="Times New Roman"/>
          <w:szCs w:val="24"/>
        </w:rPr>
        <w:fldChar w:fldCharType="begin"/>
      </w:r>
      <w:r>
        <w:instrText xml:space="preserve"> XE "</w:instrText>
      </w:r>
      <w:r w:rsidRPr="00F1328A">
        <w:rPr>
          <w:rStyle w:val="Hyperlink"/>
          <w:noProof/>
        </w:rPr>
        <w:instrText>York</w:instrText>
      </w:r>
      <w:r>
        <w:instrText xml:space="preserve">" </w:instrText>
      </w:r>
      <w:r>
        <w:rPr>
          <w:rFonts w:cs="Times New Roman"/>
          <w:szCs w:val="24"/>
        </w:rPr>
        <w:fldChar w:fldCharType="end"/>
      </w:r>
      <w:r>
        <w:rPr>
          <w:rFonts w:cs="Times New Roman"/>
          <w:szCs w:val="24"/>
        </w:rPr>
        <w:t xml:space="preserve"> in the pivotal year of 685. (</w:t>
      </w:r>
      <w:r w:rsidRPr="00D91776">
        <w:rPr>
          <w:rFonts w:cs="Times New Roman"/>
        </w:rPr>
        <w:t xml:space="preserve">Rollason </w:t>
      </w:r>
      <w:r w:rsidRPr="00D91776">
        <w:rPr>
          <w:rFonts w:cs="Times New Roman"/>
          <w:i/>
        </w:rPr>
        <w:t>et al.</w:t>
      </w:r>
      <w:r w:rsidRPr="00D91776">
        <w:rPr>
          <w:rFonts w:cs="Times New Roman"/>
        </w:rPr>
        <w:t xml:space="preserve"> (1998, 50–1, 140–1</w:t>
      </w:r>
      <w:r>
        <w:rPr>
          <w:rFonts w:cs="Times New Roman"/>
        </w:rPr>
        <w:t xml:space="preserve">). Mainman &amp; Hall (forthcoming)) which may support the claim of </w:t>
      </w:r>
      <w:r w:rsidRPr="007E4E44">
        <w:rPr>
          <w:rFonts w:cs="Times New Roman"/>
          <w:color w:val="000000" w:themeColor="text1"/>
        </w:rPr>
        <w:t>Norton (1998</w:t>
      </w:r>
      <w:r>
        <w:rPr>
          <w:rFonts w:cs="Times New Roman"/>
          <w:color w:val="000000" w:themeColor="text1"/>
        </w:rPr>
        <w:t>,</w:t>
      </w:r>
      <w:r>
        <w:rPr>
          <w:rFonts w:cs="Times New Roman"/>
        </w:rPr>
        <w:t xml:space="preserve"> </w:t>
      </w:r>
      <w:r w:rsidRPr="00D91776">
        <w:rPr>
          <w:rFonts w:cs="Times New Roman"/>
        </w:rPr>
        <w:t>14–15</w:t>
      </w:r>
      <w:r>
        <w:rPr>
          <w:rFonts w:cs="Times New Roman"/>
        </w:rPr>
        <w:t xml:space="preserve">), for the site of </w:t>
      </w:r>
      <w:bookmarkStart w:id="520" w:name="AlmaSophia"/>
      <w:r w:rsidRPr="000E69D7">
        <w:rPr>
          <w:rFonts w:cs="Times New Roman"/>
          <w:i/>
        </w:rPr>
        <w:t xml:space="preserve">Alma Sophia </w:t>
      </w:r>
      <w:bookmarkEnd w:id="520"/>
      <w:r>
        <w:rPr>
          <w:rFonts w:cs="Times New Roman"/>
        </w:rPr>
        <w:t>to be the Minster</w:t>
      </w:r>
      <w:r>
        <w:rPr>
          <w:rFonts w:cs="Times New Roman"/>
        </w:rPr>
        <w:fldChar w:fldCharType="begin"/>
      </w:r>
      <w:r>
        <w:instrText xml:space="preserve"> XE "</w:instrText>
      </w:r>
      <w:r w:rsidRPr="004D76A0">
        <w:rPr>
          <w:rStyle w:val="Hyperlink"/>
          <w:noProof/>
        </w:rPr>
        <w:instrText>York Minster</w:instrText>
      </w:r>
      <w:r>
        <w:instrText xml:space="preserve">" </w:instrText>
      </w:r>
      <w:r>
        <w:rPr>
          <w:rFonts w:cs="Times New Roman"/>
        </w:rPr>
        <w:fldChar w:fldCharType="end"/>
      </w:r>
      <w:r>
        <w:rPr>
          <w:rFonts w:cs="Times New Roman"/>
        </w:rPr>
        <w:t xml:space="preserve"> Chapter House.</w:t>
      </w:r>
    </w:p>
  </w:footnote>
  <w:footnote w:id="827">
    <w:p w14:paraId="0CDEBA4F" w14:textId="77777777" w:rsidR="000E1004" w:rsidRDefault="000E1004" w:rsidP="00445D6E">
      <w:pPr>
        <w:pStyle w:val="FootnoteText"/>
      </w:pPr>
      <w:r>
        <w:rPr>
          <w:rStyle w:val="FootnoteReference"/>
        </w:rPr>
        <w:footnoteRef/>
      </w:r>
      <w:r>
        <w:t xml:space="preserve"> </w:t>
      </w:r>
      <w:r w:rsidRPr="00C82B1E">
        <w:rPr>
          <w:rFonts w:eastAsia="BookAntiqua" w:cs="Times New Roman"/>
          <w:i/>
          <w:szCs w:val="24"/>
        </w:rPr>
        <w:t>Sancta Sophia</w:t>
      </w:r>
      <w:r>
        <w:rPr>
          <w:rFonts w:cs="Times New Roman"/>
          <w:szCs w:val="24"/>
        </w:rPr>
        <w:t xml:space="preserve">, </w:t>
      </w:r>
      <w:r w:rsidRPr="00C82B1E">
        <w:rPr>
          <w:rFonts w:cs="Times New Roman"/>
          <w:szCs w:val="24"/>
        </w:rPr>
        <w:t xml:space="preserve">completed by </w:t>
      </w:r>
      <w:r>
        <w:rPr>
          <w:rFonts w:cs="Times New Roman"/>
          <w:szCs w:val="24"/>
        </w:rPr>
        <w:t>Arichis</w:t>
      </w:r>
      <w:r w:rsidRPr="00C82B1E">
        <w:rPr>
          <w:rFonts w:cs="Times New Roman"/>
          <w:szCs w:val="24"/>
        </w:rPr>
        <w:t xml:space="preserve"> II</w:t>
      </w:r>
      <w:r>
        <w:rPr>
          <w:rFonts w:cs="Times New Roman"/>
          <w:szCs w:val="24"/>
        </w:rPr>
        <w:t>.</w:t>
      </w:r>
    </w:p>
  </w:footnote>
  <w:footnote w:id="828">
    <w:p w14:paraId="579E2D8F" w14:textId="77777777" w:rsidR="000E1004" w:rsidRDefault="000E1004" w:rsidP="00445D6E">
      <w:pPr>
        <w:pStyle w:val="FootnoteText"/>
      </w:pPr>
      <w:r>
        <w:rPr>
          <w:rStyle w:val="FootnoteReference"/>
        </w:rPr>
        <w:footnoteRef/>
      </w:r>
      <w:r>
        <w:t xml:space="preserve"> </w:t>
      </w:r>
      <w:r w:rsidRPr="00C82B1E">
        <w:rPr>
          <w:rFonts w:eastAsia="BookAntiqua" w:cs="Times New Roman"/>
          <w:i/>
          <w:szCs w:val="24"/>
        </w:rPr>
        <w:t>Hagia Sophia</w:t>
      </w:r>
      <w:r>
        <w:rPr>
          <w:rFonts w:eastAsia="BookAntiqua" w:cs="Times New Roman"/>
          <w:i/>
          <w:szCs w:val="24"/>
        </w:rPr>
        <w:t>.</w:t>
      </w:r>
    </w:p>
  </w:footnote>
  <w:footnote w:id="829">
    <w:p w14:paraId="6A469E03" w14:textId="756BA898" w:rsidR="000E1004" w:rsidRDefault="000E1004" w:rsidP="00445D6E">
      <w:pPr>
        <w:pStyle w:val="FootnoteText"/>
      </w:pPr>
      <w:r>
        <w:rPr>
          <w:rStyle w:val="FootnoteReference"/>
        </w:rPr>
        <w:footnoteRef/>
      </w:r>
      <w:r>
        <w:t xml:space="preserve"> </w:t>
      </w:r>
      <w:r>
        <w:rPr>
          <w:rFonts w:cs="Times New Roman"/>
        </w:rPr>
        <w:t>Morris (1986,</w:t>
      </w:r>
      <w:r w:rsidRPr="00C82B1E">
        <w:rPr>
          <w:rFonts w:cs="Times New Roman"/>
        </w:rPr>
        <w:t xml:space="preserve"> 83-4</w:t>
      </w:r>
      <w:r>
        <w:rPr>
          <w:rFonts w:cs="Times New Roman"/>
        </w:rPr>
        <w:t>)</w:t>
      </w:r>
      <w:r w:rsidRPr="00C82B1E">
        <w:rPr>
          <w:rFonts w:cs="Times New Roman"/>
        </w:rPr>
        <w:t>.</w:t>
      </w:r>
      <w:r>
        <w:rPr>
          <w:rFonts w:cs="Times New Roman"/>
        </w:rPr>
        <w:t xml:space="preserve"> See Woodman (2012, 37 &amp; </w:t>
      </w:r>
      <w:r>
        <w:rPr>
          <w:rFonts w:cs="Times New Roman"/>
          <w:i/>
        </w:rPr>
        <w:t>fn.</w:t>
      </w:r>
      <w:r>
        <w:rPr>
          <w:rFonts w:cs="Times New Roman"/>
        </w:rPr>
        <w:t xml:space="preserve"> 76) for discussion.</w:t>
      </w:r>
    </w:p>
  </w:footnote>
  <w:footnote w:id="830">
    <w:p w14:paraId="3228DBD7" w14:textId="77777777" w:rsidR="000E1004" w:rsidRDefault="000E1004" w:rsidP="00445D6E">
      <w:pPr>
        <w:pStyle w:val="FootnoteText"/>
      </w:pPr>
      <w:r>
        <w:rPr>
          <w:rStyle w:val="FootnoteReference"/>
        </w:rPr>
        <w:footnoteRef/>
      </w:r>
      <w:r>
        <w:t xml:space="preserve"> Garrison, </w:t>
      </w:r>
      <w:r w:rsidRPr="00C82B1E">
        <w:rPr>
          <w:i/>
        </w:rPr>
        <w:t>pers. comm</w:t>
      </w:r>
      <w:r>
        <w:rPr>
          <w:i/>
        </w:rPr>
        <w:t>.</w:t>
      </w:r>
      <w:r w:rsidRPr="00C82B1E">
        <w:t xml:space="preserve"> 10</w:t>
      </w:r>
      <w:r w:rsidRPr="00C82B1E">
        <w:rPr>
          <w:vertAlign w:val="superscript"/>
        </w:rPr>
        <w:t>th</w:t>
      </w:r>
      <w:r w:rsidRPr="00C82B1E">
        <w:t xml:space="preserve"> February 2015.</w:t>
      </w:r>
    </w:p>
  </w:footnote>
  <w:footnote w:id="831">
    <w:p w14:paraId="64869F85" w14:textId="2DD617AB" w:rsidR="000E1004" w:rsidRDefault="000E1004" w:rsidP="00445D6E">
      <w:pPr>
        <w:pStyle w:val="FootnoteText"/>
      </w:pPr>
      <w:r>
        <w:rPr>
          <w:rStyle w:val="FootnoteReference"/>
        </w:rPr>
        <w:footnoteRef/>
      </w:r>
      <w:r>
        <w:t xml:space="preserve"> </w:t>
      </w:r>
      <w:r w:rsidRPr="00C82B1E">
        <w:t>(</w:t>
      </w:r>
      <w:r w:rsidRPr="00C82B1E">
        <w:rPr>
          <w:i/>
        </w:rPr>
        <w:t>NC</w:t>
      </w:r>
      <w:r w:rsidRPr="00C82B1E">
        <w:t xml:space="preserve">, CXIX, 1, March 2011, </w:t>
      </w:r>
      <w:r>
        <w:rPr>
          <w:i/>
        </w:rPr>
        <w:t>fn.</w:t>
      </w:r>
      <w:r w:rsidRPr="00C82B1E">
        <w:t xml:space="preserve"> 16: Hugeburc’s </w:t>
      </w:r>
      <w:r w:rsidRPr="00C82B1E">
        <w:rPr>
          <w:i/>
        </w:rPr>
        <w:t>Hodoepricon</w:t>
      </w:r>
      <w:r>
        <w:t>). See Hodges</w:t>
      </w:r>
      <w:r>
        <w:fldChar w:fldCharType="begin"/>
      </w:r>
      <w:r>
        <w:instrText xml:space="preserve"> XE "</w:instrText>
      </w:r>
      <w:r w:rsidRPr="00523AF8">
        <w:rPr>
          <w:rStyle w:val="Hyperlink"/>
          <w:noProof/>
        </w:rPr>
        <w:instrText>Hodges</w:instrText>
      </w:r>
      <w:r>
        <w:instrText xml:space="preserve">" </w:instrText>
      </w:r>
      <w:r>
        <w:fldChar w:fldCharType="end"/>
      </w:r>
      <w:r>
        <w:t xml:space="preserve"> (2012</w:t>
      </w:r>
      <w:r w:rsidRPr="00C82B1E">
        <w:t>, chapter 4</w:t>
      </w:r>
      <w:r>
        <w:t>)</w:t>
      </w:r>
      <w:r w:rsidRPr="00C82B1E">
        <w:t>, for a discussion of the significance of Beneventan San Vincenzo al Volturna</w:t>
      </w:r>
      <w:r>
        <w:rPr>
          <w:szCs w:val="24"/>
        </w:rPr>
        <w:t>.</w:t>
      </w:r>
    </w:p>
  </w:footnote>
  <w:footnote w:id="832">
    <w:p w14:paraId="1BA2980C" w14:textId="77777777" w:rsidR="000E1004" w:rsidRDefault="000E1004" w:rsidP="00445D6E">
      <w:pPr>
        <w:pStyle w:val="FootnoteText"/>
      </w:pPr>
      <w:r>
        <w:rPr>
          <w:rStyle w:val="FootnoteReference"/>
        </w:rPr>
        <w:footnoteRef/>
      </w:r>
      <w:r>
        <w:t xml:space="preserve"> </w:t>
      </w:r>
      <w:r w:rsidRPr="00C82B1E">
        <w:t>Naismith</w:t>
      </w:r>
      <w:r>
        <w:fldChar w:fldCharType="begin"/>
      </w:r>
      <w:r>
        <w:instrText xml:space="preserve"> XE "</w:instrText>
      </w:r>
      <w:r w:rsidRPr="007D3069">
        <w:rPr>
          <w:rFonts w:cs="Times New Roman"/>
          <w:szCs w:val="24"/>
        </w:rPr>
        <w:instrText>Naismith</w:instrText>
      </w:r>
      <w:r>
        <w:instrText xml:space="preserve">" </w:instrText>
      </w:r>
      <w:r>
        <w:fldChar w:fldCharType="end"/>
      </w:r>
      <w:r w:rsidRPr="00C82B1E">
        <w:t xml:space="preserve"> (2012</w:t>
      </w:r>
      <w:r>
        <w:t>, 13 &amp; 2015, 11).</w:t>
      </w:r>
    </w:p>
  </w:footnote>
  <w:footnote w:id="833">
    <w:p w14:paraId="47AFB8F5" w14:textId="7FB4203C" w:rsidR="000E1004" w:rsidRDefault="000E1004" w:rsidP="00445D6E">
      <w:pPr>
        <w:pStyle w:val="FootnoteText"/>
      </w:pPr>
      <w:r>
        <w:rPr>
          <w:rStyle w:val="FootnoteReference"/>
        </w:rPr>
        <w:footnoteRef/>
      </w:r>
      <w:r>
        <w:t xml:space="preserve"> </w:t>
      </w:r>
      <w:r>
        <w:rPr>
          <w:i/>
        </w:rPr>
        <w:t>Fn.</w:t>
      </w:r>
      <w:r>
        <w:t xml:space="preserve"> </w:t>
      </w:r>
      <w:r>
        <w:fldChar w:fldCharType="begin"/>
      </w:r>
      <w:r>
        <w:instrText xml:space="preserve"> NOTEREF _Ref467662048 \h </w:instrText>
      </w:r>
      <w:r>
        <w:fldChar w:fldCharType="separate"/>
      </w:r>
      <w:r w:rsidR="0012026B">
        <w:t>787</w:t>
      </w:r>
      <w:r>
        <w:fldChar w:fldCharType="end"/>
      </w:r>
      <w:r>
        <w:rPr>
          <w:i/>
        </w:rPr>
        <w:t>.</w:t>
      </w:r>
    </w:p>
  </w:footnote>
  <w:footnote w:id="834">
    <w:p w14:paraId="3B577C7A" w14:textId="77777777" w:rsidR="000E1004" w:rsidRDefault="000E1004" w:rsidP="00445D6E">
      <w:pPr>
        <w:pStyle w:val="FootnoteText"/>
      </w:pPr>
      <w:r>
        <w:rPr>
          <w:rStyle w:val="FootnoteReference"/>
        </w:rPr>
        <w:footnoteRef/>
      </w:r>
      <w:r>
        <w:t xml:space="preserve"> Kemp (1996, 77-82).</w:t>
      </w:r>
    </w:p>
  </w:footnote>
  <w:footnote w:id="835">
    <w:p w14:paraId="264F1642" w14:textId="77777777" w:rsidR="000E1004" w:rsidRDefault="000E1004" w:rsidP="00445D6E">
      <w:pPr>
        <w:pStyle w:val="FootnoteText"/>
      </w:pPr>
      <w:r>
        <w:rPr>
          <w:rStyle w:val="FootnoteReference"/>
        </w:rPr>
        <w:footnoteRef/>
      </w:r>
      <w:r>
        <w:t xml:space="preserve"> Kemp (1996, 15-63). Rogers (1993, 1217 &amp; 1439-44).</w:t>
      </w:r>
    </w:p>
  </w:footnote>
  <w:footnote w:id="836">
    <w:p w14:paraId="4315B5D2" w14:textId="77777777" w:rsidR="000E1004" w:rsidRDefault="000E1004" w:rsidP="00445D6E">
      <w:pPr>
        <w:pStyle w:val="FootnoteText"/>
      </w:pPr>
      <w:r>
        <w:rPr>
          <w:rStyle w:val="FootnoteReference"/>
        </w:rPr>
        <w:footnoteRef/>
      </w:r>
      <w:r>
        <w:t xml:space="preserve"> Kemp (1996, 56-9).</w:t>
      </w:r>
    </w:p>
  </w:footnote>
  <w:footnote w:id="837">
    <w:p w14:paraId="32ED1CF2" w14:textId="3C459023" w:rsidR="000E1004" w:rsidRPr="00CD2B62" w:rsidRDefault="000E1004" w:rsidP="00445D6E">
      <w:pPr>
        <w:pStyle w:val="NoSpacing"/>
        <w:jc w:val="left"/>
      </w:pPr>
      <w:r w:rsidRPr="00CD2B62">
        <w:rPr>
          <w:rStyle w:val="FootnoteReference"/>
          <w:rFonts w:cs="Times New Roman"/>
          <w:sz w:val="20"/>
          <w:szCs w:val="20"/>
        </w:rPr>
        <w:footnoteRef/>
      </w:r>
      <w:r w:rsidRPr="00CD2B62">
        <w:t xml:space="preserve"> </w:t>
      </w:r>
      <w:r w:rsidRPr="00465BE3">
        <w:rPr>
          <w:sz w:val="20"/>
          <w:szCs w:val="20"/>
        </w:rPr>
        <w:t>PAS YORYM 1951.58, in the Yorkshire Museum.</w:t>
      </w:r>
      <w:r>
        <w:t xml:space="preserve"> </w:t>
      </w:r>
      <w:r>
        <w:rPr>
          <w:sz w:val="20"/>
          <w:szCs w:val="20"/>
        </w:rPr>
        <w:t>Image</w:t>
      </w:r>
      <w:r>
        <w:t xml:space="preserve"> </w:t>
      </w:r>
      <w:hyperlink r:id="rId29" w:history="1">
        <w:r w:rsidRPr="00434582">
          <w:rPr>
            <w:rStyle w:val="Hyperlink"/>
            <w:sz w:val="20"/>
            <w:szCs w:val="20"/>
          </w:rPr>
          <w:t>http://ecx.images-amazon.com/images/I/61QdOzRd6dL._UL1500_.jpg</w:t>
        </w:r>
      </w:hyperlink>
      <w:r>
        <w:rPr>
          <w:sz w:val="20"/>
          <w:szCs w:val="20"/>
        </w:rPr>
        <w:t xml:space="preserve"> manipulated in Adobe Photoshop.</w:t>
      </w:r>
    </w:p>
  </w:footnote>
  <w:footnote w:id="838">
    <w:p w14:paraId="4D7C39B8" w14:textId="77777777" w:rsidR="000E1004" w:rsidRDefault="000E1004" w:rsidP="00445D6E">
      <w:pPr>
        <w:pStyle w:val="FootnoteText"/>
      </w:pPr>
      <w:r>
        <w:rPr>
          <w:rStyle w:val="FootnoteReference"/>
        </w:rPr>
        <w:footnoteRef/>
      </w:r>
      <w:r>
        <w:t xml:space="preserve"> </w:t>
      </w:r>
      <w:r w:rsidRPr="000510D7">
        <w:rPr>
          <w:color w:val="000000" w:themeColor="text1"/>
        </w:rPr>
        <w:t xml:space="preserve">Rollason </w:t>
      </w:r>
      <w:r w:rsidRPr="000510D7">
        <w:rPr>
          <w:i/>
          <w:color w:val="000000" w:themeColor="text1"/>
        </w:rPr>
        <w:t>et al</w:t>
      </w:r>
      <w:r w:rsidRPr="000510D7">
        <w:rPr>
          <w:color w:val="000000" w:themeColor="text1"/>
        </w:rPr>
        <w:t xml:space="preserve"> (1998).</w:t>
      </w:r>
    </w:p>
  </w:footnote>
  <w:footnote w:id="839">
    <w:p w14:paraId="31BF1E76" w14:textId="53B76FBF" w:rsidR="000E1004" w:rsidRDefault="000E1004" w:rsidP="00445D6E">
      <w:pPr>
        <w:pStyle w:val="FootnoteText"/>
      </w:pPr>
      <w:r>
        <w:rPr>
          <w:rStyle w:val="FootnoteReference"/>
        </w:rPr>
        <w:footnoteRef/>
      </w:r>
      <w:r>
        <w:t xml:space="preserve"> Kemp (1996, 71-4). </w:t>
      </w:r>
      <w:hyperlink r:id="rId30" w:history="1">
        <w:r w:rsidRPr="006C3325">
          <w:rPr>
            <w:rStyle w:val="Hyperlink"/>
          </w:rPr>
          <w:t>http://www.archaeologicalplanningconsultancy.co.uk/mono/001/</w:t>
        </w:r>
      </w:hyperlink>
    </w:p>
  </w:footnote>
  <w:footnote w:id="840">
    <w:p w14:paraId="0C006DD0" w14:textId="77777777" w:rsidR="000E1004" w:rsidRDefault="000E1004" w:rsidP="00445D6E">
      <w:pPr>
        <w:pStyle w:val="FootnoteText"/>
      </w:pPr>
      <w:r>
        <w:rPr>
          <w:rStyle w:val="FootnoteReference"/>
        </w:rPr>
        <w:footnoteRef/>
      </w:r>
      <w:r>
        <w:t xml:space="preserve"> Rogers (1993, 1309-11).</w:t>
      </w:r>
    </w:p>
  </w:footnote>
  <w:footnote w:id="841">
    <w:p w14:paraId="078168FB" w14:textId="77777777" w:rsidR="000E1004" w:rsidRDefault="000E1004" w:rsidP="00445D6E">
      <w:pPr>
        <w:pStyle w:val="FootnoteText"/>
      </w:pPr>
      <w:r>
        <w:rPr>
          <w:rStyle w:val="FootnoteReference"/>
        </w:rPr>
        <w:footnoteRef/>
      </w:r>
      <w:r>
        <w:t xml:space="preserve"> Rogers (1993, 1343).</w:t>
      </w:r>
    </w:p>
  </w:footnote>
  <w:footnote w:id="842">
    <w:p w14:paraId="0AA5234D" w14:textId="77777777" w:rsidR="000E1004" w:rsidRDefault="000E1004" w:rsidP="00445D6E">
      <w:pPr>
        <w:pStyle w:val="FootnoteText"/>
      </w:pPr>
      <w:r>
        <w:rPr>
          <w:rStyle w:val="FootnoteReference"/>
        </w:rPr>
        <w:footnoteRef/>
      </w:r>
      <w:r>
        <w:t xml:space="preserve"> Rogers (1993, 1329).</w:t>
      </w:r>
    </w:p>
  </w:footnote>
  <w:footnote w:id="843">
    <w:p w14:paraId="7C480AB3" w14:textId="77777777" w:rsidR="000E1004" w:rsidRDefault="000E1004" w:rsidP="00445D6E">
      <w:pPr>
        <w:pStyle w:val="FootnoteText"/>
      </w:pPr>
      <w:r>
        <w:rPr>
          <w:rStyle w:val="FootnoteReference"/>
        </w:rPr>
        <w:footnoteRef/>
      </w:r>
      <w:r>
        <w:t xml:space="preserve"> Whitelock (1979, </w:t>
      </w:r>
      <w:r w:rsidRPr="002D0A4A">
        <w:rPr>
          <w:i/>
        </w:rPr>
        <w:t>EHD</w:t>
      </w:r>
      <w:r>
        <w:t xml:space="preserve"> vol.1. 500-1042), Altfrid’s </w:t>
      </w:r>
      <w:r w:rsidRPr="00012B4B">
        <w:rPr>
          <w:i/>
        </w:rPr>
        <w:t>Life of St Liudger</w:t>
      </w:r>
      <w:r>
        <w:t xml:space="preserve"> 725. Sawyer (2013, 67).</w:t>
      </w:r>
    </w:p>
  </w:footnote>
  <w:footnote w:id="844">
    <w:p w14:paraId="72CF6B09" w14:textId="77777777" w:rsidR="000E1004" w:rsidRPr="00164923" w:rsidRDefault="000E1004" w:rsidP="00445D6E">
      <w:pPr>
        <w:pStyle w:val="Footer"/>
        <w:rPr>
          <w:rFonts w:cs="Times New Roman"/>
          <w:sz w:val="20"/>
          <w:szCs w:val="20"/>
        </w:rPr>
      </w:pPr>
      <w:r>
        <w:rPr>
          <w:rStyle w:val="FootnoteReference"/>
        </w:rPr>
        <w:footnoteRef/>
      </w:r>
      <w:r>
        <w:t xml:space="preserve"> </w:t>
      </w:r>
      <w:r>
        <w:rPr>
          <w:rFonts w:cs="Times New Roman"/>
          <w:sz w:val="20"/>
          <w:szCs w:val="20"/>
        </w:rPr>
        <w:t>Hall (1988,</w:t>
      </w:r>
      <w:r w:rsidRPr="00164923">
        <w:rPr>
          <w:rFonts w:cs="Times New Roman"/>
          <w:sz w:val="20"/>
          <w:szCs w:val="20"/>
        </w:rPr>
        <w:t xml:space="preserve"> 128</w:t>
      </w:r>
      <w:r>
        <w:rPr>
          <w:rFonts w:cs="Times New Roman"/>
          <w:sz w:val="20"/>
          <w:szCs w:val="20"/>
        </w:rPr>
        <w:t>)</w:t>
      </w:r>
      <w:r w:rsidRPr="00164923">
        <w:rPr>
          <w:rFonts w:cs="Times New Roman"/>
          <w:sz w:val="20"/>
          <w:szCs w:val="20"/>
        </w:rPr>
        <w:t xml:space="preserve">. </w:t>
      </w:r>
      <w:r>
        <w:rPr>
          <w:rFonts w:cs="Times New Roman"/>
          <w:sz w:val="20"/>
          <w:szCs w:val="20"/>
        </w:rPr>
        <w:t>Hill &amp; Cowie (2001, 113). Rollason (2003,</w:t>
      </w:r>
      <w:r w:rsidRPr="00164923">
        <w:rPr>
          <w:rFonts w:cs="Times New Roman"/>
          <w:sz w:val="20"/>
          <w:szCs w:val="20"/>
        </w:rPr>
        <w:t xml:space="preserve"> 178-9</w:t>
      </w:r>
      <w:r>
        <w:rPr>
          <w:rFonts w:cs="Times New Roman"/>
          <w:sz w:val="20"/>
          <w:szCs w:val="20"/>
        </w:rPr>
        <w:t>), where he attempted</w:t>
      </w:r>
      <w:r w:rsidRPr="00164923">
        <w:rPr>
          <w:rFonts w:cs="Times New Roman"/>
          <w:sz w:val="20"/>
          <w:szCs w:val="20"/>
        </w:rPr>
        <w:t xml:space="preserve"> to difference Fishergate</w:t>
      </w:r>
      <w:r>
        <w:rPr>
          <w:rFonts w:cs="Times New Roman"/>
          <w:sz w:val="20"/>
          <w:szCs w:val="20"/>
        </w:rPr>
        <w:fldChar w:fldCharType="begin"/>
      </w:r>
      <w:r>
        <w:instrText xml:space="preserve"> XE "</w:instrText>
      </w:r>
      <w:r w:rsidRPr="004D76A0">
        <w:rPr>
          <w:rStyle w:val="Hyperlink"/>
          <w:noProof/>
        </w:rPr>
        <w:instrText>Fishergate</w:instrText>
      </w:r>
      <w:r>
        <w:instrText xml:space="preserve">" </w:instrText>
      </w:r>
      <w:r>
        <w:rPr>
          <w:rFonts w:cs="Times New Roman"/>
          <w:sz w:val="20"/>
          <w:szCs w:val="20"/>
        </w:rPr>
        <w:fldChar w:fldCharType="end"/>
      </w:r>
      <w:r w:rsidRPr="00164923">
        <w:rPr>
          <w:rFonts w:cs="Times New Roman"/>
          <w:sz w:val="20"/>
          <w:szCs w:val="20"/>
        </w:rPr>
        <w:t xml:space="preserve"> from royally planned emporia</w:t>
      </w:r>
      <w:r>
        <w:rPr>
          <w:rFonts w:cs="Times New Roman"/>
          <w:sz w:val="20"/>
          <w:szCs w:val="20"/>
        </w:rPr>
        <w:fldChar w:fldCharType="begin"/>
      </w:r>
      <w:r>
        <w:instrText xml:space="preserve"> XE "</w:instrText>
      </w:r>
      <w:r w:rsidRPr="007D3069">
        <w:rPr>
          <w:rFonts w:cs="Times New Roman"/>
          <w:i/>
          <w:szCs w:val="24"/>
        </w:rPr>
        <w:instrText>emporia</w:instrText>
      </w:r>
      <w:r>
        <w:instrText xml:space="preserve">" </w:instrText>
      </w:r>
      <w:r>
        <w:rPr>
          <w:rFonts w:cs="Times New Roman"/>
          <w:sz w:val="20"/>
          <w:szCs w:val="20"/>
        </w:rPr>
        <w:fldChar w:fldCharType="end"/>
      </w:r>
      <w:r w:rsidRPr="00164923">
        <w:rPr>
          <w:rFonts w:cs="Times New Roman"/>
          <w:sz w:val="20"/>
          <w:szCs w:val="20"/>
        </w:rPr>
        <w:t xml:space="preserve"> (Hamwic</w:t>
      </w:r>
      <w:r>
        <w:rPr>
          <w:rFonts w:cs="Times New Roman"/>
          <w:sz w:val="20"/>
          <w:szCs w:val="20"/>
        </w:rPr>
        <w:fldChar w:fldCharType="begin"/>
      </w:r>
      <w:r>
        <w:instrText xml:space="preserve"> XE "</w:instrText>
      </w:r>
      <w:r w:rsidRPr="004D76A0">
        <w:rPr>
          <w:rStyle w:val="Hyperlink"/>
          <w:rFonts w:eastAsia="Times New Roman"/>
          <w:noProof/>
          <w:lang w:eastAsia="en-GB"/>
        </w:rPr>
        <w:instrText>Hamwic</w:instrText>
      </w:r>
      <w:r>
        <w:instrText xml:space="preserve">" </w:instrText>
      </w:r>
      <w:r>
        <w:rPr>
          <w:rFonts w:cs="Times New Roman"/>
          <w:sz w:val="20"/>
          <w:szCs w:val="20"/>
        </w:rPr>
        <w:fldChar w:fldCharType="end"/>
      </w:r>
      <w:r w:rsidRPr="00164923">
        <w:rPr>
          <w:rFonts w:cs="Times New Roman"/>
          <w:sz w:val="20"/>
          <w:szCs w:val="20"/>
        </w:rPr>
        <w:t xml:space="preserve">, Ipswich, Dorestad, Birka) in that there was </w:t>
      </w:r>
      <w:r>
        <w:rPr>
          <w:rFonts w:cs="Times New Roman"/>
          <w:sz w:val="20"/>
          <w:szCs w:val="20"/>
        </w:rPr>
        <w:t>no p</w:t>
      </w:r>
      <w:r w:rsidRPr="00164923">
        <w:rPr>
          <w:rFonts w:cs="Times New Roman"/>
          <w:sz w:val="20"/>
          <w:szCs w:val="20"/>
        </w:rPr>
        <w:t>rotection for the Frisian merchants</w:t>
      </w:r>
      <w:r>
        <w:rPr>
          <w:rFonts w:cs="Times New Roman"/>
          <w:sz w:val="20"/>
          <w:szCs w:val="20"/>
        </w:rPr>
        <w:t>, who he speculated</w:t>
      </w:r>
      <w:r w:rsidRPr="00164923">
        <w:rPr>
          <w:rFonts w:cs="Times New Roman"/>
          <w:sz w:val="20"/>
          <w:szCs w:val="20"/>
        </w:rPr>
        <w:t xml:space="preserve"> were </w:t>
      </w:r>
      <w:r>
        <w:rPr>
          <w:rFonts w:cs="Times New Roman"/>
          <w:sz w:val="20"/>
          <w:szCs w:val="20"/>
        </w:rPr>
        <w:t xml:space="preserve">resident there, after one of them killed the son of a local noble in the course of a disturbance, precipitating the departure of the Frisians. </w:t>
      </w:r>
    </w:p>
  </w:footnote>
  <w:footnote w:id="845">
    <w:p w14:paraId="1A4A3BC5" w14:textId="77777777" w:rsidR="000E1004" w:rsidRPr="001520FB" w:rsidRDefault="000E1004" w:rsidP="00445D6E">
      <w:pPr>
        <w:pStyle w:val="FootnoteText"/>
      </w:pPr>
      <w:r>
        <w:rPr>
          <w:rStyle w:val="FootnoteReference"/>
        </w:rPr>
        <w:footnoteRef/>
      </w:r>
      <w:r>
        <w:t xml:space="preserve"> O’Connor (1994). Carver </w:t>
      </w:r>
      <w:r w:rsidRPr="00BD78C0">
        <w:rPr>
          <w:i/>
        </w:rPr>
        <w:t>et al.</w:t>
      </w:r>
    </w:p>
  </w:footnote>
  <w:footnote w:id="846">
    <w:p w14:paraId="2CE3C604" w14:textId="77777777" w:rsidR="000E1004" w:rsidRDefault="000E1004" w:rsidP="00445D6E">
      <w:pPr>
        <w:pStyle w:val="FootnoteText"/>
      </w:pPr>
      <w:r>
        <w:rPr>
          <w:rStyle w:val="FootnoteReference"/>
        </w:rPr>
        <w:footnoteRef/>
      </w:r>
      <w:r>
        <w:t xml:space="preserve"> Rogers (1993, 1441). O’Conner (1994, 141).</w:t>
      </w:r>
    </w:p>
  </w:footnote>
  <w:footnote w:id="847">
    <w:p w14:paraId="39304BF0" w14:textId="77777777" w:rsidR="000E1004" w:rsidRDefault="000E1004" w:rsidP="00445D6E">
      <w:pPr>
        <w:pStyle w:val="FootnoteText"/>
      </w:pPr>
      <w:r>
        <w:rPr>
          <w:rStyle w:val="FootnoteReference"/>
        </w:rPr>
        <w:footnoteRef/>
      </w:r>
      <w:r>
        <w:t xml:space="preserve"> Mainman (1993, 649).</w:t>
      </w:r>
    </w:p>
  </w:footnote>
  <w:footnote w:id="848">
    <w:p w14:paraId="0CDE10C7" w14:textId="77777777" w:rsidR="000E1004" w:rsidRDefault="000E1004" w:rsidP="00445D6E">
      <w:pPr>
        <w:pStyle w:val="FootnoteText"/>
      </w:pPr>
      <w:r>
        <w:rPr>
          <w:rStyle w:val="FootnoteReference"/>
        </w:rPr>
        <w:footnoteRef/>
      </w:r>
      <w:r>
        <w:t xml:space="preserve"> Kemp (1996, 95-105). Mainman &amp; Hall (forthcoming) </w:t>
      </w:r>
      <w:r w:rsidRPr="001A5DE4">
        <w:t>mention the ‘unusual emphasis on cattle’</w:t>
      </w:r>
      <w:r>
        <w:t xml:space="preserve"> as evidence of outside control.</w:t>
      </w:r>
    </w:p>
  </w:footnote>
  <w:footnote w:id="849">
    <w:p w14:paraId="3E366CEC" w14:textId="77777777" w:rsidR="000E1004" w:rsidRDefault="000E1004" w:rsidP="00445D6E">
      <w:pPr>
        <w:pStyle w:val="FootnoteText"/>
      </w:pPr>
      <w:r>
        <w:rPr>
          <w:rStyle w:val="FootnoteReference"/>
        </w:rPr>
        <w:footnoteRef/>
      </w:r>
      <w:r>
        <w:t xml:space="preserve"> Kemp (1996, 7).</w:t>
      </w:r>
      <w:r w:rsidRPr="00BE44B1">
        <w:t xml:space="preserve"> </w:t>
      </w:r>
      <w:r>
        <w:t>Hall (1996, 70) stated that ‘the average total depth of deposits spanning nearly two centuries of occupation there was only about 0.1m (</w:t>
      </w:r>
      <w:r w:rsidRPr="00BD0884">
        <w:rPr>
          <w:i/>
        </w:rPr>
        <w:t>c.</w:t>
      </w:r>
      <w:r>
        <w:t>3 ins).’</w:t>
      </w:r>
    </w:p>
  </w:footnote>
  <w:footnote w:id="850">
    <w:p w14:paraId="48FD7047" w14:textId="77777777" w:rsidR="000E1004" w:rsidRDefault="000E1004" w:rsidP="00445D6E">
      <w:pPr>
        <w:pStyle w:val="FootnoteText"/>
      </w:pPr>
      <w:r>
        <w:rPr>
          <w:rStyle w:val="FootnoteReference"/>
        </w:rPr>
        <w:footnoteRef/>
      </w:r>
      <w:r>
        <w:t xml:space="preserve"> </w:t>
      </w:r>
      <w:r>
        <w:rPr>
          <w:rFonts w:eastAsia="Times New Roman" w:cs="Times New Roman"/>
          <w:iCs/>
          <w:szCs w:val="24"/>
          <w:lang w:eastAsia="en-GB"/>
        </w:rPr>
        <w:t xml:space="preserve">Dobney </w:t>
      </w:r>
      <w:r w:rsidRPr="00221277">
        <w:rPr>
          <w:rFonts w:eastAsia="Times New Roman" w:cs="Times New Roman"/>
          <w:i/>
          <w:iCs/>
          <w:szCs w:val="24"/>
          <w:lang w:eastAsia="en-GB"/>
        </w:rPr>
        <w:t>et al</w:t>
      </w:r>
      <w:r>
        <w:t xml:space="preserve"> (2000, 133-4). Hall (1996, 84-5). O’Conner (1994, 141-2), who suggested that waste could have been treated selectively.</w:t>
      </w:r>
    </w:p>
  </w:footnote>
  <w:footnote w:id="851">
    <w:p w14:paraId="3DC925C4" w14:textId="77777777" w:rsidR="000E1004" w:rsidRDefault="000E1004" w:rsidP="00445D6E">
      <w:pPr>
        <w:pStyle w:val="FootnoteText"/>
      </w:pPr>
      <w:r>
        <w:rPr>
          <w:rStyle w:val="FootnoteReference"/>
        </w:rPr>
        <w:footnoteRef/>
      </w:r>
      <w:r>
        <w:t xml:space="preserve"> Smith (2006, 100). Also, </w:t>
      </w:r>
      <w:r>
        <w:rPr>
          <w:rFonts w:eastAsia="Times New Roman" w:cs="Times New Roman"/>
          <w:iCs/>
          <w:szCs w:val="24"/>
          <w:lang w:eastAsia="en-GB"/>
        </w:rPr>
        <w:t>we may be judging the lack of dietary diversity with modern eyes 181.</w:t>
      </w:r>
    </w:p>
  </w:footnote>
  <w:footnote w:id="852">
    <w:p w14:paraId="68BA9F1A" w14:textId="1B602FDF" w:rsidR="000E1004" w:rsidRDefault="000E1004" w:rsidP="00445D6E">
      <w:pPr>
        <w:pStyle w:val="FootnoteText"/>
      </w:pPr>
      <w:r>
        <w:rPr>
          <w:rStyle w:val="FootnoteReference"/>
        </w:rPr>
        <w:footnoteRef/>
      </w:r>
      <w:r>
        <w:t xml:space="preserve"> </w:t>
      </w:r>
      <w:r>
        <w:rPr>
          <w:rFonts w:eastAsia="Times New Roman" w:cs="Times New Roman"/>
          <w:iCs/>
          <w:szCs w:val="24"/>
          <w:lang w:eastAsia="en-GB"/>
        </w:rPr>
        <w:t xml:space="preserve">Animal bone analysis shows a curious absence of </w:t>
      </w:r>
      <w:r w:rsidRPr="00AD2FA3">
        <w:rPr>
          <w:rFonts w:eastAsia="Times New Roman" w:cs="Times New Roman"/>
          <w:i/>
          <w:iCs/>
          <w:szCs w:val="24"/>
          <w:lang w:eastAsia="en-GB"/>
        </w:rPr>
        <w:t xml:space="preserve">Rattus </w:t>
      </w:r>
      <w:proofErr w:type="spellStart"/>
      <w:r w:rsidRPr="00AD2FA3">
        <w:rPr>
          <w:rFonts w:eastAsia="Times New Roman" w:cs="Times New Roman"/>
          <w:i/>
          <w:iCs/>
          <w:szCs w:val="24"/>
          <w:lang w:eastAsia="en-GB"/>
        </w:rPr>
        <w:t>rattus</w:t>
      </w:r>
      <w:proofErr w:type="spellEnd"/>
      <w:r>
        <w:rPr>
          <w:rFonts w:eastAsia="Times New Roman" w:cs="Times New Roman"/>
          <w:iCs/>
          <w:szCs w:val="24"/>
          <w:lang w:eastAsia="en-GB"/>
        </w:rPr>
        <w:t xml:space="preserve"> which was present in Roman</w:t>
      </w:r>
      <w:r>
        <w:rPr>
          <w:rFonts w:eastAsia="Times New Roman" w:cs="Times New Roman"/>
          <w:iCs/>
          <w:szCs w:val="24"/>
          <w:lang w:eastAsia="en-GB"/>
        </w:rPr>
        <w:fldChar w:fldCharType="begin"/>
      </w:r>
      <w:r>
        <w:instrText xml:space="preserve"> XE "</w:instrText>
      </w:r>
      <w:r w:rsidRPr="007645AE">
        <w:instrText>Roman</w:instrText>
      </w:r>
      <w:r>
        <w:instrText xml:space="preserve">" </w:instrText>
      </w:r>
      <w:r>
        <w:rPr>
          <w:rFonts w:eastAsia="Times New Roman" w:cs="Times New Roman"/>
          <w:iCs/>
          <w:szCs w:val="24"/>
          <w:lang w:eastAsia="en-GB"/>
        </w:rPr>
        <w:fldChar w:fldCharType="end"/>
      </w:r>
      <w:r>
        <w:rPr>
          <w:rFonts w:eastAsia="Times New Roman" w:cs="Times New Roman"/>
          <w:iCs/>
          <w:szCs w:val="24"/>
          <w:lang w:eastAsia="en-GB"/>
        </w:rPr>
        <w:t xml:space="preserve"> and Anglo-Scandinavian periods. </w:t>
      </w:r>
      <w:r>
        <w:t>Kemp (1996, 82). Hall (1996, 69) ascribed this to possible climate deterioration in the post-Roman</w:t>
      </w:r>
      <w:r>
        <w:fldChar w:fldCharType="begin"/>
      </w:r>
      <w:r>
        <w:instrText xml:space="preserve"> XE "Roman" </w:instrText>
      </w:r>
      <w:r>
        <w:fldChar w:fldCharType="end"/>
      </w:r>
      <w:r>
        <w:t xml:space="preserve"> period (see </w:t>
      </w:r>
      <w:r>
        <w:rPr>
          <w:i/>
        </w:rPr>
        <w:t xml:space="preserve">fn. </w:t>
      </w:r>
      <w:r w:rsidRPr="00786B2E">
        <w:fldChar w:fldCharType="begin"/>
      </w:r>
      <w:r w:rsidRPr="00786B2E">
        <w:instrText xml:space="preserve"> NOTEREF _Ref467662154 \h  \* MERGEFORMAT </w:instrText>
      </w:r>
      <w:r w:rsidRPr="00786B2E">
        <w:fldChar w:fldCharType="separate"/>
      </w:r>
      <w:r w:rsidR="0012026B">
        <w:t>226</w:t>
      </w:r>
      <w:r w:rsidRPr="00786B2E">
        <w:fldChar w:fldCharType="end"/>
      </w:r>
      <w:r>
        <w:t>).</w:t>
      </w:r>
      <w:r>
        <w:rPr>
          <w:rFonts w:eastAsia="Times New Roman" w:cs="Times New Roman"/>
          <w:iCs/>
          <w:szCs w:val="24"/>
          <w:lang w:eastAsia="en-GB"/>
        </w:rPr>
        <w:t xml:space="preserve"> The relative scarcity of toads to frogs and beaver to marten give some clues not only to the background sylvan and immediate hydrological landscape</w:t>
      </w:r>
      <w:r>
        <w:rPr>
          <w:rFonts w:eastAsia="Times New Roman" w:cs="Times New Roman"/>
          <w:iCs/>
          <w:szCs w:val="24"/>
          <w:lang w:eastAsia="en-GB"/>
        </w:rPr>
        <w:fldChar w:fldCharType="begin"/>
      </w:r>
      <w:r>
        <w:instrText xml:space="preserve"> XE "</w:instrText>
      </w:r>
      <w:r w:rsidRPr="007A2080">
        <w:rPr>
          <w:rFonts w:cs="Times New Roman"/>
          <w:b/>
          <w:color w:val="000000" w:themeColor="text1"/>
          <w:sz w:val="56"/>
          <w:szCs w:val="56"/>
        </w:rPr>
        <w:instrText>landscape</w:instrText>
      </w:r>
      <w:r>
        <w:instrText xml:space="preserve">" </w:instrText>
      </w:r>
      <w:r>
        <w:rPr>
          <w:rFonts w:eastAsia="Times New Roman" w:cs="Times New Roman"/>
          <w:iCs/>
          <w:szCs w:val="24"/>
          <w:lang w:eastAsia="en-GB"/>
        </w:rPr>
        <w:fldChar w:fldCharType="end"/>
      </w:r>
      <w:r>
        <w:rPr>
          <w:rFonts w:eastAsia="Times New Roman" w:cs="Times New Roman"/>
          <w:iCs/>
          <w:szCs w:val="24"/>
          <w:lang w:eastAsia="en-GB"/>
        </w:rPr>
        <w:t>,</w:t>
      </w:r>
      <w:r w:rsidRPr="00116C5B">
        <w:rPr>
          <w:rFonts w:eastAsia="Times New Roman" w:cs="Times New Roman"/>
          <w:iCs/>
          <w:szCs w:val="24"/>
          <w:lang w:eastAsia="en-GB"/>
        </w:rPr>
        <w:t xml:space="preserve"> </w:t>
      </w:r>
      <w:r>
        <w:rPr>
          <w:rFonts w:eastAsia="Times New Roman" w:cs="Times New Roman"/>
          <w:iCs/>
          <w:szCs w:val="24"/>
          <w:lang w:eastAsia="en-GB"/>
        </w:rPr>
        <w:t>(with woods nearby and damp underfoot aiding organic preservation). but also, in the case of the latter to potential economic specialisation</w:t>
      </w:r>
      <w:r>
        <w:rPr>
          <w:rFonts w:eastAsia="Times New Roman" w:cs="Times New Roman"/>
          <w:iCs/>
          <w:szCs w:val="24"/>
          <w:lang w:eastAsia="en-GB"/>
        </w:rPr>
        <w:fldChar w:fldCharType="begin"/>
      </w:r>
      <w:r>
        <w:instrText xml:space="preserve"> XE "</w:instrText>
      </w:r>
      <w:r w:rsidRPr="007D3069">
        <w:rPr>
          <w:rFonts w:cs="Times New Roman"/>
          <w:szCs w:val="24"/>
        </w:rPr>
        <w:instrText>specialisation</w:instrText>
      </w:r>
      <w:r>
        <w:instrText xml:space="preserve">" </w:instrText>
      </w:r>
      <w:r>
        <w:rPr>
          <w:rFonts w:eastAsia="Times New Roman" w:cs="Times New Roman"/>
          <w:iCs/>
          <w:szCs w:val="24"/>
          <w:lang w:eastAsia="en-GB"/>
        </w:rPr>
        <w:fldChar w:fldCharType="end"/>
      </w:r>
      <w:r>
        <w:rPr>
          <w:rFonts w:eastAsia="Times New Roman" w:cs="Times New Roman"/>
          <w:iCs/>
          <w:szCs w:val="24"/>
          <w:lang w:eastAsia="en-GB"/>
        </w:rPr>
        <w:t xml:space="preserve">. O’Connor </w:t>
      </w:r>
      <w:r>
        <w:t xml:space="preserve">(1994, </w:t>
      </w:r>
      <w:r>
        <w:rPr>
          <w:rFonts w:eastAsia="Times New Roman" w:cs="Times New Roman"/>
          <w:iCs/>
          <w:szCs w:val="24"/>
          <w:lang w:eastAsia="en-GB"/>
        </w:rPr>
        <w:t xml:space="preserve">142). </w:t>
      </w:r>
      <w:r>
        <w:t>O’Connor (1994, 141) mentioned ‘Devensian coversands in the Vale that could have carried substantial strands of coniferous woodland’ as a habitat for marten, but fails to make the point that it is exactly this type of specialism in luxuries, in this case furs, that is at the heart of emporia</w:t>
      </w:r>
      <w:r>
        <w:fldChar w:fldCharType="begin"/>
      </w:r>
      <w:r>
        <w:instrText xml:space="preserve"> XE "</w:instrText>
      </w:r>
      <w:r w:rsidRPr="007D3069">
        <w:rPr>
          <w:rFonts w:cs="Times New Roman"/>
          <w:i/>
          <w:szCs w:val="24"/>
        </w:rPr>
        <w:instrText>emporia</w:instrText>
      </w:r>
      <w:r>
        <w:instrText xml:space="preserve">" </w:instrText>
      </w:r>
      <w:r>
        <w:fldChar w:fldCharType="end"/>
      </w:r>
      <w:r>
        <w:t>. Vince recognised this in the same volume, (1994, 117).</w:t>
      </w:r>
      <w:r>
        <w:rPr>
          <w:rFonts w:eastAsia="Times New Roman" w:cs="Times New Roman"/>
          <w:iCs/>
          <w:szCs w:val="24"/>
          <w:lang w:eastAsia="en-GB"/>
        </w:rPr>
        <w:t xml:space="preserve">  The infestation of house mice implies intensive occupation</w:t>
      </w:r>
      <w:r>
        <w:rPr>
          <w:rFonts w:eastAsia="Times New Roman" w:cs="Times New Roman"/>
          <w:iCs/>
          <w:color w:val="000000" w:themeColor="text1"/>
          <w:szCs w:val="24"/>
          <w:lang w:eastAsia="en-GB"/>
        </w:rPr>
        <w:t>. T</w:t>
      </w:r>
      <w:r>
        <w:rPr>
          <w:rFonts w:eastAsia="Times New Roman" w:cs="Times New Roman"/>
          <w:iCs/>
          <w:szCs w:val="24"/>
          <w:lang w:eastAsia="en-GB"/>
        </w:rPr>
        <w:t>he absence of shrew shows a lack of ground cover. There is an abundance of cod over other marine species.</w:t>
      </w:r>
      <w:r w:rsidRPr="00116C5B">
        <w:rPr>
          <w:rFonts w:eastAsia="Times New Roman" w:cs="Times New Roman"/>
          <w:iCs/>
          <w:color w:val="000000" w:themeColor="text1"/>
          <w:szCs w:val="24"/>
          <w:lang w:eastAsia="en-GB"/>
        </w:rPr>
        <w:t xml:space="preserve"> </w:t>
      </w:r>
      <w:r w:rsidRPr="00A913A1">
        <w:rPr>
          <w:rFonts w:eastAsia="Times New Roman" w:cs="Times New Roman"/>
          <w:iCs/>
          <w:color w:val="000000" w:themeColor="text1"/>
          <w:szCs w:val="24"/>
          <w:lang w:eastAsia="en-GB"/>
        </w:rPr>
        <w:t>O’Connor (1994</w:t>
      </w:r>
      <w:r>
        <w:rPr>
          <w:rFonts w:eastAsia="Times New Roman" w:cs="Times New Roman"/>
          <w:iCs/>
          <w:color w:val="000000" w:themeColor="text1"/>
          <w:szCs w:val="24"/>
          <w:lang w:eastAsia="en-GB"/>
        </w:rPr>
        <w:t>, 141-2).</w:t>
      </w:r>
    </w:p>
  </w:footnote>
  <w:footnote w:id="853">
    <w:p w14:paraId="5A768C8C" w14:textId="77777777" w:rsidR="000E1004" w:rsidRDefault="000E1004" w:rsidP="00445D6E">
      <w:pPr>
        <w:pStyle w:val="FootnoteText"/>
      </w:pPr>
      <w:r>
        <w:rPr>
          <w:rStyle w:val="FootnoteReference"/>
        </w:rPr>
        <w:footnoteRef/>
      </w:r>
      <w:r>
        <w:t xml:space="preserve"> O’Conner (1994, 139).</w:t>
      </w:r>
    </w:p>
  </w:footnote>
  <w:footnote w:id="854">
    <w:p w14:paraId="10FACA7A" w14:textId="77777777" w:rsidR="000E1004" w:rsidRDefault="000E1004" w:rsidP="00445D6E">
      <w:pPr>
        <w:pStyle w:val="FootnoteText"/>
      </w:pPr>
      <w:r>
        <w:rPr>
          <w:rStyle w:val="FootnoteReference"/>
        </w:rPr>
        <w:footnoteRef/>
      </w:r>
      <w:r>
        <w:t xml:space="preserve"> </w:t>
      </w:r>
      <w:r w:rsidRPr="00A913A1">
        <w:rPr>
          <w:rFonts w:eastAsia="Times New Roman" w:cs="Times New Roman"/>
          <w:iCs/>
          <w:color w:val="000000" w:themeColor="text1"/>
          <w:szCs w:val="24"/>
          <w:lang w:eastAsia="en-GB"/>
        </w:rPr>
        <w:t>O’Connor (1994</w:t>
      </w:r>
      <w:r>
        <w:rPr>
          <w:rFonts w:eastAsia="Times New Roman" w:cs="Times New Roman"/>
          <w:iCs/>
          <w:color w:val="000000" w:themeColor="text1"/>
          <w:szCs w:val="24"/>
          <w:lang w:eastAsia="en-GB"/>
        </w:rPr>
        <w:t>, 144-5).</w:t>
      </w:r>
    </w:p>
  </w:footnote>
  <w:footnote w:id="855">
    <w:p w14:paraId="00366837" w14:textId="77777777" w:rsidR="000E1004" w:rsidRDefault="000E1004" w:rsidP="00445D6E">
      <w:pPr>
        <w:pStyle w:val="FootnoteText"/>
      </w:pPr>
      <w:r>
        <w:rPr>
          <w:rStyle w:val="FootnoteReference"/>
        </w:rPr>
        <w:footnoteRef/>
      </w:r>
      <w:r>
        <w:t xml:space="preserve"> </w:t>
      </w:r>
      <w:r w:rsidRPr="00A913A1">
        <w:rPr>
          <w:rFonts w:eastAsia="Times New Roman" w:cs="Times New Roman"/>
          <w:iCs/>
          <w:color w:val="000000" w:themeColor="text1"/>
          <w:szCs w:val="24"/>
          <w:lang w:eastAsia="en-GB"/>
        </w:rPr>
        <w:t>O’Connor (1994</w:t>
      </w:r>
      <w:r>
        <w:rPr>
          <w:rFonts w:eastAsia="Times New Roman" w:cs="Times New Roman"/>
          <w:iCs/>
          <w:color w:val="000000" w:themeColor="text1"/>
          <w:szCs w:val="24"/>
          <w:lang w:eastAsia="en-GB"/>
        </w:rPr>
        <w:t>, 141 &amp; 2001, 54-5).</w:t>
      </w:r>
    </w:p>
  </w:footnote>
  <w:footnote w:id="856">
    <w:p w14:paraId="2AEF2D2E" w14:textId="541949D7" w:rsidR="000E1004" w:rsidRDefault="000E1004" w:rsidP="00E80C1D">
      <w:pPr>
        <w:pStyle w:val="FootnoteText"/>
      </w:pPr>
      <w:r>
        <w:rPr>
          <w:rStyle w:val="FootnoteReference"/>
        </w:rPr>
        <w:footnoteRef/>
      </w:r>
      <w:r>
        <w:t xml:space="preserve"> </w:t>
      </w:r>
      <w:hyperlink r:id="rId31" w:history="1">
        <w:r w:rsidRPr="00EB664C">
          <w:rPr>
            <w:rStyle w:val="Hyperlink"/>
          </w:rPr>
          <w:t>http://www.iadb.co.uk/i3/item.php?ID=IADB:1307:U71</w:t>
        </w:r>
      </w:hyperlink>
    </w:p>
  </w:footnote>
  <w:footnote w:id="857">
    <w:p w14:paraId="34A4FB87" w14:textId="77777777" w:rsidR="000E1004" w:rsidRPr="008D1679" w:rsidRDefault="000E1004" w:rsidP="00E80C1D">
      <w:pPr>
        <w:pStyle w:val="FootnoteText"/>
      </w:pPr>
      <w:r w:rsidRPr="008D1679">
        <w:rPr>
          <w:rStyle w:val="FootnoteReference"/>
        </w:rPr>
        <w:footnoteRef/>
      </w:r>
      <w:r>
        <w:t xml:space="preserve"> T</w:t>
      </w:r>
      <w:r w:rsidRPr="008D1679">
        <w:t>hough Fishergate</w:t>
      </w:r>
      <w:r>
        <w:fldChar w:fldCharType="begin"/>
      </w:r>
      <w:r>
        <w:instrText xml:space="preserve"> XE "</w:instrText>
      </w:r>
      <w:r w:rsidRPr="004D76A0">
        <w:rPr>
          <w:rStyle w:val="Hyperlink"/>
          <w:noProof/>
        </w:rPr>
        <w:instrText>Fishergate</w:instrText>
      </w:r>
      <w:r>
        <w:instrText xml:space="preserve">" </w:instrText>
      </w:r>
      <w:r>
        <w:fldChar w:fldCharType="end"/>
      </w:r>
      <w:r w:rsidRPr="008D1679">
        <w:t xml:space="preserve"> also had evidence of spinning and fibre preparation, </w:t>
      </w:r>
      <w:r w:rsidRPr="008D1679">
        <w:rPr>
          <w:i/>
          <w:iCs/>
        </w:rPr>
        <w:t>AY</w:t>
      </w:r>
      <w:r w:rsidRPr="008D1679">
        <w:t xml:space="preserve"> 17/9 1441.</w:t>
      </w:r>
    </w:p>
  </w:footnote>
  <w:footnote w:id="858">
    <w:p w14:paraId="38523E43" w14:textId="6932900D" w:rsidR="000E1004" w:rsidRPr="00810ACD" w:rsidRDefault="000E1004" w:rsidP="00387063">
      <w:pPr>
        <w:pStyle w:val="Heading2"/>
        <w:numPr>
          <w:ilvl w:val="1"/>
          <w:numId w:val="7"/>
        </w:numPr>
        <w:rPr>
          <w:rFonts w:cs="Times New Roman"/>
          <w:sz w:val="20"/>
          <w:szCs w:val="20"/>
        </w:rPr>
      </w:pPr>
      <w:r w:rsidRPr="003469F3">
        <w:rPr>
          <w:rStyle w:val="FootnoteReference"/>
          <w:rFonts w:cs="Times New Roman"/>
          <w:b w:val="0"/>
          <w:color w:val="000000" w:themeColor="text1"/>
          <w:sz w:val="20"/>
          <w:szCs w:val="20"/>
        </w:rPr>
        <w:footnoteRef/>
      </w:r>
      <w:r w:rsidRPr="00ED766C">
        <w:rPr>
          <w:rFonts w:cs="Times New Roman"/>
          <w:color w:val="000000" w:themeColor="text1"/>
          <w:sz w:val="20"/>
          <w:szCs w:val="20"/>
        </w:rPr>
        <w:t xml:space="preserve"> </w:t>
      </w:r>
      <w:hyperlink r:id="rId32" w:history="1">
        <w:r w:rsidRPr="00ED766C">
          <w:rPr>
            <w:rStyle w:val="Hyperlink"/>
            <w:b w:val="0"/>
            <w:sz w:val="20"/>
            <w:szCs w:val="20"/>
          </w:rPr>
          <w:t>http://www.iadb.co.uk/i3/item.php?ID=IADB:1307:U71,</w:t>
        </w:r>
      </w:hyperlink>
      <w:r w:rsidRPr="00ED766C">
        <w:rPr>
          <w:b w:val="0"/>
          <w:sz w:val="20"/>
          <w:szCs w:val="20"/>
        </w:rPr>
        <w:t xml:space="preserve"> 5</w:t>
      </w:r>
      <w:r>
        <w:rPr>
          <w:b w:val="0"/>
          <w:sz w:val="20"/>
          <w:szCs w:val="20"/>
        </w:rPr>
        <w:t>.</w:t>
      </w:r>
      <w:r w:rsidRPr="00ED766C">
        <w:rPr>
          <w:b w:val="0"/>
          <w:sz w:val="20"/>
          <w:szCs w:val="20"/>
        </w:rPr>
        <w:t xml:space="preserve"> Conclusion</w:t>
      </w:r>
      <w:r>
        <w:rPr>
          <w:b w:val="0"/>
          <w:sz w:val="20"/>
          <w:szCs w:val="20"/>
        </w:rPr>
        <w:fldChar w:fldCharType="begin"/>
      </w:r>
      <w:r>
        <w:instrText xml:space="preserve"> XE "</w:instrText>
      </w:r>
      <w:r w:rsidRPr="00F1328A">
        <w:rPr>
          <w:rStyle w:val="Hyperlink"/>
          <w:noProof/>
        </w:rPr>
        <w:instrText>Conclusion</w:instrText>
      </w:r>
      <w:r>
        <w:instrText xml:space="preserve">" </w:instrText>
      </w:r>
      <w:r>
        <w:rPr>
          <w:b w:val="0"/>
          <w:sz w:val="20"/>
          <w:szCs w:val="20"/>
        </w:rPr>
        <w:fldChar w:fldCharType="end"/>
      </w:r>
      <w:r w:rsidRPr="00ED766C">
        <w:rPr>
          <w:b w:val="0"/>
          <w:sz w:val="20"/>
          <w:szCs w:val="20"/>
        </w:rPr>
        <w:t>. Iron clench bolts found here are associated with burials are comparable with similar items found at the Minster</w:t>
      </w:r>
      <w:r>
        <w:rPr>
          <w:b w:val="0"/>
          <w:sz w:val="20"/>
          <w:szCs w:val="20"/>
        </w:rPr>
        <w:fldChar w:fldCharType="begin"/>
      </w:r>
      <w:r>
        <w:instrText xml:space="preserve"> XE "</w:instrText>
      </w:r>
      <w:r w:rsidRPr="004D76A0">
        <w:rPr>
          <w:rStyle w:val="Hyperlink"/>
          <w:noProof/>
        </w:rPr>
        <w:instrText>York Minster</w:instrText>
      </w:r>
      <w:r>
        <w:instrText xml:space="preserve">" </w:instrText>
      </w:r>
      <w:r>
        <w:rPr>
          <w:b w:val="0"/>
          <w:sz w:val="20"/>
          <w:szCs w:val="20"/>
        </w:rPr>
        <w:fldChar w:fldCharType="end"/>
      </w:r>
      <w:r w:rsidRPr="00ED766C">
        <w:rPr>
          <w:b w:val="0"/>
          <w:sz w:val="20"/>
          <w:szCs w:val="20"/>
        </w:rPr>
        <w:t xml:space="preserve"> as part of a boat re-used as a bier Kjølbye-Biddle (1995, 500).</w:t>
      </w:r>
    </w:p>
  </w:footnote>
  <w:footnote w:id="859">
    <w:p w14:paraId="6DAB674B" w14:textId="1F8E99BE" w:rsidR="000E1004" w:rsidRPr="00C951E8" w:rsidRDefault="000E1004" w:rsidP="00BD53D4">
      <w:pPr>
        <w:pStyle w:val="FootnoteText"/>
        <w:rPr>
          <w:b/>
        </w:rPr>
      </w:pPr>
      <w:r>
        <w:rPr>
          <w:rStyle w:val="FootnoteReference"/>
        </w:rPr>
        <w:footnoteRef/>
      </w:r>
      <w:r>
        <w:t xml:space="preserve"> Tweddle (1999, 160). This name is shared with the prolific Viking</w:t>
      </w:r>
      <w:r>
        <w:fldChar w:fldCharType="begin"/>
      </w:r>
      <w:r>
        <w:instrText xml:space="preserve"> XE "</w:instrText>
      </w:r>
      <w:r w:rsidRPr="00F1328A">
        <w:rPr>
          <w:rStyle w:val="Hyperlink"/>
          <w:noProof/>
        </w:rPr>
        <w:instrText>Viking</w:instrText>
      </w:r>
      <w:r>
        <w:instrText xml:space="preserve">" </w:instrText>
      </w:r>
      <w:r>
        <w:fldChar w:fldCharType="end"/>
      </w:r>
      <w:r>
        <w:t xml:space="preserve"> site five miles south-east of Borou</w:t>
      </w:r>
      <w:r w:rsidRPr="00C951E8">
        <w:rPr>
          <w:rFonts w:cs="Times New Roman"/>
        </w:rPr>
        <w:t xml:space="preserve">ghbridge, where several stycas have been found. Seventy-two artefacts </w:t>
      </w:r>
      <w:r>
        <w:rPr>
          <w:rFonts w:cs="Times New Roman"/>
        </w:rPr>
        <w:t xml:space="preserve">found by Mark Ainsley and Geoff Bambrook (hence the codename ‘Ainsbrook’ for Aldwark) </w:t>
      </w:r>
      <w:r w:rsidRPr="00C951E8">
        <w:rPr>
          <w:rFonts w:cs="Times New Roman"/>
        </w:rPr>
        <w:t>are recorded at PAS</w:t>
      </w:r>
      <w:r>
        <w:rPr>
          <w:rFonts w:cs="Times New Roman"/>
        </w:rPr>
        <w:fldChar w:fldCharType="begin"/>
      </w:r>
      <w:r>
        <w:instrText xml:space="preserve"> XE "</w:instrText>
      </w:r>
      <w:r w:rsidRPr="007D3069">
        <w:instrText>PAS</w:instrText>
      </w:r>
      <w:r>
        <w:instrText xml:space="preserve">" </w:instrText>
      </w:r>
      <w:r>
        <w:rPr>
          <w:rFonts w:cs="Times New Roman"/>
        </w:rPr>
        <w:fldChar w:fldCharType="end"/>
      </w:r>
      <w:r w:rsidRPr="00C951E8">
        <w:rPr>
          <w:rFonts w:cs="Times New Roman"/>
        </w:rPr>
        <w:t xml:space="preserve"> 2007 T186</w:t>
      </w:r>
      <w:r>
        <w:rPr>
          <w:rFonts w:cs="Times New Roman"/>
        </w:rPr>
        <w:t xml:space="preserve"> </w:t>
      </w:r>
      <w:r w:rsidRPr="00AD711A">
        <w:rPr>
          <w:rFonts w:cs="Times New Roman"/>
          <w:i/>
        </w:rPr>
        <w:t>aka</w:t>
      </w:r>
      <w:r>
        <w:rPr>
          <w:rFonts w:cs="Times New Roman"/>
        </w:rPr>
        <w:t xml:space="preserve"> ARSNY</w:t>
      </w:r>
      <w:r w:rsidRPr="00C951E8">
        <w:rPr>
          <w:rFonts w:cs="Times New Roman"/>
        </w:rPr>
        <w:t>.</w:t>
      </w:r>
    </w:p>
  </w:footnote>
  <w:footnote w:id="860">
    <w:p w14:paraId="09D5C9E8" w14:textId="0D639C66" w:rsidR="000E1004" w:rsidRPr="008C37E2" w:rsidRDefault="000E1004" w:rsidP="00BD53D4">
      <w:pPr>
        <w:pStyle w:val="NoSpacing"/>
        <w:rPr>
          <w:rFonts w:cs="Times New Roman"/>
          <w:sz w:val="20"/>
          <w:szCs w:val="20"/>
        </w:rPr>
      </w:pPr>
      <w:r w:rsidRPr="0061224C">
        <w:rPr>
          <w:rStyle w:val="FootnoteReference"/>
          <w:rFonts w:cs="Times New Roman"/>
          <w:sz w:val="20"/>
          <w:szCs w:val="20"/>
        </w:rPr>
        <w:footnoteRef/>
      </w:r>
      <w:r>
        <w:rPr>
          <w:rFonts w:cs="Times New Roman"/>
          <w:sz w:val="20"/>
          <w:szCs w:val="20"/>
        </w:rPr>
        <w:t xml:space="preserve"> E.g. King’s P</w:t>
      </w:r>
      <w:r w:rsidRPr="0061224C">
        <w:rPr>
          <w:rFonts w:cs="Times New Roman"/>
          <w:sz w:val="20"/>
          <w:szCs w:val="20"/>
        </w:rPr>
        <w:t>ool on the Foss. The Ouse was wider and tidal with several fish species now extinct (</w:t>
      </w:r>
      <w:r w:rsidRPr="0061224C">
        <w:rPr>
          <w:rFonts w:cs="Times New Roman"/>
          <w:i/>
          <w:sz w:val="20"/>
          <w:szCs w:val="20"/>
        </w:rPr>
        <w:t xml:space="preserve">pers. comm. </w:t>
      </w:r>
      <w:r>
        <w:rPr>
          <w:rFonts w:cs="Times New Roman"/>
          <w:sz w:val="20"/>
          <w:szCs w:val="20"/>
        </w:rPr>
        <w:t>Andrew ‘Bone’ Jones, 8</w:t>
      </w:r>
      <w:r w:rsidRPr="0061224C">
        <w:rPr>
          <w:rFonts w:cs="Times New Roman"/>
          <w:sz w:val="20"/>
          <w:szCs w:val="20"/>
          <w:vertAlign w:val="superscript"/>
        </w:rPr>
        <w:t>th</w:t>
      </w:r>
      <w:r>
        <w:rPr>
          <w:rFonts w:cs="Times New Roman"/>
          <w:sz w:val="20"/>
          <w:szCs w:val="20"/>
        </w:rPr>
        <w:t xml:space="preserve"> April 2015).</w:t>
      </w:r>
    </w:p>
  </w:footnote>
  <w:footnote w:id="861">
    <w:p w14:paraId="69AF8512" w14:textId="77777777" w:rsidR="000E1004" w:rsidRDefault="000E1004" w:rsidP="00BD53D4">
      <w:pPr>
        <w:pStyle w:val="FootnoteText"/>
      </w:pPr>
      <w:r>
        <w:rPr>
          <w:rStyle w:val="FootnoteReference"/>
        </w:rPr>
        <w:footnoteRef/>
      </w:r>
      <w:r>
        <w:t xml:space="preserve"> Mainman &amp; Hall (forthcoming).</w:t>
      </w:r>
    </w:p>
  </w:footnote>
  <w:footnote w:id="862">
    <w:p w14:paraId="0D0083EF" w14:textId="77777777" w:rsidR="000E1004" w:rsidRDefault="000E1004" w:rsidP="0040258B">
      <w:pPr>
        <w:pStyle w:val="FootnoteText"/>
      </w:pPr>
      <w:r>
        <w:rPr>
          <w:rStyle w:val="FootnoteReference"/>
        </w:rPr>
        <w:footnoteRef/>
      </w:r>
      <w:r>
        <w:t xml:space="preserve"> Hall (1996, 54-5)</w:t>
      </w:r>
      <w:r>
        <w:rPr>
          <w:szCs w:val="24"/>
        </w:rPr>
        <w:t xml:space="preserve">. </w:t>
      </w:r>
      <w:r>
        <w:t>Possible fifth-century burials include an inhumation at Hungate and an un-urned cremation at Driffield</w:t>
      </w:r>
      <w:r>
        <w:fldChar w:fldCharType="begin"/>
      </w:r>
      <w:r>
        <w:instrText xml:space="preserve"> XE "</w:instrText>
      </w:r>
      <w:r w:rsidRPr="004D76A0">
        <w:rPr>
          <w:rStyle w:val="Hyperlink"/>
          <w:rFonts w:eastAsia="Times New Roman"/>
          <w:noProof/>
          <w:lang w:eastAsia="en-GB"/>
        </w:rPr>
        <w:instrText>Driffield</w:instrText>
      </w:r>
      <w:r>
        <w:instrText xml:space="preserve">" </w:instrText>
      </w:r>
      <w:r>
        <w:fldChar w:fldCharType="end"/>
      </w:r>
      <w:r>
        <w:t xml:space="preserve"> Terrace.</w:t>
      </w:r>
    </w:p>
  </w:footnote>
  <w:footnote w:id="863">
    <w:p w14:paraId="67D21228" w14:textId="77777777" w:rsidR="000E1004" w:rsidRDefault="000E1004" w:rsidP="0040258B">
      <w:pPr>
        <w:pStyle w:val="FootnoteText"/>
      </w:pPr>
      <w:r>
        <w:rPr>
          <w:rStyle w:val="FootnoteReference"/>
        </w:rPr>
        <w:footnoteRef/>
      </w:r>
      <w:r>
        <w:t xml:space="preserve"> Hall (1996, 33-4).</w:t>
      </w:r>
    </w:p>
  </w:footnote>
  <w:footnote w:id="864">
    <w:p w14:paraId="010F7A6D" w14:textId="77777777" w:rsidR="000E1004" w:rsidRDefault="000E1004" w:rsidP="0040258B">
      <w:pPr>
        <w:pStyle w:val="FootnoteText"/>
      </w:pPr>
      <w:r>
        <w:rPr>
          <w:rStyle w:val="FootnoteReference"/>
        </w:rPr>
        <w:footnoteRef/>
      </w:r>
      <w:r>
        <w:t xml:space="preserve"> Mainman &amp; Hall (forthcoming).</w:t>
      </w:r>
    </w:p>
  </w:footnote>
  <w:footnote w:id="865">
    <w:p w14:paraId="50166F87" w14:textId="06570EA3" w:rsidR="000E1004" w:rsidRDefault="000E1004" w:rsidP="00BD53D4">
      <w:pPr>
        <w:pStyle w:val="NoSpacing"/>
      </w:pPr>
      <w:r w:rsidRPr="00A02688">
        <w:rPr>
          <w:rStyle w:val="FootnoteReference"/>
          <w:rFonts w:cs="Times New Roman"/>
          <w:sz w:val="20"/>
          <w:szCs w:val="20"/>
        </w:rPr>
        <w:footnoteRef/>
      </w:r>
      <w:r w:rsidRPr="00A02688">
        <w:t xml:space="preserve"> </w:t>
      </w:r>
      <w:r>
        <w:rPr>
          <w:sz w:val="20"/>
          <w:szCs w:val="20"/>
        </w:rPr>
        <w:t>I</w:t>
      </w:r>
      <w:r w:rsidRPr="00A02688">
        <w:rPr>
          <w:sz w:val="20"/>
          <w:szCs w:val="20"/>
        </w:rPr>
        <w:t>mage courtesy of</w:t>
      </w:r>
      <w:r>
        <w:rPr>
          <w:sz w:val="20"/>
          <w:szCs w:val="20"/>
        </w:rPr>
        <w:t xml:space="preserve"> </w:t>
      </w:r>
      <w:r>
        <w:rPr>
          <w:sz w:val="20"/>
          <w:szCs w:val="20"/>
          <w:lang w:val="en-US"/>
        </w:rPr>
        <w:t>York</w:t>
      </w:r>
      <w:r>
        <w:rPr>
          <w:sz w:val="20"/>
          <w:szCs w:val="20"/>
          <w:lang w:val="en-US"/>
        </w:rPr>
        <w:fldChar w:fldCharType="begin"/>
      </w:r>
      <w:r>
        <w:instrText xml:space="preserve"> XE "</w:instrText>
      </w:r>
      <w:r w:rsidRPr="00F1328A">
        <w:rPr>
          <w:rStyle w:val="Hyperlink"/>
          <w:noProof/>
        </w:rPr>
        <w:instrText>York</w:instrText>
      </w:r>
      <w:r>
        <w:instrText xml:space="preserve">" </w:instrText>
      </w:r>
      <w:r>
        <w:rPr>
          <w:sz w:val="20"/>
          <w:szCs w:val="20"/>
          <w:lang w:val="en-US"/>
        </w:rPr>
        <w:fldChar w:fldCharType="end"/>
      </w:r>
      <w:r>
        <w:rPr>
          <w:sz w:val="20"/>
          <w:szCs w:val="20"/>
          <w:lang w:val="en-US"/>
        </w:rPr>
        <w:t xml:space="preserve"> Museums Trust: </w:t>
      </w:r>
      <w:r w:rsidRPr="00A02688">
        <w:rPr>
          <w:color w:val="4472C4" w:themeColor="accent5"/>
          <w:sz w:val="20"/>
          <w:szCs w:val="20"/>
          <w:u w:val="single"/>
          <w:lang w:val="en-US"/>
        </w:rPr>
        <w:t xml:space="preserve">http://yorkmuseumstrust.org.uk </w:t>
      </w:r>
      <w:r>
        <w:rPr>
          <w:sz w:val="20"/>
          <w:szCs w:val="20"/>
          <w:lang w:val="en-US"/>
        </w:rPr>
        <w:t xml:space="preserve">- </w:t>
      </w:r>
      <w:r w:rsidRPr="00A02688">
        <w:rPr>
          <w:sz w:val="20"/>
          <w:szCs w:val="20"/>
          <w:lang w:val="en-US"/>
        </w:rPr>
        <w:t>CC BY-SA 4.</w:t>
      </w:r>
    </w:p>
  </w:footnote>
  <w:footnote w:id="866">
    <w:p w14:paraId="770275D5" w14:textId="5E577FE7" w:rsidR="000E1004" w:rsidRDefault="000E1004" w:rsidP="00BD53D4">
      <w:pPr>
        <w:pStyle w:val="FootnoteText"/>
      </w:pPr>
      <w:r>
        <w:rPr>
          <w:rStyle w:val="FootnoteReference"/>
        </w:rPr>
        <w:footnoteRef/>
      </w:r>
      <w:r>
        <w:t xml:space="preserve"> </w:t>
      </w:r>
      <w:r w:rsidRPr="009B79D8">
        <w:rPr>
          <w:i/>
        </w:rPr>
        <w:t>Ibid</w:t>
      </w:r>
      <w:r>
        <w:t>. Tweddle (1986, 176).</w:t>
      </w:r>
    </w:p>
  </w:footnote>
  <w:footnote w:id="867">
    <w:p w14:paraId="346F5D39" w14:textId="77777777" w:rsidR="000E1004" w:rsidRPr="00AC016D" w:rsidRDefault="000E1004" w:rsidP="00BD53D4">
      <w:pPr>
        <w:pStyle w:val="FootnoteText"/>
        <w:rPr>
          <w:rFonts w:cs="Times New Roman"/>
        </w:rPr>
      </w:pPr>
      <w:r w:rsidRPr="00AC016D">
        <w:rPr>
          <w:rStyle w:val="FootnoteReference"/>
          <w:rFonts w:cs="Times New Roman"/>
        </w:rPr>
        <w:footnoteRef/>
      </w:r>
      <w:r>
        <w:rPr>
          <w:rFonts w:cs="Times New Roman"/>
        </w:rPr>
        <w:t xml:space="preserve"> Hall (1988, </w:t>
      </w:r>
      <w:r w:rsidRPr="00AC016D">
        <w:rPr>
          <w:rFonts w:cs="Times New Roman"/>
        </w:rPr>
        <w:t>128</w:t>
      </w:r>
      <w:r>
        <w:rPr>
          <w:rFonts w:cs="Times New Roman"/>
        </w:rPr>
        <w:t>)</w:t>
      </w:r>
      <w:r w:rsidRPr="00AC016D">
        <w:rPr>
          <w:rFonts w:cs="Times New Roman"/>
        </w:rPr>
        <w:t>.</w:t>
      </w:r>
    </w:p>
  </w:footnote>
  <w:footnote w:id="868">
    <w:p w14:paraId="2F581C77" w14:textId="7F3DACF0" w:rsidR="000E1004" w:rsidRDefault="000E1004" w:rsidP="00BD53D4">
      <w:pPr>
        <w:pStyle w:val="FootnoteText"/>
      </w:pPr>
      <w:r w:rsidRPr="00AC016D">
        <w:rPr>
          <w:rStyle w:val="FootnoteReference"/>
          <w:rFonts w:cs="Times New Roman"/>
        </w:rPr>
        <w:footnoteRef/>
      </w:r>
      <w:r w:rsidRPr="00AC016D">
        <w:rPr>
          <w:rFonts w:cs="Times New Roman"/>
        </w:rPr>
        <w:t xml:space="preserve"> James </w:t>
      </w:r>
      <w:r>
        <w:rPr>
          <w:rFonts w:cs="Times New Roman"/>
        </w:rPr>
        <w:t xml:space="preserve">(1995, </w:t>
      </w:r>
      <w:r w:rsidRPr="00AC016D">
        <w:rPr>
          <w:rFonts w:cs="Times New Roman"/>
        </w:rPr>
        <w:t>10</w:t>
      </w:r>
      <w:r>
        <w:rPr>
          <w:rFonts w:cs="Times New Roman"/>
        </w:rPr>
        <w:t>).</w:t>
      </w:r>
      <w:r w:rsidRPr="00AC016D">
        <w:rPr>
          <w:rFonts w:cs="Times New Roman"/>
        </w:rPr>
        <w:t xml:space="preserve"> </w:t>
      </w:r>
      <w:r w:rsidRPr="000D5800">
        <w:rPr>
          <w:rFonts w:cs="Times New Roman"/>
        </w:rPr>
        <w:t>Alcuin</w:t>
      </w:r>
      <w:r>
        <w:rPr>
          <w:rFonts w:cs="Times New Roman"/>
        </w:rPr>
        <w:fldChar w:fldCharType="begin"/>
      </w:r>
      <w:r>
        <w:instrText xml:space="preserve"> XE "</w:instrText>
      </w:r>
      <w:r w:rsidRPr="007D3069">
        <w:rPr>
          <w:rFonts w:cs="Times New Roman"/>
          <w:szCs w:val="24"/>
        </w:rPr>
        <w:instrText>Alcuin</w:instrText>
      </w:r>
      <w:r>
        <w:instrText xml:space="preserve">" </w:instrText>
      </w:r>
      <w:r>
        <w:rPr>
          <w:rFonts w:cs="Times New Roman"/>
        </w:rPr>
        <w:fldChar w:fldCharType="end"/>
      </w:r>
      <w:r w:rsidRPr="000D5800">
        <w:rPr>
          <w:rFonts w:cs="Times New Roman"/>
        </w:rPr>
        <w:t xml:space="preserve"> </w:t>
      </w:r>
      <w:r>
        <w:rPr>
          <w:rFonts w:cs="Times New Roman"/>
        </w:rPr>
        <w:t>(</w:t>
      </w:r>
      <w:r>
        <w:rPr>
          <w:rFonts w:cs="Times New Roman"/>
          <w:i/>
        </w:rPr>
        <w:t>fn.</w:t>
      </w:r>
      <w:r>
        <w:rPr>
          <w:rFonts w:cs="Times New Roman"/>
        </w:rPr>
        <w:t xml:space="preserve"> </w:t>
      </w:r>
      <w:r>
        <w:rPr>
          <w:rFonts w:cs="Times New Roman"/>
        </w:rPr>
        <w:fldChar w:fldCharType="begin"/>
      </w:r>
      <w:r>
        <w:rPr>
          <w:rFonts w:cs="Times New Roman"/>
        </w:rPr>
        <w:instrText xml:space="preserve"> NOTEREF _Ref428515500 \h </w:instrText>
      </w:r>
      <w:r>
        <w:rPr>
          <w:rFonts w:cs="Times New Roman"/>
        </w:rPr>
      </w:r>
      <w:r>
        <w:rPr>
          <w:rFonts w:cs="Times New Roman"/>
        </w:rPr>
        <w:fldChar w:fldCharType="separate"/>
      </w:r>
      <w:r w:rsidR="0012026B">
        <w:rPr>
          <w:rFonts w:cs="Times New Roman"/>
        </w:rPr>
        <w:t>810</w:t>
      </w:r>
      <w:r>
        <w:rPr>
          <w:rFonts w:cs="Times New Roman"/>
        </w:rPr>
        <w:fldChar w:fldCharType="end"/>
      </w:r>
      <w:r>
        <w:rPr>
          <w:rFonts w:cs="Times New Roman"/>
        </w:rPr>
        <w:t>)</w:t>
      </w:r>
      <w:r w:rsidRPr="000D5800">
        <w:rPr>
          <w:rFonts w:cs="Times New Roman"/>
        </w:rPr>
        <w:t>.</w:t>
      </w:r>
    </w:p>
  </w:footnote>
  <w:footnote w:id="869">
    <w:p w14:paraId="4A49DB3D" w14:textId="77777777" w:rsidR="000E1004" w:rsidRPr="00D87D93" w:rsidRDefault="000E1004" w:rsidP="00BD53D4">
      <w:pPr>
        <w:pStyle w:val="FootnoteText"/>
      </w:pPr>
      <w:bookmarkStart w:id="539" w:name="_Ref438031170"/>
      <w:r>
        <w:rPr>
          <w:rStyle w:val="FootnoteReference"/>
        </w:rPr>
        <w:footnoteRef/>
      </w:r>
      <w:r>
        <w:t xml:space="preserve"> </w:t>
      </w:r>
      <w:r w:rsidRPr="00D87D93">
        <w:rPr>
          <w:i/>
        </w:rPr>
        <w:t>Med</w:t>
      </w:r>
      <w:r>
        <w:t xml:space="preserve"> </w:t>
      </w:r>
      <w:r w:rsidRPr="00D87D93">
        <w:rPr>
          <w:i/>
        </w:rPr>
        <w:t>Arch</w:t>
      </w:r>
      <w:r>
        <w:t xml:space="preserve"> (52, 2008, 1).</w:t>
      </w:r>
      <w:bookmarkEnd w:id="539"/>
    </w:p>
  </w:footnote>
  <w:footnote w:id="870">
    <w:p w14:paraId="0E6C9339" w14:textId="675A33C6" w:rsidR="000E1004" w:rsidRDefault="000E1004" w:rsidP="00BD53D4">
      <w:pPr>
        <w:pStyle w:val="FootnoteText"/>
      </w:pPr>
      <w:r>
        <w:rPr>
          <w:rStyle w:val="FootnoteReference"/>
        </w:rPr>
        <w:footnoteRef/>
      </w:r>
      <w:r>
        <w:t xml:space="preserve"> </w:t>
      </w:r>
      <w:r w:rsidRPr="00D87D93">
        <w:rPr>
          <w:i/>
        </w:rPr>
        <w:t>Med</w:t>
      </w:r>
      <w:r>
        <w:t xml:space="preserve"> </w:t>
      </w:r>
      <w:r w:rsidRPr="00D87D93">
        <w:rPr>
          <w:i/>
        </w:rPr>
        <w:t>Arch</w:t>
      </w:r>
      <w:r>
        <w:t xml:space="preserve"> (52, 2008, 18-9). See </w:t>
      </w:r>
      <w:r w:rsidRPr="000510D7">
        <w:rPr>
          <w:i/>
        </w:rPr>
        <w:t>Table</w:t>
      </w:r>
      <w:r w:rsidRPr="000510D7">
        <w:rPr>
          <w:i/>
        </w:rPr>
        <w:fldChar w:fldCharType="begin"/>
      </w:r>
      <w:r>
        <w:instrText xml:space="preserve"> XE "</w:instrText>
      </w:r>
      <w:r w:rsidRPr="000510D7">
        <w:rPr>
          <w:noProof/>
        </w:rPr>
        <w:instrText>Table</w:instrText>
      </w:r>
      <w:r>
        <w:instrText xml:space="preserve">" </w:instrText>
      </w:r>
      <w:r w:rsidRPr="000510D7">
        <w:rPr>
          <w:i/>
        </w:rPr>
        <w:fldChar w:fldCharType="end"/>
      </w:r>
      <w:r w:rsidRPr="000510D7">
        <w:rPr>
          <w:i/>
        </w:rPr>
        <w:t xml:space="preserve"> </w:t>
      </w:r>
      <w:r>
        <w:rPr>
          <w:i/>
        </w:rPr>
        <w:t>7.08</w:t>
      </w:r>
      <w:r>
        <w:t xml:space="preserve"> for my suggestions of possible site-shifts.</w:t>
      </w:r>
    </w:p>
  </w:footnote>
  <w:footnote w:id="871">
    <w:p w14:paraId="76589FEF" w14:textId="1D516DF3" w:rsidR="000E1004" w:rsidRPr="00080B07" w:rsidRDefault="000E1004" w:rsidP="00BD53D4">
      <w:pPr>
        <w:pStyle w:val="NoSpacing"/>
        <w:spacing w:line="276" w:lineRule="auto"/>
        <w:rPr>
          <w:sz w:val="20"/>
          <w:szCs w:val="20"/>
        </w:rPr>
      </w:pPr>
      <w:r w:rsidRPr="00080B07">
        <w:rPr>
          <w:rStyle w:val="FootnoteReference"/>
          <w:sz w:val="20"/>
          <w:szCs w:val="20"/>
        </w:rPr>
        <w:footnoteRef/>
      </w:r>
      <w:r w:rsidRPr="00080B07">
        <w:rPr>
          <w:sz w:val="20"/>
          <w:szCs w:val="20"/>
        </w:rPr>
        <w:t xml:space="preserve"> </w:t>
      </w:r>
      <w:r w:rsidRPr="00080B07">
        <w:rPr>
          <w:i/>
          <w:sz w:val="20"/>
          <w:szCs w:val="20"/>
        </w:rPr>
        <w:t>Med</w:t>
      </w:r>
      <w:r w:rsidRPr="00080B07">
        <w:rPr>
          <w:sz w:val="20"/>
          <w:szCs w:val="20"/>
        </w:rPr>
        <w:t xml:space="preserve"> </w:t>
      </w:r>
      <w:r w:rsidRPr="00080B07">
        <w:rPr>
          <w:i/>
          <w:sz w:val="20"/>
          <w:szCs w:val="20"/>
        </w:rPr>
        <w:t>Arch</w:t>
      </w:r>
      <w:r>
        <w:rPr>
          <w:sz w:val="20"/>
          <w:szCs w:val="20"/>
        </w:rPr>
        <w:t xml:space="preserve"> (52, 2008, 20). O’Connor (1994, 146), decried</w:t>
      </w:r>
      <w:r w:rsidRPr="00080B07">
        <w:rPr>
          <w:sz w:val="20"/>
          <w:szCs w:val="20"/>
        </w:rPr>
        <w:t xml:space="preserve"> emphasis on diachronic change in environmental archaeology.</w:t>
      </w:r>
    </w:p>
  </w:footnote>
  <w:footnote w:id="872">
    <w:p w14:paraId="40FC96CD" w14:textId="7C206BAB" w:rsidR="000E1004" w:rsidRPr="00530C94" w:rsidRDefault="000E1004" w:rsidP="00BD53D4">
      <w:pPr>
        <w:pStyle w:val="FootnoteText"/>
      </w:pPr>
      <w:r>
        <w:rPr>
          <w:rStyle w:val="FootnoteReference"/>
        </w:rPr>
        <w:footnoteRef/>
      </w:r>
      <w:r>
        <w:t xml:space="preserve"> Roskams </w:t>
      </w:r>
      <w:r>
        <w:rPr>
          <w:i/>
        </w:rPr>
        <w:t>et al</w:t>
      </w:r>
      <w:r>
        <w:t xml:space="preserve"> (2013, </w:t>
      </w:r>
      <w:hyperlink r:id="rId33" w:history="1">
        <w:r w:rsidRPr="006A7020">
          <w:rPr>
            <w:rStyle w:val="Hyperlink"/>
            <w:szCs w:val="24"/>
          </w:rPr>
          <w:t>http://intarch.ac.uk/journal/issue34/5/toc.html</w:t>
        </w:r>
      </w:hyperlink>
      <w:r>
        <w:t>).</w:t>
      </w:r>
    </w:p>
  </w:footnote>
  <w:footnote w:id="873">
    <w:p w14:paraId="1D72B9F0" w14:textId="35CF73C6" w:rsidR="000E1004" w:rsidRDefault="000E1004">
      <w:pPr>
        <w:pStyle w:val="FootnoteText"/>
      </w:pPr>
      <w:r>
        <w:rPr>
          <w:rStyle w:val="FootnoteReference"/>
        </w:rPr>
        <w:footnoteRef/>
      </w:r>
      <w:r>
        <w:t xml:space="preserve"> See Hines (1997, 379).</w:t>
      </w:r>
    </w:p>
  </w:footnote>
  <w:footnote w:id="874">
    <w:p w14:paraId="110DA5CF" w14:textId="77777777" w:rsidR="000E1004" w:rsidRDefault="000E1004" w:rsidP="0040258B">
      <w:pPr>
        <w:pStyle w:val="FootnoteText"/>
      </w:pPr>
      <w:r>
        <w:rPr>
          <w:rStyle w:val="FootnoteReference"/>
        </w:rPr>
        <w:footnoteRef/>
      </w:r>
      <w:r>
        <w:t xml:space="preserve"> Mainman &amp; Hall (forthcoming).</w:t>
      </w:r>
    </w:p>
  </w:footnote>
  <w:footnote w:id="875">
    <w:p w14:paraId="539EB7E9" w14:textId="77777777" w:rsidR="000E1004" w:rsidRDefault="000E1004" w:rsidP="0040258B">
      <w:pPr>
        <w:pStyle w:val="FootnoteText"/>
      </w:pPr>
      <w:r>
        <w:rPr>
          <w:rStyle w:val="FootnoteReference"/>
        </w:rPr>
        <w:footnoteRef/>
      </w:r>
      <w:r>
        <w:t xml:space="preserve"> </w:t>
      </w:r>
      <w:r>
        <w:rPr>
          <w:rFonts w:cs="Times New Roman"/>
        </w:rPr>
        <w:t xml:space="preserve">Ottaway (2004, </w:t>
      </w:r>
      <w:r w:rsidRPr="00D91776">
        <w:rPr>
          <w:rFonts w:cs="Times New Roman"/>
        </w:rPr>
        <w:t>146–9</w:t>
      </w:r>
      <w:r>
        <w:rPr>
          <w:rFonts w:cs="Times New Roman"/>
        </w:rPr>
        <w:t>).</w:t>
      </w:r>
    </w:p>
  </w:footnote>
  <w:footnote w:id="876">
    <w:p w14:paraId="0B024AF3" w14:textId="77777777" w:rsidR="000E1004" w:rsidRDefault="000E1004" w:rsidP="0040258B">
      <w:pPr>
        <w:pStyle w:val="FootnoteText"/>
      </w:pPr>
      <w:r>
        <w:rPr>
          <w:rStyle w:val="FootnoteReference"/>
        </w:rPr>
        <w:footnoteRef/>
      </w:r>
      <w:r>
        <w:t xml:space="preserve"> </w:t>
      </w:r>
      <w:r w:rsidRPr="00004D71">
        <w:rPr>
          <w:i/>
        </w:rPr>
        <w:t>Ibid</w:t>
      </w:r>
      <w:r>
        <w:t>.</w:t>
      </w:r>
    </w:p>
  </w:footnote>
  <w:footnote w:id="877">
    <w:p w14:paraId="75EB041D" w14:textId="02CF8253" w:rsidR="000E1004" w:rsidRDefault="000E1004" w:rsidP="001C3EC5">
      <w:pPr>
        <w:pStyle w:val="FootnoteText"/>
      </w:pPr>
      <w:r>
        <w:rPr>
          <w:rStyle w:val="FootnoteReference"/>
        </w:rPr>
        <w:footnoteRef/>
      </w:r>
      <w:r>
        <w:t xml:space="preserve"> See </w:t>
      </w:r>
      <w:r w:rsidRPr="00220755">
        <w:rPr>
          <w:bCs/>
        </w:rPr>
        <w:t>"Cleansing of the Temple"</w:t>
      </w:r>
      <w:r>
        <w:rPr>
          <w:bCs/>
        </w:rPr>
        <w:t xml:space="preserve"> at: </w:t>
      </w:r>
      <w:hyperlink r:id="rId34" w:history="1">
        <w:r w:rsidRPr="00220755">
          <w:rPr>
            <w:rStyle w:val="Hyperlink"/>
            <w:bCs/>
          </w:rPr>
          <w:t>http://en.wikipedia.org/wiki/Cleansing_of_the_Temple</w:t>
        </w:r>
      </w:hyperlink>
    </w:p>
  </w:footnote>
  <w:footnote w:id="878">
    <w:p w14:paraId="5409B4E9" w14:textId="77777777" w:rsidR="000E1004" w:rsidRDefault="000E1004" w:rsidP="001C3EC5">
      <w:pPr>
        <w:pStyle w:val="FootnoteText"/>
      </w:pPr>
      <w:r>
        <w:rPr>
          <w:rStyle w:val="FootnoteReference"/>
        </w:rPr>
        <w:footnoteRef/>
      </w:r>
      <w:r>
        <w:t xml:space="preserve"> YAT's </w:t>
      </w:r>
      <w:r w:rsidRPr="006D38F0">
        <w:rPr>
          <w:i/>
        </w:rPr>
        <w:t>Northern Archaeology Today</w:t>
      </w:r>
      <w:r>
        <w:t xml:space="preserve"> magazine issue 3 (2013) reports the find of a coin of Eanbald</w:t>
      </w:r>
      <w:r>
        <w:fldChar w:fldCharType="begin"/>
      </w:r>
      <w:r>
        <w:instrText xml:space="preserve"> XE "</w:instrText>
      </w:r>
      <w:r w:rsidRPr="007645AE">
        <w:instrText>Eanbald</w:instrText>
      </w:r>
      <w:r>
        <w:instrText xml:space="preserve">" </w:instrText>
      </w:r>
      <w:r>
        <w:fldChar w:fldCharType="end"/>
      </w:r>
      <w:r>
        <w:t xml:space="preserve"> II.</w:t>
      </w:r>
    </w:p>
  </w:footnote>
  <w:footnote w:id="879">
    <w:p w14:paraId="136E2989" w14:textId="77777777" w:rsidR="000E1004" w:rsidRDefault="000E1004" w:rsidP="001C3EC5">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(1995, Carver chapter 6.7, 527-30).</w:t>
      </w:r>
    </w:p>
  </w:footnote>
  <w:footnote w:id="880">
    <w:p w14:paraId="346EBE93" w14:textId="4937AD2C" w:rsidR="000E1004" w:rsidRDefault="000E1004">
      <w:pPr>
        <w:pStyle w:val="FootnoteText"/>
      </w:pPr>
      <w:r>
        <w:rPr>
          <w:rStyle w:val="FootnoteReference"/>
        </w:rPr>
        <w:footnoteRef/>
      </w:r>
      <w:r>
        <w:t xml:space="preserve"> It is absent from Torksey.</w:t>
      </w:r>
    </w:p>
  </w:footnote>
  <w:footnote w:id="881">
    <w:p w14:paraId="650D356A" w14:textId="0745FDE0" w:rsidR="000E1004" w:rsidRPr="00B1570C" w:rsidRDefault="000E1004" w:rsidP="00BD53D4">
      <w:pPr>
        <w:pStyle w:val="FootnoteText"/>
      </w:pPr>
      <w:r>
        <w:rPr>
          <w:rStyle w:val="FootnoteReference"/>
        </w:rPr>
        <w:footnoteRef/>
      </w:r>
      <w:r>
        <w:t xml:space="preserve"> Kemp, presumably, did not have the benefit of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’s </w:t>
      </w:r>
      <w:r w:rsidRPr="00B1570C">
        <w:rPr>
          <w:i/>
        </w:rPr>
        <w:t>T&amp;S</w:t>
      </w:r>
      <w:r>
        <w:t xml:space="preserve"> published the same year. I include the coins, from excavations at </w:t>
      </w:r>
      <w:r w:rsidRPr="00CA3126">
        <w:rPr>
          <w:szCs w:val="24"/>
        </w:rPr>
        <w:t>F</w:t>
      </w:r>
      <w:r>
        <w:rPr>
          <w:szCs w:val="24"/>
        </w:rPr>
        <w:t>ishergate</w:t>
      </w:r>
      <w:r>
        <w:rPr>
          <w:szCs w:val="24"/>
        </w:rPr>
        <w:fldChar w:fldCharType="begin"/>
      </w:r>
      <w:r>
        <w:instrText xml:space="preserve"> XE "</w:instrText>
      </w:r>
      <w:r w:rsidRPr="004D76A0">
        <w:rPr>
          <w:rStyle w:val="Hyperlink"/>
          <w:noProof/>
        </w:rPr>
        <w:instrText>Fishergate</w:instrText>
      </w:r>
      <w:r>
        <w:instrText xml:space="preserve">" </w:instrText>
      </w:r>
      <w:r>
        <w:rPr>
          <w:szCs w:val="24"/>
        </w:rPr>
        <w:fldChar w:fldCharType="end"/>
      </w:r>
      <w:r>
        <w:rPr>
          <w:szCs w:val="24"/>
        </w:rPr>
        <w:t xml:space="preserve"> House and </w:t>
      </w:r>
      <w:r w:rsidRPr="00CA3126">
        <w:rPr>
          <w:szCs w:val="24"/>
        </w:rPr>
        <w:t>Blue Bridge Lane</w:t>
      </w:r>
      <w:r>
        <w:rPr>
          <w:szCs w:val="24"/>
        </w:rPr>
        <w:t>,</w:t>
      </w:r>
      <w:r>
        <w:t xml:space="preserve"> held by APC, the </w:t>
      </w:r>
      <w:r w:rsidRPr="00311DC0">
        <w:t>Archaeological Planning Consultancy</w:t>
      </w:r>
      <w:r>
        <w:t>.</w:t>
      </w:r>
    </w:p>
  </w:footnote>
  <w:footnote w:id="882">
    <w:p w14:paraId="46C709B6" w14:textId="1C78758B" w:rsidR="000E1004" w:rsidRDefault="000E1004" w:rsidP="00BD53D4">
      <w:pPr>
        <w:pStyle w:val="FootnoteText"/>
      </w:pPr>
      <w:r>
        <w:rPr>
          <w:rStyle w:val="FootnoteReference"/>
        </w:rPr>
        <w:footnoteRef/>
      </w:r>
      <w:r>
        <w:t xml:space="preserve"> According to Blackburn’s chronology (posthumous revision in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2012d).</w:t>
      </w:r>
    </w:p>
  </w:footnote>
  <w:footnote w:id="883">
    <w:p w14:paraId="5CCC5BAA" w14:textId="6F0A559B" w:rsidR="000E1004" w:rsidRPr="00C17E39" w:rsidRDefault="000E1004" w:rsidP="00BD53D4">
      <w:pPr>
        <w:pStyle w:val="FootnoteText"/>
      </w:pPr>
      <w:r>
        <w:rPr>
          <w:rStyle w:val="FootnoteReference"/>
        </w:rPr>
        <w:footnoteRef/>
      </w:r>
      <w:r>
        <w:t xml:space="preserve"> </w:t>
      </w:r>
      <w:r>
        <w:rPr>
          <w:rFonts w:cs="Times New Roman"/>
          <w:szCs w:val="24"/>
        </w:rPr>
        <w:t>Metcalf</w:t>
      </w:r>
      <w:r>
        <w:rPr>
          <w:rFonts w:cs="Times New Roman"/>
          <w:szCs w:val="24"/>
        </w:rPr>
        <w:fldChar w:fldCharType="begin"/>
      </w:r>
      <w:r>
        <w:instrText xml:space="preserve"> XE "</w:instrText>
      </w:r>
      <w:r w:rsidRPr="00523AF8">
        <w:rPr>
          <w:rStyle w:val="Hyperlink"/>
          <w:noProof/>
        </w:rPr>
        <w:instrText>Metcalf</w:instrText>
      </w:r>
      <w:r>
        <w:instrText xml:space="preserve">" </w:instrText>
      </w:r>
      <w:r>
        <w:rPr>
          <w:rFonts w:cs="Times New Roman"/>
          <w:szCs w:val="24"/>
        </w:rPr>
        <w:fldChar w:fldCharType="end"/>
      </w:r>
      <w:r>
        <w:rPr>
          <w:rFonts w:cs="Times New Roman"/>
          <w:szCs w:val="24"/>
        </w:rPr>
        <w:t xml:space="preserve"> and Op den Velde (</w:t>
      </w:r>
      <w:r>
        <w:t>2003 10 &amp; 87, type 2c, sub-varieties 3c, 3h and perhaps 4c). A</w:t>
      </w:r>
      <w:r>
        <w:rPr>
          <w:rFonts w:cs="Times New Roman"/>
          <w:szCs w:val="24"/>
        </w:rPr>
        <w:t xml:space="preserve"> ‘contemporary imitation’ implies an unofficial reproduction which circulated alongside the original, rather than a fake.</w:t>
      </w:r>
    </w:p>
  </w:footnote>
  <w:footnote w:id="884">
    <w:p w14:paraId="26E56CB7" w14:textId="37A19C1C" w:rsidR="000E1004" w:rsidRPr="00BF46C3" w:rsidRDefault="000E1004" w:rsidP="00BD53D4">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(2011, 25) referred to this specimen, arguing for an East Midlands source for BIIIC and the Maltese cross derivative of the Aldfrith</w:t>
      </w:r>
      <w:r>
        <w:fldChar w:fldCharType="begin"/>
      </w:r>
      <w:r>
        <w:instrText xml:space="preserve"> XE "</w:instrText>
      </w:r>
      <w:r w:rsidRPr="007645AE">
        <w:instrText>Aldfrith</w:instrText>
      </w:r>
      <w:r>
        <w:instrText xml:space="preserve">" </w:instrText>
      </w:r>
      <w:r>
        <w:fldChar w:fldCharType="end"/>
      </w:r>
      <w:r>
        <w:t xml:space="preserve"> type </w:t>
      </w:r>
      <w:r w:rsidRPr="00A9424F">
        <w:t xml:space="preserve">(2011, </w:t>
      </w:r>
      <w:r>
        <w:t xml:space="preserve">23-5, </w:t>
      </w:r>
      <w:r w:rsidRPr="00BF46C3">
        <w:rPr>
          <w:i/>
        </w:rPr>
        <w:t>SL</w:t>
      </w:r>
      <w:r>
        <w:t>102-80). He suggested that the Aston Rowant variety of Series</w:t>
      </w:r>
      <w:r>
        <w:fldChar w:fldCharType="begin"/>
      </w:r>
      <w:r>
        <w:instrText xml:space="preserve"> XE "</w:instrText>
      </w:r>
      <w:r w:rsidRPr="007645AE">
        <w:instrText>Series</w:instrText>
      </w:r>
      <w:r>
        <w:instrText xml:space="preserve">" </w:instrText>
      </w:r>
      <w:r>
        <w:fldChar w:fldCharType="end"/>
      </w:r>
      <w:r>
        <w:t xml:space="preserve"> Z, (</w:t>
      </w:r>
      <w:r w:rsidRPr="00BF46C3">
        <w:rPr>
          <w:i/>
        </w:rPr>
        <w:t>SL</w:t>
      </w:r>
      <w:r>
        <w:t>102-70) may also be Aldfrith-derived.</w:t>
      </w:r>
    </w:p>
  </w:footnote>
  <w:footnote w:id="885">
    <w:p w14:paraId="6E02C33D" w14:textId="1E8F90C3" w:rsidR="000E1004" w:rsidRDefault="000E1004" w:rsidP="00BD53D4">
      <w:pPr>
        <w:pStyle w:val="FootnoteText"/>
      </w:pPr>
      <w:r>
        <w:rPr>
          <w:rStyle w:val="FootnoteReference"/>
        </w:rPr>
        <w:footnoteRef/>
      </w:r>
      <w:r>
        <w:t xml:space="preserve"> Mainman (1993, 568) though Ipswich/type wares ‘were never a significant part of the assemblage’ and York</w:t>
      </w:r>
      <w:r>
        <w:fldChar w:fldCharType="begin"/>
      </w:r>
      <w:r>
        <w:instrText xml:space="preserve"> XE "</w:instrText>
      </w:r>
      <w:r w:rsidRPr="00F1328A">
        <w:rPr>
          <w:rStyle w:val="Hyperlink"/>
          <w:noProof/>
        </w:rPr>
        <w:instrText>York</w:instrText>
      </w:r>
      <w:r>
        <w:instrText xml:space="preserve">" </w:instrText>
      </w:r>
      <w:r>
        <w:fldChar w:fldCharType="end"/>
      </w:r>
      <w:r>
        <w:t xml:space="preserve"> forms the northern limit of its distribution (581).</w:t>
      </w:r>
    </w:p>
  </w:footnote>
  <w:footnote w:id="886">
    <w:p w14:paraId="7B08FBF5" w14:textId="0857DB46" w:rsidR="000E1004" w:rsidRPr="00C357C4" w:rsidRDefault="000E1004" w:rsidP="00BD53D4">
      <w:pPr>
        <w:pStyle w:val="FootnoteText"/>
        <w:rPr>
          <w:b/>
          <w:color w:val="FF0000"/>
        </w:rPr>
      </w:pPr>
      <w:r>
        <w:rPr>
          <w:rStyle w:val="FootnoteReference"/>
        </w:rPr>
        <w:footnoteRef/>
      </w:r>
      <w:r>
        <w:t xml:space="preserve"> Metcalf (1993-4, 422-5), </w:t>
      </w:r>
      <w:r w:rsidRPr="00C357C4">
        <w:rPr>
          <w:i/>
        </w:rPr>
        <w:t>SL</w:t>
      </w:r>
      <w:r>
        <w:t xml:space="preserve"> 110-60. The imagery of this type is typical of Conversion Period</w:t>
      </w:r>
      <w:r>
        <w:fldChar w:fldCharType="begin"/>
      </w:r>
      <w:r>
        <w:instrText xml:space="preserve"> XE "</w:instrText>
      </w:r>
      <w:r w:rsidRPr="007D3069">
        <w:rPr>
          <w:rFonts w:cs="Times New Roman"/>
        </w:rPr>
        <w:instrText>Conversion Period</w:instrText>
      </w:r>
      <w:r>
        <w:instrText xml:space="preserve">" </w:instrText>
      </w:r>
      <w:r>
        <w:fldChar w:fldCharType="end"/>
      </w:r>
      <w:r>
        <w:t xml:space="preserve"> iconography</w:t>
      </w:r>
      <w:r>
        <w:fldChar w:fldCharType="begin"/>
      </w:r>
      <w:r>
        <w:instrText xml:space="preserve"> XE "</w:instrText>
      </w:r>
      <w:r w:rsidRPr="007D3069">
        <w:instrText>iconography</w:instrText>
      </w:r>
      <w:r>
        <w:instrText xml:space="preserve">" </w:instrText>
      </w:r>
      <w:r>
        <w:fldChar w:fldCharType="end"/>
      </w:r>
      <w:r>
        <w:t>.</w:t>
      </w:r>
    </w:p>
  </w:footnote>
  <w:footnote w:id="887">
    <w:p w14:paraId="22B6EF80" w14:textId="2985B6D7" w:rsidR="000E1004" w:rsidRDefault="000E1004" w:rsidP="00BD53D4">
      <w:pPr>
        <w:pStyle w:val="FootnoteText"/>
      </w:pPr>
      <w:r>
        <w:rPr>
          <w:rStyle w:val="FootnoteReference"/>
        </w:rPr>
        <w:footnoteRef/>
      </w:r>
      <w:r>
        <w:t xml:space="preserve"> Though it is underweight (0.70g) and under-size (7mm) as are the Cothen hoard coins (</w:t>
      </w:r>
      <w:r>
        <w:rPr>
          <w:szCs w:val="24"/>
        </w:rPr>
        <w:t>Metcalf</w:t>
      </w:r>
      <w:r>
        <w:rPr>
          <w:szCs w:val="24"/>
        </w:rPr>
        <w:fldChar w:fldCharType="begin"/>
      </w:r>
      <w:r>
        <w:instrText xml:space="preserve"> XE "</w:instrText>
      </w:r>
      <w:r w:rsidRPr="00523AF8">
        <w:rPr>
          <w:rStyle w:val="Hyperlink"/>
          <w:noProof/>
        </w:rPr>
        <w:instrText>Metcalf</w:instrText>
      </w:r>
      <w:r>
        <w:instrText xml:space="preserve">" </w:instrText>
      </w:r>
      <w:r>
        <w:rPr>
          <w:szCs w:val="24"/>
        </w:rPr>
        <w:fldChar w:fldCharType="end"/>
      </w:r>
      <w:r>
        <w:rPr>
          <w:szCs w:val="24"/>
        </w:rPr>
        <w:t xml:space="preserve"> and Op den Velde</w:t>
      </w:r>
      <w:r w:rsidRPr="00FF3AAD">
        <w:rPr>
          <w:szCs w:val="24"/>
        </w:rPr>
        <w:t xml:space="preserve"> </w:t>
      </w:r>
      <w:r>
        <w:rPr>
          <w:szCs w:val="24"/>
        </w:rPr>
        <w:t>(</w:t>
      </w:r>
      <w:r w:rsidRPr="00FF3AAD">
        <w:rPr>
          <w:szCs w:val="24"/>
        </w:rPr>
        <w:t>2014</w:t>
      </w:r>
      <w:r>
        <w:rPr>
          <w:szCs w:val="24"/>
        </w:rPr>
        <w:t>))</w:t>
      </w:r>
      <w:r>
        <w:t>.</w:t>
      </w:r>
    </w:p>
  </w:footnote>
  <w:footnote w:id="888">
    <w:p w14:paraId="5F0EC0F6" w14:textId="474CB6D3" w:rsidR="000E1004" w:rsidRDefault="000E1004" w:rsidP="00BD53D4">
      <w:pPr>
        <w:pStyle w:val="FootnoteText"/>
      </w:pPr>
      <w:r>
        <w:rPr>
          <w:rStyle w:val="FootnoteReference"/>
        </w:rPr>
        <w:footnoteRef/>
      </w:r>
      <w:r>
        <w:t xml:space="preserve"> Bonser (</w:t>
      </w:r>
      <w:r w:rsidRPr="00434CFB">
        <w:t>2011, 159-80).</w:t>
      </w:r>
    </w:p>
  </w:footnote>
  <w:footnote w:id="889">
    <w:p w14:paraId="540D97CD" w14:textId="2A976CAF" w:rsidR="000E1004" w:rsidRPr="00A0252C" w:rsidRDefault="000E1004" w:rsidP="00BD53D4">
      <w:pPr>
        <w:pStyle w:val="FootnoteText"/>
      </w:pPr>
      <w:r>
        <w:rPr>
          <w:rStyle w:val="FootnoteReference"/>
        </w:rPr>
        <w:footnoteRef/>
      </w:r>
      <w:r>
        <w:t xml:space="preserve"> </w:t>
      </w:r>
      <w:r w:rsidRPr="00C357C4">
        <w:rPr>
          <w:i/>
        </w:rPr>
        <w:t>SL</w:t>
      </w:r>
      <w:r>
        <w:rPr>
          <w:i/>
        </w:rPr>
        <w:t xml:space="preserve"> </w:t>
      </w:r>
      <w:r>
        <w:t>64-40 obverse or 65-30 reverse.</w:t>
      </w:r>
    </w:p>
  </w:footnote>
  <w:footnote w:id="890">
    <w:p w14:paraId="288565AC" w14:textId="33934CB4" w:rsidR="000E1004" w:rsidRDefault="000E1004" w:rsidP="00BD53D4">
      <w:pPr>
        <w:pStyle w:val="FootnoteText"/>
      </w:pPr>
      <w:r>
        <w:rPr>
          <w:rStyle w:val="FootnoteReference"/>
        </w:rPr>
        <w:footnoteRef/>
      </w:r>
      <w:r>
        <w:t xml:space="preserve"> In arguing for Ely as the mint for Series</w:t>
      </w:r>
      <w:r>
        <w:fldChar w:fldCharType="begin"/>
      </w:r>
      <w:r>
        <w:instrText xml:space="preserve"> XE "</w:instrText>
      </w:r>
      <w:r w:rsidRPr="007645AE">
        <w:instrText>Series</w:instrText>
      </w:r>
      <w:r>
        <w:instrText xml:space="preserve">" </w:instrText>
      </w:r>
      <w:r>
        <w:fldChar w:fldCharType="end"/>
      </w:r>
      <w:r>
        <w:t xml:space="preserve"> Q</w:t>
      </w:r>
      <w:r>
        <w:fldChar w:fldCharType="begin"/>
      </w:r>
      <w:r>
        <w:instrText xml:space="preserve"> XE "</w:instrText>
      </w:r>
      <w:r w:rsidRPr="008D02A1">
        <w:instrText>Series Q</w:instrText>
      </w:r>
      <w:r>
        <w:instrText xml:space="preserve">" </w:instrText>
      </w:r>
      <w:r>
        <w:fldChar w:fldCharType="end"/>
      </w:r>
      <w:r>
        <w:t xml:space="preserve">, Newman (2008, 18) mentioned the Northumbrian connection: ‘it may be significant that </w:t>
      </w:r>
      <w:r>
        <w:rPr>
          <w:rFonts w:cs="Times New Roman"/>
        </w:rPr>
        <w:t>Æ</w:t>
      </w:r>
      <w:r>
        <w:t>thelthryth had an admittedly unconsummated marriage to Ecgfrith of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t xml:space="preserve"> and a period at the monastery at Coldingham in the north before founding her house at Ely in AD 673.’ It is noteworthy how many of the sites studied below produce a singleton of the diverse Series Q. Hutcheson favoured Bawsey as the source of Series Q. Hope-Taylor (1977, 321) alluded to cultural affiliations noted at Yeavering</w:t>
      </w:r>
      <w:r>
        <w:fldChar w:fldCharType="begin"/>
      </w:r>
      <w:r>
        <w:instrText xml:space="preserve"> XE "</w:instrText>
      </w:r>
      <w:r w:rsidRPr="004D76A0">
        <w:rPr>
          <w:rStyle w:val="Hyperlink"/>
          <w:noProof/>
        </w:rPr>
        <w:instrText>Yeavering</w:instrText>
      </w:r>
      <w:r>
        <w:instrText xml:space="preserve">" </w:instrText>
      </w:r>
      <w:r>
        <w:fldChar w:fldCharType="end"/>
      </w:r>
      <w:r>
        <w:t>.</w:t>
      </w:r>
    </w:p>
  </w:footnote>
  <w:footnote w:id="891">
    <w:p w14:paraId="209A34EE" w14:textId="20EEEE52" w:rsidR="000E1004" w:rsidRDefault="000E1004" w:rsidP="00BD53D4">
      <w:pPr>
        <w:pStyle w:val="FootnoteText"/>
      </w:pPr>
      <w:r>
        <w:rPr>
          <w:rStyle w:val="FootnoteReference"/>
        </w:rPr>
        <w:footnoteRef/>
      </w:r>
      <w:r>
        <w:t xml:space="preserve"> Though this absence is not significantly different from norm. </w:t>
      </w:r>
      <w:r w:rsidRPr="0051638C">
        <w:t xml:space="preserve">The absence of </w:t>
      </w:r>
      <w:r>
        <w:t xml:space="preserve">coins of </w:t>
      </w:r>
      <w:r w:rsidRPr="0051638C">
        <w:rPr>
          <w:rFonts w:eastAsia="Times New Roman" w:cs="Times New Roman"/>
          <w:color w:val="000000"/>
          <w:lang w:eastAsia="en-GB"/>
        </w:rPr>
        <w:t xml:space="preserve">Redwulf is inconsequential as </w:t>
      </w:r>
      <w:r>
        <w:rPr>
          <w:rFonts w:eastAsia="Times New Roman" w:cs="Times New Roman"/>
          <w:color w:val="000000"/>
          <w:lang w:eastAsia="en-GB"/>
        </w:rPr>
        <w:t>stycas</w:t>
      </w:r>
      <w:r w:rsidRPr="0051638C">
        <w:rPr>
          <w:rFonts w:eastAsia="Times New Roman" w:cs="Times New Roman"/>
          <w:color w:val="000000"/>
          <w:lang w:eastAsia="en-GB"/>
        </w:rPr>
        <w:t xml:space="preserve"> of the first and second reigns of </w:t>
      </w:r>
      <w:r w:rsidRPr="0051638C">
        <w:rPr>
          <w:rFonts w:cs="Times New Roman"/>
        </w:rPr>
        <w:t>Æthelred</w:t>
      </w:r>
      <w:r>
        <w:rPr>
          <w:rFonts w:cs="Times New Roman"/>
        </w:rPr>
        <w:fldChar w:fldCharType="begin"/>
      </w:r>
      <w:r>
        <w:instrText xml:space="preserve"> XE "</w:instrText>
      </w:r>
      <w:r w:rsidRPr="007645AE">
        <w:rPr>
          <w:rFonts w:cs="Times New Roman"/>
        </w:rPr>
        <w:instrText>Æ</w:instrText>
      </w:r>
      <w:r w:rsidRPr="007645AE">
        <w:instrText>thelred</w:instrText>
      </w:r>
      <w:r>
        <w:instrText xml:space="preserve">" </w:instrText>
      </w:r>
      <w:r>
        <w:rPr>
          <w:rFonts w:cs="Times New Roman"/>
        </w:rPr>
        <w:fldChar w:fldCharType="end"/>
      </w:r>
      <w:r w:rsidRPr="0051638C">
        <w:rPr>
          <w:rFonts w:cs="Times New Roman"/>
        </w:rPr>
        <w:t xml:space="preserve"> II are represented.</w:t>
      </w:r>
    </w:p>
  </w:footnote>
  <w:footnote w:id="892">
    <w:p w14:paraId="56ED3FD6" w14:textId="0A0CD8CD" w:rsidR="000E1004" w:rsidRDefault="000E1004" w:rsidP="00BD53D4">
      <w:pPr>
        <w:pStyle w:val="FootnoteText"/>
      </w:pPr>
      <w:r>
        <w:rPr>
          <w:rStyle w:val="FootnoteReference"/>
        </w:rPr>
        <w:footnoteRef/>
      </w:r>
      <w:r>
        <w:t xml:space="preserve"> Kemp (1996, 83). This is only the third known specimen of </w:t>
      </w:r>
      <w:r>
        <w:rPr>
          <w:rFonts w:cs="Times New Roman"/>
        </w:rPr>
        <w:t>Æ</w:t>
      </w:r>
      <w:r>
        <w:t>thelberht’s inscriptional type (N 620) for this moneyer, Winiberht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w:t>
      </w:r>
      <w:r>
        <w:rPr>
          <w:bCs/>
        </w:rPr>
        <w:t>2011, C</w:t>
      </w:r>
      <w:r>
        <w:t xml:space="preserve">210a-c). Note that the moneyers of both </w:t>
      </w:r>
      <w:r>
        <w:rPr>
          <w:rFonts w:cs="Times New Roman"/>
        </w:rPr>
        <w:t>Æ</w:t>
      </w:r>
      <w:r>
        <w:t>thelberht pennies found in Northumbria</w:t>
      </w:r>
      <w: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fldChar w:fldCharType="end"/>
      </w:r>
      <w:r>
        <w:t xml:space="preserve"> (at Fishergate</w:t>
      </w:r>
      <w:r>
        <w:fldChar w:fldCharType="begin"/>
      </w:r>
      <w:r>
        <w:instrText xml:space="preserve"> XE "</w:instrText>
      </w:r>
      <w:r w:rsidRPr="004D76A0">
        <w:rPr>
          <w:rStyle w:val="Hyperlink"/>
          <w:noProof/>
        </w:rPr>
        <w:instrText>Fishergate</w:instrText>
      </w:r>
      <w:r>
        <w:instrText xml:space="preserve">" </w:instrText>
      </w:r>
      <w:r>
        <w:fldChar w:fldCharType="end"/>
      </w:r>
      <w:r>
        <w:t xml:space="preserve"> &amp; Cottam</w:t>
      </w:r>
      <w:r>
        <w:fldChar w:fldCharType="begin"/>
      </w:r>
      <w:r>
        <w:instrText xml:space="preserve"> XE "</w:instrText>
      </w:r>
      <w:r w:rsidRPr="004D76A0">
        <w:rPr>
          <w:rStyle w:val="Hyperlink"/>
          <w:rFonts w:eastAsia="Times New Roman"/>
          <w:noProof/>
          <w:lang w:eastAsia="en-GB"/>
        </w:rPr>
        <w:instrText>Cottam</w:instrText>
      </w:r>
      <w:r>
        <w:instrText xml:space="preserve">" </w:instrText>
      </w:r>
      <w:r>
        <w:fldChar w:fldCharType="end"/>
      </w:r>
      <w:r>
        <w:t xml:space="preserve"> ‘B’), Winiberht and Wulfheard, share, coincidentally, the names of moneyers in the late styca series.</w:t>
      </w:r>
    </w:p>
  </w:footnote>
  <w:footnote w:id="893">
    <w:p w14:paraId="66B6E97A" w14:textId="07BBC47D" w:rsidR="000E1004" w:rsidRDefault="000E1004" w:rsidP="00BD53D4">
      <w:pPr>
        <w:pStyle w:val="FootnoteText"/>
      </w:pPr>
      <w:r>
        <w:rPr>
          <w:rStyle w:val="FootnoteReference"/>
        </w:rPr>
        <w:footnoteRef/>
      </w:r>
      <w:r>
        <w:t xml:space="preserve"> Mainman (1993, 651). There was a limited re-occupation in C11-12</w:t>
      </w:r>
      <w:r w:rsidRPr="00C17E39">
        <w:rPr>
          <w:vertAlign w:val="superscript"/>
        </w:rPr>
        <w:t>th</w:t>
      </w:r>
      <w:r>
        <w:t xml:space="preserve"> with the construction of St Andrew’s church</w:t>
      </w:r>
      <w:r>
        <w:fldChar w:fldCharType="begin"/>
      </w:r>
      <w:r>
        <w:instrText xml:space="preserve"> XE "</w:instrText>
      </w:r>
      <w:r w:rsidRPr="007D3069">
        <w:rPr>
          <w:rFonts w:cs="Times New Roman"/>
          <w:szCs w:val="24"/>
        </w:rPr>
        <w:instrText>church</w:instrText>
      </w:r>
      <w:r>
        <w:instrText xml:space="preserve">" </w:instrText>
      </w:r>
      <w:r>
        <w:fldChar w:fldCharType="end"/>
      </w:r>
      <w:r>
        <w:t xml:space="preserve"> and the later Gilbertine Priory (1195, dissolved 1538).</w:t>
      </w:r>
    </w:p>
  </w:footnote>
  <w:footnote w:id="894">
    <w:p w14:paraId="1227ED60" w14:textId="14B0378B" w:rsidR="000E1004" w:rsidRDefault="000E1004" w:rsidP="00BD53D4">
      <w:pPr>
        <w:pStyle w:val="FootnoteText"/>
      </w:pPr>
      <w:r>
        <w:rPr>
          <w:rStyle w:val="FootnoteReference"/>
        </w:rPr>
        <w:footnoteRef/>
      </w:r>
      <w:r>
        <w:t xml:space="preserve"> See discussion on the suitability of this base, page </w:t>
      </w:r>
      <w:r>
        <w:fldChar w:fldCharType="begin"/>
      </w:r>
      <w:r>
        <w:instrText xml:space="preserve"> PAGEREF databaseselection \h </w:instrText>
      </w:r>
      <w:r>
        <w:fldChar w:fldCharType="separate"/>
      </w:r>
      <w:r w:rsidR="0012026B">
        <w:rPr>
          <w:noProof/>
        </w:rPr>
        <w:t>163</w:t>
      </w:r>
      <w:r>
        <w:fldChar w:fldCharType="end"/>
      </w:r>
      <w:r>
        <w:t>.</w:t>
      </w:r>
    </w:p>
  </w:footnote>
  <w:footnote w:id="895">
    <w:p w14:paraId="20CA3F9D" w14:textId="734040FB" w:rsidR="000E1004" w:rsidRDefault="000E1004" w:rsidP="00BD53D4">
      <w:pPr>
        <w:pStyle w:val="FootnoteText"/>
      </w:pPr>
      <w:r>
        <w:rPr>
          <w:rStyle w:val="FootnoteReference"/>
        </w:rPr>
        <w:footnoteRef/>
      </w:r>
      <w:r>
        <w:t xml:space="preserve"> Using the </w:t>
      </w:r>
      <w:r>
        <w:rPr>
          <w:shd w:val="clear" w:color="auto" w:fill="FFFFFF"/>
        </w:rPr>
        <w:t>Pearson Product-Moment Correlation Coefficient.</w:t>
      </w:r>
      <w:r>
        <w:t xml:space="preserve"> See </w:t>
      </w:r>
      <w:r w:rsidRPr="000510D7">
        <w:t>House Style</w:t>
      </w:r>
      <w:r w:rsidRPr="000510D7">
        <w:fldChar w:fldCharType="begin"/>
      </w:r>
      <w:r>
        <w:instrText xml:space="preserve"> XE "</w:instrText>
      </w:r>
      <w:r w:rsidRPr="000510D7">
        <w:rPr>
          <w:noProof/>
        </w:rPr>
        <w:instrText>House Style</w:instrText>
      </w:r>
      <w:r>
        <w:instrText xml:space="preserve">" </w:instrText>
      </w:r>
      <w:r w:rsidRPr="000510D7">
        <w:fldChar w:fldCharType="end"/>
      </w:r>
      <w:r>
        <w:t xml:space="preserve"> for a definition of this </w:t>
      </w:r>
      <w:r>
        <w:rPr>
          <w:shd w:val="clear" w:color="auto" w:fill="FFFFFF"/>
        </w:rPr>
        <w:t>as used by Microsoft Excel</w:t>
      </w:r>
      <w:r w:rsidRPr="00E979EE">
        <w:rPr>
          <w:shd w:val="clear" w:color="auto" w:fill="FFFFFF"/>
          <w:vertAlign w:val="superscript"/>
        </w:rPr>
        <w:t>®</w:t>
      </w:r>
      <w:r>
        <w:rPr>
          <w:shd w:val="clear" w:color="auto" w:fill="FFFFFF"/>
        </w:rPr>
        <w:t>.</w:t>
      </w:r>
    </w:p>
  </w:footnote>
  <w:footnote w:id="896">
    <w:p w14:paraId="3EC92FA5" w14:textId="6920BFEC" w:rsidR="000E1004" w:rsidRDefault="000E1004" w:rsidP="00115AD9">
      <w:pPr>
        <w:pStyle w:val="FootnoteText"/>
      </w:pPr>
      <w:r>
        <w:rPr>
          <w:rStyle w:val="FootnoteReference"/>
        </w:rPr>
        <w:footnoteRef/>
      </w:r>
      <w:r>
        <w:t xml:space="preserve"> Finds </w:t>
      </w:r>
      <w:r>
        <w:rPr>
          <w:rFonts w:eastAsia="Times New Roman" w:cs="Times New Roman"/>
          <w:szCs w:val="24"/>
          <w:lang w:eastAsia="en-GB"/>
        </w:rPr>
        <w:t xml:space="preserve">of the period </w:t>
      </w:r>
      <w:r>
        <w:t xml:space="preserve">at these two sites </w:t>
      </w:r>
      <w:r>
        <w:rPr>
          <w:rFonts w:eastAsia="Times New Roman" w:cs="Times New Roman"/>
          <w:szCs w:val="24"/>
          <w:lang w:eastAsia="en-GB"/>
        </w:rPr>
        <w:t>have been collated over several years.</w:t>
      </w:r>
    </w:p>
  </w:footnote>
  <w:footnote w:id="897">
    <w:p w14:paraId="6A401DDE" w14:textId="2DCF71F2" w:rsidR="000E1004" w:rsidRDefault="000E1004" w:rsidP="004767D0">
      <w:pPr>
        <w:pStyle w:val="FootnoteText"/>
      </w:pPr>
      <w:r>
        <w:rPr>
          <w:rStyle w:val="FootnoteReference"/>
        </w:rPr>
        <w:footnoteRef/>
      </w:r>
      <w:r>
        <w:t xml:space="preserve"> Though probably sites of dissimilar nature, </w:t>
      </w:r>
      <w:r>
        <w:rPr>
          <w:rFonts w:eastAsia="Times New Roman" w:cs="Times New Roman"/>
          <w:color w:val="000000"/>
          <w:szCs w:val="24"/>
          <w:lang w:eastAsia="en-GB"/>
        </w:rPr>
        <w:t>Heckington and Royston are also shown.</w:t>
      </w:r>
    </w:p>
  </w:footnote>
  <w:footnote w:id="898">
    <w:p w14:paraId="695EEECF" w14:textId="77777777" w:rsidR="000E1004" w:rsidRPr="00967C2D" w:rsidRDefault="000E1004" w:rsidP="00BD53D4">
      <w:pPr>
        <w:pStyle w:val="FootnoteText"/>
      </w:pPr>
      <w:r>
        <w:rPr>
          <w:rStyle w:val="FootnoteReference"/>
        </w:rPr>
        <w:footnoteRef/>
      </w:r>
      <w:r>
        <w:t xml:space="preserve"> Sceat emissions at </w:t>
      </w:r>
      <w:r w:rsidRPr="00967C2D">
        <w:rPr>
          <w:i/>
        </w:rPr>
        <w:t>wics</w:t>
      </w:r>
      <w:r>
        <w:t xml:space="preserve"> may be comparable to Greek city-states who initially issued coins as much as a badge of identity as a currency.</w:t>
      </w:r>
    </w:p>
  </w:footnote>
  <w:footnote w:id="899">
    <w:p w14:paraId="6649314D" w14:textId="6A894B07" w:rsidR="000E1004" w:rsidRDefault="000E1004" w:rsidP="00673CA2">
      <w:pPr>
        <w:pStyle w:val="FootnoteText"/>
      </w:pPr>
      <w:r>
        <w:rPr>
          <w:rStyle w:val="FootnoteReference"/>
        </w:rPr>
        <w:footnoteRef/>
      </w:r>
      <w:r>
        <w:t xml:space="preserve"> Andrews (1988) with the coins described and catalogued by Metcalf</w:t>
      </w:r>
      <w:r>
        <w:fldChar w:fldCharType="begin"/>
      </w:r>
      <w:r>
        <w:instrText xml:space="preserve"> XE "</w:instrText>
      </w:r>
      <w:r w:rsidRPr="00523AF8">
        <w:rPr>
          <w:rStyle w:val="Hyperlink"/>
          <w:noProof/>
        </w:rPr>
        <w:instrText>Metcalf</w:instrText>
      </w:r>
      <w:r>
        <w:instrText xml:space="preserve">" </w:instrText>
      </w:r>
      <w:r>
        <w:fldChar w:fldCharType="end"/>
      </w:r>
      <w:r>
        <w:t>. Metcalf (2011) investigated the monetisation</w:t>
      </w:r>
      <w:r>
        <w:fldChar w:fldCharType="begin"/>
      </w:r>
      <w:r>
        <w:instrText xml:space="preserve"> XE "</w:instrText>
      </w:r>
      <w:r w:rsidRPr="007D3069">
        <w:instrText>monetization</w:instrText>
      </w:r>
      <w:r>
        <w:instrText xml:space="preserve">" </w:instrText>
      </w:r>
      <w:r>
        <w:fldChar w:fldCharType="end"/>
      </w:r>
      <w:r>
        <w:t xml:space="preserve"> of the East Midlands using a methodology of comparing proportions of English and imported coins between </w:t>
      </w:r>
      <w:r w:rsidRPr="003067C8">
        <w:rPr>
          <w:i/>
        </w:rPr>
        <w:t>wics</w:t>
      </w:r>
      <w:r>
        <w:t xml:space="preserve"> and ‘the countryside at large’ but arriving at no secure conclusions.</w:t>
      </w:r>
    </w:p>
  </w:footnote>
  <w:footnote w:id="900">
    <w:p w14:paraId="55B81115" w14:textId="63904FC7" w:rsidR="000E1004" w:rsidRDefault="000E1004">
      <w:pPr>
        <w:pStyle w:val="FootnoteText"/>
      </w:pPr>
      <w:r>
        <w:rPr>
          <w:rStyle w:val="FootnoteReference"/>
        </w:rPr>
        <w:footnoteRef/>
      </w:r>
      <w:r>
        <w:t xml:space="preserve"> As argued by Kemp (1996, 109), and assumed by Blackburn (2003, 34) and others.</w:t>
      </w:r>
    </w:p>
  </w:footnote>
  <w:footnote w:id="901">
    <w:p w14:paraId="27FFB83C" w14:textId="043543B0" w:rsidR="000E1004" w:rsidRDefault="000E1004">
      <w:pPr>
        <w:pStyle w:val="FootnoteText"/>
      </w:pPr>
      <w:r>
        <w:rPr>
          <w:rStyle w:val="FootnoteReference"/>
        </w:rPr>
        <w:footnoteRef/>
      </w:r>
      <w:r>
        <w:t xml:space="preserve"> Andrews (1998).</w:t>
      </w:r>
    </w:p>
  </w:footnote>
  <w:footnote w:id="902">
    <w:p w14:paraId="79FC745B" w14:textId="37DCD39F" w:rsidR="000E1004" w:rsidRPr="0028491C" w:rsidRDefault="000E1004" w:rsidP="00BD53D4">
      <w:pPr>
        <w:pStyle w:val="FootnoteText"/>
      </w:pPr>
      <w:r>
        <w:rPr>
          <w:rStyle w:val="FootnoteReference"/>
        </w:rPr>
        <w:footnoteRef/>
      </w:r>
      <w:r>
        <w:t xml:space="preserve"> </w:t>
      </w:r>
      <w:r>
        <w:rPr>
          <w:color w:val="000000" w:themeColor="text1"/>
        </w:rPr>
        <w:t xml:space="preserve">Birbeck </w:t>
      </w:r>
      <w:r w:rsidRPr="00D8296C">
        <w:rPr>
          <w:i/>
          <w:color w:val="000000" w:themeColor="text1"/>
        </w:rPr>
        <w:t>et al.</w:t>
      </w:r>
      <w:r>
        <w:rPr>
          <w:color w:val="000000" w:themeColor="text1"/>
        </w:rPr>
        <w:t xml:space="preserve"> (2005).</w:t>
      </w:r>
    </w:p>
  </w:footnote>
  <w:footnote w:id="903">
    <w:p w14:paraId="6508BC3F" w14:textId="773E3018" w:rsidR="000E1004" w:rsidRDefault="000E1004" w:rsidP="00BD53D4">
      <w:pPr>
        <w:pStyle w:val="FootnoteText"/>
      </w:pPr>
      <w:r>
        <w:rPr>
          <w:rStyle w:val="FootnoteReference"/>
        </w:rPr>
        <w:footnoteRef/>
      </w:r>
      <w:r>
        <w:t xml:space="preserve"> Stated to be 3% by Andrews (1988, 15) and 5% by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(in Andrews, 1988, 17).</w:t>
      </w:r>
    </w:p>
  </w:footnote>
  <w:footnote w:id="904">
    <w:p w14:paraId="1B2A9A06" w14:textId="59933AFC" w:rsidR="000E1004" w:rsidRDefault="000E1004" w:rsidP="00BD53D4">
      <w:pPr>
        <w:pStyle w:val="FootnoteText"/>
      </w:pPr>
      <w:r>
        <w:rPr>
          <w:rStyle w:val="FootnoteReference"/>
        </w:rPr>
        <w:footnoteRef/>
      </w:r>
      <w:r>
        <w:t xml:space="preserve"> Andrews (1988, 17) and </w:t>
      </w:r>
      <w:r w:rsidRPr="00F60788">
        <w:rPr>
          <w:i/>
        </w:rPr>
        <w:t>pe</w:t>
      </w:r>
      <w:r w:rsidRPr="00A84F61">
        <w:rPr>
          <w:i/>
        </w:rPr>
        <w:t xml:space="preserve">rs. comm. </w:t>
      </w:r>
      <w:r>
        <w:t>Michael Metcalf</w:t>
      </w:r>
      <w:r>
        <w:fldChar w:fldCharType="begin"/>
      </w:r>
      <w:r>
        <w:instrText xml:space="preserve"> XE "</w:instrText>
      </w:r>
      <w:r w:rsidRPr="00523AF8">
        <w:rPr>
          <w:rStyle w:val="Hyperlink"/>
          <w:noProof/>
        </w:rPr>
        <w:instrText>Metcalf</w:instrText>
      </w:r>
      <w:r>
        <w:instrText xml:space="preserve">" </w:instrText>
      </w:r>
      <w:r>
        <w:fldChar w:fldCharType="end"/>
      </w:r>
      <w:r>
        <w:t>, 4</w:t>
      </w:r>
      <w:r w:rsidRPr="00A84F61">
        <w:rPr>
          <w:vertAlign w:val="superscript"/>
        </w:rPr>
        <w:t>th</w:t>
      </w:r>
      <w:r>
        <w:t xml:space="preserve"> September 2014. Most of the coin finds were from these rubbish pits and can safely be regarded as stray losses. See also Blackburn (2003, 25).</w:t>
      </w:r>
    </w:p>
  </w:footnote>
  <w:footnote w:id="905">
    <w:p w14:paraId="4C63A98D" w14:textId="171ACA00" w:rsidR="000E1004" w:rsidRDefault="000E1004" w:rsidP="00BD53D4">
      <w:pPr>
        <w:pStyle w:val="FootnoteText"/>
      </w:pPr>
      <w:r>
        <w:rPr>
          <w:rStyle w:val="FootnoteReference"/>
        </w:rPr>
        <w:footnoteRef/>
      </w:r>
      <w:r>
        <w:t xml:space="preserve"> Andrews (1988, 60-70).</w:t>
      </w:r>
    </w:p>
  </w:footnote>
  <w:footnote w:id="906">
    <w:p w14:paraId="266C6A1B" w14:textId="77777777" w:rsidR="000E1004" w:rsidRPr="00BB47A7" w:rsidRDefault="000E1004" w:rsidP="00BD53D4">
      <w:pPr>
        <w:pStyle w:val="FootnoteText"/>
      </w:pPr>
      <w:r>
        <w:rPr>
          <w:rStyle w:val="FootnoteReference"/>
        </w:rPr>
        <w:footnoteRef/>
      </w:r>
      <w:r>
        <w:t xml:space="preserve"> </w:t>
      </w:r>
      <w:r w:rsidRPr="00BB47A7">
        <w:t>Andrews (1988</w:t>
      </w:r>
      <w:r>
        <w:t>,</w:t>
      </w:r>
      <w:r w:rsidRPr="00BB47A7">
        <w:t xml:space="preserve"> 17</w:t>
      </w:r>
      <w:r>
        <w:t>)</w:t>
      </w:r>
      <w:r w:rsidRPr="00BB47A7">
        <w:t>.</w:t>
      </w:r>
    </w:p>
  </w:footnote>
  <w:footnote w:id="907">
    <w:p w14:paraId="282F4628" w14:textId="38BF8DEB" w:rsidR="000E1004" w:rsidRDefault="000E1004" w:rsidP="00BD53D4">
      <w:pPr>
        <w:pStyle w:val="FootnoteText"/>
      </w:pPr>
      <w:r w:rsidRPr="00BB47A7">
        <w:rPr>
          <w:rStyle w:val="FootnoteReference"/>
        </w:rPr>
        <w:footnoteRef/>
      </w:r>
      <w:r>
        <w:t xml:space="preserve"> Andrews (1988</w:t>
      </w:r>
      <w:r w:rsidRPr="00BB47A7">
        <w:t>, catalogue 22-91.5</w:t>
      </w:r>
      <w:r>
        <w:t>)</w:t>
      </w:r>
      <w:r w:rsidRPr="00BB47A7">
        <w:t xml:space="preserve">. </w:t>
      </w:r>
      <w:r w:rsidRPr="00BB47A7">
        <w:rPr>
          <w:rFonts w:eastAsia="Times New Roman" w:cs="Times New Roman"/>
          <w:lang w:eastAsia="en-GB"/>
        </w:rPr>
        <w:t>Of the 125 Series</w:t>
      </w:r>
      <w:r>
        <w:rPr>
          <w:rFonts w:eastAsia="Times New Roman" w:cs="Times New Roman"/>
          <w:lang w:eastAsia="en-GB"/>
        </w:rPr>
        <w:fldChar w:fldCharType="begin"/>
      </w:r>
      <w:r>
        <w:instrText xml:space="preserve"> XE "</w:instrText>
      </w:r>
      <w:r w:rsidRPr="007645AE">
        <w:instrText>Series</w:instrText>
      </w:r>
      <w:r>
        <w:instrText xml:space="preserve">" </w:instrText>
      </w:r>
      <w:r>
        <w:rPr>
          <w:rFonts w:eastAsia="Times New Roman" w:cs="Times New Roman"/>
          <w:lang w:eastAsia="en-GB"/>
        </w:rPr>
        <w:fldChar w:fldCharType="end"/>
      </w:r>
      <w:r w:rsidRPr="00BB47A7">
        <w:rPr>
          <w:rFonts w:eastAsia="Times New Roman" w:cs="Times New Roman"/>
          <w:lang w:eastAsia="en-GB"/>
        </w:rPr>
        <w:t xml:space="preserve"> H sceats on EMC</w:t>
      </w:r>
      <w:r>
        <w:rPr>
          <w:rFonts w:eastAsia="Times New Roman" w:cs="Times New Roman"/>
          <w:lang w:eastAsia="en-GB"/>
        </w:rPr>
        <w:fldChar w:fldCharType="begin"/>
      </w:r>
      <w:r>
        <w:instrText xml:space="preserve"> XE "</w:instrText>
      </w:r>
      <w:r w:rsidRPr="007D3069">
        <w:instrText>EMC</w:instrText>
      </w:r>
      <w:r>
        <w:instrText xml:space="preserve">" </w:instrText>
      </w:r>
      <w:r>
        <w:rPr>
          <w:rFonts w:eastAsia="Times New Roman" w:cs="Times New Roman"/>
          <w:lang w:eastAsia="en-GB"/>
        </w:rPr>
        <w:fldChar w:fldCharType="end"/>
      </w:r>
      <w:r w:rsidRPr="00BB47A7">
        <w:rPr>
          <w:rFonts w:eastAsia="Times New Roman" w:cs="Times New Roman"/>
          <w:lang w:eastAsia="en-GB"/>
        </w:rPr>
        <w:t>, 55 have a findspot of Hamwic</w:t>
      </w:r>
      <w:r>
        <w:rPr>
          <w:rFonts w:eastAsia="Times New Roman" w:cs="Times New Roman"/>
          <w:lang w:eastAsia="en-GB"/>
        </w:rPr>
        <w:fldChar w:fldCharType="begin"/>
      </w:r>
      <w:r>
        <w:instrText xml:space="preserve"> XE "</w:instrText>
      </w:r>
      <w:r w:rsidRPr="004D76A0">
        <w:rPr>
          <w:rStyle w:val="Hyperlink"/>
          <w:rFonts w:eastAsia="Times New Roman"/>
          <w:noProof/>
          <w:lang w:eastAsia="en-GB"/>
        </w:rPr>
        <w:instrText>Hamwic</w:instrText>
      </w:r>
      <w:r>
        <w:instrText xml:space="preserve">" </w:instrText>
      </w:r>
      <w:r>
        <w:rPr>
          <w:rFonts w:eastAsia="Times New Roman" w:cs="Times New Roman"/>
          <w:lang w:eastAsia="en-GB"/>
        </w:rPr>
        <w:fldChar w:fldCharType="end"/>
      </w:r>
      <w:r w:rsidRPr="00BB47A7">
        <w:rPr>
          <w:rFonts w:eastAsia="Times New Roman" w:cs="Times New Roman"/>
          <w:lang w:eastAsia="en-GB"/>
        </w:rPr>
        <w:t xml:space="preserve"> and 53 elsewhere, but predominantly in the Wessex area, and 17 are uncertain. (Extracted 17</w:t>
      </w:r>
      <w:r w:rsidRPr="00BB47A7">
        <w:rPr>
          <w:rFonts w:eastAsia="Times New Roman" w:cs="Times New Roman"/>
          <w:vertAlign w:val="superscript"/>
          <w:lang w:eastAsia="en-GB"/>
        </w:rPr>
        <w:t>th</w:t>
      </w:r>
      <w:r w:rsidRPr="00BB47A7">
        <w:rPr>
          <w:rFonts w:eastAsia="Times New Roman" w:cs="Times New Roman"/>
          <w:lang w:eastAsia="en-GB"/>
        </w:rPr>
        <w:t xml:space="preserve"> August 2014.)</w:t>
      </w:r>
      <w:r>
        <w:rPr>
          <w:rFonts w:eastAsia="Times New Roman" w:cs="Times New Roman"/>
          <w:lang w:eastAsia="en-GB"/>
        </w:rPr>
        <w:t xml:space="preserve"> EMC shows 48 (45%) of the 107 finds at Hamwic are Series H.</w:t>
      </w:r>
    </w:p>
  </w:footnote>
  <w:footnote w:id="908">
    <w:p w14:paraId="38A336C9" w14:textId="77777777" w:rsidR="000E1004" w:rsidRDefault="000E1004" w:rsidP="00BD53D4">
      <w:pPr>
        <w:pStyle w:val="FootnoteText"/>
      </w:pPr>
      <w:r>
        <w:rPr>
          <w:rStyle w:val="FootnoteReference"/>
        </w:rPr>
        <w:footnoteRef/>
      </w:r>
      <w:r>
        <w:t xml:space="preserve"> Andrews (1988, catalogue 4-20).</w:t>
      </w:r>
    </w:p>
  </w:footnote>
  <w:footnote w:id="909">
    <w:p w14:paraId="68799715" w14:textId="2C519588" w:rsidR="000E1004" w:rsidRPr="00186B7C" w:rsidRDefault="000E1004" w:rsidP="00BD53D4">
      <w:pPr>
        <w:pStyle w:val="FootnoteText"/>
      </w:pPr>
      <w:r>
        <w:rPr>
          <w:rStyle w:val="FootnoteReference"/>
        </w:rPr>
        <w:footnoteRef/>
      </w:r>
      <w:r>
        <w:t xml:space="preserve"> Andrews (1988, catalogue 115-124). There are </w:t>
      </w:r>
      <w:r w:rsidRPr="00D806E6">
        <w:t>on</w:t>
      </w:r>
      <w:r>
        <w:t>ly two Merovingian</w:t>
      </w:r>
      <w:r>
        <w:fldChar w:fldCharType="begin"/>
      </w:r>
      <w:r>
        <w:instrText xml:space="preserve"> XE "</w:instrText>
      </w:r>
      <w:r w:rsidRPr="007D3069">
        <w:rPr>
          <w:rStyle w:val="Hyperlink"/>
          <w:noProof/>
        </w:rPr>
        <w:instrText>Merovingian</w:instrText>
      </w:r>
      <w:r>
        <w:instrText xml:space="preserve">" </w:instrText>
      </w:r>
      <w:r>
        <w:fldChar w:fldCharType="end"/>
      </w:r>
      <w:r>
        <w:t xml:space="preserve"> coins, 126-7. </w:t>
      </w:r>
    </w:p>
  </w:footnote>
  <w:footnote w:id="910">
    <w:p w14:paraId="1BA5E735" w14:textId="77777777" w:rsidR="000E1004" w:rsidRPr="00186B7C" w:rsidRDefault="000E1004" w:rsidP="00BD53D4">
      <w:pPr>
        <w:pStyle w:val="FootnoteText"/>
      </w:pPr>
      <w:r w:rsidRPr="00186B7C">
        <w:rPr>
          <w:rStyle w:val="FootnoteReference"/>
        </w:rPr>
        <w:footnoteRef/>
      </w:r>
      <w:r>
        <w:t xml:space="preserve"> Andrews (1988,</w:t>
      </w:r>
      <w:r w:rsidRPr="00186B7C">
        <w:t xml:space="preserve"> 18</w:t>
      </w:r>
      <w:r>
        <w:t>)</w:t>
      </w:r>
      <w:r w:rsidRPr="00186B7C">
        <w:t>.</w:t>
      </w:r>
    </w:p>
  </w:footnote>
  <w:footnote w:id="911">
    <w:p w14:paraId="46A3A948" w14:textId="18312422" w:rsidR="000E1004" w:rsidRPr="00573A79" w:rsidRDefault="000E1004" w:rsidP="00BD53D4">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assumed 10,000 strikes per die (19), which is neither unreasonable for a trading currency nor uncontested. </w:t>
      </w:r>
      <w:r w:rsidRPr="00573A79">
        <w:rPr>
          <w:i/>
        </w:rPr>
        <w:t xml:space="preserve">Table </w:t>
      </w:r>
      <w:r>
        <w:rPr>
          <w:i/>
        </w:rPr>
        <w:t xml:space="preserve">8.43 </w:t>
      </w:r>
      <w:r>
        <w:t>shows 50% of Eadberht’s dies in Bude’s study (forthcoming) to have one surviving specimen only, which possibly argues against longevity</w:t>
      </w:r>
      <w:r w:rsidRPr="007C666B">
        <w:rPr>
          <w:rFonts w:asciiTheme="minorHAnsi" w:hAnsiTheme="minorHAnsi" w:cstheme="minorHAnsi"/>
          <w:color w:val="000000" w:themeColor="text1"/>
        </w:rPr>
        <w:t>. ‘It may not be that all dies were created equal’</w:t>
      </w:r>
      <w:r>
        <w:rPr>
          <w:rFonts w:asciiTheme="minorHAnsi" w:hAnsiTheme="minorHAnsi" w:cstheme="minorHAnsi"/>
          <w:color w:val="000000" w:themeColor="text1"/>
        </w:rPr>
        <w:t xml:space="preserve"> Warren Esty, (</w:t>
      </w:r>
      <w:r w:rsidRPr="007C666B">
        <w:rPr>
          <w:rFonts w:asciiTheme="minorHAnsi" w:hAnsiTheme="minorHAnsi" w:cstheme="minorHAnsi"/>
          <w:i/>
          <w:color w:val="000000" w:themeColor="text1"/>
        </w:rPr>
        <w:t>pers</w:t>
      </w:r>
      <w:r>
        <w:rPr>
          <w:rFonts w:asciiTheme="minorHAnsi" w:hAnsiTheme="minorHAnsi" w:cstheme="minorHAnsi"/>
          <w:color w:val="000000" w:themeColor="text1"/>
        </w:rPr>
        <w:t xml:space="preserve">. </w:t>
      </w:r>
      <w:r w:rsidRPr="007C666B">
        <w:rPr>
          <w:rFonts w:asciiTheme="minorHAnsi" w:hAnsiTheme="minorHAnsi" w:cstheme="minorHAnsi"/>
          <w:i/>
          <w:color w:val="000000" w:themeColor="text1"/>
        </w:rPr>
        <w:t>comm</w:t>
      </w:r>
      <w:r>
        <w:rPr>
          <w:rFonts w:asciiTheme="minorHAnsi" w:hAnsiTheme="minorHAnsi" w:cstheme="minorHAnsi"/>
          <w:color w:val="000000" w:themeColor="text1"/>
        </w:rPr>
        <w:t>. 21</w:t>
      </w:r>
      <w:r w:rsidRPr="007C666B">
        <w:rPr>
          <w:rFonts w:asciiTheme="minorHAnsi" w:hAnsiTheme="minorHAnsi" w:cstheme="minorHAnsi"/>
          <w:color w:val="000000" w:themeColor="text1"/>
          <w:vertAlign w:val="superscript"/>
        </w:rPr>
        <w:t>st</w:t>
      </w:r>
      <w:r>
        <w:rPr>
          <w:rFonts w:asciiTheme="minorHAnsi" w:hAnsiTheme="minorHAnsi" w:cstheme="minorHAnsi"/>
          <w:color w:val="000000" w:themeColor="text1"/>
        </w:rPr>
        <w:t xml:space="preserve"> February 2016).</w:t>
      </w:r>
    </w:p>
  </w:footnote>
  <w:footnote w:id="912">
    <w:p w14:paraId="0FA1FE82" w14:textId="635F4736" w:rsidR="000E1004" w:rsidRDefault="000E1004" w:rsidP="00BD53D4">
      <w:pPr>
        <w:pStyle w:val="FootnoteText"/>
      </w:pPr>
      <w:r>
        <w:rPr>
          <w:rStyle w:val="FootnoteReference"/>
        </w:rPr>
        <w:footnoteRef/>
      </w:r>
      <w:r>
        <w:t xml:space="preserve"> Bude (forthcoming).</w:t>
      </w:r>
    </w:p>
  </w:footnote>
  <w:footnote w:id="913">
    <w:p w14:paraId="54AD826A" w14:textId="7D769C7B" w:rsidR="000E1004" w:rsidRDefault="000E1004" w:rsidP="00BD53D4">
      <w:pPr>
        <w:pStyle w:val="FootnoteText"/>
      </w:pPr>
      <w:r>
        <w:rPr>
          <w:rStyle w:val="FootnoteReference"/>
        </w:rPr>
        <w:footnoteRef/>
      </w:r>
      <w:r>
        <w:t xml:space="preserve"> Andrews (1988, 16). </w:t>
      </w:r>
      <w:r w:rsidRPr="0015076F">
        <w:rPr>
          <w:i/>
        </w:rPr>
        <w:t xml:space="preserve">MEC </w:t>
      </w:r>
      <w:r>
        <w:t>(1986,</w:t>
      </w:r>
      <w:r w:rsidRPr="006D7168">
        <w:t xml:space="preserve"> </w:t>
      </w:r>
      <w:r>
        <w:t>171).</w:t>
      </w:r>
    </w:p>
  </w:footnote>
  <w:footnote w:id="914">
    <w:p w14:paraId="1F70F766" w14:textId="0C5F63B4" w:rsidR="000E1004" w:rsidRDefault="000E1004" w:rsidP="00BD53D4">
      <w:pPr>
        <w:pStyle w:val="FootnoteText"/>
      </w:pPr>
      <w:r>
        <w:rPr>
          <w:rStyle w:val="FootnoteReference"/>
        </w:rPr>
        <w:footnoteRef/>
      </w:r>
      <w:r>
        <w:t xml:space="preserve"> Andrews (1988, catalogue </w:t>
      </w:r>
      <w:r w:rsidRPr="00BB1E1F">
        <w:t>126-7</w:t>
      </w:r>
      <w:r>
        <w:t>)</w:t>
      </w:r>
      <w:r w:rsidRPr="00BB1E1F">
        <w:t>.</w:t>
      </w:r>
      <w:r>
        <w:t xml:space="preserve"> There is also a fragment of an Iberian Ummayad dirham, possibly dating to around 700</w:t>
      </w:r>
      <w:r w:rsidRPr="00084CFC">
        <w:rPr>
          <w:sz w:val="16"/>
          <w:szCs w:val="16"/>
        </w:rPr>
        <w:t>CE</w:t>
      </w:r>
      <w:r>
        <w:t xml:space="preserve"> and hinting at commercial links. There were no sceats of Aldfrith at Fishergate.</w:t>
      </w:r>
    </w:p>
  </w:footnote>
  <w:footnote w:id="915">
    <w:p w14:paraId="4BCFC431" w14:textId="068FA31C" w:rsidR="000E1004" w:rsidRDefault="000E1004" w:rsidP="00BD53D4">
      <w:pPr>
        <w:pStyle w:val="FootnoteText"/>
      </w:pPr>
      <w:r>
        <w:rPr>
          <w:rStyle w:val="FootnoteReference"/>
        </w:rPr>
        <w:footnoteRef/>
      </w:r>
      <w:r>
        <w:t xml:space="preserve"> </w:t>
      </w:r>
      <w:r w:rsidRPr="00E10041">
        <w:rPr>
          <w:i/>
        </w:rPr>
        <w:t>Ibid</w:t>
      </w:r>
      <w:r>
        <w:t xml:space="preserve"> 125. </w:t>
      </w:r>
      <w:r w:rsidRPr="00832AA4">
        <w:rPr>
          <w:rFonts w:eastAsia="Times New Roman" w:cs="Times New Roman"/>
          <w:lang w:eastAsia="en-GB"/>
        </w:rPr>
        <w:t>The archaeological</w:t>
      </w:r>
      <w:r>
        <w:rPr>
          <w:rFonts w:eastAsia="Times New Roman" w:cs="Times New Roman"/>
          <w:lang w:eastAsia="en-GB"/>
        </w:rPr>
        <w:fldChar w:fldCharType="begin"/>
      </w:r>
      <w:r>
        <w:instrText xml:space="preserve"> XE "</w:instrText>
      </w:r>
      <w:r w:rsidRPr="007D3069">
        <w:rPr>
          <w:rFonts w:eastAsia="Times New Roman" w:cs="Times New Roman"/>
          <w:szCs w:val="24"/>
          <w:lang w:eastAsia="en-GB"/>
        </w:rPr>
        <w:instrText>archaeological</w:instrText>
      </w:r>
      <w:r>
        <w:instrText xml:space="preserve">" </w:instrText>
      </w:r>
      <w:r>
        <w:rPr>
          <w:rFonts w:eastAsia="Times New Roman" w:cs="Times New Roman"/>
          <w:lang w:eastAsia="en-GB"/>
        </w:rPr>
        <w:fldChar w:fldCharType="end"/>
      </w:r>
      <w:r w:rsidRPr="00832AA4">
        <w:rPr>
          <w:rFonts w:eastAsia="Times New Roman" w:cs="Times New Roman"/>
          <w:lang w:eastAsia="en-GB"/>
        </w:rPr>
        <w:t xml:space="preserve"> context of this </w:t>
      </w:r>
      <w:r>
        <w:rPr>
          <w:rFonts w:eastAsia="Times New Roman" w:cs="Times New Roman"/>
          <w:lang w:eastAsia="en-GB"/>
        </w:rPr>
        <w:t>specific specimen</w:t>
      </w:r>
      <w:r w:rsidRPr="00832AA4">
        <w:rPr>
          <w:rFonts w:eastAsia="Times New Roman" w:cs="Times New Roman"/>
          <w:lang w:eastAsia="en-GB"/>
        </w:rPr>
        <w:t xml:space="preserve"> determined that this type was an emission of Northumbria</w:t>
      </w:r>
      <w:r>
        <w:rPr>
          <w:rFonts w:eastAsia="Times New Roman" w:cs="Times New Roman"/>
          <w:lang w:eastAsia="en-GB"/>
        </w:rPr>
        <w:fldChar w:fldCharType="begin"/>
      </w:r>
      <w:r>
        <w:instrText xml:space="preserve"> XE "</w:instrText>
      </w:r>
      <w:r w:rsidRPr="007A2080">
        <w:rPr>
          <w:rFonts w:cs="Times New Roman"/>
          <w:b/>
          <w:color w:val="000000" w:themeColor="text1"/>
          <w:sz w:val="56"/>
          <w:szCs w:val="56"/>
        </w:rPr>
        <w:instrText>Northumbria</w:instrText>
      </w:r>
      <w:r>
        <w:instrText xml:space="preserve">" </w:instrText>
      </w:r>
      <w:r>
        <w:rPr>
          <w:rFonts w:eastAsia="Times New Roman" w:cs="Times New Roman"/>
          <w:lang w:eastAsia="en-GB"/>
        </w:rPr>
        <w:fldChar w:fldCharType="end"/>
      </w:r>
      <w:r w:rsidRPr="00832AA4">
        <w:rPr>
          <w:rFonts w:eastAsia="Times New Roman" w:cs="Times New Roman"/>
          <w:lang w:eastAsia="en-GB"/>
        </w:rPr>
        <w:t xml:space="preserve"> not Lincolnshire.</w:t>
      </w:r>
      <w:r>
        <w:rPr>
          <w:rFonts w:eastAsia="Times New Roman" w:cs="Times New Roman"/>
          <w:lang w:eastAsia="en-GB"/>
        </w:rPr>
        <w:t xml:space="preserve"> Note Aldfrith is absent from Fishergate.</w:t>
      </w:r>
    </w:p>
  </w:footnote>
  <w:footnote w:id="916">
    <w:p w14:paraId="7CA67838" w14:textId="267304D1" w:rsidR="000E1004" w:rsidRDefault="000E1004" w:rsidP="00BD53D4">
      <w:pPr>
        <w:pStyle w:val="FootnoteText"/>
      </w:pPr>
      <w:r>
        <w:rPr>
          <w:rStyle w:val="FootnoteReference"/>
        </w:rPr>
        <w:footnoteRef/>
      </w:r>
      <w:r>
        <w:t xml:space="preserve"> Except for secondary issue no. 12 (</w:t>
      </w:r>
      <w:r w:rsidRPr="004B685C">
        <w:rPr>
          <w:i/>
        </w:rPr>
        <w:t>SL</w:t>
      </w:r>
      <w:r>
        <w:t xml:space="preserve"> 94) which is virtually as minted and tertiary issue no. 11 (</w:t>
      </w:r>
      <w:r w:rsidRPr="004B685C">
        <w:rPr>
          <w:i/>
        </w:rPr>
        <w:t>SL</w:t>
      </w:r>
      <w:r>
        <w:t xml:space="preserve"> 100). Note that the three Series</w:t>
      </w:r>
      <w:r>
        <w:fldChar w:fldCharType="begin"/>
      </w:r>
      <w:r>
        <w:instrText xml:space="preserve"> XE "</w:instrText>
      </w:r>
      <w:r w:rsidRPr="007645AE">
        <w:instrText>Series</w:instrText>
      </w:r>
      <w:r>
        <w:instrText xml:space="preserve">" </w:instrText>
      </w:r>
      <w:r>
        <w:fldChar w:fldCharType="end"/>
      </w:r>
      <w:r>
        <w:t xml:space="preserve"> E</w:t>
      </w:r>
      <w:r>
        <w:fldChar w:fldCharType="begin"/>
      </w:r>
      <w:r>
        <w:instrText xml:space="preserve"> XE "</w:instrText>
      </w:r>
      <w:r w:rsidRPr="008D02A1">
        <w:instrText>Series E</w:instrText>
      </w:r>
      <w:r>
        <w:instrText xml:space="preserve">" </w:instrText>
      </w:r>
      <w:r>
        <w:fldChar w:fldCharType="end"/>
      </w:r>
      <w:r>
        <w:t xml:space="preserve"> phases do not correspond exactly with the two general phases.</w:t>
      </w:r>
    </w:p>
  </w:footnote>
  <w:footnote w:id="917">
    <w:p w14:paraId="195EF62E" w14:textId="77777777" w:rsidR="000E1004" w:rsidRDefault="000E1004" w:rsidP="00BD53D4">
      <w:pPr>
        <w:pStyle w:val="FootnoteText"/>
      </w:pPr>
      <w:r>
        <w:rPr>
          <w:rStyle w:val="FootnoteReference"/>
        </w:rPr>
        <w:footnoteRef/>
      </w:r>
      <w:r>
        <w:t xml:space="preserve"> Andrews (1988, catalogue 2).</w:t>
      </w:r>
    </w:p>
  </w:footnote>
  <w:footnote w:id="918">
    <w:p w14:paraId="6B1703AC" w14:textId="72B9DBD3" w:rsidR="000E1004" w:rsidRDefault="000E1004" w:rsidP="00BD53D4">
      <w:pPr>
        <w:pStyle w:val="FootnoteText"/>
      </w:pPr>
      <w:r>
        <w:rPr>
          <w:rStyle w:val="FootnoteReference"/>
        </w:rPr>
        <w:footnoteRef/>
      </w:r>
      <w:r>
        <w:t xml:space="preserve"> </w:t>
      </w:r>
      <w:r>
        <w:rPr>
          <w:rFonts w:eastAsia="Times New Roman" w:cs="Times New Roman"/>
          <w:lang w:eastAsia="en-GB"/>
        </w:rPr>
        <w:t>T</w:t>
      </w:r>
      <w:r w:rsidRPr="006D4FCB">
        <w:rPr>
          <w:rFonts w:eastAsia="Times New Roman" w:cs="Times New Roman"/>
          <w:lang w:eastAsia="en-GB"/>
        </w:rPr>
        <w:t xml:space="preserve">ype 105, </w:t>
      </w:r>
      <w:r w:rsidRPr="006D4FCB">
        <w:rPr>
          <w:rFonts w:eastAsia="Times New Roman" w:cs="Times New Roman"/>
          <w:i/>
          <w:lang w:eastAsia="en-GB"/>
        </w:rPr>
        <w:t>SL</w:t>
      </w:r>
      <w:r>
        <w:rPr>
          <w:rFonts w:eastAsia="Times New Roman" w:cs="Times New Roman"/>
          <w:lang w:eastAsia="en-GB"/>
        </w:rPr>
        <w:t xml:space="preserve"> 92, date uncertain, but thought by the author to be primary.</w:t>
      </w:r>
    </w:p>
  </w:footnote>
  <w:footnote w:id="919">
    <w:p w14:paraId="6CF4C9D4" w14:textId="00C4273E" w:rsidR="000E1004" w:rsidRDefault="000E1004" w:rsidP="00BD53D4">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(2012d, Groups 46-9, 133-7 and Appendix 4, 239-41).</w:t>
      </w:r>
    </w:p>
  </w:footnote>
  <w:footnote w:id="920">
    <w:p w14:paraId="05EFBD09" w14:textId="2E5A1BD0" w:rsidR="000E1004" w:rsidRDefault="000E1004" w:rsidP="00BD53D4">
      <w:pPr>
        <w:pStyle w:val="FootnoteText"/>
      </w:pPr>
      <w:r>
        <w:rPr>
          <w:rStyle w:val="FootnoteReference"/>
        </w:rPr>
        <w:footnoteRef/>
      </w:r>
      <w:r>
        <w:t xml:space="preserve"> Andrews (1988, catalogue 1, which is misidentified as Series</w:t>
      </w:r>
      <w:r>
        <w:fldChar w:fldCharType="begin"/>
      </w:r>
      <w:r>
        <w:instrText xml:space="preserve"> XE "</w:instrText>
      </w:r>
      <w:r w:rsidRPr="007645AE">
        <w:instrText>Series</w:instrText>
      </w:r>
      <w:r>
        <w:instrText xml:space="preserve">" </w:instrText>
      </w:r>
      <w:r>
        <w:fldChar w:fldCharType="end"/>
      </w:r>
      <w:r>
        <w:t xml:space="preserve"> C – it is Series R).</w:t>
      </w:r>
    </w:p>
  </w:footnote>
  <w:footnote w:id="921">
    <w:p w14:paraId="7C9A4857" w14:textId="77777777" w:rsidR="000E1004" w:rsidRDefault="000E1004" w:rsidP="00952208">
      <w:pPr>
        <w:pStyle w:val="FootnoteText"/>
      </w:pPr>
      <w:r>
        <w:rPr>
          <w:rStyle w:val="FootnoteReference"/>
        </w:rPr>
        <w:footnoteRef/>
      </w:r>
      <w:r>
        <w:t xml:space="preserve"> </w:t>
      </w:r>
      <w:r w:rsidRPr="00294E3A">
        <w:rPr>
          <w:rFonts w:eastAsia="Times New Roman" w:cs="Times New Roman"/>
          <w:lang w:eastAsia="en-GB"/>
        </w:rPr>
        <w:t>In the secondary phase, Series</w:t>
      </w:r>
      <w:r>
        <w:rPr>
          <w:rFonts w:eastAsia="Times New Roman" w:cs="Times New Roman"/>
          <w:lang w:eastAsia="en-GB"/>
        </w:rPr>
        <w:fldChar w:fldCharType="begin"/>
      </w:r>
      <w:r>
        <w:instrText xml:space="preserve"> XE "</w:instrText>
      </w:r>
      <w:r w:rsidRPr="007645AE">
        <w:instrText>Series</w:instrText>
      </w:r>
      <w:r>
        <w:instrText xml:space="preserve">" </w:instrText>
      </w:r>
      <w:r>
        <w:rPr>
          <w:rFonts w:eastAsia="Times New Roman" w:cs="Times New Roman"/>
          <w:lang w:eastAsia="en-GB"/>
        </w:rPr>
        <w:fldChar w:fldCharType="end"/>
      </w:r>
      <w:r w:rsidRPr="00294E3A">
        <w:rPr>
          <w:rFonts w:eastAsia="Times New Roman" w:cs="Times New Roman"/>
          <w:lang w:eastAsia="en-GB"/>
        </w:rPr>
        <w:t xml:space="preserve"> J</w:t>
      </w:r>
      <w:r>
        <w:rPr>
          <w:rFonts w:eastAsia="Times New Roman" w:cs="Times New Roman"/>
          <w:lang w:eastAsia="en-GB"/>
        </w:rPr>
        <w:t>, the putative northern emission,</w:t>
      </w:r>
      <w:r w:rsidRPr="00294E3A">
        <w:rPr>
          <w:rFonts w:eastAsia="Times New Roman" w:cs="Times New Roman"/>
          <w:lang w:eastAsia="en-GB"/>
        </w:rPr>
        <w:t xml:space="preserve"> is proportionately stronger in the northern </w:t>
      </w:r>
      <w:r w:rsidRPr="00294E3A">
        <w:rPr>
          <w:rFonts w:eastAsia="Times New Roman" w:cs="Times New Roman"/>
          <w:i/>
          <w:lang w:eastAsia="en-GB"/>
        </w:rPr>
        <w:t>wic</w:t>
      </w:r>
      <w:r>
        <w:rPr>
          <w:rFonts w:eastAsia="Times New Roman" w:cs="Times New Roman"/>
          <w:i/>
          <w:lang w:eastAsia="en-GB"/>
        </w:rPr>
        <w:fldChar w:fldCharType="begin"/>
      </w:r>
      <w:r>
        <w:instrText xml:space="preserve"> XE "</w:instrText>
      </w:r>
      <w:r w:rsidRPr="007645AE">
        <w:instrText>wic</w:instrText>
      </w:r>
      <w:r>
        <w:instrText xml:space="preserve">" </w:instrText>
      </w:r>
      <w:r>
        <w:rPr>
          <w:rFonts w:eastAsia="Times New Roman" w:cs="Times New Roman"/>
          <w:i/>
          <w:lang w:eastAsia="en-GB"/>
        </w:rPr>
        <w:fldChar w:fldCharType="end"/>
      </w:r>
      <w:r w:rsidRPr="00294E3A">
        <w:rPr>
          <w:rFonts w:eastAsia="Times New Roman" w:cs="Times New Roman"/>
          <w:lang w:eastAsia="en-GB"/>
        </w:rPr>
        <w:t>.</w:t>
      </w:r>
    </w:p>
  </w:footnote>
  <w:footnote w:id="922">
    <w:p w14:paraId="1A038CFF" w14:textId="6FB24E4F" w:rsidR="000E1004" w:rsidRDefault="000E1004" w:rsidP="00633774">
      <w:pPr>
        <w:pStyle w:val="FootnoteText"/>
      </w:pPr>
      <w:r>
        <w:rPr>
          <w:rStyle w:val="FootnoteReference"/>
        </w:rPr>
        <w:footnoteRef/>
      </w:r>
      <w:r>
        <w:t xml:space="preserve"> Andrews (1988, 111-116).</w:t>
      </w:r>
    </w:p>
  </w:footnote>
  <w:footnote w:id="923">
    <w:p w14:paraId="1544E4FC" w14:textId="533753ED" w:rsidR="000E1004" w:rsidRDefault="000E1004" w:rsidP="00633774">
      <w:pPr>
        <w:pStyle w:val="FootnoteText"/>
      </w:pPr>
      <w:r>
        <w:rPr>
          <w:rStyle w:val="FootnoteReference"/>
        </w:rPr>
        <w:footnoteRef/>
      </w:r>
      <w:r>
        <w:t xml:space="preserve"> Andrews (1988, 116-120).</w:t>
      </w:r>
    </w:p>
  </w:footnote>
  <w:footnote w:id="924">
    <w:p w14:paraId="0F1162EE" w14:textId="77777777" w:rsidR="000E1004" w:rsidRDefault="000E1004" w:rsidP="00633774">
      <w:pPr>
        <w:pStyle w:val="FootnoteText"/>
      </w:pPr>
      <w:r>
        <w:rPr>
          <w:rStyle w:val="FootnoteReference"/>
        </w:rPr>
        <w:footnoteRef/>
      </w:r>
      <w:r>
        <w:t xml:space="preserve"> Mainman (1993, 574).</w:t>
      </w:r>
    </w:p>
  </w:footnote>
  <w:footnote w:id="925">
    <w:p w14:paraId="2EC7BDF5" w14:textId="3BE94498" w:rsidR="000E1004" w:rsidRDefault="000E1004" w:rsidP="00BD53D4">
      <w:pPr>
        <w:pStyle w:val="FootnoteText"/>
      </w:pPr>
      <w:r>
        <w:rPr>
          <w:rStyle w:val="FootnoteReference"/>
        </w:rPr>
        <w:footnoteRef/>
      </w:r>
      <w:r>
        <w:t xml:space="preserve"> Mainman (1993, 582) also indicates that the variety of pottery types found at </w:t>
      </w:r>
      <w:r w:rsidRPr="002E3858">
        <w:t>Hamwic</w:t>
      </w:r>
      <w:r>
        <w:fldChar w:fldCharType="begin"/>
      </w:r>
      <w:r>
        <w:instrText xml:space="preserve"> XE "</w:instrText>
      </w:r>
      <w:r w:rsidRPr="004D76A0">
        <w:rPr>
          <w:rStyle w:val="Hyperlink"/>
          <w:rFonts w:eastAsia="Times New Roman"/>
          <w:noProof/>
          <w:lang w:eastAsia="en-GB"/>
        </w:rPr>
        <w:instrText>Hamwic</w:instrText>
      </w:r>
      <w:r>
        <w:instrText xml:space="preserve">" </w:instrText>
      </w:r>
      <w:r>
        <w:fldChar w:fldCharType="end"/>
      </w:r>
      <w:r>
        <w:t xml:space="preserve"> is greater than at Fishergate</w:t>
      </w:r>
      <w:r>
        <w:fldChar w:fldCharType="begin"/>
      </w:r>
      <w:r>
        <w:instrText xml:space="preserve"> XE "</w:instrText>
      </w:r>
      <w:r w:rsidRPr="004D76A0">
        <w:rPr>
          <w:rStyle w:val="Hyperlink"/>
          <w:noProof/>
        </w:rPr>
        <w:instrText>Fishergate</w:instrText>
      </w:r>
      <w:r>
        <w:instrText xml:space="preserve">" </w:instrText>
      </w:r>
      <w:r>
        <w:fldChar w:fldCharType="end"/>
      </w:r>
      <w:r>
        <w:t xml:space="preserve"> though the proportion of imported wares is smaller.</w:t>
      </w:r>
    </w:p>
  </w:footnote>
  <w:footnote w:id="926">
    <w:p w14:paraId="159AEA2A" w14:textId="2F80B106" w:rsidR="000E1004" w:rsidRDefault="000E1004">
      <w:pPr>
        <w:pStyle w:val="FootnoteText"/>
      </w:pPr>
      <w:r>
        <w:rPr>
          <w:rStyle w:val="FootnoteReference"/>
        </w:rPr>
        <w:footnoteRef/>
      </w:r>
      <w:r>
        <w:t xml:space="preserve"> Wickham (2005, 352).</w:t>
      </w:r>
    </w:p>
  </w:footnote>
  <w:footnote w:id="927">
    <w:p w14:paraId="3FCF34E6" w14:textId="77777777" w:rsidR="000E1004" w:rsidRDefault="000E1004" w:rsidP="00BD53D4">
      <w:pPr>
        <w:pStyle w:val="FootnoteText"/>
      </w:pPr>
      <w:r>
        <w:rPr>
          <w:rStyle w:val="FootnoteReference"/>
        </w:rPr>
        <w:footnoteRef/>
      </w:r>
      <w:r>
        <w:t xml:space="preserve"> Though the variety of meat consumption is limited. Saunders (2011, 12).</w:t>
      </w:r>
    </w:p>
  </w:footnote>
  <w:footnote w:id="928">
    <w:p w14:paraId="1695C86D" w14:textId="77777777" w:rsidR="000E1004" w:rsidRDefault="000E1004" w:rsidP="00234E02">
      <w:pPr>
        <w:pStyle w:val="FootnoteText"/>
      </w:pPr>
      <w:r>
        <w:rPr>
          <w:rStyle w:val="FootnoteReference"/>
        </w:rPr>
        <w:footnoteRef/>
      </w:r>
      <w:r>
        <w:t xml:space="preserve"> Situated two miles east of Heckington, at Garwick, and formerly referred to as the South Lincolnshire ‘productive site’.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(forthcoming).</w:t>
      </w:r>
    </w:p>
  </w:footnote>
  <w:footnote w:id="929">
    <w:p w14:paraId="0B2D2DAE" w14:textId="2F12D33F" w:rsidR="000E1004" w:rsidRDefault="000E1004" w:rsidP="00BD53D4">
      <w:pPr>
        <w:pStyle w:val="FootnoteText"/>
      </w:pPr>
      <w:r>
        <w:rPr>
          <w:rStyle w:val="FootnoteReference"/>
        </w:rPr>
        <w:footnoteRef/>
      </w:r>
      <w:r>
        <w:t xml:space="preserve"> See </w:t>
      </w:r>
      <w:r w:rsidRPr="000510D7">
        <w:rPr>
          <w:i/>
        </w:rPr>
        <w:t>Table</w:t>
      </w:r>
      <w:r w:rsidRPr="000510D7">
        <w:rPr>
          <w:i/>
        </w:rPr>
        <w:fldChar w:fldCharType="begin"/>
      </w:r>
      <w:r>
        <w:instrText xml:space="preserve"> XE "</w:instrText>
      </w:r>
      <w:r w:rsidRPr="000510D7">
        <w:rPr>
          <w:noProof/>
        </w:rPr>
        <w:instrText>Table</w:instrText>
      </w:r>
      <w:r>
        <w:instrText xml:space="preserve">" </w:instrText>
      </w:r>
      <w:r w:rsidRPr="000510D7">
        <w:rPr>
          <w:i/>
        </w:rPr>
        <w:fldChar w:fldCharType="end"/>
      </w:r>
      <w:r w:rsidRPr="000510D7">
        <w:rPr>
          <w:i/>
        </w:rPr>
        <w:t xml:space="preserve"> 8</w:t>
      </w:r>
      <w:r>
        <w:rPr>
          <w:i/>
        </w:rPr>
        <w:t>.44</w:t>
      </w:r>
      <w:r w:rsidRPr="00AC755D">
        <w:rPr>
          <w:i/>
        </w:rPr>
        <w:t>.</w:t>
      </w:r>
    </w:p>
  </w:footnote>
  <w:footnote w:id="930">
    <w:p w14:paraId="6127FBE8" w14:textId="07145419" w:rsidR="000E1004" w:rsidRDefault="000E1004" w:rsidP="005740FF">
      <w:pPr>
        <w:pStyle w:val="FootnoteText"/>
      </w:pPr>
      <w:r>
        <w:rPr>
          <w:rStyle w:val="FootnoteReference"/>
        </w:rPr>
        <w:footnoteRef/>
      </w:r>
      <w:r>
        <w:t xml:space="preserve"> </w:t>
      </w:r>
      <w:r w:rsidRPr="00682806">
        <w:rPr>
          <w:rFonts w:eastAsia="Times New Roman" w:cs="Times New Roman"/>
          <w:color w:val="000000" w:themeColor="text1"/>
          <w:szCs w:val="24"/>
          <w:lang w:eastAsia="en-GB"/>
        </w:rPr>
        <w:t>Flixborough</w:t>
      </w:r>
      <w:r>
        <w:rPr>
          <w:rFonts w:eastAsia="Times New Roman" w:cs="Times New Roman"/>
          <w:color w:val="000000" w:themeColor="text1"/>
          <w:szCs w:val="24"/>
          <w:lang w:eastAsia="en-GB"/>
        </w:rPr>
        <w:fldChar w:fldCharType="begin"/>
      </w:r>
      <w:r>
        <w:instrText xml:space="preserve"> XE "</w:instrText>
      </w:r>
      <w:r w:rsidRPr="004D76A0">
        <w:rPr>
          <w:rStyle w:val="Hyperlink"/>
          <w:noProof/>
        </w:rPr>
        <w:instrText>Flixborough</w:instrText>
      </w:r>
      <w:r>
        <w:instrText xml:space="preserve">" </w:instrText>
      </w:r>
      <w:r>
        <w:rPr>
          <w:rFonts w:eastAsia="Times New Roman" w:cs="Times New Roman"/>
          <w:color w:val="000000" w:themeColor="text1"/>
          <w:szCs w:val="24"/>
          <w:lang w:eastAsia="en-GB"/>
        </w:rPr>
        <w:fldChar w:fldCharType="end"/>
      </w:r>
      <w:r w:rsidRPr="00682806">
        <w:rPr>
          <w:rFonts w:eastAsia="Times New Roman" w:cs="Times New Roman"/>
          <w:color w:val="000000" w:themeColor="text1"/>
          <w:szCs w:val="24"/>
          <w:lang w:eastAsia="en-GB"/>
        </w:rPr>
        <w:t xml:space="preserve"> </w:t>
      </w:r>
      <w:r>
        <w:rPr>
          <w:rFonts w:eastAsia="Times New Roman" w:cs="Times New Roman"/>
          <w:color w:val="000000" w:themeColor="text1"/>
          <w:szCs w:val="24"/>
          <w:lang w:eastAsia="en-GB"/>
        </w:rPr>
        <w:t>is sixty miles north of</w:t>
      </w:r>
      <w:r w:rsidRPr="00682806">
        <w:rPr>
          <w:rFonts w:eastAsia="Times New Roman" w:cs="Times New Roman"/>
          <w:color w:val="000000" w:themeColor="text1"/>
          <w:szCs w:val="24"/>
          <w:lang w:eastAsia="en-GB"/>
        </w:rPr>
        <w:t xml:space="preserve"> Heckington</w:t>
      </w:r>
      <w:r>
        <w:rPr>
          <w:rFonts w:eastAsia="Times New Roman" w:cs="Times New Roman"/>
          <w:color w:val="000000" w:themeColor="text1"/>
          <w:szCs w:val="24"/>
          <w:lang w:eastAsia="en-GB"/>
        </w:rPr>
        <w:t xml:space="preserve"> and thirty miles west of Riby Cross Roads</w:t>
      </w:r>
      <w:r>
        <w:rPr>
          <w:rFonts w:eastAsia="Times New Roman" w:cs="Times New Roman"/>
          <w:color w:val="000000" w:themeColor="text1"/>
          <w:szCs w:val="24"/>
          <w:lang w:eastAsia="en-GB"/>
        </w:rPr>
        <w:fldChar w:fldCharType="begin"/>
      </w:r>
      <w:r>
        <w:instrText xml:space="preserve"> XE "</w:instrText>
      </w:r>
      <w:r w:rsidRPr="00065073">
        <w:rPr>
          <w:rFonts w:eastAsia="Times New Roman" w:cs="Times New Roman"/>
          <w:color w:val="000000" w:themeColor="text1"/>
          <w:szCs w:val="24"/>
          <w:lang w:eastAsia="en-GB"/>
        </w:rPr>
        <w:instrText>Riby Cross Roads</w:instrText>
      </w:r>
      <w:r>
        <w:instrText xml:space="preserve">" </w:instrText>
      </w:r>
      <w:r>
        <w:rPr>
          <w:rFonts w:eastAsia="Times New Roman" w:cs="Times New Roman"/>
          <w:color w:val="000000" w:themeColor="text1"/>
          <w:szCs w:val="24"/>
          <w:lang w:eastAsia="en-GB"/>
        </w:rPr>
        <w:fldChar w:fldCharType="end"/>
      </w:r>
      <w:r>
        <w:rPr>
          <w:rFonts w:eastAsia="Times New Roman" w:cs="Times New Roman"/>
          <w:color w:val="000000" w:themeColor="text1"/>
          <w:szCs w:val="24"/>
          <w:lang w:eastAsia="en-GB"/>
        </w:rPr>
        <w:t>.</w:t>
      </w:r>
    </w:p>
  </w:footnote>
  <w:footnote w:id="931">
    <w:p w14:paraId="65C8CC29" w14:textId="11615E6C" w:rsidR="000E1004" w:rsidRDefault="000E1004">
      <w:pPr>
        <w:pStyle w:val="FootnoteText"/>
      </w:pPr>
      <w:r>
        <w:rPr>
          <w:rStyle w:val="FootnoteReference"/>
        </w:rPr>
        <w:footnoteRef/>
      </w:r>
      <w:r>
        <w:t xml:space="preserve"> Hall (2003, 173).</w:t>
      </w:r>
    </w:p>
  </w:footnote>
  <w:footnote w:id="932">
    <w:p w14:paraId="6DC56F6F" w14:textId="32099DAA" w:rsidR="000E1004" w:rsidRPr="00CC737B" w:rsidRDefault="000E1004" w:rsidP="00BD53D4">
      <w:pPr>
        <w:pStyle w:val="NoSpacing"/>
        <w:spacing w:line="276" w:lineRule="auto"/>
        <w:rPr>
          <w:sz w:val="20"/>
          <w:szCs w:val="20"/>
        </w:rPr>
      </w:pPr>
      <w:r>
        <w:rPr>
          <w:rStyle w:val="FootnoteReference"/>
        </w:rPr>
        <w:footnoteRef/>
      </w:r>
      <w:r>
        <w:t xml:space="preserve"> </w:t>
      </w:r>
      <w:r w:rsidRPr="005914DC">
        <w:rPr>
          <w:sz w:val="20"/>
          <w:szCs w:val="20"/>
        </w:rPr>
        <w:t xml:space="preserve">The MOLAS report </w:t>
      </w:r>
      <w:r>
        <w:rPr>
          <w:sz w:val="20"/>
          <w:szCs w:val="20"/>
        </w:rPr>
        <w:t>(Cowie, 1987-2000) stated</w:t>
      </w:r>
      <w:r w:rsidRPr="005914DC">
        <w:rPr>
          <w:sz w:val="20"/>
          <w:szCs w:val="20"/>
        </w:rPr>
        <w:t xml:space="preserve"> that the purse hoard deposited within the dark earth ‘was probably buried in 851’, a known date of a Viking</w:t>
      </w:r>
      <w:r>
        <w:rPr>
          <w:sz w:val="20"/>
          <w:szCs w:val="20"/>
        </w:rPr>
        <w:fldChar w:fldCharType="begin"/>
      </w:r>
      <w:r>
        <w:instrText xml:space="preserve"> XE "</w:instrText>
      </w:r>
      <w:r w:rsidRPr="00F1328A">
        <w:rPr>
          <w:rStyle w:val="Hyperlink"/>
          <w:noProof/>
        </w:rPr>
        <w:instrText>Viking</w:instrText>
      </w:r>
      <w:r>
        <w:instrText xml:space="preserve">" </w:instrText>
      </w:r>
      <w:r>
        <w:rPr>
          <w:sz w:val="20"/>
          <w:szCs w:val="20"/>
        </w:rPr>
        <w:fldChar w:fldCharType="end"/>
      </w:r>
      <w:r w:rsidRPr="005914DC">
        <w:rPr>
          <w:sz w:val="20"/>
          <w:szCs w:val="20"/>
        </w:rPr>
        <w:t xml:space="preserve"> incursion. This seems unduly precise and it is unlikely that the extent of blundering evident in the hoard occurred this early in Osberht</w:t>
      </w:r>
      <w:r>
        <w:rPr>
          <w:sz w:val="20"/>
          <w:szCs w:val="20"/>
        </w:rPr>
        <w:fldChar w:fldCharType="begin"/>
      </w:r>
      <w:r>
        <w:instrText xml:space="preserve"> XE "</w:instrText>
      </w:r>
      <w:r w:rsidRPr="007645AE">
        <w:instrText>Osberht</w:instrText>
      </w:r>
      <w:r>
        <w:instrText xml:space="preserve">" </w:instrText>
      </w:r>
      <w:r>
        <w:rPr>
          <w:sz w:val="20"/>
          <w:szCs w:val="20"/>
        </w:rPr>
        <w:fldChar w:fldCharType="end"/>
      </w:r>
      <w:r w:rsidRPr="005914DC">
        <w:rPr>
          <w:sz w:val="20"/>
          <w:szCs w:val="20"/>
        </w:rPr>
        <w:t>’s reign</w:t>
      </w:r>
      <w:r>
        <w:rPr>
          <w:sz w:val="20"/>
          <w:szCs w:val="20"/>
        </w:rPr>
        <w:t>. Besides, a</w:t>
      </w:r>
      <w:r w:rsidRPr="005914DC">
        <w:rPr>
          <w:sz w:val="20"/>
          <w:szCs w:val="20"/>
        </w:rPr>
        <w:t xml:space="preserve"> styca of Osberht (</w:t>
      </w:r>
      <w:r w:rsidRPr="005914DC">
        <w:rPr>
          <w:i/>
          <w:sz w:val="20"/>
          <w:szCs w:val="20"/>
        </w:rPr>
        <w:t>c.</w:t>
      </w:r>
      <w:r w:rsidRPr="005914DC">
        <w:rPr>
          <w:sz w:val="20"/>
          <w:szCs w:val="20"/>
        </w:rPr>
        <w:t xml:space="preserve"> 850-867</w:t>
      </w:r>
      <w:r>
        <w:rPr>
          <w:sz w:val="20"/>
          <w:szCs w:val="20"/>
        </w:rPr>
        <w:t xml:space="preserve">, </w:t>
      </w:r>
      <w:r w:rsidRPr="00652C75">
        <w:rPr>
          <w:i/>
          <w:sz w:val="20"/>
          <w:szCs w:val="20"/>
        </w:rPr>
        <w:t>CKN</w:t>
      </w:r>
      <w:r w:rsidRPr="00652C75">
        <w:rPr>
          <w:i/>
          <w:sz w:val="20"/>
          <w:szCs w:val="20"/>
        </w:rPr>
        <w:fldChar w:fldCharType="begin"/>
      </w:r>
      <w:r w:rsidRPr="00652C75">
        <w:rPr>
          <w:i/>
        </w:rPr>
        <w:instrText xml:space="preserve"> XE "CKN" </w:instrText>
      </w:r>
      <w:r w:rsidRPr="00652C75">
        <w:rPr>
          <w:i/>
          <w:sz w:val="20"/>
          <w:szCs w:val="20"/>
        </w:rPr>
        <w:fldChar w:fldCharType="end"/>
      </w:r>
      <w:r>
        <w:rPr>
          <w:sz w:val="20"/>
          <w:szCs w:val="20"/>
        </w:rPr>
        <w:t xml:space="preserve"> 1260</w:t>
      </w:r>
      <w:r w:rsidRPr="005914DC">
        <w:rPr>
          <w:sz w:val="20"/>
          <w:szCs w:val="20"/>
        </w:rPr>
        <w:t>) is considerably worn, consistent with circulation over several years.</w:t>
      </w:r>
      <w:r>
        <w:rPr>
          <w:sz w:val="20"/>
          <w:szCs w:val="20"/>
        </w:rPr>
        <w:t xml:space="preserve"> </w:t>
      </w:r>
      <w:r w:rsidRPr="005914DC">
        <w:rPr>
          <w:sz w:val="20"/>
          <w:szCs w:val="20"/>
        </w:rPr>
        <w:t xml:space="preserve">It is far more probably that the hoard was secreted in 871-2, when the </w:t>
      </w:r>
      <w:r w:rsidRPr="005914DC">
        <w:rPr>
          <w:i/>
          <w:sz w:val="20"/>
          <w:szCs w:val="20"/>
        </w:rPr>
        <w:t>micel here</w:t>
      </w:r>
      <w:r>
        <w:rPr>
          <w:i/>
          <w:sz w:val="20"/>
          <w:szCs w:val="20"/>
        </w:rPr>
        <w:fldChar w:fldCharType="begin"/>
      </w:r>
      <w:r>
        <w:instrText xml:space="preserve"> XE "</w:instrText>
      </w:r>
      <w:r w:rsidRPr="007D3069">
        <w:rPr>
          <w:rFonts w:cs="Times New Roman"/>
          <w:i/>
          <w:color w:val="000000" w:themeColor="text1"/>
          <w:szCs w:val="24"/>
        </w:rPr>
        <w:instrText>micel here</w:instrText>
      </w:r>
      <w:r>
        <w:instrText xml:space="preserve">" </w:instrText>
      </w:r>
      <w:r>
        <w:rPr>
          <w:i/>
          <w:sz w:val="20"/>
          <w:szCs w:val="20"/>
        </w:rPr>
        <w:fldChar w:fldCharType="end"/>
      </w:r>
      <w:r w:rsidRPr="005914DC">
        <w:rPr>
          <w:sz w:val="20"/>
          <w:szCs w:val="20"/>
        </w:rPr>
        <w:t xml:space="preserve"> over-wintered.</w:t>
      </w:r>
      <w:r>
        <w:rPr>
          <w:sz w:val="20"/>
          <w:szCs w:val="20"/>
        </w:rPr>
        <w:t xml:space="preserve"> See </w:t>
      </w:r>
      <w:r w:rsidRPr="000510D7">
        <w:rPr>
          <w:i/>
          <w:sz w:val="20"/>
          <w:szCs w:val="20"/>
        </w:rPr>
        <w:t>Table</w:t>
      </w:r>
      <w:r w:rsidRPr="000510D7">
        <w:rPr>
          <w:i/>
          <w:sz w:val="20"/>
          <w:szCs w:val="20"/>
        </w:rPr>
        <w:fldChar w:fldCharType="begin"/>
      </w:r>
      <w:r>
        <w:instrText xml:space="preserve"> XE "</w:instrText>
      </w:r>
      <w:r w:rsidRPr="000510D7">
        <w:rPr>
          <w:noProof/>
        </w:rPr>
        <w:instrText>Table</w:instrText>
      </w:r>
      <w:r>
        <w:instrText xml:space="preserve">" </w:instrText>
      </w:r>
      <w:r w:rsidRPr="000510D7">
        <w:rPr>
          <w:i/>
          <w:sz w:val="20"/>
          <w:szCs w:val="20"/>
        </w:rPr>
        <w:fldChar w:fldCharType="end"/>
      </w:r>
      <w:r w:rsidRPr="000510D7">
        <w:rPr>
          <w:i/>
          <w:sz w:val="20"/>
          <w:szCs w:val="20"/>
        </w:rPr>
        <w:t xml:space="preserve"> 8</w:t>
      </w:r>
      <w:r>
        <w:rPr>
          <w:i/>
          <w:sz w:val="20"/>
          <w:szCs w:val="20"/>
        </w:rPr>
        <w:t>.45</w:t>
      </w:r>
      <w:r w:rsidRPr="00AC755D">
        <w:rPr>
          <w:i/>
          <w:sz w:val="20"/>
          <w:szCs w:val="20"/>
        </w:rPr>
        <w:t>.</w:t>
      </w:r>
    </w:p>
  </w:footnote>
  <w:footnote w:id="933">
    <w:p w14:paraId="2599B8B5" w14:textId="77777777" w:rsidR="000E1004" w:rsidRDefault="000E1004" w:rsidP="004F15CD">
      <w:pPr>
        <w:pStyle w:val="FootnoteText"/>
      </w:pPr>
      <w:r>
        <w:rPr>
          <w:rStyle w:val="FootnoteReference"/>
        </w:rPr>
        <w:footnoteRef/>
      </w:r>
      <w:r>
        <w:t xml:space="preserve"> Scull (1997, 280), ‘interpretation of the Fishergate site…remains hypothetical.’</w:t>
      </w:r>
    </w:p>
  </w:footnote>
  <w:footnote w:id="934">
    <w:p w14:paraId="34D08B4C" w14:textId="77777777" w:rsidR="000E1004" w:rsidRPr="00ED766C" w:rsidRDefault="000E1004" w:rsidP="00387063">
      <w:pPr>
        <w:pStyle w:val="Heading4"/>
        <w:numPr>
          <w:ilvl w:val="3"/>
          <w:numId w:val="7"/>
        </w:numPr>
      </w:pPr>
      <w:r w:rsidRPr="00ED766C">
        <w:rPr>
          <w:rStyle w:val="FootnoteReference"/>
        </w:rPr>
        <w:footnoteRef/>
      </w:r>
      <w:r w:rsidRPr="00ED766C">
        <w:rPr>
          <w:rFonts w:cs="Times New Roman"/>
        </w:rPr>
        <w:t xml:space="preserve"> </w:t>
      </w:r>
      <w:r w:rsidRPr="00ED766C">
        <w:rPr>
          <w:sz w:val="20"/>
          <w:szCs w:val="20"/>
        </w:rPr>
        <w:t xml:space="preserve">Kjølbye-Biddle </w:t>
      </w:r>
      <w:r w:rsidRPr="00F262FB">
        <w:rPr>
          <w:rFonts w:cs="Times New Roman"/>
          <w:sz w:val="20"/>
          <w:szCs w:val="20"/>
        </w:rPr>
        <w:t xml:space="preserve">(1995, 4.4.7 </w:t>
      </w:r>
      <w:r w:rsidRPr="00F262FB">
        <w:rPr>
          <w:rFonts w:cs="Times New Roman"/>
          <w:i/>
          <w:sz w:val="20"/>
          <w:szCs w:val="20"/>
        </w:rPr>
        <w:t>Coin catalogue</w:t>
      </w:r>
      <w:r w:rsidRPr="00F262FB">
        <w:rPr>
          <w:rFonts w:cs="Times New Roman"/>
          <w:sz w:val="20"/>
          <w:szCs w:val="20"/>
        </w:rPr>
        <w:t xml:space="preserve">, </w:t>
      </w:r>
      <w:r w:rsidRPr="00F262FB">
        <w:rPr>
          <w:rFonts w:cs="Times New Roman"/>
          <w:bCs/>
          <w:sz w:val="20"/>
          <w:szCs w:val="20"/>
        </w:rPr>
        <w:t>C. Barclay).</w:t>
      </w:r>
    </w:p>
  </w:footnote>
  <w:footnote w:id="935">
    <w:p w14:paraId="1AA9994A" w14:textId="71620D6C" w:rsidR="000E1004" w:rsidRDefault="000E1004" w:rsidP="00CF62CA">
      <w:pPr>
        <w:pStyle w:val="FootnoteText"/>
      </w:pPr>
      <w:r>
        <w:rPr>
          <w:rStyle w:val="FootnoteReference"/>
        </w:rPr>
        <w:footnoteRef/>
      </w:r>
      <w:r>
        <w:t xml:space="preserve"> Hall (1774), Sutherland (1948), Grierson (1962), Grierson and Blackburn (</w:t>
      </w:r>
      <w:r w:rsidRPr="00944FD0">
        <w:rPr>
          <w:i/>
        </w:rPr>
        <w:t>MEC</w:t>
      </w:r>
      <w:r>
        <w:t>, 1986), Pirie</w:t>
      </w:r>
      <w:r>
        <w:fldChar w:fldCharType="begin"/>
      </w:r>
      <w:r>
        <w:instrText xml:space="preserve"> XE "</w:instrText>
      </w:r>
      <w:r w:rsidRPr="007D3069">
        <w:instrText>Pirie</w:instrText>
      </w:r>
      <w:r>
        <w:instrText xml:space="preserve">" </w:instrText>
      </w:r>
      <w:r>
        <w:fldChar w:fldCharType="end"/>
      </w:r>
      <w:r>
        <w:t xml:space="preserve"> (1992b), Tweddle &amp; Morten (1992), Abdy &amp; Williams (2006, hoard 13, nos. 319-22) and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w:t>
      </w:r>
      <w:r w:rsidRPr="00551894">
        <w:t>(2012e</w:t>
      </w:r>
      <w:r>
        <w:t>,</w:t>
      </w:r>
      <w:r w:rsidRPr="00551894">
        <w:t xml:space="preserve"> 12-16)</w:t>
      </w:r>
    </w:p>
  </w:footnote>
  <w:footnote w:id="936">
    <w:p w14:paraId="776A698C" w14:textId="77777777" w:rsidR="000E1004" w:rsidRDefault="000E1004" w:rsidP="00CF62CA">
      <w:pPr>
        <w:pStyle w:val="FootnoteText"/>
      </w:pPr>
      <w:r>
        <w:rPr>
          <w:rStyle w:val="FootnoteReference"/>
        </w:rPr>
        <w:footnoteRef/>
      </w:r>
      <w:r>
        <w:t xml:space="preserve"> </w:t>
      </w:r>
      <w:r>
        <w:rPr>
          <w:szCs w:val="24"/>
        </w:rPr>
        <w:t>Pirie</w:t>
      </w:r>
      <w:r>
        <w:rPr>
          <w:szCs w:val="24"/>
        </w:rPr>
        <w:fldChar w:fldCharType="begin"/>
      </w:r>
      <w:r>
        <w:instrText xml:space="preserve"> XE "</w:instrText>
      </w:r>
      <w:r w:rsidRPr="007D3069">
        <w:instrText>Pirie</w:instrText>
      </w:r>
      <w:r>
        <w:instrText xml:space="preserve">" </w:instrText>
      </w:r>
      <w:r>
        <w:rPr>
          <w:szCs w:val="24"/>
        </w:rPr>
        <w:fldChar w:fldCharType="end"/>
      </w:r>
      <w:r>
        <w:rPr>
          <w:szCs w:val="24"/>
        </w:rPr>
        <w:t xml:space="preserve"> (2000, 1, 12-21 &amp; 84-105).</w:t>
      </w:r>
    </w:p>
  </w:footnote>
  <w:footnote w:id="937">
    <w:p w14:paraId="48600C81" w14:textId="02ACDECF" w:rsidR="000E1004" w:rsidRDefault="000E1004" w:rsidP="00CF62CA">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(1986b, 17).</w:t>
      </w:r>
    </w:p>
  </w:footnote>
  <w:footnote w:id="938">
    <w:p w14:paraId="27CC9964" w14:textId="77777777" w:rsidR="000E1004" w:rsidRDefault="000E1004" w:rsidP="00CF62CA">
      <w:pPr>
        <w:pStyle w:val="FootnoteText"/>
      </w:pPr>
      <w:r>
        <w:rPr>
          <w:rStyle w:val="FootnoteReference"/>
        </w:rPr>
        <w:footnoteRef/>
      </w:r>
      <w:r>
        <w:t xml:space="preserve"> </w:t>
      </w:r>
      <w:r>
        <w:rPr>
          <w:color w:val="000000" w:themeColor="text1"/>
          <w:szCs w:val="24"/>
        </w:rPr>
        <w:t>As is the case with recoveries of Byzantine</w:t>
      </w:r>
      <w:r>
        <w:rPr>
          <w:color w:val="000000" w:themeColor="text1"/>
          <w:szCs w:val="24"/>
        </w:rPr>
        <w:fldChar w:fldCharType="begin"/>
      </w:r>
      <w:r>
        <w:instrText xml:space="preserve"> XE "</w:instrText>
      </w:r>
      <w:r w:rsidRPr="007D3069">
        <w:instrText>Byzantine</w:instrText>
      </w:r>
      <w:r>
        <w:instrText xml:space="preserve">" </w:instrText>
      </w:r>
      <w:r>
        <w:rPr>
          <w:color w:val="000000" w:themeColor="text1"/>
          <w:szCs w:val="24"/>
        </w:rPr>
        <w:fldChar w:fldCharType="end"/>
      </w:r>
      <w:r>
        <w:rPr>
          <w:color w:val="000000" w:themeColor="text1"/>
          <w:szCs w:val="24"/>
        </w:rPr>
        <w:t xml:space="preserve"> </w:t>
      </w:r>
      <w:r w:rsidRPr="00D64F2D">
        <w:rPr>
          <w:i/>
          <w:color w:val="000000" w:themeColor="text1"/>
          <w:szCs w:val="24"/>
        </w:rPr>
        <w:t>nummi</w:t>
      </w:r>
      <w:r>
        <w:rPr>
          <w:color w:val="000000" w:themeColor="text1"/>
          <w:szCs w:val="24"/>
        </w:rPr>
        <w:t>.</w:t>
      </w:r>
    </w:p>
  </w:footnote>
  <w:footnote w:id="939">
    <w:p w14:paraId="6F2553B6" w14:textId="68AC85CB" w:rsidR="000E1004" w:rsidRDefault="000E1004" w:rsidP="00CF62CA">
      <w:pPr>
        <w:pStyle w:val="FootnoteText"/>
      </w:pPr>
      <w:r>
        <w:rPr>
          <w:rStyle w:val="FootnoteReference"/>
        </w:rPr>
        <w:footnoteRef/>
      </w:r>
      <w:r>
        <w:t xml:space="preserve"> Walton (2011, 289-94). </w:t>
      </w:r>
      <w:r w:rsidRPr="00BE276E">
        <w:rPr>
          <w:rFonts w:cs="Times New Roman"/>
        </w:rPr>
        <w:t>According to Patrick Ottaway</w:t>
      </w:r>
      <w:r>
        <w:rPr>
          <w:rFonts w:cs="Times New Roman"/>
        </w:rPr>
        <w:t>’s</w:t>
      </w:r>
      <w:r w:rsidRPr="00BE276E">
        <w:rPr>
          <w:rFonts w:cs="Times New Roman"/>
        </w:rPr>
        <w:t xml:space="preserve"> keynote speech ‘Economy and society in Roman</w:t>
      </w:r>
      <w:r>
        <w:rPr>
          <w:rFonts w:cs="Times New Roman"/>
        </w:rPr>
        <w:fldChar w:fldCharType="begin"/>
      </w:r>
      <w:r>
        <w:instrText xml:space="preserve"> XE "</w:instrText>
      </w:r>
      <w:r w:rsidRPr="007645AE">
        <w:instrText>Roman</w:instrText>
      </w:r>
      <w:r>
        <w:instrText xml:space="preserve">" </w:instrText>
      </w:r>
      <w:r>
        <w:rPr>
          <w:rFonts w:cs="Times New Roman"/>
        </w:rPr>
        <w:fldChar w:fldCharType="end"/>
      </w:r>
      <w:r w:rsidRPr="00BE276E">
        <w:rPr>
          <w:rFonts w:cs="Times New Roman"/>
        </w:rPr>
        <w:t xml:space="preserve"> Yo</w:t>
      </w:r>
      <w:r>
        <w:rPr>
          <w:rFonts w:cs="Times New Roman"/>
        </w:rPr>
        <w:t>rk</w:t>
      </w:r>
      <w:r>
        <w:rPr>
          <w:rFonts w:cs="Times New Roman"/>
        </w:rPr>
        <w:fldChar w:fldCharType="begin"/>
      </w:r>
      <w:r>
        <w:instrText xml:space="preserve"> XE "</w:instrText>
      </w:r>
      <w:r w:rsidRPr="00F1328A">
        <w:rPr>
          <w:rStyle w:val="Hyperlink"/>
          <w:noProof/>
        </w:rPr>
        <w:instrText>York</w:instrText>
      </w:r>
      <w:r>
        <w:instrText xml:space="preserve">" </w:instrText>
      </w:r>
      <w:r>
        <w:rPr>
          <w:rFonts w:cs="Times New Roman"/>
        </w:rPr>
        <w:fldChar w:fldCharType="end"/>
      </w:r>
      <w:r>
        <w:rPr>
          <w:rFonts w:cs="Times New Roman"/>
        </w:rPr>
        <w:t xml:space="preserve">: a review of the evidence’, </w:t>
      </w:r>
      <w:r w:rsidRPr="00BE276E">
        <w:rPr>
          <w:rFonts w:cs="Times New Roman"/>
        </w:rPr>
        <w:t xml:space="preserve">at </w:t>
      </w:r>
      <w:r w:rsidRPr="00BE276E">
        <w:rPr>
          <w:rFonts w:cs="Times New Roman"/>
          <w:i/>
        </w:rPr>
        <w:t>Connecting through Coinage</w:t>
      </w:r>
      <w:r>
        <w:rPr>
          <w:rFonts w:cs="Times New Roman"/>
          <w:i/>
        </w:rPr>
        <w:fldChar w:fldCharType="begin"/>
      </w:r>
      <w:r>
        <w:instrText xml:space="preserve"> XE "</w:instrText>
      </w:r>
      <w:r w:rsidRPr="007A2080">
        <w:rPr>
          <w:rFonts w:cs="Times New Roman"/>
          <w:b/>
          <w:color w:val="000000" w:themeColor="text1"/>
          <w:sz w:val="56"/>
          <w:szCs w:val="56"/>
        </w:rPr>
        <w:instrText>Coinage</w:instrText>
      </w:r>
      <w:r>
        <w:instrText xml:space="preserve">" </w:instrText>
      </w:r>
      <w:r>
        <w:rPr>
          <w:rFonts w:cs="Times New Roman"/>
          <w:i/>
        </w:rPr>
        <w:fldChar w:fldCharType="end"/>
      </w:r>
      <w:r w:rsidRPr="00BE276E">
        <w:rPr>
          <w:rFonts w:cs="Times New Roman"/>
        </w:rPr>
        <w:t>, King’s Manor, York</w:t>
      </w:r>
      <w:r>
        <w:rPr>
          <w:rFonts w:cs="Times New Roman"/>
        </w:rPr>
        <w:t xml:space="preserve">, </w:t>
      </w:r>
      <w:r w:rsidRPr="00BE276E">
        <w:rPr>
          <w:rFonts w:cs="Times New Roman"/>
        </w:rPr>
        <w:t>Friday 13</w:t>
      </w:r>
      <w:r w:rsidRPr="00BE276E">
        <w:rPr>
          <w:rFonts w:cs="Times New Roman"/>
          <w:vertAlign w:val="superscript"/>
        </w:rPr>
        <w:t>th</w:t>
      </w:r>
      <w:r>
        <w:rPr>
          <w:rFonts w:cs="Times New Roman"/>
        </w:rPr>
        <w:t xml:space="preserve"> July 2014. This view is contested and was challenged by Adrian Marsden’s paper on counterfeiting, </w:t>
      </w:r>
      <w:r w:rsidRPr="00804DD4">
        <w:rPr>
          <w:rFonts w:cs="Times New Roman"/>
        </w:rPr>
        <w:t>‘Britain before barbarous radiates: irregular coinage in early Roman Britain’ at the same conference.</w:t>
      </w:r>
    </w:p>
  </w:footnote>
  <w:footnote w:id="940">
    <w:p w14:paraId="06096AC7" w14:textId="77777777" w:rsidR="000E1004" w:rsidRDefault="000E1004" w:rsidP="00CF62CA">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(2000, nos. 106 &amp; 116-7).</w:t>
      </w:r>
    </w:p>
  </w:footnote>
  <w:footnote w:id="941">
    <w:p w14:paraId="3251F8EF" w14:textId="77777777" w:rsidR="000E1004" w:rsidRDefault="000E1004" w:rsidP="00CF62CA">
      <w:pPr>
        <w:pStyle w:val="FootnoteText"/>
      </w:pPr>
      <w:r>
        <w:rPr>
          <w:rStyle w:val="FootnoteReference"/>
        </w:rPr>
        <w:footnoteRef/>
      </w:r>
      <w:r>
        <w:t xml:space="preserve"> 2010.0154.</w:t>
      </w:r>
    </w:p>
  </w:footnote>
  <w:footnote w:id="942">
    <w:p w14:paraId="679D76D0" w14:textId="3F1246CA" w:rsidR="000E1004" w:rsidRPr="006F10B6" w:rsidRDefault="000E1004" w:rsidP="00BD53D4">
      <w:pPr>
        <w:pStyle w:val="FootnoteText"/>
        <w:rPr>
          <w:rFonts w:cs="Times New Roman"/>
        </w:rPr>
      </w:pPr>
      <w:r>
        <w:rPr>
          <w:rStyle w:val="FootnoteReference"/>
        </w:rPr>
        <w:footnoteRef/>
      </w:r>
      <w:r>
        <w:t xml:space="preserve"> </w:t>
      </w:r>
      <w:r w:rsidRPr="006F10B6">
        <w:rPr>
          <w:rFonts w:cs="Times New Roman"/>
        </w:rPr>
        <w:t>Abdy (2006, 75-98).</w:t>
      </w:r>
    </w:p>
  </w:footnote>
  <w:footnote w:id="943">
    <w:p w14:paraId="1EE3F324" w14:textId="474F994D" w:rsidR="000E1004" w:rsidRPr="00ED766C" w:rsidRDefault="000E1004" w:rsidP="00387063">
      <w:pPr>
        <w:pStyle w:val="Heading3"/>
        <w:numPr>
          <w:ilvl w:val="2"/>
          <w:numId w:val="7"/>
        </w:numPr>
        <w:rPr>
          <w:rFonts w:cs="Times New Roman"/>
          <w:b w:val="0"/>
        </w:rPr>
      </w:pPr>
      <w:r w:rsidRPr="00ED766C">
        <w:rPr>
          <w:rStyle w:val="FootnoteReference"/>
          <w:rFonts w:cs="Times New Roman"/>
          <w:b w:val="0"/>
          <w:sz w:val="20"/>
          <w:szCs w:val="20"/>
        </w:rPr>
        <w:footnoteRef/>
      </w:r>
      <w:r w:rsidRPr="00ED766C">
        <w:rPr>
          <w:rFonts w:cs="Times New Roman"/>
          <w:b w:val="0"/>
          <w:sz w:val="20"/>
          <w:szCs w:val="20"/>
        </w:rPr>
        <w:t xml:space="preserve"> </w:t>
      </w:r>
      <w:hyperlink r:id="rId35" w:history="1">
        <w:r w:rsidRPr="00ED766C">
          <w:rPr>
            <w:rStyle w:val="Hyperlink"/>
            <w:rFonts w:cs="Times New Roman"/>
            <w:b w:val="0"/>
            <w:sz w:val="20"/>
            <w:szCs w:val="20"/>
            <w:u w:val="none"/>
          </w:rPr>
          <w:t>http://www.iadb.co.uk/i3/item.php?ID=IADB:1307:U71</w:t>
        </w:r>
      </w:hyperlink>
      <w:r w:rsidRPr="00ED766C">
        <w:rPr>
          <w:rFonts w:cs="Times New Roman"/>
          <w:b w:val="0"/>
          <w:color w:val="000000" w:themeColor="text1"/>
          <w:sz w:val="20"/>
          <w:szCs w:val="20"/>
        </w:rPr>
        <w:t>, 3.4 Phase 5 Anglian</w:t>
      </w:r>
      <w:r>
        <w:rPr>
          <w:rFonts w:cs="Times New Roman"/>
          <w:b w:val="0"/>
          <w:color w:val="000000" w:themeColor="text1"/>
          <w:sz w:val="20"/>
          <w:szCs w:val="20"/>
        </w:rPr>
        <w:fldChar w:fldCharType="begin"/>
      </w:r>
      <w:r>
        <w:instrText xml:space="preserve"> XE "</w:instrText>
      </w:r>
      <w:r w:rsidRPr="007645AE">
        <w:instrText>Anglian</w:instrText>
      </w:r>
      <w:r>
        <w:instrText xml:space="preserve">" </w:instrText>
      </w:r>
      <w:r>
        <w:rPr>
          <w:rFonts w:cs="Times New Roman"/>
          <w:b w:val="0"/>
          <w:color w:val="000000" w:themeColor="text1"/>
          <w:sz w:val="20"/>
          <w:szCs w:val="20"/>
        </w:rPr>
        <w:fldChar w:fldCharType="end"/>
      </w:r>
      <w:r w:rsidRPr="00ED766C">
        <w:rPr>
          <w:rFonts w:cs="Times New Roman"/>
          <w:b w:val="0"/>
          <w:color w:val="000000" w:themeColor="text1"/>
          <w:sz w:val="20"/>
          <w:szCs w:val="20"/>
        </w:rPr>
        <w:t xml:space="preserve"> (8th to mid-9th century), </w:t>
      </w:r>
      <w:r w:rsidRPr="00ED766C">
        <w:rPr>
          <w:rFonts w:cs="Times New Roman"/>
          <w:b w:val="0"/>
          <w:i/>
          <w:iCs/>
          <w:color w:val="000000" w:themeColor="text1"/>
          <w:sz w:val="20"/>
          <w:szCs w:val="20"/>
        </w:rPr>
        <w:t>AY</w:t>
      </w:r>
      <w:r w:rsidRPr="00ED766C">
        <w:rPr>
          <w:rFonts w:cs="Times New Roman"/>
          <w:b w:val="0"/>
          <w:color w:val="000000" w:themeColor="text1"/>
          <w:sz w:val="20"/>
          <w:szCs w:val="20"/>
        </w:rPr>
        <w:t xml:space="preserve"> 7/1 3; </w:t>
      </w:r>
      <w:r w:rsidRPr="00ED766C">
        <w:rPr>
          <w:rFonts w:cs="Times New Roman"/>
          <w:b w:val="0"/>
          <w:i/>
          <w:iCs/>
          <w:color w:val="000000" w:themeColor="text1"/>
          <w:sz w:val="20"/>
          <w:szCs w:val="20"/>
        </w:rPr>
        <w:t>AY</w:t>
      </w:r>
      <w:r w:rsidRPr="00ED766C">
        <w:rPr>
          <w:rFonts w:cs="Times New Roman"/>
          <w:b w:val="0"/>
          <w:color w:val="000000" w:themeColor="text1"/>
          <w:sz w:val="20"/>
          <w:szCs w:val="20"/>
        </w:rPr>
        <w:t xml:space="preserve"> 7/2 298.</w:t>
      </w:r>
    </w:p>
  </w:footnote>
  <w:footnote w:id="944">
    <w:p w14:paraId="09AC5A16" w14:textId="77777777" w:rsidR="000E1004" w:rsidRDefault="000E1004" w:rsidP="00782187">
      <w:pPr>
        <w:pStyle w:val="FootnoteText"/>
      </w:pPr>
      <w:r>
        <w:rPr>
          <w:rStyle w:val="FootnoteReference"/>
        </w:rPr>
        <w:footnoteRef/>
      </w:r>
      <w:r>
        <w:t xml:space="preserve"> </w:t>
      </w:r>
      <w:r>
        <w:rPr>
          <w:szCs w:val="24"/>
        </w:rPr>
        <w:t>Rollason</w:t>
      </w:r>
      <w:r>
        <w:t xml:space="preserve"> (2003, 202-8).</w:t>
      </w:r>
    </w:p>
  </w:footnote>
  <w:footnote w:id="945">
    <w:p w14:paraId="3408BCDC" w14:textId="77777777" w:rsidR="000E1004" w:rsidRDefault="000E1004" w:rsidP="00782187">
      <w:pPr>
        <w:pStyle w:val="FootnoteText"/>
      </w:pPr>
      <w:r>
        <w:rPr>
          <w:rStyle w:val="FootnoteReference"/>
        </w:rPr>
        <w:footnoteRef/>
      </w:r>
      <w:r>
        <w:t xml:space="preserve"> The inscription is translated as: ‘In the name of our Lord Jesus Christ and the spirit of God, let us offer up Oshere to All Saints. Amen.’ See Garrison (forthcoming).</w:t>
      </w:r>
    </w:p>
  </w:footnote>
  <w:footnote w:id="946">
    <w:p w14:paraId="4E42069C" w14:textId="79B27ACB" w:rsidR="000E1004" w:rsidRDefault="000E1004" w:rsidP="00782187">
      <w:pPr>
        <w:pStyle w:val="FootnoteText"/>
      </w:pPr>
      <w:r>
        <w:rPr>
          <w:rStyle w:val="FootnoteReference"/>
        </w:rPr>
        <w:footnoteRef/>
      </w:r>
      <w:r>
        <w:t xml:space="preserve"> Probably enthroned rather than genuflecting (</w:t>
      </w:r>
      <w:r>
        <w:rPr>
          <w:i/>
        </w:rPr>
        <w:t xml:space="preserve">fn. </w:t>
      </w:r>
      <w:r>
        <w:fldChar w:fldCharType="begin"/>
      </w:r>
      <w:r>
        <w:rPr>
          <w:i/>
        </w:rPr>
        <w:instrText xml:space="preserve"> NOTEREF _Ref467662247 \h </w:instrText>
      </w:r>
      <w:r>
        <w:instrText xml:space="preserve"> \* MERGEFORMAT </w:instrText>
      </w:r>
      <w:r>
        <w:fldChar w:fldCharType="separate"/>
      </w:r>
      <w:r w:rsidR="0012026B" w:rsidRPr="0012026B">
        <w:t>307</w:t>
      </w:r>
      <w:r>
        <w:fldChar w:fldCharType="end"/>
      </w:r>
      <w:r>
        <w:t>).</w:t>
      </w:r>
    </w:p>
  </w:footnote>
  <w:footnote w:id="947">
    <w:p w14:paraId="56045B79" w14:textId="77777777" w:rsidR="000E1004" w:rsidRDefault="000E1004" w:rsidP="00782187">
      <w:pPr>
        <w:pStyle w:val="FootnoteText"/>
      </w:pPr>
      <w:r>
        <w:rPr>
          <w:rStyle w:val="FootnoteReference"/>
        </w:rPr>
        <w:footnoteRef/>
      </w:r>
      <w:r>
        <w:t xml:space="preserve"> Bude (forthcoming). The separation is supported by differing inscriptional error rates and use of the final character ‘</w:t>
      </w:r>
      <w:r>
        <w:rPr>
          <w:rFonts w:ascii="COINS010" w:hAnsi="COINS010"/>
        </w:rPr>
        <w:t>Γ</w:t>
      </w:r>
      <w:r>
        <w:t>’ as a centring device.</w:t>
      </w:r>
    </w:p>
  </w:footnote>
  <w:footnote w:id="948">
    <w:p w14:paraId="003611C5" w14:textId="77777777" w:rsidR="000E1004" w:rsidRDefault="000E1004" w:rsidP="00782187">
      <w:pPr>
        <w:pStyle w:val="FootnoteText"/>
      </w:pPr>
      <w:r>
        <w:rPr>
          <w:rStyle w:val="FootnoteReference"/>
        </w:rPr>
        <w:footnoteRef/>
      </w:r>
      <w:r>
        <w:t xml:space="preserve"> </w:t>
      </w:r>
      <w:r>
        <w:rPr>
          <w:szCs w:val="24"/>
        </w:rPr>
        <w:t>Approximately 10:3 according to Bude’s die-study (forthcoming).</w:t>
      </w:r>
    </w:p>
  </w:footnote>
  <w:footnote w:id="949">
    <w:p w14:paraId="355459C1" w14:textId="77777777" w:rsidR="000E1004" w:rsidRDefault="000E1004" w:rsidP="00782187">
      <w:pPr>
        <w:pStyle w:val="FootnoteText"/>
      </w:pPr>
      <w:r>
        <w:rPr>
          <w:rStyle w:val="FootnoteReference"/>
        </w:rPr>
        <w:footnoteRef/>
      </w:r>
      <w:r>
        <w:t xml:space="preserve"> </w:t>
      </w:r>
      <w:r w:rsidRPr="000D3138">
        <w:t>Hall (1996</w:t>
      </w:r>
      <w:r>
        <w:t>,</w:t>
      </w:r>
      <w:r w:rsidRPr="000D3138">
        <w:t xml:space="preserve"> col. </w:t>
      </w:r>
      <w:r>
        <w:t>pl.</w:t>
      </w:r>
      <w:r w:rsidRPr="000D3138">
        <w:t xml:space="preserve"> 5</w:t>
      </w:r>
      <w:r>
        <w:t>).</w:t>
      </w:r>
    </w:p>
  </w:footnote>
  <w:footnote w:id="950">
    <w:p w14:paraId="00041AE2" w14:textId="40CB1F18" w:rsidR="000E1004" w:rsidRDefault="000E1004" w:rsidP="00782187">
      <w:pPr>
        <w:pStyle w:val="FootnoteText"/>
      </w:pPr>
      <w:r>
        <w:rPr>
          <w:rStyle w:val="FootnoteReference"/>
        </w:rPr>
        <w:footnoteRef/>
      </w:r>
      <w:r>
        <w:t xml:space="preserve"> </w:t>
      </w:r>
      <w:r>
        <w:rPr>
          <w:szCs w:val="24"/>
        </w:rPr>
        <w:t xml:space="preserve">Chapter 9. </w:t>
      </w:r>
      <w:r w:rsidRPr="00D20004">
        <w:rPr>
          <w:szCs w:val="24"/>
        </w:rPr>
        <w:t>Southumbrian Monetary Evolution</w:t>
      </w:r>
      <w:r>
        <w:rPr>
          <w:szCs w:val="24"/>
        </w:rPr>
        <w:fldChar w:fldCharType="begin"/>
      </w:r>
      <w:r>
        <w:instrText xml:space="preserve"> XE "</w:instrText>
      </w:r>
      <w:r w:rsidRPr="004D76A0">
        <w:rPr>
          <w:rStyle w:val="Hyperlink"/>
          <w:noProof/>
        </w:rPr>
        <w:instrText>Evolution</w:instrText>
      </w:r>
      <w:r>
        <w:instrText xml:space="preserve">" </w:instrText>
      </w:r>
      <w:r>
        <w:rPr>
          <w:szCs w:val="24"/>
        </w:rPr>
        <w:fldChar w:fldCharType="end"/>
      </w:r>
      <w:r>
        <w:rPr>
          <w:szCs w:val="24"/>
        </w:rPr>
        <w:t>, s</w:t>
      </w:r>
      <w:r>
        <w:t xml:space="preserve">pecifically in </w:t>
      </w:r>
      <w:r w:rsidRPr="00F54401">
        <w:t>laws</w:t>
      </w:r>
      <w:r>
        <w:t xml:space="preserve"> 2, 3 and 10 of</w:t>
      </w:r>
      <w:r w:rsidRPr="000510D7">
        <w:t xml:space="preserve"> </w:t>
      </w:r>
      <w:r w:rsidRPr="000510D7">
        <w:rPr>
          <w:rFonts w:cs="Times New Roman"/>
          <w:szCs w:val="24"/>
        </w:rPr>
        <w:t>Æ</w:t>
      </w:r>
      <w:r w:rsidRPr="000510D7">
        <w:rPr>
          <w:szCs w:val="24"/>
        </w:rPr>
        <w:t>thelberht’s</w:t>
      </w:r>
      <w:r>
        <w:rPr>
          <w:rFonts w:cs="Times New Roman"/>
          <w:szCs w:val="24"/>
        </w:rPr>
        <w:t xml:space="preserve"> code (</w:t>
      </w:r>
      <w:r>
        <w:fldChar w:fldCharType="begin"/>
      </w:r>
      <w:r>
        <w:rPr>
          <w:rFonts w:cs="Times New Roman"/>
          <w:szCs w:val="24"/>
        </w:rPr>
        <w:instrText xml:space="preserve"> PAGEREF Law \h </w:instrText>
      </w:r>
      <w:r>
        <w:fldChar w:fldCharType="separate"/>
      </w:r>
      <w:r w:rsidR="0012026B">
        <w:rPr>
          <w:rFonts w:cs="Times New Roman"/>
          <w:noProof/>
          <w:szCs w:val="24"/>
        </w:rPr>
        <w:t>60</w:t>
      </w:r>
      <w:r>
        <w:fldChar w:fldCharType="end"/>
      </w:r>
      <w:r>
        <w:t xml:space="preserve"> and </w:t>
      </w:r>
      <w:r w:rsidRPr="00E01166">
        <w:rPr>
          <w:i/>
        </w:rPr>
        <w:t>Table</w:t>
      </w:r>
      <w:r>
        <w:t xml:space="preserve"> 3.01).</w:t>
      </w:r>
    </w:p>
  </w:footnote>
  <w:footnote w:id="951">
    <w:p w14:paraId="70C7EF31" w14:textId="711FB900" w:rsidR="000E1004" w:rsidRDefault="000E1004" w:rsidP="005F66F0">
      <w:pPr>
        <w:pStyle w:val="FootnoteText"/>
      </w:pPr>
      <w:r>
        <w:rPr>
          <w:rStyle w:val="FootnoteReference"/>
        </w:rPr>
        <w:footnoteRef/>
      </w:r>
      <w:r>
        <w:t xml:space="preserve"> Per detectorist’s correspondence in Pirie</w:t>
      </w:r>
      <w:r>
        <w:fldChar w:fldCharType="begin"/>
      </w:r>
      <w:r>
        <w:instrText xml:space="preserve"> XE "</w:instrText>
      </w:r>
      <w:r w:rsidRPr="007D3069">
        <w:instrText>Pirie</w:instrText>
      </w:r>
      <w:r>
        <w:instrText xml:space="preserve">" </w:instrText>
      </w:r>
      <w:r>
        <w:fldChar w:fldCharType="end"/>
      </w:r>
      <w:r>
        <w:t xml:space="preserve"> archive – see below.</w:t>
      </w:r>
    </w:p>
  </w:footnote>
  <w:footnote w:id="952">
    <w:p w14:paraId="25762A38" w14:textId="62DF5D68" w:rsidR="000E1004" w:rsidRDefault="000E1004">
      <w:pPr>
        <w:pStyle w:val="FootnoteText"/>
      </w:pPr>
      <w:r>
        <w:rPr>
          <w:rStyle w:val="FootnoteReference"/>
        </w:rPr>
        <w:footnoteRef/>
      </w:r>
      <w:r>
        <w:t xml:space="preserve"> </w:t>
      </w:r>
      <w:r w:rsidRPr="00A07A08">
        <w:rPr>
          <w:i/>
        </w:rPr>
        <w:t>Graph 7.</w:t>
      </w:r>
      <w:r>
        <w:rPr>
          <w:i/>
        </w:rPr>
        <w:t>07 no. 48</w:t>
      </w:r>
      <w:r>
        <w:t>.</w:t>
      </w:r>
    </w:p>
  </w:footnote>
  <w:footnote w:id="953">
    <w:p w14:paraId="4130126D" w14:textId="0BD3F2D8" w:rsidR="000E1004" w:rsidRDefault="000E1004" w:rsidP="005F66F0">
      <w:pPr>
        <w:pStyle w:val="FootnoteText"/>
      </w:pPr>
      <w:r>
        <w:rPr>
          <w:rStyle w:val="FootnoteReference"/>
        </w:rPr>
        <w:footnoteRef/>
      </w:r>
      <w:r>
        <w:t xml:space="preserve"> Pickles also found individual pennies of Edgar (</w:t>
      </w:r>
      <w:r w:rsidRPr="007C2A7D">
        <w:rPr>
          <w:i/>
        </w:rPr>
        <w:t>c</w:t>
      </w:r>
      <w:r>
        <w:t>.973-5), Henry III and VII. On 4</w:t>
      </w:r>
      <w:r w:rsidRPr="00CA3E26">
        <w:rPr>
          <w:vertAlign w:val="superscript"/>
        </w:rPr>
        <w:t>th</w:t>
      </w:r>
      <w:r>
        <w:t xml:space="preserve"> April 1992, he discovered an intact jug containing 813 pennies, half-groats and groats from the reigns of Edward IV and Henry VI at this site, but probably reported as Cawood. </w:t>
      </w:r>
    </w:p>
  </w:footnote>
  <w:footnote w:id="954">
    <w:p w14:paraId="00F19250" w14:textId="0F31728C" w:rsidR="000E1004" w:rsidRDefault="000E1004" w:rsidP="003738BC">
      <w:pPr>
        <w:pStyle w:val="FootnoteText"/>
      </w:pPr>
      <w:r>
        <w:rPr>
          <w:rStyle w:val="FootnoteReference"/>
        </w:rPr>
        <w:footnoteRef/>
      </w:r>
      <w:r>
        <w:t xml:space="preserve">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&amp; Allen, (2014, 153-8).</w:t>
      </w:r>
    </w:p>
  </w:footnote>
  <w:footnote w:id="955">
    <w:p w14:paraId="4E86B092" w14:textId="77777777" w:rsidR="000E1004" w:rsidRDefault="000E1004" w:rsidP="003738BC">
      <w:pPr>
        <w:pStyle w:val="FootnoteText"/>
      </w:pPr>
      <w:r>
        <w:rPr>
          <w:rStyle w:val="FootnoteReference"/>
        </w:rPr>
        <w:footnoteRef/>
      </w:r>
      <w:r>
        <w:t xml:space="preserve"> Now claimed by the BM.</w:t>
      </w:r>
    </w:p>
  </w:footnote>
  <w:footnote w:id="956">
    <w:p w14:paraId="2030C302" w14:textId="2B3D79FD" w:rsidR="000E1004" w:rsidRDefault="000E1004" w:rsidP="003738BC">
      <w:pPr>
        <w:pStyle w:val="FootnoteText"/>
      </w:pPr>
      <w:r>
        <w:rPr>
          <w:rStyle w:val="FootnoteReference"/>
        </w:rPr>
        <w:footnoteRef/>
      </w:r>
      <w:r>
        <w:t xml:space="preserve"> Op den Velde (2014, 122-40).</w:t>
      </w:r>
    </w:p>
  </w:footnote>
  <w:footnote w:id="957">
    <w:p w14:paraId="7281D42B" w14:textId="77777777" w:rsidR="000E1004" w:rsidRDefault="000E1004" w:rsidP="003738BC">
      <w:pPr>
        <w:pStyle w:val="FootnoteText"/>
      </w:pPr>
      <w:r>
        <w:rPr>
          <w:rStyle w:val="FootnoteReference"/>
        </w:rPr>
        <w:footnoteRef/>
      </w:r>
      <w:r>
        <w:t xml:space="preserve"> Woodman (2012, 229-48).</w:t>
      </w:r>
    </w:p>
  </w:footnote>
  <w:footnote w:id="958">
    <w:p w14:paraId="2A279E40" w14:textId="2F3EF61E" w:rsidR="000E1004" w:rsidRDefault="000E1004">
      <w:pPr>
        <w:pStyle w:val="FootnoteText"/>
      </w:pPr>
      <w:r>
        <w:rPr>
          <w:rStyle w:val="FootnoteReference"/>
        </w:rPr>
        <w:footnoteRef/>
      </w:r>
      <w:r>
        <w:t xml:space="preserve"> Hall and Whyman (1996, 63).</w:t>
      </w:r>
    </w:p>
  </w:footnote>
  <w:footnote w:id="959">
    <w:p w14:paraId="102C71B7" w14:textId="541FDFE4" w:rsidR="000E1004" w:rsidRDefault="000E1004">
      <w:pPr>
        <w:pStyle w:val="FootnoteText"/>
      </w:pPr>
      <w:r>
        <w:rPr>
          <w:rStyle w:val="FootnoteReference"/>
        </w:rPr>
        <w:footnoteRef/>
      </w:r>
      <w:r>
        <w:t xml:space="preserve"> Hall and Whyman (1996, 117-24).</w:t>
      </w:r>
    </w:p>
  </w:footnote>
  <w:footnote w:id="960">
    <w:p w14:paraId="56893E0B" w14:textId="2EB4DAFA" w:rsidR="000E1004" w:rsidRDefault="000E1004" w:rsidP="00E92801">
      <w:pPr>
        <w:pStyle w:val="FootnoteText"/>
      </w:pPr>
      <w:r>
        <w:rPr>
          <w:rStyle w:val="FootnoteReference"/>
        </w:rPr>
        <w:footnoteRef/>
      </w:r>
      <w:r>
        <w:t xml:space="preserve"> Pirie (1982, 84-103). Pagan (1993, 114-22) noting that both Thoresby and Sharp lent stycas to Sir Andrew Fountaine for illustration in his </w:t>
      </w:r>
      <w:r w:rsidRPr="00383011">
        <w:rPr>
          <w:i/>
        </w:rPr>
        <w:t>Numismata</w:t>
      </w:r>
      <w:r>
        <w:t>. Sharp lists stycas as one of ‘Chief Remarkables’ in Fountaine’s collection. Thoresby’s diary, 17</w:t>
      </w:r>
      <w:r w:rsidRPr="00836098">
        <w:rPr>
          <w:vertAlign w:val="superscript"/>
        </w:rPr>
        <w:t>th</w:t>
      </w:r>
      <w:r>
        <w:t xml:space="preserve"> June 1695, noted the abundance of ‘Humane Bones’ at Ailcy Hill.</w:t>
      </w:r>
    </w:p>
  </w:footnote>
  <w:footnote w:id="961">
    <w:p w14:paraId="7A7610F0" w14:textId="73CA9822" w:rsidR="000E1004" w:rsidRDefault="000E1004">
      <w:pPr>
        <w:pStyle w:val="FootnoteText"/>
      </w:pPr>
      <w:r>
        <w:rPr>
          <w:rStyle w:val="FootnoteReference"/>
        </w:rPr>
        <w:footnoteRef/>
      </w:r>
      <w:r>
        <w:t xml:space="preserve"> A scatter of further finds from Ailcy Hill is noted at Pirie (2000, entry 157 also 163-5). </w:t>
      </w:r>
      <w:r w:rsidRPr="00A07A08">
        <w:rPr>
          <w:i/>
        </w:rPr>
        <w:t>Graph 7.</w:t>
      </w:r>
      <w:r>
        <w:rPr>
          <w:i/>
        </w:rPr>
        <w:t>07 no. 30</w:t>
      </w:r>
      <w:r>
        <w:t>.</w:t>
      </w:r>
    </w:p>
  </w:footnote>
  <w:footnote w:id="962">
    <w:p w14:paraId="1DE12E67" w14:textId="467CE712" w:rsidR="000E1004" w:rsidRDefault="000E1004">
      <w:pPr>
        <w:pStyle w:val="FootnoteText"/>
      </w:pPr>
      <w:r>
        <w:rPr>
          <w:rStyle w:val="FootnoteReference"/>
        </w:rPr>
        <w:footnoteRef/>
      </w:r>
      <w:r>
        <w:t xml:space="preserve"> Pirie (1982, 85).</w:t>
      </w:r>
    </w:p>
  </w:footnote>
  <w:footnote w:id="963">
    <w:p w14:paraId="099B22AF" w14:textId="77777777" w:rsidR="000E1004" w:rsidRDefault="000E1004" w:rsidP="003738BC">
      <w:pPr>
        <w:pStyle w:val="FootnoteText"/>
      </w:pPr>
      <w:r>
        <w:rPr>
          <w:rStyle w:val="FootnoteReference"/>
        </w:rPr>
        <w:footnoteRef/>
      </w:r>
      <w:r>
        <w:t xml:space="preserve"> Rigold (1960, 49), hoard VIII &amp; pl. 4. Rigold &amp;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(1984, 252). This was part of a hoard of eight sceats.</w:t>
      </w:r>
    </w:p>
  </w:footnote>
  <w:footnote w:id="964">
    <w:p w14:paraId="6FB27F5F" w14:textId="77777777" w:rsidR="000E1004" w:rsidRDefault="000E1004" w:rsidP="00205FE6">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(2014b, 52-71).</w:t>
      </w:r>
    </w:p>
  </w:footnote>
  <w:footnote w:id="965">
    <w:p w14:paraId="7A03D466" w14:textId="5712A45F" w:rsidR="000E1004" w:rsidRDefault="000E1004" w:rsidP="00205FE6">
      <w:pPr>
        <w:pStyle w:val="FootnoteText"/>
      </w:pPr>
      <w:r>
        <w:rPr>
          <w:rStyle w:val="FootnoteReference"/>
        </w:rPr>
        <w:footnoteRef/>
      </w:r>
      <w:r>
        <w:t xml:space="preserve"> 430 undeclared, low-quality, stycas were sold around 2013. These were said to be recent finds (</w:t>
      </w:r>
      <w:r>
        <w:rPr>
          <w:i/>
        </w:rPr>
        <w:t xml:space="preserve">fn. </w:t>
      </w:r>
      <w:r>
        <w:fldChar w:fldCharType="begin"/>
      </w:r>
      <w:r>
        <w:instrText xml:space="preserve"> NOTEREF _Ref430015316 \h </w:instrText>
      </w:r>
      <w:r>
        <w:fldChar w:fldCharType="separate"/>
      </w:r>
      <w:r w:rsidR="0012026B">
        <w:t>380</w:t>
      </w:r>
      <w:r>
        <w:fldChar w:fldCharType="end"/>
      </w:r>
      <w:r>
        <w:t>). It is likely that the report in the Bonser archive from Bryan Snowball dated 10 November 1996 (#146), of a further hoard from Bolton</w:t>
      </w:r>
      <w:r>
        <w:fldChar w:fldCharType="begin"/>
      </w:r>
      <w:r>
        <w:instrText xml:space="preserve"> XE "</w:instrText>
      </w:r>
      <w:r w:rsidRPr="004D76A0">
        <w:rPr>
          <w:rStyle w:val="Hyperlink"/>
          <w:rFonts w:eastAsia="Times New Roman"/>
          <w:noProof/>
          <w:lang w:eastAsia="en-GB"/>
        </w:rPr>
        <w:instrText>Bolton</w:instrText>
      </w:r>
      <w:r>
        <w:instrText xml:space="preserve">" </w:instrText>
      </w:r>
      <w:r>
        <w:fldChar w:fldCharType="end"/>
      </w:r>
      <w:r>
        <w:t xml:space="preserve"> Percy</w:t>
      </w:r>
      <w:r>
        <w:fldChar w:fldCharType="begin"/>
      </w:r>
      <w:r>
        <w:instrText xml:space="preserve"> XE "</w:instrText>
      </w:r>
      <w:r w:rsidRPr="004D76A0">
        <w:rPr>
          <w:rStyle w:val="Hyperlink"/>
          <w:noProof/>
        </w:rPr>
        <w:instrText>Bolton Percy</w:instrText>
      </w:r>
      <w:r>
        <w:instrText xml:space="preserve">" </w:instrText>
      </w:r>
      <w:r>
        <w:fldChar w:fldCharType="end"/>
      </w:r>
      <w:r>
        <w:t xml:space="preserve"> of 227 coins (23 of which Bonser lists) are additional to the 430.</w:t>
      </w:r>
    </w:p>
  </w:footnote>
  <w:footnote w:id="966">
    <w:p w14:paraId="04B55EA3" w14:textId="4F8CEEAA" w:rsidR="000E1004" w:rsidRDefault="000E1004" w:rsidP="00EE0389">
      <w:pPr>
        <w:pStyle w:val="FootnoteText"/>
      </w:pPr>
      <w:r>
        <w:rPr>
          <w:rStyle w:val="FootnoteReference"/>
        </w:rPr>
        <w:footnoteRef/>
      </w:r>
      <w:r>
        <w:t xml:space="preserve"> Scattered in the case of the more recent finds.</w:t>
      </w:r>
    </w:p>
  </w:footnote>
  <w:footnote w:id="967">
    <w:p w14:paraId="4AB43F02" w14:textId="76846983" w:rsidR="000E1004" w:rsidRDefault="000E1004" w:rsidP="003738BC">
      <w:pPr>
        <w:pStyle w:val="FootnoteText"/>
      </w:pPr>
      <w:r>
        <w:rPr>
          <w:rStyle w:val="FootnoteReference"/>
        </w:rPr>
        <w:footnoteRef/>
      </w:r>
      <w:r>
        <w:t xml:space="preserve"> PAS</w:t>
      </w:r>
      <w:r>
        <w:fldChar w:fldCharType="begin"/>
      </w:r>
      <w:r>
        <w:instrText xml:space="preserve"> XE "</w:instrText>
      </w:r>
      <w:r w:rsidRPr="007D3069">
        <w:instrText>PAS</w:instrText>
      </w:r>
      <w:r>
        <w:instrText xml:space="preserve">" </w:instrText>
      </w:r>
      <w:r>
        <w:fldChar w:fldCharType="end"/>
      </w:r>
      <w:r>
        <w:t xml:space="preserve"> </w:t>
      </w:r>
      <w:r w:rsidRPr="00783651">
        <w:rPr>
          <w:rFonts w:eastAsia="Times New Roman" w:cs="Times New Roman"/>
          <w:szCs w:val="24"/>
          <w:lang w:eastAsia="en-GB"/>
        </w:rPr>
        <w:t>BM-7C4457</w:t>
      </w:r>
      <w:r>
        <w:rPr>
          <w:rFonts w:eastAsia="Times New Roman" w:cs="Times New Roman"/>
          <w:szCs w:val="24"/>
          <w:lang w:eastAsia="en-GB"/>
        </w:rPr>
        <w:t xml:space="preserve">: </w:t>
      </w:r>
      <w:hyperlink r:id="rId36" w:history="1">
        <w:r w:rsidRPr="00FA71B8">
          <w:rPr>
            <w:rStyle w:val="Hyperlink"/>
            <w:rFonts w:eastAsia="Times New Roman" w:cs="Times New Roman"/>
            <w:szCs w:val="24"/>
            <w:lang w:eastAsia="en-GB"/>
          </w:rPr>
          <w:t>https://finds.org.uk/database/artefacts/record/id/643932</w:t>
        </w:r>
      </w:hyperlink>
      <w:r>
        <w:rPr>
          <w:rStyle w:val="Hyperlink"/>
          <w:rFonts w:eastAsia="Times New Roman" w:cs="Times New Roman"/>
          <w:color w:val="auto"/>
          <w:szCs w:val="24"/>
          <w:u w:val="none"/>
          <w:lang w:eastAsia="en-GB"/>
        </w:rPr>
        <w:t xml:space="preserve">. </w:t>
      </w:r>
      <w:r>
        <w:rPr>
          <w:szCs w:val="24"/>
        </w:rPr>
        <w:t>Notable also is the Middleham</w:t>
      </w:r>
      <w:r>
        <w:rPr>
          <w:szCs w:val="24"/>
        </w:rPr>
        <w:fldChar w:fldCharType="begin"/>
      </w:r>
      <w:r>
        <w:instrText xml:space="preserve"> XE "</w:instrText>
      </w:r>
      <w:r w:rsidRPr="004D76A0">
        <w:rPr>
          <w:rStyle w:val="Hyperlink"/>
          <w:noProof/>
        </w:rPr>
        <w:instrText>Middleham</w:instrText>
      </w:r>
      <w:r>
        <w:instrText xml:space="preserve">" </w:instrText>
      </w:r>
      <w:r>
        <w:rPr>
          <w:szCs w:val="24"/>
        </w:rPr>
        <w:fldChar w:fldCharType="end"/>
      </w:r>
      <w:r>
        <w:rPr>
          <w:szCs w:val="24"/>
        </w:rPr>
        <w:t xml:space="preserve"> Jewel</w:t>
      </w:r>
      <w:r>
        <w:t xml:space="preserve"> </w:t>
      </w:r>
      <w:hyperlink r:id="rId37" w:anchor="Middleham_Jewel" w:history="1">
        <w:r w:rsidRPr="0029128C">
          <w:rPr>
            <w:rStyle w:val="Hyperlink"/>
          </w:rPr>
          <w:t>http://en.wikipedia.org/wiki/Middleham#Middleham_Jewel</w:t>
        </w:r>
      </w:hyperlink>
      <w:r>
        <w:rPr>
          <w:rStyle w:val="Hyperlink"/>
          <w:rFonts w:eastAsia="Times New Roman" w:cs="Times New Roman"/>
          <w:color w:val="auto"/>
          <w:szCs w:val="24"/>
          <w:u w:val="none"/>
          <w:lang w:eastAsia="en-GB"/>
        </w:rPr>
        <w:t>.</w:t>
      </w:r>
    </w:p>
  </w:footnote>
  <w:footnote w:id="968">
    <w:p w14:paraId="7FE20BF6" w14:textId="0080DE93" w:rsidR="000E1004" w:rsidRPr="00DB7C40" w:rsidRDefault="000E1004" w:rsidP="003738BC">
      <w:pPr>
        <w:pStyle w:val="FootnoteText"/>
      </w:pPr>
      <w:r>
        <w:rPr>
          <w:rStyle w:val="FootnoteReference"/>
        </w:rPr>
        <w:footnoteRef/>
      </w:r>
      <w:r>
        <w:t xml:space="preserve"> The undisclosed find (pre-Treasure regime) of a ‘bag of Arabic coins’ (</w:t>
      </w:r>
      <w:r>
        <w:rPr>
          <w:i/>
        </w:rPr>
        <w:t>pers. c</w:t>
      </w:r>
      <w:r w:rsidRPr="00DB7C40">
        <w:rPr>
          <w:i/>
        </w:rPr>
        <w:t>omm.</w:t>
      </w:r>
      <w:r>
        <w:t xml:space="preserve"> Adam Swift, Oct. 2015) remains an intriguing prospect.</w:t>
      </w:r>
    </w:p>
  </w:footnote>
  <w:footnote w:id="969">
    <w:p w14:paraId="153C9897" w14:textId="6B180D1E" w:rsidR="000E1004" w:rsidRDefault="000E1004" w:rsidP="00E6352B">
      <w:pPr>
        <w:pStyle w:val="FootnoteText"/>
      </w:pPr>
      <w:r>
        <w:rPr>
          <w:rStyle w:val="FootnoteReference"/>
        </w:rPr>
        <w:footnoteRef/>
      </w:r>
      <w:r>
        <w:t xml:space="preserve"> The three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xml:space="preserve"> coins are evenly spread over these three divisions.</w:t>
      </w:r>
    </w:p>
  </w:footnote>
  <w:footnote w:id="970">
    <w:p w14:paraId="2B1927B6" w14:textId="705985A4" w:rsidR="000E1004" w:rsidRDefault="000E1004">
      <w:pPr>
        <w:pStyle w:val="FootnoteText"/>
      </w:pPr>
      <w:r>
        <w:rPr>
          <w:rStyle w:val="FootnoteReference"/>
        </w:rPr>
        <w:footnoteRef/>
      </w:r>
      <w:r>
        <w:t xml:space="preserve"> See </w:t>
      </w:r>
      <w:r>
        <w:rPr>
          <w:i/>
        </w:rPr>
        <w:t>fn.</w:t>
      </w:r>
      <w:r>
        <w:t xml:space="preserve"> </w:t>
      </w:r>
      <w:r>
        <w:fldChar w:fldCharType="begin"/>
      </w:r>
      <w:r>
        <w:instrText xml:space="preserve"> NOTEREF _Ref433381737 \h </w:instrText>
      </w:r>
      <w:r>
        <w:fldChar w:fldCharType="separate"/>
      </w:r>
      <w:r w:rsidR="0012026B">
        <w:t>1220</w:t>
      </w:r>
      <w:r>
        <w:fldChar w:fldCharType="end"/>
      </w:r>
      <w:r>
        <w:t>.</w:t>
      </w:r>
    </w:p>
  </w:footnote>
  <w:footnote w:id="971">
    <w:p w14:paraId="25D812C2" w14:textId="2D570D95" w:rsidR="000E1004" w:rsidRDefault="000E1004">
      <w:pPr>
        <w:pStyle w:val="FootnoteText"/>
      </w:pPr>
      <w:r>
        <w:rPr>
          <w:rStyle w:val="FootnoteReference"/>
        </w:rPr>
        <w:footnoteRef/>
      </w:r>
      <w:r>
        <w:t xml:space="preserve"> Van de Noort and Davies (1993, 80).</w:t>
      </w:r>
    </w:p>
  </w:footnote>
  <w:footnote w:id="972">
    <w:p w14:paraId="6C6B7BBB" w14:textId="33FC38A4" w:rsidR="000E1004" w:rsidRDefault="000E1004" w:rsidP="005F66F0">
      <w:pPr>
        <w:pStyle w:val="FootnoteText"/>
      </w:pPr>
      <w:r>
        <w:rPr>
          <w:rStyle w:val="FootnoteReference"/>
        </w:rPr>
        <w:footnoteRef/>
      </w:r>
      <w:r>
        <w:t xml:space="preserve"> PAS</w:t>
      </w:r>
      <w:r>
        <w:fldChar w:fldCharType="begin"/>
      </w:r>
      <w:r>
        <w:instrText xml:space="preserve"> XE "</w:instrText>
      </w:r>
      <w:r w:rsidRPr="007D3069">
        <w:instrText>PAS</w:instrText>
      </w:r>
      <w:r>
        <w:instrText xml:space="preserve">" </w:instrText>
      </w:r>
      <w:r>
        <w:fldChar w:fldCharType="end"/>
      </w:r>
      <w:r>
        <w:t xml:space="preserve"> 2008 T553 &amp; 2009 T221.</w:t>
      </w:r>
    </w:p>
  </w:footnote>
  <w:footnote w:id="973">
    <w:p w14:paraId="4F660D95" w14:textId="255F8BB3" w:rsidR="000E1004" w:rsidRDefault="000E1004" w:rsidP="005F66F0">
      <w:pPr>
        <w:pStyle w:val="FootnoteText"/>
      </w:pPr>
      <w:r>
        <w:rPr>
          <w:rStyle w:val="FootnoteReference"/>
        </w:rPr>
        <w:footnoteRef/>
      </w:r>
      <w:r>
        <w:t xml:space="preserve"> Home of one of the most diligent of detectorists.</w:t>
      </w:r>
    </w:p>
  </w:footnote>
  <w:footnote w:id="974">
    <w:p w14:paraId="1923E506" w14:textId="70A08DE4" w:rsidR="000E1004" w:rsidRDefault="000E1004" w:rsidP="005F66F0">
      <w:pPr>
        <w:pStyle w:val="FootnoteText"/>
      </w:pPr>
      <w:r>
        <w:rPr>
          <w:rStyle w:val="FootnoteReference"/>
        </w:rPr>
        <w:footnoteRef/>
      </w:r>
      <w:r>
        <w:t xml:space="preserve"> There is no reason to believe that detecting discard practices differ in the Vale.</w:t>
      </w:r>
    </w:p>
  </w:footnote>
  <w:footnote w:id="975">
    <w:p w14:paraId="4480CFEC" w14:textId="192E21E1" w:rsidR="000E1004" w:rsidRDefault="000E1004">
      <w:pPr>
        <w:pStyle w:val="FootnoteText"/>
      </w:pPr>
      <w:r>
        <w:rPr>
          <w:rStyle w:val="FootnoteReference"/>
        </w:rPr>
        <w:footnoteRef/>
      </w:r>
      <w:r>
        <w:t xml:space="preserve"> Barrow (1969). Naylor (2004, 42). Woodman (2012, 275). Grocock &amp; Wood (2013).</w:t>
      </w:r>
    </w:p>
  </w:footnote>
  <w:footnote w:id="976">
    <w:p w14:paraId="50011A06" w14:textId="20B3A998" w:rsidR="000E1004" w:rsidRDefault="000E1004" w:rsidP="00FC611F">
      <w:pPr>
        <w:pStyle w:val="FootnoteText"/>
      </w:pPr>
      <w:r>
        <w:rPr>
          <w:rStyle w:val="FootnoteReference"/>
        </w:rPr>
        <w:footnoteRef/>
      </w:r>
      <w:r>
        <w:t xml:space="preserve"> Woodman (2012, </w:t>
      </w:r>
      <w:r w:rsidRPr="00623B60">
        <w:t>1</w:t>
      </w:r>
      <w:r>
        <w:t>-6</w:t>
      </w:r>
      <w:r w:rsidRPr="00623B60">
        <w:t xml:space="preserve">). </w:t>
      </w:r>
    </w:p>
  </w:footnote>
  <w:footnote w:id="977">
    <w:p w14:paraId="6BA0BA80" w14:textId="7634918A" w:rsidR="000E1004" w:rsidRDefault="000E1004">
      <w:pPr>
        <w:pStyle w:val="FootnoteText"/>
      </w:pPr>
      <w:r>
        <w:rPr>
          <w:rStyle w:val="FootnoteReference"/>
        </w:rPr>
        <w:footnoteRef/>
      </w:r>
      <w:r>
        <w:t xml:space="preserve"> Durham – grant of land by Ecgfrith to Cuthbert, 685, Woodman (2012, 20 and 229 where Woodman credited Wilfrid with being influential in developing diplomatic practice being interested in recording his possessions</w:t>
      </w:r>
      <w:r w:rsidRPr="00623B60">
        <w:t>).</w:t>
      </w:r>
    </w:p>
  </w:footnote>
  <w:footnote w:id="978">
    <w:p w14:paraId="5280622E" w14:textId="4A97E0E6" w:rsidR="000E1004" w:rsidRDefault="000E1004">
      <w:pPr>
        <w:pStyle w:val="FootnoteText"/>
      </w:pPr>
      <w:r>
        <w:rPr>
          <w:rStyle w:val="FootnoteReference"/>
        </w:rPr>
        <w:footnoteRef/>
      </w:r>
      <w:r>
        <w:t xml:space="preserve"> Especially along the Great North Road, </w:t>
      </w:r>
      <w:r w:rsidRPr="0039425F">
        <w:rPr>
          <w:i/>
        </w:rPr>
        <w:t xml:space="preserve">Map </w:t>
      </w:r>
      <w:r>
        <w:rPr>
          <w:i/>
        </w:rPr>
        <w:t>6.01</w:t>
      </w:r>
      <w:r w:rsidRPr="0039425F">
        <w:rPr>
          <w:i/>
        </w:rPr>
        <w:t>.</w:t>
      </w:r>
    </w:p>
  </w:footnote>
  <w:footnote w:id="979">
    <w:p w14:paraId="1115CD22" w14:textId="0A9FBC5F" w:rsidR="000E1004" w:rsidRDefault="000E1004" w:rsidP="00E26C92">
      <w:pPr>
        <w:pStyle w:val="FootnoteText"/>
      </w:pPr>
      <w:r>
        <w:rPr>
          <w:rStyle w:val="FootnoteReference"/>
        </w:rPr>
        <w:footnoteRef/>
      </w:r>
      <w:r>
        <w:t xml:space="preserve"> Bautier (1971, 15). Spufford (1988, 9). Fossier (1989, 26). Collins (1991, 162-6). Higham (1993, </w:t>
      </w:r>
      <w:r w:rsidRPr="00665DCD">
        <w:t>90</w:t>
      </w:r>
      <w:r>
        <w:t xml:space="preserve">). Van de Noort, (1999, 10). Dark (2000, 35). </w:t>
      </w:r>
      <w:r>
        <w:rPr>
          <w:rFonts w:eastAsia="Times New Roman" w:cs="Times New Roman"/>
          <w:lang w:eastAsia="en-GB"/>
        </w:rPr>
        <w:t xml:space="preserve">Abdy (2006, 84-90). </w:t>
      </w:r>
      <w:r>
        <w:t>Higham and Ryan (2013, 41-56)</w:t>
      </w:r>
      <w:r w:rsidRPr="00665DCD">
        <w:t>.</w:t>
      </w:r>
    </w:p>
  </w:footnote>
  <w:footnote w:id="980">
    <w:p w14:paraId="0C6B3C70" w14:textId="74DCC90D" w:rsidR="000E1004" w:rsidRDefault="000E1004" w:rsidP="00854613">
      <w:pPr>
        <w:pStyle w:val="FootnoteText"/>
      </w:pPr>
      <w:r>
        <w:rPr>
          <w:rStyle w:val="FootnoteReference"/>
        </w:rPr>
        <w:footnoteRef/>
      </w:r>
      <w:r>
        <w:t xml:space="preserve"> Loveluck (2003 154-5), suggested a collapse of demand for mass-produced commodities</w:t>
      </w:r>
      <w:r>
        <w:fldChar w:fldCharType="begin"/>
      </w:r>
      <w:r>
        <w:instrText xml:space="preserve"> XE "</w:instrText>
      </w:r>
      <w:r w:rsidRPr="007D3069">
        <w:rPr>
          <w:rFonts w:cs="Times New Roman"/>
          <w:szCs w:val="24"/>
        </w:rPr>
        <w:instrText>commodities</w:instrText>
      </w:r>
      <w:r>
        <w:instrText xml:space="preserve">" </w:instrText>
      </w:r>
      <w:r>
        <w:fldChar w:fldCharType="end"/>
      </w:r>
      <w:r>
        <w:t>, such as Yorkshire Crambeck ware pottery, would have led to absence of diagnostic material. Want of imported goods in the early decades of the fifth century would have encouraged self-sufficiency ‘possibly focussed on former military commands and tribal or kin-linked groups, which formed the basis for subsequent social and political developments, alongside influences from across the North Sea’.</w:t>
      </w:r>
    </w:p>
  </w:footnote>
  <w:footnote w:id="981">
    <w:p w14:paraId="08FA592D" w14:textId="7B9657A7" w:rsidR="000E1004" w:rsidRDefault="000E1004" w:rsidP="00854613">
      <w:pPr>
        <w:pStyle w:val="FootnoteText"/>
      </w:pPr>
      <w:r>
        <w:rPr>
          <w:rStyle w:val="FootnoteReference"/>
        </w:rPr>
        <w:footnoteRef/>
      </w:r>
      <w:r>
        <w:t xml:space="preserve"> Fenton-Thomas (2005, 83-7). (Banham and Faith, 2014, 285). By Doomsday the central Wolds was a landscape of open fields and nucleated villages. </w:t>
      </w:r>
    </w:p>
  </w:footnote>
  <w:footnote w:id="982">
    <w:p w14:paraId="7A8E5E89" w14:textId="77777777" w:rsidR="000E1004" w:rsidRPr="00A33D33" w:rsidRDefault="000E1004" w:rsidP="00511F76">
      <w:pPr>
        <w:pStyle w:val="FootnoteText"/>
        <w:rPr>
          <w:lang w:val="en-US"/>
        </w:rPr>
      </w:pPr>
      <w:r>
        <w:rPr>
          <w:rStyle w:val="FootnoteReference"/>
        </w:rPr>
        <w:footnoteRef/>
      </w:r>
      <w:r>
        <w:t xml:space="preserve"> South of the A166, other than Buttercrambe.</w:t>
      </w:r>
    </w:p>
  </w:footnote>
  <w:footnote w:id="983">
    <w:p w14:paraId="2227E06C" w14:textId="77777777" w:rsidR="000E1004" w:rsidRDefault="000E1004" w:rsidP="00D677E7">
      <w:pPr>
        <w:pStyle w:val="FootnoteText"/>
      </w:pPr>
      <w:r>
        <w:rPr>
          <w:rStyle w:val="FootnoteReference"/>
        </w:rPr>
        <w:footnoteRef/>
      </w:r>
      <w:r>
        <w:t xml:space="preserve"> </w:t>
      </w:r>
      <w:r w:rsidRPr="007C16DE">
        <w:rPr>
          <w:rFonts w:cs="Times New Roman"/>
        </w:rPr>
        <w:t xml:space="preserve">James Booth, </w:t>
      </w:r>
      <w:r w:rsidRPr="007C16DE">
        <w:rPr>
          <w:rFonts w:cs="Times New Roman"/>
          <w:i/>
        </w:rPr>
        <w:t>pers comm</w:t>
      </w:r>
      <w:r>
        <w:rPr>
          <w:rFonts w:cs="Times New Roman"/>
          <w:i/>
        </w:rPr>
        <w:t>.</w:t>
      </w:r>
      <w:r>
        <w:rPr>
          <w:rFonts w:cs="Times New Roman"/>
        </w:rPr>
        <w:t xml:space="preserve"> 19 August 2014</w:t>
      </w:r>
      <w:r w:rsidRPr="007C16DE">
        <w:rPr>
          <w:rFonts w:cs="Times New Roman"/>
        </w:rPr>
        <w:t>: There were Roman</w:t>
      </w:r>
      <w:r>
        <w:rPr>
          <w:rFonts w:cs="Times New Roman"/>
        </w:rPr>
        <w:fldChar w:fldCharType="begin"/>
      </w:r>
      <w:r>
        <w:instrText xml:space="preserve"> XE "</w:instrText>
      </w:r>
      <w:r w:rsidRPr="007645AE">
        <w:instrText>Roman</w:instrText>
      </w:r>
      <w:r>
        <w:instrText xml:space="preserve">" </w:instrText>
      </w:r>
      <w:r>
        <w:rPr>
          <w:rFonts w:cs="Times New Roman"/>
        </w:rPr>
        <w:fldChar w:fldCharType="end"/>
      </w:r>
      <w:r w:rsidRPr="007C16DE">
        <w:rPr>
          <w:rFonts w:cs="Times New Roman"/>
        </w:rPr>
        <w:t xml:space="preserve"> coins </w:t>
      </w:r>
      <w:r>
        <w:rPr>
          <w:rFonts w:cs="Times New Roman"/>
        </w:rPr>
        <w:t>at Newbald (including a beautiful coin of</w:t>
      </w:r>
      <w:r w:rsidRPr="007C16DE">
        <w:rPr>
          <w:rFonts w:cs="Times New Roman"/>
        </w:rPr>
        <w:t xml:space="preserve"> Geta</w:t>
      </w:r>
      <w:r>
        <w:rPr>
          <w:rFonts w:cs="Times New Roman"/>
        </w:rPr>
        <w:t>, a surface find by Dave Haldenby) b</w:t>
      </w:r>
      <w:r w:rsidRPr="007C16DE">
        <w:rPr>
          <w:rFonts w:cs="Times New Roman"/>
        </w:rPr>
        <w:t>u</w:t>
      </w:r>
      <w:r>
        <w:rPr>
          <w:rFonts w:cs="Times New Roman"/>
        </w:rPr>
        <w:t>t there were no Southern sceats. The historical record</w:t>
      </w:r>
      <w:r w:rsidRPr="007C16DE">
        <w:rPr>
          <w:rFonts w:cs="Times New Roman"/>
        </w:rPr>
        <w:t xml:space="preserve"> </w:t>
      </w:r>
      <w:r>
        <w:rPr>
          <w:rFonts w:cs="Times New Roman"/>
        </w:rPr>
        <w:t>recommences</w:t>
      </w:r>
      <w:r w:rsidRPr="007C16DE">
        <w:rPr>
          <w:rFonts w:cs="Times New Roman"/>
        </w:rPr>
        <w:t xml:space="preserve"> abruptly with</w:t>
      </w:r>
      <w:r>
        <w:rPr>
          <w:rFonts w:cs="Times New Roman"/>
        </w:rPr>
        <w:t xml:space="preserve"> sceats of Eadberht</w:t>
      </w:r>
      <w:r>
        <w:rPr>
          <w:rFonts w:cs="Times New Roman"/>
        </w:rPr>
        <w:fldChar w:fldCharType="begin"/>
      </w:r>
      <w:r>
        <w:instrText xml:space="preserve"> XE "</w:instrText>
      </w:r>
      <w:r w:rsidRPr="007645AE">
        <w:instrText>Eadberht</w:instrText>
      </w:r>
      <w:r>
        <w:instrText xml:space="preserve">" </w:instrText>
      </w:r>
      <w:r>
        <w:rPr>
          <w:rFonts w:cs="Times New Roman"/>
        </w:rPr>
        <w:fldChar w:fldCharType="end"/>
      </w:r>
      <w:r>
        <w:rPr>
          <w:rFonts w:cs="Times New Roman"/>
        </w:rPr>
        <w:t>, and there are only S</w:t>
      </w:r>
      <w:r w:rsidRPr="007C16DE">
        <w:rPr>
          <w:rFonts w:cs="Times New Roman"/>
        </w:rPr>
        <w:t>eries</w:t>
      </w:r>
      <w:r>
        <w:rPr>
          <w:rFonts w:cs="Times New Roman"/>
        </w:rPr>
        <w:fldChar w:fldCharType="begin"/>
      </w:r>
      <w:r>
        <w:instrText xml:space="preserve"> XE "</w:instrText>
      </w:r>
      <w:r w:rsidRPr="007645AE">
        <w:instrText>Series</w:instrText>
      </w:r>
      <w:r>
        <w:instrText xml:space="preserve">" </w:instrText>
      </w:r>
      <w:r>
        <w:rPr>
          <w:rFonts w:cs="Times New Roman"/>
        </w:rPr>
        <w:fldChar w:fldCharType="end"/>
      </w:r>
      <w:r>
        <w:rPr>
          <w:rFonts w:cs="Times New Roman"/>
        </w:rPr>
        <w:t xml:space="preserve"> Y sceat</w:t>
      </w:r>
      <w:r w:rsidRPr="007C16DE">
        <w:rPr>
          <w:rFonts w:cs="Times New Roman"/>
        </w:rPr>
        <w:t>s and stycas thereafter. Nor are there any later Saxon penn</w:t>
      </w:r>
      <w:r>
        <w:rPr>
          <w:rFonts w:cs="Times New Roman"/>
        </w:rPr>
        <w:t>ies -- only late medieval coins</w:t>
      </w:r>
      <w:r w:rsidRPr="008D6799">
        <w:rPr>
          <w:rFonts w:cs="Times New Roman"/>
        </w:rPr>
        <w:t xml:space="preserve">, ‘a remarkably distinctive distribution’. </w:t>
      </w:r>
      <w:r w:rsidRPr="007C16DE">
        <w:rPr>
          <w:rFonts w:cs="Times New Roman"/>
        </w:rPr>
        <w:t>The site seems to have been occupied and deserted abruptly.</w:t>
      </w:r>
    </w:p>
  </w:footnote>
  <w:footnote w:id="984">
    <w:p w14:paraId="6ED952BE" w14:textId="77777777" w:rsidR="000E1004" w:rsidRDefault="000E1004" w:rsidP="00D677E7">
      <w:pPr>
        <w:pStyle w:val="FootnoteText"/>
      </w:pPr>
      <w:r>
        <w:rPr>
          <w:rStyle w:val="FootnoteReference"/>
        </w:rPr>
        <w:footnoteRef/>
      </w:r>
      <w:r>
        <w:t xml:space="preserve"> Eighteen skeletons were reported in the mid-nineteenth century.</w:t>
      </w:r>
    </w:p>
  </w:footnote>
  <w:footnote w:id="985">
    <w:p w14:paraId="2248361E" w14:textId="77777777" w:rsidR="000E1004" w:rsidRDefault="000E1004" w:rsidP="00D677E7">
      <w:pPr>
        <w:pStyle w:val="FootnoteText"/>
      </w:pPr>
      <w:r>
        <w:rPr>
          <w:rStyle w:val="FootnoteReference"/>
        </w:rPr>
        <w:footnoteRef/>
      </w:r>
      <w:r>
        <w:t xml:space="preserve"> Leahy (2000, 54-5).</w:t>
      </w:r>
    </w:p>
  </w:footnote>
  <w:footnote w:id="986">
    <w:p w14:paraId="4750D060" w14:textId="77777777" w:rsidR="000E1004" w:rsidRDefault="000E1004" w:rsidP="00D677E7">
      <w:pPr>
        <w:pStyle w:val="FootnoteText"/>
      </w:pPr>
      <w:r>
        <w:rPr>
          <w:rStyle w:val="FootnoteReference"/>
        </w:rPr>
        <w:footnoteRef/>
      </w:r>
      <w:r>
        <w:t xml:space="preserve"> Leahy (2000, 74-5).</w:t>
      </w:r>
    </w:p>
  </w:footnote>
  <w:footnote w:id="987">
    <w:p w14:paraId="0256C48D" w14:textId="77777777" w:rsidR="000E1004" w:rsidRDefault="000E1004" w:rsidP="00D677E7">
      <w:pPr>
        <w:pStyle w:val="FootnoteText"/>
      </w:pPr>
      <w:r>
        <w:rPr>
          <w:rStyle w:val="FootnoteReference"/>
        </w:rPr>
        <w:footnoteRef/>
      </w:r>
      <w:r>
        <w:t xml:space="preserve"> Leahy (2000, 77).</w:t>
      </w:r>
    </w:p>
  </w:footnote>
  <w:footnote w:id="988">
    <w:p w14:paraId="55BF083F" w14:textId="77777777" w:rsidR="000E1004" w:rsidRDefault="000E1004" w:rsidP="00D677E7">
      <w:pPr>
        <w:pStyle w:val="FootnoteText"/>
      </w:pPr>
      <w:r>
        <w:rPr>
          <w:rStyle w:val="FootnoteReference"/>
        </w:rPr>
        <w:footnoteRef/>
      </w:r>
      <w:r>
        <w:t xml:space="preserve"> Leahy (2000, 78).</w:t>
      </w:r>
    </w:p>
  </w:footnote>
  <w:footnote w:id="989">
    <w:p w14:paraId="1CAC4D7B" w14:textId="77777777" w:rsidR="000E1004" w:rsidRDefault="000E1004" w:rsidP="00D677E7">
      <w:pPr>
        <w:pStyle w:val="FootnoteText"/>
      </w:pPr>
      <w:r>
        <w:rPr>
          <w:rStyle w:val="FootnoteReference"/>
        </w:rPr>
        <w:footnoteRef/>
      </w:r>
      <w:r>
        <w:t xml:space="preserve"> Sawyer (1981, 153).</w:t>
      </w:r>
    </w:p>
  </w:footnote>
  <w:footnote w:id="990">
    <w:p w14:paraId="19252414" w14:textId="77777777" w:rsidR="000E1004" w:rsidRDefault="000E1004" w:rsidP="00D677E7">
      <w:pPr>
        <w:pStyle w:val="FootnoteText"/>
      </w:pPr>
      <w:r>
        <w:rPr>
          <w:rStyle w:val="FootnoteReference"/>
        </w:rPr>
        <w:footnoteRef/>
      </w:r>
      <w:r>
        <w:t xml:space="preserve"> Leahy (2000, 78-9).</w:t>
      </w:r>
    </w:p>
  </w:footnote>
  <w:footnote w:id="991">
    <w:p w14:paraId="40E5D62D" w14:textId="14F6A0AC" w:rsidR="000E1004" w:rsidRDefault="000E1004" w:rsidP="00D677E7">
      <w:pPr>
        <w:pStyle w:val="FootnoteText"/>
      </w:pPr>
      <w:r>
        <w:rPr>
          <w:rStyle w:val="FootnoteReference"/>
        </w:rPr>
        <w:footnoteRef/>
      </w:r>
      <w:r>
        <w:t xml:space="preserve"> </w:t>
      </w:r>
      <w:r>
        <w:rPr>
          <w:szCs w:val="24"/>
        </w:rPr>
        <w:t>Booth &amp; Blowers (</w:t>
      </w:r>
      <w:r w:rsidRPr="00E6683B">
        <w:rPr>
          <w:i/>
          <w:szCs w:val="24"/>
        </w:rPr>
        <w:t>NC</w:t>
      </w:r>
      <w:r>
        <w:rPr>
          <w:szCs w:val="24"/>
        </w:rPr>
        <w:t>143, 1983) collating finds of four detectorists working between October 1979 and September 1982) referring to the site as ‘Sancton’, and Booth (1997, 15-38, also published in Early Deira</w:t>
      </w:r>
      <w:r>
        <w:rPr>
          <w:szCs w:val="24"/>
        </w:rPr>
        <w:fldChar w:fldCharType="begin"/>
      </w:r>
      <w:r>
        <w:instrText xml:space="preserve"> XE "</w:instrText>
      </w:r>
      <w:r w:rsidRPr="007645AE">
        <w:instrText>Deira</w:instrText>
      </w:r>
      <w:r>
        <w:instrText xml:space="preserve">" </w:instrText>
      </w:r>
      <w:r>
        <w:rPr>
          <w:szCs w:val="24"/>
        </w:rPr>
        <w:fldChar w:fldCharType="end"/>
      </w:r>
      <w:r>
        <w:rPr>
          <w:szCs w:val="24"/>
        </w:rPr>
        <w:t xml:space="preserve">, assembling finds reported in </w:t>
      </w:r>
      <w:r w:rsidRPr="001D31C1">
        <w:rPr>
          <w:rStyle w:val="Hyperlink"/>
          <w:color w:val="000000" w:themeColor="text1"/>
          <w:u w:val="none"/>
        </w:rPr>
        <w:t>Booth, 1984 and 1997a</w:t>
      </w:r>
      <w:r>
        <w:rPr>
          <w:rStyle w:val="Hyperlink"/>
          <w:color w:val="000000" w:themeColor="text1"/>
          <w:u w:val="none"/>
        </w:rPr>
        <w:t xml:space="preserve">). </w:t>
      </w:r>
      <w:r w:rsidRPr="00DF1F6F">
        <w:t>Blackburn</w:t>
      </w:r>
      <w:r>
        <w:t xml:space="preserve"> &amp;</w:t>
      </w:r>
      <w:r w:rsidRPr="00DF1F6F">
        <w:t xml:space="preserve"> Bonser</w:t>
      </w:r>
      <w:r>
        <w:t xml:space="preserve"> (</w:t>
      </w:r>
      <w:r w:rsidRPr="003A7C9F">
        <w:rPr>
          <w:i/>
        </w:rPr>
        <w:t>BNJ</w:t>
      </w:r>
      <w:r>
        <w:t>56, 1986, 64-101).</w:t>
      </w:r>
      <w:r w:rsidRPr="001D31C1">
        <w:t xml:space="preserve"> </w:t>
      </w:r>
      <w:r w:rsidRPr="001D31C1">
        <w:rPr>
          <w:rStyle w:val="Hyperlink"/>
          <w:color w:val="000000" w:themeColor="text1"/>
          <w:u w:val="none"/>
        </w:rPr>
        <w:t>Pirie</w:t>
      </w:r>
      <w:r>
        <w:rPr>
          <w:rStyle w:val="Hyperlink"/>
          <w:color w:val="000000" w:themeColor="text1"/>
          <w:u w:val="none"/>
        </w:rPr>
        <w:fldChar w:fldCharType="begin"/>
      </w:r>
      <w:r>
        <w:instrText xml:space="preserve"> XE "</w:instrText>
      </w:r>
      <w:r w:rsidRPr="007D3069">
        <w:instrText>Pirie</w:instrText>
      </w:r>
      <w:r>
        <w:instrText xml:space="preserve">" </w:instrText>
      </w:r>
      <w:r>
        <w:rPr>
          <w:rStyle w:val="Hyperlink"/>
          <w:color w:val="000000" w:themeColor="text1"/>
          <w:u w:val="none"/>
        </w:rPr>
        <w:fldChar w:fldCharType="end"/>
      </w:r>
      <w:r w:rsidRPr="001D31C1">
        <w:rPr>
          <w:rStyle w:val="Hyperlink"/>
          <w:color w:val="000000" w:themeColor="text1"/>
          <w:u w:val="none"/>
        </w:rPr>
        <w:t xml:space="preserve"> </w:t>
      </w:r>
      <w:r>
        <w:rPr>
          <w:rStyle w:val="Hyperlink"/>
          <w:color w:val="000000" w:themeColor="text1"/>
          <w:u w:val="none"/>
        </w:rPr>
        <w:t>(</w:t>
      </w:r>
      <w:r w:rsidRPr="001D31C1">
        <w:rPr>
          <w:rStyle w:val="Hyperlink"/>
          <w:color w:val="000000" w:themeColor="text1"/>
          <w:u w:val="none"/>
        </w:rPr>
        <w:t>1996</w:t>
      </w:r>
      <w:r>
        <w:rPr>
          <w:rStyle w:val="Hyperlink"/>
          <w:color w:val="000000" w:themeColor="text1"/>
          <w:u w:val="none"/>
        </w:rPr>
        <w:t>, 67-90</w:t>
      </w:r>
      <w:r w:rsidRPr="001D31C1">
        <w:rPr>
          <w:szCs w:val="24"/>
        </w:rPr>
        <w:t>).</w:t>
      </w:r>
    </w:p>
  </w:footnote>
  <w:footnote w:id="992">
    <w:p w14:paraId="4C565E0E" w14:textId="77777777" w:rsidR="000E1004" w:rsidRDefault="000E1004" w:rsidP="00D677E7">
      <w:pPr>
        <w:pStyle w:val="FootnoteText"/>
      </w:pPr>
      <w:r>
        <w:rPr>
          <w:rStyle w:val="FootnoteReference"/>
        </w:rPr>
        <w:footnoteRef/>
      </w:r>
      <w:r>
        <w:t xml:space="preserve"> One of the stycas is sunk into a lead weight (no. 64, </w:t>
      </w:r>
      <w:r w:rsidRPr="00857608">
        <w:rPr>
          <w:i/>
        </w:rPr>
        <w:t>NC</w:t>
      </w:r>
      <w:r w:rsidRPr="00857608">
        <w:t>143</w:t>
      </w:r>
      <w:r>
        <w:t>, 145). Booth (1997, 27) described this as a ‘characteristic Scandinavian practice’ possibly relating to the final days of occupation.</w:t>
      </w:r>
    </w:p>
  </w:footnote>
  <w:footnote w:id="993">
    <w:p w14:paraId="0D3B54B5" w14:textId="3568DAD1" w:rsidR="000E1004" w:rsidRDefault="000E1004" w:rsidP="00D677E7">
      <w:pPr>
        <w:pStyle w:val="FootnoteText"/>
        <w:jc w:val="left"/>
      </w:pPr>
      <w:r>
        <w:rPr>
          <w:rStyle w:val="FootnoteReference"/>
        </w:rPr>
        <w:footnoteRef/>
      </w:r>
      <w:r>
        <w:t xml:space="preserve"> Loveluck (2003, 154 &amp; 163-4) mentioned a </w:t>
      </w:r>
      <w:r w:rsidRPr="0017376B">
        <w:rPr>
          <w:i/>
        </w:rPr>
        <w:t>Gr</w:t>
      </w:r>
      <w:r w:rsidRPr="0017376B">
        <w:rPr>
          <w:rFonts w:cs="Times New Roman"/>
          <w:i/>
        </w:rPr>
        <w:t>ü</w:t>
      </w:r>
      <w:r w:rsidRPr="0017376B">
        <w:rPr>
          <w:i/>
        </w:rPr>
        <w:t>benhaus</w:t>
      </w:r>
      <w:r>
        <w:rPr>
          <w:i/>
        </w:rPr>
        <w:t xml:space="preserve">. </w:t>
      </w:r>
      <w:r>
        <w:t xml:space="preserve">Halkon (2003, 272-4). </w:t>
      </w:r>
      <w:hyperlink r:id="rId38" w:history="1">
        <w:r w:rsidRPr="00C809B0">
          <w:rPr>
            <w:rStyle w:val="Hyperlink"/>
          </w:rPr>
          <w:t>http://www.southampton.ac.uk/archaeology/research/projects/landscape_archaeology_of_hayton.page</w:t>
        </w:r>
      </w:hyperlink>
    </w:p>
    <w:p w14:paraId="382D5A61" w14:textId="129F4FAE" w:rsidR="000E1004" w:rsidRDefault="00B32C9A" w:rsidP="00D677E7">
      <w:pPr>
        <w:pStyle w:val="FootnoteText"/>
      </w:pPr>
      <w:hyperlink r:id="rId39" w:history="1">
        <w:r w:rsidR="000E1004" w:rsidRPr="00C809B0">
          <w:rPr>
            <w:rStyle w:val="Hyperlink"/>
          </w:rPr>
          <w:t>http://www2.hull.ac.uk/student/archaeology/research/hayton.aspx</w:t>
        </w:r>
      </w:hyperlink>
    </w:p>
    <w:p w14:paraId="3EF0FEAD" w14:textId="04C09231" w:rsidR="000E1004" w:rsidRDefault="00B32C9A" w:rsidP="00D677E7">
      <w:pPr>
        <w:pStyle w:val="FootnoteText"/>
      </w:pPr>
      <w:hyperlink r:id="rId40" w:history="1">
        <w:r w:rsidR="000E1004">
          <w:rPr>
            <w:rStyle w:val="Hyperlink"/>
          </w:rPr>
          <w:t>http://pastscape.org.uk/hob.aspx?hob_id=61387</w:t>
        </w:r>
      </w:hyperlink>
    </w:p>
  </w:footnote>
  <w:footnote w:id="994">
    <w:p w14:paraId="60D27451" w14:textId="52E8BB20" w:rsidR="000E1004" w:rsidRDefault="000E1004">
      <w:pPr>
        <w:pStyle w:val="FootnoteText"/>
      </w:pPr>
      <w:r>
        <w:rPr>
          <w:rStyle w:val="FootnoteReference"/>
        </w:rPr>
        <w:footnoteRef/>
      </w:r>
      <w:r>
        <w:t xml:space="preserve"> See </w:t>
      </w:r>
      <w:r w:rsidRPr="00A07A08">
        <w:rPr>
          <w:i/>
        </w:rPr>
        <w:t>Graph 7.</w:t>
      </w:r>
      <w:r>
        <w:rPr>
          <w:i/>
        </w:rPr>
        <w:t>03 no. 21</w:t>
      </w:r>
      <w:r>
        <w:t>.</w:t>
      </w:r>
    </w:p>
  </w:footnote>
  <w:footnote w:id="995">
    <w:p w14:paraId="3E66F89B" w14:textId="77777777" w:rsidR="000E1004" w:rsidRDefault="000E1004" w:rsidP="00D677E7">
      <w:pPr>
        <w:pStyle w:val="FootnoteText"/>
      </w:pPr>
      <w:r>
        <w:rPr>
          <w:rStyle w:val="FootnoteReference"/>
        </w:rPr>
        <w:footnoteRef/>
      </w:r>
      <w:r>
        <w:t xml:space="preserve"> Other informal sources state the total of sceatta finds to be </w:t>
      </w:r>
      <w:r w:rsidRPr="0099222E">
        <w:rPr>
          <w:i/>
        </w:rPr>
        <w:t>c.</w:t>
      </w:r>
      <w:r>
        <w:t>220, predominantly Series E.</w:t>
      </w:r>
    </w:p>
  </w:footnote>
  <w:footnote w:id="996">
    <w:p w14:paraId="0F5C3046" w14:textId="77777777" w:rsidR="000E1004" w:rsidRDefault="000E1004" w:rsidP="00D677E7">
      <w:pPr>
        <w:pStyle w:val="FootnoteText"/>
      </w:pPr>
      <w:r>
        <w:rPr>
          <w:rStyle w:val="FootnoteReference"/>
        </w:rPr>
        <w:footnoteRef/>
      </w:r>
      <w:r>
        <w:t xml:space="preserve"> See also EMC</w:t>
      </w:r>
      <w:r>
        <w:fldChar w:fldCharType="begin"/>
      </w:r>
      <w:r>
        <w:instrText xml:space="preserve"> XE "</w:instrText>
      </w:r>
      <w:r w:rsidRPr="007D3069">
        <w:instrText>EMC</w:instrText>
      </w:r>
      <w:r>
        <w:instrText xml:space="preserve">" </w:instrText>
      </w:r>
      <w:r>
        <w:fldChar w:fldCharType="end"/>
      </w:r>
      <w:r>
        <w:t xml:space="preserve"> 2015.0184.</w:t>
      </w:r>
    </w:p>
  </w:footnote>
  <w:footnote w:id="997">
    <w:p w14:paraId="5EB4985D" w14:textId="77777777" w:rsidR="000E1004" w:rsidRDefault="000E1004" w:rsidP="00D677E7">
      <w:pPr>
        <w:pStyle w:val="NoSpacing"/>
        <w:spacing w:line="276" w:lineRule="auto"/>
      </w:pPr>
      <w:r>
        <w:rPr>
          <w:rStyle w:val="FootnoteReference"/>
        </w:rPr>
        <w:footnoteRef/>
      </w:r>
      <w:r>
        <w:t xml:space="preserve"> </w:t>
      </w:r>
      <w:r>
        <w:rPr>
          <w:sz w:val="20"/>
          <w:szCs w:val="20"/>
        </w:rPr>
        <w:t>T</w:t>
      </w:r>
      <w:r w:rsidRPr="009F3280">
        <w:rPr>
          <w:sz w:val="20"/>
          <w:szCs w:val="20"/>
        </w:rPr>
        <w:t>he predominant compon</w:t>
      </w:r>
      <w:r>
        <w:rPr>
          <w:sz w:val="20"/>
          <w:szCs w:val="20"/>
        </w:rPr>
        <w:t>ent of hard green verdigris.</w:t>
      </w:r>
    </w:p>
  </w:footnote>
  <w:footnote w:id="998">
    <w:p w14:paraId="073BC794" w14:textId="6C5FFE37" w:rsidR="000E1004" w:rsidRDefault="000E1004" w:rsidP="00854613">
      <w:pPr>
        <w:pStyle w:val="FootnoteText"/>
      </w:pPr>
      <w:r>
        <w:rPr>
          <w:rStyle w:val="FootnoteReference"/>
        </w:rPr>
        <w:footnoteRef/>
      </w:r>
      <w:r>
        <w:t xml:space="preserve"> These were found between 2007 and 2012. Six single Series</w:t>
      </w:r>
      <w:r>
        <w:fldChar w:fldCharType="begin"/>
      </w:r>
      <w:r>
        <w:instrText xml:space="preserve"> XE "</w:instrText>
      </w:r>
      <w:r w:rsidRPr="007645AE">
        <w:instrText>Series</w:instrText>
      </w:r>
      <w:r>
        <w:instrText xml:space="preserve">" </w:instrText>
      </w:r>
      <w:r>
        <w:fldChar w:fldCharType="end"/>
      </w:r>
      <w:r>
        <w:t xml:space="preserve"> D</w:t>
      </w:r>
      <w:r>
        <w:fldChar w:fldCharType="begin"/>
      </w:r>
      <w:r>
        <w:instrText xml:space="preserve"> XE "</w:instrText>
      </w:r>
      <w:r w:rsidRPr="008D02A1">
        <w:rPr>
          <w:szCs w:val="24"/>
        </w:rPr>
        <w:instrText>Series D</w:instrText>
      </w:r>
      <w:r>
        <w:instrText xml:space="preserve">" </w:instrText>
      </w:r>
      <w:r>
        <w:fldChar w:fldCharType="end"/>
      </w:r>
      <w:r>
        <w:t xml:space="preserve"> sceat have since surfaced.</w:t>
      </w:r>
    </w:p>
  </w:footnote>
  <w:footnote w:id="999">
    <w:p w14:paraId="1B641D09" w14:textId="682B3F6E" w:rsidR="000E1004" w:rsidRDefault="000E1004" w:rsidP="00854613">
      <w:pPr>
        <w:pStyle w:val="FootnoteText"/>
      </w:pPr>
      <w:r>
        <w:rPr>
          <w:rStyle w:val="FootnoteReference"/>
        </w:rPr>
        <w:footnoteRef/>
      </w:r>
      <w:r>
        <w:t xml:space="preserve"> PAS</w:t>
      </w:r>
      <w:r>
        <w:fldChar w:fldCharType="begin"/>
      </w:r>
      <w:r>
        <w:instrText xml:space="preserve"> XE "</w:instrText>
      </w:r>
      <w:r w:rsidRPr="007D3069">
        <w:instrText>PAS</w:instrText>
      </w:r>
      <w:r>
        <w:instrText xml:space="preserve">" </w:instrText>
      </w:r>
      <w:r>
        <w:fldChar w:fldCharType="end"/>
      </w:r>
      <w:r>
        <w:t xml:space="preserve"> </w:t>
      </w:r>
      <w:r>
        <w:rPr>
          <w:rStyle w:val="fourfigure"/>
        </w:rPr>
        <w:t>LVPL-E80948, August 2014.</w:t>
      </w:r>
    </w:p>
  </w:footnote>
  <w:footnote w:id="1000">
    <w:p w14:paraId="348A3374" w14:textId="0AFB1A4C" w:rsidR="000E1004" w:rsidRDefault="000E1004">
      <w:pPr>
        <w:pStyle w:val="FootnoteText"/>
      </w:pPr>
      <w:r>
        <w:rPr>
          <w:rStyle w:val="FootnoteReference"/>
        </w:rPr>
        <w:footnoteRef/>
      </w:r>
      <w:r>
        <w:t xml:space="preserve"> EMC 2014.0360. </w:t>
      </w:r>
      <w:r w:rsidRPr="00C73C10">
        <w:rPr>
          <w:i/>
        </w:rPr>
        <w:t>SL</w:t>
      </w:r>
      <w:r>
        <w:t xml:space="preserve"> 75-10.</w:t>
      </w:r>
    </w:p>
  </w:footnote>
  <w:footnote w:id="1001">
    <w:p w14:paraId="129117C1" w14:textId="14AC0FAC" w:rsidR="000E1004" w:rsidRDefault="000E1004" w:rsidP="00854613">
      <w:pPr>
        <w:pStyle w:val="FootnoteText"/>
      </w:pPr>
      <w:r w:rsidRPr="008209C1">
        <w:rPr>
          <w:rStyle w:val="FootnoteReference"/>
          <w:color w:val="000000" w:themeColor="text1"/>
        </w:rPr>
        <w:footnoteRef/>
      </w:r>
      <w:r w:rsidRPr="008209C1">
        <w:rPr>
          <w:color w:val="000000" w:themeColor="text1"/>
        </w:rPr>
        <w:t xml:space="preserve"> PAS</w:t>
      </w:r>
      <w:r>
        <w:rPr>
          <w:color w:val="000000" w:themeColor="text1"/>
        </w:rPr>
        <w:fldChar w:fldCharType="begin"/>
      </w:r>
      <w:r>
        <w:instrText xml:space="preserve"> XE "</w:instrText>
      </w:r>
      <w:r w:rsidRPr="007D3069">
        <w:instrText>PAS</w:instrText>
      </w:r>
      <w:r>
        <w:instrText xml:space="preserve">" </w:instrText>
      </w:r>
      <w:r>
        <w:rPr>
          <w:color w:val="000000" w:themeColor="text1"/>
        </w:rPr>
        <w:fldChar w:fldCharType="end"/>
      </w:r>
      <w:r w:rsidRPr="008209C1">
        <w:rPr>
          <w:color w:val="000000" w:themeColor="text1"/>
        </w:rPr>
        <w:t xml:space="preserve"> </w:t>
      </w:r>
      <w:r w:rsidRPr="008209C1">
        <w:rPr>
          <w:rFonts w:eastAsia="Times New Roman" w:cs="Times New Roman"/>
          <w:color w:val="000000" w:themeColor="text1"/>
          <w:szCs w:val="24"/>
          <w:lang w:eastAsia="en-GB"/>
        </w:rPr>
        <w:t>NLM-1A8B56, courtesy Tony Laverack and Martin Moore.</w:t>
      </w:r>
    </w:p>
  </w:footnote>
  <w:footnote w:id="1002">
    <w:p w14:paraId="69B747DC" w14:textId="25822BBD" w:rsidR="000E1004" w:rsidRPr="00A33D33" w:rsidRDefault="000E1004">
      <w:pPr>
        <w:pStyle w:val="FootnoteText"/>
        <w:rPr>
          <w:lang w:val="en-US"/>
        </w:rPr>
      </w:pPr>
      <w:r>
        <w:rPr>
          <w:rStyle w:val="FootnoteReference"/>
        </w:rPr>
        <w:footnoteRef/>
      </w:r>
      <w:r>
        <w:t xml:space="preserve"> </w:t>
      </w:r>
      <w:r>
        <w:rPr>
          <w:rFonts w:cs="Times New Roman"/>
          <w:szCs w:val="24"/>
        </w:rPr>
        <w:t>226 Roman coins have been recorded.</w:t>
      </w:r>
    </w:p>
  </w:footnote>
  <w:footnote w:id="1003">
    <w:p w14:paraId="13ACC9D8" w14:textId="77777777" w:rsidR="000E1004" w:rsidRDefault="000E1004" w:rsidP="005515D8">
      <w:pPr>
        <w:pStyle w:val="FootnoteText"/>
      </w:pPr>
      <w:r>
        <w:rPr>
          <w:rStyle w:val="FootnoteReference"/>
        </w:rPr>
        <w:footnoteRef/>
      </w:r>
      <w:r>
        <w:t xml:space="preserve"> Mackay (2004, 112).</w:t>
      </w:r>
    </w:p>
  </w:footnote>
  <w:footnote w:id="1004">
    <w:p w14:paraId="1048AB98" w14:textId="20C7A3A6" w:rsidR="000E1004" w:rsidRDefault="000E1004" w:rsidP="009D0C59">
      <w:pPr>
        <w:pStyle w:val="FootnoteText"/>
      </w:pPr>
      <w:r>
        <w:rPr>
          <w:rStyle w:val="FootnoteReference"/>
        </w:rPr>
        <w:footnoteRef/>
      </w:r>
      <w:r>
        <w:t xml:space="preserve"> Tony Laverack (</w:t>
      </w:r>
      <w:r w:rsidRPr="009D0C59">
        <w:rPr>
          <w:i/>
        </w:rPr>
        <w:t>pers</w:t>
      </w:r>
      <w:r>
        <w:t xml:space="preserve">. </w:t>
      </w:r>
      <w:r w:rsidRPr="009D0C59">
        <w:rPr>
          <w:i/>
        </w:rPr>
        <w:t>comm</w:t>
      </w:r>
      <w:r>
        <w:t xml:space="preserve">. </w:t>
      </w:r>
      <w:r>
        <w:rPr>
          <w:rFonts w:eastAsia="Times New Roman" w:cs="Times New Roman"/>
          <w:szCs w:val="24"/>
          <w:lang w:eastAsia="en-GB"/>
        </w:rPr>
        <w:t>24</w:t>
      </w:r>
      <w:r w:rsidRPr="009D0C59">
        <w:rPr>
          <w:rFonts w:eastAsia="Times New Roman" w:cs="Times New Roman"/>
          <w:szCs w:val="24"/>
          <w:vertAlign w:val="superscript"/>
          <w:lang w:eastAsia="en-GB"/>
        </w:rPr>
        <w:t>th</w:t>
      </w:r>
      <w:r>
        <w:rPr>
          <w:rFonts w:eastAsia="Times New Roman" w:cs="Times New Roman"/>
          <w:szCs w:val="24"/>
          <w:lang w:eastAsia="en-GB"/>
        </w:rPr>
        <w:t xml:space="preserve"> March </w:t>
      </w:r>
      <w:r w:rsidRPr="00C244DF">
        <w:rPr>
          <w:rFonts w:eastAsia="Times New Roman" w:cs="Times New Roman"/>
          <w:szCs w:val="24"/>
          <w:lang w:eastAsia="en-GB"/>
        </w:rPr>
        <w:t>2015</w:t>
      </w:r>
      <w:r>
        <w:rPr>
          <w:rFonts w:eastAsia="Times New Roman" w:cs="Times New Roman"/>
          <w:szCs w:val="24"/>
          <w:lang w:eastAsia="en-GB"/>
        </w:rPr>
        <w:t>).</w:t>
      </w:r>
    </w:p>
  </w:footnote>
  <w:footnote w:id="1005">
    <w:p w14:paraId="116DFC93" w14:textId="77777777" w:rsidR="000E1004" w:rsidRDefault="000E1004" w:rsidP="00D677E7">
      <w:pPr>
        <w:pStyle w:val="FootnoteText"/>
      </w:pPr>
      <w:r>
        <w:rPr>
          <w:rStyle w:val="FootnoteReference"/>
        </w:rPr>
        <w:footnoteRef/>
      </w:r>
      <w:r>
        <w:t xml:space="preserve"> Bonser archive 5</w:t>
      </w:r>
      <w:r w:rsidRPr="00DA615F">
        <w:rPr>
          <w:vertAlign w:val="superscript"/>
        </w:rPr>
        <w:t>th</w:t>
      </w:r>
      <w:r>
        <w:t xml:space="preserve"> June 1994 and EMC</w:t>
      </w:r>
      <w:r>
        <w:fldChar w:fldCharType="begin"/>
      </w:r>
      <w:r>
        <w:instrText xml:space="preserve"> XE "</w:instrText>
      </w:r>
      <w:r w:rsidRPr="007D3069">
        <w:instrText>EMC</w:instrText>
      </w:r>
      <w:r>
        <w:instrText xml:space="preserve">" </w:instrText>
      </w:r>
      <w:r>
        <w:fldChar w:fldCharType="end"/>
      </w:r>
      <w:r>
        <w:t xml:space="preserve"> 1996.0130. </w:t>
      </w:r>
      <w:r w:rsidRPr="00F42C33">
        <w:rPr>
          <w:i/>
        </w:rPr>
        <w:t>SL</w:t>
      </w:r>
      <w:r>
        <w:t xml:space="preserve"> 70-60.</w:t>
      </w:r>
    </w:p>
  </w:footnote>
  <w:footnote w:id="1006">
    <w:p w14:paraId="666F0B12" w14:textId="613005BF" w:rsidR="000E1004" w:rsidRDefault="000E1004">
      <w:pPr>
        <w:pStyle w:val="FootnoteText"/>
      </w:pPr>
      <w:r>
        <w:rPr>
          <w:rStyle w:val="FootnoteReference"/>
        </w:rPr>
        <w:footnoteRef/>
      </w:r>
      <w:r>
        <w:t xml:space="preserve"> See </w:t>
      </w:r>
      <w:r w:rsidRPr="00A07A08">
        <w:rPr>
          <w:i/>
        </w:rPr>
        <w:t>Graph 7.</w:t>
      </w:r>
      <w:r>
        <w:rPr>
          <w:i/>
        </w:rPr>
        <w:t>03 no. 31</w:t>
      </w:r>
      <w:r>
        <w:t>.</w:t>
      </w:r>
    </w:p>
  </w:footnote>
  <w:footnote w:id="1007">
    <w:p w14:paraId="2E0ED731" w14:textId="00F6D64A" w:rsidR="000E1004" w:rsidRDefault="000E1004" w:rsidP="00D677E7">
      <w:pPr>
        <w:pStyle w:val="FootnoteText"/>
      </w:pPr>
      <w:r>
        <w:rPr>
          <w:rStyle w:val="FootnoteReference"/>
        </w:rPr>
        <w:footnoteRef/>
      </w:r>
      <w:r>
        <w:t xml:space="preserve"> Naylor</w:t>
      </w:r>
      <w:r>
        <w:fldChar w:fldCharType="begin"/>
      </w:r>
      <w:r>
        <w:instrText xml:space="preserve"> XE "</w:instrText>
      </w:r>
      <w:r w:rsidRPr="007D3069">
        <w:rPr>
          <w:rFonts w:cs="Times New Roman"/>
          <w:szCs w:val="24"/>
        </w:rPr>
        <w:instrText>Naylor</w:instrText>
      </w:r>
      <w:r>
        <w:instrText xml:space="preserve">" </w:instrText>
      </w:r>
      <w:r>
        <w:fldChar w:fldCharType="end"/>
      </w:r>
      <w:r w:rsidRPr="00197C80">
        <w:t xml:space="preserve"> </w:t>
      </w:r>
      <w:r>
        <w:t>&amp; Allen, (2014, 157), C9, ‘’near Pocklington</w:t>
      </w:r>
      <w:r>
        <w:fldChar w:fldCharType="begin"/>
      </w:r>
      <w:r>
        <w:instrText xml:space="preserve"> XE "</w:instrText>
      </w:r>
      <w:r w:rsidRPr="004D76A0">
        <w:rPr>
          <w:rStyle w:val="Hyperlink"/>
          <w:noProof/>
        </w:rPr>
        <w:instrText>Pocklington</w:instrText>
      </w:r>
      <w:r>
        <w:instrText xml:space="preserve">" </w:instrText>
      </w:r>
      <w:r>
        <w:fldChar w:fldCharType="end"/>
      </w:r>
      <w:r>
        <w:t>’.</w:t>
      </w:r>
    </w:p>
  </w:footnote>
  <w:footnote w:id="1008">
    <w:p w14:paraId="0A623351" w14:textId="77777777" w:rsidR="000E1004" w:rsidRDefault="000E1004" w:rsidP="00D677E7">
      <w:pPr>
        <w:pStyle w:val="FootnoteText"/>
      </w:pPr>
      <w:r>
        <w:rPr>
          <w:rStyle w:val="FootnoteReference"/>
        </w:rPr>
        <w:footnoteRef/>
      </w:r>
      <w:r>
        <w:t xml:space="preserve"> Duplicated on PAS</w:t>
      </w:r>
      <w:r>
        <w:fldChar w:fldCharType="begin"/>
      </w:r>
      <w:r>
        <w:instrText xml:space="preserve"> XE "</w:instrText>
      </w:r>
      <w:r w:rsidRPr="007D3069">
        <w:instrText>PAS</w:instrText>
      </w:r>
      <w:r>
        <w:instrText xml:space="preserve">" </w:instrText>
      </w:r>
      <w:r>
        <w:fldChar w:fldCharType="end"/>
      </w:r>
      <w:r>
        <w:t>.</w:t>
      </w:r>
    </w:p>
  </w:footnote>
  <w:footnote w:id="1009">
    <w:p w14:paraId="74576CF6" w14:textId="2A4EE0B7" w:rsidR="000E1004" w:rsidRDefault="000E1004" w:rsidP="00D677E7">
      <w:pPr>
        <w:pStyle w:val="NoSpacing"/>
      </w:pPr>
      <w:r w:rsidRPr="00FB0FD9">
        <w:rPr>
          <w:rStyle w:val="FootnoteReference"/>
          <w:sz w:val="20"/>
          <w:szCs w:val="20"/>
        </w:rPr>
        <w:footnoteRef/>
      </w:r>
      <w:r w:rsidRPr="00DE573F">
        <w:rPr>
          <w:i/>
          <w:sz w:val="20"/>
          <w:szCs w:val="20"/>
        </w:rPr>
        <w:t>Table</w:t>
      </w:r>
      <w:r w:rsidRPr="00DE573F">
        <w:rPr>
          <w:i/>
          <w:sz w:val="20"/>
          <w:szCs w:val="20"/>
        </w:rPr>
        <w:fldChar w:fldCharType="begin"/>
      </w:r>
      <w:r>
        <w:instrText xml:space="preserve"> XE "</w:instrText>
      </w:r>
      <w:r w:rsidRPr="00DE573F">
        <w:rPr>
          <w:noProof/>
        </w:rPr>
        <w:instrText>Table</w:instrText>
      </w:r>
      <w:r>
        <w:instrText xml:space="preserve">" </w:instrText>
      </w:r>
      <w:r w:rsidRPr="00DE573F">
        <w:rPr>
          <w:i/>
          <w:sz w:val="20"/>
          <w:szCs w:val="20"/>
        </w:rPr>
        <w:fldChar w:fldCharType="end"/>
      </w:r>
      <w:r w:rsidRPr="00DE573F">
        <w:rPr>
          <w:i/>
          <w:sz w:val="20"/>
          <w:szCs w:val="20"/>
        </w:rPr>
        <w:t xml:space="preserve"> </w:t>
      </w:r>
      <w:r>
        <w:rPr>
          <w:i/>
          <w:sz w:val="20"/>
          <w:szCs w:val="20"/>
        </w:rPr>
        <w:t>5.09</w:t>
      </w:r>
      <w:r>
        <w:rPr>
          <w:rStyle w:val="Hyperlink"/>
          <w:sz w:val="20"/>
          <w:szCs w:val="20"/>
        </w:rPr>
        <w:t>,</w:t>
      </w:r>
      <w:r w:rsidRPr="005A1E67">
        <w:rPr>
          <w:color w:val="000000" w:themeColor="text1"/>
          <w:sz w:val="20"/>
          <w:szCs w:val="20"/>
        </w:rPr>
        <w:t xml:space="preserve"> </w:t>
      </w:r>
      <w:r>
        <w:rPr>
          <w:color w:val="000000" w:themeColor="text1"/>
          <w:sz w:val="20"/>
          <w:szCs w:val="20"/>
        </w:rPr>
        <w:t>no. 20, u</w:t>
      </w:r>
      <w:r w:rsidRPr="005A1E67">
        <w:rPr>
          <w:color w:val="000000" w:themeColor="text1"/>
          <w:sz w:val="20"/>
          <w:szCs w:val="20"/>
        </w:rPr>
        <w:t>nseen</w:t>
      </w:r>
      <w:r>
        <w:rPr>
          <w:color w:val="000000" w:themeColor="text1"/>
          <w:sz w:val="20"/>
          <w:szCs w:val="20"/>
        </w:rPr>
        <w:t xml:space="preserve"> m</w:t>
      </w:r>
      <w:r w:rsidRPr="005A1E67">
        <w:rPr>
          <w:rFonts w:cs="Times New Roman"/>
          <w:color w:val="000000" w:themeColor="text1"/>
          <w:sz w:val="20"/>
          <w:szCs w:val="20"/>
        </w:rPr>
        <w:t>etal detector find</w:t>
      </w:r>
      <w:r>
        <w:rPr>
          <w:rFonts w:cs="Times New Roman"/>
          <w:color w:val="000000" w:themeColor="text1"/>
          <w:sz w:val="20"/>
          <w:szCs w:val="20"/>
        </w:rPr>
        <w:t>, Sunday 26th October 2008, Barm</w:t>
      </w:r>
      <w:r w:rsidRPr="005A1E67">
        <w:rPr>
          <w:rFonts w:cs="Times New Roman"/>
          <w:color w:val="000000" w:themeColor="text1"/>
          <w:sz w:val="20"/>
          <w:szCs w:val="20"/>
        </w:rPr>
        <w:t>by Moor</w:t>
      </w:r>
      <w:r>
        <w:rPr>
          <w:rFonts w:cs="Times New Roman"/>
          <w:color w:val="000000" w:themeColor="text1"/>
          <w:sz w:val="20"/>
          <w:szCs w:val="20"/>
        </w:rPr>
        <w:fldChar w:fldCharType="begin"/>
      </w:r>
      <w:r>
        <w:instrText xml:space="preserve"> XE "</w:instrText>
      </w:r>
      <w:r w:rsidRPr="004D76A0">
        <w:rPr>
          <w:rStyle w:val="Hyperlink"/>
          <w:noProof/>
        </w:rPr>
        <w:instrText>Barmby Moor</w:instrText>
      </w:r>
      <w:r>
        <w:instrText xml:space="preserve">" </w:instrText>
      </w:r>
      <w:r>
        <w:rPr>
          <w:rFonts w:cs="Times New Roman"/>
          <w:color w:val="000000" w:themeColor="text1"/>
          <w:sz w:val="20"/>
          <w:szCs w:val="20"/>
        </w:rPr>
        <w:fldChar w:fldCharType="end"/>
      </w:r>
      <w:r w:rsidRPr="005A1E67">
        <w:rPr>
          <w:rFonts w:cs="Times New Roman"/>
          <w:color w:val="000000" w:themeColor="text1"/>
          <w:sz w:val="20"/>
          <w:szCs w:val="20"/>
        </w:rPr>
        <w:t>, and sold unrecorded to a US collector.</w:t>
      </w:r>
    </w:p>
  </w:footnote>
  <w:footnote w:id="1010">
    <w:p w14:paraId="4A424B3C" w14:textId="0BA4C6DB" w:rsidR="000E1004" w:rsidRDefault="000E1004">
      <w:pPr>
        <w:pStyle w:val="FootnoteText"/>
      </w:pPr>
      <w:r>
        <w:rPr>
          <w:rStyle w:val="FootnoteReference"/>
        </w:rPr>
        <w:footnoteRef/>
      </w:r>
      <w:r>
        <w:t xml:space="preserve"> See </w:t>
      </w:r>
      <w:r w:rsidRPr="00A07A08">
        <w:rPr>
          <w:i/>
        </w:rPr>
        <w:t>Graph 7.</w:t>
      </w:r>
      <w:r>
        <w:rPr>
          <w:i/>
        </w:rPr>
        <w:t>03 no. 15</w:t>
      </w:r>
      <w:r>
        <w:t>.</w:t>
      </w:r>
    </w:p>
  </w:footnote>
  <w:footnote w:id="1011">
    <w:p w14:paraId="001E976A" w14:textId="6285834F" w:rsidR="000E1004" w:rsidRDefault="000E1004" w:rsidP="00854613">
      <w:pPr>
        <w:pStyle w:val="FootnoteText"/>
      </w:pPr>
      <w:r>
        <w:rPr>
          <w:rStyle w:val="FootnoteReference"/>
        </w:rPr>
        <w:footnoteRef/>
      </w:r>
      <w:r>
        <w:t xml:space="preserve"> PAS</w:t>
      </w:r>
      <w:r>
        <w:fldChar w:fldCharType="begin"/>
      </w:r>
      <w:r>
        <w:instrText xml:space="preserve"> XE "</w:instrText>
      </w:r>
      <w:r w:rsidRPr="007D3069">
        <w:instrText>PAS</w:instrText>
      </w:r>
      <w:r>
        <w:instrText xml:space="preserve">" </w:instrText>
      </w:r>
      <w:r>
        <w:fldChar w:fldCharType="end"/>
      </w:r>
      <w:r>
        <w:t xml:space="preserve"> </w:t>
      </w:r>
      <w:r w:rsidRPr="00D95054">
        <w:t>YORYM-761506</w:t>
      </w:r>
      <w:r>
        <w:t>.</w:t>
      </w:r>
    </w:p>
  </w:footnote>
  <w:footnote w:id="1012">
    <w:p w14:paraId="30A36466" w14:textId="77777777" w:rsidR="000E1004" w:rsidRDefault="000E1004" w:rsidP="00854613">
      <w:pPr>
        <w:pStyle w:val="FootnoteText"/>
      </w:pPr>
      <w:r>
        <w:rPr>
          <w:rStyle w:val="FootnoteReference"/>
        </w:rPr>
        <w:footnoteRef/>
      </w:r>
      <w:r>
        <w:t xml:space="preserve"> </w:t>
      </w:r>
      <w:r w:rsidRPr="00054B32">
        <w:rPr>
          <w:i/>
        </w:rPr>
        <w:t>Pers. comm.</w:t>
      </w:r>
      <w:r>
        <w:t xml:space="preserve"> 5</w:t>
      </w:r>
      <w:r w:rsidRPr="00054B32">
        <w:rPr>
          <w:vertAlign w:val="superscript"/>
        </w:rPr>
        <w:t>th</w:t>
      </w:r>
      <w:r>
        <w:t xml:space="preserve"> February 2015.</w:t>
      </w:r>
    </w:p>
  </w:footnote>
  <w:footnote w:id="1013">
    <w:p w14:paraId="500D81C9" w14:textId="32DD9DBB" w:rsidR="000E1004" w:rsidRDefault="000E1004" w:rsidP="00560B53">
      <w:pPr>
        <w:pStyle w:val="FootnoteText"/>
      </w:pPr>
      <w:r>
        <w:rPr>
          <w:rStyle w:val="FootnoteReference"/>
        </w:rPr>
        <w:footnoteRef/>
      </w:r>
      <w:r>
        <w:t xml:space="preserve"> Halkon and Millett (1999). Halkon (2003, 273-4). See </w:t>
      </w:r>
      <w:r w:rsidRPr="00A07A08">
        <w:rPr>
          <w:i/>
        </w:rPr>
        <w:t>Graph 7.</w:t>
      </w:r>
      <w:r>
        <w:rPr>
          <w:i/>
        </w:rPr>
        <w:t>03 no. 29 and 35.</w:t>
      </w:r>
    </w:p>
  </w:footnote>
  <w:footnote w:id="1014">
    <w:p w14:paraId="3138E4D8" w14:textId="77777777" w:rsidR="000E1004" w:rsidRDefault="000E1004" w:rsidP="00854613">
      <w:pPr>
        <w:pStyle w:val="FootnoteText"/>
      </w:pPr>
      <w:r>
        <w:rPr>
          <w:rStyle w:val="FootnoteReference"/>
        </w:rPr>
        <w:footnoteRef/>
      </w:r>
      <w:r>
        <w:t xml:space="preserve"> </w:t>
      </w:r>
      <w:r w:rsidRPr="00397C9A">
        <w:rPr>
          <w:i/>
        </w:rPr>
        <w:t>Pers. comm</w:t>
      </w:r>
      <w:r>
        <w:t>. Tony Laverack, 19</w:t>
      </w:r>
      <w:r w:rsidRPr="00397C9A">
        <w:rPr>
          <w:vertAlign w:val="superscript"/>
        </w:rPr>
        <w:t>th</w:t>
      </w:r>
      <w:r>
        <w:t xml:space="preserve"> March 2015.</w:t>
      </w:r>
    </w:p>
  </w:footnote>
  <w:footnote w:id="1015">
    <w:p w14:paraId="6EB010BA" w14:textId="26B98EC5" w:rsidR="000E1004" w:rsidRDefault="000E1004" w:rsidP="00854613">
      <w:pPr>
        <w:pStyle w:val="FootnoteText"/>
      </w:pPr>
      <w:r>
        <w:rPr>
          <w:rStyle w:val="FootnoteReference"/>
        </w:rPr>
        <w:footnoteRef/>
      </w:r>
      <w:r>
        <w:t xml:space="preserve"> Blair</w:t>
      </w:r>
      <w:r>
        <w:fldChar w:fldCharType="begin"/>
      </w:r>
      <w:r>
        <w:instrText xml:space="preserve"> XE "</w:instrText>
      </w:r>
      <w:r w:rsidRPr="007645AE">
        <w:instrText>Blair</w:instrText>
      </w:r>
      <w:r>
        <w:instrText xml:space="preserve">" </w:instrText>
      </w:r>
      <w:r>
        <w:fldChar w:fldCharType="end"/>
      </w:r>
      <w:r>
        <w:t xml:space="preserve"> (2005, 208). Webster &amp; Backhouse (1991, 69a-w), stated that sixteen styli were found.</w:t>
      </w:r>
    </w:p>
  </w:footnote>
  <w:footnote w:id="1016">
    <w:p w14:paraId="737E9CBD" w14:textId="22DFACA6" w:rsidR="000E1004" w:rsidRPr="00544C35" w:rsidRDefault="000E1004" w:rsidP="00854613">
      <w:pPr>
        <w:pStyle w:val="FootnoteText"/>
      </w:pPr>
      <w:r w:rsidRPr="00544C35">
        <w:rPr>
          <w:rStyle w:val="FootnoteReference"/>
        </w:rPr>
        <w:footnoteRef/>
      </w:r>
      <w:r>
        <w:t xml:space="preserve"> There are </w:t>
      </w:r>
      <w:r w:rsidRPr="00544C35">
        <w:t xml:space="preserve">differences </w:t>
      </w:r>
      <w:r>
        <w:t xml:space="preserve">in the finds listings </w:t>
      </w:r>
      <w:r w:rsidRPr="00544C35">
        <w:t>between EMC</w:t>
      </w:r>
      <w:r>
        <w:fldChar w:fldCharType="begin"/>
      </w:r>
      <w:r>
        <w:instrText xml:space="preserve"> XE "</w:instrText>
      </w:r>
      <w:r w:rsidRPr="007D3069">
        <w:instrText>EMC</w:instrText>
      </w:r>
      <w:r>
        <w:instrText xml:space="preserve">" </w:instrText>
      </w:r>
      <w:r>
        <w:fldChar w:fldCharType="end"/>
      </w:r>
      <w:r>
        <w:t xml:space="preserve"> (</w:t>
      </w:r>
      <w:r w:rsidRPr="00544C35">
        <w:t>based on Blackburn 1993 (Lindsey 87)</w:t>
      </w:r>
      <w:r>
        <w:t>)</w:t>
      </w:r>
      <w:r w:rsidRPr="00544C35">
        <w:t xml:space="preserve">, </w:t>
      </w:r>
      <w:r>
        <w:t>Pirie</w:t>
      </w:r>
      <w:r>
        <w:fldChar w:fldCharType="begin"/>
      </w:r>
      <w:r>
        <w:instrText xml:space="preserve"> XE "</w:instrText>
      </w:r>
      <w:r w:rsidRPr="007D3069">
        <w:instrText>Pirie</w:instrText>
      </w:r>
      <w:r>
        <w:instrText xml:space="preserve">" </w:instrText>
      </w:r>
      <w:r>
        <w:fldChar w:fldCharType="end"/>
      </w:r>
      <w:r>
        <w:t xml:space="preserve"> (2000) </w:t>
      </w:r>
      <w:r w:rsidRPr="00544C35">
        <w:t xml:space="preserve">and Archibald </w:t>
      </w:r>
      <w:r>
        <w:t>(</w:t>
      </w:r>
      <w:r w:rsidRPr="00544C35">
        <w:t xml:space="preserve">Evans and Loveluck, </w:t>
      </w:r>
      <w:r>
        <w:t xml:space="preserve">2009, </w:t>
      </w:r>
      <w:r w:rsidRPr="00544C35">
        <w:t>chapter 13</w:t>
      </w:r>
      <w:r>
        <w:t>)</w:t>
      </w:r>
      <w:r w:rsidRPr="00544C35">
        <w:t>.</w:t>
      </w:r>
      <w:r>
        <w:t xml:space="preserve"> I have relied on the latter.</w:t>
      </w:r>
    </w:p>
  </w:footnote>
  <w:footnote w:id="1017">
    <w:p w14:paraId="5B4FF186" w14:textId="36CA06EC" w:rsidR="000E1004" w:rsidRDefault="000E1004" w:rsidP="00854613">
      <w:pPr>
        <w:pStyle w:val="FootnoteText"/>
      </w:pPr>
      <w:r>
        <w:rPr>
          <w:rStyle w:val="FootnoteReference"/>
        </w:rPr>
        <w:footnoteRef/>
      </w:r>
      <w:r>
        <w:t xml:space="preserve"> Series</w:t>
      </w:r>
      <w:r>
        <w:fldChar w:fldCharType="begin"/>
      </w:r>
      <w:r>
        <w:instrText xml:space="preserve"> XE "</w:instrText>
      </w:r>
      <w:r w:rsidRPr="007645AE">
        <w:instrText>Series</w:instrText>
      </w:r>
      <w:r>
        <w:instrText xml:space="preserve">" </w:instrText>
      </w:r>
      <w:r>
        <w:fldChar w:fldCharType="end"/>
      </w:r>
      <w:r>
        <w:t xml:space="preserve"> D</w:t>
      </w:r>
      <w:r>
        <w:fldChar w:fldCharType="begin"/>
      </w:r>
      <w:r>
        <w:instrText xml:space="preserve"> XE "</w:instrText>
      </w:r>
      <w:r w:rsidRPr="008D02A1">
        <w:rPr>
          <w:szCs w:val="24"/>
        </w:rPr>
        <w:instrText>Series D</w:instrText>
      </w:r>
      <w:r>
        <w:instrText xml:space="preserve">" </w:instrText>
      </w:r>
      <w:r>
        <w:fldChar w:fldCharType="end"/>
      </w:r>
      <w:r>
        <w:t xml:space="preserve"> (2c &amp; 8) and E (3 VICO and 1 variety G2).</w:t>
      </w:r>
    </w:p>
  </w:footnote>
  <w:footnote w:id="1018">
    <w:p w14:paraId="6F1D95A0" w14:textId="28014C55" w:rsidR="000E1004" w:rsidRDefault="000E1004" w:rsidP="00723F6E">
      <w:pPr>
        <w:pStyle w:val="FootnoteText"/>
      </w:pPr>
      <w:r>
        <w:rPr>
          <w:rStyle w:val="FootnoteReference"/>
        </w:rPr>
        <w:footnoteRef/>
      </w:r>
      <w:r>
        <w:t xml:space="preserve"> I.e. types 36, 37 (2), 85 and 72. I attribute the latter to Quentovic</w:t>
      </w:r>
      <w:r w:rsidRPr="00D94C66">
        <w:t xml:space="preserve"> (see putative Étaples </w:t>
      </w:r>
      <w:r>
        <w:t>hoard</w:t>
      </w:r>
      <w:r w:rsidRPr="00D94C66">
        <w:t xml:space="preserve">, </w:t>
      </w:r>
      <w:r w:rsidRPr="00DE573F">
        <w:rPr>
          <w:i/>
        </w:rPr>
        <w:t>Table</w:t>
      </w:r>
      <w:r w:rsidRPr="00DE573F">
        <w:rPr>
          <w:i/>
        </w:rPr>
        <w:fldChar w:fldCharType="begin"/>
      </w:r>
      <w:r>
        <w:instrText xml:space="preserve"> XE "</w:instrText>
      </w:r>
      <w:r w:rsidRPr="00DE573F">
        <w:rPr>
          <w:noProof/>
        </w:rPr>
        <w:instrText>Table</w:instrText>
      </w:r>
      <w:r>
        <w:instrText xml:space="preserve">" </w:instrText>
      </w:r>
      <w:r w:rsidRPr="00DE573F">
        <w:rPr>
          <w:i/>
        </w:rPr>
        <w:fldChar w:fldCharType="end"/>
      </w:r>
      <w:r w:rsidRPr="00DE573F">
        <w:rPr>
          <w:i/>
        </w:rPr>
        <w:t xml:space="preserve"> 5</w:t>
      </w:r>
      <w:r>
        <w:rPr>
          <w:i/>
        </w:rPr>
        <w:t>.13</w:t>
      </w:r>
      <w:r w:rsidRPr="00D94C66">
        <w:t>)</w:t>
      </w:r>
      <w:r>
        <w:t>.</w:t>
      </w:r>
    </w:p>
  </w:footnote>
  <w:footnote w:id="1019">
    <w:p w14:paraId="61BD10B9" w14:textId="737B0F8D" w:rsidR="000E1004" w:rsidRDefault="000E1004" w:rsidP="00854613">
      <w:pPr>
        <w:pStyle w:val="FootnoteText"/>
      </w:pPr>
      <w:r>
        <w:rPr>
          <w:rStyle w:val="FootnoteReference"/>
        </w:rPr>
        <w:footnoteRef/>
      </w:r>
      <w:r>
        <w:t xml:space="preserve"> Respectively, Series</w:t>
      </w:r>
      <w:r>
        <w:fldChar w:fldCharType="begin"/>
      </w:r>
      <w:r>
        <w:instrText xml:space="preserve"> XE "</w:instrText>
      </w:r>
      <w:r w:rsidRPr="007645AE">
        <w:instrText>Series</w:instrText>
      </w:r>
      <w:r>
        <w:instrText xml:space="preserve">" </w:instrText>
      </w:r>
      <w:r>
        <w:fldChar w:fldCharType="end"/>
      </w:r>
      <w:r>
        <w:t xml:space="preserve"> E</w:t>
      </w:r>
      <w:r>
        <w:fldChar w:fldCharType="begin"/>
      </w:r>
      <w:r>
        <w:instrText xml:space="preserve"> XE "</w:instrText>
      </w:r>
      <w:r w:rsidRPr="008D02A1">
        <w:instrText>Series E</w:instrText>
      </w:r>
      <w:r>
        <w:instrText xml:space="preserve">" </w:instrText>
      </w:r>
      <w:r>
        <w:fldChar w:fldCharType="end"/>
      </w:r>
      <w:r>
        <w:t xml:space="preserve"> (9), G (2, one fragmentary, one imitative, both poor) and J, type 72 (1).</w:t>
      </w:r>
    </w:p>
  </w:footnote>
  <w:footnote w:id="1020">
    <w:p w14:paraId="2D3783B7" w14:textId="1599BE5F" w:rsidR="000E1004" w:rsidRDefault="000E1004" w:rsidP="00854613">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(2011 &amp; 2014, 244). A caveat on condition as an indicator of immediate source should be applied.</w:t>
      </w:r>
    </w:p>
  </w:footnote>
  <w:footnote w:id="1021">
    <w:p w14:paraId="45C4DCA5" w14:textId="77777777" w:rsidR="000E1004" w:rsidRDefault="000E1004" w:rsidP="00854613">
      <w:pPr>
        <w:pStyle w:val="FootnoteText"/>
      </w:pPr>
      <w:r>
        <w:rPr>
          <w:rStyle w:val="FootnoteReference"/>
        </w:rPr>
        <w:footnoteRef/>
      </w:r>
      <w:r>
        <w:t xml:space="preserve"> Archibald (2009, 404).</w:t>
      </w:r>
    </w:p>
  </w:footnote>
  <w:footnote w:id="1022">
    <w:p w14:paraId="2C5185A0" w14:textId="4B2840E8" w:rsidR="000E1004" w:rsidRDefault="000E1004" w:rsidP="00854613">
      <w:pPr>
        <w:pStyle w:val="FootnoteText"/>
      </w:pPr>
      <w:r>
        <w:rPr>
          <w:rStyle w:val="FootnoteReference"/>
        </w:rPr>
        <w:footnoteRef/>
      </w:r>
      <w:r>
        <w:t xml:space="preserve">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(2006, 159-70). Note that four of the Series</w:t>
      </w:r>
      <w:r>
        <w:fldChar w:fldCharType="begin"/>
      </w:r>
      <w:r>
        <w:instrText xml:space="preserve"> XE "</w:instrText>
      </w:r>
      <w:r w:rsidRPr="007645AE">
        <w:instrText>Series</w:instrText>
      </w:r>
      <w:r>
        <w:instrText xml:space="preserve">" </w:instrText>
      </w:r>
      <w:r>
        <w:fldChar w:fldCharType="end"/>
      </w:r>
      <w:r>
        <w:t xml:space="preserve"> J types illustrated by Archibald at plates 13.2 and 13.4 are in a good state of preservation.</w:t>
      </w:r>
    </w:p>
  </w:footnote>
  <w:footnote w:id="1023">
    <w:p w14:paraId="4E80233D" w14:textId="5D875883" w:rsidR="000E1004" w:rsidRDefault="000E1004" w:rsidP="00854613">
      <w:pPr>
        <w:pStyle w:val="FootnoteText"/>
      </w:pPr>
      <w:r>
        <w:rPr>
          <w:rStyle w:val="FootnoteReference"/>
        </w:rPr>
        <w:footnoteRef/>
      </w:r>
      <w:r>
        <w:t xml:space="preserve"> The only other Series</w:t>
      </w:r>
      <w:r>
        <w:fldChar w:fldCharType="begin"/>
      </w:r>
      <w:r>
        <w:instrText xml:space="preserve"> XE "</w:instrText>
      </w:r>
      <w:r w:rsidRPr="007645AE">
        <w:instrText>Series</w:instrText>
      </w:r>
      <w:r>
        <w:instrText xml:space="preserve">" </w:instrText>
      </w:r>
      <w:r>
        <w:fldChar w:fldCharType="end"/>
      </w:r>
      <w:r>
        <w:t xml:space="preserve"> included are N and U both of which have distributions from the Thames Valley north to beyond The Wash.</w:t>
      </w:r>
    </w:p>
  </w:footnote>
  <w:footnote w:id="1024">
    <w:p w14:paraId="24D4CC61" w14:textId="51EDCB2D" w:rsidR="000E1004" w:rsidRDefault="000E1004" w:rsidP="00854613">
      <w:pPr>
        <w:pStyle w:val="FootnoteText"/>
      </w:pPr>
      <w:r>
        <w:rPr>
          <w:rStyle w:val="FootnoteReference"/>
        </w:rPr>
        <w:footnoteRef/>
      </w:r>
      <w:r>
        <w:t xml:space="preserve"> The back-marker is probably the Series</w:t>
      </w:r>
      <w:r>
        <w:fldChar w:fldCharType="begin"/>
      </w:r>
      <w:r>
        <w:instrText xml:space="preserve"> XE "</w:instrText>
      </w:r>
      <w:r w:rsidRPr="007645AE">
        <w:instrText>Series</w:instrText>
      </w:r>
      <w:r>
        <w:instrText xml:space="preserve">" </w:instrText>
      </w:r>
      <w:r>
        <w:fldChar w:fldCharType="end"/>
      </w:r>
      <w:r>
        <w:t xml:space="preserve"> R8 sceat</w:t>
      </w:r>
    </w:p>
  </w:footnote>
  <w:footnote w:id="1025">
    <w:p w14:paraId="12B16A53" w14:textId="1B4A49A0" w:rsidR="000E1004" w:rsidRDefault="000E1004" w:rsidP="00854613">
      <w:pPr>
        <w:pStyle w:val="FootnoteText"/>
      </w:pPr>
      <w:r>
        <w:rPr>
          <w:rStyle w:val="FootnoteReference"/>
        </w:rPr>
        <w:footnoteRef/>
      </w:r>
      <w:r>
        <w:t xml:space="preserve"> Archibald (2009, 417-18). Pirie</w:t>
      </w:r>
      <w:r>
        <w:fldChar w:fldCharType="begin"/>
      </w:r>
      <w:r>
        <w:instrText xml:space="preserve"> XE "</w:instrText>
      </w:r>
      <w:r w:rsidRPr="007D3069">
        <w:instrText>Pirie</w:instrText>
      </w:r>
      <w:r>
        <w:instrText xml:space="preserve">" </w:instrText>
      </w:r>
      <w:r>
        <w:fldChar w:fldCharType="end"/>
      </w:r>
      <w:r>
        <w:t xml:space="preserve"> (1987, 127 &amp; 1991). Detectorists in the Beverley</w:t>
      </w:r>
      <w:r>
        <w:fldChar w:fldCharType="begin"/>
      </w:r>
      <w:r>
        <w:instrText xml:space="preserve"> XE "</w:instrText>
      </w:r>
      <w:r w:rsidRPr="004D76A0">
        <w:rPr>
          <w:rStyle w:val="Hyperlink"/>
          <w:noProof/>
        </w:rPr>
        <w:instrText>Beverley</w:instrText>
      </w:r>
      <w:r>
        <w:instrText xml:space="preserve">" </w:instrText>
      </w:r>
      <w:r>
        <w:fldChar w:fldCharType="end"/>
      </w:r>
      <w:r>
        <w:t>-</w:t>
      </w:r>
      <w:r w:rsidR="005F1EAF" w:rsidRPr="005F1EAF">
        <w:t>‘Site C’</w:t>
      </w:r>
      <w:r>
        <w:fldChar w:fldCharType="begin"/>
      </w:r>
      <w:r>
        <w:instrText xml:space="preserve"> XE "</w:instrText>
      </w:r>
      <w:r w:rsidRPr="004D76A0">
        <w:rPr>
          <w:rStyle w:val="Hyperlink"/>
          <w:rFonts w:eastAsia="Times New Roman"/>
          <w:noProof/>
          <w:lang w:eastAsia="en-GB"/>
        </w:rPr>
        <w:instrText>Bolton</w:instrText>
      </w:r>
      <w:r>
        <w:instrText xml:space="preserve">" </w:instrText>
      </w:r>
      <w:r>
        <w:fldChar w:fldCharType="end"/>
      </w:r>
      <w:r>
        <w:t xml:space="preserve"> (Pickering) area report the occurrence of contemporary styca counterfeits. (Martin Moore, </w:t>
      </w:r>
      <w:r w:rsidRPr="00F8675A">
        <w:rPr>
          <w:i/>
        </w:rPr>
        <w:t>pers. comm.</w:t>
      </w:r>
      <w:r>
        <w:t xml:space="preserve"> 7</w:t>
      </w:r>
      <w:r w:rsidRPr="00F8675A">
        <w:rPr>
          <w:vertAlign w:val="superscript"/>
        </w:rPr>
        <w:t>th</w:t>
      </w:r>
      <w:r>
        <w:t xml:space="preserve"> January 2015)</w:t>
      </w:r>
    </w:p>
  </w:footnote>
  <w:footnote w:id="1026">
    <w:p w14:paraId="3B48B7C3" w14:textId="7B100D18" w:rsidR="000E1004" w:rsidRDefault="000E1004" w:rsidP="00854613">
      <w:pPr>
        <w:pStyle w:val="FootnoteText"/>
      </w:pPr>
      <w:r>
        <w:rPr>
          <w:rStyle w:val="FootnoteReference"/>
        </w:rPr>
        <w:footnoteRef/>
      </w:r>
      <w:r>
        <w:t xml:space="preserve"> Minted at Quentovic, perhaps indicating continued contact. Archibald (2009, 405). Specimens are known from elsewhere, such as Kilham</w:t>
      </w:r>
      <w:r>
        <w:fldChar w:fldCharType="begin"/>
      </w:r>
      <w:r>
        <w:instrText xml:space="preserve"> XE "</w:instrText>
      </w:r>
      <w:r w:rsidRPr="004D76A0">
        <w:rPr>
          <w:rStyle w:val="Hyperlink"/>
          <w:noProof/>
        </w:rPr>
        <w:instrText>Kilham</w:instrText>
      </w:r>
      <w:r>
        <w:instrText xml:space="preserve">" </w:instrText>
      </w:r>
      <w:r>
        <w:fldChar w:fldCharType="end"/>
      </w:r>
      <w:r>
        <w:t>. This new type was the precedent for Offa</w:t>
      </w:r>
      <w:r>
        <w:fldChar w:fldCharType="begin"/>
      </w:r>
      <w:r>
        <w:instrText xml:space="preserve"> XE "</w:instrText>
      </w:r>
      <w:r w:rsidRPr="007D3069">
        <w:rPr>
          <w:rFonts w:cs="Times New Roman"/>
        </w:rPr>
        <w:instrText>Offa</w:instrText>
      </w:r>
      <w:r>
        <w:instrText xml:space="preserve">" </w:instrText>
      </w:r>
      <w:r>
        <w:fldChar w:fldCharType="end"/>
      </w:r>
      <w:r>
        <w:t>’s broad penny</w:t>
      </w:r>
      <w:r>
        <w:fldChar w:fldCharType="begin"/>
      </w:r>
      <w:r>
        <w:instrText xml:space="preserve"> XE "</w:instrText>
      </w:r>
      <w:r w:rsidRPr="007645AE">
        <w:instrText>penny</w:instrText>
      </w:r>
      <w:r>
        <w:instrText xml:space="preserve">" </w:instrText>
      </w:r>
      <w:r>
        <w:fldChar w:fldCharType="end"/>
      </w:r>
      <w:r>
        <w:t>.</w:t>
      </w:r>
    </w:p>
  </w:footnote>
  <w:footnote w:id="1027">
    <w:p w14:paraId="6FBE83DC" w14:textId="77777777" w:rsidR="000E1004" w:rsidRDefault="000E1004" w:rsidP="00854613">
      <w:pPr>
        <w:pStyle w:val="FootnoteText"/>
      </w:pPr>
      <w:r>
        <w:rPr>
          <w:rStyle w:val="FootnoteReference"/>
        </w:rPr>
        <w:footnoteRef/>
      </w:r>
      <w:r>
        <w:t xml:space="preserve"> Chick, 7a 57. Moneyer Odd.n?</w:t>
      </w:r>
    </w:p>
  </w:footnote>
  <w:footnote w:id="1028">
    <w:p w14:paraId="7AD58ED2" w14:textId="59FA9220" w:rsidR="000E1004" w:rsidRDefault="000E1004" w:rsidP="00854613">
      <w:pPr>
        <w:pStyle w:val="FootnoteText"/>
      </w:pPr>
      <w:r>
        <w:rPr>
          <w:rStyle w:val="FootnoteReference"/>
        </w:rPr>
        <w:footnoteRef/>
      </w:r>
      <w:r>
        <w:t xml:space="preserve"> These show a dominance of Canterbury issues – five of the eight ninth-century pennies. Similar proportions obtain at Riby Cross Roads</w:t>
      </w:r>
      <w:r>
        <w:fldChar w:fldCharType="begin"/>
      </w:r>
      <w:r>
        <w:instrText xml:space="preserve"> XE "</w:instrText>
      </w:r>
      <w:r w:rsidRPr="00065073">
        <w:rPr>
          <w:rFonts w:eastAsia="Times New Roman" w:cs="Times New Roman"/>
          <w:color w:val="000000" w:themeColor="text1"/>
          <w:szCs w:val="24"/>
          <w:lang w:eastAsia="en-GB"/>
        </w:rPr>
        <w:instrText>Riby Cross Roads</w:instrText>
      </w:r>
      <w:r>
        <w:instrText xml:space="preserve">" </w:instrText>
      </w:r>
      <w:r>
        <w:fldChar w:fldCharType="end"/>
      </w:r>
      <w:r>
        <w:t xml:space="preserve"> (Steedman 1994, 212), where local detectorist Mike O’Bee (</w:t>
      </w:r>
      <w:r w:rsidRPr="00691D9C">
        <w:rPr>
          <w:i/>
        </w:rPr>
        <w:t>pers</w:t>
      </w:r>
      <w:r>
        <w:t xml:space="preserve">. </w:t>
      </w:r>
      <w:r w:rsidRPr="00691D9C">
        <w:rPr>
          <w:i/>
        </w:rPr>
        <w:t>comm</w:t>
      </w:r>
      <w:r>
        <w:t>. 4</w:t>
      </w:r>
      <w:r w:rsidRPr="00691D9C">
        <w:rPr>
          <w:vertAlign w:val="superscript"/>
        </w:rPr>
        <w:t>th</w:t>
      </w:r>
      <w:r>
        <w:t xml:space="preserve"> February 2016) reports 13 of 21 ninth-century pennies to be from Canterbury among a spread of finds from Merovingian tremisses through to a penny of Alfred. EMC extends this into the medieval period and includes three sceats of Aldfrith (one pristine).</w:t>
      </w:r>
    </w:p>
  </w:footnote>
  <w:footnote w:id="1029">
    <w:p w14:paraId="6DD510E3" w14:textId="77777777" w:rsidR="000E1004" w:rsidRDefault="000E1004" w:rsidP="00854613">
      <w:pPr>
        <w:pStyle w:val="FootnoteText"/>
      </w:pPr>
      <w:r>
        <w:rPr>
          <w:rStyle w:val="FootnoteReference"/>
        </w:rPr>
        <w:footnoteRef/>
      </w:r>
      <w:r>
        <w:t xml:space="preserve"> Archibald (2009, 406).</w:t>
      </w:r>
    </w:p>
  </w:footnote>
  <w:footnote w:id="1030">
    <w:p w14:paraId="21F5C562" w14:textId="0BC4E8C7" w:rsidR="000E1004" w:rsidRDefault="000E1004" w:rsidP="00854613">
      <w:pPr>
        <w:pStyle w:val="FootnoteText"/>
      </w:pPr>
      <w:r>
        <w:rPr>
          <w:rStyle w:val="FootnoteReference"/>
        </w:rPr>
        <w:footnoteRef/>
      </w:r>
      <w:r>
        <w:t xml:space="preserve"> Only twelve of the 193 coins in the south are not from South Newbald</w:t>
      </w:r>
      <w:r>
        <w:fldChar w:fldCharType="begin"/>
      </w:r>
      <w:r>
        <w:instrText xml:space="preserve"> XE "</w:instrText>
      </w:r>
      <w:r w:rsidRPr="004D76A0">
        <w:rPr>
          <w:rStyle w:val="Hyperlink"/>
          <w:noProof/>
        </w:rPr>
        <w:instrText>South Newbald</w:instrText>
      </w:r>
      <w:r>
        <w:instrText xml:space="preserve">" </w:instrText>
      </w:r>
      <w:r>
        <w:fldChar w:fldCharType="end"/>
      </w:r>
      <w:r>
        <w:t>.</w:t>
      </w:r>
    </w:p>
  </w:footnote>
  <w:footnote w:id="1031">
    <w:p w14:paraId="6CA2103F" w14:textId="25773B6A" w:rsidR="000E1004" w:rsidRDefault="000E1004" w:rsidP="00854613">
      <w:pPr>
        <w:pStyle w:val="FootnoteText"/>
      </w:pPr>
      <w:r>
        <w:rPr>
          <w:rStyle w:val="FootnoteReference"/>
        </w:rPr>
        <w:footnoteRef/>
      </w:r>
      <w:r>
        <w:t xml:space="preserve"> I have associated the Newbald of the artefactual database with the South Newbald</w:t>
      </w:r>
      <w:r>
        <w:fldChar w:fldCharType="begin"/>
      </w:r>
      <w:r>
        <w:instrText xml:space="preserve"> XE "</w:instrText>
      </w:r>
      <w:r w:rsidRPr="004D76A0">
        <w:rPr>
          <w:rStyle w:val="Hyperlink"/>
          <w:noProof/>
        </w:rPr>
        <w:instrText>South Newbald</w:instrText>
      </w:r>
      <w:r>
        <w:instrText xml:space="preserve">" </w:instrText>
      </w:r>
      <w:r>
        <w:fldChar w:fldCharType="end"/>
      </w:r>
      <w:r>
        <w:t xml:space="preserve"> of the numismatic database.</w:t>
      </w:r>
    </w:p>
  </w:footnote>
  <w:footnote w:id="1032">
    <w:p w14:paraId="20564450" w14:textId="77777777" w:rsidR="000E1004" w:rsidRDefault="000E1004" w:rsidP="00854613">
      <w:pPr>
        <w:pStyle w:val="FootnoteText"/>
      </w:pPr>
      <w:r>
        <w:rPr>
          <w:rStyle w:val="FootnoteReference"/>
        </w:rPr>
        <w:footnoteRef/>
      </w:r>
      <w:r>
        <w:t xml:space="preserve"> Including </w:t>
      </w:r>
      <w:r>
        <w:rPr>
          <w:szCs w:val="24"/>
        </w:rPr>
        <w:t>pins, strap ends and buckles - five of each - and ten brooches.</w:t>
      </w:r>
    </w:p>
  </w:footnote>
  <w:footnote w:id="1033">
    <w:p w14:paraId="28877B9E" w14:textId="410C4A4F" w:rsidR="000E1004" w:rsidRDefault="000E1004" w:rsidP="00854613">
      <w:pPr>
        <w:pStyle w:val="FootnoteText"/>
      </w:pPr>
      <w:r>
        <w:rPr>
          <w:rStyle w:val="FootnoteReference"/>
        </w:rPr>
        <w:footnoteRef/>
      </w:r>
      <w:r>
        <w:t xml:space="preserve"> Most are convincingly described others may be gaming pieces. The spread does not cluster around specific weights</w:t>
      </w:r>
      <w:r>
        <w:fldChar w:fldCharType="begin"/>
      </w:r>
      <w:r>
        <w:instrText xml:space="preserve"> XE "</w:instrText>
      </w:r>
      <w:r w:rsidRPr="00F1328A">
        <w:rPr>
          <w:rStyle w:val="Hyperlink"/>
          <w:noProof/>
        </w:rPr>
        <w:instrText>weights</w:instrText>
      </w:r>
      <w:r>
        <w:instrText xml:space="preserve">" </w:instrText>
      </w:r>
      <w:r>
        <w:fldChar w:fldCharType="end"/>
      </w:r>
      <w:r>
        <w:t xml:space="preserve">, as would be expected in a standardized system. See </w:t>
      </w:r>
      <w:r>
        <w:rPr>
          <w:i/>
        </w:rPr>
        <w:t>fn.</w:t>
      </w:r>
      <w:r>
        <w:t xml:space="preserve"> </w:t>
      </w:r>
      <w:r>
        <w:fldChar w:fldCharType="begin"/>
      </w:r>
      <w:r>
        <w:instrText xml:space="preserve"> NOTEREF _Ref443892427 \h </w:instrText>
      </w:r>
      <w:r>
        <w:fldChar w:fldCharType="separate"/>
      </w:r>
      <w:r w:rsidR="0012026B">
        <w:t>294</w:t>
      </w:r>
      <w:r>
        <w:fldChar w:fldCharType="end"/>
      </w:r>
      <w:r>
        <w:t>.</w:t>
      </w:r>
    </w:p>
  </w:footnote>
  <w:footnote w:id="1034">
    <w:p w14:paraId="709E2BF8" w14:textId="77777777" w:rsidR="000E1004" w:rsidRDefault="000E1004" w:rsidP="00854613">
      <w:pPr>
        <w:pStyle w:val="FootnoteText"/>
      </w:pPr>
      <w:r>
        <w:rPr>
          <w:rStyle w:val="FootnoteReference"/>
        </w:rPr>
        <w:footnoteRef/>
      </w:r>
      <w:r>
        <w:t xml:space="preserve"> </w:t>
      </w:r>
      <w:r w:rsidRPr="00716F3B">
        <w:rPr>
          <w:i/>
        </w:rPr>
        <w:t>cf</w:t>
      </w:r>
      <w:r>
        <w:t xml:space="preserve">. </w:t>
      </w:r>
      <w:r w:rsidRPr="00A91836">
        <w:rPr>
          <w:i/>
        </w:rPr>
        <w:t>c</w:t>
      </w:r>
      <w:r>
        <w:t>.7000 pieces of iron from Ryther.</w:t>
      </w:r>
    </w:p>
  </w:footnote>
  <w:footnote w:id="1035">
    <w:p w14:paraId="3BB3CA5B" w14:textId="6CC152E2" w:rsidR="000E1004" w:rsidRPr="00944F5B" w:rsidRDefault="000E1004" w:rsidP="00944F5B">
      <w:pPr>
        <w:pStyle w:val="NoSpacing"/>
        <w:spacing w:line="276" w:lineRule="auto"/>
        <w:rPr>
          <w:szCs w:val="24"/>
        </w:rPr>
      </w:pPr>
      <w:r w:rsidRPr="006865FF">
        <w:rPr>
          <w:rStyle w:val="FootnoteReference"/>
          <w:sz w:val="20"/>
          <w:szCs w:val="20"/>
        </w:rPr>
        <w:footnoteRef/>
      </w:r>
      <w:r w:rsidRPr="006865FF">
        <w:rPr>
          <w:sz w:val="20"/>
          <w:szCs w:val="20"/>
        </w:rPr>
        <w:t xml:space="preserve"> </w:t>
      </w:r>
      <w:r w:rsidRPr="00944F5B">
        <w:rPr>
          <w:i/>
          <w:sz w:val="20"/>
          <w:szCs w:val="20"/>
        </w:rPr>
        <w:t>Table</w:t>
      </w:r>
      <w:r w:rsidRPr="00944F5B">
        <w:rPr>
          <w:i/>
          <w:sz w:val="20"/>
          <w:szCs w:val="20"/>
        </w:rPr>
        <w:fldChar w:fldCharType="begin"/>
      </w:r>
      <w:r w:rsidRPr="00944F5B">
        <w:rPr>
          <w:sz w:val="20"/>
          <w:szCs w:val="20"/>
        </w:rPr>
        <w:instrText xml:space="preserve"> XE "</w:instrText>
      </w:r>
      <w:r w:rsidRPr="00944F5B">
        <w:rPr>
          <w:noProof/>
          <w:sz w:val="20"/>
          <w:szCs w:val="20"/>
        </w:rPr>
        <w:instrText>Table</w:instrText>
      </w:r>
      <w:r w:rsidRPr="00944F5B">
        <w:rPr>
          <w:sz w:val="20"/>
          <w:szCs w:val="20"/>
        </w:rPr>
        <w:instrText xml:space="preserve">" </w:instrText>
      </w:r>
      <w:r w:rsidRPr="00944F5B">
        <w:rPr>
          <w:i/>
          <w:sz w:val="20"/>
          <w:szCs w:val="20"/>
        </w:rPr>
        <w:fldChar w:fldCharType="end"/>
      </w:r>
      <w:r w:rsidRPr="00944F5B">
        <w:rPr>
          <w:i/>
          <w:sz w:val="20"/>
          <w:szCs w:val="20"/>
        </w:rPr>
        <w:t xml:space="preserve"> </w:t>
      </w:r>
      <w:r>
        <w:rPr>
          <w:i/>
          <w:sz w:val="20"/>
          <w:szCs w:val="20"/>
        </w:rPr>
        <w:t>8.20</w:t>
      </w:r>
      <w:r w:rsidRPr="00944F5B">
        <w:rPr>
          <w:sz w:val="20"/>
          <w:szCs w:val="20"/>
        </w:rPr>
        <w:t xml:space="preserve"> compares fastener types across the Wolds</w:t>
      </w:r>
      <w:r w:rsidRPr="00944F5B">
        <w:rPr>
          <w:sz w:val="20"/>
          <w:szCs w:val="20"/>
        </w:rPr>
        <w:fldChar w:fldCharType="begin"/>
      </w:r>
      <w:r w:rsidRPr="00944F5B">
        <w:rPr>
          <w:sz w:val="20"/>
          <w:szCs w:val="20"/>
        </w:rPr>
        <w:instrText xml:space="preserve"> XE "</w:instrText>
      </w:r>
      <w:r w:rsidRPr="00944F5B">
        <w:rPr>
          <w:rStyle w:val="Hyperlink"/>
          <w:rFonts w:cs="Times New Roman"/>
          <w:noProof/>
          <w:sz w:val="20"/>
          <w:szCs w:val="20"/>
        </w:rPr>
        <w:instrText>Wolds</w:instrText>
      </w:r>
      <w:r w:rsidRPr="00944F5B">
        <w:rPr>
          <w:sz w:val="20"/>
          <w:szCs w:val="20"/>
        </w:rPr>
        <w:instrText xml:space="preserve">" </w:instrText>
      </w:r>
      <w:r w:rsidRPr="00944F5B">
        <w:rPr>
          <w:sz w:val="20"/>
          <w:szCs w:val="20"/>
        </w:rPr>
        <w:fldChar w:fldCharType="end"/>
      </w:r>
      <w:r w:rsidRPr="00944F5B">
        <w:rPr>
          <w:sz w:val="20"/>
          <w:szCs w:val="20"/>
        </w:rPr>
        <w:t>, with the west favouring pins and strap ends.</w:t>
      </w:r>
      <w:r>
        <w:rPr>
          <w:szCs w:val="24"/>
        </w:rPr>
        <w:t xml:space="preserve"> </w:t>
      </w:r>
    </w:p>
  </w:footnote>
  <w:footnote w:id="1036">
    <w:p w14:paraId="7FDB0B46" w14:textId="5540D5CF" w:rsidR="000E1004" w:rsidRDefault="000E1004" w:rsidP="00071F47">
      <w:pPr>
        <w:pStyle w:val="FootnoteText"/>
      </w:pPr>
      <w:r>
        <w:rPr>
          <w:rStyle w:val="FootnoteReference"/>
        </w:rPr>
        <w:footnoteRef/>
      </w:r>
      <w:r>
        <w:t xml:space="preserve"> In compiling his corpus of finds and identifying the ‘North of England ‘productive site’’ as Sledmere</w:t>
      </w:r>
      <w:r>
        <w:fldChar w:fldCharType="begin"/>
      </w:r>
      <w:r>
        <w:instrText xml:space="preserve"> XE "</w:instrText>
      </w:r>
      <w:r w:rsidRPr="004D76A0">
        <w:rPr>
          <w:rStyle w:val="Hyperlink"/>
          <w:noProof/>
        </w:rPr>
        <w:instrText>Sledmere</w:instrText>
      </w:r>
      <w:r>
        <w:instrText xml:space="preserve">" </w:instrText>
      </w:r>
      <w:r>
        <w:fldChar w:fldCharType="end"/>
      </w:r>
      <w:r>
        <w:t xml:space="preserve"> Bonser (2011, 159-180) opined that over 1,000 coins have been found and remarks on the surprisingly small proportion of local issues.</w:t>
      </w:r>
    </w:p>
  </w:footnote>
  <w:footnote w:id="1037">
    <w:p w14:paraId="114C7DD6" w14:textId="61A716AA" w:rsidR="000E1004" w:rsidRDefault="000E1004" w:rsidP="00071F47">
      <w:pPr>
        <w:pStyle w:val="FootnoteText"/>
      </w:pPr>
      <w:r>
        <w:rPr>
          <w:rStyle w:val="FootnoteReference"/>
        </w:rPr>
        <w:footnoteRef/>
      </w:r>
      <w:r>
        <w:t xml:space="preserve"> Bonser (1997, 43-4).</w:t>
      </w:r>
    </w:p>
  </w:footnote>
  <w:footnote w:id="1038">
    <w:p w14:paraId="3E842288" w14:textId="31831309" w:rsidR="000E1004" w:rsidRDefault="000E1004" w:rsidP="00071F47">
      <w:pPr>
        <w:pStyle w:val="FootnoteText"/>
      </w:pPr>
      <w:r>
        <w:rPr>
          <w:rStyle w:val="FootnoteReference"/>
        </w:rPr>
        <w:footnoteRef/>
      </w:r>
      <w:r>
        <w:t xml:space="preserve"> Bonser </w:t>
      </w:r>
      <w:r>
        <w:rPr>
          <w:szCs w:val="24"/>
        </w:rPr>
        <w:t>(2011, 159-80).</w:t>
      </w:r>
    </w:p>
  </w:footnote>
  <w:footnote w:id="1039">
    <w:p w14:paraId="6E2D8030" w14:textId="77777777" w:rsidR="000E1004" w:rsidRDefault="000E1004" w:rsidP="00071F47">
      <w:pPr>
        <w:pStyle w:val="FootnoteText"/>
      </w:pPr>
      <w:r>
        <w:rPr>
          <w:rStyle w:val="FootnoteReference"/>
        </w:rPr>
        <w:footnoteRef/>
      </w:r>
      <w:r>
        <w:t xml:space="preserve"> Detector information pinpoints the most prolific fields for sceats on the right of Limekiln Hill, B1252, 1.1 – 1.3 miles south-east of Sledmere</w:t>
      </w:r>
      <w:r>
        <w:fldChar w:fldCharType="begin"/>
      </w:r>
      <w:r>
        <w:instrText xml:space="preserve"> XE "</w:instrText>
      </w:r>
      <w:r w:rsidRPr="004D76A0">
        <w:rPr>
          <w:rStyle w:val="Hyperlink"/>
          <w:noProof/>
        </w:rPr>
        <w:instrText>Sledmere</w:instrText>
      </w:r>
      <w:r>
        <w:instrText xml:space="preserve">" </w:instrText>
      </w:r>
      <w:r>
        <w:fldChar w:fldCharType="end"/>
      </w:r>
      <w:r>
        <w:t xml:space="preserve"> House.</w:t>
      </w:r>
    </w:p>
  </w:footnote>
  <w:footnote w:id="1040">
    <w:p w14:paraId="629BA7E6" w14:textId="1F984937" w:rsidR="000E1004" w:rsidRDefault="000E1004" w:rsidP="00071F47">
      <w:pPr>
        <w:pStyle w:val="FootnoteText"/>
      </w:pPr>
      <w:r>
        <w:rPr>
          <w:rStyle w:val="FootnoteReference"/>
        </w:rPr>
        <w:footnoteRef/>
      </w:r>
      <w:r>
        <w:t xml:space="preserve"> Unfortunately, the illustrations in </w:t>
      </w:r>
      <w:r w:rsidRPr="00A9424F">
        <w:t>Bonser</w:t>
      </w:r>
      <w:r>
        <w:t xml:space="preserve"> (2011, 180, pl. 4b) are incorrectly captioned. The catalogue is correct.</w:t>
      </w:r>
    </w:p>
  </w:footnote>
  <w:footnote w:id="1041">
    <w:p w14:paraId="08850324" w14:textId="77777777" w:rsidR="000E1004" w:rsidRPr="00C65D0A" w:rsidRDefault="000E1004" w:rsidP="00071F47">
      <w:pPr>
        <w:pStyle w:val="FootnoteText"/>
        <w:rPr>
          <w:rFonts w:cs="Times New Roman"/>
        </w:rPr>
      </w:pPr>
      <w:r w:rsidRPr="00C65D0A">
        <w:rPr>
          <w:rStyle w:val="FootnoteReference"/>
          <w:rFonts w:cs="Times New Roman"/>
        </w:rPr>
        <w:footnoteRef/>
      </w:r>
      <w:r w:rsidRPr="00C65D0A">
        <w:rPr>
          <w:rFonts w:cs="Times New Roman"/>
        </w:rPr>
        <w:t xml:space="preserve"> Leeds University IMS Open Lecture Series</w:t>
      </w:r>
      <w:r>
        <w:rPr>
          <w:rFonts w:cs="Times New Roman"/>
        </w:rPr>
        <w:fldChar w:fldCharType="begin"/>
      </w:r>
      <w:r>
        <w:instrText xml:space="preserve"> XE "</w:instrText>
      </w:r>
      <w:r w:rsidRPr="007645AE">
        <w:instrText>Series</w:instrText>
      </w:r>
      <w:r>
        <w:instrText xml:space="preserve">" </w:instrText>
      </w:r>
      <w:r>
        <w:rPr>
          <w:rFonts w:cs="Times New Roman"/>
        </w:rPr>
        <w:fldChar w:fldCharType="end"/>
      </w:r>
      <w:r>
        <w:rPr>
          <w:rFonts w:cs="Times New Roman"/>
        </w:rPr>
        <w:t>: Professor</w:t>
      </w:r>
      <w:r w:rsidRPr="00C65D0A">
        <w:rPr>
          <w:rFonts w:cs="Times New Roman"/>
        </w:rPr>
        <w:t xml:space="preserve"> Christopher Scull, 'Rendlesham Re-Discovered: An East Anglian</w:t>
      </w:r>
      <w:r>
        <w:rPr>
          <w:rFonts w:cs="Times New Roman"/>
        </w:rPr>
        <w:fldChar w:fldCharType="begin"/>
      </w:r>
      <w:r>
        <w:instrText xml:space="preserve"> XE "</w:instrText>
      </w:r>
      <w:r w:rsidRPr="007645AE">
        <w:instrText>Anglian</w:instrText>
      </w:r>
      <w:r>
        <w:instrText xml:space="preserve">" </w:instrText>
      </w:r>
      <w:r>
        <w:rPr>
          <w:rFonts w:cs="Times New Roman"/>
        </w:rPr>
        <w:fldChar w:fldCharType="end"/>
      </w:r>
      <w:r w:rsidRPr="00C65D0A">
        <w:rPr>
          <w:rFonts w:cs="Times New Roman"/>
        </w:rPr>
        <w:t xml:space="preserve"> Royal Centre of the Time of Sutton Hoo', 7 October, 2014.</w:t>
      </w:r>
    </w:p>
  </w:footnote>
  <w:footnote w:id="1042">
    <w:p w14:paraId="71D634B9" w14:textId="27704CEF" w:rsidR="000E1004" w:rsidRPr="005F6E93" w:rsidRDefault="000E1004" w:rsidP="00071F47">
      <w:pPr>
        <w:pStyle w:val="NoSpacing"/>
        <w:rPr>
          <w:sz w:val="20"/>
          <w:szCs w:val="20"/>
        </w:rPr>
      </w:pPr>
      <w:r w:rsidRPr="00C65D0A">
        <w:rPr>
          <w:rStyle w:val="FootnoteReference"/>
          <w:rFonts w:eastAsiaTheme="majorEastAsia" w:cs="Times New Roman"/>
        </w:rPr>
        <w:footnoteRef/>
      </w:r>
      <w:r w:rsidRPr="00C65D0A">
        <w:t xml:space="preserve"> </w:t>
      </w:r>
      <w:r>
        <w:t xml:space="preserve">In </w:t>
      </w:r>
      <w:r w:rsidRPr="00A9424F">
        <w:rPr>
          <w:sz w:val="20"/>
          <w:szCs w:val="20"/>
        </w:rPr>
        <w:t>Bonser</w:t>
      </w:r>
      <w:r w:rsidRPr="003A7752">
        <w:rPr>
          <w:sz w:val="20"/>
          <w:szCs w:val="20"/>
        </w:rPr>
        <w:t xml:space="preserve"> (2011, 161), implying that there may have been some disinformation. Detecting myth holds ‘a silver ‘plaque’ had been found with an image of Archbishop Wulfhere</w:t>
      </w:r>
      <w:r w:rsidRPr="003A7752">
        <w:rPr>
          <w:sz w:val="20"/>
          <w:szCs w:val="20"/>
        </w:rPr>
        <w:fldChar w:fldCharType="begin"/>
      </w:r>
      <w:r w:rsidRPr="003A7752">
        <w:rPr>
          <w:sz w:val="20"/>
          <w:szCs w:val="20"/>
        </w:rPr>
        <w:instrText xml:space="preserve"> XE "Wulfhere" </w:instrText>
      </w:r>
      <w:r w:rsidRPr="003A7752">
        <w:rPr>
          <w:sz w:val="20"/>
          <w:szCs w:val="20"/>
        </w:rPr>
        <w:fldChar w:fldCharType="end"/>
      </w:r>
      <w:r w:rsidRPr="003A7752">
        <w:rPr>
          <w:sz w:val="20"/>
          <w:szCs w:val="20"/>
        </w:rPr>
        <w:t xml:space="preserve"> or Wigmund</w:t>
      </w:r>
      <w:r w:rsidRPr="003A7752">
        <w:rPr>
          <w:sz w:val="20"/>
          <w:szCs w:val="20"/>
        </w:rPr>
        <w:fldChar w:fldCharType="begin"/>
      </w:r>
      <w:r w:rsidRPr="003A7752">
        <w:rPr>
          <w:sz w:val="20"/>
          <w:szCs w:val="20"/>
        </w:rPr>
        <w:instrText xml:space="preserve"> XE "Wigmund" </w:instrText>
      </w:r>
      <w:r w:rsidRPr="003A7752">
        <w:rPr>
          <w:sz w:val="20"/>
          <w:szCs w:val="20"/>
        </w:rPr>
        <w:fldChar w:fldCharType="end"/>
      </w:r>
      <w:r w:rsidRPr="003A7752">
        <w:rPr>
          <w:sz w:val="20"/>
          <w:szCs w:val="20"/>
        </w:rPr>
        <w:t xml:space="preserve"> on it’ (</w:t>
      </w:r>
      <w:r w:rsidRPr="003A7752">
        <w:rPr>
          <w:i/>
          <w:sz w:val="20"/>
          <w:szCs w:val="20"/>
        </w:rPr>
        <w:t>pers comm.</w:t>
      </w:r>
      <w:r w:rsidRPr="003A7752">
        <w:rPr>
          <w:sz w:val="20"/>
          <w:szCs w:val="20"/>
        </w:rPr>
        <w:t xml:space="preserve"> 01/07/15).</w:t>
      </w:r>
    </w:p>
  </w:footnote>
  <w:footnote w:id="1043">
    <w:p w14:paraId="41B18356" w14:textId="77777777" w:rsidR="000E1004" w:rsidRDefault="000E1004" w:rsidP="00071F47">
      <w:pPr>
        <w:pStyle w:val="FootnoteText"/>
      </w:pPr>
      <w:r>
        <w:rPr>
          <w:rStyle w:val="FootnoteReference"/>
        </w:rPr>
        <w:footnoteRef/>
      </w:r>
      <w:r>
        <w:t xml:space="preserve"> </w:t>
      </w:r>
      <w:r>
        <w:rPr>
          <w:szCs w:val="24"/>
        </w:rPr>
        <w:t>Having personally contributed to this collation, I am not confident that the provenances given me by detectorists were reliable.</w:t>
      </w:r>
    </w:p>
  </w:footnote>
  <w:footnote w:id="1044">
    <w:p w14:paraId="520843E5" w14:textId="77777777" w:rsidR="000E1004" w:rsidRDefault="000E1004" w:rsidP="00071F47">
      <w:pPr>
        <w:pStyle w:val="FootnoteText"/>
      </w:pPr>
      <w:r>
        <w:rPr>
          <w:rStyle w:val="FootnoteReference"/>
        </w:rPr>
        <w:footnoteRef/>
      </w:r>
      <w:r>
        <w:t xml:space="preserve"> Haldenby &amp; Richards (2010 &amp; forthcoming).</w:t>
      </w:r>
    </w:p>
  </w:footnote>
  <w:footnote w:id="1045">
    <w:p w14:paraId="2221973D" w14:textId="77777777" w:rsidR="000E1004" w:rsidRDefault="000E1004" w:rsidP="00071F47">
      <w:pPr>
        <w:pStyle w:val="NoSpacing"/>
      </w:pPr>
      <w:r w:rsidRPr="005F6E93">
        <w:rPr>
          <w:rStyle w:val="FootnoteReference"/>
          <w:sz w:val="20"/>
          <w:szCs w:val="20"/>
        </w:rPr>
        <w:footnoteRef/>
      </w:r>
      <w:r w:rsidRPr="005F6E93">
        <w:rPr>
          <w:sz w:val="20"/>
          <w:szCs w:val="20"/>
        </w:rPr>
        <w:t xml:space="preserve"> Richards (1999a, 91).</w:t>
      </w:r>
    </w:p>
  </w:footnote>
  <w:footnote w:id="1046">
    <w:p w14:paraId="7DB3B9FA" w14:textId="77777777" w:rsidR="000E1004" w:rsidRDefault="000E1004" w:rsidP="00071F47">
      <w:pPr>
        <w:pStyle w:val="FootnoteText"/>
      </w:pPr>
      <w:r>
        <w:rPr>
          <w:rStyle w:val="FootnoteReference"/>
        </w:rPr>
        <w:footnoteRef/>
      </w:r>
      <w:r>
        <w:t xml:space="preserve"> In this case Dave Haldenby. Most detectorists are diligent; few are so scrupulous in their reporting.</w:t>
      </w:r>
    </w:p>
  </w:footnote>
  <w:footnote w:id="1047">
    <w:p w14:paraId="7D17BE90" w14:textId="0136ADDF" w:rsidR="000E1004" w:rsidRDefault="000E1004">
      <w:pPr>
        <w:pStyle w:val="FootnoteText"/>
      </w:pPr>
      <w:r>
        <w:rPr>
          <w:rStyle w:val="FootnoteReference"/>
        </w:rPr>
        <w:footnoteRef/>
      </w:r>
      <w:r>
        <w:t xml:space="preserve"> </w:t>
      </w:r>
      <w:r>
        <w:rPr>
          <w:rFonts w:eastAsia="Times New Roman" w:cs="Times New Roman"/>
          <w:iCs/>
          <w:szCs w:val="24"/>
          <w:lang w:eastAsia="en-GB"/>
        </w:rPr>
        <w:t>From 20-30 centimetres of plough-soil.</w:t>
      </w:r>
    </w:p>
  </w:footnote>
  <w:footnote w:id="1048">
    <w:p w14:paraId="72F29C36" w14:textId="77777777" w:rsidR="000E1004" w:rsidRPr="00952147" w:rsidRDefault="000E1004" w:rsidP="00071F47">
      <w:pPr>
        <w:pStyle w:val="NoSpacing"/>
        <w:spacing w:line="276" w:lineRule="auto"/>
        <w:rPr>
          <w:rFonts w:eastAsia="Times New Roman" w:cs="Times New Roman"/>
          <w:iCs/>
          <w:szCs w:val="24"/>
          <w:lang w:eastAsia="en-GB"/>
        </w:rPr>
      </w:pPr>
      <w:r>
        <w:rPr>
          <w:rStyle w:val="FootnoteReference"/>
        </w:rPr>
        <w:footnoteRef/>
      </w:r>
      <w:r>
        <w:t xml:space="preserve"> </w:t>
      </w:r>
      <w:r w:rsidRPr="00952147">
        <w:rPr>
          <w:sz w:val="20"/>
          <w:szCs w:val="20"/>
        </w:rPr>
        <w:t xml:space="preserve">There is </w:t>
      </w:r>
      <w:r>
        <w:rPr>
          <w:sz w:val="20"/>
          <w:szCs w:val="20"/>
        </w:rPr>
        <w:t>some c</w:t>
      </w:r>
      <w:r w:rsidRPr="00952147">
        <w:rPr>
          <w:rFonts w:eastAsia="Times New Roman" w:cs="Times New Roman"/>
          <w:iCs/>
          <w:sz w:val="20"/>
          <w:szCs w:val="20"/>
          <w:lang w:eastAsia="en-GB"/>
        </w:rPr>
        <w:t xml:space="preserve">onfusion in </w:t>
      </w:r>
      <w:r>
        <w:rPr>
          <w:rFonts w:eastAsia="Times New Roman" w:cs="Times New Roman"/>
          <w:iCs/>
          <w:sz w:val="20"/>
          <w:szCs w:val="20"/>
          <w:lang w:eastAsia="en-GB"/>
        </w:rPr>
        <w:t xml:space="preserve">the </w:t>
      </w:r>
      <w:r w:rsidRPr="00952147">
        <w:rPr>
          <w:rFonts w:eastAsia="Times New Roman" w:cs="Times New Roman"/>
          <w:iCs/>
          <w:sz w:val="20"/>
          <w:szCs w:val="20"/>
          <w:lang w:eastAsia="en-GB"/>
        </w:rPr>
        <w:t xml:space="preserve">database </w:t>
      </w:r>
      <w:r>
        <w:rPr>
          <w:rFonts w:eastAsia="Times New Roman" w:cs="Times New Roman"/>
          <w:iCs/>
          <w:sz w:val="20"/>
          <w:szCs w:val="20"/>
          <w:lang w:eastAsia="en-GB"/>
        </w:rPr>
        <w:t>as EMC</w:t>
      </w:r>
      <w:r>
        <w:rPr>
          <w:rFonts w:eastAsia="Times New Roman" w:cs="Times New Roman"/>
          <w:iCs/>
          <w:sz w:val="20"/>
          <w:szCs w:val="20"/>
          <w:lang w:eastAsia="en-GB"/>
        </w:rPr>
        <w:fldChar w:fldCharType="begin"/>
      </w:r>
      <w:r>
        <w:instrText xml:space="preserve"> XE "</w:instrText>
      </w:r>
      <w:r w:rsidRPr="007D3069">
        <w:instrText>EMC</w:instrText>
      </w:r>
      <w:r>
        <w:instrText xml:space="preserve">" </w:instrText>
      </w:r>
      <w:r>
        <w:rPr>
          <w:rFonts w:eastAsia="Times New Roman" w:cs="Times New Roman"/>
          <w:iCs/>
          <w:sz w:val="20"/>
          <w:szCs w:val="20"/>
          <w:lang w:eastAsia="en-GB"/>
        </w:rPr>
        <w:fldChar w:fldCharType="end"/>
      </w:r>
      <w:r>
        <w:rPr>
          <w:rFonts w:eastAsia="Times New Roman" w:cs="Times New Roman"/>
          <w:iCs/>
          <w:sz w:val="20"/>
          <w:szCs w:val="20"/>
          <w:lang w:eastAsia="en-GB"/>
        </w:rPr>
        <w:t xml:space="preserve"> lists</w:t>
      </w:r>
      <w:r w:rsidRPr="00952147">
        <w:rPr>
          <w:rFonts w:eastAsia="Times New Roman" w:cs="Times New Roman"/>
          <w:iCs/>
          <w:sz w:val="20"/>
          <w:szCs w:val="20"/>
          <w:lang w:eastAsia="en-GB"/>
        </w:rPr>
        <w:t xml:space="preserve"> Cowlam</w:t>
      </w:r>
      <w:r>
        <w:rPr>
          <w:rFonts w:eastAsia="Times New Roman" w:cs="Times New Roman"/>
          <w:iCs/>
          <w:sz w:val="20"/>
          <w:szCs w:val="20"/>
          <w:lang w:eastAsia="en-GB"/>
        </w:rPr>
        <w:fldChar w:fldCharType="begin"/>
      </w:r>
      <w:r>
        <w:instrText xml:space="preserve"> XE "</w:instrText>
      </w:r>
      <w:r w:rsidRPr="004D76A0">
        <w:rPr>
          <w:rStyle w:val="Hyperlink"/>
          <w:noProof/>
        </w:rPr>
        <w:instrText>Cowlam</w:instrText>
      </w:r>
      <w:r>
        <w:instrText xml:space="preserve">" </w:instrText>
      </w:r>
      <w:r>
        <w:rPr>
          <w:rFonts w:eastAsia="Times New Roman" w:cs="Times New Roman"/>
          <w:iCs/>
          <w:sz w:val="20"/>
          <w:szCs w:val="20"/>
          <w:lang w:eastAsia="en-GB"/>
        </w:rPr>
        <w:fldChar w:fldCharType="end"/>
      </w:r>
      <w:r>
        <w:rPr>
          <w:rFonts w:eastAsia="Times New Roman" w:cs="Times New Roman"/>
          <w:iCs/>
          <w:sz w:val="20"/>
          <w:szCs w:val="20"/>
          <w:lang w:eastAsia="en-GB"/>
        </w:rPr>
        <w:t xml:space="preserve"> under </w:t>
      </w:r>
      <w:r w:rsidRPr="00952147">
        <w:rPr>
          <w:rFonts w:eastAsia="Times New Roman" w:cs="Times New Roman"/>
          <w:iCs/>
          <w:sz w:val="20"/>
          <w:szCs w:val="20"/>
          <w:lang w:eastAsia="en-GB"/>
        </w:rPr>
        <w:t>Cottam</w:t>
      </w:r>
      <w:r>
        <w:rPr>
          <w:rFonts w:eastAsia="Times New Roman" w:cs="Times New Roman"/>
          <w:iCs/>
          <w:sz w:val="20"/>
          <w:szCs w:val="20"/>
          <w:lang w:eastAsia="en-GB"/>
        </w:rPr>
        <w:fldChar w:fldCharType="begin"/>
      </w:r>
      <w:r>
        <w:instrText xml:space="preserve"> XE "</w:instrText>
      </w:r>
      <w:r w:rsidRPr="004D76A0">
        <w:rPr>
          <w:rStyle w:val="Hyperlink"/>
          <w:rFonts w:eastAsia="Times New Roman"/>
          <w:noProof/>
          <w:lang w:eastAsia="en-GB"/>
        </w:rPr>
        <w:instrText>Cottam</w:instrText>
      </w:r>
      <w:r>
        <w:instrText xml:space="preserve">" </w:instrText>
      </w:r>
      <w:r>
        <w:rPr>
          <w:rFonts w:eastAsia="Times New Roman" w:cs="Times New Roman"/>
          <w:iCs/>
          <w:sz w:val="20"/>
          <w:szCs w:val="20"/>
          <w:lang w:eastAsia="en-GB"/>
        </w:rPr>
        <w:fldChar w:fldCharType="end"/>
      </w:r>
      <w:r>
        <w:rPr>
          <w:rFonts w:eastAsia="Times New Roman" w:cs="Times New Roman"/>
          <w:iCs/>
          <w:sz w:val="20"/>
          <w:szCs w:val="20"/>
          <w:lang w:eastAsia="en-GB"/>
        </w:rPr>
        <w:t>. This possibly emanates from Pirie</w:t>
      </w:r>
      <w:r>
        <w:rPr>
          <w:rFonts w:eastAsia="Times New Roman" w:cs="Times New Roman"/>
          <w:iCs/>
          <w:sz w:val="20"/>
          <w:szCs w:val="20"/>
          <w:lang w:eastAsia="en-GB"/>
        </w:rPr>
        <w:fldChar w:fldCharType="begin"/>
      </w:r>
      <w:r>
        <w:instrText xml:space="preserve"> XE "</w:instrText>
      </w:r>
      <w:r w:rsidRPr="007D3069">
        <w:instrText>Pirie</w:instrText>
      </w:r>
      <w:r>
        <w:instrText xml:space="preserve">" </w:instrText>
      </w:r>
      <w:r>
        <w:rPr>
          <w:rFonts w:eastAsia="Times New Roman" w:cs="Times New Roman"/>
          <w:iCs/>
          <w:sz w:val="20"/>
          <w:szCs w:val="20"/>
          <w:lang w:eastAsia="en-GB"/>
        </w:rPr>
        <w:fldChar w:fldCharType="end"/>
      </w:r>
      <w:r>
        <w:rPr>
          <w:rFonts w:eastAsia="Times New Roman" w:cs="Times New Roman"/>
          <w:iCs/>
          <w:sz w:val="20"/>
          <w:szCs w:val="20"/>
          <w:lang w:eastAsia="en-GB"/>
        </w:rPr>
        <w:t>.</w:t>
      </w:r>
    </w:p>
  </w:footnote>
  <w:footnote w:id="1049">
    <w:p w14:paraId="605FAF23" w14:textId="77777777" w:rsidR="000E1004" w:rsidRDefault="000E1004" w:rsidP="00071F47">
      <w:pPr>
        <w:pStyle w:val="FootnoteText"/>
      </w:pPr>
      <w:r>
        <w:rPr>
          <w:rStyle w:val="FootnoteReference"/>
        </w:rPr>
        <w:footnoteRef/>
      </w:r>
      <w:r>
        <w:t xml:space="preserve"> Haldenby &amp; Richards (forthcoming, 10).</w:t>
      </w:r>
    </w:p>
  </w:footnote>
  <w:footnote w:id="1050">
    <w:p w14:paraId="51CEC4BB" w14:textId="77E0910B" w:rsidR="000E1004" w:rsidRDefault="000E1004" w:rsidP="00071F47">
      <w:pPr>
        <w:pStyle w:val="FootnoteText"/>
      </w:pPr>
      <w:r>
        <w:rPr>
          <w:rStyle w:val="FootnoteReference"/>
        </w:rPr>
        <w:footnoteRef/>
      </w:r>
      <w:r>
        <w:t xml:space="preserve"> See comments on a similar penny</w:t>
      </w:r>
      <w:r>
        <w:fldChar w:fldCharType="begin"/>
      </w:r>
      <w:r>
        <w:instrText xml:space="preserve"> XE "</w:instrText>
      </w:r>
      <w:r w:rsidRPr="007645AE">
        <w:instrText>penny</w:instrText>
      </w:r>
      <w:r>
        <w:instrText xml:space="preserve">" </w:instrText>
      </w:r>
      <w:r>
        <w:fldChar w:fldCharType="end"/>
      </w:r>
      <w:r>
        <w:t xml:space="preserve">, found at </w:t>
      </w:r>
      <w:r w:rsidRPr="00DE573F">
        <w:rPr>
          <w:szCs w:val="24"/>
        </w:rPr>
        <w:t>Fishergate</w:t>
      </w:r>
      <w:r w:rsidRPr="00DE573F">
        <w:rPr>
          <w:szCs w:val="24"/>
        </w:rPr>
        <w:fldChar w:fldCharType="begin"/>
      </w:r>
      <w:r>
        <w:instrText xml:space="preserve"> XE "</w:instrText>
      </w:r>
      <w:r w:rsidRPr="00DE573F">
        <w:rPr>
          <w:noProof/>
        </w:rPr>
        <w:instrText>Fishergate</w:instrText>
      </w:r>
      <w:r>
        <w:instrText xml:space="preserve">" </w:instrText>
      </w:r>
      <w:r w:rsidRPr="00DE573F">
        <w:rPr>
          <w:szCs w:val="24"/>
        </w:rPr>
        <w:fldChar w:fldCharType="end"/>
      </w:r>
      <w:r>
        <w:t xml:space="preserve"> (</w:t>
      </w:r>
      <w:r>
        <w:fldChar w:fldCharType="begin"/>
      </w:r>
      <w:r>
        <w:instrText xml:space="preserve"> PAGEREF Fishergate \h </w:instrText>
      </w:r>
      <w:r>
        <w:fldChar w:fldCharType="separate"/>
      </w:r>
      <w:r w:rsidR="0012026B">
        <w:rPr>
          <w:noProof/>
        </w:rPr>
        <w:t>186</w:t>
      </w:r>
      <w:r>
        <w:fldChar w:fldCharType="end"/>
      </w:r>
      <w:r>
        <w:t>).</w:t>
      </w:r>
    </w:p>
  </w:footnote>
  <w:footnote w:id="1051">
    <w:p w14:paraId="045E0CCF" w14:textId="7D295358" w:rsidR="000E1004" w:rsidRPr="00945C00" w:rsidRDefault="000E1004" w:rsidP="00071F47">
      <w:pPr>
        <w:jc w:val="left"/>
        <w:rPr>
          <w:rFonts w:asciiTheme="minorHAnsi" w:eastAsia="Times New Roman" w:hAnsiTheme="minorHAnsi" w:cstheme="minorHAnsi"/>
          <w:sz w:val="20"/>
          <w:szCs w:val="20"/>
          <w:lang w:eastAsia="en-GB"/>
        </w:rPr>
      </w:pPr>
      <w:r>
        <w:rPr>
          <w:rStyle w:val="FootnoteReference"/>
        </w:rPr>
        <w:footnoteRef/>
      </w:r>
      <w:r>
        <w:t xml:space="preserve"> </w:t>
      </w:r>
      <w:r w:rsidRPr="00945C00">
        <w:rPr>
          <w:sz w:val="20"/>
          <w:szCs w:val="20"/>
        </w:rPr>
        <w:t xml:space="preserve">See </w:t>
      </w:r>
      <w:hyperlink r:id="rId41" w:tgtFrame="_blank" w:history="1">
        <w:r w:rsidRPr="00945C00">
          <w:rPr>
            <w:rFonts w:eastAsia="Times New Roman" w:cs="Times New Roman"/>
            <w:color w:val="0000FF"/>
            <w:sz w:val="20"/>
            <w:szCs w:val="20"/>
            <w:u w:val="single"/>
            <w:lang w:eastAsia="en-GB"/>
          </w:rPr>
          <w:t>http://archaeologydataservice.ac.uk/archives/view/cowlam_york_2011/</w:t>
        </w:r>
      </w:hyperlink>
      <w:r w:rsidRPr="00945C00">
        <w:rPr>
          <w:rFonts w:eastAsia="Times New Roman" w:cs="Times New Roman"/>
          <w:color w:val="000000" w:themeColor="text1"/>
          <w:sz w:val="20"/>
          <w:szCs w:val="20"/>
          <w:lang w:eastAsia="en-GB"/>
        </w:rPr>
        <w:t xml:space="preserve"> </w:t>
      </w:r>
      <w:r w:rsidRPr="00945C00">
        <w:rPr>
          <w:rStyle w:val="HTMLCode"/>
          <w:rFonts w:asciiTheme="minorHAnsi" w:eastAsiaTheme="minorHAnsi" w:hAnsiTheme="minorHAnsi" w:cstheme="minorHAnsi"/>
        </w:rPr>
        <w:t>Richards (2011, doi:10.5284/1000175</w:t>
      </w:r>
      <w:r>
        <w:rPr>
          <w:rStyle w:val="HTMLCode"/>
          <w:rFonts w:asciiTheme="minorHAnsi" w:eastAsiaTheme="minorHAnsi" w:hAnsiTheme="minorHAnsi" w:cstheme="minorHAnsi"/>
        </w:rPr>
        <w:t xml:space="preserve">, with </w:t>
      </w:r>
      <w:r>
        <w:rPr>
          <w:rFonts w:asciiTheme="minorHAnsi" w:eastAsia="Times New Roman" w:hAnsiTheme="minorHAnsi" w:cstheme="minorHAnsi"/>
          <w:sz w:val="20"/>
          <w:szCs w:val="20"/>
          <w:lang w:eastAsia="en-GB"/>
        </w:rPr>
        <w:t>c</w:t>
      </w:r>
      <w:r w:rsidRPr="00945C00">
        <w:rPr>
          <w:rFonts w:asciiTheme="minorHAnsi" w:eastAsia="Times New Roman" w:hAnsiTheme="minorHAnsi" w:cstheme="minorHAnsi"/>
          <w:sz w:val="20"/>
          <w:szCs w:val="20"/>
          <w:lang w:eastAsia="en-GB"/>
        </w:rPr>
        <w:t>oin</w:t>
      </w:r>
      <w:r>
        <w:rPr>
          <w:rFonts w:asciiTheme="minorHAnsi" w:eastAsia="Times New Roman" w:hAnsiTheme="minorHAnsi" w:cstheme="minorHAnsi"/>
          <w:sz w:val="20"/>
          <w:szCs w:val="20"/>
          <w:lang w:eastAsia="en-GB"/>
        </w:rPr>
        <w:t>s</w:t>
      </w:r>
      <w:r w:rsidRPr="00945C00">
        <w:rPr>
          <w:rFonts w:asciiTheme="minorHAnsi" w:eastAsia="Times New Roman" w:hAnsiTheme="minorHAnsi" w:cstheme="minorHAnsi"/>
          <w:sz w:val="20"/>
          <w:szCs w:val="20"/>
          <w:lang w:eastAsia="en-GB"/>
        </w:rPr>
        <w:t xml:space="preserve"> catalogue</w:t>
      </w:r>
      <w:r>
        <w:rPr>
          <w:rFonts w:asciiTheme="minorHAnsi" w:eastAsia="Times New Roman" w:hAnsiTheme="minorHAnsi" w:cstheme="minorHAnsi"/>
          <w:sz w:val="20"/>
          <w:szCs w:val="20"/>
          <w:lang w:eastAsia="en-GB"/>
        </w:rPr>
        <w:t xml:space="preserve">d by </w:t>
      </w:r>
      <w:r w:rsidRPr="00945C00">
        <w:rPr>
          <w:rFonts w:asciiTheme="minorHAnsi" w:eastAsia="Times New Roman" w:hAnsiTheme="minorHAnsi" w:cstheme="minorHAnsi"/>
          <w:sz w:val="20"/>
          <w:szCs w:val="20"/>
          <w:lang w:eastAsia="en-GB"/>
        </w:rPr>
        <w:t>Booth</w:t>
      </w:r>
      <w:r>
        <w:rPr>
          <w:rFonts w:asciiTheme="minorHAnsi" w:eastAsia="Times New Roman" w:hAnsiTheme="minorHAnsi" w:cstheme="minorHAnsi"/>
          <w:sz w:val="20"/>
          <w:szCs w:val="20"/>
          <w:lang w:eastAsia="en-GB"/>
        </w:rPr>
        <w:t>).</w:t>
      </w:r>
    </w:p>
    <w:p w14:paraId="271E10A1" w14:textId="77777777" w:rsidR="000E1004" w:rsidRDefault="000E1004" w:rsidP="00071F47">
      <w:pPr>
        <w:pStyle w:val="FootnoteText"/>
        <w:jc w:val="left"/>
      </w:pPr>
      <w:r>
        <w:rPr>
          <w:rStyle w:val="HTMLCode"/>
          <w:rFonts w:asciiTheme="minorHAnsi" w:eastAsiaTheme="minorHAnsi" w:hAnsiTheme="minorHAnsi" w:cstheme="minorHAnsi"/>
        </w:rPr>
        <w:t xml:space="preserve"> </w:t>
      </w:r>
    </w:p>
  </w:footnote>
  <w:footnote w:id="1052">
    <w:p w14:paraId="4770C981" w14:textId="77777777" w:rsidR="000E1004" w:rsidRDefault="000E1004" w:rsidP="00071F47">
      <w:pPr>
        <w:pStyle w:val="FootnoteText"/>
      </w:pPr>
      <w:r>
        <w:rPr>
          <w:rStyle w:val="FootnoteReference"/>
        </w:rPr>
        <w:footnoteRef/>
      </w:r>
      <w:r>
        <w:t xml:space="preserve"> </w:t>
      </w:r>
      <w:r>
        <w:rPr>
          <w:rFonts w:eastAsia="Times New Roman" w:cs="Times New Roman"/>
          <w:iCs/>
          <w:szCs w:val="24"/>
          <w:lang w:eastAsia="en-GB"/>
        </w:rPr>
        <w:t xml:space="preserve">Dave Haldenby (14 specimens) and Dave Hirst (7). </w:t>
      </w:r>
      <w:r>
        <w:rPr>
          <w:i/>
          <w:iCs/>
        </w:rPr>
        <w:t>AJ</w:t>
      </w:r>
      <w:r>
        <w:t xml:space="preserve"> (</w:t>
      </w:r>
      <w:r>
        <w:rPr>
          <w:b/>
          <w:bCs/>
        </w:rPr>
        <w:t>170</w:t>
      </w:r>
      <w:r>
        <w:t>, 201-71).</w:t>
      </w:r>
    </w:p>
  </w:footnote>
  <w:footnote w:id="1053">
    <w:p w14:paraId="4CEF2B9C" w14:textId="77777777" w:rsidR="000E1004" w:rsidRDefault="000E1004" w:rsidP="00071F47">
      <w:pPr>
        <w:pStyle w:val="FootnoteText"/>
      </w:pPr>
      <w:r>
        <w:rPr>
          <w:rStyle w:val="FootnoteReference"/>
        </w:rPr>
        <w:footnoteRef/>
      </w:r>
      <w:r>
        <w:t xml:space="preserve"> One of which was found at the DMV, </w:t>
      </w:r>
      <w:r w:rsidRPr="008C2465">
        <w:rPr>
          <w:i/>
        </w:rPr>
        <w:t>pers. comm</w:t>
      </w:r>
      <w:r>
        <w:rPr>
          <w:i/>
        </w:rPr>
        <w:t>.</w:t>
      </w:r>
      <w:r>
        <w:t xml:space="preserve"> Dave Haldenby, 19</w:t>
      </w:r>
      <w:r w:rsidRPr="008C2465">
        <w:rPr>
          <w:vertAlign w:val="superscript"/>
        </w:rPr>
        <w:t>th</w:t>
      </w:r>
      <w:r>
        <w:t xml:space="preserve"> March 2015.</w:t>
      </w:r>
    </w:p>
  </w:footnote>
  <w:footnote w:id="1054">
    <w:p w14:paraId="485684E8" w14:textId="295FE2B0" w:rsidR="000E1004" w:rsidRDefault="000E1004">
      <w:pPr>
        <w:pStyle w:val="FootnoteText"/>
      </w:pPr>
      <w:r>
        <w:rPr>
          <w:rStyle w:val="FootnoteReference"/>
        </w:rPr>
        <w:footnoteRef/>
      </w:r>
      <w:r>
        <w:t xml:space="preserve"> </w:t>
      </w:r>
      <w:r w:rsidRPr="007751A5">
        <w:rPr>
          <w:rFonts w:cs="Times New Roman"/>
          <w:szCs w:val="24"/>
        </w:rPr>
        <w:t xml:space="preserve">Mark Ainsley </w:t>
      </w:r>
      <w:r w:rsidRPr="007751A5">
        <w:rPr>
          <w:rFonts w:cs="Times New Roman"/>
          <w:i/>
          <w:szCs w:val="24"/>
        </w:rPr>
        <w:t>pers</w:t>
      </w:r>
      <w:r>
        <w:rPr>
          <w:rFonts w:cs="Times New Roman"/>
          <w:i/>
          <w:szCs w:val="24"/>
        </w:rPr>
        <w:t>.</w:t>
      </w:r>
      <w:r w:rsidRPr="007751A5">
        <w:rPr>
          <w:rFonts w:cs="Times New Roman"/>
          <w:i/>
          <w:szCs w:val="24"/>
        </w:rPr>
        <w:t xml:space="preserve"> comm.</w:t>
      </w:r>
      <w:r w:rsidRPr="007751A5">
        <w:rPr>
          <w:rFonts w:cs="Times New Roman"/>
          <w:szCs w:val="24"/>
        </w:rPr>
        <w:t xml:space="preserve"> 20 March 2007</w:t>
      </w:r>
      <w:r>
        <w:rPr>
          <w:rFonts w:cs="Times New Roman"/>
          <w:szCs w:val="24"/>
        </w:rPr>
        <w:t>.</w:t>
      </w:r>
    </w:p>
  </w:footnote>
  <w:footnote w:id="1055">
    <w:p w14:paraId="2F0B4EFA" w14:textId="356F5D04" w:rsidR="000E1004" w:rsidRDefault="000E1004" w:rsidP="00854613">
      <w:pPr>
        <w:pStyle w:val="FootnoteText"/>
      </w:pPr>
      <w:r>
        <w:rPr>
          <w:rStyle w:val="FootnoteReference"/>
        </w:rPr>
        <w:footnoteRef/>
      </w:r>
      <w:r>
        <w:t xml:space="preserve"> See </w:t>
      </w:r>
      <w:hyperlink r:id="rId42" w:history="1">
        <w:r w:rsidRPr="00296A82">
          <w:rPr>
            <w:rStyle w:val="Hyperlink"/>
          </w:rPr>
          <w:t>http://archaeologydataservice.ac.uk/archives/view/burdale_york_2013/index.cfm</w:t>
        </w:r>
      </w:hyperlink>
    </w:p>
  </w:footnote>
  <w:footnote w:id="1056">
    <w:p w14:paraId="6BD254F3" w14:textId="0C503AA6" w:rsidR="000E1004" w:rsidRDefault="000E1004" w:rsidP="00462517">
      <w:pPr>
        <w:pStyle w:val="NoSpacing"/>
      </w:pPr>
      <w:r w:rsidRPr="000D2A16">
        <w:rPr>
          <w:rStyle w:val="FootnoteReference"/>
          <w:rFonts w:cs="Times New Roman"/>
          <w:sz w:val="20"/>
          <w:szCs w:val="20"/>
        </w:rPr>
        <w:footnoteRef/>
      </w:r>
      <w:r w:rsidRPr="000D2A16">
        <w:rPr>
          <w:sz w:val="20"/>
          <w:szCs w:val="20"/>
        </w:rPr>
        <w:t xml:space="preserve"> </w:t>
      </w:r>
      <w:r w:rsidRPr="00462517">
        <w:rPr>
          <w:rFonts w:asciiTheme="minorHAnsi" w:hAnsiTheme="minorHAnsi" w:cstheme="minorHAnsi"/>
          <w:sz w:val="20"/>
          <w:szCs w:val="20"/>
        </w:rPr>
        <w:t>DOI</w:t>
      </w:r>
      <w:r>
        <w:rPr>
          <w:rFonts w:asciiTheme="minorHAnsi" w:hAnsiTheme="minorHAnsi" w:cstheme="minorHAnsi"/>
          <w:sz w:val="20"/>
          <w:szCs w:val="20"/>
        </w:rPr>
        <w:t xml:space="preserve"> </w:t>
      </w:r>
      <w:r w:rsidRPr="00462517">
        <w:rPr>
          <w:rFonts w:asciiTheme="minorHAnsi" w:hAnsiTheme="minorHAnsi" w:cstheme="minorHAnsi"/>
          <w:sz w:val="20"/>
          <w:szCs w:val="20"/>
          <w:lang w:val="en-US"/>
        </w:rPr>
        <w:t xml:space="preserve">Metal </w:t>
      </w:r>
      <w:r>
        <w:rPr>
          <w:rFonts w:asciiTheme="minorHAnsi" w:hAnsiTheme="minorHAnsi" w:cstheme="minorHAnsi"/>
          <w:sz w:val="20"/>
          <w:szCs w:val="20"/>
          <w:lang w:val="en-US"/>
        </w:rPr>
        <w:t>D</w:t>
      </w:r>
      <w:r w:rsidRPr="00462517">
        <w:rPr>
          <w:rFonts w:asciiTheme="minorHAnsi" w:hAnsiTheme="minorHAnsi" w:cstheme="minorHAnsi"/>
          <w:sz w:val="20"/>
          <w:szCs w:val="20"/>
          <w:lang w:val="en-US"/>
        </w:rPr>
        <w:t xml:space="preserve">etector </w:t>
      </w:r>
      <w:r>
        <w:rPr>
          <w:rFonts w:asciiTheme="minorHAnsi" w:hAnsiTheme="minorHAnsi" w:cstheme="minorHAnsi"/>
          <w:sz w:val="20"/>
          <w:szCs w:val="20"/>
          <w:lang w:val="en-US"/>
        </w:rPr>
        <w:t>S</w:t>
      </w:r>
      <w:r w:rsidRPr="00462517">
        <w:rPr>
          <w:rFonts w:asciiTheme="minorHAnsi" w:hAnsiTheme="minorHAnsi" w:cstheme="minorHAnsi"/>
          <w:sz w:val="20"/>
          <w:szCs w:val="20"/>
          <w:lang w:val="en-US"/>
        </w:rPr>
        <w:t xml:space="preserve">urvey, by G. Bambrook, </w:t>
      </w:r>
      <w:r w:rsidRPr="00462517">
        <w:rPr>
          <w:rFonts w:asciiTheme="minorHAnsi" w:hAnsiTheme="minorHAnsi" w:cstheme="minorHAnsi"/>
          <w:i/>
          <w:sz w:val="20"/>
          <w:szCs w:val="20"/>
          <w:lang w:val="en-US"/>
        </w:rPr>
        <w:t>Historia</w:t>
      </w:r>
      <w:r w:rsidRPr="00462517">
        <w:rPr>
          <w:rFonts w:asciiTheme="minorHAnsi" w:hAnsiTheme="minorHAnsi" w:cstheme="minorHAnsi"/>
          <w:sz w:val="20"/>
          <w:szCs w:val="20"/>
          <w:lang w:val="en-US"/>
        </w:rPr>
        <w:t xml:space="preserve"> </w:t>
      </w:r>
      <w:r w:rsidRPr="00462517">
        <w:rPr>
          <w:rFonts w:asciiTheme="minorHAnsi" w:hAnsiTheme="minorHAnsi" w:cstheme="minorHAnsi"/>
          <w:i/>
          <w:sz w:val="20"/>
          <w:szCs w:val="20"/>
          <w:lang w:val="en-US"/>
        </w:rPr>
        <w:t>Detectum</w:t>
      </w:r>
      <w:r w:rsidRPr="00462517">
        <w:rPr>
          <w:rFonts w:asciiTheme="minorHAnsi" w:hAnsiTheme="minorHAnsi" w:cstheme="minorHAnsi"/>
          <w:sz w:val="20"/>
          <w:szCs w:val="20"/>
          <w:lang w:val="en-US"/>
        </w:rPr>
        <w:t xml:space="preserve">, 2005 in </w:t>
      </w:r>
      <w:r w:rsidRPr="00462517">
        <w:rPr>
          <w:rFonts w:asciiTheme="minorHAnsi" w:hAnsiTheme="minorHAnsi" w:cstheme="minorHAnsi"/>
          <w:color w:val="000000" w:themeColor="text1"/>
          <w:sz w:val="20"/>
          <w:szCs w:val="20"/>
          <w:lang w:val="en-US"/>
        </w:rPr>
        <w:t xml:space="preserve">Julian D Richards, </w:t>
      </w:r>
      <w:hyperlink r:id="rId43" w:history="1">
        <w:r w:rsidRPr="00462517">
          <w:rPr>
            <w:rFonts w:asciiTheme="minorHAnsi" w:hAnsiTheme="minorHAnsi" w:cstheme="minorHAnsi"/>
            <w:color w:val="000000" w:themeColor="text1"/>
            <w:sz w:val="20"/>
            <w:szCs w:val="20"/>
            <w:lang w:val="en-US"/>
          </w:rPr>
          <w:t>Steve Roskams</w:t>
        </w:r>
      </w:hyperlink>
      <w:r w:rsidRPr="00462517">
        <w:rPr>
          <w:rFonts w:asciiTheme="minorHAnsi" w:hAnsiTheme="minorHAnsi" w:cstheme="minorHAnsi"/>
          <w:color w:val="000000" w:themeColor="text1"/>
          <w:sz w:val="20"/>
          <w:szCs w:val="20"/>
          <w:lang w:val="en-US"/>
        </w:rPr>
        <w:t xml:space="preserve"> </w:t>
      </w:r>
      <w:r w:rsidRPr="00462517">
        <w:rPr>
          <w:rFonts w:asciiTheme="minorHAnsi" w:hAnsiTheme="minorHAnsi" w:cstheme="minorHAnsi"/>
          <w:sz w:val="20"/>
          <w:szCs w:val="20"/>
          <w:lang w:val="en-US"/>
        </w:rPr>
        <w:t xml:space="preserve">(2013) </w:t>
      </w:r>
      <w:r w:rsidRPr="00462517">
        <w:rPr>
          <w:rFonts w:asciiTheme="minorHAnsi" w:hAnsiTheme="minorHAnsi" w:cstheme="minorHAnsi"/>
          <w:i/>
          <w:iCs/>
          <w:sz w:val="20"/>
          <w:szCs w:val="20"/>
          <w:lang w:val="en-US"/>
        </w:rPr>
        <w:t>Burdale: an Anglian settlement in the Yorkshire Wolds</w:t>
      </w:r>
      <w:r w:rsidRPr="00462517">
        <w:rPr>
          <w:rFonts w:asciiTheme="minorHAnsi" w:hAnsiTheme="minorHAnsi" w:cstheme="minorHAnsi"/>
          <w:sz w:val="20"/>
          <w:szCs w:val="20"/>
          <w:lang w:val="en-US"/>
        </w:rPr>
        <w:t xml:space="preserve"> [data-set]. York: Archaeology Data Service [distributor] (doi:10.5284/1021545).</w:t>
      </w:r>
    </w:p>
  </w:footnote>
  <w:footnote w:id="1057">
    <w:p w14:paraId="7F11CD35" w14:textId="7CE69DC2" w:rsidR="000E1004" w:rsidRDefault="000E1004" w:rsidP="00854613">
      <w:pPr>
        <w:pStyle w:val="FootnoteText"/>
      </w:pPr>
      <w:r>
        <w:rPr>
          <w:rStyle w:val="FootnoteReference"/>
        </w:rPr>
        <w:footnoteRef/>
      </w:r>
      <w:r>
        <w:t xml:space="preserve"> </w:t>
      </w:r>
      <w:hyperlink r:id="rId44" w:history="1">
        <w:r w:rsidRPr="00A510D9">
          <w:rPr>
            <w:rStyle w:val="Hyperlink"/>
          </w:rPr>
          <w:t>http://intarch.ac.uk/journal/issue35/richards-roskams.html</w:t>
        </w:r>
      </w:hyperlink>
      <w:r>
        <w:t>, Dating &amp; Discussion.</w:t>
      </w:r>
    </w:p>
  </w:footnote>
  <w:footnote w:id="1058">
    <w:p w14:paraId="68FA6FD9" w14:textId="363F292B" w:rsidR="000E1004" w:rsidRDefault="000E1004" w:rsidP="00854613">
      <w:pPr>
        <w:pStyle w:val="FootnoteText"/>
      </w:pPr>
      <w:r>
        <w:rPr>
          <w:rStyle w:val="FootnoteReference"/>
        </w:rPr>
        <w:footnoteRef/>
      </w:r>
      <w:r>
        <w:t xml:space="preserve"> </w:t>
      </w:r>
      <w:hyperlink r:id="rId45" w:history="1">
        <w:r w:rsidRPr="00BF552E">
          <w:rPr>
            <w:rStyle w:val="Hyperlink"/>
          </w:rPr>
          <w:t>http://archaeologydataservice.ac.uk/archives/view/burdale_york_2013/downloads.cfm?group=20</w:t>
        </w:r>
      </w:hyperlink>
    </w:p>
  </w:footnote>
  <w:footnote w:id="1059">
    <w:p w14:paraId="5B41D96C" w14:textId="5ABD7517" w:rsidR="000E1004" w:rsidRDefault="000E1004" w:rsidP="00F909E8">
      <w:pPr>
        <w:pStyle w:val="FootnoteText"/>
      </w:pPr>
      <w:r>
        <w:rPr>
          <w:rStyle w:val="FootnoteReference"/>
        </w:rPr>
        <w:footnoteRef/>
      </w:r>
      <w:r>
        <w:t xml:space="preserve"> Wrathmell (2012, 106, 164-8 &amp; 178).</w:t>
      </w:r>
    </w:p>
  </w:footnote>
  <w:footnote w:id="1060">
    <w:p w14:paraId="6AA1D2F0" w14:textId="4093FEE9" w:rsidR="000E1004" w:rsidRDefault="000E1004" w:rsidP="00854613">
      <w:pPr>
        <w:pStyle w:val="NoSpacing"/>
        <w:spacing w:line="276" w:lineRule="auto"/>
      </w:pPr>
      <w:r>
        <w:rPr>
          <w:rStyle w:val="FootnoteReference"/>
        </w:rPr>
        <w:footnoteRef/>
      </w:r>
      <w:r>
        <w:t xml:space="preserve"> </w:t>
      </w:r>
      <w:r w:rsidRPr="00A510D9">
        <w:rPr>
          <w:i/>
          <w:sz w:val="20"/>
          <w:szCs w:val="20"/>
        </w:rPr>
        <w:t>Ibid</w:t>
      </w:r>
      <w:r w:rsidRPr="00A510D9">
        <w:rPr>
          <w:sz w:val="20"/>
          <w:szCs w:val="20"/>
        </w:rPr>
        <w:t xml:space="preserve">, </w:t>
      </w:r>
      <w:r>
        <w:rPr>
          <w:sz w:val="20"/>
          <w:szCs w:val="20"/>
        </w:rPr>
        <w:t>Figure 5: BUR06, sf107: credit a</w:t>
      </w:r>
      <w:r w:rsidRPr="00A510D9">
        <w:rPr>
          <w:sz w:val="20"/>
          <w:szCs w:val="20"/>
        </w:rPr>
        <w:t>uthors CC-BY-NC-SA</w:t>
      </w:r>
      <w:r>
        <w:rPr>
          <w:sz w:val="20"/>
          <w:szCs w:val="20"/>
        </w:rPr>
        <w:t>.</w:t>
      </w:r>
    </w:p>
  </w:footnote>
  <w:footnote w:id="1061">
    <w:p w14:paraId="7D276100" w14:textId="0951B4AB" w:rsidR="000E1004" w:rsidRDefault="000E1004">
      <w:pPr>
        <w:pStyle w:val="FootnoteText"/>
      </w:pPr>
      <w:r>
        <w:rPr>
          <w:rStyle w:val="FootnoteReference"/>
        </w:rPr>
        <w:footnoteRef/>
      </w:r>
      <w:r>
        <w:t xml:space="preserve"> Wrathmell (2012, 178).</w:t>
      </w:r>
    </w:p>
  </w:footnote>
  <w:footnote w:id="1062">
    <w:p w14:paraId="129E4D2D" w14:textId="39417805" w:rsidR="000E1004" w:rsidRDefault="000E1004" w:rsidP="00071F47">
      <w:pPr>
        <w:pStyle w:val="FootnoteText"/>
      </w:pPr>
      <w:r>
        <w:rPr>
          <w:rStyle w:val="FootnoteReference"/>
        </w:rPr>
        <w:footnoteRef/>
      </w:r>
      <w:r>
        <w:t xml:space="preserve"> For finds of styli see </w:t>
      </w:r>
      <w:r w:rsidRPr="001004C4">
        <w:rPr>
          <w:i/>
          <w:szCs w:val="24"/>
        </w:rPr>
        <w:t>Map</w:t>
      </w:r>
      <w:r w:rsidRPr="001004C4">
        <w:rPr>
          <w:i/>
          <w:szCs w:val="24"/>
        </w:rPr>
        <w:fldChar w:fldCharType="begin"/>
      </w:r>
      <w:r>
        <w:instrText xml:space="preserve"> XE "</w:instrText>
      </w:r>
      <w:r w:rsidRPr="001004C4">
        <w:rPr>
          <w:noProof/>
        </w:rPr>
        <w:instrText>Map</w:instrText>
      </w:r>
      <w:r>
        <w:instrText xml:space="preserve">" </w:instrText>
      </w:r>
      <w:r w:rsidRPr="001004C4">
        <w:rPr>
          <w:i/>
          <w:szCs w:val="24"/>
        </w:rPr>
        <w:fldChar w:fldCharType="end"/>
      </w:r>
      <w:r>
        <w:rPr>
          <w:i/>
          <w:szCs w:val="24"/>
        </w:rPr>
        <w:t xml:space="preserve"> 8.14</w:t>
      </w:r>
      <w:r w:rsidRPr="00585109">
        <w:rPr>
          <w:i/>
          <w:szCs w:val="24"/>
        </w:rPr>
        <w:t>.</w:t>
      </w:r>
    </w:p>
  </w:footnote>
  <w:footnote w:id="1063">
    <w:p w14:paraId="5E03631B" w14:textId="77777777" w:rsidR="000E1004" w:rsidRPr="007C5CE7" w:rsidRDefault="000E1004" w:rsidP="00071F47">
      <w:pPr>
        <w:pStyle w:val="NoSpacing"/>
        <w:spacing w:line="276" w:lineRule="auto"/>
        <w:rPr>
          <w:color w:val="000000" w:themeColor="text1"/>
        </w:rPr>
      </w:pPr>
      <w:r>
        <w:rPr>
          <w:rStyle w:val="FootnoteReference"/>
        </w:rPr>
        <w:footnoteRef/>
      </w:r>
      <w:r>
        <w:t xml:space="preserve"> </w:t>
      </w:r>
      <w:r w:rsidRPr="007C5CE7">
        <w:rPr>
          <w:color w:val="000000" w:themeColor="text1"/>
          <w:sz w:val="20"/>
          <w:szCs w:val="20"/>
        </w:rPr>
        <w:t>Lovelock (1996</w:t>
      </w:r>
      <w:r>
        <w:rPr>
          <w:color w:val="000000" w:themeColor="text1"/>
          <w:sz w:val="20"/>
          <w:szCs w:val="20"/>
        </w:rPr>
        <w:t>,</w:t>
      </w:r>
      <w:r w:rsidRPr="007C5CE7">
        <w:rPr>
          <w:color w:val="000000" w:themeColor="text1"/>
          <w:sz w:val="20"/>
          <w:szCs w:val="20"/>
        </w:rPr>
        <w:t xml:space="preserve"> 45</w:t>
      </w:r>
      <w:r>
        <w:rPr>
          <w:color w:val="000000" w:themeColor="text1"/>
          <w:sz w:val="20"/>
          <w:szCs w:val="20"/>
        </w:rPr>
        <w:t>)</w:t>
      </w:r>
      <w:r w:rsidRPr="007C5CE7">
        <w:rPr>
          <w:color w:val="000000" w:themeColor="text1"/>
          <w:sz w:val="20"/>
          <w:szCs w:val="20"/>
        </w:rPr>
        <w:t>.</w:t>
      </w:r>
    </w:p>
  </w:footnote>
  <w:footnote w:id="1064">
    <w:p w14:paraId="42FDDFA5" w14:textId="77777777" w:rsidR="000E1004" w:rsidRDefault="000E1004" w:rsidP="00071F47">
      <w:pPr>
        <w:pStyle w:val="FootnoteText"/>
      </w:pPr>
      <w:r>
        <w:rPr>
          <w:rStyle w:val="FootnoteReference"/>
        </w:rPr>
        <w:footnoteRef/>
      </w:r>
      <w:r>
        <w:t xml:space="preserve"> </w:t>
      </w:r>
      <w:r>
        <w:rPr>
          <w:rFonts w:cs="Times New Roman"/>
          <w:bCs/>
          <w:color w:val="000000"/>
        </w:rPr>
        <w:t>C</w:t>
      </w:r>
      <w:r w:rsidRPr="00B03059">
        <w:rPr>
          <w:rFonts w:cs="Times New Roman"/>
          <w:bCs/>
          <w:color w:val="000000"/>
        </w:rPr>
        <w:t>ourtesy of James Booth.</w:t>
      </w:r>
    </w:p>
  </w:footnote>
  <w:footnote w:id="1065">
    <w:p w14:paraId="207998CE" w14:textId="77777777" w:rsidR="000E1004" w:rsidRDefault="000E1004" w:rsidP="00071F47">
      <w:pPr>
        <w:pStyle w:val="FootnoteText"/>
      </w:pPr>
      <w:r>
        <w:rPr>
          <w:rStyle w:val="FootnoteReference"/>
        </w:rPr>
        <w:footnoteRef/>
      </w:r>
      <w:r>
        <w:t xml:space="preserve"> Smith, C. N. J. (2006, 108).</w:t>
      </w:r>
    </w:p>
  </w:footnote>
  <w:footnote w:id="1066">
    <w:p w14:paraId="73E7E4D5" w14:textId="77777777" w:rsidR="000E1004" w:rsidRDefault="000E1004" w:rsidP="00071F47">
      <w:pPr>
        <w:pStyle w:val="FootnoteText"/>
      </w:pPr>
      <w:r>
        <w:rPr>
          <w:rStyle w:val="FootnoteReference"/>
        </w:rPr>
        <w:footnoteRef/>
      </w:r>
      <w:r>
        <w:t xml:space="preserve"> Behr, Pestell &amp; Hines (2014, 68). Hines (1997, 392-3).</w:t>
      </w:r>
    </w:p>
  </w:footnote>
  <w:footnote w:id="1067">
    <w:p w14:paraId="2242C2F5" w14:textId="77777777" w:rsidR="000E1004" w:rsidRDefault="000E1004" w:rsidP="00071F47">
      <w:pPr>
        <w:pStyle w:val="FootnoteText"/>
      </w:pPr>
      <w:r>
        <w:rPr>
          <w:rStyle w:val="FootnoteReference"/>
        </w:rPr>
        <w:footnoteRef/>
      </w:r>
      <w:r>
        <w:t xml:space="preserve"> Three Norman pennies, a cut-half and –quarter have been found at Driffield</w:t>
      </w:r>
      <w:r>
        <w:fldChar w:fldCharType="begin"/>
      </w:r>
      <w:r>
        <w:instrText xml:space="preserve"> XE "</w:instrText>
      </w:r>
      <w:r w:rsidRPr="004D76A0">
        <w:rPr>
          <w:rStyle w:val="Hyperlink"/>
          <w:rFonts w:eastAsia="Times New Roman"/>
          <w:noProof/>
          <w:lang w:eastAsia="en-GB"/>
        </w:rPr>
        <w:instrText>Driffield</w:instrText>
      </w:r>
      <w:r>
        <w:instrText xml:space="preserve">" </w:instrText>
      </w:r>
      <w:r>
        <w:fldChar w:fldCharType="end"/>
      </w:r>
      <w:r>
        <w:t>.</w:t>
      </w:r>
    </w:p>
  </w:footnote>
  <w:footnote w:id="1068">
    <w:p w14:paraId="7A82583B" w14:textId="4B800522" w:rsidR="000E1004" w:rsidRDefault="000E1004" w:rsidP="00071F47">
      <w:pPr>
        <w:pStyle w:val="FootnoteText"/>
      </w:pPr>
      <w:r>
        <w:rPr>
          <w:rStyle w:val="FootnoteReference"/>
        </w:rPr>
        <w:footnoteRef/>
      </w:r>
      <w:r>
        <w:t xml:space="preserve"> Identified by ‘suspiciously isolated or ruined churches as well as civil parishes (townships) without villages’. Beresford &amp; Hurst (1990, 19).</w:t>
      </w:r>
    </w:p>
  </w:footnote>
  <w:footnote w:id="1069">
    <w:p w14:paraId="757FBDBA" w14:textId="77777777" w:rsidR="000E1004" w:rsidRDefault="000E1004" w:rsidP="00071F47">
      <w:pPr>
        <w:pStyle w:val="FootnoteText"/>
      </w:pPr>
      <w:r>
        <w:rPr>
          <w:rStyle w:val="FootnoteReference"/>
        </w:rPr>
        <w:footnoteRef/>
      </w:r>
      <w:r>
        <w:t xml:space="preserve"> Beresford (1954, 70-4).</w:t>
      </w:r>
    </w:p>
  </w:footnote>
  <w:footnote w:id="1070">
    <w:p w14:paraId="409E70CC" w14:textId="77777777" w:rsidR="000E1004" w:rsidRDefault="000E1004" w:rsidP="00071F47">
      <w:pPr>
        <w:pStyle w:val="FootnoteText"/>
      </w:pPr>
      <w:r>
        <w:rPr>
          <w:rStyle w:val="FootnoteReference"/>
        </w:rPr>
        <w:footnoteRef/>
      </w:r>
      <w:r>
        <w:t xml:space="preserve"> Not the ladder pattern seen at West Heslerton</w:t>
      </w:r>
      <w:r>
        <w:fldChar w:fldCharType="begin"/>
      </w:r>
      <w:r>
        <w:instrText xml:space="preserve"> XE "</w:instrText>
      </w:r>
      <w:r w:rsidRPr="004D76A0">
        <w:rPr>
          <w:rStyle w:val="Hyperlink"/>
          <w:noProof/>
        </w:rPr>
        <w:instrText>West Heslerton</w:instrText>
      </w:r>
      <w:r>
        <w:instrText xml:space="preserve">" </w:instrText>
      </w:r>
      <w:r>
        <w:fldChar w:fldCharType="end"/>
      </w:r>
      <w:r>
        <w:t>.</w:t>
      </w:r>
    </w:p>
  </w:footnote>
  <w:footnote w:id="1071">
    <w:p w14:paraId="195A0F10" w14:textId="77777777" w:rsidR="000E1004" w:rsidRDefault="000E1004" w:rsidP="00071F47">
      <w:pPr>
        <w:pStyle w:val="FootnoteText"/>
      </w:pPr>
      <w:r>
        <w:rPr>
          <w:rStyle w:val="FootnoteReference"/>
        </w:rPr>
        <w:footnoteRef/>
      </w:r>
      <w:r>
        <w:t xml:space="preserve"> Banham and Faith (2014, 131 &amp; 287-8) suggested that ploughing here was a precedent for the open-field landscape of the Wolds. </w:t>
      </w:r>
    </w:p>
  </w:footnote>
  <w:footnote w:id="1072">
    <w:p w14:paraId="2F00A132" w14:textId="204FA543" w:rsidR="000E1004" w:rsidRDefault="000E1004" w:rsidP="00071F47">
      <w:pPr>
        <w:pStyle w:val="NoSpacing"/>
        <w:spacing w:line="276" w:lineRule="auto"/>
      </w:pPr>
      <w:r w:rsidRPr="00277B5E">
        <w:rPr>
          <w:rStyle w:val="FootnoteReference"/>
          <w:sz w:val="20"/>
          <w:szCs w:val="20"/>
        </w:rPr>
        <w:footnoteRef/>
      </w:r>
      <w:r>
        <w:rPr>
          <w:sz w:val="20"/>
          <w:szCs w:val="20"/>
        </w:rPr>
        <w:t xml:space="preserve"> Beresford &amp; Hurst (1990,</w:t>
      </w:r>
      <w:r w:rsidRPr="007B2EC8">
        <w:rPr>
          <w:sz w:val="20"/>
          <w:szCs w:val="20"/>
        </w:rPr>
        <w:t xml:space="preserve"> </w:t>
      </w:r>
      <w:r>
        <w:rPr>
          <w:sz w:val="20"/>
          <w:szCs w:val="20"/>
        </w:rPr>
        <w:t>Fig. 63)</w:t>
      </w:r>
      <w:r w:rsidRPr="007B2EC8">
        <w:rPr>
          <w:sz w:val="20"/>
          <w:szCs w:val="20"/>
        </w:rPr>
        <w:t>.</w:t>
      </w:r>
    </w:p>
  </w:footnote>
  <w:footnote w:id="1073">
    <w:p w14:paraId="4634C079" w14:textId="189FBC0F" w:rsidR="000E1004" w:rsidRDefault="000E1004" w:rsidP="00071F47">
      <w:pPr>
        <w:pStyle w:val="NoSpacing"/>
        <w:spacing w:line="276" w:lineRule="auto"/>
      </w:pPr>
      <w:r w:rsidRPr="00277B5E">
        <w:rPr>
          <w:rStyle w:val="FootnoteReference"/>
          <w:sz w:val="20"/>
          <w:szCs w:val="20"/>
        </w:rPr>
        <w:footnoteRef/>
      </w:r>
      <w:r>
        <w:rPr>
          <w:sz w:val="20"/>
          <w:szCs w:val="20"/>
        </w:rPr>
        <w:t xml:space="preserve"> Beresford &amp; Hurst (1990, Fig. 54).</w:t>
      </w:r>
    </w:p>
  </w:footnote>
  <w:footnote w:id="1074">
    <w:p w14:paraId="70C8BC78" w14:textId="2EEBF9D5" w:rsidR="000E1004" w:rsidRDefault="000E1004" w:rsidP="00071F47">
      <w:pPr>
        <w:pStyle w:val="FootnoteText"/>
      </w:pPr>
      <w:r>
        <w:rPr>
          <w:rStyle w:val="FootnoteReference"/>
        </w:rPr>
        <w:footnoteRef/>
      </w:r>
      <w:r>
        <w:t xml:space="preserve"> Beresford &amp; Hurst (1990, 77).</w:t>
      </w:r>
    </w:p>
  </w:footnote>
  <w:footnote w:id="1075">
    <w:p w14:paraId="214BB0E4" w14:textId="6197204A" w:rsidR="000E1004" w:rsidRDefault="000E1004">
      <w:pPr>
        <w:pStyle w:val="FootnoteText"/>
      </w:pPr>
      <w:r>
        <w:rPr>
          <w:rStyle w:val="FootnoteReference"/>
        </w:rPr>
        <w:footnoteRef/>
      </w:r>
      <w:r>
        <w:t xml:space="preserve"> Wrathmell (2012, 154-62).</w:t>
      </w:r>
    </w:p>
  </w:footnote>
  <w:footnote w:id="1076">
    <w:p w14:paraId="6E822A3C" w14:textId="5A642961" w:rsidR="000E1004" w:rsidRPr="00F909E8" w:rsidRDefault="000E1004">
      <w:pPr>
        <w:pStyle w:val="FootnoteText"/>
      </w:pPr>
      <w:r>
        <w:rPr>
          <w:rStyle w:val="FootnoteReference"/>
        </w:rPr>
        <w:footnoteRef/>
      </w:r>
      <w:r>
        <w:t xml:space="preserve"> See Everson &amp; Stoker (Wrathmell 2012, 164-8) for a discussion of </w:t>
      </w:r>
      <w:r w:rsidRPr="009F11C4">
        <w:rPr>
          <w:i/>
        </w:rPr>
        <w:t>Grubenh</w:t>
      </w:r>
      <w:r w:rsidRPr="009F11C4">
        <w:rPr>
          <w:rFonts w:cs="Times New Roman"/>
          <w:i/>
        </w:rPr>
        <w:t>ä</w:t>
      </w:r>
      <w:r w:rsidRPr="009F11C4">
        <w:rPr>
          <w:i/>
        </w:rPr>
        <w:t>user</w:t>
      </w:r>
      <w:r>
        <w:t xml:space="preserve"> and Butterwick-type features in the context of sheep rearing in the Wolds.</w:t>
      </w:r>
    </w:p>
  </w:footnote>
  <w:footnote w:id="1077">
    <w:p w14:paraId="518B1A62" w14:textId="4CD319A1" w:rsidR="000E1004" w:rsidRDefault="000E1004">
      <w:pPr>
        <w:pStyle w:val="FootnoteText"/>
      </w:pPr>
      <w:r>
        <w:rPr>
          <w:rStyle w:val="FootnoteReference"/>
        </w:rPr>
        <w:footnoteRef/>
      </w:r>
      <w:r>
        <w:t xml:space="preserve"> Wrathmell (2012, 143 &amp; 147-8) noted a Series E sceat from the South Manor area.</w:t>
      </w:r>
    </w:p>
  </w:footnote>
  <w:footnote w:id="1078">
    <w:p w14:paraId="5DBC4A77" w14:textId="372CD44D" w:rsidR="000E1004" w:rsidRDefault="000E1004">
      <w:pPr>
        <w:pStyle w:val="FootnoteText"/>
      </w:pPr>
      <w:r>
        <w:rPr>
          <w:rStyle w:val="FootnoteReference"/>
        </w:rPr>
        <w:footnoteRef/>
      </w:r>
      <w:r>
        <w:t xml:space="preserve"> See </w:t>
      </w:r>
      <w:r w:rsidRPr="00A07A08">
        <w:rPr>
          <w:i/>
        </w:rPr>
        <w:t>Graph 7.</w:t>
      </w:r>
      <w:r>
        <w:rPr>
          <w:i/>
        </w:rPr>
        <w:t>04 no. 11</w:t>
      </w:r>
      <w:r>
        <w:t>.</w:t>
      </w:r>
    </w:p>
  </w:footnote>
  <w:footnote w:id="1079">
    <w:p w14:paraId="0A2AC507" w14:textId="77777777" w:rsidR="000E1004" w:rsidRDefault="000E1004" w:rsidP="00277B5E">
      <w:pPr>
        <w:pStyle w:val="FootnoteText"/>
      </w:pPr>
      <w:r>
        <w:rPr>
          <w:rStyle w:val="FootnoteReference"/>
        </w:rPr>
        <w:footnoteRef/>
      </w:r>
      <w:r>
        <w:t xml:space="preserve"> Wrathmell (2012, 86-96).</w:t>
      </w:r>
    </w:p>
  </w:footnote>
  <w:footnote w:id="1080">
    <w:p w14:paraId="6485F758" w14:textId="5E4E7FD2" w:rsidR="000E1004" w:rsidRDefault="000E1004">
      <w:pPr>
        <w:pStyle w:val="FootnoteText"/>
      </w:pPr>
      <w:r>
        <w:rPr>
          <w:rStyle w:val="FootnoteReference"/>
        </w:rPr>
        <w:footnoteRef/>
      </w:r>
      <w:r>
        <w:t xml:space="preserve"> Wrathmell (2012, 99).</w:t>
      </w:r>
    </w:p>
  </w:footnote>
  <w:footnote w:id="1081">
    <w:p w14:paraId="56FEB0D8" w14:textId="4BDF9DA6" w:rsidR="000E1004" w:rsidRDefault="000E1004" w:rsidP="00317050">
      <w:pPr>
        <w:pStyle w:val="FootnoteText"/>
      </w:pPr>
      <w:r>
        <w:rPr>
          <w:rStyle w:val="FootnoteReference"/>
        </w:rPr>
        <w:footnoteRef/>
      </w:r>
      <w:r>
        <w:t xml:space="preserve"> Wrathmell (2012, 147).</w:t>
      </w:r>
    </w:p>
  </w:footnote>
  <w:footnote w:id="1082">
    <w:p w14:paraId="6CD505B2" w14:textId="5B0BDCD0" w:rsidR="000E1004" w:rsidRDefault="000E1004">
      <w:pPr>
        <w:pStyle w:val="FootnoteText"/>
      </w:pPr>
      <w:r>
        <w:rPr>
          <w:rStyle w:val="FootnoteReference"/>
        </w:rPr>
        <w:footnoteRef/>
      </w:r>
      <w:r>
        <w:t xml:space="preserve"> Which has ecclesiastical associations, Wrathmell (2012, 169).</w:t>
      </w:r>
    </w:p>
  </w:footnote>
  <w:footnote w:id="1083">
    <w:p w14:paraId="5FF3319E" w14:textId="77777777" w:rsidR="000E1004" w:rsidRDefault="000E1004" w:rsidP="00071F47">
      <w:pPr>
        <w:pStyle w:val="FootnoteText"/>
      </w:pPr>
      <w:r>
        <w:rPr>
          <w:rStyle w:val="FootnoteReference"/>
        </w:rPr>
        <w:footnoteRef/>
      </w:r>
      <w:r>
        <w:t xml:space="preserve"> Hurst (1979, 128-9, by A. McGregor).</w:t>
      </w:r>
    </w:p>
  </w:footnote>
  <w:footnote w:id="1084">
    <w:p w14:paraId="0FC35524" w14:textId="711D5145" w:rsidR="000E1004" w:rsidRDefault="000E1004" w:rsidP="00071F47">
      <w:pPr>
        <w:pStyle w:val="FootnoteText"/>
      </w:pPr>
      <w:r>
        <w:rPr>
          <w:rStyle w:val="FootnoteReference"/>
        </w:rPr>
        <w:footnoteRef/>
      </w:r>
      <w:r>
        <w:t xml:space="preserve"> Beresford &amp; Hurst (1990, fig. 61, 83). Wrathmell (2012, 120, 139-62).</w:t>
      </w:r>
    </w:p>
  </w:footnote>
  <w:footnote w:id="1085">
    <w:p w14:paraId="0D78CD9B" w14:textId="3344CA2A" w:rsidR="000E1004" w:rsidRDefault="000E1004">
      <w:pPr>
        <w:pStyle w:val="FootnoteText"/>
      </w:pPr>
      <w:r>
        <w:rPr>
          <w:rStyle w:val="FootnoteReference"/>
        </w:rPr>
        <w:footnoteRef/>
      </w:r>
      <w:r>
        <w:t xml:space="preserve"> Directly uphill from the church. The cross fragment was also found here, perhaps indicating the site of an Anglian church, Beresford &amp; Hurst (1990, 83 &amp; </w:t>
      </w:r>
      <w:r w:rsidRPr="00DD34E8">
        <w:rPr>
          <w:i/>
        </w:rPr>
        <w:t>Fig</w:t>
      </w:r>
      <w:r>
        <w:t xml:space="preserve"> 62), Richards (1992, 93-4 and 2000, 200), Wrathmell (2012, 151).</w:t>
      </w:r>
    </w:p>
  </w:footnote>
  <w:footnote w:id="1086">
    <w:p w14:paraId="4F0898C9" w14:textId="13E45CD0" w:rsidR="000E1004" w:rsidRDefault="000E1004">
      <w:pPr>
        <w:pStyle w:val="FootnoteText"/>
      </w:pPr>
      <w:r>
        <w:rPr>
          <w:rStyle w:val="FootnoteReference"/>
        </w:rPr>
        <w:footnoteRef/>
      </w:r>
      <w:r>
        <w:t xml:space="preserve"> Wrathmell (2012, 146).</w:t>
      </w:r>
    </w:p>
  </w:footnote>
  <w:footnote w:id="1087">
    <w:p w14:paraId="5E31287D" w14:textId="12A19207" w:rsidR="000E1004" w:rsidRDefault="000E1004">
      <w:pPr>
        <w:pStyle w:val="FootnoteText"/>
      </w:pPr>
      <w:r>
        <w:rPr>
          <w:rStyle w:val="FootnoteReference"/>
        </w:rPr>
        <w:footnoteRef/>
      </w:r>
      <w:r>
        <w:t xml:space="preserve"> Beresford &amp; Hurst (1990, 73, illustration 54)</w:t>
      </w:r>
    </w:p>
  </w:footnote>
  <w:footnote w:id="1088">
    <w:p w14:paraId="0515AB1E" w14:textId="3B5DD72D" w:rsidR="000E1004" w:rsidRDefault="000E1004">
      <w:pPr>
        <w:pStyle w:val="FootnoteText"/>
      </w:pPr>
      <w:r>
        <w:rPr>
          <w:rStyle w:val="FootnoteReference"/>
        </w:rPr>
        <w:footnoteRef/>
      </w:r>
      <w:r>
        <w:t xml:space="preserve"> The terrace seems unused in the Anglo-Saxon period, Beresford &amp; Hurst (1990, 82).</w:t>
      </w:r>
    </w:p>
  </w:footnote>
  <w:footnote w:id="1089">
    <w:p w14:paraId="3C815F72" w14:textId="6F7E7AC9" w:rsidR="000E1004" w:rsidRDefault="000E1004" w:rsidP="003A0206">
      <w:pPr>
        <w:pStyle w:val="FootnoteText"/>
      </w:pPr>
      <w:r>
        <w:rPr>
          <w:rStyle w:val="FootnoteReference"/>
        </w:rPr>
        <w:footnoteRef/>
      </w:r>
      <w:r>
        <w:t xml:space="preserve"> Beresford &amp; Hurst (1990, 84).</w:t>
      </w:r>
    </w:p>
  </w:footnote>
  <w:footnote w:id="1090">
    <w:p w14:paraId="347DB2C8" w14:textId="77777777" w:rsidR="000E1004" w:rsidRDefault="000E1004" w:rsidP="005906BB">
      <w:pPr>
        <w:pStyle w:val="FootnoteText"/>
      </w:pPr>
      <w:r>
        <w:rPr>
          <w:rStyle w:val="FootnoteReference"/>
        </w:rPr>
        <w:footnoteRef/>
      </w:r>
      <w:r>
        <w:t xml:space="preserve"> Wrathmell (2012, 172).</w:t>
      </w:r>
    </w:p>
  </w:footnote>
  <w:footnote w:id="1091">
    <w:p w14:paraId="19B1AB5D" w14:textId="2C5BABEE" w:rsidR="000E1004" w:rsidRDefault="000E1004">
      <w:pPr>
        <w:pStyle w:val="FootnoteText"/>
      </w:pPr>
      <w:r>
        <w:rPr>
          <w:rStyle w:val="FootnoteReference"/>
        </w:rPr>
        <w:footnoteRef/>
      </w:r>
      <w:r>
        <w:t xml:space="preserve"> Wrathmell (2012, 178)</w:t>
      </w:r>
    </w:p>
  </w:footnote>
  <w:footnote w:id="1092">
    <w:p w14:paraId="53A5F847" w14:textId="1A17A54F" w:rsidR="000E1004" w:rsidRPr="00E1176D" w:rsidRDefault="000E1004" w:rsidP="00071F47">
      <w:pPr>
        <w:pStyle w:val="FootnoteText"/>
      </w:pPr>
      <w:r>
        <w:rPr>
          <w:rStyle w:val="FootnoteReference"/>
        </w:rPr>
        <w:footnoteRef/>
      </w:r>
      <w:r>
        <w:t xml:space="preserve"> The substantial, unexcavated, Roman</w:t>
      </w:r>
      <w:r>
        <w:fldChar w:fldCharType="begin"/>
      </w:r>
      <w:r>
        <w:instrText xml:space="preserve"> XE "</w:instrText>
      </w:r>
      <w:r w:rsidRPr="007645AE">
        <w:instrText>Roman</w:instrText>
      </w:r>
      <w:r>
        <w:instrText xml:space="preserve">" </w:instrText>
      </w:r>
      <w:r>
        <w:fldChar w:fldCharType="end"/>
      </w:r>
      <w:r>
        <w:t xml:space="preserve"> villa at Bishop Wilton is apparently also virtually devoid of coin, (</w:t>
      </w:r>
      <w:r>
        <w:rPr>
          <w:i/>
        </w:rPr>
        <w:t>p</w:t>
      </w:r>
      <w:r w:rsidRPr="00E1176D">
        <w:rPr>
          <w:i/>
        </w:rPr>
        <w:t>ers. comm.</w:t>
      </w:r>
      <w:r>
        <w:t xml:space="preserve"> Tony Laverack, 24</w:t>
      </w:r>
      <w:r w:rsidRPr="00E1176D">
        <w:rPr>
          <w:vertAlign w:val="superscript"/>
        </w:rPr>
        <w:t>th</w:t>
      </w:r>
      <w:r>
        <w:t xml:space="preserve"> February 2015).</w:t>
      </w:r>
      <w:r w:rsidRPr="00A72380">
        <w:t xml:space="preserve"> </w:t>
      </w:r>
      <w:r>
        <w:t>The associated townships of Duggleby, Towthorpe, Raisthorpe and Wharram-le-Street do not appear in the finds index. These counter-intuitive absences defy easy explanation.</w:t>
      </w:r>
    </w:p>
  </w:footnote>
  <w:footnote w:id="1093">
    <w:p w14:paraId="1C9186B8" w14:textId="34399CEE" w:rsidR="000E1004" w:rsidRDefault="000E1004">
      <w:pPr>
        <w:pStyle w:val="FootnoteText"/>
      </w:pPr>
      <w:r>
        <w:rPr>
          <w:rStyle w:val="FootnoteReference"/>
        </w:rPr>
        <w:footnoteRef/>
      </w:r>
      <w:r>
        <w:t xml:space="preserve"> Naylor (2004, 51).</w:t>
      </w:r>
    </w:p>
  </w:footnote>
  <w:footnote w:id="1094">
    <w:p w14:paraId="328C3FCE" w14:textId="77777777" w:rsidR="000E1004" w:rsidRDefault="000E1004" w:rsidP="00854613">
      <w:pPr>
        <w:pStyle w:val="FootnoteText"/>
      </w:pPr>
      <w:r>
        <w:rPr>
          <w:rStyle w:val="FootnoteReference"/>
        </w:rPr>
        <w:footnoteRef/>
      </w:r>
      <w:r>
        <w:t xml:space="preserve"> Loveluck (1996, plate 4).</w:t>
      </w:r>
    </w:p>
  </w:footnote>
  <w:footnote w:id="1095">
    <w:p w14:paraId="49787DC7" w14:textId="7D7D43DA" w:rsidR="000E1004" w:rsidRDefault="000E1004" w:rsidP="00854613">
      <w:pPr>
        <w:pStyle w:val="FootnoteText"/>
      </w:pPr>
      <w:r>
        <w:rPr>
          <w:rStyle w:val="FootnoteReference"/>
        </w:rPr>
        <w:footnoteRef/>
      </w:r>
      <w:r>
        <w:t xml:space="preserve"> Rigold (1960, 49 &amp; pl. 4). Rigold &amp;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(1984, 252).</w:t>
      </w:r>
    </w:p>
  </w:footnote>
  <w:footnote w:id="1096">
    <w:p w14:paraId="0F8AA8BC" w14:textId="3FEF1E7F" w:rsidR="000E1004" w:rsidRPr="003E0027" w:rsidRDefault="000E1004" w:rsidP="007717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
        <w:rPr>
          <w:rStyle w:val="FootnoteReference"/>
        </w:rPr>
        <w:footnoteRef/>
      </w:r>
      <w:r>
        <w:t xml:space="preserve"> </w:t>
      </w:r>
      <w:r w:rsidRPr="003E0027">
        <w:rPr>
          <w:rFonts w:asciiTheme="minorHAnsi" w:hAnsiTheme="minorHAnsi" w:cstheme="minorHAnsi"/>
          <w:sz w:val="20"/>
          <w:szCs w:val="20"/>
        </w:rPr>
        <w:t xml:space="preserve">Tentatively read as </w:t>
      </w:r>
      <w:r w:rsidRPr="003E0027">
        <w:rPr>
          <w:rFonts w:asciiTheme="minorHAnsi" w:hAnsiTheme="minorHAnsi" w:cstheme="minorHAnsi"/>
          <w:i/>
          <w:sz w:val="20"/>
          <w:szCs w:val="20"/>
        </w:rPr>
        <w:t xml:space="preserve">Sancte via </w:t>
      </w:r>
      <w:r w:rsidRPr="003E0027">
        <w:rPr>
          <w:rFonts w:asciiTheme="minorHAnsi" w:eastAsia="Times New Roman" w:hAnsiTheme="minorHAnsi" w:cstheme="minorHAnsi"/>
          <w:i/>
          <w:sz w:val="20"/>
          <w:szCs w:val="20"/>
          <w:lang w:eastAsia="en-GB"/>
        </w:rPr>
        <w:t>deus</w:t>
      </w:r>
      <w:r w:rsidR="00981658">
        <w:rPr>
          <w:rFonts w:asciiTheme="minorHAnsi" w:eastAsia="Times New Roman" w:hAnsiTheme="minorHAnsi" w:cstheme="minorHAnsi"/>
          <w:i/>
          <w:sz w:val="20"/>
          <w:szCs w:val="20"/>
          <w:lang w:eastAsia="en-GB"/>
        </w:rPr>
        <w:t xml:space="preserve"> Eoforwic</w:t>
      </w:r>
      <w:r>
        <w:rPr>
          <w:rFonts w:asciiTheme="minorHAnsi" w:eastAsia="Times New Roman" w:hAnsiTheme="minorHAnsi" w:cstheme="minorHAnsi"/>
          <w:sz w:val="20"/>
          <w:szCs w:val="20"/>
          <w:lang w:eastAsia="en-GB"/>
        </w:rPr>
        <w:t>, Holy God the way, reinforcing the ecclesiastical origins. Loveluck (2003, 168) took these to be ‘manifestations of royal influence’.</w:t>
      </w:r>
    </w:p>
    <w:p w14:paraId="5577F0EA" w14:textId="77777777" w:rsidR="000E1004" w:rsidRPr="003E0027" w:rsidRDefault="000E1004" w:rsidP="003E00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Courier New" w:eastAsia="Times New Roman" w:hAnsi="Courier New" w:cs="Courier New"/>
          <w:sz w:val="20"/>
          <w:szCs w:val="20"/>
          <w:lang w:eastAsia="en-GB"/>
        </w:rPr>
      </w:pPr>
    </w:p>
    <w:p w14:paraId="05F6F482" w14:textId="1B36A952" w:rsidR="000E1004" w:rsidRDefault="000E1004">
      <w:pPr>
        <w:pStyle w:val="FootnoteText"/>
      </w:pPr>
    </w:p>
  </w:footnote>
  <w:footnote w:id="1097">
    <w:p w14:paraId="57F6EC66" w14:textId="77777777" w:rsidR="000E1004" w:rsidRDefault="000E1004" w:rsidP="00F21B7D">
      <w:pPr>
        <w:pStyle w:val="FootnoteText"/>
      </w:pPr>
      <w:r>
        <w:rPr>
          <w:rStyle w:val="FootnoteReference"/>
        </w:rPr>
        <w:footnoteRef/>
      </w:r>
      <w:r>
        <w:t xml:space="preserve"> </w:t>
      </w:r>
      <w:r w:rsidRPr="00D945AD">
        <w:rPr>
          <w:i/>
        </w:rPr>
        <w:t>pers. comm.</w:t>
      </w:r>
      <w:r>
        <w:t xml:space="preserve"> Ian Bayles, 19</w:t>
      </w:r>
      <w:r w:rsidRPr="00D945AD">
        <w:rPr>
          <w:vertAlign w:val="superscript"/>
        </w:rPr>
        <w:t>th</w:t>
      </w:r>
      <w:r>
        <w:t xml:space="preserve"> June 2010. The PAS</w:t>
      </w:r>
      <w:r>
        <w:fldChar w:fldCharType="begin"/>
      </w:r>
      <w:r>
        <w:instrText xml:space="preserve"> XE "</w:instrText>
      </w:r>
      <w:r w:rsidRPr="007D3069">
        <w:instrText>PAS</w:instrText>
      </w:r>
      <w:r>
        <w:instrText xml:space="preserve">" </w:instrText>
      </w:r>
      <w:r>
        <w:fldChar w:fldCharType="end"/>
      </w:r>
      <w:r>
        <w:t xml:space="preserve"> entries are characteristically inaccurate. The bronze styca of Wulfhere</w:t>
      </w:r>
      <w:r>
        <w:fldChar w:fldCharType="begin"/>
      </w:r>
      <w:r>
        <w:instrText xml:space="preserve"> XE "</w:instrText>
      </w:r>
      <w:r w:rsidRPr="007645AE">
        <w:instrText>Wulfhere</w:instrText>
      </w:r>
      <w:r>
        <w:instrText xml:space="preserve">" </w:instrText>
      </w:r>
      <w:r>
        <w:fldChar w:fldCharType="end"/>
      </w:r>
      <w:r>
        <w:t xml:space="preserve"> is listed only in Pirie</w:t>
      </w:r>
      <w:r>
        <w:fldChar w:fldCharType="begin"/>
      </w:r>
      <w:r>
        <w:instrText xml:space="preserve"> XE "</w:instrText>
      </w:r>
      <w:r w:rsidRPr="007D3069">
        <w:instrText>Pirie</w:instrText>
      </w:r>
      <w:r>
        <w:instrText xml:space="preserve">" </w:instrText>
      </w:r>
      <w:r>
        <w:fldChar w:fldCharType="end"/>
      </w:r>
      <w:r>
        <w:t xml:space="preserve"> (2000, 129). Detectorist Stephen Reynolds is named in the YAT report as active in the 1990s.</w:t>
      </w:r>
    </w:p>
  </w:footnote>
  <w:footnote w:id="1098">
    <w:p w14:paraId="36D7EE41" w14:textId="77777777" w:rsidR="000E1004" w:rsidRPr="00021BF8" w:rsidRDefault="000E1004" w:rsidP="00F21B7D">
      <w:pPr>
        <w:pStyle w:val="FootnoteText"/>
      </w:pPr>
      <w:r>
        <w:rPr>
          <w:rStyle w:val="FootnoteReference"/>
        </w:rPr>
        <w:footnoteRef/>
      </w:r>
      <w:r>
        <w:t xml:space="preserve"> </w:t>
      </w:r>
      <w:r w:rsidRPr="00DB444C">
        <w:rPr>
          <w:i/>
        </w:rPr>
        <w:t>SL</w:t>
      </w:r>
      <w:r>
        <w:t xml:space="preserve"> 107-10. Cf Rendleham EMC</w:t>
      </w:r>
      <w:r>
        <w:fldChar w:fldCharType="begin"/>
      </w:r>
      <w:r>
        <w:instrText xml:space="preserve"> XE "</w:instrText>
      </w:r>
      <w:r w:rsidRPr="007D3069">
        <w:instrText>EMC</w:instrText>
      </w:r>
      <w:r>
        <w:instrText xml:space="preserve">" </w:instrText>
      </w:r>
      <w:r>
        <w:fldChar w:fldCharType="end"/>
      </w:r>
      <w:r>
        <w:t xml:space="preserve"> 2011-0141. In November 2015, a mule of an early Series R obverse with </w:t>
      </w:r>
      <w:r w:rsidRPr="00021BF8">
        <w:rPr>
          <w:i/>
        </w:rPr>
        <w:t>VICO</w:t>
      </w:r>
      <w:r>
        <w:t xml:space="preserve"> reverse (</w:t>
      </w:r>
      <w:r w:rsidRPr="00021BF8">
        <w:rPr>
          <w:i/>
        </w:rPr>
        <w:t>SL</w:t>
      </w:r>
      <w:r>
        <w:t xml:space="preserve"> 12-10, second known) surfaced.</w:t>
      </w:r>
    </w:p>
  </w:footnote>
  <w:footnote w:id="1099">
    <w:p w14:paraId="14DC0E5B" w14:textId="77777777" w:rsidR="000E1004" w:rsidRDefault="000E1004" w:rsidP="00F21B7D">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(2000, Appendix A 22-3).</w:t>
      </w:r>
    </w:p>
  </w:footnote>
  <w:footnote w:id="1100">
    <w:p w14:paraId="5AD5DAE9" w14:textId="6813D668" w:rsidR="000E1004" w:rsidRDefault="000E1004">
      <w:pPr>
        <w:pStyle w:val="FootnoteText"/>
      </w:pPr>
      <w:r>
        <w:rPr>
          <w:rStyle w:val="FootnoteReference"/>
        </w:rPr>
        <w:footnoteRef/>
      </w:r>
      <w:r>
        <w:t xml:space="preserve"> Hall (2003, 176-7).</w:t>
      </w:r>
      <w:r w:rsidRPr="00CA0FFA">
        <w:t xml:space="preserve"> </w:t>
      </w:r>
      <w:r>
        <w:t>Naylor (2004, 32).</w:t>
      </w:r>
    </w:p>
  </w:footnote>
  <w:footnote w:id="1101">
    <w:p w14:paraId="26F0D148" w14:textId="7E1A6F37" w:rsidR="000E1004" w:rsidRDefault="000E1004" w:rsidP="00854613">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(2014a, 54).</w:t>
      </w:r>
    </w:p>
  </w:footnote>
  <w:footnote w:id="1102">
    <w:p w14:paraId="7C565D7A" w14:textId="0A1566D9" w:rsidR="000E1004" w:rsidRDefault="000E1004">
      <w:pPr>
        <w:pStyle w:val="FootnoteText"/>
      </w:pPr>
      <w:r>
        <w:rPr>
          <w:rStyle w:val="FootnoteReference"/>
        </w:rPr>
        <w:footnoteRef/>
      </w:r>
      <w:r>
        <w:t xml:space="preserve"> </w:t>
      </w:r>
      <w:r w:rsidRPr="00705B66">
        <w:rPr>
          <w:i/>
        </w:rPr>
        <w:t>Pers. comm.</w:t>
      </w:r>
      <w:r>
        <w:t xml:space="preserve"> A Gillis, 1</w:t>
      </w:r>
      <w:r w:rsidRPr="00705B66">
        <w:rPr>
          <w:vertAlign w:val="superscript"/>
        </w:rPr>
        <w:t>st</w:t>
      </w:r>
      <w:r>
        <w:t xml:space="preserve"> December 2015.</w:t>
      </w:r>
    </w:p>
  </w:footnote>
  <w:footnote w:id="1103">
    <w:p w14:paraId="7F997AE3" w14:textId="77777777" w:rsidR="000E1004" w:rsidRDefault="000E1004" w:rsidP="00854613">
      <w:pPr>
        <w:pStyle w:val="FootnoteText"/>
      </w:pPr>
      <w:r>
        <w:rPr>
          <w:rStyle w:val="FootnoteReference"/>
        </w:rPr>
        <w:footnoteRef/>
      </w:r>
      <w:r>
        <w:t xml:space="preserve"> Leahy (2000, 72).</w:t>
      </w:r>
    </w:p>
  </w:footnote>
  <w:footnote w:id="1104">
    <w:p w14:paraId="3E0C5E76" w14:textId="0E8A9DC7" w:rsidR="000E1004" w:rsidRDefault="000E1004" w:rsidP="00854613">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archive, Thwing</w:t>
      </w:r>
      <w:r>
        <w:fldChar w:fldCharType="begin"/>
      </w:r>
      <w:r>
        <w:instrText xml:space="preserve"> XE "</w:instrText>
      </w:r>
      <w:r w:rsidRPr="004D76A0">
        <w:rPr>
          <w:rStyle w:val="Hyperlink"/>
          <w:noProof/>
        </w:rPr>
        <w:instrText>Thwing</w:instrText>
      </w:r>
      <w:r>
        <w:instrText xml:space="preserve">" </w:instrText>
      </w:r>
      <w:r>
        <w:fldChar w:fldCharType="end"/>
      </w:r>
      <w:r>
        <w:t xml:space="preserve"> plate.</w:t>
      </w:r>
    </w:p>
  </w:footnote>
  <w:footnote w:id="1105">
    <w:p w14:paraId="7B90A26A" w14:textId="4B59396A" w:rsidR="000E1004" w:rsidRDefault="000E1004" w:rsidP="00854613">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(1995a). EMC</w:t>
      </w:r>
      <w:r>
        <w:fldChar w:fldCharType="begin"/>
      </w:r>
      <w:r>
        <w:instrText xml:space="preserve"> XE "</w:instrText>
      </w:r>
      <w:r w:rsidRPr="007D3069">
        <w:instrText>EMC</w:instrText>
      </w:r>
      <w:r>
        <w:instrText xml:space="preserve">" </w:instrText>
      </w:r>
      <w:r>
        <w:fldChar w:fldCharType="end"/>
      </w:r>
      <w:r>
        <w:t xml:space="preserve"> </w:t>
      </w:r>
      <w:r w:rsidRPr="00A5013E">
        <w:t>1995.6001</w:t>
      </w:r>
      <w:r>
        <w:t>.</w:t>
      </w:r>
    </w:p>
  </w:footnote>
  <w:footnote w:id="1106">
    <w:p w14:paraId="7E637E9A" w14:textId="0BB9B8CF" w:rsidR="000E1004" w:rsidRDefault="000E1004" w:rsidP="00854613">
      <w:pPr>
        <w:pStyle w:val="FootnoteText"/>
      </w:pPr>
      <w:r>
        <w:rPr>
          <w:rStyle w:val="FootnoteReference"/>
        </w:rPr>
        <w:footnoteRef/>
      </w:r>
      <w:r>
        <w:t xml:space="preserve"> TA I245, </w:t>
      </w:r>
      <w:r w:rsidRPr="00F95CD0">
        <w:t>EMC</w:t>
      </w:r>
      <w:r>
        <w:fldChar w:fldCharType="begin"/>
      </w:r>
      <w:r>
        <w:instrText xml:space="preserve"> XE "</w:instrText>
      </w:r>
      <w:r w:rsidRPr="007D3069">
        <w:instrText>EMC</w:instrText>
      </w:r>
      <w:r>
        <w:instrText xml:space="preserve">" </w:instrText>
      </w:r>
      <w:r>
        <w:fldChar w:fldCharType="end"/>
      </w:r>
      <w:r w:rsidRPr="00F95CD0">
        <w:t xml:space="preserve"> 2009.0018, cf </w:t>
      </w:r>
      <w:r w:rsidRPr="00A528E1">
        <w:rPr>
          <w:i/>
        </w:rPr>
        <w:t>MEC</w:t>
      </w:r>
      <w:r w:rsidRPr="00F95CD0">
        <w:t xml:space="preserve"> </w:t>
      </w:r>
      <w:r>
        <w:t>(1986,</w:t>
      </w:r>
      <w:r w:rsidRPr="006D7168">
        <w:t xml:space="preserve"> </w:t>
      </w:r>
      <w:r w:rsidRPr="00F95CD0">
        <w:t>541</w:t>
      </w:r>
      <w:r>
        <w:t>)</w:t>
      </w:r>
      <w:r w:rsidRPr="00F95CD0">
        <w:t xml:space="preserve">, Prou </w:t>
      </w:r>
      <w:r>
        <w:t xml:space="preserve">(1892, </w:t>
      </w:r>
      <w:r w:rsidRPr="00F95CD0">
        <w:t>99-110</w:t>
      </w:r>
      <w:r>
        <w:t>)</w:t>
      </w:r>
      <w:r w:rsidRPr="00F95CD0">
        <w:t>. Similar in Cimiez hoard.</w:t>
      </w:r>
    </w:p>
  </w:footnote>
  <w:footnote w:id="1107">
    <w:p w14:paraId="49FCCC36" w14:textId="571DD013" w:rsidR="000E1004" w:rsidRDefault="000E1004" w:rsidP="00854613">
      <w:pPr>
        <w:pStyle w:val="FootnoteText"/>
      </w:pPr>
      <w:r>
        <w:rPr>
          <w:rStyle w:val="FootnoteReference"/>
        </w:rPr>
        <w:footnoteRef/>
      </w:r>
      <w:r>
        <w:t xml:space="preserve"> Behr (2014, 78).</w:t>
      </w:r>
    </w:p>
  </w:footnote>
  <w:footnote w:id="1108">
    <w:p w14:paraId="6A4F2168" w14:textId="0BAABCF1" w:rsidR="000E1004" w:rsidRDefault="000E1004" w:rsidP="00956154">
      <w:pPr>
        <w:pStyle w:val="FootnoteText"/>
      </w:pPr>
      <w:r>
        <w:rPr>
          <w:rStyle w:val="FootnoteReference"/>
        </w:rPr>
        <w:footnoteRef/>
      </w:r>
      <w:r>
        <w:t xml:space="preserve"> Grave goods from </w:t>
      </w:r>
      <w:r>
        <w:rPr>
          <w:szCs w:val="24"/>
        </w:rPr>
        <w:t>Spofforth</w:t>
      </w:r>
      <w:r>
        <w:rPr>
          <w:szCs w:val="24"/>
        </w:rPr>
        <w:fldChar w:fldCharType="begin"/>
      </w:r>
      <w:r>
        <w:instrText xml:space="preserve"> XE "</w:instrText>
      </w:r>
      <w:r w:rsidRPr="004D76A0">
        <w:rPr>
          <w:rStyle w:val="Hyperlink"/>
          <w:noProof/>
        </w:rPr>
        <w:instrText>Spofforth</w:instrText>
      </w:r>
      <w:r>
        <w:instrText xml:space="preserve">" </w:instrText>
      </w:r>
      <w:r>
        <w:rPr>
          <w:szCs w:val="24"/>
        </w:rPr>
        <w:fldChar w:fldCharType="end"/>
      </w:r>
      <w:r>
        <w:rPr>
          <w:szCs w:val="24"/>
        </w:rPr>
        <w:t xml:space="preserve"> included seventeen coins of all metals.</w:t>
      </w:r>
    </w:p>
  </w:footnote>
  <w:footnote w:id="1109">
    <w:p w14:paraId="14E17112" w14:textId="77777777" w:rsidR="000E1004" w:rsidRDefault="000E1004" w:rsidP="000B7705">
      <w:pPr>
        <w:pStyle w:val="FootnoteText"/>
      </w:pPr>
      <w:r>
        <w:rPr>
          <w:rStyle w:val="FootnoteReference"/>
        </w:rPr>
        <w:footnoteRef/>
      </w:r>
      <w:r>
        <w:t xml:space="preserve"> </w:t>
      </w:r>
      <w:r w:rsidRPr="00CC0557">
        <w:t>YORYM-554033</w:t>
      </w:r>
      <w:r>
        <w:t>, Treasure Case 2011 T591 &amp; 2012 T264, mainly brooches, strap ends and the human remains.</w:t>
      </w:r>
      <w:r w:rsidRPr="00CC0557">
        <w:t xml:space="preserve"> </w:t>
      </w:r>
      <w:r>
        <w:t>If this hoard is discounted and the metal working fragments from cremations at Rudston</w:t>
      </w:r>
      <w:r>
        <w:fldChar w:fldCharType="begin"/>
      </w:r>
      <w:r>
        <w:instrText xml:space="preserve"> XE "</w:instrText>
      </w:r>
      <w:r w:rsidRPr="004D76A0">
        <w:rPr>
          <w:rStyle w:val="Hyperlink"/>
          <w:noProof/>
        </w:rPr>
        <w:instrText>Rudston</w:instrText>
      </w:r>
      <w:r>
        <w:instrText xml:space="preserve">" </w:instrText>
      </w:r>
      <w:r>
        <w:fldChar w:fldCharType="end"/>
      </w:r>
      <w:r>
        <w:t xml:space="preserve"> are regarded as eight finds rather than thirty-four fragments, the two dominant sites account for 71.9% of 224 objects.</w:t>
      </w:r>
    </w:p>
  </w:footnote>
  <w:footnote w:id="1110">
    <w:p w14:paraId="59EB675B" w14:textId="5FC68531" w:rsidR="000E1004" w:rsidRPr="00C8219D" w:rsidRDefault="000E1004">
      <w:pPr>
        <w:pStyle w:val="FootnoteText"/>
      </w:pPr>
      <w:r>
        <w:rPr>
          <w:rStyle w:val="FootnoteReference"/>
        </w:rPr>
        <w:footnoteRef/>
      </w:r>
      <w:r>
        <w:t xml:space="preserve"> Correlations for single finds [4a-N10c] are west: 94%, central (including Sledmere): 75%, and east: 94%. For sceats alone, the west shows a strong correlation (92%), central, no correlation,</w:t>
      </w:r>
      <w:r w:rsidRPr="00AB6678">
        <w:t xml:space="preserve"> </w:t>
      </w:r>
      <w:r>
        <w:t xml:space="preserve">and east, moderate (82%). The centre is anomalous due to the weighting of Sledmere. </w:t>
      </w:r>
      <w:r w:rsidRPr="00C8219D">
        <w:t>Basing co</w:t>
      </w:r>
      <w:r>
        <w:t xml:space="preserve">mputation </w:t>
      </w:r>
      <w:r w:rsidRPr="00C8219D">
        <w:t xml:space="preserve">on </w:t>
      </w:r>
      <w:r w:rsidRPr="00C8219D">
        <w:rPr>
          <w:i/>
        </w:rPr>
        <w:t>Table</w:t>
      </w:r>
      <w:r>
        <w:t xml:space="preserve"> 8.16, strengthens the sceat correlation, by the inclusion of many more minor sites.</w:t>
      </w:r>
    </w:p>
  </w:footnote>
  <w:footnote w:id="1111">
    <w:p w14:paraId="7B9DD2EA" w14:textId="77777777" w:rsidR="000E1004" w:rsidRDefault="000E1004" w:rsidP="00854613">
      <w:pPr>
        <w:pStyle w:val="FootnoteText"/>
      </w:pPr>
      <w:r>
        <w:rPr>
          <w:rStyle w:val="FootnoteReference"/>
        </w:rPr>
        <w:footnoteRef/>
      </w:r>
      <w:r>
        <w:t xml:space="preserve"> Wickham (2005, 807).</w:t>
      </w:r>
    </w:p>
  </w:footnote>
  <w:footnote w:id="1112">
    <w:p w14:paraId="70B15285" w14:textId="77777777" w:rsidR="000E1004" w:rsidRDefault="000E1004" w:rsidP="00854613">
      <w:pPr>
        <w:pStyle w:val="FootnoteText"/>
      </w:pPr>
      <w:r>
        <w:rPr>
          <w:rStyle w:val="FootnoteReference"/>
        </w:rPr>
        <w:footnoteRef/>
      </w:r>
      <w:r>
        <w:t xml:space="preserve"> Bonser (2011, 163).</w:t>
      </w:r>
    </w:p>
  </w:footnote>
  <w:footnote w:id="1113">
    <w:p w14:paraId="5DB79E4B" w14:textId="5E5AF6F3" w:rsidR="000E1004" w:rsidRDefault="000E1004" w:rsidP="00854613">
      <w:pPr>
        <w:pStyle w:val="FootnoteText"/>
      </w:pPr>
      <w:r>
        <w:rPr>
          <w:rStyle w:val="FootnoteReference"/>
        </w:rPr>
        <w:footnoteRef/>
      </w:r>
      <w:r>
        <w:t xml:space="preserve"> Armstrong</w:t>
      </w:r>
      <w:r w:rsidRPr="00323845">
        <w:rPr>
          <w:i/>
        </w:rPr>
        <w:t xml:space="preserve"> et al</w:t>
      </w:r>
      <w:r>
        <w:rPr>
          <w:i/>
        </w:rPr>
        <w:t xml:space="preserve"> </w:t>
      </w:r>
      <w:r>
        <w:t>(1991, 1 &amp; 243). Woodman (2012, 173-86).</w:t>
      </w:r>
    </w:p>
  </w:footnote>
  <w:footnote w:id="1114">
    <w:p w14:paraId="68408553" w14:textId="301B1CAE" w:rsidR="000E1004" w:rsidRDefault="000E1004" w:rsidP="00854613">
      <w:pPr>
        <w:pStyle w:val="FootnoteText"/>
      </w:pPr>
      <w:r>
        <w:rPr>
          <w:rStyle w:val="FootnoteReference"/>
        </w:rPr>
        <w:footnoteRef/>
      </w:r>
      <w:r>
        <w:t xml:space="preserve"> </w:t>
      </w:r>
      <w:hyperlink r:id="rId46" w:history="1">
        <w:r w:rsidRPr="001B2A56">
          <w:rPr>
            <w:rStyle w:val="Hyperlink"/>
          </w:rPr>
          <w:t>http://intarch.ac.uk/journal/issue25/2/4.4.6.html</w:t>
        </w:r>
      </w:hyperlink>
    </w:p>
  </w:footnote>
  <w:footnote w:id="1115">
    <w:p w14:paraId="0E47B871" w14:textId="77777777" w:rsidR="000E1004" w:rsidRDefault="000E1004" w:rsidP="00854613">
      <w:pPr>
        <w:pStyle w:val="FootnoteText"/>
      </w:pPr>
      <w:r>
        <w:rPr>
          <w:rStyle w:val="FootnoteReference"/>
        </w:rPr>
        <w:footnoteRef/>
      </w:r>
      <w:r>
        <w:t xml:space="preserve"> My italics</w:t>
      </w:r>
    </w:p>
  </w:footnote>
  <w:footnote w:id="1116">
    <w:p w14:paraId="707B811E" w14:textId="4B4C660C" w:rsidR="000E1004" w:rsidRDefault="000E1004" w:rsidP="00854613">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(1987, 127 &amp; 1991).</w:t>
      </w:r>
      <w:r w:rsidRPr="001D3E9E">
        <w:t xml:space="preserve"> </w:t>
      </w:r>
      <w:r>
        <w:t>Archibald (2009, 417-18).</w:t>
      </w:r>
    </w:p>
  </w:footnote>
  <w:footnote w:id="1117">
    <w:p w14:paraId="74C6F05E" w14:textId="24A98AC2" w:rsidR="000E1004" w:rsidRDefault="000E1004">
      <w:pPr>
        <w:pStyle w:val="FootnoteText"/>
      </w:pPr>
      <w:r>
        <w:rPr>
          <w:rStyle w:val="FootnoteReference"/>
        </w:rPr>
        <w:footnoteRef/>
      </w:r>
      <w:r>
        <w:t xml:space="preserve"> </w:t>
      </w:r>
      <w:r w:rsidRPr="00E46CC5">
        <w:t>Metcalf</w:t>
      </w:r>
      <w:r>
        <w:t>, (1993, 247).</w:t>
      </w:r>
    </w:p>
  </w:footnote>
  <w:footnote w:id="1118">
    <w:p w14:paraId="6CAF5127" w14:textId="1B79AEFE" w:rsidR="000E1004" w:rsidRDefault="000E1004">
      <w:pPr>
        <w:pStyle w:val="FootnoteText"/>
      </w:pPr>
      <w:r>
        <w:rPr>
          <w:rStyle w:val="FootnoteReference"/>
        </w:rPr>
        <w:footnoteRef/>
      </w:r>
      <w:r>
        <w:t xml:space="preserve"> </w:t>
      </w:r>
      <w:r w:rsidRPr="00A07A08">
        <w:rPr>
          <w:i/>
        </w:rPr>
        <w:t>Graph 7.</w:t>
      </w:r>
      <w:r>
        <w:rPr>
          <w:i/>
        </w:rPr>
        <w:t>07 no. 34</w:t>
      </w:r>
      <w:r>
        <w:t>.</w:t>
      </w:r>
    </w:p>
  </w:footnote>
  <w:footnote w:id="1119">
    <w:p w14:paraId="4D155355" w14:textId="0889FFEF" w:rsidR="000E1004" w:rsidRDefault="000E1004" w:rsidP="00854613">
      <w:pPr>
        <w:pStyle w:val="FootnoteText"/>
      </w:pPr>
      <w:r>
        <w:rPr>
          <w:rStyle w:val="FootnoteReference"/>
        </w:rPr>
        <w:footnoteRef/>
      </w:r>
      <w:r>
        <w:t xml:space="preserve"> Armstrong </w:t>
      </w:r>
      <w:r w:rsidRPr="00323845">
        <w:rPr>
          <w:i/>
        </w:rPr>
        <w:t xml:space="preserve">et </w:t>
      </w:r>
      <w:r w:rsidRPr="00B83E94">
        <w:t>al</w:t>
      </w:r>
      <w:r>
        <w:t xml:space="preserve"> (1999, </w:t>
      </w:r>
      <w:r w:rsidRPr="00B83E94">
        <w:t>1</w:t>
      </w:r>
      <w:r>
        <w:t xml:space="preserve"> &amp; 243). Cessation of Lundenwic</w:t>
      </w:r>
      <w:r>
        <w:fldChar w:fldCharType="begin"/>
      </w:r>
      <w:r>
        <w:instrText xml:space="preserve"> XE "</w:instrText>
      </w:r>
      <w:r w:rsidRPr="007D3069">
        <w:rPr>
          <w:rFonts w:cs="Times New Roman"/>
          <w:i/>
          <w:color w:val="000000" w:themeColor="text1"/>
          <w:szCs w:val="24"/>
        </w:rPr>
        <w:instrText>Lundenwic</w:instrText>
      </w:r>
      <w:r>
        <w:instrText xml:space="preserve">" </w:instrText>
      </w:r>
      <w:r>
        <w:fldChar w:fldCharType="end"/>
      </w:r>
      <w:r>
        <w:t xml:space="preserve"> is similarly misattributed.</w:t>
      </w:r>
    </w:p>
  </w:footnote>
  <w:footnote w:id="1120">
    <w:p w14:paraId="47F28265" w14:textId="4C343C7E" w:rsidR="000E1004" w:rsidRDefault="000E1004">
      <w:pPr>
        <w:pStyle w:val="FootnoteText"/>
      </w:pPr>
      <w:r>
        <w:rPr>
          <w:rStyle w:val="FootnoteReference"/>
        </w:rPr>
        <w:footnoteRef/>
      </w:r>
      <w:r>
        <w:t xml:space="preserve"> Van de Noort and Davies (1993, 82).</w:t>
      </w:r>
    </w:p>
  </w:footnote>
  <w:footnote w:id="1121">
    <w:p w14:paraId="462AD266" w14:textId="47E46586" w:rsidR="000E1004" w:rsidRDefault="000E1004" w:rsidP="00854613">
      <w:pPr>
        <w:pStyle w:val="FootnoteText"/>
      </w:pPr>
      <w:r>
        <w:rPr>
          <w:rStyle w:val="FootnoteReference"/>
        </w:rPr>
        <w:footnoteRef/>
      </w:r>
      <w:r>
        <w:t xml:space="preserve"> Naylor</w:t>
      </w:r>
      <w:r>
        <w:fldChar w:fldCharType="begin"/>
      </w:r>
      <w:r>
        <w:instrText xml:space="preserve"> XE "</w:instrText>
      </w:r>
      <w:r w:rsidRPr="007D3069">
        <w:rPr>
          <w:rFonts w:cs="Times New Roman"/>
          <w:szCs w:val="24"/>
        </w:rPr>
        <w:instrText>Naylor</w:instrText>
      </w:r>
      <w:r>
        <w:instrText xml:space="preserve">" </w:instrText>
      </w:r>
      <w:r>
        <w:fldChar w:fldCharType="end"/>
      </w:r>
      <w:r>
        <w:t xml:space="preserve"> &amp; Allen, (2014, 157, C12).</w:t>
      </w:r>
    </w:p>
  </w:footnote>
  <w:footnote w:id="1122">
    <w:p w14:paraId="73D669D2" w14:textId="77777777" w:rsidR="000E1004" w:rsidRDefault="000E1004" w:rsidP="00854613">
      <w:pPr>
        <w:pStyle w:val="FootnoteText"/>
      </w:pPr>
      <w:r>
        <w:rPr>
          <w:rStyle w:val="FootnoteReference"/>
        </w:rPr>
        <w:footnoteRef/>
      </w:r>
      <w:r>
        <w:t xml:space="preserve"> </w:t>
      </w:r>
      <w:r w:rsidRPr="00474EC0">
        <w:t>YORYM 78A342</w:t>
      </w:r>
      <w:r>
        <w:t>.</w:t>
      </w:r>
    </w:p>
  </w:footnote>
  <w:footnote w:id="1123">
    <w:p w14:paraId="03A6842B" w14:textId="77777777" w:rsidR="000E1004" w:rsidRDefault="000E1004" w:rsidP="00697BBB">
      <w:pPr>
        <w:pStyle w:val="FootnoteText"/>
      </w:pPr>
      <w:r>
        <w:rPr>
          <w:rStyle w:val="FootnoteReference"/>
        </w:rPr>
        <w:footnoteRef/>
      </w:r>
      <w:r>
        <w:t xml:space="preserve"> Morris (2012, 223).</w:t>
      </w:r>
    </w:p>
  </w:footnote>
  <w:footnote w:id="1124">
    <w:p w14:paraId="2629283C" w14:textId="77777777" w:rsidR="000E1004" w:rsidRDefault="000E1004" w:rsidP="00697BBB">
      <w:pPr>
        <w:pStyle w:val="FootnoteText"/>
      </w:pPr>
      <w:r>
        <w:rPr>
          <w:rStyle w:val="FootnoteReference"/>
        </w:rPr>
        <w:footnoteRef/>
      </w:r>
      <w:r>
        <w:t xml:space="preserve"> </w:t>
      </w:r>
      <w:r w:rsidRPr="000F78D6">
        <w:rPr>
          <w:i/>
        </w:rPr>
        <w:t>Ibid</w:t>
      </w:r>
      <w:r>
        <w:t>.</w:t>
      </w:r>
    </w:p>
  </w:footnote>
  <w:footnote w:id="1125">
    <w:p w14:paraId="13F94BA2" w14:textId="553FE06B" w:rsidR="000E1004" w:rsidRDefault="000E1004" w:rsidP="00697BBB">
      <w:pPr>
        <w:pStyle w:val="FootnoteText"/>
      </w:pPr>
      <w:r>
        <w:rPr>
          <w:rStyle w:val="FootnoteReference"/>
        </w:rPr>
        <w:footnoteRef/>
      </w:r>
      <w:r>
        <w:t xml:space="preserve"> Powlesland (2003, 27-8). Loveluck (2003, 154).</w:t>
      </w:r>
    </w:p>
  </w:footnote>
  <w:footnote w:id="1126">
    <w:p w14:paraId="58418AEF" w14:textId="04CEA379" w:rsidR="000E1004" w:rsidRDefault="000E1004" w:rsidP="00F61D16">
      <w:pPr>
        <w:pStyle w:val="FootnoteText"/>
      </w:pPr>
      <w:r>
        <w:rPr>
          <w:rStyle w:val="FootnoteReference"/>
        </w:rPr>
        <w:footnoteRef/>
      </w:r>
      <w:r>
        <w:t xml:space="preserve"> An entry in the Bonser archive for 7</w:t>
      </w:r>
      <w:r w:rsidRPr="00E164A4">
        <w:rPr>
          <w:vertAlign w:val="superscript"/>
        </w:rPr>
        <w:t>th</w:t>
      </w:r>
      <w:r>
        <w:t xml:space="preserve"> December 1994 mentioned a Frisian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xml:space="preserve"> coin of the National Series</w:t>
      </w:r>
      <w:r>
        <w:fldChar w:fldCharType="begin"/>
      </w:r>
      <w:r>
        <w:instrText xml:space="preserve"> XE "</w:instrText>
      </w:r>
      <w:r w:rsidRPr="00F1328A">
        <w:rPr>
          <w:rStyle w:val="Hyperlink"/>
          <w:noProof/>
        </w:rPr>
        <w:instrText>National Series</w:instrText>
      </w:r>
      <w:r>
        <w:instrText xml:space="preserve">" </w:instrText>
      </w:r>
      <w:r>
        <w:fldChar w:fldCharType="end"/>
      </w:r>
      <w:r>
        <w:t xml:space="preserve"> found in the Malton</w:t>
      </w:r>
      <w:r>
        <w:fldChar w:fldCharType="begin"/>
      </w:r>
      <w:r>
        <w:instrText xml:space="preserve"> XE "</w:instrText>
      </w:r>
      <w:r w:rsidRPr="004D76A0">
        <w:rPr>
          <w:rStyle w:val="Hyperlink"/>
          <w:noProof/>
        </w:rPr>
        <w:instrText>Malton</w:instrText>
      </w:r>
      <w:r>
        <w:instrText xml:space="preserve">" </w:instrText>
      </w:r>
      <w:r>
        <w:fldChar w:fldCharType="end"/>
      </w:r>
      <w:r>
        <w:t>/Driffield</w:t>
      </w:r>
      <w:r>
        <w:fldChar w:fldCharType="begin"/>
      </w:r>
      <w:r>
        <w:instrText xml:space="preserve"> XE "</w:instrText>
      </w:r>
      <w:r w:rsidRPr="004D76A0">
        <w:rPr>
          <w:rStyle w:val="Hyperlink"/>
          <w:rFonts w:eastAsia="Times New Roman"/>
          <w:noProof/>
          <w:lang w:eastAsia="en-GB"/>
        </w:rPr>
        <w:instrText>Driffield</w:instrText>
      </w:r>
      <w:r>
        <w:instrText xml:space="preserve">" </w:instrText>
      </w:r>
      <w:r>
        <w:fldChar w:fldCharType="end"/>
      </w:r>
      <w:r>
        <w:t xml:space="preserve"> area.</w:t>
      </w:r>
    </w:p>
  </w:footnote>
  <w:footnote w:id="1127">
    <w:p w14:paraId="3DC27AFE" w14:textId="77777777" w:rsidR="0012026B" w:rsidRPr="00EC0229" w:rsidRDefault="000E1004" w:rsidP="0012026B">
      <w:pPr>
        <w:pStyle w:val="FootnoteText"/>
        <w:rPr>
          <w:i/>
        </w:rPr>
      </w:pPr>
      <w:r>
        <w:rPr>
          <w:rStyle w:val="FootnoteReference"/>
        </w:rPr>
        <w:footnoteRef/>
      </w:r>
      <w:r>
        <w:t xml:space="preserve"> Abramson collection I100, </w:t>
      </w:r>
      <w:r>
        <w:rPr>
          <w:i/>
        </w:rPr>
        <w:t>SL</w:t>
      </w:r>
      <w:r>
        <w:t xml:space="preserve"> 44-10. See </w:t>
      </w:r>
      <w:r w:rsidRPr="00964F08">
        <w:fldChar w:fldCharType="begin"/>
      </w:r>
      <w:r w:rsidRPr="00964F08">
        <w:instrText xml:space="preserve"> REF _Ref430246344 \h </w:instrText>
      </w:r>
      <w:r>
        <w:instrText xml:space="preserve"> \* MERGEFORMAT </w:instrText>
      </w:r>
      <w:r w:rsidRPr="00964F08">
        <w:fldChar w:fldCharType="separate"/>
      </w:r>
    </w:p>
    <w:p w14:paraId="26BA0991" w14:textId="2340D403" w:rsidR="000E1004" w:rsidRPr="00992AE4" w:rsidRDefault="0012026B" w:rsidP="00964F08">
      <w:pPr>
        <w:pStyle w:val="FootnoteText"/>
      </w:pPr>
      <w:r w:rsidRPr="0012026B">
        <w:t>Figure</w:t>
      </w:r>
      <w:r w:rsidRPr="00EC0229">
        <w:rPr>
          <w:noProof/>
        </w:rPr>
        <w:t xml:space="preserve"> </w:t>
      </w:r>
      <w:r>
        <w:rPr>
          <w:noProof/>
        </w:rPr>
        <w:t>39</w:t>
      </w:r>
      <w:r w:rsidR="000E1004" w:rsidRPr="00964F08">
        <w:fldChar w:fldCharType="end"/>
      </w:r>
      <w:r w:rsidR="000E1004" w:rsidRPr="00964F08">
        <w:t>.</w:t>
      </w:r>
    </w:p>
  </w:footnote>
  <w:footnote w:id="1128">
    <w:p w14:paraId="1384CBA6" w14:textId="77777777" w:rsidR="000E1004" w:rsidRDefault="000E1004" w:rsidP="00697BBB">
      <w:pPr>
        <w:pStyle w:val="FootnoteText"/>
      </w:pPr>
      <w:r>
        <w:rPr>
          <w:rStyle w:val="FootnoteReference"/>
        </w:rPr>
        <w:footnoteRef/>
      </w:r>
      <w:r>
        <w:t xml:space="preserve"> Morris (</w:t>
      </w:r>
      <w:r w:rsidRPr="00863281">
        <w:rPr>
          <w:i/>
        </w:rPr>
        <w:t>pers</w:t>
      </w:r>
      <w:r>
        <w:t xml:space="preserve">. </w:t>
      </w:r>
      <w:r w:rsidRPr="00863281">
        <w:rPr>
          <w:i/>
        </w:rPr>
        <w:t>comm</w:t>
      </w:r>
      <w:r>
        <w:t>.) 4</w:t>
      </w:r>
      <w:r w:rsidRPr="00863281">
        <w:rPr>
          <w:vertAlign w:val="superscript"/>
        </w:rPr>
        <w:t>th</w:t>
      </w:r>
      <w:r>
        <w:t xml:space="preserve"> March 2015.</w:t>
      </w:r>
    </w:p>
  </w:footnote>
  <w:footnote w:id="1129">
    <w:p w14:paraId="6885583F" w14:textId="27DEBE55" w:rsidR="000E1004" w:rsidRDefault="000E1004" w:rsidP="00697BBB">
      <w:pPr>
        <w:pStyle w:val="FootnoteText"/>
      </w:pPr>
      <w:r>
        <w:rPr>
          <w:rStyle w:val="FootnoteReference"/>
        </w:rPr>
        <w:footnoteRef/>
      </w:r>
      <w:r>
        <w:t xml:space="preserve"> Were all disguises so effective this thesis would be rendered</w:t>
      </w:r>
      <w:r w:rsidRPr="00DC3ED5">
        <w:t xml:space="preserve"> </w:t>
      </w:r>
      <w:r>
        <w:t xml:space="preserve">worthless. The Eboracum ‘Ryedale’ hoard, dated to </w:t>
      </w:r>
      <w:r w:rsidRPr="009F5CFD">
        <w:rPr>
          <w:i/>
        </w:rPr>
        <w:t>c.</w:t>
      </w:r>
      <w:r>
        <w:t xml:space="preserve"> 930-5, is from the Vale of York</w:t>
      </w:r>
      <w:r>
        <w:fldChar w:fldCharType="begin"/>
      </w:r>
      <w:r>
        <w:instrText xml:space="preserve"> XE "</w:instrText>
      </w:r>
      <w:r w:rsidRPr="00F1328A">
        <w:rPr>
          <w:rStyle w:val="Hyperlink"/>
          <w:noProof/>
        </w:rPr>
        <w:instrText>York</w:instrText>
      </w:r>
      <w:r>
        <w:instrText xml:space="preserve">" </w:instrText>
      </w:r>
      <w:r>
        <w:fldChar w:fldCharType="end"/>
      </w:r>
      <w:r>
        <w:t>, see PAS</w:t>
      </w:r>
      <w:r>
        <w:fldChar w:fldCharType="begin"/>
      </w:r>
      <w:r>
        <w:instrText xml:space="preserve"> XE "</w:instrText>
      </w:r>
      <w:r w:rsidRPr="007D3069">
        <w:instrText>PAS</w:instrText>
      </w:r>
      <w:r>
        <w:instrText xml:space="preserve">" </w:instrText>
      </w:r>
      <w:r>
        <w:fldChar w:fldCharType="end"/>
      </w:r>
      <w:r>
        <w:t xml:space="preserve"> YORYM-BC3AB2.</w:t>
      </w:r>
    </w:p>
  </w:footnote>
  <w:footnote w:id="1130">
    <w:p w14:paraId="5E976AE3" w14:textId="19E6639E" w:rsidR="000E1004" w:rsidRDefault="000E1004" w:rsidP="00697BBB">
      <w:pPr>
        <w:pStyle w:val="FootnoteText"/>
      </w:pPr>
      <w:r>
        <w:rPr>
          <w:rStyle w:val="FootnoteReference"/>
        </w:rPr>
        <w:footnoteRef/>
      </w:r>
      <w:r>
        <w:t xml:space="preserve"> The only other specimen is from Pocklington</w:t>
      </w:r>
      <w:r>
        <w:fldChar w:fldCharType="begin"/>
      </w:r>
      <w:r>
        <w:instrText xml:space="preserve"> XE "</w:instrText>
      </w:r>
      <w:r w:rsidRPr="004D76A0">
        <w:rPr>
          <w:rStyle w:val="Hyperlink"/>
          <w:noProof/>
        </w:rPr>
        <w:instrText>Pocklington</w:instrText>
      </w:r>
      <w:r>
        <w:instrText xml:space="preserve">" </w:instrText>
      </w:r>
      <w:r>
        <w:fldChar w:fldCharType="end"/>
      </w:r>
      <w:r>
        <w:t xml:space="preserve"> (</w:t>
      </w:r>
      <w:r>
        <w:fldChar w:fldCharType="begin"/>
      </w:r>
      <w:r>
        <w:instrText xml:space="preserve"> PAGEREF Pocklington \h </w:instrText>
      </w:r>
      <w:r>
        <w:fldChar w:fldCharType="separate"/>
      </w:r>
      <w:r w:rsidR="0012026B">
        <w:rPr>
          <w:noProof/>
        </w:rPr>
        <w:t>232</w:t>
      </w:r>
      <w:r>
        <w:fldChar w:fldCharType="end"/>
      </w:r>
      <w:r>
        <w:t>).</w:t>
      </w:r>
    </w:p>
  </w:footnote>
  <w:footnote w:id="1131">
    <w:p w14:paraId="571AE2A5" w14:textId="351C54FC" w:rsidR="000E1004" w:rsidRDefault="000E1004" w:rsidP="00C503A6">
      <w:pPr>
        <w:pStyle w:val="FootnoteText"/>
      </w:pPr>
      <w:r>
        <w:rPr>
          <w:rStyle w:val="FootnoteReference"/>
        </w:rPr>
        <w:footnoteRef/>
      </w:r>
      <w:r>
        <w:t xml:space="preserve"> Bonser no. 146, 11</w:t>
      </w:r>
      <w:r w:rsidRPr="00123A5B">
        <w:rPr>
          <w:vertAlign w:val="superscript"/>
        </w:rPr>
        <w:t>th</w:t>
      </w:r>
      <w:r>
        <w:t xml:space="preserve"> March 1999.</w:t>
      </w:r>
    </w:p>
  </w:footnote>
  <w:footnote w:id="1132">
    <w:p w14:paraId="71EC65EC" w14:textId="5D2D07BF" w:rsidR="000E1004" w:rsidRDefault="000E1004" w:rsidP="00697BBB">
      <w:pPr>
        <w:pStyle w:val="FootnoteText"/>
      </w:pPr>
      <w:r>
        <w:rPr>
          <w:rStyle w:val="FootnoteReference"/>
        </w:rPr>
        <w:footnoteRef/>
      </w:r>
      <w:r>
        <w:t xml:space="preserve"> Powlesland (1998). Powlesland reported (2003, 43) that around a million animal bones were recovered from the site.</w:t>
      </w:r>
    </w:p>
  </w:footnote>
  <w:footnote w:id="1133">
    <w:p w14:paraId="150EF850" w14:textId="13D354AB" w:rsidR="000E1004" w:rsidRPr="00BD0EF0" w:rsidRDefault="000E1004" w:rsidP="00697BBB">
      <w:pPr>
        <w:pStyle w:val="NoSpacing"/>
        <w:spacing w:line="276" w:lineRule="auto"/>
        <w:rPr>
          <w:sz w:val="20"/>
          <w:szCs w:val="20"/>
        </w:rPr>
      </w:pPr>
      <w:r w:rsidRPr="00BD0EF0">
        <w:rPr>
          <w:rStyle w:val="FootnoteReference"/>
          <w:sz w:val="20"/>
          <w:szCs w:val="20"/>
        </w:rPr>
        <w:footnoteRef/>
      </w:r>
      <w:r w:rsidRPr="00BD0EF0">
        <w:rPr>
          <w:sz w:val="20"/>
          <w:szCs w:val="20"/>
        </w:rPr>
        <w:t xml:space="preserve"> Possible sources include Norwegian mica-schist hone stones and Eifel Mountain lava quern stones (Sahlins</w:t>
      </w:r>
      <w:r>
        <w:rPr>
          <w:sz w:val="20"/>
          <w:szCs w:val="20"/>
        </w:rPr>
        <w:t>, 2003,</w:t>
      </w:r>
      <w:r w:rsidRPr="00BD0EF0">
        <w:rPr>
          <w:sz w:val="20"/>
          <w:szCs w:val="20"/>
        </w:rPr>
        <w:t xml:space="preserve"> 38) and Niedermendig lava or mayan-basalt quern stones from </w:t>
      </w:r>
      <w:r>
        <w:rPr>
          <w:sz w:val="20"/>
          <w:szCs w:val="20"/>
        </w:rPr>
        <w:t xml:space="preserve">the </w:t>
      </w:r>
      <w:r w:rsidRPr="00BD0EF0">
        <w:rPr>
          <w:sz w:val="20"/>
          <w:szCs w:val="20"/>
        </w:rPr>
        <w:t>Rhine valley.</w:t>
      </w:r>
    </w:p>
  </w:footnote>
  <w:footnote w:id="1134">
    <w:p w14:paraId="7A58C5FD" w14:textId="77777777" w:rsidR="000E1004" w:rsidRDefault="000E1004" w:rsidP="00697BBB">
      <w:pPr>
        <w:pStyle w:val="FootnoteText"/>
      </w:pPr>
      <w:r>
        <w:rPr>
          <w:rStyle w:val="FootnoteReference"/>
        </w:rPr>
        <w:footnoteRef/>
      </w:r>
      <w:r>
        <w:t xml:space="preserve"> Morris (2012, 212). </w:t>
      </w:r>
    </w:p>
  </w:footnote>
  <w:footnote w:id="1135">
    <w:p w14:paraId="3AB06C34" w14:textId="77777777" w:rsidR="000E1004" w:rsidRDefault="000E1004" w:rsidP="00697BBB">
      <w:pPr>
        <w:pStyle w:val="FootnoteText"/>
      </w:pPr>
      <w:r>
        <w:rPr>
          <w:rStyle w:val="FootnoteReference"/>
        </w:rPr>
        <w:footnoteRef/>
      </w:r>
      <w:r>
        <w:t xml:space="preserve"> Morris (2012, 222).</w:t>
      </w:r>
    </w:p>
  </w:footnote>
  <w:footnote w:id="1136">
    <w:p w14:paraId="1D33D2F2" w14:textId="77777777" w:rsidR="000E1004" w:rsidRDefault="000E1004" w:rsidP="00697BBB">
      <w:pPr>
        <w:pStyle w:val="FootnoteText"/>
      </w:pPr>
      <w:r>
        <w:rPr>
          <w:rStyle w:val="FootnoteReference"/>
        </w:rPr>
        <w:footnoteRef/>
      </w:r>
      <w:r>
        <w:t xml:space="preserve"> Powlesland (2003, 33-5).</w:t>
      </w:r>
    </w:p>
  </w:footnote>
  <w:footnote w:id="1137">
    <w:p w14:paraId="68304F66" w14:textId="6FF4C23B" w:rsidR="000E1004" w:rsidRDefault="000E1004" w:rsidP="00697BBB">
      <w:pPr>
        <w:pStyle w:val="FootnoteText"/>
      </w:pPr>
      <w:r>
        <w:rPr>
          <w:rStyle w:val="FootnoteReference"/>
        </w:rPr>
        <w:footnoteRef/>
      </w:r>
      <w:r>
        <w:t xml:space="preserve"> </w:t>
      </w:r>
      <w:r>
        <w:rPr>
          <w:rFonts w:cs="Times New Roman"/>
        </w:rPr>
        <w:t>Monbiot (2013).</w:t>
      </w:r>
    </w:p>
  </w:footnote>
  <w:footnote w:id="1138">
    <w:p w14:paraId="2062F2D1" w14:textId="093C4257" w:rsidR="000E1004" w:rsidRDefault="000E1004" w:rsidP="00697BBB">
      <w:pPr>
        <w:pStyle w:val="FootnoteText"/>
      </w:pPr>
      <w:r>
        <w:rPr>
          <w:rStyle w:val="FootnoteReference"/>
        </w:rPr>
        <w:footnoteRef/>
      </w:r>
      <w:r>
        <w:t xml:space="preserve"> Morris (2012, 218).</w:t>
      </w:r>
      <w:r w:rsidRPr="00312CD0">
        <w:t xml:space="preserve"> </w:t>
      </w:r>
      <w:r>
        <w:t>Muir (1987, 110).</w:t>
      </w:r>
    </w:p>
  </w:footnote>
  <w:footnote w:id="1139">
    <w:p w14:paraId="0F0A11F2" w14:textId="77777777" w:rsidR="000E1004" w:rsidRDefault="000E1004" w:rsidP="00697BBB">
      <w:pPr>
        <w:pStyle w:val="FootnoteText"/>
      </w:pPr>
      <w:r>
        <w:rPr>
          <w:rStyle w:val="FootnoteReference"/>
        </w:rPr>
        <w:footnoteRef/>
      </w:r>
      <w:r>
        <w:t xml:space="preserve"> Morris (2012, 223).</w:t>
      </w:r>
    </w:p>
  </w:footnote>
  <w:footnote w:id="1140">
    <w:p w14:paraId="105F3879" w14:textId="487885A1" w:rsidR="000E1004" w:rsidRDefault="000E1004" w:rsidP="00697BBB">
      <w:pPr>
        <w:pStyle w:val="FootnoteText"/>
      </w:pPr>
      <w:r>
        <w:rPr>
          <w:rStyle w:val="FootnoteReference"/>
        </w:rPr>
        <w:footnoteRef/>
      </w:r>
      <w:r>
        <w:t xml:space="preserve"> Tipper (2004, 54-5).</w:t>
      </w:r>
    </w:p>
  </w:footnote>
  <w:footnote w:id="1141">
    <w:p w14:paraId="30063F58" w14:textId="77777777" w:rsidR="000E1004" w:rsidRDefault="000E1004" w:rsidP="00697BBB">
      <w:pPr>
        <w:pStyle w:val="FootnoteText"/>
      </w:pPr>
      <w:r>
        <w:rPr>
          <w:rStyle w:val="FootnoteReference"/>
        </w:rPr>
        <w:footnoteRef/>
      </w:r>
      <w:r>
        <w:t xml:space="preserve"> Powlesland (2003, 43-4).</w:t>
      </w:r>
    </w:p>
  </w:footnote>
  <w:footnote w:id="1142">
    <w:p w14:paraId="7AB8CE15" w14:textId="4DA006A8" w:rsidR="000E1004" w:rsidRDefault="000E1004" w:rsidP="00697BBB">
      <w:pPr>
        <w:pStyle w:val="FootnoteText"/>
      </w:pPr>
      <w:r>
        <w:rPr>
          <w:rStyle w:val="FootnoteReference"/>
        </w:rPr>
        <w:footnoteRef/>
      </w:r>
      <w:r>
        <w:t xml:space="preserve"> Morris (2012, 227). Also see Powlesland (2003, 29-31).</w:t>
      </w:r>
    </w:p>
  </w:footnote>
  <w:footnote w:id="1143">
    <w:p w14:paraId="1EC707E6" w14:textId="77777777" w:rsidR="000E1004" w:rsidRDefault="000E1004" w:rsidP="00697BBB">
      <w:pPr>
        <w:pStyle w:val="FootnoteText"/>
      </w:pPr>
      <w:r>
        <w:rPr>
          <w:rStyle w:val="FootnoteReference"/>
        </w:rPr>
        <w:footnoteRef/>
      </w:r>
      <w:r>
        <w:t xml:space="preserve"> Morris (2012, 233).</w:t>
      </w:r>
    </w:p>
  </w:footnote>
  <w:footnote w:id="1144">
    <w:p w14:paraId="5486B73A" w14:textId="61D2B5FC" w:rsidR="000E1004" w:rsidRDefault="000E1004" w:rsidP="00697BBB">
      <w:pPr>
        <w:pStyle w:val="FootnoteText"/>
      </w:pPr>
      <w:r>
        <w:rPr>
          <w:rStyle w:val="FootnoteReference"/>
        </w:rPr>
        <w:footnoteRef/>
      </w:r>
      <w:r>
        <w:t xml:space="preserve"> Bonser (1997, 42-3). I have discounted the possibility of duplication of data from the two main information streams, Pirie</w:t>
      </w:r>
      <w:r>
        <w:fldChar w:fldCharType="begin"/>
      </w:r>
      <w:r>
        <w:instrText xml:space="preserve"> XE "</w:instrText>
      </w:r>
      <w:r w:rsidRPr="007D3069">
        <w:instrText>Pirie</w:instrText>
      </w:r>
      <w:r>
        <w:instrText xml:space="preserve">" </w:instrText>
      </w:r>
      <w:r>
        <w:fldChar w:fldCharType="end"/>
      </w:r>
      <w:r>
        <w:t xml:space="preserve"> (archive) and Bonser (1997). The profiles of these sources are not dissimilar.</w:t>
      </w:r>
    </w:p>
  </w:footnote>
  <w:footnote w:id="1145">
    <w:p w14:paraId="4F302082" w14:textId="110048C3" w:rsidR="000E1004" w:rsidRDefault="000E1004" w:rsidP="00697BBB">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archive.</w:t>
      </w:r>
    </w:p>
  </w:footnote>
  <w:footnote w:id="1146">
    <w:p w14:paraId="045BFF69" w14:textId="01F35596" w:rsidR="000E1004" w:rsidRDefault="000E1004" w:rsidP="00697BBB">
      <w:pPr>
        <w:pStyle w:val="FootnoteText"/>
      </w:pPr>
      <w:r>
        <w:rPr>
          <w:rStyle w:val="FootnoteReference"/>
        </w:rPr>
        <w:footnoteRef/>
      </w:r>
      <w:r>
        <w:t xml:space="preserve"> It is clear from Pirie</w:t>
      </w:r>
      <w:r>
        <w:fldChar w:fldCharType="begin"/>
      </w:r>
      <w:r>
        <w:instrText xml:space="preserve"> XE "</w:instrText>
      </w:r>
      <w:r w:rsidRPr="007D3069">
        <w:instrText>Pirie</w:instrText>
      </w:r>
      <w:r>
        <w:instrText xml:space="preserve">" </w:instrText>
      </w:r>
      <w:r>
        <w:fldChar w:fldCharType="end"/>
      </w:r>
      <w:r>
        <w:t>’s archives that only James Lyall co-operated in sharing information.</w:t>
      </w:r>
    </w:p>
  </w:footnote>
  <w:footnote w:id="1147">
    <w:p w14:paraId="58620D00" w14:textId="77777777" w:rsidR="000E1004" w:rsidRDefault="000E1004" w:rsidP="00697BBB">
      <w:pPr>
        <w:pStyle w:val="FootnoteText"/>
      </w:pPr>
      <w:r>
        <w:rPr>
          <w:rStyle w:val="FootnoteReference"/>
        </w:rPr>
        <w:footnoteRef/>
      </w:r>
      <w:r>
        <w:t xml:space="preserve"> Powlesland (2003, 43).</w:t>
      </w:r>
    </w:p>
  </w:footnote>
  <w:footnote w:id="1148">
    <w:p w14:paraId="44999922" w14:textId="05198BB7" w:rsidR="000E1004" w:rsidRDefault="000E1004" w:rsidP="00697BBB">
      <w:pPr>
        <w:pStyle w:val="FootnoteText"/>
      </w:pPr>
      <w:r>
        <w:rPr>
          <w:rStyle w:val="FootnoteReference"/>
        </w:rPr>
        <w:footnoteRef/>
      </w:r>
      <w:r>
        <w:t xml:space="preserve"> TA Pa02, CR 2011.77, EMC</w:t>
      </w:r>
      <w:r>
        <w:fldChar w:fldCharType="begin"/>
      </w:r>
      <w:r>
        <w:instrText xml:space="preserve"> XE "</w:instrText>
      </w:r>
      <w:r w:rsidRPr="007D3069">
        <w:instrText>EMC</w:instrText>
      </w:r>
      <w:r>
        <w:instrText xml:space="preserve">" </w:instrText>
      </w:r>
      <w:r>
        <w:fldChar w:fldCharType="end"/>
      </w:r>
      <w:r>
        <w:t xml:space="preserve"> 2010.0248.</w:t>
      </w:r>
      <w:r w:rsidRPr="00672E3C">
        <w:t xml:space="preserve"> cf: </w:t>
      </w:r>
      <w:r>
        <w:t>the Finglesham Cemetery find. Rigold (</w:t>
      </w:r>
      <w:r w:rsidRPr="0041458E">
        <w:rPr>
          <w:i/>
        </w:rPr>
        <w:t>BNJ</w:t>
      </w:r>
      <w:r>
        <w:t>1960, 51, Pa1A2).</w:t>
      </w:r>
    </w:p>
  </w:footnote>
  <w:footnote w:id="1149">
    <w:p w14:paraId="539488EA" w14:textId="77777777" w:rsidR="000E1004" w:rsidRDefault="000E1004" w:rsidP="00697BBB">
      <w:pPr>
        <w:pStyle w:val="FootnoteText"/>
      </w:pPr>
      <w:r>
        <w:rPr>
          <w:rStyle w:val="FootnoteReference"/>
        </w:rPr>
        <w:footnoteRef/>
      </w:r>
      <w:r>
        <w:t xml:space="preserve"> Bonser (1997, 42). This site is likely to have been detected by Ian Postlethwaite.</w:t>
      </w:r>
    </w:p>
  </w:footnote>
  <w:footnote w:id="1150">
    <w:p w14:paraId="4BB37C59" w14:textId="16EC90F2" w:rsidR="000E1004" w:rsidRPr="00C62BA8" w:rsidRDefault="000E1004">
      <w:pPr>
        <w:pStyle w:val="FootnoteText"/>
      </w:pPr>
      <w:r>
        <w:rPr>
          <w:rStyle w:val="FootnoteReference"/>
        </w:rPr>
        <w:footnoteRef/>
      </w:r>
      <w:r>
        <w:t xml:space="preserve"> The 1986 specimen, appropriately from Bermondsey Abbey, was misunderstood by Metcalf (</w:t>
      </w:r>
      <w:r w:rsidRPr="00C62BA8">
        <w:rPr>
          <w:i/>
        </w:rPr>
        <w:t>BNJ</w:t>
      </w:r>
      <w:r>
        <w:t>56, 3-4).</w:t>
      </w:r>
    </w:p>
  </w:footnote>
  <w:footnote w:id="1151">
    <w:p w14:paraId="04555181" w14:textId="3BB51323" w:rsidR="000E1004" w:rsidRDefault="000E1004" w:rsidP="00697BBB">
      <w:pPr>
        <w:pStyle w:val="FootnoteText"/>
      </w:pPr>
      <w:r>
        <w:rPr>
          <w:rStyle w:val="FootnoteReference"/>
        </w:rPr>
        <w:footnoteRef/>
      </w:r>
      <w:r>
        <w:t xml:space="preserve"> Chapter 12, see Marner (2000, pl. 15, 72).</w:t>
      </w:r>
    </w:p>
  </w:footnote>
  <w:footnote w:id="1152">
    <w:p w14:paraId="582462D5" w14:textId="77777777" w:rsidR="000E1004" w:rsidRDefault="000E1004" w:rsidP="00697BBB">
      <w:pPr>
        <w:pStyle w:val="FootnoteText"/>
      </w:pPr>
      <w:r>
        <w:rPr>
          <w:rStyle w:val="FootnoteReference"/>
        </w:rPr>
        <w:footnoteRef/>
      </w:r>
      <w:r>
        <w:t xml:space="preserve"> The widespread southern findspots include </w:t>
      </w:r>
      <w:r w:rsidRPr="00A75876">
        <w:t>White Colne, near. Colchester,</w:t>
      </w:r>
      <w:r>
        <w:t xml:space="preserve"> </w:t>
      </w:r>
      <w:r w:rsidRPr="00A75876">
        <w:t>Ewelme, Oxfordshire</w:t>
      </w:r>
      <w:r>
        <w:t>, Trimley St Martin, Suffolk</w:t>
      </w:r>
      <w:r w:rsidRPr="009F2174">
        <w:t xml:space="preserve"> </w:t>
      </w:r>
      <w:r>
        <w:t xml:space="preserve">and </w:t>
      </w:r>
      <w:r w:rsidRPr="009F2174">
        <w:t>Harlington, Bedfordshire</w:t>
      </w:r>
      <w:r>
        <w:t>.</w:t>
      </w:r>
    </w:p>
  </w:footnote>
  <w:footnote w:id="1153">
    <w:p w14:paraId="06F05C39" w14:textId="241EC037" w:rsidR="000E1004" w:rsidRDefault="000E1004" w:rsidP="00697BBB">
      <w:pPr>
        <w:pStyle w:val="FootnoteText"/>
      </w:pPr>
      <w:r>
        <w:rPr>
          <w:rStyle w:val="FootnoteReference"/>
        </w:rPr>
        <w:footnoteRef/>
      </w:r>
      <w:r>
        <w:t xml:space="preserve"> Bonser (1997, 42-3). This informal data is</w:t>
      </w:r>
      <w:r>
        <w:rPr>
          <w:szCs w:val="24"/>
        </w:rPr>
        <w:t xml:space="preserve"> not in the formal Database.</w:t>
      </w:r>
      <w:r>
        <w:rPr>
          <w:szCs w:val="24"/>
        </w:rPr>
        <w:fldChar w:fldCharType="begin"/>
      </w:r>
      <w:r>
        <w:instrText xml:space="preserve"> XE "</w:instrText>
      </w:r>
      <w:r w:rsidRPr="007A2080">
        <w:rPr>
          <w:rStyle w:val="Hyperlink"/>
          <w:noProof/>
        </w:rPr>
        <w:instrText>Database</w:instrText>
      </w:r>
      <w:r>
        <w:instrText xml:space="preserve">" </w:instrText>
      </w:r>
      <w:r>
        <w:rPr>
          <w:szCs w:val="24"/>
        </w:rPr>
        <w:fldChar w:fldCharType="end"/>
      </w:r>
      <w:r>
        <w:t xml:space="preserve"> I have discounted the possibility of duplication of data from the two main informal information streams, Pirie</w:t>
      </w:r>
      <w:r>
        <w:fldChar w:fldCharType="begin"/>
      </w:r>
      <w:r>
        <w:instrText xml:space="preserve"> XE "</w:instrText>
      </w:r>
      <w:r w:rsidRPr="007D3069">
        <w:instrText>Pirie</w:instrText>
      </w:r>
      <w:r>
        <w:instrText xml:space="preserve">" </w:instrText>
      </w:r>
      <w:r>
        <w:fldChar w:fldCharType="end"/>
      </w:r>
      <w:r>
        <w:t xml:space="preserve"> (archive) and Bonser (1997).</w:t>
      </w:r>
    </w:p>
  </w:footnote>
  <w:footnote w:id="1154">
    <w:p w14:paraId="4E0EBE30" w14:textId="02649351" w:rsidR="000E1004" w:rsidRDefault="000E1004" w:rsidP="00697BBB">
      <w:pPr>
        <w:pStyle w:val="FootnoteText"/>
      </w:pPr>
      <w:r>
        <w:rPr>
          <w:rStyle w:val="FootnoteReference"/>
        </w:rPr>
        <w:footnoteRef/>
      </w:r>
      <w:r>
        <w:t xml:space="preserve"> </w:t>
      </w:r>
      <w:r w:rsidRPr="00A9592C">
        <w:t>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(2014, 244).</w:t>
      </w:r>
    </w:p>
  </w:footnote>
  <w:footnote w:id="1155">
    <w:p w14:paraId="26A31C38" w14:textId="541EAF7F" w:rsidR="000E1004" w:rsidRDefault="000E1004" w:rsidP="00697BBB">
      <w:pPr>
        <w:pStyle w:val="FootnoteText"/>
      </w:pPr>
      <w:r>
        <w:rPr>
          <w:rStyle w:val="FootnoteReference"/>
        </w:rPr>
        <w:footnoteRef/>
      </w:r>
      <w:r>
        <w:t xml:space="preserve"> PAS</w:t>
      </w:r>
      <w:r>
        <w:fldChar w:fldCharType="begin"/>
      </w:r>
      <w:r>
        <w:instrText xml:space="preserve"> XE "</w:instrText>
      </w:r>
      <w:r w:rsidRPr="007D3069">
        <w:instrText>PAS</w:instrText>
      </w:r>
      <w:r>
        <w:instrText xml:space="preserve">" </w:instrText>
      </w:r>
      <w:r>
        <w:fldChar w:fldCharType="end"/>
      </w:r>
      <w:r>
        <w:t xml:space="preserve"> </w:t>
      </w:r>
      <w:r>
        <w:rPr>
          <w:rStyle w:val="fourfigure"/>
        </w:rPr>
        <w:t>YORYM-175630</w:t>
      </w:r>
    </w:p>
  </w:footnote>
  <w:footnote w:id="1156">
    <w:p w14:paraId="3ABFECA8" w14:textId="28947E68" w:rsidR="000E1004" w:rsidRDefault="000E1004" w:rsidP="00697BBB">
      <w:pPr>
        <w:pStyle w:val="FootnoteText"/>
      </w:pPr>
      <w:r>
        <w:rPr>
          <w:rStyle w:val="FootnoteReference"/>
        </w:rPr>
        <w:footnoteRef/>
      </w:r>
      <w:r>
        <w:t xml:space="preserve"> Morris (2005, 3-21).</w:t>
      </w:r>
    </w:p>
  </w:footnote>
  <w:footnote w:id="1157">
    <w:p w14:paraId="6FE6C797" w14:textId="00EDEBF9" w:rsidR="000E1004" w:rsidRDefault="000E1004" w:rsidP="00697BBB">
      <w:pPr>
        <w:pStyle w:val="FootnoteText"/>
      </w:pPr>
      <w:r>
        <w:rPr>
          <w:rStyle w:val="FootnoteReference"/>
        </w:rPr>
        <w:footnoteRef/>
      </w:r>
      <w:r>
        <w:t xml:space="preserve"> See chapter 2.</w:t>
      </w:r>
    </w:p>
  </w:footnote>
  <w:footnote w:id="1158">
    <w:p w14:paraId="0383CE8A" w14:textId="77777777" w:rsidR="000E1004" w:rsidRDefault="000E1004" w:rsidP="00697BBB">
      <w:pPr>
        <w:pStyle w:val="FootnoteText"/>
      </w:pPr>
      <w:r>
        <w:rPr>
          <w:rStyle w:val="FootnoteReference"/>
        </w:rPr>
        <w:footnoteRef/>
      </w:r>
      <w:r>
        <w:t xml:space="preserve"> </w:t>
      </w:r>
      <w:r w:rsidRPr="00AE1AA4">
        <w:t>1997.8204</w:t>
      </w:r>
      <w:r>
        <w:t>.</w:t>
      </w:r>
    </w:p>
  </w:footnote>
  <w:footnote w:id="1159">
    <w:p w14:paraId="72974026" w14:textId="144F5587" w:rsidR="000E1004" w:rsidRDefault="000E1004" w:rsidP="00697BBB">
      <w:pPr>
        <w:pStyle w:val="FootnoteText"/>
      </w:pPr>
      <w:r>
        <w:rPr>
          <w:rStyle w:val="FootnoteReference"/>
        </w:rPr>
        <w:footnoteRef/>
      </w:r>
      <w:r>
        <w:t xml:space="preserve"> Smith (2006, 132).</w:t>
      </w:r>
    </w:p>
  </w:footnote>
  <w:footnote w:id="1160">
    <w:p w14:paraId="69B3E3F6" w14:textId="67C4E5CE" w:rsidR="000E1004" w:rsidRDefault="000E1004" w:rsidP="00C8219D">
      <w:pPr>
        <w:pStyle w:val="FootnoteText"/>
      </w:pPr>
      <w:r>
        <w:rPr>
          <w:rStyle w:val="FootnoteReference"/>
        </w:rPr>
        <w:footnoteRef/>
      </w:r>
      <w:r>
        <w:t xml:space="preserve"> Basing the computation on </w:t>
      </w:r>
      <w:r w:rsidRPr="00C8219D">
        <w:rPr>
          <w:i/>
        </w:rPr>
        <w:t>Table</w:t>
      </w:r>
      <w:r>
        <w:t xml:space="preserve"> </w:t>
      </w:r>
      <w:r w:rsidRPr="003469F3">
        <w:rPr>
          <w:i/>
        </w:rPr>
        <w:t>8.33</w:t>
      </w:r>
      <w:r>
        <w:t xml:space="preserve"> makes little difference as it is only slightly the more detailed.</w:t>
      </w:r>
    </w:p>
  </w:footnote>
  <w:footnote w:id="1161">
    <w:p w14:paraId="345F6AB6" w14:textId="77777777" w:rsidR="000E1004" w:rsidRDefault="000E1004" w:rsidP="001C3436">
      <w:pPr>
        <w:pStyle w:val="FootnoteText"/>
      </w:pPr>
      <w:r>
        <w:rPr>
          <w:rStyle w:val="FootnoteReference"/>
        </w:rPr>
        <w:footnoteRef/>
      </w:r>
      <w:r>
        <w:t xml:space="preserve"> As at December 2015.</w:t>
      </w:r>
    </w:p>
  </w:footnote>
  <w:footnote w:id="1162">
    <w:p w14:paraId="3F67A296" w14:textId="7D9716E8" w:rsidR="000E1004" w:rsidRPr="006514BF" w:rsidRDefault="000E1004" w:rsidP="00F50B3E">
      <w:pPr>
        <w:pStyle w:val="FootnoteText"/>
      </w:pPr>
      <w:r>
        <w:rPr>
          <w:rStyle w:val="FootnoteReference"/>
        </w:rPr>
        <w:footnoteRef/>
      </w:r>
      <w:r>
        <w:t xml:space="preserve"> Knowledgeable local detectorists, Tony Laverack, (</w:t>
      </w:r>
      <w:r w:rsidRPr="00184D4F">
        <w:rPr>
          <w:i/>
        </w:rPr>
        <w:t>pers. comm.</w:t>
      </w:r>
      <w:r>
        <w:t xml:space="preserve"> April 2015), and Andy Gillis, (</w:t>
      </w:r>
      <w:r>
        <w:rPr>
          <w:i/>
        </w:rPr>
        <w:t>pers. c</w:t>
      </w:r>
      <w:r w:rsidRPr="00184D4F">
        <w:rPr>
          <w:i/>
        </w:rPr>
        <w:t>omm</w:t>
      </w:r>
      <w:r>
        <w:rPr>
          <w:i/>
        </w:rPr>
        <w:t xml:space="preserve">. </w:t>
      </w:r>
      <w:r>
        <w:t>3</w:t>
      </w:r>
      <w:r>
        <w:rPr>
          <w:vertAlign w:val="superscript"/>
        </w:rPr>
        <w:t>rd</w:t>
      </w:r>
      <w:r>
        <w:t xml:space="preserve"> December 2015) agree that sites with Anglo-Saxon coins nearly always also produce Roman coins.</w:t>
      </w:r>
    </w:p>
  </w:footnote>
  <w:footnote w:id="1163">
    <w:p w14:paraId="4417A71A" w14:textId="0D1CFCEC" w:rsidR="000E1004" w:rsidRDefault="000E1004">
      <w:pPr>
        <w:pStyle w:val="FootnoteText"/>
      </w:pPr>
      <w:r>
        <w:rPr>
          <w:rStyle w:val="FootnoteReference"/>
        </w:rPr>
        <w:footnoteRef/>
      </w:r>
      <w:r>
        <w:t xml:space="preserve"> Though the correlation between coins and artefacts is significantly stronger in the later period, 98% against 65% for the Roman period (</w:t>
      </w:r>
      <w:r w:rsidRPr="00561490">
        <w:rPr>
          <w:i/>
        </w:rPr>
        <w:t xml:space="preserve">Table </w:t>
      </w:r>
      <w:r>
        <w:rPr>
          <w:i/>
        </w:rPr>
        <w:t>7.02</w:t>
      </w:r>
      <w:r>
        <w:t>).</w:t>
      </w:r>
    </w:p>
  </w:footnote>
  <w:footnote w:id="1164">
    <w:p w14:paraId="30951015" w14:textId="1B298AE3" w:rsidR="000E1004" w:rsidRDefault="000E1004" w:rsidP="007F0E50">
      <w:pPr>
        <w:pStyle w:val="FootnoteText"/>
      </w:pPr>
      <w:r>
        <w:rPr>
          <w:rStyle w:val="FootnoteReference"/>
        </w:rPr>
        <w:footnoteRef/>
      </w:r>
      <w:r>
        <w:t xml:space="preserve"> Logically </w:t>
      </w:r>
      <w:r>
        <w:rPr>
          <w:szCs w:val="24"/>
        </w:rPr>
        <w:t xml:space="preserve">the older artefacts are at greater depth. </w:t>
      </w:r>
    </w:p>
  </w:footnote>
  <w:footnote w:id="1165">
    <w:p w14:paraId="2F84DE9A" w14:textId="77777777" w:rsidR="000E1004" w:rsidRDefault="000E1004" w:rsidP="00697BBB">
      <w:pPr>
        <w:pStyle w:val="FootnoteText"/>
      </w:pPr>
      <w:r>
        <w:rPr>
          <w:rStyle w:val="FootnoteReference"/>
        </w:rPr>
        <w:footnoteRef/>
      </w:r>
      <w:r>
        <w:t xml:space="preserve"> Wood (2008b, 18, 25).</w:t>
      </w:r>
    </w:p>
  </w:footnote>
  <w:footnote w:id="1166">
    <w:p w14:paraId="1E268395" w14:textId="3DD3C234" w:rsidR="000E1004" w:rsidRDefault="000E1004">
      <w:pPr>
        <w:pStyle w:val="FootnoteText"/>
      </w:pPr>
      <w:r>
        <w:rPr>
          <w:rStyle w:val="FootnoteReference"/>
        </w:rPr>
        <w:footnoteRef/>
      </w:r>
      <w:r>
        <w:t xml:space="preserve"> Powlesland (1997, 102).</w:t>
      </w:r>
    </w:p>
  </w:footnote>
  <w:footnote w:id="1167">
    <w:p w14:paraId="175C89E6" w14:textId="77777777" w:rsidR="000E1004" w:rsidRDefault="000E1004" w:rsidP="00582C52">
      <w:pPr>
        <w:pStyle w:val="FootnoteText"/>
      </w:pPr>
      <w:r>
        <w:rPr>
          <w:rStyle w:val="FootnoteReference"/>
        </w:rPr>
        <w:footnoteRef/>
      </w:r>
      <w:r>
        <w:t xml:space="preserve"> Such as Jarrow/Monkwearmouth.</w:t>
      </w:r>
    </w:p>
  </w:footnote>
  <w:footnote w:id="1168">
    <w:p w14:paraId="5422E8C3" w14:textId="430F6E19" w:rsidR="000E1004" w:rsidRDefault="000E1004" w:rsidP="00582C52">
      <w:pPr>
        <w:pStyle w:val="FootnoteText"/>
      </w:pPr>
      <w:r>
        <w:rPr>
          <w:rStyle w:val="FootnoteReference"/>
        </w:rPr>
        <w:footnoteRef/>
      </w:r>
      <w:r>
        <w:t xml:space="preserve"> Hope-Taylor (1977, 277). Rollason (2003, 82-5). Alcock (2003, 238-56, 450). Higham &amp; Ryan (2013, 135-7).</w:t>
      </w:r>
    </w:p>
  </w:footnote>
  <w:footnote w:id="1169">
    <w:p w14:paraId="5A48611F" w14:textId="1D24A5C1" w:rsidR="000E1004" w:rsidRDefault="000E1004" w:rsidP="00582C52">
      <w:pPr>
        <w:pStyle w:val="FootnoteText"/>
      </w:pPr>
      <w:r>
        <w:rPr>
          <w:rStyle w:val="FootnoteReference"/>
        </w:rPr>
        <w:footnoteRef/>
      </w:r>
      <w:r>
        <w:t xml:space="preserve"> O’Brien (2003, 210-6).</w:t>
      </w:r>
    </w:p>
  </w:footnote>
  <w:footnote w:id="1170">
    <w:p w14:paraId="25C2CBC3" w14:textId="5D00DE21" w:rsidR="000E1004" w:rsidRPr="000F4110" w:rsidRDefault="000E1004" w:rsidP="00582C52">
      <w:pPr>
        <w:pStyle w:val="FootnoteText"/>
      </w:pPr>
      <w:r>
        <w:rPr>
          <w:rStyle w:val="FootnoteReference"/>
        </w:rPr>
        <w:footnoteRef/>
      </w:r>
      <w:r>
        <w:t xml:space="preserve"> Roebuck (2008, 121). Bede</w:t>
      </w:r>
      <w:r>
        <w:fldChar w:fldCharType="begin"/>
      </w:r>
      <w:r>
        <w:instrText xml:space="preserve"> XE "</w:instrText>
      </w:r>
      <w:r w:rsidRPr="007D3069">
        <w:rPr>
          <w:bCs/>
        </w:rPr>
        <w:instrText>Bede</w:instrText>
      </w:r>
      <w:r>
        <w:instrText xml:space="preserve">" </w:instrText>
      </w:r>
      <w:r>
        <w:fldChar w:fldCharType="end"/>
      </w:r>
      <w:r>
        <w:t xml:space="preserve"> (1969, II, 14) described Yeavering</w:t>
      </w:r>
      <w:r>
        <w:fldChar w:fldCharType="begin"/>
      </w:r>
      <w:r>
        <w:instrText xml:space="preserve"> XE "</w:instrText>
      </w:r>
      <w:r w:rsidRPr="004D76A0">
        <w:rPr>
          <w:rStyle w:val="Hyperlink"/>
          <w:noProof/>
        </w:rPr>
        <w:instrText>Yeavering</w:instrText>
      </w:r>
      <w:r>
        <w:instrText xml:space="preserve">" </w:instrText>
      </w:r>
      <w:r>
        <w:fldChar w:fldCharType="end"/>
      </w:r>
      <w:r>
        <w:t xml:space="preserve"> as </w:t>
      </w:r>
      <w:r w:rsidRPr="000F4110">
        <w:rPr>
          <w:i/>
        </w:rPr>
        <w:t>villam regiam</w:t>
      </w:r>
      <w:r>
        <w:t xml:space="preserve"> and mentioned a </w:t>
      </w:r>
      <w:r w:rsidRPr="000F4110">
        <w:rPr>
          <w:i/>
        </w:rPr>
        <w:t>villa regia</w:t>
      </w:r>
      <w:r>
        <w:t xml:space="preserve"> and </w:t>
      </w:r>
      <w:r w:rsidRPr="000F4110">
        <w:rPr>
          <w:i/>
        </w:rPr>
        <w:t>basilicam</w:t>
      </w:r>
      <w:r>
        <w:t xml:space="preserve"> at </w:t>
      </w:r>
      <w:r w:rsidRPr="000F4110">
        <w:rPr>
          <w:i/>
        </w:rPr>
        <w:t>Campodunum</w:t>
      </w:r>
      <w:r>
        <w:t xml:space="preserve"> (Dewsbury) and a royal dwelling at </w:t>
      </w:r>
      <w:r w:rsidRPr="000F4110">
        <w:rPr>
          <w:i/>
        </w:rPr>
        <w:t>Loidis</w:t>
      </w:r>
      <w:r>
        <w:t>.</w:t>
      </w:r>
    </w:p>
  </w:footnote>
  <w:footnote w:id="1171">
    <w:p w14:paraId="3D0FC817" w14:textId="471CD860" w:rsidR="000E1004" w:rsidRDefault="000E1004" w:rsidP="00582C52">
      <w:pPr>
        <w:pStyle w:val="FootnoteText"/>
      </w:pPr>
      <w:r>
        <w:rPr>
          <w:rStyle w:val="FootnoteReference"/>
        </w:rPr>
        <w:footnoteRef/>
      </w:r>
      <w:r>
        <w:t xml:space="preserve"> O’Brien (2003, 209-10).</w:t>
      </w:r>
    </w:p>
  </w:footnote>
  <w:footnote w:id="1172">
    <w:p w14:paraId="217BE270" w14:textId="46F8EED3" w:rsidR="000E1004" w:rsidRDefault="000E1004" w:rsidP="00582C52">
      <w:pPr>
        <w:pStyle w:val="FootnoteText"/>
      </w:pPr>
      <w:r>
        <w:rPr>
          <w:rStyle w:val="FootnoteReference"/>
        </w:rPr>
        <w:footnoteRef/>
      </w:r>
      <w:r>
        <w:t xml:space="preserve"> O’Brien (2003, 211). Rollason (2003, 80-93), describes three models and favours conquest by Anglians.</w:t>
      </w:r>
    </w:p>
  </w:footnote>
  <w:footnote w:id="1173">
    <w:p w14:paraId="5A380D76" w14:textId="0A0717D0" w:rsidR="000E1004" w:rsidRDefault="000E1004">
      <w:pPr>
        <w:pStyle w:val="FootnoteText"/>
      </w:pPr>
      <w:r>
        <w:rPr>
          <w:rStyle w:val="FootnoteReference"/>
        </w:rPr>
        <w:footnoteRef/>
      </w:r>
      <w:r>
        <w:t xml:space="preserve"> Alcock (2003, 450). Higham &amp; Ryan (2013, 136).</w:t>
      </w:r>
    </w:p>
  </w:footnote>
  <w:footnote w:id="1174">
    <w:p w14:paraId="28AAB27D" w14:textId="583224EF" w:rsidR="000E1004" w:rsidRDefault="000E1004" w:rsidP="00582C52">
      <w:pPr>
        <w:pStyle w:val="FootnoteText"/>
      </w:pPr>
      <w:r>
        <w:rPr>
          <w:rStyle w:val="FootnoteReference"/>
        </w:rPr>
        <w:footnoteRef/>
      </w:r>
      <w:r>
        <w:t xml:space="preserve"> Hope-Taylor (1977, 183).</w:t>
      </w:r>
    </w:p>
  </w:footnote>
  <w:footnote w:id="1175">
    <w:p w14:paraId="7650BD8E" w14:textId="6B99A74E" w:rsidR="000E1004" w:rsidRDefault="000E1004" w:rsidP="00A50075">
      <w:pPr>
        <w:pStyle w:val="FootnoteText"/>
      </w:pPr>
      <w:r>
        <w:rPr>
          <w:rStyle w:val="FootnoteReference"/>
        </w:rPr>
        <w:footnoteRef/>
      </w:r>
      <w:r>
        <w:t xml:space="preserve"> </w:t>
      </w:r>
      <w:r>
        <w:rPr>
          <w:szCs w:val="24"/>
        </w:rPr>
        <w:t xml:space="preserve">The mint of Choae had several moneyers and this engraving is illegible. </w:t>
      </w:r>
      <w:r>
        <w:t>Belfort (1892-5, 432-41).</w:t>
      </w:r>
      <w:r>
        <w:rPr>
          <w:szCs w:val="24"/>
        </w:rPr>
        <w:t xml:space="preserve"> Both the style of the bust and the Greek cross on the reverse, suggest that the original is the unusual runic tremissis</w:t>
      </w:r>
      <w:r>
        <w:rPr>
          <w:szCs w:val="24"/>
        </w:rPr>
        <w:fldChar w:fldCharType="begin"/>
      </w:r>
      <w:r>
        <w:instrText xml:space="preserve"> XE "</w:instrText>
      </w:r>
      <w:r w:rsidRPr="007D3069">
        <w:rPr>
          <w:rFonts w:eastAsia="Times New Roman" w:cs="Times New Roman"/>
        </w:rPr>
        <w:instrText>tremissis</w:instrText>
      </w:r>
      <w:r>
        <w:instrText xml:space="preserve">" </w:instrText>
      </w:r>
      <w:r>
        <w:rPr>
          <w:szCs w:val="24"/>
        </w:rPr>
        <w:fldChar w:fldCharType="end"/>
      </w:r>
      <w:r>
        <w:rPr>
          <w:szCs w:val="24"/>
        </w:rPr>
        <w:t xml:space="preserve"> of Huy, Belfort 1523, which has</w:t>
      </w:r>
      <w:r w:rsidRPr="00C02883">
        <w:rPr>
          <w:szCs w:val="24"/>
        </w:rPr>
        <w:t xml:space="preserve"> </w:t>
      </w:r>
      <w:r>
        <w:rPr>
          <w:szCs w:val="24"/>
        </w:rPr>
        <w:t>the only instance for Huy</w:t>
      </w:r>
      <w:r w:rsidRPr="00C02883">
        <w:rPr>
          <w:szCs w:val="24"/>
        </w:rPr>
        <w:t xml:space="preserve"> </w:t>
      </w:r>
      <w:r>
        <w:rPr>
          <w:szCs w:val="24"/>
        </w:rPr>
        <w:t xml:space="preserve">where the cross is not elaborate. </w:t>
      </w:r>
    </w:p>
  </w:footnote>
  <w:footnote w:id="1176">
    <w:p w14:paraId="63EFD085" w14:textId="32D38C42" w:rsidR="000E1004" w:rsidRDefault="000E1004" w:rsidP="00582C52">
      <w:pPr>
        <w:pStyle w:val="FootnoteText"/>
      </w:pPr>
      <w:r>
        <w:rPr>
          <w:rStyle w:val="FootnoteReference"/>
        </w:rPr>
        <w:footnoteRef/>
      </w:r>
      <w:r>
        <w:t xml:space="preserve"> Hope-Taylor (1977, 321).</w:t>
      </w:r>
    </w:p>
  </w:footnote>
  <w:footnote w:id="1177">
    <w:p w14:paraId="021F6712" w14:textId="3E179B71" w:rsidR="000E1004" w:rsidRDefault="000E1004" w:rsidP="00582C52">
      <w:pPr>
        <w:pStyle w:val="FootnoteText"/>
      </w:pPr>
      <w:r>
        <w:rPr>
          <w:rStyle w:val="FootnoteReference"/>
        </w:rPr>
        <w:footnoteRef/>
      </w:r>
      <w:r>
        <w:t xml:space="preserve"> Loveluck (1996, 46). Banham and Faith (2014, 85).</w:t>
      </w:r>
    </w:p>
  </w:footnote>
  <w:footnote w:id="1178">
    <w:p w14:paraId="5590A8F7" w14:textId="657FD3E1" w:rsidR="000E1004" w:rsidRDefault="000E1004">
      <w:pPr>
        <w:pStyle w:val="FootnoteText"/>
      </w:pPr>
      <w:r>
        <w:rPr>
          <w:rStyle w:val="FootnoteReference"/>
        </w:rPr>
        <w:footnoteRef/>
      </w:r>
      <w:r>
        <w:t xml:space="preserve"> Alcock (2003, 447).</w:t>
      </w:r>
    </w:p>
  </w:footnote>
  <w:footnote w:id="1179">
    <w:p w14:paraId="5C40FAB2" w14:textId="04DEE7F3" w:rsidR="000E1004" w:rsidRDefault="000E1004">
      <w:pPr>
        <w:pStyle w:val="FootnoteText"/>
      </w:pPr>
      <w:r>
        <w:rPr>
          <w:rStyle w:val="FootnoteReference"/>
        </w:rPr>
        <w:footnoteRef/>
      </w:r>
      <w:r>
        <w:t xml:space="preserve"> Alcock (2003, 198-9).</w:t>
      </w:r>
    </w:p>
  </w:footnote>
  <w:footnote w:id="1180">
    <w:p w14:paraId="003480AC" w14:textId="18ADAF36" w:rsidR="000E1004" w:rsidRDefault="000E1004">
      <w:pPr>
        <w:pStyle w:val="FootnoteText"/>
      </w:pPr>
      <w:r>
        <w:rPr>
          <w:rStyle w:val="FootnoteReference"/>
        </w:rPr>
        <w:footnoteRef/>
      </w:r>
      <w:r>
        <w:t xml:space="preserve"> </w:t>
      </w:r>
      <w:r w:rsidRPr="00A07A08">
        <w:rPr>
          <w:i/>
        </w:rPr>
        <w:t>Graph 7.</w:t>
      </w:r>
      <w:r>
        <w:rPr>
          <w:i/>
        </w:rPr>
        <w:t>09 no. 51</w:t>
      </w:r>
      <w:r>
        <w:t>.</w:t>
      </w:r>
    </w:p>
  </w:footnote>
  <w:footnote w:id="1181">
    <w:p w14:paraId="09C1CE79" w14:textId="44C004C4" w:rsidR="000E1004" w:rsidRPr="003A2867" w:rsidRDefault="000E1004" w:rsidP="00582C52">
      <w:pPr>
        <w:pStyle w:val="NoSpacing"/>
        <w:spacing w:line="276" w:lineRule="auto"/>
        <w:rPr>
          <w:color w:val="FF0000"/>
          <w:sz w:val="20"/>
          <w:szCs w:val="20"/>
        </w:rPr>
      </w:pPr>
      <w:r w:rsidRPr="003A2867">
        <w:rPr>
          <w:rStyle w:val="FootnoteReference"/>
          <w:sz w:val="20"/>
          <w:szCs w:val="20"/>
        </w:rPr>
        <w:footnoteRef/>
      </w:r>
      <w:r w:rsidRPr="003A2867">
        <w:rPr>
          <w:sz w:val="20"/>
          <w:szCs w:val="20"/>
        </w:rPr>
        <w:t xml:space="preserve"> Pirie</w:t>
      </w:r>
      <w:r>
        <w:rPr>
          <w:sz w:val="20"/>
          <w:szCs w:val="20"/>
        </w:rPr>
        <w:fldChar w:fldCharType="begin"/>
      </w:r>
      <w:r>
        <w:instrText xml:space="preserve"> XE "</w:instrText>
      </w:r>
      <w:r w:rsidRPr="007D3069">
        <w:instrText>Pirie</w:instrText>
      </w:r>
      <w:r>
        <w:instrText xml:space="preserve">" </w:instrText>
      </w:r>
      <w:r>
        <w:rPr>
          <w:sz w:val="20"/>
          <w:szCs w:val="20"/>
        </w:rPr>
        <w:fldChar w:fldCharType="end"/>
      </w:r>
      <w:r w:rsidRPr="003A2867">
        <w:rPr>
          <w:sz w:val="20"/>
          <w:szCs w:val="20"/>
        </w:rPr>
        <w:t xml:space="preserve"> recorded a balance.</w:t>
      </w:r>
    </w:p>
  </w:footnote>
  <w:footnote w:id="1182">
    <w:p w14:paraId="6B1A9C86" w14:textId="71997238" w:rsidR="000E1004" w:rsidRDefault="000E1004" w:rsidP="00582C52">
      <w:pPr>
        <w:pStyle w:val="FootnoteText"/>
      </w:pPr>
      <w:r>
        <w:rPr>
          <w:rStyle w:val="FootnoteReference"/>
        </w:rPr>
        <w:footnoteRef/>
      </w:r>
      <w:r>
        <w:t xml:space="preserve"> </w:t>
      </w:r>
      <w:r>
        <w:rPr>
          <w:bCs/>
        </w:rPr>
        <w:t>In 1999 (parcel A, 249) and 2002 (Parcel B, 63). The latter have an average weight of 0.99g compared to a database average of 1.06g.</w:t>
      </w:r>
    </w:p>
  </w:footnote>
  <w:footnote w:id="1183">
    <w:p w14:paraId="5E0D50E9" w14:textId="7F592CD1" w:rsidR="000E1004" w:rsidRDefault="000E1004">
      <w:pPr>
        <w:pStyle w:val="FootnoteText"/>
      </w:pPr>
      <w:r>
        <w:rPr>
          <w:rStyle w:val="FootnoteReference"/>
        </w:rPr>
        <w:footnoteRef/>
      </w:r>
      <w:r>
        <w:t xml:space="preserve"> </w:t>
      </w:r>
      <w:r w:rsidRPr="00A07A08">
        <w:rPr>
          <w:i/>
        </w:rPr>
        <w:t>Graph 7.</w:t>
      </w:r>
      <w:r>
        <w:rPr>
          <w:i/>
        </w:rPr>
        <w:t>09 no. 43</w:t>
      </w:r>
      <w:r>
        <w:t>.</w:t>
      </w:r>
    </w:p>
  </w:footnote>
  <w:footnote w:id="1184">
    <w:p w14:paraId="76F3A3B9" w14:textId="7F3AB8E2" w:rsidR="000E1004" w:rsidRDefault="000E1004" w:rsidP="00582C52">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(2004, 74). Her speculations on ‘Vinred’ as a newly-discovered Northumbrian king (Eanred</w:t>
      </w:r>
      <w:r>
        <w:fldChar w:fldCharType="begin"/>
      </w:r>
      <w:r>
        <w:instrText xml:space="preserve"> XE "</w:instrText>
      </w:r>
      <w:r w:rsidRPr="007645AE">
        <w:instrText>Eanred</w:instrText>
      </w:r>
      <w:r>
        <w:instrText xml:space="preserve">" </w:instrText>
      </w:r>
      <w:r>
        <w:fldChar w:fldCharType="end"/>
      </w:r>
      <w:r>
        <w:t xml:space="preserve">) and the blundered ‘Antedi’ as revival of a Celtic name in a society recalling its British heritage, are both misguided. </w:t>
      </w:r>
      <w:r w:rsidRPr="00A07A08">
        <w:rPr>
          <w:i/>
        </w:rPr>
        <w:t>Graph 7.</w:t>
      </w:r>
      <w:r>
        <w:rPr>
          <w:i/>
        </w:rPr>
        <w:t>08 no. 38</w:t>
      </w:r>
      <w:r>
        <w:t>.</w:t>
      </w:r>
    </w:p>
  </w:footnote>
  <w:footnote w:id="1185">
    <w:p w14:paraId="7BDCE637" w14:textId="36885AA6" w:rsidR="000E1004" w:rsidRDefault="000E1004" w:rsidP="00582C52">
      <w:pPr>
        <w:pStyle w:val="FootnoteText"/>
      </w:pPr>
      <w:r>
        <w:rPr>
          <w:rStyle w:val="FootnoteReference"/>
        </w:rPr>
        <w:footnoteRef/>
      </w:r>
      <w:r>
        <w:t xml:space="preserve"> </w:t>
      </w:r>
      <w:hyperlink r:id="rId47" w:history="1">
        <w:r w:rsidRPr="0087097E">
          <w:rPr>
            <w:rStyle w:val="Hyperlink"/>
          </w:rPr>
          <w:t>https://finds.org.uk/database/artefacts/record/id/279980</w:t>
        </w:r>
      </w:hyperlink>
    </w:p>
  </w:footnote>
  <w:footnote w:id="1186">
    <w:p w14:paraId="6478CF7A" w14:textId="77777777" w:rsidR="000E1004" w:rsidRDefault="000E1004" w:rsidP="00582C52">
      <w:pPr>
        <w:pStyle w:val="FootnoteText"/>
      </w:pPr>
      <w:r>
        <w:rPr>
          <w:rStyle w:val="FootnoteReference"/>
        </w:rPr>
        <w:footnoteRef/>
      </w:r>
      <w:r>
        <w:t xml:space="preserve"> Wood (2008b, 25).</w:t>
      </w:r>
    </w:p>
  </w:footnote>
  <w:footnote w:id="1187">
    <w:p w14:paraId="09BC7322" w14:textId="280A5943" w:rsidR="000E1004" w:rsidRDefault="000E1004" w:rsidP="00582C52">
      <w:pPr>
        <w:pStyle w:val="FootnoteText"/>
      </w:pPr>
      <w:r>
        <w:rPr>
          <w:rStyle w:val="FootnoteReference"/>
        </w:rPr>
        <w:footnoteRef/>
      </w:r>
      <w:r>
        <w:t xml:space="preserve"> </w:t>
      </w:r>
      <w:hyperlink r:id="rId48" w:history="1">
        <w:r w:rsidRPr="00061BAC">
          <w:rPr>
            <w:rStyle w:val="Hyperlink"/>
          </w:rPr>
          <w:t>http://antiquity.ac.uk/projgall/sherlock/index.html</w:t>
        </w:r>
      </w:hyperlink>
    </w:p>
  </w:footnote>
  <w:footnote w:id="1188">
    <w:p w14:paraId="1D99A3D7" w14:textId="77777777" w:rsidR="000E1004" w:rsidRDefault="000E1004" w:rsidP="00582C52">
      <w:pPr>
        <w:pStyle w:val="FootnoteText"/>
      </w:pPr>
      <w:r>
        <w:rPr>
          <w:rStyle w:val="FootnoteReference"/>
        </w:rPr>
        <w:footnoteRef/>
      </w:r>
      <w:r>
        <w:t xml:space="preserve"> </w:t>
      </w:r>
      <w:r w:rsidRPr="008B16A1">
        <w:rPr>
          <w:i/>
        </w:rPr>
        <w:t>Ibid</w:t>
      </w:r>
      <w:r>
        <w:t>.</w:t>
      </w:r>
    </w:p>
  </w:footnote>
  <w:footnote w:id="1189">
    <w:p w14:paraId="4EA48625" w14:textId="7490487B" w:rsidR="000E1004" w:rsidRDefault="000E1004">
      <w:pPr>
        <w:pStyle w:val="FootnoteText"/>
      </w:pPr>
      <w:r>
        <w:rPr>
          <w:rStyle w:val="FootnoteReference"/>
        </w:rPr>
        <w:footnoteRef/>
      </w:r>
      <w:r>
        <w:t xml:space="preserve"> ‘Scot-free’ equates to ‘free of dues’, dues being the original meaning of </w:t>
      </w:r>
      <w:r w:rsidRPr="00952365">
        <w:rPr>
          <w:i/>
        </w:rPr>
        <w:t>sceat</w:t>
      </w:r>
      <w:r>
        <w:t>.</w:t>
      </w:r>
    </w:p>
  </w:footnote>
  <w:footnote w:id="1190">
    <w:p w14:paraId="237AF24C" w14:textId="53258A7A" w:rsidR="000E1004" w:rsidRDefault="000E1004">
      <w:pPr>
        <w:pStyle w:val="FootnoteText"/>
      </w:pPr>
      <w:r>
        <w:rPr>
          <w:rStyle w:val="FootnoteReference"/>
        </w:rPr>
        <w:footnoteRef/>
      </w:r>
      <w:r>
        <w:t xml:space="preserve"> In addition to </w:t>
      </w:r>
      <w:r w:rsidRPr="0082395F">
        <w:t>Beverley</w:t>
      </w:r>
      <w:r w:rsidRPr="0082395F">
        <w:fldChar w:fldCharType="begin"/>
      </w:r>
      <w:r>
        <w:instrText xml:space="preserve"> XE "</w:instrText>
      </w:r>
      <w:r w:rsidRPr="0082395F">
        <w:rPr>
          <w:noProof/>
        </w:rPr>
        <w:instrText>Beverley</w:instrText>
      </w:r>
      <w:r>
        <w:instrText xml:space="preserve">" </w:instrText>
      </w:r>
      <w:r w:rsidRPr="0082395F">
        <w:fldChar w:fldCharType="end"/>
      </w:r>
      <w:r>
        <w:t xml:space="preserve"> (</w:t>
      </w:r>
      <w:r>
        <w:fldChar w:fldCharType="begin"/>
      </w:r>
      <w:r>
        <w:instrText xml:space="preserve"> PAGEREF Beverley \h </w:instrText>
      </w:r>
      <w:r>
        <w:fldChar w:fldCharType="separate"/>
      </w:r>
      <w:r w:rsidR="0012026B">
        <w:rPr>
          <w:noProof/>
        </w:rPr>
        <w:t>262</w:t>
      </w:r>
      <w:r>
        <w:fldChar w:fldCharType="end"/>
      </w:r>
      <w:r>
        <w:t>) already discussed.</w:t>
      </w:r>
    </w:p>
  </w:footnote>
  <w:footnote w:id="1191">
    <w:p w14:paraId="2A2F2355" w14:textId="77777777" w:rsidR="000E1004" w:rsidRDefault="000E1004" w:rsidP="00582C52">
      <w:pPr>
        <w:pStyle w:val="FootnoteText"/>
      </w:pPr>
      <w:r>
        <w:rPr>
          <w:rStyle w:val="FootnoteReference"/>
        </w:rPr>
        <w:footnoteRef/>
      </w:r>
      <w:r>
        <w:t xml:space="preserve"> Clark (2011).</w:t>
      </w:r>
    </w:p>
  </w:footnote>
  <w:footnote w:id="1192">
    <w:p w14:paraId="6D6B3E81" w14:textId="77777777" w:rsidR="000E1004" w:rsidRDefault="000E1004" w:rsidP="00582C52">
      <w:pPr>
        <w:pStyle w:val="FootnoteText"/>
      </w:pPr>
      <w:r>
        <w:rPr>
          <w:rStyle w:val="FootnoteReference"/>
        </w:rPr>
        <w:footnoteRef/>
      </w:r>
      <w:r>
        <w:t xml:space="preserve"> In the tradition of St Martin of Tours signifying a Gallic connection.</w:t>
      </w:r>
    </w:p>
  </w:footnote>
  <w:footnote w:id="1193">
    <w:p w14:paraId="4649D7C5" w14:textId="5E456621" w:rsidR="000E1004" w:rsidRPr="000C5768" w:rsidRDefault="000E1004" w:rsidP="00582C52">
      <w:pPr>
        <w:pStyle w:val="FootnoteText"/>
      </w:pPr>
      <w:r>
        <w:rPr>
          <w:rStyle w:val="FootnoteReference"/>
        </w:rPr>
        <w:footnoteRef/>
      </w:r>
      <w:r>
        <w:t xml:space="preserve"> </w:t>
      </w:r>
      <w:r w:rsidRPr="003A3C87">
        <w:rPr>
          <w:i/>
        </w:rPr>
        <w:t>EH</w:t>
      </w:r>
      <w:r>
        <w:t xml:space="preserve"> (III, 4). Alcuin</w:t>
      </w:r>
      <w:r>
        <w:fldChar w:fldCharType="begin"/>
      </w:r>
      <w:r>
        <w:instrText xml:space="preserve"> XE "</w:instrText>
      </w:r>
      <w:r w:rsidRPr="007D3069">
        <w:rPr>
          <w:rFonts w:cs="Times New Roman"/>
          <w:szCs w:val="24"/>
        </w:rPr>
        <w:instrText>Alcuin</w:instrText>
      </w:r>
      <w:r>
        <w:instrText xml:space="preserve">" </w:instrText>
      </w:r>
      <w:r>
        <w:fldChar w:fldCharType="end"/>
      </w:r>
      <w:r>
        <w:t xml:space="preserve"> received a copy of </w:t>
      </w:r>
      <w:r w:rsidRPr="000C5768">
        <w:rPr>
          <w:i/>
        </w:rPr>
        <w:t>Miracula Nynie Episcopi</w:t>
      </w:r>
      <w:r>
        <w:t>, St Ninian’s life in verse.</w:t>
      </w:r>
    </w:p>
  </w:footnote>
  <w:footnote w:id="1194">
    <w:p w14:paraId="19E7729E" w14:textId="77777777" w:rsidR="000E1004" w:rsidRDefault="000E1004" w:rsidP="00582C52">
      <w:pPr>
        <w:pStyle w:val="FootnoteText"/>
      </w:pPr>
      <w:r>
        <w:rPr>
          <w:rStyle w:val="FootnoteReference"/>
        </w:rPr>
        <w:footnoteRef/>
      </w:r>
      <w:r>
        <w:t xml:space="preserve"> Thomas (1992, 1-13).</w:t>
      </w:r>
    </w:p>
  </w:footnote>
  <w:footnote w:id="1195">
    <w:p w14:paraId="5F24C6E7" w14:textId="77777777" w:rsidR="000E1004" w:rsidRDefault="000E1004" w:rsidP="00582C52">
      <w:pPr>
        <w:pStyle w:val="FootnoteText"/>
      </w:pPr>
      <w:r>
        <w:rPr>
          <w:rStyle w:val="FootnoteReference"/>
        </w:rPr>
        <w:footnoteRef/>
      </w:r>
      <w:r>
        <w:t xml:space="preserve"> Toop (2011, 103). Clark (2011, 114-5).</w:t>
      </w:r>
    </w:p>
  </w:footnote>
  <w:footnote w:id="1196">
    <w:p w14:paraId="20EF6BE7" w14:textId="77777777" w:rsidR="000E1004" w:rsidRDefault="000E1004" w:rsidP="00582C52">
      <w:pPr>
        <w:pStyle w:val="FootnoteText"/>
      </w:pPr>
      <w:r>
        <w:rPr>
          <w:rStyle w:val="FootnoteReference"/>
        </w:rPr>
        <w:footnoteRef/>
      </w:r>
      <w:r>
        <w:t xml:space="preserve"> Cramp (1995, 15).</w:t>
      </w:r>
    </w:p>
  </w:footnote>
  <w:footnote w:id="1197">
    <w:p w14:paraId="1C0B4A8C" w14:textId="77777777" w:rsidR="000E1004" w:rsidRDefault="000E1004" w:rsidP="00582C52">
      <w:pPr>
        <w:pStyle w:val="FootnoteText"/>
      </w:pPr>
      <w:r>
        <w:rPr>
          <w:rStyle w:val="FootnoteReference"/>
        </w:rPr>
        <w:footnoteRef/>
      </w:r>
      <w:r>
        <w:t xml:space="preserve"> Cramp (1995, 16).</w:t>
      </w:r>
    </w:p>
  </w:footnote>
  <w:footnote w:id="1198">
    <w:p w14:paraId="7837973A" w14:textId="77777777" w:rsidR="000E1004" w:rsidRDefault="000E1004" w:rsidP="00582C52">
      <w:pPr>
        <w:pStyle w:val="FootnoteText"/>
      </w:pPr>
      <w:r>
        <w:rPr>
          <w:rStyle w:val="FootnoteReference"/>
        </w:rPr>
        <w:footnoteRef/>
      </w:r>
      <w:r>
        <w:t xml:space="preserve"> Cramp (1995, 13).</w:t>
      </w:r>
    </w:p>
  </w:footnote>
  <w:footnote w:id="1199">
    <w:p w14:paraId="07B17905" w14:textId="1CAF1FFE" w:rsidR="000E1004" w:rsidRDefault="000E1004" w:rsidP="00582C52">
      <w:pPr>
        <w:pStyle w:val="FootnoteText"/>
      </w:pPr>
      <w:r>
        <w:rPr>
          <w:rStyle w:val="FootnoteReference"/>
        </w:rPr>
        <w:footnoteRef/>
      </w:r>
      <w:r>
        <w:t xml:space="preserve"> </w:t>
      </w:r>
      <w:r>
        <w:rPr>
          <w:szCs w:val="24"/>
        </w:rPr>
        <w:t xml:space="preserve">There is little evidence of manufacture in the immediate vicinity, Hill (1990, 21) but Mote of Mark was an industrial </w:t>
      </w:r>
      <w:r w:rsidRPr="009C3378">
        <w:rPr>
          <w:i/>
          <w:szCs w:val="24"/>
        </w:rPr>
        <w:t>atelier</w:t>
      </w:r>
      <w:r>
        <w:rPr>
          <w:szCs w:val="24"/>
        </w:rPr>
        <w:t>, (Alcock, 2003, 94-5, also 217-25 and 450).</w:t>
      </w:r>
    </w:p>
  </w:footnote>
  <w:footnote w:id="1200">
    <w:p w14:paraId="7122EE53" w14:textId="70D233E3" w:rsidR="000E1004" w:rsidRDefault="000E1004">
      <w:pPr>
        <w:pStyle w:val="FootnoteText"/>
      </w:pPr>
      <w:r>
        <w:rPr>
          <w:rStyle w:val="FootnoteReference"/>
        </w:rPr>
        <w:footnoteRef/>
      </w:r>
      <w:r>
        <w:t xml:space="preserve"> Alcock (2003, ch. 8).</w:t>
      </w:r>
    </w:p>
  </w:footnote>
  <w:footnote w:id="1201">
    <w:p w14:paraId="3E7C6C7D" w14:textId="34ED21D3" w:rsidR="000E1004" w:rsidRDefault="000E1004" w:rsidP="00582C52">
      <w:pPr>
        <w:pStyle w:val="FootnoteText"/>
      </w:pPr>
      <w:r>
        <w:rPr>
          <w:rStyle w:val="FootnoteReference"/>
        </w:rPr>
        <w:footnoteRef/>
      </w:r>
      <w:r>
        <w:t xml:space="preserve"> </w:t>
      </w:r>
      <w:r>
        <w:rPr>
          <w:szCs w:val="24"/>
        </w:rPr>
        <w:t xml:space="preserve">Hill (1990, 22). </w:t>
      </w:r>
    </w:p>
  </w:footnote>
  <w:footnote w:id="1202">
    <w:p w14:paraId="465ACFAD" w14:textId="77777777" w:rsidR="000E1004" w:rsidRDefault="000E1004" w:rsidP="00582C52">
      <w:pPr>
        <w:pStyle w:val="FootnoteText"/>
      </w:pPr>
      <w:r>
        <w:rPr>
          <w:rStyle w:val="FootnoteReference"/>
        </w:rPr>
        <w:footnoteRef/>
      </w:r>
      <w:r>
        <w:t xml:space="preserve"> Hill (1990, 8).</w:t>
      </w:r>
    </w:p>
  </w:footnote>
  <w:footnote w:id="1203">
    <w:p w14:paraId="24DDF8A4" w14:textId="2A674344" w:rsidR="000E1004" w:rsidRDefault="000E1004" w:rsidP="00582C52">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(2000, 64 &amp; 214). Hill &amp; Cowie (2001, 98-9).</w:t>
      </w:r>
    </w:p>
  </w:footnote>
  <w:footnote w:id="1204">
    <w:p w14:paraId="7298686B" w14:textId="572E35D8" w:rsidR="000E1004" w:rsidRDefault="000E1004" w:rsidP="00582C52">
      <w:pPr>
        <w:pStyle w:val="FootnoteText"/>
      </w:pPr>
      <w:r>
        <w:rPr>
          <w:rStyle w:val="FootnoteReference"/>
        </w:rPr>
        <w:footnoteRef/>
      </w:r>
      <w:r>
        <w:t xml:space="preserve"> Cramp (1995, 12). Hill &amp; Cowie (2001, 99).</w:t>
      </w:r>
    </w:p>
  </w:footnote>
  <w:footnote w:id="1205">
    <w:p w14:paraId="5BEABD97" w14:textId="082AFB57" w:rsidR="000E1004" w:rsidRDefault="000E1004" w:rsidP="00582C52">
      <w:pPr>
        <w:pStyle w:val="FootnoteText"/>
      </w:pPr>
      <w:r>
        <w:rPr>
          <w:rStyle w:val="FootnoteReference"/>
        </w:rPr>
        <w:footnoteRef/>
      </w:r>
      <w:r>
        <w:t xml:space="preserve"> Brooke (1999, 21).</w:t>
      </w:r>
    </w:p>
  </w:footnote>
  <w:footnote w:id="1206">
    <w:p w14:paraId="46F190D0" w14:textId="71016862" w:rsidR="000E1004" w:rsidRDefault="000E1004">
      <w:pPr>
        <w:pStyle w:val="FootnoteText"/>
      </w:pPr>
      <w:r>
        <w:rPr>
          <w:rStyle w:val="FootnoteReference"/>
        </w:rPr>
        <w:footnoteRef/>
      </w:r>
      <w:r>
        <w:t xml:space="preserve"> </w:t>
      </w:r>
      <w:r w:rsidRPr="007E1A99">
        <w:t>Horned Cernunnos, ‘Father of the Gods’ in Celtic terms is shown on the Gundestrup cauldron next to a horned stag (Ellis</w:t>
      </w:r>
      <w:r>
        <w:t>, 1998</w:t>
      </w:r>
      <w:r w:rsidRPr="007E1A99">
        <w:t>) close in style to a unique sceat of Series</w:t>
      </w:r>
      <w:r>
        <w:fldChar w:fldCharType="begin"/>
      </w:r>
      <w:r>
        <w:instrText xml:space="preserve"> XE "</w:instrText>
      </w:r>
      <w:r w:rsidRPr="007645AE">
        <w:instrText>Series</w:instrText>
      </w:r>
      <w:r>
        <w:instrText xml:space="preserve">" </w:instrText>
      </w:r>
      <w:r>
        <w:fldChar w:fldCharType="end"/>
      </w:r>
      <w:r w:rsidRPr="007E1A99">
        <w:t xml:space="preserve"> Q</w:t>
      </w:r>
      <w:r>
        <w:fldChar w:fldCharType="begin"/>
      </w:r>
      <w:r>
        <w:instrText xml:space="preserve"> XE "</w:instrText>
      </w:r>
      <w:r w:rsidRPr="008D02A1">
        <w:instrText>Series Q</w:instrText>
      </w:r>
      <w:r>
        <w:instrText xml:space="preserve">" </w:instrText>
      </w:r>
      <w:r>
        <w:fldChar w:fldCharType="end"/>
      </w:r>
      <w:r w:rsidRPr="007E1A99">
        <w:t xml:space="preserve"> (</w:t>
      </w:r>
      <w:r>
        <w:rPr>
          <w:i/>
        </w:rPr>
        <w:t>SL</w:t>
      </w:r>
      <w:r w:rsidRPr="007E1A99">
        <w:t xml:space="preserve">64-80) and similar to the fantastic animal of Northumbrian Series Y. </w:t>
      </w:r>
      <w:r w:rsidRPr="001A6D00">
        <w:t>(Ross</w:t>
      </w:r>
      <w:r>
        <w:t>, 1967,</w:t>
      </w:r>
      <w:r w:rsidRPr="001A6D00">
        <w:t xml:space="preserve"> 418-23).</w:t>
      </w:r>
      <w:r w:rsidRPr="007E1A99">
        <w:t xml:space="preserve"> Higham (1993</w:t>
      </w:r>
      <w:r>
        <w:t>,</w:t>
      </w:r>
      <w:r w:rsidRPr="007E1A99">
        <w:t xml:space="preserve"> 26) also me</w:t>
      </w:r>
      <w:r>
        <w:t>n</w:t>
      </w:r>
      <w:r w:rsidRPr="007E1A99">
        <w:t>tions the Carvetti – ‘deer people’ – of Cumbria.</w:t>
      </w:r>
    </w:p>
  </w:footnote>
  <w:footnote w:id="1207">
    <w:p w14:paraId="23F8C9C6" w14:textId="0B257AEC" w:rsidR="000E1004" w:rsidRDefault="000E1004">
      <w:pPr>
        <w:pStyle w:val="FootnoteText"/>
      </w:pPr>
      <w:r>
        <w:rPr>
          <w:rStyle w:val="FootnoteReference"/>
        </w:rPr>
        <w:footnoteRef/>
      </w:r>
      <w:r>
        <w:t xml:space="preserve"> </w:t>
      </w:r>
      <w:r>
        <w:rPr>
          <w:i/>
        </w:rPr>
        <w:t>Fn.</w:t>
      </w:r>
      <w:r>
        <w:t xml:space="preserve"> </w:t>
      </w:r>
      <w:r>
        <w:fldChar w:fldCharType="begin"/>
      </w:r>
      <w:r>
        <w:instrText xml:space="preserve"> NOTEREF _Ref437346034 \h </w:instrText>
      </w:r>
      <w:r>
        <w:fldChar w:fldCharType="separate"/>
      </w:r>
      <w:r w:rsidR="0012026B">
        <w:t>599</w:t>
      </w:r>
      <w:r>
        <w:fldChar w:fldCharType="end"/>
      </w:r>
      <w:r>
        <w:t>.</w:t>
      </w:r>
    </w:p>
  </w:footnote>
  <w:footnote w:id="1208">
    <w:p w14:paraId="57783946" w14:textId="2F7D13B1" w:rsidR="000E1004" w:rsidRDefault="000E1004" w:rsidP="00582C52">
      <w:pPr>
        <w:pStyle w:val="FootnoteText"/>
      </w:pPr>
      <w:r>
        <w:rPr>
          <w:rStyle w:val="FootnoteReference"/>
        </w:rPr>
        <w:footnoteRef/>
      </w:r>
      <w:r>
        <w:t xml:space="preserve"> Brooke (1999, 21).</w:t>
      </w:r>
    </w:p>
  </w:footnote>
  <w:footnote w:id="1209">
    <w:p w14:paraId="3A3A1017" w14:textId="2A04C5D6" w:rsidR="000E1004" w:rsidRDefault="000E1004" w:rsidP="00582C52">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Sylloge, </w:t>
      </w:r>
      <w:r w:rsidRPr="00FD6E47">
        <w:rPr>
          <w:i/>
        </w:rPr>
        <w:t>SCBI</w:t>
      </w:r>
      <w:r>
        <w:t>69, (forthcoming 961b).</w:t>
      </w:r>
    </w:p>
  </w:footnote>
  <w:footnote w:id="1210">
    <w:p w14:paraId="60881E24" w14:textId="77777777" w:rsidR="000E1004" w:rsidRPr="00C220EE" w:rsidRDefault="000E1004" w:rsidP="00582C52">
      <w:pPr>
        <w:pStyle w:val="FootnoteText"/>
      </w:pPr>
      <w:r>
        <w:rPr>
          <w:rStyle w:val="FootnoteReference"/>
        </w:rPr>
        <w:footnoteRef/>
      </w:r>
      <w:r>
        <w:t xml:space="preserve"> </w:t>
      </w:r>
      <w:r w:rsidRPr="00C220EE">
        <w:rPr>
          <w:i/>
        </w:rPr>
        <w:t>SL</w:t>
      </w:r>
      <w:r>
        <w:t xml:space="preserve"> 80-80, 80-90, 83-10 and for the new Tidwulf variety, 82-50.</w:t>
      </w:r>
    </w:p>
  </w:footnote>
  <w:footnote w:id="1211">
    <w:p w14:paraId="41C5AAD3" w14:textId="792D1F26" w:rsidR="000E1004" w:rsidRDefault="000E1004">
      <w:pPr>
        <w:pStyle w:val="FootnoteText"/>
      </w:pPr>
      <w:r>
        <w:rPr>
          <w:rStyle w:val="FootnoteReference"/>
        </w:rPr>
        <w:footnoteRef/>
      </w:r>
      <w:r>
        <w:t xml:space="preserve"> Alcock (2003, 224).</w:t>
      </w:r>
    </w:p>
  </w:footnote>
  <w:footnote w:id="1212">
    <w:p w14:paraId="60F93879" w14:textId="1CE2C8AE" w:rsidR="000E1004" w:rsidRDefault="000E1004" w:rsidP="00582C52">
      <w:pPr>
        <w:pStyle w:val="FootnoteText"/>
      </w:pPr>
      <w:r>
        <w:rPr>
          <w:rStyle w:val="FootnoteReference"/>
        </w:rPr>
        <w:footnoteRef/>
      </w:r>
      <w:r>
        <w:t xml:space="preserve"> Davies</w:t>
      </w:r>
      <w:r>
        <w:fldChar w:fldCharType="begin"/>
      </w:r>
      <w:r>
        <w:instrText xml:space="preserve"> XE "</w:instrText>
      </w:r>
      <w:r w:rsidRPr="00523AF8">
        <w:rPr>
          <w:rStyle w:val="Hyperlink"/>
          <w:noProof/>
        </w:rPr>
        <w:instrText>Davies</w:instrText>
      </w:r>
      <w:r>
        <w:instrText xml:space="preserve">" </w:instrText>
      </w:r>
      <w:r>
        <w:fldChar w:fldCharType="end"/>
      </w:r>
      <w:r>
        <w:t xml:space="preserve"> (1998, 6-7). Or the coins </w:t>
      </w:r>
      <w:r>
        <w:rPr>
          <w:rFonts w:eastAsia="Times New Roman" w:cs="Times New Roman"/>
          <w:szCs w:val="24"/>
          <w:lang w:eastAsia="en-GB"/>
        </w:rPr>
        <w:t>may be an example of liminal ‘self-shaping’, Clark (2011, 114).</w:t>
      </w:r>
    </w:p>
  </w:footnote>
  <w:footnote w:id="1213">
    <w:p w14:paraId="53F85B4A" w14:textId="50034D6A" w:rsidR="000E1004" w:rsidRDefault="000E1004" w:rsidP="00582C52">
      <w:pPr>
        <w:pStyle w:val="FootnoteText"/>
      </w:pPr>
      <w:r>
        <w:rPr>
          <w:rStyle w:val="FootnoteReference"/>
        </w:rPr>
        <w:footnoteRef/>
      </w:r>
      <w:r>
        <w:t xml:space="preserve"> The N10a material comes from a confined area outside the inner precinct and, were this a scattered hoard, it should be excluded from the comparison with the normal distribution</w:t>
      </w:r>
      <w:r>
        <w:fldChar w:fldCharType="begin"/>
      </w:r>
      <w:r>
        <w:instrText xml:space="preserve"> XE "</w:instrText>
      </w:r>
      <w:r w:rsidRPr="00F1328A">
        <w:rPr>
          <w:rStyle w:val="Hyperlink"/>
          <w:noProof/>
        </w:rPr>
        <w:instrText>normal distribution</w:instrText>
      </w:r>
      <w:r>
        <w:instrText xml:space="preserve">" </w:instrText>
      </w:r>
      <w:r>
        <w:fldChar w:fldCharType="end"/>
      </w:r>
      <w:r>
        <w:t>, thus increasing the skew even further.</w:t>
      </w:r>
    </w:p>
  </w:footnote>
  <w:footnote w:id="1214">
    <w:p w14:paraId="79D2FDD8" w14:textId="0FC1A1D0" w:rsidR="000E1004" w:rsidRDefault="000E1004" w:rsidP="00582C52">
      <w:pPr>
        <w:pStyle w:val="FootnoteText"/>
      </w:pPr>
      <w:r>
        <w:rPr>
          <w:rStyle w:val="FootnoteReference"/>
        </w:rPr>
        <w:footnoteRef/>
      </w:r>
      <w:r>
        <w:t xml:space="preserve"> For non-hoard material, the ratio is usually around 7:1. The correlation for stycas is a mere 53%.</w:t>
      </w:r>
    </w:p>
  </w:footnote>
  <w:footnote w:id="1215">
    <w:p w14:paraId="2E61511D" w14:textId="258FABDF" w:rsidR="000E1004" w:rsidRDefault="000E1004" w:rsidP="00582C52">
      <w:pPr>
        <w:pStyle w:val="FootnoteText"/>
      </w:pPr>
      <w:r>
        <w:rPr>
          <w:rStyle w:val="FootnoteReference"/>
        </w:rPr>
        <w:footnoteRef/>
      </w:r>
      <w:r>
        <w:t xml:space="preserve"> </w:t>
      </w:r>
      <w:r>
        <w:rPr>
          <w:rFonts w:eastAsia="Times New Roman" w:cs="Times New Roman"/>
          <w:szCs w:val="24"/>
          <w:lang w:eastAsia="en-GB"/>
        </w:rPr>
        <w:t>There are three blundered specimens of unknown period.</w:t>
      </w:r>
    </w:p>
  </w:footnote>
  <w:footnote w:id="1216">
    <w:p w14:paraId="7A4DD0A3" w14:textId="4A106C80" w:rsidR="000E1004" w:rsidRDefault="000E1004">
      <w:pPr>
        <w:pStyle w:val="FootnoteText"/>
      </w:pPr>
      <w:r>
        <w:rPr>
          <w:rStyle w:val="FootnoteReference"/>
        </w:rPr>
        <w:footnoteRef/>
      </w:r>
      <w:r>
        <w:t xml:space="preserve"> </w:t>
      </w:r>
      <w:r w:rsidRPr="00A07A08">
        <w:rPr>
          <w:i/>
        </w:rPr>
        <w:t>Graph 7.</w:t>
      </w:r>
      <w:r>
        <w:rPr>
          <w:i/>
        </w:rPr>
        <w:t>08 no. 28</w:t>
      </w:r>
      <w:r>
        <w:t>.</w:t>
      </w:r>
    </w:p>
  </w:footnote>
  <w:footnote w:id="1217">
    <w:p w14:paraId="667192EF" w14:textId="583C0781" w:rsidR="000E1004" w:rsidRDefault="000E1004" w:rsidP="00582C52">
      <w:pPr>
        <w:pStyle w:val="FootnoteText"/>
      </w:pPr>
      <w:r>
        <w:rPr>
          <w:rStyle w:val="FootnoteReference"/>
        </w:rPr>
        <w:footnoteRef/>
      </w:r>
      <w:r>
        <w:t xml:space="preserve"> Hill (1990, 22). Hill (1997) referred to ‘The Missing Years’.</w:t>
      </w:r>
    </w:p>
  </w:footnote>
  <w:footnote w:id="1218">
    <w:p w14:paraId="17A415A5" w14:textId="0F8180F0" w:rsidR="000E1004" w:rsidRPr="00B5133B" w:rsidRDefault="000E1004">
      <w:pPr>
        <w:pStyle w:val="FootnoteText"/>
      </w:pPr>
      <w:r>
        <w:rPr>
          <w:rStyle w:val="FootnoteReference"/>
        </w:rPr>
        <w:footnoteRef/>
      </w:r>
      <w:r>
        <w:t xml:space="preserve"> See </w:t>
      </w:r>
      <w:r>
        <w:rPr>
          <w:i/>
        </w:rPr>
        <w:t>fn.</w:t>
      </w:r>
      <w:r>
        <w:t xml:space="preserve"> </w:t>
      </w:r>
      <w:r>
        <w:fldChar w:fldCharType="begin"/>
      </w:r>
      <w:r>
        <w:instrText xml:space="preserve"> NOTEREF _Ref467662522 \h </w:instrText>
      </w:r>
      <w:r>
        <w:fldChar w:fldCharType="separate"/>
      </w:r>
      <w:r w:rsidR="0012026B">
        <w:t>869</w:t>
      </w:r>
      <w:r>
        <w:fldChar w:fldCharType="end"/>
      </w:r>
      <w:r>
        <w:t>.</w:t>
      </w:r>
    </w:p>
  </w:footnote>
  <w:footnote w:id="1219">
    <w:p w14:paraId="0FD7C766" w14:textId="763C3ED1" w:rsidR="000E1004" w:rsidRDefault="000E1004" w:rsidP="00CA0A99">
      <w:pPr>
        <w:pStyle w:val="NoSpacing"/>
      </w:pPr>
      <w:r>
        <w:rPr>
          <w:rStyle w:val="FootnoteReference"/>
        </w:rPr>
        <w:footnoteRef/>
      </w:r>
      <w:r>
        <w:t xml:space="preserve"> </w:t>
      </w:r>
      <w:r w:rsidRPr="00CA0A99">
        <w:rPr>
          <w:sz w:val="20"/>
          <w:szCs w:val="20"/>
        </w:rPr>
        <w:t xml:space="preserve">Leeds (1913, 15-16). Beresford (1954). Arnold (1977, 309-15; 1988, 37-49). Arnold &amp; Wardle (1981, 145-9). Hodges (1989, 80-92). Welch (1985, 13-25). </w:t>
      </w:r>
      <w:r>
        <w:rPr>
          <w:sz w:val="20"/>
          <w:szCs w:val="20"/>
        </w:rPr>
        <w:t xml:space="preserve">Hodges (1989, 43-68). </w:t>
      </w:r>
      <w:r w:rsidRPr="00CA0A99">
        <w:rPr>
          <w:sz w:val="20"/>
          <w:szCs w:val="20"/>
        </w:rPr>
        <w:t>Hamerow (1991, 1-17). Hines (1997). Hansen &amp; Wickham (2000). Moreland (2000</w:t>
      </w:r>
      <w:r>
        <w:rPr>
          <w:sz w:val="20"/>
          <w:szCs w:val="20"/>
        </w:rPr>
        <w:t>b</w:t>
      </w:r>
      <w:r w:rsidRPr="00CA0A99">
        <w:rPr>
          <w:sz w:val="20"/>
          <w:szCs w:val="20"/>
        </w:rPr>
        <w:t xml:space="preserve">, 82-4). Hoggett (2010, 132-5). Higham and Ryan (2013, 199). Blair (2014, </w:t>
      </w:r>
      <w:r w:rsidRPr="00CA0A99">
        <w:rPr>
          <w:i/>
          <w:sz w:val="20"/>
          <w:szCs w:val="20"/>
        </w:rPr>
        <w:t>CA</w:t>
      </w:r>
      <w:r w:rsidRPr="00CA0A99">
        <w:rPr>
          <w:sz w:val="20"/>
          <w:szCs w:val="20"/>
        </w:rPr>
        <w:t xml:space="preserve"> 291,</w:t>
      </w:r>
      <w:r w:rsidRPr="00435EAC">
        <w:rPr>
          <w:sz w:val="20"/>
          <w:szCs w:val="20"/>
        </w:rPr>
        <w:t xml:space="preserve"> </w:t>
      </w:r>
      <w:hyperlink r:id="rId49" w:history="1">
        <w:r w:rsidRPr="00435EAC">
          <w:rPr>
            <w:rStyle w:val="Hyperlink"/>
            <w:sz w:val="20"/>
            <w:szCs w:val="20"/>
            <w:lang w:eastAsia="en-GB"/>
          </w:rPr>
          <w:t>http://www.archaeology.co.uk/articles/features/exploring-anglo-saxon-settlement.htm</w:t>
        </w:r>
      </w:hyperlink>
      <w:r>
        <w:rPr>
          <w:sz w:val="20"/>
          <w:szCs w:val="20"/>
          <w:lang w:eastAsia="en-GB"/>
        </w:rPr>
        <w:t>), a summary of ‘grey literature’.</w:t>
      </w:r>
    </w:p>
  </w:footnote>
  <w:footnote w:id="1220">
    <w:p w14:paraId="2E1ECD04" w14:textId="77777777" w:rsidR="000E1004" w:rsidRDefault="000E1004" w:rsidP="00582C52">
      <w:pPr>
        <w:pStyle w:val="FootnoteText"/>
      </w:pPr>
      <w:r>
        <w:rPr>
          <w:rStyle w:val="FootnoteReference"/>
        </w:rPr>
        <w:footnoteRef/>
      </w:r>
      <w:r>
        <w:t xml:space="preserve"> Dumville (1997, 24). Presumably they brought the cult of St Cuthbert as ‘Kirkcudbright’ is derived from ‘kirk of St Cuthbert’.</w:t>
      </w:r>
    </w:p>
  </w:footnote>
  <w:footnote w:id="1221">
    <w:p w14:paraId="070E471E" w14:textId="23B29EE6" w:rsidR="000E1004" w:rsidRDefault="000E1004">
      <w:pPr>
        <w:pStyle w:val="FootnoteText"/>
      </w:pPr>
      <w:r>
        <w:rPr>
          <w:rStyle w:val="FootnoteReference"/>
        </w:rPr>
        <w:footnoteRef/>
      </w:r>
      <w:r>
        <w:t xml:space="preserve"> The road between presumably was a pilgrim route given the proximity of the famous crosses of Hoddom, Ruthwell and Bewcastle (Rollason, 2003, </w:t>
      </w:r>
      <w:r w:rsidRPr="002F3FD5">
        <w:rPr>
          <w:i/>
        </w:rPr>
        <w:t>Map</w:t>
      </w:r>
      <w:r>
        <w:t xml:space="preserve"> 3, 29).</w:t>
      </w:r>
    </w:p>
  </w:footnote>
  <w:footnote w:id="1222">
    <w:p w14:paraId="6EABE565" w14:textId="32B1A6A5" w:rsidR="000E1004" w:rsidRDefault="000E1004" w:rsidP="00582C52">
      <w:pPr>
        <w:pStyle w:val="FootnoteText"/>
      </w:pPr>
      <w:r>
        <w:rPr>
          <w:rStyle w:val="FootnoteReference"/>
        </w:rPr>
        <w:footnoteRef/>
      </w:r>
      <w:r>
        <w:t xml:space="preserve"> Stewart Lyon (</w:t>
      </w:r>
      <w:r w:rsidRPr="00381CB3">
        <w:rPr>
          <w:i/>
        </w:rPr>
        <w:t>pers. comm.</w:t>
      </w:r>
      <w:r>
        <w:t xml:space="preserve"> 20th December 2014) pointed out that </w:t>
      </w:r>
      <w:r w:rsidRPr="00381CB3">
        <w:rPr>
          <w:i/>
        </w:rPr>
        <w:t>CKN</w:t>
      </w:r>
      <w:r>
        <w:t>462 from Coppergate may be similar. Pirie</w:t>
      </w:r>
      <w:r>
        <w:fldChar w:fldCharType="begin"/>
      </w:r>
      <w:r>
        <w:instrText xml:space="preserve"> XE "</w:instrText>
      </w:r>
      <w:r w:rsidRPr="007D3069">
        <w:instrText>Pirie</w:instrText>
      </w:r>
      <w:r>
        <w:instrText xml:space="preserve">" </w:instrText>
      </w:r>
      <w:r>
        <w:fldChar w:fldCharType="end"/>
      </w:r>
      <w:r>
        <w:t xml:space="preserve"> had discussed these pieces (archive, Carlisle, July 1981, unpublished) and another from the 1695 Ripon</w:t>
      </w:r>
      <w:r>
        <w:fldChar w:fldCharType="begin"/>
      </w:r>
      <w:r>
        <w:instrText xml:space="preserve"> XE "</w:instrText>
      </w:r>
      <w:r w:rsidRPr="004D76A0">
        <w:rPr>
          <w:rStyle w:val="Hyperlink"/>
          <w:noProof/>
        </w:rPr>
        <w:instrText>Ripon</w:instrText>
      </w:r>
      <w:r>
        <w:instrText xml:space="preserve">" </w:instrText>
      </w:r>
      <w:r>
        <w:fldChar w:fldCharType="end"/>
      </w:r>
      <w:r>
        <w:t xml:space="preserve"> hoard.</w:t>
      </w:r>
    </w:p>
  </w:footnote>
  <w:footnote w:id="1223">
    <w:p w14:paraId="538C56D1" w14:textId="59B20399" w:rsidR="000E1004" w:rsidRDefault="000E1004" w:rsidP="00582C52">
      <w:pPr>
        <w:pStyle w:val="FootnoteText"/>
      </w:pPr>
      <w:r>
        <w:rPr>
          <w:rStyle w:val="FootnoteReference"/>
        </w:rPr>
        <w:footnoteRef/>
      </w:r>
      <w:r>
        <w:t xml:space="preserve"> </w:t>
      </w:r>
      <w:r>
        <w:rPr>
          <w:color w:val="000000" w:themeColor="text1"/>
          <w:szCs w:val="24"/>
        </w:rPr>
        <w:t>Styca finds at excavations in Carlisle, according to Pirie</w:t>
      </w:r>
      <w:r>
        <w:rPr>
          <w:color w:val="000000" w:themeColor="text1"/>
          <w:szCs w:val="24"/>
        </w:rPr>
        <w:fldChar w:fldCharType="begin"/>
      </w:r>
      <w:r>
        <w:instrText xml:space="preserve"> XE "</w:instrText>
      </w:r>
      <w:r w:rsidRPr="007D3069">
        <w:instrText>Pirie</w:instrText>
      </w:r>
      <w:r>
        <w:instrText xml:space="preserve">" </w:instrText>
      </w:r>
      <w:r>
        <w:rPr>
          <w:color w:val="000000" w:themeColor="text1"/>
          <w:szCs w:val="24"/>
        </w:rPr>
        <w:fldChar w:fldCharType="end"/>
      </w:r>
      <w:r>
        <w:rPr>
          <w:color w:val="000000" w:themeColor="text1"/>
          <w:szCs w:val="24"/>
        </w:rPr>
        <w:t xml:space="preserve"> 2000 (200-9) occur at Abbey Street (1) Blackfriars Street (3), Annetwell Street (Tullie House, 13, including the runic-initialled Wilheah), Castle Street (11), Scotch Street (3), Sewerworks (3), Town Dykes Orchard (1), The Lanes: Keays Lane (2), Laws Lane (1) Lewthwaites Lane (1), (Pirie noted that The Lanes finds are well-worn, well east of the main ninth century settlement</w:t>
      </w:r>
      <w:r>
        <w:rPr>
          <w:color w:val="000000" w:themeColor="text1"/>
          <w:szCs w:val="24"/>
        </w:rPr>
        <w:fldChar w:fldCharType="begin"/>
      </w:r>
      <w:r>
        <w:instrText xml:space="preserve"> XE "</w:instrText>
      </w:r>
      <w:r w:rsidRPr="007645AE">
        <w:instrText>settlement</w:instrText>
      </w:r>
      <w:r>
        <w:instrText xml:space="preserve">" </w:instrText>
      </w:r>
      <w:r>
        <w:rPr>
          <w:color w:val="000000" w:themeColor="text1"/>
          <w:szCs w:val="24"/>
        </w:rPr>
        <w:fldChar w:fldCharType="end"/>
      </w:r>
      <w:r>
        <w:rPr>
          <w:color w:val="000000" w:themeColor="text1"/>
          <w:szCs w:val="24"/>
        </w:rPr>
        <w:t xml:space="preserve"> and residual [archive, Carlisle, 22</w:t>
      </w:r>
      <w:r w:rsidRPr="006D7E81">
        <w:rPr>
          <w:color w:val="000000" w:themeColor="text1"/>
          <w:szCs w:val="24"/>
          <w:vertAlign w:val="superscript"/>
        </w:rPr>
        <w:t>nd</w:t>
      </w:r>
      <w:r>
        <w:rPr>
          <w:color w:val="000000" w:themeColor="text1"/>
          <w:szCs w:val="24"/>
        </w:rPr>
        <w:t xml:space="preserve"> August 1991]) and at the Cathedral (unstratified deposits generally in better condition than other local finds, including: 1 sceat of </w:t>
      </w:r>
      <w:r>
        <w:rPr>
          <w:rFonts w:cs="Times New Roman"/>
          <w:color w:val="000000" w:themeColor="text1"/>
          <w:szCs w:val="24"/>
        </w:rPr>
        <w:t>Æ</w:t>
      </w:r>
      <w:r>
        <w:rPr>
          <w:color w:val="000000" w:themeColor="text1"/>
          <w:szCs w:val="24"/>
        </w:rPr>
        <w:t>thelred</w:t>
      </w:r>
      <w:r>
        <w:rPr>
          <w:color w:val="000000" w:themeColor="text1"/>
          <w:szCs w:val="24"/>
        </w:rPr>
        <w:fldChar w:fldCharType="begin"/>
      </w:r>
      <w:r>
        <w:instrText xml:space="preserve"> XE "</w:instrText>
      </w:r>
      <w:r w:rsidRPr="007645AE">
        <w:rPr>
          <w:rFonts w:cs="Times New Roman"/>
        </w:rPr>
        <w:instrText>Æ</w:instrText>
      </w:r>
      <w:r w:rsidRPr="007645AE">
        <w:instrText>thelred</w:instrText>
      </w:r>
      <w:r>
        <w:instrText xml:space="preserve">" </w:instrText>
      </w:r>
      <w:r>
        <w:rPr>
          <w:color w:val="000000" w:themeColor="text1"/>
          <w:szCs w:val="24"/>
        </w:rPr>
        <w:fldChar w:fldCharType="end"/>
      </w:r>
      <w:r>
        <w:rPr>
          <w:color w:val="000000" w:themeColor="text1"/>
          <w:szCs w:val="24"/>
        </w:rPr>
        <w:t xml:space="preserve"> I with Eanbald</w:t>
      </w:r>
      <w:r>
        <w:rPr>
          <w:color w:val="000000" w:themeColor="text1"/>
          <w:szCs w:val="24"/>
        </w:rPr>
        <w:fldChar w:fldCharType="begin"/>
      </w:r>
      <w:r>
        <w:instrText xml:space="preserve"> XE "</w:instrText>
      </w:r>
      <w:r w:rsidRPr="007645AE">
        <w:instrText>Eanbald</w:instrText>
      </w:r>
      <w:r>
        <w:instrText xml:space="preserve">" </w:instrText>
      </w:r>
      <w:r>
        <w:rPr>
          <w:color w:val="000000" w:themeColor="text1"/>
          <w:szCs w:val="24"/>
        </w:rPr>
        <w:fldChar w:fldCharType="end"/>
      </w:r>
      <w:r>
        <w:rPr>
          <w:color w:val="000000" w:themeColor="text1"/>
          <w:szCs w:val="24"/>
        </w:rPr>
        <w:t xml:space="preserve"> I, 17 stycas, and 1 enigmatic uniface piece showing a standing, robed, crowned bishop). The sole southumbrian sceat, unsurprisingly, is an East Anglian</w:t>
      </w:r>
      <w:r>
        <w:rPr>
          <w:color w:val="000000" w:themeColor="text1"/>
          <w:szCs w:val="24"/>
        </w:rPr>
        <w:fldChar w:fldCharType="begin"/>
      </w:r>
      <w:r>
        <w:instrText xml:space="preserve"> XE "</w:instrText>
      </w:r>
      <w:r w:rsidRPr="007645AE">
        <w:instrText>Anglian</w:instrText>
      </w:r>
      <w:r>
        <w:instrText xml:space="preserve">" </w:instrText>
      </w:r>
      <w:r>
        <w:rPr>
          <w:color w:val="000000" w:themeColor="text1"/>
          <w:szCs w:val="24"/>
        </w:rPr>
        <w:fldChar w:fldCharType="end"/>
      </w:r>
      <w:r>
        <w:rPr>
          <w:color w:val="000000" w:themeColor="text1"/>
          <w:szCs w:val="24"/>
        </w:rPr>
        <w:t xml:space="preserve"> </w:t>
      </w:r>
      <w:r w:rsidRPr="00B71338">
        <w:rPr>
          <w:color w:val="000000" w:themeColor="text1"/>
          <w:szCs w:val="24"/>
        </w:rPr>
        <w:t>Series</w:t>
      </w:r>
      <w:r>
        <w:rPr>
          <w:color w:val="000000" w:themeColor="text1"/>
          <w:szCs w:val="24"/>
        </w:rPr>
        <w:fldChar w:fldCharType="begin"/>
      </w:r>
      <w:r>
        <w:instrText xml:space="preserve"> XE "</w:instrText>
      </w:r>
      <w:r w:rsidRPr="007645AE">
        <w:instrText>Series</w:instrText>
      </w:r>
      <w:r>
        <w:instrText xml:space="preserve">" </w:instrText>
      </w:r>
      <w:r>
        <w:rPr>
          <w:color w:val="000000" w:themeColor="text1"/>
          <w:szCs w:val="24"/>
        </w:rPr>
        <w:fldChar w:fldCharType="end"/>
      </w:r>
      <w:r w:rsidRPr="00B71338">
        <w:rPr>
          <w:color w:val="000000" w:themeColor="text1"/>
          <w:szCs w:val="24"/>
        </w:rPr>
        <w:t xml:space="preserve"> Q</w:t>
      </w:r>
      <w:r>
        <w:rPr>
          <w:color w:val="000000" w:themeColor="text1"/>
          <w:szCs w:val="24"/>
        </w:rPr>
        <w:t>1</w:t>
      </w:r>
      <w:r w:rsidRPr="00860345">
        <w:rPr>
          <w:color w:val="000000" w:themeColor="text1"/>
          <w:sz w:val="16"/>
          <w:szCs w:val="16"/>
        </w:rPr>
        <w:t>G</w:t>
      </w:r>
      <w:r w:rsidRPr="00B71338">
        <w:rPr>
          <w:color w:val="000000" w:themeColor="text1"/>
          <w:szCs w:val="24"/>
        </w:rPr>
        <w:t xml:space="preserve">, </w:t>
      </w:r>
      <w:r w:rsidRPr="00B71338">
        <w:rPr>
          <w:i/>
          <w:color w:val="000000" w:themeColor="text1"/>
          <w:szCs w:val="24"/>
        </w:rPr>
        <w:t>SL</w:t>
      </w:r>
      <w:r w:rsidRPr="00B71338">
        <w:rPr>
          <w:color w:val="000000" w:themeColor="text1"/>
          <w:szCs w:val="24"/>
        </w:rPr>
        <w:t>63-100</w:t>
      </w:r>
      <w:r>
        <w:rPr>
          <w:color w:val="000000" w:themeColor="text1"/>
          <w:szCs w:val="24"/>
        </w:rPr>
        <w:t xml:space="preserve">, </w:t>
      </w:r>
      <w:r>
        <w:rPr>
          <w:color w:val="000000" w:themeColor="text1"/>
        </w:rPr>
        <w:t>EMC</w:t>
      </w:r>
      <w:r>
        <w:rPr>
          <w:color w:val="000000" w:themeColor="text1"/>
        </w:rPr>
        <w:fldChar w:fldCharType="begin"/>
      </w:r>
      <w:r>
        <w:instrText xml:space="preserve"> XE "</w:instrText>
      </w:r>
      <w:r w:rsidRPr="007D3069">
        <w:instrText>EMC</w:instrText>
      </w:r>
      <w:r>
        <w:instrText xml:space="preserve">" </w:instrText>
      </w:r>
      <w:r>
        <w:rPr>
          <w:color w:val="000000" w:themeColor="text1"/>
        </w:rPr>
        <w:fldChar w:fldCharType="end"/>
      </w:r>
      <w:r>
        <w:rPr>
          <w:color w:val="000000" w:themeColor="text1"/>
        </w:rPr>
        <w:t xml:space="preserve"> 1977.</w:t>
      </w:r>
      <w:r w:rsidRPr="0018074C">
        <w:rPr>
          <w:color w:val="000000" w:themeColor="text1"/>
        </w:rPr>
        <w:t>0014</w:t>
      </w:r>
      <w:r>
        <w:rPr>
          <w:color w:val="000000" w:themeColor="text1"/>
        </w:rPr>
        <w:t xml:space="preserve">, </w:t>
      </w:r>
      <w:r>
        <w:rPr>
          <w:color w:val="000000" w:themeColor="text1"/>
          <w:szCs w:val="24"/>
        </w:rPr>
        <w:t>which has clear religious iconography</w:t>
      </w:r>
      <w:r>
        <w:rPr>
          <w:color w:val="000000" w:themeColor="text1"/>
          <w:szCs w:val="24"/>
        </w:rPr>
        <w:fldChar w:fldCharType="begin"/>
      </w:r>
      <w:r>
        <w:instrText xml:space="preserve"> XE "</w:instrText>
      </w:r>
      <w:r w:rsidRPr="007D3069">
        <w:instrText>iconography</w:instrText>
      </w:r>
      <w:r>
        <w:instrText xml:space="preserve">" </w:instrText>
      </w:r>
      <w:r>
        <w:rPr>
          <w:color w:val="000000" w:themeColor="text1"/>
          <w:szCs w:val="24"/>
        </w:rPr>
        <w:fldChar w:fldCharType="end"/>
      </w:r>
      <w:r>
        <w:rPr>
          <w:color w:val="000000" w:themeColor="text1"/>
          <w:szCs w:val="24"/>
        </w:rPr>
        <w:t>.</w:t>
      </w:r>
    </w:p>
  </w:footnote>
  <w:footnote w:id="1224">
    <w:p w14:paraId="49EB64F8" w14:textId="77777777" w:rsidR="000E1004" w:rsidRDefault="000E1004" w:rsidP="00582C52">
      <w:pPr>
        <w:pStyle w:val="FootnoteText"/>
      </w:pPr>
      <w:r>
        <w:rPr>
          <w:rStyle w:val="FootnoteReference"/>
        </w:rPr>
        <w:footnoteRef/>
      </w:r>
      <w:r>
        <w:t xml:space="preserve"> Dumville (1997, 4).</w:t>
      </w:r>
    </w:p>
  </w:footnote>
  <w:footnote w:id="1225">
    <w:p w14:paraId="668D5E26" w14:textId="77777777" w:rsidR="000E1004" w:rsidRDefault="000E1004" w:rsidP="00582C52">
      <w:pPr>
        <w:pStyle w:val="FootnoteText"/>
      </w:pPr>
      <w:r>
        <w:rPr>
          <w:rStyle w:val="FootnoteReference"/>
        </w:rPr>
        <w:footnoteRef/>
      </w:r>
      <w:r>
        <w:t xml:space="preserve"> Dumville (1997, 17-18).</w:t>
      </w:r>
    </w:p>
  </w:footnote>
  <w:footnote w:id="1226">
    <w:p w14:paraId="5861D2C3" w14:textId="77777777" w:rsidR="000E1004" w:rsidRDefault="000E1004" w:rsidP="00582C52">
      <w:pPr>
        <w:pStyle w:val="FootnoteText"/>
      </w:pPr>
      <w:r>
        <w:rPr>
          <w:rStyle w:val="FootnoteReference"/>
        </w:rPr>
        <w:footnoteRef/>
      </w:r>
      <w:r>
        <w:t xml:space="preserve"> Dumville (1997, 29).</w:t>
      </w:r>
    </w:p>
  </w:footnote>
  <w:footnote w:id="1227">
    <w:p w14:paraId="3BDF5F74" w14:textId="77777777" w:rsidR="000E1004" w:rsidRDefault="000E1004" w:rsidP="00582C52">
      <w:pPr>
        <w:pStyle w:val="FootnoteText"/>
      </w:pPr>
      <w:r>
        <w:rPr>
          <w:rStyle w:val="FootnoteReference"/>
        </w:rPr>
        <w:footnoteRef/>
      </w:r>
      <w:r>
        <w:t xml:space="preserve"> Dumville (1997, 34).</w:t>
      </w:r>
    </w:p>
  </w:footnote>
  <w:footnote w:id="1228">
    <w:p w14:paraId="035DAC1A" w14:textId="77777777" w:rsidR="000E1004" w:rsidRDefault="000E1004" w:rsidP="00582C52">
      <w:pPr>
        <w:pStyle w:val="FootnoteText"/>
      </w:pPr>
      <w:r>
        <w:rPr>
          <w:rStyle w:val="FootnoteReference"/>
        </w:rPr>
        <w:footnoteRef/>
      </w:r>
      <w:r>
        <w:t xml:space="preserve"> Graham-Campbell (2001, 20).</w:t>
      </w:r>
    </w:p>
  </w:footnote>
  <w:footnote w:id="1229">
    <w:p w14:paraId="3BA01572" w14:textId="42C95F84" w:rsidR="000E1004" w:rsidRPr="00437DA5" w:rsidRDefault="000E1004" w:rsidP="00582C52">
      <w:pPr>
        <w:pStyle w:val="FootnoteText"/>
      </w:pPr>
      <w:r>
        <w:rPr>
          <w:rStyle w:val="FootnoteReference"/>
        </w:rPr>
        <w:footnoteRef/>
      </w:r>
      <w:r>
        <w:t xml:space="preserve"> Archibald in </w:t>
      </w:r>
      <w:r>
        <w:rPr>
          <w:szCs w:val="24"/>
        </w:rPr>
        <w:t xml:space="preserve">Webster and Backhouse (1991, 248 (f)). </w:t>
      </w:r>
      <w:r>
        <w:t>Graham-Campbell (2001, 21-3) related that</w:t>
      </w:r>
      <w:r w:rsidRPr="00DC4521">
        <w:rPr>
          <w:color w:val="000000" w:themeColor="text1"/>
          <w:szCs w:val="24"/>
        </w:rPr>
        <w:t xml:space="preserve"> </w:t>
      </w:r>
      <w:r>
        <w:rPr>
          <w:color w:val="000000" w:themeColor="text1"/>
          <w:szCs w:val="24"/>
        </w:rPr>
        <w:t>on complaining to the Chancellor of the Exchange, Lloyd George, the finder, a Mr Thomas Gordon had the consideration doubled – to two pounds!</w:t>
      </w:r>
    </w:p>
  </w:footnote>
  <w:footnote w:id="1230">
    <w:p w14:paraId="07639281" w14:textId="77777777" w:rsidR="000E1004" w:rsidRDefault="000E1004" w:rsidP="00582C52">
      <w:pPr>
        <w:pStyle w:val="FootnoteText"/>
      </w:pPr>
      <w:r>
        <w:rPr>
          <w:rStyle w:val="FootnoteReference"/>
        </w:rPr>
        <w:footnoteRef/>
      </w:r>
      <w:r>
        <w:t xml:space="preserve"> Graham-Campbell (2001, 20).</w:t>
      </w:r>
    </w:p>
  </w:footnote>
  <w:footnote w:id="1231">
    <w:p w14:paraId="11F81B69" w14:textId="38FAAEEB" w:rsidR="000E1004" w:rsidRDefault="000E1004" w:rsidP="00582C52">
      <w:pPr>
        <w:pStyle w:val="FootnoteText"/>
      </w:pPr>
      <w:r>
        <w:rPr>
          <w:rStyle w:val="FootnoteReference"/>
        </w:rPr>
        <w:footnoteRef/>
      </w:r>
      <w:r>
        <w:t xml:space="preserve"> Metcalf</w:t>
      </w:r>
      <w:r>
        <w:fldChar w:fldCharType="begin"/>
      </w:r>
      <w:r>
        <w:instrText xml:space="preserve"> XE "</w:instrText>
      </w:r>
      <w:r w:rsidRPr="00523AF8">
        <w:rPr>
          <w:rStyle w:val="Hyperlink"/>
          <w:noProof/>
        </w:rPr>
        <w:instrText>Metcalf</w:instrText>
      </w:r>
      <w:r>
        <w:instrText xml:space="preserve">" </w:instrText>
      </w:r>
      <w:r>
        <w:fldChar w:fldCharType="end"/>
      </w:r>
      <w:r>
        <w:t xml:space="preserve"> (1998b, 175-6).</w:t>
      </w:r>
    </w:p>
  </w:footnote>
  <w:footnote w:id="1232">
    <w:p w14:paraId="764035A0" w14:textId="117DF34E" w:rsidR="000E1004" w:rsidRDefault="000E1004" w:rsidP="00582C52">
      <w:pPr>
        <w:pStyle w:val="FootnoteText"/>
      </w:pPr>
      <w:r>
        <w:rPr>
          <w:rStyle w:val="FootnoteReference"/>
        </w:rPr>
        <w:footnoteRef/>
      </w:r>
      <w:r>
        <w:t xml:space="preserve"> Not Louis the Pious</w:t>
      </w:r>
      <w:r>
        <w:fldChar w:fldCharType="begin"/>
      </w:r>
      <w:r>
        <w:instrText xml:space="preserve"> XE "</w:instrText>
      </w:r>
      <w:r w:rsidRPr="007D3069">
        <w:rPr>
          <w:rFonts w:eastAsia="Times New Roman" w:cs="Times New Roman"/>
          <w:szCs w:val="24"/>
          <w:lang w:eastAsia="en-GB"/>
        </w:rPr>
        <w:instrText>Louis the Pious</w:instrText>
      </w:r>
      <w:r>
        <w:instrText xml:space="preserve">" </w:instrText>
      </w:r>
      <w:r>
        <w:fldChar w:fldCharType="end"/>
      </w:r>
      <w:r>
        <w:t xml:space="preserve"> as thought by Pirie</w:t>
      </w:r>
      <w:r>
        <w:fldChar w:fldCharType="begin"/>
      </w:r>
      <w:r>
        <w:instrText xml:space="preserve"> XE "</w:instrText>
      </w:r>
      <w:r w:rsidRPr="007D3069">
        <w:instrText>Pirie</w:instrText>
      </w:r>
      <w:r>
        <w:instrText xml:space="preserve">" </w:instrText>
      </w:r>
      <w:r>
        <w:fldChar w:fldCharType="end"/>
      </w:r>
      <w:r>
        <w:t xml:space="preserve"> (1991, archive).</w:t>
      </w:r>
    </w:p>
  </w:footnote>
  <w:footnote w:id="1233">
    <w:p w14:paraId="70EC5E8F" w14:textId="2BBF0CC0" w:rsidR="000E1004" w:rsidRDefault="000E1004">
      <w:pPr>
        <w:pStyle w:val="FootnoteText"/>
      </w:pPr>
      <w:r>
        <w:rPr>
          <w:rStyle w:val="FootnoteReference"/>
        </w:rPr>
        <w:footnoteRef/>
      </w:r>
      <w:r>
        <w:t xml:space="preserve"> Or a bullion economy.</w:t>
      </w:r>
    </w:p>
  </w:footnote>
  <w:footnote w:id="1234">
    <w:p w14:paraId="18563AF5" w14:textId="77777777" w:rsidR="000E1004" w:rsidRDefault="000E1004" w:rsidP="00582C52">
      <w:pPr>
        <w:pStyle w:val="FootnoteText"/>
      </w:pPr>
      <w:r>
        <w:rPr>
          <w:rStyle w:val="FootnoteReference"/>
        </w:rPr>
        <w:footnoteRef/>
      </w:r>
      <w:r>
        <w:t xml:space="preserve"> Toop (2011, 86).</w:t>
      </w:r>
    </w:p>
  </w:footnote>
  <w:footnote w:id="1235">
    <w:p w14:paraId="3F2077FC" w14:textId="77777777" w:rsidR="000E1004" w:rsidRDefault="000E1004" w:rsidP="00582C52">
      <w:pPr>
        <w:pStyle w:val="FootnoteText"/>
      </w:pPr>
      <w:r>
        <w:rPr>
          <w:rStyle w:val="FootnoteReference"/>
        </w:rPr>
        <w:footnoteRef/>
      </w:r>
      <w:r>
        <w:t xml:space="preserve"> Toop (2011, 103).</w:t>
      </w:r>
    </w:p>
  </w:footnote>
  <w:footnote w:id="1236">
    <w:p w14:paraId="5BA7D41D" w14:textId="1DE84105" w:rsidR="000E1004" w:rsidRPr="000848F0" w:rsidRDefault="000E1004" w:rsidP="00582C52">
      <w:pPr>
        <w:pStyle w:val="FootnoteText"/>
      </w:pPr>
      <w:r>
        <w:rPr>
          <w:rStyle w:val="FootnoteReference"/>
        </w:rPr>
        <w:footnoteRef/>
      </w:r>
      <w:r>
        <w:t xml:space="preserve"> With coin finds in and around the church</w:t>
      </w:r>
      <w:r>
        <w:fldChar w:fldCharType="begin"/>
      </w:r>
      <w:r>
        <w:instrText xml:space="preserve"> XE "</w:instrText>
      </w:r>
      <w:r w:rsidRPr="007D3069">
        <w:rPr>
          <w:rFonts w:cs="Times New Roman"/>
          <w:szCs w:val="24"/>
        </w:rPr>
        <w:instrText>church</w:instrText>
      </w:r>
      <w:r>
        <w:instrText xml:space="preserve">" </w:instrText>
      </w:r>
      <w:r>
        <w:fldChar w:fldCharType="end"/>
      </w:r>
      <w:r>
        <w:t xml:space="preserve">, see </w:t>
      </w:r>
      <w:r w:rsidRPr="0082395F">
        <w:rPr>
          <w:i/>
        </w:rPr>
        <w:t>Map</w:t>
      </w:r>
      <w:r w:rsidRPr="0082395F">
        <w:rPr>
          <w:i/>
        </w:rPr>
        <w:fldChar w:fldCharType="begin"/>
      </w:r>
      <w:r>
        <w:instrText xml:space="preserve"> XE "</w:instrText>
      </w:r>
      <w:r w:rsidRPr="0082395F">
        <w:rPr>
          <w:noProof/>
        </w:rPr>
        <w:instrText>Map</w:instrText>
      </w:r>
      <w:r>
        <w:instrText xml:space="preserve">" </w:instrText>
      </w:r>
      <w:r w:rsidRPr="0082395F">
        <w:rPr>
          <w:i/>
        </w:rPr>
        <w:fldChar w:fldCharType="end"/>
      </w:r>
      <w:r w:rsidRPr="0082395F">
        <w:rPr>
          <w:i/>
        </w:rPr>
        <w:t xml:space="preserve"> 8</w:t>
      </w:r>
      <w:r>
        <w:rPr>
          <w:i/>
        </w:rPr>
        <w:t>.24</w:t>
      </w:r>
      <w:r w:rsidRPr="000848F0">
        <w:rPr>
          <w:i/>
        </w:rPr>
        <w:t>.</w:t>
      </w:r>
    </w:p>
  </w:footnote>
  <w:footnote w:id="1237">
    <w:p w14:paraId="50814702" w14:textId="462EA300" w:rsidR="000E1004" w:rsidRDefault="000E1004" w:rsidP="00582C52">
      <w:pPr>
        <w:pStyle w:val="FootnoteText"/>
      </w:pPr>
      <w:r>
        <w:rPr>
          <w:rStyle w:val="FootnoteReference"/>
        </w:rPr>
        <w:footnoteRef/>
      </w:r>
      <w:r>
        <w:t xml:space="preserve"> Rahtz (1976). Further limited site investigation was carried out by Rahtz in 1958, which showed evidence of Saxon settlement</w:t>
      </w:r>
      <w:r>
        <w:fldChar w:fldCharType="begin"/>
      </w:r>
      <w:r>
        <w:instrText xml:space="preserve"> XE "</w:instrText>
      </w:r>
      <w:r w:rsidRPr="007645AE">
        <w:instrText>settlement</w:instrText>
      </w:r>
      <w:r>
        <w:instrText xml:space="preserve">" </w:instrText>
      </w:r>
      <w:r>
        <w:fldChar w:fldCharType="end"/>
      </w:r>
      <w:r>
        <w:t xml:space="preserve"> outside the Abbey grounds.</w:t>
      </w:r>
    </w:p>
  </w:footnote>
  <w:footnote w:id="1238">
    <w:p w14:paraId="0A8DF5D7" w14:textId="5A3D674A" w:rsidR="000E1004" w:rsidRDefault="000E1004" w:rsidP="00582C52">
      <w:pPr>
        <w:pStyle w:val="FootnoteText"/>
      </w:pPr>
      <w:r>
        <w:rPr>
          <w:rStyle w:val="FootnoteReference"/>
        </w:rPr>
        <w:footnoteRef/>
      </w:r>
      <w:r>
        <w:t xml:space="preserve"> Pickup (2012, 311).</w:t>
      </w:r>
    </w:p>
  </w:footnote>
  <w:footnote w:id="1239">
    <w:p w14:paraId="031CF1FB" w14:textId="77777777" w:rsidR="000E1004" w:rsidRDefault="000E1004" w:rsidP="00582C52">
      <w:pPr>
        <w:pStyle w:val="FootnoteText"/>
      </w:pPr>
      <w:r>
        <w:rPr>
          <w:rStyle w:val="FootnoteReference"/>
        </w:rPr>
        <w:footnoteRef/>
      </w:r>
      <w:r>
        <w:t xml:space="preserve"> The Finds Register notes 1,136 items between 8</w:t>
      </w:r>
      <w:r w:rsidRPr="002B1414">
        <w:rPr>
          <w:vertAlign w:val="superscript"/>
        </w:rPr>
        <w:t>th</w:t>
      </w:r>
      <w:r>
        <w:t xml:space="preserve"> November 1920 and 30</w:t>
      </w:r>
      <w:r w:rsidRPr="002B1414">
        <w:rPr>
          <w:vertAlign w:val="superscript"/>
        </w:rPr>
        <w:t>th</w:t>
      </w:r>
      <w:r>
        <w:t xml:space="preserve"> May 1928.</w:t>
      </w:r>
    </w:p>
  </w:footnote>
  <w:footnote w:id="1240">
    <w:p w14:paraId="087BD87E" w14:textId="4548A4A4" w:rsidR="000E1004" w:rsidRDefault="000E1004" w:rsidP="00582C52">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(1991-2). Leahy (2000, 72), attributed recovery of coins at Whitby</w:t>
      </w:r>
      <w:r>
        <w:fldChar w:fldCharType="begin"/>
      </w:r>
      <w:r>
        <w:instrText xml:space="preserve"> XE "</w:instrText>
      </w:r>
      <w:r w:rsidRPr="004D76A0">
        <w:rPr>
          <w:rStyle w:val="Hyperlink"/>
          <w:noProof/>
        </w:rPr>
        <w:instrText>Whitby</w:instrText>
      </w:r>
      <w:r>
        <w:instrText xml:space="preserve">" </w:instrText>
      </w:r>
      <w:r>
        <w:fldChar w:fldCharType="end"/>
      </w:r>
      <w:r>
        <w:t xml:space="preserve"> to ‘the payment of </w:t>
      </w:r>
      <w:r w:rsidRPr="00890DA8">
        <w:rPr>
          <w:i/>
        </w:rPr>
        <w:t>baksheesh</w:t>
      </w:r>
      <w:r>
        <w:t>’.</w:t>
      </w:r>
    </w:p>
  </w:footnote>
  <w:footnote w:id="1241">
    <w:p w14:paraId="122D16FF" w14:textId="48B82E55" w:rsidR="000E1004" w:rsidRDefault="000E1004" w:rsidP="00582C52">
      <w:pPr>
        <w:pStyle w:val="FootnoteText"/>
      </w:pPr>
      <w:r>
        <w:rPr>
          <w:rStyle w:val="FootnoteReference"/>
        </w:rPr>
        <w:footnoteRef/>
      </w:r>
      <w:r>
        <w:t xml:space="preserve"> Roman</w:t>
      </w:r>
      <w:r>
        <w:fldChar w:fldCharType="begin"/>
      </w:r>
      <w:r>
        <w:instrText xml:space="preserve"> XE "</w:instrText>
      </w:r>
      <w:r w:rsidRPr="007645AE">
        <w:instrText>Roman</w:instrText>
      </w:r>
      <w:r>
        <w:instrText xml:space="preserve">" </w:instrText>
      </w:r>
      <w:r>
        <w:fldChar w:fldCharType="end"/>
      </w:r>
      <w:r>
        <w:t xml:space="preserve"> finds, including eleven coins, are described in Kitson (Pirie Archive, 1935, 138-9), who recorded Chief Inspector of Ancient Monuments Sir Charles Peers’ report that two Constantinian coins were found in a hoard of stycas at Whitby</w:t>
      </w:r>
      <w:r>
        <w:fldChar w:fldCharType="begin"/>
      </w:r>
      <w:r>
        <w:instrText xml:space="preserve"> XE "</w:instrText>
      </w:r>
      <w:r w:rsidRPr="004D76A0">
        <w:rPr>
          <w:rStyle w:val="Hyperlink"/>
          <w:noProof/>
        </w:rPr>
        <w:instrText>Whitby</w:instrText>
      </w:r>
      <w:r>
        <w:instrText xml:space="preserve">" </w:instrText>
      </w:r>
      <w:r>
        <w:fldChar w:fldCharType="end"/>
      </w:r>
      <w:r>
        <w:t xml:space="preserve"> (see also Allan, 1943 and Metcalf</w:t>
      </w:r>
      <w:r>
        <w:fldChar w:fldCharType="begin"/>
      </w:r>
      <w:r>
        <w:instrText xml:space="preserve"> XE "</w:instrText>
      </w:r>
      <w:r w:rsidRPr="00523AF8">
        <w:rPr>
          <w:rStyle w:val="Hyperlink"/>
          <w:noProof/>
        </w:rPr>
        <w:instrText>Metcalf</w:instrText>
      </w:r>
      <w:r>
        <w:instrText xml:space="preserve">" </w:instrText>
      </w:r>
      <w:r>
        <w:fldChar w:fldCharType="end"/>
      </w:r>
      <w:r>
        <w:t>, 1960, 53), which may raise issues about the integrity of the hoard as much as the possibility of such anachronistic intrusions. The non-numismatic material has fared little better. Stopford made the case for reopening archaeological</w:t>
      </w:r>
      <w:r>
        <w:fldChar w:fldCharType="begin"/>
      </w:r>
      <w:r>
        <w:instrText xml:space="preserve"> XE "</w:instrText>
      </w:r>
      <w:r w:rsidRPr="007D3069">
        <w:rPr>
          <w:rFonts w:eastAsia="Times New Roman" w:cs="Times New Roman"/>
          <w:szCs w:val="24"/>
          <w:lang w:eastAsia="en-GB"/>
        </w:rPr>
        <w:instrText>archaeological</w:instrText>
      </w:r>
      <w:r>
        <w:instrText xml:space="preserve">" </w:instrText>
      </w:r>
      <w:r>
        <w:fldChar w:fldCharType="end"/>
      </w:r>
      <w:r>
        <w:t xml:space="preserve"> investigations.</w:t>
      </w:r>
    </w:p>
  </w:footnote>
  <w:footnote w:id="1242">
    <w:p w14:paraId="66D7E81A" w14:textId="67EAA409" w:rsidR="000E1004" w:rsidRDefault="000E1004" w:rsidP="00582C52">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(1991-2, Appendix A).</w:t>
      </w:r>
    </w:p>
  </w:footnote>
  <w:footnote w:id="1243">
    <w:p w14:paraId="03F0163D" w14:textId="03E78BB2" w:rsidR="000E1004" w:rsidRDefault="000E1004" w:rsidP="00582C52">
      <w:pPr>
        <w:pStyle w:val="FootnoteText"/>
      </w:pPr>
      <w:r>
        <w:rPr>
          <w:rStyle w:val="FootnoteReference"/>
        </w:rPr>
        <w:footnoteRef/>
      </w:r>
      <w:r>
        <w:t xml:space="preserve"> Allan (1943), R&amp;M (1984), Booth (1984) and Pirie</w:t>
      </w:r>
      <w:r>
        <w:fldChar w:fldCharType="begin"/>
      </w:r>
      <w:r>
        <w:instrText xml:space="preserve"> XE "</w:instrText>
      </w:r>
      <w:r w:rsidRPr="007D3069">
        <w:instrText>Pirie</w:instrText>
      </w:r>
      <w:r>
        <w:instrText xml:space="preserve">" </w:instrText>
      </w:r>
      <w:r>
        <w:fldChar w:fldCharType="end"/>
      </w:r>
      <w:r>
        <w:t xml:space="preserve"> (1986a &amp; 1991-2). EMC</w:t>
      </w:r>
      <w:r>
        <w:fldChar w:fldCharType="begin"/>
      </w:r>
      <w:r>
        <w:instrText xml:space="preserve"> XE "</w:instrText>
      </w:r>
      <w:r w:rsidRPr="007D3069">
        <w:instrText>EMC</w:instrText>
      </w:r>
      <w:r>
        <w:instrText xml:space="preserve">" </w:instrText>
      </w:r>
      <w:r>
        <w:fldChar w:fldCharType="end"/>
      </w:r>
      <w:r>
        <w:t xml:space="preserve"> includes ten coins attributed to Whitby</w:t>
      </w:r>
      <w:r>
        <w:fldChar w:fldCharType="begin"/>
      </w:r>
      <w:r>
        <w:instrText xml:space="preserve"> XE "</w:instrText>
      </w:r>
      <w:r w:rsidRPr="004D76A0">
        <w:rPr>
          <w:rStyle w:val="Hyperlink"/>
          <w:noProof/>
        </w:rPr>
        <w:instrText>Whitby</w:instrText>
      </w:r>
      <w:r>
        <w:instrText xml:space="preserve">" </w:instrText>
      </w:r>
      <w:r>
        <w:fldChar w:fldCharType="end"/>
      </w:r>
      <w:r>
        <w:t xml:space="preserve"> rather than Whitby Abbey. The eighth century sceats include two unidentified, a Series</w:t>
      </w:r>
      <w:r>
        <w:fldChar w:fldCharType="begin"/>
      </w:r>
      <w:r>
        <w:instrText xml:space="preserve"> XE "</w:instrText>
      </w:r>
      <w:r w:rsidRPr="007645AE">
        <w:instrText>Series</w:instrText>
      </w:r>
      <w:r>
        <w:instrText xml:space="preserve">" </w:instrText>
      </w:r>
      <w:r>
        <w:fldChar w:fldCharType="end"/>
      </w:r>
      <w:r>
        <w:t xml:space="preserve"> U, three Eadberht</w:t>
      </w:r>
      <w:r>
        <w:fldChar w:fldCharType="begin"/>
      </w:r>
      <w:r>
        <w:instrText xml:space="preserve"> XE "</w:instrText>
      </w:r>
      <w:r w:rsidRPr="007645AE">
        <w:instrText>Eadberht</w:instrText>
      </w:r>
      <w:r>
        <w:instrText xml:space="preserve">" </w:instrText>
      </w:r>
      <w:r>
        <w:fldChar w:fldCharType="end"/>
      </w:r>
      <w:r>
        <w:t xml:space="preserve">, one more with </w:t>
      </w:r>
      <w:r w:rsidRPr="004E0D4C">
        <w:t>Ecgberht</w:t>
      </w:r>
      <w:r>
        <w:fldChar w:fldCharType="begin"/>
      </w:r>
      <w:r>
        <w:instrText xml:space="preserve"> XE "</w:instrText>
      </w:r>
      <w:r w:rsidRPr="007645AE">
        <w:instrText>Ecgberht</w:instrText>
      </w:r>
      <w:r>
        <w:instrText xml:space="preserve">" </w:instrText>
      </w:r>
      <w:r>
        <w:fldChar w:fldCharType="end"/>
      </w:r>
      <w:r>
        <w:t xml:space="preserve"> and one of </w:t>
      </w:r>
      <w:r w:rsidRPr="004E0D4C">
        <w:t>Æthelred</w:t>
      </w:r>
      <w:r>
        <w:fldChar w:fldCharType="begin"/>
      </w:r>
      <w:r>
        <w:instrText xml:space="preserve"> XE "</w:instrText>
      </w:r>
      <w:r w:rsidRPr="007645AE">
        <w:rPr>
          <w:rFonts w:cs="Times New Roman"/>
        </w:rPr>
        <w:instrText>Æ</w:instrText>
      </w:r>
      <w:r w:rsidRPr="007645AE">
        <w:instrText>thelred</w:instrText>
      </w:r>
      <w:r>
        <w:instrText xml:space="preserve">" </w:instrText>
      </w:r>
      <w:r>
        <w:fldChar w:fldCharType="end"/>
      </w:r>
      <w:r w:rsidRPr="004E0D4C">
        <w:t xml:space="preserve"> I</w:t>
      </w:r>
      <w:r>
        <w:t>, second reign. One ninth century coin is from Eanred</w:t>
      </w:r>
      <w:r>
        <w:fldChar w:fldCharType="begin"/>
      </w:r>
      <w:r>
        <w:instrText xml:space="preserve"> XE "</w:instrText>
      </w:r>
      <w:r w:rsidRPr="007645AE">
        <w:instrText>Eanred</w:instrText>
      </w:r>
      <w:r>
        <w:instrText xml:space="preserve">" </w:instrText>
      </w:r>
      <w:r>
        <w:fldChar w:fldCharType="end"/>
      </w:r>
      <w:r>
        <w:t>’s silver-alloy</w:t>
      </w:r>
      <w:r>
        <w:fldChar w:fldCharType="begin"/>
      </w:r>
      <w:r>
        <w:instrText xml:space="preserve"> XE "</w:instrText>
      </w:r>
      <w:r w:rsidRPr="007D3069">
        <w:rPr>
          <w:rFonts w:eastAsia="Times New Roman" w:cs="Times New Roman"/>
          <w:szCs w:val="24"/>
          <w:lang w:eastAsia="en-GB"/>
        </w:rPr>
        <w:instrText>silver-alloy</w:instrText>
      </w:r>
      <w:r>
        <w:instrText xml:space="preserve">" </w:instrText>
      </w:r>
      <w:r>
        <w:fldChar w:fldCharType="end"/>
      </w:r>
      <w:r>
        <w:t xml:space="preserve"> period [N9] and one styca is unidentified.</w:t>
      </w:r>
    </w:p>
  </w:footnote>
  <w:footnote w:id="1244">
    <w:p w14:paraId="2C91C36E" w14:textId="6BE08913" w:rsidR="000E1004" w:rsidRDefault="000E1004" w:rsidP="00582C52">
      <w:pPr>
        <w:pStyle w:val="FootnoteText"/>
      </w:pPr>
      <w:r>
        <w:rPr>
          <w:rStyle w:val="FootnoteReference"/>
        </w:rPr>
        <w:footnoteRef/>
      </w:r>
      <w:r>
        <w:t xml:space="preserve"> To be fair, Archibald (</w:t>
      </w:r>
      <w:r w:rsidRPr="0064735E">
        <w:rPr>
          <w:i/>
        </w:rPr>
        <w:t>corr</w:t>
      </w:r>
      <w:r>
        <w:t>. 18</w:t>
      </w:r>
      <w:r w:rsidRPr="0064735E">
        <w:rPr>
          <w:vertAlign w:val="superscript"/>
        </w:rPr>
        <w:t>th</w:t>
      </w:r>
      <w:r>
        <w:t xml:space="preserve"> October 1991) had requested initially a corpus of just the Northumbrian coins in the BM Whitby</w:t>
      </w:r>
      <w:r>
        <w:fldChar w:fldCharType="begin"/>
      </w:r>
      <w:r>
        <w:instrText xml:space="preserve"> XE "</w:instrText>
      </w:r>
      <w:r w:rsidRPr="004D76A0">
        <w:rPr>
          <w:rStyle w:val="Hyperlink"/>
          <w:noProof/>
        </w:rPr>
        <w:instrText>Whitby</w:instrText>
      </w:r>
      <w:r>
        <w:instrText xml:space="preserve">" </w:instrText>
      </w:r>
      <w:r>
        <w:fldChar w:fldCharType="end"/>
      </w:r>
      <w:r>
        <w:t xml:space="preserve"> cabinet. Allan (</w:t>
      </w:r>
      <w:r w:rsidRPr="007264F9">
        <w:rPr>
          <w:i/>
        </w:rPr>
        <w:t>Archaeologia</w:t>
      </w:r>
      <w:r>
        <w:t xml:space="preserve"> 89, 1943, </w:t>
      </w:r>
      <w:r w:rsidRPr="00FF3AAD">
        <w:rPr>
          <w:lang w:eastAsia="en-GB"/>
        </w:rPr>
        <w:t>85-6.</w:t>
      </w:r>
      <w:r>
        <w:t>) took a broader, if brief, view.</w:t>
      </w:r>
    </w:p>
  </w:footnote>
  <w:footnote w:id="1245">
    <w:p w14:paraId="6F031F4F" w14:textId="5BC79972" w:rsidR="000E1004" w:rsidRDefault="000E1004" w:rsidP="00582C52">
      <w:pPr>
        <w:pStyle w:val="FootnoteText"/>
      </w:pPr>
      <w:r>
        <w:rPr>
          <w:rStyle w:val="FootnoteReference"/>
        </w:rPr>
        <w:footnoteRef/>
      </w:r>
      <w:r>
        <w:t xml:space="preserve"> </w:t>
      </w:r>
      <w:r>
        <w:rPr>
          <w:lang w:eastAsia="en-GB"/>
        </w:rPr>
        <w:t>N</w:t>
      </w:r>
      <w:r w:rsidRPr="00BF35D0">
        <w:rPr>
          <w:lang w:eastAsia="en-GB"/>
        </w:rPr>
        <w:t>ot seen</w:t>
      </w:r>
      <w:r>
        <w:rPr>
          <w:lang w:eastAsia="en-GB"/>
        </w:rPr>
        <w:t>.</w:t>
      </w:r>
    </w:p>
  </w:footnote>
  <w:footnote w:id="1246">
    <w:p w14:paraId="65D51D6C" w14:textId="77777777" w:rsidR="000E1004" w:rsidRDefault="000E1004" w:rsidP="00582C52">
      <w:pPr>
        <w:pStyle w:val="FootnoteText"/>
      </w:pPr>
      <w:r>
        <w:rPr>
          <w:rStyle w:val="FootnoteReference"/>
        </w:rPr>
        <w:footnoteRef/>
      </w:r>
      <w:r>
        <w:t xml:space="preserve"> Leahy (2000, 78).</w:t>
      </w:r>
    </w:p>
  </w:footnote>
  <w:footnote w:id="1247">
    <w:p w14:paraId="3BD69EA9" w14:textId="0CEC0AF2" w:rsidR="000E1004" w:rsidRDefault="000E1004" w:rsidP="00582C52">
      <w:pPr>
        <w:pStyle w:val="FootnoteText"/>
      </w:pPr>
      <w:r>
        <w:rPr>
          <w:rStyle w:val="FootnoteReference"/>
        </w:rPr>
        <w:footnoteRef/>
      </w:r>
      <w:r>
        <w:t xml:space="preserve"> </w:t>
      </w:r>
      <w:r w:rsidRPr="00676B26">
        <w:rPr>
          <w:i/>
        </w:rPr>
        <w:t>SL</w:t>
      </w:r>
      <w:r w:rsidRPr="00676B26">
        <w:t xml:space="preserve">28-30, </w:t>
      </w:r>
      <w:r w:rsidRPr="00676B26">
        <w:rPr>
          <w:i/>
        </w:rPr>
        <w:t>SCBI</w:t>
      </w:r>
      <w:r w:rsidRPr="00676B26">
        <w:t>63 no. 543</w:t>
      </w:r>
      <w:r>
        <w:t>, EMC</w:t>
      </w:r>
      <w:r>
        <w:fldChar w:fldCharType="begin"/>
      </w:r>
      <w:r>
        <w:instrText xml:space="preserve"> XE "</w:instrText>
      </w:r>
      <w:r w:rsidRPr="007D3069">
        <w:instrText>EMC</w:instrText>
      </w:r>
      <w:r>
        <w:instrText xml:space="preserve">" </w:instrText>
      </w:r>
      <w:r>
        <w:fldChar w:fldCharType="end"/>
      </w:r>
      <w:r>
        <w:t xml:space="preserve"> 1977.0098</w:t>
      </w:r>
    </w:p>
  </w:footnote>
  <w:footnote w:id="1248">
    <w:p w14:paraId="33919ED9" w14:textId="0C8FA08B" w:rsidR="000E1004" w:rsidRDefault="000E1004" w:rsidP="00582C52">
      <w:pPr>
        <w:pStyle w:val="FootnoteText"/>
      </w:pPr>
      <w:r>
        <w:rPr>
          <w:rStyle w:val="FootnoteReference"/>
        </w:rPr>
        <w:footnoteRef/>
      </w:r>
      <w:r>
        <w:t xml:space="preserve"> Rahtz (1967). Cramp (1976).</w:t>
      </w:r>
    </w:p>
  </w:footnote>
  <w:footnote w:id="1249">
    <w:p w14:paraId="7487C26C" w14:textId="45413E6A" w:rsidR="000E1004" w:rsidRDefault="000E1004" w:rsidP="00582C52">
      <w:pPr>
        <w:pStyle w:val="NoSpacing"/>
      </w:pPr>
      <w:r w:rsidRPr="00E948C3">
        <w:rPr>
          <w:rStyle w:val="FootnoteReference"/>
          <w:sz w:val="20"/>
          <w:szCs w:val="20"/>
        </w:rPr>
        <w:footnoteRef/>
      </w:r>
      <w:r w:rsidRPr="00E948C3">
        <w:rPr>
          <w:sz w:val="20"/>
          <w:szCs w:val="20"/>
        </w:rPr>
        <w:t xml:space="preserve"> </w:t>
      </w:r>
      <w:r w:rsidRPr="001403D8">
        <w:rPr>
          <w:sz w:val="20"/>
          <w:szCs w:val="20"/>
        </w:rPr>
        <w:t xml:space="preserve">Steve Ashby </w:t>
      </w:r>
      <w:r>
        <w:rPr>
          <w:sz w:val="20"/>
          <w:szCs w:val="20"/>
        </w:rPr>
        <w:t>(</w:t>
      </w:r>
      <w:r w:rsidRPr="001403D8">
        <w:rPr>
          <w:i/>
          <w:sz w:val="20"/>
          <w:szCs w:val="20"/>
        </w:rPr>
        <w:t>pers. comm.</w:t>
      </w:r>
      <w:r>
        <w:rPr>
          <w:sz w:val="20"/>
          <w:szCs w:val="20"/>
        </w:rPr>
        <w:t xml:space="preserve"> 31</w:t>
      </w:r>
      <w:r w:rsidRPr="001403D8">
        <w:rPr>
          <w:sz w:val="20"/>
          <w:szCs w:val="20"/>
          <w:vertAlign w:val="superscript"/>
        </w:rPr>
        <w:t>st</w:t>
      </w:r>
      <w:r>
        <w:rPr>
          <w:sz w:val="20"/>
          <w:szCs w:val="20"/>
        </w:rPr>
        <w:t xml:space="preserve"> December 2014) suggested</w:t>
      </w:r>
      <w:r w:rsidRPr="001403D8">
        <w:rPr>
          <w:sz w:val="20"/>
          <w:szCs w:val="20"/>
        </w:rPr>
        <w:t xml:space="preserve"> </w:t>
      </w:r>
      <w:r>
        <w:rPr>
          <w:sz w:val="20"/>
          <w:szCs w:val="20"/>
        </w:rPr>
        <w:t>that this is unlikely to be Viking</w:t>
      </w:r>
      <w:r>
        <w:rPr>
          <w:sz w:val="20"/>
          <w:szCs w:val="20"/>
        </w:rPr>
        <w:fldChar w:fldCharType="begin"/>
      </w:r>
      <w:r>
        <w:instrText xml:space="preserve"> XE "</w:instrText>
      </w:r>
      <w:r w:rsidRPr="00F1328A">
        <w:rPr>
          <w:rStyle w:val="Hyperlink"/>
          <w:noProof/>
        </w:rPr>
        <w:instrText>Viking</w:instrText>
      </w:r>
      <w:r>
        <w:instrText xml:space="preserve">" </w:instrText>
      </w:r>
      <w:r>
        <w:rPr>
          <w:sz w:val="20"/>
          <w:szCs w:val="20"/>
        </w:rPr>
        <w:fldChar w:fldCharType="end"/>
      </w:r>
      <w:r>
        <w:rPr>
          <w:sz w:val="20"/>
          <w:szCs w:val="20"/>
        </w:rPr>
        <w:t xml:space="preserve"> and is dated ‘</w:t>
      </w:r>
      <w:r w:rsidRPr="001403D8">
        <w:rPr>
          <w:sz w:val="20"/>
          <w:szCs w:val="20"/>
        </w:rPr>
        <w:t>probably no later tha</w:t>
      </w:r>
      <w:r>
        <w:rPr>
          <w:sz w:val="20"/>
          <w:szCs w:val="20"/>
        </w:rPr>
        <w:t xml:space="preserve">n eighth or early ninth </w:t>
      </w:r>
      <w:r w:rsidRPr="001403D8">
        <w:rPr>
          <w:sz w:val="20"/>
          <w:szCs w:val="20"/>
        </w:rPr>
        <w:t>century</w:t>
      </w:r>
      <w:r>
        <w:rPr>
          <w:sz w:val="20"/>
          <w:szCs w:val="20"/>
        </w:rPr>
        <w:t>.’</w:t>
      </w:r>
    </w:p>
  </w:footnote>
  <w:footnote w:id="1250">
    <w:p w14:paraId="173A900A" w14:textId="77777777" w:rsidR="000E1004" w:rsidRDefault="000E1004" w:rsidP="00582C52">
      <w:pPr>
        <w:pStyle w:val="FootnoteText"/>
      </w:pPr>
      <w:r>
        <w:rPr>
          <w:rStyle w:val="FootnoteReference"/>
        </w:rPr>
        <w:footnoteRef/>
      </w:r>
      <w:r>
        <w:t xml:space="preserve"> </w:t>
      </w:r>
      <w:r>
        <w:rPr>
          <w:szCs w:val="24"/>
        </w:rPr>
        <w:t>English Heritage, 2009.</w:t>
      </w:r>
    </w:p>
  </w:footnote>
  <w:footnote w:id="1251">
    <w:p w14:paraId="41EE5A19" w14:textId="6EEE4365" w:rsidR="000E1004" w:rsidRDefault="000E1004">
      <w:pPr>
        <w:pStyle w:val="FootnoteText"/>
      </w:pPr>
      <w:r>
        <w:rPr>
          <w:rStyle w:val="FootnoteReference"/>
        </w:rPr>
        <w:footnoteRef/>
      </w:r>
      <w:r>
        <w:t xml:space="preserve"> Woodman (2012, 12). Also, Alcock (2003, 450).</w:t>
      </w:r>
    </w:p>
  </w:footnote>
  <w:footnote w:id="1252">
    <w:p w14:paraId="0D4F0241" w14:textId="06C970AE" w:rsidR="000E1004" w:rsidRDefault="000E1004" w:rsidP="00172CF3">
      <w:pPr>
        <w:pStyle w:val="FootnoteText"/>
        <w:jc w:val="left"/>
      </w:pPr>
      <w:bookmarkStart w:id="917" w:name="_Ref439757235"/>
      <w:r>
        <w:rPr>
          <w:rStyle w:val="FootnoteReference"/>
        </w:rPr>
        <w:footnoteRef/>
      </w:r>
      <w:r>
        <w:t xml:space="preserve"> David Petts, Durham University, lecture, 18</w:t>
      </w:r>
      <w:r w:rsidRPr="00172CF3">
        <w:rPr>
          <w:vertAlign w:val="superscript"/>
        </w:rPr>
        <w:t>th</w:t>
      </w:r>
      <w:r>
        <w:t xml:space="preserve"> November 2015, 'Early Medieval Lindisfarne', York Seminar Series. The claim of Bruce-Mitford (1969, 2) that Ceolfrith’s three bibles, written at Wearmouth and Jarrow, needed skins from 1,550 calves, exemplifies the scale of animal rearing.</w:t>
      </w:r>
      <w:bookmarkEnd w:id="917"/>
    </w:p>
  </w:footnote>
  <w:footnote w:id="1253">
    <w:p w14:paraId="11794718" w14:textId="60A2ADFF" w:rsidR="000E1004" w:rsidRDefault="000E1004">
      <w:pPr>
        <w:pStyle w:val="FootnoteText"/>
      </w:pPr>
      <w:r>
        <w:rPr>
          <w:rStyle w:val="FootnoteReference"/>
        </w:rPr>
        <w:footnoteRef/>
      </w:r>
      <w:r>
        <w:t xml:space="preserve"> </w:t>
      </w:r>
      <w:r w:rsidRPr="00A07A08">
        <w:rPr>
          <w:i/>
        </w:rPr>
        <w:t>Graph 7.</w:t>
      </w:r>
      <w:r>
        <w:rPr>
          <w:i/>
        </w:rPr>
        <w:t>08 no. 39</w:t>
      </w:r>
      <w:r>
        <w:t>.</w:t>
      </w:r>
    </w:p>
  </w:footnote>
  <w:footnote w:id="1254">
    <w:p w14:paraId="3CB48B34" w14:textId="6281A94F" w:rsidR="000E1004" w:rsidRDefault="000E1004" w:rsidP="00582C52">
      <w:pPr>
        <w:pStyle w:val="FootnoteText"/>
      </w:pPr>
      <w:r>
        <w:rPr>
          <w:rStyle w:val="FootnoteReference"/>
        </w:rPr>
        <w:footnoteRef/>
      </w:r>
      <w:r>
        <w:t xml:space="preserve"> Craven has been a distinctive region from ancient times. Loveluck (2003, 158).</w:t>
      </w:r>
    </w:p>
  </w:footnote>
  <w:footnote w:id="1255">
    <w:p w14:paraId="754D0CE0" w14:textId="6837AF99" w:rsidR="000E1004" w:rsidRDefault="000E1004" w:rsidP="00582C52">
      <w:pPr>
        <w:pStyle w:val="FootnoteText"/>
      </w:pPr>
      <w:r>
        <w:rPr>
          <w:rStyle w:val="FootnoteReference"/>
        </w:rPr>
        <w:footnoteRef/>
      </w:r>
      <w:r>
        <w:t xml:space="preserve"> This includes the Irish Sea/Merseyside location of Meols, from which single finds of artefacts and coins have been recovered – including Byzantine</w:t>
      </w:r>
      <w:r>
        <w:fldChar w:fldCharType="begin"/>
      </w:r>
      <w:r>
        <w:instrText xml:space="preserve"> XE "</w:instrText>
      </w:r>
      <w:r w:rsidRPr="007D3069">
        <w:instrText>Byzantine</w:instrText>
      </w:r>
      <w:r>
        <w:instrText xml:space="preserve">" </w:instrText>
      </w:r>
      <w:r>
        <w:fldChar w:fldCharType="end"/>
      </w:r>
      <w:r>
        <w:t xml:space="preserve"> </w:t>
      </w:r>
      <w:r w:rsidRPr="002C6A6E">
        <w:rPr>
          <w:i/>
        </w:rPr>
        <w:t>nummi</w:t>
      </w:r>
      <w:r>
        <w:t>.</w:t>
      </w:r>
    </w:p>
  </w:footnote>
  <w:footnote w:id="1256">
    <w:p w14:paraId="27F3D60D" w14:textId="5050FCB9" w:rsidR="000E1004" w:rsidRDefault="000E1004" w:rsidP="00582C52">
      <w:pPr>
        <w:pStyle w:val="FootnoteText"/>
      </w:pPr>
      <w:r>
        <w:rPr>
          <w:rStyle w:val="FootnoteReference"/>
        </w:rPr>
        <w:footnoteRef/>
      </w:r>
      <w:r>
        <w:t xml:space="preserve"> PAS</w:t>
      </w:r>
      <w:r>
        <w:fldChar w:fldCharType="begin"/>
      </w:r>
      <w:r>
        <w:instrText xml:space="preserve"> XE "</w:instrText>
      </w:r>
      <w:r w:rsidRPr="007D3069">
        <w:instrText>PAS</w:instrText>
      </w:r>
      <w:r>
        <w:instrText xml:space="preserve">" </w:instrText>
      </w:r>
      <w:r>
        <w:fldChar w:fldCharType="end"/>
      </w:r>
      <w:r>
        <w:t xml:space="preserve"> </w:t>
      </w:r>
      <w:r w:rsidRPr="00125742">
        <w:t>NCL-A09134</w:t>
      </w:r>
      <w:r>
        <w:t>, 2007T498 (Annual Report 2007, no. 184), found with fragments of a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xml:space="preserve"> chain, gold and glass beads, a chatelaine (?) and small sherds. </w:t>
      </w:r>
    </w:p>
  </w:footnote>
  <w:footnote w:id="1257">
    <w:p w14:paraId="3C0EFE87" w14:textId="6797B201" w:rsidR="000E1004" w:rsidRDefault="000E1004">
      <w:pPr>
        <w:pStyle w:val="FootnoteText"/>
      </w:pPr>
      <w:r>
        <w:rPr>
          <w:rStyle w:val="FootnoteReference"/>
        </w:rPr>
        <w:footnoteRef/>
      </w:r>
      <w:r>
        <w:t xml:space="preserve"> Alcock (2003, 153) noted weapon burials at Greenbank (Darlington) and Norton.</w:t>
      </w:r>
    </w:p>
  </w:footnote>
  <w:footnote w:id="1258">
    <w:p w14:paraId="5067811F" w14:textId="607A4BDA" w:rsidR="000E1004" w:rsidRDefault="000E1004" w:rsidP="00582C52">
      <w:pPr>
        <w:pStyle w:val="FootnoteText"/>
      </w:pPr>
      <w:r>
        <w:rPr>
          <w:rStyle w:val="FootnoteReference"/>
        </w:rPr>
        <w:footnoteRef/>
      </w:r>
      <w:r>
        <w:t xml:space="preserve"> </w:t>
      </w:r>
      <w:r>
        <w:rPr>
          <w:szCs w:val="24"/>
        </w:rPr>
        <w:t>Perhaps the austerity of the Irish educated Oswald</w:t>
      </w:r>
      <w:r>
        <w:rPr>
          <w:szCs w:val="24"/>
        </w:rPr>
        <w:fldChar w:fldCharType="begin"/>
      </w:r>
      <w:r>
        <w:instrText xml:space="preserve"> XE "</w:instrText>
      </w:r>
      <w:r w:rsidRPr="007D3069">
        <w:rPr>
          <w:rFonts w:cs="Times New Roman"/>
          <w:szCs w:val="24"/>
        </w:rPr>
        <w:instrText>Oswald</w:instrText>
      </w:r>
      <w:r>
        <w:instrText xml:space="preserve">" </w:instrText>
      </w:r>
      <w:r>
        <w:rPr>
          <w:szCs w:val="24"/>
        </w:rPr>
        <w:fldChar w:fldCharType="end"/>
      </w:r>
      <w:r>
        <w:rPr>
          <w:szCs w:val="24"/>
        </w:rPr>
        <w:t xml:space="preserve"> had longevity.</w:t>
      </w:r>
      <w:r>
        <w:t xml:space="preserve"> Bede</w:t>
      </w:r>
      <w:r>
        <w:fldChar w:fldCharType="begin"/>
      </w:r>
      <w:r>
        <w:instrText xml:space="preserve"> XE "</w:instrText>
      </w:r>
      <w:r w:rsidRPr="007D3069">
        <w:rPr>
          <w:bCs/>
        </w:rPr>
        <w:instrText>Bede</w:instrText>
      </w:r>
      <w:r>
        <w:instrText xml:space="preserve">" </w:instrText>
      </w:r>
      <w:r>
        <w:fldChar w:fldCharType="end"/>
      </w:r>
      <w:r>
        <w:t xml:space="preserve"> (1969, III, 3).</w:t>
      </w:r>
    </w:p>
  </w:footnote>
  <w:footnote w:id="1259">
    <w:p w14:paraId="3ABC8B92" w14:textId="77777777" w:rsidR="000E1004" w:rsidRDefault="000E1004" w:rsidP="00CE6FE5">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&amp; Garrison (forthcoming).</w:t>
      </w:r>
    </w:p>
  </w:footnote>
  <w:footnote w:id="1260">
    <w:p w14:paraId="6E433B39" w14:textId="77777777" w:rsidR="000E1004" w:rsidRDefault="000E1004" w:rsidP="00CE6FE5">
      <w:pPr>
        <w:pStyle w:val="FootnoteText"/>
      </w:pPr>
      <w:r>
        <w:rPr>
          <w:rStyle w:val="FootnoteReference"/>
        </w:rPr>
        <w:footnoteRef/>
      </w:r>
      <w:r>
        <w:t xml:space="preserve"> </w:t>
      </w:r>
      <w:r w:rsidRPr="00F96F7A">
        <w:rPr>
          <w:rFonts w:cs="Times New Roman"/>
          <w:szCs w:val="24"/>
        </w:rPr>
        <w:t>Bede</w:t>
      </w:r>
      <w:r>
        <w:rPr>
          <w:rFonts w:cs="Times New Roman"/>
          <w:szCs w:val="24"/>
        </w:rPr>
        <w:fldChar w:fldCharType="begin"/>
      </w:r>
      <w:r>
        <w:instrText xml:space="preserve"> XE "</w:instrText>
      </w:r>
      <w:r w:rsidRPr="007D3069">
        <w:rPr>
          <w:bCs/>
        </w:rPr>
        <w:instrText>Bede</w:instrText>
      </w:r>
      <w:r>
        <w:instrText xml:space="preserve">" </w:instrText>
      </w:r>
      <w:r>
        <w:rPr>
          <w:rFonts w:cs="Times New Roman"/>
          <w:szCs w:val="24"/>
        </w:rPr>
        <w:fldChar w:fldCharType="end"/>
      </w:r>
      <w:r w:rsidRPr="00F96F7A">
        <w:rPr>
          <w:rFonts w:cs="Times New Roman"/>
          <w:szCs w:val="24"/>
        </w:rPr>
        <w:t xml:space="preserve"> (IV, 13)</w:t>
      </w:r>
      <w:r>
        <w:rPr>
          <w:rFonts w:cs="Times New Roman"/>
          <w:szCs w:val="24"/>
        </w:rPr>
        <w:t>.</w:t>
      </w:r>
    </w:p>
  </w:footnote>
  <w:footnote w:id="1261">
    <w:p w14:paraId="2443FC16" w14:textId="77777777" w:rsidR="000E1004" w:rsidRPr="00423752" w:rsidRDefault="000E1004" w:rsidP="00CE6FE5">
      <w:pPr>
        <w:pStyle w:val="FootnoteText"/>
      </w:pPr>
      <w:r w:rsidRPr="00423752">
        <w:rPr>
          <w:rStyle w:val="FootnoteReference"/>
        </w:rPr>
        <w:footnoteRef/>
      </w:r>
      <w:r w:rsidRPr="00423752">
        <w:t xml:space="preserve"> </w:t>
      </w:r>
      <w:r>
        <w:t>Al</w:t>
      </w:r>
      <w:r w:rsidRPr="00423752">
        <w:t xml:space="preserve">though on the various coin types of Pada, the name is rendered in runes, which </w:t>
      </w:r>
      <w:r>
        <w:t>may have been</w:t>
      </w:r>
      <w:r w:rsidRPr="00423752">
        <w:t xml:space="preserve"> anathema to one of Christian persuasion.</w:t>
      </w:r>
    </w:p>
  </w:footnote>
  <w:footnote w:id="1262">
    <w:p w14:paraId="5F2A8D90" w14:textId="77777777" w:rsidR="000E1004" w:rsidRDefault="000E1004" w:rsidP="00CE6FE5">
      <w:pPr>
        <w:pStyle w:val="FootnoteText"/>
      </w:pPr>
      <w:r>
        <w:rPr>
          <w:rStyle w:val="FootnoteReference"/>
        </w:rPr>
        <w:footnoteRef/>
      </w:r>
      <w:r>
        <w:t xml:space="preserve"> </w:t>
      </w:r>
      <w:r w:rsidRPr="00796041">
        <w:rPr>
          <w:rFonts w:cs="Times New Roman"/>
          <w:i/>
          <w:szCs w:val="24"/>
        </w:rPr>
        <w:t xml:space="preserve">Bede (EH, </w:t>
      </w:r>
      <w:r w:rsidRPr="00F96F7A">
        <w:rPr>
          <w:rFonts w:cs="Times New Roman"/>
          <w:szCs w:val="24"/>
        </w:rPr>
        <w:t>IV, 14)</w:t>
      </w:r>
      <w:r>
        <w:rPr>
          <w:rFonts w:cs="Times New Roman"/>
          <w:szCs w:val="24"/>
        </w:rPr>
        <w:t xml:space="preserve">. </w:t>
      </w:r>
      <w:r>
        <w:t>Alcock (2003, 36-7).</w:t>
      </w:r>
    </w:p>
  </w:footnote>
  <w:footnote w:id="1263">
    <w:p w14:paraId="7E85C8A4" w14:textId="77777777" w:rsidR="000E1004" w:rsidRPr="00423752" w:rsidRDefault="000E1004" w:rsidP="00CE6FE5">
      <w:pPr>
        <w:pStyle w:val="FootnoteText"/>
      </w:pPr>
      <w:r w:rsidRPr="00423752">
        <w:rPr>
          <w:rStyle w:val="FootnoteReference"/>
        </w:rPr>
        <w:footnoteRef/>
      </w:r>
      <w:r>
        <w:t xml:space="preserve"> A</w:t>
      </w:r>
      <w:r w:rsidRPr="00423752">
        <w:t>nd Oswald</w:t>
      </w:r>
      <w:r>
        <w:fldChar w:fldCharType="begin"/>
      </w:r>
      <w:r>
        <w:instrText xml:space="preserve"> XE "</w:instrText>
      </w:r>
      <w:r w:rsidRPr="007D3069">
        <w:rPr>
          <w:rFonts w:cs="Times New Roman"/>
          <w:szCs w:val="24"/>
        </w:rPr>
        <w:instrText>Oswald</w:instrText>
      </w:r>
      <w:r>
        <w:instrText xml:space="preserve">" </w:instrText>
      </w:r>
      <w:r>
        <w:fldChar w:fldCharType="end"/>
      </w:r>
      <w:r w:rsidRPr="00423752">
        <w:t xml:space="preserve"> may have been a better candidate to be named on a touch-piece. Higham (1993</w:t>
      </w:r>
      <w:r>
        <w:t>,</w:t>
      </w:r>
      <w:r w:rsidRPr="00423752">
        <w:t xml:space="preserve"> 106</w:t>
      </w:r>
      <w:r>
        <w:t>)</w:t>
      </w:r>
      <w:r w:rsidRPr="00423752">
        <w:t>.</w:t>
      </w:r>
    </w:p>
  </w:footnote>
  <w:footnote w:id="1264">
    <w:p w14:paraId="4BCA77FF" w14:textId="77777777" w:rsidR="000E1004" w:rsidRPr="00D7130C" w:rsidRDefault="000E1004" w:rsidP="004C668D">
      <w:pPr>
        <w:pStyle w:val="FootnoteText"/>
      </w:pPr>
      <w:r>
        <w:rPr>
          <w:rStyle w:val="FootnoteReference"/>
        </w:rPr>
        <w:footnoteRef/>
      </w:r>
      <w:r>
        <w:t xml:space="preserve"> </w:t>
      </w:r>
      <w:r w:rsidRPr="00766745">
        <w:t>The major problem with XRF is its very limited depth of penetration</w:t>
      </w:r>
      <w:r>
        <w:t>.</w:t>
      </w:r>
    </w:p>
  </w:footnote>
  <w:footnote w:id="1265">
    <w:p w14:paraId="316A58BD" w14:textId="77777777" w:rsidR="000E1004" w:rsidRDefault="000E1004" w:rsidP="004C668D">
      <w:pPr>
        <w:pStyle w:val="NoSpacing"/>
      </w:pPr>
      <w:r w:rsidRPr="00D7130C">
        <w:rPr>
          <w:rStyle w:val="FootnoteReference"/>
          <w:sz w:val="20"/>
          <w:szCs w:val="20"/>
        </w:rPr>
        <w:footnoteRef/>
      </w:r>
      <w:r>
        <w:rPr>
          <w:sz w:val="20"/>
          <w:szCs w:val="20"/>
        </w:rPr>
        <w:t xml:space="preserve"> I</w:t>
      </w:r>
      <w:r w:rsidRPr="00D7130C">
        <w:rPr>
          <w:sz w:val="20"/>
          <w:szCs w:val="20"/>
        </w:rPr>
        <w:t>.e. where the sum of measured co</w:t>
      </w:r>
      <w:r>
        <w:rPr>
          <w:sz w:val="20"/>
          <w:szCs w:val="20"/>
        </w:rPr>
        <w:t>mponents</w:t>
      </w:r>
      <w:r w:rsidRPr="00D7130C">
        <w:rPr>
          <w:sz w:val="20"/>
          <w:szCs w:val="20"/>
        </w:rPr>
        <w:t xml:space="preserve"> approaches 100%.</w:t>
      </w:r>
    </w:p>
  </w:footnote>
  <w:footnote w:id="1266">
    <w:p w14:paraId="57DB221A" w14:textId="1D64D304" w:rsidR="000E1004" w:rsidRPr="00A67C18" w:rsidRDefault="000E1004" w:rsidP="004C668D">
      <w:pPr>
        <w:pStyle w:val="FootnoteText"/>
      </w:pPr>
      <w:r>
        <w:rPr>
          <w:rStyle w:val="FootnoteReference"/>
        </w:rPr>
        <w:footnoteRef/>
      </w:r>
      <w:r>
        <w:t xml:space="preserve"> </w:t>
      </w:r>
      <w:r w:rsidRPr="00A67C18">
        <w:rPr>
          <w:i/>
        </w:rPr>
        <w:t>BAR</w:t>
      </w:r>
      <w:r>
        <w:rPr>
          <w:i/>
        </w:rPr>
        <w:t xml:space="preserve"> </w:t>
      </w:r>
      <w:r>
        <w:t xml:space="preserve">180 (1987) included metallurgical studies by Gilmore &amp; Pirie (175-186), Metcalf &amp; Northover (187-234). See </w:t>
      </w:r>
      <w:r>
        <w:rPr>
          <w:i/>
        </w:rPr>
        <w:t>fn.</w:t>
      </w:r>
      <w:r>
        <w:t xml:space="preserve"> </w:t>
      </w:r>
      <w:r>
        <w:fldChar w:fldCharType="begin"/>
      </w:r>
      <w:r>
        <w:instrText xml:space="preserve"> NOTEREF _Ref434481262 \h </w:instrText>
      </w:r>
      <w:r>
        <w:fldChar w:fldCharType="separate"/>
      </w:r>
      <w:r w:rsidR="0012026B">
        <w:t>675</w:t>
      </w:r>
      <w:r>
        <w:fldChar w:fldCharType="end"/>
      </w:r>
      <w:r>
        <w:t xml:space="preserve">. </w:t>
      </w:r>
    </w:p>
  </w:footnote>
  <w:footnote w:id="1267">
    <w:p w14:paraId="0CB81850" w14:textId="77777777" w:rsidR="000E1004" w:rsidRDefault="000E1004" w:rsidP="004C668D">
      <w:pPr>
        <w:pStyle w:val="FootnoteText"/>
      </w:pPr>
      <w:r>
        <w:rPr>
          <w:rStyle w:val="FootnoteReference"/>
        </w:rPr>
        <w:footnoteRef/>
      </w:r>
      <w:r>
        <w:t xml:space="preserve"> E</w:t>
      </w:r>
      <w:r w:rsidRPr="0047605B">
        <w:t>.g. Eanred</w:t>
      </w:r>
      <w:r w:rsidRPr="0047605B">
        <w:fldChar w:fldCharType="begin"/>
      </w:r>
      <w:r w:rsidRPr="0047605B">
        <w:instrText xml:space="preserve"> XE "Eanred" </w:instrText>
      </w:r>
      <w:r w:rsidRPr="0047605B">
        <w:fldChar w:fldCharType="end"/>
      </w:r>
      <w:r w:rsidRPr="0047605B">
        <w:t xml:space="preserve">’s </w:t>
      </w:r>
      <w:r w:rsidRPr="009D5785">
        <w:t>Group A</w:t>
      </w:r>
      <w:r>
        <w:t>/[N9]</w:t>
      </w:r>
      <w:r w:rsidRPr="009D5785">
        <w:fldChar w:fldCharType="begin"/>
      </w:r>
      <w:r w:rsidRPr="009D5785">
        <w:instrText xml:space="preserve"> XE "Group A" </w:instrText>
      </w:r>
      <w:r w:rsidRPr="009D5785">
        <w:fldChar w:fldCharType="end"/>
      </w:r>
      <w:r w:rsidRPr="0047605B">
        <w:t xml:space="preserve"> moneyers and for the sole/dominant moneyers of </w:t>
      </w:r>
      <w:r>
        <w:rPr>
          <w:rFonts w:cs="Times New Roman"/>
        </w:rPr>
        <w:t>Æ</w:t>
      </w:r>
      <w:r w:rsidRPr="0047605B">
        <w:t>thelred II’s restoration and Wulfhere</w:t>
      </w:r>
      <w:r>
        <w:t>.</w:t>
      </w:r>
    </w:p>
  </w:footnote>
  <w:footnote w:id="1268">
    <w:p w14:paraId="0D8978E0" w14:textId="77777777" w:rsidR="000E1004" w:rsidRDefault="000E1004" w:rsidP="004C668D">
      <w:pPr>
        <w:pStyle w:val="FootnoteText"/>
      </w:pPr>
      <w:r>
        <w:rPr>
          <w:rStyle w:val="FootnoteReference"/>
        </w:rPr>
        <w:footnoteRef/>
      </w:r>
      <w:r>
        <w:t xml:space="preserve"> Lyon (1957, 237).</w:t>
      </w:r>
    </w:p>
  </w:footnote>
  <w:footnote w:id="1269">
    <w:p w14:paraId="6DEEEB9C" w14:textId="77777777" w:rsidR="000E1004" w:rsidRDefault="000E1004" w:rsidP="004C668D">
      <w:pPr>
        <w:pStyle w:val="FootnoteText"/>
      </w:pPr>
      <w:r>
        <w:rPr>
          <w:rStyle w:val="FootnoteReference"/>
        </w:rPr>
        <w:footnoteRef/>
      </w:r>
      <w:r>
        <w:t xml:space="preserve"> Abramson (2012e, 19).</w:t>
      </w:r>
    </w:p>
  </w:footnote>
  <w:footnote w:id="1270">
    <w:p w14:paraId="01D1AF65" w14:textId="77777777" w:rsidR="000E1004" w:rsidRDefault="000E1004" w:rsidP="004C668D">
      <w:pPr>
        <w:pStyle w:val="FootnoteText"/>
      </w:pPr>
      <w:r>
        <w:rPr>
          <w:rStyle w:val="FootnoteReference"/>
        </w:rPr>
        <w:footnoteRef/>
      </w:r>
      <w:r>
        <w:t xml:space="preserve"> Op den Velde &amp; Metcalf (2003, 44-5 &amp; 74-5).</w:t>
      </w:r>
    </w:p>
  </w:footnote>
  <w:footnote w:id="1271">
    <w:p w14:paraId="64426292" w14:textId="5C265006" w:rsidR="000E1004" w:rsidRDefault="000E1004" w:rsidP="004C668D">
      <w:pPr>
        <w:pStyle w:val="FootnoteText"/>
      </w:pPr>
      <w:r>
        <w:rPr>
          <w:rStyle w:val="FootnoteReference"/>
        </w:rPr>
        <w:footnoteRef/>
      </w:r>
      <w:r>
        <w:t xml:space="preserve"> </w:t>
      </w:r>
      <w:r w:rsidRPr="00166186">
        <w:rPr>
          <w:i/>
        </w:rPr>
        <w:t>Pers</w:t>
      </w:r>
      <w:r>
        <w:rPr>
          <w:i/>
        </w:rPr>
        <w:t>.</w:t>
      </w:r>
      <w:r w:rsidRPr="00166186">
        <w:rPr>
          <w:i/>
        </w:rPr>
        <w:t xml:space="preserve"> comm</w:t>
      </w:r>
      <w:r>
        <w:rPr>
          <w:i/>
        </w:rPr>
        <w:t>.</w:t>
      </w:r>
      <w:r>
        <w:t xml:space="preserve"> 21</w:t>
      </w:r>
      <w:r w:rsidRPr="00166186">
        <w:rPr>
          <w:vertAlign w:val="superscript"/>
        </w:rPr>
        <w:t>st</w:t>
      </w:r>
      <w:r>
        <w:t xml:space="preserve"> February 2016. See </w:t>
      </w:r>
      <w:r>
        <w:fldChar w:fldCharType="begin"/>
      </w:r>
      <w:r>
        <w:instrText xml:space="preserve"> PAGEREF dielongevity \h </w:instrText>
      </w:r>
      <w:r>
        <w:fldChar w:fldCharType="separate"/>
      </w:r>
      <w:r w:rsidR="0012026B">
        <w:rPr>
          <w:noProof/>
        </w:rPr>
        <w:t>201</w:t>
      </w:r>
      <w:r>
        <w:fldChar w:fldCharType="end"/>
      </w:r>
      <w:r>
        <w:t>.</w:t>
      </w:r>
    </w:p>
  </w:footnote>
  <w:footnote w:id="1272">
    <w:p w14:paraId="61CC73AD" w14:textId="77777777" w:rsidR="000E1004" w:rsidRDefault="000E1004" w:rsidP="004C668D">
      <w:pPr>
        <w:pStyle w:val="FootnoteText"/>
      </w:pPr>
      <w:r>
        <w:rPr>
          <w:rStyle w:val="FootnoteReference"/>
        </w:rPr>
        <w:footnoteRef/>
      </w:r>
      <w:r>
        <w:t xml:space="preserve"> Figs 3-6, but also see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(2012d, Catalogue of Motifs</w:t>
      </w:r>
      <w:r>
        <w:fldChar w:fldCharType="begin"/>
      </w:r>
      <w:r>
        <w:instrText xml:space="preserve"> XE "</w:instrText>
      </w:r>
      <w:r w:rsidRPr="00F1328A">
        <w:rPr>
          <w:rStyle w:val="Hyperlink"/>
          <w:rFonts w:cs="Times New Roman"/>
          <w:noProof/>
        </w:rPr>
        <w:instrText>Motifs</w:instrText>
      </w:r>
      <w:r>
        <w:instrText xml:space="preserve">" </w:instrText>
      </w:r>
      <w:r>
        <w:fldChar w:fldCharType="end"/>
      </w:r>
      <w:r>
        <w:t xml:space="preserve"> 33-4).</w:t>
      </w:r>
    </w:p>
  </w:footnote>
  <w:footnote w:id="1273">
    <w:p w14:paraId="7B7E8F42" w14:textId="77777777" w:rsidR="000E1004" w:rsidRDefault="000E1004" w:rsidP="004C668D">
      <w:pPr>
        <w:pStyle w:val="FootnoteText"/>
      </w:pPr>
      <w:r>
        <w:rPr>
          <w:rStyle w:val="FootnoteReference"/>
        </w:rPr>
        <w:footnoteRef/>
      </w:r>
      <w:r>
        <w:t xml:space="preserve"> Pirie</w:t>
      </w:r>
      <w:r>
        <w:fldChar w:fldCharType="begin"/>
      </w:r>
      <w:r>
        <w:instrText xml:space="preserve"> XE "</w:instrText>
      </w:r>
      <w:r w:rsidRPr="007D3069">
        <w:instrText>Pirie</w:instrText>
      </w:r>
      <w:r>
        <w:instrText xml:space="preserve">" </w:instrText>
      </w:r>
      <w:r>
        <w:fldChar w:fldCharType="end"/>
      </w:r>
      <w:r>
        <w:t xml:space="preserve"> (1996, 31).</w:t>
      </w:r>
    </w:p>
  </w:footnote>
  <w:footnote w:id="1274">
    <w:p w14:paraId="6D6F3B07" w14:textId="77777777" w:rsidR="000E1004" w:rsidRPr="00077CAD" w:rsidRDefault="000E1004" w:rsidP="00CE6FE5">
      <w:pPr>
        <w:pStyle w:val="FootnoteText"/>
      </w:pPr>
      <w:r w:rsidRPr="00492EB4">
        <w:rPr>
          <w:rStyle w:val="FootnoteReference"/>
        </w:rPr>
        <w:footnoteRef/>
      </w:r>
      <w:r w:rsidRPr="00492EB4">
        <w:t xml:space="preserve"> Sawyer (2013</w:t>
      </w:r>
      <w:r>
        <w:t xml:space="preserve">, </w:t>
      </w:r>
      <w:r w:rsidRPr="00492EB4">
        <w:t>45-6</w:t>
      </w:r>
      <w:r>
        <w:t>)</w:t>
      </w:r>
      <w:r w:rsidRPr="00492EB4">
        <w:t>.</w:t>
      </w:r>
      <w:r>
        <w:t xml:space="preserve"> </w:t>
      </w:r>
      <w:r w:rsidRPr="004B7BAD">
        <w:t>Griffiths</w:t>
      </w:r>
      <w:r>
        <w:t xml:space="preserve"> (2003, 65-8). Over 3,000 artefacts are recorded from this beach entrepôt, including Iron Age, Carthaginian and Northumbrian coins. The Byzantine</w:t>
      </w:r>
      <w:r>
        <w:fldChar w:fldCharType="begin"/>
      </w:r>
      <w:r>
        <w:instrText xml:space="preserve"> XE "</w:instrText>
      </w:r>
      <w:r w:rsidRPr="007D3069">
        <w:instrText>Byzantine</w:instrText>
      </w:r>
      <w:r>
        <w:instrText xml:space="preserve">" </w:instrText>
      </w:r>
      <w:r>
        <w:fldChar w:fldCharType="end"/>
      </w:r>
      <w:r>
        <w:t xml:space="preserve"> coins are from the hinterland</w:t>
      </w:r>
      <w:r>
        <w:fldChar w:fldCharType="begin"/>
      </w:r>
      <w:r>
        <w:instrText xml:space="preserve"> XE "</w:instrText>
      </w:r>
      <w:r w:rsidRPr="007D3069">
        <w:rPr>
          <w:rFonts w:cs="Times New Roman"/>
          <w:szCs w:val="24"/>
        </w:rPr>
        <w:instrText>hinterland</w:instrText>
      </w:r>
      <w:r>
        <w:instrText xml:space="preserve">" </w:instrText>
      </w:r>
      <w:r>
        <w:fldChar w:fldCharType="end"/>
      </w:r>
      <w:r>
        <w:t xml:space="preserve"> of the site and may indicate trade in wine and oil required for liturgical purposes. Also note the low-denomination Byzantine coins at the Rendlesham</w:t>
      </w:r>
      <w:r>
        <w:rPr>
          <w:i/>
        </w:rPr>
        <w:t xml:space="preserve"> vic</w:t>
      </w:r>
      <w:r w:rsidRPr="00077CAD">
        <w:rPr>
          <w:i/>
        </w:rPr>
        <w:t>us regius</w:t>
      </w:r>
      <w:r>
        <w:t xml:space="preserve"> (</w:t>
      </w:r>
      <w:r w:rsidRPr="00077CAD">
        <w:t>Christopher Scull, 'Rendlesham Re-Discovered</w:t>
      </w:r>
      <w:r>
        <w:t>’</w:t>
      </w:r>
      <w:r w:rsidRPr="00077CAD">
        <w:t xml:space="preserve"> </w:t>
      </w:r>
      <w:r>
        <w:t>lecture 0</w:t>
      </w:r>
      <w:r w:rsidRPr="00077CAD">
        <w:t>7</w:t>
      </w:r>
      <w:r>
        <w:t>/10/</w:t>
      </w:r>
      <w:r w:rsidRPr="00077CAD">
        <w:t>14</w:t>
      </w:r>
      <w:r>
        <w:t>)</w:t>
      </w:r>
      <w:r w:rsidRPr="00077CAD">
        <w:t>.</w:t>
      </w:r>
    </w:p>
  </w:footnote>
  <w:footnote w:id="1275">
    <w:p w14:paraId="5F387AB2" w14:textId="2B00C429" w:rsidR="000E1004" w:rsidRPr="0048794D" w:rsidRDefault="000E1004" w:rsidP="00CE6FE5">
      <w:pPr>
        <w:pStyle w:val="FootnoteText"/>
      </w:pPr>
      <w:r w:rsidRPr="0048794D">
        <w:rPr>
          <w:rStyle w:val="FootnoteReference"/>
        </w:rPr>
        <w:footnoteRef/>
      </w:r>
      <w:r w:rsidRPr="0048794D">
        <w:t xml:space="preserve"> </w:t>
      </w:r>
      <w:r>
        <w:t>Pirie</w:t>
      </w:r>
      <w:r>
        <w:fldChar w:fldCharType="begin"/>
      </w:r>
      <w:r>
        <w:instrText xml:space="preserve"> XE "</w:instrText>
      </w:r>
      <w:r w:rsidRPr="007D3069">
        <w:instrText>Pirie</w:instrText>
      </w:r>
      <w:r>
        <w:instrText xml:space="preserve">" </w:instrText>
      </w:r>
      <w:r>
        <w:fldChar w:fldCharType="end"/>
      </w:r>
      <w:r>
        <w:t xml:space="preserve"> (</w:t>
      </w:r>
      <w:r w:rsidRPr="0048794D">
        <w:t>1992</w:t>
      </w:r>
      <w:r>
        <w:t>b,</w:t>
      </w:r>
      <w:r w:rsidRPr="0048794D">
        <w:rPr>
          <w:lang w:eastAsia="en-GB"/>
        </w:rPr>
        <w:t xml:space="preserve"> 11-15</w:t>
      </w:r>
      <w:r>
        <w:rPr>
          <w:lang w:eastAsia="en-GB"/>
        </w:rPr>
        <w:t>)</w:t>
      </w:r>
      <w:r w:rsidRPr="0048794D">
        <w:t>.</w:t>
      </w:r>
    </w:p>
  </w:footnote>
  <w:footnote w:id="1276">
    <w:p w14:paraId="14C7E1F2" w14:textId="033B9087" w:rsidR="000E1004" w:rsidRPr="007E1A99" w:rsidRDefault="000E1004" w:rsidP="00CE6FE5">
      <w:pPr>
        <w:pStyle w:val="FootnoteText"/>
      </w:pPr>
      <w:r w:rsidRPr="007E1A99">
        <w:rPr>
          <w:rStyle w:val="FootnoteReference"/>
        </w:rPr>
        <w:footnoteRef/>
      </w:r>
      <w:r>
        <w:t xml:space="preserve"> Based on the twenty-six</w:t>
      </w:r>
      <w:r w:rsidRPr="007E1A99">
        <w:t xml:space="preserve"> imported gold</w:t>
      </w:r>
      <w:r>
        <w:fldChar w:fldCharType="begin"/>
      </w:r>
      <w:r>
        <w:instrText xml:space="preserve"> XE "</w:instrText>
      </w:r>
      <w:r w:rsidRPr="007D3069">
        <w:rPr>
          <w:rFonts w:eastAsia="Times New Roman" w:cs="Times New Roman"/>
          <w:szCs w:val="24"/>
          <w:lang w:eastAsia="en-GB"/>
        </w:rPr>
        <w:instrText>gold</w:instrText>
      </w:r>
      <w:r>
        <w:instrText xml:space="preserve">" </w:instrText>
      </w:r>
      <w:r>
        <w:fldChar w:fldCharType="end"/>
      </w:r>
      <w:r>
        <w:t xml:space="preserve"> specimens and twenty-seven</w:t>
      </w:r>
      <w:r w:rsidRPr="007E1A99">
        <w:t xml:space="preserve"> silver deniers in the author’s collect</w:t>
      </w:r>
      <w:r>
        <w:t>ion as at February 2016</w:t>
      </w:r>
      <w:r w:rsidRPr="007E1A99">
        <w:t>, though collecting bias may be present.</w:t>
      </w:r>
    </w:p>
  </w:footnote>
  <w:footnote w:id="1277">
    <w:p w14:paraId="5333CE3D" w14:textId="77777777" w:rsidR="000E1004" w:rsidRPr="007E1A99" w:rsidRDefault="000E1004" w:rsidP="00CE6FE5">
      <w:pPr>
        <w:pStyle w:val="FootnoteText"/>
      </w:pPr>
      <w:r w:rsidRPr="007E1A99">
        <w:rPr>
          <w:rStyle w:val="FootnoteReference"/>
        </w:rPr>
        <w:footnoteRef/>
      </w:r>
      <w:r w:rsidRPr="007E1A99">
        <w:t xml:space="preserve"> </w:t>
      </w:r>
      <w:r>
        <w:t>Blackburn (</w:t>
      </w:r>
      <w:r w:rsidRPr="007E1A99">
        <w:t xml:space="preserve">2007, </w:t>
      </w:r>
      <w:r>
        <w:t>discussion 67-73 and corpus 81</w:t>
      </w:r>
      <w:r w:rsidRPr="000A7B63">
        <w:t>-2</w:t>
      </w:r>
      <w:r>
        <w:t xml:space="preserve">, </w:t>
      </w:r>
      <w:r>
        <w:rPr>
          <w:rFonts w:cs="Times New Roman"/>
        </w:rPr>
        <w:t>Appendix A</w:t>
      </w:r>
      <w:r>
        <w:t>).</w:t>
      </w:r>
    </w:p>
  </w:footnote>
  <w:footnote w:id="1278">
    <w:p w14:paraId="057BE563" w14:textId="77777777" w:rsidR="000E1004" w:rsidRPr="007E1A99" w:rsidRDefault="000E1004" w:rsidP="00CE6FE5">
      <w:pPr>
        <w:pStyle w:val="FootnoteText"/>
      </w:pPr>
      <w:r w:rsidRPr="007E1A99">
        <w:rPr>
          <w:rStyle w:val="FootnoteReference"/>
        </w:rPr>
        <w:footnoteRef/>
      </w:r>
      <w:r w:rsidRPr="007E1A99">
        <w:t xml:space="preserve"> Also included in </w:t>
      </w:r>
      <w:r>
        <w:t xml:space="preserve">Blackburn (2007, </w:t>
      </w:r>
      <w:r w:rsidRPr="007E1A99">
        <w:t>Appendix B</w:t>
      </w:r>
      <w:r>
        <w:t>).</w:t>
      </w:r>
    </w:p>
  </w:footnote>
  <w:footnote w:id="1279">
    <w:p w14:paraId="7D1BB7AA" w14:textId="77777777" w:rsidR="000E1004" w:rsidRPr="002A1980" w:rsidRDefault="000E1004" w:rsidP="00CE6FE5">
      <w:pPr>
        <w:pStyle w:val="FootnoteText"/>
      </w:pPr>
      <w:r>
        <w:rPr>
          <w:rStyle w:val="FootnoteReference"/>
        </w:rPr>
        <w:footnoteRef/>
      </w:r>
      <w:r>
        <w:t xml:space="preserve"> Grierson (1951,</w:t>
      </w:r>
      <w:r w:rsidRPr="00DA687D">
        <w:t xml:space="preserve"> 11</w:t>
      </w:r>
      <w:r>
        <w:t>), first proposed that imitative Louis the Pious</w:t>
      </w:r>
      <w:r>
        <w:fldChar w:fldCharType="begin"/>
      </w:r>
      <w:r>
        <w:instrText xml:space="preserve"> XE "</w:instrText>
      </w:r>
      <w:r w:rsidRPr="007D3069">
        <w:rPr>
          <w:rFonts w:eastAsia="Times New Roman" w:cs="Times New Roman"/>
          <w:szCs w:val="24"/>
          <w:lang w:eastAsia="en-GB"/>
        </w:rPr>
        <w:instrText>Louis the Pious</w:instrText>
      </w:r>
      <w:r>
        <w:instrText xml:space="preserve">" </w:instrText>
      </w:r>
      <w:r>
        <w:fldChar w:fldCharType="end"/>
      </w:r>
      <w:r>
        <w:t xml:space="preserve"> solidi were struck in England. The list includes a find at Stamford Bridge in early 1940s, Christie auction 17/11/70, lot 46a, Stewart (1978, 162), Andrews (1988, 72)</w:t>
      </w:r>
      <w:r w:rsidRPr="000A7B63">
        <w:t>.</w:t>
      </w:r>
      <w:r>
        <w:t xml:space="preserve"> The </w:t>
      </w:r>
      <w:r w:rsidRPr="002A1980">
        <w:t xml:space="preserve">Spink </w:t>
      </w:r>
      <w:r>
        <w:t>&amp; Son Limited catalogue for auction 19</w:t>
      </w:r>
      <w:r w:rsidRPr="002A1980">
        <w:t>9</w:t>
      </w:r>
      <w:r>
        <w:t>, 25th June 2009 87, lists</w:t>
      </w:r>
      <w:r w:rsidRPr="002A1980">
        <w:t xml:space="preserve"> the </w:t>
      </w:r>
      <w:r>
        <w:t>then-known nine English</w:t>
      </w:r>
      <w:r w:rsidRPr="002A1980">
        <w:t xml:space="preserve"> finds of imitative solidi of Louis the Pious</w:t>
      </w:r>
      <w:r>
        <w:t>.</w:t>
      </w:r>
    </w:p>
  </w:footnote>
  <w:footnote w:id="1280">
    <w:p w14:paraId="2B61F782" w14:textId="77777777" w:rsidR="000E1004" w:rsidRDefault="000E1004" w:rsidP="00CE6FE5">
      <w:pPr>
        <w:pStyle w:val="FootnoteText"/>
      </w:pPr>
      <w:r>
        <w:rPr>
          <w:rStyle w:val="FootnoteReference"/>
        </w:rPr>
        <w:footnoteRef/>
      </w:r>
      <w:r>
        <w:t xml:space="preserve"> Blackburn (2007, 71-2).</w:t>
      </w:r>
    </w:p>
  </w:footnote>
  <w:footnote w:id="1281">
    <w:p w14:paraId="68610EB7" w14:textId="77777777" w:rsidR="000E1004" w:rsidRPr="007E1A99" w:rsidRDefault="000E1004" w:rsidP="00CE6FE5">
      <w:pPr>
        <w:pStyle w:val="FootnoteText"/>
      </w:pPr>
      <w:r w:rsidRPr="007E1A99">
        <w:rPr>
          <w:rStyle w:val="FootnoteReference"/>
        </w:rPr>
        <w:footnoteRef/>
      </w:r>
      <w:r w:rsidRPr="007E1A99">
        <w:t xml:space="preserve"> Spufford </w:t>
      </w:r>
      <w:r>
        <w:t>(1988,</w:t>
      </w:r>
      <w:r w:rsidRPr="006D7168">
        <w:t xml:space="preserve"> </w:t>
      </w:r>
      <w:r w:rsidRPr="007E1A99">
        <w:t>39</w:t>
      </w:r>
      <w:r>
        <w:t>)</w:t>
      </w:r>
      <w:r w:rsidRPr="007E1A99">
        <w:t>.</w:t>
      </w:r>
    </w:p>
  </w:footnote>
  <w:footnote w:id="1282">
    <w:p w14:paraId="6E7E702C" w14:textId="77777777" w:rsidR="000E1004" w:rsidRPr="007E1A99" w:rsidRDefault="000E1004" w:rsidP="00CE6FE5">
      <w:pPr>
        <w:pStyle w:val="FootnoteText"/>
      </w:pPr>
      <w:r w:rsidRPr="007E1A99">
        <w:rPr>
          <w:rStyle w:val="FootnoteReference"/>
        </w:rPr>
        <w:footnoteRef/>
      </w:r>
      <w:r w:rsidRPr="007E1A99">
        <w:t xml:space="preserve"> Spuf</w:t>
      </w:r>
      <w:r>
        <w:t>f</w:t>
      </w:r>
      <w:r w:rsidRPr="007E1A99">
        <w:t xml:space="preserve">ord </w:t>
      </w:r>
      <w:r>
        <w:t>(1988,</w:t>
      </w:r>
      <w:r w:rsidRPr="006D7168">
        <w:t xml:space="preserve"> </w:t>
      </w:r>
      <w:r w:rsidRPr="007E1A99">
        <w:t>50</w:t>
      </w:r>
      <w:r>
        <w:t>)</w:t>
      </w:r>
      <w:r w:rsidRPr="007E1A99">
        <w:t>.</w:t>
      </w:r>
    </w:p>
  </w:footnote>
  <w:footnote w:id="1283">
    <w:p w14:paraId="03A24532" w14:textId="4CED7EC6" w:rsidR="000E1004" w:rsidRPr="00B1714D" w:rsidRDefault="000E1004" w:rsidP="00CE6FE5">
      <w:pPr>
        <w:pStyle w:val="NoSpacing"/>
        <w:rPr>
          <w:sz w:val="20"/>
          <w:szCs w:val="20"/>
        </w:rPr>
      </w:pPr>
      <w:r w:rsidRPr="007E1A99">
        <w:rPr>
          <w:rStyle w:val="FootnoteReference"/>
          <w:sz w:val="20"/>
        </w:rPr>
        <w:footnoteRef/>
      </w:r>
      <w:r w:rsidRPr="007E1A99">
        <w:rPr>
          <w:sz w:val="20"/>
        </w:rPr>
        <w:t xml:space="preserve"> See </w:t>
      </w:r>
      <w:r w:rsidRPr="00D56592">
        <w:rPr>
          <w:sz w:val="20"/>
          <w:szCs w:val="20"/>
        </w:rPr>
        <w:t>Case Study 1: York</w:t>
      </w:r>
      <w:r>
        <w:rPr>
          <w:sz w:val="20"/>
          <w:szCs w:val="20"/>
        </w:rPr>
        <w:fldChar w:fldCharType="begin"/>
      </w:r>
      <w:r>
        <w:instrText xml:space="preserve"> XE "</w:instrText>
      </w:r>
      <w:r w:rsidRPr="00F1328A">
        <w:rPr>
          <w:rStyle w:val="Hyperlink"/>
          <w:noProof/>
        </w:rPr>
        <w:instrText>York</w:instrText>
      </w:r>
      <w:r>
        <w:instrText xml:space="preserve">" </w:instrText>
      </w:r>
      <w:r>
        <w:rPr>
          <w:sz w:val="20"/>
          <w:szCs w:val="20"/>
        </w:rPr>
        <w:fldChar w:fldCharType="end"/>
      </w:r>
      <w:r w:rsidRPr="00D56592">
        <w:rPr>
          <w:sz w:val="20"/>
          <w:szCs w:val="20"/>
        </w:rPr>
        <w:t xml:space="preserve"> and its environs</w:t>
      </w:r>
      <w:r>
        <w:rPr>
          <w:sz w:val="20"/>
          <w:szCs w:val="20"/>
        </w:rPr>
        <w:t xml:space="preserve"> (</w:t>
      </w:r>
      <w:r>
        <w:rPr>
          <w:sz w:val="20"/>
          <w:szCs w:val="20"/>
        </w:rPr>
        <w:fldChar w:fldCharType="begin"/>
      </w:r>
      <w:r>
        <w:rPr>
          <w:sz w:val="20"/>
          <w:szCs w:val="20"/>
        </w:rPr>
        <w:instrText xml:space="preserve"> PAGEREF Chapter12 \h </w:instrText>
      </w:r>
      <w:r>
        <w:rPr>
          <w:sz w:val="20"/>
          <w:szCs w:val="20"/>
        </w:rPr>
      </w:r>
      <w:r>
        <w:rPr>
          <w:sz w:val="20"/>
          <w:szCs w:val="20"/>
        </w:rPr>
        <w:fldChar w:fldCharType="separate"/>
      </w:r>
      <w:r w:rsidR="0012026B">
        <w:rPr>
          <w:noProof/>
          <w:sz w:val="20"/>
          <w:szCs w:val="20"/>
        </w:rPr>
        <w:t>179</w:t>
      </w:r>
      <w:r>
        <w:rPr>
          <w:sz w:val="20"/>
          <w:szCs w:val="20"/>
        </w:rPr>
        <w:fldChar w:fldCharType="end"/>
      </w:r>
      <w:r>
        <w:rPr>
          <w:sz w:val="20"/>
          <w:szCs w:val="20"/>
        </w:rPr>
        <w:t>)</w:t>
      </w:r>
      <w:r w:rsidRPr="00D56592">
        <w:rPr>
          <w:sz w:val="20"/>
          <w:szCs w:val="20"/>
        </w:rPr>
        <w:t>.</w:t>
      </w:r>
    </w:p>
  </w:footnote>
  <w:footnote w:id="1284">
    <w:p w14:paraId="0345305D" w14:textId="77777777" w:rsidR="000E1004" w:rsidRDefault="000E1004" w:rsidP="00CE6FE5">
      <w:pPr>
        <w:pStyle w:val="FootnoteText"/>
      </w:pPr>
      <w:r>
        <w:rPr>
          <w:rStyle w:val="FootnoteReference"/>
        </w:rPr>
        <w:footnoteRef/>
      </w:r>
      <w:r>
        <w:t xml:space="preserve"> Blackburn (</w:t>
      </w:r>
      <w:r w:rsidRPr="007E1A99">
        <w:t xml:space="preserve">2007, </w:t>
      </w:r>
      <w:r>
        <w:rPr>
          <w:rFonts w:cs="Times New Roman"/>
        </w:rPr>
        <w:t>Appendix B)</w:t>
      </w:r>
    </w:p>
  </w:footnote>
  <w:footnote w:id="1285">
    <w:p w14:paraId="105CFECF" w14:textId="77777777" w:rsidR="000E1004" w:rsidRPr="007E1A99" w:rsidRDefault="000E1004" w:rsidP="00CE6FE5">
      <w:pPr>
        <w:pStyle w:val="FootnoteText"/>
      </w:pPr>
      <w:r w:rsidRPr="007E1A99">
        <w:rPr>
          <w:rStyle w:val="FootnoteReference"/>
        </w:rPr>
        <w:footnoteRef/>
      </w:r>
      <w:r>
        <w:t xml:space="preserve"> Blackburn (2007, </w:t>
      </w:r>
      <w:r w:rsidRPr="007E1A99">
        <w:t>55</w:t>
      </w:r>
      <w:r>
        <w:t>)</w:t>
      </w:r>
      <w:r w:rsidRPr="007E1A99">
        <w:t>.</w:t>
      </w:r>
    </w:p>
  </w:footnote>
  <w:footnote w:id="1286">
    <w:p w14:paraId="5AA80652" w14:textId="77777777" w:rsidR="000E1004" w:rsidRDefault="000E1004" w:rsidP="00CE6FE5">
      <w:pPr>
        <w:pStyle w:val="FootnoteText"/>
      </w:pPr>
      <w:r>
        <w:rPr>
          <w:rStyle w:val="FootnoteReference"/>
        </w:rPr>
        <w:footnoteRef/>
      </w:r>
      <w:r>
        <w:t xml:space="preserve"> An equivalence between a sceat or broad penny</w:t>
      </w:r>
      <w:r>
        <w:fldChar w:fldCharType="begin"/>
      </w:r>
      <w:r>
        <w:instrText xml:space="preserve"> XE "</w:instrText>
      </w:r>
      <w:r w:rsidRPr="007645AE">
        <w:instrText>penny</w:instrText>
      </w:r>
      <w:r>
        <w:instrText xml:space="preserve">" </w:instrText>
      </w:r>
      <w:r>
        <w:fldChar w:fldCharType="end"/>
      </w:r>
      <w:r>
        <w:t xml:space="preserve"> and a day’s pay for a labourer, </w:t>
      </w:r>
      <w:r>
        <w:rPr>
          <w:rFonts w:cs="Times New Roman"/>
          <w:szCs w:val="24"/>
        </w:rPr>
        <w:t>(Abramson</w:t>
      </w:r>
      <w:r>
        <w:rPr>
          <w:rFonts w:cs="Times New Roman"/>
          <w:szCs w:val="24"/>
        </w:rPr>
        <w:fldChar w:fldCharType="begin"/>
      </w:r>
      <w:r>
        <w:instrText xml:space="preserve"> XE "</w:instrText>
      </w:r>
      <w:r w:rsidRPr="007A2080">
        <w:rPr>
          <w:rFonts w:cs="Times New Roman"/>
          <w:b/>
          <w:sz w:val="40"/>
          <w:szCs w:val="40"/>
        </w:rPr>
        <w:instrText>Abramson</w:instrText>
      </w:r>
      <w:r>
        <w:instrText xml:space="preserve">" </w:instrText>
      </w:r>
      <w:r>
        <w:rPr>
          <w:rFonts w:cs="Times New Roman"/>
          <w:szCs w:val="24"/>
        </w:rPr>
        <w:fldChar w:fldCharType="end"/>
      </w:r>
      <w:r>
        <w:rPr>
          <w:rFonts w:cs="Times New Roman"/>
          <w:szCs w:val="24"/>
        </w:rPr>
        <w:t xml:space="preserve"> 2012b, 117</w:t>
      </w:r>
      <w:r>
        <w:t>), is an expedient</w:t>
      </w:r>
      <w:r w:rsidRPr="0033756B">
        <w:t xml:space="preserve"> proposition</w:t>
      </w:r>
      <w:r>
        <w:t>. The distribution of finds of stycas may be more widespread than previously thought, but the absence of mixed styca/penny hoards argues against their use as small change. Occasional emissions of halfpence are known from the late ninth century onwards but it is only in the era of short- and long-cross pennies (respectively 1180-1247 and 1247-1489) that halving and quartering pence provided change in any significant volume.</w:t>
      </w:r>
    </w:p>
  </w:footnote>
  <w:footnote w:id="1287">
    <w:p w14:paraId="7B074E54" w14:textId="77777777" w:rsidR="000E1004" w:rsidRDefault="000E1004" w:rsidP="00CE6FE5">
      <w:pPr>
        <w:pStyle w:val="NoSpacing"/>
        <w:spacing w:line="276" w:lineRule="auto"/>
      </w:pPr>
      <w:r>
        <w:rPr>
          <w:rStyle w:val="FootnoteReference"/>
        </w:rPr>
        <w:footnoteRef/>
      </w:r>
      <w:r>
        <w:t xml:space="preserve"> </w:t>
      </w:r>
      <w:r w:rsidRPr="000B64BC">
        <w:rPr>
          <w:sz w:val="20"/>
          <w:szCs w:val="20"/>
        </w:rPr>
        <w:t>Provisionally ‘Ainsbrook’ after the finders</w:t>
      </w:r>
      <w:r>
        <w:rPr>
          <w:sz w:val="20"/>
          <w:szCs w:val="20"/>
        </w:rPr>
        <w:t xml:space="preserve">, but widely known to be Aldwark. </w:t>
      </w:r>
      <w:r w:rsidRPr="000B64BC">
        <w:rPr>
          <w:sz w:val="20"/>
          <w:szCs w:val="20"/>
        </w:rPr>
        <w:t>Finds are not included in the Database</w:t>
      </w:r>
      <w:r>
        <w:rPr>
          <w:sz w:val="20"/>
          <w:szCs w:val="20"/>
        </w:rPr>
        <w:fldChar w:fldCharType="begin"/>
      </w:r>
      <w:r>
        <w:instrText xml:space="preserve"> XE "</w:instrText>
      </w:r>
      <w:r w:rsidRPr="007A2080">
        <w:rPr>
          <w:rStyle w:val="Hyperlink"/>
          <w:noProof/>
        </w:rPr>
        <w:instrText>Database</w:instrText>
      </w:r>
      <w:r>
        <w:instrText xml:space="preserve">" </w:instrText>
      </w:r>
      <w:r>
        <w:rPr>
          <w:sz w:val="20"/>
          <w:szCs w:val="20"/>
        </w:rPr>
        <w:fldChar w:fldCharType="end"/>
      </w:r>
      <w:r w:rsidRPr="000B64BC">
        <w:rPr>
          <w:sz w:val="20"/>
          <w:szCs w:val="20"/>
        </w:rPr>
        <w:t>.</w:t>
      </w:r>
    </w:p>
  </w:footnote>
  <w:footnote w:id="1288">
    <w:p w14:paraId="6254E4D9" w14:textId="77777777" w:rsidR="000E1004" w:rsidRDefault="000E1004" w:rsidP="00CE6FE5">
      <w:pPr>
        <w:pStyle w:val="FootnoteText"/>
      </w:pPr>
      <w:r>
        <w:rPr>
          <w:rStyle w:val="FootnoteReference"/>
        </w:rPr>
        <w:footnoteRef/>
      </w:r>
      <w:r>
        <w:t xml:space="preserve"> ‘This debate is in its infancy.’</w:t>
      </w:r>
      <w:r w:rsidRPr="00BB01B6">
        <w:t xml:space="preserve"> </w:t>
      </w:r>
      <w:r w:rsidRPr="0000586C">
        <w:rPr>
          <w:i/>
        </w:rPr>
        <w:t xml:space="preserve">pers. comm. </w:t>
      </w:r>
      <w:r>
        <w:t>Andrew Woods, Leeds IMC, 9</w:t>
      </w:r>
      <w:r w:rsidRPr="00BB01B6">
        <w:rPr>
          <w:vertAlign w:val="superscript"/>
        </w:rPr>
        <w:t>th</w:t>
      </w:r>
      <w:r>
        <w:t xml:space="preserve"> July 2015.</w:t>
      </w:r>
    </w:p>
  </w:footnote>
  <w:footnote w:id="1289">
    <w:p w14:paraId="389E01FE" w14:textId="064EC7F6" w:rsidR="000E1004" w:rsidRDefault="000E1004" w:rsidP="004E1331">
      <w:pPr>
        <w:pStyle w:val="FootnoteText"/>
      </w:pPr>
      <w:r>
        <w:rPr>
          <w:rStyle w:val="FootnoteReference"/>
        </w:rPr>
        <w:footnoteRef/>
      </w:r>
      <w:r>
        <w:t xml:space="preserve"> As implied by </w:t>
      </w:r>
      <w:r w:rsidRPr="00164B60">
        <w:rPr>
          <w:rFonts w:cs="Times New Roman"/>
          <w:szCs w:val="24"/>
        </w:rPr>
        <w:t xml:space="preserve">William Nicolson </w:t>
      </w:r>
      <w:r>
        <w:rPr>
          <w:rFonts w:cs="Times New Roman"/>
          <w:szCs w:val="24"/>
        </w:rPr>
        <w:t>to Ralph Thoresby (</w:t>
      </w:r>
      <w:r>
        <w:rPr>
          <w:rFonts w:cs="Times New Roman"/>
          <w:szCs w:val="24"/>
        </w:rPr>
        <w:fldChar w:fldCharType="begin"/>
      </w:r>
      <w:r>
        <w:rPr>
          <w:rFonts w:cs="Times New Roman"/>
          <w:szCs w:val="24"/>
        </w:rPr>
        <w:instrText xml:space="preserve"> PAGEREF Nicolson \h </w:instrText>
      </w:r>
      <w:r>
        <w:rPr>
          <w:rFonts w:cs="Times New Roman"/>
          <w:szCs w:val="24"/>
        </w:rPr>
      </w:r>
      <w:r>
        <w:rPr>
          <w:rFonts w:cs="Times New Roman"/>
          <w:szCs w:val="24"/>
        </w:rPr>
        <w:fldChar w:fldCharType="separate"/>
      </w:r>
      <w:r w:rsidR="0012026B">
        <w:rPr>
          <w:rFonts w:cs="Times New Roman"/>
          <w:noProof/>
          <w:szCs w:val="24"/>
        </w:rPr>
        <w:t>133</w:t>
      </w:r>
      <w:r>
        <w:rPr>
          <w:rFonts w:cs="Times New Roman"/>
          <w:szCs w:val="24"/>
        </w:rPr>
        <w:fldChar w:fldCharType="end"/>
      </w:r>
      <w:r>
        <w:rPr>
          <w:rFonts w:cs="Times New Roman"/>
          <w:szCs w:val="24"/>
        </w:rPr>
        <w:t xml:space="preserve">), though this cannot be </w:t>
      </w:r>
      <w:r>
        <w:t>relied upon.</w:t>
      </w:r>
    </w:p>
  </w:footnote>
  <w:footnote w:id="1290">
    <w:p w14:paraId="6C4A0C71" w14:textId="77777777" w:rsidR="000E1004" w:rsidRDefault="000E1004" w:rsidP="00A7442E">
      <w:pPr>
        <w:pStyle w:val="FootnoteText"/>
      </w:pPr>
      <w:r>
        <w:rPr>
          <w:rStyle w:val="FootnoteReference"/>
        </w:rPr>
        <w:footnoteRef/>
      </w:r>
      <w:r>
        <w:t xml:space="preserve"> Durliat (1980, </w:t>
      </w:r>
      <w:r w:rsidRPr="00F2728A">
        <w:t>138-154</w:t>
      </w:r>
      <w:r>
        <w:t>).</w:t>
      </w:r>
    </w:p>
  </w:footnote>
  <w:footnote w:id="1291">
    <w:p w14:paraId="14A4B1F8" w14:textId="77777777" w:rsidR="000E1004" w:rsidRDefault="000E1004" w:rsidP="004E1331">
      <w:pPr>
        <w:pStyle w:val="FootnoteText"/>
        <w:jc w:val="left"/>
      </w:pPr>
      <w:r>
        <w:rPr>
          <w:rStyle w:val="FootnoteReference"/>
        </w:rPr>
        <w:footnoteRef/>
      </w:r>
      <w:r>
        <w:t xml:space="preserve"> At a time when silver and copper circulated together and were abundant, say late Roman Republican times, 16 copper asses of 12g each constituted a silver denarius of 4g, a </w:t>
      </w:r>
      <w:proofErr w:type="spellStart"/>
      <w:r>
        <w:t>Cu:Ar</w:t>
      </w:r>
      <w:proofErr w:type="spellEnd"/>
      <w:r>
        <w:t xml:space="preserve"> ratio of 48:1. Applying this to the period of study, one silver denier of 1.7g would be worth 77 copper stycas of 1.06g, valuing a loaf of bread at 3 stycas.</w:t>
      </w:r>
    </w:p>
  </w:footnote>
  <w:footnote w:id="1292">
    <w:p w14:paraId="5FFDA796" w14:textId="2832D793" w:rsidR="000E1004" w:rsidRDefault="000E1004">
      <w:pPr>
        <w:pStyle w:val="FootnoteText"/>
      </w:pPr>
      <w:r>
        <w:rPr>
          <w:rStyle w:val="FootnoteReference"/>
        </w:rPr>
        <w:footnoteRef/>
      </w:r>
      <w:r>
        <w:t xml:space="preserve"> Which may be explored in </w:t>
      </w:r>
      <w:r w:rsidRPr="00937B34">
        <w:rPr>
          <w:i/>
        </w:rPr>
        <w:t xml:space="preserve">Table </w:t>
      </w:r>
      <w:r w:rsidRPr="003469F3">
        <w:rPr>
          <w:i/>
        </w:rPr>
        <w:t>9.10.</w:t>
      </w:r>
    </w:p>
  </w:footnote>
  <w:footnote w:id="1293">
    <w:p w14:paraId="44E3CBBC" w14:textId="0723C6FA" w:rsidR="000E1004" w:rsidRDefault="000E1004">
      <w:pPr>
        <w:pStyle w:val="FootnoteText"/>
      </w:pPr>
      <w:r>
        <w:rPr>
          <w:rStyle w:val="FootnoteReference"/>
        </w:rPr>
        <w:footnoteRef/>
      </w:r>
      <w:r>
        <w:t xml:space="preserve"> Based loosely on a private soldier’s pay and allowances in Late Antiquity, (Spufford, 1988, 8).</w:t>
      </w:r>
    </w:p>
  </w:footnote>
  <w:footnote w:id="1294">
    <w:p w14:paraId="37B29291" w14:textId="77777777" w:rsidR="000E1004" w:rsidRDefault="000E1004" w:rsidP="00CE6FE5">
      <w:pPr>
        <w:pStyle w:val="FootnoteText"/>
      </w:pPr>
      <w:r>
        <w:rPr>
          <w:rStyle w:val="FootnoteReference"/>
        </w:rPr>
        <w:footnoteRef/>
      </w:r>
      <w:r>
        <w:t xml:space="preserve"> </w:t>
      </w:r>
      <w:r w:rsidRPr="00224097">
        <w:rPr>
          <w:color w:val="000000" w:themeColor="text1"/>
        </w:rPr>
        <w:t>The proposed allocation of pins at Cottam</w:t>
      </w:r>
      <w:r w:rsidRPr="00224097">
        <w:rPr>
          <w:color w:val="000000" w:themeColor="text1"/>
        </w:rPr>
        <w:fldChar w:fldCharType="begin"/>
      </w:r>
      <w:r w:rsidRPr="00224097">
        <w:rPr>
          <w:color w:val="000000" w:themeColor="text1"/>
        </w:rPr>
        <w:instrText xml:space="preserve"> XE "</w:instrText>
      </w:r>
      <w:r w:rsidRPr="00224097">
        <w:rPr>
          <w:rStyle w:val="Hyperlink"/>
          <w:rFonts w:eastAsia="Times New Roman"/>
          <w:noProof/>
          <w:color w:val="000000" w:themeColor="text1"/>
          <w:lang w:eastAsia="en-GB"/>
        </w:rPr>
        <w:instrText>Cottam</w:instrText>
      </w:r>
      <w:r w:rsidRPr="00224097">
        <w:rPr>
          <w:color w:val="000000" w:themeColor="text1"/>
        </w:rPr>
        <w:instrText xml:space="preserve">" </w:instrText>
      </w:r>
      <w:r w:rsidRPr="00224097">
        <w:rPr>
          <w:color w:val="000000" w:themeColor="text1"/>
        </w:rPr>
        <w:fldChar w:fldCharType="end"/>
      </w:r>
      <w:r w:rsidRPr="00224097">
        <w:rPr>
          <w:color w:val="000000" w:themeColor="text1"/>
        </w:rPr>
        <w:t xml:space="preserve"> between eighth and ninth century is too broad a period. Haldenby &amp; Richards (forthcoming). </w:t>
      </w:r>
    </w:p>
  </w:footnote>
  <w:footnote w:id="1295">
    <w:p w14:paraId="58AD89D5" w14:textId="6BA1B2AB" w:rsidR="000E1004" w:rsidRDefault="000E1004" w:rsidP="00CE6FE5">
      <w:pPr>
        <w:pStyle w:val="FootnoteText"/>
      </w:pPr>
      <w:r>
        <w:rPr>
          <w:rStyle w:val="FootnoteReference"/>
        </w:rPr>
        <w:footnoteRef/>
      </w:r>
      <w:r>
        <w:t xml:space="preserve"> See </w:t>
      </w:r>
      <w:r w:rsidRPr="007B0CF7">
        <w:t>Driffield</w:t>
      </w:r>
      <w:r w:rsidRPr="007B0CF7">
        <w:fldChar w:fldCharType="begin"/>
      </w:r>
      <w:r>
        <w:instrText xml:space="preserve"> XE "</w:instrText>
      </w:r>
      <w:r w:rsidRPr="007B0CF7">
        <w:rPr>
          <w:rFonts w:eastAsia="Times New Roman"/>
          <w:noProof/>
          <w:lang w:eastAsia="en-GB"/>
        </w:rPr>
        <w:instrText>Driffield</w:instrText>
      </w:r>
      <w:r>
        <w:instrText xml:space="preserve">" </w:instrText>
      </w:r>
      <w:r w:rsidRPr="007B0CF7">
        <w:fldChar w:fldCharType="end"/>
      </w:r>
      <w:r>
        <w:t xml:space="preserve"> (</w:t>
      </w:r>
      <w:r>
        <w:fldChar w:fldCharType="begin"/>
      </w:r>
      <w:r>
        <w:instrText xml:space="preserve"> PAGEREF Driffield \h </w:instrText>
      </w:r>
      <w:r>
        <w:fldChar w:fldCharType="separate"/>
      </w:r>
      <w:r w:rsidR="0012026B">
        <w:rPr>
          <w:noProof/>
        </w:rPr>
        <w:t>251</w:t>
      </w:r>
      <w:r>
        <w:fldChar w:fldCharType="end"/>
      </w:r>
      <w:r>
        <w:t>).</w:t>
      </w:r>
    </w:p>
  </w:footnote>
  <w:footnote w:id="1296">
    <w:p w14:paraId="18BF4CB2" w14:textId="77777777" w:rsidR="000E1004" w:rsidRDefault="000E1004" w:rsidP="00CE6FE5">
      <w:pPr>
        <w:pStyle w:val="FootnoteText"/>
      </w:pPr>
      <w:r>
        <w:rPr>
          <w:rStyle w:val="FootnoteReference"/>
        </w:rPr>
        <w:footnoteRef/>
      </w:r>
      <w:r>
        <w:t xml:space="preserve"> Blundered stycas and that of Osberht</w:t>
      </w:r>
      <w:r>
        <w:fldChar w:fldCharType="begin"/>
      </w:r>
      <w:r>
        <w:instrText xml:space="preserve"> XE "</w:instrText>
      </w:r>
      <w:r w:rsidRPr="007645AE">
        <w:instrText>Osberht</w:instrText>
      </w:r>
      <w:r>
        <w:instrText xml:space="preserve">" </w:instrText>
      </w:r>
      <w:r>
        <w:fldChar w:fldCharType="end"/>
      </w:r>
      <w:r>
        <w:t xml:space="preserve"> are unlikely to be so worn this early.</w:t>
      </w:r>
    </w:p>
  </w:footnote>
  <w:footnote w:id="1297">
    <w:p w14:paraId="47D88DB2" w14:textId="0B22F792" w:rsidR="000E1004" w:rsidRDefault="000E1004" w:rsidP="005759C9">
      <w:pPr>
        <w:pStyle w:val="FootnoteText"/>
      </w:pPr>
      <w:r>
        <w:rPr>
          <w:rStyle w:val="FootnoteReference"/>
        </w:rPr>
        <w:footnoteRef/>
      </w:r>
      <w:r>
        <w:t xml:space="preserve"> This is for comparative scale only as there were many finds before the establishment of PAS</w:t>
      </w:r>
      <w:r>
        <w:fldChar w:fldCharType="begin"/>
      </w:r>
      <w:r>
        <w:instrText xml:space="preserve"> XE "</w:instrText>
      </w:r>
      <w:r w:rsidRPr="007D3069">
        <w:instrText>PAS</w:instrText>
      </w:r>
      <w:r>
        <w:instrText xml:space="preserve">" </w:instrText>
      </w:r>
      <w:r>
        <w:fldChar w:fldCharType="end"/>
      </w:r>
      <w:r>
        <w:t xml:space="preserve"> in 1997 and many others escape the regime.</w:t>
      </w:r>
    </w:p>
  </w:footnote>
  <w:footnote w:id="1298">
    <w:p w14:paraId="59C0BD54" w14:textId="44328E1A" w:rsidR="000E1004" w:rsidRDefault="000E1004" w:rsidP="005759C9">
      <w:pPr>
        <w:pStyle w:val="FootnoteText"/>
      </w:pPr>
      <w:r>
        <w:rPr>
          <w:rStyle w:val="FootnoteReference"/>
        </w:rPr>
        <w:footnoteRef/>
      </w:r>
      <w:r>
        <w:t xml:space="preserve"> Naismith</w:t>
      </w:r>
      <w:r>
        <w:fldChar w:fldCharType="begin"/>
      </w:r>
      <w:r>
        <w:instrText xml:space="preserve"> XE "</w:instrText>
      </w:r>
      <w:r w:rsidRPr="007D3069">
        <w:rPr>
          <w:rFonts w:cs="Times New Roman"/>
          <w:szCs w:val="24"/>
        </w:rPr>
        <w:instrText>Naismith</w:instrText>
      </w:r>
      <w:r>
        <w:instrText xml:space="preserve">" </w:instrText>
      </w:r>
      <w:r>
        <w:fldChar w:fldCharType="end"/>
      </w:r>
      <w:r>
        <w:t xml:space="preserve"> (2012, 285). </w:t>
      </w:r>
    </w:p>
  </w:footnote>
  <w:footnote w:id="1299">
    <w:p w14:paraId="7AE3A653" w14:textId="205C82DC" w:rsidR="000E1004" w:rsidRDefault="000E1004">
      <w:pPr>
        <w:pStyle w:val="FootnoteText"/>
      </w:pPr>
      <w:r>
        <w:rPr>
          <w:rStyle w:val="FootnoteReference"/>
        </w:rPr>
        <w:footnoteRef/>
      </w:r>
      <w:r>
        <w:t xml:space="preserve">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(2008).</w:t>
      </w:r>
    </w:p>
  </w:footnote>
  <w:footnote w:id="1300">
    <w:p w14:paraId="29383FFB" w14:textId="12C105A3" w:rsidR="000E1004" w:rsidRDefault="000E1004">
      <w:pPr>
        <w:pStyle w:val="FootnoteText"/>
      </w:pPr>
      <w:r>
        <w:rPr>
          <w:rStyle w:val="FootnoteReference"/>
        </w:rPr>
        <w:footnoteRef/>
      </w:r>
      <w:r>
        <w:t xml:space="preserve"> Allen (2015, 404-24). Allen and Oddie (2015, 238-56). Peak styca production was possibly not exceeded before mechanisation.</w:t>
      </w:r>
    </w:p>
  </w:footnote>
  <w:footnote w:id="1301">
    <w:p w14:paraId="4DABBE49" w14:textId="77777777" w:rsidR="000E1004" w:rsidRDefault="000E1004" w:rsidP="00950F9A">
      <w:pPr>
        <w:pStyle w:val="FootnoteText"/>
      </w:pPr>
      <w:r>
        <w:rPr>
          <w:rStyle w:val="FootnoteReference"/>
        </w:rPr>
        <w:footnoteRef/>
      </w:r>
      <w:r>
        <w:t xml:space="preserve"> They are found in association with a greater variety of artefact types than sceats.</w:t>
      </w:r>
    </w:p>
  </w:footnote>
  <w:footnote w:id="1302">
    <w:p w14:paraId="78DBF235" w14:textId="67862D73" w:rsidR="000E1004" w:rsidRPr="004D250C" w:rsidRDefault="000E1004">
      <w:pPr>
        <w:pStyle w:val="FootnoteText"/>
      </w:pPr>
      <w:r>
        <w:rPr>
          <w:rStyle w:val="FootnoteReference"/>
        </w:rPr>
        <w:footnoteRef/>
      </w:r>
      <w:r>
        <w:t xml:space="preserve"> </w:t>
      </w:r>
      <w:r w:rsidRPr="004D250C">
        <w:rPr>
          <w:i/>
        </w:rPr>
        <w:t>Cf</w:t>
      </w:r>
      <w:r>
        <w:t xml:space="preserve"> Van Arsdell (1989, 49).</w:t>
      </w:r>
    </w:p>
  </w:footnote>
  <w:footnote w:id="1303">
    <w:p w14:paraId="3C841D20" w14:textId="5FB3F859" w:rsidR="000E1004" w:rsidRDefault="000E1004" w:rsidP="00D8670F">
      <w:pPr>
        <w:pStyle w:val="FootnoteText"/>
      </w:pPr>
      <w:r>
        <w:rPr>
          <w:rStyle w:val="FootnoteReference"/>
        </w:rPr>
        <w:footnoteRef/>
      </w:r>
      <w:r>
        <w:t xml:space="preserve"> </w:t>
      </w:r>
      <w:hyperlink r:id="rId50" w:history="1">
        <w:r w:rsidRPr="007C094C">
          <w:rPr>
            <w:rStyle w:val="Hyperlink"/>
          </w:rPr>
          <w:t>http://en.wikipedia.org/wiki/Kuznets_swing</w:t>
        </w:r>
      </w:hyperlink>
      <w:r>
        <w:t xml:space="preserve"> and </w:t>
      </w:r>
      <w:hyperlink r:id="rId51" w:history="1">
        <w:r w:rsidRPr="00B76DC5">
          <w:rPr>
            <w:rStyle w:val="Hyperlink"/>
          </w:rPr>
          <w:t>http://en.wikipedia.org/wiki/Kondratiev_wave</w:t>
        </w:r>
      </w:hyperlink>
      <w:r>
        <w:t xml:space="preserve"> though both are capitalist constructs.</w:t>
      </w:r>
    </w:p>
  </w:footnote>
  <w:footnote w:id="1304">
    <w:p w14:paraId="2A77D3A2" w14:textId="77777777" w:rsidR="000E1004" w:rsidRDefault="000E1004" w:rsidP="003E4D11">
      <w:pPr>
        <w:pStyle w:val="FootnoteText"/>
      </w:pPr>
      <w:r>
        <w:rPr>
          <w:rStyle w:val="FootnoteReference"/>
        </w:rPr>
        <w:footnoteRef/>
      </w:r>
      <w:r>
        <w:t xml:space="preserve"> Sehgal (2015, ch. 3).</w:t>
      </w:r>
    </w:p>
  </w:footnote>
  <w:footnote w:id="1305">
    <w:p w14:paraId="0E55B75A" w14:textId="716CEC2F" w:rsidR="000E1004" w:rsidRPr="003469F3" w:rsidRDefault="000E1004" w:rsidP="00B4230A">
      <w:pPr>
        <w:pStyle w:val="FootnoteText"/>
        <w:rPr>
          <w:i/>
        </w:rPr>
      </w:pPr>
      <w:r>
        <w:rPr>
          <w:rStyle w:val="FootnoteReference"/>
        </w:rPr>
        <w:footnoteRef/>
      </w:r>
      <w:r>
        <w:t xml:space="preserve"> Security of tenure </w:t>
      </w:r>
      <w:r w:rsidRPr="00B4230A">
        <w:rPr>
          <w:i/>
        </w:rPr>
        <w:t>may</w:t>
      </w:r>
      <w:r>
        <w:t xml:space="preserve"> show where power lay: from king Aldfrith to </w:t>
      </w:r>
      <w:r>
        <w:rPr>
          <w:rFonts w:cs="Times New Roman"/>
        </w:rPr>
        <w:t>Æ</w:t>
      </w:r>
      <w:r>
        <w:t>lle (685-867), nineteen reigns averaged 9.6 years while from Ecgberht to Wulfhere (732-900), six</w:t>
      </w:r>
      <w:r w:rsidRPr="00B4230A">
        <w:t xml:space="preserve"> </w:t>
      </w:r>
      <w:r>
        <w:t xml:space="preserve">Archbishops averaged 28 year tenures. </w:t>
      </w:r>
      <w:r w:rsidRPr="00B4230A">
        <w:rPr>
          <w:i/>
        </w:rPr>
        <w:t>Table</w:t>
      </w:r>
      <w:r>
        <w:t xml:space="preserve"> </w:t>
      </w:r>
      <w:r w:rsidRPr="003469F3">
        <w:rPr>
          <w:i/>
        </w:rPr>
        <w:t>5.06.</w:t>
      </w:r>
    </w:p>
    <w:p w14:paraId="5904FDF4" w14:textId="77777777" w:rsidR="000E1004" w:rsidRDefault="000E1004" w:rsidP="00B4230A">
      <w:pPr>
        <w:pStyle w:val="FootnoteText"/>
      </w:pPr>
    </w:p>
  </w:footnote>
  <w:footnote w:id="1306">
    <w:p w14:paraId="2C859C2A" w14:textId="660A78E1" w:rsidR="000E1004" w:rsidRDefault="000E1004" w:rsidP="007B0CD3">
      <w:pPr>
        <w:pStyle w:val="FootnoteText"/>
      </w:pPr>
      <w:r>
        <w:rPr>
          <w:rStyle w:val="FootnoteReference"/>
        </w:rPr>
        <w:footnoteRef/>
      </w:r>
      <w:r>
        <w:t xml:space="preserve"> Abercrombie, Hill &amp; Turner, Sovereign Individuals of Capitalism (1986). See </w:t>
      </w:r>
      <w:r>
        <w:fldChar w:fldCharType="begin"/>
      </w:r>
      <w:r>
        <w:instrText xml:space="preserve"> PAGEREF feudalism \h </w:instrText>
      </w:r>
      <w:r>
        <w:fldChar w:fldCharType="separate"/>
      </w:r>
      <w:r w:rsidR="0012026B">
        <w:rPr>
          <w:noProof/>
        </w:rPr>
        <w:t>51</w:t>
      </w:r>
      <w:r>
        <w:fldChar w:fldCharType="end"/>
      </w:r>
      <w:r>
        <w:t>.</w:t>
      </w:r>
    </w:p>
  </w:footnote>
  <w:footnote w:id="1307">
    <w:p w14:paraId="4BD7E201" w14:textId="77777777" w:rsidR="000E1004" w:rsidRDefault="000E1004" w:rsidP="00664A20">
      <w:pPr>
        <w:pStyle w:val="FootnoteText"/>
      </w:pPr>
      <w:r>
        <w:rPr>
          <w:rStyle w:val="FootnoteReference"/>
        </w:rPr>
        <w:footnoteRef/>
      </w:r>
      <w:r>
        <w:t xml:space="preserve"> Thomas (1994, 10).</w:t>
      </w:r>
    </w:p>
  </w:footnote>
  <w:footnote w:id="1308">
    <w:p w14:paraId="08A616A4" w14:textId="77777777" w:rsidR="000E1004" w:rsidRDefault="000E1004" w:rsidP="00E91E6C">
      <w:pPr>
        <w:pStyle w:val="FootnoteText"/>
      </w:pPr>
      <w:r>
        <w:rPr>
          <w:rStyle w:val="FootnoteReference"/>
        </w:rPr>
        <w:footnoteRef/>
      </w:r>
      <w:r>
        <w:t xml:space="preserve"> Bohannan (1957).</w:t>
      </w:r>
    </w:p>
  </w:footnote>
  <w:footnote w:id="1309">
    <w:p w14:paraId="5452CA0A" w14:textId="1F2EA9A6" w:rsidR="000E1004" w:rsidRDefault="000E1004" w:rsidP="00E91E6C">
      <w:pPr>
        <w:pStyle w:val="FootnoteText"/>
      </w:pPr>
      <w:r>
        <w:rPr>
          <w:rStyle w:val="FootnoteReference"/>
        </w:rPr>
        <w:footnoteRef/>
      </w:r>
      <w:r>
        <w:t xml:space="preserve"> Hedeager (1992, 121-31) quoted in Moreland (2000a, 14-17). </w:t>
      </w:r>
    </w:p>
  </w:footnote>
  <w:footnote w:id="1310">
    <w:p w14:paraId="08210C78" w14:textId="28FE44B8" w:rsidR="000E1004" w:rsidRDefault="000E1004" w:rsidP="004A4BD1">
      <w:pPr>
        <w:pStyle w:val="FootnoteText"/>
      </w:pPr>
      <w:r>
        <w:rPr>
          <w:rStyle w:val="FootnoteReference"/>
        </w:rPr>
        <w:footnoteRef/>
      </w:r>
      <w:r>
        <w:t xml:space="preserve"> Samson (1991, 91) referred to this as ‘negative reciprocity’ - a binding relationship of feud and vendetta against the enemy. Charles-Edwards (1997, 172).</w:t>
      </w:r>
    </w:p>
  </w:footnote>
  <w:footnote w:id="1311">
    <w:p w14:paraId="5DDD354A" w14:textId="77777777" w:rsidR="000E1004" w:rsidRDefault="000E1004" w:rsidP="002C1875">
      <w:pPr>
        <w:pStyle w:val="FootnoteText"/>
      </w:pPr>
      <w:r>
        <w:rPr>
          <w:rStyle w:val="FootnoteReference"/>
        </w:rPr>
        <w:footnoteRef/>
      </w:r>
      <w:r>
        <w:t xml:space="preserve"> Woodman (2012, 38-42).</w:t>
      </w:r>
    </w:p>
  </w:footnote>
  <w:footnote w:id="1312">
    <w:p w14:paraId="4BA0544D" w14:textId="5DB385EF" w:rsidR="000E1004" w:rsidRDefault="000E1004">
      <w:pPr>
        <w:pStyle w:val="FootnoteText"/>
      </w:pPr>
      <w:r>
        <w:rPr>
          <w:rStyle w:val="FootnoteReference"/>
        </w:rPr>
        <w:footnoteRef/>
      </w:r>
      <w:r>
        <w:t xml:space="preserve"> ‘the unknowable unknown’, Stanley (1975, 122). Whitmarsh (2015).</w:t>
      </w:r>
    </w:p>
  </w:footnote>
  <w:footnote w:id="1313">
    <w:p w14:paraId="6A3AD000" w14:textId="01B7C760" w:rsidR="000E1004" w:rsidRDefault="000E1004">
      <w:pPr>
        <w:pStyle w:val="FootnoteText"/>
      </w:pPr>
      <w:r>
        <w:rPr>
          <w:rStyle w:val="FootnoteReference"/>
        </w:rPr>
        <w:footnoteRef/>
      </w:r>
      <w:r>
        <w:t xml:space="preserve"> Wickham suggested regional differences may be due to ‘a zone where urban and rural exchange was slowly becoming more integrated and hierarchical’ and ‘other areas where artisanal activity tended to be relatively simple and localised.’</w:t>
      </w:r>
    </w:p>
  </w:footnote>
  <w:footnote w:id="1314">
    <w:p w14:paraId="7A6C2E54" w14:textId="27A07584" w:rsidR="000E1004" w:rsidRPr="00C810F6" w:rsidRDefault="000E1004" w:rsidP="002A7E00">
      <w:pPr>
        <w:pStyle w:val="FootnoteText"/>
      </w:pPr>
      <w:r>
        <w:rPr>
          <w:rStyle w:val="FootnoteReference"/>
        </w:rPr>
        <w:footnoteRef/>
      </w:r>
      <w:r>
        <w:t xml:space="preserve"> </w:t>
      </w:r>
      <w:r w:rsidRPr="007B0CF7">
        <w:rPr>
          <w:i/>
        </w:rPr>
        <w:t>Map</w:t>
      </w:r>
      <w:r w:rsidRPr="007B0CF7">
        <w:rPr>
          <w:i/>
        </w:rPr>
        <w:fldChar w:fldCharType="begin"/>
      </w:r>
      <w:r>
        <w:instrText xml:space="preserve"> XE "</w:instrText>
      </w:r>
      <w:r w:rsidRPr="007B0CF7">
        <w:rPr>
          <w:noProof/>
        </w:rPr>
        <w:instrText>Map</w:instrText>
      </w:r>
      <w:r>
        <w:instrText xml:space="preserve">" </w:instrText>
      </w:r>
      <w:r w:rsidRPr="007B0CF7">
        <w:rPr>
          <w:i/>
        </w:rPr>
        <w:fldChar w:fldCharType="end"/>
      </w:r>
      <w:r w:rsidRPr="007B0CF7">
        <w:rPr>
          <w:i/>
        </w:rPr>
        <w:t xml:space="preserve"> </w:t>
      </w:r>
      <w:r>
        <w:rPr>
          <w:i/>
        </w:rPr>
        <w:t>6.01</w:t>
      </w:r>
      <w:r>
        <w:t>.</w:t>
      </w:r>
    </w:p>
  </w:footnote>
  <w:footnote w:id="1315">
    <w:p w14:paraId="233A42FB" w14:textId="3ACC496C" w:rsidR="000E1004" w:rsidRDefault="000E1004" w:rsidP="002A7E00">
      <w:pPr>
        <w:pStyle w:val="FootnoteText"/>
      </w:pPr>
      <w:r>
        <w:rPr>
          <w:rStyle w:val="FootnoteReference"/>
        </w:rPr>
        <w:footnoteRef/>
      </w:r>
      <w:r>
        <w:t xml:space="preserve"> </w:t>
      </w:r>
      <w:hyperlink r:id="rId52" w:history="1">
        <w:r w:rsidRPr="00A83221">
          <w:rPr>
            <w:rStyle w:val="Hyperlink"/>
          </w:rPr>
          <w:t>http://intarch.ac.uk/journal/issue25/2/3.3.1.1.html</w:t>
        </w:r>
      </w:hyperlink>
    </w:p>
  </w:footnote>
  <w:footnote w:id="1316">
    <w:p w14:paraId="530BF875" w14:textId="47BE7B42" w:rsidR="000E1004" w:rsidRDefault="000E1004">
      <w:pPr>
        <w:pStyle w:val="FootnoteText"/>
      </w:pPr>
      <w:r>
        <w:rPr>
          <w:rStyle w:val="FootnoteReference"/>
        </w:rPr>
        <w:footnoteRef/>
      </w:r>
      <w:r>
        <w:t xml:space="preserve"> Alcock (2003, 93)</w:t>
      </w:r>
    </w:p>
  </w:footnote>
  <w:footnote w:id="1317">
    <w:p w14:paraId="17E89C76" w14:textId="4482CDD3" w:rsidR="000E1004" w:rsidRDefault="000E1004">
      <w:pPr>
        <w:pStyle w:val="FootnoteText"/>
      </w:pPr>
      <w:r>
        <w:rPr>
          <w:rStyle w:val="FootnoteReference"/>
        </w:rPr>
        <w:footnoteRef/>
      </w:r>
      <w:r>
        <w:t xml:space="preserve"> Scull (1997, 271-4).</w:t>
      </w:r>
    </w:p>
  </w:footnote>
  <w:footnote w:id="1318">
    <w:p w14:paraId="20A233A9" w14:textId="77777777" w:rsidR="000E1004" w:rsidRDefault="000E1004" w:rsidP="008F77B0">
      <w:pPr>
        <w:pStyle w:val="FootnoteText"/>
      </w:pPr>
      <w:r>
        <w:rPr>
          <w:rStyle w:val="FootnoteReference"/>
        </w:rPr>
        <w:footnoteRef/>
      </w:r>
      <w:r>
        <w:t xml:space="preserve"> See Rumble (2001, 1-2) for linguistics, origins and usages.</w:t>
      </w:r>
    </w:p>
  </w:footnote>
  <w:footnote w:id="1319">
    <w:p w14:paraId="662F5BBB" w14:textId="3F0CC13D" w:rsidR="000E1004" w:rsidRDefault="000E1004">
      <w:pPr>
        <w:pStyle w:val="FootnoteText"/>
      </w:pPr>
      <w:r>
        <w:rPr>
          <w:rStyle w:val="FootnoteReference"/>
        </w:rPr>
        <w:footnoteRef/>
      </w:r>
      <w:r>
        <w:t xml:space="preserve"> Pelteret (1995, 255).</w:t>
      </w:r>
    </w:p>
  </w:footnote>
  <w:footnote w:id="1320">
    <w:p w14:paraId="199F5A41" w14:textId="77777777" w:rsidR="000E1004" w:rsidRDefault="000E1004" w:rsidP="00C2748E">
      <w:pPr>
        <w:pStyle w:val="FootnoteText"/>
      </w:pPr>
      <w:r>
        <w:rPr>
          <w:rStyle w:val="FootnoteReference"/>
        </w:rPr>
        <w:footnoteRef/>
      </w:r>
      <w:r>
        <w:t xml:space="preserve"> Cribb (</w:t>
      </w:r>
      <w:r w:rsidRPr="00DC1108">
        <w:t>2005-9</w:t>
      </w:r>
      <w:r>
        <w:t>)</w:t>
      </w:r>
      <w:r w:rsidRPr="00DC1108">
        <w:t xml:space="preserve"> a</w:t>
      </w:r>
      <w:r>
        <w:t>s summarised in Abramson</w:t>
      </w:r>
      <w:r>
        <w:fldChar w:fldCharType="begin"/>
      </w:r>
      <w:r>
        <w:instrText xml:space="preserve"> XE "</w:instrText>
      </w:r>
      <w:r w:rsidRPr="007A2080">
        <w:rPr>
          <w:rFonts w:cs="Times New Roman"/>
          <w:b/>
          <w:sz w:val="40"/>
          <w:szCs w:val="40"/>
        </w:rPr>
        <w:instrText>Abramson</w:instrText>
      </w:r>
      <w:r>
        <w:instrText xml:space="preserve">" </w:instrText>
      </w:r>
      <w:r>
        <w:fldChar w:fldCharType="end"/>
      </w:r>
      <w:r>
        <w:t xml:space="preserve"> (2012b, 122-5)</w:t>
      </w:r>
      <w:r w:rsidRPr="00DC1108">
        <w:t>.</w:t>
      </w:r>
    </w:p>
  </w:footnote>
  <w:footnote w:id="1321">
    <w:p w14:paraId="1156256A" w14:textId="77777777" w:rsidR="000E1004" w:rsidRDefault="000E1004" w:rsidP="00C2748E">
      <w:pPr>
        <w:pStyle w:val="FootnoteText"/>
      </w:pPr>
      <w:r>
        <w:rPr>
          <w:rStyle w:val="FootnoteReference"/>
        </w:rPr>
        <w:footnoteRef/>
      </w:r>
      <w:r>
        <w:t xml:space="preserve"> </w:t>
      </w:r>
      <w:r w:rsidRPr="00AE6ED3">
        <w:t>Dawkins</w:t>
      </w:r>
      <w:r>
        <w:t xml:space="preserve"> (2006, 200-1).</w:t>
      </w:r>
    </w:p>
  </w:footnote>
  <w:footnote w:id="1322">
    <w:p w14:paraId="30E61705" w14:textId="77777777" w:rsidR="000E1004" w:rsidRDefault="000E1004" w:rsidP="00C2748E">
      <w:pPr>
        <w:pStyle w:val="FootnoteText"/>
      </w:pPr>
      <w:r>
        <w:rPr>
          <w:rStyle w:val="FootnoteReference"/>
        </w:rPr>
        <w:footnoteRef/>
      </w:r>
      <w:r w:rsidRPr="004B7EF0">
        <w:rPr>
          <w:i/>
        </w:rPr>
        <w:t xml:space="preserve"> cf</w:t>
      </w:r>
      <w:r>
        <w:t xml:space="preserve"> Abercrombie </w:t>
      </w:r>
      <w:r w:rsidRPr="00503266">
        <w:rPr>
          <w:i/>
        </w:rPr>
        <w:t>et al</w:t>
      </w:r>
      <w:r>
        <w:t xml:space="preserve"> (1986).</w:t>
      </w:r>
    </w:p>
  </w:footnote>
  <w:footnote w:id="1323">
    <w:p w14:paraId="060DE78C" w14:textId="77777777" w:rsidR="000E1004" w:rsidRDefault="000E1004" w:rsidP="00C2748E">
      <w:pPr>
        <w:pStyle w:val="FootnoteText"/>
      </w:pPr>
      <w:r>
        <w:rPr>
          <w:rStyle w:val="FootnoteReference"/>
        </w:rPr>
        <w:footnoteRef/>
      </w:r>
      <w:r>
        <w:t xml:space="preserve"> Saunders (1991, 278).</w:t>
      </w:r>
    </w:p>
  </w:footnote>
  <w:footnote w:id="1324">
    <w:p w14:paraId="5E789955" w14:textId="77777777" w:rsidR="000E1004" w:rsidRDefault="000E1004" w:rsidP="00C2748E">
      <w:pPr>
        <w:pStyle w:val="FootnoteText"/>
      </w:pPr>
      <w:r>
        <w:rPr>
          <w:rStyle w:val="FootnoteReference"/>
        </w:rPr>
        <w:footnoteRef/>
      </w:r>
      <w:r>
        <w:t xml:space="preserve"> Saunders (2001, 12).</w:t>
      </w:r>
    </w:p>
  </w:footnote>
  <w:footnote w:id="1325">
    <w:p w14:paraId="174A4A41" w14:textId="569A8BF3" w:rsidR="000E1004" w:rsidRDefault="000E1004">
      <w:pPr>
        <w:pStyle w:val="FootnoteText"/>
      </w:pPr>
      <w:r>
        <w:rPr>
          <w:rStyle w:val="FootnoteReference"/>
        </w:rPr>
        <w:footnoteRef/>
      </w:r>
      <w:r>
        <w:t xml:space="preserve"> See for example, Ashby (2011 303-19 and 2015, 193-208). </w:t>
      </w:r>
    </w:p>
  </w:footnote>
  <w:footnote w:id="1326">
    <w:p w14:paraId="539F49EA" w14:textId="77777777" w:rsidR="000E1004" w:rsidRDefault="000E1004" w:rsidP="00C2748E">
      <w:pPr>
        <w:pStyle w:val="FootnoteText"/>
      </w:pPr>
      <w:r>
        <w:rPr>
          <w:rStyle w:val="FootnoteReference"/>
        </w:rPr>
        <w:footnoteRef/>
      </w:r>
      <w:r>
        <w:t xml:space="preserve"> Wolf (1982, 5).</w:t>
      </w:r>
    </w:p>
  </w:footnote>
  <w:footnote w:id="1327">
    <w:p w14:paraId="3741CD54" w14:textId="62DE9353" w:rsidR="000E1004" w:rsidRDefault="000E1004" w:rsidP="00072958">
      <w:pPr>
        <w:pStyle w:val="NoSpacing"/>
        <w:spacing w:line="276" w:lineRule="auto"/>
      </w:pPr>
      <w:r w:rsidRPr="00F609CF">
        <w:rPr>
          <w:rStyle w:val="FootnoteReference"/>
          <w:sz w:val="20"/>
          <w:szCs w:val="20"/>
        </w:rPr>
        <w:footnoteRef/>
      </w:r>
      <w:r w:rsidRPr="00F609CF">
        <w:rPr>
          <w:sz w:val="20"/>
          <w:szCs w:val="20"/>
        </w:rPr>
        <w:t xml:space="preserve"> </w:t>
      </w:r>
      <w:r w:rsidRPr="006913A0">
        <w:rPr>
          <w:sz w:val="20"/>
          <w:szCs w:val="20"/>
        </w:rPr>
        <w:t>The</w:t>
      </w:r>
      <w:r>
        <w:rPr>
          <w:sz w:val="20"/>
          <w:szCs w:val="20"/>
        </w:rPr>
        <w:t>re are no discernible trends</w:t>
      </w:r>
      <w:r w:rsidRPr="006913A0">
        <w:rPr>
          <w:sz w:val="20"/>
          <w:szCs w:val="20"/>
        </w:rPr>
        <w:t xml:space="preserve"> for gold</w:t>
      </w:r>
      <w:r>
        <w:rPr>
          <w:sz w:val="20"/>
          <w:szCs w:val="20"/>
        </w:rPr>
        <w:fldChar w:fldCharType="begin"/>
      </w:r>
      <w:r>
        <w:instrText xml:space="preserve"> XE "</w:instrText>
      </w:r>
      <w:r w:rsidRPr="007D3069">
        <w:rPr>
          <w:rFonts w:eastAsia="Times New Roman" w:cs="Times New Roman"/>
          <w:szCs w:val="24"/>
          <w:lang w:eastAsia="en-GB"/>
        </w:rPr>
        <w:instrText>gold</w:instrText>
      </w:r>
      <w:r>
        <w:instrText xml:space="preserve">" </w:instrText>
      </w:r>
      <w:r>
        <w:rPr>
          <w:sz w:val="20"/>
          <w:szCs w:val="20"/>
        </w:rPr>
        <w:fldChar w:fldCharType="end"/>
      </w:r>
      <w:r w:rsidRPr="006913A0">
        <w:rPr>
          <w:sz w:val="20"/>
          <w:szCs w:val="20"/>
        </w:rPr>
        <w:t xml:space="preserve"> in </w:t>
      </w:r>
      <w:r w:rsidRPr="006913A0">
        <w:rPr>
          <w:i/>
          <w:sz w:val="20"/>
          <w:szCs w:val="20"/>
        </w:rPr>
        <w:t xml:space="preserve">Tables </w:t>
      </w:r>
      <w:r>
        <w:rPr>
          <w:i/>
          <w:sz w:val="20"/>
          <w:szCs w:val="20"/>
        </w:rPr>
        <w:t>7.06-7.07</w:t>
      </w:r>
      <w:r w:rsidRPr="006913A0">
        <w:rPr>
          <w:sz w:val="20"/>
          <w:szCs w:val="20"/>
        </w:rPr>
        <w:t xml:space="preserve"> as numbers are inadequate.</w:t>
      </w:r>
    </w:p>
  </w:footnote>
  <w:footnote w:id="1328">
    <w:p w14:paraId="5EC7BB6D" w14:textId="3D173C3C" w:rsidR="000E1004" w:rsidRDefault="000E1004" w:rsidP="002A7E00">
      <w:pPr>
        <w:pStyle w:val="FootnoteText"/>
      </w:pPr>
      <w:r>
        <w:rPr>
          <w:rStyle w:val="FootnoteReference"/>
        </w:rPr>
        <w:footnoteRef/>
      </w:r>
      <w:r>
        <w:t xml:space="preserve"> Soil compaction from occupation exacerbates low porosity. Monbiot (2013, 153-66).</w:t>
      </w:r>
    </w:p>
  </w:footnote>
  <w:footnote w:id="1329">
    <w:p w14:paraId="5C0242D8" w14:textId="77777777" w:rsidR="000E1004" w:rsidRDefault="000E1004" w:rsidP="002855A6">
      <w:pPr>
        <w:pStyle w:val="FootnoteText"/>
      </w:pPr>
      <w:r>
        <w:rPr>
          <w:rStyle w:val="FootnoteReference"/>
        </w:rPr>
        <w:footnoteRef/>
      </w:r>
      <w:r>
        <w:t xml:space="preserve"> Higham, (1987, 35-44) and </w:t>
      </w:r>
      <w:r w:rsidRPr="00E93554">
        <w:rPr>
          <w:i/>
        </w:rPr>
        <w:t>VASLE</w:t>
      </w:r>
      <w:r>
        <w:fldChar w:fldCharType="begin"/>
      </w:r>
      <w:r>
        <w:instrText xml:space="preserve"> XE "</w:instrText>
      </w:r>
      <w:r w:rsidRPr="007D3069">
        <w:instrText>VASLE</w:instrText>
      </w:r>
      <w:r>
        <w:instrText xml:space="preserve">" </w:instrText>
      </w:r>
      <w:r>
        <w:fldChar w:fldCharType="end"/>
      </w:r>
      <w:r>
        <w:t xml:space="preserve"> §3.3.1.</w:t>
      </w:r>
    </w:p>
  </w:footnote>
  <w:footnote w:id="1330">
    <w:p w14:paraId="5D3E66E0" w14:textId="3725419C" w:rsidR="000E1004" w:rsidRDefault="000E1004" w:rsidP="00F530FD">
      <w:pPr>
        <w:pStyle w:val="FootnoteText"/>
      </w:pPr>
      <w:r>
        <w:rPr>
          <w:rStyle w:val="FootnoteReference"/>
        </w:rPr>
        <w:footnoteRef/>
      </w:r>
      <w:r>
        <w:t xml:space="preserve"> </w:t>
      </w:r>
      <w:r>
        <w:rPr>
          <w:color w:val="000000" w:themeColor="text1"/>
        </w:rPr>
        <w:t>And, less certainly, Whithorn (</w:t>
      </w:r>
      <w:r>
        <w:rPr>
          <w:color w:val="000000" w:themeColor="text1"/>
        </w:rPr>
        <w:fldChar w:fldCharType="begin"/>
      </w:r>
      <w:r>
        <w:rPr>
          <w:color w:val="000000" w:themeColor="text1"/>
        </w:rPr>
        <w:instrText xml:space="preserve"> PAGEREF siteshiftW \h </w:instrText>
      </w:r>
      <w:r>
        <w:rPr>
          <w:color w:val="000000" w:themeColor="text1"/>
        </w:rPr>
      </w:r>
      <w:r>
        <w:rPr>
          <w:color w:val="000000" w:themeColor="text1"/>
        </w:rPr>
        <w:fldChar w:fldCharType="separate"/>
      </w:r>
      <w:r w:rsidR="0012026B">
        <w:rPr>
          <w:noProof/>
          <w:color w:val="000000" w:themeColor="text1"/>
        </w:rPr>
        <w:t>287</w:t>
      </w:r>
      <w:r>
        <w:rPr>
          <w:color w:val="000000" w:themeColor="text1"/>
        </w:rPr>
        <w:fldChar w:fldCharType="end"/>
      </w:r>
      <w:r>
        <w:rPr>
          <w:color w:val="000000" w:themeColor="text1"/>
        </w:rPr>
        <w:t>).</w:t>
      </w:r>
    </w:p>
  </w:footnote>
  <w:footnote w:id="1331">
    <w:p w14:paraId="5A18F22F" w14:textId="2342585A" w:rsidR="000E1004" w:rsidRDefault="000E1004">
      <w:pPr>
        <w:pStyle w:val="FootnoteText"/>
      </w:pPr>
      <w:r>
        <w:rPr>
          <w:rStyle w:val="FootnoteReference"/>
        </w:rPr>
        <w:footnoteRef/>
      </w:r>
      <w:r>
        <w:t xml:space="preserve"> See </w:t>
      </w:r>
      <w:r>
        <w:rPr>
          <w:i/>
        </w:rPr>
        <w:t>fn.</w:t>
      </w:r>
      <w:r>
        <w:t xml:space="preserve"> </w:t>
      </w:r>
      <w:r>
        <w:fldChar w:fldCharType="begin"/>
      </w:r>
      <w:r>
        <w:instrText xml:space="preserve"> NOTEREF _Ref433381737 \h </w:instrText>
      </w:r>
      <w:r>
        <w:fldChar w:fldCharType="separate"/>
      </w:r>
      <w:r w:rsidR="0012026B">
        <w:t>1220</w:t>
      </w:r>
      <w:r>
        <w:fldChar w:fldCharType="end"/>
      </w:r>
      <w:r>
        <w:t>. Discussion of the ‘Middle Saxon shuffle’, ably summarised by Moreland (2000b, 82-7), related chiefly to seventh-eighth century transformations to more fertile land. Nucleation integrating cemeteries into coalesced permanent settlements is typically accompanied by the presence of Ipswich ware.</w:t>
      </w:r>
    </w:p>
  </w:footnote>
  <w:footnote w:id="1332">
    <w:p w14:paraId="358081C5" w14:textId="70F4394C" w:rsidR="000E1004" w:rsidRDefault="000E1004">
      <w:pPr>
        <w:pStyle w:val="FootnoteText"/>
      </w:pPr>
      <w:r>
        <w:rPr>
          <w:rStyle w:val="FootnoteReference"/>
        </w:rPr>
        <w:footnoteRef/>
      </w:r>
      <w:r>
        <w:t xml:space="preserve"> Hodges (1989, 63).</w:t>
      </w:r>
    </w:p>
  </w:footnote>
  <w:footnote w:id="1333">
    <w:p w14:paraId="3D966C53" w14:textId="2AE25958" w:rsidR="000E1004" w:rsidRDefault="000E1004" w:rsidP="00A42CA4">
      <w:pPr>
        <w:pStyle w:val="FootnoteText"/>
      </w:pPr>
      <w:r>
        <w:rPr>
          <w:rStyle w:val="FootnoteReference"/>
        </w:rPr>
        <w:footnoteRef/>
      </w:r>
      <w:r>
        <w:t xml:space="preserve"> And of artefacts relative to Roman times (</w:t>
      </w:r>
      <w:r>
        <w:fldChar w:fldCharType="begin"/>
      </w:r>
      <w:r>
        <w:instrText xml:space="preserve"> PAGEREF RomanFinds \h </w:instrText>
      </w:r>
      <w:r>
        <w:fldChar w:fldCharType="separate"/>
      </w:r>
      <w:r w:rsidR="0012026B">
        <w:rPr>
          <w:noProof/>
        </w:rPr>
        <w:t>164</w:t>
      </w:r>
      <w:r>
        <w:fldChar w:fldCharType="end"/>
      </w:r>
      <w:r>
        <w:t>).</w:t>
      </w:r>
    </w:p>
  </w:footnote>
  <w:footnote w:id="1334">
    <w:p w14:paraId="00BD1D86" w14:textId="77777777" w:rsidR="000E1004" w:rsidRDefault="000E1004" w:rsidP="002855A6">
      <w:pPr>
        <w:pStyle w:val="FootnoteText"/>
      </w:pPr>
      <w:r>
        <w:rPr>
          <w:rStyle w:val="FootnoteReference"/>
        </w:rPr>
        <w:footnoteRef/>
      </w:r>
      <w:r>
        <w:t xml:space="preserve"> Wickham (2005, 813).</w:t>
      </w:r>
    </w:p>
  </w:footnote>
  <w:footnote w:id="1335">
    <w:p w14:paraId="6A6EF8E1" w14:textId="488A56DD" w:rsidR="000E1004" w:rsidRDefault="000E1004" w:rsidP="002A7E00">
      <w:pPr>
        <w:pStyle w:val="FootnoteText"/>
      </w:pPr>
      <w:r>
        <w:rPr>
          <w:rStyle w:val="FootnoteReference"/>
        </w:rPr>
        <w:footnoteRef/>
      </w:r>
      <w:r>
        <w:t xml:space="preserve"> </w:t>
      </w:r>
      <w:hyperlink r:id="rId53" w:history="1">
        <w:r w:rsidRPr="00FF69F8">
          <w:rPr>
            <w:rStyle w:val="Hyperlink"/>
          </w:rPr>
          <w:t>https://tenthmedieval.wordpress.com/2010/03/18/from-the-sources-v-Bedes-letter-to-egbert/</w:t>
        </w:r>
      </w:hyperlink>
      <w:r w:rsidRPr="0064065C">
        <w:t xml:space="preserve"> </w:t>
      </w:r>
      <w:r>
        <w:t>734, §12. Also see §3-5, 7, 9, 11, 14 &amp; 16.</w:t>
      </w:r>
    </w:p>
  </w:footnote>
  <w:footnote w:id="1336">
    <w:p w14:paraId="2F48D41A" w14:textId="60AD0142" w:rsidR="000E1004" w:rsidRDefault="000E1004">
      <w:pPr>
        <w:pStyle w:val="FootnoteText"/>
      </w:pPr>
      <w:r>
        <w:rPr>
          <w:rStyle w:val="FootnoteReference"/>
        </w:rPr>
        <w:footnoteRef/>
      </w:r>
      <w:r>
        <w:t xml:space="preserve"> Haldenby and Richards </w:t>
      </w:r>
      <w:r w:rsidRPr="00F2728A">
        <w:t>(forthcoming</w:t>
      </w:r>
      <w:r>
        <w:t>, 2).</w:t>
      </w:r>
    </w:p>
  </w:footnote>
  <w:footnote w:id="1337">
    <w:p w14:paraId="2FCA1AAA" w14:textId="77777777" w:rsidR="000E1004" w:rsidRDefault="000E1004" w:rsidP="002A7E00">
      <w:pPr>
        <w:pStyle w:val="FootnoteText"/>
      </w:pPr>
      <w:r>
        <w:rPr>
          <w:rStyle w:val="FootnoteReference"/>
        </w:rPr>
        <w:footnoteRef/>
      </w:r>
      <w:r>
        <w:t xml:space="preserve"> </w:t>
      </w:r>
      <w:r w:rsidRPr="00A913A1">
        <w:rPr>
          <w:rFonts w:eastAsia="Times New Roman" w:cs="Times New Roman"/>
          <w:iCs/>
          <w:color w:val="000000" w:themeColor="text1"/>
          <w:szCs w:val="24"/>
          <w:lang w:eastAsia="en-GB"/>
        </w:rPr>
        <w:t>O’Connor (1994</w:t>
      </w:r>
      <w:r>
        <w:rPr>
          <w:rFonts w:eastAsia="Times New Roman" w:cs="Times New Roman"/>
          <w:iCs/>
          <w:color w:val="000000" w:themeColor="text1"/>
          <w:szCs w:val="24"/>
          <w:lang w:eastAsia="en-GB"/>
        </w:rPr>
        <w:t>, 146).</w:t>
      </w:r>
    </w:p>
  </w:footnote>
  <w:footnote w:id="1338">
    <w:p w14:paraId="776DC3B8" w14:textId="2046A94E" w:rsidR="000E1004" w:rsidRDefault="000E1004" w:rsidP="002A7E00">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(2008, 333-5). See </w:t>
      </w:r>
      <w:r w:rsidRPr="007B0CF7">
        <w:t>Chapter 2</w:t>
      </w:r>
      <w:r>
        <w:t>.</w:t>
      </w:r>
    </w:p>
  </w:footnote>
  <w:footnote w:id="1339">
    <w:p w14:paraId="48FA737D" w14:textId="415B0422" w:rsidR="000E1004" w:rsidRDefault="000E1004" w:rsidP="002A7E00">
      <w:pPr>
        <w:pStyle w:val="FootnoteText"/>
      </w:pPr>
      <w:r>
        <w:rPr>
          <w:rStyle w:val="FootnoteReference"/>
        </w:rPr>
        <w:footnoteRef/>
      </w:r>
      <w:r>
        <w:t xml:space="preserve"> Skre</w:t>
      </w:r>
      <w:r>
        <w:fldChar w:fldCharType="begin"/>
      </w:r>
      <w:r>
        <w:instrText xml:space="preserve"> XE "</w:instrText>
      </w:r>
      <w:r w:rsidRPr="007645AE">
        <w:instrText>Skre</w:instrText>
      </w:r>
      <w:r>
        <w:instrText xml:space="preserve">" </w:instrText>
      </w:r>
      <w:r>
        <w:fldChar w:fldCharType="end"/>
      </w:r>
      <w:r>
        <w:t xml:space="preserve"> (2008, 333-5).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7241307"/>
      <w:docPartObj>
        <w:docPartGallery w:val="Page Numbers (Top of Page)"/>
        <w:docPartUnique/>
      </w:docPartObj>
    </w:sdtPr>
    <w:sdtEndPr>
      <w:rPr>
        <w:noProof/>
      </w:rPr>
    </w:sdtEndPr>
    <w:sdtContent>
      <w:p w14:paraId="6BDC1A4D" w14:textId="622EBBB7" w:rsidR="00FA5473" w:rsidRDefault="00FA5473">
        <w:pPr>
          <w:pStyle w:val="Header"/>
          <w:jc w:val="right"/>
        </w:pPr>
        <w:r>
          <w:fldChar w:fldCharType="begin"/>
        </w:r>
        <w:r>
          <w:instrText xml:space="preserve"> PAGE   \* MERGEFORMAT </w:instrText>
        </w:r>
        <w:r>
          <w:fldChar w:fldCharType="separate"/>
        </w:r>
        <w:r w:rsidR="00D10B7E">
          <w:rPr>
            <w:noProof/>
          </w:rPr>
          <w:t>xiv</w:t>
        </w:r>
        <w:r>
          <w:rPr>
            <w:noProof/>
          </w:rPr>
          <w:fldChar w:fldCharType="end"/>
        </w:r>
      </w:p>
    </w:sdtContent>
  </w:sdt>
  <w:p w14:paraId="182BB1E6" w14:textId="34899A65" w:rsidR="000E1004" w:rsidRDefault="000E10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3C6E2" w14:textId="77777777" w:rsidR="000E1004" w:rsidRDefault="000E10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5648957"/>
      <w:docPartObj>
        <w:docPartGallery w:val="Page Numbers (Top of Page)"/>
        <w:docPartUnique/>
      </w:docPartObj>
    </w:sdtPr>
    <w:sdtEndPr>
      <w:rPr>
        <w:noProof/>
      </w:rPr>
    </w:sdtEndPr>
    <w:sdtContent>
      <w:p w14:paraId="327BBF15" w14:textId="327321C3" w:rsidR="00FA5473" w:rsidRDefault="00FA5473">
        <w:pPr>
          <w:pStyle w:val="Header"/>
          <w:jc w:val="right"/>
        </w:pPr>
        <w:r>
          <w:fldChar w:fldCharType="begin"/>
        </w:r>
        <w:r>
          <w:instrText xml:space="preserve"> PAGE   \* MERGEFORMAT </w:instrText>
        </w:r>
        <w:r>
          <w:fldChar w:fldCharType="separate"/>
        </w:r>
        <w:r w:rsidR="00D10B7E">
          <w:rPr>
            <w:noProof/>
          </w:rPr>
          <w:t>xxi</w:t>
        </w:r>
        <w:r>
          <w:rPr>
            <w:noProof/>
          </w:rPr>
          <w:fldChar w:fldCharType="end"/>
        </w:r>
      </w:p>
    </w:sdtContent>
  </w:sdt>
  <w:p w14:paraId="49C0352B" w14:textId="77777777" w:rsidR="000E1004" w:rsidRDefault="000E100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542079"/>
      <w:docPartObj>
        <w:docPartGallery w:val="Page Numbers (Top of Page)"/>
        <w:docPartUnique/>
      </w:docPartObj>
    </w:sdtPr>
    <w:sdtEndPr>
      <w:rPr>
        <w:noProof/>
      </w:rPr>
    </w:sdtEndPr>
    <w:sdtContent>
      <w:p w14:paraId="30CDC248" w14:textId="101AD22A" w:rsidR="00FA5473" w:rsidRDefault="00FA5473">
        <w:pPr>
          <w:pStyle w:val="Header"/>
          <w:jc w:val="right"/>
        </w:pPr>
        <w:r>
          <w:fldChar w:fldCharType="begin"/>
        </w:r>
        <w:r>
          <w:instrText xml:space="preserve"> PAGE   \* MERGEFORMAT </w:instrText>
        </w:r>
        <w:r>
          <w:fldChar w:fldCharType="separate"/>
        </w:r>
        <w:r w:rsidR="00D10B7E">
          <w:rPr>
            <w:noProof/>
          </w:rPr>
          <w:t>1</w:t>
        </w:r>
        <w:r>
          <w:rPr>
            <w:noProof/>
          </w:rPr>
          <w:fldChar w:fldCharType="end"/>
        </w:r>
      </w:p>
    </w:sdtContent>
  </w:sdt>
  <w:p w14:paraId="4D9FF8E0" w14:textId="77777777" w:rsidR="000E1004" w:rsidRDefault="000E100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Layout w:type="fixed"/>
      <w:tblCellMar>
        <w:left w:w="0" w:type="dxa"/>
        <w:right w:w="0" w:type="dxa"/>
      </w:tblCellMar>
      <w:tblLook w:val="04A0" w:firstRow="1" w:lastRow="0" w:firstColumn="1" w:lastColumn="0" w:noHBand="0" w:noVBand="1"/>
    </w:tblPr>
    <w:tblGrid>
      <w:gridCol w:w="7088"/>
      <w:gridCol w:w="20"/>
      <w:gridCol w:w="1964"/>
    </w:tblGrid>
    <w:tr w:rsidR="000E1004" w:rsidRPr="000D4663" w14:paraId="38833134" w14:textId="77777777" w:rsidTr="009D2D28">
      <w:trPr>
        <w:trHeight w:val="39"/>
      </w:trPr>
      <w:tc>
        <w:tcPr>
          <w:tcW w:w="7088" w:type="dxa"/>
        </w:tcPr>
        <w:p w14:paraId="451E32D7" w14:textId="29E685AD" w:rsidR="000E1004" w:rsidRPr="004E663F" w:rsidRDefault="000E1004" w:rsidP="00F669D8">
          <w:pPr>
            <w:pStyle w:val="Header"/>
            <w:rPr>
              <w:rFonts w:cs="Times New Roman"/>
              <w:color w:val="000000" w:themeColor="text1"/>
              <w:szCs w:val="24"/>
            </w:rPr>
          </w:pPr>
          <w:r>
            <w:rPr>
              <w:rFonts w:cs="Times New Roman"/>
              <w:color w:val="000000" w:themeColor="text1"/>
              <w:szCs w:val="24"/>
            </w:rPr>
            <w:fldChar w:fldCharType="begin"/>
          </w:r>
          <w:r>
            <w:rPr>
              <w:rFonts w:cs="Times New Roman"/>
              <w:color w:val="000000" w:themeColor="text1"/>
              <w:szCs w:val="24"/>
            </w:rPr>
            <w:instrText xml:space="preserve"> STYLEREF  "Heading 1"  \* MERGEFORMAT </w:instrText>
          </w:r>
          <w:r>
            <w:rPr>
              <w:rFonts w:cs="Times New Roman"/>
              <w:color w:val="000000" w:themeColor="text1"/>
              <w:szCs w:val="24"/>
            </w:rPr>
            <w:fldChar w:fldCharType="separate"/>
          </w:r>
          <w:r w:rsidR="005F1EAF">
            <w:rPr>
              <w:rFonts w:cs="Times New Roman"/>
              <w:noProof/>
              <w:color w:val="000000" w:themeColor="text1"/>
              <w:szCs w:val="24"/>
            </w:rPr>
            <w:t>Chapter 8: Case Studies</w:t>
          </w:r>
          <w:r>
            <w:rPr>
              <w:rFonts w:cs="Times New Roman"/>
              <w:color w:val="000000" w:themeColor="text1"/>
              <w:szCs w:val="24"/>
            </w:rPr>
            <w:fldChar w:fldCharType="end"/>
          </w:r>
        </w:p>
      </w:tc>
      <w:tc>
        <w:tcPr>
          <w:tcW w:w="20" w:type="dxa"/>
        </w:tcPr>
        <w:p w14:paraId="32913714" w14:textId="77777777" w:rsidR="000E1004" w:rsidRDefault="000E1004">
          <w:pPr>
            <w:pStyle w:val="Header"/>
            <w:jc w:val="center"/>
            <w:rPr>
              <w:color w:val="5B9BD5" w:themeColor="accent1"/>
            </w:rPr>
          </w:pPr>
        </w:p>
      </w:tc>
      <w:tc>
        <w:tcPr>
          <w:tcW w:w="1964" w:type="dxa"/>
        </w:tcPr>
        <w:p w14:paraId="07FAB876" w14:textId="5C523513" w:rsidR="000E1004" w:rsidRPr="000D4663" w:rsidRDefault="000E1004" w:rsidP="00A83A11">
          <w:pPr>
            <w:pStyle w:val="Header"/>
            <w:ind w:left="264"/>
            <w:jc w:val="right"/>
            <w:rPr>
              <w:rFonts w:cs="Times New Roman"/>
              <w:color w:val="000000" w:themeColor="text1"/>
            </w:rPr>
          </w:pPr>
          <w:r w:rsidRPr="000D4663">
            <w:rPr>
              <w:rFonts w:cs="Times New Roman"/>
              <w:color w:val="000000" w:themeColor="text1"/>
            </w:rPr>
            <w:fldChar w:fldCharType="begin"/>
          </w:r>
          <w:r w:rsidRPr="000D4663">
            <w:rPr>
              <w:rFonts w:cs="Times New Roman"/>
              <w:color w:val="000000" w:themeColor="text1"/>
            </w:rPr>
            <w:instrText xml:space="preserve"> PAGE   \* MERGEFORMAT </w:instrText>
          </w:r>
          <w:r w:rsidRPr="000D4663">
            <w:rPr>
              <w:rFonts w:cs="Times New Roman"/>
              <w:color w:val="000000" w:themeColor="text1"/>
            </w:rPr>
            <w:fldChar w:fldCharType="separate"/>
          </w:r>
          <w:r w:rsidR="00D10B7E">
            <w:rPr>
              <w:rFonts w:cs="Times New Roman"/>
              <w:noProof/>
              <w:color w:val="000000" w:themeColor="text1"/>
            </w:rPr>
            <w:t>263</w:t>
          </w:r>
          <w:r w:rsidRPr="000D4663">
            <w:rPr>
              <w:rFonts w:cs="Times New Roman"/>
              <w:color w:val="000000" w:themeColor="text1"/>
            </w:rPr>
            <w:fldChar w:fldCharType="end"/>
          </w:r>
        </w:p>
      </w:tc>
    </w:tr>
  </w:tbl>
  <w:p w14:paraId="1C03636C" w14:textId="77777777" w:rsidR="000E1004" w:rsidRDefault="000E100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Layout w:type="fixed"/>
      <w:tblCellMar>
        <w:left w:w="0" w:type="dxa"/>
        <w:right w:w="0" w:type="dxa"/>
      </w:tblCellMar>
      <w:tblLook w:val="04A0" w:firstRow="1" w:lastRow="0" w:firstColumn="1" w:lastColumn="0" w:noHBand="0" w:noVBand="1"/>
    </w:tblPr>
    <w:tblGrid>
      <w:gridCol w:w="7088"/>
      <w:gridCol w:w="20"/>
      <w:gridCol w:w="1964"/>
    </w:tblGrid>
    <w:tr w:rsidR="000E1004" w:rsidRPr="000D4663" w14:paraId="1F7C36DB" w14:textId="77777777" w:rsidTr="00225C7F">
      <w:trPr>
        <w:trHeight w:val="39"/>
      </w:trPr>
      <w:tc>
        <w:tcPr>
          <w:tcW w:w="7088" w:type="dxa"/>
        </w:tcPr>
        <w:p w14:paraId="1817B0B3" w14:textId="525CDAD3" w:rsidR="000E1004" w:rsidRPr="004E663F" w:rsidRDefault="000E1004" w:rsidP="00736C9E">
          <w:pPr>
            <w:pStyle w:val="Header"/>
            <w:rPr>
              <w:rFonts w:cs="Times New Roman"/>
              <w:color w:val="000000" w:themeColor="text1"/>
              <w:szCs w:val="24"/>
            </w:rPr>
          </w:pPr>
          <w:r>
            <w:rPr>
              <w:rFonts w:cs="Times New Roman"/>
              <w:color w:val="000000" w:themeColor="text1"/>
              <w:szCs w:val="24"/>
            </w:rPr>
            <w:fldChar w:fldCharType="begin"/>
          </w:r>
          <w:r>
            <w:rPr>
              <w:rFonts w:cs="Times New Roman"/>
              <w:color w:val="000000" w:themeColor="text1"/>
              <w:szCs w:val="24"/>
            </w:rPr>
            <w:instrText xml:space="preserve"> STYLEREF  "Heading 1"  \* MERGEFORMAT </w:instrText>
          </w:r>
          <w:r>
            <w:rPr>
              <w:rFonts w:cs="Times New Roman"/>
              <w:color w:val="000000" w:themeColor="text1"/>
              <w:szCs w:val="24"/>
            </w:rPr>
            <w:fldChar w:fldCharType="separate"/>
          </w:r>
          <w:r w:rsidR="005F1EAF">
            <w:rPr>
              <w:rFonts w:cs="Times New Roman"/>
              <w:noProof/>
              <w:color w:val="000000" w:themeColor="text1"/>
              <w:szCs w:val="24"/>
            </w:rPr>
            <w:t>Chapter 7: Data Analysis</w:t>
          </w:r>
          <w:r>
            <w:rPr>
              <w:rFonts w:cs="Times New Roman"/>
              <w:color w:val="000000" w:themeColor="text1"/>
              <w:szCs w:val="24"/>
            </w:rPr>
            <w:fldChar w:fldCharType="end"/>
          </w:r>
        </w:p>
      </w:tc>
      <w:tc>
        <w:tcPr>
          <w:tcW w:w="20" w:type="dxa"/>
        </w:tcPr>
        <w:p w14:paraId="5FE285C9" w14:textId="77777777" w:rsidR="000E1004" w:rsidRDefault="000E1004" w:rsidP="00736C9E">
          <w:pPr>
            <w:pStyle w:val="Header"/>
            <w:jc w:val="center"/>
            <w:rPr>
              <w:color w:val="5B9BD5" w:themeColor="accent1"/>
            </w:rPr>
          </w:pPr>
        </w:p>
      </w:tc>
      <w:tc>
        <w:tcPr>
          <w:tcW w:w="1964" w:type="dxa"/>
        </w:tcPr>
        <w:p w14:paraId="10336A28" w14:textId="602EA071" w:rsidR="000E1004" w:rsidRPr="000D4663" w:rsidRDefault="000E1004" w:rsidP="00736C9E">
          <w:pPr>
            <w:pStyle w:val="Header"/>
            <w:ind w:left="264"/>
            <w:jc w:val="right"/>
            <w:rPr>
              <w:rFonts w:cs="Times New Roman"/>
              <w:color w:val="000000" w:themeColor="text1"/>
            </w:rPr>
          </w:pPr>
          <w:r w:rsidRPr="000D4663">
            <w:rPr>
              <w:rFonts w:cs="Times New Roman"/>
              <w:color w:val="000000" w:themeColor="text1"/>
            </w:rPr>
            <w:fldChar w:fldCharType="begin"/>
          </w:r>
          <w:r w:rsidRPr="000D4663">
            <w:rPr>
              <w:rFonts w:cs="Times New Roman"/>
              <w:color w:val="000000" w:themeColor="text1"/>
            </w:rPr>
            <w:instrText xml:space="preserve"> PAGE   \* MERGEFORMAT </w:instrText>
          </w:r>
          <w:r w:rsidRPr="000D4663">
            <w:rPr>
              <w:rFonts w:cs="Times New Roman"/>
              <w:color w:val="000000" w:themeColor="text1"/>
            </w:rPr>
            <w:fldChar w:fldCharType="separate"/>
          </w:r>
          <w:r w:rsidR="00D10B7E">
            <w:rPr>
              <w:rFonts w:cs="Times New Roman"/>
              <w:noProof/>
              <w:color w:val="000000" w:themeColor="text1"/>
            </w:rPr>
            <w:t>152</w:t>
          </w:r>
          <w:r w:rsidRPr="000D4663">
            <w:rPr>
              <w:rFonts w:cs="Times New Roman"/>
              <w:color w:val="000000" w:themeColor="text1"/>
            </w:rPr>
            <w:fldChar w:fldCharType="end"/>
          </w:r>
        </w:p>
      </w:tc>
    </w:tr>
  </w:tbl>
  <w:p w14:paraId="61F8256E" w14:textId="5C9D42C7" w:rsidR="000E1004" w:rsidRPr="00736C9E" w:rsidRDefault="000E1004" w:rsidP="00736C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AD2152"/>
    <w:multiLevelType w:val="hybridMultilevel"/>
    <w:tmpl w:val="0D56121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7EB3A75"/>
    <w:multiLevelType w:val="hybridMultilevel"/>
    <w:tmpl w:val="06D67EDE"/>
    <w:lvl w:ilvl="0" w:tplc="0A66302A">
      <w:start w:val="1"/>
      <w:numFmt w:val="decimal"/>
      <w:lvlText w:val="%1."/>
      <w:lvlJc w:val="left"/>
      <w:pPr>
        <w:ind w:left="502" w:hanging="360"/>
      </w:pPr>
      <w:rPr>
        <w:rFonts w:hint="default"/>
        <w:color w:val="000000" w:themeColor="text1"/>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 w15:restartNumberingAfterBreak="0">
    <w:nsid w:val="1EBE03E5"/>
    <w:multiLevelType w:val="multilevel"/>
    <w:tmpl w:val="4D343CB6"/>
    <w:lvl w:ilvl="0">
      <w:start w:val="2"/>
      <w:numFmt w:val="decimal"/>
      <w:lvlText w:val="%1"/>
      <w:lvlJc w:val="left"/>
      <w:pPr>
        <w:ind w:left="480" w:hanging="480"/>
      </w:pPr>
      <w:rPr>
        <w:rFonts w:hint="default"/>
        <w:b/>
      </w:rPr>
    </w:lvl>
    <w:lvl w:ilvl="1">
      <w:start w:val="1"/>
      <w:numFmt w:val="decimal"/>
      <w:lvlText w:val="%1.%2"/>
      <w:lvlJc w:val="left"/>
      <w:pPr>
        <w:ind w:left="840" w:hanging="480"/>
      </w:pPr>
      <w:rPr>
        <w:rFonts w:hint="default"/>
        <w:b/>
      </w:rPr>
    </w:lvl>
    <w:lvl w:ilvl="2">
      <w:start w:val="3"/>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3" w15:restartNumberingAfterBreak="0">
    <w:nsid w:val="1FC57D0A"/>
    <w:multiLevelType w:val="multilevel"/>
    <w:tmpl w:val="82E2BC08"/>
    <w:lvl w:ilvl="0">
      <w:start w:val="2"/>
      <w:numFmt w:val="decimal"/>
      <w:lvlText w:val="%1."/>
      <w:lvlJc w:val="left"/>
      <w:pPr>
        <w:ind w:left="450" w:hanging="450"/>
      </w:pPr>
      <w:rPr>
        <w:rFonts w:hint="default"/>
        <w:b/>
      </w:rPr>
    </w:lvl>
    <w:lvl w:ilvl="1">
      <w:start w:val="3"/>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4" w15:restartNumberingAfterBreak="0">
    <w:nsid w:val="31E56628"/>
    <w:multiLevelType w:val="multilevel"/>
    <w:tmpl w:val="EEF8211E"/>
    <w:lvl w:ilvl="0">
      <w:start w:val="1"/>
      <w:numFmt w:val="none"/>
      <w:suff w:val="space"/>
      <w:lvlText w:val="Chapter 12"/>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347F1FC9"/>
    <w:multiLevelType w:val="hybridMultilevel"/>
    <w:tmpl w:val="CC98659C"/>
    <w:lvl w:ilvl="0" w:tplc="75C44B3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65759E"/>
    <w:multiLevelType w:val="hybridMultilevel"/>
    <w:tmpl w:val="1C648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0579B3"/>
    <w:multiLevelType w:val="hybridMultilevel"/>
    <w:tmpl w:val="8A1827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203286B"/>
    <w:multiLevelType w:val="hybridMultilevel"/>
    <w:tmpl w:val="B9186F48"/>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 w15:restartNumberingAfterBreak="0">
    <w:nsid w:val="44C56F1A"/>
    <w:multiLevelType w:val="hybridMultilevel"/>
    <w:tmpl w:val="44584C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A346AE0"/>
    <w:multiLevelType w:val="hybridMultilevel"/>
    <w:tmpl w:val="CFE889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673258"/>
    <w:multiLevelType w:val="hybridMultilevel"/>
    <w:tmpl w:val="21A06A1A"/>
    <w:lvl w:ilvl="0" w:tplc="08090019">
      <w:start w:val="1"/>
      <w:numFmt w:val="lowerLetter"/>
      <w:lvlText w:val="%1."/>
      <w:lvlJc w:val="left"/>
      <w:pPr>
        <w:ind w:left="4320" w:hanging="360"/>
      </w:pPr>
      <w:rPr>
        <w:rFonts w:hint="default"/>
      </w:rPr>
    </w:lvl>
    <w:lvl w:ilvl="1" w:tplc="08090019" w:tentative="1">
      <w:start w:val="1"/>
      <w:numFmt w:val="lowerLetter"/>
      <w:lvlText w:val="%2."/>
      <w:lvlJc w:val="left"/>
      <w:pPr>
        <w:ind w:left="5040" w:hanging="360"/>
      </w:pPr>
    </w:lvl>
    <w:lvl w:ilvl="2" w:tplc="0809001B" w:tentative="1">
      <w:start w:val="1"/>
      <w:numFmt w:val="lowerRoman"/>
      <w:lvlText w:val="%3."/>
      <w:lvlJc w:val="right"/>
      <w:pPr>
        <w:ind w:left="5760" w:hanging="180"/>
      </w:pPr>
    </w:lvl>
    <w:lvl w:ilvl="3" w:tplc="0809000F" w:tentative="1">
      <w:start w:val="1"/>
      <w:numFmt w:val="decimal"/>
      <w:lvlText w:val="%4."/>
      <w:lvlJc w:val="left"/>
      <w:pPr>
        <w:ind w:left="6480" w:hanging="360"/>
      </w:pPr>
    </w:lvl>
    <w:lvl w:ilvl="4" w:tplc="08090019" w:tentative="1">
      <w:start w:val="1"/>
      <w:numFmt w:val="lowerLetter"/>
      <w:lvlText w:val="%5."/>
      <w:lvlJc w:val="left"/>
      <w:pPr>
        <w:ind w:left="7200" w:hanging="360"/>
      </w:pPr>
    </w:lvl>
    <w:lvl w:ilvl="5" w:tplc="0809001B" w:tentative="1">
      <w:start w:val="1"/>
      <w:numFmt w:val="lowerRoman"/>
      <w:lvlText w:val="%6."/>
      <w:lvlJc w:val="right"/>
      <w:pPr>
        <w:ind w:left="7920" w:hanging="180"/>
      </w:pPr>
    </w:lvl>
    <w:lvl w:ilvl="6" w:tplc="0809000F" w:tentative="1">
      <w:start w:val="1"/>
      <w:numFmt w:val="decimal"/>
      <w:lvlText w:val="%7."/>
      <w:lvlJc w:val="left"/>
      <w:pPr>
        <w:ind w:left="8640" w:hanging="360"/>
      </w:pPr>
    </w:lvl>
    <w:lvl w:ilvl="7" w:tplc="08090019" w:tentative="1">
      <w:start w:val="1"/>
      <w:numFmt w:val="lowerLetter"/>
      <w:lvlText w:val="%8."/>
      <w:lvlJc w:val="left"/>
      <w:pPr>
        <w:ind w:left="9360" w:hanging="360"/>
      </w:pPr>
    </w:lvl>
    <w:lvl w:ilvl="8" w:tplc="0809001B" w:tentative="1">
      <w:start w:val="1"/>
      <w:numFmt w:val="lowerRoman"/>
      <w:lvlText w:val="%9."/>
      <w:lvlJc w:val="right"/>
      <w:pPr>
        <w:ind w:left="10080" w:hanging="180"/>
      </w:pPr>
    </w:lvl>
  </w:abstractNum>
  <w:abstractNum w:abstractNumId="12" w15:restartNumberingAfterBreak="0">
    <w:nsid w:val="5C741D65"/>
    <w:multiLevelType w:val="hybridMultilevel"/>
    <w:tmpl w:val="E746EC82"/>
    <w:lvl w:ilvl="0" w:tplc="0809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B90369A"/>
    <w:multiLevelType w:val="hybridMultilevel"/>
    <w:tmpl w:val="17E030B2"/>
    <w:lvl w:ilvl="0" w:tplc="E5D2625E">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73CA52F6"/>
    <w:multiLevelType w:val="hybridMultilevel"/>
    <w:tmpl w:val="562AEF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46A648A"/>
    <w:multiLevelType w:val="multilevel"/>
    <w:tmpl w:val="B7CA6B72"/>
    <w:lvl w:ilvl="0">
      <w:start w:val="2"/>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6" w15:restartNumberingAfterBreak="0">
    <w:nsid w:val="7DBE2999"/>
    <w:multiLevelType w:val="hybridMultilevel"/>
    <w:tmpl w:val="4AF629A8"/>
    <w:lvl w:ilvl="0" w:tplc="814E30FC">
      <w:start w:val="1"/>
      <w:numFmt w:val="lowerRoman"/>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
  </w:num>
  <w:num w:numId="2">
    <w:abstractNumId w:val="6"/>
  </w:num>
  <w:num w:numId="3">
    <w:abstractNumId w:val="14"/>
  </w:num>
  <w:num w:numId="4">
    <w:abstractNumId w:val="9"/>
  </w:num>
  <w:num w:numId="5">
    <w:abstractNumId w:val="11"/>
  </w:num>
  <w:num w:numId="6">
    <w:abstractNumId w:val="1"/>
  </w:num>
  <w:num w:numId="7">
    <w:abstractNumId w:val="4"/>
  </w:num>
  <w:num w:numId="8">
    <w:abstractNumId w:val="7"/>
  </w:num>
  <w:num w:numId="9">
    <w:abstractNumId w:val="5"/>
  </w:num>
  <w:num w:numId="10">
    <w:abstractNumId w:val="12"/>
  </w:num>
  <w:num w:numId="11">
    <w:abstractNumId w:val="16"/>
  </w:num>
  <w:num w:numId="12">
    <w:abstractNumId w:val="8"/>
  </w:num>
  <w:num w:numId="13">
    <w:abstractNumId w:val="0"/>
  </w:num>
  <w:num w:numId="14">
    <w:abstractNumId w:val="10"/>
  </w:num>
  <w:num w:numId="15">
    <w:abstractNumId w:val="15"/>
  </w:num>
  <w:num w:numId="16">
    <w:abstractNumId w:val="3"/>
  </w:num>
  <w:num w:numId="17">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saveSubsetFonts/>
  <w:proofState w:spelling="clean" w:grammar="clean"/>
  <w:defaultTabStop w:val="720"/>
  <w:characterSpacingControl w:val="doNotCompress"/>
  <w:hdrShapeDefaults>
    <o:shapedefaults v:ext="edit" spidmax="2050">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7E5"/>
    <w:rsid w:val="00000807"/>
    <w:rsid w:val="000008AF"/>
    <w:rsid w:val="000008CE"/>
    <w:rsid w:val="00001184"/>
    <w:rsid w:val="00001756"/>
    <w:rsid w:val="0000207B"/>
    <w:rsid w:val="00002334"/>
    <w:rsid w:val="000024F0"/>
    <w:rsid w:val="00002873"/>
    <w:rsid w:val="000028C3"/>
    <w:rsid w:val="000032BC"/>
    <w:rsid w:val="000032C3"/>
    <w:rsid w:val="00003A6F"/>
    <w:rsid w:val="0000469A"/>
    <w:rsid w:val="00005354"/>
    <w:rsid w:val="00006017"/>
    <w:rsid w:val="000061B1"/>
    <w:rsid w:val="000066C3"/>
    <w:rsid w:val="0001025D"/>
    <w:rsid w:val="00010CAD"/>
    <w:rsid w:val="00010CB7"/>
    <w:rsid w:val="00010FF3"/>
    <w:rsid w:val="000111EA"/>
    <w:rsid w:val="00011459"/>
    <w:rsid w:val="00011DE7"/>
    <w:rsid w:val="00011FF6"/>
    <w:rsid w:val="000124C0"/>
    <w:rsid w:val="00012A0F"/>
    <w:rsid w:val="0001318B"/>
    <w:rsid w:val="00013214"/>
    <w:rsid w:val="0001326F"/>
    <w:rsid w:val="00013481"/>
    <w:rsid w:val="000138E0"/>
    <w:rsid w:val="000140F7"/>
    <w:rsid w:val="00015047"/>
    <w:rsid w:val="00015185"/>
    <w:rsid w:val="000154DC"/>
    <w:rsid w:val="00015AEF"/>
    <w:rsid w:val="00016447"/>
    <w:rsid w:val="00016679"/>
    <w:rsid w:val="00016A26"/>
    <w:rsid w:val="00017DDF"/>
    <w:rsid w:val="00017FDB"/>
    <w:rsid w:val="000202DA"/>
    <w:rsid w:val="0002097C"/>
    <w:rsid w:val="00020A25"/>
    <w:rsid w:val="00020E25"/>
    <w:rsid w:val="00020FC2"/>
    <w:rsid w:val="00021528"/>
    <w:rsid w:val="000219C1"/>
    <w:rsid w:val="00021BF8"/>
    <w:rsid w:val="000222C7"/>
    <w:rsid w:val="000223EE"/>
    <w:rsid w:val="00022EF2"/>
    <w:rsid w:val="00023056"/>
    <w:rsid w:val="00023246"/>
    <w:rsid w:val="0002334A"/>
    <w:rsid w:val="000242A2"/>
    <w:rsid w:val="00025125"/>
    <w:rsid w:val="00025D35"/>
    <w:rsid w:val="000266DE"/>
    <w:rsid w:val="00026CD5"/>
    <w:rsid w:val="0002735A"/>
    <w:rsid w:val="00030A51"/>
    <w:rsid w:val="00030BF4"/>
    <w:rsid w:val="00030F83"/>
    <w:rsid w:val="00031AF2"/>
    <w:rsid w:val="000320B6"/>
    <w:rsid w:val="000341D9"/>
    <w:rsid w:val="000348AE"/>
    <w:rsid w:val="0003583C"/>
    <w:rsid w:val="0003681D"/>
    <w:rsid w:val="0003684C"/>
    <w:rsid w:val="000368C1"/>
    <w:rsid w:val="00036EBA"/>
    <w:rsid w:val="00037497"/>
    <w:rsid w:val="0003778D"/>
    <w:rsid w:val="00037979"/>
    <w:rsid w:val="000402A2"/>
    <w:rsid w:val="000405F0"/>
    <w:rsid w:val="00040AC1"/>
    <w:rsid w:val="00040D87"/>
    <w:rsid w:val="00041C1A"/>
    <w:rsid w:val="0004252E"/>
    <w:rsid w:val="00043AA4"/>
    <w:rsid w:val="00043DC9"/>
    <w:rsid w:val="00044A50"/>
    <w:rsid w:val="00044BC7"/>
    <w:rsid w:val="00045055"/>
    <w:rsid w:val="00046597"/>
    <w:rsid w:val="00046C7B"/>
    <w:rsid w:val="00046F44"/>
    <w:rsid w:val="00050533"/>
    <w:rsid w:val="00050552"/>
    <w:rsid w:val="00050786"/>
    <w:rsid w:val="000510D7"/>
    <w:rsid w:val="000514FE"/>
    <w:rsid w:val="00051D81"/>
    <w:rsid w:val="000520DF"/>
    <w:rsid w:val="000529F6"/>
    <w:rsid w:val="00054B43"/>
    <w:rsid w:val="00055010"/>
    <w:rsid w:val="0005582D"/>
    <w:rsid w:val="0005683B"/>
    <w:rsid w:val="00056A2B"/>
    <w:rsid w:val="00057E7E"/>
    <w:rsid w:val="00057F2E"/>
    <w:rsid w:val="00060304"/>
    <w:rsid w:val="00060439"/>
    <w:rsid w:val="00061414"/>
    <w:rsid w:val="00061DC9"/>
    <w:rsid w:val="00061EB3"/>
    <w:rsid w:val="00061FF9"/>
    <w:rsid w:val="00062049"/>
    <w:rsid w:val="00062069"/>
    <w:rsid w:val="00062432"/>
    <w:rsid w:val="00062B55"/>
    <w:rsid w:val="00062F63"/>
    <w:rsid w:val="000632D3"/>
    <w:rsid w:val="000633CD"/>
    <w:rsid w:val="00063AD4"/>
    <w:rsid w:val="00063AE1"/>
    <w:rsid w:val="00063CB7"/>
    <w:rsid w:val="0006419B"/>
    <w:rsid w:val="000646B0"/>
    <w:rsid w:val="000651DE"/>
    <w:rsid w:val="000651F6"/>
    <w:rsid w:val="00065E6F"/>
    <w:rsid w:val="00066EED"/>
    <w:rsid w:val="00067158"/>
    <w:rsid w:val="00067FAA"/>
    <w:rsid w:val="00067FD2"/>
    <w:rsid w:val="000702A9"/>
    <w:rsid w:val="00070596"/>
    <w:rsid w:val="000705C9"/>
    <w:rsid w:val="00071AA9"/>
    <w:rsid w:val="00071CD5"/>
    <w:rsid w:val="00071F22"/>
    <w:rsid w:val="00071F40"/>
    <w:rsid w:val="00071F47"/>
    <w:rsid w:val="000720AE"/>
    <w:rsid w:val="00072188"/>
    <w:rsid w:val="0007275E"/>
    <w:rsid w:val="00072958"/>
    <w:rsid w:val="00073BB3"/>
    <w:rsid w:val="00074557"/>
    <w:rsid w:val="000747CE"/>
    <w:rsid w:val="00074C5E"/>
    <w:rsid w:val="00075185"/>
    <w:rsid w:val="000755E3"/>
    <w:rsid w:val="00076572"/>
    <w:rsid w:val="00076744"/>
    <w:rsid w:val="0007679C"/>
    <w:rsid w:val="000776E4"/>
    <w:rsid w:val="0007797D"/>
    <w:rsid w:val="00080386"/>
    <w:rsid w:val="00080623"/>
    <w:rsid w:val="00081016"/>
    <w:rsid w:val="000812FB"/>
    <w:rsid w:val="000815F7"/>
    <w:rsid w:val="00081982"/>
    <w:rsid w:val="00081B35"/>
    <w:rsid w:val="000828C7"/>
    <w:rsid w:val="00082B79"/>
    <w:rsid w:val="00082C8A"/>
    <w:rsid w:val="000832B2"/>
    <w:rsid w:val="000832B9"/>
    <w:rsid w:val="00083C15"/>
    <w:rsid w:val="00083FDE"/>
    <w:rsid w:val="00084CFC"/>
    <w:rsid w:val="00084F37"/>
    <w:rsid w:val="00085951"/>
    <w:rsid w:val="00085D84"/>
    <w:rsid w:val="000862EB"/>
    <w:rsid w:val="000865F8"/>
    <w:rsid w:val="000866F5"/>
    <w:rsid w:val="00087673"/>
    <w:rsid w:val="00090795"/>
    <w:rsid w:val="00090951"/>
    <w:rsid w:val="000910DF"/>
    <w:rsid w:val="00092110"/>
    <w:rsid w:val="00092A6D"/>
    <w:rsid w:val="0009336F"/>
    <w:rsid w:val="00093B9C"/>
    <w:rsid w:val="00093BEC"/>
    <w:rsid w:val="000944BD"/>
    <w:rsid w:val="0009463A"/>
    <w:rsid w:val="000948F3"/>
    <w:rsid w:val="00094C26"/>
    <w:rsid w:val="000952E5"/>
    <w:rsid w:val="0009596B"/>
    <w:rsid w:val="00095BE6"/>
    <w:rsid w:val="00096561"/>
    <w:rsid w:val="00096FD3"/>
    <w:rsid w:val="0009732D"/>
    <w:rsid w:val="0009742B"/>
    <w:rsid w:val="000978DC"/>
    <w:rsid w:val="00097FA2"/>
    <w:rsid w:val="000A1008"/>
    <w:rsid w:val="000A2A4C"/>
    <w:rsid w:val="000A5941"/>
    <w:rsid w:val="000A5F4F"/>
    <w:rsid w:val="000A64E6"/>
    <w:rsid w:val="000A6AE3"/>
    <w:rsid w:val="000A6CA6"/>
    <w:rsid w:val="000A7CD7"/>
    <w:rsid w:val="000B0D99"/>
    <w:rsid w:val="000B0E87"/>
    <w:rsid w:val="000B21A1"/>
    <w:rsid w:val="000B24A4"/>
    <w:rsid w:val="000B33D9"/>
    <w:rsid w:val="000B36DB"/>
    <w:rsid w:val="000B4906"/>
    <w:rsid w:val="000B4BB2"/>
    <w:rsid w:val="000B633D"/>
    <w:rsid w:val="000B7306"/>
    <w:rsid w:val="000B7705"/>
    <w:rsid w:val="000B773C"/>
    <w:rsid w:val="000C080D"/>
    <w:rsid w:val="000C1260"/>
    <w:rsid w:val="000C263E"/>
    <w:rsid w:val="000C2800"/>
    <w:rsid w:val="000C30B1"/>
    <w:rsid w:val="000C3CE6"/>
    <w:rsid w:val="000C421D"/>
    <w:rsid w:val="000C5BE1"/>
    <w:rsid w:val="000C6019"/>
    <w:rsid w:val="000C6AE4"/>
    <w:rsid w:val="000C6B07"/>
    <w:rsid w:val="000C73EA"/>
    <w:rsid w:val="000C778B"/>
    <w:rsid w:val="000C7F4C"/>
    <w:rsid w:val="000D099D"/>
    <w:rsid w:val="000D1054"/>
    <w:rsid w:val="000D15E0"/>
    <w:rsid w:val="000D18A9"/>
    <w:rsid w:val="000D1FDD"/>
    <w:rsid w:val="000D2252"/>
    <w:rsid w:val="000D29B3"/>
    <w:rsid w:val="000D2AC6"/>
    <w:rsid w:val="000D3746"/>
    <w:rsid w:val="000D4663"/>
    <w:rsid w:val="000D49C1"/>
    <w:rsid w:val="000D4D45"/>
    <w:rsid w:val="000D54AC"/>
    <w:rsid w:val="000D5800"/>
    <w:rsid w:val="000D5DB9"/>
    <w:rsid w:val="000D64EF"/>
    <w:rsid w:val="000D6816"/>
    <w:rsid w:val="000D6C15"/>
    <w:rsid w:val="000D6E74"/>
    <w:rsid w:val="000D6E8C"/>
    <w:rsid w:val="000D77CB"/>
    <w:rsid w:val="000D7F18"/>
    <w:rsid w:val="000E0C70"/>
    <w:rsid w:val="000E0E2E"/>
    <w:rsid w:val="000E1004"/>
    <w:rsid w:val="000E1931"/>
    <w:rsid w:val="000E2E31"/>
    <w:rsid w:val="000E33DB"/>
    <w:rsid w:val="000E3DDF"/>
    <w:rsid w:val="000E4B56"/>
    <w:rsid w:val="000E5334"/>
    <w:rsid w:val="000E734F"/>
    <w:rsid w:val="000E7B5C"/>
    <w:rsid w:val="000E7DA3"/>
    <w:rsid w:val="000F0804"/>
    <w:rsid w:val="000F1053"/>
    <w:rsid w:val="000F1895"/>
    <w:rsid w:val="000F22E8"/>
    <w:rsid w:val="000F23D7"/>
    <w:rsid w:val="000F2CD1"/>
    <w:rsid w:val="000F3544"/>
    <w:rsid w:val="000F404F"/>
    <w:rsid w:val="000F49D8"/>
    <w:rsid w:val="000F4E5A"/>
    <w:rsid w:val="000F5906"/>
    <w:rsid w:val="000F5D09"/>
    <w:rsid w:val="000F68CC"/>
    <w:rsid w:val="000F7880"/>
    <w:rsid w:val="001004C4"/>
    <w:rsid w:val="00100F75"/>
    <w:rsid w:val="00101802"/>
    <w:rsid w:val="00103461"/>
    <w:rsid w:val="0010388D"/>
    <w:rsid w:val="00103E96"/>
    <w:rsid w:val="00103FB3"/>
    <w:rsid w:val="001040C8"/>
    <w:rsid w:val="0010578C"/>
    <w:rsid w:val="001062A0"/>
    <w:rsid w:val="00106F33"/>
    <w:rsid w:val="00107341"/>
    <w:rsid w:val="00107C99"/>
    <w:rsid w:val="00110955"/>
    <w:rsid w:val="00110989"/>
    <w:rsid w:val="001113ED"/>
    <w:rsid w:val="0011210F"/>
    <w:rsid w:val="001124AF"/>
    <w:rsid w:val="00112FBB"/>
    <w:rsid w:val="00114137"/>
    <w:rsid w:val="00114553"/>
    <w:rsid w:val="00114B36"/>
    <w:rsid w:val="00115AD9"/>
    <w:rsid w:val="00116C5B"/>
    <w:rsid w:val="001173DF"/>
    <w:rsid w:val="0012026B"/>
    <w:rsid w:val="00121098"/>
    <w:rsid w:val="0012165C"/>
    <w:rsid w:val="00122238"/>
    <w:rsid w:val="00122646"/>
    <w:rsid w:val="001229E6"/>
    <w:rsid w:val="00123CE8"/>
    <w:rsid w:val="00123D04"/>
    <w:rsid w:val="00124B73"/>
    <w:rsid w:val="00125084"/>
    <w:rsid w:val="00125364"/>
    <w:rsid w:val="00125661"/>
    <w:rsid w:val="00125CDF"/>
    <w:rsid w:val="00125E73"/>
    <w:rsid w:val="00126105"/>
    <w:rsid w:val="00126A7C"/>
    <w:rsid w:val="001270D6"/>
    <w:rsid w:val="0012714A"/>
    <w:rsid w:val="00127698"/>
    <w:rsid w:val="001277D5"/>
    <w:rsid w:val="001278BE"/>
    <w:rsid w:val="00127EC2"/>
    <w:rsid w:val="00130309"/>
    <w:rsid w:val="001310D9"/>
    <w:rsid w:val="001314B2"/>
    <w:rsid w:val="00131619"/>
    <w:rsid w:val="001320DF"/>
    <w:rsid w:val="001321CF"/>
    <w:rsid w:val="00132E20"/>
    <w:rsid w:val="001331A6"/>
    <w:rsid w:val="001347B2"/>
    <w:rsid w:val="00134D94"/>
    <w:rsid w:val="00134DB4"/>
    <w:rsid w:val="00134FDF"/>
    <w:rsid w:val="00135527"/>
    <w:rsid w:val="00135C2A"/>
    <w:rsid w:val="00135FD1"/>
    <w:rsid w:val="00136284"/>
    <w:rsid w:val="00136EEF"/>
    <w:rsid w:val="00137416"/>
    <w:rsid w:val="00140107"/>
    <w:rsid w:val="001406EF"/>
    <w:rsid w:val="001414F2"/>
    <w:rsid w:val="0014241F"/>
    <w:rsid w:val="001426AB"/>
    <w:rsid w:val="0014402D"/>
    <w:rsid w:val="00144925"/>
    <w:rsid w:val="00144DE3"/>
    <w:rsid w:val="00144DF1"/>
    <w:rsid w:val="001465C0"/>
    <w:rsid w:val="00146E37"/>
    <w:rsid w:val="00146E69"/>
    <w:rsid w:val="00147330"/>
    <w:rsid w:val="001473BF"/>
    <w:rsid w:val="0014742E"/>
    <w:rsid w:val="00147639"/>
    <w:rsid w:val="001478A1"/>
    <w:rsid w:val="00147A10"/>
    <w:rsid w:val="00147D8E"/>
    <w:rsid w:val="00151231"/>
    <w:rsid w:val="00151641"/>
    <w:rsid w:val="00151A0E"/>
    <w:rsid w:val="00151F80"/>
    <w:rsid w:val="00152592"/>
    <w:rsid w:val="0015356E"/>
    <w:rsid w:val="00153C5A"/>
    <w:rsid w:val="00154368"/>
    <w:rsid w:val="00154471"/>
    <w:rsid w:val="00155B6D"/>
    <w:rsid w:val="00155D01"/>
    <w:rsid w:val="00156307"/>
    <w:rsid w:val="001563FD"/>
    <w:rsid w:val="001566AC"/>
    <w:rsid w:val="00157445"/>
    <w:rsid w:val="00157944"/>
    <w:rsid w:val="00157984"/>
    <w:rsid w:val="00157C67"/>
    <w:rsid w:val="001606C5"/>
    <w:rsid w:val="00160932"/>
    <w:rsid w:val="00160E23"/>
    <w:rsid w:val="00161418"/>
    <w:rsid w:val="00161552"/>
    <w:rsid w:val="0016184D"/>
    <w:rsid w:val="00161ABF"/>
    <w:rsid w:val="00161B8F"/>
    <w:rsid w:val="00162722"/>
    <w:rsid w:val="00162968"/>
    <w:rsid w:val="00162A29"/>
    <w:rsid w:val="001638CC"/>
    <w:rsid w:val="00164120"/>
    <w:rsid w:val="001641C3"/>
    <w:rsid w:val="001642A1"/>
    <w:rsid w:val="0016465B"/>
    <w:rsid w:val="00165C8E"/>
    <w:rsid w:val="00166186"/>
    <w:rsid w:val="001662CE"/>
    <w:rsid w:val="001662EF"/>
    <w:rsid w:val="00166354"/>
    <w:rsid w:val="00166951"/>
    <w:rsid w:val="001669A8"/>
    <w:rsid w:val="00167553"/>
    <w:rsid w:val="00170060"/>
    <w:rsid w:val="001707D4"/>
    <w:rsid w:val="00170ADA"/>
    <w:rsid w:val="00171146"/>
    <w:rsid w:val="0017129D"/>
    <w:rsid w:val="00171948"/>
    <w:rsid w:val="00171C89"/>
    <w:rsid w:val="00171F14"/>
    <w:rsid w:val="0017258E"/>
    <w:rsid w:val="00172642"/>
    <w:rsid w:val="00172833"/>
    <w:rsid w:val="00172CF3"/>
    <w:rsid w:val="00172DBB"/>
    <w:rsid w:val="00173172"/>
    <w:rsid w:val="001732D2"/>
    <w:rsid w:val="0017376B"/>
    <w:rsid w:val="00173788"/>
    <w:rsid w:val="00173830"/>
    <w:rsid w:val="00173937"/>
    <w:rsid w:val="00173CA2"/>
    <w:rsid w:val="00174104"/>
    <w:rsid w:val="00174156"/>
    <w:rsid w:val="00174710"/>
    <w:rsid w:val="001750F2"/>
    <w:rsid w:val="00175842"/>
    <w:rsid w:val="00175B17"/>
    <w:rsid w:val="00176D10"/>
    <w:rsid w:val="001770DE"/>
    <w:rsid w:val="00177CA7"/>
    <w:rsid w:val="00177CDD"/>
    <w:rsid w:val="00177E70"/>
    <w:rsid w:val="001803C0"/>
    <w:rsid w:val="00180474"/>
    <w:rsid w:val="00180AB2"/>
    <w:rsid w:val="00182136"/>
    <w:rsid w:val="00182C1C"/>
    <w:rsid w:val="00182D1C"/>
    <w:rsid w:val="00182EC1"/>
    <w:rsid w:val="00182F84"/>
    <w:rsid w:val="00184517"/>
    <w:rsid w:val="00184B9B"/>
    <w:rsid w:val="00184D4F"/>
    <w:rsid w:val="00185231"/>
    <w:rsid w:val="001852D4"/>
    <w:rsid w:val="0018674E"/>
    <w:rsid w:val="00186CA5"/>
    <w:rsid w:val="00186FF4"/>
    <w:rsid w:val="00187C10"/>
    <w:rsid w:val="00190F18"/>
    <w:rsid w:val="0019172E"/>
    <w:rsid w:val="001919F0"/>
    <w:rsid w:val="00191E16"/>
    <w:rsid w:val="00191E3D"/>
    <w:rsid w:val="00191EE5"/>
    <w:rsid w:val="0019230E"/>
    <w:rsid w:val="00192B7E"/>
    <w:rsid w:val="00192C10"/>
    <w:rsid w:val="00193A4F"/>
    <w:rsid w:val="00193E18"/>
    <w:rsid w:val="00194295"/>
    <w:rsid w:val="00194693"/>
    <w:rsid w:val="0019471C"/>
    <w:rsid w:val="00194901"/>
    <w:rsid w:val="001949B4"/>
    <w:rsid w:val="00194A64"/>
    <w:rsid w:val="00194E6E"/>
    <w:rsid w:val="00194F9B"/>
    <w:rsid w:val="00195F95"/>
    <w:rsid w:val="0019674A"/>
    <w:rsid w:val="0019729E"/>
    <w:rsid w:val="001A08DA"/>
    <w:rsid w:val="001A0E6F"/>
    <w:rsid w:val="001A0E77"/>
    <w:rsid w:val="001A169D"/>
    <w:rsid w:val="001A1756"/>
    <w:rsid w:val="001A1DAC"/>
    <w:rsid w:val="001A2254"/>
    <w:rsid w:val="001A2C2A"/>
    <w:rsid w:val="001A2F05"/>
    <w:rsid w:val="001A4C03"/>
    <w:rsid w:val="001A4D9B"/>
    <w:rsid w:val="001A5AB7"/>
    <w:rsid w:val="001A6AEC"/>
    <w:rsid w:val="001A6D00"/>
    <w:rsid w:val="001A7283"/>
    <w:rsid w:val="001A74F3"/>
    <w:rsid w:val="001A7C81"/>
    <w:rsid w:val="001B035A"/>
    <w:rsid w:val="001B07BB"/>
    <w:rsid w:val="001B0949"/>
    <w:rsid w:val="001B197D"/>
    <w:rsid w:val="001B2894"/>
    <w:rsid w:val="001B29F2"/>
    <w:rsid w:val="001B3309"/>
    <w:rsid w:val="001B3595"/>
    <w:rsid w:val="001B3654"/>
    <w:rsid w:val="001B3658"/>
    <w:rsid w:val="001B5F5E"/>
    <w:rsid w:val="001B5FBD"/>
    <w:rsid w:val="001B5FD3"/>
    <w:rsid w:val="001B6A66"/>
    <w:rsid w:val="001B70AF"/>
    <w:rsid w:val="001C0201"/>
    <w:rsid w:val="001C05AF"/>
    <w:rsid w:val="001C10C4"/>
    <w:rsid w:val="001C199A"/>
    <w:rsid w:val="001C1A50"/>
    <w:rsid w:val="001C1D1C"/>
    <w:rsid w:val="001C1E2F"/>
    <w:rsid w:val="001C22E4"/>
    <w:rsid w:val="001C278D"/>
    <w:rsid w:val="001C3348"/>
    <w:rsid w:val="001C3436"/>
    <w:rsid w:val="001C3EC5"/>
    <w:rsid w:val="001C4437"/>
    <w:rsid w:val="001C4FC5"/>
    <w:rsid w:val="001C584D"/>
    <w:rsid w:val="001C638C"/>
    <w:rsid w:val="001C6D0E"/>
    <w:rsid w:val="001C6FC7"/>
    <w:rsid w:val="001C7961"/>
    <w:rsid w:val="001C7A3C"/>
    <w:rsid w:val="001D06A3"/>
    <w:rsid w:val="001D09CA"/>
    <w:rsid w:val="001D0E52"/>
    <w:rsid w:val="001D1458"/>
    <w:rsid w:val="001D1A15"/>
    <w:rsid w:val="001D22E4"/>
    <w:rsid w:val="001D23A1"/>
    <w:rsid w:val="001D29A8"/>
    <w:rsid w:val="001D2B65"/>
    <w:rsid w:val="001D31C1"/>
    <w:rsid w:val="001D32A1"/>
    <w:rsid w:val="001D3F33"/>
    <w:rsid w:val="001D3FAB"/>
    <w:rsid w:val="001D4651"/>
    <w:rsid w:val="001D510F"/>
    <w:rsid w:val="001D5B5B"/>
    <w:rsid w:val="001D60D6"/>
    <w:rsid w:val="001D64D6"/>
    <w:rsid w:val="001D691C"/>
    <w:rsid w:val="001D6AD5"/>
    <w:rsid w:val="001D7C9D"/>
    <w:rsid w:val="001E007F"/>
    <w:rsid w:val="001E0B36"/>
    <w:rsid w:val="001E2FB3"/>
    <w:rsid w:val="001E316F"/>
    <w:rsid w:val="001E3768"/>
    <w:rsid w:val="001E3861"/>
    <w:rsid w:val="001E4233"/>
    <w:rsid w:val="001E4D46"/>
    <w:rsid w:val="001E521F"/>
    <w:rsid w:val="001E532E"/>
    <w:rsid w:val="001E5474"/>
    <w:rsid w:val="001E57F2"/>
    <w:rsid w:val="001E6E40"/>
    <w:rsid w:val="001E70B7"/>
    <w:rsid w:val="001F0775"/>
    <w:rsid w:val="001F1182"/>
    <w:rsid w:val="001F1705"/>
    <w:rsid w:val="001F1AD9"/>
    <w:rsid w:val="001F1C0E"/>
    <w:rsid w:val="001F217B"/>
    <w:rsid w:val="001F244B"/>
    <w:rsid w:val="001F28C7"/>
    <w:rsid w:val="001F354B"/>
    <w:rsid w:val="001F37D0"/>
    <w:rsid w:val="001F3A7F"/>
    <w:rsid w:val="001F41C6"/>
    <w:rsid w:val="001F4CFE"/>
    <w:rsid w:val="001F53F4"/>
    <w:rsid w:val="001F5582"/>
    <w:rsid w:val="001F5E0B"/>
    <w:rsid w:val="001F63FB"/>
    <w:rsid w:val="001F6AB2"/>
    <w:rsid w:val="001F6F70"/>
    <w:rsid w:val="001F6FBB"/>
    <w:rsid w:val="001F6FC7"/>
    <w:rsid w:val="001F7377"/>
    <w:rsid w:val="001F7B9E"/>
    <w:rsid w:val="001F7EE1"/>
    <w:rsid w:val="002016CC"/>
    <w:rsid w:val="002019FC"/>
    <w:rsid w:val="00202317"/>
    <w:rsid w:val="0020283C"/>
    <w:rsid w:val="00202A53"/>
    <w:rsid w:val="00202DB9"/>
    <w:rsid w:val="00202FF1"/>
    <w:rsid w:val="002035F2"/>
    <w:rsid w:val="0020379C"/>
    <w:rsid w:val="00203C92"/>
    <w:rsid w:val="002048EE"/>
    <w:rsid w:val="00205093"/>
    <w:rsid w:val="00205FE6"/>
    <w:rsid w:val="00205FED"/>
    <w:rsid w:val="002070E6"/>
    <w:rsid w:val="002074B2"/>
    <w:rsid w:val="00207823"/>
    <w:rsid w:val="002078C3"/>
    <w:rsid w:val="00207F2E"/>
    <w:rsid w:val="00210124"/>
    <w:rsid w:val="00210EF2"/>
    <w:rsid w:val="002110AA"/>
    <w:rsid w:val="0021140C"/>
    <w:rsid w:val="00212312"/>
    <w:rsid w:val="002127CC"/>
    <w:rsid w:val="00212DF0"/>
    <w:rsid w:val="002132F1"/>
    <w:rsid w:val="00213315"/>
    <w:rsid w:val="002134F3"/>
    <w:rsid w:val="002139F1"/>
    <w:rsid w:val="00213C9D"/>
    <w:rsid w:val="00213D09"/>
    <w:rsid w:val="002143DF"/>
    <w:rsid w:val="00214764"/>
    <w:rsid w:val="00214819"/>
    <w:rsid w:val="00214EE9"/>
    <w:rsid w:val="00215DC3"/>
    <w:rsid w:val="002160DF"/>
    <w:rsid w:val="00217354"/>
    <w:rsid w:val="00217AC6"/>
    <w:rsid w:val="00220DF8"/>
    <w:rsid w:val="002211DC"/>
    <w:rsid w:val="00221787"/>
    <w:rsid w:val="00221A64"/>
    <w:rsid w:val="00221D59"/>
    <w:rsid w:val="002226A8"/>
    <w:rsid w:val="0022318F"/>
    <w:rsid w:val="00223360"/>
    <w:rsid w:val="002233CC"/>
    <w:rsid w:val="00223571"/>
    <w:rsid w:val="00224097"/>
    <w:rsid w:val="00224271"/>
    <w:rsid w:val="002242DA"/>
    <w:rsid w:val="00224345"/>
    <w:rsid w:val="00224D38"/>
    <w:rsid w:val="00225A54"/>
    <w:rsid w:val="00225C7F"/>
    <w:rsid w:val="00226799"/>
    <w:rsid w:val="00226A14"/>
    <w:rsid w:val="00230391"/>
    <w:rsid w:val="00231433"/>
    <w:rsid w:val="00231605"/>
    <w:rsid w:val="0023198D"/>
    <w:rsid w:val="002321CC"/>
    <w:rsid w:val="00233360"/>
    <w:rsid w:val="002334B1"/>
    <w:rsid w:val="002339C3"/>
    <w:rsid w:val="00233E31"/>
    <w:rsid w:val="00234776"/>
    <w:rsid w:val="00234D88"/>
    <w:rsid w:val="00234E02"/>
    <w:rsid w:val="00234EA4"/>
    <w:rsid w:val="00234F6D"/>
    <w:rsid w:val="00234FB1"/>
    <w:rsid w:val="00235561"/>
    <w:rsid w:val="00235629"/>
    <w:rsid w:val="00235AAF"/>
    <w:rsid w:val="00236442"/>
    <w:rsid w:val="00236670"/>
    <w:rsid w:val="002368B2"/>
    <w:rsid w:val="002370C0"/>
    <w:rsid w:val="0023779E"/>
    <w:rsid w:val="00237BF8"/>
    <w:rsid w:val="002402D7"/>
    <w:rsid w:val="00241327"/>
    <w:rsid w:val="00241970"/>
    <w:rsid w:val="00241C6E"/>
    <w:rsid w:val="00242631"/>
    <w:rsid w:val="00242AE1"/>
    <w:rsid w:val="00242D0C"/>
    <w:rsid w:val="002434D3"/>
    <w:rsid w:val="002440E5"/>
    <w:rsid w:val="002441AB"/>
    <w:rsid w:val="00244F44"/>
    <w:rsid w:val="00245A97"/>
    <w:rsid w:val="00245C33"/>
    <w:rsid w:val="00245CC0"/>
    <w:rsid w:val="00245F58"/>
    <w:rsid w:val="00245FC0"/>
    <w:rsid w:val="002460B9"/>
    <w:rsid w:val="0024680B"/>
    <w:rsid w:val="00246BC5"/>
    <w:rsid w:val="00246C36"/>
    <w:rsid w:val="0024710E"/>
    <w:rsid w:val="002471C5"/>
    <w:rsid w:val="00247214"/>
    <w:rsid w:val="0024752C"/>
    <w:rsid w:val="002477EF"/>
    <w:rsid w:val="00247CF8"/>
    <w:rsid w:val="00247D5B"/>
    <w:rsid w:val="00247DD3"/>
    <w:rsid w:val="00247FB3"/>
    <w:rsid w:val="0025001D"/>
    <w:rsid w:val="00250669"/>
    <w:rsid w:val="00250E1E"/>
    <w:rsid w:val="00251608"/>
    <w:rsid w:val="0025240F"/>
    <w:rsid w:val="002528B2"/>
    <w:rsid w:val="002538D4"/>
    <w:rsid w:val="00253EC3"/>
    <w:rsid w:val="00254CAA"/>
    <w:rsid w:val="00254DC3"/>
    <w:rsid w:val="00255618"/>
    <w:rsid w:val="0025572A"/>
    <w:rsid w:val="00255CDD"/>
    <w:rsid w:val="00256D6A"/>
    <w:rsid w:val="00256D8B"/>
    <w:rsid w:val="00257EF0"/>
    <w:rsid w:val="00257FBF"/>
    <w:rsid w:val="0026106B"/>
    <w:rsid w:val="00261903"/>
    <w:rsid w:val="00261A71"/>
    <w:rsid w:val="00262540"/>
    <w:rsid w:val="00262A0D"/>
    <w:rsid w:val="00262E90"/>
    <w:rsid w:val="00263199"/>
    <w:rsid w:val="00263841"/>
    <w:rsid w:val="00263BA1"/>
    <w:rsid w:val="002646CC"/>
    <w:rsid w:val="00264913"/>
    <w:rsid w:val="00264C31"/>
    <w:rsid w:val="00265E81"/>
    <w:rsid w:val="002661E0"/>
    <w:rsid w:val="00267335"/>
    <w:rsid w:val="002707D7"/>
    <w:rsid w:val="00270805"/>
    <w:rsid w:val="0027153C"/>
    <w:rsid w:val="0027156B"/>
    <w:rsid w:val="002727D1"/>
    <w:rsid w:val="00273853"/>
    <w:rsid w:val="002744B1"/>
    <w:rsid w:val="002747D0"/>
    <w:rsid w:val="00274AE5"/>
    <w:rsid w:val="00274FB9"/>
    <w:rsid w:val="00275629"/>
    <w:rsid w:val="00275A3B"/>
    <w:rsid w:val="00275B63"/>
    <w:rsid w:val="0027616E"/>
    <w:rsid w:val="00276BC8"/>
    <w:rsid w:val="00277B3B"/>
    <w:rsid w:val="00277B5E"/>
    <w:rsid w:val="00280930"/>
    <w:rsid w:val="00280FF2"/>
    <w:rsid w:val="00281626"/>
    <w:rsid w:val="002818C2"/>
    <w:rsid w:val="00282A66"/>
    <w:rsid w:val="00282FF2"/>
    <w:rsid w:val="002833D7"/>
    <w:rsid w:val="002835A6"/>
    <w:rsid w:val="00283BAB"/>
    <w:rsid w:val="00283D74"/>
    <w:rsid w:val="00284825"/>
    <w:rsid w:val="0028491C"/>
    <w:rsid w:val="00284948"/>
    <w:rsid w:val="002855A6"/>
    <w:rsid w:val="002860F6"/>
    <w:rsid w:val="0028625F"/>
    <w:rsid w:val="0028657F"/>
    <w:rsid w:val="002871F8"/>
    <w:rsid w:val="002876E5"/>
    <w:rsid w:val="002903AE"/>
    <w:rsid w:val="00292074"/>
    <w:rsid w:val="002920EC"/>
    <w:rsid w:val="00292E8F"/>
    <w:rsid w:val="002930D5"/>
    <w:rsid w:val="00293A88"/>
    <w:rsid w:val="00293F71"/>
    <w:rsid w:val="00293F88"/>
    <w:rsid w:val="0029412E"/>
    <w:rsid w:val="00295015"/>
    <w:rsid w:val="00295796"/>
    <w:rsid w:val="00295C50"/>
    <w:rsid w:val="00295FDF"/>
    <w:rsid w:val="002961D9"/>
    <w:rsid w:val="0029620F"/>
    <w:rsid w:val="002979EC"/>
    <w:rsid w:val="00297A27"/>
    <w:rsid w:val="00297AB5"/>
    <w:rsid w:val="00297E43"/>
    <w:rsid w:val="002A025D"/>
    <w:rsid w:val="002A04BF"/>
    <w:rsid w:val="002A0A5D"/>
    <w:rsid w:val="002A1565"/>
    <w:rsid w:val="002A16DB"/>
    <w:rsid w:val="002A206F"/>
    <w:rsid w:val="002A2776"/>
    <w:rsid w:val="002A2C32"/>
    <w:rsid w:val="002A2DBF"/>
    <w:rsid w:val="002A3E3F"/>
    <w:rsid w:val="002A47ED"/>
    <w:rsid w:val="002A5324"/>
    <w:rsid w:val="002A65B4"/>
    <w:rsid w:val="002A6FBE"/>
    <w:rsid w:val="002A705A"/>
    <w:rsid w:val="002A7783"/>
    <w:rsid w:val="002A7E00"/>
    <w:rsid w:val="002B056E"/>
    <w:rsid w:val="002B133A"/>
    <w:rsid w:val="002B1708"/>
    <w:rsid w:val="002B1833"/>
    <w:rsid w:val="002B2128"/>
    <w:rsid w:val="002B2897"/>
    <w:rsid w:val="002B372E"/>
    <w:rsid w:val="002B437A"/>
    <w:rsid w:val="002B480D"/>
    <w:rsid w:val="002B4848"/>
    <w:rsid w:val="002B4C4A"/>
    <w:rsid w:val="002B4E03"/>
    <w:rsid w:val="002B5C69"/>
    <w:rsid w:val="002B5D13"/>
    <w:rsid w:val="002B6028"/>
    <w:rsid w:val="002B644F"/>
    <w:rsid w:val="002B69BF"/>
    <w:rsid w:val="002B6B27"/>
    <w:rsid w:val="002B7BA9"/>
    <w:rsid w:val="002B7D7E"/>
    <w:rsid w:val="002C004C"/>
    <w:rsid w:val="002C07E9"/>
    <w:rsid w:val="002C0856"/>
    <w:rsid w:val="002C0ADA"/>
    <w:rsid w:val="002C0D67"/>
    <w:rsid w:val="002C0E71"/>
    <w:rsid w:val="002C1875"/>
    <w:rsid w:val="002C1EAA"/>
    <w:rsid w:val="002C2258"/>
    <w:rsid w:val="002C24F9"/>
    <w:rsid w:val="002C2656"/>
    <w:rsid w:val="002C2B2F"/>
    <w:rsid w:val="002C384E"/>
    <w:rsid w:val="002C388C"/>
    <w:rsid w:val="002C3A54"/>
    <w:rsid w:val="002C3CD1"/>
    <w:rsid w:val="002C3F3B"/>
    <w:rsid w:val="002C42EB"/>
    <w:rsid w:val="002C4C9E"/>
    <w:rsid w:val="002C5291"/>
    <w:rsid w:val="002C5478"/>
    <w:rsid w:val="002C5621"/>
    <w:rsid w:val="002C630A"/>
    <w:rsid w:val="002C688B"/>
    <w:rsid w:val="002C7401"/>
    <w:rsid w:val="002C7B20"/>
    <w:rsid w:val="002D0743"/>
    <w:rsid w:val="002D0D11"/>
    <w:rsid w:val="002D1576"/>
    <w:rsid w:val="002D177F"/>
    <w:rsid w:val="002D1C59"/>
    <w:rsid w:val="002D1EEF"/>
    <w:rsid w:val="002D2257"/>
    <w:rsid w:val="002D29A0"/>
    <w:rsid w:val="002D2B98"/>
    <w:rsid w:val="002D2C8F"/>
    <w:rsid w:val="002D31FD"/>
    <w:rsid w:val="002D3442"/>
    <w:rsid w:val="002D3934"/>
    <w:rsid w:val="002D3BE9"/>
    <w:rsid w:val="002D46A0"/>
    <w:rsid w:val="002D46AA"/>
    <w:rsid w:val="002D4F28"/>
    <w:rsid w:val="002D6065"/>
    <w:rsid w:val="002D6076"/>
    <w:rsid w:val="002D686E"/>
    <w:rsid w:val="002D6A82"/>
    <w:rsid w:val="002D7D03"/>
    <w:rsid w:val="002D7D3C"/>
    <w:rsid w:val="002E03CF"/>
    <w:rsid w:val="002E152B"/>
    <w:rsid w:val="002E17A7"/>
    <w:rsid w:val="002E1978"/>
    <w:rsid w:val="002E1D59"/>
    <w:rsid w:val="002E2476"/>
    <w:rsid w:val="002E326E"/>
    <w:rsid w:val="002E3BB3"/>
    <w:rsid w:val="002E4F01"/>
    <w:rsid w:val="002E525D"/>
    <w:rsid w:val="002E5552"/>
    <w:rsid w:val="002E5A9C"/>
    <w:rsid w:val="002E6502"/>
    <w:rsid w:val="002E74FA"/>
    <w:rsid w:val="002E7828"/>
    <w:rsid w:val="002E789D"/>
    <w:rsid w:val="002E798F"/>
    <w:rsid w:val="002E7E91"/>
    <w:rsid w:val="002F001B"/>
    <w:rsid w:val="002F0394"/>
    <w:rsid w:val="002F03DD"/>
    <w:rsid w:val="002F0962"/>
    <w:rsid w:val="002F1EBB"/>
    <w:rsid w:val="002F1F9F"/>
    <w:rsid w:val="002F2174"/>
    <w:rsid w:val="002F2182"/>
    <w:rsid w:val="002F26E3"/>
    <w:rsid w:val="002F2B7C"/>
    <w:rsid w:val="002F2C09"/>
    <w:rsid w:val="002F3A61"/>
    <w:rsid w:val="002F3FD5"/>
    <w:rsid w:val="002F40FF"/>
    <w:rsid w:val="002F43F0"/>
    <w:rsid w:val="002F4401"/>
    <w:rsid w:val="002F462A"/>
    <w:rsid w:val="002F48CF"/>
    <w:rsid w:val="002F4A5A"/>
    <w:rsid w:val="002F57B5"/>
    <w:rsid w:val="002F5AA3"/>
    <w:rsid w:val="002F61F4"/>
    <w:rsid w:val="002F64A6"/>
    <w:rsid w:val="002F694C"/>
    <w:rsid w:val="002F700E"/>
    <w:rsid w:val="002F78EC"/>
    <w:rsid w:val="002F7DB9"/>
    <w:rsid w:val="003007FA"/>
    <w:rsid w:val="003010FB"/>
    <w:rsid w:val="00301FE9"/>
    <w:rsid w:val="0030224D"/>
    <w:rsid w:val="00302553"/>
    <w:rsid w:val="00304167"/>
    <w:rsid w:val="0030553B"/>
    <w:rsid w:val="00305A76"/>
    <w:rsid w:val="00305BA6"/>
    <w:rsid w:val="003061A1"/>
    <w:rsid w:val="00306A86"/>
    <w:rsid w:val="00306ACA"/>
    <w:rsid w:val="00307465"/>
    <w:rsid w:val="00307693"/>
    <w:rsid w:val="003110CB"/>
    <w:rsid w:val="0031167B"/>
    <w:rsid w:val="00311F3D"/>
    <w:rsid w:val="003129BF"/>
    <w:rsid w:val="00312C66"/>
    <w:rsid w:val="00313001"/>
    <w:rsid w:val="00313400"/>
    <w:rsid w:val="00313800"/>
    <w:rsid w:val="003138C0"/>
    <w:rsid w:val="00313982"/>
    <w:rsid w:val="003139C2"/>
    <w:rsid w:val="00313ADE"/>
    <w:rsid w:val="0031414A"/>
    <w:rsid w:val="00314D42"/>
    <w:rsid w:val="00315898"/>
    <w:rsid w:val="00315CC9"/>
    <w:rsid w:val="0031652E"/>
    <w:rsid w:val="00317050"/>
    <w:rsid w:val="00317328"/>
    <w:rsid w:val="0031736D"/>
    <w:rsid w:val="00317647"/>
    <w:rsid w:val="003178BE"/>
    <w:rsid w:val="00317973"/>
    <w:rsid w:val="0032087F"/>
    <w:rsid w:val="00320980"/>
    <w:rsid w:val="00320D79"/>
    <w:rsid w:val="00320D9B"/>
    <w:rsid w:val="0032146F"/>
    <w:rsid w:val="003215DB"/>
    <w:rsid w:val="00321ABA"/>
    <w:rsid w:val="00321E05"/>
    <w:rsid w:val="003223CD"/>
    <w:rsid w:val="0032255A"/>
    <w:rsid w:val="00322D21"/>
    <w:rsid w:val="003234D6"/>
    <w:rsid w:val="00323A3D"/>
    <w:rsid w:val="003247F7"/>
    <w:rsid w:val="00324854"/>
    <w:rsid w:val="00324BD0"/>
    <w:rsid w:val="00324D4B"/>
    <w:rsid w:val="00326DDC"/>
    <w:rsid w:val="00327047"/>
    <w:rsid w:val="00327177"/>
    <w:rsid w:val="003272C7"/>
    <w:rsid w:val="0032751F"/>
    <w:rsid w:val="0032784F"/>
    <w:rsid w:val="00330D7A"/>
    <w:rsid w:val="00332BF6"/>
    <w:rsid w:val="00334771"/>
    <w:rsid w:val="00334AA0"/>
    <w:rsid w:val="0033756B"/>
    <w:rsid w:val="003375E4"/>
    <w:rsid w:val="003378E3"/>
    <w:rsid w:val="00337D31"/>
    <w:rsid w:val="0034063D"/>
    <w:rsid w:val="00340711"/>
    <w:rsid w:val="0034095F"/>
    <w:rsid w:val="00340E43"/>
    <w:rsid w:val="003419CD"/>
    <w:rsid w:val="00342121"/>
    <w:rsid w:val="00342C0D"/>
    <w:rsid w:val="00343121"/>
    <w:rsid w:val="003438A4"/>
    <w:rsid w:val="00343DBF"/>
    <w:rsid w:val="00344354"/>
    <w:rsid w:val="00344DFD"/>
    <w:rsid w:val="00344EFF"/>
    <w:rsid w:val="00345093"/>
    <w:rsid w:val="00346143"/>
    <w:rsid w:val="003462ED"/>
    <w:rsid w:val="0034647B"/>
    <w:rsid w:val="00346955"/>
    <w:rsid w:val="003469F3"/>
    <w:rsid w:val="00346F5C"/>
    <w:rsid w:val="00347000"/>
    <w:rsid w:val="00347260"/>
    <w:rsid w:val="0034769A"/>
    <w:rsid w:val="00347A2F"/>
    <w:rsid w:val="00347A40"/>
    <w:rsid w:val="00350160"/>
    <w:rsid w:val="0035018E"/>
    <w:rsid w:val="003512FC"/>
    <w:rsid w:val="00351578"/>
    <w:rsid w:val="00351AB2"/>
    <w:rsid w:val="00351CEF"/>
    <w:rsid w:val="003522CE"/>
    <w:rsid w:val="00352BFB"/>
    <w:rsid w:val="003535DC"/>
    <w:rsid w:val="00354AC6"/>
    <w:rsid w:val="00354BA3"/>
    <w:rsid w:val="00354BE8"/>
    <w:rsid w:val="003563A2"/>
    <w:rsid w:val="00357681"/>
    <w:rsid w:val="00360390"/>
    <w:rsid w:val="0036046B"/>
    <w:rsid w:val="003605A2"/>
    <w:rsid w:val="00361642"/>
    <w:rsid w:val="00361C8C"/>
    <w:rsid w:val="003620E4"/>
    <w:rsid w:val="003622E5"/>
    <w:rsid w:val="003625CB"/>
    <w:rsid w:val="00362901"/>
    <w:rsid w:val="00362F81"/>
    <w:rsid w:val="00363B52"/>
    <w:rsid w:val="00363E46"/>
    <w:rsid w:val="00364C88"/>
    <w:rsid w:val="0036693E"/>
    <w:rsid w:val="00366C2E"/>
    <w:rsid w:val="00366CE5"/>
    <w:rsid w:val="00366D6B"/>
    <w:rsid w:val="00367541"/>
    <w:rsid w:val="00367A29"/>
    <w:rsid w:val="00367B56"/>
    <w:rsid w:val="00370465"/>
    <w:rsid w:val="003712A6"/>
    <w:rsid w:val="00371AD0"/>
    <w:rsid w:val="00371BCF"/>
    <w:rsid w:val="00371CF4"/>
    <w:rsid w:val="00371EAA"/>
    <w:rsid w:val="003720C9"/>
    <w:rsid w:val="003721DD"/>
    <w:rsid w:val="003729FA"/>
    <w:rsid w:val="003738BC"/>
    <w:rsid w:val="00373A9F"/>
    <w:rsid w:val="00373CD0"/>
    <w:rsid w:val="00374129"/>
    <w:rsid w:val="0037425D"/>
    <w:rsid w:val="00374447"/>
    <w:rsid w:val="0037514D"/>
    <w:rsid w:val="0037580B"/>
    <w:rsid w:val="003759B6"/>
    <w:rsid w:val="00375D9C"/>
    <w:rsid w:val="00375D9E"/>
    <w:rsid w:val="00376387"/>
    <w:rsid w:val="0037644A"/>
    <w:rsid w:val="003767B7"/>
    <w:rsid w:val="00376C7D"/>
    <w:rsid w:val="00377874"/>
    <w:rsid w:val="00380AA5"/>
    <w:rsid w:val="00380B45"/>
    <w:rsid w:val="00381033"/>
    <w:rsid w:val="00381234"/>
    <w:rsid w:val="00382101"/>
    <w:rsid w:val="003826AC"/>
    <w:rsid w:val="00382FD2"/>
    <w:rsid w:val="00383011"/>
    <w:rsid w:val="00383493"/>
    <w:rsid w:val="00383AB7"/>
    <w:rsid w:val="00384515"/>
    <w:rsid w:val="003847EB"/>
    <w:rsid w:val="003848DF"/>
    <w:rsid w:val="00384DED"/>
    <w:rsid w:val="003852DA"/>
    <w:rsid w:val="003853DD"/>
    <w:rsid w:val="00385695"/>
    <w:rsid w:val="0038582A"/>
    <w:rsid w:val="003867B3"/>
    <w:rsid w:val="00386848"/>
    <w:rsid w:val="00387063"/>
    <w:rsid w:val="0039085C"/>
    <w:rsid w:val="00390B1B"/>
    <w:rsid w:val="00391945"/>
    <w:rsid w:val="00392447"/>
    <w:rsid w:val="00392E77"/>
    <w:rsid w:val="0039357E"/>
    <w:rsid w:val="003935C2"/>
    <w:rsid w:val="00393A20"/>
    <w:rsid w:val="0039425F"/>
    <w:rsid w:val="0039447F"/>
    <w:rsid w:val="0039482F"/>
    <w:rsid w:val="00394DD2"/>
    <w:rsid w:val="00394ED0"/>
    <w:rsid w:val="0039523E"/>
    <w:rsid w:val="00395311"/>
    <w:rsid w:val="003953BA"/>
    <w:rsid w:val="00395B6A"/>
    <w:rsid w:val="00396BF0"/>
    <w:rsid w:val="00396D40"/>
    <w:rsid w:val="00397294"/>
    <w:rsid w:val="003977B6"/>
    <w:rsid w:val="00397D9A"/>
    <w:rsid w:val="00397F1C"/>
    <w:rsid w:val="003A0155"/>
    <w:rsid w:val="003A0206"/>
    <w:rsid w:val="003A053E"/>
    <w:rsid w:val="003A1249"/>
    <w:rsid w:val="003A23BF"/>
    <w:rsid w:val="003A25B3"/>
    <w:rsid w:val="003A2867"/>
    <w:rsid w:val="003A3CF9"/>
    <w:rsid w:val="003A3DAB"/>
    <w:rsid w:val="003A4133"/>
    <w:rsid w:val="003A43BF"/>
    <w:rsid w:val="003A527F"/>
    <w:rsid w:val="003A5305"/>
    <w:rsid w:val="003A541F"/>
    <w:rsid w:val="003A5FFB"/>
    <w:rsid w:val="003A62FA"/>
    <w:rsid w:val="003A659C"/>
    <w:rsid w:val="003A6F0A"/>
    <w:rsid w:val="003A7752"/>
    <w:rsid w:val="003A7C9F"/>
    <w:rsid w:val="003A7D20"/>
    <w:rsid w:val="003B08DC"/>
    <w:rsid w:val="003B0A58"/>
    <w:rsid w:val="003B0F7A"/>
    <w:rsid w:val="003B149C"/>
    <w:rsid w:val="003B1F9E"/>
    <w:rsid w:val="003B2983"/>
    <w:rsid w:val="003B2D00"/>
    <w:rsid w:val="003B2D37"/>
    <w:rsid w:val="003B3A9C"/>
    <w:rsid w:val="003B3CA3"/>
    <w:rsid w:val="003B44E5"/>
    <w:rsid w:val="003B4810"/>
    <w:rsid w:val="003B4C05"/>
    <w:rsid w:val="003B4C87"/>
    <w:rsid w:val="003B4D65"/>
    <w:rsid w:val="003B4E3A"/>
    <w:rsid w:val="003B4E60"/>
    <w:rsid w:val="003B641A"/>
    <w:rsid w:val="003B64D2"/>
    <w:rsid w:val="003B69A5"/>
    <w:rsid w:val="003B78F7"/>
    <w:rsid w:val="003C0865"/>
    <w:rsid w:val="003C0CF0"/>
    <w:rsid w:val="003C197B"/>
    <w:rsid w:val="003C1F54"/>
    <w:rsid w:val="003C2B80"/>
    <w:rsid w:val="003C3835"/>
    <w:rsid w:val="003C3D13"/>
    <w:rsid w:val="003C40BD"/>
    <w:rsid w:val="003C4105"/>
    <w:rsid w:val="003C538B"/>
    <w:rsid w:val="003C63DB"/>
    <w:rsid w:val="003C7968"/>
    <w:rsid w:val="003C7A43"/>
    <w:rsid w:val="003C7FF0"/>
    <w:rsid w:val="003D0261"/>
    <w:rsid w:val="003D0BF9"/>
    <w:rsid w:val="003D1841"/>
    <w:rsid w:val="003D18BF"/>
    <w:rsid w:val="003D1CD2"/>
    <w:rsid w:val="003D2297"/>
    <w:rsid w:val="003D25D3"/>
    <w:rsid w:val="003D2E9D"/>
    <w:rsid w:val="003D35BC"/>
    <w:rsid w:val="003D37B6"/>
    <w:rsid w:val="003D37E1"/>
    <w:rsid w:val="003D3AE4"/>
    <w:rsid w:val="003D3F2B"/>
    <w:rsid w:val="003D4798"/>
    <w:rsid w:val="003D63D2"/>
    <w:rsid w:val="003D6434"/>
    <w:rsid w:val="003D686B"/>
    <w:rsid w:val="003D75D7"/>
    <w:rsid w:val="003D75DE"/>
    <w:rsid w:val="003E0027"/>
    <w:rsid w:val="003E1048"/>
    <w:rsid w:val="003E213C"/>
    <w:rsid w:val="003E2230"/>
    <w:rsid w:val="003E2A99"/>
    <w:rsid w:val="003E3657"/>
    <w:rsid w:val="003E3BE4"/>
    <w:rsid w:val="003E3EDB"/>
    <w:rsid w:val="003E47FB"/>
    <w:rsid w:val="003E4956"/>
    <w:rsid w:val="003E4D11"/>
    <w:rsid w:val="003E4FA5"/>
    <w:rsid w:val="003E52E7"/>
    <w:rsid w:val="003E5FDF"/>
    <w:rsid w:val="003E6018"/>
    <w:rsid w:val="003E63B7"/>
    <w:rsid w:val="003E7B3C"/>
    <w:rsid w:val="003F0331"/>
    <w:rsid w:val="003F051D"/>
    <w:rsid w:val="003F0A77"/>
    <w:rsid w:val="003F0D63"/>
    <w:rsid w:val="003F1480"/>
    <w:rsid w:val="003F15CF"/>
    <w:rsid w:val="003F2041"/>
    <w:rsid w:val="003F22F2"/>
    <w:rsid w:val="003F2512"/>
    <w:rsid w:val="003F44E7"/>
    <w:rsid w:val="003F475D"/>
    <w:rsid w:val="003F4D9C"/>
    <w:rsid w:val="003F522F"/>
    <w:rsid w:val="003F57B4"/>
    <w:rsid w:val="003F5828"/>
    <w:rsid w:val="003F5EB1"/>
    <w:rsid w:val="003F6692"/>
    <w:rsid w:val="003F66AE"/>
    <w:rsid w:val="003F6760"/>
    <w:rsid w:val="003F699C"/>
    <w:rsid w:val="003F6FB9"/>
    <w:rsid w:val="004003BA"/>
    <w:rsid w:val="00400750"/>
    <w:rsid w:val="00400D19"/>
    <w:rsid w:val="004013C1"/>
    <w:rsid w:val="004014FC"/>
    <w:rsid w:val="0040182B"/>
    <w:rsid w:val="00401AE8"/>
    <w:rsid w:val="0040258B"/>
    <w:rsid w:val="004027F8"/>
    <w:rsid w:val="00402A6E"/>
    <w:rsid w:val="00402CC5"/>
    <w:rsid w:val="00403177"/>
    <w:rsid w:val="004048E5"/>
    <w:rsid w:val="00404930"/>
    <w:rsid w:val="00404ABD"/>
    <w:rsid w:val="00404AD1"/>
    <w:rsid w:val="0040509E"/>
    <w:rsid w:val="00405835"/>
    <w:rsid w:val="00405916"/>
    <w:rsid w:val="00405EBF"/>
    <w:rsid w:val="004065BD"/>
    <w:rsid w:val="00406B18"/>
    <w:rsid w:val="00407A82"/>
    <w:rsid w:val="00407CE3"/>
    <w:rsid w:val="00407F29"/>
    <w:rsid w:val="00410091"/>
    <w:rsid w:val="0041025C"/>
    <w:rsid w:val="0041059A"/>
    <w:rsid w:val="004110D9"/>
    <w:rsid w:val="0041194D"/>
    <w:rsid w:val="00411998"/>
    <w:rsid w:val="004130E7"/>
    <w:rsid w:val="00413CE1"/>
    <w:rsid w:val="004140A9"/>
    <w:rsid w:val="0041458E"/>
    <w:rsid w:val="004149F2"/>
    <w:rsid w:val="00414AB4"/>
    <w:rsid w:val="00414E16"/>
    <w:rsid w:val="00414ECB"/>
    <w:rsid w:val="00414F66"/>
    <w:rsid w:val="00417339"/>
    <w:rsid w:val="004173A6"/>
    <w:rsid w:val="00417AC6"/>
    <w:rsid w:val="0042061B"/>
    <w:rsid w:val="00420B6A"/>
    <w:rsid w:val="00420EAF"/>
    <w:rsid w:val="004210D2"/>
    <w:rsid w:val="00422BFB"/>
    <w:rsid w:val="00422CA8"/>
    <w:rsid w:val="0042333C"/>
    <w:rsid w:val="004247B4"/>
    <w:rsid w:val="004252AD"/>
    <w:rsid w:val="00425524"/>
    <w:rsid w:val="00426197"/>
    <w:rsid w:val="00426357"/>
    <w:rsid w:val="00426D26"/>
    <w:rsid w:val="00426D62"/>
    <w:rsid w:val="0042778C"/>
    <w:rsid w:val="00427F36"/>
    <w:rsid w:val="00427FC7"/>
    <w:rsid w:val="00430B5B"/>
    <w:rsid w:val="00430E70"/>
    <w:rsid w:val="00430EF5"/>
    <w:rsid w:val="00431CD9"/>
    <w:rsid w:val="004321DF"/>
    <w:rsid w:val="00432CBD"/>
    <w:rsid w:val="004333BD"/>
    <w:rsid w:val="004334CC"/>
    <w:rsid w:val="00434211"/>
    <w:rsid w:val="00434582"/>
    <w:rsid w:val="00434CFB"/>
    <w:rsid w:val="00434FE5"/>
    <w:rsid w:val="00435240"/>
    <w:rsid w:val="0043525C"/>
    <w:rsid w:val="00435EAC"/>
    <w:rsid w:val="00437124"/>
    <w:rsid w:val="004373A0"/>
    <w:rsid w:val="004375D8"/>
    <w:rsid w:val="00437C4F"/>
    <w:rsid w:val="0044050F"/>
    <w:rsid w:val="00440E7E"/>
    <w:rsid w:val="0044174D"/>
    <w:rsid w:val="00442EE8"/>
    <w:rsid w:val="00443212"/>
    <w:rsid w:val="00443252"/>
    <w:rsid w:val="004434F1"/>
    <w:rsid w:val="00443CC8"/>
    <w:rsid w:val="00443F30"/>
    <w:rsid w:val="0044491F"/>
    <w:rsid w:val="00444C2A"/>
    <w:rsid w:val="0044539B"/>
    <w:rsid w:val="004453E8"/>
    <w:rsid w:val="0044548D"/>
    <w:rsid w:val="0044591A"/>
    <w:rsid w:val="00445D6E"/>
    <w:rsid w:val="00447A0F"/>
    <w:rsid w:val="00447A9B"/>
    <w:rsid w:val="00447FB8"/>
    <w:rsid w:val="004504D2"/>
    <w:rsid w:val="004506AA"/>
    <w:rsid w:val="00450DD5"/>
    <w:rsid w:val="00451421"/>
    <w:rsid w:val="00451504"/>
    <w:rsid w:val="00451514"/>
    <w:rsid w:val="00451A28"/>
    <w:rsid w:val="0045219F"/>
    <w:rsid w:val="00452559"/>
    <w:rsid w:val="00452607"/>
    <w:rsid w:val="004533C7"/>
    <w:rsid w:val="00453770"/>
    <w:rsid w:val="004543AF"/>
    <w:rsid w:val="0045513D"/>
    <w:rsid w:val="00455453"/>
    <w:rsid w:val="00455D13"/>
    <w:rsid w:val="00455F26"/>
    <w:rsid w:val="004565C5"/>
    <w:rsid w:val="00456954"/>
    <w:rsid w:val="00460196"/>
    <w:rsid w:val="00460D37"/>
    <w:rsid w:val="00460F21"/>
    <w:rsid w:val="0046121D"/>
    <w:rsid w:val="00461248"/>
    <w:rsid w:val="00461428"/>
    <w:rsid w:val="00462517"/>
    <w:rsid w:val="00462A2C"/>
    <w:rsid w:val="00462F05"/>
    <w:rsid w:val="0046306E"/>
    <w:rsid w:val="00463B83"/>
    <w:rsid w:val="004640F9"/>
    <w:rsid w:val="00464752"/>
    <w:rsid w:val="00464E0E"/>
    <w:rsid w:val="00464F66"/>
    <w:rsid w:val="004650E0"/>
    <w:rsid w:val="0046542C"/>
    <w:rsid w:val="00465BE3"/>
    <w:rsid w:val="00465C83"/>
    <w:rsid w:val="00466560"/>
    <w:rsid w:val="00466849"/>
    <w:rsid w:val="00467570"/>
    <w:rsid w:val="00467705"/>
    <w:rsid w:val="00467993"/>
    <w:rsid w:val="00467FD9"/>
    <w:rsid w:val="004705B5"/>
    <w:rsid w:val="004713E5"/>
    <w:rsid w:val="00471557"/>
    <w:rsid w:val="004728EB"/>
    <w:rsid w:val="004740B0"/>
    <w:rsid w:val="004741CA"/>
    <w:rsid w:val="00474596"/>
    <w:rsid w:val="004749B8"/>
    <w:rsid w:val="00474A39"/>
    <w:rsid w:val="00474DAF"/>
    <w:rsid w:val="00475318"/>
    <w:rsid w:val="00475783"/>
    <w:rsid w:val="00475CD6"/>
    <w:rsid w:val="0047605B"/>
    <w:rsid w:val="0047624B"/>
    <w:rsid w:val="004767D0"/>
    <w:rsid w:val="00476923"/>
    <w:rsid w:val="00476D91"/>
    <w:rsid w:val="00476D92"/>
    <w:rsid w:val="00477574"/>
    <w:rsid w:val="00477F78"/>
    <w:rsid w:val="00480448"/>
    <w:rsid w:val="00480484"/>
    <w:rsid w:val="004809B6"/>
    <w:rsid w:val="0048202E"/>
    <w:rsid w:val="00482BC2"/>
    <w:rsid w:val="00483031"/>
    <w:rsid w:val="00483124"/>
    <w:rsid w:val="004836F2"/>
    <w:rsid w:val="00483814"/>
    <w:rsid w:val="00483AE1"/>
    <w:rsid w:val="00483BCA"/>
    <w:rsid w:val="00483C8B"/>
    <w:rsid w:val="00483EAF"/>
    <w:rsid w:val="0048430D"/>
    <w:rsid w:val="00485267"/>
    <w:rsid w:val="004856AD"/>
    <w:rsid w:val="004857AA"/>
    <w:rsid w:val="004857FC"/>
    <w:rsid w:val="00486423"/>
    <w:rsid w:val="00486C0D"/>
    <w:rsid w:val="00486D47"/>
    <w:rsid w:val="00486E6C"/>
    <w:rsid w:val="00487150"/>
    <w:rsid w:val="0048732A"/>
    <w:rsid w:val="004878AD"/>
    <w:rsid w:val="00487B30"/>
    <w:rsid w:val="004900A3"/>
    <w:rsid w:val="004908B8"/>
    <w:rsid w:val="00490E95"/>
    <w:rsid w:val="00491039"/>
    <w:rsid w:val="00491827"/>
    <w:rsid w:val="0049182F"/>
    <w:rsid w:val="004923E0"/>
    <w:rsid w:val="004923EE"/>
    <w:rsid w:val="004929E0"/>
    <w:rsid w:val="00492FDB"/>
    <w:rsid w:val="004932BE"/>
    <w:rsid w:val="00493861"/>
    <w:rsid w:val="004945A9"/>
    <w:rsid w:val="0049484D"/>
    <w:rsid w:val="004949F6"/>
    <w:rsid w:val="004950F2"/>
    <w:rsid w:val="004958AA"/>
    <w:rsid w:val="004964FE"/>
    <w:rsid w:val="00496687"/>
    <w:rsid w:val="004975CF"/>
    <w:rsid w:val="00497AC3"/>
    <w:rsid w:val="00497FA6"/>
    <w:rsid w:val="004A12C8"/>
    <w:rsid w:val="004A1F6B"/>
    <w:rsid w:val="004A214E"/>
    <w:rsid w:val="004A2359"/>
    <w:rsid w:val="004A2635"/>
    <w:rsid w:val="004A29A7"/>
    <w:rsid w:val="004A30C6"/>
    <w:rsid w:val="004A3535"/>
    <w:rsid w:val="004A4259"/>
    <w:rsid w:val="004A4BD1"/>
    <w:rsid w:val="004A4EC7"/>
    <w:rsid w:val="004A4F66"/>
    <w:rsid w:val="004A608E"/>
    <w:rsid w:val="004A62CB"/>
    <w:rsid w:val="004A6721"/>
    <w:rsid w:val="004A7C86"/>
    <w:rsid w:val="004B1533"/>
    <w:rsid w:val="004B1D74"/>
    <w:rsid w:val="004B1FAE"/>
    <w:rsid w:val="004B2D2B"/>
    <w:rsid w:val="004B34EC"/>
    <w:rsid w:val="004B3A6E"/>
    <w:rsid w:val="004B3C76"/>
    <w:rsid w:val="004B3F0F"/>
    <w:rsid w:val="004B42CF"/>
    <w:rsid w:val="004B4A1C"/>
    <w:rsid w:val="004B4AFF"/>
    <w:rsid w:val="004B5C8A"/>
    <w:rsid w:val="004B6046"/>
    <w:rsid w:val="004B66E0"/>
    <w:rsid w:val="004B6FB2"/>
    <w:rsid w:val="004B73D4"/>
    <w:rsid w:val="004B7B78"/>
    <w:rsid w:val="004C0749"/>
    <w:rsid w:val="004C07F4"/>
    <w:rsid w:val="004C13EB"/>
    <w:rsid w:val="004C19A0"/>
    <w:rsid w:val="004C19BA"/>
    <w:rsid w:val="004C21E3"/>
    <w:rsid w:val="004C224E"/>
    <w:rsid w:val="004C29A9"/>
    <w:rsid w:val="004C2B79"/>
    <w:rsid w:val="004C2CFD"/>
    <w:rsid w:val="004C3031"/>
    <w:rsid w:val="004C4386"/>
    <w:rsid w:val="004C4E26"/>
    <w:rsid w:val="004C5E83"/>
    <w:rsid w:val="004C5EE4"/>
    <w:rsid w:val="004C6559"/>
    <w:rsid w:val="004C668D"/>
    <w:rsid w:val="004D0B13"/>
    <w:rsid w:val="004D0E47"/>
    <w:rsid w:val="004D1CCC"/>
    <w:rsid w:val="004D1DCA"/>
    <w:rsid w:val="004D250C"/>
    <w:rsid w:val="004D4065"/>
    <w:rsid w:val="004D4956"/>
    <w:rsid w:val="004D497A"/>
    <w:rsid w:val="004D4E1D"/>
    <w:rsid w:val="004D5054"/>
    <w:rsid w:val="004D548B"/>
    <w:rsid w:val="004D609C"/>
    <w:rsid w:val="004D6327"/>
    <w:rsid w:val="004D72EC"/>
    <w:rsid w:val="004E0329"/>
    <w:rsid w:val="004E086C"/>
    <w:rsid w:val="004E09BE"/>
    <w:rsid w:val="004E12FC"/>
    <w:rsid w:val="004E1331"/>
    <w:rsid w:val="004E1A5E"/>
    <w:rsid w:val="004E1E29"/>
    <w:rsid w:val="004E1E4E"/>
    <w:rsid w:val="004E1F3B"/>
    <w:rsid w:val="004E2475"/>
    <w:rsid w:val="004E2503"/>
    <w:rsid w:val="004E2F52"/>
    <w:rsid w:val="004E43C4"/>
    <w:rsid w:val="004E4698"/>
    <w:rsid w:val="004E56AD"/>
    <w:rsid w:val="004E5FA7"/>
    <w:rsid w:val="004E64B9"/>
    <w:rsid w:val="004E663F"/>
    <w:rsid w:val="004E6AD3"/>
    <w:rsid w:val="004E6DC8"/>
    <w:rsid w:val="004E76FF"/>
    <w:rsid w:val="004E78F8"/>
    <w:rsid w:val="004E7A19"/>
    <w:rsid w:val="004E7AE1"/>
    <w:rsid w:val="004E7E33"/>
    <w:rsid w:val="004E7EFE"/>
    <w:rsid w:val="004F0204"/>
    <w:rsid w:val="004F060A"/>
    <w:rsid w:val="004F0E90"/>
    <w:rsid w:val="004F15CD"/>
    <w:rsid w:val="004F1635"/>
    <w:rsid w:val="004F1FE9"/>
    <w:rsid w:val="004F1FFA"/>
    <w:rsid w:val="004F3138"/>
    <w:rsid w:val="004F39D2"/>
    <w:rsid w:val="004F3B1B"/>
    <w:rsid w:val="004F3ECA"/>
    <w:rsid w:val="004F49F1"/>
    <w:rsid w:val="004F4BB5"/>
    <w:rsid w:val="004F4D03"/>
    <w:rsid w:val="004F4ECC"/>
    <w:rsid w:val="004F53BC"/>
    <w:rsid w:val="004F5492"/>
    <w:rsid w:val="004F57A9"/>
    <w:rsid w:val="004F58C0"/>
    <w:rsid w:val="004F5EA7"/>
    <w:rsid w:val="004F61A1"/>
    <w:rsid w:val="004F640F"/>
    <w:rsid w:val="004F7B56"/>
    <w:rsid w:val="0050071B"/>
    <w:rsid w:val="005018F5"/>
    <w:rsid w:val="0050249A"/>
    <w:rsid w:val="00502A2D"/>
    <w:rsid w:val="00503761"/>
    <w:rsid w:val="00503A5F"/>
    <w:rsid w:val="005047E3"/>
    <w:rsid w:val="00504808"/>
    <w:rsid w:val="00504FF5"/>
    <w:rsid w:val="00505359"/>
    <w:rsid w:val="005056F1"/>
    <w:rsid w:val="00505839"/>
    <w:rsid w:val="00506554"/>
    <w:rsid w:val="0050686B"/>
    <w:rsid w:val="005076FC"/>
    <w:rsid w:val="00507DCC"/>
    <w:rsid w:val="00507EE7"/>
    <w:rsid w:val="00510001"/>
    <w:rsid w:val="005105A1"/>
    <w:rsid w:val="005105BA"/>
    <w:rsid w:val="0051066F"/>
    <w:rsid w:val="00510768"/>
    <w:rsid w:val="00511522"/>
    <w:rsid w:val="005117F4"/>
    <w:rsid w:val="00511F76"/>
    <w:rsid w:val="005124F4"/>
    <w:rsid w:val="005128DE"/>
    <w:rsid w:val="00512CCB"/>
    <w:rsid w:val="00512D48"/>
    <w:rsid w:val="00512E82"/>
    <w:rsid w:val="0051346C"/>
    <w:rsid w:val="00513B46"/>
    <w:rsid w:val="00513D2F"/>
    <w:rsid w:val="005141E0"/>
    <w:rsid w:val="005145EE"/>
    <w:rsid w:val="00514888"/>
    <w:rsid w:val="005148F5"/>
    <w:rsid w:val="005152B3"/>
    <w:rsid w:val="00515847"/>
    <w:rsid w:val="0051584D"/>
    <w:rsid w:val="00516315"/>
    <w:rsid w:val="0051722C"/>
    <w:rsid w:val="00517E0A"/>
    <w:rsid w:val="00520114"/>
    <w:rsid w:val="0052015C"/>
    <w:rsid w:val="005207F1"/>
    <w:rsid w:val="00520AF7"/>
    <w:rsid w:val="00521709"/>
    <w:rsid w:val="00522017"/>
    <w:rsid w:val="005220BD"/>
    <w:rsid w:val="00522C37"/>
    <w:rsid w:val="00522ED6"/>
    <w:rsid w:val="005238CA"/>
    <w:rsid w:val="00523DC2"/>
    <w:rsid w:val="005253D0"/>
    <w:rsid w:val="00525552"/>
    <w:rsid w:val="00525574"/>
    <w:rsid w:val="00525596"/>
    <w:rsid w:val="00525CB7"/>
    <w:rsid w:val="005269A6"/>
    <w:rsid w:val="00527757"/>
    <w:rsid w:val="005279DB"/>
    <w:rsid w:val="00527CF3"/>
    <w:rsid w:val="00530C94"/>
    <w:rsid w:val="00530E34"/>
    <w:rsid w:val="00530FE8"/>
    <w:rsid w:val="00531141"/>
    <w:rsid w:val="005314D5"/>
    <w:rsid w:val="005317B3"/>
    <w:rsid w:val="00531887"/>
    <w:rsid w:val="00533B36"/>
    <w:rsid w:val="00534A56"/>
    <w:rsid w:val="00534CCB"/>
    <w:rsid w:val="00536352"/>
    <w:rsid w:val="00537028"/>
    <w:rsid w:val="0053711F"/>
    <w:rsid w:val="00540DF7"/>
    <w:rsid w:val="00541131"/>
    <w:rsid w:val="005422A8"/>
    <w:rsid w:val="005436B1"/>
    <w:rsid w:val="00544597"/>
    <w:rsid w:val="00544BE6"/>
    <w:rsid w:val="005452BE"/>
    <w:rsid w:val="00545818"/>
    <w:rsid w:val="00545A20"/>
    <w:rsid w:val="00546401"/>
    <w:rsid w:val="005471A5"/>
    <w:rsid w:val="00547C3C"/>
    <w:rsid w:val="00550C89"/>
    <w:rsid w:val="005515D8"/>
    <w:rsid w:val="0055167C"/>
    <w:rsid w:val="00551894"/>
    <w:rsid w:val="00551CE2"/>
    <w:rsid w:val="00551E62"/>
    <w:rsid w:val="005520BA"/>
    <w:rsid w:val="005520C2"/>
    <w:rsid w:val="00552430"/>
    <w:rsid w:val="005529FF"/>
    <w:rsid w:val="005537D0"/>
    <w:rsid w:val="00553842"/>
    <w:rsid w:val="00553961"/>
    <w:rsid w:val="00553E2A"/>
    <w:rsid w:val="00554CAC"/>
    <w:rsid w:val="00554E91"/>
    <w:rsid w:val="00555131"/>
    <w:rsid w:val="00555BA6"/>
    <w:rsid w:val="00555C50"/>
    <w:rsid w:val="00555EEE"/>
    <w:rsid w:val="00555FDE"/>
    <w:rsid w:val="0055622B"/>
    <w:rsid w:val="0055668A"/>
    <w:rsid w:val="0055679F"/>
    <w:rsid w:val="00556B8E"/>
    <w:rsid w:val="00557162"/>
    <w:rsid w:val="0055783E"/>
    <w:rsid w:val="0056010C"/>
    <w:rsid w:val="00560B53"/>
    <w:rsid w:val="005611C1"/>
    <w:rsid w:val="00561490"/>
    <w:rsid w:val="00562414"/>
    <w:rsid w:val="00562ED5"/>
    <w:rsid w:val="00563CAB"/>
    <w:rsid w:val="005641E5"/>
    <w:rsid w:val="00564A9A"/>
    <w:rsid w:val="00564CCD"/>
    <w:rsid w:val="0056518D"/>
    <w:rsid w:val="00565BB4"/>
    <w:rsid w:val="00565CB2"/>
    <w:rsid w:val="00565E13"/>
    <w:rsid w:val="005661C2"/>
    <w:rsid w:val="00566DFA"/>
    <w:rsid w:val="00566EFE"/>
    <w:rsid w:val="00567204"/>
    <w:rsid w:val="00567302"/>
    <w:rsid w:val="0057047B"/>
    <w:rsid w:val="0057095E"/>
    <w:rsid w:val="00570ABA"/>
    <w:rsid w:val="005710EF"/>
    <w:rsid w:val="005714D4"/>
    <w:rsid w:val="00571D56"/>
    <w:rsid w:val="005723DE"/>
    <w:rsid w:val="005729C5"/>
    <w:rsid w:val="00572B64"/>
    <w:rsid w:val="00572BC0"/>
    <w:rsid w:val="00572DAD"/>
    <w:rsid w:val="00572E51"/>
    <w:rsid w:val="005734E2"/>
    <w:rsid w:val="00573A79"/>
    <w:rsid w:val="005740FF"/>
    <w:rsid w:val="00574FA4"/>
    <w:rsid w:val="005752CE"/>
    <w:rsid w:val="005755EC"/>
    <w:rsid w:val="00575834"/>
    <w:rsid w:val="005759C9"/>
    <w:rsid w:val="00576379"/>
    <w:rsid w:val="005765C7"/>
    <w:rsid w:val="0057754D"/>
    <w:rsid w:val="0057775A"/>
    <w:rsid w:val="005777C1"/>
    <w:rsid w:val="00577817"/>
    <w:rsid w:val="0058039B"/>
    <w:rsid w:val="0058068E"/>
    <w:rsid w:val="00581062"/>
    <w:rsid w:val="005824E2"/>
    <w:rsid w:val="00582C52"/>
    <w:rsid w:val="005836B7"/>
    <w:rsid w:val="0058373E"/>
    <w:rsid w:val="00583CCB"/>
    <w:rsid w:val="00583EB5"/>
    <w:rsid w:val="00584C42"/>
    <w:rsid w:val="005851E3"/>
    <w:rsid w:val="005853EC"/>
    <w:rsid w:val="00585520"/>
    <w:rsid w:val="005855DB"/>
    <w:rsid w:val="00585BEC"/>
    <w:rsid w:val="00586485"/>
    <w:rsid w:val="00586621"/>
    <w:rsid w:val="0058683B"/>
    <w:rsid w:val="0058720E"/>
    <w:rsid w:val="00587B34"/>
    <w:rsid w:val="005905F6"/>
    <w:rsid w:val="005906BB"/>
    <w:rsid w:val="0059082E"/>
    <w:rsid w:val="00590E5A"/>
    <w:rsid w:val="00591191"/>
    <w:rsid w:val="00591755"/>
    <w:rsid w:val="00591AD9"/>
    <w:rsid w:val="00591CD1"/>
    <w:rsid w:val="00591D59"/>
    <w:rsid w:val="00592370"/>
    <w:rsid w:val="005924F1"/>
    <w:rsid w:val="0059250D"/>
    <w:rsid w:val="005927FB"/>
    <w:rsid w:val="00592EE8"/>
    <w:rsid w:val="0059401A"/>
    <w:rsid w:val="0059404D"/>
    <w:rsid w:val="00594D82"/>
    <w:rsid w:val="00595037"/>
    <w:rsid w:val="00596667"/>
    <w:rsid w:val="0059680B"/>
    <w:rsid w:val="00596BF4"/>
    <w:rsid w:val="005A0021"/>
    <w:rsid w:val="005A17E5"/>
    <w:rsid w:val="005A1822"/>
    <w:rsid w:val="005A2244"/>
    <w:rsid w:val="005A3187"/>
    <w:rsid w:val="005A322E"/>
    <w:rsid w:val="005A33CE"/>
    <w:rsid w:val="005A3DE8"/>
    <w:rsid w:val="005A423D"/>
    <w:rsid w:val="005A49AE"/>
    <w:rsid w:val="005A4CFB"/>
    <w:rsid w:val="005A54B7"/>
    <w:rsid w:val="005A616A"/>
    <w:rsid w:val="005A639B"/>
    <w:rsid w:val="005A6739"/>
    <w:rsid w:val="005A74B5"/>
    <w:rsid w:val="005B001F"/>
    <w:rsid w:val="005B03E7"/>
    <w:rsid w:val="005B0405"/>
    <w:rsid w:val="005B044E"/>
    <w:rsid w:val="005B19AF"/>
    <w:rsid w:val="005B1C5F"/>
    <w:rsid w:val="005B1EC9"/>
    <w:rsid w:val="005B21B9"/>
    <w:rsid w:val="005B3AC3"/>
    <w:rsid w:val="005B3F45"/>
    <w:rsid w:val="005B404C"/>
    <w:rsid w:val="005B4126"/>
    <w:rsid w:val="005B44AD"/>
    <w:rsid w:val="005B45BF"/>
    <w:rsid w:val="005B469A"/>
    <w:rsid w:val="005B46B4"/>
    <w:rsid w:val="005B48E4"/>
    <w:rsid w:val="005B5063"/>
    <w:rsid w:val="005B59E3"/>
    <w:rsid w:val="005B5C22"/>
    <w:rsid w:val="005B6048"/>
    <w:rsid w:val="005B68AB"/>
    <w:rsid w:val="005B6DAE"/>
    <w:rsid w:val="005B6FBE"/>
    <w:rsid w:val="005B7558"/>
    <w:rsid w:val="005B76B5"/>
    <w:rsid w:val="005B7837"/>
    <w:rsid w:val="005C04EC"/>
    <w:rsid w:val="005C0757"/>
    <w:rsid w:val="005C0BF3"/>
    <w:rsid w:val="005C0EEE"/>
    <w:rsid w:val="005C1D05"/>
    <w:rsid w:val="005C22CE"/>
    <w:rsid w:val="005C2E49"/>
    <w:rsid w:val="005C3994"/>
    <w:rsid w:val="005C4630"/>
    <w:rsid w:val="005C4EA4"/>
    <w:rsid w:val="005C5954"/>
    <w:rsid w:val="005C5D13"/>
    <w:rsid w:val="005C6A4A"/>
    <w:rsid w:val="005D01F7"/>
    <w:rsid w:val="005D0690"/>
    <w:rsid w:val="005D06B7"/>
    <w:rsid w:val="005D0C44"/>
    <w:rsid w:val="005D1060"/>
    <w:rsid w:val="005D141B"/>
    <w:rsid w:val="005D146E"/>
    <w:rsid w:val="005D2679"/>
    <w:rsid w:val="005D29F7"/>
    <w:rsid w:val="005D2AFA"/>
    <w:rsid w:val="005D3743"/>
    <w:rsid w:val="005D4039"/>
    <w:rsid w:val="005D4375"/>
    <w:rsid w:val="005D4712"/>
    <w:rsid w:val="005D4733"/>
    <w:rsid w:val="005D4789"/>
    <w:rsid w:val="005D5668"/>
    <w:rsid w:val="005D57C7"/>
    <w:rsid w:val="005D616A"/>
    <w:rsid w:val="005D6AE1"/>
    <w:rsid w:val="005D7097"/>
    <w:rsid w:val="005D7B60"/>
    <w:rsid w:val="005E0E7A"/>
    <w:rsid w:val="005E2BC7"/>
    <w:rsid w:val="005E365B"/>
    <w:rsid w:val="005E392F"/>
    <w:rsid w:val="005E3CD4"/>
    <w:rsid w:val="005E463C"/>
    <w:rsid w:val="005E47FD"/>
    <w:rsid w:val="005E5569"/>
    <w:rsid w:val="005E577F"/>
    <w:rsid w:val="005E5BDC"/>
    <w:rsid w:val="005E6C1A"/>
    <w:rsid w:val="005E7919"/>
    <w:rsid w:val="005F0058"/>
    <w:rsid w:val="005F02DD"/>
    <w:rsid w:val="005F0376"/>
    <w:rsid w:val="005F1EAF"/>
    <w:rsid w:val="005F2AE5"/>
    <w:rsid w:val="005F2DC7"/>
    <w:rsid w:val="005F3061"/>
    <w:rsid w:val="005F38D6"/>
    <w:rsid w:val="005F3F4C"/>
    <w:rsid w:val="005F423F"/>
    <w:rsid w:val="005F4B60"/>
    <w:rsid w:val="005F5043"/>
    <w:rsid w:val="005F58E8"/>
    <w:rsid w:val="005F66F0"/>
    <w:rsid w:val="005F68C2"/>
    <w:rsid w:val="005F6E93"/>
    <w:rsid w:val="005F71BE"/>
    <w:rsid w:val="005F7933"/>
    <w:rsid w:val="0060077F"/>
    <w:rsid w:val="00600E09"/>
    <w:rsid w:val="006011E1"/>
    <w:rsid w:val="00601542"/>
    <w:rsid w:val="006019D8"/>
    <w:rsid w:val="00601BBD"/>
    <w:rsid w:val="00602024"/>
    <w:rsid w:val="006025AD"/>
    <w:rsid w:val="0060273A"/>
    <w:rsid w:val="00603368"/>
    <w:rsid w:val="00603AE7"/>
    <w:rsid w:val="00603D8D"/>
    <w:rsid w:val="00603F01"/>
    <w:rsid w:val="00603FC2"/>
    <w:rsid w:val="006042A5"/>
    <w:rsid w:val="00604498"/>
    <w:rsid w:val="00604ABC"/>
    <w:rsid w:val="00604CE1"/>
    <w:rsid w:val="00604D8D"/>
    <w:rsid w:val="00604DBB"/>
    <w:rsid w:val="0060518F"/>
    <w:rsid w:val="00605F63"/>
    <w:rsid w:val="0060629E"/>
    <w:rsid w:val="00606343"/>
    <w:rsid w:val="00606994"/>
    <w:rsid w:val="006074F0"/>
    <w:rsid w:val="0060765F"/>
    <w:rsid w:val="00607E03"/>
    <w:rsid w:val="006104F2"/>
    <w:rsid w:val="00610521"/>
    <w:rsid w:val="0061123C"/>
    <w:rsid w:val="0061154C"/>
    <w:rsid w:val="006121B9"/>
    <w:rsid w:val="00612EA4"/>
    <w:rsid w:val="00613297"/>
    <w:rsid w:val="00614C25"/>
    <w:rsid w:val="00615098"/>
    <w:rsid w:val="0061558F"/>
    <w:rsid w:val="00615AE7"/>
    <w:rsid w:val="00616176"/>
    <w:rsid w:val="0061643D"/>
    <w:rsid w:val="00616E7F"/>
    <w:rsid w:val="006172E0"/>
    <w:rsid w:val="006174E9"/>
    <w:rsid w:val="006178F2"/>
    <w:rsid w:val="00617E33"/>
    <w:rsid w:val="00620172"/>
    <w:rsid w:val="006205FB"/>
    <w:rsid w:val="006212C4"/>
    <w:rsid w:val="00621612"/>
    <w:rsid w:val="00621F65"/>
    <w:rsid w:val="006234DC"/>
    <w:rsid w:val="006234E7"/>
    <w:rsid w:val="006237D7"/>
    <w:rsid w:val="00623B60"/>
    <w:rsid w:val="00623B8B"/>
    <w:rsid w:val="006247E2"/>
    <w:rsid w:val="00624CA5"/>
    <w:rsid w:val="00624DF5"/>
    <w:rsid w:val="00626A95"/>
    <w:rsid w:val="00626F81"/>
    <w:rsid w:val="006270F3"/>
    <w:rsid w:val="00627D2D"/>
    <w:rsid w:val="006300C4"/>
    <w:rsid w:val="00630ACC"/>
    <w:rsid w:val="006316D7"/>
    <w:rsid w:val="00631B4E"/>
    <w:rsid w:val="0063262E"/>
    <w:rsid w:val="00632883"/>
    <w:rsid w:val="00632DA9"/>
    <w:rsid w:val="00633774"/>
    <w:rsid w:val="00633E12"/>
    <w:rsid w:val="006343EC"/>
    <w:rsid w:val="006351EF"/>
    <w:rsid w:val="006353B5"/>
    <w:rsid w:val="0063542E"/>
    <w:rsid w:val="00635D9A"/>
    <w:rsid w:val="00636376"/>
    <w:rsid w:val="006367B0"/>
    <w:rsid w:val="006367CC"/>
    <w:rsid w:val="006368ED"/>
    <w:rsid w:val="00636B0D"/>
    <w:rsid w:val="00636C27"/>
    <w:rsid w:val="0063709C"/>
    <w:rsid w:val="00637509"/>
    <w:rsid w:val="00637603"/>
    <w:rsid w:val="006376B6"/>
    <w:rsid w:val="00637D67"/>
    <w:rsid w:val="00640177"/>
    <w:rsid w:val="0064055E"/>
    <w:rsid w:val="00641749"/>
    <w:rsid w:val="006417EF"/>
    <w:rsid w:val="00641932"/>
    <w:rsid w:val="006430C6"/>
    <w:rsid w:val="0064347F"/>
    <w:rsid w:val="006444FE"/>
    <w:rsid w:val="00644F81"/>
    <w:rsid w:val="006452BE"/>
    <w:rsid w:val="00645763"/>
    <w:rsid w:val="00645F48"/>
    <w:rsid w:val="00646060"/>
    <w:rsid w:val="00646151"/>
    <w:rsid w:val="0064702B"/>
    <w:rsid w:val="00647357"/>
    <w:rsid w:val="00647ADF"/>
    <w:rsid w:val="00650B56"/>
    <w:rsid w:val="00650FDE"/>
    <w:rsid w:val="006513F2"/>
    <w:rsid w:val="006514BF"/>
    <w:rsid w:val="006514F3"/>
    <w:rsid w:val="00651AEE"/>
    <w:rsid w:val="00652246"/>
    <w:rsid w:val="00652B28"/>
    <w:rsid w:val="00652C75"/>
    <w:rsid w:val="006534FA"/>
    <w:rsid w:val="00653586"/>
    <w:rsid w:val="006553CF"/>
    <w:rsid w:val="00655772"/>
    <w:rsid w:val="0065588F"/>
    <w:rsid w:val="006558C2"/>
    <w:rsid w:val="00655A4F"/>
    <w:rsid w:val="0065701D"/>
    <w:rsid w:val="006572C4"/>
    <w:rsid w:val="00657AE6"/>
    <w:rsid w:val="00660CAE"/>
    <w:rsid w:val="00660FBC"/>
    <w:rsid w:val="00661129"/>
    <w:rsid w:val="00661479"/>
    <w:rsid w:val="0066149E"/>
    <w:rsid w:val="0066164F"/>
    <w:rsid w:val="0066180A"/>
    <w:rsid w:val="00662400"/>
    <w:rsid w:val="00663064"/>
    <w:rsid w:val="00663B09"/>
    <w:rsid w:val="00663D25"/>
    <w:rsid w:val="00663EA5"/>
    <w:rsid w:val="00664A20"/>
    <w:rsid w:val="00665487"/>
    <w:rsid w:val="006655A4"/>
    <w:rsid w:val="00666179"/>
    <w:rsid w:val="0066655E"/>
    <w:rsid w:val="00666F2D"/>
    <w:rsid w:val="00666F67"/>
    <w:rsid w:val="00667D1C"/>
    <w:rsid w:val="006708F7"/>
    <w:rsid w:val="00670AF5"/>
    <w:rsid w:val="00671252"/>
    <w:rsid w:val="006717EB"/>
    <w:rsid w:val="0067195C"/>
    <w:rsid w:val="00671C9F"/>
    <w:rsid w:val="00673974"/>
    <w:rsid w:val="00673CA2"/>
    <w:rsid w:val="00673D3A"/>
    <w:rsid w:val="00673F1F"/>
    <w:rsid w:val="006740EC"/>
    <w:rsid w:val="0067412F"/>
    <w:rsid w:val="0067476E"/>
    <w:rsid w:val="0067499F"/>
    <w:rsid w:val="0067553C"/>
    <w:rsid w:val="00675AF0"/>
    <w:rsid w:val="00675E62"/>
    <w:rsid w:val="00675F02"/>
    <w:rsid w:val="00676515"/>
    <w:rsid w:val="00676932"/>
    <w:rsid w:val="00676AE2"/>
    <w:rsid w:val="00677914"/>
    <w:rsid w:val="00677FA2"/>
    <w:rsid w:val="006813E8"/>
    <w:rsid w:val="0068167C"/>
    <w:rsid w:val="00681AF7"/>
    <w:rsid w:val="00681BAE"/>
    <w:rsid w:val="00682000"/>
    <w:rsid w:val="00682920"/>
    <w:rsid w:val="00682C23"/>
    <w:rsid w:val="00682CE1"/>
    <w:rsid w:val="00683497"/>
    <w:rsid w:val="0068375C"/>
    <w:rsid w:val="00683846"/>
    <w:rsid w:val="00683964"/>
    <w:rsid w:val="0068438E"/>
    <w:rsid w:val="00684484"/>
    <w:rsid w:val="006846D6"/>
    <w:rsid w:val="00684FE5"/>
    <w:rsid w:val="00685575"/>
    <w:rsid w:val="006855DC"/>
    <w:rsid w:val="00686299"/>
    <w:rsid w:val="006865FF"/>
    <w:rsid w:val="00686FC9"/>
    <w:rsid w:val="00690440"/>
    <w:rsid w:val="00690CFF"/>
    <w:rsid w:val="00690F75"/>
    <w:rsid w:val="006915BC"/>
    <w:rsid w:val="00691D9C"/>
    <w:rsid w:val="0069227A"/>
    <w:rsid w:val="006923CB"/>
    <w:rsid w:val="0069361D"/>
    <w:rsid w:val="00693AB7"/>
    <w:rsid w:val="00694076"/>
    <w:rsid w:val="00694437"/>
    <w:rsid w:val="006944BF"/>
    <w:rsid w:val="006952EF"/>
    <w:rsid w:val="00695395"/>
    <w:rsid w:val="006966B6"/>
    <w:rsid w:val="00696A58"/>
    <w:rsid w:val="00696C10"/>
    <w:rsid w:val="00696E6D"/>
    <w:rsid w:val="0069701A"/>
    <w:rsid w:val="0069725F"/>
    <w:rsid w:val="00697276"/>
    <w:rsid w:val="00697BBB"/>
    <w:rsid w:val="006A0520"/>
    <w:rsid w:val="006A06FC"/>
    <w:rsid w:val="006A0BB2"/>
    <w:rsid w:val="006A1D68"/>
    <w:rsid w:val="006A1DA8"/>
    <w:rsid w:val="006A23D7"/>
    <w:rsid w:val="006A2750"/>
    <w:rsid w:val="006A2B0A"/>
    <w:rsid w:val="006A2B0D"/>
    <w:rsid w:val="006A2F09"/>
    <w:rsid w:val="006A3EE1"/>
    <w:rsid w:val="006A592E"/>
    <w:rsid w:val="006A5C2A"/>
    <w:rsid w:val="006A5D00"/>
    <w:rsid w:val="006A6336"/>
    <w:rsid w:val="006A66F2"/>
    <w:rsid w:val="006A7D89"/>
    <w:rsid w:val="006B0244"/>
    <w:rsid w:val="006B0555"/>
    <w:rsid w:val="006B09E3"/>
    <w:rsid w:val="006B0DCD"/>
    <w:rsid w:val="006B1593"/>
    <w:rsid w:val="006B16EC"/>
    <w:rsid w:val="006B1CFD"/>
    <w:rsid w:val="006B2CF3"/>
    <w:rsid w:val="006B3592"/>
    <w:rsid w:val="006B39E7"/>
    <w:rsid w:val="006B5077"/>
    <w:rsid w:val="006B55BB"/>
    <w:rsid w:val="006B58AC"/>
    <w:rsid w:val="006B59B1"/>
    <w:rsid w:val="006B5C29"/>
    <w:rsid w:val="006B6170"/>
    <w:rsid w:val="006B6423"/>
    <w:rsid w:val="006B6A4E"/>
    <w:rsid w:val="006B6C6E"/>
    <w:rsid w:val="006B707C"/>
    <w:rsid w:val="006B72F8"/>
    <w:rsid w:val="006B7780"/>
    <w:rsid w:val="006B7A45"/>
    <w:rsid w:val="006C098C"/>
    <w:rsid w:val="006C0A15"/>
    <w:rsid w:val="006C193B"/>
    <w:rsid w:val="006C1BB0"/>
    <w:rsid w:val="006C2237"/>
    <w:rsid w:val="006C2327"/>
    <w:rsid w:val="006C238F"/>
    <w:rsid w:val="006C328D"/>
    <w:rsid w:val="006C39A8"/>
    <w:rsid w:val="006C3BFF"/>
    <w:rsid w:val="006C44DA"/>
    <w:rsid w:val="006C4AD8"/>
    <w:rsid w:val="006C58E9"/>
    <w:rsid w:val="006C5D7B"/>
    <w:rsid w:val="006C6BAE"/>
    <w:rsid w:val="006C7E93"/>
    <w:rsid w:val="006D0771"/>
    <w:rsid w:val="006D089A"/>
    <w:rsid w:val="006D0EDF"/>
    <w:rsid w:val="006D138C"/>
    <w:rsid w:val="006D1972"/>
    <w:rsid w:val="006D1AA2"/>
    <w:rsid w:val="006D1CA9"/>
    <w:rsid w:val="006D2EF8"/>
    <w:rsid w:val="006D439C"/>
    <w:rsid w:val="006D4400"/>
    <w:rsid w:val="006D4B1B"/>
    <w:rsid w:val="006D4CAA"/>
    <w:rsid w:val="006D56AE"/>
    <w:rsid w:val="006D60A6"/>
    <w:rsid w:val="006D629A"/>
    <w:rsid w:val="006D63AF"/>
    <w:rsid w:val="006D6434"/>
    <w:rsid w:val="006D716A"/>
    <w:rsid w:val="006D72A2"/>
    <w:rsid w:val="006D759D"/>
    <w:rsid w:val="006D7ACB"/>
    <w:rsid w:val="006D7BC9"/>
    <w:rsid w:val="006E08FB"/>
    <w:rsid w:val="006E16F2"/>
    <w:rsid w:val="006E171F"/>
    <w:rsid w:val="006E17B9"/>
    <w:rsid w:val="006E1D94"/>
    <w:rsid w:val="006E24A2"/>
    <w:rsid w:val="006E3005"/>
    <w:rsid w:val="006E335E"/>
    <w:rsid w:val="006E47ED"/>
    <w:rsid w:val="006E51EA"/>
    <w:rsid w:val="006E52C5"/>
    <w:rsid w:val="006E5ABF"/>
    <w:rsid w:val="006E5C8D"/>
    <w:rsid w:val="006E601E"/>
    <w:rsid w:val="006E68E3"/>
    <w:rsid w:val="006E7B5D"/>
    <w:rsid w:val="006F05FE"/>
    <w:rsid w:val="006F0B75"/>
    <w:rsid w:val="006F0CF0"/>
    <w:rsid w:val="006F10B6"/>
    <w:rsid w:val="006F12D2"/>
    <w:rsid w:val="006F3636"/>
    <w:rsid w:val="006F56DD"/>
    <w:rsid w:val="006F573B"/>
    <w:rsid w:val="006F57A7"/>
    <w:rsid w:val="006F5A5F"/>
    <w:rsid w:val="006F5BEB"/>
    <w:rsid w:val="006F661F"/>
    <w:rsid w:val="006F747D"/>
    <w:rsid w:val="006F76D6"/>
    <w:rsid w:val="006F7CED"/>
    <w:rsid w:val="006F7EB3"/>
    <w:rsid w:val="00700D04"/>
    <w:rsid w:val="00700D9F"/>
    <w:rsid w:val="00701B4F"/>
    <w:rsid w:val="00701B88"/>
    <w:rsid w:val="00701D3A"/>
    <w:rsid w:val="00701F14"/>
    <w:rsid w:val="00701F2E"/>
    <w:rsid w:val="00703A2E"/>
    <w:rsid w:val="007046C6"/>
    <w:rsid w:val="007052B4"/>
    <w:rsid w:val="00705B66"/>
    <w:rsid w:val="00705B80"/>
    <w:rsid w:val="007076D8"/>
    <w:rsid w:val="00710302"/>
    <w:rsid w:val="00710904"/>
    <w:rsid w:val="00710A18"/>
    <w:rsid w:val="00710A6C"/>
    <w:rsid w:val="00710D60"/>
    <w:rsid w:val="00710EC0"/>
    <w:rsid w:val="00711583"/>
    <w:rsid w:val="00712327"/>
    <w:rsid w:val="00712EA1"/>
    <w:rsid w:val="00712F51"/>
    <w:rsid w:val="007131F8"/>
    <w:rsid w:val="00713206"/>
    <w:rsid w:val="00714E33"/>
    <w:rsid w:val="007150D1"/>
    <w:rsid w:val="007151C4"/>
    <w:rsid w:val="00716433"/>
    <w:rsid w:val="0071657F"/>
    <w:rsid w:val="00716DBD"/>
    <w:rsid w:val="00717E80"/>
    <w:rsid w:val="00720018"/>
    <w:rsid w:val="00720DB7"/>
    <w:rsid w:val="00720DF2"/>
    <w:rsid w:val="007217A0"/>
    <w:rsid w:val="00721D2D"/>
    <w:rsid w:val="00722048"/>
    <w:rsid w:val="007224B1"/>
    <w:rsid w:val="00722599"/>
    <w:rsid w:val="00722F21"/>
    <w:rsid w:val="00722FB8"/>
    <w:rsid w:val="007237B5"/>
    <w:rsid w:val="00723F6E"/>
    <w:rsid w:val="00724147"/>
    <w:rsid w:val="007245AF"/>
    <w:rsid w:val="00724736"/>
    <w:rsid w:val="00724AA5"/>
    <w:rsid w:val="00724D08"/>
    <w:rsid w:val="00724EF0"/>
    <w:rsid w:val="00725A60"/>
    <w:rsid w:val="00725C07"/>
    <w:rsid w:val="0072650D"/>
    <w:rsid w:val="0072677C"/>
    <w:rsid w:val="007267EC"/>
    <w:rsid w:val="00726B4A"/>
    <w:rsid w:val="00726D9F"/>
    <w:rsid w:val="00726EDB"/>
    <w:rsid w:val="00727886"/>
    <w:rsid w:val="007279FD"/>
    <w:rsid w:val="00727C51"/>
    <w:rsid w:val="007304A3"/>
    <w:rsid w:val="00730FB2"/>
    <w:rsid w:val="007326AD"/>
    <w:rsid w:val="00733578"/>
    <w:rsid w:val="00733BFA"/>
    <w:rsid w:val="00733EED"/>
    <w:rsid w:val="00734304"/>
    <w:rsid w:val="0073479E"/>
    <w:rsid w:val="007347ED"/>
    <w:rsid w:val="00735059"/>
    <w:rsid w:val="0073544E"/>
    <w:rsid w:val="007355E5"/>
    <w:rsid w:val="00735CDE"/>
    <w:rsid w:val="0073652B"/>
    <w:rsid w:val="00736C9E"/>
    <w:rsid w:val="0073729F"/>
    <w:rsid w:val="00737A15"/>
    <w:rsid w:val="0074045E"/>
    <w:rsid w:val="00740693"/>
    <w:rsid w:val="00741378"/>
    <w:rsid w:val="00741DC2"/>
    <w:rsid w:val="00742654"/>
    <w:rsid w:val="00742DC2"/>
    <w:rsid w:val="007434CE"/>
    <w:rsid w:val="0074361C"/>
    <w:rsid w:val="00743707"/>
    <w:rsid w:val="007437C7"/>
    <w:rsid w:val="007445A1"/>
    <w:rsid w:val="00744B16"/>
    <w:rsid w:val="00744BBC"/>
    <w:rsid w:val="00744E6B"/>
    <w:rsid w:val="007453EB"/>
    <w:rsid w:val="0074579F"/>
    <w:rsid w:val="0074584D"/>
    <w:rsid w:val="00746B7C"/>
    <w:rsid w:val="00746F75"/>
    <w:rsid w:val="007471AB"/>
    <w:rsid w:val="0074769F"/>
    <w:rsid w:val="00747990"/>
    <w:rsid w:val="00747AA1"/>
    <w:rsid w:val="00747F8F"/>
    <w:rsid w:val="0075005B"/>
    <w:rsid w:val="00750551"/>
    <w:rsid w:val="00750E87"/>
    <w:rsid w:val="00751C62"/>
    <w:rsid w:val="00752347"/>
    <w:rsid w:val="00753306"/>
    <w:rsid w:val="00753644"/>
    <w:rsid w:val="00753F63"/>
    <w:rsid w:val="00754208"/>
    <w:rsid w:val="0075460D"/>
    <w:rsid w:val="00754DD2"/>
    <w:rsid w:val="00754E32"/>
    <w:rsid w:val="0075594C"/>
    <w:rsid w:val="00755C32"/>
    <w:rsid w:val="00755DD4"/>
    <w:rsid w:val="0075698B"/>
    <w:rsid w:val="0076009C"/>
    <w:rsid w:val="007600EA"/>
    <w:rsid w:val="00760D67"/>
    <w:rsid w:val="00761123"/>
    <w:rsid w:val="00761B56"/>
    <w:rsid w:val="00762FD0"/>
    <w:rsid w:val="00763303"/>
    <w:rsid w:val="00764ED8"/>
    <w:rsid w:val="00765169"/>
    <w:rsid w:val="00766B06"/>
    <w:rsid w:val="00766BDF"/>
    <w:rsid w:val="00767557"/>
    <w:rsid w:val="00767587"/>
    <w:rsid w:val="007675CF"/>
    <w:rsid w:val="00770499"/>
    <w:rsid w:val="0077088E"/>
    <w:rsid w:val="00770D99"/>
    <w:rsid w:val="00771025"/>
    <w:rsid w:val="007717AB"/>
    <w:rsid w:val="00771906"/>
    <w:rsid w:val="00771E00"/>
    <w:rsid w:val="00771FF5"/>
    <w:rsid w:val="00772316"/>
    <w:rsid w:val="007726CF"/>
    <w:rsid w:val="00772B04"/>
    <w:rsid w:val="00773B71"/>
    <w:rsid w:val="00773DBC"/>
    <w:rsid w:val="00773E6C"/>
    <w:rsid w:val="00774624"/>
    <w:rsid w:val="00774B04"/>
    <w:rsid w:val="00774DA8"/>
    <w:rsid w:val="00775964"/>
    <w:rsid w:val="00775982"/>
    <w:rsid w:val="007775E2"/>
    <w:rsid w:val="00777F44"/>
    <w:rsid w:val="00780375"/>
    <w:rsid w:val="00780490"/>
    <w:rsid w:val="00780E52"/>
    <w:rsid w:val="0078141C"/>
    <w:rsid w:val="007818B8"/>
    <w:rsid w:val="00781C91"/>
    <w:rsid w:val="00781E2C"/>
    <w:rsid w:val="00781EC6"/>
    <w:rsid w:val="00782187"/>
    <w:rsid w:val="007827CC"/>
    <w:rsid w:val="0078314C"/>
    <w:rsid w:val="00783D42"/>
    <w:rsid w:val="00784DE1"/>
    <w:rsid w:val="00784E25"/>
    <w:rsid w:val="00785413"/>
    <w:rsid w:val="00785584"/>
    <w:rsid w:val="007858C9"/>
    <w:rsid w:val="00785BF8"/>
    <w:rsid w:val="007861DE"/>
    <w:rsid w:val="00786796"/>
    <w:rsid w:val="00786B2E"/>
    <w:rsid w:val="00786D57"/>
    <w:rsid w:val="00786D85"/>
    <w:rsid w:val="00786ED6"/>
    <w:rsid w:val="00787ECE"/>
    <w:rsid w:val="00791392"/>
    <w:rsid w:val="00791D6D"/>
    <w:rsid w:val="00792192"/>
    <w:rsid w:val="007927DD"/>
    <w:rsid w:val="00792984"/>
    <w:rsid w:val="00792BD6"/>
    <w:rsid w:val="00792CD4"/>
    <w:rsid w:val="0079329C"/>
    <w:rsid w:val="007933BF"/>
    <w:rsid w:val="00793613"/>
    <w:rsid w:val="00793B8A"/>
    <w:rsid w:val="00794682"/>
    <w:rsid w:val="00795251"/>
    <w:rsid w:val="00795749"/>
    <w:rsid w:val="007958F4"/>
    <w:rsid w:val="00796041"/>
    <w:rsid w:val="0079631A"/>
    <w:rsid w:val="007975B8"/>
    <w:rsid w:val="00797605"/>
    <w:rsid w:val="007976ED"/>
    <w:rsid w:val="007A06CE"/>
    <w:rsid w:val="007A080E"/>
    <w:rsid w:val="007A11B4"/>
    <w:rsid w:val="007A158F"/>
    <w:rsid w:val="007A1AA1"/>
    <w:rsid w:val="007A21A4"/>
    <w:rsid w:val="007A26A5"/>
    <w:rsid w:val="007A29C0"/>
    <w:rsid w:val="007A3166"/>
    <w:rsid w:val="007A3CCD"/>
    <w:rsid w:val="007A41C6"/>
    <w:rsid w:val="007A463A"/>
    <w:rsid w:val="007A46D1"/>
    <w:rsid w:val="007A4AB0"/>
    <w:rsid w:val="007A4BF0"/>
    <w:rsid w:val="007A5081"/>
    <w:rsid w:val="007A529A"/>
    <w:rsid w:val="007A617C"/>
    <w:rsid w:val="007A69F9"/>
    <w:rsid w:val="007A6E6D"/>
    <w:rsid w:val="007A749C"/>
    <w:rsid w:val="007A7781"/>
    <w:rsid w:val="007A7827"/>
    <w:rsid w:val="007B0131"/>
    <w:rsid w:val="007B01F7"/>
    <w:rsid w:val="007B0CD3"/>
    <w:rsid w:val="007B0CF7"/>
    <w:rsid w:val="007B0EBD"/>
    <w:rsid w:val="007B139B"/>
    <w:rsid w:val="007B13CA"/>
    <w:rsid w:val="007B16A9"/>
    <w:rsid w:val="007B2715"/>
    <w:rsid w:val="007B2AB2"/>
    <w:rsid w:val="007B2D5E"/>
    <w:rsid w:val="007B40A3"/>
    <w:rsid w:val="007B452F"/>
    <w:rsid w:val="007B5FE3"/>
    <w:rsid w:val="007B6035"/>
    <w:rsid w:val="007B6055"/>
    <w:rsid w:val="007B62C6"/>
    <w:rsid w:val="007B6967"/>
    <w:rsid w:val="007B6985"/>
    <w:rsid w:val="007B6AE9"/>
    <w:rsid w:val="007C104C"/>
    <w:rsid w:val="007C11BF"/>
    <w:rsid w:val="007C1577"/>
    <w:rsid w:val="007C20DC"/>
    <w:rsid w:val="007C22EF"/>
    <w:rsid w:val="007C3AD3"/>
    <w:rsid w:val="007C3B93"/>
    <w:rsid w:val="007C3ECE"/>
    <w:rsid w:val="007C3FB1"/>
    <w:rsid w:val="007C528F"/>
    <w:rsid w:val="007C638A"/>
    <w:rsid w:val="007C666B"/>
    <w:rsid w:val="007C66FC"/>
    <w:rsid w:val="007C68DC"/>
    <w:rsid w:val="007C71C5"/>
    <w:rsid w:val="007C785D"/>
    <w:rsid w:val="007D04D5"/>
    <w:rsid w:val="007D1856"/>
    <w:rsid w:val="007D20CA"/>
    <w:rsid w:val="007D27F9"/>
    <w:rsid w:val="007D2961"/>
    <w:rsid w:val="007D3814"/>
    <w:rsid w:val="007D56B5"/>
    <w:rsid w:val="007D5736"/>
    <w:rsid w:val="007D5878"/>
    <w:rsid w:val="007D5FA8"/>
    <w:rsid w:val="007D6CED"/>
    <w:rsid w:val="007D7F9A"/>
    <w:rsid w:val="007E0239"/>
    <w:rsid w:val="007E0589"/>
    <w:rsid w:val="007E05A9"/>
    <w:rsid w:val="007E0DED"/>
    <w:rsid w:val="007E1ACF"/>
    <w:rsid w:val="007E24FA"/>
    <w:rsid w:val="007E26D4"/>
    <w:rsid w:val="007E2E23"/>
    <w:rsid w:val="007E372B"/>
    <w:rsid w:val="007E423A"/>
    <w:rsid w:val="007E45D6"/>
    <w:rsid w:val="007E5995"/>
    <w:rsid w:val="007E6C92"/>
    <w:rsid w:val="007E7541"/>
    <w:rsid w:val="007E79DB"/>
    <w:rsid w:val="007F08EE"/>
    <w:rsid w:val="007F0BB9"/>
    <w:rsid w:val="007F0CC9"/>
    <w:rsid w:val="007F0D40"/>
    <w:rsid w:val="007F0E50"/>
    <w:rsid w:val="007F14B7"/>
    <w:rsid w:val="007F19CF"/>
    <w:rsid w:val="007F1A58"/>
    <w:rsid w:val="007F1CF4"/>
    <w:rsid w:val="007F2085"/>
    <w:rsid w:val="007F3443"/>
    <w:rsid w:val="007F39B9"/>
    <w:rsid w:val="007F39EF"/>
    <w:rsid w:val="007F42C3"/>
    <w:rsid w:val="007F517F"/>
    <w:rsid w:val="007F5EE4"/>
    <w:rsid w:val="007F633C"/>
    <w:rsid w:val="007F6BF9"/>
    <w:rsid w:val="007F6CD4"/>
    <w:rsid w:val="007F7823"/>
    <w:rsid w:val="007F7864"/>
    <w:rsid w:val="007F7AFB"/>
    <w:rsid w:val="007F7B64"/>
    <w:rsid w:val="007F7E2B"/>
    <w:rsid w:val="00800000"/>
    <w:rsid w:val="008000AF"/>
    <w:rsid w:val="008004EC"/>
    <w:rsid w:val="00800991"/>
    <w:rsid w:val="0080129E"/>
    <w:rsid w:val="0080208B"/>
    <w:rsid w:val="008023AA"/>
    <w:rsid w:val="0080290B"/>
    <w:rsid w:val="00802AB1"/>
    <w:rsid w:val="008030FC"/>
    <w:rsid w:val="00803219"/>
    <w:rsid w:val="0080479C"/>
    <w:rsid w:val="00805F4A"/>
    <w:rsid w:val="0080685F"/>
    <w:rsid w:val="008079F2"/>
    <w:rsid w:val="00807A18"/>
    <w:rsid w:val="00807CEE"/>
    <w:rsid w:val="00810052"/>
    <w:rsid w:val="0081023C"/>
    <w:rsid w:val="008106F1"/>
    <w:rsid w:val="00812074"/>
    <w:rsid w:val="0081252A"/>
    <w:rsid w:val="00812559"/>
    <w:rsid w:val="00812858"/>
    <w:rsid w:val="00812B82"/>
    <w:rsid w:val="00812C6B"/>
    <w:rsid w:val="00812EAD"/>
    <w:rsid w:val="0081366D"/>
    <w:rsid w:val="008136DC"/>
    <w:rsid w:val="008138F4"/>
    <w:rsid w:val="0081443F"/>
    <w:rsid w:val="00814D1C"/>
    <w:rsid w:val="00814D21"/>
    <w:rsid w:val="00815604"/>
    <w:rsid w:val="00815943"/>
    <w:rsid w:val="008172B3"/>
    <w:rsid w:val="00817A09"/>
    <w:rsid w:val="008205BC"/>
    <w:rsid w:val="008206CB"/>
    <w:rsid w:val="00820FFA"/>
    <w:rsid w:val="0082114C"/>
    <w:rsid w:val="00821649"/>
    <w:rsid w:val="008227E0"/>
    <w:rsid w:val="00822C8C"/>
    <w:rsid w:val="008236DF"/>
    <w:rsid w:val="00823724"/>
    <w:rsid w:val="0082395F"/>
    <w:rsid w:val="00824ACB"/>
    <w:rsid w:val="00824E61"/>
    <w:rsid w:val="00825263"/>
    <w:rsid w:val="00825877"/>
    <w:rsid w:val="008259E1"/>
    <w:rsid w:val="008268F3"/>
    <w:rsid w:val="00826988"/>
    <w:rsid w:val="00826AC7"/>
    <w:rsid w:val="008273F6"/>
    <w:rsid w:val="00827469"/>
    <w:rsid w:val="00827FFE"/>
    <w:rsid w:val="008315C5"/>
    <w:rsid w:val="00831884"/>
    <w:rsid w:val="00832324"/>
    <w:rsid w:val="0083240C"/>
    <w:rsid w:val="0083253D"/>
    <w:rsid w:val="008327D6"/>
    <w:rsid w:val="00833F25"/>
    <w:rsid w:val="00834466"/>
    <w:rsid w:val="008344F3"/>
    <w:rsid w:val="0083477B"/>
    <w:rsid w:val="00834D1D"/>
    <w:rsid w:val="00834D37"/>
    <w:rsid w:val="00834F57"/>
    <w:rsid w:val="00834FF2"/>
    <w:rsid w:val="00835084"/>
    <w:rsid w:val="008350A1"/>
    <w:rsid w:val="00836098"/>
    <w:rsid w:val="008367C7"/>
    <w:rsid w:val="00837992"/>
    <w:rsid w:val="0084055B"/>
    <w:rsid w:val="00841673"/>
    <w:rsid w:val="00841752"/>
    <w:rsid w:val="008427D9"/>
    <w:rsid w:val="00842813"/>
    <w:rsid w:val="00842D76"/>
    <w:rsid w:val="00842EF3"/>
    <w:rsid w:val="00843113"/>
    <w:rsid w:val="00843BCE"/>
    <w:rsid w:val="00843E13"/>
    <w:rsid w:val="00844119"/>
    <w:rsid w:val="00844380"/>
    <w:rsid w:val="008448CB"/>
    <w:rsid w:val="00844E51"/>
    <w:rsid w:val="0084514D"/>
    <w:rsid w:val="00845844"/>
    <w:rsid w:val="00846691"/>
    <w:rsid w:val="00846D52"/>
    <w:rsid w:val="0084707D"/>
    <w:rsid w:val="008470BC"/>
    <w:rsid w:val="008471B7"/>
    <w:rsid w:val="008478A4"/>
    <w:rsid w:val="00850F29"/>
    <w:rsid w:val="00850F48"/>
    <w:rsid w:val="008522C1"/>
    <w:rsid w:val="0085254E"/>
    <w:rsid w:val="00853047"/>
    <w:rsid w:val="00853CFA"/>
    <w:rsid w:val="00854404"/>
    <w:rsid w:val="00854613"/>
    <w:rsid w:val="00854C0B"/>
    <w:rsid w:val="00855334"/>
    <w:rsid w:val="00855733"/>
    <w:rsid w:val="00857183"/>
    <w:rsid w:val="0085775B"/>
    <w:rsid w:val="00860889"/>
    <w:rsid w:val="00860ED2"/>
    <w:rsid w:val="00860FBF"/>
    <w:rsid w:val="008610D0"/>
    <w:rsid w:val="0086115E"/>
    <w:rsid w:val="008614B2"/>
    <w:rsid w:val="0086172E"/>
    <w:rsid w:val="0086286C"/>
    <w:rsid w:val="00862A04"/>
    <w:rsid w:val="00862B0F"/>
    <w:rsid w:val="00862F15"/>
    <w:rsid w:val="00863138"/>
    <w:rsid w:val="0086379A"/>
    <w:rsid w:val="00863B50"/>
    <w:rsid w:val="00863BCD"/>
    <w:rsid w:val="00864069"/>
    <w:rsid w:val="0086428C"/>
    <w:rsid w:val="00864A06"/>
    <w:rsid w:val="008653E7"/>
    <w:rsid w:val="00866AA2"/>
    <w:rsid w:val="008674A9"/>
    <w:rsid w:val="0086755B"/>
    <w:rsid w:val="0086761F"/>
    <w:rsid w:val="00867BF4"/>
    <w:rsid w:val="00867DB1"/>
    <w:rsid w:val="00870233"/>
    <w:rsid w:val="008702B2"/>
    <w:rsid w:val="008716DD"/>
    <w:rsid w:val="00871AC9"/>
    <w:rsid w:val="00872168"/>
    <w:rsid w:val="00872508"/>
    <w:rsid w:val="008727F5"/>
    <w:rsid w:val="0087285A"/>
    <w:rsid w:val="00874468"/>
    <w:rsid w:val="00874954"/>
    <w:rsid w:val="00874ECF"/>
    <w:rsid w:val="0087525F"/>
    <w:rsid w:val="008757D8"/>
    <w:rsid w:val="00875C8F"/>
    <w:rsid w:val="00875EE5"/>
    <w:rsid w:val="00876B41"/>
    <w:rsid w:val="00876C79"/>
    <w:rsid w:val="00876D98"/>
    <w:rsid w:val="00877150"/>
    <w:rsid w:val="008776AB"/>
    <w:rsid w:val="00877CDD"/>
    <w:rsid w:val="00880F3B"/>
    <w:rsid w:val="00881330"/>
    <w:rsid w:val="008819B5"/>
    <w:rsid w:val="00881B12"/>
    <w:rsid w:val="00882F4A"/>
    <w:rsid w:val="00883591"/>
    <w:rsid w:val="0088414D"/>
    <w:rsid w:val="008841F1"/>
    <w:rsid w:val="00884818"/>
    <w:rsid w:val="00885052"/>
    <w:rsid w:val="00885FDC"/>
    <w:rsid w:val="0088642F"/>
    <w:rsid w:val="00886F3D"/>
    <w:rsid w:val="00887012"/>
    <w:rsid w:val="008900AD"/>
    <w:rsid w:val="0089080E"/>
    <w:rsid w:val="00890FBD"/>
    <w:rsid w:val="00891441"/>
    <w:rsid w:val="00893EFD"/>
    <w:rsid w:val="00894389"/>
    <w:rsid w:val="00894F58"/>
    <w:rsid w:val="0089502A"/>
    <w:rsid w:val="008960AE"/>
    <w:rsid w:val="0089682A"/>
    <w:rsid w:val="00897648"/>
    <w:rsid w:val="00897962"/>
    <w:rsid w:val="008A01A2"/>
    <w:rsid w:val="008A0BDB"/>
    <w:rsid w:val="008A1037"/>
    <w:rsid w:val="008A165A"/>
    <w:rsid w:val="008A168A"/>
    <w:rsid w:val="008A20EC"/>
    <w:rsid w:val="008A2820"/>
    <w:rsid w:val="008A2B14"/>
    <w:rsid w:val="008A2C76"/>
    <w:rsid w:val="008A2F13"/>
    <w:rsid w:val="008A3083"/>
    <w:rsid w:val="008A315D"/>
    <w:rsid w:val="008A320B"/>
    <w:rsid w:val="008A37C4"/>
    <w:rsid w:val="008A38FB"/>
    <w:rsid w:val="008A3BF9"/>
    <w:rsid w:val="008A3CEF"/>
    <w:rsid w:val="008A4155"/>
    <w:rsid w:val="008A41F2"/>
    <w:rsid w:val="008A575A"/>
    <w:rsid w:val="008A5945"/>
    <w:rsid w:val="008A5E43"/>
    <w:rsid w:val="008A60B0"/>
    <w:rsid w:val="008A643F"/>
    <w:rsid w:val="008A677E"/>
    <w:rsid w:val="008A7366"/>
    <w:rsid w:val="008A7A44"/>
    <w:rsid w:val="008A7B53"/>
    <w:rsid w:val="008A7D51"/>
    <w:rsid w:val="008B0049"/>
    <w:rsid w:val="008B048D"/>
    <w:rsid w:val="008B0EBF"/>
    <w:rsid w:val="008B150C"/>
    <w:rsid w:val="008B198A"/>
    <w:rsid w:val="008B234E"/>
    <w:rsid w:val="008B2CC2"/>
    <w:rsid w:val="008B2E14"/>
    <w:rsid w:val="008B333A"/>
    <w:rsid w:val="008B4AC3"/>
    <w:rsid w:val="008B4B6B"/>
    <w:rsid w:val="008B5A92"/>
    <w:rsid w:val="008B5B96"/>
    <w:rsid w:val="008B74F0"/>
    <w:rsid w:val="008B7747"/>
    <w:rsid w:val="008C028A"/>
    <w:rsid w:val="008C0F58"/>
    <w:rsid w:val="008C14C2"/>
    <w:rsid w:val="008C2144"/>
    <w:rsid w:val="008C234C"/>
    <w:rsid w:val="008C37E2"/>
    <w:rsid w:val="008C418A"/>
    <w:rsid w:val="008C4529"/>
    <w:rsid w:val="008C4DCC"/>
    <w:rsid w:val="008C5B6A"/>
    <w:rsid w:val="008C5DB0"/>
    <w:rsid w:val="008C63C5"/>
    <w:rsid w:val="008C6A98"/>
    <w:rsid w:val="008C7280"/>
    <w:rsid w:val="008C7F35"/>
    <w:rsid w:val="008D0157"/>
    <w:rsid w:val="008D01A2"/>
    <w:rsid w:val="008D1AFA"/>
    <w:rsid w:val="008D1C1B"/>
    <w:rsid w:val="008D2767"/>
    <w:rsid w:val="008D3234"/>
    <w:rsid w:val="008D3DFA"/>
    <w:rsid w:val="008D3E00"/>
    <w:rsid w:val="008D3EFD"/>
    <w:rsid w:val="008D43EA"/>
    <w:rsid w:val="008D4448"/>
    <w:rsid w:val="008D4C15"/>
    <w:rsid w:val="008D54FE"/>
    <w:rsid w:val="008D5A53"/>
    <w:rsid w:val="008D5C61"/>
    <w:rsid w:val="008D5DF9"/>
    <w:rsid w:val="008D6742"/>
    <w:rsid w:val="008D6B10"/>
    <w:rsid w:val="008D7606"/>
    <w:rsid w:val="008E01DC"/>
    <w:rsid w:val="008E09D1"/>
    <w:rsid w:val="008E1077"/>
    <w:rsid w:val="008E1693"/>
    <w:rsid w:val="008E16AD"/>
    <w:rsid w:val="008E16F2"/>
    <w:rsid w:val="008E17A4"/>
    <w:rsid w:val="008E1E1E"/>
    <w:rsid w:val="008E2906"/>
    <w:rsid w:val="008E3501"/>
    <w:rsid w:val="008E43E3"/>
    <w:rsid w:val="008E4F7D"/>
    <w:rsid w:val="008E6548"/>
    <w:rsid w:val="008E77DF"/>
    <w:rsid w:val="008F0D01"/>
    <w:rsid w:val="008F1282"/>
    <w:rsid w:val="008F1D7B"/>
    <w:rsid w:val="008F1ECA"/>
    <w:rsid w:val="008F2646"/>
    <w:rsid w:val="008F28E7"/>
    <w:rsid w:val="008F2C8F"/>
    <w:rsid w:val="008F3DD3"/>
    <w:rsid w:val="008F45D7"/>
    <w:rsid w:val="008F50E3"/>
    <w:rsid w:val="008F547C"/>
    <w:rsid w:val="008F5C8D"/>
    <w:rsid w:val="008F6CDC"/>
    <w:rsid w:val="008F71D7"/>
    <w:rsid w:val="008F77B0"/>
    <w:rsid w:val="00900593"/>
    <w:rsid w:val="009015D4"/>
    <w:rsid w:val="00901AC7"/>
    <w:rsid w:val="00901D69"/>
    <w:rsid w:val="00903935"/>
    <w:rsid w:val="00904C7F"/>
    <w:rsid w:val="009056BB"/>
    <w:rsid w:val="0090668B"/>
    <w:rsid w:val="00906FBF"/>
    <w:rsid w:val="009071D2"/>
    <w:rsid w:val="0090786F"/>
    <w:rsid w:val="0090788E"/>
    <w:rsid w:val="009079AB"/>
    <w:rsid w:val="00907BF5"/>
    <w:rsid w:val="009105B5"/>
    <w:rsid w:val="00911871"/>
    <w:rsid w:val="00911C9D"/>
    <w:rsid w:val="00912666"/>
    <w:rsid w:val="009131A7"/>
    <w:rsid w:val="00914038"/>
    <w:rsid w:val="0091415D"/>
    <w:rsid w:val="009149D3"/>
    <w:rsid w:val="00914CF8"/>
    <w:rsid w:val="00914D21"/>
    <w:rsid w:val="00914DE5"/>
    <w:rsid w:val="00915519"/>
    <w:rsid w:val="0091592A"/>
    <w:rsid w:val="00915C60"/>
    <w:rsid w:val="00915D03"/>
    <w:rsid w:val="0091616A"/>
    <w:rsid w:val="00916B6A"/>
    <w:rsid w:val="00916CD3"/>
    <w:rsid w:val="00916DFF"/>
    <w:rsid w:val="00921019"/>
    <w:rsid w:val="00921404"/>
    <w:rsid w:val="0092147A"/>
    <w:rsid w:val="00921952"/>
    <w:rsid w:val="00921BC6"/>
    <w:rsid w:val="009224DD"/>
    <w:rsid w:val="00922796"/>
    <w:rsid w:val="009229A8"/>
    <w:rsid w:val="00923167"/>
    <w:rsid w:val="00923356"/>
    <w:rsid w:val="00924163"/>
    <w:rsid w:val="00924397"/>
    <w:rsid w:val="009243D6"/>
    <w:rsid w:val="009246C2"/>
    <w:rsid w:val="0092471F"/>
    <w:rsid w:val="00924E31"/>
    <w:rsid w:val="009256CE"/>
    <w:rsid w:val="00925BF6"/>
    <w:rsid w:val="009262F1"/>
    <w:rsid w:val="00926D0F"/>
    <w:rsid w:val="00927B96"/>
    <w:rsid w:val="00927E94"/>
    <w:rsid w:val="00927F19"/>
    <w:rsid w:val="00930AE3"/>
    <w:rsid w:val="00931D4B"/>
    <w:rsid w:val="00931F5D"/>
    <w:rsid w:val="009334F8"/>
    <w:rsid w:val="00933E21"/>
    <w:rsid w:val="0093404E"/>
    <w:rsid w:val="00934706"/>
    <w:rsid w:val="00934CCC"/>
    <w:rsid w:val="00934E30"/>
    <w:rsid w:val="009353EE"/>
    <w:rsid w:val="00936788"/>
    <w:rsid w:val="00937A2B"/>
    <w:rsid w:val="00937B14"/>
    <w:rsid w:val="00937B34"/>
    <w:rsid w:val="00937D1F"/>
    <w:rsid w:val="00940501"/>
    <w:rsid w:val="00940F86"/>
    <w:rsid w:val="00941A45"/>
    <w:rsid w:val="00941DFC"/>
    <w:rsid w:val="00941FF4"/>
    <w:rsid w:val="00942180"/>
    <w:rsid w:val="00942665"/>
    <w:rsid w:val="00942F3A"/>
    <w:rsid w:val="00943122"/>
    <w:rsid w:val="0094345D"/>
    <w:rsid w:val="009437B8"/>
    <w:rsid w:val="00943886"/>
    <w:rsid w:val="009446DF"/>
    <w:rsid w:val="00944786"/>
    <w:rsid w:val="009449CF"/>
    <w:rsid w:val="00944B0C"/>
    <w:rsid w:val="00944C23"/>
    <w:rsid w:val="00944F5B"/>
    <w:rsid w:val="009452F4"/>
    <w:rsid w:val="009453D6"/>
    <w:rsid w:val="0094543F"/>
    <w:rsid w:val="00945C00"/>
    <w:rsid w:val="00945F9A"/>
    <w:rsid w:val="00946018"/>
    <w:rsid w:val="0094620A"/>
    <w:rsid w:val="00947762"/>
    <w:rsid w:val="00947965"/>
    <w:rsid w:val="00950040"/>
    <w:rsid w:val="009504B8"/>
    <w:rsid w:val="0095066E"/>
    <w:rsid w:val="00950F9A"/>
    <w:rsid w:val="00951864"/>
    <w:rsid w:val="00951E16"/>
    <w:rsid w:val="00951ECA"/>
    <w:rsid w:val="00952208"/>
    <w:rsid w:val="00952365"/>
    <w:rsid w:val="0095353E"/>
    <w:rsid w:val="00953BC6"/>
    <w:rsid w:val="00954174"/>
    <w:rsid w:val="009543B4"/>
    <w:rsid w:val="00954459"/>
    <w:rsid w:val="0095499A"/>
    <w:rsid w:val="009555A8"/>
    <w:rsid w:val="00955B2F"/>
    <w:rsid w:val="00955EBE"/>
    <w:rsid w:val="00955FAE"/>
    <w:rsid w:val="00956154"/>
    <w:rsid w:val="00956186"/>
    <w:rsid w:val="00956810"/>
    <w:rsid w:val="00956A5E"/>
    <w:rsid w:val="0095750C"/>
    <w:rsid w:val="009578A1"/>
    <w:rsid w:val="00960181"/>
    <w:rsid w:val="00960398"/>
    <w:rsid w:val="0096050B"/>
    <w:rsid w:val="009605B6"/>
    <w:rsid w:val="00961224"/>
    <w:rsid w:val="0096162B"/>
    <w:rsid w:val="00962375"/>
    <w:rsid w:val="00962D69"/>
    <w:rsid w:val="00963F48"/>
    <w:rsid w:val="00964931"/>
    <w:rsid w:val="00964C04"/>
    <w:rsid w:val="00964DFB"/>
    <w:rsid w:val="00964F08"/>
    <w:rsid w:val="00964FCF"/>
    <w:rsid w:val="00965F66"/>
    <w:rsid w:val="00966102"/>
    <w:rsid w:val="00966AD5"/>
    <w:rsid w:val="009674FF"/>
    <w:rsid w:val="0096774D"/>
    <w:rsid w:val="00967CF2"/>
    <w:rsid w:val="0097124A"/>
    <w:rsid w:val="009714C4"/>
    <w:rsid w:val="00971620"/>
    <w:rsid w:val="009716AB"/>
    <w:rsid w:val="00972230"/>
    <w:rsid w:val="00972607"/>
    <w:rsid w:val="00972F16"/>
    <w:rsid w:val="0097320A"/>
    <w:rsid w:val="00973917"/>
    <w:rsid w:val="00974A09"/>
    <w:rsid w:val="009751AB"/>
    <w:rsid w:val="00975E86"/>
    <w:rsid w:val="00975FD9"/>
    <w:rsid w:val="00976264"/>
    <w:rsid w:val="00976602"/>
    <w:rsid w:val="00976A78"/>
    <w:rsid w:val="00976D38"/>
    <w:rsid w:val="009773B7"/>
    <w:rsid w:val="0097743A"/>
    <w:rsid w:val="00977792"/>
    <w:rsid w:val="009779E5"/>
    <w:rsid w:val="0098039A"/>
    <w:rsid w:val="00980719"/>
    <w:rsid w:val="00980D2D"/>
    <w:rsid w:val="00980F6D"/>
    <w:rsid w:val="00981468"/>
    <w:rsid w:val="0098151D"/>
    <w:rsid w:val="00981658"/>
    <w:rsid w:val="00982D00"/>
    <w:rsid w:val="00983A8D"/>
    <w:rsid w:val="0098473C"/>
    <w:rsid w:val="00984D6C"/>
    <w:rsid w:val="009854AA"/>
    <w:rsid w:val="00986036"/>
    <w:rsid w:val="00987E7F"/>
    <w:rsid w:val="00991CB5"/>
    <w:rsid w:val="0099222E"/>
    <w:rsid w:val="00992735"/>
    <w:rsid w:val="00992939"/>
    <w:rsid w:val="00992AE4"/>
    <w:rsid w:val="009930B4"/>
    <w:rsid w:val="009931B3"/>
    <w:rsid w:val="009931B4"/>
    <w:rsid w:val="00993B0F"/>
    <w:rsid w:val="0099482C"/>
    <w:rsid w:val="00994890"/>
    <w:rsid w:val="00994EB0"/>
    <w:rsid w:val="009950BA"/>
    <w:rsid w:val="0099536F"/>
    <w:rsid w:val="0099569D"/>
    <w:rsid w:val="00995FAA"/>
    <w:rsid w:val="00996418"/>
    <w:rsid w:val="009966CC"/>
    <w:rsid w:val="00996895"/>
    <w:rsid w:val="009974B8"/>
    <w:rsid w:val="00997B62"/>
    <w:rsid w:val="009A0015"/>
    <w:rsid w:val="009A01E3"/>
    <w:rsid w:val="009A0572"/>
    <w:rsid w:val="009A1038"/>
    <w:rsid w:val="009A187A"/>
    <w:rsid w:val="009A1DDC"/>
    <w:rsid w:val="009A2058"/>
    <w:rsid w:val="009A233B"/>
    <w:rsid w:val="009A2384"/>
    <w:rsid w:val="009A258C"/>
    <w:rsid w:val="009A27DE"/>
    <w:rsid w:val="009A2815"/>
    <w:rsid w:val="009A31FF"/>
    <w:rsid w:val="009A389E"/>
    <w:rsid w:val="009A3D95"/>
    <w:rsid w:val="009A3EEF"/>
    <w:rsid w:val="009A49E4"/>
    <w:rsid w:val="009A4E18"/>
    <w:rsid w:val="009A4F28"/>
    <w:rsid w:val="009A513F"/>
    <w:rsid w:val="009A56D3"/>
    <w:rsid w:val="009A5922"/>
    <w:rsid w:val="009A5B97"/>
    <w:rsid w:val="009A5D40"/>
    <w:rsid w:val="009A6094"/>
    <w:rsid w:val="009A617D"/>
    <w:rsid w:val="009A62D9"/>
    <w:rsid w:val="009A643E"/>
    <w:rsid w:val="009A6556"/>
    <w:rsid w:val="009A6A94"/>
    <w:rsid w:val="009A6F28"/>
    <w:rsid w:val="009A74C4"/>
    <w:rsid w:val="009A7F14"/>
    <w:rsid w:val="009B108D"/>
    <w:rsid w:val="009B155D"/>
    <w:rsid w:val="009B1886"/>
    <w:rsid w:val="009B1F7E"/>
    <w:rsid w:val="009B2444"/>
    <w:rsid w:val="009B2FC0"/>
    <w:rsid w:val="009B3ACA"/>
    <w:rsid w:val="009B49A5"/>
    <w:rsid w:val="009B4BEE"/>
    <w:rsid w:val="009B4C80"/>
    <w:rsid w:val="009B52BF"/>
    <w:rsid w:val="009B5820"/>
    <w:rsid w:val="009B5917"/>
    <w:rsid w:val="009B5A77"/>
    <w:rsid w:val="009B5C5C"/>
    <w:rsid w:val="009B6190"/>
    <w:rsid w:val="009B7236"/>
    <w:rsid w:val="009B7594"/>
    <w:rsid w:val="009B7E4F"/>
    <w:rsid w:val="009C0168"/>
    <w:rsid w:val="009C03D6"/>
    <w:rsid w:val="009C16AB"/>
    <w:rsid w:val="009C18E7"/>
    <w:rsid w:val="009C23C6"/>
    <w:rsid w:val="009C284A"/>
    <w:rsid w:val="009C2BD9"/>
    <w:rsid w:val="009C2FEE"/>
    <w:rsid w:val="009C3192"/>
    <w:rsid w:val="009C3378"/>
    <w:rsid w:val="009C342A"/>
    <w:rsid w:val="009C3747"/>
    <w:rsid w:val="009C38B4"/>
    <w:rsid w:val="009C4407"/>
    <w:rsid w:val="009C46A4"/>
    <w:rsid w:val="009C4BA2"/>
    <w:rsid w:val="009C5081"/>
    <w:rsid w:val="009C590A"/>
    <w:rsid w:val="009C59C9"/>
    <w:rsid w:val="009C5CA7"/>
    <w:rsid w:val="009C7468"/>
    <w:rsid w:val="009C7C3E"/>
    <w:rsid w:val="009D0C59"/>
    <w:rsid w:val="009D1F55"/>
    <w:rsid w:val="009D2678"/>
    <w:rsid w:val="009D2A5B"/>
    <w:rsid w:val="009D2D28"/>
    <w:rsid w:val="009D473C"/>
    <w:rsid w:val="009D5742"/>
    <w:rsid w:val="009D5785"/>
    <w:rsid w:val="009D5D2F"/>
    <w:rsid w:val="009D6391"/>
    <w:rsid w:val="009D7C75"/>
    <w:rsid w:val="009D7D72"/>
    <w:rsid w:val="009E0677"/>
    <w:rsid w:val="009E07B9"/>
    <w:rsid w:val="009E0EDB"/>
    <w:rsid w:val="009E121B"/>
    <w:rsid w:val="009E1B70"/>
    <w:rsid w:val="009E1CD0"/>
    <w:rsid w:val="009E2703"/>
    <w:rsid w:val="009E28A9"/>
    <w:rsid w:val="009E2FF9"/>
    <w:rsid w:val="009E31C6"/>
    <w:rsid w:val="009E33EE"/>
    <w:rsid w:val="009E35E5"/>
    <w:rsid w:val="009E3ACA"/>
    <w:rsid w:val="009E3BEA"/>
    <w:rsid w:val="009E3E6B"/>
    <w:rsid w:val="009E3EB7"/>
    <w:rsid w:val="009E5665"/>
    <w:rsid w:val="009E5C95"/>
    <w:rsid w:val="009E5DCA"/>
    <w:rsid w:val="009E5E29"/>
    <w:rsid w:val="009E62BD"/>
    <w:rsid w:val="009E7131"/>
    <w:rsid w:val="009F019D"/>
    <w:rsid w:val="009F0820"/>
    <w:rsid w:val="009F0A45"/>
    <w:rsid w:val="009F1447"/>
    <w:rsid w:val="009F1496"/>
    <w:rsid w:val="009F214F"/>
    <w:rsid w:val="009F21C6"/>
    <w:rsid w:val="009F250E"/>
    <w:rsid w:val="009F2911"/>
    <w:rsid w:val="009F2DE4"/>
    <w:rsid w:val="009F3280"/>
    <w:rsid w:val="009F35FB"/>
    <w:rsid w:val="009F3BE7"/>
    <w:rsid w:val="009F3E5C"/>
    <w:rsid w:val="009F4023"/>
    <w:rsid w:val="009F48E9"/>
    <w:rsid w:val="009F52E8"/>
    <w:rsid w:val="009F61C3"/>
    <w:rsid w:val="009F6510"/>
    <w:rsid w:val="009F744B"/>
    <w:rsid w:val="009F76A8"/>
    <w:rsid w:val="00A010B1"/>
    <w:rsid w:val="00A01520"/>
    <w:rsid w:val="00A01746"/>
    <w:rsid w:val="00A01ED5"/>
    <w:rsid w:val="00A02997"/>
    <w:rsid w:val="00A035C9"/>
    <w:rsid w:val="00A0385D"/>
    <w:rsid w:val="00A0392C"/>
    <w:rsid w:val="00A04484"/>
    <w:rsid w:val="00A044AE"/>
    <w:rsid w:val="00A04648"/>
    <w:rsid w:val="00A0468C"/>
    <w:rsid w:val="00A0476F"/>
    <w:rsid w:val="00A0564D"/>
    <w:rsid w:val="00A059B8"/>
    <w:rsid w:val="00A066AD"/>
    <w:rsid w:val="00A06BD2"/>
    <w:rsid w:val="00A07115"/>
    <w:rsid w:val="00A076CC"/>
    <w:rsid w:val="00A07A08"/>
    <w:rsid w:val="00A07C47"/>
    <w:rsid w:val="00A12675"/>
    <w:rsid w:val="00A12ADC"/>
    <w:rsid w:val="00A13073"/>
    <w:rsid w:val="00A134E2"/>
    <w:rsid w:val="00A13586"/>
    <w:rsid w:val="00A1390F"/>
    <w:rsid w:val="00A1466F"/>
    <w:rsid w:val="00A1477D"/>
    <w:rsid w:val="00A14A1A"/>
    <w:rsid w:val="00A14B71"/>
    <w:rsid w:val="00A15802"/>
    <w:rsid w:val="00A15AC4"/>
    <w:rsid w:val="00A15F8A"/>
    <w:rsid w:val="00A168C5"/>
    <w:rsid w:val="00A16E60"/>
    <w:rsid w:val="00A17AAE"/>
    <w:rsid w:val="00A2010A"/>
    <w:rsid w:val="00A203AF"/>
    <w:rsid w:val="00A204D2"/>
    <w:rsid w:val="00A20A0C"/>
    <w:rsid w:val="00A20B72"/>
    <w:rsid w:val="00A20B91"/>
    <w:rsid w:val="00A2147B"/>
    <w:rsid w:val="00A2204D"/>
    <w:rsid w:val="00A224DA"/>
    <w:rsid w:val="00A2279E"/>
    <w:rsid w:val="00A233B3"/>
    <w:rsid w:val="00A24515"/>
    <w:rsid w:val="00A246C5"/>
    <w:rsid w:val="00A248E3"/>
    <w:rsid w:val="00A25165"/>
    <w:rsid w:val="00A2535E"/>
    <w:rsid w:val="00A257E1"/>
    <w:rsid w:val="00A26325"/>
    <w:rsid w:val="00A26538"/>
    <w:rsid w:val="00A2671B"/>
    <w:rsid w:val="00A26787"/>
    <w:rsid w:val="00A26A53"/>
    <w:rsid w:val="00A271E8"/>
    <w:rsid w:val="00A278F3"/>
    <w:rsid w:val="00A27B23"/>
    <w:rsid w:val="00A27F9D"/>
    <w:rsid w:val="00A3012C"/>
    <w:rsid w:val="00A3088B"/>
    <w:rsid w:val="00A30EA0"/>
    <w:rsid w:val="00A313DC"/>
    <w:rsid w:val="00A317F1"/>
    <w:rsid w:val="00A328E2"/>
    <w:rsid w:val="00A332CF"/>
    <w:rsid w:val="00A33380"/>
    <w:rsid w:val="00A333F1"/>
    <w:rsid w:val="00A33875"/>
    <w:rsid w:val="00A33C5C"/>
    <w:rsid w:val="00A33D33"/>
    <w:rsid w:val="00A33F8F"/>
    <w:rsid w:val="00A342CE"/>
    <w:rsid w:val="00A34A89"/>
    <w:rsid w:val="00A34B0A"/>
    <w:rsid w:val="00A362D4"/>
    <w:rsid w:val="00A363AE"/>
    <w:rsid w:val="00A3653A"/>
    <w:rsid w:val="00A36D16"/>
    <w:rsid w:val="00A36F5B"/>
    <w:rsid w:val="00A37317"/>
    <w:rsid w:val="00A3791E"/>
    <w:rsid w:val="00A40715"/>
    <w:rsid w:val="00A4084A"/>
    <w:rsid w:val="00A41982"/>
    <w:rsid w:val="00A41A86"/>
    <w:rsid w:val="00A42378"/>
    <w:rsid w:val="00A42460"/>
    <w:rsid w:val="00A42CA4"/>
    <w:rsid w:val="00A430B1"/>
    <w:rsid w:val="00A43EB9"/>
    <w:rsid w:val="00A44F06"/>
    <w:rsid w:val="00A457CF"/>
    <w:rsid w:val="00A45876"/>
    <w:rsid w:val="00A45AE8"/>
    <w:rsid w:val="00A50075"/>
    <w:rsid w:val="00A50686"/>
    <w:rsid w:val="00A5073C"/>
    <w:rsid w:val="00A50B11"/>
    <w:rsid w:val="00A515D7"/>
    <w:rsid w:val="00A51AB4"/>
    <w:rsid w:val="00A51BAC"/>
    <w:rsid w:val="00A528E1"/>
    <w:rsid w:val="00A52919"/>
    <w:rsid w:val="00A52ED3"/>
    <w:rsid w:val="00A53341"/>
    <w:rsid w:val="00A53FFF"/>
    <w:rsid w:val="00A54157"/>
    <w:rsid w:val="00A54321"/>
    <w:rsid w:val="00A5530A"/>
    <w:rsid w:val="00A5681E"/>
    <w:rsid w:val="00A570B7"/>
    <w:rsid w:val="00A5717F"/>
    <w:rsid w:val="00A572FA"/>
    <w:rsid w:val="00A57E00"/>
    <w:rsid w:val="00A602C0"/>
    <w:rsid w:val="00A60725"/>
    <w:rsid w:val="00A609E5"/>
    <w:rsid w:val="00A60D3A"/>
    <w:rsid w:val="00A63F5F"/>
    <w:rsid w:val="00A64003"/>
    <w:rsid w:val="00A6464E"/>
    <w:rsid w:val="00A65D07"/>
    <w:rsid w:val="00A66D4C"/>
    <w:rsid w:val="00A66DB7"/>
    <w:rsid w:val="00A6744C"/>
    <w:rsid w:val="00A6745B"/>
    <w:rsid w:val="00A67C18"/>
    <w:rsid w:val="00A67C2B"/>
    <w:rsid w:val="00A67CA4"/>
    <w:rsid w:val="00A702A3"/>
    <w:rsid w:val="00A70AC5"/>
    <w:rsid w:val="00A70CCF"/>
    <w:rsid w:val="00A72380"/>
    <w:rsid w:val="00A7253C"/>
    <w:rsid w:val="00A72879"/>
    <w:rsid w:val="00A732AA"/>
    <w:rsid w:val="00A737F3"/>
    <w:rsid w:val="00A739CB"/>
    <w:rsid w:val="00A73BD9"/>
    <w:rsid w:val="00A7442E"/>
    <w:rsid w:val="00A7564C"/>
    <w:rsid w:val="00A75CD0"/>
    <w:rsid w:val="00A75E56"/>
    <w:rsid w:val="00A76448"/>
    <w:rsid w:val="00A764AA"/>
    <w:rsid w:val="00A7673F"/>
    <w:rsid w:val="00A769C8"/>
    <w:rsid w:val="00A773D5"/>
    <w:rsid w:val="00A77C7E"/>
    <w:rsid w:val="00A80EC4"/>
    <w:rsid w:val="00A82982"/>
    <w:rsid w:val="00A82AAA"/>
    <w:rsid w:val="00A83A11"/>
    <w:rsid w:val="00A83C4D"/>
    <w:rsid w:val="00A83D4B"/>
    <w:rsid w:val="00A84345"/>
    <w:rsid w:val="00A84D10"/>
    <w:rsid w:val="00A85D16"/>
    <w:rsid w:val="00A85E68"/>
    <w:rsid w:val="00A861FE"/>
    <w:rsid w:val="00A864BF"/>
    <w:rsid w:val="00A86D77"/>
    <w:rsid w:val="00A871FC"/>
    <w:rsid w:val="00A87BCA"/>
    <w:rsid w:val="00A9004F"/>
    <w:rsid w:val="00A903D7"/>
    <w:rsid w:val="00A904D1"/>
    <w:rsid w:val="00A90F18"/>
    <w:rsid w:val="00A91DC8"/>
    <w:rsid w:val="00A925FF"/>
    <w:rsid w:val="00A9266E"/>
    <w:rsid w:val="00A92DF0"/>
    <w:rsid w:val="00A92F0D"/>
    <w:rsid w:val="00A93023"/>
    <w:rsid w:val="00A9424F"/>
    <w:rsid w:val="00A946CE"/>
    <w:rsid w:val="00A94D58"/>
    <w:rsid w:val="00A94D59"/>
    <w:rsid w:val="00A95270"/>
    <w:rsid w:val="00A95BBA"/>
    <w:rsid w:val="00A972E7"/>
    <w:rsid w:val="00A97699"/>
    <w:rsid w:val="00A9769E"/>
    <w:rsid w:val="00A976A2"/>
    <w:rsid w:val="00A97FCA"/>
    <w:rsid w:val="00AA03EF"/>
    <w:rsid w:val="00AA09AB"/>
    <w:rsid w:val="00AA0ED2"/>
    <w:rsid w:val="00AA0F67"/>
    <w:rsid w:val="00AA11A5"/>
    <w:rsid w:val="00AA1323"/>
    <w:rsid w:val="00AA1F02"/>
    <w:rsid w:val="00AA216D"/>
    <w:rsid w:val="00AA21A4"/>
    <w:rsid w:val="00AA4054"/>
    <w:rsid w:val="00AA40E2"/>
    <w:rsid w:val="00AA4695"/>
    <w:rsid w:val="00AA49FB"/>
    <w:rsid w:val="00AA4C4C"/>
    <w:rsid w:val="00AA51C3"/>
    <w:rsid w:val="00AA5519"/>
    <w:rsid w:val="00AA66A3"/>
    <w:rsid w:val="00AA677D"/>
    <w:rsid w:val="00AA72BF"/>
    <w:rsid w:val="00AB0029"/>
    <w:rsid w:val="00AB0E62"/>
    <w:rsid w:val="00AB25DC"/>
    <w:rsid w:val="00AB2D49"/>
    <w:rsid w:val="00AB3209"/>
    <w:rsid w:val="00AB47D3"/>
    <w:rsid w:val="00AB4EE1"/>
    <w:rsid w:val="00AB5166"/>
    <w:rsid w:val="00AB591C"/>
    <w:rsid w:val="00AB6226"/>
    <w:rsid w:val="00AB6262"/>
    <w:rsid w:val="00AB6635"/>
    <w:rsid w:val="00AB6678"/>
    <w:rsid w:val="00AB77C0"/>
    <w:rsid w:val="00AB7E30"/>
    <w:rsid w:val="00AC02D3"/>
    <w:rsid w:val="00AC0618"/>
    <w:rsid w:val="00AC088D"/>
    <w:rsid w:val="00AC0A42"/>
    <w:rsid w:val="00AC1273"/>
    <w:rsid w:val="00AC1C91"/>
    <w:rsid w:val="00AC1D28"/>
    <w:rsid w:val="00AC1ED4"/>
    <w:rsid w:val="00AC23E1"/>
    <w:rsid w:val="00AC2707"/>
    <w:rsid w:val="00AC27DD"/>
    <w:rsid w:val="00AC28C3"/>
    <w:rsid w:val="00AC28DB"/>
    <w:rsid w:val="00AC297A"/>
    <w:rsid w:val="00AC3073"/>
    <w:rsid w:val="00AC370E"/>
    <w:rsid w:val="00AC4198"/>
    <w:rsid w:val="00AC460A"/>
    <w:rsid w:val="00AC476C"/>
    <w:rsid w:val="00AC484F"/>
    <w:rsid w:val="00AC48F2"/>
    <w:rsid w:val="00AC49FA"/>
    <w:rsid w:val="00AC5027"/>
    <w:rsid w:val="00AC5103"/>
    <w:rsid w:val="00AC5365"/>
    <w:rsid w:val="00AC5809"/>
    <w:rsid w:val="00AC5C25"/>
    <w:rsid w:val="00AC5E8A"/>
    <w:rsid w:val="00AC6578"/>
    <w:rsid w:val="00AC6CF8"/>
    <w:rsid w:val="00AC6F52"/>
    <w:rsid w:val="00AC78C3"/>
    <w:rsid w:val="00AC7D27"/>
    <w:rsid w:val="00AD0084"/>
    <w:rsid w:val="00AD0505"/>
    <w:rsid w:val="00AD0559"/>
    <w:rsid w:val="00AD0694"/>
    <w:rsid w:val="00AD0C95"/>
    <w:rsid w:val="00AD0D1F"/>
    <w:rsid w:val="00AD0F61"/>
    <w:rsid w:val="00AD1787"/>
    <w:rsid w:val="00AD1EE9"/>
    <w:rsid w:val="00AD20AC"/>
    <w:rsid w:val="00AD2187"/>
    <w:rsid w:val="00AD220A"/>
    <w:rsid w:val="00AD3020"/>
    <w:rsid w:val="00AD3464"/>
    <w:rsid w:val="00AD34FC"/>
    <w:rsid w:val="00AD35BF"/>
    <w:rsid w:val="00AD37A4"/>
    <w:rsid w:val="00AD383E"/>
    <w:rsid w:val="00AD3DD1"/>
    <w:rsid w:val="00AD3EB0"/>
    <w:rsid w:val="00AD55A0"/>
    <w:rsid w:val="00AD5DD5"/>
    <w:rsid w:val="00AD5EA8"/>
    <w:rsid w:val="00AD6048"/>
    <w:rsid w:val="00AD61FB"/>
    <w:rsid w:val="00AD6407"/>
    <w:rsid w:val="00AD711A"/>
    <w:rsid w:val="00AD7948"/>
    <w:rsid w:val="00AD7AF2"/>
    <w:rsid w:val="00AD7C95"/>
    <w:rsid w:val="00AD7CE8"/>
    <w:rsid w:val="00AE002E"/>
    <w:rsid w:val="00AE098D"/>
    <w:rsid w:val="00AE0A5B"/>
    <w:rsid w:val="00AE0B09"/>
    <w:rsid w:val="00AE1FDE"/>
    <w:rsid w:val="00AE20DE"/>
    <w:rsid w:val="00AE2717"/>
    <w:rsid w:val="00AE2953"/>
    <w:rsid w:val="00AE2E23"/>
    <w:rsid w:val="00AE306B"/>
    <w:rsid w:val="00AE3115"/>
    <w:rsid w:val="00AE352E"/>
    <w:rsid w:val="00AE3E21"/>
    <w:rsid w:val="00AE4147"/>
    <w:rsid w:val="00AE431C"/>
    <w:rsid w:val="00AE469E"/>
    <w:rsid w:val="00AE4E85"/>
    <w:rsid w:val="00AE50AA"/>
    <w:rsid w:val="00AE5625"/>
    <w:rsid w:val="00AE6398"/>
    <w:rsid w:val="00AE761C"/>
    <w:rsid w:val="00AE7B39"/>
    <w:rsid w:val="00AE7D61"/>
    <w:rsid w:val="00AE7DA9"/>
    <w:rsid w:val="00AE7F2D"/>
    <w:rsid w:val="00AF059A"/>
    <w:rsid w:val="00AF10F8"/>
    <w:rsid w:val="00AF1211"/>
    <w:rsid w:val="00AF30EB"/>
    <w:rsid w:val="00AF3E16"/>
    <w:rsid w:val="00AF3F85"/>
    <w:rsid w:val="00AF4744"/>
    <w:rsid w:val="00AF6187"/>
    <w:rsid w:val="00AF67D8"/>
    <w:rsid w:val="00AF79E7"/>
    <w:rsid w:val="00AF7D4D"/>
    <w:rsid w:val="00B002BB"/>
    <w:rsid w:val="00B009F3"/>
    <w:rsid w:val="00B00A25"/>
    <w:rsid w:val="00B00F8A"/>
    <w:rsid w:val="00B01507"/>
    <w:rsid w:val="00B02876"/>
    <w:rsid w:val="00B02ABC"/>
    <w:rsid w:val="00B041A6"/>
    <w:rsid w:val="00B044C8"/>
    <w:rsid w:val="00B05CBB"/>
    <w:rsid w:val="00B05FD5"/>
    <w:rsid w:val="00B06775"/>
    <w:rsid w:val="00B0776D"/>
    <w:rsid w:val="00B103F5"/>
    <w:rsid w:val="00B10AAE"/>
    <w:rsid w:val="00B11602"/>
    <w:rsid w:val="00B117D6"/>
    <w:rsid w:val="00B12C13"/>
    <w:rsid w:val="00B12D60"/>
    <w:rsid w:val="00B13A9D"/>
    <w:rsid w:val="00B13BAF"/>
    <w:rsid w:val="00B13E7A"/>
    <w:rsid w:val="00B143F3"/>
    <w:rsid w:val="00B14C61"/>
    <w:rsid w:val="00B14C69"/>
    <w:rsid w:val="00B151DA"/>
    <w:rsid w:val="00B1529B"/>
    <w:rsid w:val="00B15422"/>
    <w:rsid w:val="00B156C9"/>
    <w:rsid w:val="00B15E57"/>
    <w:rsid w:val="00B16415"/>
    <w:rsid w:val="00B1676B"/>
    <w:rsid w:val="00B168FE"/>
    <w:rsid w:val="00B16D2A"/>
    <w:rsid w:val="00B17013"/>
    <w:rsid w:val="00B17E90"/>
    <w:rsid w:val="00B205C1"/>
    <w:rsid w:val="00B207CA"/>
    <w:rsid w:val="00B2123A"/>
    <w:rsid w:val="00B2178F"/>
    <w:rsid w:val="00B21B74"/>
    <w:rsid w:val="00B2218A"/>
    <w:rsid w:val="00B222A0"/>
    <w:rsid w:val="00B226CB"/>
    <w:rsid w:val="00B238BB"/>
    <w:rsid w:val="00B23978"/>
    <w:rsid w:val="00B2440E"/>
    <w:rsid w:val="00B247F0"/>
    <w:rsid w:val="00B248B5"/>
    <w:rsid w:val="00B24D67"/>
    <w:rsid w:val="00B254E2"/>
    <w:rsid w:val="00B25E35"/>
    <w:rsid w:val="00B26097"/>
    <w:rsid w:val="00B269F8"/>
    <w:rsid w:val="00B27574"/>
    <w:rsid w:val="00B30451"/>
    <w:rsid w:val="00B30999"/>
    <w:rsid w:val="00B30C2B"/>
    <w:rsid w:val="00B319D0"/>
    <w:rsid w:val="00B32C9A"/>
    <w:rsid w:val="00B32E56"/>
    <w:rsid w:val="00B32F71"/>
    <w:rsid w:val="00B32FA1"/>
    <w:rsid w:val="00B332E6"/>
    <w:rsid w:val="00B3488A"/>
    <w:rsid w:val="00B34E18"/>
    <w:rsid w:val="00B35174"/>
    <w:rsid w:val="00B35C2D"/>
    <w:rsid w:val="00B35ED4"/>
    <w:rsid w:val="00B368C3"/>
    <w:rsid w:val="00B37723"/>
    <w:rsid w:val="00B3776E"/>
    <w:rsid w:val="00B409B1"/>
    <w:rsid w:val="00B40D78"/>
    <w:rsid w:val="00B41302"/>
    <w:rsid w:val="00B4149E"/>
    <w:rsid w:val="00B41B3F"/>
    <w:rsid w:val="00B4230A"/>
    <w:rsid w:val="00B42DF9"/>
    <w:rsid w:val="00B4353F"/>
    <w:rsid w:val="00B4372C"/>
    <w:rsid w:val="00B43745"/>
    <w:rsid w:val="00B45021"/>
    <w:rsid w:val="00B451E4"/>
    <w:rsid w:val="00B467C9"/>
    <w:rsid w:val="00B4708A"/>
    <w:rsid w:val="00B47418"/>
    <w:rsid w:val="00B50049"/>
    <w:rsid w:val="00B503A1"/>
    <w:rsid w:val="00B508AA"/>
    <w:rsid w:val="00B50F78"/>
    <w:rsid w:val="00B5133B"/>
    <w:rsid w:val="00B51A53"/>
    <w:rsid w:val="00B5224D"/>
    <w:rsid w:val="00B52850"/>
    <w:rsid w:val="00B5288A"/>
    <w:rsid w:val="00B52D18"/>
    <w:rsid w:val="00B544A1"/>
    <w:rsid w:val="00B55F99"/>
    <w:rsid w:val="00B56E29"/>
    <w:rsid w:val="00B57548"/>
    <w:rsid w:val="00B57E6E"/>
    <w:rsid w:val="00B609E3"/>
    <w:rsid w:val="00B61936"/>
    <w:rsid w:val="00B6228D"/>
    <w:rsid w:val="00B62842"/>
    <w:rsid w:val="00B62844"/>
    <w:rsid w:val="00B62AB0"/>
    <w:rsid w:val="00B6395F"/>
    <w:rsid w:val="00B63AC1"/>
    <w:rsid w:val="00B63BF9"/>
    <w:rsid w:val="00B63EED"/>
    <w:rsid w:val="00B64173"/>
    <w:rsid w:val="00B64218"/>
    <w:rsid w:val="00B64269"/>
    <w:rsid w:val="00B64290"/>
    <w:rsid w:val="00B64973"/>
    <w:rsid w:val="00B65C55"/>
    <w:rsid w:val="00B65D0F"/>
    <w:rsid w:val="00B66047"/>
    <w:rsid w:val="00B661C7"/>
    <w:rsid w:val="00B676CE"/>
    <w:rsid w:val="00B676E5"/>
    <w:rsid w:val="00B67EB3"/>
    <w:rsid w:val="00B7034B"/>
    <w:rsid w:val="00B70A0E"/>
    <w:rsid w:val="00B70C4A"/>
    <w:rsid w:val="00B71931"/>
    <w:rsid w:val="00B7214F"/>
    <w:rsid w:val="00B7247A"/>
    <w:rsid w:val="00B72E16"/>
    <w:rsid w:val="00B73371"/>
    <w:rsid w:val="00B73CB9"/>
    <w:rsid w:val="00B73D76"/>
    <w:rsid w:val="00B74A73"/>
    <w:rsid w:val="00B74BAF"/>
    <w:rsid w:val="00B74BB6"/>
    <w:rsid w:val="00B7532C"/>
    <w:rsid w:val="00B756CA"/>
    <w:rsid w:val="00B757A6"/>
    <w:rsid w:val="00B759B9"/>
    <w:rsid w:val="00B765B9"/>
    <w:rsid w:val="00B76A68"/>
    <w:rsid w:val="00B76AB9"/>
    <w:rsid w:val="00B77496"/>
    <w:rsid w:val="00B80533"/>
    <w:rsid w:val="00B806AE"/>
    <w:rsid w:val="00B80BF9"/>
    <w:rsid w:val="00B813BD"/>
    <w:rsid w:val="00B8177F"/>
    <w:rsid w:val="00B819C7"/>
    <w:rsid w:val="00B827E2"/>
    <w:rsid w:val="00B83E94"/>
    <w:rsid w:val="00B84402"/>
    <w:rsid w:val="00B84D28"/>
    <w:rsid w:val="00B851BD"/>
    <w:rsid w:val="00B8593D"/>
    <w:rsid w:val="00B85B9E"/>
    <w:rsid w:val="00B86191"/>
    <w:rsid w:val="00B8699C"/>
    <w:rsid w:val="00B86AE5"/>
    <w:rsid w:val="00B86B98"/>
    <w:rsid w:val="00B870C3"/>
    <w:rsid w:val="00B87AA5"/>
    <w:rsid w:val="00B87F28"/>
    <w:rsid w:val="00B87F50"/>
    <w:rsid w:val="00B90395"/>
    <w:rsid w:val="00B90AE1"/>
    <w:rsid w:val="00B91075"/>
    <w:rsid w:val="00B9116F"/>
    <w:rsid w:val="00B91361"/>
    <w:rsid w:val="00B929FE"/>
    <w:rsid w:val="00B93BF3"/>
    <w:rsid w:val="00B93CE5"/>
    <w:rsid w:val="00B93F24"/>
    <w:rsid w:val="00B947F0"/>
    <w:rsid w:val="00B95589"/>
    <w:rsid w:val="00B95F07"/>
    <w:rsid w:val="00B96295"/>
    <w:rsid w:val="00B9673D"/>
    <w:rsid w:val="00B96F17"/>
    <w:rsid w:val="00B972E6"/>
    <w:rsid w:val="00B97A20"/>
    <w:rsid w:val="00BA07F3"/>
    <w:rsid w:val="00BA0F71"/>
    <w:rsid w:val="00BA17A4"/>
    <w:rsid w:val="00BA2671"/>
    <w:rsid w:val="00BA2DD7"/>
    <w:rsid w:val="00BA3090"/>
    <w:rsid w:val="00BA386A"/>
    <w:rsid w:val="00BA3CCA"/>
    <w:rsid w:val="00BA4295"/>
    <w:rsid w:val="00BA42BC"/>
    <w:rsid w:val="00BA4B73"/>
    <w:rsid w:val="00BA4C36"/>
    <w:rsid w:val="00BA575B"/>
    <w:rsid w:val="00BA5C1C"/>
    <w:rsid w:val="00BA5FCE"/>
    <w:rsid w:val="00BA6359"/>
    <w:rsid w:val="00BA6D6B"/>
    <w:rsid w:val="00BA6E35"/>
    <w:rsid w:val="00BA755A"/>
    <w:rsid w:val="00BA796F"/>
    <w:rsid w:val="00BA7DAA"/>
    <w:rsid w:val="00BB06ED"/>
    <w:rsid w:val="00BB0C54"/>
    <w:rsid w:val="00BB110D"/>
    <w:rsid w:val="00BB1C67"/>
    <w:rsid w:val="00BB1D7B"/>
    <w:rsid w:val="00BB2024"/>
    <w:rsid w:val="00BB2594"/>
    <w:rsid w:val="00BB28AB"/>
    <w:rsid w:val="00BB2B6D"/>
    <w:rsid w:val="00BB2FD2"/>
    <w:rsid w:val="00BB355B"/>
    <w:rsid w:val="00BB4A36"/>
    <w:rsid w:val="00BB530B"/>
    <w:rsid w:val="00BB5AE4"/>
    <w:rsid w:val="00BB60A3"/>
    <w:rsid w:val="00BB6B2C"/>
    <w:rsid w:val="00BB7A0F"/>
    <w:rsid w:val="00BC0664"/>
    <w:rsid w:val="00BC0B7E"/>
    <w:rsid w:val="00BC0BC9"/>
    <w:rsid w:val="00BC0DA2"/>
    <w:rsid w:val="00BC0DCE"/>
    <w:rsid w:val="00BC1711"/>
    <w:rsid w:val="00BC1899"/>
    <w:rsid w:val="00BC1D87"/>
    <w:rsid w:val="00BC2658"/>
    <w:rsid w:val="00BC27BC"/>
    <w:rsid w:val="00BC28F2"/>
    <w:rsid w:val="00BC3171"/>
    <w:rsid w:val="00BC345A"/>
    <w:rsid w:val="00BC35FE"/>
    <w:rsid w:val="00BC3FF4"/>
    <w:rsid w:val="00BC42EA"/>
    <w:rsid w:val="00BC4915"/>
    <w:rsid w:val="00BC49D6"/>
    <w:rsid w:val="00BC51BB"/>
    <w:rsid w:val="00BC58C6"/>
    <w:rsid w:val="00BC5918"/>
    <w:rsid w:val="00BC6635"/>
    <w:rsid w:val="00BC7147"/>
    <w:rsid w:val="00BC75D4"/>
    <w:rsid w:val="00BC7603"/>
    <w:rsid w:val="00BC77F1"/>
    <w:rsid w:val="00BC7BA4"/>
    <w:rsid w:val="00BC7DFC"/>
    <w:rsid w:val="00BD0884"/>
    <w:rsid w:val="00BD09E0"/>
    <w:rsid w:val="00BD0DEE"/>
    <w:rsid w:val="00BD1447"/>
    <w:rsid w:val="00BD15F0"/>
    <w:rsid w:val="00BD1731"/>
    <w:rsid w:val="00BD1BCB"/>
    <w:rsid w:val="00BD1DC4"/>
    <w:rsid w:val="00BD218C"/>
    <w:rsid w:val="00BD280E"/>
    <w:rsid w:val="00BD2F56"/>
    <w:rsid w:val="00BD339F"/>
    <w:rsid w:val="00BD4128"/>
    <w:rsid w:val="00BD4B19"/>
    <w:rsid w:val="00BD4B40"/>
    <w:rsid w:val="00BD53D4"/>
    <w:rsid w:val="00BD58BA"/>
    <w:rsid w:val="00BD5C36"/>
    <w:rsid w:val="00BD671D"/>
    <w:rsid w:val="00BD6786"/>
    <w:rsid w:val="00BD6F07"/>
    <w:rsid w:val="00BD72AB"/>
    <w:rsid w:val="00BD76B1"/>
    <w:rsid w:val="00BD77FF"/>
    <w:rsid w:val="00BD7B6C"/>
    <w:rsid w:val="00BD7E97"/>
    <w:rsid w:val="00BE0B07"/>
    <w:rsid w:val="00BE18D7"/>
    <w:rsid w:val="00BE1B92"/>
    <w:rsid w:val="00BE2421"/>
    <w:rsid w:val="00BE2A7E"/>
    <w:rsid w:val="00BE2B4E"/>
    <w:rsid w:val="00BE3132"/>
    <w:rsid w:val="00BE38F5"/>
    <w:rsid w:val="00BE3DF4"/>
    <w:rsid w:val="00BE48EF"/>
    <w:rsid w:val="00BE5366"/>
    <w:rsid w:val="00BE6F93"/>
    <w:rsid w:val="00BE71A6"/>
    <w:rsid w:val="00BE7236"/>
    <w:rsid w:val="00BE785D"/>
    <w:rsid w:val="00BF065F"/>
    <w:rsid w:val="00BF0959"/>
    <w:rsid w:val="00BF0DE6"/>
    <w:rsid w:val="00BF0FB9"/>
    <w:rsid w:val="00BF11AD"/>
    <w:rsid w:val="00BF162D"/>
    <w:rsid w:val="00BF1743"/>
    <w:rsid w:val="00BF17B8"/>
    <w:rsid w:val="00BF228F"/>
    <w:rsid w:val="00BF24A0"/>
    <w:rsid w:val="00BF2A0E"/>
    <w:rsid w:val="00BF4152"/>
    <w:rsid w:val="00BF6095"/>
    <w:rsid w:val="00BF6455"/>
    <w:rsid w:val="00BF6DD3"/>
    <w:rsid w:val="00C003D5"/>
    <w:rsid w:val="00C012B9"/>
    <w:rsid w:val="00C01657"/>
    <w:rsid w:val="00C01746"/>
    <w:rsid w:val="00C0175F"/>
    <w:rsid w:val="00C01D48"/>
    <w:rsid w:val="00C01E04"/>
    <w:rsid w:val="00C01FFB"/>
    <w:rsid w:val="00C0244E"/>
    <w:rsid w:val="00C02C74"/>
    <w:rsid w:val="00C03420"/>
    <w:rsid w:val="00C03EAD"/>
    <w:rsid w:val="00C04558"/>
    <w:rsid w:val="00C0459D"/>
    <w:rsid w:val="00C052B8"/>
    <w:rsid w:val="00C05AA0"/>
    <w:rsid w:val="00C06511"/>
    <w:rsid w:val="00C067C1"/>
    <w:rsid w:val="00C07282"/>
    <w:rsid w:val="00C101F8"/>
    <w:rsid w:val="00C10566"/>
    <w:rsid w:val="00C105D5"/>
    <w:rsid w:val="00C107B2"/>
    <w:rsid w:val="00C10871"/>
    <w:rsid w:val="00C1112A"/>
    <w:rsid w:val="00C118EF"/>
    <w:rsid w:val="00C12709"/>
    <w:rsid w:val="00C14591"/>
    <w:rsid w:val="00C14617"/>
    <w:rsid w:val="00C15432"/>
    <w:rsid w:val="00C15F00"/>
    <w:rsid w:val="00C16263"/>
    <w:rsid w:val="00C17259"/>
    <w:rsid w:val="00C17545"/>
    <w:rsid w:val="00C17821"/>
    <w:rsid w:val="00C200AD"/>
    <w:rsid w:val="00C205B8"/>
    <w:rsid w:val="00C20AE6"/>
    <w:rsid w:val="00C21FBE"/>
    <w:rsid w:val="00C2266E"/>
    <w:rsid w:val="00C23550"/>
    <w:rsid w:val="00C23DDA"/>
    <w:rsid w:val="00C23ED8"/>
    <w:rsid w:val="00C2463B"/>
    <w:rsid w:val="00C24925"/>
    <w:rsid w:val="00C24FC2"/>
    <w:rsid w:val="00C253AB"/>
    <w:rsid w:val="00C2748E"/>
    <w:rsid w:val="00C27650"/>
    <w:rsid w:val="00C27700"/>
    <w:rsid w:val="00C2784A"/>
    <w:rsid w:val="00C279FF"/>
    <w:rsid w:val="00C30558"/>
    <w:rsid w:val="00C30809"/>
    <w:rsid w:val="00C30B4D"/>
    <w:rsid w:val="00C30F82"/>
    <w:rsid w:val="00C3136E"/>
    <w:rsid w:val="00C317A1"/>
    <w:rsid w:val="00C324B8"/>
    <w:rsid w:val="00C32843"/>
    <w:rsid w:val="00C33456"/>
    <w:rsid w:val="00C33477"/>
    <w:rsid w:val="00C3357E"/>
    <w:rsid w:val="00C335B2"/>
    <w:rsid w:val="00C336AF"/>
    <w:rsid w:val="00C34081"/>
    <w:rsid w:val="00C34B3A"/>
    <w:rsid w:val="00C35C45"/>
    <w:rsid w:val="00C360AE"/>
    <w:rsid w:val="00C36F4A"/>
    <w:rsid w:val="00C37690"/>
    <w:rsid w:val="00C37B01"/>
    <w:rsid w:val="00C40578"/>
    <w:rsid w:val="00C408F5"/>
    <w:rsid w:val="00C409D0"/>
    <w:rsid w:val="00C40EEF"/>
    <w:rsid w:val="00C40F1E"/>
    <w:rsid w:val="00C4197E"/>
    <w:rsid w:val="00C41D48"/>
    <w:rsid w:val="00C4240A"/>
    <w:rsid w:val="00C42544"/>
    <w:rsid w:val="00C42BD5"/>
    <w:rsid w:val="00C43037"/>
    <w:rsid w:val="00C437FE"/>
    <w:rsid w:val="00C438EA"/>
    <w:rsid w:val="00C44B02"/>
    <w:rsid w:val="00C44C51"/>
    <w:rsid w:val="00C44F2F"/>
    <w:rsid w:val="00C465A4"/>
    <w:rsid w:val="00C469F0"/>
    <w:rsid w:val="00C473CB"/>
    <w:rsid w:val="00C47C28"/>
    <w:rsid w:val="00C50133"/>
    <w:rsid w:val="00C50323"/>
    <w:rsid w:val="00C503A6"/>
    <w:rsid w:val="00C505BC"/>
    <w:rsid w:val="00C50AD9"/>
    <w:rsid w:val="00C5145D"/>
    <w:rsid w:val="00C519A7"/>
    <w:rsid w:val="00C528FC"/>
    <w:rsid w:val="00C5315D"/>
    <w:rsid w:val="00C531DD"/>
    <w:rsid w:val="00C53450"/>
    <w:rsid w:val="00C53700"/>
    <w:rsid w:val="00C54416"/>
    <w:rsid w:val="00C54938"/>
    <w:rsid w:val="00C549DF"/>
    <w:rsid w:val="00C56F72"/>
    <w:rsid w:val="00C570AA"/>
    <w:rsid w:val="00C57DCF"/>
    <w:rsid w:val="00C60A4F"/>
    <w:rsid w:val="00C60C55"/>
    <w:rsid w:val="00C61FC4"/>
    <w:rsid w:val="00C62484"/>
    <w:rsid w:val="00C62981"/>
    <w:rsid w:val="00C62BA8"/>
    <w:rsid w:val="00C634D2"/>
    <w:rsid w:val="00C646F2"/>
    <w:rsid w:val="00C6481E"/>
    <w:rsid w:val="00C64B54"/>
    <w:rsid w:val="00C6509C"/>
    <w:rsid w:val="00C650CB"/>
    <w:rsid w:val="00C651D6"/>
    <w:rsid w:val="00C659DE"/>
    <w:rsid w:val="00C65D0A"/>
    <w:rsid w:val="00C66783"/>
    <w:rsid w:val="00C66D1F"/>
    <w:rsid w:val="00C67563"/>
    <w:rsid w:val="00C679A7"/>
    <w:rsid w:val="00C716D8"/>
    <w:rsid w:val="00C725F0"/>
    <w:rsid w:val="00C72C05"/>
    <w:rsid w:val="00C73166"/>
    <w:rsid w:val="00C731BD"/>
    <w:rsid w:val="00C73216"/>
    <w:rsid w:val="00C736BD"/>
    <w:rsid w:val="00C737FD"/>
    <w:rsid w:val="00C73A9B"/>
    <w:rsid w:val="00C73C10"/>
    <w:rsid w:val="00C73E41"/>
    <w:rsid w:val="00C7434A"/>
    <w:rsid w:val="00C74A9A"/>
    <w:rsid w:val="00C74E3E"/>
    <w:rsid w:val="00C75147"/>
    <w:rsid w:val="00C75335"/>
    <w:rsid w:val="00C7548E"/>
    <w:rsid w:val="00C7553E"/>
    <w:rsid w:val="00C75AD2"/>
    <w:rsid w:val="00C75BF3"/>
    <w:rsid w:val="00C75C0D"/>
    <w:rsid w:val="00C76352"/>
    <w:rsid w:val="00C7695E"/>
    <w:rsid w:val="00C76D36"/>
    <w:rsid w:val="00C77754"/>
    <w:rsid w:val="00C809B0"/>
    <w:rsid w:val="00C8190E"/>
    <w:rsid w:val="00C81AD6"/>
    <w:rsid w:val="00C81DB1"/>
    <w:rsid w:val="00C8219D"/>
    <w:rsid w:val="00C82D40"/>
    <w:rsid w:val="00C83194"/>
    <w:rsid w:val="00C8329B"/>
    <w:rsid w:val="00C83520"/>
    <w:rsid w:val="00C83796"/>
    <w:rsid w:val="00C83A17"/>
    <w:rsid w:val="00C84722"/>
    <w:rsid w:val="00C84736"/>
    <w:rsid w:val="00C84CF5"/>
    <w:rsid w:val="00C90D8E"/>
    <w:rsid w:val="00C9119A"/>
    <w:rsid w:val="00C91586"/>
    <w:rsid w:val="00C91B45"/>
    <w:rsid w:val="00C91F02"/>
    <w:rsid w:val="00C93A4F"/>
    <w:rsid w:val="00C94A77"/>
    <w:rsid w:val="00C94AD4"/>
    <w:rsid w:val="00C95152"/>
    <w:rsid w:val="00C952D7"/>
    <w:rsid w:val="00C9555E"/>
    <w:rsid w:val="00C95ABA"/>
    <w:rsid w:val="00C95F45"/>
    <w:rsid w:val="00C96880"/>
    <w:rsid w:val="00C96C42"/>
    <w:rsid w:val="00C97A77"/>
    <w:rsid w:val="00C97AFE"/>
    <w:rsid w:val="00C97BF2"/>
    <w:rsid w:val="00CA0022"/>
    <w:rsid w:val="00CA095D"/>
    <w:rsid w:val="00CA0A99"/>
    <w:rsid w:val="00CA0C26"/>
    <w:rsid w:val="00CA0FFA"/>
    <w:rsid w:val="00CA1640"/>
    <w:rsid w:val="00CA24B0"/>
    <w:rsid w:val="00CA3194"/>
    <w:rsid w:val="00CA3943"/>
    <w:rsid w:val="00CA4BDE"/>
    <w:rsid w:val="00CA51D5"/>
    <w:rsid w:val="00CA6193"/>
    <w:rsid w:val="00CA62E2"/>
    <w:rsid w:val="00CA672F"/>
    <w:rsid w:val="00CA6DFB"/>
    <w:rsid w:val="00CA7F5F"/>
    <w:rsid w:val="00CB0453"/>
    <w:rsid w:val="00CB09C4"/>
    <w:rsid w:val="00CB0AB8"/>
    <w:rsid w:val="00CB16A2"/>
    <w:rsid w:val="00CB18BB"/>
    <w:rsid w:val="00CB1B9A"/>
    <w:rsid w:val="00CB1BDC"/>
    <w:rsid w:val="00CB1E6E"/>
    <w:rsid w:val="00CB1E7E"/>
    <w:rsid w:val="00CB2094"/>
    <w:rsid w:val="00CB237F"/>
    <w:rsid w:val="00CB2402"/>
    <w:rsid w:val="00CB25AF"/>
    <w:rsid w:val="00CB2FDE"/>
    <w:rsid w:val="00CB3779"/>
    <w:rsid w:val="00CB39FE"/>
    <w:rsid w:val="00CB4061"/>
    <w:rsid w:val="00CB448F"/>
    <w:rsid w:val="00CB4D13"/>
    <w:rsid w:val="00CB4EB5"/>
    <w:rsid w:val="00CB5225"/>
    <w:rsid w:val="00CB5951"/>
    <w:rsid w:val="00CB7019"/>
    <w:rsid w:val="00CC0198"/>
    <w:rsid w:val="00CC1494"/>
    <w:rsid w:val="00CC16C8"/>
    <w:rsid w:val="00CC1886"/>
    <w:rsid w:val="00CC1D00"/>
    <w:rsid w:val="00CC22DB"/>
    <w:rsid w:val="00CC2380"/>
    <w:rsid w:val="00CC28FA"/>
    <w:rsid w:val="00CC3387"/>
    <w:rsid w:val="00CC3621"/>
    <w:rsid w:val="00CC3E9E"/>
    <w:rsid w:val="00CC4350"/>
    <w:rsid w:val="00CC46C7"/>
    <w:rsid w:val="00CC504D"/>
    <w:rsid w:val="00CC5EFB"/>
    <w:rsid w:val="00CC7062"/>
    <w:rsid w:val="00CC737B"/>
    <w:rsid w:val="00CD0B1C"/>
    <w:rsid w:val="00CD0CFB"/>
    <w:rsid w:val="00CD0F42"/>
    <w:rsid w:val="00CD2122"/>
    <w:rsid w:val="00CD238B"/>
    <w:rsid w:val="00CD27A3"/>
    <w:rsid w:val="00CD2CA7"/>
    <w:rsid w:val="00CD3327"/>
    <w:rsid w:val="00CD4728"/>
    <w:rsid w:val="00CD4C12"/>
    <w:rsid w:val="00CD4D4B"/>
    <w:rsid w:val="00CD54C2"/>
    <w:rsid w:val="00CD5AA8"/>
    <w:rsid w:val="00CD6891"/>
    <w:rsid w:val="00CD766C"/>
    <w:rsid w:val="00CD77E5"/>
    <w:rsid w:val="00CD7A22"/>
    <w:rsid w:val="00CD7F92"/>
    <w:rsid w:val="00CE0996"/>
    <w:rsid w:val="00CE0FFC"/>
    <w:rsid w:val="00CE1152"/>
    <w:rsid w:val="00CE1627"/>
    <w:rsid w:val="00CE1C14"/>
    <w:rsid w:val="00CE2559"/>
    <w:rsid w:val="00CE2562"/>
    <w:rsid w:val="00CE2A2F"/>
    <w:rsid w:val="00CE2FFE"/>
    <w:rsid w:val="00CE41DA"/>
    <w:rsid w:val="00CE43FD"/>
    <w:rsid w:val="00CE4797"/>
    <w:rsid w:val="00CE5B9E"/>
    <w:rsid w:val="00CE6090"/>
    <w:rsid w:val="00CE6AE1"/>
    <w:rsid w:val="00CE6FE5"/>
    <w:rsid w:val="00CE7116"/>
    <w:rsid w:val="00CE7120"/>
    <w:rsid w:val="00CE743C"/>
    <w:rsid w:val="00CE7932"/>
    <w:rsid w:val="00CE7E96"/>
    <w:rsid w:val="00CF018C"/>
    <w:rsid w:val="00CF089C"/>
    <w:rsid w:val="00CF0CF5"/>
    <w:rsid w:val="00CF12ED"/>
    <w:rsid w:val="00CF1511"/>
    <w:rsid w:val="00CF2343"/>
    <w:rsid w:val="00CF239D"/>
    <w:rsid w:val="00CF2E2E"/>
    <w:rsid w:val="00CF2FA0"/>
    <w:rsid w:val="00CF3340"/>
    <w:rsid w:val="00CF412A"/>
    <w:rsid w:val="00CF45AD"/>
    <w:rsid w:val="00CF4903"/>
    <w:rsid w:val="00CF4A76"/>
    <w:rsid w:val="00CF50DD"/>
    <w:rsid w:val="00CF5221"/>
    <w:rsid w:val="00CF6075"/>
    <w:rsid w:val="00CF62CA"/>
    <w:rsid w:val="00CF6419"/>
    <w:rsid w:val="00CF7845"/>
    <w:rsid w:val="00CF7A73"/>
    <w:rsid w:val="00CF7F97"/>
    <w:rsid w:val="00D00704"/>
    <w:rsid w:val="00D00F6D"/>
    <w:rsid w:val="00D010D4"/>
    <w:rsid w:val="00D01233"/>
    <w:rsid w:val="00D0150F"/>
    <w:rsid w:val="00D01C87"/>
    <w:rsid w:val="00D0204C"/>
    <w:rsid w:val="00D03724"/>
    <w:rsid w:val="00D04DB0"/>
    <w:rsid w:val="00D05926"/>
    <w:rsid w:val="00D0613F"/>
    <w:rsid w:val="00D06449"/>
    <w:rsid w:val="00D07504"/>
    <w:rsid w:val="00D07FDC"/>
    <w:rsid w:val="00D10B7E"/>
    <w:rsid w:val="00D10BD5"/>
    <w:rsid w:val="00D10C52"/>
    <w:rsid w:val="00D11927"/>
    <w:rsid w:val="00D12AAD"/>
    <w:rsid w:val="00D13571"/>
    <w:rsid w:val="00D13731"/>
    <w:rsid w:val="00D13FC4"/>
    <w:rsid w:val="00D13FDE"/>
    <w:rsid w:val="00D1404A"/>
    <w:rsid w:val="00D142DC"/>
    <w:rsid w:val="00D14ABB"/>
    <w:rsid w:val="00D14C48"/>
    <w:rsid w:val="00D152EE"/>
    <w:rsid w:val="00D153C7"/>
    <w:rsid w:val="00D15515"/>
    <w:rsid w:val="00D15A8C"/>
    <w:rsid w:val="00D16B1E"/>
    <w:rsid w:val="00D16D50"/>
    <w:rsid w:val="00D16E79"/>
    <w:rsid w:val="00D17321"/>
    <w:rsid w:val="00D20C3C"/>
    <w:rsid w:val="00D2177E"/>
    <w:rsid w:val="00D218EF"/>
    <w:rsid w:val="00D21A51"/>
    <w:rsid w:val="00D21C05"/>
    <w:rsid w:val="00D21DE5"/>
    <w:rsid w:val="00D224A8"/>
    <w:rsid w:val="00D224EF"/>
    <w:rsid w:val="00D226E8"/>
    <w:rsid w:val="00D22BE2"/>
    <w:rsid w:val="00D23B77"/>
    <w:rsid w:val="00D2430F"/>
    <w:rsid w:val="00D243C3"/>
    <w:rsid w:val="00D24504"/>
    <w:rsid w:val="00D246B0"/>
    <w:rsid w:val="00D249E1"/>
    <w:rsid w:val="00D24B5D"/>
    <w:rsid w:val="00D24E78"/>
    <w:rsid w:val="00D257D2"/>
    <w:rsid w:val="00D25923"/>
    <w:rsid w:val="00D30BA1"/>
    <w:rsid w:val="00D311C4"/>
    <w:rsid w:val="00D31247"/>
    <w:rsid w:val="00D3167F"/>
    <w:rsid w:val="00D31685"/>
    <w:rsid w:val="00D3178B"/>
    <w:rsid w:val="00D31FCD"/>
    <w:rsid w:val="00D32CB8"/>
    <w:rsid w:val="00D32FD8"/>
    <w:rsid w:val="00D3353B"/>
    <w:rsid w:val="00D34B3B"/>
    <w:rsid w:val="00D34E39"/>
    <w:rsid w:val="00D34EBD"/>
    <w:rsid w:val="00D3572D"/>
    <w:rsid w:val="00D357FB"/>
    <w:rsid w:val="00D359E9"/>
    <w:rsid w:val="00D36646"/>
    <w:rsid w:val="00D36858"/>
    <w:rsid w:val="00D37FC3"/>
    <w:rsid w:val="00D40034"/>
    <w:rsid w:val="00D400C4"/>
    <w:rsid w:val="00D404A2"/>
    <w:rsid w:val="00D412EC"/>
    <w:rsid w:val="00D41328"/>
    <w:rsid w:val="00D4139D"/>
    <w:rsid w:val="00D421FA"/>
    <w:rsid w:val="00D4274B"/>
    <w:rsid w:val="00D4324B"/>
    <w:rsid w:val="00D432ED"/>
    <w:rsid w:val="00D436A6"/>
    <w:rsid w:val="00D436B4"/>
    <w:rsid w:val="00D436D7"/>
    <w:rsid w:val="00D4371F"/>
    <w:rsid w:val="00D43F9B"/>
    <w:rsid w:val="00D44017"/>
    <w:rsid w:val="00D441D0"/>
    <w:rsid w:val="00D446CF"/>
    <w:rsid w:val="00D44773"/>
    <w:rsid w:val="00D4480C"/>
    <w:rsid w:val="00D44A81"/>
    <w:rsid w:val="00D45A8D"/>
    <w:rsid w:val="00D45AAA"/>
    <w:rsid w:val="00D46F0E"/>
    <w:rsid w:val="00D470E6"/>
    <w:rsid w:val="00D47418"/>
    <w:rsid w:val="00D51CD2"/>
    <w:rsid w:val="00D51E34"/>
    <w:rsid w:val="00D523D3"/>
    <w:rsid w:val="00D531D9"/>
    <w:rsid w:val="00D53746"/>
    <w:rsid w:val="00D54206"/>
    <w:rsid w:val="00D54272"/>
    <w:rsid w:val="00D55858"/>
    <w:rsid w:val="00D564EC"/>
    <w:rsid w:val="00D56B0A"/>
    <w:rsid w:val="00D56BFF"/>
    <w:rsid w:val="00D57601"/>
    <w:rsid w:val="00D579AC"/>
    <w:rsid w:val="00D6018E"/>
    <w:rsid w:val="00D60634"/>
    <w:rsid w:val="00D609FD"/>
    <w:rsid w:val="00D613AE"/>
    <w:rsid w:val="00D620D3"/>
    <w:rsid w:val="00D62D3E"/>
    <w:rsid w:val="00D636D2"/>
    <w:rsid w:val="00D6377A"/>
    <w:rsid w:val="00D638D0"/>
    <w:rsid w:val="00D63DB4"/>
    <w:rsid w:val="00D63DF6"/>
    <w:rsid w:val="00D64199"/>
    <w:rsid w:val="00D64257"/>
    <w:rsid w:val="00D65946"/>
    <w:rsid w:val="00D6610A"/>
    <w:rsid w:val="00D661DC"/>
    <w:rsid w:val="00D66954"/>
    <w:rsid w:val="00D66CDA"/>
    <w:rsid w:val="00D677E7"/>
    <w:rsid w:val="00D70388"/>
    <w:rsid w:val="00D70C98"/>
    <w:rsid w:val="00D70F09"/>
    <w:rsid w:val="00D70FFB"/>
    <w:rsid w:val="00D71234"/>
    <w:rsid w:val="00D71F05"/>
    <w:rsid w:val="00D72384"/>
    <w:rsid w:val="00D728A4"/>
    <w:rsid w:val="00D737AF"/>
    <w:rsid w:val="00D743AF"/>
    <w:rsid w:val="00D744D3"/>
    <w:rsid w:val="00D7481F"/>
    <w:rsid w:val="00D75BF5"/>
    <w:rsid w:val="00D76371"/>
    <w:rsid w:val="00D766C4"/>
    <w:rsid w:val="00D773AD"/>
    <w:rsid w:val="00D7745A"/>
    <w:rsid w:val="00D7771E"/>
    <w:rsid w:val="00D777F2"/>
    <w:rsid w:val="00D779FA"/>
    <w:rsid w:val="00D80C61"/>
    <w:rsid w:val="00D80E6D"/>
    <w:rsid w:val="00D81D02"/>
    <w:rsid w:val="00D821B7"/>
    <w:rsid w:val="00D8276B"/>
    <w:rsid w:val="00D82ADD"/>
    <w:rsid w:val="00D82E14"/>
    <w:rsid w:val="00D83FDE"/>
    <w:rsid w:val="00D84865"/>
    <w:rsid w:val="00D848D4"/>
    <w:rsid w:val="00D8504A"/>
    <w:rsid w:val="00D859E7"/>
    <w:rsid w:val="00D861CC"/>
    <w:rsid w:val="00D8670F"/>
    <w:rsid w:val="00D90F89"/>
    <w:rsid w:val="00D914EF"/>
    <w:rsid w:val="00D91FD7"/>
    <w:rsid w:val="00D92146"/>
    <w:rsid w:val="00D926BF"/>
    <w:rsid w:val="00D92D44"/>
    <w:rsid w:val="00D92F55"/>
    <w:rsid w:val="00D9312B"/>
    <w:rsid w:val="00D9393E"/>
    <w:rsid w:val="00D93F23"/>
    <w:rsid w:val="00D9456C"/>
    <w:rsid w:val="00D94932"/>
    <w:rsid w:val="00D94A02"/>
    <w:rsid w:val="00D94FE8"/>
    <w:rsid w:val="00D95BD1"/>
    <w:rsid w:val="00D96277"/>
    <w:rsid w:val="00D9698C"/>
    <w:rsid w:val="00D96DAB"/>
    <w:rsid w:val="00D96EDB"/>
    <w:rsid w:val="00D96F06"/>
    <w:rsid w:val="00D97434"/>
    <w:rsid w:val="00DA0267"/>
    <w:rsid w:val="00DA0DA6"/>
    <w:rsid w:val="00DA0E8A"/>
    <w:rsid w:val="00DA11E2"/>
    <w:rsid w:val="00DA2449"/>
    <w:rsid w:val="00DA3B84"/>
    <w:rsid w:val="00DA3D52"/>
    <w:rsid w:val="00DA3E4F"/>
    <w:rsid w:val="00DA4B3A"/>
    <w:rsid w:val="00DA5C68"/>
    <w:rsid w:val="00DA5E45"/>
    <w:rsid w:val="00DA6AF7"/>
    <w:rsid w:val="00DA71F7"/>
    <w:rsid w:val="00DA7C38"/>
    <w:rsid w:val="00DA7C6F"/>
    <w:rsid w:val="00DB05E2"/>
    <w:rsid w:val="00DB0688"/>
    <w:rsid w:val="00DB2138"/>
    <w:rsid w:val="00DB2E89"/>
    <w:rsid w:val="00DB2F6B"/>
    <w:rsid w:val="00DB4C59"/>
    <w:rsid w:val="00DB57C1"/>
    <w:rsid w:val="00DB5E4B"/>
    <w:rsid w:val="00DB727A"/>
    <w:rsid w:val="00DB74A0"/>
    <w:rsid w:val="00DB794E"/>
    <w:rsid w:val="00DB7C40"/>
    <w:rsid w:val="00DC1CCC"/>
    <w:rsid w:val="00DC1D79"/>
    <w:rsid w:val="00DC2412"/>
    <w:rsid w:val="00DC2EFD"/>
    <w:rsid w:val="00DC3396"/>
    <w:rsid w:val="00DC386B"/>
    <w:rsid w:val="00DC3ED5"/>
    <w:rsid w:val="00DC4BF3"/>
    <w:rsid w:val="00DC54B0"/>
    <w:rsid w:val="00DC5941"/>
    <w:rsid w:val="00DC5E99"/>
    <w:rsid w:val="00DC69E4"/>
    <w:rsid w:val="00DC6AEF"/>
    <w:rsid w:val="00DC6B64"/>
    <w:rsid w:val="00DC7284"/>
    <w:rsid w:val="00DC792E"/>
    <w:rsid w:val="00DD0163"/>
    <w:rsid w:val="00DD02A6"/>
    <w:rsid w:val="00DD02B5"/>
    <w:rsid w:val="00DD054B"/>
    <w:rsid w:val="00DD07C1"/>
    <w:rsid w:val="00DD07CC"/>
    <w:rsid w:val="00DD0B92"/>
    <w:rsid w:val="00DD208B"/>
    <w:rsid w:val="00DD265E"/>
    <w:rsid w:val="00DD2F24"/>
    <w:rsid w:val="00DD31A9"/>
    <w:rsid w:val="00DD34E8"/>
    <w:rsid w:val="00DD3506"/>
    <w:rsid w:val="00DD39DA"/>
    <w:rsid w:val="00DD44D9"/>
    <w:rsid w:val="00DD47BC"/>
    <w:rsid w:val="00DD4AED"/>
    <w:rsid w:val="00DD653E"/>
    <w:rsid w:val="00DD7414"/>
    <w:rsid w:val="00DD7B4D"/>
    <w:rsid w:val="00DE001E"/>
    <w:rsid w:val="00DE085A"/>
    <w:rsid w:val="00DE0BC8"/>
    <w:rsid w:val="00DE11C6"/>
    <w:rsid w:val="00DE1534"/>
    <w:rsid w:val="00DE1724"/>
    <w:rsid w:val="00DE1C04"/>
    <w:rsid w:val="00DE295D"/>
    <w:rsid w:val="00DE2B76"/>
    <w:rsid w:val="00DE332D"/>
    <w:rsid w:val="00DE3B3E"/>
    <w:rsid w:val="00DE50D8"/>
    <w:rsid w:val="00DE5340"/>
    <w:rsid w:val="00DE53F0"/>
    <w:rsid w:val="00DE573F"/>
    <w:rsid w:val="00DE58F5"/>
    <w:rsid w:val="00DE5A8D"/>
    <w:rsid w:val="00DE5B87"/>
    <w:rsid w:val="00DE62AE"/>
    <w:rsid w:val="00DE673E"/>
    <w:rsid w:val="00DE6DD4"/>
    <w:rsid w:val="00DE6DE7"/>
    <w:rsid w:val="00DF0062"/>
    <w:rsid w:val="00DF1C2A"/>
    <w:rsid w:val="00DF2817"/>
    <w:rsid w:val="00DF29D9"/>
    <w:rsid w:val="00DF3118"/>
    <w:rsid w:val="00DF33D6"/>
    <w:rsid w:val="00DF3738"/>
    <w:rsid w:val="00DF3824"/>
    <w:rsid w:val="00DF42B1"/>
    <w:rsid w:val="00DF465C"/>
    <w:rsid w:val="00DF4E3C"/>
    <w:rsid w:val="00DF5327"/>
    <w:rsid w:val="00DF55B6"/>
    <w:rsid w:val="00DF57E5"/>
    <w:rsid w:val="00DF5C8F"/>
    <w:rsid w:val="00DF5C9C"/>
    <w:rsid w:val="00DF5DEE"/>
    <w:rsid w:val="00DF5F51"/>
    <w:rsid w:val="00DF61F5"/>
    <w:rsid w:val="00DF6C38"/>
    <w:rsid w:val="00DF6F99"/>
    <w:rsid w:val="00DF6FAA"/>
    <w:rsid w:val="00DF77F0"/>
    <w:rsid w:val="00DF7B77"/>
    <w:rsid w:val="00E00420"/>
    <w:rsid w:val="00E00631"/>
    <w:rsid w:val="00E00AEE"/>
    <w:rsid w:val="00E01166"/>
    <w:rsid w:val="00E01BF2"/>
    <w:rsid w:val="00E01E5C"/>
    <w:rsid w:val="00E01F89"/>
    <w:rsid w:val="00E0213C"/>
    <w:rsid w:val="00E0242A"/>
    <w:rsid w:val="00E0263B"/>
    <w:rsid w:val="00E036F0"/>
    <w:rsid w:val="00E03D66"/>
    <w:rsid w:val="00E040B8"/>
    <w:rsid w:val="00E04862"/>
    <w:rsid w:val="00E051B7"/>
    <w:rsid w:val="00E05497"/>
    <w:rsid w:val="00E060DE"/>
    <w:rsid w:val="00E06C2E"/>
    <w:rsid w:val="00E077FB"/>
    <w:rsid w:val="00E07C52"/>
    <w:rsid w:val="00E07F7B"/>
    <w:rsid w:val="00E1065A"/>
    <w:rsid w:val="00E1090A"/>
    <w:rsid w:val="00E10ADA"/>
    <w:rsid w:val="00E11C78"/>
    <w:rsid w:val="00E12049"/>
    <w:rsid w:val="00E1259C"/>
    <w:rsid w:val="00E14AEB"/>
    <w:rsid w:val="00E14FE2"/>
    <w:rsid w:val="00E15215"/>
    <w:rsid w:val="00E1657C"/>
    <w:rsid w:val="00E16621"/>
    <w:rsid w:val="00E16F4D"/>
    <w:rsid w:val="00E17884"/>
    <w:rsid w:val="00E17897"/>
    <w:rsid w:val="00E202E1"/>
    <w:rsid w:val="00E20FED"/>
    <w:rsid w:val="00E21F57"/>
    <w:rsid w:val="00E220F5"/>
    <w:rsid w:val="00E22DA3"/>
    <w:rsid w:val="00E22E4A"/>
    <w:rsid w:val="00E230FC"/>
    <w:rsid w:val="00E23A27"/>
    <w:rsid w:val="00E25889"/>
    <w:rsid w:val="00E260CB"/>
    <w:rsid w:val="00E2642E"/>
    <w:rsid w:val="00E26B6B"/>
    <w:rsid w:val="00E26C92"/>
    <w:rsid w:val="00E275C7"/>
    <w:rsid w:val="00E277BE"/>
    <w:rsid w:val="00E31A0A"/>
    <w:rsid w:val="00E3333C"/>
    <w:rsid w:val="00E33C89"/>
    <w:rsid w:val="00E33F56"/>
    <w:rsid w:val="00E345F1"/>
    <w:rsid w:val="00E34A19"/>
    <w:rsid w:val="00E34E57"/>
    <w:rsid w:val="00E3523D"/>
    <w:rsid w:val="00E35A1E"/>
    <w:rsid w:val="00E362FC"/>
    <w:rsid w:val="00E36F2D"/>
    <w:rsid w:val="00E36FE0"/>
    <w:rsid w:val="00E3740F"/>
    <w:rsid w:val="00E377B5"/>
    <w:rsid w:val="00E40070"/>
    <w:rsid w:val="00E40ADB"/>
    <w:rsid w:val="00E40C11"/>
    <w:rsid w:val="00E4119D"/>
    <w:rsid w:val="00E411D9"/>
    <w:rsid w:val="00E42226"/>
    <w:rsid w:val="00E4241D"/>
    <w:rsid w:val="00E4259F"/>
    <w:rsid w:val="00E42DD3"/>
    <w:rsid w:val="00E43BE3"/>
    <w:rsid w:val="00E445FA"/>
    <w:rsid w:val="00E44E6A"/>
    <w:rsid w:val="00E456C9"/>
    <w:rsid w:val="00E4632E"/>
    <w:rsid w:val="00E46564"/>
    <w:rsid w:val="00E46AF4"/>
    <w:rsid w:val="00E46CC5"/>
    <w:rsid w:val="00E47ADD"/>
    <w:rsid w:val="00E47E8C"/>
    <w:rsid w:val="00E50734"/>
    <w:rsid w:val="00E508FB"/>
    <w:rsid w:val="00E50B9A"/>
    <w:rsid w:val="00E50D01"/>
    <w:rsid w:val="00E51D2C"/>
    <w:rsid w:val="00E5214F"/>
    <w:rsid w:val="00E52271"/>
    <w:rsid w:val="00E5229E"/>
    <w:rsid w:val="00E53110"/>
    <w:rsid w:val="00E5341E"/>
    <w:rsid w:val="00E536D4"/>
    <w:rsid w:val="00E5412E"/>
    <w:rsid w:val="00E5425E"/>
    <w:rsid w:val="00E553EA"/>
    <w:rsid w:val="00E558E6"/>
    <w:rsid w:val="00E56B09"/>
    <w:rsid w:val="00E57B8E"/>
    <w:rsid w:val="00E60269"/>
    <w:rsid w:val="00E60AB9"/>
    <w:rsid w:val="00E60DEE"/>
    <w:rsid w:val="00E6156F"/>
    <w:rsid w:val="00E616C5"/>
    <w:rsid w:val="00E61782"/>
    <w:rsid w:val="00E61C5F"/>
    <w:rsid w:val="00E62353"/>
    <w:rsid w:val="00E62CC3"/>
    <w:rsid w:val="00E6352B"/>
    <w:rsid w:val="00E639B9"/>
    <w:rsid w:val="00E63E2D"/>
    <w:rsid w:val="00E6452D"/>
    <w:rsid w:val="00E646C2"/>
    <w:rsid w:val="00E65748"/>
    <w:rsid w:val="00E659CA"/>
    <w:rsid w:val="00E65A9A"/>
    <w:rsid w:val="00E65C4B"/>
    <w:rsid w:val="00E660AC"/>
    <w:rsid w:val="00E66957"/>
    <w:rsid w:val="00E66D8A"/>
    <w:rsid w:val="00E66E24"/>
    <w:rsid w:val="00E67308"/>
    <w:rsid w:val="00E679B2"/>
    <w:rsid w:val="00E67E60"/>
    <w:rsid w:val="00E70058"/>
    <w:rsid w:val="00E70654"/>
    <w:rsid w:val="00E70E90"/>
    <w:rsid w:val="00E713ED"/>
    <w:rsid w:val="00E71701"/>
    <w:rsid w:val="00E71785"/>
    <w:rsid w:val="00E72897"/>
    <w:rsid w:val="00E72A0C"/>
    <w:rsid w:val="00E72CBC"/>
    <w:rsid w:val="00E74327"/>
    <w:rsid w:val="00E755E8"/>
    <w:rsid w:val="00E762A3"/>
    <w:rsid w:val="00E765D4"/>
    <w:rsid w:val="00E76BEE"/>
    <w:rsid w:val="00E771D3"/>
    <w:rsid w:val="00E77B42"/>
    <w:rsid w:val="00E801F6"/>
    <w:rsid w:val="00E80C1D"/>
    <w:rsid w:val="00E80E91"/>
    <w:rsid w:val="00E81318"/>
    <w:rsid w:val="00E81B04"/>
    <w:rsid w:val="00E82066"/>
    <w:rsid w:val="00E822CE"/>
    <w:rsid w:val="00E82DC5"/>
    <w:rsid w:val="00E838B9"/>
    <w:rsid w:val="00E83AE6"/>
    <w:rsid w:val="00E84378"/>
    <w:rsid w:val="00E84511"/>
    <w:rsid w:val="00E8479F"/>
    <w:rsid w:val="00E84AA4"/>
    <w:rsid w:val="00E84DB8"/>
    <w:rsid w:val="00E8502F"/>
    <w:rsid w:val="00E858F3"/>
    <w:rsid w:val="00E85C23"/>
    <w:rsid w:val="00E86128"/>
    <w:rsid w:val="00E86CE9"/>
    <w:rsid w:val="00E8776E"/>
    <w:rsid w:val="00E87D83"/>
    <w:rsid w:val="00E90F75"/>
    <w:rsid w:val="00E9134A"/>
    <w:rsid w:val="00E91B37"/>
    <w:rsid w:val="00E91E6C"/>
    <w:rsid w:val="00E92801"/>
    <w:rsid w:val="00E92AA0"/>
    <w:rsid w:val="00E92C49"/>
    <w:rsid w:val="00E93554"/>
    <w:rsid w:val="00E9467A"/>
    <w:rsid w:val="00E94FE9"/>
    <w:rsid w:val="00E9509A"/>
    <w:rsid w:val="00E951C6"/>
    <w:rsid w:val="00E96148"/>
    <w:rsid w:val="00E96862"/>
    <w:rsid w:val="00E968AA"/>
    <w:rsid w:val="00E969DE"/>
    <w:rsid w:val="00E96FA1"/>
    <w:rsid w:val="00E97563"/>
    <w:rsid w:val="00E97BCB"/>
    <w:rsid w:val="00EA02D7"/>
    <w:rsid w:val="00EA1638"/>
    <w:rsid w:val="00EA1774"/>
    <w:rsid w:val="00EA1A00"/>
    <w:rsid w:val="00EA1C61"/>
    <w:rsid w:val="00EA1D48"/>
    <w:rsid w:val="00EA1DF6"/>
    <w:rsid w:val="00EA1E55"/>
    <w:rsid w:val="00EA2684"/>
    <w:rsid w:val="00EA3279"/>
    <w:rsid w:val="00EA38A7"/>
    <w:rsid w:val="00EA480C"/>
    <w:rsid w:val="00EA485D"/>
    <w:rsid w:val="00EA48F9"/>
    <w:rsid w:val="00EA5226"/>
    <w:rsid w:val="00EA5B82"/>
    <w:rsid w:val="00EA5CFC"/>
    <w:rsid w:val="00EA6CB4"/>
    <w:rsid w:val="00EA77C3"/>
    <w:rsid w:val="00EA78E7"/>
    <w:rsid w:val="00EB0386"/>
    <w:rsid w:val="00EB0E88"/>
    <w:rsid w:val="00EB1791"/>
    <w:rsid w:val="00EB1FFA"/>
    <w:rsid w:val="00EB3020"/>
    <w:rsid w:val="00EB39DC"/>
    <w:rsid w:val="00EB4172"/>
    <w:rsid w:val="00EB4C3E"/>
    <w:rsid w:val="00EB4DCD"/>
    <w:rsid w:val="00EB4DDB"/>
    <w:rsid w:val="00EB5271"/>
    <w:rsid w:val="00EB5E3C"/>
    <w:rsid w:val="00EB6368"/>
    <w:rsid w:val="00EB6D40"/>
    <w:rsid w:val="00EB6D63"/>
    <w:rsid w:val="00EB741C"/>
    <w:rsid w:val="00EB799C"/>
    <w:rsid w:val="00EC0229"/>
    <w:rsid w:val="00EC1427"/>
    <w:rsid w:val="00EC1D49"/>
    <w:rsid w:val="00EC1D56"/>
    <w:rsid w:val="00EC1F8B"/>
    <w:rsid w:val="00EC2410"/>
    <w:rsid w:val="00EC3149"/>
    <w:rsid w:val="00EC32D5"/>
    <w:rsid w:val="00EC3902"/>
    <w:rsid w:val="00EC3BEF"/>
    <w:rsid w:val="00EC3EA0"/>
    <w:rsid w:val="00EC3EF3"/>
    <w:rsid w:val="00EC47A1"/>
    <w:rsid w:val="00EC5E95"/>
    <w:rsid w:val="00EC66E2"/>
    <w:rsid w:val="00EC7000"/>
    <w:rsid w:val="00EC7DDB"/>
    <w:rsid w:val="00ED0839"/>
    <w:rsid w:val="00ED0D9F"/>
    <w:rsid w:val="00ED1657"/>
    <w:rsid w:val="00ED2831"/>
    <w:rsid w:val="00ED2DB9"/>
    <w:rsid w:val="00ED2F45"/>
    <w:rsid w:val="00ED3646"/>
    <w:rsid w:val="00ED398F"/>
    <w:rsid w:val="00ED3E21"/>
    <w:rsid w:val="00ED3F19"/>
    <w:rsid w:val="00ED43AC"/>
    <w:rsid w:val="00ED49AE"/>
    <w:rsid w:val="00ED563F"/>
    <w:rsid w:val="00ED573B"/>
    <w:rsid w:val="00ED6150"/>
    <w:rsid w:val="00ED624B"/>
    <w:rsid w:val="00ED65BE"/>
    <w:rsid w:val="00ED6D07"/>
    <w:rsid w:val="00ED7032"/>
    <w:rsid w:val="00ED720C"/>
    <w:rsid w:val="00ED766C"/>
    <w:rsid w:val="00EE0075"/>
    <w:rsid w:val="00EE0389"/>
    <w:rsid w:val="00EE0A02"/>
    <w:rsid w:val="00EE0DAB"/>
    <w:rsid w:val="00EE0EF1"/>
    <w:rsid w:val="00EE135E"/>
    <w:rsid w:val="00EE15E5"/>
    <w:rsid w:val="00EE160E"/>
    <w:rsid w:val="00EE1900"/>
    <w:rsid w:val="00EE192A"/>
    <w:rsid w:val="00EE212E"/>
    <w:rsid w:val="00EE21C6"/>
    <w:rsid w:val="00EE26C8"/>
    <w:rsid w:val="00EE3B63"/>
    <w:rsid w:val="00EE3FE5"/>
    <w:rsid w:val="00EE41B2"/>
    <w:rsid w:val="00EE43DB"/>
    <w:rsid w:val="00EE481C"/>
    <w:rsid w:val="00EE4D75"/>
    <w:rsid w:val="00EE5013"/>
    <w:rsid w:val="00EE519E"/>
    <w:rsid w:val="00EE5773"/>
    <w:rsid w:val="00EE5E79"/>
    <w:rsid w:val="00EE5F83"/>
    <w:rsid w:val="00EE5FFD"/>
    <w:rsid w:val="00EE6E84"/>
    <w:rsid w:val="00EE712C"/>
    <w:rsid w:val="00EE734E"/>
    <w:rsid w:val="00EE7788"/>
    <w:rsid w:val="00EE7908"/>
    <w:rsid w:val="00EE7E95"/>
    <w:rsid w:val="00EF01E4"/>
    <w:rsid w:val="00EF09E3"/>
    <w:rsid w:val="00EF0BC0"/>
    <w:rsid w:val="00EF129A"/>
    <w:rsid w:val="00EF1D4B"/>
    <w:rsid w:val="00EF201F"/>
    <w:rsid w:val="00EF213A"/>
    <w:rsid w:val="00EF2EAF"/>
    <w:rsid w:val="00EF3013"/>
    <w:rsid w:val="00EF3DA6"/>
    <w:rsid w:val="00EF40F7"/>
    <w:rsid w:val="00EF58C2"/>
    <w:rsid w:val="00EF63E9"/>
    <w:rsid w:val="00EF68CB"/>
    <w:rsid w:val="00EF69B1"/>
    <w:rsid w:val="00EF6BF3"/>
    <w:rsid w:val="00EF7AC3"/>
    <w:rsid w:val="00EF7BBD"/>
    <w:rsid w:val="00EF7EC2"/>
    <w:rsid w:val="00F006AF"/>
    <w:rsid w:val="00F0084E"/>
    <w:rsid w:val="00F011B5"/>
    <w:rsid w:val="00F01408"/>
    <w:rsid w:val="00F0158F"/>
    <w:rsid w:val="00F0164C"/>
    <w:rsid w:val="00F01BC4"/>
    <w:rsid w:val="00F01BDD"/>
    <w:rsid w:val="00F01C1C"/>
    <w:rsid w:val="00F030A8"/>
    <w:rsid w:val="00F03521"/>
    <w:rsid w:val="00F03F7E"/>
    <w:rsid w:val="00F0610B"/>
    <w:rsid w:val="00F06384"/>
    <w:rsid w:val="00F06B3A"/>
    <w:rsid w:val="00F06E7D"/>
    <w:rsid w:val="00F10729"/>
    <w:rsid w:val="00F11476"/>
    <w:rsid w:val="00F11BD0"/>
    <w:rsid w:val="00F12716"/>
    <w:rsid w:val="00F12C7F"/>
    <w:rsid w:val="00F12CB3"/>
    <w:rsid w:val="00F133E0"/>
    <w:rsid w:val="00F1371B"/>
    <w:rsid w:val="00F139AF"/>
    <w:rsid w:val="00F13ACD"/>
    <w:rsid w:val="00F13F40"/>
    <w:rsid w:val="00F144EC"/>
    <w:rsid w:val="00F15081"/>
    <w:rsid w:val="00F15392"/>
    <w:rsid w:val="00F15606"/>
    <w:rsid w:val="00F15638"/>
    <w:rsid w:val="00F15997"/>
    <w:rsid w:val="00F17032"/>
    <w:rsid w:val="00F171FC"/>
    <w:rsid w:val="00F17D52"/>
    <w:rsid w:val="00F20169"/>
    <w:rsid w:val="00F20469"/>
    <w:rsid w:val="00F204A1"/>
    <w:rsid w:val="00F20A5B"/>
    <w:rsid w:val="00F214BB"/>
    <w:rsid w:val="00F21793"/>
    <w:rsid w:val="00F21B7D"/>
    <w:rsid w:val="00F21CAB"/>
    <w:rsid w:val="00F21D9B"/>
    <w:rsid w:val="00F21F02"/>
    <w:rsid w:val="00F21FDD"/>
    <w:rsid w:val="00F226B3"/>
    <w:rsid w:val="00F227A4"/>
    <w:rsid w:val="00F230AA"/>
    <w:rsid w:val="00F230F4"/>
    <w:rsid w:val="00F23268"/>
    <w:rsid w:val="00F23E31"/>
    <w:rsid w:val="00F2425D"/>
    <w:rsid w:val="00F2521E"/>
    <w:rsid w:val="00F258DE"/>
    <w:rsid w:val="00F25B39"/>
    <w:rsid w:val="00F25FE8"/>
    <w:rsid w:val="00F262FB"/>
    <w:rsid w:val="00F26358"/>
    <w:rsid w:val="00F2728A"/>
    <w:rsid w:val="00F30B78"/>
    <w:rsid w:val="00F30EC8"/>
    <w:rsid w:val="00F313D1"/>
    <w:rsid w:val="00F318EB"/>
    <w:rsid w:val="00F31AF3"/>
    <w:rsid w:val="00F3200D"/>
    <w:rsid w:val="00F32C95"/>
    <w:rsid w:val="00F32E66"/>
    <w:rsid w:val="00F33278"/>
    <w:rsid w:val="00F33932"/>
    <w:rsid w:val="00F347A3"/>
    <w:rsid w:val="00F34D38"/>
    <w:rsid w:val="00F34EBF"/>
    <w:rsid w:val="00F3620F"/>
    <w:rsid w:val="00F3671D"/>
    <w:rsid w:val="00F37A01"/>
    <w:rsid w:val="00F37E41"/>
    <w:rsid w:val="00F37EF3"/>
    <w:rsid w:val="00F406F8"/>
    <w:rsid w:val="00F408A1"/>
    <w:rsid w:val="00F4098A"/>
    <w:rsid w:val="00F40BC1"/>
    <w:rsid w:val="00F4133A"/>
    <w:rsid w:val="00F41857"/>
    <w:rsid w:val="00F42C33"/>
    <w:rsid w:val="00F43478"/>
    <w:rsid w:val="00F45279"/>
    <w:rsid w:val="00F45926"/>
    <w:rsid w:val="00F45CAB"/>
    <w:rsid w:val="00F45D68"/>
    <w:rsid w:val="00F46271"/>
    <w:rsid w:val="00F462AC"/>
    <w:rsid w:val="00F465BD"/>
    <w:rsid w:val="00F46707"/>
    <w:rsid w:val="00F46A57"/>
    <w:rsid w:val="00F46C52"/>
    <w:rsid w:val="00F504AA"/>
    <w:rsid w:val="00F50B3E"/>
    <w:rsid w:val="00F519C5"/>
    <w:rsid w:val="00F51BD2"/>
    <w:rsid w:val="00F51CE2"/>
    <w:rsid w:val="00F530FD"/>
    <w:rsid w:val="00F54401"/>
    <w:rsid w:val="00F5471E"/>
    <w:rsid w:val="00F54F96"/>
    <w:rsid w:val="00F5533B"/>
    <w:rsid w:val="00F55364"/>
    <w:rsid w:val="00F55661"/>
    <w:rsid w:val="00F55AD7"/>
    <w:rsid w:val="00F55E81"/>
    <w:rsid w:val="00F567AF"/>
    <w:rsid w:val="00F568D0"/>
    <w:rsid w:val="00F56AF4"/>
    <w:rsid w:val="00F56F1A"/>
    <w:rsid w:val="00F57BC7"/>
    <w:rsid w:val="00F60398"/>
    <w:rsid w:val="00F609CF"/>
    <w:rsid w:val="00F60B61"/>
    <w:rsid w:val="00F61D16"/>
    <w:rsid w:val="00F61E22"/>
    <w:rsid w:val="00F622CE"/>
    <w:rsid w:val="00F624B2"/>
    <w:rsid w:val="00F62569"/>
    <w:rsid w:val="00F62A2A"/>
    <w:rsid w:val="00F64D23"/>
    <w:rsid w:val="00F64EB8"/>
    <w:rsid w:val="00F64F78"/>
    <w:rsid w:val="00F65689"/>
    <w:rsid w:val="00F6592A"/>
    <w:rsid w:val="00F65FEB"/>
    <w:rsid w:val="00F66756"/>
    <w:rsid w:val="00F669D8"/>
    <w:rsid w:val="00F66CEB"/>
    <w:rsid w:val="00F67314"/>
    <w:rsid w:val="00F674F2"/>
    <w:rsid w:val="00F676F0"/>
    <w:rsid w:val="00F70402"/>
    <w:rsid w:val="00F71088"/>
    <w:rsid w:val="00F7143B"/>
    <w:rsid w:val="00F71C72"/>
    <w:rsid w:val="00F72304"/>
    <w:rsid w:val="00F723BB"/>
    <w:rsid w:val="00F72547"/>
    <w:rsid w:val="00F72736"/>
    <w:rsid w:val="00F72977"/>
    <w:rsid w:val="00F72D56"/>
    <w:rsid w:val="00F72F9E"/>
    <w:rsid w:val="00F731B1"/>
    <w:rsid w:val="00F736E3"/>
    <w:rsid w:val="00F73B36"/>
    <w:rsid w:val="00F73FA4"/>
    <w:rsid w:val="00F743A4"/>
    <w:rsid w:val="00F745A6"/>
    <w:rsid w:val="00F75222"/>
    <w:rsid w:val="00F75300"/>
    <w:rsid w:val="00F75564"/>
    <w:rsid w:val="00F755CE"/>
    <w:rsid w:val="00F76052"/>
    <w:rsid w:val="00F762CB"/>
    <w:rsid w:val="00F766DD"/>
    <w:rsid w:val="00F76CBF"/>
    <w:rsid w:val="00F7734E"/>
    <w:rsid w:val="00F7792B"/>
    <w:rsid w:val="00F7796A"/>
    <w:rsid w:val="00F8026F"/>
    <w:rsid w:val="00F80291"/>
    <w:rsid w:val="00F805D3"/>
    <w:rsid w:val="00F818A0"/>
    <w:rsid w:val="00F83408"/>
    <w:rsid w:val="00F834EB"/>
    <w:rsid w:val="00F83557"/>
    <w:rsid w:val="00F83684"/>
    <w:rsid w:val="00F83764"/>
    <w:rsid w:val="00F83F8A"/>
    <w:rsid w:val="00F84665"/>
    <w:rsid w:val="00F85251"/>
    <w:rsid w:val="00F86015"/>
    <w:rsid w:val="00F86D73"/>
    <w:rsid w:val="00F87234"/>
    <w:rsid w:val="00F900D7"/>
    <w:rsid w:val="00F9055A"/>
    <w:rsid w:val="00F909E8"/>
    <w:rsid w:val="00F91183"/>
    <w:rsid w:val="00F9138C"/>
    <w:rsid w:val="00F92129"/>
    <w:rsid w:val="00F929A6"/>
    <w:rsid w:val="00F93952"/>
    <w:rsid w:val="00F94307"/>
    <w:rsid w:val="00F94A01"/>
    <w:rsid w:val="00F95956"/>
    <w:rsid w:val="00F9607C"/>
    <w:rsid w:val="00F96199"/>
    <w:rsid w:val="00F96D48"/>
    <w:rsid w:val="00F96F7A"/>
    <w:rsid w:val="00F978AE"/>
    <w:rsid w:val="00FA0D7B"/>
    <w:rsid w:val="00FA0D9C"/>
    <w:rsid w:val="00FA1A83"/>
    <w:rsid w:val="00FA1D96"/>
    <w:rsid w:val="00FA1EF4"/>
    <w:rsid w:val="00FA2263"/>
    <w:rsid w:val="00FA2B3B"/>
    <w:rsid w:val="00FA35F8"/>
    <w:rsid w:val="00FA3672"/>
    <w:rsid w:val="00FA44D6"/>
    <w:rsid w:val="00FA48F9"/>
    <w:rsid w:val="00FA495C"/>
    <w:rsid w:val="00FA4C87"/>
    <w:rsid w:val="00FA51C5"/>
    <w:rsid w:val="00FA5473"/>
    <w:rsid w:val="00FA5613"/>
    <w:rsid w:val="00FA5963"/>
    <w:rsid w:val="00FA5D4F"/>
    <w:rsid w:val="00FA5FED"/>
    <w:rsid w:val="00FA61F7"/>
    <w:rsid w:val="00FA658C"/>
    <w:rsid w:val="00FA749B"/>
    <w:rsid w:val="00FB019C"/>
    <w:rsid w:val="00FB075B"/>
    <w:rsid w:val="00FB0FD9"/>
    <w:rsid w:val="00FB1D0B"/>
    <w:rsid w:val="00FB26FC"/>
    <w:rsid w:val="00FB287B"/>
    <w:rsid w:val="00FB28F0"/>
    <w:rsid w:val="00FB294B"/>
    <w:rsid w:val="00FB2BE6"/>
    <w:rsid w:val="00FB5202"/>
    <w:rsid w:val="00FB595A"/>
    <w:rsid w:val="00FB5EF6"/>
    <w:rsid w:val="00FB7252"/>
    <w:rsid w:val="00FB74DE"/>
    <w:rsid w:val="00FC0262"/>
    <w:rsid w:val="00FC0BB5"/>
    <w:rsid w:val="00FC0EAE"/>
    <w:rsid w:val="00FC1D99"/>
    <w:rsid w:val="00FC1F9F"/>
    <w:rsid w:val="00FC2647"/>
    <w:rsid w:val="00FC2AB2"/>
    <w:rsid w:val="00FC3E9D"/>
    <w:rsid w:val="00FC412C"/>
    <w:rsid w:val="00FC4C16"/>
    <w:rsid w:val="00FC4D6A"/>
    <w:rsid w:val="00FC5B24"/>
    <w:rsid w:val="00FC611F"/>
    <w:rsid w:val="00FC69FB"/>
    <w:rsid w:val="00FC75C1"/>
    <w:rsid w:val="00FC7AA5"/>
    <w:rsid w:val="00FC7D87"/>
    <w:rsid w:val="00FD0345"/>
    <w:rsid w:val="00FD039C"/>
    <w:rsid w:val="00FD05A0"/>
    <w:rsid w:val="00FD0D21"/>
    <w:rsid w:val="00FD13CB"/>
    <w:rsid w:val="00FD141B"/>
    <w:rsid w:val="00FD1E38"/>
    <w:rsid w:val="00FD1E67"/>
    <w:rsid w:val="00FD1F41"/>
    <w:rsid w:val="00FD2A09"/>
    <w:rsid w:val="00FD32B7"/>
    <w:rsid w:val="00FD357B"/>
    <w:rsid w:val="00FD363D"/>
    <w:rsid w:val="00FD3727"/>
    <w:rsid w:val="00FD3B43"/>
    <w:rsid w:val="00FD3C3A"/>
    <w:rsid w:val="00FD3DF2"/>
    <w:rsid w:val="00FD3FCC"/>
    <w:rsid w:val="00FD40AC"/>
    <w:rsid w:val="00FD4697"/>
    <w:rsid w:val="00FD525E"/>
    <w:rsid w:val="00FD5326"/>
    <w:rsid w:val="00FD5DE4"/>
    <w:rsid w:val="00FD5DF8"/>
    <w:rsid w:val="00FD601B"/>
    <w:rsid w:val="00FD68D0"/>
    <w:rsid w:val="00FD6C24"/>
    <w:rsid w:val="00FD7009"/>
    <w:rsid w:val="00FD75D2"/>
    <w:rsid w:val="00FD7739"/>
    <w:rsid w:val="00FD77F6"/>
    <w:rsid w:val="00FD7CC7"/>
    <w:rsid w:val="00FE0245"/>
    <w:rsid w:val="00FE0BAB"/>
    <w:rsid w:val="00FE104D"/>
    <w:rsid w:val="00FE13F7"/>
    <w:rsid w:val="00FE1DC2"/>
    <w:rsid w:val="00FE2A32"/>
    <w:rsid w:val="00FE3E68"/>
    <w:rsid w:val="00FE3FD2"/>
    <w:rsid w:val="00FE5E9C"/>
    <w:rsid w:val="00FE61A1"/>
    <w:rsid w:val="00FE682D"/>
    <w:rsid w:val="00FE6B48"/>
    <w:rsid w:val="00FE6DBC"/>
    <w:rsid w:val="00FE73BC"/>
    <w:rsid w:val="00FE757E"/>
    <w:rsid w:val="00FE769F"/>
    <w:rsid w:val="00FE77D2"/>
    <w:rsid w:val="00FF053B"/>
    <w:rsid w:val="00FF05B4"/>
    <w:rsid w:val="00FF181C"/>
    <w:rsid w:val="00FF2561"/>
    <w:rsid w:val="00FF2772"/>
    <w:rsid w:val="00FF2996"/>
    <w:rsid w:val="00FF2E0D"/>
    <w:rsid w:val="00FF2FC8"/>
    <w:rsid w:val="00FF4081"/>
    <w:rsid w:val="00FF41BB"/>
    <w:rsid w:val="00FF44EB"/>
    <w:rsid w:val="00FF4A94"/>
    <w:rsid w:val="00FF55FF"/>
    <w:rsid w:val="00FF5F19"/>
    <w:rsid w:val="00FF698A"/>
    <w:rsid w:val="00FF69C0"/>
    <w:rsid w:val="00FF6ACE"/>
    <w:rsid w:val="00FF6D9C"/>
    <w:rsid w:val="00FF7084"/>
    <w:rsid w:val="00FF70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c6"/>
    </o:shapedefaults>
    <o:shapelayout v:ext="edit">
      <o:idmap v:ext="edit" data="2"/>
    </o:shapelayout>
  </w:shapeDefaults>
  <w:decimalSymbol w:val="."/>
  <w:listSeparator w:val=","/>
  <w14:docId w14:val="11FEF5FA"/>
  <w15:chartTrackingRefBased/>
  <w15:docId w15:val="{EB09D4FC-E1E9-485D-AC93-4C22974E4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F18"/>
    <w:pPr>
      <w:spacing w:line="240" w:lineRule="auto"/>
      <w:jc w:val="both"/>
    </w:pPr>
    <w:rPr>
      <w:rFonts w:ascii="Times New Roman" w:hAnsi="Times New Roman"/>
      <w:sz w:val="24"/>
    </w:rPr>
  </w:style>
  <w:style w:type="paragraph" w:styleId="Heading1">
    <w:name w:val="heading 1"/>
    <w:basedOn w:val="Normal"/>
    <w:next w:val="Normal"/>
    <w:link w:val="Heading1Char"/>
    <w:uiPriority w:val="9"/>
    <w:qFormat/>
    <w:rsid w:val="00EC0229"/>
    <w:pPr>
      <w:keepNext/>
      <w:keepLines/>
      <w:spacing w:before="12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EC0229"/>
    <w:pPr>
      <w:spacing w:after="40"/>
      <w:outlineLvl w:val="1"/>
    </w:pPr>
    <w:rPr>
      <w:b/>
      <w:sz w:val="28"/>
      <w:szCs w:val="26"/>
    </w:rPr>
  </w:style>
  <w:style w:type="paragraph" w:styleId="Heading3">
    <w:name w:val="heading 3"/>
    <w:basedOn w:val="Normal"/>
    <w:next w:val="Normal"/>
    <w:link w:val="Heading3Char"/>
    <w:uiPriority w:val="9"/>
    <w:unhideWhenUsed/>
    <w:qFormat/>
    <w:rsid w:val="003E47FB"/>
    <w:pPr>
      <w:keepNext/>
      <w:keepLines/>
      <w:spacing w:before="40" w:after="0"/>
      <w:outlineLvl w:val="2"/>
    </w:pPr>
    <w:rPr>
      <w:rFonts w:eastAsiaTheme="majorEastAsia" w:cstheme="majorBidi"/>
      <w:b/>
      <w:szCs w:val="24"/>
    </w:rPr>
  </w:style>
  <w:style w:type="paragraph" w:styleId="Heading4">
    <w:name w:val="heading 4"/>
    <w:basedOn w:val="Heading3"/>
    <w:next w:val="Normal"/>
    <w:link w:val="Heading4Char"/>
    <w:unhideWhenUsed/>
    <w:qFormat/>
    <w:rsid w:val="00EC0229"/>
    <w:pPr>
      <w:outlineLvl w:val="3"/>
    </w:pPr>
    <w:rPr>
      <w:b w:val="0"/>
      <w:iCs/>
    </w:rPr>
  </w:style>
  <w:style w:type="paragraph" w:styleId="Heading5">
    <w:name w:val="heading 5"/>
    <w:basedOn w:val="Heading1"/>
    <w:next w:val="Normal"/>
    <w:link w:val="Heading5Char"/>
    <w:uiPriority w:val="9"/>
    <w:unhideWhenUsed/>
    <w:qFormat/>
    <w:rsid w:val="005076FC"/>
    <w:pPr>
      <w:outlineLvl w:val="4"/>
    </w:pPr>
  </w:style>
  <w:style w:type="paragraph" w:styleId="Heading6">
    <w:name w:val="heading 6"/>
    <w:basedOn w:val="Normal"/>
    <w:next w:val="Normal"/>
    <w:link w:val="Heading6Char"/>
    <w:uiPriority w:val="9"/>
    <w:unhideWhenUsed/>
    <w:qFormat/>
    <w:rsid w:val="00373A9F"/>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Heading4"/>
    <w:next w:val="Normal"/>
    <w:link w:val="Heading7Char"/>
    <w:uiPriority w:val="9"/>
    <w:unhideWhenUsed/>
    <w:qFormat/>
    <w:rsid w:val="006353B5"/>
    <w:pPr>
      <w:ind w:left="720"/>
      <w:outlineLvl w:val="6"/>
    </w:pPr>
    <w:rPr>
      <w:iCs w:val="0"/>
    </w:rPr>
  </w:style>
  <w:style w:type="paragraph" w:styleId="Heading8">
    <w:name w:val="heading 8"/>
    <w:basedOn w:val="Normal"/>
    <w:next w:val="Normal"/>
    <w:link w:val="Heading8Char"/>
    <w:uiPriority w:val="9"/>
    <w:unhideWhenUsed/>
    <w:qFormat/>
    <w:rsid w:val="00C531DD"/>
    <w:pPr>
      <w:keepNext/>
      <w:keepLines/>
      <w:spacing w:before="40" w:after="0"/>
      <w:jc w:val="center"/>
      <w:outlineLvl w:val="7"/>
    </w:pPr>
    <w:rPr>
      <w:rFonts w:eastAsiaTheme="majorEastAsia" w:cstheme="majorBidi"/>
      <w:color w:val="272727" w:themeColor="text1" w:themeTint="D8"/>
      <w:sz w:val="20"/>
      <w:szCs w:val="21"/>
    </w:rPr>
  </w:style>
  <w:style w:type="paragraph" w:styleId="Heading9">
    <w:name w:val="heading 9"/>
    <w:basedOn w:val="Normal"/>
    <w:next w:val="Normal"/>
    <w:link w:val="Heading9Char"/>
    <w:uiPriority w:val="9"/>
    <w:semiHidden/>
    <w:unhideWhenUsed/>
    <w:qFormat/>
    <w:rsid w:val="00373A9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0229"/>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EC0229"/>
    <w:rPr>
      <w:rFonts w:ascii="Times New Roman" w:hAnsi="Times New Roman"/>
      <w:b/>
      <w:sz w:val="28"/>
      <w:szCs w:val="26"/>
    </w:rPr>
  </w:style>
  <w:style w:type="character" w:customStyle="1" w:styleId="Heading3Char">
    <w:name w:val="Heading 3 Char"/>
    <w:basedOn w:val="DefaultParagraphFont"/>
    <w:link w:val="Heading3"/>
    <w:uiPriority w:val="9"/>
    <w:rsid w:val="003E47FB"/>
    <w:rPr>
      <w:rFonts w:ascii="Times New Roman" w:eastAsiaTheme="majorEastAsia" w:hAnsi="Times New Roman" w:cstheme="majorBidi"/>
      <w:b/>
      <w:sz w:val="24"/>
      <w:szCs w:val="24"/>
    </w:rPr>
  </w:style>
  <w:style w:type="character" w:customStyle="1" w:styleId="Heading4Char">
    <w:name w:val="Heading 4 Char"/>
    <w:basedOn w:val="DefaultParagraphFont"/>
    <w:link w:val="Heading4"/>
    <w:rsid w:val="00EC0229"/>
    <w:rPr>
      <w:rFonts w:ascii="Times New Roman" w:eastAsiaTheme="majorEastAsia" w:hAnsi="Times New Roman" w:cstheme="majorBidi"/>
      <w:iCs/>
      <w:sz w:val="24"/>
      <w:szCs w:val="24"/>
    </w:rPr>
  </w:style>
  <w:style w:type="character" w:customStyle="1" w:styleId="Heading5Char">
    <w:name w:val="Heading 5 Char"/>
    <w:basedOn w:val="DefaultParagraphFont"/>
    <w:link w:val="Heading5"/>
    <w:uiPriority w:val="9"/>
    <w:rsid w:val="005076FC"/>
    <w:rPr>
      <w:rFonts w:ascii="Times New Roman" w:eastAsiaTheme="majorEastAsia" w:hAnsi="Times New Roman" w:cstheme="majorBidi"/>
      <w:sz w:val="28"/>
      <w:szCs w:val="32"/>
      <w:u w:val="single"/>
    </w:rPr>
  </w:style>
  <w:style w:type="character" w:customStyle="1" w:styleId="Heading6Char">
    <w:name w:val="Heading 6 Char"/>
    <w:basedOn w:val="DefaultParagraphFont"/>
    <w:link w:val="Heading6"/>
    <w:uiPriority w:val="9"/>
    <w:rsid w:val="00373A9F"/>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rsid w:val="006353B5"/>
    <w:rPr>
      <w:rFonts w:ascii="Times New Roman" w:eastAsiaTheme="majorEastAsia" w:hAnsi="Times New Roman" w:cstheme="majorBidi"/>
      <w:sz w:val="24"/>
      <w:szCs w:val="24"/>
    </w:rPr>
  </w:style>
  <w:style w:type="character" w:customStyle="1" w:styleId="Heading8Char">
    <w:name w:val="Heading 8 Char"/>
    <w:basedOn w:val="DefaultParagraphFont"/>
    <w:link w:val="Heading8"/>
    <w:uiPriority w:val="9"/>
    <w:rsid w:val="00C531DD"/>
    <w:rPr>
      <w:rFonts w:ascii="Times New Roman" w:eastAsiaTheme="majorEastAsia" w:hAnsi="Times New Roman" w:cstheme="majorBidi"/>
      <w:color w:val="272727" w:themeColor="text1" w:themeTint="D8"/>
      <w:sz w:val="20"/>
      <w:szCs w:val="21"/>
    </w:rPr>
  </w:style>
  <w:style w:type="character" w:customStyle="1" w:styleId="Heading9Char">
    <w:name w:val="Heading 9 Char"/>
    <w:basedOn w:val="DefaultParagraphFont"/>
    <w:link w:val="Heading9"/>
    <w:uiPriority w:val="9"/>
    <w:semiHidden/>
    <w:rsid w:val="00373A9F"/>
    <w:rPr>
      <w:rFonts w:asciiTheme="majorHAnsi" w:eastAsiaTheme="majorEastAsia" w:hAnsiTheme="majorHAnsi" w:cstheme="majorBidi"/>
      <w:i/>
      <w:iCs/>
      <w:color w:val="272727" w:themeColor="text1" w:themeTint="D8"/>
      <w:sz w:val="21"/>
      <w:szCs w:val="21"/>
    </w:rPr>
  </w:style>
  <w:style w:type="paragraph" w:customStyle="1" w:styleId="Pa2">
    <w:name w:val="Pa2"/>
    <w:basedOn w:val="Normal"/>
    <w:next w:val="Normal"/>
    <w:uiPriority w:val="99"/>
    <w:rsid w:val="000223EE"/>
    <w:pPr>
      <w:autoSpaceDE w:val="0"/>
      <w:autoSpaceDN w:val="0"/>
      <w:adjustRightInd w:val="0"/>
      <w:spacing w:after="0" w:line="261" w:lineRule="atLeast"/>
    </w:pPr>
    <w:rPr>
      <w:rFonts w:ascii="Adobe Garamond Pro" w:hAnsi="Adobe Garamond Pro"/>
      <w:szCs w:val="24"/>
    </w:rPr>
  </w:style>
  <w:style w:type="character" w:customStyle="1" w:styleId="A2">
    <w:name w:val="A2"/>
    <w:uiPriority w:val="99"/>
    <w:rsid w:val="000223EE"/>
    <w:rPr>
      <w:rFonts w:cs="Adobe Garamond Pro"/>
      <w:color w:val="000000"/>
    </w:rPr>
  </w:style>
  <w:style w:type="paragraph" w:styleId="NoSpacing">
    <w:name w:val="No Spacing"/>
    <w:link w:val="NoSpacingChar"/>
    <w:uiPriority w:val="1"/>
    <w:qFormat/>
    <w:rsid w:val="000D7F18"/>
    <w:pPr>
      <w:spacing w:after="0" w:line="240" w:lineRule="auto"/>
      <w:jc w:val="both"/>
    </w:pPr>
    <w:rPr>
      <w:rFonts w:ascii="Times New Roman" w:hAnsi="Times New Roman"/>
      <w:sz w:val="24"/>
    </w:rPr>
  </w:style>
  <w:style w:type="paragraph" w:styleId="FootnoteText">
    <w:name w:val="footnote text"/>
    <w:basedOn w:val="Normal"/>
    <w:link w:val="FootnoteTextChar"/>
    <w:uiPriority w:val="99"/>
    <w:unhideWhenUsed/>
    <w:rsid w:val="002B7BA9"/>
    <w:pPr>
      <w:spacing w:after="0"/>
    </w:pPr>
    <w:rPr>
      <w:sz w:val="20"/>
      <w:szCs w:val="20"/>
    </w:rPr>
  </w:style>
  <w:style w:type="character" w:customStyle="1" w:styleId="FootnoteTextChar">
    <w:name w:val="Footnote Text Char"/>
    <w:basedOn w:val="DefaultParagraphFont"/>
    <w:link w:val="FootnoteText"/>
    <w:uiPriority w:val="99"/>
    <w:rsid w:val="002B7BA9"/>
    <w:rPr>
      <w:rFonts w:ascii="Times New Roman" w:hAnsi="Times New Roman"/>
      <w:sz w:val="20"/>
      <w:szCs w:val="20"/>
    </w:rPr>
  </w:style>
  <w:style w:type="character" w:styleId="FootnoteReference">
    <w:name w:val="footnote reference"/>
    <w:basedOn w:val="DefaultParagraphFont"/>
    <w:uiPriority w:val="99"/>
    <w:unhideWhenUsed/>
    <w:rsid w:val="002B7BA9"/>
    <w:rPr>
      <w:vertAlign w:val="superscript"/>
    </w:rPr>
  </w:style>
  <w:style w:type="character" w:styleId="EndnoteReference">
    <w:name w:val="endnote reference"/>
    <w:basedOn w:val="DefaultParagraphFont"/>
    <w:uiPriority w:val="99"/>
    <w:semiHidden/>
    <w:unhideWhenUsed/>
    <w:rsid w:val="002B7BA9"/>
    <w:rPr>
      <w:vertAlign w:val="superscript"/>
    </w:rPr>
  </w:style>
  <w:style w:type="character" w:styleId="Hyperlink">
    <w:name w:val="Hyperlink"/>
    <w:basedOn w:val="DefaultParagraphFont"/>
    <w:uiPriority w:val="99"/>
    <w:unhideWhenUsed/>
    <w:rsid w:val="007E2E23"/>
    <w:rPr>
      <w:color w:val="0563C1" w:themeColor="hyperlink"/>
      <w:u w:val="single"/>
    </w:rPr>
  </w:style>
  <w:style w:type="paragraph" w:styleId="ListParagraph">
    <w:name w:val="List Paragraph"/>
    <w:basedOn w:val="Normal"/>
    <w:uiPriority w:val="34"/>
    <w:qFormat/>
    <w:rsid w:val="00CC3387"/>
    <w:pPr>
      <w:ind w:left="720"/>
      <w:contextualSpacing/>
    </w:pPr>
  </w:style>
  <w:style w:type="paragraph" w:styleId="Header">
    <w:name w:val="header"/>
    <w:basedOn w:val="Normal"/>
    <w:link w:val="HeaderChar"/>
    <w:uiPriority w:val="99"/>
    <w:unhideWhenUsed/>
    <w:rsid w:val="000944BD"/>
    <w:pPr>
      <w:tabs>
        <w:tab w:val="center" w:pos="4513"/>
        <w:tab w:val="right" w:pos="9026"/>
      </w:tabs>
      <w:spacing w:after="0"/>
    </w:pPr>
  </w:style>
  <w:style w:type="character" w:customStyle="1" w:styleId="HeaderChar">
    <w:name w:val="Header Char"/>
    <w:basedOn w:val="DefaultParagraphFont"/>
    <w:link w:val="Header"/>
    <w:uiPriority w:val="99"/>
    <w:rsid w:val="000944BD"/>
  </w:style>
  <w:style w:type="paragraph" w:styleId="Footer">
    <w:name w:val="footer"/>
    <w:basedOn w:val="Normal"/>
    <w:link w:val="FooterChar"/>
    <w:uiPriority w:val="99"/>
    <w:unhideWhenUsed/>
    <w:rsid w:val="000944BD"/>
    <w:pPr>
      <w:tabs>
        <w:tab w:val="center" w:pos="4513"/>
        <w:tab w:val="right" w:pos="9026"/>
      </w:tabs>
      <w:spacing w:after="0"/>
    </w:pPr>
  </w:style>
  <w:style w:type="character" w:customStyle="1" w:styleId="FooterChar">
    <w:name w:val="Footer Char"/>
    <w:basedOn w:val="DefaultParagraphFont"/>
    <w:link w:val="Footer"/>
    <w:uiPriority w:val="99"/>
    <w:rsid w:val="000944BD"/>
  </w:style>
  <w:style w:type="character" w:styleId="Emphasis">
    <w:name w:val="Emphasis"/>
    <w:basedOn w:val="DefaultParagraphFont"/>
    <w:uiPriority w:val="20"/>
    <w:qFormat/>
    <w:rsid w:val="00E0213C"/>
    <w:rPr>
      <w:i/>
      <w:iCs/>
    </w:rPr>
  </w:style>
  <w:style w:type="character" w:styleId="HTMLCite">
    <w:name w:val="HTML Cite"/>
    <w:basedOn w:val="DefaultParagraphFont"/>
    <w:uiPriority w:val="99"/>
    <w:semiHidden/>
    <w:unhideWhenUsed/>
    <w:rsid w:val="00E0213C"/>
    <w:rPr>
      <w:i/>
      <w:iCs/>
    </w:rPr>
  </w:style>
  <w:style w:type="character" w:customStyle="1" w:styleId="st">
    <w:name w:val="st"/>
    <w:basedOn w:val="DefaultParagraphFont"/>
    <w:rsid w:val="00E0213C"/>
  </w:style>
  <w:style w:type="character" w:styleId="FollowedHyperlink">
    <w:name w:val="FollowedHyperlink"/>
    <w:basedOn w:val="DefaultParagraphFont"/>
    <w:uiPriority w:val="99"/>
    <w:semiHidden/>
    <w:unhideWhenUsed/>
    <w:rsid w:val="000B4BB2"/>
    <w:rPr>
      <w:color w:val="954F72" w:themeColor="followedHyperlink"/>
      <w:u w:val="single"/>
    </w:rPr>
  </w:style>
  <w:style w:type="paragraph" w:styleId="HTMLPreformatted">
    <w:name w:val="HTML Preformatted"/>
    <w:link w:val="HTMLPreformattedChar"/>
    <w:uiPriority w:val="99"/>
    <w:unhideWhenUsed/>
    <w:rsid w:val="002610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80" w:line="285" w:lineRule="auto"/>
    </w:pPr>
    <w:rPr>
      <w:rFonts w:ascii="Courier New" w:eastAsia="Times New Roman" w:hAnsi="Courier New" w:cs="Courier New"/>
      <w:color w:val="000000"/>
      <w:kern w:val="28"/>
      <w:sz w:val="20"/>
      <w:szCs w:val="20"/>
      <w:lang w:eastAsia="en-GB"/>
      <w14:ligatures w14:val="standard"/>
      <w14:cntxtAlts/>
    </w:rPr>
  </w:style>
  <w:style w:type="character" w:customStyle="1" w:styleId="HTMLPreformattedChar">
    <w:name w:val="HTML Preformatted Char"/>
    <w:basedOn w:val="DefaultParagraphFont"/>
    <w:link w:val="HTMLPreformatted"/>
    <w:uiPriority w:val="99"/>
    <w:rsid w:val="0026106B"/>
    <w:rPr>
      <w:rFonts w:ascii="Courier New" w:eastAsia="Times New Roman" w:hAnsi="Courier New" w:cs="Courier New"/>
      <w:color w:val="000000"/>
      <w:kern w:val="28"/>
      <w:sz w:val="20"/>
      <w:szCs w:val="20"/>
      <w:lang w:eastAsia="en-GB"/>
      <w14:ligatures w14:val="standard"/>
      <w14:cntxtAlts/>
    </w:rPr>
  </w:style>
  <w:style w:type="character" w:customStyle="1" w:styleId="searchword">
    <w:name w:val="searchword"/>
    <w:basedOn w:val="DefaultParagraphFont"/>
    <w:rsid w:val="00456954"/>
  </w:style>
  <w:style w:type="paragraph" w:styleId="NormalWeb">
    <w:name w:val="Normal (Web)"/>
    <w:basedOn w:val="Normal"/>
    <w:uiPriority w:val="99"/>
    <w:unhideWhenUsed/>
    <w:rsid w:val="00CD6891"/>
    <w:pPr>
      <w:spacing w:before="100" w:beforeAutospacing="1" w:after="100" w:afterAutospacing="1"/>
    </w:pPr>
    <w:rPr>
      <w:rFonts w:eastAsia="Times New Roman" w:cs="Times New Roman"/>
      <w:szCs w:val="24"/>
      <w:lang w:eastAsia="en-GB"/>
    </w:rPr>
  </w:style>
  <w:style w:type="character" w:customStyle="1" w:styleId="BalloonTextChar">
    <w:name w:val="Balloon Text Char"/>
    <w:basedOn w:val="DefaultParagraphFont"/>
    <w:link w:val="BalloonText"/>
    <w:uiPriority w:val="99"/>
    <w:semiHidden/>
    <w:rsid w:val="00373A9F"/>
    <w:rPr>
      <w:rFonts w:ascii="Segoe UI" w:hAnsi="Segoe UI" w:cs="Segoe UI"/>
      <w:sz w:val="18"/>
      <w:szCs w:val="18"/>
    </w:rPr>
  </w:style>
  <w:style w:type="paragraph" w:styleId="BalloonText">
    <w:name w:val="Balloon Text"/>
    <w:basedOn w:val="Normal"/>
    <w:link w:val="BalloonTextChar"/>
    <w:uiPriority w:val="99"/>
    <w:semiHidden/>
    <w:unhideWhenUsed/>
    <w:rsid w:val="00373A9F"/>
    <w:pPr>
      <w:spacing w:after="0"/>
    </w:pPr>
    <w:rPr>
      <w:rFonts w:ascii="Segoe UI" w:hAnsi="Segoe UI" w:cs="Segoe UI"/>
      <w:sz w:val="18"/>
      <w:szCs w:val="18"/>
    </w:rPr>
  </w:style>
  <w:style w:type="character" w:customStyle="1" w:styleId="citation">
    <w:name w:val="citation"/>
    <w:basedOn w:val="DefaultParagraphFont"/>
    <w:rsid w:val="00373A9F"/>
  </w:style>
  <w:style w:type="paragraph" w:styleId="Title">
    <w:name w:val="Title"/>
    <w:basedOn w:val="Normal"/>
    <w:next w:val="Normal"/>
    <w:link w:val="TitleChar"/>
    <w:qFormat/>
    <w:rsid w:val="008471B7"/>
    <w:pPr>
      <w:spacing w:after="0"/>
      <w:contextualSpacing/>
      <w:jc w:val="center"/>
    </w:pPr>
    <w:rPr>
      <w:rFonts w:eastAsiaTheme="majorEastAsia" w:cstheme="majorBidi"/>
      <w:b/>
      <w:spacing w:val="-10"/>
      <w:kern w:val="28"/>
      <w:sz w:val="56"/>
      <w:szCs w:val="56"/>
    </w:rPr>
  </w:style>
  <w:style w:type="character" w:customStyle="1" w:styleId="TitleChar">
    <w:name w:val="Title Char"/>
    <w:basedOn w:val="DefaultParagraphFont"/>
    <w:link w:val="Title"/>
    <w:rsid w:val="008471B7"/>
    <w:rPr>
      <w:rFonts w:ascii="Times New Roman" w:eastAsiaTheme="majorEastAsia" w:hAnsi="Times New Roman" w:cstheme="majorBidi"/>
      <w:b/>
      <w:spacing w:val="-10"/>
      <w:kern w:val="28"/>
      <w:sz w:val="56"/>
      <w:szCs w:val="56"/>
    </w:rPr>
  </w:style>
  <w:style w:type="paragraph" w:styleId="Subtitle">
    <w:name w:val="Subtitle"/>
    <w:basedOn w:val="Normal"/>
    <w:next w:val="Normal"/>
    <w:link w:val="SubtitleChar"/>
    <w:uiPriority w:val="11"/>
    <w:qFormat/>
    <w:rsid w:val="00373A9F"/>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73A9F"/>
    <w:rPr>
      <w:rFonts w:ascii="Times New Roman" w:eastAsiaTheme="minorEastAsia" w:hAnsi="Times New Roman"/>
      <w:color w:val="5A5A5A" w:themeColor="text1" w:themeTint="A5"/>
      <w:spacing w:val="15"/>
      <w:sz w:val="24"/>
    </w:rPr>
  </w:style>
  <w:style w:type="character" w:styleId="SubtleEmphasis">
    <w:name w:val="Subtle Emphasis"/>
    <w:basedOn w:val="DefaultParagraphFont"/>
    <w:uiPriority w:val="19"/>
    <w:qFormat/>
    <w:rsid w:val="00373A9F"/>
    <w:rPr>
      <w:rFonts w:ascii="Times New Roman" w:hAnsi="Times New Roman"/>
      <w:i/>
      <w:iCs/>
      <w:color w:val="404040" w:themeColor="text1" w:themeTint="BF"/>
      <w:sz w:val="18"/>
    </w:rPr>
  </w:style>
  <w:style w:type="character" w:styleId="IntenseEmphasis">
    <w:name w:val="Intense Emphasis"/>
    <w:basedOn w:val="DefaultParagraphFont"/>
    <w:uiPriority w:val="21"/>
    <w:qFormat/>
    <w:rsid w:val="00373A9F"/>
    <w:rPr>
      <w:rFonts w:ascii="Times New Roman" w:hAnsi="Times New Roman"/>
      <w:i/>
      <w:iCs/>
      <w:color w:val="5B9BD5" w:themeColor="accent1"/>
      <w:sz w:val="24"/>
    </w:rPr>
  </w:style>
  <w:style w:type="character" w:styleId="Strong">
    <w:name w:val="Strong"/>
    <w:basedOn w:val="DefaultParagraphFont"/>
    <w:uiPriority w:val="22"/>
    <w:qFormat/>
    <w:rsid w:val="00373A9F"/>
    <w:rPr>
      <w:rFonts w:ascii="Times New Roman" w:hAnsi="Times New Roman"/>
      <w:b/>
      <w:bCs/>
      <w:sz w:val="24"/>
    </w:rPr>
  </w:style>
  <w:style w:type="paragraph" w:styleId="Quote">
    <w:name w:val="Quote"/>
    <w:basedOn w:val="Normal"/>
    <w:next w:val="Normal"/>
    <w:link w:val="QuoteChar"/>
    <w:uiPriority w:val="29"/>
    <w:qFormat/>
    <w:rsid w:val="00373A9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373A9F"/>
    <w:rPr>
      <w:rFonts w:ascii="Times New Roman" w:hAnsi="Times New Roman"/>
      <w:i/>
      <w:iCs/>
      <w:color w:val="404040" w:themeColor="text1" w:themeTint="BF"/>
      <w:sz w:val="24"/>
    </w:rPr>
  </w:style>
  <w:style w:type="paragraph" w:styleId="IntenseQuote">
    <w:name w:val="Intense Quote"/>
    <w:basedOn w:val="Normal"/>
    <w:next w:val="Normal"/>
    <w:link w:val="IntenseQuoteChar"/>
    <w:uiPriority w:val="30"/>
    <w:qFormat/>
    <w:rsid w:val="00373A9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373A9F"/>
    <w:rPr>
      <w:rFonts w:ascii="Times New Roman" w:hAnsi="Times New Roman"/>
      <w:i/>
      <w:iCs/>
      <w:color w:val="5B9BD5" w:themeColor="accent1"/>
      <w:sz w:val="24"/>
    </w:rPr>
  </w:style>
  <w:style w:type="character" w:styleId="SubtleReference">
    <w:name w:val="Subtle Reference"/>
    <w:basedOn w:val="DefaultParagraphFont"/>
    <w:uiPriority w:val="31"/>
    <w:qFormat/>
    <w:rsid w:val="00373A9F"/>
    <w:rPr>
      <w:rFonts w:ascii="Times New Roman" w:hAnsi="Times New Roman"/>
      <w:smallCaps/>
      <w:color w:val="5A5A5A" w:themeColor="text1" w:themeTint="A5"/>
      <w:sz w:val="24"/>
    </w:rPr>
  </w:style>
  <w:style w:type="character" w:styleId="IntenseReference">
    <w:name w:val="Intense Reference"/>
    <w:basedOn w:val="DefaultParagraphFont"/>
    <w:uiPriority w:val="32"/>
    <w:qFormat/>
    <w:rsid w:val="00373A9F"/>
    <w:rPr>
      <w:rFonts w:ascii="Times New Roman" w:hAnsi="Times New Roman"/>
      <w:b/>
      <w:bCs/>
      <w:smallCaps/>
      <w:color w:val="5B9BD5" w:themeColor="accent1"/>
      <w:spacing w:val="5"/>
      <w:sz w:val="24"/>
    </w:rPr>
  </w:style>
  <w:style w:type="character" w:styleId="BookTitle">
    <w:name w:val="Book Title"/>
    <w:basedOn w:val="DefaultParagraphFont"/>
    <w:uiPriority w:val="33"/>
    <w:qFormat/>
    <w:rsid w:val="00373A9F"/>
    <w:rPr>
      <w:rFonts w:ascii="Times New Roman" w:hAnsi="Times New Roman"/>
      <w:b/>
      <w:bCs/>
      <w:i/>
      <w:iCs/>
      <w:spacing w:val="5"/>
      <w:sz w:val="24"/>
    </w:rPr>
  </w:style>
  <w:style w:type="character" w:customStyle="1" w:styleId="htitle">
    <w:name w:val="h_title"/>
    <w:basedOn w:val="DefaultParagraphFont"/>
    <w:rsid w:val="00373A9F"/>
  </w:style>
  <w:style w:type="table" w:styleId="TableGrid">
    <w:name w:val="Table Grid"/>
    <w:basedOn w:val="TableNormal"/>
    <w:uiPriority w:val="59"/>
    <w:rsid w:val="00373A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rsid w:val="00373A9F"/>
    <w:rPr>
      <w:rFonts w:ascii="Times New Roman" w:hAnsi="Times New Roman"/>
      <w:sz w:val="20"/>
      <w:szCs w:val="20"/>
    </w:rPr>
  </w:style>
  <w:style w:type="paragraph" w:styleId="CommentText">
    <w:name w:val="annotation text"/>
    <w:basedOn w:val="Normal"/>
    <w:link w:val="CommentTextChar"/>
    <w:uiPriority w:val="99"/>
    <w:unhideWhenUsed/>
    <w:rsid w:val="00373A9F"/>
    <w:rPr>
      <w:sz w:val="20"/>
      <w:szCs w:val="20"/>
    </w:rPr>
  </w:style>
  <w:style w:type="character" w:customStyle="1" w:styleId="CommentSubjectChar">
    <w:name w:val="Comment Subject Char"/>
    <w:basedOn w:val="CommentTextChar"/>
    <w:link w:val="CommentSubject"/>
    <w:uiPriority w:val="99"/>
    <w:semiHidden/>
    <w:rsid w:val="00373A9F"/>
    <w:rPr>
      <w:rFonts w:ascii="Times New Roman" w:hAnsi="Times New Roman"/>
      <w:b/>
      <w:bCs/>
      <w:sz w:val="20"/>
      <w:szCs w:val="20"/>
    </w:rPr>
  </w:style>
  <w:style w:type="paragraph" w:styleId="CommentSubject">
    <w:name w:val="annotation subject"/>
    <w:basedOn w:val="CommentText"/>
    <w:next w:val="CommentText"/>
    <w:link w:val="CommentSubjectChar"/>
    <w:uiPriority w:val="99"/>
    <w:semiHidden/>
    <w:unhideWhenUsed/>
    <w:rsid w:val="00373A9F"/>
    <w:rPr>
      <w:b/>
      <w:bCs/>
    </w:rPr>
  </w:style>
  <w:style w:type="character" w:customStyle="1" w:styleId="searchmatch">
    <w:name w:val="searchmatch"/>
    <w:basedOn w:val="DefaultParagraphFont"/>
    <w:rsid w:val="00937A2B"/>
  </w:style>
  <w:style w:type="character" w:customStyle="1" w:styleId="gci-asset-viewer-title">
    <w:name w:val="gci-asset-viewer-title"/>
    <w:basedOn w:val="DefaultParagraphFont"/>
    <w:rsid w:val="007C785D"/>
  </w:style>
  <w:style w:type="character" w:customStyle="1" w:styleId="mw-headline">
    <w:name w:val="mw-headline"/>
    <w:basedOn w:val="DefaultParagraphFont"/>
    <w:rsid w:val="00A33875"/>
  </w:style>
  <w:style w:type="paragraph" w:customStyle="1" w:styleId="Default">
    <w:name w:val="Default"/>
    <w:rsid w:val="00A33875"/>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A33875"/>
    <w:rPr>
      <w:sz w:val="16"/>
      <w:szCs w:val="16"/>
    </w:rPr>
  </w:style>
  <w:style w:type="paragraph" w:styleId="Revision">
    <w:name w:val="Revision"/>
    <w:hidden/>
    <w:uiPriority w:val="99"/>
    <w:semiHidden/>
    <w:rsid w:val="00A33875"/>
    <w:pPr>
      <w:spacing w:after="0" w:line="240" w:lineRule="auto"/>
    </w:pPr>
    <w:rPr>
      <w:rFonts w:ascii="Times New Roman" w:hAnsi="Times New Roman"/>
      <w:sz w:val="24"/>
    </w:rPr>
  </w:style>
  <w:style w:type="character" w:customStyle="1" w:styleId="a">
    <w:name w:val="a"/>
    <w:basedOn w:val="DefaultParagraphFont"/>
    <w:rsid w:val="00A33875"/>
  </w:style>
  <w:style w:type="character" w:customStyle="1" w:styleId="fourfigure">
    <w:name w:val="fourfigure"/>
    <w:basedOn w:val="DefaultParagraphFont"/>
    <w:rsid w:val="00907BF5"/>
  </w:style>
  <w:style w:type="table" w:styleId="PlainTable1">
    <w:name w:val="Plain Table 1"/>
    <w:basedOn w:val="TableNormal"/>
    <w:uiPriority w:val="41"/>
    <w:rsid w:val="0061052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1052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61052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61052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1052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1052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10521"/>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10521"/>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61052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3">
    <w:name w:val="Grid Table 6 Colorful Accent 3"/>
    <w:basedOn w:val="TableNormal"/>
    <w:uiPriority w:val="51"/>
    <w:rsid w:val="00610521"/>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PlaceholderText">
    <w:name w:val="Placeholder Text"/>
    <w:basedOn w:val="DefaultParagraphFont"/>
    <w:uiPriority w:val="99"/>
    <w:semiHidden/>
    <w:rsid w:val="00BD53D4"/>
    <w:rPr>
      <w:color w:val="808080"/>
    </w:rPr>
  </w:style>
  <w:style w:type="table" w:styleId="TableGridLight">
    <w:name w:val="Grid Table Light"/>
    <w:basedOn w:val="TableNormal"/>
    <w:uiPriority w:val="40"/>
    <w:rsid w:val="0085461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85461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question">
    <w:name w:val="question"/>
    <w:basedOn w:val="DefaultParagraphFont"/>
    <w:rsid w:val="00854613"/>
  </w:style>
  <w:style w:type="character" w:customStyle="1" w:styleId="characterstyle3">
    <w:name w:val="characterstyle3"/>
    <w:basedOn w:val="DefaultParagraphFont"/>
    <w:rsid w:val="00582C52"/>
  </w:style>
  <w:style w:type="character" w:customStyle="1" w:styleId="small1">
    <w:name w:val="small1"/>
    <w:rsid w:val="00FC4D6A"/>
    <w:rPr>
      <w:rFonts w:ascii="Arial" w:hAnsi="Arial" w:cs="Arial" w:hint="default"/>
      <w:sz w:val="20"/>
      <w:szCs w:val="20"/>
    </w:rPr>
  </w:style>
  <w:style w:type="character" w:customStyle="1" w:styleId="smallcaps">
    <w:name w:val="smallcaps"/>
    <w:basedOn w:val="DefaultParagraphFont"/>
    <w:rsid w:val="00FC4D6A"/>
  </w:style>
  <w:style w:type="paragraph" w:customStyle="1" w:styleId="Maintextnonindent">
    <w:name w:val="*Maintext nonindent"/>
    <w:basedOn w:val="Normal"/>
    <w:rsid w:val="00FC4D6A"/>
    <w:pPr>
      <w:spacing w:after="0" w:line="360" w:lineRule="auto"/>
    </w:pPr>
    <w:rPr>
      <w:rFonts w:eastAsia="Times New Roman" w:cs="Times New Roman"/>
      <w:sz w:val="22"/>
      <w:szCs w:val="24"/>
    </w:rPr>
  </w:style>
  <w:style w:type="paragraph" w:customStyle="1" w:styleId="articledetails">
    <w:name w:val="articledetails"/>
    <w:basedOn w:val="Normal"/>
    <w:rsid w:val="00FC4D6A"/>
    <w:pPr>
      <w:spacing w:before="100" w:beforeAutospacing="1" w:after="100" w:afterAutospacing="1"/>
    </w:pPr>
    <w:rPr>
      <w:rFonts w:eastAsia="Times New Roman" w:cs="Times New Roman"/>
      <w:szCs w:val="24"/>
      <w:lang w:eastAsia="en-GB"/>
    </w:rPr>
  </w:style>
  <w:style w:type="character" w:customStyle="1" w:styleId="exldetailsdisplayval">
    <w:name w:val="exldetailsdisplayval"/>
    <w:basedOn w:val="DefaultParagraphFont"/>
    <w:rsid w:val="00FC4D6A"/>
  </w:style>
  <w:style w:type="character" w:customStyle="1" w:styleId="a-size-large">
    <w:name w:val="a-size-large"/>
    <w:basedOn w:val="DefaultParagraphFont"/>
    <w:rsid w:val="00FC4D6A"/>
  </w:style>
  <w:style w:type="character" w:customStyle="1" w:styleId="a-size-medium">
    <w:name w:val="a-size-medium"/>
    <w:basedOn w:val="DefaultParagraphFont"/>
    <w:rsid w:val="00FC4D6A"/>
  </w:style>
  <w:style w:type="character" w:customStyle="1" w:styleId="author">
    <w:name w:val="author"/>
    <w:basedOn w:val="DefaultParagraphFont"/>
    <w:rsid w:val="00FC4D6A"/>
  </w:style>
  <w:style w:type="character" w:customStyle="1" w:styleId="a-color-secondary">
    <w:name w:val="a-color-secondary"/>
    <w:basedOn w:val="DefaultParagraphFont"/>
    <w:rsid w:val="00FC4D6A"/>
  </w:style>
  <w:style w:type="character" w:customStyle="1" w:styleId="more">
    <w:name w:val="more"/>
    <w:basedOn w:val="DefaultParagraphFont"/>
    <w:rsid w:val="00FC4D6A"/>
  </w:style>
  <w:style w:type="character" w:customStyle="1" w:styleId="morecount">
    <w:name w:val="morecount"/>
    <w:basedOn w:val="DefaultParagraphFont"/>
    <w:rsid w:val="00FC4D6A"/>
  </w:style>
  <w:style w:type="character" w:customStyle="1" w:styleId="personname">
    <w:name w:val="person_name"/>
    <w:basedOn w:val="DefaultParagraphFont"/>
    <w:rsid w:val="00FC4D6A"/>
  </w:style>
  <w:style w:type="paragraph" w:customStyle="1" w:styleId="details">
    <w:name w:val="details"/>
    <w:basedOn w:val="Normal"/>
    <w:rsid w:val="00FC4D6A"/>
    <w:pPr>
      <w:spacing w:before="100" w:beforeAutospacing="1" w:after="100" w:afterAutospacing="1"/>
    </w:pPr>
    <w:rPr>
      <w:rFonts w:eastAsia="Times New Roman" w:cs="Times New Roman"/>
      <w:szCs w:val="24"/>
      <w:lang w:eastAsia="en-GB"/>
    </w:rPr>
  </w:style>
  <w:style w:type="paragraph" w:styleId="TOC1">
    <w:name w:val="toc 1"/>
    <w:basedOn w:val="Normal"/>
    <w:next w:val="Normal"/>
    <w:link w:val="TOC1Char"/>
    <w:autoRedefine/>
    <w:uiPriority w:val="39"/>
    <w:unhideWhenUsed/>
    <w:rsid w:val="00A515D7"/>
    <w:pPr>
      <w:spacing w:after="100"/>
    </w:pPr>
  </w:style>
  <w:style w:type="paragraph" w:styleId="TOC2">
    <w:name w:val="toc 2"/>
    <w:basedOn w:val="Normal"/>
    <w:next w:val="Normal"/>
    <w:autoRedefine/>
    <w:uiPriority w:val="39"/>
    <w:unhideWhenUsed/>
    <w:rsid w:val="00A515D7"/>
    <w:pPr>
      <w:spacing w:after="100"/>
      <w:ind w:left="240"/>
    </w:pPr>
  </w:style>
  <w:style w:type="paragraph" w:styleId="TOC3">
    <w:name w:val="toc 3"/>
    <w:basedOn w:val="Normal"/>
    <w:next w:val="Normal"/>
    <w:autoRedefine/>
    <w:uiPriority w:val="39"/>
    <w:unhideWhenUsed/>
    <w:rsid w:val="00A75E56"/>
    <w:pPr>
      <w:spacing w:after="100"/>
      <w:ind w:left="480"/>
    </w:pPr>
  </w:style>
  <w:style w:type="paragraph" w:styleId="TOC4">
    <w:name w:val="toc 4"/>
    <w:basedOn w:val="Normal"/>
    <w:next w:val="Normal"/>
    <w:autoRedefine/>
    <w:uiPriority w:val="39"/>
    <w:unhideWhenUsed/>
    <w:rsid w:val="00FB28F0"/>
    <w:pPr>
      <w:spacing w:after="100"/>
      <w:ind w:left="720"/>
    </w:pPr>
  </w:style>
  <w:style w:type="paragraph" w:styleId="TOC5">
    <w:name w:val="toc 5"/>
    <w:basedOn w:val="Normal"/>
    <w:next w:val="Normal"/>
    <w:autoRedefine/>
    <w:uiPriority w:val="39"/>
    <w:unhideWhenUsed/>
    <w:rsid w:val="00AF10F8"/>
    <w:pPr>
      <w:spacing w:after="100"/>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AF10F8"/>
    <w:pPr>
      <w:spacing w:after="100"/>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AF10F8"/>
    <w:pPr>
      <w:spacing w:after="100"/>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AF10F8"/>
    <w:pPr>
      <w:spacing w:after="100"/>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AF10F8"/>
    <w:pPr>
      <w:spacing w:after="100"/>
      <w:ind w:left="1760"/>
    </w:pPr>
    <w:rPr>
      <w:rFonts w:asciiTheme="minorHAnsi" w:eastAsiaTheme="minorEastAsia" w:hAnsiTheme="minorHAnsi"/>
      <w:sz w:val="22"/>
      <w:lang w:eastAsia="en-GB"/>
    </w:rPr>
  </w:style>
  <w:style w:type="paragraph" w:styleId="Index1">
    <w:name w:val="index 1"/>
    <w:basedOn w:val="Normal"/>
    <w:next w:val="Normal"/>
    <w:autoRedefine/>
    <w:uiPriority w:val="99"/>
    <w:semiHidden/>
    <w:unhideWhenUsed/>
    <w:rsid w:val="002A2C32"/>
    <w:pPr>
      <w:spacing w:after="0"/>
      <w:ind w:left="240" w:hanging="240"/>
    </w:pPr>
  </w:style>
  <w:style w:type="character" w:customStyle="1" w:styleId="TOC1Char">
    <w:name w:val="TOC 1 Char"/>
    <w:basedOn w:val="DefaultParagraphFont"/>
    <w:link w:val="TOC1"/>
    <w:uiPriority w:val="39"/>
    <w:rsid w:val="00F65689"/>
    <w:rPr>
      <w:rFonts w:ascii="Times New Roman" w:hAnsi="Times New Roman"/>
      <w:sz w:val="24"/>
    </w:rPr>
  </w:style>
  <w:style w:type="character" w:customStyle="1" w:styleId="NoSpacingChar">
    <w:name w:val="No Spacing Char"/>
    <w:basedOn w:val="DefaultParagraphFont"/>
    <w:link w:val="NoSpacing"/>
    <w:uiPriority w:val="1"/>
    <w:rsid w:val="000D7F18"/>
    <w:rPr>
      <w:rFonts w:ascii="Times New Roman" w:hAnsi="Times New Roman"/>
      <w:sz w:val="24"/>
    </w:rPr>
  </w:style>
  <w:style w:type="paragraph" w:styleId="Caption">
    <w:name w:val="caption"/>
    <w:basedOn w:val="TableofFigures"/>
    <w:next w:val="Normal"/>
    <w:uiPriority w:val="35"/>
    <w:unhideWhenUsed/>
    <w:qFormat/>
    <w:rsid w:val="000755E3"/>
    <w:pPr>
      <w:tabs>
        <w:tab w:val="right" w:leader="dot" w:pos="9016"/>
      </w:tabs>
      <w:jc w:val="left"/>
    </w:pPr>
    <w:rPr>
      <w:i/>
      <w:noProof/>
    </w:rPr>
  </w:style>
  <w:style w:type="paragraph" w:styleId="TableofFigures">
    <w:name w:val="table of figures"/>
    <w:basedOn w:val="Normal"/>
    <w:next w:val="Normal"/>
    <w:uiPriority w:val="99"/>
    <w:unhideWhenUsed/>
    <w:rsid w:val="00E80E91"/>
    <w:pPr>
      <w:spacing w:after="0"/>
    </w:pPr>
  </w:style>
  <w:style w:type="character" w:customStyle="1" w:styleId="exlresultdetails">
    <w:name w:val="exlresultdetails"/>
    <w:basedOn w:val="DefaultParagraphFont"/>
    <w:rsid w:val="00B96F17"/>
  </w:style>
  <w:style w:type="character" w:styleId="HTMLCode">
    <w:name w:val="HTML Code"/>
    <w:basedOn w:val="DefaultParagraphFont"/>
    <w:uiPriority w:val="99"/>
    <w:semiHidden/>
    <w:unhideWhenUsed/>
    <w:rsid w:val="00945C00"/>
    <w:rPr>
      <w:rFonts w:ascii="Courier New" w:eastAsia="Times New Roman" w:hAnsi="Courier New" w:cs="Courier New"/>
      <w:sz w:val="20"/>
      <w:szCs w:val="20"/>
    </w:rPr>
  </w:style>
  <w:style w:type="character" w:customStyle="1" w:styleId="citationauthor">
    <w:name w:val="citationauthor"/>
    <w:basedOn w:val="DefaultParagraphFont"/>
    <w:rsid w:val="00324D4B"/>
  </w:style>
  <w:style w:type="character" w:customStyle="1" w:styleId="citationdate">
    <w:name w:val="citationdate"/>
    <w:basedOn w:val="DefaultParagraphFont"/>
    <w:rsid w:val="00324D4B"/>
  </w:style>
  <w:style w:type="character" w:customStyle="1" w:styleId="citationarticleorsectiontitle">
    <w:name w:val="citationarticleorsectiontitle"/>
    <w:basedOn w:val="DefaultParagraphFont"/>
    <w:rsid w:val="00324D4B"/>
  </w:style>
  <w:style w:type="character" w:customStyle="1" w:styleId="citationsource">
    <w:name w:val="citationsource"/>
    <w:basedOn w:val="DefaultParagraphFont"/>
    <w:rsid w:val="00324D4B"/>
  </w:style>
  <w:style w:type="character" w:customStyle="1" w:styleId="citationissn">
    <w:name w:val="citationissn"/>
    <w:basedOn w:val="DefaultParagraphFont"/>
    <w:rsid w:val="00324D4B"/>
  </w:style>
  <w:style w:type="character" w:customStyle="1" w:styleId="citationvolume">
    <w:name w:val="citationvolume"/>
    <w:basedOn w:val="DefaultParagraphFont"/>
    <w:rsid w:val="00324D4B"/>
  </w:style>
  <w:style w:type="character" w:customStyle="1" w:styleId="citationspagelabel">
    <w:name w:val="citationspagelabel"/>
    <w:basedOn w:val="DefaultParagraphFont"/>
    <w:rsid w:val="00324D4B"/>
  </w:style>
  <w:style w:type="character" w:customStyle="1" w:styleId="citationspagevalue">
    <w:name w:val="citationspagevalue"/>
    <w:basedOn w:val="DefaultParagraphFont"/>
    <w:rsid w:val="00324D4B"/>
  </w:style>
  <w:style w:type="character" w:customStyle="1" w:styleId="productdisplaycrh">
    <w:name w:val="productdisplay_crh"/>
    <w:basedOn w:val="DefaultParagraphFont"/>
    <w:rsid w:val="002019FC"/>
  </w:style>
  <w:style w:type="paragraph" w:customStyle="1" w:styleId="msonormal0">
    <w:name w:val="msonormal"/>
    <w:basedOn w:val="Normal"/>
    <w:rsid w:val="006E17B9"/>
    <w:pPr>
      <w:spacing w:before="100" w:beforeAutospacing="1" w:after="100" w:afterAutospacing="1"/>
      <w:jc w:val="left"/>
    </w:pPr>
    <w:rPr>
      <w:rFonts w:eastAsia="Times New Roman" w:cs="Times New Roman"/>
      <w:szCs w:val="24"/>
      <w:lang w:eastAsia="en-GB"/>
    </w:rPr>
  </w:style>
  <w:style w:type="paragraph" w:customStyle="1" w:styleId="font5">
    <w:name w:val="font5"/>
    <w:basedOn w:val="Normal"/>
    <w:rsid w:val="006E17B9"/>
    <w:pPr>
      <w:spacing w:before="100" w:beforeAutospacing="1" w:after="100" w:afterAutospacing="1"/>
      <w:jc w:val="left"/>
    </w:pPr>
    <w:rPr>
      <w:rFonts w:eastAsia="Times New Roman" w:cs="Times New Roman"/>
      <w:color w:val="000000"/>
      <w:szCs w:val="24"/>
      <w:lang w:eastAsia="en-GB"/>
    </w:rPr>
  </w:style>
  <w:style w:type="paragraph" w:customStyle="1" w:styleId="font6">
    <w:name w:val="font6"/>
    <w:basedOn w:val="Normal"/>
    <w:rsid w:val="006E17B9"/>
    <w:pPr>
      <w:spacing w:before="100" w:beforeAutospacing="1" w:after="100" w:afterAutospacing="1"/>
      <w:jc w:val="left"/>
    </w:pPr>
    <w:rPr>
      <w:rFonts w:eastAsia="Times New Roman" w:cs="Times New Roman"/>
      <w:i/>
      <w:iCs/>
      <w:color w:val="000000"/>
      <w:szCs w:val="24"/>
      <w:lang w:eastAsia="en-GB"/>
    </w:rPr>
  </w:style>
  <w:style w:type="paragraph" w:customStyle="1" w:styleId="font7">
    <w:name w:val="font7"/>
    <w:basedOn w:val="Normal"/>
    <w:rsid w:val="006E17B9"/>
    <w:pPr>
      <w:spacing w:before="100" w:beforeAutospacing="1" w:after="100" w:afterAutospacing="1"/>
      <w:jc w:val="left"/>
    </w:pPr>
    <w:rPr>
      <w:rFonts w:eastAsia="Times New Roman" w:cs="Times New Roman"/>
      <w:color w:val="000000"/>
      <w:szCs w:val="24"/>
      <w:lang w:eastAsia="en-GB"/>
    </w:rPr>
  </w:style>
  <w:style w:type="paragraph" w:customStyle="1" w:styleId="font8">
    <w:name w:val="font8"/>
    <w:basedOn w:val="Normal"/>
    <w:rsid w:val="006E17B9"/>
    <w:pPr>
      <w:spacing w:before="100" w:beforeAutospacing="1" w:after="100" w:afterAutospacing="1"/>
      <w:jc w:val="left"/>
    </w:pPr>
    <w:rPr>
      <w:rFonts w:eastAsia="Times New Roman" w:cs="Times New Roman"/>
      <w:i/>
      <w:iCs/>
      <w:color w:val="000000"/>
      <w:szCs w:val="24"/>
      <w:lang w:eastAsia="en-GB"/>
    </w:rPr>
  </w:style>
  <w:style w:type="paragraph" w:customStyle="1" w:styleId="font9">
    <w:name w:val="font9"/>
    <w:basedOn w:val="Normal"/>
    <w:rsid w:val="006E17B9"/>
    <w:pPr>
      <w:spacing w:before="100" w:beforeAutospacing="1" w:after="100" w:afterAutospacing="1"/>
      <w:jc w:val="left"/>
    </w:pPr>
    <w:rPr>
      <w:rFonts w:eastAsia="Times New Roman" w:cs="Times New Roman"/>
      <w:color w:val="292526"/>
      <w:szCs w:val="24"/>
      <w:lang w:eastAsia="en-GB"/>
    </w:rPr>
  </w:style>
  <w:style w:type="paragraph" w:customStyle="1" w:styleId="font10">
    <w:name w:val="font10"/>
    <w:basedOn w:val="Normal"/>
    <w:rsid w:val="006E17B9"/>
    <w:pPr>
      <w:spacing w:before="100" w:beforeAutospacing="1" w:after="100" w:afterAutospacing="1"/>
      <w:jc w:val="left"/>
    </w:pPr>
    <w:rPr>
      <w:rFonts w:eastAsia="Times New Roman" w:cs="Times New Roman"/>
      <w:i/>
      <w:iCs/>
      <w:color w:val="292526"/>
      <w:szCs w:val="24"/>
      <w:lang w:eastAsia="en-GB"/>
    </w:rPr>
  </w:style>
  <w:style w:type="paragraph" w:customStyle="1" w:styleId="font11">
    <w:name w:val="font11"/>
    <w:basedOn w:val="Normal"/>
    <w:rsid w:val="006E17B9"/>
    <w:pPr>
      <w:spacing w:before="100" w:beforeAutospacing="1" w:after="100" w:afterAutospacing="1"/>
      <w:jc w:val="left"/>
    </w:pPr>
    <w:rPr>
      <w:rFonts w:eastAsia="Times New Roman" w:cs="Times New Roman"/>
      <w:color w:val="262626"/>
      <w:szCs w:val="24"/>
      <w:lang w:eastAsia="en-GB"/>
    </w:rPr>
  </w:style>
  <w:style w:type="paragraph" w:customStyle="1" w:styleId="font12">
    <w:name w:val="font12"/>
    <w:basedOn w:val="Normal"/>
    <w:rsid w:val="006E17B9"/>
    <w:pPr>
      <w:spacing w:before="100" w:beforeAutospacing="1" w:after="100" w:afterAutospacing="1"/>
      <w:jc w:val="left"/>
    </w:pPr>
    <w:rPr>
      <w:rFonts w:eastAsia="Times New Roman" w:cs="Times New Roman"/>
      <w:color w:val="000000"/>
      <w:szCs w:val="24"/>
      <w:lang w:eastAsia="en-GB"/>
    </w:rPr>
  </w:style>
  <w:style w:type="paragraph" w:customStyle="1" w:styleId="font13">
    <w:name w:val="font13"/>
    <w:basedOn w:val="Normal"/>
    <w:rsid w:val="006E17B9"/>
    <w:pPr>
      <w:spacing w:before="100" w:beforeAutospacing="1" w:after="100" w:afterAutospacing="1"/>
      <w:jc w:val="left"/>
    </w:pPr>
    <w:rPr>
      <w:rFonts w:eastAsia="Times New Roman" w:cs="Times New Roman"/>
      <w:i/>
      <w:iCs/>
      <w:color w:val="000000"/>
      <w:szCs w:val="24"/>
      <w:lang w:eastAsia="en-GB"/>
    </w:rPr>
  </w:style>
  <w:style w:type="paragraph" w:customStyle="1" w:styleId="xl65">
    <w:name w:val="xl65"/>
    <w:basedOn w:val="Normal"/>
    <w:rsid w:val="006E17B9"/>
    <w:pPr>
      <w:spacing w:before="100" w:beforeAutospacing="1" w:after="100" w:afterAutospacing="1"/>
      <w:textAlignment w:val="top"/>
    </w:pPr>
    <w:rPr>
      <w:rFonts w:eastAsia="Times New Roman" w:cs="Times New Roman"/>
      <w:szCs w:val="24"/>
      <w:lang w:eastAsia="en-GB"/>
    </w:rPr>
  </w:style>
  <w:style w:type="paragraph" w:customStyle="1" w:styleId="xl66">
    <w:name w:val="xl66"/>
    <w:basedOn w:val="Normal"/>
    <w:rsid w:val="006E17B9"/>
    <w:pPr>
      <w:spacing w:before="100" w:beforeAutospacing="1" w:after="100" w:afterAutospacing="1"/>
      <w:textAlignment w:val="top"/>
    </w:pPr>
    <w:rPr>
      <w:rFonts w:eastAsia="Times New Roman" w:cs="Times New Roman"/>
      <w:color w:val="000000"/>
      <w:szCs w:val="24"/>
      <w:lang w:eastAsia="en-GB"/>
    </w:rPr>
  </w:style>
  <w:style w:type="paragraph" w:customStyle="1" w:styleId="xl67">
    <w:name w:val="xl67"/>
    <w:basedOn w:val="Normal"/>
    <w:rsid w:val="006E17B9"/>
    <w:pPr>
      <w:spacing w:before="100" w:beforeAutospacing="1" w:after="100" w:afterAutospacing="1"/>
      <w:textAlignment w:val="top"/>
    </w:pPr>
    <w:rPr>
      <w:rFonts w:eastAsia="Times New Roman" w:cs="Times New Roman"/>
      <w:szCs w:val="24"/>
      <w:lang w:eastAsia="en-GB"/>
    </w:rPr>
  </w:style>
  <w:style w:type="paragraph" w:customStyle="1" w:styleId="xl68">
    <w:name w:val="xl68"/>
    <w:basedOn w:val="Normal"/>
    <w:rsid w:val="006E17B9"/>
    <w:pPr>
      <w:spacing w:before="100" w:beforeAutospacing="1" w:after="100" w:afterAutospacing="1"/>
      <w:jc w:val="left"/>
    </w:pPr>
    <w:rPr>
      <w:rFonts w:eastAsia="Times New Roman" w:cs="Times New Roman"/>
      <w:szCs w:val="24"/>
      <w:lang w:eastAsia="en-GB"/>
    </w:rPr>
  </w:style>
  <w:style w:type="paragraph" w:customStyle="1" w:styleId="xl69">
    <w:name w:val="xl69"/>
    <w:basedOn w:val="Normal"/>
    <w:rsid w:val="006E17B9"/>
    <w:pPr>
      <w:spacing w:before="100" w:beforeAutospacing="1" w:after="100" w:afterAutospacing="1"/>
      <w:textAlignment w:val="top"/>
    </w:pPr>
    <w:rPr>
      <w:rFonts w:eastAsia="Times New Roman" w:cs="Times New Roman"/>
      <w:color w:val="0563C1"/>
      <w:szCs w:val="24"/>
      <w:u w:val="single"/>
      <w:lang w:eastAsia="en-GB"/>
    </w:rPr>
  </w:style>
  <w:style w:type="paragraph" w:customStyle="1" w:styleId="xl70">
    <w:name w:val="xl70"/>
    <w:basedOn w:val="Normal"/>
    <w:rsid w:val="006E17B9"/>
    <w:pPr>
      <w:spacing w:before="100" w:beforeAutospacing="1" w:after="100" w:afterAutospacing="1"/>
      <w:jc w:val="left"/>
      <w:textAlignment w:val="top"/>
    </w:pPr>
    <w:rPr>
      <w:rFonts w:eastAsia="Times New Roman" w:cs="Times New Roman"/>
      <w:szCs w:val="24"/>
      <w:lang w:eastAsia="en-GB"/>
    </w:rPr>
  </w:style>
  <w:style w:type="character" w:customStyle="1" w:styleId="apple-converted-space">
    <w:name w:val="apple-converted-space"/>
    <w:basedOn w:val="DefaultParagraphFont"/>
    <w:rsid w:val="00646060"/>
  </w:style>
  <w:style w:type="character" w:customStyle="1" w:styleId="BalloonTextChar1">
    <w:name w:val="Balloon Text Char1"/>
    <w:basedOn w:val="DefaultParagraphFont"/>
    <w:uiPriority w:val="99"/>
    <w:semiHidden/>
    <w:rsid w:val="003F22F2"/>
    <w:rPr>
      <w:rFonts w:ascii="Segoe UI" w:hAnsi="Segoe UI" w:cs="Segoe UI"/>
      <w:sz w:val="18"/>
      <w:szCs w:val="18"/>
    </w:rPr>
  </w:style>
  <w:style w:type="character" w:customStyle="1" w:styleId="CommentTextChar1">
    <w:name w:val="Comment Text Char1"/>
    <w:basedOn w:val="DefaultParagraphFont"/>
    <w:uiPriority w:val="99"/>
    <w:semiHidden/>
    <w:rsid w:val="003F22F2"/>
    <w:rPr>
      <w:rFonts w:ascii="Times New Roman" w:hAnsi="Times New Roman"/>
      <w:sz w:val="20"/>
      <w:szCs w:val="20"/>
    </w:rPr>
  </w:style>
  <w:style w:type="character" w:customStyle="1" w:styleId="CommentSubjectChar1">
    <w:name w:val="Comment Subject Char1"/>
    <w:basedOn w:val="CommentTextChar1"/>
    <w:uiPriority w:val="99"/>
    <w:semiHidden/>
    <w:rsid w:val="003F22F2"/>
    <w:rPr>
      <w:rFonts w:ascii="Times New Roman" w:hAnsi="Times New Roman"/>
      <w:b/>
      <w:bCs/>
      <w:sz w:val="20"/>
      <w:szCs w:val="20"/>
    </w:rPr>
  </w:style>
  <w:style w:type="table" w:customStyle="1" w:styleId="PlainTable11">
    <w:name w:val="Plain Table 11"/>
    <w:basedOn w:val="TableNormal"/>
    <w:uiPriority w:val="41"/>
    <w:rsid w:val="005B3AC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5B3AC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1">
    <w:name w:val="Plain Table 51"/>
    <w:basedOn w:val="TableNormal"/>
    <w:uiPriority w:val="45"/>
    <w:rsid w:val="005B3AC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5B3AC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5B3AC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5B3AC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5B3AC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5B3AC3"/>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2-Accent31">
    <w:name w:val="Grid Table 2 - Accent 31"/>
    <w:basedOn w:val="TableNormal"/>
    <w:uiPriority w:val="47"/>
    <w:rsid w:val="005B3AC3"/>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31">
    <w:name w:val="Grid Table 6 Colorful - Accent 31"/>
    <w:basedOn w:val="TableNormal"/>
    <w:uiPriority w:val="51"/>
    <w:rsid w:val="005B3AC3"/>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GridLight1">
    <w:name w:val="Table Grid Light1"/>
    <w:basedOn w:val="TableNormal"/>
    <w:uiPriority w:val="40"/>
    <w:rsid w:val="005B3AC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31">
    <w:name w:val="Plain Table 31"/>
    <w:basedOn w:val="TableNormal"/>
    <w:uiPriority w:val="43"/>
    <w:rsid w:val="005B3AC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DocumentMap">
    <w:name w:val="Document Map"/>
    <w:basedOn w:val="Normal"/>
    <w:link w:val="DocumentMapChar"/>
    <w:uiPriority w:val="99"/>
    <w:semiHidden/>
    <w:unhideWhenUsed/>
    <w:rsid w:val="005B3AC3"/>
    <w:pPr>
      <w:spacing w:after="0"/>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5B3AC3"/>
    <w:rPr>
      <w:rFonts w:ascii="Lucida Grande" w:hAnsi="Lucida Grande" w:cs="Lucida Grande"/>
      <w:sz w:val="24"/>
      <w:szCs w:val="24"/>
    </w:rPr>
  </w:style>
  <w:style w:type="character" w:customStyle="1" w:styleId="dmap">
    <w:name w:val="dmap"/>
    <w:basedOn w:val="DefaultParagraphFont"/>
    <w:rsid w:val="004B34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126">
      <w:bodyDiv w:val="1"/>
      <w:marLeft w:val="0"/>
      <w:marRight w:val="0"/>
      <w:marTop w:val="0"/>
      <w:marBottom w:val="0"/>
      <w:divBdr>
        <w:top w:val="none" w:sz="0" w:space="0" w:color="auto"/>
        <w:left w:val="none" w:sz="0" w:space="0" w:color="auto"/>
        <w:bottom w:val="none" w:sz="0" w:space="0" w:color="auto"/>
        <w:right w:val="none" w:sz="0" w:space="0" w:color="auto"/>
      </w:divBdr>
    </w:div>
    <w:div w:id="36784635">
      <w:bodyDiv w:val="1"/>
      <w:marLeft w:val="0"/>
      <w:marRight w:val="0"/>
      <w:marTop w:val="0"/>
      <w:marBottom w:val="0"/>
      <w:divBdr>
        <w:top w:val="none" w:sz="0" w:space="0" w:color="auto"/>
        <w:left w:val="none" w:sz="0" w:space="0" w:color="auto"/>
        <w:bottom w:val="none" w:sz="0" w:space="0" w:color="auto"/>
        <w:right w:val="none" w:sz="0" w:space="0" w:color="auto"/>
      </w:divBdr>
    </w:div>
    <w:div w:id="97406115">
      <w:bodyDiv w:val="1"/>
      <w:marLeft w:val="0"/>
      <w:marRight w:val="0"/>
      <w:marTop w:val="0"/>
      <w:marBottom w:val="0"/>
      <w:divBdr>
        <w:top w:val="none" w:sz="0" w:space="0" w:color="auto"/>
        <w:left w:val="none" w:sz="0" w:space="0" w:color="auto"/>
        <w:bottom w:val="none" w:sz="0" w:space="0" w:color="auto"/>
        <w:right w:val="none" w:sz="0" w:space="0" w:color="auto"/>
      </w:divBdr>
    </w:div>
    <w:div w:id="142475882">
      <w:bodyDiv w:val="1"/>
      <w:marLeft w:val="0"/>
      <w:marRight w:val="0"/>
      <w:marTop w:val="0"/>
      <w:marBottom w:val="0"/>
      <w:divBdr>
        <w:top w:val="none" w:sz="0" w:space="0" w:color="auto"/>
        <w:left w:val="none" w:sz="0" w:space="0" w:color="auto"/>
        <w:bottom w:val="none" w:sz="0" w:space="0" w:color="auto"/>
        <w:right w:val="none" w:sz="0" w:space="0" w:color="auto"/>
      </w:divBdr>
    </w:div>
    <w:div w:id="166091981">
      <w:bodyDiv w:val="1"/>
      <w:marLeft w:val="0"/>
      <w:marRight w:val="0"/>
      <w:marTop w:val="0"/>
      <w:marBottom w:val="0"/>
      <w:divBdr>
        <w:top w:val="none" w:sz="0" w:space="0" w:color="auto"/>
        <w:left w:val="none" w:sz="0" w:space="0" w:color="auto"/>
        <w:bottom w:val="none" w:sz="0" w:space="0" w:color="auto"/>
        <w:right w:val="none" w:sz="0" w:space="0" w:color="auto"/>
      </w:divBdr>
    </w:div>
    <w:div w:id="173495283">
      <w:bodyDiv w:val="1"/>
      <w:marLeft w:val="0"/>
      <w:marRight w:val="0"/>
      <w:marTop w:val="0"/>
      <w:marBottom w:val="0"/>
      <w:divBdr>
        <w:top w:val="none" w:sz="0" w:space="0" w:color="auto"/>
        <w:left w:val="none" w:sz="0" w:space="0" w:color="auto"/>
        <w:bottom w:val="none" w:sz="0" w:space="0" w:color="auto"/>
        <w:right w:val="none" w:sz="0" w:space="0" w:color="auto"/>
      </w:divBdr>
    </w:div>
    <w:div w:id="199822006">
      <w:bodyDiv w:val="1"/>
      <w:marLeft w:val="0"/>
      <w:marRight w:val="0"/>
      <w:marTop w:val="0"/>
      <w:marBottom w:val="0"/>
      <w:divBdr>
        <w:top w:val="none" w:sz="0" w:space="0" w:color="auto"/>
        <w:left w:val="none" w:sz="0" w:space="0" w:color="auto"/>
        <w:bottom w:val="none" w:sz="0" w:space="0" w:color="auto"/>
        <w:right w:val="none" w:sz="0" w:space="0" w:color="auto"/>
      </w:divBdr>
    </w:div>
    <w:div w:id="299190630">
      <w:bodyDiv w:val="1"/>
      <w:marLeft w:val="0"/>
      <w:marRight w:val="0"/>
      <w:marTop w:val="0"/>
      <w:marBottom w:val="0"/>
      <w:divBdr>
        <w:top w:val="none" w:sz="0" w:space="0" w:color="auto"/>
        <w:left w:val="none" w:sz="0" w:space="0" w:color="auto"/>
        <w:bottom w:val="none" w:sz="0" w:space="0" w:color="auto"/>
        <w:right w:val="none" w:sz="0" w:space="0" w:color="auto"/>
      </w:divBdr>
      <w:divsChild>
        <w:div w:id="154229374">
          <w:marLeft w:val="0"/>
          <w:marRight w:val="0"/>
          <w:marTop w:val="0"/>
          <w:marBottom w:val="0"/>
          <w:divBdr>
            <w:top w:val="none" w:sz="0" w:space="0" w:color="auto"/>
            <w:left w:val="none" w:sz="0" w:space="0" w:color="auto"/>
            <w:bottom w:val="none" w:sz="0" w:space="0" w:color="auto"/>
            <w:right w:val="none" w:sz="0" w:space="0" w:color="auto"/>
          </w:divBdr>
        </w:div>
        <w:div w:id="943538171">
          <w:marLeft w:val="0"/>
          <w:marRight w:val="0"/>
          <w:marTop w:val="0"/>
          <w:marBottom w:val="0"/>
          <w:divBdr>
            <w:top w:val="none" w:sz="0" w:space="0" w:color="auto"/>
            <w:left w:val="none" w:sz="0" w:space="0" w:color="auto"/>
            <w:bottom w:val="none" w:sz="0" w:space="0" w:color="auto"/>
            <w:right w:val="none" w:sz="0" w:space="0" w:color="auto"/>
          </w:divBdr>
        </w:div>
      </w:divsChild>
    </w:div>
    <w:div w:id="301932291">
      <w:bodyDiv w:val="1"/>
      <w:marLeft w:val="0"/>
      <w:marRight w:val="0"/>
      <w:marTop w:val="0"/>
      <w:marBottom w:val="0"/>
      <w:divBdr>
        <w:top w:val="none" w:sz="0" w:space="0" w:color="auto"/>
        <w:left w:val="none" w:sz="0" w:space="0" w:color="auto"/>
        <w:bottom w:val="none" w:sz="0" w:space="0" w:color="auto"/>
        <w:right w:val="none" w:sz="0" w:space="0" w:color="auto"/>
      </w:divBdr>
    </w:div>
    <w:div w:id="344357598">
      <w:bodyDiv w:val="1"/>
      <w:marLeft w:val="0"/>
      <w:marRight w:val="0"/>
      <w:marTop w:val="0"/>
      <w:marBottom w:val="0"/>
      <w:divBdr>
        <w:top w:val="none" w:sz="0" w:space="0" w:color="auto"/>
        <w:left w:val="none" w:sz="0" w:space="0" w:color="auto"/>
        <w:bottom w:val="none" w:sz="0" w:space="0" w:color="auto"/>
        <w:right w:val="none" w:sz="0" w:space="0" w:color="auto"/>
      </w:divBdr>
    </w:div>
    <w:div w:id="380175133">
      <w:bodyDiv w:val="1"/>
      <w:marLeft w:val="0"/>
      <w:marRight w:val="0"/>
      <w:marTop w:val="0"/>
      <w:marBottom w:val="0"/>
      <w:divBdr>
        <w:top w:val="none" w:sz="0" w:space="0" w:color="auto"/>
        <w:left w:val="none" w:sz="0" w:space="0" w:color="auto"/>
        <w:bottom w:val="none" w:sz="0" w:space="0" w:color="auto"/>
        <w:right w:val="none" w:sz="0" w:space="0" w:color="auto"/>
      </w:divBdr>
      <w:divsChild>
        <w:div w:id="476916118">
          <w:marLeft w:val="0"/>
          <w:marRight w:val="0"/>
          <w:marTop w:val="0"/>
          <w:marBottom w:val="0"/>
          <w:divBdr>
            <w:top w:val="none" w:sz="0" w:space="0" w:color="auto"/>
            <w:left w:val="none" w:sz="0" w:space="0" w:color="auto"/>
            <w:bottom w:val="none" w:sz="0" w:space="0" w:color="auto"/>
            <w:right w:val="none" w:sz="0" w:space="0" w:color="auto"/>
          </w:divBdr>
          <w:divsChild>
            <w:div w:id="1563709283">
              <w:marLeft w:val="0"/>
              <w:marRight w:val="0"/>
              <w:marTop w:val="0"/>
              <w:marBottom w:val="0"/>
              <w:divBdr>
                <w:top w:val="none" w:sz="0" w:space="0" w:color="auto"/>
                <w:left w:val="none" w:sz="0" w:space="0" w:color="auto"/>
                <w:bottom w:val="none" w:sz="0" w:space="0" w:color="auto"/>
                <w:right w:val="none" w:sz="0" w:space="0" w:color="auto"/>
              </w:divBdr>
              <w:divsChild>
                <w:div w:id="7583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701725">
          <w:marLeft w:val="0"/>
          <w:marRight w:val="0"/>
          <w:marTop w:val="0"/>
          <w:marBottom w:val="0"/>
          <w:divBdr>
            <w:top w:val="none" w:sz="0" w:space="0" w:color="auto"/>
            <w:left w:val="none" w:sz="0" w:space="0" w:color="auto"/>
            <w:bottom w:val="none" w:sz="0" w:space="0" w:color="auto"/>
            <w:right w:val="none" w:sz="0" w:space="0" w:color="auto"/>
          </w:divBdr>
          <w:divsChild>
            <w:div w:id="1049769282">
              <w:marLeft w:val="0"/>
              <w:marRight w:val="0"/>
              <w:marTop w:val="0"/>
              <w:marBottom w:val="0"/>
              <w:divBdr>
                <w:top w:val="none" w:sz="0" w:space="0" w:color="auto"/>
                <w:left w:val="none" w:sz="0" w:space="0" w:color="auto"/>
                <w:bottom w:val="none" w:sz="0" w:space="0" w:color="auto"/>
                <w:right w:val="none" w:sz="0" w:space="0" w:color="auto"/>
              </w:divBdr>
              <w:divsChild>
                <w:div w:id="190441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535858">
      <w:bodyDiv w:val="1"/>
      <w:marLeft w:val="0"/>
      <w:marRight w:val="0"/>
      <w:marTop w:val="0"/>
      <w:marBottom w:val="0"/>
      <w:divBdr>
        <w:top w:val="none" w:sz="0" w:space="0" w:color="auto"/>
        <w:left w:val="none" w:sz="0" w:space="0" w:color="auto"/>
        <w:bottom w:val="none" w:sz="0" w:space="0" w:color="auto"/>
        <w:right w:val="none" w:sz="0" w:space="0" w:color="auto"/>
      </w:divBdr>
    </w:div>
    <w:div w:id="465437727">
      <w:bodyDiv w:val="1"/>
      <w:marLeft w:val="0"/>
      <w:marRight w:val="0"/>
      <w:marTop w:val="0"/>
      <w:marBottom w:val="0"/>
      <w:divBdr>
        <w:top w:val="none" w:sz="0" w:space="0" w:color="auto"/>
        <w:left w:val="none" w:sz="0" w:space="0" w:color="auto"/>
        <w:bottom w:val="none" w:sz="0" w:space="0" w:color="auto"/>
        <w:right w:val="none" w:sz="0" w:space="0" w:color="auto"/>
      </w:divBdr>
    </w:div>
    <w:div w:id="480078623">
      <w:bodyDiv w:val="1"/>
      <w:marLeft w:val="0"/>
      <w:marRight w:val="0"/>
      <w:marTop w:val="0"/>
      <w:marBottom w:val="0"/>
      <w:divBdr>
        <w:top w:val="none" w:sz="0" w:space="0" w:color="auto"/>
        <w:left w:val="none" w:sz="0" w:space="0" w:color="auto"/>
        <w:bottom w:val="none" w:sz="0" w:space="0" w:color="auto"/>
        <w:right w:val="none" w:sz="0" w:space="0" w:color="auto"/>
      </w:divBdr>
    </w:div>
    <w:div w:id="580529710">
      <w:bodyDiv w:val="1"/>
      <w:marLeft w:val="0"/>
      <w:marRight w:val="0"/>
      <w:marTop w:val="0"/>
      <w:marBottom w:val="0"/>
      <w:divBdr>
        <w:top w:val="none" w:sz="0" w:space="0" w:color="auto"/>
        <w:left w:val="none" w:sz="0" w:space="0" w:color="auto"/>
        <w:bottom w:val="none" w:sz="0" w:space="0" w:color="auto"/>
        <w:right w:val="none" w:sz="0" w:space="0" w:color="auto"/>
      </w:divBdr>
    </w:div>
    <w:div w:id="591472860">
      <w:bodyDiv w:val="1"/>
      <w:marLeft w:val="0"/>
      <w:marRight w:val="0"/>
      <w:marTop w:val="0"/>
      <w:marBottom w:val="0"/>
      <w:divBdr>
        <w:top w:val="none" w:sz="0" w:space="0" w:color="auto"/>
        <w:left w:val="none" w:sz="0" w:space="0" w:color="auto"/>
        <w:bottom w:val="none" w:sz="0" w:space="0" w:color="auto"/>
        <w:right w:val="none" w:sz="0" w:space="0" w:color="auto"/>
      </w:divBdr>
    </w:div>
    <w:div w:id="596328583">
      <w:bodyDiv w:val="1"/>
      <w:marLeft w:val="0"/>
      <w:marRight w:val="0"/>
      <w:marTop w:val="0"/>
      <w:marBottom w:val="0"/>
      <w:divBdr>
        <w:top w:val="none" w:sz="0" w:space="0" w:color="auto"/>
        <w:left w:val="none" w:sz="0" w:space="0" w:color="auto"/>
        <w:bottom w:val="none" w:sz="0" w:space="0" w:color="auto"/>
        <w:right w:val="none" w:sz="0" w:space="0" w:color="auto"/>
      </w:divBdr>
      <w:divsChild>
        <w:div w:id="803542742">
          <w:marLeft w:val="0"/>
          <w:marRight w:val="0"/>
          <w:marTop w:val="0"/>
          <w:marBottom w:val="0"/>
          <w:divBdr>
            <w:top w:val="none" w:sz="0" w:space="0" w:color="auto"/>
            <w:left w:val="none" w:sz="0" w:space="0" w:color="auto"/>
            <w:bottom w:val="none" w:sz="0" w:space="0" w:color="auto"/>
            <w:right w:val="none" w:sz="0" w:space="0" w:color="auto"/>
          </w:divBdr>
          <w:divsChild>
            <w:div w:id="92020583">
              <w:marLeft w:val="0"/>
              <w:marRight w:val="0"/>
              <w:marTop w:val="0"/>
              <w:marBottom w:val="0"/>
              <w:divBdr>
                <w:top w:val="none" w:sz="0" w:space="0" w:color="auto"/>
                <w:left w:val="none" w:sz="0" w:space="0" w:color="auto"/>
                <w:bottom w:val="none" w:sz="0" w:space="0" w:color="auto"/>
                <w:right w:val="none" w:sz="0" w:space="0" w:color="auto"/>
              </w:divBdr>
            </w:div>
            <w:div w:id="104422431">
              <w:marLeft w:val="0"/>
              <w:marRight w:val="0"/>
              <w:marTop w:val="0"/>
              <w:marBottom w:val="0"/>
              <w:divBdr>
                <w:top w:val="none" w:sz="0" w:space="0" w:color="auto"/>
                <w:left w:val="none" w:sz="0" w:space="0" w:color="auto"/>
                <w:bottom w:val="none" w:sz="0" w:space="0" w:color="auto"/>
                <w:right w:val="none" w:sz="0" w:space="0" w:color="auto"/>
              </w:divBdr>
            </w:div>
            <w:div w:id="407849438">
              <w:marLeft w:val="0"/>
              <w:marRight w:val="0"/>
              <w:marTop w:val="0"/>
              <w:marBottom w:val="0"/>
              <w:divBdr>
                <w:top w:val="none" w:sz="0" w:space="0" w:color="auto"/>
                <w:left w:val="none" w:sz="0" w:space="0" w:color="auto"/>
                <w:bottom w:val="none" w:sz="0" w:space="0" w:color="auto"/>
                <w:right w:val="none" w:sz="0" w:space="0" w:color="auto"/>
              </w:divBdr>
            </w:div>
            <w:div w:id="464275098">
              <w:marLeft w:val="0"/>
              <w:marRight w:val="0"/>
              <w:marTop w:val="0"/>
              <w:marBottom w:val="0"/>
              <w:divBdr>
                <w:top w:val="none" w:sz="0" w:space="0" w:color="auto"/>
                <w:left w:val="none" w:sz="0" w:space="0" w:color="auto"/>
                <w:bottom w:val="none" w:sz="0" w:space="0" w:color="auto"/>
                <w:right w:val="none" w:sz="0" w:space="0" w:color="auto"/>
              </w:divBdr>
            </w:div>
            <w:div w:id="589898694">
              <w:marLeft w:val="0"/>
              <w:marRight w:val="0"/>
              <w:marTop w:val="0"/>
              <w:marBottom w:val="0"/>
              <w:divBdr>
                <w:top w:val="none" w:sz="0" w:space="0" w:color="auto"/>
                <w:left w:val="none" w:sz="0" w:space="0" w:color="auto"/>
                <w:bottom w:val="none" w:sz="0" w:space="0" w:color="auto"/>
                <w:right w:val="none" w:sz="0" w:space="0" w:color="auto"/>
              </w:divBdr>
            </w:div>
            <w:div w:id="606549127">
              <w:marLeft w:val="0"/>
              <w:marRight w:val="0"/>
              <w:marTop w:val="0"/>
              <w:marBottom w:val="0"/>
              <w:divBdr>
                <w:top w:val="none" w:sz="0" w:space="0" w:color="auto"/>
                <w:left w:val="none" w:sz="0" w:space="0" w:color="auto"/>
                <w:bottom w:val="none" w:sz="0" w:space="0" w:color="auto"/>
                <w:right w:val="none" w:sz="0" w:space="0" w:color="auto"/>
              </w:divBdr>
            </w:div>
            <w:div w:id="741214902">
              <w:marLeft w:val="0"/>
              <w:marRight w:val="0"/>
              <w:marTop w:val="0"/>
              <w:marBottom w:val="0"/>
              <w:divBdr>
                <w:top w:val="none" w:sz="0" w:space="0" w:color="auto"/>
                <w:left w:val="none" w:sz="0" w:space="0" w:color="auto"/>
                <w:bottom w:val="none" w:sz="0" w:space="0" w:color="auto"/>
                <w:right w:val="none" w:sz="0" w:space="0" w:color="auto"/>
              </w:divBdr>
            </w:div>
            <w:div w:id="774594913">
              <w:marLeft w:val="0"/>
              <w:marRight w:val="0"/>
              <w:marTop w:val="0"/>
              <w:marBottom w:val="0"/>
              <w:divBdr>
                <w:top w:val="none" w:sz="0" w:space="0" w:color="auto"/>
                <w:left w:val="none" w:sz="0" w:space="0" w:color="auto"/>
                <w:bottom w:val="none" w:sz="0" w:space="0" w:color="auto"/>
                <w:right w:val="none" w:sz="0" w:space="0" w:color="auto"/>
              </w:divBdr>
            </w:div>
            <w:div w:id="825588514">
              <w:marLeft w:val="0"/>
              <w:marRight w:val="0"/>
              <w:marTop w:val="0"/>
              <w:marBottom w:val="0"/>
              <w:divBdr>
                <w:top w:val="none" w:sz="0" w:space="0" w:color="auto"/>
                <w:left w:val="none" w:sz="0" w:space="0" w:color="auto"/>
                <w:bottom w:val="none" w:sz="0" w:space="0" w:color="auto"/>
                <w:right w:val="none" w:sz="0" w:space="0" w:color="auto"/>
              </w:divBdr>
            </w:div>
            <w:div w:id="1055852531">
              <w:marLeft w:val="0"/>
              <w:marRight w:val="0"/>
              <w:marTop w:val="0"/>
              <w:marBottom w:val="0"/>
              <w:divBdr>
                <w:top w:val="none" w:sz="0" w:space="0" w:color="auto"/>
                <w:left w:val="none" w:sz="0" w:space="0" w:color="auto"/>
                <w:bottom w:val="none" w:sz="0" w:space="0" w:color="auto"/>
                <w:right w:val="none" w:sz="0" w:space="0" w:color="auto"/>
              </w:divBdr>
            </w:div>
            <w:div w:id="1169640284">
              <w:marLeft w:val="0"/>
              <w:marRight w:val="0"/>
              <w:marTop w:val="0"/>
              <w:marBottom w:val="0"/>
              <w:divBdr>
                <w:top w:val="none" w:sz="0" w:space="0" w:color="auto"/>
                <w:left w:val="none" w:sz="0" w:space="0" w:color="auto"/>
                <w:bottom w:val="none" w:sz="0" w:space="0" w:color="auto"/>
                <w:right w:val="none" w:sz="0" w:space="0" w:color="auto"/>
              </w:divBdr>
            </w:div>
            <w:div w:id="1354913822">
              <w:marLeft w:val="0"/>
              <w:marRight w:val="0"/>
              <w:marTop w:val="0"/>
              <w:marBottom w:val="0"/>
              <w:divBdr>
                <w:top w:val="none" w:sz="0" w:space="0" w:color="auto"/>
                <w:left w:val="none" w:sz="0" w:space="0" w:color="auto"/>
                <w:bottom w:val="none" w:sz="0" w:space="0" w:color="auto"/>
                <w:right w:val="none" w:sz="0" w:space="0" w:color="auto"/>
              </w:divBdr>
            </w:div>
            <w:div w:id="1392120946">
              <w:marLeft w:val="0"/>
              <w:marRight w:val="0"/>
              <w:marTop w:val="0"/>
              <w:marBottom w:val="0"/>
              <w:divBdr>
                <w:top w:val="none" w:sz="0" w:space="0" w:color="auto"/>
                <w:left w:val="none" w:sz="0" w:space="0" w:color="auto"/>
                <w:bottom w:val="none" w:sz="0" w:space="0" w:color="auto"/>
                <w:right w:val="none" w:sz="0" w:space="0" w:color="auto"/>
              </w:divBdr>
            </w:div>
            <w:div w:id="1481994999">
              <w:marLeft w:val="0"/>
              <w:marRight w:val="0"/>
              <w:marTop w:val="0"/>
              <w:marBottom w:val="0"/>
              <w:divBdr>
                <w:top w:val="none" w:sz="0" w:space="0" w:color="auto"/>
                <w:left w:val="none" w:sz="0" w:space="0" w:color="auto"/>
                <w:bottom w:val="none" w:sz="0" w:space="0" w:color="auto"/>
                <w:right w:val="none" w:sz="0" w:space="0" w:color="auto"/>
              </w:divBdr>
            </w:div>
            <w:div w:id="1584408303">
              <w:marLeft w:val="0"/>
              <w:marRight w:val="0"/>
              <w:marTop w:val="0"/>
              <w:marBottom w:val="0"/>
              <w:divBdr>
                <w:top w:val="none" w:sz="0" w:space="0" w:color="auto"/>
                <w:left w:val="none" w:sz="0" w:space="0" w:color="auto"/>
                <w:bottom w:val="none" w:sz="0" w:space="0" w:color="auto"/>
                <w:right w:val="none" w:sz="0" w:space="0" w:color="auto"/>
              </w:divBdr>
            </w:div>
            <w:div w:id="1692143928">
              <w:marLeft w:val="0"/>
              <w:marRight w:val="0"/>
              <w:marTop w:val="0"/>
              <w:marBottom w:val="0"/>
              <w:divBdr>
                <w:top w:val="none" w:sz="0" w:space="0" w:color="auto"/>
                <w:left w:val="none" w:sz="0" w:space="0" w:color="auto"/>
                <w:bottom w:val="none" w:sz="0" w:space="0" w:color="auto"/>
                <w:right w:val="none" w:sz="0" w:space="0" w:color="auto"/>
              </w:divBdr>
            </w:div>
            <w:div w:id="1777603017">
              <w:marLeft w:val="0"/>
              <w:marRight w:val="0"/>
              <w:marTop w:val="0"/>
              <w:marBottom w:val="0"/>
              <w:divBdr>
                <w:top w:val="none" w:sz="0" w:space="0" w:color="auto"/>
                <w:left w:val="none" w:sz="0" w:space="0" w:color="auto"/>
                <w:bottom w:val="none" w:sz="0" w:space="0" w:color="auto"/>
                <w:right w:val="none" w:sz="0" w:space="0" w:color="auto"/>
              </w:divBdr>
            </w:div>
            <w:div w:id="1850946239">
              <w:marLeft w:val="0"/>
              <w:marRight w:val="0"/>
              <w:marTop w:val="0"/>
              <w:marBottom w:val="0"/>
              <w:divBdr>
                <w:top w:val="none" w:sz="0" w:space="0" w:color="auto"/>
                <w:left w:val="none" w:sz="0" w:space="0" w:color="auto"/>
                <w:bottom w:val="none" w:sz="0" w:space="0" w:color="auto"/>
                <w:right w:val="none" w:sz="0" w:space="0" w:color="auto"/>
              </w:divBdr>
            </w:div>
            <w:div w:id="1875732028">
              <w:marLeft w:val="0"/>
              <w:marRight w:val="0"/>
              <w:marTop w:val="0"/>
              <w:marBottom w:val="0"/>
              <w:divBdr>
                <w:top w:val="none" w:sz="0" w:space="0" w:color="auto"/>
                <w:left w:val="none" w:sz="0" w:space="0" w:color="auto"/>
                <w:bottom w:val="none" w:sz="0" w:space="0" w:color="auto"/>
                <w:right w:val="none" w:sz="0" w:space="0" w:color="auto"/>
              </w:divBdr>
            </w:div>
            <w:div w:id="1898781220">
              <w:marLeft w:val="0"/>
              <w:marRight w:val="0"/>
              <w:marTop w:val="0"/>
              <w:marBottom w:val="0"/>
              <w:divBdr>
                <w:top w:val="none" w:sz="0" w:space="0" w:color="auto"/>
                <w:left w:val="none" w:sz="0" w:space="0" w:color="auto"/>
                <w:bottom w:val="none" w:sz="0" w:space="0" w:color="auto"/>
                <w:right w:val="none" w:sz="0" w:space="0" w:color="auto"/>
              </w:divBdr>
            </w:div>
            <w:div w:id="193852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84068">
      <w:bodyDiv w:val="1"/>
      <w:marLeft w:val="0"/>
      <w:marRight w:val="0"/>
      <w:marTop w:val="0"/>
      <w:marBottom w:val="0"/>
      <w:divBdr>
        <w:top w:val="none" w:sz="0" w:space="0" w:color="auto"/>
        <w:left w:val="none" w:sz="0" w:space="0" w:color="auto"/>
        <w:bottom w:val="none" w:sz="0" w:space="0" w:color="auto"/>
        <w:right w:val="none" w:sz="0" w:space="0" w:color="auto"/>
      </w:divBdr>
      <w:divsChild>
        <w:div w:id="20936266">
          <w:marLeft w:val="0"/>
          <w:marRight w:val="0"/>
          <w:marTop w:val="0"/>
          <w:marBottom w:val="0"/>
          <w:divBdr>
            <w:top w:val="none" w:sz="0" w:space="0" w:color="auto"/>
            <w:left w:val="none" w:sz="0" w:space="0" w:color="auto"/>
            <w:bottom w:val="none" w:sz="0" w:space="0" w:color="auto"/>
            <w:right w:val="none" w:sz="0" w:space="0" w:color="auto"/>
          </w:divBdr>
          <w:divsChild>
            <w:div w:id="1627470582">
              <w:marLeft w:val="0"/>
              <w:marRight w:val="0"/>
              <w:marTop w:val="0"/>
              <w:marBottom w:val="0"/>
              <w:divBdr>
                <w:top w:val="none" w:sz="0" w:space="0" w:color="auto"/>
                <w:left w:val="none" w:sz="0" w:space="0" w:color="auto"/>
                <w:bottom w:val="none" w:sz="0" w:space="0" w:color="auto"/>
                <w:right w:val="none" w:sz="0" w:space="0" w:color="auto"/>
              </w:divBdr>
            </w:div>
          </w:divsChild>
        </w:div>
        <w:div w:id="1036614742">
          <w:marLeft w:val="-2400"/>
          <w:marRight w:val="0"/>
          <w:marTop w:val="0"/>
          <w:marBottom w:val="0"/>
          <w:divBdr>
            <w:top w:val="none" w:sz="0" w:space="0" w:color="auto"/>
            <w:left w:val="none" w:sz="0" w:space="0" w:color="auto"/>
            <w:bottom w:val="none" w:sz="0" w:space="0" w:color="auto"/>
            <w:right w:val="none" w:sz="0" w:space="0" w:color="auto"/>
          </w:divBdr>
          <w:divsChild>
            <w:div w:id="669337153">
              <w:marLeft w:val="0"/>
              <w:marRight w:val="0"/>
              <w:marTop w:val="0"/>
              <w:marBottom w:val="0"/>
              <w:divBdr>
                <w:top w:val="none" w:sz="0" w:space="0" w:color="auto"/>
                <w:left w:val="none" w:sz="0" w:space="0" w:color="auto"/>
                <w:bottom w:val="none" w:sz="0" w:space="0" w:color="auto"/>
                <w:right w:val="none" w:sz="0" w:space="0" w:color="auto"/>
              </w:divBdr>
              <w:divsChild>
                <w:div w:id="76666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616764">
      <w:bodyDiv w:val="1"/>
      <w:marLeft w:val="0"/>
      <w:marRight w:val="0"/>
      <w:marTop w:val="0"/>
      <w:marBottom w:val="0"/>
      <w:divBdr>
        <w:top w:val="none" w:sz="0" w:space="0" w:color="auto"/>
        <w:left w:val="none" w:sz="0" w:space="0" w:color="auto"/>
        <w:bottom w:val="none" w:sz="0" w:space="0" w:color="auto"/>
        <w:right w:val="none" w:sz="0" w:space="0" w:color="auto"/>
      </w:divBdr>
    </w:div>
    <w:div w:id="608122868">
      <w:bodyDiv w:val="1"/>
      <w:marLeft w:val="0"/>
      <w:marRight w:val="0"/>
      <w:marTop w:val="0"/>
      <w:marBottom w:val="0"/>
      <w:divBdr>
        <w:top w:val="none" w:sz="0" w:space="0" w:color="auto"/>
        <w:left w:val="none" w:sz="0" w:space="0" w:color="auto"/>
        <w:bottom w:val="none" w:sz="0" w:space="0" w:color="auto"/>
        <w:right w:val="none" w:sz="0" w:space="0" w:color="auto"/>
      </w:divBdr>
    </w:div>
    <w:div w:id="635062810">
      <w:bodyDiv w:val="1"/>
      <w:marLeft w:val="0"/>
      <w:marRight w:val="0"/>
      <w:marTop w:val="0"/>
      <w:marBottom w:val="0"/>
      <w:divBdr>
        <w:top w:val="none" w:sz="0" w:space="0" w:color="auto"/>
        <w:left w:val="none" w:sz="0" w:space="0" w:color="auto"/>
        <w:bottom w:val="none" w:sz="0" w:space="0" w:color="auto"/>
        <w:right w:val="none" w:sz="0" w:space="0" w:color="auto"/>
      </w:divBdr>
    </w:div>
    <w:div w:id="650716821">
      <w:bodyDiv w:val="1"/>
      <w:marLeft w:val="0"/>
      <w:marRight w:val="0"/>
      <w:marTop w:val="0"/>
      <w:marBottom w:val="0"/>
      <w:divBdr>
        <w:top w:val="none" w:sz="0" w:space="0" w:color="auto"/>
        <w:left w:val="none" w:sz="0" w:space="0" w:color="auto"/>
        <w:bottom w:val="none" w:sz="0" w:space="0" w:color="auto"/>
        <w:right w:val="none" w:sz="0" w:space="0" w:color="auto"/>
      </w:divBdr>
      <w:divsChild>
        <w:div w:id="22482098">
          <w:marLeft w:val="0"/>
          <w:marRight w:val="0"/>
          <w:marTop w:val="0"/>
          <w:marBottom w:val="0"/>
          <w:divBdr>
            <w:top w:val="none" w:sz="0" w:space="0" w:color="auto"/>
            <w:left w:val="none" w:sz="0" w:space="0" w:color="auto"/>
            <w:bottom w:val="none" w:sz="0" w:space="0" w:color="auto"/>
            <w:right w:val="none" w:sz="0" w:space="0" w:color="auto"/>
          </w:divBdr>
        </w:div>
        <w:div w:id="381950739">
          <w:marLeft w:val="0"/>
          <w:marRight w:val="0"/>
          <w:marTop w:val="0"/>
          <w:marBottom w:val="0"/>
          <w:divBdr>
            <w:top w:val="none" w:sz="0" w:space="0" w:color="auto"/>
            <w:left w:val="none" w:sz="0" w:space="0" w:color="auto"/>
            <w:bottom w:val="none" w:sz="0" w:space="0" w:color="auto"/>
            <w:right w:val="none" w:sz="0" w:space="0" w:color="auto"/>
          </w:divBdr>
        </w:div>
        <w:div w:id="1372271196">
          <w:marLeft w:val="0"/>
          <w:marRight w:val="0"/>
          <w:marTop w:val="0"/>
          <w:marBottom w:val="0"/>
          <w:divBdr>
            <w:top w:val="none" w:sz="0" w:space="0" w:color="auto"/>
            <w:left w:val="none" w:sz="0" w:space="0" w:color="auto"/>
            <w:bottom w:val="none" w:sz="0" w:space="0" w:color="auto"/>
            <w:right w:val="none" w:sz="0" w:space="0" w:color="auto"/>
          </w:divBdr>
        </w:div>
        <w:div w:id="1909727783">
          <w:marLeft w:val="0"/>
          <w:marRight w:val="0"/>
          <w:marTop w:val="0"/>
          <w:marBottom w:val="0"/>
          <w:divBdr>
            <w:top w:val="none" w:sz="0" w:space="0" w:color="auto"/>
            <w:left w:val="none" w:sz="0" w:space="0" w:color="auto"/>
            <w:bottom w:val="none" w:sz="0" w:space="0" w:color="auto"/>
            <w:right w:val="none" w:sz="0" w:space="0" w:color="auto"/>
          </w:divBdr>
        </w:div>
      </w:divsChild>
    </w:div>
    <w:div w:id="737940737">
      <w:bodyDiv w:val="1"/>
      <w:marLeft w:val="0"/>
      <w:marRight w:val="0"/>
      <w:marTop w:val="0"/>
      <w:marBottom w:val="0"/>
      <w:divBdr>
        <w:top w:val="none" w:sz="0" w:space="0" w:color="auto"/>
        <w:left w:val="none" w:sz="0" w:space="0" w:color="auto"/>
        <w:bottom w:val="none" w:sz="0" w:space="0" w:color="auto"/>
        <w:right w:val="none" w:sz="0" w:space="0" w:color="auto"/>
      </w:divBdr>
    </w:div>
    <w:div w:id="750465907">
      <w:bodyDiv w:val="1"/>
      <w:marLeft w:val="0"/>
      <w:marRight w:val="0"/>
      <w:marTop w:val="0"/>
      <w:marBottom w:val="0"/>
      <w:divBdr>
        <w:top w:val="none" w:sz="0" w:space="0" w:color="auto"/>
        <w:left w:val="none" w:sz="0" w:space="0" w:color="auto"/>
        <w:bottom w:val="none" w:sz="0" w:space="0" w:color="auto"/>
        <w:right w:val="none" w:sz="0" w:space="0" w:color="auto"/>
      </w:divBdr>
    </w:div>
    <w:div w:id="794953449">
      <w:bodyDiv w:val="1"/>
      <w:marLeft w:val="0"/>
      <w:marRight w:val="0"/>
      <w:marTop w:val="0"/>
      <w:marBottom w:val="0"/>
      <w:divBdr>
        <w:top w:val="none" w:sz="0" w:space="0" w:color="auto"/>
        <w:left w:val="none" w:sz="0" w:space="0" w:color="auto"/>
        <w:bottom w:val="none" w:sz="0" w:space="0" w:color="auto"/>
        <w:right w:val="none" w:sz="0" w:space="0" w:color="auto"/>
      </w:divBdr>
    </w:div>
    <w:div w:id="981234876">
      <w:bodyDiv w:val="1"/>
      <w:marLeft w:val="0"/>
      <w:marRight w:val="0"/>
      <w:marTop w:val="0"/>
      <w:marBottom w:val="0"/>
      <w:divBdr>
        <w:top w:val="none" w:sz="0" w:space="0" w:color="auto"/>
        <w:left w:val="none" w:sz="0" w:space="0" w:color="auto"/>
        <w:bottom w:val="none" w:sz="0" w:space="0" w:color="auto"/>
        <w:right w:val="none" w:sz="0" w:space="0" w:color="auto"/>
      </w:divBdr>
    </w:div>
    <w:div w:id="1049307668">
      <w:bodyDiv w:val="1"/>
      <w:marLeft w:val="0"/>
      <w:marRight w:val="0"/>
      <w:marTop w:val="0"/>
      <w:marBottom w:val="0"/>
      <w:divBdr>
        <w:top w:val="none" w:sz="0" w:space="0" w:color="auto"/>
        <w:left w:val="none" w:sz="0" w:space="0" w:color="auto"/>
        <w:bottom w:val="none" w:sz="0" w:space="0" w:color="auto"/>
        <w:right w:val="none" w:sz="0" w:space="0" w:color="auto"/>
      </w:divBdr>
    </w:div>
    <w:div w:id="1077242153">
      <w:bodyDiv w:val="1"/>
      <w:marLeft w:val="0"/>
      <w:marRight w:val="0"/>
      <w:marTop w:val="0"/>
      <w:marBottom w:val="0"/>
      <w:divBdr>
        <w:top w:val="none" w:sz="0" w:space="0" w:color="auto"/>
        <w:left w:val="none" w:sz="0" w:space="0" w:color="auto"/>
        <w:bottom w:val="none" w:sz="0" w:space="0" w:color="auto"/>
        <w:right w:val="none" w:sz="0" w:space="0" w:color="auto"/>
      </w:divBdr>
    </w:div>
    <w:div w:id="1087650259">
      <w:bodyDiv w:val="1"/>
      <w:marLeft w:val="0"/>
      <w:marRight w:val="0"/>
      <w:marTop w:val="0"/>
      <w:marBottom w:val="0"/>
      <w:divBdr>
        <w:top w:val="none" w:sz="0" w:space="0" w:color="auto"/>
        <w:left w:val="none" w:sz="0" w:space="0" w:color="auto"/>
        <w:bottom w:val="none" w:sz="0" w:space="0" w:color="auto"/>
        <w:right w:val="none" w:sz="0" w:space="0" w:color="auto"/>
      </w:divBdr>
    </w:div>
    <w:div w:id="1129975199">
      <w:bodyDiv w:val="1"/>
      <w:marLeft w:val="0"/>
      <w:marRight w:val="0"/>
      <w:marTop w:val="0"/>
      <w:marBottom w:val="0"/>
      <w:divBdr>
        <w:top w:val="none" w:sz="0" w:space="0" w:color="auto"/>
        <w:left w:val="none" w:sz="0" w:space="0" w:color="auto"/>
        <w:bottom w:val="none" w:sz="0" w:space="0" w:color="auto"/>
        <w:right w:val="none" w:sz="0" w:space="0" w:color="auto"/>
      </w:divBdr>
    </w:div>
    <w:div w:id="1149202719">
      <w:bodyDiv w:val="1"/>
      <w:marLeft w:val="0"/>
      <w:marRight w:val="0"/>
      <w:marTop w:val="0"/>
      <w:marBottom w:val="0"/>
      <w:divBdr>
        <w:top w:val="none" w:sz="0" w:space="0" w:color="auto"/>
        <w:left w:val="none" w:sz="0" w:space="0" w:color="auto"/>
        <w:bottom w:val="none" w:sz="0" w:space="0" w:color="auto"/>
        <w:right w:val="none" w:sz="0" w:space="0" w:color="auto"/>
      </w:divBdr>
    </w:div>
    <w:div w:id="1151098033">
      <w:bodyDiv w:val="1"/>
      <w:marLeft w:val="0"/>
      <w:marRight w:val="0"/>
      <w:marTop w:val="0"/>
      <w:marBottom w:val="0"/>
      <w:divBdr>
        <w:top w:val="none" w:sz="0" w:space="0" w:color="auto"/>
        <w:left w:val="none" w:sz="0" w:space="0" w:color="auto"/>
        <w:bottom w:val="none" w:sz="0" w:space="0" w:color="auto"/>
        <w:right w:val="none" w:sz="0" w:space="0" w:color="auto"/>
      </w:divBdr>
    </w:div>
    <w:div w:id="1164510472">
      <w:bodyDiv w:val="1"/>
      <w:marLeft w:val="0"/>
      <w:marRight w:val="0"/>
      <w:marTop w:val="0"/>
      <w:marBottom w:val="0"/>
      <w:divBdr>
        <w:top w:val="none" w:sz="0" w:space="0" w:color="auto"/>
        <w:left w:val="none" w:sz="0" w:space="0" w:color="auto"/>
        <w:bottom w:val="none" w:sz="0" w:space="0" w:color="auto"/>
        <w:right w:val="none" w:sz="0" w:space="0" w:color="auto"/>
      </w:divBdr>
    </w:div>
    <w:div w:id="1172837957">
      <w:bodyDiv w:val="1"/>
      <w:marLeft w:val="0"/>
      <w:marRight w:val="0"/>
      <w:marTop w:val="0"/>
      <w:marBottom w:val="0"/>
      <w:divBdr>
        <w:top w:val="none" w:sz="0" w:space="0" w:color="auto"/>
        <w:left w:val="none" w:sz="0" w:space="0" w:color="auto"/>
        <w:bottom w:val="none" w:sz="0" w:space="0" w:color="auto"/>
        <w:right w:val="none" w:sz="0" w:space="0" w:color="auto"/>
      </w:divBdr>
    </w:div>
    <w:div w:id="1173960056">
      <w:bodyDiv w:val="1"/>
      <w:marLeft w:val="0"/>
      <w:marRight w:val="0"/>
      <w:marTop w:val="0"/>
      <w:marBottom w:val="0"/>
      <w:divBdr>
        <w:top w:val="none" w:sz="0" w:space="0" w:color="auto"/>
        <w:left w:val="none" w:sz="0" w:space="0" w:color="auto"/>
        <w:bottom w:val="none" w:sz="0" w:space="0" w:color="auto"/>
        <w:right w:val="none" w:sz="0" w:space="0" w:color="auto"/>
      </w:divBdr>
    </w:div>
    <w:div w:id="1185367113">
      <w:bodyDiv w:val="1"/>
      <w:marLeft w:val="0"/>
      <w:marRight w:val="0"/>
      <w:marTop w:val="0"/>
      <w:marBottom w:val="0"/>
      <w:divBdr>
        <w:top w:val="none" w:sz="0" w:space="0" w:color="auto"/>
        <w:left w:val="none" w:sz="0" w:space="0" w:color="auto"/>
        <w:bottom w:val="none" w:sz="0" w:space="0" w:color="auto"/>
        <w:right w:val="none" w:sz="0" w:space="0" w:color="auto"/>
      </w:divBdr>
    </w:div>
    <w:div w:id="1187906221">
      <w:bodyDiv w:val="1"/>
      <w:marLeft w:val="0"/>
      <w:marRight w:val="0"/>
      <w:marTop w:val="0"/>
      <w:marBottom w:val="0"/>
      <w:divBdr>
        <w:top w:val="none" w:sz="0" w:space="0" w:color="auto"/>
        <w:left w:val="none" w:sz="0" w:space="0" w:color="auto"/>
        <w:bottom w:val="none" w:sz="0" w:space="0" w:color="auto"/>
        <w:right w:val="none" w:sz="0" w:space="0" w:color="auto"/>
      </w:divBdr>
      <w:divsChild>
        <w:div w:id="6519927">
          <w:marLeft w:val="0"/>
          <w:marRight w:val="0"/>
          <w:marTop w:val="0"/>
          <w:marBottom w:val="0"/>
          <w:divBdr>
            <w:top w:val="none" w:sz="0" w:space="0" w:color="auto"/>
            <w:left w:val="none" w:sz="0" w:space="0" w:color="auto"/>
            <w:bottom w:val="none" w:sz="0" w:space="0" w:color="auto"/>
            <w:right w:val="none" w:sz="0" w:space="0" w:color="auto"/>
          </w:divBdr>
        </w:div>
        <w:div w:id="122357940">
          <w:marLeft w:val="0"/>
          <w:marRight w:val="0"/>
          <w:marTop w:val="0"/>
          <w:marBottom w:val="0"/>
          <w:divBdr>
            <w:top w:val="none" w:sz="0" w:space="0" w:color="auto"/>
            <w:left w:val="none" w:sz="0" w:space="0" w:color="auto"/>
            <w:bottom w:val="none" w:sz="0" w:space="0" w:color="auto"/>
            <w:right w:val="none" w:sz="0" w:space="0" w:color="auto"/>
          </w:divBdr>
        </w:div>
        <w:div w:id="1321421741">
          <w:marLeft w:val="0"/>
          <w:marRight w:val="0"/>
          <w:marTop w:val="0"/>
          <w:marBottom w:val="0"/>
          <w:divBdr>
            <w:top w:val="none" w:sz="0" w:space="0" w:color="auto"/>
            <w:left w:val="none" w:sz="0" w:space="0" w:color="auto"/>
            <w:bottom w:val="none" w:sz="0" w:space="0" w:color="auto"/>
            <w:right w:val="none" w:sz="0" w:space="0" w:color="auto"/>
          </w:divBdr>
        </w:div>
        <w:div w:id="1465270083">
          <w:marLeft w:val="0"/>
          <w:marRight w:val="0"/>
          <w:marTop w:val="0"/>
          <w:marBottom w:val="0"/>
          <w:divBdr>
            <w:top w:val="none" w:sz="0" w:space="0" w:color="auto"/>
            <w:left w:val="none" w:sz="0" w:space="0" w:color="auto"/>
            <w:bottom w:val="none" w:sz="0" w:space="0" w:color="auto"/>
            <w:right w:val="none" w:sz="0" w:space="0" w:color="auto"/>
          </w:divBdr>
        </w:div>
        <w:div w:id="1549493271">
          <w:marLeft w:val="0"/>
          <w:marRight w:val="0"/>
          <w:marTop w:val="0"/>
          <w:marBottom w:val="0"/>
          <w:divBdr>
            <w:top w:val="none" w:sz="0" w:space="0" w:color="auto"/>
            <w:left w:val="none" w:sz="0" w:space="0" w:color="auto"/>
            <w:bottom w:val="none" w:sz="0" w:space="0" w:color="auto"/>
            <w:right w:val="none" w:sz="0" w:space="0" w:color="auto"/>
          </w:divBdr>
        </w:div>
        <w:div w:id="1946379864">
          <w:marLeft w:val="0"/>
          <w:marRight w:val="0"/>
          <w:marTop w:val="0"/>
          <w:marBottom w:val="0"/>
          <w:divBdr>
            <w:top w:val="none" w:sz="0" w:space="0" w:color="auto"/>
            <w:left w:val="none" w:sz="0" w:space="0" w:color="auto"/>
            <w:bottom w:val="none" w:sz="0" w:space="0" w:color="auto"/>
            <w:right w:val="none" w:sz="0" w:space="0" w:color="auto"/>
          </w:divBdr>
        </w:div>
        <w:div w:id="2119524504">
          <w:marLeft w:val="0"/>
          <w:marRight w:val="0"/>
          <w:marTop w:val="0"/>
          <w:marBottom w:val="0"/>
          <w:divBdr>
            <w:top w:val="none" w:sz="0" w:space="0" w:color="auto"/>
            <w:left w:val="none" w:sz="0" w:space="0" w:color="auto"/>
            <w:bottom w:val="none" w:sz="0" w:space="0" w:color="auto"/>
            <w:right w:val="none" w:sz="0" w:space="0" w:color="auto"/>
          </w:divBdr>
        </w:div>
      </w:divsChild>
    </w:div>
    <w:div w:id="1201942551">
      <w:bodyDiv w:val="1"/>
      <w:marLeft w:val="0"/>
      <w:marRight w:val="0"/>
      <w:marTop w:val="0"/>
      <w:marBottom w:val="0"/>
      <w:divBdr>
        <w:top w:val="none" w:sz="0" w:space="0" w:color="auto"/>
        <w:left w:val="none" w:sz="0" w:space="0" w:color="auto"/>
        <w:bottom w:val="none" w:sz="0" w:space="0" w:color="auto"/>
        <w:right w:val="none" w:sz="0" w:space="0" w:color="auto"/>
      </w:divBdr>
    </w:div>
    <w:div w:id="1229460073">
      <w:bodyDiv w:val="1"/>
      <w:marLeft w:val="0"/>
      <w:marRight w:val="0"/>
      <w:marTop w:val="0"/>
      <w:marBottom w:val="0"/>
      <w:divBdr>
        <w:top w:val="none" w:sz="0" w:space="0" w:color="auto"/>
        <w:left w:val="none" w:sz="0" w:space="0" w:color="auto"/>
        <w:bottom w:val="none" w:sz="0" w:space="0" w:color="auto"/>
        <w:right w:val="none" w:sz="0" w:space="0" w:color="auto"/>
      </w:divBdr>
    </w:div>
    <w:div w:id="1249383394">
      <w:bodyDiv w:val="1"/>
      <w:marLeft w:val="0"/>
      <w:marRight w:val="0"/>
      <w:marTop w:val="0"/>
      <w:marBottom w:val="0"/>
      <w:divBdr>
        <w:top w:val="none" w:sz="0" w:space="0" w:color="auto"/>
        <w:left w:val="none" w:sz="0" w:space="0" w:color="auto"/>
        <w:bottom w:val="none" w:sz="0" w:space="0" w:color="auto"/>
        <w:right w:val="none" w:sz="0" w:space="0" w:color="auto"/>
      </w:divBdr>
    </w:div>
    <w:div w:id="1278290671">
      <w:bodyDiv w:val="1"/>
      <w:marLeft w:val="0"/>
      <w:marRight w:val="0"/>
      <w:marTop w:val="0"/>
      <w:marBottom w:val="0"/>
      <w:divBdr>
        <w:top w:val="none" w:sz="0" w:space="0" w:color="auto"/>
        <w:left w:val="none" w:sz="0" w:space="0" w:color="auto"/>
        <w:bottom w:val="none" w:sz="0" w:space="0" w:color="auto"/>
        <w:right w:val="none" w:sz="0" w:space="0" w:color="auto"/>
      </w:divBdr>
    </w:div>
    <w:div w:id="1306230337">
      <w:bodyDiv w:val="1"/>
      <w:marLeft w:val="0"/>
      <w:marRight w:val="0"/>
      <w:marTop w:val="0"/>
      <w:marBottom w:val="0"/>
      <w:divBdr>
        <w:top w:val="none" w:sz="0" w:space="0" w:color="auto"/>
        <w:left w:val="none" w:sz="0" w:space="0" w:color="auto"/>
        <w:bottom w:val="none" w:sz="0" w:space="0" w:color="auto"/>
        <w:right w:val="none" w:sz="0" w:space="0" w:color="auto"/>
      </w:divBdr>
      <w:divsChild>
        <w:div w:id="1117332815">
          <w:marLeft w:val="0"/>
          <w:marRight w:val="0"/>
          <w:marTop w:val="0"/>
          <w:marBottom w:val="0"/>
          <w:divBdr>
            <w:top w:val="none" w:sz="0" w:space="0" w:color="auto"/>
            <w:left w:val="none" w:sz="0" w:space="0" w:color="auto"/>
            <w:bottom w:val="none" w:sz="0" w:space="0" w:color="auto"/>
            <w:right w:val="none" w:sz="0" w:space="0" w:color="auto"/>
          </w:divBdr>
          <w:divsChild>
            <w:div w:id="217667081">
              <w:marLeft w:val="0"/>
              <w:marRight w:val="0"/>
              <w:marTop w:val="0"/>
              <w:marBottom w:val="0"/>
              <w:divBdr>
                <w:top w:val="none" w:sz="0" w:space="0" w:color="auto"/>
                <w:left w:val="none" w:sz="0" w:space="0" w:color="auto"/>
                <w:bottom w:val="none" w:sz="0" w:space="0" w:color="auto"/>
                <w:right w:val="none" w:sz="0" w:space="0" w:color="auto"/>
              </w:divBdr>
            </w:div>
            <w:div w:id="736513271">
              <w:marLeft w:val="0"/>
              <w:marRight w:val="0"/>
              <w:marTop w:val="0"/>
              <w:marBottom w:val="0"/>
              <w:divBdr>
                <w:top w:val="none" w:sz="0" w:space="0" w:color="auto"/>
                <w:left w:val="none" w:sz="0" w:space="0" w:color="auto"/>
                <w:bottom w:val="none" w:sz="0" w:space="0" w:color="auto"/>
                <w:right w:val="none" w:sz="0" w:space="0" w:color="auto"/>
              </w:divBdr>
            </w:div>
            <w:div w:id="133460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961267">
      <w:bodyDiv w:val="1"/>
      <w:marLeft w:val="0"/>
      <w:marRight w:val="0"/>
      <w:marTop w:val="0"/>
      <w:marBottom w:val="0"/>
      <w:divBdr>
        <w:top w:val="none" w:sz="0" w:space="0" w:color="auto"/>
        <w:left w:val="none" w:sz="0" w:space="0" w:color="auto"/>
        <w:bottom w:val="none" w:sz="0" w:space="0" w:color="auto"/>
        <w:right w:val="none" w:sz="0" w:space="0" w:color="auto"/>
      </w:divBdr>
    </w:div>
    <w:div w:id="1333876877">
      <w:bodyDiv w:val="1"/>
      <w:marLeft w:val="0"/>
      <w:marRight w:val="0"/>
      <w:marTop w:val="0"/>
      <w:marBottom w:val="0"/>
      <w:divBdr>
        <w:top w:val="none" w:sz="0" w:space="0" w:color="auto"/>
        <w:left w:val="none" w:sz="0" w:space="0" w:color="auto"/>
        <w:bottom w:val="none" w:sz="0" w:space="0" w:color="auto"/>
        <w:right w:val="none" w:sz="0" w:space="0" w:color="auto"/>
      </w:divBdr>
    </w:div>
    <w:div w:id="1335887268">
      <w:bodyDiv w:val="1"/>
      <w:marLeft w:val="0"/>
      <w:marRight w:val="0"/>
      <w:marTop w:val="0"/>
      <w:marBottom w:val="0"/>
      <w:divBdr>
        <w:top w:val="none" w:sz="0" w:space="0" w:color="auto"/>
        <w:left w:val="none" w:sz="0" w:space="0" w:color="auto"/>
        <w:bottom w:val="none" w:sz="0" w:space="0" w:color="auto"/>
        <w:right w:val="none" w:sz="0" w:space="0" w:color="auto"/>
      </w:divBdr>
      <w:divsChild>
        <w:div w:id="803499631">
          <w:marLeft w:val="0"/>
          <w:marRight w:val="0"/>
          <w:marTop w:val="0"/>
          <w:marBottom w:val="0"/>
          <w:divBdr>
            <w:top w:val="none" w:sz="0" w:space="0" w:color="auto"/>
            <w:left w:val="none" w:sz="0" w:space="0" w:color="auto"/>
            <w:bottom w:val="none" w:sz="0" w:space="0" w:color="auto"/>
            <w:right w:val="none" w:sz="0" w:space="0" w:color="auto"/>
          </w:divBdr>
        </w:div>
        <w:div w:id="913659708">
          <w:marLeft w:val="0"/>
          <w:marRight w:val="0"/>
          <w:marTop w:val="0"/>
          <w:marBottom w:val="0"/>
          <w:divBdr>
            <w:top w:val="none" w:sz="0" w:space="0" w:color="auto"/>
            <w:left w:val="none" w:sz="0" w:space="0" w:color="auto"/>
            <w:bottom w:val="none" w:sz="0" w:space="0" w:color="auto"/>
            <w:right w:val="none" w:sz="0" w:space="0" w:color="auto"/>
          </w:divBdr>
        </w:div>
        <w:div w:id="1144783003">
          <w:marLeft w:val="0"/>
          <w:marRight w:val="0"/>
          <w:marTop w:val="0"/>
          <w:marBottom w:val="0"/>
          <w:divBdr>
            <w:top w:val="none" w:sz="0" w:space="0" w:color="auto"/>
            <w:left w:val="none" w:sz="0" w:space="0" w:color="auto"/>
            <w:bottom w:val="none" w:sz="0" w:space="0" w:color="auto"/>
            <w:right w:val="none" w:sz="0" w:space="0" w:color="auto"/>
          </w:divBdr>
        </w:div>
        <w:div w:id="1263298313">
          <w:marLeft w:val="0"/>
          <w:marRight w:val="0"/>
          <w:marTop w:val="0"/>
          <w:marBottom w:val="0"/>
          <w:divBdr>
            <w:top w:val="none" w:sz="0" w:space="0" w:color="auto"/>
            <w:left w:val="none" w:sz="0" w:space="0" w:color="auto"/>
            <w:bottom w:val="none" w:sz="0" w:space="0" w:color="auto"/>
            <w:right w:val="none" w:sz="0" w:space="0" w:color="auto"/>
          </w:divBdr>
        </w:div>
        <w:div w:id="1331103030">
          <w:marLeft w:val="0"/>
          <w:marRight w:val="0"/>
          <w:marTop w:val="0"/>
          <w:marBottom w:val="0"/>
          <w:divBdr>
            <w:top w:val="none" w:sz="0" w:space="0" w:color="auto"/>
            <w:left w:val="none" w:sz="0" w:space="0" w:color="auto"/>
            <w:bottom w:val="none" w:sz="0" w:space="0" w:color="auto"/>
            <w:right w:val="none" w:sz="0" w:space="0" w:color="auto"/>
          </w:divBdr>
        </w:div>
        <w:div w:id="1503619646">
          <w:marLeft w:val="0"/>
          <w:marRight w:val="0"/>
          <w:marTop w:val="0"/>
          <w:marBottom w:val="0"/>
          <w:divBdr>
            <w:top w:val="none" w:sz="0" w:space="0" w:color="auto"/>
            <w:left w:val="none" w:sz="0" w:space="0" w:color="auto"/>
            <w:bottom w:val="none" w:sz="0" w:space="0" w:color="auto"/>
            <w:right w:val="none" w:sz="0" w:space="0" w:color="auto"/>
          </w:divBdr>
        </w:div>
        <w:div w:id="1670476563">
          <w:marLeft w:val="0"/>
          <w:marRight w:val="0"/>
          <w:marTop w:val="0"/>
          <w:marBottom w:val="0"/>
          <w:divBdr>
            <w:top w:val="none" w:sz="0" w:space="0" w:color="auto"/>
            <w:left w:val="none" w:sz="0" w:space="0" w:color="auto"/>
            <w:bottom w:val="none" w:sz="0" w:space="0" w:color="auto"/>
            <w:right w:val="none" w:sz="0" w:space="0" w:color="auto"/>
          </w:divBdr>
        </w:div>
        <w:div w:id="1809055859">
          <w:marLeft w:val="0"/>
          <w:marRight w:val="0"/>
          <w:marTop w:val="0"/>
          <w:marBottom w:val="0"/>
          <w:divBdr>
            <w:top w:val="none" w:sz="0" w:space="0" w:color="auto"/>
            <w:left w:val="none" w:sz="0" w:space="0" w:color="auto"/>
            <w:bottom w:val="none" w:sz="0" w:space="0" w:color="auto"/>
            <w:right w:val="none" w:sz="0" w:space="0" w:color="auto"/>
          </w:divBdr>
        </w:div>
      </w:divsChild>
    </w:div>
    <w:div w:id="1338074457">
      <w:bodyDiv w:val="1"/>
      <w:marLeft w:val="0"/>
      <w:marRight w:val="0"/>
      <w:marTop w:val="0"/>
      <w:marBottom w:val="0"/>
      <w:divBdr>
        <w:top w:val="none" w:sz="0" w:space="0" w:color="auto"/>
        <w:left w:val="none" w:sz="0" w:space="0" w:color="auto"/>
        <w:bottom w:val="none" w:sz="0" w:space="0" w:color="auto"/>
        <w:right w:val="none" w:sz="0" w:space="0" w:color="auto"/>
      </w:divBdr>
      <w:divsChild>
        <w:div w:id="1629630973">
          <w:marLeft w:val="0"/>
          <w:marRight w:val="0"/>
          <w:marTop w:val="0"/>
          <w:marBottom w:val="0"/>
          <w:divBdr>
            <w:top w:val="none" w:sz="0" w:space="0" w:color="auto"/>
            <w:left w:val="none" w:sz="0" w:space="0" w:color="auto"/>
            <w:bottom w:val="none" w:sz="0" w:space="0" w:color="auto"/>
            <w:right w:val="none" w:sz="0" w:space="0" w:color="auto"/>
          </w:divBdr>
          <w:divsChild>
            <w:div w:id="20672989">
              <w:marLeft w:val="0"/>
              <w:marRight w:val="0"/>
              <w:marTop w:val="0"/>
              <w:marBottom w:val="0"/>
              <w:divBdr>
                <w:top w:val="none" w:sz="0" w:space="0" w:color="auto"/>
                <w:left w:val="none" w:sz="0" w:space="0" w:color="auto"/>
                <w:bottom w:val="none" w:sz="0" w:space="0" w:color="auto"/>
                <w:right w:val="none" w:sz="0" w:space="0" w:color="auto"/>
              </w:divBdr>
            </w:div>
            <w:div w:id="203753746">
              <w:marLeft w:val="0"/>
              <w:marRight w:val="0"/>
              <w:marTop w:val="0"/>
              <w:marBottom w:val="0"/>
              <w:divBdr>
                <w:top w:val="none" w:sz="0" w:space="0" w:color="auto"/>
                <w:left w:val="none" w:sz="0" w:space="0" w:color="auto"/>
                <w:bottom w:val="none" w:sz="0" w:space="0" w:color="auto"/>
                <w:right w:val="none" w:sz="0" w:space="0" w:color="auto"/>
              </w:divBdr>
            </w:div>
            <w:div w:id="261189529">
              <w:marLeft w:val="0"/>
              <w:marRight w:val="0"/>
              <w:marTop w:val="0"/>
              <w:marBottom w:val="0"/>
              <w:divBdr>
                <w:top w:val="none" w:sz="0" w:space="0" w:color="auto"/>
                <w:left w:val="none" w:sz="0" w:space="0" w:color="auto"/>
                <w:bottom w:val="none" w:sz="0" w:space="0" w:color="auto"/>
                <w:right w:val="none" w:sz="0" w:space="0" w:color="auto"/>
              </w:divBdr>
            </w:div>
            <w:div w:id="306400591">
              <w:marLeft w:val="0"/>
              <w:marRight w:val="0"/>
              <w:marTop w:val="0"/>
              <w:marBottom w:val="0"/>
              <w:divBdr>
                <w:top w:val="none" w:sz="0" w:space="0" w:color="auto"/>
                <w:left w:val="none" w:sz="0" w:space="0" w:color="auto"/>
                <w:bottom w:val="none" w:sz="0" w:space="0" w:color="auto"/>
                <w:right w:val="none" w:sz="0" w:space="0" w:color="auto"/>
              </w:divBdr>
            </w:div>
            <w:div w:id="329674372">
              <w:marLeft w:val="0"/>
              <w:marRight w:val="0"/>
              <w:marTop w:val="0"/>
              <w:marBottom w:val="0"/>
              <w:divBdr>
                <w:top w:val="none" w:sz="0" w:space="0" w:color="auto"/>
                <w:left w:val="none" w:sz="0" w:space="0" w:color="auto"/>
                <w:bottom w:val="none" w:sz="0" w:space="0" w:color="auto"/>
                <w:right w:val="none" w:sz="0" w:space="0" w:color="auto"/>
              </w:divBdr>
            </w:div>
            <w:div w:id="530460976">
              <w:marLeft w:val="0"/>
              <w:marRight w:val="0"/>
              <w:marTop w:val="0"/>
              <w:marBottom w:val="0"/>
              <w:divBdr>
                <w:top w:val="none" w:sz="0" w:space="0" w:color="auto"/>
                <w:left w:val="none" w:sz="0" w:space="0" w:color="auto"/>
                <w:bottom w:val="none" w:sz="0" w:space="0" w:color="auto"/>
                <w:right w:val="none" w:sz="0" w:space="0" w:color="auto"/>
              </w:divBdr>
            </w:div>
            <w:div w:id="674038765">
              <w:marLeft w:val="0"/>
              <w:marRight w:val="0"/>
              <w:marTop w:val="0"/>
              <w:marBottom w:val="0"/>
              <w:divBdr>
                <w:top w:val="none" w:sz="0" w:space="0" w:color="auto"/>
                <w:left w:val="none" w:sz="0" w:space="0" w:color="auto"/>
                <w:bottom w:val="none" w:sz="0" w:space="0" w:color="auto"/>
                <w:right w:val="none" w:sz="0" w:space="0" w:color="auto"/>
              </w:divBdr>
            </w:div>
            <w:div w:id="723484026">
              <w:marLeft w:val="0"/>
              <w:marRight w:val="0"/>
              <w:marTop w:val="0"/>
              <w:marBottom w:val="0"/>
              <w:divBdr>
                <w:top w:val="none" w:sz="0" w:space="0" w:color="auto"/>
                <w:left w:val="none" w:sz="0" w:space="0" w:color="auto"/>
                <w:bottom w:val="none" w:sz="0" w:space="0" w:color="auto"/>
                <w:right w:val="none" w:sz="0" w:space="0" w:color="auto"/>
              </w:divBdr>
            </w:div>
            <w:div w:id="1355612508">
              <w:marLeft w:val="0"/>
              <w:marRight w:val="0"/>
              <w:marTop w:val="0"/>
              <w:marBottom w:val="0"/>
              <w:divBdr>
                <w:top w:val="none" w:sz="0" w:space="0" w:color="auto"/>
                <w:left w:val="none" w:sz="0" w:space="0" w:color="auto"/>
                <w:bottom w:val="none" w:sz="0" w:space="0" w:color="auto"/>
                <w:right w:val="none" w:sz="0" w:space="0" w:color="auto"/>
              </w:divBdr>
            </w:div>
            <w:div w:id="1375890040">
              <w:marLeft w:val="0"/>
              <w:marRight w:val="0"/>
              <w:marTop w:val="0"/>
              <w:marBottom w:val="0"/>
              <w:divBdr>
                <w:top w:val="none" w:sz="0" w:space="0" w:color="auto"/>
                <w:left w:val="none" w:sz="0" w:space="0" w:color="auto"/>
                <w:bottom w:val="none" w:sz="0" w:space="0" w:color="auto"/>
                <w:right w:val="none" w:sz="0" w:space="0" w:color="auto"/>
              </w:divBdr>
            </w:div>
            <w:div w:id="1478766618">
              <w:marLeft w:val="0"/>
              <w:marRight w:val="0"/>
              <w:marTop w:val="0"/>
              <w:marBottom w:val="0"/>
              <w:divBdr>
                <w:top w:val="none" w:sz="0" w:space="0" w:color="auto"/>
                <w:left w:val="none" w:sz="0" w:space="0" w:color="auto"/>
                <w:bottom w:val="none" w:sz="0" w:space="0" w:color="auto"/>
                <w:right w:val="none" w:sz="0" w:space="0" w:color="auto"/>
              </w:divBdr>
            </w:div>
            <w:div w:id="1567302179">
              <w:marLeft w:val="0"/>
              <w:marRight w:val="0"/>
              <w:marTop w:val="0"/>
              <w:marBottom w:val="0"/>
              <w:divBdr>
                <w:top w:val="none" w:sz="0" w:space="0" w:color="auto"/>
                <w:left w:val="none" w:sz="0" w:space="0" w:color="auto"/>
                <w:bottom w:val="none" w:sz="0" w:space="0" w:color="auto"/>
                <w:right w:val="none" w:sz="0" w:space="0" w:color="auto"/>
              </w:divBdr>
            </w:div>
            <w:div w:id="1620801615">
              <w:marLeft w:val="0"/>
              <w:marRight w:val="0"/>
              <w:marTop w:val="0"/>
              <w:marBottom w:val="0"/>
              <w:divBdr>
                <w:top w:val="none" w:sz="0" w:space="0" w:color="auto"/>
                <w:left w:val="none" w:sz="0" w:space="0" w:color="auto"/>
                <w:bottom w:val="none" w:sz="0" w:space="0" w:color="auto"/>
                <w:right w:val="none" w:sz="0" w:space="0" w:color="auto"/>
              </w:divBdr>
            </w:div>
            <w:div w:id="1638216650">
              <w:marLeft w:val="0"/>
              <w:marRight w:val="0"/>
              <w:marTop w:val="0"/>
              <w:marBottom w:val="0"/>
              <w:divBdr>
                <w:top w:val="none" w:sz="0" w:space="0" w:color="auto"/>
                <w:left w:val="none" w:sz="0" w:space="0" w:color="auto"/>
                <w:bottom w:val="none" w:sz="0" w:space="0" w:color="auto"/>
                <w:right w:val="none" w:sz="0" w:space="0" w:color="auto"/>
              </w:divBdr>
            </w:div>
            <w:div w:id="1674841245">
              <w:marLeft w:val="0"/>
              <w:marRight w:val="0"/>
              <w:marTop w:val="0"/>
              <w:marBottom w:val="0"/>
              <w:divBdr>
                <w:top w:val="none" w:sz="0" w:space="0" w:color="auto"/>
                <w:left w:val="none" w:sz="0" w:space="0" w:color="auto"/>
                <w:bottom w:val="none" w:sz="0" w:space="0" w:color="auto"/>
                <w:right w:val="none" w:sz="0" w:space="0" w:color="auto"/>
              </w:divBdr>
            </w:div>
            <w:div w:id="1686859015">
              <w:marLeft w:val="0"/>
              <w:marRight w:val="0"/>
              <w:marTop w:val="0"/>
              <w:marBottom w:val="0"/>
              <w:divBdr>
                <w:top w:val="none" w:sz="0" w:space="0" w:color="auto"/>
                <w:left w:val="none" w:sz="0" w:space="0" w:color="auto"/>
                <w:bottom w:val="none" w:sz="0" w:space="0" w:color="auto"/>
                <w:right w:val="none" w:sz="0" w:space="0" w:color="auto"/>
              </w:divBdr>
            </w:div>
            <w:div w:id="1761179258">
              <w:marLeft w:val="0"/>
              <w:marRight w:val="0"/>
              <w:marTop w:val="0"/>
              <w:marBottom w:val="0"/>
              <w:divBdr>
                <w:top w:val="none" w:sz="0" w:space="0" w:color="auto"/>
                <w:left w:val="none" w:sz="0" w:space="0" w:color="auto"/>
                <w:bottom w:val="none" w:sz="0" w:space="0" w:color="auto"/>
                <w:right w:val="none" w:sz="0" w:space="0" w:color="auto"/>
              </w:divBdr>
            </w:div>
            <w:div w:id="1910269148">
              <w:marLeft w:val="0"/>
              <w:marRight w:val="0"/>
              <w:marTop w:val="0"/>
              <w:marBottom w:val="0"/>
              <w:divBdr>
                <w:top w:val="none" w:sz="0" w:space="0" w:color="auto"/>
                <w:left w:val="none" w:sz="0" w:space="0" w:color="auto"/>
                <w:bottom w:val="none" w:sz="0" w:space="0" w:color="auto"/>
                <w:right w:val="none" w:sz="0" w:space="0" w:color="auto"/>
              </w:divBdr>
            </w:div>
            <w:div w:id="2060010841">
              <w:marLeft w:val="0"/>
              <w:marRight w:val="0"/>
              <w:marTop w:val="0"/>
              <w:marBottom w:val="0"/>
              <w:divBdr>
                <w:top w:val="none" w:sz="0" w:space="0" w:color="auto"/>
                <w:left w:val="none" w:sz="0" w:space="0" w:color="auto"/>
                <w:bottom w:val="none" w:sz="0" w:space="0" w:color="auto"/>
                <w:right w:val="none" w:sz="0" w:space="0" w:color="auto"/>
              </w:divBdr>
            </w:div>
            <w:div w:id="2073691302">
              <w:marLeft w:val="0"/>
              <w:marRight w:val="0"/>
              <w:marTop w:val="0"/>
              <w:marBottom w:val="0"/>
              <w:divBdr>
                <w:top w:val="none" w:sz="0" w:space="0" w:color="auto"/>
                <w:left w:val="none" w:sz="0" w:space="0" w:color="auto"/>
                <w:bottom w:val="none" w:sz="0" w:space="0" w:color="auto"/>
                <w:right w:val="none" w:sz="0" w:space="0" w:color="auto"/>
              </w:divBdr>
            </w:div>
            <w:div w:id="2077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837616">
      <w:bodyDiv w:val="1"/>
      <w:marLeft w:val="0"/>
      <w:marRight w:val="0"/>
      <w:marTop w:val="0"/>
      <w:marBottom w:val="0"/>
      <w:divBdr>
        <w:top w:val="none" w:sz="0" w:space="0" w:color="auto"/>
        <w:left w:val="none" w:sz="0" w:space="0" w:color="auto"/>
        <w:bottom w:val="none" w:sz="0" w:space="0" w:color="auto"/>
        <w:right w:val="none" w:sz="0" w:space="0" w:color="auto"/>
      </w:divBdr>
    </w:div>
    <w:div w:id="1528325909">
      <w:bodyDiv w:val="1"/>
      <w:marLeft w:val="0"/>
      <w:marRight w:val="0"/>
      <w:marTop w:val="0"/>
      <w:marBottom w:val="0"/>
      <w:divBdr>
        <w:top w:val="none" w:sz="0" w:space="0" w:color="auto"/>
        <w:left w:val="none" w:sz="0" w:space="0" w:color="auto"/>
        <w:bottom w:val="none" w:sz="0" w:space="0" w:color="auto"/>
        <w:right w:val="none" w:sz="0" w:space="0" w:color="auto"/>
      </w:divBdr>
    </w:div>
    <w:div w:id="1581672441">
      <w:bodyDiv w:val="1"/>
      <w:marLeft w:val="0"/>
      <w:marRight w:val="0"/>
      <w:marTop w:val="0"/>
      <w:marBottom w:val="0"/>
      <w:divBdr>
        <w:top w:val="none" w:sz="0" w:space="0" w:color="auto"/>
        <w:left w:val="none" w:sz="0" w:space="0" w:color="auto"/>
        <w:bottom w:val="none" w:sz="0" w:space="0" w:color="auto"/>
        <w:right w:val="none" w:sz="0" w:space="0" w:color="auto"/>
      </w:divBdr>
    </w:div>
    <w:div w:id="1583642545">
      <w:bodyDiv w:val="1"/>
      <w:marLeft w:val="0"/>
      <w:marRight w:val="0"/>
      <w:marTop w:val="0"/>
      <w:marBottom w:val="0"/>
      <w:divBdr>
        <w:top w:val="none" w:sz="0" w:space="0" w:color="auto"/>
        <w:left w:val="none" w:sz="0" w:space="0" w:color="auto"/>
        <w:bottom w:val="none" w:sz="0" w:space="0" w:color="auto"/>
        <w:right w:val="none" w:sz="0" w:space="0" w:color="auto"/>
      </w:divBdr>
    </w:div>
    <w:div w:id="1713383664">
      <w:bodyDiv w:val="1"/>
      <w:marLeft w:val="0"/>
      <w:marRight w:val="0"/>
      <w:marTop w:val="0"/>
      <w:marBottom w:val="0"/>
      <w:divBdr>
        <w:top w:val="none" w:sz="0" w:space="0" w:color="auto"/>
        <w:left w:val="none" w:sz="0" w:space="0" w:color="auto"/>
        <w:bottom w:val="none" w:sz="0" w:space="0" w:color="auto"/>
        <w:right w:val="none" w:sz="0" w:space="0" w:color="auto"/>
      </w:divBdr>
    </w:div>
    <w:div w:id="1722903446">
      <w:bodyDiv w:val="1"/>
      <w:marLeft w:val="0"/>
      <w:marRight w:val="0"/>
      <w:marTop w:val="0"/>
      <w:marBottom w:val="0"/>
      <w:divBdr>
        <w:top w:val="none" w:sz="0" w:space="0" w:color="auto"/>
        <w:left w:val="none" w:sz="0" w:space="0" w:color="auto"/>
        <w:bottom w:val="none" w:sz="0" w:space="0" w:color="auto"/>
        <w:right w:val="none" w:sz="0" w:space="0" w:color="auto"/>
      </w:divBdr>
    </w:div>
    <w:div w:id="1847085836">
      <w:bodyDiv w:val="1"/>
      <w:marLeft w:val="0"/>
      <w:marRight w:val="0"/>
      <w:marTop w:val="0"/>
      <w:marBottom w:val="0"/>
      <w:divBdr>
        <w:top w:val="none" w:sz="0" w:space="0" w:color="auto"/>
        <w:left w:val="none" w:sz="0" w:space="0" w:color="auto"/>
        <w:bottom w:val="none" w:sz="0" w:space="0" w:color="auto"/>
        <w:right w:val="none" w:sz="0" w:space="0" w:color="auto"/>
      </w:divBdr>
    </w:div>
    <w:div w:id="1894580584">
      <w:bodyDiv w:val="1"/>
      <w:marLeft w:val="0"/>
      <w:marRight w:val="0"/>
      <w:marTop w:val="0"/>
      <w:marBottom w:val="0"/>
      <w:divBdr>
        <w:top w:val="none" w:sz="0" w:space="0" w:color="auto"/>
        <w:left w:val="none" w:sz="0" w:space="0" w:color="auto"/>
        <w:bottom w:val="none" w:sz="0" w:space="0" w:color="auto"/>
        <w:right w:val="none" w:sz="0" w:space="0" w:color="auto"/>
      </w:divBdr>
    </w:div>
    <w:div w:id="1898475005">
      <w:bodyDiv w:val="1"/>
      <w:marLeft w:val="0"/>
      <w:marRight w:val="0"/>
      <w:marTop w:val="0"/>
      <w:marBottom w:val="0"/>
      <w:divBdr>
        <w:top w:val="none" w:sz="0" w:space="0" w:color="auto"/>
        <w:left w:val="none" w:sz="0" w:space="0" w:color="auto"/>
        <w:bottom w:val="none" w:sz="0" w:space="0" w:color="auto"/>
        <w:right w:val="none" w:sz="0" w:space="0" w:color="auto"/>
      </w:divBdr>
    </w:div>
    <w:div w:id="1952928117">
      <w:bodyDiv w:val="1"/>
      <w:marLeft w:val="0"/>
      <w:marRight w:val="0"/>
      <w:marTop w:val="0"/>
      <w:marBottom w:val="0"/>
      <w:divBdr>
        <w:top w:val="none" w:sz="0" w:space="0" w:color="auto"/>
        <w:left w:val="none" w:sz="0" w:space="0" w:color="auto"/>
        <w:bottom w:val="none" w:sz="0" w:space="0" w:color="auto"/>
        <w:right w:val="none" w:sz="0" w:space="0" w:color="auto"/>
      </w:divBdr>
    </w:div>
    <w:div w:id="1978415825">
      <w:bodyDiv w:val="1"/>
      <w:marLeft w:val="0"/>
      <w:marRight w:val="0"/>
      <w:marTop w:val="0"/>
      <w:marBottom w:val="0"/>
      <w:divBdr>
        <w:top w:val="none" w:sz="0" w:space="0" w:color="auto"/>
        <w:left w:val="none" w:sz="0" w:space="0" w:color="auto"/>
        <w:bottom w:val="none" w:sz="0" w:space="0" w:color="auto"/>
        <w:right w:val="none" w:sz="0" w:space="0" w:color="auto"/>
      </w:divBdr>
    </w:div>
    <w:div w:id="2005354605">
      <w:bodyDiv w:val="1"/>
      <w:marLeft w:val="0"/>
      <w:marRight w:val="0"/>
      <w:marTop w:val="0"/>
      <w:marBottom w:val="0"/>
      <w:divBdr>
        <w:top w:val="none" w:sz="0" w:space="0" w:color="auto"/>
        <w:left w:val="none" w:sz="0" w:space="0" w:color="auto"/>
        <w:bottom w:val="none" w:sz="0" w:space="0" w:color="auto"/>
        <w:right w:val="none" w:sz="0" w:space="0" w:color="auto"/>
      </w:divBdr>
    </w:div>
    <w:div w:id="2009013257">
      <w:bodyDiv w:val="1"/>
      <w:marLeft w:val="0"/>
      <w:marRight w:val="0"/>
      <w:marTop w:val="0"/>
      <w:marBottom w:val="0"/>
      <w:divBdr>
        <w:top w:val="none" w:sz="0" w:space="0" w:color="auto"/>
        <w:left w:val="none" w:sz="0" w:space="0" w:color="auto"/>
        <w:bottom w:val="none" w:sz="0" w:space="0" w:color="auto"/>
        <w:right w:val="none" w:sz="0" w:space="0" w:color="auto"/>
      </w:divBdr>
    </w:div>
    <w:div w:id="2044090984">
      <w:bodyDiv w:val="1"/>
      <w:marLeft w:val="0"/>
      <w:marRight w:val="0"/>
      <w:marTop w:val="0"/>
      <w:marBottom w:val="0"/>
      <w:divBdr>
        <w:top w:val="none" w:sz="0" w:space="0" w:color="auto"/>
        <w:left w:val="none" w:sz="0" w:space="0" w:color="auto"/>
        <w:bottom w:val="none" w:sz="0" w:space="0" w:color="auto"/>
        <w:right w:val="none" w:sz="0" w:space="0" w:color="auto"/>
      </w:divBdr>
    </w:div>
    <w:div w:id="2114864245">
      <w:bodyDiv w:val="1"/>
      <w:marLeft w:val="0"/>
      <w:marRight w:val="0"/>
      <w:marTop w:val="0"/>
      <w:marBottom w:val="0"/>
      <w:divBdr>
        <w:top w:val="none" w:sz="0" w:space="0" w:color="auto"/>
        <w:left w:val="none" w:sz="0" w:space="0" w:color="auto"/>
        <w:bottom w:val="none" w:sz="0" w:space="0" w:color="auto"/>
        <w:right w:val="none" w:sz="0" w:space="0" w:color="auto"/>
      </w:divBdr>
    </w:div>
    <w:div w:id="2144618069">
      <w:bodyDiv w:val="1"/>
      <w:marLeft w:val="0"/>
      <w:marRight w:val="0"/>
      <w:marTop w:val="0"/>
      <w:marBottom w:val="0"/>
      <w:divBdr>
        <w:top w:val="none" w:sz="0" w:space="0" w:color="auto"/>
        <w:left w:val="none" w:sz="0" w:space="0" w:color="auto"/>
        <w:bottom w:val="none" w:sz="0" w:space="0" w:color="auto"/>
        <w:right w:val="none" w:sz="0" w:space="0" w:color="auto"/>
      </w:divBdr>
      <w:divsChild>
        <w:div w:id="489712869">
          <w:marLeft w:val="0"/>
          <w:marRight w:val="0"/>
          <w:marTop w:val="0"/>
          <w:marBottom w:val="0"/>
          <w:divBdr>
            <w:top w:val="none" w:sz="0" w:space="0" w:color="auto"/>
            <w:left w:val="none" w:sz="0" w:space="0" w:color="auto"/>
            <w:bottom w:val="none" w:sz="0" w:space="0" w:color="auto"/>
            <w:right w:val="none" w:sz="0" w:space="0" w:color="auto"/>
          </w:divBdr>
        </w:div>
        <w:div w:id="842664267">
          <w:marLeft w:val="0"/>
          <w:marRight w:val="0"/>
          <w:marTop w:val="0"/>
          <w:marBottom w:val="0"/>
          <w:divBdr>
            <w:top w:val="none" w:sz="0" w:space="0" w:color="auto"/>
            <w:left w:val="none" w:sz="0" w:space="0" w:color="auto"/>
            <w:bottom w:val="none" w:sz="0" w:space="0" w:color="auto"/>
            <w:right w:val="none" w:sz="0" w:space="0" w:color="auto"/>
          </w:divBdr>
        </w:div>
        <w:div w:id="13142619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G"/><Relationship Id="rId299" Type="http://schemas.openxmlformats.org/officeDocument/2006/relationships/image" Target="media/image277.jpeg"/><Relationship Id="rId21" Type="http://schemas.openxmlformats.org/officeDocument/2006/relationships/header" Target="header4.xml"/><Relationship Id="rId63" Type="http://schemas.openxmlformats.org/officeDocument/2006/relationships/image" Target="media/image43.jpeg"/><Relationship Id="rId159" Type="http://schemas.openxmlformats.org/officeDocument/2006/relationships/image" Target="media/image139.jpeg"/><Relationship Id="rId324" Type="http://schemas.openxmlformats.org/officeDocument/2006/relationships/image" Target="media/image302.JPG"/><Relationship Id="rId366" Type="http://schemas.openxmlformats.org/officeDocument/2006/relationships/image" Target="media/image343.JPG"/><Relationship Id="rId531" Type="http://schemas.openxmlformats.org/officeDocument/2006/relationships/hyperlink" Target="http://www.ascorpus.ac.uk/index.php" TargetMode="External"/><Relationship Id="rId170" Type="http://schemas.openxmlformats.org/officeDocument/2006/relationships/image" Target="media/image150.JPG"/><Relationship Id="rId226" Type="http://schemas.openxmlformats.org/officeDocument/2006/relationships/image" Target="media/image206.jpeg"/><Relationship Id="rId433" Type="http://schemas.openxmlformats.org/officeDocument/2006/relationships/image" Target="media/image410.JPG"/><Relationship Id="rId268" Type="http://schemas.openxmlformats.org/officeDocument/2006/relationships/image" Target="media/image247.jpeg"/><Relationship Id="rId475" Type="http://schemas.openxmlformats.org/officeDocument/2006/relationships/image" Target="media/image452.JPG"/><Relationship Id="rId32" Type="http://schemas.openxmlformats.org/officeDocument/2006/relationships/hyperlink" Target="file:///C:\Users\Tony\Documents\4.%20Dissertation%2025-08-05\Thesis\Consolidated%20thesis.docx" TargetMode="External"/><Relationship Id="rId74" Type="http://schemas.openxmlformats.org/officeDocument/2006/relationships/image" Target="media/image54.jpeg"/><Relationship Id="rId128" Type="http://schemas.openxmlformats.org/officeDocument/2006/relationships/image" Target="media/image108.jpeg"/><Relationship Id="rId335" Type="http://schemas.openxmlformats.org/officeDocument/2006/relationships/image" Target="media/image313.jpg"/><Relationship Id="rId377" Type="http://schemas.openxmlformats.org/officeDocument/2006/relationships/image" Target="media/image354.JPG"/><Relationship Id="rId500" Type="http://schemas.openxmlformats.org/officeDocument/2006/relationships/image" Target="media/image477.jpeg"/><Relationship Id="rId542" Type="http://schemas.openxmlformats.org/officeDocument/2006/relationships/hyperlink" Target="http://publications.naturalengland.org.uk/" TargetMode="External"/><Relationship Id="rId5" Type="http://schemas.openxmlformats.org/officeDocument/2006/relationships/webSettings" Target="webSettings.xml"/><Relationship Id="rId181" Type="http://schemas.openxmlformats.org/officeDocument/2006/relationships/image" Target="media/image161.jpeg"/><Relationship Id="rId237" Type="http://schemas.openxmlformats.org/officeDocument/2006/relationships/image" Target="media/image216.JPG"/><Relationship Id="rId402" Type="http://schemas.openxmlformats.org/officeDocument/2006/relationships/image" Target="media/image379.JPG"/><Relationship Id="rId279" Type="http://schemas.openxmlformats.org/officeDocument/2006/relationships/image" Target="media/image257.jpeg"/><Relationship Id="rId444" Type="http://schemas.openxmlformats.org/officeDocument/2006/relationships/image" Target="media/image421.jpg"/><Relationship Id="rId486" Type="http://schemas.openxmlformats.org/officeDocument/2006/relationships/image" Target="media/image463.jpeg"/><Relationship Id="rId43" Type="http://schemas.openxmlformats.org/officeDocument/2006/relationships/image" Target="media/image23.jpeg"/><Relationship Id="rId139" Type="http://schemas.openxmlformats.org/officeDocument/2006/relationships/image" Target="media/image119.jpeg"/><Relationship Id="rId290" Type="http://schemas.openxmlformats.org/officeDocument/2006/relationships/image" Target="media/image268.jpeg"/><Relationship Id="rId304" Type="http://schemas.openxmlformats.org/officeDocument/2006/relationships/image" Target="media/image282.jpeg"/><Relationship Id="rId346" Type="http://schemas.openxmlformats.org/officeDocument/2006/relationships/image" Target="media/image324.tiff"/><Relationship Id="rId388" Type="http://schemas.openxmlformats.org/officeDocument/2006/relationships/image" Target="media/image365.jpeg"/><Relationship Id="rId511" Type="http://schemas.openxmlformats.org/officeDocument/2006/relationships/image" Target="media/image488.jpg"/><Relationship Id="rId553" Type="http://schemas.openxmlformats.org/officeDocument/2006/relationships/hyperlink" Target="http://dx.doi.org/10.1080/00766097.2016.1221262" TargetMode="External"/><Relationship Id="rId85" Type="http://schemas.openxmlformats.org/officeDocument/2006/relationships/image" Target="media/image65.jpeg"/><Relationship Id="rId150" Type="http://schemas.openxmlformats.org/officeDocument/2006/relationships/image" Target="media/image130.jpeg"/><Relationship Id="rId192" Type="http://schemas.openxmlformats.org/officeDocument/2006/relationships/image" Target="media/image172.jpeg"/><Relationship Id="rId206" Type="http://schemas.openxmlformats.org/officeDocument/2006/relationships/image" Target="media/image186.jpg"/><Relationship Id="rId413" Type="http://schemas.openxmlformats.org/officeDocument/2006/relationships/image" Target="media/image390.jpeg"/><Relationship Id="rId248" Type="http://schemas.openxmlformats.org/officeDocument/2006/relationships/image" Target="media/image227.JPG"/><Relationship Id="rId455" Type="http://schemas.openxmlformats.org/officeDocument/2006/relationships/image" Target="media/image432.JPG"/><Relationship Id="rId497" Type="http://schemas.openxmlformats.org/officeDocument/2006/relationships/image" Target="media/image474.jpeg"/><Relationship Id="rId12" Type="http://schemas.openxmlformats.org/officeDocument/2006/relationships/image" Target="media/image3.jpeg"/><Relationship Id="rId108" Type="http://schemas.openxmlformats.org/officeDocument/2006/relationships/image" Target="media/image88.jpeg"/><Relationship Id="rId315" Type="http://schemas.openxmlformats.org/officeDocument/2006/relationships/image" Target="media/image293.JPG"/><Relationship Id="rId357" Type="http://schemas.openxmlformats.org/officeDocument/2006/relationships/image" Target="media/image334.JPG"/><Relationship Id="rId522" Type="http://schemas.openxmlformats.org/officeDocument/2006/relationships/hyperlink" Target="http://www.algao.org.uk" TargetMode="External"/><Relationship Id="rId54" Type="http://schemas.openxmlformats.org/officeDocument/2006/relationships/image" Target="media/image34.jpeg"/><Relationship Id="rId96" Type="http://schemas.openxmlformats.org/officeDocument/2006/relationships/image" Target="media/image76.jpeg"/><Relationship Id="rId161" Type="http://schemas.openxmlformats.org/officeDocument/2006/relationships/image" Target="media/image141.jpeg"/><Relationship Id="rId217" Type="http://schemas.openxmlformats.org/officeDocument/2006/relationships/image" Target="media/image197.jpeg"/><Relationship Id="rId399" Type="http://schemas.openxmlformats.org/officeDocument/2006/relationships/image" Target="media/image376.jpeg"/><Relationship Id="rId564" Type="http://schemas.openxmlformats.org/officeDocument/2006/relationships/glossaryDocument" Target="glossary/document.xml"/><Relationship Id="rId259" Type="http://schemas.openxmlformats.org/officeDocument/2006/relationships/image" Target="media/image238.jpg"/><Relationship Id="rId424" Type="http://schemas.openxmlformats.org/officeDocument/2006/relationships/image" Target="media/image401.jpg"/><Relationship Id="rId466" Type="http://schemas.openxmlformats.org/officeDocument/2006/relationships/image" Target="media/image443.JPG"/><Relationship Id="rId23" Type="http://schemas.openxmlformats.org/officeDocument/2006/relationships/image" Target="media/image6.jpeg"/><Relationship Id="rId119" Type="http://schemas.openxmlformats.org/officeDocument/2006/relationships/image" Target="media/image99.jpg"/><Relationship Id="rId270" Type="http://schemas.openxmlformats.org/officeDocument/2006/relationships/image" Target="media/image249.jpeg"/><Relationship Id="rId326" Type="http://schemas.openxmlformats.org/officeDocument/2006/relationships/image" Target="media/image304.jpeg"/><Relationship Id="rId533" Type="http://schemas.openxmlformats.org/officeDocument/2006/relationships/hyperlink" Target="http://www.fitzmuseum.cam.ac.uk/coins/emc/" TargetMode="External"/><Relationship Id="rId65" Type="http://schemas.openxmlformats.org/officeDocument/2006/relationships/image" Target="media/image45.jpeg"/><Relationship Id="rId130" Type="http://schemas.openxmlformats.org/officeDocument/2006/relationships/image" Target="media/image110.jpeg"/><Relationship Id="rId368" Type="http://schemas.openxmlformats.org/officeDocument/2006/relationships/image" Target="media/image345.JPG"/><Relationship Id="rId172" Type="http://schemas.openxmlformats.org/officeDocument/2006/relationships/image" Target="media/image152.jpg"/><Relationship Id="rId228" Type="http://schemas.openxmlformats.org/officeDocument/2006/relationships/hyperlink" Target="file:///C:\Users\Tony\Documents\4.%20Dissertation%2025-08-05\Thesis\12.%20York%20and%20its%20environs.docx" TargetMode="External"/><Relationship Id="rId435" Type="http://schemas.openxmlformats.org/officeDocument/2006/relationships/image" Target="media/image412.JPG"/><Relationship Id="rId477" Type="http://schemas.openxmlformats.org/officeDocument/2006/relationships/image" Target="media/image454.JPG"/><Relationship Id="rId281" Type="http://schemas.openxmlformats.org/officeDocument/2006/relationships/image" Target="media/image259.jpg"/><Relationship Id="rId337" Type="http://schemas.openxmlformats.org/officeDocument/2006/relationships/image" Target="media/image315.JPG"/><Relationship Id="rId502" Type="http://schemas.openxmlformats.org/officeDocument/2006/relationships/image" Target="media/image479.jpeg"/><Relationship Id="rId34" Type="http://schemas.openxmlformats.org/officeDocument/2006/relationships/image" Target="media/image14.jpeg"/><Relationship Id="rId76" Type="http://schemas.openxmlformats.org/officeDocument/2006/relationships/image" Target="media/image56.jpeg"/><Relationship Id="rId141" Type="http://schemas.openxmlformats.org/officeDocument/2006/relationships/image" Target="media/image121.jpeg"/><Relationship Id="rId379" Type="http://schemas.openxmlformats.org/officeDocument/2006/relationships/image" Target="media/image356.jpeg"/><Relationship Id="rId544" Type="http://schemas.openxmlformats.org/officeDocument/2006/relationships/hyperlink" Target="http://www.oxforddnb.com/" TargetMode="External"/><Relationship Id="rId7" Type="http://schemas.openxmlformats.org/officeDocument/2006/relationships/endnotes" Target="endnotes.xml"/><Relationship Id="rId183" Type="http://schemas.openxmlformats.org/officeDocument/2006/relationships/image" Target="media/image163.jpeg"/><Relationship Id="rId239" Type="http://schemas.openxmlformats.org/officeDocument/2006/relationships/image" Target="media/image218.JPG"/><Relationship Id="rId390" Type="http://schemas.openxmlformats.org/officeDocument/2006/relationships/image" Target="media/image367.JPG"/><Relationship Id="rId404" Type="http://schemas.openxmlformats.org/officeDocument/2006/relationships/image" Target="media/image381.JPG"/><Relationship Id="rId446" Type="http://schemas.openxmlformats.org/officeDocument/2006/relationships/image" Target="media/image423.jpeg"/><Relationship Id="rId250" Type="http://schemas.openxmlformats.org/officeDocument/2006/relationships/image" Target="media/image229.jpeg"/><Relationship Id="rId292" Type="http://schemas.openxmlformats.org/officeDocument/2006/relationships/image" Target="media/image270.JPG"/><Relationship Id="rId306" Type="http://schemas.openxmlformats.org/officeDocument/2006/relationships/image" Target="media/image284.JPG"/><Relationship Id="rId488" Type="http://schemas.openxmlformats.org/officeDocument/2006/relationships/image" Target="media/image465.jpeg"/><Relationship Id="rId45" Type="http://schemas.openxmlformats.org/officeDocument/2006/relationships/image" Target="media/image25.jpeg"/><Relationship Id="rId87" Type="http://schemas.openxmlformats.org/officeDocument/2006/relationships/image" Target="media/image67.jpeg"/><Relationship Id="rId110" Type="http://schemas.openxmlformats.org/officeDocument/2006/relationships/image" Target="media/image90.jpg"/><Relationship Id="rId348" Type="http://schemas.openxmlformats.org/officeDocument/2006/relationships/image" Target="media/image326.jpeg"/><Relationship Id="rId513" Type="http://schemas.openxmlformats.org/officeDocument/2006/relationships/image" Target="media/image490.jpeg"/><Relationship Id="rId555" Type="http://schemas.openxmlformats.org/officeDocument/2006/relationships/hyperlink" Target="http://yorsearch.york.ac.uk/44YORK:44YORK_ALMA_DS21202548930001381" TargetMode="External"/><Relationship Id="rId152" Type="http://schemas.openxmlformats.org/officeDocument/2006/relationships/image" Target="media/image132.jpeg"/><Relationship Id="rId194" Type="http://schemas.openxmlformats.org/officeDocument/2006/relationships/image" Target="media/image174.jpeg"/><Relationship Id="rId208" Type="http://schemas.openxmlformats.org/officeDocument/2006/relationships/image" Target="media/image188.jpeg"/><Relationship Id="rId415" Type="http://schemas.openxmlformats.org/officeDocument/2006/relationships/image" Target="media/image392.jpeg"/><Relationship Id="rId457" Type="http://schemas.openxmlformats.org/officeDocument/2006/relationships/image" Target="media/image434.JPG"/><Relationship Id="rId261" Type="http://schemas.openxmlformats.org/officeDocument/2006/relationships/image" Target="media/image240.JPG"/><Relationship Id="rId499" Type="http://schemas.openxmlformats.org/officeDocument/2006/relationships/image" Target="media/image476.jpeg"/><Relationship Id="rId14" Type="http://schemas.openxmlformats.org/officeDocument/2006/relationships/hyperlink" Target="http://www.britnumsoc.org/publications/bnj.shtml" TargetMode="External"/><Relationship Id="rId56" Type="http://schemas.openxmlformats.org/officeDocument/2006/relationships/image" Target="media/image36.jpeg"/><Relationship Id="rId317" Type="http://schemas.openxmlformats.org/officeDocument/2006/relationships/image" Target="media/image295.jpeg"/><Relationship Id="rId359" Type="http://schemas.openxmlformats.org/officeDocument/2006/relationships/image" Target="media/image336.jpg"/><Relationship Id="rId524" Type="http://schemas.openxmlformats.org/officeDocument/2006/relationships/hyperlink" Target="http://intarch.ac.uk/journal/issue25/2/toc.html" TargetMode="External"/><Relationship Id="rId98" Type="http://schemas.openxmlformats.org/officeDocument/2006/relationships/image" Target="media/image78.jpeg"/><Relationship Id="rId121" Type="http://schemas.openxmlformats.org/officeDocument/2006/relationships/image" Target="media/image101.JPG"/><Relationship Id="rId163" Type="http://schemas.openxmlformats.org/officeDocument/2006/relationships/image" Target="media/image143.jpeg"/><Relationship Id="rId219" Type="http://schemas.openxmlformats.org/officeDocument/2006/relationships/image" Target="media/image199.jpeg"/><Relationship Id="rId370" Type="http://schemas.openxmlformats.org/officeDocument/2006/relationships/image" Target="media/image347.JPG"/><Relationship Id="rId426" Type="http://schemas.openxmlformats.org/officeDocument/2006/relationships/image" Target="media/image403.jpeg"/><Relationship Id="rId230" Type="http://schemas.openxmlformats.org/officeDocument/2006/relationships/image" Target="media/image209.JPG"/><Relationship Id="rId468" Type="http://schemas.openxmlformats.org/officeDocument/2006/relationships/image" Target="media/image445.jpeg"/><Relationship Id="rId25" Type="http://schemas.openxmlformats.org/officeDocument/2006/relationships/image" Target="media/image8.jpeg"/><Relationship Id="rId67" Type="http://schemas.openxmlformats.org/officeDocument/2006/relationships/image" Target="media/image47.jpeg"/><Relationship Id="rId272" Type="http://schemas.openxmlformats.org/officeDocument/2006/relationships/image" Target="media/image251.jpeg"/><Relationship Id="rId328" Type="http://schemas.openxmlformats.org/officeDocument/2006/relationships/image" Target="media/image306.jpeg"/><Relationship Id="rId535" Type="http://schemas.openxmlformats.org/officeDocument/2006/relationships/hyperlink" Target="https://en.wikipedia.org/wiki/Feudalism" TargetMode="External"/><Relationship Id="rId132" Type="http://schemas.openxmlformats.org/officeDocument/2006/relationships/image" Target="media/image112.jpeg"/><Relationship Id="rId174" Type="http://schemas.openxmlformats.org/officeDocument/2006/relationships/image" Target="media/image154.JPG"/><Relationship Id="rId381" Type="http://schemas.openxmlformats.org/officeDocument/2006/relationships/image" Target="media/image358.jpeg"/><Relationship Id="rId241" Type="http://schemas.openxmlformats.org/officeDocument/2006/relationships/image" Target="media/image220.JPG"/><Relationship Id="rId437" Type="http://schemas.openxmlformats.org/officeDocument/2006/relationships/image" Target="media/image414.jpeg"/><Relationship Id="rId479" Type="http://schemas.openxmlformats.org/officeDocument/2006/relationships/image" Target="media/image456.JPG"/><Relationship Id="rId36" Type="http://schemas.openxmlformats.org/officeDocument/2006/relationships/image" Target="media/image16.jpeg"/><Relationship Id="rId283" Type="http://schemas.openxmlformats.org/officeDocument/2006/relationships/image" Target="media/image261.jpeg"/><Relationship Id="rId339" Type="http://schemas.openxmlformats.org/officeDocument/2006/relationships/image" Target="media/image317.jpg"/><Relationship Id="rId490" Type="http://schemas.openxmlformats.org/officeDocument/2006/relationships/image" Target="media/image467.jpeg"/><Relationship Id="rId504" Type="http://schemas.openxmlformats.org/officeDocument/2006/relationships/image" Target="media/image481.jpeg"/><Relationship Id="rId546" Type="http://schemas.openxmlformats.org/officeDocument/2006/relationships/hyperlink" Target="http://finds.org.uk/" TargetMode="External"/><Relationship Id="rId78" Type="http://schemas.openxmlformats.org/officeDocument/2006/relationships/image" Target="media/image58.jpeg"/><Relationship Id="rId101" Type="http://schemas.openxmlformats.org/officeDocument/2006/relationships/image" Target="media/image81.jpeg"/><Relationship Id="rId143" Type="http://schemas.openxmlformats.org/officeDocument/2006/relationships/image" Target="media/image123.jpeg"/><Relationship Id="rId185" Type="http://schemas.openxmlformats.org/officeDocument/2006/relationships/image" Target="media/image165.jpeg"/><Relationship Id="rId350" Type="http://schemas.openxmlformats.org/officeDocument/2006/relationships/image" Target="media/image328.jpeg"/><Relationship Id="rId406" Type="http://schemas.openxmlformats.org/officeDocument/2006/relationships/image" Target="media/image383.jpeg"/><Relationship Id="rId9" Type="http://schemas.openxmlformats.org/officeDocument/2006/relationships/header" Target="header1.xml"/><Relationship Id="rId210" Type="http://schemas.openxmlformats.org/officeDocument/2006/relationships/image" Target="media/image190.jpeg"/><Relationship Id="rId392" Type="http://schemas.openxmlformats.org/officeDocument/2006/relationships/image" Target="media/image369.JPG"/><Relationship Id="rId427" Type="http://schemas.openxmlformats.org/officeDocument/2006/relationships/image" Target="media/image404.JPG"/><Relationship Id="rId448" Type="http://schemas.openxmlformats.org/officeDocument/2006/relationships/image" Target="media/image425.jpeg"/><Relationship Id="rId469" Type="http://schemas.openxmlformats.org/officeDocument/2006/relationships/image" Target="media/image446.jpeg"/><Relationship Id="rId26" Type="http://schemas.openxmlformats.org/officeDocument/2006/relationships/image" Target="media/image9.jpeg"/><Relationship Id="rId231" Type="http://schemas.openxmlformats.org/officeDocument/2006/relationships/image" Target="media/image210.jpeg"/><Relationship Id="rId252" Type="http://schemas.openxmlformats.org/officeDocument/2006/relationships/image" Target="media/image231.JPG"/><Relationship Id="rId273" Type="http://schemas.openxmlformats.org/officeDocument/2006/relationships/image" Target="media/image252.jpeg"/><Relationship Id="rId294" Type="http://schemas.openxmlformats.org/officeDocument/2006/relationships/image" Target="media/image272.JPG"/><Relationship Id="rId308" Type="http://schemas.openxmlformats.org/officeDocument/2006/relationships/image" Target="media/image286.JPG"/><Relationship Id="rId329" Type="http://schemas.openxmlformats.org/officeDocument/2006/relationships/image" Target="media/image307.jpeg"/><Relationship Id="rId480" Type="http://schemas.openxmlformats.org/officeDocument/2006/relationships/image" Target="media/image457.JPG"/><Relationship Id="rId515" Type="http://schemas.openxmlformats.org/officeDocument/2006/relationships/image" Target="media/image492.jpg"/><Relationship Id="rId536" Type="http://schemas.openxmlformats.org/officeDocument/2006/relationships/hyperlink" Target="https://en.wikipedia.org/wiki/Gift_economy" TargetMode="External"/><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G"/><Relationship Id="rId340" Type="http://schemas.openxmlformats.org/officeDocument/2006/relationships/image" Target="media/image318.jpg"/><Relationship Id="rId361" Type="http://schemas.openxmlformats.org/officeDocument/2006/relationships/image" Target="media/image338.JPG"/><Relationship Id="rId557" Type="http://schemas.openxmlformats.org/officeDocument/2006/relationships/hyperlink" Target="http://intarch.ac.uk/journal/issue25/2/toc.html" TargetMode="External"/><Relationship Id="rId196" Type="http://schemas.openxmlformats.org/officeDocument/2006/relationships/image" Target="media/image176.jpeg"/><Relationship Id="rId200" Type="http://schemas.openxmlformats.org/officeDocument/2006/relationships/image" Target="media/image180.jpeg"/><Relationship Id="rId382" Type="http://schemas.openxmlformats.org/officeDocument/2006/relationships/image" Target="media/image359.jpg"/><Relationship Id="rId417" Type="http://schemas.openxmlformats.org/officeDocument/2006/relationships/image" Target="media/image394.jpg"/><Relationship Id="rId438" Type="http://schemas.openxmlformats.org/officeDocument/2006/relationships/image" Target="media/image415.jpeg"/><Relationship Id="rId459" Type="http://schemas.openxmlformats.org/officeDocument/2006/relationships/image" Target="media/image436.JPG"/><Relationship Id="rId16" Type="http://schemas.openxmlformats.org/officeDocument/2006/relationships/hyperlink" Target="http://www.excelfunctions.net/Excel-Correl-Function.html" TargetMode="External"/><Relationship Id="rId221" Type="http://schemas.openxmlformats.org/officeDocument/2006/relationships/image" Target="media/image201.jpeg"/><Relationship Id="rId242" Type="http://schemas.openxmlformats.org/officeDocument/2006/relationships/image" Target="media/image221.jpeg"/><Relationship Id="rId263" Type="http://schemas.openxmlformats.org/officeDocument/2006/relationships/image" Target="media/image242.JPG"/><Relationship Id="rId284" Type="http://schemas.openxmlformats.org/officeDocument/2006/relationships/image" Target="media/image262.JPG"/><Relationship Id="rId319" Type="http://schemas.openxmlformats.org/officeDocument/2006/relationships/image" Target="media/image297.jpeg"/><Relationship Id="rId470" Type="http://schemas.openxmlformats.org/officeDocument/2006/relationships/image" Target="media/image447.jpeg"/><Relationship Id="rId491" Type="http://schemas.openxmlformats.org/officeDocument/2006/relationships/image" Target="media/image468.jpeg"/><Relationship Id="rId505" Type="http://schemas.openxmlformats.org/officeDocument/2006/relationships/image" Target="media/image482.jpeg"/><Relationship Id="rId526" Type="http://schemas.openxmlformats.org/officeDocument/2006/relationships/hyperlink" Target="http://archaeologydataservice.ac.uk/" TargetMode="External"/><Relationship Id="rId37" Type="http://schemas.openxmlformats.org/officeDocument/2006/relationships/image" Target="media/image17.jpe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image" Target="media/image103.JPG"/><Relationship Id="rId144" Type="http://schemas.openxmlformats.org/officeDocument/2006/relationships/image" Target="media/image124.jpeg"/><Relationship Id="rId330" Type="http://schemas.openxmlformats.org/officeDocument/2006/relationships/image" Target="media/image308.jpg"/><Relationship Id="rId547" Type="http://schemas.openxmlformats.org/officeDocument/2006/relationships/hyperlink" Target="http://www.pase.ac.uk/index.html" TargetMode="External"/><Relationship Id="rId90" Type="http://schemas.openxmlformats.org/officeDocument/2006/relationships/image" Target="media/image70.jpeg"/><Relationship Id="rId165" Type="http://schemas.openxmlformats.org/officeDocument/2006/relationships/image" Target="media/image145.jpeg"/><Relationship Id="rId186" Type="http://schemas.openxmlformats.org/officeDocument/2006/relationships/image" Target="media/image166.jpeg"/><Relationship Id="rId351" Type="http://schemas.openxmlformats.org/officeDocument/2006/relationships/image" Target="media/image329.jpeg"/><Relationship Id="rId372" Type="http://schemas.openxmlformats.org/officeDocument/2006/relationships/image" Target="media/image349.jpeg"/><Relationship Id="rId393" Type="http://schemas.openxmlformats.org/officeDocument/2006/relationships/image" Target="media/image370.jpeg"/><Relationship Id="rId407" Type="http://schemas.openxmlformats.org/officeDocument/2006/relationships/image" Target="media/image384.jpeg"/><Relationship Id="rId428" Type="http://schemas.openxmlformats.org/officeDocument/2006/relationships/image" Target="media/image405.JPG"/><Relationship Id="rId449" Type="http://schemas.openxmlformats.org/officeDocument/2006/relationships/image" Target="media/image426.jpg"/><Relationship Id="rId211" Type="http://schemas.openxmlformats.org/officeDocument/2006/relationships/image" Target="media/image191.jpeg"/><Relationship Id="rId232" Type="http://schemas.openxmlformats.org/officeDocument/2006/relationships/image" Target="media/image211.jpeg"/><Relationship Id="rId253" Type="http://schemas.openxmlformats.org/officeDocument/2006/relationships/image" Target="media/image232.JPG"/><Relationship Id="rId274" Type="http://schemas.openxmlformats.org/officeDocument/2006/relationships/image" Target="media/image253.jpeg"/><Relationship Id="rId295" Type="http://schemas.openxmlformats.org/officeDocument/2006/relationships/image" Target="media/image273.JPG"/><Relationship Id="rId309" Type="http://schemas.openxmlformats.org/officeDocument/2006/relationships/image" Target="media/image287.JPG"/><Relationship Id="rId460" Type="http://schemas.openxmlformats.org/officeDocument/2006/relationships/image" Target="media/image437.JPG"/><Relationship Id="rId481" Type="http://schemas.openxmlformats.org/officeDocument/2006/relationships/image" Target="media/image458.jpeg"/><Relationship Id="rId516" Type="http://schemas.openxmlformats.org/officeDocument/2006/relationships/hyperlink" Target="file:///C:\Users\Tony\Documents\4.%20Dissertation%2025-08-05\Thesis\16.%20Bernicia%20&amp;%20the%20North.docx" TargetMode="External"/><Relationship Id="rId27" Type="http://schemas.openxmlformats.org/officeDocument/2006/relationships/image" Target="media/image10.jpeg"/><Relationship Id="rId48" Type="http://schemas.openxmlformats.org/officeDocument/2006/relationships/image" Target="media/image28.jpeg"/><Relationship Id="rId69" Type="http://schemas.openxmlformats.org/officeDocument/2006/relationships/image" Target="media/image49.jpg"/><Relationship Id="rId113" Type="http://schemas.openxmlformats.org/officeDocument/2006/relationships/image" Target="media/image93.jpeg"/><Relationship Id="rId134" Type="http://schemas.openxmlformats.org/officeDocument/2006/relationships/image" Target="media/image114.jpeg"/><Relationship Id="rId320" Type="http://schemas.openxmlformats.org/officeDocument/2006/relationships/image" Target="media/image298.jpeg"/><Relationship Id="rId537" Type="http://schemas.openxmlformats.org/officeDocument/2006/relationships/hyperlink" Target="http://www.google.com/fusiontables/DataSource?docid=1Olx-waa2UBfq02PgLq23ecgCmxSt7eRIpYb8MQLB" TargetMode="External"/><Relationship Id="rId558" Type="http://schemas.openxmlformats.org/officeDocument/2006/relationships/hyperlink" Target="file:///C:\Users\Abramson\Documents\4.%20Dissertation%2029-07-16\Volume%201%20-%20Narrative\www.york.ac.uk\archaeology\strat\pastpub\95ch2.pdf" TargetMode="External"/><Relationship Id="rId80" Type="http://schemas.openxmlformats.org/officeDocument/2006/relationships/image" Target="media/image60.jpeg"/><Relationship Id="rId155" Type="http://schemas.openxmlformats.org/officeDocument/2006/relationships/image" Target="media/image135.jpeg"/><Relationship Id="rId176" Type="http://schemas.openxmlformats.org/officeDocument/2006/relationships/image" Target="media/image156.JPG"/><Relationship Id="rId197" Type="http://schemas.openxmlformats.org/officeDocument/2006/relationships/image" Target="media/image177.jpeg"/><Relationship Id="rId341" Type="http://schemas.openxmlformats.org/officeDocument/2006/relationships/image" Target="media/image319.jpeg"/><Relationship Id="rId362" Type="http://schemas.openxmlformats.org/officeDocument/2006/relationships/image" Target="media/image339.JPG"/><Relationship Id="rId383" Type="http://schemas.openxmlformats.org/officeDocument/2006/relationships/image" Target="media/image360.jpg"/><Relationship Id="rId418" Type="http://schemas.openxmlformats.org/officeDocument/2006/relationships/image" Target="media/image395.jpg"/><Relationship Id="rId439" Type="http://schemas.openxmlformats.org/officeDocument/2006/relationships/image" Target="media/image416.JPG"/><Relationship Id="rId201" Type="http://schemas.openxmlformats.org/officeDocument/2006/relationships/image" Target="media/image181.jpeg"/><Relationship Id="rId222" Type="http://schemas.openxmlformats.org/officeDocument/2006/relationships/image" Target="media/image202.jpeg"/><Relationship Id="rId243" Type="http://schemas.openxmlformats.org/officeDocument/2006/relationships/image" Target="media/image222.jpeg"/><Relationship Id="rId264" Type="http://schemas.openxmlformats.org/officeDocument/2006/relationships/image" Target="media/image243.JPG"/><Relationship Id="rId285" Type="http://schemas.openxmlformats.org/officeDocument/2006/relationships/image" Target="media/image263.jpeg"/><Relationship Id="rId450" Type="http://schemas.openxmlformats.org/officeDocument/2006/relationships/image" Target="media/image427.jpg"/><Relationship Id="rId471" Type="http://schemas.openxmlformats.org/officeDocument/2006/relationships/image" Target="media/image448.jpeg"/><Relationship Id="rId506" Type="http://schemas.openxmlformats.org/officeDocument/2006/relationships/image" Target="media/image483.jpeg"/><Relationship Id="rId17" Type="http://schemas.openxmlformats.org/officeDocument/2006/relationships/header" Target="header2.xml"/><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jpeg"/><Relationship Id="rId124" Type="http://schemas.openxmlformats.org/officeDocument/2006/relationships/image" Target="media/image104.JPG"/><Relationship Id="rId310" Type="http://schemas.openxmlformats.org/officeDocument/2006/relationships/image" Target="media/image288.JPG"/><Relationship Id="rId492" Type="http://schemas.openxmlformats.org/officeDocument/2006/relationships/image" Target="media/image469.jpeg"/><Relationship Id="rId527" Type="http://schemas.openxmlformats.org/officeDocument/2006/relationships/hyperlink" Target="http://archaeologydataservice.ac.uk/archives/view/ipswich_parent_2015/" TargetMode="External"/><Relationship Id="rId548" Type="http://schemas.openxmlformats.org/officeDocument/2006/relationships/hyperlink" Target="file:///C:\Users\Abramson\Documents\4.%20Dissertation%2029-07-16\Volume%201%20-%20Narrative\www.york.ac.uk\archaeology\strat\pastpub\95ch2.pdf" TargetMode="External"/><Relationship Id="rId70" Type="http://schemas.openxmlformats.org/officeDocument/2006/relationships/image" Target="media/image50.JPG"/><Relationship Id="rId91" Type="http://schemas.openxmlformats.org/officeDocument/2006/relationships/image" Target="media/image71.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jpeg"/><Relationship Id="rId331" Type="http://schemas.openxmlformats.org/officeDocument/2006/relationships/image" Target="media/image309.jpeg"/><Relationship Id="rId352" Type="http://schemas.openxmlformats.org/officeDocument/2006/relationships/image" Target="media/image330.jpeg"/><Relationship Id="rId373" Type="http://schemas.openxmlformats.org/officeDocument/2006/relationships/image" Target="media/image350.jpeg"/><Relationship Id="rId394" Type="http://schemas.openxmlformats.org/officeDocument/2006/relationships/image" Target="media/image371.jpeg"/><Relationship Id="rId408" Type="http://schemas.openxmlformats.org/officeDocument/2006/relationships/image" Target="media/image385.jpeg"/><Relationship Id="rId429" Type="http://schemas.openxmlformats.org/officeDocument/2006/relationships/image" Target="media/image406.JPG"/><Relationship Id="rId1" Type="http://schemas.openxmlformats.org/officeDocument/2006/relationships/customXml" Target="../customXml/item1.xml"/><Relationship Id="rId212" Type="http://schemas.openxmlformats.org/officeDocument/2006/relationships/image" Target="media/image192.jpg"/><Relationship Id="rId233" Type="http://schemas.openxmlformats.org/officeDocument/2006/relationships/image" Target="media/image212.jpg"/><Relationship Id="rId254" Type="http://schemas.openxmlformats.org/officeDocument/2006/relationships/image" Target="media/image233.JPG"/><Relationship Id="rId440" Type="http://schemas.openxmlformats.org/officeDocument/2006/relationships/image" Target="media/image417.JPG"/><Relationship Id="rId28" Type="http://schemas.openxmlformats.org/officeDocument/2006/relationships/image" Target="media/image11.jpeg"/><Relationship Id="rId49" Type="http://schemas.openxmlformats.org/officeDocument/2006/relationships/image" Target="media/image29.jpeg"/><Relationship Id="rId114" Type="http://schemas.openxmlformats.org/officeDocument/2006/relationships/image" Target="media/image94.jpeg"/><Relationship Id="rId275" Type="http://schemas.openxmlformats.org/officeDocument/2006/relationships/hyperlink" Target="file:///C:\Users\Tony\Documents\4.%20Dissertation%2027-09-15\Volume%201%20Narrative\Table%2013.2%20Vale%20of%20York%20-%20Artefacts%20-%20summary.xlsx" TargetMode="External"/><Relationship Id="rId296" Type="http://schemas.openxmlformats.org/officeDocument/2006/relationships/image" Target="media/image274.JPG"/><Relationship Id="rId300" Type="http://schemas.openxmlformats.org/officeDocument/2006/relationships/image" Target="media/image278.jpeg"/><Relationship Id="rId461" Type="http://schemas.openxmlformats.org/officeDocument/2006/relationships/image" Target="media/image438.JPG"/><Relationship Id="rId482" Type="http://schemas.openxmlformats.org/officeDocument/2006/relationships/image" Target="media/image459.jpeg"/><Relationship Id="rId517" Type="http://schemas.openxmlformats.org/officeDocument/2006/relationships/hyperlink" Target="http://www.ascorpus.ac.uk/" TargetMode="External"/><Relationship Id="rId538" Type="http://schemas.openxmlformats.org/officeDocument/2006/relationships/hyperlink" Target="http://www.southampton.ac.uk/archaeology/research/projects/landscape_archaeology_of_hayton.page" TargetMode="External"/><Relationship Id="rId559" Type="http://schemas.openxmlformats.org/officeDocument/2006/relationships/hyperlink" Target="http://www.yorkarchaeology.co.uk/resources/voy-web.pdf." TargetMode="External"/><Relationship Id="rId60" Type="http://schemas.openxmlformats.org/officeDocument/2006/relationships/image" Target="media/image40.jpeg"/><Relationship Id="rId81" Type="http://schemas.openxmlformats.org/officeDocument/2006/relationships/image" Target="media/image61.jpeg"/><Relationship Id="rId135" Type="http://schemas.openxmlformats.org/officeDocument/2006/relationships/image" Target="media/image115.jpeg"/><Relationship Id="rId156" Type="http://schemas.openxmlformats.org/officeDocument/2006/relationships/image" Target="media/image136.jpeg"/><Relationship Id="rId177" Type="http://schemas.openxmlformats.org/officeDocument/2006/relationships/image" Target="media/image157.JPG"/><Relationship Id="rId198" Type="http://schemas.openxmlformats.org/officeDocument/2006/relationships/image" Target="media/image178.jpeg"/><Relationship Id="rId321" Type="http://schemas.openxmlformats.org/officeDocument/2006/relationships/image" Target="media/image299.JPG"/><Relationship Id="rId342" Type="http://schemas.openxmlformats.org/officeDocument/2006/relationships/image" Target="media/image320.jpeg"/><Relationship Id="rId363" Type="http://schemas.openxmlformats.org/officeDocument/2006/relationships/image" Target="media/image340.JPG"/><Relationship Id="rId384" Type="http://schemas.openxmlformats.org/officeDocument/2006/relationships/image" Target="media/image361.jpg"/><Relationship Id="rId419" Type="http://schemas.openxmlformats.org/officeDocument/2006/relationships/image" Target="media/image396.jpg"/><Relationship Id="rId202" Type="http://schemas.openxmlformats.org/officeDocument/2006/relationships/image" Target="media/image182.jpeg"/><Relationship Id="rId223" Type="http://schemas.openxmlformats.org/officeDocument/2006/relationships/image" Target="media/image203.jpeg"/><Relationship Id="rId244" Type="http://schemas.openxmlformats.org/officeDocument/2006/relationships/image" Target="media/image223.JPG"/><Relationship Id="rId430" Type="http://schemas.openxmlformats.org/officeDocument/2006/relationships/image" Target="media/image407.JPG"/><Relationship Id="rId18" Type="http://schemas.openxmlformats.org/officeDocument/2006/relationships/header" Target="header3.xml"/><Relationship Id="rId39" Type="http://schemas.openxmlformats.org/officeDocument/2006/relationships/image" Target="media/image19.jpeg"/><Relationship Id="rId265" Type="http://schemas.openxmlformats.org/officeDocument/2006/relationships/image" Target="media/image244.jpeg"/><Relationship Id="rId286" Type="http://schemas.openxmlformats.org/officeDocument/2006/relationships/image" Target="media/image264.jpeg"/><Relationship Id="rId451" Type="http://schemas.openxmlformats.org/officeDocument/2006/relationships/image" Target="media/image428.JPG"/><Relationship Id="rId472" Type="http://schemas.openxmlformats.org/officeDocument/2006/relationships/image" Target="media/image449.JPG"/><Relationship Id="rId493" Type="http://schemas.openxmlformats.org/officeDocument/2006/relationships/image" Target="media/image470.jpeg"/><Relationship Id="rId507" Type="http://schemas.openxmlformats.org/officeDocument/2006/relationships/image" Target="media/image484.jpeg"/><Relationship Id="rId528" Type="http://schemas.openxmlformats.org/officeDocument/2006/relationships/hyperlink" Target="http://archaeologydataservice.ac.uk/archiveDS/archiveDownload?t=arch-1596-1/dissemination/pdf/metal_detector_survey/BURDALE_metaldetecting_report_1.pdf" TargetMode="External"/><Relationship Id="rId549" Type="http://schemas.openxmlformats.org/officeDocument/2006/relationships/hyperlink" Target="http://dx.doi.org/10.11141/ia.35.8." TargetMode="External"/><Relationship Id="rId50" Type="http://schemas.openxmlformats.org/officeDocument/2006/relationships/image" Target="media/image30.jpeg"/><Relationship Id="rId104" Type="http://schemas.openxmlformats.org/officeDocument/2006/relationships/image" Target="media/image84.jpeg"/><Relationship Id="rId125" Type="http://schemas.openxmlformats.org/officeDocument/2006/relationships/image" Target="media/image105.JPG"/><Relationship Id="rId146" Type="http://schemas.openxmlformats.org/officeDocument/2006/relationships/image" Target="media/image126.jpeg"/><Relationship Id="rId167" Type="http://schemas.openxmlformats.org/officeDocument/2006/relationships/image" Target="media/image147.JPG"/><Relationship Id="rId188" Type="http://schemas.openxmlformats.org/officeDocument/2006/relationships/image" Target="media/image168.jpeg"/><Relationship Id="rId311" Type="http://schemas.openxmlformats.org/officeDocument/2006/relationships/image" Target="media/image289.JPG"/><Relationship Id="rId332" Type="http://schemas.openxmlformats.org/officeDocument/2006/relationships/image" Target="media/image310.jpeg"/><Relationship Id="rId353" Type="http://schemas.openxmlformats.org/officeDocument/2006/relationships/hyperlink" Target="file:///C:\Users\Tony\Documents\4.%20Dissertation%2027-09-15\Volume%201%20Narrative\Consolidated%20thesis.docx" TargetMode="External"/><Relationship Id="rId374" Type="http://schemas.openxmlformats.org/officeDocument/2006/relationships/image" Target="media/image351.JPG"/><Relationship Id="rId395" Type="http://schemas.openxmlformats.org/officeDocument/2006/relationships/image" Target="media/image372.JPG"/><Relationship Id="rId409" Type="http://schemas.openxmlformats.org/officeDocument/2006/relationships/image" Target="media/image386.jpeg"/><Relationship Id="rId560" Type="http://schemas.openxmlformats.org/officeDocument/2006/relationships/hyperlink" Target="http://www.yorkarchaeology.co.uk/resources/publications" TargetMode="External"/><Relationship Id="rId71" Type="http://schemas.openxmlformats.org/officeDocument/2006/relationships/image" Target="media/image51.JPG"/><Relationship Id="rId92" Type="http://schemas.openxmlformats.org/officeDocument/2006/relationships/image" Target="media/image72.jpeg"/><Relationship Id="rId213" Type="http://schemas.openxmlformats.org/officeDocument/2006/relationships/image" Target="media/image193.jpg"/><Relationship Id="rId234" Type="http://schemas.openxmlformats.org/officeDocument/2006/relationships/image" Target="media/image213.jpeg"/><Relationship Id="rId420" Type="http://schemas.openxmlformats.org/officeDocument/2006/relationships/image" Target="media/image397.jpg"/><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4.JPG"/><Relationship Id="rId276" Type="http://schemas.openxmlformats.org/officeDocument/2006/relationships/image" Target="media/image254.jpeg"/><Relationship Id="rId297" Type="http://schemas.openxmlformats.org/officeDocument/2006/relationships/image" Target="media/image275.jpeg"/><Relationship Id="rId441" Type="http://schemas.openxmlformats.org/officeDocument/2006/relationships/image" Target="media/image418.JPG"/><Relationship Id="rId462" Type="http://schemas.openxmlformats.org/officeDocument/2006/relationships/image" Target="media/image439.JPG"/><Relationship Id="rId483" Type="http://schemas.openxmlformats.org/officeDocument/2006/relationships/image" Target="media/image460.JPG"/><Relationship Id="rId518" Type="http://schemas.openxmlformats.org/officeDocument/2006/relationships/hyperlink" Target="http://www-cm.fitzmuseum.cam.ac.uk/dept/coins/projects/hoards/" TargetMode="External"/><Relationship Id="rId539" Type="http://schemas.openxmlformats.org/officeDocument/2006/relationships/hyperlink" Target="http://www2.hull.ac.uk/student/archaeology/research/hayton.aspx" TargetMode="External"/><Relationship Id="rId40" Type="http://schemas.openxmlformats.org/officeDocument/2006/relationships/image" Target="media/image20.jpe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G"/><Relationship Id="rId301" Type="http://schemas.openxmlformats.org/officeDocument/2006/relationships/image" Target="media/image279.jpeg"/><Relationship Id="rId322" Type="http://schemas.openxmlformats.org/officeDocument/2006/relationships/image" Target="media/image300.JPG"/><Relationship Id="rId343" Type="http://schemas.openxmlformats.org/officeDocument/2006/relationships/image" Target="media/image321.jpg"/><Relationship Id="rId364" Type="http://schemas.openxmlformats.org/officeDocument/2006/relationships/image" Target="media/image341.JPG"/><Relationship Id="rId550" Type="http://schemas.openxmlformats.org/officeDocument/2006/relationships/hyperlink" Target="http://intarch.ac.uk/journal/issue25/2/toc.html" TargetMode="External"/><Relationship Id="rId61" Type="http://schemas.openxmlformats.org/officeDocument/2006/relationships/image" Target="media/image41.jpg"/><Relationship Id="rId82" Type="http://schemas.openxmlformats.org/officeDocument/2006/relationships/image" Target="media/image62.jpeg"/><Relationship Id="rId199" Type="http://schemas.openxmlformats.org/officeDocument/2006/relationships/image" Target="media/image179.jpeg"/><Relationship Id="rId203" Type="http://schemas.openxmlformats.org/officeDocument/2006/relationships/image" Target="media/image183.jpeg"/><Relationship Id="rId385" Type="http://schemas.openxmlformats.org/officeDocument/2006/relationships/image" Target="media/image362.jpg"/><Relationship Id="rId19" Type="http://schemas.openxmlformats.org/officeDocument/2006/relationships/footer" Target="footer2.xml"/><Relationship Id="rId224" Type="http://schemas.openxmlformats.org/officeDocument/2006/relationships/image" Target="media/image204.JPG"/><Relationship Id="rId245" Type="http://schemas.openxmlformats.org/officeDocument/2006/relationships/image" Target="media/image224.jpeg"/><Relationship Id="rId266" Type="http://schemas.openxmlformats.org/officeDocument/2006/relationships/image" Target="media/image245.jpg"/><Relationship Id="rId287" Type="http://schemas.openxmlformats.org/officeDocument/2006/relationships/image" Target="media/image265.jpeg"/><Relationship Id="rId410" Type="http://schemas.openxmlformats.org/officeDocument/2006/relationships/image" Target="media/image387.jpeg"/><Relationship Id="rId431" Type="http://schemas.openxmlformats.org/officeDocument/2006/relationships/image" Target="media/image408.JPG"/><Relationship Id="rId452" Type="http://schemas.openxmlformats.org/officeDocument/2006/relationships/image" Target="media/image429.JPG"/><Relationship Id="rId473" Type="http://schemas.openxmlformats.org/officeDocument/2006/relationships/image" Target="media/image450.JPG"/><Relationship Id="rId494" Type="http://schemas.openxmlformats.org/officeDocument/2006/relationships/image" Target="media/image471.jpeg"/><Relationship Id="rId508" Type="http://schemas.openxmlformats.org/officeDocument/2006/relationships/image" Target="media/image485.jpeg"/><Relationship Id="rId529" Type="http://schemas.openxmlformats.org/officeDocument/2006/relationships/hyperlink" Target="http://www.archaeology.co.uk/articles/features/exploring-anglo-saxon-settlement.htm" TargetMode="External"/><Relationship Id="rId30" Type="http://schemas.openxmlformats.org/officeDocument/2006/relationships/image" Target="media/image13.jpeg"/><Relationship Id="rId105" Type="http://schemas.openxmlformats.org/officeDocument/2006/relationships/image" Target="media/image85.jpeg"/><Relationship Id="rId126" Type="http://schemas.openxmlformats.org/officeDocument/2006/relationships/image" Target="media/image106.JPG"/><Relationship Id="rId147" Type="http://schemas.openxmlformats.org/officeDocument/2006/relationships/image" Target="media/image127.jpeg"/><Relationship Id="rId168" Type="http://schemas.openxmlformats.org/officeDocument/2006/relationships/image" Target="media/image148.JPG"/><Relationship Id="rId312" Type="http://schemas.openxmlformats.org/officeDocument/2006/relationships/image" Target="media/image290.JPG"/><Relationship Id="rId333" Type="http://schemas.openxmlformats.org/officeDocument/2006/relationships/image" Target="media/image311.JPG"/><Relationship Id="rId354" Type="http://schemas.openxmlformats.org/officeDocument/2006/relationships/image" Target="media/image331.JPG"/><Relationship Id="rId540" Type="http://schemas.openxmlformats.org/officeDocument/2006/relationships/hyperlink" Target="http://pastscape.org.uk/hob.aspx?hob_id=61387" TargetMode="External"/><Relationship Id="rId51" Type="http://schemas.openxmlformats.org/officeDocument/2006/relationships/image" Target="media/image31.jpeg"/><Relationship Id="rId72" Type="http://schemas.openxmlformats.org/officeDocument/2006/relationships/image" Target="media/image52.JPG"/><Relationship Id="rId93" Type="http://schemas.openxmlformats.org/officeDocument/2006/relationships/image" Target="media/image73.jpeg"/><Relationship Id="rId189" Type="http://schemas.openxmlformats.org/officeDocument/2006/relationships/image" Target="media/image169.jpeg"/><Relationship Id="rId375" Type="http://schemas.openxmlformats.org/officeDocument/2006/relationships/image" Target="media/image352.JPG"/><Relationship Id="rId396" Type="http://schemas.openxmlformats.org/officeDocument/2006/relationships/image" Target="media/image373.JPG"/><Relationship Id="rId561" Type="http://schemas.openxmlformats.org/officeDocument/2006/relationships/header" Target="header5.xml"/><Relationship Id="rId3" Type="http://schemas.openxmlformats.org/officeDocument/2006/relationships/styles" Target="styles.xml"/><Relationship Id="rId214" Type="http://schemas.openxmlformats.org/officeDocument/2006/relationships/image" Target="media/image194.jpg"/><Relationship Id="rId235" Type="http://schemas.openxmlformats.org/officeDocument/2006/relationships/image" Target="media/image214.jpeg"/><Relationship Id="rId256" Type="http://schemas.openxmlformats.org/officeDocument/2006/relationships/image" Target="media/image235.JPG"/><Relationship Id="rId277" Type="http://schemas.openxmlformats.org/officeDocument/2006/relationships/image" Target="media/image255.jpeg"/><Relationship Id="rId298" Type="http://schemas.openxmlformats.org/officeDocument/2006/relationships/image" Target="media/image276.jpeg"/><Relationship Id="rId400" Type="http://schemas.openxmlformats.org/officeDocument/2006/relationships/image" Target="media/image377.JPG"/><Relationship Id="rId421" Type="http://schemas.openxmlformats.org/officeDocument/2006/relationships/image" Target="media/image398.JPG"/><Relationship Id="rId442" Type="http://schemas.openxmlformats.org/officeDocument/2006/relationships/image" Target="media/image419.JPG"/><Relationship Id="rId463" Type="http://schemas.openxmlformats.org/officeDocument/2006/relationships/image" Target="media/image440.JPG"/><Relationship Id="rId484" Type="http://schemas.openxmlformats.org/officeDocument/2006/relationships/image" Target="media/image461.JPG"/><Relationship Id="rId519" Type="http://schemas.openxmlformats.org/officeDocument/2006/relationships/hyperlink" Target="http://www.celticcoins.ca/about.php" TargetMode="External"/><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302" Type="http://schemas.openxmlformats.org/officeDocument/2006/relationships/image" Target="media/image280.jpeg"/><Relationship Id="rId323" Type="http://schemas.openxmlformats.org/officeDocument/2006/relationships/image" Target="media/image301.JPG"/><Relationship Id="rId344" Type="http://schemas.openxmlformats.org/officeDocument/2006/relationships/image" Target="media/image322.jpg"/><Relationship Id="rId530" Type="http://schemas.openxmlformats.org/officeDocument/2006/relationships/hyperlink" Target="http://www.corrosionpedia.com/definition/638/hot-shortness" TargetMode="External"/><Relationship Id="rId20" Type="http://schemas.openxmlformats.org/officeDocument/2006/relationships/footer" Target="footer3.xml"/><Relationship Id="rId41" Type="http://schemas.openxmlformats.org/officeDocument/2006/relationships/image" Target="media/image21.jpeg"/><Relationship Id="rId62" Type="http://schemas.openxmlformats.org/officeDocument/2006/relationships/image" Target="media/image42.jpg"/><Relationship Id="rId83" Type="http://schemas.openxmlformats.org/officeDocument/2006/relationships/image" Target="media/image63.jpeg"/><Relationship Id="rId179" Type="http://schemas.openxmlformats.org/officeDocument/2006/relationships/image" Target="media/image159.jpeg"/><Relationship Id="rId365" Type="http://schemas.openxmlformats.org/officeDocument/2006/relationships/image" Target="media/image342.JPG"/><Relationship Id="rId386" Type="http://schemas.openxmlformats.org/officeDocument/2006/relationships/image" Target="media/image363.jpg"/><Relationship Id="rId551" Type="http://schemas.openxmlformats.org/officeDocument/2006/relationships/hyperlink" Target="http://intarch.ac.uk/journal/issue34/5/toc.html" TargetMode="External"/><Relationship Id="rId190" Type="http://schemas.openxmlformats.org/officeDocument/2006/relationships/image" Target="media/image170.jpeg"/><Relationship Id="rId204" Type="http://schemas.openxmlformats.org/officeDocument/2006/relationships/image" Target="media/image184.jpeg"/><Relationship Id="rId225" Type="http://schemas.openxmlformats.org/officeDocument/2006/relationships/image" Target="media/image205.JPG"/><Relationship Id="rId246" Type="http://schemas.openxmlformats.org/officeDocument/2006/relationships/image" Target="media/image225.jpeg"/><Relationship Id="rId267" Type="http://schemas.openxmlformats.org/officeDocument/2006/relationships/image" Target="media/image246.jpeg"/><Relationship Id="rId288" Type="http://schemas.openxmlformats.org/officeDocument/2006/relationships/image" Target="media/image266.JPG"/><Relationship Id="rId411" Type="http://schemas.openxmlformats.org/officeDocument/2006/relationships/image" Target="media/image388.jpeg"/><Relationship Id="rId432" Type="http://schemas.openxmlformats.org/officeDocument/2006/relationships/image" Target="media/image409.JPG"/><Relationship Id="rId453" Type="http://schemas.openxmlformats.org/officeDocument/2006/relationships/image" Target="media/image430.JPG"/><Relationship Id="rId474" Type="http://schemas.openxmlformats.org/officeDocument/2006/relationships/image" Target="media/image451.tiff"/><Relationship Id="rId509" Type="http://schemas.openxmlformats.org/officeDocument/2006/relationships/image" Target="media/image486.jpeg"/><Relationship Id="rId106" Type="http://schemas.openxmlformats.org/officeDocument/2006/relationships/image" Target="media/image86.jpeg"/><Relationship Id="rId127" Type="http://schemas.openxmlformats.org/officeDocument/2006/relationships/image" Target="media/image107.jpeg"/><Relationship Id="rId313" Type="http://schemas.openxmlformats.org/officeDocument/2006/relationships/image" Target="media/image291.JPG"/><Relationship Id="rId495" Type="http://schemas.openxmlformats.org/officeDocument/2006/relationships/image" Target="media/image472.jpeg"/><Relationship Id="rId10" Type="http://schemas.openxmlformats.org/officeDocument/2006/relationships/footer" Target="footer1.xml"/><Relationship Id="rId31" Type="http://schemas.openxmlformats.org/officeDocument/2006/relationships/hyperlink" Target="file:///C:\Users\Tony\Documents\4.%20Dissertation%2025-08-05\Thesis\Consolidated%20thesis.docx" TargetMode="External"/><Relationship Id="rId52" Type="http://schemas.openxmlformats.org/officeDocument/2006/relationships/image" Target="media/image32.jpeg"/><Relationship Id="rId73" Type="http://schemas.openxmlformats.org/officeDocument/2006/relationships/image" Target="media/image53.jpg"/><Relationship Id="rId94" Type="http://schemas.openxmlformats.org/officeDocument/2006/relationships/image" Target="media/image74.jpeg"/><Relationship Id="rId148" Type="http://schemas.openxmlformats.org/officeDocument/2006/relationships/image" Target="media/image128.jpeg"/><Relationship Id="rId169" Type="http://schemas.openxmlformats.org/officeDocument/2006/relationships/image" Target="media/image149.JPG"/><Relationship Id="rId334" Type="http://schemas.openxmlformats.org/officeDocument/2006/relationships/image" Target="media/image312.JPG"/><Relationship Id="rId355" Type="http://schemas.openxmlformats.org/officeDocument/2006/relationships/image" Target="media/image332.JPG"/><Relationship Id="rId376" Type="http://schemas.openxmlformats.org/officeDocument/2006/relationships/image" Target="media/image353.JPG"/><Relationship Id="rId397" Type="http://schemas.openxmlformats.org/officeDocument/2006/relationships/image" Target="media/image374.jpeg"/><Relationship Id="rId520" Type="http://schemas.openxmlformats.org/officeDocument/2006/relationships/hyperlink" Target="http://www.oxforddnb.com/" TargetMode="External"/><Relationship Id="rId541" Type="http://schemas.openxmlformats.org/officeDocument/2006/relationships/hyperlink" Target="https://tenthmedieval.wordpress.com/2010/03/18/from-the-sources-v-bedes-letter-to-egbert/" TargetMode="External"/><Relationship Id="rId562" Type="http://schemas.openxmlformats.org/officeDocument/2006/relationships/header" Target="header6.xml"/><Relationship Id="rId4" Type="http://schemas.openxmlformats.org/officeDocument/2006/relationships/settings" Target="settings.xml"/><Relationship Id="rId180" Type="http://schemas.openxmlformats.org/officeDocument/2006/relationships/image" Target="media/image160.jpeg"/><Relationship Id="rId215" Type="http://schemas.openxmlformats.org/officeDocument/2006/relationships/image" Target="media/image195.jpeg"/><Relationship Id="rId236" Type="http://schemas.openxmlformats.org/officeDocument/2006/relationships/image" Target="media/image215.jpg"/><Relationship Id="rId257" Type="http://schemas.openxmlformats.org/officeDocument/2006/relationships/image" Target="media/image236.JPG"/><Relationship Id="rId278" Type="http://schemas.openxmlformats.org/officeDocument/2006/relationships/image" Target="media/image256.jpeg"/><Relationship Id="rId401" Type="http://schemas.openxmlformats.org/officeDocument/2006/relationships/image" Target="media/image378.JPG"/><Relationship Id="rId422" Type="http://schemas.openxmlformats.org/officeDocument/2006/relationships/image" Target="media/image399.JPG"/><Relationship Id="rId443" Type="http://schemas.openxmlformats.org/officeDocument/2006/relationships/image" Target="media/image420.jpg"/><Relationship Id="rId464" Type="http://schemas.openxmlformats.org/officeDocument/2006/relationships/image" Target="media/image441.JPG"/><Relationship Id="rId303" Type="http://schemas.openxmlformats.org/officeDocument/2006/relationships/image" Target="media/image281.jpeg"/><Relationship Id="rId485" Type="http://schemas.openxmlformats.org/officeDocument/2006/relationships/image" Target="media/image462.jpeg"/><Relationship Id="rId42" Type="http://schemas.openxmlformats.org/officeDocument/2006/relationships/image" Target="media/image22.jpg"/><Relationship Id="rId84" Type="http://schemas.openxmlformats.org/officeDocument/2006/relationships/image" Target="media/image64.jpeg"/><Relationship Id="rId138" Type="http://schemas.openxmlformats.org/officeDocument/2006/relationships/image" Target="media/image118.jpeg"/><Relationship Id="rId345" Type="http://schemas.openxmlformats.org/officeDocument/2006/relationships/image" Target="media/image323.tiff"/><Relationship Id="rId387" Type="http://schemas.openxmlformats.org/officeDocument/2006/relationships/image" Target="media/image364.jpeg"/><Relationship Id="rId510" Type="http://schemas.openxmlformats.org/officeDocument/2006/relationships/image" Target="media/image487.jpeg"/><Relationship Id="rId552" Type="http://schemas.openxmlformats.org/officeDocument/2006/relationships/hyperlink" Target="http://en.finaly.org/index.php/Reckoning_before_writing" TargetMode="External"/><Relationship Id="rId191" Type="http://schemas.openxmlformats.org/officeDocument/2006/relationships/image" Target="media/image171.jpeg"/><Relationship Id="rId205" Type="http://schemas.openxmlformats.org/officeDocument/2006/relationships/image" Target="media/image185.jpeg"/><Relationship Id="rId247" Type="http://schemas.openxmlformats.org/officeDocument/2006/relationships/image" Target="media/image226.JPG"/><Relationship Id="rId412" Type="http://schemas.openxmlformats.org/officeDocument/2006/relationships/image" Target="media/image389.jpeg"/><Relationship Id="rId107" Type="http://schemas.openxmlformats.org/officeDocument/2006/relationships/image" Target="media/image87.jpeg"/><Relationship Id="rId289" Type="http://schemas.openxmlformats.org/officeDocument/2006/relationships/image" Target="media/image267.JPG"/><Relationship Id="rId454" Type="http://schemas.openxmlformats.org/officeDocument/2006/relationships/image" Target="media/image431.JPG"/><Relationship Id="rId496" Type="http://schemas.openxmlformats.org/officeDocument/2006/relationships/image" Target="media/image473.jpeg"/><Relationship Id="rId11" Type="http://schemas.openxmlformats.org/officeDocument/2006/relationships/image" Target="media/image2.jpeg"/><Relationship Id="rId53" Type="http://schemas.openxmlformats.org/officeDocument/2006/relationships/image" Target="media/image33.jpeg"/><Relationship Id="rId149" Type="http://schemas.openxmlformats.org/officeDocument/2006/relationships/image" Target="media/image129.jpeg"/><Relationship Id="rId314" Type="http://schemas.openxmlformats.org/officeDocument/2006/relationships/image" Target="media/image292.JPG"/><Relationship Id="rId356" Type="http://schemas.openxmlformats.org/officeDocument/2006/relationships/image" Target="media/image333.JPG"/><Relationship Id="rId398" Type="http://schemas.openxmlformats.org/officeDocument/2006/relationships/image" Target="media/image375.JPG"/><Relationship Id="rId521" Type="http://schemas.openxmlformats.org/officeDocument/2006/relationships/hyperlink" Target="http://www-cm.fitzmuseum.cam" TargetMode="External"/><Relationship Id="rId563" Type="http://schemas.openxmlformats.org/officeDocument/2006/relationships/fontTable" Target="fontTable.xml"/><Relationship Id="rId95" Type="http://schemas.openxmlformats.org/officeDocument/2006/relationships/image" Target="media/image75.jpeg"/><Relationship Id="rId160" Type="http://schemas.openxmlformats.org/officeDocument/2006/relationships/image" Target="media/image140.jpeg"/><Relationship Id="rId216" Type="http://schemas.openxmlformats.org/officeDocument/2006/relationships/image" Target="media/image196.jpeg"/><Relationship Id="rId423" Type="http://schemas.openxmlformats.org/officeDocument/2006/relationships/image" Target="media/image400.jpg"/><Relationship Id="rId258" Type="http://schemas.openxmlformats.org/officeDocument/2006/relationships/image" Target="media/image237.JPG"/><Relationship Id="rId465" Type="http://schemas.openxmlformats.org/officeDocument/2006/relationships/image" Target="media/image442.jpeg"/><Relationship Id="rId22" Type="http://schemas.openxmlformats.org/officeDocument/2006/relationships/footer" Target="footer4.xml"/><Relationship Id="rId64" Type="http://schemas.openxmlformats.org/officeDocument/2006/relationships/image" Target="media/image44.jpeg"/><Relationship Id="rId118" Type="http://schemas.openxmlformats.org/officeDocument/2006/relationships/image" Target="media/image98.JPG"/><Relationship Id="rId325" Type="http://schemas.openxmlformats.org/officeDocument/2006/relationships/image" Target="media/image303.jpeg"/><Relationship Id="rId367" Type="http://schemas.openxmlformats.org/officeDocument/2006/relationships/image" Target="media/image344.JPG"/><Relationship Id="rId532" Type="http://schemas.openxmlformats.org/officeDocument/2006/relationships/hyperlink" Target="http://www.dmap.co.uk/" TargetMode="External"/><Relationship Id="rId171" Type="http://schemas.openxmlformats.org/officeDocument/2006/relationships/image" Target="media/image151.jpg"/><Relationship Id="rId227" Type="http://schemas.openxmlformats.org/officeDocument/2006/relationships/image" Target="media/image207.jpeg"/><Relationship Id="rId269" Type="http://schemas.openxmlformats.org/officeDocument/2006/relationships/image" Target="media/image248.jpeg"/><Relationship Id="rId434" Type="http://schemas.openxmlformats.org/officeDocument/2006/relationships/image" Target="media/image411.JPG"/><Relationship Id="rId476" Type="http://schemas.openxmlformats.org/officeDocument/2006/relationships/image" Target="media/image453.JPG"/><Relationship Id="rId33" Type="http://schemas.openxmlformats.org/officeDocument/2006/relationships/hyperlink" Target="file:///C:\Users\Tony\Documents\4.%20Dissertation%2025-08-05\Thesis\Consolidated%20thesis.docx" TargetMode="External"/><Relationship Id="rId129" Type="http://schemas.openxmlformats.org/officeDocument/2006/relationships/image" Target="media/image109.jpeg"/><Relationship Id="rId280" Type="http://schemas.openxmlformats.org/officeDocument/2006/relationships/image" Target="media/image258.jpeg"/><Relationship Id="rId336" Type="http://schemas.openxmlformats.org/officeDocument/2006/relationships/image" Target="media/image314.jpg"/><Relationship Id="rId501" Type="http://schemas.openxmlformats.org/officeDocument/2006/relationships/image" Target="media/image478.jpeg"/><Relationship Id="rId543" Type="http://schemas.openxmlformats.org/officeDocument/2006/relationships/hyperlink" Target="http://www.iadb.co.uk/waterstones/intro.htm" TargetMode="External"/><Relationship Id="rId75" Type="http://schemas.openxmlformats.org/officeDocument/2006/relationships/image" Target="media/image55.jpeg"/><Relationship Id="rId140" Type="http://schemas.openxmlformats.org/officeDocument/2006/relationships/image" Target="media/image120.jpeg"/><Relationship Id="rId182" Type="http://schemas.openxmlformats.org/officeDocument/2006/relationships/image" Target="media/image162.jpeg"/><Relationship Id="rId378" Type="http://schemas.openxmlformats.org/officeDocument/2006/relationships/image" Target="media/image355.jpeg"/><Relationship Id="rId403" Type="http://schemas.openxmlformats.org/officeDocument/2006/relationships/image" Target="media/image380.JPG"/><Relationship Id="rId6" Type="http://schemas.openxmlformats.org/officeDocument/2006/relationships/footnotes" Target="footnotes.xml"/><Relationship Id="rId238" Type="http://schemas.openxmlformats.org/officeDocument/2006/relationships/image" Target="media/image217.jpeg"/><Relationship Id="rId445" Type="http://schemas.openxmlformats.org/officeDocument/2006/relationships/image" Target="media/image422.jpeg"/><Relationship Id="rId487" Type="http://schemas.openxmlformats.org/officeDocument/2006/relationships/image" Target="media/image464.jpeg"/><Relationship Id="rId291" Type="http://schemas.openxmlformats.org/officeDocument/2006/relationships/image" Target="media/image269.JPG"/><Relationship Id="rId305" Type="http://schemas.openxmlformats.org/officeDocument/2006/relationships/image" Target="media/image283.JPG"/><Relationship Id="rId347" Type="http://schemas.openxmlformats.org/officeDocument/2006/relationships/image" Target="media/image325.jpeg"/><Relationship Id="rId512" Type="http://schemas.openxmlformats.org/officeDocument/2006/relationships/image" Target="media/image489.JPG"/><Relationship Id="rId44" Type="http://schemas.openxmlformats.org/officeDocument/2006/relationships/image" Target="media/image24.jpeg"/><Relationship Id="rId86" Type="http://schemas.openxmlformats.org/officeDocument/2006/relationships/image" Target="media/image66.jpeg"/><Relationship Id="rId151" Type="http://schemas.openxmlformats.org/officeDocument/2006/relationships/image" Target="media/image131.jpeg"/><Relationship Id="rId389" Type="http://schemas.openxmlformats.org/officeDocument/2006/relationships/image" Target="media/image366.JPG"/><Relationship Id="rId554" Type="http://schemas.openxmlformats.org/officeDocument/2006/relationships/hyperlink" Target="http://antiquity.ac.uk/projgall/sherlock/index.html" TargetMode="External"/><Relationship Id="rId193" Type="http://schemas.openxmlformats.org/officeDocument/2006/relationships/image" Target="media/image173.jpeg"/><Relationship Id="rId207" Type="http://schemas.openxmlformats.org/officeDocument/2006/relationships/image" Target="media/image187.jpeg"/><Relationship Id="rId249" Type="http://schemas.openxmlformats.org/officeDocument/2006/relationships/image" Target="media/image228.jpeg"/><Relationship Id="rId414" Type="http://schemas.openxmlformats.org/officeDocument/2006/relationships/image" Target="media/image391.jpeg"/><Relationship Id="rId456" Type="http://schemas.openxmlformats.org/officeDocument/2006/relationships/image" Target="media/image433.JPG"/><Relationship Id="rId498" Type="http://schemas.openxmlformats.org/officeDocument/2006/relationships/image" Target="media/image475.jpeg"/><Relationship Id="rId13" Type="http://schemas.openxmlformats.org/officeDocument/2006/relationships/image" Target="media/image4.jpeg"/><Relationship Id="rId109" Type="http://schemas.openxmlformats.org/officeDocument/2006/relationships/image" Target="media/image89.jpg"/><Relationship Id="rId260" Type="http://schemas.openxmlformats.org/officeDocument/2006/relationships/image" Target="media/image239.jpg"/><Relationship Id="rId316" Type="http://schemas.openxmlformats.org/officeDocument/2006/relationships/image" Target="media/image294.JPG"/><Relationship Id="rId523" Type="http://schemas.openxmlformats.org/officeDocument/2006/relationships/hyperlink" Target="http://www.pase.ac.uk" TargetMode="External"/><Relationship Id="rId55" Type="http://schemas.openxmlformats.org/officeDocument/2006/relationships/image" Target="media/image35.jpeg"/><Relationship Id="rId97" Type="http://schemas.openxmlformats.org/officeDocument/2006/relationships/image" Target="media/image77.jpeg"/><Relationship Id="rId120" Type="http://schemas.openxmlformats.org/officeDocument/2006/relationships/image" Target="media/image100.jpg"/><Relationship Id="rId358" Type="http://schemas.openxmlformats.org/officeDocument/2006/relationships/image" Target="media/image335.jpg"/><Relationship Id="rId565" Type="http://schemas.openxmlformats.org/officeDocument/2006/relationships/theme" Target="theme/theme1.xml"/><Relationship Id="rId162" Type="http://schemas.openxmlformats.org/officeDocument/2006/relationships/image" Target="media/image142.jpeg"/><Relationship Id="rId218" Type="http://schemas.openxmlformats.org/officeDocument/2006/relationships/image" Target="media/image198.jpeg"/><Relationship Id="rId425" Type="http://schemas.openxmlformats.org/officeDocument/2006/relationships/image" Target="media/image402.jpeg"/><Relationship Id="rId467" Type="http://schemas.openxmlformats.org/officeDocument/2006/relationships/image" Target="media/image444.JPG"/><Relationship Id="rId271" Type="http://schemas.openxmlformats.org/officeDocument/2006/relationships/image" Target="media/image250.jpeg"/><Relationship Id="rId24" Type="http://schemas.openxmlformats.org/officeDocument/2006/relationships/image" Target="media/image7.jpeg"/><Relationship Id="rId66" Type="http://schemas.openxmlformats.org/officeDocument/2006/relationships/image" Target="media/image46.jpeg"/><Relationship Id="rId131" Type="http://schemas.openxmlformats.org/officeDocument/2006/relationships/image" Target="media/image111.jpeg"/><Relationship Id="rId327" Type="http://schemas.openxmlformats.org/officeDocument/2006/relationships/image" Target="media/image305.jpeg"/><Relationship Id="rId369" Type="http://schemas.openxmlformats.org/officeDocument/2006/relationships/image" Target="media/image346.JPG"/><Relationship Id="rId534" Type="http://schemas.openxmlformats.org/officeDocument/2006/relationships/hyperlink" Target="http://www.english-heritage.org.uk/" TargetMode="External"/><Relationship Id="rId173" Type="http://schemas.openxmlformats.org/officeDocument/2006/relationships/image" Target="media/image153.JPG"/><Relationship Id="rId229" Type="http://schemas.openxmlformats.org/officeDocument/2006/relationships/image" Target="media/image208.jpeg"/><Relationship Id="rId380" Type="http://schemas.openxmlformats.org/officeDocument/2006/relationships/image" Target="media/image357.jpeg"/><Relationship Id="rId436" Type="http://schemas.openxmlformats.org/officeDocument/2006/relationships/image" Target="media/image413.JPG"/><Relationship Id="rId240" Type="http://schemas.openxmlformats.org/officeDocument/2006/relationships/image" Target="media/image219.JPG"/><Relationship Id="rId478" Type="http://schemas.openxmlformats.org/officeDocument/2006/relationships/image" Target="media/image455.JPG"/><Relationship Id="rId35" Type="http://schemas.openxmlformats.org/officeDocument/2006/relationships/image" Target="media/image15.jpeg"/><Relationship Id="rId77" Type="http://schemas.openxmlformats.org/officeDocument/2006/relationships/image" Target="media/image57.jpeg"/><Relationship Id="rId100" Type="http://schemas.openxmlformats.org/officeDocument/2006/relationships/image" Target="media/image80.jpeg"/><Relationship Id="rId282" Type="http://schemas.openxmlformats.org/officeDocument/2006/relationships/image" Target="media/image260.jpg"/><Relationship Id="rId338" Type="http://schemas.openxmlformats.org/officeDocument/2006/relationships/image" Target="media/image316.JPG"/><Relationship Id="rId503" Type="http://schemas.openxmlformats.org/officeDocument/2006/relationships/image" Target="media/image480.jpeg"/><Relationship Id="rId545" Type="http://schemas.openxmlformats.org/officeDocument/2006/relationships/hyperlink" Target="http://www.iadb.co.uk/i3/item.php?ID=IADB:1307:U71" TargetMode="External"/><Relationship Id="rId8" Type="http://schemas.openxmlformats.org/officeDocument/2006/relationships/image" Target="media/image1.jpeg"/><Relationship Id="rId142" Type="http://schemas.openxmlformats.org/officeDocument/2006/relationships/image" Target="media/image122.jpeg"/><Relationship Id="rId184" Type="http://schemas.openxmlformats.org/officeDocument/2006/relationships/image" Target="media/image164.jpeg"/><Relationship Id="rId391" Type="http://schemas.openxmlformats.org/officeDocument/2006/relationships/image" Target="media/image368.JPG"/><Relationship Id="rId405" Type="http://schemas.openxmlformats.org/officeDocument/2006/relationships/image" Target="media/image382.JPG"/><Relationship Id="rId447" Type="http://schemas.openxmlformats.org/officeDocument/2006/relationships/image" Target="media/image424.jpeg"/><Relationship Id="rId251" Type="http://schemas.openxmlformats.org/officeDocument/2006/relationships/image" Target="media/image230.jpeg"/><Relationship Id="rId489" Type="http://schemas.openxmlformats.org/officeDocument/2006/relationships/image" Target="media/image466.jpeg"/><Relationship Id="rId46" Type="http://schemas.openxmlformats.org/officeDocument/2006/relationships/image" Target="media/image26.jpeg"/><Relationship Id="rId293" Type="http://schemas.openxmlformats.org/officeDocument/2006/relationships/image" Target="media/image271.JPG"/><Relationship Id="rId307" Type="http://schemas.openxmlformats.org/officeDocument/2006/relationships/image" Target="media/image285.JPG"/><Relationship Id="rId349" Type="http://schemas.openxmlformats.org/officeDocument/2006/relationships/image" Target="media/image327.jpeg"/><Relationship Id="rId514" Type="http://schemas.openxmlformats.org/officeDocument/2006/relationships/image" Target="media/image491.jpeg"/><Relationship Id="rId556" Type="http://schemas.openxmlformats.org/officeDocument/2006/relationships/hyperlink" Target="http://www.ukdfd.co.uk/" TargetMode="External"/><Relationship Id="rId88" Type="http://schemas.openxmlformats.org/officeDocument/2006/relationships/image" Target="media/image68.jpeg"/><Relationship Id="rId111" Type="http://schemas.openxmlformats.org/officeDocument/2006/relationships/image" Target="media/image91.jpeg"/><Relationship Id="rId153" Type="http://schemas.openxmlformats.org/officeDocument/2006/relationships/image" Target="media/image133.jpeg"/><Relationship Id="rId195" Type="http://schemas.openxmlformats.org/officeDocument/2006/relationships/image" Target="media/image175.jpeg"/><Relationship Id="rId209" Type="http://schemas.openxmlformats.org/officeDocument/2006/relationships/image" Target="media/image189.jpeg"/><Relationship Id="rId360" Type="http://schemas.openxmlformats.org/officeDocument/2006/relationships/image" Target="media/image337.JPG"/><Relationship Id="rId416" Type="http://schemas.openxmlformats.org/officeDocument/2006/relationships/image" Target="media/image393.jpeg"/><Relationship Id="rId220" Type="http://schemas.openxmlformats.org/officeDocument/2006/relationships/image" Target="media/image200.jpeg"/><Relationship Id="rId458" Type="http://schemas.openxmlformats.org/officeDocument/2006/relationships/image" Target="media/image435.JPG"/><Relationship Id="rId15" Type="http://schemas.openxmlformats.org/officeDocument/2006/relationships/image" Target="media/image5.png"/><Relationship Id="rId57" Type="http://schemas.openxmlformats.org/officeDocument/2006/relationships/image" Target="media/image37.jpeg"/><Relationship Id="rId262" Type="http://schemas.openxmlformats.org/officeDocument/2006/relationships/image" Target="media/image241.JPG"/><Relationship Id="rId318" Type="http://schemas.openxmlformats.org/officeDocument/2006/relationships/image" Target="media/image296.jpeg"/><Relationship Id="rId525" Type="http://schemas.openxmlformats.org/officeDocument/2006/relationships/hyperlink" Target="http://onlinelibrary.wiley.com/doi/10.1111/emed.2002.11.issue-3/issuetoc" TargetMode="External"/><Relationship Id="rId99" Type="http://schemas.openxmlformats.org/officeDocument/2006/relationships/image" Target="media/image79.jpeg"/><Relationship Id="rId122" Type="http://schemas.openxmlformats.org/officeDocument/2006/relationships/image" Target="media/image102.JPG"/><Relationship Id="rId164" Type="http://schemas.openxmlformats.org/officeDocument/2006/relationships/image" Target="media/image144.jpeg"/><Relationship Id="rId371" Type="http://schemas.openxmlformats.org/officeDocument/2006/relationships/image" Target="media/image348.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13" Type="http://schemas.openxmlformats.org/officeDocument/2006/relationships/hyperlink" Target="http://en.wikipedia.org/wiki/%C3%86lfwald_I_of_Northumbria" TargetMode="External"/><Relationship Id="rId18" Type="http://schemas.openxmlformats.org/officeDocument/2006/relationships/hyperlink" Target="https://en.wikipedia.org/wiki/Tale_of_Ragnar%27s_Sons" TargetMode="External"/><Relationship Id="rId26" Type="http://schemas.openxmlformats.org/officeDocument/2006/relationships/hyperlink" Target="https://www.academia.edu/1300696/Monetisation_in_Medieval_Scandinavia" TargetMode="External"/><Relationship Id="rId39" Type="http://schemas.openxmlformats.org/officeDocument/2006/relationships/hyperlink" Target="http://www2.hull.ac.uk/student/archaeology/research/hayton.aspx" TargetMode="External"/><Relationship Id="rId3" Type="http://schemas.openxmlformats.org/officeDocument/2006/relationships/hyperlink" Target="http://en.wikipedia.org/wiki/Salic_law%20" TargetMode="External"/><Relationship Id="rId21" Type="http://schemas.openxmlformats.org/officeDocument/2006/relationships/hyperlink" Target="http://intarch.ac.uk/journal/issue25/2/2.6.2.html" TargetMode="External"/><Relationship Id="rId34" Type="http://schemas.openxmlformats.org/officeDocument/2006/relationships/hyperlink" Target="http://en.wikipedia.org/wiki/Cleansing_of_the_Temple" TargetMode="External"/><Relationship Id="rId42" Type="http://schemas.openxmlformats.org/officeDocument/2006/relationships/hyperlink" Target="http://archaeologydataservice.ac.uk/archives/view/burdale_york_2013/index.cfm" TargetMode="External"/><Relationship Id="rId47" Type="http://schemas.openxmlformats.org/officeDocument/2006/relationships/hyperlink" Target="https://finds.org.uk/database/artefacts/record/id/279980" TargetMode="External"/><Relationship Id="rId50" Type="http://schemas.openxmlformats.org/officeDocument/2006/relationships/hyperlink" Target="http://en.wikipedia.org/wiki/Kuznets_swing" TargetMode="External"/><Relationship Id="rId7" Type="http://schemas.openxmlformats.org/officeDocument/2006/relationships/hyperlink" Target="http://www.anglo-saxon-coinage.co.uk/25.html" TargetMode="External"/><Relationship Id="rId12" Type="http://schemas.openxmlformats.org/officeDocument/2006/relationships/hyperlink" Target="http://en.wikipedia.org/wiki/%C3%86thelwold_Moll_of_Northumbria" TargetMode="External"/><Relationship Id="rId17" Type="http://schemas.openxmlformats.org/officeDocument/2006/relationships/hyperlink" Target="file:///C:\Users\Abramson\Documents\4.%20Dissertation%2029-07-16\Volume%201%20-%20Narrative\www.anglo-saxon-coinage.co.uk" TargetMode="External"/><Relationship Id="rId25" Type="http://schemas.openxmlformats.org/officeDocument/2006/relationships/hyperlink" Target="http://paul-barford.blogspot.co.uk/2009/06/goldilocks-and-finders-of-roman-coins.html" TargetMode="External"/><Relationship Id="rId33" Type="http://schemas.openxmlformats.org/officeDocument/2006/relationships/hyperlink" Target="http://intarch.ac.uk/journal/issue34/5/toc.html" TargetMode="External"/><Relationship Id="rId38" Type="http://schemas.openxmlformats.org/officeDocument/2006/relationships/hyperlink" Target="http://www.southampton.ac.uk/archaeology/research/projects/landscape_archaeology_of_hayton.page%20" TargetMode="External"/><Relationship Id="rId46" Type="http://schemas.openxmlformats.org/officeDocument/2006/relationships/hyperlink" Target="http://intarch.ac.uk/journal/issue25/2/4.4.6.html" TargetMode="External"/><Relationship Id="rId2" Type="http://schemas.openxmlformats.org/officeDocument/2006/relationships/hyperlink" Target="http://www.historyfiles.co.uk/KingListsMiddEast/MesopotamiaEshnunna.htm%20" TargetMode="External"/><Relationship Id="rId16" Type="http://schemas.openxmlformats.org/officeDocument/2006/relationships/hyperlink" Target="mailto:cgb.fr" TargetMode="External"/><Relationship Id="rId20" Type="http://schemas.openxmlformats.org/officeDocument/2006/relationships/hyperlink" Target="http://intarch.ac.uk/journal/issue25/2/4.4.html" TargetMode="External"/><Relationship Id="rId29" Type="http://schemas.openxmlformats.org/officeDocument/2006/relationships/hyperlink" Target="http://ecx.images-amazon.com/images/I/61QdOzRd6dL._UL1500_.jpg" TargetMode="External"/><Relationship Id="rId41" Type="http://schemas.openxmlformats.org/officeDocument/2006/relationships/hyperlink" Target="http://archaeologydataservice.ac.uk/archives/view/cowlam_york_2011/" TargetMode="External"/><Relationship Id="rId1" Type="http://schemas.openxmlformats.org/officeDocument/2006/relationships/hyperlink" Target="http://archive.org/stream/lawsofearliesten00grea" TargetMode="External"/><Relationship Id="rId6" Type="http://schemas.openxmlformats.org/officeDocument/2006/relationships/hyperlink" Target="http://tracemedia.co.uk/lostchange/" TargetMode="External"/><Relationship Id="rId11" Type="http://schemas.openxmlformats.org/officeDocument/2006/relationships/hyperlink" Target="http://daily.stcuthberts.com/wp-content/uploads/2012/03/st-cuthberts-pectoral-cross.jpg" TargetMode="External"/><Relationship Id="rId24" Type="http://schemas.openxmlformats.org/officeDocument/2006/relationships/hyperlink" Target="https://en.wikipedia.org/wiki/Crosby_Garrett_Helmet" TargetMode="External"/><Relationship Id="rId32" Type="http://schemas.openxmlformats.org/officeDocument/2006/relationships/hyperlink" Target="http://www.iadb.co.uk/i3/item.php?ID=IADB:1307:U71" TargetMode="External"/><Relationship Id="rId37" Type="http://schemas.openxmlformats.org/officeDocument/2006/relationships/hyperlink" Target="http://en.wikipedia.org/wiki/Middleham" TargetMode="External"/><Relationship Id="rId40" Type="http://schemas.openxmlformats.org/officeDocument/2006/relationships/hyperlink" Target="http://pastscape.org.uk/hob.aspx?hob_id=61387" TargetMode="External"/><Relationship Id="rId45" Type="http://schemas.openxmlformats.org/officeDocument/2006/relationships/hyperlink" Target="http://archaeologydataservice.ac.uk/archives/view/burdale_york_2013/downloads.cfm?group=20" TargetMode="External"/><Relationship Id="rId53" Type="http://schemas.openxmlformats.org/officeDocument/2006/relationships/hyperlink" Target="https://tenthmedieval.wordpress.com/2010/03/18/from-the-sources-v-Bedes-letter-to-egbert/" TargetMode="External"/><Relationship Id="rId5" Type="http://schemas.openxmlformats.org/officeDocument/2006/relationships/hyperlink" Target="http://en.wikipedia.org/wiki/Samanid_Empire" TargetMode="External"/><Relationship Id="rId15" Type="http://schemas.openxmlformats.org/officeDocument/2006/relationships/hyperlink" Target="http://en.wikipedia.org/wiki/Archbishops_of_York" TargetMode="External"/><Relationship Id="rId23" Type="http://schemas.openxmlformats.org/officeDocument/2006/relationships/hyperlink" Target="https://en.wikipedia.org/wiki/Nazi_plunder" TargetMode="External"/><Relationship Id="rId28" Type="http://schemas.openxmlformats.org/officeDocument/2006/relationships/hyperlink" Target="http://publications.naturalengland.org.uk/" TargetMode="External"/><Relationship Id="rId36" Type="http://schemas.openxmlformats.org/officeDocument/2006/relationships/hyperlink" Target="https://finds.org.uk/database/artefacts/record/id/643932" TargetMode="External"/><Relationship Id="rId49" Type="http://schemas.openxmlformats.org/officeDocument/2006/relationships/hyperlink" Target="http://www.archaeology.co.uk/articles/features/exploring-anglo-saxon-settlement.htm" TargetMode="External"/><Relationship Id="rId10" Type="http://schemas.openxmlformats.org/officeDocument/2006/relationships/hyperlink" Target="http://yorkmuseumstrust.org.uk/" TargetMode="External"/><Relationship Id="rId19" Type="http://schemas.openxmlformats.org/officeDocument/2006/relationships/hyperlink" Target="http://en.wikipedia.org/wiki/Archbishops_of_York" TargetMode="External"/><Relationship Id="rId31" Type="http://schemas.openxmlformats.org/officeDocument/2006/relationships/hyperlink" Target="http://www.iadb.co.uk/i3/item.php?ID=IADB:1307:U71" TargetMode="External"/><Relationship Id="rId44" Type="http://schemas.openxmlformats.org/officeDocument/2006/relationships/hyperlink" Target="http://intarch.ac.uk/journal/issue35/richards-roskams.html" TargetMode="External"/><Relationship Id="rId52" Type="http://schemas.openxmlformats.org/officeDocument/2006/relationships/hyperlink" Target="http://intarch.ac.uk/journal/issue25/2/3.3.1.1.html" TargetMode="External"/><Relationship Id="rId4" Type="http://schemas.openxmlformats.org/officeDocument/2006/relationships/hyperlink" Target="https://www.academia.edu/1300696/Monetisation_in_Medieval_Scandinavia" TargetMode="External"/><Relationship Id="rId9" Type="http://schemas.openxmlformats.org/officeDocument/2006/relationships/hyperlink" Target="https://en.wikipedia.org/wiki/Peter_Hunter_Blair" TargetMode="External"/><Relationship Id="rId14" Type="http://schemas.openxmlformats.org/officeDocument/2006/relationships/hyperlink" Target="http://gilliscoins.com/reference/eardwulf/index.htm" TargetMode="External"/><Relationship Id="rId22" Type="http://schemas.openxmlformats.org/officeDocument/2006/relationships/hyperlink" Target="https://heritageaction.wordpress.com/2009/12/22/metal-detecting-a-letter-to-english-heritage/" TargetMode="External"/><Relationship Id="rId27" Type="http://schemas.openxmlformats.org/officeDocument/2006/relationships/hyperlink" Target="http://www.dmap.co.uk/" TargetMode="External"/><Relationship Id="rId30" Type="http://schemas.openxmlformats.org/officeDocument/2006/relationships/hyperlink" Target="http://www.archaeologicalplanningconsultancy.co.uk/mono/001/" TargetMode="External"/><Relationship Id="rId35" Type="http://schemas.openxmlformats.org/officeDocument/2006/relationships/hyperlink" Target="http://www.iadb.co.uk/i3/item.php?ID=IADB:1307:U71" TargetMode="External"/><Relationship Id="rId43" Type="http://schemas.openxmlformats.org/officeDocument/2006/relationships/hyperlink" Target="http://orcid.org/0000-0003-1695-7344" TargetMode="External"/><Relationship Id="rId48" Type="http://schemas.openxmlformats.org/officeDocument/2006/relationships/hyperlink" Target="http://antiquity.ac.uk/projgall/sherlock/index.html" TargetMode="External"/><Relationship Id="rId8" Type="http://schemas.openxmlformats.org/officeDocument/2006/relationships/hyperlink" Target="https://en.wikipedia.org/wiki/Henry_Mayr-Harting" TargetMode="External"/><Relationship Id="rId51" Type="http://schemas.openxmlformats.org/officeDocument/2006/relationships/hyperlink" Target="http://en.wikipedia.org/wiki/Kondratiev_wav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87F97892714F85AA1ED9F23FD636D3"/>
        <w:category>
          <w:name w:val="General"/>
          <w:gallery w:val="placeholder"/>
        </w:category>
        <w:types>
          <w:type w:val="bbPlcHdr"/>
        </w:types>
        <w:behaviors>
          <w:behavior w:val="content"/>
        </w:behaviors>
        <w:guid w:val="{40C9B9E9-960F-42AE-9C8A-EC9A37758B68}"/>
      </w:docPartPr>
      <w:docPartBody>
        <w:p w:rsidR="00313F11" w:rsidRDefault="00825C65" w:rsidP="00825C65">
          <w:pPr>
            <w:pStyle w:val="0887F97892714F85AA1ED9F23FD636D3"/>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Garamond Pro">
    <w:panose1 w:val="02020502060506020403"/>
    <w:charset w:val="00"/>
    <w:family w:val="roman"/>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Arial"/>
    <w:charset w:val="00"/>
    <w:family w:val="auto"/>
    <w:pitch w:val="variable"/>
    <w:sig w:usb0="E1000AEF" w:usb1="5000A1FF" w:usb2="00000000" w:usb3="00000000" w:csb0="000001BF" w:csb1="00000000"/>
  </w:font>
  <w:font w:name="COINS010">
    <w:panose1 w:val="00000000000000000000"/>
    <w:charset w:val="00"/>
    <w:family w:val="auto"/>
    <w:pitch w:val="variable"/>
    <w:sig w:usb0="A000028F" w:usb1="10000000" w:usb2="00008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BookAntiqua,Italic">
    <w:altName w:val="MS Mincho"/>
    <w:panose1 w:val="00000000000000000000"/>
    <w:charset w:val="80"/>
    <w:family w:val="auto"/>
    <w:notTrueType/>
    <w:pitch w:val="default"/>
    <w:sig w:usb0="00000000" w:usb1="08070000" w:usb2="00000010" w:usb3="00000000" w:csb0="00020000" w:csb1="00000000"/>
  </w:font>
  <w:font w:name="BookAntiqua">
    <w:altName w:val="Malgun Gothic Semilight"/>
    <w:panose1 w:val="00000000000000000000"/>
    <w:charset w:val="80"/>
    <w:family w:val="auto"/>
    <w:notTrueType/>
    <w:pitch w:val="default"/>
    <w:sig w:usb0="00000000" w:usb1="08070000" w:usb2="00000010" w:usb3="00000000" w:csb0="00020000" w:csb1="00000000"/>
  </w:font>
  <w:font w:name="Inscription Numismatic">
    <w:panose1 w:val="02000000000000000000"/>
    <w:charset w:val="00"/>
    <w:family w:val="auto"/>
    <w:pitch w:val="variable"/>
    <w:sig w:usb0="80000003" w:usb1="00000000" w:usb2="00000000" w:usb3="00000000" w:csb0="00000001" w:csb1="00000000"/>
  </w:font>
  <w:font w:name="AngloSaxon Runes">
    <w:panose1 w:val="020B0500000000000000"/>
    <w:charset w:val="00"/>
    <w:family w:val="swiss"/>
    <w:pitch w:val="variable"/>
    <w:sig w:usb0="00000003" w:usb1="00000000" w:usb2="00000000" w:usb3="00000000" w:csb0="00000001" w:csb1="00000000"/>
  </w:font>
  <w:font w:name="Minion-Regular">
    <w:altName w:val="Malgun Gothic Semilight"/>
    <w:panose1 w:val="00000000000000000000"/>
    <w:charset w:val="80"/>
    <w:family w:val="roman"/>
    <w:notTrueType/>
    <w:pitch w:val="default"/>
    <w:sig w:usb0="00000000" w:usb1="08070000" w:usb2="00000010" w:usb3="00000000" w:csb0="00020000" w:csb1="00000000"/>
  </w:font>
  <w:font w:name="GaramondPremrPro">
    <w:altName w:val="Malgun Gothic Semilight"/>
    <w:panose1 w:val="00000000000000000000"/>
    <w:charset w:val="80"/>
    <w:family w:val="auto"/>
    <w:notTrueType/>
    <w:pitch w:val="default"/>
    <w:sig w:usb0="00000000" w:usb1="08070000" w:usb2="00000010" w:usb3="00000000" w:csb0="00020000" w:csb1="00000000"/>
  </w:font>
  <w:font w:name="AGaramond-Regular">
    <w:altName w:val="Cambria"/>
    <w:panose1 w:val="00000000000000000000"/>
    <w:charset w:val="00"/>
    <w:family w:val="roman"/>
    <w:notTrueType/>
    <w:pitch w:val="default"/>
    <w:sig w:usb0="00000003" w:usb1="00000000" w:usb2="00000000" w:usb3="00000000" w:csb0="00000001" w:csb1="00000000"/>
  </w:font>
  <w:font w:name="Bembo">
    <w:altName w:val="Calibri"/>
    <w:charset w:val="00"/>
    <w:family w:val="roman"/>
    <w:pitch w:val="variable"/>
    <w:sig w:usb0="8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C65"/>
    <w:rsid w:val="003137BF"/>
    <w:rsid w:val="00313F11"/>
    <w:rsid w:val="003742A8"/>
    <w:rsid w:val="00825C65"/>
    <w:rsid w:val="00AA18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887F97892714F85AA1ED9F23FD636D3">
    <w:name w:val="0887F97892714F85AA1ED9F23FD636D3"/>
    <w:rsid w:val="00825C6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3">
      <a:majorFont>
        <a:latin typeface="Times New Roman"/>
        <a:ea typeface=""/>
        <a:cs typeface=""/>
      </a:majorFont>
      <a:minorFont>
        <a:latin typeface="Times New Roman"/>
        <a:ea typeface=""/>
        <a:cs typeface=""/>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BB98910-4D87-48B2-8A3E-02597FA9386D}">
  <we:reference id="wa104038830" version="1.0.0.3" store="en-US" storeType="OMEX"/>
  <we:alternateReferences>
    <we:reference id="wa104038830" version="1.0.0.3" store="wa104038830"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DD7A1F66-9FE9-4AC7-8D2C-74823301C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8307</TotalTime>
  <Pages>360</Pages>
  <Words>114355</Words>
  <Characters>651824</Characters>
  <Application>Microsoft Office Word</Application>
  <DocSecurity>0</DocSecurity>
  <Lines>5431</Lines>
  <Paragraphs>1529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764650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dc:creator>
  <cp:keywords/>
  <dc:description/>
  <cp:lastModifiedBy>Tony Abramson</cp:lastModifiedBy>
  <cp:revision>103</cp:revision>
  <cp:lastPrinted>2016-11-10T06:42:00Z</cp:lastPrinted>
  <dcterms:created xsi:type="dcterms:W3CDTF">2016-11-13T09:36:00Z</dcterms:created>
  <dcterms:modified xsi:type="dcterms:W3CDTF">2022-04-03T13:58:00Z</dcterms:modified>
</cp:coreProperties>
</file>